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FCD5FC" w14:textId="765B6505" w:rsidR="005D6078" w:rsidRPr="009E686F" w:rsidRDefault="005D6078" w:rsidP="000216E4">
      <w:pPr>
        <w:spacing w:after="0" w:line="240" w:lineRule="auto"/>
        <w:jc w:val="center"/>
        <w:rPr>
          <w:rFonts w:ascii="Times New Roman" w:hAnsi="Times New Roman" w:cs="Times New Roman"/>
          <w:b/>
          <w:lang w:val="pt-BR"/>
        </w:rPr>
      </w:pPr>
      <w:r w:rsidRPr="009E686F">
        <w:rPr>
          <w:rFonts w:ascii="Times New Roman" w:hAnsi="Times New Roman" w:cs="Times New Roman"/>
          <w:b/>
          <w:lang w:val="pt-BR"/>
        </w:rPr>
        <w:t>Tabel de concordanţă</w:t>
      </w:r>
    </w:p>
    <w:p w14:paraId="77AA050D" w14:textId="77777777" w:rsidR="005D6078" w:rsidRPr="009E686F" w:rsidRDefault="005D6078" w:rsidP="000216E4">
      <w:pPr>
        <w:spacing w:after="0" w:line="240" w:lineRule="auto"/>
        <w:jc w:val="center"/>
        <w:rPr>
          <w:rFonts w:ascii="Times New Roman" w:hAnsi="Times New Roman" w:cs="Times New Roman"/>
          <w:b/>
          <w:lang w:val="pt-BR"/>
        </w:rPr>
      </w:pPr>
      <w:r w:rsidRPr="009E686F">
        <w:rPr>
          <w:rFonts w:ascii="Times New Roman" w:hAnsi="Times New Roman" w:cs="Times New Roman"/>
          <w:b/>
          <w:lang w:val="pt-BR"/>
        </w:rPr>
        <w:t>DIRECTIVA 2013/36/UE A PARLAMENTULUI EUROPEAN ȘI A CONSILIULUI</w:t>
      </w:r>
    </w:p>
    <w:p w14:paraId="5090C220" w14:textId="77777777" w:rsidR="005D6078" w:rsidRPr="009E686F" w:rsidRDefault="005D6078" w:rsidP="000216E4">
      <w:pPr>
        <w:spacing w:after="0" w:line="240" w:lineRule="auto"/>
        <w:jc w:val="center"/>
        <w:rPr>
          <w:rFonts w:ascii="Times New Roman" w:hAnsi="Times New Roman" w:cs="Times New Roman"/>
          <w:b/>
          <w:lang w:val="pt-BR"/>
        </w:rPr>
      </w:pPr>
      <w:r w:rsidRPr="009E686F">
        <w:rPr>
          <w:rFonts w:ascii="Times New Roman" w:hAnsi="Times New Roman" w:cs="Times New Roman"/>
          <w:b/>
          <w:lang w:val="pt-BR"/>
        </w:rPr>
        <w:t>din 26 iunie 2013</w:t>
      </w:r>
    </w:p>
    <w:p w14:paraId="5C742FF2" w14:textId="4A165B23" w:rsidR="005D6078" w:rsidRPr="009E686F" w:rsidRDefault="005D6078" w:rsidP="005D6078">
      <w:pPr>
        <w:jc w:val="center"/>
        <w:rPr>
          <w:rFonts w:ascii="Times New Roman" w:hAnsi="Times New Roman" w:cs="Times New Roman"/>
          <w:b/>
          <w:lang w:val="pt-BR"/>
        </w:rPr>
      </w:pPr>
      <w:r w:rsidRPr="009E686F">
        <w:rPr>
          <w:rFonts w:ascii="Times New Roman" w:hAnsi="Times New Roman" w:cs="Times New Roman"/>
          <w:b/>
          <w:lang w:val="pt-BR"/>
        </w:rPr>
        <w:t xml:space="preserve">cu privire la accesul la activitatea </w:t>
      </w:r>
      <w:r w:rsidR="00A51A7D" w:rsidRPr="009E686F">
        <w:rPr>
          <w:rFonts w:ascii="Times New Roman" w:hAnsi="Times New Roman" w:cs="Times New Roman"/>
          <w:b/>
          <w:lang w:val="pt-BR"/>
        </w:rPr>
        <w:t>instituțiilor de credit</w:t>
      </w:r>
      <w:r w:rsidRPr="009E686F">
        <w:rPr>
          <w:rFonts w:ascii="Times New Roman" w:hAnsi="Times New Roman" w:cs="Times New Roman"/>
          <w:b/>
          <w:lang w:val="pt-BR"/>
        </w:rPr>
        <w:t xml:space="preserve"> și supravegherea prudențială a </w:t>
      </w:r>
      <w:r w:rsidR="00A51A7D" w:rsidRPr="009E686F">
        <w:rPr>
          <w:rFonts w:ascii="Times New Roman" w:hAnsi="Times New Roman" w:cs="Times New Roman"/>
          <w:b/>
          <w:lang w:val="pt-BR"/>
        </w:rPr>
        <w:t>instituțiilor de credit</w:t>
      </w:r>
      <w:r w:rsidRPr="009E686F">
        <w:rPr>
          <w:rFonts w:ascii="Times New Roman" w:hAnsi="Times New Roman" w:cs="Times New Roman"/>
          <w:b/>
          <w:lang w:val="pt-BR"/>
        </w:rPr>
        <w:t xml:space="preserve"> și a firmelor de investiții, de modificare a Directivei 2002/87/CE și de abrogare a Directivelor 2006/48/CE și 2006/49/CE</w:t>
      </w:r>
    </w:p>
    <w:tbl>
      <w:tblPr>
        <w:tblW w:w="5177"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9"/>
        <w:gridCol w:w="14657"/>
      </w:tblGrid>
      <w:tr w:rsidR="002E138D" w:rsidRPr="009E686F" w14:paraId="2EB8FC2F" w14:textId="77777777" w:rsidTr="002E138D">
        <w:tc>
          <w:tcPr>
            <w:tcW w:w="5000" w:type="pct"/>
            <w:gridSpan w:val="2"/>
            <w:shd w:val="clear" w:color="auto" w:fill="auto"/>
          </w:tcPr>
          <w:p w14:paraId="13BC0282" w14:textId="109E4249" w:rsidR="002E138D" w:rsidRPr="009E686F" w:rsidRDefault="002E138D" w:rsidP="00DB2B4C">
            <w:pPr>
              <w:rPr>
                <w:rFonts w:ascii="Times New Roman" w:hAnsi="Times New Roman" w:cs="Times New Roman"/>
                <w:b/>
                <w:lang w:val="ro-RO"/>
              </w:rPr>
            </w:pPr>
            <w:r w:rsidRPr="009E686F">
              <w:rPr>
                <w:rFonts w:ascii="Times New Roman" w:hAnsi="Times New Roman" w:cs="Times New Roman"/>
                <w:b/>
                <w:lang w:val="it-CH"/>
              </w:rPr>
              <w:t>1. Titlul actului Uniunii Europene, inclusiv cele mai recente amendamente incluse</w:t>
            </w:r>
          </w:p>
        </w:tc>
      </w:tr>
      <w:tr w:rsidR="008A51EB" w:rsidRPr="009E686F" w14:paraId="257C7C85" w14:textId="77777777" w:rsidTr="002E30B8">
        <w:tc>
          <w:tcPr>
            <w:tcW w:w="139" w:type="pct"/>
            <w:shd w:val="clear" w:color="auto" w:fill="auto"/>
          </w:tcPr>
          <w:p w14:paraId="4E1C8FFE" w14:textId="77777777" w:rsidR="008A51EB" w:rsidRPr="009E686F" w:rsidRDefault="008A51EB" w:rsidP="00DB2B4C">
            <w:pPr>
              <w:rPr>
                <w:rFonts w:ascii="Times New Roman" w:hAnsi="Times New Roman" w:cs="Times New Roman"/>
                <w:b/>
                <w:lang w:val="ro-RO"/>
              </w:rPr>
            </w:pPr>
            <w:r w:rsidRPr="009E686F">
              <w:rPr>
                <w:rFonts w:ascii="Times New Roman" w:hAnsi="Times New Roman" w:cs="Times New Roman"/>
                <w:b/>
                <w:lang w:val="ro-RO"/>
              </w:rPr>
              <w:t>1</w:t>
            </w:r>
          </w:p>
        </w:tc>
        <w:tc>
          <w:tcPr>
            <w:tcW w:w="4861" w:type="pct"/>
            <w:shd w:val="clear" w:color="auto" w:fill="auto"/>
          </w:tcPr>
          <w:p w14:paraId="0E9B1DC7" w14:textId="19AB8606" w:rsidR="002E138D" w:rsidRPr="009E686F" w:rsidRDefault="002E138D" w:rsidP="00A51A7D">
            <w:pPr>
              <w:jc w:val="both"/>
              <w:rPr>
                <w:rFonts w:ascii="Times New Roman" w:hAnsi="Times New Roman" w:cs="Times New Roman"/>
                <w:b/>
                <w:lang w:val="ro-RO"/>
              </w:rPr>
            </w:pPr>
            <w:r w:rsidRPr="009E686F">
              <w:rPr>
                <w:rFonts w:ascii="Times New Roman" w:hAnsi="Times New Roman" w:cs="Times New Roman"/>
                <w:b/>
                <w:lang w:val="ro-RO"/>
              </w:rPr>
              <w:t xml:space="preserve">DIRECTIVA 2013/36/UE A PARLAMENTULUI EUROPEAN ȘI A CONSILIULUI din 26 iunie 2013 cu privire la accesul la activitatea </w:t>
            </w:r>
            <w:r w:rsidR="00A51A7D" w:rsidRPr="009E686F">
              <w:rPr>
                <w:rFonts w:ascii="Times New Roman" w:hAnsi="Times New Roman" w:cs="Times New Roman"/>
                <w:b/>
                <w:lang w:val="ro-RO"/>
              </w:rPr>
              <w:t>instituțiilor de credit</w:t>
            </w:r>
            <w:r w:rsidRPr="009E686F">
              <w:rPr>
                <w:rFonts w:ascii="Times New Roman" w:hAnsi="Times New Roman" w:cs="Times New Roman"/>
                <w:b/>
                <w:lang w:val="ro-RO"/>
              </w:rPr>
              <w:t xml:space="preserve"> și supravegherea prudențială a </w:t>
            </w:r>
            <w:r w:rsidR="00A51A7D" w:rsidRPr="009E686F">
              <w:rPr>
                <w:rFonts w:ascii="Times New Roman" w:hAnsi="Times New Roman" w:cs="Times New Roman"/>
                <w:b/>
                <w:lang w:val="ro-RO"/>
              </w:rPr>
              <w:t>instituțiilor de credit</w:t>
            </w:r>
            <w:r w:rsidRPr="009E686F">
              <w:rPr>
                <w:rFonts w:ascii="Times New Roman" w:hAnsi="Times New Roman" w:cs="Times New Roman"/>
                <w:b/>
                <w:lang w:val="ro-RO"/>
              </w:rPr>
              <w:t xml:space="preserve">, </w:t>
            </w:r>
            <w:r w:rsidRPr="009E686F">
              <w:rPr>
                <w:rFonts w:ascii="Times New Roman" w:hAnsi="Times New Roman" w:cs="Times New Roman"/>
                <w:lang w:val="ro-RO"/>
              </w:rPr>
              <w:t xml:space="preserve">de modificare a Directivei 2002/87/CE și de abrogare a Directivelor 2006/48/CE și 2006/49/CE, astfel cum a fost modificată prin Directiva (UE) 2024/2994 a Parlamentului European și a Consiliului din 27 noiembrie 2024 de modificare a Directivelor 2009/65/CE, 2013/36/UE și (UE) 2019/2034 în ceea ce privește tratamentul riscului de concentrare rezultat din expuneri față de contrapărți centrale și al riscului de contraparte pentru tranzacțiile cu instrumente financiare derivate compensate la nivel central (JO L 176, 27.6.2013, pp. 338–436) </w:t>
            </w:r>
            <w:r w:rsidR="00A95CC9" w:rsidRPr="009E686F">
              <w:rPr>
                <w:rFonts w:ascii="Times New Roman" w:hAnsi="Times New Roman" w:cs="Times New Roman"/>
                <w:lang w:val="ro-RO"/>
              </w:rPr>
              <w:t xml:space="preserve">CELEX: </w:t>
            </w:r>
            <w:r w:rsidRPr="009E686F">
              <w:rPr>
                <w:rFonts w:ascii="Times New Roman" w:hAnsi="Times New Roman" w:cs="Times New Roman"/>
                <w:lang w:val="ro-RO"/>
              </w:rPr>
              <w:t>32013L0036</w:t>
            </w:r>
            <w:r w:rsidRPr="009E686F">
              <w:rPr>
                <w:rFonts w:ascii="Times New Roman" w:hAnsi="Times New Roman" w:cs="Times New Roman"/>
                <w:b/>
                <w:lang w:val="ro-RO"/>
              </w:rPr>
              <w:t xml:space="preserve"> </w:t>
            </w:r>
          </w:p>
          <w:p w14:paraId="38CCD7B8" w14:textId="36B21D85" w:rsidR="008A51EB" w:rsidRPr="009E686F" w:rsidRDefault="008A51EB" w:rsidP="00A51A7D">
            <w:pPr>
              <w:jc w:val="both"/>
              <w:rPr>
                <w:rFonts w:ascii="Times New Roman" w:hAnsi="Times New Roman" w:cs="Times New Roman"/>
                <w:b/>
                <w:lang w:val="ro-RO"/>
              </w:rPr>
            </w:pPr>
          </w:p>
        </w:tc>
      </w:tr>
      <w:tr w:rsidR="002E138D" w:rsidRPr="009E686F" w14:paraId="4BA4E6D2" w14:textId="77777777" w:rsidTr="002E138D">
        <w:tc>
          <w:tcPr>
            <w:tcW w:w="5000" w:type="pct"/>
            <w:gridSpan w:val="2"/>
            <w:shd w:val="clear" w:color="auto" w:fill="auto"/>
          </w:tcPr>
          <w:p w14:paraId="0433A09A" w14:textId="58F73C89" w:rsidR="002E138D" w:rsidRPr="009E686F" w:rsidRDefault="002E138D" w:rsidP="00DB2B4C">
            <w:pPr>
              <w:rPr>
                <w:rFonts w:ascii="Times New Roman" w:hAnsi="Times New Roman" w:cs="Times New Roman"/>
                <w:b/>
                <w:lang w:val="pt-BR"/>
              </w:rPr>
            </w:pPr>
            <w:r w:rsidRPr="009E686F">
              <w:rPr>
                <w:rFonts w:ascii="Times New Roman" w:hAnsi="Times New Roman" w:cs="Times New Roman"/>
                <w:b/>
                <w:lang w:val="pt-BR"/>
              </w:rPr>
              <w:t>2. Titlul proiectului de act normativ naţional</w:t>
            </w:r>
          </w:p>
        </w:tc>
      </w:tr>
      <w:tr w:rsidR="002E138D" w:rsidRPr="009E686F" w14:paraId="796EEBCD" w14:textId="77777777" w:rsidTr="002E138D">
        <w:tc>
          <w:tcPr>
            <w:tcW w:w="5000" w:type="pct"/>
            <w:gridSpan w:val="2"/>
            <w:shd w:val="clear" w:color="auto" w:fill="auto"/>
          </w:tcPr>
          <w:p w14:paraId="7057B154" w14:textId="77777777" w:rsidR="002E138D" w:rsidRPr="009E686F" w:rsidRDefault="002E138D" w:rsidP="00A51A7D">
            <w:pPr>
              <w:spacing w:after="0"/>
              <w:jc w:val="both"/>
              <w:rPr>
                <w:rFonts w:ascii="Times New Roman" w:hAnsi="Times New Roman" w:cs="Times New Roman"/>
                <w:b/>
                <w:u w:val="single"/>
                <w:lang w:val="ro-MD"/>
              </w:rPr>
            </w:pPr>
            <w:r w:rsidRPr="009E686F">
              <w:rPr>
                <w:rFonts w:ascii="Times New Roman" w:hAnsi="Times New Roman" w:cs="Times New Roman"/>
                <w:b/>
                <w:u w:val="single"/>
                <w:lang w:val="ro-MD"/>
              </w:rPr>
              <w:t>Proiectul de lege pentru modificarea Legii nr. 202/2017 privind activitatea băncilor</w:t>
            </w:r>
          </w:p>
          <w:p w14:paraId="0A1729A1" w14:textId="77777777" w:rsidR="002A7616" w:rsidRPr="009E686F" w:rsidRDefault="002A7616" w:rsidP="00A51A7D">
            <w:pPr>
              <w:spacing w:after="0"/>
              <w:jc w:val="both"/>
              <w:rPr>
                <w:rFonts w:ascii="Times New Roman" w:hAnsi="Times New Roman" w:cs="Times New Roman"/>
                <w:b/>
                <w:u w:val="single"/>
                <w:lang w:val="ro-MD"/>
              </w:rPr>
            </w:pPr>
          </w:p>
          <w:p w14:paraId="2C5CA692" w14:textId="052FE316" w:rsidR="002E138D" w:rsidRPr="009E686F" w:rsidRDefault="002E138D" w:rsidP="00A51A7D">
            <w:pPr>
              <w:spacing w:after="0"/>
              <w:jc w:val="both"/>
              <w:rPr>
                <w:rFonts w:ascii="Times New Roman" w:hAnsi="Times New Roman" w:cs="Times New Roman"/>
                <w:bCs/>
                <w:lang w:val="ro-MD"/>
              </w:rPr>
            </w:pPr>
            <w:r w:rsidRPr="009E686F">
              <w:rPr>
                <w:rFonts w:ascii="Times New Roman" w:hAnsi="Times New Roman" w:cs="Times New Roman"/>
                <w:bCs/>
                <w:lang w:val="ro-MD"/>
              </w:rPr>
              <w:t xml:space="preserve">Proiectul legii stabilește reguli aliniate cu cadrul UE care se referă la: regimul sucursalelor </w:t>
            </w:r>
            <w:r w:rsidR="00A51A7D" w:rsidRPr="009E686F">
              <w:rPr>
                <w:rFonts w:ascii="Times New Roman" w:hAnsi="Times New Roman" w:cs="Times New Roman"/>
                <w:bCs/>
                <w:lang w:val="ro-MD"/>
              </w:rPr>
              <w:t>instituțiilor de credit</w:t>
            </w:r>
            <w:r w:rsidRPr="009E686F">
              <w:rPr>
                <w:rFonts w:ascii="Times New Roman" w:hAnsi="Times New Roman" w:cs="Times New Roman"/>
                <w:bCs/>
                <w:lang w:val="ro-MD"/>
              </w:rPr>
              <w:t xml:space="preserve"> din statele membre UE și din state</w:t>
            </w:r>
            <w:r w:rsidR="00A51A7D" w:rsidRPr="009E686F">
              <w:rPr>
                <w:rFonts w:ascii="Times New Roman" w:hAnsi="Times New Roman" w:cs="Times New Roman"/>
                <w:bCs/>
                <w:lang w:val="ro-MD"/>
              </w:rPr>
              <w:t xml:space="preserve"> </w:t>
            </w:r>
            <w:r w:rsidRPr="009E686F">
              <w:rPr>
                <w:rFonts w:ascii="Times New Roman" w:hAnsi="Times New Roman" w:cs="Times New Roman"/>
                <w:bCs/>
                <w:lang w:val="ro-MD"/>
              </w:rPr>
              <w:t xml:space="preserve">din afara UE, regimul de supraveghere aplicabil societăților de investiții calificate ca fiind </w:t>
            </w:r>
            <w:r w:rsidR="00A51A7D" w:rsidRPr="009E686F">
              <w:rPr>
                <w:rFonts w:ascii="Times New Roman" w:hAnsi="Times New Roman" w:cs="Times New Roman"/>
                <w:bCs/>
                <w:lang w:val="ro-MD"/>
              </w:rPr>
              <w:t>instituții de credit</w:t>
            </w:r>
            <w:r w:rsidRPr="009E686F">
              <w:rPr>
                <w:rFonts w:ascii="Times New Roman" w:hAnsi="Times New Roman" w:cs="Times New Roman"/>
                <w:bCs/>
                <w:lang w:val="ro-MD"/>
              </w:rPr>
              <w:t xml:space="preserve"> (active mai mari de 30 miliarde),</w:t>
            </w:r>
            <w:r w:rsidR="00A51A7D" w:rsidRPr="009E686F">
              <w:rPr>
                <w:rFonts w:ascii="Times New Roman" w:hAnsi="Times New Roman" w:cs="Times New Roman"/>
                <w:bCs/>
                <w:lang w:val="ro-MD"/>
              </w:rPr>
              <w:t xml:space="preserve"> </w:t>
            </w:r>
            <w:r w:rsidRPr="009E686F">
              <w:rPr>
                <w:rFonts w:ascii="Times New Roman" w:hAnsi="Times New Roman" w:cs="Times New Roman"/>
                <w:bCs/>
                <w:lang w:val="ro-MD"/>
              </w:rPr>
              <w:t>regimul operațiunilor semnificative, precum fuziune sau dezmembrare ori transfer semnificativ de active, regimul deținerilor semnificative,</w:t>
            </w:r>
            <w:r w:rsidR="00A51A7D" w:rsidRPr="009E686F">
              <w:rPr>
                <w:rFonts w:ascii="Times New Roman" w:hAnsi="Times New Roman" w:cs="Times New Roman"/>
                <w:bCs/>
                <w:lang w:val="ro-MD"/>
              </w:rPr>
              <w:t xml:space="preserve"> </w:t>
            </w:r>
            <w:r w:rsidRPr="009E686F">
              <w:rPr>
                <w:rFonts w:ascii="Times New Roman" w:hAnsi="Times New Roman" w:cs="Times New Roman"/>
                <w:bCs/>
                <w:lang w:val="ro-MD"/>
              </w:rPr>
              <w:t xml:space="preserve">integrarea riscurilor ESG în cadrul de guvernanță, raportare și de publicare aplicabil </w:t>
            </w:r>
            <w:r w:rsidR="00A51A7D" w:rsidRPr="009E686F">
              <w:rPr>
                <w:rFonts w:ascii="Times New Roman" w:hAnsi="Times New Roman" w:cs="Times New Roman"/>
                <w:bCs/>
                <w:lang w:val="ro-MD"/>
              </w:rPr>
              <w:t>instituțiilor de credit</w:t>
            </w:r>
            <w:r w:rsidRPr="009E686F">
              <w:rPr>
                <w:rFonts w:ascii="Times New Roman" w:hAnsi="Times New Roman" w:cs="Times New Roman"/>
                <w:bCs/>
                <w:lang w:val="ro-MD"/>
              </w:rPr>
              <w:t>, a expunerilor la criptoactive în cadrul de raportare și cerințe privind reziliența operațională digitalp a sectorului, consolidarea cadrului de guvernanță, inclusiv a regulilor privind politicile de remunerare, regimul sancționator și privind măsurile de supraveghere aplicate de către Banca Națională a Moldovei, regimul aplicabil societăților financiare holding și a societăților financiare holding mixte, relațiile BNM cu autoritățile competente din statele membre UE și cu autoritățile UE.</w:t>
            </w:r>
          </w:p>
        </w:tc>
      </w:tr>
      <w:tr w:rsidR="008A51EB" w:rsidRPr="009E686F" w14:paraId="52176110" w14:textId="77777777" w:rsidTr="002E30B8">
        <w:tc>
          <w:tcPr>
            <w:tcW w:w="139" w:type="pct"/>
            <w:shd w:val="clear" w:color="auto" w:fill="auto"/>
          </w:tcPr>
          <w:p w14:paraId="2F592397" w14:textId="77777777" w:rsidR="008A51EB" w:rsidRPr="009E686F" w:rsidRDefault="008A51EB" w:rsidP="00DB2B4C">
            <w:pPr>
              <w:rPr>
                <w:rFonts w:ascii="Times New Roman" w:hAnsi="Times New Roman" w:cs="Times New Roman"/>
                <w:b/>
                <w:lang w:val="ro-RO"/>
              </w:rPr>
            </w:pPr>
            <w:r w:rsidRPr="009E686F">
              <w:rPr>
                <w:rFonts w:ascii="Times New Roman" w:hAnsi="Times New Roman" w:cs="Times New Roman"/>
                <w:b/>
                <w:lang w:val="ro-RO"/>
              </w:rPr>
              <w:t>3</w:t>
            </w:r>
          </w:p>
        </w:tc>
        <w:tc>
          <w:tcPr>
            <w:tcW w:w="4861" w:type="pct"/>
            <w:shd w:val="clear" w:color="auto" w:fill="auto"/>
          </w:tcPr>
          <w:p w14:paraId="09B7251C" w14:textId="2223DD7F" w:rsidR="008A51EB" w:rsidRPr="009E686F" w:rsidRDefault="00AC07A7" w:rsidP="00DB2B4C">
            <w:pPr>
              <w:rPr>
                <w:rFonts w:ascii="Times New Roman" w:hAnsi="Times New Roman" w:cs="Times New Roman"/>
                <w:b/>
                <w:lang w:val="ro-RO"/>
              </w:rPr>
            </w:pPr>
            <w:r w:rsidRPr="009E686F">
              <w:rPr>
                <w:rFonts w:ascii="Times New Roman" w:hAnsi="Times New Roman" w:cs="Times New Roman"/>
                <w:b/>
                <w:lang w:val="ro-RO"/>
              </w:rPr>
              <w:t>Par</w:t>
            </w:r>
            <w:r w:rsidRPr="009E686F">
              <w:rPr>
                <w:rFonts w:ascii="Times New Roman" w:hAnsi="Times New Roman" w:cs="Times New Roman"/>
                <w:b/>
                <w:lang w:val="ro-MD"/>
              </w:rPr>
              <w:t>țial c</w:t>
            </w:r>
            <w:r w:rsidR="008A51EB" w:rsidRPr="009E686F">
              <w:rPr>
                <w:rFonts w:ascii="Times New Roman" w:hAnsi="Times New Roman" w:cs="Times New Roman"/>
                <w:b/>
                <w:lang w:val="ro-RO"/>
              </w:rPr>
              <w:t>ompatibil</w:t>
            </w:r>
          </w:p>
        </w:tc>
      </w:tr>
      <w:tr w:rsidR="008A51EB" w:rsidRPr="009E686F" w14:paraId="29952907" w14:textId="77777777" w:rsidTr="002E30B8">
        <w:tc>
          <w:tcPr>
            <w:tcW w:w="139" w:type="pct"/>
            <w:shd w:val="clear" w:color="auto" w:fill="auto"/>
          </w:tcPr>
          <w:p w14:paraId="65F37E00" w14:textId="77777777" w:rsidR="008A51EB" w:rsidRPr="009E686F" w:rsidRDefault="008A51EB" w:rsidP="00DB2B4C">
            <w:pPr>
              <w:rPr>
                <w:rFonts w:ascii="Times New Roman" w:hAnsi="Times New Roman" w:cs="Times New Roman"/>
                <w:b/>
                <w:lang w:val="ro-RO"/>
              </w:rPr>
            </w:pPr>
            <w:r w:rsidRPr="009E686F">
              <w:rPr>
                <w:rFonts w:ascii="Times New Roman" w:hAnsi="Times New Roman" w:cs="Times New Roman"/>
                <w:b/>
                <w:lang w:val="ro-RO"/>
              </w:rPr>
              <w:t>4</w:t>
            </w:r>
          </w:p>
        </w:tc>
        <w:tc>
          <w:tcPr>
            <w:tcW w:w="4861" w:type="pct"/>
            <w:shd w:val="clear" w:color="auto" w:fill="auto"/>
          </w:tcPr>
          <w:p w14:paraId="4935A203" w14:textId="77777777" w:rsidR="008A51EB" w:rsidRPr="009E686F" w:rsidRDefault="008A51EB" w:rsidP="00DB2B4C">
            <w:pPr>
              <w:rPr>
                <w:rFonts w:ascii="Times New Roman" w:hAnsi="Times New Roman" w:cs="Times New Roman"/>
                <w:b/>
                <w:lang w:val="ro-RO"/>
              </w:rPr>
            </w:pPr>
            <w:r w:rsidRPr="009E686F">
              <w:rPr>
                <w:rFonts w:ascii="Times New Roman" w:hAnsi="Times New Roman" w:cs="Times New Roman"/>
                <w:b/>
                <w:lang w:val="ro-RO"/>
              </w:rPr>
              <w:t>Banca Națională a Moldovei</w:t>
            </w:r>
          </w:p>
        </w:tc>
      </w:tr>
      <w:tr w:rsidR="00A95CC9" w:rsidRPr="009E686F" w14:paraId="559420B4" w14:textId="77777777" w:rsidTr="002E30B8">
        <w:tc>
          <w:tcPr>
            <w:tcW w:w="139" w:type="pct"/>
            <w:shd w:val="clear" w:color="auto" w:fill="auto"/>
          </w:tcPr>
          <w:p w14:paraId="12CD30B0" w14:textId="6AB3F777" w:rsidR="00A95CC9" w:rsidRPr="009E686F" w:rsidRDefault="00A95CC9" w:rsidP="00DB2B4C">
            <w:pPr>
              <w:rPr>
                <w:rFonts w:ascii="Times New Roman" w:hAnsi="Times New Roman" w:cs="Times New Roman"/>
                <w:b/>
                <w:lang w:val="ro-RO"/>
              </w:rPr>
            </w:pPr>
            <w:r w:rsidRPr="009E686F">
              <w:rPr>
                <w:rFonts w:ascii="Times New Roman" w:hAnsi="Times New Roman" w:cs="Times New Roman"/>
                <w:b/>
                <w:lang w:val="ro-RO"/>
              </w:rPr>
              <w:t>5</w:t>
            </w:r>
          </w:p>
        </w:tc>
        <w:tc>
          <w:tcPr>
            <w:tcW w:w="4861" w:type="pct"/>
            <w:shd w:val="clear" w:color="auto" w:fill="auto"/>
          </w:tcPr>
          <w:p w14:paraId="64D1897B" w14:textId="10C98797" w:rsidR="00A95CC9" w:rsidRPr="009E686F" w:rsidRDefault="00A95CC9" w:rsidP="00DB2B4C">
            <w:pPr>
              <w:rPr>
                <w:rFonts w:ascii="Times New Roman" w:hAnsi="Times New Roman" w:cs="Times New Roman"/>
                <w:b/>
                <w:lang w:val="ro-RO"/>
              </w:rPr>
            </w:pPr>
            <w:r w:rsidRPr="009E686F">
              <w:rPr>
                <w:rFonts w:ascii="Times New Roman" w:hAnsi="Times New Roman" w:cs="Times New Roman"/>
                <w:b/>
                <w:lang w:val="ro-RO"/>
              </w:rPr>
              <w:t>30.04.2026/</w:t>
            </w:r>
            <w:r w:rsidR="008E61BA" w:rsidRPr="009E686F">
              <w:rPr>
                <w:rFonts w:ascii="Times New Roman" w:hAnsi="Times New Roman" w:cs="Times New Roman"/>
                <w:b/>
                <w:lang w:val="ro-RO"/>
              </w:rPr>
              <w:t>18.09.2026</w:t>
            </w:r>
          </w:p>
        </w:tc>
      </w:tr>
    </w:tbl>
    <w:p w14:paraId="7B2BC945" w14:textId="6777E082" w:rsidR="005D6078" w:rsidRPr="009E686F" w:rsidRDefault="005D6078" w:rsidP="001E547C">
      <w:pPr>
        <w:jc w:val="both"/>
        <w:rPr>
          <w:rFonts w:ascii="Times New Roman" w:hAnsi="Times New Roman" w:cs="Times New Roman"/>
        </w:rPr>
      </w:pPr>
    </w:p>
    <w:tbl>
      <w:tblPr>
        <w:tblW w:w="5177"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99"/>
        <w:gridCol w:w="5530"/>
        <w:gridCol w:w="1417"/>
        <w:gridCol w:w="2430"/>
      </w:tblGrid>
      <w:tr w:rsidR="00B30AFC" w:rsidRPr="009E686F" w14:paraId="5A5FF485" w14:textId="77777777" w:rsidTr="00960C23">
        <w:tc>
          <w:tcPr>
            <w:tcW w:w="1890" w:type="pct"/>
            <w:tcBorders>
              <w:top w:val="single" w:sz="4" w:space="0" w:color="auto"/>
              <w:left w:val="single" w:sz="4" w:space="0" w:color="auto"/>
              <w:bottom w:val="single" w:sz="4" w:space="0" w:color="auto"/>
              <w:right w:val="single" w:sz="4" w:space="0" w:color="auto"/>
            </w:tcBorders>
          </w:tcPr>
          <w:p w14:paraId="367C5BB1" w14:textId="71A286BA" w:rsidR="00BA6C5F" w:rsidRPr="009E686F" w:rsidRDefault="00BA6C5F" w:rsidP="00ED2C1C">
            <w:pPr>
              <w:spacing w:after="0"/>
              <w:jc w:val="center"/>
              <w:rPr>
                <w:rFonts w:ascii="Times New Roman" w:hAnsi="Times New Roman" w:cs="Times New Roman"/>
              </w:rPr>
            </w:pPr>
            <w:r w:rsidRPr="009E686F">
              <w:rPr>
                <w:rFonts w:ascii="Times New Roman" w:hAnsi="Times New Roman" w:cs="Times New Roman"/>
                <w:b/>
                <w:lang w:val="ro-RO"/>
              </w:rPr>
              <w:lastRenderedPageBreak/>
              <w:t>Actul Uniunii Europene</w:t>
            </w:r>
          </w:p>
        </w:tc>
        <w:tc>
          <w:tcPr>
            <w:tcW w:w="1834" w:type="pct"/>
            <w:tcBorders>
              <w:top w:val="single" w:sz="4" w:space="0" w:color="auto"/>
              <w:left w:val="single" w:sz="4" w:space="0" w:color="auto"/>
              <w:bottom w:val="single" w:sz="4" w:space="0" w:color="auto"/>
              <w:right w:val="single" w:sz="4" w:space="0" w:color="auto"/>
            </w:tcBorders>
          </w:tcPr>
          <w:p w14:paraId="4BA39310" w14:textId="1EA17405" w:rsidR="00BA6C5F" w:rsidRPr="009E686F" w:rsidRDefault="00BA6C5F" w:rsidP="00ED2C1C">
            <w:pPr>
              <w:spacing w:after="0"/>
              <w:jc w:val="center"/>
              <w:rPr>
                <w:rFonts w:ascii="Times New Roman" w:hAnsi="Times New Roman" w:cs="Times New Roman"/>
              </w:rPr>
            </w:pPr>
            <w:r w:rsidRPr="009E686F">
              <w:rPr>
                <w:rFonts w:ascii="Times New Roman" w:hAnsi="Times New Roman" w:cs="Times New Roman"/>
                <w:b/>
                <w:lang w:val="ro-RO"/>
              </w:rPr>
              <w:t>Actul normativ național</w:t>
            </w:r>
          </w:p>
        </w:tc>
        <w:tc>
          <w:tcPr>
            <w:tcW w:w="470" w:type="pct"/>
            <w:tcBorders>
              <w:top w:val="single" w:sz="4" w:space="0" w:color="auto"/>
              <w:left w:val="single" w:sz="4" w:space="0" w:color="auto"/>
              <w:bottom w:val="single" w:sz="4" w:space="0" w:color="auto"/>
              <w:right w:val="single" w:sz="4" w:space="0" w:color="auto"/>
            </w:tcBorders>
          </w:tcPr>
          <w:p w14:paraId="5D4D9C03" w14:textId="5F7958F8" w:rsidR="00BA6C5F" w:rsidRPr="009E686F" w:rsidRDefault="00BA6C5F" w:rsidP="008A51EB">
            <w:pPr>
              <w:jc w:val="center"/>
              <w:rPr>
                <w:rFonts w:ascii="Times New Roman" w:hAnsi="Times New Roman" w:cs="Times New Roman"/>
              </w:rPr>
            </w:pPr>
            <w:r w:rsidRPr="009E686F">
              <w:rPr>
                <w:rFonts w:ascii="Times New Roman" w:hAnsi="Times New Roman" w:cs="Times New Roman"/>
                <w:b/>
                <w:lang w:val="ro-RO"/>
              </w:rPr>
              <w:t>Gradul de compatibilitate</w:t>
            </w:r>
          </w:p>
        </w:tc>
        <w:tc>
          <w:tcPr>
            <w:tcW w:w="806" w:type="pct"/>
            <w:tcBorders>
              <w:top w:val="single" w:sz="4" w:space="0" w:color="auto"/>
              <w:left w:val="single" w:sz="4" w:space="0" w:color="auto"/>
              <w:bottom w:val="single" w:sz="4" w:space="0" w:color="auto"/>
              <w:right w:val="single" w:sz="4" w:space="0" w:color="auto"/>
            </w:tcBorders>
          </w:tcPr>
          <w:p w14:paraId="0566F8B5" w14:textId="6D454375" w:rsidR="00BA6C5F" w:rsidRPr="009E686F" w:rsidRDefault="00BA6C5F" w:rsidP="00515783">
            <w:pPr>
              <w:spacing w:after="0"/>
              <w:jc w:val="center"/>
              <w:rPr>
                <w:rFonts w:ascii="Times New Roman" w:hAnsi="Times New Roman" w:cs="Times New Roman"/>
              </w:rPr>
            </w:pPr>
            <w:r w:rsidRPr="009E686F">
              <w:rPr>
                <w:rFonts w:ascii="Times New Roman" w:hAnsi="Times New Roman" w:cs="Times New Roman"/>
                <w:b/>
                <w:lang w:val="ro-RO"/>
              </w:rPr>
              <w:t>Observații</w:t>
            </w:r>
          </w:p>
        </w:tc>
      </w:tr>
      <w:tr w:rsidR="00B30AFC" w:rsidRPr="009E686F" w14:paraId="7B1673D4" w14:textId="77777777" w:rsidTr="00960C23">
        <w:tc>
          <w:tcPr>
            <w:tcW w:w="1890" w:type="pct"/>
            <w:tcBorders>
              <w:top w:val="single" w:sz="4" w:space="0" w:color="auto"/>
              <w:left w:val="single" w:sz="4" w:space="0" w:color="auto"/>
              <w:bottom w:val="single" w:sz="4" w:space="0" w:color="auto"/>
              <w:right w:val="single" w:sz="4" w:space="0" w:color="auto"/>
            </w:tcBorders>
          </w:tcPr>
          <w:p w14:paraId="03AB72B4" w14:textId="6A234B89" w:rsidR="00BA6C5F" w:rsidRPr="009E686F" w:rsidRDefault="008927D0" w:rsidP="00ED2C1C">
            <w:pPr>
              <w:spacing w:after="0"/>
              <w:jc w:val="center"/>
              <w:rPr>
                <w:rFonts w:ascii="Times New Roman" w:hAnsi="Times New Roman" w:cs="Times New Roman"/>
                <w:b/>
                <w:lang w:val="ro-RO"/>
              </w:rPr>
            </w:pPr>
            <w:r w:rsidRPr="009E686F">
              <w:rPr>
                <w:rFonts w:ascii="Times New Roman" w:hAnsi="Times New Roman" w:cs="Times New Roman"/>
                <w:b/>
                <w:lang w:val="ro-RO"/>
              </w:rPr>
              <w:t>6</w:t>
            </w:r>
          </w:p>
        </w:tc>
        <w:tc>
          <w:tcPr>
            <w:tcW w:w="1834" w:type="pct"/>
            <w:tcBorders>
              <w:top w:val="single" w:sz="4" w:space="0" w:color="auto"/>
              <w:left w:val="single" w:sz="4" w:space="0" w:color="auto"/>
              <w:bottom w:val="single" w:sz="4" w:space="0" w:color="auto"/>
              <w:right w:val="single" w:sz="4" w:space="0" w:color="auto"/>
            </w:tcBorders>
          </w:tcPr>
          <w:p w14:paraId="5CC3ECE4" w14:textId="6715A6E7" w:rsidR="00BA6C5F" w:rsidRPr="009E686F" w:rsidRDefault="008927D0" w:rsidP="00ED2C1C">
            <w:pPr>
              <w:spacing w:after="0"/>
              <w:jc w:val="center"/>
              <w:rPr>
                <w:rFonts w:ascii="Times New Roman" w:hAnsi="Times New Roman" w:cs="Times New Roman"/>
                <w:b/>
                <w:lang w:val="ro-RO"/>
              </w:rPr>
            </w:pPr>
            <w:r w:rsidRPr="009E686F">
              <w:rPr>
                <w:rFonts w:ascii="Times New Roman" w:hAnsi="Times New Roman" w:cs="Times New Roman"/>
                <w:b/>
                <w:lang w:val="ro-RO"/>
              </w:rPr>
              <w:t>7</w:t>
            </w:r>
            <w:r w:rsidR="0017191D" w:rsidRPr="009E686F">
              <w:rPr>
                <w:rStyle w:val="afc"/>
                <w:rFonts w:ascii="Times New Roman" w:hAnsi="Times New Roman" w:cs="Times New Roman"/>
                <w:b/>
                <w:lang w:val="ro-RO"/>
              </w:rPr>
              <w:footnoteReference w:id="2"/>
            </w:r>
          </w:p>
        </w:tc>
        <w:tc>
          <w:tcPr>
            <w:tcW w:w="470" w:type="pct"/>
            <w:tcBorders>
              <w:top w:val="single" w:sz="4" w:space="0" w:color="auto"/>
              <w:left w:val="single" w:sz="4" w:space="0" w:color="auto"/>
              <w:bottom w:val="single" w:sz="4" w:space="0" w:color="auto"/>
              <w:right w:val="single" w:sz="4" w:space="0" w:color="auto"/>
            </w:tcBorders>
          </w:tcPr>
          <w:p w14:paraId="6363CFF3" w14:textId="44B0C77B" w:rsidR="00BA6C5F" w:rsidRPr="009E686F" w:rsidRDefault="008927D0" w:rsidP="008A51EB">
            <w:pPr>
              <w:jc w:val="center"/>
              <w:rPr>
                <w:rFonts w:ascii="Times New Roman" w:hAnsi="Times New Roman" w:cs="Times New Roman"/>
                <w:b/>
                <w:lang w:val="ro-RO"/>
              </w:rPr>
            </w:pPr>
            <w:r w:rsidRPr="009E686F">
              <w:rPr>
                <w:rFonts w:ascii="Times New Roman" w:hAnsi="Times New Roman" w:cs="Times New Roman"/>
                <w:b/>
                <w:lang w:val="ro-RO"/>
              </w:rPr>
              <w:t>8</w:t>
            </w:r>
          </w:p>
        </w:tc>
        <w:tc>
          <w:tcPr>
            <w:tcW w:w="806" w:type="pct"/>
            <w:tcBorders>
              <w:top w:val="single" w:sz="4" w:space="0" w:color="auto"/>
              <w:left w:val="single" w:sz="4" w:space="0" w:color="auto"/>
              <w:bottom w:val="single" w:sz="4" w:space="0" w:color="auto"/>
              <w:right w:val="single" w:sz="4" w:space="0" w:color="auto"/>
            </w:tcBorders>
          </w:tcPr>
          <w:p w14:paraId="072D976A" w14:textId="4CE1922C" w:rsidR="00BA6C5F" w:rsidRPr="009E686F" w:rsidRDefault="008927D0" w:rsidP="00515783">
            <w:pPr>
              <w:spacing w:after="0"/>
              <w:jc w:val="center"/>
              <w:rPr>
                <w:rFonts w:ascii="Times New Roman" w:hAnsi="Times New Roman" w:cs="Times New Roman"/>
                <w:b/>
                <w:lang w:val="ro-RO"/>
              </w:rPr>
            </w:pPr>
            <w:r w:rsidRPr="009E686F">
              <w:rPr>
                <w:rFonts w:ascii="Times New Roman" w:hAnsi="Times New Roman" w:cs="Times New Roman"/>
                <w:b/>
                <w:lang w:val="ro-RO"/>
              </w:rPr>
              <w:t>9</w:t>
            </w:r>
          </w:p>
        </w:tc>
      </w:tr>
      <w:tr w:rsidR="00B30AFC" w:rsidRPr="009E686F" w14:paraId="107A1D11" w14:textId="77777777" w:rsidTr="00960C23">
        <w:tc>
          <w:tcPr>
            <w:tcW w:w="1890" w:type="pct"/>
            <w:tcBorders>
              <w:top w:val="single" w:sz="4" w:space="0" w:color="auto"/>
              <w:left w:val="single" w:sz="4" w:space="0" w:color="auto"/>
              <w:bottom w:val="single" w:sz="4" w:space="0" w:color="auto"/>
              <w:right w:val="single" w:sz="4" w:space="0" w:color="auto"/>
            </w:tcBorders>
          </w:tcPr>
          <w:p w14:paraId="6E420F31" w14:textId="1CAACC84" w:rsidR="008B459B" w:rsidRPr="009E686F" w:rsidRDefault="00BA6C5F" w:rsidP="00ED2C1C">
            <w:pPr>
              <w:spacing w:after="0"/>
              <w:jc w:val="both"/>
              <w:rPr>
                <w:rFonts w:ascii="Times New Roman" w:hAnsi="Times New Roman" w:cs="Times New Roman"/>
                <w:i/>
                <w:iCs/>
                <w:lang w:val="it-CH"/>
              </w:rPr>
            </w:pPr>
            <w:r w:rsidRPr="009E686F">
              <w:rPr>
                <w:rFonts w:ascii="Times New Roman" w:hAnsi="Times New Roman" w:cs="Times New Roman"/>
                <w:i/>
                <w:iCs/>
                <w:lang w:val="it-CH"/>
              </w:rPr>
              <w:t>Articolul 1</w:t>
            </w:r>
          </w:p>
          <w:p w14:paraId="49D7F8D7" w14:textId="48688EFB" w:rsidR="00BA6C5F" w:rsidRPr="009E686F" w:rsidRDefault="00BA6C5F" w:rsidP="00ED2C1C">
            <w:pPr>
              <w:spacing w:after="0"/>
              <w:jc w:val="both"/>
              <w:rPr>
                <w:rFonts w:ascii="Times New Roman" w:hAnsi="Times New Roman" w:cs="Times New Roman"/>
                <w:lang w:val="it-CH"/>
              </w:rPr>
            </w:pPr>
            <w:r w:rsidRPr="009E686F">
              <w:rPr>
                <w:rFonts w:ascii="Times New Roman" w:hAnsi="Times New Roman" w:cs="Times New Roman"/>
                <w:lang w:val="it-CH"/>
              </w:rPr>
              <w:t>Obiect</w:t>
            </w:r>
          </w:p>
        </w:tc>
        <w:tc>
          <w:tcPr>
            <w:tcW w:w="1834" w:type="pct"/>
            <w:tcBorders>
              <w:top w:val="single" w:sz="4" w:space="0" w:color="auto"/>
              <w:left w:val="single" w:sz="4" w:space="0" w:color="auto"/>
              <w:bottom w:val="single" w:sz="4" w:space="0" w:color="auto"/>
              <w:right w:val="single" w:sz="4" w:space="0" w:color="auto"/>
            </w:tcBorders>
          </w:tcPr>
          <w:p w14:paraId="22078056" w14:textId="6FDE254B" w:rsidR="00BA6C5F" w:rsidRPr="009E686F" w:rsidRDefault="00BA6C5F" w:rsidP="00ED2C1C">
            <w:pPr>
              <w:spacing w:after="0"/>
              <w:rPr>
                <w:rFonts w:ascii="Times New Roman" w:hAnsi="Times New Roman" w:cs="Times New Roman"/>
                <w:bCs/>
                <w:lang w:val="ro-MD"/>
              </w:rPr>
            </w:pPr>
            <w:r w:rsidRPr="009E686F">
              <w:rPr>
                <w:rFonts w:ascii="Times New Roman" w:hAnsi="Times New Roman" w:cs="Times New Roman"/>
                <w:b/>
                <w:lang w:val="ro-MD"/>
              </w:rPr>
              <w:t>Articolul 1.</w:t>
            </w:r>
            <w:r w:rsidRPr="009E686F">
              <w:rPr>
                <w:rFonts w:ascii="Times New Roman" w:hAnsi="Times New Roman" w:cs="Times New Roman"/>
                <w:bCs/>
                <w:lang w:val="ro-MD"/>
              </w:rPr>
              <w:t xml:space="preserve"> Obiectul</w:t>
            </w:r>
          </w:p>
        </w:tc>
        <w:tc>
          <w:tcPr>
            <w:tcW w:w="470" w:type="pct"/>
            <w:tcBorders>
              <w:top w:val="single" w:sz="4" w:space="0" w:color="auto"/>
              <w:left w:val="single" w:sz="4" w:space="0" w:color="auto"/>
              <w:bottom w:val="single" w:sz="4" w:space="0" w:color="auto"/>
              <w:right w:val="single" w:sz="4" w:space="0" w:color="auto"/>
            </w:tcBorders>
          </w:tcPr>
          <w:p w14:paraId="14D31DC4" w14:textId="77777777" w:rsidR="00BA6C5F" w:rsidRPr="009E686F" w:rsidRDefault="00BA6C5F" w:rsidP="008A51EB">
            <w:pPr>
              <w:jc w:val="center"/>
              <w:rPr>
                <w:rFonts w:ascii="Times New Roman" w:hAnsi="Times New Roman" w:cs="Times New Roman"/>
                <w:b/>
                <w:lang w:val="ro-RO"/>
              </w:rPr>
            </w:pPr>
          </w:p>
        </w:tc>
        <w:tc>
          <w:tcPr>
            <w:tcW w:w="806" w:type="pct"/>
            <w:tcBorders>
              <w:top w:val="single" w:sz="4" w:space="0" w:color="auto"/>
              <w:left w:val="single" w:sz="4" w:space="0" w:color="auto"/>
              <w:bottom w:val="single" w:sz="4" w:space="0" w:color="auto"/>
              <w:right w:val="single" w:sz="4" w:space="0" w:color="auto"/>
            </w:tcBorders>
          </w:tcPr>
          <w:p w14:paraId="0229965D" w14:textId="77777777" w:rsidR="00BA6C5F" w:rsidRPr="009E686F" w:rsidRDefault="00BA6C5F" w:rsidP="00515783">
            <w:pPr>
              <w:spacing w:after="0"/>
              <w:jc w:val="center"/>
              <w:rPr>
                <w:rFonts w:ascii="Times New Roman" w:hAnsi="Times New Roman" w:cs="Times New Roman"/>
                <w:b/>
                <w:lang w:val="ro-RO"/>
              </w:rPr>
            </w:pPr>
          </w:p>
        </w:tc>
      </w:tr>
      <w:tr w:rsidR="00B30AFC" w:rsidRPr="009E686F" w14:paraId="1F657BE1" w14:textId="230C9DA5" w:rsidTr="00960C23">
        <w:tc>
          <w:tcPr>
            <w:tcW w:w="1890" w:type="pct"/>
            <w:tcBorders>
              <w:top w:val="single" w:sz="4" w:space="0" w:color="auto"/>
              <w:left w:val="single" w:sz="4" w:space="0" w:color="auto"/>
              <w:bottom w:val="single" w:sz="4" w:space="0" w:color="auto"/>
              <w:right w:val="single" w:sz="4" w:space="0" w:color="auto"/>
            </w:tcBorders>
          </w:tcPr>
          <w:p w14:paraId="78396C67" w14:textId="77777777" w:rsidR="00BA6C5F" w:rsidRPr="009E686F" w:rsidRDefault="00BA6C5F" w:rsidP="00ED2C1C">
            <w:pPr>
              <w:spacing w:after="0"/>
              <w:jc w:val="both"/>
              <w:rPr>
                <w:rFonts w:ascii="Times New Roman" w:hAnsi="Times New Roman" w:cs="Times New Roman"/>
                <w:lang w:val="it-CH"/>
              </w:rPr>
            </w:pPr>
            <w:r w:rsidRPr="009E686F">
              <w:rPr>
                <w:rFonts w:ascii="Times New Roman" w:hAnsi="Times New Roman" w:cs="Times New Roman"/>
                <w:lang w:val="it-CH"/>
              </w:rPr>
              <w:t>Prezenta directivă stabilește norme privind:</w:t>
            </w:r>
          </w:p>
        </w:tc>
        <w:tc>
          <w:tcPr>
            <w:tcW w:w="1834" w:type="pct"/>
            <w:tcBorders>
              <w:top w:val="single" w:sz="4" w:space="0" w:color="auto"/>
              <w:left w:val="single" w:sz="4" w:space="0" w:color="auto"/>
              <w:bottom w:val="single" w:sz="4" w:space="0" w:color="auto"/>
              <w:right w:val="single" w:sz="4" w:space="0" w:color="auto"/>
            </w:tcBorders>
          </w:tcPr>
          <w:p w14:paraId="418D5A0E" w14:textId="77777777" w:rsidR="00BA6C5F" w:rsidRPr="009E686F" w:rsidRDefault="00BA6C5F" w:rsidP="00ED2C1C">
            <w:pPr>
              <w:spacing w:after="0"/>
              <w:jc w:val="both"/>
              <w:rPr>
                <w:rFonts w:ascii="Times New Roman" w:hAnsi="Times New Roman" w:cs="Times New Roman"/>
                <w:b/>
              </w:rPr>
            </w:pPr>
            <w:r w:rsidRPr="009E686F">
              <w:rPr>
                <w:rFonts w:ascii="Times New Roman" w:hAnsi="Times New Roman" w:cs="Times New Roman"/>
              </w:rPr>
              <w:t xml:space="preserve">Prezenta lege reglementează: </w:t>
            </w:r>
          </w:p>
        </w:tc>
        <w:tc>
          <w:tcPr>
            <w:tcW w:w="470" w:type="pct"/>
            <w:tcBorders>
              <w:top w:val="single" w:sz="4" w:space="0" w:color="auto"/>
              <w:left w:val="single" w:sz="4" w:space="0" w:color="auto"/>
              <w:bottom w:val="single" w:sz="4" w:space="0" w:color="auto"/>
              <w:right w:val="single" w:sz="4" w:space="0" w:color="auto"/>
            </w:tcBorders>
          </w:tcPr>
          <w:p w14:paraId="1D7EC205" w14:textId="57175390" w:rsidR="00BA6C5F" w:rsidRPr="009E686F" w:rsidRDefault="00021D39" w:rsidP="00A51D47">
            <w:pPr>
              <w:jc w:val="both"/>
              <w:rPr>
                <w:rFonts w:ascii="Times New Roman" w:hAnsi="Times New Roman" w:cs="Times New Roman"/>
              </w:rPr>
            </w:pPr>
            <w:r w:rsidRPr="009E686F">
              <w:rPr>
                <w:rFonts w:ascii="Times New Roman" w:hAnsi="Times New Roman" w:cs="Times New Roman"/>
              </w:rPr>
              <w:t>C</w:t>
            </w:r>
            <w:r w:rsidR="00BA6C5F" w:rsidRPr="009E686F">
              <w:rPr>
                <w:rFonts w:ascii="Times New Roman" w:hAnsi="Times New Roman" w:cs="Times New Roman"/>
              </w:rPr>
              <w:t>ompatibil</w:t>
            </w:r>
          </w:p>
        </w:tc>
        <w:tc>
          <w:tcPr>
            <w:tcW w:w="806" w:type="pct"/>
            <w:tcBorders>
              <w:top w:val="single" w:sz="4" w:space="0" w:color="auto"/>
              <w:left w:val="single" w:sz="4" w:space="0" w:color="auto"/>
              <w:bottom w:val="single" w:sz="4" w:space="0" w:color="auto"/>
              <w:right w:val="single" w:sz="4" w:space="0" w:color="auto"/>
            </w:tcBorders>
          </w:tcPr>
          <w:p w14:paraId="66C49A6F" w14:textId="22FEA14D" w:rsidR="00BA6C5F" w:rsidRPr="009E686F" w:rsidRDefault="00BA6C5F" w:rsidP="00515783">
            <w:pPr>
              <w:spacing w:after="0"/>
              <w:jc w:val="both"/>
              <w:rPr>
                <w:rFonts w:ascii="Times New Roman" w:hAnsi="Times New Roman" w:cs="Times New Roman"/>
              </w:rPr>
            </w:pPr>
          </w:p>
        </w:tc>
      </w:tr>
      <w:tr w:rsidR="00B30AFC" w:rsidRPr="009E686F" w14:paraId="55E4469D" w14:textId="026DE21A" w:rsidTr="00960C23">
        <w:tc>
          <w:tcPr>
            <w:tcW w:w="1890" w:type="pct"/>
            <w:tcBorders>
              <w:top w:val="single" w:sz="4" w:space="0" w:color="auto"/>
              <w:left w:val="single" w:sz="4" w:space="0" w:color="auto"/>
              <w:bottom w:val="single" w:sz="4" w:space="0" w:color="auto"/>
              <w:right w:val="single" w:sz="4" w:space="0" w:color="auto"/>
            </w:tcBorders>
          </w:tcPr>
          <w:p w14:paraId="3678BFD8" w14:textId="33DE6B2B" w:rsidR="00BA6C5F" w:rsidRPr="009E686F" w:rsidRDefault="00BA6C5F" w:rsidP="00ED2C1C">
            <w:pPr>
              <w:spacing w:after="0"/>
              <w:jc w:val="both"/>
              <w:rPr>
                <w:rFonts w:ascii="Times New Roman" w:hAnsi="Times New Roman" w:cs="Times New Roman"/>
                <w:lang w:val="it-CH"/>
              </w:rPr>
            </w:pPr>
            <w:r w:rsidRPr="009E686F">
              <w:rPr>
                <w:rFonts w:ascii="Times New Roman" w:hAnsi="Times New Roman" w:cs="Times New Roman"/>
                <w:color w:val="000000"/>
                <w:lang w:val="ro-RO"/>
              </w:rPr>
              <w:t xml:space="preserve">(a) accesul la activitatea </w:t>
            </w:r>
            <w:r w:rsidR="00A51A7D" w:rsidRPr="009E686F">
              <w:rPr>
                <w:rFonts w:ascii="Times New Roman" w:hAnsi="Times New Roman" w:cs="Times New Roman"/>
                <w:color w:val="000000"/>
                <w:lang w:val="ro-RO"/>
              </w:rPr>
              <w:t>instituțiilor de credit</w:t>
            </w:r>
          </w:p>
        </w:tc>
        <w:tc>
          <w:tcPr>
            <w:tcW w:w="1834" w:type="pct"/>
            <w:tcBorders>
              <w:top w:val="single" w:sz="4" w:space="0" w:color="auto"/>
              <w:left w:val="single" w:sz="4" w:space="0" w:color="auto"/>
              <w:bottom w:val="single" w:sz="4" w:space="0" w:color="auto"/>
              <w:right w:val="single" w:sz="4" w:space="0" w:color="auto"/>
            </w:tcBorders>
          </w:tcPr>
          <w:p w14:paraId="18B01984" w14:textId="12F7B620" w:rsidR="00BA6C5F" w:rsidRPr="009E686F" w:rsidRDefault="00BA6C5F" w:rsidP="00ED2C1C">
            <w:pPr>
              <w:spacing w:after="0"/>
              <w:jc w:val="both"/>
              <w:rPr>
                <w:rFonts w:ascii="Times New Roman" w:hAnsi="Times New Roman" w:cs="Times New Roman"/>
                <w:b/>
                <w:lang w:val="pt-BR"/>
              </w:rPr>
            </w:pPr>
            <w:r w:rsidRPr="009E686F">
              <w:rPr>
                <w:rFonts w:ascii="Times New Roman" w:hAnsi="Times New Roman" w:cs="Times New Roman"/>
                <w:lang w:val="pt-BR"/>
              </w:rPr>
              <w:t xml:space="preserve">a) condiţiile de acces la activitatea </w:t>
            </w:r>
            <w:r w:rsidR="00A51A7D" w:rsidRPr="009E686F">
              <w:rPr>
                <w:rFonts w:ascii="Times New Roman" w:hAnsi="Times New Roman" w:cs="Times New Roman"/>
                <w:i/>
                <w:iCs/>
                <w:lang w:val="pt-BR"/>
              </w:rPr>
              <w:t>instituțiilor de credit</w:t>
            </w:r>
            <w:r w:rsidRPr="009E686F">
              <w:rPr>
                <w:rFonts w:ascii="Times New Roman" w:hAnsi="Times New Roman" w:cs="Times New Roman"/>
                <w:i/>
                <w:iCs/>
                <w:lang w:val="pt-BR"/>
              </w:rPr>
              <w:t xml:space="preserve"> </w:t>
            </w:r>
            <w:r w:rsidRPr="009E686F">
              <w:rPr>
                <w:rFonts w:ascii="Times New Roman" w:hAnsi="Times New Roman" w:cs="Times New Roman"/>
                <w:lang w:val="pt-BR"/>
              </w:rPr>
              <w:t>şi de desfăşurare a acesteia pe teritoriul Republicii Moldova;</w:t>
            </w:r>
          </w:p>
        </w:tc>
        <w:tc>
          <w:tcPr>
            <w:tcW w:w="470" w:type="pct"/>
            <w:tcBorders>
              <w:top w:val="single" w:sz="4" w:space="0" w:color="auto"/>
              <w:left w:val="single" w:sz="4" w:space="0" w:color="auto"/>
              <w:bottom w:val="single" w:sz="4" w:space="0" w:color="auto"/>
              <w:right w:val="single" w:sz="4" w:space="0" w:color="auto"/>
            </w:tcBorders>
          </w:tcPr>
          <w:p w14:paraId="6A909F1F" w14:textId="214EC9B6" w:rsidR="00BA6C5F" w:rsidRPr="009E686F" w:rsidRDefault="00021D39" w:rsidP="00A51D47">
            <w:pPr>
              <w:jc w:val="both"/>
              <w:rPr>
                <w:rFonts w:ascii="Times New Roman" w:hAnsi="Times New Roman" w:cs="Times New Roman"/>
              </w:rPr>
            </w:pPr>
            <w:r w:rsidRPr="009E686F">
              <w:rPr>
                <w:rFonts w:ascii="Times New Roman" w:hAnsi="Times New Roman" w:cs="Times New Roman"/>
              </w:rPr>
              <w:t>C</w:t>
            </w:r>
            <w:r w:rsidR="00BA6C5F" w:rsidRPr="009E686F">
              <w:rPr>
                <w:rFonts w:ascii="Times New Roman" w:hAnsi="Times New Roman" w:cs="Times New Roman"/>
              </w:rPr>
              <w:t>ompatibil</w:t>
            </w:r>
          </w:p>
        </w:tc>
        <w:tc>
          <w:tcPr>
            <w:tcW w:w="806" w:type="pct"/>
            <w:tcBorders>
              <w:top w:val="single" w:sz="4" w:space="0" w:color="auto"/>
              <w:left w:val="single" w:sz="4" w:space="0" w:color="auto"/>
              <w:bottom w:val="single" w:sz="4" w:space="0" w:color="auto"/>
              <w:right w:val="single" w:sz="4" w:space="0" w:color="auto"/>
            </w:tcBorders>
          </w:tcPr>
          <w:p w14:paraId="36CF9DC4" w14:textId="22E5F264" w:rsidR="00BA6C5F" w:rsidRPr="009E686F" w:rsidRDefault="00BA6C5F" w:rsidP="00515783">
            <w:pPr>
              <w:spacing w:after="0"/>
              <w:jc w:val="both"/>
              <w:rPr>
                <w:rFonts w:ascii="Times New Roman" w:hAnsi="Times New Roman" w:cs="Times New Roman"/>
              </w:rPr>
            </w:pPr>
          </w:p>
        </w:tc>
      </w:tr>
      <w:tr w:rsidR="00B30AFC" w:rsidRPr="009E686F" w14:paraId="6C6F34D0" w14:textId="0B8C090F" w:rsidTr="00960C23">
        <w:tc>
          <w:tcPr>
            <w:tcW w:w="1890" w:type="pct"/>
            <w:tcBorders>
              <w:top w:val="single" w:sz="4" w:space="0" w:color="auto"/>
              <w:left w:val="single" w:sz="4" w:space="0" w:color="auto"/>
              <w:bottom w:val="single" w:sz="4" w:space="0" w:color="auto"/>
              <w:right w:val="single" w:sz="4" w:space="0" w:color="auto"/>
            </w:tcBorders>
          </w:tcPr>
          <w:p w14:paraId="0ECAC1D8" w14:textId="1D0A131D" w:rsidR="00BA6C5F" w:rsidRPr="009E686F" w:rsidRDefault="00BA6C5F" w:rsidP="00ED2C1C">
            <w:pPr>
              <w:spacing w:after="0"/>
              <w:jc w:val="both"/>
              <w:rPr>
                <w:rFonts w:ascii="Times New Roman" w:hAnsi="Times New Roman" w:cs="Times New Roman"/>
                <w:lang w:val="pt-BR"/>
              </w:rPr>
            </w:pPr>
            <w:r w:rsidRPr="009E686F">
              <w:rPr>
                <w:rFonts w:ascii="Times New Roman" w:hAnsi="Times New Roman" w:cs="Times New Roman"/>
                <w:lang w:val="pt-BR"/>
              </w:rPr>
              <w:t xml:space="preserve">(b) competențele și instrumentele pentru supravegherea prudențială a </w:t>
            </w:r>
            <w:r w:rsidR="00A51A7D" w:rsidRPr="009E686F">
              <w:rPr>
                <w:rFonts w:ascii="Times New Roman" w:hAnsi="Times New Roman" w:cs="Times New Roman"/>
                <w:lang w:val="pt-BR"/>
              </w:rPr>
              <w:t>instituțiilor de credit</w:t>
            </w:r>
            <w:r w:rsidRPr="009E686F">
              <w:rPr>
                <w:rFonts w:ascii="Times New Roman" w:hAnsi="Times New Roman" w:cs="Times New Roman"/>
                <w:lang w:val="pt-BR"/>
              </w:rPr>
              <w:t xml:space="preserve"> de către autoritățile competente;</w:t>
            </w:r>
          </w:p>
        </w:tc>
        <w:tc>
          <w:tcPr>
            <w:tcW w:w="1834" w:type="pct"/>
            <w:tcBorders>
              <w:top w:val="single" w:sz="4" w:space="0" w:color="auto"/>
              <w:left w:val="single" w:sz="4" w:space="0" w:color="auto"/>
              <w:bottom w:val="single" w:sz="4" w:space="0" w:color="auto"/>
              <w:right w:val="single" w:sz="4" w:space="0" w:color="auto"/>
            </w:tcBorders>
          </w:tcPr>
          <w:p w14:paraId="7973F82F" w14:textId="6571A3AB" w:rsidR="00BA6C5F" w:rsidRPr="009E686F" w:rsidRDefault="00BA6C5F" w:rsidP="00ED2C1C">
            <w:pPr>
              <w:spacing w:after="0"/>
              <w:jc w:val="both"/>
              <w:rPr>
                <w:rFonts w:ascii="Times New Roman" w:hAnsi="Times New Roman" w:cs="Times New Roman"/>
                <w:b/>
                <w:lang w:val="pt-BR"/>
              </w:rPr>
            </w:pPr>
            <w:r w:rsidRPr="009E686F">
              <w:rPr>
                <w:rFonts w:ascii="Times New Roman" w:hAnsi="Times New Roman" w:cs="Times New Roman"/>
                <w:lang w:val="pt-BR"/>
              </w:rPr>
              <w:t xml:space="preserve">c) competenţele, instrumentele și procedurile pentru supravegherea prudenţială a </w:t>
            </w:r>
            <w:r w:rsidR="00A51A7D" w:rsidRPr="009E686F">
              <w:rPr>
                <w:rFonts w:ascii="Times New Roman" w:hAnsi="Times New Roman" w:cs="Times New Roman"/>
                <w:i/>
                <w:iCs/>
                <w:lang w:val="pt-BR"/>
              </w:rPr>
              <w:t>instituțiilor de credit</w:t>
            </w:r>
            <w:r w:rsidRPr="009E686F">
              <w:rPr>
                <w:rFonts w:ascii="Times New Roman" w:hAnsi="Times New Roman" w:cs="Times New Roman"/>
                <w:lang w:val="pt-BR"/>
              </w:rPr>
              <w:t xml:space="preserve"> de către Banca Națională a Moldovei </w:t>
            </w:r>
            <w:r w:rsidRPr="009E686F">
              <w:rPr>
                <w:rFonts w:ascii="Times New Roman" w:hAnsi="Times New Roman" w:cs="Times New Roman"/>
                <w:i/>
                <w:iCs/>
                <w:lang w:val="pt-BR"/>
              </w:rPr>
              <w:t>și, corespunzător, Comisia Națională a Pieței Financiare;</w:t>
            </w:r>
          </w:p>
        </w:tc>
        <w:tc>
          <w:tcPr>
            <w:tcW w:w="470" w:type="pct"/>
            <w:tcBorders>
              <w:top w:val="single" w:sz="4" w:space="0" w:color="auto"/>
              <w:left w:val="single" w:sz="4" w:space="0" w:color="auto"/>
              <w:bottom w:val="single" w:sz="4" w:space="0" w:color="auto"/>
              <w:right w:val="single" w:sz="4" w:space="0" w:color="auto"/>
            </w:tcBorders>
          </w:tcPr>
          <w:p w14:paraId="1F23C3DB" w14:textId="26ED555D" w:rsidR="00BA6C5F" w:rsidRPr="009E686F" w:rsidRDefault="00021D39" w:rsidP="00A51D47">
            <w:pPr>
              <w:jc w:val="both"/>
              <w:rPr>
                <w:rFonts w:ascii="Times New Roman" w:hAnsi="Times New Roman" w:cs="Times New Roman"/>
              </w:rPr>
            </w:pPr>
            <w:r w:rsidRPr="009E686F">
              <w:rPr>
                <w:rFonts w:ascii="Times New Roman" w:hAnsi="Times New Roman" w:cs="Times New Roman"/>
              </w:rPr>
              <w:t>C</w:t>
            </w:r>
            <w:r w:rsidR="00BA6C5F" w:rsidRPr="009E686F">
              <w:rPr>
                <w:rFonts w:ascii="Times New Roman" w:hAnsi="Times New Roman" w:cs="Times New Roman"/>
              </w:rPr>
              <w:t>ompatibil</w:t>
            </w:r>
          </w:p>
        </w:tc>
        <w:tc>
          <w:tcPr>
            <w:tcW w:w="806" w:type="pct"/>
            <w:tcBorders>
              <w:top w:val="single" w:sz="4" w:space="0" w:color="auto"/>
              <w:left w:val="single" w:sz="4" w:space="0" w:color="auto"/>
              <w:bottom w:val="single" w:sz="4" w:space="0" w:color="auto"/>
              <w:right w:val="single" w:sz="4" w:space="0" w:color="auto"/>
            </w:tcBorders>
          </w:tcPr>
          <w:p w14:paraId="71051E7A" w14:textId="49355C53" w:rsidR="00BA6C5F" w:rsidRPr="009E686F" w:rsidRDefault="00BA6C5F" w:rsidP="00515783">
            <w:pPr>
              <w:spacing w:after="0"/>
              <w:jc w:val="both"/>
              <w:rPr>
                <w:rFonts w:ascii="Times New Roman" w:hAnsi="Times New Roman" w:cs="Times New Roman"/>
              </w:rPr>
            </w:pPr>
          </w:p>
        </w:tc>
      </w:tr>
      <w:tr w:rsidR="00ED2C1C" w:rsidRPr="009E686F" w14:paraId="6E6721E2" w14:textId="77777777" w:rsidTr="00960C23">
        <w:tc>
          <w:tcPr>
            <w:tcW w:w="1890" w:type="pct"/>
            <w:tcBorders>
              <w:top w:val="single" w:sz="4" w:space="0" w:color="auto"/>
              <w:left w:val="single" w:sz="4" w:space="0" w:color="auto"/>
              <w:bottom w:val="single" w:sz="4" w:space="0" w:color="auto"/>
              <w:right w:val="single" w:sz="4" w:space="0" w:color="auto"/>
            </w:tcBorders>
          </w:tcPr>
          <w:p w14:paraId="70BB2F97" w14:textId="0D1CC1B1" w:rsidR="00ED2C1C" w:rsidRPr="009E686F" w:rsidRDefault="00ED2C1C" w:rsidP="00ED2C1C">
            <w:pPr>
              <w:spacing w:after="0"/>
              <w:jc w:val="both"/>
              <w:rPr>
                <w:rFonts w:ascii="Times New Roman" w:hAnsi="Times New Roman" w:cs="Times New Roman"/>
                <w:lang w:val="pt-BR"/>
              </w:rPr>
            </w:pPr>
            <w:r w:rsidRPr="009E686F">
              <w:rPr>
                <w:rFonts w:ascii="Times New Roman" w:hAnsi="Times New Roman" w:cs="Times New Roman"/>
                <w:lang w:val="pt-BR"/>
              </w:rPr>
              <w:t>(c) supravegherea prudențială a instituțiilor de către autoritățile competente într-o manieră coerentă cu normele stabilite în Regulamentul (UE) nr. 575/2013.</w:t>
            </w:r>
          </w:p>
        </w:tc>
        <w:tc>
          <w:tcPr>
            <w:tcW w:w="1834" w:type="pct"/>
            <w:tcBorders>
              <w:top w:val="single" w:sz="4" w:space="0" w:color="auto"/>
              <w:left w:val="single" w:sz="4" w:space="0" w:color="auto"/>
              <w:bottom w:val="single" w:sz="4" w:space="0" w:color="auto"/>
              <w:right w:val="single" w:sz="4" w:space="0" w:color="auto"/>
            </w:tcBorders>
          </w:tcPr>
          <w:p w14:paraId="581DAD04" w14:textId="0BF735FA" w:rsidR="00ED2C1C" w:rsidRPr="009E686F" w:rsidRDefault="00ED2C1C" w:rsidP="00ED2C1C">
            <w:pPr>
              <w:spacing w:after="0"/>
              <w:jc w:val="both"/>
              <w:rPr>
                <w:rFonts w:ascii="Times New Roman" w:hAnsi="Times New Roman" w:cs="Times New Roman"/>
                <w:lang w:val="pt-BR"/>
              </w:rPr>
            </w:pPr>
            <w:r w:rsidRPr="009E686F">
              <w:rPr>
                <w:rFonts w:ascii="Times New Roman" w:hAnsi="Times New Roman" w:cs="Times New Roman"/>
                <w:lang w:val="pt-BR"/>
              </w:rPr>
              <w:t xml:space="preserve">(d) supravegherea prudenţială a </w:t>
            </w:r>
            <w:r w:rsidRPr="009E686F">
              <w:rPr>
                <w:rFonts w:ascii="Times New Roman" w:hAnsi="Times New Roman" w:cs="Times New Roman"/>
                <w:i/>
                <w:iCs/>
                <w:lang w:val="pt-BR"/>
              </w:rPr>
              <w:t>instituțiilor de credit</w:t>
            </w:r>
            <w:r w:rsidRPr="009E686F">
              <w:rPr>
                <w:rFonts w:ascii="Times New Roman" w:hAnsi="Times New Roman" w:cs="Times New Roman"/>
                <w:lang w:val="pt-BR"/>
              </w:rPr>
              <w:t xml:space="preserve"> de către Banca Națională a Moldovei într-o manieră care să corespundă cu regulile stabilite de prezenta lege și actele normative emise în aplicarea acesteia;</w:t>
            </w:r>
          </w:p>
        </w:tc>
        <w:tc>
          <w:tcPr>
            <w:tcW w:w="470" w:type="pct"/>
            <w:tcBorders>
              <w:top w:val="single" w:sz="4" w:space="0" w:color="auto"/>
              <w:left w:val="single" w:sz="4" w:space="0" w:color="auto"/>
              <w:bottom w:val="single" w:sz="4" w:space="0" w:color="auto"/>
              <w:right w:val="single" w:sz="4" w:space="0" w:color="auto"/>
            </w:tcBorders>
          </w:tcPr>
          <w:p w14:paraId="2A6C45BB" w14:textId="77777777" w:rsidR="00ED2C1C" w:rsidRPr="009E686F" w:rsidRDefault="00ED2C1C" w:rsidP="00ED2C1C">
            <w:pPr>
              <w:jc w:val="both"/>
              <w:rPr>
                <w:rFonts w:ascii="Times New Roman" w:hAnsi="Times New Roman" w:cs="Times New Roman"/>
              </w:rPr>
            </w:pPr>
            <w:r w:rsidRPr="009E686F">
              <w:rPr>
                <w:rFonts w:ascii="Times New Roman" w:hAnsi="Times New Roman" w:cs="Times New Roman"/>
              </w:rPr>
              <w:t>Compatibil</w:t>
            </w:r>
          </w:p>
          <w:p w14:paraId="05834CE5" w14:textId="77777777" w:rsidR="00ED2C1C" w:rsidRPr="009E686F" w:rsidRDefault="00ED2C1C" w:rsidP="00A51D47">
            <w:pPr>
              <w:jc w:val="both"/>
              <w:rPr>
                <w:rFonts w:ascii="Times New Roman" w:hAnsi="Times New Roman" w:cs="Times New Roman"/>
              </w:rPr>
            </w:pPr>
          </w:p>
        </w:tc>
        <w:tc>
          <w:tcPr>
            <w:tcW w:w="806" w:type="pct"/>
            <w:tcBorders>
              <w:top w:val="single" w:sz="4" w:space="0" w:color="auto"/>
              <w:left w:val="single" w:sz="4" w:space="0" w:color="auto"/>
              <w:bottom w:val="single" w:sz="4" w:space="0" w:color="auto"/>
              <w:right w:val="single" w:sz="4" w:space="0" w:color="auto"/>
            </w:tcBorders>
          </w:tcPr>
          <w:p w14:paraId="1929A9E3" w14:textId="77777777" w:rsidR="00ED2C1C" w:rsidRPr="009E686F" w:rsidRDefault="00ED2C1C" w:rsidP="00515783">
            <w:pPr>
              <w:spacing w:after="0"/>
              <w:jc w:val="both"/>
              <w:rPr>
                <w:rFonts w:ascii="Times New Roman" w:hAnsi="Times New Roman" w:cs="Times New Roman"/>
              </w:rPr>
            </w:pPr>
          </w:p>
        </w:tc>
      </w:tr>
      <w:tr w:rsidR="00B30AFC" w:rsidRPr="009E686F" w14:paraId="43EAACA7" w14:textId="22F87810" w:rsidTr="00960C23">
        <w:tc>
          <w:tcPr>
            <w:tcW w:w="1890" w:type="pct"/>
            <w:tcBorders>
              <w:top w:val="single" w:sz="4" w:space="0" w:color="auto"/>
              <w:left w:val="single" w:sz="4" w:space="0" w:color="auto"/>
              <w:bottom w:val="single" w:sz="4" w:space="0" w:color="auto"/>
              <w:right w:val="single" w:sz="4" w:space="0" w:color="auto"/>
            </w:tcBorders>
          </w:tcPr>
          <w:p w14:paraId="58D1863D" w14:textId="6E4127C7" w:rsidR="00BA6C5F" w:rsidRPr="009E686F" w:rsidRDefault="00BA6C5F" w:rsidP="00ED2C1C">
            <w:pPr>
              <w:spacing w:after="0"/>
              <w:jc w:val="both"/>
              <w:rPr>
                <w:rFonts w:ascii="Times New Roman" w:hAnsi="Times New Roman" w:cs="Times New Roman"/>
                <w:lang w:val="it-CH"/>
              </w:rPr>
            </w:pPr>
            <w:r w:rsidRPr="009E686F">
              <w:rPr>
                <w:rFonts w:ascii="Times New Roman" w:hAnsi="Times New Roman" w:cs="Times New Roman"/>
                <w:lang w:val="it-CH"/>
              </w:rPr>
              <w:t xml:space="preserve">(d) cerințe de publicare pentru autoritățile competente în domeniul reglementării și supravegherii prudențiale a </w:t>
            </w:r>
            <w:r w:rsidR="00A51A7D" w:rsidRPr="009E686F">
              <w:rPr>
                <w:rFonts w:ascii="Times New Roman" w:hAnsi="Times New Roman" w:cs="Times New Roman"/>
                <w:lang w:val="it-CH"/>
              </w:rPr>
              <w:t>instituțiilor de credit</w:t>
            </w:r>
            <w:r w:rsidRPr="009E686F">
              <w:rPr>
                <w:rFonts w:ascii="Times New Roman" w:hAnsi="Times New Roman" w:cs="Times New Roman"/>
                <w:lang w:val="it-CH"/>
              </w:rPr>
              <w:t>.</w:t>
            </w:r>
          </w:p>
        </w:tc>
        <w:tc>
          <w:tcPr>
            <w:tcW w:w="1834" w:type="pct"/>
            <w:tcBorders>
              <w:top w:val="single" w:sz="4" w:space="0" w:color="auto"/>
              <w:left w:val="single" w:sz="4" w:space="0" w:color="auto"/>
              <w:bottom w:val="single" w:sz="4" w:space="0" w:color="auto"/>
              <w:right w:val="single" w:sz="4" w:space="0" w:color="auto"/>
            </w:tcBorders>
          </w:tcPr>
          <w:p w14:paraId="1B9314A8" w14:textId="14E46FE4" w:rsidR="00BA6C5F" w:rsidRPr="009E686F" w:rsidRDefault="00BA6C5F" w:rsidP="00ED2C1C">
            <w:pPr>
              <w:spacing w:after="0"/>
              <w:jc w:val="both"/>
              <w:rPr>
                <w:rFonts w:ascii="Times New Roman" w:hAnsi="Times New Roman" w:cs="Times New Roman"/>
                <w:b/>
                <w:lang w:val="it-CH"/>
              </w:rPr>
            </w:pPr>
            <w:r w:rsidRPr="009E686F">
              <w:rPr>
                <w:rFonts w:ascii="Times New Roman" w:hAnsi="Times New Roman" w:cs="Times New Roman"/>
                <w:lang w:val="it-CH"/>
              </w:rPr>
              <w:t xml:space="preserve">(e) cerinţele de publicare pentru Banca Națională a Moldovei în domeniul reglementării şi supravegherii prudenţiale a </w:t>
            </w:r>
            <w:r w:rsidR="00A51A7D" w:rsidRPr="009E686F">
              <w:rPr>
                <w:rFonts w:ascii="Times New Roman" w:hAnsi="Times New Roman" w:cs="Times New Roman"/>
                <w:i/>
                <w:iCs/>
                <w:lang w:val="it-CH"/>
              </w:rPr>
              <w:t>instituțiilor de credit</w:t>
            </w:r>
            <w:r w:rsidRPr="009E686F">
              <w:rPr>
                <w:rFonts w:ascii="Times New Roman" w:hAnsi="Times New Roman" w:cs="Times New Roman"/>
                <w:lang w:val="it-CH"/>
              </w:rPr>
              <w:t>;</w:t>
            </w:r>
          </w:p>
        </w:tc>
        <w:tc>
          <w:tcPr>
            <w:tcW w:w="470" w:type="pct"/>
            <w:tcBorders>
              <w:top w:val="single" w:sz="4" w:space="0" w:color="auto"/>
              <w:left w:val="single" w:sz="4" w:space="0" w:color="auto"/>
              <w:bottom w:val="single" w:sz="4" w:space="0" w:color="auto"/>
              <w:right w:val="single" w:sz="4" w:space="0" w:color="auto"/>
            </w:tcBorders>
          </w:tcPr>
          <w:p w14:paraId="43B0B854" w14:textId="69E86EFC" w:rsidR="00BA6C5F" w:rsidRPr="009E686F" w:rsidRDefault="00021D39" w:rsidP="00A51D47">
            <w:pPr>
              <w:jc w:val="both"/>
              <w:rPr>
                <w:rFonts w:ascii="Times New Roman" w:hAnsi="Times New Roman" w:cs="Times New Roman"/>
              </w:rPr>
            </w:pPr>
            <w:r w:rsidRPr="009E686F">
              <w:rPr>
                <w:rFonts w:ascii="Times New Roman" w:hAnsi="Times New Roman" w:cs="Times New Roman"/>
              </w:rPr>
              <w:t>C</w:t>
            </w:r>
            <w:r w:rsidR="00BA6C5F" w:rsidRPr="009E686F">
              <w:rPr>
                <w:rFonts w:ascii="Times New Roman" w:hAnsi="Times New Roman" w:cs="Times New Roman"/>
              </w:rPr>
              <w:t>ompatibil</w:t>
            </w:r>
          </w:p>
        </w:tc>
        <w:tc>
          <w:tcPr>
            <w:tcW w:w="806" w:type="pct"/>
            <w:tcBorders>
              <w:top w:val="single" w:sz="4" w:space="0" w:color="auto"/>
              <w:left w:val="single" w:sz="4" w:space="0" w:color="auto"/>
              <w:bottom w:val="single" w:sz="4" w:space="0" w:color="auto"/>
              <w:right w:val="single" w:sz="4" w:space="0" w:color="auto"/>
            </w:tcBorders>
          </w:tcPr>
          <w:p w14:paraId="748C42C6" w14:textId="228E2F13" w:rsidR="00BA6C5F" w:rsidRPr="009E686F" w:rsidRDefault="00BA6C5F" w:rsidP="00515783">
            <w:pPr>
              <w:spacing w:after="0"/>
              <w:jc w:val="both"/>
              <w:rPr>
                <w:rFonts w:ascii="Times New Roman" w:hAnsi="Times New Roman" w:cs="Times New Roman"/>
              </w:rPr>
            </w:pPr>
          </w:p>
        </w:tc>
      </w:tr>
      <w:tr w:rsidR="00B30AFC" w:rsidRPr="009E686F" w14:paraId="0552B909" w14:textId="77777777" w:rsidTr="00960C23">
        <w:tc>
          <w:tcPr>
            <w:tcW w:w="1890" w:type="pct"/>
            <w:tcBorders>
              <w:top w:val="single" w:sz="4" w:space="0" w:color="auto"/>
              <w:left w:val="single" w:sz="4" w:space="0" w:color="auto"/>
              <w:bottom w:val="single" w:sz="4" w:space="0" w:color="auto"/>
              <w:right w:val="single" w:sz="4" w:space="0" w:color="auto"/>
            </w:tcBorders>
          </w:tcPr>
          <w:p w14:paraId="27B8A044" w14:textId="77777777" w:rsidR="00BA6C5F" w:rsidRPr="009E686F" w:rsidRDefault="00BA6C5F" w:rsidP="00ED2C1C">
            <w:pPr>
              <w:spacing w:after="0"/>
              <w:jc w:val="both"/>
              <w:rPr>
                <w:rFonts w:ascii="Times New Roman" w:hAnsi="Times New Roman" w:cs="Times New Roman"/>
                <w:lang w:val="it-CH"/>
              </w:rPr>
            </w:pPr>
          </w:p>
        </w:tc>
        <w:tc>
          <w:tcPr>
            <w:tcW w:w="1834" w:type="pct"/>
            <w:tcBorders>
              <w:top w:val="single" w:sz="4" w:space="0" w:color="auto"/>
              <w:left w:val="single" w:sz="4" w:space="0" w:color="auto"/>
              <w:bottom w:val="single" w:sz="4" w:space="0" w:color="auto"/>
              <w:right w:val="single" w:sz="4" w:space="0" w:color="auto"/>
            </w:tcBorders>
          </w:tcPr>
          <w:p w14:paraId="37439F85" w14:textId="3B626D9F" w:rsidR="00BA6C5F" w:rsidRPr="009E686F" w:rsidRDefault="00BA6C5F" w:rsidP="00ED2C1C">
            <w:pPr>
              <w:spacing w:after="0"/>
              <w:jc w:val="both"/>
              <w:rPr>
                <w:rFonts w:ascii="Times New Roman" w:hAnsi="Times New Roman" w:cs="Times New Roman"/>
                <w:i/>
                <w:iCs/>
                <w:lang w:val="it-CH"/>
              </w:rPr>
            </w:pPr>
            <w:r w:rsidRPr="009E686F">
              <w:rPr>
                <w:rFonts w:ascii="Times New Roman" w:hAnsi="Times New Roman" w:cs="Times New Roman"/>
                <w:i/>
                <w:iCs/>
                <w:lang w:val="it-CH"/>
              </w:rPr>
              <w:t xml:space="preserve">f) relațiile Băncii Naționale a Moldovei cu autoritățile de supraveghere din statele membre sau din statele terțe, cu Autoritatea Bancară Europeană, cu Comisia Europeană și cu alte autorităţi, instituţii sau organisme.  </w:t>
            </w:r>
          </w:p>
        </w:tc>
        <w:tc>
          <w:tcPr>
            <w:tcW w:w="470" w:type="pct"/>
            <w:tcBorders>
              <w:top w:val="single" w:sz="4" w:space="0" w:color="auto"/>
              <w:left w:val="single" w:sz="4" w:space="0" w:color="auto"/>
              <w:bottom w:val="single" w:sz="4" w:space="0" w:color="auto"/>
              <w:right w:val="single" w:sz="4" w:space="0" w:color="auto"/>
            </w:tcBorders>
          </w:tcPr>
          <w:p w14:paraId="384B89F5" w14:textId="77777777" w:rsidR="00BA6C5F" w:rsidRPr="009E686F" w:rsidRDefault="00BA6C5F" w:rsidP="00A51D47">
            <w:pPr>
              <w:jc w:val="both"/>
              <w:rPr>
                <w:rFonts w:ascii="Times New Roman" w:hAnsi="Times New Roman" w:cs="Times New Roman"/>
                <w:lang w:val="it-CH"/>
              </w:rPr>
            </w:pPr>
          </w:p>
        </w:tc>
        <w:tc>
          <w:tcPr>
            <w:tcW w:w="806" w:type="pct"/>
            <w:tcBorders>
              <w:top w:val="single" w:sz="4" w:space="0" w:color="auto"/>
              <w:left w:val="single" w:sz="4" w:space="0" w:color="auto"/>
              <w:bottom w:val="single" w:sz="4" w:space="0" w:color="auto"/>
              <w:right w:val="single" w:sz="4" w:space="0" w:color="auto"/>
            </w:tcBorders>
          </w:tcPr>
          <w:p w14:paraId="24666A2D" w14:textId="77777777" w:rsidR="00BA6C5F" w:rsidRPr="009E686F" w:rsidRDefault="00301A4C" w:rsidP="00515783">
            <w:pPr>
              <w:spacing w:after="0"/>
              <w:jc w:val="both"/>
              <w:rPr>
                <w:rFonts w:ascii="Times New Roman" w:hAnsi="Times New Roman" w:cs="Times New Roman"/>
                <w:lang w:val="it-CH"/>
              </w:rPr>
            </w:pPr>
            <w:r w:rsidRPr="009E686F">
              <w:rPr>
                <w:rFonts w:ascii="Times New Roman" w:hAnsi="Times New Roman" w:cs="Times New Roman"/>
                <w:lang w:val="it-CH"/>
              </w:rPr>
              <w:t>Norme cu caracter național în ceee ce privește obiectul de reglem</w:t>
            </w:r>
            <w:r w:rsidR="00145E3B" w:rsidRPr="009E686F">
              <w:rPr>
                <w:rFonts w:ascii="Times New Roman" w:hAnsi="Times New Roman" w:cs="Times New Roman"/>
                <w:lang w:val="it-CH"/>
              </w:rPr>
              <w:t>e</w:t>
            </w:r>
            <w:r w:rsidRPr="009E686F">
              <w:rPr>
                <w:rFonts w:ascii="Times New Roman" w:hAnsi="Times New Roman" w:cs="Times New Roman"/>
                <w:lang w:val="it-CH"/>
              </w:rPr>
              <w:t xml:space="preserve">tare a legii, care se referă la relațiile BNM în calitatea de autoritate competentă cu </w:t>
            </w:r>
            <w:r w:rsidRPr="009E686F">
              <w:rPr>
                <w:rFonts w:ascii="Times New Roman" w:hAnsi="Times New Roman" w:cs="Times New Roman"/>
                <w:lang w:val="it-CH"/>
              </w:rPr>
              <w:lastRenderedPageBreak/>
              <w:t>autoritățile UE și alte organisme.</w:t>
            </w:r>
          </w:p>
          <w:p w14:paraId="44F85146" w14:textId="39441291" w:rsidR="005C2870" w:rsidRPr="009E686F" w:rsidRDefault="005C2870" w:rsidP="00515783">
            <w:pPr>
              <w:spacing w:after="0"/>
              <w:jc w:val="both"/>
              <w:rPr>
                <w:rFonts w:ascii="Times New Roman" w:hAnsi="Times New Roman" w:cs="Times New Roman"/>
                <w:lang w:val="it-CH"/>
              </w:rPr>
            </w:pPr>
            <w:r w:rsidRPr="009E686F">
              <w:rPr>
                <w:rFonts w:ascii="Times New Roman" w:hAnsi="Times New Roman" w:cs="Times New Roman"/>
                <w:lang w:val="it-CH"/>
              </w:rPr>
              <w:t>În vigoare de la data aderării.</w:t>
            </w:r>
          </w:p>
        </w:tc>
      </w:tr>
      <w:tr w:rsidR="00B30AFC" w:rsidRPr="009E686F" w14:paraId="2F85FE94" w14:textId="1B822F59" w:rsidTr="00960C23">
        <w:tc>
          <w:tcPr>
            <w:tcW w:w="1890" w:type="pct"/>
            <w:tcBorders>
              <w:top w:val="single" w:sz="4" w:space="0" w:color="auto"/>
              <w:left w:val="single" w:sz="4" w:space="0" w:color="auto"/>
              <w:bottom w:val="single" w:sz="4" w:space="0" w:color="auto"/>
              <w:right w:val="single" w:sz="4" w:space="0" w:color="auto"/>
            </w:tcBorders>
          </w:tcPr>
          <w:p w14:paraId="25939174" w14:textId="0B820A1F" w:rsidR="008B459B" w:rsidRPr="009E686F" w:rsidRDefault="00BA6C5F" w:rsidP="00ED2C1C">
            <w:pPr>
              <w:spacing w:after="0"/>
              <w:jc w:val="both"/>
              <w:rPr>
                <w:rFonts w:ascii="Times New Roman" w:hAnsi="Times New Roman" w:cs="Times New Roman"/>
                <w:i/>
                <w:iCs/>
              </w:rPr>
            </w:pPr>
            <w:r w:rsidRPr="009E686F">
              <w:rPr>
                <w:rFonts w:ascii="Times New Roman" w:hAnsi="Times New Roman" w:cs="Times New Roman"/>
                <w:i/>
                <w:iCs/>
              </w:rPr>
              <w:lastRenderedPageBreak/>
              <w:t>Articolul 2</w:t>
            </w:r>
          </w:p>
          <w:p w14:paraId="7D09D3CB" w14:textId="44FC7EA6" w:rsidR="00BA6C5F" w:rsidRPr="009E686F" w:rsidRDefault="00BA6C5F" w:rsidP="00ED2C1C">
            <w:pPr>
              <w:spacing w:after="0"/>
              <w:jc w:val="both"/>
              <w:rPr>
                <w:rFonts w:ascii="Times New Roman" w:hAnsi="Times New Roman" w:cs="Times New Roman"/>
                <w:b/>
                <w:bCs/>
              </w:rPr>
            </w:pPr>
            <w:r w:rsidRPr="009E686F">
              <w:rPr>
                <w:rFonts w:ascii="Times New Roman" w:hAnsi="Times New Roman" w:cs="Times New Roman"/>
              </w:rPr>
              <w:t>Domeniul de aplicare</w:t>
            </w:r>
          </w:p>
        </w:tc>
        <w:tc>
          <w:tcPr>
            <w:tcW w:w="1834" w:type="pct"/>
            <w:tcBorders>
              <w:top w:val="single" w:sz="4" w:space="0" w:color="auto"/>
              <w:left w:val="single" w:sz="4" w:space="0" w:color="auto"/>
              <w:bottom w:val="single" w:sz="4" w:space="0" w:color="auto"/>
              <w:right w:val="single" w:sz="4" w:space="0" w:color="auto"/>
            </w:tcBorders>
          </w:tcPr>
          <w:p w14:paraId="483F700A" w14:textId="3CDEA0B2" w:rsidR="00BA6C5F" w:rsidRPr="009E686F" w:rsidRDefault="00BA6C5F" w:rsidP="00ED2C1C">
            <w:pPr>
              <w:spacing w:after="0"/>
              <w:jc w:val="both"/>
              <w:rPr>
                <w:rFonts w:ascii="Times New Roman" w:hAnsi="Times New Roman" w:cs="Times New Roman"/>
                <w:b/>
                <w:lang w:val="it-IT"/>
              </w:rPr>
            </w:pPr>
            <w:r w:rsidRPr="009E686F">
              <w:rPr>
                <w:rFonts w:ascii="Times New Roman" w:hAnsi="Times New Roman" w:cs="Times New Roman"/>
                <w:b/>
                <w:lang w:val="it-IT"/>
              </w:rPr>
              <w:t xml:space="preserve">Articolul 2. </w:t>
            </w:r>
            <w:r w:rsidRPr="009E686F">
              <w:rPr>
                <w:rFonts w:ascii="Times New Roman" w:hAnsi="Times New Roman" w:cs="Times New Roman"/>
                <w:bCs/>
                <w:lang w:val="it-IT"/>
              </w:rPr>
              <w:t>Domeniul de aplicare şi alte prevederi generale</w:t>
            </w:r>
          </w:p>
        </w:tc>
        <w:tc>
          <w:tcPr>
            <w:tcW w:w="470" w:type="pct"/>
            <w:tcBorders>
              <w:top w:val="single" w:sz="4" w:space="0" w:color="auto"/>
              <w:left w:val="single" w:sz="4" w:space="0" w:color="auto"/>
              <w:bottom w:val="single" w:sz="4" w:space="0" w:color="auto"/>
              <w:right w:val="single" w:sz="4" w:space="0" w:color="auto"/>
            </w:tcBorders>
          </w:tcPr>
          <w:p w14:paraId="21230AA1" w14:textId="77777777" w:rsidR="00BA6C5F" w:rsidRPr="009E686F" w:rsidRDefault="00BA6C5F" w:rsidP="00A51D47">
            <w:pPr>
              <w:jc w:val="both"/>
              <w:rPr>
                <w:rFonts w:ascii="Times New Roman" w:hAnsi="Times New Roman" w:cs="Times New Roman"/>
                <w:lang w:val="it-IT"/>
              </w:rPr>
            </w:pPr>
          </w:p>
        </w:tc>
        <w:tc>
          <w:tcPr>
            <w:tcW w:w="806" w:type="pct"/>
            <w:tcBorders>
              <w:top w:val="single" w:sz="4" w:space="0" w:color="auto"/>
              <w:left w:val="single" w:sz="4" w:space="0" w:color="auto"/>
              <w:bottom w:val="single" w:sz="4" w:space="0" w:color="auto"/>
              <w:right w:val="single" w:sz="4" w:space="0" w:color="auto"/>
            </w:tcBorders>
          </w:tcPr>
          <w:p w14:paraId="44BA0606" w14:textId="6D9C52D8" w:rsidR="00BA6C5F" w:rsidRPr="009E686F" w:rsidRDefault="00BA6C5F" w:rsidP="00515783">
            <w:pPr>
              <w:spacing w:after="0"/>
              <w:jc w:val="both"/>
              <w:rPr>
                <w:rFonts w:ascii="Times New Roman" w:hAnsi="Times New Roman" w:cs="Times New Roman"/>
                <w:lang w:val="it-IT"/>
              </w:rPr>
            </w:pPr>
          </w:p>
        </w:tc>
      </w:tr>
      <w:tr w:rsidR="00B30AFC" w:rsidRPr="009E686F" w14:paraId="378D0A2F" w14:textId="1CA98BC8" w:rsidTr="00960C23">
        <w:tc>
          <w:tcPr>
            <w:tcW w:w="1890" w:type="pct"/>
            <w:tcBorders>
              <w:top w:val="single" w:sz="4" w:space="0" w:color="auto"/>
              <w:left w:val="single" w:sz="4" w:space="0" w:color="auto"/>
              <w:bottom w:val="single" w:sz="4" w:space="0" w:color="auto"/>
              <w:right w:val="single" w:sz="4" w:space="0" w:color="auto"/>
            </w:tcBorders>
          </w:tcPr>
          <w:p w14:paraId="683A89A2" w14:textId="5FC5428E" w:rsidR="00BA6C5F" w:rsidRPr="009E686F" w:rsidRDefault="00BA6C5F" w:rsidP="00ED2C1C">
            <w:pPr>
              <w:spacing w:after="0"/>
              <w:jc w:val="both"/>
              <w:rPr>
                <w:rFonts w:ascii="Times New Roman" w:hAnsi="Times New Roman" w:cs="Times New Roman"/>
                <w:lang w:val="pt-BR"/>
              </w:rPr>
            </w:pPr>
            <w:r w:rsidRPr="009E686F">
              <w:rPr>
                <w:rFonts w:ascii="Times New Roman" w:hAnsi="Times New Roman" w:cs="Times New Roman"/>
                <w:lang w:val="pt-BR"/>
              </w:rPr>
              <w:t>(1) Prezenta directivă se aplică instituțiilor.</w:t>
            </w:r>
          </w:p>
        </w:tc>
        <w:tc>
          <w:tcPr>
            <w:tcW w:w="1834" w:type="pct"/>
            <w:tcBorders>
              <w:top w:val="single" w:sz="4" w:space="0" w:color="auto"/>
              <w:left w:val="single" w:sz="4" w:space="0" w:color="auto"/>
              <w:bottom w:val="single" w:sz="4" w:space="0" w:color="auto"/>
              <w:right w:val="single" w:sz="4" w:space="0" w:color="auto"/>
            </w:tcBorders>
          </w:tcPr>
          <w:p w14:paraId="43699054" w14:textId="567446E9" w:rsidR="00BA6C5F" w:rsidRPr="009E686F" w:rsidRDefault="00BA6C5F" w:rsidP="00ED2C1C">
            <w:pPr>
              <w:spacing w:after="0"/>
              <w:jc w:val="both"/>
              <w:rPr>
                <w:rFonts w:ascii="Times New Roman" w:hAnsi="Times New Roman" w:cs="Times New Roman"/>
                <w:lang w:val="pt-BR"/>
              </w:rPr>
            </w:pPr>
            <w:r w:rsidRPr="009E686F">
              <w:rPr>
                <w:rFonts w:ascii="Times New Roman" w:hAnsi="Times New Roman" w:cs="Times New Roman"/>
                <w:lang w:val="pt-BR"/>
              </w:rPr>
              <w:t xml:space="preserve">(1) Prezenta lege se aplică: </w:t>
            </w:r>
          </w:p>
          <w:p w14:paraId="1092907B" w14:textId="48EEF966" w:rsidR="00BA6C5F" w:rsidRPr="009E686F" w:rsidRDefault="00BA6C5F" w:rsidP="00ED2C1C">
            <w:pPr>
              <w:spacing w:after="0"/>
              <w:jc w:val="both"/>
              <w:rPr>
                <w:rFonts w:ascii="Times New Roman" w:hAnsi="Times New Roman" w:cs="Times New Roman"/>
                <w:lang w:val="pt-BR"/>
              </w:rPr>
            </w:pPr>
            <w:r w:rsidRPr="009E686F">
              <w:rPr>
                <w:rFonts w:ascii="Times New Roman" w:hAnsi="Times New Roman" w:cs="Times New Roman"/>
                <w:lang w:val="pt-BR"/>
              </w:rPr>
              <w:t xml:space="preserve">a) </w:t>
            </w:r>
            <w:r w:rsidR="00A51A7D" w:rsidRPr="009E686F">
              <w:rPr>
                <w:rFonts w:ascii="Times New Roman" w:hAnsi="Times New Roman" w:cs="Times New Roman"/>
                <w:i/>
                <w:iCs/>
                <w:lang w:val="pt-BR"/>
              </w:rPr>
              <w:t>instituțiilor de credit</w:t>
            </w:r>
            <w:r w:rsidRPr="009E686F">
              <w:rPr>
                <w:rFonts w:ascii="Times New Roman" w:hAnsi="Times New Roman" w:cs="Times New Roman"/>
                <w:lang w:val="pt-BR"/>
              </w:rPr>
              <w:t xml:space="preserve"> persoane juridice din Republica Moldova,</w:t>
            </w:r>
            <w:r w:rsidR="00145E3B" w:rsidRPr="009E686F">
              <w:rPr>
                <w:lang w:val="pt-BR"/>
              </w:rPr>
              <w:t xml:space="preserve"> </w:t>
            </w:r>
            <w:r w:rsidR="00145E3B" w:rsidRPr="009E686F">
              <w:rPr>
                <w:rFonts w:ascii="Times New Roman" w:hAnsi="Times New Roman" w:cs="Times New Roman"/>
                <w:lang w:val="pt-BR"/>
              </w:rPr>
              <w:t xml:space="preserve">respectiv din state terțe, </w:t>
            </w:r>
            <w:r w:rsidRPr="009E686F">
              <w:rPr>
                <w:rFonts w:ascii="Times New Roman" w:hAnsi="Times New Roman" w:cs="Times New Roman"/>
                <w:lang w:val="pt-BR"/>
              </w:rPr>
              <w:t xml:space="preserve"> inclusiv sucursalelor din străinătate ale acestora;</w:t>
            </w:r>
          </w:p>
          <w:p w14:paraId="43D2BDF5" w14:textId="15A4F34D" w:rsidR="00BA6C5F" w:rsidRPr="009E686F" w:rsidRDefault="00BA6C5F" w:rsidP="00ED2C1C">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 xml:space="preserve">b) sucursalelor </w:t>
            </w:r>
            <w:r w:rsidR="00A51A7D" w:rsidRPr="009E686F">
              <w:rPr>
                <w:rFonts w:ascii="Times New Roman" w:eastAsia="Aptos" w:hAnsi="Times New Roman" w:cs="Times New Roman"/>
                <w:i/>
                <w:iCs/>
                <w:kern w:val="2"/>
                <w:lang w:val="ro-MD"/>
              </w:rPr>
              <w:t>instituțiilor de credit</w:t>
            </w:r>
            <w:r w:rsidRPr="009E686F">
              <w:rPr>
                <w:rFonts w:ascii="Times New Roman" w:eastAsia="Aptos" w:hAnsi="Times New Roman" w:cs="Times New Roman"/>
                <w:i/>
                <w:iCs/>
                <w:kern w:val="2"/>
                <w:lang w:val="ro-MD"/>
              </w:rPr>
              <w:t xml:space="preserve"> din state membre, respectiv din state terțe, </w:t>
            </w:r>
            <w:r w:rsidRPr="009E686F">
              <w:rPr>
                <w:rFonts w:ascii="Times New Roman" w:eastAsia="Aptos" w:hAnsi="Times New Roman" w:cs="Times New Roman"/>
                <w:kern w:val="2"/>
                <w:lang w:val="ro-MD"/>
              </w:rPr>
              <w:t>în ceea ce priveşte activitatea acestora desfăşurată în Republica Moldova.</w:t>
            </w:r>
          </w:p>
        </w:tc>
        <w:tc>
          <w:tcPr>
            <w:tcW w:w="470" w:type="pct"/>
            <w:tcBorders>
              <w:top w:val="single" w:sz="4" w:space="0" w:color="auto"/>
              <w:left w:val="single" w:sz="4" w:space="0" w:color="auto"/>
              <w:bottom w:val="single" w:sz="4" w:space="0" w:color="auto"/>
              <w:right w:val="single" w:sz="4" w:space="0" w:color="auto"/>
            </w:tcBorders>
          </w:tcPr>
          <w:p w14:paraId="47845982" w14:textId="7A826789" w:rsidR="00BA6C5F" w:rsidRPr="009E686F" w:rsidRDefault="00021D39" w:rsidP="00A51D47">
            <w:pPr>
              <w:jc w:val="both"/>
              <w:rPr>
                <w:rFonts w:ascii="Times New Roman" w:hAnsi="Times New Roman" w:cs="Times New Roman"/>
              </w:rPr>
            </w:pPr>
            <w:r w:rsidRPr="009E686F">
              <w:rPr>
                <w:rFonts w:ascii="Times New Roman" w:hAnsi="Times New Roman" w:cs="Times New Roman"/>
              </w:rPr>
              <w:t>C</w:t>
            </w:r>
            <w:r w:rsidR="00BA6C5F" w:rsidRPr="009E686F">
              <w:rPr>
                <w:rFonts w:ascii="Times New Roman" w:hAnsi="Times New Roman" w:cs="Times New Roman"/>
              </w:rPr>
              <w:t>ompatibil</w:t>
            </w:r>
          </w:p>
        </w:tc>
        <w:tc>
          <w:tcPr>
            <w:tcW w:w="806" w:type="pct"/>
            <w:tcBorders>
              <w:top w:val="single" w:sz="4" w:space="0" w:color="auto"/>
              <w:left w:val="single" w:sz="4" w:space="0" w:color="auto"/>
              <w:bottom w:val="single" w:sz="4" w:space="0" w:color="auto"/>
              <w:right w:val="single" w:sz="4" w:space="0" w:color="auto"/>
            </w:tcBorders>
          </w:tcPr>
          <w:p w14:paraId="306886D3" w14:textId="35EA2992" w:rsidR="00BA6C5F" w:rsidRPr="009E686F" w:rsidRDefault="005C2870" w:rsidP="00515783">
            <w:pPr>
              <w:spacing w:after="0"/>
              <w:jc w:val="both"/>
              <w:rPr>
                <w:rFonts w:ascii="Times New Roman" w:hAnsi="Times New Roman" w:cs="Times New Roman"/>
                <w:lang w:val="it-CH"/>
              </w:rPr>
            </w:pPr>
            <w:r w:rsidRPr="009E686F">
              <w:rPr>
                <w:rFonts w:ascii="Times New Roman" w:hAnsi="Times New Roman" w:cs="Times New Roman"/>
                <w:lang w:val="it-CH"/>
              </w:rPr>
              <w:t>Modificările aferente statelor membre intră în vigoare de la data aderării.</w:t>
            </w:r>
          </w:p>
          <w:p w14:paraId="35090EE4" w14:textId="77777777" w:rsidR="00BA6C5F" w:rsidRPr="009E686F" w:rsidRDefault="00BA6C5F" w:rsidP="00515783">
            <w:pPr>
              <w:spacing w:after="0"/>
              <w:jc w:val="both"/>
              <w:rPr>
                <w:rFonts w:ascii="Times New Roman" w:hAnsi="Times New Roman" w:cs="Times New Roman"/>
                <w:lang w:val="it-CH"/>
              </w:rPr>
            </w:pPr>
          </w:p>
        </w:tc>
      </w:tr>
      <w:tr w:rsidR="00FC6634" w:rsidRPr="009E686F" w14:paraId="7772B576" w14:textId="77777777" w:rsidTr="00960C23">
        <w:tc>
          <w:tcPr>
            <w:tcW w:w="1890" w:type="pct"/>
            <w:tcBorders>
              <w:top w:val="single" w:sz="4" w:space="0" w:color="auto"/>
              <w:left w:val="single" w:sz="4" w:space="0" w:color="auto"/>
              <w:bottom w:val="single" w:sz="4" w:space="0" w:color="auto"/>
              <w:right w:val="single" w:sz="4" w:space="0" w:color="auto"/>
            </w:tcBorders>
          </w:tcPr>
          <w:p w14:paraId="5E0CB28A" w14:textId="77777777" w:rsidR="00FC6634" w:rsidRPr="009E686F" w:rsidRDefault="00FC6634" w:rsidP="00ED2C1C">
            <w:pPr>
              <w:spacing w:after="0"/>
              <w:jc w:val="both"/>
              <w:rPr>
                <w:rFonts w:ascii="Times New Roman" w:hAnsi="Times New Roman" w:cs="Times New Roman"/>
                <w:lang w:val="pt-BR"/>
              </w:rPr>
            </w:pPr>
          </w:p>
        </w:tc>
        <w:tc>
          <w:tcPr>
            <w:tcW w:w="1834" w:type="pct"/>
            <w:tcBorders>
              <w:top w:val="single" w:sz="4" w:space="0" w:color="auto"/>
              <w:left w:val="single" w:sz="4" w:space="0" w:color="auto"/>
              <w:bottom w:val="single" w:sz="4" w:space="0" w:color="auto"/>
              <w:right w:val="single" w:sz="4" w:space="0" w:color="auto"/>
            </w:tcBorders>
          </w:tcPr>
          <w:p w14:paraId="282A3AD1" w14:textId="25C78B2C" w:rsidR="00FC6634" w:rsidRPr="009E686F" w:rsidRDefault="00FC6634" w:rsidP="00ED2C1C">
            <w:pPr>
              <w:spacing w:after="0"/>
              <w:jc w:val="both"/>
              <w:rPr>
                <w:rFonts w:ascii="Times New Roman" w:hAnsi="Times New Roman" w:cs="Times New Roman"/>
                <w:lang w:val="pt-BR"/>
              </w:rPr>
            </w:pPr>
            <w:r w:rsidRPr="009E686F">
              <w:rPr>
                <w:rFonts w:ascii="Times New Roman" w:hAnsi="Times New Roman" w:cs="Times New Roman"/>
                <w:lang w:val="pt-BR"/>
              </w:rPr>
              <w:t xml:space="preserve">(3) În procesele de </w:t>
            </w:r>
            <w:r w:rsidRPr="009E686F">
              <w:rPr>
                <w:rFonts w:ascii="Times New Roman" w:hAnsi="Times New Roman" w:cs="Times New Roman"/>
                <w:i/>
                <w:lang w:val="pt-BR"/>
              </w:rPr>
              <w:t>autorizare</w:t>
            </w:r>
            <w:r w:rsidRPr="009E686F">
              <w:rPr>
                <w:rFonts w:ascii="Times New Roman" w:hAnsi="Times New Roman" w:cs="Times New Roman"/>
                <w:lang w:val="pt-BR"/>
              </w:rPr>
              <w:t>, notificare şi aprobare prevăzute de prezenta lege, prevederile Legii nr.160/2011 privind reglementarea prin autorizare a activităţii de întreprinzător nu se aplică.</w:t>
            </w:r>
          </w:p>
        </w:tc>
        <w:tc>
          <w:tcPr>
            <w:tcW w:w="470" w:type="pct"/>
            <w:tcBorders>
              <w:top w:val="single" w:sz="4" w:space="0" w:color="auto"/>
              <w:left w:val="single" w:sz="4" w:space="0" w:color="auto"/>
              <w:bottom w:val="single" w:sz="4" w:space="0" w:color="auto"/>
              <w:right w:val="single" w:sz="4" w:space="0" w:color="auto"/>
            </w:tcBorders>
          </w:tcPr>
          <w:p w14:paraId="771F1FDE" w14:textId="544C8D9B" w:rsidR="00FC6634" w:rsidRPr="009E686F" w:rsidRDefault="00FC6634" w:rsidP="00A51D47">
            <w:pPr>
              <w:jc w:val="both"/>
              <w:rPr>
                <w:rFonts w:ascii="Times New Roman" w:hAnsi="Times New Roman" w:cs="Times New Roman"/>
                <w:lang w:val="it-CH"/>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00166D7B" w14:textId="0AD1C5D7" w:rsidR="00FC6634" w:rsidRPr="009E686F" w:rsidRDefault="00FC6634" w:rsidP="00515783">
            <w:pPr>
              <w:spacing w:after="0"/>
              <w:jc w:val="both"/>
              <w:rPr>
                <w:rFonts w:ascii="Times New Roman" w:hAnsi="Times New Roman" w:cs="Times New Roman"/>
                <w:lang w:val="it-CH"/>
              </w:rPr>
            </w:pPr>
            <w:r w:rsidRPr="009E686F">
              <w:rPr>
                <w:rFonts w:ascii="Times New Roman" w:hAnsi="Times New Roman" w:cs="Times New Roman"/>
                <w:lang w:val="it-CH"/>
              </w:rPr>
              <w:t>Norme cu specific na</w:t>
            </w:r>
            <w:r w:rsidRPr="009E686F">
              <w:rPr>
                <w:rFonts w:ascii="Times New Roman" w:hAnsi="Times New Roman" w:cs="Times New Roman"/>
                <w:lang w:val="ro-RO"/>
              </w:rPr>
              <w:t>ț</w:t>
            </w:r>
            <w:r w:rsidRPr="009E686F">
              <w:rPr>
                <w:rFonts w:ascii="Times New Roman" w:hAnsi="Times New Roman" w:cs="Times New Roman"/>
                <w:lang w:val="it-CH"/>
              </w:rPr>
              <w:t>ional care exclud aplicarea procedurilor de autorizare generale pentru instituțiile de credit, având în vedere că sunt prevăzute la nivelul legii bancare.</w:t>
            </w:r>
          </w:p>
        </w:tc>
      </w:tr>
      <w:tr w:rsidR="00B30AFC" w:rsidRPr="009E686F" w14:paraId="120840FF" w14:textId="0E372CA2" w:rsidTr="00960C23">
        <w:tc>
          <w:tcPr>
            <w:tcW w:w="1890" w:type="pct"/>
            <w:tcBorders>
              <w:top w:val="single" w:sz="4" w:space="0" w:color="auto"/>
              <w:left w:val="single" w:sz="4" w:space="0" w:color="auto"/>
              <w:bottom w:val="single" w:sz="4" w:space="0" w:color="auto"/>
              <w:right w:val="single" w:sz="4" w:space="0" w:color="auto"/>
            </w:tcBorders>
          </w:tcPr>
          <w:p w14:paraId="10950348" w14:textId="2A85A8F1" w:rsidR="00BA6C5F" w:rsidRPr="009E686F" w:rsidRDefault="00BA6C5F" w:rsidP="00ED2C1C">
            <w:pPr>
              <w:spacing w:after="0"/>
              <w:jc w:val="both"/>
              <w:rPr>
                <w:rFonts w:ascii="Times New Roman" w:hAnsi="Times New Roman" w:cs="Times New Roman"/>
                <w:lang w:val="it-CH"/>
              </w:rPr>
            </w:pPr>
            <w:r w:rsidRPr="009E686F">
              <w:rPr>
                <w:rFonts w:ascii="Times New Roman" w:hAnsi="Times New Roman" w:cs="Times New Roman"/>
                <w:lang w:val="it-CH"/>
              </w:rPr>
              <w:t>(4) Articolul 34 și titlul VII capitolul 3 se aplică societăților financiare holding, societăților financiare holding mixte și societăților holding cu activitate mixtă care își au sediul central în Uniune.</w:t>
            </w:r>
          </w:p>
        </w:tc>
        <w:tc>
          <w:tcPr>
            <w:tcW w:w="1834" w:type="pct"/>
            <w:tcBorders>
              <w:top w:val="single" w:sz="4" w:space="0" w:color="auto"/>
              <w:left w:val="single" w:sz="4" w:space="0" w:color="auto"/>
              <w:bottom w:val="single" w:sz="4" w:space="0" w:color="auto"/>
              <w:right w:val="single" w:sz="4" w:space="0" w:color="auto"/>
            </w:tcBorders>
          </w:tcPr>
          <w:p w14:paraId="3529D43F" w14:textId="77777777" w:rsidR="00BA6C5F" w:rsidRPr="009E686F" w:rsidRDefault="00BA6C5F" w:rsidP="00ED2C1C">
            <w:pPr>
              <w:spacing w:after="0"/>
              <w:jc w:val="both"/>
              <w:rPr>
                <w:rFonts w:ascii="Times New Roman" w:hAnsi="Times New Roman" w:cs="Times New Roman"/>
                <w:lang w:val="it-CH"/>
              </w:rPr>
            </w:pPr>
            <w:r w:rsidRPr="009E686F">
              <w:rPr>
                <w:rFonts w:ascii="Times New Roman" w:hAnsi="Times New Roman" w:cs="Times New Roman"/>
                <w:lang w:val="it-CH"/>
              </w:rPr>
              <w:t xml:space="preserve">(2) În scopul realizării supravegherii prudenţiale a băncilor, dispoziţiile prezentei legi se aplică şi altor categorii de persoane, după cum urmează: </w:t>
            </w:r>
          </w:p>
          <w:p w14:paraId="0D3FBFBF" w14:textId="5611E700" w:rsidR="00BA6C5F" w:rsidRPr="009E686F" w:rsidRDefault="00BA6C5F" w:rsidP="00ED2C1C">
            <w:pPr>
              <w:spacing w:after="0"/>
              <w:jc w:val="both"/>
              <w:rPr>
                <w:rFonts w:ascii="Times New Roman" w:hAnsi="Times New Roman" w:cs="Times New Roman"/>
                <w:lang w:val="it-CH"/>
              </w:rPr>
            </w:pPr>
            <w:r w:rsidRPr="009E686F">
              <w:rPr>
                <w:rFonts w:ascii="Times New Roman" w:hAnsi="Times New Roman" w:cs="Times New Roman"/>
                <w:lang w:val="it-CH"/>
              </w:rPr>
              <w:t>a) Capitolul 2 Titlul V se aplică societăților financiare holding, societăților financiare holding mixte şi societăților holding cu activitate mixtă - persoane juridice din Republica Moldova</w:t>
            </w:r>
            <w:r w:rsidR="00095AA1" w:rsidRPr="009E686F">
              <w:rPr>
                <w:rFonts w:ascii="Times New Roman" w:hAnsi="Times New Roman" w:cs="Times New Roman"/>
                <w:lang w:val="it-CH"/>
              </w:rPr>
              <w:t xml:space="preserve"> </w:t>
            </w:r>
            <w:r w:rsidR="00095AA1" w:rsidRPr="009E686F">
              <w:rPr>
                <w:rFonts w:ascii="Times New Roman" w:hAnsi="Times New Roman" w:cs="Times New Roman"/>
                <w:i/>
                <w:iCs/>
                <w:lang w:val="it-CH"/>
              </w:rPr>
              <w:t>și din Uniunea Europeană</w:t>
            </w:r>
            <w:r w:rsidRPr="009E686F">
              <w:rPr>
                <w:rFonts w:ascii="Times New Roman" w:hAnsi="Times New Roman" w:cs="Times New Roman"/>
                <w:lang w:val="it-CH"/>
              </w:rPr>
              <w:t xml:space="preserve">; </w:t>
            </w:r>
          </w:p>
        </w:tc>
        <w:tc>
          <w:tcPr>
            <w:tcW w:w="470" w:type="pct"/>
            <w:tcBorders>
              <w:top w:val="single" w:sz="4" w:space="0" w:color="auto"/>
              <w:left w:val="single" w:sz="4" w:space="0" w:color="auto"/>
              <w:bottom w:val="single" w:sz="4" w:space="0" w:color="auto"/>
              <w:right w:val="single" w:sz="4" w:space="0" w:color="auto"/>
            </w:tcBorders>
          </w:tcPr>
          <w:p w14:paraId="53DFDD96" w14:textId="1503DF5D" w:rsidR="00BA6C5F" w:rsidRPr="009E686F" w:rsidRDefault="00BA6C5F" w:rsidP="00A51D47">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61ABAC92" w14:textId="2FFB39A9" w:rsidR="00BA6C5F" w:rsidRPr="009E686F" w:rsidRDefault="00BA6C5F" w:rsidP="00515783">
            <w:pPr>
              <w:spacing w:after="0"/>
              <w:jc w:val="both"/>
              <w:rPr>
                <w:rFonts w:ascii="Times New Roman" w:hAnsi="Times New Roman" w:cs="Times New Roman"/>
              </w:rPr>
            </w:pPr>
          </w:p>
        </w:tc>
      </w:tr>
      <w:tr w:rsidR="00B30AFC" w:rsidRPr="009E686F" w14:paraId="6C504D7B" w14:textId="2C919047" w:rsidTr="00960C23">
        <w:tc>
          <w:tcPr>
            <w:tcW w:w="1890" w:type="pct"/>
            <w:tcBorders>
              <w:top w:val="single" w:sz="4" w:space="0" w:color="auto"/>
              <w:left w:val="single" w:sz="4" w:space="0" w:color="auto"/>
              <w:bottom w:val="single" w:sz="4" w:space="0" w:color="auto"/>
              <w:right w:val="single" w:sz="4" w:space="0" w:color="auto"/>
            </w:tcBorders>
          </w:tcPr>
          <w:p w14:paraId="0CCC97C7" w14:textId="084BFE53" w:rsidR="00BA6C5F" w:rsidRPr="009E686F" w:rsidRDefault="00BA6C5F" w:rsidP="00ED2C1C">
            <w:pPr>
              <w:spacing w:after="0"/>
              <w:jc w:val="both"/>
              <w:rPr>
                <w:rFonts w:ascii="Times New Roman" w:hAnsi="Times New Roman" w:cs="Times New Roman"/>
                <w:lang w:val="pt-BR"/>
              </w:rPr>
            </w:pPr>
            <w:r w:rsidRPr="009E686F">
              <w:rPr>
                <w:rFonts w:ascii="Times New Roman" w:hAnsi="Times New Roman" w:cs="Times New Roman"/>
                <w:lang w:val="pt-BR"/>
              </w:rPr>
              <w:t>(5) Prezenta directivă nu se aplică următoarelor:</w:t>
            </w:r>
          </w:p>
        </w:tc>
        <w:tc>
          <w:tcPr>
            <w:tcW w:w="1834" w:type="pct"/>
            <w:tcBorders>
              <w:top w:val="single" w:sz="4" w:space="0" w:color="auto"/>
              <w:left w:val="single" w:sz="4" w:space="0" w:color="auto"/>
              <w:bottom w:val="single" w:sz="4" w:space="0" w:color="auto"/>
              <w:right w:val="single" w:sz="4" w:space="0" w:color="auto"/>
            </w:tcBorders>
          </w:tcPr>
          <w:p w14:paraId="331F47AD" w14:textId="75646369" w:rsidR="00BA6C5F" w:rsidRPr="009E686F" w:rsidRDefault="00D955F2" w:rsidP="00ED2C1C">
            <w:pPr>
              <w:spacing w:after="0"/>
              <w:jc w:val="both"/>
              <w:rPr>
                <w:rFonts w:ascii="Times New Roman" w:hAnsi="Times New Roman" w:cs="Times New Roman"/>
                <w:i/>
                <w:iCs/>
                <w:lang w:val="pt-BR"/>
              </w:rPr>
            </w:pPr>
            <w:r w:rsidRPr="009E686F">
              <w:rPr>
                <w:rFonts w:ascii="Times New Roman" w:hAnsi="Times New Roman" w:cs="Times New Roman"/>
                <w:i/>
                <w:iCs/>
                <w:lang w:val="pt-BR"/>
              </w:rPr>
              <w:t>(1</w:t>
            </w:r>
            <w:r w:rsidRPr="009E686F">
              <w:rPr>
                <w:rFonts w:ascii="Times New Roman" w:hAnsi="Times New Roman" w:cs="Times New Roman"/>
                <w:i/>
                <w:iCs/>
                <w:vertAlign w:val="superscript"/>
                <w:lang w:val="pt-BR"/>
              </w:rPr>
              <w:t>1</w:t>
            </w:r>
            <w:r w:rsidRPr="009E686F">
              <w:rPr>
                <w:rFonts w:ascii="Times New Roman" w:hAnsi="Times New Roman" w:cs="Times New Roman"/>
                <w:i/>
                <w:iCs/>
                <w:lang w:val="pt-BR"/>
              </w:rPr>
              <w:t>) Prezenta lege nu se aplică:</w:t>
            </w:r>
          </w:p>
        </w:tc>
        <w:tc>
          <w:tcPr>
            <w:tcW w:w="470" w:type="pct"/>
            <w:tcBorders>
              <w:top w:val="single" w:sz="4" w:space="0" w:color="auto"/>
              <w:left w:val="single" w:sz="4" w:space="0" w:color="auto"/>
              <w:bottom w:val="single" w:sz="4" w:space="0" w:color="auto"/>
              <w:right w:val="single" w:sz="4" w:space="0" w:color="auto"/>
            </w:tcBorders>
          </w:tcPr>
          <w:p w14:paraId="3C59D4C3" w14:textId="15F1BF24" w:rsidR="00BA6C5F" w:rsidRPr="009E686F" w:rsidRDefault="00BA6C5F" w:rsidP="00A51D47">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520D8912" w14:textId="4E44B17D" w:rsidR="00BA6C5F" w:rsidRPr="009E686F" w:rsidRDefault="00BA6C5F" w:rsidP="00515783">
            <w:pPr>
              <w:spacing w:after="0"/>
              <w:jc w:val="both"/>
              <w:rPr>
                <w:rFonts w:ascii="Times New Roman" w:hAnsi="Times New Roman" w:cs="Times New Roman"/>
              </w:rPr>
            </w:pPr>
          </w:p>
        </w:tc>
      </w:tr>
      <w:tr w:rsidR="00B30AFC" w:rsidRPr="009E686F" w14:paraId="3D4564A6" w14:textId="23804E12" w:rsidTr="00960C23">
        <w:tc>
          <w:tcPr>
            <w:tcW w:w="1890" w:type="pct"/>
            <w:tcBorders>
              <w:top w:val="single" w:sz="4" w:space="0" w:color="auto"/>
              <w:left w:val="single" w:sz="4" w:space="0" w:color="auto"/>
              <w:bottom w:val="single" w:sz="4" w:space="0" w:color="auto"/>
              <w:right w:val="single" w:sz="4" w:space="0" w:color="auto"/>
            </w:tcBorders>
          </w:tcPr>
          <w:p w14:paraId="3E32CDD3" w14:textId="72AD119B" w:rsidR="00BA6C5F" w:rsidRPr="009E686F" w:rsidRDefault="00BA6C5F" w:rsidP="00ED2C1C">
            <w:pPr>
              <w:spacing w:after="0"/>
              <w:jc w:val="both"/>
              <w:rPr>
                <w:rFonts w:ascii="Times New Roman" w:hAnsi="Times New Roman" w:cs="Times New Roman"/>
              </w:rPr>
            </w:pPr>
            <w:r w:rsidRPr="009E686F">
              <w:rPr>
                <w:rFonts w:ascii="Times New Roman" w:hAnsi="Times New Roman" w:cs="Times New Roman"/>
              </w:rPr>
              <w:t>2. bănci centrale;</w:t>
            </w:r>
          </w:p>
        </w:tc>
        <w:tc>
          <w:tcPr>
            <w:tcW w:w="1834" w:type="pct"/>
            <w:tcBorders>
              <w:top w:val="single" w:sz="4" w:space="0" w:color="auto"/>
              <w:left w:val="single" w:sz="4" w:space="0" w:color="auto"/>
              <w:bottom w:val="single" w:sz="4" w:space="0" w:color="auto"/>
              <w:right w:val="single" w:sz="4" w:space="0" w:color="auto"/>
            </w:tcBorders>
          </w:tcPr>
          <w:p w14:paraId="5CA413D8" w14:textId="78A361F7" w:rsidR="00BA6C5F" w:rsidRPr="009E686F" w:rsidRDefault="00BA6C5F" w:rsidP="00ED2C1C">
            <w:pPr>
              <w:spacing w:after="0"/>
              <w:jc w:val="both"/>
              <w:rPr>
                <w:rFonts w:ascii="Times New Roman" w:hAnsi="Times New Roman" w:cs="Times New Roman"/>
                <w:i/>
                <w:iCs/>
                <w:color w:val="FF0000"/>
              </w:rPr>
            </w:pPr>
            <w:r w:rsidRPr="009E686F">
              <w:rPr>
                <w:rFonts w:ascii="Times New Roman" w:hAnsi="Times New Roman" w:cs="Times New Roman"/>
                <w:i/>
                <w:iCs/>
              </w:rPr>
              <w:t>a) băncilor centrale;</w:t>
            </w:r>
          </w:p>
        </w:tc>
        <w:tc>
          <w:tcPr>
            <w:tcW w:w="470" w:type="pct"/>
            <w:tcBorders>
              <w:top w:val="single" w:sz="4" w:space="0" w:color="auto"/>
              <w:left w:val="single" w:sz="4" w:space="0" w:color="auto"/>
              <w:bottom w:val="single" w:sz="4" w:space="0" w:color="auto"/>
              <w:right w:val="single" w:sz="4" w:space="0" w:color="auto"/>
            </w:tcBorders>
          </w:tcPr>
          <w:p w14:paraId="4EA65687" w14:textId="1526E30B" w:rsidR="00BA6C5F" w:rsidRPr="009E686F" w:rsidRDefault="00F8180E" w:rsidP="00A51D47">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1D9A2335" w14:textId="46ABB423" w:rsidR="00BA6C5F" w:rsidRPr="009E686F" w:rsidRDefault="00BA6C5F" w:rsidP="00515783">
            <w:pPr>
              <w:spacing w:after="0"/>
              <w:jc w:val="both"/>
              <w:rPr>
                <w:rFonts w:ascii="Times New Roman" w:hAnsi="Times New Roman" w:cs="Times New Roman"/>
                <w:lang w:val="it-CH"/>
              </w:rPr>
            </w:pPr>
          </w:p>
        </w:tc>
      </w:tr>
      <w:tr w:rsidR="00ED2C1C" w:rsidRPr="009E686F" w14:paraId="0E8F217E" w14:textId="77777777" w:rsidTr="00960C23">
        <w:tc>
          <w:tcPr>
            <w:tcW w:w="1890" w:type="pct"/>
            <w:tcBorders>
              <w:top w:val="single" w:sz="4" w:space="0" w:color="auto"/>
              <w:left w:val="single" w:sz="4" w:space="0" w:color="auto"/>
              <w:bottom w:val="single" w:sz="4" w:space="0" w:color="auto"/>
              <w:right w:val="single" w:sz="4" w:space="0" w:color="auto"/>
            </w:tcBorders>
          </w:tcPr>
          <w:p w14:paraId="665F46AD" w14:textId="77777777" w:rsidR="00ED2C1C" w:rsidRPr="009E686F" w:rsidRDefault="00ED2C1C" w:rsidP="00ED2C1C">
            <w:pPr>
              <w:spacing w:after="0"/>
              <w:jc w:val="both"/>
              <w:rPr>
                <w:rFonts w:ascii="Times New Roman" w:hAnsi="Times New Roman" w:cs="Times New Roman"/>
                <w:lang w:val="pt-BR"/>
              </w:rPr>
            </w:pPr>
            <w:r w:rsidRPr="009E686F">
              <w:rPr>
                <w:rFonts w:ascii="Times New Roman" w:hAnsi="Times New Roman" w:cs="Times New Roman"/>
                <w:lang w:val="pt-BR"/>
              </w:rPr>
              <w:lastRenderedPageBreak/>
              <w:t>3. oficii poștale care efectuează operațiuni de virament;</w:t>
            </w:r>
          </w:p>
          <w:p w14:paraId="228D030F" w14:textId="77777777" w:rsidR="00ED2C1C" w:rsidRPr="009E686F" w:rsidRDefault="00ED2C1C" w:rsidP="00ED2C1C">
            <w:pPr>
              <w:spacing w:after="0"/>
              <w:jc w:val="both"/>
              <w:rPr>
                <w:rFonts w:ascii="Times New Roman" w:hAnsi="Times New Roman" w:cs="Times New Roman"/>
                <w:lang w:val="pt-BR"/>
              </w:rPr>
            </w:pPr>
          </w:p>
        </w:tc>
        <w:tc>
          <w:tcPr>
            <w:tcW w:w="1834" w:type="pct"/>
            <w:tcBorders>
              <w:top w:val="single" w:sz="4" w:space="0" w:color="auto"/>
              <w:left w:val="single" w:sz="4" w:space="0" w:color="auto"/>
              <w:bottom w:val="single" w:sz="4" w:space="0" w:color="auto"/>
              <w:right w:val="single" w:sz="4" w:space="0" w:color="auto"/>
            </w:tcBorders>
          </w:tcPr>
          <w:p w14:paraId="16BB2C05" w14:textId="2FC32012" w:rsidR="00ED2C1C" w:rsidRPr="009E686F" w:rsidRDefault="00ED2C1C" w:rsidP="00ED2C1C">
            <w:pPr>
              <w:spacing w:after="0"/>
              <w:jc w:val="both"/>
              <w:rPr>
                <w:rFonts w:ascii="Times New Roman" w:hAnsi="Times New Roman" w:cs="Times New Roman"/>
                <w:i/>
                <w:lang w:val="pt-BR"/>
              </w:rPr>
            </w:pPr>
            <w:r w:rsidRPr="009E686F">
              <w:rPr>
                <w:rFonts w:ascii="Times New Roman" w:hAnsi="Times New Roman" w:cs="Times New Roman"/>
                <w:i/>
                <w:lang w:val="pt-BR"/>
              </w:rPr>
              <w:t>b) oficiilor poștale care efectuează operațiuni de virament;</w:t>
            </w:r>
          </w:p>
        </w:tc>
        <w:tc>
          <w:tcPr>
            <w:tcW w:w="470" w:type="pct"/>
            <w:tcBorders>
              <w:top w:val="single" w:sz="4" w:space="0" w:color="auto"/>
              <w:left w:val="single" w:sz="4" w:space="0" w:color="auto"/>
              <w:bottom w:val="single" w:sz="4" w:space="0" w:color="auto"/>
              <w:right w:val="single" w:sz="4" w:space="0" w:color="auto"/>
            </w:tcBorders>
          </w:tcPr>
          <w:p w14:paraId="25947FEE" w14:textId="1A1C34AE" w:rsidR="00ED2C1C" w:rsidRPr="009E686F" w:rsidRDefault="00ED2C1C" w:rsidP="00A51D47">
            <w:pPr>
              <w:jc w:val="both"/>
              <w:rPr>
                <w:rFonts w:ascii="Times New Roman" w:hAnsi="Times New Roman" w:cs="Times New Roman"/>
                <w:lang w:val="it-CH"/>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4CFC8535" w14:textId="77777777" w:rsidR="00ED2C1C" w:rsidRPr="009E686F" w:rsidRDefault="00ED2C1C" w:rsidP="00515783">
            <w:pPr>
              <w:spacing w:after="0"/>
              <w:jc w:val="both"/>
              <w:rPr>
                <w:rFonts w:ascii="Times New Roman" w:hAnsi="Times New Roman" w:cs="Times New Roman"/>
                <w:lang w:val="it-CH"/>
              </w:rPr>
            </w:pPr>
          </w:p>
        </w:tc>
      </w:tr>
      <w:tr w:rsidR="00ED2C1C" w:rsidRPr="009E686F" w14:paraId="0013DB82" w14:textId="77777777" w:rsidTr="00960C23">
        <w:tc>
          <w:tcPr>
            <w:tcW w:w="1890" w:type="pct"/>
            <w:tcBorders>
              <w:top w:val="single" w:sz="4" w:space="0" w:color="auto"/>
              <w:left w:val="single" w:sz="4" w:space="0" w:color="auto"/>
              <w:bottom w:val="single" w:sz="4" w:space="0" w:color="auto"/>
              <w:right w:val="single" w:sz="4" w:space="0" w:color="auto"/>
            </w:tcBorders>
          </w:tcPr>
          <w:p w14:paraId="60AE59E9" w14:textId="77777777" w:rsidR="00ED2C1C" w:rsidRPr="009E686F" w:rsidRDefault="00ED2C1C" w:rsidP="00ED2C1C">
            <w:pPr>
              <w:spacing w:after="0"/>
              <w:jc w:val="both"/>
              <w:rPr>
                <w:rFonts w:ascii="Times New Roman" w:hAnsi="Times New Roman" w:cs="Times New Roman"/>
              </w:rPr>
            </w:pPr>
            <w:r w:rsidRPr="009E686F">
              <w:rPr>
                <w:rFonts w:ascii="Times New Roman" w:hAnsi="Times New Roman" w:cs="Times New Roman"/>
              </w:rPr>
              <w:t>4. în Danemarca, "Danmarks Eksport-og</w:t>
            </w:r>
            <w:r w:rsidRPr="009E686F" w:rsidDel="007E5D8B">
              <w:rPr>
                <w:rFonts w:ascii="Times New Roman" w:hAnsi="Times New Roman" w:cs="Times New Roman"/>
              </w:rPr>
              <w:t xml:space="preserve"> </w:t>
            </w:r>
            <w:r w:rsidRPr="009E686F">
              <w:rPr>
                <w:rFonts w:ascii="Times New Roman" w:hAnsi="Times New Roman" w:cs="Times New Roman"/>
              </w:rPr>
              <w:t>Investeringsfond", "Danmarks Skibskredit A/S" și "KommuneKredit";</w:t>
            </w:r>
          </w:p>
          <w:p w14:paraId="1BBC2A32" w14:textId="77777777" w:rsidR="00ED2C1C" w:rsidRPr="009E686F" w:rsidRDefault="00ED2C1C" w:rsidP="00ED2C1C">
            <w:pPr>
              <w:spacing w:after="0"/>
              <w:jc w:val="both"/>
              <w:rPr>
                <w:rFonts w:ascii="Times New Roman" w:hAnsi="Times New Roman" w:cs="Times New Roman"/>
                <w:lang w:val="it-IT"/>
              </w:rPr>
            </w:pPr>
            <w:r w:rsidRPr="009E686F">
              <w:rPr>
                <w:rFonts w:ascii="Times New Roman" w:hAnsi="Times New Roman" w:cs="Times New Roman"/>
                <w:lang w:val="it-IT"/>
              </w:rPr>
              <w:t>4a. în Cehia „Narodni rozvojova banka a.s.”;</w:t>
            </w:r>
          </w:p>
          <w:p w14:paraId="1CAB7EE2" w14:textId="77777777" w:rsidR="00ED2C1C" w:rsidRPr="009E686F" w:rsidRDefault="00ED2C1C" w:rsidP="00ED2C1C">
            <w:pPr>
              <w:tabs>
                <w:tab w:val="left" w:pos="1743"/>
              </w:tabs>
              <w:spacing w:after="0"/>
              <w:jc w:val="both"/>
              <w:rPr>
                <w:rFonts w:ascii="Times New Roman" w:hAnsi="Times New Roman" w:cs="Times New Roman"/>
                <w:lang w:val="it-IT"/>
              </w:rPr>
            </w:pPr>
            <w:r w:rsidRPr="009E686F">
              <w:rPr>
                <w:rFonts w:ascii="Times New Roman" w:hAnsi="Times New Roman" w:cs="Times New Roman"/>
                <w:lang w:val="it-IT"/>
              </w:rPr>
              <w:t xml:space="preserve">5. în Germania, «Kreditanstalt für Wiederaufbau», «Landwirtschaftliche Rentenbank», «Bremer Aufbau-Bank GmbH», «Hamburgische Investitions- und Förderbank», «Investitionsbank Berlin», «Investitionsbank des Landes Brandenburg», «Investitionsbank Sachsen–Anhalt», «Investitionsbank Schleswig-Holstein», «Investitions- und Förderbank Niedersachsen – NBank», «Investitions- und Strukturbank Rheinland-Pfalz», «Landeskreditbank Baden-Württemberg – Förderbank”, "LfA Förderbank Bayern”, “NRW.BANK”, </w:t>
            </w:r>
            <w:r w:rsidRPr="009E686F">
              <w:rPr>
                <w:rFonts w:ascii="Times New Roman" w:hAnsi="Times New Roman" w:cs="Times New Roman"/>
                <w:lang w:val="it-CH"/>
              </w:rPr>
              <w:t>“</w:t>
            </w:r>
            <w:r w:rsidRPr="009E686F">
              <w:rPr>
                <w:rFonts w:ascii="Times New Roman" w:hAnsi="Times New Roman" w:cs="Times New Roman"/>
                <w:lang w:val="it-IT"/>
              </w:rPr>
              <w:t>Saarländische Investitionskreditbank AG», «Sächsische Aufbaubank – Förderbank», «Thüringer Aufbaubank», întreprinderi care, în sensul «Wohnungsgemeinnützigkeitsgesetz», sunt recunoscute ca organisme ale politicii naționale în domeniul locuințelor și care nu sunt angajate în principal în tranzacții bancare, precum și întreprinderi care, în sensul legii respective, sunt recunoscute ca organisme fără scop lucrativ în domeniul locuințelor;</w:t>
            </w:r>
            <w:r w:rsidRPr="009E686F">
              <w:rPr>
                <w:rFonts w:ascii="Times New Roman" w:hAnsi="Times New Roman" w:cs="Times New Roman"/>
                <w:lang w:val="it-CH"/>
              </w:rPr>
              <w:t>”;</w:t>
            </w:r>
          </w:p>
          <w:p w14:paraId="7A2F58D9" w14:textId="77777777" w:rsidR="00ED2C1C" w:rsidRPr="009E686F" w:rsidRDefault="00ED2C1C" w:rsidP="00ED2C1C">
            <w:pPr>
              <w:spacing w:after="0"/>
              <w:jc w:val="both"/>
              <w:rPr>
                <w:rFonts w:ascii="Times New Roman" w:hAnsi="Times New Roman" w:cs="Times New Roman"/>
                <w:lang w:val="it-IT"/>
              </w:rPr>
            </w:pPr>
            <w:r w:rsidRPr="009E686F">
              <w:rPr>
                <w:rFonts w:ascii="Times New Roman" w:hAnsi="Times New Roman" w:cs="Times New Roman"/>
                <w:lang w:val="it-IT"/>
              </w:rPr>
              <w:t>6. în Estonia, "hoiu-laenuühistud", ca întreprinderi cooperative care sunt recunoscute în conformitate cu "hoiu-laenuühistu seadus";</w:t>
            </w:r>
          </w:p>
          <w:p w14:paraId="03ECA8BE" w14:textId="77777777" w:rsidR="00ED2C1C" w:rsidRPr="009E686F" w:rsidRDefault="00ED2C1C" w:rsidP="00ED2C1C">
            <w:pPr>
              <w:spacing w:after="0"/>
              <w:jc w:val="both"/>
              <w:rPr>
                <w:rFonts w:ascii="Times New Roman" w:hAnsi="Times New Roman" w:cs="Times New Roman"/>
              </w:rPr>
            </w:pPr>
            <w:r w:rsidRPr="009E686F">
              <w:rPr>
                <w:rFonts w:ascii="Times New Roman" w:hAnsi="Times New Roman" w:cs="Times New Roman"/>
              </w:rPr>
              <w:t>7. în Irlanda, " Strategic Banking Corporation of Ireland”, credit unions" și "friendly societies";</w:t>
            </w:r>
          </w:p>
          <w:p w14:paraId="29123C4B" w14:textId="77777777" w:rsidR="00ED2C1C" w:rsidRPr="009E686F" w:rsidRDefault="00ED2C1C" w:rsidP="00ED2C1C">
            <w:pPr>
              <w:spacing w:after="0"/>
              <w:jc w:val="both"/>
              <w:rPr>
                <w:rFonts w:ascii="Times New Roman" w:hAnsi="Times New Roman" w:cs="Times New Roman"/>
              </w:rPr>
            </w:pPr>
            <w:r w:rsidRPr="009E686F">
              <w:rPr>
                <w:rFonts w:ascii="Times New Roman" w:hAnsi="Times New Roman" w:cs="Times New Roman"/>
              </w:rPr>
              <w:t>8. în Grecia, "Ταμείο Παρακαταυηκών και Δανείων" (Tamio Parakatathikon kai Danion);</w:t>
            </w:r>
          </w:p>
          <w:p w14:paraId="3B9FD6B9" w14:textId="77777777" w:rsidR="00ED2C1C" w:rsidRPr="009E686F" w:rsidRDefault="00ED2C1C" w:rsidP="00ED2C1C">
            <w:pPr>
              <w:spacing w:after="0"/>
              <w:jc w:val="both"/>
              <w:rPr>
                <w:rFonts w:ascii="Times New Roman" w:hAnsi="Times New Roman" w:cs="Times New Roman"/>
                <w:lang w:val="pt-BR"/>
              </w:rPr>
            </w:pPr>
            <w:r w:rsidRPr="009E686F">
              <w:rPr>
                <w:rFonts w:ascii="Times New Roman" w:hAnsi="Times New Roman" w:cs="Times New Roman"/>
                <w:lang w:val="pt-BR"/>
              </w:rPr>
              <w:t>9. în Spania, "Instituto de Crédito Oficial";</w:t>
            </w:r>
          </w:p>
          <w:p w14:paraId="7DFD4A00" w14:textId="77777777" w:rsidR="00ED2C1C" w:rsidRPr="009E686F" w:rsidRDefault="00ED2C1C" w:rsidP="00ED2C1C">
            <w:pPr>
              <w:spacing w:after="0"/>
              <w:jc w:val="both"/>
              <w:rPr>
                <w:rFonts w:ascii="Times New Roman" w:hAnsi="Times New Roman" w:cs="Times New Roman"/>
                <w:lang w:val="pt-BR"/>
              </w:rPr>
            </w:pPr>
            <w:r w:rsidRPr="009E686F">
              <w:rPr>
                <w:rFonts w:ascii="Times New Roman" w:hAnsi="Times New Roman" w:cs="Times New Roman"/>
                <w:lang w:val="pt-BR"/>
              </w:rPr>
              <w:t>10. în Franța, "Caisse des dépôts et consignations";</w:t>
            </w:r>
          </w:p>
          <w:p w14:paraId="790CD72F" w14:textId="77777777" w:rsidR="00ED2C1C" w:rsidRPr="009E686F" w:rsidRDefault="00ED2C1C" w:rsidP="00ED2C1C">
            <w:pPr>
              <w:spacing w:after="0"/>
              <w:jc w:val="both"/>
              <w:rPr>
                <w:rFonts w:ascii="Times New Roman" w:hAnsi="Times New Roman" w:cs="Times New Roman"/>
                <w:lang w:val="pt-BR"/>
              </w:rPr>
            </w:pPr>
            <w:r w:rsidRPr="009E686F">
              <w:rPr>
                <w:rFonts w:ascii="Times New Roman" w:hAnsi="Times New Roman" w:cs="Times New Roman"/>
                <w:lang w:val="pt-BR"/>
              </w:rPr>
              <w:lastRenderedPageBreak/>
              <w:t>11. în Croația, „kreditne unije” și „Hrvatska banka za obnovu i razvitak”;</w:t>
            </w:r>
          </w:p>
          <w:p w14:paraId="7CA82992" w14:textId="77777777" w:rsidR="00ED2C1C" w:rsidRPr="009E686F" w:rsidRDefault="00ED2C1C" w:rsidP="00ED2C1C">
            <w:pPr>
              <w:spacing w:after="0"/>
              <w:jc w:val="both"/>
              <w:rPr>
                <w:rFonts w:ascii="Times New Roman" w:hAnsi="Times New Roman" w:cs="Times New Roman"/>
                <w:lang w:val="it-CH"/>
              </w:rPr>
            </w:pPr>
            <w:r w:rsidRPr="009E686F">
              <w:rPr>
                <w:rFonts w:ascii="Times New Roman" w:hAnsi="Times New Roman" w:cs="Times New Roman"/>
                <w:lang w:val="it-CH"/>
              </w:rPr>
              <w:t>12. în Italia, "Cassa depositi e prestiti";</w:t>
            </w:r>
          </w:p>
          <w:p w14:paraId="5A4FBDD9" w14:textId="77777777" w:rsidR="00ED2C1C" w:rsidRPr="009E686F" w:rsidRDefault="00ED2C1C" w:rsidP="00ED2C1C">
            <w:pPr>
              <w:spacing w:after="0"/>
              <w:jc w:val="both"/>
              <w:rPr>
                <w:rFonts w:ascii="Times New Roman" w:hAnsi="Times New Roman" w:cs="Times New Roman"/>
                <w:lang w:val="it-CH"/>
              </w:rPr>
            </w:pPr>
            <w:r w:rsidRPr="009E686F">
              <w:rPr>
                <w:rFonts w:ascii="Times New Roman" w:hAnsi="Times New Roman" w:cs="Times New Roman"/>
                <w:lang w:val="it-CH"/>
              </w:rPr>
              <w:t>13. în Letonia, "krājaizdevu sabiedrības", întreprinderi care sunt recunoscute în conformitate cu "krājaizdevu sabiedrību likums" ca întreprinderi cooperative prestatoare de servicii financiare numai către membrii lor;</w:t>
            </w:r>
          </w:p>
          <w:p w14:paraId="403318C1" w14:textId="77777777" w:rsidR="00ED2C1C" w:rsidRPr="009E686F" w:rsidRDefault="00ED2C1C" w:rsidP="00ED2C1C">
            <w:pPr>
              <w:spacing w:after="0"/>
              <w:jc w:val="both"/>
              <w:rPr>
                <w:rFonts w:ascii="Times New Roman" w:hAnsi="Times New Roman" w:cs="Times New Roman"/>
                <w:lang w:val="it-CH"/>
              </w:rPr>
            </w:pPr>
            <w:r w:rsidRPr="009E686F">
              <w:rPr>
                <w:rFonts w:ascii="Times New Roman" w:hAnsi="Times New Roman" w:cs="Times New Roman"/>
                <w:lang w:val="it-CH"/>
              </w:rPr>
              <w:t>14. în Lituania, "kredito unijos", altele decât "centrines kredito unijos";</w:t>
            </w:r>
          </w:p>
          <w:p w14:paraId="034985AD" w14:textId="77777777" w:rsidR="00ED2C1C" w:rsidRPr="009E686F" w:rsidRDefault="00ED2C1C" w:rsidP="00ED2C1C">
            <w:pPr>
              <w:spacing w:after="0"/>
              <w:jc w:val="both"/>
              <w:rPr>
                <w:rFonts w:ascii="Times New Roman" w:hAnsi="Times New Roman" w:cs="Times New Roman"/>
                <w:lang w:val="it-CH"/>
              </w:rPr>
            </w:pPr>
            <w:r w:rsidRPr="009E686F">
              <w:rPr>
                <w:rFonts w:ascii="Times New Roman" w:hAnsi="Times New Roman" w:cs="Times New Roman"/>
                <w:lang w:val="it-CH"/>
              </w:rPr>
              <w:t>15. în Ungaria, "MFB Magyar Fejlesztési Bank Zártkörűen Működő Részvénytársaság" și "Magyar Export-Import Bank Zártkörűen Működő Részvénytársaság";</w:t>
            </w:r>
          </w:p>
          <w:p w14:paraId="3699DDFE" w14:textId="77777777" w:rsidR="00ED2C1C" w:rsidRPr="009E686F" w:rsidRDefault="00ED2C1C" w:rsidP="00ED2C1C">
            <w:pPr>
              <w:spacing w:after="0"/>
              <w:jc w:val="both"/>
              <w:rPr>
                <w:rFonts w:ascii="Times New Roman" w:hAnsi="Times New Roman" w:cs="Times New Roman"/>
              </w:rPr>
            </w:pPr>
            <w:r w:rsidRPr="009E686F">
              <w:rPr>
                <w:rFonts w:ascii="Times New Roman" w:hAnsi="Times New Roman" w:cs="Times New Roman"/>
              </w:rPr>
              <w:t>16. în Malta, „The Malta Development Bank”;</w:t>
            </w:r>
          </w:p>
          <w:p w14:paraId="47E63031" w14:textId="77777777" w:rsidR="00ED2C1C" w:rsidRPr="009E686F" w:rsidRDefault="00ED2C1C" w:rsidP="00ED2C1C">
            <w:pPr>
              <w:spacing w:after="0"/>
              <w:jc w:val="both"/>
              <w:rPr>
                <w:rFonts w:ascii="Times New Roman" w:hAnsi="Times New Roman" w:cs="Times New Roman"/>
              </w:rPr>
            </w:pPr>
            <w:r w:rsidRPr="009E686F">
              <w:rPr>
                <w:rFonts w:ascii="Times New Roman" w:hAnsi="Times New Roman" w:cs="Times New Roman"/>
              </w:rPr>
              <w:t xml:space="preserve">17. în Țările de Jos, "Nederlandse Investeringsbank voor Ontwikkelingslanden NV", "NV Noordelijke Ontwikkelingsmaatschappij", "NV Limburgs Instituut voor Ontwikkeling en Financiering", "Overijsselse Ontwikkelingsmaatschappij </w:t>
            </w:r>
            <w:r w:rsidRPr="009E686F">
              <w:rPr>
                <w:rFonts w:ascii="Times New Roman" w:eastAsia="Times New Roman" w:hAnsi="Times New Roman" w:cs="Times New Roman"/>
                <w:color w:val="000000"/>
                <w:lang w:eastAsia="ro-MD"/>
              </w:rPr>
              <w:t xml:space="preserve">Oost-Nederland </w:t>
            </w:r>
            <w:r w:rsidRPr="009E686F">
              <w:rPr>
                <w:rFonts w:ascii="Times New Roman" w:hAnsi="Times New Roman" w:cs="Times New Roman"/>
              </w:rPr>
              <w:t xml:space="preserve">NV" și </w:t>
            </w:r>
            <w:r w:rsidRPr="009E686F">
              <w:rPr>
                <w:rFonts w:ascii="Times New Roman" w:eastAsia="Times New Roman" w:hAnsi="Times New Roman" w:cs="Times New Roman"/>
                <w:color w:val="000000"/>
                <w:lang w:eastAsia="ro-MD"/>
              </w:rPr>
              <w:t>„kredietunies”;</w:t>
            </w:r>
          </w:p>
          <w:p w14:paraId="64D3AD40" w14:textId="77777777" w:rsidR="00ED2C1C" w:rsidRPr="009E686F" w:rsidRDefault="00ED2C1C" w:rsidP="00ED2C1C">
            <w:pPr>
              <w:spacing w:after="0"/>
              <w:jc w:val="both"/>
              <w:rPr>
                <w:rFonts w:ascii="Times New Roman" w:hAnsi="Times New Roman" w:cs="Times New Roman"/>
              </w:rPr>
            </w:pPr>
            <w:r w:rsidRPr="009E686F">
              <w:rPr>
                <w:rFonts w:ascii="Times New Roman" w:hAnsi="Times New Roman" w:cs="Times New Roman"/>
              </w:rPr>
              <w:t>18. în Austria, întreprinderile recunoscute ca asociații de interes public în domeniul locuințelor și "Österreichische Kontrollbank AG și «Oesterreichische Entwicklungsbank – OeEB»";</w:t>
            </w:r>
          </w:p>
          <w:p w14:paraId="27AA6E35" w14:textId="77777777" w:rsidR="00ED2C1C" w:rsidRPr="009E686F" w:rsidRDefault="00ED2C1C" w:rsidP="00ED2C1C">
            <w:pPr>
              <w:spacing w:after="0"/>
              <w:jc w:val="both"/>
              <w:rPr>
                <w:rFonts w:ascii="Times New Roman" w:hAnsi="Times New Roman" w:cs="Times New Roman"/>
              </w:rPr>
            </w:pPr>
            <w:r w:rsidRPr="009E686F">
              <w:rPr>
                <w:rFonts w:ascii="Times New Roman" w:hAnsi="Times New Roman" w:cs="Times New Roman"/>
              </w:rPr>
              <w:t>19. în Polonia, "Spółdzielcze Kasy Oszczędnościowo – Kredytowe" și "Bank Gospodarstwa Krajowego";</w:t>
            </w:r>
          </w:p>
          <w:p w14:paraId="5052A7B1" w14:textId="77777777" w:rsidR="00ED2C1C" w:rsidRPr="009E686F" w:rsidRDefault="00ED2C1C" w:rsidP="00ED2C1C">
            <w:pPr>
              <w:spacing w:after="0"/>
              <w:jc w:val="both"/>
              <w:rPr>
                <w:rFonts w:ascii="Times New Roman" w:hAnsi="Times New Roman" w:cs="Times New Roman"/>
                <w:lang w:val="pt-BR"/>
              </w:rPr>
            </w:pPr>
            <w:r w:rsidRPr="009E686F">
              <w:rPr>
                <w:rFonts w:ascii="Times New Roman" w:hAnsi="Times New Roman" w:cs="Times New Roman"/>
                <w:lang w:val="pt-BR"/>
              </w:rPr>
              <w:t>20. în Portugalia, "Caixas Económicas" existente la 1 ianuarie 1986, cu excepția celor constituite ca societăți anonime, precum și "Caixa Económica Montepio Geral";</w:t>
            </w:r>
          </w:p>
          <w:p w14:paraId="0DF8133C" w14:textId="77777777" w:rsidR="00ED2C1C" w:rsidRPr="009E686F" w:rsidRDefault="00ED2C1C" w:rsidP="00ED2C1C">
            <w:pPr>
              <w:spacing w:after="0"/>
              <w:jc w:val="both"/>
              <w:rPr>
                <w:rFonts w:ascii="Times New Roman" w:hAnsi="Times New Roman" w:cs="Times New Roman"/>
                <w:lang w:val="it-CH"/>
              </w:rPr>
            </w:pPr>
            <w:r w:rsidRPr="009E686F">
              <w:rPr>
                <w:rFonts w:ascii="Times New Roman" w:hAnsi="Times New Roman" w:cs="Times New Roman"/>
                <w:lang w:val="it-CH"/>
              </w:rPr>
              <w:t>20a. în România, «Banca de Investiții și Dezvoltare – S.A.»</w:t>
            </w:r>
          </w:p>
          <w:p w14:paraId="0106A7C9" w14:textId="77777777" w:rsidR="00ED2C1C" w:rsidRPr="009E686F" w:rsidRDefault="00ED2C1C" w:rsidP="00ED2C1C">
            <w:pPr>
              <w:spacing w:after="0"/>
              <w:jc w:val="both"/>
              <w:rPr>
                <w:rFonts w:ascii="Times New Roman" w:hAnsi="Times New Roman" w:cs="Times New Roman"/>
                <w:lang w:val="it-CH"/>
              </w:rPr>
            </w:pPr>
            <w:r w:rsidRPr="009E686F">
              <w:rPr>
                <w:rFonts w:ascii="Times New Roman" w:hAnsi="Times New Roman" w:cs="Times New Roman"/>
                <w:lang w:val="it-CH"/>
              </w:rPr>
              <w:t>21. în Slovenia, "SID-Slovenska izvozna in razvojna banka, d.d. Ljubljana";</w:t>
            </w:r>
          </w:p>
          <w:p w14:paraId="775F8C54" w14:textId="77777777" w:rsidR="00ED2C1C" w:rsidRPr="009E686F" w:rsidRDefault="00ED2C1C" w:rsidP="00ED2C1C">
            <w:pPr>
              <w:spacing w:after="0"/>
              <w:jc w:val="both"/>
              <w:rPr>
                <w:rFonts w:ascii="Times New Roman" w:hAnsi="Times New Roman" w:cs="Times New Roman"/>
                <w:lang w:val="it-CH"/>
              </w:rPr>
            </w:pPr>
            <w:r w:rsidRPr="009E686F">
              <w:rPr>
                <w:rFonts w:ascii="Times New Roman" w:hAnsi="Times New Roman" w:cs="Times New Roman"/>
                <w:lang w:val="it-CH"/>
              </w:rPr>
              <w:lastRenderedPageBreak/>
              <w:t>22. în Finlanda, "Teollisen yhteistyön rahasto Oy/Fonden för industriellt samarbete AB" și "Finnvera Oyj/Finnvera Abp";</w:t>
            </w:r>
          </w:p>
          <w:p w14:paraId="5C5B83C9" w14:textId="7BC1CC35" w:rsidR="00ED2C1C" w:rsidRPr="009E686F" w:rsidRDefault="00ED2C1C" w:rsidP="00ED2C1C">
            <w:pPr>
              <w:spacing w:after="0"/>
              <w:jc w:val="both"/>
              <w:rPr>
                <w:rFonts w:ascii="Times New Roman" w:hAnsi="Times New Roman" w:cs="Times New Roman"/>
                <w:lang w:val="it-IT"/>
              </w:rPr>
            </w:pPr>
            <w:r w:rsidRPr="009E686F">
              <w:rPr>
                <w:rFonts w:ascii="Times New Roman" w:hAnsi="Times New Roman" w:cs="Times New Roman"/>
              </w:rPr>
              <w:t>23. în Suedia, "Svenska Skeppshypotekskassan";</w:t>
            </w:r>
          </w:p>
        </w:tc>
        <w:tc>
          <w:tcPr>
            <w:tcW w:w="1834" w:type="pct"/>
            <w:tcBorders>
              <w:top w:val="single" w:sz="4" w:space="0" w:color="auto"/>
              <w:left w:val="single" w:sz="4" w:space="0" w:color="auto"/>
              <w:bottom w:val="single" w:sz="4" w:space="0" w:color="auto"/>
              <w:right w:val="single" w:sz="4" w:space="0" w:color="auto"/>
            </w:tcBorders>
          </w:tcPr>
          <w:p w14:paraId="3DDB9015" w14:textId="73498474" w:rsidR="00ED2C1C" w:rsidRPr="009E686F" w:rsidRDefault="00ED2C1C" w:rsidP="00ED2C1C">
            <w:pPr>
              <w:spacing w:after="0"/>
              <w:jc w:val="both"/>
              <w:rPr>
                <w:rFonts w:ascii="Times New Roman" w:hAnsi="Times New Roman" w:cs="Times New Roman"/>
                <w:i/>
                <w:lang w:val="pt-BR"/>
              </w:rPr>
            </w:pPr>
            <w:r w:rsidRPr="009E686F">
              <w:rPr>
                <w:rFonts w:ascii="Times New Roman" w:hAnsi="Times New Roman" w:cs="Times New Roman"/>
                <w:i/>
                <w:lang w:val="pt-BR"/>
              </w:rPr>
              <w:lastRenderedPageBreak/>
              <w:t xml:space="preserve">c) </w:t>
            </w:r>
            <w:r w:rsidR="00F95A38" w:rsidRPr="009E686F">
              <w:rPr>
                <w:rFonts w:ascii="Times New Roman" w:hAnsi="Times New Roman" w:cs="Times New Roman"/>
                <w:i/>
                <w:lang w:val="pt-BR"/>
              </w:rPr>
              <w:t xml:space="preserve">instituțiilor prevăzute la art. 2 alin. (5) pct. 4-23 din </w:t>
            </w:r>
            <w:r w:rsidR="00F12294" w:rsidRPr="009E686F">
              <w:rPr>
                <w:rFonts w:ascii="Times New Roman" w:hAnsi="Times New Roman" w:cs="Times New Roman"/>
                <w:i/>
                <w:lang w:val="pt-BR"/>
              </w:rPr>
              <w:t>Directiva 2013/36/UE a Parlamentului European și a Consiliului din 26 iunie 2013 cu privire la accesul la activitatea instituțiilor de credit și supravegherea prudențială a instituțiilor de credit și a firmelor de investiții, de modificare a Directivei 2002/87/CE și de abrogare a Directivelor 2006/48/CE și 2006/49/CE</w:t>
            </w:r>
            <w:r w:rsidRPr="009E686F">
              <w:rPr>
                <w:rFonts w:ascii="Times New Roman" w:hAnsi="Times New Roman" w:cs="Times New Roman"/>
                <w:i/>
                <w:lang w:val="pt-BR"/>
              </w:rPr>
              <w:t>;</w:t>
            </w:r>
          </w:p>
        </w:tc>
        <w:tc>
          <w:tcPr>
            <w:tcW w:w="470" w:type="pct"/>
            <w:tcBorders>
              <w:top w:val="single" w:sz="4" w:space="0" w:color="auto"/>
              <w:left w:val="single" w:sz="4" w:space="0" w:color="auto"/>
              <w:bottom w:val="single" w:sz="4" w:space="0" w:color="auto"/>
              <w:right w:val="single" w:sz="4" w:space="0" w:color="auto"/>
            </w:tcBorders>
          </w:tcPr>
          <w:p w14:paraId="2B335C35" w14:textId="471DB208" w:rsidR="00ED2C1C" w:rsidRPr="009E686F" w:rsidRDefault="00ED2C1C" w:rsidP="00A51D47">
            <w:pPr>
              <w:jc w:val="both"/>
              <w:rPr>
                <w:rFonts w:ascii="Times New Roman" w:hAnsi="Times New Roman" w:cs="Times New Roman"/>
                <w:lang w:val="it-CH"/>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6C652A47" w14:textId="77777777" w:rsidR="00ED2C1C" w:rsidRPr="009E686F" w:rsidRDefault="00ED2C1C" w:rsidP="00515783">
            <w:pPr>
              <w:spacing w:after="0"/>
              <w:jc w:val="both"/>
              <w:rPr>
                <w:rFonts w:ascii="Times New Roman" w:hAnsi="Times New Roman" w:cs="Times New Roman"/>
                <w:lang w:val="it-CH"/>
              </w:rPr>
            </w:pPr>
          </w:p>
        </w:tc>
      </w:tr>
      <w:tr w:rsidR="00B30AFC" w:rsidRPr="009E686F" w14:paraId="3962CAA2" w14:textId="7B073EFB" w:rsidTr="00960C23">
        <w:tc>
          <w:tcPr>
            <w:tcW w:w="1890" w:type="pct"/>
            <w:tcBorders>
              <w:top w:val="single" w:sz="4" w:space="0" w:color="auto"/>
              <w:left w:val="single" w:sz="4" w:space="0" w:color="auto"/>
              <w:bottom w:val="single" w:sz="4" w:space="0" w:color="auto"/>
              <w:right w:val="single" w:sz="4" w:space="0" w:color="auto"/>
            </w:tcBorders>
          </w:tcPr>
          <w:p w14:paraId="1C634FF5" w14:textId="3846A236" w:rsidR="00F8180E" w:rsidRPr="009E686F" w:rsidRDefault="00F8180E" w:rsidP="00ED2C1C">
            <w:pPr>
              <w:spacing w:after="0"/>
              <w:jc w:val="both"/>
              <w:rPr>
                <w:rFonts w:ascii="Times New Roman" w:hAnsi="Times New Roman" w:cs="Times New Roman"/>
                <w:lang w:val="it-CH"/>
              </w:rPr>
            </w:pPr>
            <w:r w:rsidRPr="009E686F">
              <w:rPr>
                <w:rFonts w:ascii="Times New Roman" w:hAnsi="Times New Roman" w:cs="Times New Roman"/>
                <w:lang w:val="it-CH"/>
              </w:rPr>
              <w:lastRenderedPageBreak/>
              <w:t>(6) Entitățile menționate la alineatul (5)  punctele 3-23 din prezentul articol sunt tratate ca instituții financiare în sensul articolului 34 și al titlului VII capitolul 3.</w:t>
            </w:r>
          </w:p>
        </w:tc>
        <w:tc>
          <w:tcPr>
            <w:tcW w:w="1834" w:type="pct"/>
            <w:tcBorders>
              <w:top w:val="single" w:sz="4" w:space="0" w:color="auto"/>
              <w:left w:val="single" w:sz="4" w:space="0" w:color="auto"/>
              <w:bottom w:val="single" w:sz="4" w:space="0" w:color="auto"/>
              <w:right w:val="single" w:sz="4" w:space="0" w:color="auto"/>
            </w:tcBorders>
          </w:tcPr>
          <w:p w14:paraId="5D6B713E" w14:textId="666B3BBE" w:rsidR="00F8180E" w:rsidRPr="009E686F" w:rsidRDefault="00C13B74" w:rsidP="00ED2C1C">
            <w:pPr>
              <w:spacing w:after="0"/>
              <w:jc w:val="both"/>
              <w:rPr>
                <w:rFonts w:ascii="Times New Roman" w:hAnsi="Times New Roman" w:cs="Times New Roman"/>
                <w:i/>
                <w:iCs/>
                <w:lang w:val="it-CH"/>
              </w:rPr>
            </w:pPr>
            <w:r w:rsidRPr="009E686F">
              <w:rPr>
                <w:rFonts w:ascii="Times New Roman" w:hAnsi="Times New Roman" w:cs="Times New Roman"/>
                <w:i/>
                <w:iCs/>
                <w:lang w:val="it-CH"/>
              </w:rPr>
              <w:t>(1</w:t>
            </w:r>
            <w:r w:rsidR="00CB20A7" w:rsidRPr="009E686F">
              <w:rPr>
                <w:rFonts w:ascii="Times New Roman" w:hAnsi="Times New Roman" w:cs="Times New Roman"/>
                <w:i/>
                <w:iCs/>
                <w:vertAlign w:val="superscript"/>
                <w:lang w:val="it-CH"/>
              </w:rPr>
              <w:t>2</w:t>
            </w:r>
            <w:r w:rsidRPr="009E686F">
              <w:rPr>
                <w:rFonts w:ascii="Times New Roman" w:hAnsi="Times New Roman" w:cs="Times New Roman"/>
                <w:i/>
                <w:iCs/>
                <w:lang w:val="it-CH"/>
              </w:rPr>
              <w:t>) Entitățile prevăzute la alin. (1</w:t>
            </w:r>
            <w:r w:rsidRPr="009E686F">
              <w:rPr>
                <w:rFonts w:ascii="Times New Roman" w:hAnsi="Times New Roman" w:cs="Times New Roman"/>
                <w:i/>
                <w:iCs/>
                <w:vertAlign w:val="superscript"/>
                <w:lang w:val="it-CH"/>
              </w:rPr>
              <w:t>1</w:t>
            </w:r>
            <w:r w:rsidRPr="009E686F">
              <w:rPr>
                <w:rFonts w:ascii="Times New Roman" w:hAnsi="Times New Roman" w:cs="Times New Roman"/>
                <w:i/>
                <w:iCs/>
                <w:lang w:val="it-CH"/>
              </w:rPr>
              <w:t xml:space="preserve">) lit. </w:t>
            </w:r>
            <w:r w:rsidR="0072400E" w:rsidRPr="009E686F">
              <w:rPr>
                <w:rFonts w:ascii="Times New Roman" w:hAnsi="Times New Roman" w:cs="Times New Roman"/>
                <w:i/>
                <w:iCs/>
                <w:lang w:val="it-CH"/>
              </w:rPr>
              <w:t>b)</w:t>
            </w:r>
            <w:r w:rsidR="00DC6D03" w:rsidRPr="009E686F">
              <w:rPr>
                <w:rFonts w:ascii="Times New Roman" w:hAnsi="Times New Roman" w:cs="Times New Roman"/>
                <w:i/>
                <w:iCs/>
                <w:lang w:val="it-CH"/>
              </w:rPr>
              <w:t xml:space="preserve"> și</w:t>
            </w:r>
            <w:r w:rsidRPr="009E686F">
              <w:rPr>
                <w:rFonts w:ascii="Times New Roman" w:hAnsi="Times New Roman" w:cs="Times New Roman"/>
                <w:i/>
                <w:iCs/>
                <w:lang w:val="it-CH"/>
              </w:rPr>
              <w:t>c) sunt tratate ca instituții financiare în sensul art. 23</w:t>
            </w:r>
            <w:r w:rsidRPr="009E686F">
              <w:rPr>
                <w:rFonts w:ascii="Times New Roman" w:hAnsi="Times New Roman" w:cs="Times New Roman"/>
                <w:i/>
                <w:iCs/>
                <w:vertAlign w:val="superscript"/>
                <w:lang w:val="it-CH"/>
              </w:rPr>
              <w:t>5</w:t>
            </w:r>
            <w:r w:rsidRPr="009E686F">
              <w:rPr>
                <w:rFonts w:ascii="Times New Roman" w:hAnsi="Times New Roman" w:cs="Times New Roman"/>
                <w:i/>
                <w:iCs/>
                <w:lang w:val="it-CH"/>
              </w:rPr>
              <w:t xml:space="preserve"> și al Titlului V Capitolul 2.</w:t>
            </w:r>
          </w:p>
        </w:tc>
        <w:tc>
          <w:tcPr>
            <w:tcW w:w="470" w:type="pct"/>
            <w:tcBorders>
              <w:top w:val="single" w:sz="4" w:space="0" w:color="auto"/>
              <w:left w:val="single" w:sz="4" w:space="0" w:color="auto"/>
              <w:bottom w:val="single" w:sz="4" w:space="0" w:color="auto"/>
              <w:right w:val="single" w:sz="4" w:space="0" w:color="auto"/>
            </w:tcBorders>
          </w:tcPr>
          <w:p w14:paraId="5B831FBB" w14:textId="55E6BF9A" w:rsidR="00F8180E" w:rsidRPr="009E686F" w:rsidRDefault="00F8180E" w:rsidP="00F8180E">
            <w:pPr>
              <w:jc w:val="both"/>
              <w:rPr>
                <w:rFonts w:ascii="Times New Roman" w:hAnsi="Times New Roman" w:cs="Times New Roman"/>
              </w:rPr>
            </w:pPr>
            <w:r w:rsidRPr="009E686F">
              <w:rPr>
                <w:rFonts w:ascii="Times New Roman" w:hAnsi="Times New Roman" w:cs="Times New Roman"/>
                <w:lang w:val="it-CH"/>
              </w:rPr>
              <w:t>Compatibil</w:t>
            </w:r>
          </w:p>
        </w:tc>
        <w:tc>
          <w:tcPr>
            <w:tcW w:w="806" w:type="pct"/>
            <w:tcBorders>
              <w:top w:val="single" w:sz="4" w:space="0" w:color="auto"/>
              <w:left w:val="single" w:sz="4" w:space="0" w:color="auto"/>
              <w:bottom w:val="single" w:sz="4" w:space="0" w:color="auto"/>
              <w:right w:val="single" w:sz="4" w:space="0" w:color="auto"/>
            </w:tcBorders>
          </w:tcPr>
          <w:p w14:paraId="7DE4461D" w14:textId="01509F89" w:rsidR="00F8180E" w:rsidRPr="009E686F" w:rsidRDefault="00985A43" w:rsidP="00515783">
            <w:pPr>
              <w:spacing w:after="0"/>
              <w:jc w:val="both"/>
              <w:rPr>
                <w:rFonts w:ascii="Times New Roman" w:hAnsi="Times New Roman" w:cs="Times New Roman"/>
                <w:lang w:val="ro-RO"/>
              </w:rPr>
            </w:pPr>
            <w:bookmarkStart w:id="0" w:name="_Hlk237334844"/>
            <w:r w:rsidRPr="009E686F">
              <w:rPr>
                <w:rFonts w:ascii="Times New Roman" w:hAnsi="Times New Roman" w:cs="Times New Roman"/>
                <w:lang w:val="ro-RO"/>
              </w:rPr>
              <w:t>În vigoare – data aderării</w:t>
            </w:r>
            <w:r w:rsidR="002F2B59" w:rsidRPr="009E686F">
              <w:rPr>
                <w:rFonts w:ascii="Times New Roman" w:hAnsi="Times New Roman" w:cs="Times New Roman"/>
                <w:lang w:val="ro-RO"/>
              </w:rPr>
              <w:t xml:space="preserve"> în partea care se referă la completarea cu </w:t>
            </w:r>
            <w:r w:rsidR="002F2B59" w:rsidRPr="009E686F">
              <w:rPr>
                <w:rFonts w:ascii="Times New Roman" w:hAnsi="Times New Roman" w:cs="Times New Roman"/>
                <w:lang w:val="it-CH"/>
              </w:rPr>
              <w:t>“</w:t>
            </w:r>
            <w:r w:rsidR="002F2B59" w:rsidRPr="009E686F">
              <w:rPr>
                <w:rFonts w:ascii="Times New Roman" w:hAnsi="Times New Roman" w:cs="Times New Roman"/>
                <w:i/>
                <w:iCs/>
                <w:lang w:val="it-CH"/>
              </w:rPr>
              <w:t>în sensul art. 23</w:t>
            </w:r>
            <w:r w:rsidR="002F2B59" w:rsidRPr="009E686F">
              <w:rPr>
                <w:rFonts w:ascii="Times New Roman" w:hAnsi="Times New Roman" w:cs="Times New Roman"/>
                <w:i/>
                <w:iCs/>
                <w:vertAlign w:val="superscript"/>
                <w:lang w:val="it-CH"/>
              </w:rPr>
              <w:t>5</w:t>
            </w:r>
            <w:r w:rsidR="002F2B59" w:rsidRPr="009E686F">
              <w:rPr>
                <w:rFonts w:ascii="Times New Roman" w:hAnsi="Times New Roman" w:cs="Times New Roman"/>
                <w:lang w:val="it-CH"/>
              </w:rPr>
              <w:t>”</w:t>
            </w:r>
            <w:r w:rsidRPr="009E686F">
              <w:rPr>
                <w:rFonts w:ascii="Times New Roman" w:hAnsi="Times New Roman" w:cs="Times New Roman"/>
                <w:lang w:val="ro-RO"/>
              </w:rPr>
              <w:t>.</w:t>
            </w:r>
            <w:bookmarkEnd w:id="0"/>
          </w:p>
        </w:tc>
      </w:tr>
      <w:tr w:rsidR="00B30AFC" w:rsidRPr="009E686F" w14:paraId="2CC04BA5" w14:textId="2FEF84FE" w:rsidTr="00960C23">
        <w:tc>
          <w:tcPr>
            <w:tcW w:w="1890" w:type="pct"/>
            <w:tcBorders>
              <w:top w:val="single" w:sz="4" w:space="0" w:color="auto"/>
              <w:left w:val="single" w:sz="4" w:space="0" w:color="auto"/>
              <w:bottom w:val="single" w:sz="4" w:space="0" w:color="auto"/>
              <w:right w:val="single" w:sz="4" w:space="0" w:color="auto"/>
            </w:tcBorders>
            <w:shd w:val="clear" w:color="auto" w:fill="auto"/>
          </w:tcPr>
          <w:p w14:paraId="4175CEF9" w14:textId="1B840EE4" w:rsidR="008B459B" w:rsidRPr="009E686F" w:rsidRDefault="00F8180E" w:rsidP="00ED2C1C">
            <w:pPr>
              <w:spacing w:after="0"/>
              <w:jc w:val="both"/>
              <w:rPr>
                <w:rFonts w:ascii="Times New Roman" w:hAnsi="Times New Roman" w:cs="Times New Roman"/>
                <w:b/>
                <w:bCs/>
              </w:rPr>
            </w:pPr>
            <w:r w:rsidRPr="009E686F">
              <w:rPr>
                <w:rFonts w:ascii="Times New Roman" w:hAnsi="Times New Roman" w:cs="Times New Roman"/>
              </w:rPr>
              <w:t>Articolul 3</w:t>
            </w:r>
          </w:p>
          <w:p w14:paraId="2F6F8274" w14:textId="0F155BF7" w:rsidR="00F8180E" w:rsidRPr="009E686F" w:rsidRDefault="00F8180E" w:rsidP="00ED2C1C">
            <w:pPr>
              <w:spacing w:after="0"/>
              <w:jc w:val="both"/>
              <w:rPr>
                <w:rFonts w:ascii="Times New Roman" w:hAnsi="Times New Roman" w:cs="Times New Roman"/>
              </w:rPr>
            </w:pPr>
            <w:r w:rsidRPr="009E686F">
              <w:rPr>
                <w:rFonts w:ascii="Times New Roman" w:hAnsi="Times New Roman" w:cs="Times New Roman"/>
              </w:rPr>
              <w:t>Definiții</w:t>
            </w:r>
          </w:p>
        </w:tc>
        <w:tc>
          <w:tcPr>
            <w:tcW w:w="1834" w:type="pct"/>
            <w:tcBorders>
              <w:top w:val="single" w:sz="4" w:space="0" w:color="auto"/>
              <w:left w:val="single" w:sz="4" w:space="0" w:color="auto"/>
              <w:bottom w:val="single" w:sz="4" w:space="0" w:color="auto"/>
              <w:right w:val="single" w:sz="4" w:space="0" w:color="auto"/>
            </w:tcBorders>
          </w:tcPr>
          <w:p w14:paraId="0206A965" w14:textId="5C01A5C1" w:rsidR="00F8180E" w:rsidRPr="009E686F" w:rsidRDefault="00F8180E" w:rsidP="00ED2C1C">
            <w:pPr>
              <w:spacing w:after="0"/>
              <w:jc w:val="both"/>
              <w:rPr>
                <w:rFonts w:ascii="Times New Roman" w:hAnsi="Times New Roman" w:cs="Times New Roman"/>
                <w:b/>
              </w:rPr>
            </w:pPr>
            <w:r w:rsidRPr="009E686F">
              <w:rPr>
                <w:rFonts w:ascii="Times New Roman" w:hAnsi="Times New Roman" w:cs="Times New Roman"/>
                <w:b/>
                <w:bCs/>
              </w:rPr>
              <w:t>Articolul 3.</w:t>
            </w:r>
            <w:r w:rsidRPr="009E686F">
              <w:rPr>
                <w:rFonts w:ascii="Times New Roman" w:hAnsi="Times New Roman" w:cs="Times New Roman"/>
              </w:rPr>
              <w:t xml:space="preserve"> Definiții</w:t>
            </w:r>
          </w:p>
        </w:tc>
        <w:tc>
          <w:tcPr>
            <w:tcW w:w="470" w:type="pct"/>
            <w:tcBorders>
              <w:top w:val="single" w:sz="4" w:space="0" w:color="auto"/>
              <w:left w:val="single" w:sz="4" w:space="0" w:color="auto"/>
              <w:bottom w:val="single" w:sz="4" w:space="0" w:color="auto"/>
              <w:right w:val="single" w:sz="4" w:space="0" w:color="auto"/>
            </w:tcBorders>
          </w:tcPr>
          <w:p w14:paraId="56FEA90B" w14:textId="03B0D97A" w:rsidR="00F8180E" w:rsidRPr="009E686F" w:rsidRDefault="00F8180E" w:rsidP="00F8180E">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549D2C7B" w14:textId="50653DBF" w:rsidR="00F8180E" w:rsidRPr="009E686F" w:rsidRDefault="00F8180E" w:rsidP="00515783">
            <w:pPr>
              <w:spacing w:after="0"/>
              <w:jc w:val="both"/>
              <w:rPr>
                <w:rFonts w:ascii="Times New Roman" w:hAnsi="Times New Roman" w:cs="Times New Roman"/>
              </w:rPr>
            </w:pPr>
          </w:p>
        </w:tc>
      </w:tr>
      <w:tr w:rsidR="00B30AFC" w:rsidRPr="009E686F" w14:paraId="233A2449" w14:textId="7E9DF267" w:rsidTr="00960C23">
        <w:tc>
          <w:tcPr>
            <w:tcW w:w="1890" w:type="pct"/>
            <w:tcBorders>
              <w:top w:val="single" w:sz="4" w:space="0" w:color="auto"/>
              <w:left w:val="single" w:sz="4" w:space="0" w:color="auto"/>
              <w:bottom w:val="single" w:sz="4" w:space="0" w:color="auto"/>
              <w:right w:val="single" w:sz="4" w:space="0" w:color="auto"/>
            </w:tcBorders>
          </w:tcPr>
          <w:p w14:paraId="18EF0BFF" w14:textId="7CA41D67" w:rsidR="00F8180E" w:rsidRPr="009E686F" w:rsidRDefault="00F8180E" w:rsidP="00ED2C1C">
            <w:pPr>
              <w:pStyle w:val="af4"/>
              <w:numPr>
                <w:ilvl w:val="0"/>
                <w:numId w:val="23"/>
              </w:numPr>
              <w:tabs>
                <w:tab w:val="left" w:pos="326"/>
              </w:tabs>
              <w:spacing w:after="0"/>
              <w:ind w:left="-100" w:firstLine="0"/>
              <w:jc w:val="both"/>
              <w:rPr>
                <w:rFonts w:ascii="Times New Roman" w:hAnsi="Times New Roman" w:cs="Times New Roman"/>
                <w:lang w:val="pt-BR"/>
              </w:rPr>
            </w:pPr>
            <w:r w:rsidRPr="009E686F">
              <w:rPr>
                <w:rFonts w:ascii="Times New Roman" w:hAnsi="Times New Roman" w:cs="Times New Roman"/>
                <w:lang w:val="pt-BR"/>
              </w:rPr>
              <w:t>În sensul prezentei directive, se aplică următoarele definiții:</w:t>
            </w:r>
          </w:p>
        </w:tc>
        <w:tc>
          <w:tcPr>
            <w:tcW w:w="1834" w:type="pct"/>
            <w:tcBorders>
              <w:top w:val="single" w:sz="4" w:space="0" w:color="auto"/>
              <w:left w:val="single" w:sz="4" w:space="0" w:color="auto"/>
              <w:bottom w:val="single" w:sz="4" w:space="0" w:color="auto"/>
              <w:right w:val="single" w:sz="4" w:space="0" w:color="auto"/>
            </w:tcBorders>
          </w:tcPr>
          <w:p w14:paraId="52D24466" w14:textId="77777777" w:rsidR="00F8180E" w:rsidRPr="009E686F" w:rsidRDefault="00F8180E" w:rsidP="00ED2C1C">
            <w:pPr>
              <w:spacing w:after="0"/>
              <w:jc w:val="both"/>
              <w:rPr>
                <w:rFonts w:ascii="Times New Roman" w:hAnsi="Times New Roman" w:cs="Times New Roman"/>
                <w:b/>
                <w:lang w:val="it-CH"/>
              </w:rPr>
            </w:pPr>
            <w:r w:rsidRPr="009E686F">
              <w:rPr>
                <w:rFonts w:ascii="Times New Roman" w:hAnsi="Times New Roman" w:cs="Times New Roman"/>
                <w:lang w:val="it-CH"/>
              </w:rPr>
              <w:t>În sensul prezentei legi, se aplică următoarele definiții:</w:t>
            </w:r>
          </w:p>
        </w:tc>
        <w:tc>
          <w:tcPr>
            <w:tcW w:w="470" w:type="pct"/>
            <w:tcBorders>
              <w:top w:val="single" w:sz="4" w:space="0" w:color="auto"/>
              <w:left w:val="single" w:sz="4" w:space="0" w:color="auto"/>
              <w:bottom w:val="single" w:sz="4" w:space="0" w:color="auto"/>
              <w:right w:val="single" w:sz="4" w:space="0" w:color="auto"/>
            </w:tcBorders>
          </w:tcPr>
          <w:p w14:paraId="7FD46276" w14:textId="3293CA5A" w:rsidR="00F8180E" w:rsidRPr="009E686F" w:rsidRDefault="00F8180E" w:rsidP="00F8180E">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6796E773" w14:textId="02A7F0FA" w:rsidR="00F8180E" w:rsidRPr="009E686F" w:rsidRDefault="00F8180E" w:rsidP="00515783">
            <w:pPr>
              <w:spacing w:after="0"/>
              <w:jc w:val="both"/>
              <w:rPr>
                <w:rFonts w:ascii="Times New Roman" w:hAnsi="Times New Roman" w:cs="Times New Roman"/>
              </w:rPr>
            </w:pPr>
          </w:p>
        </w:tc>
      </w:tr>
      <w:tr w:rsidR="00B30AFC" w:rsidRPr="009E686F" w14:paraId="51A8C132" w14:textId="3F8EE6B8" w:rsidTr="00960C23">
        <w:tc>
          <w:tcPr>
            <w:tcW w:w="1890" w:type="pct"/>
            <w:tcBorders>
              <w:top w:val="single" w:sz="4" w:space="0" w:color="auto"/>
              <w:left w:val="single" w:sz="4" w:space="0" w:color="auto"/>
              <w:bottom w:val="single" w:sz="4" w:space="0" w:color="auto"/>
              <w:right w:val="single" w:sz="4" w:space="0" w:color="auto"/>
            </w:tcBorders>
          </w:tcPr>
          <w:p w14:paraId="67A292E2" w14:textId="41F5548D" w:rsidR="00F8180E" w:rsidRPr="009E686F" w:rsidRDefault="00F8180E" w:rsidP="00ED2C1C">
            <w:pPr>
              <w:spacing w:after="0"/>
              <w:jc w:val="both"/>
              <w:rPr>
                <w:rFonts w:ascii="Times New Roman" w:hAnsi="Times New Roman" w:cs="Times New Roman"/>
                <w:lang w:val="pt-BR"/>
              </w:rPr>
            </w:pPr>
            <w:r w:rsidRPr="009E686F">
              <w:rPr>
                <w:rFonts w:ascii="Times New Roman" w:hAnsi="Times New Roman" w:cs="Times New Roman"/>
                <w:lang w:val="pt-BR"/>
              </w:rPr>
              <w:t>1. "</w:t>
            </w:r>
            <w:r w:rsidR="00A51A7D" w:rsidRPr="009E686F">
              <w:rPr>
                <w:rFonts w:ascii="Times New Roman" w:hAnsi="Times New Roman" w:cs="Times New Roman"/>
                <w:lang w:val="pt-BR"/>
              </w:rPr>
              <w:t>instituție de credit</w:t>
            </w:r>
            <w:r w:rsidRPr="009E686F">
              <w:rPr>
                <w:rFonts w:ascii="Times New Roman" w:hAnsi="Times New Roman" w:cs="Times New Roman"/>
                <w:lang w:val="pt-BR"/>
              </w:rPr>
              <w:t xml:space="preserve">" înseamnă o </w:t>
            </w:r>
            <w:r w:rsidR="00A51A7D" w:rsidRPr="009E686F">
              <w:rPr>
                <w:rFonts w:ascii="Times New Roman" w:hAnsi="Times New Roman" w:cs="Times New Roman"/>
                <w:lang w:val="pt-BR"/>
              </w:rPr>
              <w:t>instituție de credit</w:t>
            </w:r>
            <w:r w:rsidRPr="009E686F">
              <w:rPr>
                <w:rFonts w:ascii="Times New Roman" w:hAnsi="Times New Roman" w:cs="Times New Roman"/>
                <w:lang w:val="pt-BR"/>
              </w:rPr>
              <w:t xml:space="preserve"> astfel cum este definită la articolul 4 alineatul (1) punctul 1 din Regulamentul (UE) nr. 575/2013;</w:t>
            </w:r>
          </w:p>
        </w:tc>
        <w:tc>
          <w:tcPr>
            <w:tcW w:w="1834" w:type="pct"/>
            <w:tcBorders>
              <w:top w:val="single" w:sz="4" w:space="0" w:color="auto"/>
              <w:left w:val="single" w:sz="4" w:space="0" w:color="auto"/>
              <w:bottom w:val="single" w:sz="4" w:space="0" w:color="auto"/>
              <w:right w:val="single" w:sz="4" w:space="0" w:color="auto"/>
            </w:tcBorders>
          </w:tcPr>
          <w:p w14:paraId="7D08CD4D" w14:textId="18C1DE2A" w:rsidR="00F8180E" w:rsidRPr="009E686F" w:rsidRDefault="00A51A7D" w:rsidP="00ED2C1C">
            <w:pPr>
              <w:spacing w:after="0"/>
              <w:jc w:val="both"/>
              <w:rPr>
                <w:rFonts w:ascii="Times New Roman" w:hAnsi="Times New Roman" w:cs="Times New Roman"/>
                <w:i/>
                <w:iCs/>
                <w:lang w:val="pt-BR"/>
              </w:rPr>
            </w:pPr>
            <w:r w:rsidRPr="009E686F">
              <w:rPr>
                <w:rFonts w:ascii="Times New Roman" w:hAnsi="Times New Roman" w:cs="Times New Roman"/>
                <w:i/>
                <w:iCs/>
                <w:lang w:val="pt-BR"/>
              </w:rPr>
              <w:t>instituție de credit</w:t>
            </w:r>
            <w:r w:rsidR="00F8180E" w:rsidRPr="009E686F">
              <w:rPr>
                <w:rFonts w:ascii="Times New Roman" w:hAnsi="Times New Roman" w:cs="Times New Roman"/>
                <w:i/>
                <w:iCs/>
                <w:lang w:val="pt-BR"/>
              </w:rPr>
              <w:t xml:space="preserve"> – persoană juridică a cărei activitate constă în oricare dintre  următoarele activități:</w:t>
            </w:r>
          </w:p>
          <w:p w14:paraId="55B8EF05" w14:textId="77777777" w:rsidR="00F8180E" w:rsidRPr="009E686F" w:rsidRDefault="00F8180E" w:rsidP="00ED2C1C">
            <w:pPr>
              <w:spacing w:after="0"/>
              <w:jc w:val="both"/>
              <w:rPr>
                <w:rFonts w:ascii="Times New Roman" w:hAnsi="Times New Roman" w:cs="Times New Roman"/>
                <w:i/>
                <w:iCs/>
                <w:lang w:val="pt-BR"/>
              </w:rPr>
            </w:pPr>
            <w:r w:rsidRPr="009E686F">
              <w:rPr>
                <w:rFonts w:ascii="Times New Roman" w:hAnsi="Times New Roman" w:cs="Times New Roman"/>
                <w:i/>
                <w:iCs/>
                <w:lang w:val="pt-BR"/>
              </w:rPr>
              <w:t>a)</w:t>
            </w:r>
            <w:r w:rsidRPr="009E686F">
              <w:rPr>
                <w:rFonts w:ascii="Times New Roman" w:hAnsi="Times New Roman" w:cs="Times New Roman"/>
                <w:i/>
                <w:iCs/>
                <w:lang w:val="pt-BR"/>
              </w:rPr>
              <w:tab/>
              <w:t>atragerea de depozite sau de alte fonduri rambursabile de la public şi în acordarea de credite în cont propriu</w:t>
            </w:r>
          </w:p>
          <w:p w14:paraId="32B669F6" w14:textId="42B082CD" w:rsidR="00F8180E" w:rsidRPr="009E686F" w:rsidRDefault="00F8180E" w:rsidP="00ED2C1C">
            <w:pPr>
              <w:spacing w:after="0"/>
              <w:jc w:val="both"/>
              <w:rPr>
                <w:rFonts w:ascii="Times New Roman" w:hAnsi="Times New Roman" w:cs="Times New Roman"/>
                <w:i/>
                <w:iCs/>
                <w:lang w:val="pt-BR"/>
              </w:rPr>
            </w:pPr>
            <w:r w:rsidRPr="009E686F">
              <w:rPr>
                <w:rFonts w:ascii="Times New Roman" w:hAnsi="Times New Roman" w:cs="Times New Roman"/>
                <w:i/>
                <w:iCs/>
                <w:lang w:val="pt-BR"/>
              </w:rPr>
              <w:t>b)</w:t>
            </w:r>
            <w:r w:rsidRPr="009E686F">
              <w:rPr>
                <w:rFonts w:ascii="Times New Roman" w:hAnsi="Times New Roman" w:cs="Times New Roman"/>
                <w:i/>
                <w:iCs/>
                <w:lang w:val="pt-BR"/>
              </w:rPr>
              <w:tab/>
              <w:t xml:space="preserve">desfășurarea oricăreia dintre activităţile </w:t>
            </w:r>
            <w:r w:rsidR="00FF2E57" w:rsidRPr="009E686F">
              <w:rPr>
                <w:rFonts w:ascii="Times New Roman" w:hAnsi="Times New Roman" w:cs="Times New Roman"/>
                <w:i/>
                <w:iCs/>
                <w:lang w:val="pt-BR"/>
              </w:rPr>
              <w:t>de tranzacţionare în cont propriu sau subscriere de instrumente financiare și/sau plasare de instrumente financiare cu angajament ferm</w:t>
            </w:r>
            <w:r w:rsidRPr="009E686F">
              <w:rPr>
                <w:rFonts w:ascii="Times New Roman" w:hAnsi="Times New Roman" w:cs="Times New Roman"/>
                <w:i/>
                <w:iCs/>
                <w:lang w:val="pt-BR"/>
              </w:rPr>
              <w:t xml:space="preserve"> în cazul în care este îndeplinită una dintre condiţiile următoare, dar </w:t>
            </w:r>
            <w:r w:rsidR="00526B33" w:rsidRPr="009E686F">
              <w:rPr>
                <w:rFonts w:ascii="Times New Roman" w:hAnsi="Times New Roman" w:cs="Times New Roman"/>
                <w:i/>
                <w:iCs/>
                <w:lang w:val="pt-BR"/>
              </w:rPr>
              <w:t>întreprinderea</w:t>
            </w:r>
            <w:r w:rsidRPr="009E686F">
              <w:rPr>
                <w:rFonts w:ascii="Times New Roman" w:hAnsi="Times New Roman" w:cs="Times New Roman"/>
                <w:i/>
                <w:iCs/>
                <w:lang w:val="pt-BR"/>
              </w:rPr>
              <w:t xml:space="preserve"> nu este un comerciant de mărfuri și de certificate de emisii, un organism de plasament colectiv sau o </w:t>
            </w:r>
            <w:r w:rsidR="00306677" w:rsidRPr="009E686F">
              <w:rPr>
                <w:rFonts w:ascii="Times New Roman" w:hAnsi="Times New Roman" w:cs="Times New Roman"/>
                <w:i/>
                <w:iCs/>
                <w:lang w:val="pt-BR"/>
              </w:rPr>
              <w:t>societate</w:t>
            </w:r>
            <w:r w:rsidRPr="009E686F">
              <w:rPr>
                <w:rFonts w:ascii="Times New Roman" w:hAnsi="Times New Roman" w:cs="Times New Roman"/>
                <w:i/>
                <w:iCs/>
                <w:lang w:val="pt-BR"/>
              </w:rPr>
              <w:t xml:space="preserve"> de asigurare: </w:t>
            </w:r>
          </w:p>
          <w:p w14:paraId="768C58C8" w14:textId="1DCCA352" w:rsidR="00F8180E" w:rsidRPr="009E686F" w:rsidRDefault="00F8180E" w:rsidP="00ED2C1C">
            <w:pPr>
              <w:spacing w:after="0"/>
              <w:jc w:val="both"/>
              <w:rPr>
                <w:rFonts w:ascii="Times New Roman" w:hAnsi="Times New Roman" w:cs="Times New Roman"/>
                <w:i/>
                <w:iCs/>
                <w:lang w:val="pt-BR"/>
              </w:rPr>
            </w:pPr>
            <w:r w:rsidRPr="009E686F">
              <w:rPr>
                <w:rFonts w:ascii="Times New Roman" w:hAnsi="Times New Roman" w:cs="Times New Roman"/>
                <w:i/>
                <w:iCs/>
                <w:lang w:val="pt-BR"/>
              </w:rPr>
              <w:t>(i)</w:t>
            </w:r>
            <w:r w:rsidRPr="009E686F">
              <w:rPr>
                <w:rFonts w:ascii="Times New Roman" w:hAnsi="Times New Roman" w:cs="Times New Roman"/>
                <w:i/>
                <w:iCs/>
                <w:lang w:val="pt-BR"/>
              </w:rPr>
              <w:tab/>
              <w:t xml:space="preserve">valoarea totală a activelor consolidate ale întreprinderii este mai mare sau egală cu echivalentul în </w:t>
            </w:r>
            <w:r w:rsidR="004A0809" w:rsidRPr="009E686F">
              <w:rPr>
                <w:rFonts w:ascii="Times New Roman" w:hAnsi="Times New Roman" w:cs="Times New Roman"/>
                <w:i/>
                <w:iCs/>
                <w:lang w:val="pt-BR"/>
              </w:rPr>
              <w:t>lei moldovenești</w:t>
            </w:r>
            <w:r w:rsidRPr="009E686F">
              <w:rPr>
                <w:rFonts w:ascii="Times New Roman" w:hAnsi="Times New Roman" w:cs="Times New Roman"/>
                <w:i/>
                <w:iCs/>
                <w:lang w:val="pt-BR"/>
              </w:rPr>
              <w:t xml:space="preserve"> a 30 de miliarde </w:t>
            </w:r>
            <w:r w:rsidR="004A0809" w:rsidRPr="009E686F">
              <w:rPr>
                <w:rFonts w:ascii="Times New Roman" w:hAnsi="Times New Roman" w:cs="Times New Roman"/>
                <w:i/>
                <w:iCs/>
                <w:lang w:val="pt-BR"/>
              </w:rPr>
              <w:t>euro</w:t>
            </w:r>
            <w:r w:rsidRPr="009E686F">
              <w:rPr>
                <w:rFonts w:ascii="Times New Roman" w:hAnsi="Times New Roman" w:cs="Times New Roman"/>
                <w:i/>
                <w:iCs/>
                <w:lang w:val="pt-BR"/>
              </w:rPr>
              <w:t xml:space="preserve">;  </w:t>
            </w:r>
          </w:p>
          <w:p w14:paraId="5B632A4D" w14:textId="0A6E2A75" w:rsidR="00F8180E" w:rsidRPr="009E686F" w:rsidRDefault="00F8180E" w:rsidP="00ED2C1C">
            <w:pPr>
              <w:spacing w:after="0"/>
              <w:jc w:val="both"/>
              <w:rPr>
                <w:rFonts w:ascii="Times New Roman" w:hAnsi="Times New Roman" w:cs="Times New Roman"/>
                <w:bCs/>
                <w:i/>
                <w:iCs/>
                <w:lang w:val="pt-BR"/>
              </w:rPr>
            </w:pPr>
            <w:r w:rsidRPr="009E686F">
              <w:rPr>
                <w:rFonts w:ascii="Times New Roman" w:hAnsi="Times New Roman" w:cs="Times New Roman"/>
                <w:bCs/>
                <w:i/>
                <w:iCs/>
                <w:lang w:val="pt-BR"/>
              </w:rPr>
              <w:t>(ii)</w:t>
            </w:r>
            <w:r w:rsidRPr="009E686F">
              <w:rPr>
                <w:rFonts w:ascii="Times New Roman" w:hAnsi="Times New Roman" w:cs="Times New Roman"/>
                <w:bCs/>
                <w:i/>
                <w:iCs/>
                <w:lang w:val="pt-BR"/>
              </w:rPr>
              <w:tab/>
              <w:t xml:space="preserve">valoarea totală a activelor întreprinderii este mai mică de echivalentul în </w:t>
            </w:r>
            <w:r w:rsidR="004A0809" w:rsidRPr="009E686F">
              <w:rPr>
                <w:rFonts w:ascii="Times New Roman" w:hAnsi="Times New Roman" w:cs="Times New Roman"/>
                <w:bCs/>
                <w:i/>
                <w:iCs/>
                <w:lang w:val="pt-BR"/>
              </w:rPr>
              <w:t xml:space="preserve">lei moldovenești </w:t>
            </w:r>
            <w:r w:rsidRPr="009E686F">
              <w:rPr>
                <w:rFonts w:ascii="Times New Roman" w:hAnsi="Times New Roman" w:cs="Times New Roman"/>
                <w:bCs/>
                <w:i/>
                <w:iCs/>
                <w:lang w:val="pt-BR"/>
              </w:rPr>
              <w:t xml:space="preserve">a 30 de miliarde </w:t>
            </w:r>
            <w:r w:rsidR="004A0809" w:rsidRPr="009E686F">
              <w:rPr>
                <w:rFonts w:ascii="Times New Roman" w:hAnsi="Times New Roman" w:cs="Times New Roman"/>
                <w:bCs/>
                <w:i/>
                <w:iCs/>
                <w:lang w:val="pt-BR"/>
              </w:rPr>
              <w:t>euro</w:t>
            </w:r>
            <w:r w:rsidRPr="009E686F">
              <w:rPr>
                <w:rFonts w:ascii="Times New Roman" w:hAnsi="Times New Roman" w:cs="Times New Roman"/>
                <w:bCs/>
                <w:i/>
                <w:iCs/>
                <w:lang w:val="pt-BR"/>
              </w:rPr>
              <w:t xml:space="preserve">, întreprinderea face parte dintr-un grup, iar valoarea totală a activelor consolidate ale tuturor întreprinderilor din grupul respectiv, care la nivel individual au active totale mai mici de echivalentul în </w:t>
            </w:r>
            <w:r w:rsidR="00B91B03" w:rsidRPr="009E686F">
              <w:rPr>
                <w:rFonts w:ascii="Times New Roman" w:hAnsi="Times New Roman" w:cs="Times New Roman"/>
                <w:bCs/>
                <w:i/>
                <w:iCs/>
                <w:lang w:val="pt-BR"/>
              </w:rPr>
              <w:t xml:space="preserve">lei moldovenești </w:t>
            </w:r>
            <w:r w:rsidRPr="009E686F">
              <w:rPr>
                <w:rFonts w:ascii="Times New Roman" w:hAnsi="Times New Roman" w:cs="Times New Roman"/>
                <w:bCs/>
                <w:i/>
                <w:iCs/>
                <w:lang w:val="pt-BR"/>
              </w:rPr>
              <w:t xml:space="preserve">a 30 de miliarde </w:t>
            </w:r>
            <w:r w:rsidR="00B91B03" w:rsidRPr="009E686F">
              <w:rPr>
                <w:rFonts w:ascii="Times New Roman" w:hAnsi="Times New Roman" w:cs="Times New Roman"/>
                <w:bCs/>
                <w:i/>
                <w:iCs/>
                <w:lang w:val="pt-BR"/>
              </w:rPr>
              <w:t xml:space="preserve">euro </w:t>
            </w:r>
            <w:r w:rsidRPr="009E686F">
              <w:rPr>
                <w:rFonts w:ascii="Times New Roman" w:hAnsi="Times New Roman" w:cs="Times New Roman"/>
                <w:bCs/>
                <w:i/>
                <w:iCs/>
                <w:lang w:val="pt-BR"/>
              </w:rPr>
              <w:lastRenderedPageBreak/>
              <w:t xml:space="preserve">și care desfășoară oricare dintre activităţile </w:t>
            </w:r>
            <w:r w:rsidR="00B91B03" w:rsidRPr="009E686F">
              <w:rPr>
                <w:rFonts w:ascii="Times New Roman" w:hAnsi="Times New Roman" w:cs="Times New Roman"/>
                <w:bCs/>
                <w:i/>
                <w:iCs/>
                <w:lang w:val="pt-BR"/>
              </w:rPr>
              <w:t>de tranzacţionare în cont propriu sau subscriere de instrumente financiare și/sau plasare de instrumente financiare cu angajament ferm</w:t>
            </w:r>
            <w:r w:rsidRPr="009E686F">
              <w:rPr>
                <w:rFonts w:ascii="Times New Roman" w:hAnsi="Times New Roman" w:cs="Times New Roman"/>
                <w:bCs/>
                <w:i/>
                <w:iCs/>
                <w:lang w:val="pt-BR"/>
              </w:rPr>
              <w:t xml:space="preserve">, este mai mare sau egală cu echivalentul în </w:t>
            </w:r>
            <w:r w:rsidR="00B91B03" w:rsidRPr="009E686F">
              <w:rPr>
                <w:rFonts w:ascii="Times New Roman" w:hAnsi="Times New Roman" w:cs="Times New Roman"/>
                <w:bCs/>
                <w:i/>
                <w:iCs/>
                <w:lang w:val="pt-BR"/>
              </w:rPr>
              <w:t xml:space="preserve">lei moldovenești </w:t>
            </w:r>
            <w:r w:rsidRPr="009E686F">
              <w:rPr>
                <w:rFonts w:ascii="Times New Roman" w:hAnsi="Times New Roman" w:cs="Times New Roman"/>
                <w:bCs/>
                <w:i/>
                <w:iCs/>
                <w:lang w:val="pt-BR"/>
              </w:rPr>
              <w:t xml:space="preserve">a 30 de miliarde </w:t>
            </w:r>
            <w:r w:rsidR="00B91B03" w:rsidRPr="009E686F">
              <w:rPr>
                <w:rFonts w:ascii="Times New Roman" w:hAnsi="Times New Roman" w:cs="Times New Roman"/>
                <w:bCs/>
                <w:i/>
                <w:iCs/>
                <w:lang w:val="pt-BR"/>
              </w:rPr>
              <w:t>euro</w:t>
            </w:r>
            <w:r w:rsidRPr="009E686F">
              <w:rPr>
                <w:rFonts w:ascii="Times New Roman" w:hAnsi="Times New Roman" w:cs="Times New Roman"/>
                <w:bCs/>
                <w:i/>
                <w:iCs/>
                <w:lang w:val="pt-BR"/>
              </w:rPr>
              <w:t xml:space="preserve">; sau </w:t>
            </w:r>
          </w:p>
          <w:p w14:paraId="20B2D386" w14:textId="067BAC77" w:rsidR="00306677" w:rsidRPr="009E686F" w:rsidRDefault="00F8180E" w:rsidP="00ED2C1C">
            <w:pPr>
              <w:spacing w:after="0"/>
              <w:jc w:val="both"/>
              <w:rPr>
                <w:rFonts w:ascii="Times New Roman" w:hAnsi="Times New Roman" w:cs="Times New Roman"/>
                <w:bCs/>
                <w:i/>
                <w:iCs/>
                <w:lang w:val="pt-BR"/>
              </w:rPr>
            </w:pPr>
            <w:r w:rsidRPr="009E686F">
              <w:rPr>
                <w:rFonts w:ascii="Times New Roman" w:hAnsi="Times New Roman" w:cs="Times New Roman"/>
                <w:bCs/>
                <w:i/>
                <w:iCs/>
                <w:lang w:val="pt-BR"/>
              </w:rPr>
              <w:t>(iii)</w:t>
            </w:r>
            <w:r w:rsidRPr="009E686F">
              <w:rPr>
                <w:rFonts w:ascii="Times New Roman" w:hAnsi="Times New Roman" w:cs="Times New Roman"/>
                <w:bCs/>
                <w:i/>
                <w:iCs/>
                <w:lang w:val="pt-BR"/>
              </w:rPr>
              <w:tab/>
              <w:t xml:space="preserve">valoarea totală a activelor întreprinderii este mai mică de echivalentul în </w:t>
            </w:r>
            <w:r w:rsidR="00B91B03" w:rsidRPr="009E686F">
              <w:rPr>
                <w:rFonts w:ascii="Times New Roman" w:hAnsi="Times New Roman" w:cs="Times New Roman"/>
                <w:bCs/>
                <w:i/>
                <w:iCs/>
                <w:lang w:val="pt-BR"/>
              </w:rPr>
              <w:t xml:space="preserve">lei moldovenești </w:t>
            </w:r>
            <w:r w:rsidRPr="009E686F">
              <w:rPr>
                <w:rFonts w:ascii="Times New Roman" w:hAnsi="Times New Roman" w:cs="Times New Roman"/>
                <w:bCs/>
                <w:i/>
                <w:iCs/>
                <w:lang w:val="pt-BR"/>
              </w:rPr>
              <w:t xml:space="preserve">a 30 de miliarde </w:t>
            </w:r>
            <w:r w:rsidR="00B91B03" w:rsidRPr="009E686F">
              <w:rPr>
                <w:rFonts w:ascii="Times New Roman" w:hAnsi="Times New Roman" w:cs="Times New Roman"/>
                <w:bCs/>
                <w:i/>
                <w:iCs/>
                <w:lang w:val="pt-BR"/>
              </w:rPr>
              <w:t>euro</w:t>
            </w:r>
            <w:r w:rsidRPr="009E686F">
              <w:rPr>
                <w:rFonts w:ascii="Times New Roman" w:hAnsi="Times New Roman" w:cs="Times New Roman"/>
                <w:bCs/>
                <w:i/>
                <w:iCs/>
                <w:lang w:val="pt-BR"/>
              </w:rPr>
              <w:t xml:space="preserve">, întreprinderea face parte dintr-un grup, iar valoarea totală a activelor consolidate ale tuturor întreprinderilor din grup care desfășoară oricare dintre activităţile </w:t>
            </w:r>
            <w:r w:rsidR="00B91B03" w:rsidRPr="009E686F">
              <w:rPr>
                <w:rFonts w:ascii="Times New Roman" w:hAnsi="Times New Roman" w:cs="Times New Roman"/>
                <w:bCs/>
                <w:i/>
                <w:iCs/>
                <w:lang w:val="pt-BR"/>
              </w:rPr>
              <w:t xml:space="preserve">de tranzacţionare în cont propriu sau subscriere de instrumente financiare și/sau plasare de instrumente financiare cu angajament ferm </w:t>
            </w:r>
            <w:r w:rsidRPr="009E686F">
              <w:rPr>
                <w:rFonts w:ascii="Times New Roman" w:hAnsi="Times New Roman" w:cs="Times New Roman"/>
                <w:bCs/>
                <w:i/>
                <w:iCs/>
                <w:lang w:val="pt-BR"/>
              </w:rPr>
              <w:t>este mai mare sau egală cu</w:t>
            </w:r>
            <w:r w:rsidRPr="009E686F">
              <w:rPr>
                <w:rFonts w:ascii="Times New Roman" w:hAnsi="Times New Roman" w:cs="Times New Roman"/>
                <w:b/>
                <w:i/>
                <w:iCs/>
                <w:lang w:val="pt-BR"/>
              </w:rPr>
              <w:t xml:space="preserve"> </w:t>
            </w:r>
            <w:r w:rsidRPr="009E686F">
              <w:rPr>
                <w:rFonts w:ascii="Times New Roman" w:hAnsi="Times New Roman" w:cs="Times New Roman"/>
                <w:bCs/>
                <w:i/>
                <w:iCs/>
                <w:lang w:val="pt-BR"/>
              </w:rPr>
              <w:t xml:space="preserve">echivalentul în </w:t>
            </w:r>
            <w:r w:rsidR="00B91B03" w:rsidRPr="009E686F">
              <w:rPr>
                <w:rFonts w:ascii="Times New Roman" w:hAnsi="Times New Roman" w:cs="Times New Roman"/>
                <w:bCs/>
                <w:i/>
                <w:iCs/>
                <w:lang w:val="pt-BR"/>
              </w:rPr>
              <w:t xml:space="preserve">lei moldovenești </w:t>
            </w:r>
            <w:r w:rsidRPr="009E686F">
              <w:rPr>
                <w:rFonts w:ascii="Times New Roman" w:hAnsi="Times New Roman" w:cs="Times New Roman"/>
                <w:bCs/>
                <w:i/>
                <w:iCs/>
                <w:lang w:val="pt-BR"/>
              </w:rPr>
              <w:t xml:space="preserve">a 30 de miliarde </w:t>
            </w:r>
            <w:r w:rsidR="00B91B03" w:rsidRPr="009E686F">
              <w:rPr>
                <w:rFonts w:ascii="Times New Roman" w:hAnsi="Times New Roman" w:cs="Times New Roman"/>
                <w:bCs/>
                <w:i/>
                <w:iCs/>
                <w:lang w:val="pt-BR"/>
              </w:rPr>
              <w:t>euro</w:t>
            </w:r>
            <w:r w:rsidRPr="009E686F">
              <w:rPr>
                <w:rFonts w:ascii="Times New Roman" w:hAnsi="Times New Roman" w:cs="Times New Roman"/>
                <w:bCs/>
                <w:i/>
                <w:iCs/>
                <w:lang w:val="pt-BR"/>
              </w:rPr>
              <w:t xml:space="preserve">, în cazul în care supraveghetorul consolidant, în consultare cu colegiul de supraveghetori, decide astfel pentru a contracara eventualele riscuri de eludare </w:t>
            </w:r>
            <w:r w:rsidR="00306677" w:rsidRPr="009E686F">
              <w:rPr>
                <w:rFonts w:ascii="Times New Roman" w:hAnsi="Times New Roman" w:cs="Times New Roman"/>
                <w:bCs/>
                <w:i/>
                <w:iCs/>
                <w:lang w:val="pt-BR"/>
              </w:rPr>
              <w:t>sau</w:t>
            </w:r>
            <w:r w:rsidRPr="009E686F">
              <w:rPr>
                <w:rFonts w:ascii="Times New Roman" w:hAnsi="Times New Roman" w:cs="Times New Roman"/>
                <w:bCs/>
                <w:i/>
                <w:iCs/>
                <w:lang w:val="pt-BR"/>
              </w:rPr>
              <w:t xml:space="preserve"> eventualele riscuri la adresa stabilităţii financiare a UE;</w:t>
            </w:r>
          </w:p>
          <w:p w14:paraId="3EBED555" w14:textId="57CAF8AC" w:rsidR="00F8180E" w:rsidRPr="009E686F" w:rsidRDefault="00F8180E" w:rsidP="00ED2C1C">
            <w:pPr>
              <w:spacing w:after="0"/>
              <w:jc w:val="both"/>
              <w:rPr>
                <w:rFonts w:ascii="Times New Roman" w:hAnsi="Times New Roman" w:cs="Times New Roman"/>
                <w:bCs/>
                <w:i/>
                <w:iCs/>
                <w:lang w:val="pt-BR"/>
              </w:rPr>
            </w:pPr>
            <w:r w:rsidRPr="009E686F">
              <w:rPr>
                <w:rFonts w:ascii="Times New Roman" w:hAnsi="Times New Roman" w:cs="Times New Roman"/>
                <w:bCs/>
                <w:i/>
                <w:iCs/>
                <w:lang w:val="pt-BR"/>
              </w:rPr>
              <w:t>în sensul literei (b) punctele (ii) și (iii), în cazul în care întreprinderea face parte dintr-un grup dintr-un stat terţ, activele totale ale fiecărei sucursale a grupului dintr-un stat terţ autorizate în UE sunt incluse în valoarea totală combinată a activelor tuturor întreprinderilor din grup, iar în sensul literei (b) subpunctul (iii), supraveghetorul consolidant poate solicita întreprinderii toate informațiile relevante pentru a lua o decizie.</w:t>
            </w:r>
          </w:p>
        </w:tc>
        <w:tc>
          <w:tcPr>
            <w:tcW w:w="470" w:type="pct"/>
            <w:tcBorders>
              <w:top w:val="single" w:sz="4" w:space="0" w:color="auto"/>
              <w:left w:val="single" w:sz="4" w:space="0" w:color="auto"/>
              <w:bottom w:val="single" w:sz="4" w:space="0" w:color="auto"/>
              <w:right w:val="single" w:sz="4" w:space="0" w:color="auto"/>
            </w:tcBorders>
          </w:tcPr>
          <w:p w14:paraId="48E8BBA1" w14:textId="6AC6BEE7" w:rsidR="00F8180E" w:rsidRPr="009E686F" w:rsidRDefault="00F8180E" w:rsidP="00F8180E">
            <w:pPr>
              <w:jc w:val="both"/>
              <w:rPr>
                <w:rFonts w:ascii="Times New Roman" w:hAnsi="Times New Roman" w:cs="Times New Roman"/>
              </w:rPr>
            </w:pPr>
            <w:r w:rsidRPr="009E686F">
              <w:rPr>
                <w:rFonts w:ascii="Times New Roman" w:hAnsi="Times New Roman" w:cs="Times New Roman"/>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3A0AF6BF" w14:textId="11D23931" w:rsidR="00F8180E" w:rsidRPr="009E686F" w:rsidRDefault="00F8180E" w:rsidP="00515783">
            <w:pPr>
              <w:spacing w:after="0"/>
              <w:jc w:val="both"/>
              <w:rPr>
                <w:rFonts w:ascii="Times New Roman" w:hAnsi="Times New Roman" w:cs="Times New Roman"/>
              </w:rPr>
            </w:pPr>
          </w:p>
        </w:tc>
      </w:tr>
      <w:tr w:rsidR="00B30AFC" w:rsidRPr="009E686F" w14:paraId="33EB083A" w14:textId="7AFB7071" w:rsidTr="00960C23">
        <w:tc>
          <w:tcPr>
            <w:tcW w:w="1890" w:type="pct"/>
            <w:tcBorders>
              <w:top w:val="single" w:sz="4" w:space="0" w:color="auto"/>
              <w:left w:val="single" w:sz="4" w:space="0" w:color="auto"/>
              <w:bottom w:val="single" w:sz="4" w:space="0" w:color="auto"/>
              <w:right w:val="single" w:sz="4" w:space="0" w:color="auto"/>
            </w:tcBorders>
          </w:tcPr>
          <w:p w14:paraId="2BB3BF8F" w14:textId="51A07EB6" w:rsidR="00F8180E" w:rsidRPr="009E686F" w:rsidRDefault="00F8180E" w:rsidP="00ED2C1C">
            <w:pPr>
              <w:spacing w:after="0"/>
              <w:jc w:val="both"/>
              <w:rPr>
                <w:rFonts w:ascii="Times New Roman" w:hAnsi="Times New Roman" w:cs="Times New Roman"/>
                <w:lang w:val="pt-BR"/>
              </w:rPr>
            </w:pPr>
            <w:r w:rsidRPr="009E686F">
              <w:rPr>
                <w:rFonts w:ascii="Times New Roman" w:hAnsi="Times New Roman" w:cs="Times New Roman"/>
                <w:lang w:val="pt-BR"/>
              </w:rPr>
              <w:t>2. "firmă de investiții" înseamnă o firmă de investiții astfel cum este definită la articolul 4 alineatul (1) punctul 2 din Regulamentul (UE) nr. 575/2013;</w:t>
            </w:r>
          </w:p>
        </w:tc>
        <w:tc>
          <w:tcPr>
            <w:tcW w:w="1834" w:type="pct"/>
            <w:tcBorders>
              <w:top w:val="single" w:sz="4" w:space="0" w:color="auto"/>
              <w:left w:val="single" w:sz="4" w:space="0" w:color="auto"/>
              <w:bottom w:val="single" w:sz="4" w:space="0" w:color="auto"/>
              <w:right w:val="single" w:sz="4" w:space="0" w:color="auto"/>
            </w:tcBorders>
          </w:tcPr>
          <w:p w14:paraId="4151313B" w14:textId="006E3B85" w:rsidR="00F8180E" w:rsidRPr="009E686F" w:rsidRDefault="008B6E2E" w:rsidP="00ED2C1C">
            <w:pPr>
              <w:spacing w:after="0"/>
              <w:jc w:val="both"/>
              <w:rPr>
                <w:rFonts w:ascii="Times New Roman" w:hAnsi="Times New Roman" w:cs="Times New Roman"/>
                <w:b/>
                <w:lang w:val="pt-BR"/>
              </w:rPr>
            </w:pPr>
            <w:r w:rsidRPr="009E686F">
              <w:rPr>
                <w:rFonts w:ascii="Times New Roman" w:hAnsi="Times New Roman" w:cs="Times New Roman"/>
                <w:bCs/>
                <w:i/>
                <w:iCs/>
                <w:lang w:val="pt-BR"/>
              </w:rPr>
              <w:t xml:space="preserve">firmă </w:t>
            </w:r>
            <w:r w:rsidR="00F8180E" w:rsidRPr="009E686F">
              <w:rPr>
                <w:rFonts w:ascii="Times New Roman" w:hAnsi="Times New Roman" w:cs="Times New Roman"/>
                <w:bCs/>
                <w:i/>
                <w:iCs/>
                <w:lang w:val="pt-BR"/>
              </w:rPr>
              <w:t>de investiţii</w:t>
            </w:r>
            <w:r w:rsidR="00F8180E" w:rsidRPr="009E686F">
              <w:rPr>
                <w:rFonts w:ascii="Times New Roman" w:hAnsi="Times New Roman" w:cs="Times New Roman"/>
                <w:bCs/>
                <w:lang w:val="pt-BR"/>
              </w:rPr>
              <w:t xml:space="preserve"> – </w:t>
            </w:r>
            <w:r w:rsidRPr="009E686F">
              <w:rPr>
                <w:rFonts w:ascii="Times New Roman" w:hAnsi="Times New Roman" w:cs="Times New Roman"/>
                <w:bCs/>
                <w:i/>
                <w:iCs/>
                <w:lang w:val="pt-BR"/>
              </w:rPr>
              <w:t>firmă</w:t>
            </w:r>
            <w:r w:rsidRPr="009E686F">
              <w:rPr>
                <w:rFonts w:ascii="Times New Roman" w:hAnsi="Times New Roman" w:cs="Times New Roman"/>
                <w:bCs/>
                <w:lang w:val="pt-BR"/>
              </w:rPr>
              <w:t xml:space="preserve"> </w:t>
            </w:r>
            <w:r w:rsidR="00F8180E" w:rsidRPr="009E686F">
              <w:rPr>
                <w:rFonts w:ascii="Times New Roman" w:hAnsi="Times New Roman" w:cs="Times New Roman"/>
                <w:bCs/>
                <w:lang w:val="pt-BR"/>
              </w:rPr>
              <w:t xml:space="preserve">de investiţii astfel cum este definită </w:t>
            </w:r>
            <w:r w:rsidR="008A2ED4" w:rsidRPr="009E686F">
              <w:rPr>
                <w:rFonts w:ascii="Times New Roman" w:hAnsi="Times New Roman" w:cs="Times New Roman"/>
                <w:bCs/>
                <w:lang w:val="pt-BR"/>
              </w:rPr>
              <w:t xml:space="preserve">de </w:t>
            </w:r>
            <w:r w:rsidR="00F8180E" w:rsidRPr="009E686F">
              <w:rPr>
                <w:rFonts w:ascii="Times New Roman" w:hAnsi="Times New Roman" w:cs="Times New Roman"/>
                <w:bCs/>
                <w:lang w:val="pt-BR"/>
              </w:rPr>
              <w:t>Legea nr.</w:t>
            </w:r>
            <w:r w:rsidR="008A2ED4" w:rsidRPr="009E686F">
              <w:rPr>
                <w:rFonts w:ascii="Times New Roman" w:hAnsi="Times New Roman" w:cs="Times New Roman"/>
                <w:bCs/>
                <w:lang w:val="pt-BR"/>
              </w:rPr>
              <w:t>181/2026</w:t>
            </w:r>
            <w:r w:rsidR="00F8180E" w:rsidRPr="009E686F">
              <w:rPr>
                <w:rFonts w:ascii="Times New Roman" w:hAnsi="Times New Roman" w:cs="Times New Roman"/>
                <w:bCs/>
                <w:lang w:val="pt-BR"/>
              </w:rPr>
              <w:t xml:space="preserve">, </w:t>
            </w:r>
            <w:r w:rsidR="00F8180E" w:rsidRPr="009E686F">
              <w:rPr>
                <w:rFonts w:ascii="Times New Roman" w:hAnsi="Times New Roman" w:cs="Times New Roman"/>
                <w:bCs/>
                <w:i/>
                <w:iCs/>
                <w:lang w:val="pt-BR"/>
              </w:rPr>
              <w:t xml:space="preserve">excluzând </w:t>
            </w:r>
            <w:r w:rsidR="00A51A7D" w:rsidRPr="009E686F">
              <w:rPr>
                <w:rFonts w:ascii="Times New Roman" w:hAnsi="Times New Roman" w:cs="Times New Roman"/>
                <w:bCs/>
                <w:i/>
                <w:iCs/>
                <w:lang w:val="pt-BR"/>
              </w:rPr>
              <w:t>instituțiile de credit</w:t>
            </w:r>
            <w:r w:rsidR="00F8180E" w:rsidRPr="009E686F">
              <w:rPr>
                <w:rFonts w:ascii="Times New Roman" w:hAnsi="Times New Roman" w:cs="Times New Roman"/>
                <w:bCs/>
                <w:lang w:val="pt-BR"/>
              </w:rPr>
              <w:t>;</w:t>
            </w:r>
            <w:r w:rsidR="00F8180E" w:rsidRPr="009E686F">
              <w:rPr>
                <w:rFonts w:ascii="Times New Roman" w:hAnsi="Times New Roman" w:cs="Times New Roman"/>
                <w:b/>
                <w:lang w:val="pt-BR"/>
              </w:rPr>
              <w:t xml:space="preserve"> </w:t>
            </w:r>
          </w:p>
          <w:p w14:paraId="5A3423C5" w14:textId="71BD05BE" w:rsidR="00F8180E" w:rsidRPr="009E686F" w:rsidRDefault="00F8180E" w:rsidP="00ED2C1C">
            <w:pPr>
              <w:spacing w:after="0"/>
              <w:jc w:val="both"/>
              <w:rPr>
                <w:rFonts w:ascii="Times New Roman" w:hAnsi="Times New Roman" w:cs="Times New Roman"/>
                <w:lang w:val="pt-BR"/>
              </w:rPr>
            </w:pPr>
          </w:p>
        </w:tc>
        <w:tc>
          <w:tcPr>
            <w:tcW w:w="470" w:type="pct"/>
            <w:tcBorders>
              <w:top w:val="single" w:sz="4" w:space="0" w:color="auto"/>
              <w:left w:val="single" w:sz="4" w:space="0" w:color="auto"/>
              <w:bottom w:val="single" w:sz="4" w:space="0" w:color="auto"/>
              <w:right w:val="single" w:sz="4" w:space="0" w:color="auto"/>
            </w:tcBorders>
          </w:tcPr>
          <w:p w14:paraId="0D734A67" w14:textId="65968672" w:rsidR="00F8180E" w:rsidRPr="009E686F" w:rsidRDefault="00F8180E" w:rsidP="00F8180E">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1D4D2757" w14:textId="2372FD7C" w:rsidR="00F8180E" w:rsidRPr="009E686F" w:rsidRDefault="00F8180E" w:rsidP="00515783">
            <w:pPr>
              <w:spacing w:after="0"/>
              <w:jc w:val="both"/>
              <w:rPr>
                <w:rFonts w:ascii="Times New Roman" w:hAnsi="Times New Roman" w:cs="Times New Roman"/>
              </w:rPr>
            </w:pPr>
          </w:p>
        </w:tc>
      </w:tr>
      <w:tr w:rsidR="00B30AFC" w:rsidRPr="009E686F" w14:paraId="524CCEAB" w14:textId="23D3DD18" w:rsidTr="00960C23">
        <w:tc>
          <w:tcPr>
            <w:tcW w:w="1890" w:type="pct"/>
            <w:tcBorders>
              <w:top w:val="single" w:sz="4" w:space="0" w:color="auto"/>
              <w:left w:val="single" w:sz="4" w:space="0" w:color="auto"/>
              <w:bottom w:val="single" w:sz="4" w:space="0" w:color="auto"/>
              <w:right w:val="single" w:sz="4" w:space="0" w:color="auto"/>
            </w:tcBorders>
          </w:tcPr>
          <w:p w14:paraId="6346B974" w14:textId="0D9D3C1E" w:rsidR="00F8180E" w:rsidRPr="009E686F" w:rsidRDefault="00F8180E" w:rsidP="00ED2C1C">
            <w:pPr>
              <w:spacing w:after="0"/>
              <w:jc w:val="both"/>
              <w:rPr>
                <w:rFonts w:ascii="Times New Roman" w:hAnsi="Times New Roman" w:cs="Times New Roman"/>
                <w:lang w:val="pt-BR"/>
              </w:rPr>
            </w:pPr>
            <w:r w:rsidRPr="009E686F">
              <w:rPr>
                <w:rFonts w:ascii="Times New Roman" w:hAnsi="Times New Roman" w:cs="Times New Roman"/>
                <w:lang w:val="pt-BR"/>
              </w:rPr>
              <w:t>3. "instituție" înseamnă o instituție astfel cum este definită la articolul 4 alineatul (1) punctul 3 din Regulamentul (UE) nr. 575/2013;</w:t>
            </w:r>
          </w:p>
        </w:tc>
        <w:tc>
          <w:tcPr>
            <w:tcW w:w="1834" w:type="pct"/>
            <w:tcBorders>
              <w:top w:val="single" w:sz="4" w:space="0" w:color="auto"/>
              <w:left w:val="single" w:sz="4" w:space="0" w:color="auto"/>
              <w:bottom w:val="single" w:sz="4" w:space="0" w:color="auto"/>
              <w:right w:val="single" w:sz="4" w:space="0" w:color="auto"/>
            </w:tcBorders>
          </w:tcPr>
          <w:p w14:paraId="1BF12713" w14:textId="77777777" w:rsidR="00F8180E" w:rsidRPr="009E686F" w:rsidRDefault="00F8180E" w:rsidP="00ED2C1C">
            <w:pPr>
              <w:spacing w:after="0"/>
              <w:jc w:val="both"/>
              <w:rPr>
                <w:rFonts w:ascii="Times New Roman" w:hAnsi="Times New Roman" w:cs="Times New Roman"/>
                <w:b/>
                <w:lang w:val="pt-BR"/>
              </w:rPr>
            </w:pPr>
          </w:p>
        </w:tc>
        <w:tc>
          <w:tcPr>
            <w:tcW w:w="470" w:type="pct"/>
            <w:tcBorders>
              <w:top w:val="single" w:sz="4" w:space="0" w:color="auto"/>
              <w:left w:val="single" w:sz="4" w:space="0" w:color="auto"/>
              <w:bottom w:val="single" w:sz="4" w:space="0" w:color="auto"/>
              <w:right w:val="single" w:sz="4" w:space="0" w:color="auto"/>
            </w:tcBorders>
          </w:tcPr>
          <w:p w14:paraId="6363E4B9" w14:textId="67D12870" w:rsidR="00F8180E" w:rsidRPr="009E686F" w:rsidRDefault="00F8180E" w:rsidP="00F8180E">
            <w:pPr>
              <w:jc w:val="both"/>
              <w:rPr>
                <w:rFonts w:ascii="Times New Roman" w:hAnsi="Times New Roman" w:cs="Times New Roman"/>
              </w:rPr>
            </w:pPr>
            <w:r w:rsidRPr="009E686F">
              <w:rPr>
                <w:rFonts w:ascii="Times New Roman" w:hAnsi="Times New Roman" w:cs="Times New Roman"/>
              </w:rPr>
              <w:t>Norme UE netranspuse</w:t>
            </w:r>
          </w:p>
          <w:p w14:paraId="0521B0CA" w14:textId="652BDC05" w:rsidR="00F8180E" w:rsidRPr="009E686F" w:rsidRDefault="00F8180E" w:rsidP="00F8180E">
            <w:pPr>
              <w:jc w:val="both"/>
              <w:rPr>
                <w:rFonts w:ascii="Times New Roman" w:hAnsi="Times New Roman" w:cs="Times New Roman"/>
              </w:rPr>
            </w:pPr>
          </w:p>
        </w:tc>
        <w:tc>
          <w:tcPr>
            <w:tcW w:w="806" w:type="pct"/>
            <w:tcBorders>
              <w:top w:val="single" w:sz="4" w:space="0" w:color="auto"/>
              <w:left w:val="single" w:sz="4" w:space="0" w:color="auto"/>
              <w:bottom w:val="single" w:sz="4" w:space="0" w:color="auto"/>
              <w:right w:val="single" w:sz="4" w:space="0" w:color="auto"/>
            </w:tcBorders>
          </w:tcPr>
          <w:p w14:paraId="0BE7C716" w14:textId="77777777" w:rsidR="006D288E" w:rsidRPr="009E686F" w:rsidRDefault="002E30B8" w:rsidP="00515783">
            <w:pPr>
              <w:spacing w:after="0"/>
              <w:jc w:val="both"/>
              <w:rPr>
                <w:rFonts w:ascii="Times New Roman" w:hAnsi="Times New Roman" w:cs="Times New Roman"/>
                <w:lang w:val="ro-RO"/>
              </w:rPr>
            </w:pPr>
            <w:r w:rsidRPr="009E686F">
              <w:rPr>
                <w:rFonts w:ascii="Times New Roman" w:hAnsi="Times New Roman" w:cs="Times New Roman"/>
                <w:lang w:val="ro-RO"/>
              </w:rPr>
              <w:lastRenderedPageBreak/>
              <w:t xml:space="preserve">Nu se consideră oportună preluarea definiției noțiunii de „instituție” în </w:t>
            </w:r>
            <w:r w:rsidRPr="009E686F">
              <w:rPr>
                <w:rFonts w:ascii="Times New Roman" w:hAnsi="Times New Roman" w:cs="Times New Roman"/>
                <w:lang w:val="ro-RO"/>
              </w:rPr>
              <w:lastRenderedPageBreak/>
              <w:t>contextul analizat, având în vedere</w:t>
            </w:r>
            <w:r w:rsidR="006D288E" w:rsidRPr="009E686F">
              <w:rPr>
                <w:rFonts w:ascii="Times New Roman" w:hAnsi="Times New Roman" w:cs="Times New Roman"/>
                <w:lang w:val="ro-RO"/>
              </w:rPr>
              <w:t xml:space="preserve"> următoarele:</w:t>
            </w:r>
          </w:p>
          <w:p w14:paraId="5E9E79B8" w14:textId="24AFEEF0" w:rsidR="002E30B8" w:rsidRPr="009E686F" w:rsidRDefault="002E30B8" w:rsidP="00515783">
            <w:pPr>
              <w:spacing w:after="0"/>
              <w:jc w:val="both"/>
              <w:rPr>
                <w:rFonts w:ascii="Times New Roman" w:hAnsi="Times New Roman" w:cs="Times New Roman"/>
                <w:lang w:val="ro-RO"/>
              </w:rPr>
            </w:pPr>
            <w:r w:rsidRPr="009E686F">
              <w:rPr>
                <w:rFonts w:ascii="Times New Roman" w:hAnsi="Times New Roman" w:cs="Times New Roman"/>
                <w:lang w:val="ro-RO"/>
              </w:rPr>
              <w:t xml:space="preserve"> </w:t>
            </w:r>
            <w:r w:rsidR="006D288E" w:rsidRPr="009E686F">
              <w:rPr>
                <w:rFonts w:ascii="Times New Roman" w:hAnsi="Times New Roman" w:cs="Times New Roman"/>
                <w:lang w:val="ro-RO"/>
              </w:rPr>
              <w:t xml:space="preserve">1. </w:t>
            </w:r>
            <w:r w:rsidRPr="009E686F">
              <w:rPr>
                <w:rFonts w:ascii="Times New Roman" w:hAnsi="Times New Roman" w:cs="Times New Roman"/>
                <w:lang w:val="ro-RO"/>
              </w:rPr>
              <w:t>definiția din Regulamentul (UE) nr. 575/2013 include componenta referitoare la întreprinderile menționate la art. 8a alin. (3) din Directiva 2013/36/UE</w:t>
            </w:r>
            <w:r w:rsidR="006D288E" w:rsidRPr="009E686F">
              <w:rPr>
                <w:rFonts w:ascii="Times New Roman" w:hAnsi="Times New Roman" w:cs="Times New Roman"/>
                <w:lang w:val="ro-RO"/>
              </w:rPr>
              <w:t xml:space="preserve">, </w:t>
            </w:r>
            <w:r w:rsidRPr="009E686F">
              <w:rPr>
                <w:rFonts w:ascii="Times New Roman" w:hAnsi="Times New Roman" w:cs="Times New Roman"/>
                <w:lang w:val="ro-RO"/>
              </w:rPr>
              <w:t>respectiv</w:t>
            </w:r>
            <w:r w:rsidR="006D288E" w:rsidRPr="009E686F">
              <w:rPr>
                <w:rFonts w:ascii="Times New Roman" w:hAnsi="Times New Roman" w:cs="Times New Roman"/>
                <w:lang w:val="ro-RO"/>
              </w:rPr>
              <w:t>,</w:t>
            </w:r>
            <w:r w:rsidRPr="009E686F">
              <w:rPr>
                <w:rFonts w:ascii="Times New Roman" w:hAnsi="Times New Roman" w:cs="Times New Roman"/>
                <w:lang w:val="ro-RO"/>
              </w:rPr>
              <w:t xml:space="preserve"> entități care, la 24 decembrie 2019, desfășurau activități ca firme de investiții autorizate în temeiul Directivei 2014/65/UE și care aveau termen până la 27 decembrie 2020 pentru a obține autorizația ca </w:t>
            </w:r>
            <w:r w:rsidR="00A51A7D" w:rsidRPr="009E686F">
              <w:rPr>
                <w:rFonts w:ascii="Times New Roman" w:hAnsi="Times New Roman" w:cs="Times New Roman"/>
                <w:i/>
                <w:iCs/>
                <w:lang w:val="ro-RO"/>
              </w:rPr>
              <w:t>instituție de credit</w:t>
            </w:r>
            <w:r w:rsidR="006D288E" w:rsidRPr="009E686F">
              <w:rPr>
                <w:rFonts w:ascii="Times New Roman" w:hAnsi="Times New Roman" w:cs="Times New Roman"/>
                <w:lang w:val="ro-RO"/>
              </w:rPr>
              <w:t>. Î</w:t>
            </w:r>
            <w:r w:rsidRPr="009E686F">
              <w:rPr>
                <w:rFonts w:ascii="Times New Roman" w:hAnsi="Times New Roman" w:cs="Times New Roman"/>
                <w:lang w:val="ro-RO"/>
              </w:rPr>
              <w:t>n acea perioadă, Republica Moldova nu avea statut de stat membru al Uniunii Europene.</w:t>
            </w:r>
          </w:p>
          <w:p w14:paraId="0D74BB94" w14:textId="63100E38" w:rsidR="00F8180E" w:rsidRPr="009E686F" w:rsidRDefault="006D288E" w:rsidP="00515783">
            <w:pPr>
              <w:spacing w:after="0"/>
              <w:jc w:val="both"/>
              <w:rPr>
                <w:rFonts w:ascii="Times New Roman" w:hAnsi="Times New Roman" w:cs="Times New Roman"/>
                <w:lang w:val="pt-BR"/>
              </w:rPr>
            </w:pPr>
            <w:r w:rsidRPr="009E686F">
              <w:rPr>
                <w:rFonts w:ascii="Times New Roman" w:hAnsi="Times New Roman" w:cs="Times New Roman"/>
                <w:lang w:val="ro-RO"/>
              </w:rPr>
              <w:t xml:space="preserve">2. </w:t>
            </w:r>
            <w:r w:rsidR="002E30B8" w:rsidRPr="009E686F">
              <w:rPr>
                <w:rFonts w:ascii="Times New Roman" w:hAnsi="Times New Roman" w:cs="Times New Roman"/>
                <w:lang w:val="ro-RO"/>
              </w:rPr>
              <w:t xml:space="preserve">prima parte a definiției </w:t>
            </w:r>
            <w:r w:rsidRPr="009E686F">
              <w:rPr>
                <w:rFonts w:ascii="Times New Roman" w:hAnsi="Times New Roman" w:cs="Times New Roman"/>
                <w:lang w:val="ro-RO"/>
              </w:rPr>
              <w:t>se referă la</w:t>
            </w:r>
            <w:r w:rsidR="002E30B8" w:rsidRPr="009E686F">
              <w:rPr>
                <w:rFonts w:ascii="Times New Roman" w:hAnsi="Times New Roman" w:cs="Times New Roman"/>
                <w:lang w:val="ro-RO"/>
              </w:rPr>
              <w:t xml:space="preserve"> „instituți</w:t>
            </w:r>
            <w:r w:rsidRPr="009E686F">
              <w:rPr>
                <w:rFonts w:ascii="Times New Roman" w:hAnsi="Times New Roman" w:cs="Times New Roman"/>
                <w:lang w:val="ro-RO"/>
              </w:rPr>
              <w:t>e</w:t>
            </w:r>
            <w:r w:rsidR="002E30B8" w:rsidRPr="009E686F">
              <w:rPr>
                <w:rFonts w:ascii="Times New Roman" w:hAnsi="Times New Roman" w:cs="Times New Roman"/>
                <w:lang w:val="ro-RO"/>
              </w:rPr>
              <w:t xml:space="preserve">” ca fiind o </w:t>
            </w:r>
            <w:r w:rsidR="00A51A7D" w:rsidRPr="009E686F">
              <w:rPr>
                <w:rFonts w:ascii="Times New Roman" w:hAnsi="Times New Roman" w:cs="Times New Roman"/>
                <w:i/>
                <w:iCs/>
                <w:lang w:val="ro-RO"/>
              </w:rPr>
              <w:t>instituție de credit</w:t>
            </w:r>
            <w:r w:rsidR="002E30B8" w:rsidRPr="009E686F">
              <w:rPr>
                <w:rFonts w:ascii="Times New Roman" w:hAnsi="Times New Roman" w:cs="Times New Roman"/>
                <w:lang w:val="ro-RO"/>
              </w:rPr>
              <w:t xml:space="preserve"> autorizată în conformitate cu art. 8 din Directiva 2013/36/UE</w:t>
            </w:r>
            <w:r w:rsidRPr="009E686F">
              <w:rPr>
                <w:rFonts w:ascii="Times New Roman" w:hAnsi="Times New Roman" w:cs="Times New Roman"/>
                <w:lang w:val="ro-RO"/>
              </w:rPr>
              <w:t xml:space="preserve">, respectiv, preluarea doar </w:t>
            </w:r>
            <w:r w:rsidRPr="009E686F">
              <w:rPr>
                <w:rFonts w:ascii="Times New Roman" w:hAnsi="Times New Roman" w:cs="Times New Roman"/>
                <w:lang w:val="ro-RO"/>
              </w:rPr>
              <w:lastRenderedPageBreak/>
              <w:t xml:space="preserve">a noțiunii de </w:t>
            </w:r>
            <w:r w:rsidRPr="009E686F">
              <w:rPr>
                <w:rFonts w:ascii="Times New Roman" w:hAnsi="Times New Roman" w:cs="Times New Roman"/>
                <w:lang w:val="pt-BR"/>
              </w:rPr>
              <w:t>“</w:t>
            </w:r>
            <w:r w:rsidRPr="009E686F">
              <w:rPr>
                <w:rFonts w:ascii="Times New Roman" w:hAnsi="Times New Roman" w:cs="Times New Roman"/>
                <w:lang w:val="ro-RO"/>
              </w:rPr>
              <w:t>instituție</w:t>
            </w:r>
            <w:r w:rsidR="00E81436" w:rsidRPr="009E686F">
              <w:rPr>
                <w:rFonts w:ascii="Times New Roman" w:hAnsi="Times New Roman" w:cs="Times New Roman"/>
                <w:lang w:val="ro-RO"/>
              </w:rPr>
              <w:t xml:space="preserve"> de credit</w:t>
            </w:r>
            <w:r w:rsidRPr="009E686F">
              <w:rPr>
                <w:rFonts w:ascii="Times New Roman" w:hAnsi="Times New Roman" w:cs="Times New Roman"/>
                <w:lang w:val="pt-BR"/>
              </w:rPr>
              <w:t>” este suficientă și corespunde abordării directivei.</w:t>
            </w:r>
          </w:p>
        </w:tc>
      </w:tr>
      <w:tr w:rsidR="00B30AFC" w:rsidRPr="009E686F" w14:paraId="08A70FEF" w14:textId="74499E25" w:rsidTr="00960C23">
        <w:tc>
          <w:tcPr>
            <w:tcW w:w="1890" w:type="pct"/>
            <w:tcBorders>
              <w:top w:val="single" w:sz="4" w:space="0" w:color="auto"/>
              <w:left w:val="single" w:sz="4" w:space="0" w:color="auto"/>
              <w:bottom w:val="single" w:sz="4" w:space="0" w:color="auto"/>
              <w:right w:val="single" w:sz="4" w:space="0" w:color="auto"/>
            </w:tcBorders>
          </w:tcPr>
          <w:p w14:paraId="6EB75C05" w14:textId="77777777" w:rsidR="00F8180E" w:rsidRPr="009E686F" w:rsidRDefault="00F8180E" w:rsidP="00ED2C1C">
            <w:pPr>
              <w:spacing w:after="0"/>
              <w:jc w:val="both"/>
              <w:rPr>
                <w:rFonts w:ascii="Times New Roman" w:hAnsi="Times New Roman" w:cs="Times New Roman"/>
                <w:lang w:val="pt-BR"/>
              </w:rPr>
            </w:pPr>
            <w:r w:rsidRPr="009E686F">
              <w:rPr>
                <w:rFonts w:ascii="Times New Roman" w:hAnsi="Times New Roman" w:cs="Times New Roman"/>
                <w:lang w:val="pt-BR"/>
              </w:rPr>
              <w:lastRenderedPageBreak/>
              <w:t>5. "întreprindere de asigurare" înseamnă o întreprindere de asigurare astfel cum este definită la articolul 4 alineatul (1) punctul 5 din Regulamentul (UE) nr. 575/2013;</w:t>
            </w:r>
          </w:p>
          <w:p w14:paraId="77670CF6" w14:textId="0F9DF647" w:rsidR="00F8180E" w:rsidRPr="009E686F" w:rsidRDefault="00F8180E" w:rsidP="00ED2C1C">
            <w:pPr>
              <w:spacing w:after="0"/>
              <w:jc w:val="both"/>
              <w:rPr>
                <w:rFonts w:ascii="Times New Roman" w:hAnsi="Times New Roman" w:cs="Times New Roman"/>
                <w:lang w:val="pt-BR"/>
              </w:rPr>
            </w:pPr>
            <w:r w:rsidRPr="009E686F">
              <w:rPr>
                <w:rFonts w:ascii="Times New Roman" w:hAnsi="Times New Roman" w:cs="Times New Roman"/>
                <w:lang w:val="pt-BR"/>
              </w:rPr>
              <w:t>6. "întreprindere de reasigurare" înseamnă o întreprindere de reasigurare astfel cum este definită la articolul 4 alineatul (1) punctul 6 din Regulamentul (UE) nr. 575/2013;</w:t>
            </w:r>
          </w:p>
        </w:tc>
        <w:tc>
          <w:tcPr>
            <w:tcW w:w="1834" w:type="pct"/>
            <w:tcBorders>
              <w:top w:val="single" w:sz="4" w:space="0" w:color="auto"/>
              <w:left w:val="single" w:sz="4" w:space="0" w:color="auto"/>
              <w:bottom w:val="single" w:sz="4" w:space="0" w:color="auto"/>
              <w:right w:val="single" w:sz="4" w:space="0" w:color="auto"/>
            </w:tcBorders>
          </w:tcPr>
          <w:p w14:paraId="2BF4BAA7" w14:textId="20E809BE" w:rsidR="00F8180E" w:rsidRPr="009E686F" w:rsidRDefault="00F8180E" w:rsidP="00ED2C1C">
            <w:pPr>
              <w:pStyle w:val="a8"/>
              <w:tabs>
                <w:tab w:val="left" w:pos="851"/>
              </w:tabs>
              <w:spacing w:after="0"/>
              <w:ind w:left="0" w:right="152"/>
              <w:jc w:val="both"/>
              <w:rPr>
                <w:rFonts w:eastAsiaTheme="minorHAnsi"/>
                <w:sz w:val="22"/>
                <w:szCs w:val="22"/>
                <w:lang w:val="ro-RO"/>
              </w:rPr>
            </w:pPr>
            <w:r w:rsidRPr="009E686F">
              <w:rPr>
                <w:rFonts w:eastAsiaTheme="minorHAnsi"/>
                <w:b/>
                <w:sz w:val="22"/>
                <w:szCs w:val="22"/>
                <w:lang w:val="ro-RO"/>
              </w:rPr>
              <w:t xml:space="preserve">asigurător / reasigurător </w:t>
            </w:r>
            <w:r w:rsidRPr="009E686F">
              <w:rPr>
                <w:rFonts w:eastAsiaTheme="minorHAnsi"/>
                <w:sz w:val="22"/>
                <w:szCs w:val="22"/>
                <w:lang w:val="ro-RO"/>
              </w:rPr>
              <w:t>– o societate care desfășoară activitate de asigurare/ reasigurare astfel cum este definit în</w:t>
            </w:r>
            <w:r w:rsidR="00894AFB" w:rsidRPr="009E686F">
              <w:rPr>
                <w:sz w:val="22"/>
                <w:szCs w:val="22"/>
                <w:lang w:val="pt-BR"/>
              </w:rPr>
              <w:t xml:space="preserve"> </w:t>
            </w:r>
            <w:r w:rsidR="00894AFB" w:rsidRPr="009E686F">
              <w:rPr>
                <w:rFonts w:eastAsiaTheme="minorHAnsi"/>
                <w:i/>
                <w:iCs/>
                <w:sz w:val="22"/>
                <w:szCs w:val="22"/>
                <w:lang w:val="ro-RO"/>
              </w:rPr>
              <w:t>Legea nr.</w:t>
            </w:r>
            <w:r w:rsidR="00822210" w:rsidRPr="009E686F">
              <w:rPr>
                <w:rFonts w:eastAsiaTheme="minorHAnsi"/>
                <w:i/>
                <w:iCs/>
                <w:sz w:val="22"/>
                <w:szCs w:val="22"/>
                <w:lang w:val="ro-RO"/>
              </w:rPr>
              <w:t xml:space="preserve"> </w:t>
            </w:r>
            <w:r w:rsidR="00894AFB" w:rsidRPr="009E686F">
              <w:rPr>
                <w:rFonts w:eastAsiaTheme="minorHAnsi"/>
                <w:i/>
                <w:iCs/>
                <w:sz w:val="22"/>
                <w:szCs w:val="22"/>
                <w:lang w:val="ro-RO"/>
              </w:rPr>
              <w:t>92/2022 cu privire la activitatea de asigurare sau de reasigurare</w:t>
            </w:r>
            <w:r w:rsidRPr="009E686F">
              <w:rPr>
                <w:rFonts w:eastAsiaTheme="minorHAnsi"/>
                <w:sz w:val="22"/>
                <w:szCs w:val="22"/>
                <w:lang w:val="ro-RO"/>
              </w:rPr>
              <w:t>;</w:t>
            </w:r>
          </w:p>
        </w:tc>
        <w:tc>
          <w:tcPr>
            <w:tcW w:w="470" w:type="pct"/>
            <w:tcBorders>
              <w:top w:val="single" w:sz="4" w:space="0" w:color="auto"/>
              <w:left w:val="single" w:sz="4" w:space="0" w:color="auto"/>
              <w:bottom w:val="single" w:sz="4" w:space="0" w:color="auto"/>
              <w:right w:val="single" w:sz="4" w:space="0" w:color="auto"/>
            </w:tcBorders>
          </w:tcPr>
          <w:p w14:paraId="35D9D17C" w14:textId="559DFA0D" w:rsidR="00F8180E" w:rsidRPr="009E686F" w:rsidRDefault="00F8180E" w:rsidP="00F8180E">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66A95176" w14:textId="7D11FB12" w:rsidR="00F8180E" w:rsidRPr="009E686F" w:rsidRDefault="00F8180E" w:rsidP="00515783">
            <w:pPr>
              <w:spacing w:after="0"/>
              <w:jc w:val="both"/>
              <w:rPr>
                <w:rFonts w:ascii="Times New Roman" w:hAnsi="Times New Roman" w:cs="Times New Roman"/>
              </w:rPr>
            </w:pPr>
          </w:p>
        </w:tc>
      </w:tr>
      <w:tr w:rsidR="00B30AFC" w:rsidRPr="009E686F" w14:paraId="5C792C28" w14:textId="14280826" w:rsidTr="00960C23">
        <w:tc>
          <w:tcPr>
            <w:tcW w:w="1890" w:type="pct"/>
            <w:tcBorders>
              <w:top w:val="single" w:sz="4" w:space="0" w:color="auto"/>
              <w:left w:val="single" w:sz="4" w:space="0" w:color="auto"/>
              <w:bottom w:val="single" w:sz="4" w:space="0" w:color="auto"/>
              <w:right w:val="single" w:sz="4" w:space="0" w:color="auto"/>
            </w:tcBorders>
          </w:tcPr>
          <w:p w14:paraId="55E0CA76" w14:textId="5DA1C1A5" w:rsidR="00F8180E" w:rsidRPr="009E686F" w:rsidRDefault="00F8180E" w:rsidP="00ED2C1C">
            <w:pPr>
              <w:spacing w:after="0"/>
              <w:jc w:val="both"/>
              <w:rPr>
                <w:rFonts w:ascii="Times New Roman" w:hAnsi="Times New Roman" w:cs="Times New Roman"/>
              </w:rPr>
            </w:pPr>
            <w:r w:rsidRPr="009E686F">
              <w:rPr>
                <w:rFonts w:ascii="Times New Roman" w:hAnsi="Times New Roman" w:cs="Times New Roman"/>
              </w:rPr>
              <w:t>7. "organ de conducere" înseamnă un organ sau organe ale unei instituții, care sunt numite în conformitate cu dreptul intern, care sunt împuternicite să stabilească strategia, obiectivele și direcția generală a instituției, și care supraveghează și monitorizează procesul decizional de conducere, și include persoane care conduc în mod efectiv activitatea instituției;</w:t>
            </w:r>
          </w:p>
        </w:tc>
        <w:tc>
          <w:tcPr>
            <w:tcW w:w="1834" w:type="pct"/>
            <w:tcBorders>
              <w:top w:val="single" w:sz="4" w:space="0" w:color="auto"/>
              <w:left w:val="single" w:sz="4" w:space="0" w:color="auto"/>
              <w:bottom w:val="single" w:sz="4" w:space="0" w:color="auto"/>
              <w:right w:val="single" w:sz="4" w:space="0" w:color="auto"/>
            </w:tcBorders>
          </w:tcPr>
          <w:p w14:paraId="2C74AA34" w14:textId="77777777" w:rsidR="00F8180E" w:rsidRPr="009E686F" w:rsidRDefault="00F8180E" w:rsidP="00ED2C1C">
            <w:pPr>
              <w:spacing w:after="0"/>
              <w:jc w:val="both"/>
              <w:rPr>
                <w:rFonts w:ascii="Times New Roman" w:hAnsi="Times New Roman" w:cs="Times New Roman"/>
                <w:lang w:val="it-CH"/>
              </w:rPr>
            </w:pPr>
            <w:r w:rsidRPr="009E686F">
              <w:rPr>
                <w:rFonts w:ascii="Times New Roman" w:hAnsi="Times New Roman" w:cs="Times New Roman"/>
                <w:b/>
                <w:lang w:val="it-CH"/>
              </w:rPr>
              <w:t>organ de conducere</w:t>
            </w:r>
            <w:r w:rsidRPr="009E686F">
              <w:rPr>
                <w:rFonts w:ascii="Times New Roman" w:hAnsi="Times New Roman" w:cs="Times New Roman"/>
                <w:lang w:val="it-CH"/>
              </w:rPr>
              <w:t xml:space="preserve"> – organe unei </w:t>
            </w:r>
            <w:r w:rsidR="00A51A7D" w:rsidRPr="009E686F">
              <w:rPr>
                <w:rFonts w:ascii="Times New Roman" w:hAnsi="Times New Roman" w:cs="Times New Roman"/>
                <w:i/>
                <w:lang w:val="it-CH"/>
              </w:rPr>
              <w:t>instituții de credit</w:t>
            </w:r>
            <w:r w:rsidRPr="009E686F">
              <w:rPr>
                <w:rFonts w:ascii="Times New Roman" w:hAnsi="Times New Roman" w:cs="Times New Roman"/>
                <w:lang w:val="it-CH"/>
              </w:rPr>
              <w:t xml:space="preserve">, care sunt </w:t>
            </w:r>
            <w:r w:rsidR="00947258" w:rsidRPr="009E686F">
              <w:rPr>
                <w:rFonts w:ascii="Times New Roman" w:hAnsi="Times New Roman" w:cs="Times New Roman"/>
                <w:lang w:val="it-CH"/>
              </w:rPr>
              <w:t xml:space="preserve">alese sau </w:t>
            </w:r>
            <w:r w:rsidRPr="009E686F">
              <w:rPr>
                <w:rFonts w:ascii="Times New Roman" w:hAnsi="Times New Roman" w:cs="Times New Roman"/>
                <w:lang w:val="it-CH"/>
              </w:rPr>
              <w:t xml:space="preserve">numite în conformitate cu legislația aplicabilă și sunt împuternicite să stabilească strategia, obiectivele și orientarea generală ale </w:t>
            </w:r>
            <w:r w:rsidR="00A51A7D" w:rsidRPr="009E686F">
              <w:rPr>
                <w:rFonts w:ascii="Times New Roman" w:hAnsi="Times New Roman" w:cs="Times New Roman"/>
                <w:i/>
                <w:lang w:val="it-CH"/>
              </w:rPr>
              <w:t>instituției de credit</w:t>
            </w:r>
            <w:r w:rsidRPr="009E686F">
              <w:rPr>
                <w:rFonts w:ascii="Times New Roman" w:hAnsi="Times New Roman" w:cs="Times New Roman"/>
                <w:lang w:val="it-CH"/>
              </w:rPr>
              <w:t xml:space="preserve">, și care supraveghează și monitorizează procesul decizional de conducere și persoane fizice care conduc în mod efectiv activitatea </w:t>
            </w:r>
            <w:r w:rsidR="00A51A7D" w:rsidRPr="009E686F">
              <w:rPr>
                <w:rFonts w:ascii="Times New Roman" w:hAnsi="Times New Roman" w:cs="Times New Roman"/>
                <w:i/>
                <w:lang w:val="it-CH"/>
              </w:rPr>
              <w:t>instituției de credit</w:t>
            </w:r>
            <w:r w:rsidRPr="009E686F">
              <w:rPr>
                <w:rFonts w:ascii="Times New Roman" w:hAnsi="Times New Roman" w:cs="Times New Roman"/>
                <w:lang w:val="it-CH"/>
              </w:rPr>
              <w:t>;</w:t>
            </w:r>
          </w:p>
          <w:p w14:paraId="0FB6527B" w14:textId="5D269B8F" w:rsidR="00D1591C" w:rsidRPr="009E686F" w:rsidRDefault="00D1591C" w:rsidP="00D1591C">
            <w:pPr>
              <w:spacing w:after="0"/>
              <w:jc w:val="both"/>
              <w:rPr>
                <w:rFonts w:ascii="Times New Roman" w:hAnsi="Times New Roman" w:cs="Times New Roman"/>
                <w:lang w:val="it-CH"/>
              </w:rPr>
            </w:pPr>
            <w:r w:rsidRPr="009E686F">
              <w:rPr>
                <w:rFonts w:ascii="Times New Roman" w:hAnsi="Times New Roman" w:cs="Times New Roman"/>
                <w:b/>
                <w:lang w:val="it-CH"/>
              </w:rPr>
              <w:t>Articolul 40 alin. (1)</w:t>
            </w:r>
          </w:p>
          <w:p w14:paraId="1557FBB5" w14:textId="4C400A7C" w:rsidR="00D1591C" w:rsidRPr="009E686F" w:rsidRDefault="00D1591C" w:rsidP="00ED2C1C">
            <w:pPr>
              <w:spacing w:after="0"/>
              <w:jc w:val="both"/>
              <w:rPr>
                <w:rFonts w:ascii="Times New Roman" w:hAnsi="Times New Roman" w:cs="Times New Roman"/>
                <w:i/>
                <w:lang w:val="it-CH"/>
              </w:rPr>
            </w:pPr>
            <w:r w:rsidRPr="009E686F">
              <w:rPr>
                <w:rFonts w:ascii="Times New Roman" w:hAnsi="Times New Roman" w:cs="Times New Roman"/>
                <w:i/>
                <w:lang w:val="it-CH"/>
              </w:rPr>
              <w:t xml:space="preserve">(1) Organul de conducere al unei instituții de credit </w:t>
            </w:r>
            <w:r w:rsidR="00401D49" w:rsidRPr="009E686F">
              <w:rPr>
                <w:rFonts w:ascii="Times New Roman" w:hAnsi="Times New Roman" w:cs="Times New Roman"/>
                <w:i/>
                <w:lang w:val="it-CH"/>
              </w:rPr>
              <w:t xml:space="preserve">este constituit din </w:t>
            </w:r>
            <w:r w:rsidRPr="009E686F">
              <w:rPr>
                <w:rFonts w:ascii="Times New Roman" w:hAnsi="Times New Roman" w:cs="Times New Roman"/>
                <w:i/>
                <w:lang w:val="it-CH"/>
              </w:rPr>
              <w:t>organul de conducere în funcția sa de supraveghere și organul de conducere în funcția sa de conducere.</w:t>
            </w:r>
          </w:p>
        </w:tc>
        <w:tc>
          <w:tcPr>
            <w:tcW w:w="470" w:type="pct"/>
            <w:tcBorders>
              <w:top w:val="single" w:sz="4" w:space="0" w:color="auto"/>
              <w:left w:val="single" w:sz="4" w:space="0" w:color="auto"/>
              <w:bottom w:val="single" w:sz="4" w:space="0" w:color="auto"/>
              <w:right w:val="single" w:sz="4" w:space="0" w:color="auto"/>
            </w:tcBorders>
          </w:tcPr>
          <w:p w14:paraId="100B2C8A" w14:textId="68514AB7" w:rsidR="00F8180E" w:rsidRPr="009E686F" w:rsidRDefault="00F8180E" w:rsidP="00F8180E">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6B5FFCFB" w14:textId="2441EC18" w:rsidR="00F8180E" w:rsidRPr="009E686F" w:rsidRDefault="00F8180E" w:rsidP="00515783">
            <w:pPr>
              <w:spacing w:after="0"/>
              <w:jc w:val="both"/>
              <w:rPr>
                <w:rFonts w:ascii="Times New Roman" w:hAnsi="Times New Roman" w:cs="Times New Roman"/>
              </w:rPr>
            </w:pPr>
          </w:p>
        </w:tc>
      </w:tr>
      <w:tr w:rsidR="00B30AFC" w:rsidRPr="009E686F" w14:paraId="53B748B4" w14:textId="0836D102" w:rsidTr="00960C23">
        <w:tc>
          <w:tcPr>
            <w:tcW w:w="1890" w:type="pct"/>
            <w:tcBorders>
              <w:top w:val="single" w:sz="4" w:space="0" w:color="auto"/>
              <w:left w:val="single" w:sz="4" w:space="0" w:color="auto"/>
              <w:bottom w:val="single" w:sz="4" w:space="0" w:color="auto"/>
              <w:right w:val="single" w:sz="4" w:space="0" w:color="auto"/>
            </w:tcBorders>
          </w:tcPr>
          <w:p w14:paraId="248E7090" w14:textId="4FCFDD7B" w:rsidR="00F8180E" w:rsidRPr="009E686F" w:rsidRDefault="00F8180E" w:rsidP="00ED2C1C">
            <w:pPr>
              <w:spacing w:after="0"/>
              <w:jc w:val="both"/>
              <w:rPr>
                <w:rFonts w:ascii="Times New Roman" w:hAnsi="Times New Roman" w:cs="Times New Roman"/>
                <w:lang w:val="it-CH"/>
              </w:rPr>
            </w:pPr>
            <w:r w:rsidRPr="009E686F">
              <w:rPr>
                <w:rFonts w:ascii="Times New Roman" w:hAnsi="Times New Roman" w:cs="Times New Roman"/>
                <w:lang w:val="it-CH"/>
              </w:rPr>
              <w:t>8. "organ de conducere în funcția sa de supraveghere" înseamnă organul de conducere care își îndeplinește rolul de supraveghere și monitorizare a procesului decizional de conducere;</w:t>
            </w:r>
          </w:p>
        </w:tc>
        <w:tc>
          <w:tcPr>
            <w:tcW w:w="1834" w:type="pct"/>
            <w:tcBorders>
              <w:top w:val="single" w:sz="4" w:space="0" w:color="auto"/>
              <w:left w:val="single" w:sz="4" w:space="0" w:color="auto"/>
              <w:bottom w:val="single" w:sz="4" w:space="0" w:color="auto"/>
              <w:right w:val="single" w:sz="4" w:space="0" w:color="auto"/>
            </w:tcBorders>
          </w:tcPr>
          <w:p w14:paraId="17A9FF77" w14:textId="525496D5" w:rsidR="00F8180E" w:rsidRPr="009E686F" w:rsidRDefault="00F8180E" w:rsidP="00ED2C1C">
            <w:pPr>
              <w:spacing w:after="0"/>
              <w:jc w:val="both"/>
              <w:rPr>
                <w:rFonts w:ascii="Times New Roman" w:hAnsi="Times New Roman" w:cs="Times New Roman"/>
                <w:b/>
                <w:lang w:val="it-CH"/>
              </w:rPr>
            </w:pPr>
            <w:r w:rsidRPr="009E686F">
              <w:rPr>
                <w:rFonts w:ascii="Times New Roman" w:hAnsi="Times New Roman" w:cs="Times New Roman"/>
                <w:b/>
                <w:lang w:val="it-CH"/>
              </w:rPr>
              <w:t>Articolul 40</w:t>
            </w:r>
            <w:r w:rsidR="004F72B3" w:rsidRPr="009E686F">
              <w:rPr>
                <w:rFonts w:ascii="Times New Roman" w:hAnsi="Times New Roman" w:cs="Times New Roman"/>
                <w:b/>
                <w:lang w:val="it-CH"/>
              </w:rPr>
              <w:t xml:space="preserve"> alineatul</w:t>
            </w:r>
            <w:r w:rsidRPr="009E686F">
              <w:rPr>
                <w:rFonts w:ascii="Times New Roman" w:hAnsi="Times New Roman" w:cs="Times New Roman"/>
                <w:b/>
                <w:lang w:val="it-CH"/>
              </w:rPr>
              <w:t xml:space="preserve"> (1</w:t>
            </w:r>
            <w:r w:rsidRPr="009E686F">
              <w:rPr>
                <w:rFonts w:ascii="Times New Roman" w:hAnsi="Times New Roman" w:cs="Times New Roman"/>
                <w:b/>
                <w:vertAlign w:val="superscript"/>
                <w:lang w:val="it-CH"/>
              </w:rPr>
              <w:t>1</w:t>
            </w:r>
            <w:r w:rsidRPr="009E686F">
              <w:rPr>
                <w:rFonts w:ascii="Times New Roman" w:hAnsi="Times New Roman" w:cs="Times New Roman"/>
                <w:b/>
                <w:lang w:val="it-CH"/>
              </w:rPr>
              <w:t>)</w:t>
            </w:r>
          </w:p>
          <w:p w14:paraId="585040B4" w14:textId="2CFF171E" w:rsidR="00F8180E" w:rsidRPr="009E686F" w:rsidRDefault="00F8180E" w:rsidP="00ED2C1C">
            <w:pPr>
              <w:spacing w:after="0"/>
              <w:jc w:val="both"/>
              <w:rPr>
                <w:rFonts w:ascii="Times New Roman" w:hAnsi="Times New Roman" w:cs="Times New Roman"/>
                <w:b/>
                <w:i/>
                <w:lang w:val="it-CH"/>
              </w:rPr>
            </w:pPr>
            <w:r w:rsidRPr="009E686F">
              <w:rPr>
                <w:rFonts w:ascii="Times New Roman" w:eastAsia="Aptos" w:hAnsi="Times New Roman" w:cs="Times New Roman"/>
                <w:i/>
                <w:iCs/>
                <w:kern w:val="2"/>
                <w:lang w:val="ro-MD"/>
              </w:rPr>
              <w:t>(1</w:t>
            </w:r>
            <w:r w:rsidRPr="009E686F">
              <w:rPr>
                <w:rFonts w:ascii="Times New Roman" w:eastAsia="Aptos" w:hAnsi="Times New Roman" w:cs="Times New Roman"/>
                <w:i/>
                <w:iCs/>
                <w:kern w:val="2"/>
                <w:vertAlign w:val="superscript"/>
                <w:lang w:val="ro-MD"/>
              </w:rPr>
              <w:t>1</w:t>
            </w:r>
            <w:r w:rsidRPr="009E686F">
              <w:rPr>
                <w:rFonts w:ascii="Times New Roman" w:eastAsia="Aptos" w:hAnsi="Times New Roman" w:cs="Times New Roman"/>
                <w:i/>
                <w:iCs/>
                <w:kern w:val="2"/>
                <w:lang w:val="ro-MD"/>
              </w:rPr>
              <w:t xml:space="preserve">) Organul de conducere al unei </w:t>
            </w:r>
            <w:r w:rsidR="00A51A7D" w:rsidRPr="009E686F">
              <w:rPr>
                <w:rFonts w:ascii="Times New Roman" w:eastAsia="Aptos" w:hAnsi="Times New Roman" w:cs="Times New Roman"/>
                <w:i/>
                <w:iCs/>
                <w:kern w:val="2"/>
                <w:lang w:val="ro-MD"/>
              </w:rPr>
              <w:t>instituții de credit</w:t>
            </w:r>
            <w:r w:rsidRPr="009E686F">
              <w:rPr>
                <w:rFonts w:ascii="Times New Roman" w:eastAsia="Aptos" w:hAnsi="Times New Roman" w:cs="Times New Roman"/>
                <w:i/>
                <w:iCs/>
                <w:kern w:val="2"/>
                <w:lang w:val="ro-MD"/>
              </w:rPr>
              <w:t xml:space="preserve"> în funcția sa de supraveghere este organul de conducere care își îndeplinește rolul de supraveghere și monitorizare a procesului decizional de conducere și este reprezentat de consiliu.</w:t>
            </w:r>
          </w:p>
          <w:p w14:paraId="6F3BF175" w14:textId="7854E95E" w:rsidR="00F8180E" w:rsidRPr="009E686F" w:rsidRDefault="00F8180E" w:rsidP="00ED2C1C">
            <w:pPr>
              <w:spacing w:after="0"/>
              <w:jc w:val="both"/>
              <w:rPr>
                <w:rFonts w:ascii="Times New Roman" w:hAnsi="Times New Roman" w:cs="Times New Roman"/>
                <w:b/>
                <w:bCs/>
                <w:lang w:val="pt-BR"/>
              </w:rPr>
            </w:pPr>
            <w:r w:rsidRPr="009E686F">
              <w:rPr>
                <w:rFonts w:ascii="Times New Roman" w:hAnsi="Times New Roman" w:cs="Times New Roman"/>
                <w:b/>
                <w:bCs/>
                <w:lang w:val="pt-BR"/>
              </w:rPr>
              <w:t xml:space="preserve">Articolul 41. Consiliul </w:t>
            </w:r>
            <w:r w:rsidR="00A51A7D" w:rsidRPr="009E686F">
              <w:rPr>
                <w:rFonts w:ascii="Times New Roman" w:hAnsi="Times New Roman" w:cs="Times New Roman"/>
                <w:b/>
                <w:bCs/>
                <w:i/>
                <w:iCs/>
                <w:lang w:val="pt-BR"/>
              </w:rPr>
              <w:t>instituției de credit</w:t>
            </w:r>
          </w:p>
          <w:p w14:paraId="7A050E2C" w14:textId="6C4956FF" w:rsidR="00F8180E" w:rsidRPr="009E686F" w:rsidRDefault="00F8180E" w:rsidP="00ED2C1C">
            <w:pPr>
              <w:spacing w:after="0"/>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 xml:space="preserve">(1) Consiliul </w:t>
            </w:r>
            <w:r w:rsidR="00A51A7D" w:rsidRPr="009E686F">
              <w:rPr>
                <w:rFonts w:ascii="Times New Roman" w:eastAsia="Aptos" w:hAnsi="Times New Roman" w:cs="Times New Roman"/>
                <w:i/>
                <w:iCs/>
                <w:kern w:val="2"/>
                <w:lang w:val="ro-MD"/>
              </w:rPr>
              <w:t>instituției de credit</w:t>
            </w:r>
            <w:r w:rsidRPr="009E686F">
              <w:rPr>
                <w:rFonts w:ascii="Times New Roman" w:eastAsia="Aptos" w:hAnsi="Times New Roman" w:cs="Times New Roman"/>
                <w:kern w:val="2"/>
                <w:lang w:val="ro-MD"/>
              </w:rPr>
              <w:t xml:space="preserve"> îndeplineşte rolul de supraveghere şi monitorizare a procesului decizional de </w:t>
            </w:r>
            <w:r w:rsidRPr="009E686F">
              <w:rPr>
                <w:rFonts w:ascii="Times New Roman" w:eastAsia="Aptos" w:hAnsi="Times New Roman" w:cs="Times New Roman"/>
                <w:kern w:val="2"/>
                <w:lang w:val="ro-MD"/>
              </w:rPr>
              <w:lastRenderedPageBreak/>
              <w:t xml:space="preserve">conducere şi este responsabil de activitatea </w:t>
            </w:r>
            <w:r w:rsidR="00A51A7D" w:rsidRPr="009E686F">
              <w:rPr>
                <w:rFonts w:ascii="Times New Roman" w:eastAsia="Aptos" w:hAnsi="Times New Roman" w:cs="Times New Roman"/>
                <w:i/>
                <w:iCs/>
                <w:kern w:val="2"/>
                <w:lang w:val="ro-MD"/>
              </w:rPr>
              <w:t>instituției de credit</w:t>
            </w:r>
            <w:r w:rsidRPr="009E686F">
              <w:rPr>
                <w:rFonts w:ascii="Times New Roman" w:eastAsia="Aptos" w:hAnsi="Times New Roman" w:cs="Times New Roman"/>
                <w:kern w:val="2"/>
                <w:lang w:val="ro-MD"/>
              </w:rPr>
              <w:t xml:space="preserve"> per ansamblu şi de soliditatea financiară a acesteia.</w:t>
            </w:r>
          </w:p>
        </w:tc>
        <w:tc>
          <w:tcPr>
            <w:tcW w:w="470" w:type="pct"/>
            <w:tcBorders>
              <w:top w:val="single" w:sz="4" w:space="0" w:color="auto"/>
              <w:left w:val="single" w:sz="4" w:space="0" w:color="auto"/>
              <w:bottom w:val="single" w:sz="4" w:space="0" w:color="auto"/>
              <w:right w:val="single" w:sz="4" w:space="0" w:color="auto"/>
            </w:tcBorders>
          </w:tcPr>
          <w:p w14:paraId="6927890C" w14:textId="77777777" w:rsidR="00F8180E" w:rsidRPr="009E686F" w:rsidRDefault="00F8180E" w:rsidP="00F8180E">
            <w:pPr>
              <w:jc w:val="both"/>
              <w:rPr>
                <w:rFonts w:ascii="Times New Roman" w:hAnsi="Times New Roman" w:cs="Times New Roman"/>
              </w:rPr>
            </w:pPr>
            <w:r w:rsidRPr="009E686F">
              <w:rPr>
                <w:rFonts w:ascii="Times New Roman" w:hAnsi="Times New Roman" w:cs="Times New Roman"/>
              </w:rPr>
              <w:lastRenderedPageBreak/>
              <w:t>Compatibil</w:t>
            </w:r>
          </w:p>
          <w:p w14:paraId="163F831B" w14:textId="59FABFB8" w:rsidR="00F8180E" w:rsidRPr="009E686F" w:rsidRDefault="00F8180E" w:rsidP="00F8180E">
            <w:pPr>
              <w:jc w:val="both"/>
              <w:rPr>
                <w:rFonts w:ascii="Times New Roman" w:hAnsi="Times New Roman" w:cs="Times New Roman"/>
              </w:rPr>
            </w:pPr>
            <w:r w:rsidRPr="009E686F">
              <w:rPr>
                <w:rFonts w:ascii="Times New Roman" w:hAnsi="Times New Roman" w:cs="Times New Roman"/>
              </w:rPr>
              <w:t xml:space="preserve"> </w:t>
            </w:r>
          </w:p>
        </w:tc>
        <w:tc>
          <w:tcPr>
            <w:tcW w:w="806" w:type="pct"/>
            <w:tcBorders>
              <w:top w:val="single" w:sz="4" w:space="0" w:color="auto"/>
              <w:left w:val="single" w:sz="4" w:space="0" w:color="auto"/>
              <w:bottom w:val="single" w:sz="4" w:space="0" w:color="auto"/>
              <w:right w:val="single" w:sz="4" w:space="0" w:color="auto"/>
            </w:tcBorders>
          </w:tcPr>
          <w:p w14:paraId="2EFDA532" w14:textId="572162AB" w:rsidR="00F8180E" w:rsidRPr="009E686F" w:rsidRDefault="00F8180E" w:rsidP="00515783">
            <w:pPr>
              <w:spacing w:after="0"/>
              <w:jc w:val="both"/>
              <w:rPr>
                <w:rFonts w:ascii="Times New Roman" w:hAnsi="Times New Roman" w:cs="Times New Roman"/>
              </w:rPr>
            </w:pPr>
          </w:p>
        </w:tc>
      </w:tr>
      <w:tr w:rsidR="00B30AFC" w:rsidRPr="009E686F" w14:paraId="51A2C3F2" w14:textId="77777777" w:rsidTr="00960C23">
        <w:tc>
          <w:tcPr>
            <w:tcW w:w="1890" w:type="pct"/>
            <w:tcBorders>
              <w:top w:val="single" w:sz="4" w:space="0" w:color="auto"/>
              <w:left w:val="single" w:sz="4" w:space="0" w:color="auto"/>
              <w:bottom w:val="single" w:sz="4" w:space="0" w:color="auto"/>
              <w:right w:val="single" w:sz="4" w:space="0" w:color="auto"/>
            </w:tcBorders>
          </w:tcPr>
          <w:p w14:paraId="2B9ADDD1" w14:textId="69B9E000" w:rsidR="00F8180E" w:rsidRPr="009E686F" w:rsidRDefault="00F8180E" w:rsidP="00ED2C1C">
            <w:pPr>
              <w:spacing w:after="0"/>
              <w:jc w:val="both"/>
              <w:rPr>
                <w:rFonts w:ascii="Times New Roman" w:hAnsi="Times New Roman" w:cs="Times New Roman"/>
              </w:rPr>
            </w:pPr>
            <w:r w:rsidRPr="009E686F">
              <w:rPr>
                <w:rFonts w:ascii="Times New Roman" w:hAnsi="Times New Roman" w:cs="Times New Roman"/>
              </w:rPr>
              <w:t>8a. „organ de conducere în funcția sa de conducere” înseamnă organul de conducere care acționează în rolul său de conducere a unei instituții și include persoanele care conduc efectiv activitatea instituției;”</w:t>
            </w:r>
          </w:p>
        </w:tc>
        <w:tc>
          <w:tcPr>
            <w:tcW w:w="1834" w:type="pct"/>
            <w:tcBorders>
              <w:top w:val="single" w:sz="4" w:space="0" w:color="auto"/>
              <w:left w:val="single" w:sz="4" w:space="0" w:color="auto"/>
              <w:bottom w:val="single" w:sz="4" w:space="0" w:color="auto"/>
              <w:right w:val="single" w:sz="4" w:space="0" w:color="auto"/>
            </w:tcBorders>
          </w:tcPr>
          <w:p w14:paraId="4EFC8C93" w14:textId="52C3A677" w:rsidR="00F8180E" w:rsidRPr="009E686F" w:rsidRDefault="00F8180E" w:rsidP="00ED2C1C">
            <w:pPr>
              <w:spacing w:after="0"/>
              <w:jc w:val="both"/>
              <w:rPr>
                <w:rFonts w:ascii="Times New Roman" w:eastAsia="Aptos" w:hAnsi="Times New Roman" w:cs="Times New Roman"/>
                <w:b/>
                <w:bCs/>
                <w:kern w:val="2"/>
                <w:lang w:val="ro-MD"/>
              </w:rPr>
            </w:pPr>
            <w:r w:rsidRPr="009E686F">
              <w:rPr>
                <w:rFonts w:ascii="Times New Roman" w:eastAsia="Aptos" w:hAnsi="Times New Roman" w:cs="Times New Roman"/>
                <w:b/>
                <w:bCs/>
                <w:kern w:val="2"/>
                <w:lang w:val="ro-MD"/>
              </w:rPr>
              <w:t>Articolul 4</w:t>
            </w:r>
            <w:r w:rsidR="004430B0" w:rsidRPr="009E686F">
              <w:rPr>
                <w:rFonts w:ascii="Times New Roman" w:eastAsia="Aptos" w:hAnsi="Times New Roman" w:cs="Times New Roman"/>
                <w:b/>
                <w:bCs/>
                <w:kern w:val="2"/>
                <w:lang w:val="ro-MD"/>
              </w:rPr>
              <w:t>0</w:t>
            </w:r>
            <w:r w:rsidR="00E676A6" w:rsidRPr="009E686F">
              <w:rPr>
                <w:rFonts w:ascii="Times New Roman" w:eastAsia="Aptos" w:hAnsi="Times New Roman" w:cs="Times New Roman"/>
                <w:b/>
                <w:bCs/>
                <w:kern w:val="2"/>
                <w:lang w:val="ro-MD"/>
              </w:rPr>
              <w:t xml:space="preserve"> alin. </w:t>
            </w:r>
            <w:r w:rsidRPr="009E686F">
              <w:rPr>
                <w:rFonts w:ascii="Times New Roman" w:eastAsia="Aptos" w:hAnsi="Times New Roman" w:cs="Times New Roman"/>
                <w:b/>
                <w:bCs/>
                <w:kern w:val="2"/>
                <w:lang w:val="ro-MD"/>
              </w:rPr>
              <w:t>(1</w:t>
            </w:r>
            <w:r w:rsidRPr="009E686F">
              <w:rPr>
                <w:rFonts w:ascii="Times New Roman" w:eastAsia="Aptos" w:hAnsi="Times New Roman" w:cs="Times New Roman"/>
                <w:b/>
                <w:bCs/>
                <w:kern w:val="2"/>
                <w:vertAlign w:val="superscript"/>
                <w:lang w:val="ro-MD"/>
              </w:rPr>
              <w:t>2</w:t>
            </w:r>
            <w:r w:rsidRPr="009E686F">
              <w:rPr>
                <w:rFonts w:ascii="Times New Roman" w:eastAsia="Aptos" w:hAnsi="Times New Roman" w:cs="Times New Roman"/>
                <w:b/>
                <w:bCs/>
                <w:kern w:val="2"/>
                <w:lang w:val="ro-MD"/>
              </w:rPr>
              <w:t>)</w:t>
            </w:r>
          </w:p>
          <w:p w14:paraId="7B52EC26" w14:textId="1FEE046E" w:rsidR="00F8180E" w:rsidRPr="009E686F" w:rsidRDefault="00F8180E" w:rsidP="00ED2C1C">
            <w:pPr>
              <w:spacing w:after="0"/>
              <w:jc w:val="both"/>
              <w:rPr>
                <w:rFonts w:ascii="Times New Roman" w:hAnsi="Times New Roman" w:cs="Times New Roman"/>
                <w:b/>
                <w:bCs/>
                <w:i/>
                <w:iCs/>
                <w:lang w:val="pt-BR"/>
              </w:rPr>
            </w:pPr>
            <w:r w:rsidRPr="009E686F">
              <w:rPr>
                <w:rFonts w:ascii="Times New Roman" w:eastAsia="Aptos" w:hAnsi="Times New Roman" w:cs="Times New Roman"/>
                <w:i/>
                <w:iCs/>
                <w:kern w:val="2"/>
                <w:lang w:val="ro-MD"/>
              </w:rPr>
              <w:t>(1</w:t>
            </w:r>
            <w:r w:rsidRPr="009E686F">
              <w:rPr>
                <w:rFonts w:ascii="Times New Roman" w:eastAsia="Aptos" w:hAnsi="Times New Roman" w:cs="Times New Roman"/>
                <w:i/>
                <w:iCs/>
                <w:kern w:val="2"/>
                <w:vertAlign w:val="superscript"/>
                <w:lang w:val="ro-MD"/>
              </w:rPr>
              <w:t>2</w:t>
            </w:r>
            <w:r w:rsidRPr="009E686F">
              <w:rPr>
                <w:rFonts w:ascii="Times New Roman" w:eastAsia="Aptos" w:hAnsi="Times New Roman" w:cs="Times New Roman"/>
                <w:i/>
                <w:iCs/>
                <w:kern w:val="2"/>
                <w:lang w:val="ro-MD"/>
              </w:rPr>
              <w:t xml:space="preserve">) Organul de conducere al unei </w:t>
            </w:r>
            <w:r w:rsidR="00A51A7D" w:rsidRPr="009E686F">
              <w:rPr>
                <w:rFonts w:ascii="Times New Roman" w:eastAsia="Aptos" w:hAnsi="Times New Roman" w:cs="Times New Roman"/>
                <w:i/>
                <w:iCs/>
                <w:kern w:val="2"/>
                <w:lang w:val="ro-MD"/>
              </w:rPr>
              <w:t>instituții de credit</w:t>
            </w:r>
            <w:r w:rsidRPr="009E686F">
              <w:rPr>
                <w:rFonts w:ascii="Times New Roman" w:eastAsia="Aptos" w:hAnsi="Times New Roman" w:cs="Times New Roman"/>
                <w:i/>
                <w:iCs/>
                <w:kern w:val="2"/>
                <w:lang w:val="ro-MD"/>
              </w:rPr>
              <w:t xml:space="preserve"> în funcția sa de conducere este organul de conducere care acționează în rolul său de conducere a unei </w:t>
            </w:r>
            <w:r w:rsidR="00A51A7D" w:rsidRPr="009E686F">
              <w:rPr>
                <w:rFonts w:ascii="Times New Roman" w:eastAsia="Aptos" w:hAnsi="Times New Roman" w:cs="Times New Roman"/>
                <w:i/>
                <w:iCs/>
                <w:kern w:val="2"/>
                <w:lang w:val="ro-MD"/>
              </w:rPr>
              <w:t>instituții de credit</w:t>
            </w:r>
            <w:r w:rsidRPr="009E686F">
              <w:rPr>
                <w:rFonts w:ascii="Times New Roman" w:eastAsia="Aptos" w:hAnsi="Times New Roman" w:cs="Times New Roman"/>
                <w:i/>
                <w:iCs/>
                <w:kern w:val="2"/>
                <w:lang w:val="ro-MD"/>
              </w:rPr>
              <w:t xml:space="preserve"> și include persoanele care conduc în mod efectiv activitatea </w:t>
            </w:r>
            <w:r w:rsidR="00A51A7D" w:rsidRPr="009E686F">
              <w:rPr>
                <w:rFonts w:ascii="Times New Roman" w:eastAsia="Aptos" w:hAnsi="Times New Roman" w:cs="Times New Roman"/>
                <w:i/>
                <w:iCs/>
                <w:kern w:val="2"/>
                <w:lang w:val="ro-MD"/>
              </w:rPr>
              <w:t>instituției de credit</w:t>
            </w:r>
            <w:r w:rsidRPr="009E686F">
              <w:rPr>
                <w:rFonts w:ascii="Times New Roman" w:eastAsia="Aptos" w:hAnsi="Times New Roman" w:cs="Times New Roman"/>
                <w:i/>
                <w:iCs/>
                <w:kern w:val="2"/>
                <w:lang w:val="ro-MD"/>
              </w:rPr>
              <w:t xml:space="preserve"> și este reprezentat de </w:t>
            </w:r>
            <w:r w:rsidR="00871125" w:rsidRPr="009E686F">
              <w:rPr>
                <w:rFonts w:ascii="Times New Roman" w:eastAsia="Aptos" w:hAnsi="Times New Roman" w:cs="Times New Roman"/>
                <w:i/>
                <w:iCs/>
                <w:kern w:val="2"/>
                <w:lang w:val="ro-MD"/>
              </w:rPr>
              <w:t xml:space="preserve">organul executiv al </w:t>
            </w:r>
            <w:r w:rsidRPr="009E686F">
              <w:rPr>
                <w:rFonts w:ascii="Times New Roman" w:eastAsia="Aptos" w:hAnsi="Times New Roman" w:cs="Times New Roman"/>
                <w:i/>
                <w:iCs/>
                <w:kern w:val="2"/>
                <w:lang w:val="ro-MD"/>
              </w:rPr>
              <w:t>acesteia</w:t>
            </w:r>
            <w:r w:rsidR="00256D7A" w:rsidRPr="009E686F">
              <w:rPr>
                <w:rFonts w:ascii="Times New Roman" w:eastAsia="Aptos" w:hAnsi="Times New Roman" w:cs="Times New Roman"/>
                <w:i/>
                <w:iCs/>
                <w:kern w:val="2"/>
                <w:lang w:val="ro-MD"/>
              </w:rPr>
              <w:t>.</w:t>
            </w:r>
          </w:p>
        </w:tc>
        <w:tc>
          <w:tcPr>
            <w:tcW w:w="470" w:type="pct"/>
            <w:tcBorders>
              <w:top w:val="single" w:sz="4" w:space="0" w:color="auto"/>
              <w:left w:val="single" w:sz="4" w:space="0" w:color="auto"/>
              <w:bottom w:val="single" w:sz="4" w:space="0" w:color="auto"/>
              <w:right w:val="single" w:sz="4" w:space="0" w:color="auto"/>
            </w:tcBorders>
          </w:tcPr>
          <w:p w14:paraId="373A7A99" w14:textId="0B3AAD07" w:rsidR="00F8180E" w:rsidRPr="009E686F" w:rsidRDefault="00C95BC3" w:rsidP="00F8180E">
            <w:pPr>
              <w:jc w:val="both"/>
              <w:rPr>
                <w:rFonts w:ascii="Times New Roman" w:hAnsi="Times New Roman" w:cs="Times New Roman"/>
                <w:lang w:val="pt-BR"/>
              </w:rPr>
            </w:pPr>
            <w:r w:rsidRPr="009E686F">
              <w:rPr>
                <w:rFonts w:ascii="Times New Roman" w:hAnsi="Times New Roman" w:cs="Times New Roman"/>
                <w:lang w:val="pt-BR"/>
              </w:rPr>
              <w:t>Compatibil</w:t>
            </w:r>
          </w:p>
        </w:tc>
        <w:tc>
          <w:tcPr>
            <w:tcW w:w="806" w:type="pct"/>
            <w:tcBorders>
              <w:top w:val="single" w:sz="4" w:space="0" w:color="auto"/>
              <w:left w:val="single" w:sz="4" w:space="0" w:color="auto"/>
              <w:bottom w:val="single" w:sz="4" w:space="0" w:color="auto"/>
              <w:right w:val="single" w:sz="4" w:space="0" w:color="auto"/>
            </w:tcBorders>
          </w:tcPr>
          <w:p w14:paraId="597DFEBF" w14:textId="77777777" w:rsidR="00F8180E" w:rsidRPr="009E686F" w:rsidRDefault="00F8180E" w:rsidP="00515783">
            <w:pPr>
              <w:spacing w:after="0"/>
              <w:jc w:val="both"/>
              <w:rPr>
                <w:rFonts w:ascii="Times New Roman" w:hAnsi="Times New Roman" w:cs="Times New Roman"/>
                <w:lang w:val="pt-BR"/>
              </w:rPr>
            </w:pPr>
          </w:p>
        </w:tc>
      </w:tr>
      <w:tr w:rsidR="00B30AFC" w:rsidRPr="009E686F" w14:paraId="113BF8BB" w14:textId="387AC62C" w:rsidTr="00960C23">
        <w:tc>
          <w:tcPr>
            <w:tcW w:w="1890" w:type="pct"/>
            <w:tcBorders>
              <w:top w:val="single" w:sz="4" w:space="0" w:color="auto"/>
              <w:left w:val="single" w:sz="4" w:space="0" w:color="auto"/>
              <w:bottom w:val="single" w:sz="4" w:space="0" w:color="auto"/>
              <w:right w:val="single" w:sz="4" w:space="0" w:color="auto"/>
            </w:tcBorders>
          </w:tcPr>
          <w:p w14:paraId="2547F419" w14:textId="22D65845" w:rsidR="00F8180E" w:rsidRPr="009E686F" w:rsidRDefault="00F8180E" w:rsidP="00ED2C1C">
            <w:pPr>
              <w:spacing w:after="0"/>
              <w:jc w:val="both"/>
              <w:rPr>
                <w:rFonts w:ascii="Times New Roman" w:hAnsi="Times New Roman" w:cs="Times New Roman"/>
              </w:rPr>
            </w:pPr>
            <w:r w:rsidRPr="009E686F">
              <w:rPr>
                <w:rFonts w:ascii="Times New Roman" w:hAnsi="Times New Roman" w:cs="Times New Roman"/>
              </w:rPr>
              <w:t>9. „conducere superioară” înseamnă persoanele fizice care exercită funcții de conducere în cadrul unei instituții și care r</w:t>
            </w:r>
            <w:r w:rsidRPr="009E686F">
              <w:rPr>
                <w:rFonts w:ascii="Times New Roman" w:hAnsi="Times New Roman" w:cs="Times New Roman"/>
                <w:lang w:val="ro-MD"/>
              </w:rPr>
              <w:t xml:space="preserve">ăspund direct în fața </w:t>
            </w:r>
            <w:r w:rsidRPr="009E686F">
              <w:rPr>
                <w:rFonts w:ascii="Times New Roman" w:hAnsi="Times New Roman" w:cs="Times New Roman"/>
              </w:rPr>
              <w:t>organului de conducere, dar nu sunt membri ai organu</w:t>
            </w:r>
            <w:r w:rsidR="004F4C67" w:rsidRPr="009E686F">
              <w:rPr>
                <w:rFonts w:ascii="Times New Roman" w:hAnsi="Times New Roman" w:cs="Times New Roman"/>
              </w:rPr>
              <w:t>+</w:t>
            </w:r>
            <w:r w:rsidRPr="009E686F">
              <w:rPr>
                <w:rFonts w:ascii="Times New Roman" w:hAnsi="Times New Roman" w:cs="Times New Roman"/>
              </w:rPr>
              <w:t>lui respective, și care sunt reponsabilecu gestionarea curentă a instituției sub conducerea organului de conducere;</w:t>
            </w:r>
          </w:p>
        </w:tc>
        <w:tc>
          <w:tcPr>
            <w:tcW w:w="1834" w:type="pct"/>
            <w:tcBorders>
              <w:top w:val="single" w:sz="4" w:space="0" w:color="auto"/>
              <w:left w:val="single" w:sz="4" w:space="0" w:color="auto"/>
              <w:bottom w:val="single" w:sz="4" w:space="0" w:color="auto"/>
              <w:right w:val="single" w:sz="4" w:space="0" w:color="auto"/>
            </w:tcBorders>
          </w:tcPr>
          <w:p w14:paraId="5572F20A" w14:textId="5394C3DA" w:rsidR="00F8180E" w:rsidRPr="009E686F" w:rsidRDefault="00C95BC3" w:rsidP="00ED2C1C">
            <w:pPr>
              <w:spacing w:after="0"/>
              <w:jc w:val="both"/>
              <w:rPr>
                <w:rFonts w:ascii="Times New Roman" w:hAnsi="Times New Roman" w:cs="Times New Roman"/>
                <w:bCs/>
                <w:i/>
                <w:iCs/>
              </w:rPr>
            </w:pPr>
            <w:r w:rsidRPr="009E686F">
              <w:rPr>
                <w:rFonts w:ascii="Times New Roman" w:hAnsi="Times New Roman" w:cs="Times New Roman"/>
                <w:bCs/>
                <w:i/>
                <w:iCs/>
              </w:rPr>
              <w:t>conducere superioară - persoanele fizice care exercită funcţii de conducere în cadrul unei instituţii de credit și care răspund direct în faţa organului de conducere, dar nu sunt membri ai organului respectiv, și care sunt responsabile cu gestionarea curentă a instituţiei de credit sub conducerea organului de conducere.</w:t>
            </w:r>
          </w:p>
        </w:tc>
        <w:tc>
          <w:tcPr>
            <w:tcW w:w="470" w:type="pct"/>
            <w:tcBorders>
              <w:top w:val="single" w:sz="4" w:space="0" w:color="auto"/>
              <w:left w:val="single" w:sz="4" w:space="0" w:color="auto"/>
              <w:bottom w:val="single" w:sz="4" w:space="0" w:color="auto"/>
              <w:right w:val="single" w:sz="4" w:space="0" w:color="auto"/>
            </w:tcBorders>
          </w:tcPr>
          <w:p w14:paraId="09FE371D" w14:textId="7763B87C" w:rsidR="00F8180E" w:rsidRPr="009E686F" w:rsidRDefault="00C95BC3" w:rsidP="00F8180E">
            <w:pPr>
              <w:jc w:val="both"/>
              <w:rPr>
                <w:rFonts w:ascii="Times New Roman" w:hAnsi="Times New Roman" w:cs="Times New Roman"/>
              </w:rPr>
            </w:pPr>
            <w:r w:rsidRPr="009E686F">
              <w:rPr>
                <w:rFonts w:ascii="Times New Roman" w:hAnsi="Times New Roman" w:cs="Times New Roman"/>
              </w:rPr>
              <w:t>Compatibil</w:t>
            </w:r>
          </w:p>
          <w:p w14:paraId="079A237C" w14:textId="772F709E" w:rsidR="00F8180E" w:rsidRPr="009E686F" w:rsidRDefault="00F8180E" w:rsidP="00F8180E">
            <w:pPr>
              <w:jc w:val="both"/>
              <w:rPr>
                <w:rFonts w:ascii="Times New Roman" w:hAnsi="Times New Roman" w:cs="Times New Roman"/>
              </w:rPr>
            </w:pPr>
            <w:r w:rsidRPr="009E686F">
              <w:rPr>
                <w:rFonts w:ascii="Times New Roman" w:hAnsi="Times New Roman" w:cs="Times New Roman"/>
              </w:rPr>
              <w:t xml:space="preserve"> </w:t>
            </w:r>
          </w:p>
        </w:tc>
        <w:tc>
          <w:tcPr>
            <w:tcW w:w="806" w:type="pct"/>
            <w:tcBorders>
              <w:top w:val="single" w:sz="4" w:space="0" w:color="auto"/>
              <w:left w:val="single" w:sz="4" w:space="0" w:color="auto"/>
              <w:bottom w:val="single" w:sz="4" w:space="0" w:color="auto"/>
              <w:right w:val="single" w:sz="4" w:space="0" w:color="auto"/>
            </w:tcBorders>
          </w:tcPr>
          <w:p w14:paraId="35BC3B4E" w14:textId="4AC1328E" w:rsidR="00F8180E" w:rsidRPr="009E686F" w:rsidRDefault="00F8180E" w:rsidP="00515783">
            <w:pPr>
              <w:spacing w:after="0"/>
              <w:jc w:val="both"/>
              <w:rPr>
                <w:rFonts w:ascii="Times New Roman" w:hAnsi="Times New Roman" w:cs="Times New Roman"/>
                <w:bCs/>
                <w:lang w:val="ro-MD"/>
              </w:rPr>
            </w:pPr>
          </w:p>
        </w:tc>
      </w:tr>
      <w:tr w:rsidR="00B30AFC" w:rsidRPr="009E686F" w14:paraId="75C00444" w14:textId="77777777" w:rsidTr="00960C23">
        <w:tc>
          <w:tcPr>
            <w:tcW w:w="1890" w:type="pct"/>
            <w:tcBorders>
              <w:top w:val="single" w:sz="4" w:space="0" w:color="auto"/>
              <w:left w:val="single" w:sz="4" w:space="0" w:color="auto"/>
              <w:bottom w:val="single" w:sz="4" w:space="0" w:color="auto"/>
              <w:right w:val="single" w:sz="4" w:space="0" w:color="auto"/>
            </w:tcBorders>
          </w:tcPr>
          <w:p w14:paraId="683C89FB" w14:textId="432B07CA" w:rsidR="00F8180E" w:rsidRPr="009E686F" w:rsidRDefault="00F8180E" w:rsidP="00ED2C1C">
            <w:pPr>
              <w:spacing w:after="0"/>
              <w:jc w:val="both"/>
              <w:rPr>
                <w:rFonts w:ascii="Times New Roman" w:hAnsi="Times New Roman" w:cs="Times New Roman"/>
                <w:lang w:val="ro-MD"/>
              </w:rPr>
            </w:pPr>
            <w:r w:rsidRPr="009E686F">
              <w:rPr>
                <w:rFonts w:ascii="Times New Roman" w:hAnsi="Times New Roman" w:cs="Times New Roman"/>
                <w:lang w:val="ro-MD"/>
              </w:rPr>
              <w:t>9a. „persoane care dețin funcții-cheie” înseamnă persoanele care au o influență semnificativă asupra orientării unei instituții, dar nu sunt membri ai organului de conducere, fiind incluși aici și coordonatorii funcțiilor de control intern și directorul financiar, în cazul în care respectivii coordonatori sau directorul financiar în cauză nu sunt membri ai organului de conducere;</w:t>
            </w:r>
          </w:p>
        </w:tc>
        <w:tc>
          <w:tcPr>
            <w:tcW w:w="1834" w:type="pct"/>
            <w:tcBorders>
              <w:top w:val="single" w:sz="4" w:space="0" w:color="auto"/>
              <w:left w:val="single" w:sz="4" w:space="0" w:color="auto"/>
              <w:bottom w:val="single" w:sz="4" w:space="0" w:color="auto"/>
              <w:right w:val="single" w:sz="4" w:space="0" w:color="auto"/>
            </w:tcBorders>
          </w:tcPr>
          <w:p w14:paraId="3CBBE131" w14:textId="1BBF794A" w:rsidR="00F8180E" w:rsidRPr="009E686F" w:rsidRDefault="00F8180E" w:rsidP="00ED2C1C">
            <w:pPr>
              <w:spacing w:after="0"/>
              <w:jc w:val="both"/>
              <w:rPr>
                <w:rFonts w:ascii="Times New Roman" w:hAnsi="Times New Roman" w:cs="Times New Roman"/>
                <w:bCs/>
                <w:lang w:val="it-IT"/>
              </w:rPr>
            </w:pPr>
            <w:r w:rsidRPr="009E686F">
              <w:rPr>
                <w:rFonts w:ascii="Times New Roman" w:hAnsi="Times New Roman" w:cs="Times New Roman"/>
                <w:i/>
                <w:lang w:val="ro-MD"/>
              </w:rPr>
              <w:t>persoane care deţin funcţii-cheie</w:t>
            </w:r>
            <w:r w:rsidRPr="009E686F">
              <w:rPr>
                <w:rFonts w:ascii="Times New Roman" w:hAnsi="Times New Roman" w:cs="Times New Roman"/>
                <w:lang w:val="ro-MD"/>
              </w:rPr>
              <w:t xml:space="preserve"> – membri ai personalului ale căror funcţii le conferă o influenţă semnificativă asupra orientării </w:t>
            </w:r>
            <w:r w:rsidR="00A51A7D" w:rsidRPr="009E686F">
              <w:rPr>
                <w:rFonts w:ascii="Times New Roman" w:hAnsi="Times New Roman" w:cs="Times New Roman"/>
                <w:i/>
                <w:lang w:val="ro-MD"/>
              </w:rPr>
              <w:t>instituției de credit</w:t>
            </w:r>
            <w:r w:rsidRPr="009E686F">
              <w:rPr>
                <w:rFonts w:ascii="Times New Roman" w:hAnsi="Times New Roman" w:cs="Times New Roman"/>
                <w:lang w:val="ro-MD"/>
              </w:rPr>
              <w:t xml:space="preserve">, însă care nu sînt membri ai organului de conducere. Printre persoanele care deţin funcţii-cheie se pot număra </w:t>
            </w:r>
            <w:r w:rsidRPr="009E686F">
              <w:rPr>
                <w:rFonts w:ascii="Times New Roman" w:hAnsi="Times New Roman" w:cs="Times New Roman"/>
                <w:i/>
                <w:lang w:val="ro-MD"/>
              </w:rPr>
              <w:t>coordonatorii funcțiilor de control intern și directorul financiar, în cazul în care aceștia nu sunt membri ai organului de conducere,</w:t>
            </w:r>
            <w:r w:rsidRPr="009E686F">
              <w:rPr>
                <w:rFonts w:ascii="Times New Roman" w:hAnsi="Times New Roman" w:cs="Times New Roman"/>
                <w:lang w:val="ro-MD"/>
              </w:rPr>
              <w:t xml:space="preserve"> conducătorii unor linii de activitate importante, ai sucursalelor, ai funcţiilor de suport şi de control. </w:t>
            </w:r>
            <w:r w:rsidR="0042352D" w:rsidRPr="009E686F">
              <w:rPr>
                <w:rFonts w:ascii="Times New Roman" w:hAnsi="Times New Roman" w:cs="Times New Roman"/>
                <w:bCs/>
                <w:lang w:val="it-CH"/>
              </w:rPr>
              <w:t>C</w:t>
            </w:r>
            <w:r w:rsidRPr="009E686F">
              <w:rPr>
                <w:rFonts w:ascii="Times New Roman" w:hAnsi="Times New Roman" w:cs="Times New Roman"/>
                <w:bCs/>
                <w:lang w:val="it-IT"/>
              </w:rPr>
              <w:t>ategorii</w:t>
            </w:r>
            <w:r w:rsidR="0042352D" w:rsidRPr="009E686F">
              <w:rPr>
                <w:rFonts w:ascii="Times New Roman" w:hAnsi="Times New Roman" w:cs="Times New Roman"/>
                <w:bCs/>
                <w:lang w:val="it-IT"/>
              </w:rPr>
              <w:t>le</w:t>
            </w:r>
            <w:r w:rsidRPr="009E686F">
              <w:rPr>
                <w:rFonts w:ascii="Times New Roman" w:hAnsi="Times New Roman" w:cs="Times New Roman"/>
                <w:bCs/>
                <w:lang w:val="it-IT"/>
              </w:rPr>
              <w:t xml:space="preserve"> de persoane fizice care deţin funcţii-cheie sînt determinate prin actele normative ale Băncii Naţionale a Moldovei;</w:t>
            </w:r>
          </w:p>
        </w:tc>
        <w:tc>
          <w:tcPr>
            <w:tcW w:w="470" w:type="pct"/>
            <w:tcBorders>
              <w:top w:val="single" w:sz="4" w:space="0" w:color="auto"/>
              <w:left w:val="single" w:sz="4" w:space="0" w:color="auto"/>
              <w:bottom w:val="single" w:sz="4" w:space="0" w:color="auto"/>
              <w:right w:val="single" w:sz="4" w:space="0" w:color="auto"/>
            </w:tcBorders>
          </w:tcPr>
          <w:p w14:paraId="0EBAF670" w14:textId="77777777" w:rsidR="00F8180E" w:rsidRPr="009E686F" w:rsidRDefault="00F8180E" w:rsidP="00F8180E">
            <w:pPr>
              <w:jc w:val="both"/>
              <w:rPr>
                <w:rFonts w:ascii="Times New Roman" w:hAnsi="Times New Roman" w:cs="Times New Roman"/>
                <w:lang w:val="it-IT"/>
              </w:rPr>
            </w:pPr>
          </w:p>
        </w:tc>
        <w:tc>
          <w:tcPr>
            <w:tcW w:w="806" w:type="pct"/>
            <w:tcBorders>
              <w:top w:val="single" w:sz="4" w:space="0" w:color="auto"/>
              <w:left w:val="single" w:sz="4" w:space="0" w:color="auto"/>
              <w:bottom w:val="single" w:sz="4" w:space="0" w:color="auto"/>
              <w:right w:val="single" w:sz="4" w:space="0" w:color="auto"/>
            </w:tcBorders>
          </w:tcPr>
          <w:p w14:paraId="358CCDCD" w14:textId="77777777" w:rsidR="00F8180E" w:rsidRPr="009E686F" w:rsidRDefault="00F8180E" w:rsidP="00515783">
            <w:pPr>
              <w:spacing w:after="0"/>
              <w:jc w:val="both"/>
              <w:rPr>
                <w:rFonts w:ascii="Times New Roman" w:hAnsi="Times New Roman" w:cs="Times New Roman"/>
                <w:lang w:val="it-IT"/>
              </w:rPr>
            </w:pPr>
          </w:p>
        </w:tc>
      </w:tr>
      <w:tr w:rsidR="00B30AFC" w:rsidRPr="009E686F" w14:paraId="4315519A" w14:textId="77777777" w:rsidTr="00960C23">
        <w:tc>
          <w:tcPr>
            <w:tcW w:w="1890" w:type="pct"/>
            <w:tcBorders>
              <w:top w:val="single" w:sz="4" w:space="0" w:color="auto"/>
              <w:left w:val="single" w:sz="4" w:space="0" w:color="auto"/>
              <w:bottom w:val="single" w:sz="4" w:space="0" w:color="auto"/>
              <w:right w:val="single" w:sz="4" w:space="0" w:color="auto"/>
            </w:tcBorders>
          </w:tcPr>
          <w:p w14:paraId="5E6DB648" w14:textId="7FF4C58D" w:rsidR="00F8180E" w:rsidRPr="009E686F" w:rsidRDefault="00F8180E" w:rsidP="00ED2C1C">
            <w:pPr>
              <w:spacing w:after="0"/>
              <w:jc w:val="both"/>
              <w:rPr>
                <w:rFonts w:ascii="Times New Roman" w:hAnsi="Times New Roman" w:cs="Times New Roman"/>
                <w:lang w:val="pt-BR"/>
              </w:rPr>
            </w:pPr>
            <w:r w:rsidRPr="009E686F">
              <w:rPr>
                <w:rFonts w:ascii="Times New Roman" w:hAnsi="Times New Roman" w:cs="Times New Roman"/>
                <w:lang w:val="pt-BR"/>
              </w:rPr>
              <w:t>9b. „funcții de control intern” înseamnă funcțiile de administrare a riscurilor, de conformitate și de audit intern;</w:t>
            </w:r>
          </w:p>
        </w:tc>
        <w:tc>
          <w:tcPr>
            <w:tcW w:w="1834" w:type="pct"/>
            <w:tcBorders>
              <w:top w:val="single" w:sz="4" w:space="0" w:color="auto"/>
              <w:left w:val="single" w:sz="4" w:space="0" w:color="auto"/>
              <w:bottom w:val="single" w:sz="4" w:space="0" w:color="auto"/>
              <w:right w:val="single" w:sz="4" w:space="0" w:color="auto"/>
            </w:tcBorders>
          </w:tcPr>
          <w:p w14:paraId="6A40B59D" w14:textId="72B595F0" w:rsidR="00F8180E" w:rsidRPr="009E686F" w:rsidRDefault="00F8180E" w:rsidP="00ED2C1C">
            <w:pPr>
              <w:spacing w:after="0"/>
              <w:jc w:val="both"/>
              <w:rPr>
                <w:rFonts w:ascii="Times New Roman" w:eastAsia="Aptos" w:hAnsi="Times New Roman" w:cs="Times New Roman"/>
                <w:b/>
                <w:bCs/>
                <w:i/>
                <w:iCs/>
                <w:kern w:val="2"/>
                <w:lang w:val="ro-MD"/>
              </w:rPr>
            </w:pPr>
            <w:r w:rsidRPr="009E686F">
              <w:rPr>
                <w:rFonts w:ascii="Times New Roman" w:eastAsia="Aptos" w:hAnsi="Times New Roman" w:cs="Times New Roman"/>
                <w:b/>
                <w:bCs/>
                <w:i/>
                <w:iCs/>
                <w:kern w:val="2"/>
                <w:lang w:val="ro-MD"/>
              </w:rPr>
              <w:t>Articolul 44</w:t>
            </w:r>
            <w:r w:rsidRPr="009E686F">
              <w:rPr>
                <w:rFonts w:ascii="Times New Roman" w:eastAsia="Aptos" w:hAnsi="Times New Roman" w:cs="Times New Roman"/>
                <w:b/>
                <w:bCs/>
                <w:i/>
                <w:iCs/>
                <w:kern w:val="2"/>
                <w:vertAlign w:val="superscript"/>
                <w:lang w:val="ro-MD"/>
              </w:rPr>
              <w:t>2</w:t>
            </w:r>
            <w:r w:rsidR="003D27BA" w:rsidRPr="009E686F">
              <w:rPr>
                <w:rFonts w:ascii="Times New Roman" w:eastAsia="Aptos" w:hAnsi="Times New Roman" w:cs="Times New Roman"/>
                <w:b/>
                <w:bCs/>
                <w:i/>
                <w:iCs/>
                <w:kern w:val="2"/>
                <w:lang w:val="ro-MD"/>
              </w:rPr>
              <w:t xml:space="preserve"> alin. </w:t>
            </w:r>
            <w:r w:rsidRPr="009E686F">
              <w:rPr>
                <w:rFonts w:ascii="Times New Roman" w:eastAsia="Aptos" w:hAnsi="Times New Roman" w:cs="Times New Roman"/>
                <w:b/>
                <w:bCs/>
                <w:i/>
                <w:iCs/>
                <w:kern w:val="2"/>
                <w:lang w:val="ro-MD"/>
              </w:rPr>
              <w:t>(2)</w:t>
            </w:r>
          </w:p>
          <w:p w14:paraId="642F31C7" w14:textId="6697D7DA" w:rsidR="00F8180E" w:rsidRPr="009E686F" w:rsidRDefault="00F8180E" w:rsidP="00ED2C1C">
            <w:pPr>
              <w:spacing w:after="0"/>
              <w:jc w:val="both"/>
              <w:rPr>
                <w:rFonts w:ascii="Times New Roman" w:hAnsi="Times New Roman" w:cs="Times New Roman"/>
                <w:b/>
                <w:lang w:val="pt-BR"/>
              </w:rPr>
            </w:pPr>
            <w:r w:rsidRPr="009E686F">
              <w:rPr>
                <w:rFonts w:ascii="Times New Roman" w:eastAsia="Aptos" w:hAnsi="Times New Roman" w:cs="Times New Roman"/>
                <w:i/>
                <w:iCs/>
                <w:kern w:val="2"/>
                <w:lang w:val="ro-MD"/>
              </w:rPr>
              <w:t>(2) Funcţiile de control intern trebuie să includă o funcţie de administrare a riscurilor, o funcţie de conformitate şi o funcţie de audit intern</w:t>
            </w:r>
            <w:r w:rsidRPr="009E686F">
              <w:rPr>
                <w:rFonts w:ascii="Times New Roman" w:eastAsia="Aptos" w:hAnsi="Times New Roman" w:cs="Times New Roman"/>
                <w:kern w:val="2"/>
                <w:lang w:val="ro-MD"/>
              </w:rPr>
              <w:t>.</w:t>
            </w:r>
          </w:p>
        </w:tc>
        <w:tc>
          <w:tcPr>
            <w:tcW w:w="470" w:type="pct"/>
            <w:tcBorders>
              <w:top w:val="single" w:sz="4" w:space="0" w:color="auto"/>
              <w:left w:val="single" w:sz="4" w:space="0" w:color="auto"/>
              <w:bottom w:val="single" w:sz="4" w:space="0" w:color="auto"/>
              <w:right w:val="single" w:sz="4" w:space="0" w:color="auto"/>
            </w:tcBorders>
          </w:tcPr>
          <w:p w14:paraId="01959695" w14:textId="77777777" w:rsidR="00F8180E" w:rsidRPr="009E686F" w:rsidRDefault="00F8180E" w:rsidP="00F8180E">
            <w:pPr>
              <w:jc w:val="both"/>
              <w:rPr>
                <w:rFonts w:ascii="Times New Roman" w:hAnsi="Times New Roman" w:cs="Times New Roman"/>
                <w:lang w:val="pt-BR"/>
              </w:rPr>
            </w:pPr>
          </w:p>
        </w:tc>
        <w:tc>
          <w:tcPr>
            <w:tcW w:w="806" w:type="pct"/>
            <w:tcBorders>
              <w:top w:val="single" w:sz="4" w:space="0" w:color="auto"/>
              <w:left w:val="single" w:sz="4" w:space="0" w:color="auto"/>
              <w:bottom w:val="single" w:sz="4" w:space="0" w:color="auto"/>
              <w:right w:val="single" w:sz="4" w:space="0" w:color="auto"/>
            </w:tcBorders>
          </w:tcPr>
          <w:p w14:paraId="62BE8C32" w14:textId="77777777" w:rsidR="00F8180E" w:rsidRPr="009E686F" w:rsidRDefault="00F8180E" w:rsidP="00515783">
            <w:pPr>
              <w:spacing w:after="0"/>
              <w:jc w:val="both"/>
              <w:rPr>
                <w:rFonts w:ascii="Times New Roman" w:hAnsi="Times New Roman" w:cs="Times New Roman"/>
                <w:lang w:val="pt-BR"/>
              </w:rPr>
            </w:pPr>
          </w:p>
        </w:tc>
      </w:tr>
      <w:tr w:rsidR="00B30AFC" w:rsidRPr="009E686F" w14:paraId="10A2B2DB" w14:textId="77777777" w:rsidTr="00960C23">
        <w:tc>
          <w:tcPr>
            <w:tcW w:w="1890" w:type="pct"/>
            <w:tcBorders>
              <w:top w:val="single" w:sz="4" w:space="0" w:color="auto"/>
              <w:left w:val="single" w:sz="4" w:space="0" w:color="auto"/>
              <w:bottom w:val="single" w:sz="4" w:space="0" w:color="auto"/>
              <w:right w:val="single" w:sz="4" w:space="0" w:color="auto"/>
            </w:tcBorders>
          </w:tcPr>
          <w:p w14:paraId="1383F7BA" w14:textId="3E12DCC6" w:rsidR="00F8180E" w:rsidRPr="009E686F" w:rsidRDefault="00F8180E" w:rsidP="00ED2C1C">
            <w:pPr>
              <w:spacing w:after="0"/>
              <w:jc w:val="both"/>
              <w:rPr>
                <w:rFonts w:ascii="Times New Roman" w:hAnsi="Times New Roman" w:cs="Times New Roman"/>
                <w:lang w:val="pt-BR"/>
              </w:rPr>
            </w:pPr>
            <w:r w:rsidRPr="009E686F">
              <w:rPr>
                <w:rFonts w:ascii="Times New Roman" w:hAnsi="Times New Roman" w:cs="Times New Roman"/>
                <w:lang w:val="pt-BR"/>
              </w:rPr>
              <w:t xml:space="preserve">9c. „coordonatori ai funcțiilor de control intern” înseamnă persoanele de la cel mai înalt nivel ierarhic responsabile cu </w:t>
            </w:r>
            <w:r w:rsidRPr="009E686F">
              <w:rPr>
                <w:rFonts w:ascii="Times New Roman" w:hAnsi="Times New Roman" w:cs="Times New Roman"/>
                <w:lang w:val="pt-BR"/>
              </w:rPr>
              <w:lastRenderedPageBreak/>
              <w:t>gestionarea efectivă a desfășurării curente a funcțiilor de control intern ale unei instituții;</w:t>
            </w:r>
          </w:p>
        </w:tc>
        <w:tc>
          <w:tcPr>
            <w:tcW w:w="1834" w:type="pct"/>
            <w:tcBorders>
              <w:top w:val="single" w:sz="4" w:space="0" w:color="auto"/>
              <w:left w:val="single" w:sz="4" w:space="0" w:color="auto"/>
              <w:bottom w:val="single" w:sz="4" w:space="0" w:color="auto"/>
              <w:right w:val="single" w:sz="4" w:space="0" w:color="auto"/>
            </w:tcBorders>
          </w:tcPr>
          <w:p w14:paraId="619B15F1" w14:textId="56BB61EB" w:rsidR="002A6FCF" w:rsidRPr="009E686F" w:rsidRDefault="002A6FCF" w:rsidP="00ED2C1C">
            <w:pPr>
              <w:spacing w:after="0"/>
              <w:jc w:val="both"/>
              <w:rPr>
                <w:rFonts w:ascii="Times New Roman" w:hAnsi="Times New Roman" w:cs="Times New Roman"/>
                <w:i/>
                <w:lang w:val="pt-BR"/>
              </w:rPr>
            </w:pPr>
            <w:r w:rsidRPr="009E686F">
              <w:rPr>
                <w:rFonts w:ascii="Times New Roman" w:hAnsi="Times New Roman" w:cs="Times New Roman"/>
                <w:b/>
                <w:lang w:val="pt-BR"/>
              </w:rPr>
              <w:lastRenderedPageBreak/>
              <w:t>Articolul 3. Definiții</w:t>
            </w:r>
            <w:r w:rsidRPr="009E686F">
              <w:rPr>
                <w:rFonts w:ascii="Times New Roman" w:hAnsi="Times New Roman" w:cs="Times New Roman"/>
                <w:i/>
                <w:lang w:val="pt-BR"/>
              </w:rPr>
              <w:t xml:space="preserve"> </w:t>
            </w:r>
          </w:p>
          <w:p w14:paraId="0A6D3351" w14:textId="5F3A7B5A" w:rsidR="00F8180E" w:rsidRPr="009E686F" w:rsidRDefault="00F8180E" w:rsidP="00ED2C1C">
            <w:pPr>
              <w:spacing w:after="0"/>
              <w:jc w:val="both"/>
              <w:rPr>
                <w:rFonts w:ascii="Times New Roman" w:hAnsi="Times New Roman" w:cs="Times New Roman"/>
                <w:i/>
                <w:lang w:val="pt-BR"/>
              </w:rPr>
            </w:pPr>
            <w:r w:rsidRPr="009E686F">
              <w:rPr>
                <w:rFonts w:ascii="Times New Roman" w:hAnsi="Times New Roman" w:cs="Times New Roman"/>
                <w:i/>
                <w:lang w:val="pt-BR"/>
              </w:rPr>
              <w:lastRenderedPageBreak/>
              <w:t xml:space="preserve">coordonatori ai funcțiilor de control intern – persoanele de la cel mai înalt nivel ierarhic responsabile cu gestionarea efectivă a desfășurării curente a funcțiilor de control intern ale unei </w:t>
            </w:r>
            <w:r w:rsidR="00A51A7D" w:rsidRPr="009E686F">
              <w:rPr>
                <w:rFonts w:ascii="Times New Roman" w:hAnsi="Times New Roman" w:cs="Times New Roman"/>
                <w:i/>
                <w:lang w:val="pt-BR"/>
              </w:rPr>
              <w:t>instituții de credit</w:t>
            </w:r>
            <w:r w:rsidRPr="009E686F">
              <w:rPr>
                <w:rFonts w:ascii="Times New Roman" w:hAnsi="Times New Roman" w:cs="Times New Roman"/>
                <w:i/>
                <w:lang w:val="pt-BR"/>
              </w:rPr>
              <w:t xml:space="preserve">;  </w:t>
            </w:r>
          </w:p>
        </w:tc>
        <w:tc>
          <w:tcPr>
            <w:tcW w:w="470" w:type="pct"/>
            <w:tcBorders>
              <w:top w:val="single" w:sz="4" w:space="0" w:color="auto"/>
              <w:left w:val="single" w:sz="4" w:space="0" w:color="auto"/>
              <w:bottom w:val="single" w:sz="4" w:space="0" w:color="auto"/>
              <w:right w:val="single" w:sz="4" w:space="0" w:color="auto"/>
            </w:tcBorders>
          </w:tcPr>
          <w:p w14:paraId="1A5656A3" w14:textId="77777777" w:rsidR="00F8180E" w:rsidRPr="009E686F" w:rsidRDefault="00F8180E" w:rsidP="00F8180E">
            <w:pPr>
              <w:jc w:val="both"/>
              <w:rPr>
                <w:rFonts w:ascii="Times New Roman" w:hAnsi="Times New Roman" w:cs="Times New Roman"/>
                <w:lang w:val="pt-BR"/>
              </w:rPr>
            </w:pPr>
          </w:p>
        </w:tc>
        <w:tc>
          <w:tcPr>
            <w:tcW w:w="806" w:type="pct"/>
            <w:tcBorders>
              <w:top w:val="single" w:sz="4" w:space="0" w:color="auto"/>
              <w:left w:val="single" w:sz="4" w:space="0" w:color="auto"/>
              <w:bottom w:val="single" w:sz="4" w:space="0" w:color="auto"/>
              <w:right w:val="single" w:sz="4" w:space="0" w:color="auto"/>
            </w:tcBorders>
          </w:tcPr>
          <w:p w14:paraId="7D466522" w14:textId="77777777" w:rsidR="00F8180E" w:rsidRPr="009E686F" w:rsidRDefault="00F8180E" w:rsidP="00515783">
            <w:pPr>
              <w:spacing w:after="0"/>
              <w:jc w:val="both"/>
              <w:rPr>
                <w:rFonts w:ascii="Times New Roman" w:hAnsi="Times New Roman" w:cs="Times New Roman"/>
                <w:lang w:val="pt-BR"/>
              </w:rPr>
            </w:pPr>
          </w:p>
        </w:tc>
      </w:tr>
      <w:tr w:rsidR="00B30AFC" w:rsidRPr="009E686F" w14:paraId="1739A788" w14:textId="77777777" w:rsidTr="00960C23">
        <w:tc>
          <w:tcPr>
            <w:tcW w:w="1890" w:type="pct"/>
            <w:tcBorders>
              <w:top w:val="single" w:sz="4" w:space="0" w:color="auto"/>
              <w:left w:val="single" w:sz="4" w:space="0" w:color="auto"/>
              <w:bottom w:val="single" w:sz="4" w:space="0" w:color="auto"/>
              <w:right w:val="single" w:sz="4" w:space="0" w:color="auto"/>
            </w:tcBorders>
          </w:tcPr>
          <w:p w14:paraId="22379830" w14:textId="2E2F27F9" w:rsidR="00F8180E" w:rsidRPr="009E686F" w:rsidRDefault="00F8180E" w:rsidP="00ED2C1C">
            <w:pPr>
              <w:spacing w:after="0"/>
              <w:jc w:val="both"/>
              <w:rPr>
                <w:rFonts w:ascii="Times New Roman" w:hAnsi="Times New Roman" w:cs="Times New Roman"/>
                <w:lang w:val="pt-BR"/>
              </w:rPr>
            </w:pPr>
            <w:r w:rsidRPr="009E686F">
              <w:rPr>
                <w:rFonts w:ascii="Times New Roman" w:hAnsi="Times New Roman" w:cs="Times New Roman"/>
                <w:lang w:val="pt-BR"/>
              </w:rPr>
              <w:t>9d. „director financiar” înseamnă persoana care deține responsabilitatea generală pentru gestionarea resurselor financiare, planificarea financiară și raportarea financiară în cadrul unei instituții;</w:t>
            </w:r>
          </w:p>
        </w:tc>
        <w:tc>
          <w:tcPr>
            <w:tcW w:w="1834" w:type="pct"/>
            <w:tcBorders>
              <w:top w:val="single" w:sz="4" w:space="0" w:color="auto"/>
              <w:left w:val="single" w:sz="4" w:space="0" w:color="auto"/>
              <w:bottom w:val="single" w:sz="4" w:space="0" w:color="auto"/>
              <w:right w:val="single" w:sz="4" w:space="0" w:color="auto"/>
            </w:tcBorders>
          </w:tcPr>
          <w:p w14:paraId="3A41DF17" w14:textId="56B7591A" w:rsidR="00F8180E" w:rsidRPr="009E686F" w:rsidRDefault="00F8180E" w:rsidP="00ED2C1C">
            <w:pPr>
              <w:spacing w:after="0"/>
              <w:jc w:val="both"/>
              <w:rPr>
                <w:rFonts w:ascii="Times New Roman" w:hAnsi="Times New Roman" w:cs="Times New Roman"/>
                <w:i/>
                <w:lang w:val="pt-BR"/>
              </w:rPr>
            </w:pPr>
            <w:r w:rsidRPr="009E686F">
              <w:rPr>
                <w:rFonts w:ascii="Times New Roman" w:hAnsi="Times New Roman" w:cs="Times New Roman"/>
                <w:i/>
                <w:lang w:val="pt-BR"/>
              </w:rPr>
              <w:t xml:space="preserve">director financiar – persoana care deține responsabilitatea generală pentru gestionarea resurselor financiare, planificarea financiară și raportarea financiară în cadrul unei </w:t>
            </w:r>
            <w:r w:rsidR="00A51A7D" w:rsidRPr="009E686F">
              <w:rPr>
                <w:rFonts w:ascii="Times New Roman" w:hAnsi="Times New Roman" w:cs="Times New Roman"/>
                <w:i/>
                <w:lang w:val="pt-BR"/>
              </w:rPr>
              <w:t>instituții de credit</w:t>
            </w:r>
            <w:r w:rsidRPr="009E686F">
              <w:rPr>
                <w:rFonts w:ascii="Times New Roman" w:hAnsi="Times New Roman" w:cs="Times New Roman"/>
                <w:i/>
                <w:lang w:val="pt-BR"/>
              </w:rPr>
              <w:t xml:space="preserve">;   </w:t>
            </w:r>
          </w:p>
        </w:tc>
        <w:tc>
          <w:tcPr>
            <w:tcW w:w="470" w:type="pct"/>
            <w:tcBorders>
              <w:top w:val="single" w:sz="4" w:space="0" w:color="auto"/>
              <w:left w:val="single" w:sz="4" w:space="0" w:color="auto"/>
              <w:bottom w:val="single" w:sz="4" w:space="0" w:color="auto"/>
              <w:right w:val="single" w:sz="4" w:space="0" w:color="auto"/>
            </w:tcBorders>
          </w:tcPr>
          <w:p w14:paraId="0C183A5E" w14:textId="77777777" w:rsidR="00F8180E" w:rsidRPr="009E686F" w:rsidRDefault="00F8180E" w:rsidP="00F8180E">
            <w:pPr>
              <w:jc w:val="both"/>
              <w:rPr>
                <w:rFonts w:ascii="Times New Roman" w:hAnsi="Times New Roman" w:cs="Times New Roman"/>
                <w:lang w:val="pt-BR"/>
              </w:rPr>
            </w:pPr>
          </w:p>
        </w:tc>
        <w:tc>
          <w:tcPr>
            <w:tcW w:w="806" w:type="pct"/>
            <w:tcBorders>
              <w:top w:val="single" w:sz="4" w:space="0" w:color="auto"/>
              <w:left w:val="single" w:sz="4" w:space="0" w:color="auto"/>
              <w:bottom w:val="single" w:sz="4" w:space="0" w:color="auto"/>
              <w:right w:val="single" w:sz="4" w:space="0" w:color="auto"/>
            </w:tcBorders>
          </w:tcPr>
          <w:p w14:paraId="1883E6CB" w14:textId="77777777" w:rsidR="00F8180E" w:rsidRPr="009E686F" w:rsidRDefault="00F8180E" w:rsidP="00515783">
            <w:pPr>
              <w:spacing w:after="0"/>
              <w:jc w:val="both"/>
              <w:rPr>
                <w:rFonts w:ascii="Times New Roman" w:hAnsi="Times New Roman" w:cs="Times New Roman"/>
                <w:lang w:val="pt-BR"/>
              </w:rPr>
            </w:pPr>
          </w:p>
        </w:tc>
      </w:tr>
      <w:tr w:rsidR="00B30AFC" w:rsidRPr="009E686F" w14:paraId="030A4C97" w14:textId="0BC3C5C0" w:rsidTr="00960C23">
        <w:tc>
          <w:tcPr>
            <w:tcW w:w="1890" w:type="pct"/>
            <w:tcBorders>
              <w:top w:val="single" w:sz="4" w:space="0" w:color="auto"/>
              <w:left w:val="single" w:sz="4" w:space="0" w:color="auto"/>
              <w:bottom w:val="single" w:sz="4" w:space="0" w:color="auto"/>
              <w:right w:val="single" w:sz="4" w:space="0" w:color="auto"/>
            </w:tcBorders>
          </w:tcPr>
          <w:p w14:paraId="58CDEEDC" w14:textId="1EDA4EE5" w:rsidR="00F8180E" w:rsidRPr="009E686F" w:rsidRDefault="00F8180E" w:rsidP="00ED2C1C">
            <w:pPr>
              <w:spacing w:after="0"/>
              <w:jc w:val="both"/>
              <w:rPr>
                <w:rFonts w:ascii="Times New Roman" w:hAnsi="Times New Roman" w:cs="Times New Roman"/>
                <w:lang w:val="pt-BR"/>
              </w:rPr>
            </w:pPr>
            <w:r w:rsidRPr="009E686F">
              <w:rPr>
                <w:rFonts w:ascii="Times New Roman" w:hAnsi="Times New Roman" w:cs="Times New Roman"/>
                <w:lang w:val="pt-BR"/>
              </w:rPr>
              <w:t>10. „risc systemic” înseamnă un risc de perturbare a sistemului financiar care poate avea consecințe negative foarte grave pentru sistemul financiar și pentru economia reală;</w:t>
            </w:r>
          </w:p>
        </w:tc>
        <w:tc>
          <w:tcPr>
            <w:tcW w:w="1834" w:type="pct"/>
            <w:tcBorders>
              <w:top w:val="single" w:sz="4" w:space="0" w:color="auto"/>
              <w:left w:val="single" w:sz="4" w:space="0" w:color="auto"/>
              <w:bottom w:val="single" w:sz="4" w:space="0" w:color="auto"/>
              <w:right w:val="single" w:sz="4" w:space="0" w:color="auto"/>
            </w:tcBorders>
          </w:tcPr>
          <w:p w14:paraId="1FE6CB39" w14:textId="3197E68A" w:rsidR="00F8180E" w:rsidRPr="009E686F" w:rsidRDefault="00F8180E" w:rsidP="00ED2C1C">
            <w:pPr>
              <w:spacing w:after="0"/>
              <w:jc w:val="both"/>
              <w:rPr>
                <w:rFonts w:ascii="Times New Roman" w:hAnsi="Times New Roman" w:cs="Times New Roman"/>
                <w:lang w:val="pt-BR"/>
              </w:rPr>
            </w:pPr>
            <w:r w:rsidRPr="009E686F">
              <w:rPr>
                <w:rFonts w:ascii="Times New Roman" w:hAnsi="Times New Roman" w:cs="Times New Roman"/>
                <w:i/>
                <w:lang w:val="pt-BR"/>
              </w:rPr>
              <w:t>risc sistemic</w:t>
            </w:r>
            <w:r w:rsidRPr="009E686F">
              <w:rPr>
                <w:rFonts w:ascii="Times New Roman" w:hAnsi="Times New Roman" w:cs="Times New Roman"/>
                <w:b/>
                <w:lang w:val="pt-BR"/>
              </w:rPr>
              <w:t xml:space="preserve"> – </w:t>
            </w:r>
            <w:r w:rsidRPr="009E686F">
              <w:rPr>
                <w:rFonts w:ascii="Times New Roman" w:hAnsi="Times New Roman" w:cs="Times New Roman"/>
                <w:lang w:val="pt-BR"/>
              </w:rPr>
              <w:t>riscul de perturbare a sistemului financiar, care poate avea consecințe negative foarte grave pentru sistemul financiar și economia reală;</w:t>
            </w:r>
          </w:p>
        </w:tc>
        <w:tc>
          <w:tcPr>
            <w:tcW w:w="470" w:type="pct"/>
            <w:tcBorders>
              <w:top w:val="single" w:sz="4" w:space="0" w:color="auto"/>
              <w:left w:val="single" w:sz="4" w:space="0" w:color="auto"/>
              <w:bottom w:val="single" w:sz="4" w:space="0" w:color="auto"/>
              <w:right w:val="single" w:sz="4" w:space="0" w:color="auto"/>
            </w:tcBorders>
          </w:tcPr>
          <w:p w14:paraId="7BD98009" w14:textId="5718352C" w:rsidR="00F8180E" w:rsidRPr="009E686F" w:rsidRDefault="00F8180E" w:rsidP="00F8180E">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740F1E4C" w14:textId="3F5004EB" w:rsidR="00F8180E" w:rsidRPr="009E686F" w:rsidRDefault="00F8180E" w:rsidP="00515783">
            <w:pPr>
              <w:spacing w:after="0"/>
              <w:jc w:val="both"/>
              <w:rPr>
                <w:rFonts w:ascii="Times New Roman" w:hAnsi="Times New Roman" w:cs="Times New Roman"/>
              </w:rPr>
            </w:pPr>
          </w:p>
        </w:tc>
      </w:tr>
      <w:tr w:rsidR="00B30AFC" w:rsidRPr="009E686F" w14:paraId="2B641165" w14:textId="5F96D803" w:rsidTr="00960C23">
        <w:tc>
          <w:tcPr>
            <w:tcW w:w="1890" w:type="pct"/>
            <w:tcBorders>
              <w:top w:val="single" w:sz="4" w:space="0" w:color="auto"/>
              <w:left w:val="single" w:sz="4" w:space="0" w:color="auto"/>
              <w:bottom w:val="single" w:sz="4" w:space="0" w:color="auto"/>
              <w:right w:val="single" w:sz="4" w:space="0" w:color="auto"/>
            </w:tcBorders>
          </w:tcPr>
          <w:p w14:paraId="63C45F24" w14:textId="3E025366" w:rsidR="00F8180E" w:rsidRPr="009E686F" w:rsidRDefault="00F8180E" w:rsidP="00ED2C1C">
            <w:pPr>
              <w:spacing w:after="0"/>
              <w:jc w:val="both"/>
              <w:rPr>
                <w:rFonts w:ascii="Times New Roman" w:hAnsi="Times New Roman" w:cs="Times New Roman"/>
                <w:lang w:val="pt-BR"/>
              </w:rPr>
            </w:pPr>
            <w:r w:rsidRPr="009E686F">
              <w:rPr>
                <w:rFonts w:ascii="Times New Roman" w:hAnsi="Times New Roman" w:cs="Times New Roman"/>
                <w:lang w:val="pt-BR"/>
              </w:rPr>
              <w:t>11. „risc de model” înseamnă riscul de model astfel cum este definit la articolul 4 alineatul (1) punctul 52b din Regulamentul (UE) nr. 575/2013</w:t>
            </w:r>
          </w:p>
        </w:tc>
        <w:tc>
          <w:tcPr>
            <w:tcW w:w="1834" w:type="pct"/>
            <w:tcBorders>
              <w:top w:val="single" w:sz="4" w:space="0" w:color="auto"/>
              <w:left w:val="single" w:sz="4" w:space="0" w:color="auto"/>
              <w:bottom w:val="single" w:sz="4" w:space="0" w:color="auto"/>
              <w:right w:val="single" w:sz="4" w:space="0" w:color="auto"/>
            </w:tcBorders>
          </w:tcPr>
          <w:p w14:paraId="5A1EDA75" w14:textId="0353E253" w:rsidR="00E32624" w:rsidRPr="009E686F" w:rsidRDefault="00E32624" w:rsidP="00ED2C1C">
            <w:pPr>
              <w:spacing w:after="0"/>
              <w:jc w:val="both"/>
              <w:rPr>
                <w:rFonts w:ascii="Times New Roman" w:hAnsi="Times New Roman" w:cs="Times New Roman"/>
                <w:lang w:val="pt-BR"/>
              </w:rPr>
            </w:pPr>
          </w:p>
        </w:tc>
        <w:tc>
          <w:tcPr>
            <w:tcW w:w="470" w:type="pct"/>
            <w:tcBorders>
              <w:top w:val="single" w:sz="4" w:space="0" w:color="auto"/>
              <w:left w:val="single" w:sz="4" w:space="0" w:color="auto"/>
              <w:bottom w:val="single" w:sz="4" w:space="0" w:color="auto"/>
              <w:right w:val="single" w:sz="4" w:space="0" w:color="auto"/>
            </w:tcBorders>
          </w:tcPr>
          <w:p w14:paraId="51B494D2" w14:textId="41683589" w:rsidR="00F8180E" w:rsidRPr="009E686F" w:rsidRDefault="00CD2DD9" w:rsidP="00F8180E">
            <w:pPr>
              <w:jc w:val="both"/>
              <w:rPr>
                <w:rFonts w:ascii="Times New Roman" w:hAnsi="Times New Roman" w:cs="Times New Roman"/>
              </w:rPr>
            </w:pPr>
            <w:r w:rsidRPr="009E686F">
              <w:rPr>
                <w:rFonts w:ascii="Times New Roman" w:hAnsi="Times New Roman" w:cs="Times New Roman"/>
              </w:rPr>
              <w:t>Compatibil</w:t>
            </w:r>
          </w:p>
          <w:p w14:paraId="634677E4" w14:textId="52D80457" w:rsidR="00F8180E" w:rsidRPr="009E686F" w:rsidRDefault="00F8180E" w:rsidP="00F8180E">
            <w:pPr>
              <w:jc w:val="both"/>
              <w:rPr>
                <w:rFonts w:ascii="Times New Roman" w:hAnsi="Times New Roman" w:cs="Times New Roman"/>
              </w:rPr>
            </w:pPr>
          </w:p>
        </w:tc>
        <w:tc>
          <w:tcPr>
            <w:tcW w:w="806" w:type="pct"/>
            <w:tcBorders>
              <w:top w:val="single" w:sz="4" w:space="0" w:color="auto"/>
              <w:left w:val="single" w:sz="4" w:space="0" w:color="auto"/>
              <w:bottom w:val="single" w:sz="4" w:space="0" w:color="auto"/>
              <w:right w:val="single" w:sz="4" w:space="0" w:color="auto"/>
            </w:tcBorders>
          </w:tcPr>
          <w:p w14:paraId="6CAFB29D" w14:textId="7A3A5CCF" w:rsidR="00F8180E" w:rsidRPr="009E686F" w:rsidRDefault="005B3C63" w:rsidP="00A061B4">
            <w:pPr>
              <w:spacing w:after="0" w:line="240" w:lineRule="auto"/>
              <w:jc w:val="both"/>
              <w:rPr>
                <w:rFonts w:ascii="Times New Roman" w:hAnsi="Times New Roman" w:cs="Times New Roman"/>
                <w:lang w:val="it-CH"/>
              </w:rPr>
            </w:pPr>
            <w:r w:rsidRPr="009E686F">
              <w:rPr>
                <w:rFonts w:ascii="Times New Roman" w:hAnsi="Times New Roman" w:cs="Times New Roman"/>
                <w:lang w:val="pt-BR"/>
              </w:rPr>
              <w:t>Noțiunea de “</w:t>
            </w:r>
            <w:r w:rsidRPr="009E686F">
              <w:rPr>
                <w:rFonts w:ascii="Times New Roman" w:hAnsi="Times New Roman" w:cs="Times New Roman"/>
                <w:lang w:val="ro-RO"/>
              </w:rPr>
              <w:t>risc de model</w:t>
            </w:r>
            <w:r w:rsidRPr="009E686F">
              <w:rPr>
                <w:rFonts w:ascii="Times New Roman" w:hAnsi="Times New Roman" w:cs="Times New Roman"/>
                <w:lang w:val="pt-BR"/>
              </w:rPr>
              <w:t>” se va regăsi în proiectul HCE de modificare a Regulamentului privind cadrul de administrare a a activității, aprobat prin HCE nr. 322/2018</w:t>
            </w:r>
            <w:r w:rsidR="00C95896" w:rsidRPr="009E686F">
              <w:rPr>
                <w:rFonts w:ascii="Times New Roman" w:hAnsi="Times New Roman" w:cs="Times New Roman"/>
                <w:lang w:val="pt-BR"/>
              </w:rPr>
              <w:t xml:space="preserve">  </w:t>
            </w:r>
            <w:bookmarkStart w:id="1" w:name="_Hlk237010768"/>
            <w:r w:rsidR="00A061B4" w:rsidRPr="009E686F">
              <w:rPr>
                <w:rFonts w:ascii="Times New Roman" w:hAnsi="Times New Roman" w:cs="Times New Roman"/>
                <w:lang w:val="pt-BR"/>
              </w:rPr>
              <w:t>(</w:t>
            </w:r>
            <w:r w:rsidR="00C95896" w:rsidRPr="009E686F">
              <w:rPr>
                <w:rFonts w:ascii="Times New Roman" w:hAnsi="Times New Roman" w:cs="Times New Roman"/>
                <w:lang w:val="pt-BR"/>
              </w:rPr>
              <w:t>acțiunea normativă nr. 2 din Anexa A aferent</w:t>
            </w:r>
            <w:r w:rsidR="00C95896" w:rsidRPr="009E686F">
              <w:rPr>
                <w:rFonts w:ascii="Times New Roman" w:hAnsi="Times New Roman" w:cs="Times New Roman"/>
                <w:lang w:val="ro-RO"/>
              </w:rPr>
              <w:t>ă</w:t>
            </w:r>
            <w:r w:rsidR="00C95896" w:rsidRPr="009E686F">
              <w:rPr>
                <w:rFonts w:ascii="Times New Roman" w:hAnsi="Times New Roman" w:cs="Times New Roman"/>
                <w:lang w:val="pt-BR"/>
              </w:rPr>
              <w:t xml:space="preserve"> Capitolului 9 </w:t>
            </w:r>
            <w:r w:rsidR="00C95896" w:rsidRPr="009E686F">
              <w:rPr>
                <w:rFonts w:ascii="Times New Roman" w:hAnsi="Times New Roman" w:cs="Times New Roman"/>
                <w:lang w:val="it-CH"/>
              </w:rPr>
              <w:t>“Servicii financiare” din PNA 2026-2029</w:t>
            </w:r>
            <w:r w:rsidR="00A061B4" w:rsidRPr="009E686F">
              <w:rPr>
                <w:rFonts w:ascii="Times New Roman" w:hAnsi="Times New Roman" w:cs="Times New Roman"/>
                <w:lang w:val="it-CH"/>
              </w:rPr>
              <w:t>)</w:t>
            </w:r>
            <w:r w:rsidR="00C95896" w:rsidRPr="009E686F">
              <w:rPr>
                <w:rFonts w:ascii="Times New Roman" w:hAnsi="Times New Roman" w:cs="Times New Roman"/>
                <w:lang w:val="it-CH"/>
              </w:rPr>
              <w:t xml:space="preserve">. </w:t>
            </w:r>
            <w:bookmarkEnd w:id="1"/>
          </w:p>
        </w:tc>
      </w:tr>
      <w:tr w:rsidR="00B30AFC" w:rsidRPr="009E686F" w14:paraId="3CA7EB5F" w14:textId="7B2EF063" w:rsidTr="00960C23">
        <w:tc>
          <w:tcPr>
            <w:tcW w:w="1890" w:type="pct"/>
            <w:tcBorders>
              <w:top w:val="single" w:sz="4" w:space="0" w:color="auto"/>
              <w:left w:val="single" w:sz="4" w:space="0" w:color="auto"/>
              <w:bottom w:val="single" w:sz="4" w:space="0" w:color="auto"/>
              <w:right w:val="single" w:sz="4" w:space="0" w:color="auto"/>
            </w:tcBorders>
          </w:tcPr>
          <w:p w14:paraId="3A7C32FB" w14:textId="262EF463" w:rsidR="00F8180E" w:rsidRPr="009E686F" w:rsidRDefault="00F8180E" w:rsidP="00ED2C1C">
            <w:pPr>
              <w:spacing w:after="0"/>
              <w:jc w:val="both"/>
              <w:rPr>
                <w:rFonts w:ascii="Times New Roman" w:hAnsi="Times New Roman" w:cs="Times New Roman"/>
                <w:lang w:val="it-CH"/>
              </w:rPr>
            </w:pPr>
            <w:r w:rsidRPr="009E686F">
              <w:rPr>
                <w:rFonts w:ascii="Times New Roman" w:hAnsi="Times New Roman" w:cs="Times New Roman"/>
                <w:lang w:val="it-CH"/>
              </w:rPr>
              <w:t>12. „inițiator” înseamnă un inițiator astfel cum este definit la articolul 4 alineatul (1) punctul 13 din Regulamentul (UE) nr. 575/2013;</w:t>
            </w:r>
          </w:p>
        </w:tc>
        <w:tc>
          <w:tcPr>
            <w:tcW w:w="1834" w:type="pct"/>
            <w:tcBorders>
              <w:top w:val="single" w:sz="4" w:space="0" w:color="auto"/>
              <w:left w:val="single" w:sz="4" w:space="0" w:color="auto"/>
              <w:bottom w:val="single" w:sz="4" w:space="0" w:color="auto"/>
              <w:right w:val="single" w:sz="4" w:space="0" w:color="auto"/>
            </w:tcBorders>
          </w:tcPr>
          <w:p w14:paraId="0EFF4751" w14:textId="48DD0D3E" w:rsidR="0040025A" w:rsidRPr="009E686F" w:rsidRDefault="0040025A" w:rsidP="00ED2C1C">
            <w:pPr>
              <w:spacing w:after="0"/>
              <w:jc w:val="both"/>
              <w:rPr>
                <w:rFonts w:ascii="Times New Roman" w:hAnsi="Times New Roman" w:cs="Times New Roman"/>
                <w:i/>
                <w:lang w:val="it-CH"/>
              </w:rPr>
            </w:pPr>
            <w:r w:rsidRPr="009E686F">
              <w:rPr>
                <w:rFonts w:ascii="Times New Roman" w:hAnsi="Times New Roman" w:cs="Times New Roman"/>
                <w:i/>
                <w:lang w:val="it-CH"/>
              </w:rPr>
              <w:t>Regulamentul privind tratamentul prudenţial al securitizărilor, aprobat prin HCE nr. 221/2025</w:t>
            </w:r>
          </w:p>
          <w:p w14:paraId="5824BDD4" w14:textId="77777777" w:rsidR="0040025A" w:rsidRPr="009E686F" w:rsidRDefault="0040025A" w:rsidP="00ED2C1C">
            <w:pPr>
              <w:spacing w:after="0"/>
              <w:jc w:val="both"/>
              <w:rPr>
                <w:rFonts w:ascii="Times New Roman" w:hAnsi="Times New Roman" w:cs="Times New Roman"/>
                <w:b/>
                <w:bCs/>
                <w:lang w:val="it-CH"/>
              </w:rPr>
            </w:pPr>
            <w:r w:rsidRPr="009E686F">
              <w:rPr>
                <w:rFonts w:ascii="Times New Roman" w:hAnsi="Times New Roman" w:cs="Times New Roman"/>
                <w:b/>
                <w:bCs/>
                <w:lang w:val="it-CH"/>
              </w:rPr>
              <w:t xml:space="preserve">Pct. 3.7. </w:t>
            </w:r>
          </w:p>
          <w:p w14:paraId="68DE8EAC" w14:textId="40AB3DD5" w:rsidR="0040025A" w:rsidRPr="009E686F" w:rsidRDefault="0040025A" w:rsidP="00ED2C1C">
            <w:pPr>
              <w:spacing w:after="0"/>
              <w:jc w:val="both"/>
              <w:rPr>
                <w:rFonts w:ascii="Times New Roman" w:hAnsi="Times New Roman" w:cs="Times New Roman"/>
                <w:lang w:val="it-CH"/>
              </w:rPr>
            </w:pPr>
            <w:r w:rsidRPr="009E686F">
              <w:rPr>
                <w:rFonts w:ascii="Times New Roman" w:hAnsi="Times New Roman" w:cs="Times New Roman"/>
                <w:lang w:val="it-CH"/>
              </w:rPr>
              <w:t>3.7. iniţiator înseamnă o entitate care:</w:t>
            </w:r>
          </w:p>
          <w:p w14:paraId="3D144F93" w14:textId="77777777" w:rsidR="0040025A" w:rsidRPr="009E686F" w:rsidRDefault="0040025A" w:rsidP="00ED2C1C">
            <w:pPr>
              <w:spacing w:after="0"/>
              <w:jc w:val="both"/>
              <w:rPr>
                <w:rFonts w:ascii="Times New Roman" w:hAnsi="Times New Roman" w:cs="Times New Roman"/>
                <w:lang w:val="it-CH"/>
              </w:rPr>
            </w:pPr>
            <w:r w:rsidRPr="009E686F">
              <w:rPr>
                <w:rFonts w:ascii="Times New Roman" w:hAnsi="Times New Roman" w:cs="Times New Roman"/>
                <w:lang w:val="it-CH"/>
              </w:rPr>
              <w:t>3.7.1. fie ea însăşi, fie prin intermediul unor entităţi asociate, a fost implicată direct sau indirect în contractul iniţial care a creat obligaţiile sau obligaţiile potenţiale ale debitorului sau ale debitorului potenţial, care au determinat expunerile care fac obiectul securitizării; sau</w:t>
            </w:r>
          </w:p>
          <w:p w14:paraId="60A32114" w14:textId="4F3D943E" w:rsidR="00F8180E" w:rsidRPr="009E686F" w:rsidRDefault="0040025A" w:rsidP="00ED2C1C">
            <w:pPr>
              <w:spacing w:after="0"/>
              <w:jc w:val="both"/>
              <w:rPr>
                <w:rFonts w:ascii="Times New Roman" w:hAnsi="Times New Roman" w:cs="Times New Roman"/>
                <w:lang w:val="it-CH"/>
              </w:rPr>
            </w:pPr>
            <w:r w:rsidRPr="009E686F">
              <w:rPr>
                <w:rFonts w:ascii="Times New Roman" w:hAnsi="Times New Roman" w:cs="Times New Roman"/>
                <w:lang w:val="it-CH"/>
              </w:rPr>
              <w:lastRenderedPageBreak/>
              <w:t>3.7.2. cumpără expunerile unei părţi terţe în cont propriu şi apoi le securitizează;</w:t>
            </w:r>
          </w:p>
        </w:tc>
        <w:tc>
          <w:tcPr>
            <w:tcW w:w="470" w:type="pct"/>
            <w:tcBorders>
              <w:top w:val="single" w:sz="4" w:space="0" w:color="auto"/>
              <w:left w:val="single" w:sz="4" w:space="0" w:color="auto"/>
              <w:bottom w:val="single" w:sz="4" w:space="0" w:color="auto"/>
              <w:right w:val="single" w:sz="4" w:space="0" w:color="auto"/>
            </w:tcBorders>
          </w:tcPr>
          <w:p w14:paraId="382F2737" w14:textId="018ED13D" w:rsidR="00F8180E" w:rsidRPr="009E686F" w:rsidRDefault="00CD2DD9" w:rsidP="00F8180E">
            <w:pPr>
              <w:jc w:val="both"/>
              <w:rPr>
                <w:rFonts w:ascii="Times New Roman" w:hAnsi="Times New Roman" w:cs="Times New Roman"/>
              </w:rPr>
            </w:pPr>
            <w:r w:rsidRPr="009E686F">
              <w:rPr>
                <w:rFonts w:ascii="Times New Roman" w:hAnsi="Times New Roman" w:cs="Times New Roman"/>
              </w:rPr>
              <w:lastRenderedPageBreak/>
              <w:t xml:space="preserve">Compatibil </w:t>
            </w:r>
          </w:p>
        </w:tc>
        <w:tc>
          <w:tcPr>
            <w:tcW w:w="806" w:type="pct"/>
            <w:tcBorders>
              <w:top w:val="single" w:sz="4" w:space="0" w:color="auto"/>
              <w:left w:val="single" w:sz="4" w:space="0" w:color="auto"/>
              <w:bottom w:val="single" w:sz="4" w:space="0" w:color="auto"/>
              <w:right w:val="single" w:sz="4" w:space="0" w:color="auto"/>
            </w:tcBorders>
          </w:tcPr>
          <w:p w14:paraId="6D38F1FA" w14:textId="57ADE1F1" w:rsidR="00F8180E" w:rsidRPr="009E686F" w:rsidRDefault="00C95896" w:rsidP="00515783">
            <w:pPr>
              <w:spacing w:after="0"/>
              <w:jc w:val="both"/>
              <w:rPr>
                <w:rFonts w:ascii="Times New Roman" w:hAnsi="Times New Roman" w:cs="Times New Roman"/>
              </w:rPr>
            </w:pPr>
            <w:r w:rsidRPr="009E686F">
              <w:rPr>
                <w:rFonts w:ascii="Times New Roman" w:hAnsi="Times New Roman" w:cs="Times New Roman"/>
              </w:rPr>
              <w:t>În vigoare – 1 ianuarie 2028.</w:t>
            </w:r>
          </w:p>
        </w:tc>
      </w:tr>
      <w:tr w:rsidR="00B30AFC" w:rsidRPr="009E686F" w14:paraId="5DBFEB4A" w14:textId="062963EC" w:rsidTr="00960C23">
        <w:tc>
          <w:tcPr>
            <w:tcW w:w="1890" w:type="pct"/>
            <w:tcBorders>
              <w:top w:val="single" w:sz="4" w:space="0" w:color="auto"/>
              <w:left w:val="single" w:sz="4" w:space="0" w:color="auto"/>
              <w:bottom w:val="single" w:sz="4" w:space="0" w:color="auto"/>
              <w:right w:val="single" w:sz="4" w:space="0" w:color="auto"/>
            </w:tcBorders>
          </w:tcPr>
          <w:p w14:paraId="66B9CD4C" w14:textId="51B38A97" w:rsidR="00F8180E" w:rsidRPr="009E686F" w:rsidRDefault="00F8180E" w:rsidP="00ED2C1C">
            <w:pPr>
              <w:spacing w:after="0"/>
              <w:jc w:val="both"/>
              <w:rPr>
                <w:rFonts w:ascii="Times New Roman" w:hAnsi="Times New Roman" w:cs="Times New Roman"/>
                <w:lang w:val="it-CH"/>
              </w:rPr>
            </w:pPr>
            <w:r w:rsidRPr="009E686F">
              <w:rPr>
                <w:rFonts w:ascii="Times New Roman" w:hAnsi="Times New Roman" w:cs="Times New Roman"/>
                <w:lang w:val="it-CH"/>
              </w:rPr>
              <w:t>13. „sponsor” înseamnă un sponsor astfel cum este definit la articolul 4 alineatul (1) punctul 14 din Regulamentul (UE) nr. 575/2013;</w:t>
            </w:r>
          </w:p>
        </w:tc>
        <w:tc>
          <w:tcPr>
            <w:tcW w:w="1834" w:type="pct"/>
            <w:tcBorders>
              <w:top w:val="single" w:sz="4" w:space="0" w:color="auto"/>
              <w:left w:val="single" w:sz="4" w:space="0" w:color="auto"/>
              <w:bottom w:val="single" w:sz="4" w:space="0" w:color="auto"/>
              <w:right w:val="single" w:sz="4" w:space="0" w:color="auto"/>
            </w:tcBorders>
          </w:tcPr>
          <w:p w14:paraId="05E1BE49" w14:textId="01830B46" w:rsidR="0040025A" w:rsidRPr="009E686F" w:rsidRDefault="0040025A" w:rsidP="00ED2C1C">
            <w:pPr>
              <w:spacing w:after="0"/>
              <w:jc w:val="both"/>
              <w:rPr>
                <w:rFonts w:ascii="Times New Roman" w:hAnsi="Times New Roman" w:cs="Times New Roman"/>
                <w:i/>
                <w:lang w:val="it-CH"/>
              </w:rPr>
            </w:pPr>
            <w:r w:rsidRPr="009E686F">
              <w:rPr>
                <w:rFonts w:ascii="Times New Roman" w:hAnsi="Times New Roman" w:cs="Times New Roman"/>
                <w:i/>
                <w:lang w:val="it-CH"/>
              </w:rPr>
              <w:t>Regulamentul privind tratamentul prudenţial al securitizărilor, aprobat prin HCE nr. 221/2025</w:t>
            </w:r>
          </w:p>
          <w:p w14:paraId="4E5B049F" w14:textId="77777777" w:rsidR="008A2899" w:rsidRPr="009E686F" w:rsidRDefault="008A2899" w:rsidP="00ED2C1C">
            <w:pPr>
              <w:spacing w:after="0"/>
              <w:jc w:val="both"/>
              <w:rPr>
                <w:rFonts w:ascii="Times New Roman" w:hAnsi="Times New Roman" w:cs="Times New Roman"/>
                <w:b/>
                <w:lang w:val="it-CH"/>
              </w:rPr>
            </w:pPr>
            <w:r w:rsidRPr="009E686F">
              <w:rPr>
                <w:rFonts w:ascii="Times New Roman" w:hAnsi="Times New Roman" w:cs="Times New Roman"/>
                <w:b/>
                <w:lang w:val="it-CH"/>
              </w:rPr>
              <w:t>Pct. 3.28.</w:t>
            </w:r>
          </w:p>
          <w:p w14:paraId="4FF693EE" w14:textId="6D1EB6E3" w:rsidR="0040025A" w:rsidRPr="009E686F" w:rsidRDefault="0040025A" w:rsidP="00ED2C1C">
            <w:pPr>
              <w:spacing w:after="0"/>
              <w:jc w:val="both"/>
              <w:rPr>
                <w:rFonts w:ascii="Times New Roman" w:hAnsi="Times New Roman" w:cs="Times New Roman"/>
                <w:bCs/>
                <w:lang w:val="it-CH"/>
              </w:rPr>
            </w:pPr>
            <w:r w:rsidRPr="009E686F">
              <w:rPr>
                <w:rFonts w:ascii="Times New Roman" w:hAnsi="Times New Roman" w:cs="Times New Roman"/>
                <w:bCs/>
                <w:lang w:val="it-CH"/>
              </w:rPr>
              <w:t>3.28. sponsor înseamnă o bancă, situată sau nu în Republica Moldova, sau o societate de investiţii, alta decât un iniţiator, care:</w:t>
            </w:r>
          </w:p>
          <w:p w14:paraId="419604A0" w14:textId="77777777" w:rsidR="0040025A" w:rsidRPr="009E686F" w:rsidRDefault="0040025A" w:rsidP="00ED2C1C">
            <w:pPr>
              <w:spacing w:after="0"/>
              <w:jc w:val="both"/>
              <w:rPr>
                <w:rFonts w:ascii="Times New Roman" w:hAnsi="Times New Roman" w:cs="Times New Roman"/>
                <w:bCs/>
                <w:lang w:val="it-CH"/>
              </w:rPr>
            </w:pPr>
            <w:r w:rsidRPr="009E686F">
              <w:rPr>
                <w:rFonts w:ascii="Times New Roman" w:hAnsi="Times New Roman" w:cs="Times New Roman"/>
                <w:bCs/>
                <w:lang w:val="it-CH"/>
              </w:rPr>
              <w:t>3.28.1. stabileşte şi administrează un program de emisiune de titluri pe termen scurt garantate cu active sau o altă securitizare care achiziţionează expuneri de la entităţi terţe; sau</w:t>
            </w:r>
          </w:p>
          <w:p w14:paraId="54C1D99A" w14:textId="333C4EEF" w:rsidR="00F8180E" w:rsidRPr="009E686F" w:rsidRDefault="0040025A" w:rsidP="00ED2C1C">
            <w:pPr>
              <w:spacing w:after="0"/>
              <w:jc w:val="both"/>
              <w:rPr>
                <w:rFonts w:ascii="Times New Roman" w:hAnsi="Times New Roman" w:cs="Times New Roman"/>
                <w:bCs/>
                <w:lang w:val="it-CH"/>
              </w:rPr>
            </w:pPr>
            <w:r w:rsidRPr="009E686F">
              <w:rPr>
                <w:rFonts w:ascii="Times New Roman" w:hAnsi="Times New Roman" w:cs="Times New Roman"/>
                <w:bCs/>
                <w:lang w:val="it-CH"/>
              </w:rPr>
              <w:t>3.28.2. stabileşte un program de emisiune de titluri pe termen scurt garantate cu active sau o altă securitizare care achiziţionează expuneri de la entităţi terţe şi încredinţează administrarea activă curentă a portofoliului pe care o presupune securitizarea respectivă unei entităţi autorizate să desfăşoare astfel de activităţi;</w:t>
            </w:r>
          </w:p>
        </w:tc>
        <w:tc>
          <w:tcPr>
            <w:tcW w:w="470" w:type="pct"/>
            <w:tcBorders>
              <w:top w:val="single" w:sz="4" w:space="0" w:color="auto"/>
              <w:left w:val="single" w:sz="4" w:space="0" w:color="auto"/>
              <w:bottom w:val="single" w:sz="4" w:space="0" w:color="auto"/>
              <w:right w:val="single" w:sz="4" w:space="0" w:color="auto"/>
            </w:tcBorders>
          </w:tcPr>
          <w:p w14:paraId="1763F73C" w14:textId="240E26E6" w:rsidR="00F8180E" w:rsidRPr="009E686F" w:rsidRDefault="00CD2DD9" w:rsidP="00F8180E">
            <w:pPr>
              <w:jc w:val="both"/>
              <w:rPr>
                <w:rFonts w:ascii="Times New Roman" w:hAnsi="Times New Roman" w:cs="Times New Roman"/>
              </w:rPr>
            </w:pPr>
            <w:r w:rsidRPr="009E686F">
              <w:rPr>
                <w:rFonts w:ascii="Times New Roman" w:hAnsi="Times New Roman" w:cs="Times New Roman"/>
              </w:rPr>
              <w:t xml:space="preserve">Compatibil </w:t>
            </w:r>
          </w:p>
        </w:tc>
        <w:tc>
          <w:tcPr>
            <w:tcW w:w="806" w:type="pct"/>
            <w:tcBorders>
              <w:top w:val="single" w:sz="4" w:space="0" w:color="auto"/>
              <w:left w:val="single" w:sz="4" w:space="0" w:color="auto"/>
              <w:bottom w:val="single" w:sz="4" w:space="0" w:color="auto"/>
              <w:right w:val="single" w:sz="4" w:space="0" w:color="auto"/>
            </w:tcBorders>
          </w:tcPr>
          <w:p w14:paraId="2BC5C915" w14:textId="07A68BF3" w:rsidR="00F8180E" w:rsidRPr="009E686F" w:rsidRDefault="00CC39BF" w:rsidP="00515783">
            <w:pPr>
              <w:spacing w:after="0"/>
              <w:jc w:val="both"/>
              <w:rPr>
                <w:rFonts w:ascii="Times New Roman" w:hAnsi="Times New Roman" w:cs="Times New Roman"/>
              </w:rPr>
            </w:pPr>
            <w:r w:rsidRPr="009E686F">
              <w:rPr>
                <w:rFonts w:ascii="Times New Roman" w:hAnsi="Times New Roman" w:cs="Times New Roman"/>
              </w:rPr>
              <w:t>În vigoare – 1 ianuarie 2028.</w:t>
            </w:r>
          </w:p>
        </w:tc>
      </w:tr>
      <w:tr w:rsidR="00B30AFC" w:rsidRPr="009E686F" w14:paraId="35C431DF" w14:textId="5FA3F16B" w:rsidTr="00960C23">
        <w:tc>
          <w:tcPr>
            <w:tcW w:w="1890" w:type="pct"/>
            <w:tcBorders>
              <w:top w:val="single" w:sz="4" w:space="0" w:color="auto"/>
              <w:left w:val="single" w:sz="4" w:space="0" w:color="auto"/>
              <w:bottom w:val="single" w:sz="4" w:space="0" w:color="auto"/>
              <w:right w:val="single" w:sz="4" w:space="0" w:color="auto"/>
            </w:tcBorders>
          </w:tcPr>
          <w:p w14:paraId="2601ABD5" w14:textId="73EED63D" w:rsidR="00F8180E" w:rsidRPr="009E686F" w:rsidRDefault="00F8180E" w:rsidP="00ED2C1C">
            <w:pPr>
              <w:spacing w:after="0"/>
              <w:jc w:val="both"/>
              <w:rPr>
                <w:rFonts w:ascii="Times New Roman" w:hAnsi="Times New Roman" w:cs="Times New Roman"/>
                <w:lang w:val="pt-BR"/>
              </w:rPr>
            </w:pPr>
            <w:r w:rsidRPr="009E686F">
              <w:rPr>
                <w:rFonts w:ascii="Times New Roman" w:hAnsi="Times New Roman" w:cs="Times New Roman"/>
                <w:lang w:val="pt-BR"/>
              </w:rPr>
              <w:t>14. „întreprindere-mamă” înseamnă o întreprindere-mamă astfel cum este definită la articolul 4 alineatul (1) punctul 15 din Regulamentul (UE) nr. 575/2013;</w:t>
            </w:r>
          </w:p>
        </w:tc>
        <w:tc>
          <w:tcPr>
            <w:tcW w:w="1834" w:type="pct"/>
            <w:tcBorders>
              <w:top w:val="single" w:sz="4" w:space="0" w:color="auto"/>
              <w:left w:val="single" w:sz="4" w:space="0" w:color="auto"/>
              <w:bottom w:val="single" w:sz="4" w:space="0" w:color="auto"/>
              <w:right w:val="single" w:sz="4" w:space="0" w:color="auto"/>
            </w:tcBorders>
          </w:tcPr>
          <w:p w14:paraId="43C990AF" w14:textId="7A86FF08" w:rsidR="00F8180E" w:rsidRPr="009E686F" w:rsidRDefault="00F8180E" w:rsidP="00ED2C1C">
            <w:pPr>
              <w:spacing w:after="0"/>
              <w:jc w:val="both"/>
              <w:rPr>
                <w:rFonts w:ascii="Times New Roman" w:hAnsi="Times New Roman" w:cs="Times New Roman"/>
                <w:lang w:val="pt-BR"/>
              </w:rPr>
            </w:pPr>
            <w:r w:rsidRPr="009E686F">
              <w:rPr>
                <w:rFonts w:ascii="Times New Roman" w:hAnsi="Times New Roman" w:cs="Times New Roman"/>
                <w:b/>
                <w:lang w:val="pt-BR"/>
              </w:rPr>
              <w:t xml:space="preserve"> </w:t>
            </w:r>
            <w:r w:rsidRPr="009E686F">
              <w:rPr>
                <w:rFonts w:ascii="Times New Roman" w:hAnsi="Times New Roman" w:cs="Times New Roman"/>
                <w:i/>
                <w:lang w:val="pt-BR"/>
              </w:rPr>
              <w:t>întreprindere-mamă</w:t>
            </w:r>
            <w:r w:rsidRPr="009E686F">
              <w:rPr>
                <w:rFonts w:ascii="Times New Roman" w:hAnsi="Times New Roman" w:cs="Times New Roman"/>
                <w:b/>
                <w:lang w:val="pt-BR"/>
              </w:rPr>
              <w:t xml:space="preserve"> </w:t>
            </w:r>
            <w:r w:rsidRPr="009E686F">
              <w:rPr>
                <w:rFonts w:ascii="Times New Roman" w:hAnsi="Times New Roman" w:cs="Times New Roman"/>
                <w:lang w:val="pt-BR"/>
              </w:rPr>
              <w:t xml:space="preserve">– persoana care se află în oricare din următoarele situații: </w:t>
            </w:r>
          </w:p>
          <w:p w14:paraId="26C06789" w14:textId="77777777" w:rsidR="00F8180E" w:rsidRPr="009E686F" w:rsidRDefault="00F8180E" w:rsidP="00ED2C1C">
            <w:pPr>
              <w:spacing w:after="0"/>
              <w:jc w:val="both"/>
              <w:rPr>
                <w:rFonts w:ascii="Times New Roman" w:hAnsi="Times New Roman" w:cs="Times New Roman"/>
                <w:lang w:val="pt-BR"/>
              </w:rPr>
            </w:pPr>
            <w:r w:rsidRPr="009E686F">
              <w:rPr>
                <w:rFonts w:ascii="Times New Roman" w:hAnsi="Times New Roman" w:cs="Times New Roman"/>
                <w:lang w:val="pt-BR"/>
              </w:rPr>
              <w:t xml:space="preserve">a) are majoritatea drepturilor de vot într-o altă persoană (filială); </w:t>
            </w:r>
          </w:p>
          <w:p w14:paraId="3E50C411" w14:textId="118BE16A" w:rsidR="00F8180E" w:rsidRPr="009E686F" w:rsidRDefault="00F8180E" w:rsidP="00ED2C1C">
            <w:pPr>
              <w:spacing w:after="0"/>
              <w:jc w:val="both"/>
              <w:rPr>
                <w:rFonts w:ascii="Times New Roman" w:hAnsi="Times New Roman" w:cs="Times New Roman"/>
                <w:lang w:val="pt-BR"/>
              </w:rPr>
            </w:pPr>
            <w:r w:rsidRPr="009E686F">
              <w:rPr>
                <w:rFonts w:ascii="Times New Roman" w:hAnsi="Times New Roman" w:cs="Times New Roman"/>
                <w:lang w:val="pt-BR"/>
              </w:rPr>
              <w:t>b) are dreptul de a numi sau de a înlocui majoritatea membrilor organului de conducere ale altei persoane (filiale) şi este în acelaşi timp acționar/asociat al acelei persoane (filiale);</w:t>
            </w:r>
          </w:p>
          <w:p w14:paraId="3B7E9D16" w14:textId="3E535FCC" w:rsidR="00F8180E" w:rsidRPr="009E686F" w:rsidRDefault="00F8180E" w:rsidP="00ED2C1C">
            <w:pPr>
              <w:spacing w:after="0"/>
              <w:jc w:val="both"/>
              <w:rPr>
                <w:rFonts w:ascii="Times New Roman" w:hAnsi="Times New Roman" w:cs="Times New Roman"/>
                <w:lang w:val="pt-BR"/>
              </w:rPr>
            </w:pPr>
            <w:r w:rsidRPr="009E686F">
              <w:rPr>
                <w:rFonts w:ascii="Times New Roman" w:hAnsi="Times New Roman" w:cs="Times New Roman"/>
                <w:lang w:val="pt-BR"/>
              </w:rPr>
              <w:t xml:space="preserve">c) are dreptul de a exercita o influență dominantă asupra unei persoane (filiale), fiind sau nefiind acționar/asociat al acesteia, în virtutea unui contract încheiat cu acea persoană (filiale) sau a unor prevederi din actul de constituire al persoanei (filiale), în cazul în care legislația aplicabilă </w:t>
            </w:r>
            <w:r w:rsidRPr="009E686F">
              <w:rPr>
                <w:rFonts w:ascii="Times New Roman" w:hAnsi="Times New Roman" w:cs="Times New Roman"/>
                <w:lang w:val="pt-BR"/>
              </w:rPr>
              <w:lastRenderedPageBreak/>
              <w:t xml:space="preserve">persoanei (filiale) îi permite acesteia să fie supusă unor astfel de contracte sau prevederi; </w:t>
            </w:r>
          </w:p>
          <w:p w14:paraId="035D37D4" w14:textId="1F8EE91B" w:rsidR="00F8180E" w:rsidRPr="009E686F" w:rsidRDefault="00F8180E" w:rsidP="00ED2C1C">
            <w:pPr>
              <w:spacing w:after="0"/>
              <w:jc w:val="both"/>
              <w:rPr>
                <w:rFonts w:ascii="Times New Roman" w:hAnsi="Times New Roman" w:cs="Times New Roman"/>
                <w:lang w:val="pt-BR"/>
              </w:rPr>
            </w:pPr>
            <w:r w:rsidRPr="009E686F">
              <w:rPr>
                <w:rFonts w:ascii="Times New Roman" w:hAnsi="Times New Roman" w:cs="Times New Roman"/>
                <w:lang w:val="pt-BR"/>
              </w:rPr>
              <w:t xml:space="preserve">d) este acționar/asociat al unei persoane (filiale) şi majoritatea membrilor organelor de conducere ale acelei persoane (filiale), aflați în funcție în exercițiul financiar în curs, în exercițiul financiar anterior şi pînă la data la care sunt întocmite situațiile financiare anuale consolidate, au fost numiți numai ca rezultat al exercitării drepturilor lor de vot; această prevedere nu se aplică în situația în care o altă persoană are față de filială drepturile prevăzute la lit.a), b) sau c); </w:t>
            </w:r>
          </w:p>
          <w:p w14:paraId="2A336389" w14:textId="48917C09" w:rsidR="00F8180E" w:rsidRPr="009E686F" w:rsidRDefault="00F8180E" w:rsidP="00ED2C1C">
            <w:pPr>
              <w:spacing w:after="0"/>
              <w:jc w:val="both"/>
              <w:rPr>
                <w:rFonts w:ascii="Times New Roman" w:hAnsi="Times New Roman" w:cs="Times New Roman"/>
                <w:lang w:val="pt-BR"/>
              </w:rPr>
            </w:pPr>
            <w:r w:rsidRPr="009E686F">
              <w:rPr>
                <w:rFonts w:ascii="Times New Roman" w:hAnsi="Times New Roman" w:cs="Times New Roman"/>
                <w:lang w:val="pt-BR"/>
              </w:rPr>
              <w:t xml:space="preserve">e) este acționar/asociat al unei persoane (filiale) şi controlează singură, în baza unui acord încheiat cu alți acționari/asociați sau membri ai acelei persoane (filiale), majoritatea drepturilor de vot în acea filială; </w:t>
            </w:r>
          </w:p>
          <w:p w14:paraId="107E35FF" w14:textId="77777777" w:rsidR="00F8180E" w:rsidRPr="009E686F" w:rsidRDefault="00F8180E" w:rsidP="00ED2C1C">
            <w:pPr>
              <w:spacing w:after="0"/>
              <w:jc w:val="both"/>
              <w:rPr>
                <w:rFonts w:ascii="Times New Roman" w:hAnsi="Times New Roman" w:cs="Times New Roman"/>
                <w:lang w:val="pt-BR"/>
              </w:rPr>
            </w:pPr>
            <w:r w:rsidRPr="009E686F">
              <w:rPr>
                <w:rFonts w:ascii="Times New Roman" w:hAnsi="Times New Roman" w:cs="Times New Roman"/>
                <w:lang w:val="pt-BR"/>
              </w:rPr>
              <w:t>f) exercită efectiv influență dominantă asupra altei persoane (filiale) conform criteriilor prevăzute în actele normative ale Băncii Naționale a Moldovei;</w:t>
            </w:r>
          </w:p>
        </w:tc>
        <w:tc>
          <w:tcPr>
            <w:tcW w:w="470" w:type="pct"/>
            <w:tcBorders>
              <w:top w:val="single" w:sz="4" w:space="0" w:color="auto"/>
              <w:left w:val="single" w:sz="4" w:space="0" w:color="auto"/>
              <w:bottom w:val="single" w:sz="4" w:space="0" w:color="auto"/>
              <w:right w:val="single" w:sz="4" w:space="0" w:color="auto"/>
            </w:tcBorders>
          </w:tcPr>
          <w:p w14:paraId="1E0DEB7E" w14:textId="61C0AB35" w:rsidR="00F8180E" w:rsidRPr="009E686F" w:rsidRDefault="005A00EC" w:rsidP="00F8180E">
            <w:pPr>
              <w:jc w:val="both"/>
              <w:rPr>
                <w:rFonts w:ascii="Times New Roman" w:hAnsi="Times New Roman" w:cs="Times New Roman"/>
              </w:rPr>
            </w:pPr>
            <w:r w:rsidRPr="009E686F">
              <w:rPr>
                <w:rFonts w:ascii="Times New Roman" w:hAnsi="Times New Roman" w:cs="Times New Roman"/>
              </w:rPr>
              <w:lastRenderedPageBreak/>
              <w:t>C</w:t>
            </w:r>
            <w:r w:rsidR="00F8180E" w:rsidRPr="009E686F">
              <w:rPr>
                <w:rFonts w:ascii="Times New Roman" w:hAnsi="Times New Roman" w:cs="Times New Roman"/>
              </w:rPr>
              <w:t xml:space="preserve">ompatibil </w:t>
            </w:r>
          </w:p>
        </w:tc>
        <w:tc>
          <w:tcPr>
            <w:tcW w:w="806" w:type="pct"/>
            <w:tcBorders>
              <w:top w:val="single" w:sz="4" w:space="0" w:color="auto"/>
              <w:left w:val="single" w:sz="4" w:space="0" w:color="auto"/>
              <w:bottom w:val="single" w:sz="4" w:space="0" w:color="auto"/>
              <w:right w:val="single" w:sz="4" w:space="0" w:color="auto"/>
            </w:tcBorders>
          </w:tcPr>
          <w:p w14:paraId="54EA2617" w14:textId="59FEB369" w:rsidR="00F8180E" w:rsidRPr="009E686F" w:rsidRDefault="00F8180E" w:rsidP="00515783">
            <w:pPr>
              <w:spacing w:after="0"/>
              <w:jc w:val="both"/>
              <w:rPr>
                <w:rFonts w:ascii="Times New Roman" w:hAnsi="Times New Roman" w:cs="Times New Roman"/>
                <w:lang w:val="it-CH"/>
              </w:rPr>
            </w:pPr>
            <w:r w:rsidRPr="009E686F">
              <w:rPr>
                <w:rFonts w:ascii="Times New Roman" w:hAnsi="Times New Roman" w:cs="Times New Roman"/>
                <w:lang w:val="pt-BR"/>
              </w:rPr>
              <w:t xml:space="preserve">Noțiunea respectivă a fost preluată din cadrul legislativ existent și este mai restrictivă decât cea prevăzută de cadrul UE. </w:t>
            </w:r>
            <w:r w:rsidR="008A2899" w:rsidRPr="009E686F">
              <w:rPr>
                <w:rFonts w:ascii="Times New Roman" w:hAnsi="Times New Roman" w:cs="Times New Roman"/>
                <w:lang w:val="it-CH"/>
              </w:rPr>
              <w:t>R</w:t>
            </w:r>
            <w:r w:rsidRPr="009E686F">
              <w:rPr>
                <w:rFonts w:ascii="Times New Roman" w:hAnsi="Times New Roman" w:cs="Times New Roman"/>
                <w:lang w:val="it-CH"/>
              </w:rPr>
              <w:t xml:space="preserve">ecomandare a FMI. </w:t>
            </w:r>
          </w:p>
        </w:tc>
      </w:tr>
      <w:tr w:rsidR="00B30AFC" w:rsidRPr="009E686F" w14:paraId="22D967F0" w14:textId="2E672453" w:rsidTr="00960C23">
        <w:tc>
          <w:tcPr>
            <w:tcW w:w="1890" w:type="pct"/>
            <w:tcBorders>
              <w:top w:val="single" w:sz="4" w:space="0" w:color="auto"/>
              <w:left w:val="single" w:sz="4" w:space="0" w:color="auto"/>
              <w:bottom w:val="single" w:sz="4" w:space="0" w:color="auto"/>
              <w:right w:val="single" w:sz="4" w:space="0" w:color="auto"/>
            </w:tcBorders>
          </w:tcPr>
          <w:p w14:paraId="785CBD94" w14:textId="2E551DC1" w:rsidR="00F8180E" w:rsidRPr="009E686F" w:rsidRDefault="00F8180E" w:rsidP="00ED2C1C">
            <w:pPr>
              <w:spacing w:after="0"/>
              <w:jc w:val="both"/>
              <w:rPr>
                <w:rFonts w:ascii="Times New Roman" w:hAnsi="Times New Roman" w:cs="Times New Roman"/>
                <w:lang w:val="it-CH"/>
              </w:rPr>
            </w:pPr>
            <w:r w:rsidRPr="009E686F">
              <w:rPr>
                <w:rFonts w:ascii="Times New Roman" w:hAnsi="Times New Roman" w:cs="Times New Roman"/>
                <w:lang w:val="it-CH"/>
              </w:rPr>
              <w:t>15. "filială" înseamnă o filială astfel cum este definită la articolul 4 alineatul (1) punctul 16 din Regulamentul (UE) nr. 575/2013;</w:t>
            </w:r>
          </w:p>
        </w:tc>
        <w:tc>
          <w:tcPr>
            <w:tcW w:w="1834" w:type="pct"/>
            <w:tcBorders>
              <w:top w:val="single" w:sz="4" w:space="0" w:color="auto"/>
              <w:left w:val="single" w:sz="4" w:space="0" w:color="auto"/>
              <w:bottom w:val="single" w:sz="4" w:space="0" w:color="auto"/>
              <w:right w:val="single" w:sz="4" w:space="0" w:color="auto"/>
            </w:tcBorders>
          </w:tcPr>
          <w:p w14:paraId="29C1A81F" w14:textId="4AF3D913" w:rsidR="00F8180E" w:rsidRPr="009E686F" w:rsidRDefault="00F8180E" w:rsidP="00ED2C1C">
            <w:pPr>
              <w:spacing w:after="0"/>
              <w:jc w:val="both"/>
              <w:rPr>
                <w:rFonts w:ascii="Times New Roman" w:hAnsi="Times New Roman" w:cs="Times New Roman"/>
                <w:lang w:val="it-IT"/>
              </w:rPr>
            </w:pPr>
            <w:r w:rsidRPr="009E686F">
              <w:rPr>
                <w:rFonts w:ascii="Times New Roman" w:hAnsi="Times New Roman" w:cs="Times New Roman"/>
                <w:bCs/>
                <w:i/>
                <w:iCs/>
                <w:lang w:val="it-CH"/>
              </w:rPr>
              <w:t>filială</w:t>
            </w:r>
            <w:r w:rsidRPr="009E686F">
              <w:rPr>
                <w:rFonts w:ascii="Times New Roman" w:hAnsi="Times New Roman" w:cs="Times New Roman"/>
                <w:lang w:val="it-CH"/>
              </w:rPr>
              <w:t xml:space="preserve"> –</w:t>
            </w:r>
            <w:r w:rsidR="00CD382A" w:rsidRPr="009E686F">
              <w:rPr>
                <w:rFonts w:ascii="Times New Roman" w:hAnsi="Times New Roman" w:cs="Times New Roman"/>
                <w:lang w:val="it-CH"/>
              </w:rPr>
              <w:t xml:space="preserve"> </w:t>
            </w:r>
            <w:r w:rsidRPr="009E686F">
              <w:rPr>
                <w:rFonts w:ascii="Times New Roman" w:hAnsi="Times New Roman" w:cs="Times New Roman"/>
                <w:lang w:val="it-CH"/>
              </w:rPr>
              <w:t xml:space="preserve">persoană juridică aflată în relație cu o întreprindere-mamă, în una din situațiile prevăzute la noțiunea “întreprindere-mamă”. </w:t>
            </w:r>
            <w:r w:rsidRPr="009E686F">
              <w:rPr>
                <w:rFonts w:ascii="Times New Roman" w:hAnsi="Times New Roman" w:cs="Times New Roman"/>
                <w:lang w:val="it-IT"/>
              </w:rPr>
              <w:t>Filialele unei filiale se consideră</w:t>
            </w:r>
            <w:r w:rsidR="00C0104E" w:rsidRPr="009E686F">
              <w:rPr>
                <w:rFonts w:ascii="Times New Roman" w:hAnsi="Times New Roman" w:cs="Times New Roman"/>
                <w:lang w:val="it-IT"/>
              </w:rPr>
              <w:t xml:space="preserve"> </w:t>
            </w:r>
            <w:r w:rsidRPr="009E686F">
              <w:rPr>
                <w:rFonts w:ascii="Times New Roman" w:hAnsi="Times New Roman" w:cs="Times New Roman"/>
                <w:lang w:val="it-IT"/>
              </w:rPr>
              <w:t>filiale ale întreprinderii care este întreprinderea-mamă inițială;</w:t>
            </w:r>
          </w:p>
        </w:tc>
        <w:tc>
          <w:tcPr>
            <w:tcW w:w="470" w:type="pct"/>
            <w:tcBorders>
              <w:top w:val="single" w:sz="4" w:space="0" w:color="auto"/>
              <w:left w:val="single" w:sz="4" w:space="0" w:color="auto"/>
              <w:bottom w:val="single" w:sz="4" w:space="0" w:color="auto"/>
              <w:right w:val="single" w:sz="4" w:space="0" w:color="auto"/>
            </w:tcBorders>
          </w:tcPr>
          <w:p w14:paraId="5BE5F83A" w14:textId="32D1D858" w:rsidR="00F8180E" w:rsidRPr="009E686F" w:rsidRDefault="00F8180E" w:rsidP="00F8180E">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055B83BC" w14:textId="1710003E" w:rsidR="00F8180E" w:rsidRPr="009E686F" w:rsidRDefault="00F8180E" w:rsidP="00515783">
            <w:pPr>
              <w:spacing w:after="0"/>
              <w:jc w:val="both"/>
              <w:rPr>
                <w:rFonts w:ascii="Times New Roman" w:hAnsi="Times New Roman" w:cs="Times New Roman"/>
              </w:rPr>
            </w:pPr>
          </w:p>
        </w:tc>
      </w:tr>
      <w:tr w:rsidR="00B30AFC" w:rsidRPr="009E686F" w14:paraId="6AEEB6C7" w14:textId="2294444C" w:rsidTr="00960C23">
        <w:tc>
          <w:tcPr>
            <w:tcW w:w="1890" w:type="pct"/>
            <w:tcBorders>
              <w:top w:val="single" w:sz="4" w:space="0" w:color="auto"/>
              <w:left w:val="single" w:sz="4" w:space="0" w:color="auto"/>
              <w:bottom w:val="single" w:sz="4" w:space="0" w:color="auto"/>
              <w:right w:val="single" w:sz="4" w:space="0" w:color="auto"/>
            </w:tcBorders>
          </w:tcPr>
          <w:p w14:paraId="708715FB" w14:textId="47AC7A48" w:rsidR="00F8180E" w:rsidRPr="009E686F" w:rsidRDefault="00F8180E" w:rsidP="00ED2C1C">
            <w:pPr>
              <w:spacing w:after="0"/>
              <w:jc w:val="both"/>
              <w:rPr>
                <w:rFonts w:ascii="Times New Roman" w:hAnsi="Times New Roman" w:cs="Times New Roman"/>
                <w:lang w:val="pt-BR"/>
              </w:rPr>
            </w:pPr>
            <w:r w:rsidRPr="009E686F">
              <w:rPr>
                <w:rFonts w:ascii="Times New Roman" w:hAnsi="Times New Roman" w:cs="Times New Roman"/>
                <w:lang w:val="pt-BR"/>
              </w:rPr>
              <w:t>16. "sucursală" înseamnă o sucursală astfel cum este definită la articolul 4 alineatul (1) punctul 17 din Regulamentul (UE) nr. 575/2013;</w:t>
            </w:r>
          </w:p>
        </w:tc>
        <w:tc>
          <w:tcPr>
            <w:tcW w:w="1834" w:type="pct"/>
            <w:tcBorders>
              <w:top w:val="single" w:sz="4" w:space="0" w:color="auto"/>
              <w:left w:val="single" w:sz="4" w:space="0" w:color="auto"/>
              <w:bottom w:val="single" w:sz="4" w:space="0" w:color="auto"/>
              <w:right w:val="single" w:sz="4" w:space="0" w:color="auto"/>
            </w:tcBorders>
          </w:tcPr>
          <w:p w14:paraId="3E015D6F" w14:textId="664E9C18" w:rsidR="00F8180E" w:rsidRPr="009E686F" w:rsidRDefault="00F8180E" w:rsidP="00ED2C1C">
            <w:pPr>
              <w:spacing w:after="0"/>
              <w:jc w:val="both"/>
              <w:rPr>
                <w:rFonts w:ascii="Times New Roman" w:hAnsi="Times New Roman" w:cs="Times New Roman"/>
                <w:lang w:val="pt-BR"/>
              </w:rPr>
            </w:pPr>
            <w:r w:rsidRPr="009E686F">
              <w:rPr>
                <w:rFonts w:ascii="Times New Roman" w:hAnsi="Times New Roman" w:cs="Times New Roman"/>
                <w:bCs/>
                <w:i/>
                <w:iCs/>
                <w:lang w:val="pt-BR"/>
              </w:rPr>
              <w:t>sucursală</w:t>
            </w:r>
            <w:r w:rsidRPr="009E686F">
              <w:rPr>
                <w:rFonts w:ascii="Times New Roman" w:hAnsi="Times New Roman" w:cs="Times New Roman"/>
                <w:bCs/>
                <w:lang w:val="pt-BR"/>
              </w:rPr>
              <w:t xml:space="preserve"> </w:t>
            </w:r>
            <w:r w:rsidRPr="009E686F">
              <w:rPr>
                <w:rFonts w:ascii="Times New Roman" w:hAnsi="Times New Roman" w:cs="Times New Roman"/>
                <w:b/>
                <w:lang w:val="pt-BR"/>
              </w:rPr>
              <w:t>–</w:t>
            </w:r>
            <w:r w:rsidRPr="009E686F">
              <w:rPr>
                <w:rFonts w:ascii="Times New Roman" w:hAnsi="Times New Roman" w:cs="Times New Roman"/>
                <w:lang w:val="pt-BR"/>
              </w:rPr>
              <w:t xml:space="preserve">  subdiviziune separată a </w:t>
            </w:r>
            <w:r w:rsidR="00A51A7D" w:rsidRPr="009E686F">
              <w:rPr>
                <w:rFonts w:ascii="Times New Roman" w:hAnsi="Times New Roman" w:cs="Times New Roman"/>
                <w:i/>
                <w:iCs/>
                <w:lang w:val="pt-BR"/>
              </w:rPr>
              <w:t>instituției de credit</w:t>
            </w:r>
            <w:r w:rsidRPr="009E686F">
              <w:rPr>
                <w:rFonts w:ascii="Times New Roman" w:hAnsi="Times New Roman" w:cs="Times New Roman"/>
                <w:lang w:val="pt-BR"/>
              </w:rPr>
              <w:t xml:space="preserve">, care este o parte dependentă din punct de vedere juridic de </w:t>
            </w:r>
            <w:r w:rsidR="00A51A7D" w:rsidRPr="009E686F">
              <w:rPr>
                <w:rFonts w:ascii="Times New Roman" w:hAnsi="Times New Roman" w:cs="Times New Roman"/>
                <w:i/>
                <w:iCs/>
                <w:lang w:val="pt-BR"/>
              </w:rPr>
              <w:t>instituția de credit</w:t>
            </w:r>
            <w:r w:rsidRPr="009E686F">
              <w:rPr>
                <w:rFonts w:ascii="Times New Roman" w:hAnsi="Times New Roman" w:cs="Times New Roman"/>
                <w:lang w:val="pt-BR"/>
              </w:rPr>
              <w:t xml:space="preserve">  respectivă și care desfășoară direct toate sau unele dintre tranzacțiile specifice activității </w:t>
            </w:r>
            <w:r w:rsidR="00A51A7D" w:rsidRPr="009E686F">
              <w:rPr>
                <w:rFonts w:ascii="Times New Roman" w:hAnsi="Times New Roman" w:cs="Times New Roman"/>
                <w:i/>
                <w:iCs/>
                <w:lang w:val="pt-BR"/>
              </w:rPr>
              <w:t>instituțiilor de credit</w:t>
            </w:r>
            <w:r w:rsidRPr="009E686F">
              <w:rPr>
                <w:rFonts w:ascii="Times New Roman" w:hAnsi="Times New Roman" w:cs="Times New Roman"/>
                <w:lang w:val="pt-BR"/>
              </w:rPr>
              <w:t>;</w:t>
            </w:r>
          </w:p>
        </w:tc>
        <w:tc>
          <w:tcPr>
            <w:tcW w:w="470" w:type="pct"/>
            <w:tcBorders>
              <w:top w:val="single" w:sz="4" w:space="0" w:color="auto"/>
              <w:left w:val="single" w:sz="4" w:space="0" w:color="auto"/>
              <w:bottom w:val="single" w:sz="4" w:space="0" w:color="auto"/>
              <w:right w:val="single" w:sz="4" w:space="0" w:color="auto"/>
            </w:tcBorders>
          </w:tcPr>
          <w:p w14:paraId="20C1214C" w14:textId="53345E06" w:rsidR="00F8180E" w:rsidRPr="009E686F" w:rsidRDefault="00F8180E" w:rsidP="00F8180E">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556A5293" w14:textId="2070C1A2" w:rsidR="00F8180E" w:rsidRPr="009E686F" w:rsidRDefault="00F8180E" w:rsidP="00515783">
            <w:pPr>
              <w:spacing w:after="0"/>
              <w:jc w:val="both"/>
              <w:rPr>
                <w:rFonts w:ascii="Times New Roman" w:hAnsi="Times New Roman" w:cs="Times New Roman"/>
              </w:rPr>
            </w:pPr>
          </w:p>
        </w:tc>
      </w:tr>
      <w:tr w:rsidR="00B30AFC" w:rsidRPr="009E686F" w14:paraId="71F5B915" w14:textId="5F1719D1" w:rsidTr="00960C23">
        <w:tc>
          <w:tcPr>
            <w:tcW w:w="1890" w:type="pct"/>
            <w:tcBorders>
              <w:top w:val="single" w:sz="4" w:space="0" w:color="auto"/>
              <w:left w:val="single" w:sz="4" w:space="0" w:color="auto"/>
              <w:bottom w:val="single" w:sz="4" w:space="0" w:color="auto"/>
              <w:right w:val="single" w:sz="4" w:space="0" w:color="auto"/>
            </w:tcBorders>
          </w:tcPr>
          <w:p w14:paraId="4F4379B7" w14:textId="4DF21ECD" w:rsidR="00F8180E" w:rsidRPr="009E686F" w:rsidRDefault="00F8180E" w:rsidP="00ED2C1C">
            <w:pPr>
              <w:spacing w:after="0"/>
              <w:jc w:val="both"/>
              <w:rPr>
                <w:rFonts w:ascii="Times New Roman" w:hAnsi="Times New Roman" w:cs="Times New Roman"/>
                <w:lang w:val="it-CH"/>
              </w:rPr>
            </w:pPr>
            <w:r w:rsidRPr="009E686F">
              <w:rPr>
                <w:rFonts w:ascii="Times New Roman" w:hAnsi="Times New Roman" w:cs="Times New Roman"/>
                <w:lang w:val="it-CH"/>
              </w:rPr>
              <w:t>17. "întreprindere prestatoare de servicii auxiliare" înseamnă o întreprindere prestatoare de servicii auxiliare astfel cum este definită la articolul 4 alineatul (1) punctul 18 din Regulamentul (UE) nr. 575/2013;</w:t>
            </w:r>
          </w:p>
        </w:tc>
        <w:tc>
          <w:tcPr>
            <w:tcW w:w="1834" w:type="pct"/>
            <w:tcBorders>
              <w:top w:val="single" w:sz="4" w:space="0" w:color="auto"/>
              <w:left w:val="single" w:sz="4" w:space="0" w:color="auto"/>
              <w:bottom w:val="single" w:sz="4" w:space="0" w:color="auto"/>
              <w:right w:val="single" w:sz="4" w:space="0" w:color="auto"/>
            </w:tcBorders>
          </w:tcPr>
          <w:p w14:paraId="4323828A" w14:textId="723132BF" w:rsidR="00F8180E" w:rsidRPr="009E686F" w:rsidRDefault="00F8180E" w:rsidP="00ED2C1C">
            <w:pPr>
              <w:spacing w:after="0"/>
              <w:jc w:val="both"/>
              <w:rPr>
                <w:rFonts w:ascii="Times New Roman" w:hAnsi="Times New Roman" w:cs="Times New Roman"/>
                <w:i/>
                <w:lang w:val="it-CH"/>
              </w:rPr>
            </w:pPr>
            <w:r w:rsidRPr="009E686F">
              <w:rPr>
                <w:rFonts w:ascii="Times New Roman" w:hAnsi="Times New Roman" w:cs="Times New Roman"/>
                <w:i/>
                <w:lang w:val="it-CH"/>
              </w:rPr>
              <w:t>întreprindere prestatoare de servicii auxiliare</w:t>
            </w:r>
            <w:r w:rsidRPr="009E686F">
              <w:rPr>
                <w:rFonts w:ascii="Times New Roman" w:hAnsi="Times New Roman" w:cs="Times New Roman"/>
                <w:lang w:val="it-CH"/>
              </w:rPr>
              <w:t xml:space="preserve"> – întreprindere a cărei activitate principală, </w:t>
            </w:r>
            <w:r w:rsidRPr="009E686F">
              <w:rPr>
                <w:rFonts w:ascii="Times New Roman" w:hAnsi="Times New Roman" w:cs="Times New Roman"/>
                <w:i/>
                <w:lang w:val="it-CH"/>
              </w:rPr>
              <w:t xml:space="preserve">indiferent dacă este furnizată unor întreprinderi din cadrul grupului sau </w:t>
            </w:r>
            <w:r w:rsidRPr="009E686F">
              <w:rPr>
                <w:rFonts w:ascii="Times New Roman" w:hAnsi="Times New Roman" w:cs="Times New Roman"/>
                <w:i/>
                <w:lang w:val="it-CH"/>
              </w:rPr>
              <w:lastRenderedPageBreak/>
              <w:t>unor clienți din afara grupului, constă în oricare dintre următoarele:</w:t>
            </w:r>
          </w:p>
          <w:p w14:paraId="4453B216" w14:textId="77777777" w:rsidR="00F8180E" w:rsidRPr="009E686F" w:rsidRDefault="00F8180E" w:rsidP="00ED2C1C">
            <w:pPr>
              <w:spacing w:after="0"/>
              <w:jc w:val="both"/>
              <w:rPr>
                <w:rFonts w:ascii="Times New Roman" w:hAnsi="Times New Roman" w:cs="Times New Roman"/>
                <w:i/>
                <w:iCs/>
                <w:lang w:val="pt-BR"/>
              </w:rPr>
            </w:pPr>
            <w:r w:rsidRPr="009E686F">
              <w:rPr>
                <w:rFonts w:ascii="Times New Roman" w:hAnsi="Times New Roman" w:cs="Times New Roman"/>
                <w:i/>
                <w:iCs/>
                <w:lang w:val="pt-BR"/>
              </w:rPr>
              <w:t>a) o prelungire directă a serviciilor bancare;</w:t>
            </w:r>
          </w:p>
          <w:p w14:paraId="59E3DA8B" w14:textId="5E1608FE" w:rsidR="00F8180E" w:rsidRPr="009E686F" w:rsidRDefault="00F8180E" w:rsidP="00ED2C1C">
            <w:pPr>
              <w:spacing w:after="0"/>
              <w:jc w:val="both"/>
              <w:rPr>
                <w:rFonts w:ascii="Times New Roman" w:hAnsi="Times New Roman" w:cs="Times New Roman"/>
                <w:i/>
                <w:iCs/>
                <w:lang w:val="pt-BR"/>
              </w:rPr>
            </w:pPr>
            <w:r w:rsidRPr="009E686F">
              <w:rPr>
                <w:rFonts w:ascii="Times New Roman" w:hAnsi="Times New Roman" w:cs="Times New Roman"/>
                <w:i/>
                <w:iCs/>
                <w:lang w:val="pt-BR"/>
              </w:rPr>
              <w:t xml:space="preserve">b) activități de leasing operațional, deţinerea sau administrarea de bunuri, </w:t>
            </w:r>
            <w:r w:rsidR="00306677" w:rsidRPr="009E686F">
              <w:rPr>
                <w:rFonts w:ascii="Times New Roman" w:hAnsi="Times New Roman" w:cs="Times New Roman"/>
                <w:i/>
                <w:iCs/>
                <w:lang w:val="pt-BR"/>
              </w:rPr>
              <w:t xml:space="preserve">prestare </w:t>
            </w:r>
            <w:r w:rsidRPr="009E686F">
              <w:rPr>
                <w:rFonts w:ascii="Times New Roman" w:hAnsi="Times New Roman" w:cs="Times New Roman"/>
                <w:i/>
                <w:iCs/>
                <w:lang w:val="pt-BR"/>
              </w:rPr>
              <w:t>de servicii de prelucrare a datelor sau o activitate similară care este auxiliară serviciilor bancare;</w:t>
            </w:r>
          </w:p>
          <w:p w14:paraId="1543FD8F" w14:textId="77777777" w:rsidR="00F8180E" w:rsidRPr="009E686F" w:rsidRDefault="00F8180E" w:rsidP="00ED2C1C">
            <w:pPr>
              <w:spacing w:after="0"/>
              <w:jc w:val="both"/>
              <w:rPr>
                <w:rFonts w:ascii="Times New Roman" w:hAnsi="Times New Roman" w:cs="Times New Roman"/>
                <w:i/>
                <w:iCs/>
                <w:lang w:val="it-IT"/>
              </w:rPr>
            </w:pPr>
            <w:r w:rsidRPr="009E686F">
              <w:rPr>
                <w:rFonts w:ascii="Times New Roman" w:hAnsi="Times New Roman" w:cs="Times New Roman"/>
                <w:i/>
                <w:iCs/>
                <w:lang w:val="it-IT"/>
              </w:rPr>
              <w:t>c) orice altă activitate considerată de Banca Națională a Moldovei similară cu cele menționate la lit. a) și b);</w:t>
            </w:r>
          </w:p>
          <w:p w14:paraId="47959D24" w14:textId="0CAED4F2" w:rsidR="00F8180E" w:rsidRPr="009E686F" w:rsidRDefault="00F8180E" w:rsidP="00ED2C1C">
            <w:pPr>
              <w:spacing w:after="0"/>
              <w:jc w:val="both"/>
              <w:rPr>
                <w:rFonts w:ascii="Times New Roman" w:hAnsi="Times New Roman" w:cs="Times New Roman"/>
                <w:i/>
                <w:iCs/>
                <w:lang w:val="it-IT"/>
              </w:rPr>
            </w:pPr>
            <w:r w:rsidRPr="009E686F">
              <w:rPr>
                <w:rFonts w:ascii="Times New Roman" w:hAnsi="Times New Roman" w:cs="Times New Roman"/>
                <w:i/>
                <w:iCs/>
                <w:lang w:val="it-IT"/>
              </w:rPr>
              <w:t>d) orice altă activitate considerată de Autoritatea Bancară Europeană similară cu cele menționate la lit. a) și b);</w:t>
            </w:r>
          </w:p>
        </w:tc>
        <w:tc>
          <w:tcPr>
            <w:tcW w:w="470" w:type="pct"/>
            <w:tcBorders>
              <w:top w:val="single" w:sz="4" w:space="0" w:color="auto"/>
              <w:left w:val="single" w:sz="4" w:space="0" w:color="auto"/>
              <w:bottom w:val="single" w:sz="4" w:space="0" w:color="auto"/>
              <w:right w:val="single" w:sz="4" w:space="0" w:color="auto"/>
            </w:tcBorders>
          </w:tcPr>
          <w:p w14:paraId="71E9E548" w14:textId="1B07F7C7" w:rsidR="00F8180E" w:rsidRPr="009E686F" w:rsidRDefault="00F8180E" w:rsidP="00F8180E">
            <w:pPr>
              <w:jc w:val="both"/>
              <w:rPr>
                <w:rFonts w:ascii="Times New Roman" w:hAnsi="Times New Roman" w:cs="Times New Roman"/>
              </w:rPr>
            </w:pPr>
            <w:r w:rsidRPr="009E686F">
              <w:rPr>
                <w:rFonts w:ascii="Times New Roman" w:hAnsi="Times New Roman" w:cs="Times New Roman"/>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51BA44FF" w14:textId="6AA01259" w:rsidR="00F8180E" w:rsidRPr="009E686F" w:rsidRDefault="00EF5349" w:rsidP="00515783">
            <w:pPr>
              <w:spacing w:after="0"/>
              <w:jc w:val="both"/>
              <w:rPr>
                <w:rFonts w:ascii="Times New Roman" w:hAnsi="Times New Roman" w:cs="Times New Roman"/>
                <w:lang w:val="it-CH"/>
              </w:rPr>
            </w:pPr>
            <w:r w:rsidRPr="009E686F">
              <w:rPr>
                <w:rFonts w:ascii="Times New Roman" w:hAnsi="Times New Roman" w:cs="Times New Roman"/>
                <w:lang w:val="it-CH"/>
              </w:rPr>
              <w:t>Lit. d) – în vigoare de la data aderării.</w:t>
            </w:r>
          </w:p>
        </w:tc>
      </w:tr>
      <w:tr w:rsidR="00B30AFC" w:rsidRPr="009E686F" w14:paraId="57D9A248" w14:textId="69C7477D" w:rsidTr="00960C23">
        <w:tc>
          <w:tcPr>
            <w:tcW w:w="1890" w:type="pct"/>
            <w:tcBorders>
              <w:top w:val="single" w:sz="4" w:space="0" w:color="auto"/>
              <w:left w:val="single" w:sz="4" w:space="0" w:color="auto"/>
              <w:bottom w:val="single" w:sz="4" w:space="0" w:color="auto"/>
              <w:right w:val="single" w:sz="4" w:space="0" w:color="auto"/>
            </w:tcBorders>
          </w:tcPr>
          <w:p w14:paraId="4111036F" w14:textId="52089C79" w:rsidR="00F8180E" w:rsidRPr="009E686F" w:rsidRDefault="00F8180E" w:rsidP="00ED2C1C">
            <w:pPr>
              <w:spacing w:after="0"/>
              <w:jc w:val="both"/>
              <w:rPr>
                <w:rFonts w:ascii="Times New Roman" w:hAnsi="Times New Roman" w:cs="Times New Roman"/>
                <w:lang w:val="pt-BR"/>
              </w:rPr>
            </w:pPr>
            <w:r w:rsidRPr="009E686F">
              <w:rPr>
                <w:rFonts w:ascii="Times New Roman" w:hAnsi="Times New Roman" w:cs="Times New Roman"/>
                <w:lang w:val="pt-BR"/>
              </w:rPr>
              <w:t>18. "societate de administrare a activelor" înseamnă o societate de administrare a activelor astfel cum este definită la articolul 4 alineatul (1) punctul 19 din Regulamentul (UE) nr. 575/2013;</w:t>
            </w:r>
          </w:p>
        </w:tc>
        <w:tc>
          <w:tcPr>
            <w:tcW w:w="1834" w:type="pct"/>
            <w:tcBorders>
              <w:top w:val="single" w:sz="4" w:space="0" w:color="auto"/>
              <w:left w:val="single" w:sz="4" w:space="0" w:color="auto"/>
              <w:bottom w:val="single" w:sz="4" w:space="0" w:color="auto"/>
              <w:right w:val="single" w:sz="4" w:space="0" w:color="auto"/>
            </w:tcBorders>
          </w:tcPr>
          <w:p w14:paraId="573FC277" w14:textId="7AC943D6" w:rsidR="00F8180E" w:rsidRPr="009E686F" w:rsidRDefault="00F8180E" w:rsidP="00ED2C1C">
            <w:pPr>
              <w:spacing w:after="0"/>
              <w:jc w:val="both"/>
              <w:rPr>
                <w:rFonts w:ascii="Times New Roman" w:hAnsi="Times New Roman" w:cs="Times New Roman"/>
                <w:lang w:val="pt-BR"/>
              </w:rPr>
            </w:pPr>
            <w:r w:rsidRPr="009E686F">
              <w:rPr>
                <w:rFonts w:ascii="Times New Roman" w:hAnsi="Times New Roman" w:cs="Times New Roman"/>
                <w:i/>
                <w:lang w:val="pt-BR"/>
              </w:rPr>
              <w:t>societate de administrare fiduciară a investițiilor</w:t>
            </w:r>
            <w:r w:rsidRPr="009E686F">
              <w:rPr>
                <w:rFonts w:ascii="Times New Roman" w:hAnsi="Times New Roman" w:cs="Times New Roman"/>
                <w:lang w:val="pt-BR"/>
              </w:rPr>
              <w:t xml:space="preserve"> – o societate de administrare fiduciară a investițiilor astfel cum este definită în Legea nr. 171/2012 privind piața de capital;</w:t>
            </w:r>
          </w:p>
        </w:tc>
        <w:tc>
          <w:tcPr>
            <w:tcW w:w="470" w:type="pct"/>
            <w:tcBorders>
              <w:top w:val="single" w:sz="4" w:space="0" w:color="auto"/>
              <w:left w:val="single" w:sz="4" w:space="0" w:color="auto"/>
              <w:bottom w:val="single" w:sz="4" w:space="0" w:color="auto"/>
              <w:right w:val="single" w:sz="4" w:space="0" w:color="auto"/>
            </w:tcBorders>
          </w:tcPr>
          <w:p w14:paraId="746B0A6D" w14:textId="1BB960D7" w:rsidR="00F8180E" w:rsidRPr="009E686F" w:rsidRDefault="00F8180E" w:rsidP="00F8180E">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44143F9F" w14:textId="350DFB36" w:rsidR="00F8180E" w:rsidRPr="009E686F" w:rsidRDefault="00F8180E" w:rsidP="00515783">
            <w:pPr>
              <w:spacing w:after="0"/>
              <w:jc w:val="both"/>
              <w:rPr>
                <w:rFonts w:ascii="Times New Roman" w:hAnsi="Times New Roman" w:cs="Times New Roman"/>
              </w:rPr>
            </w:pPr>
          </w:p>
        </w:tc>
      </w:tr>
      <w:tr w:rsidR="00B30AFC" w:rsidRPr="009E686F" w14:paraId="54B54B9B" w14:textId="4F15E050" w:rsidTr="00960C23">
        <w:trPr>
          <w:trHeight w:val="4072"/>
        </w:trPr>
        <w:tc>
          <w:tcPr>
            <w:tcW w:w="1890" w:type="pct"/>
            <w:tcBorders>
              <w:top w:val="single" w:sz="4" w:space="0" w:color="auto"/>
              <w:left w:val="single" w:sz="4" w:space="0" w:color="auto"/>
              <w:bottom w:val="single" w:sz="4" w:space="0" w:color="auto"/>
              <w:right w:val="single" w:sz="4" w:space="0" w:color="auto"/>
            </w:tcBorders>
          </w:tcPr>
          <w:p w14:paraId="7D3865FB" w14:textId="1EDC5F4F" w:rsidR="00F8180E" w:rsidRPr="009E686F" w:rsidRDefault="00F8180E" w:rsidP="00ED2C1C">
            <w:pPr>
              <w:spacing w:after="0"/>
              <w:jc w:val="both"/>
              <w:rPr>
                <w:rFonts w:ascii="Times New Roman" w:hAnsi="Times New Roman" w:cs="Times New Roman"/>
                <w:lang w:val="it-CH"/>
              </w:rPr>
            </w:pPr>
            <w:r w:rsidRPr="009E686F">
              <w:rPr>
                <w:rFonts w:ascii="Times New Roman" w:hAnsi="Times New Roman" w:cs="Times New Roman"/>
                <w:lang w:val="it-CH"/>
              </w:rPr>
              <w:t>19. "societate financiară holding" înseamnă o societate financiară holding astfel cum este definită la articolul 4 alineatul (1) punctul 20 din Regulamentul (UE) nr. 575/2013;</w:t>
            </w:r>
          </w:p>
        </w:tc>
        <w:tc>
          <w:tcPr>
            <w:tcW w:w="1834" w:type="pct"/>
            <w:tcBorders>
              <w:top w:val="single" w:sz="4" w:space="0" w:color="auto"/>
              <w:left w:val="single" w:sz="4" w:space="0" w:color="auto"/>
              <w:bottom w:val="single" w:sz="4" w:space="0" w:color="auto"/>
              <w:right w:val="single" w:sz="4" w:space="0" w:color="auto"/>
            </w:tcBorders>
          </w:tcPr>
          <w:p w14:paraId="4B431D17" w14:textId="2A89FED5" w:rsidR="00F8180E" w:rsidRPr="009E686F" w:rsidRDefault="00F8180E" w:rsidP="00ED2C1C">
            <w:pPr>
              <w:spacing w:after="0"/>
              <w:jc w:val="both"/>
              <w:rPr>
                <w:rFonts w:ascii="Times New Roman" w:hAnsi="Times New Roman" w:cs="Times New Roman"/>
                <w:i/>
                <w:lang w:val="it-CH"/>
              </w:rPr>
            </w:pPr>
            <w:r w:rsidRPr="009E686F">
              <w:rPr>
                <w:rFonts w:ascii="Times New Roman" w:hAnsi="Times New Roman" w:cs="Times New Roman"/>
                <w:i/>
                <w:lang w:val="it-CH"/>
              </w:rPr>
              <w:t>societate financiară holding –</w:t>
            </w:r>
            <w:r w:rsidR="00A6068A" w:rsidRPr="009E686F">
              <w:rPr>
                <w:rFonts w:ascii="Times New Roman" w:hAnsi="Times New Roman" w:cs="Times New Roman"/>
                <w:i/>
                <w:lang w:val="it-CH"/>
              </w:rPr>
              <w:t xml:space="preserve"> </w:t>
            </w:r>
            <w:r w:rsidRPr="009E686F">
              <w:rPr>
                <w:rFonts w:ascii="Times New Roman" w:hAnsi="Times New Roman" w:cs="Times New Roman"/>
                <w:i/>
                <w:lang w:val="it-CH"/>
              </w:rPr>
              <w:t>întreprindere care îndeplinește cumulativ următoarele condiții:</w:t>
            </w:r>
          </w:p>
          <w:p w14:paraId="68BFE693" w14:textId="5E243C02" w:rsidR="00F8180E" w:rsidRPr="009E686F" w:rsidRDefault="00F8180E" w:rsidP="00ED2C1C">
            <w:pPr>
              <w:spacing w:after="0"/>
              <w:jc w:val="both"/>
              <w:rPr>
                <w:rFonts w:ascii="Times New Roman" w:hAnsi="Times New Roman" w:cs="Times New Roman"/>
                <w:i/>
                <w:lang w:val="pt-BR"/>
              </w:rPr>
            </w:pPr>
            <w:r w:rsidRPr="009E686F">
              <w:rPr>
                <w:rFonts w:ascii="Times New Roman" w:hAnsi="Times New Roman" w:cs="Times New Roman"/>
                <w:i/>
                <w:lang w:val="pt-BR"/>
              </w:rPr>
              <w:t>a)</w:t>
            </w:r>
            <w:r w:rsidRPr="009E686F">
              <w:rPr>
                <w:rFonts w:ascii="Times New Roman" w:hAnsi="Times New Roman" w:cs="Times New Roman"/>
                <w:i/>
                <w:lang w:val="pt-BR"/>
              </w:rPr>
              <w:tab/>
              <w:t xml:space="preserve">este o </w:t>
            </w:r>
            <w:r w:rsidR="00A51A7D" w:rsidRPr="009E686F">
              <w:rPr>
                <w:rFonts w:ascii="Times New Roman" w:hAnsi="Times New Roman" w:cs="Times New Roman"/>
                <w:i/>
                <w:lang w:val="pt-BR"/>
              </w:rPr>
              <w:t>instituție de credit</w:t>
            </w:r>
            <w:r w:rsidRPr="009E686F">
              <w:rPr>
                <w:rFonts w:ascii="Times New Roman" w:hAnsi="Times New Roman" w:cs="Times New Roman"/>
                <w:i/>
                <w:lang w:val="pt-BR"/>
              </w:rPr>
              <w:t>/instituție financiară;</w:t>
            </w:r>
          </w:p>
          <w:p w14:paraId="24FD92D6" w14:textId="77777777" w:rsidR="00F8180E" w:rsidRPr="009E686F" w:rsidRDefault="00F8180E" w:rsidP="00ED2C1C">
            <w:pPr>
              <w:spacing w:after="0"/>
              <w:jc w:val="both"/>
              <w:rPr>
                <w:rFonts w:ascii="Times New Roman" w:hAnsi="Times New Roman" w:cs="Times New Roman"/>
                <w:i/>
                <w:lang w:val="pt-BR"/>
              </w:rPr>
            </w:pPr>
            <w:r w:rsidRPr="009E686F">
              <w:rPr>
                <w:rFonts w:ascii="Times New Roman" w:hAnsi="Times New Roman" w:cs="Times New Roman"/>
                <w:i/>
                <w:lang w:val="pt-BR"/>
              </w:rPr>
              <w:t>b)</w:t>
            </w:r>
            <w:r w:rsidRPr="009E686F">
              <w:rPr>
                <w:rFonts w:ascii="Times New Roman" w:hAnsi="Times New Roman" w:cs="Times New Roman"/>
                <w:i/>
                <w:lang w:val="pt-BR"/>
              </w:rPr>
              <w:tab/>
              <w:t>nu este o societate financiară holding mixtă;</w:t>
            </w:r>
          </w:p>
          <w:p w14:paraId="2EF6D1C4" w14:textId="53CD7982" w:rsidR="00F8180E" w:rsidRPr="009E686F" w:rsidRDefault="00F8180E" w:rsidP="00ED2C1C">
            <w:pPr>
              <w:spacing w:after="0"/>
              <w:jc w:val="both"/>
              <w:rPr>
                <w:rFonts w:ascii="Times New Roman" w:hAnsi="Times New Roman" w:cs="Times New Roman"/>
                <w:i/>
                <w:lang w:val="pt-BR"/>
              </w:rPr>
            </w:pPr>
            <w:r w:rsidRPr="009E686F">
              <w:rPr>
                <w:rFonts w:ascii="Times New Roman" w:hAnsi="Times New Roman" w:cs="Times New Roman"/>
                <w:i/>
                <w:lang w:val="pt-BR"/>
              </w:rPr>
              <w:t>c)</w:t>
            </w:r>
            <w:r w:rsidRPr="009E686F">
              <w:rPr>
                <w:rFonts w:ascii="Times New Roman" w:hAnsi="Times New Roman" w:cs="Times New Roman"/>
                <w:i/>
                <w:lang w:val="pt-BR"/>
              </w:rPr>
              <w:tab/>
              <w:t xml:space="preserve">are cel puțin o filială care este </w:t>
            </w:r>
            <w:r w:rsidR="00A51A7D" w:rsidRPr="009E686F">
              <w:rPr>
                <w:rFonts w:ascii="Times New Roman" w:hAnsi="Times New Roman" w:cs="Times New Roman"/>
                <w:i/>
                <w:lang w:val="pt-BR"/>
              </w:rPr>
              <w:t>instituție de credit</w:t>
            </w:r>
            <w:r w:rsidRPr="009E686F">
              <w:rPr>
                <w:rFonts w:ascii="Times New Roman" w:hAnsi="Times New Roman" w:cs="Times New Roman"/>
                <w:i/>
                <w:lang w:val="pt-BR"/>
              </w:rPr>
              <w:t>;</w:t>
            </w:r>
          </w:p>
          <w:p w14:paraId="4DDA249E" w14:textId="2654C43F" w:rsidR="00F8180E" w:rsidRPr="009E686F" w:rsidRDefault="00F8180E" w:rsidP="00ED2C1C">
            <w:pPr>
              <w:spacing w:after="0"/>
              <w:jc w:val="both"/>
              <w:rPr>
                <w:rFonts w:ascii="Times New Roman" w:hAnsi="Times New Roman" w:cs="Times New Roman"/>
                <w:i/>
                <w:lang w:val="pt-BR"/>
              </w:rPr>
            </w:pPr>
            <w:r w:rsidRPr="009E686F">
              <w:rPr>
                <w:rFonts w:ascii="Times New Roman" w:hAnsi="Times New Roman" w:cs="Times New Roman"/>
                <w:i/>
                <w:lang w:val="pt-BR"/>
              </w:rPr>
              <w:t>d)</w:t>
            </w:r>
            <w:r w:rsidRPr="009E686F">
              <w:rPr>
                <w:rFonts w:ascii="Times New Roman" w:hAnsi="Times New Roman" w:cs="Times New Roman"/>
                <w:i/>
                <w:lang w:val="pt-BR"/>
              </w:rPr>
              <w:tab/>
              <w:t xml:space="preserve">peste 50 % din oricare dintre următorii indicatori sunt asociaţi, în mod constant, cu filiale care sunt </w:t>
            </w:r>
            <w:r w:rsidR="00A51A7D" w:rsidRPr="009E686F">
              <w:rPr>
                <w:rFonts w:ascii="Times New Roman" w:hAnsi="Times New Roman" w:cs="Times New Roman"/>
                <w:i/>
                <w:lang w:val="pt-BR"/>
              </w:rPr>
              <w:t>instituții de credit</w:t>
            </w:r>
            <w:r w:rsidRPr="009E686F">
              <w:rPr>
                <w:rFonts w:ascii="Times New Roman" w:hAnsi="Times New Roman" w:cs="Times New Roman"/>
                <w:i/>
                <w:lang w:val="pt-BR"/>
              </w:rPr>
              <w:t xml:space="preserve"> sau instituții financiare și cu activităţi desfășurate de întreprinderea însăși care nu sunt legate de achiziţionarea sau posesia unor deţineri în filiale, atunci când activităţile respective sunt de aceeași natură cu cele desfășurate de </w:t>
            </w:r>
            <w:r w:rsidR="00A51A7D" w:rsidRPr="009E686F">
              <w:rPr>
                <w:rFonts w:ascii="Times New Roman" w:hAnsi="Times New Roman" w:cs="Times New Roman"/>
                <w:i/>
                <w:lang w:val="pt-BR"/>
              </w:rPr>
              <w:t>instituții de credit</w:t>
            </w:r>
            <w:r w:rsidRPr="009E686F">
              <w:rPr>
                <w:rFonts w:ascii="Times New Roman" w:hAnsi="Times New Roman" w:cs="Times New Roman"/>
                <w:i/>
                <w:lang w:val="pt-BR"/>
              </w:rPr>
              <w:t xml:space="preserve"> sau de instituţii/instituții financiare:</w:t>
            </w:r>
          </w:p>
          <w:p w14:paraId="44BBA820" w14:textId="5DFF9DB9" w:rsidR="00F8180E" w:rsidRPr="009E686F" w:rsidRDefault="00A6068A" w:rsidP="00ED2C1C">
            <w:pPr>
              <w:spacing w:after="0"/>
              <w:jc w:val="both"/>
              <w:rPr>
                <w:rFonts w:ascii="Times New Roman" w:hAnsi="Times New Roman" w:cs="Times New Roman"/>
                <w:bCs/>
                <w:i/>
                <w:iCs/>
                <w:lang w:val="it-IT"/>
              </w:rPr>
            </w:pPr>
            <w:r w:rsidRPr="009E686F">
              <w:rPr>
                <w:rFonts w:ascii="Times New Roman" w:hAnsi="Times New Roman" w:cs="Times New Roman"/>
                <w:i/>
                <w:lang w:val="pt-BR"/>
              </w:rPr>
              <w:t xml:space="preserve">    </w:t>
            </w:r>
            <w:r w:rsidR="00F8180E" w:rsidRPr="009E686F">
              <w:rPr>
                <w:rFonts w:ascii="Times New Roman" w:hAnsi="Times New Roman" w:cs="Times New Roman"/>
                <w:bCs/>
                <w:i/>
                <w:iCs/>
                <w:lang w:val="it-IT"/>
              </w:rPr>
              <w:t>(i) capitalul propriu al întreprinderii pe baza situaţiei sale consolidate;</w:t>
            </w:r>
          </w:p>
          <w:p w14:paraId="6E2DAE96" w14:textId="77FA693F" w:rsidR="00F8180E" w:rsidRPr="009E686F" w:rsidRDefault="00A6068A" w:rsidP="00ED2C1C">
            <w:pPr>
              <w:spacing w:after="0"/>
              <w:jc w:val="both"/>
              <w:rPr>
                <w:rFonts w:ascii="Times New Roman" w:hAnsi="Times New Roman" w:cs="Times New Roman"/>
                <w:bCs/>
                <w:i/>
                <w:iCs/>
                <w:lang w:val="it-IT"/>
              </w:rPr>
            </w:pPr>
            <w:r w:rsidRPr="009E686F">
              <w:rPr>
                <w:rFonts w:ascii="Times New Roman" w:hAnsi="Times New Roman" w:cs="Times New Roman"/>
                <w:bCs/>
                <w:i/>
                <w:iCs/>
                <w:lang w:val="it-IT"/>
              </w:rPr>
              <w:t xml:space="preserve">    </w:t>
            </w:r>
            <w:r w:rsidR="00F8180E" w:rsidRPr="009E686F">
              <w:rPr>
                <w:rFonts w:ascii="Times New Roman" w:hAnsi="Times New Roman" w:cs="Times New Roman"/>
                <w:bCs/>
                <w:i/>
                <w:iCs/>
                <w:lang w:val="it-IT"/>
              </w:rPr>
              <w:t>(ii) activele întreprinderii pe baza situaţiei sale consolidate;</w:t>
            </w:r>
          </w:p>
          <w:p w14:paraId="698F9DF6" w14:textId="00533C92" w:rsidR="00F8180E" w:rsidRPr="009E686F" w:rsidRDefault="00A6068A" w:rsidP="00ED2C1C">
            <w:pPr>
              <w:spacing w:after="0"/>
              <w:jc w:val="both"/>
              <w:rPr>
                <w:rFonts w:ascii="Times New Roman" w:hAnsi="Times New Roman" w:cs="Times New Roman"/>
                <w:bCs/>
                <w:i/>
                <w:iCs/>
                <w:lang w:val="it-IT"/>
              </w:rPr>
            </w:pPr>
            <w:r w:rsidRPr="009E686F">
              <w:rPr>
                <w:rFonts w:ascii="Times New Roman" w:hAnsi="Times New Roman" w:cs="Times New Roman"/>
                <w:bCs/>
                <w:i/>
                <w:iCs/>
                <w:lang w:val="it-IT"/>
              </w:rPr>
              <w:lastRenderedPageBreak/>
              <w:t xml:space="preserve">    </w:t>
            </w:r>
            <w:r w:rsidR="00F8180E" w:rsidRPr="009E686F">
              <w:rPr>
                <w:rFonts w:ascii="Times New Roman" w:hAnsi="Times New Roman" w:cs="Times New Roman"/>
                <w:bCs/>
                <w:i/>
                <w:iCs/>
                <w:lang w:val="it-IT"/>
              </w:rPr>
              <w:t>(iii) veniturile întreprinderii pe baza situaţiei sale consolidate;</w:t>
            </w:r>
          </w:p>
          <w:p w14:paraId="45ABCEBE" w14:textId="5EA65F79" w:rsidR="00F8180E" w:rsidRPr="009E686F" w:rsidRDefault="00A6068A" w:rsidP="00ED2C1C">
            <w:pPr>
              <w:spacing w:after="0"/>
              <w:jc w:val="both"/>
              <w:rPr>
                <w:rFonts w:ascii="Times New Roman" w:hAnsi="Times New Roman" w:cs="Times New Roman"/>
                <w:bCs/>
                <w:i/>
                <w:iCs/>
                <w:lang w:val="it-IT"/>
              </w:rPr>
            </w:pPr>
            <w:r w:rsidRPr="009E686F">
              <w:rPr>
                <w:rFonts w:ascii="Times New Roman" w:hAnsi="Times New Roman" w:cs="Times New Roman"/>
                <w:bCs/>
                <w:i/>
                <w:iCs/>
                <w:lang w:val="it-IT"/>
              </w:rPr>
              <w:t xml:space="preserve">    </w:t>
            </w:r>
            <w:r w:rsidR="00F8180E" w:rsidRPr="009E686F">
              <w:rPr>
                <w:rFonts w:ascii="Times New Roman" w:hAnsi="Times New Roman" w:cs="Times New Roman"/>
                <w:bCs/>
                <w:i/>
                <w:iCs/>
                <w:lang w:val="it-IT"/>
              </w:rPr>
              <w:t>(iv) personalul întreprinderii pe baza situaţiei sale consolidate;</w:t>
            </w:r>
          </w:p>
          <w:p w14:paraId="6B2729D6" w14:textId="1618B6C6" w:rsidR="00F8180E" w:rsidRPr="009E686F" w:rsidRDefault="00A6068A" w:rsidP="00ED2C1C">
            <w:pPr>
              <w:spacing w:after="0"/>
              <w:jc w:val="both"/>
              <w:rPr>
                <w:rFonts w:ascii="Times New Roman" w:hAnsi="Times New Roman" w:cs="Times New Roman"/>
                <w:bCs/>
                <w:i/>
                <w:iCs/>
                <w:lang w:val="it-IT"/>
              </w:rPr>
            </w:pPr>
            <w:r w:rsidRPr="009E686F">
              <w:rPr>
                <w:rFonts w:ascii="Times New Roman" w:hAnsi="Times New Roman" w:cs="Times New Roman"/>
                <w:bCs/>
                <w:i/>
                <w:iCs/>
                <w:lang w:val="it-IT"/>
              </w:rPr>
              <w:t xml:space="preserve">     </w:t>
            </w:r>
            <w:r w:rsidR="00F8180E" w:rsidRPr="009E686F">
              <w:rPr>
                <w:rFonts w:ascii="Times New Roman" w:hAnsi="Times New Roman" w:cs="Times New Roman"/>
                <w:bCs/>
                <w:i/>
                <w:iCs/>
                <w:lang w:val="it-IT"/>
              </w:rPr>
              <w:t xml:space="preserve">(v) alţi indicatori consideraţi relevanţi de către Banca Națională a Moldovei. </w:t>
            </w:r>
          </w:p>
          <w:p w14:paraId="4EA7DD82" w14:textId="52739250" w:rsidR="00F8180E" w:rsidRPr="009E686F" w:rsidRDefault="00F8180E" w:rsidP="00ED2C1C">
            <w:pPr>
              <w:spacing w:after="0"/>
              <w:jc w:val="both"/>
              <w:rPr>
                <w:rFonts w:ascii="Times New Roman" w:hAnsi="Times New Roman" w:cs="Times New Roman"/>
                <w:b/>
                <w:i/>
                <w:iCs/>
                <w:lang w:val="it-IT"/>
              </w:rPr>
            </w:pPr>
            <w:r w:rsidRPr="009E686F">
              <w:rPr>
                <w:rFonts w:ascii="Times New Roman" w:hAnsi="Times New Roman" w:cs="Times New Roman"/>
                <w:bCs/>
                <w:i/>
                <w:iCs/>
                <w:lang w:val="it-IT"/>
              </w:rPr>
              <w:t>Banca Națională a Moldovei poate decide că o entitate nu se califică drept societate financiară holding chiar dacă este îndeplinit unul dintre indicatorii menţionaţi la subpunctele (i)- (iv), în cazul în care consideră că indicatorul relevant nu oferă o imagine corectă și fidelă a principalelor activităţi și riscuri ale grupului. Înainte de a lua o astfel de decizie, Banca Națională a Moldovei consultă Autoritatea Bancară Europeană și furnizează o justificare calitativă și cantitativă motivată și detaliată,</w:t>
            </w:r>
            <w:r w:rsidRPr="009E686F">
              <w:rPr>
                <w:rFonts w:ascii="Times New Roman" w:hAnsi="Times New Roman" w:cs="Times New Roman"/>
                <w:b/>
                <w:i/>
                <w:iCs/>
                <w:lang w:val="it-IT"/>
              </w:rPr>
              <w:t xml:space="preserve"> </w:t>
            </w:r>
            <w:r w:rsidRPr="009E686F">
              <w:rPr>
                <w:rFonts w:ascii="Times New Roman" w:hAnsi="Times New Roman" w:cs="Times New Roman"/>
                <w:bCs/>
                <w:i/>
                <w:iCs/>
                <w:lang w:val="it-IT"/>
              </w:rPr>
              <w:t>iar ulterior ţine seama în mod corespunzător de avizul acesteia și, în cazul în care decide să se abată de la acesta, îi transmite, în termen de 3 luni de la data primirii avizului, motivele abaterii de la avizul relevant;</w:t>
            </w:r>
            <w:r w:rsidRPr="009E686F">
              <w:rPr>
                <w:rFonts w:ascii="Times New Roman" w:hAnsi="Times New Roman" w:cs="Times New Roman"/>
                <w:b/>
                <w:i/>
                <w:iCs/>
                <w:lang w:val="it-IT"/>
              </w:rPr>
              <w:t xml:space="preserve"> </w:t>
            </w:r>
          </w:p>
        </w:tc>
        <w:tc>
          <w:tcPr>
            <w:tcW w:w="470" w:type="pct"/>
            <w:tcBorders>
              <w:top w:val="single" w:sz="4" w:space="0" w:color="auto"/>
              <w:left w:val="single" w:sz="4" w:space="0" w:color="auto"/>
              <w:bottom w:val="single" w:sz="4" w:space="0" w:color="auto"/>
              <w:right w:val="single" w:sz="4" w:space="0" w:color="auto"/>
            </w:tcBorders>
          </w:tcPr>
          <w:p w14:paraId="3054CDE2" w14:textId="31C4DFE3" w:rsidR="00F8180E" w:rsidRPr="009E686F" w:rsidRDefault="00F8180E" w:rsidP="00F8180E">
            <w:pPr>
              <w:jc w:val="both"/>
              <w:rPr>
                <w:rFonts w:ascii="Times New Roman" w:hAnsi="Times New Roman" w:cs="Times New Roman"/>
              </w:rPr>
            </w:pPr>
            <w:r w:rsidRPr="009E686F">
              <w:rPr>
                <w:rFonts w:ascii="Times New Roman" w:hAnsi="Times New Roman" w:cs="Times New Roman"/>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18E99993" w14:textId="56DD2C14" w:rsidR="00F8180E" w:rsidRPr="009E686F" w:rsidRDefault="00C214FF" w:rsidP="00515783">
            <w:pPr>
              <w:spacing w:after="0"/>
              <w:jc w:val="both"/>
              <w:rPr>
                <w:rFonts w:ascii="Times New Roman" w:hAnsi="Times New Roman" w:cs="Times New Roman"/>
                <w:lang w:val="it-CH"/>
              </w:rPr>
            </w:pPr>
            <w:r w:rsidRPr="009E686F">
              <w:rPr>
                <w:rFonts w:ascii="Times New Roman" w:hAnsi="Times New Roman" w:cs="Times New Roman"/>
                <w:lang w:val="it-CH"/>
              </w:rPr>
              <w:t>Partea care se referă la consultarea ABE – la data aderării.</w:t>
            </w:r>
          </w:p>
        </w:tc>
      </w:tr>
      <w:tr w:rsidR="00B30AFC" w:rsidRPr="009E686F" w14:paraId="26B4DC6B" w14:textId="03017C86" w:rsidTr="00960C23">
        <w:trPr>
          <w:trHeight w:val="1898"/>
        </w:trPr>
        <w:tc>
          <w:tcPr>
            <w:tcW w:w="1890" w:type="pct"/>
            <w:tcBorders>
              <w:top w:val="single" w:sz="4" w:space="0" w:color="auto"/>
              <w:left w:val="single" w:sz="4" w:space="0" w:color="auto"/>
              <w:bottom w:val="single" w:sz="4" w:space="0" w:color="auto"/>
              <w:right w:val="single" w:sz="4" w:space="0" w:color="auto"/>
            </w:tcBorders>
          </w:tcPr>
          <w:p w14:paraId="245ACDC5" w14:textId="0AF7C68C" w:rsidR="00F8180E" w:rsidRPr="009E686F" w:rsidRDefault="00F8180E" w:rsidP="00ED2C1C">
            <w:pPr>
              <w:spacing w:after="0"/>
              <w:jc w:val="both"/>
              <w:rPr>
                <w:rFonts w:ascii="Times New Roman" w:hAnsi="Times New Roman" w:cs="Times New Roman"/>
                <w:lang w:val="it-CH"/>
              </w:rPr>
            </w:pPr>
            <w:r w:rsidRPr="009E686F">
              <w:rPr>
                <w:rFonts w:ascii="Times New Roman" w:hAnsi="Times New Roman" w:cs="Times New Roman"/>
                <w:lang w:val="it-CH"/>
              </w:rPr>
              <w:t>20. "societate financiară holding mixtă" înseamnă o societate financiară holding mixtă astfel cum este definită la articolul 4 alineatul (1) punctul 21 din Regulamentul (UE) nr. 575/2013;</w:t>
            </w:r>
          </w:p>
        </w:tc>
        <w:tc>
          <w:tcPr>
            <w:tcW w:w="1834" w:type="pct"/>
            <w:tcBorders>
              <w:top w:val="single" w:sz="4" w:space="0" w:color="auto"/>
              <w:left w:val="single" w:sz="4" w:space="0" w:color="auto"/>
              <w:bottom w:val="single" w:sz="4" w:space="0" w:color="auto"/>
              <w:right w:val="single" w:sz="4" w:space="0" w:color="auto"/>
            </w:tcBorders>
          </w:tcPr>
          <w:p w14:paraId="07FC8F75" w14:textId="77777777" w:rsidR="00F8180E" w:rsidRPr="009E686F" w:rsidRDefault="00F8180E" w:rsidP="00ED2C1C">
            <w:pPr>
              <w:spacing w:after="0"/>
              <w:jc w:val="both"/>
              <w:rPr>
                <w:rFonts w:ascii="Times New Roman" w:hAnsi="Times New Roman" w:cs="Times New Roman"/>
                <w:lang w:val="it-CH"/>
              </w:rPr>
            </w:pPr>
            <w:r w:rsidRPr="009E686F">
              <w:rPr>
                <w:rFonts w:ascii="Times New Roman" w:hAnsi="Times New Roman" w:cs="Times New Roman"/>
                <w:i/>
                <w:lang w:val="it-CH"/>
              </w:rPr>
              <w:t>societate financiară holding mixtă</w:t>
            </w:r>
            <w:r w:rsidRPr="009E686F">
              <w:rPr>
                <w:rFonts w:ascii="Times New Roman" w:hAnsi="Times New Roman" w:cs="Times New Roman"/>
                <w:lang w:val="it-CH"/>
              </w:rPr>
              <w:t xml:space="preserve"> – întreprindere-mamă diferită de o entitate reglementată, care, împreună cu filialele sale, dintre care cel puţin una este o entitate reglementată </w:t>
            </w:r>
            <w:r w:rsidRPr="009E686F">
              <w:rPr>
                <w:rFonts w:ascii="Times New Roman" w:hAnsi="Times New Roman" w:cs="Times New Roman"/>
                <w:i/>
                <w:lang w:val="it-CH"/>
              </w:rPr>
              <w:t>cu sediul în interiorul Uniunii Europene</w:t>
            </w:r>
            <w:r w:rsidRPr="009E686F">
              <w:rPr>
                <w:rFonts w:ascii="Times New Roman" w:hAnsi="Times New Roman" w:cs="Times New Roman"/>
                <w:lang w:val="it-CH"/>
              </w:rPr>
              <w:t>, şi cu alte entităţi, constituie un conglomerat financiar;</w:t>
            </w:r>
          </w:p>
          <w:p w14:paraId="464E185B" w14:textId="44FC0611" w:rsidR="00C540BF" w:rsidRPr="009E686F" w:rsidRDefault="00C540BF" w:rsidP="00ED2C1C">
            <w:pPr>
              <w:spacing w:after="0"/>
              <w:jc w:val="both"/>
              <w:rPr>
                <w:rFonts w:ascii="Times New Roman" w:hAnsi="Times New Roman" w:cs="Times New Roman"/>
                <w:lang w:val="pt-BR"/>
              </w:rPr>
            </w:pPr>
            <w:r w:rsidRPr="009E686F">
              <w:rPr>
                <w:rFonts w:ascii="Times New Roman" w:hAnsi="Times New Roman" w:cs="Times New Roman"/>
                <w:i/>
                <w:lang w:val="pt-BR"/>
              </w:rPr>
              <w:t>entitate reglementată</w:t>
            </w:r>
            <w:r w:rsidRPr="009E686F">
              <w:rPr>
                <w:rFonts w:ascii="Times New Roman" w:hAnsi="Times New Roman" w:cs="Times New Roman"/>
                <w:lang w:val="pt-BR"/>
              </w:rPr>
              <w:t xml:space="preserve"> – </w:t>
            </w:r>
            <w:r w:rsidRPr="009E686F">
              <w:rPr>
                <w:rFonts w:ascii="Times New Roman" w:hAnsi="Times New Roman" w:cs="Times New Roman"/>
                <w:i/>
                <w:lang w:val="pt-BR"/>
              </w:rPr>
              <w:t>instituție de credit</w:t>
            </w:r>
            <w:r w:rsidRPr="009E686F">
              <w:rPr>
                <w:rFonts w:ascii="Times New Roman" w:hAnsi="Times New Roman" w:cs="Times New Roman"/>
                <w:lang w:val="pt-BR"/>
              </w:rPr>
              <w:t>, asigurător/reasigurător, o</w:t>
            </w:r>
            <w:r w:rsidRPr="009E686F">
              <w:rPr>
                <w:rFonts w:ascii="Times New Roman" w:hAnsi="Times New Roman" w:cs="Times New Roman"/>
                <w:i/>
                <w:lang w:val="pt-BR"/>
              </w:rPr>
              <w:t xml:space="preserve"> firmă</w:t>
            </w:r>
            <w:r w:rsidRPr="009E686F" w:rsidDel="00C52214">
              <w:rPr>
                <w:rFonts w:ascii="Times New Roman" w:hAnsi="Times New Roman" w:cs="Times New Roman"/>
                <w:lang w:val="pt-BR"/>
              </w:rPr>
              <w:t xml:space="preserve"> </w:t>
            </w:r>
            <w:r w:rsidRPr="009E686F">
              <w:rPr>
                <w:rFonts w:ascii="Times New Roman" w:hAnsi="Times New Roman" w:cs="Times New Roman"/>
                <w:lang w:val="pt-BR"/>
              </w:rPr>
              <w:t>de investiţii, societate de administrare a activelor sau un administrator de fonduri de investiții alternative;</w:t>
            </w:r>
          </w:p>
        </w:tc>
        <w:tc>
          <w:tcPr>
            <w:tcW w:w="470" w:type="pct"/>
            <w:tcBorders>
              <w:top w:val="single" w:sz="4" w:space="0" w:color="auto"/>
              <w:left w:val="single" w:sz="4" w:space="0" w:color="auto"/>
              <w:bottom w:val="single" w:sz="4" w:space="0" w:color="auto"/>
              <w:right w:val="single" w:sz="4" w:space="0" w:color="auto"/>
            </w:tcBorders>
          </w:tcPr>
          <w:p w14:paraId="6A418ABB" w14:textId="68CDE1C0" w:rsidR="00F8180E" w:rsidRPr="009E686F" w:rsidRDefault="00F8180E" w:rsidP="00F8180E">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3D093EA4" w14:textId="19FA9D7D" w:rsidR="00F8180E" w:rsidRPr="009E686F" w:rsidRDefault="00FC6A0C" w:rsidP="00515783">
            <w:pPr>
              <w:spacing w:after="0"/>
              <w:jc w:val="both"/>
              <w:rPr>
                <w:rFonts w:ascii="Times New Roman" w:hAnsi="Times New Roman" w:cs="Times New Roman"/>
                <w:lang w:val="it-CH"/>
              </w:rPr>
            </w:pPr>
            <w:r w:rsidRPr="009E686F">
              <w:rPr>
                <w:rFonts w:ascii="Times New Roman" w:hAnsi="Times New Roman" w:cs="Times New Roman"/>
                <w:lang w:val="it-CH"/>
              </w:rPr>
              <w:t>Modificările referitoare la sediul în interiorul UE – în vigoare de la data aderării.</w:t>
            </w:r>
          </w:p>
        </w:tc>
      </w:tr>
      <w:tr w:rsidR="00B30AFC" w:rsidRPr="009E686F" w14:paraId="19FA4E47" w14:textId="4B4820E1" w:rsidTr="00960C23">
        <w:trPr>
          <w:trHeight w:val="347"/>
        </w:trPr>
        <w:tc>
          <w:tcPr>
            <w:tcW w:w="1890" w:type="pct"/>
            <w:tcBorders>
              <w:top w:val="single" w:sz="4" w:space="0" w:color="auto"/>
              <w:left w:val="single" w:sz="4" w:space="0" w:color="auto"/>
              <w:bottom w:val="single" w:sz="4" w:space="0" w:color="auto"/>
              <w:right w:val="single" w:sz="4" w:space="0" w:color="auto"/>
            </w:tcBorders>
          </w:tcPr>
          <w:p w14:paraId="4701AE74" w14:textId="0A03AE09" w:rsidR="00F8180E" w:rsidRPr="009E686F" w:rsidRDefault="00F8180E" w:rsidP="00ED2C1C">
            <w:pPr>
              <w:spacing w:after="0"/>
              <w:jc w:val="both"/>
              <w:rPr>
                <w:rFonts w:ascii="Times New Roman" w:hAnsi="Times New Roman" w:cs="Times New Roman"/>
                <w:lang w:val="it-CH"/>
              </w:rPr>
            </w:pPr>
            <w:r w:rsidRPr="009E686F">
              <w:rPr>
                <w:rFonts w:ascii="Times New Roman" w:hAnsi="Times New Roman" w:cs="Times New Roman"/>
                <w:lang w:val="it-CH"/>
              </w:rPr>
              <w:t>21. "societate holding cu activitate mixtă" înseamnă o societate holding cu activitate mixtă astfel cum este definită la articolul 4 alineatul (1) punctul 22 din Regulamentul (UE) nr. 575/2013;</w:t>
            </w:r>
          </w:p>
        </w:tc>
        <w:tc>
          <w:tcPr>
            <w:tcW w:w="1834" w:type="pct"/>
            <w:tcBorders>
              <w:top w:val="single" w:sz="4" w:space="0" w:color="auto"/>
              <w:left w:val="single" w:sz="4" w:space="0" w:color="auto"/>
              <w:bottom w:val="single" w:sz="4" w:space="0" w:color="auto"/>
              <w:right w:val="single" w:sz="4" w:space="0" w:color="auto"/>
            </w:tcBorders>
          </w:tcPr>
          <w:p w14:paraId="3FFCCFC6" w14:textId="77C74960" w:rsidR="00F8180E" w:rsidRPr="009E686F" w:rsidRDefault="00F8180E" w:rsidP="00ED2C1C">
            <w:pPr>
              <w:spacing w:after="0"/>
              <w:jc w:val="both"/>
              <w:rPr>
                <w:rFonts w:ascii="Times New Roman" w:hAnsi="Times New Roman" w:cs="Times New Roman"/>
                <w:b/>
                <w:lang w:val="it-CH"/>
              </w:rPr>
            </w:pPr>
            <w:r w:rsidRPr="009E686F">
              <w:rPr>
                <w:rFonts w:ascii="Times New Roman" w:hAnsi="Times New Roman" w:cs="Times New Roman"/>
                <w:i/>
                <w:lang w:val="it-CH"/>
              </w:rPr>
              <w:t>societate holding cu activitate mixtă</w:t>
            </w:r>
            <w:r w:rsidRPr="009E686F">
              <w:rPr>
                <w:rFonts w:ascii="Times New Roman" w:hAnsi="Times New Roman" w:cs="Times New Roman"/>
                <w:lang w:val="it-CH"/>
              </w:rPr>
              <w:t xml:space="preserve"> –  întreprindere-mamă, alta decât o societate financiară holding, o </w:t>
            </w:r>
            <w:r w:rsidR="00A51A7D" w:rsidRPr="009E686F">
              <w:rPr>
                <w:rFonts w:ascii="Times New Roman" w:hAnsi="Times New Roman" w:cs="Times New Roman"/>
                <w:i/>
                <w:lang w:val="it-CH"/>
              </w:rPr>
              <w:t>instituție de credit</w:t>
            </w:r>
            <w:r w:rsidRPr="009E686F">
              <w:rPr>
                <w:rFonts w:ascii="Times New Roman" w:hAnsi="Times New Roman" w:cs="Times New Roman"/>
                <w:lang w:val="it-CH"/>
              </w:rPr>
              <w:t xml:space="preserve"> sau o societate financiară holding mixtă, ale cărei filiale includ cel puțin o </w:t>
            </w:r>
            <w:r w:rsidR="00A51A7D" w:rsidRPr="009E686F">
              <w:rPr>
                <w:rFonts w:ascii="Times New Roman" w:hAnsi="Times New Roman" w:cs="Times New Roman"/>
                <w:i/>
                <w:lang w:val="it-CH"/>
              </w:rPr>
              <w:t>instituție de credit</w:t>
            </w:r>
            <w:r w:rsidRPr="009E686F">
              <w:rPr>
                <w:rFonts w:ascii="Times New Roman" w:hAnsi="Times New Roman" w:cs="Times New Roman"/>
                <w:lang w:val="it-CH"/>
              </w:rPr>
              <w:t xml:space="preserve">; </w:t>
            </w:r>
          </w:p>
        </w:tc>
        <w:tc>
          <w:tcPr>
            <w:tcW w:w="470" w:type="pct"/>
            <w:tcBorders>
              <w:top w:val="single" w:sz="4" w:space="0" w:color="auto"/>
              <w:left w:val="single" w:sz="4" w:space="0" w:color="auto"/>
              <w:bottom w:val="single" w:sz="4" w:space="0" w:color="auto"/>
              <w:right w:val="single" w:sz="4" w:space="0" w:color="auto"/>
            </w:tcBorders>
          </w:tcPr>
          <w:p w14:paraId="539C9643" w14:textId="27C24E4E" w:rsidR="00F8180E" w:rsidRPr="009E686F" w:rsidRDefault="00F8180E" w:rsidP="00F8180E">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60BBA6C9" w14:textId="6F7416D3" w:rsidR="00F8180E" w:rsidRPr="009E686F" w:rsidRDefault="00F8180E" w:rsidP="00515783">
            <w:pPr>
              <w:spacing w:after="0"/>
              <w:jc w:val="both"/>
              <w:rPr>
                <w:rFonts w:ascii="Times New Roman" w:hAnsi="Times New Roman" w:cs="Times New Roman"/>
              </w:rPr>
            </w:pPr>
          </w:p>
        </w:tc>
      </w:tr>
      <w:tr w:rsidR="00B30AFC" w:rsidRPr="009E686F" w14:paraId="48290306" w14:textId="208144AE" w:rsidTr="00960C23">
        <w:trPr>
          <w:trHeight w:val="381"/>
        </w:trPr>
        <w:tc>
          <w:tcPr>
            <w:tcW w:w="1890" w:type="pct"/>
            <w:tcBorders>
              <w:top w:val="single" w:sz="4" w:space="0" w:color="auto"/>
              <w:left w:val="single" w:sz="4" w:space="0" w:color="auto"/>
              <w:bottom w:val="single" w:sz="4" w:space="0" w:color="auto"/>
              <w:right w:val="single" w:sz="4" w:space="0" w:color="auto"/>
            </w:tcBorders>
          </w:tcPr>
          <w:p w14:paraId="51058EC8" w14:textId="5ACCDA4F" w:rsidR="00F8180E" w:rsidRPr="009E686F" w:rsidRDefault="00F8180E" w:rsidP="00ED2C1C">
            <w:pPr>
              <w:spacing w:after="0"/>
              <w:jc w:val="both"/>
              <w:rPr>
                <w:rFonts w:ascii="Times New Roman" w:hAnsi="Times New Roman" w:cs="Times New Roman"/>
                <w:lang w:val="pt-BR"/>
              </w:rPr>
            </w:pPr>
            <w:r w:rsidRPr="009E686F">
              <w:rPr>
                <w:rFonts w:ascii="Times New Roman" w:hAnsi="Times New Roman" w:cs="Times New Roman"/>
                <w:lang w:val="pt-BR"/>
              </w:rPr>
              <w:lastRenderedPageBreak/>
              <w:t>22. "instituție financiară" înseamnă o instituție financiară astfel cum este definită la articolul 4 alineatul (1) punctul 26 din Regulamentul (UE) nr. 575/2013;</w:t>
            </w:r>
          </w:p>
        </w:tc>
        <w:tc>
          <w:tcPr>
            <w:tcW w:w="1834" w:type="pct"/>
            <w:tcBorders>
              <w:top w:val="single" w:sz="4" w:space="0" w:color="auto"/>
              <w:left w:val="single" w:sz="4" w:space="0" w:color="auto"/>
              <w:bottom w:val="single" w:sz="4" w:space="0" w:color="auto"/>
              <w:right w:val="single" w:sz="4" w:space="0" w:color="auto"/>
            </w:tcBorders>
          </w:tcPr>
          <w:p w14:paraId="383B9F97" w14:textId="41590B5D" w:rsidR="00F8180E" w:rsidRPr="009E686F" w:rsidRDefault="00F8180E" w:rsidP="00ED2C1C">
            <w:pPr>
              <w:spacing w:after="0"/>
              <w:jc w:val="both"/>
              <w:rPr>
                <w:rFonts w:ascii="Times New Roman" w:hAnsi="Times New Roman" w:cs="Times New Roman"/>
                <w:bCs/>
                <w:i/>
                <w:iCs/>
                <w:lang w:val="pt-BR"/>
              </w:rPr>
            </w:pPr>
            <w:r w:rsidRPr="009E686F">
              <w:rPr>
                <w:rFonts w:ascii="Times New Roman" w:hAnsi="Times New Roman" w:cs="Times New Roman"/>
                <w:bCs/>
                <w:i/>
                <w:iCs/>
                <w:lang w:val="pt-BR"/>
              </w:rPr>
              <w:t>instituție financiară</w:t>
            </w:r>
            <w:r w:rsidRPr="009E686F">
              <w:rPr>
                <w:rFonts w:ascii="Times New Roman" w:hAnsi="Times New Roman" w:cs="Times New Roman"/>
                <w:bCs/>
                <w:lang w:val="pt-BR"/>
              </w:rPr>
              <w:t xml:space="preserve"> – </w:t>
            </w:r>
            <w:r w:rsidRPr="009E686F">
              <w:rPr>
                <w:rFonts w:ascii="Times New Roman" w:hAnsi="Times New Roman" w:cs="Times New Roman"/>
                <w:bCs/>
                <w:i/>
                <w:iCs/>
                <w:lang w:val="pt-BR"/>
              </w:rPr>
              <w:t>o întreprindere care îndeplinește următoarele două condiții:</w:t>
            </w:r>
          </w:p>
          <w:p w14:paraId="6266487B" w14:textId="6EB2FB7E" w:rsidR="00F8180E" w:rsidRPr="009E686F" w:rsidRDefault="00F8180E" w:rsidP="00ED2C1C">
            <w:pPr>
              <w:spacing w:after="0"/>
              <w:jc w:val="both"/>
              <w:rPr>
                <w:rFonts w:ascii="Times New Roman" w:hAnsi="Times New Roman" w:cs="Times New Roman"/>
                <w:bCs/>
                <w:i/>
                <w:iCs/>
                <w:lang w:val="pt-BR"/>
              </w:rPr>
            </w:pPr>
            <w:r w:rsidRPr="009E686F">
              <w:rPr>
                <w:rFonts w:ascii="Times New Roman" w:hAnsi="Times New Roman" w:cs="Times New Roman"/>
                <w:bCs/>
                <w:i/>
                <w:iCs/>
                <w:lang w:val="pt-BR"/>
              </w:rPr>
              <w:t xml:space="preserve">a) nu este o </w:t>
            </w:r>
            <w:r w:rsidR="00A51A7D" w:rsidRPr="009E686F">
              <w:rPr>
                <w:rFonts w:ascii="Times New Roman" w:hAnsi="Times New Roman" w:cs="Times New Roman"/>
                <w:bCs/>
                <w:i/>
                <w:iCs/>
                <w:lang w:val="pt-BR"/>
              </w:rPr>
              <w:t>instituție de credit</w:t>
            </w:r>
            <w:r w:rsidRPr="009E686F">
              <w:rPr>
                <w:rFonts w:ascii="Times New Roman" w:hAnsi="Times New Roman" w:cs="Times New Roman"/>
                <w:bCs/>
                <w:i/>
                <w:iCs/>
                <w:lang w:val="pt-BR"/>
              </w:rPr>
              <w:t xml:space="preserve">, un holding pur industrial, o entitate special constituită în scopul securitizării, un holding de asigurare sau un holding mixt de asigurare, definite conform Legii nr. 92/2022 cu privire la activitatea de asigurare și reasigurare, cu excepția cazului în care un holding mixt de asigurare are o </w:t>
            </w:r>
            <w:r w:rsidR="00A51A7D" w:rsidRPr="009E686F">
              <w:rPr>
                <w:rFonts w:ascii="Times New Roman" w:hAnsi="Times New Roman" w:cs="Times New Roman"/>
                <w:bCs/>
                <w:i/>
                <w:iCs/>
                <w:lang w:val="pt-BR"/>
              </w:rPr>
              <w:t>instituție de credit</w:t>
            </w:r>
            <w:r w:rsidRPr="009E686F">
              <w:rPr>
                <w:rFonts w:ascii="Times New Roman" w:hAnsi="Times New Roman" w:cs="Times New Roman"/>
                <w:bCs/>
                <w:i/>
                <w:iCs/>
                <w:lang w:val="pt-BR"/>
              </w:rPr>
              <w:t>-filială;</w:t>
            </w:r>
          </w:p>
          <w:p w14:paraId="08F794B7" w14:textId="77777777" w:rsidR="00F8180E" w:rsidRPr="009E686F" w:rsidRDefault="00F8180E" w:rsidP="00ED2C1C">
            <w:pPr>
              <w:spacing w:after="0"/>
              <w:jc w:val="both"/>
              <w:rPr>
                <w:rFonts w:ascii="Times New Roman" w:hAnsi="Times New Roman" w:cs="Times New Roman"/>
                <w:bCs/>
                <w:i/>
                <w:iCs/>
                <w:lang w:val="it-IT"/>
              </w:rPr>
            </w:pPr>
            <w:r w:rsidRPr="009E686F">
              <w:rPr>
                <w:rFonts w:ascii="Times New Roman" w:hAnsi="Times New Roman" w:cs="Times New Roman"/>
                <w:bCs/>
                <w:i/>
                <w:iCs/>
                <w:lang w:val="it-IT"/>
              </w:rPr>
              <w:t>b) îndeplinește una sau mai multe din următoarele condiții:</w:t>
            </w:r>
          </w:p>
          <w:p w14:paraId="67016657" w14:textId="152CDC1E" w:rsidR="00F8180E" w:rsidRPr="009E686F" w:rsidRDefault="00F8180E" w:rsidP="00ED2C1C">
            <w:pPr>
              <w:spacing w:after="0"/>
              <w:jc w:val="both"/>
              <w:rPr>
                <w:rFonts w:ascii="Times New Roman" w:hAnsi="Times New Roman" w:cs="Times New Roman"/>
                <w:bCs/>
                <w:i/>
                <w:iCs/>
                <w:lang w:val="it-IT"/>
              </w:rPr>
            </w:pPr>
            <w:r w:rsidRPr="009E686F">
              <w:rPr>
                <w:rFonts w:ascii="Times New Roman" w:hAnsi="Times New Roman" w:cs="Times New Roman"/>
                <w:bCs/>
                <w:i/>
                <w:iCs/>
                <w:lang w:val="it-IT"/>
              </w:rPr>
              <w:t>i) activitatea principală a întreprinderii constă în achiziționarea sau posesia unor dețineri ori desfășurarea uneia sau mai multora dintre activitățile enumerate la art. 14 alin. (1) lit. a)-l) și punct</w:t>
            </w:r>
            <w:r w:rsidR="00E8204D" w:rsidRPr="009E686F">
              <w:rPr>
                <w:rFonts w:ascii="Times New Roman" w:hAnsi="Times New Roman" w:cs="Times New Roman"/>
                <w:bCs/>
                <w:i/>
                <w:iCs/>
                <w:lang w:val="it-IT"/>
              </w:rPr>
              <w:t>ul</w:t>
            </w:r>
            <w:r w:rsidRPr="009E686F">
              <w:rPr>
                <w:rFonts w:ascii="Times New Roman" w:hAnsi="Times New Roman" w:cs="Times New Roman"/>
                <w:bCs/>
                <w:i/>
                <w:iCs/>
                <w:lang w:val="it-IT"/>
              </w:rPr>
              <w:t xml:space="preserve"> o) ori prestarea unuia (uneia) sau mai multora dintre serviciile sau activitățile enumerate în </w:t>
            </w:r>
            <w:r w:rsidR="00FD161F" w:rsidRPr="009E686F">
              <w:rPr>
                <w:rFonts w:ascii="Times New Roman" w:hAnsi="Times New Roman" w:cs="Times New Roman"/>
                <w:bCs/>
                <w:i/>
                <w:iCs/>
                <w:lang w:val="it-IT"/>
              </w:rPr>
              <w:t xml:space="preserve">art. 9 </w:t>
            </w:r>
            <w:r w:rsidRPr="009E686F">
              <w:rPr>
                <w:rFonts w:ascii="Times New Roman" w:hAnsi="Times New Roman" w:cs="Times New Roman"/>
                <w:bCs/>
                <w:i/>
                <w:iCs/>
                <w:lang w:val="it-IT"/>
              </w:rPr>
              <w:t xml:space="preserve">din Legea </w:t>
            </w:r>
            <w:r w:rsidR="00FD161F" w:rsidRPr="009E686F">
              <w:rPr>
                <w:rFonts w:ascii="Times New Roman" w:hAnsi="Times New Roman" w:cs="Times New Roman"/>
                <w:i/>
                <w:iCs/>
                <w:lang w:val="it-IT"/>
              </w:rPr>
              <w:t xml:space="preserve"> </w:t>
            </w:r>
            <w:r w:rsidR="00CD2DD7" w:rsidRPr="009E686F">
              <w:rPr>
                <w:rFonts w:ascii="Times New Roman" w:hAnsi="Times New Roman" w:cs="Times New Roman"/>
                <w:i/>
                <w:iCs/>
                <w:lang w:val="it-IT"/>
              </w:rPr>
              <w:t>nr. 181/2026</w:t>
            </w:r>
            <w:r w:rsidR="00CD2DD7" w:rsidRPr="009E686F">
              <w:rPr>
                <w:rFonts w:ascii="Times New Roman" w:hAnsi="Times New Roman" w:cs="Times New Roman"/>
                <w:lang w:val="it-IT"/>
              </w:rPr>
              <w:t xml:space="preserve"> </w:t>
            </w:r>
            <w:r w:rsidRPr="009E686F">
              <w:rPr>
                <w:rFonts w:ascii="Times New Roman" w:hAnsi="Times New Roman" w:cs="Times New Roman"/>
                <w:bCs/>
                <w:i/>
                <w:iCs/>
                <w:lang w:val="it-IT"/>
              </w:rPr>
              <w:t xml:space="preserve">în legătură cu instrumentele financiare enumerate în </w:t>
            </w:r>
            <w:r w:rsidR="00FD161F" w:rsidRPr="009E686F">
              <w:rPr>
                <w:rFonts w:ascii="Times New Roman" w:hAnsi="Times New Roman" w:cs="Times New Roman"/>
                <w:bCs/>
                <w:i/>
                <w:iCs/>
                <w:lang w:val="it-IT"/>
              </w:rPr>
              <w:t xml:space="preserve">art. 5 </w:t>
            </w:r>
            <w:r w:rsidRPr="009E686F">
              <w:rPr>
                <w:rFonts w:ascii="Times New Roman" w:hAnsi="Times New Roman" w:cs="Times New Roman"/>
                <w:bCs/>
                <w:i/>
                <w:iCs/>
                <w:lang w:val="it-IT"/>
              </w:rPr>
              <w:t xml:space="preserve">din Legea </w:t>
            </w:r>
            <w:r w:rsidR="00CD2DD7" w:rsidRPr="009E686F">
              <w:rPr>
                <w:rFonts w:ascii="Times New Roman" w:hAnsi="Times New Roman" w:cs="Times New Roman"/>
                <w:bCs/>
                <w:i/>
                <w:iCs/>
                <w:lang w:val="it-IT"/>
              </w:rPr>
              <w:t>nr. 181/2026</w:t>
            </w:r>
            <w:r w:rsidRPr="009E686F">
              <w:rPr>
                <w:rFonts w:ascii="Times New Roman" w:hAnsi="Times New Roman" w:cs="Times New Roman"/>
                <w:bCs/>
                <w:i/>
                <w:iCs/>
                <w:lang w:val="it-IT"/>
              </w:rPr>
              <w:t>;</w:t>
            </w:r>
          </w:p>
          <w:p w14:paraId="01DDF5D8" w14:textId="6FDC7269" w:rsidR="00F8180E" w:rsidRPr="009E686F" w:rsidRDefault="00F8180E" w:rsidP="00ED2C1C">
            <w:pPr>
              <w:spacing w:after="0"/>
              <w:jc w:val="both"/>
              <w:rPr>
                <w:rFonts w:ascii="Times New Roman" w:hAnsi="Times New Roman" w:cs="Times New Roman"/>
                <w:bCs/>
                <w:lang w:val="it-IT"/>
              </w:rPr>
            </w:pPr>
            <w:r w:rsidRPr="009E686F">
              <w:rPr>
                <w:rFonts w:ascii="Times New Roman" w:hAnsi="Times New Roman" w:cs="Times New Roman"/>
                <w:bCs/>
                <w:i/>
                <w:iCs/>
                <w:lang w:val="it-IT"/>
              </w:rPr>
              <w:t xml:space="preserve">(ii) întreprinderea este o </w:t>
            </w:r>
            <w:r w:rsidR="00A502F1" w:rsidRPr="009E686F">
              <w:rPr>
                <w:rFonts w:ascii="Times New Roman" w:hAnsi="Times New Roman" w:cs="Times New Roman"/>
                <w:bCs/>
                <w:i/>
                <w:iCs/>
                <w:lang w:val="it-IT"/>
              </w:rPr>
              <w:t xml:space="preserve">firmă </w:t>
            </w:r>
            <w:r w:rsidRPr="009E686F">
              <w:rPr>
                <w:rFonts w:ascii="Times New Roman" w:hAnsi="Times New Roman" w:cs="Times New Roman"/>
                <w:bCs/>
                <w:i/>
                <w:iCs/>
                <w:lang w:val="it-IT"/>
              </w:rPr>
              <w:t xml:space="preserve">de investiții, o societate financiară holding mixtă, o societate de investiții holding, un prestator de servicii de plată enumerat la art. 5 alin. (1) lit. </w:t>
            </w:r>
            <w:r w:rsidR="00A502F1" w:rsidRPr="009E686F">
              <w:rPr>
                <w:rFonts w:ascii="Times New Roman" w:hAnsi="Times New Roman" w:cs="Times New Roman"/>
                <w:bCs/>
                <w:i/>
                <w:iCs/>
                <w:lang w:val="it-IT"/>
              </w:rPr>
              <w:t>b</w:t>
            </w:r>
            <w:r w:rsidRPr="009E686F">
              <w:rPr>
                <w:rFonts w:ascii="Times New Roman" w:hAnsi="Times New Roman" w:cs="Times New Roman"/>
                <w:bCs/>
                <w:i/>
                <w:iCs/>
                <w:lang w:val="it-IT"/>
              </w:rPr>
              <w:t>)-d) din Legea nr. 114/2012 cu privire la serviciile de plată și moned</w:t>
            </w:r>
            <w:r w:rsidR="00A502F1" w:rsidRPr="009E686F">
              <w:rPr>
                <w:rFonts w:ascii="Times New Roman" w:hAnsi="Times New Roman" w:cs="Times New Roman"/>
                <w:bCs/>
                <w:i/>
                <w:iCs/>
                <w:lang w:val="it-IT"/>
              </w:rPr>
              <w:t>a</w:t>
            </w:r>
            <w:r w:rsidRPr="009E686F">
              <w:rPr>
                <w:rFonts w:ascii="Times New Roman" w:hAnsi="Times New Roman" w:cs="Times New Roman"/>
                <w:bCs/>
                <w:i/>
                <w:iCs/>
                <w:lang w:val="it-IT"/>
              </w:rPr>
              <w:t xml:space="preserve"> electronică, o societate de administrare a activelor sau o întreprindere prestatoare de servicii auxiliare;</w:t>
            </w:r>
          </w:p>
        </w:tc>
        <w:tc>
          <w:tcPr>
            <w:tcW w:w="470" w:type="pct"/>
            <w:tcBorders>
              <w:top w:val="single" w:sz="4" w:space="0" w:color="auto"/>
              <w:left w:val="single" w:sz="4" w:space="0" w:color="auto"/>
              <w:bottom w:val="single" w:sz="4" w:space="0" w:color="auto"/>
              <w:right w:val="single" w:sz="4" w:space="0" w:color="auto"/>
            </w:tcBorders>
          </w:tcPr>
          <w:p w14:paraId="01CCDD52" w14:textId="2EDE5475" w:rsidR="00F8180E" w:rsidRPr="009E686F" w:rsidRDefault="00FF0B75" w:rsidP="00F8180E">
            <w:pPr>
              <w:jc w:val="both"/>
              <w:rPr>
                <w:rFonts w:ascii="Times New Roman" w:hAnsi="Times New Roman" w:cs="Times New Roman"/>
              </w:rPr>
            </w:pPr>
            <w:r w:rsidRPr="009E686F">
              <w:rPr>
                <w:rFonts w:ascii="Times New Roman" w:hAnsi="Times New Roman" w:cs="Times New Roman"/>
              </w:rPr>
              <w:t>C</w:t>
            </w:r>
            <w:r w:rsidR="00F8180E" w:rsidRPr="009E686F">
              <w:rPr>
                <w:rFonts w:ascii="Times New Roman" w:hAnsi="Times New Roman" w:cs="Times New Roman"/>
              </w:rPr>
              <w:t>ompatibil</w:t>
            </w:r>
          </w:p>
        </w:tc>
        <w:tc>
          <w:tcPr>
            <w:tcW w:w="806" w:type="pct"/>
            <w:tcBorders>
              <w:top w:val="single" w:sz="4" w:space="0" w:color="auto"/>
              <w:left w:val="single" w:sz="4" w:space="0" w:color="auto"/>
              <w:bottom w:val="single" w:sz="4" w:space="0" w:color="auto"/>
              <w:right w:val="single" w:sz="4" w:space="0" w:color="auto"/>
            </w:tcBorders>
          </w:tcPr>
          <w:p w14:paraId="3B2CFE6A" w14:textId="3B150624" w:rsidR="00F8180E" w:rsidRPr="009E686F" w:rsidRDefault="00F8180E" w:rsidP="00515783">
            <w:pPr>
              <w:spacing w:after="0"/>
              <w:jc w:val="both"/>
              <w:rPr>
                <w:rFonts w:ascii="Times New Roman" w:hAnsi="Times New Roman" w:cs="Times New Roman"/>
              </w:rPr>
            </w:pPr>
          </w:p>
        </w:tc>
      </w:tr>
      <w:tr w:rsidR="00B30AFC" w:rsidRPr="009E686F" w14:paraId="291A5FB9" w14:textId="6D729FA8" w:rsidTr="00960C23">
        <w:tc>
          <w:tcPr>
            <w:tcW w:w="1890" w:type="pct"/>
            <w:tcBorders>
              <w:top w:val="single" w:sz="4" w:space="0" w:color="auto"/>
              <w:left w:val="single" w:sz="4" w:space="0" w:color="auto"/>
              <w:bottom w:val="single" w:sz="4" w:space="0" w:color="auto"/>
              <w:right w:val="single" w:sz="4" w:space="0" w:color="auto"/>
            </w:tcBorders>
          </w:tcPr>
          <w:p w14:paraId="26164B11" w14:textId="35224878" w:rsidR="00F8180E" w:rsidRPr="009E686F" w:rsidRDefault="00F8180E" w:rsidP="00ED2C1C">
            <w:pPr>
              <w:spacing w:after="0"/>
              <w:jc w:val="both"/>
              <w:rPr>
                <w:rFonts w:ascii="Times New Roman" w:hAnsi="Times New Roman" w:cs="Times New Roman"/>
                <w:lang w:val="it-CH"/>
              </w:rPr>
            </w:pPr>
            <w:r w:rsidRPr="009E686F">
              <w:rPr>
                <w:rFonts w:ascii="Times New Roman" w:hAnsi="Times New Roman" w:cs="Times New Roman"/>
                <w:lang w:val="it-CH"/>
              </w:rPr>
              <w:t>23. "entitate din sectorul financiar" înseamnă o entitate din sectorul financiar astfel cum este definită la articolul 4 alineatul (1) punctul 27 din Regulamentul (UE) nr. 575/2013;</w:t>
            </w:r>
          </w:p>
        </w:tc>
        <w:tc>
          <w:tcPr>
            <w:tcW w:w="1834" w:type="pct"/>
            <w:tcBorders>
              <w:top w:val="single" w:sz="4" w:space="0" w:color="auto"/>
              <w:left w:val="single" w:sz="4" w:space="0" w:color="auto"/>
              <w:bottom w:val="single" w:sz="4" w:space="0" w:color="auto"/>
              <w:right w:val="single" w:sz="4" w:space="0" w:color="auto"/>
            </w:tcBorders>
          </w:tcPr>
          <w:p w14:paraId="098CC8EF" w14:textId="285D816B" w:rsidR="00F8180E" w:rsidRPr="009E686F" w:rsidRDefault="00F8180E" w:rsidP="00ED2C1C">
            <w:pPr>
              <w:spacing w:after="0"/>
              <w:jc w:val="both"/>
              <w:rPr>
                <w:rFonts w:ascii="Times New Roman" w:hAnsi="Times New Roman" w:cs="Times New Roman"/>
                <w:lang w:val="it-CH"/>
              </w:rPr>
            </w:pPr>
            <w:r w:rsidRPr="009E686F">
              <w:rPr>
                <w:rFonts w:ascii="Times New Roman" w:hAnsi="Times New Roman" w:cs="Times New Roman"/>
                <w:bCs/>
                <w:i/>
                <w:iCs/>
                <w:lang w:val="it-CH"/>
              </w:rPr>
              <w:t>entitate din sectorul financiar</w:t>
            </w:r>
            <w:r w:rsidRPr="009E686F">
              <w:rPr>
                <w:rFonts w:ascii="Times New Roman" w:hAnsi="Times New Roman" w:cs="Times New Roman"/>
                <w:b/>
                <w:lang w:val="it-CH"/>
              </w:rPr>
              <w:t xml:space="preserve"> </w:t>
            </w:r>
            <w:r w:rsidRPr="009E686F">
              <w:rPr>
                <w:rFonts w:ascii="Times New Roman" w:hAnsi="Times New Roman" w:cs="Times New Roman"/>
                <w:lang w:val="it-CH"/>
              </w:rPr>
              <w:t>– oricare dintre următoarele:</w:t>
            </w:r>
          </w:p>
          <w:p w14:paraId="79051DD6" w14:textId="7F9F2B0E" w:rsidR="00F8180E" w:rsidRPr="009E686F" w:rsidRDefault="00F8180E" w:rsidP="00ED2C1C">
            <w:pPr>
              <w:pStyle w:val="af4"/>
              <w:numPr>
                <w:ilvl w:val="0"/>
                <w:numId w:val="11"/>
              </w:numPr>
              <w:spacing w:after="0"/>
              <w:jc w:val="both"/>
              <w:rPr>
                <w:rFonts w:ascii="Times New Roman" w:hAnsi="Times New Roman" w:cs="Times New Roman"/>
              </w:rPr>
            </w:pPr>
            <w:r w:rsidRPr="009E686F">
              <w:rPr>
                <w:rFonts w:ascii="Times New Roman" w:hAnsi="Times New Roman" w:cs="Times New Roman"/>
              </w:rPr>
              <w:t xml:space="preserve">o </w:t>
            </w:r>
            <w:r w:rsidR="00A51A7D" w:rsidRPr="009E686F">
              <w:rPr>
                <w:rFonts w:ascii="Times New Roman" w:hAnsi="Times New Roman" w:cs="Times New Roman"/>
                <w:i/>
                <w:iCs/>
              </w:rPr>
              <w:t>instituție de credit</w:t>
            </w:r>
            <w:r w:rsidRPr="009E686F">
              <w:rPr>
                <w:rFonts w:ascii="Times New Roman" w:hAnsi="Times New Roman" w:cs="Times New Roman"/>
              </w:rPr>
              <w:t>;</w:t>
            </w:r>
          </w:p>
          <w:p w14:paraId="5456909A" w14:textId="771E1FAD" w:rsidR="00F8180E" w:rsidRPr="009E686F" w:rsidRDefault="00F8180E" w:rsidP="00ED2C1C">
            <w:pPr>
              <w:pStyle w:val="af4"/>
              <w:numPr>
                <w:ilvl w:val="0"/>
                <w:numId w:val="11"/>
              </w:numPr>
              <w:spacing w:after="0"/>
              <w:jc w:val="both"/>
              <w:rPr>
                <w:rFonts w:ascii="Times New Roman" w:hAnsi="Times New Roman" w:cs="Times New Roman"/>
              </w:rPr>
            </w:pPr>
            <w:r w:rsidRPr="009E686F">
              <w:rPr>
                <w:rFonts w:ascii="Times New Roman" w:hAnsi="Times New Roman" w:cs="Times New Roman"/>
              </w:rPr>
              <w:t xml:space="preserve">o </w:t>
            </w:r>
            <w:r w:rsidR="004B5DDC" w:rsidRPr="009E686F">
              <w:rPr>
                <w:rFonts w:ascii="Times New Roman" w:hAnsi="Times New Roman" w:cs="Times New Roman"/>
              </w:rPr>
              <w:t xml:space="preserve">firmă </w:t>
            </w:r>
            <w:r w:rsidRPr="009E686F">
              <w:rPr>
                <w:rFonts w:ascii="Times New Roman" w:hAnsi="Times New Roman" w:cs="Times New Roman"/>
              </w:rPr>
              <w:t>de investiții;</w:t>
            </w:r>
          </w:p>
          <w:p w14:paraId="17F65983" w14:textId="494747DD" w:rsidR="00F8180E" w:rsidRPr="009E686F" w:rsidRDefault="00F8180E" w:rsidP="00ED2C1C">
            <w:pPr>
              <w:pStyle w:val="af4"/>
              <w:numPr>
                <w:ilvl w:val="0"/>
                <w:numId w:val="11"/>
              </w:numPr>
              <w:spacing w:after="0"/>
              <w:jc w:val="both"/>
              <w:rPr>
                <w:rFonts w:ascii="Times New Roman" w:hAnsi="Times New Roman" w:cs="Times New Roman"/>
                <w:i/>
                <w:iCs/>
              </w:rPr>
            </w:pPr>
            <w:r w:rsidRPr="009E686F">
              <w:rPr>
                <w:rFonts w:ascii="Times New Roman" w:hAnsi="Times New Roman" w:cs="Times New Roman"/>
                <w:i/>
                <w:iCs/>
              </w:rPr>
              <w:t>o instituție financiară;</w:t>
            </w:r>
          </w:p>
          <w:p w14:paraId="4E5EA897" w14:textId="77777777" w:rsidR="008A2ED4" w:rsidRPr="009E686F" w:rsidRDefault="008A2ED4" w:rsidP="00ED2C1C">
            <w:pPr>
              <w:spacing w:after="0"/>
              <w:jc w:val="both"/>
              <w:rPr>
                <w:rFonts w:ascii="Times New Roman" w:hAnsi="Times New Roman" w:cs="Times New Roman"/>
                <w:lang w:val="it-IT"/>
              </w:rPr>
            </w:pPr>
            <w:r w:rsidRPr="009E686F">
              <w:rPr>
                <w:rFonts w:ascii="Times New Roman" w:hAnsi="Times New Roman" w:cs="Times New Roman"/>
                <w:lang w:val="it-IT"/>
              </w:rPr>
              <w:t>d) una asigurător;</w:t>
            </w:r>
          </w:p>
          <w:p w14:paraId="5984803C" w14:textId="21C24D4D" w:rsidR="00F8180E" w:rsidRPr="009E686F" w:rsidRDefault="00F8180E" w:rsidP="00ED2C1C">
            <w:pPr>
              <w:spacing w:after="0"/>
              <w:jc w:val="both"/>
              <w:rPr>
                <w:rFonts w:ascii="Times New Roman" w:hAnsi="Times New Roman" w:cs="Times New Roman"/>
                <w:lang w:val="it-IT"/>
              </w:rPr>
            </w:pPr>
            <w:r w:rsidRPr="009E686F">
              <w:rPr>
                <w:rFonts w:ascii="Times New Roman" w:hAnsi="Times New Roman" w:cs="Times New Roman"/>
                <w:lang w:val="it-IT"/>
              </w:rPr>
              <w:t>e) un asigurător</w:t>
            </w:r>
            <w:r w:rsidRPr="009E686F">
              <w:rPr>
                <w:rFonts w:ascii="Times New Roman" w:hAnsi="Times New Roman" w:cs="Times New Roman"/>
                <w:i/>
                <w:iCs/>
                <w:lang w:val="it-IT"/>
              </w:rPr>
              <w:t xml:space="preserve"> dintr-un stat terț</w:t>
            </w:r>
            <w:r w:rsidRPr="009E686F">
              <w:rPr>
                <w:rFonts w:ascii="Times New Roman" w:hAnsi="Times New Roman" w:cs="Times New Roman"/>
                <w:lang w:val="it-IT"/>
              </w:rPr>
              <w:t xml:space="preserve">; </w:t>
            </w:r>
          </w:p>
          <w:p w14:paraId="4B38638D" w14:textId="755E674A" w:rsidR="00F8180E" w:rsidRPr="009E686F" w:rsidRDefault="00F8180E" w:rsidP="00ED2C1C">
            <w:pPr>
              <w:spacing w:after="0"/>
              <w:jc w:val="both"/>
              <w:rPr>
                <w:rFonts w:ascii="Times New Roman" w:hAnsi="Times New Roman" w:cs="Times New Roman"/>
                <w:lang w:val="it-IT"/>
              </w:rPr>
            </w:pPr>
            <w:r w:rsidRPr="009E686F">
              <w:rPr>
                <w:rFonts w:ascii="Times New Roman" w:hAnsi="Times New Roman" w:cs="Times New Roman"/>
                <w:lang w:val="it-IT"/>
              </w:rPr>
              <w:t xml:space="preserve">f) un reasigurător; </w:t>
            </w:r>
          </w:p>
          <w:p w14:paraId="72554CE1" w14:textId="77F396CF" w:rsidR="00F8180E" w:rsidRPr="009E686F" w:rsidRDefault="008A2ED4" w:rsidP="00ED2C1C">
            <w:pPr>
              <w:spacing w:after="0"/>
              <w:jc w:val="both"/>
              <w:rPr>
                <w:rFonts w:ascii="Times New Roman" w:hAnsi="Times New Roman" w:cs="Times New Roman"/>
                <w:i/>
                <w:iCs/>
                <w:lang w:val="it-IT"/>
              </w:rPr>
            </w:pPr>
            <w:r w:rsidRPr="009E686F">
              <w:rPr>
                <w:rFonts w:ascii="Times New Roman" w:hAnsi="Times New Roman" w:cs="Times New Roman"/>
                <w:i/>
                <w:iCs/>
                <w:lang w:val="it-IT"/>
              </w:rPr>
              <w:t>g</w:t>
            </w:r>
            <w:r w:rsidR="00F8180E" w:rsidRPr="009E686F">
              <w:rPr>
                <w:rFonts w:ascii="Times New Roman" w:hAnsi="Times New Roman" w:cs="Times New Roman"/>
                <w:i/>
                <w:iCs/>
                <w:lang w:val="it-IT"/>
              </w:rPr>
              <w:t xml:space="preserve">) un reasigurător dintr-un stat terț;   </w:t>
            </w:r>
          </w:p>
          <w:p w14:paraId="0D1D7779" w14:textId="23E6E67F" w:rsidR="00F8180E" w:rsidRPr="009E686F" w:rsidRDefault="00F8180E" w:rsidP="00ED2C1C">
            <w:pPr>
              <w:spacing w:after="0"/>
              <w:jc w:val="both"/>
              <w:rPr>
                <w:rFonts w:ascii="Times New Roman" w:hAnsi="Times New Roman" w:cs="Times New Roman"/>
                <w:lang w:val="pt-BR"/>
              </w:rPr>
            </w:pPr>
            <w:r w:rsidRPr="009E686F">
              <w:rPr>
                <w:rFonts w:ascii="Times New Roman" w:hAnsi="Times New Roman" w:cs="Times New Roman"/>
                <w:lang w:val="pt-BR"/>
              </w:rPr>
              <w:lastRenderedPageBreak/>
              <w:t xml:space="preserve">h) o </w:t>
            </w:r>
            <w:r w:rsidR="00E8204D" w:rsidRPr="009E686F">
              <w:rPr>
                <w:rFonts w:ascii="Times New Roman" w:hAnsi="Times New Roman" w:cs="Times New Roman"/>
                <w:lang w:val="pt-BR"/>
              </w:rPr>
              <w:t xml:space="preserve">societate </w:t>
            </w:r>
            <w:r w:rsidRPr="009E686F">
              <w:rPr>
                <w:rFonts w:ascii="Times New Roman" w:hAnsi="Times New Roman" w:cs="Times New Roman"/>
                <w:lang w:val="pt-BR"/>
              </w:rPr>
              <w:t>holding de asigurare și o societățile holding de asigurare cu activitate mixtă;</w:t>
            </w:r>
          </w:p>
          <w:p w14:paraId="2759AB11" w14:textId="7260A65F" w:rsidR="00F8180E" w:rsidRPr="009E686F" w:rsidRDefault="008A2ED4" w:rsidP="00ED2C1C">
            <w:pPr>
              <w:spacing w:after="0"/>
              <w:jc w:val="both"/>
              <w:rPr>
                <w:rFonts w:ascii="Times New Roman" w:hAnsi="Times New Roman" w:cs="Times New Roman"/>
                <w:i/>
                <w:iCs/>
                <w:lang w:val="pt-BR"/>
              </w:rPr>
            </w:pPr>
            <w:r w:rsidRPr="009E686F">
              <w:rPr>
                <w:rFonts w:ascii="Times New Roman" w:hAnsi="Times New Roman" w:cs="Times New Roman"/>
                <w:i/>
                <w:iCs/>
                <w:vertAlign w:val="superscript"/>
                <w:lang w:val="pt-BR"/>
              </w:rPr>
              <w:t>i</w:t>
            </w:r>
            <w:r w:rsidR="00F8180E" w:rsidRPr="009E686F">
              <w:rPr>
                <w:rFonts w:ascii="Times New Roman" w:hAnsi="Times New Roman" w:cs="Times New Roman"/>
                <w:i/>
                <w:iCs/>
                <w:lang w:val="pt-BR"/>
              </w:rPr>
              <w:t xml:space="preserve">) </w:t>
            </w:r>
            <w:r w:rsidR="002A446B" w:rsidRPr="009E686F">
              <w:rPr>
                <w:rFonts w:ascii="Times New Roman" w:hAnsi="Times New Roman" w:cs="Times New Roman"/>
                <w:i/>
                <w:iCs/>
                <w:lang w:val="pt-BR"/>
              </w:rPr>
              <w:t>o societate de asigurare exclusă din domeniul de aplicare al actelor normative care transpun prevederile Directivei 2009/138/CE</w:t>
            </w:r>
            <w:r w:rsidR="00F8180E" w:rsidRPr="009E686F">
              <w:rPr>
                <w:rFonts w:ascii="Times New Roman" w:hAnsi="Times New Roman" w:cs="Times New Roman"/>
                <w:i/>
                <w:iCs/>
                <w:lang w:val="pt-BR"/>
              </w:rPr>
              <w:t xml:space="preserve">;  </w:t>
            </w:r>
          </w:p>
          <w:p w14:paraId="605C3371" w14:textId="00DB6EC5" w:rsidR="00F8180E" w:rsidRPr="009E686F" w:rsidRDefault="00F8180E" w:rsidP="00ED2C1C">
            <w:pPr>
              <w:spacing w:after="0"/>
              <w:jc w:val="both"/>
              <w:rPr>
                <w:rFonts w:ascii="Times New Roman" w:hAnsi="Times New Roman" w:cs="Times New Roman"/>
                <w:lang w:val="it-IT"/>
              </w:rPr>
            </w:pPr>
            <w:r w:rsidRPr="009E686F">
              <w:rPr>
                <w:rFonts w:ascii="Times New Roman" w:hAnsi="Times New Roman" w:cs="Times New Roman"/>
                <w:lang w:val="it-IT"/>
              </w:rPr>
              <w:t>i</w:t>
            </w:r>
            <w:r w:rsidR="008A2ED4" w:rsidRPr="009E686F">
              <w:rPr>
                <w:rFonts w:ascii="Times New Roman" w:hAnsi="Times New Roman" w:cs="Times New Roman"/>
                <w:lang w:val="it-IT"/>
              </w:rPr>
              <w:t>j</w:t>
            </w:r>
            <w:r w:rsidRPr="009E686F">
              <w:rPr>
                <w:rFonts w:ascii="Times New Roman" w:hAnsi="Times New Roman" w:cs="Times New Roman"/>
                <w:lang w:val="it-IT"/>
              </w:rPr>
              <w:t xml:space="preserve"> o întreprindere dintr-un  stat </w:t>
            </w:r>
            <w:r w:rsidRPr="009E686F">
              <w:rPr>
                <w:rFonts w:ascii="Times New Roman" w:hAnsi="Times New Roman" w:cs="Times New Roman"/>
                <w:i/>
                <w:iCs/>
                <w:lang w:val="it-IT"/>
              </w:rPr>
              <w:t>terț</w:t>
            </w:r>
            <w:r w:rsidRPr="009E686F">
              <w:rPr>
                <w:rFonts w:ascii="Times New Roman" w:hAnsi="Times New Roman" w:cs="Times New Roman"/>
                <w:lang w:val="it-IT"/>
              </w:rPr>
              <w:t xml:space="preserve"> cu activitate principală comparabilă cu a oricărei dintre entitățile menționate în cadrul definiției respective;</w:t>
            </w:r>
          </w:p>
        </w:tc>
        <w:tc>
          <w:tcPr>
            <w:tcW w:w="470" w:type="pct"/>
            <w:tcBorders>
              <w:top w:val="single" w:sz="4" w:space="0" w:color="auto"/>
              <w:left w:val="single" w:sz="4" w:space="0" w:color="auto"/>
              <w:bottom w:val="single" w:sz="4" w:space="0" w:color="auto"/>
              <w:right w:val="single" w:sz="4" w:space="0" w:color="auto"/>
            </w:tcBorders>
          </w:tcPr>
          <w:p w14:paraId="332EC23A" w14:textId="48B803E8" w:rsidR="00F8180E" w:rsidRPr="009E686F" w:rsidRDefault="00F8180E" w:rsidP="00F8180E">
            <w:pPr>
              <w:jc w:val="both"/>
              <w:rPr>
                <w:rFonts w:ascii="Times New Roman" w:hAnsi="Times New Roman" w:cs="Times New Roman"/>
              </w:rPr>
            </w:pPr>
            <w:r w:rsidRPr="009E686F">
              <w:rPr>
                <w:rFonts w:ascii="Times New Roman" w:hAnsi="Times New Roman" w:cs="Times New Roman"/>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4C2E5908" w14:textId="0DAAF535" w:rsidR="00F8180E" w:rsidRPr="009E686F" w:rsidRDefault="00BA1417" w:rsidP="00515783">
            <w:pPr>
              <w:spacing w:after="0"/>
              <w:jc w:val="both"/>
              <w:rPr>
                <w:rFonts w:ascii="Times New Roman" w:hAnsi="Times New Roman" w:cs="Times New Roman"/>
                <w:lang w:val="it-CH"/>
              </w:rPr>
            </w:pPr>
            <w:r w:rsidRPr="009E686F">
              <w:rPr>
                <w:rFonts w:ascii="Times New Roman" w:hAnsi="Times New Roman" w:cs="Times New Roman"/>
                <w:lang w:val="it-CH"/>
              </w:rPr>
              <w:t>Lit. h) – în vigoare de la data aderări.</w:t>
            </w:r>
          </w:p>
        </w:tc>
      </w:tr>
      <w:tr w:rsidR="00B30AFC" w:rsidRPr="009E686F" w14:paraId="267ADFE0" w14:textId="4CFC397B" w:rsidTr="00960C23">
        <w:tc>
          <w:tcPr>
            <w:tcW w:w="1890" w:type="pct"/>
            <w:tcBorders>
              <w:top w:val="single" w:sz="4" w:space="0" w:color="auto"/>
              <w:left w:val="single" w:sz="4" w:space="0" w:color="auto"/>
              <w:bottom w:val="single" w:sz="4" w:space="0" w:color="auto"/>
              <w:right w:val="single" w:sz="4" w:space="0" w:color="auto"/>
            </w:tcBorders>
          </w:tcPr>
          <w:p w14:paraId="1CC923CB" w14:textId="3E900E6C" w:rsidR="00F8180E" w:rsidRPr="009E686F" w:rsidRDefault="00F8180E" w:rsidP="00ED2C1C">
            <w:pPr>
              <w:spacing w:after="0"/>
              <w:jc w:val="both"/>
              <w:rPr>
                <w:rFonts w:ascii="Times New Roman" w:hAnsi="Times New Roman" w:cs="Times New Roman"/>
                <w:lang w:val="it-CH"/>
              </w:rPr>
            </w:pPr>
            <w:r w:rsidRPr="009E686F">
              <w:rPr>
                <w:rFonts w:ascii="Times New Roman" w:hAnsi="Times New Roman" w:cs="Times New Roman"/>
                <w:lang w:val="it-CH"/>
              </w:rPr>
              <w:t>24. "instituție-mamă dintr-un stat membru" înseamnă o instituție-mamă dintr-un stat membru astfel cum este definită la articolul 4 alineatul (1) punctul 28 din Regulamentul (UE) nr. 575/2013;</w:t>
            </w:r>
          </w:p>
        </w:tc>
        <w:tc>
          <w:tcPr>
            <w:tcW w:w="1834" w:type="pct"/>
            <w:tcBorders>
              <w:top w:val="single" w:sz="4" w:space="0" w:color="auto"/>
              <w:left w:val="single" w:sz="4" w:space="0" w:color="auto"/>
              <w:bottom w:val="single" w:sz="4" w:space="0" w:color="auto"/>
              <w:right w:val="single" w:sz="4" w:space="0" w:color="auto"/>
            </w:tcBorders>
          </w:tcPr>
          <w:p w14:paraId="60715694" w14:textId="29490536" w:rsidR="00F8180E" w:rsidRPr="009E686F" w:rsidRDefault="00F8180E" w:rsidP="00ED2C1C">
            <w:pPr>
              <w:spacing w:after="0"/>
              <w:jc w:val="both"/>
              <w:rPr>
                <w:rFonts w:ascii="Times New Roman" w:hAnsi="Times New Roman" w:cs="Times New Roman"/>
                <w:i/>
                <w:lang w:val="it-CH"/>
              </w:rPr>
            </w:pPr>
            <w:r w:rsidRPr="009E686F">
              <w:rPr>
                <w:rFonts w:ascii="Times New Roman" w:hAnsi="Times New Roman" w:cs="Times New Roman"/>
                <w:i/>
                <w:lang w:val="it-CH"/>
              </w:rPr>
              <w:t>instituție-mamă dintr-un stat membru –</w:t>
            </w:r>
            <w:r w:rsidR="002F0DD0" w:rsidRPr="009E686F">
              <w:rPr>
                <w:rFonts w:ascii="Times New Roman" w:hAnsi="Times New Roman" w:cs="Times New Roman"/>
                <w:i/>
                <w:lang w:val="it-CH"/>
              </w:rPr>
              <w:t xml:space="preserve"> o </w:t>
            </w:r>
            <w:r w:rsidR="00A51A7D" w:rsidRPr="009E686F">
              <w:rPr>
                <w:rFonts w:ascii="Times New Roman" w:hAnsi="Times New Roman" w:cs="Times New Roman"/>
                <w:i/>
                <w:lang w:val="it-CH"/>
              </w:rPr>
              <w:t>instituție de credit</w:t>
            </w:r>
            <w:r w:rsidR="002F0DD0" w:rsidRPr="009E686F">
              <w:rPr>
                <w:rFonts w:ascii="Times New Roman" w:hAnsi="Times New Roman" w:cs="Times New Roman"/>
                <w:i/>
                <w:lang w:val="it-CH"/>
              </w:rPr>
              <w:t xml:space="preserve"> dintr-un stat membru care are ca filială o </w:t>
            </w:r>
            <w:r w:rsidR="00A51A7D" w:rsidRPr="009E686F">
              <w:rPr>
                <w:rFonts w:ascii="Times New Roman" w:hAnsi="Times New Roman" w:cs="Times New Roman"/>
                <w:i/>
                <w:lang w:val="it-CH"/>
              </w:rPr>
              <w:t>instituție de credit</w:t>
            </w:r>
            <w:r w:rsidR="002F0DD0" w:rsidRPr="009E686F">
              <w:rPr>
                <w:rFonts w:ascii="Times New Roman" w:hAnsi="Times New Roman" w:cs="Times New Roman"/>
                <w:i/>
                <w:lang w:val="it-CH"/>
              </w:rPr>
              <w:t xml:space="preserve"> sau o instituţie financiară ori care deţine o participaţie într-o </w:t>
            </w:r>
            <w:r w:rsidR="00A51A7D" w:rsidRPr="009E686F">
              <w:rPr>
                <w:rFonts w:ascii="Times New Roman" w:hAnsi="Times New Roman" w:cs="Times New Roman"/>
                <w:i/>
                <w:lang w:val="it-CH"/>
              </w:rPr>
              <w:t>instituție de credit</w:t>
            </w:r>
            <w:r w:rsidR="002F0DD0" w:rsidRPr="009E686F">
              <w:rPr>
                <w:rFonts w:ascii="Times New Roman" w:hAnsi="Times New Roman" w:cs="Times New Roman"/>
                <w:i/>
                <w:lang w:val="it-CH"/>
              </w:rPr>
              <w:t xml:space="preserve"> sau o instituţie financiară și care nu este la rândul său o filială a unei alte </w:t>
            </w:r>
            <w:r w:rsidR="00A51A7D" w:rsidRPr="009E686F">
              <w:rPr>
                <w:rFonts w:ascii="Times New Roman" w:hAnsi="Times New Roman" w:cs="Times New Roman"/>
                <w:i/>
                <w:lang w:val="it-CH"/>
              </w:rPr>
              <w:t>instituții de credit</w:t>
            </w:r>
            <w:r w:rsidR="002F0DD0" w:rsidRPr="009E686F">
              <w:rPr>
                <w:rFonts w:ascii="Times New Roman" w:hAnsi="Times New Roman" w:cs="Times New Roman"/>
                <w:i/>
                <w:lang w:val="it-CH"/>
              </w:rPr>
              <w:t xml:space="preserve"> autorizate în același stat membru sau a unei societăţi financiare holding ori a unei societăţi financiare holding mixte înfiinţate în același stat membru</w:t>
            </w:r>
            <w:r w:rsidRPr="009E686F">
              <w:rPr>
                <w:rFonts w:ascii="Times New Roman" w:hAnsi="Times New Roman" w:cs="Times New Roman"/>
                <w:i/>
                <w:lang w:val="it-CH"/>
              </w:rPr>
              <w:t>;</w:t>
            </w:r>
          </w:p>
          <w:p w14:paraId="18A0FD6A" w14:textId="13FA401A" w:rsidR="00F8180E" w:rsidRPr="009E686F" w:rsidRDefault="00F8180E" w:rsidP="00ED2C1C">
            <w:pPr>
              <w:spacing w:after="0"/>
              <w:jc w:val="both"/>
              <w:rPr>
                <w:rFonts w:ascii="Times New Roman" w:hAnsi="Times New Roman" w:cs="Times New Roman"/>
                <w:lang w:val="it-CH"/>
              </w:rPr>
            </w:pPr>
            <w:r w:rsidRPr="009E686F">
              <w:rPr>
                <w:rFonts w:ascii="Times New Roman" w:hAnsi="Times New Roman" w:cs="Times New Roman"/>
                <w:i/>
                <w:lang w:val="it-CH"/>
              </w:rPr>
              <w:t>instituție-mamă   din Republica Moldova – instituție-mamă înființată în Republica Moldova care corespunde noțiunii de instituție-mamă dintr-un stat membru.</w:t>
            </w:r>
          </w:p>
        </w:tc>
        <w:tc>
          <w:tcPr>
            <w:tcW w:w="470" w:type="pct"/>
            <w:tcBorders>
              <w:top w:val="single" w:sz="4" w:space="0" w:color="auto"/>
              <w:left w:val="single" w:sz="4" w:space="0" w:color="auto"/>
              <w:bottom w:val="single" w:sz="4" w:space="0" w:color="auto"/>
              <w:right w:val="single" w:sz="4" w:space="0" w:color="auto"/>
            </w:tcBorders>
          </w:tcPr>
          <w:p w14:paraId="140DF73F" w14:textId="23CD5A4A" w:rsidR="00F8180E" w:rsidRPr="009E686F" w:rsidRDefault="003F5415" w:rsidP="00F8180E">
            <w:pPr>
              <w:jc w:val="both"/>
              <w:rPr>
                <w:rFonts w:ascii="Times New Roman" w:hAnsi="Times New Roman" w:cs="Times New Roman"/>
              </w:rPr>
            </w:pPr>
            <w:r w:rsidRPr="009E686F">
              <w:rPr>
                <w:rFonts w:ascii="Times New Roman" w:hAnsi="Times New Roman" w:cs="Times New Roman"/>
              </w:rPr>
              <w:t xml:space="preserve">Compatibil </w:t>
            </w:r>
          </w:p>
        </w:tc>
        <w:tc>
          <w:tcPr>
            <w:tcW w:w="806" w:type="pct"/>
            <w:tcBorders>
              <w:top w:val="single" w:sz="4" w:space="0" w:color="auto"/>
              <w:left w:val="single" w:sz="4" w:space="0" w:color="auto"/>
              <w:bottom w:val="single" w:sz="4" w:space="0" w:color="auto"/>
              <w:right w:val="single" w:sz="4" w:space="0" w:color="auto"/>
            </w:tcBorders>
          </w:tcPr>
          <w:p w14:paraId="73267C49" w14:textId="477817BC" w:rsidR="00F8180E" w:rsidRPr="009E686F" w:rsidRDefault="00F8180E" w:rsidP="00515783">
            <w:pPr>
              <w:spacing w:after="0"/>
              <w:jc w:val="both"/>
              <w:rPr>
                <w:rFonts w:ascii="Times New Roman" w:hAnsi="Times New Roman" w:cs="Times New Roman"/>
              </w:rPr>
            </w:pPr>
          </w:p>
        </w:tc>
      </w:tr>
      <w:tr w:rsidR="00B30AFC" w:rsidRPr="009E686F" w14:paraId="09E090AA" w14:textId="4AFDDBD3" w:rsidTr="00960C23">
        <w:tc>
          <w:tcPr>
            <w:tcW w:w="1890" w:type="pct"/>
            <w:tcBorders>
              <w:top w:val="single" w:sz="4" w:space="0" w:color="auto"/>
              <w:left w:val="single" w:sz="4" w:space="0" w:color="auto"/>
              <w:bottom w:val="single" w:sz="4" w:space="0" w:color="auto"/>
              <w:right w:val="single" w:sz="4" w:space="0" w:color="auto"/>
            </w:tcBorders>
          </w:tcPr>
          <w:p w14:paraId="2C210EF7" w14:textId="2D6897D4" w:rsidR="00F8180E" w:rsidRPr="009E686F" w:rsidRDefault="00F8180E" w:rsidP="00ED2C1C">
            <w:pPr>
              <w:spacing w:after="0"/>
              <w:jc w:val="both"/>
              <w:rPr>
                <w:rFonts w:ascii="Times New Roman" w:hAnsi="Times New Roman" w:cs="Times New Roman"/>
                <w:lang w:val="it-CH"/>
              </w:rPr>
            </w:pPr>
            <w:r w:rsidRPr="009E686F">
              <w:rPr>
                <w:rFonts w:ascii="Times New Roman" w:hAnsi="Times New Roman" w:cs="Times New Roman"/>
                <w:lang w:val="it-CH"/>
              </w:rPr>
              <w:t>25. "instituție-mamă din UE" înseamnă o instituție-mamă din UE astfel cum este definită la articolul 4 alineatul (1) punctul 29 din Regulamentul (UE) nr. 575/2013;</w:t>
            </w:r>
          </w:p>
        </w:tc>
        <w:tc>
          <w:tcPr>
            <w:tcW w:w="1834" w:type="pct"/>
            <w:tcBorders>
              <w:top w:val="single" w:sz="4" w:space="0" w:color="auto"/>
              <w:left w:val="single" w:sz="4" w:space="0" w:color="auto"/>
              <w:bottom w:val="single" w:sz="4" w:space="0" w:color="auto"/>
              <w:right w:val="single" w:sz="4" w:space="0" w:color="auto"/>
            </w:tcBorders>
          </w:tcPr>
          <w:p w14:paraId="60BFCC13" w14:textId="7D35308A" w:rsidR="00F8180E" w:rsidRPr="009E686F" w:rsidRDefault="00F8180E" w:rsidP="00ED2C1C">
            <w:pPr>
              <w:spacing w:after="0"/>
              <w:jc w:val="both"/>
              <w:rPr>
                <w:rFonts w:ascii="Times New Roman" w:hAnsi="Times New Roman" w:cs="Times New Roman"/>
                <w:i/>
                <w:lang w:val="it-CH"/>
              </w:rPr>
            </w:pPr>
            <w:r w:rsidRPr="009E686F">
              <w:rPr>
                <w:rFonts w:ascii="Times New Roman" w:hAnsi="Times New Roman" w:cs="Times New Roman"/>
                <w:i/>
                <w:lang w:val="it-CH"/>
              </w:rPr>
              <w:t xml:space="preserve">instituţie-mamă din </w:t>
            </w:r>
            <w:r w:rsidR="00A502F1" w:rsidRPr="009E686F">
              <w:rPr>
                <w:rFonts w:ascii="Times New Roman" w:hAnsi="Times New Roman" w:cs="Times New Roman"/>
                <w:i/>
                <w:lang w:val="it-CH"/>
              </w:rPr>
              <w:t xml:space="preserve">UE </w:t>
            </w:r>
            <w:r w:rsidRPr="009E686F">
              <w:rPr>
                <w:rFonts w:ascii="Times New Roman" w:hAnsi="Times New Roman" w:cs="Times New Roman"/>
                <w:i/>
                <w:lang w:val="it-CH"/>
              </w:rPr>
              <w:t xml:space="preserve">– o </w:t>
            </w:r>
            <w:r w:rsidR="00A51A7D" w:rsidRPr="009E686F">
              <w:rPr>
                <w:rFonts w:ascii="Times New Roman" w:hAnsi="Times New Roman" w:cs="Times New Roman"/>
                <w:i/>
                <w:lang w:val="it-CH"/>
              </w:rPr>
              <w:t>instituție de credit</w:t>
            </w:r>
            <w:r w:rsidRPr="009E686F">
              <w:rPr>
                <w:rFonts w:ascii="Times New Roman" w:hAnsi="Times New Roman" w:cs="Times New Roman"/>
                <w:i/>
                <w:lang w:val="it-CH"/>
              </w:rPr>
              <w:t xml:space="preserve">-mamă dintr-un stat membru care nu este filială a unei alte </w:t>
            </w:r>
            <w:r w:rsidR="00A51A7D" w:rsidRPr="009E686F">
              <w:rPr>
                <w:rFonts w:ascii="Times New Roman" w:hAnsi="Times New Roman" w:cs="Times New Roman"/>
                <w:i/>
                <w:lang w:val="it-CH"/>
              </w:rPr>
              <w:t>instituții de credit</w:t>
            </w:r>
            <w:r w:rsidRPr="009E686F">
              <w:rPr>
                <w:rFonts w:ascii="Times New Roman" w:hAnsi="Times New Roman" w:cs="Times New Roman"/>
                <w:i/>
                <w:lang w:val="it-CH"/>
              </w:rPr>
              <w:t xml:space="preserve"> autorizate în orice stat membru sau a unei societăţi financiare holding sau societăţi financiare holding mixte înfiinţate în orice stat membru</w:t>
            </w:r>
            <w:r w:rsidR="004312A8" w:rsidRPr="009E686F">
              <w:rPr>
                <w:rFonts w:ascii="Times New Roman" w:hAnsi="Times New Roman" w:cs="Times New Roman"/>
                <w:i/>
                <w:lang w:val="it-CH"/>
              </w:rPr>
              <w:t>.</w:t>
            </w:r>
          </w:p>
        </w:tc>
        <w:tc>
          <w:tcPr>
            <w:tcW w:w="470" w:type="pct"/>
            <w:tcBorders>
              <w:top w:val="single" w:sz="4" w:space="0" w:color="auto"/>
              <w:left w:val="single" w:sz="4" w:space="0" w:color="auto"/>
              <w:bottom w:val="single" w:sz="4" w:space="0" w:color="auto"/>
              <w:right w:val="single" w:sz="4" w:space="0" w:color="auto"/>
            </w:tcBorders>
          </w:tcPr>
          <w:p w14:paraId="14AA0F1F" w14:textId="35BF5D3B" w:rsidR="00F8180E" w:rsidRPr="009E686F" w:rsidRDefault="00F8180E" w:rsidP="00F8180E">
            <w:pPr>
              <w:jc w:val="both"/>
              <w:rPr>
                <w:rFonts w:ascii="Times New Roman" w:hAnsi="Times New Roman" w:cs="Times New Roman"/>
              </w:rPr>
            </w:pPr>
            <w:r w:rsidRPr="009E686F">
              <w:rPr>
                <w:rFonts w:ascii="Times New Roman" w:hAnsi="Times New Roman" w:cs="Times New Roman"/>
              </w:rPr>
              <w:t xml:space="preserve">Compatibil </w:t>
            </w:r>
          </w:p>
        </w:tc>
        <w:tc>
          <w:tcPr>
            <w:tcW w:w="806" w:type="pct"/>
            <w:tcBorders>
              <w:top w:val="single" w:sz="4" w:space="0" w:color="auto"/>
              <w:left w:val="single" w:sz="4" w:space="0" w:color="auto"/>
              <w:bottom w:val="single" w:sz="4" w:space="0" w:color="auto"/>
              <w:right w:val="single" w:sz="4" w:space="0" w:color="auto"/>
            </w:tcBorders>
          </w:tcPr>
          <w:p w14:paraId="3904D809" w14:textId="25540EFF" w:rsidR="00F8180E" w:rsidRPr="009E686F" w:rsidRDefault="00F8180E" w:rsidP="00515783">
            <w:pPr>
              <w:spacing w:after="0"/>
              <w:jc w:val="both"/>
              <w:rPr>
                <w:rFonts w:ascii="Times New Roman" w:hAnsi="Times New Roman" w:cs="Times New Roman"/>
              </w:rPr>
            </w:pPr>
          </w:p>
        </w:tc>
      </w:tr>
      <w:tr w:rsidR="00B30AFC" w:rsidRPr="009E686F" w14:paraId="2BB98776" w14:textId="43C144D7" w:rsidTr="00960C23">
        <w:tc>
          <w:tcPr>
            <w:tcW w:w="1890" w:type="pct"/>
            <w:tcBorders>
              <w:top w:val="single" w:sz="4" w:space="0" w:color="auto"/>
              <w:left w:val="single" w:sz="4" w:space="0" w:color="auto"/>
              <w:bottom w:val="single" w:sz="4" w:space="0" w:color="auto"/>
              <w:right w:val="single" w:sz="4" w:space="0" w:color="auto"/>
            </w:tcBorders>
          </w:tcPr>
          <w:p w14:paraId="1C5A8E75" w14:textId="5ABA97A4" w:rsidR="00F8180E" w:rsidRPr="009E686F" w:rsidRDefault="00F8180E" w:rsidP="00ED2C1C">
            <w:pPr>
              <w:spacing w:after="0"/>
              <w:jc w:val="both"/>
              <w:rPr>
                <w:rFonts w:ascii="Times New Roman" w:hAnsi="Times New Roman" w:cs="Times New Roman"/>
                <w:lang w:val="it-CH"/>
              </w:rPr>
            </w:pPr>
            <w:r w:rsidRPr="009E686F">
              <w:rPr>
                <w:rFonts w:ascii="Times New Roman" w:hAnsi="Times New Roman" w:cs="Times New Roman"/>
                <w:lang w:val="it-CH"/>
              </w:rPr>
              <w:t>26. "societate financiară holding-mamă dintr-un stat membru" înseamnă societate financiară holding-mamă dintr-un stat membru astfel cum este definită la articolul 4 alineatul (1) punctul 30 din Regulamentul (UE) nr. 575/2013;</w:t>
            </w:r>
          </w:p>
        </w:tc>
        <w:tc>
          <w:tcPr>
            <w:tcW w:w="1834" w:type="pct"/>
            <w:tcBorders>
              <w:top w:val="single" w:sz="4" w:space="0" w:color="auto"/>
              <w:left w:val="single" w:sz="4" w:space="0" w:color="auto"/>
              <w:bottom w:val="single" w:sz="4" w:space="0" w:color="auto"/>
              <w:right w:val="single" w:sz="4" w:space="0" w:color="auto"/>
            </w:tcBorders>
          </w:tcPr>
          <w:p w14:paraId="034F4B4E" w14:textId="3AAEA54E" w:rsidR="00F8180E" w:rsidRPr="009E686F" w:rsidRDefault="00F8180E" w:rsidP="00ED2C1C">
            <w:pPr>
              <w:spacing w:after="0"/>
              <w:jc w:val="both"/>
              <w:rPr>
                <w:rFonts w:ascii="Times New Roman" w:hAnsi="Times New Roman" w:cs="Times New Roman"/>
                <w:i/>
                <w:lang w:val="it-CH"/>
              </w:rPr>
            </w:pPr>
            <w:r w:rsidRPr="009E686F">
              <w:rPr>
                <w:rFonts w:ascii="Times New Roman" w:hAnsi="Times New Roman" w:cs="Times New Roman"/>
                <w:i/>
                <w:lang w:val="it-CH"/>
              </w:rPr>
              <w:t xml:space="preserve">societate financiară holding-mamă dintr-un stat membru – o societate financiară holding care nu este la rândul său o filială a unei alte </w:t>
            </w:r>
            <w:r w:rsidR="00A51A7D" w:rsidRPr="009E686F">
              <w:rPr>
                <w:rFonts w:ascii="Times New Roman" w:hAnsi="Times New Roman" w:cs="Times New Roman"/>
                <w:i/>
                <w:lang w:val="it-CH"/>
              </w:rPr>
              <w:t>instituții de credit</w:t>
            </w:r>
            <w:r w:rsidRPr="009E686F">
              <w:rPr>
                <w:rFonts w:ascii="Times New Roman" w:hAnsi="Times New Roman" w:cs="Times New Roman"/>
                <w:i/>
                <w:lang w:val="it-CH"/>
              </w:rPr>
              <w:t xml:space="preserve"> autorizate în același stat membru sau a unei societăţi financiare holding ori a unei societăţi financiare holding mixte înfiinţate în același stat membru;</w:t>
            </w:r>
          </w:p>
        </w:tc>
        <w:tc>
          <w:tcPr>
            <w:tcW w:w="470" w:type="pct"/>
            <w:tcBorders>
              <w:top w:val="single" w:sz="4" w:space="0" w:color="auto"/>
              <w:left w:val="single" w:sz="4" w:space="0" w:color="auto"/>
              <w:bottom w:val="single" w:sz="4" w:space="0" w:color="auto"/>
              <w:right w:val="single" w:sz="4" w:space="0" w:color="auto"/>
            </w:tcBorders>
          </w:tcPr>
          <w:p w14:paraId="7CA5D1BE" w14:textId="5D9B6654" w:rsidR="00F8180E" w:rsidRPr="009E686F" w:rsidRDefault="00DD6B85" w:rsidP="00F8180E">
            <w:pPr>
              <w:jc w:val="both"/>
              <w:rPr>
                <w:rFonts w:ascii="Times New Roman" w:hAnsi="Times New Roman" w:cs="Times New Roman"/>
                <w:lang w:val="it-CH"/>
              </w:rPr>
            </w:pPr>
            <w:r w:rsidRPr="009E686F">
              <w:rPr>
                <w:rFonts w:ascii="Times New Roman" w:hAnsi="Times New Roman" w:cs="Times New Roman"/>
                <w:lang w:val="it-CH"/>
              </w:rPr>
              <w:t>Compatibil</w:t>
            </w:r>
          </w:p>
        </w:tc>
        <w:tc>
          <w:tcPr>
            <w:tcW w:w="806" w:type="pct"/>
            <w:tcBorders>
              <w:top w:val="single" w:sz="4" w:space="0" w:color="auto"/>
              <w:left w:val="single" w:sz="4" w:space="0" w:color="auto"/>
              <w:bottom w:val="single" w:sz="4" w:space="0" w:color="auto"/>
              <w:right w:val="single" w:sz="4" w:space="0" w:color="auto"/>
            </w:tcBorders>
          </w:tcPr>
          <w:p w14:paraId="1408ABF5" w14:textId="0BB14116" w:rsidR="00F8180E" w:rsidRPr="009E686F" w:rsidRDefault="00FC6A0C" w:rsidP="00515783">
            <w:pPr>
              <w:spacing w:after="0"/>
              <w:jc w:val="both"/>
              <w:rPr>
                <w:rFonts w:ascii="Times New Roman" w:hAnsi="Times New Roman" w:cs="Times New Roman"/>
                <w:lang w:val="it-CH"/>
              </w:rPr>
            </w:pPr>
            <w:r w:rsidRPr="009E686F">
              <w:rPr>
                <w:rFonts w:ascii="Times New Roman" w:hAnsi="Times New Roman" w:cs="Times New Roman"/>
                <w:lang w:val="it-CH"/>
              </w:rPr>
              <w:t>În vigoare de la data aderării.</w:t>
            </w:r>
          </w:p>
        </w:tc>
      </w:tr>
      <w:tr w:rsidR="00B30AFC" w:rsidRPr="009E686F" w14:paraId="7AB79982" w14:textId="465C855E" w:rsidTr="00960C23">
        <w:tc>
          <w:tcPr>
            <w:tcW w:w="1890" w:type="pct"/>
            <w:tcBorders>
              <w:top w:val="single" w:sz="4" w:space="0" w:color="auto"/>
              <w:left w:val="single" w:sz="4" w:space="0" w:color="auto"/>
              <w:bottom w:val="single" w:sz="4" w:space="0" w:color="auto"/>
              <w:right w:val="single" w:sz="4" w:space="0" w:color="auto"/>
            </w:tcBorders>
          </w:tcPr>
          <w:p w14:paraId="00CB9AB4" w14:textId="1A77C95C" w:rsidR="00F8180E" w:rsidRPr="009E686F" w:rsidRDefault="00F8180E" w:rsidP="00ED2C1C">
            <w:pPr>
              <w:spacing w:after="0"/>
              <w:jc w:val="both"/>
              <w:rPr>
                <w:rFonts w:ascii="Times New Roman" w:hAnsi="Times New Roman" w:cs="Times New Roman"/>
                <w:lang w:val="it-CH"/>
              </w:rPr>
            </w:pPr>
            <w:r w:rsidRPr="009E686F">
              <w:rPr>
                <w:rFonts w:ascii="Times New Roman" w:hAnsi="Times New Roman" w:cs="Times New Roman"/>
                <w:lang w:val="it-CH"/>
              </w:rPr>
              <w:t xml:space="preserve">27. "societate financiară holding-mamă din UE" înseamnă societate financiară holding-mamă din UE astfel cum este </w:t>
            </w:r>
            <w:r w:rsidRPr="009E686F">
              <w:rPr>
                <w:rFonts w:ascii="Times New Roman" w:hAnsi="Times New Roman" w:cs="Times New Roman"/>
                <w:lang w:val="it-CH"/>
              </w:rPr>
              <w:lastRenderedPageBreak/>
              <w:t>definită la articolul 4 alineatul (1) punctul 31 din Regulamentul (UE) nr. 575/2013;</w:t>
            </w:r>
          </w:p>
        </w:tc>
        <w:tc>
          <w:tcPr>
            <w:tcW w:w="1834" w:type="pct"/>
            <w:tcBorders>
              <w:top w:val="single" w:sz="4" w:space="0" w:color="auto"/>
              <w:left w:val="single" w:sz="4" w:space="0" w:color="auto"/>
              <w:bottom w:val="single" w:sz="4" w:space="0" w:color="auto"/>
              <w:right w:val="single" w:sz="4" w:space="0" w:color="auto"/>
            </w:tcBorders>
          </w:tcPr>
          <w:p w14:paraId="2F8B8068" w14:textId="7C940814" w:rsidR="00F8180E" w:rsidRPr="009E686F" w:rsidRDefault="00F8180E" w:rsidP="00ED2C1C">
            <w:pPr>
              <w:spacing w:after="0"/>
              <w:jc w:val="both"/>
              <w:rPr>
                <w:rFonts w:ascii="Times New Roman" w:hAnsi="Times New Roman" w:cs="Times New Roman"/>
                <w:bCs/>
                <w:lang w:val="it-CH"/>
              </w:rPr>
            </w:pPr>
            <w:r w:rsidRPr="009E686F">
              <w:rPr>
                <w:rFonts w:ascii="Times New Roman" w:hAnsi="Times New Roman" w:cs="Times New Roman"/>
                <w:bCs/>
                <w:i/>
                <w:iCs/>
                <w:lang w:val="it-CH"/>
              </w:rPr>
              <w:lastRenderedPageBreak/>
              <w:t xml:space="preserve">societate financiară holding-mamă din </w:t>
            </w:r>
            <w:r w:rsidR="0006205E" w:rsidRPr="009E686F">
              <w:rPr>
                <w:rFonts w:ascii="Times New Roman" w:hAnsi="Times New Roman" w:cs="Times New Roman"/>
                <w:bCs/>
                <w:i/>
                <w:iCs/>
                <w:lang w:val="it-CH"/>
              </w:rPr>
              <w:t xml:space="preserve">UE </w:t>
            </w:r>
            <w:r w:rsidRPr="009E686F">
              <w:rPr>
                <w:rFonts w:ascii="Times New Roman" w:hAnsi="Times New Roman" w:cs="Times New Roman"/>
                <w:bCs/>
                <w:i/>
                <w:iCs/>
                <w:lang w:val="it-CH"/>
              </w:rPr>
              <w:t>–  societate</w:t>
            </w:r>
            <w:r w:rsidR="00306677" w:rsidRPr="009E686F">
              <w:rPr>
                <w:rFonts w:ascii="Times New Roman" w:hAnsi="Times New Roman" w:cs="Times New Roman"/>
                <w:bCs/>
                <w:i/>
                <w:iCs/>
                <w:lang w:val="it-CH"/>
              </w:rPr>
              <w:t xml:space="preserve"> financiară holding</w:t>
            </w:r>
            <w:r w:rsidRPr="009E686F">
              <w:rPr>
                <w:rFonts w:ascii="Times New Roman" w:hAnsi="Times New Roman" w:cs="Times New Roman"/>
                <w:bCs/>
                <w:i/>
                <w:iCs/>
                <w:lang w:val="it-CH"/>
              </w:rPr>
              <w:t>-mamă dintr-un</w:t>
            </w:r>
            <w:r w:rsidR="00E10A2A" w:rsidRPr="009E686F">
              <w:rPr>
                <w:rFonts w:ascii="Times New Roman" w:hAnsi="Times New Roman" w:cs="Times New Roman"/>
                <w:bCs/>
                <w:i/>
                <w:iCs/>
                <w:lang w:val="it-CH"/>
              </w:rPr>
              <w:t xml:space="preserve"> </w:t>
            </w:r>
            <w:r w:rsidRPr="009E686F">
              <w:rPr>
                <w:rFonts w:ascii="Times New Roman" w:hAnsi="Times New Roman" w:cs="Times New Roman"/>
                <w:bCs/>
                <w:i/>
                <w:iCs/>
                <w:lang w:val="it-CH"/>
              </w:rPr>
              <w:t xml:space="preserve">stat membru care nu este </w:t>
            </w:r>
            <w:r w:rsidRPr="009E686F">
              <w:rPr>
                <w:rFonts w:ascii="Times New Roman" w:hAnsi="Times New Roman" w:cs="Times New Roman"/>
                <w:bCs/>
                <w:i/>
                <w:iCs/>
                <w:lang w:val="it-CH"/>
              </w:rPr>
              <w:lastRenderedPageBreak/>
              <w:t xml:space="preserve">filială a unei alte </w:t>
            </w:r>
            <w:r w:rsidR="00A51A7D" w:rsidRPr="009E686F">
              <w:rPr>
                <w:rFonts w:ascii="Times New Roman" w:hAnsi="Times New Roman" w:cs="Times New Roman"/>
                <w:bCs/>
                <w:i/>
                <w:iCs/>
                <w:lang w:val="it-CH"/>
              </w:rPr>
              <w:t>instituții de credit</w:t>
            </w:r>
            <w:r w:rsidRPr="009E686F">
              <w:rPr>
                <w:rFonts w:ascii="Times New Roman" w:hAnsi="Times New Roman" w:cs="Times New Roman"/>
                <w:bCs/>
                <w:i/>
                <w:iCs/>
                <w:lang w:val="it-CH"/>
              </w:rPr>
              <w:t xml:space="preserve"> autorizate în orice stat membru sau a unei societăţi financiare holding sau societăţi financiare holding mixte înfiinţate în orice stat membru</w:t>
            </w:r>
            <w:r w:rsidR="004050D9" w:rsidRPr="009E686F">
              <w:rPr>
                <w:rFonts w:ascii="Times New Roman" w:hAnsi="Times New Roman" w:cs="Times New Roman"/>
                <w:bCs/>
                <w:i/>
                <w:iCs/>
                <w:lang w:val="it-CH"/>
              </w:rPr>
              <w:t>;</w:t>
            </w:r>
          </w:p>
        </w:tc>
        <w:tc>
          <w:tcPr>
            <w:tcW w:w="470" w:type="pct"/>
            <w:tcBorders>
              <w:top w:val="single" w:sz="4" w:space="0" w:color="auto"/>
              <w:left w:val="single" w:sz="4" w:space="0" w:color="auto"/>
              <w:bottom w:val="single" w:sz="4" w:space="0" w:color="auto"/>
              <w:right w:val="single" w:sz="4" w:space="0" w:color="auto"/>
            </w:tcBorders>
          </w:tcPr>
          <w:p w14:paraId="560879F1" w14:textId="0BE0E768" w:rsidR="00F8180E" w:rsidRPr="009E686F" w:rsidRDefault="00F8180E" w:rsidP="00F8180E">
            <w:pPr>
              <w:jc w:val="both"/>
              <w:rPr>
                <w:rFonts w:ascii="Times New Roman" w:hAnsi="Times New Roman" w:cs="Times New Roman"/>
              </w:rPr>
            </w:pPr>
            <w:r w:rsidRPr="009E686F">
              <w:rPr>
                <w:rFonts w:ascii="Times New Roman" w:hAnsi="Times New Roman" w:cs="Times New Roman"/>
              </w:rPr>
              <w:lastRenderedPageBreak/>
              <w:t xml:space="preserve">Compatibil </w:t>
            </w:r>
          </w:p>
        </w:tc>
        <w:tc>
          <w:tcPr>
            <w:tcW w:w="806" w:type="pct"/>
            <w:tcBorders>
              <w:top w:val="single" w:sz="4" w:space="0" w:color="auto"/>
              <w:left w:val="single" w:sz="4" w:space="0" w:color="auto"/>
              <w:bottom w:val="single" w:sz="4" w:space="0" w:color="auto"/>
              <w:right w:val="single" w:sz="4" w:space="0" w:color="auto"/>
            </w:tcBorders>
          </w:tcPr>
          <w:p w14:paraId="15C9D330" w14:textId="4A9A8F01" w:rsidR="00F8180E" w:rsidRPr="009E686F" w:rsidRDefault="00B47E64" w:rsidP="00515783">
            <w:pPr>
              <w:spacing w:after="0"/>
              <w:jc w:val="both"/>
              <w:rPr>
                <w:rFonts w:ascii="Times New Roman" w:hAnsi="Times New Roman" w:cs="Times New Roman"/>
                <w:lang w:val="it-CH"/>
              </w:rPr>
            </w:pPr>
            <w:r w:rsidRPr="009E686F">
              <w:rPr>
                <w:rFonts w:ascii="Times New Roman" w:hAnsi="Times New Roman" w:cs="Times New Roman"/>
                <w:lang w:val="it-CH"/>
              </w:rPr>
              <w:t>În vigoare de la data aderării.</w:t>
            </w:r>
          </w:p>
        </w:tc>
      </w:tr>
      <w:tr w:rsidR="00B30AFC" w:rsidRPr="009E686F" w14:paraId="3BD2D5A2" w14:textId="38BB9912" w:rsidTr="00960C23">
        <w:tc>
          <w:tcPr>
            <w:tcW w:w="1890" w:type="pct"/>
            <w:tcBorders>
              <w:top w:val="single" w:sz="4" w:space="0" w:color="auto"/>
              <w:left w:val="single" w:sz="4" w:space="0" w:color="auto"/>
              <w:bottom w:val="single" w:sz="4" w:space="0" w:color="auto"/>
              <w:right w:val="single" w:sz="4" w:space="0" w:color="auto"/>
            </w:tcBorders>
          </w:tcPr>
          <w:p w14:paraId="56BF3CCB" w14:textId="51A10BD4" w:rsidR="00F8180E" w:rsidRPr="009E686F" w:rsidRDefault="00F8180E" w:rsidP="00ED2C1C">
            <w:pPr>
              <w:spacing w:after="0"/>
              <w:jc w:val="both"/>
              <w:rPr>
                <w:rFonts w:ascii="Times New Roman" w:hAnsi="Times New Roman" w:cs="Times New Roman"/>
                <w:lang w:val="it-CH"/>
              </w:rPr>
            </w:pPr>
            <w:r w:rsidRPr="009E686F">
              <w:rPr>
                <w:rFonts w:ascii="Times New Roman" w:hAnsi="Times New Roman" w:cs="Times New Roman"/>
                <w:lang w:val="it-CH"/>
              </w:rPr>
              <w:t>28. "societate financiară holding mixtă-mamă dintr-un stat membru" înseamnă o societate financiară holding mixtă-mamă dintr-un stat membru astfel cum este definită la articolul 4 alineatul (1) punctul 32 din Regulamentul (UE) nr. 575/2013;</w:t>
            </w:r>
          </w:p>
        </w:tc>
        <w:tc>
          <w:tcPr>
            <w:tcW w:w="1834" w:type="pct"/>
            <w:tcBorders>
              <w:top w:val="single" w:sz="4" w:space="0" w:color="auto"/>
              <w:left w:val="single" w:sz="4" w:space="0" w:color="auto"/>
              <w:bottom w:val="single" w:sz="4" w:space="0" w:color="auto"/>
              <w:right w:val="single" w:sz="4" w:space="0" w:color="auto"/>
            </w:tcBorders>
          </w:tcPr>
          <w:p w14:paraId="75E77506" w14:textId="7C645E95" w:rsidR="00F8180E" w:rsidRPr="009E686F" w:rsidRDefault="00F8180E" w:rsidP="00ED2C1C">
            <w:pPr>
              <w:spacing w:after="0"/>
              <w:jc w:val="both"/>
              <w:rPr>
                <w:rFonts w:ascii="Times New Roman" w:hAnsi="Times New Roman" w:cs="Times New Roman"/>
                <w:bCs/>
                <w:lang w:val="it-CH"/>
              </w:rPr>
            </w:pPr>
            <w:r w:rsidRPr="009E686F">
              <w:rPr>
                <w:rFonts w:ascii="Times New Roman" w:hAnsi="Times New Roman" w:cs="Times New Roman"/>
                <w:bCs/>
                <w:i/>
                <w:iCs/>
                <w:lang w:val="it-CH"/>
              </w:rPr>
              <w:t xml:space="preserve">societate financiară holding mixtă-mamă dintr-un stat membru –  societate financiară holding mixtă care nu este la rândul său o filială a unei </w:t>
            </w:r>
            <w:r w:rsidR="00A51A7D" w:rsidRPr="009E686F">
              <w:rPr>
                <w:rFonts w:ascii="Times New Roman" w:hAnsi="Times New Roman" w:cs="Times New Roman"/>
                <w:bCs/>
                <w:i/>
                <w:iCs/>
                <w:lang w:val="it-CH"/>
              </w:rPr>
              <w:t>instituții de credit</w:t>
            </w:r>
            <w:r w:rsidRPr="009E686F">
              <w:rPr>
                <w:rFonts w:ascii="Times New Roman" w:hAnsi="Times New Roman" w:cs="Times New Roman"/>
                <w:bCs/>
                <w:i/>
                <w:iCs/>
                <w:lang w:val="it-CH"/>
              </w:rPr>
              <w:t xml:space="preserve"> autorizate în același stat membru sau a unei societăţi financiare holding sau societăţi financiare holding mixte înfiinţate în același stat membru;</w:t>
            </w:r>
          </w:p>
        </w:tc>
        <w:tc>
          <w:tcPr>
            <w:tcW w:w="470" w:type="pct"/>
            <w:tcBorders>
              <w:top w:val="single" w:sz="4" w:space="0" w:color="auto"/>
              <w:left w:val="single" w:sz="4" w:space="0" w:color="auto"/>
              <w:bottom w:val="single" w:sz="4" w:space="0" w:color="auto"/>
              <w:right w:val="single" w:sz="4" w:space="0" w:color="auto"/>
            </w:tcBorders>
          </w:tcPr>
          <w:p w14:paraId="57715F9B" w14:textId="629AF314" w:rsidR="00F8180E" w:rsidRPr="009E686F" w:rsidRDefault="003F5415" w:rsidP="00F8180E">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4B815626" w14:textId="6E2CBAAF" w:rsidR="00F8180E" w:rsidRPr="009E686F" w:rsidRDefault="009507E4" w:rsidP="00515783">
            <w:pPr>
              <w:spacing w:after="0"/>
              <w:jc w:val="both"/>
              <w:rPr>
                <w:rFonts w:ascii="Times New Roman" w:hAnsi="Times New Roman" w:cs="Times New Roman"/>
                <w:lang w:val="it-CH"/>
              </w:rPr>
            </w:pPr>
            <w:r w:rsidRPr="009E686F">
              <w:rPr>
                <w:rFonts w:ascii="Times New Roman" w:hAnsi="Times New Roman" w:cs="Times New Roman"/>
                <w:lang w:val="it-CH"/>
              </w:rPr>
              <w:t>În vigoare de la data aderării.</w:t>
            </w:r>
          </w:p>
        </w:tc>
      </w:tr>
      <w:tr w:rsidR="00B30AFC" w:rsidRPr="009E686F" w14:paraId="72EFE212" w14:textId="6DCCBA4F" w:rsidTr="00960C23">
        <w:trPr>
          <w:trHeight w:val="1823"/>
        </w:trPr>
        <w:tc>
          <w:tcPr>
            <w:tcW w:w="1890" w:type="pct"/>
            <w:tcBorders>
              <w:top w:val="single" w:sz="4" w:space="0" w:color="auto"/>
              <w:left w:val="single" w:sz="4" w:space="0" w:color="auto"/>
              <w:bottom w:val="single" w:sz="4" w:space="0" w:color="auto"/>
              <w:right w:val="single" w:sz="4" w:space="0" w:color="auto"/>
            </w:tcBorders>
          </w:tcPr>
          <w:p w14:paraId="0450DEEF" w14:textId="070CA72B" w:rsidR="00F8180E" w:rsidRPr="009E686F" w:rsidRDefault="00F8180E" w:rsidP="00ED2C1C">
            <w:pPr>
              <w:spacing w:after="0"/>
              <w:jc w:val="both"/>
              <w:rPr>
                <w:rFonts w:ascii="Times New Roman" w:hAnsi="Times New Roman" w:cs="Times New Roman"/>
                <w:lang w:val="it-CH"/>
              </w:rPr>
            </w:pPr>
            <w:r w:rsidRPr="009E686F">
              <w:rPr>
                <w:rFonts w:ascii="Times New Roman" w:hAnsi="Times New Roman" w:cs="Times New Roman"/>
                <w:lang w:val="it-CH"/>
              </w:rPr>
              <w:t>29. "societate financiară holding mixtă-mamă din UE" înseamnă o societate financiară holding mixtă-mamă din UE astfel cum este definită la articolul 4 alineatul (1) punctul 19 din Regulamentul (UE) nr. 575/2013;</w:t>
            </w:r>
          </w:p>
        </w:tc>
        <w:tc>
          <w:tcPr>
            <w:tcW w:w="1834" w:type="pct"/>
            <w:tcBorders>
              <w:top w:val="single" w:sz="4" w:space="0" w:color="auto"/>
              <w:left w:val="single" w:sz="4" w:space="0" w:color="auto"/>
              <w:bottom w:val="single" w:sz="4" w:space="0" w:color="auto"/>
              <w:right w:val="single" w:sz="4" w:space="0" w:color="auto"/>
            </w:tcBorders>
          </w:tcPr>
          <w:p w14:paraId="6A32EC71" w14:textId="1AC62A33" w:rsidR="00F8180E" w:rsidRPr="009E686F" w:rsidRDefault="00F8180E" w:rsidP="00ED2C1C">
            <w:pPr>
              <w:spacing w:after="0"/>
              <w:jc w:val="both"/>
              <w:rPr>
                <w:rFonts w:ascii="Times New Roman" w:hAnsi="Times New Roman" w:cs="Times New Roman"/>
                <w:bCs/>
                <w:lang w:val="it-CH"/>
              </w:rPr>
            </w:pPr>
            <w:r w:rsidRPr="009E686F">
              <w:rPr>
                <w:rFonts w:ascii="Times New Roman" w:hAnsi="Times New Roman" w:cs="Times New Roman"/>
                <w:bCs/>
                <w:i/>
                <w:iCs/>
                <w:lang w:val="it-CH"/>
              </w:rPr>
              <w:t>societate financiară holding mixtă-mamă din UE</w:t>
            </w:r>
            <w:r w:rsidRPr="009E686F">
              <w:rPr>
                <w:rFonts w:ascii="Times New Roman" w:hAnsi="Times New Roman" w:cs="Times New Roman"/>
                <w:bCs/>
                <w:lang w:val="it-CH"/>
              </w:rPr>
              <w:t xml:space="preserve"> </w:t>
            </w:r>
            <w:r w:rsidRPr="009E686F">
              <w:rPr>
                <w:rFonts w:ascii="Times New Roman" w:hAnsi="Times New Roman" w:cs="Times New Roman"/>
                <w:bCs/>
                <w:i/>
                <w:iCs/>
                <w:lang w:val="it-CH"/>
              </w:rPr>
              <w:t xml:space="preserve">– o societate financiară holding mixtă-mamă dintr-un stat membru, care nu este o filială a unei </w:t>
            </w:r>
            <w:r w:rsidR="00A51A7D" w:rsidRPr="009E686F">
              <w:rPr>
                <w:rFonts w:ascii="Times New Roman" w:hAnsi="Times New Roman" w:cs="Times New Roman"/>
                <w:bCs/>
                <w:i/>
                <w:iCs/>
                <w:lang w:val="it-CH"/>
              </w:rPr>
              <w:t>instituții de credit</w:t>
            </w:r>
            <w:r w:rsidRPr="009E686F">
              <w:rPr>
                <w:rFonts w:ascii="Times New Roman" w:hAnsi="Times New Roman" w:cs="Times New Roman"/>
                <w:bCs/>
                <w:i/>
                <w:iCs/>
                <w:lang w:val="it-CH"/>
              </w:rPr>
              <w:t xml:space="preserve"> autorizate în orice stat membru ori a unei alte societăţi financiare holding sau societăţi financiare holding mixte înfiinţate în orice stat membru;</w:t>
            </w:r>
          </w:p>
        </w:tc>
        <w:tc>
          <w:tcPr>
            <w:tcW w:w="470" w:type="pct"/>
            <w:tcBorders>
              <w:top w:val="single" w:sz="4" w:space="0" w:color="auto"/>
              <w:left w:val="single" w:sz="4" w:space="0" w:color="auto"/>
              <w:bottom w:val="single" w:sz="4" w:space="0" w:color="auto"/>
              <w:right w:val="single" w:sz="4" w:space="0" w:color="auto"/>
            </w:tcBorders>
          </w:tcPr>
          <w:p w14:paraId="11E43518" w14:textId="35B648A1" w:rsidR="00F8180E" w:rsidRPr="009E686F" w:rsidRDefault="00F8180E" w:rsidP="00F8180E">
            <w:pPr>
              <w:jc w:val="both"/>
              <w:rPr>
                <w:rFonts w:ascii="Times New Roman" w:hAnsi="Times New Roman" w:cs="Times New Roman"/>
              </w:rPr>
            </w:pPr>
            <w:r w:rsidRPr="009E686F">
              <w:rPr>
                <w:rFonts w:ascii="Times New Roman" w:hAnsi="Times New Roman" w:cs="Times New Roman"/>
              </w:rPr>
              <w:t xml:space="preserve">Compatibil </w:t>
            </w:r>
          </w:p>
        </w:tc>
        <w:tc>
          <w:tcPr>
            <w:tcW w:w="806" w:type="pct"/>
            <w:tcBorders>
              <w:top w:val="single" w:sz="4" w:space="0" w:color="auto"/>
              <w:left w:val="single" w:sz="4" w:space="0" w:color="auto"/>
              <w:bottom w:val="single" w:sz="4" w:space="0" w:color="auto"/>
              <w:right w:val="single" w:sz="4" w:space="0" w:color="auto"/>
            </w:tcBorders>
          </w:tcPr>
          <w:p w14:paraId="3EA59FCA" w14:textId="770B5A3E" w:rsidR="00F8180E" w:rsidRPr="009E686F" w:rsidRDefault="009507E4" w:rsidP="00515783">
            <w:pPr>
              <w:spacing w:after="0"/>
              <w:jc w:val="both"/>
              <w:rPr>
                <w:rFonts w:ascii="Times New Roman" w:hAnsi="Times New Roman" w:cs="Times New Roman"/>
                <w:lang w:val="it-CH"/>
              </w:rPr>
            </w:pPr>
            <w:r w:rsidRPr="009E686F">
              <w:rPr>
                <w:rFonts w:ascii="Times New Roman" w:hAnsi="Times New Roman" w:cs="Times New Roman"/>
                <w:lang w:val="it-CH"/>
              </w:rPr>
              <w:t>În vigoare de la data aderării.</w:t>
            </w:r>
          </w:p>
        </w:tc>
      </w:tr>
      <w:tr w:rsidR="00B30AFC" w:rsidRPr="009E686F" w14:paraId="36D05560" w14:textId="77777777" w:rsidTr="00960C23">
        <w:trPr>
          <w:trHeight w:val="1823"/>
        </w:trPr>
        <w:tc>
          <w:tcPr>
            <w:tcW w:w="1890" w:type="pct"/>
            <w:tcBorders>
              <w:top w:val="single" w:sz="4" w:space="0" w:color="auto"/>
              <w:left w:val="single" w:sz="4" w:space="0" w:color="auto"/>
              <w:bottom w:val="single" w:sz="4" w:space="0" w:color="auto"/>
              <w:right w:val="single" w:sz="4" w:space="0" w:color="auto"/>
            </w:tcBorders>
          </w:tcPr>
          <w:p w14:paraId="7D2C5C04" w14:textId="469F9EAD" w:rsidR="00F8180E" w:rsidRPr="009E686F" w:rsidRDefault="00F8180E" w:rsidP="00ED2C1C">
            <w:pPr>
              <w:spacing w:after="0"/>
              <w:jc w:val="both"/>
              <w:rPr>
                <w:rFonts w:ascii="Times New Roman" w:hAnsi="Times New Roman" w:cs="Times New Roman"/>
                <w:lang w:val="it-CH"/>
              </w:rPr>
            </w:pPr>
            <w:r w:rsidRPr="009E686F">
              <w:rPr>
                <w:rFonts w:ascii="Times New Roman" w:hAnsi="Times New Roman" w:cs="Times New Roman"/>
                <w:lang w:val="it-CH"/>
              </w:rPr>
              <w:t>29a. „instituție de sine stătătoare din Uniune” înseamnă o instituție care nu face obiectul consolidării prudențialeîn Uniune în temeiul părții întâi titlul II capitolul 2 din Regulamentul (UE) nr. 575/2013 și care nu are nicio întreprindere-mamă în UE care face obiectul unei astfel de consolidări prudențiale;</w:t>
            </w:r>
          </w:p>
        </w:tc>
        <w:tc>
          <w:tcPr>
            <w:tcW w:w="1834" w:type="pct"/>
            <w:tcBorders>
              <w:top w:val="single" w:sz="4" w:space="0" w:color="auto"/>
              <w:left w:val="single" w:sz="4" w:space="0" w:color="auto"/>
              <w:bottom w:val="single" w:sz="4" w:space="0" w:color="auto"/>
              <w:right w:val="single" w:sz="4" w:space="0" w:color="auto"/>
            </w:tcBorders>
          </w:tcPr>
          <w:p w14:paraId="1DB28532" w14:textId="087C8A18" w:rsidR="00F8180E" w:rsidRPr="009E686F" w:rsidRDefault="00F8180E" w:rsidP="00ED2C1C">
            <w:pPr>
              <w:spacing w:after="0"/>
              <w:jc w:val="both"/>
              <w:rPr>
                <w:rFonts w:ascii="Times New Roman" w:hAnsi="Times New Roman" w:cs="Times New Roman"/>
                <w:bCs/>
                <w:lang w:val="it-CH"/>
              </w:rPr>
            </w:pPr>
            <w:r w:rsidRPr="009E686F">
              <w:rPr>
                <w:rFonts w:ascii="Times New Roman" w:hAnsi="Times New Roman" w:cs="Times New Roman"/>
                <w:bCs/>
                <w:i/>
                <w:iCs/>
                <w:lang w:val="it-CH"/>
              </w:rPr>
              <w:t xml:space="preserve">instituție de sine stătătoare din </w:t>
            </w:r>
            <w:r w:rsidR="00B91B03" w:rsidRPr="009E686F">
              <w:rPr>
                <w:rFonts w:ascii="Times New Roman" w:hAnsi="Times New Roman" w:cs="Times New Roman"/>
                <w:bCs/>
                <w:i/>
                <w:iCs/>
                <w:lang w:val="it-CH"/>
              </w:rPr>
              <w:t>UE</w:t>
            </w:r>
            <w:r w:rsidRPr="009E686F">
              <w:rPr>
                <w:rFonts w:ascii="Times New Roman" w:hAnsi="Times New Roman" w:cs="Times New Roman"/>
                <w:bCs/>
                <w:lang w:val="it-CH"/>
              </w:rPr>
              <w:t xml:space="preserve">–  </w:t>
            </w:r>
            <w:r w:rsidR="00A51A7D" w:rsidRPr="009E686F">
              <w:rPr>
                <w:rFonts w:ascii="Times New Roman" w:hAnsi="Times New Roman" w:cs="Times New Roman"/>
                <w:bCs/>
                <w:i/>
                <w:iCs/>
                <w:lang w:val="it-CH"/>
              </w:rPr>
              <w:t>instituția de credit</w:t>
            </w:r>
            <w:r w:rsidR="00292592" w:rsidRPr="009E686F">
              <w:rPr>
                <w:rFonts w:ascii="Times New Roman" w:hAnsi="Times New Roman" w:cs="Times New Roman"/>
                <w:bCs/>
                <w:i/>
                <w:iCs/>
                <w:lang w:val="it-CH"/>
              </w:rPr>
              <w:t xml:space="preserve"> </w:t>
            </w:r>
            <w:r w:rsidRPr="009E686F">
              <w:rPr>
                <w:rFonts w:ascii="Times New Roman" w:hAnsi="Times New Roman" w:cs="Times New Roman"/>
                <w:bCs/>
                <w:i/>
                <w:iCs/>
                <w:lang w:val="it-CH"/>
              </w:rPr>
              <w:t xml:space="preserve">care nu face obiectul consolidării prudențiale în </w:t>
            </w:r>
            <w:r w:rsidR="00B91B03" w:rsidRPr="009E686F">
              <w:rPr>
                <w:rFonts w:ascii="Times New Roman" w:hAnsi="Times New Roman" w:cs="Times New Roman"/>
                <w:bCs/>
                <w:i/>
                <w:iCs/>
                <w:lang w:val="it-CH"/>
              </w:rPr>
              <w:t xml:space="preserve">UE </w:t>
            </w:r>
            <w:r w:rsidRPr="009E686F">
              <w:rPr>
                <w:rFonts w:ascii="Times New Roman" w:hAnsi="Times New Roman" w:cs="Times New Roman"/>
                <w:bCs/>
                <w:i/>
                <w:iCs/>
                <w:lang w:val="it-CH"/>
              </w:rPr>
              <w:t xml:space="preserve">și care nu are nicio întreprindere-mamă în </w:t>
            </w:r>
            <w:r w:rsidR="00B91B03" w:rsidRPr="009E686F">
              <w:rPr>
                <w:rFonts w:ascii="Times New Roman" w:hAnsi="Times New Roman" w:cs="Times New Roman"/>
                <w:bCs/>
                <w:i/>
                <w:iCs/>
                <w:lang w:val="it-CH"/>
              </w:rPr>
              <w:t xml:space="preserve">UE </w:t>
            </w:r>
            <w:r w:rsidRPr="009E686F">
              <w:rPr>
                <w:rFonts w:ascii="Times New Roman" w:hAnsi="Times New Roman" w:cs="Times New Roman"/>
                <w:bCs/>
                <w:i/>
                <w:iCs/>
                <w:lang w:val="it-CH"/>
              </w:rPr>
              <w:t>care face obiectul unei astfel de consolidări prudențiale;</w:t>
            </w:r>
          </w:p>
        </w:tc>
        <w:tc>
          <w:tcPr>
            <w:tcW w:w="470" w:type="pct"/>
            <w:tcBorders>
              <w:top w:val="single" w:sz="4" w:space="0" w:color="auto"/>
              <w:left w:val="single" w:sz="4" w:space="0" w:color="auto"/>
              <w:bottom w:val="single" w:sz="4" w:space="0" w:color="auto"/>
              <w:right w:val="single" w:sz="4" w:space="0" w:color="auto"/>
            </w:tcBorders>
          </w:tcPr>
          <w:p w14:paraId="64AC858F" w14:textId="538BD8CA" w:rsidR="00F8180E" w:rsidRPr="009E686F" w:rsidRDefault="00292592" w:rsidP="00F8180E">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6C4AB295" w14:textId="43C79BCF" w:rsidR="00DD5530" w:rsidRPr="009E686F" w:rsidRDefault="00DD5530" w:rsidP="00DD5530">
            <w:pPr>
              <w:tabs>
                <w:tab w:val="left" w:pos="884"/>
                <w:tab w:val="left" w:pos="1196"/>
              </w:tabs>
              <w:spacing w:after="0" w:line="240" w:lineRule="auto"/>
              <w:jc w:val="both"/>
              <w:rPr>
                <w:rFonts w:ascii="Times New Roman" w:hAnsi="Times New Roman"/>
              </w:rPr>
            </w:pPr>
            <w:r w:rsidRPr="009E686F">
              <w:rPr>
                <w:rFonts w:ascii="Times New Roman" w:hAnsi="Times New Roman"/>
              </w:rPr>
              <w:t xml:space="preserve">Trimiterea la Partea întâi, Titlul II, Capitolul 2 din Regulamentul (UE) nr. 575/2013 din definiție </w:t>
            </w:r>
            <w:r w:rsidR="00ED3020" w:rsidRPr="009E686F">
              <w:rPr>
                <w:rFonts w:ascii="Times New Roman" w:hAnsi="Times New Roman"/>
              </w:rPr>
              <w:t xml:space="preserve">nu a fost preluată, având în vedere că </w:t>
            </w:r>
            <w:r w:rsidRPr="009E686F">
              <w:rPr>
                <w:rFonts w:ascii="Times New Roman" w:hAnsi="Times New Roman"/>
              </w:rPr>
              <w:t xml:space="preserve">urmează a fi transpus în </w:t>
            </w:r>
            <w:r w:rsidR="00ED3020" w:rsidRPr="009E686F">
              <w:rPr>
                <w:rFonts w:ascii="Times New Roman" w:hAnsi="Times New Roman"/>
              </w:rPr>
              <w:t>cadrul secundar – p</w:t>
            </w:r>
            <w:r w:rsidRPr="009E686F">
              <w:rPr>
                <w:rFonts w:ascii="Times New Roman" w:hAnsi="Times New Roman"/>
              </w:rPr>
              <w:t>roiectul de modificare a Regulamentului cu privire la supraveghere pe bază consolidată a băncilor, aprobat prin HCE al BNM nr.101 din 16.04.2020 (acțiunea normativă nr. 11 din PNA 2025-2029).</w:t>
            </w:r>
          </w:p>
          <w:p w14:paraId="2DE5CD69" w14:textId="3177DEF8" w:rsidR="00396DED" w:rsidRPr="009E686F" w:rsidRDefault="00396DED" w:rsidP="00DD5530">
            <w:pPr>
              <w:tabs>
                <w:tab w:val="left" w:pos="884"/>
                <w:tab w:val="left" w:pos="1196"/>
              </w:tabs>
              <w:spacing w:after="0" w:line="240" w:lineRule="auto"/>
              <w:jc w:val="both"/>
              <w:rPr>
                <w:rFonts w:ascii="Times New Roman" w:hAnsi="Times New Roman"/>
                <w:lang w:val="it-CH"/>
              </w:rPr>
            </w:pPr>
            <w:r w:rsidRPr="009E686F">
              <w:rPr>
                <w:rFonts w:ascii="Times New Roman" w:hAnsi="Times New Roman"/>
                <w:lang w:val="it-CH"/>
              </w:rPr>
              <w:lastRenderedPageBreak/>
              <w:t>În vigoare de la data aderării.</w:t>
            </w:r>
          </w:p>
          <w:p w14:paraId="498CBA35" w14:textId="77777777" w:rsidR="00F8180E" w:rsidRPr="009E686F" w:rsidRDefault="00F8180E" w:rsidP="00515783">
            <w:pPr>
              <w:spacing w:after="0"/>
              <w:jc w:val="both"/>
              <w:rPr>
                <w:rFonts w:ascii="Times New Roman" w:hAnsi="Times New Roman" w:cs="Times New Roman"/>
                <w:lang w:val="it-CH"/>
              </w:rPr>
            </w:pPr>
          </w:p>
        </w:tc>
      </w:tr>
      <w:tr w:rsidR="00B30AFC" w:rsidRPr="009E686F" w14:paraId="4DCE3FB5" w14:textId="418554A2" w:rsidTr="00960C23">
        <w:tc>
          <w:tcPr>
            <w:tcW w:w="1890" w:type="pct"/>
            <w:tcBorders>
              <w:top w:val="single" w:sz="4" w:space="0" w:color="auto"/>
              <w:left w:val="single" w:sz="4" w:space="0" w:color="auto"/>
              <w:bottom w:val="single" w:sz="4" w:space="0" w:color="auto"/>
              <w:right w:val="single" w:sz="4" w:space="0" w:color="auto"/>
            </w:tcBorders>
          </w:tcPr>
          <w:p w14:paraId="372B6CD9" w14:textId="58800147" w:rsidR="00F8180E" w:rsidRPr="009E686F" w:rsidRDefault="00F8180E" w:rsidP="00ED2C1C">
            <w:pPr>
              <w:spacing w:after="0"/>
              <w:jc w:val="both"/>
              <w:rPr>
                <w:rFonts w:ascii="Times New Roman" w:hAnsi="Times New Roman" w:cs="Times New Roman"/>
                <w:lang w:val="it-CH"/>
              </w:rPr>
            </w:pPr>
            <w:r w:rsidRPr="009E686F">
              <w:rPr>
                <w:rFonts w:ascii="Times New Roman" w:hAnsi="Times New Roman" w:cs="Times New Roman"/>
                <w:lang w:val="it-CH"/>
              </w:rPr>
              <w:lastRenderedPageBreak/>
              <w:t>30. "instituție de importanță sistemică" înseamnă o instituție-mamă din UE, un societate financiară holding-mamă din UE, un societate financiară holding mixtă-mamă din UE sau o instituție al cărei faliment sau a cărei funcționare defectuoasă ar putea declanșa un risc sistemic;</w:t>
            </w:r>
          </w:p>
        </w:tc>
        <w:tc>
          <w:tcPr>
            <w:tcW w:w="1834" w:type="pct"/>
            <w:tcBorders>
              <w:top w:val="single" w:sz="4" w:space="0" w:color="auto"/>
              <w:left w:val="single" w:sz="4" w:space="0" w:color="auto"/>
              <w:bottom w:val="single" w:sz="4" w:space="0" w:color="auto"/>
              <w:right w:val="single" w:sz="4" w:space="0" w:color="auto"/>
            </w:tcBorders>
          </w:tcPr>
          <w:p w14:paraId="4B8B6692" w14:textId="437324AD" w:rsidR="00F8180E" w:rsidRPr="009E686F" w:rsidRDefault="00F8180E" w:rsidP="00ED2C1C">
            <w:pPr>
              <w:spacing w:after="0"/>
              <w:jc w:val="both"/>
              <w:rPr>
                <w:rFonts w:ascii="Times New Roman" w:hAnsi="Times New Roman" w:cs="Times New Roman"/>
                <w:lang w:val="it-CH"/>
              </w:rPr>
            </w:pPr>
            <w:r w:rsidRPr="009E686F">
              <w:rPr>
                <w:rFonts w:ascii="Times New Roman" w:hAnsi="Times New Roman" w:cs="Times New Roman"/>
                <w:i/>
                <w:lang w:val="it-CH"/>
              </w:rPr>
              <w:t>instituție de importanţă sistemică</w:t>
            </w:r>
            <w:r w:rsidRPr="009E686F">
              <w:rPr>
                <w:rFonts w:ascii="Times New Roman" w:hAnsi="Times New Roman" w:cs="Times New Roman"/>
                <w:lang w:val="it-CH"/>
              </w:rPr>
              <w:t xml:space="preserve"> –</w:t>
            </w:r>
            <w:r w:rsidR="00A51A7D" w:rsidRPr="009E686F">
              <w:rPr>
                <w:rFonts w:ascii="Times New Roman" w:hAnsi="Times New Roman" w:cs="Times New Roman"/>
                <w:i/>
                <w:lang w:val="it-CH"/>
              </w:rPr>
              <w:t>instituție de credit</w:t>
            </w:r>
            <w:r w:rsidRPr="009E686F">
              <w:rPr>
                <w:rFonts w:ascii="Times New Roman" w:hAnsi="Times New Roman" w:cs="Times New Roman"/>
                <w:i/>
                <w:lang w:val="it-CH"/>
              </w:rPr>
              <w:t xml:space="preserve">-mamă/societate de investiţii-mamă din UE, societate financiară holding-mamă din UE, societate financiară holding mixtă-mamă din UE sau </w:t>
            </w:r>
            <w:r w:rsidR="00A51A7D" w:rsidRPr="009E686F">
              <w:rPr>
                <w:rFonts w:ascii="Times New Roman" w:hAnsi="Times New Roman" w:cs="Times New Roman"/>
                <w:i/>
                <w:lang w:val="it-CH"/>
              </w:rPr>
              <w:t>instituția de credit</w:t>
            </w:r>
            <w:r w:rsidRPr="009E686F">
              <w:rPr>
                <w:rFonts w:ascii="Times New Roman" w:hAnsi="Times New Roman" w:cs="Times New Roman"/>
                <w:i/>
                <w:lang w:val="it-CH"/>
              </w:rPr>
              <w:t xml:space="preserve"> /societate de investiţii al cărei faliment sau a cărei funcţionare defectuoasă ar putea declanşa un risc sistemic;</w:t>
            </w:r>
            <w:r w:rsidRPr="009E686F">
              <w:rPr>
                <w:rFonts w:ascii="Times New Roman" w:hAnsi="Times New Roman" w:cs="Times New Roman"/>
                <w:lang w:val="it-CH"/>
              </w:rPr>
              <w:t xml:space="preserve">  </w:t>
            </w:r>
          </w:p>
          <w:p w14:paraId="28921F5E" w14:textId="0968648C" w:rsidR="00F8180E" w:rsidRPr="009E686F" w:rsidRDefault="00F8180E" w:rsidP="00ED2C1C">
            <w:pPr>
              <w:spacing w:after="0"/>
              <w:jc w:val="both"/>
              <w:rPr>
                <w:rFonts w:ascii="Times New Roman" w:hAnsi="Times New Roman" w:cs="Times New Roman"/>
                <w:lang w:val="it-CH"/>
              </w:rPr>
            </w:pPr>
          </w:p>
        </w:tc>
        <w:tc>
          <w:tcPr>
            <w:tcW w:w="470" w:type="pct"/>
            <w:tcBorders>
              <w:top w:val="single" w:sz="4" w:space="0" w:color="auto"/>
              <w:left w:val="single" w:sz="4" w:space="0" w:color="auto"/>
              <w:bottom w:val="single" w:sz="4" w:space="0" w:color="auto"/>
              <w:right w:val="single" w:sz="4" w:space="0" w:color="auto"/>
            </w:tcBorders>
          </w:tcPr>
          <w:p w14:paraId="711D203A" w14:textId="640092FE" w:rsidR="00F8180E" w:rsidRPr="009E686F" w:rsidRDefault="00F8180E" w:rsidP="00F8180E">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08CA23DB" w14:textId="7AD5A4B8" w:rsidR="00F8180E" w:rsidRPr="009E686F" w:rsidRDefault="00F8180E" w:rsidP="00515783">
            <w:pPr>
              <w:spacing w:after="0"/>
              <w:jc w:val="both"/>
              <w:rPr>
                <w:rFonts w:ascii="Times New Roman" w:hAnsi="Times New Roman" w:cs="Times New Roman"/>
              </w:rPr>
            </w:pPr>
          </w:p>
        </w:tc>
      </w:tr>
      <w:tr w:rsidR="00B30AFC" w:rsidRPr="009E686F" w14:paraId="47FCB41A" w14:textId="086CFC96" w:rsidTr="00960C23">
        <w:tc>
          <w:tcPr>
            <w:tcW w:w="1890" w:type="pct"/>
            <w:tcBorders>
              <w:top w:val="single" w:sz="4" w:space="0" w:color="auto"/>
              <w:left w:val="single" w:sz="4" w:space="0" w:color="auto"/>
              <w:bottom w:val="single" w:sz="4" w:space="0" w:color="auto"/>
              <w:right w:val="single" w:sz="4" w:space="0" w:color="auto"/>
            </w:tcBorders>
          </w:tcPr>
          <w:p w14:paraId="42459995" w14:textId="4297D528" w:rsidR="00F8180E" w:rsidRPr="009E686F" w:rsidRDefault="00F8180E" w:rsidP="00ED2C1C">
            <w:pPr>
              <w:spacing w:after="0"/>
              <w:jc w:val="both"/>
              <w:rPr>
                <w:rFonts w:ascii="Times New Roman" w:hAnsi="Times New Roman" w:cs="Times New Roman"/>
                <w:lang w:val="pt-BR"/>
              </w:rPr>
            </w:pPr>
            <w:r w:rsidRPr="009E686F">
              <w:rPr>
                <w:rFonts w:ascii="Times New Roman" w:hAnsi="Times New Roman" w:cs="Times New Roman"/>
                <w:lang w:val="pt-BR"/>
              </w:rPr>
              <w:t>31. "contraparte centrală" înseamnă o contraparte centrală astfel cum este definită la articolul 4 alineatul (1) punctul 34 din Regulamentul (UE) nr. 575/2013;</w:t>
            </w:r>
          </w:p>
        </w:tc>
        <w:tc>
          <w:tcPr>
            <w:tcW w:w="1834" w:type="pct"/>
            <w:tcBorders>
              <w:top w:val="single" w:sz="4" w:space="0" w:color="auto"/>
              <w:left w:val="single" w:sz="4" w:space="0" w:color="auto"/>
              <w:bottom w:val="single" w:sz="4" w:space="0" w:color="auto"/>
              <w:right w:val="single" w:sz="4" w:space="0" w:color="auto"/>
            </w:tcBorders>
          </w:tcPr>
          <w:p w14:paraId="4249E9DE" w14:textId="2CCA796F" w:rsidR="00F8180E" w:rsidRPr="009E686F" w:rsidRDefault="00F8180E" w:rsidP="00ED2C1C">
            <w:pPr>
              <w:spacing w:after="0"/>
              <w:jc w:val="both"/>
              <w:rPr>
                <w:rFonts w:ascii="Times New Roman" w:hAnsi="Times New Roman" w:cs="Times New Roman"/>
                <w:i/>
                <w:iCs/>
                <w:lang w:val="it-CH"/>
              </w:rPr>
            </w:pPr>
            <w:r w:rsidRPr="009E686F">
              <w:rPr>
                <w:rFonts w:ascii="Times New Roman" w:eastAsia="Aptos" w:hAnsi="Times New Roman" w:cs="Times New Roman"/>
                <w:i/>
                <w:iCs/>
                <w:kern w:val="2"/>
                <w:lang w:val="ro-MD"/>
              </w:rPr>
              <w:t xml:space="preserve">contraparte centrală </w:t>
            </w:r>
            <w:r w:rsidRPr="009E686F">
              <w:rPr>
                <w:rFonts w:ascii="Times New Roman" w:eastAsia="Aptos" w:hAnsi="Times New Roman" w:cs="Times New Roman"/>
                <w:kern w:val="2"/>
                <w:lang w:val="ro-MD"/>
              </w:rPr>
              <w:t>– o contraparte centrală</w:t>
            </w:r>
            <w:r w:rsidRPr="009E686F">
              <w:rPr>
                <w:rFonts w:ascii="Times New Roman" w:eastAsia="Aptos" w:hAnsi="Times New Roman" w:cs="Times New Roman"/>
                <w:i/>
                <w:iCs/>
                <w:kern w:val="2"/>
                <w:lang w:val="ro-MD"/>
              </w:rPr>
              <w:t xml:space="preserve">, astfel cum este definită de </w:t>
            </w:r>
            <w:r w:rsidR="00F95226" w:rsidRPr="009E686F">
              <w:rPr>
                <w:rFonts w:ascii="Times New Roman" w:eastAsia="Aptos" w:hAnsi="Times New Roman" w:cs="Times New Roman"/>
                <w:i/>
                <w:iCs/>
                <w:kern w:val="2"/>
                <w:lang w:val="ro-MD"/>
              </w:rPr>
              <w:t xml:space="preserve">legislația </w:t>
            </w:r>
            <w:r w:rsidRPr="009E686F">
              <w:rPr>
                <w:rFonts w:ascii="Times New Roman" w:eastAsia="Aptos" w:hAnsi="Times New Roman" w:cs="Times New Roman"/>
                <w:i/>
                <w:iCs/>
                <w:kern w:val="2"/>
                <w:lang w:val="ro-MD"/>
              </w:rPr>
              <w:t>privind instrumentele financiare derivate extrabursiere, contrapărțile centrale și registrele centrale de tranzacții;</w:t>
            </w:r>
          </w:p>
        </w:tc>
        <w:tc>
          <w:tcPr>
            <w:tcW w:w="470" w:type="pct"/>
            <w:tcBorders>
              <w:top w:val="single" w:sz="4" w:space="0" w:color="auto"/>
              <w:left w:val="single" w:sz="4" w:space="0" w:color="auto"/>
              <w:bottom w:val="single" w:sz="4" w:space="0" w:color="auto"/>
              <w:right w:val="single" w:sz="4" w:space="0" w:color="auto"/>
            </w:tcBorders>
          </w:tcPr>
          <w:p w14:paraId="20FB50BC" w14:textId="6454F2FE" w:rsidR="00F8180E" w:rsidRPr="009E686F" w:rsidRDefault="00F8180E" w:rsidP="00F8180E">
            <w:pPr>
              <w:jc w:val="both"/>
              <w:rPr>
                <w:rFonts w:ascii="Times New Roman" w:hAnsi="Times New Roman" w:cs="Times New Roman"/>
                <w:strike/>
              </w:rPr>
            </w:pPr>
            <w:r w:rsidRPr="009E686F">
              <w:rPr>
                <w:rFonts w:ascii="Times New Roman" w:hAnsi="Times New Roman" w:cs="Times New Roman"/>
              </w:rPr>
              <w:t>Compatibil</w:t>
            </w:r>
          </w:p>
          <w:p w14:paraId="56786D52" w14:textId="02D0133E" w:rsidR="00F8180E" w:rsidRPr="009E686F" w:rsidRDefault="00F8180E" w:rsidP="00F8180E">
            <w:pPr>
              <w:jc w:val="both"/>
              <w:rPr>
                <w:rFonts w:ascii="Times New Roman" w:hAnsi="Times New Roman" w:cs="Times New Roman"/>
              </w:rPr>
            </w:pPr>
            <w:r w:rsidRPr="009E686F">
              <w:rPr>
                <w:rFonts w:ascii="Times New Roman" w:hAnsi="Times New Roman" w:cs="Times New Roman"/>
              </w:rPr>
              <w:t xml:space="preserve"> </w:t>
            </w:r>
          </w:p>
        </w:tc>
        <w:tc>
          <w:tcPr>
            <w:tcW w:w="806" w:type="pct"/>
            <w:tcBorders>
              <w:top w:val="single" w:sz="4" w:space="0" w:color="auto"/>
              <w:left w:val="single" w:sz="4" w:space="0" w:color="auto"/>
              <w:bottom w:val="single" w:sz="4" w:space="0" w:color="auto"/>
              <w:right w:val="single" w:sz="4" w:space="0" w:color="auto"/>
            </w:tcBorders>
          </w:tcPr>
          <w:p w14:paraId="289DC78A" w14:textId="17FE9679" w:rsidR="00F8180E" w:rsidRPr="009E686F" w:rsidRDefault="00F8180E" w:rsidP="00515783">
            <w:pPr>
              <w:spacing w:after="0"/>
              <w:jc w:val="both"/>
              <w:rPr>
                <w:rFonts w:ascii="Times New Roman" w:hAnsi="Times New Roman" w:cs="Times New Roman"/>
              </w:rPr>
            </w:pPr>
          </w:p>
        </w:tc>
      </w:tr>
      <w:tr w:rsidR="00B30AFC" w:rsidRPr="009E686F" w14:paraId="10E5B2EE" w14:textId="48730330" w:rsidTr="00960C23">
        <w:tc>
          <w:tcPr>
            <w:tcW w:w="1890" w:type="pct"/>
            <w:tcBorders>
              <w:top w:val="single" w:sz="4" w:space="0" w:color="auto"/>
              <w:left w:val="single" w:sz="4" w:space="0" w:color="auto"/>
              <w:bottom w:val="single" w:sz="4" w:space="0" w:color="auto"/>
              <w:right w:val="single" w:sz="4" w:space="0" w:color="auto"/>
            </w:tcBorders>
          </w:tcPr>
          <w:p w14:paraId="4E8C9C6D" w14:textId="3D1373CA" w:rsidR="00F8180E" w:rsidRPr="009E686F" w:rsidRDefault="00F8180E" w:rsidP="00ED2C1C">
            <w:pPr>
              <w:spacing w:after="0"/>
              <w:jc w:val="both"/>
              <w:rPr>
                <w:rFonts w:ascii="Times New Roman" w:hAnsi="Times New Roman" w:cs="Times New Roman"/>
                <w:lang w:val="it-CH"/>
              </w:rPr>
            </w:pPr>
            <w:r w:rsidRPr="009E686F">
              <w:rPr>
                <w:rFonts w:ascii="Times New Roman" w:hAnsi="Times New Roman" w:cs="Times New Roman"/>
                <w:lang w:val="it-CH"/>
              </w:rPr>
              <w:t>32. "participație" înseamnă o participație astfel cum este definită la articolul 4 alineatul (1) punctul 35 din Regulamentul (UE) nr. 575/2013;</w:t>
            </w:r>
          </w:p>
        </w:tc>
        <w:tc>
          <w:tcPr>
            <w:tcW w:w="1834" w:type="pct"/>
            <w:tcBorders>
              <w:top w:val="single" w:sz="4" w:space="0" w:color="auto"/>
              <w:left w:val="single" w:sz="4" w:space="0" w:color="auto"/>
              <w:bottom w:val="single" w:sz="4" w:space="0" w:color="auto"/>
              <w:right w:val="single" w:sz="4" w:space="0" w:color="auto"/>
            </w:tcBorders>
          </w:tcPr>
          <w:p w14:paraId="27641EF5" w14:textId="6EA1726F" w:rsidR="00F8180E" w:rsidRPr="009E686F" w:rsidRDefault="00F8180E" w:rsidP="00ED2C1C">
            <w:pPr>
              <w:spacing w:after="0"/>
              <w:jc w:val="both"/>
              <w:rPr>
                <w:rFonts w:ascii="Times New Roman" w:hAnsi="Times New Roman" w:cs="Times New Roman"/>
                <w:lang w:val="it-CH"/>
              </w:rPr>
            </w:pPr>
            <w:r w:rsidRPr="009E686F">
              <w:rPr>
                <w:rFonts w:ascii="Times New Roman" w:hAnsi="Times New Roman" w:cs="Times New Roman"/>
                <w:i/>
                <w:iCs/>
                <w:lang w:val="it-CH"/>
              </w:rPr>
              <w:t>participație</w:t>
            </w:r>
            <w:r w:rsidRPr="009E686F">
              <w:rPr>
                <w:rFonts w:ascii="Times New Roman" w:hAnsi="Times New Roman" w:cs="Times New Roman"/>
                <w:lang w:val="it-CH"/>
              </w:rPr>
              <w:t xml:space="preserve"> - </w:t>
            </w:r>
            <w:r w:rsidRPr="009E686F">
              <w:rPr>
                <w:rFonts w:ascii="Times New Roman" w:hAnsi="Times New Roman" w:cs="Times New Roman"/>
                <w:i/>
                <w:iCs/>
                <w:lang w:val="it-CH"/>
              </w:rPr>
              <w:t xml:space="preserve">un interes de participare astfel cum este definit în </w:t>
            </w:r>
            <w:r w:rsidR="00486013" w:rsidRPr="009E686F">
              <w:rPr>
                <w:rFonts w:ascii="Times New Roman" w:hAnsi="Times New Roman" w:cs="Times New Roman"/>
                <w:i/>
                <w:iCs/>
                <w:lang w:val="it-CH"/>
              </w:rPr>
              <w:t xml:space="preserve">art. 3 din </w:t>
            </w:r>
            <w:r w:rsidRPr="009E686F">
              <w:rPr>
                <w:rFonts w:ascii="Times New Roman" w:hAnsi="Times New Roman" w:cs="Times New Roman"/>
                <w:i/>
                <w:iCs/>
                <w:lang w:val="it-CH"/>
              </w:rPr>
              <w:t>Legea nr. 287/2017 sau deţinerea, directă sau indirectă, a cel puţin 20 % din drepturile de vot sau din capitalul unei întreprinderi;</w:t>
            </w:r>
          </w:p>
        </w:tc>
        <w:tc>
          <w:tcPr>
            <w:tcW w:w="470" w:type="pct"/>
            <w:tcBorders>
              <w:top w:val="single" w:sz="4" w:space="0" w:color="auto"/>
              <w:left w:val="single" w:sz="4" w:space="0" w:color="auto"/>
              <w:bottom w:val="single" w:sz="4" w:space="0" w:color="auto"/>
              <w:right w:val="single" w:sz="4" w:space="0" w:color="auto"/>
            </w:tcBorders>
          </w:tcPr>
          <w:p w14:paraId="556B003C" w14:textId="6A623CD5" w:rsidR="00F8180E" w:rsidRPr="009E686F" w:rsidRDefault="00F8180E" w:rsidP="00F8180E">
            <w:pPr>
              <w:jc w:val="both"/>
              <w:rPr>
                <w:rFonts w:ascii="Times New Roman" w:hAnsi="Times New Roman" w:cs="Times New Roman"/>
              </w:rPr>
            </w:pPr>
            <w:r w:rsidRPr="009E686F">
              <w:rPr>
                <w:rFonts w:ascii="Times New Roman" w:hAnsi="Times New Roman" w:cs="Times New Roman"/>
              </w:rPr>
              <w:t>Compatibil</w:t>
            </w:r>
          </w:p>
          <w:p w14:paraId="4E70DECE" w14:textId="620AB7BD" w:rsidR="00F8180E" w:rsidRPr="009E686F" w:rsidRDefault="00F8180E" w:rsidP="00F8180E">
            <w:pPr>
              <w:jc w:val="both"/>
              <w:rPr>
                <w:rFonts w:ascii="Times New Roman" w:hAnsi="Times New Roman" w:cs="Times New Roman"/>
              </w:rPr>
            </w:pPr>
          </w:p>
        </w:tc>
        <w:tc>
          <w:tcPr>
            <w:tcW w:w="806" w:type="pct"/>
            <w:tcBorders>
              <w:top w:val="single" w:sz="4" w:space="0" w:color="auto"/>
              <w:left w:val="single" w:sz="4" w:space="0" w:color="auto"/>
              <w:bottom w:val="single" w:sz="4" w:space="0" w:color="auto"/>
              <w:right w:val="single" w:sz="4" w:space="0" w:color="auto"/>
            </w:tcBorders>
          </w:tcPr>
          <w:p w14:paraId="47047412" w14:textId="01D53798" w:rsidR="00F8180E" w:rsidRPr="009E686F" w:rsidRDefault="00F8180E" w:rsidP="00515783">
            <w:pPr>
              <w:spacing w:after="0"/>
              <w:jc w:val="both"/>
              <w:rPr>
                <w:rFonts w:ascii="Times New Roman" w:hAnsi="Times New Roman" w:cs="Times New Roman"/>
              </w:rPr>
            </w:pPr>
          </w:p>
        </w:tc>
      </w:tr>
      <w:tr w:rsidR="00B30AFC" w:rsidRPr="009E686F" w14:paraId="3E10F5A4" w14:textId="71D982BB" w:rsidTr="00960C23">
        <w:tc>
          <w:tcPr>
            <w:tcW w:w="1890" w:type="pct"/>
            <w:tcBorders>
              <w:top w:val="single" w:sz="4" w:space="0" w:color="auto"/>
              <w:left w:val="single" w:sz="4" w:space="0" w:color="auto"/>
              <w:bottom w:val="single" w:sz="4" w:space="0" w:color="auto"/>
              <w:right w:val="single" w:sz="4" w:space="0" w:color="auto"/>
            </w:tcBorders>
          </w:tcPr>
          <w:p w14:paraId="501CB651" w14:textId="134EACBA" w:rsidR="00F8180E" w:rsidRPr="009E686F" w:rsidRDefault="00F8180E" w:rsidP="00ED2C1C">
            <w:pPr>
              <w:spacing w:after="0"/>
              <w:jc w:val="both"/>
              <w:rPr>
                <w:rFonts w:ascii="Times New Roman" w:hAnsi="Times New Roman" w:cs="Times New Roman"/>
                <w:lang w:val="it-CH"/>
              </w:rPr>
            </w:pPr>
            <w:r w:rsidRPr="009E686F">
              <w:rPr>
                <w:rFonts w:ascii="Times New Roman" w:hAnsi="Times New Roman" w:cs="Times New Roman"/>
                <w:lang w:val="it-CH"/>
              </w:rPr>
              <w:t>33. "participație calificată" înseamnă o participație calificată astfel cum este definită la articolul 4 alineatul (1) punctul 36 din Regulamentul (UE) nr. 575/2013;</w:t>
            </w:r>
          </w:p>
        </w:tc>
        <w:tc>
          <w:tcPr>
            <w:tcW w:w="1834" w:type="pct"/>
            <w:tcBorders>
              <w:top w:val="single" w:sz="4" w:space="0" w:color="auto"/>
              <w:left w:val="single" w:sz="4" w:space="0" w:color="auto"/>
              <w:bottom w:val="single" w:sz="4" w:space="0" w:color="auto"/>
              <w:right w:val="single" w:sz="4" w:space="0" w:color="auto"/>
            </w:tcBorders>
          </w:tcPr>
          <w:p w14:paraId="500A5DB3" w14:textId="7F2BD7F4" w:rsidR="00F8180E" w:rsidRPr="009E686F" w:rsidRDefault="00F8180E" w:rsidP="00ED2C1C">
            <w:pPr>
              <w:spacing w:after="0"/>
              <w:jc w:val="both"/>
              <w:rPr>
                <w:rFonts w:ascii="Times New Roman" w:hAnsi="Times New Roman" w:cs="Times New Roman"/>
                <w:lang w:val="it-CH"/>
              </w:rPr>
            </w:pPr>
            <w:r w:rsidRPr="009E686F">
              <w:rPr>
                <w:rFonts w:ascii="Times New Roman" w:hAnsi="Times New Roman" w:cs="Times New Roman"/>
                <w:bCs/>
                <w:i/>
                <w:iCs/>
                <w:lang w:val="it-CH"/>
              </w:rPr>
              <w:t>deținere calificată</w:t>
            </w:r>
            <w:r w:rsidRPr="009E686F">
              <w:rPr>
                <w:rFonts w:ascii="Times New Roman" w:hAnsi="Times New Roman" w:cs="Times New Roman"/>
                <w:lang w:val="it-CH"/>
              </w:rPr>
              <w:t xml:space="preserve"> –</w:t>
            </w:r>
            <w:r w:rsidR="003F5415" w:rsidRPr="009E686F">
              <w:rPr>
                <w:rFonts w:ascii="Times New Roman" w:hAnsi="Times New Roman" w:cs="Times New Roman"/>
                <w:lang w:val="it-CH"/>
              </w:rPr>
              <w:t xml:space="preserve"> </w:t>
            </w:r>
            <w:r w:rsidRPr="009E686F">
              <w:rPr>
                <w:rFonts w:ascii="Times New Roman" w:hAnsi="Times New Roman" w:cs="Times New Roman"/>
                <w:lang w:val="it-CH"/>
              </w:rPr>
              <w:t xml:space="preserve">deținere directă sau indirectă într-o întreprindere care reprezintă cel puțin </w:t>
            </w:r>
            <w:r w:rsidRPr="009E686F">
              <w:rPr>
                <w:rFonts w:ascii="Times New Roman" w:hAnsi="Times New Roman" w:cs="Times New Roman"/>
                <w:i/>
                <w:iCs/>
                <w:lang w:val="it-CH"/>
              </w:rPr>
              <w:t>10%</w:t>
            </w:r>
            <w:r w:rsidRPr="009E686F">
              <w:rPr>
                <w:rFonts w:ascii="Times New Roman" w:hAnsi="Times New Roman" w:cs="Times New Roman"/>
                <w:lang w:val="it-CH"/>
              </w:rPr>
              <w:t xml:space="preserve"> din capitalul social, sau din drepturile de vot ori  care face posibilă exercitarea unei influențe </w:t>
            </w:r>
            <w:r w:rsidRPr="009E686F">
              <w:rPr>
                <w:rFonts w:ascii="Times New Roman" w:hAnsi="Times New Roman" w:cs="Times New Roman"/>
                <w:i/>
                <w:iCs/>
                <w:lang w:val="it-CH"/>
              </w:rPr>
              <w:t>semnificative</w:t>
            </w:r>
            <w:r w:rsidRPr="009E686F">
              <w:rPr>
                <w:rFonts w:ascii="Times New Roman" w:hAnsi="Times New Roman" w:cs="Times New Roman"/>
                <w:lang w:val="it-CH"/>
              </w:rPr>
              <w:t xml:space="preserve"> asupra administrării întreprinderii </w:t>
            </w:r>
            <w:r w:rsidR="002A446B" w:rsidRPr="009E686F">
              <w:rPr>
                <w:rFonts w:ascii="Times New Roman" w:hAnsi="Times New Roman" w:cs="Times New Roman"/>
                <w:i/>
                <w:iCs/>
                <w:lang w:val="it-CH"/>
              </w:rPr>
              <w:t>respective, astfel cum este definită în actele normative ale Băncii Naționale a Moldovei</w:t>
            </w:r>
            <w:r w:rsidRPr="009E686F">
              <w:rPr>
                <w:rFonts w:ascii="Times New Roman" w:hAnsi="Times New Roman" w:cs="Times New Roman"/>
                <w:lang w:val="it-CH"/>
              </w:rPr>
              <w:t>;</w:t>
            </w:r>
          </w:p>
        </w:tc>
        <w:tc>
          <w:tcPr>
            <w:tcW w:w="470" w:type="pct"/>
            <w:tcBorders>
              <w:top w:val="single" w:sz="4" w:space="0" w:color="auto"/>
              <w:left w:val="single" w:sz="4" w:space="0" w:color="auto"/>
              <w:bottom w:val="single" w:sz="4" w:space="0" w:color="auto"/>
              <w:right w:val="single" w:sz="4" w:space="0" w:color="auto"/>
            </w:tcBorders>
          </w:tcPr>
          <w:p w14:paraId="06E221BC" w14:textId="22F91DB9" w:rsidR="00F8180E" w:rsidRPr="009E686F" w:rsidRDefault="00FF0B75" w:rsidP="00F8180E">
            <w:pPr>
              <w:jc w:val="both"/>
              <w:rPr>
                <w:rFonts w:ascii="Times New Roman" w:hAnsi="Times New Roman" w:cs="Times New Roman"/>
              </w:rPr>
            </w:pPr>
            <w:r w:rsidRPr="009E686F">
              <w:rPr>
                <w:rFonts w:ascii="Times New Roman" w:hAnsi="Times New Roman" w:cs="Times New Roman"/>
              </w:rPr>
              <w:t>C</w:t>
            </w:r>
            <w:r w:rsidR="00F8180E" w:rsidRPr="009E686F">
              <w:rPr>
                <w:rFonts w:ascii="Times New Roman" w:hAnsi="Times New Roman" w:cs="Times New Roman"/>
              </w:rPr>
              <w:t>ompatibil</w:t>
            </w:r>
          </w:p>
        </w:tc>
        <w:tc>
          <w:tcPr>
            <w:tcW w:w="806" w:type="pct"/>
            <w:tcBorders>
              <w:top w:val="single" w:sz="4" w:space="0" w:color="auto"/>
              <w:left w:val="single" w:sz="4" w:space="0" w:color="auto"/>
              <w:bottom w:val="single" w:sz="4" w:space="0" w:color="auto"/>
              <w:right w:val="single" w:sz="4" w:space="0" w:color="auto"/>
            </w:tcBorders>
          </w:tcPr>
          <w:p w14:paraId="38B976D7" w14:textId="3B6FED2C" w:rsidR="003F5415" w:rsidRPr="009E686F" w:rsidRDefault="00CC39BF" w:rsidP="00515783">
            <w:pPr>
              <w:spacing w:after="0"/>
              <w:jc w:val="both"/>
              <w:rPr>
                <w:rFonts w:ascii="Times New Roman" w:hAnsi="Times New Roman" w:cs="Times New Roman"/>
                <w:lang w:val="pt-BR"/>
              </w:rPr>
            </w:pPr>
            <w:r w:rsidRPr="009E686F">
              <w:rPr>
                <w:rFonts w:ascii="Times New Roman" w:hAnsi="Times New Roman" w:cs="Times New Roman"/>
                <w:lang w:val="pt-BR"/>
              </w:rPr>
              <w:t>Pragul de 10% a deținerii calificate – în vigoare de la data aderării.</w:t>
            </w:r>
          </w:p>
        </w:tc>
      </w:tr>
      <w:tr w:rsidR="00B30AFC" w:rsidRPr="009E686F" w14:paraId="0952229F" w14:textId="069890B9" w:rsidTr="00960C23">
        <w:tc>
          <w:tcPr>
            <w:tcW w:w="1890" w:type="pct"/>
            <w:tcBorders>
              <w:top w:val="single" w:sz="4" w:space="0" w:color="auto"/>
              <w:left w:val="single" w:sz="4" w:space="0" w:color="auto"/>
              <w:bottom w:val="single" w:sz="4" w:space="0" w:color="auto"/>
              <w:right w:val="single" w:sz="4" w:space="0" w:color="auto"/>
            </w:tcBorders>
          </w:tcPr>
          <w:p w14:paraId="0EBC0B93" w14:textId="68BEE446" w:rsidR="00F8180E" w:rsidRPr="009E686F" w:rsidRDefault="00F8180E" w:rsidP="00ED2C1C">
            <w:pPr>
              <w:spacing w:after="0"/>
              <w:jc w:val="both"/>
              <w:rPr>
                <w:rFonts w:ascii="Times New Roman" w:hAnsi="Times New Roman" w:cs="Times New Roman"/>
                <w:lang w:val="it-CH"/>
              </w:rPr>
            </w:pPr>
            <w:r w:rsidRPr="009E686F">
              <w:rPr>
                <w:rFonts w:ascii="Times New Roman" w:hAnsi="Times New Roman" w:cs="Times New Roman"/>
                <w:lang w:val="it-CH"/>
              </w:rPr>
              <w:t>34. "control" înseamnă control astfel cum este definit la articolul 4 alineatul (1) punctul 37 din Regulamentul (UE) nr. 575/2013;</w:t>
            </w:r>
          </w:p>
        </w:tc>
        <w:tc>
          <w:tcPr>
            <w:tcW w:w="1834" w:type="pct"/>
            <w:tcBorders>
              <w:top w:val="single" w:sz="4" w:space="0" w:color="auto"/>
              <w:left w:val="single" w:sz="4" w:space="0" w:color="auto"/>
              <w:bottom w:val="single" w:sz="4" w:space="0" w:color="auto"/>
              <w:right w:val="single" w:sz="4" w:space="0" w:color="auto"/>
            </w:tcBorders>
          </w:tcPr>
          <w:p w14:paraId="3BB28150" w14:textId="0A844779" w:rsidR="00F8180E" w:rsidRPr="009E686F" w:rsidRDefault="00F8180E" w:rsidP="00ED2C1C">
            <w:pPr>
              <w:spacing w:after="0"/>
              <w:jc w:val="both"/>
              <w:rPr>
                <w:rFonts w:ascii="Times New Roman" w:hAnsi="Times New Roman" w:cs="Times New Roman"/>
                <w:b/>
                <w:lang w:val="pt-BR"/>
              </w:rPr>
            </w:pPr>
            <w:r w:rsidRPr="009E686F">
              <w:rPr>
                <w:rFonts w:ascii="Times New Roman" w:hAnsi="Times New Roman" w:cs="Times New Roman"/>
                <w:bCs/>
                <w:i/>
                <w:iCs/>
                <w:lang w:val="pt-BR"/>
              </w:rPr>
              <w:t xml:space="preserve">control </w:t>
            </w:r>
            <w:r w:rsidRPr="009E686F">
              <w:rPr>
                <w:rFonts w:ascii="Times New Roman" w:hAnsi="Times New Roman" w:cs="Times New Roman"/>
                <w:lang w:val="pt-BR"/>
              </w:rPr>
              <w:t>– relația dintre o întreprindere-mamă şi o filială a acesteia, conform definițiilor din prezentul articol,  sau o relație similară între o persoană și o întreprindere, de jure sau de facto;</w:t>
            </w:r>
          </w:p>
        </w:tc>
        <w:tc>
          <w:tcPr>
            <w:tcW w:w="470" w:type="pct"/>
            <w:tcBorders>
              <w:top w:val="single" w:sz="4" w:space="0" w:color="auto"/>
              <w:left w:val="single" w:sz="4" w:space="0" w:color="auto"/>
              <w:bottom w:val="single" w:sz="4" w:space="0" w:color="auto"/>
              <w:right w:val="single" w:sz="4" w:space="0" w:color="auto"/>
            </w:tcBorders>
          </w:tcPr>
          <w:p w14:paraId="038D8387" w14:textId="7E0E266B" w:rsidR="00F8180E" w:rsidRPr="009E686F" w:rsidRDefault="00F8180E" w:rsidP="00F8180E">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4A17ACEF" w14:textId="2C34E04C" w:rsidR="00F8180E" w:rsidRPr="009E686F" w:rsidRDefault="00F8180E" w:rsidP="00515783">
            <w:pPr>
              <w:spacing w:after="0"/>
              <w:jc w:val="both"/>
              <w:rPr>
                <w:rFonts w:ascii="Times New Roman" w:hAnsi="Times New Roman" w:cs="Times New Roman"/>
              </w:rPr>
            </w:pPr>
          </w:p>
        </w:tc>
      </w:tr>
      <w:tr w:rsidR="00B30AFC" w:rsidRPr="009E686F" w14:paraId="51B67879" w14:textId="3B2D9DC5" w:rsidTr="00960C23">
        <w:tc>
          <w:tcPr>
            <w:tcW w:w="1890" w:type="pct"/>
            <w:tcBorders>
              <w:top w:val="single" w:sz="4" w:space="0" w:color="auto"/>
              <w:left w:val="single" w:sz="4" w:space="0" w:color="auto"/>
              <w:bottom w:val="single" w:sz="4" w:space="0" w:color="auto"/>
              <w:right w:val="single" w:sz="4" w:space="0" w:color="auto"/>
            </w:tcBorders>
          </w:tcPr>
          <w:p w14:paraId="35DC1441" w14:textId="006734D2" w:rsidR="00F8180E" w:rsidRPr="009E686F" w:rsidRDefault="00F8180E" w:rsidP="00ED2C1C">
            <w:pPr>
              <w:spacing w:after="0"/>
              <w:jc w:val="both"/>
              <w:rPr>
                <w:rFonts w:ascii="Times New Roman" w:hAnsi="Times New Roman" w:cs="Times New Roman"/>
                <w:lang w:val="it-CH"/>
              </w:rPr>
            </w:pPr>
            <w:r w:rsidRPr="009E686F">
              <w:rPr>
                <w:rFonts w:ascii="Times New Roman" w:hAnsi="Times New Roman" w:cs="Times New Roman"/>
                <w:lang w:val="it-CH"/>
              </w:rPr>
              <w:lastRenderedPageBreak/>
              <w:t>35</w:t>
            </w:r>
            <w:r w:rsidR="00D732CF" w:rsidRPr="009E686F">
              <w:rPr>
                <w:rFonts w:ascii="Times New Roman" w:hAnsi="Times New Roman" w:cs="Times New Roman"/>
                <w:lang w:val="it-CH"/>
              </w:rPr>
              <w:t>.</w:t>
            </w:r>
            <w:r w:rsidRPr="009E686F">
              <w:rPr>
                <w:rFonts w:ascii="Times New Roman" w:hAnsi="Times New Roman" w:cs="Times New Roman"/>
                <w:lang w:val="it-CH"/>
              </w:rPr>
              <w:t xml:space="preserve"> "legături strânse" înseamnă legături strânse astfel cum sunt definite la articolul 4 alineatul (1) punctul 38 din Regulamentul (UE) nr. 575/2013;</w:t>
            </w:r>
          </w:p>
        </w:tc>
        <w:tc>
          <w:tcPr>
            <w:tcW w:w="1834" w:type="pct"/>
            <w:tcBorders>
              <w:top w:val="single" w:sz="4" w:space="0" w:color="auto"/>
              <w:left w:val="single" w:sz="4" w:space="0" w:color="auto"/>
              <w:bottom w:val="single" w:sz="4" w:space="0" w:color="auto"/>
              <w:right w:val="single" w:sz="4" w:space="0" w:color="auto"/>
            </w:tcBorders>
          </w:tcPr>
          <w:p w14:paraId="7E46D78F" w14:textId="7AA09F2F" w:rsidR="00F8180E" w:rsidRPr="009E686F" w:rsidRDefault="00F8180E" w:rsidP="00ED2C1C">
            <w:pPr>
              <w:spacing w:after="0"/>
              <w:jc w:val="both"/>
              <w:rPr>
                <w:rFonts w:ascii="Times New Roman" w:hAnsi="Times New Roman" w:cs="Times New Roman"/>
                <w:lang w:val="it-CH"/>
              </w:rPr>
            </w:pPr>
            <w:r w:rsidRPr="009E686F">
              <w:rPr>
                <w:rFonts w:ascii="Times New Roman" w:hAnsi="Times New Roman" w:cs="Times New Roman"/>
                <w:i/>
                <w:lang w:val="it-CH"/>
              </w:rPr>
              <w:t>legături strânse</w:t>
            </w:r>
            <w:r w:rsidRPr="009E686F">
              <w:rPr>
                <w:rFonts w:ascii="Times New Roman" w:hAnsi="Times New Roman" w:cs="Times New Roman"/>
                <w:lang w:val="it-CH"/>
              </w:rPr>
              <w:t xml:space="preserve"> - situație în care două sau mai multe persoane fizice sau juridice sunt legate între ele în oricare dintre următoarele modalități:</w:t>
            </w:r>
          </w:p>
          <w:p w14:paraId="7EC87B70" w14:textId="1CC25557" w:rsidR="00F8180E" w:rsidRPr="009E686F" w:rsidRDefault="00F8180E" w:rsidP="00ED2C1C">
            <w:pPr>
              <w:spacing w:after="0"/>
              <w:jc w:val="both"/>
              <w:rPr>
                <w:rFonts w:ascii="Times New Roman" w:hAnsi="Times New Roman" w:cs="Times New Roman"/>
                <w:lang w:val="it-CH"/>
              </w:rPr>
            </w:pPr>
            <w:r w:rsidRPr="009E686F">
              <w:rPr>
                <w:rFonts w:ascii="Times New Roman" w:hAnsi="Times New Roman" w:cs="Times New Roman"/>
                <w:lang w:val="it-CH"/>
              </w:rPr>
              <w:t xml:space="preserve">(a) printr-o participație directă sau prin intermediul controlului, a cel puțin 20 % din capitalul unei întreprinderi sau din drepturile de vot; </w:t>
            </w:r>
          </w:p>
          <w:p w14:paraId="6C346681" w14:textId="77777777" w:rsidR="00F8180E" w:rsidRPr="009E686F" w:rsidRDefault="00F8180E" w:rsidP="00ED2C1C">
            <w:pPr>
              <w:spacing w:after="0"/>
              <w:jc w:val="both"/>
              <w:rPr>
                <w:rFonts w:ascii="Times New Roman" w:hAnsi="Times New Roman" w:cs="Times New Roman"/>
                <w:lang w:val="it-CH"/>
              </w:rPr>
            </w:pPr>
            <w:r w:rsidRPr="009E686F">
              <w:rPr>
                <w:rFonts w:ascii="Times New Roman" w:hAnsi="Times New Roman" w:cs="Times New Roman"/>
                <w:lang w:val="it-CH"/>
              </w:rPr>
              <w:t>(b) prin control;</w:t>
            </w:r>
          </w:p>
          <w:p w14:paraId="7ED8EC33" w14:textId="19FEBACB" w:rsidR="00F8180E" w:rsidRPr="009E686F" w:rsidRDefault="00F8180E" w:rsidP="00ED2C1C">
            <w:pPr>
              <w:spacing w:after="0"/>
              <w:jc w:val="both"/>
              <w:rPr>
                <w:rFonts w:ascii="Times New Roman" w:hAnsi="Times New Roman" w:cs="Times New Roman"/>
                <w:lang w:val="it-CH"/>
              </w:rPr>
            </w:pPr>
            <w:r w:rsidRPr="009E686F">
              <w:rPr>
                <w:rFonts w:ascii="Times New Roman" w:hAnsi="Times New Roman" w:cs="Times New Roman"/>
                <w:lang w:val="it-CH"/>
              </w:rPr>
              <w:t>(c) printr-o legătură permanentă între ambele sau toate aceste persoane și aceeași persoană terță printr-o relație de control;</w:t>
            </w:r>
          </w:p>
        </w:tc>
        <w:tc>
          <w:tcPr>
            <w:tcW w:w="470" w:type="pct"/>
            <w:tcBorders>
              <w:top w:val="single" w:sz="4" w:space="0" w:color="auto"/>
              <w:left w:val="single" w:sz="4" w:space="0" w:color="auto"/>
              <w:bottom w:val="single" w:sz="4" w:space="0" w:color="auto"/>
              <w:right w:val="single" w:sz="4" w:space="0" w:color="auto"/>
            </w:tcBorders>
          </w:tcPr>
          <w:p w14:paraId="59E4F4FF" w14:textId="2483987D" w:rsidR="00F8180E" w:rsidRPr="009E686F" w:rsidRDefault="00F8180E" w:rsidP="00F8180E">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62EA4DC5" w14:textId="66FB8332" w:rsidR="00F8180E" w:rsidRPr="009E686F" w:rsidRDefault="00F8180E" w:rsidP="00515783">
            <w:pPr>
              <w:spacing w:after="0"/>
              <w:jc w:val="both"/>
              <w:rPr>
                <w:rFonts w:ascii="Times New Roman" w:hAnsi="Times New Roman" w:cs="Times New Roman"/>
              </w:rPr>
            </w:pPr>
          </w:p>
        </w:tc>
      </w:tr>
      <w:tr w:rsidR="00B30AFC" w:rsidRPr="009E686F" w14:paraId="632F6C82" w14:textId="09545AF7" w:rsidTr="00960C23">
        <w:tc>
          <w:tcPr>
            <w:tcW w:w="1890" w:type="pct"/>
            <w:tcBorders>
              <w:top w:val="single" w:sz="4" w:space="0" w:color="auto"/>
              <w:left w:val="single" w:sz="4" w:space="0" w:color="auto"/>
              <w:bottom w:val="single" w:sz="4" w:space="0" w:color="auto"/>
              <w:right w:val="single" w:sz="4" w:space="0" w:color="auto"/>
            </w:tcBorders>
          </w:tcPr>
          <w:p w14:paraId="7895C7BB" w14:textId="141458BA" w:rsidR="00F8180E" w:rsidRPr="009E686F" w:rsidRDefault="00F8180E" w:rsidP="00ED2C1C">
            <w:pPr>
              <w:spacing w:after="0"/>
              <w:jc w:val="both"/>
              <w:rPr>
                <w:rFonts w:ascii="Times New Roman" w:hAnsi="Times New Roman" w:cs="Times New Roman"/>
                <w:lang w:val="it-CH"/>
              </w:rPr>
            </w:pPr>
            <w:r w:rsidRPr="009E686F">
              <w:rPr>
                <w:rFonts w:ascii="Times New Roman" w:hAnsi="Times New Roman" w:cs="Times New Roman"/>
                <w:lang w:val="it-CH"/>
              </w:rPr>
              <w:t>36. "autoritate competentă" înseamnă o autoritate competentă astfel cum este definită la articolul 4 alineatul (1) punctul 40 din Regulamentul (UE) nr. 575/2013;</w:t>
            </w:r>
          </w:p>
        </w:tc>
        <w:tc>
          <w:tcPr>
            <w:tcW w:w="1834" w:type="pct"/>
            <w:tcBorders>
              <w:top w:val="single" w:sz="4" w:space="0" w:color="auto"/>
              <w:left w:val="single" w:sz="4" w:space="0" w:color="auto"/>
              <w:bottom w:val="single" w:sz="4" w:space="0" w:color="auto"/>
              <w:right w:val="single" w:sz="4" w:space="0" w:color="auto"/>
            </w:tcBorders>
          </w:tcPr>
          <w:p w14:paraId="49AC6589" w14:textId="120EAC76" w:rsidR="00F8180E" w:rsidRPr="009E686F" w:rsidRDefault="00F8180E" w:rsidP="00ED2C1C">
            <w:pPr>
              <w:spacing w:after="0"/>
              <w:jc w:val="both"/>
              <w:rPr>
                <w:rFonts w:ascii="Times New Roman" w:hAnsi="Times New Roman" w:cs="Times New Roman"/>
                <w:lang w:val="it-CH"/>
              </w:rPr>
            </w:pPr>
            <w:r w:rsidRPr="009E686F">
              <w:rPr>
                <w:rFonts w:ascii="Times New Roman" w:eastAsia="Aptos" w:hAnsi="Times New Roman" w:cs="Times New Roman"/>
                <w:i/>
                <w:iCs/>
                <w:kern w:val="2"/>
                <w:lang w:val="ro-MD"/>
              </w:rPr>
              <w:t>autoritate competentă</w:t>
            </w:r>
            <w:r w:rsidRPr="009E686F">
              <w:rPr>
                <w:rFonts w:ascii="Times New Roman" w:eastAsia="Aptos" w:hAnsi="Times New Roman" w:cs="Times New Roman"/>
                <w:kern w:val="2"/>
                <w:lang w:val="ro-MD"/>
              </w:rPr>
              <w:t xml:space="preserve"> – autoritate publică sau organism recunoscut oficial în dreptul intern, care este împuternicit, în temeiul legislaţiei, să supravegheze </w:t>
            </w:r>
            <w:r w:rsidR="00A51A7D" w:rsidRPr="009E686F">
              <w:rPr>
                <w:rFonts w:ascii="Times New Roman" w:eastAsia="Aptos" w:hAnsi="Times New Roman" w:cs="Times New Roman"/>
                <w:i/>
                <w:iCs/>
                <w:kern w:val="2"/>
                <w:lang w:val="ro-MD"/>
              </w:rPr>
              <w:t>instituțiile de credit</w:t>
            </w:r>
            <w:r w:rsidRPr="009E686F">
              <w:rPr>
                <w:rFonts w:ascii="Times New Roman" w:eastAsia="Aptos" w:hAnsi="Times New Roman" w:cs="Times New Roman"/>
                <w:kern w:val="2"/>
                <w:lang w:val="ro-MD"/>
              </w:rPr>
              <w:t>, ca parte a sistemului de supraveghere existent într-un stat;</w:t>
            </w:r>
          </w:p>
        </w:tc>
        <w:tc>
          <w:tcPr>
            <w:tcW w:w="470" w:type="pct"/>
            <w:tcBorders>
              <w:top w:val="single" w:sz="4" w:space="0" w:color="auto"/>
              <w:left w:val="single" w:sz="4" w:space="0" w:color="auto"/>
              <w:bottom w:val="single" w:sz="4" w:space="0" w:color="auto"/>
              <w:right w:val="single" w:sz="4" w:space="0" w:color="auto"/>
            </w:tcBorders>
          </w:tcPr>
          <w:p w14:paraId="3BC808EA" w14:textId="3A3077B8" w:rsidR="00F8180E" w:rsidRPr="009E686F" w:rsidRDefault="00F8180E" w:rsidP="00F8180E">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75C0093D" w14:textId="3F97C0B0" w:rsidR="00F8180E" w:rsidRPr="009E686F" w:rsidRDefault="00F8180E" w:rsidP="00515783">
            <w:pPr>
              <w:spacing w:after="0"/>
              <w:jc w:val="both"/>
              <w:rPr>
                <w:rFonts w:ascii="Times New Roman" w:hAnsi="Times New Roman" w:cs="Times New Roman"/>
              </w:rPr>
            </w:pPr>
          </w:p>
        </w:tc>
      </w:tr>
      <w:tr w:rsidR="00B30AFC" w:rsidRPr="009E686F" w14:paraId="34346B77" w14:textId="2022A396" w:rsidTr="00960C23">
        <w:tc>
          <w:tcPr>
            <w:tcW w:w="1890" w:type="pct"/>
            <w:tcBorders>
              <w:top w:val="single" w:sz="4" w:space="0" w:color="auto"/>
              <w:left w:val="single" w:sz="4" w:space="0" w:color="auto"/>
              <w:bottom w:val="single" w:sz="4" w:space="0" w:color="auto"/>
              <w:right w:val="single" w:sz="4" w:space="0" w:color="auto"/>
            </w:tcBorders>
          </w:tcPr>
          <w:p w14:paraId="3BCB2F2C" w14:textId="55A6A92C" w:rsidR="00F8180E" w:rsidRPr="009E686F" w:rsidRDefault="00F8180E" w:rsidP="00ED2C1C">
            <w:pPr>
              <w:spacing w:after="0"/>
              <w:jc w:val="both"/>
              <w:rPr>
                <w:rFonts w:ascii="Times New Roman" w:hAnsi="Times New Roman" w:cs="Times New Roman"/>
                <w:lang w:val="it-CH"/>
              </w:rPr>
            </w:pPr>
            <w:r w:rsidRPr="009E686F">
              <w:rPr>
                <w:rFonts w:ascii="Times New Roman" w:hAnsi="Times New Roman" w:cs="Times New Roman"/>
                <w:lang w:val="it-CH"/>
              </w:rPr>
              <w:t>37. "supraveghetor consolidant" înseamnă un supraveghetor consolidant astfel cum este definit la articolul 4 alineatul (1) punctul 41 din Regulamentul (UE) nr. 575/2013;</w:t>
            </w:r>
          </w:p>
        </w:tc>
        <w:tc>
          <w:tcPr>
            <w:tcW w:w="1834" w:type="pct"/>
            <w:tcBorders>
              <w:top w:val="single" w:sz="4" w:space="0" w:color="auto"/>
              <w:left w:val="single" w:sz="4" w:space="0" w:color="auto"/>
              <w:bottom w:val="single" w:sz="4" w:space="0" w:color="auto"/>
              <w:right w:val="single" w:sz="4" w:space="0" w:color="auto"/>
            </w:tcBorders>
          </w:tcPr>
          <w:p w14:paraId="593D6453" w14:textId="65793BD4" w:rsidR="00F8180E" w:rsidRPr="009E686F" w:rsidRDefault="00F8180E" w:rsidP="00ED2C1C">
            <w:pPr>
              <w:spacing w:after="0"/>
              <w:jc w:val="both"/>
              <w:rPr>
                <w:rFonts w:ascii="Times New Roman" w:hAnsi="Times New Roman" w:cs="Times New Roman"/>
                <w:lang w:val="it-CH"/>
              </w:rPr>
            </w:pPr>
            <w:r w:rsidRPr="009E686F">
              <w:rPr>
                <w:rFonts w:ascii="Times New Roman" w:hAnsi="Times New Roman" w:cs="Times New Roman"/>
                <w:i/>
                <w:iCs/>
                <w:lang w:val="it-CH"/>
              </w:rPr>
              <w:t>supraveghetor consolidant</w:t>
            </w:r>
            <w:r w:rsidRPr="009E686F">
              <w:rPr>
                <w:rFonts w:ascii="Times New Roman" w:hAnsi="Times New Roman" w:cs="Times New Roman"/>
                <w:b/>
                <w:lang w:val="it-CH"/>
              </w:rPr>
              <w:t xml:space="preserve"> </w:t>
            </w:r>
            <w:r w:rsidRPr="009E686F">
              <w:rPr>
                <w:rFonts w:ascii="Times New Roman" w:hAnsi="Times New Roman" w:cs="Times New Roman"/>
                <w:lang w:val="it-CH"/>
              </w:rPr>
              <w:t>–  autoritate competentă responsabilă cu realizarea supravegherii pe bază consolidată (pe baza situației consolidate)</w:t>
            </w:r>
            <w:r w:rsidR="00A36903" w:rsidRPr="009E686F">
              <w:rPr>
                <w:rFonts w:ascii="Times New Roman" w:hAnsi="Times New Roman" w:cs="Times New Roman"/>
                <w:i/>
                <w:iCs/>
                <w:lang w:val="it-CH"/>
              </w:rPr>
              <w:t xml:space="preserve"> </w:t>
            </w:r>
            <w:r w:rsidRPr="009E686F">
              <w:rPr>
                <w:rFonts w:ascii="Times New Roman" w:hAnsi="Times New Roman" w:cs="Times New Roman"/>
                <w:i/>
                <w:iCs/>
                <w:lang w:val="it-CH"/>
              </w:rPr>
              <w:t>în conformitate cu art. 109</w:t>
            </w:r>
            <w:r w:rsidR="00113079" w:rsidRPr="009E686F">
              <w:rPr>
                <w:rFonts w:ascii="Times New Roman" w:hAnsi="Times New Roman" w:cs="Times New Roman"/>
                <w:lang w:val="it-CH"/>
              </w:rPr>
              <w:t>.</w:t>
            </w:r>
          </w:p>
        </w:tc>
        <w:tc>
          <w:tcPr>
            <w:tcW w:w="470" w:type="pct"/>
            <w:tcBorders>
              <w:top w:val="single" w:sz="4" w:space="0" w:color="auto"/>
              <w:left w:val="single" w:sz="4" w:space="0" w:color="auto"/>
              <w:bottom w:val="single" w:sz="4" w:space="0" w:color="auto"/>
              <w:right w:val="single" w:sz="4" w:space="0" w:color="auto"/>
            </w:tcBorders>
          </w:tcPr>
          <w:p w14:paraId="2B482309" w14:textId="706D994B" w:rsidR="00F8180E" w:rsidRPr="009E686F" w:rsidRDefault="00F8180E" w:rsidP="00F8180E">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233E9DB2" w14:textId="040ABED8" w:rsidR="00F8180E" w:rsidRPr="009E686F" w:rsidRDefault="00F8180E" w:rsidP="00515783">
            <w:pPr>
              <w:spacing w:after="0"/>
              <w:jc w:val="both"/>
              <w:rPr>
                <w:rFonts w:ascii="Times New Roman" w:hAnsi="Times New Roman" w:cs="Times New Roman"/>
              </w:rPr>
            </w:pPr>
          </w:p>
        </w:tc>
      </w:tr>
      <w:tr w:rsidR="00B30AFC" w:rsidRPr="009E686F" w14:paraId="1195D18D" w14:textId="1ECDBA9D" w:rsidTr="00960C23">
        <w:tc>
          <w:tcPr>
            <w:tcW w:w="1890" w:type="pct"/>
            <w:tcBorders>
              <w:top w:val="single" w:sz="4" w:space="0" w:color="auto"/>
              <w:left w:val="single" w:sz="4" w:space="0" w:color="auto"/>
              <w:bottom w:val="single" w:sz="4" w:space="0" w:color="auto"/>
              <w:right w:val="single" w:sz="4" w:space="0" w:color="auto"/>
            </w:tcBorders>
          </w:tcPr>
          <w:p w14:paraId="04FD80C1" w14:textId="3F798D1D" w:rsidR="00F8180E" w:rsidRPr="009E686F" w:rsidRDefault="00F8180E" w:rsidP="00ED2C1C">
            <w:pPr>
              <w:spacing w:after="0"/>
              <w:jc w:val="both"/>
              <w:rPr>
                <w:rFonts w:ascii="Times New Roman" w:hAnsi="Times New Roman" w:cs="Times New Roman"/>
                <w:lang w:val="it-CH"/>
              </w:rPr>
            </w:pPr>
            <w:r w:rsidRPr="009E686F">
              <w:rPr>
                <w:rFonts w:ascii="Times New Roman" w:hAnsi="Times New Roman" w:cs="Times New Roman"/>
                <w:lang w:val="it-CH"/>
              </w:rPr>
              <w:t>38. "autorizație" înseamnă o autorizație astfel cum este definită la articolul 4 alineatul (1) punctul 42 din Regulamentul (UE) nr. 575/2013;</w:t>
            </w:r>
          </w:p>
        </w:tc>
        <w:tc>
          <w:tcPr>
            <w:tcW w:w="1834" w:type="pct"/>
            <w:tcBorders>
              <w:top w:val="single" w:sz="4" w:space="0" w:color="auto"/>
              <w:left w:val="single" w:sz="4" w:space="0" w:color="auto"/>
              <w:bottom w:val="single" w:sz="4" w:space="0" w:color="auto"/>
              <w:right w:val="single" w:sz="4" w:space="0" w:color="auto"/>
            </w:tcBorders>
          </w:tcPr>
          <w:p w14:paraId="578EC5DC" w14:textId="247846CF" w:rsidR="00F8180E" w:rsidRPr="009E686F" w:rsidRDefault="00F8180E" w:rsidP="00ED2C1C">
            <w:pPr>
              <w:spacing w:after="0"/>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RO"/>
              </w:rPr>
              <w:t xml:space="preserve">autorizație – </w:t>
            </w:r>
            <w:r w:rsidRPr="009E686F">
              <w:rPr>
                <w:rFonts w:ascii="Times New Roman" w:eastAsia="Aptos" w:hAnsi="Times New Roman" w:cs="Times New Roman"/>
                <w:i/>
                <w:iCs/>
                <w:kern w:val="2"/>
                <w:lang w:val="ro-MD"/>
              </w:rPr>
              <w:t>instrument eliberat sub forma stabilită de Banca Națională a Moldovei, prin care se acordă dreptul de a desfășura activitatea;</w:t>
            </w:r>
          </w:p>
          <w:p w14:paraId="3965B587" w14:textId="5EF17B61" w:rsidR="00F8180E" w:rsidRPr="009E686F" w:rsidRDefault="00F8180E" w:rsidP="00ED2C1C">
            <w:pPr>
              <w:spacing w:after="0"/>
              <w:jc w:val="both"/>
              <w:rPr>
                <w:rFonts w:ascii="Times New Roman" w:hAnsi="Times New Roman" w:cs="Times New Roman"/>
                <w:i/>
                <w:iCs/>
                <w:lang w:val="it-CH"/>
              </w:rPr>
            </w:pPr>
          </w:p>
        </w:tc>
        <w:tc>
          <w:tcPr>
            <w:tcW w:w="470" w:type="pct"/>
            <w:tcBorders>
              <w:top w:val="single" w:sz="4" w:space="0" w:color="auto"/>
              <w:left w:val="single" w:sz="4" w:space="0" w:color="auto"/>
              <w:bottom w:val="single" w:sz="4" w:space="0" w:color="auto"/>
              <w:right w:val="single" w:sz="4" w:space="0" w:color="auto"/>
            </w:tcBorders>
          </w:tcPr>
          <w:p w14:paraId="7B2B4932" w14:textId="77777777" w:rsidR="00F8180E" w:rsidRPr="009E686F" w:rsidRDefault="00F8180E" w:rsidP="00F8180E">
            <w:pPr>
              <w:jc w:val="both"/>
              <w:rPr>
                <w:rFonts w:ascii="Times New Roman" w:hAnsi="Times New Roman" w:cs="Times New Roman"/>
              </w:rPr>
            </w:pPr>
            <w:r w:rsidRPr="009E686F">
              <w:rPr>
                <w:rFonts w:ascii="Times New Roman" w:hAnsi="Times New Roman" w:cs="Times New Roman"/>
              </w:rPr>
              <w:t>Compatibil</w:t>
            </w:r>
          </w:p>
          <w:p w14:paraId="63603BB3" w14:textId="17A22FEF" w:rsidR="00F8180E" w:rsidRPr="009E686F" w:rsidRDefault="00F8180E" w:rsidP="00F8180E">
            <w:pPr>
              <w:jc w:val="both"/>
              <w:rPr>
                <w:rFonts w:ascii="Times New Roman" w:hAnsi="Times New Roman" w:cs="Times New Roman"/>
              </w:rPr>
            </w:pPr>
          </w:p>
        </w:tc>
        <w:tc>
          <w:tcPr>
            <w:tcW w:w="806" w:type="pct"/>
            <w:tcBorders>
              <w:top w:val="single" w:sz="4" w:space="0" w:color="auto"/>
              <w:left w:val="single" w:sz="4" w:space="0" w:color="auto"/>
              <w:bottom w:val="single" w:sz="4" w:space="0" w:color="auto"/>
              <w:right w:val="single" w:sz="4" w:space="0" w:color="auto"/>
            </w:tcBorders>
          </w:tcPr>
          <w:p w14:paraId="0DF1D570" w14:textId="0974DD73" w:rsidR="00F8180E" w:rsidRPr="009E686F" w:rsidRDefault="00F8180E" w:rsidP="00515783">
            <w:pPr>
              <w:spacing w:after="0"/>
              <w:jc w:val="both"/>
              <w:rPr>
                <w:rFonts w:ascii="Times New Roman" w:hAnsi="Times New Roman" w:cs="Times New Roman"/>
              </w:rPr>
            </w:pPr>
          </w:p>
        </w:tc>
      </w:tr>
      <w:tr w:rsidR="00B30AFC" w:rsidRPr="009E686F" w14:paraId="0069697C" w14:textId="349297A7" w:rsidTr="00960C23">
        <w:tc>
          <w:tcPr>
            <w:tcW w:w="1890" w:type="pct"/>
            <w:tcBorders>
              <w:top w:val="single" w:sz="4" w:space="0" w:color="auto"/>
              <w:left w:val="single" w:sz="4" w:space="0" w:color="auto"/>
              <w:bottom w:val="single" w:sz="4" w:space="0" w:color="auto"/>
              <w:right w:val="single" w:sz="4" w:space="0" w:color="auto"/>
            </w:tcBorders>
          </w:tcPr>
          <w:p w14:paraId="587B17CC" w14:textId="5E526E88" w:rsidR="00F8180E" w:rsidRPr="009E686F" w:rsidRDefault="00F8180E" w:rsidP="00ED2C1C">
            <w:pPr>
              <w:spacing w:after="0"/>
              <w:jc w:val="both"/>
              <w:rPr>
                <w:rFonts w:ascii="Times New Roman" w:hAnsi="Times New Roman" w:cs="Times New Roman"/>
                <w:lang w:val="it-CH"/>
              </w:rPr>
            </w:pPr>
            <w:r w:rsidRPr="009E686F">
              <w:rPr>
                <w:rFonts w:ascii="Times New Roman" w:hAnsi="Times New Roman" w:cs="Times New Roman"/>
                <w:lang w:val="it-CH"/>
              </w:rPr>
              <w:t>39. "stat membru de origine" înseamnă stat membru de origine astfel cum este definit la articolul 4 alineatul (1) punctul 43 din Regulamentul (UE) nr. 575/2013;</w:t>
            </w:r>
          </w:p>
        </w:tc>
        <w:tc>
          <w:tcPr>
            <w:tcW w:w="1834" w:type="pct"/>
            <w:tcBorders>
              <w:top w:val="single" w:sz="4" w:space="0" w:color="auto"/>
              <w:left w:val="single" w:sz="4" w:space="0" w:color="auto"/>
              <w:bottom w:val="single" w:sz="4" w:space="0" w:color="auto"/>
              <w:right w:val="single" w:sz="4" w:space="0" w:color="auto"/>
            </w:tcBorders>
          </w:tcPr>
          <w:p w14:paraId="6E875DCA" w14:textId="76257110" w:rsidR="00F8180E" w:rsidRPr="009E686F" w:rsidRDefault="00F8180E" w:rsidP="00ED2C1C">
            <w:pPr>
              <w:spacing w:after="0"/>
              <w:jc w:val="both"/>
              <w:rPr>
                <w:rFonts w:ascii="Times New Roman" w:hAnsi="Times New Roman" w:cs="Times New Roman"/>
              </w:rPr>
            </w:pPr>
            <w:r w:rsidRPr="009E686F">
              <w:rPr>
                <w:rFonts w:ascii="Times New Roman" w:hAnsi="Times New Roman" w:cs="Times New Roman"/>
                <w:bCs/>
                <w:i/>
                <w:iCs/>
              </w:rPr>
              <w:t xml:space="preserve">stat </w:t>
            </w:r>
            <w:r w:rsidR="00C1130B" w:rsidRPr="009E686F">
              <w:rPr>
                <w:rFonts w:ascii="Times New Roman" w:hAnsi="Times New Roman" w:cs="Times New Roman"/>
                <w:bCs/>
                <w:i/>
                <w:iCs/>
              </w:rPr>
              <w:t xml:space="preserve">membru </w:t>
            </w:r>
            <w:r w:rsidRPr="009E686F">
              <w:rPr>
                <w:rFonts w:ascii="Times New Roman" w:hAnsi="Times New Roman" w:cs="Times New Roman"/>
                <w:bCs/>
                <w:i/>
                <w:iCs/>
              </w:rPr>
              <w:t>de origine</w:t>
            </w:r>
            <w:r w:rsidRPr="009E686F">
              <w:rPr>
                <w:rFonts w:ascii="Times New Roman" w:hAnsi="Times New Roman" w:cs="Times New Roman"/>
              </w:rPr>
              <w:t xml:space="preserve"> – statul </w:t>
            </w:r>
            <w:r w:rsidRPr="009E686F">
              <w:rPr>
                <w:rFonts w:ascii="Times New Roman" w:hAnsi="Times New Roman" w:cs="Times New Roman"/>
                <w:i/>
                <w:iCs/>
              </w:rPr>
              <w:t>membru</w:t>
            </w:r>
            <w:r w:rsidRPr="009E686F">
              <w:rPr>
                <w:rFonts w:ascii="Times New Roman" w:hAnsi="Times New Roman" w:cs="Times New Roman"/>
              </w:rPr>
              <w:t xml:space="preserve"> în care o </w:t>
            </w:r>
            <w:r w:rsidR="00A51A7D" w:rsidRPr="009E686F">
              <w:rPr>
                <w:rFonts w:ascii="Times New Roman" w:hAnsi="Times New Roman" w:cs="Times New Roman"/>
                <w:i/>
                <w:iCs/>
              </w:rPr>
              <w:t>instituție de credit</w:t>
            </w:r>
            <w:r w:rsidRPr="009E686F">
              <w:rPr>
                <w:rFonts w:ascii="Times New Roman" w:hAnsi="Times New Roman" w:cs="Times New Roman"/>
              </w:rPr>
              <w:t xml:space="preserve"> a fost autorizată; </w:t>
            </w:r>
          </w:p>
        </w:tc>
        <w:tc>
          <w:tcPr>
            <w:tcW w:w="470" w:type="pct"/>
            <w:tcBorders>
              <w:top w:val="single" w:sz="4" w:space="0" w:color="auto"/>
              <w:left w:val="single" w:sz="4" w:space="0" w:color="auto"/>
              <w:bottom w:val="single" w:sz="4" w:space="0" w:color="auto"/>
              <w:right w:val="single" w:sz="4" w:space="0" w:color="auto"/>
            </w:tcBorders>
          </w:tcPr>
          <w:p w14:paraId="740EBBE0" w14:textId="627AFD6B" w:rsidR="00F8180E" w:rsidRPr="009E686F" w:rsidRDefault="00F8180E" w:rsidP="00F8180E">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5A260A63" w14:textId="7DDF2155" w:rsidR="00F8180E" w:rsidRPr="009E686F" w:rsidRDefault="00F8180E" w:rsidP="00515783">
            <w:pPr>
              <w:spacing w:after="0"/>
              <w:jc w:val="both"/>
              <w:rPr>
                <w:rFonts w:ascii="Times New Roman" w:hAnsi="Times New Roman" w:cs="Times New Roman"/>
              </w:rPr>
            </w:pPr>
          </w:p>
        </w:tc>
      </w:tr>
      <w:tr w:rsidR="00B30AFC" w:rsidRPr="009E686F" w14:paraId="5772BD40" w14:textId="3F8B4959" w:rsidTr="00960C23">
        <w:tc>
          <w:tcPr>
            <w:tcW w:w="1890" w:type="pct"/>
            <w:tcBorders>
              <w:top w:val="single" w:sz="4" w:space="0" w:color="auto"/>
              <w:left w:val="single" w:sz="4" w:space="0" w:color="auto"/>
              <w:bottom w:val="single" w:sz="4" w:space="0" w:color="auto"/>
              <w:right w:val="single" w:sz="4" w:space="0" w:color="auto"/>
            </w:tcBorders>
          </w:tcPr>
          <w:p w14:paraId="17879312" w14:textId="3370D9DD" w:rsidR="00F8180E" w:rsidRPr="009E686F" w:rsidRDefault="00F8180E" w:rsidP="00ED2C1C">
            <w:pPr>
              <w:spacing w:after="0"/>
              <w:jc w:val="both"/>
              <w:rPr>
                <w:rFonts w:ascii="Times New Roman" w:hAnsi="Times New Roman" w:cs="Times New Roman"/>
                <w:lang w:val="it-CH"/>
              </w:rPr>
            </w:pPr>
            <w:r w:rsidRPr="009E686F">
              <w:rPr>
                <w:rFonts w:ascii="Times New Roman" w:hAnsi="Times New Roman" w:cs="Times New Roman"/>
                <w:lang w:val="it-CH"/>
              </w:rPr>
              <w:t>40. "stat membru gazdă" înseamnă stat membru gazdă astfel cum este definit la articolul 4 alineatul (1) punctul 44 din Regulamentul (UE) nr. 575/2013;</w:t>
            </w:r>
          </w:p>
        </w:tc>
        <w:tc>
          <w:tcPr>
            <w:tcW w:w="1834" w:type="pct"/>
            <w:tcBorders>
              <w:top w:val="single" w:sz="4" w:space="0" w:color="auto"/>
              <w:left w:val="single" w:sz="4" w:space="0" w:color="auto"/>
              <w:bottom w:val="single" w:sz="4" w:space="0" w:color="auto"/>
              <w:right w:val="single" w:sz="4" w:space="0" w:color="auto"/>
            </w:tcBorders>
          </w:tcPr>
          <w:p w14:paraId="77ABB9A6" w14:textId="10F89229" w:rsidR="00F8180E" w:rsidRPr="009E686F" w:rsidRDefault="00F8180E" w:rsidP="00ED2C1C">
            <w:pPr>
              <w:spacing w:after="0"/>
              <w:jc w:val="both"/>
              <w:rPr>
                <w:rFonts w:ascii="Times New Roman" w:hAnsi="Times New Roman" w:cs="Times New Roman"/>
                <w:b/>
                <w:lang w:val="it-CH"/>
              </w:rPr>
            </w:pPr>
            <w:r w:rsidRPr="009E686F">
              <w:rPr>
                <w:rFonts w:ascii="Times New Roman" w:hAnsi="Times New Roman" w:cs="Times New Roman"/>
                <w:bCs/>
                <w:i/>
                <w:iCs/>
                <w:lang w:val="it-CH"/>
              </w:rPr>
              <w:t>stat</w:t>
            </w:r>
            <w:r w:rsidR="00C1130B" w:rsidRPr="009E686F">
              <w:rPr>
                <w:rFonts w:ascii="Times New Roman" w:hAnsi="Times New Roman" w:cs="Times New Roman"/>
                <w:bCs/>
                <w:i/>
                <w:iCs/>
                <w:lang w:val="it-CH"/>
              </w:rPr>
              <w:t xml:space="preserve"> membru</w:t>
            </w:r>
            <w:r w:rsidRPr="009E686F">
              <w:rPr>
                <w:rFonts w:ascii="Times New Roman" w:hAnsi="Times New Roman" w:cs="Times New Roman"/>
                <w:bCs/>
                <w:i/>
                <w:iCs/>
                <w:lang w:val="it-CH"/>
              </w:rPr>
              <w:t xml:space="preserve"> gazdă</w:t>
            </w:r>
            <w:r w:rsidRPr="009E686F">
              <w:rPr>
                <w:rFonts w:ascii="Times New Roman" w:hAnsi="Times New Roman" w:cs="Times New Roman"/>
                <w:lang w:val="it-CH"/>
              </w:rPr>
              <w:t xml:space="preserve"> – statul </w:t>
            </w:r>
            <w:r w:rsidRPr="009E686F">
              <w:rPr>
                <w:rFonts w:ascii="Times New Roman" w:hAnsi="Times New Roman" w:cs="Times New Roman"/>
                <w:i/>
                <w:iCs/>
                <w:lang w:val="it-CH"/>
              </w:rPr>
              <w:t>membru</w:t>
            </w:r>
            <w:r w:rsidRPr="009E686F">
              <w:rPr>
                <w:rFonts w:ascii="Times New Roman" w:hAnsi="Times New Roman" w:cs="Times New Roman"/>
                <w:lang w:val="it-CH"/>
              </w:rPr>
              <w:t xml:space="preserve"> în care o </w:t>
            </w:r>
            <w:r w:rsidR="00A51A7D" w:rsidRPr="009E686F">
              <w:rPr>
                <w:rFonts w:ascii="Times New Roman" w:hAnsi="Times New Roman" w:cs="Times New Roman"/>
                <w:i/>
                <w:iCs/>
                <w:lang w:val="it-CH"/>
              </w:rPr>
              <w:t>instituție de credit</w:t>
            </w:r>
            <w:r w:rsidRPr="009E686F">
              <w:rPr>
                <w:rFonts w:ascii="Times New Roman" w:hAnsi="Times New Roman" w:cs="Times New Roman"/>
                <w:lang w:val="it-CH"/>
              </w:rPr>
              <w:t xml:space="preserve">  are o sucursală</w:t>
            </w:r>
            <w:r w:rsidR="00A36903" w:rsidRPr="009E686F">
              <w:t xml:space="preserve"> </w:t>
            </w:r>
            <w:r w:rsidR="00A36903" w:rsidRPr="009E686F">
              <w:rPr>
                <w:rFonts w:ascii="Times New Roman" w:hAnsi="Times New Roman" w:cs="Times New Roman"/>
                <w:i/>
                <w:iCs/>
                <w:lang w:val="it-CH"/>
              </w:rPr>
              <w:t>sau în care prestează servicii</w:t>
            </w:r>
            <w:r w:rsidRPr="009E686F">
              <w:rPr>
                <w:rFonts w:ascii="Times New Roman" w:hAnsi="Times New Roman" w:cs="Times New Roman"/>
                <w:lang w:val="it-CH"/>
              </w:rPr>
              <w:t xml:space="preserve">; </w:t>
            </w:r>
          </w:p>
        </w:tc>
        <w:tc>
          <w:tcPr>
            <w:tcW w:w="470" w:type="pct"/>
            <w:tcBorders>
              <w:top w:val="single" w:sz="4" w:space="0" w:color="auto"/>
              <w:left w:val="single" w:sz="4" w:space="0" w:color="auto"/>
              <w:bottom w:val="single" w:sz="4" w:space="0" w:color="auto"/>
              <w:right w:val="single" w:sz="4" w:space="0" w:color="auto"/>
            </w:tcBorders>
          </w:tcPr>
          <w:p w14:paraId="6A0DF5AE" w14:textId="2358D2D5" w:rsidR="00F8180E" w:rsidRPr="009E686F" w:rsidRDefault="00F8180E" w:rsidP="00F8180E">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11FDFA29" w14:textId="744A8645" w:rsidR="00F8180E" w:rsidRPr="009E686F" w:rsidRDefault="00F8180E" w:rsidP="00515783">
            <w:pPr>
              <w:spacing w:after="0"/>
              <w:jc w:val="both"/>
              <w:rPr>
                <w:rFonts w:ascii="Times New Roman" w:hAnsi="Times New Roman" w:cs="Times New Roman"/>
              </w:rPr>
            </w:pPr>
          </w:p>
        </w:tc>
      </w:tr>
      <w:tr w:rsidR="00B30AFC" w:rsidRPr="009E686F" w14:paraId="403B0272" w14:textId="07E99FCC" w:rsidTr="00960C23">
        <w:tc>
          <w:tcPr>
            <w:tcW w:w="1890" w:type="pct"/>
            <w:tcBorders>
              <w:top w:val="single" w:sz="4" w:space="0" w:color="auto"/>
              <w:left w:val="single" w:sz="4" w:space="0" w:color="auto"/>
              <w:bottom w:val="single" w:sz="4" w:space="0" w:color="auto"/>
              <w:right w:val="single" w:sz="4" w:space="0" w:color="auto"/>
            </w:tcBorders>
          </w:tcPr>
          <w:p w14:paraId="2BD5B0EA" w14:textId="7C515C0F" w:rsidR="00F8180E" w:rsidRPr="009E686F" w:rsidRDefault="00F8180E" w:rsidP="00ED2C1C">
            <w:pPr>
              <w:spacing w:after="0"/>
              <w:jc w:val="both"/>
              <w:rPr>
                <w:rFonts w:ascii="Times New Roman" w:hAnsi="Times New Roman" w:cs="Times New Roman"/>
                <w:lang w:val="it-CH"/>
              </w:rPr>
            </w:pPr>
            <w:r w:rsidRPr="009E686F">
              <w:rPr>
                <w:rFonts w:ascii="Times New Roman" w:hAnsi="Times New Roman" w:cs="Times New Roman"/>
                <w:lang w:val="it-CH"/>
              </w:rPr>
              <w:t>41. "bănci centrale din cadrul SEBC" înseamnă bănci centrale din cadrul SEBC astfel cum sunt definite la articolul 4 alineatul (1) punctul 45 din Regulamentul (UE) nr. 575/2013;</w:t>
            </w:r>
          </w:p>
        </w:tc>
        <w:tc>
          <w:tcPr>
            <w:tcW w:w="1834" w:type="pct"/>
            <w:tcBorders>
              <w:top w:val="single" w:sz="4" w:space="0" w:color="auto"/>
              <w:left w:val="single" w:sz="4" w:space="0" w:color="auto"/>
              <w:bottom w:val="single" w:sz="4" w:space="0" w:color="auto"/>
              <w:right w:val="single" w:sz="4" w:space="0" w:color="auto"/>
            </w:tcBorders>
          </w:tcPr>
          <w:p w14:paraId="1131A03F" w14:textId="7A011067" w:rsidR="00F8180E" w:rsidRPr="009E686F" w:rsidRDefault="00F8180E" w:rsidP="00ED2C1C">
            <w:pPr>
              <w:spacing w:after="0"/>
              <w:jc w:val="both"/>
              <w:rPr>
                <w:rFonts w:ascii="Times New Roman" w:hAnsi="Times New Roman" w:cs="Times New Roman"/>
                <w:bCs/>
                <w:lang w:val="it-CH"/>
              </w:rPr>
            </w:pPr>
            <w:r w:rsidRPr="009E686F">
              <w:rPr>
                <w:rFonts w:ascii="Times New Roman" w:hAnsi="Times New Roman" w:cs="Times New Roman"/>
                <w:bCs/>
                <w:i/>
                <w:iCs/>
                <w:lang w:val="it-CH"/>
              </w:rPr>
              <w:t>bănci centrale din cadrul SEBC</w:t>
            </w:r>
            <w:r w:rsidRPr="009E686F">
              <w:rPr>
                <w:rFonts w:ascii="Times New Roman" w:hAnsi="Times New Roman" w:cs="Times New Roman"/>
                <w:bCs/>
                <w:lang w:val="it-CH"/>
              </w:rPr>
              <w:t xml:space="preserve"> – </w:t>
            </w:r>
            <w:r w:rsidRPr="009E686F">
              <w:rPr>
                <w:rFonts w:ascii="Times New Roman" w:hAnsi="Times New Roman" w:cs="Times New Roman"/>
                <w:bCs/>
                <w:i/>
                <w:iCs/>
                <w:lang w:val="it-CH"/>
              </w:rPr>
              <w:t>băncile centrale naţionale care sunt membre ale Sistemului European al Băncilor Centrale, precum și Banca Centrală Europeană (BCE);</w:t>
            </w:r>
          </w:p>
        </w:tc>
        <w:tc>
          <w:tcPr>
            <w:tcW w:w="470" w:type="pct"/>
            <w:tcBorders>
              <w:top w:val="single" w:sz="4" w:space="0" w:color="auto"/>
              <w:left w:val="single" w:sz="4" w:space="0" w:color="auto"/>
              <w:bottom w:val="single" w:sz="4" w:space="0" w:color="auto"/>
              <w:right w:val="single" w:sz="4" w:space="0" w:color="auto"/>
            </w:tcBorders>
          </w:tcPr>
          <w:p w14:paraId="6B7EFE2E" w14:textId="44C3255F" w:rsidR="00F8180E" w:rsidRPr="009E686F" w:rsidRDefault="00F8180E" w:rsidP="00F8180E">
            <w:pPr>
              <w:jc w:val="both"/>
              <w:rPr>
                <w:rFonts w:ascii="Times New Roman" w:hAnsi="Times New Roman" w:cs="Times New Roman"/>
                <w:lang w:val="it-CH"/>
              </w:rPr>
            </w:pPr>
          </w:p>
          <w:p w14:paraId="230277AA" w14:textId="4F113A97" w:rsidR="00F8180E" w:rsidRPr="009E686F" w:rsidRDefault="00D732CF" w:rsidP="00F8180E">
            <w:pPr>
              <w:jc w:val="both"/>
              <w:rPr>
                <w:rFonts w:ascii="Times New Roman" w:hAnsi="Times New Roman" w:cs="Times New Roman"/>
                <w:lang w:val="it-IT"/>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37DD4F61" w14:textId="161117A9" w:rsidR="00F8180E" w:rsidRPr="009E686F" w:rsidRDefault="00261F63" w:rsidP="00515783">
            <w:pPr>
              <w:spacing w:after="0"/>
              <w:jc w:val="both"/>
              <w:rPr>
                <w:rFonts w:ascii="Times New Roman" w:hAnsi="Times New Roman" w:cs="Times New Roman"/>
                <w:lang w:val="it-IT"/>
              </w:rPr>
            </w:pPr>
            <w:r w:rsidRPr="009E686F">
              <w:rPr>
                <w:rFonts w:ascii="Times New Roman" w:hAnsi="Times New Roman" w:cs="Times New Roman"/>
                <w:lang w:val="it-IT"/>
              </w:rPr>
              <w:t>În vigoare de la data aderării.</w:t>
            </w:r>
          </w:p>
        </w:tc>
      </w:tr>
      <w:tr w:rsidR="00B30AFC" w:rsidRPr="009E686F" w14:paraId="64AFDEBB" w14:textId="37B6767E" w:rsidTr="00960C23">
        <w:tc>
          <w:tcPr>
            <w:tcW w:w="1890" w:type="pct"/>
            <w:tcBorders>
              <w:top w:val="single" w:sz="4" w:space="0" w:color="auto"/>
              <w:left w:val="single" w:sz="4" w:space="0" w:color="auto"/>
              <w:bottom w:val="single" w:sz="4" w:space="0" w:color="auto"/>
              <w:right w:val="single" w:sz="4" w:space="0" w:color="auto"/>
            </w:tcBorders>
          </w:tcPr>
          <w:p w14:paraId="64614739" w14:textId="78B59C58" w:rsidR="00F8180E" w:rsidRPr="009E686F" w:rsidRDefault="00F8180E" w:rsidP="00ED2C1C">
            <w:pPr>
              <w:spacing w:after="0"/>
              <w:jc w:val="both"/>
              <w:rPr>
                <w:rFonts w:ascii="Times New Roman" w:hAnsi="Times New Roman" w:cs="Times New Roman"/>
                <w:lang w:val="it-CH"/>
              </w:rPr>
            </w:pPr>
            <w:r w:rsidRPr="009E686F">
              <w:rPr>
                <w:rFonts w:ascii="Times New Roman" w:hAnsi="Times New Roman" w:cs="Times New Roman"/>
                <w:lang w:val="it-CH"/>
              </w:rPr>
              <w:lastRenderedPageBreak/>
              <w:t>42. "bănci centrale" înseamnă bănci centrale astfel cum sunt definite la articolul 4 alineatul (1) punctul 46 din Regulamentul (UE) nr. 575/2013;</w:t>
            </w:r>
          </w:p>
        </w:tc>
        <w:tc>
          <w:tcPr>
            <w:tcW w:w="1834" w:type="pct"/>
            <w:tcBorders>
              <w:top w:val="single" w:sz="4" w:space="0" w:color="auto"/>
              <w:left w:val="single" w:sz="4" w:space="0" w:color="auto"/>
              <w:bottom w:val="single" w:sz="4" w:space="0" w:color="auto"/>
              <w:right w:val="single" w:sz="4" w:space="0" w:color="auto"/>
            </w:tcBorders>
          </w:tcPr>
          <w:p w14:paraId="3A56F65A" w14:textId="379F04C5" w:rsidR="00F8180E" w:rsidRPr="009E686F" w:rsidRDefault="00F8180E" w:rsidP="00ED2C1C">
            <w:pPr>
              <w:spacing w:after="0"/>
              <w:jc w:val="both"/>
              <w:rPr>
                <w:rFonts w:ascii="Times New Roman" w:hAnsi="Times New Roman" w:cs="Times New Roman"/>
                <w:bCs/>
                <w:lang w:val="it-CH"/>
              </w:rPr>
            </w:pPr>
            <w:r w:rsidRPr="009E686F">
              <w:rPr>
                <w:rFonts w:ascii="Times New Roman" w:hAnsi="Times New Roman" w:cs="Times New Roman"/>
                <w:bCs/>
                <w:i/>
                <w:iCs/>
                <w:lang w:val="it-CH"/>
              </w:rPr>
              <w:t>bănci centrale</w:t>
            </w:r>
            <w:r w:rsidRPr="009E686F">
              <w:rPr>
                <w:rFonts w:ascii="Times New Roman" w:hAnsi="Times New Roman" w:cs="Times New Roman"/>
                <w:bCs/>
                <w:lang w:val="it-CH"/>
              </w:rPr>
              <w:t xml:space="preserve"> – băncile centrale din cadrul Sistemului European al Băncilor Centrale (SEBC) și băncile centrale din state terţe;</w:t>
            </w:r>
          </w:p>
        </w:tc>
        <w:tc>
          <w:tcPr>
            <w:tcW w:w="470" w:type="pct"/>
            <w:tcBorders>
              <w:top w:val="single" w:sz="4" w:space="0" w:color="auto"/>
              <w:left w:val="single" w:sz="4" w:space="0" w:color="auto"/>
              <w:bottom w:val="single" w:sz="4" w:space="0" w:color="auto"/>
              <w:right w:val="single" w:sz="4" w:space="0" w:color="auto"/>
            </w:tcBorders>
          </w:tcPr>
          <w:p w14:paraId="3DA2B27B" w14:textId="0D72A13D" w:rsidR="00F8180E" w:rsidRPr="009E686F" w:rsidRDefault="00D732CF" w:rsidP="00F8180E">
            <w:pPr>
              <w:jc w:val="both"/>
              <w:rPr>
                <w:rFonts w:ascii="Times New Roman" w:hAnsi="Times New Roman" w:cs="Times New Roman"/>
              </w:rPr>
            </w:pPr>
            <w:r w:rsidRPr="009E686F">
              <w:rPr>
                <w:rFonts w:ascii="Times New Roman" w:hAnsi="Times New Roman" w:cs="Times New Roman"/>
              </w:rPr>
              <w:t xml:space="preserve">Compatibil </w:t>
            </w:r>
          </w:p>
        </w:tc>
        <w:tc>
          <w:tcPr>
            <w:tcW w:w="806" w:type="pct"/>
            <w:tcBorders>
              <w:top w:val="single" w:sz="4" w:space="0" w:color="auto"/>
              <w:left w:val="single" w:sz="4" w:space="0" w:color="auto"/>
              <w:bottom w:val="single" w:sz="4" w:space="0" w:color="auto"/>
              <w:right w:val="single" w:sz="4" w:space="0" w:color="auto"/>
            </w:tcBorders>
          </w:tcPr>
          <w:p w14:paraId="35359C09" w14:textId="0D15A74A" w:rsidR="00F8180E" w:rsidRPr="009E686F" w:rsidRDefault="00261F63" w:rsidP="00515783">
            <w:pPr>
              <w:spacing w:after="0"/>
              <w:jc w:val="both"/>
              <w:rPr>
                <w:rFonts w:ascii="Times New Roman" w:hAnsi="Times New Roman" w:cs="Times New Roman"/>
                <w:lang w:val="it-CH"/>
              </w:rPr>
            </w:pPr>
            <w:r w:rsidRPr="009E686F">
              <w:rPr>
                <w:rFonts w:ascii="Times New Roman" w:hAnsi="Times New Roman" w:cs="Times New Roman"/>
                <w:lang w:val="it-IT"/>
              </w:rPr>
              <w:t>În vigoare de la data aderării.</w:t>
            </w:r>
          </w:p>
        </w:tc>
      </w:tr>
      <w:tr w:rsidR="00B30AFC" w:rsidRPr="009E686F" w14:paraId="386AD135" w14:textId="285AF2E2" w:rsidTr="00960C23">
        <w:tc>
          <w:tcPr>
            <w:tcW w:w="1890" w:type="pct"/>
            <w:tcBorders>
              <w:top w:val="single" w:sz="4" w:space="0" w:color="auto"/>
              <w:left w:val="single" w:sz="4" w:space="0" w:color="auto"/>
              <w:bottom w:val="single" w:sz="4" w:space="0" w:color="auto"/>
              <w:right w:val="single" w:sz="4" w:space="0" w:color="auto"/>
            </w:tcBorders>
          </w:tcPr>
          <w:p w14:paraId="16265468" w14:textId="48F3D8CB" w:rsidR="00F8180E" w:rsidRPr="009E686F" w:rsidRDefault="00F8180E" w:rsidP="00ED2C1C">
            <w:pPr>
              <w:spacing w:after="0"/>
              <w:jc w:val="both"/>
              <w:rPr>
                <w:rFonts w:ascii="Times New Roman" w:hAnsi="Times New Roman" w:cs="Times New Roman"/>
                <w:lang w:val="it-CH"/>
              </w:rPr>
            </w:pPr>
            <w:r w:rsidRPr="009E686F">
              <w:rPr>
                <w:rFonts w:ascii="Times New Roman" w:hAnsi="Times New Roman" w:cs="Times New Roman"/>
                <w:lang w:val="it-CH"/>
              </w:rPr>
              <w:t>43. "situație consolidată" înseamnă o situație consolidată astfel cum este definită la articolul 4 alineatul (1) punctul 47 din Regulamentul (UE) nr. 575/2013;</w:t>
            </w:r>
          </w:p>
        </w:tc>
        <w:tc>
          <w:tcPr>
            <w:tcW w:w="1834" w:type="pct"/>
            <w:tcBorders>
              <w:top w:val="single" w:sz="4" w:space="0" w:color="auto"/>
              <w:left w:val="single" w:sz="4" w:space="0" w:color="auto"/>
              <w:bottom w:val="single" w:sz="4" w:space="0" w:color="auto"/>
              <w:right w:val="single" w:sz="4" w:space="0" w:color="auto"/>
            </w:tcBorders>
          </w:tcPr>
          <w:p w14:paraId="070983B7" w14:textId="156F74BE" w:rsidR="00F8180E" w:rsidRPr="009E686F" w:rsidRDefault="00F8180E" w:rsidP="00ED2C1C">
            <w:pPr>
              <w:spacing w:after="0"/>
              <w:jc w:val="both"/>
              <w:rPr>
                <w:rFonts w:ascii="Times New Roman" w:hAnsi="Times New Roman" w:cs="Times New Roman"/>
                <w:lang w:val="it-CH"/>
              </w:rPr>
            </w:pPr>
            <w:r w:rsidRPr="009E686F">
              <w:rPr>
                <w:rFonts w:ascii="Times New Roman" w:hAnsi="Times New Roman" w:cs="Times New Roman"/>
                <w:bCs/>
                <w:i/>
                <w:iCs/>
                <w:lang w:val="it-CH"/>
              </w:rPr>
              <w:t>situație consolidată</w:t>
            </w:r>
            <w:r w:rsidRPr="009E686F">
              <w:rPr>
                <w:rFonts w:ascii="Times New Roman" w:hAnsi="Times New Roman" w:cs="Times New Roman"/>
                <w:lang w:val="it-CH"/>
              </w:rPr>
              <w:t xml:space="preserve"> – situația care rezultă din aplicarea cerințelor capitolului 2 Titlul V din prezenta lege în cazul unei </w:t>
            </w:r>
            <w:r w:rsidR="00A51A7D" w:rsidRPr="009E686F">
              <w:rPr>
                <w:rFonts w:ascii="Times New Roman" w:hAnsi="Times New Roman" w:cs="Times New Roman"/>
                <w:i/>
                <w:iCs/>
                <w:lang w:val="it-CH"/>
              </w:rPr>
              <w:t>instituții de credit</w:t>
            </w:r>
            <w:r w:rsidRPr="009E686F">
              <w:rPr>
                <w:rFonts w:ascii="Times New Roman" w:hAnsi="Times New Roman" w:cs="Times New Roman"/>
                <w:lang w:val="it-CH"/>
              </w:rPr>
              <w:t xml:space="preserve">, ca și cum </w:t>
            </w:r>
            <w:r w:rsidR="00551C26" w:rsidRPr="009E686F">
              <w:rPr>
                <w:rFonts w:ascii="Times New Roman" w:hAnsi="Times New Roman" w:cs="Times New Roman"/>
                <w:lang w:val="it-CH"/>
              </w:rPr>
              <w:t xml:space="preserve">respectiva </w:t>
            </w:r>
            <w:r w:rsidRPr="009E686F">
              <w:rPr>
                <w:rFonts w:ascii="Times New Roman" w:hAnsi="Times New Roman" w:cs="Times New Roman"/>
                <w:lang w:val="it-CH"/>
              </w:rPr>
              <w:t xml:space="preserve">formează, împreună cu una sau mai multe entități o singură </w:t>
            </w:r>
            <w:r w:rsidR="00A51A7D" w:rsidRPr="009E686F">
              <w:rPr>
                <w:rFonts w:ascii="Times New Roman" w:hAnsi="Times New Roman" w:cs="Times New Roman"/>
                <w:i/>
                <w:iCs/>
                <w:lang w:val="it-CH"/>
              </w:rPr>
              <w:t>instituție de credit</w:t>
            </w:r>
            <w:r w:rsidRPr="009E686F">
              <w:rPr>
                <w:rFonts w:ascii="Times New Roman" w:hAnsi="Times New Roman" w:cs="Times New Roman"/>
                <w:lang w:val="it-CH"/>
              </w:rPr>
              <w:t>;</w:t>
            </w:r>
          </w:p>
        </w:tc>
        <w:tc>
          <w:tcPr>
            <w:tcW w:w="470" w:type="pct"/>
            <w:tcBorders>
              <w:top w:val="single" w:sz="4" w:space="0" w:color="auto"/>
              <w:left w:val="single" w:sz="4" w:space="0" w:color="auto"/>
              <w:bottom w:val="single" w:sz="4" w:space="0" w:color="auto"/>
              <w:right w:val="single" w:sz="4" w:space="0" w:color="auto"/>
            </w:tcBorders>
          </w:tcPr>
          <w:p w14:paraId="6BDCBEC3" w14:textId="70011585" w:rsidR="00F8180E" w:rsidRPr="009E686F" w:rsidRDefault="00F8180E" w:rsidP="00F8180E">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130EC366" w14:textId="25A5FCB7" w:rsidR="00F8180E" w:rsidRPr="009E686F" w:rsidRDefault="00F8180E" w:rsidP="00515783">
            <w:pPr>
              <w:spacing w:after="0"/>
              <w:jc w:val="both"/>
              <w:rPr>
                <w:rFonts w:ascii="Times New Roman" w:hAnsi="Times New Roman" w:cs="Times New Roman"/>
              </w:rPr>
            </w:pPr>
          </w:p>
        </w:tc>
      </w:tr>
      <w:tr w:rsidR="00B30AFC" w:rsidRPr="009E686F" w14:paraId="74563DAE" w14:textId="484F1B4C" w:rsidTr="00960C23">
        <w:tc>
          <w:tcPr>
            <w:tcW w:w="1890" w:type="pct"/>
            <w:tcBorders>
              <w:top w:val="single" w:sz="4" w:space="0" w:color="auto"/>
              <w:left w:val="single" w:sz="4" w:space="0" w:color="auto"/>
              <w:bottom w:val="single" w:sz="4" w:space="0" w:color="auto"/>
              <w:right w:val="single" w:sz="4" w:space="0" w:color="auto"/>
            </w:tcBorders>
          </w:tcPr>
          <w:p w14:paraId="1FD1380C" w14:textId="1799ACD8" w:rsidR="00F8180E" w:rsidRPr="009E686F" w:rsidRDefault="00F8180E" w:rsidP="00ED2C1C">
            <w:pPr>
              <w:spacing w:after="0"/>
              <w:jc w:val="both"/>
              <w:rPr>
                <w:rFonts w:ascii="Times New Roman" w:hAnsi="Times New Roman" w:cs="Times New Roman"/>
                <w:lang w:val="it-CH"/>
              </w:rPr>
            </w:pPr>
            <w:r w:rsidRPr="009E686F">
              <w:rPr>
                <w:rFonts w:ascii="Times New Roman" w:hAnsi="Times New Roman" w:cs="Times New Roman"/>
                <w:lang w:val="it-CH"/>
              </w:rPr>
              <w:t>44. "bază consolidată" înseamnă o bază consolidată astfel cum este definită la articolul 4 alineatul (1) punctul 48 din Regulamentul (UE) nr. 575/2013;</w:t>
            </w:r>
          </w:p>
        </w:tc>
        <w:tc>
          <w:tcPr>
            <w:tcW w:w="1834" w:type="pct"/>
            <w:tcBorders>
              <w:top w:val="single" w:sz="4" w:space="0" w:color="auto"/>
              <w:left w:val="single" w:sz="4" w:space="0" w:color="auto"/>
              <w:bottom w:val="single" w:sz="4" w:space="0" w:color="auto"/>
              <w:right w:val="single" w:sz="4" w:space="0" w:color="auto"/>
            </w:tcBorders>
          </w:tcPr>
          <w:p w14:paraId="72346397" w14:textId="75816487" w:rsidR="00F8180E" w:rsidRPr="009E686F" w:rsidRDefault="00F8180E" w:rsidP="00ED2C1C">
            <w:pPr>
              <w:spacing w:after="0"/>
              <w:jc w:val="both"/>
              <w:rPr>
                <w:rFonts w:ascii="Times New Roman" w:hAnsi="Times New Roman" w:cs="Times New Roman"/>
                <w:lang w:val="it-CH"/>
              </w:rPr>
            </w:pPr>
            <w:r w:rsidRPr="009E686F">
              <w:rPr>
                <w:rFonts w:ascii="Times New Roman" w:hAnsi="Times New Roman" w:cs="Times New Roman"/>
                <w:i/>
                <w:iCs/>
                <w:lang w:val="it-CH"/>
              </w:rPr>
              <w:t>supraveghetor consolidant</w:t>
            </w:r>
            <w:r w:rsidR="007B6050" w:rsidRPr="009E686F">
              <w:rPr>
                <w:rFonts w:ascii="Times New Roman" w:hAnsi="Times New Roman" w:cs="Times New Roman"/>
                <w:b/>
                <w:lang w:val="it-CH"/>
              </w:rPr>
              <w:t xml:space="preserve"> </w:t>
            </w:r>
            <w:r w:rsidRPr="009E686F">
              <w:rPr>
                <w:rFonts w:ascii="Times New Roman" w:hAnsi="Times New Roman" w:cs="Times New Roman"/>
                <w:lang w:val="it-CH"/>
              </w:rPr>
              <w:t>–</w:t>
            </w:r>
            <w:r w:rsidR="007B6050" w:rsidRPr="009E686F">
              <w:rPr>
                <w:rFonts w:ascii="Times New Roman" w:hAnsi="Times New Roman" w:cs="Times New Roman"/>
                <w:lang w:val="it-CH"/>
              </w:rPr>
              <w:t xml:space="preserve"> </w:t>
            </w:r>
            <w:r w:rsidRPr="009E686F">
              <w:rPr>
                <w:rFonts w:ascii="Times New Roman" w:hAnsi="Times New Roman" w:cs="Times New Roman"/>
                <w:lang w:val="it-CH"/>
              </w:rPr>
              <w:t xml:space="preserve">autoritate competentă responsabilă cu realizarea supravegherii pe bază consolidată (pe baza situației consolidate) </w:t>
            </w:r>
            <w:r w:rsidRPr="009E686F">
              <w:rPr>
                <w:rFonts w:ascii="Times New Roman" w:hAnsi="Times New Roman" w:cs="Times New Roman"/>
                <w:i/>
                <w:iCs/>
                <w:lang w:val="it-CH"/>
              </w:rPr>
              <w:t>în conformitate cu art. 109</w:t>
            </w:r>
            <w:r w:rsidRPr="009E686F">
              <w:rPr>
                <w:rFonts w:ascii="Times New Roman" w:hAnsi="Times New Roman" w:cs="Times New Roman"/>
                <w:lang w:val="it-CH"/>
              </w:rPr>
              <w:t>.</w:t>
            </w:r>
          </w:p>
        </w:tc>
        <w:tc>
          <w:tcPr>
            <w:tcW w:w="470" w:type="pct"/>
            <w:tcBorders>
              <w:top w:val="single" w:sz="4" w:space="0" w:color="auto"/>
              <w:left w:val="single" w:sz="4" w:space="0" w:color="auto"/>
              <w:bottom w:val="single" w:sz="4" w:space="0" w:color="auto"/>
              <w:right w:val="single" w:sz="4" w:space="0" w:color="auto"/>
            </w:tcBorders>
          </w:tcPr>
          <w:p w14:paraId="24E043DF" w14:textId="6FDE4F4C" w:rsidR="00F8180E" w:rsidRPr="009E686F" w:rsidRDefault="00ED4C97" w:rsidP="00F8180E">
            <w:pPr>
              <w:jc w:val="both"/>
              <w:rPr>
                <w:rFonts w:ascii="Times New Roman" w:hAnsi="Times New Roman" w:cs="Times New Roman"/>
              </w:rPr>
            </w:pPr>
            <w:r w:rsidRPr="009E686F">
              <w:rPr>
                <w:rFonts w:ascii="Times New Roman" w:hAnsi="Times New Roman" w:cs="Times New Roman"/>
              </w:rPr>
              <w:t>C</w:t>
            </w:r>
            <w:r w:rsidR="00F8180E" w:rsidRPr="009E686F">
              <w:rPr>
                <w:rFonts w:ascii="Times New Roman" w:hAnsi="Times New Roman" w:cs="Times New Roman"/>
              </w:rPr>
              <w:t>ompatibil</w:t>
            </w:r>
          </w:p>
        </w:tc>
        <w:tc>
          <w:tcPr>
            <w:tcW w:w="806" w:type="pct"/>
            <w:tcBorders>
              <w:top w:val="single" w:sz="4" w:space="0" w:color="auto"/>
              <w:left w:val="single" w:sz="4" w:space="0" w:color="auto"/>
              <w:bottom w:val="single" w:sz="4" w:space="0" w:color="auto"/>
              <w:right w:val="single" w:sz="4" w:space="0" w:color="auto"/>
            </w:tcBorders>
          </w:tcPr>
          <w:p w14:paraId="5EDD8C25" w14:textId="3E95123E" w:rsidR="00F8180E" w:rsidRPr="009E686F" w:rsidRDefault="00F8180E" w:rsidP="00515783">
            <w:pPr>
              <w:spacing w:after="0"/>
              <w:jc w:val="both"/>
              <w:rPr>
                <w:rFonts w:ascii="Times New Roman" w:hAnsi="Times New Roman" w:cs="Times New Roman"/>
                <w:lang w:val="it-CH"/>
              </w:rPr>
            </w:pPr>
          </w:p>
        </w:tc>
      </w:tr>
      <w:tr w:rsidR="00B30AFC" w:rsidRPr="009E686F" w14:paraId="610F8F99" w14:textId="5E89A380" w:rsidTr="00960C23">
        <w:tc>
          <w:tcPr>
            <w:tcW w:w="1890" w:type="pct"/>
            <w:tcBorders>
              <w:top w:val="single" w:sz="4" w:space="0" w:color="auto"/>
              <w:left w:val="single" w:sz="4" w:space="0" w:color="auto"/>
              <w:bottom w:val="single" w:sz="4" w:space="0" w:color="auto"/>
              <w:right w:val="single" w:sz="4" w:space="0" w:color="auto"/>
            </w:tcBorders>
          </w:tcPr>
          <w:p w14:paraId="4B441BCE" w14:textId="30EE4FD5" w:rsidR="00F8180E" w:rsidRPr="009E686F" w:rsidRDefault="00F8180E" w:rsidP="00ED2C1C">
            <w:pPr>
              <w:spacing w:after="0"/>
              <w:jc w:val="both"/>
              <w:rPr>
                <w:rFonts w:ascii="Times New Roman" w:hAnsi="Times New Roman" w:cs="Times New Roman"/>
                <w:lang w:val="it-CH"/>
              </w:rPr>
            </w:pPr>
            <w:r w:rsidRPr="009E686F">
              <w:rPr>
                <w:rFonts w:ascii="Times New Roman" w:hAnsi="Times New Roman" w:cs="Times New Roman"/>
                <w:lang w:val="it-CH"/>
              </w:rPr>
              <w:t>45. "bază subconsolidată" înseamnă o bază subconsolidată astfel cum este definită la articolul 4 alineatul (1) punctul 49 din Regulamentul (UE) nr. 575/2013;</w:t>
            </w:r>
          </w:p>
        </w:tc>
        <w:tc>
          <w:tcPr>
            <w:tcW w:w="1834" w:type="pct"/>
            <w:tcBorders>
              <w:top w:val="single" w:sz="4" w:space="0" w:color="auto"/>
              <w:left w:val="single" w:sz="4" w:space="0" w:color="auto"/>
              <w:bottom w:val="single" w:sz="4" w:space="0" w:color="auto"/>
              <w:right w:val="single" w:sz="4" w:space="0" w:color="auto"/>
            </w:tcBorders>
          </w:tcPr>
          <w:p w14:paraId="7A68048C" w14:textId="7FEB1ACC" w:rsidR="00F8180E" w:rsidRPr="009E686F" w:rsidRDefault="00F8180E" w:rsidP="00ED2C1C">
            <w:pPr>
              <w:spacing w:after="0"/>
              <w:jc w:val="both"/>
              <w:rPr>
                <w:rFonts w:ascii="Times New Roman" w:hAnsi="Times New Roman" w:cs="Times New Roman"/>
                <w:bCs/>
                <w:lang w:val="ro-RO"/>
              </w:rPr>
            </w:pPr>
            <w:r w:rsidRPr="009E686F">
              <w:rPr>
                <w:rFonts w:ascii="Times New Roman" w:hAnsi="Times New Roman" w:cs="Times New Roman"/>
                <w:bCs/>
                <w:i/>
                <w:iCs/>
                <w:lang w:val="ro-RO"/>
              </w:rPr>
              <w:t>bază subconsolidată</w:t>
            </w:r>
            <w:r w:rsidRPr="009E686F">
              <w:rPr>
                <w:rFonts w:ascii="Times New Roman" w:hAnsi="Times New Roman" w:cs="Times New Roman"/>
                <w:bCs/>
                <w:lang w:val="ro-RO"/>
              </w:rPr>
              <w:t xml:space="preserve"> –</w:t>
            </w:r>
            <w:r w:rsidRPr="009E686F">
              <w:rPr>
                <w:rFonts w:ascii="Times New Roman" w:hAnsi="Times New Roman" w:cs="Times New Roman"/>
                <w:bCs/>
                <w:i/>
                <w:iCs/>
                <w:lang w:val="ro-RO"/>
              </w:rPr>
              <w:t xml:space="preserve"> pe baza situaţiei consolidate a instituţiei-mamă, a societăţii financiare holding sau a societăţii financiare holding mixt, excluzând un subgrup de entităţi, sau pe baza situaţiei consolidate a unei instituţii-mamă, a unei societăţi financiare holding sau a unei societăţi financiare holding mixte care nu este instituţia-mamă, societatea financiară holding sau societatea financiară holding mixtă de cel mai înalt rang;</w:t>
            </w:r>
          </w:p>
        </w:tc>
        <w:tc>
          <w:tcPr>
            <w:tcW w:w="470" w:type="pct"/>
            <w:tcBorders>
              <w:top w:val="single" w:sz="4" w:space="0" w:color="auto"/>
              <w:left w:val="single" w:sz="4" w:space="0" w:color="auto"/>
              <w:bottom w:val="single" w:sz="4" w:space="0" w:color="auto"/>
              <w:right w:val="single" w:sz="4" w:space="0" w:color="auto"/>
            </w:tcBorders>
          </w:tcPr>
          <w:p w14:paraId="57C5D83A" w14:textId="1F97CA5E" w:rsidR="00F8180E" w:rsidRPr="009E686F" w:rsidRDefault="00F8180E" w:rsidP="00F8180E">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03835990" w14:textId="7A3681DF" w:rsidR="00F8180E" w:rsidRPr="009E686F" w:rsidRDefault="00F8180E" w:rsidP="00515783">
            <w:pPr>
              <w:spacing w:after="0"/>
              <w:jc w:val="both"/>
              <w:rPr>
                <w:rFonts w:ascii="Times New Roman" w:hAnsi="Times New Roman" w:cs="Times New Roman"/>
              </w:rPr>
            </w:pPr>
          </w:p>
        </w:tc>
      </w:tr>
      <w:tr w:rsidR="00B30AFC" w:rsidRPr="009E686F" w14:paraId="246B5CCA" w14:textId="2B99BB2D" w:rsidTr="00960C23">
        <w:tc>
          <w:tcPr>
            <w:tcW w:w="1890" w:type="pct"/>
            <w:tcBorders>
              <w:top w:val="single" w:sz="4" w:space="0" w:color="auto"/>
              <w:left w:val="single" w:sz="4" w:space="0" w:color="auto"/>
              <w:bottom w:val="single" w:sz="4" w:space="0" w:color="auto"/>
              <w:right w:val="single" w:sz="4" w:space="0" w:color="auto"/>
            </w:tcBorders>
          </w:tcPr>
          <w:p w14:paraId="2E24FCB8" w14:textId="340FDD7A" w:rsidR="00F8180E" w:rsidRPr="009E686F" w:rsidRDefault="00F8180E" w:rsidP="00ED2C1C">
            <w:pPr>
              <w:spacing w:after="0"/>
              <w:jc w:val="both"/>
              <w:rPr>
                <w:rFonts w:ascii="Times New Roman" w:hAnsi="Times New Roman" w:cs="Times New Roman"/>
              </w:rPr>
            </w:pPr>
            <w:r w:rsidRPr="009E686F">
              <w:rPr>
                <w:rFonts w:ascii="Times New Roman" w:hAnsi="Times New Roman" w:cs="Times New Roman"/>
              </w:rPr>
              <w:t>46. "instrument financiar" înseamnă un instrument financiar astfel cum este definit la articolul 4 alineatul (1) punctul 50 din Regulamentul (UE) nr. 575/2013;</w:t>
            </w:r>
          </w:p>
        </w:tc>
        <w:tc>
          <w:tcPr>
            <w:tcW w:w="1834" w:type="pct"/>
            <w:tcBorders>
              <w:top w:val="single" w:sz="4" w:space="0" w:color="auto"/>
              <w:left w:val="single" w:sz="4" w:space="0" w:color="auto"/>
              <w:bottom w:val="single" w:sz="4" w:space="0" w:color="auto"/>
              <w:right w:val="single" w:sz="4" w:space="0" w:color="auto"/>
            </w:tcBorders>
          </w:tcPr>
          <w:p w14:paraId="2C35ED0F" w14:textId="11DD5CF1" w:rsidR="00F8180E" w:rsidRPr="009E686F" w:rsidRDefault="00F8180E" w:rsidP="00ED2C1C">
            <w:pPr>
              <w:spacing w:after="0"/>
              <w:jc w:val="both"/>
              <w:rPr>
                <w:rFonts w:ascii="Times New Roman" w:hAnsi="Times New Roman" w:cs="Times New Roman"/>
                <w:i/>
                <w:iCs/>
                <w:lang w:val="ro-RO"/>
              </w:rPr>
            </w:pPr>
            <w:r w:rsidRPr="009E686F">
              <w:rPr>
                <w:rFonts w:ascii="Times New Roman" w:hAnsi="Times New Roman" w:cs="Times New Roman"/>
                <w:i/>
                <w:iCs/>
                <w:lang w:val="ro-RO"/>
              </w:rPr>
              <w:t>instrument financiar – oricare din următoarele:</w:t>
            </w:r>
          </w:p>
          <w:p w14:paraId="77A75BCF" w14:textId="77777777" w:rsidR="00E96AA0" w:rsidRPr="009E686F" w:rsidRDefault="00E96AA0" w:rsidP="00ED2C1C">
            <w:pPr>
              <w:spacing w:after="0"/>
              <w:jc w:val="both"/>
              <w:rPr>
                <w:rFonts w:ascii="Times New Roman" w:hAnsi="Times New Roman" w:cs="Times New Roman"/>
                <w:i/>
                <w:iCs/>
                <w:lang w:val="ro-RO"/>
              </w:rPr>
            </w:pPr>
            <w:r w:rsidRPr="009E686F">
              <w:rPr>
                <w:rFonts w:ascii="Times New Roman" w:hAnsi="Times New Roman" w:cs="Times New Roman"/>
                <w:i/>
                <w:iCs/>
                <w:lang w:val="ro-RO"/>
              </w:rPr>
              <w:t>a) un contract care generează simultan un activ financiar, pentru una dintre părţi, și un pasiv financiar sau un titlu de capital pentru cealaltă dintre părţi;</w:t>
            </w:r>
          </w:p>
          <w:p w14:paraId="6A7A1333" w14:textId="77E9A345" w:rsidR="00E96AA0" w:rsidRPr="009E686F" w:rsidRDefault="00E96AA0" w:rsidP="00ED2C1C">
            <w:pPr>
              <w:spacing w:after="0"/>
              <w:jc w:val="both"/>
              <w:rPr>
                <w:rFonts w:ascii="Times New Roman" w:hAnsi="Times New Roman" w:cs="Times New Roman"/>
                <w:i/>
                <w:iCs/>
                <w:lang w:val="ro-RO"/>
              </w:rPr>
            </w:pPr>
            <w:r w:rsidRPr="009E686F">
              <w:rPr>
                <w:rFonts w:ascii="Times New Roman" w:hAnsi="Times New Roman" w:cs="Times New Roman"/>
                <w:i/>
                <w:iCs/>
                <w:lang w:val="ro-RO"/>
              </w:rPr>
              <w:t xml:space="preserve">b) un instrument menţionat la </w:t>
            </w:r>
            <w:r w:rsidR="00486013" w:rsidRPr="009E686F">
              <w:rPr>
                <w:rFonts w:ascii="Times New Roman" w:hAnsi="Times New Roman" w:cs="Times New Roman"/>
                <w:i/>
                <w:iCs/>
                <w:lang w:val="ro-RO"/>
              </w:rPr>
              <w:t>art. 5 din Legea nr. 181/2026art</w:t>
            </w:r>
            <w:r w:rsidRPr="009E686F">
              <w:rPr>
                <w:rFonts w:ascii="Times New Roman" w:hAnsi="Times New Roman" w:cs="Times New Roman"/>
                <w:i/>
                <w:iCs/>
                <w:lang w:val="ro-RO"/>
              </w:rPr>
              <w:t>;</w:t>
            </w:r>
          </w:p>
          <w:p w14:paraId="683F873B" w14:textId="59298A99" w:rsidR="00E96AA0" w:rsidRPr="009E686F" w:rsidRDefault="00E96AA0" w:rsidP="00ED2C1C">
            <w:pPr>
              <w:spacing w:after="0"/>
              <w:jc w:val="both"/>
              <w:rPr>
                <w:rFonts w:ascii="Times New Roman" w:hAnsi="Times New Roman" w:cs="Times New Roman"/>
                <w:i/>
                <w:iCs/>
                <w:lang w:val="ro-RO"/>
              </w:rPr>
            </w:pPr>
            <w:r w:rsidRPr="009E686F">
              <w:rPr>
                <w:rFonts w:ascii="Times New Roman" w:hAnsi="Times New Roman" w:cs="Times New Roman"/>
                <w:i/>
                <w:iCs/>
                <w:lang w:val="ro-RO"/>
              </w:rPr>
              <w:t>c) un instrument financiar derivat;</w:t>
            </w:r>
          </w:p>
          <w:p w14:paraId="6833DE5D" w14:textId="29B6E53A" w:rsidR="00E96AA0" w:rsidRPr="009E686F" w:rsidRDefault="00E96AA0" w:rsidP="00ED2C1C">
            <w:pPr>
              <w:spacing w:after="0"/>
              <w:jc w:val="both"/>
              <w:rPr>
                <w:rFonts w:ascii="Times New Roman" w:hAnsi="Times New Roman" w:cs="Times New Roman"/>
                <w:i/>
                <w:iCs/>
                <w:lang w:val="ro-RO"/>
              </w:rPr>
            </w:pPr>
            <w:r w:rsidRPr="009E686F">
              <w:rPr>
                <w:rFonts w:ascii="Times New Roman" w:hAnsi="Times New Roman" w:cs="Times New Roman"/>
                <w:i/>
                <w:iCs/>
                <w:lang w:val="ro-RO"/>
              </w:rPr>
              <w:t>d) un instrument financiar primar;</w:t>
            </w:r>
          </w:p>
          <w:p w14:paraId="28E68043" w14:textId="44F364CB" w:rsidR="00E96AA0" w:rsidRPr="009E686F" w:rsidRDefault="00E96AA0" w:rsidP="00ED2C1C">
            <w:pPr>
              <w:spacing w:after="0"/>
              <w:jc w:val="both"/>
              <w:rPr>
                <w:rFonts w:ascii="Times New Roman" w:hAnsi="Times New Roman" w:cs="Times New Roman"/>
                <w:i/>
                <w:iCs/>
                <w:lang w:val="ro-RO"/>
              </w:rPr>
            </w:pPr>
            <w:r w:rsidRPr="009E686F">
              <w:rPr>
                <w:rFonts w:ascii="Times New Roman" w:hAnsi="Times New Roman" w:cs="Times New Roman"/>
                <w:i/>
                <w:iCs/>
                <w:lang w:val="ro-RO"/>
              </w:rPr>
              <w:t>e) un instrument de numerar</w:t>
            </w:r>
            <w:r w:rsidR="00FD161F" w:rsidRPr="009E686F" w:rsidDel="00FD161F">
              <w:rPr>
                <w:rFonts w:ascii="Times New Roman" w:hAnsi="Times New Roman" w:cs="Times New Roman"/>
                <w:i/>
                <w:iCs/>
                <w:lang w:val="ro-RO"/>
              </w:rPr>
              <w:t xml:space="preserve"> </w:t>
            </w:r>
            <w:r w:rsidRPr="009E686F">
              <w:rPr>
                <w:rFonts w:ascii="Times New Roman" w:hAnsi="Times New Roman" w:cs="Times New Roman"/>
                <w:i/>
                <w:iCs/>
                <w:lang w:val="ro-RO"/>
              </w:rPr>
              <w:t>i.</w:t>
            </w:r>
          </w:p>
          <w:p w14:paraId="05D484AC" w14:textId="1C9B253B" w:rsidR="00F8180E" w:rsidRPr="009E686F" w:rsidRDefault="00E96AA0" w:rsidP="00ED2C1C">
            <w:pPr>
              <w:spacing w:after="0"/>
              <w:jc w:val="both"/>
              <w:rPr>
                <w:rFonts w:ascii="Times New Roman" w:hAnsi="Times New Roman" w:cs="Times New Roman"/>
                <w:i/>
                <w:iCs/>
                <w:lang w:val="ro-RO"/>
              </w:rPr>
            </w:pPr>
            <w:r w:rsidRPr="009E686F">
              <w:rPr>
                <w:rFonts w:ascii="Times New Roman" w:hAnsi="Times New Roman" w:cs="Times New Roman"/>
                <w:i/>
                <w:iCs/>
                <w:lang w:val="ro-RO"/>
              </w:rPr>
              <w:t>Instrumentele menţionate la lit. a), b) și c) sunt instrumente financiare numai dacă valoarea lor derivă din preţul unui instrument financiar-suport sau al altui element-suport, dintr-un indicator sau un indice.</w:t>
            </w:r>
          </w:p>
        </w:tc>
        <w:tc>
          <w:tcPr>
            <w:tcW w:w="470" w:type="pct"/>
            <w:tcBorders>
              <w:top w:val="single" w:sz="4" w:space="0" w:color="auto"/>
              <w:left w:val="single" w:sz="4" w:space="0" w:color="auto"/>
              <w:bottom w:val="single" w:sz="4" w:space="0" w:color="auto"/>
              <w:right w:val="single" w:sz="4" w:space="0" w:color="auto"/>
            </w:tcBorders>
          </w:tcPr>
          <w:p w14:paraId="68E73BE5" w14:textId="2925F46F" w:rsidR="00F8180E" w:rsidRPr="009E686F" w:rsidRDefault="00F8180E" w:rsidP="00F8180E">
            <w:pPr>
              <w:jc w:val="both"/>
              <w:rPr>
                <w:rFonts w:ascii="Times New Roman" w:hAnsi="Times New Roman" w:cs="Times New Roman"/>
              </w:rPr>
            </w:pPr>
            <w:r w:rsidRPr="009E686F">
              <w:rPr>
                <w:rFonts w:ascii="Times New Roman" w:hAnsi="Times New Roman" w:cs="Times New Roman"/>
              </w:rPr>
              <w:t>Compatibil</w:t>
            </w:r>
          </w:p>
          <w:p w14:paraId="4659214F" w14:textId="3C0A7C9A" w:rsidR="00F8180E" w:rsidRPr="009E686F" w:rsidRDefault="00F8180E" w:rsidP="00F8180E">
            <w:pPr>
              <w:jc w:val="both"/>
              <w:rPr>
                <w:rFonts w:ascii="Times New Roman" w:hAnsi="Times New Roman" w:cs="Times New Roman"/>
              </w:rPr>
            </w:pPr>
          </w:p>
        </w:tc>
        <w:tc>
          <w:tcPr>
            <w:tcW w:w="806" w:type="pct"/>
            <w:tcBorders>
              <w:top w:val="single" w:sz="4" w:space="0" w:color="auto"/>
              <w:left w:val="single" w:sz="4" w:space="0" w:color="auto"/>
              <w:bottom w:val="single" w:sz="4" w:space="0" w:color="auto"/>
              <w:right w:val="single" w:sz="4" w:space="0" w:color="auto"/>
            </w:tcBorders>
          </w:tcPr>
          <w:p w14:paraId="44F2747B" w14:textId="7C190E0A" w:rsidR="00F8180E" w:rsidRPr="009E686F" w:rsidRDefault="00F8180E" w:rsidP="00515783">
            <w:pPr>
              <w:spacing w:after="0"/>
              <w:jc w:val="both"/>
              <w:rPr>
                <w:rFonts w:ascii="Times New Roman" w:hAnsi="Times New Roman" w:cs="Times New Roman"/>
              </w:rPr>
            </w:pPr>
          </w:p>
        </w:tc>
      </w:tr>
      <w:tr w:rsidR="00B30AFC" w:rsidRPr="009E686F" w14:paraId="3518C0C4" w14:textId="1620F52B" w:rsidTr="00960C23">
        <w:tc>
          <w:tcPr>
            <w:tcW w:w="1890" w:type="pct"/>
            <w:tcBorders>
              <w:top w:val="single" w:sz="4" w:space="0" w:color="auto"/>
              <w:left w:val="single" w:sz="4" w:space="0" w:color="auto"/>
              <w:bottom w:val="single" w:sz="4" w:space="0" w:color="auto"/>
              <w:right w:val="single" w:sz="4" w:space="0" w:color="auto"/>
            </w:tcBorders>
          </w:tcPr>
          <w:p w14:paraId="5D82D30B" w14:textId="08D8DD9E" w:rsidR="00F8180E" w:rsidRPr="009E686F" w:rsidRDefault="00F8180E" w:rsidP="00ED2C1C">
            <w:pPr>
              <w:spacing w:after="0"/>
              <w:jc w:val="both"/>
              <w:rPr>
                <w:rFonts w:ascii="Times New Roman" w:hAnsi="Times New Roman" w:cs="Times New Roman"/>
                <w:lang w:val="it-CH"/>
              </w:rPr>
            </w:pPr>
            <w:r w:rsidRPr="009E686F">
              <w:rPr>
                <w:rFonts w:ascii="Times New Roman" w:hAnsi="Times New Roman" w:cs="Times New Roman"/>
                <w:lang w:val="it-CH"/>
              </w:rPr>
              <w:lastRenderedPageBreak/>
              <w:t>47. "fonduri proprii" înseamnă fonduri proprii astfel cum sunt definite la articolul 4 alineatul (1) punctul 118 din Regulamentul (UE) nr. 575/2013;</w:t>
            </w:r>
          </w:p>
        </w:tc>
        <w:tc>
          <w:tcPr>
            <w:tcW w:w="1834" w:type="pct"/>
            <w:tcBorders>
              <w:top w:val="single" w:sz="4" w:space="0" w:color="auto"/>
              <w:left w:val="single" w:sz="4" w:space="0" w:color="auto"/>
              <w:bottom w:val="single" w:sz="4" w:space="0" w:color="auto"/>
              <w:right w:val="single" w:sz="4" w:space="0" w:color="auto"/>
            </w:tcBorders>
          </w:tcPr>
          <w:p w14:paraId="0881269C" w14:textId="05E8BEBD" w:rsidR="00F8180E" w:rsidRPr="009E686F" w:rsidRDefault="00F8180E" w:rsidP="00ED2C1C">
            <w:pPr>
              <w:spacing w:after="0"/>
              <w:jc w:val="both"/>
              <w:rPr>
                <w:rFonts w:ascii="Times New Roman" w:hAnsi="Times New Roman" w:cs="Times New Roman"/>
                <w:lang w:val="it-CH"/>
              </w:rPr>
            </w:pPr>
            <w:r w:rsidRPr="009E686F">
              <w:rPr>
                <w:rFonts w:ascii="Times New Roman" w:hAnsi="Times New Roman" w:cs="Times New Roman"/>
                <w:i/>
                <w:iCs/>
                <w:lang w:val="it-CH"/>
              </w:rPr>
              <w:t xml:space="preserve">fonduri proprii – </w:t>
            </w:r>
            <w:r w:rsidR="002A446B" w:rsidRPr="009E686F">
              <w:rPr>
                <w:rFonts w:ascii="Times New Roman" w:hAnsi="Times New Roman" w:cs="Times New Roman"/>
                <w:i/>
                <w:iCs/>
                <w:lang w:val="it-CH"/>
              </w:rPr>
              <w:t>suma fondurilor proprii de nivel 1 și a fondurilor proprii de nivel 2, determinate conform actelor normative ale Băncii Naționale a Moldovei</w:t>
            </w:r>
            <w:r w:rsidRPr="009E686F">
              <w:rPr>
                <w:rFonts w:ascii="Times New Roman" w:hAnsi="Times New Roman" w:cs="Times New Roman"/>
                <w:i/>
                <w:iCs/>
                <w:lang w:val="it-CH"/>
              </w:rPr>
              <w:t>;</w:t>
            </w:r>
          </w:p>
        </w:tc>
        <w:tc>
          <w:tcPr>
            <w:tcW w:w="470" w:type="pct"/>
            <w:tcBorders>
              <w:top w:val="single" w:sz="4" w:space="0" w:color="auto"/>
              <w:left w:val="single" w:sz="4" w:space="0" w:color="auto"/>
              <w:bottom w:val="single" w:sz="4" w:space="0" w:color="auto"/>
              <w:right w:val="single" w:sz="4" w:space="0" w:color="auto"/>
            </w:tcBorders>
          </w:tcPr>
          <w:p w14:paraId="34021FB5" w14:textId="4B4B0EFB" w:rsidR="00F8180E" w:rsidRPr="009E686F" w:rsidRDefault="00F8180E" w:rsidP="00F8180E">
            <w:pPr>
              <w:jc w:val="both"/>
              <w:rPr>
                <w:rFonts w:ascii="Times New Roman" w:hAnsi="Times New Roman" w:cs="Times New Roman"/>
              </w:rPr>
            </w:pPr>
            <w:r w:rsidRPr="009E686F">
              <w:rPr>
                <w:rFonts w:ascii="Times New Roman" w:hAnsi="Times New Roman" w:cs="Times New Roman"/>
              </w:rPr>
              <w:t>Compatibil</w:t>
            </w:r>
          </w:p>
          <w:p w14:paraId="4640B0EA" w14:textId="28BB9B0D" w:rsidR="00F8180E" w:rsidRPr="009E686F" w:rsidRDefault="00F8180E" w:rsidP="00F8180E">
            <w:pPr>
              <w:jc w:val="both"/>
              <w:rPr>
                <w:rFonts w:ascii="Times New Roman" w:hAnsi="Times New Roman" w:cs="Times New Roman"/>
              </w:rPr>
            </w:pPr>
          </w:p>
        </w:tc>
        <w:tc>
          <w:tcPr>
            <w:tcW w:w="806" w:type="pct"/>
            <w:tcBorders>
              <w:top w:val="single" w:sz="4" w:space="0" w:color="auto"/>
              <w:left w:val="single" w:sz="4" w:space="0" w:color="auto"/>
              <w:bottom w:val="single" w:sz="4" w:space="0" w:color="auto"/>
              <w:right w:val="single" w:sz="4" w:space="0" w:color="auto"/>
            </w:tcBorders>
          </w:tcPr>
          <w:p w14:paraId="5DB2F2C8" w14:textId="7281ADC6" w:rsidR="00F8180E" w:rsidRPr="009E686F" w:rsidRDefault="00F8180E" w:rsidP="00515783">
            <w:pPr>
              <w:spacing w:after="0"/>
              <w:jc w:val="both"/>
              <w:rPr>
                <w:rFonts w:ascii="Times New Roman" w:hAnsi="Times New Roman" w:cs="Times New Roman"/>
              </w:rPr>
            </w:pPr>
          </w:p>
        </w:tc>
      </w:tr>
      <w:tr w:rsidR="00B30AFC" w:rsidRPr="009E686F" w14:paraId="39496F91" w14:textId="77777777" w:rsidTr="00960C23">
        <w:tc>
          <w:tcPr>
            <w:tcW w:w="1890" w:type="pct"/>
            <w:tcBorders>
              <w:top w:val="single" w:sz="4" w:space="0" w:color="auto"/>
              <w:left w:val="single" w:sz="4" w:space="0" w:color="auto"/>
              <w:bottom w:val="single" w:sz="4" w:space="0" w:color="auto"/>
              <w:right w:val="single" w:sz="4" w:space="0" w:color="auto"/>
            </w:tcBorders>
          </w:tcPr>
          <w:p w14:paraId="3325AFAD" w14:textId="1D4B1957" w:rsidR="00F8180E" w:rsidRPr="009E686F" w:rsidRDefault="00F8180E" w:rsidP="00ED2C1C">
            <w:pPr>
              <w:spacing w:after="0"/>
              <w:jc w:val="both"/>
              <w:rPr>
                <w:rFonts w:ascii="Times New Roman" w:hAnsi="Times New Roman" w:cs="Times New Roman"/>
                <w:lang w:val="pt-BR"/>
              </w:rPr>
            </w:pPr>
            <w:r w:rsidRPr="009E686F">
              <w:rPr>
                <w:rFonts w:ascii="Times New Roman" w:hAnsi="Times New Roman" w:cs="Times New Roman"/>
                <w:lang w:val="pt-BR"/>
              </w:rPr>
              <w:t>47a. „capital eligibil” înseamnă capitalul eligibil astfel cum este definit la articolul 4 alineatul (1) punctul 71 din Regulamentul (UE) nr. 575/2013;</w:t>
            </w:r>
          </w:p>
        </w:tc>
        <w:tc>
          <w:tcPr>
            <w:tcW w:w="1834" w:type="pct"/>
            <w:tcBorders>
              <w:top w:val="single" w:sz="4" w:space="0" w:color="auto"/>
              <w:left w:val="single" w:sz="4" w:space="0" w:color="auto"/>
              <w:bottom w:val="single" w:sz="4" w:space="0" w:color="auto"/>
              <w:right w:val="single" w:sz="4" w:space="0" w:color="auto"/>
            </w:tcBorders>
          </w:tcPr>
          <w:p w14:paraId="44D7ED34" w14:textId="76F99A13" w:rsidR="00F8180E" w:rsidRPr="009E686F" w:rsidRDefault="00F8180E" w:rsidP="00ED2C1C">
            <w:pPr>
              <w:spacing w:after="0"/>
              <w:jc w:val="both"/>
              <w:rPr>
                <w:rFonts w:ascii="Times New Roman" w:hAnsi="Times New Roman" w:cs="Times New Roman"/>
                <w:lang w:val="pt-BR"/>
              </w:rPr>
            </w:pPr>
            <w:r w:rsidRPr="009E686F">
              <w:rPr>
                <w:rFonts w:ascii="Times New Roman" w:eastAsia="Aptos" w:hAnsi="Times New Roman" w:cs="Times New Roman"/>
                <w:i/>
                <w:iCs/>
                <w:kern w:val="2"/>
                <w:lang w:val="ro-MD"/>
              </w:rPr>
              <w:t xml:space="preserve">capital eligibil – </w:t>
            </w:r>
            <w:r w:rsidR="004A6008" w:rsidRPr="009E686F">
              <w:rPr>
                <w:rFonts w:ascii="Times New Roman" w:eastAsia="Aptos" w:hAnsi="Times New Roman" w:cs="Times New Roman"/>
                <w:i/>
                <w:iCs/>
                <w:kern w:val="2"/>
                <w:lang w:val="ro-MD"/>
              </w:rPr>
              <w:t>suma fondurilor proprii de nivel 1 și fondurilor proprii de nivel 2, care sunt egale cu sau mai mici de o treime din fondurile proprii de nivel 1</w:t>
            </w:r>
            <w:r w:rsidRPr="009E686F">
              <w:rPr>
                <w:rFonts w:ascii="Times New Roman" w:eastAsia="Aptos" w:hAnsi="Times New Roman" w:cs="Times New Roman"/>
                <w:i/>
                <w:iCs/>
                <w:kern w:val="2"/>
                <w:lang w:val="ro-MD"/>
              </w:rPr>
              <w:t>;</w:t>
            </w:r>
          </w:p>
        </w:tc>
        <w:tc>
          <w:tcPr>
            <w:tcW w:w="470" w:type="pct"/>
            <w:tcBorders>
              <w:top w:val="single" w:sz="4" w:space="0" w:color="auto"/>
              <w:left w:val="single" w:sz="4" w:space="0" w:color="auto"/>
              <w:bottom w:val="single" w:sz="4" w:space="0" w:color="auto"/>
              <w:right w:val="single" w:sz="4" w:space="0" w:color="auto"/>
            </w:tcBorders>
          </w:tcPr>
          <w:p w14:paraId="2AB3CFA4" w14:textId="0DF9D617" w:rsidR="00F8180E" w:rsidRPr="009E686F" w:rsidRDefault="00F8180E" w:rsidP="00F8180E">
            <w:pPr>
              <w:jc w:val="both"/>
              <w:rPr>
                <w:rFonts w:ascii="Times New Roman" w:hAnsi="Times New Roman" w:cs="Times New Roman"/>
                <w:lang w:val="pt-BR"/>
              </w:rPr>
            </w:pPr>
            <w:r w:rsidRPr="009E686F">
              <w:rPr>
                <w:rFonts w:ascii="Times New Roman" w:hAnsi="Times New Roman" w:cs="Times New Roman"/>
                <w:lang w:val="pt-BR"/>
              </w:rPr>
              <w:t xml:space="preserve">Compatibil </w:t>
            </w:r>
          </w:p>
        </w:tc>
        <w:tc>
          <w:tcPr>
            <w:tcW w:w="806" w:type="pct"/>
            <w:tcBorders>
              <w:top w:val="single" w:sz="4" w:space="0" w:color="auto"/>
              <w:left w:val="single" w:sz="4" w:space="0" w:color="auto"/>
              <w:bottom w:val="single" w:sz="4" w:space="0" w:color="auto"/>
              <w:right w:val="single" w:sz="4" w:space="0" w:color="auto"/>
            </w:tcBorders>
          </w:tcPr>
          <w:p w14:paraId="4F3181B2" w14:textId="77777777" w:rsidR="00F8180E" w:rsidRPr="009E686F" w:rsidRDefault="00F8180E" w:rsidP="00515783">
            <w:pPr>
              <w:spacing w:after="0"/>
              <w:jc w:val="both"/>
              <w:rPr>
                <w:rFonts w:ascii="Times New Roman" w:hAnsi="Times New Roman" w:cs="Times New Roman"/>
                <w:lang w:val="pt-BR"/>
              </w:rPr>
            </w:pPr>
          </w:p>
        </w:tc>
      </w:tr>
      <w:tr w:rsidR="00B30AFC" w:rsidRPr="009E686F" w14:paraId="6C44D357" w14:textId="4ABCC24D" w:rsidTr="00960C23">
        <w:tc>
          <w:tcPr>
            <w:tcW w:w="1890" w:type="pct"/>
            <w:tcBorders>
              <w:top w:val="single" w:sz="4" w:space="0" w:color="auto"/>
              <w:left w:val="single" w:sz="4" w:space="0" w:color="auto"/>
              <w:bottom w:val="single" w:sz="4" w:space="0" w:color="auto"/>
              <w:right w:val="single" w:sz="4" w:space="0" w:color="auto"/>
            </w:tcBorders>
          </w:tcPr>
          <w:p w14:paraId="74D8E35B" w14:textId="4A305B7B" w:rsidR="00F8180E" w:rsidRPr="009E686F" w:rsidRDefault="00F8180E" w:rsidP="00ED2C1C">
            <w:pPr>
              <w:spacing w:after="0"/>
              <w:jc w:val="both"/>
              <w:rPr>
                <w:rFonts w:ascii="Times New Roman" w:hAnsi="Times New Roman" w:cs="Times New Roman"/>
                <w:lang w:val="it-CH"/>
              </w:rPr>
            </w:pPr>
            <w:r w:rsidRPr="009E686F">
              <w:rPr>
                <w:rFonts w:ascii="Times New Roman" w:hAnsi="Times New Roman" w:cs="Times New Roman"/>
                <w:lang w:val="it-CH"/>
              </w:rPr>
              <w:t>48. "risc operațional" înseamnă risc operațional astfel cum este definit la articolul 4 alineatul (1) punctul 52 din Regulamentul (UE) nr. 575/2013;</w:t>
            </w:r>
          </w:p>
        </w:tc>
        <w:tc>
          <w:tcPr>
            <w:tcW w:w="1834" w:type="pct"/>
            <w:tcBorders>
              <w:top w:val="single" w:sz="4" w:space="0" w:color="auto"/>
              <w:left w:val="single" w:sz="4" w:space="0" w:color="auto"/>
              <w:bottom w:val="single" w:sz="4" w:space="0" w:color="auto"/>
              <w:right w:val="single" w:sz="4" w:space="0" w:color="auto"/>
            </w:tcBorders>
          </w:tcPr>
          <w:p w14:paraId="5644553C" w14:textId="745FF63E" w:rsidR="002458E0" w:rsidRPr="009E686F" w:rsidRDefault="00E10E14" w:rsidP="00ED2C1C">
            <w:pPr>
              <w:spacing w:after="0"/>
              <w:jc w:val="both"/>
              <w:rPr>
                <w:rFonts w:ascii="Times New Roman" w:hAnsi="Times New Roman" w:cs="Times New Roman"/>
                <w:i/>
                <w:iCs/>
                <w:lang w:val="pt-BR"/>
              </w:rPr>
            </w:pPr>
            <w:r w:rsidRPr="009E686F">
              <w:rPr>
                <w:rFonts w:ascii="Times New Roman" w:hAnsi="Times New Roman" w:cs="Times New Roman"/>
                <w:i/>
                <w:iCs/>
                <w:lang w:val="pt-BR"/>
              </w:rPr>
              <w:t xml:space="preserve">Pct. 4. Definiții din </w:t>
            </w:r>
            <w:r w:rsidR="002458E0" w:rsidRPr="009E686F">
              <w:rPr>
                <w:rFonts w:ascii="Times New Roman" w:hAnsi="Times New Roman" w:cs="Times New Roman"/>
                <w:i/>
                <w:iCs/>
                <w:lang w:val="pt-BR"/>
              </w:rPr>
              <w:t>Regulamentul privind cadrul de administrare a a activității, aprobat prin HCE nr. 322/2018</w:t>
            </w:r>
          </w:p>
          <w:p w14:paraId="1686CA9F" w14:textId="77777777" w:rsidR="002458E0" w:rsidRPr="009E686F" w:rsidRDefault="002458E0" w:rsidP="00ED2C1C">
            <w:pPr>
              <w:spacing w:after="0"/>
              <w:jc w:val="both"/>
              <w:rPr>
                <w:rFonts w:ascii="Times New Roman" w:hAnsi="Times New Roman" w:cs="Times New Roman"/>
                <w:lang w:val="pt-BR"/>
              </w:rPr>
            </w:pPr>
          </w:p>
          <w:p w14:paraId="6E3DDC96" w14:textId="1EDA9191" w:rsidR="002458E0" w:rsidRPr="009E686F" w:rsidRDefault="006340AD" w:rsidP="00ED2C1C">
            <w:pPr>
              <w:spacing w:after="0"/>
              <w:jc w:val="both"/>
              <w:rPr>
                <w:rFonts w:ascii="Times New Roman" w:hAnsi="Times New Roman" w:cs="Times New Roman"/>
                <w:i/>
                <w:iCs/>
                <w:lang w:val="pt-BR"/>
              </w:rPr>
            </w:pPr>
            <w:r w:rsidRPr="009E686F">
              <w:rPr>
                <w:rFonts w:ascii="Times New Roman" w:hAnsi="Times New Roman" w:cs="Times New Roman"/>
                <w:i/>
                <w:iCs/>
                <w:lang w:val="pt-BR"/>
              </w:rPr>
              <w:t>risc operaţional</w:t>
            </w:r>
            <w:r w:rsidRPr="009E686F">
              <w:rPr>
                <w:rFonts w:ascii="Times New Roman" w:hAnsi="Times New Roman" w:cs="Times New Roman"/>
                <w:lang w:val="pt-BR"/>
              </w:rPr>
              <w:t xml:space="preserve"> - riscul actual sau viitor de afectare a profiturilor şi a capitalului care rezultă din procese sau sisteme interne inadecvate sau eşuate şi/sau în urma acţiunii unor persoane sau evenimente externe;</w:t>
            </w:r>
          </w:p>
          <w:p w14:paraId="2F846FD5" w14:textId="2139C817" w:rsidR="006340AD" w:rsidRPr="009E686F" w:rsidRDefault="00E10E14" w:rsidP="00ED2C1C">
            <w:pPr>
              <w:spacing w:after="0"/>
              <w:jc w:val="both"/>
              <w:rPr>
                <w:rFonts w:ascii="Times New Roman" w:hAnsi="Times New Roman" w:cs="Times New Roman"/>
                <w:i/>
                <w:lang w:val="pt-BR"/>
              </w:rPr>
            </w:pPr>
            <w:r w:rsidRPr="009E686F">
              <w:rPr>
                <w:rFonts w:ascii="Times New Roman" w:hAnsi="Times New Roman" w:cs="Times New Roman"/>
                <w:i/>
                <w:iCs/>
                <w:lang w:val="pt-BR"/>
              </w:rPr>
              <w:t xml:space="preserve">Pct. 5. Definiții din </w:t>
            </w:r>
            <w:r w:rsidR="006340AD" w:rsidRPr="009E686F">
              <w:rPr>
                <w:rFonts w:ascii="Times New Roman" w:hAnsi="Times New Roman" w:cs="Times New Roman"/>
                <w:i/>
                <w:lang w:val="pt-BR"/>
              </w:rPr>
              <w:t>Regulamentul cu privire la tratamentul riscului operaţional pentru bănci potrivit abordării de bază şi abordării standardizate, aprobat prin HCE al BNM nr. 113  din  24.05.2018</w:t>
            </w:r>
          </w:p>
          <w:p w14:paraId="51AB8CEB" w14:textId="77777777" w:rsidR="007A2B98" w:rsidRPr="009E686F" w:rsidRDefault="007A2B98" w:rsidP="00ED2C1C">
            <w:pPr>
              <w:spacing w:after="0"/>
              <w:jc w:val="both"/>
              <w:rPr>
                <w:rFonts w:ascii="Times New Roman" w:hAnsi="Times New Roman" w:cs="Times New Roman"/>
                <w:i/>
                <w:iCs/>
                <w:lang w:val="pt-BR"/>
              </w:rPr>
            </w:pPr>
          </w:p>
          <w:p w14:paraId="1E8D3F7E" w14:textId="3F7E641A" w:rsidR="00F8180E" w:rsidRPr="009E686F" w:rsidRDefault="00F8180E" w:rsidP="00ED2C1C">
            <w:pPr>
              <w:spacing w:after="0"/>
              <w:jc w:val="both"/>
              <w:rPr>
                <w:rFonts w:ascii="Times New Roman" w:hAnsi="Times New Roman" w:cs="Times New Roman"/>
                <w:lang w:val="pt-BR"/>
              </w:rPr>
            </w:pPr>
            <w:r w:rsidRPr="009E686F">
              <w:rPr>
                <w:rFonts w:ascii="Times New Roman" w:hAnsi="Times New Roman" w:cs="Times New Roman"/>
                <w:i/>
                <w:iCs/>
                <w:lang w:val="pt-BR"/>
              </w:rPr>
              <w:t>risc operaţional</w:t>
            </w:r>
            <w:r w:rsidRPr="009E686F">
              <w:rPr>
                <w:rFonts w:ascii="Times New Roman" w:hAnsi="Times New Roman" w:cs="Times New Roman"/>
                <w:lang w:val="pt-BR"/>
              </w:rPr>
              <w:t xml:space="preserve"> – înseamnă riscul de pierdere care rezultă fie din utilizarea unor procese, persoane sau sisteme interne inadecvate sau care nu şi-au îndeplinit funcţia în mod corespunzător, fie din evenimente externe. Riscul operaţional include şi riscul juridic (care cuprinde dar nu se limitează la expunerea </w:t>
            </w:r>
            <w:r w:rsidR="006950B5" w:rsidRPr="009E686F">
              <w:rPr>
                <w:rFonts w:ascii="Times New Roman" w:hAnsi="Times New Roman" w:cs="Times New Roman"/>
                <w:lang w:val="pt-BR"/>
              </w:rPr>
              <w:t>băncii</w:t>
            </w:r>
            <w:r w:rsidRPr="009E686F">
              <w:rPr>
                <w:rFonts w:ascii="Times New Roman" w:hAnsi="Times New Roman" w:cs="Times New Roman"/>
                <w:lang w:val="pt-BR"/>
              </w:rPr>
              <w:t xml:space="preserve"> la amenzi şi alte sancţiuni sau plăţi de despăgubiri în caz de neaplicare sau aplicare defectuoasă a dispoziţiilor legale sau contractuale, precum şi a faptului că drepturile şi obligaţiile contractuale ale </w:t>
            </w:r>
            <w:r w:rsidR="006950B5" w:rsidRPr="009E686F">
              <w:rPr>
                <w:rFonts w:ascii="Times New Roman" w:hAnsi="Times New Roman" w:cs="Times New Roman"/>
                <w:lang w:val="pt-BR"/>
              </w:rPr>
              <w:t>băncii</w:t>
            </w:r>
            <w:r w:rsidR="006950B5" w:rsidRPr="009E686F">
              <w:rPr>
                <w:rFonts w:ascii="Times New Roman" w:hAnsi="Times New Roman" w:cs="Times New Roman"/>
                <w:i/>
                <w:iCs/>
                <w:lang w:val="pt-BR"/>
              </w:rPr>
              <w:t xml:space="preserve"> </w:t>
            </w:r>
            <w:r w:rsidRPr="009E686F">
              <w:rPr>
                <w:rFonts w:ascii="Times New Roman" w:hAnsi="Times New Roman" w:cs="Times New Roman"/>
                <w:lang w:val="pt-BR"/>
              </w:rPr>
              <w:t>şi /sau ale contrapartidei sale nu sunt stabilite în mod corespunzător).</w:t>
            </w:r>
            <w:r w:rsidR="006340AD" w:rsidRPr="009E686F">
              <w:rPr>
                <w:lang w:val="pt-BR"/>
              </w:rPr>
              <w:t xml:space="preserve"> </w:t>
            </w:r>
          </w:p>
        </w:tc>
        <w:tc>
          <w:tcPr>
            <w:tcW w:w="470" w:type="pct"/>
            <w:tcBorders>
              <w:top w:val="single" w:sz="4" w:space="0" w:color="auto"/>
              <w:left w:val="single" w:sz="4" w:space="0" w:color="auto"/>
              <w:bottom w:val="single" w:sz="4" w:space="0" w:color="auto"/>
              <w:right w:val="single" w:sz="4" w:space="0" w:color="auto"/>
            </w:tcBorders>
          </w:tcPr>
          <w:p w14:paraId="63822C43" w14:textId="4153FF89" w:rsidR="00F8180E" w:rsidRPr="009E686F" w:rsidRDefault="00F8180E" w:rsidP="00F8180E">
            <w:pPr>
              <w:jc w:val="both"/>
              <w:rPr>
                <w:rFonts w:ascii="Times New Roman" w:hAnsi="Times New Roman" w:cs="Times New Roman"/>
              </w:rPr>
            </w:pPr>
            <w:r w:rsidRPr="009E686F">
              <w:rPr>
                <w:rFonts w:ascii="Times New Roman" w:hAnsi="Times New Roman" w:cs="Times New Roman"/>
              </w:rPr>
              <w:t>Compatibil</w:t>
            </w:r>
          </w:p>
          <w:p w14:paraId="558C8BAA" w14:textId="2599BCE2" w:rsidR="00F8180E" w:rsidRPr="009E686F" w:rsidRDefault="00F8180E" w:rsidP="00F8180E">
            <w:pPr>
              <w:spacing w:after="0"/>
              <w:jc w:val="both"/>
              <w:rPr>
                <w:rFonts w:ascii="Times New Roman" w:hAnsi="Times New Roman" w:cs="Times New Roman"/>
              </w:rPr>
            </w:pPr>
          </w:p>
        </w:tc>
        <w:tc>
          <w:tcPr>
            <w:tcW w:w="806" w:type="pct"/>
            <w:tcBorders>
              <w:top w:val="single" w:sz="4" w:space="0" w:color="auto"/>
              <w:left w:val="single" w:sz="4" w:space="0" w:color="auto"/>
              <w:bottom w:val="single" w:sz="4" w:space="0" w:color="auto"/>
              <w:right w:val="single" w:sz="4" w:space="0" w:color="auto"/>
            </w:tcBorders>
          </w:tcPr>
          <w:p w14:paraId="2BC9801E" w14:textId="4FA29BC0" w:rsidR="00F8180E" w:rsidRPr="009E686F" w:rsidRDefault="00F8180E" w:rsidP="00515783">
            <w:pPr>
              <w:spacing w:after="0"/>
              <w:jc w:val="both"/>
              <w:rPr>
                <w:rFonts w:ascii="Times New Roman" w:hAnsi="Times New Roman" w:cs="Times New Roman"/>
              </w:rPr>
            </w:pPr>
          </w:p>
        </w:tc>
      </w:tr>
      <w:tr w:rsidR="00B30AFC" w:rsidRPr="009E686F" w14:paraId="54426652" w14:textId="5B336EB2" w:rsidTr="00960C23">
        <w:tc>
          <w:tcPr>
            <w:tcW w:w="1890" w:type="pct"/>
            <w:tcBorders>
              <w:top w:val="single" w:sz="4" w:space="0" w:color="auto"/>
              <w:left w:val="single" w:sz="4" w:space="0" w:color="auto"/>
              <w:bottom w:val="single" w:sz="4" w:space="0" w:color="auto"/>
              <w:right w:val="single" w:sz="4" w:space="0" w:color="auto"/>
            </w:tcBorders>
          </w:tcPr>
          <w:p w14:paraId="0E1B7A4B" w14:textId="5B7A237A" w:rsidR="00F8180E" w:rsidRPr="009E686F" w:rsidRDefault="00F8180E" w:rsidP="00ED2C1C">
            <w:pPr>
              <w:spacing w:after="0"/>
              <w:jc w:val="both"/>
              <w:rPr>
                <w:rFonts w:ascii="Times New Roman" w:hAnsi="Times New Roman" w:cs="Times New Roman"/>
                <w:lang w:val="it-CH"/>
              </w:rPr>
            </w:pPr>
            <w:r w:rsidRPr="009E686F">
              <w:rPr>
                <w:rFonts w:ascii="Times New Roman" w:hAnsi="Times New Roman" w:cs="Times New Roman"/>
                <w:lang w:val="it-CH"/>
              </w:rPr>
              <w:t>49. "diminuarea riscului de credit" înseamnă diminuarea riscului de credit astfel cum este definită la articolul 4 alineatul (1) punctul 57 din Regulamentul (UE) nr. 575/2013;</w:t>
            </w:r>
          </w:p>
        </w:tc>
        <w:tc>
          <w:tcPr>
            <w:tcW w:w="1834" w:type="pct"/>
            <w:tcBorders>
              <w:top w:val="single" w:sz="4" w:space="0" w:color="auto"/>
              <w:left w:val="single" w:sz="4" w:space="0" w:color="auto"/>
              <w:bottom w:val="single" w:sz="4" w:space="0" w:color="auto"/>
              <w:right w:val="single" w:sz="4" w:space="0" w:color="auto"/>
            </w:tcBorders>
          </w:tcPr>
          <w:p w14:paraId="652D8D36" w14:textId="0D448C02" w:rsidR="00F8180E" w:rsidRPr="009E686F" w:rsidRDefault="00F8180E" w:rsidP="00ED2C1C">
            <w:pPr>
              <w:spacing w:after="0"/>
              <w:jc w:val="both"/>
              <w:rPr>
                <w:rFonts w:ascii="Times New Roman" w:eastAsia="Aptos" w:hAnsi="Times New Roman" w:cs="Times New Roman"/>
                <w:color w:val="FF0000"/>
                <w:kern w:val="2"/>
                <w:lang w:val="ro-RO"/>
              </w:rPr>
            </w:pPr>
            <w:r w:rsidRPr="009E686F">
              <w:rPr>
                <w:rFonts w:ascii="Times New Roman" w:eastAsia="Aptos" w:hAnsi="Times New Roman" w:cs="Times New Roman"/>
                <w:i/>
                <w:iCs/>
                <w:kern w:val="2"/>
                <w:lang w:val="ro-MD"/>
              </w:rPr>
              <w:t xml:space="preserve">diminuare a riscului de credit – tehnica folosită de o </w:t>
            </w:r>
            <w:r w:rsidR="00A51A7D" w:rsidRPr="009E686F">
              <w:rPr>
                <w:rFonts w:ascii="Times New Roman" w:eastAsia="Aptos" w:hAnsi="Times New Roman" w:cs="Times New Roman"/>
                <w:i/>
                <w:iCs/>
                <w:kern w:val="2"/>
                <w:lang w:val="ro-MD"/>
              </w:rPr>
              <w:t>instituție de credit</w:t>
            </w:r>
            <w:r w:rsidRPr="009E686F">
              <w:rPr>
                <w:rFonts w:ascii="Times New Roman" w:eastAsia="Aptos" w:hAnsi="Times New Roman" w:cs="Times New Roman"/>
                <w:i/>
                <w:iCs/>
                <w:kern w:val="2"/>
                <w:lang w:val="ro-MD"/>
              </w:rPr>
              <w:t xml:space="preserve"> pentru a reduce riscul de credit asociat unei </w:t>
            </w:r>
            <w:r w:rsidRPr="009E686F">
              <w:rPr>
                <w:rFonts w:ascii="Times New Roman" w:eastAsia="Aptos" w:hAnsi="Times New Roman" w:cs="Times New Roman"/>
                <w:i/>
                <w:iCs/>
                <w:kern w:val="2"/>
                <w:lang w:val="ro-MD"/>
              </w:rPr>
              <w:lastRenderedPageBreak/>
              <w:t xml:space="preserve">expuneri sau unor expuneri pe care </w:t>
            </w:r>
            <w:r w:rsidR="00A51A7D" w:rsidRPr="009E686F">
              <w:rPr>
                <w:rFonts w:ascii="Times New Roman" w:eastAsia="Aptos" w:hAnsi="Times New Roman" w:cs="Times New Roman"/>
                <w:i/>
                <w:iCs/>
                <w:kern w:val="2"/>
                <w:lang w:val="ro-MD"/>
              </w:rPr>
              <w:t>instituția de credit</w:t>
            </w:r>
            <w:r w:rsidRPr="009E686F">
              <w:rPr>
                <w:rFonts w:ascii="Times New Roman" w:eastAsia="Aptos" w:hAnsi="Times New Roman" w:cs="Times New Roman"/>
                <w:i/>
                <w:iCs/>
                <w:kern w:val="2"/>
                <w:lang w:val="ro-MD"/>
              </w:rPr>
              <w:t xml:space="preserve"> respectivă continuă să le deţină;</w:t>
            </w:r>
            <w:r w:rsidRPr="009E686F">
              <w:rPr>
                <w:rFonts w:ascii="Times New Roman" w:eastAsia="Aptos" w:hAnsi="Times New Roman" w:cs="Times New Roman"/>
                <w:i/>
                <w:iCs/>
                <w:color w:val="FF0000"/>
                <w:kern w:val="2"/>
                <w:lang w:val="ro-RO"/>
              </w:rPr>
              <w:t xml:space="preserve"> </w:t>
            </w:r>
          </w:p>
        </w:tc>
        <w:tc>
          <w:tcPr>
            <w:tcW w:w="470" w:type="pct"/>
            <w:tcBorders>
              <w:top w:val="single" w:sz="4" w:space="0" w:color="auto"/>
              <w:left w:val="single" w:sz="4" w:space="0" w:color="auto"/>
              <w:bottom w:val="single" w:sz="4" w:space="0" w:color="auto"/>
              <w:right w:val="single" w:sz="4" w:space="0" w:color="auto"/>
            </w:tcBorders>
          </w:tcPr>
          <w:p w14:paraId="1F102C1B" w14:textId="225C0B2D" w:rsidR="00F8180E" w:rsidRPr="009E686F" w:rsidRDefault="00F8180E" w:rsidP="00F8180E">
            <w:pPr>
              <w:jc w:val="both"/>
              <w:rPr>
                <w:rFonts w:ascii="Times New Roman" w:hAnsi="Times New Roman" w:cs="Times New Roman"/>
              </w:rPr>
            </w:pPr>
            <w:r w:rsidRPr="009E686F">
              <w:rPr>
                <w:rFonts w:ascii="Times New Roman" w:hAnsi="Times New Roman" w:cs="Times New Roman"/>
              </w:rPr>
              <w:lastRenderedPageBreak/>
              <w:t>Compatibil</w:t>
            </w:r>
          </w:p>
          <w:p w14:paraId="4B8AE70E" w14:textId="2AB9EC3E" w:rsidR="00F8180E" w:rsidRPr="009E686F" w:rsidRDefault="00F8180E" w:rsidP="00F8180E">
            <w:pPr>
              <w:jc w:val="both"/>
              <w:rPr>
                <w:rFonts w:ascii="Times New Roman" w:hAnsi="Times New Roman" w:cs="Times New Roman"/>
              </w:rPr>
            </w:pPr>
          </w:p>
        </w:tc>
        <w:tc>
          <w:tcPr>
            <w:tcW w:w="806" w:type="pct"/>
            <w:tcBorders>
              <w:top w:val="single" w:sz="4" w:space="0" w:color="auto"/>
              <w:left w:val="single" w:sz="4" w:space="0" w:color="auto"/>
              <w:bottom w:val="single" w:sz="4" w:space="0" w:color="auto"/>
              <w:right w:val="single" w:sz="4" w:space="0" w:color="auto"/>
            </w:tcBorders>
          </w:tcPr>
          <w:p w14:paraId="1F8F371F" w14:textId="29BF5145" w:rsidR="00F8180E" w:rsidRPr="009E686F" w:rsidRDefault="00F8180E" w:rsidP="00515783">
            <w:pPr>
              <w:spacing w:after="0"/>
              <w:jc w:val="both"/>
              <w:rPr>
                <w:rFonts w:ascii="Times New Roman" w:hAnsi="Times New Roman" w:cs="Times New Roman"/>
              </w:rPr>
            </w:pPr>
          </w:p>
        </w:tc>
      </w:tr>
      <w:tr w:rsidR="00B30AFC" w:rsidRPr="009E686F" w14:paraId="23A1EC03" w14:textId="7E7B1590" w:rsidTr="00960C23">
        <w:tc>
          <w:tcPr>
            <w:tcW w:w="1890" w:type="pct"/>
            <w:tcBorders>
              <w:top w:val="single" w:sz="4" w:space="0" w:color="auto"/>
              <w:left w:val="single" w:sz="4" w:space="0" w:color="auto"/>
              <w:bottom w:val="single" w:sz="4" w:space="0" w:color="auto"/>
              <w:right w:val="single" w:sz="4" w:space="0" w:color="auto"/>
            </w:tcBorders>
          </w:tcPr>
          <w:p w14:paraId="74F46A26" w14:textId="433089C9" w:rsidR="00F8180E" w:rsidRPr="009E686F" w:rsidRDefault="00F8180E" w:rsidP="00ED2C1C">
            <w:pPr>
              <w:spacing w:after="0"/>
              <w:jc w:val="both"/>
              <w:rPr>
                <w:rFonts w:ascii="Times New Roman" w:hAnsi="Times New Roman" w:cs="Times New Roman"/>
                <w:lang w:val="pt-BR"/>
              </w:rPr>
            </w:pPr>
            <w:r w:rsidRPr="009E686F">
              <w:rPr>
                <w:rFonts w:ascii="Times New Roman" w:hAnsi="Times New Roman" w:cs="Times New Roman"/>
                <w:lang w:val="pt-BR"/>
              </w:rPr>
              <w:t>50. "securitizare" înseamnă o securitizare astfel cum este definită la articolul 4 alineatul (1) punctul 61 din Regulamentul (UE) nr. 575/2013;</w:t>
            </w:r>
          </w:p>
        </w:tc>
        <w:tc>
          <w:tcPr>
            <w:tcW w:w="1834" w:type="pct"/>
            <w:tcBorders>
              <w:top w:val="single" w:sz="4" w:space="0" w:color="auto"/>
              <w:left w:val="single" w:sz="4" w:space="0" w:color="auto"/>
              <w:bottom w:val="single" w:sz="4" w:space="0" w:color="auto"/>
              <w:right w:val="single" w:sz="4" w:space="0" w:color="auto"/>
            </w:tcBorders>
          </w:tcPr>
          <w:p w14:paraId="3072F824" w14:textId="486E9F5B" w:rsidR="00F8180E" w:rsidRPr="009E686F" w:rsidRDefault="00F8180E" w:rsidP="00ED2C1C">
            <w:pPr>
              <w:spacing w:after="0"/>
              <w:jc w:val="both"/>
              <w:rPr>
                <w:rFonts w:ascii="Times New Roman" w:hAnsi="Times New Roman" w:cs="Times New Roman"/>
                <w:bCs/>
                <w:i/>
                <w:iCs/>
                <w:lang w:val="it-CH"/>
              </w:rPr>
            </w:pPr>
            <w:r w:rsidRPr="009E686F">
              <w:rPr>
                <w:rFonts w:ascii="Times New Roman" w:hAnsi="Times New Roman" w:cs="Times New Roman"/>
                <w:bCs/>
                <w:i/>
                <w:iCs/>
                <w:lang w:val="it-CH"/>
              </w:rPr>
              <w:t>securitizare</w:t>
            </w:r>
            <w:r w:rsidRPr="009E686F">
              <w:rPr>
                <w:rFonts w:ascii="Times New Roman" w:hAnsi="Times New Roman" w:cs="Times New Roman"/>
                <w:bCs/>
                <w:lang w:val="it-CH"/>
              </w:rPr>
              <w:t xml:space="preserve"> – </w:t>
            </w:r>
            <w:r w:rsidRPr="009E686F">
              <w:rPr>
                <w:rFonts w:ascii="Times New Roman" w:hAnsi="Times New Roman" w:cs="Times New Roman"/>
                <w:bCs/>
                <w:i/>
                <w:iCs/>
                <w:lang w:val="it-CH"/>
              </w:rPr>
              <w:t xml:space="preserve">securitizare care îndeplinește condițiile prevăzute de </w:t>
            </w:r>
            <w:r w:rsidR="00486013" w:rsidRPr="009E686F">
              <w:rPr>
                <w:rFonts w:ascii="Times New Roman" w:hAnsi="Times New Roman" w:cs="Times New Roman"/>
                <w:bCs/>
                <w:i/>
                <w:iCs/>
                <w:lang w:val="it-CH"/>
              </w:rPr>
              <w:t>legislația privind securitizarea</w:t>
            </w:r>
            <w:r w:rsidRPr="009E686F">
              <w:rPr>
                <w:rFonts w:ascii="Times New Roman" w:hAnsi="Times New Roman" w:cs="Times New Roman"/>
                <w:bCs/>
                <w:i/>
                <w:iCs/>
                <w:lang w:val="it-CH"/>
              </w:rPr>
              <w:t>;</w:t>
            </w:r>
          </w:p>
          <w:p w14:paraId="141C5A83" w14:textId="18398DB3" w:rsidR="00F8180E" w:rsidRPr="009E686F" w:rsidRDefault="00F8180E" w:rsidP="00ED2C1C">
            <w:pPr>
              <w:spacing w:after="0"/>
              <w:rPr>
                <w:rFonts w:ascii="Times New Roman" w:hAnsi="Times New Roman" w:cs="Times New Roman"/>
                <w:lang w:val="it-CH"/>
              </w:rPr>
            </w:pPr>
          </w:p>
        </w:tc>
        <w:tc>
          <w:tcPr>
            <w:tcW w:w="470" w:type="pct"/>
            <w:tcBorders>
              <w:top w:val="single" w:sz="4" w:space="0" w:color="auto"/>
              <w:left w:val="single" w:sz="4" w:space="0" w:color="auto"/>
              <w:bottom w:val="single" w:sz="4" w:space="0" w:color="auto"/>
              <w:right w:val="single" w:sz="4" w:space="0" w:color="auto"/>
            </w:tcBorders>
          </w:tcPr>
          <w:p w14:paraId="60BE6186" w14:textId="312FEEA5" w:rsidR="00F8180E" w:rsidRPr="009E686F" w:rsidRDefault="00F8180E" w:rsidP="00F8180E">
            <w:pPr>
              <w:jc w:val="both"/>
              <w:rPr>
                <w:rFonts w:ascii="Times New Roman" w:hAnsi="Times New Roman" w:cs="Times New Roman"/>
              </w:rPr>
            </w:pPr>
            <w:r w:rsidRPr="009E686F">
              <w:rPr>
                <w:rFonts w:ascii="Times New Roman" w:hAnsi="Times New Roman" w:cs="Times New Roman"/>
              </w:rPr>
              <w:t>Compatibil</w:t>
            </w:r>
          </w:p>
          <w:p w14:paraId="5E133409" w14:textId="2F1AC8F6" w:rsidR="00F8180E" w:rsidRPr="009E686F" w:rsidRDefault="00F8180E" w:rsidP="00F8180E">
            <w:pPr>
              <w:jc w:val="both"/>
              <w:rPr>
                <w:rFonts w:ascii="Times New Roman" w:hAnsi="Times New Roman" w:cs="Times New Roman"/>
              </w:rPr>
            </w:pPr>
          </w:p>
        </w:tc>
        <w:tc>
          <w:tcPr>
            <w:tcW w:w="806" w:type="pct"/>
            <w:tcBorders>
              <w:top w:val="single" w:sz="4" w:space="0" w:color="auto"/>
              <w:left w:val="single" w:sz="4" w:space="0" w:color="auto"/>
              <w:bottom w:val="single" w:sz="4" w:space="0" w:color="auto"/>
              <w:right w:val="single" w:sz="4" w:space="0" w:color="auto"/>
            </w:tcBorders>
          </w:tcPr>
          <w:p w14:paraId="1EC917C7" w14:textId="49FE2803" w:rsidR="00F8180E" w:rsidRPr="009E686F" w:rsidRDefault="00F8180E" w:rsidP="00515783">
            <w:pPr>
              <w:spacing w:after="0"/>
              <w:jc w:val="both"/>
              <w:rPr>
                <w:rFonts w:ascii="Times New Roman" w:hAnsi="Times New Roman" w:cs="Times New Roman"/>
              </w:rPr>
            </w:pPr>
          </w:p>
        </w:tc>
      </w:tr>
      <w:tr w:rsidR="00B30AFC" w:rsidRPr="009E686F" w14:paraId="6A53564D" w14:textId="705F9F9D" w:rsidTr="00960C23">
        <w:tc>
          <w:tcPr>
            <w:tcW w:w="1890" w:type="pct"/>
            <w:tcBorders>
              <w:top w:val="single" w:sz="4" w:space="0" w:color="auto"/>
              <w:left w:val="single" w:sz="4" w:space="0" w:color="auto"/>
              <w:bottom w:val="single" w:sz="4" w:space="0" w:color="auto"/>
              <w:right w:val="single" w:sz="4" w:space="0" w:color="auto"/>
            </w:tcBorders>
          </w:tcPr>
          <w:p w14:paraId="7C1C8425" w14:textId="6E1B535D" w:rsidR="00F8180E" w:rsidRPr="009E686F" w:rsidRDefault="00F8180E" w:rsidP="00ED2C1C">
            <w:pPr>
              <w:spacing w:after="0"/>
              <w:jc w:val="both"/>
              <w:rPr>
                <w:rFonts w:ascii="Times New Roman" w:hAnsi="Times New Roman" w:cs="Times New Roman"/>
                <w:lang w:val="pt-BR"/>
              </w:rPr>
            </w:pPr>
            <w:r w:rsidRPr="009E686F">
              <w:rPr>
                <w:rFonts w:ascii="Times New Roman" w:hAnsi="Times New Roman" w:cs="Times New Roman"/>
                <w:lang w:val="pt-BR"/>
              </w:rPr>
              <w:t>51. "poziție de securitizare" înseamnă o poziție de securitizare astfel cum este definită la articolul 4 alineatul (1) punctul 62 din Regulamentul (UE) nr. 575/2013;</w:t>
            </w:r>
          </w:p>
        </w:tc>
        <w:tc>
          <w:tcPr>
            <w:tcW w:w="1834" w:type="pct"/>
            <w:tcBorders>
              <w:top w:val="single" w:sz="4" w:space="0" w:color="auto"/>
              <w:left w:val="single" w:sz="4" w:space="0" w:color="auto"/>
              <w:bottom w:val="single" w:sz="4" w:space="0" w:color="auto"/>
              <w:right w:val="single" w:sz="4" w:space="0" w:color="auto"/>
            </w:tcBorders>
          </w:tcPr>
          <w:p w14:paraId="1BB94925" w14:textId="57801D12" w:rsidR="00E10E14" w:rsidRPr="009E686F" w:rsidRDefault="00E10E14" w:rsidP="00ED2C1C">
            <w:pPr>
              <w:spacing w:after="0"/>
              <w:jc w:val="both"/>
              <w:rPr>
                <w:rFonts w:ascii="Times New Roman" w:hAnsi="Times New Roman" w:cs="Times New Roman"/>
                <w:b/>
                <w:lang w:val="pt-BR"/>
              </w:rPr>
            </w:pPr>
            <w:r w:rsidRPr="009E686F">
              <w:rPr>
                <w:rFonts w:ascii="Times New Roman" w:hAnsi="Times New Roman" w:cs="Times New Roman"/>
                <w:i/>
                <w:iCs/>
                <w:lang w:val="pt-BR"/>
              </w:rPr>
              <w:t>Pct. 3</w:t>
            </w:r>
            <w:r w:rsidR="006950B5" w:rsidRPr="009E686F">
              <w:rPr>
                <w:rFonts w:ascii="Times New Roman" w:hAnsi="Times New Roman" w:cs="Times New Roman"/>
                <w:i/>
                <w:iCs/>
                <w:lang w:val="pt-BR"/>
              </w:rPr>
              <w:t>.16</w:t>
            </w:r>
            <w:r w:rsidRPr="009E686F">
              <w:rPr>
                <w:rFonts w:ascii="Times New Roman" w:hAnsi="Times New Roman" w:cs="Times New Roman"/>
                <w:i/>
                <w:iCs/>
                <w:lang w:val="pt-BR"/>
              </w:rPr>
              <w:t xml:space="preserve"> din </w:t>
            </w:r>
            <w:r w:rsidR="006950B5" w:rsidRPr="009E686F">
              <w:rPr>
                <w:rFonts w:ascii="Times New Roman" w:hAnsi="Times New Roman" w:cs="Times New Roman"/>
                <w:bCs/>
                <w:i/>
                <w:iCs/>
                <w:lang w:val="pt-BR"/>
              </w:rPr>
              <w:t>Regulamentul privind tratamentul prudenţial al securitizărilor, aprobat prin HCE nr. 221/2025</w:t>
            </w:r>
          </w:p>
          <w:p w14:paraId="2E4A4408" w14:textId="03841CCB" w:rsidR="00F8180E" w:rsidRPr="009E686F" w:rsidRDefault="006950B5" w:rsidP="00ED2C1C">
            <w:pPr>
              <w:spacing w:after="0"/>
              <w:jc w:val="both"/>
              <w:rPr>
                <w:rFonts w:ascii="Times New Roman" w:hAnsi="Times New Roman" w:cs="Times New Roman"/>
                <w:bCs/>
                <w:lang w:val="pt-BR"/>
              </w:rPr>
            </w:pPr>
            <w:r w:rsidRPr="009E686F">
              <w:rPr>
                <w:rFonts w:ascii="Times New Roman" w:hAnsi="Times New Roman" w:cs="Times New Roman"/>
                <w:bCs/>
                <w:lang w:val="pt-BR"/>
              </w:rPr>
              <w:t>3.16. poziţie din securitizare înseamnă o expunere faţă de o securitizare;</w:t>
            </w:r>
          </w:p>
        </w:tc>
        <w:tc>
          <w:tcPr>
            <w:tcW w:w="470" w:type="pct"/>
            <w:tcBorders>
              <w:top w:val="single" w:sz="4" w:space="0" w:color="auto"/>
              <w:left w:val="single" w:sz="4" w:space="0" w:color="auto"/>
              <w:bottom w:val="single" w:sz="4" w:space="0" w:color="auto"/>
              <w:right w:val="single" w:sz="4" w:space="0" w:color="auto"/>
            </w:tcBorders>
          </w:tcPr>
          <w:p w14:paraId="7D543A6E" w14:textId="13F456AE" w:rsidR="00F8180E" w:rsidRPr="009E686F" w:rsidRDefault="00F8180E" w:rsidP="00F8180E">
            <w:pPr>
              <w:jc w:val="both"/>
              <w:rPr>
                <w:rFonts w:ascii="Times New Roman" w:hAnsi="Times New Roman" w:cs="Times New Roman"/>
              </w:rPr>
            </w:pPr>
            <w:r w:rsidRPr="009E686F">
              <w:rPr>
                <w:rFonts w:ascii="Times New Roman" w:hAnsi="Times New Roman" w:cs="Times New Roman"/>
              </w:rPr>
              <w:t>Compatibil</w:t>
            </w:r>
          </w:p>
          <w:p w14:paraId="61ADBA0F" w14:textId="6D91AE14" w:rsidR="00F8180E" w:rsidRPr="009E686F" w:rsidRDefault="00F8180E" w:rsidP="00F8180E">
            <w:pPr>
              <w:jc w:val="both"/>
              <w:rPr>
                <w:rFonts w:ascii="Times New Roman" w:hAnsi="Times New Roman" w:cs="Times New Roman"/>
              </w:rPr>
            </w:pPr>
          </w:p>
        </w:tc>
        <w:tc>
          <w:tcPr>
            <w:tcW w:w="806" w:type="pct"/>
            <w:tcBorders>
              <w:top w:val="single" w:sz="4" w:space="0" w:color="auto"/>
              <w:left w:val="single" w:sz="4" w:space="0" w:color="auto"/>
              <w:bottom w:val="single" w:sz="4" w:space="0" w:color="auto"/>
              <w:right w:val="single" w:sz="4" w:space="0" w:color="auto"/>
            </w:tcBorders>
          </w:tcPr>
          <w:p w14:paraId="7220AB2A" w14:textId="58A32F83" w:rsidR="00F8180E" w:rsidRPr="009E686F" w:rsidRDefault="00F8180E" w:rsidP="00515783">
            <w:pPr>
              <w:spacing w:after="0"/>
              <w:jc w:val="both"/>
              <w:rPr>
                <w:rFonts w:ascii="Times New Roman" w:hAnsi="Times New Roman" w:cs="Times New Roman"/>
              </w:rPr>
            </w:pPr>
          </w:p>
        </w:tc>
      </w:tr>
      <w:tr w:rsidR="00B30AFC" w:rsidRPr="009E686F" w14:paraId="67C4EA08" w14:textId="538EE95D" w:rsidTr="00960C23">
        <w:tc>
          <w:tcPr>
            <w:tcW w:w="1890" w:type="pct"/>
            <w:tcBorders>
              <w:top w:val="single" w:sz="4" w:space="0" w:color="auto"/>
              <w:left w:val="single" w:sz="4" w:space="0" w:color="auto"/>
              <w:bottom w:val="single" w:sz="4" w:space="0" w:color="auto"/>
              <w:right w:val="single" w:sz="4" w:space="0" w:color="auto"/>
            </w:tcBorders>
          </w:tcPr>
          <w:p w14:paraId="42FEBCAD" w14:textId="410C087D" w:rsidR="00F8180E" w:rsidRPr="009E686F" w:rsidRDefault="00F8180E" w:rsidP="00ED2C1C">
            <w:pPr>
              <w:spacing w:after="0"/>
              <w:jc w:val="both"/>
              <w:rPr>
                <w:rFonts w:ascii="Times New Roman" w:hAnsi="Times New Roman" w:cs="Times New Roman"/>
                <w:lang w:val="it-CH"/>
              </w:rPr>
            </w:pPr>
            <w:r w:rsidRPr="009E686F">
              <w:rPr>
                <w:rFonts w:ascii="Times New Roman" w:hAnsi="Times New Roman" w:cs="Times New Roman"/>
                <w:lang w:val="it-CH"/>
              </w:rPr>
              <w:t>52. "entitate special constituită în scopul securitizării" înseamnă o entitate special constituită în scopul securitizării astfel cum este definită la articolul 4 alineatul (1) punctul 66 din Regulamentul (UE) nr. 575/2013;</w:t>
            </w:r>
          </w:p>
        </w:tc>
        <w:tc>
          <w:tcPr>
            <w:tcW w:w="1834" w:type="pct"/>
            <w:tcBorders>
              <w:top w:val="single" w:sz="4" w:space="0" w:color="auto"/>
              <w:left w:val="single" w:sz="4" w:space="0" w:color="auto"/>
              <w:bottom w:val="single" w:sz="4" w:space="0" w:color="auto"/>
              <w:right w:val="single" w:sz="4" w:space="0" w:color="auto"/>
            </w:tcBorders>
          </w:tcPr>
          <w:p w14:paraId="64E7C936" w14:textId="1B6F8135" w:rsidR="00864961" w:rsidRPr="009E686F" w:rsidRDefault="00864961" w:rsidP="00ED2C1C">
            <w:pPr>
              <w:spacing w:after="0"/>
              <w:jc w:val="both"/>
              <w:rPr>
                <w:rFonts w:ascii="Times New Roman" w:hAnsi="Times New Roman" w:cs="Times New Roman"/>
                <w:i/>
                <w:lang w:val="it-CH"/>
              </w:rPr>
            </w:pPr>
            <w:r w:rsidRPr="009E686F">
              <w:rPr>
                <w:rFonts w:ascii="Times New Roman" w:hAnsi="Times New Roman" w:cs="Times New Roman"/>
                <w:i/>
                <w:lang w:val="it-CH"/>
              </w:rPr>
              <w:t xml:space="preserve">pct. 3.4. </w:t>
            </w:r>
            <w:r w:rsidR="006950B5" w:rsidRPr="009E686F">
              <w:rPr>
                <w:rFonts w:ascii="Times New Roman" w:hAnsi="Times New Roman" w:cs="Times New Roman"/>
                <w:i/>
                <w:lang w:val="it-CH"/>
              </w:rPr>
              <w:t xml:space="preserve">din </w:t>
            </w:r>
            <w:r w:rsidRPr="009E686F">
              <w:rPr>
                <w:rFonts w:ascii="Times New Roman" w:hAnsi="Times New Roman" w:cs="Times New Roman"/>
                <w:i/>
                <w:lang w:val="it-CH"/>
              </w:rPr>
              <w:t xml:space="preserve">Regulamentul privind tratamentul prudenţial al securitizărilor, aprobat prin HCE nr. 221/2025 </w:t>
            </w:r>
          </w:p>
          <w:p w14:paraId="279A052E" w14:textId="2B1F0CDD" w:rsidR="00F8180E" w:rsidRPr="009E686F" w:rsidRDefault="00864961" w:rsidP="00ED2C1C">
            <w:pPr>
              <w:spacing w:after="0"/>
              <w:jc w:val="both"/>
              <w:rPr>
                <w:rFonts w:ascii="Times New Roman" w:hAnsi="Times New Roman" w:cs="Times New Roman"/>
                <w:lang w:val="it-CH"/>
              </w:rPr>
            </w:pPr>
            <w:r w:rsidRPr="009E686F">
              <w:rPr>
                <w:rFonts w:ascii="Times New Roman" w:hAnsi="Times New Roman" w:cs="Times New Roman"/>
                <w:i/>
                <w:lang w:val="it-CH"/>
              </w:rPr>
              <w:t>3.4. entitate special constituită în scopul securitizării</w:t>
            </w:r>
            <w:r w:rsidRPr="009E686F">
              <w:rPr>
                <w:rFonts w:ascii="Times New Roman" w:hAnsi="Times New Roman" w:cs="Times New Roman"/>
                <w:lang w:val="it-CH"/>
              </w:rPr>
              <w:t xml:space="preserve"> (SSPE) înseamnă o societate, o societate de administrare fiduciară a investiţiilor sau o altă entitate, alta decât un iniţiator sau un sponsor, constituită în scopul de a desfăşura una sau mai multe securitizări, ale cărei activităţi se limitează la cele corespunzătoare pentru realizarea obiectivului menţionat, şi a cărei structură are rolul de a izola obligaţiile SSPE de cele ale iniţiatorului;</w:t>
            </w:r>
          </w:p>
        </w:tc>
        <w:tc>
          <w:tcPr>
            <w:tcW w:w="470" w:type="pct"/>
            <w:tcBorders>
              <w:top w:val="single" w:sz="4" w:space="0" w:color="auto"/>
              <w:left w:val="single" w:sz="4" w:space="0" w:color="auto"/>
              <w:bottom w:val="single" w:sz="4" w:space="0" w:color="auto"/>
              <w:right w:val="single" w:sz="4" w:space="0" w:color="auto"/>
            </w:tcBorders>
          </w:tcPr>
          <w:p w14:paraId="18AC5B20" w14:textId="77777777" w:rsidR="00D732CF" w:rsidRPr="009E686F" w:rsidRDefault="00D732CF" w:rsidP="00D732CF">
            <w:pPr>
              <w:jc w:val="both"/>
              <w:rPr>
                <w:rFonts w:ascii="Times New Roman" w:hAnsi="Times New Roman" w:cs="Times New Roman"/>
              </w:rPr>
            </w:pPr>
            <w:r w:rsidRPr="009E686F">
              <w:rPr>
                <w:rFonts w:ascii="Times New Roman" w:hAnsi="Times New Roman" w:cs="Times New Roman"/>
              </w:rPr>
              <w:t>Compatibil</w:t>
            </w:r>
          </w:p>
          <w:p w14:paraId="671726A6" w14:textId="26654B0F" w:rsidR="00F8180E" w:rsidRPr="009E686F" w:rsidRDefault="00F8180E" w:rsidP="00F8180E">
            <w:pPr>
              <w:jc w:val="both"/>
              <w:rPr>
                <w:rFonts w:ascii="Times New Roman" w:hAnsi="Times New Roman" w:cs="Times New Roman"/>
              </w:rPr>
            </w:pPr>
          </w:p>
        </w:tc>
        <w:tc>
          <w:tcPr>
            <w:tcW w:w="806" w:type="pct"/>
            <w:tcBorders>
              <w:top w:val="single" w:sz="4" w:space="0" w:color="auto"/>
              <w:left w:val="single" w:sz="4" w:space="0" w:color="auto"/>
              <w:bottom w:val="single" w:sz="4" w:space="0" w:color="auto"/>
              <w:right w:val="single" w:sz="4" w:space="0" w:color="auto"/>
            </w:tcBorders>
          </w:tcPr>
          <w:p w14:paraId="5AC58D27" w14:textId="248D8CEA" w:rsidR="00F8180E" w:rsidRPr="009E686F" w:rsidRDefault="00F8180E" w:rsidP="00515783">
            <w:pPr>
              <w:spacing w:after="0"/>
              <w:jc w:val="both"/>
              <w:rPr>
                <w:rFonts w:ascii="Times New Roman" w:hAnsi="Times New Roman" w:cs="Times New Roman"/>
              </w:rPr>
            </w:pPr>
          </w:p>
        </w:tc>
      </w:tr>
      <w:tr w:rsidR="00B30AFC" w:rsidRPr="009E686F" w14:paraId="2B424353" w14:textId="62B05921" w:rsidTr="00960C23">
        <w:tc>
          <w:tcPr>
            <w:tcW w:w="1890" w:type="pct"/>
            <w:tcBorders>
              <w:top w:val="single" w:sz="4" w:space="0" w:color="auto"/>
              <w:left w:val="single" w:sz="4" w:space="0" w:color="auto"/>
              <w:bottom w:val="single" w:sz="4" w:space="0" w:color="auto"/>
              <w:right w:val="single" w:sz="4" w:space="0" w:color="auto"/>
            </w:tcBorders>
          </w:tcPr>
          <w:p w14:paraId="77DC2ADD" w14:textId="7ECC81C6" w:rsidR="00F8180E" w:rsidRPr="009E686F" w:rsidRDefault="00F8180E" w:rsidP="00ED2C1C">
            <w:pPr>
              <w:spacing w:after="0"/>
              <w:jc w:val="both"/>
              <w:rPr>
                <w:rFonts w:ascii="Times New Roman" w:hAnsi="Times New Roman" w:cs="Times New Roman"/>
                <w:lang w:val="it-CH"/>
              </w:rPr>
            </w:pPr>
            <w:r w:rsidRPr="009E686F">
              <w:rPr>
                <w:rFonts w:ascii="Times New Roman" w:hAnsi="Times New Roman" w:cs="Times New Roman"/>
                <w:lang w:val="it-CH"/>
              </w:rPr>
              <w:t>53. "beneficii discreționare de tipul pensiilor" înseamnă beneficii discreționare de tipul pensiilor astfel cum sunt definite la articolul 4 alineatul (1) punctul 73 din Regulamentul (UE) nr. 575/2013;</w:t>
            </w:r>
          </w:p>
        </w:tc>
        <w:tc>
          <w:tcPr>
            <w:tcW w:w="1834" w:type="pct"/>
            <w:tcBorders>
              <w:top w:val="single" w:sz="4" w:space="0" w:color="auto"/>
              <w:left w:val="single" w:sz="4" w:space="0" w:color="auto"/>
              <w:bottom w:val="single" w:sz="4" w:space="0" w:color="auto"/>
              <w:right w:val="single" w:sz="4" w:space="0" w:color="auto"/>
            </w:tcBorders>
          </w:tcPr>
          <w:p w14:paraId="4DBB099C" w14:textId="2D3879F6" w:rsidR="00F8180E" w:rsidRPr="009E686F" w:rsidRDefault="00F8180E" w:rsidP="00ED2C1C">
            <w:pPr>
              <w:spacing w:after="0"/>
              <w:jc w:val="both"/>
              <w:rPr>
                <w:rFonts w:ascii="Times New Roman" w:eastAsia="Aptos" w:hAnsi="Times New Roman" w:cs="Times New Roman"/>
                <w:kern w:val="2"/>
                <w:lang w:val="ro-MD"/>
              </w:rPr>
            </w:pPr>
            <w:r w:rsidRPr="009E686F">
              <w:rPr>
                <w:rFonts w:ascii="Times New Roman" w:eastAsia="Aptos" w:hAnsi="Times New Roman" w:cs="Times New Roman"/>
                <w:i/>
                <w:iCs/>
                <w:kern w:val="2"/>
                <w:lang w:val="ro-MD"/>
              </w:rPr>
              <w:t xml:space="preserve">beneficii discreţionare de tipul pensiilor –  </w:t>
            </w:r>
            <w:r w:rsidR="004A6008" w:rsidRPr="009E686F">
              <w:rPr>
                <w:rFonts w:ascii="Times New Roman" w:eastAsia="Aptos" w:hAnsi="Times New Roman" w:cs="Times New Roman"/>
                <w:i/>
                <w:iCs/>
                <w:kern w:val="2"/>
                <w:lang w:val="ro-MD"/>
              </w:rPr>
              <w:t>beneficii suplimentare de tipul pensiilor asigurate pe o bază discreţionară de o instituţie de credit unui salariat sau unui membru al organului de conducere   ca parte a pachetului de remuneraţie variabilă al acestuia, care nu include beneficiile datorate garantate salariatului sau membrului organului de conducere în conformitate cu termenii schemei de pensionare a societăţii;</w:t>
            </w:r>
          </w:p>
        </w:tc>
        <w:tc>
          <w:tcPr>
            <w:tcW w:w="470" w:type="pct"/>
            <w:tcBorders>
              <w:top w:val="single" w:sz="4" w:space="0" w:color="auto"/>
              <w:left w:val="single" w:sz="4" w:space="0" w:color="auto"/>
              <w:bottom w:val="single" w:sz="4" w:space="0" w:color="auto"/>
              <w:right w:val="single" w:sz="4" w:space="0" w:color="auto"/>
            </w:tcBorders>
          </w:tcPr>
          <w:p w14:paraId="0A9DC4AA" w14:textId="6BD4704D" w:rsidR="00F8180E" w:rsidRPr="009E686F" w:rsidRDefault="00F8180E" w:rsidP="00F8180E">
            <w:pPr>
              <w:jc w:val="both"/>
              <w:rPr>
                <w:rFonts w:ascii="Times New Roman" w:hAnsi="Times New Roman" w:cs="Times New Roman"/>
              </w:rPr>
            </w:pPr>
            <w:r w:rsidRPr="009E686F">
              <w:rPr>
                <w:rFonts w:ascii="Times New Roman" w:hAnsi="Times New Roman" w:cs="Times New Roman"/>
              </w:rPr>
              <w:t>Compatibil</w:t>
            </w:r>
          </w:p>
          <w:p w14:paraId="74F99576" w14:textId="4FC4C9F8" w:rsidR="00F8180E" w:rsidRPr="009E686F" w:rsidRDefault="00F8180E" w:rsidP="00F8180E">
            <w:pPr>
              <w:jc w:val="both"/>
              <w:rPr>
                <w:rFonts w:ascii="Times New Roman" w:hAnsi="Times New Roman" w:cs="Times New Roman"/>
              </w:rPr>
            </w:pPr>
          </w:p>
        </w:tc>
        <w:tc>
          <w:tcPr>
            <w:tcW w:w="806" w:type="pct"/>
            <w:tcBorders>
              <w:top w:val="single" w:sz="4" w:space="0" w:color="auto"/>
              <w:left w:val="single" w:sz="4" w:space="0" w:color="auto"/>
              <w:bottom w:val="single" w:sz="4" w:space="0" w:color="auto"/>
              <w:right w:val="single" w:sz="4" w:space="0" w:color="auto"/>
            </w:tcBorders>
          </w:tcPr>
          <w:p w14:paraId="1B6C77F2" w14:textId="3967EDD2" w:rsidR="00F8180E" w:rsidRPr="009E686F" w:rsidRDefault="00F8180E" w:rsidP="00515783">
            <w:pPr>
              <w:spacing w:after="0"/>
              <w:jc w:val="both"/>
              <w:rPr>
                <w:rFonts w:ascii="Times New Roman" w:hAnsi="Times New Roman" w:cs="Times New Roman"/>
              </w:rPr>
            </w:pPr>
          </w:p>
        </w:tc>
      </w:tr>
      <w:tr w:rsidR="00B30AFC" w:rsidRPr="009E686F" w14:paraId="3480D6EB" w14:textId="2E7C6250" w:rsidTr="00960C23">
        <w:tc>
          <w:tcPr>
            <w:tcW w:w="1890" w:type="pct"/>
            <w:tcBorders>
              <w:top w:val="single" w:sz="4" w:space="0" w:color="auto"/>
              <w:left w:val="single" w:sz="4" w:space="0" w:color="auto"/>
              <w:bottom w:val="single" w:sz="4" w:space="0" w:color="auto"/>
              <w:right w:val="single" w:sz="4" w:space="0" w:color="auto"/>
            </w:tcBorders>
          </w:tcPr>
          <w:p w14:paraId="12C76CAF" w14:textId="13BF2EE7" w:rsidR="00F8180E" w:rsidRPr="009E686F" w:rsidRDefault="00F8180E" w:rsidP="00ED2C1C">
            <w:pPr>
              <w:spacing w:after="0"/>
              <w:jc w:val="both"/>
              <w:rPr>
                <w:rFonts w:ascii="Times New Roman" w:hAnsi="Times New Roman" w:cs="Times New Roman"/>
                <w:lang w:val="it-CH"/>
              </w:rPr>
            </w:pPr>
            <w:r w:rsidRPr="009E686F">
              <w:rPr>
                <w:rFonts w:ascii="Times New Roman" w:hAnsi="Times New Roman" w:cs="Times New Roman"/>
                <w:lang w:val="it-CH"/>
              </w:rPr>
              <w:t>54. "portofoliu de tranzacționare" înseamnă un portofoliu de tranzacționare astfel cum este definit la articolul 4 alineatul (1) punctul 86 din Regulamentul (UE) nr. 575/2013;</w:t>
            </w:r>
          </w:p>
        </w:tc>
        <w:tc>
          <w:tcPr>
            <w:tcW w:w="1834" w:type="pct"/>
            <w:tcBorders>
              <w:top w:val="single" w:sz="4" w:space="0" w:color="auto"/>
              <w:left w:val="single" w:sz="4" w:space="0" w:color="auto"/>
              <w:bottom w:val="single" w:sz="4" w:space="0" w:color="auto"/>
              <w:right w:val="single" w:sz="4" w:space="0" w:color="auto"/>
            </w:tcBorders>
          </w:tcPr>
          <w:p w14:paraId="7451EBC3" w14:textId="372661EA" w:rsidR="007A428C" w:rsidRPr="009E686F" w:rsidRDefault="007A428C" w:rsidP="00ED2C1C">
            <w:pPr>
              <w:spacing w:after="0"/>
              <w:jc w:val="both"/>
              <w:rPr>
                <w:rFonts w:ascii="Times New Roman" w:hAnsi="Times New Roman" w:cs="Times New Roman"/>
                <w:i/>
                <w:lang w:val="it-CH"/>
              </w:rPr>
            </w:pPr>
            <w:r w:rsidRPr="009E686F">
              <w:rPr>
                <w:rFonts w:ascii="Times New Roman" w:hAnsi="Times New Roman" w:cs="Times New Roman"/>
                <w:i/>
                <w:lang w:val="it-CH"/>
              </w:rPr>
              <w:t xml:space="preserve">Pct. 8 </w:t>
            </w:r>
            <w:r w:rsidR="006950B5" w:rsidRPr="009E686F">
              <w:rPr>
                <w:rFonts w:ascii="Times New Roman" w:hAnsi="Times New Roman" w:cs="Times New Roman"/>
                <w:i/>
                <w:lang w:val="it-CH"/>
              </w:rPr>
              <w:t>din Regulamentul privind tratamentul prudenţial al securitizărilor, aprobat prin HCE nr. 221/2025</w:t>
            </w:r>
          </w:p>
          <w:p w14:paraId="4C23CFBB" w14:textId="3843845A" w:rsidR="007A428C" w:rsidRPr="009E686F" w:rsidRDefault="007A2B98" w:rsidP="00ED2C1C">
            <w:pPr>
              <w:spacing w:after="0"/>
              <w:jc w:val="both"/>
              <w:rPr>
                <w:rFonts w:ascii="Times New Roman" w:hAnsi="Times New Roman" w:cs="Times New Roman"/>
                <w:lang w:val="it-CH"/>
              </w:rPr>
            </w:pPr>
            <w:r w:rsidRPr="009E686F">
              <w:rPr>
                <w:rFonts w:ascii="Times New Roman" w:hAnsi="Times New Roman" w:cs="Times New Roman"/>
                <w:i/>
                <w:lang w:val="it-CH"/>
              </w:rPr>
              <w:t>11) portofoliu de tranzacţionare –</w:t>
            </w:r>
            <w:r w:rsidRPr="009E686F">
              <w:rPr>
                <w:rFonts w:ascii="Times New Roman" w:hAnsi="Times New Roman" w:cs="Times New Roman"/>
                <w:lang w:val="it-CH"/>
              </w:rPr>
              <w:t xml:space="preserve"> reprezintă toate poziţiile pe instrumente financiare şi mărfuri deţinute de o bancă, fie </w:t>
            </w:r>
            <w:r w:rsidRPr="009E686F">
              <w:rPr>
                <w:rFonts w:ascii="Times New Roman" w:hAnsi="Times New Roman" w:cs="Times New Roman"/>
                <w:lang w:val="it-CH"/>
              </w:rPr>
              <w:lastRenderedPageBreak/>
              <w:t>cu intenţia tranzacţionării, fie cu scopul de a acoperi poziţiile deţinute cu intenţia tranzacţionării;</w:t>
            </w:r>
          </w:p>
        </w:tc>
        <w:tc>
          <w:tcPr>
            <w:tcW w:w="470" w:type="pct"/>
            <w:tcBorders>
              <w:top w:val="single" w:sz="4" w:space="0" w:color="auto"/>
              <w:left w:val="single" w:sz="4" w:space="0" w:color="auto"/>
              <w:bottom w:val="single" w:sz="4" w:space="0" w:color="auto"/>
              <w:right w:val="single" w:sz="4" w:space="0" w:color="auto"/>
            </w:tcBorders>
          </w:tcPr>
          <w:p w14:paraId="5B5F86A8" w14:textId="2F4B8805" w:rsidR="00F8180E" w:rsidRPr="009E686F" w:rsidRDefault="00F8180E" w:rsidP="00F8180E">
            <w:pPr>
              <w:jc w:val="both"/>
              <w:rPr>
                <w:rFonts w:ascii="Times New Roman" w:hAnsi="Times New Roman" w:cs="Times New Roman"/>
              </w:rPr>
            </w:pPr>
            <w:r w:rsidRPr="009E686F">
              <w:rPr>
                <w:rFonts w:ascii="Times New Roman" w:hAnsi="Times New Roman" w:cs="Times New Roman"/>
              </w:rPr>
              <w:lastRenderedPageBreak/>
              <w:t>Compatibil</w:t>
            </w:r>
          </w:p>
          <w:p w14:paraId="491A94CE" w14:textId="05AE521D" w:rsidR="00F8180E" w:rsidRPr="009E686F" w:rsidRDefault="00F8180E" w:rsidP="00F8180E">
            <w:pPr>
              <w:jc w:val="both"/>
              <w:rPr>
                <w:rFonts w:ascii="Times New Roman" w:hAnsi="Times New Roman" w:cs="Times New Roman"/>
              </w:rPr>
            </w:pPr>
          </w:p>
        </w:tc>
        <w:tc>
          <w:tcPr>
            <w:tcW w:w="806" w:type="pct"/>
            <w:tcBorders>
              <w:top w:val="single" w:sz="4" w:space="0" w:color="auto"/>
              <w:left w:val="single" w:sz="4" w:space="0" w:color="auto"/>
              <w:bottom w:val="single" w:sz="4" w:space="0" w:color="auto"/>
              <w:right w:val="single" w:sz="4" w:space="0" w:color="auto"/>
            </w:tcBorders>
          </w:tcPr>
          <w:p w14:paraId="14E51C71" w14:textId="3892EEA8" w:rsidR="00F8180E" w:rsidRPr="009E686F" w:rsidRDefault="00F8180E" w:rsidP="00515783">
            <w:pPr>
              <w:spacing w:after="0"/>
              <w:jc w:val="both"/>
              <w:rPr>
                <w:rFonts w:ascii="Times New Roman" w:hAnsi="Times New Roman" w:cs="Times New Roman"/>
              </w:rPr>
            </w:pPr>
          </w:p>
        </w:tc>
      </w:tr>
      <w:tr w:rsidR="00B30AFC" w:rsidRPr="009E686F" w14:paraId="2D6ED4AD" w14:textId="120261DD" w:rsidTr="00960C23">
        <w:tc>
          <w:tcPr>
            <w:tcW w:w="1890" w:type="pct"/>
            <w:tcBorders>
              <w:top w:val="single" w:sz="4" w:space="0" w:color="auto"/>
              <w:left w:val="single" w:sz="4" w:space="0" w:color="auto"/>
              <w:bottom w:val="single" w:sz="4" w:space="0" w:color="auto"/>
              <w:right w:val="single" w:sz="4" w:space="0" w:color="auto"/>
            </w:tcBorders>
          </w:tcPr>
          <w:p w14:paraId="1FF7B3A0" w14:textId="78D9BE6E" w:rsidR="00F8180E" w:rsidRPr="009E686F" w:rsidRDefault="00F8180E" w:rsidP="00ED2C1C">
            <w:pPr>
              <w:spacing w:after="0"/>
              <w:jc w:val="both"/>
              <w:rPr>
                <w:rFonts w:ascii="Times New Roman" w:hAnsi="Times New Roman" w:cs="Times New Roman"/>
                <w:lang w:val="it-CH"/>
              </w:rPr>
            </w:pPr>
            <w:r w:rsidRPr="009E686F">
              <w:rPr>
                <w:rFonts w:ascii="Times New Roman" w:hAnsi="Times New Roman" w:cs="Times New Roman"/>
                <w:lang w:val="it-CH"/>
              </w:rPr>
              <w:t>55. "piață reglementată" înseamnă o piață reglementată astfel cum este definită la articolul 4 alineatul (1) punctul 92 din Regulamentul (UE) nr. 575/2013;</w:t>
            </w:r>
          </w:p>
        </w:tc>
        <w:tc>
          <w:tcPr>
            <w:tcW w:w="1834" w:type="pct"/>
            <w:tcBorders>
              <w:top w:val="single" w:sz="4" w:space="0" w:color="auto"/>
              <w:left w:val="single" w:sz="4" w:space="0" w:color="auto"/>
              <w:bottom w:val="single" w:sz="4" w:space="0" w:color="auto"/>
              <w:right w:val="single" w:sz="4" w:space="0" w:color="auto"/>
            </w:tcBorders>
          </w:tcPr>
          <w:p w14:paraId="7353753D" w14:textId="56E43734" w:rsidR="00F8180E" w:rsidRPr="009E686F" w:rsidRDefault="00F8180E" w:rsidP="00ED2C1C">
            <w:pPr>
              <w:spacing w:after="0"/>
              <w:jc w:val="both"/>
              <w:rPr>
                <w:rFonts w:ascii="Times New Roman" w:hAnsi="Times New Roman" w:cs="Times New Roman"/>
                <w:lang w:val="it-CH"/>
              </w:rPr>
            </w:pPr>
            <w:r w:rsidRPr="009E686F">
              <w:rPr>
                <w:rFonts w:ascii="Times New Roman" w:hAnsi="Times New Roman" w:cs="Times New Roman"/>
                <w:i/>
                <w:iCs/>
                <w:lang w:val="it-CH"/>
              </w:rPr>
              <w:t>piață reglementată</w:t>
            </w:r>
            <w:r w:rsidRPr="009E686F">
              <w:rPr>
                <w:rFonts w:ascii="Times New Roman" w:hAnsi="Times New Roman" w:cs="Times New Roman"/>
                <w:lang w:val="it-CH"/>
              </w:rPr>
              <w:t xml:space="preserve"> – </w:t>
            </w:r>
            <w:r w:rsidRPr="009E686F">
              <w:rPr>
                <w:rFonts w:ascii="Times New Roman" w:hAnsi="Times New Roman" w:cs="Times New Roman"/>
                <w:i/>
                <w:iCs/>
                <w:lang w:val="it-CH"/>
              </w:rPr>
              <w:t xml:space="preserve">piaţă reglementată de Autoritatea europeană pentru valori mobiliare și pieţe, astfel cum este definită de Legea nr. </w:t>
            </w:r>
            <w:r w:rsidR="00486013" w:rsidRPr="009E686F">
              <w:rPr>
                <w:rFonts w:ascii="Times New Roman" w:hAnsi="Times New Roman" w:cs="Times New Roman"/>
                <w:i/>
                <w:iCs/>
                <w:lang w:val="it-CH"/>
              </w:rPr>
              <w:t>181/2026</w:t>
            </w:r>
            <w:r w:rsidRPr="009E686F">
              <w:rPr>
                <w:rFonts w:ascii="Times New Roman" w:hAnsi="Times New Roman" w:cs="Times New Roman"/>
                <w:i/>
                <w:iCs/>
                <w:lang w:val="it-CH"/>
              </w:rPr>
              <w:t>;</w:t>
            </w:r>
          </w:p>
        </w:tc>
        <w:tc>
          <w:tcPr>
            <w:tcW w:w="470" w:type="pct"/>
            <w:tcBorders>
              <w:top w:val="single" w:sz="4" w:space="0" w:color="auto"/>
              <w:left w:val="single" w:sz="4" w:space="0" w:color="auto"/>
              <w:bottom w:val="single" w:sz="4" w:space="0" w:color="auto"/>
              <w:right w:val="single" w:sz="4" w:space="0" w:color="auto"/>
            </w:tcBorders>
          </w:tcPr>
          <w:p w14:paraId="5A0CE874" w14:textId="77777777" w:rsidR="00F8180E" w:rsidRPr="009E686F" w:rsidRDefault="00F8180E" w:rsidP="00F8180E">
            <w:pPr>
              <w:jc w:val="both"/>
              <w:rPr>
                <w:rFonts w:ascii="Times New Roman" w:hAnsi="Times New Roman" w:cs="Times New Roman"/>
              </w:rPr>
            </w:pPr>
            <w:r w:rsidRPr="009E686F">
              <w:rPr>
                <w:rFonts w:ascii="Times New Roman" w:hAnsi="Times New Roman" w:cs="Times New Roman"/>
              </w:rPr>
              <w:t>Compatibil</w:t>
            </w:r>
          </w:p>
          <w:p w14:paraId="662D8507" w14:textId="06641DC7" w:rsidR="00F8180E" w:rsidRPr="009E686F" w:rsidRDefault="00F8180E" w:rsidP="00F8180E">
            <w:pPr>
              <w:jc w:val="both"/>
              <w:rPr>
                <w:rFonts w:ascii="Times New Roman" w:hAnsi="Times New Roman" w:cs="Times New Roman"/>
              </w:rPr>
            </w:pPr>
          </w:p>
        </w:tc>
        <w:tc>
          <w:tcPr>
            <w:tcW w:w="806" w:type="pct"/>
            <w:tcBorders>
              <w:top w:val="single" w:sz="4" w:space="0" w:color="auto"/>
              <w:left w:val="single" w:sz="4" w:space="0" w:color="auto"/>
              <w:bottom w:val="single" w:sz="4" w:space="0" w:color="auto"/>
              <w:right w:val="single" w:sz="4" w:space="0" w:color="auto"/>
            </w:tcBorders>
          </w:tcPr>
          <w:p w14:paraId="63C59194" w14:textId="6984ED08" w:rsidR="00F8180E" w:rsidRPr="009E686F" w:rsidRDefault="00F8180E" w:rsidP="00515783">
            <w:pPr>
              <w:spacing w:after="0"/>
              <w:jc w:val="both"/>
              <w:rPr>
                <w:rFonts w:ascii="Times New Roman" w:hAnsi="Times New Roman" w:cs="Times New Roman"/>
              </w:rPr>
            </w:pPr>
          </w:p>
        </w:tc>
      </w:tr>
      <w:tr w:rsidR="00B30AFC" w:rsidRPr="009E686F" w14:paraId="2D98DD7E" w14:textId="0EF0C241" w:rsidTr="00960C23">
        <w:tc>
          <w:tcPr>
            <w:tcW w:w="1890" w:type="pct"/>
            <w:tcBorders>
              <w:top w:val="single" w:sz="4" w:space="0" w:color="auto"/>
              <w:left w:val="single" w:sz="4" w:space="0" w:color="auto"/>
              <w:bottom w:val="single" w:sz="4" w:space="0" w:color="auto"/>
              <w:right w:val="single" w:sz="4" w:space="0" w:color="auto"/>
            </w:tcBorders>
          </w:tcPr>
          <w:p w14:paraId="6174D2C6" w14:textId="39357168" w:rsidR="00F8180E" w:rsidRPr="009E686F" w:rsidRDefault="00F8180E" w:rsidP="00ED2C1C">
            <w:pPr>
              <w:spacing w:after="0"/>
              <w:jc w:val="both"/>
              <w:rPr>
                <w:rFonts w:ascii="Times New Roman" w:hAnsi="Times New Roman" w:cs="Times New Roman"/>
                <w:lang w:val="pt-BR"/>
              </w:rPr>
            </w:pPr>
            <w:r w:rsidRPr="009E686F">
              <w:rPr>
                <w:rFonts w:ascii="Times New Roman" w:hAnsi="Times New Roman" w:cs="Times New Roman"/>
                <w:lang w:val="pt-BR"/>
              </w:rPr>
              <w:t>56. "efect de levier" înseamnă efect de levier astfel cum este definit la articolul 4 alineatul (1) punctul 93 din Regulamentul (UE) nr. 575/2013;</w:t>
            </w:r>
          </w:p>
        </w:tc>
        <w:tc>
          <w:tcPr>
            <w:tcW w:w="1834" w:type="pct"/>
            <w:tcBorders>
              <w:top w:val="single" w:sz="4" w:space="0" w:color="auto"/>
              <w:left w:val="single" w:sz="4" w:space="0" w:color="auto"/>
              <w:bottom w:val="single" w:sz="4" w:space="0" w:color="auto"/>
              <w:right w:val="single" w:sz="4" w:space="0" w:color="auto"/>
            </w:tcBorders>
          </w:tcPr>
          <w:p w14:paraId="696D6CCC" w14:textId="74475192" w:rsidR="00033954" w:rsidRPr="009E686F" w:rsidRDefault="00866B9B" w:rsidP="00ED2C1C">
            <w:pPr>
              <w:spacing w:after="0"/>
              <w:jc w:val="both"/>
              <w:rPr>
                <w:rFonts w:ascii="Times New Roman" w:hAnsi="Times New Roman" w:cs="Times New Roman"/>
                <w:lang w:val="pt-BR"/>
              </w:rPr>
            </w:pPr>
            <w:r w:rsidRPr="009E686F">
              <w:rPr>
                <w:rFonts w:ascii="Times New Roman" w:hAnsi="Times New Roman" w:cs="Times New Roman"/>
                <w:i/>
                <w:iCs/>
                <w:lang w:val="pt-BR"/>
              </w:rPr>
              <w:t xml:space="preserve">Pct. 5.1. din </w:t>
            </w:r>
            <w:r w:rsidR="00033954" w:rsidRPr="009E686F">
              <w:rPr>
                <w:rFonts w:ascii="Times New Roman" w:hAnsi="Times New Roman" w:cs="Times New Roman"/>
                <w:i/>
                <w:iCs/>
                <w:lang w:val="pt-BR"/>
              </w:rPr>
              <w:t>Regulamentul privind efectul de levier, aprobat prin HCE a BNM nr. 176  din  31.07.2025</w:t>
            </w:r>
          </w:p>
          <w:p w14:paraId="4028302C" w14:textId="58B66C81" w:rsidR="00F8180E" w:rsidRPr="009E686F" w:rsidRDefault="00033954" w:rsidP="00ED2C1C">
            <w:pPr>
              <w:spacing w:after="0"/>
              <w:jc w:val="both"/>
              <w:rPr>
                <w:rFonts w:ascii="Times New Roman" w:hAnsi="Times New Roman" w:cs="Times New Roman"/>
                <w:i/>
                <w:iCs/>
                <w:lang w:val="pt-BR"/>
              </w:rPr>
            </w:pPr>
            <w:r w:rsidRPr="009E686F">
              <w:rPr>
                <w:rFonts w:ascii="Times New Roman" w:hAnsi="Times New Roman" w:cs="Times New Roman"/>
                <w:lang w:val="pt-BR"/>
              </w:rPr>
              <w:t>5.1. "efect de levier" - înseamnă dimensiunea relativă a activelor unei bănci, a obligaţiilor extrabilanţiere şi obligaţiilor contingente de a plăti, de a furniza o prestaţie sau de a oferi garanţii reale, inclusiv obligaţiile ce decurg din finanţări primite, angajamente asumate, instrumente financiare derivate sau acorduri repo, cu excepţia obligaţiilor care pot fi executate numai în timpul lichidării unei bănci, în raport cu fondurile proprii ale băncii respective;</w:t>
            </w:r>
          </w:p>
        </w:tc>
        <w:tc>
          <w:tcPr>
            <w:tcW w:w="470" w:type="pct"/>
            <w:tcBorders>
              <w:top w:val="single" w:sz="4" w:space="0" w:color="auto"/>
              <w:left w:val="single" w:sz="4" w:space="0" w:color="auto"/>
              <w:bottom w:val="single" w:sz="4" w:space="0" w:color="auto"/>
              <w:right w:val="single" w:sz="4" w:space="0" w:color="auto"/>
            </w:tcBorders>
          </w:tcPr>
          <w:p w14:paraId="2B120802" w14:textId="2B470D0F" w:rsidR="00F8180E" w:rsidRPr="009E686F" w:rsidRDefault="00F8180E" w:rsidP="00F8180E">
            <w:pPr>
              <w:jc w:val="both"/>
              <w:rPr>
                <w:rFonts w:ascii="Times New Roman" w:hAnsi="Times New Roman" w:cs="Times New Roman"/>
              </w:rPr>
            </w:pPr>
            <w:r w:rsidRPr="009E686F">
              <w:rPr>
                <w:rFonts w:ascii="Times New Roman" w:hAnsi="Times New Roman" w:cs="Times New Roman"/>
              </w:rPr>
              <w:t>Compatibil</w:t>
            </w:r>
          </w:p>
          <w:p w14:paraId="1508996A" w14:textId="4961D249" w:rsidR="00F8180E" w:rsidRPr="009E686F" w:rsidRDefault="00F8180E" w:rsidP="00F8180E">
            <w:pPr>
              <w:jc w:val="both"/>
              <w:rPr>
                <w:rFonts w:ascii="Times New Roman" w:hAnsi="Times New Roman" w:cs="Times New Roman"/>
              </w:rPr>
            </w:pPr>
          </w:p>
        </w:tc>
        <w:tc>
          <w:tcPr>
            <w:tcW w:w="806" w:type="pct"/>
            <w:tcBorders>
              <w:top w:val="single" w:sz="4" w:space="0" w:color="auto"/>
              <w:left w:val="single" w:sz="4" w:space="0" w:color="auto"/>
              <w:bottom w:val="single" w:sz="4" w:space="0" w:color="auto"/>
              <w:right w:val="single" w:sz="4" w:space="0" w:color="auto"/>
            </w:tcBorders>
          </w:tcPr>
          <w:p w14:paraId="60CCD875" w14:textId="0626E6B2" w:rsidR="00F8180E" w:rsidRPr="009E686F" w:rsidRDefault="00F8180E" w:rsidP="00515783">
            <w:pPr>
              <w:spacing w:after="0"/>
              <w:jc w:val="both"/>
              <w:rPr>
                <w:rFonts w:ascii="Times New Roman" w:hAnsi="Times New Roman" w:cs="Times New Roman"/>
              </w:rPr>
            </w:pPr>
          </w:p>
        </w:tc>
      </w:tr>
      <w:tr w:rsidR="00B30AFC" w:rsidRPr="009E686F" w14:paraId="12476154" w14:textId="7E65385B" w:rsidTr="00960C23">
        <w:tc>
          <w:tcPr>
            <w:tcW w:w="1890" w:type="pct"/>
            <w:tcBorders>
              <w:top w:val="single" w:sz="4" w:space="0" w:color="auto"/>
              <w:left w:val="single" w:sz="4" w:space="0" w:color="auto"/>
              <w:bottom w:val="single" w:sz="4" w:space="0" w:color="auto"/>
              <w:right w:val="single" w:sz="4" w:space="0" w:color="auto"/>
            </w:tcBorders>
          </w:tcPr>
          <w:p w14:paraId="33405360" w14:textId="2C7A27CC" w:rsidR="00F8180E" w:rsidRPr="009E686F" w:rsidRDefault="00F8180E" w:rsidP="00ED2C1C">
            <w:pPr>
              <w:spacing w:after="0"/>
              <w:jc w:val="both"/>
              <w:rPr>
                <w:rFonts w:ascii="Times New Roman" w:hAnsi="Times New Roman" w:cs="Times New Roman"/>
                <w:lang w:val="it-CH"/>
              </w:rPr>
            </w:pPr>
            <w:r w:rsidRPr="009E686F">
              <w:rPr>
                <w:rFonts w:ascii="Times New Roman" w:hAnsi="Times New Roman" w:cs="Times New Roman"/>
                <w:lang w:val="it-CH"/>
              </w:rPr>
              <w:t>57. "risc asociat folosirii excesive a efectului de levier" înseamnă un risc asociat folosirii excesive a efectului de levier astfel cum este definit la articolul 4 alineatul (1) punctul 94 din Regulamentul (UE) nr. 575/2013;</w:t>
            </w:r>
          </w:p>
        </w:tc>
        <w:tc>
          <w:tcPr>
            <w:tcW w:w="1834" w:type="pct"/>
            <w:tcBorders>
              <w:top w:val="single" w:sz="4" w:space="0" w:color="auto"/>
              <w:left w:val="single" w:sz="4" w:space="0" w:color="auto"/>
              <w:bottom w:val="single" w:sz="4" w:space="0" w:color="auto"/>
              <w:right w:val="single" w:sz="4" w:space="0" w:color="auto"/>
            </w:tcBorders>
          </w:tcPr>
          <w:p w14:paraId="0B9F2FD2" w14:textId="77777777" w:rsidR="00C046DA" w:rsidRPr="009E686F" w:rsidRDefault="00C046DA" w:rsidP="00ED2C1C">
            <w:pPr>
              <w:spacing w:after="0"/>
              <w:jc w:val="both"/>
              <w:rPr>
                <w:rFonts w:ascii="Times New Roman" w:hAnsi="Times New Roman" w:cs="Times New Roman"/>
                <w:i/>
                <w:iCs/>
                <w:lang w:val="pt-BR"/>
              </w:rPr>
            </w:pPr>
            <w:r w:rsidRPr="009E686F">
              <w:rPr>
                <w:rFonts w:ascii="Times New Roman" w:hAnsi="Times New Roman" w:cs="Times New Roman"/>
                <w:lang w:val="pt-BR"/>
              </w:rPr>
              <w:t xml:space="preserve">pct. 4 din </w:t>
            </w:r>
            <w:r w:rsidRPr="009E686F">
              <w:rPr>
                <w:rFonts w:ascii="Times New Roman" w:hAnsi="Times New Roman" w:cs="Times New Roman"/>
                <w:i/>
                <w:iCs/>
                <w:lang w:val="pt-BR"/>
              </w:rPr>
              <w:t>Regulamentul privind cadrul de administrare a activităţii băncilor, aprobat prin HCE nr. 322  din  20.12.2018</w:t>
            </w:r>
          </w:p>
          <w:p w14:paraId="275B4E0B" w14:textId="1883727F" w:rsidR="00F8180E" w:rsidRPr="009E686F" w:rsidRDefault="00F8180E" w:rsidP="00ED2C1C">
            <w:pPr>
              <w:spacing w:after="0"/>
              <w:jc w:val="both"/>
              <w:rPr>
                <w:rFonts w:ascii="Times New Roman" w:hAnsi="Times New Roman" w:cs="Times New Roman"/>
                <w:lang w:val="pt-BR"/>
              </w:rPr>
            </w:pPr>
            <w:r w:rsidRPr="009E686F">
              <w:rPr>
                <w:rFonts w:ascii="Times New Roman" w:hAnsi="Times New Roman" w:cs="Times New Roman"/>
                <w:lang w:val="pt-BR"/>
              </w:rPr>
              <w:t xml:space="preserve">risc asociat folosirii excesive a efectului de levier - riscul rezultat din vulnerabilitatea unei </w:t>
            </w:r>
            <w:r w:rsidR="00C046DA" w:rsidRPr="009E686F">
              <w:rPr>
                <w:rFonts w:ascii="Times New Roman" w:hAnsi="Times New Roman" w:cs="Times New Roman"/>
                <w:lang w:val="pt-BR"/>
              </w:rPr>
              <w:t>bănci</w:t>
            </w:r>
            <w:r w:rsidR="00C046DA" w:rsidRPr="009E686F">
              <w:rPr>
                <w:rFonts w:ascii="Times New Roman" w:hAnsi="Times New Roman" w:cs="Times New Roman"/>
                <w:i/>
                <w:lang w:val="pt-BR"/>
              </w:rPr>
              <w:t xml:space="preserve"> </w:t>
            </w:r>
            <w:r w:rsidRPr="009E686F">
              <w:rPr>
                <w:rFonts w:ascii="Times New Roman" w:hAnsi="Times New Roman" w:cs="Times New Roman"/>
                <w:lang w:val="pt-BR"/>
              </w:rPr>
              <w:t>faţă de un efect de levier sau un efect de levier contingent care poate necesita măsuri neplanificate de corectare a planului său de afaceri, inclusiv vânzarea de active în regim de urgenţă, ceea ce ar putea duce la pierderi sau la reevaluări ale activelor rămase;</w:t>
            </w:r>
          </w:p>
        </w:tc>
        <w:tc>
          <w:tcPr>
            <w:tcW w:w="470" w:type="pct"/>
            <w:tcBorders>
              <w:top w:val="single" w:sz="4" w:space="0" w:color="auto"/>
              <w:left w:val="single" w:sz="4" w:space="0" w:color="auto"/>
              <w:bottom w:val="single" w:sz="4" w:space="0" w:color="auto"/>
              <w:right w:val="single" w:sz="4" w:space="0" w:color="auto"/>
            </w:tcBorders>
          </w:tcPr>
          <w:p w14:paraId="5A190FEE" w14:textId="77777777" w:rsidR="00F8180E" w:rsidRPr="009E686F" w:rsidRDefault="00F8180E" w:rsidP="00F8180E">
            <w:pPr>
              <w:jc w:val="both"/>
              <w:rPr>
                <w:rFonts w:ascii="Times New Roman" w:hAnsi="Times New Roman" w:cs="Times New Roman"/>
              </w:rPr>
            </w:pPr>
            <w:r w:rsidRPr="009E686F">
              <w:rPr>
                <w:rFonts w:ascii="Times New Roman" w:hAnsi="Times New Roman" w:cs="Times New Roman"/>
              </w:rPr>
              <w:t>Compatibil</w:t>
            </w:r>
          </w:p>
          <w:p w14:paraId="3902B937" w14:textId="2258D52E" w:rsidR="00F8180E" w:rsidRPr="009E686F" w:rsidRDefault="00F8180E" w:rsidP="00F8180E">
            <w:pPr>
              <w:jc w:val="both"/>
              <w:rPr>
                <w:rFonts w:ascii="Times New Roman" w:hAnsi="Times New Roman" w:cs="Times New Roman"/>
              </w:rPr>
            </w:pPr>
          </w:p>
        </w:tc>
        <w:tc>
          <w:tcPr>
            <w:tcW w:w="806" w:type="pct"/>
            <w:tcBorders>
              <w:top w:val="single" w:sz="4" w:space="0" w:color="auto"/>
              <w:left w:val="single" w:sz="4" w:space="0" w:color="auto"/>
              <w:bottom w:val="single" w:sz="4" w:space="0" w:color="auto"/>
              <w:right w:val="single" w:sz="4" w:space="0" w:color="auto"/>
            </w:tcBorders>
          </w:tcPr>
          <w:p w14:paraId="74CDB28A" w14:textId="763E85B3" w:rsidR="00F8180E" w:rsidRPr="009E686F" w:rsidRDefault="00F8180E" w:rsidP="00515783">
            <w:pPr>
              <w:spacing w:after="0"/>
              <w:jc w:val="both"/>
              <w:rPr>
                <w:rFonts w:ascii="Times New Roman" w:hAnsi="Times New Roman" w:cs="Times New Roman"/>
              </w:rPr>
            </w:pPr>
          </w:p>
        </w:tc>
      </w:tr>
      <w:tr w:rsidR="00B30AFC" w:rsidRPr="009E686F" w14:paraId="535EDE16" w14:textId="251809EC" w:rsidTr="00960C23">
        <w:trPr>
          <w:trHeight w:val="375"/>
        </w:trPr>
        <w:tc>
          <w:tcPr>
            <w:tcW w:w="1890" w:type="pct"/>
            <w:tcBorders>
              <w:top w:val="single" w:sz="4" w:space="0" w:color="auto"/>
              <w:left w:val="single" w:sz="4" w:space="0" w:color="auto"/>
              <w:bottom w:val="single" w:sz="4" w:space="0" w:color="auto"/>
              <w:right w:val="single" w:sz="4" w:space="0" w:color="auto"/>
            </w:tcBorders>
          </w:tcPr>
          <w:p w14:paraId="233EE926" w14:textId="1FAE9E7E" w:rsidR="00F8180E" w:rsidRPr="009E686F" w:rsidRDefault="00F8180E" w:rsidP="00ED2C1C">
            <w:pPr>
              <w:spacing w:after="0"/>
              <w:jc w:val="both"/>
              <w:rPr>
                <w:rFonts w:ascii="Times New Roman" w:hAnsi="Times New Roman" w:cs="Times New Roman"/>
                <w:lang w:val="pt-BR"/>
              </w:rPr>
            </w:pPr>
            <w:r w:rsidRPr="009E686F">
              <w:rPr>
                <w:rFonts w:ascii="Times New Roman" w:hAnsi="Times New Roman" w:cs="Times New Roman"/>
                <w:lang w:val="pt-BR"/>
              </w:rPr>
              <w:t>58. "instituție externă de evaluare a creditului" înseamnă o instituție externă de evaluare a creditului astfel cum este definită la articolul 4 alineatul (1) punctul 98 din Regulamentul (UE) nr. 575/2013;</w:t>
            </w:r>
          </w:p>
        </w:tc>
        <w:tc>
          <w:tcPr>
            <w:tcW w:w="1834" w:type="pct"/>
            <w:tcBorders>
              <w:top w:val="single" w:sz="4" w:space="0" w:color="auto"/>
              <w:left w:val="single" w:sz="4" w:space="0" w:color="auto"/>
              <w:bottom w:val="single" w:sz="4" w:space="0" w:color="auto"/>
              <w:right w:val="single" w:sz="4" w:space="0" w:color="auto"/>
            </w:tcBorders>
          </w:tcPr>
          <w:p w14:paraId="662D3361" w14:textId="77777777" w:rsidR="004F41A3" w:rsidRPr="009E686F" w:rsidRDefault="00C046DA" w:rsidP="00ED2C1C">
            <w:pPr>
              <w:spacing w:after="0"/>
              <w:jc w:val="both"/>
              <w:rPr>
                <w:rFonts w:ascii="Times New Roman" w:hAnsi="Times New Roman" w:cs="Times New Roman"/>
                <w:i/>
                <w:lang w:val="it-IT"/>
              </w:rPr>
            </w:pPr>
            <w:r w:rsidRPr="009E686F">
              <w:rPr>
                <w:rFonts w:ascii="Times New Roman" w:hAnsi="Times New Roman" w:cs="Times New Roman"/>
                <w:i/>
                <w:lang w:val="it-IT"/>
              </w:rPr>
              <w:t>Pct. 3 din Regulamentul cu privire la tratamentul riscului de credit pentru bănci potrivit abordării standardizate, aprobat prin HCE a BNM nr. 111  din  24.05.2018</w:t>
            </w:r>
          </w:p>
          <w:p w14:paraId="2C7C548C" w14:textId="77777777" w:rsidR="004F41A3" w:rsidRPr="009E686F" w:rsidRDefault="004F41A3" w:rsidP="00ED2C1C">
            <w:pPr>
              <w:spacing w:after="0"/>
              <w:jc w:val="both"/>
              <w:rPr>
                <w:rFonts w:ascii="Times New Roman" w:hAnsi="Times New Roman" w:cs="Times New Roman"/>
                <w:i/>
                <w:lang w:val="it-IT"/>
              </w:rPr>
            </w:pPr>
          </w:p>
          <w:p w14:paraId="1027146E" w14:textId="6F18FBAF" w:rsidR="00F8180E" w:rsidRPr="009E686F" w:rsidRDefault="00F8180E" w:rsidP="00ED2C1C">
            <w:pPr>
              <w:spacing w:after="0"/>
              <w:jc w:val="both"/>
              <w:rPr>
                <w:rFonts w:ascii="Times New Roman" w:hAnsi="Times New Roman" w:cs="Times New Roman"/>
                <w:lang w:val="it-IT"/>
              </w:rPr>
            </w:pPr>
            <w:r w:rsidRPr="009E686F">
              <w:rPr>
                <w:rFonts w:ascii="Times New Roman" w:hAnsi="Times New Roman" w:cs="Times New Roman"/>
                <w:lang w:val="it-IT"/>
              </w:rPr>
              <w:t>societate de evaluare externă a creditului (ECAI) – external credit assessment institution:</w:t>
            </w:r>
          </w:p>
          <w:p w14:paraId="46476DF8" w14:textId="77777777" w:rsidR="00F8180E" w:rsidRPr="009E686F" w:rsidRDefault="00F8180E" w:rsidP="00ED2C1C">
            <w:pPr>
              <w:spacing w:after="0"/>
              <w:jc w:val="both"/>
              <w:rPr>
                <w:rFonts w:ascii="Times New Roman" w:hAnsi="Times New Roman" w:cs="Times New Roman"/>
                <w:lang w:val="it-IT"/>
              </w:rPr>
            </w:pPr>
            <w:r w:rsidRPr="009E686F">
              <w:rPr>
                <w:rFonts w:ascii="Times New Roman" w:hAnsi="Times New Roman" w:cs="Times New Roman"/>
                <w:lang w:val="it-IT"/>
              </w:rPr>
              <w:t xml:space="preserve">1) O persoană juridică a cărei activitate include acordarea, cu titlu profesional, de evaluări (ratinguri) de credit (agenţia de </w:t>
            </w:r>
            <w:r w:rsidRPr="009E686F">
              <w:rPr>
                <w:rFonts w:ascii="Times New Roman" w:hAnsi="Times New Roman" w:cs="Times New Roman"/>
                <w:lang w:val="it-IT"/>
              </w:rPr>
              <w:lastRenderedPageBreak/>
              <w:t>rating de credit) care este înregistrată sau certificată conform legislaţiei naţionale a statului străin respectiv sau</w:t>
            </w:r>
          </w:p>
          <w:p w14:paraId="258F4B65" w14:textId="56355C0E" w:rsidR="009F4A2A" w:rsidRPr="009E686F" w:rsidRDefault="00F8180E" w:rsidP="00ED2C1C">
            <w:pPr>
              <w:spacing w:after="0"/>
              <w:jc w:val="both"/>
              <w:rPr>
                <w:rFonts w:ascii="Times New Roman" w:hAnsi="Times New Roman" w:cs="Times New Roman"/>
                <w:lang w:val="it-CH"/>
              </w:rPr>
            </w:pPr>
            <w:r w:rsidRPr="009E686F">
              <w:rPr>
                <w:rFonts w:ascii="Times New Roman" w:hAnsi="Times New Roman" w:cs="Times New Roman"/>
                <w:lang w:val="it-CH"/>
              </w:rPr>
              <w:t>2) O bancă centrală din statul străin care, în temeiul legislaţiei naţionale a statului respectiv, acordă ratinguri de credit.</w:t>
            </w:r>
          </w:p>
        </w:tc>
        <w:tc>
          <w:tcPr>
            <w:tcW w:w="470" w:type="pct"/>
            <w:tcBorders>
              <w:top w:val="single" w:sz="4" w:space="0" w:color="auto"/>
              <w:left w:val="single" w:sz="4" w:space="0" w:color="auto"/>
              <w:bottom w:val="single" w:sz="4" w:space="0" w:color="auto"/>
              <w:right w:val="single" w:sz="4" w:space="0" w:color="auto"/>
            </w:tcBorders>
          </w:tcPr>
          <w:p w14:paraId="7C4F1DFB" w14:textId="5579F516" w:rsidR="00F8180E" w:rsidRPr="009E686F" w:rsidRDefault="00F8180E" w:rsidP="00F8180E">
            <w:pPr>
              <w:jc w:val="both"/>
              <w:rPr>
                <w:rFonts w:ascii="Times New Roman" w:hAnsi="Times New Roman" w:cs="Times New Roman"/>
              </w:rPr>
            </w:pPr>
            <w:r w:rsidRPr="009E686F">
              <w:rPr>
                <w:rFonts w:ascii="Times New Roman" w:hAnsi="Times New Roman" w:cs="Times New Roman"/>
              </w:rPr>
              <w:lastRenderedPageBreak/>
              <w:t>Compatibil</w:t>
            </w:r>
          </w:p>
          <w:p w14:paraId="6059A190" w14:textId="16FC0697" w:rsidR="00F8180E" w:rsidRPr="009E686F" w:rsidRDefault="00F8180E" w:rsidP="00F8180E">
            <w:pPr>
              <w:jc w:val="both"/>
              <w:rPr>
                <w:rFonts w:ascii="Times New Roman" w:hAnsi="Times New Roman" w:cs="Times New Roman"/>
              </w:rPr>
            </w:pPr>
          </w:p>
        </w:tc>
        <w:tc>
          <w:tcPr>
            <w:tcW w:w="806" w:type="pct"/>
            <w:tcBorders>
              <w:top w:val="single" w:sz="4" w:space="0" w:color="auto"/>
              <w:left w:val="single" w:sz="4" w:space="0" w:color="auto"/>
              <w:bottom w:val="single" w:sz="4" w:space="0" w:color="auto"/>
              <w:right w:val="single" w:sz="4" w:space="0" w:color="auto"/>
            </w:tcBorders>
          </w:tcPr>
          <w:p w14:paraId="054C18C5" w14:textId="06359A59" w:rsidR="00F8180E" w:rsidRPr="009E686F" w:rsidRDefault="00F8180E" w:rsidP="00515783">
            <w:pPr>
              <w:spacing w:after="0"/>
              <w:jc w:val="both"/>
              <w:rPr>
                <w:rFonts w:ascii="Times New Roman" w:hAnsi="Times New Roman" w:cs="Times New Roman"/>
              </w:rPr>
            </w:pPr>
          </w:p>
        </w:tc>
      </w:tr>
      <w:tr w:rsidR="00B30AFC" w:rsidRPr="009E686F" w14:paraId="3D6D0522" w14:textId="37639B73" w:rsidTr="00960C23">
        <w:tc>
          <w:tcPr>
            <w:tcW w:w="1890" w:type="pct"/>
            <w:tcBorders>
              <w:top w:val="single" w:sz="4" w:space="0" w:color="auto"/>
              <w:left w:val="single" w:sz="4" w:space="0" w:color="auto"/>
              <w:bottom w:val="single" w:sz="4" w:space="0" w:color="auto"/>
              <w:right w:val="single" w:sz="4" w:space="0" w:color="auto"/>
            </w:tcBorders>
          </w:tcPr>
          <w:p w14:paraId="75F3472B" w14:textId="7CFC0B1F" w:rsidR="00AB6122" w:rsidRPr="009E686F" w:rsidRDefault="00AB6122" w:rsidP="00ED2C1C">
            <w:pPr>
              <w:spacing w:after="0"/>
              <w:jc w:val="both"/>
              <w:rPr>
                <w:rFonts w:ascii="Times New Roman" w:hAnsi="Times New Roman" w:cs="Times New Roman"/>
                <w:lang w:val="it-CH"/>
              </w:rPr>
            </w:pPr>
            <w:r w:rsidRPr="009E686F">
              <w:rPr>
                <w:rFonts w:ascii="Times New Roman" w:hAnsi="Times New Roman" w:cs="Times New Roman"/>
                <w:lang w:val="it-CH"/>
              </w:rPr>
              <w:t xml:space="preserve">59. "abordări interne" înseamnă </w:t>
            </w:r>
            <w:bookmarkStart w:id="2" w:name="_Hlk225865600"/>
            <w:r w:rsidRPr="009E686F">
              <w:rPr>
                <w:rFonts w:ascii="Times New Roman" w:hAnsi="Times New Roman" w:cs="Times New Roman"/>
                <w:lang w:val="it-CH"/>
              </w:rPr>
              <w:t xml:space="preserve">abordarea bazată pe ratinguri interne </w:t>
            </w:r>
            <w:bookmarkEnd w:id="2"/>
            <w:r w:rsidRPr="009E686F">
              <w:rPr>
                <w:rFonts w:ascii="Times New Roman" w:hAnsi="Times New Roman" w:cs="Times New Roman"/>
                <w:lang w:val="it-CH"/>
              </w:rPr>
              <w:t xml:space="preserve">menționate la articolul 143 alineatul (1), abordarea bazată pe modele interne menționată la articolul 221, metoda modelelului intern menționată la articolul 283,  </w:t>
            </w:r>
            <w:bookmarkStart w:id="3" w:name="_Hlk225865719"/>
            <w:r w:rsidRPr="009E686F">
              <w:rPr>
                <w:rFonts w:ascii="Times New Roman" w:hAnsi="Times New Roman" w:cs="Times New Roman"/>
                <w:lang w:val="it-CH"/>
              </w:rPr>
              <w:t xml:space="preserve">abordarea bazată pe modele interne alternativă </w:t>
            </w:r>
            <w:bookmarkEnd w:id="3"/>
            <w:r w:rsidRPr="009E686F">
              <w:rPr>
                <w:rFonts w:ascii="Times New Roman" w:hAnsi="Times New Roman" w:cs="Times New Roman"/>
                <w:lang w:val="it-CH"/>
              </w:rPr>
              <w:t xml:space="preserve">menționată la articolul 325az și abordarea bazată pe evaluări interne menționată la articolul 265 alineatul (2) din Regulamentul (UE) nr. 575/2013; </w:t>
            </w:r>
          </w:p>
        </w:tc>
        <w:tc>
          <w:tcPr>
            <w:tcW w:w="1834" w:type="pct"/>
            <w:tcBorders>
              <w:top w:val="single" w:sz="4" w:space="0" w:color="auto"/>
              <w:left w:val="single" w:sz="4" w:space="0" w:color="auto"/>
              <w:bottom w:val="single" w:sz="4" w:space="0" w:color="auto"/>
              <w:right w:val="single" w:sz="4" w:space="0" w:color="auto"/>
            </w:tcBorders>
          </w:tcPr>
          <w:p w14:paraId="05BDAD67" w14:textId="7A44EA69" w:rsidR="00AB6122" w:rsidRPr="009E686F" w:rsidRDefault="004F41A3" w:rsidP="00ED2C1C">
            <w:pPr>
              <w:spacing w:after="0"/>
              <w:jc w:val="both"/>
              <w:rPr>
                <w:rFonts w:ascii="Times New Roman" w:hAnsi="Times New Roman" w:cs="Times New Roman"/>
                <w:lang w:val="it-CH"/>
              </w:rPr>
            </w:pPr>
            <w:r w:rsidRPr="009E686F">
              <w:rPr>
                <w:rFonts w:ascii="Times New Roman" w:hAnsi="Times New Roman" w:cs="Times New Roman"/>
                <w:i/>
                <w:iCs/>
                <w:lang w:val="it-CH"/>
              </w:rPr>
              <w:t>abordări interne – abordările bazate pe ratinguri interne menționată la art. 64 alin. (2), art. 66-68, art. 72 și abordarea bazată pe modele interne alternativă menționată la art. 71 alin. (4);</w:t>
            </w:r>
          </w:p>
        </w:tc>
        <w:tc>
          <w:tcPr>
            <w:tcW w:w="470" w:type="pct"/>
            <w:tcBorders>
              <w:top w:val="single" w:sz="4" w:space="0" w:color="auto"/>
              <w:left w:val="single" w:sz="4" w:space="0" w:color="auto"/>
              <w:bottom w:val="single" w:sz="4" w:space="0" w:color="auto"/>
              <w:right w:val="single" w:sz="4" w:space="0" w:color="auto"/>
            </w:tcBorders>
          </w:tcPr>
          <w:p w14:paraId="0613729A" w14:textId="2D3512B6" w:rsidR="00AB6122" w:rsidRPr="009E686F" w:rsidRDefault="00AB6122" w:rsidP="00AB6122">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58B1F0BA" w14:textId="610D7869" w:rsidR="00AB6122" w:rsidRPr="009E686F" w:rsidRDefault="00AB6122" w:rsidP="00515783">
            <w:pPr>
              <w:spacing w:after="0"/>
              <w:jc w:val="both"/>
              <w:rPr>
                <w:rFonts w:ascii="Times New Roman" w:hAnsi="Times New Roman" w:cs="Times New Roman"/>
              </w:rPr>
            </w:pPr>
          </w:p>
        </w:tc>
      </w:tr>
      <w:tr w:rsidR="00B30AFC" w:rsidRPr="009E686F" w14:paraId="4AF9C273" w14:textId="77777777" w:rsidTr="00960C23">
        <w:tc>
          <w:tcPr>
            <w:tcW w:w="1890" w:type="pct"/>
            <w:tcBorders>
              <w:top w:val="single" w:sz="4" w:space="0" w:color="auto"/>
              <w:left w:val="single" w:sz="4" w:space="0" w:color="auto"/>
              <w:bottom w:val="single" w:sz="4" w:space="0" w:color="auto"/>
              <w:right w:val="single" w:sz="4" w:space="0" w:color="auto"/>
            </w:tcBorders>
            <w:shd w:val="clear" w:color="auto" w:fill="auto"/>
          </w:tcPr>
          <w:p w14:paraId="2A615BF9" w14:textId="2166E91D" w:rsidR="00AB6122" w:rsidRPr="009E686F" w:rsidRDefault="00AB6122" w:rsidP="00ED2C1C">
            <w:pPr>
              <w:spacing w:after="0"/>
              <w:jc w:val="both"/>
              <w:rPr>
                <w:rFonts w:ascii="Times New Roman" w:hAnsi="Times New Roman" w:cs="Times New Roman"/>
                <w:lang w:val="it-CH"/>
              </w:rPr>
            </w:pPr>
            <w:r w:rsidRPr="009E686F">
              <w:rPr>
                <w:rFonts w:ascii="Times New Roman" w:hAnsi="Times New Roman" w:cs="Times New Roman"/>
                <w:lang w:val="it-CH"/>
              </w:rPr>
              <w:t>60. „autoritate de rezoluție” înseamnă o autoritate de rezoluție, astfel cum este definită la articolul 2 alineatul (1) punctul 18 din Directiva 2014/59/UE a Parlamentului European și a Consiliului;</w:t>
            </w:r>
          </w:p>
        </w:tc>
        <w:tc>
          <w:tcPr>
            <w:tcW w:w="1834" w:type="pct"/>
            <w:tcBorders>
              <w:top w:val="single" w:sz="4" w:space="0" w:color="auto"/>
              <w:left w:val="single" w:sz="4" w:space="0" w:color="auto"/>
              <w:bottom w:val="single" w:sz="4" w:space="0" w:color="auto"/>
              <w:right w:val="single" w:sz="4" w:space="0" w:color="auto"/>
            </w:tcBorders>
            <w:shd w:val="clear" w:color="auto" w:fill="auto"/>
          </w:tcPr>
          <w:p w14:paraId="7A04AC17" w14:textId="0C26BB3B" w:rsidR="00AB6122" w:rsidRPr="009E686F" w:rsidRDefault="00AB6122" w:rsidP="00ED2C1C">
            <w:pPr>
              <w:spacing w:after="0"/>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 xml:space="preserve">autoritate de rezoluție – autoritate de rezoluție, astfel cum este definită de Legea nr. 232/2016 privind redresarea și rezoluția </w:t>
            </w:r>
            <w:r w:rsidR="00C460EB" w:rsidRPr="009E686F">
              <w:rPr>
                <w:rFonts w:ascii="Times New Roman" w:eastAsia="Aptos" w:hAnsi="Times New Roman" w:cs="Times New Roman"/>
                <w:i/>
                <w:iCs/>
                <w:kern w:val="2"/>
                <w:lang w:val="ro-MD"/>
              </w:rPr>
              <w:t>băncilor (în continuare Legea nr. 232/2016</w:t>
            </w:r>
            <w:r w:rsidRPr="009E686F">
              <w:rPr>
                <w:rFonts w:ascii="Times New Roman" w:eastAsia="Aptos" w:hAnsi="Times New Roman" w:cs="Times New Roman"/>
                <w:i/>
                <w:iCs/>
                <w:kern w:val="2"/>
                <w:lang w:val="ro-MD"/>
              </w:rPr>
              <w:t>;</w:t>
            </w:r>
          </w:p>
        </w:tc>
        <w:tc>
          <w:tcPr>
            <w:tcW w:w="470" w:type="pct"/>
            <w:tcBorders>
              <w:top w:val="single" w:sz="4" w:space="0" w:color="auto"/>
              <w:left w:val="single" w:sz="4" w:space="0" w:color="auto"/>
              <w:bottom w:val="single" w:sz="4" w:space="0" w:color="auto"/>
              <w:right w:val="single" w:sz="4" w:space="0" w:color="auto"/>
            </w:tcBorders>
          </w:tcPr>
          <w:p w14:paraId="204ADB14" w14:textId="49944316" w:rsidR="00AB6122" w:rsidRPr="009E686F" w:rsidRDefault="00AB6122" w:rsidP="00AB6122">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72C35751" w14:textId="77777777" w:rsidR="00AB6122" w:rsidRPr="009E686F" w:rsidRDefault="00AB6122" w:rsidP="00515783">
            <w:pPr>
              <w:spacing w:after="0"/>
              <w:jc w:val="both"/>
              <w:rPr>
                <w:rFonts w:ascii="Times New Roman" w:hAnsi="Times New Roman" w:cs="Times New Roman"/>
              </w:rPr>
            </w:pPr>
          </w:p>
        </w:tc>
      </w:tr>
      <w:tr w:rsidR="00B30AFC" w:rsidRPr="009E686F" w14:paraId="13AC7D95" w14:textId="77777777" w:rsidTr="00960C23">
        <w:tc>
          <w:tcPr>
            <w:tcW w:w="1890" w:type="pct"/>
            <w:tcBorders>
              <w:top w:val="single" w:sz="4" w:space="0" w:color="auto"/>
              <w:left w:val="single" w:sz="4" w:space="0" w:color="auto"/>
              <w:bottom w:val="single" w:sz="4" w:space="0" w:color="auto"/>
              <w:right w:val="single" w:sz="4" w:space="0" w:color="auto"/>
            </w:tcBorders>
          </w:tcPr>
          <w:p w14:paraId="46C36699" w14:textId="1FD6025F" w:rsidR="00AB6122" w:rsidRPr="009E686F" w:rsidRDefault="00AB6122" w:rsidP="00ED2C1C">
            <w:pPr>
              <w:spacing w:after="0"/>
              <w:jc w:val="both"/>
              <w:rPr>
                <w:rFonts w:ascii="Times New Roman" w:hAnsi="Times New Roman" w:cs="Times New Roman"/>
                <w:lang w:val="it-CH"/>
              </w:rPr>
            </w:pPr>
            <w:r w:rsidRPr="009E686F">
              <w:rPr>
                <w:rFonts w:ascii="Times New Roman" w:hAnsi="Times New Roman" w:cs="Times New Roman"/>
                <w:lang w:val="it-CH"/>
              </w:rPr>
              <w:t>61. „instituție de importanță sistemică globală” sau „G-SII” înseamnă o G-SII astfel cum este definită la articolul 4 alineatul (1) punctul 133 din Regulamentul (UE) nr. 575/2013;</w:t>
            </w:r>
          </w:p>
        </w:tc>
        <w:tc>
          <w:tcPr>
            <w:tcW w:w="1834" w:type="pct"/>
            <w:tcBorders>
              <w:top w:val="single" w:sz="4" w:space="0" w:color="auto"/>
              <w:left w:val="single" w:sz="4" w:space="0" w:color="auto"/>
              <w:bottom w:val="single" w:sz="4" w:space="0" w:color="auto"/>
              <w:right w:val="single" w:sz="4" w:space="0" w:color="auto"/>
            </w:tcBorders>
          </w:tcPr>
          <w:p w14:paraId="5F999563" w14:textId="44E98B25" w:rsidR="00AB6122" w:rsidRPr="009E686F" w:rsidRDefault="00AB6122" w:rsidP="00ED2C1C">
            <w:pPr>
              <w:spacing w:after="0"/>
              <w:jc w:val="both"/>
              <w:rPr>
                <w:rFonts w:ascii="Times New Roman" w:hAnsi="Times New Roman" w:cs="Times New Roman"/>
                <w:i/>
                <w:lang w:val="it-CH"/>
              </w:rPr>
            </w:pPr>
            <w:r w:rsidRPr="009E686F">
              <w:rPr>
                <w:rFonts w:ascii="Times New Roman" w:hAnsi="Times New Roman" w:cs="Times New Roman"/>
                <w:i/>
                <w:lang w:val="it-CH"/>
              </w:rPr>
              <w:t xml:space="preserve">instituție de importanță </w:t>
            </w:r>
            <w:r w:rsidR="001B6E94" w:rsidRPr="009E686F">
              <w:rPr>
                <w:rFonts w:ascii="Times New Roman" w:hAnsi="Times New Roman" w:cs="Times New Roman"/>
                <w:i/>
                <w:lang w:val="it-CH"/>
              </w:rPr>
              <w:t xml:space="preserve">globală </w:t>
            </w:r>
            <w:r w:rsidRPr="009E686F">
              <w:rPr>
                <w:rFonts w:ascii="Times New Roman" w:hAnsi="Times New Roman" w:cs="Times New Roman"/>
                <w:i/>
                <w:lang w:val="it-CH"/>
              </w:rPr>
              <w:t>sistemică (G-SII) – oricare dintre următoarele societăți, identificată de Banca Națională a Moldovei, pe bază consolidată,  conform metodologiei ca fiind G-SII:</w:t>
            </w:r>
          </w:p>
          <w:p w14:paraId="2204E2CA" w14:textId="154D6632" w:rsidR="00AB6122" w:rsidRPr="009E686F" w:rsidRDefault="00AB6122" w:rsidP="00ED2C1C">
            <w:pPr>
              <w:spacing w:after="0"/>
              <w:jc w:val="both"/>
              <w:rPr>
                <w:rFonts w:ascii="Times New Roman" w:hAnsi="Times New Roman" w:cs="Times New Roman"/>
                <w:i/>
                <w:iCs/>
                <w:lang w:val="pt-BR"/>
              </w:rPr>
            </w:pPr>
            <w:r w:rsidRPr="009E686F">
              <w:rPr>
                <w:rFonts w:ascii="Times New Roman" w:hAnsi="Times New Roman" w:cs="Times New Roman"/>
                <w:i/>
                <w:iCs/>
                <w:lang w:val="pt-BR"/>
              </w:rPr>
              <w:t>a)</w:t>
            </w:r>
            <w:r w:rsidRPr="009E686F">
              <w:rPr>
                <w:rFonts w:ascii="Times New Roman" w:hAnsi="Times New Roman" w:cs="Times New Roman"/>
                <w:i/>
                <w:iCs/>
                <w:lang w:val="pt-BR"/>
              </w:rPr>
              <w:tab/>
              <w:t xml:space="preserve">un grup condus de o </w:t>
            </w:r>
            <w:r w:rsidR="00A51A7D" w:rsidRPr="009E686F">
              <w:rPr>
                <w:rFonts w:ascii="Times New Roman" w:hAnsi="Times New Roman" w:cs="Times New Roman"/>
                <w:i/>
                <w:iCs/>
                <w:lang w:val="pt-BR"/>
              </w:rPr>
              <w:t>instituție de credit</w:t>
            </w:r>
            <w:r w:rsidRPr="009E686F">
              <w:rPr>
                <w:rFonts w:ascii="Times New Roman" w:hAnsi="Times New Roman" w:cs="Times New Roman"/>
                <w:i/>
                <w:iCs/>
                <w:lang w:val="pt-BR"/>
              </w:rPr>
              <w:t>-mamă din UE, de o societate financiară holding-mamă din UE sau de o societate financiară holding mixtă-mamă din UE; sau</w:t>
            </w:r>
          </w:p>
          <w:p w14:paraId="316B0CE6" w14:textId="2358353A" w:rsidR="00AB6122" w:rsidRPr="009E686F" w:rsidRDefault="00AB6122" w:rsidP="00ED2C1C">
            <w:pPr>
              <w:spacing w:after="0"/>
              <w:jc w:val="both"/>
              <w:rPr>
                <w:rFonts w:ascii="Times New Roman" w:hAnsi="Times New Roman" w:cs="Times New Roman"/>
                <w:i/>
                <w:iCs/>
                <w:lang w:val="pt-BR"/>
              </w:rPr>
            </w:pPr>
            <w:r w:rsidRPr="009E686F">
              <w:rPr>
                <w:rFonts w:ascii="Times New Roman" w:hAnsi="Times New Roman" w:cs="Times New Roman"/>
                <w:i/>
                <w:iCs/>
                <w:lang w:val="pt-BR"/>
              </w:rPr>
              <w:t>b)</w:t>
            </w:r>
            <w:r w:rsidRPr="009E686F">
              <w:rPr>
                <w:rFonts w:ascii="Times New Roman" w:hAnsi="Times New Roman" w:cs="Times New Roman"/>
                <w:i/>
                <w:iCs/>
                <w:lang w:val="pt-BR"/>
              </w:rPr>
              <w:tab/>
              <w:t xml:space="preserve">o </w:t>
            </w:r>
            <w:r w:rsidR="00A51A7D" w:rsidRPr="009E686F">
              <w:rPr>
                <w:rFonts w:ascii="Times New Roman" w:hAnsi="Times New Roman" w:cs="Times New Roman"/>
                <w:i/>
                <w:iCs/>
                <w:lang w:val="pt-BR"/>
              </w:rPr>
              <w:t>instituție de credit</w:t>
            </w:r>
            <w:r w:rsidRPr="009E686F">
              <w:rPr>
                <w:rFonts w:ascii="Times New Roman" w:hAnsi="Times New Roman" w:cs="Times New Roman"/>
                <w:i/>
                <w:iCs/>
                <w:lang w:val="pt-BR"/>
              </w:rPr>
              <w:t xml:space="preserve"> care nu este o filială a unei </w:t>
            </w:r>
            <w:r w:rsidR="00A51A7D" w:rsidRPr="009E686F">
              <w:rPr>
                <w:rFonts w:ascii="Times New Roman" w:hAnsi="Times New Roman" w:cs="Times New Roman"/>
                <w:i/>
                <w:iCs/>
                <w:lang w:val="pt-BR"/>
              </w:rPr>
              <w:t>instituții de credit</w:t>
            </w:r>
            <w:r w:rsidRPr="009E686F">
              <w:rPr>
                <w:rFonts w:ascii="Times New Roman" w:hAnsi="Times New Roman" w:cs="Times New Roman"/>
                <w:i/>
                <w:iCs/>
                <w:lang w:val="pt-BR"/>
              </w:rPr>
              <w:t>-mamă din UE, a unei societăţi financiare holding-mamă din UE sau a unei societăţi financiare holding mixte-mamă din UE.</w:t>
            </w:r>
          </w:p>
        </w:tc>
        <w:tc>
          <w:tcPr>
            <w:tcW w:w="470" w:type="pct"/>
            <w:tcBorders>
              <w:top w:val="single" w:sz="4" w:space="0" w:color="auto"/>
              <w:left w:val="single" w:sz="4" w:space="0" w:color="auto"/>
              <w:bottom w:val="single" w:sz="4" w:space="0" w:color="auto"/>
              <w:right w:val="single" w:sz="4" w:space="0" w:color="auto"/>
            </w:tcBorders>
          </w:tcPr>
          <w:p w14:paraId="72DAB1F6" w14:textId="318E8785" w:rsidR="00AB6122" w:rsidRPr="009E686F" w:rsidRDefault="00AB6122" w:rsidP="00AB6122">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4AEA2579" w14:textId="77777777" w:rsidR="00AB6122" w:rsidRPr="009E686F" w:rsidRDefault="00AB6122" w:rsidP="00515783">
            <w:pPr>
              <w:spacing w:after="0"/>
              <w:jc w:val="both"/>
              <w:rPr>
                <w:rFonts w:ascii="Times New Roman" w:hAnsi="Times New Roman" w:cs="Times New Roman"/>
              </w:rPr>
            </w:pPr>
          </w:p>
        </w:tc>
      </w:tr>
      <w:tr w:rsidR="00B30AFC" w:rsidRPr="009E686F" w14:paraId="396A83C9" w14:textId="77777777" w:rsidTr="00960C23">
        <w:tc>
          <w:tcPr>
            <w:tcW w:w="1890" w:type="pct"/>
            <w:tcBorders>
              <w:top w:val="single" w:sz="4" w:space="0" w:color="auto"/>
              <w:left w:val="single" w:sz="4" w:space="0" w:color="auto"/>
              <w:bottom w:val="single" w:sz="4" w:space="0" w:color="auto"/>
              <w:right w:val="single" w:sz="4" w:space="0" w:color="auto"/>
            </w:tcBorders>
          </w:tcPr>
          <w:p w14:paraId="55DFAC95" w14:textId="082E3A95" w:rsidR="00AB6122" w:rsidRPr="009E686F" w:rsidRDefault="00AB6122" w:rsidP="00ED2C1C">
            <w:pPr>
              <w:spacing w:after="0"/>
              <w:jc w:val="both"/>
              <w:rPr>
                <w:rFonts w:ascii="Times New Roman" w:hAnsi="Times New Roman" w:cs="Times New Roman"/>
              </w:rPr>
            </w:pPr>
            <w:r w:rsidRPr="009E686F">
              <w:rPr>
                <w:rFonts w:ascii="Times New Roman" w:hAnsi="Times New Roman" w:cs="Times New Roman"/>
              </w:rPr>
              <w:t xml:space="preserve">62. „instituție de importanță sistemică globală din afara UE” sau „G-SII din afara UE” înseamnă o G-SII din afara UE astfel cum este definită la articolul 4 alineatul (1) punctul 134 din Regulamentul (UE) nr. 575/2013; </w:t>
            </w:r>
          </w:p>
        </w:tc>
        <w:tc>
          <w:tcPr>
            <w:tcW w:w="1834" w:type="pct"/>
            <w:tcBorders>
              <w:top w:val="single" w:sz="4" w:space="0" w:color="auto"/>
              <w:left w:val="single" w:sz="4" w:space="0" w:color="auto"/>
              <w:bottom w:val="single" w:sz="4" w:space="0" w:color="auto"/>
              <w:right w:val="single" w:sz="4" w:space="0" w:color="auto"/>
            </w:tcBorders>
          </w:tcPr>
          <w:p w14:paraId="11726A15" w14:textId="187E9AA3" w:rsidR="00AB6122" w:rsidRPr="009E686F" w:rsidRDefault="00AB6122" w:rsidP="00ED2C1C">
            <w:pPr>
              <w:spacing w:after="0"/>
              <w:jc w:val="both"/>
              <w:rPr>
                <w:rFonts w:ascii="Times New Roman" w:hAnsi="Times New Roman" w:cs="Times New Roman"/>
                <w:i/>
                <w:iCs/>
              </w:rPr>
            </w:pPr>
            <w:r w:rsidRPr="009E686F">
              <w:rPr>
                <w:rFonts w:ascii="Times New Roman" w:hAnsi="Times New Roman" w:cs="Times New Roman"/>
                <w:i/>
                <w:iCs/>
              </w:rPr>
              <w:t xml:space="preserve">instituţie de importanţă sistemică globală din afara UE (GSII din afara UE) – un grup bancar   sau o </w:t>
            </w:r>
            <w:r w:rsidR="00A51A7D" w:rsidRPr="009E686F">
              <w:rPr>
                <w:rFonts w:ascii="Times New Roman" w:hAnsi="Times New Roman" w:cs="Times New Roman"/>
                <w:i/>
                <w:iCs/>
              </w:rPr>
              <w:t>instituție de credit</w:t>
            </w:r>
            <w:r w:rsidRPr="009E686F">
              <w:rPr>
                <w:rFonts w:ascii="Times New Roman" w:hAnsi="Times New Roman" w:cs="Times New Roman"/>
                <w:i/>
                <w:iCs/>
              </w:rPr>
              <w:t xml:space="preserve">  de importanţă sistemică globală (G-SIB) care nu este o G-SII și care este inclusă în lista G-SIB publicată de </w:t>
            </w:r>
            <w:r w:rsidRPr="009E686F">
              <w:rPr>
                <w:rFonts w:ascii="Times New Roman" w:hAnsi="Times New Roman" w:cs="Times New Roman"/>
                <w:i/>
                <w:iCs/>
              </w:rPr>
              <w:lastRenderedPageBreak/>
              <w:t>Consiliul pentru Stabilitate Financiară, astfel cum este actualizată periodic.</w:t>
            </w:r>
          </w:p>
        </w:tc>
        <w:tc>
          <w:tcPr>
            <w:tcW w:w="470" w:type="pct"/>
            <w:tcBorders>
              <w:top w:val="single" w:sz="4" w:space="0" w:color="auto"/>
              <w:left w:val="single" w:sz="4" w:space="0" w:color="auto"/>
              <w:bottom w:val="single" w:sz="4" w:space="0" w:color="auto"/>
              <w:right w:val="single" w:sz="4" w:space="0" w:color="auto"/>
            </w:tcBorders>
          </w:tcPr>
          <w:p w14:paraId="6D5C5077" w14:textId="1D36095A" w:rsidR="00AB6122" w:rsidRPr="009E686F" w:rsidRDefault="00AB6122" w:rsidP="00AB6122">
            <w:pPr>
              <w:jc w:val="both"/>
              <w:rPr>
                <w:rFonts w:ascii="Times New Roman" w:hAnsi="Times New Roman" w:cs="Times New Roman"/>
              </w:rPr>
            </w:pPr>
            <w:r w:rsidRPr="009E686F">
              <w:rPr>
                <w:rFonts w:ascii="Times New Roman" w:hAnsi="Times New Roman" w:cs="Times New Roman"/>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0987CA5A" w14:textId="4158C680" w:rsidR="00AB6122" w:rsidRPr="009E686F" w:rsidRDefault="00BA1417" w:rsidP="00515783">
            <w:pPr>
              <w:spacing w:after="0"/>
              <w:jc w:val="both"/>
              <w:rPr>
                <w:rFonts w:ascii="Times New Roman" w:hAnsi="Times New Roman" w:cs="Times New Roman"/>
                <w:lang w:val="it-CH"/>
              </w:rPr>
            </w:pPr>
            <w:r w:rsidRPr="009E686F">
              <w:rPr>
                <w:rFonts w:ascii="Times New Roman" w:hAnsi="Times New Roman" w:cs="Times New Roman"/>
                <w:lang w:val="it-CH"/>
              </w:rPr>
              <w:t>În vigoare la data aderării.</w:t>
            </w:r>
          </w:p>
        </w:tc>
      </w:tr>
      <w:tr w:rsidR="00B30AFC" w:rsidRPr="009E686F" w14:paraId="7811B849" w14:textId="77777777" w:rsidTr="00960C23">
        <w:tc>
          <w:tcPr>
            <w:tcW w:w="1890" w:type="pct"/>
            <w:tcBorders>
              <w:top w:val="single" w:sz="4" w:space="0" w:color="auto"/>
              <w:left w:val="single" w:sz="4" w:space="0" w:color="auto"/>
              <w:bottom w:val="single" w:sz="4" w:space="0" w:color="auto"/>
              <w:right w:val="single" w:sz="4" w:space="0" w:color="auto"/>
            </w:tcBorders>
          </w:tcPr>
          <w:p w14:paraId="0613162D" w14:textId="76966E29" w:rsidR="00AB6122" w:rsidRPr="009E686F" w:rsidRDefault="00AB6122" w:rsidP="00ED2C1C">
            <w:pPr>
              <w:spacing w:after="0"/>
              <w:jc w:val="both"/>
              <w:rPr>
                <w:rFonts w:ascii="Times New Roman" w:hAnsi="Times New Roman" w:cs="Times New Roman"/>
                <w:lang w:val="it-CH"/>
              </w:rPr>
            </w:pPr>
            <w:r w:rsidRPr="009E686F">
              <w:rPr>
                <w:rFonts w:ascii="Times New Roman" w:hAnsi="Times New Roman" w:cs="Times New Roman"/>
                <w:lang w:val="it-CH"/>
              </w:rPr>
              <w:t>63. „grup” înseamnă un grup astfel cum este definit la articolul 4 alineatul (1) punctul 138 din Regulamentul (UE) nr. 575/2013;</w:t>
            </w:r>
          </w:p>
        </w:tc>
        <w:tc>
          <w:tcPr>
            <w:tcW w:w="1834" w:type="pct"/>
            <w:tcBorders>
              <w:top w:val="single" w:sz="4" w:space="0" w:color="auto"/>
              <w:left w:val="single" w:sz="4" w:space="0" w:color="auto"/>
              <w:bottom w:val="single" w:sz="4" w:space="0" w:color="auto"/>
              <w:right w:val="single" w:sz="4" w:space="0" w:color="auto"/>
            </w:tcBorders>
          </w:tcPr>
          <w:p w14:paraId="1B7EB4D8" w14:textId="65406CAA" w:rsidR="00AB6122" w:rsidRPr="009E686F" w:rsidRDefault="00AB6122" w:rsidP="00ED2C1C">
            <w:pPr>
              <w:spacing w:after="0"/>
              <w:jc w:val="both"/>
              <w:rPr>
                <w:rFonts w:ascii="Times New Roman" w:hAnsi="Times New Roman" w:cs="Times New Roman"/>
                <w:i/>
                <w:iCs/>
                <w:lang w:val="it-CH"/>
              </w:rPr>
            </w:pPr>
            <w:r w:rsidRPr="009E686F">
              <w:rPr>
                <w:rFonts w:ascii="Times New Roman" w:hAnsi="Times New Roman" w:cs="Times New Roman"/>
                <w:i/>
                <w:iCs/>
                <w:lang w:val="it-CH"/>
              </w:rPr>
              <w:t xml:space="preserve">grup -  grup   de întreprinderi dintre care cel puţin una este o </w:t>
            </w:r>
            <w:r w:rsidR="00A51A7D" w:rsidRPr="009E686F">
              <w:rPr>
                <w:rFonts w:ascii="Times New Roman" w:hAnsi="Times New Roman" w:cs="Times New Roman"/>
                <w:i/>
                <w:iCs/>
                <w:lang w:val="it-CH"/>
              </w:rPr>
              <w:t>instituție de credit</w:t>
            </w:r>
            <w:r w:rsidRPr="009E686F">
              <w:rPr>
                <w:rFonts w:ascii="Times New Roman" w:hAnsi="Times New Roman" w:cs="Times New Roman"/>
                <w:i/>
                <w:iCs/>
                <w:lang w:val="it-CH"/>
              </w:rPr>
              <w:t xml:space="preserve"> și care este compus dintr-o întreprindere-mamă și filialele acesteia sau din întreprinderi care sunt legate între ele astfel cum prevede </w:t>
            </w:r>
            <w:r w:rsidR="008B1B3A" w:rsidRPr="009E686F">
              <w:rPr>
                <w:rFonts w:ascii="Times New Roman" w:hAnsi="Times New Roman" w:cs="Times New Roman"/>
                <w:i/>
                <w:iCs/>
                <w:lang w:val="it-CH"/>
              </w:rPr>
              <w:t xml:space="preserve">art. 3 din </w:t>
            </w:r>
            <w:r w:rsidRPr="009E686F">
              <w:rPr>
                <w:rFonts w:ascii="Times New Roman" w:hAnsi="Times New Roman" w:cs="Times New Roman"/>
                <w:i/>
                <w:iCs/>
                <w:lang w:val="it-CH"/>
              </w:rPr>
              <w:t>Legea contabilității și raportării financiare nr. 287</w:t>
            </w:r>
            <w:r w:rsidR="00D339E8" w:rsidRPr="009E686F">
              <w:rPr>
                <w:rFonts w:ascii="Times New Roman" w:hAnsi="Times New Roman" w:cs="Times New Roman"/>
                <w:i/>
                <w:iCs/>
                <w:lang w:val="it-CH"/>
              </w:rPr>
              <w:t>/</w:t>
            </w:r>
            <w:r w:rsidRPr="009E686F">
              <w:rPr>
                <w:rFonts w:ascii="Times New Roman" w:hAnsi="Times New Roman" w:cs="Times New Roman"/>
                <w:i/>
                <w:iCs/>
                <w:lang w:val="it-CH"/>
              </w:rPr>
              <w:t>2017</w:t>
            </w:r>
            <w:r w:rsidR="006157FD" w:rsidRPr="009E686F">
              <w:rPr>
                <w:rFonts w:ascii="Times New Roman" w:hAnsi="Times New Roman" w:cs="Times New Roman"/>
                <w:i/>
                <w:iCs/>
                <w:lang w:val="it-CH"/>
              </w:rPr>
              <w:t>(în continuare – Legea nr. 287/2017</w:t>
            </w:r>
            <w:r w:rsidRPr="009E686F">
              <w:rPr>
                <w:rFonts w:ascii="Times New Roman" w:hAnsi="Times New Roman" w:cs="Times New Roman"/>
                <w:i/>
                <w:iCs/>
                <w:lang w:val="it-CH"/>
              </w:rPr>
              <w:t>;</w:t>
            </w:r>
          </w:p>
        </w:tc>
        <w:tc>
          <w:tcPr>
            <w:tcW w:w="470" w:type="pct"/>
            <w:tcBorders>
              <w:top w:val="single" w:sz="4" w:space="0" w:color="auto"/>
              <w:left w:val="single" w:sz="4" w:space="0" w:color="auto"/>
              <w:bottom w:val="single" w:sz="4" w:space="0" w:color="auto"/>
              <w:right w:val="single" w:sz="4" w:space="0" w:color="auto"/>
            </w:tcBorders>
          </w:tcPr>
          <w:p w14:paraId="66EC744B" w14:textId="759E3DA4" w:rsidR="00AB6122" w:rsidRPr="009E686F" w:rsidRDefault="00CD250A" w:rsidP="00AB6122">
            <w:pPr>
              <w:jc w:val="both"/>
              <w:rPr>
                <w:rFonts w:ascii="Times New Roman" w:hAnsi="Times New Roman" w:cs="Times New Roman"/>
                <w:lang w:val="ro-MD"/>
              </w:rPr>
            </w:pPr>
            <w:r w:rsidRPr="009E686F">
              <w:rPr>
                <w:rFonts w:ascii="Times New Roman" w:hAnsi="Times New Roman" w:cs="Times New Roman"/>
                <w:lang w:val="ro-MD"/>
              </w:rPr>
              <w:t>C</w:t>
            </w:r>
            <w:r w:rsidR="00AB6122" w:rsidRPr="009E686F">
              <w:rPr>
                <w:rFonts w:ascii="Times New Roman" w:hAnsi="Times New Roman" w:cs="Times New Roman"/>
                <w:lang w:val="ro-MD"/>
              </w:rPr>
              <w:t>ompatibil</w:t>
            </w:r>
          </w:p>
        </w:tc>
        <w:tc>
          <w:tcPr>
            <w:tcW w:w="806" w:type="pct"/>
            <w:tcBorders>
              <w:top w:val="single" w:sz="4" w:space="0" w:color="auto"/>
              <w:left w:val="single" w:sz="4" w:space="0" w:color="auto"/>
              <w:bottom w:val="single" w:sz="4" w:space="0" w:color="auto"/>
              <w:right w:val="single" w:sz="4" w:space="0" w:color="auto"/>
            </w:tcBorders>
          </w:tcPr>
          <w:p w14:paraId="1836596F" w14:textId="77777777" w:rsidR="00AB6122" w:rsidRPr="009E686F" w:rsidRDefault="00AB6122" w:rsidP="00515783">
            <w:pPr>
              <w:spacing w:after="0"/>
              <w:jc w:val="both"/>
              <w:rPr>
                <w:rFonts w:ascii="Times New Roman" w:hAnsi="Times New Roman" w:cs="Times New Roman"/>
              </w:rPr>
            </w:pPr>
          </w:p>
        </w:tc>
      </w:tr>
      <w:tr w:rsidR="00B30AFC" w:rsidRPr="009E686F" w14:paraId="0AFE3CDA" w14:textId="77777777" w:rsidTr="00960C23">
        <w:tc>
          <w:tcPr>
            <w:tcW w:w="1890" w:type="pct"/>
            <w:tcBorders>
              <w:top w:val="single" w:sz="4" w:space="0" w:color="auto"/>
              <w:left w:val="single" w:sz="4" w:space="0" w:color="auto"/>
              <w:bottom w:val="single" w:sz="4" w:space="0" w:color="auto"/>
              <w:right w:val="single" w:sz="4" w:space="0" w:color="auto"/>
            </w:tcBorders>
          </w:tcPr>
          <w:p w14:paraId="3B10F338" w14:textId="26DBCE0F" w:rsidR="00AB6122" w:rsidRPr="009E686F" w:rsidRDefault="00AB6122" w:rsidP="00ED2C1C">
            <w:pPr>
              <w:spacing w:after="0"/>
              <w:jc w:val="both"/>
              <w:rPr>
                <w:rFonts w:ascii="Times New Roman" w:hAnsi="Times New Roman" w:cs="Times New Roman"/>
              </w:rPr>
            </w:pPr>
            <w:r w:rsidRPr="009E686F">
              <w:rPr>
                <w:rFonts w:ascii="Times New Roman" w:hAnsi="Times New Roman" w:cs="Times New Roman"/>
              </w:rPr>
              <w:t>64. „grup dintr-o țară terță” înseamnă un grup a cărui întreprindere-mamă este stabilită într-o țară terță;</w:t>
            </w:r>
          </w:p>
        </w:tc>
        <w:tc>
          <w:tcPr>
            <w:tcW w:w="1834" w:type="pct"/>
            <w:tcBorders>
              <w:top w:val="single" w:sz="4" w:space="0" w:color="auto"/>
              <w:left w:val="single" w:sz="4" w:space="0" w:color="auto"/>
              <w:bottom w:val="single" w:sz="4" w:space="0" w:color="auto"/>
              <w:right w:val="single" w:sz="4" w:space="0" w:color="auto"/>
            </w:tcBorders>
          </w:tcPr>
          <w:p w14:paraId="4B86D8CB" w14:textId="7E4C6D47" w:rsidR="00AB6122" w:rsidRPr="009E686F" w:rsidRDefault="00AB6122" w:rsidP="00ED2C1C">
            <w:pPr>
              <w:spacing w:after="0"/>
              <w:jc w:val="both"/>
              <w:rPr>
                <w:rFonts w:ascii="Times New Roman" w:hAnsi="Times New Roman" w:cs="Times New Roman"/>
                <w:i/>
                <w:iCs/>
                <w:lang w:val="it-IT"/>
              </w:rPr>
            </w:pPr>
            <w:r w:rsidRPr="009E686F">
              <w:rPr>
                <w:rFonts w:ascii="Times New Roman" w:hAnsi="Times New Roman" w:cs="Times New Roman"/>
                <w:i/>
                <w:iCs/>
                <w:lang w:val="it-IT"/>
              </w:rPr>
              <w:t>grup dintr-un stat terţ–grup a cărui întreprindere-mamă este stabilită într-un stat terţ;</w:t>
            </w:r>
          </w:p>
        </w:tc>
        <w:tc>
          <w:tcPr>
            <w:tcW w:w="470" w:type="pct"/>
            <w:tcBorders>
              <w:top w:val="single" w:sz="4" w:space="0" w:color="auto"/>
              <w:left w:val="single" w:sz="4" w:space="0" w:color="auto"/>
              <w:bottom w:val="single" w:sz="4" w:space="0" w:color="auto"/>
              <w:right w:val="single" w:sz="4" w:space="0" w:color="auto"/>
            </w:tcBorders>
          </w:tcPr>
          <w:p w14:paraId="0F37D411" w14:textId="32083DBC" w:rsidR="00AB6122" w:rsidRPr="009E686F" w:rsidRDefault="00AB6122" w:rsidP="00AB6122">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6BCF4E5D" w14:textId="77777777" w:rsidR="00AB6122" w:rsidRPr="009E686F" w:rsidRDefault="00AB6122" w:rsidP="00515783">
            <w:pPr>
              <w:spacing w:after="0"/>
              <w:jc w:val="both"/>
              <w:rPr>
                <w:rFonts w:ascii="Times New Roman" w:hAnsi="Times New Roman" w:cs="Times New Roman"/>
              </w:rPr>
            </w:pPr>
          </w:p>
        </w:tc>
      </w:tr>
      <w:tr w:rsidR="00B30AFC" w:rsidRPr="009E686F" w14:paraId="5BB0073D" w14:textId="77777777" w:rsidTr="00960C23">
        <w:tc>
          <w:tcPr>
            <w:tcW w:w="1890" w:type="pct"/>
            <w:tcBorders>
              <w:top w:val="single" w:sz="4" w:space="0" w:color="auto"/>
              <w:left w:val="single" w:sz="4" w:space="0" w:color="auto"/>
              <w:bottom w:val="single" w:sz="4" w:space="0" w:color="auto"/>
              <w:right w:val="single" w:sz="4" w:space="0" w:color="auto"/>
            </w:tcBorders>
          </w:tcPr>
          <w:p w14:paraId="2E74E0FD" w14:textId="2E6C7306" w:rsidR="00AB6122" w:rsidRPr="009E686F" w:rsidRDefault="00AB6122" w:rsidP="00ED2C1C">
            <w:pPr>
              <w:spacing w:after="0"/>
              <w:jc w:val="both"/>
              <w:rPr>
                <w:rFonts w:ascii="Times New Roman" w:hAnsi="Times New Roman" w:cs="Times New Roman"/>
              </w:rPr>
            </w:pPr>
            <w:r w:rsidRPr="009E686F">
              <w:rPr>
                <w:rFonts w:ascii="Times New Roman" w:hAnsi="Times New Roman" w:cs="Times New Roman"/>
              </w:rPr>
              <w:t>65. „politică de remunerare neutră din punctul de vedere al genului” înseamnă o politică de remunerare bazată pe egalitatea de remunerare între lucrătorii de sex masculin și cei de sex feminin, pentru aceeași muncă sau pentru o muncă de aceeași valoare.</w:t>
            </w:r>
          </w:p>
        </w:tc>
        <w:tc>
          <w:tcPr>
            <w:tcW w:w="1834" w:type="pct"/>
            <w:tcBorders>
              <w:top w:val="single" w:sz="4" w:space="0" w:color="auto"/>
              <w:left w:val="single" w:sz="4" w:space="0" w:color="auto"/>
              <w:bottom w:val="single" w:sz="4" w:space="0" w:color="auto"/>
              <w:right w:val="single" w:sz="4" w:space="0" w:color="auto"/>
            </w:tcBorders>
          </w:tcPr>
          <w:p w14:paraId="67AD9A0F" w14:textId="104EA840" w:rsidR="00AB6122" w:rsidRPr="009E686F" w:rsidRDefault="00AB6122" w:rsidP="00ED2C1C">
            <w:pPr>
              <w:spacing w:after="0"/>
              <w:jc w:val="both"/>
              <w:rPr>
                <w:rFonts w:ascii="Times New Roman" w:hAnsi="Times New Roman" w:cs="Times New Roman"/>
                <w:lang w:val="it-CH"/>
              </w:rPr>
            </w:pPr>
            <w:r w:rsidRPr="009E686F">
              <w:rPr>
                <w:rFonts w:ascii="Times New Roman" w:hAnsi="Times New Roman" w:cs="Times New Roman"/>
                <w:i/>
                <w:lang w:val="it-CH"/>
              </w:rPr>
              <w:t>politică de remunerare neutră din punctul de vedere al genului</w:t>
            </w:r>
            <w:r w:rsidRPr="009E686F">
              <w:rPr>
                <w:rFonts w:ascii="Times New Roman" w:hAnsi="Times New Roman" w:cs="Times New Roman"/>
                <w:lang w:val="it-CH"/>
              </w:rPr>
              <w:t xml:space="preserve"> </w:t>
            </w:r>
            <w:r w:rsidRPr="009E686F">
              <w:rPr>
                <w:rFonts w:ascii="Times New Roman" w:hAnsi="Times New Roman" w:cs="Times New Roman"/>
                <w:i/>
                <w:lang w:val="it-CH"/>
              </w:rPr>
              <w:t>– politică de remunerare bazată pe egalitatea de remunerare între salariații/membrii organului de conducere de sex masculin și cei de sex feminin, pentru aceeași muncă sau pentru o muncă de aceeași valoare;</w:t>
            </w:r>
          </w:p>
        </w:tc>
        <w:tc>
          <w:tcPr>
            <w:tcW w:w="470" w:type="pct"/>
            <w:tcBorders>
              <w:top w:val="single" w:sz="4" w:space="0" w:color="auto"/>
              <w:left w:val="single" w:sz="4" w:space="0" w:color="auto"/>
              <w:bottom w:val="single" w:sz="4" w:space="0" w:color="auto"/>
              <w:right w:val="single" w:sz="4" w:space="0" w:color="auto"/>
            </w:tcBorders>
          </w:tcPr>
          <w:p w14:paraId="09FC2478" w14:textId="1BF49A27" w:rsidR="00AB6122" w:rsidRPr="009E686F" w:rsidRDefault="00AB6122" w:rsidP="00AB6122">
            <w:pPr>
              <w:jc w:val="both"/>
              <w:rPr>
                <w:rFonts w:ascii="Times New Roman" w:hAnsi="Times New Roman" w:cs="Times New Roman"/>
              </w:rPr>
            </w:pPr>
            <w:r w:rsidRPr="009E686F">
              <w:rPr>
                <w:rFonts w:ascii="Times New Roman" w:hAnsi="Times New Roman" w:cs="Times New Roman"/>
              </w:rPr>
              <w:t xml:space="preserve">Compatibil </w:t>
            </w:r>
          </w:p>
        </w:tc>
        <w:tc>
          <w:tcPr>
            <w:tcW w:w="806" w:type="pct"/>
            <w:tcBorders>
              <w:top w:val="single" w:sz="4" w:space="0" w:color="auto"/>
              <w:left w:val="single" w:sz="4" w:space="0" w:color="auto"/>
              <w:bottom w:val="single" w:sz="4" w:space="0" w:color="auto"/>
              <w:right w:val="single" w:sz="4" w:space="0" w:color="auto"/>
            </w:tcBorders>
          </w:tcPr>
          <w:p w14:paraId="290FBC1A" w14:textId="77777777" w:rsidR="00AB6122" w:rsidRPr="009E686F" w:rsidRDefault="00AB6122" w:rsidP="00515783">
            <w:pPr>
              <w:spacing w:after="0"/>
              <w:jc w:val="both"/>
              <w:rPr>
                <w:rFonts w:ascii="Times New Roman" w:hAnsi="Times New Roman" w:cs="Times New Roman"/>
              </w:rPr>
            </w:pPr>
          </w:p>
        </w:tc>
      </w:tr>
      <w:tr w:rsidR="00B30AFC" w:rsidRPr="009E686F" w14:paraId="54E195A6" w14:textId="77777777" w:rsidTr="00960C23">
        <w:tc>
          <w:tcPr>
            <w:tcW w:w="1890" w:type="pct"/>
            <w:tcBorders>
              <w:top w:val="single" w:sz="4" w:space="0" w:color="auto"/>
              <w:left w:val="single" w:sz="4" w:space="0" w:color="auto"/>
              <w:bottom w:val="single" w:sz="4" w:space="0" w:color="auto"/>
              <w:right w:val="single" w:sz="4" w:space="0" w:color="auto"/>
            </w:tcBorders>
          </w:tcPr>
          <w:p w14:paraId="27E343ED" w14:textId="00C58F03" w:rsidR="00AB6122" w:rsidRPr="009E686F" w:rsidRDefault="00AB6122" w:rsidP="00ED2C1C">
            <w:pPr>
              <w:spacing w:after="0"/>
              <w:jc w:val="both"/>
              <w:rPr>
                <w:rFonts w:ascii="Times New Roman" w:hAnsi="Times New Roman" w:cs="Times New Roman"/>
                <w:lang w:val="it-CH"/>
              </w:rPr>
            </w:pPr>
            <w:r w:rsidRPr="009E686F">
              <w:rPr>
                <w:rFonts w:ascii="Times New Roman" w:hAnsi="Times New Roman" w:cs="Times New Roman"/>
                <w:lang w:val="it-CH"/>
              </w:rPr>
              <w:t>(2) Atunci când prezenta directivă menționează organele de conducere și, în conformitate cu dreptul intern, funcțiile de conducere și de supraveghere ale organelor de conducere sunt atribuite unor organe diferite sau unor membri diferiți din cadrul unui organ, statul membru identifică organele responsabile sau membrii responsabili ai organului de conducere în conformitate cu dreptul intern, cu excepția cazului în care se specifică altfel în prezenta directivă.</w:t>
            </w:r>
          </w:p>
        </w:tc>
        <w:tc>
          <w:tcPr>
            <w:tcW w:w="1834" w:type="pct"/>
            <w:tcBorders>
              <w:top w:val="single" w:sz="4" w:space="0" w:color="auto"/>
              <w:left w:val="single" w:sz="4" w:space="0" w:color="auto"/>
              <w:bottom w:val="single" w:sz="4" w:space="0" w:color="auto"/>
              <w:right w:val="single" w:sz="4" w:space="0" w:color="auto"/>
            </w:tcBorders>
          </w:tcPr>
          <w:p w14:paraId="3DA2CD73" w14:textId="77777777" w:rsidR="00AB6122" w:rsidRPr="009E686F" w:rsidRDefault="00AB6122" w:rsidP="00ED2C1C">
            <w:pPr>
              <w:spacing w:after="0"/>
              <w:jc w:val="both"/>
              <w:rPr>
                <w:rFonts w:ascii="Times New Roman" w:hAnsi="Times New Roman" w:cs="Times New Roman"/>
                <w:lang w:val="it-CH"/>
              </w:rPr>
            </w:pPr>
          </w:p>
        </w:tc>
        <w:tc>
          <w:tcPr>
            <w:tcW w:w="470" w:type="pct"/>
            <w:tcBorders>
              <w:top w:val="single" w:sz="4" w:space="0" w:color="auto"/>
              <w:left w:val="single" w:sz="4" w:space="0" w:color="auto"/>
              <w:bottom w:val="single" w:sz="4" w:space="0" w:color="auto"/>
              <w:right w:val="single" w:sz="4" w:space="0" w:color="auto"/>
            </w:tcBorders>
          </w:tcPr>
          <w:p w14:paraId="29B090DE" w14:textId="3AC27FB0" w:rsidR="00AB6122" w:rsidRPr="009E686F" w:rsidRDefault="00255E25" w:rsidP="00AB6122">
            <w:pPr>
              <w:jc w:val="both"/>
              <w:rPr>
                <w:rFonts w:ascii="Times New Roman" w:hAnsi="Times New Roman" w:cs="Times New Roman"/>
                <w:lang w:val="it-CH"/>
              </w:rPr>
            </w:pPr>
            <w:r w:rsidRPr="009E686F">
              <w:rPr>
                <w:rFonts w:ascii="Times New Roman" w:hAnsi="Times New Roman" w:cs="Times New Roman"/>
                <w:lang w:val="it-CH"/>
              </w:rPr>
              <w:t>Norme UE neaplicabile</w:t>
            </w:r>
          </w:p>
        </w:tc>
        <w:tc>
          <w:tcPr>
            <w:tcW w:w="806" w:type="pct"/>
            <w:tcBorders>
              <w:top w:val="single" w:sz="4" w:space="0" w:color="auto"/>
              <w:left w:val="single" w:sz="4" w:space="0" w:color="auto"/>
              <w:bottom w:val="single" w:sz="4" w:space="0" w:color="auto"/>
              <w:right w:val="single" w:sz="4" w:space="0" w:color="auto"/>
            </w:tcBorders>
          </w:tcPr>
          <w:p w14:paraId="75B25130" w14:textId="0A1332AC" w:rsidR="00AB6122" w:rsidRPr="009E686F" w:rsidRDefault="00255E25" w:rsidP="00515783">
            <w:pPr>
              <w:spacing w:after="0"/>
              <w:jc w:val="both"/>
              <w:rPr>
                <w:rFonts w:ascii="Times New Roman" w:hAnsi="Times New Roman" w:cs="Times New Roman"/>
                <w:lang w:val="it-CH"/>
              </w:rPr>
            </w:pPr>
            <w:r w:rsidRPr="009E686F">
              <w:rPr>
                <w:rFonts w:ascii="Times New Roman" w:hAnsi="Times New Roman" w:cs="Times New Roman"/>
                <w:lang w:val="it-CH"/>
              </w:rPr>
              <w:t xml:space="preserve">În conformitate cu legislația Republicii Moldova, organul de conducere al unei </w:t>
            </w:r>
            <w:r w:rsidR="00A51A7D" w:rsidRPr="009E686F">
              <w:rPr>
                <w:rFonts w:ascii="Times New Roman" w:hAnsi="Times New Roman" w:cs="Times New Roman"/>
                <w:lang w:val="it-CH"/>
              </w:rPr>
              <w:t>instituții de credit</w:t>
            </w:r>
            <w:r w:rsidRPr="009E686F">
              <w:rPr>
                <w:rFonts w:ascii="Times New Roman" w:hAnsi="Times New Roman" w:cs="Times New Roman"/>
                <w:lang w:val="it-CH"/>
              </w:rPr>
              <w:t xml:space="preserve"> este Consiliul (funcția de supraveghere) si organul executiv (funcția executivă).</w:t>
            </w:r>
          </w:p>
        </w:tc>
      </w:tr>
      <w:tr w:rsidR="00B30AFC" w:rsidRPr="009E686F" w14:paraId="367B60C6" w14:textId="77777777" w:rsidTr="00960C23">
        <w:tc>
          <w:tcPr>
            <w:tcW w:w="1890" w:type="pct"/>
            <w:tcBorders>
              <w:top w:val="single" w:sz="4" w:space="0" w:color="auto"/>
              <w:left w:val="single" w:sz="4" w:space="0" w:color="auto"/>
              <w:bottom w:val="single" w:sz="4" w:space="0" w:color="auto"/>
              <w:right w:val="single" w:sz="4" w:space="0" w:color="auto"/>
            </w:tcBorders>
          </w:tcPr>
          <w:p w14:paraId="3C71FD48" w14:textId="53374954" w:rsidR="00AB6122" w:rsidRPr="009E686F" w:rsidRDefault="00AB6122" w:rsidP="00ED2C1C">
            <w:pPr>
              <w:spacing w:after="0"/>
              <w:jc w:val="both"/>
              <w:rPr>
                <w:rFonts w:ascii="Times New Roman" w:hAnsi="Times New Roman" w:cs="Times New Roman"/>
                <w:lang w:val="it-CH"/>
              </w:rPr>
            </w:pPr>
            <w:r w:rsidRPr="009E686F">
              <w:rPr>
                <w:rFonts w:ascii="Times New Roman" w:hAnsi="Times New Roman" w:cs="Times New Roman"/>
                <w:lang w:val="it-CH"/>
              </w:rPr>
              <w:t>66. „instituție mare” înseamnă o instituție mare astfel cum este definită la articolul 4 alineatul (1) punctul 146 din Regulamentul (UE) nr. 575/2013;</w:t>
            </w:r>
          </w:p>
        </w:tc>
        <w:tc>
          <w:tcPr>
            <w:tcW w:w="1834" w:type="pct"/>
            <w:tcBorders>
              <w:top w:val="single" w:sz="4" w:space="0" w:color="auto"/>
              <w:left w:val="single" w:sz="4" w:space="0" w:color="auto"/>
              <w:bottom w:val="single" w:sz="4" w:space="0" w:color="auto"/>
              <w:right w:val="single" w:sz="4" w:space="0" w:color="auto"/>
            </w:tcBorders>
          </w:tcPr>
          <w:p w14:paraId="44F2E668" w14:textId="670862AD" w:rsidR="00AB6122" w:rsidRPr="009E686F" w:rsidRDefault="00AB6122" w:rsidP="00ED2C1C">
            <w:pPr>
              <w:spacing w:after="0"/>
              <w:jc w:val="both"/>
              <w:rPr>
                <w:rFonts w:ascii="Times New Roman" w:hAnsi="Times New Roman" w:cs="Times New Roman"/>
                <w:bCs/>
                <w:i/>
                <w:iCs/>
                <w:lang w:val="pt-BR"/>
              </w:rPr>
            </w:pPr>
            <w:r w:rsidRPr="009E686F">
              <w:rPr>
                <w:rFonts w:ascii="Times New Roman" w:hAnsi="Times New Roman" w:cs="Times New Roman"/>
                <w:bCs/>
                <w:i/>
                <w:iCs/>
                <w:lang w:val="pt-BR"/>
              </w:rPr>
              <w:t xml:space="preserve">instituție mare – </w:t>
            </w:r>
            <w:r w:rsidR="00A51A7D" w:rsidRPr="009E686F">
              <w:rPr>
                <w:rFonts w:ascii="Times New Roman" w:hAnsi="Times New Roman" w:cs="Times New Roman"/>
                <w:bCs/>
                <w:i/>
                <w:iCs/>
                <w:lang w:val="pt-BR"/>
              </w:rPr>
              <w:t>instituție de credit</w:t>
            </w:r>
            <w:r w:rsidRPr="009E686F">
              <w:rPr>
                <w:rFonts w:ascii="Times New Roman" w:hAnsi="Times New Roman" w:cs="Times New Roman"/>
                <w:bCs/>
                <w:i/>
                <w:iCs/>
                <w:lang w:val="pt-BR"/>
              </w:rPr>
              <w:t xml:space="preserve"> care îndeplinește oricare din următoarele condiții:</w:t>
            </w:r>
          </w:p>
          <w:p w14:paraId="3FB67492" w14:textId="69FFB2E7" w:rsidR="00AB6122" w:rsidRPr="009E686F" w:rsidRDefault="00AB6122" w:rsidP="00ED2C1C">
            <w:pPr>
              <w:spacing w:after="0"/>
              <w:jc w:val="both"/>
              <w:rPr>
                <w:rFonts w:ascii="Times New Roman" w:hAnsi="Times New Roman" w:cs="Times New Roman"/>
                <w:bCs/>
                <w:i/>
                <w:iCs/>
                <w:lang w:val="pt-BR"/>
              </w:rPr>
            </w:pPr>
            <w:r w:rsidRPr="009E686F">
              <w:rPr>
                <w:rFonts w:ascii="Times New Roman" w:hAnsi="Times New Roman" w:cs="Times New Roman"/>
                <w:bCs/>
                <w:i/>
                <w:iCs/>
                <w:lang w:val="pt-BR"/>
              </w:rPr>
              <w:t>a) este o G-SII;</w:t>
            </w:r>
          </w:p>
          <w:p w14:paraId="55A2CBD8" w14:textId="77777777" w:rsidR="00AB6122" w:rsidRPr="009E686F" w:rsidRDefault="00AB6122" w:rsidP="00ED2C1C">
            <w:pPr>
              <w:spacing w:after="0"/>
              <w:jc w:val="both"/>
              <w:rPr>
                <w:rFonts w:ascii="Times New Roman" w:hAnsi="Times New Roman" w:cs="Times New Roman"/>
                <w:bCs/>
                <w:i/>
                <w:iCs/>
                <w:lang w:val="pt-BR"/>
              </w:rPr>
            </w:pPr>
            <w:r w:rsidRPr="009E686F">
              <w:rPr>
                <w:rFonts w:ascii="Times New Roman" w:hAnsi="Times New Roman" w:cs="Times New Roman"/>
                <w:bCs/>
                <w:i/>
                <w:iCs/>
                <w:lang w:val="pt-BR"/>
              </w:rPr>
              <w:t xml:space="preserve">b) a fost identificată ca fiind o altă instituţie de importanţă sistemică (O-SII); </w:t>
            </w:r>
          </w:p>
          <w:p w14:paraId="1643984F" w14:textId="10EA285F" w:rsidR="00AB6122" w:rsidRPr="009E686F" w:rsidRDefault="00AB6122" w:rsidP="00ED2C1C">
            <w:pPr>
              <w:spacing w:after="0"/>
              <w:jc w:val="both"/>
              <w:rPr>
                <w:rFonts w:ascii="Times New Roman" w:hAnsi="Times New Roman" w:cs="Times New Roman"/>
                <w:bCs/>
                <w:i/>
                <w:iCs/>
                <w:lang w:val="pt-BR"/>
              </w:rPr>
            </w:pPr>
            <w:r w:rsidRPr="009E686F">
              <w:rPr>
                <w:rFonts w:ascii="Times New Roman" w:hAnsi="Times New Roman" w:cs="Times New Roman"/>
                <w:bCs/>
                <w:i/>
                <w:iCs/>
                <w:lang w:val="pt-BR"/>
              </w:rPr>
              <w:t xml:space="preserve">c) este una dintre cele mai mari trei </w:t>
            </w:r>
            <w:r w:rsidR="00A51A7D" w:rsidRPr="009E686F">
              <w:rPr>
                <w:rFonts w:ascii="Times New Roman" w:hAnsi="Times New Roman" w:cs="Times New Roman"/>
                <w:bCs/>
                <w:i/>
                <w:iCs/>
                <w:lang w:val="pt-BR"/>
              </w:rPr>
              <w:t>instituții de credit</w:t>
            </w:r>
            <w:r w:rsidRPr="009E686F">
              <w:rPr>
                <w:rFonts w:ascii="Times New Roman" w:hAnsi="Times New Roman" w:cs="Times New Roman"/>
                <w:bCs/>
                <w:i/>
                <w:iCs/>
                <w:lang w:val="pt-BR"/>
              </w:rPr>
              <w:t xml:space="preserve"> din Republica Moldova în ceea ce privește valoarea totală a activelor; </w:t>
            </w:r>
          </w:p>
          <w:p w14:paraId="524186F8" w14:textId="511F13CA" w:rsidR="00AB6122" w:rsidRPr="009E686F" w:rsidRDefault="00AB6122" w:rsidP="00ED2C1C">
            <w:pPr>
              <w:spacing w:after="0"/>
              <w:jc w:val="both"/>
              <w:rPr>
                <w:rFonts w:ascii="Times New Roman" w:hAnsi="Times New Roman" w:cs="Times New Roman"/>
                <w:bCs/>
                <w:lang w:val="pt-BR"/>
              </w:rPr>
            </w:pPr>
            <w:r w:rsidRPr="009E686F">
              <w:rPr>
                <w:rFonts w:ascii="Times New Roman" w:hAnsi="Times New Roman" w:cs="Times New Roman"/>
                <w:bCs/>
                <w:i/>
                <w:iCs/>
                <w:lang w:val="pt-BR"/>
              </w:rPr>
              <w:lastRenderedPageBreak/>
              <w:t xml:space="preserve">d) valoarea totală a activelor sale pe bază individuală sau, după caz, pe baza situaţiei sale consolidate în conformitate cu prezenta lege și cu actele normative emise în aplicarea acesteia este mai mare sau egală cu echivalentul în </w:t>
            </w:r>
            <w:r w:rsidR="009B69C9" w:rsidRPr="009E686F">
              <w:rPr>
                <w:rFonts w:ascii="Times New Roman" w:hAnsi="Times New Roman" w:cs="Times New Roman"/>
                <w:bCs/>
                <w:i/>
                <w:iCs/>
                <w:lang w:val="pt-BR"/>
              </w:rPr>
              <w:t xml:space="preserve">lei moldovenești </w:t>
            </w:r>
            <w:r w:rsidRPr="009E686F">
              <w:rPr>
                <w:rFonts w:ascii="Times New Roman" w:hAnsi="Times New Roman" w:cs="Times New Roman"/>
                <w:bCs/>
                <w:i/>
                <w:iCs/>
                <w:lang w:val="pt-BR"/>
              </w:rPr>
              <w:t xml:space="preserve">a 30 de miliarde </w:t>
            </w:r>
            <w:r w:rsidR="009B69C9" w:rsidRPr="009E686F">
              <w:rPr>
                <w:rFonts w:ascii="Times New Roman" w:hAnsi="Times New Roman" w:cs="Times New Roman"/>
                <w:bCs/>
                <w:i/>
                <w:iCs/>
                <w:lang w:val="pt-BR"/>
              </w:rPr>
              <w:t>euro</w:t>
            </w:r>
            <w:r w:rsidRPr="009E686F">
              <w:rPr>
                <w:rFonts w:ascii="Times New Roman" w:hAnsi="Times New Roman" w:cs="Times New Roman"/>
                <w:bCs/>
                <w:i/>
                <w:iCs/>
                <w:lang w:val="pt-BR"/>
              </w:rPr>
              <w:t xml:space="preserve">.  </w:t>
            </w:r>
          </w:p>
        </w:tc>
        <w:tc>
          <w:tcPr>
            <w:tcW w:w="470" w:type="pct"/>
            <w:tcBorders>
              <w:top w:val="single" w:sz="4" w:space="0" w:color="auto"/>
              <w:left w:val="single" w:sz="4" w:space="0" w:color="auto"/>
              <w:bottom w:val="single" w:sz="4" w:space="0" w:color="auto"/>
              <w:right w:val="single" w:sz="4" w:space="0" w:color="auto"/>
            </w:tcBorders>
          </w:tcPr>
          <w:p w14:paraId="36E3A98B" w14:textId="4FD8DEF1" w:rsidR="00AB6122" w:rsidRPr="009E686F" w:rsidRDefault="00F6763D" w:rsidP="00AB6122">
            <w:pPr>
              <w:jc w:val="both"/>
              <w:rPr>
                <w:rFonts w:ascii="Times New Roman" w:hAnsi="Times New Roman" w:cs="Times New Roman"/>
                <w:lang w:val="pt-BR"/>
              </w:rPr>
            </w:pPr>
            <w:r w:rsidRPr="009E686F">
              <w:rPr>
                <w:rFonts w:ascii="Times New Roman" w:hAnsi="Times New Roman" w:cs="Times New Roman"/>
                <w:lang w:val="pt-BR"/>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56EBFDFB" w14:textId="553EEA15" w:rsidR="00AB6122" w:rsidRPr="009E686F" w:rsidRDefault="00396DED" w:rsidP="00515783">
            <w:pPr>
              <w:spacing w:after="0"/>
              <w:jc w:val="both"/>
              <w:rPr>
                <w:rFonts w:ascii="Times New Roman" w:hAnsi="Times New Roman" w:cs="Times New Roman"/>
                <w:lang w:val="pt-BR"/>
              </w:rPr>
            </w:pPr>
            <w:r w:rsidRPr="009E686F">
              <w:rPr>
                <w:rFonts w:ascii="Times New Roman" w:hAnsi="Times New Roman" w:cs="Times New Roman"/>
                <w:lang w:val="pt-BR"/>
              </w:rPr>
              <w:t>Lit. a)-b) – în vigoare de la data aderării.</w:t>
            </w:r>
          </w:p>
        </w:tc>
      </w:tr>
      <w:tr w:rsidR="00B30AFC" w:rsidRPr="009E686F" w14:paraId="11FB2C26" w14:textId="77777777" w:rsidTr="00960C23">
        <w:tc>
          <w:tcPr>
            <w:tcW w:w="1890" w:type="pct"/>
            <w:tcBorders>
              <w:top w:val="single" w:sz="4" w:space="0" w:color="auto"/>
              <w:left w:val="single" w:sz="4" w:space="0" w:color="auto"/>
              <w:bottom w:val="single" w:sz="4" w:space="0" w:color="auto"/>
              <w:right w:val="single" w:sz="4" w:space="0" w:color="auto"/>
            </w:tcBorders>
          </w:tcPr>
          <w:p w14:paraId="16449860" w14:textId="18D06DD1" w:rsidR="00AB6122" w:rsidRPr="009E686F" w:rsidRDefault="00AB6122" w:rsidP="00ED2C1C">
            <w:pPr>
              <w:spacing w:after="0"/>
              <w:jc w:val="both"/>
              <w:rPr>
                <w:rFonts w:ascii="Times New Roman" w:hAnsi="Times New Roman" w:cs="Times New Roman"/>
                <w:lang w:val="it-CH"/>
              </w:rPr>
            </w:pPr>
            <w:r w:rsidRPr="009E686F">
              <w:rPr>
                <w:rFonts w:ascii="Times New Roman" w:hAnsi="Times New Roman" w:cs="Times New Roman"/>
                <w:lang w:val="it-CH"/>
              </w:rPr>
              <w:t>67. „penalitate cu titlu cominatoriu” înseamnă o măsură de executare pecuniară periodică care are scopul de a pune capăt încălcărilor în curs ale dispozițiilor naționale de transpunere a prezentei directive, încălcărilor Regulamentului (UE) nr. 575/2013 sau încălcărilor deciziilor luate de o autoritate competentă pe baza dispozițiilor respective sau a regulamentului respectiv și de a obliga persoanele fizice sau juridice să revină la respectarea dispozițiilor sau a deciziilor încălcate;</w:t>
            </w:r>
          </w:p>
        </w:tc>
        <w:tc>
          <w:tcPr>
            <w:tcW w:w="1834" w:type="pct"/>
            <w:tcBorders>
              <w:top w:val="single" w:sz="4" w:space="0" w:color="auto"/>
              <w:left w:val="single" w:sz="4" w:space="0" w:color="auto"/>
              <w:bottom w:val="single" w:sz="4" w:space="0" w:color="auto"/>
              <w:right w:val="single" w:sz="4" w:space="0" w:color="auto"/>
            </w:tcBorders>
          </w:tcPr>
          <w:p w14:paraId="04D7DB60" w14:textId="16C1F518" w:rsidR="00AB6122" w:rsidRPr="009E686F" w:rsidRDefault="00AB6122" w:rsidP="00ED2C1C">
            <w:pPr>
              <w:spacing w:after="0"/>
              <w:jc w:val="both"/>
              <w:rPr>
                <w:rFonts w:ascii="Times New Roman" w:hAnsi="Times New Roman" w:cs="Times New Roman"/>
                <w:bCs/>
                <w:lang w:val="it-CH"/>
              </w:rPr>
            </w:pPr>
            <w:r w:rsidRPr="009E686F">
              <w:rPr>
                <w:rFonts w:ascii="Times New Roman" w:hAnsi="Times New Roman" w:cs="Times New Roman"/>
                <w:bCs/>
                <w:i/>
                <w:iCs/>
                <w:lang w:val="it-CH"/>
              </w:rPr>
              <w:t>penalitate cu titlu cominatoriu</w:t>
            </w:r>
            <w:r w:rsidRPr="009E686F">
              <w:rPr>
                <w:rFonts w:ascii="Times New Roman" w:hAnsi="Times New Roman" w:cs="Times New Roman"/>
                <w:bCs/>
                <w:lang w:val="it-CH"/>
              </w:rPr>
              <w:t xml:space="preserve"> </w:t>
            </w:r>
            <w:r w:rsidRPr="009E686F">
              <w:rPr>
                <w:rFonts w:ascii="Times New Roman" w:hAnsi="Times New Roman" w:cs="Times New Roman"/>
                <w:bCs/>
                <w:i/>
                <w:iCs/>
                <w:lang w:val="it-CH"/>
              </w:rPr>
              <w:t>– măsură de executare pecuniară periodică care are scopul de a pune capăt încălcărilor în curs ale prevederilor prezentei legi și a actelor normative emise în aplicarea acesteia sau ale deciziilor Băncii Naționale a Moldovei prin care au fost dispuse măsurile sau sancțiunile prevăzute de prezenta lege și de a obliga persoanele fizice sau juridice să revină la respectarea prevederilor încălcate;</w:t>
            </w:r>
          </w:p>
        </w:tc>
        <w:tc>
          <w:tcPr>
            <w:tcW w:w="470" w:type="pct"/>
            <w:tcBorders>
              <w:top w:val="single" w:sz="4" w:space="0" w:color="auto"/>
              <w:left w:val="single" w:sz="4" w:space="0" w:color="auto"/>
              <w:bottom w:val="single" w:sz="4" w:space="0" w:color="auto"/>
              <w:right w:val="single" w:sz="4" w:space="0" w:color="auto"/>
            </w:tcBorders>
          </w:tcPr>
          <w:p w14:paraId="6807A2E0" w14:textId="2E5A46E9" w:rsidR="00AB6122" w:rsidRPr="009E686F" w:rsidRDefault="00F6763D" w:rsidP="00AB6122">
            <w:pPr>
              <w:jc w:val="both"/>
              <w:rPr>
                <w:rFonts w:ascii="Times New Roman" w:hAnsi="Times New Roman" w:cs="Times New Roman"/>
                <w:lang w:val="it-CH"/>
              </w:rPr>
            </w:pPr>
            <w:r w:rsidRPr="009E686F">
              <w:rPr>
                <w:rFonts w:ascii="Times New Roman" w:hAnsi="Times New Roman" w:cs="Times New Roman"/>
                <w:lang w:val="pt-BR"/>
              </w:rPr>
              <w:t>Compatibil</w:t>
            </w:r>
          </w:p>
        </w:tc>
        <w:tc>
          <w:tcPr>
            <w:tcW w:w="806" w:type="pct"/>
            <w:tcBorders>
              <w:top w:val="single" w:sz="4" w:space="0" w:color="auto"/>
              <w:left w:val="single" w:sz="4" w:space="0" w:color="auto"/>
              <w:bottom w:val="single" w:sz="4" w:space="0" w:color="auto"/>
              <w:right w:val="single" w:sz="4" w:space="0" w:color="auto"/>
            </w:tcBorders>
          </w:tcPr>
          <w:p w14:paraId="080063A3" w14:textId="77777777" w:rsidR="00AB6122" w:rsidRPr="009E686F" w:rsidRDefault="00AB6122" w:rsidP="00515783">
            <w:pPr>
              <w:spacing w:after="0"/>
              <w:jc w:val="both"/>
              <w:rPr>
                <w:rFonts w:ascii="Times New Roman" w:hAnsi="Times New Roman" w:cs="Times New Roman"/>
                <w:lang w:val="it-CH"/>
              </w:rPr>
            </w:pPr>
          </w:p>
        </w:tc>
      </w:tr>
      <w:tr w:rsidR="00B30AFC" w:rsidRPr="009E686F" w14:paraId="1D2E946D" w14:textId="77777777" w:rsidTr="00960C23">
        <w:trPr>
          <w:trHeight w:val="673"/>
        </w:trPr>
        <w:tc>
          <w:tcPr>
            <w:tcW w:w="1890" w:type="pct"/>
            <w:tcBorders>
              <w:top w:val="single" w:sz="4" w:space="0" w:color="auto"/>
              <w:left w:val="single" w:sz="4" w:space="0" w:color="auto"/>
              <w:bottom w:val="single" w:sz="4" w:space="0" w:color="auto"/>
              <w:right w:val="single" w:sz="4" w:space="0" w:color="auto"/>
            </w:tcBorders>
          </w:tcPr>
          <w:p w14:paraId="5C10F7C5" w14:textId="268A5E57" w:rsidR="00AB6122" w:rsidRPr="009E686F" w:rsidRDefault="00AB6122" w:rsidP="00ED2C1C">
            <w:pPr>
              <w:spacing w:after="0"/>
              <w:jc w:val="both"/>
              <w:rPr>
                <w:rFonts w:ascii="Times New Roman" w:hAnsi="Times New Roman" w:cs="Times New Roman"/>
                <w:lang w:val="pt-BR"/>
              </w:rPr>
            </w:pPr>
            <w:r w:rsidRPr="009E686F">
              <w:rPr>
                <w:rFonts w:ascii="Times New Roman" w:hAnsi="Times New Roman" w:cs="Times New Roman"/>
                <w:lang w:val="pt-BR"/>
              </w:rPr>
              <w:t>68. „risc de mediu, social și de guvernanță» sau «risc ESG” înseamnă riscul de mediu, social și de guvernanță astfel cum este definit la articolul 4 alineatul (1) punctul 52d din Regulamentul (UE) nr. 575/2013;</w:t>
            </w:r>
          </w:p>
        </w:tc>
        <w:tc>
          <w:tcPr>
            <w:tcW w:w="1834" w:type="pct"/>
            <w:tcBorders>
              <w:top w:val="single" w:sz="4" w:space="0" w:color="auto"/>
              <w:left w:val="single" w:sz="4" w:space="0" w:color="auto"/>
              <w:bottom w:val="single" w:sz="4" w:space="0" w:color="auto"/>
              <w:right w:val="single" w:sz="4" w:space="0" w:color="auto"/>
            </w:tcBorders>
          </w:tcPr>
          <w:p w14:paraId="05EEC504" w14:textId="77777777" w:rsidR="00261C3C" w:rsidRPr="009E686F" w:rsidRDefault="00261C3C" w:rsidP="00261C3C">
            <w:pPr>
              <w:spacing w:after="0"/>
              <w:jc w:val="both"/>
              <w:rPr>
                <w:rFonts w:ascii="Times New Roman" w:hAnsi="Times New Roman" w:cs="Times New Roman"/>
                <w:bCs/>
                <w:i/>
                <w:iCs/>
                <w:lang w:val="pt-BR"/>
              </w:rPr>
            </w:pPr>
            <w:r w:rsidRPr="009E686F">
              <w:rPr>
                <w:rFonts w:ascii="Times New Roman" w:hAnsi="Times New Roman" w:cs="Times New Roman"/>
                <w:bCs/>
                <w:i/>
                <w:iCs/>
                <w:lang w:val="pt-BR"/>
              </w:rPr>
              <w:t>risc de mediu, social și de guvernanță (risc ESG) - riscul de orice impact financiar negativ</w:t>
            </w:r>
          </w:p>
          <w:p w14:paraId="3408D3D1" w14:textId="77777777" w:rsidR="00261C3C" w:rsidRPr="009E686F" w:rsidRDefault="00261C3C" w:rsidP="00261C3C">
            <w:pPr>
              <w:spacing w:after="0"/>
              <w:jc w:val="both"/>
              <w:rPr>
                <w:rFonts w:ascii="Times New Roman" w:hAnsi="Times New Roman" w:cs="Times New Roman"/>
                <w:bCs/>
                <w:i/>
                <w:iCs/>
                <w:lang w:val="pt-BR"/>
              </w:rPr>
            </w:pPr>
            <w:r w:rsidRPr="009E686F">
              <w:rPr>
                <w:rFonts w:ascii="Times New Roman" w:hAnsi="Times New Roman" w:cs="Times New Roman"/>
                <w:bCs/>
                <w:i/>
                <w:iCs/>
                <w:lang w:val="pt-BR"/>
              </w:rPr>
              <w:t>asupra băncii care decurge din impactul actual sau potențial al factorilor de mediu, sociali sau de</w:t>
            </w:r>
          </w:p>
          <w:p w14:paraId="51B2B697" w14:textId="77777777" w:rsidR="00261C3C" w:rsidRPr="009E686F" w:rsidRDefault="00261C3C" w:rsidP="00261C3C">
            <w:pPr>
              <w:spacing w:after="0"/>
              <w:jc w:val="both"/>
              <w:rPr>
                <w:rFonts w:ascii="Times New Roman" w:hAnsi="Times New Roman" w:cs="Times New Roman"/>
                <w:bCs/>
                <w:i/>
                <w:iCs/>
                <w:lang w:val="pt-BR"/>
              </w:rPr>
            </w:pPr>
            <w:r w:rsidRPr="009E686F">
              <w:rPr>
                <w:rFonts w:ascii="Times New Roman" w:hAnsi="Times New Roman" w:cs="Times New Roman"/>
                <w:bCs/>
                <w:i/>
                <w:iCs/>
                <w:lang w:val="pt-BR"/>
              </w:rPr>
              <w:t>guvernanță (ESG) asupra contrapărților sau a activelor investite de către bancă; riscurile ESG se</w:t>
            </w:r>
          </w:p>
          <w:p w14:paraId="5C6D433C" w14:textId="5013AB80" w:rsidR="00F6763D" w:rsidRPr="009E686F" w:rsidRDefault="00261C3C" w:rsidP="00261C3C">
            <w:pPr>
              <w:spacing w:after="0"/>
              <w:jc w:val="both"/>
              <w:rPr>
                <w:rFonts w:ascii="Times New Roman" w:hAnsi="Times New Roman" w:cs="Times New Roman"/>
                <w:bCs/>
                <w:i/>
                <w:iCs/>
                <w:lang w:val="pt-BR"/>
              </w:rPr>
            </w:pPr>
            <w:r w:rsidRPr="009E686F">
              <w:rPr>
                <w:rFonts w:ascii="Times New Roman" w:hAnsi="Times New Roman" w:cs="Times New Roman"/>
                <w:bCs/>
                <w:i/>
                <w:iCs/>
                <w:lang w:val="pt-BR"/>
              </w:rPr>
              <w:t>materializează prin categoriile tradiționale de riscuri financiare</w:t>
            </w:r>
          </w:p>
        </w:tc>
        <w:tc>
          <w:tcPr>
            <w:tcW w:w="470" w:type="pct"/>
            <w:tcBorders>
              <w:top w:val="single" w:sz="4" w:space="0" w:color="auto"/>
              <w:left w:val="single" w:sz="4" w:space="0" w:color="auto"/>
              <w:bottom w:val="single" w:sz="4" w:space="0" w:color="auto"/>
              <w:right w:val="single" w:sz="4" w:space="0" w:color="auto"/>
            </w:tcBorders>
          </w:tcPr>
          <w:p w14:paraId="66B93D52" w14:textId="3191DABA" w:rsidR="00AB6122" w:rsidRPr="009E686F" w:rsidRDefault="00261C3C" w:rsidP="00AB6122">
            <w:pPr>
              <w:jc w:val="both"/>
              <w:rPr>
                <w:rFonts w:ascii="Times New Roman" w:hAnsi="Times New Roman" w:cs="Times New Roman"/>
                <w:lang w:val="pt-BR"/>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6B725B89" w14:textId="28C430F8" w:rsidR="00AB6122" w:rsidRPr="009E686F" w:rsidRDefault="00414F5E" w:rsidP="00515783">
            <w:pPr>
              <w:spacing w:after="0"/>
              <w:jc w:val="both"/>
              <w:rPr>
                <w:rFonts w:ascii="Times New Roman" w:hAnsi="Times New Roman" w:cs="Times New Roman"/>
                <w:lang w:val="pt-BR"/>
              </w:rPr>
            </w:pPr>
            <w:r w:rsidRPr="009E686F">
              <w:rPr>
                <w:rFonts w:ascii="Times New Roman" w:hAnsi="Times New Roman" w:cs="Times New Roman"/>
                <w:lang w:val="pt-BR"/>
              </w:rPr>
              <w:t xml:space="preserve">Transpus în proiectul HCE de modificare a Regulamentului privind cadrul de administrare a a activității, aprobat prin HCE nr. 322/2018 (pct. 1.3.9) supus consultării publice - </w:t>
            </w:r>
            <w:hyperlink r:id="rId12" w:history="1">
              <w:r w:rsidRPr="009E686F">
                <w:rPr>
                  <w:rStyle w:val="af2"/>
                  <w:rFonts w:ascii="Times New Roman" w:hAnsi="Times New Roman" w:cs="Times New Roman"/>
                  <w:i/>
                  <w:iCs/>
                  <w:lang w:val="pt-BR"/>
                </w:rPr>
                <w:t>link</w:t>
              </w:r>
            </w:hyperlink>
            <w:r w:rsidRPr="009E686F">
              <w:rPr>
                <w:rFonts w:ascii="Times New Roman" w:hAnsi="Times New Roman" w:cs="Times New Roman"/>
                <w:i/>
                <w:iCs/>
                <w:lang w:val="pt-BR"/>
              </w:rPr>
              <w:t>.</w:t>
            </w:r>
          </w:p>
        </w:tc>
      </w:tr>
      <w:tr w:rsidR="00B30AFC" w:rsidRPr="009E686F" w14:paraId="22DC4E45" w14:textId="77777777" w:rsidTr="00960C23">
        <w:tc>
          <w:tcPr>
            <w:tcW w:w="1890" w:type="pct"/>
            <w:tcBorders>
              <w:top w:val="single" w:sz="4" w:space="0" w:color="auto"/>
              <w:left w:val="single" w:sz="4" w:space="0" w:color="auto"/>
              <w:bottom w:val="single" w:sz="4" w:space="0" w:color="auto"/>
              <w:right w:val="single" w:sz="4" w:space="0" w:color="auto"/>
            </w:tcBorders>
          </w:tcPr>
          <w:p w14:paraId="22A7C006" w14:textId="4F26F621" w:rsidR="00AB6122" w:rsidRPr="009E686F" w:rsidRDefault="00AB6122" w:rsidP="00ED2C1C">
            <w:pPr>
              <w:spacing w:after="0"/>
              <w:jc w:val="both"/>
              <w:rPr>
                <w:rFonts w:ascii="Times New Roman" w:hAnsi="Times New Roman" w:cs="Times New Roman"/>
                <w:lang w:val="it-CH"/>
              </w:rPr>
            </w:pPr>
            <w:r w:rsidRPr="009E686F">
              <w:rPr>
                <w:rFonts w:ascii="Times New Roman" w:hAnsi="Times New Roman" w:cs="Times New Roman"/>
                <w:lang w:val="it-CH"/>
              </w:rPr>
              <w:t>69. „neutralitate climatică” înseamnă obiectivul general de realizare a neutralității climatice până în 2050, astfel cum se prevede la articolul 2 alineatul (1) din Regulamentul (UE) 2021/1119 al Parlamentului European și al Consiliului;</w:t>
            </w:r>
          </w:p>
        </w:tc>
        <w:tc>
          <w:tcPr>
            <w:tcW w:w="1834" w:type="pct"/>
            <w:tcBorders>
              <w:top w:val="single" w:sz="4" w:space="0" w:color="auto"/>
              <w:left w:val="single" w:sz="4" w:space="0" w:color="auto"/>
              <w:bottom w:val="single" w:sz="4" w:space="0" w:color="auto"/>
              <w:right w:val="single" w:sz="4" w:space="0" w:color="auto"/>
            </w:tcBorders>
          </w:tcPr>
          <w:p w14:paraId="43BAE2C3" w14:textId="34BDECC8" w:rsidR="00AB6122" w:rsidRPr="009E686F" w:rsidRDefault="00AB6122" w:rsidP="00ED2C1C">
            <w:pPr>
              <w:spacing w:after="0"/>
              <w:jc w:val="both"/>
              <w:rPr>
                <w:rFonts w:ascii="Times New Roman" w:hAnsi="Times New Roman" w:cs="Times New Roman"/>
                <w:bCs/>
                <w:lang w:val="it-CH"/>
              </w:rPr>
            </w:pPr>
            <w:r w:rsidRPr="009E686F">
              <w:rPr>
                <w:rFonts w:ascii="Times New Roman" w:hAnsi="Times New Roman" w:cs="Times New Roman"/>
                <w:bCs/>
                <w:i/>
                <w:iCs/>
                <w:lang w:val="it-CH"/>
              </w:rPr>
              <w:t>neutralitate climatică</w:t>
            </w:r>
            <w:r w:rsidRPr="009E686F">
              <w:rPr>
                <w:rFonts w:ascii="Times New Roman" w:hAnsi="Times New Roman" w:cs="Times New Roman"/>
                <w:bCs/>
                <w:lang w:val="it-CH"/>
              </w:rPr>
              <w:t xml:space="preserve"> – </w:t>
            </w:r>
            <w:r w:rsidRPr="009E686F">
              <w:rPr>
                <w:rFonts w:ascii="Times New Roman" w:hAnsi="Times New Roman" w:cs="Times New Roman"/>
                <w:bCs/>
                <w:i/>
                <w:iCs/>
                <w:lang w:val="it-CH"/>
              </w:rPr>
              <w:t>obiectivul general de realizare a neutralității climatice până în 2050, astfel cum se prevede de legislația națională;</w:t>
            </w:r>
          </w:p>
        </w:tc>
        <w:tc>
          <w:tcPr>
            <w:tcW w:w="470" w:type="pct"/>
            <w:tcBorders>
              <w:top w:val="single" w:sz="4" w:space="0" w:color="auto"/>
              <w:left w:val="single" w:sz="4" w:space="0" w:color="auto"/>
              <w:bottom w:val="single" w:sz="4" w:space="0" w:color="auto"/>
              <w:right w:val="single" w:sz="4" w:space="0" w:color="auto"/>
            </w:tcBorders>
          </w:tcPr>
          <w:p w14:paraId="739A2974" w14:textId="6B76FE4A" w:rsidR="00AB6122" w:rsidRPr="009E686F" w:rsidRDefault="00AB6122" w:rsidP="00AB6122">
            <w:pPr>
              <w:jc w:val="both"/>
              <w:rPr>
                <w:rFonts w:ascii="Times New Roman" w:hAnsi="Times New Roman" w:cs="Times New Roman"/>
                <w:lang w:val="it-CH"/>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7C354671" w14:textId="77777777" w:rsidR="00AB6122" w:rsidRPr="009E686F" w:rsidRDefault="00AB6122" w:rsidP="00515783">
            <w:pPr>
              <w:spacing w:after="0"/>
              <w:jc w:val="both"/>
              <w:rPr>
                <w:rFonts w:ascii="Times New Roman" w:hAnsi="Times New Roman" w:cs="Times New Roman"/>
                <w:lang w:val="it-CH"/>
              </w:rPr>
            </w:pPr>
          </w:p>
        </w:tc>
      </w:tr>
      <w:tr w:rsidR="00B30AFC" w:rsidRPr="009E686F" w14:paraId="513004DA" w14:textId="77777777" w:rsidTr="00960C23">
        <w:tc>
          <w:tcPr>
            <w:tcW w:w="1890" w:type="pct"/>
            <w:tcBorders>
              <w:top w:val="single" w:sz="4" w:space="0" w:color="auto"/>
              <w:left w:val="single" w:sz="4" w:space="0" w:color="auto"/>
              <w:bottom w:val="single" w:sz="4" w:space="0" w:color="auto"/>
              <w:right w:val="single" w:sz="4" w:space="0" w:color="auto"/>
            </w:tcBorders>
          </w:tcPr>
          <w:p w14:paraId="1DF78DFE" w14:textId="02932C4E" w:rsidR="00AB6122" w:rsidRPr="009E686F" w:rsidRDefault="00AB6122" w:rsidP="00ED2C1C">
            <w:pPr>
              <w:spacing w:after="0"/>
              <w:jc w:val="both"/>
              <w:rPr>
                <w:rFonts w:ascii="Times New Roman" w:hAnsi="Times New Roman" w:cs="Times New Roman"/>
                <w:lang w:val="it-CH"/>
              </w:rPr>
            </w:pPr>
            <w:r w:rsidRPr="009E686F">
              <w:rPr>
                <w:rFonts w:ascii="Times New Roman" w:hAnsi="Times New Roman" w:cs="Times New Roman"/>
                <w:lang w:val="it-CH"/>
              </w:rPr>
              <w:t>«criptoactiv» înseamnă un criptoactiv astfel cum este definit la articolul 3 alineatul (1) punctul 5 din Regulamentul (UE) 2023/1114 al Parlamentului European și al Consiliului și care nu este o monedă digitală emisă de o bancă centrală.</w:t>
            </w:r>
          </w:p>
        </w:tc>
        <w:tc>
          <w:tcPr>
            <w:tcW w:w="1834" w:type="pct"/>
            <w:tcBorders>
              <w:top w:val="single" w:sz="4" w:space="0" w:color="auto"/>
              <w:left w:val="single" w:sz="4" w:space="0" w:color="auto"/>
              <w:bottom w:val="single" w:sz="4" w:space="0" w:color="auto"/>
              <w:right w:val="single" w:sz="4" w:space="0" w:color="auto"/>
            </w:tcBorders>
          </w:tcPr>
          <w:p w14:paraId="05C363BE" w14:textId="36631C9F" w:rsidR="00AB6122" w:rsidRPr="009E686F" w:rsidRDefault="00AB6122" w:rsidP="00ED2C1C">
            <w:pPr>
              <w:spacing w:after="0"/>
              <w:jc w:val="both"/>
              <w:rPr>
                <w:rFonts w:ascii="Times New Roman" w:hAnsi="Times New Roman" w:cs="Times New Roman"/>
                <w:i/>
                <w:lang w:val="it-CH"/>
              </w:rPr>
            </w:pPr>
            <w:r w:rsidRPr="009E686F">
              <w:rPr>
                <w:rFonts w:ascii="Times New Roman" w:hAnsi="Times New Roman" w:cs="Times New Roman"/>
                <w:i/>
                <w:lang w:val="it-CH"/>
              </w:rPr>
              <w:t>criptoactiv – un criptoactiv astfel cum este definit de Legea nr.</w:t>
            </w:r>
            <w:r w:rsidR="00A801BF" w:rsidRPr="009E686F">
              <w:rPr>
                <w:rFonts w:ascii="Times New Roman" w:hAnsi="Times New Roman" w:cs="Times New Roman"/>
                <w:i/>
                <w:lang w:val="it-CH"/>
              </w:rPr>
              <w:t>180</w:t>
            </w:r>
            <w:r w:rsidRPr="009E686F">
              <w:rPr>
                <w:rFonts w:ascii="Times New Roman" w:hAnsi="Times New Roman" w:cs="Times New Roman"/>
                <w:i/>
                <w:lang w:val="it-CH"/>
              </w:rPr>
              <w:t>/2026 privind piața criptoactivelor și care nu este o monedă digitală emisă de o bancă centrală.</w:t>
            </w:r>
          </w:p>
        </w:tc>
        <w:tc>
          <w:tcPr>
            <w:tcW w:w="470" w:type="pct"/>
            <w:tcBorders>
              <w:top w:val="single" w:sz="4" w:space="0" w:color="auto"/>
              <w:left w:val="single" w:sz="4" w:space="0" w:color="auto"/>
              <w:bottom w:val="single" w:sz="4" w:space="0" w:color="auto"/>
              <w:right w:val="single" w:sz="4" w:space="0" w:color="auto"/>
            </w:tcBorders>
          </w:tcPr>
          <w:p w14:paraId="33D616D6" w14:textId="12619E3D" w:rsidR="00AB6122" w:rsidRPr="009E686F" w:rsidRDefault="00AB6122" w:rsidP="00AB6122">
            <w:pPr>
              <w:jc w:val="both"/>
              <w:rPr>
                <w:rFonts w:ascii="Times New Roman" w:hAnsi="Times New Roman" w:cs="Times New Roman"/>
                <w:lang w:val="it-CH"/>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3736ED07" w14:textId="77777777" w:rsidR="00AB6122" w:rsidRPr="009E686F" w:rsidRDefault="00AB6122" w:rsidP="00515783">
            <w:pPr>
              <w:spacing w:after="0"/>
              <w:jc w:val="both"/>
              <w:rPr>
                <w:rFonts w:ascii="Times New Roman" w:hAnsi="Times New Roman" w:cs="Times New Roman"/>
                <w:lang w:val="it-CH"/>
              </w:rPr>
            </w:pPr>
          </w:p>
        </w:tc>
      </w:tr>
      <w:tr w:rsidR="00B30AFC" w:rsidRPr="009E686F" w14:paraId="5EEA0475" w14:textId="77777777" w:rsidTr="00960C23">
        <w:tc>
          <w:tcPr>
            <w:tcW w:w="1890" w:type="pct"/>
            <w:tcBorders>
              <w:top w:val="single" w:sz="4" w:space="0" w:color="auto"/>
              <w:left w:val="single" w:sz="4" w:space="0" w:color="auto"/>
              <w:bottom w:val="single" w:sz="4" w:space="0" w:color="auto"/>
              <w:right w:val="single" w:sz="4" w:space="0" w:color="auto"/>
            </w:tcBorders>
          </w:tcPr>
          <w:p w14:paraId="5A13319D" w14:textId="723D32E1" w:rsidR="00AB6122" w:rsidRPr="009E686F" w:rsidRDefault="00AB6122" w:rsidP="00ED2C1C">
            <w:pPr>
              <w:spacing w:after="0"/>
              <w:jc w:val="both"/>
              <w:rPr>
                <w:rFonts w:ascii="Times New Roman" w:hAnsi="Times New Roman" w:cs="Times New Roman"/>
              </w:rPr>
            </w:pPr>
            <w:r w:rsidRPr="009E686F">
              <w:rPr>
                <w:rFonts w:ascii="Times New Roman" w:hAnsi="Times New Roman" w:cs="Times New Roman"/>
              </w:rPr>
              <w:t xml:space="preserve">(3) Pentru a asigura faptul că cerințele sau competențele de supraveghere prevăzute în prezenta directivă sau în </w:t>
            </w:r>
            <w:r w:rsidRPr="009E686F">
              <w:rPr>
                <w:rFonts w:ascii="Times New Roman" w:hAnsi="Times New Roman" w:cs="Times New Roman"/>
              </w:rPr>
              <w:lastRenderedPageBreak/>
              <w:t>Regulamentul (UE) nr. 575/2013 se aplică pe o bază consolidată sau subconsolidată, în conformitate cu prezenta directivă și cu respectivul regulament, termenii „instituție”, „instituție-mamă dintr-un stat membru”, „instituție-mamă din UE” și „întreprindere-mamă” includ de asemenea:</w:t>
            </w:r>
          </w:p>
        </w:tc>
        <w:tc>
          <w:tcPr>
            <w:tcW w:w="1834" w:type="pct"/>
            <w:tcBorders>
              <w:top w:val="single" w:sz="4" w:space="0" w:color="auto"/>
              <w:left w:val="single" w:sz="4" w:space="0" w:color="auto"/>
              <w:bottom w:val="single" w:sz="4" w:space="0" w:color="auto"/>
              <w:right w:val="single" w:sz="4" w:space="0" w:color="auto"/>
            </w:tcBorders>
          </w:tcPr>
          <w:p w14:paraId="0EE677D9" w14:textId="24771320" w:rsidR="00AB6122" w:rsidRPr="009E686F" w:rsidRDefault="00AB6122" w:rsidP="00ED2C1C">
            <w:pPr>
              <w:spacing w:after="0"/>
              <w:jc w:val="both"/>
              <w:rPr>
                <w:rFonts w:ascii="Times New Roman" w:hAnsi="Times New Roman" w:cs="Times New Roman"/>
                <w:bCs/>
              </w:rPr>
            </w:pPr>
            <w:r w:rsidRPr="009E686F">
              <w:rPr>
                <w:rFonts w:ascii="Times New Roman" w:hAnsi="Times New Roman" w:cs="Times New Roman"/>
                <w:b/>
              </w:rPr>
              <w:lastRenderedPageBreak/>
              <w:t>Articolul 2</w:t>
            </w:r>
            <w:r w:rsidR="00C85ED4" w:rsidRPr="009E686F">
              <w:rPr>
                <w:rFonts w:ascii="Times New Roman" w:hAnsi="Times New Roman" w:cs="Times New Roman"/>
                <w:b/>
              </w:rPr>
              <w:t xml:space="preserve"> alin. (3</w:t>
            </w:r>
            <w:r w:rsidR="00C85ED4" w:rsidRPr="009E686F">
              <w:rPr>
                <w:rFonts w:ascii="Times New Roman" w:hAnsi="Times New Roman" w:cs="Times New Roman"/>
                <w:b/>
                <w:vertAlign w:val="superscript"/>
              </w:rPr>
              <w:t>1</w:t>
            </w:r>
            <w:r w:rsidR="00C85ED4" w:rsidRPr="009E686F">
              <w:rPr>
                <w:rFonts w:ascii="Times New Roman" w:hAnsi="Times New Roman" w:cs="Times New Roman"/>
                <w:b/>
              </w:rPr>
              <w:t>)</w:t>
            </w:r>
          </w:p>
          <w:p w14:paraId="54D78E86" w14:textId="05463AAC" w:rsidR="00AB6122" w:rsidRPr="009E686F" w:rsidRDefault="00AB6122" w:rsidP="00ED2C1C">
            <w:pPr>
              <w:spacing w:after="0"/>
              <w:jc w:val="both"/>
              <w:rPr>
                <w:rFonts w:ascii="Times New Roman" w:hAnsi="Times New Roman" w:cs="Times New Roman"/>
                <w:bCs/>
                <w:i/>
                <w:iCs/>
              </w:rPr>
            </w:pPr>
            <w:r w:rsidRPr="009E686F">
              <w:rPr>
                <w:rFonts w:ascii="Times New Roman" w:hAnsi="Times New Roman" w:cs="Times New Roman"/>
                <w:bCs/>
                <w:i/>
                <w:iCs/>
              </w:rPr>
              <w:lastRenderedPageBreak/>
              <w:t>(3</w:t>
            </w:r>
            <w:r w:rsidRPr="009E686F">
              <w:rPr>
                <w:rFonts w:ascii="Times New Roman" w:hAnsi="Times New Roman" w:cs="Times New Roman"/>
                <w:bCs/>
                <w:i/>
                <w:iCs/>
                <w:vertAlign w:val="superscript"/>
              </w:rPr>
              <w:t>1</w:t>
            </w:r>
            <w:r w:rsidRPr="009E686F">
              <w:rPr>
                <w:rFonts w:ascii="Times New Roman" w:hAnsi="Times New Roman" w:cs="Times New Roman"/>
                <w:bCs/>
                <w:i/>
                <w:iCs/>
              </w:rPr>
              <w:t>)  Pentru a asigura faptul că cerințele sau competențele de supraveghere prevăzute în prezenta lege sau în actele normative emise în Banca Națională a Moldovei, se aplică pe o bază consolidată sau subconsolidată, în conformitate cu prezenta lege și actele normative emise în aplicarea acesteia, termenii „</w:t>
            </w:r>
            <w:r w:rsidR="00A51A7D" w:rsidRPr="009E686F">
              <w:rPr>
                <w:rFonts w:ascii="Times New Roman" w:hAnsi="Times New Roman" w:cs="Times New Roman"/>
                <w:bCs/>
                <w:i/>
                <w:iCs/>
              </w:rPr>
              <w:t>instituție de credit</w:t>
            </w:r>
            <w:r w:rsidRPr="009E686F">
              <w:rPr>
                <w:rFonts w:ascii="Times New Roman" w:hAnsi="Times New Roman" w:cs="Times New Roman"/>
                <w:bCs/>
                <w:i/>
                <w:iCs/>
              </w:rPr>
              <w:t>”, „</w:t>
            </w:r>
            <w:r w:rsidR="00A51A7D" w:rsidRPr="009E686F">
              <w:rPr>
                <w:rFonts w:ascii="Times New Roman" w:hAnsi="Times New Roman" w:cs="Times New Roman"/>
                <w:bCs/>
                <w:i/>
                <w:iCs/>
              </w:rPr>
              <w:t>instituție de credit</w:t>
            </w:r>
            <w:r w:rsidRPr="009E686F">
              <w:rPr>
                <w:rFonts w:ascii="Times New Roman" w:hAnsi="Times New Roman" w:cs="Times New Roman"/>
                <w:bCs/>
                <w:i/>
                <w:iCs/>
              </w:rPr>
              <w:t>-mamă dintr-un stat membru”, „</w:t>
            </w:r>
            <w:r w:rsidR="00A51A7D" w:rsidRPr="009E686F">
              <w:rPr>
                <w:rFonts w:ascii="Times New Roman" w:hAnsi="Times New Roman" w:cs="Times New Roman"/>
                <w:bCs/>
                <w:i/>
                <w:iCs/>
              </w:rPr>
              <w:t>instituție de credit</w:t>
            </w:r>
            <w:r w:rsidRPr="009E686F">
              <w:rPr>
                <w:rFonts w:ascii="Times New Roman" w:hAnsi="Times New Roman" w:cs="Times New Roman"/>
                <w:bCs/>
                <w:i/>
                <w:iCs/>
              </w:rPr>
              <w:t>-mamă din UE” și „întreprindere-mamă” includ de asemenea:</w:t>
            </w:r>
          </w:p>
        </w:tc>
        <w:tc>
          <w:tcPr>
            <w:tcW w:w="470" w:type="pct"/>
            <w:tcBorders>
              <w:top w:val="single" w:sz="4" w:space="0" w:color="auto"/>
              <w:left w:val="single" w:sz="4" w:space="0" w:color="auto"/>
              <w:bottom w:val="single" w:sz="4" w:space="0" w:color="auto"/>
              <w:right w:val="single" w:sz="4" w:space="0" w:color="auto"/>
            </w:tcBorders>
          </w:tcPr>
          <w:p w14:paraId="6C838B43" w14:textId="4F080616" w:rsidR="00AB6122" w:rsidRPr="009E686F" w:rsidRDefault="00AB6122" w:rsidP="00AB6122">
            <w:pPr>
              <w:jc w:val="both"/>
              <w:rPr>
                <w:rFonts w:ascii="Times New Roman" w:hAnsi="Times New Roman" w:cs="Times New Roman"/>
              </w:rPr>
            </w:pPr>
            <w:r w:rsidRPr="009E686F">
              <w:rPr>
                <w:rFonts w:ascii="Times New Roman" w:hAnsi="Times New Roman" w:cs="Times New Roman"/>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4CF2468F" w14:textId="77777777" w:rsidR="00305118" w:rsidRPr="009E686F" w:rsidRDefault="00305118" w:rsidP="00305118">
            <w:pPr>
              <w:tabs>
                <w:tab w:val="left" w:pos="884"/>
                <w:tab w:val="left" w:pos="1196"/>
              </w:tabs>
              <w:spacing w:after="0" w:line="240" w:lineRule="auto"/>
              <w:jc w:val="both"/>
              <w:rPr>
                <w:rFonts w:ascii="Times New Roman" w:hAnsi="Times New Roman"/>
                <w:lang w:val="it-CH"/>
              </w:rPr>
            </w:pPr>
            <w:r w:rsidRPr="009E686F">
              <w:rPr>
                <w:rFonts w:ascii="Times New Roman" w:hAnsi="Times New Roman"/>
                <w:lang w:val="it-CH"/>
              </w:rPr>
              <w:t>În vigoare de la data aderării.</w:t>
            </w:r>
          </w:p>
          <w:p w14:paraId="0D82685A" w14:textId="77777777" w:rsidR="00AB6122" w:rsidRPr="009E686F" w:rsidRDefault="00AB6122" w:rsidP="00515783">
            <w:pPr>
              <w:spacing w:after="0"/>
              <w:jc w:val="both"/>
              <w:rPr>
                <w:rFonts w:ascii="Times New Roman" w:hAnsi="Times New Roman" w:cs="Times New Roman"/>
                <w:lang w:val="it-CH"/>
              </w:rPr>
            </w:pPr>
          </w:p>
        </w:tc>
      </w:tr>
      <w:tr w:rsidR="00B30AFC" w:rsidRPr="009E686F" w14:paraId="0E345663" w14:textId="77777777" w:rsidTr="00960C23">
        <w:tc>
          <w:tcPr>
            <w:tcW w:w="1890" w:type="pct"/>
            <w:tcBorders>
              <w:top w:val="single" w:sz="4" w:space="0" w:color="auto"/>
              <w:left w:val="single" w:sz="4" w:space="0" w:color="auto"/>
              <w:bottom w:val="single" w:sz="4" w:space="0" w:color="auto"/>
              <w:right w:val="single" w:sz="4" w:space="0" w:color="auto"/>
            </w:tcBorders>
          </w:tcPr>
          <w:p w14:paraId="6D4B0C47" w14:textId="509C26CE" w:rsidR="00AB6122" w:rsidRPr="009E686F" w:rsidRDefault="00AB6122" w:rsidP="00ED2C1C">
            <w:pPr>
              <w:spacing w:after="0"/>
              <w:jc w:val="both"/>
              <w:rPr>
                <w:rFonts w:ascii="Times New Roman" w:hAnsi="Times New Roman" w:cs="Times New Roman"/>
                <w:lang w:val="it-CH"/>
              </w:rPr>
            </w:pPr>
            <w:r w:rsidRPr="009E686F">
              <w:rPr>
                <w:rFonts w:ascii="Times New Roman" w:hAnsi="Times New Roman" w:cs="Times New Roman"/>
                <w:lang w:val="it-CH"/>
              </w:rPr>
              <w:lastRenderedPageBreak/>
              <w:t>(a) societățile financiare holding și societățile financiare holding mixte care au fost aprobate în conformitate cu articolul 21a din prezenta directivă;</w:t>
            </w:r>
          </w:p>
        </w:tc>
        <w:tc>
          <w:tcPr>
            <w:tcW w:w="1834" w:type="pct"/>
            <w:tcBorders>
              <w:top w:val="single" w:sz="4" w:space="0" w:color="auto"/>
              <w:left w:val="single" w:sz="4" w:space="0" w:color="auto"/>
              <w:bottom w:val="single" w:sz="4" w:space="0" w:color="auto"/>
              <w:right w:val="single" w:sz="4" w:space="0" w:color="auto"/>
            </w:tcBorders>
          </w:tcPr>
          <w:p w14:paraId="1FACD801" w14:textId="0B0C5AC1" w:rsidR="00AB6122" w:rsidRPr="009E686F" w:rsidRDefault="00AB6122" w:rsidP="00ED2C1C">
            <w:pPr>
              <w:spacing w:after="0"/>
              <w:jc w:val="both"/>
              <w:rPr>
                <w:rFonts w:ascii="Times New Roman" w:hAnsi="Times New Roman" w:cs="Times New Roman"/>
                <w:bCs/>
                <w:i/>
                <w:iCs/>
              </w:rPr>
            </w:pPr>
            <w:r w:rsidRPr="009E686F">
              <w:rPr>
                <w:rFonts w:ascii="Times New Roman" w:hAnsi="Times New Roman" w:cs="Times New Roman"/>
                <w:bCs/>
                <w:i/>
                <w:iCs/>
              </w:rPr>
              <w:t>a) societăţile financiare holding și societăţile financiare holding mixte care au fost aprobate în conformitate cu art. 116</w:t>
            </w:r>
            <w:r w:rsidR="001635D0" w:rsidRPr="009E686F">
              <w:rPr>
                <w:rFonts w:ascii="Times New Roman" w:hAnsi="Times New Roman" w:cs="Times New Roman"/>
                <w:bCs/>
                <w:i/>
                <w:iCs/>
                <w:vertAlign w:val="superscript"/>
              </w:rPr>
              <w:t>1</w:t>
            </w:r>
            <w:r w:rsidRPr="009E686F">
              <w:rPr>
                <w:rFonts w:ascii="Times New Roman" w:hAnsi="Times New Roman" w:cs="Times New Roman"/>
                <w:bCs/>
                <w:i/>
                <w:iCs/>
              </w:rPr>
              <w:t>;</w:t>
            </w:r>
          </w:p>
        </w:tc>
        <w:tc>
          <w:tcPr>
            <w:tcW w:w="470" w:type="pct"/>
            <w:tcBorders>
              <w:top w:val="single" w:sz="4" w:space="0" w:color="auto"/>
              <w:left w:val="single" w:sz="4" w:space="0" w:color="auto"/>
              <w:bottom w:val="single" w:sz="4" w:space="0" w:color="auto"/>
              <w:right w:val="single" w:sz="4" w:space="0" w:color="auto"/>
            </w:tcBorders>
          </w:tcPr>
          <w:p w14:paraId="44E76F83" w14:textId="4629BE35" w:rsidR="00AB6122" w:rsidRPr="009E686F" w:rsidRDefault="00AB6122" w:rsidP="00AB6122">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60784E19" w14:textId="77777777" w:rsidR="00305118" w:rsidRPr="009E686F" w:rsidRDefault="00305118" w:rsidP="00305118">
            <w:pPr>
              <w:tabs>
                <w:tab w:val="left" w:pos="884"/>
                <w:tab w:val="left" w:pos="1196"/>
              </w:tabs>
              <w:spacing w:after="0" w:line="240" w:lineRule="auto"/>
              <w:jc w:val="both"/>
              <w:rPr>
                <w:rFonts w:ascii="Times New Roman" w:hAnsi="Times New Roman"/>
                <w:lang w:val="it-CH"/>
              </w:rPr>
            </w:pPr>
            <w:r w:rsidRPr="009E686F">
              <w:rPr>
                <w:rFonts w:ascii="Times New Roman" w:hAnsi="Times New Roman"/>
                <w:lang w:val="it-CH"/>
              </w:rPr>
              <w:t>În vigoare de la data aderării.</w:t>
            </w:r>
          </w:p>
          <w:p w14:paraId="7DADC390" w14:textId="77777777" w:rsidR="00AB6122" w:rsidRPr="009E686F" w:rsidRDefault="00AB6122" w:rsidP="00515783">
            <w:pPr>
              <w:spacing w:after="0"/>
              <w:jc w:val="both"/>
              <w:rPr>
                <w:rFonts w:ascii="Times New Roman" w:hAnsi="Times New Roman" w:cs="Times New Roman"/>
                <w:lang w:val="it-CH"/>
              </w:rPr>
            </w:pPr>
          </w:p>
        </w:tc>
      </w:tr>
      <w:tr w:rsidR="00B30AFC" w:rsidRPr="009E686F" w14:paraId="662F2F83" w14:textId="77777777" w:rsidTr="00960C23">
        <w:tc>
          <w:tcPr>
            <w:tcW w:w="1890" w:type="pct"/>
            <w:tcBorders>
              <w:top w:val="single" w:sz="4" w:space="0" w:color="auto"/>
              <w:left w:val="single" w:sz="4" w:space="0" w:color="auto"/>
              <w:bottom w:val="single" w:sz="4" w:space="0" w:color="auto"/>
              <w:right w:val="single" w:sz="4" w:space="0" w:color="auto"/>
            </w:tcBorders>
          </w:tcPr>
          <w:p w14:paraId="53F76DF1" w14:textId="0B03FE15" w:rsidR="00AB6122" w:rsidRPr="009E686F" w:rsidRDefault="00AB6122" w:rsidP="00ED2C1C">
            <w:pPr>
              <w:spacing w:after="0"/>
              <w:jc w:val="both"/>
              <w:rPr>
                <w:rFonts w:ascii="Times New Roman" w:hAnsi="Times New Roman" w:cs="Times New Roman"/>
                <w:lang w:val="it-CH"/>
              </w:rPr>
            </w:pPr>
            <w:r w:rsidRPr="009E686F">
              <w:rPr>
                <w:rFonts w:ascii="Times New Roman" w:hAnsi="Times New Roman" w:cs="Times New Roman"/>
                <w:lang w:val="it-CH"/>
              </w:rPr>
              <w:t>(b) instituțiile desemnate controlate de o societate financiară holding-mamă din UE, de o societate financiară holding mixtă-mamă din UE, de o societate financiară holding-mamă dintr-un stat membru sau de o societate financiară holding mixtă-mamă dintr-un stat membru în cazul cărora întreprinderea-mamă relevantă nu face obiectul aprobării în conformitate cu articolul 21a alineatul (4) din prezenta directivă și;</w:t>
            </w:r>
          </w:p>
        </w:tc>
        <w:tc>
          <w:tcPr>
            <w:tcW w:w="1834" w:type="pct"/>
            <w:tcBorders>
              <w:top w:val="single" w:sz="4" w:space="0" w:color="auto"/>
              <w:left w:val="single" w:sz="4" w:space="0" w:color="auto"/>
              <w:bottom w:val="single" w:sz="4" w:space="0" w:color="auto"/>
              <w:right w:val="single" w:sz="4" w:space="0" w:color="auto"/>
            </w:tcBorders>
          </w:tcPr>
          <w:p w14:paraId="2CABF9BC" w14:textId="1751876B" w:rsidR="00AB6122" w:rsidRPr="009E686F" w:rsidRDefault="00AB6122" w:rsidP="00ED2C1C">
            <w:pPr>
              <w:spacing w:after="0"/>
              <w:jc w:val="both"/>
              <w:rPr>
                <w:rFonts w:ascii="Times New Roman" w:hAnsi="Times New Roman" w:cs="Times New Roman"/>
                <w:bCs/>
                <w:i/>
                <w:iCs/>
                <w:lang w:val="it-CH"/>
              </w:rPr>
            </w:pPr>
            <w:r w:rsidRPr="009E686F">
              <w:rPr>
                <w:rFonts w:ascii="Times New Roman" w:hAnsi="Times New Roman" w:cs="Times New Roman"/>
                <w:bCs/>
                <w:i/>
                <w:iCs/>
                <w:lang w:val="it-CH"/>
              </w:rPr>
              <w:t>b) instituţiile desemnate controlate de o societate financiară holding-mamă din UE, de o societate financiară holding mixtă-mamă din UE, de o societate financiară holding-mamă dintr-un stat membru sau de o societate financiară holding mixtă-mamă dintr-un stat membru în cazul cărora întreprinderea-mamă relevantă nu face obiectul aprobării în conformitate cu art. 116</w:t>
            </w:r>
            <w:r w:rsidR="001635D0" w:rsidRPr="009E686F">
              <w:rPr>
                <w:rFonts w:ascii="Times New Roman" w:hAnsi="Times New Roman" w:cs="Times New Roman"/>
                <w:bCs/>
                <w:i/>
                <w:iCs/>
                <w:vertAlign w:val="superscript"/>
                <w:lang w:val="it-CH"/>
              </w:rPr>
              <w:t>2</w:t>
            </w:r>
            <w:r w:rsidRPr="009E686F">
              <w:rPr>
                <w:rFonts w:ascii="Times New Roman" w:hAnsi="Times New Roman" w:cs="Times New Roman"/>
                <w:bCs/>
                <w:i/>
                <w:iCs/>
                <w:lang w:val="it-CH"/>
              </w:rPr>
              <w:t>;</w:t>
            </w:r>
          </w:p>
        </w:tc>
        <w:tc>
          <w:tcPr>
            <w:tcW w:w="470" w:type="pct"/>
            <w:tcBorders>
              <w:top w:val="single" w:sz="4" w:space="0" w:color="auto"/>
              <w:left w:val="single" w:sz="4" w:space="0" w:color="auto"/>
              <w:bottom w:val="single" w:sz="4" w:space="0" w:color="auto"/>
              <w:right w:val="single" w:sz="4" w:space="0" w:color="auto"/>
            </w:tcBorders>
          </w:tcPr>
          <w:p w14:paraId="5C9865C8" w14:textId="7386BADD" w:rsidR="00AB6122" w:rsidRPr="009E686F" w:rsidRDefault="00AB6122" w:rsidP="00AB6122">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39306760" w14:textId="77777777" w:rsidR="00305118" w:rsidRPr="009E686F" w:rsidRDefault="00305118" w:rsidP="00305118">
            <w:pPr>
              <w:tabs>
                <w:tab w:val="left" w:pos="884"/>
                <w:tab w:val="left" w:pos="1196"/>
              </w:tabs>
              <w:spacing w:after="0" w:line="240" w:lineRule="auto"/>
              <w:jc w:val="both"/>
              <w:rPr>
                <w:rFonts w:ascii="Times New Roman" w:hAnsi="Times New Roman"/>
                <w:lang w:val="it-CH"/>
              </w:rPr>
            </w:pPr>
            <w:r w:rsidRPr="009E686F">
              <w:rPr>
                <w:rFonts w:ascii="Times New Roman" w:hAnsi="Times New Roman"/>
                <w:lang w:val="it-CH"/>
              </w:rPr>
              <w:t>În vigoare de la data aderării.</w:t>
            </w:r>
          </w:p>
          <w:p w14:paraId="5D85843E" w14:textId="77777777" w:rsidR="00AB6122" w:rsidRPr="009E686F" w:rsidRDefault="00AB6122" w:rsidP="00515783">
            <w:pPr>
              <w:spacing w:after="0"/>
              <w:jc w:val="both"/>
              <w:rPr>
                <w:rFonts w:ascii="Times New Roman" w:hAnsi="Times New Roman" w:cs="Times New Roman"/>
                <w:b/>
                <w:bCs/>
                <w:lang w:val="it-CH"/>
              </w:rPr>
            </w:pPr>
          </w:p>
        </w:tc>
      </w:tr>
      <w:tr w:rsidR="00B30AFC" w:rsidRPr="009E686F" w14:paraId="7509E979" w14:textId="77777777" w:rsidTr="00960C23">
        <w:tc>
          <w:tcPr>
            <w:tcW w:w="1890" w:type="pct"/>
            <w:tcBorders>
              <w:top w:val="single" w:sz="4" w:space="0" w:color="auto"/>
              <w:left w:val="single" w:sz="4" w:space="0" w:color="auto"/>
              <w:bottom w:val="single" w:sz="4" w:space="0" w:color="auto"/>
              <w:right w:val="single" w:sz="4" w:space="0" w:color="auto"/>
            </w:tcBorders>
          </w:tcPr>
          <w:p w14:paraId="6F2C271B" w14:textId="4B126378" w:rsidR="00AB6122" w:rsidRPr="009E686F" w:rsidRDefault="00AB6122" w:rsidP="00ED2C1C">
            <w:pPr>
              <w:spacing w:after="0"/>
              <w:jc w:val="both"/>
              <w:rPr>
                <w:rFonts w:ascii="Times New Roman" w:hAnsi="Times New Roman" w:cs="Times New Roman"/>
                <w:lang w:val="it-CH"/>
              </w:rPr>
            </w:pPr>
            <w:r w:rsidRPr="009E686F">
              <w:rPr>
                <w:rFonts w:ascii="Times New Roman" w:hAnsi="Times New Roman" w:cs="Times New Roman"/>
                <w:lang w:val="it-CH"/>
              </w:rPr>
              <w:t>(c) societățile financiare holding, societățile financiare holding mixte sau instituțiile desemnate în temeiul articolului 21a alineatul (6) litera (d) din prezenta directivă.</w:t>
            </w:r>
          </w:p>
        </w:tc>
        <w:tc>
          <w:tcPr>
            <w:tcW w:w="1834" w:type="pct"/>
            <w:tcBorders>
              <w:top w:val="single" w:sz="4" w:space="0" w:color="auto"/>
              <w:left w:val="single" w:sz="4" w:space="0" w:color="auto"/>
              <w:bottom w:val="single" w:sz="4" w:space="0" w:color="auto"/>
              <w:right w:val="single" w:sz="4" w:space="0" w:color="auto"/>
            </w:tcBorders>
          </w:tcPr>
          <w:p w14:paraId="71D892B7" w14:textId="743F8F0C" w:rsidR="00AB6122" w:rsidRPr="009E686F" w:rsidRDefault="00AB6122" w:rsidP="00ED2C1C">
            <w:pPr>
              <w:spacing w:after="0"/>
              <w:jc w:val="both"/>
              <w:rPr>
                <w:rFonts w:ascii="Times New Roman" w:hAnsi="Times New Roman" w:cs="Times New Roman"/>
                <w:bCs/>
                <w:i/>
                <w:iCs/>
              </w:rPr>
            </w:pPr>
            <w:r w:rsidRPr="009E686F">
              <w:rPr>
                <w:rFonts w:ascii="Times New Roman" w:hAnsi="Times New Roman" w:cs="Times New Roman"/>
                <w:bCs/>
                <w:i/>
                <w:iCs/>
              </w:rPr>
              <w:t>c) societăţile financiare holding, societăţile financiare holding mixte sau instituţiile desemnate în temeiul art. 116</w:t>
            </w:r>
            <w:r w:rsidR="001635D0" w:rsidRPr="009E686F">
              <w:rPr>
                <w:rFonts w:ascii="Times New Roman" w:hAnsi="Times New Roman" w:cs="Times New Roman"/>
                <w:bCs/>
                <w:i/>
                <w:iCs/>
                <w:vertAlign w:val="superscript"/>
              </w:rPr>
              <w:t>5</w:t>
            </w:r>
            <w:r w:rsidRPr="009E686F">
              <w:rPr>
                <w:rFonts w:ascii="Times New Roman" w:hAnsi="Times New Roman" w:cs="Times New Roman"/>
                <w:bCs/>
                <w:i/>
                <w:iCs/>
              </w:rPr>
              <w:t xml:space="preserve"> alin. (1) lit. d).</w:t>
            </w:r>
          </w:p>
        </w:tc>
        <w:tc>
          <w:tcPr>
            <w:tcW w:w="470" w:type="pct"/>
            <w:tcBorders>
              <w:top w:val="single" w:sz="4" w:space="0" w:color="auto"/>
              <w:left w:val="single" w:sz="4" w:space="0" w:color="auto"/>
              <w:bottom w:val="single" w:sz="4" w:space="0" w:color="auto"/>
              <w:right w:val="single" w:sz="4" w:space="0" w:color="auto"/>
            </w:tcBorders>
          </w:tcPr>
          <w:p w14:paraId="1C817111" w14:textId="7D38FBFF" w:rsidR="00AB6122" w:rsidRPr="009E686F" w:rsidRDefault="00AB6122" w:rsidP="00AB6122">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06EB6860" w14:textId="77777777" w:rsidR="00305118" w:rsidRPr="009E686F" w:rsidRDefault="00305118" w:rsidP="00305118">
            <w:pPr>
              <w:tabs>
                <w:tab w:val="left" w:pos="884"/>
                <w:tab w:val="left" w:pos="1196"/>
              </w:tabs>
              <w:spacing w:after="0" w:line="240" w:lineRule="auto"/>
              <w:jc w:val="both"/>
              <w:rPr>
                <w:rFonts w:ascii="Times New Roman" w:hAnsi="Times New Roman"/>
                <w:lang w:val="it-CH"/>
              </w:rPr>
            </w:pPr>
            <w:r w:rsidRPr="009E686F">
              <w:rPr>
                <w:rFonts w:ascii="Times New Roman" w:hAnsi="Times New Roman"/>
                <w:lang w:val="it-CH"/>
              </w:rPr>
              <w:t>În vigoare de la data aderării.</w:t>
            </w:r>
          </w:p>
          <w:p w14:paraId="2CDB52F2" w14:textId="77777777" w:rsidR="00AB6122" w:rsidRPr="009E686F" w:rsidRDefault="00AB6122" w:rsidP="00515783">
            <w:pPr>
              <w:spacing w:after="0"/>
              <w:jc w:val="both"/>
              <w:rPr>
                <w:rFonts w:ascii="Times New Roman" w:hAnsi="Times New Roman" w:cs="Times New Roman"/>
                <w:lang w:val="it-CH"/>
              </w:rPr>
            </w:pPr>
          </w:p>
        </w:tc>
      </w:tr>
      <w:tr w:rsidR="00B30AFC" w:rsidRPr="009E686F" w14:paraId="3C89CF92" w14:textId="77777777" w:rsidTr="00960C23">
        <w:tc>
          <w:tcPr>
            <w:tcW w:w="1890" w:type="pct"/>
            <w:tcBorders>
              <w:top w:val="single" w:sz="4" w:space="0" w:color="auto"/>
              <w:left w:val="single" w:sz="4" w:space="0" w:color="auto"/>
              <w:bottom w:val="single" w:sz="4" w:space="0" w:color="auto"/>
              <w:right w:val="single" w:sz="4" w:space="0" w:color="auto"/>
            </w:tcBorders>
          </w:tcPr>
          <w:p w14:paraId="4EC97449" w14:textId="77777777" w:rsidR="00AB6122" w:rsidRPr="009E686F" w:rsidRDefault="00AB6122" w:rsidP="00ED2C1C">
            <w:pPr>
              <w:spacing w:after="0"/>
              <w:jc w:val="both"/>
              <w:rPr>
                <w:rFonts w:ascii="Times New Roman" w:hAnsi="Times New Roman" w:cs="Times New Roman"/>
              </w:rPr>
            </w:pPr>
            <w:r w:rsidRPr="009E686F">
              <w:rPr>
                <w:rFonts w:ascii="Times New Roman" w:hAnsi="Times New Roman" w:cs="Times New Roman"/>
              </w:rPr>
              <w:t>TITLUL II</w:t>
            </w:r>
          </w:p>
          <w:p w14:paraId="57441CC9" w14:textId="217EE5F8" w:rsidR="00AB6122" w:rsidRPr="009E686F" w:rsidRDefault="00AB6122" w:rsidP="00ED2C1C">
            <w:pPr>
              <w:spacing w:after="0"/>
              <w:jc w:val="both"/>
              <w:rPr>
                <w:rFonts w:ascii="Times New Roman" w:hAnsi="Times New Roman" w:cs="Times New Roman"/>
                <w:b/>
                <w:bCs/>
              </w:rPr>
            </w:pPr>
            <w:r w:rsidRPr="009E686F">
              <w:rPr>
                <w:rFonts w:ascii="Times New Roman" w:hAnsi="Times New Roman" w:cs="Times New Roman"/>
                <w:b/>
                <w:bCs/>
              </w:rPr>
              <w:t>AUTORITĂȚI COMPETENTE</w:t>
            </w:r>
          </w:p>
        </w:tc>
        <w:tc>
          <w:tcPr>
            <w:tcW w:w="1834" w:type="pct"/>
            <w:tcBorders>
              <w:top w:val="single" w:sz="4" w:space="0" w:color="auto"/>
              <w:left w:val="single" w:sz="4" w:space="0" w:color="auto"/>
              <w:bottom w:val="single" w:sz="4" w:space="0" w:color="auto"/>
              <w:right w:val="single" w:sz="4" w:space="0" w:color="auto"/>
            </w:tcBorders>
          </w:tcPr>
          <w:p w14:paraId="710CBBDD" w14:textId="77777777" w:rsidR="00AB6122" w:rsidRPr="009E686F" w:rsidRDefault="00AB6122" w:rsidP="00ED2C1C">
            <w:pPr>
              <w:spacing w:after="0"/>
              <w:jc w:val="both"/>
              <w:rPr>
                <w:rFonts w:ascii="Times New Roman" w:hAnsi="Times New Roman" w:cs="Times New Roman"/>
                <w:b/>
              </w:rPr>
            </w:pPr>
            <w:r w:rsidRPr="009E686F">
              <w:rPr>
                <w:rFonts w:ascii="Times New Roman" w:hAnsi="Times New Roman" w:cs="Times New Roman"/>
                <w:b/>
              </w:rPr>
              <w:t>Capitolul 2</w:t>
            </w:r>
          </w:p>
          <w:p w14:paraId="0FF5CD1A" w14:textId="109004B9" w:rsidR="00AB6122" w:rsidRPr="009E686F" w:rsidRDefault="00AB6122" w:rsidP="00ED2C1C">
            <w:pPr>
              <w:spacing w:after="0"/>
              <w:jc w:val="both"/>
              <w:rPr>
                <w:rFonts w:ascii="Times New Roman" w:hAnsi="Times New Roman" w:cs="Times New Roman"/>
                <w:b/>
              </w:rPr>
            </w:pPr>
            <w:r w:rsidRPr="009E686F">
              <w:rPr>
                <w:rFonts w:ascii="Times New Roman" w:hAnsi="Times New Roman" w:cs="Times New Roman"/>
                <w:b/>
              </w:rPr>
              <w:t>ATRIBUŢIILE AUTORITĂŢII COMPETENTE</w:t>
            </w:r>
          </w:p>
        </w:tc>
        <w:tc>
          <w:tcPr>
            <w:tcW w:w="470" w:type="pct"/>
            <w:tcBorders>
              <w:top w:val="single" w:sz="4" w:space="0" w:color="auto"/>
              <w:left w:val="single" w:sz="4" w:space="0" w:color="auto"/>
              <w:bottom w:val="single" w:sz="4" w:space="0" w:color="auto"/>
              <w:right w:val="single" w:sz="4" w:space="0" w:color="auto"/>
            </w:tcBorders>
          </w:tcPr>
          <w:p w14:paraId="63CA06AE" w14:textId="77777777" w:rsidR="00AB6122" w:rsidRPr="009E686F" w:rsidRDefault="00AB6122" w:rsidP="00AB6122">
            <w:pPr>
              <w:jc w:val="both"/>
              <w:rPr>
                <w:rFonts w:ascii="Times New Roman" w:hAnsi="Times New Roman" w:cs="Times New Roman"/>
              </w:rPr>
            </w:pPr>
          </w:p>
        </w:tc>
        <w:tc>
          <w:tcPr>
            <w:tcW w:w="806" w:type="pct"/>
            <w:tcBorders>
              <w:top w:val="single" w:sz="4" w:space="0" w:color="auto"/>
              <w:left w:val="single" w:sz="4" w:space="0" w:color="auto"/>
              <w:bottom w:val="single" w:sz="4" w:space="0" w:color="auto"/>
              <w:right w:val="single" w:sz="4" w:space="0" w:color="auto"/>
            </w:tcBorders>
          </w:tcPr>
          <w:p w14:paraId="586F2FCE" w14:textId="77777777" w:rsidR="00AB6122" w:rsidRPr="009E686F" w:rsidRDefault="00AB6122" w:rsidP="00515783">
            <w:pPr>
              <w:spacing w:after="0"/>
              <w:jc w:val="both"/>
              <w:rPr>
                <w:rFonts w:ascii="Times New Roman" w:hAnsi="Times New Roman" w:cs="Times New Roman"/>
              </w:rPr>
            </w:pPr>
          </w:p>
        </w:tc>
      </w:tr>
      <w:tr w:rsidR="00B30AFC" w:rsidRPr="009E686F" w14:paraId="63BE92FC" w14:textId="0C19E348" w:rsidTr="00960C23">
        <w:tc>
          <w:tcPr>
            <w:tcW w:w="1890" w:type="pct"/>
            <w:tcBorders>
              <w:top w:val="single" w:sz="4" w:space="0" w:color="auto"/>
              <w:left w:val="single" w:sz="4" w:space="0" w:color="auto"/>
              <w:bottom w:val="single" w:sz="4" w:space="0" w:color="auto"/>
              <w:right w:val="single" w:sz="4" w:space="0" w:color="auto"/>
            </w:tcBorders>
          </w:tcPr>
          <w:p w14:paraId="4ED6A40F" w14:textId="77777777" w:rsidR="00AB6122" w:rsidRPr="009E686F" w:rsidRDefault="00AB6122" w:rsidP="00ED2C1C">
            <w:pPr>
              <w:spacing w:after="0"/>
              <w:jc w:val="both"/>
              <w:rPr>
                <w:rFonts w:ascii="Times New Roman" w:hAnsi="Times New Roman" w:cs="Times New Roman"/>
                <w:i/>
                <w:iCs/>
                <w:lang w:val="it-CH"/>
              </w:rPr>
            </w:pPr>
            <w:r w:rsidRPr="009E686F">
              <w:rPr>
                <w:rFonts w:ascii="Times New Roman" w:hAnsi="Times New Roman" w:cs="Times New Roman"/>
                <w:i/>
                <w:iCs/>
                <w:lang w:val="it-CH"/>
              </w:rPr>
              <w:t xml:space="preserve">Articolul 4 </w:t>
            </w:r>
          </w:p>
          <w:p w14:paraId="42BCE08B" w14:textId="7C547342" w:rsidR="00AB6122" w:rsidRPr="009E686F" w:rsidRDefault="00AB6122" w:rsidP="00ED2C1C">
            <w:pPr>
              <w:spacing w:after="0"/>
              <w:jc w:val="both"/>
              <w:rPr>
                <w:rFonts w:ascii="Times New Roman" w:hAnsi="Times New Roman" w:cs="Times New Roman"/>
                <w:b/>
                <w:bCs/>
                <w:lang w:val="it-CH"/>
              </w:rPr>
            </w:pPr>
            <w:r w:rsidRPr="009E686F">
              <w:rPr>
                <w:rFonts w:ascii="Times New Roman" w:hAnsi="Times New Roman" w:cs="Times New Roman"/>
                <w:lang w:val="it-CH"/>
              </w:rPr>
              <w:t>Desemnarea și atribuțiile autorităților competente</w:t>
            </w:r>
          </w:p>
        </w:tc>
        <w:tc>
          <w:tcPr>
            <w:tcW w:w="1834" w:type="pct"/>
            <w:tcBorders>
              <w:top w:val="single" w:sz="4" w:space="0" w:color="auto"/>
              <w:left w:val="single" w:sz="4" w:space="0" w:color="auto"/>
              <w:bottom w:val="single" w:sz="4" w:space="0" w:color="auto"/>
              <w:right w:val="single" w:sz="4" w:space="0" w:color="auto"/>
            </w:tcBorders>
          </w:tcPr>
          <w:p w14:paraId="6F9636BD" w14:textId="5121C5C2" w:rsidR="00AB6122" w:rsidRPr="009E686F" w:rsidRDefault="00AB6122" w:rsidP="00ED2C1C">
            <w:pPr>
              <w:spacing w:after="0"/>
              <w:jc w:val="both"/>
              <w:rPr>
                <w:rFonts w:ascii="Times New Roman" w:hAnsi="Times New Roman" w:cs="Times New Roman"/>
                <w:lang w:val="it-CH"/>
              </w:rPr>
            </w:pPr>
            <w:r w:rsidRPr="009E686F">
              <w:rPr>
                <w:rFonts w:ascii="Times New Roman" w:hAnsi="Times New Roman" w:cs="Times New Roman"/>
                <w:b/>
                <w:lang w:val="it-CH"/>
              </w:rPr>
              <w:t>Articolul 4.</w:t>
            </w:r>
            <w:r w:rsidRPr="009E686F">
              <w:rPr>
                <w:rFonts w:ascii="Times New Roman" w:hAnsi="Times New Roman" w:cs="Times New Roman"/>
                <w:lang w:val="it-CH"/>
              </w:rPr>
              <w:t xml:space="preserve"> Autoritatea competentă pentru </w:t>
            </w:r>
            <w:r w:rsidR="00A51A7D" w:rsidRPr="009E686F">
              <w:rPr>
                <w:rFonts w:ascii="Times New Roman" w:hAnsi="Times New Roman" w:cs="Times New Roman"/>
                <w:i/>
                <w:iCs/>
                <w:lang w:val="it-CH"/>
              </w:rPr>
              <w:t>instituțiile de credit</w:t>
            </w:r>
            <w:r w:rsidRPr="009E686F">
              <w:rPr>
                <w:rFonts w:ascii="Times New Roman" w:hAnsi="Times New Roman" w:cs="Times New Roman"/>
                <w:lang w:val="it-CH"/>
              </w:rPr>
              <w:t xml:space="preserve"> în Republica Moldova </w:t>
            </w:r>
          </w:p>
        </w:tc>
        <w:tc>
          <w:tcPr>
            <w:tcW w:w="470" w:type="pct"/>
            <w:tcBorders>
              <w:top w:val="single" w:sz="4" w:space="0" w:color="auto"/>
              <w:left w:val="single" w:sz="4" w:space="0" w:color="auto"/>
              <w:bottom w:val="single" w:sz="4" w:space="0" w:color="auto"/>
              <w:right w:val="single" w:sz="4" w:space="0" w:color="auto"/>
            </w:tcBorders>
          </w:tcPr>
          <w:p w14:paraId="14461946" w14:textId="4BEE9BA6" w:rsidR="00AB6122" w:rsidRPr="009E686F" w:rsidRDefault="00AB6122" w:rsidP="00AB6122">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70BED357" w14:textId="5BEFA97D" w:rsidR="00AB6122" w:rsidRPr="009E686F" w:rsidRDefault="00AB6122" w:rsidP="00515783">
            <w:pPr>
              <w:spacing w:after="0"/>
              <w:jc w:val="both"/>
              <w:rPr>
                <w:rFonts w:ascii="Times New Roman" w:hAnsi="Times New Roman" w:cs="Times New Roman"/>
              </w:rPr>
            </w:pPr>
          </w:p>
        </w:tc>
      </w:tr>
      <w:tr w:rsidR="00B30AFC" w:rsidRPr="009E686F" w14:paraId="05124BA8" w14:textId="673FF261" w:rsidTr="00960C23">
        <w:tc>
          <w:tcPr>
            <w:tcW w:w="1890" w:type="pct"/>
            <w:tcBorders>
              <w:top w:val="single" w:sz="4" w:space="0" w:color="auto"/>
              <w:left w:val="single" w:sz="4" w:space="0" w:color="auto"/>
              <w:bottom w:val="single" w:sz="4" w:space="0" w:color="auto"/>
              <w:right w:val="single" w:sz="4" w:space="0" w:color="auto"/>
            </w:tcBorders>
          </w:tcPr>
          <w:p w14:paraId="731171C9" w14:textId="455FC45B" w:rsidR="00AB6122" w:rsidRPr="009E686F" w:rsidRDefault="00AB6122" w:rsidP="00ED2C1C">
            <w:pPr>
              <w:spacing w:after="0"/>
              <w:jc w:val="both"/>
              <w:rPr>
                <w:rFonts w:ascii="Times New Roman" w:hAnsi="Times New Roman" w:cs="Times New Roman"/>
                <w:lang w:val="it-CH"/>
              </w:rPr>
            </w:pPr>
            <w:r w:rsidRPr="009E686F">
              <w:rPr>
                <w:rFonts w:ascii="Times New Roman" w:hAnsi="Times New Roman" w:cs="Times New Roman"/>
              </w:rPr>
              <w:t>(1)</w:t>
            </w:r>
            <w:r w:rsidR="001635D0" w:rsidRPr="009E686F">
              <w:rPr>
                <w:rFonts w:ascii="Times New Roman" w:hAnsi="Times New Roman" w:cs="Times New Roman"/>
              </w:rPr>
              <w:t xml:space="preserve"> </w:t>
            </w:r>
            <w:r w:rsidRPr="009E686F">
              <w:rPr>
                <w:rFonts w:ascii="Times New Roman" w:hAnsi="Times New Roman" w:cs="Times New Roman"/>
              </w:rPr>
              <w:t xml:space="preserve">Statele membre desemnează autorități competente care îndeplinesc funcțiile și atribuțiile prevăzute în prezenta directivă și în Regulamentul (UE) nr. 575/2013. </w:t>
            </w:r>
            <w:r w:rsidRPr="009E686F">
              <w:rPr>
                <w:rFonts w:ascii="Times New Roman" w:hAnsi="Times New Roman" w:cs="Times New Roman"/>
                <w:lang w:val="it-CH"/>
              </w:rPr>
              <w:t>Statele membre informează Comisia și ABE în acest sens, indicând orice separare a funcțiilor și atribuțiilor.</w:t>
            </w:r>
          </w:p>
        </w:tc>
        <w:tc>
          <w:tcPr>
            <w:tcW w:w="1834" w:type="pct"/>
            <w:tcBorders>
              <w:top w:val="single" w:sz="4" w:space="0" w:color="auto"/>
              <w:left w:val="single" w:sz="4" w:space="0" w:color="auto"/>
              <w:bottom w:val="single" w:sz="4" w:space="0" w:color="auto"/>
              <w:right w:val="single" w:sz="4" w:space="0" w:color="auto"/>
            </w:tcBorders>
          </w:tcPr>
          <w:p w14:paraId="37EC4459" w14:textId="5142CB07" w:rsidR="00AB6122" w:rsidRPr="009E686F" w:rsidRDefault="00AB6122" w:rsidP="00ED2C1C">
            <w:pPr>
              <w:spacing w:after="0"/>
              <w:jc w:val="both"/>
              <w:rPr>
                <w:rFonts w:ascii="Times New Roman" w:hAnsi="Times New Roman" w:cs="Times New Roman"/>
                <w:lang w:val="it-CH"/>
              </w:rPr>
            </w:pPr>
            <w:r w:rsidRPr="009E686F">
              <w:rPr>
                <w:rFonts w:ascii="Times New Roman" w:hAnsi="Times New Roman" w:cs="Times New Roman"/>
                <w:lang w:val="it-CH"/>
              </w:rPr>
              <w:t xml:space="preserve">(1) Banca Națională a Moldovei este autoritatea competentă pentru </w:t>
            </w:r>
            <w:r w:rsidR="00A51A7D" w:rsidRPr="009E686F">
              <w:rPr>
                <w:rFonts w:ascii="Times New Roman" w:hAnsi="Times New Roman" w:cs="Times New Roman"/>
                <w:i/>
                <w:iCs/>
                <w:lang w:val="it-CH"/>
              </w:rPr>
              <w:t>instituțiile de credit</w:t>
            </w:r>
            <w:r w:rsidRPr="009E686F">
              <w:rPr>
                <w:rFonts w:ascii="Times New Roman" w:hAnsi="Times New Roman" w:cs="Times New Roman"/>
                <w:lang w:val="it-CH"/>
              </w:rPr>
              <w:t xml:space="preserve"> </w:t>
            </w:r>
            <w:r w:rsidRPr="009E686F">
              <w:rPr>
                <w:rFonts w:ascii="Times New Roman" w:hAnsi="Times New Roman" w:cs="Times New Roman"/>
                <w:i/>
                <w:iCs/>
                <w:lang w:val="it-CH"/>
              </w:rPr>
              <w:t>prevăzute la art.</w:t>
            </w:r>
            <w:r w:rsidR="00E6285C" w:rsidRPr="009E686F">
              <w:rPr>
                <w:rFonts w:ascii="Times New Roman" w:hAnsi="Times New Roman" w:cs="Times New Roman"/>
                <w:i/>
                <w:iCs/>
                <w:lang w:val="it-CH"/>
              </w:rPr>
              <w:t xml:space="preserve"> </w:t>
            </w:r>
            <w:r w:rsidRPr="009E686F">
              <w:rPr>
                <w:rFonts w:ascii="Times New Roman" w:hAnsi="Times New Roman" w:cs="Times New Roman"/>
                <w:i/>
                <w:iCs/>
                <w:lang w:val="it-CH"/>
              </w:rPr>
              <w:t xml:space="preserve">3 </w:t>
            </w:r>
            <w:r w:rsidR="00E6285C" w:rsidRPr="009E686F">
              <w:rPr>
                <w:rFonts w:ascii="Times New Roman" w:hAnsi="Times New Roman" w:cs="Times New Roman"/>
                <w:i/>
                <w:iCs/>
                <w:lang w:val="it-CH"/>
              </w:rPr>
              <w:t xml:space="preserve">noțiunea de instituție de credit </w:t>
            </w:r>
            <w:r w:rsidRPr="009E686F">
              <w:rPr>
                <w:rFonts w:ascii="Times New Roman" w:hAnsi="Times New Roman" w:cs="Times New Roman"/>
                <w:i/>
                <w:iCs/>
                <w:lang w:val="it-CH"/>
              </w:rPr>
              <w:t>lit. a).</w:t>
            </w:r>
            <w:r w:rsidRPr="009E686F">
              <w:rPr>
                <w:rFonts w:ascii="Times New Roman" w:hAnsi="Times New Roman" w:cs="Times New Roman"/>
                <w:lang w:val="it-CH"/>
              </w:rPr>
              <w:t xml:space="preserve"> În acest sens, Banca Națională a Moldovei exercită atribuțiile de licențiere, reglementare și supraveghere prudenţială, potrivit prevederilor prezentei legi și Legii nr.548-XIII din 21 iulie 1995 cu privire la Banca Națională a Moldovei.  </w:t>
            </w:r>
          </w:p>
          <w:p w14:paraId="61D669D1" w14:textId="4380CDAA" w:rsidR="00143DBE" w:rsidRPr="009E686F" w:rsidRDefault="00143DBE" w:rsidP="00ED2C1C">
            <w:pPr>
              <w:spacing w:after="0"/>
              <w:jc w:val="both"/>
              <w:rPr>
                <w:rFonts w:ascii="Times New Roman" w:hAnsi="Times New Roman" w:cs="Times New Roman"/>
                <w:i/>
                <w:iCs/>
                <w:lang w:val="it-CH"/>
              </w:rPr>
            </w:pPr>
            <w:r w:rsidRPr="009E686F">
              <w:rPr>
                <w:rFonts w:ascii="Times New Roman" w:hAnsi="Times New Roman" w:cs="Times New Roman"/>
                <w:i/>
                <w:iCs/>
                <w:lang w:val="it-CH"/>
              </w:rPr>
              <w:lastRenderedPageBreak/>
              <w:t>(1</w:t>
            </w:r>
            <w:r w:rsidRPr="009E686F">
              <w:rPr>
                <w:rFonts w:ascii="Times New Roman" w:hAnsi="Times New Roman" w:cs="Times New Roman"/>
                <w:i/>
                <w:iCs/>
                <w:vertAlign w:val="superscript"/>
                <w:lang w:val="it-CH"/>
              </w:rPr>
              <w:t>1</w:t>
            </w:r>
            <w:r w:rsidRPr="009E686F">
              <w:rPr>
                <w:rFonts w:ascii="Times New Roman" w:hAnsi="Times New Roman" w:cs="Times New Roman"/>
                <w:i/>
                <w:iCs/>
                <w:lang w:val="it-CH"/>
              </w:rPr>
              <w:t xml:space="preserve">) Comisia Națională a Pieței Financiare este autoritatea competentă pentru </w:t>
            </w:r>
            <w:r w:rsidR="00A51A7D" w:rsidRPr="009E686F">
              <w:rPr>
                <w:rFonts w:ascii="Times New Roman" w:hAnsi="Times New Roman" w:cs="Times New Roman"/>
                <w:i/>
                <w:iCs/>
                <w:lang w:val="it-CH"/>
              </w:rPr>
              <w:t>instituțiile de credit</w:t>
            </w:r>
            <w:r w:rsidRPr="009E686F">
              <w:rPr>
                <w:rFonts w:ascii="Times New Roman" w:hAnsi="Times New Roman" w:cs="Times New Roman"/>
                <w:i/>
                <w:iCs/>
                <w:lang w:val="it-CH"/>
              </w:rPr>
              <w:t xml:space="preserve"> prevăzute la art. 3 </w:t>
            </w:r>
            <w:r w:rsidR="00E6285C" w:rsidRPr="009E686F">
              <w:rPr>
                <w:rFonts w:ascii="Times New Roman" w:hAnsi="Times New Roman" w:cs="Times New Roman"/>
                <w:i/>
                <w:iCs/>
                <w:lang w:val="it-CH"/>
              </w:rPr>
              <w:t xml:space="preserve">noțiunea de instituție de credit </w:t>
            </w:r>
            <w:r w:rsidRPr="009E686F">
              <w:rPr>
                <w:rFonts w:ascii="Times New Roman" w:hAnsi="Times New Roman" w:cs="Times New Roman"/>
                <w:i/>
                <w:iCs/>
                <w:lang w:val="it-CH"/>
              </w:rPr>
              <w:t>lit. b). Comisia Națională a Pieței Financiare exercită atribuţiile de autorizare, reglementare şi supraveghere prudenţială potrivit prevederilor prezentei legi şi Legii nr. 192-XIV/1998 cu privire la Comisia Națională a Pieței Financiare.</w:t>
            </w:r>
          </w:p>
          <w:p w14:paraId="38538568" w14:textId="2C1E495B" w:rsidR="009C5004" w:rsidRPr="009E686F" w:rsidRDefault="009C5004" w:rsidP="00ED2C1C">
            <w:pPr>
              <w:spacing w:after="0"/>
              <w:jc w:val="both"/>
              <w:rPr>
                <w:rFonts w:ascii="Times New Roman" w:hAnsi="Times New Roman" w:cs="Times New Roman"/>
                <w:b/>
                <w:bCs/>
                <w:lang w:val="it-CH"/>
              </w:rPr>
            </w:pPr>
            <w:r w:rsidRPr="009E686F">
              <w:rPr>
                <w:rFonts w:ascii="Times New Roman" w:hAnsi="Times New Roman" w:cs="Times New Roman"/>
                <w:b/>
                <w:bCs/>
                <w:lang w:val="it-CH"/>
              </w:rPr>
              <w:t>Articolul 5</w:t>
            </w:r>
            <w:r w:rsidRPr="009E686F">
              <w:rPr>
                <w:rFonts w:ascii="Times New Roman" w:hAnsi="Times New Roman" w:cs="Times New Roman"/>
                <w:b/>
                <w:bCs/>
                <w:vertAlign w:val="superscript"/>
                <w:lang w:val="it-CH"/>
              </w:rPr>
              <w:t>1</w:t>
            </w:r>
            <w:r w:rsidRPr="009E686F">
              <w:rPr>
                <w:rFonts w:ascii="Times New Roman" w:hAnsi="Times New Roman" w:cs="Times New Roman"/>
                <w:b/>
                <w:bCs/>
                <w:lang w:val="it-CH"/>
              </w:rPr>
              <w:t xml:space="preserve"> alin. (7)-(8)</w:t>
            </w:r>
          </w:p>
          <w:p w14:paraId="733F57D0" w14:textId="77777777" w:rsidR="009C5004" w:rsidRPr="009E686F" w:rsidRDefault="009C5004" w:rsidP="009C5004">
            <w:pPr>
              <w:spacing w:after="0"/>
              <w:jc w:val="both"/>
              <w:rPr>
                <w:rFonts w:ascii="Times New Roman" w:hAnsi="Times New Roman" w:cs="Times New Roman"/>
                <w:i/>
                <w:iCs/>
                <w:lang w:val="it-CH"/>
              </w:rPr>
            </w:pPr>
            <w:r w:rsidRPr="009E686F">
              <w:rPr>
                <w:rFonts w:ascii="Times New Roman" w:hAnsi="Times New Roman" w:cs="Times New Roman"/>
                <w:i/>
                <w:iCs/>
                <w:lang w:val="it-CH"/>
              </w:rPr>
              <w:t xml:space="preserve">(7) În exercitarea competenţelor sale, </w:t>
            </w:r>
            <w:r w:rsidRPr="009E686F">
              <w:rPr>
                <w:rFonts w:ascii="Times New Roman" w:hAnsi="Times New Roman" w:cs="Times New Roman"/>
                <w:i/>
                <w:iCs/>
                <w:lang w:val="ro-RO"/>
              </w:rPr>
              <w:t>Comisia Națională a Pieței Financiare</w:t>
            </w:r>
            <w:r w:rsidRPr="009E686F">
              <w:rPr>
                <w:rFonts w:ascii="Times New Roman" w:hAnsi="Times New Roman" w:cs="Times New Roman"/>
                <w:i/>
                <w:iCs/>
                <w:lang w:val="it-CH"/>
              </w:rPr>
              <w:t xml:space="preserve"> se asigură că atribuţiile de supraveghere sunt exercitate în mod distinct şi independent de atribuţiile privind rezoluţia instituţiilor de credit care desfășoară activitățile prevăzute la art. 3 </w:t>
            </w:r>
            <w:r w:rsidRPr="009E686F">
              <w:rPr>
                <w:rFonts w:ascii="Times New Roman" w:hAnsi="Times New Roman" w:cs="Times New Roman"/>
                <w:i/>
                <w:iCs/>
                <w:lang w:val="ro-RO"/>
              </w:rPr>
              <w:t xml:space="preserve">noțiunea </w:t>
            </w:r>
            <w:r w:rsidRPr="009E686F">
              <w:rPr>
                <w:rFonts w:ascii="Times New Roman" w:hAnsi="Times New Roman" w:cs="Times New Roman"/>
                <w:i/>
                <w:iCs/>
                <w:lang w:val="it-CH"/>
              </w:rPr>
              <w:t>“institu</w:t>
            </w:r>
            <w:r w:rsidRPr="009E686F">
              <w:rPr>
                <w:rFonts w:ascii="Times New Roman" w:hAnsi="Times New Roman" w:cs="Times New Roman"/>
                <w:i/>
                <w:iCs/>
                <w:lang w:val="ro-RO"/>
              </w:rPr>
              <w:t>ție de credit</w:t>
            </w:r>
            <w:r w:rsidRPr="009E686F">
              <w:rPr>
                <w:rFonts w:ascii="Times New Roman" w:hAnsi="Times New Roman" w:cs="Times New Roman"/>
                <w:i/>
                <w:iCs/>
                <w:lang w:val="it-CH"/>
              </w:rPr>
              <w:t>”</w:t>
            </w:r>
            <w:r w:rsidRPr="009E686F">
              <w:rPr>
                <w:rFonts w:ascii="Times New Roman" w:hAnsi="Times New Roman" w:cs="Times New Roman"/>
                <w:i/>
                <w:iCs/>
                <w:lang w:val="ro-RO"/>
              </w:rPr>
              <w:t xml:space="preserve"> </w:t>
            </w:r>
            <w:r w:rsidRPr="009E686F">
              <w:rPr>
                <w:rFonts w:ascii="Times New Roman" w:hAnsi="Times New Roman" w:cs="Times New Roman"/>
                <w:i/>
                <w:iCs/>
                <w:lang w:val="it-CH"/>
              </w:rPr>
              <w:t>lit. b) pe teritoriul Republicii Moldova.</w:t>
            </w:r>
          </w:p>
          <w:p w14:paraId="66C36C1C" w14:textId="6018C0B2" w:rsidR="009C5004" w:rsidRPr="009E686F" w:rsidRDefault="009C5004" w:rsidP="009C5004">
            <w:pPr>
              <w:spacing w:after="0"/>
              <w:jc w:val="both"/>
              <w:rPr>
                <w:rFonts w:ascii="Times New Roman" w:hAnsi="Times New Roman" w:cs="Times New Roman"/>
                <w:i/>
                <w:iCs/>
                <w:lang w:val="it-CH"/>
              </w:rPr>
            </w:pPr>
            <w:r w:rsidRPr="009E686F">
              <w:rPr>
                <w:rFonts w:ascii="Times New Roman" w:hAnsi="Times New Roman" w:cs="Times New Roman"/>
                <w:i/>
                <w:iCs/>
                <w:lang w:val="it-CH"/>
              </w:rPr>
              <w:t>(8) În aplicarea prezentei legi și a actelor normative emise în aplicarea acesteia, orice referire la Banca Naţională a Moldovei în raport cu instituțiile de credit care desfășoară activitățile prevăzute la art. 3</w:t>
            </w:r>
            <w:r w:rsidRPr="009E686F">
              <w:rPr>
                <w:rFonts w:ascii="Times New Roman" w:hAnsi="Times New Roman" w:cs="Times New Roman"/>
                <w:i/>
                <w:iCs/>
                <w:lang w:val="ro-RO"/>
              </w:rPr>
              <w:t xml:space="preserve"> noțiunea </w:t>
            </w:r>
            <w:r w:rsidRPr="009E686F">
              <w:rPr>
                <w:rFonts w:ascii="Times New Roman" w:hAnsi="Times New Roman" w:cs="Times New Roman"/>
                <w:i/>
                <w:iCs/>
                <w:lang w:val="it-CH"/>
              </w:rPr>
              <w:t>“institu</w:t>
            </w:r>
            <w:r w:rsidRPr="009E686F">
              <w:rPr>
                <w:rFonts w:ascii="Times New Roman" w:hAnsi="Times New Roman" w:cs="Times New Roman"/>
                <w:i/>
                <w:iCs/>
                <w:lang w:val="ro-RO"/>
              </w:rPr>
              <w:t>ție de credit</w:t>
            </w:r>
            <w:r w:rsidRPr="009E686F">
              <w:rPr>
                <w:rFonts w:ascii="Times New Roman" w:hAnsi="Times New Roman" w:cs="Times New Roman"/>
                <w:i/>
                <w:iCs/>
                <w:lang w:val="it-CH"/>
              </w:rPr>
              <w:t>”</w:t>
            </w:r>
            <w:r w:rsidRPr="009E686F">
              <w:rPr>
                <w:rFonts w:ascii="Times New Roman" w:hAnsi="Times New Roman" w:cs="Times New Roman"/>
                <w:i/>
                <w:iCs/>
                <w:lang w:val="ro-RO"/>
              </w:rPr>
              <w:t xml:space="preserve"> </w:t>
            </w:r>
            <w:r w:rsidRPr="009E686F">
              <w:rPr>
                <w:rFonts w:ascii="Times New Roman" w:hAnsi="Times New Roman" w:cs="Times New Roman"/>
                <w:i/>
                <w:iCs/>
                <w:lang w:val="it-CH"/>
              </w:rPr>
              <w:t>lit. b) se consideră a fi făcută la Comisia Națională a Pieței Financiare.</w:t>
            </w:r>
          </w:p>
        </w:tc>
        <w:tc>
          <w:tcPr>
            <w:tcW w:w="470" w:type="pct"/>
            <w:tcBorders>
              <w:top w:val="single" w:sz="4" w:space="0" w:color="auto"/>
              <w:left w:val="single" w:sz="4" w:space="0" w:color="auto"/>
              <w:bottom w:val="single" w:sz="4" w:space="0" w:color="auto"/>
              <w:right w:val="single" w:sz="4" w:space="0" w:color="auto"/>
            </w:tcBorders>
          </w:tcPr>
          <w:p w14:paraId="362687DC" w14:textId="234051B0" w:rsidR="00AB6122" w:rsidRPr="009E686F" w:rsidRDefault="00AB6122" w:rsidP="00AB6122">
            <w:pPr>
              <w:jc w:val="both"/>
              <w:rPr>
                <w:rFonts w:ascii="Times New Roman" w:hAnsi="Times New Roman" w:cs="Times New Roman"/>
              </w:rPr>
            </w:pPr>
            <w:r w:rsidRPr="009E686F">
              <w:rPr>
                <w:rFonts w:ascii="Times New Roman" w:hAnsi="Times New Roman" w:cs="Times New Roman"/>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72175B31" w14:textId="60444561" w:rsidR="00AB6122" w:rsidRPr="009E686F" w:rsidRDefault="00AB6122" w:rsidP="00515783">
            <w:pPr>
              <w:spacing w:after="0"/>
              <w:jc w:val="both"/>
              <w:rPr>
                <w:rFonts w:ascii="Times New Roman" w:hAnsi="Times New Roman" w:cs="Times New Roman"/>
              </w:rPr>
            </w:pPr>
          </w:p>
        </w:tc>
      </w:tr>
      <w:tr w:rsidR="00B30AFC" w:rsidRPr="009E686F" w14:paraId="020B74C9" w14:textId="5A65A07F" w:rsidTr="00960C23">
        <w:tc>
          <w:tcPr>
            <w:tcW w:w="1890" w:type="pct"/>
            <w:tcBorders>
              <w:top w:val="single" w:sz="4" w:space="0" w:color="auto"/>
              <w:left w:val="single" w:sz="4" w:space="0" w:color="auto"/>
              <w:bottom w:val="single" w:sz="4" w:space="0" w:color="auto"/>
              <w:right w:val="single" w:sz="4" w:space="0" w:color="auto"/>
            </w:tcBorders>
          </w:tcPr>
          <w:p w14:paraId="0BB2EF50" w14:textId="4335B534" w:rsidR="00AB6122" w:rsidRPr="009E686F" w:rsidRDefault="00AB6122" w:rsidP="00ED2C1C">
            <w:pPr>
              <w:spacing w:after="0"/>
              <w:jc w:val="both"/>
              <w:rPr>
                <w:rFonts w:ascii="Times New Roman" w:hAnsi="Times New Roman" w:cs="Times New Roman"/>
                <w:lang w:val="it-CH"/>
              </w:rPr>
            </w:pPr>
            <w:r w:rsidRPr="009E686F">
              <w:rPr>
                <w:rFonts w:ascii="Times New Roman" w:hAnsi="Times New Roman" w:cs="Times New Roman"/>
                <w:lang w:val="it-CH"/>
              </w:rPr>
              <w:t>(2) Statele membre se asigură că autoritățile competente monitorizează activitățile instituțiilor și, acolo unde este cazul, cele ale societăților financiare holding și ale societăților financiare holding mixte pentru a verifica respectarea dispozițiilor prezentei directive și ale Regulamentului (UE) nr. 575/2013.</w:t>
            </w:r>
          </w:p>
        </w:tc>
        <w:tc>
          <w:tcPr>
            <w:tcW w:w="1834" w:type="pct"/>
            <w:tcBorders>
              <w:top w:val="single" w:sz="4" w:space="0" w:color="auto"/>
              <w:left w:val="single" w:sz="4" w:space="0" w:color="auto"/>
              <w:bottom w:val="single" w:sz="4" w:space="0" w:color="auto"/>
              <w:right w:val="single" w:sz="4" w:space="0" w:color="auto"/>
            </w:tcBorders>
          </w:tcPr>
          <w:p w14:paraId="74248597" w14:textId="03EBD8FC" w:rsidR="00AB6122" w:rsidRPr="009E686F" w:rsidRDefault="00AB6122" w:rsidP="00ED2C1C">
            <w:pPr>
              <w:spacing w:after="0"/>
              <w:jc w:val="both"/>
              <w:rPr>
                <w:rFonts w:ascii="Times New Roman" w:hAnsi="Times New Roman" w:cs="Times New Roman"/>
                <w:b/>
                <w:lang w:val="it-CH"/>
              </w:rPr>
            </w:pPr>
            <w:r w:rsidRPr="009E686F">
              <w:rPr>
                <w:rFonts w:ascii="Times New Roman" w:hAnsi="Times New Roman" w:cs="Times New Roman"/>
                <w:b/>
                <w:lang w:val="it-CH"/>
              </w:rPr>
              <w:t>Articolul 5 alin. (2)</w:t>
            </w:r>
          </w:p>
          <w:p w14:paraId="50B22405" w14:textId="37222F87" w:rsidR="00AB6122" w:rsidRPr="009E686F" w:rsidRDefault="006E4DF5" w:rsidP="00ED2C1C">
            <w:pPr>
              <w:spacing w:after="0"/>
              <w:jc w:val="both"/>
              <w:rPr>
                <w:rFonts w:ascii="Times New Roman" w:hAnsi="Times New Roman" w:cs="Times New Roman"/>
                <w:lang w:val="it-CH"/>
              </w:rPr>
            </w:pPr>
            <w:r w:rsidRPr="009E686F">
              <w:rPr>
                <w:rFonts w:ascii="Times New Roman" w:hAnsi="Times New Roman" w:cs="Times New Roman"/>
                <w:lang w:val="it-CH"/>
              </w:rPr>
              <w:t xml:space="preserve">(2) </w:t>
            </w:r>
            <w:r w:rsidR="00AB6122" w:rsidRPr="009E686F">
              <w:rPr>
                <w:rFonts w:ascii="Times New Roman" w:hAnsi="Times New Roman" w:cs="Times New Roman"/>
                <w:lang w:val="it-CH"/>
              </w:rPr>
              <w:t xml:space="preserve">Banca Națională a Moldovei supraveghează activitățile  </w:t>
            </w:r>
            <w:r w:rsidR="00A51A7D" w:rsidRPr="009E686F">
              <w:rPr>
                <w:rFonts w:ascii="Times New Roman" w:hAnsi="Times New Roman" w:cs="Times New Roman"/>
                <w:i/>
                <w:lang w:val="it-CH"/>
              </w:rPr>
              <w:t>instituțiilor de credit</w:t>
            </w:r>
            <w:r w:rsidR="00AB6122" w:rsidRPr="009E686F">
              <w:rPr>
                <w:rFonts w:ascii="Times New Roman" w:hAnsi="Times New Roman" w:cs="Times New Roman"/>
                <w:lang w:val="it-CH"/>
              </w:rPr>
              <w:t xml:space="preserve"> </w:t>
            </w:r>
            <w:r w:rsidR="00AB6122" w:rsidRPr="009E686F">
              <w:rPr>
                <w:rFonts w:ascii="Times New Roman" w:hAnsi="Times New Roman" w:cs="Times New Roman"/>
                <w:i/>
                <w:lang w:val="it-CH"/>
              </w:rPr>
              <w:t xml:space="preserve">prevăzute la art. 3 </w:t>
            </w:r>
            <w:r w:rsidR="00997311" w:rsidRPr="009E686F">
              <w:rPr>
                <w:rFonts w:ascii="Times New Roman" w:hAnsi="Times New Roman" w:cs="Times New Roman"/>
                <w:i/>
                <w:lang w:val="it-CH"/>
              </w:rPr>
              <w:t>noțiunea de</w:t>
            </w:r>
            <w:r w:rsidR="00997311" w:rsidRPr="009E686F">
              <w:rPr>
                <w:rFonts w:ascii="Times New Roman" w:hAnsi="Times New Roman" w:cs="Times New Roman"/>
                <w:lang w:val="it-CH"/>
              </w:rPr>
              <w:t xml:space="preserve"> “</w:t>
            </w:r>
            <w:r w:rsidR="00A51A7D" w:rsidRPr="009E686F">
              <w:rPr>
                <w:rFonts w:ascii="Times New Roman" w:hAnsi="Times New Roman" w:cs="Times New Roman"/>
                <w:i/>
                <w:iCs/>
                <w:lang w:val="ro-RO"/>
              </w:rPr>
              <w:t>instituție de credit</w:t>
            </w:r>
            <w:r w:rsidR="00997311" w:rsidRPr="009E686F">
              <w:rPr>
                <w:rFonts w:ascii="Times New Roman" w:hAnsi="Times New Roman" w:cs="Times New Roman"/>
                <w:lang w:val="it-CH"/>
              </w:rPr>
              <w:t xml:space="preserve">” </w:t>
            </w:r>
            <w:r w:rsidR="00AB6122" w:rsidRPr="009E686F">
              <w:rPr>
                <w:rFonts w:ascii="Times New Roman" w:hAnsi="Times New Roman" w:cs="Times New Roman"/>
                <w:lang w:val="it-CH"/>
              </w:rPr>
              <w:t>a), precum şi, în cazul în care este autoritate competentă responsabilă cu supravegherea pe bază consolidată, activitățile societăților financiare holding şi ale societăților financiare holding mixte, pentru prevederile aplicabile acestora, în scopul evaluării conformării la cerințele prudențiale prevăzute de prezenta lege și actele normative emise  în aplicarea acesteia.</w:t>
            </w:r>
          </w:p>
          <w:p w14:paraId="5DEE5EEF" w14:textId="77777777" w:rsidR="00977237" w:rsidRPr="009E686F" w:rsidRDefault="00977237" w:rsidP="00ED2C1C">
            <w:pPr>
              <w:spacing w:after="0"/>
              <w:ind w:left="360"/>
              <w:jc w:val="both"/>
              <w:rPr>
                <w:rFonts w:ascii="Times New Roman" w:hAnsi="Times New Roman" w:cs="Times New Roman"/>
                <w:lang w:val="it-CH"/>
              </w:rPr>
            </w:pPr>
          </w:p>
          <w:p w14:paraId="41FBE6EC" w14:textId="1642E419" w:rsidR="008E5D3B" w:rsidRPr="009E686F" w:rsidRDefault="008E5D3B" w:rsidP="00ED2C1C">
            <w:pPr>
              <w:spacing w:after="0"/>
              <w:jc w:val="both"/>
              <w:rPr>
                <w:rFonts w:ascii="Times New Roman" w:hAnsi="Times New Roman" w:cs="Times New Roman"/>
                <w:b/>
                <w:lang w:val="it-CH"/>
              </w:rPr>
            </w:pPr>
            <w:r w:rsidRPr="009E686F">
              <w:rPr>
                <w:rFonts w:ascii="Times New Roman" w:hAnsi="Times New Roman" w:cs="Times New Roman"/>
                <w:b/>
                <w:lang w:val="it-CH"/>
              </w:rPr>
              <w:t>Articolul 5</w:t>
            </w:r>
            <w:r w:rsidRPr="009E686F">
              <w:rPr>
                <w:rFonts w:ascii="Times New Roman" w:hAnsi="Times New Roman" w:cs="Times New Roman"/>
                <w:b/>
                <w:vertAlign w:val="superscript"/>
                <w:lang w:val="it-CH"/>
              </w:rPr>
              <w:t>1</w:t>
            </w:r>
            <w:r w:rsidRPr="009E686F">
              <w:rPr>
                <w:rFonts w:ascii="Times New Roman" w:hAnsi="Times New Roman" w:cs="Times New Roman"/>
                <w:b/>
                <w:lang w:val="it-CH"/>
              </w:rPr>
              <w:t xml:space="preserve"> alin. (1) </w:t>
            </w:r>
          </w:p>
          <w:p w14:paraId="4A97D8DF" w14:textId="759567B4" w:rsidR="008E5D3B" w:rsidRPr="009E686F" w:rsidRDefault="008E5D3B" w:rsidP="00ED2C1C">
            <w:pPr>
              <w:spacing w:after="0"/>
              <w:jc w:val="both"/>
              <w:rPr>
                <w:rFonts w:ascii="Times New Roman" w:hAnsi="Times New Roman" w:cs="Times New Roman"/>
                <w:i/>
                <w:lang w:val="it-CH"/>
              </w:rPr>
            </w:pPr>
            <w:r w:rsidRPr="009E686F">
              <w:rPr>
                <w:rFonts w:ascii="Times New Roman" w:hAnsi="Times New Roman" w:cs="Times New Roman"/>
                <w:i/>
                <w:lang w:val="it-CH"/>
              </w:rPr>
              <w:lastRenderedPageBreak/>
              <w:t xml:space="preserve">(1) Comisia Națională a Pieței Financiare realizează autorizarea, reglementarea și supravegherea prudențială a </w:t>
            </w:r>
            <w:r w:rsidR="00A51A7D" w:rsidRPr="009E686F">
              <w:rPr>
                <w:rFonts w:ascii="Times New Roman" w:hAnsi="Times New Roman" w:cs="Times New Roman"/>
                <w:i/>
                <w:lang w:val="it-CH"/>
              </w:rPr>
              <w:t>instituțiilor de credit</w:t>
            </w:r>
            <w:r w:rsidRPr="009E686F">
              <w:rPr>
                <w:rFonts w:ascii="Times New Roman" w:hAnsi="Times New Roman" w:cs="Times New Roman"/>
                <w:i/>
                <w:lang w:val="it-CH"/>
              </w:rPr>
              <w:t xml:space="preserve"> care desfășoară activitățile prevăzute la art. 3 </w:t>
            </w:r>
            <w:r w:rsidR="00997311" w:rsidRPr="009E686F">
              <w:rPr>
                <w:rFonts w:ascii="Times New Roman" w:hAnsi="Times New Roman" w:cs="Times New Roman"/>
                <w:i/>
                <w:lang w:val="it-CH"/>
              </w:rPr>
              <w:t>noțiunea de “</w:t>
            </w:r>
            <w:r w:rsidR="00A51A7D" w:rsidRPr="009E686F">
              <w:rPr>
                <w:rFonts w:ascii="Times New Roman" w:hAnsi="Times New Roman" w:cs="Times New Roman"/>
                <w:i/>
                <w:iCs/>
                <w:lang w:val="ro-RO"/>
              </w:rPr>
              <w:t>instituție de credit</w:t>
            </w:r>
            <w:r w:rsidR="00997311" w:rsidRPr="009E686F">
              <w:rPr>
                <w:rFonts w:ascii="Times New Roman" w:hAnsi="Times New Roman" w:cs="Times New Roman"/>
                <w:i/>
                <w:lang w:val="it-CH"/>
              </w:rPr>
              <w:t xml:space="preserve">” </w:t>
            </w:r>
            <w:r w:rsidRPr="009E686F">
              <w:rPr>
                <w:rFonts w:ascii="Times New Roman" w:hAnsi="Times New Roman" w:cs="Times New Roman"/>
                <w:i/>
                <w:lang w:val="it-CH"/>
              </w:rPr>
              <w:t>lit. b) pe teritoriul Republicii Moldova potrivit prevederilor prezentei legi şi actelor normative emise în aplicarea acesteia.</w:t>
            </w:r>
          </w:p>
          <w:p w14:paraId="4B8C6721" w14:textId="044792D9" w:rsidR="009147A1" w:rsidRPr="009E686F" w:rsidRDefault="009147A1" w:rsidP="00ED2C1C">
            <w:pPr>
              <w:spacing w:after="0"/>
              <w:jc w:val="both"/>
              <w:rPr>
                <w:rFonts w:ascii="Times New Roman" w:hAnsi="Times New Roman" w:cs="Times New Roman"/>
                <w:i/>
                <w:lang w:val="it-CH"/>
              </w:rPr>
            </w:pPr>
            <w:r w:rsidRPr="009E686F">
              <w:rPr>
                <w:rFonts w:ascii="Times New Roman" w:hAnsi="Times New Roman" w:cs="Times New Roman"/>
                <w:i/>
                <w:lang w:val="it-CH"/>
              </w:rPr>
              <w:t>(2) În aplicarea dispozițiilor alin.(1), competențele și atribuțiile Băncii Naționale a Moldovei aferente cerințelor prevăzute de prezenta lege se consideră aplicabile Comisiei Naționale a Pieței Financiare.</w:t>
            </w:r>
          </w:p>
          <w:p w14:paraId="19335F5A" w14:textId="6E8E44A8" w:rsidR="00977237" w:rsidRPr="009E686F" w:rsidRDefault="00977237" w:rsidP="00ED2C1C">
            <w:pPr>
              <w:spacing w:after="0"/>
              <w:jc w:val="both"/>
              <w:rPr>
                <w:rFonts w:ascii="Times New Roman" w:hAnsi="Times New Roman" w:cs="Times New Roman"/>
                <w:b/>
                <w:lang w:val="it-CH"/>
              </w:rPr>
            </w:pPr>
            <w:r w:rsidRPr="009E686F">
              <w:rPr>
                <w:rFonts w:ascii="Times New Roman" w:hAnsi="Times New Roman" w:cs="Times New Roman"/>
                <w:b/>
                <w:lang w:val="it-CH"/>
              </w:rPr>
              <w:t>Articolul 5</w:t>
            </w:r>
            <w:r w:rsidRPr="009E686F">
              <w:rPr>
                <w:rFonts w:ascii="Times New Roman" w:hAnsi="Times New Roman" w:cs="Times New Roman"/>
                <w:b/>
                <w:vertAlign w:val="superscript"/>
                <w:lang w:val="it-CH"/>
              </w:rPr>
              <w:t>1</w:t>
            </w:r>
            <w:r w:rsidRPr="009E686F">
              <w:rPr>
                <w:rFonts w:ascii="Times New Roman" w:hAnsi="Times New Roman" w:cs="Times New Roman"/>
                <w:b/>
                <w:lang w:val="it-CH"/>
              </w:rPr>
              <w:t xml:space="preserve"> alin. (3)</w:t>
            </w:r>
          </w:p>
          <w:p w14:paraId="37B15C3D" w14:textId="5E6B3ED0" w:rsidR="008E5D3B" w:rsidRPr="009E686F" w:rsidRDefault="008E5D3B" w:rsidP="00ED2C1C">
            <w:pPr>
              <w:spacing w:after="0"/>
              <w:jc w:val="both"/>
              <w:rPr>
                <w:rFonts w:ascii="Times New Roman" w:hAnsi="Times New Roman" w:cs="Times New Roman"/>
                <w:i/>
                <w:lang w:val="it-CH"/>
              </w:rPr>
            </w:pPr>
            <w:r w:rsidRPr="009E686F">
              <w:rPr>
                <w:rFonts w:ascii="Times New Roman" w:hAnsi="Times New Roman" w:cs="Times New Roman"/>
                <w:i/>
                <w:lang w:val="it-CH"/>
              </w:rPr>
              <w:t xml:space="preserve">(3) Comisia Națională a Pieței Financiare monitorizează activităţile </w:t>
            </w:r>
            <w:r w:rsidR="00A51A7D" w:rsidRPr="009E686F">
              <w:rPr>
                <w:rFonts w:ascii="Times New Roman" w:hAnsi="Times New Roman" w:cs="Times New Roman"/>
                <w:i/>
                <w:lang w:val="it-CH"/>
              </w:rPr>
              <w:t>instituțiilor de credit</w:t>
            </w:r>
            <w:r w:rsidRPr="009E686F">
              <w:rPr>
                <w:rFonts w:ascii="Times New Roman" w:hAnsi="Times New Roman" w:cs="Times New Roman"/>
                <w:i/>
                <w:lang w:val="it-CH"/>
              </w:rPr>
              <w:t xml:space="preserve"> prevăzute la art. 3 </w:t>
            </w:r>
            <w:r w:rsidR="00997311" w:rsidRPr="009E686F">
              <w:rPr>
                <w:rFonts w:ascii="Times New Roman" w:hAnsi="Times New Roman" w:cs="Times New Roman"/>
                <w:i/>
                <w:lang w:val="it-CH"/>
              </w:rPr>
              <w:t>noțiunea de “</w:t>
            </w:r>
            <w:r w:rsidR="00A51A7D" w:rsidRPr="009E686F">
              <w:rPr>
                <w:rFonts w:ascii="Times New Roman" w:hAnsi="Times New Roman" w:cs="Times New Roman"/>
                <w:i/>
                <w:iCs/>
                <w:lang w:val="ro-RO"/>
              </w:rPr>
              <w:t>instituție de credit</w:t>
            </w:r>
            <w:r w:rsidR="00997311" w:rsidRPr="009E686F">
              <w:rPr>
                <w:rFonts w:ascii="Times New Roman" w:hAnsi="Times New Roman" w:cs="Times New Roman"/>
                <w:i/>
                <w:lang w:val="it-CH"/>
              </w:rPr>
              <w:t xml:space="preserve">” </w:t>
            </w:r>
            <w:r w:rsidRPr="009E686F">
              <w:rPr>
                <w:rFonts w:ascii="Times New Roman" w:hAnsi="Times New Roman" w:cs="Times New Roman"/>
                <w:i/>
                <w:lang w:val="it-CH"/>
              </w:rPr>
              <w:t>lit. b) pe teritoriul Republicii Moldova, precum şi, în cazul în care este autoritate responsabilă cu supravegherea pe bază consolidată, activităţile societăţilor financiare holding şi ale societăţilor financiare holding mixte, pentru prevederile aplicabile acestora, în scopul evaluării conformării la cerinţele prudenţiale prevăzute de prezenta lege şi de actele normative emise în aplicarea acesteia.</w:t>
            </w:r>
          </w:p>
        </w:tc>
        <w:tc>
          <w:tcPr>
            <w:tcW w:w="470" w:type="pct"/>
            <w:tcBorders>
              <w:top w:val="single" w:sz="4" w:space="0" w:color="auto"/>
              <w:left w:val="single" w:sz="4" w:space="0" w:color="auto"/>
              <w:bottom w:val="single" w:sz="4" w:space="0" w:color="auto"/>
              <w:right w:val="single" w:sz="4" w:space="0" w:color="auto"/>
            </w:tcBorders>
          </w:tcPr>
          <w:p w14:paraId="7541A7B6" w14:textId="3B84BBB2" w:rsidR="00AB6122" w:rsidRPr="009E686F" w:rsidRDefault="00AB6122" w:rsidP="00AB6122">
            <w:pPr>
              <w:jc w:val="both"/>
              <w:rPr>
                <w:rFonts w:ascii="Times New Roman" w:hAnsi="Times New Roman" w:cs="Times New Roman"/>
              </w:rPr>
            </w:pPr>
            <w:r w:rsidRPr="009E686F">
              <w:rPr>
                <w:rFonts w:ascii="Times New Roman" w:hAnsi="Times New Roman" w:cs="Times New Roman"/>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2A2C56D2" w14:textId="7F36D2CB" w:rsidR="00AB6122" w:rsidRPr="009E686F" w:rsidRDefault="00AB6122" w:rsidP="00515783">
            <w:pPr>
              <w:spacing w:after="0"/>
              <w:jc w:val="both"/>
              <w:rPr>
                <w:rFonts w:ascii="Times New Roman" w:hAnsi="Times New Roman" w:cs="Times New Roman"/>
              </w:rPr>
            </w:pPr>
          </w:p>
        </w:tc>
      </w:tr>
      <w:tr w:rsidR="00B30AFC" w:rsidRPr="009E686F" w14:paraId="4BEB0363" w14:textId="12EF3BCC" w:rsidTr="00960C23">
        <w:trPr>
          <w:trHeight w:val="77"/>
        </w:trPr>
        <w:tc>
          <w:tcPr>
            <w:tcW w:w="1890" w:type="pct"/>
            <w:tcBorders>
              <w:top w:val="single" w:sz="4" w:space="0" w:color="auto"/>
              <w:left w:val="single" w:sz="4" w:space="0" w:color="auto"/>
              <w:bottom w:val="single" w:sz="4" w:space="0" w:color="auto"/>
              <w:right w:val="single" w:sz="4" w:space="0" w:color="auto"/>
            </w:tcBorders>
          </w:tcPr>
          <w:p w14:paraId="6D8B19B1" w14:textId="659965BB" w:rsidR="00AB6122" w:rsidRPr="009E686F" w:rsidRDefault="00AB6122" w:rsidP="00ED2C1C">
            <w:pPr>
              <w:spacing w:after="0"/>
              <w:jc w:val="both"/>
              <w:rPr>
                <w:rFonts w:ascii="Times New Roman" w:hAnsi="Times New Roman" w:cs="Times New Roman"/>
                <w:lang w:val="it-CH"/>
              </w:rPr>
            </w:pPr>
            <w:r w:rsidRPr="009E686F">
              <w:rPr>
                <w:rFonts w:ascii="Times New Roman" w:hAnsi="Times New Roman" w:cs="Times New Roman"/>
                <w:lang w:val="it-CH"/>
              </w:rPr>
              <w:t>(3) Statele membre se asigură că sunt instituite măsurile adecvate pentru a permite autorităților competente să obțină informațiile necesare pentru a verifica respectarea de către instituții și, după caz, de societățile financiare holding și de societățile financiare holding mixte, a cerințelor menționate la alineatul (2), precum și să investigheze eventualele încălcări ale acestor cerințe.</w:t>
            </w:r>
          </w:p>
        </w:tc>
        <w:tc>
          <w:tcPr>
            <w:tcW w:w="1834" w:type="pct"/>
            <w:tcBorders>
              <w:top w:val="single" w:sz="4" w:space="0" w:color="auto"/>
              <w:left w:val="single" w:sz="4" w:space="0" w:color="auto"/>
              <w:bottom w:val="single" w:sz="4" w:space="0" w:color="auto"/>
              <w:right w:val="single" w:sz="4" w:space="0" w:color="auto"/>
            </w:tcBorders>
          </w:tcPr>
          <w:p w14:paraId="6ED94B07" w14:textId="2FEB3223" w:rsidR="00AB6122" w:rsidRPr="009E686F" w:rsidRDefault="00AB6122" w:rsidP="00ED2C1C">
            <w:pPr>
              <w:spacing w:after="0"/>
              <w:jc w:val="both"/>
              <w:rPr>
                <w:rFonts w:ascii="Times New Roman" w:hAnsi="Times New Roman" w:cs="Times New Roman"/>
                <w:b/>
                <w:lang w:val="it-CH"/>
              </w:rPr>
            </w:pPr>
            <w:r w:rsidRPr="009E686F">
              <w:rPr>
                <w:rFonts w:ascii="Times New Roman" w:hAnsi="Times New Roman" w:cs="Times New Roman"/>
                <w:b/>
                <w:lang w:val="it-CH"/>
              </w:rPr>
              <w:t>Articolul 5 alin. (3)</w:t>
            </w:r>
          </w:p>
          <w:p w14:paraId="48C9007A" w14:textId="6B427DF7" w:rsidR="00AB6122" w:rsidRPr="009E686F" w:rsidRDefault="00AB6122" w:rsidP="00ED2C1C">
            <w:pPr>
              <w:spacing w:after="0"/>
              <w:jc w:val="both"/>
              <w:rPr>
                <w:rFonts w:ascii="Times New Roman" w:hAnsi="Times New Roman" w:cs="Times New Roman"/>
                <w:lang w:val="it-CH"/>
              </w:rPr>
            </w:pPr>
            <w:r w:rsidRPr="009E686F">
              <w:rPr>
                <w:rFonts w:ascii="Times New Roman" w:hAnsi="Times New Roman" w:cs="Times New Roman"/>
                <w:lang w:val="it-CH"/>
              </w:rPr>
              <w:t xml:space="preserve">(3) În exercitarea competențelor sale prevăzute de lege, Banca Națională a Moldovei colectează şi procesează orice date şi informații relevante, inclusiv de natura datelor cu caracter personal, necesare pentru evaluarea conformării  </w:t>
            </w:r>
            <w:r w:rsidR="00A51A7D" w:rsidRPr="009E686F">
              <w:rPr>
                <w:rFonts w:ascii="Times New Roman" w:hAnsi="Times New Roman" w:cs="Times New Roman"/>
                <w:i/>
                <w:lang w:val="it-CH"/>
              </w:rPr>
              <w:t>instituțiilor de credit</w:t>
            </w:r>
            <w:r w:rsidRPr="009E686F">
              <w:rPr>
                <w:rFonts w:ascii="Times New Roman" w:hAnsi="Times New Roman" w:cs="Times New Roman"/>
                <w:i/>
                <w:lang w:val="it-CH"/>
              </w:rPr>
              <w:t xml:space="preserve"> prevăzute la art. 3 </w:t>
            </w:r>
            <w:r w:rsidR="00E6285C" w:rsidRPr="009E686F">
              <w:rPr>
                <w:rFonts w:ascii="Times New Roman" w:hAnsi="Times New Roman" w:cs="Times New Roman"/>
                <w:i/>
                <w:lang w:val="it-CH"/>
              </w:rPr>
              <w:t xml:space="preserve">noțiunea de </w:t>
            </w:r>
            <w:r w:rsidR="00D65922" w:rsidRPr="009E686F">
              <w:rPr>
                <w:rFonts w:ascii="Times New Roman" w:hAnsi="Times New Roman" w:cs="Times New Roman"/>
                <w:i/>
                <w:lang w:val="it-CH"/>
              </w:rPr>
              <w:t>“</w:t>
            </w:r>
            <w:r w:rsidR="00E6285C" w:rsidRPr="009E686F">
              <w:rPr>
                <w:rFonts w:ascii="Times New Roman" w:hAnsi="Times New Roman" w:cs="Times New Roman"/>
                <w:i/>
                <w:lang w:val="it-CH"/>
              </w:rPr>
              <w:t>instituție de credit</w:t>
            </w:r>
            <w:r w:rsidR="00D65922" w:rsidRPr="009E686F">
              <w:rPr>
                <w:rFonts w:ascii="Times New Roman" w:hAnsi="Times New Roman" w:cs="Times New Roman"/>
                <w:i/>
                <w:lang w:val="it-CH"/>
              </w:rPr>
              <w:t>”</w:t>
            </w:r>
            <w:r w:rsidR="00E6285C" w:rsidRPr="009E686F">
              <w:rPr>
                <w:rFonts w:ascii="Times New Roman" w:hAnsi="Times New Roman" w:cs="Times New Roman"/>
                <w:i/>
                <w:lang w:val="it-CH"/>
              </w:rPr>
              <w:t xml:space="preserve"> </w:t>
            </w:r>
            <w:r w:rsidRPr="009E686F">
              <w:rPr>
                <w:rFonts w:ascii="Times New Roman" w:hAnsi="Times New Roman" w:cs="Times New Roman"/>
                <w:i/>
                <w:lang w:val="it-CH"/>
              </w:rPr>
              <w:t>lit. a),</w:t>
            </w:r>
            <w:r w:rsidRPr="009E686F">
              <w:rPr>
                <w:rFonts w:ascii="Times New Roman" w:hAnsi="Times New Roman" w:cs="Times New Roman"/>
                <w:lang w:val="it-CH"/>
              </w:rPr>
              <w:t xml:space="preserve"> precum şi, în cazul în care este autoritate competentă responsabilă cu supravegherea pe bază consolidată, a societăților financiare holding şi a societăților financiare holding mixte la cerințele prudențiale prevăzute de prezenta lege şi de actele normative emise în aplicarea </w:t>
            </w:r>
            <w:r w:rsidRPr="009E686F">
              <w:rPr>
                <w:rFonts w:ascii="Times New Roman" w:hAnsi="Times New Roman" w:cs="Times New Roman"/>
                <w:lang w:val="it-CH"/>
              </w:rPr>
              <w:lastRenderedPageBreak/>
              <w:t>acesteia şi pentru investigarea posibilelor încălcări ale acestor cerințe.</w:t>
            </w:r>
          </w:p>
          <w:p w14:paraId="2729AF34" w14:textId="1370EDEE" w:rsidR="006E4DF5" w:rsidRPr="009E686F" w:rsidRDefault="006E4DF5" w:rsidP="00ED2C1C">
            <w:pPr>
              <w:spacing w:after="0"/>
              <w:jc w:val="both"/>
              <w:rPr>
                <w:rFonts w:ascii="Times New Roman" w:hAnsi="Times New Roman" w:cs="Times New Roman"/>
                <w:b/>
                <w:lang w:val="it-CH"/>
              </w:rPr>
            </w:pPr>
            <w:r w:rsidRPr="009E686F">
              <w:rPr>
                <w:rFonts w:ascii="Times New Roman" w:hAnsi="Times New Roman" w:cs="Times New Roman"/>
                <w:b/>
                <w:lang w:val="it-CH"/>
              </w:rPr>
              <w:t>Articolul 5</w:t>
            </w:r>
            <w:r w:rsidRPr="009E686F">
              <w:rPr>
                <w:rFonts w:ascii="Times New Roman" w:hAnsi="Times New Roman" w:cs="Times New Roman"/>
                <w:b/>
                <w:vertAlign w:val="superscript"/>
                <w:lang w:val="it-CH"/>
              </w:rPr>
              <w:t>1</w:t>
            </w:r>
            <w:r w:rsidRPr="009E686F">
              <w:rPr>
                <w:rFonts w:ascii="Times New Roman" w:hAnsi="Times New Roman" w:cs="Times New Roman"/>
                <w:b/>
                <w:lang w:val="it-CH"/>
              </w:rPr>
              <w:t xml:space="preserve"> alin. (3)</w:t>
            </w:r>
          </w:p>
          <w:p w14:paraId="745EFE63" w14:textId="77777777" w:rsidR="00977237" w:rsidRPr="009E686F" w:rsidRDefault="00977237" w:rsidP="00ED2C1C">
            <w:pPr>
              <w:spacing w:after="0"/>
              <w:jc w:val="both"/>
              <w:rPr>
                <w:rFonts w:ascii="Times New Roman" w:hAnsi="Times New Roman" w:cs="Times New Roman"/>
                <w:i/>
                <w:lang w:val="it-CH"/>
              </w:rPr>
            </w:pPr>
            <w:r w:rsidRPr="009E686F">
              <w:rPr>
                <w:rFonts w:ascii="Times New Roman" w:hAnsi="Times New Roman" w:cs="Times New Roman"/>
                <w:i/>
                <w:lang w:val="it-CH"/>
              </w:rPr>
              <w:t xml:space="preserve">(3) Comisia Națională a Pieței Financiare monitorizează activităţile </w:t>
            </w:r>
            <w:r w:rsidR="00A51A7D" w:rsidRPr="009E686F">
              <w:rPr>
                <w:rFonts w:ascii="Times New Roman" w:hAnsi="Times New Roman" w:cs="Times New Roman"/>
                <w:i/>
                <w:lang w:val="it-CH"/>
              </w:rPr>
              <w:t>instituțiilor de credit</w:t>
            </w:r>
            <w:r w:rsidRPr="009E686F">
              <w:rPr>
                <w:rFonts w:ascii="Times New Roman" w:hAnsi="Times New Roman" w:cs="Times New Roman"/>
                <w:i/>
                <w:lang w:val="it-CH"/>
              </w:rPr>
              <w:t xml:space="preserve"> prevăzute la art. 3 </w:t>
            </w:r>
            <w:r w:rsidR="00997311" w:rsidRPr="009E686F">
              <w:rPr>
                <w:rFonts w:ascii="Times New Roman" w:hAnsi="Times New Roman" w:cs="Times New Roman"/>
                <w:i/>
                <w:lang w:val="it-CH"/>
              </w:rPr>
              <w:t>noțiunea de “</w:t>
            </w:r>
            <w:r w:rsidR="00A51A7D" w:rsidRPr="009E686F">
              <w:rPr>
                <w:rFonts w:ascii="Times New Roman" w:hAnsi="Times New Roman" w:cs="Times New Roman"/>
                <w:i/>
                <w:iCs/>
                <w:lang w:val="ro-RO"/>
              </w:rPr>
              <w:t>instituție de credit</w:t>
            </w:r>
            <w:r w:rsidR="00997311" w:rsidRPr="009E686F">
              <w:rPr>
                <w:rFonts w:ascii="Times New Roman" w:hAnsi="Times New Roman" w:cs="Times New Roman"/>
                <w:i/>
                <w:lang w:val="it-CH"/>
              </w:rPr>
              <w:t xml:space="preserve">” </w:t>
            </w:r>
            <w:r w:rsidRPr="009E686F">
              <w:rPr>
                <w:rFonts w:ascii="Times New Roman" w:hAnsi="Times New Roman" w:cs="Times New Roman"/>
                <w:i/>
                <w:lang w:val="it-CH"/>
              </w:rPr>
              <w:t>lit. b) pe teritoriul Republicii Moldova, precum şi, în cazul în care este autoritate responsabilă cu supravegherea pe bază consolidată, activităţile societăţilor financiare holding şi ale societăţilor financiare holding mixte, pentru prevederile aplicabile acestora, în scopul evaluării conformării la cerinţele prudenţiale prevăzute de prezenta lege şi de actele normative emise în aplicarea acesteia.</w:t>
            </w:r>
          </w:p>
          <w:p w14:paraId="2F814B64" w14:textId="65BACA53" w:rsidR="007D68FF" w:rsidRPr="009E686F" w:rsidRDefault="007D68FF" w:rsidP="00ED2C1C">
            <w:pPr>
              <w:spacing w:after="0"/>
              <w:jc w:val="both"/>
              <w:rPr>
                <w:rFonts w:ascii="Times New Roman" w:hAnsi="Times New Roman" w:cs="Times New Roman"/>
                <w:i/>
                <w:lang w:val="it-CH"/>
              </w:rPr>
            </w:pPr>
            <w:r w:rsidRPr="009E686F">
              <w:rPr>
                <w:rFonts w:ascii="Times New Roman" w:hAnsi="Times New Roman" w:cs="Times New Roman"/>
                <w:i/>
                <w:lang w:val="it-CH"/>
              </w:rPr>
              <w:t>(4) În exercitarea competenţelor sale prevăzute de lege, Comisia Națională a Pieței Financiare colectează şi procesează orice date şi informaţii relevante, inclusiv de natura datelor cu caracter personal, necesare pentru evaluarea conformării instituţiilor de credit prevăzute la art. 3 noțiunea „instituție de credit” lit. b) pe teritoriul Republicii Moldova, precum şi, în cazul în care este autoritate responsabilă cu supravegherea pe bază consolidată a societăţilor financiare holding şi a societăţilor financiare holding mixte, la cerinţele prudenţiale prevăzute de prezenta lege şi de actele normative emise în aplicarea acesteia.</w:t>
            </w:r>
          </w:p>
        </w:tc>
        <w:tc>
          <w:tcPr>
            <w:tcW w:w="470" w:type="pct"/>
            <w:tcBorders>
              <w:top w:val="single" w:sz="4" w:space="0" w:color="auto"/>
              <w:left w:val="single" w:sz="4" w:space="0" w:color="auto"/>
              <w:bottom w:val="single" w:sz="4" w:space="0" w:color="auto"/>
              <w:right w:val="single" w:sz="4" w:space="0" w:color="auto"/>
            </w:tcBorders>
          </w:tcPr>
          <w:p w14:paraId="10CE1864" w14:textId="4FB86F27" w:rsidR="00AB6122" w:rsidRPr="009E686F" w:rsidRDefault="00AB6122" w:rsidP="00AB6122">
            <w:pPr>
              <w:jc w:val="both"/>
              <w:rPr>
                <w:rFonts w:ascii="Times New Roman" w:hAnsi="Times New Roman" w:cs="Times New Roman"/>
              </w:rPr>
            </w:pPr>
            <w:r w:rsidRPr="009E686F">
              <w:rPr>
                <w:rFonts w:ascii="Times New Roman" w:hAnsi="Times New Roman" w:cs="Times New Roman"/>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0E3615B2" w14:textId="72CBD598" w:rsidR="00AB6122" w:rsidRPr="009E686F" w:rsidRDefault="00AB6122" w:rsidP="00515783">
            <w:pPr>
              <w:spacing w:after="0"/>
              <w:jc w:val="both"/>
              <w:rPr>
                <w:rFonts w:ascii="Times New Roman" w:hAnsi="Times New Roman" w:cs="Times New Roman"/>
              </w:rPr>
            </w:pPr>
          </w:p>
        </w:tc>
      </w:tr>
      <w:tr w:rsidR="00B30AFC" w:rsidRPr="009E686F" w14:paraId="17659D0D" w14:textId="671914B0" w:rsidTr="00960C23">
        <w:tc>
          <w:tcPr>
            <w:tcW w:w="1890" w:type="pct"/>
            <w:tcBorders>
              <w:top w:val="single" w:sz="4" w:space="0" w:color="auto"/>
              <w:left w:val="single" w:sz="4" w:space="0" w:color="auto"/>
              <w:bottom w:val="single" w:sz="4" w:space="0" w:color="auto"/>
              <w:right w:val="single" w:sz="4" w:space="0" w:color="auto"/>
            </w:tcBorders>
          </w:tcPr>
          <w:p w14:paraId="6B4C6EDB" w14:textId="77DF95EE" w:rsidR="00AB6122" w:rsidRPr="009E686F" w:rsidRDefault="00AB6122" w:rsidP="00ED2C1C">
            <w:pPr>
              <w:spacing w:after="0"/>
              <w:jc w:val="both"/>
              <w:rPr>
                <w:rFonts w:ascii="Times New Roman" w:hAnsi="Times New Roman" w:cs="Times New Roman"/>
                <w:lang w:val="it-CH"/>
              </w:rPr>
            </w:pPr>
            <w:r w:rsidRPr="009E686F">
              <w:rPr>
                <w:rFonts w:ascii="Times New Roman" w:hAnsi="Times New Roman" w:cs="Times New Roman"/>
                <w:lang w:val="it-CH"/>
              </w:rPr>
              <w:t xml:space="preserve">(4) Statele membre se asigură că autoritățile competente dispun de cunoștințele de specialitate, resursele, capacitatea operațională, competențele și independența necesare pentru îndeplinirea funcțiilor legate de supravegherea prudențială și de investigații, precum și de competențele necesare pentru a impune penalitățile cu titlu cominatoriu și sancțiunile </w:t>
            </w:r>
            <w:r w:rsidRPr="009E686F">
              <w:rPr>
                <w:rFonts w:ascii="Times New Roman" w:hAnsi="Times New Roman" w:cs="Times New Roman"/>
                <w:lang w:val="it-CH"/>
              </w:rPr>
              <w:lastRenderedPageBreak/>
              <w:t>prevăzute în prezenta directivă și în Regulamentul (UE) nr. 575/2013.</w:t>
            </w:r>
          </w:p>
        </w:tc>
        <w:tc>
          <w:tcPr>
            <w:tcW w:w="1834" w:type="pct"/>
            <w:tcBorders>
              <w:top w:val="single" w:sz="4" w:space="0" w:color="auto"/>
              <w:left w:val="single" w:sz="4" w:space="0" w:color="auto"/>
              <w:bottom w:val="single" w:sz="4" w:space="0" w:color="auto"/>
              <w:right w:val="single" w:sz="4" w:space="0" w:color="auto"/>
            </w:tcBorders>
          </w:tcPr>
          <w:p w14:paraId="0E08CB4E" w14:textId="329D4DD0" w:rsidR="00AB6122" w:rsidRPr="009E686F" w:rsidRDefault="00AB6122" w:rsidP="00ED2C1C">
            <w:pPr>
              <w:spacing w:after="0"/>
              <w:jc w:val="both"/>
              <w:rPr>
                <w:rFonts w:ascii="Times New Roman" w:hAnsi="Times New Roman" w:cs="Times New Roman"/>
                <w:b/>
                <w:lang w:val="it-CH"/>
              </w:rPr>
            </w:pPr>
            <w:r w:rsidRPr="009E686F">
              <w:rPr>
                <w:rFonts w:ascii="Times New Roman" w:hAnsi="Times New Roman" w:cs="Times New Roman"/>
                <w:b/>
                <w:lang w:val="it-CH"/>
              </w:rPr>
              <w:lastRenderedPageBreak/>
              <w:t>Articolul 5 alin. (4)</w:t>
            </w:r>
          </w:p>
          <w:p w14:paraId="3360B915" w14:textId="77777777" w:rsidR="00AB6122" w:rsidRPr="009E686F" w:rsidRDefault="00AB6122" w:rsidP="00ED2C1C">
            <w:pPr>
              <w:spacing w:after="0"/>
              <w:jc w:val="both"/>
              <w:rPr>
                <w:rFonts w:ascii="Times New Roman" w:hAnsi="Times New Roman" w:cs="Times New Roman"/>
                <w:lang w:val="it-CH"/>
              </w:rPr>
            </w:pPr>
            <w:r w:rsidRPr="009E686F">
              <w:rPr>
                <w:rFonts w:ascii="Times New Roman" w:hAnsi="Times New Roman" w:cs="Times New Roman"/>
                <w:lang w:val="it-CH"/>
              </w:rPr>
              <w:t xml:space="preserve">(4) În îndeplinirea funcției de supraveghere prudențială, de investigație şi de aplicare a sancțiunilor prevăzute de prezenta lege, Banca Națională a Moldovei dispune de competențele necesare, </w:t>
            </w:r>
            <w:r w:rsidRPr="009E686F">
              <w:rPr>
                <w:rFonts w:ascii="Times New Roman" w:hAnsi="Times New Roman" w:cs="Times New Roman"/>
                <w:i/>
                <w:lang w:val="it-CH"/>
              </w:rPr>
              <w:t>inclusiv de competențele necesare pentru a impune penalitățile cu titlu cominatoriu</w:t>
            </w:r>
            <w:r w:rsidRPr="009E686F">
              <w:rPr>
                <w:rFonts w:ascii="Times New Roman" w:hAnsi="Times New Roman" w:cs="Times New Roman"/>
                <w:lang w:val="it-CH"/>
              </w:rPr>
              <w:t xml:space="preserve"> şi acționează în mod independent. În acest sens, Banca </w:t>
            </w:r>
            <w:r w:rsidRPr="009E686F">
              <w:rPr>
                <w:rFonts w:ascii="Times New Roman" w:hAnsi="Times New Roman" w:cs="Times New Roman"/>
                <w:lang w:val="it-CH"/>
              </w:rPr>
              <w:lastRenderedPageBreak/>
              <w:t>Națională a Moldovei trebuie să dispună de cunoştințele de specialitate, resursele şi capacitatea operațională necesare.</w:t>
            </w:r>
          </w:p>
          <w:p w14:paraId="1E45DCBE" w14:textId="77777777" w:rsidR="006E4DF5" w:rsidRPr="009E686F" w:rsidRDefault="006E4DF5" w:rsidP="00ED2C1C">
            <w:pPr>
              <w:spacing w:after="0"/>
              <w:jc w:val="both"/>
              <w:rPr>
                <w:rFonts w:ascii="Times New Roman" w:hAnsi="Times New Roman" w:cs="Times New Roman"/>
                <w:lang w:val="it-CH"/>
              </w:rPr>
            </w:pPr>
          </w:p>
          <w:p w14:paraId="1A768045" w14:textId="1DC21E09" w:rsidR="006E4DF5" w:rsidRPr="009E686F" w:rsidRDefault="006E4DF5" w:rsidP="00ED2C1C">
            <w:pPr>
              <w:spacing w:after="0"/>
              <w:jc w:val="both"/>
              <w:rPr>
                <w:rFonts w:ascii="Times New Roman" w:hAnsi="Times New Roman" w:cs="Times New Roman"/>
                <w:b/>
                <w:lang w:val="it-CH"/>
              </w:rPr>
            </w:pPr>
            <w:r w:rsidRPr="009E686F">
              <w:rPr>
                <w:rFonts w:ascii="Times New Roman" w:hAnsi="Times New Roman" w:cs="Times New Roman"/>
                <w:b/>
                <w:lang w:val="it-CH"/>
              </w:rPr>
              <w:t>Articolul 5</w:t>
            </w:r>
            <w:r w:rsidRPr="009E686F">
              <w:rPr>
                <w:rFonts w:ascii="Times New Roman" w:hAnsi="Times New Roman" w:cs="Times New Roman"/>
                <w:b/>
                <w:vertAlign w:val="superscript"/>
                <w:lang w:val="it-CH"/>
              </w:rPr>
              <w:t>1</w:t>
            </w:r>
            <w:r w:rsidRPr="009E686F">
              <w:rPr>
                <w:rFonts w:ascii="Times New Roman" w:hAnsi="Times New Roman" w:cs="Times New Roman"/>
                <w:b/>
                <w:lang w:val="it-CH"/>
              </w:rPr>
              <w:t xml:space="preserve"> alin. (5)</w:t>
            </w:r>
          </w:p>
          <w:p w14:paraId="05FEF650" w14:textId="78ADE57C" w:rsidR="006E4DF5" w:rsidRPr="009E686F" w:rsidRDefault="006E4DF5" w:rsidP="00ED2C1C">
            <w:pPr>
              <w:spacing w:after="0"/>
              <w:jc w:val="both"/>
              <w:rPr>
                <w:rFonts w:ascii="Times New Roman" w:hAnsi="Times New Roman" w:cs="Times New Roman"/>
                <w:i/>
                <w:iCs/>
                <w:lang w:val="it-CH"/>
              </w:rPr>
            </w:pPr>
            <w:r w:rsidRPr="009E686F">
              <w:rPr>
                <w:rFonts w:ascii="Times New Roman" w:hAnsi="Times New Roman" w:cs="Times New Roman"/>
                <w:i/>
                <w:lang w:val="it-CH"/>
              </w:rPr>
              <w:t xml:space="preserve">(5) În îndeplinirea funcţiilor cu privire la supravegherea prudenţială și aplicarea sancţiunilor prevăzute de prezenta lege, Comisiei Națională a Pieței Financiare dispune de competenţele necesare şi acţionează în mod independent. </w:t>
            </w:r>
            <w:r w:rsidRPr="009E686F">
              <w:rPr>
                <w:rFonts w:ascii="Times New Roman" w:hAnsi="Times New Roman" w:cs="Times New Roman"/>
                <w:i/>
                <w:iCs/>
                <w:lang w:val="it-CH"/>
              </w:rPr>
              <w:t xml:space="preserve">În acest sens, Comisia Națională a Pieței Financiare dispune de cunoştinţele de specialitate, resursele şi capacitatea operaţională necesare. </w:t>
            </w:r>
          </w:p>
        </w:tc>
        <w:tc>
          <w:tcPr>
            <w:tcW w:w="470" w:type="pct"/>
            <w:tcBorders>
              <w:top w:val="single" w:sz="4" w:space="0" w:color="auto"/>
              <w:left w:val="single" w:sz="4" w:space="0" w:color="auto"/>
              <w:bottom w:val="single" w:sz="4" w:space="0" w:color="auto"/>
              <w:right w:val="single" w:sz="4" w:space="0" w:color="auto"/>
            </w:tcBorders>
          </w:tcPr>
          <w:p w14:paraId="514460F0" w14:textId="4CA106EB" w:rsidR="00AB6122" w:rsidRPr="009E686F" w:rsidRDefault="00AB6122" w:rsidP="00AB6122">
            <w:pPr>
              <w:jc w:val="both"/>
              <w:rPr>
                <w:rFonts w:ascii="Times New Roman" w:hAnsi="Times New Roman" w:cs="Times New Roman"/>
              </w:rPr>
            </w:pPr>
            <w:r w:rsidRPr="009E686F">
              <w:rPr>
                <w:rFonts w:ascii="Times New Roman" w:hAnsi="Times New Roman" w:cs="Times New Roman"/>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213C0A58" w14:textId="4D8A64A8" w:rsidR="00AB6122" w:rsidRPr="009E686F" w:rsidRDefault="00AB6122" w:rsidP="00515783">
            <w:pPr>
              <w:spacing w:after="0"/>
              <w:jc w:val="both"/>
              <w:rPr>
                <w:rFonts w:ascii="Times New Roman" w:hAnsi="Times New Roman" w:cs="Times New Roman"/>
              </w:rPr>
            </w:pPr>
          </w:p>
        </w:tc>
      </w:tr>
      <w:tr w:rsidR="00B30AFC" w:rsidRPr="009E686F" w14:paraId="4D48E851" w14:textId="31A4DB4E" w:rsidTr="00960C23">
        <w:tc>
          <w:tcPr>
            <w:tcW w:w="1890" w:type="pct"/>
            <w:tcBorders>
              <w:top w:val="single" w:sz="4" w:space="0" w:color="auto"/>
              <w:left w:val="single" w:sz="4" w:space="0" w:color="auto"/>
              <w:bottom w:val="single" w:sz="4" w:space="0" w:color="auto"/>
              <w:right w:val="single" w:sz="4" w:space="0" w:color="auto"/>
            </w:tcBorders>
          </w:tcPr>
          <w:p w14:paraId="22C1C8F1" w14:textId="3E1487D0" w:rsidR="00AB6122" w:rsidRPr="009E686F" w:rsidRDefault="00AB6122" w:rsidP="00ED2C1C">
            <w:pPr>
              <w:spacing w:after="0"/>
              <w:jc w:val="both"/>
              <w:rPr>
                <w:rFonts w:ascii="Times New Roman" w:hAnsi="Times New Roman" w:cs="Times New Roman"/>
                <w:lang w:val="it-CH"/>
              </w:rPr>
            </w:pPr>
            <w:r w:rsidRPr="009E686F">
              <w:rPr>
                <w:rFonts w:ascii="Times New Roman" w:hAnsi="Times New Roman" w:cs="Times New Roman"/>
                <w:lang w:val="it-CH"/>
              </w:rPr>
              <w:t>(5) Statele membre cer instituțiilor să comunice autorităților competente din statele membre de origine toate informațiile necesare pentru evaluarea conformității lor cu normele adoptate în temeiul prezentei directive și al Regulamentului (UE) nr. 575/2013. De asemenea, statele membre se asigură că mecanismele de control intern și procedurile administrative și contabile ale instituțiilor permit în orice moment verificarea conformității lor cu aceste norme.</w:t>
            </w:r>
          </w:p>
        </w:tc>
        <w:tc>
          <w:tcPr>
            <w:tcW w:w="1834" w:type="pct"/>
            <w:tcBorders>
              <w:top w:val="single" w:sz="4" w:space="0" w:color="auto"/>
              <w:left w:val="single" w:sz="4" w:space="0" w:color="auto"/>
              <w:bottom w:val="single" w:sz="4" w:space="0" w:color="auto"/>
              <w:right w:val="single" w:sz="4" w:space="0" w:color="auto"/>
            </w:tcBorders>
          </w:tcPr>
          <w:p w14:paraId="52102000" w14:textId="1D5FFEA9" w:rsidR="00AB6122" w:rsidRPr="009E686F" w:rsidRDefault="00AB6122" w:rsidP="00ED2C1C">
            <w:pPr>
              <w:spacing w:after="0"/>
              <w:jc w:val="both"/>
              <w:rPr>
                <w:rFonts w:ascii="Times New Roman" w:hAnsi="Times New Roman" w:cs="Times New Roman"/>
                <w:lang w:val="it-CH"/>
              </w:rPr>
            </w:pPr>
            <w:r w:rsidRPr="009E686F">
              <w:rPr>
                <w:rFonts w:ascii="Times New Roman" w:hAnsi="Times New Roman" w:cs="Times New Roman"/>
                <w:b/>
                <w:lang w:val="it-CH"/>
              </w:rPr>
              <w:t>Articolul 99.</w:t>
            </w:r>
            <w:r w:rsidRPr="009E686F">
              <w:rPr>
                <w:rFonts w:ascii="Times New Roman" w:hAnsi="Times New Roman" w:cs="Times New Roman"/>
                <w:lang w:val="it-CH"/>
              </w:rPr>
              <w:t xml:space="preserve">  </w:t>
            </w:r>
            <w:r w:rsidR="006E6F01" w:rsidRPr="009E686F">
              <w:rPr>
                <w:rFonts w:ascii="Times New Roman" w:hAnsi="Times New Roman" w:cs="Times New Roman"/>
                <w:lang w:val="it-CH"/>
              </w:rPr>
              <w:t xml:space="preserve">Supravegherea prudenţială </w:t>
            </w:r>
            <w:r w:rsidR="00A51A7D" w:rsidRPr="009E686F">
              <w:rPr>
                <w:rFonts w:ascii="Times New Roman" w:hAnsi="Times New Roman" w:cs="Times New Roman"/>
                <w:i/>
                <w:lang w:val="it-CH"/>
              </w:rPr>
              <w:t>instituțiilor de credit</w:t>
            </w:r>
            <w:r w:rsidR="006E6F01" w:rsidRPr="009E686F">
              <w:rPr>
                <w:rFonts w:ascii="Times New Roman" w:hAnsi="Times New Roman" w:cs="Times New Roman"/>
                <w:lang w:val="it-CH"/>
              </w:rPr>
              <w:t xml:space="preserve">  persoane juridice din Republica Moldova </w:t>
            </w:r>
            <w:r w:rsidR="006E6F01" w:rsidRPr="009E686F">
              <w:rPr>
                <w:rFonts w:ascii="Times New Roman" w:hAnsi="Times New Roman" w:cs="Times New Roman"/>
                <w:i/>
                <w:lang w:val="it-CH"/>
              </w:rPr>
              <w:t xml:space="preserve">și măsurile referitoare la activitatea </w:t>
            </w:r>
            <w:r w:rsidR="00A51A7D" w:rsidRPr="009E686F">
              <w:rPr>
                <w:rFonts w:ascii="Times New Roman" w:hAnsi="Times New Roman" w:cs="Times New Roman"/>
                <w:i/>
                <w:lang w:val="it-CH"/>
              </w:rPr>
              <w:t>instituțiilor de credit</w:t>
            </w:r>
            <w:r w:rsidR="006E6F01" w:rsidRPr="009E686F">
              <w:rPr>
                <w:rFonts w:ascii="Times New Roman" w:hAnsi="Times New Roman" w:cs="Times New Roman"/>
                <w:i/>
                <w:lang w:val="it-CH"/>
              </w:rPr>
              <w:t xml:space="preserve"> din</w:t>
            </w:r>
            <w:r w:rsidR="00AA4120" w:rsidRPr="009E686F">
              <w:rPr>
                <w:rFonts w:ascii="Times New Roman" w:hAnsi="Times New Roman" w:cs="Times New Roman"/>
                <w:i/>
                <w:lang w:val="it-CH"/>
              </w:rPr>
              <w:t xml:space="preserve"> </w:t>
            </w:r>
            <w:r w:rsidR="002D3B80" w:rsidRPr="009E686F">
              <w:rPr>
                <w:rFonts w:ascii="Times New Roman" w:hAnsi="Times New Roman" w:cs="Times New Roman"/>
                <w:i/>
                <w:lang w:val="it-CH"/>
              </w:rPr>
              <w:t>statele terțe</w:t>
            </w:r>
            <w:r w:rsidR="00AA4120" w:rsidRPr="009E686F">
              <w:rPr>
                <w:rFonts w:ascii="Times New Roman" w:hAnsi="Times New Roman" w:cs="Times New Roman"/>
                <w:i/>
                <w:lang w:val="it-CH"/>
              </w:rPr>
              <w:t xml:space="preserve"> și statele membre</w:t>
            </w:r>
            <w:r w:rsidR="002D3B80" w:rsidRPr="009E686F">
              <w:rPr>
                <w:rFonts w:ascii="Times New Roman" w:hAnsi="Times New Roman" w:cs="Times New Roman"/>
                <w:i/>
                <w:lang w:val="it-CH"/>
              </w:rPr>
              <w:t xml:space="preserve"> </w:t>
            </w:r>
            <w:r w:rsidR="006E6F01" w:rsidRPr="009E686F">
              <w:rPr>
                <w:rFonts w:ascii="Times New Roman" w:hAnsi="Times New Roman" w:cs="Times New Roman"/>
                <w:i/>
                <w:lang w:val="it-CH"/>
              </w:rPr>
              <w:t>pe teritoriul Republicii Moldova</w:t>
            </w:r>
          </w:p>
          <w:p w14:paraId="4FA88B39" w14:textId="623ECC63" w:rsidR="00AB6122" w:rsidRPr="009E686F" w:rsidRDefault="00AB6122" w:rsidP="00ED2C1C">
            <w:pPr>
              <w:spacing w:after="0"/>
              <w:jc w:val="both"/>
              <w:rPr>
                <w:rFonts w:ascii="Times New Roman" w:hAnsi="Times New Roman" w:cs="Times New Roman"/>
                <w:lang w:val="it-CH"/>
              </w:rPr>
            </w:pPr>
            <w:r w:rsidRPr="009E686F">
              <w:rPr>
                <w:rFonts w:ascii="Times New Roman" w:hAnsi="Times New Roman" w:cs="Times New Roman"/>
                <w:lang w:val="it-CH"/>
              </w:rPr>
              <w:t xml:space="preserve">(3)  </w:t>
            </w:r>
            <w:r w:rsidR="00A51A7D" w:rsidRPr="009E686F">
              <w:rPr>
                <w:rFonts w:ascii="Times New Roman" w:hAnsi="Times New Roman" w:cs="Times New Roman"/>
                <w:i/>
                <w:lang w:val="it-CH"/>
              </w:rPr>
              <w:t>Instituțiile de credit</w:t>
            </w:r>
            <w:r w:rsidRPr="009E686F">
              <w:rPr>
                <w:rFonts w:ascii="Times New Roman" w:hAnsi="Times New Roman" w:cs="Times New Roman"/>
                <w:lang w:val="it-CH"/>
              </w:rPr>
              <w:t xml:space="preserve"> trebuie să furnizeze Băncii Naționale a Moldovei orice informație necesară pentru evaluarea conformării lor la cerințele prudențiale prevăzute de prezenta lege şi de actele normative emise în aplicarea acesteia. Mecanismele de control intern şi procedurile contabile şi administrative ale </w:t>
            </w:r>
            <w:r w:rsidRPr="009E686F">
              <w:rPr>
                <w:rFonts w:ascii="Times New Roman" w:hAnsi="Times New Roman" w:cs="Times New Roman"/>
                <w:lang w:val="it-IT"/>
              </w:rPr>
              <w:t xml:space="preserve"> </w:t>
            </w:r>
            <w:r w:rsidR="00A51A7D" w:rsidRPr="009E686F">
              <w:rPr>
                <w:rFonts w:ascii="Times New Roman" w:hAnsi="Times New Roman" w:cs="Times New Roman"/>
                <w:i/>
                <w:iCs/>
                <w:lang w:val="it-CH"/>
              </w:rPr>
              <w:t>instituțiilor de credit</w:t>
            </w:r>
            <w:r w:rsidRPr="009E686F">
              <w:rPr>
                <w:rFonts w:ascii="Times New Roman" w:hAnsi="Times New Roman" w:cs="Times New Roman"/>
                <w:lang w:val="it-CH"/>
              </w:rPr>
              <w:t xml:space="preserve">  trebuie să permită verificarea în orice moment a conformării la cerințele prudențiale.</w:t>
            </w:r>
          </w:p>
        </w:tc>
        <w:tc>
          <w:tcPr>
            <w:tcW w:w="470" w:type="pct"/>
            <w:tcBorders>
              <w:top w:val="single" w:sz="4" w:space="0" w:color="auto"/>
              <w:left w:val="single" w:sz="4" w:space="0" w:color="auto"/>
              <w:bottom w:val="single" w:sz="4" w:space="0" w:color="auto"/>
              <w:right w:val="single" w:sz="4" w:space="0" w:color="auto"/>
            </w:tcBorders>
          </w:tcPr>
          <w:p w14:paraId="273F0A1C" w14:textId="1B202E03" w:rsidR="00AB6122" w:rsidRPr="009E686F" w:rsidRDefault="00AB6122" w:rsidP="00AB6122">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0FF1E0C7" w14:textId="4747C435" w:rsidR="00AB6122" w:rsidRPr="009E686F" w:rsidRDefault="00AB6122" w:rsidP="00515783">
            <w:pPr>
              <w:spacing w:after="0"/>
              <w:jc w:val="both"/>
              <w:rPr>
                <w:rFonts w:ascii="Times New Roman" w:hAnsi="Times New Roman" w:cs="Times New Roman"/>
              </w:rPr>
            </w:pPr>
          </w:p>
        </w:tc>
      </w:tr>
      <w:tr w:rsidR="00B30AFC" w:rsidRPr="009E686F" w14:paraId="0ED15703" w14:textId="2B17765A" w:rsidTr="00960C23">
        <w:tc>
          <w:tcPr>
            <w:tcW w:w="1890" w:type="pct"/>
            <w:tcBorders>
              <w:top w:val="single" w:sz="4" w:space="0" w:color="auto"/>
              <w:left w:val="single" w:sz="4" w:space="0" w:color="auto"/>
              <w:bottom w:val="single" w:sz="4" w:space="0" w:color="auto"/>
              <w:right w:val="single" w:sz="4" w:space="0" w:color="auto"/>
            </w:tcBorders>
          </w:tcPr>
          <w:p w14:paraId="420875D5" w14:textId="1FEA04A4" w:rsidR="00AB6122" w:rsidRPr="009E686F" w:rsidRDefault="00AB6122" w:rsidP="00ED2C1C">
            <w:pPr>
              <w:spacing w:after="0"/>
              <w:jc w:val="both"/>
              <w:rPr>
                <w:rFonts w:ascii="Times New Roman" w:hAnsi="Times New Roman" w:cs="Times New Roman"/>
              </w:rPr>
            </w:pPr>
            <w:r w:rsidRPr="009E686F">
              <w:rPr>
                <w:rFonts w:ascii="Times New Roman" w:hAnsi="Times New Roman" w:cs="Times New Roman"/>
              </w:rPr>
              <w:t>(6) Statele membre se asigură că instituțiile își înregistrează toate tranzacțiile și își documentează toate sistemele și procesele care fac obiectul prezentei directive și al Regulamentului (UE) nr. 575/2013 într-un mod care să le permită autorităților competente să verifice în orice moment conformitatea cu prezenta directivă și cu Regulamentul (UE) nr. 575/2013.</w:t>
            </w:r>
          </w:p>
        </w:tc>
        <w:tc>
          <w:tcPr>
            <w:tcW w:w="1834" w:type="pct"/>
            <w:tcBorders>
              <w:top w:val="single" w:sz="4" w:space="0" w:color="auto"/>
              <w:left w:val="single" w:sz="4" w:space="0" w:color="auto"/>
              <w:bottom w:val="single" w:sz="4" w:space="0" w:color="auto"/>
              <w:right w:val="single" w:sz="4" w:space="0" w:color="auto"/>
            </w:tcBorders>
          </w:tcPr>
          <w:p w14:paraId="01C6CD8B" w14:textId="325C6A34" w:rsidR="00AB6122" w:rsidRPr="009E686F" w:rsidRDefault="00AB6122" w:rsidP="00ED2C1C">
            <w:pPr>
              <w:spacing w:after="0"/>
              <w:jc w:val="both"/>
              <w:rPr>
                <w:rFonts w:ascii="Times New Roman" w:hAnsi="Times New Roman" w:cs="Times New Roman"/>
                <w:b/>
              </w:rPr>
            </w:pPr>
            <w:r w:rsidRPr="009E686F">
              <w:rPr>
                <w:rFonts w:ascii="Times New Roman" w:hAnsi="Times New Roman" w:cs="Times New Roman"/>
              </w:rPr>
              <w:t xml:space="preserve">(4) </w:t>
            </w:r>
            <w:r w:rsidR="00A51A7D" w:rsidRPr="009E686F">
              <w:rPr>
                <w:rFonts w:ascii="Times New Roman" w:hAnsi="Times New Roman" w:cs="Times New Roman"/>
                <w:i/>
                <w:iCs/>
              </w:rPr>
              <w:t>Instituțiile de credit</w:t>
            </w:r>
            <w:r w:rsidRPr="009E686F">
              <w:rPr>
                <w:rFonts w:ascii="Times New Roman" w:hAnsi="Times New Roman" w:cs="Times New Roman"/>
              </w:rPr>
              <w:t xml:space="preserve"> înregistrează toate tranzacțiile şi formalizează toate sistemele şi procesele, prevăzute de prezenta lege şi de actele normative emise în aplicarea acesteia, astfel încât Banca Națională a Moldovei să poată realiza verificarea, în orice moment, a conformării cu respectivele cerințe prudențiale.</w:t>
            </w:r>
          </w:p>
        </w:tc>
        <w:tc>
          <w:tcPr>
            <w:tcW w:w="470" w:type="pct"/>
            <w:tcBorders>
              <w:top w:val="single" w:sz="4" w:space="0" w:color="auto"/>
              <w:left w:val="single" w:sz="4" w:space="0" w:color="auto"/>
              <w:bottom w:val="single" w:sz="4" w:space="0" w:color="auto"/>
              <w:right w:val="single" w:sz="4" w:space="0" w:color="auto"/>
            </w:tcBorders>
          </w:tcPr>
          <w:p w14:paraId="45F65CA5" w14:textId="34615359" w:rsidR="00AB6122" w:rsidRPr="009E686F" w:rsidRDefault="00AB6122" w:rsidP="00AB6122">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42C8076A" w14:textId="38739A61" w:rsidR="00AB6122" w:rsidRPr="009E686F" w:rsidRDefault="00AB6122" w:rsidP="00515783">
            <w:pPr>
              <w:spacing w:after="0"/>
              <w:jc w:val="both"/>
              <w:rPr>
                <w:rFonts w:ascii="Times New Roman" w:hAnsi="Times New Roman" w:cs="Times New Roman"/>
              </w:rPr>
            </w:pPr>
          </w:p>
        </w:tc>
      </w:tr>
      <w:tr w:rsidR="00B30AFC" w:rsidRPr="009E686F" w14:paraId="3AC5E0B7" w14:textId="0A73E650" w:rsidTr="00960C23">
        <w:tc>
          <w:tcPr>
            <w:tcW w:w="1890" w:type="pct"/>
            <w:tcBorders>
              <w:top w:val="single" w:sz="4" w:space="0" w:color="auto"/>
              <w:left w:val="single" w:sz="4" w:space="0" w:color="auto"/>
              <w:bottom w:val="single" w:sz="4" w:space="0" w:color="auto"/>
              <w:right w:val="single" w:sz="4" w:space="0" w:color="auto"/>
            </w:tcBorders>
          </w:tcPr>
          <w:p w14:paraId="7D283232" w14:textId="5D731F3D" w:rsidR="00AB6122" w:rsidRPr="009E686F" w:rsidRDefault="00AB6122" w:rsidP="00ED2C1C">
            <w:pPr>
              <w:spacing w:after="0"/>
              <w:jc w:val="both"/>
              <w:rPr>
                <w:rFonts w:ascii="Times New Roman" w:hAnsi="Times New Roman" w:cs="Times New Roman"/>
                <w:lang w:val="it-CH"/>
              </w:rPr>
            </w:pPr>
            <w:r w:rsidRPr="009E686F">
              <w:rPr>
                <w:rFonts w:ascii="Times New Roman" w:hAnsi="Times New Roman" w:cs="Times New Roman"/>
                <w:lang w:val="it-CH"/>
              </w:rPr>
              <w:t xml:space="preserve">(7) Statele membre asigură faptul că funcțiile de supraveghere în temeiul prezentei directive și al Regulamentului (UE) nr. </w:t>
            </w:r>
            <w:r w:rsidRPr="009E686F">
              <w:rPr>
                <w:rFonts w:ascii="Times New Roman" w:hAnsi="Times New Roman" w:cs="Times New Roman"/>
                <w:lang w:val="it-CH"/>
              </w:rPr>
              <w:lastRenderedPageBreak/>
              <w:t xml:space="preserve">575/2013 și orice alte funcții ale autorităților competente sunt separate și independente de funcțiile legate de rezoluție. </w:t>
            </w:r>
          </w:p>
          <w:p w14:paraId="0A1A9F27" w14:textId="77777777" w:rsidR="00AB6122" w:rsidRPr="009E686F" w:rsidRDefault="00AB6122" w:rsidP="00ED2C1C">
            <w:pPr>
              <w:spacing w:after="0"/>
              <w:jc w:val="both"/>
              <w:rPr>
                <w:rFonts w:ascii="Times New Roman" w:hAnsi="Times New Roman" w:cs="Times New Roman"/>
                <w:lang w:val="it-CH"/>
              </w:rPr>
            </w:pPr>
          </w:p>
          <w:p w14:paraId="3A585FBA" w14:textId="77777777" w:rsidR="00AB6122" w:rsidRPr="009E686F" w:rsidRDefault="00AB6122" w:rsidP="00ED2C1C">
            <w:pPr>
              <w:spacing w:after="0"/>
              <w:jc w:val="both"/>
              <w:rPr>
                <w:rFonts w:ascii="Times New Roman" w:hAnsi="Times New Roman" w:cs="Times New Roman"/>
                <w:lang w:val="it-CH"/>
              </w:rPr>
            </w:pPr>
          </w:p>
          <w:p w14:paraId="6B5D4420" w14:textId="77777777" w:rsidR="00AB6122" w:rsidRPr="009E686F" w:rsidRDefault="00AB6122" w:rsidP="00ED2C1C">
            <w:pPr>
              <w:spacing w:after="0"/>
              <w:jc w:val="both"/>
              <w:rPr>
                <w:rFonts w:ascii="Times New Roman" w:hAnsi="Times New Roman" w:cs="Times New Roman"/>
                <w:lang w:val="it-CH"/>
              </w:rPr>
            </w:pPr>
            <w:r w:rsidRPr="009E686F">
              <w:rPr>
                <w:rFonts w:ascii="Times New Roman" w:hAnsi="Times New Roman" w:cs="Times New Roman"/>
                <w:lang w:val="it-CH"/>
              </w:rPr>
              <w:t>Statele membre informează Comisia și ABE în acest sens, indicând orice separare a atribuțiilor.</w:t>
            </w:r>
          </w:p>
        </w:tc>
        <w:tc>
          <w:tcPr>
            <w:tcW w:w="1834" w:type="pct"/>
            <w:tcBorders>
              <w:top w:val="single" w:sz="4" w:space="0" w:color="auto"/>
              <w:left w:val="single" w:sz="4" w:space="0" w:color="auto"/>
              <w:bottom w:val="single" w:sz="4" w:space="0" w:color="auto"/>
              <w:right w:val="single" w:sz="4" w:space="0" w:color="auto"/>
            </w:tcBorders>
          </w:tcPr>
          <w:p w14:paraId="4309BAC1" w14:textId="7AA63253" w:rsidR="00AB6122" w:rsidRPr="009E686F" w:rsidRDefault="00AB6122" w:rsidP="00ED2C1C">
            <w:pPr>
              <w:spacing w:after="0"/>
              <w:jc w:val="both"/>
              <w:rPr>
                <w:rFonts w:ascii="Times New Roman" w:hAnsi="Times New Roman" w:cs="Times New Roman"/>
                <w:b/>
                <w:bCs/>
                <w:lang w:val="it-CH"/>
              </w:rPr>
            </w:pPr>
            <w:r w:rsidRPr="009E686F">
              <w:rPr>
                <w:rFonts w:ascii="Times New Roman" w:hAnsi="Times New Roman" w:cs="Times New Roman"/>
                <w:b/>
                <w:bCs/>
                <w:lang w:val="it-CH"/>
              </w:rPr>
              <w:lastRenderedPageBreak/>
              <w:t>Articolul 4 alin. (3)</w:t>
            </w:r>
          </w:p>
          <w:p w14:paraId="754E1B20" w14:textId="4C655DE5" w:rsidR="00AB6122" w:rsidRPr="009E686F" w:rsidRDefault="00AB6122" w:rsidP="00ED2C1C">
            <w:pPr>
              <w:spacing w:after="0"/>
              <w:jc w:val="both"/>
              <w:rPr>
                <w:rFonts w:ascii="Times New Roman" w:hAnsi="Times New Roman" w:cs="Times New Roman"/>
                <w:lang w:val="it-CH"/>
              </w:rPr>
            </w:pPr>
            <w:r w:rsidRPr="009E686F">
              <w:rPr>
                <w:rFonts w:ascii="Times New Roman" w:hAnsi="Times New Roman" w:cs="Times New Roman"/>
                <w:lang w:val="it-CH"/>
              </w:rPr>
              <w:lastRenderedPageBreak/>
              <w:t xml:space="preserve">(3) Banca Națională a Moldovei se asigură că, în cadrul realizării atribuțiilor sale, funcția de supraveghere în temeiul prezentei legi și orice alte funcții ale acesteia prevăzute în Legea nr.548/1995 cu privire la Banca Națională a Moldovei sunt separate și independente de funcția de rezoluție exercitată potrivit Legii nr.232/2016 privind redresarea și rezoluția </w:t>
            </w:r>
            <w:r w:rsidR="00A51A7D" w:rsidRPr="009E686F">
              <w:rPr>
                <w:rFonts w:ascii="Times New Roman" w:hAnsi="Times New Roman" w:cs="Times New Roman"/>
                <w:i/>
                <w:iCs/>
                <w:lang w:val="it-CH"/>
              </w:rPr>
              <w:t>instituțiilor de credit</w:t>
            </w:r>
            <w:r w:rsidRPr="009E686F">
              <w:rPr>
                <w:rFonts w:ascii="Times New Roman" w:hAnsi="Times New Roman" w:cs="Times New Roman"/>
                <w:lang w:val="it-CH"/>
              </w:rPr>
              <w:t>.</w:t>
            </w:r>
          </w:p>
        </w:tc>
        <w:tc>
          <w:tcPr>
            <w:tcW w:w="470" w:type="pct"/>
            <w:tcBorders>
              <w:top w:val="single" w:sz="4" w:space="0" w:color="auto"/>
              <w:left w:val="single" w:sz="4" w:space="0" w:color="auto"/>
              <w:bottom w:val="single" w:sz="4" w:space="0" w:color="auto"/>
              <w:right w:val="single" w:sz="4" w:space="0" w:color="auto"/>
            </w:tcBorders>
          </w:tcPr>
          <w:p w14:paraId="77773E45" w14:textId="77777777" w:rsidR="00AB6122" w:rsidRPr="009E686F" w:rsidRDefault="00AB6122" w:rsidP="00AB6122">
            <w:pPr>
              <w:jc w:val="both"/>
              <w:rPr>
                <w:rFonts w:ascii="Times New Roman" w:hAnsi="Times New Roman" w:cs="Times New Roman"/>
                <w:lang w:val="it-CH"/>
              </w:rPr>
            </w:pPr>
            <w:r w:rsidRPr="009E686F">
              <w:rPr>
                <w:rFonts w:ascii="Times New Roman" w:hAnsi="Times New Roman" w:cs="Times New Roman"/>
                <w:lang w:val="it-CH"/>
              </w:rPr>
              <w:lastRenderedPageBreak/>
              <w:t>Compatibil</w:t>
            </w:r>
          </w:p>
          <w:p w14:paraId="01C3B495" w14:textId="77777777" w:rsidR="00AB6122" w:rsidRPr="009E686F" w:rsidRDefault="00AB6122" w:rsidP="00AB6122">
            <w:pPr>
              <w:jc w:val="both"/>
              <w:rPr>
                <w:rFonts w:ascii="Times New Roman" w:hAnsi="Times New Roman" w:cs="Times New Roman"/>
                <w:lang w:val="it-CH"/>
              </w:rPr>
            </w:pPr>
          </w:p>
          <w:p w14:paraId="7EDC37EA" w14:textId="77777777" w:rsidR="00AB6122" w:rsidRPr="009E686F" w:rsidRDefault="00AB6122" w:rsidP="00AB6122">
            <w:pPr>
              <w:jc w:val="both"/>
              <w:rPr>
                <w:rFonts w:ascii="Times New Roman" w:hAnsi="Times New Roman" w:cs="Times New Roman"/>
                <w:lang w:val="it-CH"/>
              </w:rPr>
            </w:pPr>
          </w:p>
          <w:p w14:paraId="1376F71F" w14:textId="77777777" w:rsidR="009263E8" w:rsidRPr="009E686F" w:rsidRDefault="009263E8" w:rsidP="00AB6122">
            <w:pPr>
              <w:jc w:val="both"/>
              <w:rPr>
                <w:rFonts w:ascii="Times New Roman" w:hAnsi="Times New Roman" w:cs="Times New Roman"/>
                <w:lang w:val="it-CH"/>
              </w:rPr>
            </w:pPr>
          </w:p>
          <w:p w14:paraId="00C0E48A" w14:textId="2F5F8774" w:rsidR="00AB6122" w:rsidRPr="009E686F" w:rsidRDefault="00AB6122" w:rsidP="00AB6122">
            <w:pPr>
              <w:jc w:val="both"/>
              <w:rPr>
                <w:rFonts w:ascii="Times New Roman" w:hAnsi="Times New Roman" w:cs="Times New Roman"/>
                <w:lang w:val="it-CH"/>
              </w:rPr>
            </w:pPr>
            <w:r w:rsidRPr="009E686F">
              <w:rPr>
                <w:rFonts w:ascii="Times New Roman" w:hAnsi="Times New Roman" w:cs="Times New Roman"/>
                <w:lang w:val="it-CH"/>
              </w:rPr>
              <w:t>Norme UE neaplicabile</w:t>
            </w:r>
          </w:p>
        </w:tc>
        <w:tc>
          <w:tcPr>
            <w:tcW w:w="806" w:type="pct"/>
            <w:tcBorders>
              <w:top w:val="single" w:sz="4" w:space="0" w:color="auto"/>
              <w:left w:val="single" w:sz="4" w:space="0" w:color="auto"/>
              <w:bottom w:val="single" w:sz="4" w:space="0" w:color="auto"/>
              <w:right w:val="single" w:sz="4" w:space="0" w:color="auto"/>
            </w:tcBorders>
          </w:tcPr>
          <w:p w14:paraId="6DA3AA37" w14:textId="22E08B71" w:rsidR="00AB6122" w:rsidRPr="009E686F" w:rsidRDefault="00AB6122" w:rsidP="00515783">
            <w:pPr>
              <w:spacing w:after="0"/>
              <w:jc w:val="both"/>
              <w:rPr>
                <w:rFonts w:ascii="Times New Roman" w:hAnsi="Times New Roman" w:cs="Times New Roman"/>
                <w:lang w:val="it-CH"/>
              </w:rPr>
            </w:pPr>
          </w:p>
        </w:tc>
      </w:tr>
      <w:tr w:rsidR="00B30AFC" w:rsidRPr="009E686F" w14:paraId="30153EF2" w14:textId="7CA54A33" w:rsidTr="00960C23">
        <w:tc>
          <w:tcPr>
            <w:tcW w:w="1890" w:type="pct"/>
            <w:tcBorders>
              <w:top w:val="single" w:sz="4" w:space="0" w:color="auto"/>
              <w:left w:val="single" w:sz="4" w:space="0" w:color="auto"/>
              <w:bottom w:val="single" w:sz="4" w:space="0" w:color="auto"/>
              <w:right w:val="single" w:sz="4" w:space="0" w:color="auto"/>
            </w:tcBorders>
          </w:tcPr>
          <w:p w14:paraId="4BFB8A91" w14:textId="0B7F59C8" w:rsidR="00AB6122" w:rsidRPr="009E686F" w:rsidRDefault="00AB6122" w:rsidP="00ED2C1C">
            <w:pPr>
              <w:spacing w:after="0"/>
              <w:jc w:val="both"/>
              <w:rPr>
                <w:rFonts w:ascii="Times New Roman" w:hAnsi="Times New Roman" w:cs="Times New Roman"/>
              </w:rPr>
            </w:pPr>
            <w:r w:rsidRPr="009E686F">
              <w:rPr>
                <w:rFonts w:ascii="Times New Roman" w:hAnsi="Times New Roman" w:cs="Times New Roman"/>
              </w:rPr>
              <w:t xml:space="preserve">(8) Statele membre se asigură că, atunci când competența de rezoluție revine altor  autorități decât autorităților competente, acele alte autorități cooperează îndeaproape cu autoritățile competente </w:t>
            </w:r>
            <w:r w:rsidRPr="009E686F">
              <w:rPr>
                <w:rFonts w:ascii="Times New Roman" w:eastAsia="Times New Roman" w:hAnsi="Times New Roman" w:cs="Times New Roman"/>
                <w:color w:val="000000"/>
                <w:lang w:eastAsia="ro-MD"/>
              </w:rPr>
              <w:t xml:space="preserve">și le consultă atunci când pregătesc planurile de rezoluție și </w:t>
            </w:r>
            <w:r w:rsidRPr="009E686F">
              <w:rPr>
                <w:rFonts w:ascii="Times New Roman" w:hAnsi="Times New Roman" w:cs="Times New Roman"/>
              </w:rPr>
              <w:t>în toate celelalte cazuri în care respectiva cooperare și consultare este impusă de prezenta directivă, de Directiva 2014/59/UE sau de Regulamentul (UE) nr. 575/2013..</w:t>
            </w:r>
          </w:p>
        </w:tc>
        <w:tc>
          <w:tcPr>
            <w:tcW w:w="1834" w:type="pct"/>
            <w:tcBorders>
              <w:top w:val="single" w:sz="4" w:space="0" w:color="auto"/>
              <w:left w:val="single" w:sz="4" w:space="0" w:color="auto"/>
              <w:bottom w:val="single" w:sz="4" w:space="0" w:color="auto"/>
              <w:right w:val="single" w:sz="4" w:space="0" w:color="auto"/>
            </w:tcBorders>
          </w:tcPr>
          <w:p w14:paraId="2A1B465C" w14:textId="19855320" w:rsidR="00A3412F" w:rsidRPr="009E686F" w:rsidRDefault="00A3412F" w:rsidP="00ED2C1C">
            <w:pPr>
              <w:spacing w:after="0"/>
              <w:jc w:val="both"/>
              <w:rPr>
                <w:rFonts w:ascii="Times New Roman" w:hAnsi="Times New Roman" w:cs="Times New Roman"/>
                <w:i/>
                <w:lang w:val="it-CH"/>
              </w:rPr>
            </w:pPr>
            <w:r w:rsidRPr="009E686F">
              <w:rPr>
                <w:rFonts w:ascii="Times New Roman" w:hAnsi="Times New Roman" w:cs="Times New Roman"/>
                <w:i/>
                <w:lang w:val="it-CH"/>
              </w:rPr>
              <w:t>Articolul 3 alin. (1)-(2)</w:t>
            </w:r>
            <w:r w:rsidR="00E50687" w:rsidRPr="009E686F">
              <w:rPr>
                <w:rFonts w:ascii="Times New Roman" w:hAnsi="Times New Roman" w:cs="Times New Roman"/>
                <w:i/>
                <w:lang w:val="it-CH"/>
              </w:rPr>
              <w:t xml:space="preserve"> din</w:t>
            </w:r>
            <w:r w:rsidR="00E50687" w:rsidRPr="009E686F">
              <w:rPr>
                <w:rFonts w:ascii="Times New Roman" w:hAnsi="Times New Roman" w:cs="Times New Roman"/>
                <w:b/>
                <w:i/>
                <w:lang w:val="it-CH"/>
              </w:rPr>
              <w:t xml:space="preserve"> </w:t>
            </w:r>
            <w:r w:rsidR="00E50687" w:rsidRPr="009E686F">
              <w:rPr>
                <w:rFonts w:ascii="Times New Roman" w:hAnsi="Times New Roman" w:cs="Times New Roman"/>
                <w:i/>
                <w:lang w:val="it-CH"/>
              </w:rPr>
              <w:t>Legea privind redresarea şi rezoluţia băncilor, nr. 232  din  03.10.2016</w:t>
            </w:r>
          </w:p>
          <w:p w14:paraId="48B8DCFA" w14:textId="77777777" w:rsidR="00E50687" w:rsidRPr="009E686F" w:rsidRDefault="00E50687" w:rsidP="00ED2C1C">
            <w:pPr>
              <w:spacing w:after="0"/>
              <w:jc w:val="both"/>
              <w:rPr>
                <w:rFonts w:ascii="Times New Roman" w:hAnsi="Times New Roman" w:cs="Times New Roman"/>
                <w:b/>
                <w:lang w:val="it-CH"/>
              </w:rPr>
            </w:pPr>
          </w:p>
          <w:p w14:paraId="21C8B535" w14:textId="7ED1911C" w:rsidR="00E50687" w:rsidRPr="009E686F" w:rsidRDefault="00E50687" w:rsidP="00ED2C1C">
            <w:pPr>
              <w:spacing w:after="0"/>
              <w:jc w:val="both"/>
              <w:rPr>
                <w:rFonts w:ascii="Times New Roman" w:hAnsi="Times New Roman" w:cs="Times New Roman"/>
                <w:b/>
                <w:lang w:val="it-CH"/>
              </w:rPr>
            </w:pPr>
            <w:r w:rsidRPr="009E686F">
              <w:rPr>
                <w:rFonts w:ascii="Times New Roman" w:hAnsi="Times New Roman" w:cs="Times New Roman"/>
                <w:b/>
                <w:lang w:val="it-CH"/>
              </w:rPr>
              <w:t>Articolul 3 alin. (1)-(2)</w:t>
            </w:r>
          </w:p>
          <w:p w14:paraId="04961A3B" w14:textId="7895E912" w:rsidR="00AB6122" w:rsidRPr="009E686F" w:rsidRDefault="00AB6122" w:rsidP="00ED2C1C">
            <w:pPr>
              <w:spacing w:after="0"/>
              <w:jc w:val="both"/>
              <w:rPr>
                <w:rFonts w:ascii="Times New Roman" w:hAnsi="Times New Roman" w:cs="Times New Roman"/>
                <w:lang w:val="it-CH"/>
              </w:rPr>
            </w:pPr>
            <w:r w:rsidRPr="009E686F">
              <w:rPr>
                <w:rFonts w:ascii="Times New Roman" w:hAnsi="Times New Roman" w:cs="Times New Roman"/>
                <w:lang w:val="it-CH"/>
              </w:rPr>
              <w:t>(1) În sensul prezentei legi, Banca Naţională a Moldovei este autoritate competentă, precum şi autoritate de rezoluţie.</w:t>
            </w:r>
          </w:p>
          <w:p w14:paraId="1B4E7292" w14:textId="445A1E7D" w:rsidR="00AB6122" w:rsidRPr="009E686F" w:rsidRDefault="00AB6122" w:rsidP="00ED2C1C">
            <w:pPr>
              <w:spacing w:after="0"/>
              <w:jc w:val="both"/>
              <w:rPr>
                <w:rFonts w:ascii="Times New Roman" w:hAnsi="Times New Roman" w:cs="Times New Roman"/>
                <w:bCs/>
                <w:lang w:val="it-CH"/>
              </w:rPr>
            </w:pPr>
            <w:r w:rsidRPr="009E686F">
              <w:rPr>
                <w:rFonts w:ascii="Times New Roman" w:hAnsi="Times New Roman" w:cs="Times New Roman"/>
                <w:bCs/>
                <w:lang w:val="it-CH"/>
              </w:rPr>
              <w:t>(2) În vederea exercitării mandatului prevăzut la alin.(1), Banca Naţională a Moldovei:</w:t>
            </w:r>
          </w:p>
          <w:p w14:paraId="430B801E" w14:textId="77777777" w:rsidR="00AB6122" w:rsidRPr="009E686F" w:rsidRDefault="00AB6122" w:rsidP="00ED2C1C">
            <w:pPr>
              <w:spacing w:after="0"/>
              <w:jc w:val="both"/>
              <w:rPr>
                <w:rFonts w:ascii="Times New Roman" w:hAnsi="Times New Roman" w:cs="Times New Roman"/>
                <w:bCs/>
                <w:lang w:val="it-CH"/>
              </w:rPr>
            </w:pPr>
            <w:r w:rsidRPr="009E686F">
              <w:rPr>
                <w:rFonts w:ascii="Times New Roman" w:hAnsi="Times New Roman" w:cs="Times New Roman"/>
                <w:bCs/>
                <w:lang w:val="it-CH"/>
              </w:rPr>
              <w:t>a) asigură, în cadrul organizării sale interne, independenţa operaţională şi evitarea conflictului de interese între structura care exercită funcţia de rezoluţie potrivit prezentei legi şi structura care exercită funcţia de supraveghere, precum şi între structura care exercită funcţia de rezoluţie şi structurile care exercită alte funcţii conform dispoziţiilor legale;</w:t>
            </w:r>
          </w:p>
          <w:p w14:paraId="2B3ECA81" w14:textId="77777777" w:rsidR="00AB6122" w:rsidRPr="009E686F" w:rsidRDefault="00AB6122" w:rsidP="00ED2C1C">
            <w:pPr>
              <w:spacing w:after="0"/>
              <w:jc w:val="both"/>
              <w:rPr>
                <w:rFonts w:ascii="Times New Roman" w:hAnsi="Times New Roman" w:cs="Times New Roman"/>
                <w:bCs/>
                <w:lang w:val="it-CH"/>
              </w:rPr>
            </w:pPr>
            <w:r w:rsidRPr="009E686F">
              <w:rPr>
                <w:rFonts w:ascii="Times New Roman" w:hAnsi="Times New Roman" w:cs="Times New Roman"/>
                <w:bCs/>
                <w:lang w:val="it-CH"/>
              </w:rPr>
              <w:t>b) se asigură că dispune de resursele şi capacitatea operaţională necesare, inclusiv de personal cu experienţă, pentru a aplica acţiunile de rezoluţie şi că este în măsură să îşi exercite competenţele cu rapiditatea şi flexibilitatea necesare în vederea atingerii obiectivelor rezoluţiei;</w:t>
            </w:r>
          </w:p>
          <w:p w14:paraId="22EB74E8" w14:textId="77777777" w:rsidR="00AB6122" w:rsidRPr="009E686F" w:rsidRDefault="00AB6122" w:rsidP="00ED2C1C">
            <w:pPr>
              <w:spacing w:after="0"/>
              <w:jc w:val="both"/>
              <w:rPr>
                <w:rFonts w:ascii="Times New Roman" w:hAnsi="Times New Roman" w:cs="Times New Roman"/>
                <w:bCs/>
                <w:lang w:val="it-CH"/>
              </w:rPr>
            </w:pPr>
            <w:r w:rsidRPr="009E686F">
              <w:rPr>
                <w:rFonts w:ascii="Times New Roman" w:hAnsi="Times New Roman" w:cs="Times New Roman"/>
                <w:bCs/>
                <w:lang w:val="it-CH"/>
              </w:rPr>
              <w:t>c) stabileşte pentru personalul implicat în exercitarea funcţiei de rezoluţie, în temeiul prezentei legi, linii distincte de raportare şi separare structurală faţă de personalul ce exercită sarcini de supraveghere ori faţă de personalul implicat în exercitarea altor funcţii ale Băncii Naţionale a Moldovei;</w:t>
            </w:r>
          </w:p>
          <w:p w14:paraId="3DF0AB0B" w14:textId="77777777" w:rsidR="00AB6122" w:rsidRPr="009E686F" w:rsidRDefault="00AB6122" w:rsidP="00ED2C1C">
            <w:pPr>
              <w:spacing w:after="0"/>
              <w:jc w:val="both"/>
              <w:rPr>
                <w:rFonts w:ascii="Times New Roman" w:hAnsi="Times New Roman" w:cs="Times New Roman"/>
                <w:bCs/>
                <w:lang w:val="it-CH"/>
              </w:rPr>
            </w:pPr>
            <w:r w:rsidRPr="009E686F">
              <w:rPr>
                <w:rFonts w:ascii="Times New Roman" w:hAnsi="Times New Roman" w:cs="Times New Roman"/>
                <w:bCs/>
                <w:lang w:val="it-CH"/>
              </w:rPr>
              <w:lastRenderedPageBreak/>
              <w:t>d) adoptă şi publică, pentru scopul prezentului articol, normele interne relevante necesare, inclusiv cele privind secretul profesional şi schimbul de informaţii între structurile responsabile cu diferitele funcţii exercitate potrivit legii;</w:t>
            </w:r>
          </w:p>
          <w:p w14:paraId="6ED8574A" w14:textId="2F08DAD0" w:rsidR="00A95AB7" w:rsidRPr="009E686F" w:rsidRDefault="00AB6122" w:rsidP="00ED2C1C">
            <w:pPr>
              <w:spacing w:after="0"/>
              <w:jc w:val="both"/>
              <w:rPr>
                <w:rFonts w:ascii="Times New Roman" w:hAnsi="Times New Roman" w:cs="Times New Roman"/>
                <w:bCs/>
                <w:lang w:val="it-CH"/>
              </w:rPr>
            </w:pPr>
            <w:r w:rsidRPr="009E686F">
              <w:rPr>
                <w:rFonts w:ascii="Times New Roman" w:hAnsi="Times New Roman" w:cs="Times New Roman"/>
                <w:bCs/>
                <w:lang w:val="it-CH"/>
              </w:rPr>
              <w:t>e) stabileşte proceduri pentru ca structurile şi persoanele care exercită, în numele Băncii Naţionale a Moldovei, funcţia de supraveghere şi, respectiv, pe cea de rezoluţie să coopereze îndeaproape la pregătirea, planificarea şi aplicarea deciziilor de rezoluţie.</w:t>
            </w:r>
          </w:p>
        </w:tc>
        <w:tc>
          <w:tcPr>
            <w:tcW w:w="470" w:type="pct"/>
            <w:tcBorders>
              <w:top w:val="single" w:sz="4" w:space="0" w:color="auto"/>
              <w:left w:val="single" w:sz="4" w:space="0" w:color="auto"/>
              <w:bottom w:val="single" w:sz="4" w:space="0" w:color="auto"/>
              <w:right w:val="single" w:sz="4" w:space="0" w:color="auto"/>
            </w:tcBorders>
          </w:tcPr>
          <w:p w14:paraId="4D9A66F1" w14:textId="22260F13" w:rsidR="00AB6122" w:rsidRPr="009E686F" w:rsidRDefault="00AB6122" w:rsidP="00AB6122">
            <w:pPr>
              <w:jc w:val="both"/>
              <w:rPr>
                <w:rFonts w:ascii="Times New Roman" w:hAnsi="Times New Roman" w:cs="Times New Roman"/>
              </w:rPr>
            </w:pPr>
            <w:r w:rsidRPr="009E686F">
              <w:rPr>
                <w:rFonts w:ascii="Times New Roman" w:hAnsi="Times New Roman" w:cs="Times New Roman"/>
              </w:rPr>
              <w:lastRenderedPageBreak/>
              <w:t xml:space="preserve">Compatibil </w:t>
            </w:r>
          </w:p>
          <w:p w14:paraId="049FC84D" w14:textId="0D35AF4D" w:rsidR="00AB6122" w:rsidRPr="009E686F" w:rsidRDefault="00AB6122" w:rsidP="00AB6122">
            <w:pPr>
              <w:jc w:val="both"/>
              <w:rPr>
                <w:rFonts w:ascii="Times New Roman" w:hAnsi="Times New Roman" w:cs="Times New Roman"/>
              </w:rPr>
            </w:pPr>
          </w:p>
        </w:tc>
        <w:tc>
          <w:tcPr>
            <w:tcW w:w="806" w:type="pct"/>
            <w:tcBorders>
              <w:top w:val="single" w:sz="4" w:space="0" w:color="auto"/>
              <w:left w:val="single" w:sz="4" w:space="0" w:color="auto"/>
              <w:bottom w:val="single" w:sz="4" w:space="0" w:color="auto"/>
              <w:right w:val="single" w:sz="4" w:space="0" w:color="auto"/>
            </w:tcBorders>
          </w:tcPr>
          <w:p w14:paraId="7C99B72D" w14:textId="03CBBF84" w:rsidR="00AB6122" w:rsidRPr="009E686F" w:rsidRDefault="00AB6122" w:rsidP="00515783">
            <w:pPr>
              <w:spacing w:after="0"/>
              <w:jc w:val="both"/>
              <w:rPr>
                <w:rFonts w:ascii="Times New Roman" w:hAnsi="Times New Roman" w:cs="Times New Roman"/>
              </w:rPr>
            </w:pPr>
          </w:p>
        </w:tc>
      </w:tr>
      <w:tr w:rsidR="00B30AFC" w:rsidRPr="009E686F" w14:paraId="01E13D33" w14:textId="77777777" w:rsidTr="00960C23">
        <w:tc>
          <w:tcPr>
            <w:tcW w:w="1890" w:type="pct"/>
            <w:tcBorders>
              <w:top w:val="single" w:sz="4" w:space="0" w:color="auto"/>
              <w:left w:val="single" w:sz="4" w:space="0" w:color="auto"/>
              <w:bottom w:val="single" w:sz="4" w:space="0" w:color="auto"/>
              <w:right w:val="single" w:sz="4" w:space="0" w:color="auto"/>
            </w:tcBorders>
          </w:tcPr>
          <w:p w14:paraId="6C827AE9" w14:textId="77777777" w:rsidR="00AB6122" w:rsidRPr="009E686F" w:rsidRDefault="00AB6122" w:rsidP="00ED2C1C">
            <w:pPr>
              <w:spacing w:after="0"/>
              <w:jc w:val="both"/>
              <w:rPr>
                <w:rFonts w:ascii="Times New Roman" w:hAnsi="Times New Roman" w:cs="Times New Roman"/>
                <w:i/>
                <w:iCs/>
                <w:lang w:val="it-CH"/>
              </w:rPr>
            </w:pPr>
            <w:r w:rsidRPr="009E686F">
              <w:rPr>
                <w:rFonts w:ascii="Times New Roman" w:hAnsi="Times New Roman" w:cs="Times New Roman"/>
                <w:i/>
                <w:iCs/>
                <w:lang w:val="it-CH"/>
              </w:rPr>
              <w:t xml:space="preserve">Articolul 4a </w:t>
            </w:r>
          </w:p>
          <w:p w14:paraId="1112763E" w14:textId="0F37D8BD" w:rsidR="00AB6122" w:rsidRPr="009E686F" w:rsidRDefault="00AB6122" w:rsidP="00ED2C1C">
            <w:pPr>
              <w:spacing w:after="0"/>
              <w:jc w:val="both"/>
              <w:rPr>
                <w:rFonts w:ascii="Times New Roman" w:hAnsi="Times New Roman" w:cs="Times New Roman"/>
                <w:lang w:val="it-CH"/>
              </w:rPr>
            </w:pPr>
            <w:r w:rsidRPr="009E686F">
              <w:rPr>
                <w:rFonts w:ascii="Times New Roman" w:hAnsi="Times New Roman" w:cs="Times New Roman"/>
                <w:lang w:val="it-CH"/>
              </w:rPr>
              <w:t>Independența în materie de supraveghere a autorităților competente</w:t>
            </w:r>
          </w:p>
        </w:tc>
        <w:tc>
          <w:tcPr>
            <w:tcW w:w="1834" w:type="pct"/>
            <w:tcBorders>
              <w:top w:val="single" w:sz="4" w:space="0" w:color="auto"/>
              <w:left w:val="single" w:sz="4" w:space="0" w:color="auto"/>
              <w:bottom w:val="single" w:sz="4" w:space="0" w:color="auto"/>
              <w:right w:val="single" w:sz="4" w:space="0" w:color="auto"/>
            </w:tcBorders>
          </w:tcPr>
          <w:p w14:paraId="4BDE7531" w14:textId="43B9B09F" w:rsidR="00AB6122" w:rsidRPr="009E686F" w:rsidRDefault="00AB6122" w:rsidP="00ED2C1C">
            <w:pPr>
              <w:spacing w:after="0"/>
              <w:jc w:val="both"/>
              <w:rPr>
                <w:rFonts w:ascii="Times New Roman" w:hAnsi="Times New Roman" w:cs="Times New Roman"/>
                <w:lang w:val="it-CH"/>
              </w:rPr>
            </w:pPr>
          </w:p>
        </w:tc>
        <w:tc>
          <w:tcPr>
            <w:tcW w:w="470" w:type="pct"/>
            <w:tcBorders>
              <w:top w:val="single" w:sz="4" w:space="0" w:color="auto"/>
              <w:left w:val="single" w:sz="4" w:space="0" w:color="auto"/>
              <w:bottom w:val="single" w:sz="4" w:space="0" w:color="auto"/>
              <w:right w:val="single" w:sz="4" w:space="0" w:color="auto"/>
            </w:tcBorders>
          </w:tcPr>
          <w:p w14:paraId="3042C0A7" w14:textId="5FC42DFA" w:rsidR="00AB6122" w:rsidRPr="009E686F" w:rsidRDefault="00AB6122" w:rsidP="00AB6122">
            <w:pPr>
              <w:jc w:val="both"/>
              <w:rPr>
                <w:rFonts w:ascii="Times New Roman" w:hAnsi="Times New Roman" w:cs="Times New Roman"/>
                <w:lang w:val="it-CH"/>
              </w:rPr>
            </w:pPr>
            <w:r w:rsidRPr="009E686F">
              <w:rPr>
                <w:rFonts w:ascii="Times New Roman" w:hAnsi="Times New Roman" w:cs="Times New Roman"/>
                <w:lang w:val="it-CH"/>
              </w:rPr>
              <w:t>Nome UE netranspuse</w:t>
            </w:r>
          </w:p>
        </w:tc>
        <w:tc>
          <w:tcPr>
            <w:tcW w:w="806" w:type="pct"/>
            <w:tcBorders>
              <w:top w:val="single" w:sz="4" w:space="0" w:color="auto"/>
              <w:left w:val="single" w:sz="4" w:space="0" w:color="auto"/>
              <w:bottom w:val="single" w:sz="4" w:space="0" w:color="auto"/>
              <w:right w:val="single" w:sz="4" w:space="0" w:color="auto"/>
            </w:tcBorders>
          </w:tcPr>
          <w:p w14:paraId="0BE59712" w14:textId="3AE64ABC" w:rsidR="00AB6122" w:rsidRPr="009E686F" w:rsidRDefault="00AB6122" w:rsidP="00515783">
            <w:pPr>
              <w:spacing w:after="0"/>
              <w:jc w:val="both"/>
              <w:rPr>
                <w:rFonts w:ascii="Times New Roman" w:hAnsi="Times New Roman" w:cs="Times New Roman"/>
                <w:lang w:val="it-CH"/>
              </w:rPr>
            </w:pPr>
            <w:r w:rsidRPr="009E686F">
              <w:rPr>
                <w:rFonts w:ascii="Times New Roman" w:hAnsi="Times New Roman" w:cs="Times New Roman"/>
                <w:lang w:val="it-CH"/>
              </w:rPr>
              <w:t xml:space="preserve">Vor fi incluse în proiectul de modificare a </w:t>
            </w:r>
            <w:r w:rsidR="00464140" w:rsidRPr="009E686F">
              <w:rPr>
                <w:rFonts w:ascii="Times New Roman" w:hAnsi="Times New Roman" w:cs="Times New Roman"/>
                <w:lang w:val="it-CH"/>
              </w:rPr>
              <w:t>Legii nr. 548/1997 cu privire la Banca Na</w:t>
            </w:r>
            <w:r w:rsidR="00464140" w:rsidRPr="009E686F">
              <w:rPr>
                <w:rFonts w:ascii="Times New Roman" w:hAnsi="Times New Roman" w:cs="Times New Roman"/>
                <w:lang w:val="ro-RO"/>
              </w:rPr>
              <w:t xml:space="preserve">țională a Moldovei </w:t>
            </w:r>
          </w:p>
        </w:tc>
      </w:tr>
      <w:tr w:rsidR="00B30AFC" w:rsidRPr="009E686F" w14:paraId="3CD09946" w14:textId="77777777" w:rsidTr="00960C23">
        <w:tc>
          <w:tcPr>
            <w:tcW w:w="1890" w:type="pct"/>
            <w:tcBorders>
              <w:top w:val="single" w:sz="4" w:space="0" w:color="auto"/>
              <w:left w:val="single" w:sz="4" w:space="0" w:color="auto"/>
              <w:bottom w:val="single" w:sz="4" w:space="0" w:color="auto"/>
              <w:right w:val="single" w:sz="4" w:space="0" w:color="auto"/>
            </w:tcBorders>
          </w:tcPr>
          <w:p w14:paraId="39B5C739" w14:textId="68A995D4" w:rsidR="00AB6122" w:rsidRPr="009E686F" w:rsidRDefault="00AB6122" w:rsidP="00ED2C1C">
            <w:pPr>
              <w:spacing w:after="0"/>
              <w:jc w:val="both"/>
              <w:rPr>
                <w:rFonts w:ascii="Times New Roman" w:hAnsi="Times New Roman" w:cs="Times New Roman"/>
                <w:lang w:val="it-CH"/>
              </w:rPr>
            </w:pPr>
            <w:r w:rsidRPr="009E686F">
              <w:rPr>
                <w:rFonts w:ascii="Times New Roman" w:hAnsi="Times New Roman" w:cs="Times New Roman"/>
                <w:lang w:val="it-CH"/>
              </w:rPr>
              <w:t>(1) În sensul prezentului articol, «membri ai organului de guvernanță al autorității competente» înseamnă persoanele fizice care fac parte din organul decizional colectiv de cel mai înalt nivel al autorității competente și care sunt învestite cu competența de a exercita funcții executive în ceea ce privește gestionarea curentă a funcției de supraveghere a autorității competente, cu excepția guvernatorilor băncilor centrale naționale.</w:t>
            </w:r>
          </w:p>
        </w:tc>
        <w:tc>
          <w:tcPr>
            <w:tcW w:w="1834" w:type="pct"/>
            <w:tcBorders>
              <w:top w:val="single" w:sz="4" w:space="0" w:color="auto"/>
              <w:left w:val="single" w:sz="4" w:space="0" w:color="auto"/>
              <w:bottom w:val="single" w:sz="4" w:space="0" w:color="auto"/>
              <w:right w:val="single" w:sz="4" w:space="0" w:color="auto"/>
            </w:tcBorders>
          </w:tcPr>
          <w:p w14:paraId="1797CB3F" w14:textId="45B9A22C" w:rsidR="00AB6122" w:rsidRPr="009E686F" w:rsidRDefault="00AB6122" w:rsidP="00ED2C1C">
            <w:pPr>
              <w:spacing w:after="0"/>
              <w:jc w:val="both"/>
              <w:rPr>
                <w:rFonts w:ascii="Times New Roman" w:hAnsi="Times New Roman" w:cs="Times New Roman"/>
                <w:lang w:val="it-CH"/>
              </w:rPr>
            </w:pPr>
          </w:p>
        </w:tc>
        <w:tc>
          <w:tcPr>
            <w:tcW w:w="470" w:type="pct"/>
            <w:tcBorders>
              <w:top w:val="single" w:sz="4" w:space="0" w:color="auto"/>
              <w:left w:val="single" w:sz="4" w:space="0" w:color="auto"/>
              <w:bottom w:val="single" w:sz="4" w:space="0" w:color="auto"/>
              <w:right w:val="single" w:sz="4" w:space="0" w:color="auto"/>
            </w:tcBorders>
          </w:tcPr>
          <w:p w14:paraId="355CEEC1" w14:textId="537C5593" w:rsidR="00AB6122" w:rsidRPr="009E686F" w:rsidRDefault="00AB6122" w:rsidP="00AB6122">
            <w:pPr>
              <w:jc w:val="both"/>
              <w:rPr>
                <w:rFonts w:ascii="Times New Roman" w:hAnsi="Times New Roman" w:cs="Times New Roman"/>
                <w:lang w:val="it-CH"/>
              </w:rPr>
            </w:pPr>
            <w:r w:rsidRPr="009E686F">
              <w:rPr>
                <w:rFonts w:ascii="Times New Roman" w:hAnsi="Times New Roman" w:cs="Times New Roman"/>
                <w:lang w:val="it-CH"/>
              </w:rPr>
              <w:t>Nome UE netranspuse</w:t>
            </w:r>
          </w:p>
        </w:tc>
        <w:tc>
          <w:tcPr>
            <w:tcW w:w="806" w:type="pct"/>
            <w:tcBorders>
              <w:top w:val="single" w:sz="4" w:space="0" w:color="auto"/>
              <w:left w:val="single" w:sz="4" w:space="0" w:color="auto"/>
              <w:bottom w:val="single" w:sz="4" w:space="0" w:color="auto"/>
              <w:right w:val="single" w:sz="4" w:space="0" w:color="auto"/>
            </w:tcBorders>
          </w:tcPr>
          <w:p w14:paraId="494024CD" w14:textId="384CB66E" w:rsidR="00AB6122" w:rsidRPr="009E686F" w:rsidRDefault="00464140" w:rsidP="00515783">
            <w:pPr>
              <w:spacing w:after="0"/>
              <w:jc w:val="both"/>
              <w:rPr>
                <w:rFonts w:ascii="Times New Roman" w:hAnsi="Times New Roman" w:cs="Times New Roman"/>
                <w:lang w:val="it-CH"/>
              </w:rPr>
            </w:pPr>
            <w:r w:rsidRPr="009E686F">
              <w:rPr>
                <w:rFonts w:ascii="Times New Roman" w:hAnsi="Times New Roman" w:cs="Times New Roman"/>
                <w:lang w:val="it-CH"/>
              </w:rPr>
              <w:t>Vor fi incluse în proiectul de modificare a Legii nr. 548/1997 cu privire la Banca Na</w:t>
            </w:r>
            <w:r w:rsidRPr="009E686F">
              <w:rPr>
                <w:rFonts w:ascii="Times New Roman" w:hAnsi="Times New Roman" w:cs="Times New Roman"/>
                <w:lang w:val="ro-RO"/>
              </w:rPr>
              <w:t>țională a Moldovei</w:t>
            </w:r>
          </w:p>
        </w:tc>
      </w:tr>
      <w:tr w:rsidR="00B30AFC" w:rsidRPr="009E686F" w14:paraId="59A9E7A5" w14:textId="77777777" w:rsidTr="00960C23">
        <w:tc>
          <w:tcPr>
            <w:tcW w:w="1890" w:type="pct"/>
            <w:tcBorders>
              <w:top w:val="single" w:sz="4" w:space="0" w:color="auto"/>
              <w:left w:val="single" w:sz="4" w:space="0" w:color="auto"/>
              <w:bottom w:val="single" w:sz="4" w:space="0" w:color="auto"/>
              <w:right w:val="single" w:sz="4" w:space="0" w:color="auto"/>
            </w:tcBorders>
          </w:tcPr>
          <w:p w14:paraId="043E3930" w14:textId="428DBC5D" w:rsidR="00AB6122" w:rsidRPr="009E686F" w:rsidRDefault="00AB6122" w:rsidP="00ED2C1C">
            <w:pPr>
              <w:spacing w:after="0"/>
              <w:jc w:val="both"/>
              <w:rPr>
                <w:rFonts w:ascii="Times New Roman" w:hAnsi="Times New Roman" w:cs="Times New Roman"/>
                <w:lang w:val="it-CH"/>
              </w:rPr>
            </w:pPr>
            <w:r w:rsidRPr="009E686F">
              <w:rPr>
                <w:rFonts w:ascii="Times New Roman" w:hAnsi="Times New Roman" w:cs="Times New Roman"/>
                <w:lang w:val="it-CH"/>
              </w:rPr>
              <w:t xml:space="preserve">(2) În scopul menținerii independenței autorităților competente în exercitarea competențelor lor, statele membre iau măsurile necesare pentru a se asigura că autoritățile competente, inclusiv membrii personalului acestora și membrii organelor lor de guvernanță, își pot exercita competențele de supraveghere independent și obiectiv, fără a solicita sau a primi instrucțiuni din partea instituțiilor supravegheate, din partea oricărui organ al Uniunii sau a oricărui guvern al unui stat membru sau din partea oricărui alt organism public sau privat. Statele membre se asigură că organele de guvernanță ale autorităților </w:t>
            </w:r>
            <w:r w:rsidRPr="009E686F">
              <w:rPr>
                <w:rFonts w:ascii="Times New Roman" w:hAnsi="Times New Roman" w:cs="Times New Roman"/>
                <w:lang w:val="it-CH"/>
              </w:rPr>
              <w:lastRenderedPageBreak/>
              <w:t>competente sunt independente din punct de vedere funcțional față de alte organisme publice și private. Măsurile respective nu aduc atingere dispozițiilor de drept intern în temeiul cărora autoritățile competente sunt supuse principiului responsabilității publice și democratice.</w:t>
            </w:r>
          </w:p>
        </w:tc>
        <w:tc>
          <w:tcPr>
            <w:tcW w:w="1834" w:type="pct"/>
            <w:tcBorders>
              <w:top w:val="single" w:sz="4" w:space="0" w:color="auto"/>
              <w:left w:val="single" w:sz="4" w:space="0" w:color="auto"/>
              <w:bottom w:val="single" w:sz="4" w:space="0" w:color="auto"/>
              <w:right w:val="single" w:sz="4" w:space="0" w:color="auto"/>
            </w:tcBorders>
          </w:tcPr>
          <w:p w14:paraId="306E007A" w14:textId="0F899986" w:rsidR="00AB6122" w:rsidRPr="009E686F" w:rsidRDefault="00AB6122" w:rsidP="00ED2C1C">
            <w:pPr>
              <w:spacing w:after="0"/>
              <w:jc w:val="both"/>
              <w:rPr>
                <w:rFonts w:ascii="Times New Roman" w:hAnsi="Times New Roman" w:cs="Times New Roman"/>
                <w:lang w:val="it-CH"/>
              </w:rPr>
            </w:pPr>
          </w:p>
        </w:tc>
        <w:tc>
          <w:tcPr>
            <w:tcW w:w="470" w:type="pct"/>
            <w:tcBorders>
              <w:top w:val="single" w:sz="4" w:space="0" w:color="auto"/>
              <w:left w:val="single" w:sz="4" w:space="0" w:color="auto"/>
              <w:bottom w:val="single" w:sz="4" w:space="0" w:color="auto"/>
              <w:right w:val="single" w:sz="4" w:space="0" w:color="auto"/>
            </w:tcBorders>
          </w:tcPr>
          <w:p w14:paraId="0715070A" w14:textId="2B2A0F85" w:rsidR="00AB6122" w:rsidRPr="009E686F" w:rsidRDefault="00AB6122" w:rsidP="00AB6122">
            <w:pPr>
              <w:jc w:val="both"/>
              <w:rPr>
                <w:rFonts w:ascii="Times New Roman" w:hAnsi="Times New Roman" w:cs="Times New Roman"/>
                <w:lang w:val="it-CH"/>
              </w:rPr>
            </w:pPr>
            <w:r w:rsidRPr="009E686F">
              <w:rPr>
                <w:rFonts w:ascii="Times New Roman" w:hAnsi="Times New Roman" w:cs="Times New Roman"/>
                <w:lang w:val="it-CH"/>
              </w:rPr>
              <w:t>Nome UE netranspuse</w:t>
            </w:r>
          </w:p>
        </w:tc>
        <w:tc>
          <w:tcPr>
            <w:tcW w:w="806" w:type="pct"/>
            <w:tcBorders>
              <w:top w:val="single" w:sz="4" w:space="0" w:color="auto"/>
              <w:left w:val="single" w:sz="4" w:space="0" w:color="auto"/>
              <w:bottom w:val="single" w:sz="4" w:space="0" w:color="auto"/>
              <w:right w:val="single" w:sz="4" w:space="0" w:color="auto"/>
            </w:tcBorders>
          </w:tcPr>
          <w:p w14:paraId="4CBBBF62" w14:textId="6F5AF908" w:rsidR="00AB6122" w:rsidRPr="009E686F" w:rsidRDefault="00464140" w:rsidP="00515783">
            <w:pPr>
              <w:spacing w:after="0"/>
              <w:jc w:val="both"/>
              <w:rPr>
                <w:rFonts w:ascii="Times New Roman" w:hAnsi="Times New Roman" w:cs="Times New Roman"/>
                <w:lang w:val="it-CH"/>
              </w:rPr>
            </w:pPr>
            <w:r w:rsidRPr="009E686F">
              <w:rPr>
                <w:rFonts w:ascii="Times New Roman" w:hAnsi="Times New Roman" w:cs="Times New Roman"/>
                <w:lang w:val="it-CH"/>
              </w:rPr>
              <w:t>Vor fi incluse în proiectul de modificare a Legii nr. 548/1997 cu privire la Banca Na</w:t>
            </w:r>
            <w:r w:rsidRPr="009E686F">
              <w:rPr>
                <w:rFonts w:ascii="Times New Roman" w:hAnsi="Times New Roman" w:cs="Times New Roman"/>
                <w:lang w:val="ro-RO"/>
              </w:rPr>
              <w:t>țională a Moldovei</w:t>
            </w:r>
          </w:p>
        </w:tc>
      </w:tr>
      <w:tr w:rsidR="00B30AFC" w:rsidRPr="009E686F" w14:paraId="371F93DC" w14:textId="77777777" w:rsidTr="00960C23">
        <w:tc>
          <w:tcPr>
            <w:tcW w:w="1890" w:type="pct"/>
            <w:tcBorders>
              <w:top w:val="single" w:sz="4" w:space="0" w:color="auto"/>
              <w:left w:val="single" w:sz="4" w:space="0" w:color="auto"/>
              <w:bottom w:val="single" w:sz="4" w:space="0" w:color="auto"/>
              <w:right w:val="single" w:sz="4" w:space="0" w:color="auto"/>
            </w:tcBorders>
          </w:tcPr>
          <w:p w14:paraId="227C0AB6" w14:textId="6418AB25" w:rsidR="00AB6122" w:rsidRPr="009E686F" w:rsidRDefault="00AB6122" w:rsidP="00ED2C1C">
            <w:pPr>
              <w:spacing w:after="0"/>
              <w:jc w:val="both"/>
              <w:rPr>
                <w:rFonts w:ascii="Times New Roman" w:hAnsi="Times New Roman" w:cs="Times New Roman"/>
                <w:lang w:val="it-CH"/>
              </w:rPr>
            </w:pPr>
            <w:r w:rsidRPr="009E686F">
              <w:rPr>
                <w:rFonts w:ascii="Times New Roman" w:hAnsi="Times New Roman" w:cs="Times New Roman"/>
                <w:lang w:val="it-CH"/>
              </w:rPr>
              <w:t>Statele membre se asigură că niciun membru al organului de guvernanță al unei autorități competente care este numit după 11 ianuarie 2026 nu rămâne în funcție pentru mai mult de 14 ani. Statele membre se asigură că membrii organului de guvernanță al unei autorități competente sunt numiți pe baza unor criterii publicate care sunt obiective și transparente și că membrii respectivi pot fi destituiți dacă nu mai îndeplinesc criteriile de numire sau dacă au fost condamnați pentru o infracțiune gravă. Motivele destituirii sunt făcute publice, cu excepția cazului în care membrul organului de guvernanță al autorității competente în cauză se opune publicării.</w:t>
            </w:r>
          </w:p>
        </w:tc>
        <w:tc>
          <w:tcPr>
            <w:tcW w:w="1834" w:type="pct"/>
            <w:tcBorders>
              <w:top w:val="single" w:sz="4" w:space="0" w:color="auto"/>
              <w:left w:val="single" w:sz="4" w:space="0" w:color="auto"/>
              <w:bottom w:val="single" w:sz="4" w:space="0" w:color="auto"/>
              <w:right w:val="single" w:sz="4" w:space="0" w:color="auto"/>
            </w:tcBorders>
          </w:tcPr>
          <w:p w14:paraId="04F7984D" w14:textId="4416D44A" w:rsidR="00AB6122" w:rsidRPr="009E686F" w:rsidRDefault="00AB6122" w:rsidP="00ED2C1C">
            <w:pPr>
              <w:spacing w:after="0"/>
              <w:jc w:val="both"/>
              <w:rPr>
                <w:rFonts w:ascii="Times New Roman" w:hAnsi="Times New Roman" w:cs="Times New Roman"/>
                <w:lang w:val="it-CH"/>
              </w:rPr>
            </w:pPr>
          </w:p>
        </w:tc>
        <w:tc>
          <w:tcPr>
            <w:tcW w:w="470" w:type="pct"/>
            <w:tcBorders>
              <w:top w:val="single" w:sz="4" w:space="0" w:color="auto"/>
              <w:left w:val="single" w:sz="4" w:space="0" w:color="auto"/>
              <w:bottom w:val="single" w:sz="4" w:space="0" w:color="auto"/>
              <w:right w:val="single" w:sz="4" w:space="0" w:color="auto"/>
            </w:tcBorders>
          </w:tcPr>
          <w:p w14:paraId="299A7FF1" w14:textId="4126B705" w:rsidR="00AB6122" w:rsidRPr="009E686F" w:rsidRDefault="00AB6122" w:rsidP="00AB6122">
            <w:pPr>
              <w:jc w:val="both"/>
              <w:rPr>
                <w:rFonts w:ascii="Times New Roman" w:hAnsi="Times New Roman" w:cs="Times New Roman"/>
                <w:lang w:val="it-CH"/>
              </w:rPr>
            </w:pPr>
            <w:r w:rsidRPr="009E686F">
              <w:rPr>
                <w:rFonts w:ascii="Times New Roman" w:hAnsi="Times New Roman" w:cs="Times New Roman"/>
                <w:lang w:val="it-CH"/>
              </w:rPr>
              <w:t>Nome UE netranspuse</w:t>
            </w:r>
          </w:p>
        </w:tc>
        <w:tc>
          <w:tcPr>
            <w:tcW w:w="806" w:type="pct"/>
            <w:tcBorders>
              <w:top w:val="single" w:sz="4" w:space="0" w:color="auto"/>
              <w:left w:val="single" w:sz="4" w:space="0" w:color="auto"/>
              <w:bottom w:val="single" w:sz="4" w:space="0" w:color="auto"/>
              <w:right w:val="single" w:sz="4" w:space="0" w:color="auto"/>
            </w:tcBorders>
          </w:tcPr>
          <w:p w14:paraId="272AFC58" w14:textId="676D6A2E" w:rsidR="00AB6122" w:rsidRPr="009E686F" w:rsidRDefault="00464140" w:rsidP="00515783">
            <w:pPr>
              <w:spacing w:after="0"/>
              <w:jc w:val="both"/>
              <w:rPr>
                <w:rFonts w:ascii="Times New Roman" w:hAnsi="Times New Roman" w:cs="Times New Roman"/>
                <w:lang w:val="it-CH"/>
              </w:rPr>
            </w:pPr>
            <w:r w:rsidRPr="009E686F">
              <w:rPr>
                <w:rFonts w:ascii="Times New Roman" w:hAnsi="Times New Roman" w:cs="Times New Roman"/>
                <w:lang w:val="it-CH"/>
              </w:rPr>
              <w:t>Vor fi incluse în proiectul de modificare a Legii nr. 548/1997 cu privire la Banca Na</w:t>
            </w:r>
            <w:r w:rsidRPr="009E686F">
              <w:rPr>
                <w:rFonts w:ascii="Times New Roman" w:hAnsi="Times New Roman" w:cs="Times New Roman"/>
                <w:lang w:val="ro-RO"/>
              </w:rPr>
              <w:t>țională a Moldovei</w:t>
            </w:r>
          </w:p>
        </w:tc>
      </w:tr>
      <w:tr w:rsidR="00B30AFC" w:rsidRPr="009E686F" w14:paraId="5CF02E68" w14:textId="77777777" w:rsidTr="00960C23">
        <w:tc>
          <w:tcPr>
            <w:tcW w:w="1890" w:type="pct"/>
            <w:tcBorders>
              <w:top w:val="single" w:sz="4" w:space="0" w:color="auto"/>
              <w:left w:val="single" w:sz="4" w:space="0" w:color="auto"/>
              <w:bottom w:val="single" w:sz="4" w:space="0" w:color="auto"/>
              <w:right w:val="single" w:sz="4" w:space="0" w:color="auto"/>
            </w:tcBorders>
          </w:tcPr>
          <w:p w14:paraId="6CC93763" w14:textId="57DBE8B3" w:rsidR="00AB6122" w:rsidRPr="009E686F" w:rsidRDefault="00AB6122" w:rsidP="00ED2C1C">
            <w:pPr>
              <w:spacing w:after="0"/>
              <w:jc w:val="both"/>
              <w:rPr>
                <w:rFonts w:ascii="Times New Roman" w:hAnsi="Times New Roman" w:cs="Times New Roman"/>
                <w:lang w:val="it-CH"/>
              </w:rPr>
            </w:pPr>
            <w:r w:rsidRPr="009E686F">
              <w:rPr>
                <w:rFonts w:ascii="Times New Roman" w:hAnsi="Times New Roman" w:cs="Times New Roman"/>
                <w:lang w:val="it-CH"/>
              </w:rPr>
              <w:t>Statele membre se asigură că autoritățile competente își publică obiectivele, răspund de îndeplinirea atribuțiilor care le revin în legătură cu obiectivele respective și sunt supuse controlului financiar într-un mod care nu le afectează independența.</w:t>
            </w:r>
          </w:p>
        </w:tc>
        <w:tc>
          <w:tcPr>
            <w:tcW w:w="1834" w:type="pct"/>
            <w:tcBorders>
              <w:top w:val="single" w:sz="4" w:space="0" w:color="auto"/>
              <w:left w:val="single" w:sz="4" w:space="0" w:color="auto"/>
              <w:bottom w:val="single" w:sz="4" w:space="0" w:color="auto"/>
              <w:right w:val="single" w:sz="4" w:space="0" w:color="auto"/>
            </w:tcBorders>
          </w:tcPr>
          <w:p w14:paraId="140A2D23" w14:textId="3ADAF120" w:rsidR="00AB6122" w:rsidRPr="009E686F" w:rsidRDefault="00AB6122" w:rsidP="00ED2C1C">
            <w:pPr>
              <w:spacing w:after="0"/>
              <w:jc w:val="both"/>
              <w:rPr>
                <w:rFonts w:ascii="Times New Roman" w:hAnsi="Times New Roman" w:cs="Times New Roman"/>
                <w:lang w:val="it-CH"/>
              </w:rPr>
            </w:pPr>
          </w:p>
        </w:tc>
        <w:tc>
          <w:tcPr>
            <w:tcW w:w="470" w:type="pct"/>
            <w:tcBorders>
              <w:top w:val="single" w:sz="4" w:space="0" w:color="auto"/>
              <w:left w:val="single" w:sz="4" w:space="0" w:color="auto"/>
              <w:bottom w:val="single" w:sz="4" w:space="0" w:color="auto"/>
              <w:right w:val="single" w:sz="4" w:space="0" w:color="auto"/>
            </w:tcBorders>
          </w:tcPr>
          <w:p w14:paraId="65724917" w14:textId="5717AC93" w:rsidR="00AB6122" w:rsidRPr="009E686F" w:rsidRDefault="00AB6122" w:rsidP="00AB6122">
            <w:pPr>
              <w:jc w:val="both"/>
              <w:rPr>
                <w:rFonts w:ascii="Times New Roman" w:hAnsi="Times New Roman" w:cs="Times New Roman"/>
                <w:lang w:val="it-CH"/>
              </w:rPr>
            </w:pPr>
            <w:r w:rsidRPr="009E686F">
              <w:rPr>
                <w:rFonts w:ascii="Times New Roman" w:hAnsi="Times New Roman" w:cs="Times New Roman"/>
                <w:lang w:val="it-CH"/>
              </w:rPr>
              <w:t>Nome UE netranspuse</w:t>
            </w:r>
          </w:p>
        </w:tc>
        <w:tc>
          <w:tcPr>
            <w:tcW w:w="806" w:type="pct"/>
            <w:tcBorders>
              <w:top w:val="single" w:sz="4" w:space="0" w:color="auto"/>
              <w:left w:val="single" w:sz="4" w:space="0" w:color="auto"/>
              <w:bottom w:val="single" w:sz="4" w:space="0" w:color="auto"/>
              <w:right w:val="single" w:sz="4" w:space="0" w:color="auto"/>
            </w:tcBorders>
          </w:tcPr>
          <w:p w14:paraId="6C6AEC17" w14:textId="736F7E96" w:rsidR="00AB6122" w:rsidRPr="009E686F" w:rsidRDefault="00464140" w:rsidP="00515783">
            <w:pPr>
              <w:spacing w:after="0"/>
              <w:jc w:val="both"/>
              <w:rPr>
                <w:rFonts w:ascii="Times New Roman" w:hAnsi="Times New Roman" w:cs="Times New Roman"/>
                <w:lang w:val="it-CH"/>
              </w:rPr>
            </w:pPr>
            <w:r w:rsidRPr="009E686F">
              <w:rPr>
                <w:rFonts w:ascii="Times New Roman" w:hAnsi="Times New Roman" w:cs="Times New Roman"/>
                <w:lang w:val="it-CH"/>
              </w:rPr>
              <w:t>Vor fi incluse în proiectul de modificare a Legii nr. 548/1997 cu privire la Banca Na</w:t>
            </w:r>
            <w:r w:rsidRPr="009E686F">
              <w:rPr>
                <w:rFonts w:ascii="Times New Roman" w:hAnsi="Times New Roman" w:cs="Times New Roman"/>
                <w:lang w:val="ro-RO"/>
              </w:rPr>
              <w:t>țională a Moldovei</w:t>
            </w:r>
          </w:p>
        </w:tc>
      </w:tr>
      <w:tr w:rsidR="00B30AFC" w:rsidRPr="009E686F" w14:paraId="704BA056" w14:textId="77777777" w:rsidTr="00960C23">
        <w:tc>
          <w:tcPr>
            <w:tcW w:w="1890" w:type="pct"/>
            <w:tcBorders>
              <w:top w:val="single" w:sz="4" w:space="0" w:color="auto"/>
              <w:left w:val="single" w:sz="4" w:space="0" w:color="auto"/>
              <w:bottom w:val="single" w:sz="4" w:space="0" w:color="auto"/>
              <w:right w:val="single" w:sz="4" w:space="0" w:color="auto"/>
            </w:tcBorders>
          </w:tcPr>
          <w:p w14:paraId="408CFE75" w14:textId="31F6D667" w:rsidR="00AB6122" w:rsidRPr="009E686F" w:rsidRDefault="00AB6122" w:rsidP="00ED2C1C">
            <w:pPr>
              <w:spacing w:after="0"/>
              <w:jc w:val="both"/>
              <w:rPr>
                <w:rFonts w:ascii="Times New Roman" w:hAnsi="Times New Roman" w:cs="Times New Roman"/>
                <w:lang w:val="it-CH"/>
              </w:rPr>
            </w:pPr>
            <w:r w:rsidRPr="009E686F">
              <w:rPr>
                <w:rFonts w:ascii="Times New Roman" w:hAnsi="Times New Roman" w:cs="Times New Roman"/>
                <w:lang w:val="it-CH"/>
              </w:rPr>
              <w:t>Prezentul alineat nu aduce atingere drepturilor și obligațiilor autorităților competente în temeiul sistemelor internaționale sau europene de supraveghere financiară, în special al Sistemului european de supraveghere financiară instituit în temeiul Regulamentului (UE) nr. 1093/2010, al mecanismului unic de supraveghere instituit în temeiul Regulamentului (UE) nr. 1024/2013 al Consiliului și al Regulamentului (UE) nr. 468/2014 al Băncii Centrale Europene și al mecanismului unic de rezoluție instituit în temeiul Regulamentului (UE) nr. 806/2014 alParlamentului European și al Consiliului.</w:t>
            </w:r>
          </w:p>
        </w:tc>
        <w:tc>
          <w:tcPr>
            <w:tcW w:w="1834" w:type="pct"/>
            <w:tcBorders>
              <w:top w:val="single" w:sz="4" w:space="0" w:color="auto"/>
              <w:left w:val="single" w:sz="4" w:space="0" w:color="auto"/>
              <w:bottom w:val="single" w:sz="4" w:space="0" w:color="auto"/>
              <w:right w:val="single" w:sz="4" w:space="0" w:color="auto"/>
            </w:tcBorders>
          </w:tcPr>
          <w:p w14:paraId="3F2B522D" w14:textId="7C613515" w:rsidR="00AB6122" w:rsidRPr="009E686F" w:rsidRDefault="00AB6122" w:rsidP="00ED2C1C">
            <w:pPr>
              <w:spacing w:after="0"/>
              <w:jc w:val="both"/>
              <w:rPr>
                <w:rFonts w:ascii="Times New Roman" w:hAnsi="Times New Roman" w:cs="Times New Roman"/>
                <w:lang w:val="it-CH"/>
              </w:rPr>
            </w:pPr>
          </w:p>
        </w:tc>
        <w:tc>
          <w:tcPr>
            <w:tcW w:w="470" w:type="pct"/>
            <w:tcBorders>
              <w:top w:val="single" w:sz="4" w:space="0" w:color="auto"/>
              <w:left w:val="single" w:sz="4" w:space="0" w:color="auto"/>
              <w:bottom w:val="single" w:sz="4" w:space="0" w:color="auto"/>
              <w:right w:val="single" w:sz="4" w:space="0" w:color="auto"/>
            </w:tcBorders>
          </w:tcPr>
          <w:p w14:paraId="7BFC652E" w14:textId="27584A6E" w:rsidR="00AB6122" w:rsidRPr="009E686F" w:rsidRDefault="00AB6122" w:rsidP="00AB6122">
            <w:pPr>
              <w:jc w:val="both"/>
              <w:rPr>
                <w:rFonts w:ascii="Times New Roman" w:hAnsi="Times New Roman" w:cs="Times New Roman"/>
                <w:lang w:val="it-CH"/>
              </w:rPr>
            </w:pPr>
            <w:r w:rsidRPr="009E686F">
              <w:rPr>
                <w:rFonts w:ascii="Times New Roman" w:hAnsi="Times New Roman" w:cs="Times New Roman"/>
                <w:lang w:val="it-CH"/>
              </w:rPr>
              <w:t>Nome UE netranspuse</w:t>
            </w:r>
          </w:p>
        </w:tc>
        <w:tc>
          <w:tcPr>
            <w:tcW w:w="806" w:type="pct"/>
            <w:tcBorders>
              <w:top w:val="single" w:sz="4" w:space="0" w:color="auto"/>
              <w:left w:val="single" w:sz="4" w:space="0" w:color="auto"/>
              <w:bottom w:val="single" w:sz="4" w:space="0" w:color="auto"/>
              <w:right w:val="single" w:sz="4" w:space="0" w:color="auto"/>
            </w:tcBorders>
          </w:tcPr>
          <w:p w14:paraId="1CC297F0" w14:textId="306EB623" w:rsidR="00AB6122" w:rsidRPr="009E686F" w:rsidRDefault="00464140" w:rsidP="00515783">
            <w:pPr>
              <w:spacing w:after="0"/>
              <w:jc w:val="both"/>
              <w:rPr>
                <w:rFonts w:ascii="Times New Roman" w:hAnsi="Times New Roman" w:cs="Times New Roman"/>
                <w:lang w:val="it-CH"/>
              </w:rPr>
            </w:pPr>
            <w:r w:rsidRPr="009E686F">
              <w:rPr>
                <w:rFonts w:ascii="Times New Roman" w:hAnsi="Times New Roman" w:cs="Times New Roman"/>
                <w:lang w:val="it-CH"/>
              </w:rPr>
              <w:t>Vor fi incluse în proiectul de modificare a Legii nr. 548/1997 cu privire la Banca Na</w:t>
            </w:r>
            <w:r w:rsidRPr="009E686F">
              <w:rPr>
                <w:rFonts w:ascii="Times New Roman" w:hAnsi="Times New Roman" w:cs="Times New Roman"/>
                <w:lang w:val="ro-RO"/>
              </w:rPr>
              <w:t>țională a Moldovei</w:t>
            </w:r>
          </w:p>
        </w:tc>
      </w:tr>
      <w:tr w:rsidR="00B30AFC" w:rsidRPr="009E686F" w14:paraId="1E4CA18C" w14:textId="77777777" w:rsidTr="00960C23">
        <w:tc>
          <w:tcPr>
            <w:tcW w:w="1890" w:type="pct"/>
            <w:tcBorders>
              <w:top w:val="single" w:sz="4" w:space="0" w:color="auto"/>
              <w:left w:val="single" w:sz="4" w:space="0" w:color="auto"/>
              <w:bottom w:val="single" w:sz="4" w:space="0" w:color="auto"/>
              <w:right w:val="single" w:sz="4" w:space="0" w:color="auto"/>
            </w:tcBorders>
          </w:tcPr>
          <w:p w14:paraId="1401D9A5" w14:textId="17915070" w:rsidR="00AB6122" w:rsidRPr="009E686F" w:rsidRDefault="00AB6122" w:rsidP="00ED2C1C">
            <w:pPr>
              <w:spacing w:after="0"/>
              <w:jc w:val="both"/>
              <w:rPr>
                <w:rFonts w:ascii="Times New Roman" w:hAnsi="Times New Roman" w:cs="Times New Roman"/>
                <w:lang w:val="it-CH"/>
              </w:rPr>
            </w:pPr>
            <w:r w:rsidRPr="009E686F">
              <w:rPr>
                <w:rFonts w:ascii="Times New Roman" w:hAnsi="Times New Roman" w:cs="Times New Roman"/>
                <w:lang w:val="it-CH"/>
              </w:rPr>
              <w:lastRenderedPageBreak/>
              <w:t>(3) Statele membre se asigură, în special, că autoritățile competente au instituit toate măsurile necesare pentru a preveni conflictele de interese ale membrilor personalului lor și ale membrilor organelor lor de guvernanță. În acest scop, statele membre stabilesc norme care sunt proporționale cu rolul și responsabilitățile membrilor personalului și ale membrilor organelor de guvernanță și care le interzic acestora cel puțin:</w:t>
            </w:r>
          </w:p>
        </w:tc>
        <w:tc>
          <w:tcPr>
            <w:tcW w:w="1834" w:type="pct"/>
            <w:tcBorders>
              <w:top w:val="single" w:sz="4" w:space="0" w:color="auto"/>
              <w:left w:val="single" w:sz="4" w:space="0" w:color="auto"/>
              <w:bottom w:val="single" w:sz="4" w:space="0" w:color="auto"/>
              <w:right w:val="single" w:sz="4" w:space="0" w:color="auto"/>
            </w:tcBorders>
          </w:tcPr>
          <w:p w14:paraId="7F525720" w14:textId="383E6C60" w:rsidR="00AB6122" w:rsidRPr="009E686F" w:rsidRDefault="00AB6122" w:rsidP="00ED2C1C">
            <w:pPr>
              <w:spacing w:after="0"/>
              <w:jc w:val="both"/>
              <w:rPr>
                <w:rFonts w:ascii="Times New Roman" w:hAnsi="Times New Roman" w:cs="Times New Roman"/>
                <w:lang w:val="it-CH"/>
              </w:rPr>
            </w:pPr>
          </w:p>
        </w:tc>
        <w:tc>
          <w:tcPr>
            <w:tcW w:w="470" w:type="pct"/>
            <w:tcBorders>
              <w:top w:val="single" w:sz="4" w:space="0" w:color="auto"/>
              <w:left w:val="single" w:sz="4" w:space="0" w:color="auto"/>
              <w:bottom w:val="single" w:sz="4" w:space="0" w:color="auto"/>
              <w:right w:val="single" w:sz="4" w:space="0" w:color="auto"/>
            </w:tcBorders>
          </w:tcPr>
          <w:p w14:paraId="14E56C13" w14:textId="5D2C1862" w:rsidR="00AB6122" w:rsidRPr="009E686F" w:rsidRDefault="00AB6122" w:rsidP="00AB6122">
            <w:pPr>
              <w:jc w:val="both"/>
              <w:rPr>
                <w:rFonts w:ascii="Times New Roman" w:hAnsi="Times New Roman" w:cs="Times New Roman"/>
                <w:lang w:val="it-CH"/>
              </w:rPr>
            </w:pPr>
            <w:r w:rsidRPr="009E686F">
              <w:rPr>
                <w:rFonts w:ascii="Times New Roman" w:hAnsi="Times New Roman" w:cs="Times New Roman"/>
                <w:lang w:val="it-CH"/>
              </w:rPr>
              <w:t>Nome UE netranspuse</w:t>
            </w:r>
          </w:p>
        </w:tc>
        <w:tc>
          <w:tcPr>
            <w:tcW w:w="806" w:type="pct"/>
            <w:tcBorders>
              <w:top w:val="single" w:sz="4" w:space="0" w:color="auto"/>
              <w:left w:val="single" w:sz="4" w:space="0" w:color="auto"/>
              <w:bottom w:val="single" w:sz="4" w:space="0" w:color="auto"/>
              <w:right w:val="single" w:sz="4" w:space="0" w:color="auto"/>
            </w:tcBorders>
          </w:tcPr>
          <w:p w14:paraId="406FDBB6" w14:textId="298205F2" w:rsidR="00AB6122" w:rsidRPr="009E686F" w:rsidRDefault="00464140" w:rsidP="00515783">
            <w:pPr>
              <w:spacing w:after="0"/>
              <w:jc w:val="both"/>
              <w:rPr>
                <w:rFonts w:ascii="Times New Roman" w:hAnsi="Times New Roman" w:cs="Times New Roman"/>
                <w:lang w:val="it-CH"/>
              </w:rPr>
            </w:pPr>
            <w:r w:rsidRPr="009E686F">
              <w:rPr>
                <w:rFonts w:ascii="Times New Roman" w:hAnsi="Times New Roman" w:cs="Times New Roman"/>
                <w:lang w:val="it-CH"/>
              </w:rPr>
              <w:t>Vor fi incluse în proiectul de modificare a Legii nr. 548/1997 cu privire la Banca Na</w:t>
            </w:r>
            <w:r w:rsidRPr="009E686F">
              <w:rPr>
                <w:rFonts w:ascii="Times New Roman" w:hAnsi="Times New Roman" w:cs="Times New Roman"/>
                <w:lang w:val="ro-RO"/>
              </w:rPr>
              <w:t>țională a Moldovei</w:t>
            </w:r>
          </w:p>
        </w:tc>
      </w:tr>
      <w:tr w:rsidR="00B30AFC" w:rsidRPr="009E686F" w14:paraId="691ACDB1" w14:textId="77777777" w:rsidTr="00960C23">
        <w:tc>
          <w:tcPr>
            <w:tcW w:w="1890" w:type="pct"/>
            <w:tcBorders>
              <w:top w:val="single" w:sz="4" w:space="0" w:color="auto"/>
              <w:left w:val="single" w:sz="4" w:space="0" w:color="auto"/>
              <w:bottom w:val="single" w:sz="4" w:space="0" w:color="auto"/>
              <w:right w:val="single" w:sz="4" w:space="0" w:color="auto"/>
            </w:tcBorders>
          </w:tcPr>
          <w:p w14:paraId="2D73A030" w14:textId="3C12BCD9" w:rsidR="00AB6122" w:rsidRPr="009E686F" w:rsidRDefault="00AB6122" w:rsidP="00ED2C1C">
            <w:pPr>
              <w:spacing w:after="0"/>
              <w:jc w:val="both"/>
              <w:rPr>
                <w:rFonts w:ascii="Times New Roman" w:hAnsi="Times New Roman" w:cs="Times New Roman"/>
                <w:lang w:val="it-CH"/>
              </w:rPr>
            </w:pPr>
            <w:r w:rsidRPr="009E686F">
              <w:rPr>
                <w:rFonts w:ascii="Times New Roman" w:hAnsi="Times New Roman" w:cs="Times New Roman"/>
                <w:lang w:val="it-CH"/>
              </w:rPr>
              <w:t>(a) să tranzacționeze instrumente financiare emise de sau raportate la instituțiile supravegheate de autoritățile competente și întreprinderile-mamă directe sau indirecte, filialele ori entitățile afiliate ale instituțiilor respective, cu excepția:</w:t>
            </w:r>
          </w:p>
          <w:p w14:paraId="58882D5A" w14:textId="5DA813A1" w:rsidR="00AB6122" w:rsidRPr="009E686F" w:rsidRDefault="00AB6122" w:rsidP="00ED2C1C">
            <w:pPr>
              <w:spacing w:after="0"/>
              <w:jc w:val="both"/>
              <w:rPr>
                <w:rFonts w:ascii="Times New Roman" w:hAnsi="Times New Roman" w:cs="Times New Roman"/>
                <w:lang w:val="pt-BR"/>
              </w:rPr>
            </w:pPr>
            <w:r w:rsidRPr="009E686F">
              <w:rPr>
                <w:rFonts w:ascii="Times New Roman" w:hAnsi="Times New Roman" w:cs="Times New Roman"/>
                <w:lang w:val="pt-BR"/>
              </w:rPr>
              <w:t>(i) instrumentelor gestionate de terți, cu condiția ca proprietarii instrumentelor respective să nu poată interveni în administrarea portofoliului;</w:t>
            </w:r>
          </w:p>
          <w:p w14:paraId="298D7E75" w14:textId="7B40B29A" w:rsidR="00AB6122" w:rsidRPr="009E686F" w:rsidRDefault="00AB6122" w:rsidP="00ED2C1C">
            <w:pPr>
              <w:spacing w:after="0"/>
              <w:jc w:val="both"/>
              <w:rPr>
                <w:rFonts w:ascii="Times New Roman" w:hAnsi="Times New Roman" w:cs="Times New Roman"/>
                <w:lang w:val="pt-BR"/>
              </w:rPr>
            </w:pPr>
            <w:r w:rsidRPr="009E686F">
              <w:rPr>
                <w:rFonts w:ascii="Times New Roman" w:hAnsi="Times New Roman" w:cs="Times New Roman"/>
                <w:lang w:val="pt-BR"/>
              </w:rPr>
              <w:t>(ii) investițiilor în organisme de plasament colectiv;</w:t>
            </w:r>
          </w:p>
        </w:tc>
        <w:tc>
          <w:tcPr>
            <w:tcW w:w="1834" w:type="pct"/>
            <w:tcBorders>
              <w:top w:val="single" w:sz="4" w:space="0" w:color="auto"/>
              <w:left w:val="single" w:sz="4" w:space="0" w:color="auto"/>
              <w:bottom w:val="single" w:sz="4" w:space="0" w:color="auto"/>
              <w:right w:val="single" w:sz="4" w:space="0" w:color="auto"/>
            </w:tcBorders>
          </w:tcPr>
          <w:p w14:paraId="0B8C1AA9" w14:textId="6DE71457" w:rsidR="00AB6122" w:rsidRPr="009E686F" w:rsidRDefault="00AB6122" w:rsidP="00ED2C1C">
            <w:pPr>
              <w:spacing w:after="0"/>
              <w:jc w:val="both"/>
              <w:rPr>
                <w:rFonts w:ascii="Times New Roman" w:hAnsi="Times New Roman" w:cs="Times New Roman"/>
                <w:lang w:val="pt-BR"/>
              </w:rPr>
            </w:pPr>
          </w:p>
        </w:tc>
        <w:tc>
          <w:tcPr>
            <w:tcW w:w="470" w:type="pct"/>
            <w:tcBorders>
              <w:top w:val="single" w:sz="4" w:space="0" w:color="auto"/>
              <w:left w:val="single" w:sz="4" w:space="0" w:color="auto"/>
              <w:bottom w:val="single" w:sz="4" w:space="0" w:color="auto"/>
              <w:right w:val="single" w:sz="4" w:space="0" w:color="auto"/>
            </w:tcBorders>
          </w:tcPr>
          <w:p w14:paraId="18E76D69" w14:textId="6538DB12" w:rsidR="00AB6122" w:rsidRPr="009E686F" w:rsidRDefault="00AB6122" w:rsidP="00AB6122">
            <w:pPr>
              <w:jc w:val="both"/>
              <w:rPr>
                <w:rFonts w:ascii="Times New Roman" w:hAnsi="Times New Roman" w:cs="Times New Roman"/>
                <w:lang w:val="pt-BR"/>
              </w:rPr>
            </w:pPr>
            <w:r w:rsidRPr="009E686F">
              <w:rPr>
                <w:rFonts w:ascii="Times New Roman" w:hAnsi="Times New Roman" w:cs="Times New Roman"/>
                <w:lang w:val="it-CH"/>
              </w:rPr>
              <w:t>Nome UE netranspuse</w:t>
            </w:r>
          </w:p>
        </w:tc>
        <w:tc>
          <w:tcPr>
            <w:tcW w:w="806" w:type="pct"/>
            <w:tcBorders>
              <w:top w:val="single" w:sz="4" w:space="0" w:color="auto"/>
              <w:left w:val="single" w:sz="4" w:space="0" w:color="auto"/>
              <w:bottom w:val="single" w:sz="4" w:space="0" w:color="auto"/>
              <w:right w:val="single" w:sz="4" w:space="0" w:color="auto"/>
            </w:tcBorders>
          </w:tcPr>
          <w:p w14:paraId="015D0879" w14:textId="14C0232E" w:rsidR="00AB6122" w:rsidRPr="009E686F" w:rsidRDefault="00464140" w:rsidP="00515783">
            <w:pPr>
              <w:spacing w:after="0"/>
              <w:jc w:val="both"/>
              <w:rPr>
                <w:rFonts w:ascii="Times New Roman" w:hAnsi="Times New Roman" w:cs="Times New Roman"/>
                <w:lang w:val="it-IT"/>
              </w:rPr>
            </w:pPr>
            <w:r w:rsidRPr="009E686F">
              <w:rPr>
                <w:rFonts w:ascii="Times New Roman" w:hAnsi="Times New Roman" w:cs="Times New Roman"/>
                <w:lang w:val="it-CH"/>
              </w:rPr>
              <w:t>Vor fi incluse în proiectul de modificare a Legii nr. 548/1997 cu privire la Banca Na</w:t>
            </w:r>
            <w:r w:rsidRPr="009E686F">
              <w:rPr>
                <w:rFonts w:ascii="Times New Roman" w:hAnsi="Times New Roman" w:cs="Times New Roman"/>
                <w:lang w:val="ro-RO"/>
              </w:rPr>
              <w:t>țională a Moldovei</w:t>
            </w:r>
          </w:p>
        </w:tc>
      </w:tr>
      <w:tr w:rsidR="00B30AFC" w:rsidRPr="009E686F" w14:paraId="77D1E570" w14:textId="77777777" w:rsidTr="00960C23">
        <w:tc>
          <w:tcPr>
            <w:tcW w:w="1890" w:type="pct"/>
            <w:tcBorders>
              <w:top w:val="single" w:sz="4" w:space="0" w:color="auto"/>
              <w:left w:val="single" w:sz="4" w:space="0" w:color="auto"/>
              <w:bottom w:val="single" w:sz="4" w:space="0" w:color="auto"/>
              <w:right w:val="single" w:sz="4" w:space="0" w:color="auto"/>
            </w:tcBorders>
          </w:tcPr>
          <w:p w14:paraId="692E83C2" w14:textId="52800657" w:rsidR="00AB6122" w:rsidRPr="009E686F" w:rsidRDefault="00AB6122" w:rsidP="00ED2C1C">
            <w:pPr>
              <w:spacing w:after="0"/>
              <w:jc w:val="both"/>
              <w:rPr>
                <w:rFonts w:ascii="Times New Roman" w:hAnsi="Times New Roman" w:cs="Times New Roman"/>
                <w:lang w:val="it-IT"/>
              </w:rPr>
            </w:pPr>
            <w:r w:rsidRPr="009E686F">
              <w:rPr>
                <w:rFonts w:ascii="Times New Roman" w:hAnsi="Times New Roman" w:cs="Times New Roman"/>
                <w:lang w:val="it-IT"/>
              </w:rPr>
              <w:t>(b) să fie angajați de oricare dintre instituțiile sau entitățile următoare sau să accepte din partea acestora orice tip de contract de prestare de servicii profesionale pe parcursul unei anumite perioade («perioada de incompatibilitate»):</w:t>
            </w:r>
          </w:p>
          <w:p w14:paraId="0CDC1503" w14:textId="6318AD75" w:rsidR="00AB6122" w:rsidRPr="009E686F" w:rsidRDefault="00AB6122" w:rsidP="00ED2C1C">
            <w:pPr>
              <w:spacing w:after="0"/>
              <w:jc w:val="both"/>
              <w:rPr>
                <w:rFonts w:ascii="Times New Roman" w:hAnsi="Times New Roman" w:cs="Times New Roman"/>
                <w:lang w:val="it-IT"/>
              </w:rPr>
            </w:pPr>
            <w:r w:rsidRPr="009E686F">
              <w:rPr>
                <w:rFonts w:ascii="Times New Roman" w:hAnsi="Times New Roman" w:cs="Times New Roman"/>
                <w:lang w:val="it-IT"/>
              </w:rPr>
              <w:t>(i) instituțiile în care membrul personalului sau membrul organului de guvernanță al autorității competente a fost implicat în mod direct în supravegherea sau în adoptarea deciziilor, inclusiv întreprinderile-mamă, filialele sau entitățile afiliate, directe sau indirecte, ale instituțiilor respective;</w:t>
            </w:r>
          </w:p>
          <w:p w14:paraId="72DA8869" w14:textId="248ED98F" w:rsidR="00AB6122" w:rsidRPr="009E686F" w:rsidRDefault="00AB6122" w:rsidP="00ED2C1C">
            <w:pPr>
              <w:spacing w:after="0"/>
              <w:jc w:val="both"/>
              <w:rPr>
                <w:rFonts w:ascii="Times New Roman" w:hAnsi="Times New Roman" w:cs="Times New Roman"/>
                <w:lang w:val="it-IT"/>
              </w:rPr>
            </w:pPr>
            <w:r w:rsidRPr="009E686F">
              <w:rPr>
                <w:rFonts w:ascii="Times New Roman" w:hAnsi="Times New Roman" w:cs="Times New Roman"/>
                <w:lang w:val="it-IT"/>
              </w:rPr>
              <w:t>(ii) entitățile care prestează servicii oricăreia dintre entitățile menționate la punctul (i), cu excepția cazului în care membrului personalului sau membrului organului de guvernanță al autorității competente îi este strict interzis să participe la prestarea serviciilor respective pe parcursul perioadei de incompatibilitate;</w:t>
            </w:r>
          </w:p>
          <w:p w14:paraId="302CF971" w14:textId="35456347" w:rsidR="00AB6122" w:rsidRPr="009E686F" w:rsidRDefault="00AB6122" w:rsidP="00ED2C1C">
            <w:pPr>
              <w:spacing w:after="0"/>
              <w:jc w:val="both"/>
              <w:rPr>
                <w:rFonts w:ascii="Times New Roman" w:hAnsi="Times New Roman" w:cs="Times New Roman"/>
                <w:lang w:val="it-IT"/>
              </w:rPr>
            </w:pPr>
            <w:r w:rsidRPr="009E686F">
              <w:rPr>
                <w:rFonts w:ascii="Times New Roman" w:hAnsi="Times New Roman" w:cs="Times New Roman"/>
                <w:lang w:val="it-IT"/>
              </w:rPr>
              <w:lastRenderedPageBreak/>
              <w:t>(iii) entitățile care desfășoară activități de lobby și activități de susținere și promovare pe lângă autoritatea competentă cu privire la chestiuni pentru care membrul personalului sau membrul organului de guvernanță al autorității competente era responsabil pe durata contractului său de muncă sau a mandatului său.</w:t>
            </w:r>
          </w:p>
        </w:tc>
        <w:tc>
          <w:tcPr>
            <w:tcW w:w="1834" w:type="pct"/>
            <w:tcBorders>
              <w:top w:val="single" w:sz="4" w:space="0" w:color="auto"/>
              <w:left w:val="single" w:sz="4" w:space="0" w:color="auto"/>
              <w:bottom w:val="single" w:sz="4" w:space="0" w:color="auto"/>
              <w:right w:val="single" w:sz="4" w:space="0" w:color="auto"/>
            </w:tcBorders>
          </w:tcPr>
          <w:p w14:paraId="2F5ACF7D" w14:textId="02997E69" w:rsidR="00AB6122" w:rsidRPr="009E686F" w:rsidRDefault="00AB6122" w:rsidP="00ED2C1C">
            <w:pPr>
              <w:spacing w:after="0"/>
              <w:jc w:val="both"/>
              <w:rPr>
                <w:rFonts w:ascii="Times New Roman" w:hAnsi="Times New Roman" w:cs="Times New Roman"/>
                <w:lang w:val="it-IT"/>
              </w:rPr>
            </w:pPr>
          </w:p>
        </w:tc>
        <w:tc>
          <w:tcPr>
            <w:tcW w:w="470" w:type="pct"/>
            <w:tcBorders>
              <w:top w:val="single" w:sz="4" w:space="0" w:color="auto"/>
              <w:left w:val="single" w:sz="4" w:space="0" w:color="auto"/>
              <w:bottom w:val="single" w:sz="4" w:space="0" w:color="auto"/>
              <w:right w:val="single" w:sz="4" w:space="0" w:color="auto"/>
            </w:tcBorders>
          </w:tcPr>
          <w:p w14:paraId="49D6B4D8" w14:textId="356CFC8A" w:rsidR="00AB6122" w:rsidRPr="009E686F" w:rsidRDefault="00AB6122" w:rsidP="00AB6122">
            <w:pPr>
              <w:jc w:val="both"/>
              <w:rPr>
                <w:rFonts w:ascii="Times New Roman" w:hAnsi="Times New Roman" w:cs="Times New Roman"/>
                <w:lang w:val="pt-BR"/>
              </w:rPr>
            </w:pPr>
            <w:r w:rsidRPr="009E686F">
              <w:rPr>
                <w:rFonts w:ascii="Times New Roman" w:hAnsi="Times New Roman" w:cs="Times New Roman"/>
                <w:lang w:val="it-CH"/>
              </w:rPr>
              <w:t>Nome UE netranspuse</w:t>
            </w:r>
          </w:p>
        </w:tc>
        <w:tc>
          <w:tcPr>
            <w:tcW w:w="806" w:type="pct"/>
            <w:tcBorders>
              <w:top w:val="single" w:sz="4" w:space="0" w:color="auto"/>
              <w:left w:val="single" w:sz="4" w:space="0" w:color="auto"/>
              <w:bottom w:val="single" w:sz="4" w:space="0" w:color="auto"/>
              <w:right w:val="single" w:sz="4" w:space="0" w:color="auto"/>
            </w:tcBorders>
          </w:tcPr>
          <w:p w14:paraId="4CE4926B" w14:textId="1A27451D" w:rsidR="00AB6122" w:rsidRPr="009E686F" w:rsidRDefault="00464140" w:rsidP="00515783">
            <w:pPr>
              <w:spacing w:after="0"/>
              <w:jc w:val="both"/>
              <w:rPr>
                <w:rFonts w:ascii="Times New Roman" w:hAnsi="Times New Roman" w:cs="Times New Roman"/>
                <w:lang w:val="it-IT"/>
              </w:rPr>
            </w:pPr>
            <w:r w:rsidRPr="009E686F">
              <w:rPr>
                <w:rFonts w:ascii="Times New Roman" w:hAnsi="Times New Roman" w:cs="Times New Roman"/>
                <w:lang w:val="it-CH"/>
              </w:rPr>
              <w:t>Vor fi incluse în proiectul de modificare a Legii nr. 548/1997 cu privire la Banca Na</w:t>
            </w:r>
            <w:r w:rsidRPr="009E686F">
              <w:rPr>
                <w:rFonts w:ascii="Times New Roman" w:hAnsi="Times New Roman" w:cs="Times New Roman"/>
                <w:lang w:val="ro-RO"/>
              </w:rPr>
              <w:t>țională a Moldovei</w:t>
            </w:r>
          </w:p>
        </w:tc>
      </w:tr>
      <w:tr w:rsidR="00B30AFC" w:rsidRPr="009E686F" w14:paraId="30F0DA4A" w14:textId="77777777" w:rsidTr="00960C23">
        <w:tc>
          <w:tcPr>
            <w:tcW w:w="1890" w:type="pct"/>
            <w:tcBorders>
              <w:top w:val="single" w:sz="4" w:space="0" w:color="auto"/>
              <w:left w:val="single" w:sz="4" w:space="0" w:color="auto"/>
              <w:bottom w:val="single" w:sz="4" w:space="0" w:color="auto"/>
              <w:right w:val="single" w:sz="4" w:space="0" w:color="auto"/>
            </w:tcBorders>
          </w:tcPr>
          <w:p w14:paraId="18802341" w14:textId="3D4F2767" w:rsidR="00AB6122" w:rsidRPr="009E686F" w:rsidRDefault="00AB6122" w:rsidP="00ED2C1C">
            <w:pPr>
              <w:spacing w:after="0"/>
              <w:jc w:val="both"/>
              <w:rPr>
                <w:rFonts w:ascii="Times New Roman" w:hAnsi="Times New Roman" w:cs="Times New Roman"/>
                <w:lang w:val="it-CH"/>
              </w:rPr>
            </w:pPr>
            <w:r w:rsidRPr="009E686F">
              <w:rPr>
                <w:rFonts w:ascii="Times New Roman" w:hAnsi="Times New Roman" w:cs="Times New Roman"/>
                <w:lang w:val="it-CH"/>
              </w:rPr>
              <w:t>Excepțiile prevăzute la litera (a) punctele (i) și (ii) de la primul paragraf se aplică numai în cazul în care terții și organismele de plasament colectiv nu investesc predominant în instrumente emise de entitățile menționate la litera (a) sau raportate la acestea.</w:t>
            </w:r>
          </w:p>
        </w:tc>
        <w:tc>
          <w:tcPr>
            <w:tcW w:w="1834" w:type="pct"/>
            <w:tcBorders>
              <w:top w:val="single" w:sz="4" w:space="0" w:color="auto"/>
              <w:left w:val="single" w:sz="4" w:space="0" w:color="auto"/>
              <w:bottom w:val="single" w:sz="4" w:space="0" w:color="auto"/>
              <w:right w:val="single" w:sz="4" w:space="0" w:color="auto"/>
            </w:tcBorders>
          </w:tcPr>
          <w:p w14:paraId="3EFED785" w14:textId="77777777" w:rsidR="00AB6122" w:rsidRPr="009E686F" w:rsidRDefault="00AB6122" w:rsidP="00ED2C1C">
            <w:pPr>
              <w:spacing w:after="0"/>
              <w:jc w:val="both"/>
              <w:rPr>
                <w:rFonts w:ascii="Times New Roman" w:hAnsi="Times New Roman" w:cs="Times New Roman"/>
                <w:lang w:val="it-CH"/>
              </w:rPr>
            </w:pPr>
          </w:p>
        </w:tc>
        <w:tc>
          <w:tcPr>
            <w:tcW w:w="470" w:type="pct"/>
            <w:tcBorders>
              <w:top w:val="single" w:sz="4" w:space="0" w:color="auto"/>
              <w:left w:val="single" w:sz="4" w:space="0" w:color="auto"/>
              <w:bottom w:val="single" w:sz="4" w:space="0" w:color="auto"/>
              <w:right w:val="single" w:sz="4" w:space="0" w:color="auto"/>
            </w:tcBorders>
          </w:tcPr>
          <w:p w14:paraId="519EF18A" w14:textId="29C42336" w:rsidR="00AB6122" w:rsidRPr="009E686F" w:rsidRDefault="00AB6122" w:rsidP="00AB6122">
            <w:pPr>
              <w:jc w:val="both"/>
              <w:rPr>
                <w:rFonts w:ascii="Times New Roman" w:hAnsi="Times New Roman" w:cs="Times New Roman"/>
                <w:lang w:val="it-CH"/>
              </w:rPr>
            </w:pPr>
            <w:r w:rsidRPr="009E686F">
              <w:rPr>
                <w:rFonts w:ascii="Times New Roman" w:hAnsi="Times New Roman" w:cs="Times New Roman"/>
                <w:lang w:val="it-CH"/>
              </w:rPr>
              <w:t>Nome UE netranspuse</w:t>
            </w:r>
          </w:p>
        </w:tc>
        <w:tc>
          <w:tcPr>
            <w:tcW w:w="806" w:type="pct"/>
            <w:tcBorders>
              <w:top w:val="single" w:sz="4" w:space="0" w:color="auto"/>
              <w:left w:val="single" w:sz="4" w:space="0" w:color="auto"/>
              <w:bottom w:val="single" w:sz="4" w:space="0" w:color="auto"/>
              <w:right w:val="single" w:sz="4" w:space="0" w:color="auto"/>
            </w:tcBorders>
          </w:tcPr>
          <w:p w14:paraId="59A52E5F" w14:textId="7C61F003" w:rsidR="00AB6122" w:rsidRPr="009E686F" w:rsidRDefault="00464140" w:rsidP="00515783">
            <w:pPr>
              <w:spacing w:after="0"/>
              <w:jc w:val="both"/>
              <w:rPr>
                <w:rFonts w:ascii="Times New Roman" w:hAnsi="Times New Roman" w:cs="Times New Roman"/>
                <w:lang w:val="it-CH"/>
              </w:rPr>
            </w:pPr>
            <w:r w:rsidRPr="009E686F">
              <w:rPr>
                <w:rFonts w:ascii="Times New Roman" w:hAnsi="Times New Roman" w:cs="Times New Roman"/>
                <w:lang w:val="it-CH"/>
              </w:rPr>
              <w:t>Vor fi incluse în proiectul de modificare a Legii nr. 548/1997 cu privire la Banca Na</w:t>
            </w:r>
            <w:r w:rsidRPr="009E686F">
              <w:rPr>
                <w:rFonts w:ascii="Times New Roman" w:hAnsi="Times New Roman" w:cs="Times New Roman"/>
                <w:lang w:val="ro-RO"/>
              </w:rPr>
              <w:t>țională a Moldovei</w:t>
            </w:r>
          </w:p>
        </w:tc>
      </w:tr>
      <w:tr w:rsidR="00B30AFC" w:rsidRPr="009E686F" w14:paraId="102C28F5" w14:textId="77777777" w:rsidTr="00960C23">
        <w:tc>
          <w:tcPr>
            <w:tcW w:w="1890" w:type="pct"/>
            <w:tcBorders>
              <w:top w:val="single" w:sz="4" w:space="0" w:color="auto"/>
              <w:left w:val="single" w:sz="4" w:space="0" w:color="auto"/>
              <w:bottom w:val="single" w:sz="4" w:space="0" w:color="auto"/>
              <w:right w:val="single" w:sz="4" w:space="0" w:color="auto"/>
            </w:tcBorders>
          </w:tcPr>
          <w:p w14:paraId="0AD147EF" w14:textId="4E5427B2" w:rsidR="00AB6122" w:rsidRPr="009E686F" w:rsidRDefault="00AB6122" w:rsidP="00ED2C1C">
            <w:pPr>
              <w:spacing w:after="0"/>
              <w:jc w:val="both"/>
              <w:rPr>
                <w:rFonts w:ascii="Times New Roman" w:hAnsi="Times New Roman" w:cs="Times New Roman"/>
                <w:lang w:val="it-CH"/>
              </w:rPr>
            </w:pPr>
            <w:r w:rsidRPr="009E686F">
              <w:rPr>
                <w:rFonts w:ascii="Times New Roman" w:hAnsi="Times New Roman" w:cs="Times New Roman"/>
                <w:lang w:val="it-CH"/>
              </w:rPr>
              <w:t>(4) Perioada de incompatibilitate începe la data la care a încetat implicarea directă în supravegherea entităților menționate la alineatul (3) litera (b) punctul (i). Autoritățile competente se asigură că membrii personalului lor și membrii organelor lor de guvernanță nu au acces la informații confidențiale sau sensibile referitoare la entitățile respective pe parcursul perioadei de incompatibilitate. În cazul angajării de către entitățile menționate la alineatul (3) litera (b) punctele (i) și (ii), durata perioadei de incompatibilitate este de cel puțin șase luni pentru membrii personalului direct implicați în supravegherea entităților menționate la alineatul (3) litera (b) punctul (i) și de cel puțin 12 luni pentru membrii organului de guvernanță al autorității competente. În cazul angajării de către entitățile menționate la alineatul (3) litera (b) punctul (iii), durata perioadei de incompatibilitate este de cel puțin trei luni atât pentru membrii personalului, cât și pentru membrii organului de guvernanță al autorității competente.</w:t>
            </w:r>
          </w:p>
        </w:tc>
        <w:tc>
          <w:tcPr>
            <w:tcW w:w="1834" w:type="pct"/>
            <w:tcBorders>
              <w:top w:val="single" w:sz="4" w:space="0" w:color="auto"/>
              <w:left w:val="single" w:sz="4" w:space="0" w:color="auto"/>
              <w:bottom w:val="single" w:sz="4" w:space="0" w:color="auto"/>
              <w:right w:val="single" w:sz="4" w:space="0" w:color="auto"/>
            </w:tcBorders>
          </w:tcPr>
          <w:p w14:paraId="2A95B16B" w14:textId="0843FA83" w:rsidR="00AB6122" w:rsidRPr="009E686F" w:rsidRDefault="00AB6122" w:rsidP="00ED2C1C">
            <w:pPr>
              <w:spacing w:after="0"/>
              <w:jc w:val="both"/>
              <w:rPr>
                <w:rFonts w:ascii="Times New Roman" w:hAnsi="Times New Roman" w:cs="Times New Roman"/>
                <w:lang w:val="it-CH"/>
              </w:rPr>
            </w:pPr>
          </w:p>
        </w:tc>
        <w:tc>
          <w:tcPr>
            <w:tcW w:w="470" w:type="pct"/>
            <w:tcBorders>
              <w:top w:val="single" w:sz="4" w:space="0" w:color="auto"/>
              <w:left w:val="single" w:sz="4" w:space="0" w:color="auto"/>
              <w:bottom w:val="single" w:sz="4" w:space="0" w:color="auto"/>
              <w:right w:val="single" w:sz="4" w:space="0" w:color="auto"/>
            </w:tcBorders>
          </w:tcPr>
          <w:p w14:paraId="4BC4249F" w14:textId="1E1E9B2C" w:rsidR="00AB6122" w:rsidRPr="009E686F" w:rsidRDefault="00AB6122" w:rsidP="00AB6122">
            <w:pPr>
              <w:jc w:val="both"/>
              <w:rPr>
                <w:rFonts w:ascii="Times New Roman" w:hAnsi="Times New Roman" w:cs="Times New Roman"/>
                <w:lang w:val="it-CH"/>
              </w:rPr>
            </w:pPr>
            <w:r w:rsidRPr="009E686F">
              <w:rPr>
                <w:rFonts w:ascii="Times New Roman" w:hAnsi="Times New Roman" w:cs="Times New Roman"/>
                <w:lang w:val="it-CH"/>
              </w:rPr>
              <w:t>Nome UE netranspuse</w:t>
            </w:r>
          </w:p>
        </w:tc>
        <w:tc>
          <w:tcPr>
            <w:tcW w:w="806" w:type="pct"/>
            <w:tcBorders>
              <w:top w:val="single" w:sz="4" w:space="0" w:color="auto"/>
              <w:left w:val="single" w:sz="4" w:space="0" w:color="auto"/>
              <w:bottom w:val="single" w:sz="4" w:space="0" w:color="auto"/>
              <w:right w:val="single" w:sz="4" w:space="0" w:color="auto"/>
            </w:tcBorders>
          </w:tcPr>
          <w:p w14:paraId="3EBDBDEE" w14:textId="76C0335E" w:rsidR="00AB6122" w:rsidRPr="009E686F" w:rsidRDefault="00464140" w:rsidP="00515783">
            <w:pPr>
              <w:spacing w:after="0"/>
              <w:jc w:val="both"/>
              <w:rPr>
                <w:rFonts w:ascii="Times New Roman" w:hAnsi="Times New Roman" w:cs="Times New Roman"/>
                <w:lang w:val="it-CH"/>
              </w:rPr>
            </w:pPr>
            <w:r w:rsidRPr="009E686F">
              <w:rPr>
                <w:rFonts w:ascii="Times New Roman" w:hAnsi="Times New Roman" w:cs="Times New Roman"/>
                <w:lang w:val="it-CH"/>
              </w:rPr>
              <w:t>Vor fi incluse în proiectul de modificare a Legii nr. 548/1997 cu privire la Banca Na</w:t>
            </w:r>
            <w:r w:rsidRPr="009E686F">
              <w:rPr>
                <w:rFonts w:ascii="Times New Roman" w:hAnsi="Times New Roman" w:cs="Times New Roman"/>
                <w:lang w:val="ro-RO"/>
              </w:rPr>
              <w:t>țională a Moldovei</w:t>
            </w:r>
          </w:p>
        </w:tc>
      </w:tr>
      <w:tr w:rsidR="00B30AFC" w:rsidRPr="009E686F" w14:paraId="48C5AB70" w14:textId="77777777" w:rsidTr="00960C23">
        <w:tc>
          <w:tcPr>
            <w:tcW w:w="1890" w:type="pct"/>
            <w:tcBorders>
              <w:top w:val="single" w:sz="4" w:space="0" w:color="auto"/>
              <w:left w:val="single" w:sz="4" w:space="0" w:color="auto"/>
              <w:bottom w:val="single" w:sz="4" w:space="0" w:color="auto"/>
              <w:right w:val="single" w:sz="4" w:space="0" w:color="auto"/>
            </w:tcBorders>
          </w:tcPr>
          <w:p w14:paraId="53376E8C" w14:textId="12ED6ED8" w:rsidR="00AB6122" w:rsidRPr="009E686F" w:rsidRDefault="00AB6122" w:rsidP="00ED2C1C">
            <w:pPr>
              <w:spacing w:after="0"/>
              <w:jc w:val="both"/>
              <w:rPr>
                <w:rFonts w:ascii="Times New Roman" w:hAnsi="Times New Roman" w:cs="Times New Roman"/>
                <w:lang w:val="it-CH"/>
              </w:rPr>
            </w:pPr>
            <w:r w:rsidRPr="009E686F">
              <w:rPr>
                <w:rFonts w:ascii="Times New Roman" w:hAnsi="Times New Roman" w:cs="Times New Roman"/>
                <w:lang w:val="it-CH"/>
              </w:rPr>
              <w:t xml:space="preserve">Statele membre pot permite autorităților competente să impună membrilor personalului lor și membrilor organelor lor de guvernanță cărora li se aplică alineatul (3) litera (b) punctul (i) o perioadă de incompatibilitate în cazul în care aceștia sunt </w:t>
            </w:r>
            <w:r w:rsidRPr="009E686F">
              <w:rPr>
                <w:rFonts w:ascii="Times New Roman" w:hAnsi="Times New Roman" w:cs="Times New Roman"/>
                <w:lang w:val="it-CH"/>
              </w:rPr>
              <w:lastRenderedPageBreak/>
              <w:t>angajați de concurenți direcți ai uneia dintre entitățile menționate la punctul respectiv. În acest scop, durata perioadei de incompatibilitate este de cel puțin trei luni pentru membrii personalului direct implicați în supravegherea entităților respective și de cel puțin șase luni pentru membrii organului de guvernanță al autorității competente.</w:t>
            </w:r>
          </w:p>
        </w:tc>
        <w:tc>
          <w:tcPr>
            <w:tcW w:w="1834" w:type="pct"/>
            <w:tcBorders>
              <w:top w:val="single" w:sz="4" w:space="0" w:color="auto"/>
              <w:left w:val="single" w:sz="4" w:space="0" w:color="auto"/>
              <w:bottom w:val="single" w:sz="4" w:space="0" w:color="auto"/>
              <w:right w:val="single" w:sz="4" w:space="0" w:color="auto"/>
            </w:tcBorders>
          </w:tcPr>
          <w:p w14:paraId="512660E1" w14:textId="73B41BFC" w:rsidR="00AB6122" w:rsidRPr="009E686F" w:rsidRDefault="00AB6122" w:rsidP="00ED2C1C">
            <w:pPr>
              <w:spacing w:after="0"/>
              <w:jc w:val="both"/>
              <w:rPr>
                <w:rFonts w:ascii="Times New Roman" w:hAnsi="Times New Roman" w:cs="Times New Roman"/>
                <w:lang w:val="it-CH"/>
              </w:rPr>
            </w:pPr>
          </w:p>
        </w:tc>
        <w:tc>
          <w:tcPr>
            <w:tcW w:w="470" w:type="pct"/>
            <w:tcBorders>
              <w:top w:val="single" w:sz="4" w:space="0" w:color="auto"/>
              <w:left w:val="single" w:sz="4" w:space="0" w:color="auto"/>
              <w:bottom w:val="single" w:sz="4" w:space="0" w:color="auto"/>
              <w:right w:val="single" w:sz="4" w:space="0" w:color="auto"/>
            </w:tcBorders>
          </w:tcPr>
          <w:p w14:paraId="485F777F" w14:textId="579CE9E7" w:rsidR="00AB6122" w:rsidRPr="009E686F" w:rsidRDefault="00AB6122" w:rsidP="00AB6122">
            <w:pPr>
              <w:jc w:val="both"/>
              <w:rPr>
                <w:rFonts w:ascii="Times New Roman" w:hAnsi="Times New Roman" w:cs="Times New Roman"/>
                <w:lang w:val="it-CH"/>
              </w:rPr>
            </w:pPr>
            <w:r w:rsidRPr="009E686F">
              <w:rPr>
                <w:rFonts w:ascii="Times New Roman" w:hAnsi="Times New Roman" w:cs="Times New Roman"/>
                <w:lang w:val="it-CH"/>
              </w:rPr>
              <w:t>Nome UE netranspuse</w:t>
            </w:r>
          </w:p>
        </w:tc>
        <w:tc>
          <w:tcPr>
            <w:tcW w:w="806" w:type="pct"/>
            <w:tcBorders>
              <w:top w:val="single" w:sz="4" w:space="0" w:color="auto"/>
              <w:left w:val="single" w:sz="4" w:space="0" w:color="auto"/>
              <w:bottom w:val="single" w:sz="4" w:space="0" w:color="auto"/>
              <w:right w:val="single" w:sz="4" w:space="0" w:color="auto"/>
            </w:tcBorders>
          </w:tcPr>
          <w:p w14:paraId="11782239" w14:textId="270C8B4E" w:rsidR="00AB6122" w:rsidRPr="009E686F" w:rsidRDefault="00464140" w:rsidP="00515783">
            <w:pPr>
              <w:spacing w:after="0"/>
              <w:jc w:val="both"/>
              <w:rPr>
                <w:rFonts w:ascii="Times New Roman" w:hAnsi="Times New Roman" w:cs="Times New Roman"/>
                <w:lang w:val="it-CH"/>
              </w:rPr>
            </w:pPr>
            <w:r w:rsidRPr="009E686F">
              <w:rPr>
                <w:rFonts w:ascii="Times New Roman" w:hAnsi="Times New Roman" w:cs="Times New Roman"/>
                <w:lang w:val="it-CH"/>
              </w:rPr>
              <w:t xml:space="preserve">Vor fi incluse în proiectul de modificare a Legii nr. 548/1997 cu </w:t>
            </w:r>
            <w:r w:rsidRPr="009E686F">
              <w:rPr>
                <w:rFonts w:ascii="Times New Roman" w:hAnsi="Times New Roman" w:cs="Times New Roman"/>
                <w:lang w:val="it-CH"/>
              </w:rPr>
              <w:lastRenderedPageBreak/>
              <w:t>privire la Banca Na</w:t>
            </w:r>
            <w:r w:rsidRPr="009E686F">
              <w:rPr>
                <w:rFonts w:ascii="Times New Roman" w:hAnsi="Times New Roman" w:cs="Times New Roman"/>
                <w:lang w:val="ro-RO"/>
              </w:rPr>
              <w:t>țională a Moldovei</w:t>
            </w:r>
          </w:p>
        </w:tc>
      </w:tr>
      <w:tr w:rsidR="00B30AFC" w:rsidRPr="009E686F" w14:paraId="647B0BCA" w14:textId="77777777" w:rsidTr="00960C23">
        <w:tc>
          <w:tcPr>
            <w:tcW w:w="1890" w:type="pct"/>
            <w:tcBorders>
              <w:top w:val="single" w:sz="4" w:space="0" w:color="auto"/>
              <w:left w:val="single" w:sz="4" w:space="0" w:color="auto"/>
              <w:bottom w:val="single" w:sz="4" w:space="0" w:color="auto"/>
              <w:right w:val="single" w:sz="4" w:space="0" w:color="auto"/>
            </w:tcBorders>
          </w:tcPr>
          <w:p w14:paraId="0B564CFA" w14:textId="5E9E956C" w:rsidR="00AB6122" w:rsidRPr="009E686F" w:rsidRDefault="00AB6122" w:rsidP="00ED2C1C">
            <w:pPr>
              <w:spacing w:after="0"/>
              <w:jc w:val="both"/>
              <w:rPr>
                <w:rFonts w:ascii="Times New Roman" w:hAnsi="Times New Roman" w:cs="Times New Roman"/>
                <w:lang w:val="it-CH"/>
              </w:rPr>
            </w:pPr>
            <w:r w:rsidRPr="009E686F">
              <w:rPr>
                <w:rFonts w:ascii="Times New Roman" w:hAnsi="Times New Roman" w:cs="Times New Roman"/>
                <w:lang w:val="it-CH"/>
              </w:rPr>
              <w:lastRenderedPageBreak/>
              <w:t>(5) Prin derogare de la alineatul (4), statele membre pot permite autorităților competente să impună perioade de incompatibilitate mai scurte, de cel puțin trei luni, membrilor personalului direct implicați în supravegherea instituțiilor numai în cazul în care o perioadă de incompatibilitate mai lungă:</w:t>
            </w:r>
          </w:p>
        </w:tc>
        <w:tc>
          <w:tcPr>
            <w:tcW w:w="1834" w:type="pct"/>
            <w:tcBorders>
              <w:top w:val="single" w:sz="4" w:space="0" w:color="auto"/>
              <w:left w:val="single" w:sz="4" w:space="0" w:color="auto"/>
              <w:bottom w:val="single" w:sz="4" w:space="0" w:color="auto"/>
              <w:right w:val="single" w:sz="4" w:space="0" w:color="auto"/>
            </w:tcBorders>
          </w:tcPr>
          <w:p w14:paraId="3F542451" w14:textId="5FA28E67" w:rsidR="00AB6122" w:rsidRPr="009E686F" w:rsidRDefault="00AB6122" w:rsidP="00ED2C1C">
            <w:pPr>
              <w:spacing w:after="0"/>
              <w:jc w:val="both"/>
              <w:rPr>
                <w:rFonts w:ascii="Times New Roman" w:hAnsi="Times New Roman" w:cs="Times New Roman"/>
                <w:lang w:val="it-CH"/>
              </w:rPr>
            </w:pPr>
          </w:p>
        </w:tc>
        <w:tc>
          <w:tcPr>
            <w:tcW w:w="470" w:type="pct"/>
            <w:tcBorders>
              <w:top w:val="single" w:sz="4" w:space="0" w:color="auto"/>
              <w:left w:val="single" w:sz="4" w:space="0" w:color="auto"/>
              <w:bottom w:val="single" w:sz="4" w:space="0" w:color="auto"/>
              <w:right w:val="single" w:sz="4" w:space="0" w:color="auto"/>
            </w:tcBorders>
          </w:tcPr>
          <w:p w14:paraId="1A020B6C" w14:textId="23D9ED31" w:rsidR="00AB6122" w:rsidRPr="009E686F" w:rsidRDefault="00AB6122" w:rsidP="00AB6122">
            <w:pPr>
              <w:jc w:val="both"/>
              <w:rPr>
                <w:rFonts w:ascii="Times New Roman" w:hAnsi="Times New Roman" w:cs="Times New Roman"/>
                <w:lang w:val="it-CH"/>
              </w:rPr>
            </w:pPr>
            <w:r w:rsidRPr="009E686F">
              <w:rPr>
                <w:rFonts w:ascii="Times New Roman" w:hAnsi="Times New Roman" w:cs="Times New Roman"/>
                <w:lang w:val="it-CH"/>
              </w:rPr>
              <w:t>Nome UE netranspuse</w:t>
            </w:r>
          </w:p>
        </w:tc>
        <w:tc>
          <w:tcPr>
            <w:tcW w:w="806" w:type="pct"/>
            <w:tcBorders>
              <w:top w:val="single" w:sz="4" w:space="0" w:color="auto"/>
              <w:left w:val="single" w:sz="4" w:space="0" w:color="auto"/>
              <w:bottom w:val="single" w:sz="4" w:space="0" w:color="auto"/>
              <w:right w:val="single" w:sz="4" w:space="0" w:color="auto"/>
            </w:tcBorders>
          </w:tcPr>
          <w:p w14:paraId="5B7CF976" w14:textId="36B8831E" w:rsidR="00AB6122" w:rsidRPr="009E686F" w:rsidRDefault="00464140" w:rsidP="00515783">
            <w:pPr>
              <w:spacing w:after="0"/>
              <w:jc w:val="both"/>
              <w:rPr>
                <w:rFonts w:ascii="Times New Roman" w:hAnsi="Times New Roman" w:cs="Times New Roman"/>
                <w:lang w:val="it-CH"/>
              </w:rPr>
            </w:pPr>
            <w:r w:rsidRPr="009E686F">
              <w:rPr>
                <w:rFonts w:ascii="Times New Roman" w:hAnsi="Times New Roman" w:cs="Times New Roman"/>
                <w:lang w:val="it-CH"/>
              </w:rPr>
              <w:t>Vor fi incluse în proiectul de modificare a Legii nr. 548/1997 cu privire la Banca Na</w:t>
            </w:r>
            <w:r w:rsidRPr="009E686F">
              <w:rPr>
                <w:rFonts w:ascii="Times New Roman" w:hAnsi="Times New Roman" w:cs="Times New Roman"/>
                <w:lang w:val="ro-RO"/>
              </w:rPr>
              <w:t>țională a Moldovei</w:t>
            </w:r>
          </w:p>
        </w:tc>
      </w:tr>
      <w:tr w:rsidR="00B30AFC" w:rsidRPr="009E686F" w14:paraId="7B4B86C5" w14:textId="77777777" w:rsidTr="00960C23">
        <w:tc>
          <w:tcPr>
            <w:tcW w:w="1890" w:type="pct"/>
            <w:tcBorders>
              <w:top w:val="single" w:sz="4" w:space="0" w:color="auto"/>
              <w:left w:val="single" w:sz="4" w:space="0" w:color="auto"/>
              <w:bottom w:val="single" w:sz="4" w:space="0" w:color="auto"/>
              <w:right w:val="single" w:sz="4" w:space="0" w:color="auto"/>
            </w:tcBorders>
          </w:tcPr>
          <w:p w14:paraId="442887CF" w14:textId="45C0DE3B" w:rsidR="00AB6122" w:rsidRPr="009E686F" w:rsidRDefault="00AB6122" w:rsidP="00ED2C1C">
            <w:pPr>
              <w:spacing w:after="0"/>
              <w:jc w:val="both"/>
              <w:rPr>
                <w:rFonts w:ascii="Times New Roman" w:hAnsi="Times New Roman" w:cs="Times New Roman"/>
                <w:lang w:val="it-CH"/>
              </w:rPr>
            </w:pPr>
            <w:r w:rsidRPr="009E686F">
              <w:rPr>
                <w:rFonts w:ascii="Times New Roman" w:hAnsi="Times New Roman" w:cs="Times New Roman"/>
                <w:lang w:val="it-CH"/>
              </w:rPr>
              <w:t>(a) ar restricționa în mod nejustificat capacitatea autorității competente de a angaja noi membri ai personalului care să aibă competențele adecvate sau necesare pentru exercitarea funcțiilor sale de supraveghere, ținând seama în special de dimensiunea redusă a pieței naționale a muncii; sau</w:t>
            </w:r>
          </w:p>
        </w:tc>
        <w:tc>
          <w:tcPr>
            <w:tcW w:w="1834" w:type="pct"/>
            <w:tcBorders>
              <w:top w:val="single" w:sz="4" w:space="0" w:color="auto"/>
              <w:left w:val="single" w:sz="4" w:space="0" w:color="auto"/>
              <w:bottom w:val="single" w:sz="4" w:space="0" w:color="auto"/>
              <w:right w:val="single" w:sz="4" w:space="0" w:color="auto"/>
            </w:tcBorders>
          </w:tcPr>
          <w:p w14:paraId="23E066F7" w14:textId="7A3DE8FF" w:rsidR="00AB6122" w:rsidRPr="009E686F" w:rsidRDefault="00AB6122" w:rsidP="00ED2C1C">
            <w:pPr>
              <w:spacing w:after="0"/>
              <w:jc w:val="both"/>
              <w:rPr>
                <w:rFonts w:ascii="Times New Roman" w:hAnsi="Times New Roman" w:cs="Times New Roman"/>
                <w:lang w:val="it-CH"/>
              </w:rPr>
            </w:pPr>
          </w:p>
        </w:tc>
        <w:tc>
          <w:tcPr>
            <w:tcW w:w="470" w:type="pct"/>
            <w:tcBorders>
              <w:top w:val="single" w:sz="4" w:space="0" w:color="auto"/>
              <w:left w:val="single" w:sz="4" w:space="0" w:color="auto"/>
              <w:bottom w:val="single" w:sz="4" w:space="0" w:color="auto"/>
              <w:right w:val="single" w:sz="4" w:space="0" w:color="auto"/>
            </w:tcBorders>
          </w:tcPr>
          <w:p w14:paraId="72DAD158" w14:textId="535F924A" w:rsidR="00AB6122" w:rsidRPr="009E686F" w:rsidRDefault="00AB6122" w:rsidP="00AB6122">
            <w:pPr>
              <w:jc w:val="both"/>
              <w:rPr>
                <w:rFonts w:ascii="Times New Roman" w:hAnsi="Times New Roman" w:cs="Times New Roman"/>
                <w:lang w:val="it-CH"/>
              </w:rPr>
            </w:pPr>
            <w:r w:rsidRPr="009E686F">
              <w:rPr>
                <w:rFonts w:ascii="Times New Roman" w:hAnsi="Times New Roman" w:cs="Times New Roman"/>
                <w:lang w:val="it-CH"/>
              </w:rPr>
              <w:t>Nome UE netranspuse</w:t>
            </w:r>
          </w:p>
        </w:tc>
        <w:tc>
          <w:tcPr>
            <w:tcW w:w="806" w:type="pct"/>
            <w:tcBorders>
              <w:top w:val="single" w:sz="4" w:space="0" w:color="auto"/>
              <w:left w:val="single" w:sz="4" w:space="0" w:color="auto"/>
              <w:bottom w:val="single" w:sz="4" w:space="0" w:color="auto"/>
              <w:right w:val="single" w:sz="4" w:space="0" w:color="auto"/>
            </w:tcBorders>
          </w:tcPr>
          <w:p w14:paraId="4F9DFEF9" w14:textId="6E5E6B60" w:rsidR="00AB6122" w:rsidRPr="009E686F" w:rsidRDefault="00464140" w:rsidP="00515783">
            <w:pPr>
              <w:spacing w:after="0"/>
              <w:jc w:val="both"/>
              <w:rPr>
                <w:rFonts w:ascii="Times New Roman" w:hAnsi="Times New Roman" w:cs="Times New Roman"/>
                <w:lang w:val="it-CH"/>
              </w:rPr>
            </w:pPr>
            <w:r w:rsidRPr="009E686F">
              <w:rPr>
                <w:rFonts w:ascii="Times New Roman" w:hAnsi="Times New Roman" w:cs="Times New Roman"/>
                <w:lang w:val="it-CH"/>
              </w:rPr>
              <w:t>Vor fi incluse în proiectul de modificare a Legii nr. 548/1997 cu privire la Banca Na</w:t>
            </w:r>
            <w:r w:rsidRPr="009E686F">
              <w:rPr>
                <w:rFonts w:ascii="Times New Roman" w:hAnsi="Times New Roman" w:cs="Times New Roman"/>
                <w:lang w:val="ro-RO"/>
              </w:rPr>
              <w:t>țională a Moldovei</w:t>
            </w:r>
          </w:p>
        </w:tc>
      </w:tr>
      <w:tr w:rsidR="00B30AFC" w:rsidRPr="009E686F" w14:paraId="0C4AD5CE" w14:textId="77777777" w:rsidTr="00960C23">
        <w:tc>
          <w:tcPr>
            <w:tcW w:w="1890" w:type="pct"/>
            <w:tcBorders>
              <w:top w:val="single" w:sz="4" w:space="0" w:color="auto"/>
              <w:left w:val="single" w:sz="4" w:space="0" w:color="auto"/>
              <w:bottom w:val="single" w:sz="4" w:space="0" w:color="auto"/>
              <w:right w:val="single" w:sz="4" w:space="0" w:color="auto"/>
            </w:tcBorders>
          </w:tcPr>
          <w:p w14:paraId="66357D4C" w14:textId="539AF7B3" w:rsidR="00AB6122" w:rsidRPr="009E686F" w:rsidRDefault="00AB6122" w:rsidP="00ED2C1C">
            <w:pPr>
              <w:spacing w:after="0"/>
              <w:jc w:val="both"/>
              <w:rPr>
                <w:rFonts w:ascii="Times New Roman" w:hAnsi="Times New Roman" w:cs="Times New Roman"/>
                <w:lang w:val="it-CH"/>
              </w:rPr>
            </w:pPr>
            <w:r w:rsidRPr="009E686F">
              <w:rPr>
                <w:rFonts w:ascii="Times New Roman" w:hAnsi="Times New Roman" w:cs="Times New Roman"/>
                <w:lang w:val="it-CH"/>
              </w:rPr>
              <w:t>(b) ar constitui o încălcare a oricărui drept fundamental relevant recunoscut în constituția statului membru în cauză ori în Carta drepturilor fundamentale a Uniunii Europene sau a oricăror drepturi relevante ale lucrătorilor, astfel cum sunt prevăzute în legislația națională în domeniul muncii.</w:t>
            </w:r>
          </w:p>
        </w:tc>
        <w:tc>
          <w:tcPr>
            <w:tcW w:w="1834" w:type="pct"/>
            <w:tcBorders>
              <w:top w:val="single" w:sz="4" w:space="0" w:color="auto"/>
              <w:left w:val="single" w:sz="4" w:space="0" w:color="auto"/>
              <w:bottom w:val="single" w:sz="4" w:space="0" w:color="auto"/>
              <w:right w:val="single" w:sz="4" w:space="0" w:color="auto"/>
            </w:tcBorders>
          </w:tcPr>
          <w:p w14:paraId="0E6D227E" w14:textId="342067D6" w:rsidR="00AB6122" w:rsidRPr="009E686F" w:rsidRDefault="00AB6122" w:rsidP="00ED2C1C">
            <w:pPr>
              <w:spacing w:after="0"/>
              <w:jc w:val="both"/>
              <w:rPr>
                <w:rFonts w:ascii="Times New Roman" w:hAnsi="Times New Roman" w:cs="Times New Roman"/>
                <w:lang w:val="it-CH"/>
              </w:rPr>
            </w:pPr>
          </w:p>
        </w:tc>
        <w:tc>
          <w:tcPr>
            <w:tcW w:w="470" w:type="pct"/>
            <w:tcBorders>
              <w:top w:val="single" w:sz="4" w:space="0" w:color="auto"/>
              <w:left w:val="single" w:sz="4" w:space="0" w:color="auto"/>
              <w:bottom w:val="single" w:sz="4" w:space="0" w:color="auto"/>
              <w:right w:val="single" w:sz="4" w:space="0" w:color="auto"/>
            </w:tcBorders>
          </w:tcPr>
          <w:p w14:paraId="0BD0F911" w14:textId="6E6F8E0D" w:rsidR="00AB6122" w:rsidRPr="009E686F" w:rsidRDefault="00AB6122" w:rsidP="00AB6122">
            <w:pPr>
              <w:jc w:val="both"/>
              <w:rPr>
                <w:rFonts w:ascii="Times New Roman" w:hAnsi="Times New Roman" w:cs="Times New Roman"/>
                <w:lang w:val="it-CH"/>
              </w:rPr>
            </w:pPr>
            <w:r w:rsidRPr="009E686F">
              <w:rPr>
                <w:rFonts w:ascii="Times New Roman" w:hAnsi="Times New Roman" w:cs="Times New Roman"/>
                <w:lang w:val="it-CH"/>
              </w:rPr>
              <w:t>Nome UE netranspuse</w:t>
            </w:r>
          </w:p>
        </w:tc>
        <w:tc>
          <w:tcPr>
            <w:tcW w:w="806" w:type="pct"/>
            <w:tcBorders>
              <w:top w:val="single" w:sz="4" w:space="0" w:color="auto"/>
              <w:left w:val="single" w:sz="4" w:space="0" w:color="auto"/>
              <w:bottom w:val="single" w:sz="4" w:space="0" w:color="auto"/>
              <w:right w:val="single" w:sz="4" w:space="0" w:color="auto"/>
            </w:tcBorders>
          </w:tcPr>
          <w:p w14:paraId="6AEFCAFA" w14:textId="34C20303" w:rsidR="00AB6122" w:rsidRPr="009E686F" w:rsidRDefault="00464140" w:rsidP="00515783">
            <w:pPr>
              <w:spacing w:after="0"/>
              <w:jc w:val="both"/>
              <w:rPr>
                <w:rFonts w:ascii="Times New Roman" w:hAnsi="Times New Roman" w:cs="Times New Roman"/>
                <w:lang w:val="it-CH"/>
              </w:rPr>
            </w:pPr>
            <w:r w:rsidRPr="009E686F">
              <w:rPr>
                <w:rFonts w:ascii="Times New Roman" w:hAnsi="Times New Roman" w:cs="Times New Roman"/>
                <w:lang w:val="it-CH"/>
              </w:rPr>
              <w:t>Vor fi incluse în proiectul de modificare a Legii nr. 548/1997 cu privire la Banca Na</w:t>
            </w:r>
            <w:r w:rsidRPr="009E686F">
              <w:rPr>
                <w:rFonts w:ascii="Times New Roman" w:hAnsi="Times New Roman" w:cs="Times New Roman"/>
                <w:lang w:val="ro-RO"/>
              </w:rPr>
              <w:t>țională a Moldovei</w:t>
            </w:r>
          </w:p>
        </w:tc>
      </w:tr>
      <w:tr w:rsidR="00B30AFC" w:rsidRPr="009E686F" w14:paraId="3745ECB3" w14:textId="77777777" w:rsidTr="00960C23">
        <w:tc>
          <w:tcPr>
            <w:tcW w:w="1890" w:type="pct"/>
            <w:tcBorders>
              <w:top w:val="single" w:sz="4" w:space="0" w:color="auto"/>
              <w:left w:val="single" w:sz="4" w:space="0" w:color="auto"/>
              <w:bottom w:val="single" w:sz="4" w:space="0" w:color="auto"/>
              <w:right w:val="single" w:sz="4" w:space="0" w:color="auto"/>
            </w:tcBorders>
          </w:tcPr>
          <w:p w14:paraId="18EDD183" w14:textId="52F5150B" w:rsidR="00AB6122" w:rsidRPr="009E686F" w:rsidRDefault="00AB6122" w:rsidP="00ED2C1C">
            <w:pPr>
              <w:spacing w:after="0"/>
              <w:jc w:val="both"/>
              <w:rPr>
                <w:rFonts w:ascii="Times New Roman" w:hAnsi="Times New Roman" w:cs="Times New Roman"/>
                <w:lang w:val="it-CH"/>
              </w:rPr>
            </w:pPr>
            <w:r w:rsidRPr="009E686F">
              <w:rPr>
                <w:rFonts w:ascii="Times New Roman" w:hAnsi="Times New Roman" w:cs="Times New Roman"/>
                <w:lang w:val="it-CH"/>
              </w:rPr>
              <w:t>(6) Membrii personalului și membrii organului de guvernanță al unei autorități competente care fac obiectul interdicției prevăzute la alineatul (3) litera (b) au dreptul la o compensație adecvată pentru interdicția respectivă. Statele membre decid cu privire la forma adecvată a unei astfel de compensații.</w:t>
            </w:r>
          </w:p>
        </w:tc>
        <w:tc>
          <w:tcPr>
            <w:tcW w:w="1834" w:type="pct"/>
            <w:tcBorders>
              <w:top w:val="single" w:sz="4" w:space="0" w:color="auto"/>
              <w:left w:val="single" w:sz="4" w:space="0" w:color="auto"/>
              <w:bottom w:val="single" w:sz="4" w:space="0" w:color="auto"/>
              <w:right w:val="single" w:sz="4" w:space="0" w:color="auto"/>
            </w:tcBorders>
          </w:tcPr>
          <w:p w14:paraId="56C01FDD" w14:textId="5A3C577B" w:rsidR="00AB6122" w:rsidRPr="009E686F" w:rsidRDefault="00AB6122" w:rsidP="00ED2C1C">
            <w:pPr>
              <w:spacing w:after="0"/>
              <w:jc w:val="both"/>
              <w:rPr>
                <w:rFonts w:ascii="Times New Roman" w:hAnsi="Times New Roman" w:cs="Times New Roman"/>
                <w:lang w:val="it-CH"/>
              </w:rPr>
            </w:pPr>
          </w:p>
        </w:tc>
        <w:tc>
          <w:tcPr>
            <w:tcW w:w="470" w:type="pct"/>
            <w:tcBorders>
              <w:top w:val="single" w:sz="4" w:space="0" w:color="auto"/>
              <w:left w:val="single" w:sz="4" w:space="0" w:color="auto"/>
              <w:bottom w:val="single" w:sz="4" w:space="0" w:color="auto"/>
              <w:right w:val="single" w:sz="4" w:space="0" w:color="auto"/>
            </w:tcBorders>
          </w:tcPr>
          <w:p w14:paraId="23935401" w14:textId="0C4881D9" w:rsidR="00AB6122" w:rsidRPr="009E686F" w:rsidRDefault="00AB6122" w:rsidP="00AB6122">
            <w:pPr>
              <w:jc w:val="both"/>
              <w:rPr>
                <w:rFonts w:ascii="Times New Roman" w:hAnsi="Times New Roman" w:cs="Times New Roman"/>
                <w:lang w:val="it-CH"/>
              </w:rPr>
            </w:pPr>
            <w:r w:rsidRPr="009E686F">
              <w:rPr>
                <w:rFonts w:ascii="Times New Roman" w:hAnsi="Times New Roman" w:cs="Times New Roman"/>
                <w:lang w:val="it-CH"/>
              </w:rPr>
              <w:t>Nome UE netranspuse</w:t>
            </w:r>
          </w:p>
        </w:tc>
        <w:tc>
          <w:tcPr>
            <w:tcW w:w="806" w:type="pct"/>
            <w:tcBorders>
              <w:top w:val="single" w:sz="4" w:space="0" w:color="auto"/>
              <w:left w:val="single" w:sz="4" w:space="0" w:color="auto"/>
              <w:bottom w:val="single" w:sz="4" w:space="0" w:color="auto"/>
              <w:right w:val="single" w:sz="4" w:space="0" w:color="auto"/>
            </w:tcBorders>
          </w:tcPr>
          <w:p w14:paraId="660A615C" w14:textId="4F230442" w:rsidR="00AB6122" w:rsidRPr="009E686F" w:rsidRDefault="00464140" w:rsidP="00515783">
            <w:pPr>
              <w:spacing w:after="0"/>
              <w:jc w:val="both"/>
              <w:rPr>
                <w:rFonts w:ascii="Times New Roman" w:hAnsi="Times New Roman" w:cs="Times New Roman"/>
                <w:lang w:val="it-CH"/>
              </w:rPr>
            </w:pPr>
            <w:r w:rsidRPr="009E686F">
              <w:rPr>
                <w:rFonts w:ascii="Times New Roman" w:hAnsi="Times New Roman" w:cs="Times New Roman"/>
                <w:lang w:val="it-CH"/>
              </w:rPr>
              <w:t>Vor fi incluse în proiectul de modificare a Legii nr. 548/1997 cu privire la Banca Na</w:t>
            </w:r>
            <w:r w:rsidRPr="009E686F">
              <w:rPr>
                <w:rFonts w:ascii="Times New Roman" w:hAnsi="Times New Roman" w:cs="Times New Roman"/>
                <w:lang w:val="ro-RO"/>
              </w:rPr>
              <w:t>țională a Moldovei</w:t>
            </w:r>
          </w:p>
        </w:tc>
      </w:tr>
      <w:tr w:rsidR="00B30AFC" w:rsidRPr="009E686F" w14:paraId="301E02CB" w14:textId="77777777" w:rsidTr="00960C23">
        <w:tc>
          <w:tcPr>
            <w:tcW w:w="1890" w:type="pct"/>
            <w:tcBorders>
              <w:top w:val="single" w:sz="4" w:space="0" w:color="auto"/>
              <w:left w:val="single" w:sz="4" w:space="0" w:color="auto"/>
              <w:bottom w:val="single" w:sz="4" w:space="0" w:color="auto"/>
              <w:right w:val="single" w:sz="4" w:space="0" w:color="auto"/>
            </w:tcBorders>
          </w:tcPr>
          <w:p w14:paraId="60271C27" w14:textId="77777777" w:rsidR="00AB6122" w:rsidRPr="009E686F" w:rsidRDefault="00AB6122" w:rsidP="00ED2C1C">
            <w:pPr>
              <w:spacing w:after="0"/>
              <w:jc w:val="both"/>
              <w:rPr>
                <w:rFonts w:ascii="Times New Roman" w:hAnsi="Times New Roman" w:cs="Times New Roman"/>
                <w:lang w:val="pt-BR"/>
              </w:rPr>
            </w:pPr>
            <w:r w:rsidRPr="009E686F">
              <w:rPr>
                <w:rFonts w:ascii="Times New Roman" w:hAnsi="Times New Roman" w:cs="Times New Roman"/>
                <w:lang w:val="it-CH"/>
              </w:rPr>
              <w:t xml:space="preserve">(7) Statele membre se asigură că membrii personalului și membrii organului de guvernanță al unei autorități competente au obligația de a prezenta o declarație de interese. Declarația respectivă include informații privind participațiile membrilor sub formă de acțiuni, titluri de capital, obligațiuni, fonduri </w:t>
            </w:r>
            <w:r w:rsidRPr="009E686F">
              <w:rPr>
                <w:rFonts w:ascii="Times New Roman" w:hAnsi="Times New Roman" w:cs="Times New Roman"/>
                <w:lang w:val="it-CH"/>
              </w:rPr>
              <w:lastRenderedPageBreak/>
              <w:t xml:space="preserve">mutuale, fonduri de investiții, fonduri de tip mixt, fonduri de hedging și fonduri tranzacționate la bursă care pot genera îngrijorări legate de conflicte de interese. </w:t>
            </w:r>
            <w:r w:rsidRPr="009E686F">
              <w:rPr>
                <w:rFonts w:ascii="Times New Roman" w:hAnsi="Times New Roman" w:cs="Times New Roman"/>
                <w:lang w:val="pt-BR"/>
              </w:rPr>
              <w:t>Persoanele în cauză prezintă declarația de interese înainte de numirea lor și, ulterior, o dată pe an.</w:t>
            </w:r>
          </w:p>
          <w:p w14:paraId="0F781907" w14:textId="4E4C6ABE" w:rsidR="00AB6122" w:rsidRPr="009E686F" w:rsidRDefault="00AB6122" w:rsidP="00ED2C1C">
            <w:pPr>
              <w:spacing w:after="0"/>
              <w:jc w:val="both"/>
              <w:rPr>
                <w:rFonts w:ascii="Times New Roman" w:hAnsi="Times New Roman" w:cs="Times New Roman"/>
                <w:lang w:val="pt-BR"/>
              </w:rPr>
            </w:pPr>
            <w:r w:rsidRPr="009E686F">
              <w:rPr>
                <w:rFonts w:ascii="Times New Roman" w:hAnsi="Times New Roman" w:cs="Times New Roman"/>
                <w:lang w:val="pt-BR"/>
              </w:rPr>
              <w:t>Declarația de interese nu aduce atingere niciunei cerințe de a depune o declarație de avere în temeiul normelor naționale aplicabile.</w:t>
            </w:r>
          </w:p>
        </w:tc>
        <w:tc>
          <w:tcPr>
            <w:tcW w:w="1834" w:type="pct"/>
            <w:tcBorders>
              <w:top w:val="single" w:sz="4" w:space="0" w:color="auto"/>
              <w:left w:val="single" w:sz="4" w:space="0" w:color="auto"/>
              <w:bottom w:val="single" w:sz="4" w:space="0" w:color="auto"/>
              <w:right w:val="single" w:sz="4" w:space="0" w:color="auto"/>
            </w:tcBorders>
          </w:tcPr>
          <w:p w14:paraId="172D81FC" w14:textId="0010B69B" w:rsidR="00AB6122" w:rsidRPr="009E686F" w:rsidRDefault="00AB6122" w:rsidP="00ED2C1C">
            <w:pPr>
              <w:spacing w:after="0"/>
              <w:jc w:val="both"/>
              <w:rPr>
                <w:rFonts w:ascii="Times New Roman" w:hAnsi="Times New Roman" w:cs="Times New Roman"/>
                <w:lang w:val="pt-BR"/>
              </w:rPr>
            </w:pPr>
          </w:p>
          <w:p w14:paraId="7194A3BE" w14:textId="296295E1" w:rsidR="00AB6122" w:rsidRPr="009E686F" w:rsidRDefault="00AB6122" w:rsidP="00ED2C1C">
            <w:pPr>
              <w:spacing w:after="0"/>
              <w:jc w:val="both"/>
              <w:rPr>
                <w:rFonts w:ascii="Times New Roman" w:hAnsi="Times New Roman" w:cs="Times New Roman"/>
                <w:lang w:val="pt-BR"/>
              </w:rPr>
            </w:pPr>
          </w:p>
        </w:tc>
        <w:tc>
          <w:tcPr>
            <w:tcW w:w="470" w:type="pct"/>
            <w:tcBorders>
              <w:top w:val="single" w:sz="4" w:space="0" w:color="auto"/>
              <w:left w:val="single" w:sz="4" w:space="0" w:color="auto"/>
              <w:bottom w:val="single" w:sz="4" w:space="0" w:color="auto"/>
              <w:right w:val="single" w:sz="4" w:space="0" w:color="auto"/>
            </w:tcBorders>
          </w:tcPr>
          <w:p w14:paraId="6E5AA655" w14:textId="6A4A9C78" w:rsidR="00AB6122" w:rsidRPr="009E686F" w:rsidRDefault="00AB6122" w:rsidP="00AB6122">
            <w:pPr>
              <w:jc w:val="both"/>
              <w:rPr>
                <w:rFonts w:ascii="Times New Roman" w:hAnsi="Times New Roman" w:cs="Times New Roman"/>
                <w:lang w:val="pt-BR"/>
              </w:rPr>
            </w:pPr>
            <w:r w:rsidRPr="009E686F">
              <w:rPr>
                <w:rFonts w:ascii="Times New Roman" w:hAnsi="Times New Roman" w:cs="Times New Roman"/>
                <w:lang w:val="it-CH"/>
              </w:rPr>
              <w:t>Nome UE netranspuse</w:t>
            </w:r>
          </w:p>
        </w:tc>
        <w:tc>
          <w:tcPr>
            <w:tcW w:w="806" w:type="pct"/>
            <w:tcBorders>
              <w:top w:val="single" w:sz="4" w:space="0" w:color="auto"/>
              <w:left w:val="single" w:sz="4" w:space="0" w:color="auto"/>
              <w:bottom w:val="single" w:sz="4" w:space="0" w:color="auto"/>
              <w:right w:val="single" w:sz="4" w:space="0" w:color="auto"/>
            </w:tcBorders>
          </w:tcPr>
          <w:p w14:paraId="26AC03E4" w14:textId="4E952691" w:rsidR="00AB6122" w:rsidRPr="009E686F" w:rsidRDefault="00464140" w:rsidP="00515783">
            <w:pPr>
              <w:spacing w:after="0"/>
              <w:jc w:val="both"/>
              <w:rPr>
                <w:rFonts w:ascii="Times New Roman" w:hAnsi="Times New Roman" w:cs="Times New Roman"/>
                <w:lang w:val="it-IT"/>
              </w:rPr>
            </w:pPr>
            <w:r w:rsidRPr="009E686F">
              <w:rPr>
                <w:rFonts w:ascii="Times New Roman" w:hAnsi="Times New Roman" w:cs="Times New Roman"/>
                <w:lang w:val="it-CH"/>
              </w:rPr>
              <w:t>Vor fi incluse în proiectul de modificare a Legii nr. 548/1997 cu privire la Banca Na</w:t>
            </w:r>
            <w:r w:rsidRPr="009E686F">
              <w:rPr>
                <w:rFonts w:ascii="Times New Roman" w:hAnsi="Times New Roman" w:cs="Times New Roman"/>
                <w:lang w:val="ro-RO"/>
              </w:rPr>
              <w:t>țională a Moldovei</w:t>
            </w:r>
          </w:p>
        </w:tc>
      </w:tr>
      <w:tr w:rsidR="00B30AFC" w:rsidRPr="009E686F" w14:paraId="62DE3091" w14:textId="77777777" w:rsidTr="00960C23">
        <w:tc>
          <w:tcPr>
            <w:tcW w:w="1890" w:type="pct"/>
            <w:tcBorders>
              <w:top w:val="single" w:sz="4" w:space="0" w:color="auto"/>
              <w:left w:val="single" w:sz="4" w:space="0" w:color="auto"/>
              <w:bottom w:val="single" w:sz="4" w:space="0" w:color="auto"/>
              <w:right w:val="single" w:sz="4" w:space="0" w:color="auto"/>
            </w:tcBorders>
          </w:tcPr>
          <w:p w14:paraId="76A8A208" w14:textId="426729A3" w:rsidR="00AB6122" w:rsidRPr="009E686F" w:rsidRDefault="00AB6122" w:rsidP="00ED2C1C">
            <w:pPr>
              <w:spacing w:after="0"/>
              <w:jc w:val="both"/>
              <w:rPr>
                <w:rFonts w:ascii="Times New Roman" w:hAnsi="Times New Roman" w:cs="Times New Roman"/>
                <w:lang w:val="it-CH"/>
              </w:rPr>
            </w:pPr>
            <w:r w:rsidRPr="009E686F">
              <w:rPr>
                <w:rFonts w:ascii="Times New Roman" w:hAnsi="Times New Roman" w:cs="Times New Roman"/>
                <w:lang w:val="it-CH"/>
              </w:rPr>
              <w:t>(8) În cazul în care un membru al personalului sau un membru al organului de guvernanță al autorității competente deține, în momentul angajării sau al numirii sau în orice moment ulterior, instrumente financiare care pot da naștere unor conflicte de interese, autoritatea competentă are competența de a solicita, de la caz la caz, ca instrumentele respective să fie vândute sau cedate într-un termen rezonabil. Autoritățile competente au de asemenea competența de a permite, de la caz la caz, membrilor respectivi să vândă sau să cedeze instrumentele financiare pe care le dețineau în momentul angajării sau al numirii.</w:t>
            </w:r>
          </w:p>
        </w:tc>
        <w:tc>
          <w:tcPr>
            <w:tcW w:w="1834" w:type="pct"/>
            <w:tcBorders>
              <w:top w:val="single" w:sz="4" w:space="0" w:color="auto"/>
              <w:left w:val="single" w:sz="4" w:space="0" w:color="auto"/>
              <w:bottom w:val="single" w:sz="4" w:space="0" w:color="auto"/>
              <w:right w:val="single" w:sz="4" w:space="0" w:color="auto"/>
            </w:tcBorders>
          </w:tcPr>
          <w:p w14:paraId="13E95031" w14:textId="7A00FC9B" w:rsidR="00AB6122" w:rsidRPr="009E686F" w:rsidRDefault="00AB6122" w:rsidP="00ED2C1C">
            <w:pPr>
              <w:spacing w:after="0"/>
              <w:jc w:val="both"/>
              <w:rPr>
                <w:rFonts w:ascii="Times New Roman" w:hAnsi="Times New Roman" w:cs="Times New Roman"/>
                <w:lang w:val="it-CH"/>
              </w:rPr>
            </w:pPr>
          </w:p>
        </w:tc>
        <w:tc>
          <w:tcPr>
            <w:tcW w:w="470" w:type="pct"/>
            <w:tcBorders>
              <w:top w:val="single" w:sz="4" w:space="0" w:color="auto"/>
              <w:left w:val="single" w:sz="4" w:space="0" w:color="auto"/>
              <w:bottom w:val="single" w:sz="4" w:space="0" w:color="auto"/>
              <w:right w:val="single" w:sz="4" w:space="0" w:color="auto"/>
            </w:tcBorders>
          </w:tcPr>
          <w:p w14:paraId="78B636C6" w14:textId="6AA1ADB4" w:rsidR="00AB6122" w:rsidRPr="009E686F" w:rsidRDefault="00AB6122" w:rsidP="00AB6122">
            <w:pPr>
              <w:jc w:val="both"/>
              <w:rPr>
                <w:rFonts w:ascii="Times New Roman" w:hAnsi="Times New Roman" w:cs="Times New Roman"/>
                <w:lang w:val="it-CH"/>
              </w:rPr>
            </w:pPr>
            <w:r w:rsidRPr="009E686F">
              <w:rPr>
                <w:rFonts w:ascii="Times New Roman" w:hAnsi="Times New Roman" w:cs="Times New Roman"/>
                <w:lang w:val="it-CH"/>
              </w:rPr>
              <w:t>Nome UE netranspuse</w:t>
            </w:r>
          </w:p>
        </w:tc>
        <w:tc>
          <w:tcPr>
            <w:tcW w:w="806" w:type="pct"/>
            <w:tcBorders>
              <w:top w:val="single" w:sz="4" w:space="0" w:color="auto"/>
              <w:left w:val="single" w:sz="4" w:space="0" w:color="auto"/>
              <w:bottom w:val="single" w:sz="4" w:space="0" w:color="auto"/>
              <w:right w:val="single" w:sz="4" w:space="0" w:color="auto"/>
            </w:tcBorders>
          </w:tcPr>
          <w:p w14:paraId="01603502" w14:textId="43414E95" w:rsidR="00AB6122" w:rsidRPr="009E686F" w:rsidRDefault="00464140" w:rsidP="00515783">
            <w:pPr>
              <w:spacing w:after="0"/>
              <w:jc w:val="both"/>
              <w:rPr>
                <w:rFonts w:ascii="Times New Roman" w:hAnsi="Times New Roman" w:cs="Times New Roman"/>
                <w:lang w:val="it-CH"/>
              </w:rPr>
            </w:pPr>
            <w:r w:rsidRPr="009E686F">
              <w:rPr>
                <w:rFonts w:ascii="Times New Roman" w:hAnsi="Times New Roman" w:cs="Times New Roman"/>
                <w:lang w:val="it-CH"/>
              </w:rPr>
              <w:t>Vor fi incluse în proiectul de modificare a Legii nr. 548/1997 cu privire la Banca Na</w:t>
            </w:r>
            <w:r w:rsidRPr="009E686F">
              <w:rPr>
                <w:rFonts w:ascii="Times New Roman" w:hAnsi="Times New Roman" w:cs="Times New Roman"/>
                <w:lang w:val="ro-RO"/>
              </w:rPr>
              <w:t>țională a Moldovei</w:t>
            </w:r>
          </w:p>
        </w:tc>
      </w:tr>
      <w:tr w:rsidR="00B30AFC" w:rsidRPr="009E686F" w14:paraId="55DB8D2F" w14:textId="77777777" w:rsidTr="00960C23">
        <w:tc>
          <w:tcPr>
            <w:tcW w:w="1890" w:type="pct"/>
            <w:tcBorders>
              <w:top w:val="single" w:sz="4" w:space="0" w:color="auto"/>
              <w:left w:val="single" w:sz="4" w:space="0" w:color="auto"/>
              <w:bottom w:val="single" w:sz="4" w:space="0" w:color="auto"/>
              <w:right w:val="single" w:sz="4" w:space="0" w:color="auto"/>
            </w:tcBorders>
          </w:tcPr>
          <w:p w14:paraId="5212B964" w14:textId="4EA67847" w:rsidR="00AB6122" w:rsidRPr="009E686F" w:rsidRDefault="00AB6122" w:rsidP="00ED2C1C">
            <w:pPr>
              <w:spacing w:after="0"/>
              <w:jc w:val="both"/>
              <w:rPr>
                <w:rFonts w:ascii="Times New Roman" w:hAnsi="Times New Roman" w:cs="Times New Roman"/>
                <w:lang w:val="it-CH"/>
              </w:rPr>
            </w:pPr>
            <w:r w:rsidRPr="009E686F">
              <w:rPr>
                <w:rFonts w:ascii="Times New Roman" w:hAnsi="Times New Roman" w:cs="Times New Roman"/>
                <w:lang w:val="it-CH"/>
              </w:rPr>
              <w:t xml:space="preserve">(9) Pentru a asigura o aplicare proporționată a prezentului articol, ABE emite, până la 10 iulie 2026, ghiduri adresate autorităților competente, în conformitate cu articolul 16 din Regulamentul (UE) nr. 1093/2010, cu privire la prevenirea conflictelor de interese în cadrul autorităților competente și la independența acestora, ținând seama de cele mai bune practici internaționale. </w:t>
            </w:r>
          </w:p>
        </w:tc>
        <w:tc>
          <w:tcPr>
            <w:tcW w:w="1834" w:type="pct"/>
            <w:tcBorders>
              <w:top w:val="single" w:sz="4" w:space="0" w:color="auto"/>
              <w:left w:val="single" w:sz="4" w:space="0" w:color="auto"/>
              <w:bottom w:val="single" w:sz="4" w:space="0" w:color="auto"/>
              <w:right w:val="single" w:sz="4" w:space="0" w:color="auto"/>
            </w:tcBorders>
          </w:tcPr>
          <w:p w14:paraId="6075BFB4" w14:textId="77777777" w:rsidR="00AB6122" w:rsidRPr="009E686F" w:rsidRDefault="00AB6122" w:rsidP="00ED2C1C">
            <w:pPr>
              <w:spacing w:after="0"/>
              <w:jc w:val="both"/>
              <w:rPr>
                <w:rFonts w:ascii="Times New Roman" w:hAnsi="Times New Roman" w:cs="Times New Roman"/>
                <w:lang w:val="it-CH"/>
              </w:rPr>
            </w:pPr>
          </w:p>
        </w:tc>
        <w:tc>
          <w:tcPr>
            <w:tcW w:w="470" w:type="pct"/>
            <w:tcBorders>
              <w:top w:val="single" w:sz="4" w:space="0" w:color="auto"/>
              <w:left w:val="single" w:sz="4" w:space="0" w:color="auto"/>
              <w:bottom w:val="single" w:sz="4" w:space="0" w:color="auto"/>
              <w:right w:val="single" w:sz="4" w:space="0" w:color="auto"/>
            </w:tcBorders>
          </w:tcPr>
          <w:p w14:paraId="20485673" w14:textId="75DAEB91" w:rsidR="00AB6122" w:rsidRPr="009E686F" w:rsidRDefault="00AB6122" w:rsidP="00AB6122">
            <w:pPr>
              <w:jc w:val="both"/>
              <w:rPr>
                <w:rFonts w:ascii="Times New Roman" w:hAnsi="Times New Roman" w:cs="Times New Roman"/>
                <w:lang w:val="it-CH"/>
              </w:rPr>
            </w:pPr>
            <w:r w:rsidRPr="009E686F">
              <w:rPr>
                <w:rFonts w:ascii="Times New Roman" w:hAnsi="Times New Roman" w:cs="Times New Roman"/>
                <w:lang w:val="it-CH"/>
              </w:rPr>
              <w:t>Nome UE neaplicabile</w:t>
            </w:r>
          </w:p>
        </w:tc>
        <w:tc>
          <w:tcPr>
            <w:tcW w:w="806" w:type="pct"/>
            <w:tcBorders>
              <w:top w:val="single" w:sz="4" w:space="0" w:color="auto"/>
              <w:left w:val="single" w:sz="4" w:space="0" w:color="auto"/>
              <w:bottom w:val="single" w:sz="4" w:space="0" w:color="auto"/>
              <w:right w:val="single" w:sz="4" w:space="0" w:color="auto"/>
            </w:tcBorders>
          </w:tcPr>
          <w:p w14:paraId="12294F80" w14:textId="24375908" w:rsidR="00AB6122" w:rsidRPr="009E686F" w:rsidRDefault="00AB6122" w:rsidP="00515783">
            <w:pPr>
              <w:spacing w:after="0"/>
              <w:jc w:val="both"/>
              <w:rPr>
                <w:rFonts w:ascii="Times New Roman" w:hAnsi="Times New Roman" w:cs="Times New Roman"/>
                <w:lang w:val="it-CH"/>
              </w:rPr>
            </w:pPr>
            <w:r w:rsidRPr="009E686F">
              <w:rPr>
                <w:rFonts w:ascii="Times New Roman" w:hAnsi="Times New Roman" w:cs="Times New Roman"/>
                <w:lang w:val="it-CH"/>
              </w:rPr>
              <w:t>Se referă la competențele ABE.</w:t>
            </w:r>
          </w:p>
        </w:tc>
      </w:tr>
      <w:tr w:rsidR="00B30AFC" w:rsidRPr="009E686F" w14:paraId="4EBA1BCB" w14:textId="1B589D7B" w:rsidTr="00960C23">
        <w:tc>
          <w:tcPr>
            <w:tcW w:w="1890" w:type="pct"/>
            <w:tcBorders>
              <w:top w:val="single" w:sz="4" w:space="0" w:color="auto"/>
              <w:left w:val="single" w:sz="4" w:space="0" w:color="auto"/>
              <w:bottom w:val="single" w:sz="4" w:space="0" w:color="auto"/>
              <w:right w:val="single" w:sz="4" w:space="0" w:color="auto"/>
            </w:tcBorders>
          </w:tcPr>
          <w:p w14:paraId="6D2111C9" w14:textId="77777777" w:rsidR="00AB6122" w:rsidRPr="009E686F" w:rsidRDefault="00AB6122" w:rsidP="00ED2C1C">
            <w:pPr>
              <w:spacing w:after="0"/>
              <w:jc w:val="both"/>
              <w:rPr>
                <w:rFonts w:ascii="Times New Roman" w:hAnsi="Times New Roman" w:cs="Times New Roman"/>
                <w:lang w:val="it-IT"/>
              </w:rPr>
            </w:pPr>
            <w:r w:rsidRPr="009E686F">
              <w:rPr>
                <w:rFonts w:ascii="Times New Roman" w:hAnsi="Times New Roman" w:cs="Times New Roman"/>
                <w:lang w:val="it-IT"/>
              </w:rPr>
              <w:t xml:space="preserve">Articolul 5 </w:t>
            </w:r>
          </w:p>
          <w:p w14:paraId="76FF7D94" w14:textId="7B79077C" w:rsidR="00AB6122" w:rsidRPr="009E686F" w:rsidRDefault="00AB6122" w:rsidP="00ED2C1C">
            <w:pPr>
              <w:spacing w:after="0"/>
              <w:jc w:val="both"/>
              <w:rPr>
                <w:rFonts w:ascii="Times New Roman" w:hAnsi="Times New Roman" w:cs="Times New Roman"/>
                <w:lang w:val="it-IT"/>
              </w:rPr>
            </w:pPr>
            <w:r w:rsidRPr="009E686F">
              <w:rPr>
                <w:rFonts w:ascii="Times New Roman" w:hAnsi="Times New Roman" w:cs="Times New Roman"/>
                <w:lang w:val="it-IT"/>
              </w:rPr>
              <w:t>Coordonarea în cadrul statelor membre</w:t>
            </w:r>
          </w:p>
          <w:p w14:paraId="42817BD8" w14:textId="66D83C80" w:rsidR="00AB6122" w:rsidRPr="009E686F" w:rsidRDefault="00AB6122" w:rsidP="00ED2C1C">
            <w:pPr>
              <w:spacing w:after="0"/>
              <w:jc w:val="both"/>
              <w:rPr>
                <w:rFonts w:ascii="Times New Roman" w:hAnsi="Times New Roman" w:cs="Times New Roman"/>
                <w:lang w:val="it-IT"/>
              </w:rPr>
            </w:pPr>
            <w:r w:rsidRPr="009E686F">
              <w:rPr>
                <w:rFonts w:ascii="Times New Roman" w:hAnsi="Times New Roman" w:cs="Times New Roman"/>
                <w:lang w:val="it-IT"/>
              </w:rPr>
              <w:t xml:space="preserve">Statele membre în care există mai multe autorități competente pentru supravegherea prudențială a </w:t>
            </w:r>
            <w:r w:rsidR="00A51A7D" w:rsidRPr="009E686F">
              <w:rPr>
                <w:rFonts w:ascii="Times New Roman" w:hAnsi="Times New Roman" w:cs="Times New Roman"/>
                <w:lang w:val="it-IT"/>
              </w:rPr>
              <w:t>instituțiilor de credit</w:t>
            </w:r>
            <w:r w:rsidRPr="009E686F">
              <w:rPr>
                <w:rFonts w:ascii="Times New Roman" w:hAnsi="Times New Roman" w:cs="Times New Roman"/>
                <w:lang w:val="it-IT"/>
              </w:rPr>
              <w:t>, și a instituțiilor financiare iau măsurile necesare pentru a organiza coordonarea între aceste autorități.</w:t>
            </w:r>
          </w:p>
        </w:tc>
        <w:tc>
          <w:tcPr>
            <w:tcW w:w="1834" w:type="pct"/>
            <w:tcBorders>
              <w:top w:val="single" w:sz="4" w:space="0" w:color="auto"/>
              <w:left w:val="single" w:sz="4" w:space="0" w:color="auto"/>
              <w:bottom w:val="single" w:sz="4" w:space="0" w:color="auto"/>
              <w:right w:val="single" w:sz="4" w:space="0" w:color="auto"/>
            </w:tcBorders>
          </w:tcPr>
          <w:p w14:paraId="1AE31E48" w14:textId="23CA3551" w:rsidR="00AB6122" w:rsidRPr="009E686F" w:rsidRDefault="00AB6122" w:rsidP="00ED2C1C">
            <w:pPr>
              <w:spacing w:after="0"/>
              <w:jc w:val="both"/>
              <w:rPr>
                <w:rFonts w:ascii="Times New Roman" w:hAnsi="Times New Roman" w:cs="Times New Roman"/>
                <w:b/>
                <w:bCs/>
                <w:lang w:val="it-IT"/>
              </w:rPr>
            </w:pPr>
            <w:r w:rsidRPr="009E686F">
              <w:rPr>
                <w:rFonts w:ascii="Times New Roman" w:hAnsi="Times New Roman" w:cs="Times New Roman"/>
                <w:b/>
                <w:bCs/>
                <w:lang w:val="it-IT"/>
              </w:rPr>
              <w:t>Articolul 5 alin. (5)</w:t>
            </w:r>
            <w:r w:rsidR="005302ED" w:rsidRPr="009E686F">
              <w:rPr>
                <w:rFonts w:ascii="Times New Roman" w:hAnsi="Times New Roman" w:cs="Times New Roman"/>
                <w:b/>
                <w:bCs/>
                <w:lang w:val="it-IT"/>
              </w:rPr>
              <w:t xml:space="preserve"> – (5</w:t>
            </w:r>
            <w:r w:rsidR="005302ED" w:rsidRPr="009E686F">
              <w:rPr>
                <w:rFonts w:ascii="Times New Roman" w:hAnsi="Times New Roman" w:cs="Times New Roman"/>
                <w:b/>
                <w:bCs/>
                <w:vertAlign w:val="superscript"/>
                <w:lang w:val="it-IT"/>
              </w:rPr>
              <w:t>1</w:t>
            </w:r>
            <w:r w:rsidR="005302ED" w:rsidRPr="009E686F">
              <w:rPr>
                <w:rFonts w:ascii="Times New Roman" w:hAnsi="Times New Roman" w:cs="Times New Roman"/>
                <w:b/>
                <w:bCs/>
                <w:lang w:val="it-IT"/>
              </w:rPr>
              <w:t>)</w:t>
            </w:r>
          </w:p>
          <w:p w14:paraId="2BFA82F3" w14:textId="77777777" w:rsidR="00AB6122" w:rsidRPr="009E686F" w:rsidRDefault="00BA5CCB" w:rsidP="00ED2C1C">
            <w:pPr>
              <w:spacing w:after="0"/>
              <w:jc w:val="both"/>
              <w:rPr>
                <w:rFonts w:ascii="Times New Roman" w:hAnsi="Times New Roman" w:cs="Times New Roman"/>
                <w:lang w:val="it-IT"/>
              </w:rPr>
            </w:pPr>
            <w:r w:rsidRPr="009E686F">
              <w:rPr>
                <w:rFonts w:ascii="Times New Roman" w:hAnsi="Times New Roman" w:cs="Times New Roman"/>
                <w:lang w:val="it-IT"/>
              </w:rPr>
              <w:t xml:space="preserve">(5) Pentru a facilita o supraveghere prudenţială eficientă a </w:t>
            </w:r>
            <w:r w:rsidRPr="009E686F">
              <w:rPr>
                <w:rFonts w:ascii="Times New Roman" w:hAnsi="Times New Roman" w:cs="Times New Roman"/>
                <w:i/>
                <w:iCs/>
                <w:lang w:val="it-IT"/>
              </w:rPr>
              <w:t>instituțiilor de credit care desfășoară activitățile prevăzute la art. 3 noțiunea de “instituție de credit” lit. a),</w:t>
            </w:r>
            <w:r w:rsidRPr="009E686F">
              <w:rPr>
                <w:rFonts w:ascii="Times New Roman" w:hAnsi="Times New Roman" w:cs="Times New Roman"/>
                <w:lang w:val="it-IT"/>
              </w:rPr>
              <w:t xml:space="preserve"> Banca Naţională a Moldovei încheie acorduri scrise de coordonare şi cooperare cu alte autorităţi competente din Republica Moldova.</w:t>
            </w:r>
          </w:p>
          <w:p w14:paraId="4582510B" w14:textId="77CA9649" w:rsidR="005302ED" w:rsidRPr="009E686F" w:rsidRDefault="005302ED" w:rsidP="005302ED">
            <w:pPr>
              <w:spacing w:after="0"/>
              <w:jc w:val="both"/>
              <w:rPr>
                <w:rFonts w:ascii="Times New Roman" w:hAnsi="Times New Roman" w:cs="Times New Roman"/>
                <w:i/>
                <w:iCs/>
                <w:color w:val="8064A2" w:themeColor="accent4"/>
                <w:lang w:val="it-IT"/>
              </w:rPr>
            </w:pPr>
            <w:bookmarkStart w:id="4" w:name="_Hlk223626135"/>
            <w:r w:rsidRPr="009E686F">
              <w:rPr>
                <w:rFonts w:ascii="Times New Roman" w:hAnsi="Times New Roman" w:cs="Times New Roman"/>
                <w:lang w:val="it-IT"/>
              </w:rPr>
              <w:lastRenderedPageBreak/>
              <w:t>(</w:t>
            </w:r>
            <w:r w:rsidRPr="009E686F">
              <w:rPr>
                <w:rFonts w:ascii="Times New Roman" w:hAnsi="Times New Roman" w:cs="Times New Roman"/>
                <w:i/>
                <w:iCs/>
                <w:lang w:val="it-IT"/>
              </w:rPr>
              <w:t>5</w:t>
            </w:r>
            <w:r w:rsidRPr="009E686F">
              <w:rPr>
                <w:rFonts w:ascii="Times New Roman" w:hAnsi="Times New Roman" w:cs="Times New Roman"/>
                <w:i/>
                <w:iCs/>
                <w:vertAlign w:val="superscript"/>
                <w:lang w:val="it-IT"/>
              </w:rPr>
              <w:t>1</w:t>
            </w:r>
            <w:r w:rsidRPr="009E686F">
              <w:rPr>
                <w:rFonts w:ascii="Times New Roman" w:hAnsi="Times New Roman" w:cs="Times New Roman"/>
                <w:i/>
                <w:iCs/>
                <w:lang w:val="it-IT"/>
              </w:rPr>
              <w:t>)</w:t>
            </w:r>
            <w:r w:rsidRPr="009E686F">
              <w:rPr>
                <w:i/>
                <w:iCs/>
                <w:lang w:val="it-IT"/>
              </w:rPr>
              <w:t xml:space="preserve"> </w:t>
            </w:r>
            <w:r w:rsidRPr="009E686F">
              <w:rPr>
                <w:rFonts w:ascii="Times New Roman" w:hAnsi="Times New Roman" w:cs="Times New Roman"/>
                <w:i/>
                <w:iCs/>
                <w:lang w:val="it-IT"/>
              </w:rPr>
              <w:t xml:space="preserve">Banca Naţională a Moldovei </w:t>
            </w:r>
            <w:r w:rsidRPr="009E686F">
              <w:rPr>
                <w:rFonts w:ascii="Times New Roman" w:hAnsi="Times New Roman" w:cs="Times New Roman"/>
                <w:i/>
                <w:iCs/>
                <w:lang w:val="ro-RO"/>
              </w:rPr>
              <w:t xml:space="preserve">și </w:t>
            </w:r>
            <w:r w:rsidRPr="009E686F">
              <w:rPr>
                <w:rFonts w:ascii="Times New Roman" w:hAnsi="Times New Roman" w:cs="Times New Roman"/>
                <w:i/>
                <w:iCs/>
                <w:lang w:val="it-IT"/>
              </w:rPr>
              <w:t>Comisia Națională a Pieței Financiare cooperează în mod strâns în aplicarea dispoziţiilor prezentei legi și actelor normative emise în aplicarea acesteia şi fac schimb de orice informaţii pentru exercitarea atribuțiilor lor, cu respectarea cerinţelor referitoare la secretul profesional</w:t>
            </w:r>
            <w:r w:rsidRPr="009E686F">
              <w:rPr>
                <w:rFonts w:ascii="Times New Roman" w:hAnsi="Times New Roman" w:cs="Times New Roman"/>
                <w:i/>
                <w:iCs/>
                <w:color w:val="8064A2" w:themeColor="accent4"/>
                <w:lang w:val="it-IT"/>
              </w:rPr>
              <w:t xml:space="preserve">. </w:t>
            </w:r>
            <w:bookmarkEnd w:id="4"/>
          </w:p>
        </w:tc>
        <w:tc>
          <w:tcPr>
            <w:tcW w:w="470" w:type="pct"/>
            <w:tcBorders>
              <w:top w:val="single" w:sz="4" w:space="0" w:color="auto"/>
              <w:left w:val="single" w:sz="4" w:space="0" w:color="auto"/>
              <w:bottom w:val="single" w:sz="4" w:space="0" w:color="auto"/>
              <w:right w:val="single" w:sz="4" w:space="0" w:color="auto"/>
            </w:tcBorders>
          </w:tcPr>
          <w:p w14:paraId="5A4E8BF4" w14:textId="447A8DBD" w:rsidR="00AB6122" w:rsidRPr="009E686F" w:rsidRDefault="00AB6122" w:rsidP="00AB6122">
            <w:pPr>
              <w:jc w:val="both"/>
              <w:rPr>
                <w:rFonts w:ascii="Times New Roman" w:hAnsi="Times New Roman" w:cs="Times New Roman"/>
              </w:rPr>
            </w:pPr>
            <w:r w:rsidRPr="009E686F">
              <w:rPr>
                <w:rFonts w:ascii="Times New Roman" w:hAnsi="Times New Roman" w:cs="Times New Roman"/>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336BEEEF" w14:textId="00D3D993" w:rsidR="00AB6122" w:rsidRPr="009E686F" w:rsidRDefault="00AB6122" w:rsidP="00515783">
            <w:pPr>
              <w:spacing w:after="0"/>
              <w:jc w:val="both"/>
              <w:rPr>
                <w:rFonts w:ascii="Times New Roman" w:hAnsi="Times New Roman" w:cs="Times New Roman"/>
                <w:lang w:val="it-CH"/>
              </w:rPr>
            </w:pPr>
          </w:p>
        </w:tc>
      </w:tr>
      <w:tr w:rsidR="00B30AFC" w:rsidRPr="009E686F" w14:paraId="6881AD8F" w14:textId="77777777" w:rsidTr="00960C23">
        <w:tc>
          <w:tcPr>
            <w:tcW w:w="1890" w:type="pct"/>
            <w:tcBorders>
              <w:top w:val="single" w:sz="4" w:space="0" w:color="auto"/>
              <w:left w:val="single" w:sz="4" w:space="0" w:color="auto"/>
              <w:bottom w:val="single" w:sz="4" w:space="0" w:color="auto"/>
              <w:right w:val="single" w:sz="4" w:space="0" w:color="auto"/>
            </w:tcBorders>
          </w:tcPr>
          <w:p w14:paraId="5F0DDE98" w14:textId="77777777" w:rsidR="00AB6122" w:rsidRPr="009E686F" w:rsidRDefault="00AB6122" w:rsidP="00ED2C1C">
            <w:pPr>
              <w:spacing w:after="0"/>
              <w:jc w:val="both"/>
              <w:rPr>
                <w:rFonts w:ascii="Times New Roman" w:hAnsi="Times New Roman" w:cs="Times New Roman"/>
                <w:i/>
                <w:iCs/>
                <w:lang w:val="it-CH"/>
              </w:rPr>
            </w:pPr>
            <w:r w:rsidRPr="009E686F">
              <w:rPr>
                <w:rFonts w:ascii="Times New Roman" w:hAnsi="Times New Roman" w:cs="Times New Roman"/>
                <w:i/>
                <w:iCs/>
                <w:lang w:val="it-CH"/>
              </w:rPr>
              <w:t xml:space="preserve">Articolul 6 </w:t>
            </w:r>
          </w:p>
          <w:p w14:paraId="7877082D" w14:textId="5999097D" w:rsidR="00AB6122" w:rsidRPr="009E686F" w:rsidRDefault="00AB6122" w:rsidP="00ED2C1C">
            <w:pPr>
              <w:spacing w:after="0"/>
              <w:jc w:val="both"/>
              <w:rPr>
                <w:rFonts w:ascii="Times New Roman" w:hAnsi="Times New Roman" w:cs="Times New Roman"/>
                <w:lang w:val="it-CH"/>
              </w:rPr>
            </w:pPr>
            <w:r w:rsidRPr="009E686F">
              <w:rPr>
                <w:rFonts w:ascii="Times New Roman" w:hAnsi="Times New Roman" w:cs="Times New Roman"/>
                <w:lang w:val="it-CH"/>
              </w:rPr>
              <w:t>Cooperarea în cadrul Sistemului european al supraveghetorilor financiari</w:t>
            </w:r>
          </w:p>
        </w:tc>
        <w:tc>
          <w:tcPr>
            <w:tcW w:w="1834" w:type="pct"/>
            <w:tcBorders>
              <w:top w:val="single" w:sz="4" w:space="0" w:color="auto"/>
              <w:left w:val="single" w:sz="4" w:space="0" w:color="auto"/>
              <w:bottom w:val="single" w:sz="4" w:space="0" w:color="auto"/>
              <w:right w:val="single" w:sz="4" w:space="0" w:color="auto"/>
            </w:tcBorders>
          </w:tcPr>
          <w:p w14:paraId="4E1B9E2E" w14:textId="28B82598" w:rsidR="00AB6122" w:rsidRPr="009E686F" w:rsidRDefault="00AB6122" w:rsidP="00ED2C1C">
            <w:pPr>
              <w:spacing w:after="0"/>
              <w:jc w:val="both"/>
              <w:rPr>
                <w:rFonts w:ascii="Times New Roman" w:hAnsi="Times New Roman" w:cs="Times New Roman"/>
                <w:i/>
                <w:iCs/>
                <w:lang w:val="it-IT"/>
              </w:rPr>
            </w:pPr>
            <w:r w:rsidRPr="009E686F">
              <w:rPr>
                <w:rFonts w:ascii="Times New Roman" w:eastAsia="Aptos" w:hAnsi="Times New Roman" w:cs="Times New Roman"/>
                <w:b/>
                <w:bCs/>
                <w:i/>
                <w:iCs/>
                <w:kern w:val="2"/>
                <w:lang w:val="ro-MD"/>
              </w:rPr>
              <w:t>Articolul 128</w:t>
            </w:r>
            <w:r w:rsidRPr="009E686F">
              <w:rPr>
                <w:rFonts w:ascii="Times New Roman" w:eastAsia="Aptos" w:hAnsi="Times New Roman" w:cs="Times New Roman"/>
                <w:b/>
                <w:bCs/>
                <w:i/>
                <w:iCs/>
                <w:kern w:val="2"/>
                <w:vertAlign w:val="superscript"/>
                <w:lang w:val="ro-MD"/>
              </w:rPr>
              <w:t>1</w:t>
            </w:r>
            <w:r w:rsidRPr="009E686F">
              <w:rPr>
                <w:rFonts w:ascii="Times New Roman" w:eastAsia="Aptos" w:hAnsi="Times New Roman" w:cs="Times New Roman"/>
                <w:b/>
                <w:bCs/>
                <w:i/>
                <w:iCs/>
                <w:kern w:val="2"/>
                <w:lang w:val="ro-MD"/>
              </w:rPr>
              <w:t xml:space="preserve">. </w:t>
            </w:r>
            <w:r w:rsidRPr="009E686F">
              <w:rPr>
                <w:rFonts w:ascii="Times New Roman" w:eastAsia="Aptos" w:hAnsi="Times New Roman" w:cs="Times New Roman"/>
                <w:i/>
                <w:iCs/>
                <w:kern w:val="2"/>
                <w:lang w:val="ro-MD"/>
              </w:rPr>
              <w:t>Cooperarea în cadrul Sistemului european al supraveghetorilor financiari</w:t>
            </w:r>
          </w:p>
        </w:tc>
        <w:tc>
          <w:tcPr>
            <w:tcW w:w="470" w:type="pct"/>
            <w:tcBorders>
              <w:top w:val="single" w:sz="4" w:space="0" w:color="auto"/>
              <w:left w:val="single" w:sz="4" w:space="0" w:color="auto"/>
              <w:bottom w:val="single" w:sz="4" w:space="0" w:color="auto"/>
              <w:right w:val="single" w:sz="4" w:space="0" w:color="auto"/>
            </w:tcBorders>
          </w:tcPr>
          <w:p w14:paraId="14901A4A" w14:textId="77777777" w:rsidR="00AB6122" w:rsidRPr="009E686F" w:rsidRDefault="00AB6122" w:rsidP="00AB6122">
            <w:pPr>
              <w:jc w:val="both"/>
              <w:rPr>
                <w:rFonts w:ascii="Times New Roman" w:hAnsi="Times New Roman" w:cs="Times New Roman"/>
                <w:lang w:val="it-IT"/>
              </w:rPr>
            </w:pPr>
          </w:p>
        </w:tc>
        <w:tc>
          <w:tcPr>
            <w:tcW w:w="806" w:type="pct"/>
            <w:tcBorders>
              <w:top w:val="single" w:sz="4" w:space="0" w:color="auto"/>
              <w:left w:val="single" w:sz="4" w:space="0" w:color="auto"/>
              <w:bottom w:val="single" w:sz="4" w:space="0" w:color="auto"/>
              <w:right w:val="single" w:sz="4" w:space="0" w:color="auto"/>
            </w:tcBorders>
          </w:tcPr>
          <w:p w14:paraId="774D389C" w14:textId="47BCFA9C" w:rsidR="00AB6122" w:rsidRPr="009E686F" w:rsidRDefault="003B45F1" w:rsidP="00515783">
            <w:pPr>
              <w:spacing w:after="0"/>
              <w:jc w:val="both"/>
              <w:rPr>
                <w:rFonts w:ascii="Times New Roman" w:hAnsi="Times New Roman" w:cs="Times New Roman"/>
                <w:lang w:val="it-IT"/>
              </w:rPr>
            </w:pPr>
            <w:r w:rsidRPr="009E686F">
              <w:rPr>
                <w:rFonts w:ascii="Times New Roman" w:hAnsi="Times New Roman" w:cs="Times New Roman"/>
                <w:lang w:val="it-IT"/>
              </w:rPr>
              <w:t>În vigoare de la data aderării.</w:t>
            </w:r>
          </w:p>
        </w:tc>
      </w:tr>
      <w:tr w:rsidR="00B30AFC" w:rsidRPr="009E686F" w14:paraId="3F51494C" w14:textId="1B8E99B5" w:rsidTr="00960C23">
        <w:tc>
          <w:tcPr>
            <w:tcW w:w="1890" w:type="pct"/>
            <w:tcBorders>
              <w:top w:val="single" w:sz="4" w:space="0" w:color="auto"/>
              <w:left w:val="single" w:sz="4" w:space="0" w:color="auto"/>
              <w:bottom w:val="single" w:sz="4" w:space="0" w:color="auto"/>
              <w:right w:val="single" w:sz="4" w:space="0" w:color="auto"/>
            </w:tcBorders>
          </w:tcPr>
          <w:p w14:paraId="571251BD" w14:textId="77777777" w:rsidR="00AB6122" w:rsidRPr="009E686F" w:rsidRDefault="00AB6122" w:rsidP="00ED2C1C">
            <w:pPr>
              <w:spacing w:after="0"/>
              <w:jc w:val="both"/>
              <w:rPr>
                <w:rFonts w:ascii="Times New Roman" w:hAnsi="Times New Roman" w:cs="Times New Roman"/>
              </w:rPr>
            </w:pPr>
            <w:r w:rsidRPr="009E686F">
              <w:rPr>
                <w:rFonts w:ascii="Times New Roman" w:hAnsi="Times New Roman" w:cs="Times New Roman"/>
                <w:lang w:val="it-CH"/>
              </w:rPr>
              <w:t xml:space="preserve">În exercitarea atribuțiilor care le revin, autoritățile competente iau în considerare convergența în ceea ce privește instrumentele de supraveghere și practicile de supraveghere în punerea în aplicare a actelor cu putere de lege și a actelor administrative adoptate în temeiul prezentei directive și al Regulamentului (UE) nr. 575/2013. </w:t>
            </w:r>
            <w:r w:rsidRPr="009E686F">
              <w:rPr>
                <w:rFonts w:ascii="Times New Roman" w:hAnsi="Times New Roman" w:cs="Times New Roman"/>
              </w:rPr>
              <w:t>În acest scop, statele membre se asigură că:</w:t>
            </w:r>
          </w:p>
        </w:tc>
        <w:tc>
          <w:tcPr>
            <w:tcW w:w="1834" w:type="pct"/>
            <w:tcBorders>
              <w:top w:val="single" w:sz="4" w:space="0" w:color="auto"/>
              <w:left w:val="single" w:sz="4" w:space="0" w:color="auto"/>
              <w:bottom w:val="single" w:sz="4" w:space="0" w:color="auto"/>
              <w:right w:val="single" w:sz="4" w:space="0" w:color="auto"/>
            </w:tcBorders>
          </w:tcPr>
          <w:p w14:paraId="215F9DFA" w14:textId="77777777" w:rsidR="00AB6122" w:rsidRPr="009E686F" w:rsidRDefault="00AB6122" w:rsidP="00ED2C1C">
            <w:pPr>
              <w:spacing w:after="0" w:line="278" w:lineRule="auto"/>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(1) Banca Națională a Moldovei are în vedere convergența instrumentelor și practicilor de supraveghere în aplicarea dispozițiilor prezentei legi și a actelor normative emise în aplicarea acesteia, în exercitarea atribuțiilor ce îi revin potrivit prezentei legi.</w:t>
            </w:r>
          </w:p>
          <w:p w14:paraId="4B8091E6" w14:textId="77777777" w:rsidR="00AB6122" w:rsidRPr="009E686F" w:rsidRDefault="00AB6122" w:rsidP="00ED2C1C">
            <w:pPr>
              <w:spacing w:after="0" w:line="278" w:lineRule="auto"/>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(2) În scopul aplicării alin. (1), Banca Națională a Moldovei:</w:t>
            </w:r>
          </w:p>
          <w:p w14:paraId="6B3E0D77" w14:textId="77777777" w:rsidR="00AB6122" w:rsidRPr="009E686F" w:rsidRDefault="00AB6122" w:rsidP="00ED2C1C">
            <w:pPr>
              <w:spacing w:after="0"/>
              <w:jc w:val="both"/>
              <w:rPr>
                <w:rFonts w:ascii="Times New Roman" w:hAnsi="Times New Roman" w:cs="Times New Roman"/>
                <w:b/>
                <w:i/>
                <w:iCs/>
                <w:lang w:val="ro-MD"/>
              </w:rPr>
            </w:pPr>
          </w:p>
        </w:tc>
        <w:tc>
          <w:tcPr>
            <w:tcW w:w="470" w:type="pct"/>
            <w:tcBorders>
              <w:top w:val="single" w:sz="4" w:space="0" w:color="auto"/>
              <w:left w:val="single" w:sz="4" w:space="0" w:color="auto"/>
              <w:bottom w:val="single" w:sz="4" w:space="0" w:color="auto"/>
              <w:right w:val="single" w:sz="4" w:space="0" w:color="auto"/>
            </w:tcBorders>
          </w:tcPr>
          <w:p w14:paraId="6BF3C300" w14:textId="71A0DE79" w:rsidR="00AB6122" w:rsidRPr="009E686F" w:rsidRDefault="00AB6122" w:rsidP="00AB6122">
            <w:pPr>
              <w:jc w:val="both"/>
              <w:rPr>
                <w:rFonts w:ascii="Times New Roman" w:hAnsi="Times New Roman" w:cs="Times New Roman"/>
                <w:lang w:val="it-IT"/>
              </w:rPr>
            </w:pPr>
            <w:r w:rsidRPr="009E686F">
              <w:rPr>
                <w:rFonts w:ascii="Times New Roman" w:hAnsi="Times New Roman" w:cs="Times New Roman"/>
                <w:lang w:val="it-IT"/>
              </w:rPr>
              <w:t>Compatibil</w:t>
            </w:r>
          </w:p>
        </w:tc>
        <w:tc>
          <w:tcPr>
            <w:tcW w:w="806" w:type="pct"/>
            <w:tcBorders>
              <w:top w:val="single" w:sz="4" w:space="0" w:color="auto"/>
              <w:left w:val="single" w:sz="4" w:space="0" w:color="auto"/>
              <w:bottom w:val="single" w:sz="4" w:space="0" w:color="auto"/>
              <w:right w:val="single" w:sz="4" w:space="0" w:color="auto"/>
            </w:tcBorders>
          </w:tcPr>
          <w:p w14:paraId="46978EE2" w14:textId="6AA3F787" w:rsidR="00AB6122" w:rsidRPr="009E686F" w:rsidRDefault="00AB6122" w:rsidP="00515783">
            <w:pPr>
              <w:spacing w:after="0"/>
              <w:jc w:val="both"/>
              <w:rPr>
                <w:rFonts w:ascii="Times New Roman" w:hAnsi="Times New Roman" w:cs="Times New Roman"/>
                <w:lang w:val="it-IT"/>
              </w:rPr>
            </w:pPr>
          </w:p>
        </w:tc>
      </w:tr>
      <w:tr w:rsidR="00B30AFC" w:rsidRPr="009E686F" w14:paraId="2545EB35" w14:textId="753D14E9" w:rsidTr="00960C23">
        <w:tc>
          <w:tcPr>
            <w:tcW w:w="1890" w:type="pct"/>
            <w:tcBorders>
              <w:top w:val="single" w:sz="4" w:space="0" w:color="auto"/>
              <w:left w:val="single" w:sz="4" w:space="0" w:color="auto"/>
              <w:bottom w:val="single" w:sz="4" w:space="0" w:color="auto"/>
              <w:right w:val="single" w:sz="4" w:space="0" w:color="auto"/>
            </w:tcBorders>
          </w:tcPr>
          <w:p w14:paraId="39F706E0" w14:textId="567DBDC0" w:rsidR="00AB6122" w:rsidRPr="009E686F" w:rsidRDefault="00AB6122" w:rsidP="00ED2C1C">
            <w:pPr>
              <w:spacing w:after="0"/>
              <w:jc w:val="both"/>
              <w:rPr>
                <w:rFonts w:ascii="Times New Roman" w:hAnsi="Times New Roman" w:cs="Times New Roman"/>
                <w:lang w:val="it-CH"/>
              </w:rPr>
            </w:pPr>
            <w:r w:rsidRPr="009E686F">
              <w:rPr>
                <w:rFonts w:ascii="Times New Roman" w:hAnsi="Times New Roman" w:cs="Times New Roman"/>
                <w:lang w:val="it-CH"/>
              </w:rPr>
              <w:t>(a) autoritățile competente, ca părți la Sistemul european al supraveghetorilor financiari (SESF), cooperează în spiritul încrederii și al respectului deplin și reciproc, în special pentru a asigura circulația între ele și alte părți la SESF a unor informații pertinente și fiabile, în conformitate cu principiul cooperării loiale menționat la articolul 4 alineatul (3) din Tratatul privind Uniunea Europeană;</w:t>
            </w:r>
          </w:p>
        </w:tc>
        <w:tc>
          <w:tcPr>
            <w:tcW w:w="1834" w:type="pct"/>
            <w:tcBorders>
              <w:top w:val="single" w:sz="4" w:space="0" w:color="auto"/>
              <w:left w:val="single" w:sz="4" w:space="0" w:color="auto"/>
              <w:bottom w:val="single" w:sz="4" w:space="0" w:color="auto"/>
              <w:right w:val="single" w:sz="4" w:space="0" w:color="auto"/>
            </w:tcBorders>
          </w:tcPr>
          <w:p w14:paraId="4BDA6D30" w14:textId="34A0B277" w:rsidR="00AB6122" w:rsidRPr="009E686F" w:rsidRDefault="00AB6122" w:rsidP="00ED2C1C">
            <w:pPr>
              <w:spacing w:after="0" w:line="278" w:lineRule="auto"/>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 xml:space="preserve">a) ca parte a Sistemului european al supraveghetorilor financiari, cooperează în spiritul încrederii și al respectului deplin și reciproc, în special pentru a asigura fluxul de informații corespunzătoare și credibile cu celelalte părţi ale Sistemului european al supraveghetorilor financiari, în conformitate cu principiul cooperării loiale prevăzut la articolul 4 alineatul (3) din Tratatul privind </w:t>
            </w:r>
            <w:r w:rsidR="00E46644" w:rsidRPr="009E686F">
              <w:rPr>
                <w:rFonts w:ascii="Times New Roman" w:eastAsia="Aptos" w:hAnsi="Times New Roman" w:cs="Times New Roman"/>
                <w:i/>
                <w:iCs/>
                <w:kern w:val="2"/>
                <w:lang w:val="ro-MD"/>
              </w:rPr>
              <w:t>UE</w:t>
            </w:r>
            <w:r w:rsidRPr="009E686F">
              <w:rPr>
                <w:rFonts w:ascii="Times New Roman" w:eastAsia="Aptos" w:hAnsi="Times New Roman" w:cs="Times New Roman"/>
                <w:i/>
                <w:iCs/>
                <w:kern w:val="2"/>
                <w:lang w:val="ro-MD"/>
              </w:rPr>
              <w:t>;</w:t>
            </w:r>
          </w:p>
          <w:p w14:paraId="3BBCBE93" w14:textId="77777777" w:rsidR="00AB6122" w:rsidRPr="009E686F" w:rsidRDefault="00AB6122" w:rsidP="00ED2C1C">
            <w:pPr>
              <w:spacing w:after="0"/>
              <w:jc w:val="both"/>
              <w:rPr>
                <w:rFonts w:ascii="Times New Roman" w:hAnsi="Times New Roman" w:cs="Times New Roman"/>
                <w:b/>
                <w:i/>
                <w:iCs/>
                <w:lang w:val="ro-MD"/>
              </w:rPr>
            </w:pPr>
          </w:p>
        </w:tc>
        <w:tc>
          <w:tcPr>
            <w:tcW w:w="470" w:type="pct"/>
            <w:tcBorders>
              <w:top w:val="single" w:sz="4" w:space="0" w:color="auto"/>
              <w:left w:val="single" w:sz="4" w:space="0" w:color="auto"/>
              <w:bottom w:val="single" w:sz="4" w:space="0" w:color="auto"/>
              <w:right w:val="single" w:sz="4" w:space="0" w:color="auto"/>
            </w:tcBorders>
          </w:tcPr>
          <w:p w14:paraId="1142ED92" w14:textId="112F6ACA" w:rsidR="00AB6122" w:rsidRPr="009E686F" w:rsidRDefault="00AB6122" w:rsidP="00AB6122">
            <w:pPr>
              <w:jc w:val="both"/>
              <w:rPr>
                <w:rFonts w:ascii="Times New Roman" w:hAnsi="Times New Roman" w:cs="Times New Roman"/>
                <w:lang w:val="it-CH"/>
              </w:rPr>
            </w:pPr>
            <w:r w:rsidRPr="009E686F">
              <w:rPr>
                <w:rFonts w:ascii="Times New Roman" w:hAnsi="Times New Roman" w:cs="Times New Roman"/>
                <w:lang w:val="it-IT"/>
              </w:rPr>
              <w:t>Compatibil</w:t>
            </w:r>
          </w:p>
        </w:tc>
        <w:tc>
          <w:tcPr>
            <w:tcW w:w="806" w:type="pct"/>
            <w:tcBorders>
              <w:top w:val="single" w:sz="4" w:space="0" w:color="auto"/>
              <w:left w:val="single" w:sz="4" w:space="0" w:color="auto"/>
              <w:bottom w:val="single" w:sz="4" w:space="0" w:color="auto"/>
              <w:right w:val="single" w:sz="4" w:space="0" w:color="auto"/>
            </w:tcBorders>
          </w:tcPr>
          <w:p w14:paraId="52E7E4EB" w14:textId="436A9252" w:rsidR="00AB6122" w:rsidRPr="009E686F" w:rsidRDefault="00AB6122" w:rsidP="00515783">
            <w:pPr>
              <w:spacing w:after="0"/>
              <w:jc w:val="both"/>
              <w:rPr>
                <w:rFonts w:ascii="Times New Roman" w:hAnsi="Times New Roman" w:cs="Times New Roman"/>
                <w:lang w:val="it-CH"/>
              </w:rPr>
            </w:pPr>
          </w:p>
        </w:tc>
      </w:tr>
      <w:tr w:rsidR="00B30AFC" w:rsidRPr="009E686F" w14:paraId="2D6C56E1" w14:textId="2691A908" w:rsidTr="00960C23">
        <w:tc>
          <w:tcPr>
            <w:tcW w:w="1890" w:type="pct"/>
            <w:tcBorders>
              <w:top w:val="single" w:sz="4" w:space="0" w:color="auto"/>
              <w:left w:val="single" w:sz="4" w:space="0" w:color="auto"/>
              <w:bottom w:val="single" w:sz="4" w:space="0" w:color="auto"/>
              <w:right w:val="single" w:sz="4" w:space="0" w:color="auto"/>
            </w:tcBorders>
          </w:tcPr>
          <w:p w14:paraId="3B397987" w14:textId="4DEA557F" w:rsidR="00AB6122" w:rsidRPr="009E686F" w:rsidRDefault="00AB6122" w:rsidP="00ED2C1C">
            <w:pPr>
              <w:spacing w:after="0"/>
              <w:jc w:val="both"/>
              <w:rPr>
                <w:rFonts w:ascii="Times New Roman" w:hAnsi="Times New Roman" w:cs="Times New Roman"/>
                <w:lang w:val="it-CH"/>
              </w:rPr>
            </w:pPr>
            <w:r w:rsidRPr="009E686F">
              <w:rPr>
                <w:rFonts w:ascii="Times New Roman" w:hAnsi="Times New Roman" w:cs="Times New Roman"/>
                <w:lang w:val="it-CH"/>
              </w:rPr>
              <w:t>(b) autoritățile competente participă la activitățile ABE și, dacă este cazul, la cele ale colegiilor autorităților de supraveghere;</w:t>
            </w:r>
          </w:p>
        </w:tc>
        <w:tc>
          <w:tcPr>
            <w:tcW w:w="1834" w:type="pct"/>
            <w:tcBorders>
              <w:top w:val="single" w:sz="4" w:space="0" w:color="auto"/>
              <w:left w:val="single" w:sz="4" w:space="0" w:color="auto"/>
              <w:bottom w:val="single" w:sz="4" w:space="0" w:color="auto"/>
              <w:right w:val="single" w:sz="4" w:space="0" w:color="auto"/>
            </w:tcBorders>
          </w:tcPr>
          <w:p w14:paraId="64F25D5E" w14:textId="77777777" w:rsidR="00AB6122" w:rsidRPr="009E686F" w:rsidRDefault="00AB6122" w:rsidP="00ED2C1C">
            <w:pPr>
              <w:spacing w:after="0" w:line="278" w:lineRule="auto"/>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b) poate participa la activitățile Autorității Bancare Europene și, după caz, la colegiile de supraveghetori;</w:t>
            </w:r>
          </w:p>
          <w:p w14:paraId="11A0774E" w14:textId="77777777" w:rsidR="00AB6122" w:rsidRPr="009E686F" w:rsidRDefault="00AB6122" w:rsidP="00ED2C1C">
            <w:pPr>
              <w:spacing w:after="0"/>
              <w:jc w:val="both"/>
              <w:rPr>
                <w:rFonts w:ascii="Times New Roman" w:hAnsi="Times New Roman" w:cs="Times New Roman"/>
                <w:b/>
                <w:i/>
                <w:iCs/>
                <w:lang w:val="ro-MD"/>
              </w:rPr>
            </w:pPr>
          </w:p>
        </w:tc>
        <w:tc>
          <w:tcPr>
            <w:tcW w:w="470" w:type="pct"/>
            <w:tcBorders>
              <w:top w:val="single" w:sz="4" w:space="0" w:color="auto"/>
              <w:left w:val="single" w:sz="4" w:space="0" w:color="auto"/>
              <w:bottom w:val="single" w:sz="4" w:space="0" w:color="auto"/>
              <w:right w:val="single" w:sz="4" w:space="0" w:color="auto"/>
            </w:tcBorders>
          </w:tcPr>
          <w:p w14:paraId="6515FCA1" w14:textId="21DFBCB5" w:rsidR="00AB6122" w:rsidRPr="009E686F" w:rsidRDefault="00AB6122" w:rsidP="00AB6122">
            <w:pPr>
              <w:jc w:val="both"/>
              <w:rPr>
                <w:rFonts w:ascii="Times New Roman" w:hAnsi="Times New Roman" w:cs="Times New Roman"/>
                <w:lang w:val="it-IT"/>
              </w:rPr>
            </w:pPr>
            <w:r w:rsidRPr="009E686F">
              <w:rPr>
                <w:rFonts w:ascii="Times New Roman" w:hAnsi="Times New Roman" w:cs="Times New Roman"/>
                <w:lang w:val="it-IT"/>
              </w:rPr>
              <w:t>Compatibil</w:t>
            </w:r>
          </w:p>
        </w:tc>
        <w:tc>
          <w:tcPr>
            <w:tcW w:w="806" w:type="pct"/>
            <w:tcBorders>
              <w:top w:val="single" w:sz="4" w:space="0" w:color="auto"/>
              <w:left w:val="single" w:sz="4" w:space="0" w:color="auto"/>
              <w:bottom w:val="single" w:sz="4" w:space="0" w:color="auto"/>
              <w:right w:val="single" w:sz="4" w:space="0" w:color="auto"/>
            </w:tcBorders>
          </w:tcPr>
          <w:p w14:paraId="540DB883" w14:textId="103C3676" w:rsidR="00AB6122" w:rsidRPr="009E686F" w:rsidRDefault="00AB6122" w:rsidP="00515783">
            <w:pPr>
              <w:spacing w:after="0"/>
              <w:jc w:val="both"/>
              <w:rPr>
                <w:rFonts w:ascii="Times New Roman" w:hAnsi="Times New Roman" w:cs="Times New Roman"/>
                <w:lang w:val="it-IT"/>
              </w:rPr>
            </w:pPr>
          </w:p>
        </w:tc>
      </w:tr>
      <w:tr w:rsidR="00B30AFC" w:rsidRPr="009E686F" w14:paraId="3D111518" w14:textId="6D0C2B1E" w:rsidTr="00960C23">
        <w:tc>
          <w:tcPr>
            <w:tcW w:w="1890" w:type="pct"/>
            <w:tcBorders>
              <w:top w:val="single" w:sz="4" w:space="0" w:color="auto"/>
              <w:left w:val="single" w:sz="4" w:space="0" w:color="auto"/>
              <w:bottom w:val="single" w:sz="4" w:space="0" w:color="auto"/>
              <w:right w:val="single" w:sz="4" w:space="0" w:color="auto"/>
            </w:tcBorders>
          </w:tcPr>
          <w:p w14:paraId="2F334B36" w14:textId="76D49E6B" w:rsidR="00AB6122" w:rsidRPr="009E686F" w:rsidRDefault="00AB6122" w:rsidP="00ED2C1C">
            <w:pPr>
              <w:spacing w:after="0"/>
              <w:jc w:val="both"/>
              <w:rPr>
                <w:rFonts w:ascii="Times New Roman" w:hAnsi="Times New Roman" w:cs="Times New Roman"/>
                <w:lang w:val="it-CH"/>
              </w:rPr>
            </w:pPr>
            <w:r w:rsidRPr="009E686F">
              <w:rPr>
                <w:rFonts w:ascii="Times New Roman" w:hAnsi="Times New Roman" w:cs="Times New Roman"/>
                <w:lang w:val="it-CH"/>
              </w:rPr>
              <w:t xml:space="preserve">(c) autoritățile competente depun toate eforturile necesare pentru a respecta orientările și recomandările emise de ABE în conformitate cu articolul 16 din Regulamentul (UE) nr. 1093/2010 și pentru a da curs avertizărilor și recomandărilor </w:t>
            </w:r>
            <w:r w:rsidRPr="009E686F">
              <w:rPr>
                <w:rFonts w:ascii="Times New Roman" w:hAnsi="Times New Roman" w:cs="Times New Roman"/>
                <w:lang w:val="it-CH"/>
              </w:rPr>
              <w:lastRenderedPageBreak/>
              <w:t>emise de CERS în temeiul articolului 16 din Regulamentul (UE) nr. 1092/2010;</w:t>
            </w:r>
          </w:p>
        </w:tc>
        <w:tc>
          <w:tcPr>
            <w:tcW w:w="1834" w:type="pct"/>
            <w:tcBorders>
              <w:top w:val="single" w:sz="4" w:space="0" w:color="auto"/>
              <w:left w:val="single" w:sz="4" w:space="0" w:color="auto"/>
              <w:bottom w:val="single" w:sz="4" w:space="0" w:color="auto"/>
              <w:right w:val="single" w:sz="4" w:space="0" w:color="auto"/>
            </w:tcBorders>
          </w:tcPr>
          <w:p w14:paraId="212964C3" w14:textId="77777777" w:rsidR="00AB6122" w:rsidRPr="009E686F" w:rsidRDefault="00AB6122" w:rsidP="00ED2C1C">
            <w:pPr>
              <w:spacing w:after="0" w:line="278" w:lineRule="auto"/>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lastRenderedPageBreak/>
              <w:t xml:space="preserve">c) depune toate eforturile pentru a se conforma ghidurilor şi recomandărilor emise de Autoritatea Bancară Europeană şi </w:t>
            </w:r>
            <w:r w:rsidRPr="009E686F">
              <w:rPr>
                <w:rFonts w:ascii="Times New Roman" w:eastAsia="Aptos" w:hAnsi="Times New Roman" w:cs="Times New Roman"/>
                <w:i/>
                <w:iCs/>
                <w:kern w:val="2"/>
                <w:lang w:val="ro-MD"/>
              </w:rPr>
              <w:lastRenderedPageBreak/>
              <w:t xml:space="preserve">pentru a da curs avertismentelor şi recomandărilor emise de Comitetul European pentru Risc Sistemic; </w:t>
            </w:r>
          </w:p>
          <w:p w14:paraId="70FC6079" w14:textId="77777777" w:rsidR="00AB6122" w:rsidRPr="009E686F" w:rsidRDefault="00AB6122" w:rsidP="00ED2C1C">
            <w:pPr>
              <w:spacing w:after="0"/>
              <w:jc w:val="both"/>
              <w:rPr>
                <w:rFonts w:ascii="Times New Roman" w:hAnsi="Times New Roman" w:cs="Times New Roman"/>
                <w:b/>
                <w:i/>
                <w:iCs/>
                <w:lang w:val="ro-MD"/>
              </w:rPr>
            </w:pPr>
          </w:p>
        </w:tc>
        <w:tc>
          <w:tcPr>
            <w:tcW w:w="470" w:type="pct"/>
            <w:tcBorders>
              <w:top w:val="single" w:sz="4" w:space="0" w:color="auto"/>
              <w:left w:val="single" w:sz="4" w:space="0" w:color="auto"/>
              <w:bottom w:val="single" w:sz="4" w:space="0" w:color="auto"/>
              <w:right w:val="single" w:sz="4" w:space="0" w:color="auto"/>
            </w:tcBorders>
          </w:tcPr>
          <w:p w14:paraId="151AD1DA" w14:textId="03BACC74" w:rsidR="00AB6122" w:rsidRPr="009E686F" w:rsidRDefault="00AB6122" w:rsidP="00AB6122">
            <w:pPr>
              <w:jc w:val="both"/>
              <w:rPr>
                <w:rFonts w:ascii="Times New Roman" w:hAnsi="Times New Roman" w:cs="Times New Roman"/>
                <w:lang w:val="it-CH"/>
              </w:rPr>
            </w:pPr>
            <w:r w:rsidRPr="009E686F">
              <w:rPr>
                <w:rFonts w:ascii="Times New Roman" w:hAnsi="Times New Roman" w:cs="Times New Roman"/>
                <w:lang w:val="it-IT"/>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1D0DFF8A" w14:textId="2989C714" w:rsidR="00AB6122" w:rsidRPr="009E686F" w:rsidRDefault="00AB6122" w:rsidP="00515783">
            <w:pPr>
              <w:spacing w:after="0"/>
              <w:jc w:val="both"/>
              <w:rPr>
                <w:rFonts w:ascii="Times New Roman" w:hAnsi="Times New Roman" w:cs="Times New Roman"/>
                <w:lang w:val="it-CH"/>
              </w:rPr>
            </w:pPr>
          </w:p>
        </w:tc>
      </w:tr>
      <w:tr w:rsidR="00B30AFC" w:rsidRPr="009E686F" w14:paraId="711C5D75" w14:textId="37A407DA" w:rsidTr="00960C23">
        <w:tc>
          <w:tcPr>
            <w:tcW w:w="1890" w:type="pct"/>
            <w:tcBorders>
              <w:top w:val="single" w:sz="4" w:space="0" w:color="auto"/>
              <w:left w:val="single" w:sz="4" w:space="0" w:color="auto"/>
              <w:bottom w:val="single" w:sz="4" w:space="0" w:color="auto"/>
              <w:right w:val="single" w:sz="4" w:space="0" w:color="auto"/>
            </w:tcBorders>
          </w:tcPr>
          <w:p w14:paraId="197F574F" w14:textId="17F06D11" w:rsidR="00AB6122" w:rsidRPr="009E686F" w:rsidRDefault="00AB6122" w:rsidP="00ED2C1C">
            <w:pPr>
              <w:spacing w:after="0"/>
              <w:jc w:val="both"/>
              <w:rPr>
                <w:rFonts w:ascii="Times New Roman" w:hAnsi="Times New Roman" w:cs="Times New Roman"/>
              </w:rPr>
            </w:pPr>
            <w:r w:rsidRPr="009E686F">
              <w:rPr>
                <w:rFonts w:ascii="Times New Roman" w:hAnsi="Times New Roman" w:cs="Times New Roman"/>
              </w:rPr>
              <w:t>(d) autoritățile competente cooperează îndeaproape cu CERS;</w:t>
            </w:r>
          </w:p>
        </w:tc>
        <w:tc>
          <w:tcPr>
            <w:tcW w:w="1834" w:type="pct"/>
            <w:tcBorders>
              <w:top w:val="single" w:sz="4" w:space="0" w:color="auto"/>
              <w:left w:val="single" w:sz="4" w:space="0" w:color="auto"/>
              <w:bottom w:val="single" w:sz="4" w:space="0" w:color="auto"/>
              <w:right w:val="single" w:sz="4" w:space="0" w:color="auto"/>
            </w:tcBorders>
          </w:tcPr>
          <w:p w14:paraId="7225D9C6" w14:textId="77777777" w:rsidR="00AB6122" w:rsidRPr="009E686F" w:rsidRDefault="00AB6122" w:rsidP="00ED2C1C">
            <w:pPr>
              <w:spacing w:after="0" w:line="278" w:lineRule="auto"/>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d) cooperează cu Comitetul European pentru Risc Sistemic;</w:t>
            </w:r>
          </w:p>
          <w:p w14:paraId="07CCEB3D" w14:textId="77777777" w:rsidR="00AB6122" w:rsidRPr="009E686F" w:rsidRDefault="00AB6122" w:rsidP="00ED2C1C">
            <w:pPr>
              <w:spacing w:after="0"/>
              <w:jc w:val="both"/>
              <w:rPr>
                <w:rFonts w:ascii="Times New Roman" w:hAnsi="Times New Roman" w:cs="Times New Roman"/>
                <w:b/>
                <w:i/>
                <w:iCs/>
                <w:lang w:val="it-CH"/>
              </w:rPr>
            </w:pPr>
          </w:p>
        </w:tc>
        <w:tc>
          <w:tcPr>
            <w:tcW w:w="470" w:type="pct"/>
            <w:tcBorders>
              <w:top w:val="single" w:sz="4" w:space="0" w:color="auto"/>
              <w:left w:val="single" w:sz="4" w:space="0" w:color="auto"/>
              <w:bottom w:val="single" w:sz="4" w:space="0" w:color="auto"/>
              <w:right w:val="single" w:sz="4" w:space="0" w:color="auto"/>
            </w:tcBorders>
          </w:tcPr>
          <w:p w14:paraId="02CE8439" w14:textId="1A1D8586" w:rsidR="00AB6122" w:rsidRPr="009E686F" w:rsidRDefault="00AB6122" w:rsidP="00AB6122">
            <w:pPr>
              <w:jc w:val="both"/>
              <w:rPr>
                <w:rFonts w:ascii="Times New Roman" w:hAnsi="Times New Roman" w:cs="Times New Roman"/>
                <w:lang w:val="it-CH"/>
              </w:rPr>
            </w:pPr>
            <w:r w:rsidRPr="009E686F">
              <w:rPr>
                <w:rFonts w:ascii="Times New Roman" w:hAnsi="Times New Roman" w:cs="Times New Roman"/>
                <w:lang w:val="it-IT"/>
              </w:rPr>
              <w:t>Compatibil</w:t>
            </w:r>
          </w:p>
        </w:tc>
        <w:tc>
          <w:tcPr>
            <w:tcW w:w="806" w:type="pct"/>
            <w:tcBorders>
              <w:top w:val="single" w:sz="4" w:space="0" w:color="auto"/>
              <w:left w:val="single" w:sz="4" w:space="0" w:color="auto"/>
              <w:bottom w:val="single" w:sz="4" w:space="0" w:color="auto"/>
              <w:right w:val="single" w:sz="4" w:space="0" w:color="auto"/>
            </w:tcBorders>
          </w:tcPr>
          <w:p w14:paraId="5B6948D8" w14:textId="3335E1F4" w:rsidR="00AB6122" w:rsidRPr="009E686F" w:rsidRDefault="00AB6122" w:rsidP="00515783">
            <w:pPr>
              <w:spacing w:after="0"/>
              <w:jc w:val="both"/>
              <w:rPr>
                <w:rFonts w:ascii="Times New Roman" w:hAnsi="Times New Roman" w:cs="Times New Roman"/>
                <w:lang w:val="it-CH"/>
              </w:rPr>
            </w:pPr>
          </w:p>
        </w:tc>
      </w:tr>
      <w:tr w:rsidR="00B30AFC" w:rsidRPr="009E686F" w14:paraId="7DCF1A17" w14:textId="3DBD2147" w:rsidTr="00960C23">
        <w:tc>
          <w:tcPr>
            <w:tcW w:w="1890" w:type="pct"/>
            <w:tcBorders>
              <w:top w:val="single" w:sz="4" w:space="0" w:color="auto"/>
              <w:left w:val="single" w:sz="4" w:space="0" w:color="auto"/>
              <w:bottom w:val="single" w:sz="4" w:space="0" w:color="auto"/>
              <w:right w:val="single" w:sz="4" w:space="0" w:color="auto"/>
            </w:tcBorders>
          </w:tcPr>
          <w:p w14:paraId="1FB3C60F" w14:textId="74D3FDCE" w:rsidR="00AB6122" w:rsidRPr="009E686F" w:rsidRDefault="00AB6122" w:rsidP="00ED2C1C">
            <w:pPr>
              <w:spacing w:after="0"/>
              <w:jc w:val="both"/>
              <w:rPr>
                <w:rFonts w:ascii="Times New Roman" w:hAnsi="Times New Roman" w:cs="Times New Roman"/>
                <w:lang w:val="it-CH"/>
              </w:rPr>
            </w:pPr>
            <w:r w:rsidRPr="009E686F">
              <w:rPr>
                <w:rFonts w:ascii="Times New Roman" w:hAnsi="Times New Roman" w:cs="Times New Roman"/>
                <w:lang w:val="it-CH"/>
              </w:rPr>
              <w:t>(e) mandatele naționale conferite autorităților competente nu impietează asupra îndeplinirii atribuțiilor care le revin în calitate de membri ai ABE, după caz ai CERS, sau în temeiul prezentei directive și al Regulamentului (UE) nr. 575/2013.</w:t>
            </w:r>
          </w:p>
        </w:tc>
        <w:tc>
          <w:tcPr>
            <w:tcW w:w="1834" w:type="pct"/>
            <w:tcBorders>
              <w:top w:val="single" w:sz="4" w:space="0" w:color="auto"/>
              <w:left w:val="single" w:sz="4" w:space="0" w:color="auto"/>
              <w:bottom w:val="single" w:sz="4" w:space="0" w:color="auto"/>
              <w:right w:val="single" w:sz="4" w:space="0" w:color="auto"/>
            </w:tcBorders>
          </w:tcPr>
          <w:p w14:paraId="00BEC02D" w14:textId="35DB0E13" w:rsidR="00AB6122" w:rsidRPr="009E686F" w:rsidRDefault="00AB6122" w:rsidP="00ED2C1C">
            <w:pPr>
              <w:spacing w:after="0"/>
              <w:jc w:val="both"/>
              <w:rPr>
                <w:rFonts w:ascii="Times New Roman" w:hAnsi="Times New Roman" w:cs="Times New Roman"/>
                <w:b/>
                <w:i/>
                <w:lang w:val="it-CH"/>
              </w:rPr>
            </w:pPr>
            <w:r w:rsidRPr="009E686F">
              <w:rPr>
                <w:rFonts w:ascii="Times New Roman" w:eastAsia="Aptos" w:hAnsi="Times New Roman" w:cs="Times New Roman"/>
                <w:i/>
                <w:iCs/>
                <w:kern w:val="2"/>
                <w:lang w:val="ro-MD"/>
              </w:rPr>
              <w:t xml:space="preserve">e) îndeplinește atribuţiile prevăzute de prezenta lege în calitate de autoritate competentă fără a împiedica respectarea obligaţiilor care îi revin în calitate de membru al Autorităţii Bancare Europene şi al Comitetului European pentru Risc Sistemic sau a altor obligaţii la nivelul Uniunii Europene în domeniul supravegherii prudenţiale a </w:t>
            </w:r>
            <w:r w:rsidR="00A51A7D" w:rsidRPr="009E686F">
              <w:rPr>
                <w:rFonts w:ascii="Times New Roman" w:eastAsia="Aptos" w:hAnsi="Times New Roman" w:cs="Times New Roman"/>
                <w:i/>
                <w:iCs/>
                <w:kern w:val="2"/>
                <w:lang w:val="ro-MD"/>
              </w:rPr>
              <w:t>instituțiilor de credit</w:t>
            </w:r>
            <w:r w:rsidRPr="009E686F">
              <w:rPr>
                <w:rFonts w:ascii="Times New Roman" w:eastAsia="Aptos" w:hAnsi="Times New Roman" w:cs="Times New Roman"/>
                <w:i/>
                <w:iCs/>
                <w:kern w:val="2"/>
                <w:lang w:val="ro-MD"/>
              </w:rPr>
              <w:t xml:space="preserve">, în special a celor decurgând din prezenta lege și actele normative emise în aplicarea acesteia.  </w:t>
            </w:r>
          </w:p>
        </w:tc>
        <w:tc>
          <w:tcPr>
            <w:tcW w:w="470" w:type="pct"/>
            <w:tcBorders>
              <w:top w:val="single" w:sz="4" w:space="0" w:color="auto"/>
              <w:left w:val="single" w:sz="4" w:space="0" w:color="auto"/>
              <w:bottom w:val="single" w:sz="4" w:space="0" w:color="auto"/>
              <w:right w:val="single" w:sz="4" w:space="0" w:color="auto"/>
            </w:tcBorders>
          </w:tcPr>
          <w:p w14:paraId="3FAA717C" w14:textId="5B177C84" w:rsidR="00AB6122" w:rsidRPr="009E686F" w:rsidRDefault="00AB6122" w:rsidP="00AB6122">
            <w:pPr>
              <w:jc w:val="both"/>
              <w:rPr>
                <w:rFonts w:ascii="Times New Roman" w:hAnsi="Times New Roman" w:cs="Times New Roman"/>
                <w:lang w:val="it-CH"/>
              </w:rPr>
            </w:pPr>
            <w:r w:rsidRPr="009E686F">
              <w:rPr>
                <w:rFonts w:ascii="Times New Roman" w:hAnsi="Times New Roman" w:cs="Times New Roman"/>
                <w:lang w:val="it-IT"/>
              </w:rPr>
              <w:t>Compatibil</w:t>
            </w:r>
          </w:p>
        </w:tc>
        <w:tc>
          <w:tcPr>
            <w:tcW w:w="806" w:type="pct"/>
            <w:tcBorders>
              <w:top w:val="single" w:sz="4" w:space="0" w:color="auto"/>
              <w:left w:val="single" w:sz="4" w:space="0" w:color="auto"/>
              <w:bottom w:val="single" w:sz="4" w:space="0" w:color="auto"/>
              <w:right w:val="single" w:sz="4" w:space="0" w:color="auto"/>
            </w:tcBorders>
          </w:tcPr>
          <w:p w14:paraId="30DF33B3" w14:textId="2A54D72E" w:rsidR="00AB6122" w:rsidRPr="009E686F" w:rsidRDefault="00AB6122" w:rsidP="00515783">
            <w:pPr>
              <w:spacing w:after="0"/>
              <w:jc w:val="both"/>
              <w:rPr>
                <w:rFonts w:ascii="Times New Roman" w:hAnsi="Times New Roman" w:cs="Times New Roman"/>
                <w:lang w:val="it-CH"/>
              </w:rPr>
            </w:pPr>
          </w:p>
        </w:tc>
      </w:tr>
      <w:tr w:rsidR="00B30AFC" w:rsidRPr="009E686F" w14:paraId="2E0AABF9" w14:textId="2A8A39D8" w:rsidTr="00960C23">
        <w:tc>
          <w:tcPr>
            <w:tcW w:w="1890" w:type="pct"/>
            <w:tcBorders>
              <w:top w:val="single" w:sz="4" w:space="0" w:color="auto"/>
              <w:left w:val="single" w:sz="4" w:space="0" w:color="auto"/>
              <w:bottom w:val="single" w:sz="4" w:space="0" w:color="auto"/>
              <w:right w:val="single" w:sz="4" w:space="0" w:color="auto"/>
            </w:tcBorders>
          </w:tcPr>
          <w:p w14:paraId="272432B1" w14:textId="77777777" w:rsidR="00AB6122" w:rsidRPr="009E686F" w:rsidRDefault="00AB6122" w:rsidP="00ED2C1C">
            <w:pPr>
              <w:spacing w:after="0"/>
              <w:jc w:val="both"/>
              <w:rPr>
                <w:rFonts w:ascii="Times New Roman" w:hAnsi="Times New Roman" w:cs="Times New Roman"/>
                <w:i/>
                <w:iCs/>
              </w:rPr>
            </w:pPr>
            <w:r w:rsidRPr="009E686F">
              <w:rPr>
                <w:rFonts w:ascii="Times New Roman" w:hAnsi="Times New Roman" w:cs="Times New Roman"/>
                <w:i/>
                <w:iCs/>
              </w:rPr>
              <w:t>Articolul 7</w:t>
            </w:r>
          </w:p>
          <w:p w14:paraId="728C1DF9" w14:textId="36CB0FA6" w:rsidR="00AB6122" w:rsidRPr="009E686F" w:rsidRDefault="00AB6122" w:rsidP="00ED2C1C">
            <w:pPr>
              <w:spacing w:after="0"/>
              <w:jc w:val="both"/>
              <w:rPr>
                <w:rFonts w:ascii="Times New Roman" w:hAnsi="Times New Roman" w:cs="Times New Roman"/>
              </w:rPr>
            </w:pPr>
            <w:r w:rsidRPr="009E686F">
              <w:rPr>
                <w:rFonts w:ascii="Times New Roman" w:hAnsi="Times New Roman" w:cs="Times New Roman"/>
              </w:rPr>
              <w:t>Dimensiunea supravegherii în Uniune</w:t>
            </w:r>
          </w:p>
          <w:p w14:paraId="2B4BCFCB" w14:textId="77777777" w:rsidR="00AB6122" w:rsidRPr="009E686F" w:rsidRDefault="00AB6122" w:rsidP="00ED2C1C">
            <w:pPr>
              <w:spacing w:after="0"/>
              <w:jc w:val="both"/>
              <w:rPr>
                <w:rFonts w:ascii="Times New Roman" w:hAnsi="Times New Roman" w:cs="Times New Roman"/>
              </w:rPr>
            </w:pPr>
          </w:p>
          <w:p w14:paraId="0466D757" w14:textId="77777777" w:rsidR="00AB6122" w:rsidRPr="009E686F" w:rsidRDefault="00AB6122" w:rsidP="00ED2C1C">
            <w:pPr>
              <w:spacing w:after="0"/>
              <w:jc w:val="both"/>
              <w:rPr>
                <w:rFonts w:ascii="Times New Roman" w:hAnsi="Times New Roman" w:cs="Times New Roman"/>
              </w:rPr>
            </w:pPr>
            <w:r w:rsidRPr="009E686F">
              <w:rPr>
                <w:rFonts w:ascii="Times New Roman" w:hAnsi="Times New Roman" w:cs="Times New Roman"/>
              </w:rPr>
              <w:t>În exercitarea atribuțiilor generale care le revin, autoritățile competente din fiecare stat membru iau în calcul în mod corespunzător efectul potențial al deciziilor lor asupra stabilității sistemului financiar din celelalte state membre în cauză și, în special în situații de urgență, pe baza informațiilor disponibile la momentul respectiv.</w:t>
            </w:r>
          </w:p>
        </w:tc>
        <w:tc>
          <w:tcPr>
            <w:tcW w:w="1834" w:type="pct"/>
            <w:tcBorders>
              <w:top w:val="single" w:sz="4" w:space="0" w:color="auto"/>
              <w:left w:val="single" w:sz="4" w:space="0" w:color="auto"/>
              <w:bottom w:val="single" w:sz="4" w:space="0" w:color="auto"/>
              <w:right w:val="single" w:sz="4" w:space="0" w:color="auto"/>
            </w:tcBorders>
          </w:tcPr>
          <w:p w14:paraId="78495EF5" w14:textId="2C0D5729" w:rsidR="00AB6122" w:rsidRPr="009E686F" w:rsidRDefault="00AB6122" w:rsidP="00ED2C1C">
            <w:pPr>
              <w:spacing w:after="0"/>
              <w:jc w:val="both"/>
              <w:rPr>
                <w:rFonts w:ascii="Times New Roman" w:hAnsi="Times New Roman" w:cs="Times New Roman"/>
                <w:b/>
              </w:rPr>
            </w:pPr>
            <w:r w:rsidRPr="009E686F">
              <w:rPr>
                <w:rFonts w:ascii="Times New Roman" w:hAnsi="Times New Roman" w:cs="Times New Roman"/>
                <w:b/>
              </w:rPr>
              <w:t xml:space="preserve">Articolul </w:t>
            </w:r>
            <w:r w:rsidR="00ED1A56" w:rsidRPr="009E686F">
              <w:rPr>
                <w:rFonts w:ascii="Times New Roman" w:hAnsi="Times New Roman" w:cs="Times New Roman"/>
                <w:b/>
              </w:rPr>
              <w:t>5</w:t>
            </w:r>
            <w:r w:rsidRPr="009E686F">
              <w:rPr>
                <w:rFonts w:ascii="Times New Roman" w:hAnsi="Times New Roman" w:cs="Times New Roman"/>
                <w:b/>
              </w:rPr>
              <w:t xml:space="preserve"> alin. (7)</w:t>
            </w:r>
          </w:p>
          <w:p w14:paraId="1224C567" w14:textId="13EB61C4" w:rsidR="00AB6122" w:rsidRPr="009E686F" w:rsidRDefault="00AB6122" w:rsidP="00ED2C1C">
            <w:pPr>
              <w:spacing w:after="0"/>
              <w:jc w:val="both"/>
              <w:rPr>
                <w:rFonts w:ascii="Times New Roman" w:hAnsi="Times New Roman" w:cs="Times New Roman"/>
                <w:i/>
              </w:rPr>
            </w:pPr>
            <w:r w:rsidRPr="009E686F">
              <w:rPr>
                <w:rFonts w:ascii="Times New Roman" w:hAnsi="Times New Roman" w:cs="Times New Roman"/>
                <w:i/>
              </w:rPr>
              <w:t>(7) În exercitarea atribuțiilor conferite prin prezenta lege, Banca Națională a Moldovei ia în calcul în mod corespunzător efectul potențial al deciziilor sale asupra stabilității financiare din statele membre și, în special în situații de urgență, pe baza informațiilor disponibile din momentul respectiv.</w:t>
            </w:r>
          </w:p>
          <w:p w14:paraId="5FC1C507" w14:textId="2E8A3B66" w:rsidR="005031B3" w:rsidRPr="009E686F" w:rsidRDefault="005031B3" w:rsidP="005031B3">
            <w:pPr>
              <w:spacing w:after="0"/>
              <w:jc w:val="both"/>
              <w:rPr>
                <w:rFonts w:ascii="Times New Roman" w:hAnsi="Times New Roman" w:cs="Times New Roman"/>
                <w:b/>
              </w:rPr>
            </w:pPr>
            <w:r w:rsidRPr="009E686F">
              <w:rPr>
                <w:rFonts w:ascii="Times New Roman" w:hAnsi="Times New Roman" w:cs="Times New Roman"/>
                <w:b/>
              </w:rPr>
              <w:t>Articolul 5</w:t>
            </w:r>
            <w:r w:rsidRPr="009E686F">
              <w:rPr>
                <w:rFonts w:ascii="Times New Roman" w:hAnsi="Times New Roman" w:cs="Times New Roman"/>
                <w:b/>
                <w:vertAlign w:val="superscript"/>
              </w:rPr>
              <w:t>1</w:t>
            </w:r>
            <w:r w:rsidRPr="009E686F">
              <w:rPr>
                <w:rFonts w:ascii="Times New Roman" w:hAnsi="Times New Roman" w:cs="Times New Roman"/>
                <w:b/>
              </w:rPr>
              <w:t xml:space="preserve"> alin. (6)</w:t>
            </w:r>
          </w:p>
          <w:p w14:paraId="10D764F5" w14:textId="08D1E7E5" w:rsidR="005031B3" w:rsidRPr="009E686F" w:rsidRDefault="005031B3" w:rsidP="00ED2C1C">
            <w:pPr>
              <w:spacing w:after="0"/>
              <w:jc w:val="both"/>
              <w:rPr>
                <w:rFonts w:ascii="Times New Roman" w:hAnsi="Times New Roman" w:cs="Times New Roman"/>
                <w:i/>
              </w:rPr>
            </w:pPr>
            <w:r w:rsidRPr="009E686F">
              <w:rPr>
                <w:rFonts w:ascii="Times New Roman" w:hAnsi="Times New Roman" w:cs="Times New Roman"/>
                <w:i/>
              </w:rPr>
              <w:t>(6) În exercitarea atribuţiilor sale de supraveghere prudenţială, Comisia Națională a Pieței Financiare are în vedere, în mod corespunzător, impactul potenţial al deciziilor sale asupra stabilităţii sistemului financiar din toate celelalte state membre implicate, în special în situaţii de urgenţă, pe baza informaţiilor disponibile la momentul respectiv.</w:t>
            </w:r>
          </w:p>
        </w:tc>
        <w:tc>
          <w:tcPr>
            <w:tcW w:w="470" w:type="pct"/>
            <w:tcBorders>
              <w:top w:val="single" w:sz="4" w:space="0" w:color="auto"/>
              <w:left w:val="single" w:sz="4" w:space="0" w:color="auto"/>
              <w:bottom w:val="single" w:sz="4" w:space="0" w:color="auto"/>
              <w:right w:val="single" w:sz="4" w:space="0" w:color="auto"/>
            </w:tcBorders>
          </w:tcPr>
          <w:p w14:paraId="3E5365FC" w14:textId="097372D0" w:rsidR="00AB6122" w:rsidRPr="009E686F" w:rsidRDefault="00AB6122" w:rsidP="00AB6122">
            <w:pPr>
              <w:jc w:val="both"/>
              <w:rPr>
                <w:rFonts w:ascii="Times New Roman" w:hAnsi="Times New Roman" w:cs="Times New Roman"/>
              </w:rPr>
            </w:pPr>
            <w:r w:rsidRPr="009E686F">
              <w:rPr>
                <w:rFonts w:ascii="Times New Roman" w:hAnsi="Times New Roman" w:cs="Times New Roman"/>
                <w:lang w:val="it-IT"/>
              </w:rPr>
              <w:t>Compatibil</w:t>
            </w:r>
          </w:p>
        </w:tc>
        <w:tc>
          <w:tcPr>
            <w:tcW w:w="806" w:type="pct"/>
            <w:tcBorders>
              <w:top w:val="single" w:sz="4" w:space="0" w:color="auto"/>
              <w:left w:val="single" w:sz="4" w:space="0" w:color="auto"/>
              <w:bottom w:val="single" w:sz="4" w:space="0" w:color="auto"/>
              <w:right w:val="single" w:sz="4" w:space="0" w:color="auto"/>
            </w:tcBorders>
          </w:tcPr>
          <w:p w14:paraId="0F7A15AB" w14:textId="77777777" w:rsidR="00DE347E" w:rsidRPr="009E686F" w:rsidRDefault="00DE347E" w:rsidP="00DE347E">
            <w:r w:rsidRPr="009E686F">
              <w:rPr>
                <w:rFonts w:ascii="Times New Roman" w:hAnsi="Times New Roman" w:cs="Times New Roman"/>
                <w:lang w:val="ro-RO"/>
              </w:rPr>
              <w:t>În vigoare – data aderării.</w:t>
            </w:r>
          </w:p>
          <w:p w14:paraId="3248CDC4" w14:textId="0279A34B" w:rsidR="00AB6122" w:rsidRPr="009E686F" w:rsidRDefault="00AB6122" w:rsidP="00515783">
            <w:pPr>
              <w:spacing w:after="0"/>
              <w:jc w:val="both"/>
              <w:rPr>
                <w:rFonts w:ascii="Times New Roman" w:hAnsi="Times New Roman" w:cs="Times New Roman"/>
                <w:lang w:val="it-CH"/>
              </w:rPr>
            </w:pPr>
          </w:p>
        </w:tc>
      </w:tr>
      <w:tr w:rsidR="00196A96" w:rsidRPr="009E686F" w14:paraId="1359816E" w14:textId="77777777" w:rsidTr="00960C23">
        <w:tc>
          <w:tcPr>
            <w:tcW w:w="1890" w:type="pct"/>
            <w:vMerge w:val="restart"/>
            <w:tcBorders>
              <w:top w:val="single" w:sz="4" w:space="0" w:color="auto"/>
              <w:left w:val="single" w:sz="4" w:space="0" w:color="auto"/>
              <w:right w:val="single" w:sz="4" w:space="0" w:color="auto"/>
            </w:tcBorders>
          </w:tcPr>
          <w:p w14:paraId="0DCF1AAF" w14:textId="77777777" w:rsidR="002B4E1D" w:rsidRPr="009E686F" w:rsidRDefault="002B4E1D" w:rsidP="00ED2C1C">
            <w:pPr>
              <w:spacing w:after="0" w:line="240" w:lineRule="auto"/>
              <w:jc w:val="both"/>
              <w:rPr>
                <w:rFonts w:ascii="Times New Roman" w:hAnsi="Times New Roman" w:cs="Times New Roman"/>
              </w:rPr>
            </w:pPr>
            <w:r w:rsidRPr="009E686F">
              <w:rPr>
                <w:rFonts w:ascii="Times New Roman" w:hAnsi="Times New Roman" w:cs="Times New Roman"/>
              </w:rPr>
              <w:t>TITLUL III</w:t>
            </w:r>
          </w:p>
          <w:p w14:paraId="1233C984" w14:textId="38AB520D" w:rsidR="002B4E1D" w:rsidRPr="009E686F" w:rsidRDefault="002B4E1D" w:rsidP="00ED2C1C">
            <w:pPr>
              <w:spacing w:after="0" w:line="240" w:lineRule="auto"/>
              <w:jc w:val="both"/>
              <w:rPr>
                <w:rFonts w:ascii="Times New Roman" w:hAnsi="Times New Roman" w:cs="Times New Roman"/>
                <w:b/>
                <w:bCs/>
              </w:rPr>
            </w:pPr>
            <w:r w:rsidRPr="009E686F">
              <w:rPr>
                <w:rFonts w:ascii="Times New Roman" w:hAnsi="Times New Roman" w:cs="Times New Roman"/>
                <w:b/>
                <w:bCs/>
              </w:rPr>
              <w:t xml:space="preserve">CERINȚE PRIVIND ACCESUL LA ACTIVITATEA </w:t>
            </w:r>
            <w:r w:rsidR="00A51A7D" w:rsidRPr="009E686F">
              <w:rPr>
                <w:rFonts w:ascii="Times New Roman" w:hAnsi="Times New Roman" w:cs="Times New Roman"/>
                <w:b/>
                <w:bCs/>
              </w:rPr>
              <w:t>INSTITUȚIILOR DE CREDIT</w:t>
            </w:r>
          </w:p>
          <w:p w14:paraId="67C67E67" w14:textId="77777777" w:rsidR="002B4E1D" w:rsidRPr="009E686F" w:rsidRDefault="002B4E1D" w:rsidP="00ED2C1C">
            <w:pPr>
              <w:spacing w:after="0" w:line="240" w:lineRule="auto"/>
              <w:jc w:val="both"/>
              <w:rPr>
                <w:rFonts w:ascii="Times New Roman" w:hAnsi="Times New Roman" w:cs="Times New Roman"/>
                <w:bCs/>
              </w:rPr>
            </w:pPr>
            <w:r w:rsidRPr="009E686F">
              <w:rPr>
                <w:rFonts w:ascii="Times New Roman" w:hAnsi="Times New Roman" w:cs="Times New Roman"/>
                <w:bCs/>
              </w:rPr>
              <w:t>CAPITOLUL 1</w:t>
            </w:r>
          </w:p>
          <w:p w14:paraId="60F7C819" w14:textId="46B02853" w:rsidR="002B4E1D" w:rsidRPr="009E686F" w:rsidRDefault="002B4E1D" w:rsidP="00ED2C1C">
            <w:pPr>
              <w:spacing w:after="0" w:line="240" w:lineRule="auto"/>
              <w:jc w:val="both"/>
              <w:rPr>
                <w:rFonts w:ascii="Times New Roman" w:hAnsi="Times New Roman" w:cs="Times New Roman"/>
                <w:b/>
                <w:bCs/>
              </w:rPr>
            </w:pPr>
            <w:r w:rsidRPr="009E686F">
              <w:rPr>
                <w:rFonts w:ascii="Times New Roman" w:hAnsi="Times New Roman" w:cs="Times New Roman"/>
                <w:bCs/>
              </w:rPr>
              <w:lastRenderedPageBreak/>
              <w:t xml:space="preserve">Cerințe generale privind accesul la activitatea </w:t>
            </w:r>
            <w:r w:rsidR="00A51A7D" w:rsidRPr="009E686F">
              <w:rPr>
                <w:rFonts w:ascii="Times New Roman" w:hAnsi="Times New Roman" w:cs="Times New Roman"/>
                <w:bCs/>
              </w:rPr>
              <w:t>instituțiilor de credit</w:t>
            </w:r>
          </w:p>
        </w:tc>
        <w:tc>
          <w:tcPr>
            <w:tcW w:w="1834" w:type="pct"/>
            <w:tcBorders>
              <w:top w:val="single" w:sz="4" w:space="0" w:color="auto"/>
              <w:left w:val="single" w:sz="4" w:space="0" w:color="auto"/>
              <w:bottom w:val="single" w:sz="4" w:space="0" w:color="auto"/>
              <w:right w:val="single" w:sz="4" w:space="0" w:color="auto"/>
            </w:tcBorders>
          </w:tcPr>
          <w:p w14:paraId="33260AF0" w14:textId="77777777" w:rsidR="002B4E1D" w:rsidRPr="009E686F" w:rsidRDefault="002B4E1D" w:rsidP="00ED2C1C">
            <w:pPr>
              <w:spacing w:after="0"/>
              <w:jc w:val="both"/>
              <w:rPr>
                <w:rFonts w:ascii="Times New Roman" w:hAnsi="Times New Roman" w:cs="Times New Roman"/>
                <w:bCs/>
              </w:rPr>
            </w:pPr>
          </w:p>
        </w:tc>
        <w:tc>
          <w:tcPr>
            <w:tcW w:w="470" w:type="pct"/>
            <w:tcBorders>
              <w:top w:val="single" w:sz="4" w:space="0" w:color="auto"/>
              <w:left w:val="single" w:sz="4" w:space="0" w:color="auto"/>
              <w:bottom w:val="single" w:sz="4" w:space="0" w:color="auto"/>
              <w:right w:val="single" w:sz="4" w:space="0" w:color="auto"/>
            </w:tcBorders>
          </w:tcPr>
          <w:p w14:paraId="557E6756" w14:textId="77777777" w:rsidR="002B4E1D" w:rsidRPr="009E686F" w:rsidDel="006B2B9C" w:rsidRDefault="002B4E1D" w:rsidP="00AB6122">
            <w:pPr>
              <w:jc w:val="both"/>
              <w:rPr>
                <w:rFonts w:ascii="Times New Roman" w:hAnsi="Times New Roman" w:cs="Times New Roman"/>
              </w:rPr>
            </w:pPr>
          </w:p>
        </w:tc>
        <w:tc>
          <w:tcPr>
            <w:tcW w:w="806" w:type="pct"/>
            <w:tcBorders>
              <w:top w:val="single" w:sz="4" w:space="0" w:color="auto"/>
              <w:left w:val="single" w:sz="4" w:space="0" w:color="auto"/>
              <w:bottom w:val="single" w:sz="4" w:space="0" w:color="auto"/>
              <w:right w:val="single" w:sz="4" w:space="0" w:color="auto"/>
            </w:tcBorders>
          </w:tcPr>
          <w:p w14:paraId="6D4F3963" w14:textId="77777777" w:rsidR="002B4E1D" w:rsidRPr="009E686F" w:rsidRDefault="002B4E1D" w:rsidP="00515783">
            <w:pPr>
              <w:spacing w:after="0"/>
              <w:jc w:val="both"/>
              <w:rPr>
                <w:rFonts w:ascii="Times New Roman" w:hAnsi="Times New Roman" w:cs="Times New Roman"/>
              </w:rPr>
            </w:pPr>
          </w:p>
        </w:tc>
      </w:tr>
      <w:tr w:rsidR="00196A96" w:rsidRPr="009E686F" w14:paraId="39FD9CBE" w14:textId="0B4A2BEA" w:rsidTr="00960C23">
        <w:tc>
          <w:tcPr>
            <w:tcW w:w="1890" w:type="pct"/>
            <w:vMerge/>
            <w:tcBorders>
              <w:left w:val="single" w:sz="4" w:space="0" w:color="auto"/>
              <w:bottom w:val="single" w:sz="4" w:space="0" w:color="auto"/>
              <w:right w:val="single" w:sz="4" w:space="0" w:color="auto"/>
            </w:tcBorders>
          </w:tcPr>
          <w:p w14:paraId="125558AC" w14:textId="0CD1B5F8" w:rsidR="002B4E1D" w:rsidRPr="009E686F" w:rsidRDefault="002B4E1D" w:rsidP="00ED2C1C">
            <w:pPr>
              <w:spacing w:after="0" w:line="240" w:lineRule="auto"/>
              <w:jc w:val="both"/>
              <w:rPr>
                <w:rFonts w:ascii="Times New Roman" w:hAnsi="Times New Roman" w:cs="Times New Roman"/>
                <w:bCs/>
              </w:rPr>
            </w:pPr>
          </w:p>
        </w:tc>
        <w:tc>
          <w:tcPr>
            <w:tcW w:w="1834" w:type="pct"/>
            <w:tcBorders>
              <w:top w:val="single" w:sz="4" w:space="0" w:color="auto"/>
              <w:left w:val="single" w:sz="4" w:space="0" w:color="auto"/>
              <w:bottom w:val="single" w:sz="4" w:space="0" w:color="auto"/>
              <w:right w:val="single" w:sz="4" w:space="0" w:color="auto"/>
            </w:tcBorders>
          </w:tcPr>
          <w:p w14:paraId="3BBFEBB0" w14:textId="77777777" w:rsidR="002B4E1D" w:rsidRPr="009E686F" w:rsidRDefault="002B4E1D" w:rsidP="00ED2C1C">
            <w:pPr>
              <w:spacing w:after="0"/>
              <w:jc w:val="both"/>
              <w:rPr>
                <w:rFonts w:ascii="Times New Roman" w:hAnsi="Times New Roman" w:cs="Times New Roman"/>
                <w:b/>
              </w:rPr>
            </w:pPr>
          </w:p>
        </w:tc>
        <w:tc>
          <w:tcPr>
            <w:tcW w:w="470" w:type="pct"/>
            <w:tcBorders>
              <w:top w:val="single" w:sz="4" w:space="0" w:color="auto"/>
              <w:left w:val="single" w:sz="4" w:space="0" w:color="auto"/>
              <w:bottom w:val="single" w:sz="4" w:space="0" w:color="auto"/>
              <w:right w:val="single" w:sz="4" w:space="0" w:color="auto"/>
            </w:tcBorders>
          </w:tcPr>
          <w:p w14:paraId="232CF7EC" w14:textId="77777777" w:rsidR="002B4E1D" w:rsidRPr="009E686F" w:rsidRDefault="002B4E1D" w:rsidP="00AB6122">
            <w:pPr>
              <w:jc w:val="both"/>
              <w:rPr>
                <w:rFonts w:ascii="Times New Roman" w:hAnsi="Times New Roman" w:cs="Times New Roman"/>
              </w:rPr>
            </w:pPr>
          </w:p>
        </w:tc>
        <w:tc>
          <w:tcPr>
            <w:tcW w:w="806" w:type="pct"/>
            <w:tcBorders>
              <w:top w:val="single" w:sz="4" w:space="0" w:color="auto"/>
              <w:left w:val="single" w:sz="4" w:space="0" w:color="auto"/>
              <w:bottom w:val="single" w:sz="4" w:space="0" w:color="auto"/>
              <w:right w:val="single" w:sz="4" w:space="0" w:color="auto"/>
            </w:tcBorders>
          </w:tcPr>
          <w:p w14:paraId="4CC19854" w14:textId="56AC184C" w:rsidR="002B4E1D" w:rsidRPr="009E686F" w:rsidRDefault="002B4E1D" w:rsidP="00515783">
            <w:pPr>
              <w:spacing w:after="0"/>
              <w:jc w:val="both"/>
              <w:rPr>
                <w:rFonts w:ascii="Times New Roman" w:hAnsi="Times New Roman" w:cs="Times New Roman"/>
              </w:rPr>
            </w:pPr>
          </w:p>
        </w:tc>
      </w:tr>
      <w:tr w:rsidR="00B91014" w:rsidRPr="009E686F" w14:paraId="64191131" w14:textId="49525DC6" w:rsidTr="00816325">
        <w:tc>
          <w:tcPr>
            <w:tcW w:w="1890" w:type="pct"/>
            <w:vMerge w:val="restart"/>
            <w:tcBorders>
              <w:top w:val="single" w:sz="4" w:space="0" w:color="auto"/>
              <w:left w:val="single" w:sz="4" w:space="0" w:color="auto"/>
              <w:right w:val="single" w:sz="4" w:space="0" w:color="auto"/>
            </w:tcBorders>
          </w:tcPr>
          <w:p w14:paraId="390338B9" w14:textId="426B7146" w:rsidR="00B91014" w:rsidRPr="009E686F" w:rsidRDefault="00B91014" w:rsidP="00ED2C1C">
            <w:pPr>
              <w:spacing w:after="0"/>
              <w:jc w:val="both"/>
              <w:rPr>
                <w:rFonts w:ascii="Times New Roman" w:hAnsi="Times New Roman" w:cs="Times New Roman"/>
                <w:lang w:val="pt-BR"/>
              </w:rPr>
            </w:pPr>
            <w:r w:rsidRPr="009E686F">
              <w:rPr>
                <w:rFonts w:ascii="Times New Roman" w:hAnsi="Times New Roman" w:cs="Times New Roman"/>
                <w:i/>
                <w:lang w:val="pt-BR"/>
              </w:rPr>
              <w:t>Articolul</w:t>
            </w:r>
            <w:r w:rsidRPr="009E686F">
              <w:rPr>
                <w:rFonts w:ascii="Times New Roman" w:hAnsi="Times New Roman" w:cs="Times New Roman"/>
                <w:lang w:val="pt-BR"/>
              </w:rPr>
              <w:t xml:space="preserve"> </w:t>
            </w:r>
            <w:r w:rsidRPr="009E686F">
              <w:rPr>
                <w:rFonts w:ascii="Times New Roman" w:hAnsi="Times New Roman" w:cs="Times New Roman"/>
                <w:i/>
                <w:lang w:val="pt-BR"/>
              </w:rPr>
              <w:t>8</w:t>
            </w:r>
          </w:p>
          <w:p w14:paraId="381AEFB6" w14:textId="77777777" w:rsidR="00B91014" w:rsidRPr="009E686F" w:rsidRDefault="00B91014" w:rsidP="00ED2C1C">
            <w:pPr>
              <w:spacing w:after="0"/>
              <w:jc w:val="both"/>
              <w:rPr>
                <w:rFonts w:ascii="Times New Roman" w:hAnsi="Times New Roman" w:cs="Times New Roman"/>
                <w:lang w:val="pt-BR"/>
              </w:rPr>
            </w:pPr>
            <w:r w:rsidRPr="009E686F">
              <w:rPr>
                <w:rFonts w:ascii="Times New Roman" w:hAnsi="Times New Roman" w:cs="Times New Roman"/>
                <w:lang w:val="pt-BR"/>
              </w:rPr>
              <w:t>Autorizarea</w:t>
            </w:r>
          </w:p>
          <w:p w14:paraId="7C6AE83D" w14:textId="77777777" w:rsidR="00B91014" w:rsidRPr="009E686F" w:rsidRDefault="00B91014" w:rsidP="00ED2C1C">
            <w:pPr>
              <w:spacing w:after="0"/>
              <w:jc w:val="both"/>
              <w:rPr>
                <w:rFonts w:ascii="Times New Roman" w:hAnsi="Times New Roman" w:cs="Times New Roman"/>
                <w:lang w:val="pt-BR"/>
              </w:rPr>
            </w:pPr>
            <w:r w:rsidRPr="009E686F">
              <w:rPr>
                <w:rFonts w:ascii="Times New Roman" w:hAnsi="Times New Roman" w:cs="Times New Roman"/>
                <w:lang w:val="pt-BR"/>
              </w:rPr>
              <w:t xml:space="preserve">(1) Statele membre cer instituțiilor de credit să obțină o autorizație înainte de începerea propriu-zisă a activităților lor. </w:t>
            </w:r>
          </w:p>
          <w:p w14:paraId="2C5C652C" w14:textId="77777777" w:rsidR="00B91014" w:rsidRPr="009E686F" w:rsidRDefault="00B91014" w:rsidP="00ED2C1C">
            <w:pPr>
              <w:spacing w:after="0"/>
              <w:jc w:val="both"/>
              <w:rPr>
                <w:rFonts w:ascii="Times New Roman" w:hAnsi="Times New Roman" w:cs="Times New Roman"/>
                <w:lang w:val="pt-BR"/>
              </w:rPr>
            </w:pPr>
          </w:p>
          <w:p w14:paraId="6FA209F2" w14:textId="77777777" w:rsidR="00B91014" w:rsidRPr="009E686F" w:rsidRDefault="00B91014" w:rsidP="00ED2C1C">
            <w:pPr>
              <w:spacing w:after="0"/>
              <w:jc w:val="both"/>
              <w:rPr>
                <w:rFonts w:ascii="Times New Roman" w:hAnsi="Times New Roman" w:cs="Times New Roman"/>
                <w:lang w:val="pt-BR"/>
              </w:rPr>
            </w:pPr>
          </w:p>
          <w:p w14:paraId="36647543" w14:textId="77777777" w:rsidR="00B91014" w:rsidRPr="009E686F" w:rsidRDefault="00B91014" w:rsidP="00ED2C1C">
            <w:pPr>
              <w:spacing w:after="0"/>
              <w:jc w:val="both"/>
              <w:rPr>
                <w:rFonts w:ascii="Times New Roman" w:hAnsi="Times New Roman" w:cs="Times New Roman"/>
                <w:lang w:val="pt-BR"/>
              </w:rPr>
            </w:pPr>
          </w:p>
          <w:p w14:paraId="46F357FE" w14:textId="77777777" w:rsidR="00B91014" w:rsidRPr="009E686F" w:rsidRDefault="00B91014" w:rsidP="00ED2C1C">
            <w:pPr>
              <w:spacing w:after="0"/>
              <w:jc w:val="both"/>
              <w:rPr>
                <w:rFonts w:ascii="Times New Roman" w:hAnsi="Times New Roman" w:cs="Times New Roman"/>
                <w:lang w:val="pt-BR"/>
              </w:rPr>
            </w:pPr>
          </w:p>
          <w:p w14:paraId="00837E26" w14:textId="77777777" w:rsidR="00B91014" w:rsidRPr="009E686F" w:rsidRDefault="00B91014" w:rsidP="00ED2C1C">
            <w:pPr>
              <w:spacing w:after="0"/>
              <w:jc w:val="both"/>
              <w:rPr>
                <w:rFonts w:ascii="Times New Roman" w:hAnsi="Times New Roman" w:cs="Times New Roman"/>
                <w:lang w:val="pt-BR"/>
              </w:rPr>
            </w:pPr>
          </w:p>
          <w:p w14:paraId="4F8B273C" w14:textId="77777777" w:rsidR="00B91014" w:rsidRPr="009E686F" w:rsidRDefault="00B91014" w:rsidP="00ED2C1C">
            <w:pPr>
              <w:spacing w:after="0"/>
              <w:jc w:val="both"/>
              <w:rPr>
                <w:rFonts w:ascii="Times New Roman" w:hAnsi="Times New Roman" w:cs="Times New Roman"/>
                <w:lang w:val="pt-BR"/>
              </w:rPr>
            </w:pPr>
          </w:p>
          <w:p w14:paraId="418BCE45" w14:textId="286D01D1" w:rsidR="00B91014" w:rsidRPr="009E686F" w:rsidRDefault="00B91014" w:rsidP="00ED2C1C">
            <w:pPr>
              <w:spacing w:after="0"/>
              <w:jc w:val="both"/>
              <w:rPr>
                <w:rFonts w:ascii="Times New Roman" w:hAnsi="Times New Roman" w:cs="Times New Roman"/>
                <w:lang w:val="it-CH"/>
              </w:rPr>
            </w:pPr>
            <w:r w:rsidRPr="009E686F">
              <w:rPr>
                <w:rFonts w:ascii="Times New Roman" w:hAnsi="Times New Roman" w:cs="Times New Roman"/>
                <w:lang w:val="it-CH"/>
              </w:rPr>
              <w:t>Fără a aduce atingere articolelor 10-14, statele membre stabilesc condițiile pentru eliberarea acestei autorizații și le notifică ABE.</w:t>
            </w:r>
          </w:p>
        </w:tc>
        <w:tc>
          <w:tcPr>
            <w:tcW w:w="1834" w:type="pct"/>
            <w:tcBorders>
              <w:top w:val="single" w:sz="4" w:space="0" w:color="auto"/>
              <w:left w:val="single" w:sz="4" w:space="0" w:color="auto"/>
              <w:bottom w:val="single" w:sz="4" w:space="0" w:color="auto"/>
              <w:right w:val="single" w:sz="4" w:space="0" w:color="auto"/>
            </w:tcBorders>
          </w:tcPr>
          <w:p w14:paraId="44A4F7CC" w14:textId="5E66CDBE" w:rsidR="00B91014" w:rsidRPr="009E686F" w:rsidRDefault="00B91014" w:rsidP="00ED2C1C">
            <w:pPr>
              <w:spacing w:after="0"/>
              <w:jc w:val="both"/>
              <w:rPr>
                <w:rFonts w:ascii="Times New Roman" w:hAnsi="Times New Roman" w:cs="Times New Roman"/>
                <w:lang w:val="pt-BR"/>
              </w:rPr>
            </w:pPr>
            <w:r w:rsidRPr="009E686F">
              <w:rPr>
                <w:rFonts w:ascii="Times New Roman" w:hAnsi="Times New Roman" w:cs="Times New Roman"/>
                <w:b/>
                <w:lang w:val="pt-BR"/>
              </w:rPr>
              <w:t xml:space="preserve">Articolul 8. </w:t>
            </w:r>
            <w:r w:rsidRPr="009E686F">
              <w:rPr>
                <w:rFonts w:ascii="Times New Roman" w:hAnsi="Times New Roman" w:cs="Times New Roman"/>
                <w:i/>
                <w:iCs/>
                <w:lang w:val="pt-BR"/>
              </w:rPr>
              <w:t>Autorizația</w:t>
            </w:r>
            <w:r w:rsidRPr="009E686F">
              <w:rPr>
                <w:rFonts w:ascii="Times New Roman" w:hAnsi="Times New Roman" w:cs="Times New Roman"/>
                <w:lang w:val="pt-BR"/>
              </w:rPr>
              <w:t xml:space="preserve"> şi competenţa de acordare a autorizației</w:t>
            </w:r>
          </w:p>
        </w:tc>
        <w:tc>
          <w:tcPr>
            <w:tcW w:w="470" w:type="pct"/>
            <w:tcBorders>
              <w:top w:val="single" w:sz="4" w:space="0" w:color="auto"/>
              <w:left w:val="single" w:sz="4" w:space="0" w:color="auto"/>
              <w:bottom w:val="single" w:sz="4" w:space="0" w:color="auto"/>
              <w:right w:val="single" w:sz="4" w:space="0" w:color="auto"/>
            </w:tcBorders>
          </w:tcPr>
          <w:p w14:paraId="3C37D18F" w14:textId="7DC2B5F7" w:rsidR="00B91014" w:rsidRPr="009E686F" w:rsidRDefault="00B91014" w:rsidP="00AB6122">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07C322C2" w14:textId="0F2FEA2F" w:rsidR="00B91014" w:rsidRPr="009E686F" w:rsidRDefault="00B91014" w:rsidP="00515783">
            <w:pPr>
              <w:spacing w:after="0"/>
              <w:jc w:val="both"/>
              <w:rPr>
                <w:rFonts w:ascii="Times New Roman" w:hAnsi="Times New Roman" w:cs="Times New Roman"/>
              </w:rPr>
            </w:pPr>
          </w:p>
        </w:tc>
      </w:tr>
      <w:tr w:rsidR="00B91014" w:rsidRPr="009E686F" w14:paraId="2F02EB91" w14:textId="0F4C6F1C" w:rsidTr="00816325">
        <w:trPr>
          <w:trHeight w:val="7038"/>
        </w:trPr>
        <w:tc>
          <w:tcPr>
            <w:tcW w:w="1890" w:type="pct"/>
            <w:vMerge/>
            <w:tcBorders>
              <w:left w:val="single" w:sz="4" w:space="0" w:color="auto"/>
              <w:right w:val="single" w:sz="4" w:space="0" w:color="auto"/>
            </w:tcBorders>
          </w:tcPr>
          <w:p w14:paraId="1BCC0693" w14:textId="57367238" w:rsidR="00B91014" w:rsidRPr="009E686F" w:rsidRDefault="00B91014" w:rsidP="00ED2C1C">
            <w:pPr>
              <w:spacing w:after="0"/>
              <w:jc w:val="both"/>
              <w:rPr>
                <w:rFonts w:ascii="Times New Roman" w:hAnsi="Times New Roman" w:cs="Times New Roman"/>
                <w:lang w:val="it-CH"/>
              </w:rPr>
            </w:pPr>
          </w:p>
        </w:tc>
        <w:tc>
          <w:tcPr>
            <w:tcW w:w="1834" w:type="pct"/>
            <w:tcBorders>
              <w:top w:val="single" w:sz="4" w:space="0" w:color="auto"/>
              <w:left w:val="single" w:sz="4" w:space="0" w:color="auto"/>
              <w:bottom w:val="single" w:sz="4" w:space="0" w:color="auto"/>
              <w:right w:val="single" w:sz="4" w:space="0" w:color="auto"/>
            </w:tcBorders>
          </w:tcPr>
          <w:p w14:paraId="57A8EC82" w14:textId="19428780" w:rsidR="00B91014" w:rsidRPr="009E686F" w:rsidRDefault="00B91014" w:rsidP="00ED2C1C">
            <w:pPr>
              <w:spacing w:after="0"/>
              <w:jc w:val="both"/>
              <w:rPr>
                <w:rFonts w:ascii="Times New Roman" w:hAnsi="Times New Roman" w:cs="Times New Roman"/>
                <w:lang w:val="it-CH"/>
              </w:rPr>
            </w:pPr>
            <w:r w:rsidRPr="009E686F">
              <w:rPr>
                <w:rFonts w:ascii="Times New Roman" w:hAnsi="Times New Roman" w:cs="Times New Roman"/>
                <w:lang w:val="it-CH"/>
              </w:rPr>
              <w:t xml:space="preserve">(1) În vederea desfăşurării activității în Republica Moldova, fiecare </w:t>
            </w:r>
            <w:r w:rsidRPr="009E686F">
              <w:rPr>
                <w:rFonts w:ascii="Times New Roman" w:hAnsi="Times New Roman" w:cs="Times New Roman"/>
                <w:i/>
                <w:iCs/>
                <w:lang w:val="it-CH"/>
              </w:rPr>
              <w:t>instituție de credit</w:t>
            </w:r>
            <w:r w:rsidRPr="009E686F">
              <w:rPr>
                <w:rFonts w:ascii="Times New Roman" w:hAnsi="Times New Roman" w:cs="Times New Roman"/>
                <w:lang w:val="it-CH"/>
              </w:rPr>
              <w:t xml:space="preserve"> trebuie să dispună de o </w:t>
            </w:r>
            <w:r w:rsidRPr="009E686F">
              <w:rPr>
                <w:rFonts w:ascii="Times New Roman" w:hAnsi="Times New Roman" w:cs="Times New Roman"/>
                <w:i/>
                <w:iCs/>
                <w:lang w:val="it-CH"/>
              </w:rPr>
              <w:t>autorizație</w:t>
            </w:r>
            <w:r w:rsidRPr="009E686F">
              <w:rPr>
                <w:rFonts w:ascii="Times New Roman" w:hAnsi="Times New Roman" w:cs="Times New Roman"/>
                <w:lang w:val="it-CH"/>
              </w:rPr>
              <w:t xml:space="preserve"> eliberată de Banca Națională a Moldovei, în condițiile prezentei legi.</w:t>
            </w:r>
          </w:p>
          <w:p w14:paraId="4DCEDCE6" w14:textId="303AA7BC" w:rsidR="00B91014" w:rsidRPr="009E686F" w:rsidRDefault="00B91014" w:rsidP="00ED2C1C">
            <w:pPr>
              <w:spacing w:after="0"/>
              <w:jc w:val="both"/>
              <w:rPr>
                <w:rFonts w:ascii="Times New Roman" w:hAnsi="Times New Roman" w:cs="Times New Roman"/>
                <w:lang w:val="pt-BR"/>
              </w:rPr>
            </w:pPr>
            <w:r w:rsidRPr="009E686F">
              <w:rPr>
                <w:rFonts w:ascii="Times New Roman" w:hAnsi="Times New Roman" w:cs="Times New Roman"/>
                <w:lang w:val="pt-BR"/>
              </w:rPr>
              <w:t xml:space="preserve">(2) Banca Naţională a Moldovei este învestită cu dreptul exclusiv de a elibera autorizații </w:t>
            </w:r>
            <w:r w:rsidRPr="009E686F">
              <w:rPr>
                <w:rFonts w:ascii="Times New Roman" w:hAnsi="Times New Roman" w:cs="Times New Roman"/>
                <w:i/>
                <w:lang w:val="pt-BR"/>
              </w:rPr>
              <w:t>instituțiilor de credit pentru desfășurarea activităților prevăzute la art. 14 alin.(1)</w:t>
            </w:r>
            <w:r w:rsidRPr="009E686F">
              <w:rPr>
                <w:rFonts w:ascii="Times New Roman" w:hAnsi="Times New Roman" w:cs="Times New Roman"/>
                <w:lang w:val="pt-BR"/>
              </w:rPr>
              <w:t>.</w:t>
            </w:r>
          </w:p>
          <w:p w14:paraId="684E39AB" w14:textId="4D4D7807" w:rsidR="00B91014" w:rsidRPr="009E686F" w:rsidRDefault="00B91014" w:rsidP="00ED2C1C">
            <w:pPr>
              <w:spacing w:after="0"/>
              <w:jc w:val="both"/>
              <w:rPr>
                <w:rFonts w:ascii="Times New Roman" w:hAnsi="Times New Roman" w:cs="Times New Roman"/>
                <w:lang w:val="pt-BR"/>
              </w:rPr>
            </w:pPr>
            <w:r w:rsidRPr="009E686F">
              <w:rPr>
                <w:rFonts w:ascii="Times New Roman" w:hAnsi="Times New Roman" w:cs="Times New Roman"/>
                <w:lang w:val="pt-BR"/>
              </w:rPr>
              <w:t xml:space="preserve">(3) Cerinţele minime de acces la activitatea </w:t>
            </w:r>
            <w:r w:rsidRPr="009E686F">
              <w:rPr>
                <w:rFonts w:ascii="Times New Roman" w:hAnsi="Times New Roman" w:cs="Times New Roman"/>
                <w:i/>
                <w:iCs/>
                <w:lang w:val="pt-BR"/>
              </w:rPr>
              <w:t>instituțiilor de credit</w:t>
            </w:r>
            <w:r w:rsidRPr="009E686F">
              <w:rPr>
                <w:rFonts w:ascii="Times New Roman" w:hAnsi="Times New Roman" w:cs="Times New Roman"/>
                <w:lang w:val="pt-BR"/>
              </w:rPr>
              <w:t xml:space="preserve">  şi condiţiile în care Banca Naţională a Moldovei poate acorda </w:t>
            </w:r>
            <w:r w:rsidRPr="009E686F">
              <w:rPr>
                <w:rFonts w:ascii="Times New Roman" w:hAnsi="Times New Roman" w:cs="Times New Roman"/>
                <w:i/>
                <w:iCs/>
                <w:lang w:val="pt-BR"/>
              </w:rPr>
              <w:t xml:space="preserve">autorizație </w:t>
            </w:r>
            <w:r w:rsidRPr="009E686F">
              <w:rPr>
                <w:rFonts w:ascii="Times New Roman" w:hAnsi="Times New Roman" w:cs="Times New Roman"/>
                <w:lang w:val="pt-BR"/>
              </w:rPr>
              <w:t>sunt prevăzute în dispoziţiile prezentului capitol.</w:t>
            </w:r>
          </w:p>
          <w:p w14:paraId="1324C66F" w14:textId="77777777" w:rsidR="00B91014" w:rsidRPr="009E686F" w:rsidRDefault="00B91014" w:rsidP="00B91014">
            <w:pPr>
              <w:spacing w:after="0"/>
              <w:jc w:val="both"/>
              <w:rPr>
                <w:rFonts w:ascii="Times New Roman" w:hAnsi="Times New Roman" w:cs="Times New Roman"/>
                <w:lang w:val="pt-BR"/>
              </w:rPr>
            </w:pPr>
            <w:r w:rsidRPr="009E686F">
              <w:rPr>
                <w:rFonts w:ascii="Times New Roman" w:hAnsi="Times New Roman" w:cs="Times New Roman"/>
                <w:lang w:val="pt-BR"/>
              </w:rPr>
              <w:t xml:space="preserve">(4) Banca Naţională a Moldovei acordă autorizație unei </w:t>
            </w:r>
            <w:r w:rsidRPr="009E686F">
              <w:rPr>
                <w:rFonts w:ascii="Times New Roman" w:hAnsi="Times New Roman" w:cs="Times New Roman"/>
                <w:i/>
                <w:iCs/>
                <w:lang w:val="pt-BR"/>
              </w:rPr>
              <w:t>instituții de credit</w:t>
            </w:r>
            <w:r w:rsidRPr="009E686F">
              <w:rPr>
                <w:rFonts w:ascii="Times New Roman" w:hAnsi="Times New Roman" w:cs="Times New Roman"/>
                <w:lang w:val="pt-BR"/>
              </w:rPr>
              <w:t xml:space="preserve"> numai dacă este pe deplin convinsă că </w:t>
            </w:r>
            <w:r w:rsidRPr="009E686F">
              <w:rPr>
                <w:rFonts w:ascii="Times New Roman" w:hAnsi="Times New Roman" w:cs="Times New Roman"/>
                <w:i/>
                <w:iCs/>
                <w:lang w:val="pt-BR"/>
              </w:rPr>
              <w:t>instituția de credit</w:t>
            </w:r>
            <w:r w:rsidRPr="009E686F">
              <w:rPr>
                <w:rFonts w:ascii="Times New Roman" w:hAnsi="Times New Roman" w:cs="Times New Roman"/>
                <w:lang w:val="pt-BR"/>
              </w:rPr>
              <w:t xml:space="preserve"> respectivă poate asigura desfăşurarea unei activităţi în condiţii de siguranţă şi de respectare a cerinţelor unei administrări prudente şi sănătoase, care să asigure protejarea intereselor deponenţilor şi ale altor creditori şi buna funcţionare a sistemului bancar, sens în care trebuie să fie respectate dispoziţiile prezentei legi şi ale actelor normative emise în aplicarea acesteia.</w:t>
            </w:r>
          </w:p>
          <w:p w14:paraId="10EE10C3" w14:textId="77777777" w:rsidR="00B91014" w:rsidRPr="009E686F" w:rsidRDefault="00B91014" w:rsidP="00ED2C1C">
            <w:pPr>
              <w:spacing w:after="0"/>
              <w:jc w:val="both"/>
              <w:rPr>
                <w:rFonts w:ascii="Times New Roman" w:hAnsi="Times New Roman" w:cs="Times New Roman"/>
                <w:lang w:val="pt-BR"/>
              </w:rPr>
            </w:pPr>
          </w:p>
          <w:p w14:paraId="4B91B3EF" w14:textId="77777777" w:rsidR="00B91014" w:rsidRPr="009E686F" w:rsidRDefault="00B91014" w:rsidP="00ED2C1C">
            <w:pPr>
              <w:spacing w:after="0"/>
              <w:jc w:val="both"/>
              <w:rPr>
                <w:rFonts w:ascii="Times New Roman" w:hAnsi="Times New Roman" w:cs="Times New Roman"/>
                <w:lang w:val="pt-BR"/>
              </w:rPr>
            </w:pPr>
          </w:p>
          <w:p w14:paraId="23DBF0A8" w14:textId="6DEE9B4E" w:rsidR="00B91014" w:rsidRPr="009E686F" w:rsidRDefault="00B91014" w:rsidP="00ED2C1C">
            <w:pPr>
              <w:spacing w:after="0"/>
              <w:jc w:val="both"/>
              <w:rPr>
                <w:rFonts w:ascii="Times New Roman" w:hAnsi="Times New Roman" w:cs="Times New Roman"/>
                <w:b/>
                <w:bCs/>
                <w:lang w:val="pt-BR"/>
              </w:rPr>
            </w:pPr>
            <w:r w:rsidRPr="009E686F">
              <w:rPr>
                <w:rFonts w:ascii="Times New Roman" w:hAnsi="Times New Roman" w:cs="Times New Roman"/>
                <w:b/>
                <w:bCs/>
                <w:lang w:val="pt-BR"/>
              </w:rPr>
              <w:t>Articolul 16 alin. (1)</w:t>
            </w:r>
          </w:p>
          <w:p w14:paraId="4048046D" w14:textId="77777777" w:rsidR="00B91014" w:rsidRPr="009E686F" w:rsidRDefault="00B91014" w:rsidP="00ED2C1C">
            <w:pPr>
              <w:spacing w:after="0"/>
              <w:jc w:val="both"/>
              <w:rPr>
                <w:rFonts w:ascii="Times New Roman" w:hAnsi="Times New Roman" w:cs="Times New Roman"/>
                <w:lang w:val="pt-BR"/>
              </w:rPr>
            </w:pPr>
            <w:r w:rsidRPr="009E686F">
              <w:rPr>
                <w:rFonts w:ascii="Times New Roman" w:hAnsi="Times New Roman" w:cs="Times New Roman"/>
                <w:lang w:val="pt-BR"/>
              </w:rPr>
              <w:t xml:space="preserve">(1) </w:t>
            </w:r>
            <w:r w:rsidRPr="009E686F">
              <w:rPr>
                <w:rFonts w:ascii="Times New Roman" w:hAnsi="Times New Roman" w:cs="Times New Roman"/>
                <w:i/>
                <w:iCs/>
                <w:lang w:val="pt-BR"/>
              </w:rPr>
              <w:t>Instituțiile de credit</w:t>
            </w:r>
            <w:r w:rsidRPr="009E686F">
              <w:rPr>
                <w:rFonts w:ascii="Times New Roman" w:hAnsi="Times New Roman" w:cs="Times New Roman"/>
                <w:lang w:val="pt-BR"/>
              </w:rPr>
              <w:t xml:space="preserve">, persoane juridice din Republica Moldova, înainte de începerea propriu-zisă a activității trebuie să obțină de la Banca Naţională a Moldovei </w:t>
            </w:r>
            <w:r w:rsidRPr="009E686F">
              <w:rPr>
                <w:rFonts w:ascii="Times New Roman" w:hAnsi="Times New Roman" w:cs="Times New Roman"/>
                <w:i/>
                <w:iCs/>
                <w:lang w:val="pt-BR"/>
              </w:rPr>
              <w:t>autorizația</w:t>
            </w:r>
            <w:r w:rsidRPr="009E686F">
              <w:rPr>
                <w:rFonts w:ascii="Times New Roman" w:hAnsi="Times New Roman" w:cs="Times New Roman"/>
                <w:lang w:val="pt-BR"/>
              </w:rPr>
              <w:t xml:space="preserve"> pentru desfășurarea activităților nominalizate la art. 14 alin. (1).</w:t>
            </w:r>
          </w:p>
          <w:p w14:paraId="7D3D987B" w14:textId="77777777" w:rsidR="00A85D06" w:rsidRPr="009E686F" w:rsidRDefault="00A85D06" w:rsidP="00A85D06">
            <w:pPr>
              <w:spacing w:after="0"/>
              <w:jc w:val="both"/>
              <w:rPr>
                <w:rFonts w:ascii="Times New Roman" w:hAnsi="Times New Roman" w:cs="Times New Roman"/>
                <w:lang w:val="pt-BR"/>
              </w:rPr>
            </w:pPr>
            <w:r w:rsidRPr="009E686F">
              <w:rPr>
                <w:rFonts w:ascii="Times New Roman" w:hAnsi="Times New Roman" w:cs="Times New Roman"/>
                <w:lang w:val="pt-BR"/>
              </w:rPr>
              <w:lastRenderedPageBreak/>
              <w:t>(2) Instituțiile de credit se constituie sub forma juridică de organizare de societăţi pe acţiuni conform legislaţiei cu privire la societăţile pe acţiuni şi prezentei legi.</w:t>
            </w:r>
          </w:p>
          <w:p w14:paraId="3F0F973A" w14:textId="77777777" w:rsidR="00A85D06" w:rsidRPr="009E686F" w:rsidRDefault="00A85D06" w:rsidP="00A85D06">
            <w:pPr>
              <w:spacing w:after="0"/>
              <w:jc w:val="both"/>
              <w:rPr>
                <w:rFonts w:ascii="Times New Roman" w:hAnsi="Times New Roman" w:cs="Times New Roman"/>
                <w:lang w:val="pt-BR"/>
              </w:rPr>
            </w:pPr>
            <w:r w:rsidRPr="009E686F">
              <w:rPr>
                <w:rFonts w:ascii="Times New Roman" w:hAnsi="Times New Roman" w:cs="Times New Roman"/>
                <w:lang w:val="pt-BR"/>
              </w:rPr>
              <w:t>(3) Pentru eliberarea autorizației de a desfăşura activităţile permise instituțiilor de credit  în conformitate cu art.14 se depune la Banca Naţională a Moldovei, în modul stabilit prin actele normative ale acesteia, o cerere scrisă, la care se anexează documentele şi informaţiile aferente instituției de credit solicitante, cu privire la:</w:t>
            </w:r>
          </w:p>
          <w:p w14:paraId="54295F51" w14:textId="77777777" w:rsidR="00A85D06" w:rsidRPr="009E686F" w:rsidRDefault="00A85D06" w:rsidP="00A85D06">
            <w:pPr>
              <w:spacing w:after="0"/>
              <w:jc w:val="both"/>
              <w:rPr>
                <w:rFonts w:ascii="Times New Roman" w:hAnsi="Times New Roman" w:cs="Times New Roman"/>
                <w:lang w:val="pt-BR"/>
              </w:rPr>
            </w:pPr>
            <w:r w:rsidRPr="009E686F">
              <w:rPr>
                <w:rFonts w:ascii="Times New Roman" w:hAnsi="Times New Roman" w:cs="Times New Roman"/>
                <w:lang w:val="pt-BR"/>
              </w:rPr>
              <w:t>a) documentele de constituire ale instituției de credit;</w:t>
            </w:r>
          </w:p>
          <w:p w14:paraId="523A78B2" w14:textId="77777777" w:rsidR="00A85D06" w:rsidRPr="009E686F" w:rsidRDefault="00A85D06" w:rsidP="00A85D06">
            <w:pPr>
              <w:spacing w:after="0"/>
              <w:jc w:val="both"/>
              <w:rPr>
                <w:rFonts w:ascii="Times New Roman" w:hAnsi="Times New Roman" w:cs="Times New Roman"/>
                <w:lang w:val="pt-BR"/>
              </w:rPr>
            </w:pPr>
            <w:r w:rsidRPr="009E686F">
              <w:rPr>
                <w:rFonts w:ascii="Times New Roman" w:hAnsi="Times New Roman" w:cs="Times New Roman"/>
                <w:lang w:val="pt-BR"/>
              </w:rPr>
              <w:t>b) capitalul iniţial al viitoarei instituții de credit, în conformitate cu prevederile art.9;</w:t>
            </w:r>
          </w:p>
          <w:p w14:paraId="28352F70" w14:textId="77777777" w:rsidR="00A85D06" w:rsidRPr="009E686F" w:rsidRDefault="00A85D06" w:rsidP="00A85D06">
            <w:pPr>
              <w:spacing w:after="0"/>
              <w:jc w:val="both"/>
              <w:rPr>
                <w:rFonts w:ascii="Times New Roman" w:hAnsi="Times New Roman" w:cs="Times New Roman"/>
                <w:lang w:val="pt-BR"/>
              </w:rPr>
            </w:pPr>
            <w:r w:rsidRPr="009E686F">
              <w:rPr>
                <w:rFonts w:ascii="Times New Roman" w:hAnsi="Times New Roman" w:cs="Times New Roman"/>
                <w:lang w:val="pt-BR"/>
              </w:rPr>
              <w:t>c) conducerea instituției de credit, în conformitate cu prevederile art.11;</w:t>
            </w:r>
          </w:p>
          <w:p w14:paraId="1B69AF4F" w14:textId="77777777" w:rsidR="00A85D06" w:rsidRPr="009E686F" w:rsidRDefault="00A85D06" w:rsidP="00A85D06">
            <w:pPr>
              <w:spacing w:after="0"/>
              <w:jc w:val="both"/>
              <w:rPr>
                <w:rFonts w:ascii="Times New Roman" w:hAnsi="Times New Roman" w:cs="Times New Roman"/>
                <w:lang w:val="it-CH"/>
              </w:rPr>
            </w:pPr>
            <w:r w:rsidRPr="009E686F">
              <w:rPr>
                <w:rFonts w:ascii="Times New Roman" w:hAnsi="Times New Roman" w:cs="Times New Roman"/>
                <w:lang w:val="it-CH"/>
              </w:rPr>
              <w:t>d) identitatea acţionarilor, în conformitate cu prevederile art.12;</w:t>
            </w:r>
          </w:p>
          <w:p w14:paraId="40773873" w14:textId="77777777" w:rsidR="00A85D06" w:rsidRPr="009E686F" w:rsidRDefault="00A85D06" w:rsidP="00A85D06">
            <w:pPr>
              <w:spacing w:after="0"/>
              <w:jc w:val="both"/>
              <w:rPr>
                <w:rFonts w:ascii="Times New Roman" w:hAnsi="Times New Roman" w:cs="Times New Roman"/>
                <w:lang w:val="it-CH"/>
              </w:rPr>
            </w:pPr>
            <w:r w:rsidRPr="009E686F">
              <w:rPr>
                <w:rFonts w:ascii="Times New Roman" w:hAnsi="Times New Roman" w:cs="Times New Roman"/>
                <w:lang w:val="it-CH"/>
              </w:rPr>
              <w:t>e) programul de activitate pentru următorii 3 ani, în conformitate cu prevederile art.13;</w:t>
            </w:r>
          </w:p>
          <w:p w14:paraId="38BD69F2" w14:textId="77777777" w:rsidR="00A85D06" w:rsidRPr="009E686F" w:rsidRDefault="00A85D06" w:rsidP="00A85D06">
            <w:pPr>
              <w:spacing w:after="0"/>
              <w:jc w:val="both"/>
              <w:rPr>
                <w:rFonts w:ascii="Times New Roman" w:hAnsi="Times New Roman" w:cs="Times New Roman"/>
                <w:lang w:val="it-CH"/>
              </w:rPr>
            </w:pPr>
            <w:r w:rsidRPr="009E686F">
              <w:rPr>
                <w:rFonts w:ascii="Times New Roman" w:hAnsi="Times New Roman" w:cs="Times New Roman"/>
                <w:lang w:val="it-CH"/>
              </w:rPr>
              <w:t>f) orice alte informaţii şi documente prevăzute în actele normative ale Băncii Naţionale a Moldovei.</w:t>
            </w:r>
          </w:p>
          <w:p w14:paraId="55963E68" w14:textId="77777777" w:rsidR="00A85D06" w:rsidRPr="009E686F" w:rsidRDefault="00A85D06" w:rsidP="00A85D06">
            <w:pPr>
              <w:spacing w:after="0"/>
              <w:jc w:val="both"/>
              <w:rPr>
                <w:rFonts w:ascii="Times New Roman" w:hAnsi="Times New Roman" w:cs="Times New Roman"/>
                <w:lang w:val="it-CH"/>
              </w:rPr>
            </w:pPr>
            <w:r w:rsidRPr="009E686F">
              <w:rPr>
                <w:rFonts w:ascii="Times New Roman" w:hAnsi="Times New Roman" w:cs="Times New Roman"/>
                <w:lang w:val="it-CH"/>
              </w:rPr>
              <w:t>(4) În procesul de analiză a unei cereri de autorizare, Banca Naţională a Moldovei poate solicita orice documente şi informaţii suplimentare aferente procesului de autorizare dacă cele prezentate sînt insuficiente pentru evaluarea respectării condiţiilor prevăzute pentru acordarea autorizației.</w:t>
            </w:r>
          </w:p>
          <w:p w14:paraId="5584E969" w14:textId="77777777" w:rsidR="00A85D06" w:rsidRPr="009E686F" w:rsidRDefault="00A85D06" w:rsidP="00ED2C1C">
            <w:pPr>
              <w:spacing w:after="0"/>
              <w:jc w:val="both"/>
              <w:rPr>
                <w:rFonts w:ascii="Times New Roman" w:hAnsi="Times New Roman" w:cs="Times New Roman"/>
                <w:lang w:val="it-CH"/>
              </w:rPr>
            </w:pPr>
          </w:p>
          <w:p w14:paraId="52A8A821" w14:textId="77777777" w:rsidR="00B91014" w:rsidRPr="009E686F" w:rsidRDefault="00B91014" w:rsidP="00ED2C1C">
            <w:pPr>
              <w:spacing w:after="0"/>
              <w:jc w:val="both"/>
              <w:rPr>
                <w:rFonts w:ascii="Times New Roman" w:hAnsi="Times New Roman" w:cs="Times New Roman"/>
                <w:lang w:val="it-CH"/>
              </w:rPr>
            </w:pPr>
          </w:p>
          <w:p w14:paraId="10605366" w14:textId="29395255" w:rsidR="00B91014" w:rsidRPr="009E686F" w:rsidRDefault="00B91014" w:rsidP="00501E7B">
            <w:pPr>
              <w:spacing w:after="0"/>
              <w:jc w:val="both"/>
              <w:rPr>
                <w:rFonts w:ascii="Times New Roman" w:hAnsi="Times New Roman" w:cs="Times New Roman"/>
                <w:lang w:val="it-CH"/>
              </w:rPr>
            </w:pPr>
            <w:r w:rsidRPr="009E686F">
              <w:rPr>
                <w:rFonts w:ascii="Times New Roman" w:hAnsi="Times New Roman" w:cs="Times New Roman"/>
                <w:b/>
                <w:bCs/>
                <w:lang w:val="it-CH"/>
              </w:rPr>
              <w:t>Articolul 19 alin. (1) lit. a)</w:t>
            </w:r>
          </w:p>
          <w:p w14:paraId="2E4123AF" w14:textId="78D6CC27" w:rsidR="00B91014" w:rsidRPr="009E686F" w:rsidRDefault="00B91014" w:rsidP="00501E7B">
            <w:pPr>
              <w:spacing w:after="0"/>
              <w:jc w:val="both"/>
              <w:rPr>
                <w:rFonts w:ascii="Times New Roman" w:hAnsi="Times New Roman" w:cs="Times New Roman"/>
                <w:lang w:val="it-CH"/>
              </w:rPr>
            </w:pPr>
            <w:r w:rsidRPr="009E686F">
              <w:rPr>
                <w:rFonts w:ascii="Times New Roman" w:hAnsi="Times New Roman" w:cs="Times New Roman"/>
                <w:lang w:val="it-CH"/>
              </w:rPr>
              <w:t xml:space="preserve">(1) Banca Naţională a Moldovei respinge o cerere de </w:t>
            </w:r>
            <w:r w:rsidRPr="009E686F">
              <w:rPr>
                <w:rFonts w:ascii="Times New Roman" w:hAnsi="Times New Roman" w:cs="Times New Roman"/>
                <w:i/>
                <w:iCs/>
                <w:lang w:val="it-CH"/>
              </w:rPr>
              <w:t>autorizare</w:t>
            </w:r>
            <w:r w:rsidRPr="009E686F">
              <w:rPr>
                <w:rFonts w:ascii="Times New Roman" w:hAnsi="Times New Roman" w:cs="Times New Roman"/>
                <w:lang w:val="it-CH"/>
              </w:rPr>
              <w:t xml:space="preserve"> dacă:</w:t>
            </w:r>
          </w:p>
          <w:p w14:paraId="6372321F" w14:textId="462880BB" w:rsidR="00B91014" w:rsidRPr="009E686F" w:rsidRDefault="00B91014" w:rsidP="00501E7B">
            <w:pPr>
              <w:spacing w:after="0"/>
              <w:jc w:val="both"/>
              <w:rPr>
                <w:rFonts w:ascii="Times New Roman" w:hAnsi="Times New Roman" w:cs="Times New Roman"/>
                <w:lang w:val="ro-RO"/>
              </w:rPr>
            </w:pPr>
            <w:r w:rsidRPr="009E686F">
              <w:rPr>
                <w:rFonts w:ascii="Times New Roman" w:hAnsi="Times New Roman" w:cs="Times New Roman"/>
                <w:lang w:val="it-CH"/>
              </w:rPr>
              <w:lastRenderedPageBreak/>
              <w:t xml:space="preserve">a) documentaţia prezentată nu este întocmită în conformitate cu dispoziţiile legale în vigoare ori este incompletă şi/sau informaţiile furnizate sînt insuficiente pentru evaluarea respectării condiţiilor prevăzute pentru acordarea </w:t>
            </w:r>
            <w:r w:rsidRPr="009E686F">
              <w:rPr>
                <w:rFonts w:ascii="Times New Roman" w:hAnsi="Times New Roman" w:cs="Times New Roman"/>
                <w:i/>
                <w:iCs/>
                <w:lang w:val="it-CH"/>
              </w:rPr>
              <w:t>autoriza</w:t>
            </w:r>
            <w:r w:rsidRPr="009E686F">
              <w:rPr>
                <w:rFonts w:ascii="Times New Roman" w:hAnsi="Times New Roman" w:cs="Times New Roman"/>
                <w:i/>
                <w:iCs/>
                <w:lang w:val="ro-RO"/>
              </w:rPr>
              <w:t>ției</w:t>
            </w:r>
            <w:r w:rsidRPr="009E686F">
              <w:rPr>
                <w:rFonts w:ascii="Times New Roman" w:hAnsi="Times New Roman" w:cs="Times New Roman"/>
                <w:lang w:val="ro-RO"/>
              </w:rPr>
              <w:t>;</w:t>
            </w:r>
          </w:p>
          <w:p w14:paraId="38754F57" w14:textId="77777777" w:rsidR="00B91014" w:rsidRPr="009E686F" w:rsidRDefault="00B91014" w:rsidP="00ED2C1C">
            <w:pPr>
              <w:spacing w:after="0"/>
              <w:jc w:val="both"/>
              <w:rPr>
                <w:rFonts w:ascii="Times New Roman" w:hAnsi="Times New Roman" w:cs="Times New Roman"/>
                <w:lang w:val="ro-RO"/>
              </w:rPr>
            </w:pPr>
            <w:r w:rsidRPr="009E686F">
              <w:rPr>
                <w:rFonts w:ascii="Times New Roman" w:hAnsi="Times New Roman" w:cs="Times New Roman"/>
                <w:lang w:val="ro-RO"/>
              </w:rPr>
              <w:t>[…]</w:t>
            </w:r>
          </w:p>
          <w:p w14:paraId="52D1C401" w14:textId="31732FC2" w:rsidR="00B91014" w:rsidRPr="009E686F" w:rsidRDefault="00B91014" w:rsidP="006C1CA6">
            <w:pPr>
              <w:spacing w:after="0"/>
              <w:jc w:val="both"/>
              <w:rPr>
                <w:rFonts w:ascii="Times New Roman" w:hAnsi="Times New Roman" w:cs="Times New Roman"/>
                <w:lang w:val="ro-RO"/>
              </w:rPr>
            </w:pPr>
            <w:r w:rsidRPr="009E686F">
              <w:rPr>
                <w:rFonts w:ascii="Times New Roman" w:hAnsi="Times New Roman" w:cs="Times New Roman"/>
                <w:lang w:val="ro-RO"/>
              </w:rPr>
              <w:t>g) înainte de obţinerea autorizației, fondatorii au făcut comunicări publice cu privire la funcţionarea instituției de credit;</w:t>
            </w:r>
          </w:p>
          <w:p w14:paraId="3A7CAE5E" w14:textId="77777777" w:rsidR="00B91014" w:rsidRPr="009E686F" w:rsidRDefault="00B91014" w:rsidP="006C1CA6">
            <w:pPr>
              <w:spacing w:after="0"/>
              <w:jc w:val="both"/>
              <w:rPr>
                <w:rFonts w:ascii="Times New Roman" w:hAnsi="Times New Roman" w:cs="Times New Roman"/>
                <w:lang w:val="ro-RO"/>
              </w:rPr>
            </w:pPr>
            <w:r w:rsidRPr="009E686F">
              <w:rPr>
                <w:rFonts w:ascii="Times New Roman" w:hAnsi="Times New Roman" w:cs="Times New Roman"/>
                <w:lang w:val="ro-RO"/>
              </w:rPr>
              <w:t>h) nu sînt respectate alte condiţii prevăzute de prezenta lege.</w:t>
            </w:r>
          </w:p>
          <w:p w14:paraId="308EE0B6" w14:textId="77777777" w:rsidR="00B91014" w:rsidRPr="009E686F" w:rsidRDefault="00B91014" w:rsidP="006C1CA6">
            <w:pPr>
              <w:spacing w:after="0"/>
              <w:jc w:val="both"/>
              <w:rPr>
                <w:rFonts w:ascii="Times New Roman" w:hAnsi="Times New Roman" w:cs="Times New Roman"/>
                <w:lang w:val="ro-RO"/>
              </w:rPr>
            </w:pPr>
          </w:p>
          <w:p w14:paraId="425BAD72" w14:textId="77777777" w:rsidR="00B91014" w:rsidRPr="009E686F" w:rsidRDefault="00B91014" w:rsidP="00FF368A">
            <w:pPr>
              <w:spacing w:after="0"/>
              <w:jc w:val="both"/>
              <w:rPr>
                <w:rFonts w:ascii="Times New Roman" w:hAnsi="Times New Roman" w:cs="Times New Roman"/>
                <w:lang w:val="it-CH"/>
              </w:rPr>
            </w:pPr>
            <w:r w:rsidRPr="009E686F">
              <w:rPr>
                <w:rFonts w:ascii="Times New Roman" w:hAnsi="Times New Roman" w:cs="Times New Roman"/>
                <w:b/>
                <w:lang w:val="it-CH"/>
              </w:rPr>
              <w:t>Articolul 20</w:t>
            </w:r>
            <w:r w:rsidRPr="009E686F">
              <w:rPr>
                <w:rFonts w:ascii="Times New Roman" w:hAnsi="Times New Roman" w:cs="Times New Roman"/>
                <w:b/>
                <w:bCs/>
                <w:lang w:val="it-CH"/>
              </w:rPr>
              <w:t>.</w:t>
            </w:r>
            <w:r w:rsidRPr="009E686F">
              <w:rPr>
                <w:rFonts w:ascii="Times New Roman" w:hAnsi="Times New Roman" w:cs="Times New Roman"/>
                <w:lang w:val="it-CH"/>
              </w:rPr>
              <w:t xml:space="preserve"> Termenul autorizației. Copii de pe </w:t>
            </w:r>
            <w:r w:rsidRPr="009E686F">
              <w:rPr>
                <w:rFonts w:ascii="Times New Roman" w:hAnsi="Times New Roman" w:cs="Times New Roman"/>
                <w:i/>
                <w:iCs/>
                <w:lang w:val="it-CH"/>
              </w:rPr>
              <w:t>autorizație</w:t>
            </w:r>
            <w:r w:rsidRPr="009E686F">
              <w:rPr>
                <w:rFonts w:ascii="Times New Roman" w:hAnsi="Times New Roman" w:cs="Times New Roman"/>
                <w:lang w:val="it-CH"/>
              </w:rPr>
              <w:t>. Taxe</w:t>
            </w:r>
          </w:p>
          <w:p w14:paraId="5219D7C3" w14:textId="77777777" w:rsidR="00B91014" w:rsidRPr="009E686F" w:rsidRDefault="00B91014" w:rsidP="00FF368A">
            <w:pPr>
              <w:spacing w:after="0"/>
              <w:jc w:val="both"/>
              <w:rPr>
                <w:rFonts w:ascii="Times New Roman" w:hAnsi="Times New Roman" w:cs="Times New Roman"/>
                <w:lang w:val="it-CH"/>
              </w:rPr>
            </w:pPr>
            <w:r w:rsidRPr="009E686F">
              <w:rPr>
                <w:rFonts w:ascii="Times New Roman" w:hAnsi="Times New Roman" w:cs="Times New Roman"/>
                <w:lang w:val="it-CH"/>
              </w:rPr>
              <w:t xml:space="preserve">(1) </w:t>
            </w:r>
            <w:r w:rsidRPr="009E686F">
              <w:rPr>
                <w:rFonts w:ascii="Times New Roman" w:hAnsi="Times New Roman" w:cs="Times New Roman"/>
                <w:i/>
                <w:iCs/>
                <w:lang w:val="it-CH"/>
              </w:rPr>
              <w:t>Autorizația</w:t>
            </w:r>
            <w:r w:rsidRPr="009E686F">
              <w:rPr>
                <w:rFonts w:ascii="Times New Roman" w:hAnsi="Times New Roman" w:cs="Times New Roman"/>
                <w:lang w:val="it-CH"/>
              </w:rPr>
              <w:t xml:space="preserve"> se eliberează pe un termen nedeterminat şi nu poate fi transferată unei alte persoane.</w:t>
            </w:r>
          </w:p>
          <w:p w14:paraId="44773C84" w14:textId="77777777" w:rsidR="00B91014" w:rsidRPr="009E686F" w:rsidRDefault="00B91014" w:rsidP="00FF368A">
            <w:pPr>
              <w:spacing w:after="0"/>
              <w:jc w:val="both"/>
              <w:rPr>
                <w:rFonts w:ascii="Times New Roman" w:hAnsi="Times New Roman" w:cs="Times New Roman"/>
                <w:lang w:val="it-CH"/>
              </w:rPr>
            </w:pPr>
            <w:r w:rsidRPr="009E686F">
              <w:rPr>
                <w:rFonts w:ascii="Times New Roman" w:hAnsi="Times New Roman" w:cs="Times New Roman"/>
                <w:lang w:val="it-CH"/>
              </w:rPr>
              <w:t xml:space="preserve">(2) Pentru fiecare sucursală în care îşi va desfăşura activitatea pe baza </w:t>
            </w:r>
            <w:r w:rsidRPr="009E686F">
              <w:rPr>
                <w:rFonts w:ascii="Times New Roman" w:hAnsi="Times New Roman" w:cs="Times New Roman"/>
                <w:i/>
                <w:iCs/>
                <w:lang w:val="it-CH"/>
              </w:rPr>
              <w:t>autorizației</w:t>
            </w:r>
            <w:r w:rsidRPr="009E686F">
              <w:rPr>
                <w:rFonts w:ascii="Times New Roman" w:hAnsi="Times New Roman" w:cs="Times New Roman"/>
                <w:lang w:val="it-CH"/>
              </w:rPr>
              <w:t xml:space="preserve">, </w:t>
            </w:r>
            <w:r w:rsidRPr="009E686F">
              <w:rPr>
                <w:rFonts w:ascii="Times New Roman" w:hAnsi="Times New Roman" w:cs="Times New Roman"/>
                <w:i/>
                <w:iCs/>
                <w:lang w:val="it-CH"/>
              </w:rPr>
              <w:t>instituția de credit</w:t>
            </w:r>
            <w:r w:rsidRPr="009E686F">
              <w:rPr>
                <w:rFonts w:ascii="Times New Roman" w:hAnsi="Times New Roman" w:cs="Times New Roman"/>
                <w:lang w:val="it-CH"/>
              </w:rPr>
              <w:t xml:space="preserve"> va perfecta copii de pe aceasta </w:t>
            </w:r>
            <w:r w:rsidRPr="009E686F">
              <w:rPr>
                <w:rFonts w:ascii="Times New Roman" w:hAnsi="Times New Roman" w:cs="Times New Roman"/>
                <w:i/>
                <w:iCs/>
                <w:lang w:val="it-CH"/>
              </w:rPr>
              <w:t>care vor fi afișate la sediul respectivelor sucursale</w:t>
            </w:r>
            <w:r w:rsidRPr="009E686F">
              <w:rPr>
                <w:rFonts w:ascii="Times New Roman" w:hAnsi="Times New Roman" w:cs="Times New Roman"/>
                <w:lang w:val="it-CH"/>
              </w:rPr>
              <w:t>.</w:t>
            </w:r>
          </w:p>
          <w:p w14:paraId="2D596447" w14:textId="77777777" w:rsidR="00B91014" w:rsidRPr="009E686F" w:rsidRDefault="00B91014" w:rsidP="00FF368A">
            <w:pPr>
              <w:spacing w:after="0"/>
              <w:jc w:val="both"/>
              <w:rPr>
                <w:rFonts w:ascii="Times New Roman" w:hAnsi="Times New Roman" w:cs="Times New Roman"/>
                <w:lang w:val="it-CH"/>
              </w:rPr>
            </w:pPr>
            <w:r w:rsidRPr="009E686F">
              <w:rPr>
                <w:rFonts w:ascii="Times New Roman" w:hAnsi="Times New Roman" w:cs="Times New Roman"/>
                <w:lang w:val="it-CH"/>
              </w:rPr>
              <w:t xml:space="preserve">(3) Taxa pentru eliberarea </w:t>
            </w:r>
            <w:r w:rsidRPr="009E686F">
              <w:rPr>
                <w:rFonts w:ascii="Times New Roman" w:hAnsi="Times New Roman" w:cs="Times New Roman"/>
                <w:i/>
                <w:iCs/>
                <w:lang w:val="it-CH"/>
              </w:rPr>
              <w:t>autorizației</w:t>
            </w:r>
            <w:r w:rsidRPr="009E686F">
              <w:rPr>
                <w:rFonts w:ascii="Times New Roman" w:hAnsi="Times New Roman" w:cs="Times New Roman"/>
                <w:lang w:val="it-CH"/>
              </w:rPr>
              <w:t xml:space="preserve"> se stabileşte la valoarea de 50000 de lei.</w:t>
            </w:r>
          </w:p>
          <w:p w14:paraId="5968C6D7" w14:textId="02E26478" w:rsidR="00B91014" w:rsidRPr="009E686F" w:rsidRDefault="00B91014" w:rsidP="00FF368A">
            <w:pPr>
              <w:spacing w:after="0"/>
              <w:jc w:val="both"/>
              <w:rPr>
                <w:rFonts w:ascii="Times New Roman" w:hAnsi="Times New Roman" w:cs="Times New Roman"/>
                <w:lang w:val="it-CH"/>
              </w:rPr>
            </w:pPr>
            <w:r w:rsidRPr="009E686F">
              <w:rPr>
                <w:rFonts w:ascii="Times New Roman" w:hAnsi="Times New Roman" w:cs="Times New Roman"/>
                <w:lang w:val="it-CH"/>
              </w:rPr>
              <w:t xml:space="preserve">(4) Taxa pentru reperfectarea </w:t>
            </w:r>
            <w:r w:rsidRPr="009E686F">
              <w:rPr>
                <w:rFonts w:ascii="Times New Roman" w:hAnsi="Times New Roman" w:cs="Times New Roman"/>
                <w:i/>
                <w:iCs/>
                <w:lang w:val="it-CH"/>
              </w:rPr>
              <w:t>autorizației</w:t>
            </w:r>
            <w:r w:rsidRPr="009E686F">
              <w:rPr>
                <w:rFonts w:ascii="Times New Roman" w:hAnsi="Times New Roman" w:cs="Times New Roman"/>
                <w:lang w:val="it-CH"/>
              </w:rPr>
              <w:t xml:space="preserve">/eliberarea duplicatului </w:t>
            </w:r>
            <w:r w:rsidRPr="009E686F">
              <w:rPr>
                <w:rFonts w:ascii="Times New Roman" w:hAnsi="Times New Roman" w:cs="Times New Roman"/>
                <w:i/>
                <w:iCs/>
                <w:lang w:val="it-CH"/>
              </w:rPr>
              <w:t>autorizației</w:t>
            </w:r>
            <w:r w:rsidRPr="009E686F">
              <w:rPr>
                <w:rFonts w:ascii="Times New Roman" w:hAnsi="Times New Roman" w:cs="Times New Roman"/>
                <w:lang w:val="it-CH"/>
              </w:rPr>
              <w:t xml:space="preserve"> se stabilesc la valoarea de 500 de lei.</w:t>
            </w:r>
          </w:p>
          <w:p w14:paraId="3896C615" w14:textId="456E544C" w:rsidR="00B91014" w:rsidRPr="009E686F" w:rsidRDefault="00B91014" w:rsidP="00FF368A">
            <w:pPr>
              <w:spacing w:after="0"/>
              <w:jc w:val="both"/>
              <w:rPr>
                <w:rFonts w:ascii="Times New Roman" w:hAnsi="Times New Roman" w:cs="Times New Roman"/>
                <w:lang w:val="it-CH"/>
              </w:rPr>
            </w:pPr>
            <w:r w:rsidRPr="009E686F">
              <w:rPr>
                <w:rFonts w:ascii="Times New Roman" w:hAnsi="Times New Roman" w:cs="Times New Roman"/>
                <w:lang w:val="it-CH"/>
              </w:rPr>
              <w:t xml:space="preserve">(5) Sumele taxelor indicate la alin.(3) şi (4) se varsă la bugetul de stat şi sînt nerambursabile în cazul în care instituția de credit sau sucursala </w:t>
            </w:r>
            <w:r w:rsidRPr="009E686F">
              <w:rPr>
                <w:rFonts w:ascii="Times New Roman" w:hAnsi="Times New Roman" w:cs="Times New Roman"/>
                <w:i/>
                <w:iCs/>
                <w:lang w:val="it-CH"/>
              </w:rPr>
              <w:t>instituției de credit</w:t>
            </w:r>
            <w:r w:rsidRPr="009E686F">
              <w:rPr>
                <w:rFonts w:ascii="Times New Roman" w:hAnsi="Times New Roman" w:cs="Times New Roman"/>
                <w:lang w:val="it-CH"/>
              </w:rPr>
              <w:t xml:space="preserve"> nu îşi începe activitatea sau încetează să îşi desfăşoare activitatea.</w:t>
            </w:r>
          </w:p>
        </w:tc>
        <w:tc>
          <w:tcPr>
            <w:tcW w:w="470" w:type="pct"/>
            <w:tcBorders>
              <w:top w:val="single" w:sz="4" w:space="0" w:color="auto"/>
              <w:left w:val="single" w:sz="4" w:space="0" w:color="auto"/>
              <w:bottom w:val="single" w:sz="4" w:space="0" w:color="auto"/>
              <w:right w:val="single" w:sz="4" w:space="0" w:color="auto"/>
            </w:tcBorders>
          </w:tcPr>
          <w:p w14:paraId="7965B9C2" w14:textId="6EC9D0DC" w:rsidR="00B91014" w:rsidRPr="009E686F" w:rsidRDefault="00B91014" w:rsidP="00AB6122">
            <w:pPr>
              <w:jc w:val="both"/>
              <w:rPr>
                <w:rFonts w:ascii="Times New Roman" w:hAnsi="Times New Roman" w:cs="Times New Roman"/>
              </w:rPr>
            </w:pPr>
            <w:r w:rsidRPr="009E686F">
              <w:rPr>
                <w:rFonts w:ascii="Times New Roman" w:hAnsi="Times New Roman" w:cs="Times New Roman"/>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0B39E17C" w14:textId="58B101D3" w:rsidR="00B91014" w:rsidRPr="009E686F" w:rsidRDefault="00152E7F" w:rsidP="00515783">
            <w:pPr>
              <w:spacing w:after="0"/>
              <w:jc w:val="both"/>
              <w:rPr>
                <w:rFonts w:ascii="Times New Roman" w:hAnsi="Times New Roman" w:cs="Times New Roman"/>
                <w:lang w:val="pt-BR"/>
              </w:rPr>
            </w:pPr>
            <w:r w:rsidRPr="009E686F">
              <w:rPr>
                <w:rFonts w:ascii="Times New Roman" w:hAnsi="Times New Roman" w:cs="Times New Roman"/>
                <w:lang w:val="pt-BR"/>
              </w:rPr>
              <w:t>Alin. (4) al art. 8 reprezintă o de</w:t>
            </w:r>
            <w:r w:rsidR="00EF3668" w:rsidRPr="009E686F">
              <w:rPr>
                <w:rFonts w:ascii="Times New Roman" w:hAnsi="Times New Roman" w:cs="Times New Roman"/>
                <w:lang w:val="pt-BR"/>
              </w:rPr>
              <w:t>zv</w:t>
            </w:r>
            <w:r w:rsidRPr="009E686F">
              <w:rPr>
                <w:rFonts w:ascii="Times New Roman" w:hAnsi="Times New Roman" w:cs="Times New Roman"/>
                <w:lang w:val="pt-BR"/>
              </w:rPr>
              <w:t xml:space="preserve">oltare a cerințelor de autorizare, fără să modifice spiritul Directivei 2013/36/UE. </w:t>
            </w:r>
          </w:p>
          <w:p w14:paraId="468BFAF5" w14:textId="77777777" w:rsidR="00B91014" w:rsidRPr="009E686F" w:rsidRDefault="00B91014" w:rsidP="00515783">
            <w:pPr>
              <w:spacing w:after="0"/>
              <w:jc w:val="both"/>
              <w:rPr>
                <w:rFonts w:ascii="Times New Roman" w:hAnsi="Times New Roman" w:cs="Times New Roman"/>
                <w:lang w:val="pt-BR"/>
              </w:rPr>
            </w:pPr>
          </w:p>
          <w:p w14:paraId="03276997" w14:textId="77777777" w:rsidR="00B91014" w:rsidRPr="009E686F" w:rsidRDefault="00B91014" w:rsidP="00515783">
            <w:pPr>
              <w:spacing w:after="0"/>
              <w:jc w:val="both"/>
              <w:rPr>
                <w:rFonts w:ascii="Times New Roman" w:hAnsi="Times New Roman" w:cs="Times New Roman"/>
                <w:lang w:val="pt-BR"/>
              </w:rPr>
            </w:pPr>
          </w:p>
          <w:p w14:paraId="1A0A7E81" w14:textId="77777777" w:rsidR="00B91014" w:rsidRPr="009E686F" w:rsidRDefault="00B91014" w:rsidP="00515783">
            <w:pPr>
              <w:spacing w:after="0"/>
              <w:jc w:val="both"/>
              <w:rPr>
                <w:rFonts w:ascii="Times New Roman" w:hAnsi="Times New Roman" w:cs="Times New Roman"/>
                <w:lang w:val="pt-BR"/>
              </w:rPr>
            </w:pPr>
          </w:p>
          <w:p w14:paraId="1FA3DAA2" w14:textId="77777777" w:rsidR="00B91014" w:rsidRPr="009E686F" w:rsidRDefault="00B91014" w:rsidP="00515783">
            <w:pPr>
              <w:spacing w:after="0"/>
              <w:jc w:val="both"/>
              <w:rPr>
                <w:rFonts w:ascii="Times New Roman" w:hAnsi="Times New Roman" w:cs="Times New Roman"/>
                <w:lang w:val="pt-BR"/>
              </w:rPr>
            </w:pPr>
          </w:p>
          <w:p w14:paraId="6C073312" w14:textId="77777777" w:rsidR="00B91014" w:rsidRPr="009E686F" w:rsidRDefault="00B91014" w:rsidP="00515783">
            <w:pPr>
              <w:spacing w:after="0"/>
              <w:jc w:val="both"/>
              <w:rPr>
                <w:rFonts w:ascii="Times New Roman" w:hAnsi="Times New Roman" w:cs="Times New Roman"/>
                <w:lang w:val="pt-BR"/>
              </w:rPr>
            </w:pPr>
          </w:p>
          <w:p w14:paraId="6B3F188C" w14:textId="77777777" w:rsidR="00B91014" w:rsidRPr="009E686F" w:rsidRDefault="00B91014" w:rsidP="00515783">
            <w:pPr>
              <w:spacing w:after="0"/>
              <w:jc w:val="both"/>
              <w:rPr>
                <w:rFonts w:ascii="Times New Roman" w:hAnsi="Times New Roman" w:cs="Times New Roman"/>
                <w:lang w:val="pt-BR"/>
              </w:rPr>
            </w:pPr>
          </w:p>
          <w:p w14:paraId="5056F7C7" w14:textId="77777777" w:rsidR="00B91014" w:rsidRPr="009E686F" w:rsidRDefault="00B91014" w:rsidP="00515783">
            <w:pPr>
              <w:spacing w:after="0"/>
              <w:jc w:val="both"/>
              <w:rPr>
                <w:rFonts w:ascii="Times New Roman" w:hAnsi="Times New Roman" w:cs="Times New Roman"/>
                <w:lang w:val="pt-BR"/>
              </w:rPr>
            </w:pPr>
          </w:p>
          <w:p w14:paraId="235F3359" w14:textId="77777777" w:rsidR="00B91014" w:rsidRPr="009E686F" w:rsidRDefault="00B91014" w:rsidP="00515783">
            <w:pPr>
              <w:spacing w:after="0"/>
              <w:jc w:val="both"/>
              <w:rPr>
                <w:rFonts w:ascii="Times New Roman" w:hAnsi="Times New Roman" w:cs="Times New Roman"/>
                <w:lang w:val="pt-BR"/>
              </w:rPr>
            </w:pPr>
          </w:p>
          <w:p w14:paraId="2AA65D8E" w14:textId="77777777" w:rsidR="00B91014" w:rsidRPr="009E686F" w:rsidRDefault="00B91014" w:rsidP="00515783">
            <w:pPr>
              <w:spacing w:after="0"/>
              <w:jc w:val="both"/>
              <w:rPr>
                <w:rFonts w:ascii="Times New Roman" w:hAnsi="Times New Roman" w:cs="Times New Roman"/>
                <w:lang w:val="pt-BR"/>
              </w:rPr>
            </w:pPr>
          </w:p>
          <w:p w14:paraId="34E000C0" w14:textId="77777777" w:rsidR="00B91014" w:rsidRPr="009E686F" w:rsidRDefault="00B91014" w:rsidP="00515783">
            <w:pPr>
              <w:spacing w:after="0"/>
              <w:jc w:val="both"/>
              <w:rPr>
                <w:rFonts w:ascii="Times New Roman" w:hAnsi="Times New Roman" w:cs="Times New Roman"/>
                <w:lang w:val="pt-BR"/>
              </w:rPr>
            </w:pPr>
          </w:p>
          <w:p w14:paraId="0B2690BF" w14:textId="77777777" w:rsidR="00B91014" w:rsidRPr="009E686F" w:rsidRDefault="00B91014" w:rsidP="00515783">
            <w:pPr>
              <w:spacing w:after="0"/>
              <w:jc w:val="both"/>
              <w:rPr>
                <w:rFonts w:ascii="Times New Roman" w:hAnsi="Times New Roman" w:cs="Times New Roman"/>
                <w:lang w:val="pt-BR"/>
              </w:rPr>
            </w:pPr>
          </w:p>
          <w:p w14:paraId="4507E90D" w14:textId="77777777" w:rsidR="00B91014" w:rsidRPr="009E686F" w:rsidRDefault="00B91014" w:rsidP="00515783">
            <w:pPr>
              <w:spacing w:after="0"/>
              <w:jc w:val="both"/>
              <w:rPr>
                <w:rFonts w:ascii="Times New Roman" w:hAnsi="Times New Roman" w:cs="Times New Roman"/>
                <w:lang w:val="pt-BR"/>
              </w:rPr>
            </w:pPr>
          </w:p>
          <w:p w14:paraId="04614357" w14:textId="77777777" w:rsidR="00B91014" w:rsidRPr="009E686F" w:rsidRDefault="00B91014" w:rsidP="00515783">
            <w:pPr>
              <w:spacing w:after="0"/>
              <w:jc w:val="both"/>
              <w:rPr>
                <w:rFonts w:ascii="Times New Roman" w:hAnsi="Times New Roman" w:cs="Times New Roman"/>
                <w:lang w:val="pt-BR"/>
              </w:rPr>
            </w:pPr>
          </w:p>
          <w:p w14:paraId="013DDBF4" w14:textId="77777777" w:rsidR="00B91014" w:rsidRPr="009E686F" w:rsidRDefault="00B91014" w:rsidP="00515783">
            <w:pPr>
              <w:spacing w:after="0"/>
              <w:jc w:val="both"/>
              <w:rPr>
                <w:rFonts w:ascii="Times New Roman" w:hAnsi="Times New Roman" w:cs="Times New Roman"/>
                <w:lang w:val="pt-BR"/>
              </w:rPr>
            </w:pPr>
          </w:p>
          <w:p w14:paraId="529476FF" w14:textId="77777777" w:rsidR="00B91014" w:rsidRPr="009E686F" w:rsidRDefault="00B91014" w:rsidP="00515783">
            <w:pPr>
              <w:spacing w:after="0"/>
              <w:jc w:val="both"/>
              <w:rPr>
                <w:rFonts w:ascii="Times New Roman" w:hAnsi="Times New Roman" w:cs="Times New Roman"/>
                <w:lang w:val="pt-BR"/>
              </w:rPr>
            </w:pPr>
          </w:p>
          <w:p w14:paraId="2BD9EA9D" w14:textId="77777777" w:rsidR="00B91014" w:rsidRPr="009E686F" w:rsidRDefault="00B91014" w:rsidP="00515783">
            <w:pPr>
              <w:spacing w:after="0"/>
              <w:jc w:val="both"/>
              <w:rPr>
                <w:rFonts w:ascii="Times New Roman" w:hAnsi="Times New Roman" w:cs="Times New Roman"/>
                <w:lang w:val="pt-BR"/>
              </w:rPr>
            </w:pPr>
          </w:p>
          <w:p w14:paraId="71AB086D" w14:textId="77777777" w:rsidR="00B91014" w:rsidRPr="009E686F" w:rsidRDefault="00B91014" w:rsidP="00515783">
            <w:pPr>
              <w:spacing w:after="0"/>
              <w:jc w:val="both"/>
              <w:rPr>
                <w:rFonts w:ascii="Times New Roman" w:hAnsi="Times New Roman" w:cs="Times New Roman"/>
                <w:lang w:val="pt-BR"/>
              </w:rPr>
            </w:pPr>
          </w:p>
          <w:p w14:paraId="1EB2BA82" w14:textId="77777777" w:rsidR="00B91014" w:rsidRPr="009E686F" w:rsidRDefault="00B91014" w:rsidP="00515783">
            <w:pPr>
              <w:spacing w:after="0"/>
              <w:jc w:val="both"/>
              <w:rPr>
                <w:rFonts w:ascii="Times New Roman" w:hAnsi="Times New Roman" w:cs="Times New Roman"/>
                <w:lang w:val="pt-BR"/>
              </w:rPr>
            </w:pPr>
          </w:p>
          <w:p w14:paraId="0A86D912" w14:textId="77777777" w:rsidR="00B91014" w:rsidRPr="009E686F" w:rsidRDefault="00B91014" w:rsidP="00515783">
            <w:pPr>
              <w:spacing w:after="0"/>
              <w:jc w:val="both"/>
              <w:rPr>
                <w:rFonts w:ascii="Times New Roman" w:hAnsi="Times New Roman" w:cs="Times New Roman"/>
                <w:lang w:val="pt-BR"/>
              </w:rPr>
            </w:pPr>
          </w:p>
          <w:p w14:paraId="7E5F8F61" w14:textId="77777777" w:rsidR="00B91014" w:rsidRPr="009E686F" w:rsidRDefault="00B91014" w:rsidP="00515783">
            <w:pPr>
              <w:spacing w:after="0"/>
              <w:jc w:val="both"/>
              <w:rPr>
                <w:rFonts w:ascii="Times New Roman" w:hAnsi="Times New Roman" w:cs="Times New Roman"/>
                <w:lang w:val="pt-BR"/>
              </w:rPr>
            </w:pPr>
          </w:p>
          <w:p w14:paraId="7EFFBBB9" w14:textId="77777777" w:rsidR="00B91014" w:rsidRPr="009E686F" w:rsidRDefault="00B91014" w:rsidP="00515783">
            <w:pPr>
              <w:spacing w:after="0"/>
              <w:jc w:val="both"/>
              <w:rPr>
                <w:rFonts w:ascii="Times New Roman" w:hAnsi="Times New Roman" w:cs="Times New Roman"/>
                <w:lang w:val="pt-BR"/>
              </w:rPr>
            </w:pPr>
          </w:p>
          <w:p w14:paraId="457448AB" w14:textId="77777777" w:rsidR="00B91014" w:rsidRPr="009E686F" w:rsidRDefault="00B91014" w:rsidP="00515783">
            <w:pPr>
              <w:spacing w:after="0"/>
              <w:jc w:val="both"/>
              <w:rPr>
                <w:rFonts w:ascii="Times New Roman" w:hAnsi="Times New Roman" w:cs="Times New Roman"/>
                <w:lang w:val="pt-BR"/>
              </w:rPr>
            </w:pPr>
          </w:p>
          <w:p w14:paraId="2F80D1C0" w14:textId="77777777" w:rsidR="00B91014" w:rsidRPr="009E686F" w:rsidRDefault="00B91014" w:rsidP="00515783">
            <w:pPr>
              <w:spacing w:after="0"/>
              <w:jc w:val="both"/>
              <w:rPr>
                <w:rFonts w:ascii="Times New Roman" w:hAnsi="Times New Roman" w:cs="Times New Roman"/>
                <w:lang w:val="pt-BR"/>
              </w:rPr>
            </w:pPr>
          </w:p>
          <w:p w14:paraId="7C5BADE1" w14:textId="77777777" w:rsidR="00B91014" w:rsidRPr="009E686F" w:rsidRDefault="00B91014" w:rsidP="00515783">
            <w:pPr>
              <w:spacing w:after="0"/>
              <w:jc w:val="both"/>
              <w:rPr>
                <w:rFonts w:ascii="Times New Roman" w:hAnsi="Times New Roman" w:cs="Times New Roman"/>
                <w:lang w:val="pt-BR"/>
              </w:rPr>
            </w:pPr>
          </w:p>
          <w:p w14:paraId="7D1B5ACD" w14:textId="77777777" w:rsidR="004B0C06" w:rsidRPr="009E686F" w:rsidRDefault="004B0C06" w:rsidP="00515783">
            <w:pPr>
              <w:spacing w:after="0"/>
              <w:jc w:val="both"/>
              <w:rPr>
                <w:rFonts w:ascii="Times New Roman" w:hAnsi="Times New Roman" w:cs="Times New Roman"/>
                <w:lang w:val="pt-BR"/>
              </w:rPr>
            </w:pPr>
          </w:p>
          <w:p w14:paraId="48DBE524" w14:textId="77777777" w:rsidR="004B0C06" w:rsidRPr="009E686F" w:rsidRDefault="004B0C06" w:rsidP="00515783">
            <w:pPr>
              <w:spacing w:after="0"/>
              <w:jc w:val="both"/>
              <w:rPr>
                <w:rFonts w:ascii="Times New Roman" w:hAnsi="Times New Roman" w:cs="Times New Roman"/>
                <w:lang w:val="pt-BR"/>
              </w:rPr>
            </w:pPr>
          </w:p>
          <w:p w14:paraId="736576AE" w14:textId="77777777" w:rsidR="004B0C06" w:rsidRPr="009E686F" w:rsidRDefault="004B0C06" w:rsidP="00515783">
            <w:pPr>
              <w:spacing w:after="0"/>
              <w:jc w:val="both"/>
              <w:rPr>
                <w:rFonts w:ascii="Times New Roman" w:hAnsi="Times New Roman" w:cs="Times New Roman"/>
                <w:lang w:val="pt-BR"/>
              </w:rPr>
            </w:pPr>
          </w:p>
          <w:p w14:paraId="73FE3502" w14:textId="578A6585" w:rsidR="00B91014" w:rsidRPr="009E686F" w:rsidRDefault="00A85D06" w:rsidP="00515783">
            <w:pPr>
              <w:spacing w:after="0"/>
              <w:jc w:val="both"/>
              <w:rPr>
                <w:rFonts w:ascii="Times New Roman" w:hAnsi="Times New Roman" w:cs="Times New Roman"/>
                <w:lang w:val="pt-BR"/>
              </w:rPr>
            </w:pPr>
            <w:r w:rsidRPr="009E686F">
              <w:rPr>
                <w:rFonts w:ascii="Times New Roman" w:hAnsi="Times New Roman" w:cs="Times New Roman"/>
                <w:lang w:val="pt-BR"/>
              </w:rPr>
              <w:t xml:space="preserve">Norme procedurale cu specific național care sunt aliniate </w:t>
            </w:r>
            <w:r w:rsidR="004B0C06" w:rsidRPr="009E686F">
              <w:rPr>
                <w:rFonts w:ascii="Times New Roman" w:hAnsi="Times New Roman" w:cs="Times New Roman"/>
                <w:lang w:val="pt-BR"/>
              </w:rPr>
              <w:t xml:space="preserve">cu </w:t>
            </w:r>
            <w:hyperlink r:id="rId13" w:history="1">
              <w:r w:rsidR="004B0C06" w:rsidRPr="009E686F">
                <w:rPr>
                  <w:rStyle w:val="af2"/>
                  <w:rFonts w:ascii="Times New Roman" w:hAnsi="Times New Roman" w:cs="Times New Roman"/>
                  <w:lang w:val="pt-BR"/>
                </w:rPr>
                <w:t>Standardele EBA (EBA/RTS/2017/08)</w:t>
              </w:r>
            </w:hyperlink>
          </w:p>
          <w:p w14:paraId="3A6A2A3F" w14:textId="77777777" w:rsidR="00B91014" w:rsidRPr="009E686F" w:rsidRDefault="00B91014" w:rsidP="00515783">
            <w:pPr>
              <w:spacing w:after="0"/>
              <w:jc w:val="both"/>
              <w:rPr>
                <w:rFonts w:ascii="Times New Roman" w:hAnsi="Times New Roman" w:cs="Times New Roman"/>
                <w:lang w:val="pt-BR"/>
              </w:rPr>
            </w:pPr>
          </w:p>
          <w:p w14:paraId="54F3C2BA" w14:textId="77777777" w:rsidR="00B91014" w:rsidRPr="009E686F" w:rsidRDefault="00B91014" w:rsidP="00515783">
            <w:pPr>
              <w:spacing w:after="0"/>
              <w:jc w:val="both"/>
              <w:rPr>
                <w:rFonts w:ascii="Times New Roman" w:hAnsi="Times New Roman" w:cs="Times New Roman"/>
                <w:lang w:val="pt-BR"/>
              </w:rPr>
            </w:pPr>
          </w:p>
          <w:p w14:paraId="598FBECD" w14:textId="77777777" w:rsidR="00B91014" w:rsidRPr="009E686F" w:rsidRDefault="00B91014" w:rsidP="00515783">
            <w:pPr>
              <w:spacing w:after="0"/>
              <w:jc w:val="both"/>
              <w:rPr>
                <w:rFonts w:ascii="Times New Roman" w:hAnsi="Times New Roman" w:cs="Times New Roman"/>
                <w:lang w:val="pt-BR"/>
              </w:rPr>
            </w:pPr>
          </w:p>
          <w:p w14:paraId="774BE0BD" w14:textId="77777777" w:rsidR="00A85D06" w:rsidRPr="009E686F" w:rsidRDefault="00A85D06" w:rsidP="00515783">
            <w:pPr>
              <w:spacing w:after="0"/>
              <w:jc w:val="both"/>
              <w:rPr>
                <w:rFonts w:ascii="Times New Roman" w:hAnsi="Times New Roman" w:cs="Times New Roman"/>
                <w:lang w:val="pt-BR"/>
              </w:rPr>
            </w:pPr>
          </w:p>
          <w:p w14:paraId="7ED5500D" w14:textId="77777777" w:rsidR="00A85D06" w:rsidRPr="009E686F" w:rsidRDefault="00A85D06" w:rsidP="00515783">
            <w:pPr>
              <w:spacing w:after="0"/>
              <w:jc w:val="both"/>
              <w:rPr>
                <w:rFonts w:ascii="Times New Roman" w:hAnsi="Times New Roman" w:cs="Times New Roman"/>
                <w:lang w:val="pt-BR"/>
              </w:rPr>
            </w:pPr>
          </w:p>
          <w:p w14:paraId="6647702D" w14:textId="77777777" w:rsidR="00A85D06" w:rsidRPr="009E686F" w:rsidRDefault="00A85D06" w:rsidP="00515783">
            <w:pPr>
              <w:spacing w:after="0"/>
              <w:jc w:val="both"/>
              <w:rPr>
                <w:rFonts w:ascii="Times New Roman" w:hAnsi="Times New Roman" w:cs="Times New Roman"/>
                <w:lang w:val="pt-BR"/>
              </w:rPr>
            </w:pPr>
          </w:p>
          <w:p w14:paraId="2107F07C" w14:textId="77777777" w:rsidR="00A85D06" w:rsidRPr="009E686F" w:rsidRDefault="00A85D06" w:rsidP="00515783">
            <w:pPr>
              <w:spacing w:after="0"/>
              <w:jc w:val="both"/>
              <w:rPr>
                <w:rFonts w:ascii="Times New Roman" w:hAnsi="Times New Roman" w:cs="Times New Roman"/>
                <w:lang w:val="pt-BR"/>
              </w:rPr>
            </w:pPr>
          </w:p>
          <w:p w14:paraId="1E3E91B3" w14:textId="77777777" w:rsidR="00A85D06" w:rsidRPr="009E686F" w:rsidRDefault="00A85D06" w:rsidP="00515783">
            <w:pPr>
              <w:spacing w:after="0"/>
              <w:jc w:val="both"/>
              <w:rPr>
                <w:rFonts w:ascii="Times New Roman" w:hAnsi="Times New Roman" w:cs="Times New Roman"/>
                <w:lang w:val="pt-BR"/>
              </w:rPr>
            </w:pPr>
          </w:p>
          <w:p w14:paraId="5E5AC84C" w14:textId="77777777" w:rsidR="00A85D06" w:rsidRPr="009E686F" w:rsidRDefault="00A85D06" w:rsidP="00515783">
            <w:pPr>
              <w:spacing w:after="0"/>
              <w:jc w:val="both"/>
              <w:rPr>
                <w:rFonts w:ascii="Times New Roman" w:hAnsi="Times New Roman" w:cs="Times New Roman"/>
                <w:lang w:val="pt-BR"/>
              </w:rPr>
            </w:pPr>
          </w:p>
          <w:p w14:paraId="02BD299B" w14:textId="77777777" w:rsidR="00A85D06" w:rsidRPr="009E686F" w:rsidRDefault="00A85D06" w:rsidP="00515783">
            <w:pPr>
              <w:spacing w:after="0"/>
              <w:jc w:val="both"/>
              <w:rPr>
                <w:rFonts w:ascii="Times New Roman" w:hAnsi="Times New Roman" w:cs="Times New Roman"/>
                <w:lang w:val="pt-BR"/>
              </w:rPr>
            </w:pPr>
          </w:p>
          <w:p w14:paraId="2E47BC31" w14:textId="77777777" w:rsidR="00A85D06" w:rsidRPr="009E686F" w:rsidRDefault="00A85D06" w:rsidP="00515783">
            <w:pPr>
              <w:spacing w:after="0"/>
              <w:jc w:val="both"/>
              <w:rPr>
                <w:rFonts w:ascii="Times New Roman" w:hAnsi="Times New Roman" w:cs="Times New Roman"/>
                <w:lang w:val="pt-BR"/>
              </w:rPr>
            </w:pPr>
          </w:p>
          <w:p w14:paraId="1E4F1077" w14:textId="77777777" w:rsidR="00A85D06" w:rsidRPr="009E686F" w:rsidRDefault="00A85D06" w:rsidP="00515783">
            <w:pPr>
              <w:spacing w:after="0"/>
              <w:jc w:val="both"/>
              <w:rPr>
                <w:rFonts w:ascii="Times New Roman" w:hAnsi="Times New Roman" w:cs="Times New Roman"/>
                <w:lang w:val="pt-BR"/>
              </w:rPr>
            </w:pPr>
          </w:p>
          <w:p w14:paraId="02D7A905" w14:textId="77777777" w:rsidR="004B0C06" w:rsidRPr="009E686F" w:rsidRDefault="004B0C06" w:rsidP="00515783">
            <w:pPr>
              <w:spacing w:after="0"/>
              <w:jc w:val="both"/>
              <w:rPr>
                <w:rFonts w:ascii="Times New Roman" w:hAnsi="Times New Roman" w:cs="Times New Roman"/>
                <w:lang w:val="pt-BR"/>
              </w:rPr>
            </w:pPr>
          </w:p>
          <w:p w14:paraId="2782E6FF" w14:textId="77777777" w:rsidR="004B0C06" w:rsidRPr="009E686F" w:rsidRDefault="004B0C06" w:rsidP="00515783">
            <w:pPr>
              <w:spacing w:after="0"/>
              <w:jc w:val="both"/>
              <w:rPr>
                <w:rFonts w:ascii="Times New Roman" w:hAnsi="Times New Roman" w:cs="Times New Roman"/>
                <w:lang w:val="pt-BR"/>
              </w:rPr>
            </w:pPr>
          </w:p>
          <w:p w14:paraId="5ACDD923" w14:textId="77777777" w:rsidR="004B0C06" w:rsidRPr="009E686F" w:rsidRDefault="004B0C06" w:rsidP="00515783">
            <w:pPr>
              <w:spacing w:after="0"/>
              <w:jc w:val="both"/>
              <w:rPr>
                <w:rFonts w:ascii="Times New Roman" w:hAnsi="Times New Roman" w:cs="Times New Roman"/>
                <w:lang w:val="pt-BR"/>
              </w:rPr>
            </w:pPr>
          </w:p>
          <w:p w14:paraId="0511421D" w14:textId="77777777" w:rsidR="004B0C06" w:rsidRPr="009E686F" w:rsidRDefault="004B0C06" w:rsidP="00515783">
            <w:pPr>
              <w:spacing w:after="0"/>
              <w:jc w:val="both"/>
              <w:rPr>
                <w:rFonts w:ascii="Times New Roman" w:hAnsi="Times New Roman" w:cs="Times New Roman"/>
                <w:lang w:val="pt-BR"/>
              </w:rPr>
            </w:pPr>
          </w:p>
          <w:p w14:paraId="5B4C1F06" w14:textId="77777777" w:rsidR="004B0C06" w:rsidRPr="009E686F" w:rsidRDefault="004B0C06" w:rsidP="00515783">
            <w:pPr>
              <w:spacing w:after="0"/>
              <w:jc w:val="both"/>
              <w:rPr>
                <w:rFonts w:ascii="Times New Roman" w:hAnsi="Times New Roman" w:cs="Times New Roman"/>
                <w:lang w:val="pt-BR"/>
              </w:rPr>
            </w:pPr>
          </w:p>
          <w:p w14:paraId="188C66D8" w14:textId="77777777" w:rsidR="00A85D06" w:rsidRPr="009E686F" w:rsidRDefault="00A85D06" w:rsidP="00515783">
            <w:pPr>
              <w:spacing w:after="0"/>
              <w:jc w:val="both"/>
              <w:rPr>
                <w:rFonts w:ascii="Times New Roman" w:hAnsi="Times New Roman" w:cs="Times New Roman"/>
                <w:lang w:val="pt-BR"/>
              </w:rPr>
            </w:pPr>
          </w:p>
          <w:p w14:paraId="31B4A331" w14:textId="77777777" w:rsidR="00A85D06" w:rsidRPr="009E686F" w:rsidRDefault="00A85D06" w:rsidP="00515783">
            <w:pPr>
              <w:spacing w:after="0"/>
              <w:jc w:val="both"/>
              <w:rPr>
                <w:rFonts w:ascii="Times New Roman" w:hAnsi="Times New Roman" w:cs="Times New Roman"/>
                <w:lang w:val="pt-BR"/>
              </w:rPr>
            </w:pPr>
          </w:p>
          <w:p w14:paraId="6FC13AB3" w14:textId="77777777" w:rsidR="00A85D06" w:rsidRPr="009E686F" w:rsidRDefault="00A85D06" w:rsidP="00515783">
            <w:pPr>
              <w:spacing w:after="0"/>
              <w:jc w:val="both"/>
              <w:rPr>
                <w:rFonts w:ascii="Times New Roman" w:hAnsi="Times New Roman" w:cs="Times New Roman"/>
                <w:lang w:val="pt-BR"/>
              </w:rPr>
            </w:pPr>
          </w:p>
          <w:p w14:paraId="03C708D8" w14:textId="77777777" w:rsidR="00B91014" w:rsidRPr="009E686F" w:rsidRDefault="00B91014" w:rsidP="00515783">
            <w:pPr>
              <w:spacing w:after="0"/>
              <w:jc w:val="both"/>
              <w:rPr>
                <w:rFonts w:ascii="Times New Roman" w:hAnsi="Times New Roman" w:cs="Times New Roman"/>
                <w:lang w:val="pt-BR"/>
              </w:rPr>
            </w:pPr>
          </w:p>
          <w:p w14:paraId="3CEF12AD" w14:textId="77777777" w:rsidR="00B91014" w:rsidRPr="009E686F" w:rsidRDefault="00B91014" w:rsidP="00515783">
            <w:pPr>
              <w:spacing w:after="0"/>
              <w:jc w:val="both"/>
              <w:rPr>
                <w:rFonts w:ascii="Times New Roman" w:hAnsi="Times New Roman" w:cs="Times New Roman"/>
                <w:lang w:val="pt-BR"/>
              </w:rPr>
            </w:pPr>
          </w:p>
          <w:p w14:paraId="6E9D98FC" w14:textId="5FEB11C9" w:rsidR="00B91014" w:rsidRPr="009E686F" w:rsidRDefault="00B91014" w:rsidP="00515783">
            <w:pPr>
              <w:spacing w:after="0"/>
              <w:jc w:val="both"/>
              <w:rPr>
                <w:rFonts w:ascii="Times New Roman" w:hAnsi="Times New Roman" w:cs="Times New Roman"/>
                <w:lang w:val="pt-BR"/>
              </w:rPr>
            </w:pPr>
            <w:r w:rsidRPr="009E686F">
              <w:rPr>
                <w:rFonts w:ascii="Times New Roman" w:hAnsi="Times New Roman" w:cs="Times New Roman"/>
                <w:lang w:val="pt-BR"/>
              </w:rPr>
              <w:lastRenderedPageBreak/>
              <w:t>Norme procedurale cu specific na</w:t>
            </w:r>
            <w:r w:rsidRPr="009E686F">
              <w:rPr>
                <w:rFonts w:ascii="Times New Roman" w:hAnsi="Times New Roman" w:cs="Times New Roman"/>
                <w:lang w:val="ro-RO"/>
              </w:rPr>
              <w:t>țional</w:t>
            </w:r>
            <w:r w:rsidRPr="009E686F">
              <w:rPr>
                <w:rFonts w:ascii="Times New Roman" w:hAnsi="Times New Roman" w:cs="Times New Roman"/>
                <w:lang w:val="pt-BR"/>
              </w:rPr>
              <w:t>, inclusiv din perspectiva asigurării disciplinii procedurii de autorizare.</w:t>
            </w:r>
          </w:p>
        </w:tc>
      </w:tr>
      <w:tr w:rsidR="00B91014" w:rsidRPr="009E686F" w14:paraId="634E847F" w14:textId="77777777" w:rsidTr="00E336CD">
        <w:tc>
          <w:tcPr>
            <w:tcW w:w="1890" w:type="pct"/>
            <w:vMerge/>
            <w:tcBorders>
              <w:left w:val="single" w:sz="4" w:space="0" w:color="auto"/>
              <w:bottom w:val="single" w:sz="4" w:space="0" w:color="auto"/>
              <w:right w:val="single" w:sz="4" w:space="0" w:color="auto"/>
            </w:tcBorders>
          </w:tcPr>
          <w:p w14:paraId="05AF3A1E" w14:textId="77777777" w:rsidR="00B91014" w:rsidRPr="009E686F" w:rsidRDefault="00B91014" w:rsidP="00ED2C1C">
            <w:pPr>
              <w:spacing w:after="0"/>
              <w:jc w:val="both"/>
              <w:rPr>
                <w:rFonts w:ascii="Times New Roman" w:hAnsi="Times New Roman" w:cs="Times New Roman"/>
                <w:lang w:val="pt-BR"/>
              </w:rPr>
            </w:pPr>
          </w:p>
        </w:tc>
        <w:tc>
          <w:tcPr>
            <w:tcW w:w="1834" w:type="pct"/>
            <w:tcBorders>
              <w:top w:val="single" w:sz="4" w:space="0" w:color="auto"/>
              <w:left w:val="single" w:sz="4" w:space="0" w:color="auto"/>
              <w:bottom w:val="single" w:sz="4" w:space="0" w:color="auto"/>
              <w:right w:val="single" w:sz="4" w:space="0" w:color="auto"/>
            </w:tcBorders>
          </w:tcPr>
          <w:p w14:paraId="47621830" w14:textId="6E9624B5" w:rsidR="00B91014" w:rsidRPr="009E686F" w:rsidRDefault="00B91014" w:rsidP="008E4050">
            <w:pPr>
              <w:spacing w:after="0"/>
              <w:jc w:val="both"/>
              <w:rPr>
                <w:rFonts w:ascii="Times New Roman" w:hAnsi="Times New Roman" w:cs="Times New Roman"/>
                <w:i/>
                <w:iCs/>
                <w:lang w:val="pt-BR"/>
              </w:rPr>
            </w:pPr>
            <w:r w:rsidRPr="009E686F">
              <w:rPr>
                <w:rFonts w:ascii="Times New Roman" w:hAnsi="Times New Roman" w:cs="Times New Roman"/>
                <w:b/>
                <w:i/>
                <w:iCs/>
                <w:lang w:val="pt-BR"/>
              </w:rPr>
              <w:t>Articolul 21.</w:t>
            </w:r>
            <w:r w:rsidRPr="009E686F">
              <w:rPr>
                <w:rFonts w:ascii="Times New Roman" w:hAnsi="Times New Roman" w:cs="Times New Roman"/>
                <w:i/>
                <w:iCs/>
                <w:lang w:val="pt-BR"/>
              </w:rPr>
              <w:t xml:space="preserve"> Registrul instituțiilor de credit, a sucursalelor instituțiilor de credit din alte state membre și a sucursalelor din state terțe </w:t>
            </w:r>
          </w:p>
          <w:p w14:paraId="1946CB39" w14:textId="3102C80F" w:rsidR="00B91014" w:rsidRPr="009E686F" w:rsidRDefault="00B91014" w:rsidP="008E4050">
            <w:pPr>
              <w:spacing w:after="0"/>
              <w:jc w:val="both"/>
              <w:rPr>
                <w:rFonts w:ascii="Times New Roman" w:hAnsi="Times New Roman" w:cs="Times New Roman"/>
                <w:i/>
                <w:iCs/>
                <w:lang w:val="pt-BR"/>
              </w:rPr>
            </w:pPr>
            <w:r w:rsidRPr="009E686F">
              <w:rPr>
                <w:rFonts w:ascii="Times New Roman" w:hAnsi="Times New Roman" w:cs="Times New Roman"/>
                <w:i/>
                <w:iCs/>
                <w:lang w:val="pt-BR"/>
              </w:rPr>
              <w:t xml:space="preserve">(1) Banca Naţională a Moldovei ţine în formă electronică registrul instituțiilor de credit  persoane juridice din </w:t>
            </w:r>
            <w:r w:rsidRPr="009E686F">
              <w:rPr>
                <w:rFonts w:ascii="Times New Roman" w:hAnsi="Times New Roman" w:cs="Times New Roman"/>
                <w:i/>
                <w:iCs/>
                <w:lang w:val="pt-BR"/>
              </w:rPr>
              <w:lastRenderedPageBreak/>
              <w:t>Republica Moldova şi al sucursalelor instituțiilor de credit din state membre și state terțe, în care se înscrie, după caz, seria, numărul şi data acordării autorizației, denumirea, adresele sediului acestora şi ale sucursalelor instituției de credit persoane juridice din Republica Moldova, informaţia privind reperfectarea autorizației şi eliberarea duplicatelor de pe aceasta. Banca Naţională a Moldovei publică pe pagina</w:t>
            </w:r>
            <w:r w:rsidR="007508A5" w:rsidRPr="009E686F">
              <w:rPr>
                <w:rFonts w:ascii="Times New Roman" w:hAnsi="Times New Roman" w:cs="Times New Roman"/>
                <w:i/>
                <w:iCs/>
                <w:lang w:val="pt-BR"/>
              </w:rPr>
              <w:t xml:space="preserve"> sa</w:t>
            </w:r>
            <w:r w:rsidRPr="009E686F">
              <w:rPr>
                <w:rFonts w:ascii="Times New Roman" w:hAnsi="Times New Roman" w:cs="Times New Roman"/>
                <w:i/>
                <w:iCs/>
                <w:lang w:val="pt-BR"/>
              </w:rPr>
              <w:t xml:space="preserve"> web oficială şi actualizează în mod regulat o listă cu denumirile tuturor instituțiilor de credit  care au primit autorizație, inclusiv ale sucursalelor instituțiilor de credit  din state terțe și denumirile sucursalelor instituțiilor de credit din state membre. Banca Naţională a Moldovei efectuează înregistrarea în registrul menționat a sucursalelor instituțiilor de credit din state membre pe baza notificării prevăzute la art. 23</w:t>
            </w:r>
            <w:r w:rsidRPr="009E686F">
              <w:rPr>
                <w:rFonts w:ascii="Times New Roman" w:hAnsi="Times New Roman" w:cs="Times New Roman"/>
                <w:i/>
                <w:iCs/>
                <w:vertAlign w:val="superscript"/>
                <w:lang w:val="pt-BR"/>
              </w:rPr>
              <w:t>2</w:t>
            </w:r>
            <w:r w:rsidRPr="009E686F">
              <w:rPr>
                <w:rFonts w:ascii="Times New Roman" w:hAnsi="Times New Roman" w:cs="Times New Roman"/>
                <w:i/>
                <w:iCs/>
                <w:lang w:val="pt-BR"/>
              </w:rPr>
              <w:t>.</w:t>
            </w:r>
          </w:p>
          <w:p w14:paraId="4BEEFEC2" w14:textId="04634B3E" w:rsidR="00B91014" w:rsidRPr="009E686F" w:rsidRDefault="00B91014" w:rsidP="008E4050">
            <w:pPr>
              <w:spacing w:after="0"/>
              <w:jc w:val="both"/>
              <w:rPr>
                <w:rFonts w:ascii="Times New Roman" w:hAnsi="Times New Roman" w:cs="Times New Roman"/>
                <w:i/>
                <w:iCs/>
                <w:lang w:val="it-CH"/>
              </w:rPr>
            </w:pPr>
            <w:r w:rsidRPr="009E686F">
              <w:rPr>
                <w:rFonts w:ascii="Times New Roman" w:hAnsi="Times New Roman" w:cs="Times New Roman"/>
                <w:i/>
                <w:iCs/>
                <w:lang w:val="pt-BR"/>
              </w:rPr>
              <w:t>(2) Instituțiile de credit persoane juridice din Republica Moldova sau sucursalele instituțiilor de credit  din state terțe ale căror autoriza</w:t>
            </w:r>
            <w:r w:rsidRPr="009E686F">
              <w:rPr>
                <w:rFonts w:ascii="Times New Roman" w:hAnsi="Times New Roman" w:cs="Times New Roman"/>
                <w:i/>
                <w:iCs/>
                <w:lang w:val="ro-RO"/>
              </w:rPr>
              <w:t xml:space="preserve">ții </w:t>
            </w:r>
            <w:r w:rsidRPr="009E686F">
              <w:rPr>
                <w:rFonts w:ascii="Times New Roman" w:hAnsi="Times New Roman" w:cs="Times New Roman"/>
                <w:i/>
                <w:iCs/>
                <w:lang w:val="pt-BR"/>
              </w:rPr>
              <w:t>au fost retrase sînt radiate din registru</w:t>
            </w:r>
            <w:r w:rsidR="00D7122D" w:rsidRPr="009E686F">
              <w:rPr>
                <w:rFonts w:ascii="Times New Roman" w:hAnsi="Times New Roman" w:cs="Times New Roman"/>
                <w:i/>
                <w:iCs/>
                <w:lang w:val="pt-BR"/>
              </w:rPr>
              <w:t>l prevăzut la alin. (1)</w:t>
            </w:r>
            <w:r w:rsidRPr="009E686F">
              <w:rPr>
                <w:rFonts w:ascii="Times New Roman" w:hAnsi="Times New Roman" w:cs="Times New Roman"/>
                <w:i/>
                <w:iCs/>
                <w:lang w:val="pt-BR"/>
              </w:rPr>
              <w:t xml:space="preserve"> prin înserarea unei note speciale care include data şi numărul deciziei privind retragerea autorizației. Radierea din registru a sucursalelor instituțiilor de credit din state membre se realizează prin înscrierea unei note speciale privind încetarea activității acesteia. </w:t>
            </w:r>
            <w:r w:rsidRPr="009E686F">
              <w:rPr>
                <w:rFonts w:ascii="Times New Roman" w:hAnsi="Times New Roman" w:cs="Times New Roman"/>
                <w:i/>
                <w:iCs/>
                <w:lang w:val="it-CH"/>
              </w:rPr>
              <w:t>Radierea nu reprezintă excluderea fizică a datelor din registru.</w:t>
            </w:r>
          </w:p>
          <w:p w14:paraId="2E553F95" w14:textId="624CD856" w:rsidR="00B91014" w:rsidRPr="009E686F" w:rsidRDefault="00B91014" w:rsidP="00ED2C1C">
            <w:pPr>
              <w:spacing w:after="0"/>
              <w:jc w:val="both"/>
              <w:rPr>
                <w:rFonts w:ascii="Times New Roman" w:hAnsi="Times New Roman" w:cs="Times New Roman"/>
                <w:i/>
                <w:iCs/>
                <w:lang w:val="it-CH"/>
              </w:rPr>
            </w:pPr>
            <w:r w:rsidRPr="009E686F">
              <w:rPr>
                <w:rFonts w:ascii="Times New Roman" w:hAnsi="Times New Roman" w:cs="Times New Roman"/>
                <w:i/>
                <w:iCs/>
                <w:lang w:val="it-CH"/>
              </w:rPr>
              <w:t>(3) Banca Națională a Moldovei face înscrieri în registrul menționat la alin. (1) cu privire la denumirea, sediul instituțiilor de credit din state membre</w:t>
            </w:r>
            <w:r w:rsidR="00EA0070" w:rsidRPr="009E686F">
              <w:rPr>
                <w:rFonts w:ascii="Times New Roman" w:hAnsi="Times New Roman" w:cs="Times New Roman"/>
                <w:i/>
                <w:iCs/>
                <w:lang w:val="it-CH"/>
              </w:rPr>
              <w:t xml:space="preserve"> care</w:t>
            </w:r>
            <w:r w:rsidRPr="009E686F">
              <w:rPr>
                <w:rFonts w:ascii="Times New Roman" w:hAnsi="Times New Roman" w:cs="Times New Roman"/>
                <w:i/>
                <w:iCs/>
                <w:lang w:val="it-CH"/>
              </w:rPr>
              <w:t xml:space="preserve"> vor presta servicii în mod direct pe teritoriul Republicii Moldova și data începerii prestării serviciilor respective.</w:t>
            </w:r>
          </w:p>
        </w:tc>
        <w:tc>
          <w:tcPr>
            <w:tcW w:w="470" w:type="pct"/>
            <w:tcBorders>
              <w:top w:val="single" w:sz="4" w:space="0" w:color="auto"/>
              <w:left w:val="single" w:sz="4" w:space="0" w:color="auto"/>
              <w:bottom w:val="single" w:sz="4" w:space="0" w:color="auto"/>
              <w:right w:val="single" w:sz="4" w:space="0" w:color="auto"/>
            </w:tcBorders>
          </w:tcPr>
          <w:p w14:paraId="1774F0D4" w14:textId="77777777" w:rsidR="00B91014" w:rsidRPr="009E686F" w:rsidRDefault="00B91014" w:rsidP="00AB6122">
            <w:pPr>
              <w:jc w:val="both"/>
              <w:rPr>
                <w:rFonts w:ascii="Times New Roman" w:hAnsi="Times New Roman" w:cs="Times New Roman"/>
                <w:lang w:val="it-CH"/>
              </w:rPr>
            </w:pPr>
          </w:p>
        </w:tc>
        <w:tc>
          <w:tcPr>
            <w:tcW w:w="806" w:type="pct"/>
            <w:tcBorders>
              <w:top w:val="single" w:sz="4" w:space="0" w:color="auto"/>
              <w:left w:val="single" w:sz="4" w:space="0" w:color="auto"/>
              <w:bottom w:val="single" w:sz="4" w:space="0" w:color="auto"/>
              <w:right w:val="single" w:sz="4" w:space="0" w:color="auto"/>
            </w:tcBorders>
          </w:tcPr>
          <w:p w14:paraId="7C47A33E" w14:textId="2D530489" w:rsidR="00B91014" w:rsidRPr="009E686F" w:rsidRDefault="00B91014" w:rsidP="00515783">
            <w:pPr>
              <w:spacing w:after="0"/>
              <w:jc w:val="both"/>
              <w:rPr>
                <w:rFonts w:ascii="Times New Roman" w:hAnsi="Times New Roman" w:cs="Times New Roman"/>
                <w:lang w:val="it-CH"/>
              </w:rPr>
            </w:pPr>
            <w:r w:rsidRPr="009E686F">
              <w:rPr>
                <w:rFonts w:ascii="Times New Roman" w:hAnsi="Times New Roman" w:cs="Times New Roman"/>
                <w:lang w:val="it-CH"/>
              </w:rPr>
              <w:t>Norme procedurale cu specific național</w:t>
            </w:r>
          </w:p>
        </w:tc>
      </w:tr>
      <w:tr w:rsidR="00B30AFC" w:rsidRPr="009E686F" w14:paraId="5794296E" w14:textId="34038C90" w:rsidTr="00501E7B">
        <w:trPr>
          <w:trHeight w:val="4486"/>
        </w:trPr>
        <w:tc>
          <w:tcPr>
            <w:tcW w:w="1890" w:type="pct"/>
            <w:tcBorders>
              <w:top w:val="single" w:sz="4" w:space="0" w:color="auto"/>
              <w:left w:val="single" w:sz="4" w:space="0" w:color="auto"/>
              <w:right w:val="single" w:sz="4" w:space="0" w:color="auto"/>
            </w:tcBorders>
          </w:tcPr>
          <w:p w14:paraId="21823532" w14:textId="77777777" w:rsidR="00AB6122" w:rsidRPr="009E686F" w:rsidRDefault="00AB6122" w:rsidP="00ED2C1C">
            <w:pPr>
              <w:spacing w:after="0"/>
              <w:jc w:val="both"/>
              <w:rPr>
                <w:rFonts w:ascii="Times New Roman" w:hAnsi="Times New Roman" w:cs="Times New Roman"/>
                <w:lang w:val="pt-BR"/>
              </w:rPr>
            </w:pPr>
            <w:r w:rsidRPr="009E686F">
              <w:rPr>
                <w:rFonts w:ascii="Times New Roman" w:hAnsi="Times New Roman" w:cs="Times New Roman"/>
                <w:lang w:val="pt-BR"/>
              </w:rPr>
              <w:lastRenderedPageBreak/>
              <w:t>(2) ABE elaborează proiecte de standarde tehnice de reglementare pentru a preciza:</w:t>
            </w:r>
          </w:p>
          <w:p w14:paraId="1B3F7471" w14:textId="6D3B2A4D" w:rsidR="00AB6122" w:rsidRPr="009E686F" w:rsidRDefault="00AB6122" w:rsidP="00ED2C1C">
            <w:pPr>
              <w:spacing w:after="0"/>
              <w:jc w:val="both"/>
              <w:rPr>
                <w:rFonts w:ascii="Times New Roman" w:hAnsi="Times New Roman" w:cs="Times New Roman"/>
                <w:lang w:val="pt-BR"/>
              </w:rPr>
            </w:pPr>
            <w:r w:rsidRPr="009E686F">
              <w:rPr>
                <w:rFonts w:ascii="Times New Roman" w:hAnsi="Times New Roman" w:cs="Times New Roman"/>
                <w:lang w:val="pt-BR"/>
              </w:rPr>
              <w:t xml:space="preserve">(a)informațiile care trebuie furnizate autorităților competente în cererea de autorizare a </w:t>
            </w:r>
            <w:r w:rsidR="00A51A7D" w:rsidRPr="009E686F">
              <w:rPr>
                <w:rFonts w:ascii="Times New Roman" w:hAnsi="Times New Roman" w:cs="Times New Roman"/>
                <w:lang w:val="pt-BR"/>
              </w:rPr>
              <w:t>instituțiilor de credit</w:t>
            </w:r>
            <w:r w:rsidRPr="009E686F">
              <w:rPr>
                <w:rFonts w:ascii="Times New Roman" w:hAnsi="Times New Roman" w:cs="Times New Roman"/>
                <w:lang w:val="pt-BR"/>
              </w:rPr>
              <w:t>, inclusiv programul de activitate,  organizarea structural și cadrul de administrare, prevăzute la articolul 10;</w:t>
            </w:r>
          </w:p>
          <w:p w14:paraId="64E609B0" w14:textId="77777777" w:rsidR="00AB6122" w:rsidRPr="009E686F" w:rsidRDefault="00AB6122" w:rsidP="00ED2C1C">
            <w:pPr>
              <w:spacing w:after="0"/>
              <w:jc w:val="both"/>
              <w:rPr>
                <w:rFonts w:ascii="Times New Roman" w:hAnsi="Times New Roman" w:cs="Times New Roman"/>
                <w:lang w:val="pt-BR"/>
              </w:rPr>
            </w:pPr>
            <w:r w:rsidRPr="009E686F">
              <w:rPr>
                <w:rFonts w:ascii="Times New Roman" w:hAnsi="Times New Roman" w:cs="Times New Roman"/>
                <w:lang w:val="pt-BR"/>
              </w:rPr>
              <w:t xml:space="preserve">(c) cerințele aplicabile acționarilor și asociaților care dețin o participație calificată sau, </w:t>
            </w:r>
            <w:r w:rsidRPr="009E686F">
              <w:rPr>
                <w:rFonts w:ascii="Times New Roman" w:eastAsia="Times New Roman" w:hAnsi="Times New Roman" w:cs="Times New Roman"/>
                <w:color w:val="000000"/>
                <w:lang w:val="pt-BR" w:eastAsia="ro-MD"/>
              </w:rPr>
              <w:t>atunci când nu există participații calificate, cerințele aplicabile celor mai mari 20 de acționari sau asociați</w:t>
            </w:r>
            <w:r w:rsidRPr="009E686F">
              <w:rPr>
                <w:rFonts w:ascii="Times New Roman" w:hAnsi="Times New Roman" w:cs="Times New Roman"/>
                <w:lang w:val="pt-BR"/>
              </w:rPr>
              <w:t>, în temeiul articolului 14; și</w:t>
            </w:r>
          </w:p>
          <w:p w14:paraId="7BE27E1C" w14:textId="680E9015" w:rsidR="00AB6122" w:rsidRPr="009E686F" w:rsidRDefault="00AB6122" w:rsidP="00ED2C1C">
            <w:pPr>
              <w:spacing w:after="0"/>
              <w:jc w:val="both"/>
              <w:rPr>
                <w:rFonts w:ascii="Times New Roman" w:hAnsi="Times New Roman" w:cs="Times New Roman"/>
                <w:lang w:val="pt-BR"/>
              </w:rPr>
            </w:pPr>
            <w:r w:rsidRPr="009E686F">
              <w:rPr>
                <w:rFonts w:ascii="Times New Roman" w:hAnsi="Times New Roman" w:cs="Times New Roman"/>
                <w:lang w:val="pt-BR"/>
              </w:rPr>
              <w:t>(c) obstacolele care ar putea împiedica exercitarea efectivă a funcțiilor de supraveghere de către autoritatea competentă, astfel cum sunt menționate la articolul 14.</w:t>
            </w:r>
          </w:p>
        </w:tc>
        <w:tc>
          <w:tcPr>
            <w:tcW w:w="1834" w:type="pct"/>
            <w:tcBorders>
              <w:top w:val="single" w:sz="4" w:space="0" w:color="auto"/>
              <w:left w:val="single" w:sz="4" w:space="0" w:color="auto"/>
              <w:right w:val="single" w:sz="4" w:space="0" w:color="auto"/>
            </w:tcBorders>
          </w:tcPr>
          <w:p w14:paraId="78A4AF05" w14:textId="77777777" w:rsidR="00AB6122" w:rsidRPr="009E686F" w:rsidRDefault="00AB6122" w:rsidP="00ED2C1C">
            <w:pPr>
              <w:spacing w:after="0"/>
              <w:jc w:val="both"/>
              <w:rPr>
                <w:rFonts w:ascii="Times New Roman" w:hAnsi="Times New Roman" w:cs="Times New Roman"/>
                <w:b/>
                <w:lang w:val="pt-BR"/>
              </w:rPr>
            </w:pPr>
          </w:p>
        </w:tc>
        <w:tc>
          <w:tcPr>
            <w:tcW w:w="470" w:type="pct"/>
            <w:tcBorders>
              <w:top w:val="single" w:sz="4" w:space="0" w:color="auto"/>
              <w:left w:val="single" w:sz="4" w:space="0" w:color="auto"/>
              <w:right w:val="single" w:sz="4" w:space="0" w:color="auto"/>
            </w:tcBorders>
          </w:tcPr>
          <w:p w14:paraId="2D9EDD0C" w14:textId="24896354" w:rsidR="00AB6122" w:rsidRPr="009E686F" w:rsidRDefault="00AB6122" w:rsidP="00AB6122">
            <w:pPr>
              <w:jc w:val="both"/>
              <w:rPr>
                <w:rFonts w:ascii="Times New Roman" w:hAnsi="Times New Roman" w:cs="Times New Roman"/>
              </w:rPr>
            </w:pPr>
            <w:r w:rsidRPr="009E686F">
              <w:rPr>
                <w:rFonts w:ascii="Times New Roman" w:hAnsi="Times New Roman" w:cs="Times New Roman"/>
              </w:rPr>
              <w:t>Norme UE neaplicabile</w:t>
            </w:r>
          </w:p>
          <w:p w14:paraId="291035A6" w14:textId="3F508505" w:rsidR="00AB6122" w:rsidRPr="009E686F" w:rsidRDefault="00AB6122" w:rsidP="00AB6122">
            <w:pPr>
              <w:jc w:val="both"/>
              <w:rPr>
                <w:rFonts w:ascii="Times New Roman" w:hAnsi="Times New Roman" w:cs="Times New Roman"/>
              </w:rPr>
            </w:pPr>
          </w:p>
        </w:tc>
        <w:tc>
          <w:tcPr>
            <w:tcW w:w="806" w:type="pct"/>
            <w:tcBorders>
              <w:top w:val="single" w:sz="4" w:space="0" w:color="auto"/>
              <w:left w:val="single" w:sz="4" w:space="0" w:color="auto"/>
              <w:right w:val="single" w:sz="4" w:space="0" w:color="auto"/>
            </w:tcBorders>
          </w:tcPr>
          <w:p w14:paraId="60DB4934" w14:textId="725359D1" w:rsidR="00AB6122" w:rsidRPr="009E686F" w:rsidRDefault="00AB6122" w:rsidP="00515783">
            <w:pPr>
              <w:spacing w:after="0"/>
              <w:jc w:val="both"/>
              <w:rPr>
                <w:rFonts w:ascii="Times New Roman" w:hAnsi="Times New Roman" w:cs="Times New Roman"/>
                <w:lang w:val="it-CH"/>
              </w:rPr>
            </w:pPr>
            <w:r w:rsidRPr="009E686F">
              <w:rPr>
                <w:rFonts w:ascii="Times New Roman" w:hAnsi="Times New Roman" w:cs="Times New Roman"/>
                <w:lang w:val="it-CH"/>
              </w:rPr>
              <w:t>Se referă la competențele ABE.</w:t>
            </w:r>
          </w:p>
        </w:tc>
      </w:tr>
      <w:tr w:rsidR="00B30AFC" w:rsidRPr="009E686F" w14:paraId="5DC0B385" w14:textId="70968628" w:rsidTr="00960C23">
        <w:tc>
          <w:tcPr>
            <w:tcW w:w="1890" w:type="pct"/>
            <w:tcBorders>
              <w:top w:val="single" w:sz="4" w:space="0" w:color="auto"/>
              <w:left w:val="single" w:sz="4" w:space="0" w:color="auto"/>
              <w:bottom w:val="single" w:sz="4" w:space="0" w:color="auto"/>
              <w:right w:val="single" w:sz="4" w:space="0" w:color="auto"/>
            </w:tcBorders>
          </w:tcPr>
          <w:p w14:paraId="75DD37C5" w14:textId="77777777" w:rsidR="00AB6122" w:rsidRPr="009E686F" w:rsidRDefault="00AB6122" w:rsidP="00ED2C1C">
            <w:pPr>
              <w:spacing w:after="0"/>
              <w:jc w:val="both"/>
              <w:rPr>
                <w:rFonts w:ascii="Times New Roman" w:hAnsi="Times New Roman" w:cs="Times New Roman"/>
                <w:lang w:val="it-CH"/>
              </w:rPr>
            </w:pPr>
            <w:r w:rsidRPr="009E686F">
              <w:rPr>
                <w:rFonts w:ascii="Times New Roman" w:hAnsi="Times New Roman" w:cs="Times New Roman"/>
                <w:lang w:val="it-CH"/>
              </w:rPr>
              <w:t>Se deleagă Comisiei competența de a adopta standardele tehnice de reglementare menționate la primul paragraf literele (a), (b) și (c), în conformitate cu articolele 10-14 din Regulamentul (UE) nr. 1093/2010.</w:t>
            </w:r>
          </w:p>
        </w:tc>
        <w:tc>
          <w:tcPr>
            <w:tcW w:w="1834" w:type="pct"/>
            <w:tcBorders>
              <w:top w:val="single" w:sz="4" w:space="0" w:color="auto"/>
              <w:left w:val="single" w:sz="4" w:space="0" w:color="auto"/>
              <w:bottom w:val="single" w:sz="4" w:space="0" w:color="auto"/>
              <w:right w:val="single" w:sz="4" w:space="0" w:color="auto"/>
            </w:tcBorders>
          </w:tcPr>
          <w:p w14:paraId="2AE2E290" w14:textId="77777777" w:rsidR="00AB6122" w:rsidRPr="009E686F" w:rsidRDefault="00AB6122" w:rsidP="00ED2C1C">
            <w:pPr>
              <w:spacing w:after="0"/>
              <w:jc w:val="both"/>
              <w:rPr>
                <w:rFonts w:ascii="Times New Roman" w:hAnsi="Times New Roman" w:cs="Times New Roman"/>
                <w:b/>
                <w:lang w:val="it-CH"/>
              </w:rPr>
            </w:pPr>
          </w:p>
        </w:tc>
        <w:tc>
          <w:tcPr>
            <w:tcW w:w="470" w:type="pct"/>
            <w:tcBorders>
              <w:top w:val="single" w:sz="4" w:space="0" w:color="auto"/>
              <w:left w:val="single" w:sz="4" w:space="0" w:color="auto"/>
              <w:bottom w:val="single" w:sz="4" w:space="0" w:color="auto"/>
              <w:right w:val="single" w:sz="4" w:space="0" w:color="auto"/>
            </w:tcBorders>
          </w:tcPr>
          <w:p w14:paraId="3F378A71" w14:textId="6AACA2A0" w:rsidR="00AB6122" w:rsidRPr="009E686F" w:rsidRDefault="00AB6122" w:rsidP="00AB6122">
            <w:pPr>
              <w:jc w:val="both"/>
              <w:rPr>
                <w:rFonts w:ascii="Times New Roman" w:hAnsi="Times New Roman" w:cs="Times New Roman"/>
              </w:rPr>
            </w:pPr>
            <w:r w:rsidRPr="009E686F">
              <w:rPr>
                <w:rFonts w:ascii="Times New Roman" w:hAnsi="Times New Roman" w:cs="Times New Roman"/>
              </w:rPr>
              <w:t>Norme UE neaplicabile</w:t>
            </w:r>
          </w:p>
          <w:p w14:paraId="51511250" w14:textId="12915402" w:rsidR="00AB6122" w:rsidRPr="009E686F" w:rsidRDefault="00AB6122" w:rsidP="00AB6122">
            <w:pPr>
              <w:jc w:val="both"/>
              <w:rPr>
                <w:rFonts w:ascii="Times New Roman" w:hAnsi="Times New Roman" w:cs="Times New Roman"/>
              </w:rPr>
            </w:pPr>
          </w:p>
        </w:tc>
        <w:tc>
          <w:tcPr>
            <w:tcW w:w="806" w:type="pct"/>
            <w:tcBorders>
              <w:top w:val="single" w:sz="4" w:space="0" w:color="auto"/>
              <w:left w:val="single" w:sz="4" w:space="0" w:color="auto"/>
              <w:bottom w:val="single" w:sz="4" w:space="0" w:color="auto"/>
              <w:right w:val="single" w:sz="4" w:space="0" w:color="auto"/>
            </w:tcBorders>
          </w:tcPr>
          <w:p w14:paraId="5D1A872D" w14:textId="12761FCB" w:rsidR="00AB6122" w:rsidRPr="009E686F" w:rsidRDefault="00AB6122" w:rsidP="00515783">
            <w:pPr>
              <w:spacing w:after="0"/>
              <w:jc w:val="both"/>
              <w:rPr>
                <w:rFonts w:ascii="Times New Roman" w:hAnsi="Times New Roman" w:cs="Times New Roman"/>
                <w:lang w:val="it-CH"/>
              </w:rPr>
            </w:pPr>
            <w:r w:rsidRPr="009E686F">
              <w:rPr>
                <w:rFonts w:ascii="Times New Roman" w:hAnsi="Times New Roman" w:cs="Times New Roman"/>
                <w:lang w:val="it-CH"/>
              </w:rPr>
              <w:t>Se referă la competențele Comisiei Europene.</w:t>
            </w:r>
          </w:p>
        </w:tc>
      </w:tr>
      <w:tr w:rsidR="00B30AFC" w:rsidRPr="009E686F" w14:paraId="764EA2C0" w14:textId="438A3DEC" w:rsidTr="00960C23">
        <w:tc>
          <w:tcPr>
            <w:tcW w:w="1890" w:type="pct"/>
            <w:tcBorders>
              <w:top w:val="single" w:sz="4" w:space="0" w:color="auto"/>
              <w:left w:val="single" w:sz="4" w:space="0" w:color="auto"/>
              <w:bottom w:val="single" w:sz="4" w:space="0" w:color="auto"/>
              <w:right w:val="single" w:sz="4" w:space="0" w:color="auto"/>
            </w:tcBorders>
          </w:tcPr>
          <w:p w14:paraId="4F393F53" w14:textId="23F778F3" w:rsidR="00AB6122" w:rsidRPr="009E686F" w:rsidRDefault="00AB6122" w:rsidP="00ED2C1C">
            <w:pPr>
              <w:spacing w:after="0"/>
              <w:jc w:val="both"/>
              <w:rPr>
                <w:rFonts w:ascii="Times New Roman" w:hAnsi="Times New Roman" w:cs="Times New Roman"/>
                <w:lang w:val="it-CH"/>
              </w:rPr>
            </w:pPr>
            <w:r w:rsidRPr="009E686F">
              <w:rPr>
                <w:rFonts w:ascii="Times New Roman" w:hAnsi="Times New Roman" w:cs="Times New Roman"/>
                <w:lang w:val="it-CH"/>
              </w:rPr>
              <w:t>(3) ABE elaborează proiecte de standarde tehnice de punere în aplicare privind formulare, modele și proceduri standard pentru transmiterea informațiilor menționate la alineatul (2) primul paragraf litera (a).</w:t>
            </w:r>
          </w:p>
          <w:p w14:paraId="623F420B" w14:textId="77777777" w:rsidR="00AB6122" w:rsidRPr="009E686F" w:rsidRDefault="00AB6122" w:rsidP="00ED2C1C">
            <w:pPr>
              <w:spacing w:after="0"/>
              <w:jc w:val="both"/>
              <w:rPr>
                <w:rFonts w:ascii="Times New Roman" w:hAnsi="Times New Roman" w:cs="Times New Roman"/>
                <w:lang w:val="it-CH"/>
              </w:rPr>
            </w:pPr>
            <w:r w:rsidRPr="009E686F">
              <w:rPr>
                <w:rFonts w:ascii="Times New Roman" w:hAnsi="Times New Roman" w:cs="Times New Roman"/>
                <w:lang w:val="it-CH"/>
              </w:rPr>
              <w:t>Se conferă Comisiei competența de a adopta standardele tehnice de punere în aplicare menționate la primul paragraf, în conformitate cu articolul 15 din Regulamentul (UE) nr. 1093/2010.</w:t>
            </w:r>
          </w:p>
        </w:tc>
        <w:tc>
          <w:tcPr>
            <w:tcW w:w="1834" w:type="pct"/>
            <w:tcBorders>
              <w:top w:val="single" w:sz="4" w:space="0" w:color="auto"/>
              <w:left w:val="single" w:sz="4" w:space="0" w:color="auto"/>
              <w:bottom w:val="single" w:sz="4" w:space="0" w:color="auto"/>
              <w:right w:val="single" w:sz="4" w:space="0" w:color="auto"/>
            </w:tcBorders>
          </w:tcPr>
          <w:p w14:paraId="3072A195" w14:textId="77777777" w:rsidR="00AB6122" w:rsidRPr="009E686F" w:rsidRDefault="00AB6122" w:rsidP="00ED2C1C">
            <w:pPr>
              <w:spacing w:after="0"/>
              <w:jc w:val="both"/>
              <w:rPr>
                <w:rFonts w:ascii="Times New Roman" w:hAnsi="Times New Roman" w:cs="Times New Roman"/>
                <w:b/>
                <w:lang w:val="it-CH"/>
              </w:rPr>
            </w:pPr>
          </w:p>
        </w:tc>
        <w:tc>
          <w:tcPr>
            <w:tcW w:w="470" w:type="pct"/>
            <w:tcBorders>
              <w:top w:val="single" w:sz="4" w:space="0" w:color="auto"/>
              <w:left w:val="single" w:sz="4" w:space="0" w:color="auto"/>
              <w:bottom w:val="single" w:sz="4" w:space="0" w:color="auto"/>
              <w:right w:val="single" w:sz="4" w:space="0" w:color="auto"/>
            </w:tcBorders>
          </w:tcPr>
          <w:p w14:paraId="07AA1C3E" w14:textId="03EC98AE" w:rsidR="00AB6122" w:rsidRPr="009E686F" w:rsidRDefault="00AB6122" w:rsidP="00AB6122">
            <w:pPr>
              <w:jc w:val="both"/>
              <w:rPr>
                <w:rFonts w:ascii="Times New Roman" w:hAnsi="Times New Roman" w:cs="Times New Roman"/>
              </w:rPr>
            </w:pPr>
            <w:r w:rsidRPr="009E686F">
              <w:rPr>
                <w:rFonts w:ascii="Times New Roman" w:hAnsi="Times New Roman" w:cs="Times New Roman"/>
              </w:rPr>
              <w:t>Norme UE neaplicabile</w:t>
            </w:r>
          </w:p>
          <w:p w14:paraId="458B1CD6" w14:textId="713053C3" w:rsidR="00AB6122" w:rsidRPr="009E686F" w:rsidRDefault="00AB6122" w:rsidP="00AB6122">
            <w:pPr>
              <w:jc w:val="both"/>
              <w:rPr>
                <w:rFonts w:ascii="Times New Roman" w:hAnsi="Times New Roman" w:cs="Times New Roman"/>
              </w:rPr>
            </w:pPr>
          </w:p>
        </w:tc>
        <w:tc>
          <w:tcPr>
            <w:tcW w:w="806" w:type="pct"/>
            <w:tcBorders>
              <w:top w:val="single" w:sz="4" w:space="0" w:color="auto"/>
              <w:left w:val="single" w:sz="4" w:space="0" w:color="auto"/>
              <w:bottom w:val="single" w:sz="4" w:space="0" w:color="auto"/>
              <w:right w:val="single" w:sz="4" w:space="0" w:color="auto"/>
            </w:tcBorders>
          </w:tcPr>
          <w:p w14:paraId="38AD958A" w14:textId="313CD9C5" w:rsidR="00AB6122" w:rsidRPr="009E686F" w:rsidRDefault="00AB6122" w:rsidP="00515783">
            <w:pPr>
              <w:spacing w:after="0"/>
              <w:jc w:val="both"/>
              <w:rPr>
                <w:rFonts w:ascii="Times New Roman" w:hAnsi="Times New Roman" w:cs="Times New Roman"/>
                <w:lang w:val="it-CH"/>
              </w:rPr>
            </w:pPr>
            <w:r w:rsidRPr="009E686F">
              <w:rPr>
                <w:rFonts w:ascii="Times New Roman" w:hAnsi="Times New Roman" w:cs="Times New Roman"/>
                <w:lang w:val="it-CH"/>
              </w:rPr>
              <w:t>Se referă la competențele ABE.</w:t>
            </w:r>
          </w:p>
        </w:tc>
      </w:tr>
      <w:tr w:rsidR="00B30AFC" w:rsidRPr="009E686F" w14:paraId="539F16C3" w14:textId="3FA57F14" w:rsidTr="00960C23">
        <w:tc>
          <w:tcPr>
            <w:tcW w:w="1890" w:type="pct"/>
            <w:tcBorders>
              <w:top w:val="single" w:sz="4" w:space="0" w:color="auto"/>
              <w:left w:val="single" w:sz="4" w:space="0" w:color="auto"/>
              <w:bottom w:val="single" w:sz="4" w:space="0" w:color="auto"/>
              <w:right w:val="single" w:sz="4" w:space="0" w:color="auto"/>
            </w:tcBorders>
          </w:tcPr>
          <w:p w14:paraId="7A49B886" w14:textId="3E8554AC" w:rsidR="00AB6122" w:rsidRPr="009E686F" w:rsidRDefault="00AB6122" w:rsidP="00ED2C1C">
            <w:pPr>
              <w:spacing w:after="0"/>
              <w:jc w:val="both"/>
              <w:rPr>
                <w:rFonts w:ascii="Times New Roman" w:hAnsi="Times New Roman" w:cs="Times New Roman"/>
                <w:lang w:val="it-CH"/>
              </w:rPr>
            </w:pPr>
            <w:r w:rsidRPr="009E686F">
              <w:rPr>
                <w:rFonts w:ascii="Times New Roman" w:hAnsi="Times New Roman" w:cs="Times New Roman"/>
                <w:lang w:val="it-CH"/>
              </w:rPr>
              <w:t>(4) ABE înaintează Comisiei proiectele de standarde tehnice menționate la alineatele (2) și (3) până la 31 decembrie 2015.</w:t>
            </w:r>
          </w:p>
        </w:tc>
        <w:tc>
          <w:tcPr>
            <w:tcW w:w="1834" w:type="pct"/>
            <w:tcBorders>
              <w:top w:val="single" w:sz="4" w:space="0" w:color="auto"/>
              <w:left w:val="single" w:sz="4" w:space="0" w:color="auto"/>
              <w:bottom w:val="single" w:sz="4" w:space="0" w:color="auto"/>
              <w:right w:val="single" w:sz="4" w:space="0" w:color="auto"/>
            </w:tcBorders>
          </w:tcPr>
          <w:p w14:paraId="18490766" w14:textId="77777777" w:rsidR="00AB6122" w:rsidRPr="009E686F" w:rsidRDefault="00AB6122" w:rsidP="00ED2C1C">
            <w:pPr>
              <w:spacing w:after="0"/>
              <w:jc w:val="both"/>
              <w:rPr>
                <w:rFonts w:ascii="Times New Roman" w:hAnsi="Times New Roman" w:cs="Times New Roman"/>
                <w:b/>
                <w:lang w:val="it-CH"/>
              </w:rPr>
            </w:pPr>
          </w:p>
        </w:tc>
        <w:tc>
          <w:tcPr>
            <w:tcW w:w="470" w:type="pct"/>
            <w:tcBorders>
              <w:top w:val="single" w:sz="4" w:space="0" w:color="auto"/>
              <w:left w:val="single" w:sz="4" w:space="0" w:color="auto"/>
              <w:bottom w:val="single" w:sz="4" w:space="0" w:color="auto"/>
              <w:right w:val="single" w:sz="4" w:space="0" w:color="auto"/>
            </w:tcBorders>
          </w:tcPr>
          <w:p w14:paraId="059B598C" w14:textId="624BFB3B" w:rsidR="00AB6122" w:rsidRPr="009E686F" w:rsidRDefault="00AB6122" w:rsidP="00AB6122">
            <w:pPr>
              <w:jc w:val="both"/>
              <w:rPr>
                <w:rFonts w:ascii="Times New Roman" w:hAnsi="Times New Roman" w:cs="Times New Roman"/>
              </w:rPr>
            </w:pPr>
            <w:r w:rsidRPr="009E686F">
              <w:rPr>
                <w:rFonts w:ascii="Times New Roman" w:hAnsi="Times New Roman" w:cs="Times New Roman"/>
              </w:rPr>
              <w:t>Norme UE neaplicabile</w:t>
            </w:r>
          </w:p>
          <w:p w14:paraId="599A0583" w14:textId="68CADCF8" w:rsidR="00AB6122" w:rsidRPr="009E686F" w:rsidRDefault="00AB6122" w:rsidP="00AB6122">
            <w:pPr>
              <w:jc w:val="both"/>
              <w:rPr>
                <w:rFonts w:ascii="Times New Roman" w:hAnsi="Times New Roman" w:cs="Times New Roman"/>
              </w:rPr>
            </w:pPr>
          </w:p>
        </w:tc>
        <w:tc>
          <w:tcPr>
            <w:tcW w:w="806" w:type="pct"/>
            <w:tcBorders>
              <w:top w:val="single" w:sz="4" w:space="0" w:color="auto"/>
              <w:left w:val="single" w:sz="4" w:space="0" w:color="auto"/>
              <w:bottom w:val="single" w:sz="4" w:space="0" w:color="auto"/>
              <w:right w:val="single" w:sz="4" w:space="0" w:color="auto"/>
            </w:tcBorders>
          </w:tcPr>
          <w:p w14:paraId="44AD9E4F" w14:textId="3AB5DB21" w:rsidR="00AB6122" w:rsidRPr="009E686F" w:rsidRDefault="00AB6122" w:rsidP="00515783">
            <w:pPr>
              <w:spacing w:after="0"/>
              <w:jc w:val="both"/>
              <w:rPr>
                <w:rFonts w:ascii="Times New Roman" w:hAnsi="Times New Roman" w:cs="Times New Roman"/>
                <w:lang w:val="it-CH"/>
              </w:rPr>
            </w:pPr>
            <w:r w:rsidRPr="009E686F">
              <w:rPr>
                <w:rFonts w:ascii="Times New Roman" w:hAnsi="Times New Roman" w:cs="Times New Roman"/>
                <w:lang w:val="it-CH"/>
              </w:rPr>
              <w:lastRenderedPageBreak/>
              <w:t>Se referă la competențele ABE.</w:t>
            </w:r>
          </w:p>
        </w:tc>
      </w:tr>
      <w:tr w:rsidR="00B30AFC" w:rsidRPr="009E686F" w14:paraId="6EEFAD86" w14:textId="77777777" w:rsidTr="00960C23">
        <w:tc>
          <w:tcPr>
            <w:tcW w:w="1890" w:type="pct"/>
            <w:tcBorders>
              <w:top w:val="single" w:sz="4" w:space="0" w:color="auto"/>
              <w:left w:val="single" w:sz="4" w:space="0" w:color="auto"/>
              <w:bottom w:val="single" w:sz="4" w:space="0" w:color="auto"/>
              <w:right w:val="single" w:sz="4" w:space="0" w:color="auto"/>
            </w:tcBorders>
          </w:tcPr>
          <w:p w14:paraId="468569D1" w14:textId="3D3A7ACA" w:rsidR="00AB6122" w:rsidRPr="009E686F" w:rsidRDefault="00AB6122" w:rsidP="00ED2C1C">
            <w:pPr>
              <w:spacing w:after="0"/>
              <w:jc w:val="both"/>
              <w:rPr>
                <w:rFonts w:ascii="Times New Roman" w:hAnsi="Times New Roman" w:cs="Times New Roman"/>
                <w:lang w:val="it-CH"/>
              </w:rPr>
            </w:pPr>
            <w:r w:rsidRPr="009E686F">
              <w:rPr>
                <w:rFonts w:ascii="Times New Roman" w:hAnsi="Times New Roman" w:cs="Times New Roman"/>
                <w:lang w:val="it-CH"/>
              </w:rPr>
              <w:t>(5) ABE emite orientări, în conformitate cu articolul 16 din Regulamentul (UE) nr. 1093/2010, adresate autorităților competente pentru a specifica o metodologie de evaluare comună pentru acordarea de autorizații în conformitate cu prezenta directivă.</w:t>
            </w:r>
          </w:p>
        </w:tc>
        <w:tc>
          <w:tcPr>
            <w:tcW w:w="1834" w:type="pct"/>
            <w:tcBorders>
              <w:top w:val="single" w:sz="4" w:space="0" w:color="auto"/>
              <w:left w:val="single" w:sz="4" w:space="0" w:color="auto"/>
              <w:bottom w:val="single" w:sz="4" w:space="0" w:color="auto"/>
              <w:right w:val="single" w:sz="4" w:space="0" w:color="auto"/>
            </w:tcBorders>
          </w:tcPr>
          <w:p w14:paraId="3E604F6B" w14:textId="77777777" w:rsidR="00AB6122" w:rsidRPr="009E686F" w:rsidRDefault="00AB6122" w:rsidP="00ED2C1C">
            <w:pPr>
              <w:spacing w:after="0"/>
              <w:jc w:val="both"/>
              <w:rPr>
                <w:rFonts w:ascii="Times New Roman" w:hAnsi="Times New Roman" w:cs="Times New Roman"/>
                <w:b/>
                <w:lang w:val="it-CH"/>
              </w:rPr>
            </w:pPr>
          </w:p>
        </w:tc>
        <w:tc>
          <w:tcPr>
            <w:tcW w:w="470" w:type="pct"/>
            <w:tcBorders>
              <w:top w:val="single" w:sz="4" w:space="0" w:color="auto"/>
              <w:left w:val="single" w:sz="4" w:space="0" w:color="auto"/>
              <w:bottom w:val="single" w:sz="4" w:space="0" w:color="auto"/>
              <w:right w:val="single" w:sz="4" w:space="0" w:color="auto"/>
            </w:tcBorders>
          </w:tcPr>
          <w:p w14:paraId="309A5F29" w14:textId="352FEF5C" w:rsidR="00AB6122" w:rsidRPr="009E686F" w:rsidRDefault="00AB6122" w:rsidP="00AB6122">
            <w:pPr>
              <w:jc w:val="both"/>
              <w:rPr>
                <w:rFonts w:ascii="Times New Roman" w:hAnsi="Times New Roman" w:cs="Times New Roman"/>
              </w:rPr>
            </w:pPr>
            <w:r w:rsidRPr="009E686F">
              <w:rPr>
                <w:rFonts w:ascii="Times New Roman" w:hAnsi="Times New Roman" w:cs="Times New Roman"/>
              </w:rPr>
              <w:t>Norme UE neaplicabile</w:t>
            </w:r>
          </w:p>
          <w:p w14:paraId="0FD38202" w14:textId="77777777" w:rsidR="00AB6122" w:rsidRPr="009E686F" w:rsidRDefault="00AB6122" w:rsidP="00AB6122">
            <w:pPr>
              <w:jc w:val="both"/>
              <w:rPr>
                <w:rFonts w:ascii="Times New Roman" w:hAnsi="Times New Roman" w:cs="Times New Roman"/>
              </w:rPr>
            </w:pPr>
          </w:p>
        </w:tc>
        <w:tc>
          <w:tcPr>
            <w:tcW w:w="806" w:type="pct"/>
            <w:tcBorders>
              <w:top w:val="single" w:sz="4" w:space="0" w:color="auto"/>
              <w:left w:val="single" w:sz="4" w:space="0" w:color="auto"/>
              <w:bottom w:val="single" w:sz="4" w:space="0" w:color="auto"/>
              <w:right w:val="single" w:sz="4" w:space="0" w:color="auto"/>
            </w:tcBorders>
          </w:tcPr>
          <w:p w14:paraId="402F3ACD" w14:textId="2CDE6E46" w:rsidR="00AB6122" w:rsidRPr="009E686F" w:rsidRDefault="00AB6122" w:rsidP="00515783">
            <w:pPr>
              <w:spacing w:after="0"/>
              <w:jc w:val="both"/>
              <w:rPr>
                <w:rFonts w:ascii="Times New Roman" w:hAnsi="Times New Roman" w:cs="Times New Roman"/>
                <w:lang w:val="it-CH"/>
              </w:rPr>
            </w:pPr>
            <w:r w:rsidRPr="009E686F">
              <w:rPr>
                <w:rFonts w:ascii="Times New Roman" w:hAnsi="Times New Roman" w:cs="Times New Roman"/>
                <w:lang w:val="it-CH"/>
              </w:rPr>
              <w:t>Se referă la competențele ABE.</w:t>
            </w:r>
          </w:p>
        </w:tc>
      </w:tr>
      <w:tr w:rsidR="00B30AFC" w:rsidRPr="009E686F" w14:paraId="1D97BF9E" w14:textId="77777777" w:rsidTr="00960C23">
        <w:tc>
          <w:tcPr>
            <w:tcW w:w="1890" w:type="pct"/>
            <w:tcBorders>
              <w:top w:val="single" w:sz="4" w:space="0" w:color="auto"/>
              <w:left w:val="single" w:sz="4" w:space="0" w:color="auto"/>
              <w:bottom w:val="single" w:sz="4" w:space="0" w:color="auto"/>
              <w:right w:val="single" w:sz="4" w:space="0" w:color="auto"/>
            </w:tcBorders>
          </w:tcPr>
          <w:p w14:paraId="73F571C6" w14:textId="77777777" w:rsidR="00AB6122" w:rsidRPr="009E686F" w:rsidRDefault="00AB6122" w:rsidP="00ED2C1C">
            <w:pPr>
              <w:spacing w:after="0"/>
              <w:jc w:val="both"/>
              <w:rPr>
                <w:rFonts w:ascii="Times New Roman" w:hAnsi="Times New Roman" w:cs="Times New Roman"/>
                <w:lang w:val="it-CH"/>
              </w:rPr>
            </w:pPr>
            <w:r w:rsidRPr="009E686F">
              <w:rPr>
                <w:rFonts w:ascii="Times New Roman" w:hAnsi="Times New Roman" w:cs="Times New Roman"/>
                <w:lang w:val="it-CH"/>
              </w:rPr>
              <w:t xml:space="preserve">Articolul 8a </w:t>
            </w:r>
          </w:p>
          <w:p w14:paraId="71F3369E" w14:textId="5E827102" w:rsidR="00AB6122" w:rsidRPr="009E686F" w:rsidRDefault="00AB6122" w:rsidP="00ED2C1C">
            <w:pPr>
              <w:spacing w:after="0"/>
              <w:jc w:val="both"/>
              <w:rPr>
                <w:rFonts w:ascii="Times New Roman" w:hAnsi="Times New Roman" w:cs="Times New Roman"/>
                <w:lang w:val="it-CH"/>
              </w:rPr>
            </w:pPr>
            <w:r w:rsidRPr="009E686F">
              <w:rPr>
                <w:rFonts w:ascii="Times New Roman" w:hAnsi="Times New Roman" w:cs="Times New Roman"/>
                <w:lang w:val="it-CH"/>
              </w:rPr>
              <w:t xml:space="preserve">Cerințe specifice pentru autorizarea </w:t>
            </w:r>
            <w:r w:rsidR="00A51A7D" w:rsidRPr="009E686F">
              <w:rPr>
                <w:rFonts w:ascii="Times New Roman" w:hAnsi="Times New Roman" w:cs="Times New Roman"/>
                <w:lang w:val="it-CH"/>
              </w:rPr>
              <w:t>instituțiilor de credit</w:t>
            </w:r>
            <w:r w:rsidRPr="009E686F">
              <w:rPr>
                <w:rFonts w:ascii="Times New Roman" w:hAnsi="Times New Roman" w:cs="Times New Roman"/>
                <w:lang w:val="it-CH"/>
              </w:rPr>
              <w:t xml:space="preserve"> menționate la articolul 4 alineatul (1) punctul 1 litera (b) din Regulamentul (UE) nr. 575/2013</w:t>
            </w:r>
          </w:p>
        </w:tc>
        <w:tc>
          <w:tcPr>
            <w:tcW w:w="1834" w:type="pct"/>
            <w:tcBorders>
              <w:top w:val="single" w:sz="4" w:space="0" w:color="auto"/>
              <w:left w:val="single" w:sz="4" w:space="0" w:color="auto"/>
              <w:bottom w:val="single" w:sz="4" w:space="0" w:color="auto"/>
              <w:right w:val="single" w:sz="4" w:space="0" w:color="auto"/>
            </w:tcBorders>
          </w:tcPr>
          <w:p w14:paraId="3782A0F1" w14:textId="7263FBC1" w:rsidR="00AB6122" w:rsidRPr="009E686F" w:rsidRDefault="00AB6122" w:rsidP="00ED2C1C">
            <w:pPr>
              <w:spacing w:after="0"/>
              <w:jc w:val="both"/>
              <w:rPr>
                <w:rFonts w:ascii="Times New Roman" w:hAnsi="Times New Roman" w:cs="Times New Roman"/>
                <w:i/>
                <w:lang w:val="it-CH"/>
              </w:rPr>
            </w:pPr>
            <w:r w:rsidRPr="009E686F">
              <w:rPr>
                <w:rFonts w:ascii="Times New Roman" w:hAnsi="Times New Roman" w:cs="Times New Roman"/>
                <w:b/>
                <w:i/>
                <w:lang w:val="it-CH"/>
              </w:rPr>
              <w:t>Articolul 23</w:t>
            </w:r>
            <w:r w:rsidRPr="009E686F">
              <w:rPr>
                <w:rFonts w:ascii="Times New Roman" w:hAnsi="Times New Roman" w:cs="Times New Roman"/>
                <w:b/>
                <w:i/>
                <w:vertAlign w:val="superscript"/>
                <w:lang w:val="it-CH"/>
              </w:rPr>
              <w:t>1</w:t>
            </w:r>
            <w:r w:rsidRPr="009E686F">
              <w:rPr>
                <w:rFonts w:ascii="Times New Roman" w:hAnsi="Times New Roman" w:cs="Times New Roman"/>
                <w:b/>
                <w:i/>
                <w:lang w:val="it-CH"/>
              </w:rPr>
              <w:t>.</w:t>
            </w:r>
            <w:r w:rsidRPr="009E686F">
              <w:rPr>
                <w:rFonts w:ascii="Times New Roman" w:hAnsi="Times New Roman" w:cs="Times New Roman"/>
                <w:i/>
                <w:lang w:val="it-CH"/>
              </w:rPr>
              <w:t xml:space="preserve"> Cerințe specifice pentru autorizarea întreprinderilor menționate la art. 3</w:t>
            </w:r>
            <w:r w:rsidR="00997311" w:rsidRPr="009E686F">
              <w:rPr>
                <w:rFonts w:ascii="Times New Roman" w:hAnsi="Times New Roman" w:cs="Times New Roman"/>
                <w:i/>
                <w:lang w:val="it-CH"/>
              </w:rPr>
              <w:t xml:space="preserve"> noțiunea de “</w:t>
            </w:r>
            <w:r w:rsidR="00A51A7D" w:rsidRPr="009E686F">
              <w:rPr>
                <w:rFonts w:ascii="Times New Roman" w:hAnsi="Times New Roman" w:cs="Times New Roman"/>
                <w:i/>
                <w:iCs/>
                <w:lang w:val="ro-RO"/>
              </w:rPr>
              <w:t>instituție de credit</w:t>
            </w:r>
            <w:r w:rsidR="00997311" w:rsidRPr="009E686F">
              <w:rPr>
                <w:rFonts w:ascii="Times New Roman" w:hAnsi="Times New Roman" w:cs="Times New Roman"/>
                <w:i/>
                <w:lang w:val="it-CH"/>
              </w:rPr>
              <w:t xml:space="preserve">” </w:t>
            </w:r>
            <w:r w:rsidRPr="009E686F">
              <w:rPr>
                <w:rFonts w:ascii="Times New Roman" w:hAnsi="Times New Roman" w:cs="Times New Roman"/>
                <w:i/>
                <w:lang w:val="it-CH"/>
              </w:rPr>
              <w:t xml:space="preserve">lit. b) ca </w:t>
            </w:r>
            <w:r w:rsidR="00A51A7D" w:rsidRPr="009E686F">
              <w:rPr>
                <w:rFonts w:ascii="Times New Roman" w:hAnsi="Times New Roman" w:cs="Times New Roman"/>
                <w:i/>
                <w:lang w:val="it-CH"/>
              </w:rPr>
              <w:t>instituții de credit</w:t>
            </w:r>
          </w:p>
        </w:tc>
        <w:tc>
          <w:tcPr>
            <w:tcW w:w="470" w:type="pct"/>
            <w:tcBorders>
              <w:top w:val="single" w:sz="4" w:space="0" w:color="auto"/>
              <w:left w:val="single" w:sz="4" w:space="0" w:color="auto"/>
              <w:bottom w:val="single" w:sz="4" w:space="0" w:color="auto"/>
              <w:right w:val="single" w:sz="4" w:space="0" w:color="auto"/>
            </w:tcBorders>
          </w:tcPr>
          <w:p w14:paraId="296504BC" w14:textId="20C0B1B5" w:rsidR="00AB6122" w:rsidRPr="009E686F" w:rsidRDefault="00AB6122" w:rsidP="00AB6122">
            <w:pPr>
              <w:jc w:val="both"/>
              <w:rPr>
                <w:rFonts w:ascii="Times New Roman" w:hAnsi="Times New Roman" w:cs="Times New Roman"/>
              </w:rPr>
            </w:pPr>
            <w:r w:rsidRPr="009E686F">
              <w:rPr>
                <w:rFonts w:ascii="Times New Roman" w:hAnsi="Times New Roman" w:cs="Times New Roman"/>
              </w:rPr>
              <w:t xml:space="preserve">Compatibil </w:t>
            </w:r>
          </w:p>
        </w:tc>
        <w:tc>
          <w:tcPr>
            <w:tcW w:w="806" w:type="pct"/>
            <w:tcBorders>
              <w:top w:val="single" w:sz="4" w:space="0" w:color="auto"/>
              <w:left w:val="single" w:sz="4" w:space="0" w:color="auto"/>
              <w:bottom w:val="single" w:sz="4" w:space="0" w:color="auto"/>
              <w:right w:val="single" w:sz="4" w:space="0" w:color="auto"/>
            </w:tcBorders>
          </w:tcPr>
          <w:p w14:paraId="23736934" w14:textId="77777777" w:rsidR="00AB6122" w:rsidRPr="009E686F" w:rsidRDefault="00AB6122" w:rsidP="00515783">
            <w:pPr>
              <w:spacing w:after="0"/>
              <w:jc w:val="both"/>
              <w:rPr>
                <w:rFonts w:ascii="Times New Roman" w:hAnsi="Times New Roman" w:cs="Times New Roman"/>
              </w:rPr>
            </w:pPr>
          </w:p>
        </w:tc>
      </w:tr>
      <w:tr w:rsidR="00B30AFC" w:rsidRPr="009E686F" w14:paraId="16217E98" w14:textId="77777777" w:rsidTr="00960C23">
        <w:tc>
          <w:tcPr>
            <w:tcW w:w="1890" w:type="pct"/>
            <w:tcBorders>
              <w:top w:val="single" w:sz="4" w:space="0" w:color="auto"/>
              <w:left w:val="single" w:sz="4" w:space="0" w:color="auto"/>
              <w:bottom w:val="single" w:sz="4" w:space="0" w:color="auto"/>
              <w:right w:val="single" w:sz="4" w:space="0" w:color="auto"/>
            </w:tcBorders>
          </w:tcPr>
          <w:p w14:paraId="3179C222" w14:textId="3C84170F" w:rsidR="00AB6122" w:rsidRPr="009E686F" w:rsidRDefault="00AB6122" w:rsidP="00ED2C1C">
            <w:pPr>
              <w:spacing w:after="0"/>
              <w:jc w:val="both"/>
              <w:rPr>
                <w:rFonts w:ascii="Times New Roman" w:hAnsi="Times New Roman" w:cs="Times New Roman"/>
                <w:lang w:val="it-CH"/>
              </w:rPr>
            </w:pPr>
            <w:r w:rsidRPr="009E686F">
              <w:rPr>
                <w:rFonts w:ascii="Times New Roman" w:hAnsi="Times New Roman" w:cs="Times New Roman"/>
                <w:lang w:val="it-CH"/>
              </w:rPr>
              <w:t>(1) Statele membre prevăd obligația întreprinderilor menționate la articolul 4 alineatul (1) punctul 1 litera (b) din Regulamentul (UE) nr. 575/2013 care au obținut deja o autorizație în temeiul titlului II din Directiva 2014/65/UE de a solicita o autorizație în conformitate cu articolul 8 cel târziu la data la care are loc oricare dintre următoarele evenimente:</w:t>
            </w:r>
          </w:p>
        </w:tc>
        <w:tc>
          <w:tcPr>
            <w:tcW w:w="1834" w:type="pct"/>
            <w:tcBorders>
              <w:top w:val="single" w:sz="4" w:space="0" w:color="auto"/>
              <w:left w:val="single" w:sz="4" w:space="0" w:color="auto"/>
              <w:bottom w:val="single" w:sz="4" w:space="0" w:color="auto"/>
              <w:right w:val="single" w:sz="4" w:space="0" w:color="auto"/>
            </w:tcBorders>
          </w:tcPr>
          <w:p w14:paraId="16413B00" w14:textId="57C66079" w:rsidR="00AB6122" w:rsidRPr="009E686F" w:rsidRDefault="00AB6122" w:rsidP="00ED2C1C">
            <w:pPr>
              <w:spacing w:after="0"/>
              <w:jc w:val="both"/>
              <w:rPr>
                <w:rFonts w:ascii="Times New Roman" w:hAnsi="Times New Roman" w:cs="Times New Roman"/>
                <w:i/>
                <w:lang w:val="it-CH"/>
              </w:rPr>
            </w:pPr>
            <w:r w:rsidRPr="009E686F">
              <w:rPr>
                <w:rFonts w:ascii="Times New Roman" w:hAnsi="Times New Roman" w:cs="Times New Roman"/>
                <w:i/>
                <w:lang w:val="it-CH"/>
              </w:rPr>
              <w:t xml:space="preserve">(1) Întreprinderile menționate la art. 3 </w:t>
            </w:r>
            <w:r w:rsidR="00997311" w:rsidRPr="009E686F">
              <w:rPr>
                <w:rFonts w:ascii="Times New Roman" w:hAnsi="Times New Roman" w:cs="Times New Roman"/>
                <w:i/>
                <w:lang w:val="it-CH"/>
              </w:rPr>
              <w:t>noțiunea de “</w:t>
            </w:r>
            <w:r w:rsidR="00A51A7D" w:rsidRPr="009E686F">
              <w:rPr>
                <w:rFonts w:ascii="Times New Roman" w:hAnsi="Times New Roman" w:cs="Times New Roman"/>
                <w:i/>
                <w:iCs/>
                <w:lang w:val="ro-RO"/>
              </w:rPr>
              <w:t>instituție de credit</w:t>
            </w:r>
            <w:r w:rsidR="00997311" w:rsidRPr="009E686F">
              <w:rPr>
                <w:rFonts w:ascii="Times New Roman" w:hAnsi="Times New Roman" w:cs="Times New Roman"/>
                <w:i/>
                <w:lang w:val="it-CH"/>
              </w:rPr>
              <w:t xml:space="preserve">” </w:t>
            </w:r>
            <w:r w:rsidRPr="009E686F">
              <w:rPr>
                <w:rFonts w:ascii="Times New Roman" w:hAnsi="Times New Roman" w:cs="Times New Roman"/>
                <w:i/>
                <w:lang w:val="it-CH"/>
              </w:rPr>
              <w:t xml:space="preserve">lit. b) care desfășoară activitățile </w:t>
            </w:r>
            <w:r w:rsidR="00CA5BEB" w:rsidRPr="009E686F">
              <w:rPr>
                <w:rFonts w:ascii="Times New Roman" w:hAnsi="Times New Roman" w:cs="Times New Roman"/>
                <w:i/>
                <w:lang w:val="it-CH"/>
              </w:rPr>
              <w:t xml:space="preserve">de tranzacţionare în cont propriu sau subscriere de instrumente financiare și/sau plasare de instrumente financiare cu angajament ferm </w:t>
            </w:r>
            <w:r w:rsidRPr="009E686F">
              <w:rPr>
                <w:rFonts w:ascii="Times New Roman" w:hAnsi="Times New Roman" w:cs="Times New Roman"/>
                <w:i/>
                <w:lang w:val="it-CH"/>
              </w:rPr>
              <w:t xml:space="preserve">trebuie să solicite Comisiei Naționale a Pieței Financiare eliberarea autorizației ca </w:t>
            </w:r>
            <w:r w:rsidR="00A51A7D" w:rsidRPr="009E686F">
              <w:rPr>
                <w:rFonts w:ascii="Times New Roman" w:hAnsi="Times New Roman" w:cs="Times New Roman"/>
                <w:i/>
                <w:lang w:val="it-CH"/>
              </w:rPr>
              <w:t>instituție de credit</w:t>
            </w:r>
            <w:r w:rsidRPr="009E686F">
              <w:rPr>
                <w:rFonts w:ascii="Times New Roman" w:hAnsi="Times New Roman" w:cs="Times New Roman"/>
                <w:i/>
                <w:lang w:val="it-CH"/>
              </w:rPr>
              <w:t xml:space="preserve"> în conformitate cu dispozițiile prezentei secțiuni și cu actele normative emise în aplicarea acesteia cel târziu la data la care are loc oricare din următoarele evenimente:</w:t>
            </w:r>
          </w:p>
        </w:tc>
        <w:tc>
          <w:tcPr>
            <w:tcW w:w="470" w:type="pct"/>
            <w:tcBorders>
              <w:top w:val="single" w:sz="4" w:space="0" w:color="auto"/>
              <w:left w:val="single" w:sz="4" w:space="0" w:color="auto"/>
              <w:bottom w:val="single" w:sz="4" w:space="0" w:color="auto"/>
              <w:right w:val="single" w:sz="4" w:space="0" w:color="auto"/>
            </w:tcBorders>
          </w:tcPr>
          <w:p w14:paraId="5DC8A63E" w14:textId="2718C0D5" w:rsidR="00AB6122" w:rsidRPr="009E686F" w:rsidRDefault="00AB6122" w:rsidP="00AB6122">
            <w:pPr>
              <w:jc w:val="both"/>
              <w:rPr>
                <w:rFonts w:ascii="Times New Roman" w:hAnsi="Times New Roman" w:cs="Times New Roman"/>
              </w:rPr>
            </w:pPr>
            <w:r w:rsidRPr="009E686F">
              <w:rPr>
                <w:rFonts w:ascii="Times New Roman" w:hAnsi="Times New Roman" w:cs="Times New Roman"/>
              </w:rPr>
              <w:t>Compatibil</w:t>
            </w:r>
          </w:p>
          <w:p w14:paraId="5F812D7D" w14:textId="136FA3A9" w:rsidR="00AB6122" w:rsidRPr="009E686F" w:rsidRDefault="00AB6122" w:rsidP="00AB6122">
            <w:pPr>
              <w:jc w:val="both"/>
              <w:rPr>
                <w:rFonts w:ascii="Times New Roman" w:hAnsi="Times New Roman" w:cs="Times New Roman"/>
              </w:rPr>
            </w:pPr>
          </w:p>
        </w:tc>
        <w:tc>
          <w:tcPr>
            <w:tcW w:w="806" w:type="pct"/>
            <w:tcBorders>
              <w:top w:val="single" w:sz="4" w:space="0" w:color="auto"/>
              <w:left w:val="single" w:sz="4" w:space="0" w:color="auto"/>
              <w:bottom w:val="single" w:sz="4" w:space="0" w:color="auto"/>
              <w:right w:val="single" w:sz="4" w:space="0" w:color="auto"/>
            </w:tcBorders>
          </w:tcPr>
          <w:p w14:paraId="79BB00FA" w14:textId="77777777" w:rsidR="00AB6122" w:rsidRPr="009E686F" w:rsidRDefault="00AB6122" w:rsidP="00515783">
            <w:pPr>
              <w:spacing w:after="0"/>
              <w:jc w:val="both"/>
              <w:rPr>
                <w:rFonts w:ascii="Times New Roman" w:hAnsi="Times New Roman" w:cs="Times New Roman"/>
              </w:rPr>
            </w:pPr>
          </w:p>
        </w:tc>
      </w:tr>
      <w:tr w:rsidR="00B30AFC" w:rsidRPr="009E686F" w14:paraId="6B58DD46" w14:textId="77777777" w:rsidTr="00960C23">
        <w:tc>
          <w:tcPr>
            <w:tcW w:w="1890" w:type="pct"/>
            <w:tcBorders>
              <w:top w:val="single" w:sz="4" w:space="0" w:color="auto"/>
              <w:left w:val="single" w:sz="4" w:space="0" w:color="auto"/>
              <w:bottom w:val="single" w:sz="4" w:space="0" w:color="auto"/>
              <w:right w:val="single" w:sz="4" w:space="0" w:color="auto"/>
            </w:tcBorders>
          </w:tcPr>
          <w:p w14:paraId="566E3E4D" w14:textId="27ED9223" w:rsidR="00AB6122" w:rsidRPr="009E686F" w:rsidRDefault="00AB6122" w:rsidP="00ED2C1C">
            <w:pPr>
              <w:spacing w:after="0"/>
              <w:jc w:val="both"/>
              <w:rPr>
                <w:rFonts w:ascii="Times New Roman" w:hAnsi="Times New Roman" w:cs="Times New Roman"/>
                <w:lang w:val="it-CH"/>
              </w:rPr>
            </w:pPr>
            <w:r w:rsidRPr="009E686F">
              <w:rPr>
                <w:rFonts w:ascii="Times New Roman" w:hAnsi="Times New Roman" w:cs="Times New Roman"/>
                <w:lang w:val="it-CH"/>
              </w:rPr>
              <w:t>(a)media activelor totale lunare, calculată pe o perioadă de 12 luni consecutive, este mai mare sau egală cu 30 de miliarde EUR; sau</w:t>
            </w:r>
          </w:p>
        </w:tc>
        <w:tc>
          <w:tcPr>
            <w:tcW w:w="1834" w:type="pct"/>
            <w:tcBorders>
              <w:top w:val="single" w:sz="4" w:space="0" w:color="auto"/>
              <w:left w:val="single" w:sz="4" w:space="0" w:color="auto"/>
              <w:bottom w:val="single" w:sz="4" w:space="0" w:color="auto"/>
              <w:right w:val="single" w:sz="4" w:space="0" w:color="auto"/>
            </w:tcBorders>
          </w:tcPr>
          <w:p w14:paraId="139027ED" w14:textId="706FDB32" w:rsidR="00AB6122" w:rsidRPr="009E686F" w:rsidRDefault="00AB6122" w:rsidP="00ED2C1C">
            <w:pPr>
              <w:spacing w:after="0"/>
              <w:jc w:val="both"/>
              <w:rPr>
                <w:rFonts w:ascii="Times New Roman" w:hAnsi="Times New Roman" w:cs="Times New Roman"/>
                <w:i/>
                <w:lang w:val="it-CH"/>
              </w:rPr>
            </w:pPr>
            <w:r w:rsidRPr="009E686F">
              <w:rPr>
                <w:rFonts w:ascii="Times New Roman" w:hAnsi="Times New Roman" w:cs="Times New Roman"/>
                <w:i/>
                <w:lang w:val="it-CH"/>
              </w:rPr>
              <w:t xml:space="preserve">a)  media activelor totale lunare, calculată pe o perioadă de 12 luni consecutive, este mai mare sau egală cu </w:t>
            </w:r>
            <w:r w:rsidR="00C32541" w:rsidRPr="009E686F">
              <w:rPr>
                <w:rFonts w:ascii="Times New Roman" w:hAnsi="Times New Roman" w:cs="Times New Roman"/>
                <w:i/>
                <w:lang w:val="it-CH"/>
              </w:rPr>
              <w:t xml:space="preserve">echivalentul în lei moldovenești a </w:t>
            </w:r>
            <w:r w:rsidRPr="009E686F">
              <w:rPr>
                <w:rFonts w:ascii="Times New Roman" w:hAnsi="Times New Roman" w:cs="Times New Roman"/>
                <w:i/>
                <w:lang w:val="it-CH"/>
              </w:rPr>
              <w:t xml:space="preserve">30 de miliarde </w:t>
            </w:r>
            <w:r w:rsidR="00C32541" w:rsidRPr="009E686F">
              <w:rPr>
                <w:rFonts w:ascii="Times New Roman" w:hAnsi="Times New Roman" w:cs="Times New Roman"/>
                <w:i/>
                <w:lang w:val="it-CH"/>
              </w:rPr>
              <w:t>euro</w:t>
            </w:r>
            <w:r w:rsidRPr="009E686F">
              <w:rPr>
                <w:rFonts w:ascii="Times New Roman" w:hAnsi="Times New Roman" w:cs="Times New Roman"/>
                <w:i/>
                <w:lang w:val="it-CH"/>
              </w:rPr>
              <w:t>; sau</w:t>
            </w:r>
          </w:p>
        </w:tc>
        <w:tc>
          <w:tcPr>
            <w:tcW w:w="470" w:type="pct"/>
            <w:tcBorders>
              <w:top w:val="single" w:sz="4" w:space="0" w:color="auto"/>
              <w:left w:val="single" w:sz="4" w:space="0" w:color="auto"/>
              <w:bottom w:val="single" w:sz="4" w:space="0" w:color="auto"/>
              <w:right w:val="single" w:sz="4" w:space="0" w:color="auto"/>
            </w:tcBorders>
          </w:tcPr>
          <w:p w14:paraId="1C587E00" w14:textId="757B6C26" w:rsidR="00AB6122" w:rsidRPr="009E686F" w:rsidRDefault="00AB6122" w:rsidP="00AB6122">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09E683BF" w14:textId="77777777" w:rsidR="00AB6122" w:rsidRPr="009E686F" w:rsidRDefault="00AB6122" w:rsidP="00515783">
            <w:pPr>
              <w:spacing w:after="0"/>
              <w:jc w:val="both"/>
              <w:rPr>
                <w:rFonts w:ascii="Times New Roman" w:hAnsi="Times New Roman" w:cs="Times New Roman"/>
              </w:rPr>
            </w:pPr>
          </w:p>
        </w:tc>
      </w:tr>
      <w:tr w:rsidR="00B30AFC" w:rsidRPr="009E686F" w14:paraId="0E9E5F16" w14:textId="77777777" w:rsidTr="00960C23">
        <w:tc>
          <w:tcPr>
            <w:tcW w:w="1890" w:type="pct"/>
            <w:tcBorders>
              <w:top w:val="single" w:sz="4" w:space="0" w:color="auto"/>
              <w:left w:val="single" w:sz="4" w:space="0" w:color="auto"/>
              <w:bottom w:val="single" w:sz="4" w:space="0" w:color="auto"/>
              <w:right w:val="single" w:sz="4" w:space="0" w:color="auto"/>
            </w:tcBorders>
          </w:tcPr>
          <w:p w14:paraId="2D45BA61" w14:textId="7C740059" w:rsidR="00AB6122" w:rsidRPr="009E686F" w:rsidRDefault="00AB6122" w:rsidP="00ED2C1C">
            <w:pPr>
              <w:spacing w:after="0"/>
              <w:jc w:val="both"/>
              <w:rPr>
                <w:rFonts w:ascii="Times New Roman" w:hAnsi="Times New Roman" w:cs="Times New Roman"/>
                <w:lang w:val="it-CH"/>
              </w:rPr>
            </w:pPr>
            <w:r w:rsidRPr="009E686F">
              <w:rPr>
                <w:rFonts w:ascii="Times New Roman" w:hAnsi="Times New Roman" w:cs="Times New Roman"/>
                <w:lang w:val="it-CH"/>
              </w:rPr>
              <w:t xml:space="preserve">(b) media activelor totale lunare, calculată pe o perioadă de 12 luni consecutive, este mai mică de 30 de miliarde EUR, iar întreprinderea face parte dintr-un grup în cadrul căruia valoarea totală a activelor consolidate ale tuturor întreprinderilor din grup stabilite în Uniune, incluzând oricare din sucursalele și filialele lor stabilite într-o țară terță, care în mod individual au active a căror valoare totală este mai mică de 30 de miliarde EUR și care desfășoară oricare dintre activitățile menționate în secțiunea A punctele 3 și 6 din anexa </w:t>
            </w:r>
            <w:r w:rsidRPr="009E686F">
              <w:rPr>
                <w:rFonts w:ascii="Times New Roman" w:hAnsi="Times New Roman" w:cs="Times New Roman"/>
                <w:lang w:val="it-CH"/>
              </w:rPr>
              <w:lastRenderedPageBreak/>
              <w:t>I la Directiva 2014/65/UE, este mai mare sau egală cu 30 de miliarde EUR, ambele cuantumuri fiind calculate ca medie pe o perioadă de 12 luni consecutive.</w:t>
            </w:r>
          </w:p>
        </w:tc>
        <w:tc>
          <w:tcPr>
            <w:tcW w:w="1834" w:type="pct"/>
            <w:tcBorders>
              <w:top w:val="single" w:sz="4" w:space="0" w:color="auto"/>
              <w:left w:val="single" w:sz="4" w:space="0" w:color="auto"/>
              <w:bottom w:val="single" w:sz="4" w:space="0" w:color="auto"/>
              <w:right w:val="single" w:sz="4" w:space="0" w:color="auto"/>
            </w:tcBorders>
          </w:tcPr>
          <w:p w14:paraId="4ECBE8B3" w14:textId="3B9C6665" w:rsidR="00AB6122" w:rsidRPr="009E686F" w:rsidRDefault="00AB6122" w:rsidP="00ED2C1C">
            <w:pPr>
              <w:spacing w:after="0"/>
              <w:jc w:val="both"/>
              <w:rPr>
                <w:rFonts w:ascii="Times New Roman" w:hAnsi="Times New Roman" w:cs="Times New Roman"/>
                <w:i/>
                <w:lang w:val="it-CH"/>
              </w:rPr>
            </w:pPr>
            <w:r w:rsidRPr="009E686F">
              <w:rPr>
                <w:rFonts w:ascii="Times New Roman" w:hAnsi="Times New Roman" w:cs="Times New Roman"/>
                <w:i/>
                <w:lang w:val="it-CH"/>
              </w:rPr>
              <w:lastRenderedPageBreak/>
              <w:t xml:space="preserve">(b) media activelor totale lunare, calculată pe o perioadă de 12 luni consecutive, este mai mică de </w:t>
            </w:r>
            <w:r w:rsidR="00C32541" w:rsidRPr="009E686F">
              <w:rPr>
                <w:rFonts w:ascii="Times New Roman" w:hAnsi="Times New Roman" w:cs="Times New Roman"/>
                <w:i/>
                <w:lang w:val="it-CH"/>
              </w:rPr>
              <w:t xml:space="preserve">echivalentul în lei moldovenești a </w:t>
            </w:r>
            <w:r w:rsidRPr="009E686F">
              <w:rPr>
                <w:rFonts w:ascii="Times New Roman" w:hAnsi="Times New Roman" w:cs="Times New Roman"/>
                <w:i/>
                <w:lang w:val="it-CH"/>
              </w:rPr>
              <w:t xml:space="preserve">30 de miliarde </w:t>
            </w:r>
            <w:r w:rsidR="00C32541" w:rsidRPr="009E686F">
              <w:rPr>
                <w:rFonts w:ascii="Times New Roman" w:hAnsi="Times New Roman" w:cs="Times New Roman"/>
                <w:i/>
                <w:lang w:val="it-CH"/>
              </w:rPr>
              <w:t>euro</w:t>
            </w:r>
            <w:r w:rsidRPr="009E686F">
              <w:rPr>
                <w:rFonts w:ascii="Times New Roman" w:hAnsi="Times New Roman" w:cs="Times New Roman"/>
                <w:i/>
                <w:lang w:val="it-CH"/>
              </w:rPr>
              <w:t xml:space="preserve">, iar întreprinderea face parte dintr-un grup în cadrul căruia valoarea totală a activelor consolidate ale tuturor întreprinderilor din grup stabilite în UE, incluzând oricare din sucursalele și filialele lor stabilite într-un stat terț, care în mod individual au active a căror valoare totală este mai mică de echivalentul în </w:t>
            </w:r>
            <w:r w:rsidR="00407942" w:rsidRPr="009E686F">
              <w:rPr>
                <w:rFonts w:ascii="Times New Roman" w:hAnsi="Times New Roman" w:cs="Times New Roman"/>
                <w:i/>
                <w:lang w:val="it-CH"/>
              </w:rPr>
              <w:t xml:space="preserve">lei moldovenești </w:t>
            </w:r>
            <w:r w:rsidRPr="009E686F">
              <w:rPr>
                <w:rFonts w:ascii="Times New Roman" w:hAnsi="Times New Roman" w:cs="Times New Roman"/>
                <w:i/>
                <w:lang w:val="it-CH"/>
              </w:rPr>
              <w:t xml:space="preserve">a 30 de miliarde </w:t>
            </w:r>
            <w:r w:rsidR="00665997" w:rsidRPr="009E686F">
              <w:rPr>
                <w:rFonts w:ascii="Times New Roman" w:hAnsi="Times New Roman" w:cs="Times New Roman"/>
                <w:i/>
                <w:lang w:val="it-CH"/>
              </w:rPr>
              <w:t xml:space="preserve">euro </w:t>
            </w:r>
            <w:r w:rsidRPr="009E686F">
              <w:rPr>
                <w:rFonts w:ascii="Times New Roman" w:hAnsi="Times New Roman" w:cs="Times New Roman"/>
                <w:i/>
                <w:lang w:val="it-CH"/>
              </w:rPr>
              <w:t xml:space="preserve">și care desfășoară </w:t>
            </w:r>
            <w:r w:rsidRPr="009E686F">
              <w:rPr>
                <w:rFonts w:ascii="Times New Roman" w:hAnsi="Times New Roman" w:cs="Times New Roman"/>
                <w:i/>
                <w:lang w:val="it-CH"/>
              </w:rPr>
              <w:lastRenderedPageBreak/>
              <w:t xml:space="preserve">oricare dintre activitățile </w:t>
            </w:r>
            <w:r w:rsidR="00CA5BEB" w:rsidRPr="009E686F">
              <w:rPr>
                <w:rFonts w:ascii="Times New Roman" w:hAnsi="Times New Roman" w:cs="Times New Roman"/>
                <w:i/>
                <w:lang w:val="it-CH"/>
              </w:rPr>
              <w:t xml:space="preserve">de tranzacţionare în cont propriu sau subscriere de instrumente financiare și/sau plasare de instrumente financiare cu angajament ferm </w:t>
            </w:r>
            <w:r w:rsidRPr="009E686F">
              <w:rPr>
                <w:rFonts w:ascii="Times New Roman" w:hAnsi="Times New Roman" w:cs="Times New Roman"/>
                <w:i/>
                <w:lang w:val="it-CH"/>
              </w:rPr>
              <w:t xml:space="preserve">privind piața de capital, este mai mare sau egală cu echivalentul în </w:t>
            </w:r>
            <w:r w:rsidR="00407942" w:rsidRPr="009E686F">
              <w:rPr>
                <w:rFonts w:ascii="Times New Roman" w:hAnsi="Times New Roman" w:cs="Times New Roman"/>
                <w:i/>
                <w:lang w:val="it-CH"/>
              </w:rPr>
              <w:t xml:space="preserve">lei moldovenești </w:t>
            </w:r>
            <w:r w:rsidRPr="009E686F">
              <w:rPr>
                <w:rFonts w:ascii="Times New Roman" w:hAnsi="Times New Roman" w:cs="Times New Roman"/>
                <w:i/>
                <w:lang w:val="it-CH"/>
              </w:rPr>
              <w:t xml:space="preserve">a 30 de miliarde </w:t>
            </w:r>
            <w:r w:rsidR="00665997" w:rsidRPr="009E686F">
              <w:rPr>
                <w:rFonts w:ascii="Times New Roman" w:hAnsi="Times New Roman" w:cs="Times New Roman"/>
                <w:i/>
                <w:lang w:val="it-CH"/>
              </w:rPr>
              <w:t>euro</w:t>
            </w:r>
            <w:r w:rsidRPr="009E686F">
              <w:rPr>
                <w:rFonts w:ascii="Times New Roman" w:hAnsi="Times New Roman" w:cs="Times New Roman"/>
                <w:i/>
                <w:lang w:val="it-CH"/>
              </w:rPr>
              <w:t>, ambele cuantumuri fiind calculate ca medie pe o perioadă de 12 luni consecutive.</w:t>
            </w:r>
          </w:p>
        </w:tc>
        <w:tc>
          <w:tcPr>
            <w:tcW w:w="470" w:type="pct"/>
            <w:tcBorders>
              <w:top w:val="single" w:sz="4" w:space="0" w:color="auto"/>
              <w:left w:val="single" w:sz="4" w:space="0" w:color="auto"/>
              <w:bottom w:val="single" w:sz="4" w:space="0" w:color="auto"/>
              <w:right w:val="single" w:sz="4" w:space="0" w:color="auto"/>
            </w:tcBorders>
          </w:tcPr>
          <w:p w14:paraId="7FAAF0D1" w14:textId="26939BA7" w:rsidR="00AB6122" w:rsidRPr="009E686F" w:rsidRDefault="00AB6122" w:rsidP="00AB6122">
            <w:pPr>
              <w:jc w:val="both"/>
              <w:rPr>
                <w:rFonts w:ascii="Times New Roman" w:hAnsi="Times New Roman" w:cs="Times New Roman"/>
              </w:rPr>
            </w:pPr>
            <w:r w:rsidRPr="009E686F">
              <w:rPr>
                <w:rFonts w:ascii="Times New Roman" w:hAnsi="Times New Roman" w:cs="Times New Roman"/>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5BE5814D" w14:textId="77777777" w:rsidR="00AB6122" w:rsidRPr="009E686F" w:rsidRDefault="00AB6122" w:rsidP="00515783">
            <w:pPr>
              <w:spacing w:after="0"/>
              <w:jc w:val="both"/>
              <w:rPr>
                <w:rFonts w:ascii="Times New Roman" w:hAnsi="Times New Roman" w:cs="Times New Roman"/>
              </w:rPr>
            </w:pPr>
          </w:p>
        </w:tc>
      </w:tr>
      <w:tr w:rsidR="00B30AFC" w:rsidRPr="009E686F" w14:paraId="6B86CC42" w14:textId="77777777" w:rsidTr="00960C23">
        <w:tc>
          <w:tcPr>
            <w:tcW w:w="1890" w:type="pct"/>
            <w:tcBorders>
              <w:top w:val="single" w:sz="4" w:space="0" w:color="auto"/>
              <w:left w:val="single" w:sz="4" w:space="0" w:color="auto"/>
              <w:bottom w:val="single" w:sz="4" w:space="0" w:color="auto"/>
              <w:right w:val="single" w:sz="4" w:space="0" w:color="auto"/>
            </w:tcBorders>
          </w:tcPr>
          <w:p w14:paraId="471B9BA9" w14:textId="14874EEB" w:rsidR="00AB6122" w:rsidRPr="009E686F" w:rsidRDefault="00AB6122" w:rsidP="00ED2C1C">
            <w:pPr>
              <w:spacing w:after="0"/>
              <w:jc w:val="both"/>
              <w:rPr>
                <w:rFonts w:ascii="Times New Roman" w:hAnsi="Times New Roman" w:cs="Times New Roman"/>
                <w:lang w:val="it-CH"/>
              </w:rPr>
            </w:pPr>
            <w:r w:rsidRPr="009E686F">
              <w:rPr>
                <w:rFonts w:ascii="Times New Roman" w:hAnsi="Times New Roman" w:cs="Times New Roman"/>
                <w:lang w:val="it-CH"/>
              </w:rPr>
              <w:t>(2)   Întreprinderile menționate la alineatul (1) din prezentul articol pot desfășura în continuare activitățile menționate la articolul 4 alineatul (1) punctul 1 litera (b) din Regulamentul (UE) nr. 575/2013 până la obținerea autorizației menționate la alineatul (1) de la prezentul articol.</w:t>
            </w:r>
          </w:p>
        </w:tc>
        <w:tc>
          <w:tcPr>
            <w:tcW w:w="1834" w:type="pct"/>
            <w:tcBorders>
              <w:top w:val="single" w:sz="4" w:space="0" w:color="auto"/>
              <w:left w:val="single" w:sz="4" w:space="0" w:color="auto"/>
              <w:bottom w:val="single" w:sz="4" w:space="0" w:color="auto"/>
              <w:right w:val="single" w:sz="4" w:space="0" w:color="auto"/>
            </w:tcBorders>
          </w:tcPr>
          <w:p w14:paraId="7F394A65" w14:textId="49611EF7" w:rsidR="00AB6122" w:rsidRPr="009E686F" w:rsidRDefault="00AB6122" w:rsidP="00ED2C1C">
            <w:pPr>
              <w:spacing w:after="0"/>
              <w:jc w:val="both"/>
              <w:rPr>
                <w:rFonts w:ascii="Times New Roman" w:hAnsi="Times New Roman" w:cs="Times New Roman"/>
                <w:bCs/>
                <w:i/>
                <w:iCs/>
                <w:lang w:val="it-CH"/>
              </w:rPr>
            </w:pPr>
            <w:r w:rsidRPr="009E686F">
              <w:rPr>
                <w:rFonts w:ascii="Times New Roman" w:hAnsi="Times New Roman" w:cs="Times New Roman"/>
                <w:i/>
                <w:lang w:val="it-CH"/>
              </w:rPr>
              <w:t xml:space="preserve">(2) Întreprinderile menționate la alin. (1) pot desfășura în continuare activităţile </w:t>
            </w:r>
            <w:r w:rsidR="00CA5BEB" w:rsidRPr="009E686F">
              <w:rPr>
                <w:rFonts w:ascii="Times New Roman" w:hAnsi="Times New Roman" w:cs="Times New Roman"/>
                <w:i/>
                <w:lang w:val="it-CH"/>
              </w:rPr>
              <w:t xml:space="preserve">de tranzacţionare în cont propriu sau subscriere de instrumente financiare și/sau plasare de instrumente financiare cu angajament ferm </w:t>
            </w:r>
            <w:r w:rsidRPr="009E686F">
              <w:rPr>
                <w:rFonts w:ascii="Times New Roman" w:hAnsi="Times New Roman" w:cs="Times New Roman"/>
                <w:i/>
                <w:lang w:val="it-CH"/>
              </w:rPr>
              <w:t xml:space="preserve">până la obţinerea autorizației  menţionate la alin. </w:t>
            </w:r>
            <w:r w:rsidRPr="009E686F">
              <w:rPr>
                <w:rFonts w:ascii="Times New Roman" w:hAnsi="Times New Roman" w:cs="Times New Roman"/>
                <w:bCs/>
                <w:i/>
                <w:iCs/>
                <w:lang w:val="it-IT"/>
              </w:rPr>
              <w:t>(1).</w:t>
            </w:r>
          </w:p>
        </w:tc>
        <w:tc>
          <w:tcPr>
            <w:tcW w:w="470" w:type="pct"/>
            <w:tcBorders>
              <w:top w:val="single" w:sz="4" w:space="0" w:color="auto"/>
              <w:left w:val="single" w:sz="4" w:space="0" w:color="auto"/>
              <w:bottom w:val="single" w:sz="4" w:space="0" w:color="auto"/>
              <w:right w:val="single" w:sz="4" w:space="0" w:color="auto"/>
            </w:tcBorders>
          </w:tcPr>
          <w:p w14:paraId="53E7FD8D" w14:textId="70E6BF71" w:rsidR="00AB6122" w:rsidRPr="009E686F" w:rsidRDefault="00AB6122" w:rsidP="00AB6122">
            <w:pPr>
              <w:jc w:val="both"/>
              <w:rPr>
                <w:rFonts w:ascii="Times New Roman" w:hAnsi="Times New Roman" w:cs="Times New Roman"/>
              </w:rPr>
            </w:pPr>
            <w:r w:rsidRPr="009E686F">
              <w:rPr>
                <w:rFonts w:ascii="Times New Roman" w:hAnsi="Times New Roman" w:cs="Times New Roman"/>
              </w:rPr>
              <w:t xml:space="preserve">Compatibil </w:t>
            </w:r>
          </w:p>
        </w:tc>
        <w:tc>
          <w:tcPr>
            <w:tcW w:w="806" w:type="pct"/>
            <w:tcBorders>
              <w:top w:val="single" w:sz="4" w:space="0" w:color="auto"/>
              <w:left w:val="single" w:sz="4" w:space="0" w:color="auto"/>
              <w:bottom w:val="single" w:sz="4" w:space="0" w:color="auto"/>
              <w:right w:val="single" w:sz="4" w:space="0" w:color="auto"/>
            </w:tcBorders>
          </w:tcPr>
          <w:p w14:paraId="05F6E39E" w14:textId="77777777" w:rsidR="00AB6122" w:rsidRPr="009E686F" w:rsidRDefault="00AB6122" w:rsidP="00515783">
            <w:pPr>
              <w:spacing w:after="0"/>
              <w:jc w:val="both"/>
              <w:rPr>
                <w:rFonts w:ascii="Times New Roman" w:hAnsi="Times New Roman" w:cs="Times New Roman"/>
              </w:rPr>
            </w:pPr>
          </w:p>
        </w:tc>
      </w:tr>
      <w:tr w:rsidR="00B30AFC" w:rsidRPr="009E686F" w14:paraId="0AF7B929" w14:textId="77777777" w:rsidTr="00960C23">
        <w:tc>
          <w:tcPr>
            <w:tcW w:w="1890" w:type="pct"/>
            <w:tcBorders>
              <w:top w:val="single" w:sz="4" w:space="0" w:color="auto"/>
              <w:left w:val="single" w:sz="4" w:space="0" w:color="auto"/>
              <w:bottom w:val="single" w:sz="4" w:space="0" w:color="auto"/>
              <w:right w:val="single" w:sz="4" w:space="0" w:color="auto"/>
            </w:tcBorders>
          </w:tcPr>
          <w:p w14:paraId="0906EE87" w14:textId="6BAC3CA5" w:rsidR="00AB6122" w:rsidRPr="009E686F" w:rsidRDefault="00AB6122" w:rsidP="00ED2C1C">
            <w:pPr>
              <w:spacing w:after="0"/>
              <w:jc w:val="both"/>
              <w:rPr>
                <w:rFonts w:ascii="Times New Roman" w:hAnsi="Times New Roman" w:cs="Times New Roman"/>
                <w:lang w:val="it-CH"/>
              </w:rPr>
            </w:pPr>
            <w:r w:rsidRPr="009E686F">
              <w:rPr>
                <w:rFonts w:ascii="Times New Roman" w:hAnsi="Times New Roman" w:cs="Times New Roman"/>
                <w:lang w:val="it-CH"/>
              </w:rPr>
              <w:t>(3) Prin derogare de la alineatul (1) din prezentul articol, întreprinderile menționate la articolul 4 alineatul (1) punctul 1 litera (b) din Regulamentul (UE) nr. 575/2013, care la 24 decembrie 2019 desfășoară activități ca firme de investiții autorizate în temeiul Directivei 2014/65/UE, trebuie să solicite o autorizație în conformitate cu articolul 8 din prezenta directivă până la 27 decembrie 2020.</w:t>
            </w:r>
          </w:p>
        </w:tc>
        <w:tc>
          <w:tcPr>
            <w:tcW w:w="1834" w:type="pct"/>
            <w:tcBorders>
              <w:top w:val="single" w:sz="4" w:space="0" w:color="auto"/>
              <w:left w:val="single" w:sz="4" w:space="0" w:color="auto"/>
              <w:bottom w:val="single" w:sz="4" w:space="0" w:color="auto"/>
              <w:right w:val="single" w:sz="4" w:space="0" w:color="auto"/>
            </w:tcBorders>
          </w:tcPr>
          <w:p w14:paraId="1E2AC428" w14:textId="249EE9B9" w:rsidR="00AB6122" w:rsidRPr="009E686F" w:rsidRDefault="00AB6122" w:rsidP="00ED2C1C">
            <w:pPr>
              <w:spacing w:after="0"/>
              <w:jc w:val="both"/>
              <w:rPr>
                <w:rFonts w:ascii="Times New Roman" w:hAnsi="Times New Roman" w:cs="Times New Roman"/>
                <w:lang w:val="it-CH"/>
              </w:rPr>
            </w:pPr>
          </w:p>
        </w:tc>
        <w:tc>
          <w:tcPr>
            <w:tcW w:w="470" w:type="pct"/>
            <w:tcBorders>
              <w:top w:val="single" w:sz="4" w:space="0" w:color="auto"/>
              <w:left w:val="single" w:sz="4" w:space="0" w:color="auto"/>
              <w:bottom w:val="single" w:sz="4" w:space="0" w:color="auto"/>
              <w:right w:val="single" w:sz="4" w:space="0" w:color="auto"/>
            </w:tcBorders>
          </w:tcPr>
          <w:p w14:paraId="69B3F5F7" w14:textId="4296329F" w:rsidR="00AB6122" w:rsidRPr="009E686F" w:rsidRDefault="00AB6122" w:rsidP="00AB6122">
            <w:pPr>
              <w:jc w:val="both"/>
              <w:rPr>
                <w:rFonts w:ascii="Times New Roman" w:hAnsi="Times New Roman" w:cs="Times New Roman"/>
              </w:rPr>
            </w:pPr>
            <w:r w:rsidRPr="009E686F">
              <w:rPr>
                <w:rFonts w:ascii="Times New Roman" w:hAnsi="Times New Roman" w:cs="Times New Roman"/>
              </w:rPr>
              <w:t>Norme UE netranspuse</w:t>
            </w:r>
          </w:p>
        </w:tc>
        <w:tc>
          <w:tcPr>
            <w:tcW w:w="806" w:type="pct"/>
            <w:tcBorders>
              <w:top w:val="single" w:sz="4" w:space="0" w:color="auto"/>
              <w:left w:val="single" w:sz="4" w:space="0" w:color="auto"/>
              <w:bottom w:val="single" w:sz="4" w:space="0" w:color="auto"/>
              <w:right w:val="single" w:sz="4" w:space="0" w:color="auto"/>
            </w:tcBorders>
          </w:tcPr>
          <w:p w14:paraId="6FE98C0F" w14:textId="18E4FCCF" w:rsidR="00AB6122" w:rsidRPr="009E686F" w:rsidRDefault="00AB6122" w:rsidP="00515783">
            <w:pPr>
              <w:spacing w:after="0"/>
              <w:jc w:val="both"/>
              <w:rPr>
                <w:rFonts w:ascii="Times New Roman" w:hAnsi="Times New Roman" w:cs="Times New Roman"/>
                <w:lang w:val="ro-RO"/>
              </w:rPr>
            </w:pPr>
            <w:r w:rsidRPr="009E686F">
              <w:rPr>
                <w:rFonts w:ascii="Times New Roman" w:hAnsi="Times New Roman" w:cs="Times New Roman"/>
                <w:lang w:val="ro-RO"/>
              </w:rPr>
              <w:t>Nu a fost preluată această dispoziie tranzitoriu, având în vedere că Republica Moldova nu avea statut de stat membru la 27 decembrie 2019. Totodată, din noțiunea de „instituție” reies următoarele:</w:t>
            </w:r>
          </w:p>
          <w:p w14:paraId="6DAF1043" w14:textId="52B5C976" w:rsidR="00AB6122" w:rsidRPr="009E686F" w:rsidRDefault="00AB6122" w:rsidP="00515783">
            <w:pPr>
              <w:spacing w:after="0"/>
              <w:jc w:val="both"/>
              <w:rPr>
                <w:rFonts w:ascii="Times New Roman" w:hAnsi="Times New Roman" w:cs="Times New Roman"/>
                <w:lang w:val="ro-RO"/>
              </w:rPr>
            </w:pPr>
            <w:r w:rsidRPr="009E686F">
              <w:rPr>
                <w:rFonts w:ascii="Times New Roman" w:hAnsi="Times New Roman" w:cs="Times New Roman"/>
                <w:lang w:val="ro-RO"/>
              </w:rPr>
              <w:t xml:space="preserve"> 1. definiția din Regulamentul (UE) nr. 575/2013 include componenta referitoare la întreprinderile menționate la art. 8a alin. (3) din Directiva 2013/36/UE, respectiv, entități care, la 24 decembrie 2019, desfășurau activități ca firme de investiții </w:t>
            </w:r>
            <w:r w:rsidRPr="009E686F">
              <w:rPr>
                <w:rFonts w:ascii="Times New Roman" w:hAnsi="Times New Roman" w:cs="Times New Roman"/>
                <w:lang w:val="ro-RO"/>
              </w:rPr>
              <w:lastRenderedPageBreak/>
              <w:t xml:space="preserve">autorizate în temeiul Directivei 2014/65/UE și care aveau termen până la 27 decembrie 2020 pentru a obține autorizația ca </w:t>
            </w:r>
            <w:r w:rsidR="00A51A7D" w:rsidRPr="009E686F">
              <w:rPr>
                <w:rFonts w:ascii="Times New Roman" w:hAnsi="Times New Roman" w:cs="Times New Roman"/>
                <w:i/>
                <w:iCs/>
                <w:lang w:val="ro-RO"/>
              </w:rPr>
              <w:t>instituție de credit</w:t>
            </w:r>
            <w:r w:rsidRPr="009E686F">
              <w:rPr>
                <w:rFonts w:ascii="Times New Roman" w:hAnsi="Times New Roman" w:cs="Times New Roman"/>
                <w:lang w:val="ro-RO"/>
              </w:rPr>
              <w:t>. În acea perioadă, Republica Moldova nu avea statut de stat membru al Uniunii Europene.</w:t>
            </w:r>
          </w:p>
          <w:p w14:paraId="37EFF0DA" w14:textId="196717C0" w:rsidR="00AB6122" w:rsidRPr="009E686F" w:rsidRDefault="00AB6122" w:rsidP="00515783">
            <w:pPr>
              <w:spacing w:after="0"/>
              <w:jc w:val="both"/>
              <w:rPr>
                <w:rFonts w:ascii="Times New Roman" w:hAnsi="Times New Roman" w:cs="Times New Roman"/>
                <w:lang w:val="pt-BR"/>
              </w:rPr>
            </w:pPr>
            <w:r w:rsidRPr="009E686F">
              <w:rPr>
                <w:rFonts w:ascii="Times New Roman" w:hAnsi="Times New Roman" w:cs="Times New Roman"/>
                <w:lang w:val="ro-RO"/>
              </w:rPr>
              <w:t xml:space="preserve">2. prima parte a definiției se referă la „instituție” ca fiind o </w:t>
            </w:r>
            <w:r w:rsidR="00A51A7D" w:rsidRPr="009E686F">
              <w:rPr>
                <w:rFonts w:ascii="Times New Roman" w:hAnsi="Times New Roman" w:cs="Times New Roman"/>
                <w:i/>
                <w:iCs/>
                <w:lang w:val="ro-RO"/>
              </w:rPr>
              <w:t>instituție de credit</w:t>
            </w:r>
            <w:r w:rsidRPr="009E686F">
              <w:rPr>
                <w:rFonts w:ascii="Times New Roman" w:hAnsi="Times New Roman" w:cs="Times New Roman"/>
                <w:lang w:val="ro-RO"/>
              </w:rPr>
              <w:t xml:space="preserve"> autorizată în conformitate cu art. 8 din Directiva 2013/36/UE, respectiv, preluarea doar a noțiunii de </w:t>
            </w:r>
            <w:r w:rsidRPr="009E686F">
              <w:rPr>
                <w:rFonts w:ascii="Times New Roman" w:hAnsi="Times New Roman" w:cs="Times New Roman"/>
                <w:lang w:val="pt-BR"/>
              </w:rPr>
              <w:t>“</w:t>
            </w:r>
            <w:r w:rsidRPr="009E686F">
              <w:rPr>
                <w:rFonts w:ascii="Times New Roman" w:hAnsi="Times New Roman" w:cs="Times New Roman"/>
                <w:lang w:val="ro-RO"/>
              </w:rPr>
              <w:t>instituție</w:t>
            </w:r>
            <w:r w:rsidRPr="009E686F">
              <w:rPr>
                <w:rFonts w:ascii="Times New Roman" w:hAnsi="Times New Roman" w:cs="Times New Roman"/>
                <w:lang w:val="pt-BR"/>
              </w:rPr>
              <w:t>” este suficientă și corespunde abordării directivei.</w:t>
            </w:r>
          </w:p>
        </w:tc>
      </w:tr>
      <w:tr w:rsidR="00B30AFC" w:rsidRPr="009E686F" w14:paraId="6CFF8441" w14:textId="77777777" w:rsidTr="00960C23">
        <w:tc>
          <w:tcPr>
            <w:tcW w:w="1890" w:type="pct"/>
            <w:tcBorders>
              <w:top w:val="single" w:sz="4" w:space="0" w:color="auto"/>
              <w:left w:val="single" w:sz="4" w:space="0" w:color="auto"/>
              <w:bottom w:val="single" w:sz="4" w:space="0" w:color="auto"/>
              <w:right w:val="single" w:sz="4" w:space="0" w:color="auto"/>
            </w:tcBorders>
          </w:tcPr>
          <w:p w14:paraId="652D65C2" w14:textId="58562340" w:rsidR="00AB6122" w:rsidRPr="009E686F" w:rsidRDefault="00AB6122" w:rsidP="00ED2C1C">
            <w:pPr>
              <w:spacing w:after="0"/>
              <w:jc w:val="both"/>
              <w:rPr>
                <w:rFonts w:ascii="Times New Roman" w:hAnsi="Times New Roman" w:cs="Times New Roman"/>
                <w:lang w:val="pt-BR"/>
              </w:rPr>
            </w:pPr>
            <w:r w:rsidRPr="009E686F">
              <w:rPr>
                <w:rFonts w:ascii="Times New Roman" w:hAnsi="Times New Roman" w:cs="Times New Roman"/>
                <w:lang w:val="pt-BR"/>
              </w:rPr>
              <w:lastRenderedPageBreak/>
              <w:t xml:space="preserve">„(3a) Prin derogare de la alineatul (1) de la prezentul articol, pe baza solicitării primite în conformitate cu alineatul respectiv și a informațiilor primite în conformitate cu articolul 95a din Directiva 2014/65/UE, autoritatea competentă poate, după primirea unei cereri din partea unei întreprinderi menționate la alineatul (1) de la prezentul articol, să acorde o derogare întreprinderii respective de la cerința de a obține o autorizație ca </w:t>
            </w:r>
            <w:r w:rsidR="00A51A7D" w:rsidRPr="009E686F">
              <w:rPr>
                <w:rFonts w:ascii="Times New Roman" w:hAnsi="Times New Roman" w:cs="Times New Roman"/>
                <w:lang w:val="pt-BR"/>
              </w:rPr>
              <w:t>instituție de credit</w:t>
            </w:r>
            <w:r w:rsidRPr="009E686F">
              <w:rPr>
                <w:rFonts w:ascii="Times New Roman" w:hAnsi="Times New Roman" w:cs="Times New Roman"/>
                <w:lang w:val="pt-BR"/>
              </w:rPr>
              <w:t xml:space="preserve"> în conformitate cu articolul 8 din prezenta directivă.</w:t>
            </w:r>
          </w:p>
        </w:tc>
        <w:tc>
          <w:tcPr>
            <w:tcW w:w="1834" w:type="pct"/>
            <w:tcBorders>
              <w:top w:val="single" w:sz="4" w:space="0" w:color="auto"/>
              <w:left w:val="single" w:sz="4" w:space="0" w:color="auto"/>
              <w:bottom w:val="single" w:sz="4" w:space="0" w:color="auto"/>
              <w:right w:val="single" w:sz="4" w:space="0" w:color="auto"/>
            </w:tcBorders>
          </w:tcPr>
          <w:p w14:paraId="01B37C8D" w14:textId="6AC0F50B" w:rsidR="00AB6122" w:rsidRPr="009E686F" w:rsidRDefault="00AB6122" w:rsidP="00ED2C1C">
            <w:pPr>
              <w:spacing w:after="0"/>
              <w:jc w:val="both"/>
              <w:rPr>
                <w:rFonts w:ascii="Times New Roman" w:hAnsi="Times New Roman" w:cs="Times New Roman"/>
                <w:b/>
                <w:lang w:val="pt-BR"/>
              </w:rPr>
            </w:pPr>
            <w:r w:rsidRPr="009E686F">
              <w:rPr>
                <w:rFonts w:ascii="Times New Roman" w:hAnsi="Times New Roman" w:cs="Times New Roman"/>
                <w:i/>
                <w:lang w:val="pt-BR"/>
              </w:rPr>
              <w:t>(</w:t>
            </w:r>
            <w:r w:rsidR="00C30EFC" w:rsidRPr="009E686F">
              <w:rPr>
                <w:rFonts w:ascii="Times New Roman" w:hAnsi="Times New Roman" w:cs="Times New Roman"/>
                <w:i/>
                <w:lang w:val="pt-BR"/>
              </w:rPr>
              <w:t>3</w:t>
            </w:r>
            <w:r w:rsidRPr="009E686F">
              <w:rPr>
                <w:rFonts w:ascii="Times New Roman" w:hAnsi="Times New Roman" w:cs="Times New Roman"/>
                <w:i/>
                <w:lang w:val="pt-BR"/>
              </w:rPr>
              <w:t xml:space="preserve">) Prin derogare de la alin. (1), în baza solicitării eliberării autorizației ca </w:t>
            </w:r>
            <w:r w:rsidR="00A51A7D" w:rsidRPr="009E686F">
              <w:rPr>
                <w:rFonts w:ascii="Times New Roman" w:hAnsi="Times New Roman" w:cs="Times New Roman"/>
                <w:i/>
                <w:lang w:val="pt-BR"/>
              </w:rPr>
              <w:t>instituție de credit</w:t>
            </w:r>
            <w:r w:rsidRPr="009E686F">
              <w:rPr>
                <w:rFonts w:ascii="Times New Roman" w:hAnsi="Times New Roman" w:cs="Times New Roman"/>
                <w:i/>
                <w:lang w:val="pt-BR"/>
              </w:rPr>
              <w:t xml:space="preserve"> și a informațiilor corespunzătoare, Comisa Națională a Pieței Financiare poate, după recepționarea unei cereri din partea unei întreprinderi menționate la alin. </w:t>
            </w:r>
            <w:r w:rsidRPr="009E686F">
              <w:rPr>
                <w:rFonts w:ascii="Times New Roman" w:hAnsi="Times New Roman" w:cs="Times New Roman"/>
                <w:bCs/>
                <w:i/>
                <w:iCs/>
                <w:lang w:val="pt-BR"/>
              </w:rPr>
              <w:t xml:space="preserve">(1) să acorde o derogare întreprinderii respective de la cerința de a obține autorizația ca </w:t>
            </w:r>
            <w:r w:rsidR="00A51A7D" w:rsidRPr="009E686F">
              <w:rPr>
                <w:rFonts w:ascii="Times New Roman" w:hAnsi="Times New Roman" w:cs="Times New Roman"/>
                <w:bCs/>
                <w:i/>
                <w:iCs/>
                <w:lang w:val="pt-BR"/>
              </w:rPr>
              <w:t>instituție de credit</w:t>
            </w:r>
            <w:r w:rsidRPr="009E686F">
              <w:rPr>
                <w:rFonts w:ascii="Times New Roman" w:hAnsi="Times New Roman" w:cs="Times New Roman"/>
                <w:bCs/>
                <w:i/>
                <w:iCs/>
                <w:lang w:val="pt-BR"/>
              </w:rPr>
              <w:t xml:space="preserve"> în conformitate cu prezenta lege</w:t>
            </w:r>
            <w:r w:rsidRPr="009E686F">
              <w:rPr>
                <w:rFonts w:ascii="Times New Roman" w:hAnsi="Times New Roman" w:cs="Times New Roman"/>
                <w:bCs/>
                <w:lang w:val="pt-BR"/>
              </w:rPr>
              <w:t>.</w:t>
            </w:r>
          </w:p>
        </w:tc>
        <w:tc>
          <w:tcPr>
            <w:tcW w:w="470" w:type="pct"/>
            <w:tcBorders>
              <w:top w:val="single" w:sz="4" w:space="0" w:color="auto"/>
              <w:left w:val="single" w:sz="4" w:space="0" w:color="auto"/>
              <w:bottom w:val="single" w:sz="4" w:space="0" w:color="auto"/>
              <w:right w:val="single" w:sz="4" w:space="0" w:color="auto"/>
            </w:tcBorders>
          </w:tcPr>
          <w:p w14:paraId="5DBDD528" w14:textId="3630ABF1" w:rsidR="00AB6122" w:rsidRPr="009E686F" w:rsidRDefault="00AB6122" w:rsidP="00AB6122">
            <w:pPr>
              <w:jc w:val="both"/>
              <w:rPr>
                <w:rFonts w:ascii="Times New Roman" w:hAnsi="Times New Roman" w:cs="Times New Roman"/>
              </w:rPr>
            </w:pPr>
            <w:r w:rsidRPr="009E686F">
              <w:rPr>
                <w:rFonts w:ascii="Times New Roman" w:hAnsi="Times New Roman" w:cs="Times New Roman"/>
              </w:rPr>
              <w:t xml:space="preserve">Compatibil </w:t>
            </w:r>
          </w:p>
        </w:tc>
        <w:tc>
          <w:tcPr>
            <w:tcW w:w="806" w:type="pct"/>
            <w:tcBorders>
              <w:top w:val="single" w:sz="4" w:space="0" w:color="auto"/>
              <w:left w:val="single" w:sz="4" w:space="0" w:color="auto"/>
              <w:bottom w:val="single" w:sz="4" w:space="0" w:color="auto"/>
              <w:right w:val="single" w:sz="4" w:space="0" w:color="auto"/>
            </w:tcBorders>
          </w:tcPr>
          <w:p w14:paraId="56A7589E" w14:textId="77777777" w:rsidR="00AB6122" w:rsidRPr="009E686F" w:rsidRDefault="00AB6122" w:rsidP="00515783">
            <w:pPr>
              <w:spacing w:after="0"/>
              <w:jc w:val="both"/>
              <w:rPr>
                <w:rFonts w:ascii="Times New Roman" w:hAnsi="Times New Roman" w:cs="Times New Roman"/>
              </w:rPr>
            </w:pPr>
          </w:p>
        </w:tc>
      </w:tr>
      <w:tr w:rsidR="00B30AFC" w:rsidRPr="009E686F" w14:paraId="23A721A8" w14:textId="77777777" w:rsidTr="00960C23">
        <w:tc>
          <w:tcPr>
            <w:tcW w:w="1890" w:type="pct"/>
            <w:tcBorders>
              <w:top w:val="single" w:sz="4" w:space="0" w:color="auto"/>
              <w:left w:val="single" w:sz="4" w:space="0" w:color="auto"/>
              <w:bottom w:val="single" w:sz="4" w:space="0" w:color="auto"/>
              <w:right w:val="single" w:sz="4" w:space="0" w:color="auto"/>
            </w:tcBorders>
          </w:tcPr>
          <w:p w14:paraId="2A0F9B2A" w14:textId="2187B64E" w:rsidR="00AB6122" w:rsidRPr="009E686F" w:rsidRDefault="00AB6122" w:rsidP="00ED2C1C">
            <w:pPr>
              <w:spacing w:after="0"/>
              <w:jc w:val="both"/>
              <w:rPr>
                <w:rFonts w:ascii="Times New Roman" w:hAnsi="Times New Roman" w:cs="Times New Roman"/>
                <w:lang w:val="pt-BR"/>
              </w:rPr>
            </w:pPr>
            <w:r w:rsidRPr="009E686F">
              <w:rPr>
                <w:rFonts w:ascii="Times New Roman" w:hAnsi="Times New Roman" w:cs="Times New Roman"/>
                <w:lang w:val="pt-BR"/>
              </w:rPr>
              <w:lastRenderedPageBreak/>
              <w:t>Atunci când primește o cerere de derogare, autoritatea competentă informează ABE în acest sens. ABE emite un aviz cu privire la respectiva cerere de derogare în termen de o lună de la notificarea din partea autorității competente. Autoritatea competentă ia o decizie cu privire la cererea de derogare, ținând seama de avizul ABE și cel puțin de următoarele elemente:</w:t>
            </w:r>
          </w:p>
        </w:tc>
        <w:tc>
          <w:tcPr>
            <w:tcW w:w="1834" w:type="pct"/>
            <w:tcBorders>
              <w:top w:val="single" w:sz="4" w:space="0" w:color="auto"/>
              <w:left w:val="single" w:sz="4" w:space="0" w:color="auto"/>
              <w:bottom w:val="single" w:sz="4" w:space="0" w:color="auto"/>
              <w:right w:val="single" w:sz="4" w:space="0" w:color="auto"/>
            </w:tcBorders>
          </w:tcPr>
          <w:p w14:paraId="76FF4E19" w14:textId="41909F7A" w:rsidR="00AB6122" w:rsidRPr="009E686F" w:rsidRDefault="00AB6122" w:rsidP="00ED2C1C">
            <w:pPr>
              <w:spacing w:after="0"/>
              <w:jc w:val="both"/>
              <w:rPr>
                <w:rFonts w:ascii="Times New Roman" w:hAnsi="Times New Roman" w:cs="Times New Roman"/>
                <w:bCs/>
                <w:i/>
                <w:iCs/>
                <w:lang w:val="it-IT"/>
              </w:rPr>
            </w:pPr>
            <w:r w:rsidRPr="009E686F">
              <w:rPr>
                <w:rFonts w:ascii="Times New Roman" w:hAnsi="Times New Roman" w:cs="Times New Roman"/>
                <w:bCs/>
                <w:i/>
                <w:iCs/>
                <w:lang w:val="it-IT"/>
              </w:rPr>
              <w:t>(</w:t>
            </w:r>
            <w:r w:rsidR="00C30EFC" w:rsidRPr="009E686F">
              <w:rPr>
                <w:rFonts w:ascii="Times New Roman" w:hAnsi="Times New Roman" w:cs="Times New Roman"/>
                <w:bCs/>
                <w:i/>
                <w:iCs/>
                <w:lang w:val="it-IT"/>
              </w:rPr>
              <w:t>4</w:t>
            </w:r>
            <w:r w:rsidRPr="009E686F">
              <w:rPr>
                <w:rFonts w:ascii="Times New Roman" w:hAnsi="Times New Roman" w:cs="Times New Roman"/>
                <w:bCs/>
                <w:i/>
                <w:iCs/>
                <w:lang w:val="it-IT"/>
              </w:rPr>
              <w:t>) Comisia Națională a Pieței Financiare informează Autoritatea Bancară Europeană despre recepționarea unei cereri de derogare în conformitate cu alin. (4) și, decide cu privire la respectiva cerere, luând în considerare avizul recepționat din partea Autorității Bancare Europene, precum și următoarele elemente:</w:t>
            </w:r>
          </w:p>
        </w:tc>
        <w:tc>
          <w:tcPr>
            <w:tcW w:w="470" w:type="pct"/>
            <w:tcBorders>
              <w:top w:val="single" w:sz="4" w:space="0" w:color="auto"/>
              <w:left w:val="single" w:sz="4" w:space="0" w:color="auto"/>
              <w:bottom w:val="single" w:sz="4" w:space="0" w:color="auto"/>
              <w:right w:val="single" w:sz="4" w:space="0" w:color="auto"/>
            </w:tcBorders>
          </w:tcPr>
          <w:p w14:paraId="3B6416EF" w14:textId="2B265834" w:rsidR="00AB6122" w:rsidRPr="009E686F" w:rsidRDefault="00AB6122" w:rsidP="00AB6122">
            <w:pPr>
              <w:jc w:val="both"/>
              <w:rPr>
                <w:rFonts w:ascii="Times New Roman" w:hAnsi="Times New Roman" w:cs="Times New Roman"/>
                <w:lang w:val="it-IT"/>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62259581" w14:textId="77777777" w:rsidR="00741699" w:rsidRPr="009E686F" w:rsidRDefault="00741699" w:rsidP="00741699">
            <w:r w:rsidRPr="009E686F">
              <w:rPr>
                <w:rFonts w:ascii="Times New Roman" w:hAnsi="Times New Roman" w:cs="Times New Roman"/>
                <w:lang w:val="ro-RO"/>
              </w:rPr>
              <w:t>În vigoare – data aderării.</w:t>
            </w:r>
          </w:p>
          <w:p w14:paraId="09D0A06D" w14:textId="77777777" w:rsidR="00AB6122" w:rsidRPr="009E686F" w:rsidRDefault="00AB6122" w:rsidP="00515783">
            <w:pPr>
              <w:spacing w:after="0"/>
              <w:jc w:val="both"/>
              <w:rPr>
                <w:rFonts w:ascii="Times New Roman" w:hAnsi="Times New Roman" w:cs="Times New Roman"/>
                <w:lang w:val="it-IT"/>
              </w:rPr>
            </w:pPr>
          </w:p>
        </w:tc>
      </w:tr>
      <w:tr w:rsidR="00B30AFC" w:rsidRPr="009E686F" w14:paraId="14A7B626" w14:textId="77777777" w:rsidTr="00960C23">
        <w:tc>
          <w:tcPr>
            <w:tcW w:w="1890" w:type="pct"/>
            <w:tcBorders>
              <w:top w:val="single" w:sz="4" w:space="0" w:color="auto"/>
              <w:left w:val="single" w:sz="4" w:space="0" w:color="auto"/>
              <w:bottom w:val="single" w:sz="4" w:space="0" w:color="auto"/>
              <w:right w:val="single" w:sz="4" w:space="0" w:color="auto"/>
            </w:tcBorders>
          </w:tcPr>
          <w:p w14:paraId="10230EC3" w14:textId="65C587A8" w:rsidR="00AB6122" w:rsidRPr="009E686F" w:rsidRDefault="00AB6122" w:rsidP="00ED2C1C">
            <w:pPr>
              <w:spacing w:after="0"/>
              <w:jc w:val="both"/>
              <w:rPr>
                <w:rFonts w:ascii="Times New Roman" w:hAnsi="Times New Roman" w:cs="Times New Roman"/>
                <w:lang w:val="it-CH"/>
              </w:rPr>
            </w:pPr>
            <w:r w:rsidRPr="009E686F">
              <w:rPr>
                <w:rFonts w:ascii="Times New Roman" w:hAnsi="Times New Roman" w:cs="Times New Roman"/>
                <w:lang w:val="it-CH"/>
              </w:rPr>
              <w:t>(a) în cazul în care întreprinderea face parte dintr-un grup, structura organizatorică a grupului, practicile de contabilizare predominante în cadrul grupului și alocarea activelor între entitățile din grup;</w:t>
            </w:r>
          </w:p>
          <w:p w14:paraId="323D4355" w14:textId="58E495E0" w:rsidR="00AB6122" w:rsidRPr="009E686F" w:rsidRDefault="00AB6122" w:rsidP="00ED2C1C">
            <w:pPr>
              <w:spacing w:after="0"/>
              <w:jc w:val="both"/>
              <w:rPr>
                <w:rFonts w:ascii="Times New Roman" w:hAnsi="Times New Roman" w:cs="Times New Roman"/>
                <w:lang w:val="it-CH"/>
              </w:rPr>
            </w:pPr>
            <w:r w:rsidRPr="009E686F">
              <w:rPr>
                <w:rFonts w:ascii="Times New Roman" w:hAnsi="Times New Roman" w:cs="Times New Roman"/>
                <w:lang w:val="it-CH"/>
              </w:rPr>
              <w:t>(b) natura, amploarea și complexitatea activităților desfășurate de întreprindere în statul membru în care este stabilită și în Uniune în general;</w:t>
            </w:r>
          </w:p>
          <w:p w14:paraId="48554A6C" w14:textId="36486DAA" w:rsidR="00AB6122" w:rsidRPr="009E686F" w:rsidRDefault="00AB6122" w:rsidP="00ED2C1C">
            <w:pPr>
              <w:spacing w:after="0"/>
              <w:jc w:val="both"/>
              <w:rPr>
                <w:rFonts w:ascii="Times New Roman" w:hAnsi="Times New Roman" w:cs="Times New Roman"/>
                <w:lang w:val="it-CH"/>
              </w:rPr>
            </w:pPr>
            <w:r w:rsidRPr="009E686F">
              <w:rPr>
                <w:rFonts w:ascii="Times New Roman" w:hAnsi="Times New Roman" w:cs="Times New Roman"/>
                <w:lang w:val="it-CH"/>
              </w:rPr>
              <w:t>(c) importanța și riscul sistemic pe care îl prezintă activitățile desfășurate de întreprindere în statul membru în care este stabilită și în Uniune în ansamblu.</w:t>
            </w:r>
          </w:p>
        </w:tc>
        <w:tc>
          <w:tcPr>
            <w:tcW w:w="1834" w:type="pct"/>
            <w:tcBorders>
              <w:top w:val="single" w:sz="4" w:space="0" w:color="auto"/>
              <w:left w:val="single" w:sz="4" w:space="0" w:color="auto"/>
              <w:bottom w:val="single" w:sz="4" w:space="0" w:color="auto"/>
              <w:right w:val="single" w:sz="4" w:space="0" w:color="auto"/>
            </w:tcBorders>
          </w:tcPr>
          <w:p w14:paraId="1C853FE9" w14:textId="77777777" w:rsidR="00AB6122" w:rsidRPr="009E686F" w:rsidRDefault="00AB6122" w:rsidP="00ED2C1C">
            <w:pPr>
              <w:spacing w:after="0"/>
              <w:jc w:val="both"/>
              <w:rPr>
                <w:rFonts w:ascii="Times New Roman" w:hAnsi="Times New Roman" w:cs="Times New Roman"/>
                <w:i/>
                <w:lang w:val="it-CH"/>
              </w:rPr>
            </w:pPr>
            <w:r w:rsidRPr="009E686F">
              <w:rPr>
                <w:rFonts w:ascii="Times New Roman" w:hAnsi="Times New Roman" w:cs="Times New Roman"/>
                <w:i/>
                <w:lang w:val="it-CH"/>
              </w:rPr>
              <w:t xml:space="preserve">a) în cazul în care întreprinderea face parte dintr-un grup, structura organizatorică a grupului, practicile de contabilizare predominante în cadrul grupului și alocarea activelor între entitățile din grup; </w:t>
            </w:r>
          </w:p>
          <w:p w14:paraId="3EF1902E" w14:textId="2DEDC19F" w:rsidR="00AB6122" w:rsidRPr="009E686F" w:rsidRDefault="00AB6122" w:rsidP="00ED2C1C">
            <w:pPr>
              <w:spacing w:after="0"/>
              <w:jc w:val="both"/>
              <w:rPr>
                <w:rFonts w:ascii="Times New Roman" w:hAnsi="Times New Roman" w:cs="Times New Roman"/>
                <w:i/>
                <w:lang w:val="it-CH"/>
              </w:rPr>
            </w:pPr>
            <w:r w:rsidRPr="009E686F">
              <w:rPr>
                <w:rFonts w:ascii="Times New Roman" w:hAnsi="Times New Roman" w:cs="Times New Roman"/>
                <w:i/>
                <w:lang w:val="it-CH"/>
              </w:rPr>
              <w:t xml:space="preserve">b) natura, amploarea și complexitatea activităților desfășurate de întreprindere în statul membru în care este stabilită și în </w:t>
            </w:r>
            <w:r w:rsidR="00864DB5" w:rsidRPr="009E686F">
              <w:rPr>
                <w:rFonts w:ascii="Times New Roman" w:hAnsi="Times New Roman" w:cs="Times New Roman"/>
                <w:i/>
                <w:lang w:val="it-CH"/>
              </w:rPr>
              <w:t xml:space="preserve">UE </w:t>
            </w:r>
            <w:r w:rsidRPr="009E686F">
              <w:rPr>
                <w:rFonts w:ascii="Times New Roman" w:hAnsi="Times New Roman" w:cs="Times New Roman"/>
                <w:i/>
                <w:lang w:val="it-CH"/>
              </w:rPr>
              <w:t xml:space="preserve">în general; </w:t>
            </w:r>
          </w:p>
          <w:p w14:paraId="3DF81926" w14:textId="1529CD14" w:rsidR="00AB6122" w:rsidRPr="009E686F" w:rsidRDefault="00AB6122" w:rsidP="00ED2C1C">
            <w:pPr>
              <w:spacing w:after="0"/>
              <w:jc w:val="both"/>
              <w:rPr>
                <w:rFonts w:ascii="Times New Roman" w:hAnsi="Times New Roman" w:cs="Times New Roman"/>
                <w:i/>
                <w:lang w:val="it-CH"/>
              </w:rPr>
            </w:pPr>
            <w:r w:rsidRPr="009E686F">
              <w:rPr>
                <w:rFonts w:ascii="Times New Roman" w:hAnsi="Times New Roman" w:cs="Times New Roman"/>
                <w:i/>
                <w:lang w:val="it-CH"/>
              </w:rPr>
              <w:t xml:space="preserve">c) importanța și riscul sistemic pe care îl prezintă activitățile desfășurate de întreprindere în statul membru în care este stabilită și în </w:t>
            </w:r>
            <w:r w:rsidR="00864DB5" w:rsidRPr="009E686F">
              <w:rPr>
                <w:rFonts w:ascii="Times New Roman" w:hAnsi="Times New Roman" w:cs="Times New Roman"/>
                <w:i/>
                <w:lang w:val="it-CH"/>
              </w:rPr>
              <w:t xml:space="preserve">UE </w:t>
            </w:r>
            <w:r w:rsidRPr="009E686F">
              <w:rPr>
                <w:rFonts w:ascii="Times New Roman" w:hAnsi="Times New Roman" w:cs="Times New Roman"/>
                <w:i/>
                <w:lang w:val="it-CH"/>
              </w:rPr>
              <w:t>în ansamblu.</w:t>
            </w:r>
          </w:p>
        </w:tc>
        <w:tc>
          <w:tcPr>
            <w:tcW w:w="470" w:type="pct"/>
            <w:tcBorders>
              <w:top w:val="single" w:sz="4" w:space="0" w:color="auto"/>
              <w:left w:val="single" w:sz="4" w:space="0" w:color="auto"/>
              <w:bottom w:val="single" w:sz="4" w:space="0" w:color="auto"/>
              <w:right w:val="single" w:sz="4" w:space="0" w:color="auto"/>
            </w:tcBorders>
          </w:tcPr>
          <w:p w14:paraId="71E9ADE7" w14:textId="71094D93" w:rsidR="00AB6122" w:rsidRPr="009E686F" w:rsidRDefault="00AB6122" w:rsidP="00AB6122">
            <w:pPr>
              <w:jc w:val="both"/>
              <w:rPr>
                <w:rFonts w:ascii="Times New Roman" w:hAnsi="Times New Roman" w:cs="Times New Roman"/>
                <w:lang w:val="pt-BR"/>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480B8440" w14:textId="77777777" w:rsidR="00741699" w:rsidRPr="009E686F" w:rsidRDefault="00741699" w:rsidP="00741699">
            <w:r w:rsidRPr="009E686F">
              <w:rPr>
                <w:rFonts w:ascii="Times New Roman" w:hAnsi="Times New Roman" w:cs="Times New Roman"/>
                <w:lang w:val="ro-RO"/>
              </w:rPr>
              <w:t>În vigoare – data aderării.</w:t>
            </w:r>
          </w:p>
          <w:p w14:paraId="2CC174B9" w14:textId="77777777" w:rsidR="00AB6122" w:rsidRPr="009E686F" w:rsidRDefault="00AB6122" w:rsidP="00515783">
            <w:pPr>
              <w:spacing w:after="0"/>
              <w:jc w:val="both"/>
              <w:rPr>
                <w:rFonts w:ascii="Times New Roman" w:hAnsi="Times New Roman" w:cs="Times New Roman"/>
                <w:lang w:val="pt-BR"/>
              </w:rPr>
            </w:pPr>
          </w:p>
        </w:tc>
      </w:tr>
      <w:tr w:rsidR="00B30AFC" w:rsidRPr="009E686F" w14:paraId="3312B935" w14:textId="77777777" w:rsidTr="00960C23">
        <w:tc>
          <w:tcPr>
            <w:tcW w:w="1890" w:type="pct"/>
            <w:tcBorders>
              <w:top w:val="single" w:sz="4" w:space="0" w:color="auto"/>
              <w:left w:val="single" w:sz="4" w:space="0" w:color="auto"/>
              <w:bottom w:val="single" w:sz="4" w:space="0" w:color="auto"/>
              <w:right w:val="single" w:sz="4" w:space="0" w:color="auto"/>
            </w:tcBorders>
          </w:tcPr>
          <w:p w14:paraId="06EE50B7" w14:textId="1613C246" w:rsidR="00AB6122" w:rsidRPr="009E686F" w:rsidRDefault="00AB6122" w:rsidP="00ED2C1C">
            <w:pPr>
              <w:spacing w:after="0"/>
              <w:jc w:val="both"/>
              <w:rPr>
                <w:rFonts w:ascii="Times New Roman" w:hAnsi="Times New Roman" w:cs="Times New Roman"/>
                <w:lang w:val="it-CH"/>
              </w:rPr>
            </w:pPr>
            <w:r w:rsidRPr="009E686F">
              <w:rPr>
                <w:rFonts w:ascii="Times New Roman" w:hAnsi="Times New Roman" w:cs="Times New Roman"/>
                <w:lang w:val="it-CH"/>
              </w:rPr>
              <w:t>În cazul în care decizia autorității competente se abate de la avizul furnizat de ABE, autoritatea competentă precizează în decizia sa motivele abaterii.</w:t>
            </w:r>
          </w:p>
          <w:p w14:paraId="7D6C541D" w14:textId="0B41A5B5" w:rsidR="00AB6122" w:rsidRPr="009E686F" w:rsidRDefault="00AB6122" w:rsidP="00ED2C1C">
            <w:pPr>
              <w:spacing w:after="0"/>
              <w:jc w:val="both"/>
              <w:rPr>
                <w:rFonts w:ascii="Times New Roman" w:hAnsi="Times New Roman" w:cs="Times New Roman"/>
                <w:lang w:val="pt-BR"/>
              </w:rPr>
            </w:pPr>
            <w:r w:rsidRPr="009E686F">
              <w:rPr>
                <w:rFonts w:ascii="Times New Roman" w:hAnsi="Times New Roman" w:cs="Times New Roman"/>
                <w:lang w:val="it-CH"/>
              </w:rPr>
              <w:t xml:space="preserve">Autoritatea competentă notifică decizia sa întreprinderii în cauză și ABE. </w:t>
            </w:r>
            <w:r w:rsidRPr="009E686F">
              <w:rPr>
                <w:rFonts w:ascii="Times New Roman" w:hAnsi="Times New Roman" w:cs="Times New Roman"/>
                <w:lang w:val="pt-BR"/>
              </w:rPr>
              <w:t>ABE publică pe site-ul său web decizia respectivă, însoțită de avizul său.</w:t>
            </w:r>
          </w:p>
          <w:p w14:paraId="4B74D2AA" w14:textId="10C2E218" w:rsidR="00AB6122" w:rsidRPr="009E686F" w:rsidRDefault="00AB6122" w:rsidP="00ED2C1C">
            <w:pPr>
              <w:spacing w:after="0"/>
              <w:jc w:val="both"/>
              <w:rPr>
                <w:rFonts w:ascii="Times New Roman" w:hAnsi="Times New Roman" w:cs="Times New Roman"/>
                <w:lang w:val="it-CH"/>
              </w:rPr>
            </w:pPr>
            <w:r w:rsidRPr="009E686F">
              <w:rPr>
                <w:rFonts w:ascii="Times New Roman" w:hAnsi="Times New Roman" w:cs="Times New Roman"/>
                <w:lang w:val="it-CH"/>
              </w:rPr>
              <w:t>Autoritatea competentă își reevaluează decizia o dată la trei ani.</w:t>
            </w:r>
          </w:p>
        </w:tc>
        <w:tc>
          <w:tcPr>
            <w:tcW w:w="1834" w:type="pct"/>
            <w:tcBorders>
              <w:top w:val="single" w:sz="4" w:space="0" w:color="auto"/>
              <w:left w:val="single" w:sz="4" w:space="0" w:color="auto"/>
              <w:bottom w:val="single" w:sz="4" w:space="0" w:color="auto"/>
              <w:right w:val="single" w:sz="4" w:space="0" w:color="auto"/>
            </w:tcBorders>
          </w:tcPr>
          <w:p w14:paraId="4E47D92B" w14:textId="746412D1" w:rsidR="00AB6122" w:rsidRPr="009E686F" w:rsidRDefault="00AB6122" w:rsidP="00ED2C1C">
            <w:pPr>
              <w:spacing w:after="0"/>
              <w:jc w:val="both"/>
              <w:rPr>
                <w:rFonts w:ascii="Times New Roman" w:hAnsi="Times New Roman" w:cs="Times New Roman"/>
                <w:bCs/>
                <w:i/>
                <w:iCs/>
                <w:lang w:val="it-CH"/>
              </w:rPr>
            </w:pPr>
            <w:r w:rsidRPr="009E686F">
              <w:rPr>
                <w:rFonts w:ascii="Times New Roman" w:hAnsi="Times New Roman" w:cs="Times New Roman"/>
                <w:bCs/>
                <w:i/>
                <w:iCs/>
                <w:lang w:val="it-CH"/>
              </w:rPr>
              <w:t>(</w:t>
            </w:r>
            <w:r w:rsidR="00C30EFC" w:rsidRPr="009E686F">
              <w:rPr>
                <w:rFonts w:ascii="Times New Roman" w:hAnsi="Times New Roman" w:cs="Times New Roman"/>
                <w:bCs/>
                <w:i/>
                <w:iCs/>
                <w:lang w:val="it-CH"/>
              </w:rPr>
              <w:t>5</w:t>
            </w:r>
            <w:r w:rsidRPr="009E686F">
              <w:rPr>
                <w:rFonts w:ascii="Times New Roman" w:hAnsi="Times New Roman" w:cs="Times New Roman"/>
                <w:bCs/>
                <w:i/>
                <w:iCs/>
                <w:lang w:val="it-CH"/>
              </w:rPr>
              <w:t xml:space="preserve">) În cazul în care hotărârea Comisiei Naționale a Pieței Financiare nu corespunde cu avizul Autorității Bancare Europene, aceasta va cuprinde în mod expres motivele abaterii. </w:t>
            </w:r>
          </w:p>
          <w:p w14:paraId="56890CB5" w14:textId="3C5F7BE9" w:rsidR="00AB6122" w:rsidRPr="009E686F" w:rsidRDefault="00AB6122" w:rsidP="00ED2C1C">
            <w:pPr>
              <w:spacing w:after="0"/>
              <w:jc w:val="both"/>
              <w:rPr>
                <w:rFonts w:ascii="Times New Roman" w:hAnsi="Times New Roman" w:cs="Times New Roman"/>
                <w:bCs/>
                <w:i/>
                <w:iCs/>
                <w:lang w:val="it-CH"/>
              </w:rPr>
            </w:pPr>
            <w:r w:rsidRPr="009E686F">
              <w:rPr>
                <w:rFonts w:ascii="Times New Roman" w:hAnsi="Times New Roman" w:cs="Times New Roman"/>
                <w:bCs/>
                <w:i/>
                <w:iCs/>
                <w:lang w:val="it-CH"/>
              </w:rPr>
              <w:t>(</w:t>
            </w:r>
            <w:r w:rsidR="00C30EFC" w:rsidRPr="009E686F">
              <w:rPr>
                <w:rFonts w:ascii="Times New Roman" w:hAnsi="Times New Roman" w:cs="Times New Roman"/>
                <w:bCs/>
                <w:i/>
                <w:iCs/>
                <w:lang w:val="it-CH"/>
              </w:rPr>
              <w:t>6</w:t>
            </w:r>
            <w:r w:rsidRPr="009E686F">
              <w:rPr>
                <w:rFonts w:ascii="Times New Roman" w:hAnsi="Times New Roman" w:cs="Times New Roman"/>
                <w:bCs/>
                <w:i/>
                <w:iCs/>
                <w:lang w:val="it-CH"/>
              </w:rPr>
              <w:t>) Comisia Națională a Pieței Financiare notifică hotărârea menționată la alin. (5) întreprinderii în cauză și Autorității Bancare Europene și reevaluează hotărârea respectivă o dată la 3 ani.</w:t>
            </w:r>
          </w:p>
        </w:tc>
        <w:tc>
          <w:tcPr>
            <w:tcW w:w="470" w:type="pct"/>
            <w:tcBorders>
              <w:top w:val="single" w:sz="4" w:space="0" w:color="auto"/>
              <w:left w:val="single" w:sz="4" w:space="0" w:color="auto"/>
              <w:bottom w:val="single" w:sz="4" w:space="0" w:color="auto"/>
              <w:right w:val="single" w:sz="4" w:space="0" w:color="auto"/>
            </w:tcBorders>
          </w:tcPr>
          <w:p w14:paraId="62B959B6" w14:textId="5D712C01" w:rsidR="00AB6122" w:rsidRPr="009E686F" w:rsidRDefault="00AB6122" w:rsidP="00AB6122">
            <w:pPr>
              <w:jc w:val="both"/>
              <w:rPr>
                <w:rFonts w:ascii="Times New Roman" w:hAnsi="Times New Roman" w:cs="Times New Roman"/>
                <w:lang w:val="it-CH"/>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19B6099B" w14:textId="77777777" w:rsidR="00741699" w:rsidRPr="009E686F" w:rsidRDefault="00741699" w:rsidP="00741699">
            <w:r w:rsidRPr="009E686F">
              <w:rPr>
                <w:rFonts w:ascii="Times New Roman" w:hAnsi="Times New Roman" w:cs="Times New Roman"/>
                <w:lang w:val="ro-RO"/>
              </w:rPr>
              <w:t>În vigoare – data aderării.</w:t>
            </w:r>
          </w:p>
          <w:p w14:paraId="7BB392C6" w14:textId="77777777" w:rsidR="00AB6122" w:rsidRPr="009E686F" w:rsidRDefault="00AB6122" w:rsidP="00515783">
            <w:pPr>
              <w:spacing w:after="0"/>
              <w:jc w:val="both"/>
              <w:rPr>
                <w:rFonts w:ascii="Times New Roman" w:hAnsi="Times New Roman" w:cs="Times New Roman"/>
                <w:lang w:val="it-CH"/>
              </w:rPr>
            </w:pPr>
          </w:p>
        </w:tc>
      </w:tr>
      <w:tr w:rsidR="00C96734" w:rsidRPr="009E686F" w14:paraId="1D027312" w14:textId="77777777" w:rsidTr="00960C23">
        <w:tc>
          <w:tcPr>
            <w:tcW w:w="1890" w:type="pct"/>
            <w:tcBorders>
              <w:top w:val="single" w:sz="4" w:space="0" w:color="auto"/>
              <w:left w:val="single" w:sz="4" w:space="0" w:color="auto"/>
              <w:bottom w:val="single" w:sz="4" w:space="0" w:color="auto"/>
              <w:right w:val="single" w:sz="4" w:space="0" w:color="auto"/>
            </w:tcBorders>
          </w:tcPr>
          <w:p w14:paraId="5495AD3D" w14:textId="77777777" w:rsidR="00C96734" w:rsidRPr="009E686F" w:rsidRDefault="00C96734" w:rsidP="00C96734">
            <w:pPr>
              <w:spacing w:after="0"/>
              <w:jc w:val="both"/>
              <w:rPr>
                <w:rFonts w:ascii="Times New Roman" w:hAnsi="Times New Roman" w:cs="Times New Roman"/>
                <w:lang w:val="it-CH"/>
              </w:rPr>
            </w:pPr>
            <w:r w:rsidRPr="009E686F">
              <w:rPr>
                <w:rFonts w:ascii="Times New Roman" w:hAnsi="Times New Roman" w:cs="Times New Roman"/>
                <w:lang w:val="it-CH"/>
              </w:rPr>
              <w:t xml:space="preserve">(4) Atunci când, după primirea informațiilor în conformitate cu articolul 95a din Directiva 2014/65/UE, autoritatea competentă stabilește că o întreprindere trebuie să fie autorizată ca instituție de credit în conformitate cu articolul 8 din prezenta directivă, aceasta informează întreprinderea și autoritatea competentă în conformitate cu articolul 4 alineatul (1) punctul </w:t>
            </w:r>
            <w:r w:rsidRPr="009E686F">
              <w:rPr>
                <w:rFonts w:ascii="Times New Roman" w:hAnsi="Times New Roman" w:cs="Times New Roman"/>
                <w:lang w:val="it-CH"/>
              </w:rPr>
              <w:lastRenderedPageBreak/>
              <w:t>26 din Directiva 2014/65/UE și preia responsabilitatea procedurii de autorizare de la data respectivei notificări.</w:t>
            </w:r>
          </w:p>
          <w:p w14:paraId="6BA73A89" w14:textId="0D23D08F" w:rsidR="00C96734" w:rsidRPr="009E686F" w:rsidRDefault="00C96734" w:rsidP="00C96734">
            <w:pPr>
              <w:spacing w:after="0"/>
              <w:jc w:val="both"/>
              <w:rPr>
                <w:rFonts w:ascii="Times New Roman" w:hAnsi="Times New Roman" w:cs="Times New Roman"/>
                <w:lang w:val="it-CH"/>
              </w:rPr>
            </w:pPr>
            <w:r w:rsidRPr="009E686F">
              <w:rPr>
                <w:rFonts w:ascii="Times New Roman" w:hAnsi="Times New Roman" w:cs="Times New Roman"/>
                <w:lang w:val="it-CH"/>
              </w:rPr>
              <w:t>(5)  În cazuri de reautorizare, autoritatea de autorizare competentă se asigură că procesul este cât mai raționalizat posibil și că informațiile din autorizațiile existente sunt luate în considerare</w:t>
            </w:r>
          </w:p>
        </w:tc>
        <w:tc>
          <w:tcPr>
            <w:tcW w:w="1834" w:type="pct"/>
            <w:tcBorders>
              <w:top w:val="single" w:sz="4" w:space="0" w:color="auto"/>
              <w:left w:val="single" w:sz="4" w:space="0" w:color="auto"/>
              <w:bottom w:val="single" w:sz="4" w:space="0" w:color="auto"/>
              <w:right w:val="single" w:sz="4" w:space="0" w:color="auto"/>
            </w:tcBorders>
          </w:tcPr>
          <w:p w14:paraId="097D7A22" w14:textId="77777777" w:rsidR="00C96734" w:rsidRPr="009E686F" w:rsidRDefault="00C96734" w:rsidP="00ED2C1C">
            <w:pPr>
              <w:spacing w:after="0"/>
              <w:jc w:val="both"/>
              <w:rPr>
                <w:rFonts w:ascii="Times New Roman" w:hAnsi="Times New Roman" w:cs="Times New Roman"/>
                <w:i/>
                <w:lang w:val="it-CH"/>
              </w:rPr>
            </w:pPr>
          </w:p>
        </w:tc>
        <w:tc>
          <w:tcPr>
            <w:tcW w:w="470" w:type="pct"/>
            <w:tcBorders>
              <w:top w:val="single" w:sz="4" w:space="0" w:color="auto"/>
              <w:left w:val="single" w:sz="4" w:space="0" w:color="auto"/>
              <w:bottom w:val="single" w:sz="4" w:space="0" w:color="auto"/>
              <w:right w:val="single" w:sz="4" w:space="0" w:color="auto"/>
            </w:tcBorders>
          </w:tcPr>
          <w:p w14:paraId="2DC30E3E" w14:textId="31357D2A" w:rsidR="00C96734" w:rsidRPr="009E686F" w:rsidRDefault="00C96734" w:rsidP="00AB6122">
            <w:pPr>
              <w:jc w:val="both"/>
              <w:rPr>
                <w:rFonts w:ascii="Times New Roman" w:hAnsi="Times New Roman" w:cs="Times New Roman"/>
                <w:lang w:val="it-CH"/>
              </w:rPr>
            </w:pPr>
            <w:r w:rsidRPr="009E686F">
              <w:rPr>
                <w:rFonts w:ascii="Times New Roman" w:hAnsi="Times New Roman" w:cs="Times New Roman"/>
              </w:rPr>
              <w:t>Norme UE neaplicabile</w:t>
            </w:r>
          </w:p>
        </w:tc>
        <w:tc>
          <w:tcPr>
            <w:tcW w:w="806" w:type="pct"/>
            <w:tcBorders>
              <w:top w:val="single" w:sz="4" w:space="0" w:color="auto"/>
              <w:left w:val="single" w:sz="4" w:space="0" w:color="auto"/>
              <w:bottom w:val="single" w:sz="4" w:space="0" w:color="auto"/>
              <w:right w:val="single" w:sz="4" w:space="0" w:color="auto"/>
            </w:tcBorders>
          </w:tcPr>
          <w:p w14:paraId="2F063A97" w14:textId="49974DE5" w:rsidR="00C96734" w:rsidRPr="009E686F" w:rsidRDefault="00C96734" w:rsidP="00515783">
            <w:pPr>
              <w:spacing w:after="0"/>
              <w:jc w:val="both"/>
              <w:rPr>
                <w:rFonts w:ascii="Times New Roman" w:hAnsi="Times New Roman" w:cs="Times New Roman"/>
                <w:lang w:val="it-CH"/>
              </w:rPr>
            </w:pPr>
            <w:r w:rsidRPr="009E686F">
              <w:rPr>
                <w:rFonts w:ascii="Times New Roman" w:hAnsi="Times New Roman" w:cs="Times New Roman"/>
                <w:lang w:val="it-CH"/>
              </w:rPr>
              <w:t xml:space="preserve">Comisia Națională a Pieței Financiare este autoritatea competentă pentru societățile de investiții, precum și pentru societățile de </w:t>
            </w:r>
            <w:r w:rsidRPr="009E686F">
              <w:rPr>
                <w:rFonts w:ascii="Times New Roman" w:hAnsi="Times New Roman" w:cs="Times New Roman"/>
                <w:lang w:val="it-CH"/>
              </w:rPr>
              <w:lastRenderedPageBreak/>
              <w:t>investiții calificate ca fiind instituții de credit.</w:t>
            </w:r>
          </w:p>
        </w:tc>
      </w:tr>
      <w:tr w:rsidR="005113F3" w:rsidRPr="009E686F" w14:paraId="67A25671" w14:textId="77777777" w:rsidTr="00960C23">
        <w:tc>
          <w:tcPr>
            <w:tcW w:w="1890" w:type="pct"/>
            <w:tcBorders>
              <w:top w:val="single" w:sz="4" w:space="0" w:color="auto"/>
              <w:left w:val="single" w:sz="4" w:space="0" w:color="auto"/>
              <w:bottom w:val="single" w:sz="4" w:space="0" w:color="auto"/>
              <w:right w:val="single" w:sz="4" w:space="0" w:color="auto"/>
            </w:tcBorders>
          </w:tcPr>
          <w:p w14:paraId="45D3D7E2" w14:textId="77777777" w:rsidR="005113F3" w:rsidRPr="009E686F" w:rsidRDefault="005113F3" w:rsidP="005113F3">
            <w:pPr>
              <w:spacing w:after="0"/>
              <w:jc w:val="both"/>
              <w:rPr>
                <w:rFonts w:ascii="Times New Roman" w:hAnsi="Times New Roman" w:cs="Times New Roman"/>
                <w:lang w:val="pt-BR"/>
              </w:rPr>
            </w:pPr>
            <w:r w:rsidRPr="009E686F">
              <w:rPr>
                <w:rFonts w:ascii="Times New Roman" w:hAnsi="Times New Roman" w:cs="Times New Roman"/>
                <w:lang w:val="pt-BR"/>
              </w:rPr>
              <w:lastRenderedPageBreak/>
              <w:t>(6) ABE elaborează proiecte de standarde tehnice de reglementare pentru a preciza:</w:t>
            </w:r>
          </w:p>
          <w:p w14:paraId="6B0DC97F" w14:textId="77777777" w:rsidR="005113F3" w:rsidRPr="009E686F" w:rsidRDefault="005113F3" w:rsidP="005113F3">
            <w:pPr>
              <w:spacing w:after="0"/>
              <w:jc w:val="both"/>
              <w:rPr>
                <w:rFonts w:ascii="Times New Roman" w:hAnsi="Times New Roman" w:cs="Times New Roman"/>
                <w:lang w:val="pt-BR"/>
              </w:rPr>
            </w:pPr>
            <w:r w:rsidRPr="009E686F">
              <w:rPr>
                <w:rFonts w:ascii="Times New Roman" w:hAnsi="Times New Roman" w:cs="Times New Roman"/>
                <w:lang w:val="pt-BR"/>
              </w:rPr>
              <w:t>(a) informațiile pe care întreprinderea trebuie să le furnizeze autorităților competente în cererea de autorizare, inclusiv programul de activitate prevăzut la articolul 10;</w:t>
            </w:r>
          </w:p>
          <w:p w14:paraId="0AF80985" w14:textId="77777777" w:rsidR="005113F3" w:rsidRPr="009E686F" w:rsidRDefault="005113F3" w:rsidP="005113F3">
            <w:pPr>
              <w:spacing w:after="0"/>
              <w:jc w:val="both"/>
              <w:rPr>
                <w:rFonts w:ascii="Times New Roman" w:hAnsi="Times New Roman" w:cs="Times New Roman"/>
                <w:lang w:val="it-IT"/>
              </w:rPr>
            </w:pPr>
            <w:r w:rsidRPr="009E686F">
              <w:rPr>
                <w:rFonts w:ascii="Times New Roman" w:hAnsi="Times New Roman" w:cs="Times New Roman"/>
                <w:lang w:val="it-IT"/>
              </w:rPr>
              <w:t>(b) metodologia pentru calcularea pragurilor menționate la alineatul (1).</w:t>
            </w:r>
          </w:p>
          <w:p w14:paraId="6891FADF" w14:textId="77777777" w:rsidR="005113F3" w:rsidRPr="009E686F" w:rsidRDefault="005113F3" w:rsidP="005113F3">
            <w:pPr>
              <w:spacing w:after="0"/>
              <w:jc w:val="both"/>
              <w:rPr>
                <w:rFonts w:ascii="Times New Roman" w:hAnsi="Times New Roman" w:cs="Times New Roman"/>
                <w:lang w:val="it-IT"/>
              </w:rPr>
            </w:pPr>
            <w:r w:rsidRPr="009E686F">
              <w:rPr>
                <w:rFonts w:ascii="Times New Roman" w:hAnsi="Times New Roman" w:cs="Times New Roman"/>
                <w:lang w:val="it-IT"/>
              </w:rPr>
              <w:t>Se deleagă Comisiei competența de a completa prezenta directivă prin adoptarea standardelor tehnice de reglementare menționate la primul paragraf literele (a) și (b), în conformitate cu articolele 10-14 din Regulamentul (UE) nr. 1093/2010.</w:t>
            </w:r>
          </w:p>
          <w:p w14:paraId="236E4805" w14:textId="435228C2" w:rsidR="005113F3" w:rsidRPr="009E686F" w:rsidRDefault="005113F3" w:rsidP="005113F3">
            <w:pPr>
              <w:spacing w:after="0"/>
              <w:jc w:val="both"/>
              <w:rPr>
                <w:rFonts w:ascii="Times New Roman" w:hAnsi="Times New Roman" w:cs="Times New Roman"/>
                <w:lang w:val="it-CH"/>
              </w:rPr>
            </w:pPr>
            <w:r w:rsidRPr="009E686F">
              <w:rPr>
                <w:rFonts w:ascii="Times New Roman" w:hAnsi="Times New Roman" w:cs="Times New Roman"/>
                <w:lang w:val="it-IT"/>
              </w:rPr>
              <w:t>ABE prezintă Comisiei aceste proiecte de standarde tehnice de reglementare până la 26 decembrie 2020.</w:t>
            </w:r>
          </w:p>
        </w:tc>
        <w:tc>
          <w:tcPr>
            <w:tcW w:w="1834" w:type="pct"/>
            <w:tcBorders>
              <w:top w:val="single" w:sz="4" w:space="0" w:color="auto"/>
              <w:left w:val="single" w:sz="4" w:space="0" w:color="auto"/>
              <w:bottom w:val="single" w:sz="4" w:space="0" w:color="auto"/>
              <w:right w:val="single" w:sz="4" w:space="0" w:color="auto"/>
            </w:tcBorders>
          </w:tcPr>
          <w:p w14:paraId="58CDAAF3" w14:textId="77777777" w:rsidR="005113F3" w:rsidRPr="009E686F" w:rsidRDefault="005113F3" w:rsidP="00ED2C1C">
            <w:pPr>
              <w:spacing w:after="0"/>
              <w:jc w:val="both"/>
              <w:rPr>
                <w:rFonts w:ascii="Times New Roman" w:hAnsi="Times New Roman" w:cs="Times New Roman"/>
                <w:b/>
                <w:lang w:val="it-CH"/>
              </w:rPr>
            </w:pPr>
          </w:p>
        </w:tc>
        <w:tc>
          <w:tcPr>
            <w:tcW w:w="470" w:type="pct"/>
            <w:tcBorders>
              <w:top w:val="single" w:sz="4" w:space="0" w:color="auto"/>
              <w:left w:val="single" w:sz="4" w:space="0" w:color="auto"/>
              <w:bottom w:val="single" w:sz="4" w:space="0" w:color="auto"/>
              <w:right w:val="single" w:sz="4" w:space="0" w:color="auto"/>
            </w:tcBorders>
          </w:tcPr>
          <w:p w14:paraId="652422E3" w14:textId="6A8EDE51" w:rsidR="005113F3" w:rsidRPr="009E686F" w:rsidRDefault="005113F3" w:rsidP="00AB6122">
            <w:pPr>
              <w:jc w:val="both"/>
              <w:rPr>
                <w:rFonts w:ascii="Times New Roman" w:hAnsi="Times New Roman" w:cs="Times New Roman"/>
                <w:lang w:val="it-CH"/>
              </w:rPr>
            </w:pPr>
            <w:r w:rsidRPr="009E686F">
              <w:rPr>
                <w:rFonts w:ascii="Times New Roman" w:hAnsi="Times New Roman" w:cs="Times New Roman"/>
              </w:rPr>
              <w:t>Norme UE neaplicabile</w:t>
            </w:r>
          </w:p>
        </w:tc>
        <w:tc>
          <w:tcPr>
            <w:tcW w:w="806" w:type="pct"/>
            <w:tcBorders>
              <w:top w:val="single" w:sz="4" w:space="0" w:color="auto"/>
              <w:left w:val="single" w:sz="4" w:space="0" w:color="auto"/>
              <w:bottom w:val="single" w:sz="4" w:space="0" w:color="auto"/>
              <w:right w:val="single" w:sz="4" w:space="0" w:color="auto"/>
            </w:tcBorders>
          </w:tcPr>
          <w:p w14:paraId="365B4CE9" w14:textId="7109C872" w:rsidR="005113F3" w:rsidRPr="009E686F" w:rsidRDefault="005113F3" w:rsidP="00515783">
            <w:pPr>
              <w:spacing w:after="0"/>
              <w:jc w:val="both"/>
              <w:rPr>
                <w:rFonts w:ascii="Times New Roman" w:hAnsi="Times New Roman" w:cs="Times New Roman"/>
                <w:lang w:val="it-CH"/>
              </w:rPr>
            </w:pPr>
            <w:r w:rsidRPr="009E686F">
              <w:rPr>
                <w:rFonts w:ascii="Times New Roman" w:hAnsi="Times New Roman" w:cs="Times New Roman"/>
                <w:lang w:val="it-CH"/>
              </w:rPr>
              <w:t>Se referă la competențele ABE.</w:t>
            </w:r>
          </w:p>
        </w:tc>
      </w:tr>
      <w:tr w:rsidR="00B30AFC" w:rsidRPr="009E686F" w14:paraId="35E9D723" w14:textId="77777777" w:rsidTr="00960C23">
        <w:tc>
          <w:tcPr>
            <w:tcW w:w="1890" w:type="pct"/>
            <w:tcBorders>
              <w:top w:val="single" w:sz="4" w:space="0" w:color="auto"/>
              <w:left w:val="single" w:sz="4" w:space="0" w:color="auto"/>
              <w:bottom w:val="single" w:sz="4" w:space="0" w:color="auto"/>
              <w:right w:val="single" w:sz="4" w:space="0" w:color="auto"/>
            </w:tcBorders>
          </w:tcPr>
          <w:p w14:paraId="6E9296EF" w14:textId="77777777" w:rsidR="00AB6122" w:rsidRPr="009E686F" w:rsidRDefault="00AB6122" w:rsidP="00ED2C1C">
            <w:pPr>
              <w:spacing w:after="0"/>
              <w:jc w:val="both"/>
              <w:rPr>
                <w:rFonts w:ascii="Times New Roman" w:hAnsi="Times New Roman" w:cs="Times New Roman"/>
                <w:lang w:val="it-CH"/>
              </w:rPr>
            </w:pPr>
            <w:r w:rsidRPr="009E686F">
              <w:rPr>
                <w:rFonts w:ascii="Times New Roman" w:hAnsi="Times New Roman" w:cs="Times New Roman"/>
                <w:lang w:val="it-CH"/>
              </w:rPr>
              <w:t>(7) ABE elaborează proiecte de standarde tehnice de reglementare pentru a preciza mai detaliat elementele care trebuie luate în considerare de către autoritatea competentă atunci când decide dacă să acorde o derogare în conformitate cu alineatul (3a), ținând seama, în special, de importanța riscului de credit al contrapărții la care este expusă o întreprindere.</w:t>
            </w:r>
          </w:p>
          <w:p w14:paraId="1AE98DFD" w14:textId="77777777" w:rsidR="00AB6122" w:rsidRPr="009E686F" w:rsidRDefault="00AB6122" w:rsidP="00ED2C1C">
            <w:pPr>
              <w:spacing w:after="0"/>
              <w:jc w:val="both"/>
              <w:rPr>
                <w:rFonts w:ascii="Times New Roman" w:hAnsi="Times New Roman" w:cs="Times New Roman"/>
                <w:lang w:val="it-CH"/>
              </w:rPr>
            </w:pPr>
            <w:r w:rsidRPr="009E686F">
              <w:rPr>
                <w:rFonts w:ascii="Times New Roman" w:hAnsi="Times New Roman" w:cs="Times New Roman"/>
                <w:lang w:val="it-CH"/>
              </w:rPr>
              <w:t>ABE înaintează Comisiei aceste proiecte de standarde tehnice de reglementare până la 10 ianuarie 2026.</w:t>
            </w:r>
          </w:p>
          <w:p w14:paraId="4C0AAB1D" w14:textId="77777777" w:rsidR="00AB6122" w:rsidRPr="009E686F" w:rsidRDefault="00AB6122" w:rsidP="00ED2C1C">
            <w:pPr>
              <w:spacing w:after="0"/>
              <w:jc w:val="both"/>
              <w:rPr>
                <w:rFonts w:ascii="Times New Roman" w:hAnsi="Times New Roman" w:cs="Times New Roman"/>
                <w:lang w:val="it-CH"/>
              </w:rPr>
            </w:pPr>
            <w:r w:rsidRPr="009E686F">
              <w:rPr>
                <w:rFonts w:ascii="Times New Roman" w:hAnsi="Times New Roman" w:cs="Times New Roman"/>
                <w:lang w:val="it-CH"/>
              </w:rPr>
              <w:t xml:space="preserve">Comisiei îi este delegată competența de a completa prezenta directivă prin adoptarea standardelor tehnice de eglementare menționate la primul paragraf de la prezentul alineat în </w:t>
            </w:r>
            <w:r w:rsidRPr="009E686F">
              <w:rPr>
                <w:rFonts w:ascii="Times New Roman" w:hAnsi="Times New Roman" w:cs="Times New Roman"/>
                <w:lang w:val="it-CH"/>
              </w:rPr>
              <w:lastRenderedPageBreak/>
              <w:t>conformitate cu articolele 10-14 din Regulamentul (UE) nr. 1093/2010.</w:t>
            </w:r>
          </w:p>
          <w:p w14:paraId="2DEC4572" w14:textId="50534A1B" w:rsidR="005113F3" w:rsidRPr="009E686F" w:rsidRDefault="005113F3" w:rsidP="00ED2C1C">
            <w:pPr>
              <w:spacing w:after="0"/>
              <w:jc w:val="both"/>
              <w:rPr>
                <w:rFonts w:ascii="Times New Roman" w:hAnsi="Times New Roman" w:cs="Times New Roman"/>
                <w:lang w:val="it-CH"/>
              </w:rPr>
            </w:pPr>
            <w:r w:rsidRPr="009E686F">
              <w:rPr>
                <w:rFonts w:ascii="Times New Roman" w:hAnsi="Times New Roman" w:cs="Times New Roman"/>
                <w:lang w:val="it-CH"/>
              </w:rPr>
              <w:t>(8) Până la 31 decembrie 2028, ABE înaintează Comisiei un raport privind utilizarea derogării menționate la alineatul (3a) de la prezentul articol, precum și privind aplicarea articolului 4 alineatul (1) punctul 1 litera (b) subpunctul (iii) din Regulamentul (UE) nr. 575/2013.</w:t>
            </w:r>
          </w:p>
        </w:tc>
        <w:tc>
          <w:tcPr>
            <w:tcW w:w="1834" w:type="pct"/>
            <w:tcBorders>
              <w:top w:val="single" w:sz="4" w:space="0" w:color="auto"/>
              <w:left w:val="single" w:sz="4" w:space="0" w:color="auto"/>
              <w:bottom w:val="single" w:sz="4" w:space="0" w:color="auto"/>
              <w:right w:val="single" w:sz="4" w:space="0" w:color="auto"/>
            </w:tcBorders>
          </w:tcPr>
          <w:p w14:paraId="5DF4FA05" w14:textId="77777777" w:rsidR="00AB6122" w:rsidRPr="009E686F" w:rsidRDefault="00AB6122" w:rsidP="00ED2C1C">
            <w:pPr>
              <w:spacing w:after="0"/>
              <w:jc w:val="both"/>
              <w:rPr>
                <w:rFonts w:ascii="Times New Roman" w:hAnsi="Times New Roman" w:cs="Times New Roman"/>
                <w:b/>
                <w:lang w:val="it-CH"/>
              </w:rPr>
            </w:pPr>
          </w:p>
        </w:tc>
        <w:tc>
          <w:tcPr>
            <w:tcW w:w="470" w:type="pct"/>
            <w:tcBorders>
              <w:top w:val="single" w:sz="4" w:space="0" w:color="auto"/>
              <w:left w:val="single" w:sz="4" w:space="0" w:color="auto"/>
              <w:bottom w:val="single" w:sz="4" w:space="0" w:color="auto"/>
              <w:right w:val="single" w:sz="4" w:space="0" w:color="auto"/>
            </w:tcBorders>
          </w:tcPr>
          <w:p w14:paraId="1A2867FD" w14:textId="45B5CB08" w:rsidR="00AB6122" w:rsidRPr="009E686F" w:rsidRDefault="00AB6122" w:rsidP="00AB6122">
            <w:pPr>
              <w:jc w:val="both"/>
              <w:rPr>
                <w:rFonts w:ascii="Times New Roman" w:hAnsi="Times New Roman" w:cs="Times New Roman"/>
                <w:lang w:val="it-CH"/>
              </w:rPr>
            </w:pPr>
            <w:r w:rsidRPr="009E686F">
              <w:rPr>
                <w:rFonts w:ascii="Times New Roman" w:hAnsi="Times New Roman" w:cs="Times New Roman"/>
              </w:rPr>
              <w:t>Norme UE neaplicabile</w:t>
            </w:r>
          </w:p>
        </w:tc>
        <w:tc>
          <w:tcPr>
            <w:tcW w:w="806" w:type="pct"/>
            <w:tcBorders>
              <w:top w:val="single" w:sz="4" w:space="0" w:color="auto"/>
              <w:left w:val="single" w:sz="4" w:space="0" w:color="auto"/>
              <w:bottom w:val="single" w:sz="4" w:space="0" w:color="auto"/>
              <w:right w:val="single" w:sz="4" w:space="0" w:color="auto"/>
            </w:tcBorders>
          </w:tcPr>
          <w:p w14:paraId="1B2A040B" w14:textId="2733B88D" w:rsidR="00AB6122" w:rsidRPr="009E686F" w:rsidRDefault="00AB6122" w:rsidP="00515783">
            <w:pPr>
              <w:spacing w:after="0"/>
              <w:jc w:val="both"/>
              <w:rPr>
                <w:rFonts w:ascii="Times New Roman" w:hAnsi="Times New Roman" w:cs="Times New Roman"/>
                <w:lang w:val="it-CH"/>
              </w:rPr>
            </w:pPr>
            <w:r w:rsidRPr="009E686F">
              <w:rPr>
                <w:rFonts w:ascii="Times New Roman" w:hAnsi="Times New Roman" w:cs="Times New Roman"/>
                <w:lang w:val="it-CH"/>
              </w:rPr>
              <w:t>Se referă la competențele ABE.</w:t>
            </w:r>
          </w:p>
        </w:tc>
      </w:tr>
      <w:tr w:rsidR="00B30AFC" w:rsidRPr="009E686F" w14:paraId="379C9C30" w14:textId="3503EF3A" w:rsidTr="00960C23">
        <w:tc>
          <w:tcPr>
            <w:tcW w:w="1890" w:type="pct"/>
            <w:tcBorders>
              <w:top w:val="single" w:sz="4" w:space="0" w:color="auto"/>
              <w:left w:val="single" w:sz="4" w:space="0" w:color="auto"/>
              <w:bottom w:val="single" w:sz="4" w:space="0" w:color="auto"/>
              <w:right w:val="single" w:sz="4" w:space="0" w:color="auto"/>
            </w:tcBorders>
          </w:tcPr>
          <w:p w14:paraId="4036BD52" w14:textId="77777777" w:rsidR="00AB6122" w:rsidRPr="009E686F" w:rsidRDefault="00AB6122" w:rsidP="00ED2C1C">
            <w:pPr>
              <w:spacing w:after="0"/>
              <w:jc w:val="both"/>
              <w:rPr>
                <w:rFonts w:ascii="Times New Roman" w:hAnsi="Times New Roman" w:cs="Times New Roman"/>
                <w:b/>
                <w:bCs/>
                <w:i/>
                <w:iCs/>
                <w:lang w:val="pt-BR"/>
              </w:rPr>
            </w:pPr>
            <w:r w:rsidRPr="009E686F">
              <w:rPr>
                <w:rFonts w:ascii="Times New Roman" w:hAnsi="Times New Roman" w:cs="Times New Roman"/>
                <w:i/>
                <w:iCs/>
                <w:lang w:val="pt-BR"/>
              </w:rPr>
              <w:t xml:space="preserve">Articolul 9 </w:t>
            </w:r>
          </w:p>
          <w:p w14:paraId="3F2A5EE6" w14:textId="53F579AD" w:rsidR="00AB6122" w:rsidRPr="009E686F" w:rsidRDefault="00AB6122" w:rsidP="00ED2C1C">
            <w:pPr>
              <w:spacing w:after="0"/>
              <w:jc w:val="both"/>
              <w:rPr>
                <w:rFonts w:ascii="Times New Roman" w:hAnsi="Times New Roman" w:cs="Times New Roman"/>
                <w:lang w:val="pt-BR"/>
              </w:rPr>
            </w:pPr>
            <w:r w:rsidRPr="009E686F">
              <w:rPr>
                <w:rFonts w:ascii="Times New Roman" w:hAnsi="Times New Roman" w:cs="Times New Roman"/>
                <w:lang w:val="pt-BR"/>
              </w:rPr>
              <w:t xml:space="preserve">Interdicția impusă persoanelor sau întreprinderilor, altele decât </w:t>
            </w:r>
            <w:r w:rsidR="00A51A7D" w:rsidRPr="009E686F">
              <w:rPr>
                <w:rFonts w:ascii="Times New Roman" w:hAnsi="Times New Roman" w:cs="Times New Roman"/>
                <w:lang w:val="pt-BR"/>
              </w:rPr>
              <w:t>instituțiile de credit</w:t>
            </w:r>
            <w:r w:rsidRPr="009E686F">
              <w:rPr>
                <w:rFonts w:ascii="Times New Roman" w:hAnsi="Times New Roman" w:cs="Times New Roman"/>
                <w:lang w:val="pt-BR"/>
              </w:rPr>
              <w:t>, de a desfășura activitatea de preluare de depozite sau de alte fonduri rambursabile de la populație</w:t>
            </w:r>
          </w:p>
        </w:tc>
        <w:tc>
          <w:tcPr>
            <w:tcW w:w="1834" w:type="pct"/>
            <w:tcBorders>
              <w:top w:val="single" w:sz="4" w:space="0" w:color="auto"/>
              <w:left w:val="single" w:sz="4" w:space="0" w:color="auto"/>
              <w:bottom w:val="single" w:sz="4" w:space="0" w:color="auto"/>
              <w:right w:val="single" w:sz="4" w:space="0" w:color="auto"/>
            </w:tcBorders>
          </w:tcPr>
          <w:p w14:paraId="353D1832" w14:textId="77777777" w:rsidR="00AB6122" w:rsidRPr="009E686F" w:rsidRDefault="00AB6122" w:rsidP="00ED2C1C">
            <w:pPr>
              <w:spacing w:after="0"/>
              <w:jc w:val="both"/>
              <w:rPr>
                <w:rFonts w:ascii="Times New Roman" w:hAnsi="Times New Roman" w:cs="Times New Roman"/>
                <w:lang w:val="pt-BR"/>
              </w:rPr>
            </w:pPr>
            <w:r w:rsidRPr="009E686F">
              <w:rPr>
                <w:rFonts w:ascii="Times New Roman" w:hAnsi="Times New Roman" w:cs="Times New Roman"/>
                <w:b/>
                <w:lang w:val="pt-BR"/>
              </w:rPr>
              <w:t>Articolul 6.</w:t>
            </w:r>
            <w:r w:rsidRPr="009E686F">
              <w:rPr>
                <w:rFonts w:ascii="Times New Roman" w:hAnsi="Times New Roman" w:cs="Times New Roman"/>
                <w:lang w:val="pt-BR"/>
              </w:rPr>
              <w:t xml:space="preserve"> Interdicția de a desfășura activitatea de atragere de depozite</w:t>
            </w:r>
          </w:p>
          <w:p w14:paraId="0169C179" w14:textId="77777777" w:rsidR="00AB6122" w:rsidRPr="009E686F" w:rsidRDefault="00AB6122" w:rsidP="00ED2C1C">
            <w:pPr>
              <w:spacing w:after="0"/>
              <w:jc w:val="both"/>
              <w:rPr>
                <w:rFonts w:ascii="Times New Roman" w:hAnsi="Times New Roman" w:cs="Times New Roman"/>
                <w:b/>
                <w:lang w:val="pt-BR"/>
              </w:rPr>
            </w:pPr>
          </w:p>
        </w:tc>
        <w:tc>
          <w:tcPr>
            <w:tcW w:w="470" w:type="pct"/>
            <w:tcBorders>
              <w:top w:val="single" w:sz="4" w:space="0" w:color="auto"/>
              <w:left w:val="single" w:sz="4" w:space="0" w:color="auto"/>
              <w:bottom w:val="single" w:sz="4" w:space="0" w:color="auto"/>
              <w:right w:val="single" w:sz="4" w:space="0" w:color="auto"/>
            </w:tcBorders>
          </w:tcPr>
          <w:p w14:paraId="14A5344C" w14:textId="70296B9C" w:rsidR="00AB6122" w:rsidRPr="009E686F" w:rsidRDefault="00AB6122" w:rsidP="00AB6122">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512FF37B" w14:textId="04D258CC" w:rsidR="00AB6122" w:rsidRPr="009E686F" w:rsidRDefault="00AB6122" w:rsidP="00515783">
            <w:pPr>
              <w:spacing w:after="0"/>
              <w:jc w:val="both"/>
              <w:rPr>
                <w:rFonts w:ascii="Times New Roman" w:hAnsi="Times New Roman" w:cs="Times New Roman"/>
              </w:rPr>
            </w:pPr>
          </w:p>
        </w:tc>
      </w:tr>
      <w:tr w:rsidR="00B30AFC" w:rsidRPr="009E686F" w14:paraId="0FD24D0A" w14:textId="7E13D949" w:rsidTr="00960C23">
        <w:tc>
          <w:tcPr>
            <w:tcW w:w="1890" w:type="pct"/>
            <w:tcBorders>
              <w:top w:val="single" w:sz="4" w:space="0" w:color="auto"/>
              <w:left w:val="single" w:sz="4" w:space="0" w:color="auto"/>
              <w:bottom w:val="single" w:sz="4" w:space="0" w:color="auto"/>
              <w:right w:val="single" w:sz="4" w:space="0" w:color="auto"/>
            </w:tcBorders>
          </w:tcPr>
          <w:p w14:paraId="16E4DED3" w14:textId="365469E8" w:rsidR="00AB6122" w:rsidRPr="009E686F" w:rsidRDefault="00AB6122" w:rsidP="00ED2C1C">
            <w:pPr>
              <w:spacing w:after="0"/>
              <w:jc w:val="both"/>
              <w:rPr>
                <w:rFonts w:ascii="Times New Roman" w:hAnsi="Times New Roman" w:cs="Times New Roman"/>
                <w:lang w:val="it-CH"/>
              </w:rPr>
            </w:pPr>
            <w:r w:rsidRPr="009E686F">
              <w:rPr>
                <w:rFonts w:ascii="Times New Roman" w:hAnsi="Times New Roman" w:cs="Times New Roman"/>
                <w:lang w:val="it-CH"/>
              </w:rPr>
              <w:t xml:space="preserve">(1) Statele membre interzic persoanelor sau întreprinderilor care nu sunt </w:t>
            </w:r>
            <w:r w:rsidR="00A51A7D" w:rsidRPr="009E686F">
              <w:rPr>
                <w:rFonts w:ascii="Times New Roman" w:hAnsi="Times New Roman" w:cs="Times New Roman"/>
                <w:lang w:val="it-CH"/>
              </w:rPr>
              <w:t>instituții de credit</w:t>
            </w:r>
            <w:r w:rsidRPr="009E686F">
              <w:rPr>
                <w:rFonts w:ascii="Times New Roman" w:hAnsi="Times New Roman" w:cs="Times New Roman"/>
                <w:lang w:val="it-CH"/>
              </w:rPr>
              <w:t xml:space="preserve"> să desfășoare activitatea de preluare de depozite sau de alte fonduri rambursabile de la populație.</w:t>
            </w:r>
          </w:p>
        </w:tc>
        <w:tc>
          <w:tcPr>
            <w:tcW w:w="1834" w:type="pct"/>
            <w:tcBorders>
              <w:top w:val="single" w:sz="4" w:space="0" w:color="auto"/>
              <w:left w:val="single" w:sz="4" w:space="0" w:color="auto"/>
              <w:bottom w:val="single" w:sz="4" w:space="0" w:color="auto"/>
              <w:right w:val="single" w:sz="4" w:space="0" w:color="auto"/>
            </w:tcBorders>
          </w:tcPr>
          <w:p w14:paraId="276A1EB5" w14:textId="2C3B5832" w:rsidR="00AB6122" w:rsidRPr="009E686F" w:rsidRDefault="00AB6122" w:rsidP="00ED2C1C">
            <w:pPr>
              <w:spacing w:after="0"/>
              <w:jc w:val="both"/>
              <w:rPr>
                <w:rFonts w:ascii="Times New Roman" w:hAnsi="Times New Roman" w:cs="Times New Roman"/>
                <w:i/>
                <w:lang w:val="it-CH"/>
              </w:rPr>
            </w:pPr>
            <w:r w:rsidRPr="009E686F">
              <w:rPr>
                <w:rFonts w:ascii="Times New Roman" w:hAnsi="Times New Roman" w:cs="Times New Roman"/>
                <w:lang w:val="it-CH"/>
              </w:rPr>
              <w:t>(1) Se interzice oricărei persoane c</w:t>
            </w:r>
            <w:r w:rsidR="00AB06F0" w:rsidRPr="009E686F">
              <w:rPr>
                <w:rFonts w:ascii="Times New Roman" w:hAnsi="Times New Roman" w:cs="Times New Roman"/>
                <w:lang w:val="it-CH"/>
              </w:rPr>
              <w:t>ar</w:t>
            </w:r>
            <w:r w:rsidRPr="009E686F">
              <w:rPr>
                <w:rFonts w:ascii="Times New Roman" w:hAnsi="Times New Roman" w:cs="Times New Roman"/>
                <w:lang w:val="it-CH"/>
              </w:rPr>
              <w:t>e nu este</w:t>
            </w:r>
            <w:r w:rsidRPr="009E686F">
              <w:rPr>
                <w:rFonts w:ascii="Times New Roman" w:hAnsi="Times New Roman" w:cs="Times New Roman"/>
                <w:i/>
                <w:lang w:val="it-CH"/>
              </w:rPr>
              <w:t xml:space="preserve"> </w:t>
            </w:r>
            <w:r w:rsidR="00A51A7D" w:rsidRPr="009E686F">
              <w:rPr>
                <w:rFonts w:ascii="Times New Roman" w:hAnsi="Times New Roman" w:cs="Times New Roman"/>
                <w:i/>
                <w:lang w:val="it-CH"/>
              </w:rPr>
              <w:t>instituție de credit</w:t>
            </w:r>
            <w:r w:rsidR="00AB06F0" w:rsidRPr="009E686F">
              <w:rPr>
                <w:rFonts w:ascii="Times New Roman" w:hAnsi="Times New Roman" w:cs="Times New Roman"/>
                <w:i/>
                <w:lang w:val="it-CH"/>
              </w:rPr>
              <w:t xml:space="preserve"> care desfășoară activitățile prevăzute la </w:t>
            </w:r>
            <w:r w:rsidRPr="009E686F">
              <w:rPr>
                <w:rFonts w:ascii="Times New Roman" w:hAnsi="Times New Roman" w:cs="Times New Roman"/>
                <w:i/>
                <w:lang w:val="it-CH"/>
              </w:rPr>
              <w:t xml:space="preserve">art. 3 </w:t>
            </w:r>
            <w:r w:rsidR="00997311" w:rsidRPr="009E686F">
              <w:rPr>
                <w:rFonts w:ascii="Times New Roman" w:hAnsi="Times New Roman" w:cs="Times New Roman"/>
                <w:i/>
                <w:lang w:val="it-CH"/>
              </w:rPr>
              <w:t>noțiunea de “</w:t>
            </w:r>
            <w:r w:rsidR="00A51A7D" w:rsidRPr="009E686F">
              <w:rPr>
                <w:rFonts w:ascii="Times New Roman" w:hAnsi="Times New Roman" w:cs="Times New Roman"/>
                <w:i/>
                <w:iCs/>
                <w:lang w:val="ro-RO"/>
              </w:rPr>
              <w:t>instituție de credit</w:t>
            </w:r>
            <w:r w:rsidR="00997311" w:rsidRPr="009E686F">
              <w:rPr>
                <w:rFonts w:ascii="Times New Roman" w:hAnsi="Times New Roman" w:cs="Times New Roman"/>
                <w:i/>
                <w:lang w:val="it-CH"/>
              </w:rPr>
              <w:t xml:space="preserve">” </w:t>
            </w:r>
            <w:r w:rsidRPr="009E686F">
              <w:rPr>
                <w:rFonts w:ascii="Times New Roman" w:hAnsi="Times New Roman" w:cs="Times New Roman"/>
                <w:i/>
                <w:lang w:val="it-CH"/>
              </w:rPr>
              <w:t>lit. a)</w:t>
            </w:r>
            <w:r w:rsidR="00AB06F0" w:rsidRPr="009E686F">
              <w:rPr>
                <w:rFonts w:ascii="Times New Roman" w:hAnsi="Times New Roman" w:cs="Times New Roman"/>
                <w:i/>
                <w:lang w:val="it-CH"/>
              </w:rPr>
              <w:t>,</w:t>
            </w:r>
            <w:r w:rsidRPr="009E686F">
              <w:rPr>
                <w:rFonts w:ascii="Times New Roman" w:hAnsi="Times New Roman" w:cs="Times New Roman"/>
                <w:i/>
                <w:lang w:val="it-CH"/>
              </w:rPr>
              <w:t xml:space="preserve"> </w:t>
            </w:r>
            <w:r w:rsidRPr="009E686F">
              <w:rPr>
                <w:rFonts w:ascii="Times New Roman" w:hAnsi="Times New Roman" w:cs="Times New Roman"/>
                <w:lang w:val="it-CH"/>
              </w:rPr>
              <w:t>să se angajeze într-o activitate de atragere de depozite sau de alte fonduri rambursabile de la public.</w:t>
            </w:r>
          </w:p>
        </w:tc>
        <w:tc>
          <w:tcPr>
            <w:tcW w:w="470" w:type="pct"/>
            <w:tcBorders>
              <w:top w:val="single" w:sz="4" w:space="0" w:color="auto"/>
              <w:left w:val="single" w:sz="4" w:space="0" w:color="auto"/>
              <w:bottom w:val="single" w:sz="4" w:space="0" w:color="auto"/>
              <w:right w:val="single" w:sz="4" w:space="0" w:color="auto"/>
            </w:tcBorders>
          </w:tcPr>
          <w:p w14:paraId="00D85B36" w14:textId="61E465B5" w:rsidR="00AB6122" w:rsidRPr="009E686F" w:rsidRDefault="00AB6122" w:rsidP="00AB6122">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2D28C31F" w14:textId="20D40534" w:rsidR="00AB6122" w:rsidRPr="009E686F" w:rsidRDefault="00AB6122" w:rsidP="00515783">
            <w:pPr>
              <w:spacing w:after="0"/>
              <w:jc w:val="both"/>
              <w:rPr>
                <w:rFonts w:ascii="Times New Roman" w:hAnsi="Times New Roman" w:cs="Times New Roman"/>
              </w:rPr>
            </w:pPr>
          </w:p>
        </w:tc>
      </w:tr>
      <w:tr w:rsidR="00B30AFC" w:rsidRPr="009E686F" w14:paraId="6405BE18" w14:textId="0C451BF5" w:rsidTr="00960C23">
        <w:trPr>
          <w:trHeight w:val="3226"/>
        </w:trPr>
        <w:tc>
          <w:tcPr>
            <w:tcW w:w="1890" w:type="pct"/>
            <w:tcBorders>
              <w:top w:val="single" w:sz="4" w:space="0" w:color="auto"/>
              <w:left w:val="single" w:sz="4" w:space="0" w:color="auto"/>
              <w:bottom w:val="single" w:sz="4" w:space="0" w:color="auto"/>
              <w:right w:val="single" w:sz="4" w:space="0" w:color="auto"/>
            </w:tcBorders>
          </w:tcPr>
          <w:p w14:paraId="2BA94C85" w14:textId="1A03D4A2" w:rsidR="00AB6122" w:rsidRPr="009E686F" w:rsidRDefault="00AB6122" w:rsidP="00ED2C1C">
            <w:pPr>
              <w:spacing w:after="0"/>
              <w:jc w:val="both"/>
              <w:rPr>
                <w:rFonts w:ascii="Times New Roman" w:hAnsi="Times New Roman" w:cs="Times New Roman"/>
                <w:lang w:val="it-CH"/>
              </w:rPr>
            </w:pPr>
            <w:r w:rsidRPr="009E686F">
              <w:rPr>
                <w:rFonts w:ascii="Times New Roman" w:hAnsi="Times New Roman" w:cs="Times New Roman"/>
                <w:lang w:val="it-CH"/>
              </w:rPr>
              <w:t>(2) Alineatul (1) nu se aplică la preluarea de depozite sau alte fonduri rambursabile de către un stat membru, de către autoritățile regionale sau locale ale unui stat membru, de către organisme publice internaționale în care sunt membri unul sau mai multe state membre sau în cazurile la care se face referire în mod expres în dreptul intern sau în dreptul Uniunii, cu condiția ca aceste activități să fie supuse unor reglementări și controale menite să protejeze deponenții și investitorii.</w:t>
            </w:r>
          </w:p>
        </w:tc>
        <w:tc>
          <w:tcPr>
            <w:tcW w:w="1834" w:type="pct"/>
            <w:tcBorders>
              <w:top w:val="single" w:sz="4" w:space="0" w:color="auto"/>
              <w:left w:val="single" w:sz="4" w:space="0" w:color="auto"/>
              <w:bottom w:val="single" w:sz="4" w:space="0" w:color="auto"/>
              <w:right w:val="single" w:sz="4" w:space="0" w:color="auto"/>
            </w:tcBorders>
          </w:tcPr>
          <w:p w14:paraId="49EB4447" w14:textId="77777777" w:rsidR="00AB6122" w:rsidRPr="009E686F" w:rsidRDefault="00AB6122" w:rsidP="00ED2C1C">
            <w:pPr>
              <w:spacing w:after="0"/>
              <w:jc w:val="both"/>
              <w:rPr>
                <w:rFonts w:ascii="Times New Roman" w:hAnsi="Times New Roman" w:cs="Times New Roman"/>
                <w:lang w:val="it-CH"/>
              </w:rPr>
            </w:pPr>
            <w:r w:rsidRPr="009E686F">
              <w:rPr>
                <w:rFonts w:ascii="Times New Roman" w:hAnsi="Times New Roman" w:cs="Times New Roman"/>
                <w:lang w:val="it-CH"/>
              </w:rPr>
              <w:t>(2) Interdicția prevăzută la alin. (1) nu se aplică în cazul atragerii de depozite sau alte fonduri rambursabile de către Guvernul Republicii Moldova ori de către autoritățile administrației publice locale ale Republicii Moldova, de către organisme publice internaționale la care Republica Moldova este parte, sau în cazurile expres prevăzute de legislația Republicii Moldova, cu condiția ca aceste activități să fie supuse unor reglementări şi supravegheri aplicabile acestor cazuri în scopul protejării deponenților şi investitorilor.</w:t>
            </w:r>
          </w:p>
        </w:tc>
        <w:tc>
          <w:tcPr>
            <w:tcW w:w="470" w:type="pct"/>
            <w:tcBorders>
              <w:top w:val="single" w:sz="4" w:space="0" w:color="auto"/>
              <w:left w:val="single" w:sz="4" w:space="0" w:color="auto"/>
              <w:bottom w:val="single" w:sz="4" w:space="0" w:color="auto"/>
              <w:right w:val="single" w:sz="4" w:space="0" w:color="auto"/>
            </w:tcBorders>
          </w:tcPr>
          <w:p w14:paraId="4EDA9E67" w14:textId="6B68EBBF" w:rsidR="00AB6122" w:rsidRPr="009E686F" w:rsidRDefault="00AB6122" w:rsidP="00AB6122">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61A72365" w14:textId="072FC664" w:rsidR="00AB6122" w:rsidRPr="009E686F" w:rsidRDefault="00AB6122" w:rsidP="00515783">
            <w:pPr>
              <w:spacing w:after="0"/>
              <w:jc w:val="both"/>
              <w:rPr>
                <w:rFonts w:ascii="Times New Roman" w:hAnsi="Times New Roman" w:cs="Times New Roman"/>
              </w:rPr>
            </w:pPr>
          </w:p>
        </w:tc>
      </w:tr>
      <w:tr w:rsidR="00B30AFC" w:rsidRPr="009E686F" w14:paraId="709F0F08" w14:textId="77777777" w:rsidTr="00960C23">
        <w:tc>
          <w:tcPr>
            <w:tcW w:w="1890" w:type="pct"/>
            <w:tcBorders>
              <w:top w:val="single" w:sz="4" w:space="0" w:color="auto"/>
              <w:left w:val="single" w:sz="4" w:space="0" w:color="auto"/>
              <w:bottom w:val="single" w:sz="4" w:space="0" w:color="auto"/>
              <w:right w:val="single" w:sz="4" w:space="0" w:color="auto"/>
            </w:tcBorders>
          </w:tcPr>
          <w:p w14:paraId="2731FF16" w14:textId="5B5FD7B2" w:rsidR="00AB6122" w:rsidRPr="009E686F" w:rsidRDefault="00AB6122" w:rsidP="00ED2C1C">
            <w:pPr>
              <w:spacing w:after="0"/>
              <w:jc w:val="both"/>
              <w:rPr>
                <w:rFonts w:ascii="Times New Roman" w:hAnsi="Times New Roman" w:cs="Times New Roman"/>
              </w:rPr>
            </w:pPr>
            <w:r w:rsidRPr="009E686F">
              <w:rPr>
                <w:rFonts w:ascii="Times New Roman" w:hAnsi="Times New Roman" w:cs="Times New Roman"/>
              </w:rPr>
              <w:t xml:space="preserve">(3) Statele membre notifică Comisiei și ABE legislația națională care permite în mod expres întreprinderilor care nu sunt </w:t>
            </w:r>
            <w:r w:rsidR="00A51A7D" w:rsidRPr="009E686F">
              <w:rPr>
                <w:rFonts w:ascii="Times New Roman" w:hAnsi="Times New Roman" w:cs="Times New Roman"/>
              </w:rPr>
              <w:t>instituții de credit</w:t>
            </w:r>
            <w:r w:rsidRPr="009E686F">
              <w:rPr>
                <w:rFonts w:ascii="Times New Roman" w:hAnsi="Times New Roman" w:cs="Times New Roman"/>
              </w:rPr>
              <w:t xml:space="preserve"> să desfășoare activitatea de preluare de depozite sau de alte fonduri rambursabile de la populație.</w:t>
            </w:r>
          </w:p>
        </w:tc>
        <w:tc>
          <w:tcPr>
            <w:tcW w:w="1834" w:type="pct"/>
            <w:tcBorders>
              <w:top w:val="single" w:sz="4" w:space="0" w:color="auto"/>
              <w:left w:val="single" w:sz="4" w:space="0" w:color="auto"/>
              <w:bottom w:val="single" w:sz="4" w:space="0" w:color="auto"/>
              <w:right w:val="single" w:sz="4" w:space="0" w:color="auto"/>
            </w:tcBorders>
          </w:tcPr>
          <w:p w14:paraId="435A8417" w14:textId="1E5615F3" w:rsidR="00AB6122" w:rsidRPr="009E686F" w:rsidRDefault="00AB6122" w:rsidP="00ED2C1C">
            <w:pPr>
              <w:spacing w:after="0"/>
              <w:jc w:val="both"/>
              <w:rPr>
                <w:rFonts w:ascii="Times New Roman" w:hAnsi="Times New Roman" w:cs="Times New Roman"/>
                <w:i/>
                <w:lang w:val="it-CH"/>
              </w:rPr>
            </w:pPr>
            <w:r w:rsidRPr="009E686F">
              <w:rPr>
                <w:rFonts w:ascii="Times New Roman" w:hAnsi="Times New Roman" w:cs="Times New Roman"/>
                <w:i/>
                <w:lang w:val="it-CH"/>
              </w:rPr>
              <w:t>(2</w:t>
            </w:r>
            <w:r w:rsidRPr="009E686F">
              <w:rPr>
                <w:rFonts w:ascii="Times New Roman" w:hAnsi="Times New Roman" w:cs="Times New Roman"/>
                <w:i/>
                <w:vertAlign w:val="superscript"/>
                <w:lang w:val="it-CH"/>
              </w:rPr>
              <w:t>1</w:t>
            </w:r>
            <w:r w:rsidRPr="009E686F">
              <w:rPr>
                <w:rFonts w:ascii="Times New Roman" w:hAnsi="Times New Roman" w:cs="Times New Roman"/>
                <w:i/>
                <w:lang w:val="it-CH"/>
              </w:rPr>
              <w:t xml:space="preserve">) Banca Națională a Moldovei informează Comisia Europeană şi Autoritatea Bancară Europeană cu privire la legislaţia Republicii Moldova care permite entităţilor care nu sunt </w:t>
            </w:r>
            <w:r w:rsidR="00A51A7D" w:rsidRPr="009E686F">
              <w:rPr>
                <w:rFonts w:ascii="Times New Roman" w:hAnsi="Times New Roman" w:cs="Times New Roman"/>
                <w:i/>
                <w:lang w:val="it-CH"/>
              </w:rPr>
              <w:t>instituții de credit</w:t>
            </w:r>
            <w:r w:rsidRPr="009E686F">
              <w:rPr>
                <w:rFonts w:ascii="Times New Roman" w:hAnsi="Times New Roman" w:cs="Times New Roman"/>
                <w:i/>
                <w:lang w:val="it-CH"/>
              </w:rPr>
              <w:t xml:space="preserve"> să desfăşoare activitate de </w:t>
            </w:r>
            <w:r w:rsidRPr="009E686F">
              <w:rPr>
                <w:rFonts w:ascii="Times New Roman" w:hAnsi="Times New Roman" w:cs="Times New Roman"/>
                <w:i/>
                <w:lang w:val="it-CH"/>
              </w:rPr>
              <w:lastRenderedPageBreak/>
              <w:t>atragere de depozite sau de alte fonduri rambursabile de la public</w:t>
            </w:r>
            <w:r w:rsidR="00D51D92" w:rsidRPr="009E686F">
              <w:rPr>
                <w:rFonts w:ascii="Times New Roman" w:hAnsi="Times New Roman" w:cs="Times New Roman"/>
                <w:i/>
                <w:lang w:val="it-CH"/>
              </w:rPr>
              <w:t>.</w:t>
            </w:r>
          </w:p>
        </w:tc>
        <w:tc>
          <w:tcPr>
            <w:tcW w:w="470" w:type="pct"/>
            <w:tcBorders>
              <w:top w:val="single" w:sz="4" w:space="0" w:color="auto"/>
              <w:left w:val="single" w:sz="4" w:space="0" w:color="auto"/>
              <w:bottom w:val="single" w:sz="4" w:space="0" w:color="auto"/>
              <w:right w:val="single" w:sz="4" w:space="0" w:color="auto"/>
            </w:tcBorders>
          </w:tcPr>
          <w:p w14:paraId="028A375B" w14:textId="7D8DB013" w:rsidR="00AB6122" w:rsidRPr="009E686F" w:rsidRDefault="00AB6122" w:rsidP="00AB6122">
            <w:pPr>
              <w:jc w:val="both"/>
              <w:rPr>
                <w:rFonts w:ascii="Times New Roman" w:hAnsi="Times New Roman" w:cs="Times New Roman"/>
              </w:rPr>
            </w:pPr>
            <w:r w:rsidRPr="009E686F">
              <w:rPr>
                <w:rFonts w:ascii="Times New Roman" w:hAnsi="Times New Roman" w:cs="Times New Roman"/>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108BE611" w14:textId="77777777" w:rsidR="00A427E1" w:rsidRPr="009E686F" w:rsidRDefault="00A427E1" w:rsidP="00A427E1">
            <w:pPr>
              <w:tabs>
                <w:tab w:val="left" w:pos="884"/>
                <w:tab w:val="left" w:pos="1196"/>
              </w:tabs>
              <w:spacing w:after="0" w:line="240" w:lineRule="auto"/>
              <w:jc w:val="both"/>
              <w:rPr>
                <w:rFonts w:ascii="Times New Roman" w:hAnsi="Times New Roman"/>
                <w:lang w:val="it-CH"/>
              </w:rPr>
            </w:pPr>
            <w:r w:rsidRPr="009E686F">
              <w:rPr>
                <w:rFonts w:ascii="Times New Roman" w:hAnsi="Times New Roman"/>
                <w:lang w:val="it-CH"/>
              </w:rPr>
              <w:t>În vigoare de la data aderării.</w:t>
            </w:r>
          </w:p>
          <w:p w14:paraId="0B7A5F1A" w14:textId="77777777" w:rsidR="00AB6122" w:rsidRPr="009E686F" w:rsidRDefault="00AB6122" w:rsidP="00515783">
            <w:pPr>
              <w:spacing w:after="0"/>
              <w:jc w:val="both"/>
              <w:rPr>
                <w:rFonts w:ascii="Times New Roman" w:hAnsi="Times New Roman" w:cs="Times New Roman"/>
                <w:lang w:val="it-CH"/>
              </w:rPr>
            </w:pPr>
          </w:p>
        </w:tc>
      </w:tr>
      <w:tr w:rsidR="00B30AFC" w:rsidRPr="009E686F" w14:paraId="0C2858C2" w14:textId="77777777" w:rsidTr="00960C23">
        <w:tc>
          <w:tcPr>
            <w:tcW w:w="1890" w:type="pct"/>
            <w:tcBorders>
              <w:top w:val="single" w:sz="4" w:space="0" w:color="auto"/>
              <w:left w:val="single" w:sz="4" w:space="0" w:color="auto"/>
              <w:bottom w:val="single" w:sz="4" w:space="0" w:color="auto"/>
              <w:right w:val="single" w:sz="4" w:space="0" w:color="auto"/>
            </w:tcBorders>
          </w:tcPr>
          <w:p w14:paraId="2F652AEB" w14:textId="275E98DA" w:rsidR="00AB6122" w:rsidRPr="009E686F" w:rsidRDefault="00AB6122" w:rsidP="00ED2C1C">
            <w:pPr>
              <w:spacing w:after="0"/>
              <w:jc w:val="both"/>
              <w:rPr>
                <w:rFonts w:ascii="Times New Roman" w:hAnsi="Times New Roman" w:cs="Times New Roman"/>
                <w:lang w:val="it-CH"/>
              </w:rPr>
            </w:pPr>
            <w:r w:rsidRPr="009E686F">
              <w:rPr>
                <w:rFonts w:ascii="Times New Roman" w:hAnsi="Times New Roman" w:cs="Times New Roman"/>
                <w:lang w:val="it-CH"/>
              </w:rPr>
              <w:t xml:space="preserve">(4) În temeiul prezentului articol, statele membre nu pot excepta </w:t>
            </w:r>
            <w:r w:rsidR="00A51A7D" w:rsidRPr="009E686F">
              <w:rPr>
                <w:rFonts w:ascii="Times New Roman" w:hAnsi="Times New Roman" w:cs="Times New Roman"/>
                <w:lang w:val="it-CH"/>
              </w:rPr>
              <w:t>instituțiile de credit</w:t>
            </w:r>
            <w:r w:rsidRPr="009E686F">
              <w:rPr>
                <w:rFonts w:ascii="Times New Roman" w:hAnsi="Times New Roman" w:cs="Times New Roman"/>
                <w:lang w:val="it-CH"/>
              </w:rPr>
              <w:t xml:space="preserve"> de la aplicarea prezentei directive și a Regulamentului (UE) nr. 575/2013.</w:t>
            </w:r>
          </w:p>
        </w:tc>
        <w:tc>
          <w:tcPr>
            <w:tcW w:w="1834" w:type="pct"/>
            <w:tcBorders>
              <w:top w:val="single" w:sz="4" w:space="0" w:color="auto"/>
              <w:left w:val="single" w:sz="4" w:space="0" w:color="auto"/>
              <w:bottom w:val="single" w:sz="4" w:space="0" w:color="auto"/>
              <w:right w:val="single" w:sz="4" w:space="0" w:color="auto"/>
            </w:tcBorders>
          </w:tcPr>
          <w:p w14:paraId="7BD98BBE" w14:textId="77777777" w:rsidR="00AB6122" w:rsidRPr="009E686F" w:rsidRDefault="00AB6122" w:rsidP="00ED2C1C">
            <w:pPr>
              <w:spacing w:after="0"/>
              <w:jc w:val="both"/>
              <w:rPr>
                <w:rFonts w:ascii="Times New Roman" w:hAnsi="Times New Roman" w:cs="Times New Roman"/>
                <w:lang w:val="it-CH"/>
              </w:rPr>
            </w:pPr>
            <w:r w:rsidRPr="009E686F">
              <w:rPr>
                <w:rFonts w:ascii="Times New Roman" w:hAnsi="Times New Roman" w:cs="Times New Roman"/>
                <w:lang w:val="it-CH"/>
              </w:rPr>
              <w:t xml:space="preserve">Articolul 2 alin. (1) </w:t>
            </w:r>
          </w:p>
          <w:p w14:paraId="37EB67E9" w14:textId="4E9902B9" w:rsidR="00AB6122" w:rsidRPr="009E686F" w:rsidRDefault="00AB6122" w:rsidP="00ED2C1C">
            <w:pPr>
              <w:spacing w:after="0"/>
              <w:jc w:val="both"/>
              <w:rPr>
                <w:rFonts w:ascii="Times New Roman" w:hAnsi="Times New Roman" w:cs="Times New Roman"/>
                <w:lang w:val="it-CH"/>
              </w:rPr>
            </w:pPr>
            <w:r w:rsidRPr="009E686F">
              <w:rPr>
                <w:rFonts w:ascii="Times New Roman" w:hAnsi="Times New Roman" w:cs="Times New Roman"/>
                <w:lang w:val="it-CH"/>
              </w:rPr>
              <w:t>(1) Prezenta lege se aplică:</w:t>
            </w:r>
          </w:p>
          <w:p w14:paraId="58EBC286" w14:textId="34D7E2AA" w:rsidR="00AB6122" w:rsidRPr="009E686F" w:rsidRDefault="00AB6122" w:rsidP="00ED2C1C">
            <w:pPr>
              <w:spacing w:after="0"/>
              <w:jc w:val="both"/>
              <w:rPr>
                <w:rFonts w:ascii="Times New Roman" w:hAnsi="Times New Roman" w:cs="Times New Roman"/>
              </w:rPr>
            </w:pPr>
            <w:r w:rsidRPr="009E686F">
              <w:rPr>
                <w:rFonts w:ascii="Times New Roman" w:hAnsi="Times New Roman" w:cs="Times New Roman"/>
              </w:rPr>
              <w:t xml:space="preserve">a) </w:t>
            </w:r>
            <w:r w:rsidR="00A51A7D" w:rsidRPr="009E686F">
              <w:rPr>
                <w:rFonts w:ascii="Times New Roman" w:hAnsi="Times New Roman" w:cs="Times New Roman"/>
                <w:i/>
              </w:rPr>
              <w:t>instituțiilor de credit</w:t>
            </w:r>
            <w:r w:rsidRPr="009E686F">
              <w:rPr>
                <w:rFonts w:ascii="Times New Roman" w:hAnsi="Times New Roman" w:cs="Times New Roman"/>
              </w:rPr>
              <w:t xml:space="preserve"> persoane juridice din Republica Moldova, inclusiv sucursalelor din străinătate ale acestora;</w:t>
            </w:r>
          </w:p>
        </w:tc>
        <w:tc>
          <w:tcPr>
            <w:tcW w:w="470" w:type="pct"/>
            <w:tcBorders>
              <w:top w:val="single" w:sz="4" w:space="0" w:color="auto"/>
              <w:left w:val="single" w:sz="4" w:space="0" w:color="auto"/>
              <w:bottom w:val="single" w:sz="4" w:space="0" w:color="auto"/>
              <w:right w:val="single" w:sz="4" w:space="0" w:color="auto"/>
            </w:tcBorders>
          </w:tcPr>
          <w:p w14:paraId="67926DB0" w14:textId="2F3B5D31" w:rsidR="00AB6122" w:rsidRPr="009E686F" w:rsidRDefault="00AB6122" w:rsidP="00AB6122">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7786DF10" w14:textId="459F18B2" w:rsidR="00AB6122" w:rsidRPr="009E686F" w:rsidRDefault="00A51A7D" w:rsidP="00515783">
            <w:pPr>
              <w:spacing w:after="0"/>
              <w:jc w:val="both"/>
              <w:rPr>
                <w:rFonts w:ascii="Times New Roman" w:hAnsi="Times New Roman" w:cs="Times New Roman"/>
                <w:lang w:val="pt-BR"/>
              </w:rPr>
            </w:pPr>
            <w:r w:rsidRPr="009E686F">
              <w:rPr>
                <w:rFonts w:ascii="Times New Roman" w:hAnsi="Times New Roman" w:cs="Times New Roman"/>
                <w:lang w:val="pt-BR"/>
              </w:rPr>
              <w:t>Instituțiile de credit</w:t>
            </w:r>
            <w:r w:rsidR="00AB6122" w:rsidRPr="009E686F">
              <w:rPr>
                <w:rFonts w:ascii="Times New Roman" w:hAnsi="Times New Roman" w:cs="Times New Roman"/>
                <w:lang w:val="pt-BR"/>
              </w:rPr>
              <w:t xml:space="preserve"> în Republica Moldova sunt obligate să respecte Legea nr. 202/2017 și actele normative emise în aplicarea acesteia care transpune prevederile Directivei 2013/36/UE șiu Regulamentului (UE) nr. 575/2013. Legea respectivă nu prevede anumite derogări pen</w:t>
            </w:r>
            <w:r w:rsidR="0029284D" w:rsidRPr="009E686F">
              <w:rPr>
                <w:rFonts w:ascii="Times New Roman" w:hAnsi="Times New Roman" w:cs="Times New Roman"/>
                <w:lang w:val="pt-BR"/>
              </w:rPr>
              <w:t>t</w:t>
            </w:r>
            <w:r w:rsidR="00AB6122" w:rsidRPr="009E686F">
              <w:rPr>
                <w:rFonts w:ascii="Times New Roman" w:hAnsi="Times New Roman" w:cs="Times New Roman"/>
                <w:lang w:val="pt-BR"/>
              </w:rPr>
              <w:t xml:space="preserve">ru </w:t>
            </w:r>
            <w:r w:rsidRPr="009E686F">
              <w:rPr>
                <w:rFonts w:ascii="Times New Roman" w:hAnsi="Times New Roman" w:cs="Times New Roman"/>
                <w:lang w:val="pt-BR"/>
              </w:rPr>
              <w:t>instituțiile de credit</w:t>
            </w:r>
            <w:r w:rsidR="00AB6122" w:rsidRPr="009E686F">
              <w:rPr>
                <w:rFonts w:ascii="Times New Roman" w:hAnsi="Times New Roman" w:cs="Times New Roman"/>
                <w:lang w:val="pt-BR"/>
              </w:rPr>
              <w:t xml:space="preserve"> constituite în Republica Moldova.</w:t>
            </w:r>
          </w:p>
        </w:tc>
      </w:tr>
      <w:tr w:rsidR="00042052" w:rsidRPr="009E686F" w14:paraId="792ED5F7" w14:textId="1EFA0A1B" w:rsidTr="00693A28">
        <w:tc>
          <w:tcPr>
            <w:tcW w:w="1890" w:type="pct"/>
            <w:vMerge w:val="restart"/>
            <w:tcBorders>
              <w:top w:val="single" w:sz="4" w:space="0" w:color="auto"/>
              <w:left w:val="single" w:sz="4" w:space="0" w:color="auto"/>
              <w:right w:val="single" w:sz="4" w:space="0" w:color="auto"/>
            </w:tcBorders>
          </w:tcPr>
          <w:p w14:paraId="79DE63F6" w14:textId="77777777" w:rsidR="00042052" w:rsidRPr="009E686F" w:rsidRDefault="00042052" w:rsidP="00ED2C1C">
            <w:pPr>
              <w:spacing w:after="0"/>
              <w:jc w:val="both"/>
              <w:rPr>
                <w:rFonts w:ascii="Times New Roman" w:hAnsi="Times New Roman" w:cs="Times New Roman"/>
                <w:i/>
                <w:iCs/>
                <w:lang w:val="pt-BR"/>
              </w:rPr>
            </w:pPr>
            <w:r w:rsidRPr="009E686F">
              <w:rPr>
                <w:rFonts w:ascii="Times New Roman" w:hAnsi="Times New Roman" w:cs="Times New Roman"/>
                <w:i/>
                <w:iCs/>
                <w:lang w:val="pt-BR"/>
              </w:rPr>
              <w:t>Articolul 10</w:t>
            </w:r>
          </w:p>
          <w:p w14:paraId="441C03A0" w14:textId="77777777" w:rsidR="00042052" w:rsidRPr="009E686F" w:rsidRDefault="00042052" w:rsidP="00ED2C1C">
            <w:pPr>
              <w:spacing w:after="0"/>
              <w:jc w:val="both"/>
              <w:rPr>
                <w:rFonts w:ascii="Times New Roman" w:hAnsi="Times New Roman" w:cs="Times New Roman"/>
                <w:lang w:val="pt-BR"/>
              </w:rPr>
            </w:pPr>
            <w:r w:rsidRPr="009E686F">
              <w:rPr>
                <w:rFonts w:ascii="Times New Roman" w:hAnsi="Times New Roman" w:cs="Times New Roman"/>
                <w:lang w:val="pt-BR"/>
              </w:rPr>
              <w:t>Programul de activitate, organizarea structurală și cadrul de administrare</w:t>
            </w:r>
          </w:p>
          <w:p w14:paraId="68AC29D8" w14:textId="01C3F11D" w:rsidR="00042052" w:rsidRPr="009E686F" w:rsidRDefault="00042052" w:rsidP="00ED2C1C">
            <w:pPr>
              <w:spacing w:after="0"/>
              <w:jc w:val="both"/>
              <w:rPr>
                <w:rFonts w:ascii="Times New Roman" w:hAnsi="Times New Roman" w:cs="Times New Roman"/>
                <w:lang w:val="pt-BR"/>
              </w:rPr>
            </w:pPr>
            <w:r w:rsidRPr="009E686F">
              <w:rPr>
                <w:rFonts w:ascii="Times New Roman" w:hAnsi="Times New Roman" w:cs="Times New Roman"/>
                <w:lang w:val="pt-BR"/>
              </w:rPr>
              <w:t>(1) Statele membre prevăd obligația ca cererile de autorizare să fie însoțite de un program de activitate care să descrie tipurile de activități prevăzute și organizarea structurală a instituției de credit</w:t>
            </w:r>
            <w:r w:rsidRPr="009E686F">
              <w:rPr>
                <w:rFonts w:ascii="Times New Roman" w:eastAsia="Times New Roman" w:hAnsi="Times New Roman" w:cs="Times New Roman"/>
                <w:color w:val="000000"/>
                <w:lang w:val="pt-BR" w:eastAsia="ro-MD"/>
              </w:rPr>
              <w:t xml:space="preserve"> și care să indice, de asemenea, întreprinderile-mamă, societățile financiare holding și societățile financiare holding mixte care fac parte din grup. Statele membre solicită, de asemenea, ca cererile de autorizare să fie însoțite de o descriere a cadrului de administrare, a proceselor și a mecanismelor menționate la articolul 74 alineatul (1)</w:t>
            </w:r>
            <w:r w:rsidRPr="009E686F">
              <w:rPr>
                <w:rFonts w:ascii="Times New Roman" w:hAnsi="Times New Roman" w:cs="Times New Roman"/>
                <w:lang w:val="pt-BR"/>
              </w:rPr>
              <w:t>.</w:t>
            </w:r>
          </w:p>
        </w:tc>
        <w:tc>
          <w:tcPr>
            <w:tcW w:w="1834" w:type="pct"/>
            <w:tcBorders>
              <w:top w:val="single" w:sz="4" w:space="0" w:color="auto"/>
              <w:left w:val="single" w:sz="4" w:space="0" w:color="auto"/>
              <w:bottom w:val="single" w:sz="4" w:space="0" w:color="auto"/>
              <w:right w:val="single" w:sz="4" w:space="0" w:color="auto"/>
            </w:tcBorders>
          </w:tcPr>
          <w:p w14:paraId="7CEC56A4" w14:textId="77777777" w:rsidR="00042052" w:rsidRPr="009E686F" w:rsidRDefault="00042052" w:rsidP="00ED2C1C">
            <w:pPr>
              <w:spacing w:after="0"/>
              <w:jc w:val="both"/>
              <w:rPr>
                <w:rFonts w:ascii="Times New Roman" w:hAnsi="Times New Roman" w:cs="Times New Roman"/>
                <w:lang w:val="pt-BR"/>
              </w:rPr>
            </w:pPr>
            <w:r w:rsidRPr="009E686F">
              <w:rPr>
                <w:rFonts w:ascii="Times New Roman" w:hAnsi="Times New Roman" w:cs="Times New Roman"/>
                <w:b/>
                <w:lang w:val="pt-BR"/>
              </w:rPr>
              <w:t>Articolul 13.</w:t>
            </w:r>
            <w:r w:rsidRPr="009E686F">
              <w:rPr>
                <w:rFonts w:ascii="Times New Roman" w:hAnsi="Times New Roman" w:cs="Times New Roman"/>
                <w:lang w:val="pt-BR"/>
              </w:rPr>
              <w:t xml:space="preserve"> Programul de activitate,  structura organizatorică și cadrul de administrare a activității</w:t>
            </w:r>
          </w:p>
          <w:p w14:paraId="709C5031" w14:textId="11C4C977" w:rsidR="00042052" w:rsidRPr="009E686F" w:rsidRDefault="00042052" w:rsidP="00ED2C1C">
            <w:pPr>
              <w:spacing w:after="0"/>
              <w:jc w:val="both"/>
              <w:rPr>
                <w:rFonts w:ascii="Times New Roman" w:hAnsi="Times New Roman" w:cs="Times New Roman"/>
                <w:lang w:val="pt-BR"/>
              </w:rPr>
            </w:pPr>
            <w:r w:rsidRPr="009E686F">
              <w:rPr>
                <w:rFonts w:ascii="Times New Roman" w:hAnsi="Times New Roman" w:cs="Times New Roman"/>
                <w:lang w:val="pt-BR"/>
              </w:rPr>
              <w:t>Orice cerere de</w:t>
            </w:r>
            <w:r w:rsidRPr="009E686F">
              <w:rPr>
                <w:rFonts w:ascii="Times New Roman" w:hAnsi="Times New Roman" w:cs="Times New Roman"/>
                <w:i/>
                <w:lang w:val="pt-BR"/>
              </w:rPr>
              <w:t xml:space="preserve"> autorizare </w:t>
            </w:r>
            <w:r w:rsidRPr="009E686F">
              <w:rPr>
                <w:rFonts w:ascii="Times New Roman" w:hAnsi="Times New Roman" w:cs="Times New Roman"/>
                <w:lang w:val="pt-BR"/>
              </w:rPr>
              <w:t xml:space="preserve">a unei </w:t>
            </w:r>
            <w:r w:rsidRPr="009E686F">
              <w:rPr>
                <w:rFonts w:ascii="Times New Roman" w:hAnsi="Times New Roman" w:cs="Times New Roman"/>
                <w:i/>
                <w:lang w:val="pt-BR"/>
              </w:rPr>
              <w:t>instituții de credit</w:t>
            </w:r>
            <w:r w:rsidRPr="009E686F">
              <w:rPr>
                <w:rFonts w:ascii="Times New Roman" w:hAnsi="Times New Roman" w:cs="Times New Roman"/>
                <w:lang w:val="pt-BR"/>
              </w:rPr>
              <w:t xml:space="preserve"> trebuie să fie însoţită de programul de activitate al acesteia, din care să rezulte capacitatea  </w:t>
            </w:r>
            <w:r w:rsidRPr="009E686F">
              <w:rPr>
                <w:rFonts w:ascii="Times New Roman" w:hAnsi="Times New Roman" w:cs="Times New Roman"/>
                <w:i/>
                <w:lang w:val="pt-BR"/>
              </w:rPr>
              <w:t>instituției de credit</w:t>
            </w:r>
            <w:r w:rsidRPr="009E686F">
              <w:rPr>
                <w:rFonts w:ascii="Times New Roman" w:hAnsi="Times New Roman" w:cs="Times New Roman"/>
                <w:lang w:val="pt-BR"/>
              </w:rPr>
              <w:t xml:space="preserve"> de a realiza obiectivele propuse în condiţii compatibile cu regulile unei practici bancare prudente şi sănătoase, care să cuprindă tipurile de activităţi propuse a fi desfăşurate şi structura organizatorică a </w:t>
            </w:r>
            <w:r w:rsidRPr="009E686F">
              <w:rPr>
                <w:rFonts w:ascii="Times New Roman" w:hAnsi="Times New Roman" w:cs="Times New Roman"/>
                <w:i/>
                <w:lang w:val="pt-BR"/>
              </w:rPr>
              <w:t>instituției de credit</w:t>
            </w:r>
            <w:r w:rsidRPr="009E686F">
              <w:rPr>
                <w:rFonts w:ascii="Times New Roman" w:hAnsi="Times New Roman" w:cs="Times New Roman"/>
                <w:lang w:val="pt-BR"/>
              </w:rPr>
              <w:t xml:space="preserve"> şi care să indice întreprinderile-mamă, societăţile financiare holding şi societăţile financiare holding mixte care fac parte din grup. Cererea de</w:t>
            </w:r>
            <w:r w:rsidRPr="009E686F">
              <w:rPr>
                <w:rFonts w:ascii="Times New Roman" w:hAnsi="Times New Roman" w:cs="Times New Roman"/>
                <w:i/>
                <w:iCs/>
                <w:lang w:val="pt-BR"/>
              </w:rPr>
              <w:t xml:space="preserve"> autorizare</w:t>
            </w:r>
            <w:r w:rsidRPr="009E686F">
              <w:rPr>
                <w:rFonts w:ascii="Times New Roman" w:hAnsi="Times New Roman" w:cs="Times New Roman"/>
                <w:lang w:val="pt-BR"/>
              </w:rPr>
              <w:t xml:space="preserve"> trebuie să fie însoţită de descrierea cadrului de administrare a activităţii, a proceselor şi a mecanismelor prevăzute la art.38 alin.(1).</w:t>
            </w:r>
          </w:p>
        </w:tc>
        <w:tc>
          <w:tcPr>
            <w:tcW w:w="470" w:type="pct"/>
            <w:tcBorders>
              <w:top w:val="single" w:sz="4" w:space="0" w:color="auto"/>
              <w:left w:val="single" w:sz="4" w:space="0" w:color="auto"/>
              <w:bottom w:val="single" w:sz="4" w:space="0" w:color="auto"/>
              <w:right w:val="single" w:sz="4" w:space="0" w:color="auto"/>
            </w:tcBorders>
          </w:tcPr>
          <w:p w14:paraId="5C9A14DA" w14:textId="72BA9B3B" w:rsidR="00042052" w:rsidRPr="009E686F" w:rsidRDefault="00042052" w:rsidP="00AB6122">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37BD6DEC" w14:textId="33FBC3FA" w:rsidR="00042052" w:rsidRPr="009E686F" w:rsidRDefault="00042052" w:rsidP="00515783">
            <w:pPr>
              <w:spacing w:after="0"/>
              <w:jc w:val="both"/>
              <w:rPr>
                <w:rFonts w:ascii="Times New Roman" w:hAnsi="Times New Roman" w:cs="Times New Roman"/>
              </w:rPr>
            </w:pPr>
          </w:p>
        </w:tc>
      </w:tr>
      <w:tr w:rsidR="00042052" w:rsidRPr="009E686F" w14:paraId="5EC2730F" w14:textId="77777777" w:rsidTr="00693A28">
        <w:tc>
          <w:tcPr>
            <w:tcW w:w="1890" w:type="pct"/>
            <w:vMerge/>
            <w:tcBorders>
              <w:left w:val="single" w:sz="4" w:space="0" w:color="auto"/>
              <w:bottom w:val="single" w:sz="4" w:space="0" w:color="auto"/>
              <w:right w:val="single" w:sz="4" w:space="0" w:color="auto"/>
            </w:tcBorders>
          </w:tcPr>
          <w:p w14:paraId="7FA96DBD" w14:textId="3E14CBB2" w:rsidR="00042052" w:rsidRPr="009E686F" w:rsidRDefault="00042052" w:rsidP="00ED2C1C">
            <w:pPr>
              <w:spacing w:after="0"/>
              <w:jc w:val="both"/>
              <w:rPr>
                <w:rFonts w:ascii="Times New Roman" w:hAnsi="Times New Roman" w:cs="Times New Roman"/>
                <w:lang w:val="it-CH"/>
              </w:rPr>
            </w:pPr>
          </w:p>
        </w:tc>
        <w:tc>
          <w:tcPr>
            <w:tcW w:w="1834" w:type="pct"/>
            <w:tcBorders>
              <w:top w:val="single" w:sz="4" w:space="0" w:color="auto"/>
              <w:left w:val="single" w:sz="4" w:space="0" w:color="auto"/>
              <w:bottom w:val="single" w:sz="4" w:space="0" w:color="auto"/>
              <w:right w:val="single" w:sz="4" w:space="0" w:color="auto"/>
            </w:tcBorders>
          </w:tcPr>
          <w:p w14:paraId="0AA2FAA6" w14:textId="1E9C9FD6" w:rsidR="00042052" w:rsidRPr="009E686F" w:rsidRDefault="00042052" w:rsidP="00042052">
            <w:pPr>
              <w:spacing w:after="0"/>
              <w:jc w:val="both"/>
              <w:rPr>
                <w:rFonts w:ascii="Times New Roman" w:hAnsi="Times New Roman" w:cs="Times New Roman"/>
                <w:lang w:val="it-CH"/>
              </w:rPr>
            </w:pPr>
            <w:r w:rsidRPr="009E686F">
              <w:rPr>
                <w:rFonts w:ascii="Times New Roman" w:hAnsi="Times New Roman" w:cs="Times New Roman"/>
                <w:b/>
                <w:bCs/>
                <w:lang w:val="it-CH"/>
              </w:rPr>
              <w:t>Articolul 19</w:t>
            </w:r>
            <w:r w:rsidR="00FD5349" w:rsidRPr="009E686F">
              <w:rPr>
                <w:rFonts w:ascii="Times New Roman" w:hAnsi="Times New Roman" w:cs="Times New Roman"/>
                <w:b/>
                <w:bCs/>
                <w:lang w:val="it-CH"/>
              </w:rPr>
              <w:t xml:space="preserve"> alin. (1) lit. c)</w:t>
            </w:r>
          </w:p>
          <w:p w14:paraId="2976778A" w14:textId="77777777" w:rsidR="00042052" w:rsidRPr="009E686F" w:rsidRDefault="00042052" w:rsidP="00042052">
            <w:pPr>
              <w:spacing w:after="0"/>
              <w:jc w:val="both"/>
              <w:rPr>
                <w:rFonts w:ascii="Times New Roman" w:hAnsi="Times New Roman" w:cs="Times New Roman"/>
                <w:lang w:val="it-CH"/>
              </w:rPr>
            </w:pPr>
            <w:r w:rsidRPr="009E686F">
              <w:rPr>
                <w:rFonts w:ascii="Times New Roman" w:hAnsi="Times New Roman" w:cs="Times New Roman"/>
                <w:lang w:val="it-CH"/>
              </w:rPr>
              <w:t>(1) Banca Naţională a Moldovei respinge o cerere de autorizare dacă:</w:t>
            </w:r>
          </w:p>
          <w:p w14:paraId="40D4BCAE" w14:textId="77777777" w:rsidR="00042052" w:rsidRPr="009E686F" w:rsidRDefault="00042052" w:rsidP="00042052">
            <w:pPr>
              <w:spacing w:after="0"/>
              <w:jc w:val="both"/>
              <w:rPr>
                <w:rFonts w:ascii="Times New Roman" w:hAnsi="Times New Roman" w:cs="Times New Roman"/>
                <w:lang w:val="it-CH"/>
              </w:rPr>
            </w:pPr>
            <w:r w:rsidRPr="009E686F">
              <w:rPr>
                <w:rFonts w:ascii="Times New Roman" w:hAnsi="Times New Roman" w:cs="Times New Roman"/>
                <w:lang w:val="it-CH"/>
              </w:rPr>
              <w:t>[…]</w:t>
            </w:r>
          </w:p>
          <w:p w14:paraId="40D383E9" w14:textId="456B6582" w:rsidR="00042052" w:rsidRPr="009E686F" w:rsidRDefault="00042052" w:rsidP="00042052">
            <w:pPr>
              <w:spacing w:after="0"/>
              <w:jc w:val="both"/>
              <w:rPr>
                <w:rFonts w:ascii="Times New Roman" w:hAnsi="Times New Roman" w:cs="Times New Roman"/>
                <w:lang w:val="it-CH"/>
              </w:rPr>
            </w:pPr>
            <w:r w:rsidRPr="009E686F">
              <w:rPr>
                <w:rFonts w:ascii="Times New Roman" w:hAnsi="Times New Roman" w:cs="Times New Roman"/>
                <w:lang w:val="it-CH"/>
              </w:rPr>
              <w:t xml:space="preserve">c) din evaluarea programului de activitate prezentat rezultă că </w:t>
            </w:r>
            <w:r w:rsidRPr="009E686F">
              <w:rPr>
                <w:rFonts w:ascii="Times New Roman" w:hAnsi="Times New Roman" w:cs="Times New Roman"/>
                <w:i/>
                <w:iCs/>
                <w:lang w:val="it-CH"/>
              </w:rPr>
              <w:t>instituția de credit</w:t>
            </w:r>
            <w:r w:rsidRPr="009E686F">
              <w:rPr>
                <w:rFonts w:ascii="Times New Roman" w:hAnsi="Times New Roman" w:cs="Times New Roman"/>
                <w:lang w:val="it-CH"/>
              </w:rPr>
              <w:t xml:space="preserve"> nu poate asigura realizarea obiectivelor propuse în condiţiile respectării cerinţelor cuprinse în prezenta lege şi în actele normative emise în aplicarea acesteia;</w:t>
            </w:r>
          </w:p>
        </w:tc>
        <w:tc>
          <w:tcPr>
            <w:tcW w:w="470" w:type="pct"/>
            <w:tcBorders>
              <w:top w:val="single" w:sz="4" w:space="0" w:color="auto"/>
              <w:left w:val="single" w:sz="4" w:space="0" w:color="auto"/>
              <w:bottom w:val="single" w:sz="4" w:space="0" w:color="auto"/>
              <w:right w:val="single" w:sz="4" w:space="0" w:color="auto"/>
            </w:tcBorders>
          </w:tcPr>
          <w:p w14:paraId="0D7858DD" w14:textId="64FC388F" w:rsidR="00042052" w:rsidRPr="009E686F" w:rsidRDefault="00042052" w:rsidP="00AB6122">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5CF5DA3E" w14:textId="77777777" w:rsidR="00042052" w:rsidRPr="009E686F" w:rsidRDefault="00042052" w:rsidP="00515783">
            <w:pPr>
              <w:spacing w:after="0"/>
              <w:jc w:val="both"/>
              <w:rPr>
                <w:rFonts w:ascii="Times New Roman" w:hAnsi="Times New Roman" w:cs="Times New Roman"/>
              </w:rPr>
            </w:pPr>
          </w:p>
        </w:tc>
      </w:tr>
      <w:tr w:rsidR="00B30AFC" w:rsidRPr="009E686F" w14:paraId="4D22489E" w14:textId="77777777" w:rsidTr="00960C23">
        <w:tc>
          <w:tcPr>
            <w:tcW w:w="1890" w:type="pct"/>
            <w:tcBorders>
              <w:top w:val="single" w:sz="4" w:space="0" w:color="auto"/>
              <w:left w:val="single" w:sz="4" w:space="0" w:color="auto"/>
              <w:bottom w:val="single" w:sz="4" w:space="0" w:color="auto"/>
              <w:right w:val="single" w:sz="4" w:space="0" w:color="auto"/>
            </w:tcBorders>
          </w:tcPr>
          <w:p w14:paraId="567F0482" w14:textId="35901DB7" w:rsidR="00AB6122" w:rsidRPr="009E686F" w:rsidRDefault="00AB6122" w:rsidP="00ED2C1C">
            <w:pPr>
              <w:spacing w:after="0"/>
              <w:jc w:val="both"/>
              <w:rPr>
                <w:rFonts w:ascii="Times New Roman" w:hAnsi="Times New Roman" w:cs="Times New Roman"/>
                <w:lang w:val="it-CH"/>
              </w:rPr>
            </w:pPr>
            <w:r w:rsidRPr="009E686F">
              <w:rPr>
                <w:rFonts w:ascii="Times New Roman" w:hAnsi="Times New Roman" w:cs="Times New Roman"/>
                <w:lang w:val="it-CH"/>
              </w:rPr>
              <w:t xml:space="preserve">(2) Autoritățile competente refuză acordarea autorizației de începere a activității unei </w:t>
            </w:r>
            <w:r w:rsidR="00A51A7D" w:rsidRPr="009E686F">
              <w:rPr>
                <w:rFonts w:ascii="Times New Roman" w:hAnsi="Times New Roman" w:cs="Times New Roman"/>
                <w:lang w:val="it-CH"/>
              </w:rPr>
              <w:t>instituții de credit</w:t>
            </w:r>
            <w:r w:rsidRPr="009E686F">
              <w:rPr>
                <w:rFonts w:ascii="Times New Roman" w:hAnsi="Times New Roman" w:cs="Times New Roman"/>
                <w:lang w:val="it-CH"/>
              </w:rPr>
              <w:t>, cu excepția cazului în care constată că procesele, mecanismele și cadrul de administrare menționate la articolul 74 alineatul (1) permit o gestionare solidă și eficace a riscurilor de către instituția respectivă.</w:t>
            </w:r>
          </w:p>
        </w:tc>
        <w:tc>
          <w:tcPr>
            <w:tcW w:w="1834" w:type="pct"/>
            <w:tcBorders>
              <w:top w:val="single" w:sz="4" w:space="0" w:color="auto"/>
              <w:left w:val="single" w:sz="4" w:space="0" w:color="auto"/>
              <w:bottom w:val="single" w:sz="4" w:space="0" w:color="auto"/>
              <w:right w:val="single" w:sz="4" w:space="0" w:color="auto"/>
            </w:tcBorders>
          </w:tcPr>
          <w:p w14:paraId="361DEC49" w14:textId="4F065EC0" w:rsidR="00AB6122" w:rsidRPr="009E686F" w:rsidRDefault="00B95D2A" w:rsidP="00ED2C1C">
            <w:pPr>
              <w:spacing w:after="0"/>
              <w:jc w:val="both"/>
              <w:rPr>
                <w:rFonts w:ascii="Times New Roman" w:hAnsi="Times New Roman" w:cs="Times New Roman"/>
                <w:b/>
                <w:lang w:val="it-CH"/>
              </w:rPr>
            </w:pPr>
            <w:r w:rsidRPr="009E686F">
              <w:rPr>
                <w:rFonts w:ascii="Times New Roman" w:hAnsi="Times New Roman" w:cs="Times New Roman"/>
                <w:b/>
                <w:lang w:val="it-CH"/>
              </w:rPr>
              <w:t>Articolul 19 alin. (1) lit. c</w:t>
            </w:r>
            <w:r w:rsidRPr="009E686F">
              <w:rPr>
                <w:rFonts w:ascii="Times New Roman" w:hAnsi="Times New Roman" w:cs="Times New Roman"/>
                <w:b/>
                <w:vertAlign w:val="superscript"/>
                <w:lang w:val="it-CH"/>
              </w:rPr>
              <w:t>1</w:t>
            </w:r>
            <w:r w:rsidRPr="009E686F">
              <w:rPr>
                <w:rFonts w:ascii="Times New Roman" w:hAnsi="Times New Roman" w:cs="Times New Roman"/>
                <w:b/>
                <w:lang w:val="it-CH"/>
              </w:rPr>
              <w:t>)</w:t>
            </w:r>
          </w:p>
          <w:p w14:paraId="6D512BE6" w14:textId="5763767F" w:rsidR="00B95D2A" w:rsidRPr="009E686F" w:rsidRDefault="00B95D2A" w:rsidP="00ED2C1C">
            <w:pPr>
              <w:spacing w:after="0"/>
              <w:jc w:val="both"/>
              <w:rPr>
                <w:rFonts w:ascii="Times New Roman" w:hAnsi="Times New Roman" w:cs="Times New Roman"/>
                <w:b/>
                <w:lang w:val="it-CH"/>
              </w:rPr>
            </w:pPr>
            <w:r w:rsidRPr="009E686F">
              <w:rPr>
                <w:rFonts w:ascii="Times New Roman" w:hAnsi="Times New Roman" w:cs="Times New Roman"/>
                <w:lang w:val="it-CH"/>
              </w:rPr>
              <w:t>c</w:t>
            </w:r>
            <w:r w:rsidRPr="009E686F">
              <w:rPr>
                <w:rFonts w:ascii="Times New Roman" w:hAnsi="Times New Roman" w:cs="Times New Roman"/>
                <w:vertAlign w:val="superscript"/>
                <w:lang w:val="it-CH"/>
              </w:rPr>
              <w:t>1</w:t>
            </w:r>
            <w:r w:rsidRPr="009E686F">
              <w:rPr>
                <w:rFonts w:ascii="Times New Roman" w:hAnsi="Times New Roman" w:cs="Times New Roman"/>
                <w:lang w:val="it-CH"/>
              </w:rPr>
              <w:t xml:space="preserve">) constată că cadrul de administrare a activităţii, procesele şi mecanismele prevăzute la art. 38 alin.(1) nu permit o administrare sănătoasă şi eficace a riscurilor de către </w:t>
            </w:r>
            <w:r w:rsidR="00A51A7D" w:rsidRPr="009E686F">
              <w:rPr>
                <w:rFonts w:ascii="Times New Roman" w:hAnsi="Times New Roman" w:cs="Times New Roman"/>
                <w:i/>
                <w:lang w:val="it-CH"/>
              </w:rPr>
              <w:t>instituția de credit</w:t>
            </w:r>
            <w:r w:rsidRPr="009E686F">
              <w:rPr>
                <w:rFonts w:ascii="Times New Roman" w:hAnsi="Times New Roman" w:cs="Times New Roman"/>
                <w:lang w:val="it-CH"/>
              </w:rPr>
              <w:t xml:space="preserve"> respectivă sau nu permit realizarea eficientă a supravegherii </w:t>
            </w:r>
            <w:r w:rsidR="00A51A7D" w:rsidRPr="009E686F">
              <w:rPr>
                <w:rFonts w:ascii="Times New Roman" w:hAnsi="Times New Roman" w:cs="Times New Roman"/>
                <w:i/>
                <w:lang w:val="it-CH"/>
              </w:rPr>
              <w:t>instituției de credit</w:t>
            </w:r>
            <w:r w:rsidRPr="009E686F">
              <w:rPr>
                <w:rFonts w:ascii="Times New Roman" w:hAnsi="Times New Roman" w:cs="Times New Roman"/>
                <w:lang w:val="it-CH"/>
              </w:rPr>
              <w:t xml:space="preserve"> de către Banca Naţională a Moldovei, pe bază individuală sau, după caz, pe bază consolidată;</w:t>
            </w:r>
          </w:p>
        </w:tc>
        <w:tc>
          <w:tcPr>
            <w:tcW w:w="470" w:type="pct"/>
            <w:tcBorders>
              <w:top w:val="single" w:sz="4" w:space="0" w:color="auto"/>
              <w:left w:val="single" w:sz="4" w:space="0" w:color="auto"/>
              <w:bottom w:val="single" w:sz="4" w:space="0" w:color="auto"/>
              <w:right w:val="single" w:sz="4" w:space="0" w:color="auto"/>
            </w:tcBorders>
          </w:tcPr>
          <w:p w14:paraId="5E0E03E0" w14:textId="42DC0DF7" w:rsidR="00AB6122" w:rsidRPr="009E686F" w:rsidRDefault="00B95D2A" w:rsidP="00AB6122">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5AB782D0" w14:textId="77777777" w:rsidR="00AB6122" w:rsidRPr="009E686F" w:rsidRDefault="00AB6122" w:rsidP="00515783">
            <w:pPr>
              <w:spacing w:after="0"/>
              <w:jc w:val="both"/>
              <w:rPr>
                <w:rFonts w:ascii="Times New Roman" w:hAnsi="Times New Roman" w:cs="Times New Roman"/>
              </w:rPr>
            </w:pPr>
          </w:p>
        </w:tc>
      </w:tr>
      <w:tr w:rsidR="00B30AFC" w:rsidRPr="009E686F" w14:paraId="424C470A" w14:textId="51ECB4A4" w:rsidTr="00960C23">
        <w:tc>
          <w:tcPr>
            <w:tcW w:w="1890" w:type="pct"/>
            <w:tcBorders>
              <w:top w:val="single" w:sz="4" w:space="0" w:color="auto"/>
              <w:left w:val="single" w:sz="4" w:space="0" w:color="auto"/>
              <w:bottom w:val="single" w:sz="4" w:space="0" w:color="auto"/>
              <w:right w:val="single" w:sz="4" w:space="0" w:color="auto"/>
            </w:tcBorders>
          </w:tcPr>
          <w:p w14:paraId="056B64C1" w14:textId="77777777" w:rsidR="00AB6122" w:rsidRPr="009E686F" w:rsidRDefault="00AB6122" w:rsidP="00ED2C1C">
            <w:pPr>
              <w:spacing w:after="0"/>
              <w:jc w:val="both"/>
              <w:rPr>
                <w:rFonts w:ascii="Times New Roman" w:hAnsi="Times New Roman" w:cs="Times New Roman"/>
                <w:b/>
                <w:i/>
                <w:lang w:val="it-CH"/>
              </w:rPr>
            </w:pPr>
            <w:r w:rsidRPr="009E686F">
              <w:rPr>
                <w:rFonts w:ascii="Times New Roman" w:hAnsi="Times New Roman" w:cs="Times New Roman"/>
                <w:i/>
                <w:lang w:val="it-CH"/>
              </w:rPr>
              <w:t xml:space="preserve">Articolul 11 </w:t>
            </w:r>
          </w:p>
          <w:p w14:paraId="0C0D9F93" w14:textId="7B304246" w:rsidR="00AB6122" w:rsidRPr="009E686F" w:rsidRDefault="00AB6122" w:rsidP="00ED2C1C">
            <w:pPr>
              <w:spacing w:after="0"/>
              <w:jc w:val="both"/>
              <w:rPr>
                <w:rFonts w:ascii="Times New Roman" w:hAnsi="Times New Roman" w:cs="Times New Roman"/>
                <w:lang w:val="it-CH"/>
              </w:rPr>
            </w:pPr>
            <w:r w:rsidRPr="009E686F">
              <w:rPr>
                <w:rFonts w:ascii="Times New Roman" w:hAnsi="Times New Roman" w:cs="Times New Roman"/>
                <w:lang w:val="it-CH"/>
              </w:rPr>
              <w:t>Necesități economice</w:t>
            </w:r>
          </w:p>
          <w:p w14:paraId="2E33C00C" w14:textId="77777777" w:rsidR="005864F1" w:rsidRPr="009E686F" w:rsidRDefault="005864F1" w:rsidP="00ED2C1C">
            <w:pPr>
              <w:spacing w:after="0"/>
              <w:jc w:val="both"/>
              <w:rPr>
                <w:rFonts w:ascii="Times New Roman" w:hAnsi="Times New Roman" w:cs="Times New Roman"/>
                <w:lang w:val="it-CH"/>
              </w:rPr>
            </w:pPr>
          </w:p>
          <w:p w14:paraId="01AF74D1" w14:textId="77777777" w:rsidR="00AB6122" w:rsidRPr="009E686F" w:rsidRDefault="00AB6122" w:rsidP="00ED2C1C">
            <w:pPr>
              <w:spacing w:after="0"/>
              <w:jc w:val="both"/>
              <w:rPr>
                <w:rFonts w:ascii="Times New Roman" w:hAnsi="Times New Roman" w:cs="Times New Roman"/>
                <w:lang w:val="it-CH"/>
              </w:rPr>
            </w:pPr>
            <w:r w:rsidRPr="009E686F">
              <w:rPr>
                <w:rFonts w:ascii="Times New Roman" w:hAnsi="Times New Roman" w:cs="Times New Roman"/>
                <w:lang w:val="it-CH"/>
              </w:rPr>
              <w:t>Statele membre nu solicită ca cererea de autorizare să fie examinată în contextul necesităților economice ale pieței.</w:t>
            </w:r>
          </w:p>
        </w:tc>
        <w:tc>
          <w:tcPr>
            <w:tcW w:w="1834" w:type="pct"/>
            <w:tcBorders>
              <w:top w:val="single" w:sz="4" w:space="0" w:color="auto"/>
              <w:left w:val="single" w:sz="4" w:space="0" w:color="auto"/>
              <w:bottom w:val="single" w:sz="4" w:space="0" w:color="auto"/>
              <w:right w:val="single" w:sz="4" w:space="0" w:color="auto"/>
            </w:tcBorders>
          </w:tcPr>
          <w:p w14:paraId="6200B271" w14:textId="42B9514D" w:rsidR="00AB6122" w:rsidRPr="009E686F" w:rsidRDefault="00AB6122" w:rsidP="00ED2C1C">
            <w:pPr>
              <w:spacing w:after="0"/>
              <w:jc w:val="both"/>
              <w:rPr>
                <w:rFonts w:ascii="Times New Roman" w:hAnsi="Times New Roman" w:cs="Times New Roman"/>
                <w:lang w:val="it-CH"/>
              </w:rPr>
            </w:pPr>
            <w:r w:rsidRPr="009E686F">
              <w:rPr>
                <w:rFonts w:ascii="Times New Roman" w:hAnsi="Times New Roman" w:cs="Times New Roman"/>
                <w:b/>
                <w:bCs/>
                <w:lang w:val="it-CH"/>
              </w:rPr>
              <w:t xml:space="preserve">Articolul 19 </w:t>
            </w:r>
            <w:r w:rsidRPr="009E686F">
              <w:rPr>
                <w:rFonts w:ascii="Times New Roman" w:hAnsi="Times New Roman" w:cs="Times New Roman"/>
                <w:lang w:val="it-CH"/>
              </w:rPr>
              <w:t>alin. (2)</w:t>
            </w:r>
          </w:p>
          <w:p w14:paraId="692472C4" w14:textId="0D8A728E" w:rsidR="00AB6122" w:rsidRPr="009E686F" w:rsidRDefault="00AB6122" w:rsidP="00ED2C1C">
            <w:pPr>
              <w:spacing w:after="0"/>
              <w:jc w:val="both"/>
              <w:rPr>
                <w:rFonts w:ascii="Times New Roman" w:hAnsi="Times New Roman" w:cs="Times New Roman"/>
                <w:lang w:val="it-CH"/>
              </w:rPr>
            </w:pPr>
            <w:r w:rsidRPr="009E686F">
              <w:rPr>
                <w:rFonts w:ascii="Times New Roman" w:hAnsi="Times New Roman" w:cs="Times New Roman"/>
                <w:lang w:val="it-CH"/>
              </w:rPr>
              <w:t xml:space="preserve">(2) Banca Națională a Moldovei nu examinează cererea de eliberare a </w:t>
            </w:r>
            <w:r w:rsidRPr="009E686F">
              <w:rPr>
                <w:rFonts w:ascii="Times New Roman" w:hAnsi="Times New Roman" w:cs="Times New Roman"/>
                <w:i/>
                <w:iCs/>
                <w:lang w:val="it-CH"/>
              </w:rPr>
              <w:t>autorizației</w:t>
            </w:r>
            <w:r w:rsidRPr="009E686F">
              <w:rPr>
                <w:rFonts w:ascii="Times New Roman" w:hAnsi="Times New Roman" w:cs="Times New Roman"/>
                <w:lang w:val="it-CH"/>
              </w:rPr>
              <w:t xml:space="preserve"> în contextul necesităților economice ale pieței.</w:t>
            </w:r>
          </w:p>
        </w:tc>
        <w:tc>
          <w:tcPr>
            <w:tcW w:w="470" w:type="pct"/>
            <w:tcBorders>
              <w:top w:val="single" w:sz="4" w:space="0" w:color="auto"/>
              <w:left w:val="single" w:sz="4" w:space="0" w:color="auto"/>
              <w:bottom w:val="single" w:sz="4" w:space="0" w:color="auto"/>
              <w:right w:val="single" w:sz="4" w:space="0" w:color="auto"/>
            </w:tcBorders>
          </w:tcPr>
          <w:p w14:paraId="1F32A303" w14:textId="22496B97" w:rsidR="00AB6122" w:rsidRPr="009E686F" w:rsidRDefault="00AB6122" w:rsidP="00AB6122">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3653A777" w14:textId="1E1ED088" w:rsidR="00AB6122" w:rsidRPr="009E686F" w:rsidRDefault="00AB6122" w:rsidP="00515783">
            <w:pPr>
              <w:spacing w:after="0"/>
              <w:jc w:val="both"/>
              <w:rPr>
                <w:rFonts w:ascii="Times New Roman" w:hAnsi="Times New Roman" w:cs="Times New Roman"/>
              </w:rPr>
            </w:pPr>
          </w:p>
        </w:tc>
      </w:tr>
      <w:tr w:rsidR="00B30AFC" w:rsidRPr="009E686F" w14:paraId="71AAC934" w14:textId="695B1C9B" w:rsidTr="00960C23">
        <w:tc>
          <w:tcPr>
            <w:tcW w:w="1890" w:type="pct"/>
            <w:tcBorders>
              <w:top w:val="single" w:sz="4" w:space="0" w:color="auto"/>
              <w:left w:val="single" w:sz="4" w:space="0" w:color="auto"/>
              <w:bottom w:val="single" w:sz="4" w:space="0" w:color="auto"/>
              <w:right w:val="single" w:sz="4" w:space="0" w:color="auto"/>
            </w:tcBorders>
          </w:tcPr>
          <w:p w14:paraId="6A76FCEB" w14:textId="77777777" w:rsidR="00AB6122" w:rsidRPr="009E686F" w:rsidRDefault="00AB6122" w:rsidP="00ED2C1C">
            <w:pPr>
              <w:spacing w:after="0"/>
              <w:jc w:val="both"/>
              <w:rPr>
                <w:rFonts w:ascii="Times New Roman" w:hAnsi="Times New Roman" w:cs="Times New Roman"/>
                <w:i/>
                <w:iCs/>
              </w:rPr>
            </w:pPr>
            <w:r w:rsidRPr="009E686F">
              <w:rPr>
                <w:rFonts w:ascii="Times New Roman" w:hAnsi="Times New Roman" w:cs="Times New Roman"/>
                <w:i/>
                <w:iCs/>
              </w:rPr>
              <w:t xml:space="preserve">Articolul 12 </w:t>
            </w:r>
          </w:p>
          <w:p w14:paraId="65D77EC7" w14:textId="5A6186A3" w:rsidR="00AB6122" w:rsidRPr="009E686F" w:rsidRDefault="00AB6122" w:rsidP="00ED2C1C">
            <w:pPr>
              <w:spacing w:after="0"/>
              <w:jc w:val="both"/>
              <w:rPr>
                <w:rFonts w:ascii="Times New Roman" w:hAnsi="Times New Roman" w:cs="Times New Roman"/>
              </w:rPr>
            </w:pPr>
            <w:r w:rsidRPr="009E686F">
              <w:rPr>
                <w:rFonts w:ascii="Times New Roman" w:hAnsi="Times New Roman" w:cs="Times New Roman"/>
              </w:rPr>
              <w:t>Capitalul inițial</w:t>
            </w:r>
          </w:p>
        </w:tc>
        <w:tc>
          <w:tcPr>
            <w:tcW w:w="1834" w:type="pct"/>
            <w:tcBorders>
              <w:top w:val="single" w:sz="4" w:space="0" w:color="auto"/>
              <w:left w:val="single" w:sz="4" w:space="0" w:color="auto"/>
              <w:bottom w:val="single" w:sz="4" w:space="0" w:color="auto"/>
              <w:right w:val="single" w:sz="4" w:space="0" w:color="auto"/>
            </w:tcBorders>
          </w:tcPr>
          <w:p w14:paraId="60917CAB" w14:textId="77777777" w:rsidR="00AB6122" w:rsidRPr="009E686F" w:rsidRDefault="00AB6122" w:rsidP="00ED2C1C">
            <w:pPr>
              <w:spacing w:after="0"/>
              <w:jc w:val="both"/>
              <w:rPr>
                <w:rFonts w:ascii="Times New Roman" w:hAnsi="Times New Roman" w:cs="Times New Roman"/>
                <w:b/>
              </w:rPr>
            </w:pPr>
            <w:r w:rsidRPr="009E686F">
              <w:rPr>
                <w:rFonts w:ascii="Times New Roman" w:hAnsi="Times New Roman" w:cs="Times New Roman"/>
                <w:b/>
              </w:rPr>
              <w:t xml:space="preserve">Articolul 9. </w:t>
            </w:r>
            <w:r w:rsidRPr="009E686F">
              <w:rPr>
                <w:rFonts w:ascii="Times New Roman" w:hAnsi="Times New Roman" w:cs="Times New Roman"/>
              </w:rPr>
              <w:t>Capitalul inițial</w:t>
            </w:r>
          </w:p>
        </w:tc>
        <w:tc>
          <w:tcPr>
            <w:tcW w:w="470" w:type="pct"/>
            <w:tcBorders>
              <w:top w:val="single" w:sz="4" w:space="0" w:color="auto"/>
              <w:left w:val="single" w:sz="4" w:space="0" w:color="auto"/>
              <w:bottom w:val="single" w:sz="4" w:space="0" w:color="auto"/>
              <w:right w:val="single" w:sz="4" w:space="0" w:color="auto"/>
            </w:tcBorders>
          </w:tcPr>
          <w:p w14:paraId="6210850D" w14:textId="299AAACD" w:rsidR="00AB6122" w:rsidRPr="009E686F" w:rsidRDefault="00AB6122" w:rsidP="00AB6122">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4868A5BB" w14:textId="74A46701" w:rsidR="00AB6122" w:rsidRPr="009E686F" w:rsidRDefault="00AB6122" w:rsidP="00515783">
            <w:pPr>
              <w:spacing w:after="0"/>
              <w:jc w:val="both"/>
              <w:rPr>
                <w:rFonts w:ascii="Times New Roman" w:hAnsi="Times New Roman" w:cs="Times New Roman"/>
              </w:rPr>
            </w:pPr>
          </w:p>
        </w:tc>
      </w:tr>
      <w:tr w:rsidR="00042052" w:rsidRPr="009E686F" w14:paraId="4571535A" w14:textId="3437F979" w:rsidTr="005C6D32">
        <w:tc>
          <w:tcPr>
            <w:tcW w:w="1890" w:type="pct"/>
            <w:vMerge w:val="restart"/>
            <w:tcBorders>
              <w:top w:val="single" w:sz="4" w:space="0" w:color="auto"/>
              <w:left w:val="single" w:sz="4" w:space="0" w:color="auto"/>
              <w:right w:val="single" w:sz="4" w:space="0" w:color="auto"/>
            </w:tcBorders>
          </w:tcPr>
          <w:p w14:paraId="5106DF74" w14:textId="0627B713" w:rsidR="00042052" w:rsidRPr="009E686F" w:rsidRDefault="00042052" w:rsidP="00ED2C1C">
            <w:pPr>
              <w:spacing w:after="0"/>
              <w:jc w:val="both"/>
              <w:rPr>
                <w:rFonts w:ascii="Times New Roman" w:hAnsi="Times New Roman" w:cs="Times New Roman"/>
                <w:lang w:val="it-CH"/>
              </w:rPr>
            </w:pPr>
            <w:r w:rsidRPr="009E686F">
              <w:rPr>
                <w:rFonts w:ascii="Times New Roman" w:hAnsi="Times New Roman" w:cs="Times New Roman"/>
                <w:lang w:val="it-CH"/>
              </w:rPr>
              <w:t>(1) Fără a aduce atingere altor condiții generale prevăzute în dreptul intern, autoritățile competente refuză autorizația de începere a activității unei instituții de credit în cazul în care o instituție de credit nu deține fonduri proprii separate sau în cazurile în care capitalul său inițial este mai mic de 5 milioane EUR.</w:t>
            </w:r>
          </w:p>
        </w:tc>
        <w:tc>
          <w:tcPr>
            <w:tcW w:w="1834" w:type="pct"/>
            <w:tcBorders>
              <w:top w:val="single" w:sz="4" w:space="0" w:color="auto"/>
              <w:left w:val="single" w:sz="4" w:space="0" w:color="auto"/>
              <w:bottom w:val="single" w:sz="4" w:space="0" w:color="auto"/>
              <w:right w:val="single" w:sz="4" w:space="0" w:color="auto"/>
            </w:tcBorders>
          </w:tcPr>
          <w:p w14:paraId="0359DBF9" w14:textId="3031F82E" w:rsidR="00042052" w:rsidRPr="009E686F" w:rsidRDefault="00042052" w:rsidP="00ED2C1C">
            <w:pPr>
              <w:spacing w:after="0"/>
              <w:jc w:val="both"/>
              <w:rPr>
                <w:rFonts w:ascii="Times New Roman" w:hAnsi="Times New Roman" w:cs="Times New Roman"/>
                <w:lang w:val="it-IT"/>
              </w:rPr>
            </w:pPr>
            <w:r w:rsidRPr="009E686F">
              <w:rPr>
                <w:rFonts w:ascii="Times New Roman" w:hAnsi="Times New Roman" w:cs="Times New Roman"/>
                <w:lang w:val="it-CH"/>
              </w:rPr>
              <w:t xml:space="preserve">(1) Banca Națională a Moldovei refuză acordarea autorizației unei </w:t>
            </w:r>
            <w:r w:rsidRPr="009E686F">
              <w:rPr>
                <w:rFonts w:ascii="Times New Roman" w:hAnsi="Times New Roman" w:cs="Times New Roman"/>
                <w:i/>
                <w:lang w:val="it-CH"/>
              </w:rPr>
              <w:t>instituții de credit</w:t>
            </w:r>
            <w:r w:rsidRPr="009E686F">
              <w:rPr>
                <w:rFonts w:ascii="Times New Roman" w:hAnsi="Times New Roman" w:cs="Times New Roman"/>
                <w:lang w:val="it-CH"/>
              </w:rPr>
              <w:t xml:space="preserve">, dacă aceasta nu dispune de un nivel al capitalului inițial cel puțin egal cu nivelul minim stabilit prin actele normative ale Băncii Naționale a Moldovei. </w:t>
            </w:r>
            <w:r w:rsidRPr="009E686F">
              <w:rPr>
                <w:rFonts w:ascii="Times New Roman" w:hAnsi="Times New Roman" w:cs="Times New Roman"/>
                <w:lang w:val="it-IT"/>
              </w:rPr>
              <w:t xml:space="preserve">Acest nivel nu poate fi mai mic </w:t>
            </w:r>
            <w:r w:rsidRPr="009E686F">
              <w:rPr>
                <w:rFonts w:ascii="Times New Roman" w:hAnsi="Times New Roman" w:cs="Times New Roman"/>
                <w:i/>
                <w:iCs/>
                <w:lang w:val="it-IT"/>
              </w:rPr>
              <w:t>de</w:t>
            </w:r>
            <w:r w:rsidRPr="009E686F">
              <w:rPr>
                <w:rFonts w:ascii="Times New Roman" w:hAnsi="Times New Roman" w:cs="Times New Roman"/>
                <w:lang w:val="it-IT"/>
              </w:rPr>
              <w:t xml:space="preserve"> </w:t>
            </w:r>
            <w:r w:rsidRPr="009E686F">
              <w:rPr>
                <w:rFonts w:ascii="Times New Roman" w:hAnsi="Times New Roman" w:cs="Times New Roman"/>
                <w:i/>
                <w:iCs/>
                <w:lang w:val="it-IT"/>
              </w:rPr>
              <w:t xml:space="preserve">echivalentul în </w:t>
            </w:r>
            <w:r w:rsidR="007D4A17" w:rsidRPr="009E686F">
              <w:rPr>
                <w:rFonts w:ascii="Times New Roman" w:hAnsi="Times New Roman" w:cs="Times New Roman"/>
                <w:i/>
                <w:iCs/>
                <w:lang w:val="it-IT"/>
              </w:rPr>
              <w:t xml:space="preserve">lei moldovenești </w:t>
            </w:r>
            <w:r w:rsidRPr="009E686F">
              <w:rPr>
                <w:rFonts w:ascii="Times New Roman" w:hAnsi="Times New Roman" w:cs="Times New Roman"/>
                <w:i/>
                <w:iCs/>
                <w:lang w:val="it-IT"/>
              </w:rPr>
              <w:t xml:space="preserve">a 5 milioane </w:t>
            </w:r>
            <w:r w:rsidR="007D4A17" w:rsidRPr="009E686F">
              <w:rPr>
                <w:rFonts w:ascii="Times New Roman" w:hAnsi="Times New Roman" w:cs="Times New Roman"/>
                <w:i/>
                <w:iCs/>
                <w:lang w:val="it-IT"/>
              </w:rPr>
              <w:t>euro</w:t>
            </w:r>
            <w:r w:rsidRPr="009E686F">
              <w:rPr>
                <w:rFonts w:ascii="Times New Roman" w:hAnsi="Times New Roman" w:cs="Times New Roman"/>
                <w:lang w:val="it-IT"/>
              </w:rPr>
              <w:t>.</w:t>
            </w:r>
          </w:p>
        </w:tc>
        <w:tc>
          <w:tcPr>
            <w:tcW w:w="470" w:type="pct"/>
            <w:tcBorders>
              <w:top w:val="single" w:sz="4" w:space="0" w:color="auto"/>
              <w:left w:val="single" w:sz="4" w:space="0" w:color="auto"/>
              <w:bottom w:val="single" w:sz="4" w:space="0" w:color="auto"/>
              <w:right w:val="single" w:sz="4" w:space="0" w:color="auto"/>
            </w:tcBorders>
          </w:tcPr>
          <w:p w14:paraId="108ED0FC" w14:textId="0D172681" w:rsidR="00042052" w:rsidRPr="009E686F" w:rsidRDefault="00042052" w:rsidP="00AB6122">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078A9D29" w14:textId="13AF9003" w:rsidR="00042052" w:rsidRPr="009E686F" w:rsidRDefault="00042052" w:rsidP="00515783">
            <w:pPr>
              <w:spacing w:after="0"/>
              <w:jc w:val="both"/>
              <w:rPr>
                <w:rFonts w:ascii="Times New Roman" w:hAnsi="Times New Roman" w:cs="Times New Roman"/>
              </w:rPr>
            </w:pPr>
          </w:p>
          <w:p w14:paraId="29588EF7" w14:textId="4161E8A4" w:rsidR="00042052" w:rsidRPr="009E686F" w:rsidRDefault="00042052" w:rsidP="00515783">
            <w:pPr>
              <w:spacing w:after="0"/>
              <w:jc w:val="both"/>
              <w:rPr>
                <w:rFonts w:ascii="Times New Roman" w:hAnsi="Times New Roman" w:cs="Times New Roman"/>
              </w:rPr>
            </w:pPr>
          </w:p>
        </w:tc>
      </w:tr>
      <w:tr w:rsidR="00042052" w:rsidRPr="009E686F" w14:paraId="3790B4EA" w14:textId="77777777" w:rsidTr="005C6D32">
        <w:tc>
          <w:tcPr>
            <w:tcW w:w="1890" w:type="pct"/>
            <w:vMerge/>
            <w:tcBorders>
              <w:left w:val="single" w:sz="4" w:space="0" w:color="auto"/>
              <w:bottom w:val="single" w:sz="4" w:space="0" w:color="auto"/>
              <w:right w:val="single" w:sz="4" w:space="0" w:color="auto"/>
            </w:tcBorders>
          </w:tcPr>
          <w:p w14:paraId="4265797A" w14:textId="77777777" w:rsidR="00042052" w:rsidRPr="009E686F" w:rsidRDefault="00042052" w:rsidP="00ED2C1C">
            <w:pPr>
              <w:spacing w:after="0"/>
              <w:jc w:val="both"/>
              <w:rPr>
                <w:rFonts w:ascii="Times New Roman" w:hAnsi="Times New Roman" w:cs="Times New Roman"/>
                <w:lang w:val="it-CH"/>
              </w:rPr>
            </w:pPr>
          </w:p>
        </w:tc>
        <w:tc>
          <w:tcPr>
            <w:tcW w:w="1834" w:type="pct"/>
            <w:tcBorders>
              <w:top w:val="single" w:sz="4" w:space="0" w:color="auto"/>
              <w:left w:val="single" w:sz="4" w:space="0" w:color="auto"/>
              <w:bottom w:val="single" w:sz="4" w:space="0" w:color="auto"/>
              <w:right w:val="single" w:sz="4" w:space="0" w:color="auto"/>
            </w:tcBorders>
          </w:tcPr>
          <w:p w14:paraId="75049E14" w14:textId="6FFB19A8" w:rsidR="00042052" w:rsidRPr="009E686F" w:rsidRDefault="00042052" w:rsidP="00042052">
            <w:pPr>
              <w:spacing w:after="0"/>
              <w:jc w:val="both"/>
              <w:rPr>
                <w:rFonts w:ascii="Times New Roman" w:hAnsi="Times New Roman" w:cs="Times New Roman"/>
                <w:lang w:val="it-CH"/>
              </w:rPr>
            </w:pPr>
            <w:r w:rsidRPr="009E686F">
              <w:rPr>
                <w:rFonts w:ascii="Times New Roman" w:hAnsi="Times New Roman" w:cs="Times New Roman"/>
                <w:b/>
                <w:bCs/>
                <w:lang w:val="it-CH"/>
              </w:rPr>
              <w:t>Articolul 19</w:t>
            </w:r>
            <w:r w:rsidR="00501E7B" w:rsidRPr="009E686F">
              <w:rPr>
                <w:rFonts w:ascii="Times New Roman" w:hAnsi="Times New Roman" w:cs="Times New Roman"/>
                <w:b/>
                <w:bCs/>
                <w:lang w:val="it-CH"/>
              </w:rPr>
              <w:t xml:space="preserve"> alin. (1) lit. b)</w:t>
            </w:r>
          </w:p>
          <w:p w14:paraId="4D316744" w14:textId="77777777" w:rsidR="00042052" w:rsidRPr="009E686F" w:rsidRDefault="00042052" w:rsidP="00042052">
            <w:pPr>
              <w:spacing w:after="0"/>
              <w:jc w:val="both"/>
              <w:rPr>
                <w:rFonts w:ascii="Times New Roman" w:hAnsi="Times New Roman" w:cs="Times New Roman"/>
                <w:lang w:val="it-CH"/>
              </w:rPr>
            </w:pPr>
            <w:r w:rsidRPr="009E686F">
              <w:rPr>
                <w:rFonts w:ascii="Times New Roman" w:hAnsi="Times New Roman" w:cs="Times New Roman"/>
                <w:lang w:val="it-CH"/>
              </w:rPr>
              <w:lastRenderedPageBreak/>
              <w:t xml:space="preserve">(1) Banca Naţională a Moldovei respinge o cerere de </w:t>
            </w:r>
            <w:r w:rsidRPr="009E686F">
              <w:rPr>
                <w:rFonts w:ascii="Times New Roman" w:hAnsi="Times New Roman" w:cs="Times New Roman"/>
                <w:i/>
                <w:iCs/>
                <w:lang w:val="it-CH"/>
              </w:rPr>
              <w:t>autorizare</w:t>
            </w:r>
            <w:r w:rsidRPr="009E686F">
              <w:rPr>
                <w:rFonts w:ascii="Times New Roman" w:hAnsi="Times New Roman" w:cs="Times New Roman"/>
                <w:lang w:val="it-CH"/>
              </w:rPr>
              <w:t xml:space="preserve"> dacă:</w:t>
            </w:r>
          </w:p>
          <w:p w14:paraId="49F20480" w14:textId="0F95F090" w:rsidR="00042052" w:rsidRPr="009E686F" w:rsidRDefault="00042052" w:rsidP="00042052">
            <w:pPr>
              <w:spacing w:after="0"/>
              <w:jc w:val="both"/>
              <w:rPr>
                <w:rFonts w:ascii="Times New Roman" w:hAnsi="Times New Roman" w:cs="Times New Roman"/>
                <w:lang w:val="it-CH"/>
              </w:rPr>
            </w:pPr>
            <w:r w:rsidRPr="009E686F">
              <w:rPr>
                <w:rFonts w:ascii="Times New Roman" w:hAnsi="Times New Roman" w:cs="Times New Roman"/>
                <w:lang w:val="it-CH"/>
              </w:rPr>
              <w:t xml:space="preserve">b) </w:t>
            </w:r>
            <w:r w:rsidRPr="009E686F">
              <w:rPr>
                <w:rFonts w:ascii="Times New Roman" w:hAnsi="Times New Roman" w:cs="Times New Roman"/>
                <w:i/>
                <w:iCs/>
                <w:lang w:val="it-CH"/>
              </w:rPr>
              <w:t>instituția de credit</w:t>
            </w:r>
            <w:r w:rsidRPr="009E686F">
              <w:rPr>
                <w:rFonts w:ascii="Times New Roman" w:hAnsi="Times New Roman" w:cs="Times New Roman"/>
                <w:lang w:val="it-CH"/>
              </w:rPr>
              <w:t xml:space="preserve"> nu dispune de fonduri proprii separate sau capitalul iniţial se situează sub nivelul minim stabilit de Banca Naţională a Moldovei; [...]</w:t>
            </w:r>
          </w:p>
        </w:tc>
        <w:tc>
          <w:tcPr>
            <w:tcW w:w="470" w:type="pct"/>
            <w:tcBorders>
              <w:top w:val="single" w:sz="4" w:space="0" w:color="auto"/>
              <w:left w:val="single" w:sz="4" w:space="0" w:color="auto"/>
              <w:bottom w:val="single" w:sz="4" w:space="0" w:color="auto"/>
              <w:right w:val="single" w:sz="4" w:space="0" w:color="auto"/>
            </w:tcBorders>
          </w:tcPr>
          <w:p w14:paraId="64A391C4" w14:textId="6FCEFADB" w:rsidR="00042052" w:rsidRPr="009E686F" w:rsidRDefault="00042052" w:rsidP="00AB6122">
            <w:pPr>
              <w:jc w:val="both"/>
              <w:rPr>
                <w:rFonts w:ascii="Times New Roman" w:hAnsi="Times New Roman" w:cs="Times New Roman"/>
                <w:lang w:val="it-CH"/>
              </w:rPr>
            </w:pPr>
            <w:r w:rsidRPr="009E686F">
              <w:rPr>
                <w:rFonts w:ascii="Times New Roman" w:hAnsi="Times New Roman" w:cs="Times New Roman"/>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721C024A" w14:textId="7351C1F4" w:rsidR="00042052" w:rsidRPr="009E686F" w:rsidRDefault="00042052" w:rsidP="00515783">
            <w:pPr>
              <w:spacing w:after="0"/>
              <w:jc w:val="both"/>
              <w:rPr>
                <w:rFonts w:ascii="Times New Roman" w:hAnsi="Times New Roman" w:cs="Times New Roman"/>
                <w:lang w:val="it-CH"/>
              </w:rPr>
            </w:pPr>
          </w:p>
        </w:tc>
      </w:tr>
      <w:tr w:rsidR="00B671BF" w:rsidRPr="009E686F" w14:paraId="245A02DF" w14:textId="28287746" w:rsidTr="00A57E65">
        <w:tc>
          <w:tcPr>
            <w:tcW w:w="1890" w:type="pct"/>
            <w:vMerge w:val="restart"/>
            <w:tcBorders>
              <w:top w:val="single" w:sz="4" w:space="0" w:color="auto"/>
              <w:left w:val="single" w:sz="4" w:space="0" w:color="auto"/>
              <w:right w:val="single" w:sz="4" w:space="0" w:color="auto"/>
            </w:tcBorders>
          </w:tcPr>
          <w:p w14:paraId="77E33785" w14:textId="20EA2972" w:rsidR="00B671BF" w:rsidRPr="009E686F" w:rsidRDefault="00B671BF" w:rsidP="00ED2C1C">
            <w:pPr>
              <w:spacing w:after="0"/>
              <w:jc w:val="both"/>
              <w:rPr>
                <w:rFonts w:ascii="Times New Roman" w:hAnsi="Times New Roman" w:cs="Times New Roman"/>
                <w:lang w:val="it-CH"/>
              </w:rPr>
            </w:pPr>
            <w:r w:rsidRPr="009E686F">
              <w:rPr>
                <w:rFonts w:ascii="Times New Roman" w:hAnsi="Times New Roman" w:cs="Times New Roman"/>
                <w:lang w:val="it-CH"/>
              </w:rPr>
              <w:t>(2) Capital inițial include doar unul sau mai multe din elementele menționate la articolul 26 alineatul (1) literele (a)-(e) din Regulamentul (UE) nr. 575/2013.</w:t>
            </w:r>
          </w:p>
        </w:tc>
        <w:tc>
          <w:tcPr>
            <w:tcW w:w="1834" w:type="pct"/>
            <w:tcBorders>
              <w:top w:val="single" w:sz="4" w:space="0" w:color="auto"/>
              <w:left w:val="single" w:sz="4" w:space="0" w:color="auto"/>
              <w:bottom w:val="single" w:sz="4" w:space="0" w:color="auto"/>
              <w:right w:val="single" w:sz="4" w:space="0" w:color="auto"/>
            </w:tcBorders>
          </w:tcPr>
          <w:p w14:paraId="4089A660" w14:textId="493A0B5F" w:rsidR="00B671BF" w:rsidRPr="009E686F" w:rsidRDefault="00B671BF" w:rsidP="00ED2C1C">
            <w:pPr>
              <w:spacing w:after="0"/>
              <w:jc w:val="both"/>
              <w:rPr>
                <w:rFonts w:ascii="Times New Roman" w:hAnsi="Times New Roman" w:cs="Times New Roman"/>
                <w:lang w:val="it-CH"/>
              </w:rPr>
            </w:pPr>
            <w:r w:rsidRPr="009E686F">
              <w:rPr>
                <w:rFonts w:ascii="Times New Roman" w:hAnsi="Times New Roman" w:cs="Times New Roman"/>
                <w:lang w:val="it-CH"/>
              </w:rPr>
              <w:t xml:space="preserve">(2) La constituirea unei </w:t>
            </w:r>
            <w:r w:rsidRPr="009E686F">
              <w:rPr>
                <w:rFonts w:ascii="Times New Roman" w:hAnsi="Times New Roman" w:cs="Times New Roman"/>
                <w:i/>
                <w:lang w:val="it-CH"/>
              </w:rPr>
              <w:t>instituții de credit</w:t>
            </w:r>
            <w:r w:rsidRPr="009E686F">
              <w:rPr>
                <w:rFonts w:ascii="Times New Roman" w:hAnsi="Times New Roman" w:cs="Times New Roman"/>
                <w:lang w:val="it-CH"/>
              </w:rPr>
              <w:t xml:space="preserve"> capitalul inițial este reprezentat de capitalul social minus cheltuielile organizatorice necesare pentru constituirea </w:t>
            </w:r>
            <w:r w:rsidRPr="009E686F">
              <w:rPr>
                <w:rFonts w:ascii="Times New Roman" w:hAnsi="Times New Roman" w:cs="Times New Roman"/>
                <w:i/>
                <w:lang w:val="it-CH"/>
              </w:rPr>
              <w:t>instituției de credit</w:t>
            </w:r>
            <w:r w:rsidRPr="009E686F">
              <w:rPr>
                <w:rFonts w:ascii="Times New Roman" w:hAnsi="Times New Roman" w:cs="Times New Roman"/>
                <w:lang w:val="it-CH"/>
              </w:rPr>
              <w:t>.</w:t>
            </w:r>
          </w:p>
        </w:tc>
        <w:tc>
          <w:tcPr>
            <w:tcW w:w="470" w:type="pct"/>
            <w:tcBorders>
              <w:top w:val="single" w:sz="4" w:space="0" w:color="auto"/>
              <w:left w:val="single" w:sz="4" w:space="0" w:color="auto"/>
              <w:bottom w:val="single" w:sz="4" w:space="0" w:color="auto"/>
              <w:right w:val="single" w:sz="4" w:space="0" w:color="auto"/>
            </w:tcBorders>
          </w:tcPr>
          <w:p w14:paraId="1A1FFE75" w14:textId="321D99E3" w:rsidR="00B671BF" w:rsidRPr="009E686F" w:rsidRDefault="00B671BF" w:rsidP="00AB6122">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7BC08923" w14:textId="51F40992" w:rsidR="00B671BF" w:rsidRPr="009E686F" w:rsidRDefault="00B671BF" w:rsidP="00515783">
            <w:pPr>
              <w:spacing w:after="0"/>
              <w:jc w:val="both"/>
              <w:rPr>
                <w:rFonts w:ascii="Times New Roman" w:hAnsi="Times New Roman" w:cs="Times New Roman"/>
              </w:rPr>
            </w:pPr>
          </w:p>
        </w:tc>
      </w:tr>
      <w:tr w:rsidR="00B671BF" w:rsidRPr="009E686F" w14:paraId="2CC36004" w14:textId="77777777" w:rsidTr="00A57E65">
        <w:tc>
          <w:tcPr>
            <w:tcW w:w="1890" w:type="pct"/>
            <w:vMerge/>
            <w:tcBorders>
              <w:left w:val="single" w:sz="4" w:space="0" w:color="auto"/>
              <w:bottom w:val="single" w:sz="4" w:space="0" w:color="auto"/>
              <w:right w:val="single" w:sz="4" w:space="0" w:color="auto"/>
            </w:tcBorders>
          </w:tcPr>
          <w:p w14:paraId="2B03E135" w14:textId="77777777" w:rsidR="00B671BF" w:rsidRPr="009E686F" w:rsidRDefault="00B671BF" w:rsidP="00ED2C1C">
            <w:pPr>
              <w:spacing w:after="0"/>
              <w:jc w:val="both"/>
              <w:rPr>
                <w:rFonts w:ascii="Times New Roman" w:hAnsi="Times New Roman" w:cs="Times New Roman"/>
                <w:lang w:val="it-CH"/>
              </w:rPr>
            </w:pPr>
          </w:p>
        </w:tc>
        <w:tc>
          <w:tcPr>
            <w:tcW w:w="1834" w:type="pct"/>
            <w:tcBorders>
              <w:top w:val="single" w:sz="4" w:space="0" w:color="auto"/>
              <w:left w:val="single" w:sz="4" w:space="0" w:color="auto"/>
              <w:bottom w:val="single" w:sz="4" w:space="0" w:color="auto"/>
              <w:right w:val="single" w:sz="4" w:space="0" w:color="auto"/>
            </w:tcBorders>
          </w:tcPr>
          <w:p w14:paraId="19CF92CE" w14:textId="77777777" w:rsidR="00B671BF" w:rsidRPr="009E686F" w:rsidRDefault="00B671BF" w:rsidP="00B671BF">
            <w:pPr>
              <w:spacing w:after="0"/>
              <w:jc w:val="both"/>
              <w:rPr>
                <w:rFonts w:ascii="Times New Roman" w:hAnsi="Times New Roman" w:cs="Times New Roman"/>
                <w:lang w:val="it-CH"/>
              </w:rPr>
            </w:pPr>
            <w:r w:rsidRPr="009E686F">
              <w:rPr>
                <w:rFonts w:ascii="Times New Roman" w:hAnsi="Times New Roman" w:cs="Times New Roman"/>
                <w:lang w:val="it-CH"/>
              </w:rPr>
              <w:t>(3) Capitalul social al unei instituții de credit trebuie vărsat integral în mijloace băneşti, la momentul subscrierii, sau cu valori mobiliare de stat în cazul capitalului iniţial al instituției de credit-punte, inclusiv în cazul majorării acestuia. Capitalul social se constituie din valoarea aporturilor primite în contul achitării acţiunilor.</w:t>
            </w:r>
          </w:p>
          <w:p w14:paraId="4B3F99B0" w14:textId="77777777" w:rsidR="00B671BF" w:rsidRPr="009E686F" w:rsidRDefault="00B671BF" w:rsidP="00B671BF">
            <w:pPr>
              <w:spacing w:after="0"/>
              <w:jc w:val="both"/>
              <w:rPr>
                <w:rFonts w:ascii="Times New Roman" w:hAnsi="Times New Roman" w:cs="Times New Roman"/>
                <w:lang w:val="it-CH"/>
              </w:rPr>
            </w:pPr>
            <w:r w:rsidRPr="009E686F">
              <w:rPr>
                <w:rFonts w:ascii="Times New Roman" w:hAnsi="Times New Roman" w:cs="Times New Roman"/>
                <w:lang w:val="it-CH"/>
              </w:rPr>
              <w:t>(4) Acţiunile pot fi achitate, integral sau parţial, cu valori mobiliare de stat emise în acest scop de Guvern, în persoana Ministerului Finanţelor, în situaţii de criză financiară sistemică, definite astfel de organul naţional instituit pentru gestionarea crizelor financiare sistemice, precum şi în cazurile prevăzute la art.111 şi 217 din Legea nr.232/2016 privind redresarea şi rezoluţia instituțiilor de credit.</w:t>
            </w:r>
          </w:p>
          <w:p w14:paraId="4EE38698" w14:textId="77777777" w:rsidR="00B671BF" w:rsidRPr="009E686F" w:rsidRDefault="00B671BF" w:rsidP="00ED2C1C">
            <w:pPr>
              <w:spacing w:after="0"/>
              <w:jc w:val="both"/>
              <w:rPr>
                <w:rFonts w:ascii="Times New Roman" w:hAnsi="Times New Roman" w:cs="Times New Roman"/>
                <w:lang w:val="it-CH"/>
              </w:rPr>
            </w:pPr>
          </w:p>
        </w:tc>
        <w:tc>
          <w:tcPr>
            <w:tcW w:w="470" w:type="pct"/>
            <w:tcBorders>
              <w:top w:val="single" w:sz="4" w:space="0" w:color="auto"/>
              <w:left w:val="single" w:sz="4" w:space="0" w:color="auto"/>
              <w:bottom w:val="single" w:sz="4" w:space="0" w:color="auto"/>
              <w:right w:val="single" w:sz="4" w:space="0" w:color="auto"/>
            </w:tcBorders>
          </w:tcPr>
          <w:p w14:paraId="09AF54FB" w14:textId="18C51471" w:rsidR="00B671BF" w:rsidRPr="009E686F" w:rsidRDefault="00B671BF" w:rsidP="00AB6122">
            <w:pPr>
              <w:jc w:val="both"/>
              <w:rPr>
                <w:rFonts w:ascii="Times New Roman" w:hAnsi="Times New Roman" w:cs="Times New Roman"/>
                <w:lang w:val="it-CH"/>
              </w:rPr>
            </w:pPr>
            <w:r w:rsidRPr="009E686F">
              <w:rPr>
                <w:rFonts w:ascii="Times New Roman" w:hAnsi="Times New Roman" w:cs="Times New Roman"/>
                <w:lang w:val="it-CH"/>
              </w:rPr>
              <w:t>Compatibil</w:t>
            </w:r>
          </w:p>
        </w:tc>
        <w:tc>
          <w:tcPr>
            <w:tcW w:w="806" w:type="pct"/>
            <w:tcBorders>
              <w:top w:val="single" w:sz="4" w:space="0" w:color="auto"/>
              <w:left w:val="single" w:sz="4" w:space="0" w:color="auto"/>
              <w:bottom w:val="single" w:sz="4" w:space="0" w:color="auto"/>
              <w:right w:val="single" w:sz="4" w:space="0" w:color="auto"/>
            </w:tcBorders>
          </w:tcPr>
          <w:p w14:paraId="265BD9E8" w14:textId="7DDF126C" w:rsidR="00B671BF" w:rsidRPr="009E686F" w:rsidRDefault="00B671BF" w:rsidP="00515783">
            <w:pPr>
              <w:spacing w:after="0"/>
              <w:jc w:val="both"/>
              <w:rPr>
                <w:rFonts w:ascii="Times New Roman" w:hAnsi="Times New Roman" w:cs="Times New Roman"/>
                <w:lang w:val="it-CH"/>
              </w:rPr>
            </w:pPr>
            <w:r w:rsidRPr="009E686F">
              <w:rPr>
                <w:rFonts w:ascii="Times New Roman" w:hAnsi="Times New Roman" w:cs="Times New Roman"/>
                <w:lang w:val="it-CH"/>
              </w:rPr>
              <w:t>Norme cu specific național, cu scopul de a dezvolta cerințele referitoare la capitalul</w:t>
            </w:r>
            <w:r w:rsidR="00E1028A" w:rsidRPr="009E686F">
              <w:rPr>
                <w:rFonts w:ascii="Times New Roman" w:hAnsi="Times New Roman" w:cs="Times New Roman"/>
                <w:lang w:val="it-CH"/>
              </w:rPr>
              <w:t xml:space="preserve"> social</w:t>
            </w:r>
            <w:r w:rsidRPr="009E686F">
              <w:rPr>
                <w:rFonts w:ascii="Times New Roman" w:hAnsi="Times New Roman" w:cs="Times New Roman"/>
                <w:lang w:val="it-CH"/>
              </w:rPr>
              <w:t xml:space="preserve"> unei instituții de credit.</w:t>
            </w:r>
          </w:p>
        </w:tc>
      </w:tr>
      <w:tr w:rsidR="00B30AFC" w:rsidRPr="009E686F" w14:paraId="36271AF1" w14:textId="19785A1D" w:rsidTr="00960C23">
        <w:tc>
          <w:tcPr>
            <w:tcW w:w="1890" w:type="pct"/>
            <w:tcBorders>
              <w:top w:val="single" w:sz="4" w:space="0" w:color="auto"/>
              <w:left w:val="single" w:sz="4" w:space="0" w:color="auto"/>
              <w:bottom w:val="single" w:sz="4" w:space="0" w:color="auto"/>
              <w:right w:val="single" w:sz="4" w:space="0" w:color="auto"/>
            </w:tcBorders>
          </w:tcPr>
          <w:p w14:paraId="50E434C9" w14:textId="0717CD2C" w:rsidR="00AB6122" w:rsidRPr="009E686F" w:rsidRDefault="00AB6122" w:rsidP="00ED2C1C">
            <w:pPr>
              <w:spacing w:after="0"/>
              <w:jc w:val="both"/>
              <w:rPr>
                <w:rFonts w:ascii="Times New Roman" w:hAnsi="Times New Roman" w:cs="Times New Roman"/>
                <w:lang w:val="it-CH"/>
              </w:rPr>
            </w:pPr>
            <w:r w:rsidRPr="009E686F">
              <w:rPr>
                <w:rFonts w:ascii="Times New Roman" w:hAnsi="Times New Roman" w:cs="Times New Roman"/>
                <w:lang w:val="it-CH"/>
              </w:rPr>
              <w:t xml:space="preserve">(3) Statele membre pot decide ca </w:t>
            </w:r>
            <w:r w:rsidR="00A51A7D" w:rsidRPr="009E686F">
              <w:rPr>
                <w:rFonts w:ascii="Times New Roman" w:hAnsi="Times New Roman" w:cs="Times New Roman"/>
                <w:lang w:val="it-CH"/>
              </w:rPr>
              <w:t>instituțiile de credit</w:t>
            </w:r>
            <w:r w:rsidRPr="009E686F">
              <w:rPr>
                <w:rFonts w:ascii="Times New Roman" w:hAnsi="Times New Roman" w:cs="Times New Roman"/>
                <w:lang w:val="it-CH"/>
              </w:rPr>
              <w:t xml:space="preserve"> care nu îndeplinesc cerința de a deține fonduri proprii separate și care funcționau deja la 15 decembrie 1979 să își poată continua activitatea. Statele membre pot excepta respectivele </w:t>
            </w:r>
            <w:r w:rsidR="00A51A7D" w:rsidRPr="009E686F">
              <w:rPr>
                <w:rFonts w:ascii="Times New Roman" w:hAnsi="Times New Roman" w:cs="Times New Roman"/>
                <w:lang w:val="it-CH"/>
              </w:rPr>
              <w:t>instituții de credit</w:t>
            </w:r>
            <w:r w:rsidRPr="009E686F">
              <w:rPr>
                <w:rFonts w:ascii="Times New Roman" w:hAnsi="Times New Roman" w:cs="Times New Roman"/>
                <w:lang w:val="it-CH"/>
              </w:rPr>
              <w:t xml:space="preserve"> de la îndeplinirea cerinței prevăzute la articolul 13 alineatul (1) primul paragraf.</w:t>
            </w:r>
          </w:p>
        </w:tc>
        <w:tc>
          <w:tcPr>
            <w:tcW w:w="1834" w:type="pct"/>
            <w:tcBorders>
              <w:top w:val="single" w:sz="4" w:space="0" w:color="auto"/>
              <w:left w:val="single" w:sz="4" w:space="0" w:color="auto"/>
              <w:bottom w:val="single" w:sz="4" w:space="0" w:color="auto"/>
              <w:right w:val="single" w:sz="4" w:space="0" w:color="auto"/>
            </w:tcBorders>
          </w:tcPr>
          <w:p w14:paraId="26C59798" w14:textId="77777777" w:rsidR="00AB6122" w:rsidRPr="009E686F" w:rsidRDefault="00AB6122" w:rsidP="00ED2C1C">
            <w:pPr>
              <w:spacing w:after="0"/>
              <w:jc w:val="both"/>
              <w:rPr>
                <w:rFonts w:ascii="Times New Roman" w:hAnsi="Times New Roman" w:cs="Times New Roman"/>
                <w:b/>
                <w:lang w:val="it-CH"/>
              </w:rPr>
            </w:pPr>
          </w:p>
        </w:tc>
        <w:tc>
          <w:tcPr>
            <w:tcW w:w="470" w:type="pct"/>
            <w:tcBorders>
              <w:top w:val="single" w:sz="4" w:space="0" w:color="auto"/>
              <w:left w:val="single" w:sz="4" w:space="0" w:color="auto"/>
              <w:bottom w:val="single" w:sz="4" w:space="0" w:color="auto"/>
              <w:right w:val="single" w:sz="4" w:space="0" w:color="auto"/>
            </w:tcBorders>
          </w:tcPr>
          <w:p w14:paraId="1D9E62E4" w14:textId="5EDF4EC5" w:rsidR="00AB6122" w:rsidRPr="009E686F" w:rsidRDefault="00AB6122" w:rsidP="00AB6122">
            <w:pPr>
              <w:jc w:val="both"/>
              <w:rPr>
                <w:rFonts w:ascii="Times New Roman" w:hAnsi="Times New Roman" w:cs="Times New Roman"/>
                <w:lang w:val="it-CH"/>
              </w:rPr>
            </w:pPr>
            <w:r w:rsidRPr="009E686F">
              <w:rPr>
                <w:rFonts w:ascii="Times New Roman" w:hAnsi="Times New Roman" w:cs="Times New Roman"/>
                <w:lang w:val="it-CH"/>
              </w:rPr>
              <w:t>Norme UE neaplicabile</w:t>
            </w:r>
          </w:p>
          <w:p w14:paraId="2E690158" w14:textId="37058ED1" w:rsidR="00AB6122" w:rsidRPr="009E686F" w:rsidRDefault="00AB6122" w:rsidP="00AB6122">
            <w:pPr>
              <w:jc w:val="both"/>
              <w:rPr>
                <w:rFonts w:ascii="Times New Roman" w:hAnsi="Times New Roman" w:cs="Times New Roman"/>
                <w:lang w:val="it-CH"/>
              </w:rPr>
            </w:pPr>
            <w:r w:rsidRPr="009E686F">
              <w:rPr>
                <w:rFonts w:ascii="Times New Roman" w:hAnsi="Times New Roman" w:cs="Times New Roman"/>
                <w:lang w:val="it-CH"/>
              </w:rPr>
              <w:t>Norme UE netranspuse</w:t>
            </w:r>
          </w:p>
          <w:p w14:paraId="1782B59D" w14:textId="496B8BFE" w:rsidR="00AB6122" w:rsidRPr="009E686F" w:rsidRDefault="00AB6122" w:rsidP="00AB6122">
            <w:pPr>
              <w:jc w:val="both"/>
              <w:rPr>
                <w:rFonts w:ascii="Times New Roman" w:hAnsi="Times New Roman" w:cs="Times New Roman"/>
                <w:lang w:val="it-CH"/>
              </w:rPr>
            </w:pPr>
          </w:p>
        </w:tc>
        <w:tc>
          <w:tcPr>
            <w:tcW w:w="806" w:type="pct"/>
            <w:tcBorders>
              <w:top w:val="single" w:sz="4" w:space="0" w:color="auto"/>
              <w:left w:val="single" w:sz="4" w:space="0" w:color="auto"/>
              <w:bottom w:val="single" w:sz="4" w:space="0" w:color="auto"/>
              <w:right w:val="single" w:sz="4" w:space="0" w:color="auto"/>
            </w:tcBorders>
          </w:tcPr>
          <w:p w14:paraId="2570B2CF" w14:textId="6E1E1437" w:rsidR="00AB6122" w:rsidRPr="009E686F" w:rsidRDefault="00AB6122" w:rsidP="00515783">
            <w:pPr>
              <w:spacing w:after="0"/>
              <w:jc w:val="both"/>
              <w:rPr>
                <w:rFonts w:ascii="Times New Roman" w:hAnsi="Times New Roman" w:cs="Times New Roman"/>
                <w:lang w:val="it-CH"/>
              </w:rPr>
            </w:pPr>
            <w:r w:rsidRPr="009E686F">
              <w:rPr>
                <w:rFonts w:ascii="Times New Roman" w:hAnsi="Times New Roman" w:cs="Times New Roman"/>
                <w:lang w:val="it-CH"/>
              </w:rPr>
              <w:t>Neaplicabil situației Republicii Moldova</w:t>
            </w:r>
          </w:p>
          <w:p w14:paraId="104082EF" w14:textId="77777777" w:rsidR="00303253" w:rsidRPr="009E686F" w:rsidRDefault="00303253" w:rsidP="00515783">
            <w:pPr>
              <w:spacing w:after="0"/>
              <w:jc w:val="both"/>
              <w:rPr>
                <w:rFonts w:ascii="Times New Roman" w:hAnsi="Times New Roman" w:cs="Times New Roman"/>
                <w:lang w:val="it-CH"/>
              </w:rPr>
            </w:pPr>
          </w:p>
          <w:p w14:paraId="0555583F" w14:textId="7B809E29" w:rsidR="00AB6122" w:rsidRPr="009E686F" w:rsidRDefault="00AB6122" w:rsidP="00515783">
            <w:pPr>
              <w:spacing w:after="0"/>
              <w:jc w:val="both"/>
              <w:rPr>
                <w:rFonts w:ascii="Times New Roman" w:hAnsi="Times New Roman" w:cs="Times New Roman"/>
                <w:lang w:val="it-CH"/>
              </w:rPr>
            </w:pPr>
            <w:r w:rsidRPr="009E686F">
              <w:rPr>
                <w:rFonts w:ascii="Times New Roman" w:hAnsi="Times New Roman" w:cs="Times New Roman"/>
                <w:lang w:val="it-CH"/>
              </w:rPr>
              <w:t xml:space="preserve">Opțiune neercitată. </w:t>
            </w:r>
          </w:p>
        </w:tc>
      </w:tr>
      <w:tr w:rsidR="00B30AFC" w:rsidRPr="009E686F" w14:paraId="72771A64" w14:textId="789B2363" w:rsidTr="00960C23">
        <w:trPr>
          <w:trHeight w:val="2937"/>
        </w:trPr>
        <w:tc>
          <w:tcPr>
            <w:tcW w:w="1890" w:type="pct"/>
            <w:tcBorders>
              <w:top w:val="single" w:sz="4" w:space="0" w:color="auto"/>
              <w:left w:val="single" w:sz="4" w:space="0" w:color="auto"/>
              <w:right w:val="single" w:sz="4" w:space="0" w:color="auto"/>
            </w:tcBorders>
          </w:tcPr>
          <w:p w14:paraId="101530F9" w14:textId="663A49CE" w:rsidR="00AB6122" w:rsidRPr="009E686F" w:rsidRDefault="00AB6122" w:rsidP="00ED2C1C">
            <w:pPr>
              <w:spacing w:after="0"/>
              <w:jc w:val="both"/>
              <w:rPr>
                <w:rFonts w:ascii="Times New Roman" w:hAnsi="Times New Roman" w:cs="Times New Roman"/>
                <w:lang w:val="it-CH"/>
              </w:rPr>
            </w:pPr>
            <w:r w:rsidRPr="009E686F">
              <w:rPr>
                <w:rFonts w:ascii="Times New Roman" w:hAnsi="Times New Roman" w:cs="Times New Roman"/>
                <w:lang w:val="it-CH"/>
              </w:rPr>
              <w:lastRenderedPageBreak/>
              <w:t xml:space="preserve">(4) Statele membre pot acorda autorizația anumitor categorii de </w:t>
            </w:r>
            <w:r w:rsidR="00A51A7D" w:rsidRPr="009E686F">
              <w:rPr>
                <w:rFonts w:ascii="Times New Roman" w:hAnsi="Times New Roman" w:cs="Times New Roman"/>
                <w:lang w:val="it-CH"/>
              </w:rPr>
              <w:t>instituții de credit</w:t>
            </w:r>
            <w:r w:rsidRPr="009E686F">
              <w:rPr>
                <w:rFonts w:ascii="Times New Roman" w:hAnsi="Times New Roman" w:cs="Times New Roman"/>
                <w:lang w:val="it-CH"/>
              </w:rPr>
              <w:t xml:space="preserve"> al căror capital inițial este inferior celui menționat la alineatul (1), sub rezerva următoarelor condiții:</w:t>
            </w:r>
          </w:p>
          <w:p w14:paraId="180489AA" w14:textId="77777777" w:rsidR="00AB6122" w:rsidRPr="009E686F" w:rsidRDefault="00AB6122" w:rsidP="00ED2C1C">
            <w:pPr>
              <w:spacing w:after="0"/>
              <w:jc w:val="both"/>
              <w:rPr>
                <w:rFonts w:ascii="Times New Roman" w:hAnsi="Times New Roman" w:cs="Times New Roman"/>
                <w:lang w:val="it-CH"/>
              </w:rPr>
            </w:pPr>
            <w:r w:rsidRPr="009E686F">
              <w:rPr>
                <w:rFonts w:ascii="Times New Roman" w:hAnsi="Times New Roman" w:cs="Times New Roman"/>
                <w:lang w:val="it-CH"/>
              </w:rPr>
              <w:t>(a) capitalul inițial nu este mai mic de 1 milion EUR,</w:t>
            </w:r>
          </w:p>
          <w:p w14:paraId="05A39EFA" w14:textId="012203FF" w:rsidR="00AB6122" w:rsidRPr="009E686F" w:rsidRDefault="00AB6122" w:rsidP="00ED2C1C">
            <w:pPr>
              <w:spacing w:after="0"/>
              <w:jc w:val="both"/>
              <w:rPr>
                <w:rFonts w:ascii="Times New Roman" w:hAnsi="Times New Roman" w:cs="Times New Roman"/>
                <w:lang w:val="it-CH"/>
              </w:rPr>
            </w:pPr>
            <w:r w:rsidRPr="009E686F">
              <w:rPr>
                <w:rFonts w:ascii="Times New Roman" w:hAnsi="Times New Roman" w:cs="Times New Roman"/>
                <w:lang w:val="it-CH"/>
              </w:rPr>
              <w:t>(b) statele membre în cauză notifică Comisia și ABE în legătură cu motivele pentru care au recurs la opțiunea respectivă.</w:t>
            </w:r>
          </w:p>
        </w:tc>
        <w:tc>
          <w:tcPr>
            <w:tcW w:w="1834" w:type="pct"/>
            <w:tcBorders>
              <w:top w:val="single" w:sz="4" w:space="0" w:color="auto"/>
              <w:left w:val="single" w:sz="4" w:space="0" w:color="auto"/>
              <w:right w:val="single" w:sz="4" w:space="0" w:color="auto"/>
            </w:tcBorders>
          </w:tcPr>
          <w:p w14:paraId="06DBE59E" w14:textId="77777777" w:rsidR="00AB6122" w:rsidRPr="009E686F" w:rsidRDefault="00AB6122" w:rsidP="00ED2C1C">
            <w:pPr>
              <w:spacing w:after="0"/>
              <w:jc w:val="both"/>
              <w:rPr>
                <w:rFonts w:ascii="Times New Roman" w:hAnsi="Times New Roman" w:cs="Times New Roman"/>
                <w:b/>
                <w:lang w:val="it-CH"/>
              </w:rPr>
            </w:pPr>
          </w:p>
        </w:tc>
        <w:tc>
          <w:tcPr>
            <w:tcW w:w="470" w:type="pct"/>
            <w:tcBorders>
              <w:top w:val="single" w:sz="4" w:space="0" w:color="auto"/>
              <w:left w:val="single" w:sz="4" w:space="0" w:color="auto"/>
              <w:right w:val="single" w:sz="4" w:space="0" w:color="auto"/>
            </w:tcBorders>
          </w:tcPr>
          <w:p w14:paraId="5B414D75" w14:textId="77777777" w:rsidR="00AB6122" w:rsidRPr="009E686F" w:rsidRDefault="00AB6122" w:rsidP="00AB6122">
            <w:pPr>
              <w:jc w:val="both"/>
              <w:rPr>
                <w:rFonts w:ascii="Times New Roman" w:hAnsi="Times New Roman" w:cs="Times New Roman"/>
              </w:rPr>
            </w:pPr>
            <w:r w:rsidRPr="009E686F">
              <w:rPr>
                <w:rFonts w:ascii="Times New Roman" w:hAnsi="Times New Roman" w:cs="Times New Roman"/>
              </w:rPr>
              <w:t xml:space="preserve">Norme UE netranspuse </w:t>
            </w:r>
          </w:p>
          <w:p w14:paraId="46C29128" w14:textId="77777777" w:rsidR="00AB6122" w:rsidRPr="009E686F" w:rsidRDefault="00AB6122" w:rsidP="00AB6122">
            <w:pPr>
              <w:jc w:val="both"/>
              <w:rPr>
                <w:rFonts w:ascii="Times New Roman" w:hAnsi="Times New Roman" w:cs="Times New Roman"/>
              </w:rPr>
            </w:pPr>
          </w:p>
          <w:p w14:paraId="5B17C061" w14:textId="7A107438" w:rsidR="00AB6122" w:rsidRPr="009E686F" w:rsidRDefault="00AB6122" w:rsidP="00AB6122">
            <w:pPr>
              <w:jc w:val="both"/>
              <w:rPr>
                <w:rFonts w:ascii="Times New Roman" w:hAnsi="Times New Roman" w:cs="Times New Roman"/>
              </w:rPr>
            </w:pPr>
          </w:p>
        </w:tc>
        <w:tc>
          <w:tcPr>
            <w:tcW w:w="806" w:type="pct"/>
            <w:tcBorders>
              <w:top w:val="single" w:sz="4" w:space="0" w:color="auto"/>
              <w:left w:val="single" w:sz="4" w:space="0" w:color="auto"/>
              <w:right w:val="single" w:sz="4" w:space="0" w:color="auto"/>
            </w:tcBorders>
          </w:tcPr>
          <w:p w14:paraId="3D048BE1" w14:textId="2F0C4CFE" w:rsidR="00AB6122" w:rsidRPr="009E686F" w:rsidRDefault="00AB6122" w:rsidP="00515783">
            <w:pPr>
              <w:spacing w:after="0"/>
              <w:jc w:val="both"/>
              <w:rPr>
                <w:rFonts w:ascii="Times New Roman" w:hAnsi="Times New Roman" w:cs="Times New Roman"/>
              </w:rPr>
            </w:pPr>
            <w:r w:rsidRPr="009E686F">
              <w:rPr>
                <w:rFonts w:ascii="Times New Roman" w:hAnsi="Times New Roman" w:cs="Times New Roman"/>
              </w:rPr>
              <w:t>Opțiune neercitată.</w:t>
            </w:r>
          </w:p>
        </w:tc>
      </w:tr>
      <w:tr w:rsidR="00B30AFC" w:rsidRPr="009E686F" w14:paraId="27497804" w14:textId="618079F8" w:rsidTr="00960C23">
        <w:tc>
          <w:tcPr>
            <w:tcW w:w="1890" w:type="pct"/>
            <w:tcBorders>
              <w:top w:val="single" w:sz="4" w:space="0" w:color="auto"/>
              <w:left w:val="single" w:sz="4" w:space="0" w:color="auto"/>
              <w:bottom w:val="single" w:sz="4" w:space="0" w:color="auto"/>
              <w:right w:val="single" w:sz="4" w:space="0" w:color="auto"/>
            </w:tcBorders>
          </w:tcPr>
          <w:p w14:paraId="25C673B3" w14:textId="77777777" w:rsidR="00AB6122" w:rsidRPr="009E686F" w:rsidRDefault="00AB6122" w:rsidP="00ED2C1C">
            <w:pPr>
              <w:spacing w:after="0"/>
              <w:jc w:val="both"/>
              <w:rPr>
                <w:rFonts w:ascii="Times New Roman" w:hAnsi="Times New Roman" w:cs="Times New Roman"/>
                <w:b/>
                <w:bCs/>
                <w:i/>
                <w:iCs/>
                <w:lang w:val="pt-BR"/>
              </w:rPr>
            </w:pPr>
            <w:r w:rsidRPr="009E686F">
              <w:rPr>
                <w:rFonts w:ascii="Times New Roman" w:hAnsi="Times New Roman" w:cs="Times New Roman"/>
                <w:i/>
                <w:iCs/>
                <w:lang w:val="pt-BR"/>
              </w:rPr>
              <w:t>Articolul 13</w:t>
            </w:r>
            <w:r w:rsidRPr="009E686F">
              <w:rPr>
                <w:rFonts w:ascii="Times New Roman" w:hAnsi="Times New Roman" w:cs="Times New Roman"/>
                <w:b/>
                <w:bCs/>
                <w:i/>
                <w:iCs/>
                <w:lang w:val="pt-BR"/>
              </w:rPr>
              <w:t xml:space="preserve"> </w:t>
            </w:r>
          </w:p>
          <w:p w14:paraId="4F394E15" w14:textId="6BB8A608" w:rsidR="00AB6122" w:rsidRPr="009E686F" w:rsidRDefault="00AB6122" w:rsidP="00ED2C1C">
            <w:pPr>
              <w:spacing w:after="0"/>
              <w:jc w:val="both"/>
              <w:rPr>
                <w:rFonts w:ascii="Times New Roman" w:hAnsi="Times New Roman" w:cs="Times New Roman"/>
                <w:lang w:val="pt-BR"/>
              </w:rPr>
            </w:pPr>
            <w:r w:rsidRPr="009E686F">
              <w:rPr>
                <w:rFonts w:ascii="Times New Roman" w:hAnsi="Times New Roman" w:cs="Times New Roman"/>
                <w:lang w:val="pt-BR"/>
              </w:rPr>
              <w:t>Conducerea efectivă a activității și sediul central</w:t>
            </w:r>
          </w:p>
        </w:tc>
        <w:tc>
          <w:tcPr>
            <w:tcW w:w="1834" w:type="pct"/>
            <w:tcBorders>
              <w:top w:val="single" w:sz="4" w:space="0" w:color="auto"/>
              <w:left w:val="single" w:sz="4" w:space="0" w:color="auto"/>
              <w:bottom w:val="single" w:sz="4" w:space="0" w:color="auto"/>
              <w:right w:val="single" w:sz="4" w:space="0" w:color="auto"/>
            </w:tcBorders>
          </w:tcPr>
          <w:p w14:paraId="07144EF9" w14:textId="54EC85A6" w:rsidR="00AB6122" w:rsidRPr="009E686F" w:rsidRDefault="00AB6122" w:rsidP="00ED2C1C">
            <w:pPr>
              <w:spacing w:after="0"/>
              <w:jc w:val="both"/>
              <w:rPr>
                <w:rFonts w:ascii="Times New Roman" w:hAnsi="Times New Roman" w:cs="Times New Roman"/>
                <w:b/>
              </w:rPr>
            </w:pPr>
            <w:r w:rsidRPr="009E686F">
              <w:rPr>
                <w:rFonts w:ascii="Times New Roman" w:hAnsi="Times New Roman" w:cs="Times New Roman"/>
                <w:b/>
              </w:rPr>
              <w:t xml:space="preserve">Articolul 11. </w:t>
            </w:r>
            <w:r w:rsidRPr="009E686F">
              <w:rPr>
                <w:rFonts w:ascii="Times New Roman" w:hAnsi="Times New Roman" w:cs="Times New Roman"/>
              </w:rPr>
              <w:t>Conducerea activității</w:t>
            </w:r>
          </w:p>
        </w:tc>
        <w:tc>
          <w:tcPr>
            <w:tcW w:w="470" w:type="pct"/>
            <w:tcBorders>
              <w:top w:val="single" w:sz="4" w:space="0" w:color="auto"/>
              <w:left w:val="single" w:sz="4" w:space="0" w:color="auto"/>
              <w:bottom w:val="single" w:sz="4" w:space="0" w:color="auto"/>
              <w:right w:val="single" w:sz="4" w:space="0" w:color="auto"/>
            </w:tcBorders>
          </w:tcPr>
          <w:p w14:paraId="4F6E3601" w14:textId="3E81B196" w:rsidR="00AB6122" w:rsidRPr="009E686F" w:rsidRDefault="00AB6122" w:rsidP="00AB6122">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312659A2" w14:textId="46C6B082" w:rsidR="00AB6122" w:rsidRPr="009E686F" w:rsidRDefault="00AB6122" w:rsidP="00515783">
            <w:pPr>
              <w:spacing w:after="0"/>
              <w:jc w:val="both"/>
              <w:rPr>
                <w:rFonts w:ascii="Times New Roman" w:hAnsi="Times New Roman" w:cs="Times New Roman"/>
              </w:rPr>
            </w:pPr>
          </w:p>
        </w:tc>
      </w:tr>
      <w:tr w:rsidR="00B30AFC" w:rsidRPr="009E686F" w14:paraId="09B33D23" w14:textId="1A2C5607" w:rsidTr="00960C23">
        <w:tc>
          <w:tcPr>
            <w:tcW w:w="1890" w:type="pct"/>
            <w:tcBorders>
              <w:top w:val="single" w:sz="4" w:space="0" w:color="auto"/>
              <w:left w:val="single" w:sz="4" w:space="0" w:color="auto"/>
              <w:bottom w:val="single" w:sz="4" w:space="0" w:color="auto"/>
              <w:right w:val="single" w:sz="4" w:space="0" w:color="auto"/>
            </w:tcBorders>
          </w:tcPr>
          <w:p w14:paraId="31AF8658" w14:textId="3A6B42BC" w:rsidR="00AB6122" w:rsidRPr="009E686F" w:rsidRDefault="00AB6122" w:rsidP="00ED2C1C">
            <w:pPr>
              <w:spacing w:after="0"/>
              <w:jc w:val="both"/>
              <w:rPr>
                <w:rFonts w:ascii="Times New Roman" w:hAnsi="Times New Roman" w:cs="Times New Roman"/>
              </w:rPr>
            </w:pPr>
            <w:r w:rsidRPr="009E686F">
              <w:rPr>
                <w:rFonts w:ascii="Times New Roman" w:hAnsi="Times New Roman" w:cs="Times New Roman"/>
              </w:rPr>
              <w:t xml:space="preserve">(1) Autoritățile competente acordă unei </w:t>
            </w:r>
            <w:r w:rsidR="00A51A7D" w:rsidRPr="009E686F">
              <w:rPr>
                <w:rFonts w:ascii="Times New Roman" w:hAnsi="Times New Roman" w:cs="Times New Roman"/>
              </w:rPr>
              <w:t>instituții de credit</w:t>
            </w:r>
            <w:r w:rsidRPr="009E686F">
              <w:rPr>
                <w:rFonts w:ascii="Times New Roman" w:hAnsi="Times New Roman" w:cs="Times New Roman"/>
              </w:rPr>
              <w:t xml:space="preserve"> autorizația de a începe activitatea numai dacă cel puțin două persoane administrează în mod efectiv activitatea </w:t>
            </w:r>
            <w:r w:rsidR="00A51A7D" w:rsidRPr="009E686F">
              <w:rPr>
                <w:rFonts w:ascii="Times New Roman" w:hAnsi="Times New Roman" w:cs="Times New Roman"/>
              </w:rPr>
              <w:t>instituției de credit</w:t>
            </w:r>
            <w:r w:rsidRPr="009E686F">
              <w:rPr>
                <w:rFonts w:ascii="Times New Roman" w:hAnsi="Times New Roman" w:cs="Times New Roman"/>
              </w:rPr>
              <w:t xml:space="preserve"> solicitante.</w:t>
            </w:r>
          </w:p>
          <w:p w14:paraId="35C1AFA4" w14:textId="77777777" w:rsidR="00AB6122" w:rsidRPr="009E686F" w:rsidRDefault="00AB6122" w:rsidP="00ED2C1C">
            <w:pPr>
              <w:spacing w:after="0"/>
              <w:jc w:val="both"/>
              <w:rPr>
                <w:rFonts w:ascii="Times New Roman" w:hAnsi="Times New Roman" w:cs="Times New Roman"/>
                <w:lang w:val="it-CH"/>
              </w:rPr>
            </w:pPr>
            <w:r w:rsidRPr="009E686F">
              <w:rPr>
                <w:rFonts w:ascii="Times New Roman" w:hAnsi="Times New Roman" w:cs="Times New Roman"/>
                <w:lang w:val="it-CH"/>
              </w:rPr>
              <w:t>Autoritățile competente refuză o astfel de autorizație în cazul în care membrii organului de conducere nu îndeplinesc cerințele prevăzute la articolul 91 alineatul (1).</w:t>
            </w:r>
          </w:p>
        </w:tc>
        <w:tc>
          <w:tcPr>
            <w:tcW w:w="1834" w:type="pct"/>
            <w:tcBorders>
              <w:top w:val="single" w:sz="4" w:space="0" w:color="auto"/>
              <w:left w:val="single" w:sz="4" w:space="0" w:color="auto"/>
              <w:bottom w:val="single" w:sz="4" w:space="0" w:color="auto"/>
              <w:right w:val="single" w:sz="4" w:space="0" w:color="auto"/>
            </w:tcBorders>
          </w:tcPr>
          <w:p w14:paraId="0ED6A6D8" w14:textId="5BE22F7B" w:rsidR="00AB6122" w:rsidRPr="009E686F" w:rsidRDefault="00AB6122" w:rsidP="00ED2C1C">
            <w:pPr>
              <w:spacing w:after="0"/>
              <w:jc w:val="both"/>
              <w:rPr>
                <w:rFonts w:ascii="Times New Roman" w:hAnsi="Times New Roman" w:cs="Times New Roman"/>
                <w:lang w:val="it-CH"/>
              </w:rPr>
            </w:pPr>
            <w:r w:rsidRPr="009E686F">
              <w:rPr>
                <w:rFonts w:ascii="Times New Roman" w:hAnsi="Times New Roman" w:cs="Times New Roman"/>
                <w:lang w:val="it-CH"/>
              </w:rPr>
              <w:t xml:space="preserve">(1) Banca Națională a Moldovei acordă </w:t>
            </w:r>
            <w:r w:rsidRPr="009E686F">
              <w:rPr>
                <w:rFonts w:ascii="Times New Roman" w:hAnsi="Times New Roman" w:cs="Times New Roman"/>
                <w:i/>
                <w:lang w:val="it-CH"/>
              </w:rPr>
              <w:t>autorizație</w:t>
            </w:r>
            <w:r w:rsidRPr="009E686F">
              <w:rPr>
                <w:rFonts w:ascii="Times New Roman" w:hAnsi="Times New Roman" w:cs="Times New Roman"/>
                <w:lang w:val="it-CH"/>
              </w:rPr>
              <w:t xml:space="preserve">  unei </w:t>
            </w:r>
            <w:r w:rsidR="00A51A7D" w:rsidRPr="009E686F">
              <w:rPr>
                <w:rFonts w:ascii="Times New Roman" w:hAnsi="Times New Roman" w:cs="Times New Roman"/>
                <w:i/>
                <w:lang w:val="it-CH"/>
              </w:rPr>
              <w:t>instituții de credit</w:t>
            </w:r>
            <w:r w:rsidRPr="009E686F">
              <w:rPr>
                <w:rFonts w:ascii="Times New Roman" w:hAnsi="Times New Roman" w:cs="Times New Roman"/>
                <w:lang w:val="it-CH"/>
              </w:rPr>
              <w:t xml:space="preserve"> numai dacă cel puțin trei persoane fizice conduc activitatea curentă a </w:t>
            </w:r>
            <w:r w:rsidR="00A51A7D" w:rsidRPr="009E686F">
              <w:rPr>
                <w:rFonts w:ascii="Times New Roman" w:hAnsi="Times New Roman" w:cs="Times New Roman"/>
                <w:i/>
                <w:lang w:val="it-CH"/>
              </w:rPr>
              <w:t>instituției de credit</w:t>
            </w:r>
            <w:r w:rsidR="00B95D2A" w:rsidRPr="009E686F">
              <w:rPr>
                <w:rFonts w:ascii="Times New Roman" w:hAnsi="Times New Roman" w:cs="Times New Roman"/>
                <w:lang w:val="it-CH"/>
              </w:rPr>
              <w:t xml:space="preserve"> </w:t>
            </w:r>
            <w:r w:rsidRPr="009E686F">
              <w:rPr>
                <w:rFonts w:ascii="Times New Roman" w:hAnsi="Times New Roman" w:cs="Times New Roman"/>
                <w:lang w:val="it-CH"/>
              </w:rPr>
              <w:t>solicitante.</w:t>
            </w:r>
          </w:p>
          <w:p w14:paraId="5358768C" w14:textId="77777777" w:rsidR="007E4545" w:rsidRPr="009E686F" w:rsidRDefault="007E4545" w:rsidP="00ED2C1C">
            <w:pPr>
              <w:spacing w:after="0"/>
              <w:jc w:val="both"/>
              <w:rPr>
                <w:rFonts w:ascii="Times New Roman" w:hAnsi="Times New Roman" w:cs="Times New Roman"/>
                <w:lang w:val="it-CH"/>
              </w:rPr>
            </w:pPr>
          </w:p>
          <w:p w14:paraId="236361A4" w14:textId="080AD774" w:rsidR="00AB6122" w:rsidRPr="009E686F" w:rsidRDefault="00AB6122" w:rsidP="00ED2C1C">
            <w:pPr>
              <w:spacing w:after="0"/>
              <w:jc w:val="both"/>
              <w:rPr>
                <w:rFonts w:ascii="Times New Roman" w:hAnsi="Times New Roman" w:cs="Times New Roman"/>
                <w:lang w:val="it-CH"/>
              </w:rPr>
            </w:pPr>
            <w:r w:rsidRPr="009E686F">
              <w:rPr>
                <w:rFonts w:ascii="Times New Roman" w:hAnsi="Times New Roman" w:cs="Times New Roman"/>
                <w:lang w:val="it-CH"/>
              </w:rPr>
              <w:t xml:space="preserve">(2) Persoanele fizice cărora le sunt încredințate responsabilități, în calitate de membri ai organului de conducere al </w:t>
            </w:r>
            <w:r w:rsidR="00A51A7D" w:rsidRPr="009E686F">
              <w:rPr>
                <w:rFonts w:ascii="Times New Roman" w:hAnsi="Times New Roman" w:cs="Times New Roman"/>
                <w:i/>
                <w:iCs/>
                <w:lang w:val="it-CH"/>
              </w:rPr>
              <w:t>instituției de credit</w:t>
            </w:r>
            <w:r w:rsidRPr="009E686F">
              <w:rPr>
                <w:rFonts w:ascii="Times New Roman" w:hAnsi="Times New Roman" w:cs="Times New Roman"/>
                <w:lang w:val="it-CH"/>
              </w:rPr>
              <w:t xml:space="preserve"> pentru care se solicită </w:t>
            </w:r>
            <w:r w:rsidRPr="009E686F">
              <w:rPr>
                <w:rFonts w:ascii="Times New Roman" w:hAnsi="Times New Roman" w:cs="Times New Roman"/>
                <w:i/>
                <w:iCs/>
                <w:lang w:val="it-CH"/>
              </w:rPr>
              <w:t>autorizarea</w:t>
            </w:r>
            <w:r w:rsidRPr="009E686F">
              <w:rPr>
                <w:rFonts w:ascii="Times New Roman" w:hAnsi="Times New Roman" w:cs="Times New Roman"/>
                <w:lang w:val="it-CH"/>
              </w:rPr>
              <w:t>, trebuie să îndeplinească cerințele prevăzute la art.43</w:t>
            </w:r>
            <w:r w:rsidR="00EA0070" w:rsidRPr="009E686F">
              <w:rPr>
                <w:rFonts w:ascii="Times New Roman" w:hAnsi="Times New Roman" w:cs="Times New Roman"/>
                <w:i/>
                <w:iCs/>
                <w:lang w:val="it-CH"/>
              </w:rPr>
              <w:t xml:space="preserve"> și </w:t>
            </w:r>
            <w:r w:rsidRPr="009E686F">
              <w:rPr>
                <w:rFonts w:ascii="Times New Roman" w:hAnsi="Times New Roman" w:cs="Times New Roman"/>
                <w:i/>
                <w:iCs/>
                <w:lang w:val="it-CH"/>
              </w:rPr>
              <w:t>43</w:t>
            </w:r>
            <w:r w:rsidRPr="009E686F">
              <w:rPr>
                <w:rFonts w:ascii="Times New Roman" w:hAnsi="Times New Roman" w:cs="Times New Roman"/>
                <w:i/>
                <w:iCs/>
                <w:vertAlign w:val="superscript"/>
                <w:lang w:val="it-CH"/>
              </w:rPr>
              <w:t>1</w:t>
            </w:r>
            <w:r w:rsidR="009F3304" w:rsidRPr="009E686F">
              <w:rPr>
                <w:rFonts w:ascii="Times New Roman" w:hAnsi="Times New Roman" w:cs="Times New Roman"/>
                <w:lang w:val="it-CH"/>
              </w:rPr>
              <w:t>din prezenta lege</w:t>
            </w:r>
            <w:r w:rsidRPr="009E686F">
              <w:rPr>
                <w:rFonts w:ascii="Times New Roman" w:hAnsi="Times New Roman" w:cs="Times New Roman"/>
                <w:lang w:val="it-CH"/>
              </w:rPr>
              <w:t>.</w:t>
            </w:r>
          </w:p>
        </w:tc>
        <w:tc>
          <w:tcPr>
            <w:tcW w:w="470" w:type="pct"/>
            <w:tcBorders>
              <w:top w:val="single" w:sz="4" w:space="0" w:color="auto"/>
              <w:left w:val="single" w:sz="4" w:space="0" w:color="auto"/>
              <w:bottom w:val="single" w:sz="4" w:space="0" w:color="auto"/>
              <w:right w:val="single" w:sz="4" w:space="0" w:color="auto"/>
            </w:tcBorders>
          </w:tcPr>
          <w:p w14:paraId="63CC3032" w14:textId="349F3D9B" w:rsidR="00AB6122" w:rsidRPr="009E686F" w:rsidRDefault="00AB6122" w:rsidP="00AB6122">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36A59789" w14:textId="521AA8D7" w:rsidR="00AB6122" w:rsidRPr="009E686F" w:rsidRDefault="00AB6122" w:rsidP="00515783">
            <w:pPr>
              <w:spacing w:after="0"/>
              <w:jc w:val="both"/>
              <w:rPr>
                <w:rFonts w:ascii="Times New Roman" w:hAnsi="Times New Roman" w:cs="Times New Roman"/>
              </w:rPr>
            </w:pPr>
          </w:p>
        </w:tc>
      </w:tr>
      <w:tr w:rsidR="00407697" w:rsidRPr="009E686F" w14:paraId="6A2FF48F" w14:textId="6FD92972" w:rsidTr="00960C23">
        <w:trPr>
          <w:trHeight w:val="3756"/>
        </w:trPr>
        <w:tc>
          <w:tcPr>
            <w:tcW w:w="1890" w:type="pct"/>
            <w:tcBorders>
              <w:top w:val="single" w:sz="4" w:space="0" w:color="auto"/>
              <w:left w:val="single" w:sz="4" w:space="0" w:color="auto"/>
              <w:right w:val="single" w:sz="4" w:space="0" w:color="auto"/>
            </w:tcBorders>
          </w:tcPr>
          <w:p w14:paraId="02D94E64" w14:textId="77777777" w:rsidR="00FC674D" w:rsidRPr="009E686F" w:rsidRDefault="00FC674D" w:rsidP="00ED2C1C">
            <w:pPr>
              <w:spacing w:after="0"/>
              <w:jc w:val="both"/>
              <w:rPr>
                <w:rFonts w:ascii="Times New Roman" w:hAnsi="Times New Roman" w:cs="Times New Roman"/>
              </w:rPr>
            </w:pPr>
            <w:r w:rsidRPr="009E686F">
              <w:rPr>
                <w:rFonts w:ascii="Times New Roman" w:hAnsi="Times New Roman" w:cs="Times New Roman"/>
              </w:rPr>
              <w:lastRenderedPageBreak/>
              <w:t>(2) Fiecare stat membru solicită următoarele:</w:t>
            </w:r>
          </w:p>
          <w:p w14:paraId="65A0F28C" w14:textId="77777777" w:rsidR="00FC674D" w:rsidRPr="009E686F" w:rsidRDefault="00FC674D" w:rsidP="00ED2C1C">
            <w:pPr>
              <w:spacing w:after="0"/>
              <w:jc w:val="both"/>
              <w:rPr>
                <w:rFonts w:ascii="Times New Roman" w:hAnsi="Times New Roman" w:cs="Times New Roman"/>
              </w:rPr>
            </w:pPr>
            <w:r w:rsidRPr="009E686F">
              <w:rPr>
                <w:rFonts w:ascii="Times New Roman" w:hAnsi="Times New Roman" w:cs="Times New Roman"/>
              </w:rPr>
              <w:t>(a) o instituție de credit care este persoană juridică și care, în conformitate cu dreptul intern, are un sediu social, are sediul central în același stat membru în care se află sediul social;</w:t>
            </w:r>
          </w:p>
          <w:p w14:paraId="0F9F3499" w14:textId="6A85C2BF" w:rsidR="00FC674D" w:rsidRPr="009E686F" w:rsidRDefault="00FC674D" w:rsidP="00ED2C1C">
            <w:pPr>
              <w:spacing w:after="0"/>
              <w:jc w:val="both"/>
              <w:rPr>
                <w:rFonts w:ascii="Times New Roman" w:hAnsi="Times New Roman" w:cs="Times New Roman"/>
              </w:rPr>
            </w:pPr>
            <w:r w:rsidRPr="009E686F">
              <w:rPr>
                <w:rFonts w:ascii="Times New Roman" w:hAnsi="Times New Roman" w:cs="Times New Roman"/>
              </w:rPr>
              <w:t>(b) o instituție de credit, alta decât cea menționată la litera (a), are sediul central în statul membru care i-a acordat autorizația și în care își desfășoară efectiv activitatea.</w:t>
            </w:r>
          </w:p>
        </w:tc>
        <w:tc>
          <w:tcPr>
            <w:tcW w:w="1834" w:type="pct"/>
            <w:tcBorders>
              <w:top w:val="single" w:sz="4" w:space="0" w:color="auto"/>
              <w:left w:val="single" w:sz="4" w:space="0" w:color="auto"/>
              <w:right w:val="single" w:sz="4" w:space="0" w:color="auto"/>
            </w:tcBorders>
          </w:tcPr>
          <w:p w14:paraId="7E650A29" w14:textId="77777777" w:rsidR="00FC674D" w:rsidRPr="009E686F" w:rsidRDefault="00FC674D" w:rsidP="00ED2C1C">
            <w:pPr>
              <w:pStyle w:val="af4"/>
              <w:spacing w:after="0"/>
              <w:ind w:left="0"/>
              <w:jc w:val="both"/>
              <w:rPr>
                <w:rFonts w:ascii="Times New Roman" w:hAnsi="Times New Roman" w:cs="Times New Roman"/>
              </w:rPr>
            </w:pPr>
            <w:r w:rsidRPr="009E686F">
              <w:rPr>
                <w:rFonts w:ascii="Times New Roman" w:hAnsi="Times New Roman" w:cs="Times New Roman"/>
                <w:b/>
              </w:rPr>
              <w:t>Articolul 10.</w:t>
            </w:r>
            <w:r w:rsidRPr="009E686F">
              <w:rPr>
                <w:rFonts w:ascii="Times New Roman" w:hAnsi="Times New Roman" w:cs="Times New Roman"/>
              </w:rPr>
              <w:t xml:space="preserve"> Sediul   </w:t>
            </w:r>
          </w:p>
          <w:p w14:paraId="58F171A4" w14:textId="0543C561" w:rsidR="00FC674D" w:rsidRPr="009E686F" w:rsidRDefault="00FC674D" w:rsidP="00ED2C1C">
            <w:pPr>
              <w:pStyle w:val="af4"/>
              <w:spacing w:after="0"/>
              <w:ind w:left="0"/>
              <w:jc w:val="both"/>
              <w:rPr>
                <w:rFonts w:ascii="Times New Roman" w:hAnsi="Times New Roman" w:cs="Times New Roman"/>
                <w:b/>
                <w:lang w:val="it-CH"/>
              </w:rPr>
            </w:pPr>
            <w:r w:rsidRPr="009E686F">
              <w:rPr>
                <w:rFonts w:ascii="Times New Roman" w:hAnsi="Times New Roman" w:cs="Times New Roman"/>
              </w:rPr>
              <w:t xml:space="preserve">Sediul </w:t>
            </w:r>
            <w:r w:rsidRPr="009E686F">
              <w:rPr>
                <w:rFonts w:ascii="Times New Roman" w:hAnsi="Times New Roman" w:cs="Times New Roman"/>
                <w:i/>
                <w:iCs/>
              </w:rPr>
              <w:t>instituției de credit</w:t>
            </w:r>
            <w:r w:rsidRPr="009E686F">
              <w:rPr>
                <w:rFonts w:ascii="Times New Roman" w:hAnsi="Times New Roman" w:cs="Times New Roman"/>
              </w:rPr>
              <w:t xml:space="preserve">, persoană juridică din Republica Moldova  trebuie să fie situat pe teritoriul Republicii Moldova și indicat în statutul </w:t>
            </w:r>
            <w:r w:rsidRPr="009E686F">
              <w:rPr>
                <w:rFonts w:ascii="Times New Roman" w:hAnsi="Times New Roman" w:cs="Times New Roman"/>
                <w:i/>
                <w:iCs/>
              </w:rPr>
              <w:t>instituției de credit</w:t>
            </w:r>
            <w:r w:rsidRPr="009E686F">
              <w:rPr>
                <w:rFonts w:ascii="Times New Roman" w:hAnsi="Times New Roman" w:cs="Times New Roman"/>
              </w:rPr>
              <w:t>. Sediul reprezintă locația în care se situează organul său de conducere.</w:t>
            </w:r>
          </w:p>
        </w:tc>
        <w:tc>
          <w:tcPr>
            <w:tcW w:w="470" w:type="pct"/>
            <w:tcBorders>
              <w:top w:val="single" w:sz="4" w:space="0" w:color="auto"/>
              <w:left w:val="single" w:sz="4" w:space="0" w:color="auto"/>
              <w:right w:val="single" w:sz="4" w:space="0" w:color="auto"/>
            </w:tcBorders>
          </w:tcPr>
          <w:p w14:paraId="657B6F68" w14:textId="5B1C2993" w:rsidR="00FC674D" w:rsidRPr="009E686F" w:rsidRDefault="00FC674D" w:rsidP="00AB6122">
            <w:pPr>
              <w:jc w:val="both"/>
              <w:rPr>
                <w:rFonts w:ascii="Times New Roman" w:hAnsi="Times New Roman" w:cs="Times New Roman"/>
                <w:lang w:val="it-CH"/>
              </w:rPr>
            </w:pPr>
            <w:r w:rsidRPr="009E686F">
              <w:rPr>
                <w:rFonts w:ascii="Times New Roman" w:hAnsi="Times New Roman" w:cs="Times New Roman"/>
              </w:rPr>
              <w:t xml:space="preserve">Compatibil </w:t>
            </w:r>
          </w:p>
        </w:tc>
        <w:tc>
          <w:tcPr>
            <w:tcW w:w="806" w:type="pct"/>
            <w:tcBorders>
              <w:top w:val="single" w:sz="4" w:space="0" w:color="auto"/>
              <w:left w:val="single" w:sz="4" w:space="0" w:color="auto"/>
              <w:right w:val="single" w:sz="4" w:space="0" w:color="auto"/>
            </w:tcBorders>
          </w:tcPr>
          <w:p w14:paraId="41A175C6" w14:textId="2B61E42D" w:rsidR="00FC674D" w:rsidRPr="009E686F" w:rsidRDefault="00FC674D" w:rsidP="00515783">
            <w:pPr>
              <w:spacing w:after="0"/>
              <w:jc w:val="both"/>
              <w:rPr>
                <w:rFonts w:ascii="Times New Roman" w:hAnsi="Times New Roman" w:cs="Times New Roman"/>
                <w:lang w:val="it-CH"/>
              </w:rPr>
            </w:pPr>
          </w:p>
        </w:tc>
      </w:tr>
      <w:tr w:rsidR="00B30AFC" w:rsidRPr="009E686F" w14:paraId="4A7BC58E" w14:textId="4FFE2F03" w:rsidTr="00960C23">
        <w:tc>
          <w:tcPr>
            <w:tcW w:w="1890" w:type="pct"/>
            <w:tcBorders>
              <w:top w:val="single" w:sz="4" w:space="0" w:color="auto"/>
              <w:left w:val="single" w:sz="4" w:space="0" w:color="auto"/>
              <w:bottom w:val="single" w:sz="4" w:space="0" w:color="auto"/>
              <w:right w:val="single" w:sz="4" w:space="0" w:color="auto"/>
            </w:tcBorders>
          </w:tcPr>
          <w:p w14:paraId="6FD6D8DC" w14:textId="77777777" w:rsidR="00AB6122" w:rsidRPr="009E686F" w:rsidRDefault="00AB6122" w:rsidP="00ED2C1C">
            <w:pPr>
              <w:spacing w:after="0"/>
              <w:jc w:val="both"/>
              <w:rPr>
                <w:rFonts w:ascii="Times New Roman" w:hAnsi="Times New Roman" w:cs="Times New Roman"/>
                <w:i/>
                <w:iCs/>
              </w:rPr>
            </w:pPr>
            <w:r w:rsidRPr="009E686F">
              <w:rPr>
                <w:rFonts w:ascii="Times New Roman" w:hAnsi="Times New Roman" w:cs="Times New Roman"/>
                <w:i/>
                <w:iCs/>
              </w:rPr>
              <w:t xml:space="preserve">Articolul 14 </w:t>
            </w:r>
          </w:p>
          <w:p w14:paraId="1471AD75" w14:textId="2967027A" w:rsidR="00AB6122" w:rsidRPr="009E686F" w:rsidRDefault="00AB6122" w:rsidP="00ED2C1C">
            <w:pPr>
              <w:spacing w:after="0"/>
              <w:jc w:val="both"/>
              <w:rPr>
                <w:rFonts w:ascii="Times New Roman" w:hAnsi="Times New Roman" w:cs="Times New Roman"/>
              </w:rPr>
            </w:pPr>
            <w:r w:rsidRPr="009E686F">
              <w:rPr>
                <w:rFonts w:ascii="Times New Roman" w:hAnsi="Times New Roman" w:cs="Times New Roman"/>
              </w:rPr>
              <w:t>Acționari și asociați</w:t>
            </w:r>
          </w:p>
        </w:tc>
        <w:tc>
          <w:tcPr>
            <w:tcW w:w="1834" w:type="pct"/>
            <w:tcBorders>
              <w:top w:val="single" w:sz="4" w:space="0" w:color="auto"/>
              <w:left w:val="single" w:sz="4" w:space="0" w:color="auto"/>
              <w:bottom w:val="single" w:sz="4" w:space="0" w:color="auto"/>
              <w:right w:val="single" w:sz="4" w:space="0" w:color="auto"/>
            </w:tcBorders>
          </w:tcPr>
          <w:p w14:paraId="7E851761" w14:textId="77777777" w:rsidR="00AB6122" w:rsidRPr="009E686F" w:rsidRDefault="00AB6122" w:rsidP="00ED2C1C">
            <w:pPr>
              <w:spacing w:after="0"/>
              <w:jc w:val="both"/>
              <w:rPr>
                <w:rFonts w:ascii="Times New Roman" w:hAnsi="Times New Roman" w:cs="Times New Roman"/>
                <w:b/>
              </w:rPr>
            </w:pPr>
            <w:r w:rsidRPr="009E686F">
              <w:rPr>
                <w:rFonts w:ascii="Times New Roman" w:hAnsi="Times New Roman" w:cs="Times New Roman"/>
                <w:b/>
              </w:rPr>
              <w:t xml:space="preserve">Articolul 12.  </w:t>
            </w:r>
            <w:r w:rsidRPr="009E686F">
              <w:rPr>
                <w:rFonts w:ascii="Times New Roman" w:hAnsi="Times New Roman" w:cs="Times New Roman"/>
              </w:rPr>
              <w:t>Acționari</w:t>
            </w:r>
          </w:p>
        </w:tc>
        <w:tc>
          <w:tcPr>
            <w:tcW w:w="470" w:type="pct"/>
            <w:tcBorders>
              <w:top w:val="single" w:sz="4" w:space="0" w:color="auto"/>
              <w:left w:val="single" w:sz="4" w:space="0" w:color="auto"/>
              <w:bottom w:val="single" w:sz="4" w:space="0" w:color="auto"/>
              <w:right w:val="single" w:sz="4" w:space="0" w:color="auto"/>
            </w:tcBorders>
          </w:tcPr>
          <w:p w14:paraId="7E33DF92" w14:textId="2316C9FC" w:rsidR="00AB6122" w:rsidRPr="009E686F" w:rsidRDefault="00AB6122" w:rsidP="00AB6122">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52DEDAC6" w14:textId="55DF9A6B" w:rsidR="00AB6122" w:rsidRPr="009E686F" w:rsidRDefault="00AB6122" w:rsidP="00515783">
            <w:pPr>
              <w:spacing w:after="0"/>
              <w:jc w:val="both"/>
              <w:rPr>
                <w:rFonts w:ascii="Times New Roman" w:hAnsi="Times New Roman" w:cs="Times New Roman"/>
              </w:rPr>
            </w:pPr>
          </w:p>
        </w:tc>
      </w:tr>
      <w:tr w:rsidR="00B30AFC" w:rsidRPr="009E686F" w14:paraId="0690556C" w14:textId="71C3B16C" w:rsidTr="00960C23">
        <w:tc>
          <w:tcPr>
            <w:tcW w:w="1890" w:type="pct"/>
            <w:tcBorders>
              <w:top w:val="single" w:sz="4" w:space="0" w:color="auto"/>
              <w:left w:val="single" w:sz="4" w:space="0" w:color="auto"/>
              <w:bottom w:val="single" w:sz="4" w:space="0" w:color="auto"/>
              <w:right w:val="single" w:sz="4" w:space="0" w:color="auto"/>
            </w:tcBorders>
          </w:tcPr>
          <w:p w14:paraId="04625FC3" w14:textId="4DD3C5B4" w:rsidR="00AB6122" w:rsidRPr="009E686F" w:rsidRDefault="00AB6122" w:rsidP="00ED2C1C">
            <w:pPr>
              <w:spacing w:after="0"/>
              <w:jc w:val="both"/>
              <w:rPr>
                <w:rFonts w:ascii="Times New Roman" w:hAnsi="Times New Roman" w:cs="Times New Roman"/>
                <w:lang w:val="it-CH"/>
              </w:rPr>
            </w:pPr>
            <w:r w:rsidRPr="009E686F">
              <w:rPr>
                <w:rFonts w:ascii="Times New Roman" w:hAnsi="Times New Roman" w:cs="Times New Roman"/>
                <w:lang w:val="it-CH"/>
              </w:rPr>
              <w:t xml:space="preserve">(1) Autoritățile competente refuză autorizația de începere a activității unei </w:t>
            </w:r>
            <w:r w:rsidR="00A51A7D" w:rsidRPr="009E686F">
              <w:rPr>
                <w:rFonts w:ascii="Times New Roman" w:hAnsi="Times New Roman" w:cs="Times New Roman"/>
                <w:lang w:val="it-CH"/>
              </w:rPr>
              <w:t>instituții de credit</w:t>
            </w:r>
            <w:r w:rsidRPr="009E686F">
              <w:rPr>
                <w:rFonts w:ascii="Times New Roman" w:hAnsi="Times New Roman" w:cs="Times New Roman"/>
                <w:lang w:val="it-CH"/>
              </w:rPr>
              <w:t xml:space="preserve"> dacă </w:t>
            </w:r>
            <w:r w:rsidR="00A51A7D" w:rsidRPr="009E686F">
              <w:rPr>
                <w:rFonts w:ascii="Times New Roman" w:hAnsi="Times New Roman" w:cs="Times New Roman"/>
                <w:lang w:val="it-CH"/>
              </w:rPr>
              <w:t>instituția de credit</w:t>
            </w:r>
            <w:r w:rsidRPr="009E686F">
              <w:rPr>
                <w:rFonts w:ascii="Times New Roman" w:hAnsi="Times New Roman" w:cs="Times New Roman"/>
                <w:lang w:val="it-CH"/>
              </w:rPr>
              <w:t xml:space="preserve"> nu le-a informat cu privire la identitatea acționarilor sau a asociaților, direcți sau indirecți, persoane fizice sau juridice, care dețin participații calificate, precum și cu privire la cuantumul participațiilor acestora, iar în cazul în care nu există participații calificate, cu privire la identitatea celor mai mari 20 de acționari sau asociați.</w:t>
            </w:r>
          </w:p>
        </w:tc>
        <w:tc>
          <w:tcPr>
            <w:tcW w:w="1834" w:type="pct"/>
            <w:tcBorders>
              <w:top w:val="single" w:sz="4" w:space="0" w:color="auto"/>
              <w:left w:val="single" w:sz="4" w:space="0" w:color="auto"/>
              <w:bottom w:val="single" w:sz="4" w:space="0" w:color="auto"/>
              <w:right w:val="single" w:sz="4" w:space="0" w:color="auto"/>
            </w:tcBorders>
          </w:tcPr>
          <w:p w14:paraId="481AE499" w14:textId="263D1145" w:rsidR="00AB6122" w:rsidRPr="009E686F" w:rsidRDefault="00AB6122" w:rsidP="00ED2C1C">
            <w:pPr>
              <w:spacing w:after="0"/>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 xml:space="preserve">(1) Banca Naţională a Moldovei acordă </w:t>
            </w:r>
            <w:r w:rsidRPr="009E686F">
              <w:rPr>
                <w:rFonts w:ascii="Times New Roman" w:eastAsia="Aptos" w:hAnsi="Times New Roman" w:cs="Times New Roman"/>
                <w:i/>
                <w:iCs/>
                <w:kern w:val="2"/>
                <w:lang w:val="ro-MD"/>
              </w:rPr>
              <w:t>autorizație</w:t>
            </w:r>
            <w:r w:rsidRPr="009E686F">
              <w:rPr>
                <w:rFonts w:ascii="Times New Roman" w:eastAsia="Aptos" w:hAnsi="Times New Roman" w:cs="Times New Roman"/>
                <w:kern w:val="2"/>
                <w:lang w:val="ro-MD"/>
              </w:rPr>
              <w:t xml:space="preserve"> unei </w:t>
            </w:r>
            <w:r w:rsidR="00A51A7D" w:rsidRPr="009E686F">
              <w:rPr>
                <w:rFonts w:ascii="Times New Roman" w:eastAsia="Aptos" w:hAnsi="Times New Roman" w:cs="Times New Roman"/>
                <w:i/>
                <w:iCs/>
                <w:kern w:val="2"/>
                <w:lang w:val="ro-MD"/>
              </w:rPr>
              <w:t>instituții de credit</w:t>
            </w:r>
            <w:r w:rsidRPr="009E686F">
              <w:rPr>
                <w:rFonts w:ascii="Times New Roman" w:eastAsia="Aptos" w:hAnsi="Times New Roman" w:cs="Times New Roman"/>
                <w:kern w:val="2"/>
                <w:lang w:val="ro-MD"/>
              </w:rPr>
              <w:t xml:space="preserve"> solicitante doar dacă </w:t>
            </w:r>
            <w:r w:rsidR="00A51A7D" w:rsidRPr="009E686F">
              <w:rPr>
                <w:rFonts w:ascii="Times New Roman" w:eastAsia="Aptos" w:hAnsi="Times New Roman" w:cs="Times New Roman"/>
                <w:i/>
                <w:iCs/>
                <w:kern w:val="2"/>
                <w:lang w:val="ro-MD"/>
              </w:rPr>
              <w:t>instituția de credit</w:t>
            </w:r>
            <w:r w:rsidRPr="009E686F">
              <w:rPr>
                <w:rFonts w:ascii="Times New Roman" w:eastAsia="Aptos" w:hAnsi="Times New Roman" w:cs="Times New Roman"/>
                <w:kern w:val="2"/>
                <w:lang w:val="ro-MD"/>
              </w:rPr>
              <w:t xml:space="preserve"> respectivă a prezentat informaţia cu privire la identitatea acţionarilor, direcţi şi indirecţi, inclusiv beneficiari </w:t>
            </w:r>
            <w:r w:rsidR="00190937" w:rsidRPr="009E686F">
              <w:rPr>
                <w:rFonts w:ascii="Times New Roman" w:hAnsi="Times New Roman" w:cs="Times New Roman"/>
                <w:lang w:val="it-CH"/>
              </w:rPr>
              <w:t>reali ai deținerii</w:t>
            </w:r>
            <w:r w:rsidRPr="009E686F">
              <w:rPr>
                <w:rFonts w:ascii="Times New Roman" w:eastAsia="Aptos" w:hAnsi="Times New Roman" w:cs="Times New Roman"/>
                <w:kern w:val="2"/>
                <w:lang w:val="ro-MD"/>
              </w:rPr>
              <w:t xml:space="preserve">, persoane fizice sau juridice, care vor avea deţineri calificate, precum şi cu privire la cuantumul deţinerilor acestora, iar în cazul în care nu există deţineri calificate, </w:t>
            </w:r>
            <w:r w:rsidR="00A51A7D" w:rsidRPr="009E686F">
              <w:rPr>
                <w:rFonts w:ascii="Times New Roman" w:eastAsia="Aptos" w:hAnsi="Times New Roman" w:cs="Times New Roman"/>
                <w:i/>
                <w:iCs/>
                <w:kern w:val="2"/>
                <w:lang w:val="ro-MD"/>
              </w:rPr>
              <w:t>instituția de credit</w:t>
            </w:r>
            <w:r w:rsidRPr="009E686F">
              <w:rPr>
                <w:rFonts w:ascii="Times New Roman" w:eastAsia="Aptos" w:hAnsi="Times New Roman" w:cs="Times New Roman"/>
                <w:kern w:val="2"/>
                <w:lang w:val="ro-MD"/>
              </w:rPr>
              <w:t xml:space="preserve"> solicitantă prezintă o informaţie cu privire la identitatea celor mai mari 20 de acţionari, direcţi şi indirecţi, inclusiv beneficiari </w:t>
            </w:r>
            <w:r w:rsidR="00190937" w:rsidRPr="009E686F">
              <w:rPr>
                <w:rFonts w:ascii="Times New Roman" w:hAnsi="Times New Roman" w:cs="Times New Roman"/>
                <w:lang w:val="it-CH"/>
              </w:rPr>
              <w:t>reali ai deținerii</w:t>
            </w:r>
            <w:r w:rsidRPr="009E686F">
              <w:rPr>
                <w:rFonts w:ascii="Times New Roman" w:eastAsia="Aptos" w:hAnsi="Times New Roman" w:cs="Times New Roman"/>
                <w:kern w:val="2"/>
                <w:lang w:val="ro-MD"/>
              </w:rPr>
              <w:t>, persoane fizice sau juridice.</w:t>
            </w:r>
          </w:p>
          <w:p w14:paraId="19E9C56B" w14:textId="77777777" w:rsidR="00897BC6" w:rsidRPr="009E686F" w:rsidRDefault="00897BC6" w:rsidP="00897BC6">
            <w:pPr>
              <w:spacing w:after="0"/>
              <w:jc w:val="both"/>
              <w:rPr>
                <w:rFonts w:ascii="Times New Roman" w:hAnsi="Times New Roman" w:cs="Times New Roman"/>
                <w:b/>
                <w:lang w:val="ro-MD"/>
              </w:rPr>
            </w:pPr>
            <w:r w:rsidRPr="009E686F">
              <w:rPr>
                <w:rFonts w:ascii="Times New Roman" w:hAnsi="Times New Roman" w:cs="Times New Roman"/>
                <w:b/>
                <w:lang w:val="ro-MD"/>
              </w:rPr>
              <w:t>Art. 19 alin. (1) lit. e)</w:t>
            </w:r>
          </w:p>
          <w:p w14:paraId="3ECE5285" w14:textId="3B251D82" w:rsidR="00897BC6" w:rsidRPr="009E686F" w:rsidRDefault="00897BC6" w:rsidP="00897BC6">
            <w:pPr>
              <w:spacing w:after="0"/>
              <w:jc w:val="both"/>
              <w:rPr>
                <w:rFonts w:ascii="Times New Roman" w:hAnsi="Times New Roman" w:cs="Times New Roman"/>
                <w:lang w:val="ro-MD"/>
              </w:rPr>
            </w:pPr>
            <w:r w:rsidRPr="009E686F">
              <w:rPr>
                <w:rFonts w:ascii="Times New Roman" w:hAnsi="Times New Roman" w:cs="Times New Roman"/>
                <w:lang w:val="ro-MD"/>
              </w:rPr>
              <w:t xml:space="preserve">(1) Banca Naţională a Moldovei respinge o cerere de </w:t>
            </w:r>
            <w:r w:rsidRPr="009E686F">
              <w:rPr>
                <w:rFonts w:ascii="Times New Roman" w:hAnsi="Times New Roman" w:cs="Times New Roman"/>
                <w:i/>
                <w:lang w:val="ro-MD"/>
              </w:rPr>
              <w:t>autorizare</w:t>
            </w:r>
            <w:r w:rsidRPr="009E686F">
              <w:rPr>
                <w:rFonts w:ascii="Times New Roman" w:hAnsi="Times New Roman" w:cs="Times New Roman"/>
                <w:lang w:val="ro-MD"/>
              </w:rPr>
              <w:t xml:space="preserve"> dacă: [...]</w:t>
            </w:r>
          </w:p>
          <w:p w14:paraId="49D0DFF6" w14:textId="77777777" w:rsidR="00897BC6" w:rsidRPr="009E686F" w:rsidRDefault="00897BC6" w:rsidP="00ED2C1C">
            <w:pPr>
              <w:spacing w:after="0"/>
              <w:jc w:val="both"/>
              <w:rPr>
                <w:rFonts w:ascii="Times New Roman" w:hAnsi="Times New Roman" w:cs="Times New Roman"/>
                <w:lang w:val="ro-MD"/>
              </w:rPr>
            </w:pPr>
          </w:p>
          <w:p w14:paraId="233FD92C" w14:textId="76F363C8" w:rsidR="00897BC6" w:rsidRPr="009E686F" w:rsidRDefault="00897BC6" w:rsidP="00ED2C1C">
            <w:pPr>
              <w:spacing w:after="0"/>
              <w:jc w:val="both"/>
              <w:rPr>
                <w:rFonts w:ascii="Times New Roman" w:eastAsia="Aptos" w:hAnsi="Times New Roman" w:cs="Times New Roman"/>
                <w:kern w:val="2"/>
                <w:lang w:val="ro-MD"/>
              </w:rPr>
            </w:pPr>
            <w:r w:rsidRPr="009E686F">
              <w:rPr>
                <w:rFonts w:ascii="Times New Roman" w:hAnsi="Times New Roman" w:cs="Times New Roman"/>
                <w:lang w:val="ro-MD"/>
              </w:rPr>
              <w:lastRenderedPageBreak/>
              <w:t xml:space="preserve">e) Banca Naţională a Moldovei nu este satisfăcută de calitatea acţionarilor direcţi sau indirecţi, inclusiv a beneficiarului </w:t>
            </w:r>
            <w:r w:rsidR="00190937" w:rsidRPr="009E686F">
              <w:rPr>
                <w:rFonts w:ascii="Times New Roman" w:hAnsi="Times New Roman" w:cs="Times New Roman"/>
                <w:lang w:val="ro-MD"/>
              </w:rPr>
              <w:t>real al deținerii</w:t>
            </w:r>
            <w:r w:rsidRPr="009E686F">
              <w:rPr>
                <w:rFonts w:ascii="Times New Roman" w:hAnsi="Times New Roman" w:cs="Times New Roman"/>
                <w:lang w:val="ro-MD"/>
              </w:rPr>
              <w:t>, întrucît aceştia nu corespund cerinţelor prevăzute de prezenta lege şi actele normative emise în aplicarea acesteia;</w:t>
            </w:r>
          </w:p>
        </w:tc>
        <w:tc>
          <w:tcPr>
            <w:tcW w:w="470" w:type="pct"/>
            <w:tcBorders>
              <w:top w:val="single" w:sz="4" w:space="0" w:color="auto"/>
              <w:left w:val="single" w:sz="4" w:space="0" w:color="auto"/>
              <w:bottom w:val="single" w:sz="4" w:space="0" w:color="auto"/>
              <w:right w:val="single" w:sz="4" w:space="0" w:color="auto"/>
            </w:tcBorders>
          </w:tcPr>
          <w:p w14:paraId="683CE7FE" w14:textId="3C4F9054" w:rsidR="00AB6122" w:rsidRPr="009E686F" w:rsidRDefault="00AB6122" w:rsidP="00AB6122">
            <w:pPr>
              <w:jc w:val="both"/>
              <w:rPr>
                <w:rFonts w:ascii="Times New Roman" w:hAnsi="Times New Roman" w:cs="Times New Roman"/>
              </w:rPr>
            </w:pPr>
            <w:r w:rsidRPr="009E686F">
              <w:rPr>
                <w:rFonts w:ascii="Times New Roman" w:hAnsi="Times New Roman" w:cs="Times New Roman"/>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637B26E7" w14:textId="2714E90A" w:rsidR="00AB6122" w:rsidRPr="009E686F" w:rsidRDefault="00AB6122" w:rsidP="00515783">
            <w:pPr>
              <w:spacing w:after="0"/>
              <w:jc w:val="both"/>
              <w:rPr>
                <w:rFonts w:ascii="Times New Roman" w:hAnsi="Times New Roman" w:cs="Times New Roman"/>
              </w:rPr>
            </w:pPr>
          </w:p>
        </w:tc>
      </w:tr>
      <w:tr w:rsidR="00B30AFC" w:rsidRPr="009E686F" w14:paraId="2418F140" w14:textId="22BA40D2" w:rsidTr="00960C23">
        <w:tc>
          <w:tcPr>
            <w:tcW w:w="1890" w:type="pct"/>
            <w:tcBorders>
              <w:top w:val="single" w:sz="4" w:space="0" w:color="auto"/>
              <w:left w:val="single" w:sz="4" w:space="0" w:color="auto"/>
              <w:bottom w:val="single" w:sz="4" w:space="0" w:color="auto"/>
              <w:right w:val="single" w:sz="4" w:space="0" w:color="auto"/>
            </w:tcBorders>
          </w:tcPr>
          <w:p w14:paraId="75B1A2C4" w14:textId="77777777" w:rsidR="00AB6122" w:rsidRPr="009E686F" w:rsidRDefault="00AB6122" w:rsidP="00ED2C1C">
            <w:pPr>
              <w:spacing w:after="0"/>
              <w:jc w:val="both"/>
              <w:rPr>
                <w:rFonts w:ascii="Times New Roman" w:hAnsi="Times New Roman" w:cs="Times New Roman"/>
                <w:lang w:val="it-CH"/>
              </w:rPr>
            </w:pPr>
            <w:r w:rsidRPr="009E686F">
              <w:rPr>
                <w:rFonts w:ascii="Times New Roman" w:hAnsi="Times New Roman" w:cs="Times New Roman"/>
                <w:lang w:val="it-CH"/>
              </w:rPr>
              <w:t>Pentru a se stabili dacă au fost respectate criteriile privind participația calificată, se ține seama de drepturile de vot menționate la articolele 9 și 10 din Directiva 2004/109/CE a Parlamentului European și a Consiliului din 15 decembrie 2004 privind armonizarea obligațiilor de transparență în ceea ce privește informația referitoare la emitenții ale căror valori mobiliare sunt admise la tranzacționare pe o piață reglementată și de modificare a Directivei 2001/34/CE, precum și de condițiile de cumulare stabilite la articolul 12 alineatele (4) și (5) din directiva menționată.</w:t>
            </w:r>
          </w:p>
        </w:tc>
        <w:tc>
          <w:tcPr>
            <w:tcW w:w="1834" w:type="pct"/>
            <w:tcBorders>
              <w:top w:val="single" w:sz="4" w:space="0" w:color="auto"/>
              <w:left w:val="single" w:sz="4" w:space="0" w:color="auto"/>
              <w:bottom w:val="single" w:sz="4" w:space="0" w:color="auto"/>
              <w:right w:val="single" w:sz="4" w:space="0" w:color="auto"/>
            </w:tcBorders>
          </w:tcPr>
          <w:p w14:paraId="00AF49BA" w14:textId="7B76E088" w:rsidR="00AB6122" w:rsidRPr="009E686F" w:rsidRDefault="00AB6122" w:rsidP="00ED2C1C">
            <w:pPr>
              <w:spacing w:after="0"/>
              <w:jc w:val="both"/>
              <w:rPr>
                <w:rFonts w:ascii="Times New Roman" w:hAnsi="Times New Roman" w:cs="Times New Roman"/>
                <w:b/>
                <w:lang w:val="it-CH"/>
              </w:rPr>
            </w:pPr>
            <w:r w:rsidRPr="009E686F">
              <w:rPr>
                <w:rFonts w:ascii="Times New Roman" w:hAnsi="Times New Roman" w:cs="Times New Roman"/>
                <w:b/>
                <w:lang w:val="it-CH"/>
              </w:rPr>
              <w:t>Articolul 12 alin. (3)</w:t>
            </w:r>
          </w:p>
          <w:p w14:paraId="4C0A8FD1" w14:textId="4ED5F1EF" w:rsidR="00AB6122" w:rsidRPr="009E686F" w:rsidRDefault="00AB6122" w:rsidP="00ED2C1C">
            <w:pPr>
              <w:spacing w:after="0"/>
              <w:jc w:val="both"/>
              <w:rPr>
                <w:rFonts w:ascii="Times New Roman" w:hAnsi="Times New Roman" w:cs="Times New Roman"/>
                <w:lang w:val="it-CH"/>
              </w:rPr>
            </w:pPr>
            <w:r w:rsidRPr="009E686F">
              <w:rPr>
                <w:rFonts w:ascii="Times New Roman" w:hAnsi="Times New Roman" w:cs="Times New Roman"/>
                <w:lang w:val="it-CH"/>
              </w:rPr>
              <w:t>(3) În aplicarea prevederilor alin. (1) modalitatea de determinare a drepturilor de vot se stabileşte conform prevederilor art. 45 alin. (7).</w:t>
            </w:r>
          </w:p>
          <w:p w14:paraId="2B7FA10E" w14:textId="51E7E156" w:rsidR="00AB6122" w:rsidRPr="009E686F" w:rsidRDefault="00AB6122" w:rsidP="00ED2C1C">
            <w:pPr>
              <w:spacing w:after="0"/>
              <w:jc w:val="both"/>
              <w:rPr>
                <w:rFonts w:ascii="Times New Roman" w:hAnsi="Times New Roman" w:cs="Times New Roman"/>
                <w:lang w:val="ro-RO"/>
              </w:rPr>
            </w:pPr>
            <w:r w:rsidRPr="009E686F">
              <w:rPr>
                <w:rFonts w:ascii="Times New Roman" w:hAnsi="Times New Roman" w:cs="Times New Roman"/>
                <w:lang w:val="ro-RO"/>
              </w:rPr>
              <w:t xml:space="preserve">(7) În aplicarea prevederilor prezentului capitol, modalitatea de determinare a drepturilor de vot se stabilește prin actele normative ale Băncii Naţionale a Moldovei, în prealabil coordonate cu Comisia Națională a Pieței Financiare. </w:t>
            </w:r>
          </w:p>
        </w:tc>
        <w:tc>
          <w:tcPr>
            <w:tcW w:w="470" w:type="pct"/>
            <w:tcBorders>
              <w:top w:val="single" w:sz="4" w:space="0" w:color="auto"/>
              <w:left w:val="single" w:sz="4" w:space="0" w:color="auto"/>
              <w:bottom w:val="single" w:sz="4" w:space="0" w:color="auto"/>
              <w:right w:val="single" w:sz="4" w:space="0" w:color="auto"/>
            </w:tcBorders>
          </w:tcPr>
          <w:p w14:paraId="0B4C256F" w14:textId="77777777" w:rsidR="00AB6122" w:rsidRPr="009E686F" w:rsidRDefault="00AB6122" w:rsidP="00AB6122">
            <w:pPr>
              <w:jc w:val="both"/>
              <w:rPr>
                <w:rFonts w:ascii="Times New Roman" w:hAnsi="Times New Roman" w:cs="Times New Roman"/>
              </w:rPr>
            </w:pPr>
            <w:r w:rsidRPr="009E686F">
              <w:rPr>
                <w:rFonts w:ascii="Times New Roman" w:hAnsi="Times New Roman" w:cs="Times New Roman"/>
              </w:rPr>
              <w:t>Compatibil</w:t>
            </w:r>
          </w:p>
          <w:p w14:paraId="345A97AE" w14:textId="1C859B8B" w:rsidR="00AB6122" w:rsidRPr="009E686F" w:rsidRDefault="00AB6122" w:rsidP="00AB6122">
            <w:pPr>
              <w:jc w:val="both"/>
              <w:rPr>
                <w:rFonts w:ascii="Times New Roman" w:hAnsi="Times New Roman" w:cs="Times New Roman"/>
              </w:rPr>
            </w:pPr>
          </w:p>
        </w:tc>
        <w:tc>
          <w:tcPr>
            <w:tcW w:w="806" w:type="pct"/>
            <w:tcBorders>
              <w:top w:val="single" w:sz="4" w:space="0" w:color="auto"/>
              <w:left w:val="single" w:sz="4" w:space="0" w:color="auto"/>
              <w:bottom w:val="single" w:sz="4" w:space="0" w:color="auto"/>
              <w:right w:val="single" w:sz="4" w:space="0" w:color="auto"/>
            </w:tcBorders>
          </w:tcPr>
          <w:p w14:paraId="5A525879" w14:textId="039CE06E" w:rsidR="00AB6122" w:rsidRPr="009E686F" w:rsidRDefault="00AB6122" w:rsidP="00515783">
            <w:pPr>
              <w:spacing w:after="0"/>
              <w:jc w:val="both"/>
              <w:rPr>
                <w:rFonts w:ascii="Times New Roman" w:hAnsi="Times New Roman" w:cs="Times New Roman"/>
              </w:rPr>
            </w:pPr>
          </w:p>
        </w:tc>
      </w:tr>
      <w:tr w:rsidR="00B30AFC" w:rsidRPr="009E686F" w14:paraId="23C40120" w14:textId="0E928A30" w:rsidTr="00960C23">
        <w:tc>
          <w:tcPr>
            <w:tcW w:w="1890" w:type="pct"/>
            <w:tcBorders>
              <w:top w:val="single" w:sz="4" w:space="0" w:color="auto"/>
              <w:left w:val="single" w:sz="4" w:space="0" w:color="auto"/>
              <w:bottom w:val="single" w:sz="4" w:space="0" w:color="auto"/>
              <w:right w:val="single" w:sz="4" w:space="0" w:color="auto"/>
            </w:tcBorders>
          </w:tcPr>
          <w:p w14:paraId="1A22B7C5" w14:textId="77777777" w:rsidR="00AB6122" w:rsidRPr="009E686F" w:rsidRDefault="00AB6122" w:rsidP="00ED2C1C">
            <w:pPr>
              <w:spacing w:after="0"/>
              <w:jc w:val="both"/>
              <w:rPr>
                <w:rFonts w:ascii="Times New Roman" w:hAnsi="Times New Roman" w:cs="Times New Roman"/>
                <w:lang w:val="it-CH"/>
              </w:rPr>
            </w:pPr>
            <w:r w:rsidRPr="009E686F">
              <w:rPr>
                <w:rFonts w:ascii="Times New Roman" w:hAnsi="Times New Roman" w:cs="Times New Roman"/>
                <w:lang w:val="it-CH"/>
              </w:rPr>
              <w:t>Statele membre nu iau în considerare drepturile de vot sau acțiunile pe care le pot deține instituțiile ca urmare a subscrierii de instrumente financiare sau a plasării de instrumente financiare în baza unui angajament ferm, prevăzute în secțiunea A punctul 6 din anexa I la Directiva 2004/39/CE, cu condiția ca drepturile respective să nu fie exercitate sau utilizate în vreun alt mod pentru a interveni în administrarea activității emitentului și să fie cedate în termen de un an de la data achiziției.</w:t>
            </w:r>
          </w:p>
        </w:tc>
        <w:tc>
          <w:tcPr>
            <w:tcW w:w="1834" w:type="pct"/>
            <w:tcBorders>
              <w:top w:val="single" w:sz="4" w:space="0" w:color="auto"/>
              <w:left w:val="single" w:sz="4" w:space="0" w:color="auto"/>
              <w:bottom w:val="single" w:sz="4" w:space="0" w:color="auto"/>
              <w:right w:val="single" w:sz="4" w:space="0" w:color="auto"/>
            </w:tcBorders>
          </w:tcPr>
          <w:p w14:paraId="69912925" w14:textId="77777777" w:rsidR="00E21DC6" w:rsidRPr="009E686F" w:rsidRDefault="00E21DC6" w:rsidP="00ED2C1C">
            <w:pPr>
              <w:spacing w:after="0"/>
              <w:jc w:val="both"/>
              <w:rPr>
                <w:rFonts w:ascii="Times New Roman" w:hAnsi="Times New Roman" w:cs="Times New Roman"/>
                <w:i/>
                <w:lang w:val="it-CH"/>
              </w:rPr>
            </w:pPr>
            <w:r w:rsidRPr="009E686F">
              <w:rPr>
                <w:rFonts w:ascii="Times New Roman" w:hAnsi="Times New Roman" w:cs="Times New Roman"/>
                <w:i/>
                <w:lang w:val="it-CH"/>
              </w:rPr>
              <w:t>Pct. 11 din Regulamentul cu privire la calculul drepturilor de vot și înregistrarea transferului dreptului de proprietate asupra acțiunilor băncilor, aprobat prin HCE a BNM nr.130/2013</w:t>
            </w:r>
          </w:p>
          <w:p w14:paraId="6CD8FFEF" w14:textId="1297EDF9" w:rsidR="00AB6122" w:rsidRPr="009E686F" w:rsidRDefault="00AB6122" w:rsidP="00ED2C1C">
            <w:pPr>
              <w:spacing w:after="0"/>
              <w:jc w:val="both"/>
              <w:rPr>
                <w:rFonts w:ascii="Times New Roman" w:hAnsi="Times New Roman" w:cs="Times New Roman"/>
                <w:lang w:val="it-CH"/>
              </w:rPr>
            </w:pPr>
            <w:r w:rsidRPr="009E686F">
              <w:rPr>
                <w:rFonts w:ascii="Times New Roman" w:hAnsi="Times New Roman" w:cs="Times New Roman"/>
                <w:b/>
                <w:lang w:val="it-CH"/>
              </w:rPr>
              <w:t>11.</w:t>
            </w:r>
            <w:r w:rsidRPr="009E686F">
              <w:rPr>
                <w:rFonts w:ascii="Times New Roman" w:hAnsi="Times New Roman" w:cs="Times New Roman"/>
                <w:lang w:val="it-CH"/>
              </w:rPr>
              <w:t xml:space="preserve"> La determinarea unei deţineri calificate nu se ţine seama de drepturile de vot sau de acţiunile pe care societăţile de investiţii le pot deţine ca urmare a subscrierii de instrumente financiare şi/sau a plasării instrumentelor financiare în baza unui angajament ferm, asumat în desfăşurarea activităţii, cu condiţia ca, pe de o parte, drepturile de vot sau acţiunile respective să nu fie exercitate sau utilizate pentru a interveni în administrarea activităţii băncii şi, pe de altă parte, drepturile de vot sau acţiunile respective să fie înstrăinate în termen de un an de la data achiziţionării deţinerii calificate.</w:t>
            </w:r>
          </w:p>
        </w:tc>
        <w:tc>
          <w:tcPr>
            <w:tcW w:w="470" w:type="pct"/>
            <w:tcBorders>
              <w:top w:val="single" w:sz="4" w:space="0" w:color="auto"/>
              <w:left w:val="single" w:sz="4" w:space="0" w:color="auto"/>
              <w:bottom w:val="single" w:sz="4" w:space="0" w:color="auto"/>
              <w:right w:val="single" w:sz="4" w:space="0" w:color="auto"/>
            </w:tcBorders>
          </w:tcPr>
          <w:p w14:paraId="57FFC271" w14:textId="77777777" w:rsidR="00AB6122" w:rsidRPr="009E686F" w:rsidRDefault="00AB6122" w:rsidP="00AB6122">
            <w:pPr>
              <w:jc w:val="both"/>
              <w:rPr>
                <w:rFonts w:ascii="Times New Roman" w:hAnsi="Times New Roman" w:cs="Times New Roman"/>
              </w:rPr>
            </w:pPr>
            <w:r w:rsidRPr="009E686F">
              <w:rPr>
                <w:rFonts w:ascii="Times New Roman" w:hAnsi="Times New Roman" w:cs="Times New Roman"/>
              </w:rPr>
              <w:t>Compatibil</w:t>
            </w:r>
          </w:p>
          <w:p w14:paraId="63A65BC8" w14:textId="4DF6712E" w:rsidR="00AB6122" w:rsidRPr="009E686F" w:rsidRDefault="00AB6122" w:rsidP="00AB6122">
            <w:pPr>
              <w:jc w:val="both"/>
              <w:rPr>
                <w:rFonts w:ascii="Times New Roman" w:hAnsi="Times New Roman" w:cs="Times New Roman"/>
              </w:rPr>
            </w:pPr>
          </w:p>
        </w:tc>
        <w:tc>
          <w:tcPr>
            <w:tcW w:w="806" w:type="pct"/>
            <w:tcBorders>
              <w:top w:val="single" w:sz="4" w:space="0" w:color="auto"/>
              <w:left w:val="single" w:sz="4" w:space="0" w:color="auto"/>
              <w:bottom w:val="single" w:sz="4" w:space="0" w:color="auto"/>
              <w:right w:val="single" w:sz="4" w:space="0" w:color="auto"/>
            </w:tcBorders>
          </w:tcPr>
          <w:p w14:paraId="5BDF621E" w14:textId="5E99177B" w:rsidR="00AB6122" w:rsidRPr="009E686F" w:rsidRDefault="00AB6122" w:rsidP="00515783">
            <w:pPr>
              <w:spacing w:after="0"/>
              <w:jc w:val="both"/>
              <w:rPr>
                <w:rFonts w:ascii="Times New Roman" w:hAnsi="Times New Roman" w:cs="Times New Roman"/>
              </w:rPr>
            </w:pPr>
          </w:p>
        </w:tc>
      </w:tr>
      <w:tr w:rsidR="00B30AFC" w:rsidRPr="009E686F" w14:paraId="66F06A5B" w14:textId="7DB33F59" w:rsidTr="00960C23">
        <w:tc>
          <w:tcPr>
            <w:tcW w:w="1890" w:type="pct"/>
            <w:tcBorders>
              <w:top w:val="single" w:sz="4" w:space="0" w:color="auto"/>
              <w:left w:val="single" w:sz="4" w:space="0" w:color="auto"/>
              <w:bottom w:val="single" w:sz="4" w:space="0" w:color="auto"/>
              <w:right w:val="single" w:sz="4" w:space="0" w:color="auto"/>
            </w:tcBorders>
          </w:tcPr>
          <w:p w14:paraId="15B61747" w14:textId="6635A4F6" w:rsidR="00AB6122" w:rsidRPr="009E686F" w:rsidRDefault="00AB6122" w:rsidP="00ED2C1C">
            <w:pPr>
              <w:spacing w:after="0"/>
              <w:jc w:val="both"/>
              <w:rPr>
                <w:rFonts w:ascii="Times New Roman" w:hAnsi="Times New Roman" w:cs="Times New Roman"/>
                <w:lang w:val="it-CH"/>
              </w:rPr>
            </w:pPr>
            <w:r w:rsidRPr="009E686F">
              <w:rPr>
                <w:rFonts w:ascii="Times New Roman" w:hAnsi="Times New Roman" w:cs="Times New Roman"/>
                <w:lang w:val="it-CH"/>
              </w:rPr>
              <w:t xml:space="preserve">(2) Autoritățile competente refuză unei </w:t>
            </w:r>
            <w:r w:rsidR="00A51A7D" w:rsidRPr="009E686F">
              <w:rPr>
                <w:rFonts w:ascii="Times New Roman" w:hAnsi="Times New Roman" w:cs="Times New Roman"/>
                <w:lang w:val="it-CH"/>
              </w:rPr>
              <w:t>instituții de credit</w:t>
            </w:r>
            <w:r w:rsidRPr="009E686F">
              <w:rPr>
                <w:rFonts w:ascii="Times New Roman" w:hAnsi="Times New Roman" w:cs="Times New Roman"/>
                <w:lang w:val="it-CH"/>
              </w:rPr>
              <w:t xml:space="preserve"> autorizația de începere a activității dacă, luând în considerare necesitatea de a asigura administrarea corectă și prudentă a </w:t>
            </w:r>
            <w:r w:rsidRPr="009E686F">
              <w:rPr>
                <w:rFonts w:ascii="Times New Roman" w:hAnsi="Times New Roman" w:cs="Times New Roman"/>
                <w:lang w:val="it-CH"/>
              </w:rPr>
              <w:lastRenderedPageBreak/>
              <w:t xml:space="preserve">unei </w:t>
            </w:r>
            <w:r w:rsidR="00A51A7D" w:rsidRPr="009E686F">
              <w:rPr>
                <w:rFonts w:ascii="Times New Roman" w:hAnsi="Times New Roman" w:cs="Times New Roman"/>
                <w:lang w:val="it-CH"/>
              </w:rPr>
              <w:t>instituții de credit</w:t>
            </w:r>
            <w:r w:rsidRPr="009E686F">
              <w:rPr>
                <w:rFonts w:ascii="Times New Roman" w:hAnsi="Times New Roman" w:cs="Times New Roman"/>
                <w:lang w:val="it-CH"/>
              </w:rPr>
              <w:t>, nu sunt satisfăcute de caracterul adecvat al acționarilor sau al asociaților în conformitate cu criteriile prevăzute la articolul 23 alineatul (1). Se aplică articolul 23 alineatele (2) și (3) și articolul 24.</w:t>
            </w:r>
          </w:p>
        </w:tc>
        <w:tc>
          <w:tcPr>
            <w:tcW w:w="1834" w:type="pct"/>
            <w:tcBorders>
              <w:top w:val="single" w:sz="4" w:space="0" w:color="auto"/>
              <w:left w:val="single" w:sz="4" w:space="0" w:color="auto"/>
              <w:bottom w:val="single" w:sz="4" w:space="0" w:color="auto"/>
              <w:right w:val="single" w:sz="4" w:space="0" w:color="auto"/>
            </w:tcBorders>
          </w:tcPr>
          <w:p w14:paraId="6D4D5E4F" w14:textId="6FC4E236" w:rsidR="00AB6122" w:rsidRPr="009E686F" w:rsidRDefault="00AB6122" w:rsidP="00ED2C1C">
            <w:pPr>
              <w:spacing w:after="0"/>
              <w:jc w:val="both"/>
              <w:rPr>
                <w:rFonts w:ascii="Times New Roman" w:hAnsi="Times New Roman" w:cs="Times New Roman"/>
                <w:lang w:val="it-CH"/>
              </w:rPr>
            </w:pPr>
            <w:r w:rsidRPr="009E686F">
              <w:rPr>
                <w:rFonts w:ascii="Times New Roman" w:hAnsi="Times New Roman" w:cs="Times New Roman"/>
                <w:lang w:val="it-CH"/>
              </w:rPr>
              <w:lastRenderedPageBreak/>
              <w:t xml:space="preserve">(2) Banca Națională a Moldovei poate acorda autorizație  numai dacă este pe deplin convinsă că, din perspectiva necesității asigurării unui management prudent şi sănătos al </w:t>
            </w:r>
            <w:r w:rsidR="00A51A7D" w:rsidRPr="009E686F">
              <w:rPr>
                <w:rFonts w:ascii="Times New Roman" w:hAnsi="Times New Roman" w:cs="Times New Roman"/>
                <w:i/>
                <w:iCs/>
                <w:lang w:val="it-CH"/>
              </w:rPr>
              <w:lastRenderedPageBreak/>
              <w:t>instituției de credit</w:t>
            </w:r>
            <w:r w:rsidRPr="009E686F">
              <w:rPr>
                <w:rFonts w:ascii="Times New Roman" w:hAnsi="Times New Roman" w:cs="Times New Roman"/>
                <w:lang w:val="it-CH"/>
              </w:rPr>
              <w:t>, calitatea persoanelor prevăzute la alin. (1) este în corespundere cu prevederile art.48 alin.(1).</w:t>
            </w:r>
          </w:p>
          <w:p w14:paraId="10B90CD9" w14:textId="5A6CB002" w:rsidR="00AB6122" w:rsidRPr="009E686F" w:rsidRDefault="00AB6122" w:rsidP="00ED2C1C">
            <w:pPr>
              <w:spacing w:after="0"/>
              <w:jc w:val="both"/>
              <w:rPr>
                <w:rFonts w:ascii="Times New Roman" w:hAnsi="Times New Roman" w:cs="Times New Roman"/>
                <w:lang w:val="it-CH"/>
              </w:rPr>
            </w:pPr>
            <w:r w:rsidRPr="009E686F">
              <w:rPr>
                <w:rFonts w:ascii="Times New Roman" w:hAnsi="Times New Roman" w:cs="Times New Roman"/>
                <w:lang w:val="it-CH"/>
              </w:rPr>
              <w:t>(3) În aplicarea prevederilor alin.(1), modalitatea de determinare a drepturilor de vot se stabileşte conform prevederilor art.45 alin.(7).</w:t>
            </w:r>
          </w:p>
        </w:tc>
        <w:tc>
          <w:tcPr>
            <w:tcW w:w="470" w:type="pct"/>
            <w:tcBorders>
              <w:top w:val="single" w:sz="4" w:space="0" w:color="auto"/>
              <w:left w:val="single" w:sz="4" w:space="0" w:color="auto"/>
              <w:bottom w:val="single" w:sz="4" w:space="0" w:color="auto"/>
              <w:right w:val="single" w:sz="4" w:space="0" w:color="auto"/>
            </w:tcBorders>
          </w:tcPr>
          <w:p w14:paraId="4D1603B9" w14:textId="0876C667" w:rsidR="00AB6122" w:rsidRPr="009E686F" w:rsidRDefault="00AB6122" w:rsidP="00AB6122">
            <w:pPr>
              <w:jc w:val="both"/>
              <w:rPr>
                <w:rFonts w:ascii="Times New Roman" w:hAnsi="Times New Roman" w:cs="Times New Roman"/>
              </w:rPr>
            </w:pPr>
            <w:r w:rsidRPr="009E686F">
              <w:rPr>
                <w:rFonts w:ascii="Times New Roman" w:hAnsi="Times New Roman" w:cs="Times New Roman"/>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262EA804" w14:textId="001BFF19" w:rsidR="00AB6122" w:rsidRPr="009E686F" w:rsidRDefault="00AB6122" w:rsidP="00515783">
            <w:pPr>
              <w:spacing w:after="0"/>
              <w:jc w:val="both"/>
              <w:rPr>
                <w:rFonts w:ascii="Times New Roman" w:hAnsi="Times New Roman" w:cs="Times New Roman"/>
              </w:rPr>
            </w:pPr>
          </w:p>
        </w:tc>
      </w:tr>
      <w:tr w:rsidR="00B30AFC" w:rsidRPr="009E686F" w14:paraId="54A630D4" w14:textId="6260296A" w:rsidTr="00960C23">
        <w:tc>
          <w:tcPr>
            <w:tcW w:w="1890" w:type="pct"/>
            <w:tcBorders>
              <w:top w:val="single" w:sz="4" w:space="0" w:color="auto"/>
              <w:left w:val="single" w:sz="4" w:space="0" w:color="auto"/>
              <w:bottom w:val="single" w:sz="4" w:space="0" w:color="auto"/>
              <w:right w:val="single" w:sz="4" w:space="0" w:color="auto"/>
            </w:tcBorders>
          </w:tcPr>
          <w:p w14:paraId="72A46E3D" w14:textId="64A36623" w:rsidR="00AB6122" w:rsidRPr="009E686F" w:rsidRDefault="00AB6122" w:rsidP="00ED2C1C">
            <w:pPr>
              <w:spacing w:after="0"/>
              <w:jc w:val="both"/>
              <w:rPr>
                <w:rFonts w:ascii="Times New Roman" w:hAnsi="Times New Roman" w:cs="Times New Roman"/>
              </w:rPr>
            </w:pPr>
            <w:r w:rsidRPr="009E686F">
              <w:rPr>
                <w:rFonts w:ascii="Times New Roman" w:hAnsi="Times New Roman" w:cs="Times New Roman"/>
              </w:rPr>
              <w:t xml:space="preserve">(3) În cazul în care există legături strânse între </w:t>
            </w:r>
            <w:r w:rsidR="00A51A7D" w:rsidRPr="009E686F">
              <w:rPr>
                <w:rFonts w:ascii="Times New Roman" w:hAnsi="Times New Roman" w:cs="Times New Roman"/>
              </w:rPr>
              <w:t>instituțiile de credit</w:t>
            </w:r>
            <w:r w:rsidRPr="009E686F">
              <w:rPr>
                <w:rFonts w:ascii="Times New Roman" w:hAnsi="Times New Roman" w:cs="Times New Roman"/>
              </w:rPr>
              <w:t xml:space="preserve"> și orice alte persoane fizice sau juridice, autoritățile competente acordă autorizația numai în cazul în care legăturile respective nu împiedică exercitarea efectivă a funcțiilor lor de supraveghere.</w:t>
            </w:r>
          </w:p>
        </w:tc>
        <w:tc>
          <w:tcPr>
            <w:tcW w:w="1834" w:type="pct"/>
            <w:tcBorders>
              <w:top w:val="single" w:sz="4" w:space="0" w:color="auto"/>
              <w:left w:val="single" w:sz="4" w:space="0" w:color="auto"/>
              <w:bottom w:val="single" w:sz="4" w:space="0" w:color="auto"/>
              <w:right w:val="single" w:sz="4" w:space="0" w:color="auto"/>
            </w:tcBorders>
          </w:tcPr>
          <w:p w14:paraId="4C244CDD" w14:textId="77777777" w:rsidR="00AB6122" w:rsidRPr="009E686F" w:rsidRDefault="00AB6122" w:rsidP="00ED2C1C">
            <w:pPr>
              <w:spacing w:after="0"/>
              <w:jc w:val="both"/>
              <w:rPr>
                <w:rFonts w:ascii="Times New Roman" w:hAnsi="Times New Roman" w:cs="Times New Roman"/>
              </w:rPr>
            </w:pPr>
            <w:r w:rsidRPr="009E686F">
              <w:rPr>
                <w:rFonts w:ascii="Times New Roman" w:hAnsi="Times New Roman" w:cs="Times New Roman"/>
              </w:rPr>
              <w:t xml:space="preserve">(4) În cazul în care există legături strânse între </w:t>
            </w:r>
            <w:r w:rsidR="00A51A7D" w:rsidRPr="009E686F">
              <w:rPr>
                <w:rFonts w:ascii="Times New Roman" w:hAnsi="Times New Roman" w:cs="Times New Roman"/>
                <w:i/>
                <w:iCs/>
              </w:rPr>
              <w:t>instituția de credit</w:t>
            </w:r>
            <w:r w:rsidRPr="009E686F">
              <w:rPr>
                <w:rFonts w:ascii="Times New Roman" w:hAnsi="Times New Roman" w:cs="Times New Roman"/>
              </w:rPr>
              <w:t xml:space="preserve"> și oricare alte persoane fizice sau juridice, Banca Națională a Moldovei acordă autorizație numai în cazul în care legăturile respective nu împiedică exercitarea funcției sale de supraveghere.</w:t>
            </w:r>
          </w:p>
          <w:p w14:paraId="6957F72C" w14:textId="4A0D89B4" w:rsidR="00560241" w:rsidRPr="009E686F" w:rsidRDefault="00560241" w:rsidP="00560241">
            <w:pPr>
              <w:spacing w:after="0"/>
              <w:jc w:val="both"/>
              <w:rPr>
                <w:rFonts w:ascii="Times New Roman" w:hAnsi="Times New Roman" w:cs="Times New Roman"/>
                <w:b/>
                <w:lang w:val="it-CH"/>
              </w:rPr>
            </w:pPr>
            <w:r w:rsidRPr="009E686F">
              <w:rPr>
                <w:rFonts w:ascii="Times New Roman" w:hAnsi="Times New Roman" w:cs="Times New Roman"/>
                <w:b/>
                <w:lang w:val="it-CH"/>
              </w:rPr>
              <w:t>Art. 19 alin. (1) lit. f)</w:t>
            </w:r>
          </w:p>
          <w:p w14:paraId="6EB246BF" w14:textId="77777777" w:rsidR="00560241" w:rsidRPr="009E686F" w:rsidRDefault="00560241" w:rsidP="00560241">
            <w:pPr>
              <w:spacing w:after="0"/>
              <w:jc w:val="both"/>
              <w:rPr>
                <w:rFonts w:ascii="Times New Roman" w:hAnsi="Times New Roman" w:cs="Times New Roman"/>
                <w:lang w:val="it-CH"/>
              </w:rPr>
            </w:pPr>
            <w:r w:rsidRPr="009E686F">
              <w:rPr>
                <w:rFonts w:ascii="Times New Roman" w:hAnsi="Times New Roman" w:cs="Times New Roman"/>
                <w:lang w:val="it-CH"/>
              </w:rPr>
              <w:t xml:space="preserve">(1) Banca Naţională a Moldovei respinge o cerere de </w:t>
            </w:r>
            <w:r w:rsidRPr="009E686F">
              <w:rPr>
                <w:rFonts w:ascii="Times New Roman" w:hAnsi="Times New Roman" w:cs="Times New Roman"/>
                <w:i/>
                <w:lang w:val="it-CH"/>
              </w:rPr>
              <w:t>autorizare</w:t>
            </w:r>
            <w:r w:rsidRPr="009E686F">
              <w:rPr>
                <w:rFonts w:ascii="Times New Roman" w:hAnsi="Times New Roman" w:cs="Times New Roman"/>
                <w:lang w:val="it-CH"/>
              </w:rPr>
              <w:t xml:space="preserve"> dacă: [...]</w:t>
            </w:r>
          </w:p>
          <w:p w14:paraId="323C1CA9" w14:textId="617A1256" w:rsidR="00560241" w:rsidRPr="009E686F" w:rsidRDefault="00560241" w:rsidP="00ED2C1C">
            <w:pPr>
              <w:spacing w:after="0"/>
              <w:jc w:val="both"/>
              <w:rPr>
                <w:rFonts w:ascii="Times New Roman" w:hAnsi="Times New Roman" w:cs="Times New Roman"/>
                <w:lang w:val="it-CH"/>
              </w:rPr>
            </w:pPr>
            <w:r w:rsidRPr="009E686F">
              <w:rPr>
                <w:rFonts w:ascii="Times New Roman" w:hAnsi="Times New Roman" w:cs="Times New Roman"/>
                <w:lang w:val="it-CH"/>
              </w:rPr>
              <w:t>f) legăturile strînse dintre instituția de credit şi alte persoane fizice sau juridice ori dispoziţiile legale, măsurile de natură administrativă din jurisdicţia unui alt stat membru ce guvernează una sau mai multe persoane fizice sau juridice cu care instituția de credit are legături strînse sau dificultăţi în aplicarea acestor dispoziţii sau măsuri sînt de natură să împiedice exercitarea eficientă a supravegherii prudenţiale;</w:t>
            </w:r>
          </w:p>
        </w:tc>
        <w:tc>
          <w:tcPr>
            <w:tcW w:w="470" w:type="pct"/>
            <w:tcBorders>
              <w:top w:val="single" w:sz="4" w:space="0" w:color="auto"/>
              <w:left w:val="single" w:sz="4" w:space="0" w:color="auto"/>
              <w:bottom w:val="single" w:sz="4" w:space="0" w:color="auto"/>
              <w:right w:val="single" w:sz="4" w:space="0" w:color="auto"/>
            </w:tcBorders>
          </w:tcPr>
          <w:p w14:paraId="0550A990" w14:textId="7E1686F2" w:rsidR="00AB6122" w:rsidRPr="009E686F" w:rsidRDefault="00AB6122" w:rsidP="00AB6122">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47243F88" w14:textId="6099BF67" w:rsidR="00AB6122" w:rsidRPr="009E686F" w:rsidRDefault="00AB6122" w:rsidP="00515783">
            <w:pPr>
              <w:spacing w:after="0"/>
              <w:jc w:val="both"/>
              <w:rPr>
                <w:rFonts w:ascii="Times New Roman" w:hAnsi="Times New Roman" w:cs="Times New Roman"/>
              </w:rPr>
            </w:pPr>
          </w:p>
        </w:tc>
      </w:tr>
      <w:tr w:rsidR="00B30AFC" w:rsidRPr="009E686F" w14:paraId="7C959E80" w14:textId="0E2BA2FF" w:rsidTr="00960C23">
        <w:tc>
          <w:tcPr>
            <w:tcW w:w="1890" w:type="pct"/>
            <w:tcBorders>
              <w:top w:val="single" w:sz="4" w:space="0" w:color="auto"/>
              <w:left w:val="single" w:sz="4" w:space="0" w:color="auto"/>
              <w:bottom w:val="single" w:sz="4" w:space="0" w:color="auto"/>
              <w:right w:val="single" w:sz="4" w:space="0" w:color="auto"/>
            </w:tcBorders>
          </w:tcPr>
          <w:p w14:paraId="58E7BD1E" w14:textId="18488AD6" w:rsidR="00AB6122" w:rsidRPr="009E686F" w:rsidRDefault="00AB6122" w:rsidP="00ED2C1C">
            <w:pPr>
              <w:spacing w:after="0"/>
              <w:jc w:val="both"/>
              <w:rPr>
                <w:rFonts w:ascii="Times New Roman" w:hAnsi="Times New Roman" w:cs="Times New Roman"/>
              </w:rPr>
            </w:pPr>
            <w:r w:rsidRPr="009E686F">
              <w:rPr>
                <w:rFonts w:ascii="Times New Roman" w:hAnsi="Times New Roman" w:cs="Times New Roman"/>
              </w:rPr>
              <w:t xml:space="preserve">Autoritățile competente refuză unei </w:t>
            </w:r>
            <w:r w:rsidR="00A51A7D" w:rsidRPr="009E686F">
              <w:rPr>
                <w:rFonts w:ascii="Times New Roman" w:hAnsi="Times New Roman" w:cs="Times New Roman"/>
              </w:rPr>
              <w:t>instituții de credit</w:t>
            </w:r>
            <w:r w:rsidRPr="009E686F">
              <w:rPr>
                <w:rFonts w:ascii="Times New Roman" w:hAnsi="Times New Roman" w:cs="Times New Roman"/>
              </w:rPr>
              <w:t xml:space="preserve"> autorizația de începere a unei activități în cazul în care actele cu putere de lege sau actele administrative ale unei țări terțe, care reglementează activitatea uneia sau mai multor persoane fizice sau juridice cu care </w:t>
            </w:r>
            <w:r w:rsidR="00A51A7D" w:rsidRPr="009E686F">
              <w:rPr>
                <w:rFonts w:ascii="Times New Roman" w:hAnsi="Times New Roman" w:cs="Times New Roman"/>
              </w:rPr>
              <w:t>instituția de credit</w:t>
            </w:r>
            <w:r w:rsidRPr="009E686F">
              <w:rPr>
                <w:rFonts w:ascii="Times New Roman" w:hAnsi="Times New Roman" w:cs="Times New Roman"/>
              </w:rPr>
              <w:t xml:space="preserve"> respectivă are legături strânse, sau dificultățile prezentate de punerea în aplicare a respectivelor acte împiedică exercitarea efectivă a funcțiilor de supraveghere ale autorităților respective.</w:t>
            </w:r>
          </w:p>
        </w:tc>
        <w:tc>
          <w:tcPr>
            <w:tcW w:w="1834" w:type="pct"/>
            <w:tcBorders>
              <w:top w:val="single" w:sz="4" w:space="0" w:color="auto"/>
              <w:left w:val="single" w:sz="4" w:space="0" w:color="auto"/>
              <w:bottom w:val="single" w:sz="4" w:space="0" w:color="auto"/>
              <w:right w:val="single" w:sz="4" w:space="0" w:color="auto"/>
            </w:tcBorders>
          </w:tcPr>
          <w:p w14:paraId="6A3F0A20" w14:textId="3812925E" w:rsidR="00AB6122" w:rsidRPr="009E686F" w:rsidRDefault="00AB6122" w:rsidP="00ED2C1C">
            <w:pPr>
              <w:spacing w:after="0"/>
              <w:jc w:val="both"/>
              <w:rPr>
                <w:rFonts w:ascii="Times New Roman" w:hAnsi="Times New Roman" w:cs="Times New Roman"/>
              </w:rPr>
            </w:pPr>
            <w:r w:rsidRPr="009E686F">
              <w:rPr>
                <w:rFonts w:ascii="Times New Roman" w:hAnsi="Times New Roman" w:cs="Times New Roman"/>
              </w:rPr>
              <w:t xml:space="preserve">(5) Banca Naţională a Moldovei refuză unei </w:t>
            </w:r>
            <w:r w:rsidR="00A51A7D" w:rsidRPr="009E686F">
              <w:rPr>
                <w:rFonts w:ascii="Times New Roman" w:hAnsi="Times New Roman" w:cs="Times New Roman"/>
                <w:i/>
                <w:iCs/>
              </w:rPr>
              <w:t>instituții de credit</w:t>
            </w:r>
            <w:r w:rsidRPr="009E686F">
              <w:rPr>
                <w:rFonts w:ascii="Times New Roman" w:hAnsi="Times New Roman" w:cs="Times New Roman"/>
              </w:rPr>
              <w:t xml:space="preserve"> acordarea </w:t>
            </w:r>
            <w:r w:rsidR="00080AA3" w:rsidRPr="009E686F">
              <w:rPr>
                <w:rFonts w:ascii="Times New Roman" w:hAnsi="Times New Roman" w:cs="Times New Roman"/>
                <w:i/>
                <w:iCs/>
              </w:rPr>
              <w:t>autorizației</w:t>
            </w:r>
            <w:r w:rsidR="00080AA3" w:rsidRPr="009E686F">
              <w:rPr>
                <w:rFonts w:ascii="Times New Roman" w:hAnsi="Times New Roman" w:cs="Times New Roman"/>
              </w:rPr>
              <w:t xml:space="preserve"> </w:t>
            </w:r>
            <w:r w:rsidRPr="009E686F">
              <w:rPr>
                <w:rFonts w:ascii="Times New Roman" w:hAnsi="Times New Roman" w:cs="Times New Roman"/>
              </w:rPr>
              <w:t xml:space="preserve">în cazul în care actele cu putere de lege sau actele autorităţilor publice dintr-un  stat </w:t>
            </w:r>
            <w:r w:rsidRPr="009E686F">
              <w:rPr>
                <w:rFonts w:ascii="Times New Roman" w:hAnsi="Times New Roman" w:cs="Times New Roman"/>
                <w:i/>
                <w:iCs/>
              </w:rPr>
              <w:t>terț</w:t>
            </w:r>
            <w:r w:rsidRPr="009E686F">
              <w:rPr>
                <w:rFonts w:ascii="Times New Roman" w:hAnsi="Times New Roman" w:cs="Times New Roman"/>
              </w:rPr>
              <w:t xml:space="preserve">, care reglementează activitatea uneia sau mai multor persoane fizice sau juridice cu care </w:t>
            </w:r>
            <w:r w:rsidR="00A51A7D" w:rsidRPr="009E686F">
              <w:rPr>
                <w:rFonts w:ascii="Times New Roman" w:hAnsi="Times New Roman" w:cs="Times New Roman"/>
                <w:i/>
                <w:iCs/>
              </w:rPr>
              <w:t>instituția de credit</w:t>
            </w:r>
            <w:r w:rsidRPr="009E686F">
              <w:rPr>
                <w:rFonts w:ascii="Times New Roman" w:hAnsi="Times New Roman" w:cs="Times New Roman"/>
              </w:rPr>
              <w:t xml:space="preserve"> respectivă are legături strînse, sau dificultăţile prezentate de punerea în aplicare a respectivelor acte împiedică exercitarea funcţiei de supraveghere a Băncii Naţionale a Moldovei.</w:t>
            </w:r>
          </w:p>
        </w:tc>
        <w:tc>
          <w:tcPr>
            <w:tcW w:w="470" w:type="pct"/>
            <w:tcBorders>
              <w:top w:val="single" w:sz="4" w:space="0" w:color="auto"/>
              <w:left w:val="single" w:sz="4" w:space="0" w:color="auto"/>
              <w:bottom w:val="single" w:sz="4" w:space="0" w:color="auto"/>
              <w:right w:val="single" w:sz="4" w:space="0" w:color="auto"/>
            </w:tcBorders>
          </w:tcPr>
          <w:p w14:paraId="5EAFA2A1" w14:textId="4143F809" w:rsidR="00AB6122" w:rsidRPr="009E686F" w:rsidRDefault="00AB6122" w:rsidP="00AB6122">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0F7452B5" w14:textId="0285B64F" w:rsidR="00AB6122" w:rsidRPr="009E686F" w:rsidRDefault="00AB6122" w:rsidP="00515783">
            <w:pPr>
              <w:spacing w:after="0"/>
              <w:jc w:val="both"/>
              <w:rPr>
                <w:rFonts w:ascii="Times New Roman" w:hAnsi="Times New Roman" w:cs="Times New Roman"/>
              </w:rPr>
            </w:pPr>
          </w:p>
        </w:tc>
      </w:tr>
      <w:tr w:rsidR="00B30AFC" w:rsidRPr="009E686F" w14:paraId="12AC06D9" w14:textId="3EA44FAB" w:rsidTr="00960C23">
        <w:tc>
          <w:tcPr>
            <w:tcW w:w="1890" w:type="pct"/>
            <w:tcBorders>
              <w:top w:val="single" w:sz="4" w:space="0" w:color="auto"/>
              <w:left w:val="single" w:sz="4" w:space="0" w:color="auto"/>
              <w:bottom w:val="single" w:sz="4" w:space="0" w:color="auto"/>
              <w:right w:val="single" w:sz="4" w:space="0" w:color="auto"/>
            </w:tcBorders>
          </w:tcPr>
          <w:p w14:paraId="3BA49912" w14:textId="267CEF97" w:rsidR="00AB6122" w:rsidRPr="009E686F" w:rsidRDefault="00AB6122" w:rsidP="00ED2C1C">
            <w:pPr>
              <w:spacing w:after="0"/>
              <w:jc w:val="both"/>
              <w:rPr>
                <w:rFonts w:ascii="Times New Roman" w:hAnsi="Times New Roman" w:cs="Times New Roman"/>
                <w:lang w:val="it-CH"/>
              </w:rPr>
            </w:pPr>
            <w:r w:rsidRPr="009E686F">
              <w:rPr>
                <w:rFonts w:ascii="Times New Roman" w:hAnsi="Times New Roman" w:cs="Times New Roman"/>
                <w:lang w:val="it-CH"/>
              </w:rPr>
              <w:t xml:space="preserve">Autoritățile competente solicită </w:t>
            </w:r>
            <w:r w:rsidR="00A51A7D" w:rsidRPr="009E686F">
              <w:rPr>
                <w:rFonts w:ascii="Times New Roman" w:hAnsi="Times New Roman" w:cs="Times New Roman"/>
                <w:lang w:val="it-CH"/>
              </w:rPr>
              <w:t>instituțiilor de credit</w:t>
            </w:r>
            <w:r w:rsidRPr="009E686F">
              <w:rPr>
                <w:rFonts w:ascii="Times New Roman" w:hAnsi="Times New Roman" w:cs="Times New Roman"/>
                <w:lang w:val="it-CH"/>
              </w:rPr>
              <w:t xml:space="preserve"> să le ofere informațiile necesare pentru a monitoriza în mod continuu respectarea condițiilor menționate la prezentul alineat.</w:t>
            </w:r>
          </w:p>
        </w:tc>
        <w:tc>
          <w:tcPr>
            <w:tcW w:w="1834" w:type="pct"/>
            <w:tcBorders>
              <w:top w:val="single" w:sz="4" w:space="0" w:color="auto"/>
              <w:left w:val="single" w:sz="4" w:space="0" w:color="auto"/>
              <w:bottom w:val="single" w:sz="4" w:space="0" w:color="auto"/>
              <w:right w:val="single" w:sz="4" w:space="0" w:color="auto"/>
            </w:tcBorders>
          </w:tcPr>
          <w:p w14:paraId="3E869A3D" w14:textId="7F7DE52C" w:rsidR="00AB6122" w:rsidRPr="009E686F" w:rsidRDefault="00AB6122" w:rsidP="00ED2C1C">
            <w:pPr>
              <w:spacing w:after="0"/>
              <w:jc w:val="both"/>
              <w:rPr>
                <w:rFonts w:ascii="Times New Roman" w:hAnsi="Times New Roman" w:cs="Times New Roman"/>
              </w:rPr>
            </w:pPr>
            <w:r w:rsidRPr="009E686F">
              <w:rPr>
                <w:rFonts w:ascii="Times New Roman" w:hAnsi="Times New Roman" w:cs="Times New Roman"/>
                <w:lang w:val="it-CH"/>
              </w:rPr>
              <w:t xml:space="preserve">(6) Banca Națională a Moldovei solicită </w:t>
            </w:r>
            <w:r w:rsidR="00A51A7D" w:rsidRPr="009E686F">
              <w:rPr>
                <w:rFonts w:ascii="Times New Roman" w:hAnsi="Times New Roman" w:cs="Times New Roman"/>
                <w:i/>
                <w:iCs/>
                <w:lang w:val="it-CH"/>
              </w:rPr>
              <w:t>instituțiilor de credit</w:t>
            </w:r>
            <w:r w:rsidRPr="009E686F">
              <w:rPr>
                <w:rFonts w:ascii="Times New Roman" w:hAnsi="Times New Roman" w:cs="Times New Roman"/>
                <w:lang w:val="it-CH"/>
              </w:rPr>
              <w:t xml:space="preserve"> să-i furnizeze informațiile necesare pentru a monitoriza în mod continuu respectarea condițiilor menționate la alin. </w:t>
            </w:r>
            <w:r w:rsidRPr="009E686F">
              <w:rPr>
                <w:rFonts w:ascii="Times New Roman" w:hAnsi="Times New Roman" w:cs="Times New Roman"/>
              </w:rPr>
              <w:t xml:space="preserve">(4) și (5) </w:t>
            </w:r>
            <w:r w:rsidRPr="009E686F">
              <w:rPr>
                <w:rFonts w:ascii="Times New Roman" w:hAnsi="Times New Roman" w:cs="Times New Roman"/>
                <w:lang w:val="ro-MD"/>
              </w:rPr>
              <w:t>și a prevederilor art.51 alin.(5)</w:t>
            </w:r>
            <w:r w:rsidRPr="009E686F">
              <w:rPr>
                <w:rFonts w:ascii="Times New Roman" w:hAnsi="Times New Roman" w:cs="Times New Roman"/>
              </w:rPr>
              <w:t>.</w:t>
            </w:r>
          </w:p>
        </w:tc>
        <w:tc>
          <w:tcPr>
            <w:tcW w:w="470" w:type="pct"/>
            <w:tcBorders>
              <w:top w:val="single" w:sz="4" w:space="0" w:color="auto"/>
              <w:left w:val="single" w:sz="4" w:space="0" w:color="auto"/>
              <w:bottom w:val="single" w:sz="4" w:space="0" w:color="auto"/>
              <w:right w:val="single" w:sz="4" w:space="0" w:color="auto"/>
            </w:tcBorders>
          </w:tcPr>
          <w:p w14:paraId="57214C4C" w14:textId="678F5080" w:rsidR="00AB6122" w:rsidRPr="009E686F" w:rsidRDefault="00AB6122" w:rsidP="00AB6122">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4CD7ED00" w14:textId="12FEE198" w:rsidR="00AB6122" w:rsidRPr="009E686F" w:rsidRDefault="00AB6122" w:rsidP="00515783">
            <w:pPr>
              <w:spacing w:after="0"/>
              <w:jc w:val="both"/>
              <w:rPr>
                <w:rFonts w:ascii="Times New Roman" w:hAnsi="Times New Roman" w:cs="Times New Roman"/>
              </w:rPr>
            </w:pPr>
          </w:p>
        </w:tc>
      </w:tr>
      <w:tr w:rsidR="00294D65" w:rsidRPr="009E686F" w14:paraId="14C20123" w14:textId="19886CCC" w:rsidTr="00E6380A">
        <w:trPr>
          <w:trHeight w:val="1368"/>
        </w:trPr>
        <w:tc>
          <w:tcPr>
            <w:tcW w:w="1890" w:type="pct"/>
            <w:vMerge w:val="restart"/>
            <w:tcBorders>
              <w:top w:val="single" w:sz="4" w:space="0" w:color="auto"/>
              <w:left w:val="single" w:sz="4" w:space="0" w:color="auto"/>
              <w:right w:val="single" w:sz="4" w:space="0" w:color="auto"/>
            </w:tcBorders>
          </w:tcPr>
          <w:p w14:paraId="46DE6218" w14:textId="77777777" w:rsidR="00294D65" w:rsidRPr="009E686F" w:rsidRDefault="00294D65" w:rsidP="00ED2C1C">
            <w:pPr>
              <w:spacing w:after="0"/>
              <w:jc w:val="both"/>
              <w:rPr>
                <w:rFonts w:ascii="Times New Roman" w:hAnsi="Times New Roman" w:cs="Times New Roman"/>
                <w:i/>
                <w:lang w:val="it-CH"/>
              </w:rPr>
            </w:pPr>
            <w:r w:rsidRPr="009E686F">
              <w:rPr>
                <w:rFonts w:ascii="Times New Roman" w:hAnsi="Times New Roman" w:cs="Times New Roman"/>
                <w:i/>
                <w:lang w:val="it-CH"/>
              </w:rPr>
              <w:lastRenderedPageBreak/>
              <w:t>Articolul 15</w:t>
            </w:r>
          </w:p>
          <w:p w14:paraId="55F8637D" w14:textId="5C660E48" w:rsidR="00294D65" w:rsidRPr="009E686F" w:rsidRDefault="00294D65" w:rsidP="00ED2C1C">
            <w:pPr>
              <w:spacing w:after="0"/>
              <w:jc w:val="both"/>
              <w:rPr>
                <w:rFonts w:ascii="Times New Roman" w:hAnsi="Times New Roman" w:cs="Times New Roman"/>
                <w:b/>
                <w:lang w:val="it-CH"/>
              </w:rPr>
            </w:pPr>
            <w:r w:rsidRPr="009E686F">
              <w:rPr>
                <w:rFonts w:ascii="Times New Roman" w:hAnsi="Times New Roman" w:cs="Times New Roman"/>
                <w:b/>
                <w:lang w:val="it-CH"/>
              </w:rPr>
              <w:t>Refuzul acordării autorizației</w:t>
            </w:r>
          </w:p>
          <w:p w14:paraId="350D97F0" w14:textId="469BD737" w:rsidR="00294D65" w:rsidRPr="009E686F" w:rsidRDefault="00294D65" w:rsidP="00ED2C1C">
            <w:pPr>
              <w:spacing w:after="0"/>
              <w:jc w:val="both"/>
              <w:rPr>
                <w:rFonts w:ascii="Times New Roman" w:hAnsi="Times New Roman" w:cs="Times New Roman"/>
                <w:lang w:val="it-CH"/>
              </w:rPr>
            </w:pPr>
            <w:r w:rsidRPr="009E686F">
              <w:rPr>
                <w:rFonts w:ascii="Times New Roman" w:hAnsi="Times New Roman" w:cs="Times New Roman"/>
                <w:lang w:val="it-CH"/>
              </w:rPr>
              <w:t>În cazul în care o autoritate competentă refuză să acorde autorizația de începerea a activității unei instituții de credit, aceasta îl informează pe solicitant în legătură cu decizia luată și motivele care au stat la baza acesteia în termen de șase luni de la primirea cererii respective sau, în cazul în care cererea este incompletă, în termen de șase luni de la primirea informațiilor complete necesare pentru luarea deciziei.</w:t>
            </w:r>
          </w:p>
          <w:p w14:paraId="658AB0BF" w14:textId="77777777" w:rsidR="00294D65" w:rsidRPr="009E686F" w:rsidRDefault="00294D65" w:rsidP="00ED2C1C">
            <w:pPr>
              <w:spacing w:after="0"/>
              <w:jc w:val="both"/>
              <w:rPr>
                <w:rFonts w:ascii="Times New Roman" w:hAnsi="Times New Roman" w:cs="Times New Roman"/>
                <w:lang w:val="it-CH"/>
              </w:rPr>
            </w:pPr>
            <w:r w:rsidRPr="009E686F">
              <w:rPr>
                <w:rFonts w:ascii="Times New Roman" w:hAnsi="Times New Roman" w:cs="Times New Roman"/>
                <w:lang w:val="it-CH"/>
              </w:rPr>
              <w:t>În orice caz, termenul în care se ia o decizie de acordare sau de refuz al autorizației nu va depăși 12 luni de la primirea cererii.</w:t>
            </w:r>
          </w:p>
        </w:tc>
        <w:tc>
          <w:tcPr>
            <w:tcW w:w="1834" w:type="pct"/>
            <w:tcBorders>
              <w:top w:val="single" w:sz="4" w:space="0" w:color="auto"/>
              <w:left w:val="single" w:sz="4" w:space="0" w:color="auto"/>
              <w:bottom w:val="single" w:sz="4" w:space="0" w:color="auto"/>
              <w:right w:val="single" w:sz="4" w:space="0" w:color="auto"/>
            </w:tcBorders>
          </w:tcPr>
          <w:p w14:paraId="24C9F205" w14:textId="62F08921" w:rsidR="00294D65" w:rsidRPr="009E686F" w:rsidRDefault="00294D65" w:rsidP="00ED2C1C">
            <w:pPr>
              <w:spacing w:after="0"/>
              <w:jc w:val="both"/>
              <w:rPr>
                <w:rFonts w:ascii="Times New Roman" w:hAnsi="Times New Roman" w:cs="Times New Roman"/>
                <w:lang w:val="it-CH"/>
              </w:rPr>
            </w:pPr>
            <w:r w:rsidRPr="009E686F">
              <w:rPr>
                <w:rFonts w:ascii="Times New Roman" w:hAnsi="Times New Roman" w:cs="Times New Roman"/>
                <w:b/>
                <w:lang w:val="it-CH"/>
              </w:rPr>
              <w:t xml:space="preserve">Articolul 17. </w:t>
            </w:r>
            <w:r w:rsidRPr="009E686F">
              <w:rPr>
                <w:rFonts w:ascii="Times New Roman" w:hAnsi="Times New Roman" w:cs="Times New Roman"/>
                <w:lang w:val="it-CH"/>
              </w:rPr>
              <w:t>Procesul de autorizare</w:t>
            </w:r>
          </w:p>
          <w:p w14:paraId="1043D87C" w14:textId="1265579F" w:rsidR="00294D65" w:rsidRPr="009E686F" w:rsidRDefault="00294D65" w:rsidP="00ED2C1C">
            <w:pPr>
              <w:spacing w:after="0"/>
              <w:jc w:val="both"/>
              <w:rPr>
                <w:rFonts w:ascii="Times New Roman" w:hAnsi="Times New Roman" w:cs="Times New Roman"/>
                <w:lang w:val="it-CH"/>
              </w:rPr>
            </w:pPr>
            <w:r w:rsidRPr="009E686F">
              <w:rPr>
                <w:rFonts w:ascii="Times New Roman" w:hAnsi="Times New Roman" w:cs="Times New Roman"/>
                <w:lang w:val="it-CH"/>
              </w:rPr>
              <w:t xml:space="preserve">(1) Banca Națională a Moldovei acordă aprobarea prealabilă de constituire a </w:t>
            </w:r>
            <w:r w:rsidRPr="009E686F">
              <w:rPr>
                <w:rFonts w:ascii="Times New Roman" w:hAnsi="Times New Roman" w:cs="Times New Roman"/>
                <w:i/>
                <w:lang w:val="it-CH"/>
              </w:rPr>
              <w:t>instituției de credit</w:t>
            </w:r>
            <w:r w:rsidRPr="009E686F">
              <w:rPr>
                <w:rFonts w:ascii="Times New Roman" w:hAnsi="Times New Roman" w:cs="Times New Roman"/>
                <w:lang w:val="it-CH"/>
              </w:rPr>
              <w:t xml:space="preserve">  sau respinge cererea în termen de 5 luni de la data primirii cererii de </w:t>
            </w:r>
            <w:r w:rsidRPr="009E686F">
              <w:rPr>
                <w:rFonts w:ascii="Times New Roman" w:hAnsi="Times New Roman" w:cs="Times New Roman"/>
                <w:i/>
                <w:lang w:val="it-CH"/>
              </w:rPr>
              <w:t>autorizare</w:t>
            </w:r>
            <w:r w:rsidRPr="009E686F">
              <w:rPr>
                <w:rFonts w:ascii="Times New Roman" w:hAnsi="Times New Roman" w:cs="Times New Roman"/>
                <w:lang w:val="it-CH"/>
              </w:rPr>
              <w:t xml:space="preserve"> însoțite de documentele și informațiile prevăzute la art.16 alin.(3).</w:t>
            </w:r>
          </w:p>
          <w:p w14:paraId="1FB691A9" w14:textId="0AAE4B92" w:rsidR="00294D65" w:rsidRPr="009E686F" w:rsidRDefault="00294D65" w:rsidP="00ED2C1C">
            <w:pPr>
              <w:spacing w:after="0"/>
              <w:jc w:val="both"/>
              <w:rPr>
                <w:rFonts w:ascii="Times New Roman" w:hAnsi="Times New Roman" w:cs="Times New Roman"/>
                <w:lang w:val="it-CH"/>
              </w:rPr>
            </w:pPr>
            <w:r w:rsidRPr="009E686F">
              <w:rPr>
                <w:rFonts w:ascii="Times New Roman" w:hAnsi="Times New Roman" w:cs="Times New Roman"/>
                <w:lang w:val="it-CH"/>
              </w:rPr>
              <w:t xml:space="preserve"> (7) Dacă Banca Națională a Moldovei emite hotărârea cu privire la acordarea aprobării prealabile de constituire, pentru obținerea </w:t>
            </w:r>
            <w:r w:rsidRPr="009E686F">
              <w:rPr>
                <w:rFonts w:ascii="Times New Roman" w:hAnsi="Times New Roman" w:cs="Times New Roman"/>
                <w:i/>
                <w:lang w:val="it-CH"/>
              </w:rPr>
              <w:t>autorizației</w:t>
            </w:r>
            <w:r w:rsidRPr="009E686F">
              <w:rPr>
                <w:rFonts w:ascii="Times New Roman" w:hAnsi="Times New Roman" w:cs="Times New Roman"/>
                <w:lang w:val="it-CH"/>
              </w:rPr>
              <w:t>, solicitantul trebuie să îi prezinte acesteia informațiile și documentele prevăzute de actele normative ale Băncii Naționale a Moldovei emise în aplicarea prevederilor art. 8 alin. (4), în termen de 5 luni de la data notific</w:t>
            </w:r>
            <w:r w:rsidRPr="009E686F">
              <w:rPr>
                <w:rFonts w:ascii="Times New Roman" w:hAnsi="Times New Roman" w:cs="Times New Roman"/>
                <w:lang w:val="ro-RO"/>
              </w:rPr>
              <w:t>ării</w:t>
            </w:r>
            <w:r w:rsidRPr="009E686F">
              <w:rPr>
                <w:rFonts w:ascii="Times New Roman" w:hAnsi="Times New Roman" w:cs="Times New Roman"/>
                <w:lang w:val="it-CH"/>
              </w:rPr>
              <w:t xml:space="preserve"> hotărârii respective.</w:t>
            </w:r>
          </w:p>
          <w:p w14:paraId="1B1CBFD1" w14:textId="70CF26B8" w:rsidR="00294D65" w:rsidRPr="009E686F" w:rsidRDefault="00294D65" w:rsidP="00ED2C1C">
            <w:pPr>
              <w:spacing w:after="0"/>
              <w:jc w:val="both"/>
              <w:rPr>
                <w:rFonts w:ascii="Times New Roman" w:hAnsi="Times New Roman" w:cs="Times New Roman"/>
                <w:lang w:val="it-CH"/>
              </w:rPr>
            </w:pPr>
            <w:r w:rsidRPr="009E686F">
              <w:rPr>
                <w:rFonts w:ascii="Times New Roman" w:hAnsi="Times New Roman" w:cs="Times New Roman"/>
                <w:lang w:val="it-CH"/>
              </w:rPr>
              <w:t xml:space="preserve">(9) Banca Națională a Moldovei decide cu privire la acordarea </w:t>
            </w:r>
            <w:r w:rsidRPr="009E686F">
              <w:rPr>
                <w:rFonts w:ascii="Times New Roman" w:hAnsi="Times New Roman" w:cs="Times New Roman"/>
                <w:i/>
                <w:lang w:val="it-CH"/>
              </w:rPr>
              <w:t>autorizației</w:t>
            </w:r>
            <w:r w:rsidRPr="009E686F">
              <w:rPr>
                <w:rFonts w:ascii="Times New Roman" w:hAnsi="Times New Roman" w:cs="Times New Roman"/>
                <w:lang w:val="it-CH"/>
              </w:rPr>
              <w:t xml:space="preserve">  </w:t>
            </w:r>
            <w:r w:rsidRPr="009E686F">
              <w:rPr>
                <w:rFonts w:ascii="Times New Roman" w:hAnsi="Times New Roman" w:cs="Times New Roman"/>
                <w:i/>
                <w:lang w:val="it-CH"/>
              </w:rPr>
              <w:t>instituției de credit</w:t>
            </w:r>
            <w:r w:rsidRPr="009E686F">
              <w:rPr>
                <w:rFonts w:ascii="Times New Roman" w:hAnsi="Times New Roman" w:cs="Times New Roman"/>
                <w:lang w:val="it-CH"/>
              </w:rPr>
              <w:t xml:space="preserve">  în termen de cel mult 2 luni de la data primirii informațiilor și documentelor conform alin. (7).</w:t>
            </w:r>
          </w:p>
          <w:p w14:paraId="39FED297" w14:textId="52380F5A" w:rsidR="00294D65" w:rsidRPr="009E686F" w:rsidRDefault="00294D65" w:rsidP="00ED2C1C">
            <w:pPr>
              <w:spacing w:after="0"/>
              <w:jc w:val="both"/>
              <w:rPr>
                <w:rFonts w:ascii="Times New Roman" w:hAnsi="Times New Roman" w:cs="Times New Roman"/>
                <w:lang w:val="it-CH"/>
              </w:rPr>
            </w:pPr>
            <w:r w:rsidRPr="009E686F">
              <w:rPr>
                <w:rFonts w:ascii="Times New Roman" w:hAnsi="Times New Roman" w:cs="Times New Roman"/>
                <w:lang w:val="it-CH"/>
              </w:rPr>
              <w:t xml:space="preserve">(12) În oricare dintre etapele procesului de autorizare prevăzute la alin. (1) - (11), Banca Națională a Moldovei notifică solicitantului hotărârea sa, indicând şi motivele care au stat la baza acesteia în cazul respingerii cererii de </w:t>
            </w:r>
            <w:r w:rsidRPr="009E686F">
              <w:rPr>
                <w:rFonts w:ascii="Times New Roman" w:hAnsi="Times New Roman" w:cs="Times New Roman"/>
                <w:i/>
                <w:lang w:val="it-CH"/>
              </w:rPr>
              <w:t>autorizație</w:t>
            </w:r>
            <w:r w:rsidRPr="009E686F">
              <w:rPr>
                <w:rFonts w:ascii="Times New Roman" w:hAnsi="Times New Roman" w:cs="Times New Roman"/>
                <w:lang w:val="it-CH"/>
              </w:rPr>
              <w:t>.</w:t>
            </w:r>
          </w:p>
        </w:tc>
        <w:tc>
          <w:tcPr>
            <w:tcW w:w="470" w:type="pct"/>
            <w:tcBorders>
              <w:top w:val="single" w:sz="4" w:space="0" w:color="auto"/>
              <w:left w:val="single" w:sz="4" w:space="0" w:color="auto"/>
              <w:bottom w:val="single" w:sz="4" w:space="0" w:color="auto"/>
              <w:right w:val="single" w:sz="4" w:space="0" w:color="auto"/>
            </w:tcBorders>
          </w:tcPr>
          <w:p w14:paraId="42797190" w14:textId="00103989" w:rsidR="00294D65" w:rsidRPr="009E686F" w:rsidRDefault="00294D65" w:rsidP="00AB6122">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7FE1CEA8" w14:textId="3378F5C6" w:rsidR="00294D65" w:rsidRPr="009E686F" w:rsidRDefault="00294D65" w:rsidP="00515783">
            <w:pPr>
              <w:spacing w:after="0"/>
              <w:jc w:val="both"/>
              <w:rPr>
                <w:rFonts w:ascii="Times New Roman" w:hAnsi="Times New Roman" w:cs="Times New Roman"/>
              </w:rPr>
            </w:pPr>
          </w:p>
        </w:tc>
      </w:tr>
      <w:tr w:rsidR="00294D65" w:rsidRPr="009E686F" w14:paraId="5879D5FA" w14:textId="77777777" w:rsidTr="00E6380A">
        <w:tc>
          <w:tcPr>
            <w:tcW w:w="1890" w:type="pct"/>
            <w:vMerge/>
            <w:tcBorders>
              <w:left w:val="single" w:sz="4" w:space="0" w:color="auto"/>
              <w:bottom w:val="single" w:sz="4" w:space="0" w:color="auto"/>
              <w:right w:val="single" w:sz="4" w:space="0" w:color="auto"/>
            </w:tcBorders>
          </w:tcPr>
          <w:p w14:paraId="6CC3BE84" w14:textId="77777777" w:rsidR="00294D65" w:rsidRPr="009E686F" w:rsidRDefault="00294D65" w:rsidP="00ED2C1C">
            <w:pPr>
              <w:spacing w:after="0"/>
              <w:jc w:val="both"/>
              <w:rPr>
                <w:rFonts w:ascii="Times New Roman" w:hAnsi="Times New Roman" w:cs="Times New Roman"/>
                <w:i/>
                <w:iCs/>
                <w:lang w:val="it-CH"/>
              </w:rPr>
            </w:pPr>
          </w:p>
        </w:tc>
        <w:tc>
          <w:tcPr>
            <w:tcW w:w="1834" w:type="pct"/>
            <w:tcBorders>
              <w:top w:val="single" w:sz="4" w:space="0" w:color="auto"/>
              <w:left w:val="single" w:sz="4" w:space="0" w:color="auto"/>
              <w:bottom w:val="single" w:sz="4" w:space="0" w:color="auto"/>
              <w:right w:val="single" w:sz="4" w:space="0" w:color="auto"/>
            </w:tcBorders>
          </w:tcPr>
          <w:p w14:paraId="3E11CE77" w14:textId="3A5857BE" w:rsidR="00EE73D8" w:rsidRPr="009E686F" w:rsidRDefault="00EE73D8" w:rsidP="00294D65">
            <w:pPr>
              <w:spacing w:after="0"/>
              <w:jc w:val="both"/>
              <w:rPr>
                <w:rFonts w:ascii="Times New Roman" w:hAnsi="Times New Roman" w:cs="Times New Roman"/>
                <w:b/>
                <w:bCs/>
                <w:lang w:val="it-CH"/>
              </w:rPr>
            </w:pPr>
            <w:r w:rsidRPr="009E686F">
              <w:rPr>
                <w:rFonts w:ascii="Times New Roman" w:hAnsi="Times New Roman" w:cs="Times New Roman"/>
                <w:b/>
                <w:bCs/>
                <w:lang w:val="it-CH"/>
              </w:rPr>
              <w:t>Art. 17 alin. (2)-(6)</w:t>
            </w:r>
            <w:r w:rsidR="00FE6E95" w:rsidRPr="009E686F">
              <w:rPr>
                <w:rFonts w:ascii="Times New Roman" w:hAnsi="Times New Roman" w:cs="Times New Roman"/>
                <w:b/>
                <w:bCs/>
                <w:lang w:val="it-CH"/>
              </w:rPr>
              <w:t xml:space="preserve">, </w:t>
            </w:r>
            <w:r w:rsidRPr="009E686F">
              <w:rPr>
                <w:rFonts w:ascii="Times New Roman" w:hAnsi="Times New Roman" w:cs="Times New Roman"/>
                <w:b/>
                <w:bCs/>
                <w:lang w:val="it-CH"/>
              </w:rPr>
              <w:t>(10)-(11)</w:t>
            </w:r>
            <w:r w:rsidR="00FE6E95" w:rsidRPr="009E686F">
              <w:rPr>
                <w:rFonts w:ascii="Times New Roman" w:hAnsi="Times New Roman" w:cs="Times New Roman"/>
                <w:b/>
                <w:bCs/>
                <w:lang w:val="it-CH"/>
              </w:rPr>
              <w:t>, (13)</w:t>
            </w:r>
          </w:p>
          <w:p w14:paraId="5473A787" w14:textId="540AD171" w:rsidR="00294D65" w:rsidRPr="009E686F" w:rsidRDefault="00294D65" w:rsidP="00294D65">
            <w:pPr>
              <w:spacing w:after="0"/>
              <w:jc w:val="both"/>
              <w:rPr>
                <w:rFonts w:ascii="Times New Roman" w:hAnsi="Times New Roman" w:cs="Times New Roman"/>
                <w:lang w:val="it-CH"/>
              </w:rPr>
            </w:pPr>
            <w:r w:rsidRPr="009E686F">
              <w:rPr>
                <w:rFonts w:ascii="Times New Roman" w:hAnsi="Times New Roman" w:cs="Times New Roman"/>
                <w:lang w:val="it-CH"/>
              </w:rPr>
              <w:t>(2) În termen de 15 zile lucrătoare de la primirea cererii de autorizare, Banca Naţională a Moldovei notifică titularului, dacă este cazul, lista documentelor şi informaţiilor care nu au fost prezentate conform alin.(1) în vederea depunerii acestora.</w:t>
            </w:r>
          </w:p>
          <w:p w14:paraId="73EEBD38" w14:textId="77777777" w:rsidR="00294D65" w:rsidRPr="009E686F" w:rsidRDefault="00294D65" w:rsidP="00294D65">
            <w:pPr>
              <w:spacing w:after="0"/>
              <w:jc w:val="both"/>
              <w:rPr>
                <w:rFonts w:ascii="Times New Roman" w:hAnsi="Times New Roman" w:cs="Times New Roman"/>
                <w:lang w:val="it-CH"/>
              </w:rPr>
            </w:pPr>
            <w:r w:rsidRPr="009E686F">
              <w:rPr>
                <w:rFonts w:ascii="Times New Roman" w:hAnsi="Times New Roman" w:cs="Times New Roman"/>
                <w:lang w:val="it-CH"/>
              </w:rPr>
              <w:t xml:space="preserve">(3) Banca Naţională a Moldovei poate solicita în scris, pe parcursul termenului prevăzut la alin.(1), dar nu mai tîrziu de 3 luni de la primirea cererii de autorizare, orice documente sau informaţii suplimentare dacă cele prezentate nu sînt </w:t>
            </w:r>
            <w:r w:rsidRPr="009E686F">
              <w:rPr>
                <w:rFonts w:ascii="Times New Roman" w:hAnsi="Times New Roman" w:cs="Times New Roman"/>
                <w:lang w:val="it-CH"/>
              </w:rPr>
              <w:lastRenderedPageBreak/>
              <w:t>suficiente ori relevante pentru realizarea evaluării sau dacă documentaţia şi/sau informaţia prezintă alte deficienţe.</w:t>
            </w:r>
          </w:p>
          <w:p w14:paraId="28DE0754" w14:textId="77777777" w:rsidR="00294D65" w:rsidRPr="009E686F" w:rsidRDefault="00294D65" w:rsidP="00294D65">
            <w:pPr>
              <w:spacing w:after="0"/>
              <w:jc w:val="both"/>
              <w:rPr>
                <w:rFonts w:ascii="Times New Roman" w:hAnsi="Times New Roman" w:cs="Times New Roman"/>
                <w:lang w:val="it-CH"/>
              </w:rPr>
            </w:pPr>
            <w:r w:rsidRPr="009E686F">
              <w:rPr>
                <w:rFonts w:ascii="Times New Roman" w:hAnsi="Times New Roman" w:cs="Times New Roman"/>
                <w:lang w:val="it-CH"/>
              </w:rPr>
              <w:t>(4) Solicitantul cererii are la dispoziţie un termen de 30 de zile calendaristice de la data notificării solicitării formulate potrivit alin.(3) pentru prezentarea documentelor şi/sau a informaţiilor cerute, respectiv pentru remedierea deficienţelor constatate, perioadă pe parcursul căreia termenul de 5 luni prevăzut la alin.(1) se suspendă. Solicitantul poate furniza din proprie iniţiativă orice alte informaţii şi/sau documente considerate relevante.</w:t>
            </w:r>
          </w:p>
          <w:p w14:paraId="68CBF043" w14:textId="77777777" w:rsidR="00294D65" w:rsidRPr="009E686F" w:rsidRDefault="00294D65" w:rsidP="00294D65">
            <w:pPr>
              <w:spacing w:after="0"/>
              <w:jc w:val="both"/>
              <w:rPr>
                <w:rFonts w:ascii="Times New Roman" w:hAnsi="Times New Roman" w:cs="Times New Roman"/>
                <w:lang w:val="it-CH"/>
              </w:rPr>
            </w:pPr>
            <w:r w:rsidRPr="009E686F">
              <w:rPr>
                <w:rFonts w:ascii="Times New Roman" w:hAnsi="Times New Roman" w:cs="Times New Roman"/>
                <w:lang w:val="it-CH"/>
              </w:rPr>
              <w:t>(5) Orice documente sau informaţii prevăzute la alin.(3) şi (4) trebuie să fie prezentate cel tîrziu cu 30 de zile calendaristice anterior datei expirării termenului în care Banca Naţională a Moldovei trebuie să se pronunţe asupra cererii deautorizare.</w:t>
            </w:r>
          </w:p>
          <w:p w14:paraId="4088C9E8" w14:textId="77777777" w:rsidR="00294D65" w:rsidRPr="009E686F" w:rsidRDefault="00294D65" w:rsidP="00ED2C1C">
            <w:pPr>
              <w:spacing w:after="0"/>
              <w:jc w:val="both"/>
              <w:rPr>
                <w:rFonts w:ascii="Times New Roman" w:hAnsi="Times New Roman" w:cs="Times New Roman"/>
                <w:lang w:val="it-CH"/>
              </w:rPr>
            </w:pPr>
            <w:r w:rsidRPr="009E686F">
              <w:rPr>
                <w:rFonts w:ascii="Times New Roman" w:hAnsi="Times New Roman" w:cs="Times New Roman"/>
                <w:lang w:val="it-CH"/>
              </w:rPr>
              <w:t>(6) Înregistrarea de stat a instituției de credit se efectuează de către Agenţia Servicii Publice numai după prezentarea hotărîrii cu privire la acordarea aprobării prealabile de constituire a instituției de credit respective, eliberată de către Banca Naţională a Moldovei în condiţiile prezentului articol.</w:t>
            </w:r>
          </w:p>
          <w:p w14:paraId="44B7C2D9" w14:textId="77777777" w:rsidR="00EE73D8" w:rsidRPr="009E686F" w:rsidRDefault="00EE73D8" w:rsidP="00ED2C1C">
            <w:pPr>
              <w:spacing w:after="0"/>
              <w:jc w:val="both"/>
              <w:rPr>
                <w:rFonts w:ascii="Times New Roman" w:hAnsi="Times New Roman" w:cs="Times New Roman"/>
                <w:lang w:val="it-CH"/>
              </w:rPr>
            </w:pPr>
            <w:r w:rsidRPr="009E686F">
              <w:rPr>
                <w:rFonts w:ascii="Times New Roman" w:hAnsi="Times New Roman" w:cs="Times New Roman"/>
                <w:lang w:val="it-CH"/>
              </w:rPr>
              <w:t>[..]</w:t>
            </w:r>
          </w:p>
          <w:p w14:paraId="374D97B7" w14:textId="77777777" w:rsidR="00EE73D8" w:rsidRPr="009E686F" w:rsidRDefault="00EE73D8" w:rsidP="00EE73D8">
            <w:pPr>
              <w:spacing w:after="0"/>
              <w:jc w:val="both"/>
              <w:rPr>
                <w:rFonts w:ascii="Times New Roman" w:hAnsi="Times New Roman" w:cs="Times New Roman"/>
                <w:lang w:val="it-CH"/>
              </w:rPr>
            </w:pPr>
            <w:r w:rsidRPr="009E686F">
              <w:rPr>
                <w:rFonts w:ascii="Times New Roman" w:hAnsi="Times New Roman" w:cs="Times New Roman"/>
                <w:lang w:val="it-CH"/>
              </w:rPr>
              <w:t>(10) Banca Naţională a Moldovei poate solicita în scris orice informaţii şi documente suplimentare necesare evaluării şi/sau, după caz, remedierea altor deficienţe constatate, în termen de o lună de la data primirii documentaţiei prevăzute la alin.(7), iar solicitantul are la dispoziţie un termen de o lună de la data notificării solicitării pentru prezentarea acestora. Solicitantul poate furniza din proprie iniţiativă orice alte documente şi informaţii considerate relevante, dar acestea trebuie să fie prezentate cel tîrziu cu 30 de zile calendaristice anterior datei expirării termenului prevăzut la alin.(9).</w:t>
            </w:r>
          </w:p>
          <w:p w14:paraId="4647506C" w14:textId="77777777" w:rsidR="00EE73D8" w:rsidRPr="009E686F" w:rsidRDefault="00EE73D8" w:rsidP="00EE73D8">
            <w:pPr>
              <w:spacing w:after="0"/>
              <w:jc w:val="both"/>
              <w:rPr>
                <w:rFonts w:ascii="Times New Roman" w:hAnsi="Times New Roman" w:cs="Times New Roman"/>
                <w:lang w:val="it-CH"/>
              </w:rPr>
            </w:pPr>
            <w:r w:rsidRPr="009E686F">
              <w:rPr>
                <w:rFonts w:ascii="Times New Roman" w:hAnsi="Times New Roman" w:cs="Times New Roman"/>
                <w:lang w:val="it-CH"/>
              </w:rPr>
              <w:lastRenderedPageBreak/>
              <w:t>(11) Informaţiile şi documentele prezentate cu depăşirea termenelor prevăzute pentru depunerea acestora nu sînt luate în considerare la evaluarea cererii de autorizare şi se restituie solicitantului</w:t>
            </w:r>
          </w:p>
          <w:p w14:paraId="2C70CF6E" w14:textId="7ABE99A4" w:rsidR="00FE6E95" w:rsidRPr="009E686F" w:rsidRDefault="00FE6E95" w:rsidP="00EE73D8">
            <w:pPr>
              <w:spacing w:after="0"/>
              <w:jc w:val="both"/>
              <w:rPr>
                <w:rFonts w:ascii="Times New Roman" w:hAnsi="Times New Roman" w:cs="Times New Roman"/>
                <w:lang w:val="pt-BR"/>
              </w:rPr>
            </w:pPr>
            <w:r w:rsidRPr="009E686F">
              <w:rPr>
                <w:rFonts w:ascii="Times New Roman" w:hAnsi="Times New Roman" w:cs="Times New Roman"/>
                <w:lang w:val="pt-BR"/>
              </w:rPr>
              <w:t>(13) Instituția de credit este în drept să desfăşoare activităţile prevăzute în autorizație de la data eliberării acesteia.</w:t>
            </w:r>
          </w:p>
        </w:tc>
        <w:tc>
          <w:tcPr>
            <w:tcW w:w="470" w:type="pct"/>
            <w:tcBorders>
              <w:top w:val="single" w:sz="4" w:space="0" w:color="auto"/>
              <w:left w:val="single" w:sz="4" w:space="0" w:color="auto"/>
              <w:bottom w:val="single" w:sz="4" w:space="0" w:color="auto"/>
              <w:right w:val="single" w:sz="4" w:space="0" w:color="auto"/>
            </w:tcBorders>
          </w:tcPr>
          <w:p w14:paraId="7ED28400" w14:textId="20CFDF33" w:rsidR="00294D65" w:rsidRPr="009E686F" w:rsidRDefault="00294D65" w:rsidP="00AB6122">
            <w:pPr>
              <w:jc w:val="both"/>
              <w:rPr>
                <w:rFonts w:ascii="Times New Roman" w:hAnsi="Times New Roman" w:cs="Times New Roman"/>
                <w:lang w:val="it-CH"/>
              </w:rPr>
            </w:pPr>
            <w:r w:rsidRPr="009E686F">
              <w:rPr>
                <w:rFonts w:ascii="Times New Roman" w:hAnsi="Times New Roman" w:cs="Times New Roman"/>
                <w:lang w:val="it-CH"/>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6D1EFA6B" w14:textId="0FCC56CA" w:rsidR="00294D65" w:rsidRPr="009E686F" w:rsidRDefault="00294D65" w:rsidP="00515783">
            <w:pPr>
              <w:spacing w:after="0"/>
              <w:jc w:val="both"/>
              <w:rPr>
                <w:rFonts w:ascii="Times New Roman" w:hAnsi="Times New Roman" w:cs="Times New Roman"/>
                <w:lang w:val="it-CH"/>
              </w:rPr>
            </w:pPr>
            <w:r w:rsidRPr="009E686F">
              <w:rPr>
                <w:rFonts w:ascii="Times New Roman" w:hAnsi="Times New Roman" w:cs="Times New Roman"/>
                <w:lang w:val="it-CH"/>
              </w:rPr>
              <w:t>Norme procedurale de completare cu specific național</w:t>
            </w:r>
            <w:r w:rsidR="00331A8E" w:rsidRPr="009E686F">
              <w:rPr>
                <w:rFonts w:ascii="Times New Roman" w:hAnsi="Times New Roman" w:cs="Times New Roman"/>
                <w:lang w:val="it-CH"/>
              </w:rPr>
              <w:t>, care detaliaz</w:t>
            </w:r>
            <w:r w:rsidR="00331A8E" w:rsidRPr="009E686F">
              <w:rPr>
                <w:rFonts w:ascii="Times New Roman" w:hAnsi="Times New Roman" w:cs="Times New Roman"/>
                <w:lang w:val="ro-RO"/>
              </w:rPr>
              <w:t xml:space="preserve">ă </w:t>
            </w:r>
            <w:r w:rsidR="00261C3C" w:rsidRPr="009E686F">
              <w:rPr>
                <w:rFonts w:ascii="Times New Roman" w:hAnsi="Times New Roman" w:cs="Times New Roman"/>
                <w:lang w:val="ro-RO"/>
              </w:rPr>
              <w:t xml:space="preserve">termenele </w:t>
            </w:r>
            <w:r w:rsidR="00331A8E" w:rsidRPr="009E686F">
              <w:rPr>
                <w:rFonts w:ascii="Times New Roman" w:hAnsi="Times New Roman" w:cs="Times New Roman"/>
                <w:lang w:val="ro-RO"/>
              </w:rPr>
              <w:t>de examinare a cererii</w:t>
            </w:r>
            <w:r w:rsidR="00261C3C" w:rsidRPr="009E686F">
              <w:rPr>
                <w:rFonts w:ascii="Times New Roman" w:hAnsi="Times New Roman" w:cs="Times New Roman"/>
                <w:lang w:val="ro-RO"/>
              </w:rPr>
              <w:t xml:space="preserve"> de autorizare</w:t>
            </w:r>
            <w:r w:rsidR="00331A8E" w:rsidRPr="009E686F">
              <w:rPr>
                <w:rFonts w:ascii="Times New Roman" w:hAnsi="Times New Roman" w:cs="Times New Roman"/>
                <w:lang w:val="ro-RO"/>
              </w:rPr>
              <w:t xml:space="preserve"> </w:t>
            </w:r>
            <w:r w:rsidR="00261C3C" w:rsidRPr="009E686F">
              <w:rPr>
                <w:rFonts w:ascii="Times New Roman" w:hAnsi="Times New Roman" w:cs="Times New Roman"/>
                <w:lang w:val="ro-RO"/>
              </w:rPr>
              <w:t xml:space="preserve"> care nu depășesc perioada de </w:t>
            </w:r>
            <w:r w:rsidR="00331A8E" w:rsidRPr="009E686F">
              <w:rPr>
                <w:rFonts w:ascii="Times New Roman" w:hAnsi="Times New Roman" w:cs="Times New Roman"/>
                <w:lang w:val="ro-RO"/>
              </w:rPr>
              <w:t>12 luni</w:t>
            </w:r>
            <w:r w:rsidRPr="009E686F">
              <w:rPr>
                <w:rFonts w:ascii="Times New Roman" w:hAnsi="Times New Roman" w:cs="Times New Roman"/>
                <w:lang w:val="it-CH"/>
              </w:rPr>
              <w:t>.</w:t>
            </w:r>
          </w:p>
        </w:tc>
      </w:tr>
      <w:tr w:rsidR="00B30AFC" w:rsidRPr="009E686F" w14:paraId="2C4BF818" w14:textId="3E17877C" w:rsidTr="00960C23">
        <w:tc>
          <w:tcPr>
            <w:tcW w:w="1890" w:type="pct"/>
            <w:tcBorders>
              <w:top w:val="single" w:sz="4" w:space="0" w:color="auto"/>
              <w:left w:val="single" w:sz="4" w:space="0" w:color="auto"/>
              <w:bottom w:val="single" w:sz="4" w:space="0" w:color="auto"/>
              <w:right w:val="single" w:sz="4" w:space="0" w:color="auto"/>
            </w:tcBorders>
          </w:tcPr>
          <w:p w14:paraId="4C7C4B8E" w14:textId="77777777" w:rsidR="00AB6122" w:rsidRPr="009E686F" w:rsidRDefault="00AB6122" w:rsidP="00ED2C1C">
            <w:pPr>
              <w:spacing w:after="0"/>
              <w:jc w:val="both"/>
              <w:rPr>
                <w:rFonts w:ascii="Times New Roman" w:hAnsi="Times New Roman" w:cs="Times New Roman"/>
                <w:i/>
                <w:iCs/>
                <w:lang w:val="it-CH"/>
              </w:rPr>
            </w:pPr>
            <w:r w:rsidRPr="009E686F">
              <w:rPr>
                <w:rFonts w:ascii="Times New Roman" w:hAnsi="Times New Roman" w:cs="Times New Roman"/>
                <w:i/>
                <w:iCs/>
                <w:lang w:val="it-CH"/>
              </w:rPr>
              <w:lastRenderedPageBreak/>
              <w:t>Articolul 16</w:t>
            </w:r>
          </w:p>
          <w:p w14:paraId="649FADEA" w14:textId="4BB1C770" w:rsidR="00AB6122" w:rsidRPr="009E686F" w:rsidRDefault="00AB6122" w:rsidP="00ED2C1C">
            <w:pPr>
              <w:spacing w:after="0"/>
              <w:jc w:val="both"/>
              <w:rPr>
                <w:rFonts w:ascii="Times New Roman" w:hAnsi="Times New Roman" w:cs="Times New Roman"/>
                <w:lang w:val="it-CH"/>
              </w:rPr>
            </w:pPr>
            <w:r w:rsidRPr="009E686F">
              <w:rPr>
                <w:rFonts w:ascii="Times New Roman" w:hAnsi="Times New Roman" w:cs="Times New Roman"/>
                <w:lang w:val="it-CH"/>
              </w:rPr>
              <w:t>Consultarea prealabilă a autorităților competente ale celorlalte state membre</w:t>
            </w:r>
          </w:p>
        </w:tc>
        <w:tc>
          <w:tcPr>
            <w:tcW w:w="1834" w:type="pct"/>
            <w:tcBorders>
              <w:top w:val="single" w:sz="4" w:space="0" w:color="auto"/>
              <w:left w:val="single" w:sz="4" w:space="0" w:color="auto"/>
              <w:bottom w:val="single" w:sz="4" w:space="0" w:color="auto"/>
              <w:right w:val="single" w:sz="4" w:space="0" w:color="auto"/>
            </w:tcBorders>
          </w:tcPr>
          <w:p w14:paraId="1140984C" w14:textId="7E3CE20F" w:rsidR="00AB6122" w:rsidRPr="009E686F" w:rsidRDefault="00AB6122" w:rsidP="00ED2C1C">
            <w:pPr>
              <w:spacing w:after="0"/>
              <w:jc w:val="both"/>
              <w:rPr>
                <w:rFonts w:ascii="Times New Roman" w:hAnsi="Times New Roman" w:cs="Times New Roman"/>
                <w:b/>
                <w:lang w:val="it-CH"/>
              </w:rPr>
            </w:pPr>
            <w:r w:rsidRPr="009E686F">
              <w:rPr>
                <w:rFonts w:ascii="Times New Roman" w:hAnsi="Times New Roman" w:cs="Times New Roman"/>
                <w:b/>
                <w:lang w:val="it-CH"/>
              </w:rPr>
              <w:t xml:space="preserve">Articolul 18. </w:t>
            </w:r>
            <w:r w:rsidRPr="009E686F">
              <w:rPr>
                <w:rFonts w:ascii="Times New Roman" w:hAnsi="Times New Roman" w:cs="Times New Roman"/>
                <w:lang w:val="it-CH"/>
              </w:rPr>
              <w:t xml:space="preserve">Consultarea prealabilă cu alte autorități în cadrul procesului de </w:t>
            </w:r>
            <w:r w:rsidRPr="009E686F">
              <w:rPr>
                <w:rFonts w:ascii="Times New Roman" w:hAnsi="Times New Roman" w:cs="Times New Roman"/>
                <w:i/>
                <w:iCs/>
                <w:lang w:val="it-CH"/>
              </w:rPr>
              <w:t>autorizare</w:t>
            </w:r>
          </w:p>
        </w:tc>
        <w:tc>
          <w:tcPr>
            <w:tcW w:w="470" w:type="pct"/>
            <w:tcBorders>
              <w:top w:val="single" w:sz="4" w:space="0" w:color="auto"/>
              <w:left w:val="single" w:sz="4" w:space="0" w:color="auto"/>
              <w:bottom w:val="single" w:sz="4" w:space="0" w:color="auto"/>
              <w:right w:val="single" w:sz="4" w:space="0" w:color="auto"/>
            </w:tcBorders>
          </w:tcPr>
          <w:p w14:paraId="3DE2BF7E" w14:textId="097BF9FD" w:rsidR="00AB6122" w:rsidRPr="009E686F" w:rsidRDefault="00AB6122" w:rsidP="00AB6122">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761F5D52" w14:textId="480689D6" w:rsidR="00AB6122" w:rsidRPr="009E686F" w:rsidRDefault="00AB6122" w:rsidP="00515783">
            <w:pPr>
              <w:spacing w:after="0"/>
              <w:jc w:val="both"/>
              <w:rPr>
                <w:rFonts w:ascii="Times New Roman" w:hAnsi="Times New Roman" w:cs="Times New Roman"/>
              </w:rPr>
            </w:pPr>
          </w:p>
        </w:tc>
      </w:tr>
      <w:tr w:rsidR="00B30AFC" w:rsidRPr="009E686F" w14:paraId="01246C03" w14:textId="75B9062A" w:rsidTr="00960C23">
        <w:tc>
          <w:tcPr>
            <w:tcW w:w="1890" w:type="pct"/>
            <w:tcBorders>
              <w:top w:val="single" w:sz="4" w:space="0" w:color="auto"/>
              <w:left w:val="single" w:sz="4" w:space="0" w:color="auto"/>
              <w:bottom w:val="single" w:sz="4" w:space="0" w:color="auto"/>
              <w:right w:val="single" w:sz="4" w:space="0" w:color="auto"/>
            </w:tcBorders>
          </w:tcPr>
          <w:p w14:paraId="44587D8E" w14:textId="7A3F74FE" w:rsidR="00AB6122" w:rsidRPr="009E686F" w:rsidRDefault="00AB6122" w:rsidP="00ED2C1C">
            <w:pPr>
              <w:spacing w:after="0"/>
              <w:jc w:val="both"/>
              <w:rPr>
                <w:rFonts w:ascii="Times New Roman" w:hAnsi="Times New Roman" w:cs="Times New Roman"/>
                <w:lang w:val="it-CH"/>
              </w:rPr>
            </w:pPr>
            <w:r w:rsidRPr="009E686F">
              <w:rPr>
                <w:rFonts w:ascii="Times New Roman" w:hAnsi="Times New Roman" w:cs="Times New Roman"/>
                <w:lang w:val="it-CH"/>
              </w:rPr>
              <w:t xml:space="preserve">(1) Înainte de autorizarea unei </w:t>
            </w:r>
            <w:r w:rsidR="00A51A7D" w:rsidRPr="009E686F">
              <w:rPr>
                <w:rFonts w:ascii="Times New Roman" w:hAnsi="Times New Roman" w:cs="Times New Roman"/>
                <w:lang w:val="it-CH"/>
              </w:rPr>
              <w:t>instituții de credit</w:t>
            </w:r>
            <w:r w:rsidRPr="009E686F">
              <w:rPr>
                <w:rFonts w:ascii="Times New Roman" w:hAnsi="Times New Roman" w:cs="Times New Roman"/>
                <w:lang w:val="it-CH"/>
              </w:rPr>
              <w:t xml:space="preserve">, autoritatea competentă consultă autoritățile competente dintr-un alt stat membru în care </w:t>
            </w:r>
            <w:r w:rsidR="00A51A7D" w:rsidRPr="009E686F">
              <w:rPr>
                <w:rFonts w:ascii="Times New Roman" w:hAnsi="Times New Roman" w:cs="Times New Roman"/>
                <w:lang w:val="it-CH"/>
              </w:rPr>
              <w:t>instituția de credit</w:t>
            </w:r>
            <w:r w:rsidRPr="009E686F">
              <w:rPr>
                <w:rFonts w:ascii="Times New Roman" w:hAnsi="Times New Roman" w:cs="Times New Roman"/>
                <w:lang w:val="it-CH"/>
              </w:rPr>
              <w:t xml:space="preserve"> este:</w:t>
            </w:r>
          </w:p>
        </w:tc>
        <w:tc>
          <w:tcPr>
            <w:tcW w:w="1834" w:type="pct"/>
            <w:tcBorders>
              <w:top w:val="single" w:sz="4" w:space="0" w:color="auto"/>
              <w:left w:val="single" w:sz="4" w:space="0" w:color="auto"/>
              <w:bottom w:val="single" w:sz="4" w:space="0" w:color="auto"/>
              <w:right w:val="single" w:sz="4" w:space="0" w:color="auto"/>
            </w:tcBorders>
          </w:tcPr>
          <w:p w14:paraId="494BBC56" w14:textId="46604ADC" w:rsidR="00AB6122" w:rsidRPr="009E686F" w:rsidRDefault="00AB6122" w:rsidP="00ED2C1C">
            <w:pPr>
              <w:spacing w:after="0"/>
              <w:jc w:val="both"/>
              <w:rPr>
                <w:rFonts w:ascii="Times New Roman" w:hAnsi="Times New Roman" w:cs="Times New Roman"/>
                <w:lang w:val="it-CH"/>
              </w:rPr>
            </w:pPr>
            <w:r w:rsidRPr="009E686F">
              <w:rPr>
                <w:rFonts w:ascii="Times New Roman" w:hAnsi="Times New Roman" w:cs="Times New Roman"/>
                <w:lang w:val="it-CH"/>
              </w:rPr>
              <w:t xml:space="preserve">(1) Înainte de a </w:t>
            </w:r>
            <w:r w:rsidRPr="009E686F">
              <w:rPr>
                <w:rFonts w:ascii="Times New Roman" w:hAnsi="Times New Roman" w:cs="Times New Roman"/>
                <w:i/>
                <w:lang w:val="it-CH"/>
              </w:rPr>
              <w:t>autoriza</w:t>
            </w:r>
            <w:r w:rsidRPr="009E686F">
              <w:rPr>
                <w:rFonts w:ascii="Times New Roman" w:hAnsi="Times New Roman" w:cs="Times New Roman"/>
                <w:lang w:val="it-CH"/>
              </w:rPr>
              <w:t xml:space="preserve"> o </w:t>
            </w:r>
            <w:r w:rsidR="00A51A7D" w:rsidRPr="009E686F">
              <w:rPr>
                <w:rFonts w:ascii="Times New Roman" w:hAnsi="Times New Roman" w:cs="Times New Roman"/>
                <w:i/>
                <w:lang w:val="it-CH"/>
              </w:rPr>
              <w:t>instituție de credit</w:t>
            </w:r>
            <w:r w:rsidRPr="009E686F">
              <w:rPr>
                <w:rFonts w:ascii="Times New Roman" w:hAnsi="Times New Roman" w:cs="Times New Roman"/>
                <w:lang w:val="it-CH"/>
              </w:rPr>
              <w:t xml:space="preserve">, Banca Națională a Moldovei se consultă cu autoritățile competente ale altui stat </w:t>
            </w:r>
            <w:r w:rsidRPr="009E686F">
              <w:rPr>
                <w:rFonts w:ascii="Times New Roman" w:hAnsi="Times New Roman" w:cs="Times New Roman"/>
                <w:i/>
                <w:lang w:val="it-CH"/>
              </w:rPr>
              <w:t>membru</w:t>
            </w:r>
            <w:r w:rsidRPr="009E686F">
              <w:rPr>
                <w:rFonts w:ascii="Times New Roman" w:hAnsi="Times New Roman" w:cs="Times New Roman"/>
                <w:lang w:val="it-CH"/>
              </w:rPr>
              <w:t>, dacă:</w:t>
            </w:r>
          </w:p>
        </w:tc>
        <w:tc>
          <w:tcPr>
            <w:tcW w:w="470" w:type="pct"/>
            <w:tcBorders>
              <w:top w:val="single" w:sz="4" w:space="0" w:color="auto"/>
              <w:left w:val="single" w:sz="4" w:space="0" w:color="auto"/>
              <w:bottom w:val="single" w:sz="4" w:space="0" w:color="auto"/>
              <w:right w:val="single" w:sz="4" w:space="0" w:color="auto"/>
            </w:tcBorders>
          </w:tcPr>
          <w:p w14:paraId="2A16831B" w14:textId="743221BF" w:rsidR="00AB6122" w:rsidRPr="009E686F" w:rsidRDefault="00AB6122" w:rsidP="00AB6122">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79851285" w14:textId="3ED91C11" w:rsidR="00AB6122" w:rsidRPr="009E686F" w:rsidRDefault="00AB6122" w:rsidP="00515783">
            <w:pPr>
              <w:spacing w:after="0"/>
              <w:jc w:val="both"/>
              <w:rPr>
                <w:rFonts w:ascii="Times New Roman" w:hAnsi="Times New Roman" w:cs="Times New Roman"/>
              </w:rPr>
            </w:pPr>
          </w:p>
        </w:tc>
      </w:tr>
      <w:tr w:rsidR="00B30AFC" w:rsidRPr="009E686F" w14:paraId="34C6C2AB" w14:textId="4CBD7AA8" w:rsidTr="00960C23">
        <w:tc>
          <w:tcPr>
            <w:tcW w:w="1890" w:type="pct"/>
            <w:tcBorders>
              <w:top w:val="single" w:sz="4" w:space="0" w:color="auto"/>
              <w:left w:val="single" w:sz="4" w:space="0" w:color="auto"/>
              <w:bottom w:val="single" w:sz="4" w:space="0" w:color="auto"/>
              <w:right w:val="single" w:sz="4" w:space="0" w:color="auto"/>
            </w:tcBorders>
          </w:tcPr>
          <w:p w14:paraId="3CBD4A90" w14:textId="70A1C827" w:rsidR="00AB6122" w:rsidRPr="009E686F" w:rsidRDefault="00AB6122" w:rsidP="00ED2C1C">
            <w:pPr>
              <w:spacing w:after="0"/>
              <w:jc w:val="both"/>
              <w:rPr>
                <w:rFonts w:ascii="Times New Roman" w:hAnsi="Times New Roman" w:cs="Times New Roman"/>
                <w:lang w:val="it-CH"/>
              </w:rPr>
            </w:pPr>
            <w:r w:rsidRPr="009E686F">
              <w:rPr>
                <w:rFonts w:ascii="Times New Roman" w:hAnsi="Times New Roman" w:cs="Times New Roman"/>
                <w:lang w:val="it-CH"/>
              </w:rPr>
              <w:t xml:space="preserve">(a) filiala unei </w:t>
            </w:r>
            <w:r w:rsidR="00A51A7D" w:rsidRPr="009E686F">
              <w:rPr>
                <w:rFonts w:ascii="Times New Roman" w:hAnsi="Times New Roman" w:cs="Times New Roman"/>
                <w:lang w:val="it-CH"/>
              </w:rPr>
              <w:t>instituții de credit</w:t>
            </w:r>
            <w:r w:rsidRPr="009E686F">
              <w:rPr>
                <w:rFonts w:ascii="Times New Roman" w:hAnsi="Times New Roman" w:cs="Times New Roman"/>
                <w:lang w:val="it-CH"/>
              </w:rPr>
              <w:t xml:space="preserve"> autorizate în acel alt stat membru;</w:t>
            </w:r>
          </w:p>
        </w:tc>
        <w:tc>
          <w:tcPr>
            <w:tcW w:w="1834" w:type="pct"/>
            <w:tcBorders>
              <w:top w:val="single" w:sz="4" w:space="0" w:color="auto"/>
              <w:left w:val="single" w:sz="4" w:space="0" w:color="auto"/>
              <w:bottom w:val="single" w:sz="4" w:space="0" w:color="auto"/>
              <w:right w:val="single" w:sz="4" w:space="0" w:color="auto"/>
            </w:tcBorders>
          </w:tcPr>
          <w:p w14:paraId="358663BE" w14:textId="521C6C01" w:rsidR="00AB6122" w:rsidRPr="009E686F" w:rsidRDefault="00AB6122" w:rsidP="00ED2C1C">
            <w:pPr>
              <w:spacing w:after="0"/>
              <w:jc w:val="both"/>
              <w:rPr>
                <w:rFonts w:ascii="Times New Roman" w:hAnsi="Times New Roman" w:cs="Times New Roman"/>
                <w:lang w:val="pt-BR"/>
              </w:rPr>
            </w:pPr>
            <w:r w:rsidRPr="009E686F">
              <w:rPr>
                <w:rFonts w:ascii="Times New Roman" w:hAnsi="Times New Roman" w:cs="Times New Roman"/>
                <w:lang w:val="pt-BR"/>
              </w:rPr>
              <w:t xml:space="preserve">a) </w:t>
            </w:r>
            <w:r w:rsidR="00A51A7D" w:rsidRPr="009E686F">
              <w:rPr>
                <w:rFonts w:ascii="Times New Roman" w:hAnsi="Times New Roman" w:cs="Times New Roman"/>
                <w:i/>
                <w:iCs/>
                <w:lang w:val="pt-BR"/>
              </w:rPr>
              <w:t>instituția de credit</w:t>
            </w:r>
            <w:r w:rsidRPr="009E686F">
              <w:rPr>
                <w:rFonts w:ascii="Times New Roman" w:hAnsi="Times New Roman" w:cs="Times New Roman"/>
                <w:lang w:val="pt-BR"/>
              </w:rPr>
              <w:t xml:space="preserve">  este o filială a unei </w:t>
            </w:r>
            <w:r w:rsidR="00A51A7D" w:rsidRPr="009E686F">
              <w:rPr>
                <w:rFonts w:ascii="Times New Roman" w:hAnsi="Times New Roman" w:cs="Times New Roman"/>
                <w:i/>
                <w:iCs/>
                <w:lang w:val="pt-BR"/>
              </w:rPr>
              <w:t>instituții de credit</w:t>
            </w:r>
            <w:r w:rsidRPr="009E686F">
              <w:rPr>
                <w:rFonts w:ascii="Times New Roman" w:hAnsi="Times New Roman" w:cs="Times New Roman"/>
                <w:lang w:val="pt-BR"/>
              </w:rPr>
              <w:t xml:space="preserve"> </w:t>
            </w:r>
            <w:r w:rsidRPr="009E686F">
              <w:rPr>
                <w:rFonts w:ascii="Times New Roman" w:hAnsi="Times New Roman" w:cs="Times New Roman"/>
                <w:i/>
                <w:iCs/>
                <w:lang w:val="pt-BR"/>
              </w:rPr>
              <w:t>dintr-un alt stat membru</w:t>
            </w:r>
            <w:r w:rsidRPr="009E686F">
              <w:rPr>
                <w:rFonts w:ascii="Times New Roman" w:hAnsi="Times New Roman" w:cs="Times New Roman"/>
                <w:lang w:val="pt-BR"/>
              </w:rPr>
              <w:t>;</w:t>
            </w:r>
          </w:p>
        </w:tc>
        <w:tc>
          <w:tcPr>
            <w:tcW w:w="470" w:type="pct"/>
            <w:tcBorders>
              <w:top w:val="single" w:sz="4" w:space="0" w:color="auto"/>
              <w:left w:val="single" w:sz="4" w:space="0" w:color="auto"/>
              <w:bottom w:val="single" w:sz="4" w:space="0" w:color="auto"/>
              <w:right w:val="single" w:sz="4" w:space="0" w:color="auto"/>
            </w:tcBorders>
          </w:tcPr>
          <w:p w14:paraId="5799D5C5" w14:textId="424584C8" w:rsidR="00AB6122" w:rsidRPr="009E686F" w:rsidRDefault="00AB6122" w:rsidP="00AB6122">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7FAD41EB" w14:textId="3CB06EDD" w:rsidR="00AB6122" w:rsidRPr="009E686F" w:rsidRDefault="00AB6122" w:rsidP="00515783">
            <w:pPr>
              <w:spacing w:after="0"/>
              <w:jc w:val="both"/>
              <w:rPr>
                <w:rFonts w:ascii="Times New Roman" w:hAnsi="Times New Roman" w:cs="Times New Roman"/>
              </w:rPr>
            </w:pPr>
          </w:p>
        </w:tc>
      </w:tr>
      <w:tr w:rsidR="00B30AFC" w:rsidRPr="009E686F" w14:paraId="0BF4D5B0" w14:textId="45ADE0B6" w:rsidTr="00960C23">
        <w:tc>
          <w:tcPr>
            <w:tcW w:w="1890" w:type="pct"/>
            <w:tcBorders>
              <w:top w:val="single" w:sz="4" w:space="0" w:color="auto"/>
              <w:left w:val="single" w:sz="4" w:space="0" w:color="auto"/>
              <w:bottom w:val="single" w:sz="4" w:space="0" w:color="auto"/>
              <w:right w:val="single" w:sz="4" w:space="0" w:color="auto"/>
            </w:tcBorders>
          </w:tcPr>
          <w:p w14:paraId="15D21F6D" w14:textId="642550B5" w:rsidR="00AB6122" w:rsidRPr="009E686F" w:rsidRDefault="00AB6122" w:rsidP="00ED2C1C">
            <w:pPr>
              <w:spacing w:after="0"/>
              <w:jc w:val="both"/>
              <w:rPr>
                <w:rFonts w:ascii="Times New Roman" w:hAnsi="Times New Roman" w:cs="Times New Roman"/>
                <w:lang w:val="it-CH"/>
              </w:rPr>
            </w:pPr>
            <w:r w:rsidRPr="009E686F">
              <w:rPr>
                <w:rFonts w:ascii="Times New Roman" w:hAnsi="Times New Roman" w:cs="Times New Roman"/>
                <w:lang w:val="it-CH"/>
              </w:rPr>
              <w:t xml:space="preserve">(b) filiala unei întreprinderi-mamă a unei </w:t>
            </w:r>
            <w:r w:rsidR="00A51A7D" w:rsidRPr="009E686F">
              <w:rPr>
                <w:rFonts w:ascii="Times New Roman" w:hAnsi="Times New Roman" w:cs="Times New Roman"/>
                <w:lang w:val="it-CH"/>
              </w:rPr>
              <w:t>instituții de credit</w:t>
            </w:r>
            <w:r w:rsidRPr="009E686F">
              <w:rPr>
                <w:rFonts w:ascii="Times New Roman" w:hAnsi="Times New Roman" w:cs="Times New Roman"/>
                <w:lang w:val="it-CH"/>
              </w:rPr>
              <w:t xml:space="preserve"> autorizate în alt stat membru;</w:t>
            </w:r>
          </w:p>
        </w:tc>
        <w:tc>
          <w:tcPr>
            <w:tcW w:w="1834" w:type="pct"/>
            <w:tcBorders>
              <w:top w:val="single" w:sz="4" w:space="0" w:color="auto"/>
              <w:left w:val="single" w:sz="4" w:space="0" w:color="auto"/>
              <w:bottom w:val="single" w:sz="4" w:space="0" w:color="auto"/>
              <w:right w:val="single" w:sz="4" w:space="0" w:color="auto"/>
            </w:tcBorders>
          </w:tcPr>
          <w:p w14:paraId="29E5EE85" w14:textId="1A0E1B7A" w:rsidR="00AB6122" w:rsidRPr="009E686F" w:rsidRDefault="00AB6122" w:rsidP="00ED2C1C">
            <w:pPr>
              <w:spacing w:after="0"/>
              <w:jc w:val="both"/>
              <w:rPr>
                <w:rFonts w:ascii="Times New Roman" w:hAnsi="Times New Roman" w:cs="Times New Roman"/>
                <w:lang w:val="it-CH"/>
              </w:rPr>
            </w:pPr>
            <w:r w:rsidRPr="009E686F">
              <w:rPr>
                <w:rFonts w:ascii="Times New Roman" w:hAnsi="Times New Roman" w:cs="Times New Roman"/>
                <w:lang w:val="it-CH"/>
              </w:rPr>
              <w:t xml:space="preserve">b) </w:t>
            </w:r>
            <w:r w:rsidR="00A51A7D" w:rsidRPr="009E686F">
              <w:rPr>
                <w:rFonts w:ascii="Times New Roman" w:hAnsi="Times New Roman" w:cs="Times New Roman"/>
                <w:i/>
                <w:iCs/>
                <w:lang w:val="it-CH"/>
              </w:rPr>
              <w:t>instituția de credit</w:t>
            </w:r>
            <w:r w:rsidRPr="009E686F">
              <w:rPr>
                <w:rFonts w:ascii="Times New Roman" w:hAnsi="Times New Roman" w:cs="Times New Roman"/>
                <w:lang w:val="it-CH"/>
              </w:rPr>
              <w:t xml:space="preserve"> este o filială a întreprinderii-mamă a unei </w:t>
            </w:r>
            <w:r w:rsidR="00A51A7D" w:rsidRPr="009E686F">
              <w:rPr>
                <w:rFonts w:ascii="Times New Roman" w:hAnsi="Times New Roman" w:cs="Times New Roman"/>
                <w:i/>
                <w:iCs/>
                <w:lang w:val="it-CH"/>
              </w:rPr>
              <w:t>instituții de credit</w:t>
            </w:r>
            <w:r w:rsidRPr="009E686F">
              <w:rPr>
                <w:rFonts w:ascii="Times New Roman" w:hAnsi="Times New Roman" w:cs="Times New Roman"/>
                <w:lang w:val="it-CH"/>
              </w:rPr>
              <w:t xml:space="preserve"> </w:t>
            </w:r>
            <w:r w:rsidRPr="009E686F">
              <w:rPr>
                <w:rFonts w:ascii="Times New Roman" w:hAnsi="Times New Roman" w:cs="Times New Roman"/>
                <w:i/>
                <w:iCs/>
                <w:lang w:val="it-CH"/>
              </w:rPr>
              <w:t>dintr-un alt</w:t>
            </w:r>
            <w:r w:rsidRPr="009E686F">
              <w:rPr>
                <w:rFonts w:ascii="Times New Roman" w:hAnsi="Times New Roman" w:cs="Times New Roman"/>
                <w:lang w:val="it-CH"/>
              </w:rPr>
              <w:t xml:space="preserve"> stat</w:t>
            </w:r>
            <w:r w:rsidR="00BB4ADE" w:rsidRPr="009E686F">
              <w:rPr>
                <w:rFonts w:ascii="Times New Roman" w:hAnsi="Times New Roman" w:cs="Times New Roman"/>
                <w:lang w:val="it-CH"/>
              </w:rPr>
              <w:t xml:space="preserve"> </w:t>
            </w:r>
            <w:r w:rsidR="00BB4ADE" w:rsidRPr="009E686F">
              <w:rPr>
                <w:rFonts w:ascii="Times New Roman" w:hAnsi="Times New Roman" w:cs="Times New Roman"/>
                <w:i/>
                <w:iCs/>
                <w:lang w:val="it-CH"/>
              </w:rPr>
              <w:t>membru</w:t>
            </w:r>
            <w:r w:rsidRPr="009E686F">
              <w:rPr>
                <w:rFonts w:ascii="Times New Roman" w:hAnsi="Times New Roman" w:cs="Times New Roman"/>
                <w:lang w:val="it-CH"/>
              </w:rPr>
              <w:t xml:space="preserve">; </w:t>
            </w:r>
          </w:p>
        </w:tc>
        <w:tc>
          <w:tcPr>
            <w:tcW w:w="470" w:type="pct"/>
            <w:tcBorders>
              <w:top w:val="single" w:sz="4" w:space="0" w:color="auto"/>
              <w:left w:val="single" w:sz="4" w:space="0" w:color="auto"/>
              <w:bottom w:val="single" w:sz="4" w:space="0" w:color="auto"/>
              <w:right w:val="single" w:sz="4" w:space="0" w:color="auto"/>
            </w:tcBorders>
          </w:tcPr>
          <w:p w14:paraId="0CF9B589" w14:textId="0003BFC2" w:rsidR="00AB6122" w:rsidRPr="009E686F" w:rsidRDefault="00AB6122" w:rsidP="00AB6122">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74FC3E74" w14:textId="43AADD54" w:rsidR="00AB6122" w:rsidRPr="009E686F" w:rsidRDefault="00AB6122" w:rsidP="00515783">
            <w:pPr>
              <w:spacing w:after="0"/>
              <w:jc w:val="both"/>
              <w:rPr>
                <w:rFonts w:ascii="Times New Roman" w:hAnsi="Times New Roman" w:cs="Times New Roman"/>
              </w:rPr>
            </w:pPr>
          </w:p>
        </w:tc>
      </w:tr>
      <w:tr w:rsidR="00B30AFC" w:rsidRPr="009E686F" w14:paraId="02DAD845" w14:textId="21240D1A" w:rsidTr="00960C23">
        <w:tc>
          <w:tcPr>
            <w:tcW w:w="1890" w:type="pct"/>
            <w:tcBorders>
              <w:top w:val="single" w:sz="4" w:space="0" w:color="auto"/>
              <w:left w:val="single" w:sz="4" w:space="0" w:color="auto"/>
              <w:bottom w:val="single" w:sz="4" w:space="0" w:color="auto"/>
              <w:right w:val="single" w:sz="4" w:space="0" w:color="auto"/>
            </w:tcBorders>
          </w:tcPr>
          <w:p w14:paraId="57D8B2EF" w14:textId="5364F04A" w:rsidR="00AB6122" w:rsidRPr="009E686F" w:rsidRDefault="00AB6122" w:rsidP="00ED2C1C">
            <w:pPr>
              <w:spacing w:after="0"/>
              <w:jc w:val="both"/>
              <w:rPr>
                <w:rFonts w:ascii="Times New Roman" w:hAnsi="Times New Roman" w:cs="Times New Roman"/>
                <w:lang w:val="pt-BR"/>
              </w:rPr>
            </w:pPr>
            <w:r w:rsidRPr="009E686F">
              <w:rPr>
                <w:rFonts w:ascii="Times New Roman" w:hAnsi="Times New Roman" w:cs="Times New Roman"/>
                <w:lang w:val="pt-BR"/>
              </w:rPr>
              <w:t xml:space="preserve">(c) controlată de aceleași persoane fizice sau juridice precum cele care controlează o </w:t>
            </w:r>
            <w:r w:rsidR="00A51A7D" w:rsidRPr="009E686F">
              <w:rPr>
                <w:rFonts w:ascii="Times New Roman" w:hAnsi="Times New Roman" w:cs="Times New Roman"/>
                <w:lang w:val="pt-BR"/>
              </w:rPr>
              <w:t>instituție de credit</w:t>
            </w:r>
            <w:r w:rsidRPr="009E686F">
              <w:rPr>
                <w:rFonts w:ascii="Times New Roman" w:hAnsi="Times New Roman" w:cs="Times New Roman"/>
                <w:lang w:val="pt-BR"/>
              </w:rPr>
              <w:t xml:space="preserve"> autorizată în acel alt stat membru.</w:t>
            </w:r>
          </w:p>
        </w:tc>
        <w:tc>
          <w:tcPr>
            <w:tcW w:w="1834" w:type="pct"/>
            <w:tcBorders>
              <w:top w:val="single" w:sz="4" w:space="0" w:color="auto"/>
              <w:left w:val="single" w:sz="4" w:space="0" w:color="auto"/>
              <w:bottom w:val="single" w:sz="4" w:space="0" w:color="auto"/>
              <w:right w:val="single" w:sz="4" w:space="0" w:color="auto"/>
            </w:tcBorders>
          </w:tcPr>
          <w:p w14:paraId="77E88C10" w14:textId="514E94E2" w:rsidR="00AB6122" w:rsidRPr="009E686F" w:rsidRDefault="00AB6122" w:rsidP="00ED2C1C">
            <w:pPr>
              <w:spacing w:after="0"/>
              <w:jc w:val="both"/>
              <w:rPr>
                <w:rFonts w:ascii="Times New Roman" w:hAnsi="Times New Roman" w:cs="Times New Roman"/>
                <w:lang w:val="pt-BR"/>
              </w:rPr>
            </w:pPr>
            <w:r w:rsidRPr="009E686F">
              <w:rPr>
                <w:rFonts w:ascii="Times New Roman" w:hAnsi="Times New Roman" w:cs="Times New Roman"/>
                <w:lang w:val="pt-BR"/>
              </w:rPr>
              <w:t xml:space="preserve">c) </w:t>
            </w:r>
            <w:r w:rsidR="00A51A7D" w:rsidRPr="009E686F">
              <w:rPr>
                <w:rFonts w:ascii="Times New Roman" w:hAnsi="Times New Roman" w:cs="Times New Roman"/>
                <w:i/>
                <w:iCs/>
                <w:lang w:val="pt-BR"/>
              </w:rPr>
              <w:t>instituția de credit</w:t>
            </w:r>
            <w:r w:rsidRPr="009E686F">
              <w:rPr>
                <w:rFonts w:ascii="Times New Roman" w:hAnsi="Times New Roman" w:cs="Times New Roman"/>
                <w:lang w:val="pt-BR"/>
              </w:rPr>
              <w:t xml:space="preserve"> este controlată de aceleaşi persoane care controlează o </w:t>
            </w:r>
            <w:r w:rsidR="00A51A7D" w:rsidRPr="009E686F">
              <w:rPr>
                <w:rFonts w:ascii="Times New Roman" w:hAnsi="Times New Roman" w:cs="Times New Roman"/>
                <w:i/>
                <w:iCs/>
                <w:lang w:val="pt-BR"/>
              </w:rPr>
              <w:t>instituție de credit</w:t>
            </w:r>
            <w:r w:rsidRPr="009E686F">
              <w:rPr>
                <w:rFonts w:ascii="Times New Roman" w:hAnsi="Times New Roman" w:cs="Times New Roman"/>
                <w:lang w:val="pt-BR"/>
              </w:rPr>
              <w:t xml:space="preserve"> </w:t>
            </w:r>
            <w:r w:rsidRPr="009E686F">
              <w:rPr>
                <w:rFonts w:ascii="Times New Roman" w:hAnsi="Times New Roman" w:cs="Times New Roman"/>
                <w:i/>
                <w:iCs/>
                <w:lang w:val="pt-BR"/>
              </w:rPr>
              <w:t>autorizată</w:t>
            </w:r>
            <w:r w:rsidRPr="009E686F">
              <w:rPr>
                <w:rFonts w:ascii="Times New Roman" w:hAnsi="Times New Roman" w:cs="Times New Roman"/>
                <w:lang w:val="pt-BR"/>
              </w:rPr>
              <w:t xml:space="preserve"> </w:t>
            </w:r>
            <w:r w:rsidRPr="009E686F">
              <w:rPr>
                <w:rFonts w:ascii="Times New Roman" w:hAnsi="Times New Roman" w:cs="Times New Roman"/>
                <w:i/>
                <w:iCs/>
                <w:lang w:val="pt-BR"/>
              </w:rPr>
              <w:t>într-un alt stat membru</w:t>
            </w:r>
            <w:r w:rsidRPr="009E686F">
              <w:rPr>
                <w:rFonts w:ascii="Times New Roman" w:hAnsi="Times New Roman" w:cs="Times New Roman"/>
                <w:lang w:val="pt-BR"/>
              </w:rPr>
              <w:t>.</w:t>
            </w:r>
          </w:p>
        </w:tc>
        <w:tc>
          <w:tcPr>
            <w:tcW w:w="470" w:type="pct"/>
            <w:tcBorders>
              <w:top w:val="single" w:sz="4" w:space="0" w:color="auto"/>
              <w:left w:val="single" w:sz="4" w:space="0" w:color="auto"/>
              <w:bottom w:val="single" w:sz="4" w:space="0" w:color="auto"/>
              <w:right w:val="single" w:sz="4" w:space="0" w:color="auto"/>
            </w:tcBorders>
          </w:tcPr>
          <w:p w14:paraId="7D9D2BE5" w14:textId="2AE01373" w:rsidR="00AB6122" w:rsidRPr="009E686F" w:rsidRDefault="00AB6122" w:rsidP="00AB6122">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2F524982" w14:textId="62B61053" w:rsidR="00AB6122" w:rsidRPr="009E686F" w:rsidRDefault="00AB6122" w:rsidP="00515783">
            <w:pPr>
              <w:spacing w:after="0"/>
              <w:jc w:val="both"/>
              <w:rPr>
                <w:rFonts w:ascii="Times New Roman" w:hAnsi="Times New Roman" w:cs="Times New Roman"/>
              </w:rPr>
            </w:pPr>
          </w:p>
        </w:tc>
      </w:tr>
      <w:tr w:rsidR="00B30AFC" w:rsidRPr="009E686F" w14:paraId="05C74E74" w14:textId="3DA8B128" w:rsidTr="00960C23">
        <w:tc>
          <w:tcPr>
            <w:tcW w:w="1890" w:type="pct"/>
            <w:tcBorders>
              <w:top w:val="single" w:sz="4" w:space="0" w:color="auto"/>
              <w:left w:val="single" w:sz="4" w:space="0" w:color="auto"/>
              <w:bottom w:val="single" w:sz="4" w:space="0" w:color="auto"/>
              <w:right w:val="single" w:sz="4" w:space="0" w:color="auto"/>
            </w:tcBorders>
          </w:tcPr>
          <w:p w14:paraId="57BD63D9" w14:textId="333F6A0A" w:rsidR="00AB6122" w:rsidRPr="009E686F" w:rsidRDefault="00AB6122" w:rsidP="00ED2C1C">
            <w:pPr>
              <w:spacing w:after="0"/>
              <w:jc w:val="both"/>
              <w:rPr>
                <w:rFonts w:ascii="Times New Roman" w:hAnsi="Times New Roman" w:cs="Times New Roman"/>
                <w:lang w:val="pt-BR"/>
              </w:rPr>
            </w:pPr>
            <w:r w:rsidRPr="009E686F">
              <w:rPr>
                <w:rFonts w:ascii="Times New Roman" w:hAnsi="Times New Roman" w:cs="Times New Roman"/>
                <w:lang w:val="pt-BR"/>
              </w:rPr>
              <w:t xml:space="preserve">(2) Autoritatea competentă consultă, înainte de a acorda autorizație unei </w:t>
            </w:r>
            <w:r w:rsidR="00A51A7D" w:rsidRPr="009E686F">
              <w:rPr>
                <w:rFonts w:ascii="Times New Roman" w:hAnsi="Times New Roman" w:cs="Times New Roman"/>
                <w:lang w:val="pt-BR"/>
              </w:rPr>
              <w:t>instituții de credit</w:t>
            </w:r>
            <w:r w:rsidRPr="009E686F">
              <w:rPr>
                <w:rFonts w:ascii="Times New Roman" w:hAnsi="Times New Roman" w:cs="Times New Roman"/>
                <w:lang w:val="pt-BR"/>
              </w:rPr>
              <w:t xml:space="preserve">, autoritatea competentă care este responsabilă cu supravegherea întreprinderilor de asigurare sau a firmelor de investiții în statul membru respectiv în care </w:t>
            </w:r>
            <w:r w:rsidR="00A51A7D" w:rsidRPr="009E686F">
              <w:rPr>
                <w:rFonts w:ascii="Times New Roman" w:hAnsi="Times New Roman" w:cs="Times New Roman"/>
                <w:lang w:val="pt-BR"/>
              </w:rPr>
              <w:t>instituția de credit</w:t>
            </w:r>
            <w:r w:rsidRPr="009E686F">
              <w:rPr>
                <w:rFonts w:ascii="Times New Roman" w:hAnsi="Times New Roman" w:cs="Times New Roman"/>
                <w:lang w:val="pt-BR"/>
              </w:rPr>
              <w:t xml:space="preserve"> este:</w:t>
            </w:r>
          </w:p>
        </w:tc>
        <w:tc>
          <w:tcPr>
            <w:tcW w:w="1834" w:type="pct"/>
            <w:tcBorders>
              <w:top w:val="single" w:sz="4" w:space="0" w:color="auto"/>
              <w:left w:val="single" w:sz="4" w:space="0" w:color="auto"/>
              <w:bottom w:val="single" w:sz="4" w:space="0" w:color="auto"/>
              <w:right w:val="single" w:sz="4" w:space="0" w:color="auto"/>
            </w:tcBorders>
          </w:tcPr>
          <w:p w14:paraId="49BB7504" w14:textId="00D160CE" w:rsidR="00AB6122" w:rsidRPr="009E686F" w:rsidRDefault="00AB6122" w:rsidP="00ED2C1C">
            <w:pPr>
              <w:spacing w:after="0"/>
              <w:jc w:val="both"/>
              <w:rPr>
                <w:rFonts w:ascii="Times New Roman" w:hAnsi="Times New Roman" w:cs="Times New Roman"/>
                <w:lang w:val="pt-BR"/>
              </w:rPr>
            </w:pPr>
            <w:r w:rsidRPr="009E686F">
              <w:rPr>
                <w:rFonts w:ascii="Times New Roman" w:hAnsi="Times New Roman" w:cs="Times New Roman"/>
                <w:lang w:val="pt-BR"/>
              </w:rPr>
              <w:t xml:space="preserve">(2) Înainte de a </w:t>
            </w:r>
            <w:r w:rsidR="00E006B7" w:rsidRPr="009E686F">
              <w:rPr>
                <w:rFonts w:ascii="Times New Roman" w:hAnsi="Times New Roman" w:cs="Times New Roman"/>
                <w:i/>
                <w:lang w:val="pt-BR"/>
              </w:rPr>
              <w:t>autoriza</w:t>
            </w:r>
            <w:r w:rsidRPr="009E686F">
              <w:rPr>
                <w:rFonts w:ascii="Times New Roman" w:hAnsi="Times New Roman" w:cs="Times New Roman"/>
                <w:lang w:val="pt-BR"/>
              </w:rPr>
              <w:t xml:space="preserve"> o </w:t>
            </w:r>
            <w:r w:rsidR="00A51A7D" w:rsidRPr="009E686F">
              <w:rPr>
                <w:rFonts w:ascii="Times New Roman" w:hAnsi="Times New Roman" w:cs="Times New Roman"/>
                <w:i/>
                <w:lang w:val="pt-BR"/>
              </w:rPr>
              <w:t>instituție de credit</w:t>
            </w:r>
            <w:r w:rsidR="00E006B7" w:rsidRPr="009E686F">
              <w:rPr>
                <w:rFonts w:ascii="Times New Roman" w:hAnsi="Times New Roman" w:cs="Times New Roman"/>
                <w:lang w:val="pt-BR"/>
              </w:rPr>
              <w:t>,</w:t>
            </w:r>
            <w:r w:rsidRPr="009E686F">
              <w:rPr>
                <w:rFonts w:ascii="Times New Roman" w:hAnsi="Times New Roman" w:cs="Times New Roman"/>
                <w:lang w:val="pt-BR"/>
              </w:rPr>
              <w:t xml:space="preserve"> Banca Națională a Moldovei se consultă cu Comisia Națională a Pieței Financiare, cu autoritatea competentă responsabilă cu supravegherea societăților de investiții sau asigurătorilor </w:t>
            </w:r>
            <w:r w:rsidRPr="009E686F">
              <w:rPr>
                <w:rFonts w:ascii="Times New Roman" w:hAnsi="Times New Roman" w:cs="Times New Roman"/>
                <w:i/>
                <w:iCs/>
                <w:lang w:val="pt-BR"/>
              </w:rPr>
              <w:t>dintr-un alt</w:t>
            </w:r>
            <w:r w:rsidRPr="009E686F">
              <w:rPr>
                <w:rFonts w:ascii="Times New Roman" w:hAnsi="Times New Roman" w:cs="Times New Roman"/>
                <w:lang w:val="pt-BR"/>
              </w:rPr>
              <w:t xml:space="preserve"> stat</w:t>
            </w:r>
            <w:r w:rsidRPr="009E686F">
              <w:rPr>
                <w:rFonts w:ascii="Times New Roman" w:hAnsi="Times New Roman" w:cs="Times New Roman"/>
                <w:i/>
                <w:lang w:val="pt-BR"/>
              </w:rPr>
              <w:t xml:space="preserve"> membru</w:t>
            </w:r>
            <w:r w:rsidRPr="009E686F">
              <w:rPr>
                <w:rFonts w:ascii="Times New Roman" w:hAnsi="Times New Roman" w:cs="Times New Roman"/>
                <w:lang w:val="pt-BR"/>
              </w:rPr>
              <w:t xml:space="preserve"> dacă:</w:t>
            </w:r>
          </w:p>
        </w:tc>
        <w:tc>
          <w:tcPr>
            <w:tcW w:w="470" w:type="pct"/>
            <w:tcBorders>
              <w:top w:val="single" w:sz="4" w:space="0" w:color="auto"/>
              <w:left w:val="single" w:sz="4" w:space="0" w:color="auto"/>
              <w:bottom w:val="single" w:sz="4" w:space="0" w:color="auto"/>
              <w:right w:val="single" w:sz="4" w:space="0" w:color="auto"/>
            </w:tcBorders>
          </w:tcPr>
          <w:p w14:paraId="409D573F" w14:textId="7156EF6D" w:rsidR="00AB6122" w:rsidRPr="009E686F" w:rsidRDefault="00AB6122" w:rsidP="00AB6122">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3785096C" w14:textId="11A9F80A" w:rsidR="00AB6122" w:rsidRPr="009E686F" w:rsidRDefault="00AB6122" w:rsidP="00515783">
            <w:pPr>
              <w:spacing w:after="0"/>
              <w:jc w:val="both"/>
              <w:rPr>
                <w:rFonts w:ascii="Times New Roman" w:hAnsi="Times New Roman" w:cs="Times New Roman"/>
              </w:rPr>
            </w:pPr>
          </w:p>
        </w:tc>
      </w:tr>
      <w:tr w:rsidR="00B30AFC" w:rsidRPr="009E686F" w14:paraId="46FFD8E0" w14:textId="3E1856B9" w:rsidTr="00960C23">
        <w:tc>
          <w:tcPr>
            <w:tcW w:w="1890" w:type="pct"/>
            <w:tcBorders>
              <w:top w:val="single" w:sz="4" w:space="0" w:color="auto"/>
              <w:left w:val="single" w:sz="4" w:space="0" w:color="auto"/>
              <w:bottom w:val="single" w:sz="4" w:space="0" w:color="auto"/>
              <w:right w:val="single" w:sz="4" w:space="0" w:color="auto"/>
            </w:tcBorders>
          </w:tcPr>
          <w:p w14:paraId="4A81F23F" w14:textId="661EECEE" w:rsidR="00AB6122" w:rsidRPr="009E686F" w:rsidRDefault="00AB6122" w:rsidP="00ED2C1C">
            <w:pPr>
              <w:spacing w:after="0"/>
              <w:jc w:val="both"/>
              <w:rPr>
                <w:rFonts w:ascii="Times New Roman" w:hAnsi="Times New Roman" w:cs="Times New Roman"/>
                <w:lang w:val="it-CH"/>
              </w:rPr>
            </w:pPr>
            <w:r w:rsidRPr="009E686F">
              <w:rPr>
                <w:rFonts w:ascii="Times New Roman" w:hAnsi="Times New Roman" w:cs="Times New Roman"/>
                <w:lang w:val="it-CH"/>
              </w:rPr>
              <w:t>(a) o filială a unei întreprinderi de asigurare sau a unei firme de investiții autorizate în Uniune;</w:t>
            </w:r>
          </w:p>
        </w:tc>
        <w:tc>
          <w:tcPr>
            <w:tcW w:w="1834" w:type="pct"/>
            <w:tcBorders>
              <w:top w:val="single" w:sz="4" w:space="0" w:color="auto"/>
              <w:left w:val="single" w:sz="4" w:space="0" w:color="auto"/>
              <w:bottom w:val="single" w:sz="4" w:space="0" w:color="auto"/>
              <w:right w:val="single" w:sz="4" w:space="0" w:color="auto"/>
            </w:tcBorders>
          </w:tcPr>
          <w:p w14:paraId="3D78E60E" w14:textId="4F0883CE" w:rsidR="00AB6122" w:rsidRPr="009E686F" w:rsidRDefault="00AB6122" w:rsidP="00ED2C1C">
            <w:pPr>
              <w:spacing w:after="0"/>
              <w:jc w:val="both"/>
              <w:rPr>
                <w:rFonts w:ascii="Times New Roman" w:hAnsi="Times New Roman" w:cs="Times New Roman"/>
                <w:lang w:val="pt-BR"/>
              </w:rPr>
            </w:pPr>
            <w:r w:rsidRPr="009E686F">
              <w:rPr>
                <w:rFonts w:ascii="Times New Roman" w:hAnsi="Times New Roman" w:cs="Times New Roman"/>
                <w:lang w:val="pt-BR"/>
              </w:rPr>
              <w:t xml:space="preserve">a) </w:t>
            </w:r>
            <w:r w:rsidR="00A51A7D" w:rsidRPr="009E686F">
              <w:rPr>
                <w:rFonts w:ascii="Times New Roman" w:hAnsi="Times New Roman" w:cs="Times New Roman"/>
                <w:i/>
                <w:lang w:val="pt-BR"/>
              </w:rPr>
              <w:t>instituția de credit</w:t>
            </w:r>
            <w:r w:rsidRPr="009E686F">
              <w:rPr>
                <w:rFonts w:ascii="Times New Roman" w:hAnsi="Times New Roman" w:cs="Times New Roman"/>
                <w:lang w:val="pt-BR"/>
              </w:rPr>
              <w:t xml:space="preserve"> este o filială a unui asigurător sau a unei societăți de investiții </w:t>
            </w:r>
            <w:r w:rsidR="00CF3E46" w:rsidRPr="009E686F">
              <w:rPr>
                <w:rFonts w:ascii="Times New Roman" w:hAnsi="Times New Roman" w:cs="Times New Roman"/>
                <w:i/>
                <w:lang w:val="pt-BR"/>
              </w:rPr>
              <w:t>autorizate</w:t>
            </w:r>
            <w:r w:rsidRPr="009E686F">
              <w:rPr>
                <w:rFonts w:ascii="Times New Roman" w:hAnsi="Times New Roman" w:cs="Times New Roman"/>
                <w:lang w:val="pt-BR"/>
              </w:rPr>
              <w:t xml:space="preserve"> în Republica Moldova, respectiv în alt stat </w:t>
            </w:r>
            <w:r w:rsidRPr="009E686F">
              <w:rPr>
                <w:rFonts w:ascii="Times New Roman" w:hAnsi="Times New Roman" w:cs="Times New Roman"/>
                <w:i/>
                <w:lang w:val="pt-BR"/>
              </w:rPr>
              <w:t>membru</w:t>
            </w:r>
            <w:r w:rsidRPr="009E686F">
              <w:rPr>
                <w:rFonts w:ascii="Times New Roman" w:hAnsi="Times New Roman" w:cs="Times New Roman"/>
                <w:lang w:val="pt-BR"/>
              </w:rPr>
              <w:t>;</w:t>
            </w:r>
          </w:p>
        </w:tc>
        <w:tc>
          <w:tcPr>
            <w:tcW w:w="470" w:type="pct"/>
            <w:tcBorders>
              <w:top w:val="single" w:sz="4" w:space="0" w:color="auto"/>
              <w:left w:val="single" w:sz="4" w:space="0" w:color="auto"/>
              <w:bottom w:val="single" w:sz="4" w:space="0" w:color="auto"/>
              <w:right w:val="single" w:sz="4" w:space="0" w:color="auto"/>
            </w:tcBorders>
          </w:tcPr>
          <w:p w14:paraId="103B3426" w14:textId="2F2C2FA8" w:rsidR="00AB6122" w:rsidRPr="009E686F" w:rsidRDefault="00AB6122" w:rsidP="00AB6122">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621E7F20" w14:textId="6F28EDE4" w:rsidR="00AB6122" w:rsidRPr="009E686F" w:rsidRDefault="00AB6122" w:rsidP="00515783">
            <w:pPr>
              <w:spacing w:after="0"/>
              <w:jc w:val="both"/>
              <w:rPr>
                <w:rFonts w:ascii="Times New Roman" w:hAnsi="Times New Roman" w:cs="Times New Roman"/>
              </w:rPr>
            </w:pPr>
          </w:p>
        </w:tc>
      </w:tr>
      <w:tr w:rsidR="00B30AFC" w:rsidRPr="009E686F" w14:paraId="3241ADB2" w14:textId="5E91298D" w:rsidTr="00960C23">
        <w:tc>
          <w:tcPr>
            <w:tcW w:w="1890" w:type="pct"/>
            <w:tcBorders>
              <w:top w:val="single" w:sz="4" w:space="0" w:color="auto"/>
              <w:left w:val="single" w:sz="4" w:space="0" w:color="auto"/>
              <w:bottom w:val="single" w:sz="4" w:space="0" w:color="auto"/>
              <w:right w:val="single" w:sz="4" w:space="0" w:color="auto"/>
            </w:tcBorders>
          </w:tcPr>
          <w:p w14:paraId="25AE635D" w14:textId="6273CFB1" w:rsidR="00AB6122" w:rsidRPr="009E686F" w:rsidRDefault="00AB6122" w:rsidP="00ED2C1C">
            <w:pPr>
              <w:spacing w:after="0"/>
              <w:jc w:val="both"/>
              <w:rPr>
                <w:rFonts w:ascii="Times New Roman" w:hAnsi="Times New Roman" w:cs="Times New Roman"/>
                <w:lang w:val="it-CH"/>
              </w:rPr>
            </w:pPr>
            <w:r w:rsidRPr="009E686F">
              <w:rPr>
                <w:rFonts w:ascii="Times New Roman" w:hAnsi="Times New Roman" w:cs="Times New Roman"/>
                <w:lang w:val="it-CH"/>
              </w:rPr>
              <w:t>(b) o filială a unei întreprinderi-mamă a unei întreprinderi de asigurare sau a unei firme de investiții autorizate în Uniune;</w:t>
            </w:r>
          </w:p>
        </w:tc>
        <w:tc>
          <w:tcPr>
            <w:tcW w:w="1834" w:type="pct"/>
            <w:tcBorders>
              <w:top w:val="single" w:sz="4" w:space="0" w:color="auto"/>
              <w:left w:val="single" w:sz="4" w:space="0" w:color="auto"/>
              <w:bottom w:val="single" w:sz="4" w:space="0" w:color="auto"/>
              <w:right w:val="single" w:sz="4" w:space="0" w:color="auto"/>
            </w:tcBorders>
          </w:tcPr>
          <w:p w14:paraId="1EC716AA" w14:textId="03EEBD19" w:rsidR="00AB6122" w:rsidRPr="009E686F" w:rsidRDefault="00AB6122" w:rsidP="00ED2C1C">
            <w:pPr>
              <w:spacing w:after="0"/>
              <w:jc w:val="both"/>
              <w:rPr>
                <w:rFonts w:ascii="Times New Roman" w:hAnsi="Times New Roman" w:cs="Times New Roman"/>
                <w:lang w:val="pt-BR"/>
              </w:rPr>
            </w:pPr>
            <w:r w:rsidRPr="009E686F">
              <w:rPr>
                <w:rFonts w:ascii="Times New Roman" w:hAnsi="Times New Roman" w:cs="Times New Roman"/>
                <w:lang w:val="pt-BR"/>
              </w:rPr>
              <w:t xml:space="preserve">b) </w:t>
            </w:r>
            <w:r w:rsidR="00A51A7D" w:rsidRPr="009E686F">
              <w:rPr>
                <w:rFonts w:ascii="Times New Roman" w:hAnsi="Times New Roman" w:cs="Times New Roman"/>
                <w:i/>
                <w:iCs/>
                <w:lang w:val="pt-BR"/>
              </w:rPr>
              <w:t>instituția de credit</w:t>
            </w:r>
            <w:r w:rsidRPr="009E686F">
              <w:rPr>
                <w:rFonts w:ascii="Times New Roman" w:hAnsi="Times New Roman" w:cs="Times New Roman"/>
                <w:lang w:val="pt-BR"/>
              </w:rPr>
              <w:t xml:space="preserve"> este o filială a întreprinderii-mamă a unui asigurător sau a unei societăți de investiții</w:t>
            </w:r>
            <w:r w:rsidR="00251945" w:rsidRPr="009E686F">
              <w:rPr>
                <w:rFonts w:ascii="Times New Roman" w:hAnsi="Times New Roman" w:cs="Times New Roman"/>
                <w:i/>
                <w:iCs/>
                <w:lang w:val="pt-BR"/>
              </w:rPr>
              <w:t xml:space="preserve"> autorizate</w:t>
            </w:r>
            <w:r w:rsidRPr="009E686F">
              <w:rPr>
                <w:rFonts w:ascii="Times New Roman" w:hAnsi="Times New Roman" w:cs="Times New Roman"/>
                <w:lang w:val="pt-BR"/>
              </w:rPr>
              <w:t xml:space="preserve"> în Republica Moldova, respectiv în alt stat </w:t>
            </w:r>
            <w:r w:rsidRPr="009E686F">
              <w:rPr>
                <w:rFonts w:ascii="Times New Roman" w:hAnsi="Times New Roman" w:cs="Times New Roman"/>
                <w:i/>
                <w:iCs/>
                <w:lang w:val="pt-BR"/>
              </w:rPr>
              <w:t>membru</w:t>
            </w:r>
            <w:r w:rsidRPr="009E686F">
              <w:rPr>
                <w:rFonts w:ascii="Times New Roman" w:hAnsi="Times New Roman" w:cs="Times New Roman"/>
                <w:lang w:val="pt-BR"/>
              </w:rPr>
              <w:t>;</w:t>
            </w:r>
          </w:p>
        </w:tc>
        <w:tc>
          <w:tcPr>
            <w:tcW w:w="470" w:type="pct"/>
            <w:tcBorders>
              <w:top w:val="single" w:sz="4" w:space="0" w:color="auto"/>
              <w:left w:val="single" w:sz="4" w:space="0" w:color="auto"/>
              <w:bottom w:val="single" w:sz="4" w:space="0" w:color="auto"/>
              <w:right w:val="single" w:sz="4" w:space="0" w:color="auto"/>
            </w:tcBorders>
          </w:tcPr>
          <w:p w14:paraId="6D420E34" w14:textId="4D2D166C" w:rsidR="00AB6122" w:rsidRPr="009E686F" w:rsidRDefault="00AB6122" w:rsidP="00AB6122">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56BD2BAF" w14:textId="4A4C5412" w:rsidR="00AB6122" w:rsidRPr="009E686F" w:rsidRDefault="00AB6122" w:rsidP="00515783">
            <w:pPr>
              <w:spacing w:after="0"/>
              <w:jc w:val="both"/>
              <w:rPr>
                <w:rFonts w:ascii="Times New Roman" w:hAnsi="Times New Roman" w:cs="Times New Roman"/>
              </w:rPr>
            </w:pPr>
          </w:p>
        </w:tc>
      </w:tr>
      <w:tr w:rsidR="00B30AFC" w:rsidRPr="009E686F" w14:paraId="542A4ADE" w14:textId="05DBC0FC" w:rsidTr="00960C23">
        <w:tc>
          <w:tcPr>
            <w:tcW w:w="1890" w:type="pct"/>
            <w:tcBorders>
              <w:top w:val="single" w:sz="4" w:space="0" w:color="auto"/>
              <w:left w:val="single" w:sz="4" w:space="0" w:color="auto"/>
              <w:bottom w:val="single" w:sz="4" w:space="0" w:color="auto"/>
              <w:right w:val="single" w:sz="4" w:space="0" w:color="auto"/>
            </w:tcBorders>
          </w:tcPr>
          <w:p w14:paraId="57E3D4FD" w14:textId="3AA7ACC9" w:rsidR="00AB6122" w:rsidRPr="009E686F" w:rsidRDefault="00AB6122" w:rsidP="00ED2C1C">
            <w:pPr>
              <w:spacing w:after="0"/>
              <w:jc w:val="both"/>
              <w:rPr>
                <w:rFonts w:ascii="Times New Roman" w:hAnsi="Times New Roman" w:cs="Times New Roman"/>
                <w:lang w:val="pt-BR"/>
              </w:rPr>
            </w:pPr>
            <w:r w:rsidRPr="009E686F">
              <w:rPr>
                <w:rFonts w:ascii="Times New Roman" w:hAnsi="Times New Roman" w:cs="Times New Roman"/>
                <w:lang w:val="pt-BR"/>
              </w:rPr>
              <w:lastRenderedPageBreak/>
              <w:t>(c) controlată de aceleași persoane fizice sau juridice precum cele care controlează o întreprindere de asigurare sau o firmă de investiții autorizată în Uniune.</w:t>
            </w:r>
          </w:p>
        </w:tc>
        <w:tc>
          <w:tcPr>
            <w:tcW w:w="1834" w:type="pct"/>
            <w:tcBorders>
              <w:top w:val="single" w:sz="4" w:space="0" w:color="auto"/>
              <w:left w:val="single" w:sz="4" w:space="0" w:color="auto"/>
              <w:bottom w:val="single" w:sz="4" w:space="0" w:color="auto"/>
              <w:right w:val="single" w:sz="4" w:space="0" w:color="auto"/>
            </w:tcBorders>
          </w:tcPr>
          <w:p w14:paraId="676A9CFD" w14:textId="742E7A08" w:rsidR="00AB6122" w:rsidRPr="009E686F" w:rsidRDefault="00AB6122" w:rsidP="00ED2C1C">
            <w:pPr>
              <w:spacing w:after="0"/>
              <w:jc w:val="both"/>
              <w:rPr>
                <w:rFonts w:ascii="Times New Roman" w:hAnsi="Times New Roman" w:cs="Times New Roman"/>
                <w:lang w:val="pt-BR"/>
              </w:rPr>
            </w:pPr>
            <w:r w:rsidRPr="009E686F">
              <w:rPr>
                <w:rFonts w:ascii="Times New Roman" w:hAnsi="Times New Roman" w:cs="Times New Roman"/>
                <w:lang w:val="pt-BR"/>
              </w:rPr>
              <w:t xml:space="preserve">c) </w:t>
            </w:r>
            <w:r w:rsidR="00A51A7D" w:rsidRPr="009E686F">
              <w:rPr>
                <w:rFonts w:ascii="Times New Roman" w:hAnsi="Times New Roman" w:cs="Times New Roman"/>
                <w:i/>
                <w:lang w:val="pt-BR"/>
              </w:rPr>
              <w:t>instituția de credit</w:t>
            </w:r>
            <w:r w:rsidRPr="009E686F">
              <w:rPr>
                <w:rFonts w:ascii="Times New Roman" w:hAnsi="Times New Roman" w:cs="Times New Roman"/>
                <w:lang w:val="pt-BR"/>
              </w:rPr>
              <w:t xml:space="preserve"> este controlată de aceeaşi persoană care controlează un asigurător, sau o societate de investiții </w:t>
            </w:r>
            <w:r w:rsidRPr="009E686F">
              <w:rPr>
                <w:rFonts w:ascii="Times New Roman" w:hAnsi="Times New Roman" w:cs="Times New Roman"/>
                <w:i/>
                <w:lang w:val="pt-BR"/>
              </w:rPr>
              <w:t>autorizată</w:t>
            </w:r>
            <w:r w:rsidRPr="009E686F">
              <w:rPr>
                <w:rFonts w:ascii="Times New Roman" w:hAnsi="Times New Roman" w:cs="Times New Roman"/>
                <w:lang w:val="pt-BR"/>
              </w:rPr>
              <w:t xml:space="preserve"> în Republica Moldova, respectiv în alt stat </w:t>
            </w:r>
            <w:r w:rsidRPr="009E686F">
              <w:rPr>
                <w:rFonts w:ascii="Times New Roman" w:hAnsi="Times New Roman" w:cs="Times New Roman"/>
                <w:i/>
                <w:lang w:val="pt-BR"/>
              </w:rPr>
              <w:t>membru</w:t>
            </w:r>
            <w:r w:rsidRPr="009E686F">
              <w:rPr>
                <w:rFonts w:ascii="Times New Roman" w:hAnsi="Times New Roman" w:cs="Times New Roman"/>
                <w:lang w:val="pt-BR"/>
              </w:rPr>
              <w:t>.</w:t>
            </w:r>
          </w:p>
        </w:tc>
        <w:tc>
          <w:tcPr>
            <w:tcW w:w="470" w:type="pct"/>
            <w:tcBorders>
              <w:top w:val="single" w:sz="4" w:space="0" w:color="auto"/>
              <w:left w:val="single" w:sz="4" w:space="0" w:color="auto"/>
              <w:bottom w:val="single" w:sz="4" w:space="0" w:color="auto"/>
              <w:right w:val="single" w:sz="4" w:space="0" w:color="auto"/>
            </w:tcBorders>
          </w:tcPr>
          <w:p w14:paraId="04300749" w14:textId="55C217A2" w:rsidR="00AB6122" w:rsidRPr="009E686F" w:rsidRDefault="00AB6122" w:rsidP="00AB6122">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00158209" w14:textId="1A27CEAA" w:rsidR="00AB6122" w:rsidRPr="009E686F" w:rsidRDefault="00AB6122" w:rsidP="00515783">
            <w:pPr>
              <w:spacing w:after="0"/>
              <w:jc w:val="both"/>
              <w:rPr>
                <w:rFonts w:ascii="Times New Roman" w:hAnsi="Times New Roman" w:cs="Times New Roman"/>
              </w:rPr>
            </w:pPr>
          </w:p>
        </w:tc>
      </w:tr>
      <w:tr w:rsidR="005C54D2" w:rsidRPr="009E686F" w14:paraId="6116E6B2" w14:textId="120BB631" w:rsidTr="00C30643">
        <w:tc>
          <w:tcPr>
            <w:tcW w:w="1890" w:type="pct"/>
            <w:vMerge w:val="restart"/>
            <w:tcBorders>
              <w:top w:val="single" w:sz="4" w:space="0" w:color="auto"/>
              <w:left w:val="single" w:sz="4" w:space="0" w:color="auto"/>
              <w:right w:val="single" w:sz="4" w:space="0" w:color="auto"/>
            </w:tcBorders>
          </w:tcPr>
          <w:p w14:paraId="55E2E976" w14:textId="0B002FCA" w:rsidR="005C54D2" w:rsidRPr="009E686F" w:rsidRDefault="005C54D2" w:rsidP="00ED2C1C">
            <w:pPr>
              <w:spacing w:after="0"/>
              <w:jc w:val="both"/>
              <w:rPr>
                <w:rFonts w:ascii="Times New Roman" w:hAnsi="Times New Roman" w:cs="Times New Roman"/>
                <w:lang w:val="it-CH"/>
              </w:rPr>
            </w:pPr>
            <w:r w:rsidRPr="009E686F">
              <w:rPr>
                <w:rFonts w:ascii="Times New Roman" w:hAnsi="Times New Roman" w:cs="Times New Roman"/>
                <w:lang w:val="it-CH"/>
              </w:rPr>
              <w:t>(3) Autoritățile competente relevante menționate la alineatele (1) și (2) se consultă în special atunci când evaluează calitatea acționarilor, precum și reputația și experiența membrilor organului de conducere care participă la administrarea unei alte entități din același grup. Autoritățile fac schimb de informații privind calitatea acționarilor, precum și reputația și experiența membrilor organului de conducere, informații relevante pentru acordarea unei autorizații, precum și pentru evaluarea continuă a respectării condițiilor de funcționare.</w:t>
            </w:r>
          </w:p>
        </w:tc>
        <w:tc>
          <w:tcPr>
            <w:tcW w:w="1834" w:type="pct"/>
            <w:tcBorders>
              <w:top w:val="single" w:sz="4" w:space="0" w:color="auto"/>
              <w:left w:val="single" w:sz="4" w:space="0" w:color="auto"/>
              <w:bottom w:val="single" w:sz="4" w:space="0" w:color="auto"/>
              <w:right w:val="single" w:sz="4" w:space="0" w:color="auto"/>
            </w:tcBorders>
          </w:tcPr>
          <w:p w14:paraId="4B5236C5" w14:textId="059E414B" w:rsidR="005C54D2" w:rsidRPr="009E686F" w:rsidRDefault="005C54D2" w:rsidP="00ED2C1C">
            <w:pPr>
              <w:spacing w:after="0"/>
              <w:jc w:val="both"/>
              <w:rPr>
                <w:rFonts w:ascii="Times New Roman" w:hAnsi="Times New Roman" w:cs="Times New Roman"/>
                <w:lang w:val="ro-MD"/>
              </w:rPr>
            </w:pPr>
            <w:r w:rsidRPr="009E686F">
              <w:rPr>
                <w:rFonts w:ascii="Times New Roman" w:hAnsi="Times New Roman" w:cs="Times New Roman"/>
                <w:lang w:val="ro-MD"/>
              </w:rPr>
              <w:t xml:space="preserve">(3) Autoritățile prevăzute la alin. (1) şi (2) trebuie să fie consultate în mod special în contextul evaluării calității acționarilor </w:t>
            </w:r>
            <w:r w:rsidRPr="009E686F">
              <w:rPr>
                <w:rFonts w:ascii="Times New Roman" w:hAnsi="Times New Roman" w:cs="Times New Roman"/>
                <w:i/>
                <w:iCs/>
                <w:lang w:val="ro-MD"/>
              </w:rPr>
              <w:t>instituției de credit</w:t>
            </w:r>
            <w:r w:rsidRPr="009E686F">
              <w:rPr>
                <w:rFonts w:ascii="Times New Roman" w:hAnsi="Times New Roman" w:cs="Times New Roman"/>
                <w:lang w:val="ro-MD"/>
              </w:rPr>
              <w:t xml:space="preserve"> şi al reputației şi experienței persoanelor implicate în conducerea unei entități, </w:t>
            </w:r>
            <w:r w:rsidRPr="009E686F">
              <w:rPr>
                <w:rFonts w:ascii="Times New Roman" w:hAnsi="Times New Roman" w:cs="Times New Roman"/>
                <w:i/>
                <w:iCs/>
                <w:lang w:val="ro-MD"/>
              </w:rPr>
              <w:t>autorizat</w:t>
            </w:r>
            <w:r w:rsidRPr="009E686F">
              <w:rPr>
                <w:rFonts w:ascii="Times New Roman" w:hAnsi="Times New Roman" w:cs="Times New Roman"/>
                <w:lang w:val="ro-MD"/>
              </w:rPr>
              <w:t xml:space="preserve">e de aceste autorități, inclusiv din cadrul aceluiaşi grup, cărora urmează să li se încredințeze responsabilități în conducerea </w:t>
            </w:r>
            <w:r w:rsidRPr="009E686F">
              <w:rPr>
                <w:rFonts w:ascii="Times New Roman" w:hAnsi="Times New Roman" w:cs="Times New Roman"/>
                <w:i/>
                <w:iCs/>
                <w:lang w:val="ro-MD"/>
              </w:rPr>
              <w:t>instituției de credit</w:t>
            </w:r>
            <w:r w:rsidRPr="009E686F">
              <w:rPr>
                <w:rFonts w:ascii="Times New Roman" w:hAnsi="Times New Roman" w:cs="Times New Roman"/>
                <w:lang w:val="ro-MD"/>
              </w:rPr>
              <w:t xml:space="preserve">. În acest sens, se asigură schimbul de informații care sunt relevante pentru acordarea </w:t>
            </w:r>
            <w:r w:rsidRPr="009E686F">
              <w:rPr>
                <w:rFonts w:ascii="Times New Roman" w:hAnsi="Times New Roman" w:cs="Times New Roman"/>
                <w:i/>
                <w:iCs/>
                <w:lang w:val="ro-MD"/>
              </w:rPr>
              <w:t>autorizației</w:t>
            </w:r>
            <w:r w:rsidRPr="009E686F">
              <w:rPr>
                <w:rFonts w:ascii="Times New Roman" w:hAnsi="Times New Roman" w:cs="Times New Roman"/>
                <w:lang w:val="ro-MD"/>
              </w:rPr>
              <w:t>, dar şi pentru evaluarea pe bază continuă a îndeplinirii condițiilor de desfăşurare a activității.</w:t>
            </w:r>
          </w:p>
        </w:tc>
        <w:tc>
          <w:tcPr>
            <w:tcW w:w="470" w:type="pct"/>
            <w:tcBorders>
              <w:top w:val="single" w:sz="4" w:space="0" w:color="auto"/>
              <w:left w:val="single" w:sz="4" w:space="0" w:color="auto"/>
              <w:bottom w:val="single" w:sz="4" w:space="0" w:color="auto"/>
              <w:right w:val="single" w:sz="4" w:space="0" w:color="auto"/>
            </w:tcBorders>
          </w:tcPr>
          <w:p w14:paraId="6A88B914" w14:textId="2A0873C9" w:rsidR="005C54D2" w:rsidRPr="009E686F" w:rsidRDefault="005C54D2" w:rsidP="00AB6122">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2C0BF085" w14:textId="41941F7C" w:rsidR="005C54D2" w:rsidRPr="009E686F" w:rsidRDefault="005C54D2" w:rsidP="00515783">
            <w:pPr>
              <w:spacing w:after="0"/>
              <w:jc w:val="both"/>
              <w:rPr>
                <w:rFonts w:ascii="Times New Roman" w:hAnsi="Times New Roman" w:cs="Times New Roman"/>
              </w:rPr>
            </w:pPr>
          </w:p>
        </w:tc>
      </w:tr>
      <w:tr w:rsidR="00A25F8E" w:rsidRPr="009E686F" w14:paraId="6BA3D9C8" w14:textId="77777777" w:rsidTr="000D120F">
        <w:tc>
          <w:tcPr>
            <w:tcW w:w="1890" w:type="pct"/>
            <w:vMerge/>
            <w:tcBorders>
              <w:left w:val="single" w:sz="4" w:space="0" w:color="auto"/>
              <w:right w:val="single" w:sz="4" w:space="0" w:color="auto"/>
            </w:tcBorders>
          </w:tcPr>
          <w:p w14:paraId="56CB7103" w14:textId="77777777" w:rsidR="00A25F8E" w:rsidRPr="009E686F" w:rsidRDefault="00A25F8E" w:rsidP="00ED2C1C">
            <w:pPr>
              <w:spacing w:after="0"/>
              <w:jc w:val="both"/>
              <w:rPr>
                <w:rFonts w:ascii="Times New Roman" w:hAnsi="Times New Roman" w:cs="Times New Roman"/>
                <w:i/>
                <w:lang w:val="it-CH"/>
              </w:rPr>
            </w:pPr>
          </w:p>
        </w:tc>
        <w:tc>
          <w:tcPr>
            <w:tcW w:w="1834" w:type="pct"/>
            <w:tcBorders>
              <w:top w:val="single" w:sz="4" w:space="0" w:color="auto"/>
              <w:left w:val="single" w:sz="4" w:space="0" w:color="auto"/>
              <w:bottom w:val="single" w:sz="4" w:space="0" w:color="auto"/>
              <w:right w:val="single" w:sz="4" w:space="0" w:color="auto"/>
            </w:tcBorders>
          </w:tcPr>
          <w:p w14:paraId="55BB52BC" w14:textId="66C1ACD5" w:rsidR="00A25F8E" w:rsidRPr="009E686F" w:rsidRDefault="00A25F8E" w:rsidP="00ED2C1C">
            <w:pPr>
              <w:spacing w:after="0"/>
              <w:jc w:val="both"/>
              <w:rPr>
                <w:rFonts w:ascii="Times New Roman" w:hAnsi="Times New Roman" w:cs="Times New Roman"/>
                <w:lang w:val="it-CH"/>
              </w:rPr>
            </w:pPr>
            <w:r w:rsidRPr="009E686F">
              <w:rPr>
                <w:rFonts w:ascii="Times New Roman" w:hAnsi="Times New Roman" w:cs="Times New Roman"/>
                <w:lang w:val="it-CH"/>
              </w:rPr>
              <w:t>(4) În scopul evaluării calităţii persoanelor implicate sau avînd legătură cu cererea de autorizare prezentată, Serviciul Prevenirea şi Combaterea Spălării Banilor acordă suportul necesar în acest sens Băncii Naţionale a Moldovei, la solicitarea acesteia, în conformitate cu legislaţia cu privire la prevenirea şi combaterea spălării banilor şi finanţării terorismului.</w:t>
            </w:r>
          </w:p>
        </w:tc>
        <w:tc>
          <w:tcPr>
            <w:tcW w:w="470" w:type="pct"/>
            <w:tcBorders>
              <w:top w:val="single" w:sz="4" w:space="0" w:color="auto"/>
              <w:left w:val="single" w:sz="4" w:space="0" w:color="auto"/>
              <w:bottom w:val="single" w:sz="4" w:space="0" w:color="auto"/>
              <w:right w:val="single" w:sz="4" w:space="0" w:color="auto"/>
            </w:tcBorders>
          </w:tcPr>
          <w:p w14:paraId="0E61DD8D" w14:textId="27FF3A2C" w:rsidR="00A25F8E" w:rsidRPr="009E686F" w:rsidRDefault="00A25F8E" w:rsidP="00AB6122">
            <w:pPr>
              <w:jc w:val="both"/>
              <w:rPr>
                <w:rFonts w:ascii="Times New Roman" w:hAnsi="Times New Roman" w:cs="Times New Roman"/>
                <w:lang w:val="it-CH"/>
              </w:rPr>
            </w:pPr>
            <w:r w:rsidRPr="009E686F">
              <w:rPr>
                <w:rFonts w:ascii="Times New Roman" w:hAnsi="Times New Roman" w:cs="Times New Roman"/>
                <w:lang w:val="it-CH"/>
              </w:rPr>
              <w:t>Compatibil</w:t>
            </w:r>
          </w:p>
        </w:tc>
        <w:tc>
          <w:tcPr>
            <w:tcW w:w="806" w:type="pct"/>
            <w:vMerge w:val="restart"/>
            <w:tcBorders>
              <w:top w:val="single" w:sz="4" w:space="0" w:color="auto"/>
              <w:left w:val="single" w:sz="4" w:space="0" w:color="auto"/>
              <w:right w:val="single" w:sz="4" w:space="0" w:color="auto"/>
            </w:tcBorders>
          </w:tcPr>
          <w:p w14:paraId="23C86538" w14:textId="4D1C1966" w:rsidR="00A25F8E" w:rsidRPr="009E686F" w:rsidRDefault="00A25F8E" w:rsidP="00515783">
            <w:pPr>
              <w:spacing w:after="0"/>
              <w:jc w:val="both"/>
              <w:rPr>
                <w:rFonts w:ascii="Times New Roman" w:hAnsi="Times New Roman" w:cs="Times New Roman"/>
                <w:lang w:val="pt-BR"/>
              </w:rPr>
            </w:pPr>
            <w:r w:rsidRPr="009E686F">
              <w:rPr>
                <w:rFonts w:ascii="Times New Roman" w:hAnsi="Times New Roman" w:cs="Times New Roman"/>
                <w:lang w:val="pt-BR"/>
              </w:rPr>
              <w:t>Norme cu specific național cu scop de clarificare</w:t>
            </w:r>
            <w:r w:rsidR="00CD772B" w:rsidRPr="009E686F">
              <w:rPr>
                <w:rFonts w:ascii="Times New Roman" w:hAnsi="Times New Roman" w:cs="Times New Roman"/>
                <w:lang w:val="pt-BR"/>
              </w:rPr>
              <w:t xml:space="preserve"> a procesului de consultare</w:t>
            </w:r>
            <w:r w:rsidRPr="009E686F">
              <w:rPr>
                <w:rFonts w:ascii="Times New Roman" w:hAnsi="Times New Roman" w:cs="Times New Roman"/>
                <w:lang w:val="pt-BR"/>
              </w:rPr>
              <w:t>.</w:t>
            </w:r>
          </w:p>
          <w:p w14:paraId="5B7D293C" w14:textId="003664B6" w:rsidR="00A25F8E" w:rsidRPr="009E686F" w:rsidRDefault="00A25F8E" w:rsidP="00515783">
            <w:pPr>
              <w:spacing w:after="0"/>
              <w:jc w:val="both"/>
              <w:rPr>
                <w:rFonts w:ascii="Times New Roman" w:hAnsi="Times New Roman" w:cs="Times New Roman"/>
                <w:lang w:val="pt-BR"/>
              </w:rPr>
            </w:pPr>
          </w:p>
        </w:tc>
      </w:tr>
      <w:tr w:rsidR="00A25F8E" w:rsidRPr="009E686F" w14:paraId="7BBDA18B" w14:textId="77777777" w:rsidTr="000D120F">
        <w:tc>
          <w:tcPr>
            <w:tcW w:w="1890" w:type="pct"/>
            <w:vMerge/>
            <w:tcBorders>
              <w:left w:val="single" w:sz="4" w:space="0" w:color="auto"/>
              <w:bottom w:val="single" w:sz="4" w:space="0" w:color="auto"/>
              <w:right w:val="single" w:sz="4" w:space="0" w:color="auto"/>
            </w:tcBorders>
          </w:tcPr>
          <w:p w14:paraId="148F7D9D" w14:textId="77777777" w:rsidR="00A25F8E" w:rsidRPr="009E686F" w:rsidRDefault="00A25F8E" w:rsidP="00ED2C1C">
            <w:pPr>
              <w:spacing w:after="0"/>
              <w:jc w:val="both"/>
              <w:rPr>
                <w:rFonts w:ascii="Times New Roman" w:hAnsi="Times New Roman" w:cs="Times New Roman"/>
                <w:i/>
                <w:lang w:val="pt-BR"/>
              </w:rPr>
            </w:pPr>
          </w:p>
        </w:tc>
        <w:tc>
          <w:tcPr>
            <w:tcW w:w="1834" w:type="pct"/>
            <w:tcBorders>
              <w:top w:val="single" w:sz="4" w:space="0" w:color="auto"/>
              <w:left w:val="single" w:sz="4" w:space="0" w:color="auto"/>
              <w:bottom w:val="single" w:sz="4" w:space="0" w:color="auto"/>
              <w:right w:val="single" w:sz="4" w:space="0" w:color="auto"/>
            </w:tcBorders>
          </w:tcPr>
          <w:p w14:paraId="1E582C3C" w14:textId="77777777" w:rsidR="00A25F8E" w:rsidRPr="009E686F" w:rsidRDefault="00A25F8E" w:rsidP="005C54D2">
            <w:pPr>
              <w:spacing w:after="0"/>
              <w:jc w:val="both"/>
              <w:rPr>
                <w:rFonts w:ascii="Times New Roman" w:hAnsi="Times New Roman" w:cs="Times New Roman"/>
                <w:lang w:val="pt-BR"/>
              </w:rPr>
            </w:pPr>
            <w:r w:rsidRPr="009E686F">
              <w:rPr>
                <w:rFonts w:ascii="Times New Roman" w:hAnsi="Times New Roman" w:cs="Times New Roman"/>
                <w:lang w:val="pt-BR"/>
              </w:rPr>
              <w:t>(6) Schimbul de informaţii potrivit alin.(1)–(5) poate fi realizat cu sau fără încheierea unor acorduri de colaborare, însă în oricare din aceste situaţii trebuie să se asigure respectarea prevederilor privind secretul profesional din capitolul 3 titlul V.</w:t>
            </w:r>
          </w:p>
          <w:p w14:paraId="5FD2AE00" w14:textId="77777777" w:rsidR="00A25F8E" w:rsidRPr="009E686F" w:rsidRDefault="00A25F8E" w:rsidP="00ED2C1C">
            <w:pPr>
              <w:spacing w:after="0"/>
              <w:jc w:val="both"/>
              <w:rPr>
                <w:rFonts w:ascii="Times New Roman" w:hAnsi="Times New Roman" w:cs="Times New Roman"/>
                <w:lang w:val="pt-BR"/>
              </w:rPr>
            </w:pPr>
          </w:p>
        </w:tc>
        <w:tc>
          <w:tcPr>
            <w:tcW w:w="470" w:type="pct"/>
            <w:tcBorders>
              <w:top w:val="single" w:sz="4" w:space="0" w:color="auto"/>
              <w:left w:val="single" w:sz="4" w:space="0" w:color="auto"/>
              <w:bottom w:val="single" w:sz="4" w:space="0" w:color="auto"/>
              <w:right w:val="single" w:sz="4" w:space="0" w:color="auto"/>
            </w:tcBorders>
          </w:tcPr>
          <w:p w14:paraId="306A1828" w14:textId="38903742" w:rsidR="00A25F8E" w:rsidRPr="009E686F" w:rsidRDefault="00A25F8E" w:rsidP="00AB6122">
            <w:pPr>
              <w:jc w:val="both"/>
              <w:rPr>
                <w:rFonts w:ascii="Times New Roman" w:hAnsi="Times New Roman" w:cs="Times New Roman"/>
                <w:lang w:val="it-CH"/>
              </w:rPr>
            </w:pPr>
            <w:r w:rsidRPr="009E686F">
              <w:rPr>
                <w:rFonts w:ascii="Times New Roman" w:hAnsi="Times New Roman" w:cs="Times New Roman"/>
                <w:lang w:val="it-CH"/>
              </w:rPr>
              <w:t>Compatibil</w:t>
            </w:r>
          </w:p>
        </w:tc>
        <w:tc>
          <w:tcPr>
            <w:tcW w:w="806" w:type="pct"/>
            <w:vMerge/>
            <w:tcBorders>
              <w:left w:val="single" w:sz="4" w:space="0" w:color="auto"/>
              <w:bottom w:val="single" w:sz="4" w:space="0" w:color="auto"/>
              <w:right w:val="single" w:sz="4" w:space="0" w:color="auto"/>
            </w:tcBorders>
          </w:tcPr>
          <w:p w14:paraId="712D8E6B" w14:textId="42EFEA91" w:rsidR="00A25F8E" w:rsidRPr="009E686F" w:rsidRDefault="00A25F8E" w:rsidP="00515783">
            <w:pPr>
              <w:spacing w:after="0"/>
              <w:jc w:val="both"/>
              <w:rPr>
                <w:rFonts w:ascii="Times New Roman" w:hAnsi="Times New Roman" w:cs="Times New Roman"/>
                <w:lang w:val="it-CH"/>
              </w:rPr>
            </w:pPr>
          </w:p>
        </w:tc>
      </w:tr>
      <w:tr w:rsidR="00B30AFC" w:rsidRPr="009E686F" w14:paraId="12255D7A" w14:textId="05B6B8CA" w:rsidTr="00960C23">
        <w:tc>
          <w:tcPr>
            <w:tcW w:w="1890" w:type="pct"/>
            <w:tcBorders>
              <w:top w:val="single" w:sz="4" w:space="0" w:color="auto"/>
              <w:left w:val="single" w:sz="4" w:space="0" w:color="auto"/>
              <w:bottom w:val="single" w:sz="4" w:space="0" w:color="auto"/>
              <w:right w:val="single" w:sz="4" w:space="0" w:color="auto"/>
            </w:tcBorders>
          </w:tcPr>
          <w:p w14:paraId="62A0DC08" w14:textId="77777777" w:rsidR="00AB6122" w:rsidRPr="009E686F" w:rsidRDefault="00AB6122" w:rsidP="00ED2C1C">
            <w:pPr>
              <w:spacing w:after="0"/>
              <w:jc w:val="both"/>
              <w:rPr>
                <w:rFonts w:ascii="Times New Roman" w:hAnsi="Times New Roman" w:cs="Times New Roman"/>
                <w:i/>
                <w:lang w:val="it-CH"/>
              </w:rPr>
            </w:pPr>
            <w:r w:rsidRPr="009E686F">
              <w:rPr>
                <w:rFonts w:ascii="Times New Roman" w:hAnsi="Times New Roman" w:cs="Times New Roman"/>
                <w:i/>
                <w:lang w:val="it-CH"/>
              </w:rPr>
              <w:t>Articolul 17</w:t>
            </w:r>
          </w:p>
          <w:p w14:paraId="15D48BC2" w14:textId="3DB24A88" w:rsidR="00AB6122" w:rsidRPr="009E686F" w:rsidRDefault="00AB6122" w:rsidP="00ED2C1C">
            <w:pPr>
              <w:spacing w:after="0"/>
              <w:jc w:val="both"/>
              <w:rPr>
                <w:rFonts w:ascii="Times New Roman" w:hAnsi="Times New Roman" w:cs="Times New Roman"/>
                <w:lang w:val="it-CH"/>
              </w:rPr>
            </w:pPr>
            <w:r w:rsidRPr="009E686F">
              <w:rPr>
                <w:rFonts w:ascii="Times New Roman" w:hAnsi="Times New Roman" w:cs="Times New Roman"/>
                <w:lang w:val="it-CH"/>
              </w:rPr>
              <w:t xml:space="preserve">Sucursalele </w:t>
            </w:r>
            <w:r w:rsidR="00A51A7D" w:rsidRPr="009E686F">
              <w:rPr>
                <w:rFonts w:ascii="Times New Roman" w:hAnsi="Times New Roman" w:cs="Times New Roman"/>
                <w:lang w:val="it-CH"/>
              </w:rPr>
              <w:t>instituțiilor de credit</w:t>
            </w:r>
            <w:r w:rsidRPr="009E686F">
              <w:rPr>
                <w:rFonts w:ascii="Times New Roman" w:hAnsi="Times New Roman" w:cs="Times New Roman"/>
                <w:lang w:val="it-CH"/>
              </w:rPr>
              <w:t xml:space="preserve"> autorizate în alt stat membru</w:t>
            </w:r>
          </w:p>
          <w:p w14:paraId="16025524" w14:textId="2B7D7796" w:rsidR="00AB6122" w:rsidRPr="009E686F" w:rsidRDefault="00AB6122" w:rsidP="00ED2C1C">
            <w:pPr>
              <w:spacing w:after="0"/>
              <w:jc w:val="both"/>
              <w:rPr>
                <w:rFonts w:ascii="Times New Roman" w:hAnsi="Times New Roman" w:cs="Times New Roman"/>
                <w:lang w:val="it-CH"/>
              </w:rPr>
            </w:pPr>
            <w:r w:rsidRPr="009E686F">
              <w:rPr>
                <w:rFonts w:ascii="Times New Roman" w:hAnsi="Times New Roman" w:cs="Times New Roman"/>
                <w:lang w:val="it-CH"/>
              </w:rPr>
              <w:t xml:space="preserve">Statele membre gazdă nu cer autorizare sau capital de dotare pentru sucursalele </w:t>
            </w:r>
            <w:r w:rsidR="00A51A7D" w:rsidRPr="009E686F">
              <w:rPr>
                <w:rFonts w:ascii="Times New Roman" w:hAnsi="Times New Roman" w:cs="Times New Roman"/>
                <w:lang w:val="it-CH"/>
              </w:rPr>
              <w:t>instituțiilor de credit</w:t>
            </w:r>
            <w:r w:rsidRPr="009E686F">
              <w:rPr>
                <w:rFonts w:ascii="Times New Roman" w:hAnsi="Times New Roman" w:cs="Times New Roman"/>
                <w:lang w:val="it-CH"/>
              </w:rPr>
              <w:t xml:space="preserve"> autorizate în alte state membre. Înființarea și supravegherea sucursalelor în cauză se </w:t>
            </w:r>
            <w:r w:rsidRPr="009E686F">
              <w:rPr>
                <w:rFonts w:ascii="Times New Roman" w:hAnsi="Times New Roman" w:cs="Times New Roman"/>
                <w:lang w:val="it-CH"/>
              </w:rPr>
              <w:lastRenderedPageBreak/>
              <w:t>face în conformitate cu articolul 35, articolul 36 alineatele (1), (2) și (3), articolul 37, articolele 40-46, articolul 49, și articolele 74 și 75.</w:t>
            </w:r>
          </w:p>
        </w:tc>
        <w:tc>
          <w:tcPr>
            <w:tcW w:w="1834" w:type="pct"/>
            <w:tcBorders>
              <w:top w:val="single" w:sz="4" w:space="0" w:color="auto"/>
              <w:left w:val="single" w:sz="4" w:space="0" w:color="auto"/>
              <w:bottom w:val="single" w:sz="4" w:space="0" w:color="auto"/>
              <w:right w:val="single" w:sz="4" w:space="0" w:color="auto"/>
            </w:tcBorders>
          </w:tcPr>
          <w:p w14:paraId="353C875E" w14:textId="60E65BEF" w:rsidR="00AB6122" w:rsidRPr="009E686F" w:rsidRDefault="00AB6122" w:rsidP="00ED2C1C">
            <w:pPr>
              <w:spacing w:after="0"/>
              <w:jc w:val="both"/>
              <w:rPr>
                <w:rFonts w:ascii="Times New Roman" w:hAnsi="Times New Roman" w:cs="Times New Roman"/>
                <w:b/>
                <w:lang w:val="it-CH"/>
              </w:rPr>
            </w:pPr>
            <w:r w:rsidRPr="009E686F">
              <w:rPr>
                <w:rFonts w:ascii="Times New Roman" w:hAnsi="Times New Roman" w:cs="Times New Roman"/>
                <w:b/>
                <w:lang w:val="it-CH"/>
              </w:rPr>
              <w:lastRenderedPageBreak/>
              <w:t>Articolul 23</w:t>
            </w:r>
            <w:r w:rsidRPr="009E686F">
              <w:rPr>
                <w:rFonts w:ascii="Times New Roman" w:hAnsi="Times New Roman" w:cs="Times New Roman"/>
                <w:b/>
                <w:vertAlign w:val="superscript"/>
                <w:lang w:val="it-CH"/>
              </w:rPr>
              <w:t>2</w:t>
            </w:r>
            <w:r w:rsidRPr="009E686F">
              <w:rPr>
                <w:rFonts w:ascii="Times New Roman" w:hAnsi="Times New Roman" w:cs="Times New Roman"/>
                <w:b/>
                <w:lang w:val="it-CH"/>
              </w:rPr>
              <w:t xml:space="preserve"> alin. (2), (12)</w:t>
            </w:r>
          </w:p>
          <w:p w14:paraId="60C81E3C" w14:textId="0DBC60A3" w:rsidR="00AB6122" w:rsidRPr="009E686F" w:rsidRDefault="00AB6122" w:rsidP="00ED2C1C">
            <w:pPr>
              <w:spacing w:after="0"/>
              <w:jc w:val="both"/>
              <w:rPr>
                <w:rFonts w:ascii="Times New Roman" w:hAnsi="Times New Roman" w:cs="Times New Roman"/>
                <w:i/>
                <w:lang w:val="it-CH"/>
              </w:rPr>
            </w:pPr>
            <w:r w:rsidRPr="009E686F">
              <w:rPr>
                <w:rFonts w:ascii="Times New Roman" w:hAnsi="Times New Roman" w:cs="Times New Roman"/>
                <w:i/>
                <w:lang w:val="it-CH"/>
              </w:rPr>
              <w:t xml:space="preserve">(2) </w:t>
            </w:r>
            <w:r w:rsidR="00A51A7D" w:rsidRPr="009E686F">
              <w:rPr>
                <w:rFonts w:ascii="Times New Roman" w:hAnsi="Times New Roman" w:cs="Times New Roman"/>
                <w:i/>
                <w:lang w:val="it-CH"/>
              </w:rPr>
              <w:t>Instituțiile de credit</w:t>
            </w:r>
            <w:r w:rsidRPr="009E686F">
              <w:rPr>
                <w:rFonts w:ascii="Times New Roman" w:hAnsi="Times New Roman" w:cs="Times New Roman"/>
                <w:i/>
                <w:lang w:val="it-CH"/>
              </w:rPr>
              <w:t xml:space="preserve"> din state membre pot înfiinţa o sucursală în Republica Moldova, fără a fi necesară autorizarea din partea Băncii Naționale a Moldovei sau asigurarea unui capital de dotare, pe baza notificării </w:t>
            </w:r>
            <w:r w:rsidRPr="009E686F">
              <w:rPr>
                <w:rFonts w:ascii="Times New Roman" w:hAnsi="Times New Roman" w:cs="Times New Roman"/>
                <w:i/>
                <w:lang w:val="it-CH"/>
              </w:rPr>
              <w:lastRenderedPageBreak/>
              <w:t>transmise Băncii Naţionale a Moldovei de către autoritatea competentă din statul membru de origine, însoțită de următoarele documente și informații:</w:t>
            </w:r>
            <w:r w:rsidR="000D0912" w:rsidRPr="009E686F">
              <w:rPr>
                <w:rFonts w:ascii="Times New Roman" w:hAnsi="Times New Roman" w:cs="Times New Roman"/>
                <w:i/>
                <w:lang w:val="it-CH"/>
              </w:rPr>
              <w:t xml:space="preserve"> […]</w:t>
            </w:r>
          </w:p>
          <w:p w14:paraId="38A98927" w14:textId="77777777" w:rsidR="00AB6122" w:rsidRPr="009E686F" w:rsidRDefault="00AB6122" w:rsidP="00ED2C1C">
            <w:pPr>
              <w:spacing w:after="0"/>
              <w:jc w:val="both"/>
              <w:rPr>
                <w:rFonts w:ascii="Times New Roman" w:hAnsi="Times New Roman" w:cs="Times New Roman"/>
                <w:lang w:val="it-CH"/>
              </w:rPr>
            </w:pPr>
          </w:p>
          <w:p w14:paraId="0BFA2CD7" w14:textId="4A95446B" w:rsidR="00AB6122" w:rsidRPr="009E686F" w:rsidRDefault="00AB6122" w:rsidP="00ED2C1C">
            <w:pPr>
              <w:spacing w:after="0"/>
              <w:jc w:val="both"/>
              <w:rPr>
                <w:rFonts w:ascii="Times New Roman" w:hAnsi="Times New Roman" w:cs="Times New Roman"/>
                <w:bCs/>
                <w:i/>
                <w:iCs/>
              </w:rPr>
            </w:pPr>
            <w:r w:rsidRPr="009E686F">
              <w:rPr>
                <w:rFonts w:ascii="Times New Roman" w:hAnsi="Times New Roman" w:cs="Times New Roman"/>
                <w:i/>
                <w:lang w:val="it-CH"/>
              </w:rPr>
              <w:t xml:space="preserve">(12) Înfiinţarea și supravegherea sucursalelor </w:t>
            </w:r>
            <w:r w:rsidR="00A51A7D" w:rsidRPr="009E686F">
              <w:rPr>
                <w:rFonts w:ascii="Times New Roman" w:hAnsi="Times New Roman" w:cs="Times New Roman"/>
                <w:i/>
                <w:lang w:val="it-CH"/>
              </w:rPr>
              <w:t>instituțiilor de credit</w:t>
            </w:r>
            <w:r w:rsidRPr="009E686F">
              <w:rPr>
                <w:rFonts w:ascii="Times New Roman" w:hAnsi="Times New Roman" w:cs="Times New Roman"/>
                <w:i/>
                <w:lang w:val="it-CH"/>
              </w:rPr>
              <w:t xml:space="preserve"> din alte state membre se face în conformitate cu prezentul capitol și art. 38, 39 și 99 alin. </w:t>
            </w:r>
            <w:r w:rsidRPr="009E686F">
              <w:rPr>
                <w:rFonts w:ascii="Times New Roman" w:hAnsi="Times New Roman" w:cs="Times New Roman"/>
                <w:bCs/>
                <w:i/>
                <w:iCs/>
              </w:rPr>
              <w:t>(1), (1</w:t>
            </w:r>
            <w:r w:rsidR="0009639E" w:rsidRPr="009E686F">
              <w:rPr>
                <w:rFonts w:ascii="Times New Roman" w:hAnsi="Times New Roman" w:cs="Times New Roman"/>
                <w:bCs/>
                <w:i/>
                <w:iCs/>
                <w:vertAlign w:val="superscript"/>
              </w:rPr>
              <w:t>1</w:t>
            </w:r>
            <w:r w:rsidRPr="009E686F">
              <w:rPr>
                <w:rFonts w:ascii="Times New Roman" w:hAnsi="Times New Roman" w:cs="Times New Roman"/>
                <w:bCs/>
                <w:i/>
                <w:iCs/>
              </w:rPr>
              <w:t>) și (1</w:t>
            </w:r>
            <w:r w:rsidR="0009639E" w:rsidRPr="009E686F">
              <w:rPr>
                <w:rFonts w:ascii="Times New Roman" w:hAnsi="Times New Roman" w:cs="Times New Roman"/>
                <w:bCs/>
                <w:i/>
                <w:iCs/>
                <w:vertAlign w:val="superscript"/>
              </w:rPr>
              <w:t>3</w:t>
            </w:r>
            <w:r w:rsidRPr="009E686F">
              <w:rPr>
                <w:rFonts w:ascii="Times New Roman" w:hAnsi="Times New Roman" w:cs="Times New Roman"/>
                <w:bCs/>
                <w:i/>
                <w:iCs/>
              </w:rPr>
              <w:t>).</w:t>
            </w:r>
          </w:p>
        </w:tc>
        <w:tc>
          <w:tcPr>
            <w:tcW w:w="470" w:type="pct"/>
            <w:tcBorders>
              <w:top w:val="single" w:sz="4" w:space="0" w:color="auto"/>
              <w:left w:val="single" w:sz="4" w:space="0" w:color="auto"/>
              <w:bottom w:val="single" w:sz="4" w:space="0" w:color="auto"/>
              <w:right w:val="single" w:sz="4" w:space="0" w:color="auto"/>
            </w:tcBorders>
          </w:tcPr>
          <w:p w14:paraId="6841849B" w14:textId="5EFE7D7B" w:rsidR="00AB6122" w:rsidRPr="009E686F" w:rsidRDefault="00AB6122" w:rsidP="00AB6122">
            <w:pPr>
              <w:jc w:val="both"/>
              <w:rPr>
                <w:rFonts w:ascii="Times New Roman" w:hAnsi="Times New Roman" w:cs="Times New Roman"/>
              </w:rPr>
            </w:pPr>
            <w:r w:rsidRPr="009E686F">
              <w:rPr>
                <w:rFonts w:ascii="Times New Roman" w:hAnsi="Times New Roman" w:cs="Times New Roman"/>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1796E03E" w14:textId="4522F8DD" w:rsidR="00AB6122" w:rsidRPr="009E686F" w:rsidRDefault="00AB6122" w:rsidP="00515783">
            <w:pPr>
              <w:spacing w:after="0"/>
              <w:jc w:val="both"/>
              <w:rPr>
                <w:rFonts w:ascii="Times New Roman" w:hAnsi="Times New Roman" w:cs="Times New Roman"/>
              </w:rPr>
            </w:pPr>
          </w:p>
        </w:tc>
      </w:tr>
      <w:tr w:rsidR="00B30AFC" w:rsidRPr="009E686F" w14:paraId="492AA359" w14:textId="028F94A0" w:rsidTr="00960C23">
        <w:tc>
          <w:tcPr>
            <w:tcW w:w="1890" w:type="pct"/>
            <w:tcBorders>
              <w:top w:val="single" w:sz="4" w:space="0" w:color="auto"/>
              <w:left w:val="single" w:sz="4" w:space="0" w:color="auto"/>
              <w:bottom w:val="single" w:sz="4" w:space="0" w:color="auto"/>
              <w:right w:val="single" w:sz="4" w:space="0" w:color="auto"/>
            </w:tcBorders>
          </w:tcPr>
          <w:p w14:paraId="054F86DC" w14:textId="77777777" w:rsidR="00AB6122" w:rsidRPr="009E686F" w:rsidRDefault="00AB6122" w:rsidP="00ED2C1C">
            <w:pPr>
              <w:spacing w:after="0"/>
              <w:jc w:val="both"/>
              <w:rPr>
                <w:rFonts w:ascii="Times New Roman" w:hAnsi="Times New Roman" w:cs="Times New Roman"/>
                <w:i/>
                <w:lang w:val="it-CH"/>
              </w:rPr>
            </w:pPr>
            <w:r w:rsidRPr="009E686F">
              <w:rPr>
                <w:rFonts w:ascii="Times New Roman" w:hAnsi="Times New Roman" w:cs="Times New Roman"/>
                <w:i/>
                <w:lang w:val="it-CH"/>
              </w:rPr>
              <w:t xml:space="preserve">Articolul 18 </w:t>
            </w:r>
          </w:p>
          <w:p w14:paraId="49A475A4" w14:textId="6C83548D" w:rsidR="00AB6122" w:rsidRPr="009E686F" w:rsidRDefault="00AB6122" w:rsidP="00ED2C1C">
            <w:pPr>
              <w:spacing w:after="0"/>
              <w:jc w:val="both"/>
              <w:rPr>
                <w:rFonts w:ascii="Times New Roman" w:hAnsi="Times New Roman" w:cs="Times New Roman"/>
                <w:lang w:val="it-CH"/>
              </w:rPr>
            </w:pPr>
            <w:r w:rsidRPr="009E686F">
              <w:rPr>
                <w:rFonts w:ascii="Times New Roman" w:hAnsi="Times New Roman" w:cs="Times New Roman"/>
                <w:lang w:val="it-CH"/>
              </w:rPr>
              <w:t>Retragerea autorizației</w:t>
            </w:r>
          </w:p>
          <w:p w14:paraId="4541E02E" w14:textId="35359B84" w:rsidR="00AB6122" w:rsidRPr="009E686F" w:rsidRDefault="00AB6122" w:rsidP="00ED2C1C">
            <w:pPr>
              <w:spacing w:after="0"/>
              <w:jc w:val="both"/>
              <w:rPr>
                <w:rFonts w:ascii="Times New Roman" w:hAnsi="Times New Roman" w:cs="Times New Roman"/>
                <w:lang w:val="it-CH"/>
              </w:rPr>
            </w:pPr>
            <w:r w:rsidRPr="009E686F">
              <w:rPr>
                <w:rFonts w:ascii="Times New Roman" w:hAnsi="Times New Roman" w:cs="Times New Roman"/>
                <w:lang w:val="it-CH"/>
              </w:rPr>
              <w:t xml:space="preserve">Autoritățile competente pot retrage autorizația acordată unei </w:t>
            </w:r>
            <w:r w:rsidR="00A51A7D" w:rsidRPr="009E686F">
              <w:rPr>
                <w:rFonts w:ascii="Times New Roman" w:hAnsi="Times New Roman" w:cs="Times New Roman"/>
                <w:lang w:val="it-CH"/>
              </w:rPr>
              <w:t>instituții de credit</w:t>
            </w:r>
            <w:r w:rsidRPr="009E686F">
              <w:rPr>
                <w:rFonts w:ascii="Times New Roman" w:hAnsi="Times New Roman" w:cs="Times New Roman"/>
                <w:lang w:val="it-CH"/>
              </w:rPr>
              <w:t xml:space="preserve"> în cazul în care </w:t>
            </w:r>
            <w:r w:rsidR="00A51A7D" w:rsidRPr="009E686F">
              <w:rPr>
                <w:rFonts w:ascii="Times New Roman" w:hAnsi="Times New Roman" w:cs="Times New Roman"/>
                <w:lang w:val="it-CH"/>
              </w:rPr>
              <w:t>instituția de credit</w:t>
            </w:r>
            <w:r w:rsidRPr="009E686F">
              <w:rPr>
                <w:rFonts w:ascii="Times New Roman" w:hAnsi="Times New Roman" w:cs="Times New Roman"/>
                <w:lang w:val="it-CH"/>
              </w:rPr>
              <w:t>:</w:t>
            </w:r>
          </w:p>
        </w:tc>
        <w:tc>
          <w:tcPr>
            <w:tcW w:w="1834" w:type="pct"/>
            <w:tcBorders>
              <w:top w:val="single" w:sz="4" w:space="0" w:color="auto"/>
              <w:left w:val="single" w:sz="4" w:space="0" w:color="auto"/>
              <w:bottom w:val="single" w:sz="4" w:space="0" w:color="auto"/>
              <w:right w:val="single" w:sz="4" w:space="0" w:color="auto"/>
            </w:tcBorders>
          </w:tcPr>
          <w:p w14:paraId="4647F52A" w14:textId="47E1BEB5" w:rsidR="00AB6122" w:rsidRPr="009E686F" w:rsidRDefault="00AB6122" w:rsidP="00ED2C1C">
            <w:pPr>
              <w:spacing w:after="0"/>
              <w:jc w:val="both"/>
              <w:rPr>
                <w:rFonts w:ascii="Times New Roman" w:hAnsi="Times New Roman" w:cs="Times New Roman"/>
                <w:lang w:val="it-CH"/>
              </w:rPr>
            </w:pPr>
            <w:r w:rsidRPr="009E686F">
              <w:rPr>
                <w:rFonts w:ascii="Times New Roman" w:hAnsi="Times New Roman" w:cs="Times New Roman"/>
                <w:b/>
                <w:lang w:val="it-CH"/>
              </w:rPr>
              <w:t>Articolul 22.</w:t>
            </w:r>
            <w:r w:rsidRPr="009E686F">
              <w:rPr>
                <w:rFonts w:ascii="Times New Roman" w:hAnsi="Times New Roman" w:cs="Times New Roman"/>
                <w:lang w:val="it-CH"/>
              </w:rPr>
              <w:t xml:space="preserve"> Retragerea autorizației</w:t>
            </w:r>
          </w:p>
          <w:p w14:paraId="519528F2" w14:textId="4DE7481D" w:rsidR="00AB6122" w:rsidRPr="009E686F" w:rsidRDefault="00AB6122" w:rsidP="00ED2C1C">
            <w:pPr>
              <w:spacing w:after="0"/>
              <w:jc w:val="both"/>
              <w:rPr>
                <w:rFonts w:ascii="Times New Roman" w:hAnsi="Times New Roman" w:cs="Times New Roman"/>
                <w:lang w:val="it-CH"/>
              </w:rPr>
            </w:pPr>
            <w:r w:rsidRPr="009E686F">
              <w:rPr>
                <w:rFonts w:ascii="Times New Roman" w:hAnsi="Times New Roman" w:cs="Times New Roman"/>
                <w:lang w:val="it-CH"/>
              </w:rPr>
              <w:t xml:space="preserve">(1) Banca Națională a Moldovei poate retrage </w:t>
            </w:r>
            <w:r w:rsidRPr="009E686F">
              <w:rPr>
                <w:rFonts w:ascii="Times New Roman" w:hAnsi="Times New Roman" w:cs="Times New Roman"/>
                <w:i/>
                <w:iCs/>
                <w:lang w:val="it-CH"/>
              </w:rPr>
              <w:t>autorizația</w:t>
            </w:r>
            <w:r w:rsidRPr="009E686F">
              <w:rPr>
                <w:rFonts w:ascii="Times New Roman" w:hAnsi="Times New Roman" w:cs="Times New Roman"/>
                <w:lang w:val="it-CH"/>
              </w:rPr>
              <w:t xml:space="preserve"> acordată unei </w:t>
            </w:r>
            <w:r w:rsidR="00A51A7D" w:rsidRPr="009E686F">
              <w:rPr>
                <w:rFonts w:ascii="Times New Roman" w:hAnsi="Times New Roman" w:cs="Times New Roman"/>
                <w:i/>
                <w:iCs/>
                <w:lang w:val="it-CH"/>
              </w:rPr>
              <w:t>instituții de credit</w:t>
            </w:r>
            <w:r w:rsidRPr="009E686F">
              <w:rPr>
                <w:rFonts w:ascii="Times New Roman" w:hAnsi="Times New Roman" w:cs="Times New Roman"/>
                <w:lang w:val="it-CH"/>
              </w:rPr>
              <w:t xml:space="preserve"> în următoarele situații: </w:t>
            </w:r>
          </w:p>
        </w:tc>
        <w:tc>
          <w:tcPr>
            <w:tcW w:w="470" w:type="pct"/>
            <w:tcBorders>
              <w:top w:val="single" w:sz="4" w:space="0" w:color="auto"/>
              <w:left w:val="single" w:sz="4" w:space="0" w:color="auto"/>
              <w:bottom w:val="single" w:sz="4" w:space="0" w:color="auto"/>
              <w:right w:val="single" w:sz="4" w:space="0" w:color="auto"/>
            </w:tcBorders>
          </w:tcPr>
          <w:p w14:paraId="0BB0A173" w14:textId="214EA6C3" w:rsidR="00AB6122" w:rsidRPr="009E686F" w:rsidRDefault="00AB6122" w:rsidP="00AB6122">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625099D6" w14:textId="34892080" w:rsidR="00AB6122" w:rsidRPr="009E686F" w:rsidRDefault="00AB6122" w:rsidP="00515783">
            <w:pPr>
              <w:spacing w:after="0"/>
              <w:jc w:val="both"/>
              <w:rPr>
                <w:rFonts w:ascii="Times New Roman" w:hAnsi="Times New Roman" w:cs="Times New Roman"/>
              </w:rPr>
            </w:pPr>
          </w:p>
        </w:tc>
      </w:tr>
      <w:tr w:rsidR="00B30AFC" w:rsidRPr="009E686F" w14:paraId="7877EE76" w14:textId="5AAAB585" w:rsidTr="00960C23">
        <w:tc>
          <w:tcPr>
            <w:tcW w:w="1890" w:type="pct"/>
            <w:tcBorders>
              <w:top w:val="single" w:sz="4" w:space="0" w:color="auto"/>
              <w:left w:val="single" w:sz="4" w:space="0" w:color="auto"/>
              <w:bottom w:val="single" w:sz="4" w:space="0" w:color="auto"/>
              <w:right w:val="single" w:sz="4" w:space="0" w:color="auto"/>
            </w:tcBorders>
          </w:tcPr>
          <w:p w14:paraId="60EC7021" w14:textId="7A989340" w:rsidR="00AB6122" w:rsidRPr="009E686F" w:rsidRDefault="00AB6122" w:rsidP="00ED2C1C">
            <w:pPr>
              <w:spacing w:after="0"/>
              <w:jc w:val="both"/>
              <w:rPr>
                <w:rFonts w:ascii="Times New Roman" w:hAnsi="Times New Roman" w:cs="Times New Roman"/>
              </w:rPr>
            </w:pPr>
            <w:r w:rsidRPr="009E686F">
              <w:rPr>
                <w:rFonts w:ascii="Times New Roman" w:hAnsi="Times New Roman" w:cs="Times New Roman"/>
              </w:rPr>
              <w:t>(a) nu utilizează autorizația respectivă în termen de 12 luni, renunță în mod expres la aceasta sau își încetează activitatea pe o perioadă mai mare de șase luni, cu excepția cazului în care statul membru respectiv prevede că în astfel de situații autorizația expiră;</w:t>
            </w:r>
          </w:p>
        </w:tc>
        <w:tc>
          <w:tcPr>
            <w:tcW w:w="1834" w:type="pct"/>
            <w:tcBorders>
              <w:top w:val="single" w:sz="4" w:space="0" w:color="auto"/>
              <w:left w:val="single" w:sz="4" w:space="0" w:color="auto"/>
              <w:bottom w:val="single" w:sz="4" w:space="0" w:color="auto"/>
              <w:right w:val="single" w:sz="4" w:space="0" w:color="auto"/>
            </w:tcBorders>
          </w:tcPr>
          <w:p w14:paraId="4E69968E" w14:textId="6DD1A59F" w:rsidR="00AB6122" w:rsidRPr="009E686F" w:rsidRDefault="00AB6122" w:rsidP="00ED2C1C">
            <w:pPr>
              <w:spacing w:after="0"/>
              <w:jc w:val="both"/>
              <w:rPr>
                <w:rFonts w:ascii="Times New Roman" w:hAnsi="Times New Roman" w:cs="Times New Roman"/>
              </w:rPr>
            </w:pPr>
            <w:r w:rsidRPr="009E686F">
              <w:rPr>
                <w:rFonts w:ascii="Times New Roman" w:hAnsi="Times New Roman" w:cs="Times New Roman"/>
              </w:rPr>
              <w:t xml:space="preserve">a) </w:t>
            </w:r>
            <w:r w:rsidR="00A51A7D" w:rsidRPr="009E686F">
              <w:rPr>
                <w:rFonts w:ascii="Times New Roman" w:hAnsi="Times New Roman" w:cs="Times New Roman"/>
                <w:i/>
                <w:iCs/>
              </w:rPr>
              <w:t>instituția de credit</w:t>
            </w:r>
            <w:r w:rsidRPr="009E686F">
              <w:rPr>
                <w:rFonts w:ascii="Times New Roman" w:hAnsi="Times New Roman" w:cs="Times New Roman"/>
              </w:rPr>
              <w:t xml:space="preserve"> nu şi-a început activitatea pentru care a fost autorizată în termen de 1 an de la data acordării </w:t>
            </w:r>
            <w:r w:rsidRPr="009E686F">
              <w:rPr>
                <w:rFonts w:ascii="Times New Roman" w:hAnsi="Times New Roman" w:cs="Times New Roman"/>
                <w:i/>
                <w:iCs/>
              </w:rPr>
              <w:t>autorizației</w:t>
            </w:r>
            <w:r w:rsidRPr="009E686F">
              <w:rPr>
                <w:rFonts w:ascii="Times New Roman" w:hAnsi="Times New Roman" w:cs="Times New Roman"/>
              </w:rPr>
              <w:t>, renunță în mod expres la aceasta sau a încetat să mai desfăşoare activitate de mai mult de 6 luni;</w:t>
            </w:r>
          </w:p>
        </w:tc>
        <w:tc>
          <w:tcPr>
            <w:tcW w:w="470" w:type="pct"/>
            <w:tcBorders>
              <w:top w:val="single" w:sz="4" w:space="0" w:color="auto"/>
              <w:left w:val="single" w:sz="4" w:space="0" w:color="auto"/>
              <w:bottom w:val="single" w:sz="4" w:space="0" w:color="auto"/>
              <w:right w:val="single" w:sz="4" w:space="0" w:color="auto"/>
            </w:tcBorders>
          </w:tcPr>
          <w:p w14:paraId="1A6BE63E" w14:textId="5FB4DE18" w:rsidR="00AB6122" w:rsidRPr="009E686F" w:rsidRDefault="00AB6122" w:rsidP="00AB6122">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43C1AF89" w14:textId="122E6F2E" w:rsidR="00AB6122" w:rsidRPr="009E686F" w:rsidRDefault="00AB6122" w:rsidP="00515783">
            <w:pPr>
              <w:spacing w:after="0"/>
              <w:jc w:val="both"/>
              <w:rPr>
                <w:rFonts w:ascii="Times New Roman" w:hAnsi="Times New Roman" w:cs="Times New Roman"/>
              </w:rPr>
            </w:pPr>
          </w:p>
        </w:tc>
      </w:tr>
      <w:tr w:rsidR="00B30AFC" w:rsidRPr="009E686F" w14:paraId="660F6B77" w14:textId="77777777" w:rsidTr="00960C23">
        <w:tc>
          <w:tcPr>
            <w:tcW w:w="1890" w:type="pct"/>
            <w:tcBorders>
              <w:top w:val="single" w:sz="4" w:space="0" w:color="auto"/>
              <w:left w:val="single" w:sz="4" w:space="0" w:color="auto"/>
              <w:bottom w:val="single" w:sz="4" w:space="0" w:color="auto"/>
              <w:right w:val="single" w:sz="4" w:space="0" w:color="auto"/>
            </w:tcBorders>
          </w:tcPr>
          <w:p w14:paraId="4E4313C6" w14:textId="2A21E6DD" w:rsidR="00AB6122" w:rsidRPr="009E686F" w:rsidRDefault="00AB6122" w:rsidP="00ED2C1C">
            <w:pPr>
              <w:spacing w:after="0"/>
              <w:jc w:val="both"/>
              <w:rPr>
                <w:rFonts w:ascii="Times New Roman" w:hAnsi="Times New Roman" w:cs="Times New Roman"/>
                <w:lang w:val="it-CH"/>
              </w:rPr>
            </w:pPr>
            <w:r w:rsidRPr="009E686F">
              <w:rPr>
                <w:rFonts w:ascii="Times New Roman" w:hAnsi="Times New Roman" w:cs="Times New Roman"/>
                <w:lang w:val="it-CH"/>
              </w:rPr>
              <w:t>(aa) își utilizează autorizația exclusiv pentru a participa la activitățile menționate la articolul 4 alineatul (1) punctul 1 litera (b) din Regulamentul (UE) nr. 575/2013 și pentru o perioadă de cinci ani consecutivi media activelor sale totale este inferioară pragurilor prevăzute la articolul respectiv;</w:t>
            </w:r>
          </w:p>
        </w:tc>
        <w:tc>
          <w:tcPr>
            <w:tcW w:w="1834" w:type="pct"/>
            <w:tcBorders>
              <w:top w:val="single" w:sz="4" w:space="0" w:color="auto"/>
              <w:left w:val="single" w:sz="4" w:space="0" w:color="auto"/>
              <w:bottom w:val="single" w:sz="4" w:space="0" w:color="auto"/>
              <w:right w:val="single" w:sz="4" w:space="0" w:color="auto"/>
            </w:tcBorders>
          </w:tcPr>
          <w:p w14:paraId="6E6A6EF8" w14:textId="475955B4" w:rsidR="00AB6122" w:rsidRPr="009E686F" w:rsidRDefault="00AB6122" w:rsidP="00ED2C1C">
            <w:pPr>
              <w:spacing w:after="0"/>
              <w:jc w:val="both"/>
              <w:rPr>
                <w:rFonts w:ascii="Times New Roman" w:hAnsi="Times New Roman" w:cs="Times New Roman"/>
                <w:i/>
                <w:lang w:val="it-CH"/>
              </w:rPr>
            </w:pPr>
            <w:r w:rsidRPr="009E686F">
              <w:rPr>
                <w:rFonts w:ascii="Times New Roman" w:hAnsi="Times New Roman" w:cs="Times New Roman"/>
                <w:i/>
                <w:lang w:val="it-CH"/>
              </w:rPr>
              <w:t>a</w:t>
            </w:r>
            <w:r w:rsidRPr="009E686F">
              <w:rPr>
                <w:rFonts w:ascii="Times New Roman" w:hAnsi="Times New Roman" w:cs="Times New Roman"/>
                <w:i/>
                <w:vertAlign w:val="superscript"/>
                <w:lang w:val="it-CH"/>
              </w:rPr>
              <w:t>1</w:t>
            </w:r>
            <w:r w:rsidRPr="009E686F">
              <w:rPr>
                <w:rFonts w:ascii="Times New Roman" w:hAnsi="Times New Roman" w:cs="Times New Roman"/>
                <w:i/>
                <w:lang w:val="it-CH"/>
              </w:rPr>
              <w:t xml:space="preserve">) își utilizează autorizația exclusiv pentru a participa la activităţile menţionate la art. 3 </w:t>
            </w:r>
            <w:r w:rsidR="00A51A7D" w:rsidRPr="009E686F">
              <w:rPr>
                <w:rFonts w:ascii="Times New Roman" w:hAnsi="Times New Roman" w:cs="Times New Roman"/>
                <w:i/>
                <w:lang w:val="it-CH"/>
              </w:rPr>
              <w:t>noțiunea de “</w:t>
            </w:r>
            <w:r w:rsidR="00A51A7D" w:rsidRPr="009E686F">
              <w:rPr>
                <w:rFonts w:ascii="Times New Roman" w:hAnsi="Times New Roman" w:cs="Times New Roman"/>
                <w:i/>
                <w:iCs/>
                <w:lang w:val="ro-RO"/>
              </w:rPr>
              <w:t>instituție de credit</w:t>
            </w:r>
            <w:r w:rsidR="00A51A7D" w:rsidRPr="009E686F">
              <w:rPr>
                <w:rFonts w:ascii="Times New Roman" w:hAnsi="Times New Roman" w:cs="Times New Roman"/>
                <w:i/>
                <w:lang w:val="it-CH"/>
              </w:rPr>
              <w:t>”</w:t>
            </w:r>
            <w:r w:rsidRPr="009E686F">
              <w:rPr>
                <w:rFonts w:ascii="Times New Roman" w:hAnsi="Times New Roman" w:cs="Times New Roman"/>
                <w:i/>
                <w:lang w:val="it-CH"/>
              </w:rPr>
              <w:t xml:space="preserve"> lit. b) și pentru o perioadă de cinci ani consecutivi media activelor sale totale este inferioară pragurilor prevăzute la litera respectivă;</w:t>
            </w:r>
          </w:p>
        </w:tc>
        <w:tc>
          <w:tcPr>
            <w:tcW w:w="470" w:type="pct"/>
            <w:tcBorders>
              <w:top w:val="single" w:sz="4" w:space="0" w:color="auto"/>
              <w:left w:val="single" w:sz="4" w:space="0" w:color="auto"/>
              <w:bottom w:val="single" w:sz="4" w:space="0" w:color="auto"/>
              <w:right w:val="single" w:sz="4" w:space="0" w:color="auto"/>
            </w:tcBorders>
          </w:tcPr>
          <w:p w14:paraId="04109AEF" w14:textId="09C4DC41" w:rsidR="00AB6122" w:rsidRPr="009E686F" w:rsidRDefault="00AB6122" w:rsidP="00AB6122">
            <w:pPr>
              <w:jc w:val="both"/>
              <w:rPr>
                <w:rFonts w:ascii="Times New Roman" w:hAnsi="Times New Roman" w:cs="Times New Roman"/>
                <w:lang w:val="it-CH"/>
              </w:rPr>
            </w:pPr>
          </w:p>
          <w:p w14:paraId="04300B05" w14:textId="4BB49E00" w:rsidR="00AB6122" w:rsidRPr="009E686F" w:rsidRDefault="00AB6122" w:rsidP="00AB6122">
            <w:pPr>
              <w:jc w:val="both"/>
              <w:rPr>
                <w:rFonts w:ascii="Times New Roman" w:hAnsi="Times New Roman" w:cs="Times New Roman"/>
                <w:lang w:val="it-CH"/>
              </w:rPr>
            </w:pPr>
          </w:p>
        </w:tc>
        <w:tc>
          <w:tcPr>
            <w:tcW w:w="806" w:type="pct"/>
            <w:tcBorders>
              <w:top w:val="single" w:sz="4" w:space="0" w:color="auto"/>
              <w:left w:val="single" w:sz="4" w:space="0" w:color="auto"/>
              <w:bottom w:val="single" w:sz="4" w:space="0" w:color="auto"/>
              <w:right w:val="single" w:sz="4" w:space="0" w:color="auto"/>
            </w:tcBorders>
          </w:tcPr>
          <w:p w14:paraId="42237A16" w14:textId="77777777" w:rsidR="00AB6122" w:rsidRPr="009E686F" w:rsidRDefault="00AB6122" w:rsidP="00515783">
            <w:pPr>
              <w:spacing w:after="0"/>
              <w:jc w:val="both"/>
              <w:rPr>
                <w:rFonts w:ascii="Times New Roman" w:hAnsi="Times New Roman" w:cs="Times New Roman"/>
                <w:lang w:val="it-CH"/>
              </w:rPr>
            </w:pPr>
          </w:p>
        </w:tc>
      </w:tr>
      <w:tr w:rsidR="00B30AFC" w:rsidRPr="009E686F" w14:paraId="5EAF1ED0" w14:textId="18BBB988" w:rsidTr="00960C23">
        <w:tc>
          <w:tcPr>
            <w:tcW w:w="1890" w:type="pct"/>
            <w:tcBorders>
              <w:top w:val="single" w:sz="4" w:space="0" w:color="auto"/>
              <w:left w:val="single" w:sz="4" w:space="0" w:color="auto"/>
              <w:bottom w:val="single" w:sz="4" w:space="0" w:color="auto"/>
              <w:right w:val="single" w:sz="4" w:space="0" w:color="auto"/>
            </w:tcBorders>
          </w:tcPr>
          <w:p w14:paraId="3570DC53" w14:textId="632BE77E" w:rsidR="00AB6122" w:rsidRPr="009E686F" w:rsidRDefault="00AB6122" w:rsidP="00ED2C1C">
            <w:pPr>
              <w:spacing w:after="0"/>
              <w:jc w:val="both"/>
              <w:rPr>
                <w:rFonts w:ascii="Times New Roman" w:hAnsi="Times New Roman" w:cs="Times New Roman"/>
              </w:rPr>
            </w:pPr>
            <w:r w:rsidRPr="009E686F">
              <w:rPr>
                <w:rFonts w:ascii="Times New Roman" w:hAnsi="Times New Roman" w:cs="Times New Roman"/>
              </w:rPr>
              <w:t>(b) a obținut autorizația pe baza unor informații false sau prin orice alt mijloc ilegal;</w:t>
            </w:r>
          </w:p>
        </w:tc>
        <w:tc>
          <w:tcPr>
            <w:tcW w:w="1834" w:type="pct"/>
            <w:tcBorders>
              <w:top w:val="single" w:sz="4" w:space="0" w:color="auto"/>
              <w:left w:val="single" w:sz="4" w:space="0" w:color="auto"/>
              <w:bottom w:val="single" w:sz="4" w:space="0" w:color="auto"/>
              <w:right w:val="single" w:sz="4" w:space="0" w:color="auto"/>
            </w:tcBorders>
          </w:tcPr>
          <w:p w14:paraId="1FA8C9CD" w14:textId="60425DC3" w:rsidR="00AB6122" w:rsidRPr="009E686F" w:rsidRDefault="00AB6122" w:rsidP="00ED2C1C">
            <w:pPr>
              <w:spacing w:after="0"/>
              <w:jc w:val="both"/>
              <w:rPr>
                <w:rFonts w:ascii="Times New Roman" w:hAnsi="Times New Roman" w:cs="Times New Roman"/>
              </w:rPr>
            </w:pPr>
            <w:r w:rsidRPr="009E686F">
              <w:rPr>
                <w:rFonts w:ascii="Times New Roman" w:hAnsi="Times New Roman" w:cs="Times New Roman"/>
              </w:rPr>
              <w:t xml:space="preserve">b) </w:t>
            </w:r>
            <w:r w:rsidRPr="009E686F">
              <w:rPr>
                <w:rFonts w:ascii="Times New Roman" w:hAnsi="Times New Roman" w:cs="Times New Roman"/>
                <w:i/>
                <w:iCs/>
              </w:rPr>
              <w:t>autorizația</w:t>
            </w:r>
            <w:r w:rsidRPr="009E686F">
              <w:rPr>
                <w:rFonts w:ascii="Times New Roman" w:hAnsi="Times New Roman" w:cs="Times New Roman"/>
              </w:rPr>
              <w:t xml:space="preserve"> a fost obținută pe baza unor informații false sau prin orice alt mijloc ilegal;</w:t>
            </w:r>
          </w:p>
        </w:tc>
        <w:tc>
          <w:tcPr>
            <w:tcW w:w="470" w:type="pct"/>
            <w:tcBorders>
              <w:top w:val="single" w:sz="4" w:space="0" w:color="auto"/>
              <w:left w:val="single" w:sz="4" w:space="0" w:color="auto"/>
              <w:bottom w:val="single" w:sz="4" w:space="0" w:color="auto"/>
              <w:right w:val="single" w:sz="4" w:space="0" w:color="auto"/>
            </w:tcBorders>
          </w:tcPr>
          <w:p w14:paraId="3BDB58C7" w14:textId="38B936E8" w:rsidR="00AB6122" w:rsidRPr="009E686F" w:rsidRDefault="00AB6122" w:rsidP="00AB6122">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29528B1A" w14:textId="386CAAA5" w:rsidR="00AB6122" w:rsidRPr="009E686F" w:rsidRDefault="00AB6122" w:rsidP="00515783">
            <w:pPr>
              <w:spacing w:after="0"/>
              <w:jc w:val="both"/>
              <w:rPr>
                <w:rFonts w:ascii="Times New Roman" w:hAnsi="Times New Roman" w:cs="Times New Roman"/>
              </w:rPr>
            </w:pPr>
          </w:p>
        </w:tc>
      </w:tr>
      <w:tr w:rsidR="00837428" w:rsidRPr="009E686F" w14:paraId="6AB97CB4" w14:textId="692434C5" w:rsidTr="00056B08">
        <w:tc>
          <w:tcPr>
            <w:tcW w:w="1890" w:type="pct"/>
            <w:vMerge w:val="restart"/>
            <w:tcBorders>
              <w:top w:val="single" w:sz="4" w:space="0" w:color="auto"/>
              <w:left w:val="single" w:sz="4" w:space="0" w:color="auto"/>
              <w:right w:val="single" w:sz="4" w:space="0" w:color="auto"/>
            </w:tcBorders>
          </w:tcPr>
          <w:p w14:paraId="08599F1E" w14:textId="6DF4E360" w:rsidR="00837428" w:rsidRPr="009E686F" w:rsidRDefault="00837428" w:rsidP="00ED2C1C">
            <w:pPr>
              <w:spacing w:after="0"/>
              <w:jc w:val="both"/>
              <w:rPr>
                <w:rFonts w:ascii="Times New Roman" w:hAnsi="Times New Roman" w:cs="Times New Roman"/>
                <w:lang w:val="it-CH"/>
              </w:rPr>
            </w:pPr>
            <w:r w:rsidRPr="009E686F">
              <w:rPr>
                <w:rFonts w:ascii="Times New Roman" w:hAnsi="Times New Roman" w:cs="Times New Roman"/>
                <w:lang w:val="it-CH"/>
              </w:rPr>
              <w:t>(c) nu mai îndeplinește condițiile care au stat la baza acordării autorizației;</w:t>
            </w:r>
          </w:p>
        </w:tc>
        <w:tc>
          <w:tcPr>
            <w:tcW w:w="1834" w:type="pct"/>
            <w:tcBorders>
              <w:top w:val="single" w:sz="4" w:space="0" w:color="auto"/>
              <w:left w:val="single" w:sz="4" w:space="0" w:color="auto"/>
              <w:bottom w:val="single" w:sz="4" w:space="0" w:color="auto"/>
              <w:right w:val="single" w:sz="4" w:space="0" w:color="auto"/>
            </w:tcBorders>
          </w:tcPr>
          <w:p w14:paraId="55371030" w14:textId="3B890CA6" w:rsidR="00837428" w:rsidRPr="009E686F" w:rsidRDefault="00837428" w:rsidP="00ED2C1C">
            <w:pPr>
              <w:spacing w:after="0"/>
              <w:jc w:val="both"/>
              <w:rPr>
                <w:rFonts w:ascii="Times New Roman" w:hAnsi="Times New Roman" w:cs="Times New Roman"/>
                <w:lang w:val="it-CH"/>
              </w:rPr>
            </w:pPr>
            <w:r w:rsidRPr="009E686F">
              <w:rPr>
                <w:rFonts w:ascii="Times New Roman" w:hAnsi="Times New Roman" w:cs="Times New Roman"/>
                <w:lang w:val="it-CH"/>
              </w:rPr>
              <w:t xml:space="preserve">c) </w:t>
            </w:r>
            <w:r w:rsidRPr="009E686F">
              <w:rPr>
                <w:rFonts w:ascii="Times New Roman" w:hAnsi="Times New Roman" w:cs="Times New Roman"/>
                <w:i/>
                <w:iCs/>
                <w:lang w:val="it-CH"/>
              </w:rPr>
              <w:t>instituția de credit</w:t>
            </w:r>
            <w:r w:rsidRPr="009E686F">
              <w:rPr>
                <w:rFonts w:ascii="Times New Roman" w:hAnsi="Times New Roman" w:cs="Times New Roman"/>
                <w:lang w:val="it-CH"/>
              </w:rPr>
              <w:t xml:space="preserve"> nu mai îndeplineşte condițiile care au stat la baza acordării </w:t>
            </w:r>
            <w:r w:rsidRPr="009E686F">
              <w:rPr>
                <w:rFonts w:ascii="Times New Roman" w:hAnsi="Times New Roman" w:cs="Times New Roman"/>
                <w:i/>
                <w:iCs/>
                <w:lang w:val="it-CH"/>
              </w:rPr>
              <w:t>autorizației</w:t>
            </w:r>
            <w:r w:rsidRPr="009E686F">
              <w:rPr>
                <w:rFonts w:ascii="Times New Roman" w:hAnsi="Times New Roman" w:cs="Times New Roman"/>
                <w:lang w:val="it-CH"/>
              </w:rPr>
              <w:t>;</w:t>
            </w:r>
          </w:p>
        </w:tc>
        <w:tc>
          <w:tcPr>
            <w:tcW w:w="470" w:type="pct"/>
            <w:tcBorders>
              <w:top w:val="single" w:sz="4" w:space="0" w:color="auto"/>
              <w:left w:val="single" w:sz="4" w:space="0" w:color="auto"/>
              <w:bottom w:val="single" w:sz="4" w:space="0" w:color="auto"/>
              <w:right w:val="single" w:sz="4" w:space="0" w:color="auto"/>
            </w:tcBorders>
          </w:tcPr>
          <w:p w14:paraId="66981A88" w14:textId="347C233F" w:rsidR="00837428" w:rsidRPr="009E686F" w:rsidRDefault="00837428" w:rsidP="00AB6122">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3C74DFC6" w14:textId="3D40FA8F" w:rsidR="00837428" w:rsidRPr="009E686F" w:rsidRDefault="00837428" w:rsidP="00515783">
            <w:pPr>
              <w:spacing w:after="0"/>
              <w:jc w:val="both"/>
              <w:rPr>
                <w:rFonts w:ascii="Times New Roman" w:hAnsi="Times New Roman" w:cs="Times New Roman"/>
                <w:lang w:val="it-CH"/>
              </w:rPr>
            </w:pPr>
          </w:p>
        </w:tc>
      </w:tr>
      <w:tr w:rsidR="00837428" w:rsidRPr="009E686F" w14:paraId="0C852139" w14:textId="77777777" w:rsidTr="00056B08">
        <w:tc>
          <w:tcPr>
            <w:tcW w:w="1890" w:type="pct"/>
            <w:vMerge/>
            <w:tcBorders>
              <w:left w:val="single" w:sz="4" w:space="0" w:color="auto"/>
              <w:bottom w:val="single" w:sz="4" w:space="0" w:color="auto"/>
              <w:right w:val="single" w:sz="4" w:space="0" w:color="auto"/>
            </w:tcBorders>
          </w:tcPr>
          <w:p w14:paraId="55EAD66D" w14:textId="77777777" w:rsidR="00837428" w:rsidRPr="009E686F" w:rsidRDefault="00837428" w:rsidP="00837428">
            <w:pPr>
              <w:spacing w:after="0"/>
              <w:jc w:val="both"/>
              <w:rPr>
                <w:rFonts w:ascii="Times New Roman" w:hAnsi="Times New Roman" w:cs="Times New Roman"/>
                <w:lang w:val="it-CH"/>
              </w:rPr>
            </w:pPr>
          </w:p>
        </w:tc>
        <w:tc>
          <w:tcPr>
            <w:tcW w:w="1834" w:type="pct"/>
            <w:tcBorders>
              <w:top w:val="single" w:sz="4" w:space="0" w:color="auto"/>
              <w:left w:val="single" w:sz="4" w:space="0" w:color="auto"/>
              <w:bottom w:val="single" w:sz="4" w:space="0" w:color="auto"/>
              <w:right w:val="single" w:sz="4" w:space="0" w:color="auto"/>
            </w:tcBorders>
          </w:tcPr>
          <w:p w14:paraId="2D30EE56" w14:textId="71B19C3F" w:rsidR="00837428" w:rsidRPr="009E686F" w:rsidRDefault="00837428" w:rsidP="00837428">
            <w:pPr>
              <w:spacing w:after="0"/>
              <w:jc w:val="both"/>
              <w:rPr>
                <w:rFonts w:ascii="Times New Roman" w:hAnsi="Times New Roman" w:cs="Times New Roman"/>
                <w:lang w:val="it-CH"/>
              </w:rPr>
            </w:pPr>
            <w:r w:rsidRPr="009E686F">
              <w:rPr>
                <w:rFonts w:ascii="Times New Roman" w:hAnsi="Times New Roman" w:cs="Times New Roman"/>
                <w:lang w:val="it-CH"/>
              </w:rPr>
              <w:t>i</w:t>
            </w:r>
            <w:r w:rsidRPr="009E686F">
              <w:rPr>
                <w:rFonts w:ascii="Times New Roman" w:hAnsi="Times New Roman" w:cs="Times New Roman"/>
                <w:b/>
                <w:bCs/>
                <w:lang w:val="it-CH"/>
              </w:rPr>
              <w:t>)</w:t>
            </w:r>
            <w:r w:rsidRPr="009E686F">
              <w:rPr>
                <w:rFonts w:ascii="Times New Roman" w:hAnsi="Times New Roman" w:cs="Times New Roman"/>
                <w:lang w:val="it-CH"/>
              </w:rPr>
              <w:t xml:space="preserve"> acționarii sau beneficiarii </w:t>
            </w:r>
            <w:r w:rsidR="00190937" w:rsidRPr="009E686F">
              <w:rPr>
                <w:rFonts w:ascii="Times New Roman" w:hAnsi="Times New Roman" w:cs="Times New Roman"/>
                <w:lang w:val="it-CH"/>
              </w:rPr>
              <w:t>reali ai deținerii</w:t>
            </w:r>
            <w:r w:rsidRPr="009E686F">
              <w:rPr>
                <w:rFonts w:ascii="Times New Roman" w:hAnsi="Times New Roman" w:cs="Times New Roman"/>
                <w:lang w:val="it-CH"/>
              </w:rPr>
              <w:t xml:space="preserve"> nu mai asigură administrarea prudentă ori împiedică supravegherea eficientă;</w:t>
            </w:r>
          </w:p>
        </w:tc>
        <w:tc>
          <w:tcPr>
            <w:tcW w:w="470" w:type="pct"/>
            <w:tcBorders>
              <w:top w:val="single" w:sz="4" w:space="0" w:color="auto"/>
              <w:left w:val="single" w:sz="4" w:space="0" w:color="auto"/>
              <w:bottom w:val="single" w:sz="4" w:space="0" w:color="auto"/>
              <w:right w:val="single" w:sz="4" w:space="0" w:color="auto"/>
            </w:tcBorders>
          </w:tcPr>
          <w:p w14:paraId="493431CF" w14:textId="4E241756" w:rsidR="00837428" w:rsidRPr="009E686F" w:rsidRDefault="00837428" w:rsidP="00837428">
            <w:pPr>
              <w:jc w:val="both"/>
              <w:rPr>
                <w:rFonts w:ascii="Times New Roman" w:hAnsi="Times New Roman" w:cs="Times New Roman"/>
                <w:lang w:val="it-CH"/>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7267A07F" w14:textId="30B3020A" w:rsidR="00837428" w:rsidRPr="009E686F" w:rsidRDefault="00837428" w:rsidP="00837428">
            <w:pPr>
              <w:spacing w:after="0"/>
              <w:jc w:val="both"/>
              <w:rPr>
                <w:rFonts w:ascii="Times New Roman" w:hAnsi="Times New Roman" w:cs="Times New Roman"/>
                <w:lang w:val="it-CH"/>
              </w:rPr>
            </w:pPr>
            <w:r w:rsidRPr="009E686F">
              <w:rPr>
                <w:rFonts w:ascii="Times New Roman" w:hAnsi="Times New Roman" w:cs="Times New Roman"/>
                <w:lang w:val="it-CH"/>
              </w:rPr>
              <w:t xml:space="preserve">Normă cu specific national de completare, </w:t>
            </w:r>
            <w:r w:rsidR="00CC7C43" w:rsidRPr="009E686F">
              <w:rPr>
                <w:rFonts w:ascii="Times New Roman" w:hAnsi="Times New Roman" w:cs="Times New Roman"/>
                <w:lang w:val="it-CH"/>
              </w:rPr>
              <w:t>pentru detalierea neîndeplinirii de către acționari a condițiilor de autorizare.</w:t>
            </w:r>
            <w:r w:rsidRPr="009E686F">
              <w:rPr>
                <w:rFonts w:ascii="Times New Roman" w:hAnsi="Times New Roman" w:cs="Times New Roman"/>
                <w:lang w:val="it-CH"/>
              </w:rPr>
              <w:t xml:space="preserve"> </w:t>
            </w:r>
          </w:p>
        </w:tc>
      </w:tr>
      <w:tr w:rsidR="00837428" w:rsidRPr="009E686F" w14:paraId="4C5B159D" w14:textId="77777777" w:rsidTr="00056B08">
        <w:tc>
          <w:tcPr>
            <w:tcW w:w="1890" w:type="pct"/>
            <w:vMerge/>
            <w:tcBorders>
              <w:left w:val="single" w:sz="4" w:space="0" w:color="auto"/>
              <w:bottom w:val="single" w:sz="4" w:space="0" w:color="auto"/>
              <w:right w:val="single" w:sz="4" w:space="0" w:color="auto"/>
            </w:tcBorders>
          </w:tcPr>
          <w:p w14:paraId="5E83BC4D" w14:textId="77777777" w:rsidR="00837428" w:rsidRPr="009E686F" w:rsidRDefault="00837428" w:rsidP="00837428">
            <w:pPr>
              <w:spacing w:after="0"/>
              <w:jc w:val="both"/>
              <w:rPr>
                <w:rFonts w:ascii="Times New Roman" w:hAnsi="Times New Roman" w:cs="Times New Roman"/>
                <w:lang w:val="it-CH"/>
              </w:rPr>
            </w:pPr>
          </w:p>
        </w:tc>
        <w:tc>
          <w:tcPr>
            <w:tcW w:w="1834" w:type="pct"/>
            <w:tcBorders>
              <w:top w:val="single" w:sz="4" w:space="0" w:color="auto"/>
              <w:left w:val="single" w:sz="4" w:space="0" w:color="auto"/>
              <w:bottom w:val="single" w:sz="4" w:space="0" w:color="auto"/>
              <w:right w:val="single" w:sz="4" w:space="0" w:color="auto"/>
            </w:tcBorders>
          </w:tcPr>
          <w:p w14:paraId="7EDBB3DB" w14:textId="4B3E040B" w:rsidR="00837428" w:rsidRPr="009E686F" w:rsidRDefault="00837428" w:rsidP="00837428">
            <w:pPr>
              <w:spacing w:after="0"/>
              <w:jc w:val="both"/>
              <w:rPr>
                <w:rFonts w:ascii="Times New Roman" w:hAnsi="Times New Roman" w:cs="Times New Roman"/>
                <w:lang w:val="pt-BR"/>
              </w:rPr>
            </w:pPr>
            <w:r w:rsidRPr="009E686F">
              <w:rPr>
                <w:rFonts w:ascii="Times New Roman" w:hAnsi="Times New Roman" w:cs="Times New Roman"/>
                <w:lang w:val="pt-BR"/>
              </w:rPr>
              <w:t xml:space="preserve">h) activităţile desfăşurate de instituția de credit  în primii 3 ani de funcţionare se deosebesc considerabil de cele preconizate în programul de activitate prezentat la etapa de eliberare </w:t>
            </w:r>
            <w:r w:rsidRPr="009E686F">
              <w:rPr>
                <w:rFonts w:ascii="Times New Roman" w:hAnsi="Times New Roman" w:cs="Times New Roman"/>
                <w:i/>
                <w:lang w:val="pt-BR"/>
              </w:rPr>
              <w:t>a autorizației</w:t>
            </w:r>
            <w:r w:rsidRPr="009E686F">
              <w:rPr>
                <w:rFonts w:ascii="Times New Roman" w:hAnsi="Times New Roman" w:cs="Times New Roman"/>
                <w:lang w:val="pt-BR"/>
              </w:rPr>
              <w:t>, iar, în opinia Băncii Naţionale a Moldovei, o astfel de deviere nu este justificată de noile circumstanţe economice;</w:t>
            </w:r>
          </w:p>
        </w:tc>
        <w:tc>
          <w:tcPr>
            <w:tcW w:w="470" w:type="pct"/>
            <w:tcBorders>
              <w:top w:val="single" w:sz="4" w:space="0" w:color="auto"/>
              <w:left w:val="single" w:sz="4" w:space="0" w:color="auto"/>
              <w:bottom w:val="single" w:sz="4" w:space="0" w:color="auto"/>
              <w:right w:val="single" w:sz="4" w:space="0" w:color="auto"/>
            </w:tcBorders>
          </w:tcPr>
          <w:p w14:paraId="4D8FC940" w14:textId="6779691E" w:rsidR="00837428" w:rsidRPr="009E686F" w:rsidRDefault="00837428" w:rsidP="00837428">
            <w:pPr>
              <w:jc w:val="both"/>
              <w:rPr>
                <w:rFonts w:ascii="Times New Roman" w:hAnsi="Times New Roman" w:cs="Times New Roman"/>
                <w:lang w:val="it-CH"/>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20287D49" w14:textId="2697C88A" w:rsidR="00837428" w:rsidRPr="009E686F" w:rsidRDefault="00837428" w:rsidP="00837428">
            <w:pPr>
              <w:spacing w:after="0"/>
              <w:jc w:val="both"/>
              <w:rPr>
                <w:rFonts w:ascii="Times New Roman" w:hAnsi="Times New Roman" w:cs="Times New Roman"/>
                <w:lang w:val="it-CH"/>
              </w:rPr>
            </w:pPr>
            <w:r w:rsidRPr="009E686F">
              <w:rPr>
                <w:rFonts w:ascii="Times New Roman" w:hAnsi="Times New Roman" w:cs="Times New Roman"/>
                <w:lang w:val="it-CH"/>
              </w:rPr>
              <w:t>Normă cu specific national de completare, prin raportare la programul de activitate prezentat la autorizare.</w:t>
            </w:r>
          </w:p>
        </w:tc>
      </w:tr>
      <w:tr w:rsidR="00837428" w:rsidRPr="009E686F" w14:paraId="795D9A9D" w14:textId="5D1FFCC1" w:rsidTr="00960C23">
        <w:tc>
          <w:tcPr>
            <w:tcW w:w="1890" w:type="pct"/>
            <w:tcBorders>
              <w:top w:val="single" w:sz="4" w:space="0" w:color="auto"/>
              <w:left w:val="single" w:sz="4" w:space="0" w:color="auto"/>
              <w:bottom w:val="single" w:sz="4" w:space="0" w:color="auto"/>
              <w:right w:val="single" w:sz="4" w:space="0" w:color="auto"/>
            </w:tcBorders>
          </w:tcPr>
          <w:p w14:paraId="252CC828" w14:textId="152D5611" w:rsidR="00837428" w:rsidRPr="009E686F" w:rsidRDefault="00837428" w:rsidP="00837428">
            <w:pPr>
              <w:spacing w:after="0"/>
              <w:jc w:val="both"/>
              <w:rPr>
                <w:rFonts w:ascii="Times New Roman" w:hAnsi="Times New Roman" w:cs="Times New Roman"/>
                <w:lang w:val="it-CH"/>
              </w:rPr>
            </w:pPr>
            <w:r w:rsidRPr="009E686F">
              <w:rPr>
                <w:rFonts w:ascii="Times New Roman" w:hAnsi="Times New Roman" w:cs="Times New Roman"/>
                <w:lang w:val="it-CH"/>
              </w:rPr>
              <w:t>(d) nu mai îndeplinește cerințele prudențiale prevăzute în partea a treia, a patra sau a șasea</w:t>
            </w:r>
            <w:r w:rsidRPr="009E686F">
              <w:rPr>
                <w:rFonts w:ascii="Times New Roman" w:eastAsia="Times New Roman" w:hAnsi="Times New Roman" w:cs="Times New Roman"/>
                <w:color w:val="000000"/>
                <w:lang w:val="it-CH" w:eastAsia="ro-MD"/>
              </w:rPr>
              <w:t>, mai puțin cerințele prevăzute la articolele 92a și 92b</w:t>
            </w:r>
            <w:r w:rsidRPr="009E686F">
              <w:rPr>
                <w:rFonts w:ascii="Times New Roman" w:hAnsi="Times New Roman" w:cs="Times New Roman"/>
                <w:lang w:val="it-CH"/>
              </w:rPr>
              <w:t xml:space="preserve"> din Regulamentul (UE) nr. 575/2013 sau impuse în temeiul articolului 104 alineatul (1) litera (a) sau al articolului 105 din prezenta directivă sau se consideră că instituția de credit este susceptibilă de a nu-și poate onora obligațiile față de creditori și, în special, nu mai oferă garanții pentru activele care i-au fost încredințate de către deponenți;</w:t>
            </w:r>
          </w:p>
        </w:tc>
        <w:tc>
          <w:tcPr>
            <w:tcW w:w="1834" w:type="pct"/>
            <w:tcBorders>
              <w:top w:val="single" w:sz="4" w:space="0" w:color="auto"/>
              <w:left w:val="single" w:sz="4" w:space="0" w:color="auto"/>
              <w:bottom w:val="single" w:sz="4" w:space="0" w:color="auto"/>
              <w:right w:val="single" w:sz="4" w:space="0" w:color="auto"/>
            </w:tcBorders>
          </w:tcPr>
          <w:p w14:paraId="2FCCC81F" w14:textId="0EB02A81" w:rsidR="00837428" w:rsidRPr="009E686F" w:rsidRDefault="00837428" w:rsidP="00837428">
            <w:pPr>
              <w:spacing w:after="0"/>
              <w:jc w:val="both"/>
              <w:rPr>
                <w:rFonts w:ascii="Times New Roman" w:hAnsi="Times New Roman" w:cs="Times New Roman"/>
                <w:lang w:val="ro-MD"/>
              </w:rPr>
            </w:pPr>
            <w:r w:rsidRPr="009E686F">
              <w:rPr>
                <w:rFonts w:ascii="Times New Roman" w:hAnsi="Times New Roman" w:cs="Times New Roman"/>
                <w:lang w:val="it-CH"/>
              </w:rPr>
              <w:t xml:space="preserve">d) </w:t>
            </w:r>
            <w:r w:rsidRPr="009E686F">
              <w:rPr>
                <w:rFonts w:ascii="Times New Roman" w:eastAsia="Aptos" w:hAnsi="Times New Roman" w:cs="Times New Roman"/>
                <w:i/>
                <w:iCs/>
                <w:kern w:val="2"/>
                <w:lang w:val="ro-MD"/>
              </w:rPr>
              <w:t>instituția de credit</w:t>
            </w:r>
            <w:r w:rsidRPr="009E686F">
              <w:rPr>
                <w:rFonts w:ascii="Times New Roman" w:eastAsia="Aptos" w:hAnsi="Times New Roman" w:cs="Times New Roman"/>
                <w:kern w:val="2"/>
                <w:lang w:val="ro-MD"/>
              </w:rPr>
              <w:t xml:space="preserve"> nu mai îndeplineşte cerinţele prudenţiale privind fondurile proprii pentru acoperirea riscurilor, </w:t>
            </w:r>
            <w:r w:rsidRPr="009E686F">
              <w:rPr>
                <w:rFonts w:ascii="Times New Roman" w:eastAsia="Aptos" w:hAnsi="Times New Roman" w:cs="Times New Roman"/>
                <w:i/>
                <w:iCs/>
                <w:kern w:val="2"/>
                <w:lang w:val="ro-MD"/>
              </w:rPr>
              <w:t>cu excepția cerințelor pentru fondurile proprii și pasivele eligibile pentru G-SII, cerințele privind fondurile propri suplimentare prevăzute la art. 139 alin. (3) lit. a), sau cerințele specifice privind lichiditățile prevăzute la art. 139 alin. (6)</w:t>
            </w:r>
            <w:r w:rsidRPr="009E686F">
              <w:rPr>
                <w:rFonts w:ascii="Times New Roman" w:hAnsi="Times New Roman" w:cs="Times New Roman"/>
                <w:lang w:val="ro-MD"/>
              </w:rPr>
              <w:t xml:space="preserve">, potrivit prezentei legi şi actelor normative emise în aplicarea acesteia, sau există elemente care conduc la concluzia că, în termen de 12 luni, </w:t>
            </w:r>
            <w:r w:rsidRPr="009E686F">
              <w:rPr>
                <w:rFonts w:ascii="Times New Roman" w:hAnsi="Times New Roman" w:cs="Times New Roman"/>
                <w:i/>
                <w:iCs/>
                <w:lang w:val="ro-MD"/>
              </w:rPr>
              <w:t>instituția de credit</w:t>
            </w:r>
            <w:r w:rsidRPr="009E686F">
              <w:rPr>
                <w:rFonts w:ascii="Times New Roman" w:hAnsi="Times New Roman" w:cs="Times New Roman"/>
                <w:lang w:val="ro-MD"/>
              </w:rPr>
              <w:t xml:space="preserve"> nu îşi va mai putea îndeplini obligaţiile faţă de creditorii săi şi, în special, nu mai poate garanta siguranţa activelor care i-au fost încredinţate de către deponenţii săi;</w:t>
            </w:r>
          </w:p>
        </w:tc>
        <w:tc>
          <w:tcPr>
            <w:tcW w:w="470" w:type="pct"/>
            <w:tcBorders>
              <w:top w:val="single" w:sz="4" w:space="0" w:color="auto"/>
              <w:left w:val="single" w:sz="4" w:space="0" w:color="auto"/>
              <w:bottom w:val="single" w:sz="4" w:space="0" w:color="auto"/>
              <w:right w:val="single" w:sz="4" w:space="0" w:color="auto"/>
            </w:tcBorders>
          </w:tcPr>
          <w:p w14:paraId="240A75BE" w14:textId="60EFE43C" w:rsidR="00837428" w:rsidRPr="009E686F" w:rsidRDefault="00837428" w:rsidP="00837428">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229B5ADF" w14:textId="5D305AD1" w:rsidR="00C43CD3" w:rsidRPr="009E686F" w:rsidRDefault="00C43CD3" w:rsidP="00C43CD3">
            <w:pPr>
              <w:tabs>
                <w:tab w:val="left" w:pos="884"/>
                <w:tab w:val="left" w:pos="1196"/>
              </w:tabs>
              <w:spacing w:after="0" w:line="240" w:lineRule="auto"/>
              <w:jc w:val="both"/>
              <w:rPr>
                <w:rFonts w:ascii="Times New Roman" w:hAnsi="Times New Roman"/>
                <w:lang w:val="it-CH"/>
              </w:rPr>
            </w:pPr>
            <w:r w:rsidRPr="009E686F">
              <w:rPr>
                <w:rFonts w:ascii="Times New Roman" w:hAnsi="Times New Roman"/>
                <w:lang w:val="it-CH"/>
              </w:rPr>
              <w:t>Modific</w:t>
            </w:r>
            <w:r w:rsidRPr="009E686F">
              <w:rPr>
                <w:rFonts w:ascii="Times New Roman" w:hAnsi="Times New Roman"/>
                <w:lang w:val="ro-RO"/>
              </w:rPr>
              <w:t xml:space="preserve">ările aferente G-SII – </w:t>
            </w:r>
            <w:r w:rsidRPr="009E686F">
              <w:rPr>
                <w:rFonts w:ascii="Times New Roman" w:hAnsi="Times New Roman"/>
                <w:lang w:val="it-CH"/>
              </w:rPr>
              <w:t>în vigoare de la data aderării.</w:t>
            </w:r>
          </w:p>
          <w:p w14:paraId="5E262B72" w14:textId="743EB09D" w:rsidR="00837428" w:rsidRPr="009E686F" w:rsidRDefault="00837428" w:rsidP="00837428">
            <w:pPr>
              <w:spacing w:after="0"/>
              <w:jc w:val="both"/>
              <w:rPr>
                <w:rFonts w:ascii="Times New Roman" w:hAnsi="Times New Roman" w:cs="Times New Roman"/>
                <w:lang w:val="it-CH"/>
              </w:rPr>
            </w:pPr>
          </w:p>
        </w:tc>
      </w:tr>
      <w:tr w:rsidR="00837428" w:rsidRPr="009E686F" w14:paraId="2B88D9C8" w14:textId="6E2BF3A2" w:rsidTr="002C55F2">
        <w:tc>
          <w:tcPr>
            <w:tcW w:w="1890" w:type="pct"/>
            <w:vMerge w:val="restart"/>
            <w:tcBorders>
              <w:top w:val="single" w:sz="4" w:space="0" w:color="auto"/>
              <w:left w:val="single" w:sz="4" w:space="0" w:color="auto"/>
              <w:right w:val="single" w:sz="4" w:space="0" w:color="auto"/>
            </w:tcBorders>
          </w:tcPr>
          <w:p w14:paraId="2D307AF2" w14:textId="1493F97B" w:rsidR="00837428" w:rsidRPr="009E686F" w:rsidRDefault="00837428" w:rsidP="00837428">
            <w:pPr>
              <w:spacing w:after="0"/>
              <w:jc w:val="both"/>
              <w:rPr>
                <w:rFonts w:ascii="Times New Roman" w:hAnsi="Times New Roman" w:cs="Times New Roman"/>
                <w:lang w:val="it-CH"/>
              </w:rPr>
            </w:pPr>
            <w:r w:rsidRPr="009E686F">
              <w:rPr>
                <w:rFonts w:ascii="Times New Roman" w:hAnsi="Times New Roman" w:cs="Times New Roman"/>
                <w:lang w:val="it-CH"/>
              </w:rPr>
              <w:t>(e) se încadrează în una dintre situațiile pentru care dreptul intern prevede retragerea autorizației; sau</w:t>
            </w:r>
          </w:p>
        </w:tc>
        <w:tc>
          <w:tcPr>
            <w:tcW w:w="1834" w:type="pct"/>
            <w:tcBorders>
              <w:top w:val="single" w:sz="4" w:space="0" w:color="auto"/>
              <w:left w:val="single" w:sz="4" w:space="0" w:color="auto"/>
              <w:bottom w:val="single" w:sz="4" w:space="0" w:color="auto"/>
              <w:right w:val="single" w:sz="4" w:space="0" w:color="auto"/>
            </w:tcBorders>
          </w:tcPr>
          <w:p w14:paraId="67F8818C" w14:textId="31234E3C" w:rsidR="00837428" w:rsidRPr="009E686F" w:rsidRDefault="00837428" w:rsidP="00837428">
            <w:pPr>
              <w:spacing w:after="0"/>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 xml:space="preserve">(2) Banca Naţională a Moldovei retrage </w:t>
            </w:r>
            <w:r w:rsidRPr="009E686F">
              <w:rPr>
                <w:rFonts w:ascii="Times New Roman" w:eastAsia="Aptos" w:hAnsi="Times New Roman" w:cs="Times New Roman"/>
                <w:i/>
                <w:iCs/>
                <w:kern w:val="2"/>
                <w:lang w:val="ro-MD"/>
              </w:rPr>
              <w:t>autorizația</w:t>
            </w:r>
            <w:r w:rsidRPr="009E686F">
              <w:rPr>
                <w:rFonts w:ascii="Times New Roman" w:eastAsia="Aptos" w:hAnsi="Times New Roman" w:cs="Times New Roman"/>
                <w:kern w:val="2"/>
                <w:lang w:val="ro-MD"/>
              </w:rPr>
              <w:t xml:space="preserve"> şi iniţiază procesul de lichidare silită a </w:t>
            </w:r>
            <w:r w:rsidRPr="009E686F">
              <w:rPr>
                <w:rFonts w:ascii="Times New Roman" w:eastAsia="Aptos" w:hAnsi="Times New Roman" w:cs="Times New Roman"/>
                <w:i/>
                <w:iCs/>
                <w:kern w:val="2"/>
                <w:lang w:val="ro-MD"/>
              </w:rPr>
              <w:t>instituției de credit</w:t>
            </w:r>
            <w:r w:rsidRPr="009E686F">
              <w:rPr>
                <w:rFonts w:ascii="Times New Roman" w:eastAsia="Aptos" w:hAnsi="Times New Roman" w:cs="Times New Roman"/>
                <w:kern w:val="2"/>
                <w:lang w:val="ro-MD"/>
              </w:rPr>
              <w:t xml:space="preserve"> în cazul în care se constată că </w:t>
            </w:r>
            <w:r w:rsidRPr="009E686F">
              <w:rPr>
                <w:rFonts w:ascii="Times New Roman" w:eastAsia="Aptos" w:hAnsi="Times New Roman" w:cs="Times New Roman"/>
                <w:i/>
                <w:iCs/>
                <w:kern w:val="2"/>
                <w:lang w:val="ro-MD"/>
              </w:rPr>
              <w:t>instituția de credit</w:t>
            </w:r>
            <w:r w:rsidRPr="009E686F">
              <w:rPr>
                <w:rFonts w:ascii="Times New Roman" w:eastAsia="Aptos" w:hAnsi="Times New Roman" w:cs="Times New Roman"/>
                <w:kern w:val="2"/>
                <w:lang w:val="ro-MD"/>
              </w:rPr>
              <w:t xml:space="preserve"> se află în una dintre situaţiile de insolvabilitate prevăzute la lit.a)–d) din prezentul alineat şi nu sînt întrunite condiţiile de declanşare a procedurii de rezoluţie, prevăzute în art.58 din Legea nr.232/2016 privind redresarea şi rezoluţia </w:t>
            </w:r>
            <w:r w:rsidRPr="009E686F">
              <w:rPr>
                <w:rFonts w:ascii="Times New Roman" w:eastAsia="Aptos" w:hAnsi="Times New Roman" w:cs="Times New Roman"/>
                <w:i/>
                <w:iCs/>
                <w:kern w:val="2"/>
                <w:lang w:val="ro-MD"/>
              </w:rPr>
              <w:t>instituțiilor de credit</w:t>
            </w:r>
            <w:r w:rsidRPr="009E686F">
              <w:rPr>
                <w:rFonts w:ascii="Times New Roman" w:eastAsia="Aptos" w:hAnsi="Times New Roman" w:cs="Times New Roman"/>
                <w:kern w:val="2"/>
                <w:lang w:val="ro-MD"/>
              </w:rPr>
              <w:t>. În sensul prezentului alineat, situaţiile de insolvabilitate sînt următoarele:</w:t>
            </w:r>
          </w:p>
          <w:p w14:paraId="438ED07E" w14:textId="60E8E5B2" w:rsidR="00837428" w:rsidRPr="009E686F" w:rsidRDefault="00837428" w:rsidP="00837428">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 xml:space="preserve">a) </w:t>
            </w:r>
            <w:r w:rsidRPr="009E686F">
              <w:rPr>
                <w:rFonts w:ascii="Times New Roman" w:eastAsia="Aptos" w:hAnsi="Times New Roman" w:cs="Times New Roman"/>
                <w:i/>
                <w:iCs/>
                <w:kern w:val="2"/>
                <w:lang w:val="ro-MD"/>
              </w:rPr>
              <w:t>instituția de credit</w:t>
            </w:r>
            <w:r w:rsidRPr="009E686F">
              <w:rPr>
                <w:rFonts w:ascii="Times New Roman" w:eastAsia="Aptos" w:hAnsi="Times New Roman" w:cs="Times New Roman"/>
                <w:kern w:val="2"/>
                <w:lang w:val="ro-MD"/>
              </w:rPr>
              <w:t xml:space="preserve"> nu este capabilă să execute cererile creditorilor privind plata obligaţiilor pecuniare scadente (incapacitate de plată);</w:t>
            </w:r>
          </w:p>
          <w:p w14:paraId="58E15C8C" w14:textId="023F2028" w:rsidR="00837428" w:rsidRPr="009E686F" w:rsidRDefault="00837428" w:rsidP="00837428">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lastRenderedPageBreak/>
              <w:t xml:space="preserve">b) activele </w:t>
            </w:r>
            <w:r w:rsidRPr="009E686F">
              <w:rPr>
                <w:rFonts w:ascii="Times New Roman" w:eastAsia="Aptos" w:hAnsi="Times New Roman" w:cs="Times New Roman"/>
                <w:i/>
                <w:iCs/>
                <w:kern w:val="2"/>
                <w:lang w:val="ro-MD"/>
              </w:rPr>
              <w:t>instituției de credit</w:t>
            </w:r>
            <w:r w:rsidRPr="009E686F">
              <w:rPr>
                <w:rFonts w:ascii="Times New Roman" w:eastAsia="Aptos" w:hAnsi="Times New Roman" w:cs="Times New Roman"/>
                <w:kern w:val="2"/>
                <w:lang w:val="ro-MD"/>
              </w:rPr>
              <w:t xml:space="preserve"> nu mai acoperă obligaţiile acesteia (supraîndatorarea);</w:t>
            </w:r>
          </w:p>
          <w:p w14:paraId="58A83A7A" w14:textId="775F7248" w:rsidR="00837428" w:rsidRPr="009E686F" w:rsidRDefault="00837428" w:rsidP="00837428">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 xml:space="preserve">c) valoarea absolută a fondurilor proprii ale </w:t>
            </w:r>
            <w:r w:rsidRPr="009E686F">
              <w:rPr>
                <w:rFonts w:ascii="Times New Roman" w:eastAsia="Aptos" w:hAnsi="Times New Roman" w:cs="Times New Roman"/>
                <w:i/>
                <w:iCs/>
                <w:kern w:val="2"/>
                <w:lang w:val="ro-MD"/>
              </w:rPr>
              <w:t>instituției de credit</w:t>
            </w:r>
            <w:r w:rsidRPr="009E686F">
              <w:rPr>
                <w:rFonts w:ascii="Times New Roman" w:eastAsia="Aptos" w:hAnsi="Times New Roman" w:cs="Times New Roman"/>
                <w:kern w:val="2"/>
                <w:lang w:val="ro-MD"/>
              </w:rPr>
              <w:t xml:space="preserve"> este mai mică de 1/4 faţă de valoarea minimă a fondurilor proprii stabilită în actele normative ale Băncii Naţionale a Moldovei;</w:t>
            </w:r>
          </w:p>
          <w:p w14:paraId="60839EF4" w14:textId="3B1770AF" w:rsidR="00837428" w:rsidRPr="009E686F" w:rsidRDefault="00837428" w:rsidP="00837428">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 xml:space="preserve">d) indicatorii de adecvare a fondurilor proprii ale </w:t>
            </w:r>
            <w:r w:rsidRPr="009E686F">
              <w:rPr>
                <w:rFonts w:ascii="Times New Roman" w:eastAsia="Aptos" w:hAnsi="Times New Roman" w:cs="Times New Roman"/>
                <w:i/>
                <w:iCs/>
                <w:kern w:val="2"/>
                <w:lang w:val="ro-MD"/>
              </w:rPr>
              <w:t>instituției de credit</w:t>
            </w:r>
            <w:r w:rsidRPr="009E686F">
              <w:rPr>
                <w:rFonts w:ascii="Times New Roman" w:eastAsia="Aptos" w:hAnsi="Times New Roman" w:cs="Times New Roman"/>
                <w:kern w:val="2"/>
                <w:lang w:val="ro-MD"/>
              </w:rPr>
              <w:t xml:space="preserve"> calculaţi conform art.60 alin.(5) sînt sub nivelul de 1/4 din indicatorii de adecvare a fondurilor proprii stabiliţi de Banca Naţională a Moldovei.</w:t>
            </w:r>
          </w:p>
        </w:tc>
        <w:tc>
          <w:tcPr>
            <w:tcW w:w="470" w:type="pct"/>
            <w:tcBorders>
              <w:top w:val="single" w:sz="4" w:space="0" w:color="auto"/>
              <w:left w:val="single" w:sz="4" w:space="0" w:color="auto"/>
              <w:bottom w:val="single" w:sz="4" w:space="0" w:color="auto"/>
              <w:right w:val="single" w:sz="4" w:space="0" w:color="auto"/>
            </w:tcBorders>
          </w:tcPr>
          <w:p w14:paraId="6619CED3" w14:textId="07F99CC5" w:rsidR="00837428" w:rsidRPr="009E686F" w:rsidRDefault="00837428" w:rsidP="00837428">
            <w:pPr>
              <w:jc w:val="both"/>
              <w:rPr>
                <w:rFonts w:ascii="Times New Roman" w:hAnsi="Times New Roman" w:cs="Times New Roman"/>
              </w:rPr>
            </w:pPr>
            <w:r w:rsidRPr="009E686F">
              <w:rPr>
                <w:rFonts w:ascii="Times New Roman" w:hAnsi="Times New Roman" w:cs="Times New Roman"/>
              </w:rPr>
              <w:lastRenderedPageBreak/>
              <w:t xml:space="preserve">Compatibil </w:t>
            </w:r>
          </w:p>
        </w:tc>
        <w:tc>
          <w:tcPr>
            <w:tcW w:w="806" w:type="pct"/>
            <w:tcBorders>
              <w:top w:val="single" w:sz="4" w:space="0" w:color="auto"/>
              <w:left w:val="single" w:sz="4" w:space="0" w:color="auto"/>
              <w:bottom w:val="single" w:sz="4" w:space="0" w:color="auto"/>
              <w:right w:val="single" w:sz="4" w:space="0" w:color="auto"/>
            </w:tcBorders>
          </w:tcPr>
          <w:p w14:paraId="3475F01A" w14:textId="4053B37E" w:rsidR="00837428" w:rsidRPr="009E686F" w:rsidRDefault="00837428" w:rsidP="00837428">
            <w:pPr>
              <w:spacing w:after="0"/>
              <w:jc w:val="both"/>
              <w:rPr>
                <w:rFonts w:ascii="Times New Roman" w:hAnsi="Times New Roman" w:cs="Times New Roman"/>
              </w:rPr>
            </w:pPr>
          </w:p>
        </w:tc>
      </w:tr>
      <w:tr w:rsidR="008C20F4" w:rsidRPr="009E686F" w14:paraId="3C0114EB" w14:textId="77777777" w:rsidTr="00711073">
        <w:tc>
          <w:tcPr>
            <w:tcW w:w="1890" w:type="pct"/>
            <w:vMerge/>
            <w:tcBorders>
              <w:left w:val="single" w:sz="4" w:space="0" w:color="auto"/>
              <w:right w:val="single" w:sz="4" w:space="0" w:color="auto"/>
            </w:tcBorders>
          </w:tcPr>
          <w:p w14:paraId="26C64F83" w14:textId="77777777" w:rsidR="008C20F4" w:rsidRPr="009E686F" w:rsidRDefault="008C20F4" w:rsidP="00837428">
            <w:pPr>
              <w:spacing w:after="0"/>
              <w:jc w:val="both"/>
              <w:rPr>
                <w:rFonts w:ascii="Times New Roman" w:hAnsi="Times New Roman" w:cs="Times New Roman"/>
                <w:lang w:val="it-CH"/>
              </w:rPr>
            </w:pPr>
          </w:p>
        </w:tc>
        <w:tc>
          <w:tcPr>
            <w:tcW w:w="1834" w:type="pct"/>
            <w:tcBorders>
              <w:top w:val="single" w:sz="4" w:space="0" w:color="auto"/>
              <w:left w:val="single" w:sz="4" w:space="0" w:color="auto"/>
              <w:bottom w:val="single" w:sz="4" w:space="0" w:color="auto"/>
              <w:right w:val="single" w:sz="4" w:space="0" w:color="auto"/>
            </w:tcBorders>
          </w:tcPr>
          <w:p w14:paraId="27A43604" w14:textId="128E54D9" w:rsidR="008C20F4" w:rsidRPr="009E686F" w:rsidRDefault="008C20F4" w:rsidP="008C20F4">
            <w:pPr>
              <w:spacing w:after="0"/>
              <w:jc w:val="both"/>
              <w:rPr>
                <w:rFonts w:ascii="Times New Roman" w:hAnsi="Times New Roman" w:cs="Times New Roman"/>
                <w:lang w:val="pt-BR"/>
              </w:rPr>
            </w:pPr>
            <w:r w:rsidRPr="009E686F">
              <w:rPr>
                <w:rFonts w:ascii="Times New Roman" w:hAnsi="Times New Roman" w:cs="Times New Roman"/>
                <w:lang w:val="pt-BR"/>
              </w:rPr>
              <w:t xml:space="preserve">f) </w:t>
            </w:r>
            <w:r w:rsidRPr="009E686F">
              <w:rPr>
                <w:rFonts w:ascii="Times New Roman" w:hAnsi="Times New Roman" w:cs="Times New Roman"/>
                <w:i/>
                <w:lang w:val="pt-BR"/>
              </w:rPr>
              <w:t>instituția de credit</w:t>
            </w:r>
            <w:r w:rsidRPr="009E686F">
              <w:rPr>
                <w:rFonts w:ascii="Times New Roman" w:hAnsi="Times New Roman" w:cs="Times New Roman"/>
                <w:lang w:val="pt-BR"/>
              </w:rPr>
              <w:t xml:space="preserve"> îşi încetează existenţa în urma reorganizării acesteia;</w:t>
            </w:r>
          </w:p>
          <w:p w14:paraId="20E52015" w14:textId="777859DA" w:rsidR="008C20F4" w:rsidRPr="009E686F" w:rsidRDefault="008C20F4" w:rsidP="00837428">
            <w:pPr>
              <w:spacing w:after="0"/>
              <w:jc w:val="both"/>
              <w:rPr>
                <w:rFonts w:ascii="Times New Roman" w:hAnsi="Times New Roman" w:cs="Times New Roman"/>
                <w:lang w:val="pt-BR"/>
              </w:rPr>
            </w:pPr>
            <w:r w:rsidRPr="009E686F">
              <w:rPr>
                <w:rFonts w:ascii="Times New Roman" w:hAnsi="Times New Roman" w:cs="Times New Roman"/>
                <w:lang w:val="pt-BR"/>
              </w:rPr>
              <w:t xml:space="preserve">g) </w:t>
            </w:r>
            <w:r w:rsidRPr="009E686F">
              <w:rPr>
                <w:rFonts w:ascii="Times New Roman" w:hAnsi="Times New Roman" w:cs="Times New Roman"/>
                <w:i/>
                <w:lang w:val="pt-BR"/>
              </w:rPr>
              <w:t>instituția de credit</w:t>
            </w:r>
            <w:r w:rsidRPr="009E686F">
              <w:rPr>
                <w:rFonts w:ascii="Times New Roman" w:hAnsi="Times New Roman" w:cs="Times New Roman"/>
                <w:lang w:val="pt-BR"/>
              </w:rPr>
              <w:t xml:space="preserve"> este lichidată conform hotărîrii luate de acţionarii săi;</w:t>
            </w:r>
          </w:p>
        </w:tc>
        <w:tc>
          <w:tcPr>
            <w:tcW w:w="470" w:type="pct"/>
            <w:tcBorders>
              <w:top w:val="single" w:sz="4" w:space="0" w:color="auto"/>
              <w:left w:val="single" w:sz="4" w:space="0" w:color="auto"/>
              <w:bottom w:val="single" w:sz="4" w:space="0" w:color="auto"/>
              <w:right w:val="single" w:sz="4" w:space="0" w:color="auto"/>
            </w:tcBorders>
          </w:tcPr>
          <w:p w14:paraId="110C8C67" w14:textId="64D727E5" w:rsidR="008C20F4" w:rsidRPr="009E686F" w:rsidRDefault="008C20F4" w:rsidP="00837428">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2973012E" w14:textId="68EA569F" w:rsidR="008C20F4" w:rsidRPr="009E686F" w:rsidRDefault="008C20F4" w:rsidP="00837428">
            <w:pPr>
              <w:spacing w:after="0"/>
              <w:jc w:val="both"/>
              <w:rPr>
                <w:rFonts w:ascii="Times New Roman" w:hAnsi="Times New Roman" w:cs="Times New Roman"/>
                <w:lang w:val="it-CH"/>
              </w:rPr>
            </w:pPr>
            <w:r w:rsidRPr="009E686F">
              <w:rPr>
                <w:rFonts w:ascii="Times New Roman" w:hAnsi="Times New Roman" w:cs="Times New Roman"/>
                <w:lang w:val="it-CH"/>
              </w:rPr>
              <w:t>Norme cu specific național, în concordanță cu prevederile generale aplicabile societăților comerciale.</w:t>
            </w:r>
          </w:p>
        </w:tc>
      </w:tr>
      <w:tr w:rsidR="00837428" w:rsidRPr="009E686F" w14:paraId="5C4E158B" w14:textId="77777777" w:rsidTr="00711073">
        <w:tc>
          <w:tcPr>
            <w:tcW w:w="1890" w:type="pct"/>
            <w:vMerge/>
            <w:tcBorders>
              <w:left w:val="single" w:sz="4" w:space="0" w:color="auto"/>
              <w:right w:val="single" w:sz="4" w:space="0" w:color="auto"/>
            </w:tcBorders>
          </w:tcPr>
          <w:p w14:paraId="6246BF2B" w14:textId="77777777" w:rsidR="00837428" w:rsidRPr="009E686F" w:rsidRDefault="00837428" w:rsidP="00837428">
            <w:pPr>
              <w:spacing w:after="0"/>
              <w:jc w:val="both"/>
              <w:rPr>
                <w:rFonts w:ascii="Times New Roman" w:hAnsi="Times New Roman" w:cs="Times New Roman"/>
                <w:lang w:val="it-CH"/>
              </w:rPr>
            </w:pPr>
          </w:p>
        </w:tc>
        <w:tc>
          <w:tcPr>
            <w:tcW w:w="1834" w:type="pct"/>
            <w:tcBorders>
              <w:top w:val="single" w:sz="4" w:space="0" w:color="auto"/>
              <w:left w:val="single" w:sz="4" w:space="0" w:color="auto"/>
              <w:bottom w:val="single" w:sz="4" w:space="0" w:color="auto"/>
              <w:right w:val="single" w:sz="4" w:space="0" w:color="auto"/>
            </w:tcBorders>
          </w:tcPr>
          <w:p w14:paraId="4F20B4FA" w14:textId="025BF475" w:rsidR="00837428" w:rsidRPr="009E686F" w:rsidRDefault="00837428" w:rsidP="00837428">
            <w:pPr>
              <w:spacing w:after="0"/>
              <w:jc w:val="both"/>
              <w:rPr>
                <w:rFonts w:ascii="Times New Roman" w:hAnsi="Times New Roman" w:cs="Times New Roman"/>
                <w:lang w:val="it-CH"/>
              </w:rPr>
            </w:pPr>
            <w:r w:rsidRPr="009E686F">
              <w:rPr>
                <w:rFonts w:ascii="Times New Roman" w:hAnsi="Times New Roman" w:cs="Times New Roman"/>
                <w:lang w:val="it-CH"/>
              </w:rPr>
              <w:t xml:space="preserve">k) </w:t>
            </w:r>
            <w:r w:rsidRPr="009E686F">
              <w:rPr>
                <w:rFonts w:ascii="Times New Roman" w:hAnsi="Times New Roman" w:cs="Times New Roman"/>
                <w:i/>
                <w:iCs/>
                <w:lang w:val="it-CH"/>
              </w:rPr>
              <w:t>instituția de credit</w:t>
            </w:r>
            <w:r w:rsidRPr="009E686F">
              <w:rPr>
                <w:rFonts w:ascii="Times New Roman" w:hAnsi="Times New Roman" w:cs="Times New Roman"/>
                <w:lang w:val="it-CH"/>
              </w:rPr>
              <w:t xml:space="preserve"> este implicată în activităţi de spălare a banilor sau încalcă cerinţele de prevenire şi combatere a spălării banilor şi finanţării terorismului.</w:t>
            </w:r>
          </w:p>
        </w:tc>
        <w:tc>
          <w:tcPr>
            <w:tcW w:w="470" w:type="pct"/>
            <w:tcBorders>
              <w:top w:val="single" w:sz="4" w:space="0" w:color="auto"/>
              <w:left w:val="single" w:sz="4" w:space="0" w:color="auto"/>
              <w:bottom w:val="single" w:sz="4" w:space="0" w:color="auto"/>
              <w:right w:val="single" w:sz="4" w:space="0" w:color="auto"/>
            </w:tcBorders>
          </w:tcPr>
          <w:p w14:paraId="34CBCB4A" w14:textId="4B9F9EF7" w:rsidR="00837428" w:rsidRPr="009E686F" w:rsidRDefault="00837428" w:rsidP="00837428">
            <w:pPr>
              <w:jc w:val="both"/>
              <w:rPr>
                <w:rFonts w:ascii="Times New Roman" w:hAnsi="Times New Roman" w:cs="Times New Roman"/>
                <w:lang w:val="it-CH"/>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0942A203" w14:textId="1F8BA136" w:rsidR="00837428" w:rsidRPr="009E686F" w:rsidRDefault="00837428" w:rsidP="00837428">
            <w:pPr>
              <w:spacing w:after="0"/>
              <w:jc w:val="both"/>
              <w:rPr>
                <w:rFonts w:ascii="Times New Roman" w:hAnsi="Times New Roman" w:cs="Times New Roman"/>
                <w:lang w:val="it-CH"/>
              </w:rPr>
            </w:pPr>
            <w:r w:rsidRPr="009E686F">
              <w:rPr>
                <w:rFonts w:ascii="Times New Roman" w:hAnsi="Times New Roman" w:cs="Times New Roman"/>
                <w:lang w:val="it-CH"/>
              </w:rPr>
              <w:t>Normă cu specific național de completare. Implicarea în astfel de activități reprezintă o încălcare legislației AML – Legea nr. 308/2017.</w:t>
            </w:r>
          </w:p>
        </w:tc>
      </w:tr>
      <w:tr w:rsidR="00837428" w:rsidRPr="009E686F" w14:paraId="0CFEFD0B" w14:textId="77777777" w:rsidTr="00711073">
        <w:tc>
          <w:tcPr>
            <w:tcW w:w="1890" w:type="pct"/>
            <w:vMerge/>
            <w:tcBorders>
              <w:left w:val="single" w:sz="4" w:space="0" w:color="auto"/>
              <w:bottom w:val="single" w:sz="4" w:space="0" w:color="auto"/>
              <w:right w:val="single" w:sz="4" w:space="0" w:color="auto"/>
            </w:tcBorders>
          </w:tcPr>
          <w:p w14:paraId="38A47D15" w14:textId="77777777" w:rsidR="00837428" w:rsidRPr="009E686F" w:rsidRDefault="00837428" w:rsidP="00837428">
            <w:pPr>
              <w:spacing w:after="0"/>
              <w:jc w:val="both"/>
              <w:rPr>
                <w:rFonts w:ascii="Times New Roman" w:hAnsi="Times New Roman" w:cs="Times New Roman"/>
                <w:lang w:val="it-CH"/>
              </w:rPr>
            </w:pPr>
          </w:p>
        </w:tc>
        <w:tc>
          <w:tcPr>
            <w:tcW w:w="1834" w:type="pct"/>
            <w:tcBorders>
              <w:top w:val="single" w:sz="4" w:space="0" w:color="auto"/>
              <w:left w:val="single" w:sz="4" w:space="0" w:color="auto"/>
              <w:bottom w:val="single" w:sz="4" w:space="0" w:color="auto"/>
              <w:right w:val="single" w:sz="4" w:space="0" w:color="auto"/>
            </w:tcBorders>
          </w:tcPr>
          <w:p w14:paraId="195F6B18" w14:textId="587A4EA6" w:rsidR="00837428" w:rsidRPr="009E686F" w:rsidRDefault="00837428" w:rsidP="00837428">
            <w:pPr>
              <w:spacing w:after="0"/>
              <w:jc w:val="both"/>
              <w:rPr>
                <w:rFonts w:ascii="Times New Roman" w:hAnsi="Times New Roman" w:cs="Times New Roman"/>
                <w:lang w:val="it-CH"/>
              </w:rPr>
            </w:pPr>
            <w:r w:rsidRPr="009E686F">
              <w:rPr>
                <w:rFonts w:ascii="Times New Roman" w:hAnsi="Times New Roman" w:cs="Times New Roman"/>
                <w:lang w:val="it-CH"/>
              </w:rPr>
              <w:t xml:space="preserve">j) nu au fost înlăturate circumstanţele ce au servit drept temei pentru desemnarea administratorului temporar al </w:t>
            </w:r>
            <w:r w:rsidRPr="009E686F">
              <w:rPr>
                <w:rFonts w:ascii="Times New Roman" w:hAnsi="Times New Roman" w:cs="Times New Roman"/>
                <w:i/>
                <w:iCs/>
                <w:lang w:val="it-CH"/>
              </w:rPr>
              <w:t>instituției de credit</w:t>
            </w:r>
            <w:r w:rsidRPr="009E686F">
              <w:rPr>
                <w:rFonts w:ascii="Times New Roman" w:hAnsi="Times New Roman" w:cs="Times New Roman"/>
                <w:lang w:val="it-CH"/>
              </w:rPr>
              <w:t xml:space="preserve"> potrivit Legii nr.232/2016 privind redresarea şi rezoluţia </w:t>
            </w:r>
            <w:r w:rsidRPr="009E686F">
              <w:rPr>
                <w:rFonts w:ascii="Times New Roman" w:hAnsi="Times New Roman" w:cs="Times New Roman"/>
                <w:i/>
                <w:iCs/>
                <w:lang w:val="it-CH"/>
              </w:rPr>
              <w:t>instituțiilor de credit</w:t>
            </w:r>
            <w:r w:rsidRPr="009E686F">
              <w:rPr>
                <w:rFonts w:ascii="Times New Roman" w:hAnsi="Times New Roman" w:cs="Times New Roman"/>
                <w:lang w:val="it-CH"/>
              </w:rPr>
              <w:t xml:space="preserve">  ori, în opinia Băncii Naţionale a Moldovei, acestea nu pot fi înlăturate în perioada aplicării acestor măsuri;</w:t>
            </w:r>
          </w:p>
        </w:tc>
        <w:tc>
          <w:tcPr>
            <w:tcW w:w="470" w:type="pct"/>
            <w:tcBorders>
              <w:top w:val="single" w:sz="4" w:space="0" w:color="auto"/>
              <w:left w:val="single" w:sz="4" w:space="0" w:color="auto"/>
              <w:bottom w:val="single" w:sz="4" w:space="0" w:color="auto"/>
              <w:right w:val="single" w:sz="4" w:space="0" w:color="auto"/>
            </w:tcBorders>
          </w:tcPr>
          <w:p w14:paraId="7C9C30BC" w14:textId="6691C12D" w:rsidR="00837428" w:rsidRPr="009E686F" w:rsidRDefault="00837428" w:rsidP="00837428">
            <w:pPr>
              <w:jc w:val="both"/>
              <w:rPr>
                <w:rFonts w:ascii="Times New Roman" w:hAnsi="Times New Roman" w:cs="Times New Roman"/>
                <w:lang w:val="it-CH"/>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0F06A545" w14:textId="0DE48DA9" w:rsidR="00837428" w:rsidRPr="009E686F" w:rsidRDefault="00837428" w:rsidP="00837428">
            <w:pPr>
              <w:spacing w:after="0"/>
              <w:jc w:val="both"/>
              <w:rPr>
                <w:rFonts w:ascii="Times New Roman" w:hAnsi="Times New Roman" w:cs="Times New Roman"/>
                <w:lang w:val="it-CH"/>
              </w:rPr>
            </w:pPr>
            <w:r w:rsidRPr="009E686F">
              <w:rPr>
                <w:rFonts w:ascii="Times New Roman" w:hAnsi="Times New Roman" w:cs="Times New Roman"/>
                <w:lang w:val="it-CH"/>
              </w:rPr>
              <w:t>Normă cu specific național de completare în coroborare cu legislația națională aferentă redresării și recoluției instituțiilor de credit.</w:t>
            </w:r>
          </w:p>
        </w:tc>
      </w:tr>
      <w:tr w:rsidR="00837428" w:rsidRPr="009E686F" w14:paraId="1D8DB3F0" w14:textId="400C80D5" w:rsidTr="00960C23">
        <w:tc>
          <w:tcPr>
            <w:tcW w:w="1890" w:type="pct"/>
            <w:tcBorders>
              <w:top w:val="single" w:sz="4" w:space="0" w:color="auto"/>
              <w:left w:val="single" w:sz="4" w:space="0" w:color="auto"/>
              <w:bottom w:val="single" w:sz="4" w:space="0" w:color="auto"/>
              <w:right w:val="single" w:sz="4" w:space="0" w:color="auto"/>
            </w:tcBorders>
          </w:tcPr>
          <w:p w14:paraId="70879B91" w14:textId="47E39788" w:rsidR="00837428" w:rsidRPr="009E686F" w:rsidRDefault="00837428" w:rsidP="00837428">
            <w:pPr>
              <w:spacing w:after="0"/>
              <w:jc w:val="both"/>
              <w:rPr>
                <w:rFonts w:ascii="Times New Roman" w:hAnsi="Times New Roman" w:cs="Times New Roman"/>
                <w:lang w:val="it-CH"/>
              </w:rPr>
            </w:pPr>
            <w:r w:rsidRPr="009E686F">
              <w:rPr>
                <w:rFonts w:ascii="Times New Roman" w:hAnsi="Times New Roman" w:cs="Times New Roman"/>
                <w:lang w:val="it-CH"/>
              </w:rPr>
              <w:t>(f) comite una dintre încălcările menționate la articolul 67 alineatul (1).</w:t>
            </w:r>
          </w:p>
        </w:tc>
        <w:tc>
          <w:tcPr>
            <w:tcW w:w="1834" w:type="pct"/>
            <w:tcBorders>
              <w:top w:val="single" w:sz="4" w:space="0" w:color="auto"/>
              <w:left w:val="single" w:sz="4" w:space="0" w:color="auto"/>
              <w:bottom w:val="single" w:sz="4" w:space="0" w:color="auto"/>
              <w:right w:val="single" w:sz="4" w:space="0" w:color="auto"/>
            </w:tcBorders>
          </w:tcPr>
          <w:p w14:paraId="3AB49578" w14:textId="39F639E8" w:rsidR="00837428" w:rsidRPr="009E686F" w:rsidRDefault="00837428" w:rsidP="00837428">
            <w:pPr>
              <w:spacing w:after="0"/>
              <w:jc w:val="both"/>
              <w:rPr>
                <w:rFonts w:ascii="Times New Roman" w:hAnsi="Times New Roman" w:cs="Times New Roman"/>
                <w:lang w:val="it-CH"/>
              </w:rPr>
            </w:pPr>
            <w:r w:rsidRPr="009E686F">
              <w:rPr>
                <w:rFonts w:ascii="Times New Roman" w:hAnsi="Times New Roman" w:cs="Times New Roman"/>
                <w:lang w:val="it-IT"/>
              </w:rPr>
              <w:t xml:space="preserve">e) </w:t>
            </w:r>
            <w:r w:rsidRPr="009E686F">
              <w:rPr>
                <w:rFonts w:ascii="Times New Roman" w:hAnsi="Times New Roman" w:cs="Times New Roman"/>
                <w:i/>
                <w:iCs/>
                <w:lang w:val="it-CH"/>
              </w:rPr>
              <w:t>instituția de credit</w:t>
            </w:r>
            <w:r w:rsidRPr="009E686F">
              <w:rPr>
                <w:rFonts w:ascii="Times New Roman" w:hAnsi="Times New Roman" w:cs="Times New Roman"/>
                <w:lang w:val="it-CH"/>
              </w:rPr>
              <w:t xml:space="preserve"> comite una dintre faptele sancționabile prevăzute la art. 140;</w:t>
            </w:r>
          </w:p>
        </w:tc>
        <w:tc>
          <w:tcPr>
            <w:tcW w:w="470" w:type="pct"/>
            <w:tcBorders>
              <w:top w:val="single" w:sz="4" w:space="0" w:color="auto"/>
              <w:left w:val="single" w:sz="4" w:space="0" w:color="auto"/>
              <w:bottom w:val="single" w:sz="4" w:space="0" w:color="auto"/>
              <w:right w:val="single" w:sz="4" w:space="0" w:color="auto"/>
            </w:tcBorders>
          </w:tcPr>
          <w:p w14:paraId="7FB4AF51" w14:textId="0DFFE3FF" w:rsidR="00837428" w:rsidRPr="009E686F" w:rsidRDefault="00837428" w:rsidP="00837428">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3CD6F54F" w14:textId="07205DA1" w:rsidR="00837428" w:rsidRPr="009E686F" w:rsidRDefault="00837428" w:rsidP="00837428">
            <w:pPr>
              <w:spacing w:after="0"/>
              <w:jc w:val="both"/>
              <w:rPr>
                <w:rFonts w:ascii="Times New Roman" w:hAnsi="Times New Roman" w:cs="Times New Roman"/>
              </w:rPr>
            </w:pPr>
          </w:p>
        </w:tc>
      </w:tr>
      <w:tr w:rsidR="00837428" w:rsidRPr="009E686F" w14:paraId="4B8324CF" w14:textId="77777777" w:rsidTr="00960C23">
        <w:tc>
          <w:tcPr>
            <w:tcW w:w="1890" w:type="pct"/>
            <w:tcBorders>
              <w:top w:val="single" w:sz="4" w:space="0" w:color="auto"/>
              <w:left w:val="single" w:sz="4" w:space="0" w:color="auto"/>
              <w:bottom w:val="single" w:sz="4" w:space="0" w:color="auto"/>
              <w:right w:val="single" w:sz="4" w:space="0" w:color="auto"/>
            </w:tcBorders>
          </w:tcPr>
          <w:p w14:paraId="562E7114" w14:textId="77777777" w:rsidR="00837428" w:rsidRPr="009E686F" w:rsidRDefault="00837428" w:rsidP="00837428">
            <w:pPr>
              <w:spacing w:after="0"/>
              <w:jc w:val="both"/>
              <w:rPr>
                <w:rFonts w:ascii="Times New Roman" w:hAnsi="Times New Roman" w:cs="Times New Roman"/>
                <w:lang w:val="it-CH"/>
              </w:rPr>
            </w:pPr>
            <w:r w:rsidRPr="009E686F">
              <w:rPr>
                <w:rFonts w:ascii="Times New Roman" w:hAnsi="Times New Roman" w:cs="Times New Roman"/>
                <w:lang w:val="it-CH"/>
              </w:rPr>
              <w:lastRenderedPageBreak/>
              <w:t>„(g) îndeplinește toate condițiile următoare:</w:t>
            </w:r>
          </w:p>
          <w:p w14:paraId="78C2DB75" w14:textId="6E9E84E3" w:rsidR="00837428" w:rsidRPr="009E686F" w:rsidRDefault="00837428" w:rsidP="00837428">
            <w:pPr>
              <w:spacing w:after="0"/>
              <w:jc w:val="both"/>
              <w:rPr>
                <w:rFonts w:ascii="Times New Roman" w:hAnsi="Times New Roman" w:cs="Times New Roman"/>
                <w:lang w:val="it-CH"/>
              </w:rPr>
            </w:pPr>
            <w:r w:rsidRPr="009E686F">
              <w:rPr>
                <w:rFonts w:ascii="Times New Roman" w:hAnsi="Times New Roman" w:cs="Times New Roman"/>
                <w:lang w:val="it-CH"/>
              </w:rPr>
              <w:t>(i) s-a stabilit că este în curs de a intra în dificultate sau că este susceptibilă de a intra în dificultate în conformitate cu articolul 32 alineatul (1) litera (a) din Directiva 2014/59/UE sau în conformitate cu articolul 18 alineatul (1) litera (a) din Regulamentul (UE) nr. 806/2014;</w:t>
            </w:r>
          </w:p>
          <w:p w14:paraId="773ADBC2" w14:textId="5C371515" w:rsidR="00837428" w:rsidRPr="009E686F" w:rsidRDefault="00837428" w:rsidP="00837428">
            <w:pPr>
              <w:spacing w:after="0"/>
              <w:jc w:val="both"/>
              <w:rPr>
                <w:rFonts w:ascii="Times New Roman" w:hAnsi="Times New Roman" w:cs="Times New Roman"/>
                <w:lang w:val="it-CH"/>
              </w:rPr>
            </w:pPr>
            <w:r w:rsidRPr="009E686F">
              <w:rPr>
                <w:rFonts w:ascii="Times New Roman" w:hAnsi="Times New Roman" w:cs="Times New Roman"/>
                <w:lang w:val="it-CH"/>
              </w:rPr>
              <w:t>(ii) autoritatea de rezoluție consideră că este îndeplinită condiția prevăzută la articolul 32 alineatul (1) litera (b) din Directiva 2014/59/UE sau la articolul 18 alineatul (1) litera (b) din Regulamentul (UE) nr. 806/2014 în ceea ce privește instituția de credit respectivă;</w:t>
            </w:r>
          </w:p>
          <w:p w14:paraId="1474AE7F" w14:textId="0DC7FEEA" w:rsidR="00837428" w:rsidRPr="009E686F" w:rsidRDefault="00837428" w:rsidP="00837428">
            <w:pPr>
              <w:spacing w:after="0"/>
              <w:jc w:val="both"/>
              <w:rPr>
                <w:rFonts w:ascii="Times New Roman" w:hAnsi="Times New Roman" w:cs="Times New Roman"/>
                <w:lang w:val="it-CH"/>
              </w:rPr>
            </w:pPr>
            <w:r w:rsidRPr="009E686F">
              <w:rPr>
                <w:rFonts w:ascii="Times New Roman" w:hAnsi="Times New Roman" w:cs="Times New Roman"/>
                <w:lang w:val="it-CH"/>
              </w:rPr>
              <w:t>(iii) autoritatea de rezoluție consideră că nu este îndeplinită condiția prevăzută la articolul 32 alineatul (1) litera (c) din Directiva 2014/59/UE sau la articolul 18 alineatul (1) litera (c) din Regulamentul (UE) nr. 806/2014 în ceea ce privește instituția de credit respectivă.</w:t>
            </w:r>
          </w:p>
        </w:tc>
        <w:tc>
          <w:tcPr>
            <w:tcW w:w="1834" w:type="pct"/>
            <w:tcBorders>
              <w:top w:val="single" w:sz="4" w:space="0" w:color="auto"/>
              <w:left w:val="single" w:sz="4" w:space="0" w:color="auto"/>
              <w:bottom w:val="single" w:sz="4" w:space="0" w:color="auto"/>
              <w:right w:val="single" w:sz="4" w:space="0" w:color="auto"/>
            </w:tcBorders>
          </w:tcPr>
          <w:p w14:paraId="3251BC44" w14:textId="0CCA81EE" w:rsidR="00837428" w:rsidRPr="009E686F" w:rsidRDefault="00837428" w:rsidP="00837428">
            <w:pPr>
              <w:spacing w:after="0"/>
              <w:jc w:val="both"/>
              <w:rPr>
                <w:rFonts w:ascii="Times New Roman" w:hAnsi="Times New Roman" w:cs="Times New Roman"/>
                <w:lang w:val="it-CH"/>
              </w:rPr>
            </w:pPr>
          </w:p>
        </w:tc>
        <w:tc>
          <w:tcPr>
            <w:tcW w:w="470" w:type="pct"/>
            <w:tcBorders>
              <w:top w:val="single" w:sz="4" w:space="0" w:color="auto"/>
              <w:left w:val="single" w:sz="4" w:space="0" w:color="auto"/>
              <w:bottom w:val="single" w:sz="4" w:space="0" w:color="auto"/>
              <w:right w:val="single" w:sz="4" w:space="0" w:color="auto"/>
            </w:tcBorders>
          </w:tcPr>
          <w:p w14:paraId="04B05C2A" w14:textId="3001F495" w:rsidR="00837428" w:rsidRPr="009E686F" w:rsidRDefault="00837428" w:rsidP="00837428">
            <w:pPr>
              <w:jc w:val="both"/>
              <w:rPr>
                <w:rFonts w:ascii="Times New Roman" w:hAnsi="Times New Roman" w:cs="Times New Roman"/>
                <w:lang w:val="it-CH"/>
              </w:rPr>
            </w:pPr>
            <w:r w:rsidRPr="009E686F">
              <w:rPr>
                <w:rFonts w:ascii="Times New Roman" w:hAnsi="Times New Roman" w:cs="Times New Roman"/>
                <w:lang w:val="it-CH"/>
              </w:rPr>
              <w:t>Norme UE netranspuse</w:t>
            </w:r>
          </w:p>
        </w:tc>
        <w:tc>
          <w:tcPr>
            <w:tcW w:w="806" w:type="pct"/>
            <w:tcBorders>
              <w:top w:val="single" w:sz="4" w:space="0" w:color="auto"/>
              <w:left w:val="single" w:sz="4" w:space="0" w:color="auto"/>
              <w:bottom w:val="single" w:sz="4" w:space="0" w:color="auto"/>
              <w:right w:val="single" w:sz="4" w:space="0" w:color="auto"/>
            </w:tcBorders>
          </w:tcPr>
          <w:p w14:paraId="7CCC7A77" w14:textId="366D83CF" w:rsidR="00837428" w:rsidRPr="009E686F" w:rsidRDefault="00837428" w:rsidP="00837428">
            <w:pPr>
              <w:spacing w:after="0"/>
              <w:jc w:val="both"/>
              <w:rPr>
                <w:rFonts w:ascii="Times New Roman" w:hAnsi="Times New Roman" w:cs="Times New Roman"/>
                <w:lang w:val="ro-RO"/>
              </w:rPr>
            </w:pPr>
            <w:r w:rsidRPr="009E686F">
              <w:rPr>
                <w:rFonts w:ascii="Times New Roman" w:hAnsi="Times New Roman" w:cs="Times New Roman"/>
                <w:lang w:val="ro-RO"/>
              </w:rPr>
              <w:t>Se vor transpune prin proiectul de modificare a Legii nr. 202/2017  conex proiectului de modificare aferent lichidării</w:t>
            </w:r>
          </w:p>
        </w:tc>
      </w:tr>
      <w:tr w:rsidR="00837428" w:rsidRPr="009E686F" w14:paraId="36D82E76" w14:textId="24E15BC4" w:rsidTr="00960C23">
        <w:tc>
          <w:tcPr>
            <w:tcW w:w="1890" w:type="pct"/>
            <w:tcBorders>
              <w:top w:val="single" w:sz="4" w:space="0" w:color="auto"/>
              <w:left w:val="single" w:sz="4" w:space="0" w:color="auto"/>
              <w:bottom w:val="single" w:sz="4" w:space="0" w:color="auto"/>
              <w:right w:val="single" w:sz="4" w:space="0" w:color="auto"/>
            </w:tcBorders>
          </w:tcPr>
          <w:p w14:paraId="1455EAF2" w14:textId="54766570" w:rsidR="00837428" w:rsidRPr="009E686F" w:rsidRDefault="00FE506D" w:rsidP="00837428">
            <w:pPr>
              <w:spacing w:after="0"/>
              <w:jc w:val="both"/>
              <w:rPr>
                <w:rFonts w:ascii="Times New Roman" w:hAnsi="Times New Roman" w:cs="Times New Roman"/>
                <w:i/>
                <w:lang w:val="it-CH"/>
              </w:rPr>
            </w:pPr>
            <w:r w:rsidRPr="009E686F">
              <w:rPr>
                <w:rFonts w:ascii="Times New Roman" w:hAnsi="Times New Roman" w:cs="Times New Roman"/>
                <w:i/>
                <w:lang w:val="it-CH"/>
              </w:rPr>
              <w:t xml:space="preserve">Articolul </w:t>
            </w:r>
            <w:r w:rsidR="00837428" w:rsidRPr="009E686F">
              <w:rPr>
                <w:rFonts w:ascii="Times New Roman" w:hAnsi="Times New Roman" w:cs="Times New Roman"/>
                <w:i/>
                <w:lang w:val="it-CH"/>
              </w:rPr>
              <w:t xml:space="preserve">19 </w:t>
            </w:r>
          </w:p>
          <w:p w14:paraId="16EB10BB" w14:textId="04BD3560" w:rsidR="00837428" w:rsidRPr="009E686F" w:rsidRDefault="00837428" w:rsidP="00837428">
            <w:pPr>
              <w:spacing w:after="0"/>
              <w:jc w:val="both"/>
              <w:rPr>
                <w:rFonts w:ascii="Times New Roman" w:hAnsi="Times New Roman" w:cs="Times New Roman"/>
                <w:lang w:val="it-CH"/>
              </w:rPr>
            </w:pPr>
            <w:r w:rsidRPr="009E686F">
              <w:rPr>
                <w:rFonts w:ascii="Times New Roman" w:hAnsi="Times New Roman" w:cs="Times New Roman"/>
                <w:lang w:val="it-CH"/>
              </w:rPr>
              <w:t>Denumirea instituțiilor de credit</w:t>
            </w:r>
          </w:p>
          <w:p w14:paraId="55525A74" w14:textId="77777777" w:rsidR="00837428" w:rsidRPr="009E686F" w:rsidRDefault="00837428" w:rsidP="00837428">
            <w:pPr>
              <w:spacing w:after="0"/>
              <w:jc w:val="both"/>
              <w:rPr>
                <w:rFonts w:ascii="Times New Roman" w:hAnsi="Times New Roman" w:cs="Times New Roman"/>
                <w:lang w:val="it-CH"/>
              </w:rPr>
            </w:pPr>
          </w:p>
          <w:p w14:paraId="52ED89C8" w14:textId="164A6C6A" w:rsidR="00837428" w:rsidRPr="009E686F" w:rsidRDefault="00837428" w:rsidP="00837428">
            <w:pPr>
              <w:spacing w:after="0"/>
              <w:jc w:val="both"/>
              <w:rPr>
                <w:rFonts w:ascii="Times New Roman" w:hAnsi="Times New Roman" w:cs="Times New Roman"/>
                <w:lang w:val="it-CH"/>
              </w:rPr>
            </w:pPr>
            <w:r w:rsidRPr="009E686F">
              <w:rPr>
                <w:rFonts w:ascii="Times New Roman" w:hAnsi="Times New Roman" w:cs="Times New Roman"/>
                <w:lang w:val="it-CH"/>
              </w:rPr>
              <w:t>În scopul desfășurării activităților specifice și fără a aduce atingere dispozițiilor referitoare la utilizarea termenilor "bancă", "casă de economii" sau alți termeni care denumesc instituții bancare utilizați în statele membre gazde, instituțiile de credit pot utiliza pe întreg teritoriul Uniunii aceeași denumire pe care o utilizează și în statul membru în care își au sediul central. În cazul în care există pericolul unor confuzii, statul membru gazdă poate solicita, în scopul clarificării, ca denumirea instituției respective să fie însoțită de anumite detalii explicative.</w:t>
            </w:r>
          </w:p>
        </w:tc>
        <w:tc>
          <w:tcPr>
            <w:tcW w:w="1834" w:type="pct"/>
            <w:tcBorders>
              <w:top w:val="single" w:sz="4" w:space="0" w:color="auto"/>
              <w:left w:val="single" w:sz="4" w:space="0" w:color="auto"/>
              <w:bottom w:val="single" w:sz="4" w:space="0" w:color="auto"/>
              <w:right w:val="single" w:sz="4" w:space="0" w:color="auto"/>
            </w:tcBorders>
          </w:tcPr>
          <w:p w14:paraId="26F01F04" w14:textId="77777777" w:rsidR="00837428" w:rsidRPr="009E686F" w:rsidRDefault="00837428" w:rsidP="00837428">
            <w:pPr>
              <w:spacing w:after="0"/>
              <w:jc w:val="both"/>
              <w:rPr>
                <w:rFonts w:ascii="Times New Roman" w:eastAsia="Aptos" w:hAnsi="Times New Roman" w:cs="Times New Roman"/>
                <w:i/>
                <w:iCs/>
                <w:kern w:val="2"/>
                <w:lang w:val="ro-MD"/>
              </w:rPr>
            </w:pPr>
            <w:r w:rsidRPr="009E686F">
              <w:rPr>
                <w:rFonts w:ascii="Times New Roman" w:eastAsia="Aptos" w:hAnsi="Times New Roman" w:cs="Times New Roman"/>
                <w:b/>
                <w:bCs/>
                <w:kern w:val="2"/>
                <w:lang w:val="ro-MD"/>
              </w:rPr>
              <w:t>Articolul 7.</w:t>
            </w:r>
            <w:r w:rsidRPr="009E686F">
              <w:rPr>
                <w:rFonts w:ascii="Times New Roman" w:eastAsia="Aptos" w:hAnsi="Times New Roman" w:cs="Times New Roman"/>
                <w:kern w:val="2"/>
                <w:lang w:val="ro-MD"/>
              </w:rPr>
              <w:t xml:space="preserve"> Denumirea  </w:t>
            </w:r>
            <w:r w:rsidRPr="009E686F">
              <w:rPr>
                <w:rFonts w:ascii="Times New Roman" w:eastAsia="Aptos" w:hAnsi="Times New Roman" w:cs="Times New Roman"/>
                <w:i/>
                <w:iCs/>
                <w:kern w:val="2"/>
                <w:lang w:val="ro-MD"/>
              </w:rPr>
              <w:t>instituției de credit</w:t>
            </w:r>
          </w:p>
          <w:p w14:paraId="73C7B617" w14:textId="5B6E8DDE" w:rsidR="00837428" w:rsidRPr="009E686F" w:rsidRDefault="00837428" w:rsidP="00837428">
            <w:pPr>
              <w:spacing w:after="0"/>
              <w:jc w:val="both"/>
              <w:rPr>
                <w:rFonts w:ascii="Times New Roman" w:hAnsi="Times New Roman" w:cs="Times New Roman"/>
                <w:lang w:val="ro-MD"/>
              </w:rPr>
            </w:pPr>
            <w:r w:rsidRPr="009E686F">
              <w:rPr>
                <w:rFonts w:ascii="Times New Roman" w:hAnsi="Times New Roman" w:cs="Times New Roman"/>
                <w:lang w:val="ro-MD"/>
              </w:rPr>
              <w:t xml:space="preserve">(1) Se interzice oricărei persoane, alta decât o </w:t>
            </w:r>
            <w:r w:rsidRPr="009E686F">
              <w:rPr>
                <w:rFonts w:ascii="Times New Roman" w:hAnsi="Times New Roman" w:cs="Times New Roman"/>
                <w:i/>
                <w:iCs/>
                <w:lang w:val="ro-MD"/>
              </w:rPr>
              <w:t>instituție de credit autorizată</w:t>
            </w:r>
            <w:r w:rsidRPr="009E686F">
              <w:rPr>
                <w:rFonts w:ascii="Times New Roman" w:hAnsi="Times New Roman" w:cs="Times New Roman"/>
                <w:lang w:val="ro-MD"/>
              </w:rPr>
              <w:t xml:space="preserve"> sau sucursala   unei </w:t>
            </w:r>
            <w:r w:rsidRPr="009E686F">
              <w:rPr>
                <w:rFonts w:ascii="Times New Roman" w:hAnsi="Times New Roman" w:cs="Times New Roman"/>
                <w:i/>
                <w:iCs/>
                <w:lang w:val="ro-MD"/>
              </w:rPr>
              <w:t>instituții de credit</w:t>
            </w:r>
            <w:r w:rsidRPr="009E686F">
              <w:rPr>
                <w:rFonts w:ascii="Times New Roman" w:hAnsi="Times New Roman" w:cs="Times New Roman"/>
                <w:lang w:val="ro-MD"/>
              </w:rPr>
              <w:t xml:space="preserve">  dintr-un  stat </w:t>
            </w:r>
            <w:r w:rsidRPr="009E686F">
              <w:rPr>
                <w:rFonts w:ascii="Times New Roman" w:hAnsi="Times New Roman" w:cs="Times New Roman"/>
                <w:i/>
                <w:iCs/>
                <w:lang w:val="ro-MD"/>
              </w:rPr>
              <w:t>terț</w:t>
            </w:r>
            <w:r w:rsidRPr="009E686F">
              <w:rPr>
                <w:rFonts w:ascii="Times New Roman" w:hAnsi="Times New Roman" w:cs="Times New Roman"/>
                <w:lang w:val="ro-MD"/>
              </w:rPr>
              <w:t xml:space="preserve"> ori sucursala </w:t>
            </w:r>
            <w:r w:rsidRPr="009E686F">
              <w:rPr>
                <w:rFonts w:ascii="Times New Roman" w:hAnsi="Times New Roman" w:cs="Times New Roman"/>
                <w:i/>
                <w:iCs/>
                <w:lang w:val="ro-MD"/>
              </w:rPr>
              <w:t>instituției de credit</w:t>
            </w:r>
            <w:r w:rsidRPr="009E686F">
              <w:rPr>
                <w:rFonts w:ascii="Times New Roman" w:hAnsi="Times New Roman" w:cs="Times New Roman"/>
                <w:lang w:val="ro-MD"/>
              </w:rPr>
              <w:t xml:space="preserve"> </w:t>
            </w:r>
            <w:r w:rsidRPr="009E686F">
              <w:rPr>
                <w:rFonts w:ascii="Times New Roman" w:hAnsi="Times New Roman" w:cs="Times New Roman"/>
                <w:i/>
                <w:iCs/>
                <w:lang w:val="ro-MD"/>
              </w:rPr>
              <w:t>autorizată</w:t>
            </w:r>
            <w:r w:rsidRPr="009E686F">
              <w:rPr>
                <w:rFonts w:ascii="Times New Roman" w:hAnsi="Times New Roman" w:cs="Times New Roman"/>
                <w:lang w:val="ro-MD"/>
              </w:rPr>
              <w:t xml:space="preserve"> într-un stat membru care desfășoară activitate pe teritoriul Republicii Moldova, să utilizeze denumirea de „bancă</w:t>
            </w:r>
            <w:r w:rsidR="005F28D7" w:rsidRPr="009E686F">
              <w:rPr>
                <w:rFonts w:ascii="Times New Roman" w:hAnsi="Times New Roman" w:cs="Times New Roman"/>
                <w:lang w:val="ro-MD"/>
              </w:rPr>
              <w:t xml:space="preserve"> sau </w:t>
            </w:r>
            <w:r w:rsidRPr="009E686F">
              <w:rPr>
                <w:rFonts w:ascii="Times New Roman" w:hAnsi="Times New Roman" w:cs="Times New Roman"/>
                <w:i/>
                <w:iCs/>
                <w:lang w:val="ro-MD"/>
              </w:rPr>
              <w:t>instituție de credit</w:t>
            </w:r>
            <w:r w:rsidRPr="009E686F">
              <w:rPr>
                <w:rFonts w:ascii="Times New Roman" w:hAnsi="Times New Roman" w:cs="Times New Roman"/>
                <w:lang w:val="ro-MD"/>
              </w:rPr>
              <w:t xml:space="preserve">” sau derivate ale acestei denumiri, în legătură cu o activitate, un produs sau un serviciu, cu excepția cazului în care această utilizare este stabilită sau recunoscută prin lege ori printr-un acord internațional sau când din contextul în care este utilizată denumirea respectivă rezultă neîndoielnic că nu este vorba despre desfăşurarea unei activități specifice unei </w:t>
            </w:r>
            <w:r w:rsidRPr="009E686F">
              <w:rPr>
                <w:rFonts w:ascii="Times New Roman" w:hAnsi="Times New Roman" w:cs="Times New Roman"/>
                <w:i/>
                <w:iCs/>
                <w:lang w:val="ro-MD"/>
              </w:rPr>
              <w:t>instituții de credit</w:t>
            </w:r>
            <w:r w:rsidRPr="009E686F">
              <w:rPr>
                <w:rFonts w:ascii="Times New Roman" w:hAnsi="Times New Roman" w:cs="Times New Roman"/>
                <w:lang w:val="ro-MD"/>
              </w:rPr>
              <w:t>.</w:t>
            </w:r>
          </w:p>
          <w:p w14:paraId="04998014" w14:textId="5821EACA" w:rsidR="00837428" w:rsidRPr="009E686F" w:rsidRDefault="00837428" w:rsidP="00837428">
            <w:pPr>
              <w:spacing w:after="0"/>
              <w:jc w:val="both"/>
              <w:rPr>
                <w:rFonts w:ascii="Times New Roman" w:hAnsi="Times New Roman" w:cs="Times New Roman"/>
                <w:lang w:val="ro-MD"/>
              </w:rPr>
            </w:pPr>
            <w:r w:rsidRPr="009E686F">
              <w:rPr>
                <w:rFonts w:ascii="Times New Roman" w:hAnsi="Times New Roman" w:cs="Times New Roman"/>
                <w:lang w:val="ro-MD"/>
              </w:rPr>
              <w:t xml:space="preserve">(2) Fără a se aduce atingere prevederilor alin. (1), entitățile sau sucursalele, din grupul din care face parte o </w:t>
            </w:r>
            <w:r w:rsidRPr="009E686F">
              <w:rPr>
                <w:rFonts w:ascii="Times New Roman" w:hAnsi="Times New Roman" w:cs="Times New Roman"/>
                <w:i/>
                <w:iCs/>
                <w:lang w:val="ro-MD"/>
              </w:rPr>
              <w:t>instituție de credit</w:t>
            </w:r>
            <w:r w:rsidRPr="009E686F">
              <w:rPr>
                <w:rFonts w:ascii="Times New Roman" w:hAnsi="Times New Roman" w:cs="Times New Roman"/>
                <w:lang w:val="ro-MD"/>
              </w:rPr>
              <w:t xml:space="preserve"> pot utiliza în denumirea acestora inițialele, sigla, </w:t>
            </w:r>
            <w:r w:rsidRPr="009E686F">
              <w:rPr>
                <w:rFonts w:ascii="Times New Roman" w:hAnsi="Times New Roman" w:cs="Times New Roman"/>
                <w:lang w:val="ro-MD"/>
              </w:rPr>
              <w:lastRenderedPageBreak/>
              <w:t>emblema, denumirea ori alte elemente de identificare utilizate la nivel de grup.</w:t>
            </w:r>
          </w:p>
        </w:tc>
        <w:tc>
          <w:tcPr>
            <w:tcW w:w="470" w:type="pct"/>
            <w:tcBorders>
              <w:top w:val="single" w:sz="4" w:space="0" w:color="auto"/>
              <w:left w:val="single" w:sz="4" w:space="0" w:color="auto"/>
              <w:bottom w:val="single" w:sz="4" w:space="0" w:color="auto"/>
              <w:right w:val="single" w:sz="4" w:space="0" w:color="auto"/>
            </w:tcBorders>
          </w:tcPr>
          <w:p w14:paraId="5579F283" w14:textId="77777777" w:rsidR="00837428" w:rsidRPr="009E686F" w:rsidRDefault="00837428" w:rsidP="00837428">
            <w:pPr>
              <w:jc w:val="both"/>
              <w:rPr>
                <w:rFonts w:ascii="Times New Roman" w:hAnsi="Times New Roman" w:cs="Times New Roman"/>
              </w:rPr>
            </w:pPr>
            <w:r w:rsidRPr="009E686F">
              <w:rPr>
                <w:rFonts w:ascii="Times New Roman" w:hAnsi="Times New Roman" w:cs="Times New Roman"/>
              </w:rPr>
              <w:lastRenderedPageBreak/>
              <w:t>Compatibil</w:t>
            </w:r>
          </w:p>
          <w:p w14:paraId="7B7DD427" w14:textId="77777777" w:rsidR="00837428" w:rsidRPr="009E686F" w:rsidRDefault="00837428" w:rsidP="00837428">
            <w:pPr>
              <w:jc w:val="both"/>
              <w:rPr>
                <w:rFonts w:ascii="Times New Roman" w:hAnsi="Times New Roman" w:cs="Times New Roman"/>
              </w:rPr>
            </w:pPr>
          </w:p>
          <w:p w14:paraId="45F98753" w14:textId="77777777" w:rsidR="00837428" w:rsidRPr="009E686F" w:rsidRDefault="00837428" w:rsidP="00837428">
            <w:pPr>
              <w:jc w:val="both"/>
              <w:rPr>
                <w:rFonts w:ascii="Times New Roman" w:hAnsi="Times New Roman" w:cs="Times New Roman"/>
              </w:rPr>
            </w:pPr>
          </w:p>
          <w:p w14:paraId="1447A30C" w14:textId="77777777" w:rsidR="00837428" w:rsidRPr="009E686F" w:rsidRDefault="00837428" w:rsidP="00837428">
            <w:pPr>
              <w:jc w:val="both"/>
              <w:rPr>
                <w:rFonts w:ascii="Times New Roman" w:hAnsi="Times New Roman" w:cs="Times New Roman"/>
              </w:rPr>
            </w:pPr>
          </w:p>
          <w:p w14:paraId="03C9D6F1" w14:textId="77777777" w:rsidR="00837428" w:rsidRPr="009E686F" w:rsidRDefault="00837428" w:rsidP="00837428">
            <w:pPr>
              <w:jc w:val="both"/>
              <w:rPr>
                <w:rFonts w:ascii="Times New Roman" w:hAnsi="Times New Roman" w:cs="Times New Roman"/>
              </w:rPr>
            </w:pPr>
          </w:p>
          <w:p w14:paraId="62ED5E34" w14:textId="77777777" w:rsidR="00837428" w:rsidRPr="009E686F" w:rsidRDefault="00837428" w:rsidP="00837428">
            <w:pPr>
              <w:jc w:val="both"/>
              <w:rPr>
                <w:rFonts w:ascii="Times New Roman" w:hAnsi="Times New Roman" w:cs="Times New Roman"/>
              </w:rPr>
            </w:pPr>
          </w:p>
          <w:p w14:paraId="0FEA6C6B" w14:textId="77777777" w:rsidR="00837428" w:rsidRPr="009E686F" w:rsidRDefault="00837428" w:rsidP="00837428">
            <w:pPr>
              <w:jc w:val="both"/>
              <w:rPr>
                <w:rFonts w:ascii="Times New Roman" w:hAnsi="Times New Roman" w:cs="Times New Roman"/>
              </w:rPr>
            </w:pPr>
          </w:p>
          <w:p w14:paraId="6B327D18" w14:textId="4743D25F" w:rsidR="00837428" w:rsidRPr="009E686F" w:rsidRDefault="00837428" w:rsidP="00837428">
            <w:pPr>
              <w:jc w:val="both"/>
              <w:rPr>
                <w:rFonts w:ascii="Times New Roman" w:hAnsi="Times New Roman" w:cs="Times New Roman"/>
              </w:rPr>
            </w:pPr>
          </w:p>
        </w:tc>
        <w:tc>
          <w:tcPr>
            <w:tcW w:w="806" w:type="pct"/>
            <w:tcBorders>
              <w:top w:val="single" w:sz="4" w:space="0" w:color="auto"/>
              <w:left w:val="single" w:sz="4" w:space="0" w:color="auto"/>
              <w:bottom w:val="single" w:sz="4" w:space="0" w:color="auto"/>
              <w:right w:val="single" w:sz="4" w:space="0" w:color="auto"/>
            </w:tcBorders>
          </w:tcPr>
          <w:p w14:paraId="0FD343AE" w14:textId="51B6C1B7" w:rsidR="00837428" w:rsidRPr="009E686F" w:rsidRDefault="00837428" w:rsidP="00837428">
            <w:pPr>
              <w:spacing w:after="0"/>
              <w:jc w:val="both"/>
              <w:rPr>
                <w:rFonts w:ascii="Times New Roman" w:hAnsi="Times New Roman" w:cs="Times New Roman"/>
              </w:rPr>
            </w:pPr>
          </w:p>
        </w:tc>
      </w:tr>
      <w:tr w:rsidR="00837428" w:rsidRPr="009E686F" w14:paraId="510780D8" w14:textId="2EAFC6A8" w:rsidTr="00960C23">
        <w:tc>
          <w:tcPr>
            <w:tcW w:w="1890" w:type="pct"/>
            <w:tcBorders>
              <w:top w:val="single" w:sz="4" w:space="0" w:color="auto"/>
              <w:left w:val="single" w:sz="4" w:space="0" w:color="auto"/>
              <w:bottom w:val="single" w:sz="4" w:space="0" w:color="auto"/>
              <w:right w:val="single" w:sz="4" w:space="0" w:color="auto"/>
            </w:tcBorders>
          </w:tcPr>
          <w:p w14:paraId="441A98C2" w14:textId="77777777" w:rsidR="00837428" w:rsidRPr="009E686F" w:rsidRDefault="00837428" w:rsidP="00837428">
            <w:pPr>
              <w:spacing w:after="0"/>
              <w:jc w:val="both"/>
              <w:rPr>
                <w:rFonts w:ascii="Times New Roman" w:hAnsi="Times New Roman" w:cs="Times New Roman"/>
                <w:i/>
                <w:iCs/>
                <w:lang w:val="it-CH"/>
              </w:rPr>
            </w:pPr>
            <w:r w:rsidRPr="009E686F">
              <w:rPr>
                <w:rFonts w:ascii="Times New Roman" w:hAnsi="Times New Roman" w:cs="Times New Roman"/>
                <w:i/>
                <w:iCs/>
                <w:lang w:val="it-CH"/>
              </w:rPr>
              <w:t>Articolul 20</w:t>
            </w:r>
          </w:p>
          <w:p w14:paraId="52FC9329" w14:textId="34ABDD9E" w:rsidR="00837428" w:rsidRPr="009E686F" w:rsidRDefault="00837428" w:rsidP="00837428">
            <w:pPr>
              <w:spacing w:after="0"/>
              <w:jc w:val="both"/>
              <w:rPr>
                <w:rFonts w:ascii="Times New Roman" w:hAnsi="Times New Roman" w:cs="Times New Roman"/>
                <w:lang w:val="it-CH"/>
              </w:rPr>
            </w:pPr>
            <w:r w:rsidRPr="009E686F">
              <w:rPr>
                <w:rFonts w:ascii="Times New Roman" w:hAnsi="Times New Roman" w:cs="Times New Roman"/>
                <w:lang w:val="it-CH"/>
              </w:rPr>
              <w:t>Notificarea autorizației și a retragerii autorizației (1) Autoritățile competente notifică ABE cu privire la fiecare autorizație acordată în temeiul articolului 8.</w:t>
            </w:r>
          </w:p>
        </w:tc>
        <w:tc>
          <w:tcPr>
            <w:tcW w:w="1834" w:type="pct"/>
            <w:tcBorders>
              <w:top w:val="single" w:sz="4" w:space="0" w:color="auto"/>
              <w:left w:val="single" w:sz="4" w:space="0" w:color="auto"/>
              <w:bottom w:val="single" w:sz="4" w:space="0" w:color="auto"/>
              <w:right w:val="single" w:sz="4" w:space="0" w:color="auto"/>
            </w:tcBorders>
          </w:tcPr>
          <w:p w14:paraId="767543F7" w14:textId="63BA0C90" w:rsidR="00837428" w:rsidRPr="009E686F" w:rsidRDefault="00837428" w:rsidP="00837428">
            <w:pPr>
              <w:spacing w:after="0"/>
              <w:jc w:val="both"/>
              <w:rPr>
                <w:rFonts w:ascii="Times New Roman" w:hAnsi="Times New Roman" w:cs="Times New Roman"/>
                <w:b/>
                <w:lang w:val="it-CH"/>
              </w:rPr>
            </w:pPr>
            <w:r w:rsidRPr="009E686F">
              <w:rPr>
                <w:rFonts w:ascii="Times New Roman" w:hAnsi="Times New Roman" w:cs="Times New Roman"/>
                <w:b/>
                <w:lang w:val="it-CH"/>
              </w:rPr>
              <w:t>Articolul 8 alin. (5)</w:t>
            </w:r>
          </w:p>
          <w:p w14:paraId="13BBAAE4" w14:textId="58826A0E" w:rsidR="00837428" w:rsidRPr="009E686F" w:rsidRDefault="00837428" w:rsidP="00837428">
            <w:pPr>
              <w:spacing w:after="0"/>
              <w:jc w:val="both"/>
              <w:rPr>
                <w:rFonts w:ascii="Times New Roman" w:hAnsi="Times New Roman" w:cs="Times New Roman"/>
                <w:bCs/>
                <w:lang w:val="it-CH"/>
              </w:rPr>
            </w:pPr>
            <w:r w:rsidRPr="009E686F">
              <w:rPr>
                <w:rFonts w:ascii="Times New Roman" w:hAnsi="Times New Roman" w:cs="Times New Roman"/>
                <w:bCs/>
                <w:i/>
                <w:iCs/>
                <w:lang w:val="it-CH"/>
              </w:rPr>
              <w:t>(5) Banca Națională a Moldovei informează Autoritatea Bancară Europeană cu privire la fiecare autorizație acordată în temeiul prezentului articol</w:t>
            </w:r>
            <w:r w:rsidRPr="009E686F">
              <w:rPr>
                <w:rFonts w:ascii="Times New Roman" w:hAnsi="Times New Roman" w:cs="Times New Roman"/>
                <w:bCs/>
                <w:lang w:val="it-CH"/>
              </w:rPr>
              <w:t>.</w:t>
            </w:r>
          </w:p>
        </w:tc>
        <w:tc>
          <w:tcPr>
            <w:tcW w:w="470" w:type="pct"/>
            <w:tcBorders>
              <w:top w:val="single" w:sz="4" w:space="0" w:color="auto"/>
              <w:left w:val="single" w:sz="4" w:space="0" w:color="auto"/>
              <w:bottom w:val="single" w:sz="4" w:space="0" w:color="auto"/>
              <w:right w:val="single" w:sz="4" w:space="0" w:color="auto"/>
            </w:tcBorders>
          </w:tcPr>
          <w:p w14:paraId="725B9D5B" w14:textId="21053FB5" w:rsidR="00837428" w:rsidRPr="009E686F" w:rsidRDefault="00837428" w:rsidP="00837428">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2197A0FB" w14:textId="50182AE3" w:rsidR="00837428" w:rsidRPr="009E686F" w:rsidRDefault="009507E4" w:rsidP="00837428">
            <w:pPr>
              <w:spacing w:after="0"/>
              <w:jc w:val="both"/>
              <w:rPr>
                <w:rFonts w:ascii="Times New Roman" w:hAnsi="Times New Roman" w:cs="Times New Roman"/>
                <w:lang w:val="it-CH"/>
              </w:rPr>
            </w:pPr>
            <w:r w:rsidRPr="009E686F">
              <w:rPr>
                <w:rFonts w:ascii="Times New Roman" w:hAnsi="Times New Roman" w:cs="Times New Roman"/>
                <w:lang w:val="it-CH"/>
              </w:rPr>
              <w:t>Intrare în vigoare de la data aderării.</w:t>
            </w:r>
          </w:p>
        </w:tc>
      </w:tr>
      <w:tr w:rsidR="00837428" w:rsidRPr="009E686F" w14:paraId="2E657A1D" w14:textId="413BA167" w:rsidTr="00960C23">
        <w:tc>
          <w:tcPr>
            <w:tcW w:w="1890" w:type="pct"/>
            <w:tcBorders>
              <w:top w:val="single" w:sz="4" w:space="0" w:color="auto"/>
              <w:left w:val="single" w:sz="4" w:space="0" w:color="auto"/>
              <w:bottom w:val="single" w:sz="4" w:space="0" w:color="auto"/>
              <w:right w:val="single" w:sz="4" w:space="0" w:color="auto"/>
            </w:tcBorders>
          </w:tcPr>
          <w:p w14:paraId="59591EF2" w14:textId="6FA8098D" w:rsidR="00837428" w:rsidRPr="009E686F" w:rsidRDefault="00837428" w:rsidP="00837428">
            <w:pPr>
              <w:spacing w:after="0"/>
              <w:jc w:val="both"/>
              <w:rPr>
                <w:rFonts w:ascii="Times New Roman" w:hAnsi="Times New Roman" w:cs="Times New Roman"/>
                <w:lang w:val="it-CH"/>
              </w:rPr>
            </w:pPr>
            <w:r w:rsidRPr="009E686F">
              <w:rPr>
                <w:rFonts w:ascii="Times New Roman" w:hAnsi="Times New Roman" w:cs="Times New Roman"/>
                <w:lang w:val="it-CH"/>
              </w:rPr>
              <w:t>(2) ABE publică pe site-ul său web și actualizează, cel puțin o data pe an, o listă cu denumirile tuturor instituțiilor de credit care au primit autorizație.</w:t>
            </w:r>
          </w:p>
        </w:tc>
        <w:tc>
          <w:tcPr>
            <w:tcW w:w="1834" w:type="pct"/>
            <w:tcBorders>
              <w:top w:val="single" w:sz="4" w:space="0" w:color="auto"/>
              <w:left w:val="single" w:sz="4" w:space="0" w:color="auto"/>
              <w:bottom w:val="single" w:sz="4" w:space="0" w:color="auto"/>
              <w:right w:val="single" w:sz="4" w:space="0" w:color="auto"/>
            </w:tcBorders>
          </w:tcPr>
          <w:p w14:paraId="1F10FF60" w14:textId="1EEA47D4" w:rsidR="00837428" w:rsidRPr="009E686F" w:rsidRDefault="00837428" w:rsidP="00837428">
            <w:pPr>
              <w:spacing w:after="0"/>
              <w:jc w:val="both"/>
              <w:rPr>
                <w:rFonts w:ascii="Times New Roman" w:hAnsi="Times New Roman" w:cs="Times New Roman"/>
                <w:lang w:val="it-CH"/>
              </w:rPr>
            </w:pPr>
          </w:p>
        </w:tc>
        <w:tc>
          <w:tcPr>
            <w:tcW w:w="470" w:type="pct"/>
            <w:tcBorders>
              <w:top w:val="single" w:sz="4" w:space="0" w:color="auto"/>
              <w:left w:val="single" w:sz="4" w:space="0" w:color="auto"/>
              <w:bottom w:val="single" w:sz="4" w:space="0" w:color="auto"/>
              <w:right w:val="single" w:sz="4" w:space="0" w:color="auto"/>
            </w:tcBorders>
          </w:tcPr>
          <w:p w14:paraId="77321F11" w14:textId="6A058FAA" w:rsidR="00837428" w:rsidRPr="009E686F" w:rsidRDefault="00837428" w:rsidP="00837428">
            <w:pPr>
              <w:jc w:val="both"/>
              <w:rPr>
                <w:rFonts w:ascii="Times New Roman" w:hAnsi="Times New Roman" w:cs="Times New Roman"/>
              </w:rPr>
            </w:pPr>
            <w:r w:rsidRPr="009E686F">
              <w:rPr>
                <w:rFonts w:ascii="Times New Roman" w:hAnsi="Times New Roman" w:cs="Times New Roman"/>
              </w:rPr>
              <w:t xml:space="preserve">Norme UE neaplicabile </w:t>
            </w:r>
          </w:p>
        </w:tc>
        <w:tc>
          <w:tcPr>
            <w:tcW w:w="806" w:type="pct"/>
            <w:tcBorders>
              <w:top w:val="single" w:sz="4" w:space="0" w:color="auto"/>
              <w:left w:val="single" w:sz="4" w:space="0" w:color="auto"/>
              <w:bottom w:val="single" w:sz="4" w:space="0" w:color="auto"/>
              <w:right w:val="single" w:sz="4" w:space="0" w:color="auto"/>
            </w:tcBorders>
          </w:tcPr>
          <w:p w14:paraId="6A21D140" w14:textId="73005D5E" w:rsidR="00837428" w:rsidRPr="009E686F" w:rsidRDefault="00837428" w:rsidP="00837428">
            <w:pPr>
              <w:spacing w:after="0"/>
              <w:jc w:val="both"/>
              <w:rPr>
                <w:rFonts w:ascii="Times New Roman" w:hAnsi="Times New Roman" w:cs="Times New Roman"/>
                <w:lang w:val="it-CH"/>
              </w:rPr>
            </w:pPr>
            <w:r w:rsidRPr="009E686F">
              <w:rPr>
                <w:rFonts w:ascii="Times New Roman" w:hAnsi="Times New Roman" w:cs="Times New Roman"/>
                <w:lang w:val="it-CH"/>
              </w:rPr>
              <w:t>Se referă la competențele ABE.</w:t>
            </w:r>
          </w:p>
        </w:tc>
      </w:tr>
      <w:tr w:rsidR="00837428" w:rsidRPr="009E686F" w14:paraId="166FA243" w14:textId="04D5F8A9" w:rsidTr="00960C23">
        <w:tc>
          <w:tcPr>
            <w:tcW w:w="1890" w:type="pct"/>
            <w:tcBorders>
              <w:top w:val="single" w:sz="4" w:space="0" w:color="auto"/>
              <w:left w:val="single" w:sz="4" w:space="0" w:color="auto"/>
              <w:bottom w:val="single" w:sz="4" w:space="0" w:color="auto"/>
              <w:right w:val="single" w:sz="4" w:space="0" w:color="auto"/>
            </w:tcBorders>
          </w:tcPr>
          <w:p w14:paraId="5AEA1B0A" w14:textId="280C44E8" w:rsidR="00837428" w:rsidRPr="009E686F" w:rsidRDefault="00837428" w:rsidP="00837428">
            <w:pPr>
              <w:spacing w:after="0"/>
              <w:jc w:val="both"/>
              <w:rPr>
                <w:rFonts w:ascii="Times New Roman" w:hAnsi="Times New Roman" w:cs="Times New Roman"/>
                <w:lang w:val="it-CH"/>
              </w:rPr>
            </w:pPr>
            <w:r w:rsidRPr="009E686F">
              <w:rPr>
                <w:rFonts w:ascii="Times New Roman" w:hAnsi="Times New Roman" w:cs="Times New Roman"/>
                <w:lang w:val="it-CH"/>
              </w:rPr>
              <w:t>(3) Autoritatea responsabilă cu supravegherea consolidată furnizează autorităților competente în cauză și ABE toate informațiile referitoare la grupul de instituții de credit în conformitate cu articolul 14 alineatul (3), articolul 74 alineatul (1) și articolul 109 alineatul (2), în special în ceea ce privește structura juridică și organizațională a grupului și guvernanța sa.</w:t>
            </w:r>
          </w:p>
        </w:tc>
        <w:tc>
          <w:tcPr>
            <w:tcW w:w="1834" w:type="pct"/>
            <w:tcBorders>
              <w:top w:val="single" w:sz="4" w:space="0" w:color="auto"/>
              <w:left w:val="single" w:sz="4" w:space="0" w:color="auto"/>
              <w:bottom w:val="single" w:sz="4" w:space="0" w:color="auto"/>
              <w:right w:val="single" w:sz="4" w:space="0" w:color="auto"/>
            </w:tcBorders>
          </w:tcPr>
          <w:p w14:paraId="122B2A58" w14:textId="52EDD417" w:rsidR="00837428" w:rsidRPr="009E686F" w:rsidRDefault="00837428" w:rsidP="00837428">
            <w:pPr>
              <w:spacing w:after="0"/>
              <w:jc w:val="both"/>
              <w:rPr>
                <w:rFonts w:ascii="Times New Roman" w:hAnsi="Times New Roman" w:cs="Times New Roman"/>
                <w:b/>
                <w:lang w:val="it-CH"/>
              </w:rPr>
            </w:pPr>
            <w:r w:rsidRPr="009E686F">
              <w:rPr>
                <w:rFonts w:ascii="Times New Roman" w:hAnsi="Times New Roman" w:cs="Times New Roman"/>
                <w:b/>
                <w:lang w:val="it-CH"/>
              </w:rPr>
              <w:t>Articolul 18 alin. (5)</w:t>
            </w:r>
          </w:p>
          <w:p w14:paraId="2AE93032" w14:textId="54C6F56D" w:rsidR="00837428" w:rsidRPr="009E686F" w:rsidRDefault="00837428" w:rsidP="00837428">
            <w:pPr>
              <w:spacing w:after="0"/>
              <w:jc w:val="both"/>
              <w:rPr>
                <w:rFonts w:ascii="Times New Roman" w:hAnsi="Times New Roman" w:cs="Times New Roman"/>
                <w:lang w:val="it-CH"/>
              </w:rPr>
            </w:pPr>
            <w:r w:rsidRPr="009E686F">
              <w:rPr>
                <w:rFonts w:ascii="Times New Roman" w:hAnsi="Times New Roman" w:cs="Times New Roman"/>
                <w:lang w:val="it-CH"/>
              </w:rPr>
              <w:t xml:space="preserve">(5) Dacă după </w:t>
            </w:r>
            <w:r w:rsidRPr="009E686F">
              <w:rPr>
                <w:rFonts w:ascii="Times New Roman" w:hAnsi="Times New Roman" w:cs="Times New Roman"/>
                <w:i/>
                <w:lang w:val="it-CH"/>
              </w:rPr>
              <w:t>autorizarea</w:t>
            </w:r>
            <w:r w:rsidRPr="009E686F">
              <w:rPr>
                <w:rFonts w:ascii="Times New Roman" w:hAnsi="Times New Roman" w:cs="Times New Roman"/>
                <w:lang w:val="it-CH"/>
              </w:rPr>
              <w:t xml:space="preserve"> unei </w:t>
            </w:r>
            <w:r w:rsidRPr="009E686F">
              <w:rPr>
                <w:rFonts w:ascii="Times New Roman" w:hAnsi="Times New Roman" w:cs="Times New Roman"/>
                <w:i/>
                <w:lang w:val="it-CH"/>
              </w:rPr>
              <w:t>instituții de  credit</w:t>
            </w:r>
            <w:r w:rsidRPr="009E686F">
              <w:rPr>
                <w:rFonts w:ascii="Times New Roman" w:hAnsi="Times New Roman" w:cs="Times New Roman"/>
                <w:lang w:val="it-CH"/>
              </w:rPr>
              <w:t xml:space="preserve"> Banca Națională a Moldovei are calitatea de autoritate competentă cu exercitarea supravegherii pe bază consolidată, aceasta furnizează autorităților competente implicate, menționate în alin. (1) și (2) </w:t>
            </w:r>
            <w:r w:rsidRPr="009E686F">
              <w:rPr>
                <w:rFonts w:ascii="Times New Roman" w:hAnsi="Times New Roman" w:cs="Times New Roman"/>
                <w:i/>
                <w:lang w:val="it-CH"/>
              </w:rPr>
              <w:t>și Autorității Bancare Europene</w:t>
            </w:r>
            <w:r w:rsidRPr="009E686F">
              <w:rPr>
                <w:rFonts w:ascii="Times New Roman" w:hAnsi="Times New Roman" w:cs="Times New Roman"/>
                <w:lang w:val="it-CH"/>
              </w:rPr>
              <w:t>, toate informațiile referitoare la grupurile bancare, respectiv informații privind entitățile între care există legături strânse, precum şi referitor la cadrul formal de administrare a activității, în particular în ceea ce priveşte structura juridică, de guvernanță şi organizatorică la nivel de grup, în cazul încheierii unor acorduri de cooperare și coordonare potrivit art.111.</w:t>
            </w:r>
          </w:p>
          <w:p w14:paraId="578C67FE" w14:textId="0097DC7A" w:rsidR="00837428" w:rsidRPr="009E686F" w:rsidRDefault="00837428" w:rsidP="00837428">
            <w:pPr>
              <w:spacing w:after="0"/>
              <w:jc w:val="both"/>
              <w:rPr>
                <w:rFonts w:ascii="Times New Roman" w:hAnsi="Times New Roman" w:cs="Times New Roman"/>
                <w:b/>
                <w:lang w:val="it-CH"/>
              </w:rPr>
            </w:pPr>
            <w:r w:rsidRPr="009E686F">
              <w:rPr>
                <w:rFonts w:ascii="Times New Roman" w:hAnsi="Times New Roman" w:cs="Times New Roman"/>
                <w:b/>
                <w:lang w:val="it-CH"/>
              </w:rPr>
              <w:t>Articolul 109 alin. (4)</w:t>
            </w:r>
          </w:p>
          <w:p w14:paraId="6F4C047A" w14:textId="3FE9653B" w:rsidR="00837428" w:rsidRPr="009E686F" w:rsidRDefault="00837428" w:rsidP="00837428">
            <w:pPr>
              <w:pStyle w:val="af4"/>
              <w:tabs>
                <w:tab w:val="left" w:pos="426"/>
              </w:tabs>
              <w:spacing w:after="0"/>
              <w:ind w:left="0"/>
              <w:jc w:val="both"/>
              <w:rPr>
                <w:rFonts w:ascii="Times New Roman" w:hAnsi="Times New Roman" w:cs="Times New Roman"/>
              </w:rPr>
            </w:pPr>
            <w:r w:rsidRPr="009E686F">
              <w:rPr>
                <w:rFonts w:ascii="Times New Roman" w:hAnsi="Times New Roman" w:cs="Times New Roman"/>
                <w:i/>
                <w:iCs/>
              </w:rPr>
              <w:t>(4) Banca Națională a Moldovei, în calitate de autoritate responsabilă cu supravegherea consolidată, transmite autorităților competente ale instituțiilor de credit parte a grupului și Autorității Bancare Europene, informațiile referitoare la grupul de instituții de credit care reies din art. 12 alineatul (6), art. 19 alineatul (1) lit. c</w:t>
            </w:r>
            <w:r w:rsidRPr="009E686F">
              <w:rPr>
                <w:rFonts w:ascii="Times New Roman" w:hAnsi="Times New Roman" w:cs="Times New Roman"/>
                <w:i/>
                <w:iCs/>
                <w:vertAlign w:val="superscript"/>
              </w:rPr>
              <w:t>1</w:t>
            </w:r>
            <w:r w:rsidRPr="009E686F">
              <w:rPr>
                <w:rFonts w:ascii="Times New Roman" w:hAnsi="Times New Roman" w:cs="Times New Roman"/>
                <w:i/>
                <w:iCs/>
              </w:rPr>
              <w:t>) și art.  38 alin</w:t>
            </w:r>
            <w:r w:rsidR="00C4595A" w:rsidRPr="009E686F">
              <w:rPr>
                <w:rFonts w:ascii="Times New Roman" w:hAnsi="Times New Roman" w:cs="Times New Roman"/>
                <w:i/>
                <w:iCs/>
              </w:rPr>
              <w:t xml:space="preserve">. </w:t>
            </w:r>
            <w:r w:rsidRPr="009E686F">
              <w:rPr>
                <w:rFonts w:ascii="Times New Roman" w:hAnsi="Times New Roman" w:cs="Times New Roman"/>
                <w:i/>
                <w:iCs/>
              </w:rPr>
              <w:t>(1), în special, în ceea ce privește structura juridică și organizațională a grupului și guvernanța sa</w:t>
            </w:r>
            <w:r w:rsidRPr="009E686F">
              <w:rPr>
                <w:rFonts w:ascii="Times New Roman" w:hAnsi="Times New Roman" w:cs="Times New Roman"/>
              </w:rPr>
              <w:t>.</w:t>
            </w:r>
          </w:p>
        </w:tc>
        <w:tc>
          <w:tcPr>
            <w:tcW w:w="470" w:type="pct"/>
            <w:tcBorders>
              <w:top w:val="single" w:sz="4" w:space="0" w:color="auto"/>
              <w:left w:val="single" w:sz="4" w:space="0" w:color="auto"/>
              <w:bottom w:val="single" w:sz="4" w:space="0" w:color="auto"/>
              <w:right w:val="single" w:sz="4" w:space="0" w:color="auto"/>
            </w:tcBorders>
          </w:tcPr>
          <w:p w14:paraId="27B4E274" w14:textId="77777777" w:rsidR="00837428" w:rsidRPr="009E686F" w:rsidRDefault="00837428" w:rsidP="00837428">
            <w:pPr>
              <w:jc w:val="both"/>
              <w:rPr>
                <w:rFonts w:ascii="Times New Roman" w:hAnsi="Times New Roman" w:cs="Times New Roman"/>
                <w:lang w:val="it-CH"/>
              </w:rPr>
            </w:pPr>
            <w:r w:rsidRPr="009E686F">
              <w:rPr>
                <w:rFonts w:ascii="Times New Roman" w:hAnsi="Times New Roman" w:cs="Times New Roman"/>
                <w:lang w:val="it-CH"/>
              </w:rPr>
              <w:t>Compatibil</w:t>
            </w:r>
          </w:p>
          <w:p w14:paraId="769B6FD9" w14:textId="396DA8E4" w:rsidR="00837428" w:rsidRPr="009E686F" w:rsidRDefault="00837428" w:rsidP="00837428">
            <w:pPr>
              <w:jc w:val="both"/>
              <w:rPr>
                <w:rFonts w:ascii="Times New Roman" w:hAnsi="Times New Roman" w:cs="Times New Roman"/>
                <w:lang w:val="it-CH"/>
              </w:rPr>
            </w:pPr>
            <w:r w:rsidRPr="009E686F">
              <w:rPr>
                <w:rFonts w:ascii="Times New Roman" w:hAnsi="Times New Roman" w:cs="Times New Roman"/>
                <w:lang w:val="it-CH"/>
              </w:rPr>
              <w:t xml:space="preserve">Norme UE neaplicabile </w:t>
            </w:r>
          </w:p>
        </w:tc>
        <w:tc>
          <w:tcPr>
            <w:tcW w:w="806" w:type="pct"/>
            <w:tcBorders>
              <w:top w:val="single" w:sz="4" w:space="0" w:color="auto"/>
              <w:left w:val="single" w:sz="4" w:space="0" w:color="auto"/>
              <w:bottom w:val="single" w:sz="4" w:space="0" w:color="auto"/>
              <w:right w:val="single" w:sz="4" w:space="0" w:color="auto"/>
            </w:tcBorders>
          </w:tcPr>
          <w:p w14:paraId="5DF74C4F" w14:textId="078339FA" w:rsidR="00791F50" w:rsidRPr="009E686F" w:rsidRDefault="00791F50" w:rsidP="00791F50">
            <w:pPr>
              <w:tabs>
                <w:tab w:val="left" w:pos="884"/>
                <w:tab w:val="left" w:pos="1196"/>
              </w:tabs>
              <w:spacing w:after="0" w:line="240" w:lineRule="auto"/>
              <w:jc w:val="both"/>
              <w:rPr>
                <w:rFonts w:ascii="Times New Roman" w:hAnsi="Times New Roman"/>
                <w:lang w:val="it-CH"/>
              </w:rPr>
            </w:pPr>
            <w:r w:rsidRPr="009E686F">
              <w:rPr>
                <w:rFonts w:ascii="Times New Roman" w:hAnsi="Times New Roman"/>
                <w:lang w:val="it-CH"/>
              </w:rPr>
              <w:t>Nor</w:t>
            </w:r>
            <w:r w:rsidR="007E3054" w:rsidRPr="009E686F">
              <w:rPr>
                <w:rFonts w:ascii="Times New Roman" w:hAnsi="Times New Roman"/>
                <w:lang w:val="it-CH"/>
              </w:rPr>
              <w:t>m</w:t>
            </w:r>
            <w:r w:rsidRPr="009E686F">
              <w:rPr>
                <w:rFonts w:ascii="Times New Roman" w:hAnsi="Times New Roman"/>
                <w:lang w:val="it-CH"/>
              </w:rPr>
              <w:t>ele aferente informării ABE - în vigoare de la data aderării.</w:t>
            </w:r>
          </w:p>
          <w:p w14:paraId="2C16D24D" w14:textId="77777777" w:rsidR="00837428" w:rsidRPr="009E686F" w:rsidRDefault="00837428" w:rsidP="00837428">
            <w:pPr>
              <w:spacing w:after="0"/>
              <w:jc w:val="both"/>
              <w:rPr>
                <w:rFonts w:ascii="Times New Roman" w:hAnsi="Times New Roman" w:cs="Times New Roman"/>
                <w:lang w:val="it-CH"/>
              </w:rPr>
            </w:pPr>
          </w:p>
          <w:p w14:paraId="2575116F" w14:textId="77777777" w:rsidR="00837428" w:rsidRPr="009E686F" w:rsidRDefault="00837428" w:rsidP="00837428">
            <w:pPr>
              <w:spacing w:after="0"/>
              <w:jc w:val="both"/>
              <w:rPr>
                <w:rFonts w:ascii="Times New Roman" w:hAnsi="Times New Roman" w:cs="Times New Roman"/>
                <w:lang w:val="it-CH"/>
              </w:rPr>
            </w:pPr>
            <w:r w:rsidRPr="009E686F">
              <w:rPr>
                <w:rFonts w:ascii="Times New Roman" w:hAnsi="Times New Roman" w:cs="Times New Roman"/>
                <w:lang w:val="it-CH"/>
              </w:rPr>
              <w:t>Se referă la competențele ABE.</w:t>
            </w:r>
          </w:p>
          <w:p w14:paraId="06F18C9B" w14:textId="77777777" w:rsidR="00791F50" w:rsidRPr="009E686F" w:rsidRDefault="00791F50" w:rsidP="00837428">
            <w:pPr>
              <w:spacing w:after="0"/>
              <w:jc w:val="both"/>
              <w:rPr>
                <w:rFonts w:ascii="Times New Roman" w:hAnsi="Times New Roman" w:cs="Times New Roman"/>
                <w:lang w:val="it-CH"/>
              </w:rPr>
            </w:pPr>
          </w:p>
          <w:p w14:paraId="5254B34E" w14:textId="4C496EF7" w:rsidR="00791F50" w:rsidRPr="009E686F" w:rsidRDefault="00791F50" w:rsidP="00837428">
            <w:pPr>
              <w:spacing w:after="0"/>
              <w:jc w:val="both"/>
              <w:rPr>
                <w:rFonts w:ascii="Times New Roman" w:hAnsi="Times New Roman" w:cs="Times New Roman"/>
                <w:lang w:val="it-CH"/>
              </w:rPr>
            </w:pPr>
          </w:p>
        </w:tc>
      </w:tr>
      <w:tr w:rsidR="00837428" w:rsidRPr="009E686F" w14:paraId="19B6C3DA" w14:textId="77777777" w:rsidTr="00960C23">
        <w:tc>
          <w:tcPr>
            <w:tcW w:w="1890" w:type="pct"/>
            <w:tcBorders>
              <w:top w:val="single" w:sz="4" w:space="0" w:color="auto"/>
              <w:left w:val="single" w:sz="4" w:space="0" w:color="auto"/>
              <w:bottom w:val="single" w:sz="4" w:space="0" w:color="auto"/>
              <w:right w:val="single" w:sz="4" w:space="0" w:color="auto"/>
            </w:tcBorders>
          </w:tcPr>
          <w:p w14:paraId="1CD238A6" w14:textId="0C7C2793" w:rsidR="00837428" w:rsidRPr="009E686F" w:rsidRDefault="00837428" w:rsidP="00837428">
            <w:pPr>
              <w:spacing w:after="0"/>
              <w:jc w:val="both"/>
              <w:rPr>
                <w:rFonts w:ascii="Times New Roman" w:hAnsi="Times New Roman" w:cs="Times New Roman"/>
                <w:lang w:val="pt-BR"/>
              </w:rPr>
            </w:pPr>
            <w:r w:rsidRPr="009E686F">
              <w:rPr>
                <w:rFonts w:ascii="Times New Roman" w:hAnsi="Times New Roman" w:cs="Times New Roman"/>
                <w:lang w:val="it-CH"/>
              </w:rPr>
              <w:lastRenderedPageBreak/>
              <w:t xml:space="preserve">(3a) Lista menționată la alineatul (2) de la prezentul articol include denumirile întreprinderilor menționate la articolul 4 alineatul (1) punctul 1 litera (b) din Regulamentul (UE) nr. 575/2013 și identifică respectivele instituții de credit ca atare. </w:t>
            </w:r>
            <w:r w:rsidRPr="009E686F">
              <w:rPr>
                <w:rFonts w:ascii="Times New Roman" w:hAnsi="Times New Roman" w:cs="Times New Roman"/>
                <w:lang w:val="pt-BR"/>
              </w:rPr>
              <w:t>Lista respectivă precizează, de asemenea, orice modificări în comparație cu versiunea anterioară a listei.</w:t>
            </w:r>
          </w:p>
        </w:tc>
        <w:tc>
          <w:tcPr>
            <w:tcW w:w="1834" w:type="pct"/>
            <w:tcBorders>
              <w:top w:val="single" w:sz="4" w:space="0" w:color="auto"/>
              <w:left w:val="single" w:sz="4" w:space="0" w:color="auto"/>
              <w:bottom w:val="single" w:sz="4" w:space="0" w:color="auto"/>
              <w:right w:val="single" w:sz="4" w:space="0" w:color="auto"/>
            </w:tcBorders>
          </w:tcPr>
          <w:p w14:paraId="2A9E4B96" w14:textId="77777777" w:rsidR="00837428" w:rsidRPr="009E686F" w:rsidRDefault="00837428" w:rsidP="00837428">
            <w:pPr>
              <w:spacing w:after="0"/>
              <w:jc w:val="both"/>
              <w:rPr>
                <w:rFonts w:ascii="Times New Roman" w:hAnsi="Times New Roman" w:cs="Times New Roman"/>
                <w:lang w:val="pt-BR"/>
              </w:rPr>
            </w:pPr>
          </w:p>
        </w:tc>
        <w:tc>
          <w:tcPr>
            <w:tcW w:w="470" w:type="pct"/>
            <w:tcBorders>
              <w:top w:val="single" w:sz="4" w:space="0" w:color="auto"/>
              <w:left w:val="single" w:sz="4" w:space="0" w:color="auto"/>
              <w:bottom w:val="single" w:sz="4" w:space="0" w:color="auto"/>
              <w:right w:val="single" w:sz="4" w:space="0" w:color="auto"/>
            </w:tcBorders>
          </w:tcPr>
          <w:p w14:paraId="15C677C3" w14:textId="437BC42A" w:rsidR="00837428" w:rsidRPr="009E686F" w:rsidRDefault="00837428" w:rsidP="00837428">
            <w:pPr>
              <w:jc w:val="both"/>
              <w:rPr>
                <w:rFonts w:ascii="Times New Roman" w:hAnsi="Times New Roman" w:cs="Times New Roman"/>
              </w:rPr>
            </w:pPr>
            <w:r w:rsidRPr="009E686F">
              <w:rPr>
                <w:rFonts w:ascii="Times New Roman" w:hAnsi="Times New Roman" w:cs="Times New Roman"/>
              </w:rPr>
              <w:t>Norme UE neaplicabile</w:t>
            </w:r>
          </w:p>
        </w:tc>
        <w:tc>
          <w:tcPr>
            <w:tcW w:w="806" w:type="pct"/>
            <w:tcBorders>
              <w:top w:val="single" w:sz="4" w:space="0" w:color="auto"/>
              <w:left w:val="single" w:sz="4" w:space="0" w:color="auto"/>
              <w:bottom w:val="single" w:sz="4" w:space="0" w:color="auto"/>
              <w:right w:val="single" w:sz="4" w:space="0" w:color="auto"/>
            </w:tcBorders>
          </w:tcPr>
          <w:p w14:paraId="79ED2524" w14:textId="698120C2" w:rsidR="00837428" w:rsidRPr="009E686F" w:rsidRDefault="00837428" w:rsidP="00837428">
            <w:pPr>
              <w:spacing w:after="0"/>
              <w:jc w:val="both"/>
              <w:rPr>
                <w:rFonts w:ascii="Times New Roman" w:hAnsi="Times New Roman" w:cs="Times New Roman"/>
                <w:lang w:val="it-CH"/>
              </w:rPr>
            </w:pPr>
            <w:r w:rsidRPr="009E686F">
              <w:rPr>
                <w:rFonts w:ascii="Times New Roman" w:hAnsi="Times New Roman" w:cs="Times New Roman"/>
                <w:lang w:val="it-CH"/>
              </w:rPr>
              <w:t>Se referă la lista pe care o publică ABE.</w:t>
            </w:r>
          </w:p>
        </w:tc>
      </w:tr>
      <w:tr w:rsidR="00837428" w:rsidRPr="009E686F" w14:paraId="6988E8DB" w14:textId="68284C1F" w:rsidTr="00960C23">
        <w:tc>
          <w:tcPr>
            <w:tcW w:w="1890" w:type="pct"/>
            <w:tcBorders>
              <w:top w:val="single" w:sz="4" w:space="0" w:color="auto"/>
              <w:left w:val="single" w:sz="4" w:space="0" w:color="auto"/>
              <w:bottom w:val="single" w:sz="4" w:space="0" w:color="auto"/>
              <w:right w:val="single" w:sz="4" w:space="0" w:color="auto"/>
            </w:tcBorders>
          </w:tcPr>
          <w:p w14:paraId="39E51147" w14:textId="2C0A2449" w:rsidR="00837428" w:rsidRPr="009E686F" w:rsidRDefault="00837428" w:rsidP="00837428">
            <w:pPr>
              <w:spacing w:after="0"/>
              <w:jc w:val="both"/>
              <w:rPr>
                <w:rFonts w:ascii="Times New Roman" w:hAnsi="Times New Roman" w:cs="Times New Roman"/>
                <w:lang w:val="it-CH"/>
              </w:rPr>
            </w:pPr>
            <w:r w:rsidRPr="009E686F">
              <w:rPr>
                <w:rFonts w:ascii="Times New Roman" w:hAnsi="Times New Roman" w:cs="Times New Roman"/>
                <w:lang w:val="it-CH"/>
              </w:rPr>
              <w:t>(4) Lista menționată la alineatul (2) de la prezentul articol include denumirile instituțiilor de credit care nu dețin capitalul menționat la articolul 12 alineatul (1) și identifică respectivele instituții de credit ca atare.</w:t>
            </w:r>
          </w:p>
        </w:tc>
        <w:tc>
          <w:tcPr>
            <w:tcW w:w="1834" w:type="pct"/>
            <w:tcBorders>
              <w:top w:val="single" w:sz="4" w:space="0" w:color="auto"/>
              <w:left w:val="single" w:sz="4" w:space="0" w:color="auto"/>
              <w:bottom w:val="single" w:sz="4" w:space="0" w:color="auto"/>
              <w:right w:val="single" w:sz="4" w:space="0" w:color="auto"/>
            </w:tcBorders>
          </w:tcPr>
          <w:p w14:paraId="3032BF92" w14:textId="77777777" w:rsidR="00837428" w:rsidRPr="009E686F" w:rsidRDefault="00837428" w:rsidP="00837428">
            <w:pPr>
              <w:spacing w:after="0"/>
              <w:jc w:val="both"/>
              <w:rPr>
                <w:rFonts w:ascii="Times New Roman" w:hAnsi="Times New Roman" w:cs="Times New Roman"/>
                <w:b/>
                <w:lang w:val="it-CH"/>
              </w:rPr>
            </w:pPr>
          </w:p>
        </w:tc>
        <w:tc>
          <w:tcPr>
            <w:tcW w:w="470" w:type="pct"/>
            <w:tcBorders>
              <w:top w:val="single" w:sz="4" w:space="0" w:color="auto"/>
              <w:left w:val="single" w:sz="4" w:space="0" w:color="auto"/>
              <w:bottom w:val="single" w:sz="4" w:space="0" w:color="auto"/>
              <w:right w:val="single" w:sz="4" w:space="0" w:color="auto"/>
            </w:tcBorders>
          </w:tcPr>
          <w:p w14:paraId="53E085D8" w14:textId="608C23F1" w:rsidR="00837428" w:rsidRPr="009E686F" w:rsidRDefault="00837428" w:rsidP="00837428">
            <w:pPr>
              <w:jc w:val="both"/>
              <w:rPr>
                <w:rFonts w:ascii="Times New Roman" w:hAnsi="Times New Roman" w:cs="Times New Roman"/>
              </w:rPr>
            </w:pPr>
            <w:r w:rsidRPr="009E686F">
              <w:rPr>
                <w:rFonts w:ascii="Times New Roman" w:hAnsi="Times New Roman" w:cs="Times New Roman"/>
              </w:rPr>
              <w:t>Norme UE neaplicabile</w:t>
            </w:r>
          </w:p>
          <w:p w14:paraId="6C055D9A" w14:textId="20516246" w:rsidR="00837428" w:rsidRPr="009E686F" w:rsidRDefault="00837428" w:rsidP="00837428">
            <w:pPr>
              <w:jc w:val="both"/>
              <w:rPr>
                <w:rFonts w:ascii="Times New Roman" w:hAnsi="Times New Roman" w:cs="Times New Roman"/>
              </w:rPr>
            </w:pPr>
          </w:p>
        </w:tc>
        <w:tc>
          <w:tcPr>
            <w:tcW w:w="806" w:type="pct"/>
            <w:tcBorders>
              <w:top w:val="single" w:sz="4" w:space="0" w:color="auto"/>
              <w:left w:val="single" w:sz="4" w:space="0" w:color="auto"/>
              <w:bottom w:val="single" w:sz="4" w:space="0" w:color="auto"/>
              <w:right w:val="single" w:sz="4" w:space="0" w:color="auto"/>
            </w:tcBorders>
          </w:tcPr>
          <w:p w14:paraId="25EBFE56" w14:textId="42C203BE" w:rsidR="00837428" w:rsidRPr="009E686F" w:rsidRDefault="00837428" w:rsidP="00837428">
            <w:pPr>
              <w:spacing w:after="0"/>
              <w:jc w:val="both"/>
              <w:rPr>
                <w:rFonts w:ascii="Times New Roman" w:hAnsi="Times New Roman" w:cs="Times New Roman"/>
                <w:lang w:val="it-CH"/>
              </w:rPr>
            </w:pPr>
            <w:r w:rsidRPr="009E686F">
              <w:rPr>
                <w:rFonts w:ascii="Times New Roman" w:hAnsi="Times New Roman" w:cs="Times New Roman"/>
                <w:lang w:val="it-CH"/>
              </w:rPr>
              <w:t>Se referă la lista pe care o publică ABE.</w:t>
            </w:r>
          </w:p>
        </w:tc>
      </w:tr>
      <w:tr w:rsidR="00837428" w:rsidRPr="009E686F" w14:paraId="5C428F1B" w14:textId="49CB2F27" w:rsidTr="00960C23">
        <w:tc>
          <w:tcPr>
            <w:tcW w:w="1890" w:type="pct"/>
            <w:tcBorders>
              <w:top w:val="single" w:sz="4" w:space="0" w:color="auto"/>
              <w:left w:val="single" w:sz="4" w:space="0" w:color="auto"/>
              <w:bottom w:val="single" w:sz="4" w:space="0" w:color="auto"/>
              <w:right w:val="single" w:sz="4" w:space="0" w:color="auto"/>
            </w:tcBorders>
          </w:tcPr>
          <w:p w14:paraId="4B14B3A1" w14:textId="1F7088CD" w:rsidR="00837428" w:rsidRPr="009E686F" w:rsidRDefault="00837428" w:rsidP="00837428">
            <w:pPr>
              <w:spacing w:after="0"/>
              <w:jc w:val="both"/>
              <w:rPr>
                <w:rFonts w:ascii="Times New Roman" w:hAnsi="Times New Roman" w:cs="Times New Roman"/>
                <w:lang w:val="it-CH"/>
              </w:rPr>
            </w:pPr>
            <w:r w:rsidRPr="009E686F">
              <w:rPr>
                <w:rFonts w:ascii="Times New Roman" w:hAnsi="Times New Roman" w:cs="Times New Roman"/>
                <w:lang w:val="it-CH"/>
              </w:rPr>
              <w:t>(5) Autoritățile competente notifică ABE cu privire la fiecare autorizație retrasă, comunicând de asemenea motivele care au stat la baza retragerii.</w:t>
            </w:r>
          </w:p>
        </w:tc>
        <w:tc>
          <w:tcPr>
            <w:tcW w:w="1834" w:type="pct"/>
            <w:tcBorders>
              <w:top w:val="single" w:sz="4" w:space="0" w:color="auto"/>
              <w:left w:val="single" w:sz="4" w:space="0" w:color="auto"/>
              <w:bottom w:val="single" w:sz="4" w:space="0" w:color="auto"/>
              <w:right w:val="single" w:sz="4" w:space="0" w:color="auto"/>
            </w:tcBorders>
          </w:tcPr>
          <w:p w14:paraId="4A894D5F" w14:textId="451A6577" w:rsidR="00837428" w:rsidRPr="009E686F" w:rsidRDefault="00837428" w:rsidP="00837428">
            <w:pPr>
              <w:spacing w:after="0"/>
              <w:jc w:val="both"/>
              <w:rPr>
                <w:rFonts w:ascii="Times New Roman" w:hAnsi="Times New Roman" w:cs="Times New Roman"/>
                <w:bCs/>
                <w:lang w:val="it-CH"/>
              </w:rPr>
            </w:pPr>
            <w:r w:rsidRPr="009E686F">
              <w:rPr>
                <w:rFonts w:ascii="Times New Roman" w:hAnsi="Times New Roman" w:cs="Times New Roman"/>
                <w:b/>
                <w:lang w:val="it-CH"/>
              </w:rPr>
              <w:t>Articolul 22 alin. (5)</w:t>
            </w:r>
          </w:p>
          <w:p w14:paraId="3EA6D2B2" w14:textId="4BCAAD78" w:rsidR="00837428" w:rsidRPr="009E686F" w:rsidRDefault="00837428" w:rsidP="00837428">
            <w:pPr>
              <w:spacing w:after="0"/>
              <w:jc w:val="both"/>
              <w:rPr>
                <w:rFonts w:ascii="Times New Roman" w:hAnsi="Times New Roman" w:cs="Times New Roman"/>
                <w:bCs/>
                <w:lang w:val="it-CH"/>
              </w:rPr>
            </w:pPr>
            <w:r w:rsidRPr="009E686F">
              <w:rPr>
                <w:rFonts w:ascii="Times New Roman" w:hAnsi="Times New Roman" w:cs="Times New Roman"/>
                <w:bCs/>
                <w:lang w:val="it-CH"/>
              </w:rPr>
              <w:t xml:space="preserve">(5) Hotărîrea Băncii Naţionale a Moldovei de retragere a </w:t>
            </w:r>
            <w:r w:rsidRPr="009E686F">
              <w:rPr>
                <w:rFonts w:ascii="Times New Roman" w:hAnsi="Times New Roman" w:cs="Times New Roman"/>
                <w:bCs/>
                <w:i/>
                <w:iCs/>
                <w:lang w:val="it-CH"/>
              </w:rPr>
              <w:t>autorizației</w:t>
            </w:r>
            <w:r w:rsidRPr="009E686F">
              <w:rPr>
                <w:rFonts w:ascii="Times New Roman" w:hAnsi="Times New Roman" w:cs="Times New Roman"/>
                <w:bCs/>
                <w:lang w:val="it-CH"/>
              </w:rPr>
              <w:t xml:space="preserve"> va cuprinde motivele de retragere a </w:t>
            </w:r>
            <w:r w:rsidRPr="009E686F">
              <w:rPr>
                <w:rFonts w:ascii="Times New Roman" w:hAnsi="Times New Roman" w:cs="Times New Roman"/>
                <w:bCs/>
                <w:i/>
                <w:iCs/>
                <w:lang w:val="it-CH"/>
              </w:rPr>
              <w:t>autorizației</w:t>
            </w:r>
            <w:r w:rsidRPr="009E686F">
              <w:rPr>
                <w:rFonts w:ascii="Times New Roman" w:hAnsi="Times New Roman" w:cs="Times New Roman"/>
                <w:bCs/>
                <w:lang w:val="it-CH"/>
              </w:rPr>
              <w:t xml:space="preserve">. Despre retragerea autorizației este notificată </w:t>
            </w:r>
            <w:r w:rsidRPr="009E686F">
              <w:rPr>
                <w:rFonts w:ascii="Times New Roman" w:hAnsi="Times New Roman" w:cs="Times New Roman"/>
                <w:bCs/>
                <w:i/>
                <w:iCs/>
                <w:lang w:val="it-CH"/>
              </w:rPr>
              <w:t>instituția de credit</w:t>
            </w:r>
            <w:r w:rsidRPr="009E686F">
              <w:rPr>
                <w:rFonts w:ascii="Times New Roman" w:hAnsi="Times New Roman" w:cs="Times New Roman"/>
                <w:bCs/>
                <w:lang w:val="it-CH"/>
              </w:rPr>
              <w:t xml:space="preserve"> respectivă, Fondul de garantare a depozitelor în sistemul bancar şi Serviciul Fiscal de Stat, </w:t>
            </w:r>
            <w:r w:rsidRPr="009E686F">
              <w:rPr>
                <w:rFonts w:ascii="Times New Roman" w:hAnsi="Times New Roman" w:cs="Times New Roman"/>
                <w:bCs/>
                <w:i/>
                <w:iCs/>
                <w:lang w:val="it-CH"/>
              </w:rPr>
              <w:t>precum și Autoritatea Bancară Europeană și autorităţile competente din statele membre gazdă în cazul retragerii autorizației unei instituții de credit, persoană juridică din Republica Moldova, care își desfăşoară activitatea pe teritoriul altor state membre, inclusiv cu privire la motivele și consecinţele retragerii autorizaţiei.</w:t>
            </w:r>
            <w:r w:rsidRPr="009E686F">
              <w:rPr>
                <w:rFonts w:ascii="Times New Roman" w:hAnsi="Times New Roman" w:cs="Times New Roman"/>
                <w:bCs/>
                <w:lang w:val="it-CH"/>
              </w:rPr>
              <w:t xml:space="preserve">  </w:t>
            </w:r>
          </w:p>
        </w:tc>
        <w:tc>
          <w:tcPr>
            <w:tcW w:w="470" w:type="pct"/>
            <w:tcBorders>
              <w:top w:val="single" w:sz="4" w:space="0" w:color="auto"/>
              <w:left w:val="single" w:sz="4" w:space="0" w:color="auto"/>
              <w:bottom w:val="single" w:sz="4" w:space="0" w:color="auto"/>
              <w:right w:val="single" w:sz="4" w:space="0" w:color="auto"/>
            </w:tcBorders>
          </w:tcPr>
          <w:p w14:paraId="776A1623" w14:textId="7BD2E020" w:rsidR="00837428" w:rsidRPr="009E686F" w:rsidRDefault="00837428" w:rsidP="00837428">
            <w:pPr>
              <w:jc w:val="both"/>
              <w:rPr>
                <w:rFonts w:ascii="Times New Roman" w:hAnsi="Times New Roman" w:cs="Times New Roman"/>
              </w:rPr>
            </w:pPr>
            <w:r w:rsidRPr="009E686F">
              <w:rPr>
                <w:rFonts w:ascii="Times New Roman" w:hAnsi="Times New Roman" w:cs="Times New Roman"/>
              </w:rPr>
              <w:t xml:space="preserve">Compatibil </w:t>
            </w:r>
          </w:p>
        </w:tc>
        <w:tc>
          <w:tcPr>
            <w:tcW w:w="806" w:type="pct"/>
            <w:tcBorders>
              <w:top w:val="single" w:sz="4" w:space="0" w:color="auto"/>
              <w:left w:val="single" w:sz="4" w:space="0" w:color="auto"/>
              <w:bottom w:val="single" w:sz="4" w:space="0" w:color="auto"/>
              <w:right w:val="single" w:sz="4" w:space="0" w:color="auto"/>
            </w:tcBorders>
          </w:tcPr>
          <w:p w14:paraId="1A4DBBCE" w14:textId="18784A82" w:rsidR="00451916" w:rsidRPr="009E686F" w:rsidRDefault="00451916" w:rsidP="00451916">
            <w:pPr>
              <w:tabs>
                <w:tab w:val="left" w:pos="884"/>
                <w:tab w:val="left" w:pos="1196"/>
              </w:tabs>
              <w:spacing w:after="0" w:line="240" w:lineRule="auto"/>
              <w:jc w:val="both"/>
              <w:rPr>
                <w:rFonts w:ascii="Times New Roman" w:hAnsi="Times New Roman"/>
                <w:lang w:val="it-CH"/>
              </w:rPr>
            </w:pPr>
            <w:r w:rsidRPr="009E686F">
              <w:rPr>
                <w:rFonts w:ascii="Times New Roman" w:hAnsi="Times New Roman"/>
                <w:lang w:val="it-CH"/>
              </w:rPr>
              <w:t>No</w:t>
            </w:r>
            <w:r w:rsidR="000D7350" w:rsidRPr="009E686F">
              <w:rPr>
                <w:rFonts w:ascii="Times New Roman" w:hAnsi="Times New Roman"/>
                <w:lang w:val="it-CH"/>
              </w:rPr>
              <w:t>rm</w:t>
            </w:r>
            <w:r w:rsidRPr="009E686F">
              <w:rPr>
                <w:rFonts w:ascii="Times New Roman" w:hAnsi="Times New Roman"/>
                <w:lang w:val="it-CH"/>
              </w:rPr>
              <w:t>ele aferente notificării ABE - în vigoare de la data aderării.</w:t>
            </w:r>
          </w:p>
          <w:p w14:paraId="20EDC245" w14:textId="24A065B1" w:rsidR="00837428" w:rsidRPr="009E686F" w:rsidRDefault="00837428" w:rsidP="00837428">
            <w:pPr>
              <w:spacing w:after="0"/>
              <w:jc w:val="both"/>
              <w:rPr>
                <w:rFonts w:ascii="Times New Roman" w:hAnsi="Times New Roman" w:cs="Times New Roman"/>
                <w:lang w:val="it-CH"/>
              </w:rPr>
            </w:pPr>
          </w:p>
        </w:tc>
      </w:tr>
      <w:tr w:rsidR="00837428" w:rsidRPr="009E686F" w14:paraId="0CBD08E0" w14:textId="3C6D1928" w:rsidTr="00960C23">
        <w:trPr>
          <w:trHeight w:val="3894"/>
        </w:trPr>
        <w:tc>
          <w:tcPr>
            <w:tcW w:w="1890" w:type="pct"/>
            <w:tcBorders>
              <w:top w:val="single" w:sz="4" w:space="0" w:color="auto"/>
              <w:left w:val="single" w:sz="4" w:space="0" w:color="auto"/>
              <w:right w:val="single" w:sz="4" w:space="0" w:color="auto"/>
            </w:tcBorders>
          </w:tcPr>
          <w:p w14:paraId="17431263" w14:textId="77777777" w:rsidR="00837428" w:rsidRPr="009E686F" w:rsidRDefault="00837428" w:rsidP="00837428">
            <w:pPr>
              <w:spacing w:after="0"/>
              <w:jc w:val="both"/>
              <w:rPr>
                <w:rFonts w:ascii="Times New Roman" w:hAnsi="Times New Roman" w:cs="Times New Roman"/>
                <w:i/>
                <w:lang w:val="it-CH"/>
              </w:rPr>
            </w:pPr>
            <w:r w:rsidRPr="009E686F">
              <w:rPr>
                <w:rFonts w:ascii="Times New Roman" w:hAnsi="Times New Roman" w:cs="Times New Roman"/>
                <w:i/>
                <w:lang w:val="it-CH"/>
              </w:rPr>
              <w:lastRenderedPageBreak/>
              <w:t xml:space="preserve">Articolul 21 </w:t>
            </w:r>
          </w:p>
          <w:p w14:paraId="753F0041" w14:textId="77777777" w:rsidR="00837428" w:rsidRPr="009E686F" w:rsidRDefault="00837428" w:rsidP="00837428">
            <w:pPr>
              <w:spacing w:after="0"/>
              <w:jc w:val="both"/>
              <w:rPr>
                <w:rFonts w:ascii="Times New Roman" w:hAnsi="Times New Roman" w:cs="Times New Roman"/>
                <w:lang w:val="it-CH"/>
              </w:rPr>
            </w:pPr>
            <w:r w:rsidRPr="009E686F">
              <w:rPr>
                <w:rFonts w:ascii="Times New Roman" w:hAnsi="Times New Roman" w:cs="Times New Roman"/>
                <w:lang w:val="it-CH"/>
              </w:rPr>
              <w:t>Derogări pentru instituțiile de credit afiliate în mod permanent unui organism central</w:t>
            </w:r>
          </w:p>
          <w:p w14:paraId="0CF9A58B" w14:textId="77777777" w:rsidR="00837428" w:rsidRPr="009E686F" w:rsidRDefault="00837428" w:rsidP="00837428">
            <w:pPr>
              <w:spacing w:after="0"/>
              <w:jc w:val="both"/>
              <w:rPr>
                <w:rFonts w:ascii="Times New Roman" w:hAnsi="Times New Roman" w:cs="Times New Roman"/>
                <w:lang w:val="it-CH"/>
              </w:rPr>
            </w:pPr>
            <w:r w:rsidRPr="009E686F">
              <w:rPr>
                <w:rFonts w:ascii="Times New Roman" w:hAnsi="Times New Roman" w:cs="Times New Roman"/>
                <w:lang w:val="it-CH"/>
              </w:rPr>
              <w:t>(1) Autoritățile competente pot institui derogări de la cerințele prevăzute la articolele 10 și 12 și la articolul 13 alineatul (1) din prezenta directivă, cu privire la o instituție de credit menționată la articolul 10 din Regulamentul (UE) nr. 575/2013, în conformitate cu condițiile stabilite în respectivul regulament.</w:t>
            </w:r>
          </w:p>
          <w:p w14:paraId="39668F98" w14:textId="399B39AF" w:rsidR="00837428" w:rsidRPr="009E686F" w:rsidRDefault="00837428" w:rsidP="00837428">
            <w:pPr>
              <w:spacing w:after="0"/>
              <w:jc w:val="both"/>
              <w:rPr>
                <w:rFonts w:ascii="Times New Roman" w:hAnsi="Times New Roman" w:cs="Times New Roman"/>
                <w:lang w:val="it-CH"/>
              </w:rPr>
            </w:pPr>
          </w:p>
        </w:tc>
        <w:tc>
          <w:tcPr>
            <w:tcW w:w="1834" w:type="pct"/>
            <w:tcBorders>
              <w:top w:val="single" w:sz="4" w:space="0" w:color="auto"/>
              <w:left w:val="single" w:sz="4" w:space="0" w:color="auto"/>
              <w:right w:val="single" w:sz="4" w:space="0" w:color="auto"/>
            </w:tcBorders>
          </w:tcPr>
          <w:p w14:paraId="3B6D1BAC" w14:textId="77777777" w:rsidR="00837428" w:rsidRPr="009E686F" w:rsidRDefault="00837428" w:rsidP="00837428">
            <w:pPr>
              <w:spacing w:after="0"/>
              <w:jc w:val="both"/>
              <w:rPr>
                <w:rFonts w:ascii="Times New Roman" w:hAnsi="Times New Roman" w:cs="Times New Roman"/>
                <w:b/>
                <w:lang w:val="it-CH"/>
              </w:rPr>
            </w:pPr>
          </w:p>
        </w:tc>
        <w:tc>
          <w:tcPr>
            <w:tcW w:w="470" w:type="pct"/>
            <w:tcBorders>
              <w:top w:val="single" w:sz="4" w:space="0" w:color="auto"/>
              <w:left w:val="single" w:sz="4" w:space="0" w:color="auto"/>
              <w:right w:val="single" w:sz="4" w:space="0" w:color="auto"/>
            </w:tcBorders>
          </w:tcPr>
          <w:p w14:paraId="22E72AAA" w14:textId="77777777" w:rsidR="00837428" w:rsidRPr="009E686F" w:rsidRDefault="00837428" w:rsidP="00837428">
            <w:pPr>
              <w:jc w:val="both"/>
              <w:rPr>
                <w:rFonts w:ascii="Times New Roman" w:hAnsi="Times New Roman" w:cs="Times New Roman"/>
              </w:rPr>
            </w:pPr>
            <w:r w:rsidRPr="009E686F">
              <w:rPr>
                <w:rFonts w:ascii="Times New Roman" w:hAnsi="Times New Roman" w:cs="Times New Roman"/>
              </w:rPr>
              <w:t>Norme UE netranspuse</w:t>
            </w:r>
          </w:p>
          <w:p w14:paraId="23998030" w14:textId="195C78C1" w:rsidR="00837428" w:rsidRPr="009E686F" w:rsidRDefault="00837428" w:rsidP="00837428">
            <w:pPr>
              <w:jc w:val="both"/>
              <w:rPr>
                <w:rFonts w:ascii="Times New Roman" w:hAnsi="Times New Roman" w:cs="Times New Roman"/>
                <w:lang w:val="it-CH"/>
              </w:rPr>
            </w:pPr>
            <w:r w:rsidRPr="009E686F">
              <w:rPr>
                <w:rFonts w:ascii="Times New Roman" w:hAnsi="Times New Roman" w:cs="Times New Roman"/>
              </w:rPr>
              <w:t xml:space="preserve"> </w:t>
            </w:r>
          </w:p>
        </w:tc>
        <w:tc>
          <w:tcPr>
            <w:tcW w:w="806" w:type="pct"/>
            <w:tcBorders>
              <w:top w:val="single" w:sz="4" w:space="0" w:color="auto"/>
              <w:left w:val="single" w:sz="4" w:space="0" w:color="auto"/>
              <w:right w:val="single" w:sz="4" w:space="0" w:color="auto"/>
            </w:tcBorders>
          </w:tcPr>
          <w:p w14:paraId="57F43DCB" w14:textId="77777777" w:rsidR="00837428" w:rsidRPr="009E686F" w:rsidRDefault="00837428" w:rsidP="00837428">
            <w:pPr>
              <w:spacing w:after="0"/>
              <w:jc w:val="both"/>
              <w:rPr>
                <w:rFonts w:ascii="Times New Roman" w:hAnsi="Times New Roman" w:cs="Times New Roman"/>
                <w:lang w:val="it-CH"/>
              </w:rPr>
            </w:pPr>
            <w:r w:rsidRPr="009E686F">
              <w:rPr>
                <w:rFonts w:ascii="Times New Roman" w:hAnsi="Times New Roman" w:cs="Times New Roman"/>
                <w:lang w:val="it-CH"/>
              </w:rPr>
              <w:t>Opțiune neexercitată.</w:t>
            </w:r>
          </w:p>
          <w:p w14:paraId="63CB63B5" w14:textId="4FF386A3" w:rsidR="00837428" w:rsidRPr="009E686F" w:rsidRDefault="00837428" w:rsidP="00837428">
            <w:pPr>
              <w:spacing w:after="0"/>
              <w:jc w:val="both"/>
              <w:rPr>
                <w:rFonts w:ascii="Times New Roman" w:hAnsi="Times New Roman" w:cs="Times New Roman"/>
                <w:lang w:val="it-CH"/>
              </w:rPr>
            </w:pPr>
            <w:r w:rsidRPr="009E686F">
              <w:rPr>
                <w:rFonts w:ascii="Times New Roman" w:hAnsi="Times New Roman" w:cs="Times New Roman"/>
                <w:lang w:val="it-CH"/>
              </w:rPr>
              <w:t>Nu există în Republica Moldova instituții de credit care sunt afiliate unui organism central.</w:t>
            </w:r>
          </w:p>
        </w:tc>
      </w:tr>
      <w:tr w:rsidR="00837428" w:rsidRPr="009E686F" w14:paraId="0F6ACA91" w14:textId="027CC3C5" w:rsidTr="00960C23">
        <w:tc>
          <w:tcPr>
            <w:tcW w:w="1890" w:type="pct"/>
            <w:tcBorders>
              <w:top w:val="single" w:sz="4" w:space="0" w:color="auto"/>
              <w:left w:val="single" w:sz="4" w:space="0" w:color="auto"/>
              <w:bottom w:val="single" w:sz="4" w:space="0" w:color="auto"/>
              <w:right w:val="single" w:sz="4" w:space="0" w:color="auto"/>
            </w:tcBorders>
          </w:tcPr>
          <w:p w14:paraId="6FB74C1D" w14:textId="77777777" w:rsidR="00837428" w:rsidRPr="009E686F" w:rsidRDefault="00837428" w:rsidP="00837428">
            <w:pPr>
              <w:spacing w:after="0"/>
              <w:jc w:val="both"/>
              <w:rPr>
                <w:rFonts w:ascii="Times New Roman" w:hAnsi="Times New Roman" w:cs="Times New Roman"/>
              </w:rPr>
            </w:pPr>
            <w:r w:rsidRPr="009E686F">
              <w:rPr>
                <w:rFonts w:ascii="Times New Roman" w:hAnsi="Times New Roman" w:cs="Times New Roman"/>
              </w:rPr>
              <w:t>Statele membre pot menține și utiliza dreptul intern în vigoare privind aplicarea unei astfel de derogări, dacă aceasta nu intră în conflict cu prezenta directivă și cu Regulamentul (UE) nr. 575/2013.</w:t>
            </w:r>
          </w:p>
        </w:tc>
        <w:tc>
          <w:tcPr>
            <w:tcW w:w="1834" w:type="pct"/>
            <w:tcBorders>
              <w:top w:val="single" w:sz="4" w:space="0" w:color="auto"/>
              <w:left w:val="single" w:sz="4" w:space="0" w:color="auto"/>
              <w:bottom w:val="single" w:sz="4" w:space="0" w:color="auto"/>
              <w:right w:val="single" w:sz="4" w:space="0" w:color="auto"/>
            </w:tcBorders>
          </w:tcPr>
          <w:p w14:paraId="3D6AF800" w14:textId="77777777" w:rsidR="00837428" w:rsidRPr="009E686F" w:rsidRDefault="00837428" w:rsidP="00837428">
            <w:pPr>
              <w:spacing w:after="0"/>
              <w:jc w:val="both"/>
              <w:rPr>
                <w:rFonts w:ascii="Times New Roman" w:hAnsi="Times New Roman" w:cs="Times New Roman"/>
                <w:b/>
              </w:rPr>
            </w:pPr>
          </w:p>
        </w:tc>
        <w:tc>
          <w:tcPr>
            <w:tcW w:w="470" w:type="pct"/>
            <w:tcBorders>
              <w:top w:val="single" w:sz="4" w:space="0" w:color="auto"/>
              <w:left w:val="single" w:sz="4" w:space="0" w:color="auto"/>
              <w:bottom w:val="single" w:sz="4" w:space="0" w:color="auto"/>
              <w:right w:val="single" w:sz="4" w:space="0" w:color="auto"/>
            </w:tcBorders>
          </w:tcPr>
          <w:p w14:paraId="70437FAE" w14:textId="6F194BA1" w:rsidR="00837428" w:rsidRPr="009E686F" w:rsidRDefault="00837428" w:rsidP="00837428">
            <w:pPr>
              <w:jc w:val="both"/>
              <w:rPr>
                <w:rFonts w:ascii="Times New Roman" w:hAnsi="Times New Roman" w:cs="Times New Roman"/>
              </w:rPr>
            </w:pPr>
            <w:r w:rsidRPr="009E686F">
              <w:rPr>
                <w:rFonts w:ascii="Times New Roman" w:hAnsi="Times New Roman" w:cs="Times New Roman"/>
              </w:rPr>
              <w:t>Norme UE neaplicabile</w:t>
            </w:r>
          </w:p>
          <w:p w14:paraId="0EB86642" w14:textId="6246311E" w:rsidR="00837428" w:rsidRPr="009E686F" w:rsidRDefault="00837428" w:rsidP="00837428">
            <w:pPr>
              <w:jc w:val="both"/>
              <w:rPr>
                <w:rFonts w:ascii="Times New Roman" w:hAnsi="Times New Roman" w:cs="Times New Roman"/>
              </w:rPr>
            </w:pPr>
          </w:p>
        </w:tc>
        <w:tc>
          <w:tcPr>
            <w:tcW w:w="806" w:type="pct"/>
            <w:tcBorders>
              <w:top w:val="single" w:sz="4" w:space="0" w:color="auto"/>
              <w:left w:val="single" w:sz="4" w:space="0" w:color="auto"/>
              <w:bottom w:val="single" w:sz="4" w:space="0" w:color="auto"/>
              <w:right w:val="single" w:sz="4" w:space="0" w:color="auto"/>
            </w:tcBorders>
          </w:tcPr>
          <w:p w14:paraId="4BB8E660" w14:textId="590ABC8E" w:rsidR="00837428" w:rsidRPr="009E686F" w:rsidRDefault="00837428" w:rsidP="00837428">
            <w:pPr>
              <w:spacing w:after="0"/>
              <w:jc w:val="both"/>
              <w:rPr>
                <w:rFonts w:ascii="Times New Roman" w:hAnsi="Times New Roman" w:cs="Times New Roman"/>
              </w:rPr>
            </w:pPr>
            <w:r w:rsidRPr="009E686F">
              <w:rPr>
                <w:rFonts w:ascii="Times New Roman" w:hAnsi="Times New Roman" w:cs="Times New Roman"/>
                <w:lang w:val="it-CH"/>
              </w:rPr>
              <w:t>Nu există în Republica Moldova instituții de credit care sunt afiliate unui organism central.</w:t>
            </w:r>
          </w:p>
        </w:tc>
      </w:tr>
      <w:tr w:rsidR="00837428" w:rsidRPr="009E686F" w14:paraId="20DF03CF" w14:textId="48602359" w:rsidTr="00960C23">
        <w:tc>
          <w:tcPr>
            <w:tcW w:w="1890" w:type="pct"/>
            <w:tcBorders>
              <w:top w:val="single" w:sz="4" w:space="0" w:color="auto"/>
              <w:left w:val="single" w:sz="4" w:space="0" w:color="auto"/>
              <w:bottom w:val="single" w:sz="4" w:space="0" w:color="auto"/>
              <w:right w:val="single" w:sz="4" w:space="0" w:color="auto"/>
            </w:tcBorders>
          </w:tcPr>
          <w:p w14:paraId="3D52FDC7" w14:textId="24CFAAD3" w:rsidR="00837428" w:rsidRPr="009E686F" w:rsidRDefault="00837428" w:rsidP="00837428">
            <w:pPr>
              <w:spacing w:after="0"/>
              <w:jc w:val="both"/>
              <w:rPr>
                <w:rFonts w:ascii="Times New Roman" w:hAnsi="Times New Roman" w:cs="Times New Roman"/>
                <w:lang w:val="it-CH"/>
              </w:rPr>
            </w:pPr>
            <w:r w:rsidRPr="009E686F">
              <w:rPr>
                <w:rFonts w:ascii="Times New Roman" w:hAnsi="Times New Roman" w:cs="Times New Roman"/>
                <w:lang w:val="it-CH"/>
              </w:rPr>
              <w:t>(2) În cazul în care autoritățile competente aplică o derogare menționată la alineatul (1), articolele 17, 33, 34 și 35, articolul 36 alineatele (1)-(3), articolele 39-46, titlul VII capitolul 2 secțiunea II și titlul VII capitolul 4 se aplică întregului compus din organismul central și instituțiile sale afiliate.</w:t>
            </w:r>
          </w:p>
        </w:tc>
        <w:tc>
          <w:tcPr>
            <w:tcW w:w="1834" w:type="pct"/>
            <w:tcBorders>
              <w:top w:val="single" w:sz="4" w:space="0" w:color="auto"/>
              <w:left w:val="single" w:sz="4" w:space="0" w:color="auto"/>
              <w:bottom w:val="single" w:sz="4" w:space="0" w:color="auto"/>
              <w:right w:val="single" w:sz="4" w:space="0" w:color="auto"/>
            </w:tcBorders>
          </w:tcPr>
          <w:p w14:paraId="7B31C05C" w14:textId="77777777" w:rsidR="00837428" w:rsidRPr="009E686F" w:rsidRDefault="00837428" w:rsidP="00837428">
            <w:pPr>
              <w:spacing w:after="0"/>
              <w:jc w:val="both"/>
              <w:rPr>
                <w:rFonts w:ascii="Times New Roman" w:hAnsi="Times New Roman" w:cs="Times New Roman"/>
                <w:b/>
                <w:lang w:val="it-CH"/>
              </w:rPr>
            </w:pPr>
          </w:p>
        </w:tc>
        <w:tc>
          <w:tcPr>
            <w:tcW w:w="470" w:type="pct"/>
            <w:tcBorders>
              <w:top w:val="single" w:sz="4" w:space="0" w:color="auto"/>
              <w:left w:val="single" w:sz="4" w:space="0" w:color="auto"/>
              <w:bottom w:val="single" w:sz="4" w:space="0" w:color="auto"/>
              <w:right w:val="single" w:sz="4" w:space="0" w:color="auto"/>
            </w:tcBorders>
          </w:tcPr>
          <w:p w14:paraId="3B5205F7" w14:textId="2272E6DA" w:rsidR="00837428" w:rsidRPr="009E686F" w:rsidRDefault="00837428" w:rsidP="00837428">
            <w:pPr>
              <w:jc w:val="both"/>
              <w:rPr>
                <w:rFonts w:ascii="Times New Roman" w:hAnsi="Times New Roman" w:cs="Times New Roman"/>
              </w:rPr>
            </w:pPr>
            <w:r w:rsidRPr="009E686F">
              <w:rPr>
                <w:rFonts w:ascii="Times New Roman" w:hAnsi="Times New Roman" w:cs="Times New Roman"/>
              </w:rPr>
              <w:t>Norme UE netranspuse</w:t>
            </w:r>
          </w:p>
          <w:p w14:paraId="1896C788" w14:textId="2668950A" w:rsidR="00837428" w:rsidRPr="009E686F" w:rsidRDefault="00837428" w:rsidP="00837428">
            <w:pPr>
              <w:jc w:val="both"/>
              <w:rPr>
                <w:rFonts w:ascii="Times New Roman" w:hAnsi="Times New Roman" w:cs="Times New Roman"/>
              </w:rPr>
            </w:pPr>
          </w:p>
        </w:tc>
        <w:tc>
          <w:tcPr>
            <w:tcW w:w="806" w:type="pct"/>
            <w:tcBorders>
              <w:top w:val="single" w:sz="4" w:space="0" w:color="auto"/>
              <w:left w:val="single" w:sz="4" w:space="0" w:color="auto"/>
              <w:bottom w:val="single" w:sz="4" w:space="0" w:color="auto"/>
              <w:right w:val="single" w:sz="4" w:space="0" w:color="auto"/>
            </w:tcBorders>
          </w:tcPr>
          <w:p w14:paraId="0BF07F90" w14:textId="77777777" w:rsidR="00837428" w:rsidRPr="009E686F" w:rsidRDefault="00837428" w:rsidP="00837428">
            <w:pPr>
              <w:spacing w:after="0"/>
              <w:jc w:val="both"/>
              <w:rPr>
                <w:rFonts w:ascii="Times New Roman" w:hAnsi="Times New Roman" w:cs="Times New Roman"/>
                <w:lang w:val="it-CH"/>
              </w:rPr>
            </w:pPr>
            <w:r w:rsidRPr="009E686F">
              <w:rPr>
                <w:rFonts w:ascii="Times New Roman" w:hAnsi="Times New Roman" w:cs="Times New Roman"/>
                <w:lang w:val="it-CH"/>
              </w:rPr>
              <w:t>Opțiune neexercitată.</w:t>
            </w:r>
          </w:p>
          <w:p w14:paraId="3EAD7E9C" w14:textId="245A60FA" w:rsidR="00837428" w:rsidRPr="009E686F" w:rsidRDefault="00837428" w:rsidP="00837428">
            <w:pPr>
              <w:spacing w:after="0"/>
              <w:jc w:val="both"/>
              <w:rPr>
                <w:rFonts w:ascii="Times New Roman" w:hAnsi="Times New Roman" w:cs="Times New Roman"/>
              </w:rPr>
            </w:pPr>
            <w:r w:rsidRPr="009E686F">
              <w:rPr>
                <w:rFonts w:ascii="Times New Roman" w:hAnsi="Times New Roman" w:cs="Times New Roman"/>
                <w:lang w:val="it-CH"/>
              </w:rPr>
              <w:t>Nu există în Republica Moldova instituții de credit care sunt afiliate unui organism central.</w:t>
            </w:r>
          </w:p>
        </w:tc>
      </w:tr>
      <w:tr w:rsidR="00837428" w:rsidRPr="009E686F" w14:paraId="3B775AEF" w14:textId="77777777" w:rsidTr="00960C23">
        <w:tc>
          <w:tcPr>
            <w:tcW w:w="1890" w:type="pct"/>
            <w:tcBorders>
              <w:top w:val="single" w:sz="4" w:space="0" w:color="auto"/>
              <w:left w:val="single" w:sz="4" w:space="0" w:color="auto"/>
              <w:bottom w:val="single" w:sz="4" w:space="0" w:color="auto"/>
              <w:right w:val="single" w:sz="4" w:space="0" w:color="auto"/>
            </w:tcBorders>
          </w:tcPr>
          <w:p w14:paraId="7F71E120" w14:textId="77777777" w:rsidR="00837428" w:rsidRPr="009E686F" w:rsidRDefault="00837428" w:rsidP="00837428">
            <w:pPr>
              <w:spacing w:after="0"/>
              <w:jc w:val="both"/>
              <w:rPr>
                <w:rFonts w:ascii="Times New Roman" w:hAnsi="Times New Roman" w:cs="Times New Roman"/>
                <w:i/>
                <w:iCs/>
              </w:rPr>
            </w:pPr>
            <w:r w:rsidRPr="009E686F">
              <w:rPr>
                <w:rFonts w:ascii="Times New Roman" w:hAnsi="Times New Roman" w:cs="Times New Roman"/>
                <w:i/>
                <w:iCs/>
              </w:rPr>
              <w:t xml:space="preserve">Articolul 21a </w:t>
            </w:r>
          </w:p>
          <w:p w14:paraId="6BF0E682" w14:textId="6D0BF98F" w:rsidR="00837428" w:rsidRPr="009E686F" w:rsidRDefault="00837428" w:rsidP="00837428">
            <w:pPr>
              <w:spacing w:after="0"/>
              <w:jc w:val="both"/>
              <w:rPr>
                <w:rFonts w:ascii="Times New Roman" w:hAnsi="Times New Roman" w:cs="Times New Roman"/>
              </w:rPr>
            </w:pPr>
            <w:r w:rsidRPr="009E686F">
              <w:rPr>
                <w:rFonts w:ascii="Times New Roman" w:hAnsi="Times New Roman" w:cs="Times New Roman"/>
              </w:rPr>
              <w:t>Aprobarea societăților financiare holding și a societăților financiare holding mixte</w:t>
            </w:r>
          </w:p>
        </w:tc>
        <w:tc>
          <w:tcPr>
            <w:tcW w:w="1834" w:type="pct"/>
            <w:tcBorders>
              <w:top w:val="single" w:sz="4" w:space="0" w:color="auto"/>
              <w:left w:val="single" w:sz="4" w:space="0" w:color="auto"/>
              <w:bottom w:val="single" w:sz="4" w:space="0" w:color="auto"/>
              <w:right w:val="single" w:sz="4" w:space="0" w:color="auto"/>
            </w:tcBorders>
          </w:tcPr>
          <w:p w14:paraId="2B26E00B" w14:textId="77777777" w:rsidR="00837428" w:rsidRPr="009E686F" w:rsidRDefault="00837428" w:rsidP="00837428">
            <w:pPr>
              <w:spacing w:after="0"/>
              <w:jc w:val="both"/>
              <w:rPr>
                <w:rFonts w:ascii="Times New Roman" w:hAnsi="Times New Roman" w:cs="Times New Roman"/>
                <w:i/>
                <w:iCs/>
              </w:rPr>
            </w:pPr>
            <w:r w:rsidRPr="009E686F">
              <w:rPr>
                <w:rFonts w:ascii="Times New Roman" w:hAnsi="Times New Roman" w:cs="Times New Roman"/>
                <w:b/>
                <w:bCs/>
                <w:i/>
                <w:iCs/>
              </w:rPr>
              <w:t>Articolul 116</w:t>
            </w:r>
            <w:r w:rsidRPr="009E686F">
              <w:rPr>
                <w:rFonts w:ascii="Times New Roman" w:hAnsi="Times New Roman" w:cs="Times New Roman"/>
                <w:b/>
                <w:bCs/>
                <w:i/>
                <w:iCs/>
                <w:vertAlign w:val="superscript"/>
              </w:rPr>
              <w:t>1</w:t>
            </w:r>
            <w:r w:rsidRPr="009E686F">
              <w:rPr>
                <w:rFonts w:ascii="Times New Roman" w:hAnsi="Times New Roman" w:cs="Times New Roman"/>
                <w:b/>
                <w:bCs/>
                <w:i/>
                <w:iCs/>
              </w:rPr>
              <w:t xml:space="preserve">. </w:t>
            </w:r>
            <w:r w:rsidRPr="009E686F">
              <w:rPr>
                <w:rFonts w:ascii="Times New Roman" w:hAnsi="Times New Roman" w:cs="Times New Roman"/>
                <w:i/>
                <w:iCs/>
              </w:rPr>
              <w:t>Aprobarea societăţilor financiare holding şi a societăţilor financiare holding mixte</w:t>
            </w:r>
          </w:p>
          <w:p w14:paraId="7A4727EA" w14:textId="4CBC893C" w:rsidR="00837428" w:rsidRPr="009E686F" w:rsidRDefault="00837428" w:rsidP="00837428">
            <w:pPr>
              <w:spacing w:after="0"/>
              <w:jc w:val="both"/>
              <w:rPr>
                <w:rFonts w:ascii="Times New Roman" w:hAnsi="Times New Roman" w:cs="Times New Roman"/>
                <w:bCs/>
                <w:lang w:val="it-CH"/>
              </w:rPr>
            </w:pPr>
          </w:p>
        </w:tc>
        <w:tc>
          <w:tcPr>
            <w:tcW w:w="470" w:type="pct"/>
            <w:tcBorders>
              <w:top w:val="single" w:sz="4" w:space="0" w:color="auto"/>
              <w:left w:val="single" w:sz="4" w:space="0" w:color="auto"/>
              <w:bottom w:val="single" w:sz="4" w:space="0" w:color="auto"/>
              <w:right w:val="single" w:sz="4" w:space="0" w:color="auto"/>
            </w:tcBorders>
          </w:tcPr>
          <w:p w14:paraId="16D3340C" w14:textId="12CD9C22" w:rsidR="00837428" w:rsidRPr="009E686F" w:rsidRDefault="00837428" w:rsidP="00837428">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3F806389" w14:textId="77777777" w:rsidR="00837428" w:rsidRPr="009E686F" w:rsidRDefault="00837428" w:rsidP="00837428">
            <w:pPr>
              <w:spacing w:after="0"/>
              <w:jc w:val="both"/>
              <w:rPr>
                <w:rFonts w:ascii="Times New Roman" w:hAnsi="Times New Roman" w:cs="Times New Roman"/>
              </w:rPr>
            </w:pPr>
          </w:p>
        </w:tc>
      </w:tr>
      <w:tr w:rsidR="00837428" w:rsidRPr="009E686F" w14:paraId="4059F209" w14:textId="77777777" w:rsidTr="00960C23">
        <w:tc>
          <w:tcPr>
            <w:tcW w:w="1890" w:type="pct"/>
            <w:tcBorders>
              <w:top w:val="single" w:sz="4" w:space="0" w:color="auto"/>
              <w:left w:val="single" w:sz="4" w:space="0" w:color="auto"/>
              <w:bottom w:val="single" w:sz="4" w:space="0" w:color="auto"/>
              <w:right w:val="single" w:sz="4" w:space="0" w:color="auto"/>
            </w:tcBorders>
          </w:tcPr>
          <w:p w14:paraId="6EFED092" w14:textId="77777777" w:rsidR="00837428" w:rsidRPr="009E686F" w:rsidRDefault="00837428" w:rsidP="00837428">
            <w:pPr>
              <w:spacing w:after="0"/>
              <w:jc w:val="both"/>
              <w:rPr>
                <w:rFonts w:ascii="Times New Roman" w:hAnsi="Times New Roman" w:cs="Times New Roman"/>
              </w:rPr>
            </w:pPr>
            <w:r w:rsidRPr="009E686F">
              <w:rPr>
                <w:rFonts w:ascii="Times New Roman" w:hAnsi="Times New Roman" w:cs="Times New Roman"/>
              </w:rPr>
              <w:t xml:space="preserve">(1) Societățile financiare holding-mamă dintr-un stat membru, societățile financiare holding mixte-mamă dintr-un stat membru, societățile financiare holding-mamă din UE și societățile financiare holding mixte-mamă din UE solicită aprobarea în conformitate cu prezentul articol. </w:t>
            </w:r>
          </w:p>
          <w:p w14:paraId="17FD17FB" w14:textId="0C3FAEAA" w:rsidR="00837428" w:rsidRPr="009E686F" w:rsidRDefault="00837428" w:rsidP="00837428">
            <w:pPr>
              <w:spacing w:after="0"/>
              <w:jc w:val="both"/>
              <w:rPr>
                <w:rFonts w:ascii="Times New Roman" w:hAnsi="Times New Roman" w:cs="Times New Roman"/>
              </w:rPr>
            </w:pPr>
          </w:p>
        </w:tc>
        <w:tc>
          <w:tcPr>
            <w:tcW w:w="1834" w:type="pct"/>
            <w:tcBorders>
              <w:top w:val="single" w:sz="4" w:space="0" w:color="auto"/>
              <w:left w:val="single" w:sz="4" w:space="0" w:color="auto"/>
              <w:bottom w:val="single" w:sz="4" w:space="0" w:color="auto"/>
              <w:right w:val="single" w:sz="4" w:space="0" w:color="auto"/>
            </w:tcBorders>
          </w:tcPr>
          <w:p w14:paraId="50FE9607" w14:textId="65C1C6D7" w:rsidR="00837428" w:rsidRPr="009E686F" w:rsidRDefault="00837428" w:rsidP="00837428">
            <w:pPr>
              <w:spacing w:after="0"/>
              <w:jc w:val="both"/>
              <w:rPr>
                <w:rFonts w:ascii="Times New Roman" w:hAnsi="Times New Roman" w:cs="Times New Roman"/>
                <w:b/>
                <w:i/>
                <w:iCs/>
                <w:lang w:val="ro-MD"/>
              </w:rPr>
            </w:pPr>
            <w:r w:rsidRPr="009E686F">
              <w:rPr>
                <w:rFonts w:ascii="Times New Roman" w:eastAsia="Aptos" w:hAnsi="Times New Roman" w:cs="Times New Roman"/>
                <w:i/>
                <w:iCs/>
                <w:kern w:val="2"/>
                <w:lang w:val="ro-MD"/>
              </w:rPr>
              <w:lastRenderedPageBreak/>
              <w:t xml:space="preserve">(1) În scopul asigurării conformităţii cu cerinţele prudenţiale pe bază consolidată, societăţile financiare holding-mamă din Republica Moldova, persoane juridice din Republica Moldova, societăţile financiare holding mixte-mamă din Republica Moldova, persoane juridice din </w:t>
            </w:r>
            <w:r w:rsidRPr="009E686F">
              <w:rPr>
                <w:rFonts w:ascii="Times New Roman" w:eastAsia="Aptos" w:hAnsi="Times New Roman" w:cs="Times New Roman"/>
                <w:i/>
                <w:iCs/>
                <w:kern w:val="2"/>
                <w:lang w:val="ro-MD"/>
              </w:rPr>
              <w:lastRenderedPageBreak/>
              <w:t>Republica Moldova, societăţile financiare holding-mamă din UE, persoane juridice din Republica Moldova, şi societăţile financiare holding mixte-mamă din UE, persoane juridice din Republica Moldova, trebuie să obțină aprobarea Băncii Naţionale a Moldovei, atunci când aceasta are calitatea de supraveghetor consolidant, în conformitate cu prezenta secţiune şi cu actele normative emise de Banca Naţională a Moldovei.</w:t>
            </w:r>
          </w:p>
        </w:tc>
        <w:tc>
          <w:tcPr>
            <w:tcW w:w="470" w:type="pct"/>
            <w:tcBorders>
              <w:top w:val="single" w:sz="4" w:space="0" w:color="auto"/>
              <w:left w:val="single" w:sz="4" w:space="0" w:color="auto"/>
              <w:bottom w:val="single" w:sz="4" w:space="0" w:color="auto"/>
              <w:right w:val="single" w:sz="4" w:space="0" w:color="auto"/>
            </w:tcBorders>
          </w:tcPr>
          <w:p w14:paraId="51CE5AA4" w14:textId="5806871D" w:rsidR="00837428" w:rsidRPr="009E686F" w:rsidRDefault="00837428" w:rsidP="00837428">
            <w:pPr>
              <w:jc w:val="both"/>
              <w:rPr>
                <w:rFonts w:ascii="Times New Roman" w:hAnsi="Times New Roman" w:cs="Times New Roman"/>
              </w:rPr>
            </w:pPr>
            <w:r w:rsidRPr="009E686F">
              <w:rPr>
                <w:rFonts w:ascii="Times New Roman" w:hAnsi="Times New Roman" w:cs="Times New Roman"/>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74782615" w14:textId="77777777" w:rsidR="00837428" w:rsidRPr="009E686F" w:rsidRDefault="00837428" w:rsidP="00837428">
            <w:pPr>
              <w:spacing w:after="0"/>
              <w:jc w:val="both"/>
              <w:rPr>
                <w:rFonts w:ascii="Times New Roman" w:hAnsi="Times New Roman" w:cs="Times New Roman"/>
              </w:rPr>
            </w:pPr>
          </w:p>
        </w:tc>
      </w:tr>
      <w:tr w:rsidR="00837428" w:rsidRPr="009E686F" w14:paraId="1D388608" w14:textId="77777777" w:rsidTr="00960C23">
        <w:tc>
          <w:tcPr>
            <w:tcW w:w="1890" w:type="pct"/>
            <w:tcBorders>
              <w:top w:val="single" w:sz="4" w:space="0" w:color="auto"/>
              <w:left w:val="single" w:sz="4" w:space="0" w:color="auto"/>
              <w:bottom w:val="single" w:sz="4" w:space="0" w:color="auto"/>
              <w:right w:val="single" w:sz="4" w:space="0" w:color="auto"/>
            </w:tcBorders>
          </w:tcPr>
          <w:p w14:paraId="534CA596" w14:textId="2B3C1C40" w:rsidR="00837428" w:rsidRPr="009E686F" w:rsidRDefault="00837428" w:rsidP="00837428">
            <w:pPr>
              <w:spacing w:after="0"/>
              <w:jc w:val="both"/>
              <w:rPr>
                <w:rFonts w:ascii="Times New Roman" w:hAnsi="Times New Roman" w:cs="Times New Roman"/>
              </w:rPr>
            </w:pPr>
            <w:r w:rsidRPr="009E686F">
              <w:rPr>
                <w:rFonts w:ascii="Times New Roman" w:hAnsi="Times New Roman" w:cs="Times New Roman"/>
              </w:rPr>
              <w:t>Alte societăți financiare holding sau societăți financiare holding mixte solicită aprobarea în conformitate cu prezentul articol atunci când au obligația să respecte prezenta directivă sau Regulamentul (UE) nr. 575/2013 pe bază subconsolidată sau atunci când sunt desemnate ca fiind responsabile cu asigurarea respectării de către grup a cerințelor prudențiale pe bază consolidată, astfel cum se menționează la alineatul (4) litera (c) de la prezentul articol.</w:t>
            </w:r>
          </w:p>
        </w:tc>
        <w:tc>
          <w:tcPr>
            <w:tcW w:w="1834" w:type="pct"/>
            <w:tcBorders>
              <w:top w:val="single" w:sz="4" w:space="0" w:color="auto"/>
              <w:left w:val="single" w:sz="4" w:space="0" w:color="auto"/>
              <w:bottom w:val="single" w:sz="4" w:space="0" w:color="auto"/>
              <w:right w:val="single" w:sz="4" w:space="0" w:color="auto"/>
            </w:tcBorders>
          </w:tcPr>
          <w:p w14:paraId="4E37761C" w14:textId="77DD4DE4" w:rsidR="00837428" w:rsidRPr="009E686F" w:rsidRDefault="00837428" w:rsidP="00837428">
            <w:pPr>
              <w:spacing w:after="0" w:line="278" w:lineRule="auto"/>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(2) Alte societăţi financiare holding sau societăţi financiare holding mixte decât cele prevăzute la alin. (1) trebuie să solicite aprobarea Băncii Națională a Moldovei în conformitate cu prezentul articol, atunci când au obligaţia să respecte prezenta lege sau actele normative emise în aplicarea acesteia pe bază subconsolidată sau în cazul în care sunt desemnate ca fiind responsabile cu asigurarea respectării de către grup a cerințelor prudențiale pe bază consolidată, astfel cum se menționează la art. 116</w:t>
            </w:r>
            <w:r w:rsidRPr="009E686F">
              <w:rPr>
                <w:rFonts w:ascii="Times New Roman" w:eastAsia="Aptos" w:hAnsi="Times New Roman" w:cs="Times New Roman"/>
                <w:i/>
                <w:iCs/>
                <w:kern w:val="2"/>
                <w:vertAlign w:val="superscript"/>
                <w:lang w:val="ro-MD"/>
              </w:rPr>
              <w:t>2</w:t>
            </w:r>
            <w:r w:rsidRPr="009E686F">
              <w:rPr>
                <w:rFonts w:ascii="Times New Roman" w:eastAsia="Aptos" w:hAnsi="Times New Roman" w:cs="Times New Roman"/>
                <w:i/>
                <w:iCs/>
                <w:kern w:val="2"/>
                <w:lang w:val="ro-MD"/>
              </w:rPr>
              <w:t xml:space="preserve"> alin. (1) lit. c).</w:t>
            </w:r>
          </w:p>
        </w:tc>
        <w:tc>
          <w:tcPr>
            <w:tcW w:w="470" w:type="pct"/>
            <w:tcBorders>
              <w:top w:val="single" w:sz="4" w:space="0" w:color="auto"/>
              <w:left w:val="single" w:sz="4" w:space="0" w:color="auto"/>
              <w:bottom w:val="single" w:sz="4" w:space="0" w:color="auto"/>
              <w:right w:val="single" w:sz="4" w:space="0" w:color="auto"/>
            </w:tcBorders>
          </w:tcPr>
          <w:p w14:paraId="40BAEFA1" w14:textId="16612D4F" w:rsidR="00837428" w:rsidRPr="009E686F" w:rsidRDefault="00837428" w:rsidP="00837428">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5E87DD10" w14:textId="77777777" w:rsidR="00837428" w:rsidRPr="009E686F" w:rsidRDefault="00837428" w:rsidP="00837428">
            <w:pPr>
              <w:spacing w:after="0"/>
              <w:jc w:val="both"/>
              <w:rPr>
                <w:rFonts w:ascii="Times New Roman" w:hAnsi="Times New Roman" w:cs="Times New Roman"/>
              </w:rPr>
            </w:pPr>
          </w:p>
        </w:tc>
      </w:tr>
      <w:tr w:rsidR="00837428" w:rsidRPr="009E686F" w14:paraId="684009F7" w14:textId="77777777" w:rsidTr="00960C23">
        <w:tc>
          <w:tcPr>
            <w:tcW w:w="1890" w:type="pct"/>
            <w:tcBorders>
              <w:top w:val="single" w:sz="4" w:space="0" w:color="auto"/>
              <w:left w:val="single" w:sz="4" w:space="0" w:color="auto"/>
              <w:bottom w:val="single" w:sz="4" w:space="0" w:color="auto"/>
              <w:right w:val="single" w:sz="4" w:space="0" w:color="auto"/>
            </w:tcBorders>
          </w:tcPr>
          <w:p w14:paraId="75668CB7" w14:textId="5915302C" w:rsidR="00837428" w:rsidRPr="009E686F" w:rsidRDefault="00837428" w:rsidP="00837428">
            <w:pPr>
              <w:spacing w:after="0"/>
              <w:jc w:val="both"/>
              <w:rPr>
                <w:rFonts w:ascii="Times New Roman" w:hAnsi="Times New Roman" w:cs="Times New Roman"/>
              </w:rPr>
            </w:pPr>
            <w:r w:rsidRPr="009E686F">
              <w:rPr>
                <w:rFonts w:ascii="Times New Roman" w:hAnsi="Times New Roman" w:cs="Times New Roman"/>
              </w:rPr>
              <w:t>Periodic și, în orice caz, cel puțin anual, autoritățile competente examinează întreprinderile-mamă ale unei instituții pentru a verifica dacă instituția respectivă, sau entitatea care solicită o autorizație în temeiul articolului 8 sau entitatea desemnată ca fiind responsabilă cu asigurarea respectării de către grup a cerințelor prudențiale pe bază consolidată («entitatea desemnată») a identificat în mod corect orice întreprindere care respectă criteriile pentru a fi considerată societate financiară holding mamă dintr-un stat membru, societate financiară holding mixtă mama dintr-un stat membru, societate financiară holding mamă din UE sau societate financiară holding mixtă mamă din UE.</w:t>
            </w:r>
          </w:p>
        </w:tc>
        <w:tc>
          <w:tcPr>
            <w:tcW w:w="1834" w:type="pct"/>
            <w:tcBorders>
              <w:top w:val="single" w:sz="4" w:space="0" w:color="auto"/>
              <w:left w:val="single" w:sz="4" w:space="0" w:color="auto"/>
              <w:bottom w:val="single" w:sz="4" w:space="0" w:color="auto"/>
              <w:right w:val="single" w:sz="4" w:space="0" w:color="auto"/>
            </w:tcBorders>
          </w:tcPr>
          <w:p w14:paraId="5092E9C0" w14:textId="16A38F64" w:rsidR="00837428" w:rsidRPr="009E686F" w:rsidRDefault="00837428" w:rsidP="00837428">
            <w:pPr>
              <w:spacing w:after="0"/>
              <w:jc w:val="both"/>
              <w:rPr>
                <w:rFonts w:ascii="Times New Roman" w:hAnsi="Times New Roman" w:cs="Times New Roman"/>
                <w:b/>
                <w:i/>
                <w:iCs/>
                <w:lang w:val="ro-MD"/>
              </w:rPr>
            </w:pPr>
            <w:r w:rsidRPr="009E686F">
              <w:rPr>
                <w:rFonts w:ascii="Times New Roman" w:eastAsia="Aptos" w:hAnsi="Times New Roman" w:cs="Times New Roman"/>
                <w:i/>
                <w:iCs/>
                <w:kern w:val="2"/>
                <w:lang w:val="ro-MD"/>
              </w:rPr>
              <w:t>(3) Banca Națională a Moldovei examinează anual întreprinderile-mamă ale unei instituții de credit pentru a verifica dacă instituția de credit respectivă, sau entitatea care solicită o autorizație în temeiul art. 16 sau entitatea desemnată ca fiind responsabilă cu asigurarea respectării de către grup a cerințelor prudențiale pe bază consolidată (entitatea desemnată) a identificat în mod corect orice întreprindere care respectă criteriile pentru a fi considerată societate financiară holding mamă dintr-un stat membru, societate financiară holding mixtă mamă dintr-un stat membru, societate financiară holding mamă din UE sau societate financiară holding mixtă mamă din UE.</w:t>
            </w:r>
          </w:p>
        </w:tc>
        <w:tc>
          <w:tcPr>
            <w:tcW w:w="470" w:type="pct"/>
            <w:tcBorders>
              <w:top w:val="single" w:sz="4" w:space="0" w:color="auto"/>
              <w:left w:val="single" w:sz="4" w:space="0" w:color="auto"/>
              <w:bottom w:val="single" w:sz="4" w:space="0" w:color="auto"/>
              <w:right w:val="single" w:sz="4" w:space="0" w:color="auto"/>
            </w:tcBorders>
          </w:tcPr>
          <w:p w14:paraId="2F1E4D22" w14:textId="1742143E" w:rsidR="00837428" w:rsidRPr="009E686F" w:rsidRDefault="00837428" w:rsidP="00837428">
            <w:pPr>
              <w:jc w:val="both"/>
              <w:rPr>
                <w:rFonts w:ascii="Times New Roman" w:hAnsi="Times New Roman" w:cs="Times New Roman"/>
                <w:lang w:val="ro-MD"/>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3881D7C9" w14:textId="77777777" w:rsidR="00837428" w:rsidRPr="009E686F" w:rsidRDefault="00837428" w:rsidP="00837428">
            <w:pPr>
              <w:spacing w:after="0"/>
              <w:jc w:val="both"/>
              <w:rPr>
                <w:rFonts w:ascii="Times New Roman" w:hAnsi="Times New Roman" w:cs="Times New Roman"/>
                <w:lang w:val="ro-MD"/>
              </w:rPr>
            </w:pPr>
          </w:p>
        </w:tc>
      </w:tr>
      <w:tr w:rsidR="00837428" w:rsidRPr="009E686F" w14:paraId="29F76827" w14:textId="77777777" w:rsidTr="00960C23">
        <w:tc>
          <w:tcPr>
            <w:tcW w:w="1890" w:type="pct"/>
            <w:tcBorders>
              <w:top w:val="single" w:sz="4" w:space="0" w:color="auto"/>
              <w:left w:val="single" w:sz="4" w:space="0" w:color="auto"/>
              <w:bottom w:val="single" w:sz="4" w:space="0" w:color="auto"/>
              <w:right w:val="single" w:sz="4" w:space="0" w:color="auto"/>
            </w:tcBorders>
          </w:tcPr>
          <w:p w14:paraId="2FE79F2C" w14:textId="5288A1BF" w:rsidR="00837428" w:rsidRPr="009E686F" w:rsidRDefault="00837428" w:rsidP="00837428">
            <w:pPr>
              <w:spacing w:after="0"/>
              <w:jc w:val="both"/>
              <w:rPr>
                <w:rFonts w:ascii="Times New Roman" w:hAnsi="Times New Roman" w:cs="Times New Roman"/>
                <w:lang w:val="it-CH"/>
              </w:rPr>
            </w:pPr>
            <w:r w:rsidRPr="009E686F">
              <w:rPr>
                <w:rFonts w:ascii="Times New Roman" w:hAnsi="Times New Roman" w:cs="Times New Roman"/>
                <w:lang w:val="it-CH"/>
              </w:rPr>
              <w:lastRenderedPageBreak/>
              <w:t>În sensul celui de al doilea paragraf de la prezentul alineat, în cazul în care întreprinderile-mamă sunt situate în alte state membre decât statul membru în care este stabilită instituția, entitatea care solicită o autorizație în temeiul articolului 8 sau entitatea desemnată, autoritățile competente ale statelor membre respective cooperează îndeaproape pentru a efectua examinarea.</w:t>
            </w:r>
          </w:p>
        </w:tc>
        <w:tc>
          <w:tcPr>
            <w:tcW w:w="1834" w:type="pct"/>
            <w:tcBorders>
              <w:top w:val="single" w:sz="4" w:space="0" w:color="auto"/>
              <w:left w:val="single" w:sz="4" w:space="0" w:color="auto"/>
              <w:bottom w:val="single" w:sz="4" w:space="0" w:color="auto"/>
              <w:right w:val="single" w:sz="4" w:space="0" w:color="auto"/>
            </w:tcBorders>
          </w:tcPr>
          <w:p w14:paraId="11E55877" w14:textId="46514F6E" w:rsidR="00837428" w:rsidRPr="009E686F" w:rsidRDefault="00837428" w:rsidP="00837428">
            <w:pPr>
              <w:spacing w:after="0"/>
              <w:jc w:val="both"/>
              <w:rPr>
                <w:rFonts w:ascii="Times New Roman" w:hAnsi="Times New Roman" w:cs="Times New Roman"/>
                <w:b/>
                <w:i/>
                <w:iCs/>
                <w:lang w:val="it-CH"/>
              </w:rPr>
            </w:pPr>
            <w:r w:rsidRPr="009E686F">
              <w:rPr>
                <w:rFonts w:ascii="Times New Roman" w:eastAsia="Aptos" w:hAnsi="Times New Roman" w:cs="Times New Roman"/>
                <w:i/>
                <w:iCs/>
                <w:kern w:val="2"/>
                <w:lang w:val="ro-MD"/>
              </w:rPr>
              <w:t>(4) Banca Națională a Moldovei cooperează cu autoritatea competentă a întreprinderilor-mamă care sunt situate în alte state membre, a entității care solicită o autorizație în temeiul art. 16 sau o entitate desemnată în scopul examinării menționate la alin. (3).</w:t>
            </w:r>
          </w:p>
        </w:tc>
        <w:tc>
          <w:tcPr>
            <w:tcW w:w="470" w:type="pct"/>
            <w:tcBorders>
              <w:top w:val="single" w:sz="4" w:space="0" w:color="auto"/>
              <w:left w:val="single" w:sz="4" w:space="0" w:color="auto"/>
              <w:bottom w:val="single" w:sz="4" w:space="0" w:color="auto"/>
              <w:right w:val="single" w:sz="4" w:space="0" w:color="auto"/>
            </w:tcBorders>
          </w:tcPr>
          <w:p w14:paraId="267F910B" w14:textId="1D18D5DA" w:rsidR="00837428" w:rsidRPr="009E686F" w:rsidRDefault="00837428" w:rsidP="00837428">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06EC153D" w14:textId="77777777" w:rsidR="00837428" w:rsidRPr="009E686F" w:rsidRDefault="00837428" w:rsidP="00837428">
            <w:pPr>
              <w:spacing w:after="0"/>
              <w:jc w:val="both"/>
              <w:rPr>
                <w:rFonts w:ascii="Times New Roman" w:hAnsi="Times New Roman" w:cs="Times New Roman"/>
              </w:rPr>
            </w:pPr>
          </w:p>
        </w:tc>
      </w:tr>
      <w:tr w:rsidR="00837428" w:rsidRPr="009E686F" w14:paraId="59E37762" w14:textId="77777777" w:rsidTr="00960C23">
        <w:tc>
          <w:tcPr>
            <w:tcW w:w="1890" w:type="pct"/>
            <w:tcBorders>
              <w:top w:val="single" w:sz="4" w:space="0" w:color="auto"/>
              <w:left w:val="single" w:sz="4" w:space="0" w:color="auto"/>
              <w:bottom w:val="single" w:sz="4" w:space="0" w:color="auto"/>
              <w:right w:val="single" w:sz="4" w:space="0" w:color="auto"/>
            </w:tcBorders>
          </w:tcPr>
          <w:p w14:paraId="21CFF7B5" w14:textId="4B426AD9" w:rsidR="00837428" w:rsidRPr="009E686F" w:rsidRDefault="00837428" w:rsidP="00837428">
            <w:pPr>
              <w:spacing w:after="0"/>
              <w:jc w:val="both"/>
              <w:rPr>
                <w:rFonts w:ascii="Times New Roman" w:hAnsi="Times New Roman" w:cs="Times New Roman"/>
                <w:lang w:val="pt-BR"/>
              </w:rPr>
            </w:pPr>
            <w:r w:rsidRPr="009E686F">
              <w:rPr>
                <w:rFonts w:ascii="Times New Roman" w:hAnsi="Times New Roman" w:cs="Times New Roman"/>
              </w:rPr>
              <w:t xml:space="preserve">Autoritățile competente publică pe site-urile lor web și actualizează anual o listă a societăților financiare holding și a societăților financiare holding mixte cărora li s-a acordat aprobarea sau care au fost exceptate de la aprobare în statul membru în conformitate cu prezentul articol. </w:t>
            </w:r>
            <w:r w:rsidRPr="009E686F">
              <w:rPr>
                <w:rFonts w:ascii="Times New Roman" w:hAnsi="Times New Roman" w:cs="Times New Roman"/>
                <w:lang w:val="pt-BR"/>
              </w:rPr>
              <w:t>În cazul în care s-a acordat o exceptare de la aprobare, lista indică, de asemenea, entitatea desemnată.</w:t>
            </w:r>
          </w:p>
        </w:tc>
        <w:tc>
          <w:tcPr>
            <w:tcW w:w="1834" w:type="pct"/>
            <w:tcBorders>
              <w:top w:val="single" w:sz="4" w:space="0" w:color="auto"/>
              <w:left w:val="single" w:sz="4" w:space="0" w:color="auto"/>
              <w:bottom w:val="single" w:sz="4" w:space="0" w:color="auto"/>
              <w:right w:val="single" w:sz="4" w:space="0" w:color="auto"/>
            </w:tcBorders>
          </w:tcPr>
          <w:p w14:paraId="13CA0CAB" w14:textId="62858139" w:rsidR="00837428" w:rsidRPr="009E686F" w:rsidRDefault="00837428" w:rsidP="00837428">
            <w:pPr>
              <w:spacing w:after="0"/>
              <w:jc w:val="both"/>
              <w:rPr>
                <w:rFonts w:ascii="Times New Roman" w:hAnsi="Times New Roman" w:cs="Times New Roman"/>
                <w:b/>
                <w:bCs/>
                <w:lang w:val="pt-BR"/>
              </w:rPr>
            </w:pPr>
            <w:r w:rsidRPr="009E686F">
              <w:rPr>
                <w:rFonts w:ascii="Times New Roman" w:hAnsi="Times New Roman" w:cs="Times New Roman"/>
                <w:b/>
                <w:bCs/>
                <w:lang w:val="pt-BR"/>
              </w:rPr>
              <w:t>Articolul 116</w:t>
            </w:r>
            <w:r w:rsidRPr="009E686F">
              <w:rPr>
                <w:rFonts w:ascii="Times New Roman" w:hAnsi="Times New Roman" w:cs="Times New Roman"/>
                <w:b/>
                <w:bCs/>
                <w:vertAlign w:val="superscript"/>
                <w:lang w:val="pt-BR"/>
              </w:rPr>
              <w:t>4</w:t>
            </w:r>
            <w:r w:rsidRPr="009E686F">
              <w:rPr>
                <w:rFonts w:ascii="Times New Roman" w:hAnsi="Times New Roman" w:cs="Times New Roman"/>
                <w:b/>
                <w:bCs/>
                <w:lang w:val="pt-BR"/>
              </w:rPr>
              <w:t xml:space="preserve"> alineatul (3)</w:t>
            </w:r>
          </w:p>
          <w:p w14:paraId="416934C2" w14:textId="68E95F8E" w:rsidR="00837428" w:rsidRPr="009E686F" w:rsidRDefault="00837428" w:rsidP="00837428">
            <w:pPr>
              <w:spacing w:after="0"/>
              <w:jc w:val="both"/>
              <w:rPr>
                <w:rFonts w:ascii="Times New Roman" w:hAnsi="Times New Roman" w:cs="Times New Roman"/>
                <w:b/>
                <w:i/>
                <w:iCs/>
                <w:lang w:val="pt-BR"/>
              </w:rPr>
            </w:pPr>
            <w:r w:rsidRPr="009E686F">
              <w:rPr>
                <w:rFonts w:ascii="Times New Roman" w:eastAsia="Aptos" w:hAnsi="Times New Roman" w:cs="Times New Roman"/>
                <w:i/>
                <w:iCs/>
                <w:kern w:val="2"/>
                <w:lang w:val="ro-MD"/>
              </w:rPr>
              <w:t>(3) Banca Națională a Moldovei publică pe pagina</w:t>
            </w:r>
            <w:r w:rsidR="00A151C0" w:rsidRPr="009E686F">
              <w:rPr>
                <w:rFonts w:ascii="Times New Roman" w:eastAsia="Aptos" w:hAnsi="Times New Roman" w:cs="Times New Roman"/>
                <w:i/>
                <w:iCs/>
                <w:kern w:val="2"/>
                <w:lang w:val="ro-MD"/>
              </w:rPr>
              <w:t xml:space="preserve"> sa </w:t>
            </w:r>
            <w:r w:rsidRPr="009E686F">
              <w:rPr>
                <w:rFonts w:ascii="Times New Roman" w:eastAsia="Aptos" w:hAnsi="Times New Roman" w:cs="Times New Roman"/>
                <w:i/>
                <w:iCs/>
                <w:kern w:val="2"/>
                <w:lang w:val="ro-MD"/>
              </w:rPr>
              <w:t xml:space="preserve">web oficială și actualizează anual o listă a societăților financiare holding și a societăților financiare holding mixte cărora li s-a acordat aprobarea sau care au fost exceptate de la aprobare în conformitate cu </w:t>
            </w:r>
            <w:r w:rsidR="00A151C0" w:rsidRPr="009E686F">
              <w:rPr>
                <w:rFonts w:ascii="Times New Roman" w:eastAsia="Aptos" w:hAnsi="Times New Roman" w:cs="Times New Roman"/>
                <w:i/>
                <w:iCs/>
                <w:kern w:val="2"/>
                <w:lang w:val="ro-MD"/>
              </w:rPr>
              <w:t>art. 116</w:t>
            </w:r>
            <w:r w:rsidR="00A151C0" w:rsidRPr="009E686F">
              <w:rPr>
                <w:rFonts w:ascii="Times New Roman" w:eastAsia="Aptos" w:hAnsi="Times New Roman" w:cs="Times New Roman"/>
                <w:i/>
                <w:iCs/>
                <w:kern w:val="2"/>
                <w:vertAlign w:val="superscript"/>
                <w:lang w:val="ro-MD"/>
              </w:rPr>
              <w:t>2</w:t>
            </w:r>
            <w:r w:rsidR="00A151C0" w:rsidRPr="009E686F">
              <w:rPr>
                <w:rFonts w:ascii="Times New Roman" w:eastAsia="Aptos" w:hAnsi="Times New Roman" w:cs="Times New Roman"/>
                <w:i/>
                <w:iCs/>
                <w:kern w:val="2"/>
                <w:lang w:val="ro-MD"/>
              </w:rPr>
              <w:t xml:space="preserve"> alin. (1)</w:t>
            </w:r>
            <w:r w:rsidRPr="009E686F">
              <w:rPr>
                <w:rFonts w:ascii="Times New Roman" w:eastAsia="Aptos" w:hAnsi="Times New Roman" w:cs="Times New Roman"/>
                <w:i/>
                <w:iCs/>
                <w:kern w:val="2"/>
                <w:lang w:val="ro-MD"/>
              </w:rPr>
              <w:t>. În cazul în care s-a acordat o exceptare de la aprobare, lista indică, de asemenea, entitatea desemnată.</w:t>
            </w:r>
          </w:p>
        </w:tc>
        <w:tc>
          <w:tcPr>
            <w:tcW w:w="470" w:type="pct"/>
            <w:tcBorders>
              <w:top w:val="single" w:sz="4" w:space="0" w:color="auto"/>
              <w:left w:val="single" w:sz="4" w:space="0" w:color="auto"/>
              <w:bottom w:val="single" w:sz="4" w:space="0" w:color="auto"/>
              <w:right w:val="single" w:sz="4" w:space="0" w:color="auto"/>
            </w:tcBorders>
          </w:tcPr>
          <w:p w14:paraId="7C19DF73" w14:textId="77777777" w:rsidR="00837428" w:rsidRPr="009E686F" w:rsidRDefault="00837428" w:rsidP="00837428">
            <w:pPr>
              <w:jc w:val="both"/>
              <w:rPr>
                <w:rFonts w:ascii="Times New Roman" w:hAnsi="Times New Roman" w:cs="Times New Roman"/>
                <w:lang w:val="pt-BR"/>
              </w:rPr>
            </w:pPr>
          </w:p>
        </w:tc>
        <w:tc>
          <w:tcPr>
            <w:tcW w:w="806" w:type="pct"/>
            <w:tcBorders>
              <w:top w:val="single" w:sz="4" w:space="0" w:color="auto"/>
              <w:left w:val="single" w:sz="4" w:space="0" w:color="auto"/>
              <w:bottom w:val="single" w:sz="4" w:space="0" w:color="auto"/>
              <w:right w:val="single" w:sz="4" w:space="0" w:color="auto"/>
            </w:tcBorders>
          </w:tcPr>
          <w:p w14:paraId="079E2AFA" w14:textId="77777777" w:rsidR="00837428" w:rsidRPr="009E686F" w:rsidRDefault="00837428" w:rsidP="00837428">
            <w:pPr>
              <w:spacing w:after="0"/>
              <w:jc w:val="both"/>
              <w:rPr>
                <w:rFonts w:ascii="Times New Roman" w:hAnsi="Times New Roman" w:cs="Times New Roman"/>
                <w:lang w:val="pt-BR"/>
              </w:rPr>
            </w:pPr>
          </w:p>
        </w:tc>
      </w:tr>
      <w:tr w:rsidR="00837428" w:rsidRPr="009E686F" w14:paraId="3E028735" w14:textId="77777777" w:rsidTr="00960C23">
        <w:tc>
          <w:tcPr>
            <w:tcW w:w="1890" w:type="pct"/>
            <w:tcBorders>
              <w:top w:val="single" w:sz="4" w:space="0" w:color="auto"/>
              <w:left w:val="single" w:sz="4" w:space="0" w:color="auto"/>
              <w:bottom w:val="single" w:sz="4" w:space="0" w:color="auto"/>
              <w:right w:val="single" w:sz="4" w:space="0" w:color="auto"/>
            </w:tcBorders>
          </w:tcPr>
          <w:p w14:paraId="640A5AAB" w14:textId="068F4550" w:rsidR="00837428" w:rsidRPr="009E686F" w:rsidRDefault="00837428" w:rsidP="00837428">
            <w:pPr>
              <w:spacing w:after="0"/>
              <w:jc w:val="both"/>
              <w:rPr>
                <w:rFonts w:ascii="Times New Roman" w:hAnsi="Times New Roman" w:cs="Times New Roman"/>
                <w:lang w:val="it-CH"/>
              </w:rPr>
            </w:pPr>
            <w:r w:rsidRPr="009E686F">
              <w:rPr>
                <w:rFonts w:ascii="Times New Roman" w:hAnsi="Times New Roman" w:cs="Times New Roman"/>
                <w:lang w:val="it-CH"/>
              </w:rPr>
              <w:t>(2) În sensul alineatului (1), societățile financiare holding și societățile financiare holding mixte menționate la respectivul alineat transmit supraveghetorului consolidant și, atunci când acesta este diferit, autorității competente din statul membru în care sunt stabilite următoarele informații:</w:t>
            </w:r>
          </w:p>
        </w:tc>
        <w:tc>
          <w:tcPr>
            <w:tcW w:w="1834" w:type="pct"/>
            <w:tcBorders>
              <w:top w:val="single" w:sz="4" w:space="0" w:color="auto"/>
              <w:left w:val="single" w:sz="4" w:space="0" w:color="auto"/>
              <w:bottom w:val="single" w:sz="4" w:space="0" w:color="auto"/>
              <w:right w:val="single" w:sz="4" w:space="0" w:color="auto"/>
            </w:tcBorders>
          </w:tcPr>
          <w:p w14:paraId="5608C584" w14:textId="08DE5524" w:rsidR="00837428" w:rsidRPr="009E686F" w:rsidRDefault="00837428" w:rsidP="00837428">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b/>
                <w:bCs/>
                <w:kern w:val="2"/>
                <w:lang w:val="ro-MD"/>
              </w:rPr>
              <w:t>Articolul 116</w:t>
            </w:r>
            <w:r w:rsidRPr="009E686F">
              <w:rPr>
                <w:rFonts w:ascii="Times New Roman" w:eastAsia="Aptos" w:hAnsi="Times New Roman" w:cs="Times New Roman"/>
                <w:b/>
                <w:bCs/>
                <w:kern w:val="2"/>
                <w:vertAlign w:val="superscript"/>
                <w:lang w:val="ro-MD"/>
              </w:rPr>
              <w:t>1</w:t>
            </w:r>
            <w:r w:rsidRPr="009E686F">
              <w:rPr>
                <w:rFonts w:ascii="Times New Roman" w:eastAsia="Aptos" w:hAnsi="Times New Roman" w:cs="Times New Roman"/>
                <w:b/>
                <w:bCs/>
                <w:kern w:val="2"/>
                <w:lang w:val="ro-MD"/>
              </w:rPr>
              <w:t xml:space="preserve"> alin. (5)</w:t>
            </w:r>
          </w:p>
          <w:p w14:paraId="59CDDE2C" w14:textId="5C03C11F" w:rsidR="00837428" w:rsidRPr="009E686F" w:rsidRDefault="00837428" w:rsidP="00837428">
            <w:pPr>
              <w:spacing w:after="0" w:line="278" w:lineRule="auto"/>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(5) În vederea solicitării aprobării în conformitate cu alin. (1)</w:t>
            </w:r>
            <w:r w:rsidR="00345062" w:rsidRPr="009E686F">
              <w:rPr>
                <w:rFonts w:ascii="Times New Roman" w:eastAsia="Aptos" w:hAnsi="Times New Roman" w:cs="Times New Roman"/>
                <w:i/>
                <w:iCs/>
                <w:kern w:val="2"/>
                <w:lang w:val="ro-MD"/>
              </w:rPr>
              <w:t xml:space="preserve"> și </w:t>
            </w:r>
            <w:r w:rsidRPr="009E686F">
              <w:rPr>
                <w:rFonts w:ascii="Times New Roman" w:eastAsia="Aptos" w:hAnsi="Times New Roman" w:cs="Times New Roman"/>
                <w:i/>
                <w:iCs/>
                <w:kern w:val="2"/>
                <w:lang w:val="ro-MD"/>
              </w:rPr>
              <w:t>(2), societățile financiare holding și societățile financiare holding mixte, transmit Băncii Naționale a Moldovei, atunci când aceasta are calitate de supraveghetor consolidant sau, după caz,  calitatea de autoritate competentă a acestora, următoarele informații:</w:t>
            </w:r>
          </w:p>
          <w:p w14:paraId="07AE0BC5" w14:textId="77777777" w:rsidR="00837428" w:rsidRPr="009E686F" w:rsidRDefault="00837428" w:rsidP="00837428">
            <w:pPr>
              <w:spacing w:after="0"/>
              <w:jc w:val="both"/>
              <w:rPr>
                <w:rFonts w:ascii="Times New Roman" w:hAnsi="Times New Roman" w:cs="Times New Roman"/>
                <w:b/>
                <w:lang w:val="ro-MD"/>
              </w:rPr>
            </w:pPr>
          </w:p>
        </w:tc>
        <w:tc>
          <w:tcPr>
            <w:tcW w:w="470" w:type="pct"/>
            <w:tcBorders>
              <w:top w:val="single" w:sz="4" w:space="0" w:color="auto"/>
              <w:left w:val="single" w:sz="4" w:space="0" w:color="auto"/>
              <w:bottom w:val="single" w:sz="4" w:space="0" w:color="auto"/>
              <w:right w:val="single" w:sz="4" w:space="0" w:color="auto"/>
            </w:tcBorders>
          </w:tcPr>
          <w:p w14:paraId="3B064C20" w14:textId="2A9CA8E5" w:rsidR="00837428" w:rsidRPr="009E686F" w:rsidRDefault="00837428" w:rsidP="00837428">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7BA32D01" w14:textId="77777777" w:rsidR="00837428" w:rsidRPr="009E686F" w:rsidRDefault="00837428" w:rsidP="00837428">
            <w:pPr>
              <w:spacing w:after="0"/>
              <w:jc w:val="both"/>
              <w:rPr>
                <w:rFonts w:ascii="Times New Roman" w:hAnsi="Times New Roman" w:cs="Times New Roman"/>
              </w:rPr>
            </w:pPr>
          </w:p>
        </w:tc>
      </w:tr>
      <w:tr w:rsidR="00837428" w:rsidRPr="009E686F" w14:paraId="79063847" w14:textId="77777777" w:rsidTr="00960C23">
        <w:tc>
          <w:tcPr>
            <w:tcW w:w="1890" w:type="pct"/>
            <w:tcBorders>
              <w:top w:val="single" w:sz="4" w:space="0" w:color="auto"/>
              <w:left w:val="single" w:sz="4" w:space="0" w:color="auto"/>
              <w:bottom w:val="single" w:sz="4" w:space="0" w:color="auto"/>
              <w:right w:val="single" w:sz="4" w:space="0" w:color="auto"/>
            </w:tcBorders>
          </w:tcPr>
          <w:p w14:paraId="11F9AC0A" w14:textId="1C3018C1" w:rsidR="00837428" w:rsidRPr="009E686F" w:rsidRDefault="00837428" w:rsidP="00837428">
            <w:pPr>
              <w:spacing w:after="0"/>
              <w:jc w:val="both"/>
              <w:rPr>
                <w:rFonts w:ascii="Times New Roman" w:hAnsi="Times New Roman" w:cs="Times New Roman"/>
              </w:rPr>
            </w:pPr>
            <w:r w:rsidRPr="009E686F">
              <w:rPr>
                <w:rFonts w:ascii="Times New Roman" w:hAnsi="Times New Roman" w:cs="Times New Roman"/>
              </w:rPr>
              <w:t>(a) organizarea structurală a grupului din care face parte societatea financiară holding sau societatea financiară holding mixtă, cu indicarea clară a filialelor și, dacă este cazul, a întreprinderilor-mamă ale acesteia, precum și a situării și a tipului de activitate desfășurată de fiecare dintre entitățile grupului;</w:t>
            </w:r>
          </w:p>
        </w:tc>
        <w:tc>
          <w:tcPr>
            <w:tcW w:w="1834" w:type="pct"/>
            <w:tcBorders>
              <w:top w:val="single" w:sz="4" w:space="0" w:color="auto"/>
              <w:left w:val="single" w:sz="4" w:space="0" w:color="auto"/>
              <w:bottom w:val="single" w:sz="4" w:space="0" w:color="auto"/>
              <w:right w:val="single" w:sz="4" w:space="0" w:color="auto"/>
            </w:tcBorders>
          </w:tcPr>
          <w:p w14:paraId="37039048" w14:textId="77777777" w:rsidR="00837428" w:rsidRPr="009E686F" w:rsidRDefault="00837428" w:rsidP="00837428">
            <w:pPr>
              <w:spacing w:after="0" w:line="278" w:lineRule="auto"/>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a) organizarea structurală a grupului din care face parte societatea financiară holding sau societatea financiară holding mixtă, cu indicarea clară a filialelor și, dacă este cazul, a întreprinderilor-mamă ale acesteia, precum și a situării și a tipului de activitate desfășurată de fiecare dintre entităţile grupului;</w:t>
            </w:r>
          </w:p>
          <w:p w14:paraId="52A9B5FE" w14:textId="77777777" w:rsidR="00837428" w:rsidRPr="009E686F" w:rsidRDefault="00837428" w:rsidP="00837428">
            <w:pPr>
              <w:spacing w:after="0"/>
              <w:jc w:val="both"/>
              <w:rPr>
                <w:rFonts w:ascii="Times New Roman" w:hAnsi="Times New Roman" w:cs="Times New Roman"/>
                <w:b/>
                <w:i/>
                <w:iCs/>
              </w:rPr>
            </w:pPr>
          </w:p>
        </w:tc>
        <w:tc>
          <w:tcPr>
            <w:tcW w:w="470" w:type="pct"/>
            <w:tcBorders>
              <w:top w:val="single" w:sz="4" w:space="0" w:color="auto"/>
              <w:left w:val="single" w:sz="4" w:space="0" w:color="auto"/>
              <w:bottom w:val="single" w:sz="4" w:space="0" w:color="auto"/>
              <w:right w:val="single" w:sz="4" w:space="0" w:color="auto"/>
            </w:tcBorders>
          </w:tcPr>
          <w:p w14:paraId="53B7C616" w14:textId="75A2E354" w:rsidR="00837428" w:rsidRPr="009E686F" w:rsidRDefault="00837428" w:rsidP="00837428">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4C371AA6" w14:textId="77777777" w:rsidR="00837428" w:rsidRPr="009E686F" w:rsidRDefault="00837428" w:rsidP="00837428">
            <w:pPr>
              <w:spacing w:after="0"/>
              <w:jc w:val="both"/>
              <w:rPr>
                <w:rFonts w:ascii="Times New Roman" w:hAnsi="Times New Roman" w:cs="Times New Roman"/>
              </w:rPr>
            </w:pPr>
          </w:p>
        </w:tc>
      </w:tr>
      <w:tr w:rsidR="00837428" w:rsidRPr="009E686F" w14:paraId="02E21248" w14:textId="77777777" w:rsidTr="00960C23">
        <w:trPr>
          <w:trHeight w:val="1657"/>
        </w:trPr>
        <w:tc>
          <w:tcPr>
            <w:tcW w:w="1890" w:type="pct"/>
            <w:tcBorders>
              <w:top w:val="single" w:sz="4" w:space="0" w:color="auto"/>
              <w:left w:val="single" w:sz="4" w:space="0" w:color="auto"/>
              <w:bottom w:val="single" w:sz="4" w:space="0" w:color="auto"/>
              <w:right w:val="single" w:sz="4" w:space="0" w:color="auto"/>
            </w:tcBorders>
          </w:tcPr>
          <w:p w14:paraId="19886EDA" w14:textId="5AFBAF38" w:rsidR="00837428" w:rsidRPr="009E686F" w:rsidRDefault="00837428" w:rsidP="00837428">
            <w:pPr>
              <w:spacing w:after="0"/>
              <w:jc w:val="both"/>
              <w:rPr>
                <w:rFonts w:ascii="Times New Roman" w:hAnsi="Times New Roman" w:cs="Times New Roman"/>
              </w:rPr>
            </w:pPr>
            <w:r w:rsidRPr="009E686F">
              <w:rPr>
                <w:rFonts w:ascii="Times New Roman" w:hAnsi="Times New Roman" w:cs="Times New Roman"/>
              </w:rPr>
              <w:lastRenderedPageBreak/>
              <w:t>(b) informații privind numirea a cel puțin două persoane care conduc efectiv societatea financiară holding sau societatea financiară holding mixtă și privind respectarea criteriilor și cerințelor prevăzute la articolul 91 alineatul (1);</w:t>
            </w:r>
          </w:p>
        </w:tc>
        <w:tc>
          <w:tcPr>
            <w:tcW w:w="1834" w:type="pct"/>
            <w:tcBorders>
              <w:top w:val="single" w:sz="4" w:space="0" w:color="auto"/>
              <w:left w:val="single" w:sz="4" w:space="0" w:color="auto"/>
              <w:bottom w:val="single" w:sz="4" w:space="0" w:color="auto"/>
              <w:right w:val="single" w:sz="4" w:space="0" w:color="auto"/>
            </w:tcBorders>
          </w:tcPr>
          <w:p w14:paraId="31B90A58" w14:textId="07A9CC5E" w:rsidR="00837428" w:rsidRPr="009E686F" w:rsidRDefault="00837428" w:rsidP="00837428">
            <w:pPr>
              <w:spacing w:after="0" w:line="278" w:lineRule="auto"/>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b) informații privind numirea a cel puțin 2 persoane care conduc efectiv societatea financiară holding sau societatea financiară holding mixtă și privind respectarea criteriilor și cerințelor prevăzute la art. 43 alin. (1) și (8);</w:t>
            </w:r>
          </w:p>
          <w:p w14:paraId="120ECC70" w14:textId="77777777" w:rsidR="00837428" w:rsidRPr="009E686F" w:rsidRDefault="00837428" w:rsidP="00837428">
            <w:pPr>
              <w:spacing w:after="0"/>
              <w:jc w:val="both"/>
              <w:rPr>
                <w:rFonts w:ascii="Times New Roman" w:hAnsi="Times New Roman" w:cs="Times New Roman"/>
                <w:b/>
                <w:i/>
                <w:iCs/>
              </w:rPr>
            </w:pPr>
          </w:p>
        </w:tc>
        <w:tc>
          <w:tcPr>
            <w:tcW w:w="470" w:type="pct"/>
            <w:tcBorders>
              <w:top w:val="single" w:sz="4" w:space="0" w:color="auto"/>
              <w:left w:val="single" w:sz="4" w:space="0" w:color="auto"/>
              <w:bottom w:val="single" w:sz="4" w:space="0" w:color="auto"/>
              <w:right w:val="single" w:sz="4" w:space="0" w:color="auto"/>
            </w:tcBorders>
          </w:tcPr>
          <w:p w14:paraId="5CC5A593" w14:textId="4F4A010F" w:rsidR="00837428" w:rsidRPr="009E686F" w:rsidRDefault="00837428" w:rsidP="00837428">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256DDDC8" w14:textId="77777777" w:rsidR="00837428" w:rsidRPr="009E686F" w:rsidRDefault="00837428" w:rsidP="00837428">
            <w:pPr>
              <w:spacing w:after="0"/>
              <w:jc w:val="both"/>
              <w:rPr>
                <w:rFonts w:ascii="Times New Roman" w:hAnsi="Times New Roman" w:cs="Times New Roman"/>
              </w:rPr>
            </w:pPr>
          </w:p>
        </w:tc>
      </w:tr>
      <w:tr w:rsidR="00837428" w:rsidRPr="009E686F" w14:paraId="7B1510B1" w14:textId="77777777" w:rsidTr="00960C23">
        <w:tc>
          <w:tcPr>
            <w:tcW w:w="1890" w:type="pct"/>
            <w:tcBorders>
              <w:top w:val="single" w:sz="4" w:space="0" w:color="auto"/>
              <w:left w:val="single" w:sz="4" w:space="0" w:color="auto"/>
              <w:bottom w:val="single" w:sz="4" w:space="0" w:color="auto"/>
              <w:right w:val="single" w:sz="4" w:space="0" w:color="auto"/>
            </w:tcBorders>
          </w:tcPr>
          <w:p w14:paraId="66B65573" w14:textId="6B242EDC" w:rsidR="00837428" w:rsidRPr="009E686F" w:rsidRDefault="00837428" w:rsidP="00837428">
            <w:pPr>
              <w:spacing w:after="0"/>
              <w:jc w:val="both"/>
              <w:rPr>
                <w:rFonts w:ascii="Times New Roman" w:hAnsi="Times New Roman" w:cs="Times New Roman"/>
              </w:rPr>
            </w:pPr>
            <w:r w:rsidRPr="009E686F">
              <w:rPr>
                <w:rFonts w:ascii="Times New Roman" w:hAnsi="Times New Roman" w:cs="Times New Roman"/>
              </w:rPr>
              <w:t>(c) informații privind respectarea criteriilor prevăzute la articolul 14 privind acționarii și asociații, atunci când societatea financiară holding sau societatea financiară holding mixtă are ca filială o instituție de credit;</w:t>
            </w:r>
          </w:p>
        </w:tc>
        <w:tc>
          <w:tcPr>
            <w:tcW w:w="1834" w:type="pct"/>
            <w:tcBorders>
              <w:top w:val="single" w:sz="4" w:space="0" w:color="auto"/>
              <w:left w:val="single" w:sz="4" w:space="0" w:color="auto"/>
              <w:bottom w:val="single" w:sz="4" w:space="0" w:color="auto"/>
              <w:right w:val="single" w:sz="4" w:space="0" w:color="auto"/>
            </w:tcBorders>
          </w:tcPr>
          <w:p w14:paraId="19B044BF" w14:textId="70190B3D" w:rsidR="00837428" w:rsidRPr="009E686F" w:rsidRDefault="00837428" w:rsidP="00837428">
            <w:pPr>
              <w:spacing w:after="0" w:line="278" w:lineRule="auto"/>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 xml:space="preserve">c) informaţii privind respectarea criteriilor prevăzute la articolul 12 privind acţionarii și asociaţii, atunci când societatea financiară holding sau societatea financiară holding mixtă are ca filială o instituție de credit; </w:t>
            </w:r>
          </w:p>
          <w:p w14:paraId="1C6CB6CB" w14:textId="77777777" w:rsidR="00837428" w:rsidRPr="009E686F" w:rsidRDefault="00837428" w:rsidP="00837428">
            <w:pPr>
              <w:spacing w:after="0"/>
              <w:jc w:val="both"/>
              <w:rPr>
                <w:rFonts w:ascii="Times New Roman" w:hAnsi="Times New Roman" w:cs="Times New Roman"/>
                <w:b/>
                <w:i/>
                <w:iCs/>
                <w:lang w:val="ro-MD"/>
              </w:rPr>
            </w:pPr>
          </w:p>
        </w:tc>
        <w:tc>
          <w:tcPr>
            <w:tcW w:w="470" w:type="pct"/>
            <w:tcBorders>
              <w:top w:val="single" w:sz="4" w:space="0" w:color="auto"/>
              <w:left w:val="single" w:sz="4" w:space="0" w:color="auto"/>
              <w:bottom w:val="single" w:sz="4" w:space="0" w:color="auto"/>
              <w:right w:val="single" w:sz="4" w:space="0" w:color="auto"/>
            </w:tcBorders>
          </w:tcPr>
          <w:p w14:paraId="11AD44B8" w14:textId="60F1FDE0" w:rsidR="00837428" w:rsidRPr="009E686F" w:rsidRDefault="00837428" w:rsidP="00837428">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3F31F872" w14:textId="77777777" w:rsidR="00837428" w:rsidRPr="009E686F" w:rsidRDefault="00837428" w:rsidP="00837428">
            <w:pPr>
              <w:spacing w:after="0"/>
              <w:jc w:val="both"/>
              <w:rPr>
                <w:rFonts w:ascii="Times New Roman" w:hAnsi="Times New Roman" w:cs="Times New Roman"/>
              </w:rPr>
            </w:pPr>
          </w:p>
        </w:tc>
      </w:tr>
      <w:tr w:rsidR="00837428" w:rsidRPr="009E686F" w14:paraId="478E4974" w14:textId="77777777" w:rsidTr="00960C23">
        <w:tc>
          <w:tcPr>
            <w:tcW w:w="1890" w:type="pct"/>
            <w:tcBorders>
              <w:top w:val="single" w:sz="4" w:space="0" w:color="auto"/>
              <w:left w:val="single" w:sz="4" w:space="0" w:color="auto"/>
              <w:bottom w:val="single" w:sz="4" w:space="0" w:color="auto"/>
              <w:right w:val="single" w:sz="4" w:space="0" w:color="auto"/>
            </w:tcBorders>
          </w:tcPr>
          <w:p w14:paraId="58399E9D" w14:textId="24B01D13" w:rsidR="00837428" w:rsidRPr="009E686F" w:rsidRDefault="00837428" w:rsidP="00837428">
            <w:pPr>
              <w:spacing w:after="0"/>
              <w:jc w:val="both"/>
              <w:rPr>
                <w:rFonts w:ascii="Times New Roman" w:hAnsi="Times New Roman" w:cs="Times New Roman"/>
                <w:lang w:val="it-CH"/>
              </w:rPr>
            </w:pPr>
            <w:r w:rsidRPr="009E686F">
              <w:rPr>
                <w:rFonts w:ascii="Times New Roman" w:hAnsi="Times New Roman" w:cs="Times New Roman"/>
                <w:lang w:val="it-CH"/>
              </w:rPr>
              <w:t>(d) organizarea internă și repartizarea sarcinilor în cadrul grupului;</w:t>
            </w:r>
          </w:p>
        </w:tc>
        <w:tc>
          <w:tcPr>
            <w:tcW w:w="1834" w:type="pct"/>
            <w:tcBorders>
              <w:top w:val="single" w:sz="4" w:space="0" w:color="auto"/>
              <w:left w:val="single" w:sz="4" w:space="0" w:color="auto"/>
              <w:bottom w:val="single" w:sz="4" w:space="0" w:color="auto"/>
              <w:right w:val="single" w:sz="4" w:space="0" w:color="auto"/>
            </w:tcBorders>
          </w:tcPr>
          <w:p w14:paraId="0310F952" w14:textId="77777777" w:rsidR="00837428" w:rsidRPr="009E686F" w:rsidRDefault="00837428" w:rsidP="00837428">
            <w:pPr>
              <w:spacing w:after="0" w:line="278" w:lineRule="auto"/>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 xml:space="preserve">d) organizarea internă și repartizarea sarcinilor în cadrul grupului; </w:t>
            </w:r>
          </w:p>
          <w:p w14:paraId="0E4913E5" w14:textId="77777777" w:rsidR="00837428" w:rsidRPr="009E686F" w:rsidRDefault="00837428" w:rsidP="00837428">
            <w:pPr>
              <w:spacing w:after="0"/>
              <w:jc w:val="both"/>
              <w:rPr>
                <w:rFonts w:ascii="Times New Roman" w:hAnsi="Times New Roman" w:cs="Times New Roman"/>
                <w:b/>
                <w:i/>
                <w:iCs/>
                <w:lang w:val="it-CH"/>
              </w:rPr>
            </w:pPr>
          </w:p>
        </w:tc>
        <w:tc>
          <w:tcPr>
            <w:tcW w:w="470" w:type="pct"/>
            <w:tcBorders>
              <w:top w:val="single" w:sz="4" w:space="0" w:color="auto"/>
              <w:left w:val="single" w:sz="4" w:space="0" w:color="auto"/>
              <w:bottom w:val="single" w:sz="4" w:space="0" w:color="auto"/>
              <w:right w:val="single" w:sz="4" w:space="0" w:color="auto"/>
            </w:tcBorders>
          </w:tcPr>
          <w:p w14:paraId="248CF928" w14:textId="1BA4BF6F" w:rsidR="00837428" w:rsidRPr="009E686F" w:rsidRDefault="00837428" w:rsidP="00837428">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4F3F3984" w14:textId="77777777" w:rsidR="00837428" w:rsidRPr="009E686F" w:rsidRDefault="00837428" w:rsidP="00837428">
            <w:pPr>
              <w:spacing w:after="0"/>
              <w:jc w:val="both"/>
              <w:rPr>
                <w:rFonts w:ascii="Times New Roman" w:hAnsi="Times New Roman" w:cs="Times New Roman"/>
              </w:rPr>
            </w:pPr>
          </w:p>
        </w:tc>
      </w:tr>
      <w:tr w:rsidR="00837428" w:rsidRPr="009E686F" w14:paraId="51A74210" w14:textId="77777777" w:rsidTr="00960C23">
        <w:tc>
          <w:tcPr>
            <w:tcW w:w="1890" w:type="pct"/>
            <w:tcBorders>
              <w:top w:val="single" w:sz="4" w:space="0" w:color="auto"/>
              <w:left w:val="single" w:sz="4" w:space="0" w:color="auto"/>
              <w:bottom w:val="single" w:sz="4" w:space="0" w:color="auto"/>
              <w:right w:val="single" w:sz="4" w:space="0" w:color="auto"/>
            </w:tcBorders>
          </w:tcPr>
          <w:p w14:paraId="49F0CFCA" w14:textId="5BFD23B0" w:rsidR="00837428" w:rsidRPr="009E686F" w:rsidRDefault="00837428" w:rsidP="00837428">
            <w:pPr>
              <w:spacing w:after="0"/>
              <w:jc w:val="both"/>
              <w:rPr>
                <w:rFonts w:ascii="Times New Roman" w:hAnsi="Times New Roman" w:cs="Times New Roman"/>
                <w:lang w:val="it-CH"/>
              </w:rPr>
            </w:pPr>
            <w:r w:rsidRPr="009E686F">
              <w:rPr>
                <w:rFonts w:ascii="Times New Roman" w:hAnsi="Times New Roman" w:cs="Times New Roman"/>
                <w:lang w:val="it-CH"/>
              </w:rPr>
              <w:t>(e) orice altă informație care poate fi necesară pentru efectuarea evaluărilor menționate la alineatele (3) și (4) din prezentul articol.</w:t>
            </w:r>
          </w:p>
        </w:tc>
        <w:tc>
          <w:tcPr>
            <w:tcW w:w="1834" w:type="pct"/>
            <w:tcBorders>
              <w:top w:val="single" w:sz="4" w:space="0" w:color="auto"/>
              <w:left w:val="single" w:sz="4" w:space="0" w:color="auto"/>
              <w:bottom w:val="single" w:sz="4" w:space="0" w:color="auto"/>
              <w:right w:val="single" w:sz="4" w:space="0" w:color="auto"/>
            </w:tcBorders>
          </w:tcPr>
          <w:p w14:paraId="29085D54" w14:textId="1714A9BE" w:rsidR="00837428" w:rsidRPr="009E686F" w:rsidRDefault="00837428" w:rsidP="00837428">
            <w:pPr>
              <w:spacing w:after="0"/>
              <w:jc w:val="both"/>
              <w:rPr>
                <w:rFonts w:ascii="Times New Roman" w:hAnsi="Times New Roman" w:cs="Times New Roman"/>
                <w:b/>
                <w:i/>
                <w:iCs/>
                <w:lang w:val="it-CH"/>
              </w:rPr>
            </w:pPr>
            <w:r w:rsidRPr="009E686F">
              <w:rPr>
                <w:rFonts w:ascii="Times New Roman" w:eastAsia="Aptos" w:hAnsi="Times New Roman" w:cs="Times New Roman"/>
                <w:i/>
                <w:iCs/>
                <w:kern w:val="2"/>
                <w:lang w:val="ro-MD"/>
              </w:rPr>
              <w:t>e) orice alte informaţii care pot fi necesare pentru efectuarea evaluărilor menţionate la alin. (7)</w:t>
            </w:r>
            <w:r w:rsidR="00234E47" w:rsidRPr="009E686F">
              <w:rPr>
                <w:rFonts w:ascii="Times New Roman" w:eastAsia="Aptos" w:hAnsi="Times New Roman" w:cs="Times New Roman"/>
                <w:i/>
                <w:iCs/>
                <w:kern w:val="2"/>
                <w:lang w:val="ro-MD"/>
              </w:rPr>
              <w:t xml:space="preserve"> și </w:t>
            </w:r>
            <w:r w:rsidRPr="009E686F">
              <w:rPr>
                <w:rFonts w:ascii="Times New Roman" w:eastAsia="Aptos" w:hAnsi="Times New Roman" w:cs="Times New Roman"/>
                <w:i/>
                <w:iCs/>
                <w:kern w:val="2"/>
                <w:lang w:val="ro-MD"/>
              </w:rPr>
              <w:t>(8) și art. 116</w:t>
            </w:r>
            <w:r w:rsidRPr="009E686F">
              <w:rPr>
                <w:rFonts w:ascii="Times New Roman" w:eastAsia="Aptos" w:hAnsi="Times New Roman" w:cs="Times New Roman"/>
                <w:i/>
                <w:iCs/>
                <w:kern w:val="2"/>
                <w:vertAlign w:val="superscript"/>
                <w:lang w:val="ro-MD"/>
              </w:rPr>
              <w:t>2</w:t>
            </w:r>
            <w:r w:rsidRPr="009E686F">
              <w:rPr>
                <w:rFonts w:ascii="Times New Roman" w:eastAsia="Aptos" w:hAnsi="Times New Roman" w:cs="Times New Roman"/>
                <w:i/>
                <w:iCs/>
                <w:kern w:val="2"/>
                <w:lang w:val="ro-MD"/>
              </w:rPr>
              <w:t xml:space="preserve"> alin. (1).</w:t>
            </w:r>
          </w:p>
        </w:tc>
        <w:tc>
          <w:tcPr>
            <w:tcW w:w="470" w:type="pct"/>
            <w:tcBorders>
              <w:top w:val="single" w:sz="4" w:space="0" w:color="auto"/>
              <w:left w:val="single" w:sz="4" w:space="0" w:color="auto"/>
              <w:bottom w:val="single" w:sz="4" w:space="0" w:color="auto"/>
              <w:right w:val="single" w:sz="4" w:space="0" w:color="auto"/>
            </w:tcBorders>
          </w:tcPr>
          <w:p w14:paraId="40F124F9" w14:textId="2E52F68F" w:rsidR="00837428" w:rsidRPr="009E686F" w:rsidRDefault="00837428" w:rsidP="00837428">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7E244CE7" w14:textId="77777777" w:rsidR="00837428" w:rsidRPr="009E686F" w:rsidRDefault="00837428" w:rsidP="00837428">
            <w:pPr>
              <w:spacing w:after="0"/>
              <w:jc w:val="both"/>
              <w:rPr>
                <w:rFonts w:ascii="Times New Roman" w:hAnsi="Times New Roman" w:cs="Times New Roman"/>
              </w:rPr>
            </w:pPr>
          </w:p>
        </w:tc>
      </w:tr>
      <w:tr w:rsidR="00837428" w:rsidRPr="009E686F" w14:paraId="7DDEC109" w14:textId="77777777" w:rsidTr="00960C23">
        <w:tc>
          <w:tcPr>
            <w:tcW w:w="1890" w:type="pct"/>
            <w:tcBorders>
              <w:top w:val="single" w:sz="4" w:space="0" w:color="auto"/>
              <w:left w:val="single" w:sz="4" w:space="0" w:color="auto"/>
              <w:bottom w:val="single" w:sz="4" w:space="0" w:color="auto"/>
              <w:right w:val="single" w:sz="4" w:space="0" w:color="auto"/>
            </w:tcBorders>
          </w:tcPr>
          <w:p w14:paraId="3A6FA6A3" w14:textId="59E2BB69" w:rsidR="00837428" w:rsidRPr="009E686F" w:rsidRDefault="00837428" w:rsidP="00837428">
            <w:pPr>
              <w:spacing w:after="0"/>
              <w:jc w:val="both"/>
              <w:rPr>
                <w:rFonts w:ascii="Times New Roman" w:hAnsi="Times New Roman" w:cs="Times New Roman"/>
                <w:lang w:val="it-CH"/>
              </w:rPr>
            </w:pPr>
            <w:r w:rsidRPr="009E686F">
              <w:rPr>
                <w:rFonts w:ascii="Times New Roman" w:hAnsi="Times New Roman" w:cs="Times New Roman"/>
              </w:rPr>
              <w:t xml:space="preserve">În cazul în care aprobarea sau exceptarea de la aprobare a unei societăți financiare holding sau a unei societăți financiare holding mixte menționate la alineatele (3) și (4) de la prezentul articol are loc în același timp cu evaluarea efectuată în temeiul articolului 8, 22 sau 27a, autoritatea competentă în sensul articolelor respective se coordonează, după caz, cu supraveghetorul consolidant și, în cazul în care este vorba despre o autoritate diferită, cu autoritatea competentă din statul membru în care este stabilită societatea financiară holding sau societatea financiară holding mixtă. </w:t>
            </w:r>
            <w:r w:rsidRPr="009E686F">
              <w:rPr>
                <w:rFonts w:ascii="Times New Roman" w:hAnsi="Times New Roman" w:cs="Times New Roman"/>
                <w:lang w:val="it-CH"/>
              </w:rPr>
              <w:t>Termenul  de evaluare menționat la articolul 22 alineatul (2) al doilea paragraf  sau la articolul 27° alineatul (6) se suspendă până la încheierea procedurii prevăzute la prezentul articol.</w:t>
            </w:r>
          </w:p>
        </w:tc>
        <w:tc>
          <w:tcPr>
            <w:tcW w:w="1834" w:type="pct"/>
            <w:tcBorders>
              <w:top w:val="single" w:sz="4" w:space="0" w:color="auto"/>
              <w:left w:val="single" w:sz="4" w:space="0" w:color="auto"/>
              <w:bottom w:val="single" w:sz="4" w:space="0" w:color="auto"/>
              <w:right w:val="single" w:sz="4" w:space="0" w:color="auto"/>
            </w:tcBorders>
          </w:tcPr>
          <w:p w14:paraId="2FFFB041" w14:textId="6CDA9B01" w:rsidR="00837428" w:rsidRPr="009E686F" w:rsidRDefault="00837428" w:rsidP="00837428">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b/>
                <w:bCs/>
                <w:kern w:val="2"/>
                <w:lang w:val="ro-MD"/>
              </w:rPr>
              <w:t>Articolul 116</w:t>
            </w:r>
            <w:r w:rsidRPr="009E686F">
              <w:rPr>
                <w:rFonts w:ascii="Times New Roman" w:eastAsia="Aptos" w:hAnsi="Times New Roman" w:cs="Times New Roman"/>
                <w:b/>
                <w:bCs/>
                <w:kern w:val="2"/>
                <w:vertAlign w:val="superscript"/>
                <w:lang w:val="ro-MD"/>
              </w:rPr>
              <w:t>1</w:t>
            </w:r>
            <w:r w:rsidRPr="009E686F">
              <w:rPr>
                <w:rFonts w:ascii="Times New Roman" w:eastAsia="Aptos" w:hAnsi="Times New Roman" w:cs="Times New Roman"/>
                <w:b/>
                <w:bCs/>
                <w:kern w:val="2"/>
                <w:lang w:val="ro-MD"/>
              </w:rPr>
              <w:t xml:space="preserve"> alin. (10)</w:t>
            </w:r>
          </w:p>
          <w:p w14:paraId="27A61F6B" w14:textId="64C21A66" w:rsidR="00837428" w:rsidRPr="009E686F" w:rsidRDefault="00837428" w:rsidP="00837428">
            <w:pPr>
              <w:spacing w:after="0"/>
              <w:jc w:val="both"/>
              <w:rPr>
                <w:rFonts w:ascii="Times New Roman" w:hAnsi="Times New Roman" w:cs="Times New Roman"/>
                <w:b/>
                <w:i/>
                <w:iCs/>
                <w:lang w:val="it-CH"/>
              </w:rPr>
            </w:pPr>
            <w:r w:rsidRPr="009E686F">
              <w:rPr>
                <w:rFonts w:ascii="Times New Roman" w:eastAsia="Aptos" w:hAnsi="Times New Roman" w:cs="Times New Roman"/>
                <w:i/>
                <w:iCs/>
                <w:kern w:val="2"/>
                <w:lang w:val="ro-MD"/>
              </w:rPr>
              <w:t>(10) În cazul în care aprobarea sau exceptarea de la aprobare a unei societăți financiare holding sau a unei societăți financiare holding mixte prevăzut</w:t>
            </w:r>
            <w:r w:rsidR="00234E47" w:rsidRPr="009E686F">
              <w:rPr>
                <w:rFonts w:ascii="Times New Roman" w:eastAsia="Aptos" w:hAnsi="Times New Roman" w:cs="Times New Roman"/>
                <w:i/>
                <w:iCs/>
                <w:kern w:val="2"/>
                <w:lang w:val="ro-MD"/>
              </w:rPr>
              <w:t>ă</w:t>
            </w:r>
            <w:r w:rsidRPr="009E686F">
              <w:rPr>
                <w:rFonts w:ascii="Times New Roman" w:eastAsia="Aptos" w:hAnsi="Times New Roman" w:cs="Times New Roman"/>
                <w:i/>
                <w:iCs/>
                <w:kern w:val="2"/>
                <w:lang w:val="ro-MD"/>
              </w:rPr>
              <w:t xml:space="preserve"> </w:t>
            </w:r>
            <w:r w:rsidR="00234E47" w:rsidRPr="009E686F">
              <w:rPr>
                <w:rFonts w:ascii="Times New Roman" w:eastAsia="Aptos" w:hAnsi="Times New Roman" w:cs="Times New Roman"/>
                <w:i/>
                <w:iCs/>
                <w:kern w:val="2"/>
                <w:lang w:val="ro-MD"/>
              </w:rPr>
              <w:t>în acest articol și în art.</w:t>
            </w:r>
            <w:r w:rsidRPr="009E686F">
              <w:rPr>
                <w:rFonts w:ascii="Times New Roman" w:eastAsia="Aptos" w:hAnsi="Times New Roman" w:cs="Times New Roman"/>
                <w:i/>
                <w:iCs/>
                <w:kern w:val="2"/>
                <w:lang w:val="ro-MD"/>
              </w:rPr>
              <w:t>116</w:t>
            </w:r>
            <w:r w:rsidRPr="009E686F">
              <w:rPr>
                <w:rFonts w:ascii="Times New Roman" w:eastAsia="Aptos" w:hAnsi="Times New Roman" w:cs="Times New Roman"/>
                <w:i/>
                <w:iCs/>
                <w:kern w:val="2"/>
                <w:vertAlign w:val="superscript"/>
                <w:lang w:val="ro-MD"/>
              </w:rPr>
              <w:t>2</w:t>
            </w:r>
            <w:r w:rsidRPr="009E686F">
              <w:rPr>
                <w:rFonts w:ascii="Times New Roman" w:eastAsia="Aptos" w:hAnsi="Times New Roman" w:cs="Times New Roman"/>
                <w:i/>
                <w:iCs/>
                <w:kern w:val="2"/>
                <w:lang w:val="ro-MD"/>
              </w:rPr>
              <w:t xml:space="preserve"> are loc în același timp cu evaluarea acționarilor menționată la art. 16, 47, 5</w:t>
            </w:r>
            <w:r w:rsidR="00234E47" w:rsidRPr="009E686F">
              <w:rPr>
                <w:rFonts w:ascii="Times New Roman" w:eastAsia="Aptos" w:hAnsi="Times New Roman" w:cs="Times New Roman"/>
                <w:i/>
                <w:iCs/>
                <w:kern w:val="2"/>
                <w:lang w:val="ro-MD"/>
              </w:rPr>
              <w:t>7</w:t>
            </w:r>
            <w:r w:rsidR="00234E47" w:rsidRPr="009E686F">
              <w:rPr>
                <w:rFonts w:ascii="Times New Roman" w:eastAsia="Aptos" w:hAnsi="Times New Roman" w:cs="Times New Roman"/>
                <w:i/>
                <w:iCs/>
                <w:kern w:val="2"/>
                <w:vertAlign w:val="superscript"/>
                <w:lang w:val="ro-MD"/>
              </w:rPr>
              <w:t>2</w:t>
            </w:r>
            <w:r w:rsidRPr="009E686F">
              <w:rPr>
                <w:rFonts w:ascii="Times New Roman" w:eastAsia="Aptos" w:hAnsi="Times New Roman" w:cs="Times New Roman"/>
                <w:i/>
                <w:iCs/>
                <w:kern w:val="2"/>
                <w:lang w:val="ro-MD"/>
              </w:rPr>
              <w:t>, Banca Națională a Moldovei coordonează, cu autoritatea competentă din statul membru în care este stabilită societatea financiară holding sau societatea financiară holding mixtă. În acest caz, perioada de evaluare menționată la art. 47 alin. (4) sau la art. 5</w:t>
            </w:r>
            <w:r w:rsidR="001306E0" w:rsidRPr="009E686F">
              <w:rPr>
                <w:rFonts w:ascii="Times New Roman" w:eastAsia="Aptos" w:hAnsi="Times New Roman" w:cs="Times New Roman"/>
                <w:i/>
                <w:iCs/>
                <w:kern w:val="2"/>
                <w:lang w:val="ro-MD"/>
              </w:rPr>
              <w:t>7</w:t>
            </w:r>
            <w:r w:rsidR="001306E0" w:rsidRPr="009E686F">
              <w:rPr>
                <w:rFonts w:ascii="Times New Roman" w:eastAsia="Aptos" w:hAnsi="Times New Roman" w:cs="Times New Roman"/>
                <w:i/>
                <w:iCs/>
                <w:kern w:val="2"/>
                <w:vertAlign w:val="superscript"/>
                <w:lang w:val="ro-MD"/>
              </w:rPr>
              <w:t>2</w:t>
            </w:r>
            <w:r w:rsidRPr="009E686F">
              <w:rPr>
                <w:rFonts w:ascii="Times New Roman" w:eastAsia="Aptos" w:hAnsi="Times New Roman" w:cs="Times New Roman"/>
                <w:i/>
                <w:iCs/>
                <w:kern w:val="2"/>
                <w:lang w:val="ro-MD"/>
              </w:rPr>
              <w:t xml:space="preserve"> alin. (7) se suspendă până la încheierea procedurii prevăzute la art. 116</w:t>
            </w:r>
            <w:r w:rsidRPr="009E686F">
              <w:rPr>
                <w:rFonts w:ascii="Times New Roman" w:eastAsia="Aptos" w:hAnsi="Times New Roman" w:cs="Times New Roman"/>
                <w:i/>
                <w:iCs/>
                <w:kern w:val="2"/>
                <w:vertAlign w:val="superscript"/>
                <w:lang w:val="ro-MD"/>
              </w:rPr>
              <w:t>1</w:t>
            </w:r>
            <w:r w:rsidR="00234E47" w:rsidRPr="009E686F">
              <w:rPr>
                <w:rFonts w:ascii="Times New Roman" w:eastAsia="Aptos" w:hAnsi="Times New Roman" w:cs="Times New Roman"/>
                <w:i/>
                <w:iCs/>
                <w:kern w:val="2"/>
                <w:lang w:val="ro-MD"/>
              </w:rPr>
              <w:t xml:space="preserve"> și </w:t>
            </w:r>
            <w:r w:rsidRPr="009E686F">
              <w:rPr>
                <w:rFonts w:ascii="Times New Roman" w:eastAsia="Aptos" w:hAnsi="Times New Roman" w:cs="Times New Roman"/>
                <w:i/>
                <w:iCs/>
                <w:kern w:val="2"/>
                <w:lang w:val="ro-MD"/>
              </w:rPr>
              <w:t>116</w:t>
            </w:r>
            <w:r w:rsidRPr="009E686F">
              <w:rPr>
                <w:rFonts w:ascii="Times New Roman" w:eastAsia="Aptos" w:hAnsi="Times New Roman" w:cs="Times New Roman"/>
                <w:i/>
                <w:iCs/>
                <w:kern w:val="2"/>
                <w:vertAlign w:val="superscript"/>
                <w:lang w:val="ro-MD"/>
              </w:rPr>
              <w:t>2</w:t>
            </w:r>
            <w:r w:rsidRPr="009E686F">
              <w:rPr>
                <w:rFonts w:ascii="Times New Roman" w:eastAsia="Aptos" w:hAnsi="Times New Roman" w:cs="Times New Roman"/>
                <w:i/>
                <w:iCs/>
                <w:kern w:val="2"/>
                <w:lang w:val="ro-MD"/>
              </w:rPr>
              <w:t>.</w:t>
            </w:r>
          </w:p>
        </w:tc>
        <w:tc>
          <w:tcPr>
            <w:tcW w:w="470" w:type="pct"/>
            <w:tcBorders>
              <w:top w:val="single" w:sz="4" w:space="0" w:color="auto"/>
              <w:left w:val="single" w:sz="4" w:space="0" w:color="auto"/>
              <w:bottom w:val="single" w:sz="4" w:space="0" w:color="auto"/>
              <w:right w:val="single" w:sz="4" w:space="0" w:color="auto"/>
            </w:tcBorders>
          </w:tcPr>
          <w:p w14:paraId="2B100B7D" w14:textId="799E99AF" w:rsidR="00837428" w:rsidRPr="009E686F" w:rsidRDefault="00837428" w:rsidP="00837428">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2195760E" w14:textId="77777777" w:rsidR="00837428" w:rsidRPr="009E686F" w:rsidRDefault="00837428" w:rsidP="00837428">
            <w:pPr>
              <w:spacing w:after="0"/>
              <w:jc w:val="both"/>
              <w:rPr>
                <w:rFonts w:ascii="Times New Roman" w:hAnsi="Times New Roman" w:cs="Times New Roman"/>
              </w:rPr>
            </w:pPr>
          </w:p>
        </w:tc>
      </w:tr>
      <w:tr w:rsidR="00837428" w:rsidRPr="009E686F" w14:paraId="1B9337C1" w14:textId="77777777" w:rsidTr="00960C23">
        <w:tc>
          <w:tcPr>
            <w:tcW w:w="1890" w:type="pct"/>
            <w:tcBorders>
              <w:top w:val="single" w:sz="4" w:space="0" w:color="auto"/>
              <w:left w:val="single" w:sz="4" w:space="0" w:color="auto"/>
              <w:bottom w:val="single" w:sz="4" w:space="0" w:color="auto"/>
              <w:right w:val="single" w:sz="4" w:space="0" w:color="auto"/>
            </w:tcBorders>
          </w:tcPr>
          <w:p w14:paraId="3658C69F" w14:textId="6C0EE5D8" w:rsidR="00837428" w:rsidRPr="009E686F" w:rsidRDefault="00837428" w:rsidP="00837428">
            <w:pPr>
              <w:spacing w:after="0"/>
              <w:jc w:val="both"/>
              <w:rPr>
                <w:rFonts w:ascii="Times New Roman" w:hAnsi="Times New Roman" w:cs="Times New Roman"/>
              </w:rPr>
            </w:pPr>
            <w:r w:rsidRPr="009E686F">
              <w:rPr>
                <w:rFonts w:ascii="Times New Roman" w:hAnsi="Times New Roman" w:cs="Times New Roman"/>
              </w:rPr>
              <w:lastRenderedPageBreak/>
              <w:t>(3) Aprobarea poate fi acordată unei societăți financiare holding sau unei societăți financiare holding mixte în temeiul prezentului articol doar în cazul în care sunt îndeplinite toate condițiile de mai jos:</w:t>
            </w:r>
          </w:p>
        </w:tc>
        <w:tc>
          <w:tcPr>
            <w:tcW w:w="1834" w:type="pct"/>
            <w:tcBorders>
              <w:top w:val="single" w:sz="4" w:space="0" w:color="auto"/>
              <w:left w:val="single" w:sz="4" w:space="0" w:color="auto"/>
              <w:bottom w:val="single" w:sz="4" w:space="0" w:color="auto"/>
              <w:right w:val="single" w:sz="4" w:space="0" w:color="auto"/>
            </w:tcBorders>
          </w:tcPr>
          <w:p w14:paraId="5FDEE0FD" w14:textId="6BCE2791" w:rsidR="00837428" w:rsidRPr="009E686F" w:rsidRDefault="00837428" w:rsidP="00837428">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b/>
                <w:bCs/>
                <w:kern w:val="2"/>
                <w:lang w:val="ro-MD"/>
              </w:rPr>
              <w:t>Articolul 116</w:t>
            </w:r>
            <w:r w:rsidRPr="009E686F">
              <w:rPr>
                <w:rFonts w:ascii="Times New Roman" w:eastAsia="Aptos" w:hAnsi="Times New Roman" w:cs="Times New Roman"/>
                <w:b/>
                <w:bCs/>
                <w:kern w:val="2"/>
                <w:vertAlign w:val="superscript"/>
                <w:lang w:val="ro-MD"/>
              </w:rPr>
              <w:t xml:space="preserve">1 </w:t>
            </w:r>
            <w:r w:rsidRPr="009E686F">
              <w:rPr>
                <w:rFonts w:ascii="Times New Roman" w:eastAsia="Aptos" w:hAnsi="Times New Roman" w:cs="Times New Roman"/>
                <w:b/>
                <w:bCs/>
                <w:kern w:val="2"/>
                <w:lang w:val="ro-MD"/>
              </w:rPr>
              <w:t>alin. (7), lit. a), b)</w:t>
            </w:r>
          </w:p>
          <w:p w14:paraId="479989EF" w14:textId="1A1657E6" w:rsidR="00837428" w:rsidRPr="009E686F" w:rsidRDefault="00837428" w:rsidP="00837428">
            <w:pPr>
              <w:spacing w:after="0" w:line="278" w:lineRule="auto"/>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(7) Banca Națională a Moldovei acordă aprobarea prealabilă unei societăţi financiare holding sau</w:t>
            </w:r>
          </w:p>
          <w:p w14:paraId="684D5FDA" w14:textId="77777777" w:rsidR="00837428" w:rsidRPr="009E686F" w:rsidRDefault="00837428" w:rsidP="00837428">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i/>
                <w:iCs/>
                <w:kern w:val="2"/>
                <w:lang w:val="ro-MD"/>
              </w:rPr>
              <w:t>unei societăţi financiare holding mixte prevăzute la alin. (1) și (2) numai dacă sunt îndeplinite următoarele condiții</w:t>
            </w:r>
            <w:r w:rsidRPr="009E686F">
              <w:rPr>
                <w:rFonts w:ascii="Times New Roman" w:eastAsia="Aptos" w:hAnsi="Times New Roman" w:cs="Times New Roman"/>
                <w:kern w:val="2"/>
                <w:lang w:val="ro-MD"/>
              </w:rPr>
              <w:t>:</w:t>
            </w:r>
          </w:p>
          <w:p w14:paraId="5523A15D" w14:textId="77777777" w:rsidR="00837428" w:rsidRPr="009E686F" w:rsidRDefault="00837428" w:rsidP="00837428">
            <w:pPr>
              <w:spacing w:after="0"/>
              <w:jc w:val="both"/>
              <w:rPr>
                <w:rFonts w:ascii="Times New Roman" w:hAnsi="Times New Roman" w:cs="Times New Roman"/>
                <w:b/>
                <w:lang w:val="it-IT"/>
              </w:rPr>
            </w:pPr>
          </w:p>
        </w:tc>
        <w:tc>
          <w:tcPr>
            <w:tcW w:w="470" w:type="pct"/>
            <w:tcBorders>
              <w:top w:val="single" w:sz="4" w:space="0" w:color="auto"/>
              <w:left w:val="single" w:sz="4" w:space="0" w:color="auto"/>
              <w:bottom w:val="single" w:sz="4" w:space="0" w:color="auto"/>
              <w:right w:val="single" w:sz="4" w:space="0" w:color="auto"/>
            </w:tcBorders>
          </w:tcPr>
          <w:p w14:paraId="52F24C9E" w14:textId="3B8C39A8" w:rsidR="00837428" w:rsidRPr="009E686F" w:rsidRDefault="00837428" w:rsidP="00837428">
            <w:pPr>
              <w:jc w:val="both"/>
              <w:rPr>
                <w:rFonts w:ascii="Times New Roman" w:hAnsi="Times New Roman" w:cs="Times New Roman"/>
                <w:lang w:val="it-IT"/>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34722F74" w14:textId="77777777" w:rsidR="00837428" w:rsidRPr="009E686F" w:rsidRDefault="00837428" w:rsidP="00837428">
            <w:pPr>
              <w:spacing w:after="0"/>
              <w:jc w:val="both"/>
              <w:rPr>
                <w:rFonts w:ascii="Times New Roman" w:hAnsi="Times New Roman" w:cs="Times New Roman"/>
                <w:lang w:val="it-IT"/>
              </w:rPr>
            </w:pPr>
          </w:p>
        </w:tc>
      </w:tr>
      <w:tr w:rsidR="00837428" w:rsidRPr="009E686F" w14:paraId="4974FB94" w14:textId="77777777" w:rsidTr="00960C23">
        <w:tc>
          <w:tcPr>
            <w:tcW w:w="1890" w:type="pct"/>
            <w:tcBorders>
              <w:top w:val="single" w:sz="4" w:space="0" w:color="auto"/>
              <w:left w:val="single" w:sz="4" w:space="0" w:color="auto"/>
              <w:bottom w:val="single" w:sz="4" w:space="0" w:color="auto"/>
              <w:right w:val="single" w:sz="4" w:space="0" w:color="auto"/>
            </w:tcBorders>
          </w:tcPr>
          <w:p w14:paraId="73B68CA1" w14:textId="77777777" w:rsidR="00837428" w:rsidRPr="009E686F" w:rsidRDefault="00837428" w:rsidP="00837428">
            <w:pPr>
              <w:spacing w:after="0"/>
              <w:jc w:val="both"/>
              <w:rPr>
                <w:rFonts w:ascii="Times New Roman" w:hAnsi="Times New Roman" w:cs="Times New Roman"/>
              </w:rPr>
            </w:pPr>
            <w:r w:rsidRPr="009E686F">
              <w:rPr>
                <w:rFonts w:ascii="Times New Roman" w:hAnsi="Times New Roman" w:cs="Times New Roman"/>
              </w:rPr>
              <w:t>(a) mecanismele interne și repartizarea sarcinilor în interiorul grupului sunt adecvate pentru respectarea cerințelor impuse de prezenta directivă și de Regulamentul (UE) nr. 575/2013 pe bază consolidată sau subconsolidată și, în special, sunt eficace pentru:</w:t>
            </w:r>
          </w:p>
          <w:p w14:paraId="4A4DE1CB" w14:textId="71AAF89E" w:rsidR="00837428" w:rsidRPr="009E686F" w:rsidRDefault="00837428" w:rsidP="00837428">
            <w:pPr>
              <w:spacing w:after="0"/>
              <w:jc w:val="both"/>
              <w:rPr>
                <w:rFonts w:ascii="Times New Roman" w:hAnsi="Times New Roman" w:cs="Times New Roman"/>
              </w:rPr>
            </w:pPr>
            <w:r w:rsidRPr="009E686F">
              <w:rPr>
                <w:rFonts w:ascii="Times New Roman" w:hAnsi="Times New Roman" w:cs="Times New Roman"/>
              </w:rPr>
              <w:t>(i) a coordona toate filialele societății financiare holding sau ale societății financiare holding mixte, inclusiv, în situațiile în care este necesar, prin intermediul unei repartizări adecvate a sarcinilor între instituțiile care sunt filiale;</w:t>
            </w:r>
          </w:p>
          <w:p w14:paraId="18EC423B" w14:textId="4685BDA7" w:rsidR="00837428" w:rsidRPr="009E686F" w:rsidRDefault="00837428" w:rsidP="00837428">
            <w:pPr>
              <w:spacing w:after="0"/>
              <w:jc w:val="both"/>
              <w:rPr>
                <w:rFonts w:ascii="Times New Roman" w:hAnsi="Times New Roman" w:cs="Times New Roman"/>
                <w:lang w:val="it-CH"/>
              </w:rPr>
            </w:pPr>
            <w:r w:rsidRPr="009E686F">
              <w:rPr>
                <w:rFonts w:ascii="Times New Roman" w:hAnsi="Times New Roman" w:cs="Times New Roman"/>
                <w:lang w:val="it-CH"/>
              </w:rPr>
              <w:t>(ii) a preîntâmpina sau a gestiona conflictele din interiorul grupului; și</w:t>
            </w:r>
          </w:p>
          <w:p w14:paraId="7103526D" w14:textId="0A3F27CD" w:rsidR="00837428" w:rsidRPr="009E686F" w:rsidRDefault="00837428" w:rsidP="00837428">
            <w:pPr>
              <w:spacing w:after="0"/>
              <w:jc w:val="both"/>
              <w:rPr>
                <w:rFonts w:ascii="Times New Roman" w:hAnsi="Times New Roman" w:cs="Times New Roman"/>
                <w:lang w:val="it-CH"/>
              </w:rPr>
            </w:pPr>
            <w:r w:rsidRPr="009E686F">
              <w:rPr>
                <w:rFonts w:ascii="Times New Roman" w:hAnsi="Times New Roman" w:cs="Times New Roman"/>
                <w:lang w:val="it-CH"/>
              </w:rPr>
              <w:t>(iii) a asigura respectarea politicilor stabilite pentru întregul grup de societatea financiară holding-mamă sau de societatea financiară holding mixtă-mamă;</w:t>
            </w:r>
          </w:p>
        </w:tc>
        <w:tc>
          <w:tcPr>
            <w:tcW w:w="1834" w:type="pct"/>
            <w:tcBorders>
              <w:top w:val="single" w:sz="4" w:space="0" w:color="auto"/>
              <w:left w:val="single" w:sz="4" w:space="0" w:color="auto"/>
              <w:bottom w:val="single" w:sz="4" w:space="0" w:color="auto"/>
              <w:right w:val="single" w:sz="4" w:space="0" w:color="auto"/>
            </w:tcBorders>
          </w:tcPr>
          <w:p w14:paraId="0E0348EB" w14:textId="35528F65" w:rsidR="00837428" w:rsidRPr="009E686F" w:rsidRDefault="00837428" w:rsidP="00837428">
            <w:pPr>
              <w:spacing w:after="0" w:line="278" w:lineRule="auto"/>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 xml:space="preserve">a) mecanismele interne și repartizarea sarcinilor în interiorul grupului sunt adecvate pentru respectarea cerinţelor impuse de prezenta lege și actele normative ale Băncii Naționale a Moldovei emise în aplicarea acesteia pe bază consolidată sau subconsolidată și, în special, sunt eficace pentru: </w:t>
            </w:r>
          </w:p>
          <w:p w14:paraId="2F111C70" w14:textId="1F7FE2E8" w:rsidR="00837428" w:rsidRPr="009E686F" w:rsidRDefault="00837428" w:rsidP="00837428">
            <w:pPr>
              <w:spacing w:after="0" w:line="278" w:lineRule="auto"/>
              <w:ind w:firstLine="708"/>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 xml:space="preserve">(i) a coordona toate filialele societăţii financiare holding sau ale societăţii financiare holding mixte, inclusiv, în situaţiile în care este necesar, prin intermediul unei repartizări adecvate a sarcinilor între instituțiile de credit care sunt filiale; </w:t>
            </w:r>
          </w:p>
          <w:p w14:paraId="3E7CCFF3" w14:textId="77777777" w:rsidR="00837428" w:rsidRPr="009E686F" w:rsidRDefault="00837428" w:rsidP="00837428">
            <w:pPr>
              <w:spacing w:after="0" w:line="278" w:lineRule="auto"/>
              <w:ind w:firstLine="708"/>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 xml:space="preserve">(ii) a preîntâmpina sau a gestiona conflictele din interiorul grupului; și </w:t>
            </w:r>
          </w:p>
          <w:p w14:paraId="2B889961" w14:textId="29D33BCE" w:rsidR="00837428" w:rsidRPr="009E686F" w:rsidRDefault="00837428" w:rsidP="002040CD">
            <w:pPr>
              <w:spacing w:after="0" w:line="278" w:lineRule="auto"/>
              <w:ind w:firstLine="708"/>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 xml:space="preserve">(iii) a asigura respectarea politicilor stabilite pentru întregul grup de societatea financiară holding-mamă sau de societatea financiară holding mixtă-mamă; </w:t>
            </w:r>
          </w:p>
        </w:tc>
        <w:tc>
          <w:tcPr>
            <w:tcW w:w="470" w:type="pct"/>
            <w:tcBorders>
              <w:top w:val="single" w:sz="4" w:space="0" w:color="auto"/>
              <w:left w:val="single" w:sz="4" w:space="0" w:color="auto"/>
              <w:bottom w:val="single" w:sz="4" w:space="0" w:color="auto"/>
              <w:right w:val="single" w:sz="4" w:space="0" w:color="auto"/>
            </w:tcBorders>
          </w:tcPr>
          <w:p w14:paraId="3270DBFB" w14:textId="2F6BB504" w:rsidR="00837428" w:rsidRPr="009E686F" w:rsidRDefault="00837428" w:rsidP="00837428">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2EB3F970" w14:textId="77777777" w:rsidR="00837428" w:rsidRPr="009E686F" w:rsidRDefault="00837428" w:rsidP="00837428">
            <w:pPr>
              <w:spacing w:after="0"/>
              <w:jc w:val="both"/>
              <w:rPr>
                <w:rFonts w:ascii="Times New Roman" w:hAnsi="Times New Roman" w:cs="Times New Roman"/>
              </w:rPr>
            </w:pPr>
          </w:p>
        </w:tc>
      </w:tr>
      <w:tr w:rsidR="00837428" w:rsidRPr="009E686F" w14:paraId="20E6506A" w14:textId="77777777" w:rsidTr="00960C23">
        <w:tc>
          <w:tcPr>
            <w:tcW w:w="1890" w:type="pct"/>
            <w:tcBorders>
              <w:top w:val="single" w:sz="4" w:space="0" w:color="auto"/>
              <w:left w:val="single" w:sz="4" w:space="0" w:color="auto"/>
              <w:bottom w:val="single" w:sz="4" w:space="0" w:color="auto"/>
              <w:right w:val="single" w:sz="4" w:space="0" w:color="auto"/>
            </w:tcBorders>
          </w:tcPr>
          <w:p w14:paraId="36D34AAA" w14:textId="77777777" w:rsidR="00837428" w:rsidRPr="009E686F" w:rsidRDefault="00837428" w:rsidP="00837428">
            <w:pPr>
              <w:spacing w:after="0"/>
              <w:jc w:val="both"/>
              <w:rPr>
                <w:rFonts w:ascii="Times New Roman" w:hAnsi="Times New Roman" w:cs="Times New Roman"/>
              </w:rPr>
            </w:pPr>
            <w:r w:rsidRPr="009E686F">
              <w:rPr>
                <w:rFonts w:ascii="Times New Roman" w:hAnsi="Times New Roman" w:cs="Times New Roman"/>
              </w:rPr>
              <w:t xml:space="preserve">(b) organizarea structurală a grupului din care face parte societatea financiară holding sau societatea financiară holding mixtă nu obstrucționează și nu împiedică în alt fel supravegherea efectivă a instituțiilor care sunt filiale sau a instituțiilor-mamă ale acesteia în ceea ce privește obligațiile individuale, consolidate și, acolo unde este cazul, subconsolidate care li se aplică. </w:t>
            </w:r>
          </w:p>
          <w:p w14:paraId="1E41B158" w14:textId="067E5018" w:rsidR="00837428" w:rsidRPr="009E686F" w:rsidRDefault="00837428" w:rsidP="00837428">
            <w:pPr>
              <w:spacing w:after="0"/>
              <w:jc w:val="both"/>
              <w:rPr>
                <w:rFonts w:ascii="Times New Roman" w:hAnsi="Times New Roman" w:cs="Times New Roman"/>
                <w:lang w:val="pt-BR"/>
              </w:rPr>
            </w:pPr>
            <w:r w:rsidRPr="009E686F">
              <w:rPr>
                <w:rFonts w:ascii="Times New Roman" w:hAnsi="Times New Roman" w:cs="Times New Roman"/>
                <w:lang w:val="pt-BR"/>
              </w:rPr>
              <w:t>Evaluarea respectivului criteriu ține seama, în special, de:</w:t>
            </w:r>
          </w:p>
          <w:p w14:paraId="1B8F560E" w14:textId="07DB758C" w:rsidR="00837428" w:rsidRPr="009E686F" w:rsidRDefault="00837428" w:rsidP="00837428">
            <w:pPr>
              <w:spacing w:after="0"/>
              <w:jc w:val="both"/>
              <w:rPr>
                <w:rFonts w:ascii="Times New Roman" w:hAnsi="Times New Roman" w:cs="Times New Roman"/>
                <w:lang w:val="it-IT"/>
              </w:rPr>
            </w:pPr>
            <w:r w:rsidRPr="009E686F">
              <w:rPr>
                <w:rFonts w:ascii="Times New Roman" w:hAnsi="Times New Roman" w:cs="Times New Roman"/>
                <w:lang w:val="it-IT"/>
              </w:rPr>
              <w:lastRenderedPageBreak/>
              <w:t>(i) poziția societății financiare holding sau a societății financiare holding mixte într-un grup cu mai multe niveluri;</w:t>
            </w:r>
          </w:p>
          <w:p w14:paraId="4290BF73" w14:textId="6D9ACDAE" w:rsidR="00837428" w:rsidRPr="009E686F" w:rsidRDefault="00837428" w:rsidP="00837428">
            <w:pPr>
              <w:spacing w:after="0"/>
              <w:jc w:val="both"/>
              <w:rPr>
                <w:rFonts w:ascii="Times New Roman" w:hAnsi="Times New Roman" w:cs="Times New Roman"/>
                <w:lang w:val="it-IT"/>
              </w:rPr>
            </w:pPr>
            <w:r w:rsidRPr="009E686F">
              <w:rPr>
                <w:rFonts w:ascii="Times New Roman" w:hAnsi="Times New Roman" w:cs="Times New Roman"/>
                <w:lang w:val="it-IT"/>
              </w:rPr>
              <w:t>(ii) structura acționariatului; și</w:t>
            </w:r>
          </w:p>
          <w:p w14:paraId="406A5F74" w14:textId="24BF6943" w:rsidR="00837428" w:rsidRPr="009E686F" w:rsidRDefault="00837428" w:rsidP="00837428">
            <w:pPr>
              <w:spacing w:after="0"/>
              <w:jc w:val="both"/>
              <w:rPr>
                <w:rFonts w:ascii="Times New Roman" w:hAnsi="Times New Roman" w:cs="Times New Roman"/>
                <w:lang w:val="it-IT"/>
              </w:rPr>
            </w:pPr>
            <w:r w:rsidRPr="009E686F">
              <w:rPr>
                <w:rFonts w:ascii="Times New Roman" w:hAnsi="Times New Roman" w:cs="Times New Roman"/>
                <w:lang w:val="it-IT"/>
              </w:rPr>
              <w:t>(iii) rolul societății financiare holding sau al societății financiare holding mixte în cadrul grupului;</w:t>
            </w:r>
          </w:p>
        </w:tc>
        <w:tc>
          <w:tcPr>
            <w:tcW w:w="1834" w:type="pct"/>
            <w:tcBorders>
              <w:top w:val="single" w:sz="4" w:space="0" w:color="auto"/>
              <w:left w:val="single" w:sz="4" w:space="0" w:color="auto"/>
              <w:bottom w:val="single" w:sz="4" w:space="0" w:color="auto"/>
              <w:right w:val="single" w:sz="4" w:space="0" w:color="auto"/>
            </w:tcBorders>
          </w:tcPr>
          <w:p w14:paraId="1CF181F9" w14:textId="43725777" w:rsidR="00837428" w:rsidRPr="009E686F" w:rsidRDefault="00837428" w:rsidP="00837428">
            <w:pPr>
              <w:spacing w:after="0" w:line="278" w:lineRule="auto"/>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lastRenderedPageBreak/>
              <w:t xml:space="preserve">(b) organizarea structurală a grupului din care face parte societatea financiară holding sau societatea financiară holding mixtă nu obstrucţionează și nu împiedică în alt fel supravegherea efectivă a instituțiilor de credit care sunt filiale sau a instituțiilor de credit -mamă ale acesteia în ceea ce privește obligaţiile individuale, consolidate și, acolo unde este cazul, subconsolidate care li se aplică. </w:t>
            </w:r>
          </w:p>
          <w:p w14:paraId="11D67DCB" w14:textId="77777777" w:rsidR="00837428" w:rsidRPr="009E686F" w:rsidRDefault="00837428" w:rsidP="00837428">
            <w:pPr>
              <w:spacing w:after="0" w:line="278" w:lineRule="auto"/>
              <w:jc w:val="both"/>
              <w:rPr>
                <w:rFonts w:ascii="Times New Roman" w:eastAsia="Aptos" w:hAnsi="Times New Roman" w:cs="Times New Roman"/>
                <w:i/>
                <w:iCs/>
                <w:kern w:val="2"/>
                <w:lang w:val="ro-MD"/>
              </w:rPr>
            </w:pPr>
          </w:p>
          <w:p w14:paraId="4D43D3E7" w14:textId="44B374F9" w:rsidR="00837428" w:rsidRPr="009E686F" w:rsidRDefault="00837428" w:rsidP="00837428">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b/>
                <w:bCs/>
                <w:kern w:val="2"/>
                <w:lang w:val="ro-MD"/>
              </w:rPr>
              <w:lastRenderedPageBreak/>
              <w:t>Articolul 116</w:t>
            </w:r>
            <w:r w:rsidRPr="009E686F">
              <w:rPr>
                <w:rFonts w:ascii="Times New Roman" w:eastAsia="Aptos" w:hAnsi="Times New Roman" w:cs="Times New Roman"/>
                <w:b/>
                <w:bCs/>
                <w:kern w:val="2"/>
                <w:vertAlign w:val="superscript"/>
                <w:lang w:val="ro-MD"/>
              </w:rPr>
              <w:t xml:space="preserve">1 </w:t>
            </w:r>
            <w:r w:rsidRPr="009E686F">
              <w:rPr>
                <w:rFonts w:ascii="Times New Roman" w:eastAsia="Aptos" w:hAnsi="Times New Roman" w:cs="Times New Roman"/>
                <w:b/>
                <w:bCs/>
                <w:kern w:val="2"/>
                <w:lang w:val="ro-MD"/>
              </w:rPr>
              <w:t>alin. (8), lit. a), b), c)</w:t>
            </w:r>
          </w:p>
          <w:p w14:paraId="5D57C06A" w14:textId="77777777" w:rsidR="00837428" w:rsidRPr="009E686F" w:rsidRDefault="00837428" w:rsidP="00837428">
            <w:pPr>
              <w:spacing w:after="0" w:line="278" w:lineRule="auto"/>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(8) La evaluarea criteriului prevăzut la alin. (7) lit. b), Banca Națională a Moldovei ia în considerare, în special:</w:t>
            </w:r>
          </w:p>
          <w:p w14:paraId="0A7D7BE7" w14:textId="77777777" w:rsidR="00837428" w:rsidRPr="009E686F" w:rsidRDefault="00837428" w:rsidP="00837428">
            <w:pPr>
              <w:spacing w:after="0" w:line="278" w:lineRule="auto"/>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 xml:space="preserve">a) poziţia societăţii financiare holding sau a societăţii financiare holding mixte într-un grup cu mai multe niveluri; </w:t>
            </w:r>
          </w:p>
          <w:p w14:paraId="0B06F4C9" w14:textId="77777777" w:rsidR="00837428" w:rsidRPr="009E686F" w:rsidRDefault="00837428" w:rsidP="00837428">
            <w:pPr>
              <w:spacing w:after="0" w:line="278" w:lineRule="auto"/>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 xml:space="preserve">b) structura acţionariatului și </w:t>
            </w:r>
          </w:p>
          <w:p w14:paraId="7043C195" w14:textId="24E96869" w:rsidR="00837428" w:rsidRPr="009E686F" w:rsidRDefault="00837428" w:rsidP="00837428">
            <w:pPr>
              <w:spacing w:after="0"/>
              <w:jc w:val="both"/>
              <w:rPr>
                <w:rFonts w:ascii="Times New Roman" w:hAnsi="Times New Roman" w:cs="Times New Roman"/>
                <w:b/>
                <w:i/>
                <w:iCs/>
                <w:lang w:val="ro-MD"/>
              </w:rPr>
            </w:pPr>
            <w:r w:rsidRPr="009E686F">
              <w:rPr>
                <w:rFonts w:ascii="Times New Roman" w:eastAsia="Aptos" w:hAnsi="Times New Roman" w:cs="Times New Roman"/>
                <w:i/>
                <w:iCs/>
                <w:kern w:val="2"/>
                <w:lang w:val="ro-MD"/>
              </w:rPr>
              <w:t>c) rolul societăţii financiare holding sau al societăţii financiare holding mixte în cadrul grupului.</w:t>
            </w:r>
          </w:p>
        </w:tc>
        <w:tc>
          <w:tcPr>
            <w:tcW w:w="470" w:type="pct"/>
            <w:tcBorders>
              <w:top w:val="single" w:sz="4" w:space="0" w:color="auto"/>
              <w:left w:val="single" w:sz="4" w:space="0" w:color="auto"/>
              <w:bottom w:val="single" w:sz="4" w:space="0" w:color="auto"/>
              <w:right w:val="single" w:sz="4" w:space="0" w:color="auto"/>
            </w:tcBorders>
          </w:tcPr>
          <w:p w14:paraId="726670A7" w14:textId="35A15C90" w:rsidR="00837428" w:rsidRPr="009E686F" w:rsidRDefault="00837428" w:rsidP="00837428">
            <w:pPr>
              <w:jc w:val="both"/>
              <w:rPr>
                <w:rFonts w:ascii="Times New Roman" w:hAnsi="Times New Roman" w:cs="Times New Roman"/>
              </w:rPr>
            </w:pPr>
            <w:r w:rsidRPr="009E686F">
              <w:rPr>
                <w:rFonts w:ascii="Times New Roman" w:hAnsi="Times New Roman" w:cs="Times New Roman"/>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5EFCBCDD" w14:textId="77777777" w:rsidR="00837428" w:rsidRPr="009E686F" w:rsidRDefault="00837428" w:rsidP="00837428">
            <w:pPr>
              <w:spacing w:after="0"/>
              <w:jc w:val="both"/>
              <w:rPr>
                <w:rFonts w:ascii="Times New Roman" w:hAnsi="Times New Roman" w:cs="Times New Roman"/>
              </w:rPr>
            </w:pPr>
          </w:p>
        </w:tc>
      </w:tr>
      <w:tr w:rsidR="00837428" w:rsidRPr="009E686F" w14:paraId="13D51316" w14:textId="77777777" w:rsidTr="00960C23">
        <w:tc>
          <w:tcPr>
            <w:tcW w:w="1890" w:type="pct"/>
            <w:tcBorders>
              <w:top w:val="single" w:sz="4" w:space="0" w:color="auto"/>
              <w:left w:val="single" w:sz="4" w:space="0" w:color="auto"/>
              <w:bottom w:val="single" w:sz="4" w:space="0" w:color="auto"/>
              <w:right w:val="single" w:sz="4" w:space="0" w:color="auto"/>
            </w:tcBorders>
          </w:tcPr>
          <w:p w14:paraId="2BE02D10" w14:textId="4ABA8B83" w:rsidR="00837428" w:rsidRPr="009E686F" w:rsidRDefault="00837428" w:rsidP="00837428">
            <w:pPr>
              <w:spacing w:after="0"/>
              <w:jc w:val="both"/>
              <w:rPr>
                <w:rFonts w:ascii="Times New Roman" w:hAnsi="Times New Roman" w:cs="Times New Roman"/>
                <w:lang w:val="it-CH"/>
              </w:rPr>
            </w:pPr>
            <w:r w:rsidRPr="009E686F">
              <w:rPr>
                <w:rFonts w:ascii="Times New Roman" w:hAnsi="Times New Roman" w:cs="Times New Roman"/>
                <w:lang w:val="it-CH"/>
              </w:rPr>
              <w:t>(c) sunt respectate criteriile privind acționarii și asociații instituțiilor de credit prevăzute la articolul 14 și cerințele prevăzute la articolul 121.</w:t>
            </w:r>
          </w:p>
        </w:tc>
        <w:tc>
          <w:tcPr>
            <w:tcW w:w="1834" w:type="pct"/>
            <w:tcBorders>
              <w:top w:val="single" w:sz="4" w:space="0" w:color="auto"/>
              <w:left w:val="single" w:sz="4" w:space="0" w:color="auto"/>
              <w:bottom w:val="single" w:sz="4" w:space="0" w:color="auto"/>
              <w:right w:val="single" w:sz="4" w:space="0" w:color="auto"/>
            </w:tcBorders>
          </w:tcPr>
          <w:p w14:paraId="5C8A27F5" w14:textId="6754446E" w:rsidR="00837428" w:rsidRPr="009E686F" w:rsidRDefault="00837428" w:rsidP="00837428">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b/>
                <w:bCs/>
                <w:kern w:val="2"/>
                <w:lang w:val="ro-MD"/>
              </w:rPr>
              <w:t>Articolul 116</w:t>
            </w:r>
            <w:r w:rsidRPr="009E686F">
              <w:rPr>
                <w:rFonts w:ascii="Times New Roman" w:eastAsia="Aptos" w:hAnsi="Times New Roman" w:cs="Times New Roman"/>
                <w:b/>
                <w:bCs/>
                <w:kern w:val="2"/>
                <w:vertAlign w:val="superscript"/>
                <w:lang w:val="ro-MD"/>
              </w:rPr>
              <w:t xml:space="preserve">1 </w:t>
            </w:r>
            <w:r w:rsidRPr="009E686F">
              <w:rPr>
                <w:rFonts w:ascii="Times New Roman" w:eastAsia="Aptos" w:hAnsi="Times New Roman" w:cs="Times New Roman"/>
                <w:b/>
                <w:bCs/>
                <w:kern w:val="2"/>
                <w:lang w:val="ro-MD"/>
              </w:rPr>
              <w:t>alin. (7), lit. c)</w:t>
            </w:r>
          </w:p>
          <w:p w14:paraId="3815898F" w14:textId="63802470" w:rsidR="00837428" w:rsidRPr="009E686F" w:rsidRDefault="00837428" w:rsidP="00837428">
            <w:pPr>
              <w:spacing w:after="0"/>
              <w:jc w:val="both"/>
              <w:rPr>
                <w:rFonts w:ascii="Times New Roman" w:hAnsi="Times New Roman" w:cs="Times New Roman"/>
                <w:b/>
                <w:lang w:val="it-CH"/>
              </w:rPr>
            </w:pPr>
            <w:r w:rsidRPr="009E686F">
              <w:rPr>
                <w:rFonts w:ascii="Times New Roman" w:eastAsia="Aptos" w:hAnsi="Times New Roman" w:cs="Times New Roman"/>
                <w:i/>
                <w:iCs/>
                <w:kern w:val="2"/>
                <w:lang w:val="ro-MD"/>
              </w:rPr>
              <w:t>(c) sunt respectate criteriile privind acționarii instituției de credit prevăzute la articolul 12 și cerinţele prevăzute la articolul 119.</w:t>
            </w:r>
          </w:p>
        </w:tc>
        <w:tc>
          <w:tcPr>
            <w:tcW w:w="470" w:type="pct"/>
            <w:tcBorders>
              <w:top w:val="single" w:sz="4" w:space="0" w:color="auto"/>
              <w:left w:val="single" w:sz="4" w:space="0" w:color="auto"/>
              <w:bottom w:val="single" w:sz="4" w:space="0" w:color="auto"/>
              <w:right w:val="single" w:sz="4" w:space="0" w:color="auto"/>
            </w:tcBorders>
          </w:tcPr>
          <w:p w14:paraId="2D4B0A51" w14:textId="732B921A" w:rsidR="00837428" w:rsidRPr="009E686F" w:rsidRDefault="00837428" w:rsidP="00837428">
            <w:pPr>
              <w:jc w:val="both"/>
              <w:rPr>
                <w:rFonts w:ascii="Times New Roman" w:hAnsi="Times New Roman" w:cs="Times New Roman"/>
                <w:b/>
                <w:bCs/>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32D79753" w14:textId="77777777" w:rsidR="00837428" w:rsidRPr="009E686F" w:rsidRDefault="00837428" w:rsidP="00837428">
            <w:pPr>
              <w:spacing w:after="0"/>
              <w:jc w:val="both"/>
              <w:rPr>
                <w:rFonts w:ascii="Times New Roman" w:hAnsi="Times New Roman" w:cs="Times New Roman"/>
              </w:rPr>
            </w:pPr>
          </w:p>
        </w:tc>
      </w:tr>
      <w:tr w:rsidR="00837428" w:rsidRPr="009E686F" w14:paraId="11EC6D40" w14:textId="77777777" w:rsidTr="00960C23">
        <w:tc>
          <w:tcPr>
            <w:tcW w:w="1890" w:type="pct"/>
            <w:tcBorders>
              <w:top w:val="single" w:sz="4" w:space="0" w:color="auto"/>
              <w:left w:val="single" w:sz="4" w:space="0" w:color="auto"/>
              <w:bottom w:val="single" w:sz="4" w:space="0" w:color="auto"/>
              <w:right w:val="single" w:sz="4" w:space="0" w:color="auto"/>
            </w:tcBorders>
          </w:tcPr>
          <w:p w14:paraId="314764F6" w14:textId="70626732" w:rsidR="00837428" w:rsidRPr="009E686F" w:rsidRDefault="00837428" w:rsidP="00837428">
            <w:pPr>
              <w:spacing w:after="0"/>
              <w:jc w:val="both"/>
              <w:rPr>
                <w:rFonts w:ascii="Times New Roman" w:hAnsi="Times New Roman" w:cs="Times New Roman"/>
              </w:rPr>
            </w:pPr>
            <w:r w:rsidRPr="009E686F">
              <w:rPr>
                <w:rFonts w:ascii="Times New Roman" w:hAnsi="Times New Roman" w:cs="Times New Roman"/>
              </w:rPr>
              <w:t>(4)  Societatea financiară holding sau societatea financiară holding mixtă poate solicita o exceptare de la aprobare în temeiul prezentului articol, care se acordă în cazul în care sunt îndeplinite toate condițiile următoare:</w:t>
            </w:r>
          </w:p>
        </w:tc>
        <w:tc>
          <w:tcPr>
            <w:tcW w:w="1834" w:type="pct"/>
            <w:tcBorders>
              <w:top w:val="single" w:sz="4" w:space="0" w:color="auto"/>
              <w:left w:val="single" w:sz="4" w:space="0" w:color="auto"/>
              <w:bottom w:val="single" w:sz="4" w:space="0" w:color="auto"/>
              <w:right w:val="single" w:sz="4" w:space="0" w:color="auto"/>
            </w:tcBorders>
          </w:tcPr>
          <w:p w14:paraId="265F7EA1" w14:textId="7563C65C" w:rsidR="00837428" w:rsidRPr="009E686F" w:rsidRDefault="00837428" w:rsidP="00837428">
            <w:pPr>
              <w:spacing w:after="0"/>
              <w:jc w:val="both"/>
              <w:rPr>
                <w:rFonts w:ascii="Times New Roman" w:eastAsia="Aptos" w:hAnsi="Times New Roman" w:cs="Times New Roman"/>
                <w:b/>
                <w:bCs/>
                <w:kern w:val="2"/>
                <w:lang w:val="ro-MD"/>
              </w:rPr>
            </w:pPr>
            <w:r w:rsidRPr="009E686F">
              <w:rPr>
                <w:rFonts w:ascii="Times New Roman" w:eastAsia="Aptos" w:hAnsi="Times New Roman" w:cs="Times New Roman"/>
                <w:b/>
                <w:bCs/>
                <w:kern w:val="2"/>
                <w:lang w:val="ro-MD"/>
              </w:rPr>
              <w:t>Articolul 116</w:t>
            </w:r>
            <w:r w:rsidRPr="009E686F">
              <w:rPr>
                <w:rFonts w:ascii="Times New Roman" w:eastAsia="Aptos" w:hAnsi="Times New Roman" w:cs="Times New Roman"/>
                <w:b/>
                <w:bCs/>
                <w:kern w:val="2"/>
                <w:vertAlign w:val="superscript"/>
                <w:lang w:val="ro-MD"/>
              </w:rPr>
              <w:t xml:space="preserve">2 </w:t>
            </w:r>
            <w:r w:rsidRPr="009E686F">
              <w:rPr>
                <w:rFonts w:ascii="Times New Roman" w:eastAsia="Aptos" w:hAnsi="Times New Roman" w:cs="Times New Roman"/>
                <w:b/>
                <w:bCs/>
                <w:kern w:val="2"/>
                <w:lang w:val="ro-MD"/>
              </w:rPr>
              <w:t>alin. (1)</w:t>
            </w:r>
          </w:p>
          <w:p w14:paraId="5B642DA3" w14:textId="1AC2CD31" w:rsidR="00837428" w:rsidRPr="009E686F" w:rsidRDefault="00837428" w:rsidP="00837428">
            <w:pPr>
              <w:spacing w:after="0" w:line="278" w:lineRule="auto"/>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 xml:space="preserve">(1) Societatea financiară holding sau societatea financiară holding mixtă poate solicita o exceptare de la aprobare, în cazul în care sunt îndeplinite cumulativ următoarele condiții: </w:t>
            </w:r>
          </w:p>
        </w:tc>
        <w:tc>
          <w:tcPr>
            <w:tcW w:w="470" w:type="pct"/>
            <w:tcBorders>
              <w:top w:val="single" w:sz="4" w:space="0" w:color="auto"/>
              <w:left w:val="single" w:sz="4" w:space="0" w:color="auto"/>
              <w:bottom w:val="single" w:sz="4" w:space="0" w:color="auto"/>
              <w:right w:val="single" w:sz="4" w:space="0" w:color="auto"/>
            </w:tcBorders>
          </w:tcPr>
          <w:p w14:paraId="2D37AB72" w14:textId="2609F6D7" w:rsidR="00837428" w:rsidRPr="009E686F" w:rsidRDefault="00837428" w:rsidP="00837428">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4BB8F71A" w14:textId="77777777" w:rsidR="00837428" w:rsidRPr="009E686F" w:rsidRDefault="00837428" w:rsidP="00837428">
            <w:pPr>
              <w:spacing w:after="0"/>
              <w:jc w:val="both"/>
              <w:rPr>
                <w:rFonts w:ascii="Times New Roman" w:hAnsi="Times New Roman" w:cs="Times New Roman"/>
              </w:rPr>
            </w:pPr>
          </w:p>
        </w:tc>
      </w:tr>
      <w:tr w:rsidR="00837428" w:rsidRPr="009E686F" w14:paraId="0ED02F4D" w14:textId="77777777" w:rsidTr="00960C23">
        <w:tc>
          <w:tcPr>
            <w:tcW w:w="1890" w:type="pct"/>
            <w:tcBorders>
              <w:top w:val="single" w:sz="4" w:space="0" w:color="auto"/>
              <w:left w:val="single" w:sz="4" w:space="0" w:color="auto"/>
              <w:bottom w:val="single" w:sz="4" w:space="0" w:color="auto"/>
              <w:right w:val="single" w:sz="4" w:space="0" w:color="auto"/>
            </w:tcBorders>
          </w:tcPr>
          <w:p w14:paraId="51343A46" w14:textId="26292FB4" w:rsidR="00837428" w:rsidRPr="009E686F" w:rsidRDefault="00837428" w:rsidP="00837428">
            <w:pPr>
              <w:spacing w:after="0"/>
              <w:jc w:val="both"/>
              <w:rPr>
                <w:rFonts w:ascii="Times New Roman" w:hAnsi="Times New Roman" w:cs="Times New Roman"/>
                <w:lang w:val="it-CH"/>
              </w:rPr>
            </w:pPr>
            <w:r w:rsidRPr="009E686F">
              <w:rPr>
                <w:rFonts w:ascii="Times New Roman" w:hAnsi="Times New Roman" w:cs="Times New Roman"/>
                <w:lang w:val="it-CH"/>
              </w:rPr>
              <w:t>(a) activitatea principală a societății financiare holding este aceea de a achiziționa participații în filiale sau, în cazul unei societăți financiare holding mixte, activitatea sa principală în raport cu instituțiile sau cu instituțiile financiare este aceea de a achiziționa participații în filiale;</w:t>
            </w:r>
          </w:p>
        </w:tc>
        <w:tc>
          <w:tcPr>
            <w:tcW w:w="1834" w:type="pct"/>
            <w:tcBorders>
              <w:top w:val="single" w:sz="4" w:space="0" w:color="auto"/>
              <w:left w:val="single" w:sz="4" w:space="0" w:color="auto"/>
              <w:bottom w:val="single" w:sz="4" w:space="0" w:color="auto"/>
              <w:right w:val="single" w:sz="4" w:space="0" w:color="auto"/>
            </w:tcBorders>
          </w:tcPr>
          <w:p w14:paraId="00B9A8F5" w14:textId="3D1B61DB" w:rsidR="00837428" w:rsidRPr="009E686F" w:rsidRDefault="00837428" w:rsidP="00837428">
            <w:pPr>
              <w:spacing w:after="0" w:line="278" w:lineRule="auto"/>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 xml:space="preserve">a) activitatea principală a societăţii financiare holding este aceea de a achiziţiona dețineri în filiale sau, în cazul unei societăţi financiare holding mixte, activitatea sa principală în raport cu instituțiile de credit sau cu instituţiile financiare este aceea de a achiziţiona dețineri în filiale; </w:t>
            </w:r>
          </w:p>
        </w:tc>
        <w:tc>
          <w:tcPr>
            <w:tcW w:w="470" w:type="pct"/>
            <w:tcBorders>
              <w:top w:val="single" w:sz="4" w:space="0" w:color="auto"/>
              <w:left w:val="single" w:sz="4" w:space="0" w:color="auto"/>
              <w:bottom w:val="single" w:sz="4" w:space="0" w:color="auto"/>
              <w:right w:val="single" w:sz="4" w:space="0" w:color="auto"/>
            </w:tcBorders>
          </w:tcPr>
          <w:p w14:paraId="6D937300" w14:textId="7BFDE9A9" w:rsidR="00837428" w:rsidRPr="009E686F" w:rsidRDefault="00837428" w:rsidP="00837428">
            <w:pPr>
              <w:jc w:val="both"/>
              <w:rPr>
                <w:rFonts w:ascii="Times New Roman" w:hAnsi="Times New Roman" w:cs="Times New Roman"/>
                <w:lang w:val="it-CH"/>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4CAFC973" w14:textId="77777777" w:rsidR="00837428" w:rsidRPr="009E686F" w:rsidRDefault="00837428" w:rsidP="00837428">
            <w:pPr>
              <w:spacing w:after="0"/>
              <w:jc w:val="both"/>
              <w:rPr>
                <w:rFonts w:ascii="Times New Roman" w:hAnsi="Times New Roman" w:cs="Times New Roman"/>
                <w:lang w:val="it-CH"/>
              </w:rPr>
            </w:pPr>
          </w:p>
        </w:tc>
      </w:tr>
      <w:tr w:rsidR="00837428" w:rsidRPr="009E686F" w14:paraId="20228C3D" w14:textId="77777777" w:rsidTr="00960C23">
        <w:tc>
          <w:tcPr>
            <w:tcW w:w="1890" w:type="pct"/>
            <w:tcBorders>
              <w:top w:val="single" w:sz="4" w:space="0" w:color="auto"/>
              <w:left w:val="single" w:sz="4" w:space="0" w:color="auto"/>
              <w:bottom w:val="single" w:sz="4" w:space="0" w:color="auto"/>
              <w:right w:val="single" w:sz="4" w:space="0" w:color="auto"/>
            </w:tcBorders>
          </w:tcPr>
          <w:p w14:paraId="0DE6A168" w14:textId="37733EC0" w:rsidR="00837428" w:rsidRPr="009E686F" w:rsidRDefault="00837428" w:rsidP="00837428">
            <w:pPr>
              <w:spacing w:after="0"/>
              <w:jc w:val="both"/>
              <w:rPr>
                <w:rFonts w:ascii="Times New Roman" w:hAnsi="Times New Roman" w:cs="Times New Roman"/>
              </w:rPr>
            </w:pPr>
            <w:r w:rsidRPr="009E686F">
              <w:rPr>
                <w:rFonts w:ascii="Times New Roman" w:hAnsi="Times New Roman" w:cs="Times New Roman"/>
              </w:rPr>
              <w:t>(b) societatea financiară holding sau societatea financiară holding mixtă nu a fost desemnată ca entitate de rezoluție în niciunul dintre grupurile de rezoluție din cadrul grupului în conformitate cu strategia de rezoluție stabilită de autoritatea de rezoluție relevantă în temeiul Directivei 2014/59/UE;</w:t>
            </w:r>
          </w:p>
        </w:tc>
        <w:tc>
          <w:tcPr>
            <w:tcW w:w="1834" w:type="pct"/>
            <w:tcBorders>
              <w:top w:val="single" w:sz="4" w:space="0" w:color="auto"/>
              <w:left w:val="single" w:sz="4" w:space="0" w:color="auto"/>
              <w:bottom w:val="single" w:sz="4" w:space="0" w:color="auto"/>
              <w:right w:val="single" w:sz="4" w:space="0" w:color="auto"/>
            </w:tcBorders>
          </w:tcPr>
          <w:p w14:paraId="7513646C" w14:textId="31DECDDA" w:rsidR="00837428" w:rsidRPr="009E686F" w:rsidRDefault="00837428" w:rsidP="00837428">
            <w:pPr>
              <w:spacing w:after="0" w:line="278" w:lineRule="auto"/>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 xml:space="preserve">b) societatea financiară holding sau societatea financiară holding mixtă nu a fost desemnată ca entitate de rezoluţie în niciunul dintre grupurile de rezoluţie din cadrul grupului în conformitate cu strategia de rezoluţie stabilită de autoritatea de rezoluţie relevantă în temeiul Legii nr. 232/2016; </w:t>
            </w:r>
          </w:p>
        </w:tc>
        <w:tc>
          <w:tcPr>
            <w:tcW w:w="470" w:type="pct"/>
            <w:tcBorders>
              <w:top w:val="single" w:sz="4" w:space="0" w:color="auto"/>
              <w:left w:val="single" w:sz="4" w:space="0" w:color="auto"/>
              <w:bottom w:val="single" w:sz="4" w:space="0" w:color="auto"/>
              <w:right w:val="single" w:sz="4" w:space="0" w:color="auto"/>
            </w:tcBorders>
          </w:tcPr>
          <w:p w14:paraId="0400755B" w14:textId="083CF531" w:rsidR="00837428" w:rsidRPr="009E686F" w:rsidRDefault="00837428" w:rsidP="00837428">
            <w:pPr>
              <w:jc w:val="both"/>
              <w:rPr>
                <w:rFonts w:ascii="Times New Roman" w:hAnsi="Times New Roman" w:cs="Times New Roman"/>
                <w:lang w:val="it-CH"/>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20A2C9C0" w14:textId="77777777" w:rsidR="00837428" w:rsidRPr="009E686F" w:rsidRDefault="00837428" w:rsidP="00837428">
            <w:pPr>
              <w:spacing w:after="0"/>
              <w:jc w:val="both"/>
              <w:rPr>
                <w:rFonts w:ascii="Times New Roman" w:hAnsi="Times New Roman" w:cs="Times New Roman"/>
                <w:lang w:val="it-CH"/>
              </w:rPr>
            </w:pPr>
          </w:p>
        </w:tc>
      </w:tr>
      <w:tr w:rsidR="00837428" w:rsidRPr="009E686F" w14:paraId="54F58439" w14:textId="77777777" w:rsidTr="00960C23">
        <w:tc>
          <w:tcPr>
            <w:tcW w:w="1890" w:type="pct"/>
            <w:tcBorders>
              <w:top w:val="single" w:sz="4" w:space="0" w:color="auto"/>
              <w:left w:val="single" w:sz="4" w:space="0" w:color="auto"/>
              <w:bottom w:val="single" w:sz="4" w:space="0" w:color="auto"/>
              <w:right w:val="single" w:sz="4" w:space="0" w:color="auto"/>
            </w:tcBorders>
          </w:tcPr>
          <w:p w14:paraId="6179121A" w14:textId="6ED6B4AB" w:rsidR="00837428" w:rsidRPr="009E686F" w:rsidRDefault="00837428" w:rsidP="00837428">
            <w:pPr>
              <w:spacing w:after="0"/>
              <w:jc w:val="both"/>
              <w:rPr>
                <w:rFonts w:ascii="Times New Roman" w:hAnsi="Times New Roman" w:cs="Times New Roman"/>
                <w:lang w:val="it-CH"/>
              </w:rPr>
            </w:pPr>
            <w:r w:rsidRPr="009E686F">
              <w:rPr>
                <w:rFonts w:ascii="Times New Roman" w:hAnsi="Times New Roman" w:cs="Times New Roman"/>
                <w:lang w:val="it-CH"/>
              </w:rPr>
              <w:t xml:space="preserve">(c) o instituție de credit filială, o societate financiară holding filială sau o societate financiară holding mixtă filială căreia i s-a acordat aprobarea în conformitate cu prezentul articol este desemnată ca fiind responsabilă cu asigurarea respectării de </w:t>
            </w:r>
            <w:r w:rsidRPr="009E686F">
              <w:rPr>
                <w:rFonts w:ascii="Times New Roman" w:hAnsi="Times New Roman" w:cs="Times New Roman"/>
                <w:lang w:val="it-CH"/>
              </w:rPr>
              <w:lastRenderedPageBreak/>
              <w:t>către grup a cerințelor prudențiale pe bază consolidată și i se pun la dispoziție toate mijloacele necesare și autoritatea legală pentru a îndeplini obligațiile respective în mod eficace;</w:t>
            </w:r>
          </w:p>
        </w:tc>
        <w:tc>
          <w:tcPr>
            <w:tcW w:w="1834" w:type="pct"/>
            <w:tcBorders>
              <w:top w:val="single" w:sz="4" w:space="0" w:color="auto"/>
              <w:left w:val="single" w:sz="4" w:space="0" w:color="auto"/>
              <w:bottom w:val="single" w:sz="4" w:space="0" w:color="auto"/>
              <w:right w:val="single" w:sz="4" w:space="0" w:color="auto"/>
            </w:tcBorders>
          </w:tcPr>
          <w:p w14:paraId="49B72F74" w14:textId="3F6CA9BE" w:rsidR="00837428" w:rsidRPr="009E686F" w:rsidRDefault="00837428" w:rsidP="00837428">
            <w:pPr>
              <w:spacing w:after="0" w:line="278" w:lineRule="auto"/>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lastRenderedPageBreak/>
              <w:t>c) o instituție de credit filială, o societate financiară holding filială sau o societate financiară holding mixtă filială căreia i s-a acordat aprobarea în conformitate cu art. 116</w:t>
            </w:r>
            <w:r w:rsidRPr="009E686F">
              <w:rPr>
                <w:rFonts w:ascii="Times New Roman" w:eastAsia="Aptos" w:hAnsi="Times New Roman" w:cs="Times New Roman"/>
                <w:i/>
                <w:iCs/>
                <w:kern w:val="2"/>
                <w:vertAlign w:val="superscript"/>
                <w:lang w:val="ro-MD"/>
              </w:rPr>
              <w:t>1</w:t>
            </w:r>
            <w:r w:rsidRPr="009E686F">
              <w:rPr>
                <w:rFonts w:ascii="Times New Roman" w:eastAsia="Aptos" w:hAnsi="Times New Roman" w:cs="Times New Roman"/>
                <w:i/>
                <w:iCs/>
                <w:kern w:val="2"/>
                <w:lang w:val="ro-MD"/>
              </w:rPr>
              <w:t xml:space="preserve"> este desemnată ca fiind responsabilă cu asigurarea respectării de </w:t>
            </w:r>
            <w:r w:rsidRPr="009E686F">
              <w:rPr>
                <w:rFonts w:ascii="Times New Roman" w:eastAsia="Aptos" w:hAnsi="Times New Roman" w:cs="Times New Roman"/>
                <w:i/>
                <w:iCs/>
                <w:kern w:val="2"/>
                <w:lang w:val="ro-MD"/>
              </w:rPr>
              <w:lastRenderedPageBreak/>
              <w:t>către grup a cerinţelor prudenţiale pe bază consolidată și i se pun la dispoziţie toate mijloacele necesare și autoritatea legală pentru a îndeplini obligaţiile respective în mod eficace;</w:t>
            </w:r>
          </w:p>
        </w:tc>
        <w:tc>
          <w:tcPr>
            <w:tcW w:w="470" w:type="pct"/>
            <w:tcBorders>
              <w:top w:val="single" w:sz="4" w:space="0" w:color="auto"/>
              <w:left w:val="single" w:sz="4" w:space="0" w:color="auto"/>
              <w:bottom w:val="single" w:sz="4" w:space="0" w:color="auto"/>
              <w:right w:val="single" w:sz="4" w:space="0" w:color="auto"/>
            </w:tcBorders>
          </w:tcPr>
          <w:p w14:paraId="13A44325" w14:textId="770A1856" w:rsidR="00837428" w:rsidRPr="009E686F" w:rsidRDefault="00837428" w:rsidP="00837428">
            <w:pPr>
              <w:jc w:val="both"/>
              <w:rPr>
                <w:rFonts w:ascii="Times New Roman" w:hAnsi="Times New Roman" w:cs="Times New Roman"/>
                <w:lang w:val="it-CH"/>
              </w:rPr>
            </w:pPr>
            <w:r w:rsidRPr="009E686F">
              <w:rPr>
                <w:rFonts w:ascii="Times New Roman" w:hAnsi="Times New Roman" w:cs="Times New Roman"/>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1FB0994B" w14:textId="77777777" w:rsidR="00837428" w:rsidRPr="009E686F" w:rsidRDefault="00837428" w:rsidP="00837428">
            <w:pPr>
              <w:spacing w:after="0"/>
              <w:jc w:val="both"/>
              <w:rPr>
                <w:rFonts w:ascii="Times New Roman" w:hAnsi="Times New Roman" w:cs="Times New Roman"/>
                <w:lang w:val="it-CH"/>
              </w:rPr>
            </w:pPr>
          </w:p>
        </w:tc>
      </w:tr>
      <w:tr w:rsidR="00837428" w:rsidRPr="009E686F" w14:paraId="663B46F6" w14:textId="77777777" w:rsidTr="00960C23">
        <w:tc>
          <w:tcPr>
            <w:tcW w:w="1890" w:type="pct"/>
            <w:tcBorders>
              <w:top w:val="single" w:sz="4" w:space="0" w:color="auto"/>
              <w:left w:val="single" w:sz="4" w:space="0" w:color="auto"/>
              <w:bottom w:val="single" w:sz="4" w:space="0" w:color="auto"/>
              <w:right w:val="single" w:sz="4" w:space="0" w:color="auto"/>
            </w:tcBorders>
          </w:tcPr>
          <w:p w14:paraId="35828391" w14:textId="2ED7EDC6" w:rsidR="00837428" w:rsidRPr="009E686F" w:rsidRDefault="00837428" w:rsidP="00837428">
            <w:pPr>
              <w:spacing w:after="0"/>
              <w:jc w:val="both"/>
              <w:rPr>
                <w:rFonts w:ascii="Times New Roman" w:hAnsi="Times New Roman" w:cs="Times New Roman"/>
              </w:rPr>
            </w:pPr>
            <w:r w:rsidRPr="009E686F">
              <w:rPr>
                <w:rFonts w:ascii="Times New Roman" w:hAnsi="Times New Roman" w:cs="Times New Roman"/>
              </w:rPr>
              <w:t>(d) societatea financiară holding sau societatea financiară holding mixtă nu este angajată în luarea unor decizii de management, operaționale sau financiare care afectează grupul sau filialele acestuia care sunt instituții sau instituții financiare;</w:t>
            </w:r>
          </w:p>
        </w:tc>
        <w:tc>
          <w:tcPr>
            <w:tcW w:w="1834" w:type="pct"/>
            <w:tcBorders>
              <w:top w:val="single" w:sz="4" w:space="0" w:color="auto"/>
              <w:left w:val="single" w:sz="4" w:space="0" w:color="auto"/>
              <w:bottom w:val="single" w:sz="4" w:space="0" w:color="auto"/>
              <w:right w:val="single" w:sz="4" w:space="0" w:color="auto"/>
            </w:tcBorders>
          </w:tcPr>
          <w:p w14:paraId="3450F332" w14:textId="66ABEBF9" w:rsidR="00837428" w:rsidRPr="009E686F" w:rsidRDefault="00837428" w:rsidP="00837428">
            <w:pPr>
              <w:spacing w:after="0" w:line="278" w:lineRule="auto"/>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 xml:space="preserve">d) societatea financiară holding sau societatea financiară holding mixtă nu este angajată în luarea unor decizii de management, operaţionale sau financiare care afectează grupul sau filialele acestuia care sunt instituții de credit sau instituţii financiare; </w:t>
            </w:r>
          </w:p>
        </w:tc>
        <w:tc>
          <w:tcPr>
            <w:tcW w:w="470" w:type="pct"/>
            <w:tcBorders>
              <w:top w:val="single" w:sz="4" w:space="0" w:color="auto"/>
              <w:left w:val="single" w:sz="4" w:space="0" w:color="auto"/>
              <w:bottom w:val="single" w:sz="4" w:space="0" w:color="auto"/>
              <w:right w:val="single" w:sz="4" w:space="0" w:color="auto"/>
            </w:tcBorders>
          </w:tcPr>
          <w:p w14:paraId="208E8AED" w14:textId="393A4C78" w:rsidR="00837428" w:rsidRPr="009E686F" w:rsidRDefault="00837428" w:rsidP="00837428">
            <w:pPr>
              <w:jc w:val="both"/>
              <w:rPr>
                <w:rFonts w:ascii="Times New Roman" w:hAnsi="Times New Roman" w:cs="Times New Roman"/>
                <w:lang w:val="it-CH"/>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17745DB2" w14:textId="77777777" w:rsidR="00837428" w:rsidRPr="009E686F" w:rsidRDefault="00837428" w:rsidP="00837428">
            <w:pPr>
              <w:spacing w:after="0"/>
              <w:jc w:val="both"/>
              <w:rPr>
                <w:rFonts w:ascii="Times New Roman" w:hAnsi="Times New Roman" w:cs="Times New Roman"/>
                <w:lang w:val="it-CH"/>
              </w:rPr>
            </w:pPr>
          </w:p>
        </w:tc>
      </w:tr>
      <w:tr w:rsidR="00837428" w:rsidRPr="009E686F" w14:paraId="63AAC00F" w14:textId="77777777" w:rsidTr="00960C23">
        <w:tc>
          <w:tcPr>
            <w:tcW w:w="1890" w:type="pct"/>
            <w:tcBorders>
              <w:top w:val="single" w:sz="4" w:space="0" w:color="auto"/>
              <w:left w:val="single" w:sz="4" w:space="0" w:color="auto"/>
              <w:bottom w:val="single" w:sz="4" w:space="0" w:color="auto"/>
              <w:right w:val="single" w:sz="4" w:space="0" w:color="auto"/>
            </w:tcBorders>
          </w:tcPr>
          <w:p w14:paraId="59CFD9E6" w14:textId="1D212781" w:rsidR="00837428" w:rsidRPr="009E686F" w:rsidRDefault="00837428" w:rsidP="00837428">
            <w:pPr>
              <w:spacing w:after="0"/>
              <w:jc w:val="both"/>
              <w:rPr>
                <w:rFonts w:ascii="Times New Roman" w:hAnsi="Times New Roman" w:cs="Times New Roman"/>
                <w:lang w:val="it-CH"/>
              </w:rPr>
            </w:pPr>
            <w:r w:rsidRPr="009E686F">
              <w:rPr>
                <w:rFonts w:ascii="Times New Roman" w:hAnsi="Times New Roman" w:cs="Times New Roman"/>
                <w:lang w:val="it-CH"/>
              </w:rPr>
              <w:t>(e) nu există niciun impediment în calea supravegherii efective a grupului pe bază consolidată.</w:t>
            </w:r>
          </w:p>
        </w:tc>
        <w:tc>
          <w:tcPr>
            <w:tcW w:w="1834" w:type="pct"/>
            <w:tcBorders>
              <w:top w:val="single" w:sz="4" w:space="0" w:color="auto"/>
              <w:left w:val="single" w:sz="4" w:space="0" w:color="auto"/>
              <w:bottom w:val="single" w:sz="4" w:space="0" w:color="auto"/>
              <w:right w:val="single" w:sz="4" w:space="0" w:color="auto"/>
            </w:tcBorders>
          </w:tcPr>
          <w:p w14:paraId="5FE6C04B" w14:textId="608259EE" w:rsidR="00837428" w:rsidRPr="009E686F" w:rsidRDefault="00837428" w:rsidP="00837428">
            <w:pPr>
              <w:spacing w:after="0"/>
              <w:jc w:val="both"/>
              <w:rPr>
                <w:rFonts w:ascii="Times New Roman" w:hAnsi="Times New Roman" w:cs="Times New Roman"/>
                <w:b/>
                <w:i/>
                <w:iCs/>
                <w:lang w:val="it-CH"/>
              </w:rPr>
            </w:pPr>
            <w:r w:rsidRPr="009E686F">
              <w:rPr>
                <w:rFonts w:ascii="Times New Roman" w:eastAsia="Aptos" w:hAnsi="Times New Roman" w:cs="Times New Roman"/>
                <w:i/>
                <w:iCs/>
                <w:kern w:val="2"/>
                <w:lang w:val="ro-MD"/>
              </w:rPr>
              <w:t>e) nu există niciun impediment în calea supravegherii efective a grupului pe bază consolidată.</w:t>
            </w:r>
          </w:p>
        </w:tc>
        <w:tc>
          <w:tcPr>
            <w:tcW w:w="470" w:type="pct"/>
            <w:tcBorders>
              <w:top w:val="single" w:sz="4" w:space="0" w:color="auto"/>
              <w:left w:val="single" w:sz="4" w:space="0" w:color="auto"/>
              <w:bottom w:val="single" w:sz="4" w:space="0" w:color="auto"/>
              <w:right w:val="single" w:sz="4" w:space="0" w:color="auto"/>
            </w:tcBorders>
          </w:tcPr>
          <w:p w14:paraId="326BE16D" w14:textId="6734B2AD" w:rsidR="00837428" w:rsidRPr="009E686F" w:rsidRDefault="00837428" w:rsidP="00837428">
            <w:pPr>
              <w:jc w:val="both"/>
              <w:rPr>
                <w:rFonts w:ascii="Times New Roman" w:hAnsi="Times New Roman" w:cs="Times New Roman"/>
                <w:lang w:val="it-CH"/>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6FB3E6D1" w14:textId="77777777" w:rsidR="00837428" w:rsidRPr="009E686F" w:rsidRDefault="00837428" w:rsidP="00837428">
            <w:pPr>
              <w:spacing w:after="0"/>
              <w:jc w:val="both"/>
              <w:rPr>
                <w:rFonts w:ascii="Times New Roman" w:hAnsi="Times New Roman" w:cs="Times New Roman"/>
                <w:lang w:val="it-CH"/>
              </w:rPr>
            </w:pPr>
          </w:p>
        </w:tc>
      </w:tr>
      <w:tr w:rsidR="00837428" w:rsidRPr="009E686F" w14:paraId="297208AE" w14:textId="77777777" w:rsidTr="00960C23">
        <w:tc>
          <w:tcPr>
            <w:tcW w:w="1890" w:type="pct"/>
            <w:tcBorders>
              <w:top w:val="single" w:sz="4" w:space="0" w:color="auto"/>
              <w:left w:val="single" w:sz="4" w:space="0" w:color="auto"/>
              <w:bottom w:val="single" w:sz="4" w:space="0" w:color="auto"/>
              <w:right w:val="single" w:sz="4" w:space="0" w:color="auto"/>
            </w:tcBorders>
          </w:tcPr>
          <w:p w14:paraId="0D52CF31" w14:textId="6F32F9E8" w:rsidR="00837428" w:rsidRPr="009E686F" w:rsidRDefault="00837428" w:rsidP="00837428">
            <w:pPr>
              <w:spacing w:after="0"/>
              <w:jc w:val="both"/>
              <w:rPr>
                <w:rFonts w:ascii="Times New Roman" w:hAnsi="Times New Roman" w:cs="Times New Roman"/>
              </w:rPr>
            </w:pPr>
            <w:r w:rsidRPr="009E686F">
              <w:rPr>
                <w:rFonts w:ascii="Times New Roman" w:hAnsi="Times New Roman" w:cs="Times New Roman"/>
              </w:rPr>
              <w:t>Societățile financiare holding și societățile financiare holding mixte exceptate de la aprobare în conformitate cu prezentul alineat nu sunt excluse din perimetrul de consolidare astfel cum este stabilit în prezenta directivă și în Regulamentul (UE) nr. 575/2013.</w:t>
            </w:r>
          </w:p>
        </w:tc>
        <w:tc>
          <w:tcPr>
            <w:tcW w:w="1834" w:type="pct"/>
            <w:tcBorders>
              <w:top w:val="single" w:sz="4" w:space="0" w:color="auto"/>
              <w:left w:val="single" w:sz="4" w:space="0" w:color="auto"/>
              <w:bottom w:val="single" w:sz="4" w:space="0" w:color="auto"/>
              <w:right w:val="single" w:sz="4" w:space="0" w:color="auto"/>
            </w:tcBorders>
          </w:tcPr>
          <w:p w14:paraId="25BD0BFA" w14:textId="6622966C" w:rsidR="00837428" w:rsidRPr="009E686F" w:rsidRDefault="00837428" w:rsidP="00837428">
            <w:pPr>
              <w:spacing w:after="0"/>
              <w:jc w:val="both"/>
              <w:rPr>
                <w:rFonts w:ascii="Times New Roman" w:eastAsia="Aptos" w:hAnsi="Times New Roman" w:cs="Times New Roman"/>
                <w:b/>
                <w:bCs/>
                <w:kern w:val="2"/>
                <w:lang w:val="ro-MD"/>
              </w:rPr>
            </w:pPr>
            <w:r w:rsidRPr="009E686F">
              <w:rPr>
                <w:rFonts w:ascii="Times New Roman" w:eastAsia="Aptos" w:hAnsi="Times New Roman" w:cs="Times New Roman"/>
                <w:b/>
                <w:bCs/>
                <w:kern w:val="2"/>
                <w:lang w:val="ro-MD"/>
              </w:rPr>
              <w:t>Articolul 116</w:t>
            </w:r>
            <w:r w:rsidRPr="009E686F">
              <w:rPr>
                <w:rFonts w:ascii="Times New Roman" w:eastAsia="Aptos" w:hAnsi="Times New Roman" w:cs="Times New Roman"/>
                <w:b/>
                <w:bCs/>
                <w:kern w:val="2"/>
                <w:vertAlign w:val="superscript"/>
                <w:lang w:val="ro-MD"/>
              </w:rPr>
              <w:t xml:space="preserve">2 </w:t>
            </w:r>
            <w:r w:rsidRPr="009E686F">
              <w:rPr>
                <w:rFonts w:ascii="Times New Roman" w:eastAsia="Aptos" w:hAnsi="Times New Roman" w:cs="Times New Roman"/>
                <w:b/>
                <w:bCs/>
                <w:kern w:val="2"/>
                <w:lang w:val="ro-MD"/>
              </w:rPr>
              <w:t>alin. (2)</w:t>
            </w:r>
          </w:p>
          <w:p w14:paraId="741E23DE" w14:textId="6FB37F2D" w:rsidR="00837428" w:rsidRPr="009E686F" w:rsidRDefault="00837428" w:rsidP="00837428">
            <w:pPr>
              <w:spacing w:after="0"/>
              <w:jc w:val="both"/>
              <w:rPr>
                <w:rFonts w:ascii="Times New Roman" w:hAnsi="Times New Roman" w:cs="Times New Roman"/>
                <w:b/>
                <w:i/>
                <w:lang w:val="it-CH"/>
              </w:rPr>
            </w:pPr>
            <w:r w:rsidRPr="009E686F">
              <w:rPr>
                <w:rFonts w:ascii="Times New Roman" w:eastAsia="Aptos" w:hAnsi="Times New Roman" w:cs="Times New Roman"/>
                <w:i/>
                <w:iCs/>
                <w:kern w:val="2"/>
                <w:lang w:val="ro-MD"/>
              </w:rPr>
              <w:t>(2) Societățile financiare holding și societățile financiare holding mixte exceptate de la aprobare în conformitate cu alin. (1) nu sunt excluse din perimetrul de consolidare, astfel cum este stabilit de prezenta lege și acele normative emise în aplicarea acesteia.</w:t>
            </w:r>
          </w:p>
        </w:tc>
        <w:tc>
          <w:tcPr>
            <w:tcW w:w="470" w:type="pct"/>
            <w:tcBorders>
              <w:top w:val="single" w:sz="4" w:space="0" w:color="auto"/>
              <w:left w:val="single" w:sz="4" w:space="0" w:color="auto"/>
              <w:bottom w:val="single" w:sz="4" w:space="0" w:color="auto"/>
              <w:right w:val="single" w:sz="4" w:space="0" w:color="auto"/>
            </w:tcBorders>
          </w:tcPr>
          <w:p w14:paraId="4352FABA" w14:textId="09DE3E9B" w:rsidR="00837428" w:rsidRPr="009E686F" w:rsidRDefault="00837428" w:rsidP="00837428">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61698DCE" w14:textId="77777777" w:rsidR="00837428" w:rsidRPr="009E686F" w:rsidRDefault="00837428" w:rsidP="00837428">
            <w:pPr>
              <w:spacing w:after="0"/>
              <w:jc w:val="both"/>
              <w:rPr>
                <w:rFonts w:ascii="Times New Roman" w:hAnsi="Times New Roman" w:cs="Times New Roman"/>
              </w:rPr>
            </w:pPr>
          </w:p>
        </w:tc>
      </w:tr>
      <w:tr w:rsidR="00837428" w:rsidRPr="009E686F" w14:paraId="6CA86F33" w14:textId="77777777" w:rsidTr="00960C23">
        <w:tc>
          <w:tcPr>
            <w:tcW w:w="1890" w:type="pct"/>
            <w:tcBorders>
              <w:top w:val="single" w:sz="4" w:space="0" w:color="auto"/>
              <w:left w:val="single" w:sz="4" w:space="0" w:color="auto"/>
              <w:bottom w:val="single" w:sz="4" w:space="0" w:color="auto"/>
              <w:right w:val="single" w:sz="4" w:space="0" w:color="auto"/>
            </w:tcBorders>
          </w:tcPr>
          <w:p w14:paraId="123D1070" w14:textId="3855BDF4" w:rsidR="00837428" w:rsidRPr="009E686F" w:rsidRDefault="00837428" w:rsidP="00837428">
            <w:pPr>
              <w:spacing w:after="0"/>
              <w:jc w:val="both"/>
              <w:rPr>
                <w:rFonts w:ascii="Times New Roman" w:hAnsi="Times New Roman" w:cs="Times New Roman"/>
                <w:lang w:val="it-CH"/>
              </w:rPr>
            </w:pPr>
            <w:r w:rsidRPr="009E686F">
              <w:rPr>
                <w:rFonts w:ascii="Times New Roman" w:hAnsi="Times New Roman" w:cs="Times New Roman"/>
                <w:lang w:val="it-CH"/>
              </w:rPr>
              <w:t>(4a) Fără a aduce atingere alineatului (4), supraveghetorul consolidant poate permite, de la caz la caz, excluderea din perimetrul de consolidare a societăților financiare holding sau a societăților financiare holding mixte exceptate de la aprobare, însă doar dacă sunt îndeplinite următoarele condiții:</w:t>
            </w:r>
          </w:p>
        </w:tc>
        <w:tc>
          <w:tcPr>
            <w:tcW w:w="1834" w:type="pct"/>
            <w:tcBorders>
              <w:top w:val="single" w:sz="4" w:space="0" w:color="auto"/>
              <w:left w:val="single" w:sz="4" w:space="0" w:color="auto"/>
              <w:bottom w:val="single" w:sz="4" w:space="0" w:color="auto"/>
              <w:right w:val="single" w:sz="4" w:space="0" w:color="auto"/>
            </w:tcBorders>
          </w:tcPr>
          <w:p w14:paraId="1E9ED66B" w14:textId="07BD1406" w:rsidR="00837428" w:rsidRPr="009E686F" w:rsidRDefault="00837428" w:rsidP="00837428">
            <w:pPr>
              <w:spacing w:after="0"/>
              <w:jc w:val="both"/>
              <w:rPr>
                <w:rFonts w:ascii="Times New Roman" w:eastAsia="Aptos" w:hAnsi="Times New Roman" w:cs="Times New Roman"/>
                <w:b/>
                <w:bCs/>
                <w:kern w:val="2"/>
                <w:lang w:val="ro-MD"/>
              </w:rPr>
            </w:pPr>
            <w:r w:rsidRPr="009E686F">
              <w:rPr>
                <w:rFonts w:ascii="Times New Roman" w:eastAsia="Aptos" w:hAnsi="Times New Roman" w:cs="Times New Roman"/>
                <w:b/>
                <w:bCs/>
                <w:kern w:val="2"/>
                <w:lang w:val="ro-MD"/>
              </w:rPr>
              <w:t>Articolul 116</w:t>
            </w:r>
            <w:r w:rsidRPr="009E686F">
              <w:rPr>
                <w:rFonts w:ascii="Times New Roman" w:eastAsia="Aptos" w:hAnsi="Times New Roman" w:cs="Times New Roman"/>
                <w:b/>
                <w:bCs/>
                <w:kern w:val="2"/>
                <w:vertAlign w:val="superscript"/>
                <w:lang w:val="ro-MD"/>
              </w:rPr>
              <w:t xml:space="preserve">2 </w:t>
            </w:r>
            <w:r w:rsidRPr="009E686F">
              <w:rPr>
                <w:rFonts w:ascii="Times New Roman" w:eastAsia="Aptos" w:hAnsi="Times New Roman" w:cs="Times New Roman"/>
                <w:b/>
                <w:bCs/>
                <w:kern w:val="2"/>
                <w:lang w:val="ro-MD"/>
              </w:rPr>
              <w:t>alin. (3)</w:t>
            </w:r>
          </w:p>
          <w:p w14:paraId="2C03F828" w14:textId="5700F908" w:rsidR="00837428" w:rsidRPr="009E686F" w:rsidRDefault="00837428" w:rsidP="00837428">
            <w:pPr>
              <w:spacing w:after="0" w:line="278" w:lineRule="auto"/>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 xml:space="preserve">(3) Fără a aduce atingere alin. (1), Banca Națională a Moldovei, în calitate de supraveghetor consolidant poate permite, după caz, excluderea din perimetrul de consolidare a societăților financiare holding sau a societăților financiare holding mixte exceptate de la aprobare, în cazul în care sunt îndeplinite următoarele condiții: </w:t>
            </w:r>
          </w:p>
        </w:tc>
        <w:tc>
          <w:tcPr>
            <w:tcW w:w="470" w:type="pct"/>
            <w:tcBorders>
              <w:top w:val="single" w:sz="4" w:space="0" w:color="auto"/>
              <w:left w:val="single" w:sz="4" w:space="0" w:color="auto"/>
              <w:bottom w:val="single" w:sz="4" w:space="0" w:color="auto"/>
              <w:right w:val="single" w:sz="4" w:space="0" w:color="auto"/>
            </w:tcBorders>
          </w:tcPr>
          <w:p w14:paraId="2F53D732" w14:textId="0AEB5E4F" w:rsidR="00837428" w:rsidRPr="009E686F" w:rsidRDefault="00837428" w:rsidP="00837428">
            <w:pPr>
              <w:jc w:val="both"/>
              <w:rPr>
                <w:rFonts w:ascii="Times New Roman" w:hAnsi="Times New Roman" w:cs="Times New Roman"/>
                <w:lang w:val="ro-MD"/>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3E7369A3" w14:textId="77777777" w:rsidR="00837428" w:rsidRPr="009E686F" w:rsidRDefault="00837428" w:rsidP="00837428">
            <w:pPr>
              <w:spacing w:after="0"/>
              <w:jc w:val="both"/>
              <w:rPr>
                <w:rFonts w:ascii="Times New Roman" w:hAnsi="Times New Roman" w:cs="Times New Roman"/>
                <w:lang w:val="ro-MD"/>
              </w:rPr>
            </w:pPr>
          </w:p>
        </w:tc>
      </w:tr>
      <w:tr w:rsidR="00837428" w:rsidRPr="009E686F" w14:paraId="138C7823" w14:textId="77777777" w:rsidTr="00960C23">
        <w:tc>
          <w:tcPr>
            <w:tcW w:w="1890" w:type="pct"/>
            <w:tcBorders>
              <w:top w:val="single" w:sz="4" w:space="0" w:color="auto"/>
              <w:left w:val="single" w:sz="4" w:space="0" w:color="auto"/>
              <w:bottom w:val="single" w:sz="4" w:space="0" w:color="auto"/>
              <w:right w:val="single" w:sz="4" w:space="0" w:color="auto"/>
            </w:tcBorders>
          </w:tcPr>
          <w:p w14:paraId="1340E3C7" w14:textId="754E7A9A" w:rsidR="00837428" w:rsidRPr="009E686F" w:rsidRDefault="00837428" w:rsidP="00837428">
            <w:pPr>
              <w:spacing w:after="0"/>
              <w:jc w:val="both"/>
              <w:rPr>
                <w:rFonts w:ascii="Times New Roman" w:hAnsi="Times New Roman" w:cs="Times New Roman"/>
                <w:lang w:val="pt-BR"/>
              </w:rPr>
            </w:pPr>
            <w:r w:rsidRPr="009E686F">
              <w:rPr>
                <w:rFonts w:ascii="Times New Roman" w:hAnsi="Times New Roman" w:cs="Times New Roman"/>
                <w:lang w:val="pt-BR"/>
              </w:rPr>
              <w:t>(a) excluderea nu afectează eficacitatea supravegherii instituției de credit filială sau a grupului;</w:t>
            </w:r>
          </w:p>
        </w:tc>
        <w:tc>
          <w:tcPr>
            <w:tcW w:w="1834" w:type="pct"/>
            <w:tcBorders>
              <w:top w:val="single" w:sz="4" w:space="0" w:color="auto"/>
              <w:left w:val="single" w:sz="4" w:space="0" w:color="auto"/>
              <w:bottom w:val="single" w:sz="4" w:space="0" w:color="auto"/>
              <w:right w:val="single" w:sz="4" w:space="0" w:color="auto"/>
            </w:tcBorders>
          </w:tcPr>
          <w:p w14:paraId="2A4BB59B" w14:textId="62FDCFBD" w:rsidR="00837428" w:rsidRPr="009E686F" w:rsidRDefault="00837428" w:rsidP="00837428">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i/>
                <w:iCs/>
                <w:kern w:val="2"/>
                <w:lang w:val="ro-MD"/>
              </w:rPr>
              <w:t>a) excluderea nu afectează eficacitatea supravegherii instituției de credit filială sau a grupului</w:t>
            </w:r>
            <w:r w:rsidRPr="009E686F">
              <w:rPr>
                <w:rFonts w:ascii="Times New Roman" w:eastAsia="Aptos" w:hAnsi="Times New Roman" w:cs="Times New Roman"/>
                <w:kern w:val="2"/>
                <w:lang w:val="ro-MD"/>
              </w:rPr>
              <w:t xml:space="preserve">; </w:t>
            </w:r>
          </w:p>
        </w:tc>
        <w:tc>
          <w:tcPr>
            <w:tcW w:w="470" w:type="pct"/>
            <w:tcBorders>
              <w:top w:val="single" w:sz="4" w:space="0" w:color="auto"/>
              <w:left w:val="single" w:sz="4" w:space="0" w:color="auto"/>
              <w:bottom w:val="single" w:sz="4" w:space="0" w:color="auto"/>
              <w:right w:val="single" w:sz="4" w:space="0" w:color="auto"/>
            </w:tcBorders>
          </w:tcPr>
          <w:p w14:paraId="3582B814" w14:textId="2DA58692" w:rsidR="00837428" w:rsidRPr="009E686F" w:rsidRDefault="00837428" w:rsidP="00837428">
            <w:pPr>
              <w:jc w:val="both"/>
              <w:rPr>
                <w:rFonts w:ascii="Times New Roman" w:hAnsi="Times New Roman" w:cs="Times New Roman"/>
                <w:lang w:val="pt-BR"/>
              </w:rPr>
            </w:pPr>
            <w:r w:rsidRPr="009E686F">
              <w:rPr>
                <w:rFonts w:ascii="Times New Roman" w:hAnsi="Times New Roman" w:cs="Times New Roman"/>
                <w:lang w:val="pt-BR"/>
              </w:rPr>
              <w:t>Compatibil</w:t>
            </w:r>
          </w:p>
        </w:tc>
        <w:tc>
          <w:tcPr>
            <w:tcW w:w="806" w:type="pct"/>
            <w:tcBorders>
              <w:top w:val="single" w:sz="4" w:space="0" w:color="auto"/>
              <w:left w:val="single" w:sz="4" w:space="0" w:color="auto"/>
              <w:bottom w:val="single" w:sz="4" w:space="0" w:color="auto"/>
              <w:right w:val="single" w:sz="4" w:space="0" w:color="auto"/>
            </w:tcBorders>
          </w:tcPr>
          <w:p w14:paraId="72DC96A7" w14:textId="77777777" w:rsidR="00837428" w:rsidRPr="009E686F" w:rsidRDefault="00837428" w:rsidP="00837428">
            <w:pPr>
              <w:spacing w:after="0"/>
              <w:jc w:val="both"/>
              <w:rPr>
                <w:rFonts w:ascii="Times New Roman" w:hAnsi="Times New Roman" w:cs="Times New Roman"/>
                <w:lang w:val="pt-BR"/>
              </w:rPr>
            </w:pPr>
          </w:p>
        </w:tc>
      </w:tr>
      <w:tr w:rsidR="00837428" w:rsidRPr="009E686F" w14:paraId="7BF6D5DC" w14:textId="77777777" w:rsidTr="00960C23">
        <w:tc>
          <w:tcPr>
            <w:tcW w:w="1890" w:type="pct"/>
            <w:tcBorders>
              <w:top w:val="single" w:sz="4" w:space="0" w:color="auto"/>
              <w:left w:val="single" w:sz="4" w:space="0" w:color="auto"/>
              <w:bottom w:val="single" w:sz="4" w:space="0" w:color="auto"/>
              <w:right w:val="single" w:sz="4" w:space="0" w:color="auto"/>
            </w:tcBorders>
          </w:tcPr>
          <w:p w14:paraId="6EFFCF58" w14:textId="5099980A" w:rsidR="00837428" w:rsidRPr="009E686F" w:rsidRDefault="00837428" w:rsidP="00837428">
            <w:pPr>
              <w:spacing w:after="0"/>
              <w:jc w:val="both"/>
              <w:rPr>
                <w:rFonts w:ascii="Times New Roman" w:hAnsi="Times New Roman" w:cs="Times New Roman"/>
              </w:rPr>
            </w:pPr>
            <w:r w:rsidRPr="009E686F">
              <w:rPr>
                <w:rFonts w:ascii="Times New Roman" w:hAnsi="Times New Roman" w:cs="Times New Roman"/>
              </w:rPr>
              <w:t xml:space="preserve">(b) societatea financiară holding sau societatea financiară holding mixtă nu are alte expuneri din titluri de capital, cu excepția expunerii din titluri de capital în instituția de credit filială sau din societatea financiară holding mamă intermediară </w:t>
            </w:r>
            <w:r w:rsidRPr="009E686F">
              <w:rPr>
                <w:rFonts w:ascii="Times New Roman" w:hAnsi="Times New Roman" w:cs="Times New Roman"/>
              </w:rPr>
              <w:lastRenderedPageBreak/>
              <w:t>ori din societatea financiară holding mixtă mamă intermediară care controlează instituția de credit filială;</w:t>
            </w:r>
          </w:p>
        </w:tc>
        <w:tc>
          <w:tcPr>
            <w:tcW w:w="1834" w:type="pct"/>
            <w:tcBorders>
              <w:top w:val="single" w:sz="4" w:space="0" w:color="auto"/>
              <w:left w:val="single" w:sz="4" w:space="0" w:color="auto"/>
              <w:bottom w:val="single" w:sz="4" w:space="0" w:color="auto"/>
              <w:right w:val="single" w:sz="4" w:space="0" w:color="auto"/>
            </w:tcBorders>
          </w:tcPr>
          <w:p w14:paraId="473025AA" w14:textId="5B7A86BE" w:rsidR="00837428" w:rsidRPr="009E686F" w:rsidRDefault="00837428" w:rsidP="00837428">
            <w:pPr>
              <w:spacing w:after="0" w:line="278" w:lineRule="auto"/>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lastRenderedPageBreak/>
              <w:t xml:space="preserve">b) societatea financiară holding sau societatea financiară holding mixtă nu are alte expuneri din titluri de capital, cu excepția expunerii din titluri de capital în instituția de credit filială sau din societatea financiară holding mamă </w:t>
            </w:r>
            <w:r w:rsidRPr="009E686F">
              <w:rPr>
                <w:rFonts w:ascii="Times New Roman" w:eastAsia="Aptos" w:hAnsi="Times New Roman" w:cs="Times New Roman"/>
                <w:i/>
                <w:iCs/>
                <w:kern w:val="2"/>
                <w:lang w:val="ro-MD"/>
              </w:rPr>
              <w:lastRenderedPageBreak/>
              <w:t xml:space="preserve">intermediară ori din societatea financiară holding mixtă mamă intermediară care controlează instituția de credit filială; </w:t>
            </w:r>
          </w:p>
        </w:tc>
        <w:tc>
          <w:tcPr>
            <w:tcW w:w="470" w:type="pct"/>
            <w:tcBorders>
              <w:top w:val="single" w:sz="4" w:space="0" w:color="auto"/>
              <w:left w:val="single" w:sz="4" w:space="0" w:color="auto"/>
              <w:bottom w:val="single" w:sz="4" w:space="0" w:color="auto"/>
              <w:right w:val="single" w:sz="4" w:space="0" w:color="auto"/>
            </w:tcBorders>
          </w:tcPr>
          <w:p w14:paraId="1D21C353" w14:textId="422863C8" w:rsidR="00837428" w:rsidRPr="009E686F" w:rsidRDefault="00837428" w:rsidP="00837428">
            <w:pPr>
              <w:jc w:val="both"/>
              <w:rPr>
                <w:rFonts w:ascii="Times New Roman" w:hAnsi="Times New Roman" w:cs="Times New Roman"/>
                <w:lang w:val="it-CH"/>
              </w:rPr>
            </w:pPr>
            <w:r w:rsidRPr="009E686F">
              <w:rPr>
                <w:rFonts w:ascii="Times New Roman" w:hAnsi="Times New Roman" w:cs="Times New Roman"/>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334F1574" w14:textId="77777777" w:rsidR="00837428" w:rsidRPr="009E686F" w:rsidRDefault="00837428" w:rsidP="00837428">
            <w:pPr>
              <w:spacing w:after="0"/>
              <w:jc w:val="both"/>
              <w:rPr>
                <w:rFonts w:ascii="Times New Roman" w:hAnsi="Times New Roman" w:cs="Times New Roman"/>
                <w:lang w:val="it-CH"/>
              </w:rPr>
            </w:pPr>
          </w:p>
        </w:tc>
      </w:tr>
      <w:tr w:rsidR="00837428" w:rsidRPr="009E686F" w14:paraId="7904C8E4" w14:textId="77777777" w:rsidTr="00960C23">
        <w:tc>
          <w:tcPr>
            <w:tcW w:w="1890" w:type="pct"/>
            <w:tcBorders>
              <w:top w:val="single" w:sz="4" w:space="0" w:color="auto"/>
              <w:left w:val="single" w:sz="4" w:space="0" w:color="auto"/>
              <w:bottom w:val="single" w:sz="4" w:space="0" w:color="auto"/>
              <w:right w:val="single" w:sz="4" w:space="0" w:color="auto"/>
            </w:tcBorders>
          </w:tcPr>
          <w:p w14:paraId="3D5ECA2E" w14:textId="6975FDCB" w:rsidR="00837428" w:rsidRPr="009E686F" w:rsidRDefault="00837428" w:rsidP="00837428">
            <w:pPr>
              <w:spacing w:after="0"/>
              <w:jc w:val="both"/>
              <w:rPr>
                <w:rFonts w:ascii="Times New Roman" w:hAnsi="Times New Roman" w:cs="Times New Roman"/>
              </w:rPr>
            </w:pPr>
            <w:r w:rsidRPr="009E686F">
              <w:rPr>
                <w:rFonts w:ascii="Times New Roman" w:hAnsi="Times New Roman" w:cs="Times New Roman"/>
              </w:rPr>
              <w:t>(c) societatea financiară holding sau societatea financiară holding mixtă nu recurge în mod substanțial la efectul de levier și nu are expuneri care nu au legătură cu participația sa în instituția de credit filială sau în societatea financiară holding mamă intermediară ori în societatea financiară holding mixtă mamă intermediară care controlează instituția de credit filială.</w:t>
            </w:r>
          </w:p>
        </w:tc>
        <w:tc>
          <w:tcPr>
            <w:tcW w:w="1834" w:type="pct"/>
            <w:tcBorders>
              <w:top w:val="single" w:sz="4" w:space="0" w:color="auto"/>
              <w:left w:val="single" w:sz="4" w:space="0" w:color="auto"/>
              <w:bottom w:val="single" w:sz="4" w:space="0" w:color="auto"/>
              <w:right w:val="single" w:sz="4" w:space="0" w:color="auto"/>
            </w:tcBorders>
          </w:tcPr>
          <w:p w14:paraId="3D9B0F38" w14:textId="284DE92D" w:rsidR="00837428" w:rsidRPr="009E686F" w:rsidRDefault="00837428" w:rsidP="00837428">
            <w:pPr>
              <w:spacing w:after="0"/>
              <w:jc w:val="both"/>
              <w:rPr>
                <w:rFonts w:ascii="Times New Roman" w:hAnsi="Times New Roman" w:cs="Times New Roman"/>
                <w:b/>
                <w:i/>
                <w:iCs/>
              </w:rPr>
            </w:pPr>
            <w:r w:rsidRPr="009E686F">
              <w:rPr>
                <w:rFonts w:ascii="Times New Roman" w:eastAsia="Aptos" w:hAnsi="Times New Roman" w:cs="Times New Roman"/>
                <w:i/>
                <w:iCs/>
                <w:kern w:val="2"/>
                <w:lang w:val="ro-MD"/>
              </w:rPr>
              <w:t>c) societatea financiară holding sau societatea financiară holding mixtă nu recurge în mod substanțial la efectul de levier și nu are expuneri care nu au legătură cu deținerea sa în instituția de credit filială sau în societatea financiară holding mamă intermediară ori în societatea financiară holding mixtă mamă intermediară care controlează instituția de credit filială.</w:t>
            </w:r>
          </w:p>
        </w:tc>
        <w:tc>
          <w:tcPr>
            <w:tcW w:w="470" w:type="pct"/>
            <w:tcBorders>
              <w:top w:val="single" w:sz="4" w:space="0" w:color="auto"/>
              <w:left w:val="single" w:sz="4" w:space="0" w:color="auto"/>
              <w:bottom w:val="single" w:sz="4" w:space="0" w:color="auto"/>
              <w:right w:val="single" w:sz="4" w:space="0" w:color="auto"/>
            </w:tcBorders>
          </w:tcPr>
          <w:p w14:paraId="00A39E9B" w14:textId="3778E736" w:rsidR="00837428" w:rsidRPr="009E686F" w:rsidRDefault="00837428" w:rsidP="00837428">
            <w:pPr>
              <w:jc w:val="both"/>
              <w:rPr>
                <w:rFonts w:ascii="Times New Roman" w:hAnsi="Times New Roman" w:cs="Times New Roman"/>
                <w:lang w:val="it-CH"/>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200849D2" w14:textId="77777777" w:rsidR="00837428" w:rsidRPr="009E686F" w:rsidRDefault="00837428" w:rsidP="00837428">
            <w:pPr>
              <w:spacing w:after="0"/>
              <w:jc w:val="both"/>
              <w:rPr>
                <w:rFonts w:ascii="Times New Roman" w:hAnsi="Times New Roman" w:cs="Times New Roman"/>
                <w:lang w:val="it-CH"/>
              </w:rPr>
            </w:pPr>
          </w:p>
        </w:tc>
      </w:tr>
      <w:tr w:rsidR="00837428" w:rsidRPr="009E686F" w14:paraId="20663E03" w14:textId="77777777" w:rsidTr="00960C23">
        <w:tc>
          <w:tcPr>
            <w:tcW w:w="1890" w:type="pct"/>
            <w:tcBorders>
              <w:top w:val="single" w:sz="4" w:space="0" w:color="auto"/>
              <w:left w:val="single" w:sz="4" w:space="0" w:color="auto"/>
              <w:bottom w:val="single" w:sz="4" w:space="0" w:color="auto"/>
              <w:right w:val="single" w:sz="4" w:space="0" w:color="auto"/>
            </w:tcBorders>
          </w:tcPr>
          <w:p w14:paraId="44B241A6" w14:textId="77777777" w:rsidR="00837428" w:rsidRPr="009E686F" w:rsidRDefault="00837428" w:rsidP="00837428">
            <w:pPr>
              <w:spacing w:after="0"/>
              <w:jc w:val="both"/>
              <w:rPr>
                <w:rFonts w:ascii="Times New Roman" w:hAnsi="Times New Roman" w:cs="Times New Roman"/>
                <w:lang w:val="it-CH"/>
              </w:rPr>
            </w:pPr>
            <w:r w:rsidRPr="009E686F">
              <w:rPr>
                <w:rFonts w:ascii="Times New Roman" w:hAnsi="Times New Roman" w:cs="Times New Roman"/>
                <w:lang w:val="it-CH"/>
              </w:rPr>
              <w:t xml:space="preserve">(5) Supraveghetorul consolidant monitorizează în permanență respectarea condițiilor menționate la alineatul (3) sau, după caz, alineatul (4). </w:t>
            </w:r>
          </w:p>
          <w:p w14:paraId="59D67C05" w14:textId="77777777" w:rsidR="00837428" w:rsidRPr="009E686F" w:rsidRDefault="00837428" w:rsidP="00837428">
            <w:pPr>
              <w:spacing w:after="0"/>
              <w:jc w:val="both"/>
              <w:rPr>
                <w:rFonts w:ascii="Times New Roman" w:hAnsi="Times New Roman" w:cs="Times New Roman"/>
                <w:lang w:val="it-CH"/>
              </w:rPr>
            </w:pPr>
            <w:r w:rsidRPr="009E686F">
              <w:rPr>
                <w:rFonts w:ascii="Times New Roman" w:hAnsi="Times New Roman" w:cs="Times New Roman"/>
                <w:lang w:val="it-CH"/>
              </w:rPr>
              <w:t xml:space="preserve">Societățile financiare holding și societățile financiare holding mixte furnizează supraveghetorului consolidant informațiile necesare pentru a monitoriza permanent organizarea structurală a grupului și respectarea condițiilor menționate la alineatul (3) sau, după caz, alineatul (4). </w:t>
            </w:r>
          </w:p>
          <w:p w14:paraId="43CB4BDE" w14:textId="383EBC9C" w:rsidR="00837428" w:rsidRPr="009E686F" w:rsidRDefault="00837428" w:rsidP="00837428">
            <w:pPr>
              <w:spacing w:after="0"/>
              <w:jc w:val="both"/>
              <w:rPr>
                <w:rFonts w:ascii="Times New Roman" w:hAnsi="Times New Roman" w:cs="Times New Roman"/>
                <w:lang w:val="it-CH"/>
              </w:rPr>
            </w:pPr>
            <w:r w:rsidRPr="009E686F">
              <w:rPr>
                <w:rFonts w:ascii="Times New Roman" w:hAnsi="Times New Roman" w:cs="Times New Roman"/>
                <w:lang w:val="it-CH"/>
              </w:rPr>
              <w:t>Supraveghetorul consolidant împărtășește aceste informații autorității competente din statul membru în care este stabilită societatea financiară holding sau societatea financiară holding mixtă.</w:t>
            </w:r>
          </w:p>
        </w:tc>
        <w:tc>
          <w:tcPr>
            <w:tcW w:w="1834" w:type="pct"/>
            <w:tcBorders>
              <w:top w:val="single" w:sz="4" w:space="0" w:color="auto"/>
              <w:left w:val="single" w:sz="4" w:space="0" w:color="auto"/>
              <w:bottom w:val="single" w:sz="4" w:space="0" w:color="auto"/>
              <w:right w:val="single" w:sz="4" w:space="0" w:color="auto"/>
            </w:tcBorders>
          </w:tcPr>
          <w:p w14:paraId="6AAF958B" w14:textId="72E63186" w:rsidR="00837428" w:rsidRPr="009E686F" w:rsidRDefault="00837428" w:rsidP="00837428">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b/>
                <w:bCs/>
                <w:kern w:val="2"/>
                <w:lang w:val="ro-MD"/>
              </w:rPr>
              <w:t>Articolul 116</w:t>
            </w:r>
            <w:r w:rsidRPr="009E686F">
              <w:rPr>
                <w:rFonts w:ascii="Times New Roman" w:eastAsia="Aptos" w:hAnsi="Times New Roman" w:cs="Times New Roman"/>
                <w:b/>
                <w:bCs/>
                <w:kern w:val="2"/>
                <w:vertAlign w:val="superscript"/>
                <w:lang w:val="ro-MD"/>
              </w:rPr>
              <w:t>4</w:t>
            </w:r>
            <w:r w:rsidRPr="009E686F">
              <w:rPr>
                <w:rFonts w:ascii="Times New Roman" w:eastAsia="Aptos" w:hAnsi="Times New Roman" w:cs="Times New Roman"/>
                <w:b/>
                <w:bCs/>
                <w:kern w:val="2"/>
                <w:lang w:val="ro-MD"/>
              </w:rPr>
              <w:t xml:space="preserve"> alin. (1), (2)</w:t>
            </w:r>
          </w:p>
          <w:p w14:paraId="5C611E08" w14:textId="5B6A054C" w:rsidR="00837428" w:rsidRPr="009E686F" w:rsidRDefault="00837428" w:rsidP="00837428">
            <w:pPr>
              <w:spacing w:after="0" w:line="278" w:lineRule="auto"/>
              <w:jc w:val="both"/>
              <w:rPr>
                <w:rFonts w:ascii="Times New Roman" w:eastAsia="Aptos" w:hAnsi="Times New Roman" w:cs="Times New Roman"/>
                <w:i/>
                <w:iCs/>
                <w:kern w:val="2"/>
                <w:lang w:val="ro-MD"/>
              </w:rPr>
            </w:pPr>
            <w:r w:rsidRPr="009E686F">
              <w:rPr>
                <w:rFonts w:ascii="Times New Roman" w:eastAsia="Aptos" w:hAnsi="Times New Roman" w:cs="Times New Roman"/>
                <w:kern w:val="2"/>
                <w:lang w:val="ro-MD"/>
              </w:rPr>
              <w:t xml:space="preserve"> </w:t>
            </w:r>
            <w:r w:rsidRPr="009E686F">
              <w:rPr>
                <w:rFonts w:ascii="Times New Roman" w:eastAsia="Aptos" w:hAnsi="Times New Roman" w:cs="Times New Roman"/>
                <w:i/>
                <w:iCs/>
                <w:kern w:val="2"/>
                <w:lang w:val="ro-MD"/>
              </w:rPr>
              <w:t>(1) Banca Națională a Moldovei, în calitate de supraveghetor consolidant, monitorizează în permanenţă respectarea condiţiilor menţionate la art. 116</w:t>
            </w:r>
            <w:r w:rsidRPr="009E686F">
              <w:rPr>
                <w:rFonts w:ascii="Times New Roman" w:eastAsia="Aptos" w:hAnsi="Times New Roman" w:cs="Times New Roman"/>
                <w:i/>
                <w:iCs/>
                <w:kern w:val="2"/>
                <w:vertAlign w:val="superscript"/>
                <w:lang w:val="ro-MD"/>
              </w:rPr>
              <w:t>1</w:t>
            </w:r>
            <w:r w:rsidRPr="009E686F">
              <w:rPr>
                <w:rFonts w:ascii="Times New Roman" w:eastAsia="Aptos" w:hAnsi="Times New Roman" w:cs="Times New Roman"/>
                <w:i/>
                <w:iCs/>
                <w:kern w:val="2"/>
                <w:lang w:val="ro-MD"/>
              </w:rPr>
              <w:t xml:space="preserve"> alin. (7) sau, după caz, art. 116</w:t>
            </w:r>
            <w:r w:rsidRPr="009E686F">
              <w:rPr>
                <w:rFonts w:ascii="Times New Roman" w:eastAsia="Aptos" w:hAnsi="Times New Roman" w:cs="Times New Roman"/>
                <w:i/>
                <w:iCs/>
                <w:kern w:val="2"/>
                <w:vertAlign w:val="superscript"/>
                <w:lang w:val="ro-MD"/>
              </w:rPr>
              <w:t>2</w:t>
            </w:r>
            <w:r w:rsidRPr="009E686F">
              <w:rPr>
                <w:rFonts w:ascii="Times New Roman" w:eastAsia="Aptos" w:hAnsi="Times New Roman" w:cs="Times New Roman"/>
                <w:i/>
                <w:iCs/>
                <w:kern w:val="2"/>
                <w:lang w:val="ro-MD"/>
              </w:rPr>
              <w:t xml:space="preserve"> alin. (1). </w:t>
            </w:r>
          </w:p>
          <w:p w14:paraId="79288F2D" w14:textId="77777777" w:rsidR="00837428" w:rsidRPr="009E686F" w:rsidRDefault="00837428" w:rsidP="00837428">
            <w:pPr>
              <w:spacing w:after="0" w:line="278" w:lineRule="auto"/>
              <w:jc w:val="both"/>
              <w:rPr>
                <w:rFonts w:ascii="Times New Roman" w:eastAsia="Aptos" w:hAnsi="Times New Roman" w:cs="Times New Roman"/>
                <w:kern w:val="2"/>
                <w:lang w:val="ro-MD"/>
              </w:rPr>
            </w:pPr>
          </w:p>
          <w:p w14:paraId="194B9658" w14:textId="0B1541C3" w:rsidR="00837428" w:rsidRPr="009E686F" w:rsidRDefault="00837428" w:rsidP="00837428">
            <w:pPr>
              <w:spacing w:after="0" w:line="278" w:lineRule="auto"/>
              <w:jc w:val="both"/>
              <w:rPr>
                <w:rFonts w:ascii="Times New Roman" w:hAnsi="Times New Roman" w:cs="Times New Roman"/>
                <w:b/>
                <w:i/>
                <w:iCs/>
                <w:lang w:val="ro-MD"/>
              </w:rPr>
            </w:pPr>
            <w:r w:rsidRPr="009E686F">
              <w:rPr>
                <w:rFonts w:ascii="Times New Roman" w:eastAsia="Aptos" w:hAnsi="Times New Roman" w:cs="Times New Roman"/>
                <w:i/>
                <w:iCs/>
                <w:kern w:val="2"/>
                <w:lang w:val="ro-MD"/>
              </w:rPr>
              <w:t>(2) Societăţile financiare holding și societăţile financiare holding mixte furnizează Băncii Naționale a Moldovei informaţiile necesare pentru a monitoriza permanent organizarea structurală a grupului și respectarea condiţiilor menţionate la art. 116</w:t>
            </w:r>
            <w:r w:rsidRPr="009E686F">
              <w:rPr>
                <w:rFonts w:ascii="Times New Roman" w:eastAsia="Aptos" w:hAnsi="Times New Roman" w:cs="Times New Roman"/>
                <w:i/>
                <w:iCs/>
                <w:kern w:val="2"/>
                <w:vertAlign w:val="superscript"/>
                <w:lang w:val="ro-MD"/>
              </w:rPr>
              <w:t>1</w:t>
            </w:r>
            <w:r w:rsidRPr="009E686F">
              <w:rPr>
                <w:rFonts w:ascii="Times New Roman" w:eastAsia="Aptos" w:hAnsi="Times New Roman" w:cs="Times New Roman"/>
                <w:i/>
                <w:iCs/>
                <w:kern w:val="2"/>
                <w:lang w:val="ro-MD"/>
              </w:rPr>
              <w:t xml:space="preserve"> alin. (7) sau, după caz, art. 116</w:t>
            </w:r>
            <w:r w:rsidRPr="009E686F">
              <w:rPr>
                <w:rFonts w:ascii="Times New Roman" w:eastAsia="Aptos" w:hAnsi="Times New Roman" w:cs="Times New Roman"/>
                <w:i/>
                <w:iCs/>
                <w:kern w:val="2"/>
                <w:vertAlign w:val="superscript"/>
                <w:lang w:val="ro-MD"/>
              </w:rPr>
              <w:t>2</w:t>
            </w:r>
            <w:r w:rsidRPr="009E686F">
              <w:rPr>
                <w:rFonts w:ascii="Times New Roman" w:eastAsia="Aptos" w:hAnsi="Times New Roman" w:cs="Times New Roman"/>
                <w:i/>
                <w:iCs/>
                <w:kern w:val="2"/>
                <w:lang w:val="ro-MD"/>
              </w:rPr>
              <w:t xml:space="preserve"> alin. (1). Banca Națională a Moldovei transmite informațiile respective autorității competente din statul membru în care este stabilită societatea financiară holding sau societatea financiară holding mixtă.</w:t>
            </w:r>
          </w:p>
        </w:tc>
        <w:tc>
          <w:tcPr>
            <w:tcW w:w="470" w:type="pct"/>
            <w:tcBorders>
              <w:top w:val="single" w:sz="4" w:space="0" w:color="auto"/>
              <w:left w:val="single" w:sz="4" w:space="0" w:color="auto"/>
              <w:bottom w:val="single" w:sz="4" w:space="0" w:color="auto"/>
              <w:right w:val="single" w:sz="4" w:space="0" w:color="auto"/>
            </w:tcBorders>
          </w:tcPr>
          <w:p w14:paraId="03D3693E" w14:textId="1743E7C5" w:rsidR="00837428" w:rsidRPr="009E686F" w:rsidRDefault="00837428" w:rsidP="00837428">
            <w:pPr>
              <w:jc w:val="both"/>
              <w:rPr>
                <w:rFonts w:ascii="Times New Roman" w:hAnsi="Times New Roman" w:cs="Times New Roman"/>
                <w:lang w:val="ro-MD"/>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607916A2" w14:textId="77777777" w:rsidR="00837428" w:rsidRPr="009E686F" w:rsidRDefault="00837428" w:rsidP="00837428">
            <w:pPr>
              <w:spacing w:after="0"/>
              <w:jc w:val="both"/>
              <w:rPr>
                <w:rFonts w:ascii="Times New Roman" w:hAnsi="Times New Roman" w:cs="Times New Roman"/>
                <w:lang w:val="ro-MD"/>
              </w:rPr>
            </w:pPr>
          </w:p>
        </w:tc>
      </w:tr>
      <w:tr w:rsidR="00837428" w:rsidRPr="009E686F" w14:paraId="29D03CFF" w14:textId="77777777" w:rsidTr="00960C23">
        <w:tc>
          <w:tcPr>
            <w:tcW w:w="1890" w:type="pct"/>
            <w:tcBorders>
              <w:top w:val="single" w:sz="4" w:space="0" w:color="auto"/>
              <w:left w:val="single" w:sz="4" w:space="0" w:color="auto"/>
              <w:bottom w:val="single" w:sz="4" w:space="0" w:color="auto"/>
              <w:right w:val="single" w:sz="4" w:space="0" w:color="auto"/>
            </w:tcBorders>
          </w:tcPr>
          <w:p w14:paraId="44332311" w14:textId="177ECAF2" w:rsidR="00837428" w:rsidRPr="009E686F" w:rsidRDefault="00837428" w:rsidP="00837428">
            <w:pPr>
              <w:spacing w:after="0"/>
              <w:jc w:val="both"/>
              <w:rPr>
                <w:rFonts w:ascii="Times New Roman" w:hAnsi="Times New Roman" w:cs="Times New Roman"/>
              </w:rPr>
            </w:pPr>
            <w:r w:rsidRPr="009E686F">
              <w:rPr>
                <w:rFonts w:ascii="Times New Roman" w:hAnsi="Times New Roman" w:cs="Times New Roman"/>
                <w:lang w:val="ro-MD"/>
              </w:rPr>
              <w:t xml:space="preserve">(6) În cazul în care supraveghetorul consolidant a hotărât că nu sunt sau nu mai sunt îndeplinite condițiile stabilite la alineatul (3), societatea financiară holding sau societatea financiară holding mixtă este supusă măsurilor de supraveghere adecvate pentru asigurarea sau restabilirea, după caz, a continuității și </w:t>
            </w:r>
            <w:r w:rsidRPr="009E686F">
              <w:rPr>
                <w:rFonts w:ascii="Times New Roman" w:hAnsi="Times New Roman" w:cs="Times New Roman"/>
                <w:lang w:val="ro-MD"/>
              </w:rPr>
              <w:lastRenderedPageBreak/>
              <w:t xml:space="preserve">integrității supravegherii consolidate și pentru asigurarea respectării cerințelor prevăzute în prezenta directivă și în Regulamentul (UE) nr. 575/2013 pe bază consolidată. </w:t>
            </w:r>
            <w:r w:rsidRPr="009E686F">
              <w:rPr>
                <w:rFonts w:ascii="Times New Roman" w:hAnsi="Times New Roman" w:cs="Times New Roman"/>
              </w:rPr>
              <w:t>În cazul unei societăți financiare holding mixte, măsurile de supraveghere țin seama, în special, de efectele asupra conglomeratului financiar.</w:t>
            </w:r>
          </w:p>
        </w:tc>
        <w:tc>
          <w:tcPr>
            <w:tcW w:w="1834" w:type="pct"/>
            <w:tcBorders>
              <w:top w:val="single" w:sz="4" w:space="0" w:color="auto"/>
              <w:left w:val="single" w:sz="4" w:space="0" w:color="auto"/>
              <w:bottom w:val="single" w:sz="4" w:space="0" w:color="auto"/>
              <w:right w:val="single" w:sz="4" w:space="0" w:color="auto"/>
            </w:tcBorders>
          </w:tcPr>
          <w:p w14:paraId="1BF700E7" w14:textId="7AD2F17A" w:rsidR="00837428" w:rsidRPr="009E686F" w:rsidRDefault="00837428" w:rsidP="00837428">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b/>
                <w:bCs/>
                <w:kern w:val="2"/>
                <w:lang w:val="ro-MD"/>
              </w:rPr>
              <w:lastRenderedPageBreak/>
              <w:t>Articolul 116</w:t>
            </w:r>
            <w:r w:rsidRPr="009E686F">
              <w:rPr>
                <w:rFonts w:ascii="Times New Roman" w:eastAsia="Aptos" w:hAnsi="Times New Roman" w:cs="Times New Roman"/>
                <w:b/>
                <w:bCs/>
                <w:kern w:val="2"/>
                <w:vertAlign w:val="superscript"/>
                <w:lang w:val="ro-MD"/>
              </w:rPr>
              <w:t xml:space="preserve">5 </w:t>
            </w:r>
            <w:r w:rsidRPr="009E686F">
              <w:rPr>
                <w:rFonts w:ascii="Times New Roman" w:eastAsia="Aptos" w:hAnsi="Times New Roman" w:cs="Times New Roman"/>
                <w:b/>
                <w:bCs/>
                <w:kern w:val="2"/>
                <w:lang w:val="ro-MD"/>
              </w:rPr>
              <w:t>alin. (2)</w:t>
            </w:r>
          </w:p>
          <w:p w14:paraId="00A77411" w14:textId="1FF19048" w:rsidR="00837428" w:rsidRPr="009E686F" w:rsidRDefault="00837428" w:rsidP="00837428">
            <w:pPr>
              <w:spacing w:after="0" w:line="278" w:lineRule="auto"/>
              <w:jc w:val="both"/>
              <w:rPr>
                <w:rFonts w:ascii="Times New Roman" w:eastAsia="Aptos" w:hAnsi="Times New Roman" w:cs="Times New Roman"/>
                <w:b/>
                <w:bCs/>
                <w:i/>
                <w:iCs/>
                <w:kern w:val="2"/>
                <w:lang w:val="ro-MD"/>
              </w:rPr>
            </w:pPr>
            <w:r w:rsidRPr="009E686F">
              <w:rPr>
                <w:rFonts w:ascii="Times New Roman" w:eastAsia="Aptos" w:hAnsi="Times New Roman" w:cs="Times New Roman"/>
                <w:i/>
                <w:iCs/>
                <w:kern w:val="2"/>
                <w:lang w:val="ro-MD"/>
              </w:rPr>
              <w:t xml:space="preserve">(2) În cazul unei societăţi financiare holding mixte, </w:t>
            </w:r>
            <w:r w:rsidR="00345C69" w:rsidRPr="009E686F">
              <w:rPr>
                <w:rFonts w:ascii="Times New Roman" w:eastAsia="Aptos" w:hAnsi="Times New Roman" w:cs="Times New Roman"/>
                <w:i/>
                <w:iCs/>
                <w:kern w:val="2"/>
                <w:lang w:val="ro-MD"/>
              </w:rPr>
              <w:t xml:space="preserve">la dispunerea </w:t>
            </w:r>
            <w:r w:rsidRPr="009E686F">
              <w:rPr>
                <w:rFonts w:ascii="Times New Roman" w:eastAsia="Aptos" w:hAnsi="Times New Roman" w:cs="Times New Roman"/>
                <w:i/>
                <w:iCs/>
                <w:kern w:val="2"/>
                <w:lang w:val="ro-MD"/>
              </w:rPr>
              <w:t>măsuril</w:t>
            </w:r>
            <w:r w:rsidR="00345C69" w:rsidRPr="009E686F">
              <w:rPr>
                <w:rFonts w:ascii="Times New Roman" w:eastAsia="Aptos" w:hAnsi="Times New Roman" w:cs="Times New Roman"/>
                <w:i/>
                <w:iCs/>
                <w:kern w:val="2"/>
                <w:lang w:val="ro-MD"/>
              </w:rPr>
              <w:t>or</w:t>
            </w:r>
            <w:r w:rsidRPr="009E686F">
              <w:rPr>
                <w:rFonts w:ascii="Times New Roman" w:eastAsia="Aptos" w:hAnsi="Times New Roman" w:cs="Times New Roman"/>
                <w:i/>
                <w:iCs/>
                <w:kern w:val="2"/>
                <w:lang w:val="ro-MD"/>
              </w:rPr>
              <w:t xml:space="preserve"> de supraveghere </w:t>
            </w:r>
            <w:r w:rsidR="00345C69" w:rsidRPr="009E686F">
              <w:rPr>
                <w:rFonts w:ascii="Times New Roman" w:eastAsia="Aptos" w:hAnsi="Times New Roman" w:cs="Times New Roman"/>
                <w:i/>
                <w:iCs/>
                <w:kern w:val="2"/>
                <w:lang w:val="ro-MD"/>
              </w:rPr>
              <w:t xml:space="preserve">se </w:t>
            </w:r>
            <w:r w:rsidRPr="009E686F">
              <w:rPr>
                <w:rFonts w:ascii="Times New Roman" w:eastAsia="Aptos" w:hAnsi="Times New Roman" w:cs="Times New Roman"/>
                <w:i/>
                <w:iCs/>
                <w:kern w:val="2"/>
                <w:lang w:val="ro-MD"/>
              </w:rPr>
              <w:t>iau în considerare, în special, efectele asupra conglomeratului financiar.</w:t>
            </w:r>
          </w:p>
          <w:p w14:paraId="08DC6439" w14:textId="17540E34" w:rsidR="00837428" w:rsidRPr="009E686F" w:rsidRDefault="00837428" w:rsidP="00837428">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b/>
                <w:bCs/>
                <w:kern w:val="2"/>
                <w:lang w:val="ro-MD"/>
              </w:rPr>
              <w:t xml:space="preserve">Articolul </w:t>
            </w:r>
            <w:bookmarkStart w:id="5" w:name="_Hlk214634761"/>
            <w:r w:rsidRPr="009E686F">
              <w:rPr>
                <w:rFonts w:ascii="Times New Roman" w:eastAsia="Aptos" w:hAnsi="Times New Roman" w:cs="Times New Roman"/>
                <w:b/>
                <w:bCs/>
                <w:kern w:val="2"/>
                <w:lang w:val="ro-MD"/>
              </w:rPr>
              <w:t>116</w:t>
            </w:r>
            <w:r w:rsidRPr="009E686F">
              <w:rPr>
                <w:rFonts w:ascii="Times New Roman" w:eastAsia="Aptos" w:hAnsi="Times New Roman" w:cs="Times New Roman"/>
                <w:b/>
                <w:bCs/>
                <w:kern w:val="2"/>
                <w:vertAlign w:val="superscript"/>
                <w:lang w:val="ro-MD"/>
              </w:rPr>
              <w:t>5</w:t>
            </w:r>
            <w:bookmarkEnd w:id="5"/>
            <w:r w:rsidRPr="009E686F">
              <w:rPr>
                <w:rFonts w:ascii="Times New Roman" w:eastAsia="Aptos" w:hAnsi="Times New Roman" w:cs="Times New Roman"/>
                <w:b/>
                <w:bCs/>
                <w:kern w:val="2"/>
                <w:vertAlign w:val="superscript"/>
                <w:lang w:val="ro-MD"/>
              </w:rPr>
              <w:t xml:space="preserve"> </w:t>
            </w:r>
            <w:r w:rsidRPr="009E686F">
              <w:rPr>
                <w:rFonts w:ascii="Times New Roman" w:eastAsia="Aptos" w:hAnsi="Times New Roman" w:cs="Times New Roman"/>
                <w:b/>
                <w:bCs/>
                <w:kern w:val="2"/>
                <w:lang w:val="ro-MD"/>
              </w:rPr>
              <w:t>alin. (1), lit. a) – f)</w:t>
            </w:r>
          </w:p>
          <w:p w14:paraId="215144F1" w14:textId="09FD8B11" w:rsidR="00837428" w:rsidRPr="009E686F" w:rsidRDefault="00837428" w:rsidP="00837428">
            <w:pPr>
              <w:spacing w:after="0"/>
              <w:jc w:val="both"/>
              <w:rPr>
                <w:rFonts w:ascii="Times New Roman" w:hAnsi="Times New Roman" w:cs="Times New Roman"/>
                <w:b/>
                <w:i/>
                <w:iCs/>
                <w:lang w:val="ro-MD"/>
              </w:rPr>
            </w:pPr>
            <w:r w:rsidRPr="009E686F">
              <w:rPr>
                <w:rFonts w:ascii="Times New Roman" w:eastAsia="Aptos" w:hAnsi="Times New Roman" w:cs="Times New Roman"/>
                <w:i/>
                <w:iCs/>
                <w:kern w:val="2"/>
                <w:lang w:val="ro-MD"/>
              </w:rPr>
              <w:lastRenderedPageBreak/>
              <w:t>(1) În cazul în care Banca Națională a Moldovei a decis că nu sunt sau nu mai sunt îndeplinite condiţiile stabilite la articolul 116</w:t>
            </w:r>
            <w:r w:rsidRPr="009E686F">
              <w:rPr>
                <w:rFonts w:ascii="Times New Roman" w:eastAsia="Aptos" w:hAnsi="Times New Roman" w:cs="Times New Roman"/>
                <w:i/>
                <w:iCs/>
                <w:kern w:val="2"/>
                <w:vertAlign w:val="superscript"/>
                <w:lang w:val="ro-MD"/>
              </w:rPr>
              <w:t>1</w:t>
            </w:r>
            <w:r w:rsidRPr="009E686F">
              <w:rPr>
                <w:rFonts w:ascii="Times New Roman" w:eastAsia="Aptos" w:hAnsi="Times New Roman" w:cs="Times New Roman"/>
                <w:i/>
                <w:iCs/>
                <w:kern w:val="2"/>
                <w:lang w:val="ro-MD"/>
              </w:rPr>
              <w:t xml:space="preserve"> alin. (7), societatea financiară holding sau societatea financiară holding mixtă, pentru asigurarea sau restabilirea, după caz, a continuităţii și integrităţii supravegherii consolidate și pentru asigurarea respectării cerinţelor prevăzute de prezenta lege și a actelor normative emise în aplicarea acesteia pe bază consolidată, este supusă, cel puțin, următoarelor măsuri de supraveghere:</w:t>
            </w:r>
          </w:p>
        </w:tc>
        <w:tc>
          <w:tcPr>
            <w:tcW w:w="470" w:type="pct"/>
            <w:tcBorders>
              <w:top w:val="single" w:sz="4" w:space="0" w:color="auto"/>
              <w:left w:val="single" w:sz="4" w:space="0" w:color="auto"/>
              <w:bottom w:val="single" w:sz="4" w:space="0" w:color="auto"/>
              <w:right w:val="single" w:sz="4" w:space="0" w:color="auto"/>
            </w:tcBorders>
          </w:tcPr>
          <w:p w14:paraId="45CE833A" w14:textId="639C14B3" w:rsidR="00837428" w:rsidRPr="009E686F" w:rsidRDefault="00837428" w:rsidP="00837428">
            <w:pPr>
              <w:jc w:val="both"/>
              <w:rPr>
                <w:rFonts w:ascii="Times New Roman" w:hAnsi="Times New Roman" w:cs="Times New Roman"/>
                <w:lang w:val="ro-MD"/>
              </w:rPr>
            </w:pPr>
            <w:r w:rsidRPr="009E686F">
              <w:rPr>
                <w:rFonts w:ascii="Times New Roman" w:hAnsi="Times New Roman" w:cs="Times New Roman"/>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1E8D3252" w14:textId="77777777" w:rsidR="00837428" w:rsidRPr="009E686F" w:rsidRDefault="00837428" w:rsidP="00837428">
            <w:pPr>
              <w:spacing w:after="0"/>
              <w:jc w:val="both"/>
              <w:rPr>
                <w:rFonts w:ascii="Times New Roman" w:hAnsi="Times New Roman" w:cs="Times New Roman"/>
                <w:lang w:val="ro-MD"/>
              </w:rPr>
            </w:pPr>
          </w:p>
        </w:tc>
      </w:tr>
      <w:tr w:rsidR="00837428" w:rsidRPr="009E686F" w14:paraId="04556450" w14:textId="77777777" w:rsidTr="00960C23">
        <w:tc>
          <w:tcPr>
            <w:tcW w:w="1890" w:type="pct"/>
            <w:tcBorders>
              <w:top w:val="single" w:sz="4" w:space="0" w:color="auto"/>
              <w:left w:val="single" w:sz="4" w:space="0" w:color="auto"/>
              <w:bottom w:val="single" w:sz="4" w:space="0" w:color="auto"/>
              <w:right w:val="single" w:sz="4" w:space="0" w:color="auto"/>
            </w:tcBorders>
          </w:tcPr>
          <w:p w14:paraId="6FEE8AAD" w14:textId="77777777" w:rsidR="00837428" w:rsidRPr="009E686F" w:rsidRDefault="00837428" w:rsidP="00837428">
            <w:pPr>
              <w:spacing w:after="0"/>
              <w:jc w:val="both"/>
              <w:rPr>
                <w:rFonts w:ascii="Times New Roman" w:hAnsi="Times New Roman" w:cs="Times New Roman"/>
                <w:lang w:val="it-CH"/>
              </w:rPr>
            </w:pPr>
            <w:r w:rsidRPr="009E686F">
              <w:rPr>
                <w:rFonts w:ascii="Times New Roman" w:hAnsi="Times New Roman" w:cs="Times New Roman"/>
                <w:lang w:val="it-CH"/>
              </w:rPr>
              <w:t>Măsurile de supraveghere menționate la primul paragraf pot include:</w:t>
            </w:r>
          </w:p>
          <w:p w14:paraId="2F4328E0" w14:textId="19641D0E" w:rsidR="00837428" w:rsidRPr="009E686F" w:rsidRDefault="00837428" w:rsidP="00837428">
            <w:pPr>
              <w:spacing w:after="0"/>
              <w:jc w:val="both"/>
              <w:rPr>
                <w:rFonts w:ascii="Times New Roman" w:hAnsi="Times New Roman" w:cs="Times New Roman"/>
              </w:rPr>
            </w:pPr>
            <w:r w:rsidRPr="009E686F">
              <w:rPr>
                <w:rFonts w:ascii="Times New Roman" w:hAnsi="Times New Roman" w:cs="Times New Roman"/>
              </w:rPr>
              <w:t>(a) suspendarea exercitării dreptului de vot aferent acțiunilor instituțiilor care sunt filiale deținute de societatea financiară holding sau de societatea financiară holding mixtă;</w:t>
            </w:r>
          </w:p>
          <w:p w14:paraId="62846B49" w14:textId="62D45B16" w:rsidR="00837428" w:rsidRPr="009E686F" w:rsidRDefault="00837428" w:rsidP="00837428">
            <w:pPr>
              <w:spacing w:after="0"/>
              <w:jc w:val="both"/>
              <w:rPr>
                <w:rFonts w:ascii="Times New Roman" w:hAnsi="Times New Roman" w:cs="Times New Roman"/>
              </w:rPr>
            </w:pPr>
            <w:r w:rsidRPr="009E686F">
              <w:rPr>
                <w:rFonts w:ascii="Times New Roman" w:hAnsi="Times New Roman" w:cs="Times New Roman"/>
              </w:rPr>
              <w:t>(b) stabilirea de interdicții sau sancțiuni împotriva societății financiare holding, a societății financiare holding mixte sau a membrilor organului de conducere și a administratorilor, sub rezerva articolelor 65-72;</w:t>
            </w:r>
          </w:p>
          <w:p w14:paraId="70C57125" w14:textId="3C70A6B8" w:rsidR="00837428" w:rsidRPr="009E686F" w:rsidRDefault="00837428" w:rsidP="00837428">
            <w:pPr>
              <w:spacing w:after="0"/>
              <w:jc w:val="both"/>
              <w:rPr>
                <w:rFonts w:ascii="Times New Roman" w:hAnsi="Times New Roman" w:cs="Times New Roman"/>
              </w:rPr>
            </w:pPr>
            <w:r w:rsidRPr="009E686F">
              <w:rPr>
                <w:rFonts w:ascii="Times New Roman" w:hAnsi="Times New Roman" w:cs="Times New Roman"/>
              </w:rPr>
              <w:t>(c) adresarea de instrucțiuni sau de directive societății financiare holding sau societății financiare holding mixte de a transfera acționarilor săi participațiile la instituțiile sale filiale;</w:t>
            </w:r>
          </w:p>
          <w:p w14:paraId="4FEE2400" w14:textId="40F96EEC" w:rsidR="00837428" w:rsidRPr="009E686F" w:rsidRDefault="00837428" w:rsidP="00837428">
            <w:pPr>
              <w:spacing w:after="0"/>
              <w:jc w:val="both"/>
              <w:rPr>
                <w:rFonts w:ascii="Times New Roman" w:hAnsi="Times New Roman" w:cs="Times New Roman"/>
              </w:rPr>
            </w:pPr>
            <w:r w:rsidRPr="009E686F">
              <w:rPr>
                <w:rFonts w:ascii="Times New Roman" w:hAnsi="Times New Roman" w:cs="Times New Roman"/>
              </w:rPr>
              <w:t>(d) desemnarea temporară a altei societăți financiare holding, societăți financiare holding mixte sau instituții din cadrul grupului drept responsabilă pentru asigurarea respectării cerințelor prevăzute în prezenta directivă și în Regulamentul (UE) nr. 575/2013 pe bază consolidată;</w:t>
            </w:r>
          </w:p>
          <w:p w14:paraId="47652E37" w14:textId="69947FA5" w:rsidR="00837428" w:rsidRPr="009E686F" w:rsidRDefault="00837428" w:rsidP="00837428">
            <w:pPr>
              <w:spacing w:after="0"/>
              <w:jc w:val="both"/>
              <w:rPr>
                <w:rFonts w:ascii="Times New Roman" w:hAnsi="Times New Roman" w:cs="Times New Roman"/>
                <w:lang w:val="it-CH"/>
              </w:rPr>
            </w:pPr>
            <w:r w:rsidRPr="009E686F">
              <w:rPr>
                <w:rFonts w:ascii="Times New Roman" w:hAnsi="Times New Roman" w:cs="Times New Roman"/>
                <w:lang w:val="it-CH"/>
              </w:rPr>
              <w:t>(e) restricționarea sau interzicerea distribuirilor sau a plăților sub formă de dobânzi către acționari;</w:t>
            </w:r>
          </w:p>
          <w:p w14:paraId="262288E9" w14:textId="2C5B2C5B" w:rsidR="00837428" w:rsidRPr="009E686F" w:rsidRDefault="00837428" w:rsidP="00837428">
            <w:pPr>
              <w:spacing w:after="0"/>
              <w:jc w:val="both"/>
              <w:rPr>
                <w:rFonts w:ascii="Times New Roman" w:hAnsi="Times New Roman" w:cs="Times New Roman"/>
                <w:lang w:val="it-CH"/>
              </w:rPr>
            </w:pPr>
            <w:r w:rsidRPr="009E686F">
              <w:rPr>
                <w:rFonts w:ascii="Times New Roman" w:hAnsi="Times New Roman" w:cs="Times New Roman"/>
                <w:lang w:val="it-CH"/>
              </w:rPr>
              <w:t>(f) obligarea societăților financiare holding sau a societăților financiare holding mixte să cesioneze sau să-și reducă participațiile în instituții sau în alte entități din sectorul financiar;</w:t>
            </w:r>
          </w:p>
          <w:p w14:paraId="77086D3E" w14:textId="57001AD6" w:rsidR="00837428" w:rsidRPr="009E686F" w:rsidRDefault="00837428" w:rsidP="00837428">
            <w:pPr>
              <w:spacing w:after="0"/>
              <w:jc w:val="both"/>
              <w:rPr>
                <w:rFonts w:ascii="Times New Roman" w:hAnsi="Times New Roman" w:cs="Times New Roman"/>
                <w:lang w:val="it-CH"/>
              </w:rPr>
            </w:pPr>
            <w:r w:rsidRPr="009E686F">
              <w:rPr>
                <w:rFonts w:ascii="Times New Roman" w:hAnsi="Times New Roman" w:cs="Times New Roman"/>
                <w:lang w:val="it-CH"/>
              </w:rPr>
              <w:lastRenderedPageBreak/>
              <w:t>(g) obligarea societăților financiare holding sau a societăților financiare holding mixte să transmită un plan privind revenirea, fără întârzieri, la conformitate.</w:t>
            </w:r>
          </w:p>
        </w:tc>
        <w:tc>
          <w:tcPr>
            <w:tcW w:w="1834" w:type="pct"/>
            <w:tcBorders>
              <w:top w:val="single" w:sz="4" w:space="0" w:color="auto"/>
              <w:left w:val="single" w:sz="4" w:space="0" w:color="auto"/>
              <w:bottom w:val="single" w:sz="4" w:space="0" w:color="auto"/>
              <w:right w:val="single" w:sz="4" w:space="0" w:color="auto"/>
            </w:tcBorders>
          </w:tcPr>
          <w:p w14:paraId="5B3A250E" w14:textId="47C1C1C3" w:rsidR="00837428" w:rsidRPr="009E686F" w:rsidRDefault="00837428" w:rsidP="00837428">
            <w:pPr>
              <w:spacing w:after="0" w:line="278" w:lineRule="auto"/>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lastRenderedPageBreak/>
              <w:t>a) suspendarea exercitării dreptului de vot aferent acţiunilor instituțiilor de credit care sunt filiale deţinute de societatea financiară holding sau de societatea financiară holding mixtă;</w:t>
            </w:r>
          </w:p>
          <w:p w14:paraId="60AC790E" w14:textId="77777777" w:rsidR="00837428" w:rsidRPr="009E686F" w:rsidRDefault="00837428" w:rsidP="00837428">
            <w:pPr>
              <w:spacing w:after="0" w:line="278" w:lineRule="auto"/>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b) stabilirea de interdicţii sau sancţiuni împotriva societăţii financiare holding, a societăţii financiare holding mixte sau a membrilor organului de conducere și a administratorilor, sub rezerva articolelor 139-144;</w:t>
            </w:r>
          </w:p>
          <w:p w14:paraId="13FCE095" w14:textId="713AED82" w:rsidR="00837428" w:rsidRPr="009E686F" w:rsidRDefault="00837428" w:rsidP="00837428">
            <w:pPr>
              <w:spacing w:after="0" w:line="278" w:lineRule="auto"/>
              <w:jc w:val="both"/>
              <w:rPr>
                <w:rFonts w:ascii="Times New Roman" w:hAnsi="Times New Roman" w:cs="Times New Roman"/>
                <w:i/>
                <w:iCs/>
                <w:lang w:val="ro-MD"/>
              </w:rPr>
            </w:pPr>
            <w:r w:rsidRPr="009E686F">
              <w:rPr>
                <w:rFonts w:ascii="Times New Roman" w:hAnsi="Times New Roman" w:cs="Times New Roman"/>
                <w:i/>
                <w:iCs/>
                <w:lang w:val="ro-MD"/>
              </w:rPr>
              <w:t>c) formularea de instrucţiuni sau de directive pentru societatea financiară holding sau societatea financiară holding mixtă privind transferarea către acţionarii săi deținerile la instituţiile sale de credit-filiale;</w:t>
            </w:r>
          </w:p>
          <w:p w14:paraId="2B58A020" w14:textId="46A3C657" w:rsidR="00837428" w:rsidRPr="009E686F" w:rsidRDefault="00837428" w:rsidP="00837428">
            <w:pPr>
              <w:spacing w:after="0" w:line="278" w:lineRule="auto"/>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d) desemnarea temporară a altei societăţi financiare holding, societăţi financiare holding mixte sau instituții de credit din cadrul grupului drept responsabilă pentru asigurarea respectării cerinţelor prevăzute de prezenta lege și a actelor normative emise în aplicarea acesteia pe bază consolidată;</w:t>
            </w:r>
          </w:p>
          <w:p w14:paraId="0203B06A" w14:textId="77777777" w:rsidR="00837428" w:rsidRPr="009E686F" w:rsidRDefault="00837428" w:rsidP="00837428">
            <w:pPr>
              <w:spacing w:after="0" w:line="278" w:lineRule="auto"/>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e) restricţionarea sau interzicerea distribuirilor sau a plăţilor sub formă de dobânzi către acţionari;</w:t>
            </w:r>
          </w:p>
          <w:p w14:paraId="62937C3E" w14:textId="44F9BAB0" w:rsidR="00837428" w:rsidRPr="009E686F" w:rsidRDefault="00837428" w:rsidP="00837428">
            <w:pPr>
              <w:spacing w:after="0" w:line="278" w:lineRule="auto"/>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lastRenderedPageBreak/>
              <w:t>f) obligarea societăţilor financiare holding sau a societăţilor financiare holding mixte să cesioneze sau să-și reducă deținerile în instituții de credit sau în alte entităţi din sectorul financiar;</w:t>
            </w:r>
          </w:p>
          <w:p w14:paraId="40AD9B41" w14:textId="4F123708" w:rsidR="00837428" w:rsidRPr="009E686F" w:rsidRDefault="00837428" w:rsidP="00837428">
            <w:pPr>
              <w:spacing w:after="0"/>
              <w:jc w:val="both"/>
              <w:rPr>
                <w:rFonts w:ascii="Times New Roman" w:hAnsi="Times New Roman" w:cs="Times New Roman"/>
                <w:b/>
                <w:i/>
                <w:iCs/>
                <w:lang w:val="ro-MD"/>
              </w:rPr>
            </w:pPr>
            <w:r w:rsidRPr="009E686F">
              <w:rPr>
                <w:rFonts w:ascii="Times New Roman" w:eastAsia="Aptos" w:hAnsi="Times New Roman" w:cs="Times New Roman"/>
                <w:i/>
                <w:iCs/>
                <w:kern w:val="2"/>
                <w:lang w:val="ro-MD"/>
              </w:rPr>
              <w:t>g) obligarea societăţilor financiare holding sau a societăţilor financiare holding mixte să transmită un plan privind revenirea, fără întârzieri, la conformitate.</w:t>
            </w:r>
          </w:p>
        </w:tc>
        <w:tc>
          <w:tcPr>
            <w:tcW w:w="470" w:type="pct"/>
            <w:tcBorders>
              <w:top w:val="single" w:sz="4" w:space="0" w:color="auto"/>
              <w:left w:val="single" w:sz="4" w:space="0" w:color="auto"/>
              <w:bottom w:val="single" w:sz="4" w:space="0" w:color="auto"/>
              <w:right w:val="single" w:sz="4" w:space="0" w:color="auto"/>
            </w:tcBorders>
          </w:tcPr>
          <w:p w14:paraId="5F29DDFC" w14:textId="65114BF6" w:rsidR="00837428" w:rsidRPr="009E686F" w:rsidRDefault="00837428" w:rsidP="00837428">
            <w:pPr>
              <w:jc w:val="both"/>
              <w:rPr>
                <w:rFonts w:ascii="Times New Roman" w:hAnsi="Times New Roman" w:cs="Times New Roman"/>
              </w:rPr>
            </w:pPr>
            <w:r w:rsidRPr="009E686F">
              <w:rPr>
                <w:rFonts w:ascii="Times New Roman" w:hAnsi="Times New Roman" w:cs="Times New Roman"/>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6435F06D" w14:textId="77777777" w:rsidR="00837428" w:rsidRPr="009E686F" w:rsidRDefault="00837428" w:rsidP="00837428">
            <w:pPr>
              <w:spacing w:after="0"/>
              <w:jc w:val="both"/>
              <w:rPr>
                <w:rFonts w:ascii="Times New Roman" w:hAnsi="Times New Roman" w:cs="Times New Roman"/>
              </w:rPr>
            </w:pPr>
          </w:p>
        </w:tc>
      </w:tr>
      <w:tr w:rsidR="00837428" w:rsidRPr="009E686F" w14:paraId="19DA113C" w14:textId="77777777" w:rsidTr="00960C23">
        <w:tc>
          <w:tcPr>
            <w:tcW w:w="1890" w:type="pct"/>
            <w:tcBorders>
              <w:top w:val="single" w:sz="4" w:space="0" w:color="auto"/>
              <w:left w:val="single" w:sz="4" w:space="0" w:color="auto"/>
              <w:bottom w:val="single" w:sz="4" w:space="0" w:color="auto"/>
              <w:right w:val="single" w:sz="4" w:space="0" w:color="auto"/>
            </w:tcBorders>
          </w:tcPr>
          <w:p w14:paraId="3EE71CF3" w14:textId="7CF9E9E7" w:rsidR="00837428" w:rsidRPr="009E686F" w:rsidRDefault="00837428" w:rsidP="00837428">
            <w:pPr>
              <w:spacing w:after="0"/>
              <w:jc w:val="both"/>
              <w:rPr>
                <w:rFonts w:ascii="Times New Roman" w:hAnsi="Times New Roman" w:cs="Times New Roman"/>
              </w:rPr>
            </w:pPr>
            <w:r w:rsidRPr="009E686F">
              <w:rPr>
                <w:rFonts w:ascii="Times New Roman" w:hAnsi="Times New Roman" w:cs="Times New Roman"/>
              </w:rPr>
              <w:t>(7) În cazul în care supraveghetorul consolidant hotărăște că nu mai sunt îndeplinite condițiile prevăzute la alineatul (4), societatea financiară holding sau societatea financiară holding mixtă solicită aprobarea în conformitate cu prezentul articol.</w:t>
            </w:r>
          </w:p>
        </w:tc>
        <w:tc>
          <w:tcPr>
            <w:tcW w:w="1834" w:type="pct"/>
            <w:tcBorders>
              <w:top w:val="single" w:sz="4" w:space="0" w:color="auto"/>
              <w:left w:val="single" w:sz="4" w:space="0" w:color="auto"/>
              <w:bottom w:val="single" w:sz="4" w:space="0" w:color="auto"/>
              <w:right w:val="single" w:sz="4" w:space="0" w:color="auto"/>
            </w:tcBorders>
          </w:tcPr>
          <w:p w14:paraId="08D61CF4" w14:textId="511C8CF2" w:rsidR="00837428" w:rsidRPr="009E686F" w:rsidRDefault="00837428" w:rsidP="00837428">
            <w:pPr>
              <w:spacing w:after="0"/>
              <w:jc w:val="both"/>
              <w:rPr>
                <w:rFonts w:ascii="Times New Roman" w:hAnsi="Times New Roman" w:cs="Times New Roman"/>
                <w:bCs/>
                <w:lang w:val="it-IT"/>
              </w:rPr>
            </w:pPr>
            <w:r w:rsidRPr="009E686F">
              <w:rPr>
                <w:rFonts w:ascii="Times New Roman" w:eastAsia="Aptos" w:hAnsi="Times New Roman" w:cs="Times New Roman"/>
                <w:b/>
                <w:bCs/>
                <w:kern w:val="2"/>
                <w:lang w:val="ro-MD"/>
              </w:rPr>
              <w:t>Articolul 116</w:t>
            </w:r>
            <w:r w:rsidRPr="009E686F">
              <w:rPr>
                <w:rFonts w:ascii="Times New Roman" w:eastAsia="Aptos" w:hAnsi="Times New Roman" w:cs="Times New Roman"/>
                <w:b/>
                <w:bCs/>
                <w:kern w:val="2"/>
                <w:vertAlign w:val="superscript"/>
                <w:lang w:val="ro-MD"/>
              </w:rPr>
              <w:t xml:space="preserve">5 </w:t>
            </w:r>
            <w:r w:rsidRPr="009E686F">
              <w:rPr>
                <w:rFonts w:ascii="Times New Roman" w:eastAsia="Aptos" w:hAnsi="Times New Roman" w:cs="Times New Roman"/>
                <w:b/>
                <w:bCs/>
                <w:kern w:val="2"/>
                <w:lang w:val="ro-MD"/>
              </w:rPr>
              <w:t>alin. (3)</w:t>
            </w:r>
          </w:p>
          <w:p w14:paraId="310DD925" w14:textId="5A6EF3A4" w:rsidR="00837428" w:rsidRPr="009E686F" w:rsidRDefault="00837428" w:rsidP="00837428">
            <w:pPr>
              <w:spacing w:after="0"/>
              <w:jc w:val="both"/>
              <w:rPr>
                <w:rFonts w:ascii="Times New Roman" w:hAnsi="Times New Roman" w:cs="Times New Roman"/>
                <w:bCs/>
                <w:i/>
                <w:iCs/>
                <w:lang w:val="ro-MD"/>
              </w:rPr>
            </w:pPr>
            <w:r w:rsidRPr="009E686F">
              <w:rPr>
                <w:rFonts w:ascii="Times New Roman" w:eastAsia="Aptos" w:hAnsi="Times New Roman" w:cs="Times New Roman"/>
                <w:i/>
                <w:iCs/>
                <w:kern w:val="2"/>
                <w:lang w:val="ro-MD"/>
              </w:rPr>
              <w:t>(3) În cazul în care Banca Națională a Moldovei decide că nu mai sunt îndeplinite condiţiile prevăzute la art. 116</w:t>
            </w:r>
            <w:r w:rsidRPr="009E686F">
              <w:rPr>
                <w:rFonts w:ascii="Times New Roman" w:eastAsia="Aptos" w:hAnsi="Times New Roman" w:cs="Times New Roman"/>
                <w:i/>
                <w:iCs/>
                <w:kern w:val="2"/>
                <w:vertAlign w:val="superscript"/>
                <w:lang w:val="ro-MD"/>
              </w:rPr>
              <w:t>2</w:t>
            </w:r>
            <w:r w:rsidRPr="009E686F">
              <w:rPr>
                <w:rFonts w:ascii="Times New Roman" w:eastAsia="Aptos" w:hAnsi="Times New Roman" w:cs="Times New Roman"/>
                <w:i/>
                <w:iCs/>
                <w:kern w:val="2"/>
                <w:lang w:val="ro-MD"/>
              </w:rPr>
              <w:t xml:space="preserve"> alin. (1) pentru exceptarea de la aprobare, societatea financiară holding sau societatea financiară holding mixtă trebuie să solicite aprobarea în conformitate cu prezentul articol.</w:t>
            </w:r>
          </w:p>
        </w:tc>
        <w:tc>
          <w:tcPr>
            <w:tcW w:w="470" w:type="pct"/>
            <w:tcBorders>
              <w:top w:val="single" w:sz="4" w:space="0" w:color="auto"/>
              <w:left w:val="single" w:sz="4" w:space="0" w:color="auto"/>
              <w:bottom w:val="single" w:sz="4" w:space="0" w:color="auto"/>
              <w:right w:val="single" w:sz="4" w:space="0" w:color="auto"/>
            </w:tcBorders>
          </w:tcPr>
          <w:p w14:paraId="7B502333" w14:textId="689D99EE" w:rsidR="00837428" w:rsidRPr="009E686F" w:rsidRDefault="00837428" w:rsidP="00837428">
            <w:pPr>
              <w:jc w:val="both"/>
              <w:rPr>
                <w:rFonts w:ascii="Times New Roman" w:hAnsi="Times New Roman" w:cs="Times New Roman"/>
              </w:rPr>
            </w:pPr>
            <w:r w:rsidRPr="009E686F">
              <w:rPr>
                <w:rFonts w:ascii="Times New Roman" w:hAnsi="Times New Roman" w:cs="Times New Roman"/>
                <w:lang w:val="ro-MD"/>
              </w:rPr>
              <w:t xml:space="preserve"> </w:t>
            </w: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4C6355A9" w14:textId="77777777" w:rsidR="00837428" w:rsidRPr="009E686F" w:rsidRDefault="00837428" w:rsidP="00837428">
            <w:pPr>
              <w:spacing w:after="0"/>
              <w:jc w:val="both"/>
              <w:rPr>
                <w:rFonts w:ascii="Times New Roman" w:hAnsi="Times New Roman" w:cs="Times New Roman"/>
              </w:rPr>
            </w:pPr>
          </w:p>
        </w:tc>
      </w:tr>
      <w:tr w:rsidR="00837428" w:rsidRPr="009E686F" w14:paraId="7441BF40" w14:textId="77777777" w:rsidTr="00960C23">
        <w:tc>
          <w:tcPr>
            <w:tcW w:w="1890" w:type="pct"/>
            <w:tcBorders>
              <w:top w:val="single" w:sz="4" w:space="0" w:color="auto"/>
              <w:left w:val="single" w:sz="4" w:space="0" w:color="auto"/>
              <w:bottom w:val="single" w:sz="4" w:space="0" w:color="auto"/>
              <w:right w:val="single" w:sz="4" w:space="0" w:color="auto"/>
            </w:tcBorders>
          </w:tcPr>
          <w:p w14:paraId="79755422" w14:textId="594FB55F" w:rsidR="00837428" w:rsidRPr="009E686F" w:rsidRDefault="00837428" w:rsidP="00837428">
            <w:pPr>
              <w:spacing w:after="0"/>
              <w:jc w:val="both"/>
              <w:rPr>
                <w:rFonts w:ascii="Times New Roman" w:hAnsi="Times New Roman" w:cs="Times New Roman"/>
                <w:lang w:val="it-CH"/>
              </w:rPr>
            </w:pPr>
            <w:r w:rsidRPr="009E686F">
              <w:rPr>
                <w:rFonts w:ascii="Times New Roman" w:hAnsi="Times New Roman" w:cs="Times New Roman"/>
                <w:lang w:val="it-CH"/>
              </w:rPr>
              <w:t xml:space="preserve">(8) În cazul în care supraveghetorul consolidant este diferit de autoritatea competentă din statul membru în care este stabilită societatea financiară holding sau societatea financiară holding mixtă, cele două autorități colaborează în consultare deplină în scopul luării deciziilor cu privire la aprobare, la exceptarea de la aprobare și la excluderea din perimetrul de consolidare menționate la alineatele (3), (4) și (4a), precum și cu privire la măsurile de supraveghere menționate la alineatele (6) și (7). </w:t>
            </w:r>
          </w:p>
          <w:p w14:paraId="39187559" w14:textId="77777777" w:rsidR="00837428" w:rsidRPr="009E686F" w:rsidRDefault="00837428" w:rsidP="00837428">
            <w:pPr>
              <w:spacing w:after="0"/>
              <w:jc w:val="both"/>
              <w:rPr>
                <w:rFonts w:ascii="Times New Roman" w:hAnsi="Times New Roman" w:cs="Times New Roman"/>
                <w:lang w:val="it-CH"/>
              </w:rPr>
            </w:pPr>
          </w:p>
          <w:p w14:paraId="65A21A89" w14:textId="0EE4C564" w:rsidR="00837428" w:rsidRPr="009E686F" w:rsidRDefault="00837428" w:rsidP="00837428">
            <w:pPr>
              <w:spacing w:after="0"/>
              <w:jc w:val="both"/>
              <w:rPr>
                <w:rFonts w:ascii="Times New Roman" w:hAnsi="Times New Roman" w:cs="Times New Roman"/>
                <w:lang w:val="it-CH"/>
              </w:rPr>
            </w:pPr>
            <w:r w:rsidRPr="009E686F">
              <w:rPr>
                <w:rFonts w:ascii="Times New Roman" w:hAnsi="Times New Roman" w:cs="Times New Roman"/>
                <w:lang w:val="it-CH"/>
              </w:rPr>
              <w:t>Supraveghetorul consolidant pregătește o evaluare a aspectelor menționate la alineatele (3), (4), (4a), (6) și (7), după caz, și înaintează respectiva evaluare autorității competente din statul membru în care este stabilită societatea financiară holding sau societatea financiară holding mixtă. Cele două autorități fac tot ce este posibil în limita competențelor lor pentru a ajunge la o decizie comună în termen de două luni de la data primirii evaluării respective.</w:t>
            </w:r>
          </w:p>
          <w:p w14:paraId="607EADA7" w14:textId="6B55CF29" w:rsidR="00837428" w:rsidRPr="009E686F" w:rsidRDefault="00837428" w:rsidP="00837428">
            <w:pPr>
              <w:spacing w:after="0"/>
              <w:jc w:val="both"/>
              <w:rPr>
                <w:rFonts w:ascii="Times New Roman" w:hAnsi="Times New Roman" w:cs="Times New Roman"/>
                <w:lang w:val="it-CH"/>
              </w:rPr>
            </w:pPr>
            <w:r w:rsidRPr="009E686F">
              <w:rPr>
                <w:rFonts w:ascii="Times New Roman" w:hAnsi="Times New Roman" w:cs="Times New Roman"/>
                <w:lang w:val="it-CH"/>
              </w:rPr>
              <w:lastRenderedPageBreak/>
              <w:t>În cazul în care se ajunge la o decizie comună, dacă supraveghetorul consolidant este diferit de autoritatea competentă din statul membru în care este stabilită societatea financiară holding sau societatea financiară holding mixtă, decizia comună este, de asemenea, pusă în aplicare sau, dacă dreptul intern permite acest lucru, se aplică direct în statul membru în care este stabilită societatea financiară holding sau societatea financiară holding mixtă.</w:t>
            </w:r>
          </w:p>
          <w:p w14:paraId="34C149EA" w14:textId="77777777" w:rsidR="00837428" w:rsidRPr="009E686F" w:rsidRDefault="00837428" w:rsidP="00837428">
            <w:pPr>
              <w:spacing w:after="0"/>
              <w:jc w:val="both"/>
              <w:rPr>
                <w:rFonts w:ascii="Times New Roman" w:hAnsi="Times New Roman" w:cs="Times New Roman"/>
                <w:lang w:val="it-CH"/>
              </w:rPr>
            </w:pPr>
            <w:r w:rsidRPr="009E686F">
              <w:rPr>
                <w:rFonts w:ascii="Times New Roman" w:hAnsi="Times New Roman" w:cs="Times New Roman"/>
                <w:lang w:val="it-CH"/>
              </w:rPr>
              <w:t xml:space="preserve">Decizia comună este documentată și justificată în mod corespunzător. </w:t>
            </w:r>
          </w:p>
          <w:p w14:paraId="16E0EF1C" w14:textId="6A64B6AF" w:rsidR="00837428" w:rsidRPr="009E686F" w:rsidRDefault="00837428" w:rsidP="00837428">
            <w:pPr>
              <w:spacing w:after="0"/>
              <w:jc w:val="both"/>
              <w:rPr>
                <w:rFonts w:ascii="Times New Roman" w:hAnsi="Times New Roman" w:cs="Times New Roman"/>
                <w:lang w:val="it-CH"/>
              </w:rPr>
            </w:pPr>
            <w:r w:rsidRPr="009E686F">
              <w:rPr>
                <w:rFonts w:ascii="Times New Roman" w:hAnsi="Times New Roman" w:cs="Times New Roman"/>
                <w:lang w:val="it-CH"/>
              </w:rPr>
              <w:t>Supraveghetorul consolidant comunică decizia comună societății financiare holding sau societății financiare holding mixte.</w:t>
            </w:r>
          </w:p>
          <w:p w14:paraId="205C2C08" w14:textId="77777777" w:rsidR="00837428" w:rsidRPr="009E686F" w:rsidRDefault="00837428" w:rsidP="00837428">
            <w:pPr>
              <w:spacing w:after="0"/>
              <w:jc w:val="both"/>
              <w:rPr>
                <w:rFonts w:ascii="Times New Roman" w:hAnsi="Times New Roman" w:cs="Times New Roman"/>
                <w:lang w:val="it-CH"/>
              </w:rPr>
            </w:pPr>
          </w:p>
          <w:p w14:paraId="49060610" w14:textId="77777777" w:rsidR="00837428" w:rsidRPr="009E686F" w:rsidRDefault="00837428" w:rsidP="00837428">
            <w:pPr>
              <w:spacing w:after="0"/>
              <w:jc w:val="both"/>
              <w:rPr>
                <w:rFonts w:ascii="Times New Roman" w:hAnsi="Times New Roman" w:cs="Times New Roman"/>
                <w:lang w:val="pt-BR"/>
              </w:rPr>
            </w:pPr>
            <w:r w:rsidRPr="009E686F">
              <w:rPr>
                <w:rFonts w:ascii="Times New Roman" w:hAnsi="Times New Roman" w:cs="Times New Roman"/>
                <w:lang w:val="it-CH"/>
              </w:rPr>
              <w:t xml:space="preserve">În cazul unui dezacord, supraveghetorul consolidant sau autoritatea competentă din statul membru în care este stabilită societatea financiară holding sau societatea financiară holding mixtă se abține de la adoptarea unei decizii și sesizează ABE cu privire la respectiva chestiune în conformitate cu articolul 19 din Regulamentul (UE) nr. 1093/2010. </w:t>
            </w:r>
            <w:r w:rsidRPr="009E686F">
              <w:rPr>
                <w:rFonts w:ascii="Times New Roman" w:hAnsi="Times New Roman" w:cs="Times New Roman"/>
                <w:lang w:val="pt-BR"/>
              </w:rPr>
              <w:t xml:space="preserve">ABE ia decizia în termen de o lună de la primirea sesizării de către ABE. </w:t>
            </w:r>
          </w:p>
          <w:p w14:paraId="1DC68B75" w14:textId="2FD993C0" w:rsidR="00837428" w:rsidRPr="009E686F" w:rsidRDefault="00837428" w:rsidP="00837428">
            <w:pPr>
              <w:spacing w:after="0"/>
              <w:jc w:val="both"/>
              <w:rPr>
                <w:rFonts w:ascii="Times New Roman" w:hAnsi="Times New Roman" w:cs="Times New Roman"/>
                <w:lang w:val="pt-BR"/>
              </w:rPr>
            </w:pPr>
            <w:r w:rsidRPr="009E686F">
              <w:rPr>
                <w:rFonts w:ascii="Times New Roman" w:hAnsi="Times New Roman" w:cs="Times New Roman"/>
                <w:lang w:val="pt-BR"/>
              </w:rPr>
              <w:t>Autoritățile competente în cauză adoptă o decizie comună în conformitate cu decizia ABE. ABE nu poate fi sesizată după expirarea perioadei de două luni sau după ce s-a luat o decizie comună.</w:t>
            </w:r>
          </w:p>
        </w:tc>
        <w:tc>
          <w:tcPr>
            <w:tcW w:w="1834" w:type="pct"/>
            <w:tcBorders>
              <w:top w:val="single" w:sz="4" w:space="0" w:color="auto"/>
              <w:left w:val="single" w:sz="4" w:space="0" w:color="auto"/>
              <w:bottom w:val="single" w:sz="4" w:space="0" w:color="auto"/>
              <w:right w:val="single" w:sz="4" w:space="0" w:color="auto"/>
            </w:tcBorders>
          </w:tcPr>
          <w:p w14:paraId="789A7A9E" w14:textId="17F81A49" w:rsidR="00837428" w:rsidRPr="009E686F" w:rsidRDefault="00837428" w:rsidP="00837428">
            <w:pPr>
              <w:spacing w:after="0" w:line="278" w:lineRule="auto"/>
              <w:jc w:val="both"/>
              <w:rPr>
                <w:rFonts w:ascii="Times New Roman" w:eastAsia="Aptos" w:hAnsi="Times New Roman" w:cs="Times New Roman"/>
                <w:b/>
                <w:bCs/>
                <w:kern w:val="2"/>
                <w:lang w:val="ro-MD"/>
              </w:rPr>
            </w:pPr>
            <w:r w:rsidRPr="009E686F">
              <w:rPr>
                <w:rFonts w:ascii="Times New Roman" w:eastAsia="Aptos" w:hAnsi="Times New Roman" w:cs="Times New Roman"/>
                <w:b/>
                <w:bCs/>
                <w:kern w:val="2"/>
                <w:lang w:val="ro-MD"/>
              </w:rPr>
              <w:lastRenderedPageBreak/>
              <w:t>Articolul 116</w:t>
            </w:r>
            <w:r w:rsidRPr="009E686F">
              <w:rPr>
                <w:rFonts w:ascii="Times New Roman" w:eastAsia="Aptos" w:hAnsi="Times New Roman" w:cs="Times New Roman"/>
                <w:b/>
                <w:bCs/>
                <w:kern w:val="2"/>
                <w:vertAlign w:val="superscript"/>
                <w:lang w:val="ro-MD"/>
              </w:rPr>
              <w:t xml:space="preserve">3 </w:t>
            </w:r>
            <w:r w:rsidRPr="009E686F">
              <w:rPr>
                <w:rFonts w:ascii="Times New Roman" w:eastAsia="Aptos" w:hAnsi="Times New Roman" w:cs="Times New Roman"/>
                <w:b/>
                <w:bCs/>
                <w:kern w:val="2"/>
                <w:lang w:val="ro-MD"/>
              </w:rPr>
              <w:t>alin. (1)</w:t>
            </w:r>
          </w:p>
          <w:p w14:paraId="0B52EE0D" w14:textId="7EB787C3" w:rsidR="00837428" w:rsidRPr="009E686F" w:rsidRDefault="00837428" w:rsidP="00837428">
            <w:pPr>
              <w:spacing w:after="0" w:line="278" w:lineRule="auto"/>
              <w:jc w:val="both"/>
              <w:rPr>
                <w:rFonts w:ascii="Times New Roman" w:eastAsia="Aptos" w:hAnsi="Times New Roman" w:cs="Times New Roman"/>
                <w:b/>
                <w:bCs/>
                <w:i/>
                <w:iCs/>
                <w:kern w:val="2"/>
                <w:lang w:val="ro-MD"/>
              </w:rPr>
            </w:pPr>
            <w:r w:rsidRPr="009E686F">
              <w:rPr>
                <w:rFonts w:ascii="Times New Roman" w:eastAsia="Aptos" w:hAnsi="Times New Roman" w:cs="Times New Roman"/>
                <w:i/>
                <w:iCs/>
                <w:kern w:val="2"/>
                <w:lang w:val="ro-MD"/>
              </w:rPr>
              <w:t>(1) Banca Națională a Moldovei, în calitate de autoritate competentă a unei societăți financiare holding sau societăți financiare holding mixte care este stabilită în Republica Moldova, când nu are calitatea de supraveghetor consolidant colaborează în consultare deplină cu supraveghetorul consolidant al respectivelor societăți, în scopul luării deciziilor cu privire la aprobare, la exceptarea de la aprobare și la excluderea din perimetrul de consolidare menționate la art. 116</w:t>
            </w:r>
            <w:r w:rsidRPr="009E686F">
              <w:rPr>
                <w:rFonts w:ascii="Times New Roman" w:eastAsia="Aptos" w:hAnsi="Times New Roman" w:cs="Times New Roman"/>
                <w:i/>
                <w:iCs/>
                <w:kern w:val="2"/>
                <w:vertAlign w:val="superscript"/>
                <w:lang w:val="ro-MD"/>
              </w:rPr>
              <w:t xml:space="preserve">1 </w:t>
            </w:r>
            <w:r w:rsidRPr="009E686F">
              <w:rPr>
                <w:rFonts w:ascii="Times New Roman" w:eastAsia="Aptos" w:hAnsi="Times New Roman" w:cs="Times New Roman"/>
                <w:i/>
                <w:iCs/>
                <w:kern w:val="2"/>
                <w:lang w:val="ro-MD"/>
              </w:rPr>
              <w:t>alin. (7), art. 116</w:t>
            </w:r>
            <w:r w:rsidRPr="009E686F">
              <w:rPr>
                <w:rFonts w:ascii="Times New Roman" w:eastAsia="Aptos" w:hAnsi="Times New Roman" w:cs="Times New Roman"/>
                <w:i/>
                <w:iCs/>
                <w:kern w:val="2"/>
                <w:vertAlign w:val="superscript"/>
                <w:lang w:val="ro-MD"/>
              </w:rPr>
              <w:t xml:space="preserve">2 </w:t>
            </w:r>
            <w:r w:rsidRPr="009E686F">
              <w:rPr>
                <w:rFonts w:ascii="Times New Roman" w:eastAsia="Aptos" w:hAnsi="Times New Roman" w:cs="Times New Roman"/>
                <w:i/>
                <w:iCs/>
                <w:kern w:val="2"/>
                <w:lang w:val="ro-MD"/>
              </w:rPr>
              <w:t>alin. (1)</w:t>
            </w:r>
            <w:r w:rsidR="00234E47" w:rsidRPr="009E686F">
              <w:rPr>
                <w:rFonts w:ascii="Times New Roman" w:eastAsia="Aptos" w:hAnsi="Times New Roman" w:cs="Times New Roman"/>
                <w:i/>
                <w:iCs/>
                <w:kern w:val="2"/>
                <w:lang w:val="ro-MD"/>
              </w:rPr>
              <w:t xml:space="preserve"> și </w:t>
            </w:r>
            <w:r w:rsidRPr="009E686F">
              <w:rPr>
                <w:rFonts w:ascii="Times New Roman" w:eastAsia="Aptos" w:hAnsi="Times New Roman" w:cs="Times New Roman"/>
                <w:i/>
                <w:iCs/>
                <w:kern w:val="2"/>
                <w:lang w:val="ro-MD"/>
              </w:rPr>
              <w:t>alin. (3), precum și cu privire la măsurile de supraveghere menționate la art. 116</w:t>
            </w:r>
            <w:r w:rsidRPr="009E686F">
              <w:rPr>
                <w:rFonts w:ascii="Times New Roman" w:eastAsia="Aptos" w:hAnsi="Times New Roman" w:cs="Times New Roman"/>
                <w:i/>
                <w:iCs/>
                <w:kern w:val="2"/>
                <w:vertAlign w:val="superscript"/>
                <w:lang w:val="ro-MD"/>
              </w:rPr>
              <w:t>5</w:t>
            </w:r>
            <w:r w:rsidRPr="009E686F">
              <w:rPr>
                <w:rFonts w:ascii="Times New Roman" w:eastAsia="Aptos" w:hAnsi="Times New Roman" w:cs="Times New Roman"/>
                <w:i/>
                <w:iCs/>
                <w:kern w:val="2"/>
                <w:lang w:val="ro-MD"/>
              </w:rPr>
              <w:t>.</w:t>
            </w:r>
          </w:p>
          <w:p w14:paraId="1741CE35" w14:textId="77777777" w:rsidR="00837428" w:rsidRPr="009E686F" w:rsidRDefault="00837428" w:rsidP="00837428">
            <w:pPr>
              <w:spacing w:after="0" w:line="278" w:lineRule="auto"/>
              <w:jc w:val="both"/>
              <w:rPr>
                <w:rFonts w:ascii="Times New Roman" w:eastAsia="Aptos" w:hAnsi="Times New Roman" w:cs="Times New Roman"/>
                <w:b/>
                <w:bCs/>
                <w:kern w:val="2"/>
                <w:lang w:val="ro-MD"/>
              </w:rPr>
            </w:pPr>
          </w:p>
          <w:p w14:paraId="3A2F71EA" w14:textId="0D843A86" w:rsidR="00837428" w:rsidRPr="009E686F" w:rsidRDefault="00837428" w:rsidP="00837428">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b/>
                <w:bCs/>
                <w:kern w:val="2"/>
                <w:lang w:val="ro-MD"/>
              </w:rPr>
              <w:t>Articolul 116</w:t>
            </w:r>
            <w:r w:rsidRPr="009E686F">
              <w:rPr>
                <w:rFonts w:ascii="Times New Roman" w:eastAsia="Aptos" w:hAnsi="Times New Roman" w:cs="Times New Roman"/>
                <w:b/>
                <w:bCs/>
                <w:kern w:val="2"/>
                <w:vertAlign w:val="superscript"/>
                <w:lang w:val="ro-MD"/>
              </w:rPr>
              <w:t xml:space="preserve">1 </w:t>
            </w:r>
            <w:r w:rsidRPr="009E686F">
              <w:rPr>
                <w:rFonts w:ascii="Times New Roman" w:eastAsia="Aptos" w:hAnsi="Times New Roman" w:cs="Times New Roman"/>
                <w:b/>
                <w:bCs/>
                <w:kern w:val="2"/>
                <w:lang w:val="ro-MD"/>
              </w:rPr>
              <w:t>alin. (9)</w:t>
            </w:r>
          </w:p>
          <w:p w14:paraId="3C6700FE" w14:textId="167F896E" w:rsidR="00837428" w:rsidRPr="009E686F" w:rsidRDefault="00837428" w:rsidP="00837428">
            <w:pPr>
              <w:spacing w:after="0"/>
              <w:jc w:val="both"/>
              <w:rPr>
                <w:rFonts w:ascii="Times New Roman" w:eastAsia="Aptos" w:hAnsi="Times New Roman" w:cs="Times New Roman"/>
                <w:i/>
                <w:iCs/>
                <w:kern w:val="2"/>
                <w:lang w:val="ro-RO"/>
              </w:rPr>
            </w:pPr>
            <w:r w:rsidRPr="009E686F">
              <w:rPr>
                <w:rFonts w:ascii="Times New Roman" w:eastAsia="Aptos" w:hAnsi="Times New Roman" w:cs="Times New Roman"/>
                <w:i/>
                <w:iCs/>
                <w:kern w:val="2"/>
                <w:lang w:val="ro-MD"/>
              </w:rPr>
              <w:t>(9) Banca N</w:t>
            </w:r>
            <w:r w:rsidRPr="009E686F">
              <w:rPr>
                <w:rFonts w:ascii="Times New Roman" w:eastAsia="Aptos" w:hAnsi="Times New Roman" w:cs="Times New Roman"/>
                <w:i/>
                <w:iCs/>
                <w:kern w:val="2"/>
                <w:lang w:val="ro-RO"/>
              </w:rPr>
              <w:t>ațională a Moldovei, în calitate de supraveghetor consolidant, evaluează aspectele menționate la alin. (5)-(8) și a celor menționate la art. 139 alin. (6</w:t>
            </w:r>
            <w:r w:rsidRPr="009E686F">
              <w:rPr>
                <w:rFonts w:ascii="Times New Roman" w:eastAsia="Aptos" w:hAnsi="Times New Roman" w:cs="Times New Roman"/>
                <w:i/>
                <w:iCs/>
                <w:kern w:val="2"/>
                <w:vertAlign w:val="superscript"/>
                <w:lang w:val="ro-RO"/>
              </w:rPr>
              <w:t>1</w:t>
            </w:r>
            <w:r w:rsidRPr="009E686F">
              <w:rPr>
                <w:rFonts w:ascii="Times New Roman" w:eastAsia="Aptos" w:hAnsi="Times New Roman" w:cs="Times New Roman"/>
                <w:i/>
                <w:iCs/>
                <w:kern w:val="2"/>
                <w:lang w:val="ro-RO"/>
              </w:rPr>
              <w:t xml:space="preserve">), </w:t>
            </w:r>
            <w:r w:rsidRPr="009E686F">
              <w:rPr>
                <w:rFonts w:ascii="Times New Roman" w:eastAsia="Aptos" w:hAnsi="Times New Roman" w:cs="Times New Roman"/>
                <w:i/>
                <w:iCs/>
                <w:kern w:val="2"/>
                <w:lang w:val="ro-RO"/>
              </w:rPr>
              <w:lastRenderedPageBreak/>
              <w:t>după caz, și transmite respectiva evaluare autorității competente din statul membru în care este stabilită societatea financiară holding sau societatea financiară holding mixtă pentru a lua o decizie comună în termen de 2 luni de la data primirii evaluării respective.</w:t>
            </w:r>
          </w:p>
          <w:p w14:paraId="4FF4DFA0" w14:textId="74814830" w:rsidR="00837428" w:rsidRPr="009E686F" w:rsidRDefault="00837428" w:rsidP="00837428">
            <w:pPr>
              <w:spacing w:after="0" w:line="278" w:lineRule="auto"/>
              <w:jc w:val="both"/>
              <w:rPr>
                <w:rFonts w:ascii="Times New Roman" w:eastAsia="Aptos" w:hAnsi="Times New Roman" w:cs="Times New Roman"/>
                <w:b/>
                <w:bCs/>
                <w:kern w:val="2"/>
                <w:lang w:val="ro-MD"/>
              </w:rPr>
            </w:pPr>
            <w:r w:rsidRPr="009E686F">
              <w:rPr>
                <w:rFonts w:ascii="Times New Roman" w:eastAsia="Aptos" w:hAnsi="Times New Roman" w:cs="Times New Roman"/>
                <w:b/>
                <w:bCs/>
                <w:kern w:val="2"/>
                <w:lang w:val="ro-MD"/>
              </w:rPr>
              <w:t>Articolul 116</w:t>
            </w:r>
            <w:r w:rsidRPr="009E686F">
              <w:rPr>
                <w:rFonts w:ascii="Times New Roman" w:eastAsia="Aptos" w:hAnsi="Times New Roman" w:cs="Times New Roman"/>
                <w:b/>
                <w:bCs/>
                <w:kern w:val="2"/>
                <w:vertAlign w:val="superscript"/>
                <w:lang w:val="ro-MD"/>
              </w:rPr>
              <w:t>3</w:t>
            </w:r>
            <w:r w:rsidRPr="009E686F">
              <w:rPr>
                <w:rFonts w:ascii="Times New Roman" w:eastAsia="Aptos" w:hAnsi="Times New Roman" w:cs="Times New Roman"/>
                <w:b/>
                <w:bCs/>
                <w:kern w:val="2"/>
                <w:lang w:val="ro-MD"/>
              </w:rPr>
              <w:t xml:space="preserve"> alin. (2) – (5)</w:t>
            </w:r>
          </w:p>
          <w:p w14:paraId="36052355" w14:textId="740C66D3" w:rsidR="00837428" w:rsidRPr="009E686F" w:rsidRDefault="00837428" w:rsidP="00837428">
            <w:pPr>
              <w:spacing w:after="0" w:line="278" w:lineRule="auto"/>
              <w:jc w:val="both"/>
              <w:rPr>
                <w:rFonts w:ascii="Times New Roman" w:eastAsia="Aptos" w:hAnsi="Times New Roman" w:cs="Times New Roman"/>
                <w:i/>
                <w:iCs/>
                <w:color w:val="0F9ED5"/>
                <w:kern w:val="2"/>
                <w:lang w:val="ro-MD"/>
              </w:rPr>
            </w:pPr>
            <w:r w:rsidRPr="009E686F">
              <w:rPr>
                <w:rFonts w:ascii="Times New Roman" w:eastAsia="Aptos" w:hAnsi="Times New Roman" w:cs="Times New Roman"/>
                <w:i/>
                <w:iCs/>
                <w:kern w:val="2"/>
                <w:lang w:val="ro-MD"/>
              </w:rPr>
              <w:t>(2) La luarea deciziilor menționate la alin. (1), Banca Națională a Moldovei ia în considerare evaluarea recepționată din partea supraveghetorului</w:t>
            </w:r>
            <w:r w:rsidRPr="009E686F">
              <w:rPr>
                <w:rFonts w:ascii="Times New Roman" w:eastAsia="Aptos" w:hAnsi="Times New Roman" w:cs="Times New Roman"/>
                <w:kern w:val="2"/>
                <w:lang w:val="ro-MD"/>
              </w:rPr>
              <w:t xml:space="preserve"> </w:t>
            </w:r>
            <w:r w:rsidRPr="009E686F">
              <w:rPr>
                <w:rFonts w:ascii="Times New Roman" w:eastAsia="Aptos" w:hAnsi="Times New Roman" w:cs="Times New Roman"/>
                <w:i/>
                <w:iCs/>
                <w:kern w:val="2"/>
                <w:lang w:val="ro-MD"/>
              </w:rPr>
              <w:t>consolidant cu privire la aspectele menționate la art. 116</w:t>
            </w:r>
            <w:r w:rsidRPr="009E686F">
              <w:rPr>
                <w:rFonts w:ascii="Times New Roman" w:eastAsia="Aptos" w:hAnsi="Times New Roman" w:cs="Times New Roman"/>
                <w:i/>
                <w:iCs/>
                <w:kern w:val="2"/>
                <w:vertAlign w:val="superscript"/>
                <w:lang w:val="ro-MD"/>
              </w:rPr>
              <w:t xml:space="preserve">1 </w:t>
            </w:r>
            <w:r w:rsidRPr="009E686F">
              <w:rPr>
                <w:rFonts w:ascii="Times New Roman" w:eastAsia="Aptos" w:hAnsi="Times New Roman" w:cs="Times New Roman"/>
                <w:i/>
                <w:iCs/>
                <w:kern w:val="2"/>
                <w:lang w:val="ro-MD"/>
              </w:rPr>
              <w:t>alin. (7), art. 116</w:t>
            </w:r>
            <w:r w:rsidRPr="009E686F">
              <w:rPr>
                <w:rFonts w:ascii="Times New Roman" w:eastAsia="Aptos" w:hAnsi="Times New Roman" w:cs="Times New Roman"/>
                <w:i/>
                <w:iCs/>
                <w:kern w:val="2"/>
                <w:vertAlign w:val="superscript"/>
                <w:lang w:val="ro-MD"/>
              </w:rPr>
              <w:t xml:space="preserve">2 </w:t>
            </w:r>
            <w:r w:rsidRPr="009E686F">
              <w:rPr>
                <w:rFonts w:ascii="Times New Roman" w:eastAsia="Aptos" w:hAnsi="Times New Roman" w:cs="Times New Roman"/>
                <w:i/>
                <w:iCs/>
                <w:kern w:val="2"/>
                <w:lang w:val="ro-MD"/>
              </w:rPr>
              <w:t>alin. (1)</w:t>
            </w:r>
            <w:r w:rsidR="00404385" w:rsidRPr="009E686F">
              <w:rPr>
                <w:rFonts w:ascii="Times New Roman" w:eastAsia="Aptos" w:hAnsi="Times New Roman" w:cs="Times New Roman"/>
                <w:i/>
                <w:iCs/>
                <w:kern w:val="2"/>
                <w:lang w:val="ro-MD"/>
              </w:rPr>
              <w:t xml:space="preserve"> și </w:t>
            </w:r>
            <w:r w:rsidRPr="009E686F">
              <w:rPr>
                <w:rFonts w:ascii="Times New Roman" w:eastAsia="Aptos" w:hAnsi="Times New Roman" w:cs="Times New Roman"/>
                <w:i/>
                <w:iCs/>
                <w:kern w:val="2"/>
                <w:lang w:val="ro-MD"/>
              </w:rPr>
              <w:t>alin. (3) și 116</w:t>
            </w:r>
            <w:r w:rsidRPr="009E686F">
              <w:rPr>
                <w:rFonts w:ascii="Times New Roman" w:eastAsia="Aptos" w:hAnsi="Times New Roman" w:cs="Times New Roman"/>
                <w:i/>
                <w:iCs/>
                <w:kern w:val="2"/>
                <w:vertAlign w:val="superscript"/>
                <w:lang w:val="ro-MD"/>
              </w:rPr>
              <w:t>5</w:t>
            </w:r>
            <w:r w:rsidRPr="009E686F">
              <w:rPr>
                <w:rFonts w:ascii="Times New Roman" w:eastAsia="Aptos" w:hAnsi="Times New Roman" w:cs="Times New Roman"/>
                <w:i/>
                <w:iCs/>
                <w:kern w:val="2"/>
                <w:lang w:val="ro-MD"/>
              </w:rPr>
              <w:t>, după caz.</w:t>
            </w:r>
            <w:r w:rsidRPr="009E686F">
              <w:rPr>
                <w:rFonts w:ascii="Times New Roman" w:eastAsia="Aptos" w:hAnsi="Times New Roman" w:cs="Times New Roman"/>
                <w:b/>
                <w:bCs/>
                <w:i/>
                <w:iCs/>
                <w:color w:val="FF0000"/>
                <w:kern w:val="2"/>
                <w:lang w:val="ro-MD"/>
              </w:rPr>
              <w:t xml:space="preserve"> </w:t>
            </w:r>
          </w:p>
          <w:p w14:paraId="7E293B48" w14:textId="1AD1B03B" w:rsidR="00837428" w:rsidRPr="009E686F" w:rsidRDefault="00837428" w:rsidP="00837428">
            <w:pPr>
              <w:spacing w:after="0" w:line="278" w:lineRule="auto"/>
              <w:jc w:val="both"/>
              <w:rPr>
                <w:rFonts w:ascii="Times New Roman" w:eastAsia="Aptos" w:hAnsi="Times New Roman" w:cs="Times New Roman"/>
                <w:b/>
                <w:bCs/>
                <w:i/>
                <w:iCs/>
                <w:color w:val="FF0000"/>
                <w:kern w:val="2"/>
                <w:lang w:val="ro-MD"/>
              </w:rPr>
            </w:pPr>
            <w:r w:rsidRPr="009E686F">
              <w:rPr>
                <w:rFonts w:ascii="Times New Roman" w:eastAsia="Aptos" w:hAnsi="Times New Roman" w:cs="Times New Roman"/>
                <w:i/>
                <w:iCs/>
                <w:kern w:val="2"/>
                <w:lang w:val="ro-MD"/>
              </w:rPr>
              <w:t xml:space="preserve">(3) Banca Națională a Moldovei face tot ce este posibil, în limita competențelor sale, pentru a ajunge la o decizie comună în termen de 2 luni de la data recepționării evaluării menționate la alin. </w:t>
            </w:r>
          </w:p>
          <w:p w14:paraId="0ED43D55" w14:textId="24C107EA" w:rsidR="00837428" w:rsidRPr="009E686F" w:rsidRDefault="00837428" w:rsidP="00837428">
            <w:pPr>
              <w:spacing w:after="0" w:line="278" w:lineRule="auto"/>
              <w:jc w:val="both"/>
              <w:rPr>
                <w:rFonts w:ascii="Times New Roman" w:eastAsia="Aptos" w:hAnsi="Times New Roman" w:cs="Times New Roman"/>
                <w:b/>
                <w:bCs/>
                <w:i/>
                <w:iCs/>
                <w:color w:val="FF0000"/>
                <w:kern w:val="2"/>
                <w:lang w:val="ro-MD"/>
              </w:rPr>
            </w:pPr>
            <w:r w:rsidRPr="009E686F">
              <w:rPr>
                <w:rFonts w:ascii="Times New Roman" w:eastAsia="Aptos" w:hAnsi="Times New Roman" w:cs="Times New Roman"/>
                <w:i/>
                <w:iCs/>
                <w:kern w:val="2"/>
                <w:lang w:val="ro-MD"/>
              </w:rPr>
              <w:t>(4) În cazul în care se ajunge la o decizie comună conform prezentului articol, iar supraveghetorul consolidant este o autoritate competentă din Republica Moldova, aceasta decizie, documentată și justificată în mod corespunzător, este pusă în aplicare sau se aplică direct și comunicată societății financiare holding sau societății financiare holding mixte.</w:t>
            </w:r>
            <w:r w:rsidRPr="009E686F">
              <w:rPr>
                <w:rFonts w:ascii="Times New Roman" w:eastAsia="Aptos" w:hAnsi="Times New Roman" w:cs="Times New Roman"/>
                <w:i/>
                <w:iCs/>
                <w:color w:val="0F9ED5"/>
                <w:kern w:val="2"/>
                <w:lang w:val="ro-MD"/>
              </w:rPr>
              <w:t xml:space="preserve"> </w:t>
            </w:r>
          </w:p>
          <w:p w14:paraId="3C10DC0C" w14:textId="4C0A2214" w:rsidR="00837428" w:rsidRPr="009E686F" w:rsidRDefault="00837428" w:rsidP="00837428">
            <w:pPr>
              <w:spacing w:after="0"/>
              <w:jc w:val="both"/>
              <w:rPr>
                <w:rFonts w:ascii="Times New Roman" w:eastAsia="Aptos" w:hAnsi="Times New Roman" w:cs="Times New Roman"/>
                <w:kern w:val="2"/>
                <w:lang w:val="ro-RO"/>
              </w:rPr>
            </w:pPr>
            <w:r w:rsidRPr="009E686F">
              <w:rPr>
                <w:rFonts w:ascii="Times New Roman" w:eastAsia="Aptos" w:hAnsi="Times New Roman" w:cs="Times New Roman"/>
                <w:i/>
                <w:iCs/>
                <w:kern w:val="2"/>
                <w:lang w:val="ro-MD"/>
              </w:rPr>
              <w:t>(5) În cazul unui dezacord, Banca Națională a</w:t>
            </w:r>
            <w:r w:rsidRPr="009E686F">
              <w:rPr>
                <w:rFonts w:ascii="Times New Roman" w:eastAsia="Aptos" w:hAnsi="Times New Roman" w:cs="Times New Roman"/>
                <w:kern w:val="2"/>
                <w:lang w:val="ro-MD"/>
              </w:rPr>
              <w:t xml:space="preserve"> </w:t>
            </w:r>
            <w:r w:rsidRPr="009E686F">
              <w:rPr>
                <w:rFonts w:ascii="Times New Roman" w:eastAsia="Aptos" w:hAnsi="Times New Roman" w:cs="Times New Roman"/>
                <w:i/>
                <w:iCs/>
                <w:kern w:val="2"/>
                <w:lang w:val="ro-MD"/>
              </w:rPr>
              <w:t>Moldovei, în calitate de supraveghetor consolidant sau în calitate de autoritate competentă din statul membru în care este stabilită societatea financiară</w:t>
            </w:r>
            <w:r w:rsidRPr="009E686F">
              <w:rPr>
                <w:rFonts w:ascii="Times New Roman" w:eastAsia="Aptos" w:hAnsi="Times New Roman" w:cs="Times New Roman"/>
                <w:kern w:val="2"/>
                <w:lang w:val="ro-MD"/>
              </w:rPr>
              <w:t xml:space="preserve"> </w:t>
            </w:r>
            <w:r w:rsidRPr="009E686F">
              <w:rPr>
                <w:rFonts w:ascii="Times New Roman" w:eastAsia="Aptos" w:hAnsi="Times New Roman" w:cs="Times New Roman"/>
                <w:i/>
                <w:iCs/>
                <w:kern w:val="2"/>
                <w:lang w:val="ro-MD"/>
              </w:rPr>
              <w:t xml:space="preserve">holding sau societatea financiară holding mixtă se abţine de la adoptarea unei decizii și sesizează Autoritatea Bancară Europeană cu privire la respectiva chestiune. După recepțioanrea decizei Autorității Bancare Europene, Banca Națională a Moldovei în colaborare cu supraveghetorul consolidant, după caz, autoritatea competentă din statul membru în care este </w:t>
            </w:r>
            <w:r w:rsidRPr="009E686F">
              <w:rPr>
                <w:rFonts w:ascii="Times New Roman" w:eastAsia="Aptos" w:hAnsi="Times New Roman" w:cs="Times New Roman"/>
                <w:i/>
                <w:iCs/>
                <w:kern w:val="2"/>
                <w:lang w:val="ro-MD"/>
              </w:rPr>
              <w:lastRenderedPageBreak/>
              <w:t>stabilită societatea financiară holding sau societatea financiară holding mixtă adoptă o decizie comună în conformitate cu decizia Autorității Bancare Europene.</w:t>
            </w:r>
          </w:p>
          <w:p w14:paraId="7BE5F0F0" w14:textId="77378F9F" w:rsidR="00837428" w:rsidRPr="009E686F" w:rsidRDefault="00837428" w:rsidP="00837428">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b/>
                <w:bCs/>
                <w:kern w:val="2"/>
                <w:lang w:val="ro-MD"/>
              </w:rPr>
              <w:t>Articolul 116</w:t>
            </w:r>
            <w:r w:rsidRPr="009E686F">
              <w:rPr>
                <w:rFonts w:ascii="Times New Roman" w:eastAsia="Aptos" w:hAnsi="Times New Roman" w:cs="Times New Roman"/>
                <w:b/>
                <w:bCs/>
                <w:kern w:val="2"/>
                <w:vertAlign w:val="superscript"/>
                <w:lang w:val="ro-MD"/>
              </w:rPr>
              <w:t xml:space="preserve">1 </w:t>
            </w:r>
            <w:r w:rsidRPr="009E686F">
              <w:rPr>
                <w:rFonts w:ascii="Times New Roman" w:eastAsia="Aptos" w:hAnsi="Times New Roman" w:cs="Times New Roman"/>
                <w:b/>
                <w:bCs/>
                <w:kern w:val="2"/>
                <w:lang w:val="ro-MD"/>
              </w:rPr>
              <w:t>alin. (11), (13)</w:t>
            </w:r>
          </w:p>
          <w:p w14:paraId="08424007" w14:textId="7C8E21EA" w:rsidR="00837428" w:rsidRPr="009E686F" w:rsidRDefault="00837428" w:rsidP="00837428">
            <w:pPr>
              <w:spacing w:after="0"/>
              <w:jc w:val="both"/>
              <w:rPr>
                <w:rFonts w:ascii="Times New Roman" w:eastAsia="Aptos" w:hAnsi="Times New Roman" w:cs="Times New Roman"/>
                <w:i/>
                <w:iCs/>
                <w:color w:val="FF0000"/>
                <w:kern w:val="2"/>
                <w:lang w:val="ro-RO"/>
              </w:rPr>
            </w:pPr>
            <w:r w:rsidRPr="009E686F">
              <w:rPr>
                <w:rFonts w:ascii="Times New Roman" w:eastAsia="Aptos" w:hAnsi="Times New Roman" w:cs="Times New Roman"/>
                <w:i/>
                <w:iCs/>
                <w:kern w:val="2"/>
                <w:lang w:val="ro-RO"/>
              </w:rPr>
              <w:t>(11) Banca Națională a Moldovei, în calitate de supraveghetor consolidant, notifică decizia comună menționată la alin. (9) și motivele care au stat la baza acesteia societății financiare holding sau societăți financiare holding mixtă</w:t>
            </w:r>
            <w:r w:rsidRPr="009E686F">
              <w:rPr>
                <w:rFonts w:ascii="Times New Roman" w:eastAsia="Aptos" w:hAnsi="Times New Roman" w:cs="Times New Roman"/>
                <w:i/>
                <w:iCs/>
                <w:color w:val="FF0000"/>
                <w:kern w:val="2"/>
                <w:lang w:val="ro-RO"/>
              </w:rPr>
              <w:t>.</w:t>
            </w:r>
          </w:p>
          <w:p w14:paraId="20A2309E" w14:textId="1F6C3FE1" w:rsidR="00837428" w:rsidRPr="009E686F" w:rsidRDefault="00837428" w:rsidP="00837428">
            <w:pPr>
              <w:spacing w:after="0"/>
              <w:jc w:val="both"/>
              <w:rPr>
                <w:rFonts w:ascii="Times New Roman" w:hAnsi="Times New Roman" w:cs="Times New Roman"/>
                <w:b/>
                <w:lang w:val="ro-RO"/>
              </w:rPr>
            </w:pPr>
            <w:r w:rsidRPr="009E686F">
              <w:rPr>
                <w:rFonts w:ascii="Times New Roman" w:eastAsia="Aptos" w:hAnsi="Times New Roman" w:cs="Times New Roman"/>
                <w:i/>
                <w:iCs/>
                <w:kern w:val="2"/>
                <w:lang w:val="ro-MD"/>
              </w:rPr>
              <w:t xml:space="preserve">(13) În cazul în care Banca Națională a Moldovei nu ajunge la un acord cu autoritatea competentă din statul membru în care este stabilită </w:t>
            </w:r>
            <w:r w:rsidRPr="009E686F">
              <w:rPr>
                <w:rFonts w:ascii="Times New Roman" w:eastAsia="Aptos" w:hAnsi="Times New Roman" w:cs="Times New Roman"/>
                <w:i/>
                <w:iCs/>
                <w:kern w:val="2"/>
                <w:lang w:val="ro-RO"/>
              </w:rPr>
              <w:t xml:space="preserve">societatea financiară holding sau societatea financiară holding mixtă în privința deciziei menționate la alin. (9) sau abținere de la adoptarea deciziei, sesizează </w:t>
            </w:r>
            <w:r w:rsidRPr="009E686F">
              <w:rPr>
                <w:rFonts w:ascii="Times New Roman" w:eastAsia="Aptos" w:hAnsi="Times New Roman" w:cs="Times New Roman"/>
                <w:i/>
                <w:iCs/>
                <w:kern w:val="2"/>
                <w:lang w:val="ro-MD"/>
              </w:rPr>
              <w:t>Autoritatea Bancară Europeană</w:t>
            </w:r>
            <w:r w:rsidRPr="009E686F">
              <w:rPr>
                <w:rFonts w:ascii="Times New Roman" w:eastAsia="Aptos" w:hAnsi="Times New Roman" w:cs="Times New Roman"/>
                <w:kern w:val="2"/>
                <w:lang w:val="ro-MD"/>
              </w:rPr>
              <w:t>.</w:t>
            </w:r>
          </w:p>
        </w:tc>
        <w:tc>
          <w:tcPr>
            <w:tcW w:w="470" w:type="pct"/>
            <w:tcBorders>
              <w:top w:val="single" w:sz="4" w:space="0" w:color="auto"/>
              <w:left w:val="single" w:sz="4" w:space="0" w:color="auto"/>
              <w:bottom w:val="single" w:sz="4" w:space="0" w:color="auto"/>
              <w:right w:val="single" w:sz="4" w:space="0" w:color="auto"/>
            </w:tcBorders>
          </w:tcPr>
          <w:p w14:paraId="092FF42B" w14:textId="7F9604E5" w:rsidR="00837428" w:rsidRPr="009E686F" w:rsidRDefault="00837428" w:rsidP="00837428">
            <w:pPr>
              <w:jc w:val="both"/>
              <w:rPr>
                <w:rFonts w:ascii="Times New Roman" w:hAnsi="Times New Roman" w:cs="Times New Roman"/>
              </w:rPr>
            </w:pPr>
            <w:r w:rsidRPr="009E686F">
              <w:rPr>
                <w:rFonts w:ascii="Times New Roman" w:hAnsi="Times New Roman" w:cs="Times New Roman"/>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0FB6D623" w14:textId="77777777" w:rsidR="00837428" w:rsidRPr="009E686F" w:rsidRDefault="00837428" w:rsidP="00837428">
            <w:pPr>
              <w:spacing w:after="0"/>
              <w:jc w:val="both"/>
              <w:rPr>
                <w:rFonts w:ascii="Times New Roman" w:hAnsi="Times New Roman" w:cs="Times New Roman"/>
              </w:rPr>
            </w:pPr>
          </w:p>
        </w:tc>
      </w:tr>
      <w:tr w:rsidR="00837428" w:rsidRPr="009E686F" w14:paraId="48478B82" w14:textId="77777777" w:rsidTr="00960C23">
        <w:tc>
          <w:tcPr>
            <w:tcW w:w="1890" w:type="pct"/>
            <w:tcBorders>
              <w:top w:val="single" w:sz="4" w:space="0" w:color="auto"/>
              <w:left w:val="single" w:sz="4" w:space="0" w:color="auto"/>
              <w:bottom w:val="single" w:sz="4" w:space="0" w:color="auto"/>
              <w:right w:val="single" w:sz="4" w:space="0" w:color="auto"/>
            </w:tcBorders>
          </w:tcPr>
          <w:p w14:paraId="33FA26E2" w14:textId="40326E4C" w:rsidR="00837428" w:rsidRPr="009E686F" w:rsidRDefault="00837428" w:rsidP="00837428">
            <w:pPr>
              <w:spacing w:after="0"/>
              <w:jc w:val="both"/>
              <w:rPr>
                <w:rFonts w:ascii="Times New Roman" w:hAnsi="Times New Roman" w:cs="Times New Roman"/>
                <w:lang w:val="it-CH"/>
              </w:rPr>
            </w:pPr>
            <w:r w:rsidRPr="009E686F">
              <w:rPr>
                <w:rFonts w:ascii="Times New Roman" w:hAnsi="Times New Roman" w:cs="Times New Roman"/>
                <w:lang w:val="it-CH"/>
              </w:rPr>
              <w:lastRenderedPageBreak/>
              <w:t xml:space="preserve">(9)   În cazul societăților financiare holding mixte pentru care supraveghetorul consolidant sau autoritatea competentă din statul membru în care este stabilită societatea financiară holding mixtă este diferit(ă) de coordonatorul stabilit în conformitate cu articolul 10 din Directiva 2002/87/CE, acordul coordonatorului este obligatoriu în scopul deciziilor sau al deciziilor comune menționate la alineatele (3), (4), (6) și (7) din prezentul articol, după caz. În cazul în care este obligatoriu acordul coordonatorului, dezacordurile sunt soluționate de autoritatea europeană de supraveghere relevantă, și anume ABE sau Autoritatea europeană de supraveghere (Autoritatea europeană de asigurări și pensii ocupaționale) (EIOPA) instituită prin Regulamentul (UE) nr. 1094/2010 al Parlamentului European și al Consiliului ( 3 ), care își adoptă decizia în termen de o lună de la primirea sesizării. Orice decizie adoptată în conformitate cu prezentul alineat nu aduce </w:t>
            </w:r>
            <w:r w:rsidRPr="009E686F">
              <w:rPr>
                <w:rFonts w:ascii="Times New Roman" w:hAnsi="Times New Roman" w:cs="Times New Roman"/>
                <w:lang w:val="it-CH"/>
              </w:rPr>
              <w:lastRenderedPageBreak/>
              <w:t>atingere obligațiilor în temeiul Directivei 2002/87/CE sau al Directivei 2009/138/CE.</w:t>
            </w:r>
          </w:p>
        </w:tc>
        <w:tc>
          <w:tcPr>
            <w:tcW w:w="1834" w:type="pct"/>
            <w:tcBorders>
              <w:top w:val="single" w:sz="4" w:space="0" w:color="auto"/>
              <w:left w:val="single" w:sz="4" w:space="0" w:color="auto"/>
              <w:bottom w:val="single" w:sz="4" w:space="0" w:color="auto"/>
              <w:right w:val="single" w:sz="4" w:space="0" w:color="auto"/>
            </w:tcBorders>
          </w:tcPr>
          <w:p w14:paraId="5744EC08" w14:textId="799A6CEB" w:rsidR="00837428" w:rsidRPr="009E686F" w:rsidRDefault="00837428" w:rsidP="00837428">
            <w:pPr>
              <w:spacing w:after="0"/>
              <w:jc w:val="both"/>
              <w:rPr>
                <w:rFonts w:ascii="Times New Roman" w:eastAsia="Aptos" w:hAnsi="Times New Roman" w:cs="Times New Roman"/>
                <w:b/>
                <w:bCs/>
                <w:kern w:val="2"/>
                <w:lang w:val="ro-MD"/>
              </w:rPr>
            </w:pPr>
            <w:r w:rsidRPr="009E686F">
              <w:rPr>
                <w:rFonts w:ascii="Times New Roman" w:eastAsia="Aptos" w:hAnsi="Times New Roman" w:cs="Times New Roman"/>
                <w:b/>
                <w:bCs/>
                <w:kern w:val="2"/>
                <w:lang w:val="ro-MD"/>
              </w:rPr>
              <w:lastRenderedPageBreak/>
              <w:t>Articolul 116</w:t>
            </w:r>
            <w:r w:rsidRPr="009E686F">
              <w:rPr>
                <w:rFonts w:ascii="Times New Roman" w:eastAsia="Aptos" w:hAnsi="Times New Roman" w:cs="Times New Roman"/>
                <w:b/>
                <w:bCs/>
                <w:kern w:val="2"/>
                <w:vertAlign w:val="superscript"/>
                <w:lang w:val="ro-MD"/>
              </w:rPr>
              <w:t>3</w:t>
            </w:r>
            <w:r w:rsidRPr="009E686F">
              <w:rPr>
                <w:rFonts w:ascii="Times New Roman" w:eastAsia="Aptos" w:hAnsi="Times New Roman" w:cs="Times New Roman"/>
                <w:b/>
                <w:bCs/>
                <w:kern w:val="2"/>
                <w:lang w:val="ro-MD"/>
              </w:rPr>
              <w:t xml:space="preserve"> alin. (6)</w:t>
            </w:r>
          </w:p>
          <w:p w14:paraId="5335845D" w14:textId="5D8AD86E" w:rsidR="00837428" w:rsidRPr="009E686F" w:rsidRDefault="00837428" w:rsidP="00837428">
            <w:pPr>
              <w:spacing w:after="0"/>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 xml:space="preserve">(6) În cazul societăţilor financiare holding mixte pentru care Banca Națională a Moldovei, în calitate de supraveghetor consolidant </w:t>
            </w:r>
            <w:r w:rsidR="00404385" w:rsidRPr="009E686F">
              <w:rPr>
                <w:rFonts w:ascii="Times New Roman" w:eastAsia="Aptos" w:hAnsi="Times New Roman" w:cs="Times New Roman"/>
                <w:i/>
                <w:iCs/>
                <w:kern w:val="2"/>
                <w:lang w:val="ro-MD"/>
              </w:rPr>
              <w:t>și/</w:t>
            </w:r>
            <w:r w:rsidRPr="009E686F">
              <w:rPr>
                <w:rFonts w:ascii="Times New Roman" w:eastAsia="Aptos" w:hAnsi="Times New Roman" w:cs="Times New Roman"/>
                <w:i/>
                <w:iCs/>
                <w:kern w:val="2"/>
                <w:lang w:val="ro-MD"/>
              </w:rPr>
              <w:t xml:space="preserve">sau de autoritate competentă din statul membru în care este stabilită societatea financiară holding mixtă, </w:t>
            </w:r>
            <w:r w:rsidR="00404385" w:rsidRPr="009E686F">
              <w:rPr>
                <w:rFonts w:ascii="Times New Roman" w:eastAsia="Aptos" w:hAnsi="Times New Roman" w:cs="Times New Roman"/>
                <w:i/>
                <w:iCs/>
                <w:kern w:val="2"/>
                <w:lang w:val="ro-MD"/>
              </w:rPr>
              <w:t xml:space="preserve">dar </w:t>
            </w:r>
            <w:r w:rsidRPr="009E686F">
              <w:rPr>
                <w:rFonts w:ascii="Times New Roman" w:eastAsia="Aptos" w:hAnsi="Times New Roman" w:cs="Times New Roman"/>
                <w:i/>
                <w:iCs/>
                <w:kern w:val="2"/>
                <w:lang w:val="ro-MD"/>
              </w:rPr>
              <w:t xml:space="preserve">nu are </w:t>
            </w:r>
            <w:r w:rsidR="00404385" w:rsidRPr="009E686F">
              <w:rPr>
                <w:rFonts w:ascii="Times New Roman" w:eastAsia="Aptos" w:hAnsi="Times New Roman" w:cs="Times New Roman"/>
                <w:i/>
                <w:iCs/>
                <w:kern w:val="2"/>
                <w:lang w:val="ro-MD"/>
              </w:rPr>
              <w:t xml:space="preserve">și </w:t>
            </w:r>
            <w:r w:rsidRPr="009E686F">
              <w:rPr>
                <w:rFonts w:ascii="Times New Roman" w:eastAsia="Aptos" w:hAnsi="Times New Roman" w:cs="Times New Roman"/>
                <w:i/>
                <w:iCs/>
                <w:kern w:val="2"/>
                <w:lang w:val="ro-MD"/>
              </w:rPr>
              <w:t>calitatea de coordonator</w:t>
            </w:r>
            <w:r w:rsidR="00404385" w:rsidRPr="009E686F">
              <w:rPr>
                <w:rFonts w:ascii="Times New Roman" w:eastAsia="Aptos" w:hAnsi="Times New Roman" w:cs="Times New Roman"/>
                <w:i/>
                <w:iCs/>
                <w:kern w:val="2"/>
                <w:lang w:val="ro-MD"/>
              </w:rPr>
              <w:t xml:space="preserve"> potrivit art. 10 și 11 din Legea nr. 250/2017 cu privire la supravegherea suplimentară a băncilor, asigurătorilor/reasigurătorilor şi a societăţilor de investiţii care aparţin unui conglomerat financiar, Banca Națională a Moldovei trebuie să obțină </w:t>
            </w:r>
            <w:r w:rsidRPr="009E686F">
              <w:rPr>
                <w:rFonts w:ascii="Times New Roman" w:eastAsia="Aptos" w:hAnsi="Times New Roman" w:cs="Times New Roman"/>
                <w:i/>
                <w:iCs/>
                <w:kern w:val="2"/>
                <w:lang w:val="ro-MD"/>
              </w:rPr>
              <w:t>acordul coordonatorului pentru luarea deciziilor sau al deciziilor comune menţionate la art. 116</w:t>
            </w:r>
            <w:r w:rsidRPr="009E686F">
              <w:rPr>
                <w:rFonts w:ascii="Times New Roman" w:eastAsia="Aptos" w:hAnsi="Times New Roman" w:cs="Times New Roman"/>
                <w:i/>
                <w:iCs/>
                <w:kern w:val="2"/>
                <w:vertAlign w:val="superscript"/>
                <w:lang w:val="ro-MD"/>
              </w:rPr>
              <w:t>1</w:t>
            </w:r>
            <w:r w:rsidRPr="009E686F">
              <w:rPr>
                <w:rFonts w:ascii="Times New Roman" w:eastAsia="Aptos" w:hAnsi="Times New Roman" w:cs="Times New Roman"/>
                <w:i/>
                <w:iCs/>
                <w:kern w:val="2"/>
                <w:lang w:val="ro-MD"/>
              </w:rPr>
              <w:t xml:space="preserve"> alin. (7), 116</w:t>
            </w:r>
            <w:r w:rsidRPr="009E686F">
              <w:rPr>
                <w:rFonts w:ascii="Times New Roman" w:eastAsia="Aptos" w:hAnsi="Times New Roman" w:cs="Times New Roman"/>
                <w:i/>
                <w:iCs/>
                <w:kern w:val="2"/>
                <w:vertAlign w:val="superscript"/>
                <w:lang w:val="ro-MD"/>
              </w:rPr>
              <w:t xml:space="preserve">2 </w:t>
            </w:r>
            <w:r w:rsidRPr="009E686F">
              <w:rPr>
                <w:rFonts w:ascii="Times New Roman" w:eastAsia="Aptos" w:hAnsi="Times New Roman" w:cs="Times New Roman"/>
                <w:i/>
                <w:iCs/>
                <w:kern w:val="2"/>
                <w:lang w:val="ro-MD"/>
              </w:rPr>
              <w:t>alin. (1), 116</w:t>
            </w:r>
            <w:r w:rsidRPr="009E686F">
              <w:rPr>
                <w:rFonts w:ascii="Times New Roman" w:eastAsia="Aptos" w:hAnsi="Times New Roman" w:cs="Times New Roman"/>
                <w:i/>
                <w:iCs/>
                <w:kern w:val="2"/>
                <w:vertAlign w:val="superscript"/>
                <w:lang w:val="ro-MD"/>
              </w:rPr>
              <w:t>5</w:t>
            </w:r>
            <w:r w:rsidRPr="009E686F">
              <w:rPr>
                <w:rFonts w:ascii="Times New Roman" w:eastAsia="Aptos" w:hAnsi="Times New Roman" w:cs="Times New Roman"/>
                <w:i/>
                <w:iCs/>
                <w:kern w:val="2"/>
                <w:lang w:val="ro-MD"/>
              </w:rPr>
              <w:t xml:space="preserve"> alin. (1) și (3), după caz. În cazul în care este obligatoriu acordul coordonatorului, iar acesta nu este de acord cu deciziile Băncii Naționale a Moldovei, este necesară soluționarea conflictului dintre autoritățile respective prin decizia Autorității Bancare Europene sau </w:t>
            </w:r>
            <w:r w:rsidRPr="009E686F">
              <w:rPr>
                <w:rFonts w:ascii="Times New Roman" w:eastAsia="Aptos" w:hAnsi="Times New Roman" w:cs="Times New Roman"/>
                <w:i/>
                <w:iCs/>
                <w:kern w:val="2"/>
                <w:lang w:val="ro-MD"/>
              </w:rPr>
              <w:lastRenderedPageBreak/>
              <w:t xml:space="preserve">Autoritatea </w:t>
            </w:r>
            <w:r w:rsidR="00733AA1" w:rsidRPr="009E686F">
              <w:rPr>
                <w:rFonts w:ascii="Times New Roman" w:eastAsia="Aptos" w:hAnsi="Times New Roman" w:cs="Times New Roman"/>
                <w:i/>
                <w:iCs/>
                <w:kern w:val="2"/>
                <w:lang w:val="ro-MD"/>
              </w:rPr>
              <w:t>E</w:t>
            </w:r>
            <w:r w:rsidRPr="009E686F">
              <w:rPr>
                <w:rFonts w:ascii="Times New Roman" w:eastAsia="Aptos" w:hAnsi="Times New Roman" w:cs="Times New Roman"/>
                <w:i/>
                <w:iCs/>
                <w:kern w:val="2"/>
                <w:lang w:val="ro-MD"/>
              </w:rPr>
              <w:t xml:space="preserve">uropeană de </w:t>
            </w:r>
            <w:r w:rsidR="00733AA1" w:rsidRPr="009E686F">
              <w:rPr>
                <w:rFonts w:ascii="Times New Roman" w:eastAsia="Aptos" w:hAnsi="Times New Roman" w:cs="Times New Roman"/>
                <w:i/>
                <w:iCs/>
                <w:kern w:val="2"/>
                <w:lang w:val="ro-MD"/>
              </w:rPr>
              <w:t>A</w:t>
            </w:r>
            <w:r w:rsidRPr="009E686F">
              <w:rPr>
                <w:rFonts w:ascii="Times New Roman" w:eastAsia="Aptos" w:hAnsi="Times New Roman" w:cs="Times New Roman"/>
                <w:i/>
                <w:iCs/>
                <w:kern w:val="2"/>
                <w:lang w:val="ro-MD"/>
              </w:rPr>
              <w:t xml:space="preserve">sigurări și </w:t>
            </w:r>
            <w:r w:rsidR="00733AA1" w:rsidRPr="009E686F">
              <w:rPr>
                <w:rFonts w:ascii="Times New Roman" w:eastAsia="Aptos" w:hAnsi="Times New Roman" w:cs="Times New Roman"/>
                <w:i/>
                <w:iCs/>
                <w:kern w:val="2"/>
                <w:lang w:val="ro-MD"/>
              </w:rPr>
              <w:t>P</w:t>
            </w:r>
            <w:r w:rsidRPr="009E686F">
              <w:rPr>
                <w:rFonts w:ascii="Times New Roman" w:eastAsia="Aptos" w:hAnsi="Times New Roman" w:cs="Times New Roman"/>
                <w:i/>
                <w:iCs/>
                <w:kern w:val="2"/>
                <w:lang w:val="ro-MD"/>
              </w:rPr>
              <w:t xml:space="preserve">ensii </w:t>
            </w:r>
            <w:r w:rsidR="00733AA1" w:rsidRPr="009E686F">
              <w:rPr>
                <w:rFonts w:ascii="Times New Roman" w:eastAsia="Aptos" w:hAnsi="Times New Roman" w:cs="Times New Roman"/>
                <w:i/>
                <w:iCs/>
                <w:kern w:val="2"/>
                <w:lang w:val="ro-MD"/>
              </w:rPr>
              <w:t>O</w:t>
            </w:r>
            <w:r w:rsidRPr="009E686F">
              <w:rPr>
                <w:rFonts w:ascii="Times New Roman" w:eastAsia="Aptos" w:hAnsi="Times New Roman" w:cs="Times New Roman"/>
                <w:i/>
                <w:iCs/>
                <w:kern w:val="2"/>
                <w:lang w:val="ro-MD"/>
              </w:rPr>
              <w:t>cupaţionale care trebuie luată în considerare. Orice decizie adoptată în conformitate cu prezentul alineat nu aduce atingere obligaţiilor BNM stabilite în legislația aferentă supravegherii conglomeratelor și activității de asigurare și reasigurare.</w:t>
            </w:r>
          </w:p>
          <w:p w14:paraId="7CC88A25" w14:textId="77777777" w:rsidR="009A2A4E" w:rsidRPr="009E686F" w:rsidRDefault="009A2A4E" w:rsidP="009A2A4E">
            <w:pPr>
              <w:spacing w:after="0"/>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(7) Prevederile alin. (6) se aplică în mod corespunzător şi atunci când Banca Naţională a Moldovei are calitatea de coordonator potrivit art. 10 și 11 din Legea nr. 250/2017 cu privire la supravegherea suplimentară a băncilor, asigurătorilor/reasigurătorilor şi a societăţilor de investiţii care aparţin unui conglomerat financiar, fără a avea calitatea de supraveghetor consolidant şi/sau de autoritate competentă din statul membru în care este situată societatea financiară holding mixtă.</w:t>
            </w:r>
          </w:p>
          <w:p w14:paraId="42DA53F0" w14:textId="310A2939" w:rsidR="009A2A4E" w:rsidRPr="009E686F" w:rsidRDefault="009A2A4E" w:rsidP="00837428">
            <w:pPr>
              <w:spacing w:after="0"/>
              <w:jc w:val="both"/>
              <w:rPr>
                <w:rFonts w:ascii="Times New Roman" w:hAnsi="Times New Roman" w:cs="Times New Roman"/>
                <w:b/>
                <w:i/>
                <w:iCs/>
                <w:lang w:val="ro-MD"/>
              </w:rPr>
            </w:pPr>
          </w:p>
        </w:tc>
        <w:tc>
          <w:tcPr>
            <w:tcW w:w="470" w:type="pct"/>
            <w:tcBorders>
              <w:top w:val="single" w:sz="4" w:space="0" w:color="auto"/>
              <w:left w:val="single" w:sz="4" w:space="0" w:color="auto"/>
              <w:bottom w:val="single" w:sz="4" w:space="0" w:color="auto"/>
              <w:right w:val="single" w:sz="4" w:space="0" w:color="auto"/>
            </w:tcBorders>
          </w:tcPr>
          <w:p w14:paraId="4CD2EFB6" w14:textId="5986B73B" w:rsidR="00837428" w:rsidRPr="009E686F" w:rsidRDefault="00837428" w:rsidP="00837428">
            <w:pPr>
              <w:jc w:val="both"/>
              <w:rPr>
                <w:rFonts w:ascii="Times New Roman" w:hAnsi="Times New Roman" w:cs="Times New Roman"/>
              </w:rPr>
            </w:pPr>
            <w:r w:rsidRPr="009E686F">
              <w:rPr>
                <w:rFonts w:ascii="Times New Roman" w:hAnsi="Times New Roman" w:cs="Times New Roman"/>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5342E492" w14:textId="77777777" w:rsidR="00837428" w:rsidRPr="009E686F" w:rsidRDefault="00837428" w:rsidP="00837428">
            <w:pPr>
              <w:spacing w:after="0"/>
              <w:jc w:val="both"/>
              <w:rPr>
                <w:rFonts w:ascii="Times New Roman" w:hAnsi="Times New Roman" w:cs="Times New Roman"/>
              </w:rPr>
            </w:pPr>
          </w:p>
        </w:tc>
      </w:tr>
      <w:tr w:rsidR="00837428" w:rsidRPr="009E686F" w14:paraId="66E22C00" w14:textId="77777777" w:rsidTr="00960C23">
        <w:tc>
          <w:tcPr>
            <w:tcW w:w="1890" w:type="pct"/>
            <w:tcBorders>
              <w:top w:val="single" w:sz="4" w:space="0" w:color="auto"/>
              <w:left w:val="single" w:sz="4" w:space="0" w:color="auto"/>
              <w:bottom w:val="single" w:sz="4" w:space="0" w:color="auto"/>
              <w:right w:val="single" w:sz="4" w:space="0" w:color="auto"/>
            </w:tcBorders>
          </w:tcPr>
          <w:p w14:paraId="36A91E98" w14:textId="72321597" w:rsidR="00837428" w:rsidRPr="009E686F" w:rsidRDefault="00837428" w:rsidP="00837428">
            <w:pPr>
              <w:spacing w:after="0"/>
              <w:jc w:val="both"/>
              <w:rPr>
                <w:rFonts w:ascii="Times New Roman" w:hAnsi="Times New Roman" w:cs="Times New Roman"/>
                <w:lang w:val="it-CH"/>
              </w:rPr>
            </w:pPr>
            <w:r w:rsidRPr="009E686F">
              <w:rPr>
                <w:rFonts w:ascii="Times New Roman" w:hAnsi="Times New Roman" w:cs="Times New Roman"/>
                <w:lang w:val="it-CH"/>
              </w:rPr>
              <w:t>(10) În cazul în care unei societăți financiare holding sau unei societăți financiare holding mixte i se refuză aprobarea sau exceptarea de la aprobare în temeiul prezentului articol, supraveghetorul consolidant notifică solicitantului decizia respectivă și motivele acesteia în termen de patru luni de la primirea solicitării sau, în cazul în care solicitarea este incompletă, în termen de patru luni de la primirea tuturor informațiilor necesare pentru adoptarea deciziei.</w:t>
            </w:r>
          </w:p>
          <w:p w14:paraId="028FA422" w14:textId="110778AD" w:rsidR="00837428" w:rsidRPr="009E686F" w:rsidRDefault="00837428" w:rsidP="00837428">
            <w:pPr>
              <w:spacing w:after="0"/>
              <w:jc w:val="both"/>
              <w:rPr>
                <w:rFonts w:ascii="Times New Roman" w:hAnsi="Times New Roman" w:cs="Times New Roman"/>
                <w:lang w:val="it-CH"/>
              </w:rPr>
            </w:pPr>
            <w:r w:rsidRPr="009E686F">
              <w:rPr>
                <w:rFonts w:ascii="Times New Roman" w:hAnsi="Times New Roman" w:cs="Times New Roman"/>
                <w:lang w:val="it-CH"/>
              </w:rPr>
              <w:t>În orice caz, termenul în care se ia o decizie de acordare sau de refuz al aprobării nu depășește șase luni de la primirea cererii. Refuzul poate fi însoțit, dacă este necesar, de oricare dintre măsurile menționate la alineatul (6).</w:t>
            </w:r>
          </w:p>
        </w:tc>
        <w:tc>
          <w:tcPr>
            <w:tcW w:w="1834" w:type="pct"/>
            <w:tcBorders>
              <w:top w:val="single" w:sz="4" w:space="0" w:color="auto"/>
              <w:left w:val="single" w:sz="4" w:space="0" w:color="auto"/>
              <w:bottom w:val="single" w:sz="4" w:space="0" w:color="auto"/>
              <w:right w:val="single" w:sz="4" w:space="0" w:color="auto"/>
            </w:tcBorders>
          </w:tcPr>
          <w:p w14:paraId="6D72634E" w14:textId="6EC25953" w:rsidR="00837428" w:rsidRPr="009E686F" w:rsidRDefault="00837428" w:rsidP="00837428">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b/>
                <w:bCs/>
                <w:kern w:val="2"/>
                <w:lang w:val="ro-MD"/>
              </w:rPr>
              <w:t>Articolul 116</w:t>
            </w:r>
            <w:r w:rsidRPr="009E686F">
              <w:rPr>
                <w:rFonts w:ascii="Times New Roman" w:eastAsia="Aptos" w:hAnsi="Times New Roman" w:cs="Times New Roman"/>
                <w:b/>
                <w:bCs/>
                <w:kern w:val="2"/>
                <w:vertAlign w:val="superscript"/>
                <w:lang w:val="ro-MD"/>
              </w:rPr>
              <w:t xml:space="preserve">1 </w:t>
            </w:r>
            <w:r w:rsidRPr="009E686F">
              <w:rPr>
                <w:rFonts w:ascii="Times New Roman" w:eastAsia="Aptos" w:hAnsi="Times New Roman" w:cs="Times New Roman"/>
                <w:b/>
                <w:bCs/>
                <w:kern w:val="2"/>
                <w:lang w:val="ro-MD"/>
              </w:rPr>
              <w:t>alin. (12)</w:t>
            </w:r>
          </w:p>
          <w:p w14:paraId="01DFFFD4" w14:textId="6AD8E40C" w:rsidR="00837428" w:rsidRPr="009E686F" w:rsidRDefault="00837428" w:rsidP="00837428">
            <w:pPr>
              <w:spacing w:after="0"/>
              <w:jc w:val="both"/>
              <w:rPr>
                <w:rFonts w:ascii="Times New Roman" w:hAnsi="Times New Roman" w:cs="Times New Roman"/>
                <w:b/>
                <w:i/>
                <w:iCs/>
                <w:lang w:val="it-CH"/>
              </w:rPr>
            </w:pPr>
            <w:r w:rsidRPr="009E686F">
              <w:rPr>
                <w:rFonts w:ascii="Times New Roman" w:eastAsia="Aptos" w:hAnsi="Times New Roman" w:cs="Times New Roman"/>
                <w:i/>
                <w:iCs/>
                <w:kern w:val="2"/>
                <w:lang w:val="ro-RO"/>
              </w:rPr>
              <w:t xml:space="preserve">(12) În cazul în care Banca Națională a Moldovei, în calitate de supraveghetor consolidant, </w:t>
            </w:r>
            <w:r w:rsidRPr="009E686F">
              <w:rPr>
                <w:rFonts w:ascii="Times New Roman" w:eastAsia="Aptos" w:hAnsi="Times New Roman" w:cs="Times New Roman"/>
                <w:i/>
                <w:iCs/>
                <w:kern w:val="2"/>
                <w:lang w:val="ro-MD"/>
              </w:rPr>
              <w:t>refuză aprobarea sau exceptarea de la aprobare unei societăţi financiare holding sau unei societăţi financiare holding mixte, aceasta notifică solicitantului decizia respectivă și motivele acesteia în termen de 4 luni de la primirea solicitării sau, în cazul în care solicitarea este incompletă, în termen de 4 luni de la primirea tuturor informaţiilor necesare pentru adoptarea deciziei. În orice caz, termenul în care se ia o decizie de acordare sau de refuz privind aprobarea nu depășește 6 luni de la primirea cererii iar refuzul poate fi însoţit, dacă este necesar, de oricare dintre măsurile menţionate la art. 116</w:t>
            </w:r>
            <w:r w:rsidRPr="009E686F">
              <w:rPr>
                <w:rFonts w:ascii="Times New Roman" w:eastAsia="Aptos" w:hAnsi="Times New Roman" w:cs="Times New Roman"/>
                <w:i/>
                <w:iCs/>
                <w:kern w:val="2"/>
                <w:vertAlign w:val="superscript"/>
                <w:lang w:val="ro-MD"/>
              </w:rPr>
              <w:t xml:space="preserve">5 </w:t>
            </w:r>
            <w:r w:rsidRPr="009E686F">
              <w:rPr>
                <w:rFonts w:ascii="Times New Roman" w:eastAsia="Aptos" w:hAnsi="Times New Roman" w:cs="Times New Roman"/>
                <w:i/>
                <w:iCs/>
                <w:kern w:val="2"/>
                <w:lang w:val="ro-MD"/>
              </w:rPr>
              <w:t>alin. (</w:t>
            </w:r>
            <w:r w:rsidR="00234E47" w:rsidRPr="009E686F">
              <w:rPr>
                <w:rFonts w:ascii="Times New Roman" w:eastAsia="Aptos" w:hAnsi="Times New Roman" w:cs="Times New Roman"/>
                <w:i/>
                <w:iCs/>
                <w:kern w:val="2"/>
                <w:lang w:val="ro-MD"/>
              </w:rPr>
              <w:t>1</w:t>
            </w:r>
            <w:r w:rsidRPr="009E686F">
              <w:rPr>
                <w:rFonts w:ascii="Times New Roman" w:eastAsia="Aptos" w:hAnsi="Times New Roman" w:cs="Times New Roman"/>
                <w:i/>
                <w:iCs/>
                <w:kern w:val="2"/>
                <w:lang w:val="ro-MD"/>
              </w:rPr>
              <w:t>).</w:t>
            </w:r>
          </w:p>
        </w:tc>
        <w:tc>
          <w:tcPr>
            <w:tcW w:w="470" w:type="pct"/>
            <w:tcBorders>
              <w:top w:val="single" w:sz="4" w:space="0" w:color="auto"/>
              <w:left w:val="single" w:sz="4" w:space="0" w:color="auto"/>
              <w:bottom w:val="single" w:sz="4" w:space="0" w:color="auto"/>
              <w:right w:val="single" w:sz="4" w:space="0" w:color="auto"/>
            </w:tcBorders>
          </w:tcPr>
          <w:p w14:paraId="09661F77" w14:textId="433A4459" w:rsidR="00837428" w:rsidRPr="009E686F" w:rsidRDefault="00837428" w:rsidP="00837428">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2DD1DB98" w14:textId="77777777" w:rsidR="00837428" w:rsidRPr="009E686F" w:rsidRDefault="00837428" w:rsidP="00837428">
            <w:pPr>
              <w:spacing w:after="0"/>
              <w:jc w:val="both"/>
              <w:rPr>
                <w:rFonts w:ascii="Times New Roman" w:hAnsi="Times New Roman" w:cs="Times New Roman"/>
              </w:rPr>
            </w:pPr>
          </w:p>
        </w:tc>
      </w:tr>
      <w:tr w:rsidR="00837428" w:rsidRPr="009E686F" w14:paraId="65947A10" w14:textId="77777777" w:rsidTr="00960C23">
        <w:tc>
          <w:tcPr>
            <w:tcW w:w="1890" w:type="pct"/>
            <w:tcBorders>
              <w:top w:val="single" w:sz="4" w:space="0" w:color="auto"/>
              <w:left w:val="single" w:sz="4" w:space="0" w:color="auto"/>
              <w:bottom w:val="single" w:sz="4" w:space="0" w:color="auto"/>
              <w:right w:val="single" w:sz="4" w:space="0" w:color="auto"/>
            </w:tcBorders>
          </w:tcPr>
          <w:p w14:paraId="1C0A6429" w14:textId="77777777" w:rsidR="00837428" w:rsidRPr="009E686F" w:rsidRDefault="00837428" w:rsidP="00837428">
            <w:pPr>
              <w:spacing w:after="0"/>
              <w:jc w:val="both"/>
              <w:rPr>
                <w:rFonts w:ascii="Times New Roman" w:hAnsi="Times New Roman" w:cs="Times New Roman"/>
                <w:i/>
                <w:iCs/>
                <w:lang w:val="it-CH"/>
              </w:rPr>
            </w:pPr>
            <w:r w:rsidRPr="009E686F">
              <w:rPr>
                <w:rFonts w:ascii="Times New Roman" w:hAnsi="Times New Roman" w:cs="Times New Roman"/>
                <w:i/>
                <w:iCs/>
                <w:lang w:val="it-CH"/>
              </w:rPr>
              <w:t xml:space="preserve">Articolul 21b </w:t>
            </w:r>
          </w:p>
          <w:p w14:paraId="72799822" w14:textId="02734AD4" w:rsidR="00837428" w:rsidRPr="009E686F" w:rsidRDefault="00837428" w:rsidP="00837428">
            <w:pPr>
              <w:spacing w:after="0"/>
              <w:jc w:val="both"/>
              <w:rPr>
                <w:rFonts w:ascii="Times New Roman" w:hAnsi="Times New Roman" w:cs="Times New Roman"/>
                <w:b/>
                <w:bCs/>
                <w:lang w:val="it-CH"/>
              </w:rPr>
            </w:pPr>
            <w:r w:rsidRPr="009E686F">
              <w:rPr>
                <w:rFonts w:ascii="Times New Roman" w:hAnsi="Times New Roman" w:cs="Times New Roman"/>
                <w:lang w:val="it-CH"/>
              </w:rPr>
              <w:t>Întreprinderea-mamă din UE intermediară</w:t>
            </w:r>
          </w:p>
        </w:tc>
        <w:tc>
          <w:tcPr>
            <w:tcW w:w="1834" w:type="pct"/>
            <w:tcBorders>
              <w:top w:val="single" w:sz="4" w:space="0" w:color="auto"/>
              <w:left w:val="single" w:sz="4" w:space="0" w:color="auto"/>
              <w:bottom w:val="single" w:sz="4" w:space="0" w:color="auto"/>
              <w:right w:val="single" w:sz="4" w:space="0" w:color="auto"/>
            </w:tcBorders>
          </w:tcPr>
          <w:p w14:paraId="2A747D45" w14:textId="21DB0DBB" w:rsidR="00837428" w:rsidRPr="009E686F" w:rsidRDefault="00837428" w:rsidP="00837428">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b/>
                <w:bCs/>
                <w:kern w:val="2"/>
                <w:lang w:val="ro-MD"/>
              </w:rPr>
              <w:t>Articolul 125</w:t>
            </w:r>
            <w:r w:rsidRPr="009E686F">
              <w:rPr>
                <w:rFonts w:ascii="Times New Roman" w:eastAsia="Aptos" w:hAnsi="Times New Roman" w:cs="Times New Roman"/>
                <w:b/>
                <w:bCs/>
                <w:kern w:val="2"/>
                <w:vertAlign w:val="superscript"/>
                <w:lang w:val="ro-MD"/>
              </w:rPr>
              <w:t>1</w:t>
            </w:r>
            <w:r w:rsidRPr="009E686F">
              <w:rPr>
                <w:rFonts w:ascii="Times New Roman" w:eastAsia="Aptos" w:hAnsi="Times New Roman" w:cs="Times New Roman"/>
                <w:b/>
                <w:bCs/>
                <w:kern w:val="2"/>
                <w:lang w:val="ro-MD"/>
              </w:rPr>
              <w:t>.</w:t>
            </w:r>
            <w:r w:rsidRPr="009E686F">
              <w:rPr>
                <w:rFonts w:ascii="Times New Roman" w:eastAsia="Aptos" w:hAnsi="Times New Roman" w:cs="Times New Roman"/>
                <w:kern w:val="2"/>
                <w:lang w:val="ro-MD"/>
              </w:rPr>
              <w:t xml:space="preserve"> Întreprinderea-mamă din UE intermediară</w:t>
            </w:r>
          </w:p>
        </w:tc>
        <w:tc>
          <w:tcPr>
            <w:tcW w:w="470" w:type="pct"/>
            <w:tcBorders>
              <w:top w:val="single" w:sz="4" w:space="0" w:color="auto"/>
              <w:left w:val="single" w:sz="4" w:space="0" w:color="auto"/>
              <w:bottom w:val="single" w:sz="4" w:space="0" w:color="auto"/>
              <w:right w:val="single" w:sz="4" w:space="0" w:color="auto"/>
            </w:tcBorders>
          </w:tcPr>
          <w:p w14:paraId="51F683F3" w14:textId="77777777" w:rsidR="00837428" w:rsidRPr="009E686F" w:rsidRDefault="00837428" w:rsidP="00837428">
            <w:pPr>
              <w:jc w:val="both"/>
              <w:rPr>
                <w:rFonts w:ascii="Times New Roman" w:hAnsi="Times New Roman" w:cs="Times New Roman"/>
                <w:lang w:val="it-CH"/>
              </w:rPr>
            </w:pPr>
          </w:p>
        </w:tc>
        <w:tc>
          <w:tcPr>
            <w:tcW w:w="806" w:type="pct"/>
            <w:tcBorders>
              <w:top w:val="single" w:sz="4" w:space="0" w:color="auto"/>
              <w:left w:val="single" w:sz="4" w:space="0" w:color="auto"/>
              <w:bottom w:val="single" w:sz="4" w:space="0" w:color="auto"/>
              <w:right w:val="single" w:sz="4" w:space="0" w:color="auto"/>
            </w:tcBorders>
          </w:tcPr>
          <w:p w14:paraId="7930F0D8" w14:textId="77777777" w:rsidR="00837428" w:rsidRPr="009E686F" w:rsidRDefault="00837428" w:rsidP="00837428">
            <w:pPr>
              <w:spacing w:after="0"/>
              <w:jc w:val="both"/>
              <w:rPr>
                <w:rFonts w:ascii="Times New Roman" w:hAnsi="Times New Roman" w:cs="Times New Roman"/>
                <w:lang w:val="it-CH"/>
              </w:rPr>
            </w:pPr>
          </w:p>
        </w:tc>
      </w:tr>
      <w:tr w:rsidR="002040CD" w:rsidRPr="009E686F" w14:paraId="4C832C2C" w14:textId="77777777" w:rsidTr="000F4A58">
        <w:tc>
          <w:tcPr>
            <w:tcW w:w="1890" w:type="pct"/>
            <w:tcBorders>
              <w:top w:val="single" w:sz="4" w:space="0" w:color="auto"/>
              <w:left w:val="single" w:sz="4" w:space="0" w:color="auto"/>
              <w:bottom w:val="single" w:sz="4" w:space="0" w:color="auto"/>
              <w:right w:val="single" w:sz="4" w:space="0" w:color="auto"/>
            </w:tcBorders>
          </w:tcPr>
          <w:p w14:paraId="0A160969" w14:textId="13B18A56" w:rsidR="002040CD" w:rsidRPr="009E686F" w:rsidRDefault="002040CD" w:rsidP="00837428">
            <w:pPr>
              <w:spacing w:after="0"/>
              <w:jc w:val="both"/>
              <w:rPr>
                <w:rFonts w:ascii="Times New Roman" w:hAnsi="Times New Roman" w:cs="Times New Roman"/>
                <w:lang w:val="it-CH"/>
              </w:rPr>
            </w:pPr>
            <w:r w:rsidRPr="009E686F">
              <w:rPr>
                <w:rFonts w:ascii="Times New Roman" w:hAnsi="Times New Roman" w:cs="Times New Roman"/>
                <w:lang w:val="it-CH"/>
              </w:rPr>
              <w:lastRenderedPageBreak/>
              <w:t>(1) Două sau mai multe instituții din Uniune care fac parte din același grup dintr-o țară terță au o singură întreprindere-mamă din UE intermediară stabilită în Uniune.</w:t>
            </w:r>
          </w:p>
        </w:tc>
        <w:tc>
          <w:tcPr>
            <w:tcW w:w="1834" w:type="pct"/>
            <w:tcBorders>
              <w:top w:val="single" w:sz="4" w:space="0" w:color="auto"/>
              <w:left w:val="single" w:sz="4" w:space="0" w:color="auto"/>
              <w:bottom w:val="single" w:sz="4" w:space="0" w:color="auto"/>
              <w:right w:val="single" w:sz="4" w:space="0" w:color="auto"/>
            </w:tcBorders>
          </w:tcPr>
          <w:p w14:paraId="169F8A03" w14:textId="162BAFA4" w:rsidR="002040CD" w:rsidRPr="009E686F" w:rsidRDefault="002040CD" w:rsidP="00837428">
            <w:pPr>
              <w:spacing w:after="0"/>
              <w:jc w:val="both"/>
              <w:rPr>
                <w:rFonts w:ascii="Times New Roman" w:hAnsi="Times New Roman" w:cs="Times New Roman"/>
                <w:b/>
                <w:i/>
                <w:lang w:val="it-CH"/>
              </w:rPr>
            </w:pPr>
            <w:r w:rsidRPr="009E686F">
              <w:rPr>
                <w:rFonts w:ascii="Times New Roman" w:eastAsia="Aptos" w:hAnsi="Times New Roman" w:cs="Times New Roman"/>
                <w:i/>
                <w:iCs/>
                <w:kern w:val="2"/>
                <w:lang w:val="ro-MD"/>
              </w:rPr>
              <w:t>(1)</w:t>
            </w:r>
            <w:r w:rsidRPr="009E686F" w:rsidDel="00F701C2">
              <w:rPr>
                <w:rFonts w:ascii="Times New Roman" w:eastAsia="Aptos" w:hAnsi="Times New Roman" w:cs="Times New Roman"/>
                <w:i/>
                <w:iCs/>
                <w:kern w:val="2"/>
                <w:lang w:val="ro-MD"/>
              </w:rPr>
              <w:t xml:space="preserve"> </w:t>
            </w:r>
            <w:r w:rsidRPr="009E686F">
              <w:rPr>
                <w:rFonts w:ascii="Times New Roman" w:eastAsia="Aptos" w:hAnsi="Times New Roman" w:cs="Times New Roman"/>
                <w:i/>
                <w:iCs/>
                <w:kern w:val="2"/>
                <w:lang w:val="ro-MD"/>
              </w:rPr>
              <w:t>Cel puțin două instituții de credit din Republica Moldova sau cel puțin o instituție de credit din Republica Moldova și o instituție de credit din statele membre care fac parte dintr-un grup dintr-un stat terț au o singură întreprindere-mamă din UE intermediară.</w:t>
            </w:r>
          </w:p>
        </w:tc>
        <w:tc>
          <w:tcPr>
            <w:tcW w:w="470" w:type="pct"/>
            <w:tcBorders>
              <w:top w:val="single" w:sz="4" w:space="0" w:color="auto"/>
              <w:left w:val="single" w:sz="4" w:space="0" w:color="auto"/>
              <w:bottom w:val="single" w:sz="4" w:space="0" w:color="auto"/>
              <w:right w:val="single" w:sz="4" w:space="0" w:color="auto"/>
            </w:tcBorders>
          </w:tcPr>
          <w:p w14:paraId="017E4426" w14:textId="2FE972E4" w:rsidR="002040CD" w:rsidRPr="009E686F" w:rsidRDefault="002040CD" w:rsidP="00837428">
            <w:pPr>
              <w:jc w:val="both"/>
              <w:rPr>
                <w:rFonts w:ascii="Times New Roman" w:hAnsi="Times New Roman" w:cs="Times New Roman"/>
                <w:lang w:val="it-CH"/>
              </w:rPr>
            </w:pPr>
            <w:r w:rsidRPr="009E686F">
              <w:rPr>
                <w:rFonts w:ascii="Times New Roman" w:hAnsi="Times New Roman" w:cs="Times New Roman"/>
                <w:lang w:val="it-CH"/>
              </w:rPr>
              <w:t>Compatibil</w:t>
            </w:r>
          </w:p>
        </w:tc>
        <w:tc>
          <w:tcPr>
            <w:tcW w:w="806" w:type="pct"/>
            <w:vMerge w:val="restart"/>
            <w:tcBorders>
              <w:top w:val="single" w:sz="4" w:space="0" w:color="auto"/>
              <w:left w:val="single" w:sz="4" w:space="0" w:color="auto"/>
              <w:right w:val="single" w:sz="4" w:space="0" w:color="auto"/>
            </w:tcBorders>
          </w:tcPr>
          <w:p w14:paraId="27AA170B" w14:textId="77777777" w:rsidR="002040CD" w:rsidRPr="009E686F" w:rsidRDefault="002040CD" w:rsidP="002040CD">
            <w:pPr>
              <w:tabs>
                <w:tab w:val="left" w:pos="884"/>
                <w:tab w:val="left" w:pos="1196"/>
              </w:tabs>
              <w:spacing w:after="0" w:line="240" w:lineRule="auto"/>
              <w:jc w:val="both"/>
              <w:rPr>
                <w:rFonts w:ascii="Times New Roman" w:hAnsi="Times New Roman"/>
                <w:lang w:val="it-CH"/>
              </w:rPr>
            </w:pPr>
            <w:r w:rsidRPr="009E686F">
              <w:rPr>
                <w:rFonts w:ascii="Times New Roman" w:hAnsi="Times New Roman"/>
                <w:lang w:val="it-CH"/>
              </w:rPr>
              <w:t>În vigoare de la data aderării.</w:t>
            </w:r>
          </w:p>
          <w:p w14:paraId="78627D3E" w14:textId="77777777" w:rsidR="002040CD" w:rsidRPr="009E686F" w:rsidRDefault="002040CD" w:rsidP="002040CD">
            <w:pPr>
              <w:tabs>
                <w:tab w:val="left" w:pos="884"/>
                <w:tab w:val="left" w:pos="1196"/>
              </w:tabs>
              <w:spacing w:after="0" w:line="240" w:lineRule="auto"/>
              <w:jc w:val="both"/>
              <w:rPr>
                <w:rFonts w:ascii="Times New Roman" w:hAnsi="Times New Roman"/>
                <w:lang w:val="it-CH"/>
              </w:rPr>
            </w:pPr>
            <w:r w:rsidRPr="009E686F">
              <w:rPr>
                <w:rFonts w:ascii="Times New Roman" w:hAnsi="Times New Roman"/>
                <w:lang w:val="it-CH"/>
              </w:rPr>
              <w:t>În vigoare de la data aderării.</w:t>
            </w:r>
          </w:p>
          <w:p w14:paraId="64091BFA" w14:textId="77777777" w:rsidR="002040CD" w:rsidRPr="009E686F" w:rsidRDefault="002040CD" w:rsidP="00837428">
            <w:pPr>
              <w:spacing w:after="0"/>
              <w:jc w:val="both"/>
              <w:rPr>
                <w:rFonts w:ascii="Times New Roman" w:hAnsi="Times New Roman" w:cs="Times New Roman"/>
                <w:lang w:val="it-CH"/>
              </w:rPr>
            </w:pPr>
          </w:p>
        </w:tc>
      </w:tr>
      <w:tr w:rsidR="002040CD" w:rsidRPr="009E686F" w14:paraId="3D3745D8" w14:textId="77777777" w:rsidTr="000F4A58">
        <w:tc>
          <w:tcPr>
            <w:tcW w:w="1890" w:type="pct"/>
            <w:tcBorders>
              <w:top w:val="single" w:sz="4" w:space="0" w:color="auto"/>
              <w:left w:val="single" w:sz="4" w:space="0" w:color="auto"/>
              <w:bottom w:val="single" w:sz="4" w:space="0" w:color="auto"/>
              <w:right w:val="single" w:sz="4" w:space="0" w:color="auto"/>
            </w:tcBorders>
          </w:tcPr>
          <w:p w14:paraId="39E6BDD6" w14:textId="76BD043B" w:rsidR="002040CD" w:rsidRPr="009E686F" w:rsidRDefault="002040CD" w:rsidP="00837428">
            <w:pPr>
              <w:spacing w:after="0"/>
              <w:jc w:val="both"/>
              <w:rPr>
                <w:rFonts w:ascii="Times New Roman" w:hAnsi="Times New Roman" w:cs="Times New Roman"/>
                <w:lang w:val="it-CH"/>
              </w:rPr>
            </w:pPr>
            <w:r w:rsidRPr="009E686F">
              <w:rPr>
                <w:rFonts w:ascii="Times New Roman" w:hAnsi="Times New Roman" w:cs="Times New Roman"/>
                <w:lang w:val="it-CH"/>
              </w:rPr>
              <w:t>(2)   Autoritățile competente le pot permite instituțiilor menționate la alineatul (1) să aibă două întreprinderi-mamă din UE intermediare în cazul în care decid că stabilirea unei singure întreprinderi-mamă din UE intermediară:</w:t>
            </w:r>
          </w:p>
        </w:tc>
        <w:tc>
          <w:tcPr>
            <w:tcW w:w="1834" w:type="pct"/>
            <w:tcBorders>
              <w:top w:val="single" w:sz="4" w:space="0" w:color="auto"/>
              <w:left w:val="single" w:sz="4" w:space="0" w:color="auto"/>
              <w:bottom w:val="single" w:sz="4" w:space="0" w:color="auto"/>
              <w:right w:val="single" w:sz="4" w:space="0" w:color="auto"/>
            </w:tcBorders>
          </w:tcPr>
          <w:p w14:paraId="75ED821C" w14:textId="17956D3E" w:rsidR="002040CD" w:rsidRPr="009E686F" w:rsidRDefault="002040CD" w:rsidP="00837428">
            <w:pPr>
              <w:spacing w:after="0" w:line="278" w:lineRule="auto"/>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 xml:space="preserve">(2) Banca Națională a Moldovei poate permite instituțiilor de credit  menționate la alin. (1) să facă parte dintr-un grup care are două întreprinderi-mamă din UE intermediare în cazul în care autoritățile competente ale celor două întreprinderi-mamă din UE intermediare au decis că stabilirea unei singure întreprinderi-mamă din UE intermediară: </w:t>
            </w:r>
          </w:p>
        </w:tc>
        <w:tc>
          <w:tcPr>
            <w:tcW w:w="470" w:type="pct"/>
            <w:tcBorders>
              <w:top w:val="single" w:sz="4" w:space="0" w:color="auto"/>
              <w:left w:val="single" w:sz="4" w:space="0" w:color="auto"/>
              <w:bottom w:val="single" w:sz="4" w:space="0" w:color="auto"/>
              <w:right w:val="single" w:sz="4" w:space="0" w:color="auto"/>
            </w:tcBorders>
          </w:tcPr>
          <w:p w14:paraId="33A5736B" w14:textId="3EB6797D" w:rsidR="002040CD" w:rsidRPr="009E686F" w:rsidRDefault="002040CD" w:rsidP="00837428">
            <w:pPr>
              <w:jc w:val="both"/>
              <w:rPr>
                <w:rFonts w:ascii="Times New Roman" w:hAnsi="Times New Roman" w:cs="Times New Roman"/>
                <w:lang w:val="ro-MD"/>
              </w:rPr>
            </w:pPr>
            <w:r w:rsidRPr="009E686F">
              <w:rPr>
                <w:rFonts w:ascii="Times New Roman" w:hAnsi="Times New Roman" w:cs="Times New Roman"/>
                <w:lang w:val="it-CH"/>
              </w:rPr>
              <w:t>Compatibil</w:t>
            </w:r>
          </w:p>
        </w:tc>
        <w:tc>
          <w:tcPr>
            <w:tcW w:w="806" w:type="pct"/>
            <w:vMerge/>
            <w:tcBorders>
              <w:left w:val="single" w:sz="4" w:space="0" w:color="auto"/>
              <w:bottom w:val="single" w:sz="4" w:space="0" w:color="auto"/>
              <w:right w:val="single" w:sz="4" w:space="0" w:color="auto"/>
            </w:tcBorders>
          </w:tcPr>
          <w:p w14:paraId="6D49A476" w14:textId="77777777" w:rsidR="002040CD" w:rsidRPr="009E686F" w:rsidRDefault="002040CD" w:rsidP="00837428">
            <w:pPr>
              <w:spacing w:after="0"/>
              <w:jc w:val="both"/>
              <w:rPr>
                <w:rFonts w:ascii="Times New Roman" w:hAnsi="Times New Roman" w:cs="Times New Roman"/>
                <w:b/>
                <w:bCs/>
                <w:lang w:val="it-CH"/>
              </w:rPr>
            </w:pPr>
          </w:p>
        </w:tc>
      </w:tr>
      <w:tr w:rsidR="00837428" w:rsidRPr="009E686F" w14:paraId="49127BD1" w14:textId="77777777" w:rsidTr="00960C23">
        <w:tc>
          <w:tcPr>
            <w:tcW w:w="1890" w:type="pct"/>
            <w:tcBorders>
              <w:top w:val="single" w:sz="4" w:space="0" w:color="auto"/>
              <w:left w:val="single" w:sz="4" w:space="0" w:color="auto"/>
              <w:bottom w:val="single" w:sz="4" w:space="0" w:color="auto"/>
              <w:right w:val="single" w:sz="4" w:space="0" w:color="auto"/>
            </w:tcBorders>
          </w:tcPr>
          <w:p w14:paraId="23C9A5DF" w14:textId="0FCED355" w:rsidR="00837428" w:rsidRPr="009E686F" w:rsidRDefault="00837428" w:rsidP="00837428">
            <w:pPr>
              <w:spacing w:after="0"/>
              <w:jc w:val="both"/>
              <w:rPr>
                <w:rFonts w:ascii="Times New Roman" w:hAnsi="Times New Roman" w:cs="Times New Roman"/>
                <w:lang w:val="ro-MD"/>
              </w:rPr>
            </w:pPr>
            <w:r w:rsidRPr="009E686F">
              <w:rPr>
                <w:rFonts w:ascii="Times New Roman" w:hAnsi="Times New Roman" w:cs="Times New Roman"/>
                <w:lang w:val="ro-MD"/>
              </w:rPr>
              <w:t>(a) ar fi incompatibilă cu cerința obligatorie de separare a activităților, impusă prin normele sau de autoritățile de supraveghere ale țării terțe în care își are sediul central întreprinderea-mamă de cel mai înalt rang din grupul dintr-o țară terță; sau</w:t>
            </w:r>
          </w:p>
        </w:tc>
        <w:tc>
          <w:tcPr>
            <w:tcW w:w="1834" w:type="pct"/>
            <w:tcBorders>
              <w:top w:val="single" w:sz="4" w:space="0" w:color="auto"/>
              <w:left w:val="single" w:sz="4" w:space="0" w:color="auto"/>
              <w:bottom w:val="single" w:sz="4" w:space="0" w:color="auto"/>
              <w:right w:val="single" w:sz="4" w:space="0" w:color="auto"/>
            </w:tcBorders>
          </w:tcPr>
          <w:p w14:paraId="324C9274" w14:textId="77777777" w:rsidR="00837428" w:rsidRPr="009E686F" w:rsidRDefault="00837428" w:rsidP="00837428">
            <w:pPr>
              <w:spacing w:after="0" w:line="278" w:lineRule="auto"/>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 xml:space="preserve">(a) ar fi incompatibilă cu cerinţa obligatorie de separare a activităţilor, impusă prin normele sau de autorităţile de supraveghere ale statului terț în care își are sediul central întreprinderea-mamă de cel mai înalt rang din grupul dintr-o statul terț; sau </w:t>
            </w:r>
          </w:p>
          <w:p w14:paraId="66CE3C33" w14:textId="77777777" w:rsidR="00837428" w:rsidRPr="009E686F" w:rsidRDefault="00837428" w:rsidP="00837428">
            <w:pPr>
              <w:spacing w:after="0"/>
              <w:jc w:val="both"/>
              <w:rPr>
                <w:rFonts w:ascii="Times New Roman" w:hAnsi="Times New Roman" w:cs="Times New Roman"/>
                <w:b/>
                <w:lang w:val="ro-MD"/>
              </w:rPr>
            </w:pPr>
          </w:p>
        </w:tc>
        <w:tc>
          <w:tcPr>
            <w:tcW w:w="470" w:type="pct"/>
            <w:tcBorders>
              <w:top w:val="single" w:sz="4" w:space="0" w:color="auto"/>
              <w:left w:val="single" w:sz="4" w:space="0" w:color="auto"/>
              <w:bottom w:val="single" w:sz="4" w:space="0" w:color="auto"/>
              <w:right w:val="single" w:sz="4" w:space="0" w:color="auto"/>
            </w:tcBorders>
          </w:tcPr>
          <w:p w14:paraId="10E867BE" w14:textId="61198CFD" w:rsidR="00837428" w:rsidRPr="009E686F" w:rsidRDefault="00837428" w:rsidP="00837428">
            <w:pPr>
              <w:jc w:val="both"/>
              <w:rPr>
                <w:rFonts w:ascii="Times New Roman" w:hAnsi="Times New Roman" w:cs="Times New Roman"/>
                <w:lang w:val="ro-MD"/>
              </w:rPr>
            </w:pPr>
            <w:r w:rsidRPr="009E686F">
              <w:rPr>
                <w:rFonts w:ascii="Times New Roman" w:hAnsi="Times New Roman" w:cs="Times New Roman"/>
                <w:lang w:val="it-CH"/>
              </w:rPr>
              <w:t>Compatibil</w:t>
            </w:r>
          </w:p>
        </w:tc>
        <w:tc>
          <w:tcPr>
            <w:tcW w:w="806" w:type="pct"/>
            <w:tcBorders>
              <w:top w:val="single" w:sz="4" w:space="0" w:color="auto"/>
              <w:left w:val="single" w:sz="4" w:space="0" w:color="auto"/>
              <w:bottom w:val="single" w:sz="4" w:space="0" w:color="auto"/>
              <w:right w:val="single" w:sz="4" w:space="0" w:color="auto"/>
            </w:tcBorders>
          </w:tcPr>
          <w:p w14:paraId="3EE09720" w14:textId="77777777" w:rsidR="00837428" w:rsidRPr="009E686F" w:rsidRDefault="00837428" w:rsidP="00837428">
            <w:pPr>
              <w:spacing w:after="0"/>
              <w:jc w:val="both"/>
              <w:rPr>
                <w:rFonts w:ascii="Times New Roman" w:hAnsi="Times New Roman" w:cs="Times New Roman"/>
                <w:lang w:val="ro-MD"/>
              </w:rPr>
            </w:pPr>
          </w:p>
        </w:tc>
      </w:tr>
      <w:tr w:rsidR="00837428" w:rsidRPr="009E686F" w14:paraId="6EA9C602" w14:textId="77777777" w:rsidTr="00960C23">
        <w:tc>
          <w:tcPr>
            <w:tcW w:w="1890" w:type="pct"/>
            <w:tcBorders>
              <w:top w:val="single" w:sz="4" w:space="0" w:color="auto"/>
              <w:left w:val="single" w:sz="4" w:space="0" w:color="auto"/>
              <w:bottom w:val="single" w:sz="4" w:space="0" w:color="auto"/>
              <w:right w:val="single" w:sz="4" w:space="0" w:color="auto"/>
            </w:tcBorders>
          </w:tcPr>
          <w:p w14:paraId="6B72E940" w14:textId="42341BAB" w:rsidR="00837428" w:rsidRPr="009E686F" w:rsidRDefault="00837428" w:rsidP="00837428">
            <w:pPr>
              <w:spacing w:after="0"/>
              <w:jc w:val="both"/>
              <w:rPr>
                <w:rFonts w:ascii="Times New Roman" w:hAnsi="Times New Roman" w:cs="Times New Roman"/>
                <w:lang w:val="ro-MD"/>
              </w:rPr>
            </w:pPr>
            <w:r w:rsidRPr="009E686F">
              <w:rPr>
                <w:rFonts w:ascii="Times New Roman" w:hAnsi="Times New Roman" w:cs="Times New Roman"/>
                <w:lang w:val="ro-MD"/>
              </w:rPr>
              <w:t>(b) ar face mai puțin eficiente posibilitățile de soluționare decât atunci când există două întreprinderi-mamă din UE intermediare în conformitate cu o evaluare efectuată de autoritatea de rezoluție competentă a întreprinderii-mamă din UE intermediare.</w:t>
            </w:r>
          </w:p>
        </w:tc>
        <w:tc>
          <w:tcPr>
            <w:tcW w:w="1834" w:type="pct"/>
            <w:tcBorders>
              <w:top w:val="single" w:sz="4" w:space="0" w:color="auto"/>
              <w:left w:val="single" w:sz="4" w:space="0" w:color="auto"/>
              <w:bottom w:val="single" w:sz="4" w:space="0" w:color="auto"/>
              <w:right w:val="single" w:sz="4" w:space="0" w:color="auto"/>
            </w:tcBorders>
          </w:tcPr>
          <w:p w14:paraId="56B04340" w14:textId="666A7D17" w:rsidR="00837428" w:rsidRPr="009E686F" w:rsidRDefault="00837428" w:rsidP="00837428">
            <w:pPr>
              <w:spacing w:after="0"/>
              <w:jc w:val="both"/>
              <w:rPr>
                <w:rFonts w:ascii="Times New Roman" w:hAnsi="Times New Roman" w:cs="Times New Roman"/>
                <w:b/>
                <w:i/>
                <w:iCs/>
                <w:lang w:val="ro-MD"/>
              </w:rPr>
            </w:pPr>
            <w:r w:rsidRPr="009E686F">
              <w:rPr>
                <w:rFonts w:ascii="Times New Roman" w:eastAsia="Aptos" w:hAnsi="Times New Roman" w:cs="Times New Roman"/>
                <w:i/>
                <w:iCs/>
                <w:kern w:val="2"/>
                <w:lang w:val="ro-MD"/>
              </w:rPr>
              <w:t>(b) ar face mai puţin eficiente posibilităţile de soluţionare decât atunci când există două întreprinderi-mamă din UE intermediare în conformitate cu o evaluare efectuată de autoritatea de rezoluţie competentă a întreprinderii-mamă din UE intermediare.</w:t>
            </w:r>
          </w:p>
        </w:tc>
        <w:tc>
          <w:tcPr>
            <w:tcW w:w="470" w:type="pct"/>
            <w:tcBorders>
              <w:top w:val="single" w:sz="4" w:space="0" w:color="auto"/>
              <w:left w:val="single" w:sz="4" w:space="0" w:color="auto"/>
              <w:bottom w:val="single" w:sz="4" w:space="0" w:color="auto"/>
              <w:right w:val="single" w:sz="4" w:space="0" w:color="auto"/>
            </w:tcBorders>
          </w:tcPr>
          <w:p w14:paraId="4310C6AA" w14:textId="170DAB5A" w:rsidR="00837428" w:rsidRPr="009E686F" w:rsidRDefault="00837428" w:rsidP="00837428">
            <w:pPr>
              <w:jc w:val="both"/>
              <w:rPr>
                <w:rFonts w:ascii="Times New Roman" w:hAnsi="Times New Roman" w:cs="Times New Roman"/>
              </w:rPr>
            </w:pPr>
            <w:r w:rsidRPr="009E686F">
              <w:rPr>
                <w:rFonts w:ascii="Times New Roman" w:hAnsi="Times New Roman" w:cs="Times New Roman"/>
                <w:lang w:val="it-CH"/>
              </w:rPr>
              <w:t>Compatibil</w:t>
            </w:r>
          </w:p>
        </w:tc>
        <w:tc>
          <w:tcPr>
            <w:tcW w:w="806" w:type="pct"/>
            <w:tcBorders>
              <w:top w:val="single" w:sz="4" w:space="0" w:color="auto"/>
              <w:left w:val="single" w:sz="4" w:space="0" w:color="auto"/>
              <w:bottom w:val="single" w:sz="4" w:space="0" w:color="auto"/>
              <w:right w:val="single" w:sz="4" w:space="0" w:color="auto"/>
            </w:tcBorders>
          </w:tcPr>
          <w:p w14:paraId="75A24E7B" w14:textId="77777777" w:rsidR="00837428" w:rsidRPr="009E686F" w:rsidRDefault="00837428" w:rsidP="00837428">
            <w:pPr>
              <w:spacing w:after="0"/>
              <w:jc w:val="both"/>
              <w:rPr>
                <w:rFonts w:ascii="Times New Roman" w:hAnsi="Times New Roman" w:cs="Times New Roman"/>
              </w:rPr>
            </w:pPr>
          </w:p>
        </w:tc>
      </w:tr>
      <w:tr w:rsidR="00837428" w:rsidRPr="009E686F" w14:paraId="7A2B4A10" w14:textId="77777777" w:rsidTr="00960C23">
        <w:tc>
          <w:tcPr>
            <w:tcW w:w="1890" w:type="pct"/>
            <w:tcBorders>
              <w:top w:val="single" w:sz="4" w:space="0" w:color="auto"/>
              <w:left w:val="single" w:sz="4" w:space="0" w:color="auto"/>
              <w:bottom w:val="single" w:sz="4" w:space="0" w:color="auto"/>
              <w:right w:val="single" w:sz="4" w:space="0" w:color="auto"/>
            </w:tcBorders>
          </w:tcPr>
          <w:p w14:paraId="5B4E680E" w14:textId="2190A9B3" w:rsidR="00837428" w:rsidRPr="009E686F" w:rsidRDefault="00837428" w:rsidP="00837428">
            <w:pPr>
              <w:spacing w:after="0"/>
              <w:jc w:val="both"/>
              <w:rPr>
                <w:rFonts w:ascii="Times New Roman" w:hAnsi="Times New Roman" w:cs="Times New Roman"/>
                <w:lang w:val="it-CH"/>
              </w:rPr>
            </w:pPr>
            <w:r w:rsidRPr="009E686F">
              <w:rPr>
                <w:rFonts w:ascii="Times New Roman" w:hAnsi="Times New Roman" w:cs="Times New Roman"/>
                <w:lang w:val="it-CH"/>
              </w:rPr>
              <w:t>(3) O întreprindere-mamă din UE intermediară este o instituție de credit autorizată în conformitate cu articolul 8 ori o societate financiară holding sau societate financiară holding mixtă, căreia i s-a acordat aprobare în conformitate cu articolul 21a.</w:t>
            </w:r>
          </w:p>
        </w:tc>
        <w:tc>
          <w:tcPr>
            <w:tcW w:w="1834" w:type="pct"/>
            <w:tcBorders>
              <w:top w:val="single" w:sz="4" w:space="0" w:color="auto"/>
              <w:left w:val="single" w:sz="4" w:space="0" w:color="auto"/>
              <w:bottom w:val="single" w:sz="4" w:space="0" w:color="auto"/>
              <w:right w:val="single" w:sz="4" w:space="0" w:color="auto"/>
            </w:tcBorders>
          </w:tcPr>
          <w:p w14:paraId="54CA91C8" w14:textId="1765A6C2" w:rsidR="00837428" w:rsidRPr="009E686F" w:rsidRDefault="00837428" w:rsidP="00837428">
            <w:pPr>
              <w:spacing w:after="0"/>
              <w:jc w:val="both"/>
              <w:rPr>
                <w:rFonts w:ascii="Times New Roman" w:hAnsi="Times New Roman" w:cs="Times New Roman"/>
                <w:b/>
                <w:lang w:val="it-CH"/>
              </w:rPr>
            </w:pPr>
            <w:r w:rsidRPr="009E686F">
              <w:rPr>
                <w:rFonts w:ascii="Times New Roman" w:eastAsia="Aptos" w:hAnsi="Times New Roman" w:cs="Times New Roman"/>
                <w:kern w:val="2"/>
                <w:lang w:val="ro-MD"/>
              </w:rPr>
              <w:t>(</w:t>
            </w:r>
            <w:r w:rsidRPr="009E686F">
              <w:rPr>
                <w:rFonts w:ascii="Times New Roman" w:eastAsia="Aptos" w:hAnsi="Times New Roman" w:cs="Times New Roman"/>
                <w:i/>
                <w:iCs/>
                <w:kern w:val="2"/>
                <w:lang w:val="ro-MD"/>
              </w:rPr>
              <w:t>3) O întreprindere-mamă din UE intermediară este o instituție de credit  căreia i s-a acordat licența în conformitate cu articolul 8, 16-22 sau potrivit prevederilor care transpun prevederile art. 8 din Directiva 2013/36/UE în legislația altui stat membru UE ori o societate financiară holding sau societate financiară holding mixtă, căreia i s-a acordat aprobarea BNM în conformitate cu articolul 116</w:t>
            </w:r>
            <w:r w:rsidRPr="009E686F">
              <w:rPr>
                <w:rFonts w:ascii="Times New Roman" w:eastAsia="Aptos" w:hAnsi="Times New Roman" w:cs="Times New Roman"/>
                <w:i/>
                <w:iCs/>
                <w:kern w:val="2"/>
                <w:vertAlign w:val="superscript"/>
                <w:lang w:val="ro-MD"/>
              </w:rPr>
              <w:t>1</w:t>
            </w:r>
            <w:r w:rsidRPr="009E686F">
              <w:rPr>
                <w:rFonts w:ascii="Times New Roman" w:eastAsia="Aptos" w:hAnsi="Times New Roman" w:cs="Times New Roman"/>
                <w:i/>
                <w:iCs/>
                <w:kern w:val="2"/>
                <w:lang w:val="ro-MD"/>
              </w:rPr>
              <w:t xml:space="preserve"> </w:t>
            </w:r>
            <w:r w:rsidRPr="009E686F">
              <w:rPr>
                <w:rFonts w:ascii="Times New Roman" w:eastAsia="Aptos" w:hAnsi="Times New Roman" w:cs="Times New Roman"/>
                <w:i/>
                <w:iCs/>
                <w:kern w:val="2"/>
                <w:lang w:val="ro-MD"/>
              </w:rPr>
              <w:lastRenderedPageBreak/>
              <w:t>sau</w:t>
            </w:r>
            <w:r w:rsidRPr="009E686F">
              <w:rPr>
                <w:rFonts w:ascii="Times New Roman" w:eastAsia="Aptos" w:hAnsi="Times New Roman" w:cs="Times New Roman"/>
                <w:kern w:val="2"/>
                <w:lang w:val="ro-MD"/>
              </w:rPr>
              <w:t xml:space="preserve"> </w:t>
            </w:r>
            <w:r w:rsidRPr="009E686F">
              <w:rPr>
                <w:rFonts w:ascii="Times New Roman" w:eastAsia="Aptos" w:hAnsi="Times New Roman" w:cs="Times New Roman"/>
                <w:i/>
                <w:iCs/>
                <w:kern w:val="2"/>
                <w:lang w:val="ro-MD"/>
              </w:rPr>
              <w:t>potrivit prevederilor care transpun art. 21a din Directiva 2013/36/UE în legislația altui stat membru UE</w:t>
            </w:r>
            <w:r w:rsidRPr="009E686F">
              <w:rPr>
                <w:rFonts w:ascii="Times New Roman" w:eastAsia="Aptos" w:hAnsi="Times New Roman" w:cs="Times New Roman"/>
                <w:i/>
                <w:iCs/>
                <w:kern w:val="2"/>
                <w:vertAlign w:val="superscript"/>
                <w:lang w:val="ro-MD"/>
              </w:rPr>
              <w:t xml:space="preserve"> </w:t>
            </w:r>
            <w:r w:rsidRPr="009E686F">
              <w:rPr>
                <w:rFonts w:ascii="Times New Roman" w:eastAsia="Aptos" w:hAnsi="Times New Roman" w:cs="Times New Roman"/>
                <w:i/>
                <w:iCs/>
                <w:kern w:val="2"/>
                <w:lang w:val="ro-MD"/>
              </w:rPr>
              <w:t>.</w:t>
            </w:r>
          </w:p>
        </w:tc>
        <w:tc>
          <w:tcPr>
            <w:tcW w:w="470" w:type="pct"/>
            <w:tcBorders>
              <w:top w:val="single" w:sz="4" w:space="0" w:color="auto"/>
              <w:left w:val="single" w:sz="4" w:space="0" w:color="auto"/>
              <w:bottom w:val="single" w:sz="4" w:space="0" w:color="auto"/>
              <w:right w:val="single" w:sz="4" w:space="0" w:color="auto"/>
            </w:tcBorders>
          </w:tcPr>
          <w:p w14:paraId="7A479B5E" w14:textId="7DECE712" w:rsidR="00837428" w:rsidRPr="009E686F" w:rsidRDefault="00837428" w:rsidP="00837428">
            <w:pPr>
              <w:jc w:val="both"/>
              <w:rPr>
                <w:rFonts w:ascii="Times New Roman" w:hAnsi="Times New Roman" w:cs="Times New Roman"/>
              </w:rPr>
            </w:pPr>
            <w:r w:rsidRPr="009E686F">
              <w:rPr>
                <w:rFonts w:ascii="Times New Roman" w:hAnsi="Times New Roman" w:cs="Times New Roman"/>
                <w:lang w:val="it-CH"/>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28204CB3" w14:textId="77777777" w:rsidR="00837428" w:rsidRPr="009E686F" w:rsidRDefault="00837428" w:rsidP="00837428">
            <w:pPr>
              <w:spacing w:after="0"/>
              <w:jc w:val="both"/>
              <w:rPr>
                <w:rFonts w:ascii="Times New Roman" w:hAnsi="Times New Roman" w:cs="Times New Roman"/>
              </w:rPr>
            </w:pPr>
          </w:p>
        </w:tc>
      </w:tr>
      <w:tr w:rsidR="00837428" w:rsidRPr="009E686F" w14:paraId="2E3C0669" w14:textId="77777777" w:rsidTr="00960C23">
        <w:tc>
          <w:tcPr>
            <w:tcW w:w="1890" w:type="pct"/>
            <w:tcBorders>
              <w:top w:val="single" w:sz="4" w:space="0" w:color="auto"/>
              <w:left w:val="single" w:sz="4" w:space="0" w:color="auto"/>
              <w:bottom w:val="single" w:sz="4" w:space="0" w:color="auto"/>
              <w:right w:val="single" w:sz="4" w:space="0" w:color="auto"/>
            </w:tcBorders>
          </w:tcPr>
          <w:p w14:paraId="6B2E1D67" w14:textId="73662D60" w:rsidR="00837428" w:rsidRPr="009E686F" w:rsidRDefault="00837428" w:rsidP="00837428">
            <w:pPr>
              <w:spacing w:after="0"/>
              <w:jc w:val="both"/>
              <w:rPr>
                <w:rFonts w:ascii="Times New Roman" w:hAnsi="Times New Roman" w:cs="Times New Roman"/>
              </w:rPr>
            </w:pPr>
            <w:r w:rsidRPr="009E686F">
              <w:rPr>
                <w:rFonts w:ascii="Times New Roman" w:hAnsi="Times New Roman" w:cs="Times New Roman"/>
              </w:rPr>
              <w:t>Prin derogare de la primul paragraf de la prezentul alineat, în cazul în care niciuna dintre instituțiile menționate la alineatul (1) din prezentul articol nu este o instituție de credit sau în cazul în care o a doua întreprindere-mamă din UE intermediară trebuie să fie înființată în legătură cu activitățile de investiții pentru a respecta o cerință obligatorie astfel cum se prevede la alineatul (2) din prezentul articol, întreprinderea-mamă din UE intermediară sau a doua întreprindere-mamă din UE intermediară poate fi o firmă de investiții autorizată în conformitate cu articolul 5 alineatul (1) din Directiva 2014/65/UE și aflată sub incidența Directivei 2014/59/UE.</w:t>
            </w:r>
          </w:p>
        </w:tc>
        <w:tc>
          <w:tcPr>
            <w:tcW w:w="1834" w:type="pct"/>
            <w:tcBorders>
              <w:top w:val="single" w:sz="4" w:space="0" w:color="auto"/>
              <w:left w:val="single" w:sz="4" w:space="0" w:color="auto"/>
              <w:bottom w:val="single" w:sz="4" w:space="0" w:color="auto"/>
              <w:right w:val="single" w:sz="4" w:space="0" w:color="auto"/>
            </w:tcBorders>
          </w:tcPr>
          <w:p w14:paraId="01434C84" w14:textId="6EB8467F" w:rsidR="00837428" w:rsidRPr="009E686F" w:rsidRDefault="00837428" w:rsidP="00837428">
            <w:pPr>
              <w:spacing w:after="0"/>
              <w:jc w:val="both"/>
              <w:rPr>
                <w:rFonts w:ascii="Times New Roman" w:hAnsi="Times New Roman" w:cs="Times New Roman"/>
                <w:b/>
                <w:i/>
                <w:iCs/>
              </w:rPr>
            </w:pPr>
            <w:r w:rsidRPr="009E686F">
              <w:rPr>
                <w:rFonts w:ascii="Times New Roman" w:eastAsia="Aptos" w:hAnsi="Times New Roman" w:cs="Times New Roman"/>
                <w:i/>
                <w:iCs/>
                <w:kern w:val="2"/>
                <w:lang w:val="ro-MD"/>
              </w:rPr>
              <w:t xml:space="preserve">(4) </w:t>
            </w:r>
            <w:r w:rsidRPr="009E686F">
              <w:rPr>
                <w:rFonts w:ascii="Times New Roman" w:hAnsi="Times New Roman" w:cs="Times New Roman"/>
                <w:i/>
                <w:iCs/>
                <w:lang w:val="it-CH"/>
              </w:rPr>
              <w:t>Prin derogare de la alin. (3), în cazul în care niciuna dintre instituţiile de credit menţionate la alin. (1) nu este o instituție de credit sau în cazul în care o a doua întreprindere-mamă din U</w:t>
            </w:r>
            <w:r w:rsidR="007530DE" w:rsidRPr="009E686F">
              <w:rPr>
                <w:rFonts w:ascii="Times New Roman" w:hAnsi="Times New Roman" w:cs="Times New Roman"/>
                <w:i/>
                <w:iCs/>
                <w:lang w:val="it-CH"/>
              </w:rPr>
              <w:t xml:space="preserve">niunea </w:t>
            </w:r>
            <w:r w:rsidRPr="009E686F">
              <w:rPr>
                <w:rFonts w:ascii="Times New Roman" w:hAnsi="Times New Roman" w:cs="Times New Roman"/>
                <w:i/>
                <w:iCs/>
                <w:lang w:val="it-CH"/>
              </w:rPr>
              <w:t>E</w:t>
            </w:r>
            <w:r w:rsidR="007530DE" w:rsidRPr="009E686F">
              <w:rPr>
                <w:rFonts w:ascii="Times New Roman" w:hAnsi="Times New Roman" w:cs="Times New Roman"/>
                <w:i/>
                <w:iCs/>
                <w:lang w:val="it-CH"/>
              </w:rPr>
              <w:t>uropeană</w:t>
            </w:r>
            <w:r w:rsidRPr="009E686F">
              <w:rPr>
                <w:rFonts w:ascii="Times New Roman" w:hAnsi="Times New Roman" w:cs="Times New Roman"/>
                <w:i/>
                <w:iCs/>
                <w:lang w:val="it-CH"/>
              </w:rPr>
              <w:t xml:space="preserve"> intermediară trebuie să fie înfiinţată în legătură cu activităţile de investiţii pentru a respecta o cerinţă obligatorie astfel cum se prevede la alineatul (2) lit. (a), întreprinderea-mamă din U</w:t>
            </w:r>
            <w:r w:rsidR="007530DE" w:rsidRPr="009E686F">
              <w:rPr>
                <w:rFonts w:ascii="Times New Roman" w:hAnsi="Times New Roman" w:cs="Times New Roman"/>
                <w:i/>
                <w:iCs/>
                <w:lang w:val="it-CH"/>
              </w:rPr>
              <w:t xml:space="preserve">niunea </w:t>
            </w:r>
            <w:r w:rsidRPr="009E686F">
              <w:rPr>
                <w:rFonts w:ascii="Times New Roman" w:hAnsi="Times New Roman" w:cs="Times New Roman"/>
                <w:i/>
                <w:iCs/>
                <w:lang w:val="it-CH"/>
              </w:rPr>
              <w:t>E</w:t>
            </w:r>
            <w:r w:rsidR="007530DE" w:rsidRPr="009E686F">
              <w:rPr>
                <w:rFonts w:ascii="Times New Roman" w:hAnsi="Times New Roman" w:cs="Times New Roman"/>
                <w:i/>
                <w:iCs/>
                <w:lang w:val="it-CH"/>
              </w:rPr>
              <w:t>uropeană</w:t>
            </w:r>
            <w:r w:rsidRPr="009E686F">
              <w:rPr>
                <w:rFonts w:ascii="Times New Roman" w:hAnsi="Times New Roman" w:cs="Times New Roman"/>
                <w:i/>
                <w:iCs/>
                <w:lang w:val="it-CH"/>
              </w:rPr>
              <w:t xml:space="preserve"> intermediară sau a doua întreprindere-mamă din UE intermediară poate fi o firmă de investiţii căreia i s-a eliberat o autorizație în conformitate cu art. </w:t>
            </w:r>
            <w:r w:rsidRPr="009E686F">
              <w:rPr>
                <w:rFonts w:ascii="Times New Roman" w:hAnsi="Times New Roman" w:cs="Times New Roman"/>
                <w:i/>
                <w:iCs/>
              </w:rPr>
              <w:t xml:space="preserve">13 din Legea </w:t>
            </w:r>
            <w:r w:rsidR="007530DE" w:rsidRPr="009E686F">
              <w:rPr>
                <w:rFonts w:ascii="Times New Roman" w:hAnsi="Times New Roman" w:cs="Times New Roman"/>
                <w:i/>
                <w:iCs/>
              </w:rPr>
              <w:t>nr. 181/2026</w:t>
            </w:r>
            <w:r w:rsidRPr="009E686F">
              <w:rPr>
                <w:rFonts w:ascii="Times New Roman" w:hAnsi="Times New Roman" w:cs="Times New Roman"/>
                <w:i/>
                <w:iCs/>
              </w:rPr>
              <w:t>și care face obiectul Legii nr. 232/2016.</w:t>
            </w:r>
          </w:p>
        </w:tc>
        <w:tc>
          <w:tcPr>
            <w:tcW w:w="470" w:type="pct"/>
            <w:tcBorders>
              <w:top w:val="single" w:sz="4" w:space="0" w:color="auto"/>
              <w:left w:val="single" w:sz="4" w:space="0" w:color="auto"/>
              <w:bottom w:val="single" w:sz="4" w:space="0" w:color="auto"/>
              <w:right w:val="single" w:sz="4" w:space="0" w:color="auto"/>
            </w:tcBorders>
          </w:tcPr>
          <w:p w14:paraId="0DDB0945" w14:textId="77777777" w:rsidR="00837428" w:rsidRPr="009E686F" w:rsidRDefault="00837428" w:rsidP="00837428">
            <w:pPr>
              <w:jc w:val="both"/>
              <w:rPr>
                <w:rFonts w:ascii="Times New Roman" w:hAnsi="Times New Roman" w:cs="Times New Roman"/>
                <w:lang w:val="ro-MD"/>
              </w:rPr>
            </w:pPr>
          </w:p>
        </w:tc>
        <w:tc>
          <w:tcPr>
            <w:tcW w:w="806" w:type="pct"/>
            <w:tcBorders>
              <w:top w:val="single" w:sz="4" w:space="0" w:color="auto"/>
              <w:left w:val="single" w:sz="4" w:space="0" w:color="auto"/>
              <w:bottom w:val="single" w:sz="4" w:space="0" w:color="auto"/>
              <w:right w:val="single" w:sz="4" w:space="0" w:color="auto"/>
            </w:tcBorders>
          </w:tcPr>
          <w:p w14:paraId="26FF6114" w14:textId="77777777" w:rsidR="00837428" w:rsidRPr="009E686F" w:rsidRDefault="00837428" w:rsidP="00837428">
            <w:pPr>
              <w:spacing w:after="0"/>
              <w:jc w:val="both"/>
              <w:rPr>
                <w:rFonts w:ascii="Times New Roman" w:hAnsi="Times New Roman" w:cs="Times New Roman"/>
                <w:lang w:val="ro-MD"/>
              </w:rPr>
            </w:pPr>
          </w:p>
        </w:tc>
      </w:tr>
      <w:tr w:rsidR="00837428" w:rsidRPr="009E686F" w14:paraId="75F1F7C0" w14:textId="77777777" w:rsidTr="00960C23">
        <w:tc>
          <w:tcPr>
            <w:tcW w:w="1890" w:type="pct"/>
            <w:tcBorders>
              <w:top w:val="single" w:sz="4" w:space="0" w:color="auto"/>
              <w:left w:val="single" w:sz="4" w:space="0" w:color="auto"/>
              <w:bottom w:val="single" w:sz="4" w:space="0" w:color="auto"/>
              <w:right w:val="single" w:sz="4" w:space="0" w:color="auto"/>
            </w:tcBorders>
          </w:tcPr>
          <w:p w14:paraId="1955FAD8" w14:textId="00BFB472" w:rsidR="00837428" w:rsidRPr="009E686F" w:rsidRDefault="00837428" w:rsidP="00837428">
            <w:pPr>
              <w:spacing w:after="0"/>
              <w:jc w:val="both"/>
              <w:rPr>
                <w:rFonts w:ascii="Times New Roman" w:hAnsi="Times New Roman" w:cs="Times New Roman"/>
                <w:lang w:val="ro-MD"/>
              </w:rPr>
            </w:pPr>
            <w:r w:rsidRPr="009E686F">
              <w:rPr>
                <w:rFonts w:ascii="Times New Roman" w:hAnsi="Times New Roman" w:cs="Times New Roman"/>
                <w:lang w:val="ro-MD"/>
              </w:rPr>
              <w:t>(4)   Alineatele (1), (2) și (3) nu se aplică atunci când valoarea totală a activelor din Uniune ale grupului dintr-o țară terță este mai mică de 40 de miliarde EUR.</w:t>
            </w:r>
          </w:p>
        </w:tc>
        <w:tc>
          <w:tcPr>
            <w:tcW w:w="1834" w:type="pct"/>
            <w:tcBorders>
              <w:top w:val="single" w:sz="4" w:space="0" w:color="auto"/>
              <w:left w:val="single" w:sz="4" w:space="0" w:color="auto"/>
              <w:bottom w:val="single" w:sz="4" w:space="0" w:color="auto"/>
              <w:right w:val="single" w:sz="4" w:space="0" w:color="auto"/>
            </w:tcBorders>
          </w:tcPr>
          <w:p w14:paraId="0FA81DE7" w14:textId="66921BA2" w:rsidR="00837428" w:rsidRPr="009E686F" w:rsidRDefault="00837428" w:rsidP="00837428">
            <w:pPr>
              <w:spacing w:after="0"/>
              <w:jc w:val="both"/>
              <w:rPr>
                <w:rFonts w:ascii="Times New Roman" w:hAnsi="Times New Roman" w:cs="Times New Roman"/>
                <w:b/>
                <w:i/>
                <w:iCs/>
                <w:lang w:val="it-IT"/>
              </w:rPr>
            </w:pPr>
            <w:r w:rsidRPr="009E686F">
              <w:rPr>
                <w:rFonts w:ascii="Times New Roman" w:eastAsia="Aptos" w:hAnsi="Times New Roman" w:cs="Times New Roman"/>
                <w:i/>
                <w:iCs/>
                <w:kern w:val="2"/>
                <w:lang w:val="ro-MD"/>
              </w:rPr>
              <w:t>(5) Prevederile alin. (1)-(4) nu se aplică în cazul în care valoarea totală a activelor din U</w:t>
            </w:r>
            <w:r w:rsidR="007930F6" w:rsidRPr="009E686F">
              <w:rPr>
                <w:rFonts w:ascii="Times New Roman" w:eastAsia="Aptos" w:hAnsi="Times New Roman" w:cs="Times New Roman"/>
                <w:i/>
                <w:iCs/>
                <w:kern w:val="2"/>
                <w:lang w:val="ro-MD"/>
              </w:rPr>
              <w:t xml:space="preserve">niunea </w:t>
            </w:r>
            <w:r w:rsidRPr="009E686F">
              <w:rPr>
                <w:rFonts w:ascii="Times New Roman" w:eastAsia="Aptos" w:hAnsi="Times New Roman" w:cs="Times New Roman"/>
                <w:i/>
                <w:iCs/>
                <w:kern w:val="2"/>
                <w:lang w:val="ro-MD"/>
              </w:rPr>
              <w:t>E</w:t>
            </w:r>
            <w:r w:rsidR="007930F6" w:rsidRPr="009E686F">
              <w:rPr>
                <w:rFonts w:ascii="Times New Roman" w:eastAsia="Aptos" w:hAnsi="Times New Roman" w:cs="Times New Roman"/>
                <w:i/>
                <w:iCs/>
                <w:kern w:val="2"/>
                <w:lang w:val="ro-MD"/>
              </w:rPr>
              <w:t>uropeană</w:t>
            </w:r>
            <w:r w:rsidRPr="009E686F">
              <w:rPr>
                <w:rFonts w:ascii="Times New Roman" w:eastAsia="Aptos" w:hAnsi="Times New Roman" w:cs="Times New Roman"/>
                <w:i/>
                <w:iCs/>
                <w:kern w:val="2"/>
                <w:lang w:val="ro-MD"/>
              </w:rPr>
              <w:t xml:space="preserve"> ale grupului dintr-un stat terț este mai mică decât echivalentul </w:t>
            </w:r>
            <w:r w:rsidR="00E46644" w:rsidRPr="009E686F">
              <w:rPr>
                <w:rFonts w:ascii="Times New Roman" w:eastAsia="Aptos" w:hAnsi="Times New Roman" w:cs="Times New Roman"/>
                <w:i/>
                <w:iCs/>
                <w:kern w:val="2"/>
                <w:lang w:val="ro-MD"/>
              </w:rPr>
              <w:t xml:space="preserve">în lei moldovenești </w:t>
            </w:r>
            <w:r w:rsidRPr="009E686F">
              <w:rPr>
                <w:rFonts w:ascii="Times New Roman" w:eastAsia="Aptos" w:hAnsi="Times New Roman" w:cs="Times New Roman"/>
                <w:i/>
                <w:iCs/>
                <w:kern w:val="2"/>
                <w:lang w:val="ro-MD"/>
              </w:rPr>
              <w:t>a 40 miliarde Euro.</w:t>
            </w:r>
          </w:p>
        </w:tc>
        <w:tc>
          <w:tcPr>
            <w:tcW w:w="470" w:type="pct"/>
            <w:tcBorders>
              <w:top w:val="single" w:sz="4" w:space="0" w:color="auto"/>
              <w:left w:val="single" w:sz="4" w:space="0" w:color="auto"/>
              <w:bottom w:val="single" w:sz="4" w:space="0" w:color="auto"/>
              <w:right w:val="single" w:sz="4" w:space="0" w:color="auto"/>
            </w:tcBorders>
          </w:tcPr>
          <w:p w14:paraId="3F8FDB5E" w14:textId="4DE4B42E" w:rsidR="00837428" w:rsidRPr="009E686F" w:rsidRDefault="00837428" w:rsidP="00837428">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0CDF84AF" w14:textId="77777777" w:rsidR="00837428" w:rsidRPr="009E686F" w:rsidRDefault="00837428" w:rsidP="00837428">
            <w:pPr>
              <w:spacing w:after="0"/>
              <w:jc w:val="both"/>
              <w:rPr>
                <w:rFonts w:ascii="Times New Roman" w:hAnsi="Times New Roman" w:cs="Times New Roman"/>
              </w:rPr>
            </w:pPr>
          </w:p>
        </w:tc>
      </w:tr>
      <w:tr w:rsidR="00837428" w:rsidRPr="009E686F" w14:paraId="5E7E3964" w14:textId="77777777" w:rsidTr="00960C23">
        <w:tc>
          <w:tcPr>
            <w:tcW w:w="1890" w:type="pct"/>
            <w:tcBorders>
              <w:top w:val="single" w:sz="4" w:space="0" w:color="auto"/>
              <w:left w:val="single" w:sz="4" w:space="0" w:color="auto"/>
              <w:bottom w:val="single" w:sz="4" w:space="0" w:color="auto"/>
              <w:right w:val="single" w:sz="4" w:space="0" w:color="auto"/>
            </w:tcBorders>
          </w:tcPr>
          <w:p w14:paraId="73711B7F" w14:textId="2065FFD0" w:rsidR="00837428" w:rsidRPr="009E686F" w:rsidRDefault="00837428" w:rsidP="00837428">
            <w:pPr>
              <w:spacing w:after="0"/>
              <w:jc w:val="both"/>
              <w:rPr>
                <w:rFonts w:ascii="Times New Roman" w:hAnsi="Times New Roman" w:cs="Times New Roman"/>
                <w:lang w:val="it-CH"/>
              </w:rPr>
            </w:pPr>
            <w:r w:rsidRPr="009E686F">
              <w:rPr>
                <w:rFonts w:ascii="Times New Roman" w:hAnsi="Times New Roman" w:cs="Times New Roman"/>
                <w:lang w:val="it-CH"/>
              </w:rPr>
              <w:t>(5)   În sensul prezentului articol:</w:t>
            </w:r>
          </w:p>
          <w:p w14:paraId="00CC74CE" w14:textId="18489839" w:rsidR="00837428" w:rsidRPr="009E686F" w:rsidRDefault="00837428" w:rsidP="00837428">
            <w:pPr>
              <w:spacing w:after="0"/>
              <w:jc w:val="both"/>
              <w:rPr>
                <w:rFonts w:ascii="Times New Roman" w:hAnsi="Times New Roman" w:cs="Times New Roman"/>
                <w:lang w:val="it-CH"/>
              </w:rPr>
            </w:pPr>
            <w:r w:rsidRPr="009E686F">
              <w:rPr>
                <w:rFonts w:ascii="Times New Roman" w:hAnsi="Times New Roman" w:cs="Times New Roman"/>
                <w:lang w:val="it-CH"/>
              </w:rPr>
              <w:t>(a) valoarea totală a activelor din Uniune ale grupului din țara terță este suma următoarelor elemente:</w:t>
            </w:r>
          </w:p>
          <w:p w14:paraId="0F1494A1" w14:textId="6909B468" w:rsidR="00837428" w:rsidRPr="009E686F" w:rsidRDefault="00837428" w:rsidP="00837428">
            <w:pPr>
              <w:spacing w:after="0"/>
              <w:jc w:val="both"/>
              <w:rPr>
                <w:rFonts w:ascii="Times New Roman" w:hAnsi="Times New Roman" w:cs="Times New Roman"/>
                <w:lang w:val="it-CH"/>
              </w:rPr>
            </w:pPr>
            <w:r w:rsidRPr="009E686F">
              <w:rPr>
                <w:rFonts w:ascii="Times New Roman" w:hAnsi="Times New Roman" w:cs="Times New Roman"/>
                <w:lang w:val="it-CH"/>
              </w:rPr>
              <w:t>(i) valoarea totală a activelor fiecărei instituții din Uniune din cadrul grupului dintr-o țară terță, astfel cum rezultă din bilanțurile sale consolidate sau, în cazul în care bilanțul instituției nu este consolidat, din bilanțul său individual; și</w:t>
            </w:r>
          </w:p>
          <w:p w14:paraId="6264FB01" w14:textId="27F0D36F" w:rsidR="00837428" w:rsidRPr="009E686F" w:rsidRDefault="00837428" w:rsidP="00837428">
            <w:pPr>
              <w:spacing w:after="0"/>
              <w:jc w:val="both"/>
              <w:rPr>
                <w:rFonts w:ascii="Times New Roman" w:hAnsi="Times New Roman" w:cs="Times New Roman"/>
                <w:lang w:val="it-CH"/>
              </w:rPr>
            </w:pPr>
            <w:r w:rsidRPr="009E686F">
              <w:rPr>
                <w:rFonts w:ascii="Times New Roman" w:hAnsi="Times New Roman" w:cs="Times New Roman"/>
                <w:lang w:val="it-CH"/>
              </w:rPr>
              <w:t>(ii) valoarea totală a activelor fiecărei sucursale a grupului din țara terță, autorizată în Uniune în conformitate cu prezenta directivă, cu Regulamentul (UE) nr. 600/2014 al Parlamentului European și al Consiliului ( 4 ) sau cu Directiva 2014/65/UE;</w:t>
            </w:r>
          </w:p>
          <w:p w14:paraId="69BD10A6" w14:textId="77777777" w:rsidR="00837428" w:rsidRPr="009E686F" w:rsidRDefault="00837428" w:rsidP="00837428">
            <w:pPr>
              <w:spacing w:after="0"/>
              <w:jc w:val="both"/>
              <w:rPr>
                <w:rFonts w:ascii="Times New Roman" w:hAnsi="Times New Roman" w:cs="Times New Roman"/>
                <w:lang w:val="it-CH"/>
              </w:rPr>
            </w:pPr>
          </w:p>
          <w:p w14:paraId="28EFFE1A" w14:textId="0C28A8EE" w:rsidR="00837428" w:rsidRPr="009E686F" w:rsidRDefault="00837428" w:rsidP="00837428">
            <w:pPr>
              <w:spacing w:after="0"/>
              <w:jc w:val="both"/>
              <w:rPr>
                <w:rFonts w:ascii="Times New Roman" w:hAnsi="Times New Roman" w:cs="Times New Roman"/>
                <w:lang w:val="pt-BR"/>
              </w:rPr>
            </w:pPr>
            <w:r w:rsidRPr="009E686F">
              <w:rPr>
                <w:rFonts w:ascii="Times New Roman" w:hAnsi="Times New Roman" w:cs="Times New Roman"/>
                <w:lang w:val="pt-BR"/>
              </w:rPr>
              <w:t>(b) termenul „instituție” include, de asemenea, firmele de investiții.</w:t>
            </w:r>
          </w:p>
        </w:tc>
        <w:tc>
          <w:tcPr>
            <w:tcW w:w="1834" w:type="pct"/>
            <w:tcBorders>
              <w:top w:val="single" w:sz="4" w:space="0" w:color="auto"/>
              <w:left w:val="single" w:sz="4" w:space="0" w:color="auto"/>
              <w:bottom w:val="single" w:sz="4" w:space="0" w:color="auto"/>
              <w:right w:val="single" w:sz="4" w:space="0" w:color="auto"/>
            </w:tcBorders>
          </w:tcPr>
          <w:p w14:paraId="14E0873D" w14:textId="2E756794" w:rsidR="00837428" w:rsidRPr="009E686F" w:rsidRDefault="00837428" w:rsidP="00837428">
            <w:pPr>
              <w:spacing w:after="0" w:line="278" w:lineRule="auto"/>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 xml:space="preserve">(6) În sensul prezentului articol valoarea totală a activelor din </w:t>
            </w:r>
            <w:r w:rsidR="001F5485" w:rsidRPr="009E686F">
              <w:rPr>
                <w:rFonts w:ascii="Times New Roman" w:eastAsia="Aptos" w:hAnsi="Times New Roman" w:cs="Times New Roman"/>
                <w:i/>
                <w:iCs/>
                <w:kern w:val="2"/>
                <w:lang w:val="ro-MD"/>
              </w:rPr>
              <w:t xml:space="preserve">Uniunea Europeană </w:t>
            </w:r>
            <w:r w:rsidRPr="009E686F">
              <w:rPr>
                <w:rFonts w:ascii="Times New Roman" w:eastAsia="Aptos" w:hAnsi="Times New Roman" w:cs="Times New Roman"/>
                <w:i/>
                <w:iCs/>
                <w:kern w:val="2"/>
                <w:lang w:val="ro-MD"/>
              </w:rPr>
              <w:t xml:space="preserve"> ale grupului din statul terț este suma următoarelor elemente: </w:t>
            </w:r>
          </w:p>
          <w:p w14:paraId="04B0FCDD" w14:textId="691372E7" w:rsidR="00837428" w:rsidRPr="009E686F" w:rsidRDefault="00837428" w:rsidP="00837428">
            <w:pPr>
              <w:spacing w:after="0" w:line="278" w:lineRule="auto"/>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 xml:space="preserve">a) valoarea totală a activelor fiecărei instituții de credit din </w:t>
            </w:r>
            <w:r w:rsidR="001F5485" w:rsidRPr="009E686F">
              <w:rPr>
                <w:rFonts w:ascii="Times New Roman" w:eastAsia="Aptos" w:hAnsi="Times New Roman" w:cs="Times New Roman"/>
                <w:i/>
                <w:iCs/>
                <w:kern w:val="2"/>
                <w:lang w:val="ro-MD"/>
              </w:rPr>
              <w:t xml:space="preserve">Uniunea Europeană </w:t>
            </w:r>
            <w:r w:rsidRPr="009E686F">
              <w:rPr>
                <w:rFonts w:ascii="Times New Roman" w:eastAsia="Aptos" w:hAnsi="Times New Roman" w:cs="Times New Roman"/>
                <w:i/>
                <w:iCs/>
                <w:kern w:val="2"/>
                <w:lang w:val="ro-MD"/>
              </w:rPr>
              <w:t xml:space="preserve"> din cadrul grupului dintr-un stat terţ, astfel cum rezultă din bilanţurile sale consolidate sau, în cazul în care bilanţul instituției de credit nu este consolidat, din bilanţul său individual; și </w:t>
            </w:r>
          </w:p>
          <w:p w14:paraId="3C29107E" w14:textId="73749F22" w:rsidR="00837428" w:rsidRPr="009E686F" w:rsidRDefault="00837428" w:rsidP="00837428">
            <w:pPr>
              <w:spacing w:after="0"/>
              <w:jc w:val="both"/>
              <w:rPr>
                <w:rFonts w:ascii="Times New Roman" w:hAnsi="Times New Roman" w:cs="Times New Roman"/>
                <w:b/>
                <w:i/>
                <w:iCs/>
                <w:lang w:val="ro-MD"/>
              </w:rPr>
            </w:pPr>
            <w:r w:rsidRPr="009E686F">
              <w:rPr>
                <w:rFonts w:ascii="Times New Roman" w:hAnsi="Times New Roman" w:cs="Times New Roman"/>
                <w:i/>
                <w:iCs/>
                <w:lang w:val="ro-MD"/>
              </w:rPr>
              <w:t xml:space="preserve">b) valoarea totală a activelor fiecărei sucursale a grupului din statul terţ, autorizată în UE în conformitate cu prezenta lege sau cu Legea </w:t>
            </w:r>
            <w:r w:rsidR="00B04134" w:rsidRPr="009E686F">
              <w:rPr>
                <w:rFonts w:ascii="Times New Roman" w:hAnsi="Times New Roman" w:cs="Times New Roman"/>
                <w:i/>
                <w:iCs/>
                <w:lang w:val="ro-MD"/>
              </w:rPr>
              <w:t xml:space="preserve">nr. 181/2026 </w:t>
            </w:r>
            <w:r w:rsidRPr="009E686F">
              <w:rPr>
                <w:rFonts w:ascii="Times New Roman" w:hAnsi="Times New Roman" w:cs="Times New Roman"/>
                <w:i/>
                <w:iCs/>
                <w:lang w:val="ro-MD"/>
              </w:rPr>
              <w:t>sau cu legislația care transpune Directiva 2013/36/UE sau Directiva 2014/65/UE în alte state membre sau cu Regulamentul (UE) nr. 600/2014 al Parlamentului European și al Consiliului.</w:t>
            </w:r>
          </w:p>
        </w:tc>
        <w:tc>
          <w:tcPr>
            <w:tcW w:w="470" w:type="pct"/>
            <w:tcBorders>
              <w:top w:val="single" w:sz="4" w:space="0" w:color="auto"/>
              <w:left w:val="single" w:sz="4" w:space="0" w:color="auto"/>
              <w:bottom w:val="single" w:sz="4" w:space="0" w:color="auto"/>
              <w:right w:val="single" w:sz="4" w:space="0" w:color="auto"/>
            </w:tcBorders>
          </w:tcPr>
          <w:p w14:paraId="0E6A8805" w14:textId="2D7DA381" w:rsidR="00837428" w:rsidRPr="009E686F" w:rsidRDefault="00837428" w:rsidP="00837428">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27F0DDEB" w14:textId="77777777" w:rsidR="00837428" w:rsidRPr="009E686F" w:rsidRDefault="00837428" w:rsidP="00837428">
            <w:pPr>
              <w:spacing w:after="0"/>
              <w:jc w:val="both"/>
              <w:rPr>
                <w:rFonts w:ascii="Times New Roman" w:hAnsi="Times New Roman" w:cs="Times New Roman"/>
              </w:rPr>
            </w:pPr>
          </w:p>
        </w:tc>
      </w:tr>
      <w:tr w:rsidR="00837428" w:rsidRPr="009E686F" w14:paraId="3A52FCEC" w14:textId="77777777" w:rsidTr="00960C23">
        <w:tc>
          <w:tcPr>
            <w:tcW w:w="1890" w:type="pct"/>
            <w:tcBorders>
              <w:top w:val="single" w:sz="4" w:space="0" w:color="auto"/>
              <w:left w:val="single" w:sz="4" w:space="0" w:color="auto"/>
              <w:bottom w:val="single" w:sz="4" w:space="0" w:color="auto"/>
              <w:right w:val="single" w:sz="4" w:space="0" w:color="auto"/>
            </w:tcBorders>
          </w:tcPr>
          <w:p w14:paraId="5016474B" w14:textId="69A3DA45" w:rsidR="00837428" w:rsidRPr="009E686F" w:rsidRDefault="00837428" w:rsidP="00837428">
            <w:pPr>
              <w:spacing w:after="0"/>
              <w:jc w:val="both"/>
              <w:rPr>
                <w:rFonts w:ascii="Times New Roman" w:hAnsi="Times New Roman" w:cs="Times New Roman"/>
              </w:rPr>
            </w:pPr>
            <w:r w:rsidRPr="009E686F">
              <w:rPr>
                <w:rFonts w:ascii="Times New Roman" w:hAnsi="Times New Roman" w:cs="Times New Roman"/>
              </w:rPr>
              <w:lastRenderedPageBreak/>
              <w:t>(6) Autoritățile competente notifică ABE următoarele informații cu privire la fiecare grup dintr-o țară terță care își desfășoară activitatea în jurisdicția lor:</w:t>
            </w:r>
          </w:p>
          <w:p w14:paraId="54A74634" w14:textId="35C2B98F" w:rsidR="00837428" w:rsidRPr="009E686F" w:rsidRDefault="00837428" w:rsidP="00837428">
            <w:pPr>
              <w:spacing w:after="0"/>
              <w:jc w:val="both"/>
              <w:rPr>
                <w:rFonts w:ascii="Times New Roman" w:hAnsi="Times New Roman" w:cs="Times New Roman"/>
              </w:rPr>
            </w:pPr>
            <w:r w:rsidRPr="009E686F">
              <w:rPr>
                <w:rFonts w:ascii="Times New Roman" w:hAnsi="Times New Roman" w:cs="Times New Roman"/>
              </w:rPr>
              <w:t>(a) numele și valoarea totală a activelor ale instituțiilor supravegheate care aparțin unui grup dintr-o țară terță;</w:t>
            </w:r>
          </w:p>
          <w:p w14:paraId="34D03868" w14:textId="74DD07A4" w:rsidR="00837428" w:rsidRPr="009E686F" w:rsidRDefault="00837428" w:rsidP="00837428">
            <w:pPr>
              <w:spacing w:after="0"/>
              <w:jc w:val="both"/>
              <w:rPr>
                <w:rFonts w:ascii="Times New Roman" w:hAnsi="Times New Roman" w:cs="Times New Roman"/>
              </w:rPr>
            </w:pPr>
            <w:r w:rsidRPr="009E686F">
              <w:rPr>
                <w:rFonts w:ascii="Times New Roman" w:hAnsi="Times New Roman" w:cs="Times New Roman"/>
              </w:rPr>
              <w:t>(b) numele și valoarea totală a activelor corespunzătoare sucursalelor autorizate în statul membru respectiv în conformitate cu prezenta directivă, cu Directiva 2014/65/UE sau cu Regulamentul (UE) nr. 600/2014 și tipurile de activități pe care sunt autorizate să le desfășoare;</w:t>
            </w:r>
          </w:p>
          <w:p w14:paraId="5E062EFD" w14:textId="6E3C09A2" w:rsidR="00837428" w:rsidRPr="009E686F" w:rsidRDefault="00837428" w:rsidP="00837428">
            <w:pPr>
              <w:spacing w:after="0"/>
              <w:jc w:val="both"/>
              <w:rPr>
                <w:rFonts w:ascii="Times New Roman" w:hAnsi="Times New Roman" w:cs="Times New Roman"/>
              </w:rPr>
            </w:pPr>
            <w:r w:rsidRPr="009E686F">
              <w:rPr>
                <w:rFonts w:ascii="Times New Roman" w:hAnsi="Times New Roman" w:cs="Times New Roman"/>
              </w:rPr>
              <w:t>(c) numele și forma, astfel cum este menționată la alineatul (3), ale oricărei întreprinderi-mamă din UE intermediare înființate în statul membru respectiv și numele grupului dintr-o țară terță din care face parte.</w:t>
            </w:r>
          </w:p>
        </w:tc>
        <w:tc>
          <w:tcPr>
            <w:tcW w:w="1834" w:type="pct"/>
            <w:tcBorders>
              <w:top w:val="single" w:sz="4" w:space="0" w:color="auto"/>
              <w:left w:val="single" w:sz="4" w:space="0" w:color="auto"/>
              <w:bottom w:val="single" w:sz="4" w:space="0" w:color="auto"/>
              <w:right w:val="single" w:sz="4" w:space="0" w:color="auto"/>
            </w:tcBorders>
          </w:tcPr>
          <w:p w14:paraId="2A533283" w14:textId="77777777" w:rsidR="00837428" w:rsidRPr="009E686F" w:rsidRDefault="00837428" w:rsidP="00837428">
            <w:pPr>
              <w:spacing w:after="0" w:line="278" w:lineRule="auto"/>
              <w:jc w:val="both"/>
              <w:rPr>
                <w:rFonts w:ascii="Times New Roman" w:eastAsia="Aptos" w:hAnsi="Times New Roman" w:cs="Times New Roman"/>
                <w:i/>
                <w:iCs/>
                <w:kern w:val="2"/>
                <w:lang w:val="ro-MD"/>
              </w:rPr>
            </w:pPr>
            <w:r w:rsidRPr="009E686F">
              <w:rPr>
                <w:rFonts w:ascii="Times New Roman" w:eastAsia="Aptos" w:hAnsi="Times New Roman" w:cs="Times New Roman"/>
                <w:kern w:val="2"/>
                <w:lang w:val="ro-MD"/>
              </w:rPr>
              <w:t>(</w:t>
            </w:r>
            <w:r w:rsidRPr="009E686F">
              <w:rPr>
                <w:rFonts w:ascii="Times New Roman" w:eastAsia="Aptos" w:hAnsi="Times New Roman" w:cs="Times New Roman"/>
                <w:i/>
                <w:iCs/>
                <w:kern w:val="2"/>
                <w:lang w:val="ro-MD"/>
              </w:rPr>
              <w:t>7) Banca Națională a Moldovei transmite Autorității Bancare Europeane următoarele informaţii cu privire la fiecare grup dintr-un stat terţ care își desfășoară activitatea în Republica Moldova:</w:t>
            </w:r>
          </w:p>
          <w:p w14:paraId="54C58FB3" w14:textId="5C09D170" w:rsidR="00837428" w:rsidRPr="009E686F" w:rsidRDefault="00837428" w:rsidP="00837428">
            <w:pPr>
              <w:spacing w:after="0" w:line="278" w:lineRule="auto"/>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a) denumirea și valoarea totală a activelor instituțiilor de credit supravegheate de Banca Națională a Moldovei care aparţin unui grup dintr-un stat terţ;</w:t>
            </w:r>
          </w:p>
          <w:p w14:paraId="3A26A423" w14:textId="4E79EE20" w:rsidR="00837428" w:rsidRPr="009E686F" w:rsidRDefault="00837428" w:rsidP="00837428">
            <w:pPr>
              <w:spacing w:after="0" w:line="278" w:lineRule="auto"/>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b) denumirea și valoarea totală a activelor</w:t>
            </w:r>
            <w:r w:rsidRPr="009E686F">
              <w:rPr>
                <w:rFonts w:ascii="Times New Roman" w:eastAsia="Aptos" w:hAnsi="Times New Roman" w:cs="Times New Roman"/>
                <w:kern w:val="2"/>
                <w:lang w:val="ro-MD"/>
              </w:rPr>
              <w:t xml:space="preserve"> </w:t>
            </w:r>
            <w:r w:rsidRPr="009E686F">
              <w:rPr>
                <w:rFonts w:ascii="Times New Roman" w:eastAsia="Aptos" w:hAnsi="Times New Roman" w:cs="Times New Roman"/>
                <w:i/>
                <w:iCs/>
                <w:kern w:val="2"/>
                <w:lang w:val="ro-MD"/>
              </w:rPr>
              <w:t xml:space="preserve">corespunzătoare sucursalelor autorizate în Republica Moldova în conformitate cu prezenta lege, cu legislația care transpune Directiva 2014/65/UE sau Regulamentul (UE) nr. 600/2014 și tipurile de activităţi pe care sunt autorizate să le desfășoare; </w:t>
            </w:r>
          </w:p>
          <w:p w14:paraId="3B59810B" w14:textId="7773B1F2" w:rsidR="00837428" w:rsidRPr="009E686F" w:rsidRDefault="00837428" w:rsidP="00837428">
            <w:pPr>
              <w:spacing w:after="0"/>
              <w:jc w:val="both"/>
              <w:rPr>
                <w:rFonts w:ascii="Times New Roman" w:hAnsi="Times New Roman" w:cs="Times New Roman"/>
                <w:b/>
                <w:lang w:val="ro-MD"/>
              </w:rPr>
            </w:pPr>
            <w:r w:rsidRPr="009E686F">
              <w:rPr>
                <w:rFonts w:ascii="Times New Roman" w:eastAsia="Aptos" w:hAnsi="Times New Roman" w:cs="Times New Roman"/>
                <w:i/>
                <w:iCs/>
                <w:kern w:val="2"/>
                <w:lang w:val="ro-MD"/>
              </w:rPr>
              <w:t>c) denumirea și forma, astfel cum este menţionată la alineatul (3), ale oricărei întreprinderi-mamă din UE intermediare înfiinţate în Republica Moldova și denumirea grupului dintr-un stat terţ din care aceasta face parte.</w:t>
            </w:r>
          </w:p>
        </w:tc>
        <w:tc>
          <w:tcPr>
            <w:tcW w:w="470" w:type="pct"/>
            <w:tcBorders>
              <w:top w:val="single" w:sz="4" w:space="0" w:color="auto"/>
              <w:left w:val="single" w:sz="4" w:space="0" w:color="auto"/>
              <w:bottom w:val="single" w:sz="4" w:space="0" w:color="auto"/>
              <w:right w:val="single" w:sz="4" w:space="0" w:color="auto"/>
            </w:tcBorders>
          </w:tcPr>
          <w:p w14:paraId="73B84B00" w14:textId="5CD718F5" w:rsidR="00837428" w:rsidRPr="009E686F" w:rsidRDefault="00837428" w:rsidP="00837428">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00222E33" w14:textId="77777777" w:rsidR="00837428" w:rsidRPr="009E686F" w:rsidRDefault="00837428" w:rsidP="00837428">
            <w:pPr>
              <w:spacing w:after="0"/>
              <w:jc w:val="both"/>
              <w:rPr>
                <w:rFonts w:ascii="Times New Roman" w:hAnsi="Times New Roman" w:cs="Times New Roman"/>
              </w:rPr>
            </w:pPr>
          </w:p>
        </w:tc>
      </w:tr>
      <w:tr w:rsidR="00837428" w:rsidRPr="009E686F" w14:paraId="3E5CC46C" w14:textId="77777777" w:rsidTr="00960C23">
        <w:tc>
          <w:tcPr>
            <w:tcW w:w="1890" w:type="pct"/>
            <w:tcBorders>
              <w:top w:val="single" w:sz="4" w:space="0" w:color="auto"/>
              <w:left w:val="single" w:sz="4" w:space="0" w:color="auto"/>
              <w:bottom w:val="single" w:sz="4" w:space="0" w:color="auto"/>
              <w:right w:val="single" w:sz="4" w:space="0" w:color="auto"/>
            </w:tcBorders>
          </w:tcPr>
          <w:p w14:paraId="4620AD70" w14:textId="5D5C8397" w:rsidR="00837428" w:rsidRPr="009E686F" w:rsidRDefault="00837428" w:rsidP="00837428">
            <w:pPr>
              <w:spacing w:after="0"/>
              <w:jc w:val="both"/>
              <w:rPr>
                <w:rFonts w:ascii="Times New Roman" w:hAnsi="Times New Roman" w:cs="Times New Roman"/>
                <w:lang w:val="it-CH"/>
              </w:rPr>
            </w:pPr>
            <w:r w:rsidRPr="009E686F">
              <w:rPr>
                <w:rFonts w:ascii="Times New Roman" w:hAnsi="Times New Roman" w:cs="Times New Roman"/>
                <w:lang w:val="it-CH"/>
              </w:rPr>
              <w:t>(6a) ABE elaborează proiecte de standarde tehnice de punere în aplicare pentru a specifica formatele uniforme și definițiile și dezvoltă soluțiile informatice care trebuie aplicate în Uniune, în scopul raportării informațiilor menționate la alineatul (6).</w:t>
            </w:r>
          </w:p>
          <w:p w14:paraId="6EAA7861" w14:textId="77777777" w:rsidR="00837428" w:rsidRPr="009E686F" w:rsidRDefault="00837428" w:rsidP="00837428">
            <w:pPr>
              <w:spacing w:after="0"/>
              <w:jc w:val="both"/>
              <w:rPr>
                <w:rFonts w:ascii="Times New Roman" w:hAnsi="Times New Roman" w:cs="Times New Roman"/>
                <w:lang w:val="it-CH"/>
              </w:rPr>
            </w:pPr>
            <w:r w:rsidRPr="009E686F">
              <w:rPr>
                <w:rFonts w:ascii="Times New Roman" w:hAnsi="Times New Roman" w:cs="Times New Roman"/>
                <w:lang w:val="it-CH"/>
              </w:rPr>
              <w:t>ABE înaintează Comisiei aceste proiecte de standarde tehnice de punere în aplicare până la 10 ianuarie 2026.</w:t>
            </w:r>
          </w:p>
          <w:p w14:paraId="6E0487CB" w14:textId="1EC2CD77" w:rsidR="00837428" w:rsidRPr="009E686F" w:rsidRDefault="00837428" w:rsidP="00837428">
            <w:pPr>
              <w:spacing w:after="0"/>
              <w:jc w:val="both"/>
              <w:rPr>
                <w:rFonts w:ascii="Times New Roman" w:hAnsi="Times New Roman" w:cs="Times New Roman"/>
                <w:lang w:val="it-CH"/>
              </w:rPr>
            </w:pPr>
            <w:r w:rsidRPr="009E686F">
              <w:rPr>
                <w:rFonts w:ascii="Times New Roman" w:hAnsi="Times New Roman" w:cs="Times New Roman"/>
                <w:lang w:val="it-CH"/>
              </w:rPr>
              <w:t>Se conferă Comisiei competența de a adopta standardele tehnice de punere în aplicare menționate la al doilea paragraph de la prezentul alineat, în conformitate cu articolul 15 din Regulamentul (UE) nr. 1093/2010.</w:t>
            </w:r>
          </w:p>
        </w:tc>
        <w:tc>
          <w:tcPr>
            <w:tcW w:w="1834" w:type="pct"/>
            <w:tcBorders>
              <w:top w:val="single" w:sz="4" w:space="0" w:color="auto"/>
              <w:left w:val="single" w:sz="4" w:space="0" w:color="auto"/>
              <w:bottom w:val="single" w:sz="4" w:space="0" w:color="auto"/>
              <w:right w:val="single" w:sz="4" w:space="0" w:color="auto"/>
            </w:tcBorders>
          </w:tcPr>
          <w:p w14:paraId="5B26BBA6" w14:textId="77777777" w:rsidR="00837428" w:rsidRPr="009E686F" w:rsidRDefault="00837428" w:rsidP="00837428">
            <w:pPr>
              <w:spacing w:after="0"/>
              <w:jc w:val="both"/>
              <w:rPr>
                <w:rFonts w:ascii="Times New Roman" w:hAnsi="Times New Roman" w:cs="Times New Roman"/>
                <w:b/>
                <w:lang w:val="it-CH"/>
              </w:rPr>
            </w:pPr>
          </w:p>
        </w:tc>
        <w:tc>
          <w:tcPr>
            <w:tcW w:w="470" w:type="pct"/>
            <w:tcBorders>
              <w:top w:val="single" w:sz="4" w:space="0" w:color="auto"/>
              <w:left w:val="single" w:sz="4" w:space="0" w:color="auto"/>
              <w:bottom w:val="single" w:sz="4" w:space="0" w:color="auto"/>
              <w:right w:val="single" w:sz="4" w:space="0" w:color="auto"/>
            </w:tcBorders>
          </w:tcPr>
          <w:p w14:paraId="77F9ACF6" w14:textId="6F23DC72" w:rsidR="00837428" w:rsidRPr="009E686F" w:rsidRDefault="00837428" w:rsidP="00837428">
            <w:pPr>
              <w:jc w:val="both"/>
              <w:rPr>
                <w:rFonts w:ascii="Times New Roman" w:hAnsi="Times New Roman" w:cs="Times New Roman"/>
                <w:lang w:val="it-CH"/>
              </w:rPr>
            </w:pPr>
            <w:r w:rsidRPr="009E686F">
              <w:rPr>
                <w:rFonts w:ascii="Times New Roman" w:hAnsi="Times New Roman" w:cs="Times New Roman"/>
                <w:lang w:val="it-CH"/>
              </w:rPr>
              <w:t>Norme UE neaplicabile</w:t>
            </w:r>
          </w:p>
        </w:tc>
        <w:tc>
          <w:tcPr>
            <w:tcW w:w="806" w:type="pct"/>
            <w:tcBorders>
              <w:top w:val="single" w:sz="4" w:space="0" w:color="auto"/>
              <w:left w:val="single" w:sz="4" w:space="0" w:color="auto"/>
              <w:bottom w:val="single" w:sz="4" w:space="0" w:color="auto"/>
              <w:right w:val="single" w:sz="4" w:space="0" w:color="auto"/>
            </w:tcBorders>
          </w:tcPr>
          <w:p w14:paraId="406D5B85" w14:textId="4FBF27D2" w:rsidR="00837428" w:rsidRPr="009E686F" w:rsidRDefault="00837428" w:rsidP="00837428">
            <w:pPr>
              <w:spacing w:after="0"/>
              <w:jc w:val="both"/>
              <w:rPr>
                <w:rFonts w:ascii="Times New Roman" w:hAnsi="Times New Roman" w:cs="Times New Roman"/>
                <w:lang w:val="it-CH"/>
              </w:rPr>
            </w:pPr>
            <w:r w:rsidRPr="009E686F">
              <w:rPr>
                <w:rFonts w:ascii="Times New Roman" w:hAnsi="Times New Roman" w:cs="Times New Roman"/>
                <w:lang w:val="it-CH"/>
              </w:rPr>
              <w:t>Se referă la competențele ABE.</w:t>
            </w:r>
          </w:p>
        </w:tc>
      </w:tr>
      <w:tr w:rsidR="00837428" w:rsidRPr="009E686F" w14:paraId="3A729385" w14:textId="77777777" w:rsidTr="00960C23">
        <w:tc>
          <w:tcPr>
            <w:tcW w:w="1890" w:type="pct"/>
            <w:tcBorders>
              <w:top w:val="single" w:sz="4" w:space="0" w:color="auto"/>
              <w:left w:val="single" w:sz="4" w:space="0" w:color="auto"/>
              <w:bottom w:val="single" w:sz="4" w:space="0" w:color="auto"/>
              <w:right w:val="single" w:sz="4" w:space="0" w:color="auto"/>
            </w:tcBorders>
          </w:tcPr>
          <w:p w14:paraId="69A488E5" w14:textId="28DDBF10" w:rsidR="00837428" w:rsidRPr="009E686F" w:rsidRDefault="00837428" w:rsidP="00837428">
            <w:pPr>
              <w:spacing w:after="0"/>
              <w:jc w:val="both"/>
              <w:rPr>
                <w:rFonts w:ascii="Times New Roman" w:hAnsi="Times New Roman" w:cs="Times New Roman"/>
                <w:lang w:val="it-CH"/>
              </w:rPr>
            </w:pPr>
            <w:r w:rsidRPr="009E686F">
              <w:rPr>
                <w:rFonts w:ascii="Times New Roman" w:hAnsi="Times New Roman" w:cs="Times New Roman"/>
                <w:lang w:val="it-CH"/>
              </w:rPr>
              <w:t>(7)   ABE publică pe site-ul său o listă a tuturor grupurilor din țări terțe care își desfășoară activitatea în Uniune, incluzând și întreprinderea sau întreprinderile-mamă din UE intermediare ale acestora, după caz.</w:t>
            </w:r>
          </w:p>
          <w:p w14:paraId="6824B6D8" w14:textId="77777777" w:rsidR="00837428" w:rsidRPr="009E686F" w:rsidRDefault="00837428" w:rsidP="00837428">
            <w:pPr>
              <w:spacing w:after="0"/>
              <w:jc w:val="both"/>
              <w:rPr>
                <w:rFonts w:ascii="Times New Roman" w:hAnsi="Times New Roman" w:cs="Times New Roman"/>
                <w:lang w:val="it-CH"/>
              </w:rPr>
            </w:pPr>
            <w:r w:rsidRPr="009E686F">
              <w:rPr>
                <w:rFonts w:ascii="Times New Roman" w:hAnsi="Times New Roman" w:cs="Times New Roman"/>
                <w:lang w:val="it-CH"/>
              </w:rPr>
              <w:lastRenderedPageBreak/>
              <w:t>Autoritățile competente se asigură că fiecare instituție aflată sub jurisdicția lor care face parte dintr-un grup dintr-o țară terță îndeplinește una dintre următoarele condiții:</w:t>
            </w:r>
          </w:p>
          <w:p w14:paraId="5D8A9DE4" w14:textId="1566392C" w:rsidR="00837428" w:rsidRPr="009E686F" w:rsidRDefault="00837428" w:rsidP="00837428">
            <w:pPr>
              <w:spacing w:after="0"/>
              <w:jc w:val="both"/>
              <w:rPr>
                <w:rFonts w:ascii="Times New Roman" w:hAnsi="Times New Roman" w:cs="Times New Roman"/>
                <w:lang w:val="pt-BR"/>
              </w:rPr>
            </w:pPr>
            <w:r w:rsidRPr="009E686F">
              <w:rPr>
                <w:rFonts w:ascii="Times New Roman" w:hAnsi="Times New Roman" w:cs="Times New Roman"/>
                <w:lang w:val="pt-BR"/>
              </w:rPr>
              <w:t>(a) are o întreprindere-mamă din UE intermediară;</w:t>
            </w:r>
          </w:p>
          <w:p w14:paraId="62AAB29B" w14:textId="3A3274A1" w:rsidR="00837428" w:rsidRPr="009E686F" w:rsidRDefault="00837428" w:rsidP="00837428">
            <w:pPr>
              <w:spacing w:after="0"/>
              <w:jc w:val="both"/>
              <w:rPr>
                <w:rFonts w:ascii="Times New Roman" w:hAnsi="Times New Roman" w:cs="Times New Roman"/>
                <w:lang w:val="pt-BR"/>
              </w:rPr>
            </w:pPr>
            <w:r w:rsidRPr="009E686F">
              <w:rPr>
                <w:rFonts w:ascii="Times New Roman" w:hAnsi="Times New Roman" w:cs="Times New Roman"/>
                <w:lang w:val="pt-BR"/>
              </w:rPr>
              <w:t>(b) este o întreprindere-mamă din UE intermediară;</w:t>
            </w:r>
          </w:p>
          <w:p w14:paraId="22C2ADDC" w14:textId="486076E7" w:rsidR="00837428" w:rsidRPr="009E686F" w:rsidRDefault="00837428" w:rsidP="00837428">
            <w:pPr>
              <w:spacing w:after="0"/>
              <w:jc w:val="both"/>
              <w:rPr>
                <w:rFonts w:ascii="Times New Roman" w:hAnsi="Times New Roman" w:cs="Times New Roman"/>
                <w:lang w:val="pt-BR"/>
              </w:rPr>
            </w:pPr>
            <w:r w:rsidRPr="009E686F">
              <w:rPr>
                <w:rFonts w:ascii="Times New Roman" w:hAnsi="Times New Roman" w:cs="Times New Roman"/>
                <w:lang w:val="pt-BR"/>
              </w:rPr>
              <w:t>(c) este singura instituție în Uniune din grupul dintr-o țară terță; sau</w:t>
            </w:r>
          </w:p>
          <w:p w14:paraId="41560D63" w14:textId="0023B4DC" w:rsidR="00837428" w:rsidRPr="009E686F" w:rsidRDefault="00837428" w:rsidP="00837428">
            <w:pPr>
              <w:spacing w:after="0"/>
              <w:jc w:val="both"/>
              <w:rPr>
                <w:rFonts w:ascii="Times New Roman" w:hAnsi="Times New Roman" w:cs="Times New Roman"/>
                <w:lang w:val="pt-BR"/>
              </w:rPr>
            </w:pPr>
            <w:r w:rsidRPr="009E686F">
              <w:rPr>
                <w:rFonts w:ascii="Times New Roman" w:hAnsi="Times New Roman" w:cs="Times New Roman"/>
                <w:lang w:val="pt-BR"/>
              </w:rPr>
              <w:t>(d) face parte dintr-un grup dintr-o țară terță a cărui valoare totală a activelor în Uniune este mai mică de 40 de miliarde EUR.</w:t>
            </w:r>
          </w:p>
        </w:tc>
        <w:tc>
          <w:tcPr>
            <w:tcW w:w="1834" w:type="pct"/>
            <w:tcBorders>
              <w:top w:val="single" w:sz="4" w:space="0" w:color="auto"/>
              <w:left w:val="single" w:sz="4" w:space="0" w:color="auto"/>
              <w:bottom w:val="single" w:sz="4" w:space="0" w:color="auto"/>
              <w:right w:val="single" w:sz="4" w:space="0" w:color="auto"/>
            </w:tcBorders>
          </w:tcPr>
          <w:p w14:paraId="1B050545" w14:textId="5E8B25E7" w:rsidR="00837428" w:rsidRPr="009E686F" w:rsidRDefault="00837428" w:rsidP="00837428">
            <w:pPr>
              <w:spacing w:after="0" w:line="278" w:lineRule="auto"/>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lastRenderedPageBreak/>
              <w:t>(8) Fiecare instituție de credit-persoană juridică din Republica Moldova care face parte dintr-un grup dintr-un stat terț îndeplinește una din următoarele condiții:</w:t>
            </w:r>
          </w:p>
          <w:p w14:paraId="2AA7DFE4" w14:textId="77777777" w:rsidR="00837428" w:rsidRPr="009E686F" w:rsidRDefault="00837428" w:rsidP="00837428">
            <w:pPr>
              <w:spacing w:after="0" w:line="276" w:lineRule="auto"/>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a) are o întreprindere-mamă din UE intermediară;</w:t>
            </w:r>
          </w:p>
          <w:p w14:paraId="0544EDAC" w14:textId="77777777" w:rsidR="00837428" w:rsidRPr="009E686F" w:rsidRDefault="00837428" w:rsidP="00837428">
            <w:pPr>
              <w:spacing w:after="0" w:line="276" w:lineRule="auto"/>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lastRenderedPageBreak/>
              <w:t>b) este o întreprindere-mamă din UE intermediară;</w:t>
            </w:r>
          </w:p>
          <w:p w14:paraId="405E89AB" w14:textId="134EBB0E" w:rsidR="00837428" w:rsidRPr="009E686F" w:rsidRDefault="00837428" w:rsidP="00837428">
            <w:pPr>
              <w:spacing w:after="0" w:line="276" w:lineRule="auto"/>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c) este singura instituție de credit în UE din grupul dintr-un stat terț; sau</w:t>
            </w:r>
          </w:p>
          <w:p w14:paraId="1577AE5E" w14:textId="36B12A27" w:rsidR="00837428" w:rsidRPr="009E686F" w:rsidRDefault="00837428" w:rsidP="00837428">
            <w:pPr>
              <w:spacing w:after="0"/>
              <w:jc w:val="both"/>
              <w:rPr>
                <w:rFonts w:ascii="Times New Roman" w:hAnsi="Times New Roman" w:cs="Times New Roman"/>
                <w:b/>
                <w:lang w:val="ro-MD"/>
              </w:rPr>
            </w:pPr>
            <w:r w:rsidRPr="009E686F">
              <w:rPr>
                <w:rFonts w:ascii="Times New Roman" w:eastAsia="Aptos" w:hAnsi="Times New Roman" w:cs="Times New Roman"/>
                <w:i/>
                <w:iCs/>
                <w:kern w:val="2"/>
                <w:lang w:val="ro-MD"/>
              </w:rPr>
              <w:t xml:space="preserve">d) face parte dintr-un grup dintr-un stat terț a cărui valoare totală a activelor în UE este mai mică de </w:t>
            </w:r>
            <w:r w:rsidR="00E46644" w:rsidRPr="009E686F">
              <w:rPr>
                <w:rFonts w:ascii="Times New Roman" w:eastAsia="Aptos" w:hAnsi="Times New Roman" w:cs="Times New Roman"/>
                <w:i/>
                <w:iCs/>
                <w:kern w:val="2"/>
                <w:lang w:val="ro-MD"/>
              </w:rPr>
              <w:t xml:space="preserve">echivalentul în lei moldovenești </w:t>
            </w:r>
            <w:r w:rsidRPr="009E686F">
              <w:rPr>
                <w:rFonts w:ascii="Times New Roman" w:eastAsia="Aptos" w:hAnsi="Times New Roman" w:cs="Times New Roman"/>
                <w:i/>
                <w:iCs/>
                <w:kern w:val="2"/>
                <w:lang w:val="ro-MD"/>
              </w:rPr>
              <w:t xml:space="preserve">40 de miliarde </w:t>
            </w:r>
            <w:r w:rsidR="00E46644" w:rsidRPr="009E686F">
              <w:rPr>
                <w:rFonts w:ascii="Times New Roman" w:eastAsia="Aptos" w:hAnsi="Times New Roman" w:cs="Times New Roman"/>
                <w:i/>
                <w:iCs/>
                <w:kern w:val="2"/>
                <w:lang w:val="ro-MD"/>
              </w:rPr>
              <w:t>euro</w:t>
            </w:r>
            <w:r w:rsidRPr="009E686F">
              <w:rPr>
                <w:rFonts w:ascii="Times New Roman" w:eastAsia="Aptos" w:hAnsi="Times New Roman" w:cs="Times New Roman"/>
                <w:i/>
                <w:iCs/>
                <w:kern w:val="2"/>
                <w:lang w:val="ro-MD"/>
              </w:rPr>
              <w:t>.</w:t>
            </w:r>
          </w:p>
        </w:tc>
        <w:tc>
          <w:tcPr>
            <w:tcW w:w="470" w:type="pct"/>
            <w:tcBorders>
              <w:top w:val="single" w:sz="4" w:space="0" w:color="auto"/>
              <w:left w:val="single" w:sz="4" w:space="0" w:color="auto"/>
              <w:bottom w:val="single" w:sz="4" w:space="0" w:color="auto"/>
              <w:right w:val="single" w:sz="4" w:space="0" w:color="auto"/>
            </w:tcBorders>
          </w:tcPr>
          <w:p w14:paraId="37361859" w14:textId="77777777" w:rsidR="00837428" w:rsidRPr="009E686F" w:rsidRDefault="00837428" w:rsidP="00837428">
            <w:pPr>
              <w:jc w:val="both"/>
              <w:rPr>
                <w:rFonts w:ascii="Times New Roman" w:hAnsi="Times New Roman" w:cs="Times New Roman"/>
              </w:rPr>
            </w:pPr>
            <w:r w:rsidRPr="009E686F">
              <w:rPr>
                <w:rFonts w:ascii="Times New Roman" w:hAnsi="Times New Roman" w:cs="Times New Roman"/>
              </w:rPr>
              <w:lastRenderedPageBreak/>
              <w:t>Norme UE neaplicabile</w:t>
            </w:r>
          </w:p>
          <w:p w14:paraId="120F5EC9" w14:textId="77777777" w:rsidR="00837428" w:rsidRPr="009E686F" w:rsidRDefault="00837428" w:rsidP="00837428">
            <w:pPr>
              <w:jc w:val="both"/>
              <w:rPr>
                <w:rFonts w:ascii="Times New Roman" w:hAnsi="Times New Roman" w:cs="Times New Roman"/>
              </w:rPr>
            </w:pPr>
          </w:p>
          <w:p w14:paraId="4987A2FC" w14:textId="77777777" w:rsidR="00837428" w:rsidRPr="009E686F" w:rsidRDefault="00837428" w:rsidP="00837428">
            <w:pPr>
              <w:jc w:val="both"/>
              <w:rPr>
                <w:rFonts w:ascii="Times New Roman" w:hAnsi="Times New Roman" w:cs="Times New Roman"/>
              </w:rPr>
            </w:pPr>
          </w:p>
          <w:p w14:paraId="2B690518" w14:textId="497CCD35" w:rsidR="00837428" w:rsidRPr="009E686F" w:rsidRDefault="00837428" w:rsidP="00837428">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5C4BBBFB" w14:textId="77777777" w:rsidR="00837428" w:rsidRPr="009E686F" w:rsidRDefault="00837428" w:rsidP="00837428">
            <w:pPr>
              <w:spacing w:after="0"/>
              <w:jc w:val="both"/>
              <w:rPr>
                <w:rFonts w:ascii="Times New Roman" w:hAnsi="Times New Roman" w:cs="Times New Roman"/>
                <w:lang w:val="it-CH"/>
              </w:rPr>
            </w:pPr>
            <w:r w:rsidRPr="009E686F">
              <w:rPr>
                <w:rFonts w:ascii="Times New Roman" w:hAnsi="Times New Roman" w:cs="Times New Roman"/>
                <w:lang w:val="it-CH"/>
              </w:rPr>
              <w:lastRenderedPageBreak/>
              <w:t>Se referă la competențele ABE.</w:t>
            </w:r>
          </w:p>
          <w:p w14:paraId="014C1378" w14:textId="77777777" w:rsidR="002040CD" w:rsidRPr="009E686F" w:rsidRDefault="002040CD" w:rsidP="002040CD">
            <w:pPr>
              <w:tabs>
                <w:tab w:val="left" w:pos="884"/>
                <w:tab w:val="left" w:pos="1196"/>
              </w:tabs>
              <w:spacing w:after="0" w:line="240" w:lineRule="auto"/>
              <w:jc w:val="both"/>
              <w:rPr>
                <w:rFonts w:ascii="Times New Roman" w:hAnsi="Times New Roman"/>
                <w:lang w:val="it-CH"/>
              </w:rPr>
            </w:pPr>
            <w:r w:rsidRPr="009E686F">
              <w:rPr>
                <w:rFonts w:ascii="Times New Roman" w:hAnsi="Times New Roman"/>
                <w:lang w:val="it-CH"/>
              </w:rPr>
              <w:t>În vigoare de la data aderării.</w:t>
            </w:r>
          </w:p>
          <w:p w14:paraId="76F5455A" w14:textId="0AD01D1B" w:rsidR="002040CD" w:rsidRPr="009E686F" w:rsidRDefault="002040CD" w:rsidP="00837428">
            <w:pPr>
              <w:spacing w:after="0"/>
              <w:jc w:val="both"/>
              <w:rPr>
                <w:rFonts w:ascii="Times New Roman" w:hAnsi="Times New Roman" w:cs="Times New Roman"/>
                <w:lang w:val="it-CH"/>
              </w:rPr>
            </w:pPr>
          </w:p>
        </w:tc>
      </w:tr>
      <w:tr w:rsidR="00837428" w:rsidRPr="009E686F" w14:paraId="1C988127" w14:textId="77777777" w:rsidTr="00960C23">
        <w:tc>
          <w:tcPr>
            <w:tcW w:w="1890" w:type="pct"/>
            <w:tcBorders>
              <w:top w:val="single" w:sz="4" w:space="0" w:color="auto"/>
              <w:left w:val="single" w:sz="4" w:space="0" w:color="auto"/>
              <w:bottom w:val="single" w:sz="4" w:space="0" w:color="auto"/>
              <w:right w:val="single" w:sz="4" w:space="0" w:color="auto"/>
            </w:tcBorders>
          </w:tcPr>
          <w:p w14:paraId="297C05F1" w14:textId="7BD23EC7" w:rsidR="00837428" w:rsidRPr="009E686F" w:rsidRDefault="00837428" w:rsidP="00837428">
            <w:pPr>
              <w:spacing w:after="0"/>
              <w:jc w:val="both"/>
              <w:rPr>
                <w:rFonts w:ascii="Times New Roman" w:hAnsi="Times New Roman" w:cs="Times New Roman"/>
                <w:lang w:val="it-CH"/>
              </w:rPr>
            </w:pPr>
            <w:r w:rsidRPr="009E686F">
              <w:rPr>
                <w:rFonts w:ascii="Times New Roman" w:hAnsi="Times New Roman" w:cs="Times New Roman"/>
                <w:lang w:val="it-CH"/>
              </w:rPr>
              <w:lastRenderedPageBreak/>
              <w:t>(8)   Prin derogare de la alineatul (1), grupurile din țările terțe care își desfășoară activitatea prin intermediul mai multor instituții din Uniune și care au o valoare totală a activelor din Uniune egală sau mai mare de 40 de miliarde EUR la 27 iunie 2019 au o întreprindere-mamă din UE intermediară sau, în cazul în care se aplică alineatul (2), două întreprinderi-mamă din UE intermediare până la 30 decembrie 2023.</w:t>
            </w:r>
          </w:p>
        </w:tc>
        <w:tc>
          <w:tcPr>
            <w:tcW w:w="1834" w:type="pct"/>
            <w:tcBorders>
              <w:top w:val="single" w:sz="4" w:space="0" w:color="auto"/>
              <w:left w:val="single" w:sz="4" w:space="0" w:color="auto"/>
              <w:bottom w:val="single" w:sz="4" w:space="0" w:color="auto"/>
              <w:right w:val="single" w:sz="4" w:space="0" w:color="auto"/>
            </w:tcBorders>
          </w:tcPr>
          <w:p w14:paraId="1B8CADEE" w14:textId="77777777" w:rsidR="00837428" w:rsidRPr="009E686F" w:rsidRDefault="00837428" w:rsidP="00837428">
            <w:pPr>
              <w:spacing w:after="0"/>
              <w:jc w:val="both"/>
              <w:rPr>
                <w:rFonts w:ascii="Times New Roman" w:hAnsi="Times New Roman" w:cs="Times New Roman"/>
                <w:b/>
                <w:lang w:val="it-CH"/>
              </w:rPr>
            </w:pPr>
          </w:p>
        </w:tc>
        <w:tc>
          <w:tcPr>
            <w:tcW w:w="470" w:type="pct"/>
            <w:tcBorders>
              <w:top w:val="single" w:sz="4" w:space="0" w:color="auto"/>
              <w:left w:val="single" w:sz="4" w:space="0" w:color="auto"/>
              <w:bottom w:val="single" w:sz="4" w:space="0" w:color="auto"/>
              <w:right w:val="single" w:sz="4" w:space="0" w:color="auto"/>
            </w:tcBorders>
          </w:tcPr>
          <w:p w14:paraId="7EF9319D" w14:textId="076F5398" w:rsidR="00837428" w:rsidRPr="009E686F" w:rsidRDefault="00837428" w:rsidP="00837428">
            <w:pPr>
              <w:jc w:val="both"/>
              <w:rPr>
                <w:rFonts w:ascii="Times New Roman" w:hAnsi="Times New Roman" w:cs="Times New Roman"/>
              </w:rPr>
            </w:pPr>
            <w:r w:rsidRPr="009E686F">
              <w:rPr>
                <w:rFonts w:ascii="Times New Roman" w:hAnsi="Times New Roman" w:cs="Times New Roman"/>
              </w:rPr>
              <w:t>Norme UE neaplicabile</w:t>
            </w:r>
          </w:p>
        </w:tc>
        <w:tc>
          <w:tcPr>
            <w:tcW w:w="806" w:type="pct"/>
            <w:tcBorders>
              <w:top w:val="single" w:sz="4" w:space="0" w:color="auto"/>
              <w:left w:val="single" w:sz="4" w:space="0" w:color="auto"/>
              <w:bottom w:val="single" w:sz="4" w:space="0" w:color="auto"/>
              <w:right w:val="single" w:sz="4" w:space="0" w:color="auto"/>
            </w:tcBorders>
          </w:tcPr>
          <w:p w14:paraId="38F1500B" w14:textId="413A5C8B" w:rsidR="00837428" w:rsidRPr="009E686F" w:rsidRDefault="00837428" w:rsidP="00837428">
            <w:pPr>
              <w:spacing w:after="0"/>
              <w:jc w:val="both"/>
              <w:rPr>
                <w:rFonts w:ascii="Times New Roman" w:hAnsi="Times New Roman" w:cs="Times New Roman"/>
                <w:lang w:val="it-CH"/>
              </w:rPr>
            </w:pPr>
            <w:r w:rsidRPr="009E686F">
              <w:rPr>
                <w:rFonts w:ascii="Times New Roman" w:hAnsi="Times New Roman" w:cs="Times New Roman"/>
                <w:lang w:val="it-CH"/>
              </w:rPr>
              <w:t>Prevederi care se referă la situația de până la 30 decembrie 2023.</w:t>
            </w:r>
          </w:p>
        </w:tc>
      </w:tr>
      <w:tr w:rsidR="00837428" w:rsidRPr="009E686F" w14:paraId="6A4BA645" w14:textId="77777777" w:rsidTr="00960C23">
        <w:tc>
          <w:tcPr>
            <w:tcW w:w="1890" w:type="pct"/>
            <w:tcBorders>
              <w:top w:val="single" w:sz="4" w:space="0" w:color="auto"/>
              <w:left w:val="single" w:sz="4" w:space="0" w:color="auto"/>
              <w:bottom w:val="single" w:sz="4" w:space="0" w:color="auto"/>
              <w:right w:val="single" w:sz="4" w:space="0" w:color="auto"/>
            </w:tcBorders>
          </w:tcPr>
          <w:p w14:paraId="67790B1B" w14:textId="62AFD469" w:rsidR="00837428" w:rsidRPr="009E686F" w:rsidRDefault="00837428" w:rsidP="00837428">
            <w:pPr>
              <w:spacing w:after="0"/>
              <w:jc w:val="both"/>
              <w:rPr>
                <w:rFonts w:ascii="Times New Roman" w:hAnsi="Times New Roman" w:cs="Times New Roman"/>
                <w:lang w:val="it-CH"/>
              </w:rPr>
            </w:pPr>
            <w:r w:rsidRPr="009E686F">
              <w:rPr>
                <w:rFonts w:ascii="Times New Roman" w:hAnsi="Times New Roman" w:cs="Times New Roman"/>
                <w:lang w:val="it-CH"/>
              </w:rPr>
              <w:t>(9)   Până la 30 decembrie 2026, Comisia, după consultarea ABE, revizuiește cerințele impuse instituțiilor de prezentul articol și prezintă un raport Parlamentului European și Consiliului. Raportul respectiv evaluează cel puțin:</w:t>
            </w:r>
          </w:p>
          <w:p w14:paraId="46B6B4B4" w14:textId="5C71324F" w:rsidR="00837428" w:rsidRPr="009E686F" w:rsidRDefault="00837428" w:rsidP="00837428">
            <w:pPr>
              <w:spacing w:after="0"/>
              <w:jc w:val="both"/>
              <w:rPr>
                <w:rFonts w:ascii="Times New Roman" w:hAnsi="Times New Roman" w:cs="Times New Roman"/>
                <w:lang w:val="it-CH"/>
              </w:rPr>
            </w:pPr>
            <w:r w:rsidRPr="009E686F">
              <w:rPr>
                <w:rFonts w:ascii="Times New Roman" w:hAnsi="Times New Roman" w:cs="Times New Roman"/>
                <w:lang w:val="it-CH"/>
              </w:rPr>
              <w:t>(a) dacă cerințele prevăzute la prezentul articol sunt funcționale, necesare și proporționale și dacă alte măsuri ar fi mai adecvate;</w:t>
            </w:r>
          </w:p>
          <w:p w14:paraId="4AFF6E4D" w14:textId="6EC84B75" w:rsidR="00837428" w:rsidRPr="009E686F" w:rsidRDefault="00837428" w:rsidP="00837428">
            <w:pPr>
              <w:spacing w:after="0"/>
              <w:jc w:val="both"/>
              <w:rPr>
                <w:rFonts w:ascii="Times New Roman" w:hAnsi="Times New Roman" w:cs="Times New Roman"/>
                <w:lang w:val="pt-BR"/>
              </w:rPr>
            </w:pPr>
            <w:r w:rsidRPr="009E686F">
              <w:rPr>
                <w:rFonts w:ascii="Times New Roman" w:hAnsi="Times New Roman" w:cs="Times New Roman"/>
                <w:lang w:val="pt-BR"/>
              </w:rPr>
              <w:t>(b) dacă cerințele impuse instituțiilor de prezentul articol ar trebui revizuite pentru a reflecta cele mai bune practici de la nivel internațional.</w:t>
            </w:r>
          </w:p>
        </w:tc>
        <w:tc>
          <w:tcPr>
            <w:tcW w:w="1834" w:type="pct"/>
            <w:tcBorders>
              <w:top w:val="single" w:sz="4" w:space="0" w:color="auto"/>
              <w:left w:val="single" w:sz="4" w:space="0" w:color="auto"/>
              <w:bottom w:val="single" w:sz="4" w:space="0" w:color="auto"/>
              <w:right w:val="single" w:sz="4" w:space="0" w:color="auto"/>
            </w:tcBorders>
          </w:tcPr>
          <w:p w14:paraId="18D6C53F" w14:textId="77777777" w:rsidR="00837428" w:rsidRPr="009E686F" w:rsidRDefault="00837428" w:rsidP="00837428">
            <w:pPr>
              <w:spacing w:after="0"/>
              <w:jc w:val="both"/>
              <w:rPr>
                <w:rFonts w:ascii="Times New Roman" w:hAnsi="Times New Roman" w:cs="Times New Roman"/>
                <w:b/>
                <w:lang w:val="pt-BR"/>
              </w:rPr>
            </w:pPr>
          </w:p>
        </w:tc>
        <w:tc>
          <w:tcPr>
            <w:tcW w:w="470" w:type="pct"/>
            <w:tcBorders>
              <w:top w:val="single" w:sz="4" w:space="0" w:color="auto"/>
              <w:left w:val="single" w:sz="4" w:space="0" w:color="auto"/>
              <w:bottom w:val="single" w:sz="4" w:space="0" w:color="auto"/>
              <w:right w:val="single" w:sz="4" w:space="0" w:color="auto"/>
            </w:tcBorders>
          </w:tcPr>
          <w:p w14:paraId="0259D343" w14:textId="31797CF2" w:rsidR="00837428" w:rsidRPr="009E686F" w:rsidRDefault="00837428" w:rsidP="00837428">
            <w:pPr>
              <w:jc w:val="both"/>
              <w:rPr>
                <w:rFonts w:ascii="Times New Roman" w:hAnsi="Times New Roman" w:cs="Times New Roman"/>
              </w:rPr>
            </w:pPr>
            <w:r w:rsidRPr="009E686F">
              <w:rPr>
                <w:rFonts w:ascii="Times New Roman" w:hAnsi="Times New Roman" w:cs="Times New Roman"/>
              </w:rPr>
              <w:t>Norme UE neaplicabile</w:t>
            </w:r>
          </w:p>
        </w:tc>
        <w:tc>
          <w:tcPr>
            <w:tcW w:w="806" w:type="pct"/>
            <w:tcBorders>
              <w:top w:val="single" w:sz="4" w:space="0" w:color="auto"/>
              <w:left w:val="single" w:sz="4" w:space="0" w:color="auto"/>
              <w:bottom w:val="single" w:sz="4" w:space="0" w:color="auto"/>
              <w:right w:val="single" w:sz="4" w:space="0" w:color="auto"/>
            </w:tcBorders>
          </w:tcPr>
          <w:p w14:paraId="4B0A6EDB" w14:textId="2D440F09" w:rsidR="00837428" w:rsidRPr="009E686F" w:rsidRDefault="00837428" w:rsidP="00837428">
            <w:pPr>
              <w:spacing w:after="0"/>
              <w:jc w:val="both"/>
              <w:rPr>
                <w:rFonts w:ascii="Times New Roman" w:hAnsi="Times New Roman" w:cs="Times New Roman"/>
                <w:lang w:val="it-CH"/>
              </w:rPr>
            </w:pPr>
            <w:r w:rsidRPr="009E686F">
              <w:rPr>
                <w:rFonts w:ascii="Times New Roman" w:hAnsi="Times New Roman" w:cs="Times New Roman"/>
                <w:lang w:val="it-CH"/>
              </w:rPr>
              <w:t>Se referă la competențele Comisiei Europene.</w:t>
            </w:r>
          </w:p>
        </w:tc>
      </w:tr>
      <w:tr w:rsidR="00837428" w:rsidRPr="009E686F" w14:paraId="31AB4C80" w14:textId="77777777" w:rsidTr="00960C23">
        <w:tc>
          <w:tcPr>
            <w:tcW w:w="1890" w:type="pct"/>
            <w:tcBorders>
              <w:top w:val="single" w:sz="4" w:space="0" w:color="auto"/>
              <w:left w:val="single" w:sz="4" w:space="0" w:color="auto"/>
              <w:bottom w:val="single" w:sz="4" w:space="0" w:color="auto"/>
              <w:right w:val="single" w:sz="4" w:space="0" w:color="auto"/>
            </w:tcBorders>
          </w:tcPr>
          <w:p w14:paraId="5E32CB9E" w14:textId="38B0ADFC" w:rsidR="00837428" w:rsidRPr="009E686F" w:rsidRDefault="00837428" w:rsidP="00837428">
            <w:pPr>
              <w:spacing w:after="0"/>
              <w:jc w:val="both"/>
              <w:rPr>
                <w:rFonts w:ascii="Times New Roman" w:hAnsi="Times New Roman" w:cs="Times New Roman"/>
                <w:lang w:val="it-CH"/>
              </w:rPr>
            </w:pPr>
            <w:r w:rsidRPr="009E686F">
              <w:rPr>
                <w:rFonts w:ascii="Times New Roman" w:hAnsi="Times New Roman" w:cs="Times New Roman"/>
                <w:lang w:val="it-CH"/>
              </w:rPr>
              <w:t>(10) Până la 28 iunie 2021, ABE prezintă un raport Parlamentului European, Consiliului și Comisiei cu privire la tratamentul aplicat sucursalelor din țări terțe în conformitate cu dreptul intern din statele membre. Raportul respectiv evaluează cel puțin:</w:t>
            </w:r>
          </w:p>
          <w:p w14:paraId="4DD7C753" w14:textId="130D7756" w:rsidR="00837428" w:rsidRPr="009E686F" w:rsidRDefault="00837428" w:rsidP="00837428">
            <w:pPr>
              <w:spacing w:after="0"/>
              <w:jc w:val="both"/>
              <w:rPr>
                <w:rFonts w:ascii="Times New Roman" w:hAnsi="Times New Roman" w:cs="Times New Roman"/>
                <w:lang w:val="it-CH"/>
              </w:rPr>
            </w:pPr>
            <w:r w:rsidRPr="009E686F">
              <w:rPr>
                <w:rFonts w:ascii="Times New Roman" w:hAnsi="Times New Roman" w:cs="Times New Roman"/>
                <w:lang w:val="it-CH"/>
              </w:rPr>
              <w:lastRenderedPageBreak/>
              <w:t>(a) dacă și în ce măsură practicile de supraveghere din dreptul intern referitoare la sucursalele din țări terțe diferă între statele membre;</w:t>
            </w:r>
          </w:p>
          <w:p w14:paraId="18EACD52" w14:textId="786514E4" w:rsidR="00837428" w:rsidRPr="009E686F" w:rsidRDefault="00837428" w:rsidP="00837428">
            <w:pPr>
              <w:spacing w:after="0"/>
              <w:jc w:val="both"/>
              <w:rPr>
                <w:rFonts w:ascii="Times New Roman" w:hAnsi="Times New Roman" w:cs="Times New Roman"/>
                <w:lang w:val="it-CH"/>
              </w:rPr>
            </w:pPr>
            <w:r w:rsidRPr="009E686F">
              <w:rPr>
                <w:rFonts w:ascii="Times New Roman" w:hAnsi="Times New Roman" w:cs="Times New Roman"/>
                <w:lang w:val="it-CH"/>
              </w:rPr>
              <w:t>(b) dacă un tratament diferit al sucursalelor din țări terțe în dreptul intern ar putea avea ca rezultat arbitrajul de reglementare;</w:t>
            </w:r>
          </w:p>
          <w:p w14:paraId="0610B902" w14:textId="6929A157" w:rsidR="00837428" w:rsidRPr="009E686F" w:rsidRDefault="00837428" w:rsidP="00837428">
            <w:pPr>
              <w:spacing w:after="0"/>
              <w:jc w:val="both"/>
              <w:rPr>
                <w:rFonts w:ascii="Times New Roman" w:hAnsi="Times New Roman" w:cs="Times New Roman"/>
                <w:lang w:val="it-CH"/>
              </w:rPr>
            </w:pPr>
            <w:r w:rsidRPr="009E686F">
              <w:rPr>
                <w:rFonts w:ascii="Times New Roman" w:hAnsi="Times New Roman" w:cs="Times New Roman"/>
                <w:lang w:val="it-CH"/>
              </w:rPr>
              <w:t>(c) dacă continuarea armonizării regimurilor naționale pentru sucursalele din țări terțe ar fi necesară și adecvată, în special în ceea ce privește sucursalele importante din țări terțe.</w:t>
            </w:r>
          </w:p>
          <w:p w14:paraId="20DCA880" w14:textId="4A963009" w:rsidR="00837428" w:rsidRPr="009E686F" w:rsidRDefault="00837428" w:rsidP="00837428">
            <w:pPr>
              <w:spacing w:after="0"/>
              <w:jc w:val="both"/>
              <w:rPr>
                <w:rFonts w:ascii="Times New Roman" w:hAnsi="Times New Roman" w:cs="Times New Roman"/>
                <w:lang w:val="it-CH"/>
              </w:rPr>
            </w:pPr>
            <w:r w:rsidRPr="009E686F">
              <w:rPr>
                <w:rFonts w:ascii="Times New Roman" w:hAnsi="Times New Roman" w:cs="Times New Roman"/>
                <w:lang w:val="it-CH"/>
              </w:rPr>
              <w:t>Dacă este cazul, Comisia transmite o propunere legislativă Parlamentului European și Consiliului, pe baza recomandărilor făcute de ABE.</w:t>
            </w:r>
          </w:p>
        </w:tc>
        <w:tc>
          <w:tcPr>
            <w:tcW w:w="1834" w:type="pct"/>
            <w:tcBorders>
              <w:top w:val="single" w:sz="4" w:space="0" w:color="auto"/>
              <w:left w:val="single" w:sz="4" w:space="0" w:color="auto"/>
              <w:bottom w:val="single" w:sz="4" w:space="0" w:color="auto"/>
              <w:right w:val="single" w:sz="4" w:space="0" w:color="auto"/>
            </w:tcBorders>
          </w:tcPr>
          <w:p w14:paraId="41D346B2" w14:textId="77777777" w:rsidR="00837428" w:rsidRPr="009E686F" w:rsidRDefault="00837428" w:rsidP="00837428">
            <w:pPr>
              <w:spacing w:after="0"/>
              <w:jc w:val="both"/>
              <w:rPr>
                <w:rFonts w:ascii="Times New Roman" w:hAnsi="Times New Roman" w:cs="Times New Roman"/>
                <w:b/>
                <w:lang w:val="it-CH"/>
              </w:rPr>
            </w:pPr>
          </w:p>
        </w:tc>
        <w:tc>
          <w:tcPr>
            <w:tcW w:w="470" w:type="pct"/>
            <w:tcBorders>
              <w:top w:val="single" w:sz="4" w:space="0" w:color="auto"/>
              <w:left w:val="single" w:sz="4" w:space="0" w:color="auto"/>
              <w:bottom w:val="single" w:sz="4" w:space="0" w:color="auto"/>
              <w:right w:val="single" w:sz="4" w:space="0" w:color="auto"/>
            </w:tcBorders>
          </w:tcPr>
          <w:p w14:paraId="614BEB5C" w14:textId="51C513BA" w:rsidR="00837428" w:rsidRPr="009E686F" w:rsidRDefault="00837428" w:rsidP="00837428">
            <w:pPr>
              <w:jc w:val="both"/>
              <w:rPr>
                <w:rFonts w:ascii="Times New Roman" w:hAnsi="Times New Roman" w:cs="Times New Roman"/>
              </w:rPr>
            </w:pPr>
            <w:r w:rsidRPr="009E686F">
              <w:rPr>
                <w:rFonts w:ascii="Times New Roman" w:hAnsi="Times New Roman" w:cs="Times New Roman"/>
              </w:rPr>
              <w:t>Norme UE neaplicabile</w:t>
            </w:r>
          </w:p>
        </w:tc>
        <w:tc>
          <w:tcPr>
            <w:tcW w:w="806" w:type="pct"/>
            <w:tcBorders>
              <w:top w:val="single" w:sz="4" w:space="0" w:color="auto"/>
              <w:left w:val="single" w:sz="4" w:space="0" w:color="auto"/>
              <w:bottom w:val="single" w:sz="4" w:space="0" w:color="auto"/>
              <w:right w:val="single" w:sz="4" w:space="0" w:color="auto"/>
            </w:tcBorders>
          </w:tcPr>
          <w:p w14:paraId="38911A50" w14:textId="06D0FD21" w:rsidR="00837428" w:rsidRPr="009E686F" w:rsidRDefault="00837428" w:rsidP="00837428">
            <w:pPr>
              <w:spacing w:after="0"/>
              <w:jc w:val="both"/>
              <w:rPr>
                <w:rFonts w:ascii="Times New Roman" w:hAnsi="Times New Roman" w:cs="Times New Roman"/>
                <w:lang w:val="it-CH"/>
              </w:rPr>
            </w:pPr>
            <w:r w:rsidRPr="009E686F">
              <w:rPr>
                <w:rFonts w:ascii="Times New Roman" w:hAnsi="Times New Roman" w:cs="Times New Roman"/>
                <w:lang w:val="it-CH"/>
              </w:rPr>
              <w:t>Se referă la competențele ABE.</w:t>
            </w:r>
          </w:p>
        </w:tc>
      </w:tr>
      <w:tr w:rsidR="002040CD" w:rsidRPr="009E686F" w14:paraId="6471EE20" w14:textId="77777777" w:rsidTr="005A54F8">
        <w:tc>
          <w:tcPr>
            <w:tcW w:w="1890" w:type="pct"/>
            <w:tcBorders>
              <w:top w:val="single" w:sz="4" w:space="0" w:color="auto"/>
              <w:left w:val="single" w:sz="4" w:space="0" w:color="auto"/>
              <w:bottom w:val="single" w:sz="4" w:space="0" w:color="auto"/>
              <w:right w:val="single" w:sz="4" w:space="0" w:color="auto"/>
            </w:tcBorders>
          </w:tcPr>
          <w:p w14:paraId="28B6C33D" w14:textId="77777777" w:rsidR="002040CD" w:rsidRPr="009E686F" w:rsidRDefault="002040CD" w:rsidP="00837428">
            <w:pPr>
              <w:spacing w:after="0"/>
              <w:jc w:val="both"/>
              <w:rPr>
                <w:rFonts w:ascii="Times New Roman" w:hAnsi="Times New Roman" w:cs="Times New Roman"/>
                <w:i/>
                <w:iCs/>
                <w:lang w:val="pt-BR"/>
              </w:rPr>
            </w:pPr>
            <w:r w:rsidRPr="009E686F">
              <w:rPr>
                <w:rFonts w:ascii="Times New Roman" w:hAnsi="Times New Roman" w:cs="Times New Roman"/>
                <w:i/>
                <w:iCs/>
                <w:lang w:val="pt-BR"/>
              </w:rPr>
              <w:t>Articolul 21c</w:t>
            </w:r>
          </w:p>
          <w:p w14:paraId="7B234F1B" w14:textId="2076DF88" w:rsidR="002040CD" w:rsidRPr="009E686F" w:rsidRDefault="002040CD" w:rsidP="00837428">
            <w:pPr>
              <w:spacing w:after="0"/>
              <w:jc w:val="both"/>
              <w:rPr>
                <w:rFonts w:ascii="Times New Roman" w:hAnsi="Times New Roman" w:cs="Times New Roman"/>
                <w:lang w:val="pt-BR"/>
              </w:rPr>
            </w:pPr>
            <w:r w:rsidRPr="009E686F">
              <w:rPr>
                <w:rFonts w:ascii="Times New Roman" w:hAnsi="Times New Roman" w:cs="Times New Roman"/>
                <w:lang w:val="pt-BR"/>
              </w:rPr>
              <w:t>Cerința de a înființa o sucursală pentru furnizarea de servicii bancare de către întreprinderi din țări terțe</w:t>
            </w:r>
          </w:p>
        </w:tc>
        <w:tc>
          <w:tcPr>
            <w:tcW w:w="1834" w:type="pct"/>
            <w:tcBorders>
              <w:top w:val="single" w:sz="4" w:space="0" w:color="auto"/>
              <w:left w:val="single" w:sz="4" w:space="0" w:color="auto"/>
              <w:bottom w:val="single" w:sz="4" w:space="0" w:color="auto"/>
              <w:right w:val="single" w:sz="4" w:space="0" w:color="auto"/>
            </w:tcBorders>
          </w:tcPr>
          <w:p w14:paraId="2635A8BE" w14:textId="5C9DF5C1" w:rsidR="002040CD" w:rsidRPr="009E686F" w:rsidRDefault="002040CD" w:rsidP="00837428">
            <w:pPr>
              <w:spacing w:after="0"/>
              <w:jc w:val="both"/>
              <w:rPr>
                <w:rFonts w:ascii="Times New Roman" w:hAnsi="Times New Roman" w:cs="Times New Roman"/>
                <w:bCs/>
                <w:i/>
                <w:iCs/>
                <w:lang w:val="it-IT"/>
              </w:rPr>
            </w:pPr>
            <w:r w:rsidRPr="009E686F">
              <w:rPr>
                <w:rFonts w:ascii="Times New Roman" w:hAnsi="Times New Roman" w:cs="Times New Roman"/>
                <w:b/>
                <w:i/>
                <w:iCs/>
                <w:lang w:val="it-IT"/>
              </w:rPr>
              <w:t>Articolul 24.</w:t>
            </w:r>
            <w:r w:rsidRPr="009E686F">
              <w:rPr>
                <w:rFonts w:ascii="Times New Roman" w:hAnsi="Times New Roman" w:cs="Times New Roman"/>
                <w:bCs/>
                <w:i/>
                <w:iCs/>
                <w:lang w:val="it-IT"/>
              </w:rPr>
              <w:t xml:space="preserve"> Condiții de desfășurare a activității sucursalelor dintr-un stat terț</w:t>
            </w:r>
          </w:p>
        </w:tc>
        <w:tc>
          <w:tcPr>
            <w:tcW w:w="470" w:type="pct"/>
            <w:tcBorders>
              <w:top w:val="single" w:sz="4" w:space="0" w:color="auto"/>
              <w:left w:val="single" w:sz="4" w:space="0" w:color="auto"/>
              <w:bottom w:val="single" w:sz="4" w:space="0" w:color="auto"/>
              <w:right w:val="single" w:sz="4" w:space="0" w:color="auto"/>
            </w:tcBorders>
          </w:tcPr>
          <w:p w14:paraId="7397431B" w14:textId="024AC3D2" w:rsidR="002040CD" w:rsidRPr="009E686F" w:rsidRDefault="002040CD" w:rsidP="00837428">
            <w:pPr>
              <w:jc w:val="both"/>
              <w:rPr>
                <w:rFonts w:ascii="Times New Roman" w:hAnsi="Times New Roman" w:cs="Times New Roman"/>
                <w:lang w:val="it-IT"/>
              </w:rPr>
            </w:pPr>
            <w:r w:rsidRPr="009E686F">
              <w:rPr>
                <w:rFonts w:ascii="Times New Roman" w:hAnsi="Times New Roman" w:cs="Times New Roman"/>
              </w:rPr>
              <w:t>Compatibil</w:t>
            </w:r>
          </w:p>
        </w:tc>
        <w:tc>
          <w:tcPr>
            <w:tcW w:w="806" w:type="pct"/>
            <w:vMerge w:val="restart"/>
            <w:tcBorders>
              <w:top w:val="single" w:sz="4" w:space="0" w:color="auto"/>
              <w:left w:val="single" w:sz="4" w:space="0" w:color="auto"/>
              <w:right w:val="single" w:sz="4" w:space="0" w:color="auto"/>
            </w:tcBorders>
          </w:tcPr>
          <w:p w14:paraId="4E4B59D7" w14:textId="77777777" w:rsidR="002040CD" w:rsidRPr="009E686F" w:rsidRDefault="002040CD" w:rsidP="002040CD">
            <w:pPr>
              <w:tabs>
                <w:tab w:val="left" w:pos="884"/>
                <w:tab w:val="left" w:pos="1196"/>
              </w:tabs>
              <w:spacing w:after="0" w:line="240" w:lineRule="auto"/>
              <w:jc w:val="both"/>
              <w:rPr>
                <w:rFonts w:ascii="Times New Roman" w:hAnsi="Times New Roman"/>
                <w:lang w:val="it-CH"/>
              </w:rPr>
            </w:pPr>
            <w:r w:rsidRPr="009E686F">
              <w:rPr>
                <w:rFonts w:ascii="Times New Roman" w:hAnsi="Times New Roman"/>
                <w:lang w:val="it-CH"/>
              </w:rPr>
              <w:t>În vigoare de la data aderării.</w:t>
            </w:r>
          </w:p>
          <w:p w14:paraId="0CF66AF5" w14:textId="77777777" w:rsidR="002040CD" w:rsidRPr="009E686F" w:rsidRDefault="002040CD" w:rsidP="00837428">
            <w:pPr>
              <w:spacing w:after="0"/>
              <w:jc w:val="both"/>
              <w:rPr>
                <w:rFonts w:ascii="Times New Roman" w:hAnsi="Times New Roman" w:cs="Times New Roman"/>
                <w:lang w:val="it-CH"/>
              </w:rPr>
            </w:pPr>
          </w:p>
        </w:tc>
      </w:tr>
      <w:tr w:rsidR="002040CD" w:rsidRPr="009E686F" w14:paraId="17AAD035" w14:textId="77777777" w:rsidTr="005A54F8">
        <w:tc>
          <w:tcPr>
            <w:tcW w:w="1890" w:type="pct"/>
            <w:tcBorders>
              <w:top w:val="single" w:sz="4" w:space="0" w:color="auto"/>
              <w:left w:val="single" w:sz="4" w:space="0" w:color="auto"/>
              <w:bottom w:val="single" w:sz="4" w:space="0" w:color="auto"/>
              <w:right w:val="single" w:sz="4" w:space="0" w:color="auto"/>
            </w:tcBorders>
          </w:tcPr>
          <w:p w14:paraId="39C2B4A9" w14:textId="29383FA7" w:rsidR="002040CD" w:rsidRPr="009E686F" w:rsidRDefault="002040CD" w:rsidP="00837428">
            <w:pPr>
              <w:spacing w:after="0"/>
              <w:jc w:val="both"/>
              <w:rPr>
                <w:rFonts w:ascii="Times New Roman" w:hAnsi="Times New Roman" w:cs="Times New Roman"/>
                <w:lang w:val="it-CH"/>
              </w:rPr>
            </w:pPr>
            <w:r w:rsidRPr="009E686F">
              <w:rPr>
                <w:rFonts w:ascii="Times New Roman" w:hAnsi="Times New Roman" w:cs="Times New Roman"/>
                <w:lang w:val="it-CH"/>
              </w:rPr>
              <w:t>(1) Statele membre impun întreprinderilor stabilite într-o țară terță, astfel cum sunt menționate la articolul 47, obligația de a înființa o sucursală pe teritoriul lor și de a solicita autorizarea în conformitate cu titlul VI pentru a începe sau a continua să desfășoare în statul membru relevant activitățile menționate la articolul 47 alineatul (1).</w:t>
            </w:r>
          </w:p>
        </w:tc>
        <w:tc>
          <w:tcPr>
            <w:tcW w:w="1834" w:type="pct"/>
            <w:tcBorders>
              <w:top w:val="single" w:sz="4" w:space="0" w:color="auto"/>
              <w:left w:val="single" w:sz="4" w:space="0" w:color="auto"/>
              <w:bottom w:val="single" w:sz="4" w:space="0" w:color="auto"/>
              <w:right w:val="single" w:sz="4" w:space="0" w:color="auto"/>
            </w:tcBorders>
          </w:tcPr>
          <w:p w14:paraId="4DA9FA04" w14:textId="6E0C2723" w:rsidR="002040CD" w:rsidRPr="009E686F" w:rsidRDefault="002040CD" w:rsidP="00837428">
            <w:pPr>
              <w:spacing w:after="0"/>
              <w:jc w:val="both"/>
              <w:rPr>
                <w:rFonts w:ascii="Times New Roman" w:hAnsi="Times New Roman" w:cs="Times New Roman"/>
                <w:bCs/>
                <w:i/>
                <w:iCs/>
                <w:lang w:val="it-CH"/>
              </w:rPr>
            </w:pPr>
            <w:r w:rsidRPr="009E686F">
              <w:rPr>
                <w:rFonts w:ascii="Times New Roman" w:hAnsi="Times New Roman" w:cs="Times New Roman"/>
                <w:i/>
                <w:lang w:val="it-CH"/>
              </w:rPr>
              <w:t xml:space="preserve">(1) </w:t>
            </w:r>
            <w:r w:rsidR="00D7122D" w:rsidRPr="009E686F">
              <w:rPr>
                <w:rFonts w:ascii="Times New Roman" w:hAnsi="Times New Roman" w:cs="Times New Roman"/>
                <w:i/>
                <w:lang w:val="it-CH"/>
              </w:rPr>
              <w:t>(1) Întreprinderile înființate într-un stat terț, astfel cum sunt menționate la alin. (8) și (9), pot desfășura sau continua activitățile prevăzute la art. 27 alin. (1) pe teritoriul Republicii Moldova numai prin intermediul unei sucursale autorizate de Banca Națională a Moldovei conform prezentului capitol</w:t>
            </w:r>
            <w:r w:rsidRPr="009E686F">
              <w:rPr>
                <w:rFonts w:ascii="Times New Roman" w:hAnsi="Times New Roman" w:cs="Times New Roman"/>
                <w:bCs/>
                <w:i/>
                <w:iCs/>
                <w:lang w:val="it-CH"/>
              </w:rPr>
              <w:t>.</w:t>
            </w:r>
          </w:p>
          <w:p w14:paraId="33307BEA" w14:textId="77777777" w:rsidR="0044651C" w:rsidRPr="009E686F" w:rsidRDefault="0044651C" w:rsidP="0044651C">
            <w:pPr>
              <w:spacing w:after="0"/>
              <w:ind w:firstLine="708"/>
              <w:jc w:val="both"/>
              <w:rPr>
                <w:rFonts w:ascii="Times New Roman" w:hAnsi="Times New Roman" w:cs="Times New Roman"/>
                <w:i/>
                <w:iCs/>
                <w:lang w:val="it-CH"/>
              </w:rPr>
            </w:pPr>
            <w:r w:rsidRPr="009E686F">
              <w:rPr>
                <w:rFonts w:ascii="Times New Roman" w:hAnsi="Times New Roman" w:cs="Times New Roman"/>
                <w:i/>
                <w:iCs/>
                <w:lang w:val="it-CH"/>
              </w:rPr>
              <w:t xml:space="preserve">(2) Activităţile desfăşurate de către sucursala dintr-un stat terț pe teritoriul Republicii Moldova trebuie să fie prevăzute în autorizația acordată de Banca Naţională a Moldovei şi nu pot exceda obiectul de activitate a instituției de credit autorizate de autoritatea competentă din statul de membru origine. </w:t>
            </w:r>
          </w:p>
          <w:p w14:paraId="09179469" w14:textId="17AC3ED6" w:rsidR="0044651C" w:rsidRPr="009E686F" w:rsidRDefault="0044651C" w:rsidP="00837428">
            <w:pPr>
              <w:spacing w:after="0"/>
              <w:jc w:val="both"/>
              <w:rPr>
                <w:rFonts w:ascii="Times New Roman" w:hAnsi="Times New Roman" w:cs="Times New Roman"/>
                <w:bCs/>
                <w:i/>
                <w:iCs/>
                <w:lang w:val="it-CH"/>
              </w:rPr>
            </w:pPr>
          </w:p>
        </w:tc>
        <w:tc>
          <w:tcPr>
            <w:tcW w:w="470" w:type="pct"/>
            <w:tcBorders>
              <w:top w:val="single" w:sz="4" w:space="0" w:color="auto"/>
              <w:left w:val="single" w:sz="4" w:space="0" w:color="auto"/>
              <w:bottom w:val="single" w:sz="4" w:space="0" w:color="auto"/>
              <w:right w:val="single" w:sz="4" w:space="0" w:color="auto"/>
            </w:tcBorders>
          </w:tcPr>
          <w:p w14:paraId="68A522D6" w14:textId="2DF9F8D0" w:rsidR="002040CD" w:rsidRPr="009E686F" w:rsidRDefault="002040CD" w:rsidP="00837428">
            <w:pPr>
              <w:jc w:val="both"/>
              <w:rPr>
                <w:rFonts w:ascii="Times New Roman" w:hAnsi="Times New Roman" w:cs="Times New Roman"/>
                <w:lang w:val="it-CH"/>
              </w:rPr>
            </w:pPr>
            <w:r w:rsidRPr="009E686F">
              <w:rPr>
                <w:rFonts w:ascii="Times New Roman" w:hAnsi="Times New Roman" w:cs="Times New Roman"/>
              </w:rPr>
              <w:t>Compatibil</w:t>
            </w:r>
          </w:p>
        </w:tc>
        <w:tc>
          <w:tcPr>
            <w:tcW w:w="806" w:type="pct"/>
            <w:vMerge/>
            <w:tcBorders>
              <w:left w:val="single" w:sz="4" w:space="0" w:color="auto"/>
              <w:right w:val="single" w:sz="4" w:space="0" w:color="auto"/>
            </w:tcBorders>
          </w:tcPr>
          <w:p w14:paraId="22364968" w14:textId="77777777" w:rsidR="002040CD" w:rsidRPr="009E686F" w:rsidRDefault="002040CD" w:rsidP="00837428">
            <w:pPr>
              <w:spacing w:after="0"/>
              <w:jc w:val="both"/>
              <w:rPr>
                <w:rFonts w:ascii="Times New Roman" w:hAnsi="Times New Roman" w:cs="Times New Roman"/>
                <w:lang w:val="it-CH"/>
              </w:rPr>
            </w:pPr>
          </w:p>
        </w:tc>
      </w:tr>
      <w:tr w:rsidR="002040CD" w:rsidRPr="009E686F" w14:paraId="0F859E13" w14:textId="77777777" w:rsidTr="005A54F8">
        <w:tc>
          <w:tcPr>
            <w:tcW w:w="1890" w:type="pct"/>
            <w:tcBorders>
              <w:top w:val="single" w:sz="4" w:space="0" w:color="auto"/>
              <w:left w:val="single" w:sz="4" w:space="0" w:color="auto"/>
              <w:bottom w:val="single" w:sz="4" w:space="0" w:color="auto"/>
              <w:right w:val="single" w:sz="4" w:space="0" w:color="auto"/>
            </w:tcBorders>
          </w:tcPr>
          <w:p w14:paraId="5A9C8653" w14:textId="04779EE9" w:rsidR="002040CD" w:rsidRPr="009E686F" w:rsidRDefault="002040CD" w:rsidP="00837428">
            <w:pPr>
              <w:spacing w:after="0"/>
              <w:jc w:val="both"/>
              <w:rPr>
                <w:rFonts w:ascii="Times New Roman" w:hAnsi="Times New Roman" w:cs="Times New Roman"/>
              </w:rPr>
            </w:pPr>
            <w:r w:rsidRPr="009E686F">
              <w:rPr>
                <w:rFonts w:ascii="Times New Roman" w:hAnsi="Times New Roman" w:cs="Times New Roman"/>
              </w:rPr>
              <w:t>(2) Obligația prevăzută la alineatul (1) de la prezentul articol nu se aplică în cazul în care întreprinderea stabilită într-o țară terță furnizează un serviciu sau o activitate unui client sau unei contrapărți stabilite sau situate în Uniune care este:</w:t>
            </w:r>
          </w:p>
        </w:tc>
        <w:tc>
          <w:tcPr>
            <w:tcW w:w="1834" w:type="pct"/>
            <w:tcBorders>
              <w:top w:val="single" w:sz="4" w:space="0" w:color="auto"/>
              <w:left w:val="single" w:sz="4" w:space="0" w:color="auto"/>
              <w:bottom w:val="single" w:sz="4" w:space="0" w:color="auto"/>
              <w:right w:val="single" w:sz="4" w:space="0" w:color="auto"/>
            </w:tcBorders>
          </w:tcPr>
          <w:p w14:paraId="6333AF9F" w14:textId="46DC0AE1" w:rsidR="002040CD" w:rsidRPr="009E686F" w:rsidRDefault="002040CD" w:rsidP="00837428">
            <w:pPr>
              <w:spacing w:after="0"/>
              <w:jc w:val="both"/>
              <w:rPr>
                <w:rFonts w:ascii="Times New Roman" w:hAnsi="Times New Roman" w:cs="Times New Roman"/>
                <w:bCs/>
              </w:rPr>
            </w:pPr>
            <w:r w:rsidRPr="009E686F">
              <w:rPr>
                <w:rFonts w:ascii="Times New Roman" w:hAnsi="Times New Roman" w:cs="Times New Roman"/>
                <w:bCs/>
                <w:i/>
                <w:iCs/>
              </w:rPr>
              <w:t>(2) Alin. (1) nu se aplică în cazul în care întreprinderea stabilită într-un stat terț furnizează un serviciu sau o activitate unui client sau unei contrapărți înființatesau situate în Republica Moldova care este</w:t>
            </w:r>
            <w:r w:rsidRPr="009E686F">
              <w:rPr>
                <w:rFonts w:ascii="Times New Roman" w:hAnsi="Times New Roman" w:cs="Times New Roman"/>
                <w:bCs/>
              </w:rPr>
              <w:t>:</w:t>
            </w:r>
          </w:p>
        </w:tc>
        <w:tc>
          <w:tcPr>
            <w:tcW w:w="470" w:type="pct"/>
            <w:tcBorders>
              <w:top w:val="single" w:sz="4" w:space="0" w:color="auto"/>
              <w:left w:val="single" w:sz="4" w:space="0" w:color="auto"/>
              <w:bottom w:val="single" w:sz="4" w:space="0" w:color="auto"/>
              <w:right w:val="single" w:sz="4" w:space="0" w:color="auto"/>
            </w:tcBorders>
          </w:tcPr>
          <w:p w14:paraId="50E5640B" w14:textId="6F8F5442" w:rsidR="002040CD" w:rsidRPr="009E686F" w:rsidRDefault="002040CD" w:rsidP="00837428">
            <w:pPr>
              <w:jc w:val="both"/>
              <w:rPr>
                <w:rFonts w:ascii="Times New Roman" w:hAnsi="Times New Roman" w:cs="Times New Roman"/>
                <w:lang w:val="it-CH"/>
              </w:rPr>
            </w:pPr>
            <w:r w:rsidRPr="009E686F">
              <w:rPr>
                <w:rFonts w:ascii="Times New Roman" w:hAnsi="Times New Roman" w:cs="Times New Roman"/>
              </w:rPr>
              <w:t>Compatibil</w:t>
            </w:r>
          </w:p>
        </w:tc>
        <w:tc>
          <w:tcPr>
            <w:tcW w:w="806" w:type="pct"/>
            <w:vMerge/>
            <w:tcBorders>
              <w:left w:val="single" w:sz="4" w:space="0" w:color="auto"/>
              <w:right w:val="single" w:sz="4" w:space="0" w:color="auto"/>
            </w:tcBorders>
          </w:tcPr>
          <w:p w14:paraId="0B3BC873" w14:textId="77777777" w:rsidR="002040CD" w:rsidRPr="009E686F" w:rsidRDefault="002040CD" w:rsidP="00837428">
            <w:pPr>
              <w:spacing w:after="0"/>
              <w:jc w:val="both"/>
              <w:rPr>
                <w:rFonts w:ascii="Times New Roman" w:hAnsi="Times New Roman" w:cs="Times New Roman"/>
                <w:lang w:val="it-CH"/>
              </w:rPr>
            </w:pPr>
          </w:p>
        </w:tc>
      </w:tr>
      <w:tr w:rsidR="002040CD" w:rsidRPr="009E686F" w14:paraId="1A64D1E8" w14:textId="77777777" w:rsidTr="00226BA4">
        <w:tc>
          <w:tcPr>
            <w:tcW w:w="1890" w:type="pct"/>
            <w:tcBorders>
              <w:top w:val="single" w:sz="4" w:space="0" w:color="auto"/>
              <w:left w:val="single" w:sz="4" w:space="0" w:color="auto"/>
              <w:bottom w:val="single" w:sz="4" w:space="0" w:color="auto"/>
              <w:right w:val="single" w:sz="4" w:space="0" w:color="auto"/>
            </w:tcBorders>
          </w:tcPr>
          <w:p w14:paraId="48E2B36C" w14:textId="41CDB625" w:rsidR="002040CD" w:rsidRPr="009E686F" w:rsidRDefault="002040CD" w:rsidP="00837428">
            <w:pPr>
              <w:spacing w:after="0"/>
              <w:jc w:val="both"/>
              <w:rPr>
                <w:rFonts w:ascii="Times New Roman" w:hAnsi="Times New Roman" w:cs="Times New Roman"/>
              </w:rPr>
            </w:pPr>
            <w:r w:rsidRPr="009E686F">
              <w:rPr>
                <w:rFonts w:ascii="Times New Roman" w:hAnsi="Times New Roman" w:cs="Times New Roman"/>
              </w:rPr>
              <w:lastRenderedPageBreak/>
              <w:t>(a) un client de retail, o contraparte eligibilă sau un client profesional în sensul secțiunilor I și II din anexa II la Directiva 2014/65/UE stabilit sau situat în Uniune, dacă clientul respectiv sau contrapartea respectivă se adresează, din proprie inițiativă, unei întreprinderi stabilite într-o țară terță solicitându-i furnizarea oricărui serviciu sau a oricărei activități menționate la articolul 47 alineatul (1) din prezenta directivă;</w:t>
            </w:r>
          </w:p>
        </w:tc>
        <w:tc>
          <w:tcPr>
            <w:tcW w:w="1834" w:type="pct"/>
            <w:tcBorders>
              <w:top w:val="single" w:sz="4" w:space="0" w:color="auto"/>
              <w:left w:val="single" w:sz="4" w:space="0" w:color="auto"/>
              <w:bottom w:val="single" w:sz="4" w:space="0" w:color="auto"/>
              <w:right w:val="single" w:sz="4" w:space="0" w:color="auto"/>
            </w:tcBorders>
          </w:tcPr>
          <w:p w14:paraId="6842C424" w14:textId="44D4C680" w:rsidR="002040CD" w:rsidRPr="009E686F" w:rsidRDefault="002040CD" w:rsidP="00837428">
            <w:pPr>
              <w:spacing w:after="0"/>
              <w:jc w:val="both"/>
              <w:rPr>
                <w:rFonts w:ascii="Times New Roman" w:hAnsi="Times New Roman" w:cs="Times New Roman"/>
                <w:bCs/>
                <w:i/>
                <w:iCs/>
              </w:rPr>
            </w:pPr>
            <w:r w:rsidRPr="009E686F">
              <w:rPr>
                <w:rFonts w:ascii="Times New Roman" w:hAnsi="Times New Roman" w:cs="Times New Roman"/>
                <w:bCs/>
                <w:i/>
                <w:iCs/>
              </w:rPr>
              <w:t>a) un client de retail, o contraparte eligibilă sau un client profesionist în sensul Legii privind pieţele instrumentelor financiare și activitățile de investițiînființat  sau situat în Republica Moldova, dacă clientul respectiv sau contrapartea respectivă se adresează, din proprie inițiativă, unei întreprinderi înființate într-un stat terț solicitându-i furnizarea oricărui serviciu sau a oricărei activități menționate la art. 27 alin. (1);</w:t>
            </w:r>
          </w:p>
        </w:tc>
        <w:tc>
          <w:tcPr>
            <w:tcW w:w="470" w:type="pct"/>
            <w:tcBorders>
              <w:top w:val="single" w:sz="4" w:space="0" w:color="auto"/>
              <w:left w:val="single" w:sz="4" w:space="0" w:color="auto"/>
              <w:bottom w:val="single" w:sz="4" w:space="0" w:color="auto"/>
              <w:right w:val="single" w:sz="4" w:space="0" w:color="auto"/>
            </w:tcBorders>
          </w:tcPr>
          <w:p w14:paraId="646B96E1" w14:textId="515EBC2B" w:rsidR="002040CD" w:rsidRPr="009E686F" w:rsidRDefault="002040CD" w:rsidP="00837428">
            <w:pPr>
              <w:jc w:val="both"/>
              <w:rPr>
                <w:rFonts w:ascii="Times New Roman" w:hAnsi="Times New Roman" w:cs="Times New Roman"/>
              </w:rPr>
            </w:pPr>
            <w:r w:rsidRPr="009E686F">
              <w:rPr>
                <w:rFonts w:ascii="Times New Roman" w:hAnsi="Times New Roman" w:cs="Times New Roman"/>
              </w:rPr>
              <w:t>Compatibil</w:t>
            </w:r>
          </w:p>
        </w:tc>
        <w:tc>
          <w:tcPr>
            <w:tcW w:w="806" w:type="pct"/>
            <w:vMerge/>
            <w:tcBorders>
              <w:left w:val="single" w:sz="4" w:space="0" w:color="auto"/>
              <w:right w:val="single" w:sz="4" w:space="0" w:color="auto"/>
            </w:tcBorders>
          </w:tcPr>
          <w:p w14:paraId="0E8834F8" w14:textId="77777777" w:rsidR="002040CD" w:rsidRPr="009E686F" w:rsidRDefault="002040CD" w:rsidP="00837428">
            <w:pPr>
              <w:spacing w:after="0"/>
              <w:jc w:val="both"/>
              <w:rPr>
                <w:rFonts w:ascii="Times New Roman" w:hAnsi="Times New Roman" w:cs="Times New Roman"/>
              </w:rPr>
            </w:pPr>
          </w:p>
        </w:tc>
      </w:tr>
      <w:tr w:rsidR="002040CD" w:rsidRPr="009E686F" w14:paraId="5FDB28DE" w14:textId="77777777" w:rsidTr="00226BA4">
        <w:tc>
          <w:tcPr>
            <w:tcW w:w="1890" w:type="pct"/>
            <w:tcBorders>
              <w:top w:val="single" w:sz="4" w:space="0" w:color="auto"/>
              <w:left w:val="single" w:sz="4" w:space="0" w:color="auto"/>
              <w:bottom w:val="single" w:sz="4" w:space="0" w:color="auto"/>
              <w:right w:val="single" w:sz="4" w:space="0" w:color="auto"/>
            </w:tcBorders>
          </w:tcPr>
          <w:p w14:paraId="7A095450" w14:textId="70A189DC" w:rsidR="002040CD" w:rsidRPr="009E686F" w:rsidRDefault="002040CD" w:rsidP="00837428">
            <w:pPr>
              <w:spacing w:after="0"/>
              <w:jc w:val="both"/>
              <w:rPr>
                <w:rFonts w:ascii="Times New Roman" w:hAnsi="Times New Roman" w:cs="Times New Roman"/>
                <w:lang w:val="pt-BR"/>
              </w:rPr>
            </w:pPr>
            <w:r w:rsidRPr="009E686F">
              <w:rPr>
                <w:rFonts w:ascii="Times New Roman" w:hAnsi="Times New Roman" w:cs="Times New Roman"/>
                <w:lang w:val="pt-BR"/>
              </w:rPr>
              <w:t>(b) o instituție de credit;</w:t>
            </w:r>
          </w:p>
        </w:tc>
        <w:tc>
          <w:tcPr>
            <w:tcW w:w="1834" w:type="pct"/>
            <w:tcBorders>
              <w:top w:val="single" w:sz="4" w:space="0" w:color="auto"/>
              <w:left w:val="single" w:sz="4" w:space="0" w:color="auto"/>
              <w:bottom w:val="single" w:sz="4" w:space="0" w:color="auto"/>
              <w:right w:val="single" w:sz="4" w:space="0" w:color="auto"/>
            </w:tcBorders>
          </w:tcPr>
          <w:p w14:paraId="08D3823F" w14:textId="341E56ED" w:rsidR="002040CD" w:rsidRPr="009E686F" w:rsidRDefault="002040CD" w:rsidP="00837428">
            <w:pPr>
              <w:spacing w:after="0"/>
              <w:jc w:val="both"/>
              <w:rPr>
                <w:rFonts w:ascii="Times New Roman" w:hAnsi="Times New Roman" w:cs="Times New Roman"/>
                <w:bCs/>
                <w:lang w:val="pt-BR"/>
              </w:rPr>
            </w:pPr>
            <w:r w:rsidRPr="009E686F">
              <w:rPr>
                <w:rFonts w:ascii="Times New Roman" w:hAnsi="Times New Roman" w:cs="Times New Roman"/>
                <w:bCs/>
                <w:i/>
                <w:iCs/>
                <w:lang w:val="pt-BR"/>
              </w:rPr>
              <w:t>b) o</w:t>
            </w:r>
            <w:r w:rsidRPr="009E686F">
              <w:rPr>
                <w:rFonts w:ascii="Times New Roman" w:hAnsi="Times New Roman" w:cs="Times New Roman"/>
                <w:bCs/>
                <w:lang w:val="pt-BR"/>
              </w:rPr>
              <w:t xml:space="preserve"> </w:t>
            </w:r>
            <w:r w:rsidRPr="009E686F">
              <w:rPr>
                <w:rFonts w:ascii="Times New Roman" w:hAnsi="Times New Roman" w:cs="Times New Roman"/>
                <w:bCs/>
                <w:i/>
                <w:iCs/>
                <w:lang w:val="pt-BR"/>
              </w:rPr>
              <w:t>instituție de credit</w:t>
            </w:r>
            <w:r w:rsidRPr="009E686F">
              <w:rPr>
                <w:rFonts w:ascii="Times New Roman" w:hAnsi="Times New Roman" w:cs="Times New Roman"/>
                <w:bCs/>
                <w:lang w:val="pt-BR"/>
              </w:rPr>
              <w:t>;</w:t>
            </w:r>
          </w:p>
        </w:tc>
        <w:tc>
          <w:tcPr>
            <w:tcW w:w="470" w:type="pct"/>
            <w:tcBorders>
              <w:top w:val="single" w:sz="4" w:space="0" w:color="auto"/>
              <w:left w:val="single" w:sz="4" w:space="0" w:color="auto"/>
              <w:bottom w:val="single" w:sz="4" w:space="0" w:color="auto"/>
              <w:right w:val="single" w:sz="4" w:space="0" w:color="auto"/>
            </w:tcBorders>
          </w:tcPr>
          <w:p w14:paraId="35384F4E" w14:textId="3FAF6A62" w:rsidR="002040CD" w:rsidRPr="009E686F" w:rsidRDefault="002040CD" w:rsidP="00837428">
            <w:pPr>
              <w:jc w:val="both"/>
              <w:rPr>
                <w:rFonts w:ascii="Times New Roman" w:hAnsi="Times New Roman" w:cs="Times New Roman"/>
                <w:lang w:val="pt-BR"/>
              </w:rPr>
            </w:pPr>
            <w:r w:rsidRPr="009E686F">
              <w:rPr>
                <w:rFonts w:ascii="Times New Roman" w:hAnsi="Times New Roman" w:cs="Times New Roman"/>
              </w:rPr>
              <w:t>Compatibil</w:t>
            </w:r>
          </w:p>
        </w:tc>
        <w:tc>
          <w:tcPr>
            <w:tcW w:w="806" w:type="pct"/>
            <w:vMerge/>
            <w:tcBorders>
              <w:left w:val="single" w:sz="4" w:space="0" w:color="auto"/>
              <w:right w:val="single" w:sz="4" w:space="0" w:color="auto"/>
            </w:tcBorders>
          </w:tcPr>
          <w:p w14:paraId="4C472173" w14:textId="77777777" w:rsidR="002040CD" w:rsidRPr="009E686F" w:rsidRDefault="002040CD" w:rsidP="00837428">
            <w:pPr>
              <w:spacing w:after="0"/>
              <w:jc w:val="both"/>
              <w:rPr>
                <w:rFonts w:ascii="Times New Roman" w:hAnsi="Times New Roman" w:cs="Times New Roman"/>
                <w:lang w:val="pt-BR"/>
              </w:rPr>
            </w:pPr>
          </w:p>
        </w:tc>
      </w:tr>
      <w:tr w:rsidR="002040CD" w:rsidRPr="009E686F" w14:paraId="379C2EC5" w14:textId="77777777" w:rsidTr="00F000B2">
        <w:tc>
          <w:tcPr>
            <w:tcW w:w="1890" w:type="pct"/>
            <w:tcBorders>
              <w:top w:val="single" w:sz="4" w:space="0" w:color="auto"/>
              <w:left w:val="single" w:sz="4" w:space="0" w:color="auto"/>
              <w:bottom w:val="single" w:sz="4" w:space="0" w:color="auto"/>
              <w:right w:val="single" w:sz="4" w:space="0" w:color="auto"/>
            </w:tcBorders>
          </w:tcPr>
          <w:p w14:paraId="130DAE4F" w14:textId="5958E172" w:rsidR="002040CD" w:rsidRPr="009E686F" w:rsidRDefault="002040CD" w:rsidP="00837428">
            <w:pPr>
              <w:spacing w:after="0"/>
              <w:jc w:val="both"/>
              <w:rPr>
                <w:rFonts w:ascii="Times New Roman" w:hAnsi="Times New Roman" w:cs="Times New Roman"/>
                <w:lang w:val="it-CH"/>
              </w:rPr>
            </w:pPr>
            <w:r w:rsidRPr="009E686F">
              <w:rPr>
                <w:rFonts w:ascii="Times New Roman" w:hAnsi="Times New Roman" w:cs="Times New Roman"/>
                <w:lang w:val="it-CH"/>
              </w:rPr>
              <w:t>(c) o întreprindere din același grup din care face parte și întreprinderea stabilită într-o țară terță.</w:t>
            </w:r>
          </w:p>
        </w:tc>
        <w:tc>
          <w:tcPr>
            <w:tcW w:w="1834" w:type="pct"/>
            <w:tcBorders>
              <w:top w:val="single" w:sz="4" w:space="0" w:color="auto"/>
              <w:left w:val="single" w:sz="4" w:space="0" w:color="auto"/>
              <w:bottom w:val="single" w:sz="4" w:space="0" w:color="auto"/>
              <w:right w:val="single" w:sz="4" w:space="0" w:color="auto"/>
            </w:tcBorders>
          </w:tcPr>
          <w:p w14:paraId="7B175436" w14:textId="31CFF1EB" w:rsidR="002040CD" w:rsidRPr="009E686F" w:rsidRDefault="002040CD" w:rsidP="00837428">
            <w:pPr>
              <w:spacing w:after="0"/>
              <w:jc w:val="both"/>
              <w:rPr>
                <w:rFonts w:ascii="Times New Roman" w:hAnsi="Times New Roman" w:cs="Times New Roman"/>
                <w:bCs/>
                <w:i/>
                <w:iCs/>
                <w:lang w:val="it-CH"/>
              </w:rPr>
            </w:pPr>
            <w:r w:rsidRPr="009E686F">
              <w:rPr>
                <w:rFonts w:ascii="Times New Roman" w:hAnsi="Times New Roman" w:cs="Times New Roman"/>
                <w:bCs/>
                <w:i/>
                <w:iCs/>
                <w:lang w:val="it-CH"/>
              </w:rPr>
              <w:t>c) o întreprindere din același grup din care face parte și întreprinderea înființată într-un stat terț.</w:t>
            </w:r>
          </w:p>
        </w:tc>
        <w:tc>
          <w:tcPr>
            <w:tcW w:w="470" w:type="pct"/>
            <w:tcBorders>
              <w:top w:val="single" w:sz="4" w:space="0" w:color="auto"/>
              <w:left w:val="single" w:sz="4" w:space="0" w:color="auto"/>
              <w:bottom w:val="single" w:sz="4" w:space="0" w:color="auto"/>
              <w:right w:val="single" w:sz="4" w:space="0" w:color="auto"/>
            </w:tcBorders>
          </w:tcPr>
          <w:p w14:paraId="490697B3" w14:textId="77777777" w:rsidR="002040CD" w:rsidRPr="009E686F" w:rsidRDefault="002040CD" w:rsidP="00837428">
            <w:pPr>
              <w:jc w:val="both"/>
              <w:rPr>
                <w:rFonts w:ascii="Times New Roman" w:hAnsi="Times New Roman" w:cs="Times New Roman"/>
                <w:lang w:val="it-CH"/>
              </w:rPr>
            </w:pPr>
          </w:p>
        </w:tc>
        <w:tc>
          <w:tcPr>
            <w:tcW w:w="806" w:type="pct"/>
            <w:vMerge/>
            <w:tcBorders>
              <w:left w:val="single" w:sz="4" w:space="0" w:color="auto"/>
              <w:right w:val="single" w:sz="4" w:space="0" w:color="auto"/>
            </w:tcBorders>
          </w:tcPr>
          <w:p w14:paraId="1CF68014" w14:textId="77777777" w:rsidR="002040CD" w:rsidRPr="009E686F" w:rsidRDefault="002040CD" w:rsidP="00837428">
            <w:pPr>
              <w:spacing w:after="0"/>
              <w:jc w:val="both"/>
              <w:rPr>
                <w:rFonts w:ascii="Times New Roman" w:hAnsi="Times New Roman" w:cs="Times New Roman"/>
                <w:lang w:val="it-CH"/>
              </w:rPr>
            </w:pPr>
          </w:p>
        </w:tc>
      </w:tr>
      <w:tr w:rsidR="002040CD" w:rsidRPr="009E686F" w14:paraId="308357F8" w14:textId="77777777" w:rsidTr="00F000B2">
        <w:tc>
          <w:tcPr>
            <w:tcW w:w="1890" w:type="pct"/>
            <w:tcBorders>
              <w:top w:val="single" w:sz="4" w:space="0" w:color="auto"/>
              <w:left w:val="single" w:sz="4" w:space="0" w:color="auto"/>
              <w:bottom w:val="single" w:sz="4" w:space="0" w:color="auto"/>
              <w:right w:val="single" w:sz="4" w:space="0" w:color="auto"/>
            </w:tcBorders>
          </w:tcPr>
          <w:p w14:paraId="1548B478" w14:textId="72879704" w:rsidR="002040CD" w:rsidRPr="009E686F" w:rsidRDefault="002040CD" w:rsidP="00837428">
            <w:pPr>
              <w:spacing w:after="0"/>
              <w:jc w:val="both"/>
              <w:rPr>
                <w:rFonts w:ascii="Times New Roman" w:hAnsi="Times New Roman" w:cs="Times New Roman"/>
                <w:lang w:val="it-IT"/>
              </w:rPr>
            </w:pPr>
            <w:r w:rsidRPr="009E686F">
              <w:rPr>
                <w:rFonts w:ascii="Times New Roman" w:hAnsi="Times New Roman" w:cs="Times New Roman"/>
                <w:lang w:val="it-IT"/>
              </w:rPr>
              <w:t>Fără a aduce atingere literei (c) de la primul paragraf, situația în care o întreprindere dintr-o țară terță contactează un client sau o contraparte ori un potențial client sau o potențială contraparte, menționat(ă) la litera (a) de la paragraful respectiv, prin intermediul unei entități care acționează în nume propriu sau care are legături strânse cu respectiva întreprindere dintr-o țară terță ori prin intermediul oricărei alte persoane care acționează în numele întreprinderii, nu se consideră a fi un serviciu furnizat la inițiativa exclusivă a clientului sau a contrapărții ori a potențialului client sau a potențialei contrapărți.</w:t>
            </w:r>
          </w:p>
        </w:tc>
        <w:tc>
          <w:tcPr>
            <w:tcW w:w="1834" w:type="pct"/>
            <w:tcBorders>
              <w:top w:val="single" w:sz="4" w:space="0" w:color="auto"/>
              <w:left w:val="single" w:sz="4" w:space="0" w:color="auto"/>
              <w:bottom w:val="single" w:sz="4" w:space="0" w:color="auto"/>
              <w:right w:val="single" w:sz="4" w:space="0" w:color="auto"/>
            </w:tcBorders>
          </w:tcPr>
          <w:p w14:paraId="341F7494" w14:textId="6EDDB6A5" w:rsidR="002040CD" w:rsidRPr="009E686F" w:rsidRDefault="002040CD" w:rsidP="00837428">
            <w:pPr>
              <w:spacing w:after="0"/>
              <w:jc w:val="both"/>
              <w:rPr>
                <w:rFonts w:ascii="Times New Roman" w:hAnsi="Times New Roman" w:cs="Times New Roman"/>
                <w:bCs/>
                <w:i/>
                <w:iCs/>
                <w:lang w:val="it-IT"/>
              </w:rPr>
            </w:pPr>
            <w:r w:rsidRPr="009E686F">
              <w:rPr>
                <w:rFonts w:ascii="Times New Roman" w:hAnsi="Times New Roman" w:cs="Times New Roman"/>
                <w:bCs/>
                <w:i/>
                <w:iCs/>
                <w:lang w:val="it-IT"/>
              </w:rPr>
              <w:t>(3) Fără a aduce atingere literei (c) de la alin. (2), cazul în care o întreprindere dintr-un stat terț contactează un client sau o contraparte ori un potențial client sau o potențială contraparte, astfel cum se menționează la alin. (2) lit. a), prin intermediul unei entități care acționează în nume propriu sau care are legături strânse cu respectiva întreprindere dintr-un stat terț ori prin intermediul oricărei alte persoane care acționează în numele întreprinderii, nu se consideră a fi un serviciu furnizat la inițiativa exclusivă a clientului sau a contrapărții ori a potențialului client sau a potențialei contrapărți.</w:t>
            </w:r>
          </w:p>
        </w:tc>
        <w:tc>
          <w:tcPr>
            <w:tcW w:w="470" w:type="pct"/>
            <w:tcBorders>
              <w:top w:val="single" w:sz="4" w:space="0" w:color="auto"/>
              <w:left w:val="single" w:sz="4" w:space="0" w:color="auto"/>
              <w:bottom w:val="single" w:sz="4" w:space="0" w:color="auto"/>
              <w:right w:val="single" w:sz="4" w:space="0" w:color="auto"/>
            </w:tcBorders>
          </w:tcPr>
          <w:p w14:paraId="35C832E0" w14:textId="77777777" w:rsidR="002040CD" w:rsidRPr="009E686F" w:rsidRDefault="002040CD" w:rsidP="00837428">
            <w:pPr>
              <w:jc w:val="both"/>
              <w:rPr>
                <w:rFonts w:ascii="Times New Roman" w:hAnsi="Times New Roman" w:cs="Times New Roman"/>
                <w:lang w:val="it-IT"/>
              </w:rPr>
            </w:pPr>
          </w:p>
        </w:tc>
        <w:tc>
          <w:tcPr>
            <w:tcW w:w="806" w:type="pct"/>
            <w:vMerge/>
            <w:tcBorders>
              <w:left w:val="single" w:sz="4" w:space="0" w:color="auto"/>
              <w:bottom w:val="single" w:sz="4" w:space="0" w:color="auto"/>
              <w:right w:val="single" w:sz="4" w:space="0" w:color="auto"/>
            </w:tcBorders>
          </w:tcPr>
          <w:p w14:paraId="5C547E6F" w14:textId="77777777" w:rsidR="002040CD" w:rsidRPr="009E686F" w:rsidRDefault="002040CD" w:rsidP="00837428">
            <w:pPr>
              <w:spacing w:after="0"/>
              <w:jc w:val="both"/>
              <w:rPr>
                <w:rFonts w:ascii="Times New Roman" w:hAnsi="Times New Roman" w:cs="Times New Roman"/>
                <w:lang w:val="it-IT"/>
              </w:rPr>
            </w:pPr>
          </w:p>
        </w:tc>
      </w:tr>
      <w:tr w:rsidR="00837428" w:rsidRPr="009E686F" w14:paraId="02275A4C" w14:textId="77777777" w:rsidTr="00960C23">
        <w:tc>
          <w:tcPr>
            <w:tcW w:w="1890" w:type="pct"/>
            <w:tcBorders>
              <w:top w:val="single" w:sz="4" w:space="0" w:color="auto"/>
              <w:left w:val="single" w:sz="4" w:space="0" w:color="auto"/>
              <w:bottom w:val="single" w:sz="4" w:space="0" w:color="auto"/>
              <w:right w:val="single" w:sz="4" w:space="0" w:color="auto"/>
            </w:tcBorders>
          </w:tcPr>
          <w:p w14:paraId="2BD5DA6E" w14:textId="7F3B347E" w:rsidR="00837428" w:rsidRPr="009E686F" w:rsidRDefault="00837428" w:rsidP="00837428">
            <w:pPr>
              <w:spacing w:after="0"/>
              <w:jc w:val="both"/>
              <w:rPr>
                <w:rFonts w:ascii="Times New Roman" w:hAnsi="Times New Roman" w:cs="Times New Roman"/>
                <w:lang w:val="it-IT"/>
              </w:rPr>
            </w:pPr>
            <w:r w:rsidRPr="009E686F">
              <w:rPr>
                <w:rFonts w:ascii="Times New Roman" w:hAnsi="Times New Roman" w:cs="Times New Roman"/>
                <w:lang w:val="it-IT"/>
              </w:rPr>
              <w:t>Statele membre se asigură că autoritățile competente au competența de a le impune instituțiilor de credit și sucursalelor stabilite pe teritoriul lor obligația de a le furniza informațiile de care au nevoie pentru a monitoriza serviciile furnizate la inițiativa exclusivă a clientului sau a contrapărții stabilite sau situate pe teritoriul lor, în cazul în care astfel de servicii sunt furnizate de întreprinderi stabilite în țări terțe care fac parte din același grup.</w:t>
            </w:r>
          </w:p>
        </w:tc>
        <w:tc>
          <w:tcPr>
            <w:tcW w:w="1834" w:type="pct"/>
            <w:tcBorders>
              <w:top w:val="single" w:sz="4" w:space="0" w:color="auto"/>
              <w:left w:val="single" w:sz="4" w:space="0" w:color="auto"/>
              <w:bottom w:val="single" w:sz="4" w:space="0" w:color="auto"/>
              <w:right w:val="single" w:sz="4" w:space="0" w:color="auto"/>
            </w:tcBorders>
          </w:tcPr>
          <w:p w14:paraId="40B087A3" w14:textId="0EA9CAA3" w:rsidR="00837428" w:rsidRPr="009E686F" w:rsidRDefault="00837428" w:rsidP="00837428">
            <w:pPr>
              <w:spacing w:after="0"/>
              <w:jc w:val="both"/>
              <w:rPr>
                <w:rFonts w:ascii="Times New Roman" w:hAnsi="Times New Roman" w:cs="Times New Roman"/>
                <w:bCs/>
                <w:lang w:val="it-IT"/>
              </w:rPr>
            </w:pPr>
            <w:r w:rsidRPr="009E686F">
              <w:rPr>
                <w:rFonts w:ascii="Times New Roman" w:hAnsi="Times New Roman" w:cs="Times New Roman"/>
                <w:bCs/>
                <w:i/>
                <w:iCs/>
                <w:lang w:val="it-IT"/>
              </w:rPr>
              <w:t xml:space="preserve">(4) Instituțiile de credit și sucursalele deschise pe teritoriul Republicii Moldova trebuie să furnizeze Băncii Naționale a Moldovei informațiile necesare pentru a monitoriza serviciile furnizate la inițiativa exclusivă a clientului sau a contrapărții </w:t>
            </w:r>
            <w:r w:rsidR="0091535B" w:rsidRPr="009E686F">
              <w:rPr>
                <w:rFonts w:ascii="Times New Roman" w:hAnsi="Times New Roman" w:cs="Times New Roman"/>
                <w:bCs/>
                <w:i/>
                <w:iCs/>
                <w:lang w:val="it-IT"/>
              </w:rPr>
              <w:t>înființate</w:t>
            </w:r>
            <w:r w:rsidRPr="009E686F">
              <w:rPr>
                <w:rFonts w:ascii="Times New Roman" w:hAnsi="Times New Roman" w:cs="Times New Roman"/>
                <w:bCs/>
                <w:i/>
                <w:iCs/>
                <w:lang w:val="it-IT"/>
              </w:rPr>
              <w:t>sau situate pe teritoriul Republicii Moldova, în cazul în</w:t>
            </w:r>
            <w:r w:rsidRPr="009E686F">
              <w:rPr>
                <w:rFonts w:ascii="Times New Roman" w:hAnsi="Times New Roman" w:cs="Times New Roman"/>
                <w:bCs/>
                <w:lang w:val="it-IT"/>
              </w:rPr>
              <w:t xml:space="preserve"> </w:t>
            </w:r>
            <w:r w:rsidRPr="009E686F">
              <w:rPr>
                <w:rFonts w:ascii="Times New Roman" w:hAnsi="Times New Roman" w:cs="Times New Roman"/>
                <w:bCs/>
                <w:i/>
                <w:iCs/>
                <w:lang w:val="it-IT"/>
              </w:rPr>
              <w:t>care astfel de servicii sunt furnizate de întreprinderi stabilite în state terțe care fac parte din același grup.</w:t>
            </w:r>
          </w:p>
        </w:tc>
        <w:tc>
          <w:tcPr>
            <w:tcW w:w="470" w:type="pct"/>
            <w:tcBorders>
              <w:top w:val="single" w:sz="4" w:space="0" w:color="auto"/>
              <w:left w:val="single" w:sz="4" w:space="0" w:color="auto"/>
              <w:bottom w:val="single" w:sz="4" w:space="0" w:color="auto"/>
              <w:right w:val="single" w:sz="4" w:space="0" w:color="auto"/>
            </w:tcBorders>
          </w:tcPr>
          <w:p w14:paraId="4F505F77" w14:textId="77777777" w:rsidR="00837428" w:rsidRPr="009E686F" w:rsidRDefault="00837428" w:rsidP="00837428">
            <w:pPr>
              <w:jc w:val="both"/>
              <w:rPr>
                <w:rFonts w:ascii="Times New Roman" w:hAnsi="Times New Roman" w:cs="Times New Roman"/>
                <w:lang w:val="it-IT"/>
              </w:rPr>
            </w:pPr>
          </w:p>
        </w:tc>
        <w:tc>
          <w:tcPr>
            <w:tcW w:w="806" w:type="pct"/>
            <w:tcBorders>
              <w:top w:val="single" w:sz="4" w:space="0" w:color="auto"/>
              <w:left w:val="single" w:sz="4" w:space="0" w:color="auto"/>
              <w:bottom w:val="single" w:sz="4" w:space="0" w:color="auto"/>
              <w:right w:val="single" w:sz="4" w:space="0" w:color="auto"/>
            </w:tcBorders>
          </w:tcPr>
          <w:p w14:paraId="596B3D9B" w14:textId="77777777" w:rsidR="00837428" w:rsidRPr="009E686F" w:rsidRDefault="00837428" w:rsidP="00837428">
            <w:pPr>
              <w:spacing w:after="0"/>
              <w:jc w:val="both"/>
              <w:rPr>
                <w:rFonts w:ascii="Times New Roman" w:hAnsi="Times New Roman" w:cs="Times New Roman"/>
                <w:lang w:val="it-IT"/>
              </w:rPr>
            </w:pPr>
          </w:p>
        </w:tc>
      </w:tr>
      <w:tr w:rsidR="00837428" w:rsidRPr="009E686F" w14:paraId="23DC8FE9" w14:textId="77777777" w:rsidTr="00960C23">
        <w:tc>
          <w:tcPr>
            <w:tcW w:w="1890" w:type="pct"/>
            <w:tcBorders>
              <w:top w:val="single" w:sz="4" w:space="0" w:color="auto"/>
              <w:left w:val="single" w:sz="4" w:space="0" w:color="auto"/>
              <w:bottom w:val="single" w:sz="4" w:space="0" w:color="auto"/>
              <w:right w:val="single" w:sz="4" w:space="0" w:color="auto"/>
            </w:tcBorders>
          </w:tcPr>
          <w:p w14:paraId="08921EF1" w14:textId="3804C072" w:rsidR="00837428" w:rsidRPr="009E686F" w:rsidRDefault="00837428" w:rsidP="00837428">
            <w:pPr>
              <w:spacing w:after="0"/>
              <w:jc w:val="both"/>
              <w:rPr>
                <w:rFonts w:ascii="Times New Roman" w:hAnsi="Times New Roman" w:cs="Times New Roman"/>
                <w:lang w:val="it-CH"/>
              </w:rPr>
            </w:pPr>
            <w:r w:rsidRPr="009E686F">
              <w:rPr>
                <w:rFonts w:ascii="Times New Roman" w:hAnsi="Times New Roman" w:cs="Times New Roman"/>
                <w:lang w:val="it-CH"/>
              </w:rPr>
              <w:lastRenderedPageBreak/>
              <w:t>(3) Inițiativa unui client sau a unei contrapărți, astfel cum este menționată la alineatul (2), nu îi conferă întreprinderii dintr-o țară terță dreptul să comercializeze alte categorii de produse, activități sau servicii decât cele solicitate de client sau de contraparte, altfel decât prin intermediul unei sucursale dintr-o țară terță stabilite într-un stat membru. Cu toate acestea, înființarea unei sucursale dintr-o țară terță nu este obligatorie pentru niciun fel de serviciu, activitate sau produs necesar pentru furnizarea serviciilor, a produselor sau a activităților solicitate inițial de client sau de contraparte sau strâns legate de acestea, inclusiv în cazul în care astfel de servicii, activități sau produse strâns legate sunt furnizate ulterior celor solicitate inițial.</w:t>
            </w:r>
          </w:p>
        </w:tc>
        <w:tc>
          <w:tcPr>
            <w:tcW w:w="1834" w:type="pct"/>
            <w:tcBorders>
              <w:top w:val="single" w:sz="4" w:space="0" w:color="auto"/>
              <w:left w:val="single" w:sz="4" w:space="0" w:color="auto"/>
              <w:bottom w:val="single" w:sz="4" w:space="0" w:color="auto"/>
              <w:right w:val="single" w:sz="4" w:space="0" w:color="auto"/>
            </w:tcBorders>
          </w:tcPr>
          <w:p w14:paraId="5DD0AC82" w14:textId="22CF8757" w:rsidR="00837428" w:rsidRPr="009E686F" w:rsidRDefault="00837428" w:rsidP="00837428">
            <w:pPr>
              <w:spacing w:after="0"/>
              <w:jc w:val="both"/>
              <w:rPr>
                <w:rFonts w:ascii="Times New Roman" w:hAnsi="Times New Roman" w:cs="Times New Roman"/>
                <w:bCs/>
                <w:i/>
                <w:iCs/>
                <w:lang w:val="it-CH"/>
              </w:rPr>
            </w:pPr>
            <w:r w:rsidRPr="009E686F">
              <w:rPr>
                <w:rFonts w:ascii="Times New Roman" w:hAnsi="Times New Roman" w:cs="Times New Roman"/>
                <w:bCs/>
                <w:i/>
                <w:iCs/>
                <w:lang w:val="it-CH"/>
              </w:rPr>
              <w:t xml:space="preserve">(5) Întreprinderea dintr-un stat terț nu are dreptul să comercializeze alte categorii de produse, activități sau servicii decât cele solicitate de client sau de contraparte, astfel cum se menționează la alin. (2), altfel decât prin intermediul unei sucursale dintr-un stat terț </w:t>
            </w:r>
            <w:r w:rsidRPr="009E686F">
              <w:rPr>
                <w:rFonts w:ascii="Times New Roman" w:hAnsi="Times New Roman" w:cs="Times New Roman"/>
                <w:bCs/>
                <w:i/>
                <w:iCs/>
                <w:lang w:val="it-IT"/>
              </w:rPr>
              <w:t xml:space="preserve">deschise </w:t>
            </w:r>
            <w:r w:rsidRPr="009E686F">
              <w:rPr>
                <w:rFonts w:ascii="Times New Roman" w:hAnsi="Times New Roman" w:cs="Times New Roman"/>
                <w:bCs/>
                <w:i/>
                <w:iCs/>
                <w:lang w:val="it-CH"/>
              </w:rPr>
              <w:t>pe teritoriul Republicii Moldova.</w:t>
            </w:r>
          </w:p>
          <w:p w14:paraId="360E8BF8" w14:textId="0E87C9F5" w:rsidR="00837428" w:rsidRPr="009E686F" w:rsidRDefault="00837428" w:rsidP="00837428">
            <w:pPr>
              <w:spacing w:after="0"/>
              <w:jc w:val="both"/>
              <w:rPr>
                <w:rFonts w:ascii="Times New Roman" w:hAnsi="Times New Roman" w:cs="Times New Roman"/>
                <w:bCs/>
                <w:lang w:val="it-CH"/>
              </w:rPr>
            </w:pPr>
            <w:r w:rsidRPr="009E686F">
              <w:rPr>
                <w:rFonts w:ascii="Times New Roman" w:hAnsi="Times New Roman" w:cs="Times New Roman"/>
                <w:bCs/>
                <w:i/>
                <w:iCs/>
                <w:lang w:val="it-CH"/>
              </w:rPr>
              <w:t>(6) Alin. (5) nu se aplică în cazul în care întreprinderea dintr-un stat terț prestează servicii, activități sau să comercializeze produse necesare pentru furnizarea serviciilor, a produselor sau a activităților solicitate inițial de client sau de contraparte sau strâns legate de acestea, inclusiv în cazul în care astfel de servicii, activități sau produse strâns legate sunt furnizate ulterior celor solicitate inițial.</w:t>
            </w:r>
          </w:p>
        </w:tc>
        <w:tc>
          <w:tcPr>
            <w:tcW w:w="470" w:type="pct"/>
            <w:tcBorders>
              <w:top w:val="single" w:sz="4" w:space="0" w:color="auto"/>
              <w:left w:val="single" w:sz="4" w:space="0" w:color="auto"/>
              <w:bottom w:val="single" w:sz="4" w:space="0" w:color="auto"/>
              <w:right w:val="single" w:sz="4" w:space="0" w:color="auto"/>
            </w:tcBorders>
          </w:tcPr>
          <w:p w14:paraId="671C7239" w14:textId="77777777" w:rsidR="00837428" w:rsidRPr="009E686F" w:rsidRDefault="00837428" w:rsidP="00837428">
            <w:pPr>
              <w:jc w:val="both"/>
              <w:rPr>
                <w:rFonts w:ascii="Times New Roman" w:hAnsi="Times New Roman" w:cs="Times New Roman"/>
                <w:lang w:val="it-CH"/>
              </w:rPr>
            </w:pPr>
          </w:p>
        </w:tc>
        <w:tc>
          <w:tcPr>
            <w:tcW w:w="806" w:type="pct"/>
            <w:tcBorders>
              <w:top w:val="single" w:sz="4" w:space="0" w:color="auto"/>
              <w:left w:val="single" w:sz="4" w:space="0" w:color="auto"/>
              <w:bottom w:val="single" w:sz="4" w:space="0" w:color="auto"/>
              <w:right w:val="single" w:sz="4" w:space="0" w:color="auto"/>
            </w:tcBorders>
          </w:tcPr>
          <w:p w14:paraId="4956D956" w14:textId="77777777" w:rsidR="00837428" w:rsidRPr="009E686F" w:rsidRDefault="00837428" w:rsidP="00837428">
            <w:pPr>
              <w:spacing w:after="0"/>
              <w:jc w:val="both"/>
              <w:rPr>
                <w:rFonts w:ascii="Times New Roman" w:hAnsi="Times New Roman" w:cs="Times New Roman"/>
                <w:lang w:val="it-CH"/>
              </w:rPr>
            </w:pPr>
          </w:p>
        </w:tc>
      </w:tr>
      <w:tr w:rsidR="00837428" w:rsidRPr="009E686F" w14:paraId="20982916" w14:textId="77777777" w:rsidTr="00960C23">
        <w:tc>
          <w:tcPr>
            <w:tcW w:w="1890" w:type="pct"/>
            <w:tcBorders>
              <w:top w:val="single" w:sz="4" w:space="0" w:color="auto"/>
              <w:left w:val="single" w:sz="4" w:space="0" w:color="auto"/>
              <w:bottom w:val="single" w:sz="4" w:space="0" w:color="auto"/>
              <w:right w:val="single" w:sz="4" w:space="0" w:color="auto"/>
            </w:tcBorders>
          </w:tcPr>
          <w:p w14:paraId="4B58FF59" w14:textId="5408861A" w:rsidR="00837428" w:rsidRPr="009E686F" w:rsidRDefault="00837428" w:rsidP="00837428">
            <w:pPr>
              <w:spacing w:after="0"/>
              <w:jc w:val="both"/>
              <w:rPr>
                <w:rFonts w:ascii="Times New Roman" w:hAnsi="Times New Roman" w:cs="Times New Roman"/>
                <w:lang w:val="it-CH"/>
              </w:rPr>
            </w:pPr>
            <w:r w:rsidRPr="009E686F">
              <w:rPr>
                <w:rFonts w:ascii="Times New Roman" w:hAnsi="Times New Roman" w:cs="Times New Roman"/>
                <w:lang w:val="it-CH"/>
              </w:rPr>
              <w:t>(4) Obligația prevăzută la alineatul (1) de la prezentul articol nu se aplică în cazul serviciilor sau al activităților enumerate în secțiunea A din anexa I la Directiva 2014/65/UE și nici serviciilor auxiliare, cum ar fi atragerea de depozite conexe sau acordarea de credite ori împrumuturi al căror scop este de a furniza servicii în temeiul directivei respective.</w:t>
            </w:r>
          </w:p>
        </w:tc>
        <w:tc>
          <w:tcPr>
            <w:tcW w:w="1834" w:type="pct"/>
            <w:tcBorders>
              <w:top w:val="single" w:sz="4" w:space="0" w:color="auto"/>
              <w:left w:val="single" w:sz="4" w:space="0" w:color="auto"/>
              <w:bottom w:val="single" w:sz="4" w:space="0" w:color="auto"/>
              <w:right w:val="single" w:sz="4" w:space="0" w:color="auto"/>
            </w:tcBorders>
          </w:tcPr>
          <w:p w14:paraId="7524CD4A" w14:textId="72B37DA0" w:rsidR="00837428" w:rsidRPr="009E686F" w:rsidRDefault="00837428" w:rsidP="00837428">
            <w:pPr>
              <w:spacing w:after="0"/>
              <w:jc w:val="both"/>
              <w:rPr>
                <w:rFonts w:ascii="Times New Roman" w:hAnsi="Times New Roman" w:cs="Times New Roman"/>
                <w:bCs/>
                <w:i/>
                <w:iCs/>
                <w:lang w:val="it-CH"/>
              </w:rPr>
            </w:pPr>
            <w:r w:rsidRPr="009E686F">
              <w:rPr>
                <w:rFonts w:ascii="Times New Roman" w:hAnsi="Times New Roman" w:cs="Times New Roman"/>
                <w:bCs/>
                <w:i/>
                <w:iCs/>
                <w:lang w:val="it-CH"/>
              </w:rPr>
              <w:t xml:space="preserve">(7) Prevederile alin. (1) nu se aplică în cazul serviciilor sau al activităților prevăzute de art. 9 din Legea </w:t>
            </w:r>
            <w:r w:rsidR="00336336" w:rsidRPr="009E686F">
              <w:rPr>
                <w:rFonts w:ascii="Times New Roman" w:hAnsi="Times New Roman" w:cs="Times New Roman"/>
                <w:bCs/>
                <w:i/>
                <w:iCs/>
                <w:lang w:val="it-CH"/>
              </w:rPr>
              <w:t>nr. 181/2026</w:t>
            </w:r>
            <w:r w:rsidRPr="009E686F">
              <w:rPr>
                <w:rFonts w:ascii="Times New Roman" w:hAnsi="Times New Roman" w:cs="Times New Roman"/>
                <w:bCs/>
                <w:i/>
                <w:iCs/>
                <w:lang w:val="it-CH"/>
              </w:rPr>
              <w:t xml:space="preserve"> și nici serviciilor auxiliare, cum ar fi atragerea de depozite conexe sau acordarea de credite ori împrumuturi al căror scop este de a furniza servicii în temeiul legii respective.</w:t>
            </w:r>
          </w:p>
        </w:tc>
        <w:tc>
          <w:tcPr>
            <w:tcW w:w="470" w:type="pct"/>
            <w:tcBorders>
              <w:top w:val="single" w:sz="4" w:space="0" w:color="auto"/>
              <w:left w:val="single" w:sz="4" w:space="0" w:color="auto"/>
              <w:bottom w:val="single" w:sz="4" w:space="0" w:color="auto"/>
              <w:right w:val="single" w:sz="4" w:space="0" w:color="auto"/>
            </w:tcBorders>
          </w:tcPr>
          <w:p w14:paraId="1FE49795" w14:textId="77777777" w:rsidR="00837428" w:rsidRPr="009E686F" w:rsidRDefault="00837428" w:rsidP="00837428">
            <w:pPr>
              <w:jc w:val="both"/>
              <w:rPr>
                <w:rFonts w:ascii="Times New Roman" w:hAnsi="Times New Roman" w:cs="Times New Roman"/>
                <w:lang w:val="it-CH"/>
              </w:rPr>
            </w:pPr>
          </w:p>
        </w:tc>
        <w:tc>
          <w:tcPr>
            <w:tcW w:w="806" w:type="pct"/>
            <w:tcBorders>
              <w:top w:val="single" w:sz="4" w:space="0" w:color="auto"/>
              <w:left w:val="single" w:sz="4" w:space="0" w:color="auto"/>
              <w:bottom w:val="single" w:sz="4" w:space="0" w:color="auto"/>
              <w:right w:val="single" w:sz="4" w:space="0" w:color="auto"/>
            </w:tcBorders>
          </w:tcPr>
          <w:p w14:paraId="1F97E0CF" w14:textId="77777777" w:rsidR="00837428" w:rsidRPr="009E686F" w:rsidRDefault="00837428" w:rsidP="00837428">
            <w:pPr>
              <w:spacing w:after="0"/>
              <w:jc w:val="both"/>
              <w:rPr>
                <w:rFonts w:ascii="Times New Roman" w:hAnsi="Times New Roman" w:cs="Times New Roman"/>
                <w:lang w:val="it-CH"/>
              </w:rPr>
            </w:pPr>
          </w:p>
        </w:tc>
      </w:tr>
      <w:tr w:rsidR="00837428" w:rsidRPr="009E686F" w14:paraId="523FB238" w14:textId="77777777" w:rsidTr="00960C23">
        <w:tc>
          <w:tcPr>
            <w:tcW w:w="1890" w:type="pct"/>
            <w:tcBorders>
              <w:top w:val="single" w:sz="4" w:space="0" w:color="auto"/>
              <w:left w:val="single" w:sz="4" w:space="0" w:color="auto"/>
              <w:bottom w:val="single" w:sz="4" w:space="0" w:color="auto"/>
              <w:right w:val="single" w:sz="4" w:space="0" w:color="auto"/>
            </w:tcBorders>
          </w:tcPr>
          <w:p w14:paraId="1CF205EF" w14:textId="1DDC41A0" w:rsidR="00837428" w:rsidRPr="009E686F" w:rsidRDefault="00837428" w:rsidP="00837428">
            <w:pPr>
              <w:spacing w:after="0"/>
              <w:jc w:val="both"/>
              <w:rPr>
                <w:rFonts w:ascii="Times New Roman" w:hAnsi="Times New Roman" w:cs="Times New Roman"/>
                <w:lang w:val="it-CH"/>
              </w:rPr>
            </w:pPr>
            <w:r w:rsidRPr="009E686F">
              <w:rPr>
                <w:rFonts w:ascii="Times New Roman" w:hAnsi="Times New Roman" w:cs="Times New Roman"/>
                <w:lang w:val="it-CH"/>
              </w:rPr>
              <w:t>(5) Pentru a menține drepturile dobândite de clienți în temeiul unor contracte existente, obligația prevăzută la alineatul (1) nu aduce atingere contractelor existente care au fost încheiate înainte de 11 iulie 2026.</w:t>
            </w:r>
          </w:p>
        </w:tc>
        <w:tc>
          <w:tcPr>
            <w:tcW w:w="1834" w:type="pct"/>
            <w:tcBorders>
              <w:top w:val="single" w:sz="4" w:space="0" w:color="auto"/>
              <w:left w:val="single" w:sz="4" w:space="0" w:color="auto"/>
              <w:bottom w:val="single" w:sz="4" w:space="0" w:color="auto"/>
              <w:right w:val="single" w:sz="4" w:space="0" w:color="auto"/>
            </w:tcBorders>
          </w:tcPr>
          <w:p w14:paraId="56A4A77E" w14:textId="77777777" w:rsidR="00837428" w:rsidRPr="009E686F" w:rsidRDefault="00837428" w:rsidP="00837428">
            <w:pPr>
              <w:spacing w:after="0"/>
              <w:jc w:val="both"/>
              <w:rPr>
                <w:rFonts w:ascii="Times New Roman" w:hAnsi="Times New Roman" w:cs="Times New Roman"/>
                <w:b/>
                <w:lang w:val="it-CH"/>
              </w:rPr>
            </w:pPr>
          </w:p>
        </w:tc>
        <w:tc>
          <w:tcPr>
            <w:tcW w:w="470" w:type="pct"/>
            <w:tcBorders>
              <w:top w:val="single" w:sz="4" w:space="0" w:color="auto"/>
              <w:left w:val="single" w:sz="4" w:space="0" w:color="auto"/>
              <w:bottom w:val="single" w:sz="4" w:space="0" w:color="auto"/>
              <w:right w:val="single" w:sz="4" w:space="0" w:color="auto"/>
            </w:tcBorders>
          </w:tcPr>
          <w:p w14:paraId="05BA6066" w14:textId="1592432D" w:rsidR="00837428" w:rsidRPr="009E686F" w:rsidRDefault="00837428" w:rsidP="00837428">
            <w:pPr>
              <w:jc w:val="both"/>
              <w:rPr>
                <w:rFonts w:ascii="Times New Roman" w:hAnsi="Times New Roman" w:cs="Times New Roman"/>
                <w:lang w:val="it-CH"/>
              </w:rPr>
            </w:pPr>
            <w:r w:rsidRPr="009E686F">
              <w:rPr>
                <w:rFonts w:ascii="Times New Roman" w:hAnsi="Times New Roman" w:cs="Times New Roman"/>
                <w:lang w:val="it-CH"/>
              </w:rPr>
              <w:t>Norme UE neaplicabile</w:t>
            </w:r>
          </w:p>
        </w:tc>
        <w:tc>
          <w:tcPr>
            <w:tcW w:w="806" w:type="pct"/>
            <w:tcBorders>
              <w:top w:val="single" w:sz="4" w:space="0" w:color="auto"/>
              <w:left w:val="single" w:sz="4" w:space="0" w:color="auto"/>
              <w:bottom w:val="single" w:sz="4" w:space="0" w:color="auto"/>
              <w:right w:val="single" w:sz="4" w:space="0" w:color="auto"/>
            </w:tcBorders>
          </w:tcPr>
          <w:p w14:paraId="5A10D171" w14:textId="06D5DE36" w:rsidR="00837428" w:rsidRPr="009E686F" w:rsidRDefault="00837428" w:rsidP="00837428">
            <w:pPr>
              <w:spacing w:after="0"/>
              <w:jc w:val="both"/>
              <w:rPr>
                <w:rFonts w:ascii="Times New Roman" w:hAnsi="Times New Roman" w:cs="Times New Roman"/>
                <w:lang w:val="it-CH"/>
              </w:rPr>
            </w:pPr>
            <w:r w:rsidRPr="009E686F">
              <w:rPr>
                <w:rFonts w:ascii="Times New Roman" w:hAnsi="Times New Roman" w:cs="Times New Roman"/>
                <w:lang w:val="it-CH"/>
              </w:rPr>
              <w:t>Norme tranzitorii pentru statele membre pentru contractele încheiate înainte de 11 iulie 2026.</w:t>
            </w:r>
          </w:p>
        </w:tc>
      </w:tr>
      <w:tr w:rsidR="00837428" w:rsidRPr="009E686F" w14:paraId="341ADBC3" w14:textId="77777777" w:rsidTr="00960C23">
        <w:tc>
          <w:tcPr>
            <w:tcW w:w="1890" w:type="pct"/>
            <w:tcBorders>
              <w:top w:val="single" w:sz="4" w:space="0" w:color="auto"/>
              <w:left w:val="single" w:sz="4" w:space="0" w:color="auto"/>
              <w:bottom w:val="single" w:sz="4" w:space="0" w:color="auto"/>
              <w:right w:val="single" w:sz="4" w:space="0" w:color="auto"/>
            </w:tcBorders>
          </w:tcPr>
          <w:p w14:paraId="03A1E4D2" w14:textId="182E019B" w:rsidR="00837428" w:rsidRPr="009E686F" w:rsidRDefault="00837428" w:rsidP="00837428">
            <w:pPr>
              <w:spacing w:after="0"/>
              <w:jc w:val="both"/>
              <w:rPr>
                <w:rFonts w:ascii="Times New Roman" w:hAnsi="Times New Roman" w:cs="Times New Roman"/>
                <w:lang w:val="it-CH"/>
              </w:rPr>
            </w:pPr>
            <w:r w:rsidRPr="009E686F">
              <w:rPr>
                <w:rFonts w:ascii="Times New Roman" w:hAnsi="Times New Roman" w:cs="Times New Roman"/>
                <w:lang w:val="it-CH"/>
              </w:rPr>
              <w:t xml:space="preserve">(6) Până la 10 iulie 2025, ABE, după consultarea EIOPA și a ESMA, analizează dacă vreo entitate din sectorul financiar, în plus față de instituțiile de credit, ar trebui să fie exceptată de la obligația de a înființa o sucursală pentru furnizarea de servicii bancare de către întreprinderi din țări terțe în conformitate cu prezentul articol. ABE prezintă un raport în acest sens Parlamentului European, Consiliului și Comisiei. Raportul ține </w:t>
            </w:r>
            <w:r w:rsidRPr="009E686F">
              <w:rPr>
                <w:rFonts w:ascii="Times New Roman" w:hAnsi="Times New Roman" w:cs="Times New Roman"/>
                <w:lang w:val="it-CH"/>
              </w:rPr>
              <w:lastRenderedPageBreak/>
              <w:t xml:space="preserve">seama de preocupările legate de stabilitatea financiară și de impactul asupra competitivității Uniunii. </w:t>
            </w:r>
          </w:p>
        </w:tc>
        <w:tc>
          <w:tcPr>
            <w:tcW w:w="1834" w:type="pct"/>
            <w:tcBorders>
              <w:top w:val="single" w:sz="4" w:space="0" w:color="auto"/>
              <w:left w:val="single" w:sz="4" w:space="0" w:color="auto"/>
              <w:bottom w:val="single" w:sz="4" w:space="0" w:color="auto"/>
              <w:right w:val="single" w:sz="4" w:space="0" w:color="auto"/>
            </w:tcBorders>
          </w:tcPr>
          <w:p w14:paraId="011995A2" w14:textId="77777777" w:rsidR="00837428" w:rsidRPr="009E686F" w:rsidRDefault="00837428" w:rsidP="00837428">
            <w:pPr>
              <w:spacing w:after="0"/>
              <w:jc w:val="both"/>
              <w:rPr>
                <w:rFonts w:ascii="Times New Roman" w:hAnsi="Times New Roman" w:cs="Times New Roman"/>
                <w:b/>
                <w:lang w:val="it-CH"/>
              </w:rPr>
            </w:pPr>
          </w:p>
        </w:tc>
        <w:tc>
          <w:tcPr>
            <w:tcW w:w="470" w:type="pct"/>
            <w:tcBorders>
              <w:top w:val="single" w:sz="4" w:space="0" w:color="auto"/>
              <w:left w:val="single" w:sz="4" w:space="0" w:color="auto"/>
              <w:bottom w:val="single" w:sz="4" w:space="0" w:color="auto"/>
              <w:right w:val="single" w:sz="4" w:space="0" w:color="auto"/>
            </w:tcBorders>
          </w:tcPr>
          <w:p w14:paraId="4D8E1C60" w14:textId="5002B8DC" w:rsidR="00837428" w:rsidRPr="009E686F" w:rsidRDefault="00837428" w:rsidP="00837428">
            <w:pPr>
              <w:jc w:val="both"/>
              <w:rPr>
                <w:rFonts w:ascii="Times New Roman" w:hAnsi="Times New Roman" w:cs="Times New Roman"/>
                <w:lang w:val="it-CH"/>
              </w:rPr>
            </w:pPr>
            <w:r w:rsidRPr="009E686F">
              <w:rPr>
                <w:rFonts w:ascii="Times New Roman" w:hAnsi="Times New Roman" w:cs="Times New Roman"/>
                <w:lang w:val="it-CH"/>
              </w:rPr>
              <w:t>Norme UE neaplicabile</w:t>
            </w:r>
          </w:p>
        </w:tc>
        <w:tc>
          <w:tcPr>
            <w:tcW w:w="806" w:type="pct"/>
            <w:tcBorders>
              <w:top w:val="single" w:sz="4" w:space="0" w:color="auto"/>
              <w:left w:val="single" w:sz="4" w:space="0" w:color="auto"/>
              <w:bottom w:val="single" w:sz="4" w:space="0" w:color="auto"/>
              <w:right w:val="single" w:sz="4" w:space="0" w:color="auto"/>
            </w:tcBorders>
          </w:tcPr>
          <w:p w14:paraId="5FE37560" w14:textId="68E2635F" w:rsidR="00837428" w:rsidRPr="009E686F" w:rsidRDefault="00837428" w:rsidP="00837428">
            <w:pPr>
              <w:spacing w:after="0"/>
              <w:jc w:val="both"/>
              <w:rPr>
                <w:rFonts w:ascii="Times New Roman" w:hAnsi="Times New Roman" w:cs="Times New Roman"/>
                <w:lang w:val="it-CH"/>
              </w:rPr>
            </w:pPr>
            <w:r w:rsidRPr="009E686F">
              <w:rPr>
                <w:rFonts w:ascii="Times New Roman" w:hAnsi="Times New Roman" w:cs="Times New Roman"/>
                <w:lang w:val="it-CH"/>
              </w:rPr>
              <w:t>Se referă la competențele ABE.</w:t>
            </w:r>
          </w:p>
        </w:tc>
      </w:tr>
      <w:tr w:rsidR="00837428" w:rsidRPr="009E686F" w14:paraId="1CA252A2" w14:textId="77777777" w:rsidTr="00960C23">
        <w:tc>
          <w:tcPr>
            <w:tcW w:w="1890" w:type="pct"/>
            <w:tcBorders>
              <w:top w:val="single" w:sz="4" w:space="0" w:color="auto"/>
              <w:left w:val="single" w:sz="4" w:space="0" w:color="auto"/>
              <w:bottom w:val="single" w:sz="4" w:space="0" w:color="auto"/>
              <w:right w:val="single" w:sz="4" w:space="0" w:color="auto"/>
            </w:tcBorders>
          </w:tcPr>
          <w:p w14:paraId="18BB585F" w14:textId="4C0AE751" w:rsidR="00837428" w:rsidRPr="009E686F" w:rsidRDefault="00837428" w:rsidP="00837428">
            <w:pPr>
              <w:spacing w:after="0"/>
              <w:jc w:val="both"/>
              <w:rPr>
                <w:rFonts w:ascii="Times New Roman" w:hAnsi="Times New Roman" w:cs="Times New Roman"/>
                <w:lang w:val="it-CH"/>
              </w:rPr>
            </w:pPr>
            <w:r w:rsidRPr="009E686F">
              <w:rPr>
                <w:rFonts w:ascii="Times New Roman" w:hAnsi="Times New Roman" w:cs="Times New Roman"/>
                <w:lang w:val="it-CH"/>
              </w:rPr>
              <w:t>Pe baza raportului respectiv, Comisia prezintă Parlamentului European și Consiliului o propunere legislativă, dacă este cazul.</w:t>
            </w:r>
          </w:p>
        </w:tc>
        <w:tc>
          <w:tcPr>
            <w:tcW w:w="1834" w:type="pct"/>
            <w:tcBorders>
              <w:top w:val="single" w:sz="4" w:space="0" w:color="auto"/>
              <w:left w:val="single" w:sz="4" w:space="0" w:color="auto"/>
              <w:bottom w:val="single" w:sz="4" w:space="0" w:color="auto"/>
              <w:right w:val="single" w:sz="4" w:space="0" w:color="auto"/>
            </w:tcBorders>
          </w:tcPr>
          <w:p w14:paraId="56BF23FF" w14:textId="77777777" w:rsidR="00837428" w:rsidRPr="009E686F" w:rsidRDefault="00837428" w:rsidP="00837428">
            <w:pPr>
              <w:spacing w:after="0"/>
              <w:jc w:val="both"/>
              <w:rPr>
                <w:rFonts w:ascii="Times New Roman" w:hAnsi="Times New Roman" w:cs="Times New Roman"/>
                <w:b/>
                <w:lang w:val="it-CH"/>
              </w:rPr>
            </w:pPr>
          </w:p>
        </w:tc>
        <w:tc>
          <w:tcPr>
            <w:tcW w:w="470" w:type="pct"/>
            <w:tcBorders>
              <w:top w:val="single" w:sz="4" w:space="0" w:color="auto"/>
              <w:left w:val="single" w:sz="4" w:space="0" w:color="auto"/>
              <w:bottom w:val="single" w:sz="4" w:space="0" w:color="auto"/>
              <w:right w:val="single" w:sz="4" w:space="0" w:color="auto"/>
            </w:tcBorders>
          </w:tcPr>
          <w:p w14:paraId="7DD4C154" w14:textId="425A3713" w:rsidR="00837428" w:rsidRPr="009E686F" w:rsidRDefault="00837428" w:rsidP="00837428">
            <w:pPr>
              <w:jc w:val="both"/>
              <w:rPr>
                <w:rFonts w:ascii="Times New Roman" w:hAnsi="Times New Roman" w:cs="Times New Roman"/>
                <w:lang w:val="it-CH"/>
              </w:rPr>
            </w:pPr>
            <w:r w:rsidRPr="009E686F">
              <w:rPr>
                <w:rFonts w:ascii="Times New Roman" w:hAnsi="Times New Roman" w:cs="Times New Roman"/>
                <w:lang w:val="it-CH"/>
              </w:rPr>
              <w:t>Norme UE neaplicabile</w:t>
            </w:r>
          </w:p>
        </w:tc>
        <w:tc>
          <w:tcPr>
            <w:tcW w:w="806" w:type="pct"/>
            <w:tcBorders>
              <w:top w:val="single" w:sz="4" w:space="0" w:color="auto"/>
              <w:left w:val="single" w:sz="4" w:space="0" w:color="auto"/>
              <w:bottom w:val="single" w:sz="4" w:space="0" w:color="auto"/>
              <w:right w:val="single" w:sz="4" w:space="0" w:color="auto"/>
            </w:tcBorders>
          </w:tcPr>
          <w:p w14:paraId="6609AF98" w14:textId="1B3BD9FF" w:rsidR="00837428" w:rsidRPr="009E686F" w:rsidRDefault="00837428" w:rsidP="00837428">
            <w:pPr>
              <w:spacing w:after="0"/>
              <w:jc w:val="both"/>
              <w:rPr>
                <w:rFonts w:ascii="Times New Roman" w:hAnsi="Times New Roman" w:cs="Times New Roman"/>
                <w:lang w:val="it-CH"/>
              </w:rPr>
            </w:pPr>
            <w:r w:rsidRPr="009E686F">
              <w:rPr>
                <w:rFonts w:ascii="Times New Roman" w:hAnsi="Times New Roman" w:cs="Times New Roman"/>
                <w:lang w:val="it-CH"/>
              </w:rPr>
              <w:t>Se referă la competențele Comisiei Europene.</w:t>
            </w:r>
          </w:p>
        </w:tc>
      </w:tr>
      <w:tr w:rsidR="00837428" w:rsidRPr="009E686F" w14:paraId="1E78ED5C" w14:textId="77777777" w:rsidTr="00960C23">
        <w:tc>
          <w:tcPr>
            <w:tcW w:w="1890" w:type="pct"/>
            <w:tcBorders>
              <w:top w:val="single" w:sz="4" w:space="0" w:color="auto"/>
              <w:left w:val="single" w:sz="4" w:space="0" w:color="auto"/>
              <w:bottom w:val="single" w:sz="4" w:space="0" w:color="auto"/>
              <w:right w:val="single" w:sz="4" w:space="0" w:color="auto"/>
            </w:tcBorders>
          </w:tcPr>
          <w:p w14:paraId="549F7B18" w14:textId="77777777" w:rsidR="00837428" w:rsidRPr="009E686F" w:rsidRDefault="00837428" w:rsidP="00837428">
            <w:pPr>
              <w:spacing w:after="0"/>
              <w:jc w:val="both"/>
              <w:rPr>
                <w:rFonts w:ascii="Times New Roman" w:hAnsi="Times New Roman" w:cs="Times New Roman"/>
                <w:lang w:val="it-CH"/>
              </w:rPr>
            </w:pPr>
            <w:r w:rsidRPr="009E686F">
              <w:rPr>
                <w:rFonts w:ascii="Times New Roman" w:hAnsi="Times New Roman" w:cs="Times New Roman"/>
                <w:lang w:val="it-CH"/>
              </w:rPr>
              <w:t>CAPITOLUL 2</w:t>
            </w:r>
          </w:p>
          <w:p w14:paraId="3F17ED23" w14:textId="246A4B8D" w:rsidR="00837428" w:rsidRPr="009E686F" w:rsidRDefault="00837428" w:rsidP="00837428">
            <w:pPr>
              <w:spacing w:after="0"/>
              <w:jc w:val="both"/>
              <w:rPr>
                <w:rFonts w:ascii="Times New Roman" w:hAnsi="Times New Roman" w:cs="Times New Roman"/>
                <w:b/>
                <w:bCs/>
                <w:lang w:val="it-CH"/>
              </w:rPr>
            </w:pPr>
            <w:r w:rsidRPr="009E686F">
              <w:rPr>
                <w:rFonts w:ascii="Times New Roman" w:hAnsi="Times New Roman" w:cs="Times New Roman"/>
                <w:b/>
                <w:bCs/>
                <w:lang w:val="it-CH"/>
              </w:rPr>
              <w:t>Participații calificate deținute la o instituție de credit</w:t>
            </w:r>
          </w:p>
        </w:tc>
        <w:tc>
          <w:tcPr>
            <w:tcW w:w="1834" w:type="pct"/>
            <w:tcBorders>
              <w:top w:val="single" w:sz="4" w:space="0" w:color="auto"/>
              <w:left w:val="single" w:sz="4" w:space="0" w:color="auto"/>
              <w:bottom w:val="single" w:sz="4" w:space="0" w:color="auto"/>
              <w:right w:val="single" w:sz="4" w:space="0" w:color="auto"/>
            </w:tcBorders>
          </w:tcPr>
          <w:p w14:paraId="25E49352" w14:textId="77777777" w:rsidR="00837428" w:rsidRPr="009E686F" w:rsidRDefault="00837428" w:rsidP="00837428">
            <w:pPr>
              <w:spacing w:after="0"/>
              <w:jc w:val="both"/>
              <w:rPr>
                <w:rFonts w:ascii="Times New Roman" w:hAnsi="Times New Roman" w:cs="Times New Roman"/>
                <w:b/>
                <w:lang w:val="it-CH"/>
              </w:rPr>
            </w:pPr>
          </w:p>
        </w:tc>
        <w:tc>
          <w:tcPr>
            <w:tcW w:w="470" w:type="pct"/>
            <w:tcBorders>
              <w:top w:val="single" w:sz="4" w:space="0" w:color="auto"/>
              <w:left w:val="single" w:sz="4" w:space="0" w:color="auto"/>
              <w:bottom w:val="single" w:sz="4" w:space="0" w:color="auto"/>
              <w:right w:val="single" w:sz="4" w:space="0" w:color="auto"/>
            </w:tcBorders>
          </w:tcPr>
          <w:p w14:paraId="4CF48469" w14:textId="77777777" w:rsidR="00837428" w:rsidRPr="009E686F" w:rsidRDefault="00837428" w:rsidP="00837428">
            <w:pPr>
              <w:jc w:val="both"/>
              <w:rPr>
                <w:rFonts w:ascii="Times New Roman" w:hAnsi="Times New Roman" w:cs="Times New Roman"/>
                <w:lang w:val="it-CH"/>
              </w:rPr>
            </w:pPr>
          </w:p>
        </w:tc>
        <w:tc>
          <w:tcPr>
            <w:tcW w:w="806" w:type="pct"/>
            <w:tcBorders>
              <w:top w:val="single" w:sz="4" w:space="0" w:color="auto"/>
              <w:left w:val="single" w:sz="4" w:space="0" w:color="auto"/>
              <w:bottom w:val="single" w:sz="4" w:space="0" w:color="auto"/>
              <w:right w:val="single" w:sz="4" w:space="0" w:color="auto"/>
            </w:tcBorders>
          </w:tcPr>
          <w:p w14:paraId="5B887EE5" w14:textId="77777777" w:rsidR="00837428" w:rsidRPr="009E686F" w:rsidRDefault="00837428" w:rsidP="00837428">
            <w:pPr>
              <w:spacing w:after="0"/>
              <w:jc w:val="both"/>
              <w:rPr>
                <w:rFonts w:ascii="Times New Roman" w:hAnsi="Times New Roman" w:cs="Times New Roman"/>
                <w:lang w:val="it-CH"/>
              </w:rPr>
            </w:pPr>
          </w:p>
        </w:tc>
      </w:tr>
      <w:tr w:rsidR="00837428" w:rsidRPr="009E686F" w14:paraId="144B6F68" w14:textId="76B431B9" w:rsidTr="00960C23">
        <w:tc>
          <w:tcPr>
            <w:tcW w:w="1890" w:type="pct"/>
            <w:tcBorders>
              <w:top w:val="single" w:sz="4" w:space="0" w:color="auto"/>
              <w:left w:val="single" w:sz="4" w:space="0" w:color="auto"/>
              <w:bottom w:val="single" w:sz="4" w:space="0" w:color="auto"/>
              <w:right w:val="single" w:sz="4" w:space="0" w:color="auto"/>
            </w:tcBorders>
          </w:tcPr>
          <w:p w14:paraId="5DCDBBF5" w14:textId="77777777" w:rsidR="00837428" w:rsidRPr="009E686F" w:rsidRDefault="00837428" w:rsidP="00837428">
            <w:pPr>
              <w:spacing w:after="0"/>
              <w:jc w:val="both"/>
              <w:rPr>
                <w:rFonts w:ascii="Times New Roman" w:hAnsi="Times New Roman" w:cs="Times New Roman"/>
                <w:lang w:val="pt-BR"/>
              </w:rPr>
            </w:pPr>
            <w:r w:rsidRPr="009E686F">
              <w:rPr>
                <w:rFonts w:ascii="Times New Roman" w:hAnsi="Times New Roman" w:cs="Times New Roman"/>
                <w:i/>
                <w:iCs/>
                <w:lang w:val="pt-BR"/>
              </w:rPr>
              <w:t>Articolul 22</w:t>
            </w:r>
            <w:r w:rsidRPr="009E686F">
              <w:rPr>
                <w:rFonts w:ascii="Times New Roman" w:hAnsi="Times New Roman" w:cs="Times New Roman"/>
                <w:lang w:val="pt-BR"/>
              </w:rPr>
              <w:t xml:space="preserve"> </w:t>
            </w:r>
          </w:p>
          <w:p w14:paraId="669021F7" w14:textId="21F20C47" w:rsidR="00837428" w:rsidRPr="009E686F" w:rsidRDefault="00837428" w:rsidP="00837428">
            <w:pPr>
              <w:spacing w:after="0"/>
              <w:jc w:val="both"/>
              <w:rPr>
                <w:rFonts w:ascii="Times New Roman" w:hAnsi="Times New Roman" w:cs="Times New Roman"/>
                <w:lang w:val="pt-BR"/>
              </w:rPr>
            </w:pPr>
            <w:r w:rsidRPr="009E686F">
              <w:rPr>
                <w:rFonts w:ascii="Times New Roman" w:hAnsi="Times New Roman" w:cs="Times New Roman"/>
                <w:lang w:val="pt-BR"/>
              </w:rPr>
              <w:t>Notificarea și evaluarea proiectelor de achiziție</w:t>
            </w:r>
          </w:p>
        </w:tc>
        <w:tc>
          <w:tcPr>
            <w:tcW w:w="1834" w:type="pct"/>
            <w:tcBorders>
              <w:top w:val="single" w:sz="4" w:space="0" w:color="auto"/>
              <w:left w:val="single" w:sz="4" w:space="0" w:color="auto"/>
              <w:bottom w:val="single" w:sz="4" w:space="0" w:color="auto"/>
              <w:right w:val="single" w:sz="4" w:space="0" w:color="auto"/>
            </w:tcBorders>
          </w:tcPr>
          <w:p w14:paraId="7266BB44" w14:textId="77777777" w:rsidR="00837428" w:rsidRPr="009E686F" w:rsidRDefault="00837428" w:rsidP="00837428">
            <w:pPr>
              <w:spacing w:after="0"/>
              <w:jc w:val="both"/>
              <w:rPr>
                <w:rFonts w:ascii="Times New Roman" w:hAnsi="Times New Roman" w:cs="Times New Roman"/>
                <w:b/>
                <w:lang w:val="pt-BR"/>
              </w:rPr>
            </w:pPr>
          </w:p>
        </w:tc>
        <w:tc>
          <w:tcPr>
            <w:tcW w:w="470" w:type="pct"/>
            <w:tcBorders>
              <w:top w:val="single" w:sz="4" w:space="0" w:color="auto"/>
              <w:left w:val="single" w:sz="4" w:space="0" w:color="auto"/>
              <w:bottom w:val="single" w:sz="4" w:space="0" w:color="auto"/>
              <w:right w:val="single" w:sz="4" w:space="0" w:color="auto"/>
            </w:tcBorders>
          </w:tcPr>
          <w:p w14:paraId="3DD8B44E" w14:textId="77777777" w:rsidR="00837428" w:rsidRPr="009E686F" w:rsidRDefault="00837428" w:rsidP="00837428">
            <w:pPr>
              <w:jc w:val="both"/>
              <w:rPr>
                <w:rFonts w:ascii="Times New Roman" w:hAnsi="Times New Roman" w:cs="Times New Roman"/>
                <w:lang w:val="pt-BR"/>
              </w:rPr>
            </w:pPr>
          </w:p>
        </w:tc>
        <w:tc>
          <w:tcPr>
            <w:tcW w:w="806" w:type="pct"/>
            <w:tcBorders>
              <w:top w:val="single" w:sz="4" w:space="0" w:color="auto"/>
              <w:left w:val="single" w:sz="4" w:space="0" w:color="auto"/>
              <w:bottom w:val="single" w:sz="4" w:space="0" w:color="auto"/>
              <w:right w:val="single" w:sz="4" w:space="0" w:color="auto"/>
            </w:tcBorders>
          </w:tcPr>
          <w:p w14:paraId="6A2B2586" w14:textId="31A263BA" w:rsidR="00837428" w:rsidRPr="009E686F" w:rsidRDefault="00837428" w:rsidP="00837428">
            <w:pPr>
              <w:spacing w:after="0"/>
              <w:jc w:val="both"/>
              <w:rPr>
                <w:rFonts w:ascii="Times New Roman" w:hAnsi="Times New Roman" w:cs="Times New Roman"/>
                <w:lang w:val="pt-BR"/>
              </w:rPr>
            </w:pPr>
          </w:p>
        </w:tc>
      </w:tr>
      <w:tr w:rsidR="00265766" w:rsidRPr="009E686F" w14:paraId="5DBA59E6" w14:textId="4C7E7910" w:rsidTr="00525010">
        <w:tc>
          <w:tcPr>
            <w:tcW w:w="1890" w:type="pct"/>
            <w:vMerge w:val="restart"/>
            <w:tcBorders>
              <w:top w:val="single" w:sz="4" w:space="0" w:color="auto"/>
              <w:left w:val="single" w:sz="4" w:space="0" w:color="auto"/>
              <w:right w:val="single" w:sz="4" w:space="0" w:color="auto"/>
            </w:tcBorders>
          </w:tcPr>
          <w:p w14:paraId="1A126E1F" w14:textId="6A64EE3E" w:rsidR="00265766" w:rsidRPr="009E686F" w:rsidRDefault="00265766" w:rsidP="00723CDD">
            <w:pPr>
              <w:spacing w:after="0"/>
              <w:jc w:val="both"/>
              <w:rPr>
                <w:rFonts w:ascii="Times New Roman" w:hAnsi="Times New Roman" w:cs="Times New Roman"/>
                <w:lang w:val="it-CH"/>
              </w:rPr>
            </w:pPr>
            <w:r w:rsidRPr="009E686F">
              <w:rPr>
                <w:rFonts w:ascii="Times New Roman" w:hAnsi="Times New Roman" w:cs="Times New Roman"/>
              </w:rPr>
              <w:t xml:space="preserve">(1) Statele membre cer oricărei persoane fizice sau juridice sau unor astfel de persoane care acționează concertat ("potențialul achizitor"), care au decis să achiziționeze, direct sau indirect, o participație calificată într-o instituție de credit sau să majoreze, direct sau indirect, o astfel de participație calificată într-o instituție de credit, astfel încât proporția drepturilor de vot sau a capitalului deținut să fie cel puțin 20 %, 30 % sau 50 % sau astfel încât instituția de credit să devină filiala lor ("proiect de achiziție"), să notifice în scris autoritățile competente ale instituției de credit în cadrul căreia intenționează să achiziționeze ori să majoreze o participație calificată înaintea achiziției, indicând valoarea participației vizate și informațiile relevante, astfel cum sunt precizate în conformitate cu articolul 23 alineatul (4). </w:t>
            </w:r>
            <w:r w:rsidRPr="009E686F">
              <w:rPr>
                <w:rFonts w:ascii="Times New Roman" w:hAnsi="Times New Roman" w:cs="Times New Roman"/>
                <w:lang w:val="it-CH"/>
              </w:rPr>
              <w:t>Statelor membre nu li se impune să aplice pragul de 30 % în cazurile în care, în conformitate cu articolul 9 alineatul (3) litera (a) din Directiva 2004/109/CE, aplică un prag de o treime.</w:t>
            </w:r>
          </w:p>
        </w:tc>
        <w:tc>
          <w:tcPr>
            <w:tcW w:w="1834" w:type="pct"/>
            <w:tcBorders>
              <w:top w:val="single" w:sz="4" w:space="0" w:color="auto"/>
              <w:left w:val="single" w:sz="4" w:space="0" w:color="auto"/>
              <w:bottom w:val="single" w:sz="4" w:space="0" w:color="auto"/>
              <w:right w:val="single" w:sz="4" w:space="0" w:color="auto"/>
            </w:tcBorders>
          </w:tcPr>
          <w:p w14:paraId="4D385696" w14:textId="2D8ADDC3" w:rsidR="00265766" w:rsidRPr="009E686F" w:rsidRDefault="00265766" w:rsidP="00723CDD">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b/>
                <w:bCs/>
                <w:kern w:val="2"/>
                <w:lang w:val="ro-MD"/>
              </w:rPr>
              <w:t>Articolul 3.</w:t>
            </w:r>
            <w:r w:rsidRPr="009E686F">
              <w:rPr>
                <w:rFonts w:ascii="Times New Roman" w:eastAsia="Aptos" w:hAnsi="Times New Roman" w:cs="Times New Roman"/>
                <w:kern w:val="2"/>
                <w:lang w:val="ro-MD"/>
              </w:rPr>
              <w:t xml:space="preserve"> Definiţii </w:t>
            </w:r>
          </w:p>
          <w:p w14:paraId="42ED8BC4" w14:textId="6AE76114" w:rsidR="00265766" w:rsidRPr="009E686F" w:rsidRDefault="00265766" w:rsidP="00723CDD">
            <w:pPr>
              <w:spacing w:after="0"/>
              <w:jc w:val="both"/>
              <w:rPr>
                <w:rFonts w:ascii="Times New Roman" w:hAnsi="Times New Roman" w:cs="Times New Roman"/>
                <w:lang w:val="ro-MD"/>
              </w:rPr>
            </w:pPr>
            <w:r w:rsidRPr="009E686F">
              <w:rPr>
                <w:rFonts w:ascii="Times New Roman" w:hAnsi="Times New Roman" w:cs="Times New Roman"/>
                <w:bCs/>
                <w:lang w:val="ro-MD"/>
              </w:rPr>
              <w:t>achizitor potențial</w:t>
            </w:r>
            <w:r w:rsidRPr="009E686F">
              <w:rPr>
                <w:rFonts w:ascii="Times New Roman" w:hAnsi="Times New Roman" w:cs="Times New Roman"/>
                <w:lang w:val="ro-MD"/>
              </w:rPr>
              <w:t xml:space="preserve"> – orice persoană fizică sau juridică ori grup de astfel de persoane care acționează concertat, care intenționează să dobândească, prin orice modalitate, direct sau indirect, inclusiv în calitate de beneficiar real al deținerii, acțiuni în capitalul unei </w:t>
            </w:r>
            <w:r w:rsidRPr="009E686F">
              <w:rPr>
                <w:rFonts w:ascii="Times New Roman" w:hAnsi="Times New Roman" w:cs="Times New Roman"/>
                <w:i/>
                <w:iCs/>
                <w:lang w:val="ro-MD"/>
              </w:rPr>
              <w:t>instituții de credit</w:t>
            </w:r>
            <w:r w:rsidRPr="009E686F">
              <w:rPr>
                <w:rFonts w:ascii="Times New Roman" w:hAnsi="Times New Roman" w:cs="Times New Roman"/>
                <w:lang w:val="ro-MD"/>
              </w:rPr>
              <w:t xml:space="preserve"> în legătură cu o achiziție propusă;</w:t>
            </w:r>
          </w:p>
          <w:p w14:paraId="31196469" w14:textId="49842324" w:rsidR="00265766" w:rsidRPr="009E686F" w:rsidRDefault="00265766" w:rsidP="00723CDD">
            <w:pPr>
              <w:spacing w:after="0"/>
              <w:jc w:val="both"/>
              <w:rPr>
                <w:rFonts w:ascii="Times New Roman" w:eastAsia="Aptos" w:hAnsi="Times New Roman" w:cs="Times New Roman"/>
                <w:color w:val="FF0000"/>
                <w:kern w:val="2"/>
                <w:lang w:val="ro-RO"/>
              </w:rPr>
            </w:pPr>
            <w:r w:rsidRPr="009E686F">
              <w:rPr>
                <w:rFonts w:ascii="Times New Roman" w:eastAsia="Aptos" w:hAnsi="Times New Roman" w:cs="Times New Roman"/>
                <w:kern w:val="2"/>
                <w:lang w:val="ro-MD"/>
              </w:rPr>
              <w:t xml:space="preserve">achiziţie propusă – decizia luată de un achizitor potenţial cu scopul de a dobîndi, direct sau indirect, inclusiv în calitate de beneficiar </w:t>
            </w:r>
            <w:r w:rsidRPr="009E686F">
              <w:rPr>
                <w:rFonts w:ascii="Times New Roman" w:hAnsi="Times New Roman" w:cs="Times New Roman"/>
                <w:lang w:val="ro-MD"/>
              </w:rPr>
              <w:t>real al deținerii</w:t>
            </w:r>
            <w:r w:rsidRPr="009E686F">
              <w:rPr>
                <w:rFonts w:ascii="Times New Roman" w:eastAsia="Aptos" w:hAnsi="Times New Roman" w:cs="Times New Roman"/>
                <w:kern w:val="2"/>
                <w:lang w:val="ro-MD"/>
              </w:rPr>
              <w:t xml:space="preserve">, prin orice modalitate, o deţinere calificată într-o </w:t>
            </w:r>
            <w:r w:rsidRPr="009E686F">
              <w:rPr>
                <w:rFonts w:ascii="Times New Roman" w:eastAsia="Aptos" w:hAnsi="Times New Roman" w:cs="Times New Roman"/>
                <w:i/>
                <w:iCs/>
                <w:kern w:val="2"/>
                <w:lang w:val="ro-MD"/>
              </w:rPr>
              <w:t>instituție de credit</w:t>
            </w:r>
            <w:r w:rsidRPr="009E686F">
              <w:rPr>
                <w:rFonts w:ascii="Times New Roman" w:eastAsia="Aptos" w:hAnsi="Times New Roman" w:cs="Times New Roman"/>
                <w:kern w:val="2"/>
                <w:lang w:val="ro-MD"/>
              </w:rPr>
              <w:t xml:space="preserve">  ori de a îşi majora deţinerea calificată, astfel încât proporţia drepturilor sale de vot sau a deţinerii în capitalul social să atingă ori să depăşească nivelul de 20%, 33% sau 50%, ori astfel încît </w:t>
            </w:r>
            <w:r w:rsidRPr="009E686F">
              <w:rPr>
                <w:rFonts w:ascii="Times New Roman" w:eastAsia="Aptos" w:hAnsi="Times New Roman" w:cs="Times New Roman"/>
                <w:i/>
                <w:iCs/>
                <w:kern w:val="2"/>
                <w:lang w:val="ro-MD"/>
              </w:rPr>
              <w:t>instituția de credit</w:t>
            </w:r>
            <w:r w:rsidRPr="009E686F">
              <w:rPr>
                <w:rFonts w:ascii="Times New Roman" w:eastAsia="Aptos" w:hAnsi="Times New Roman" w:cs="Times New Roman"/>
                <w:kern w:val="2"/>
                <w:lang w:val="ro-MD"/>
              </w:rPr>
              <w:t xml:space="preserve"> să devină o filială a sa;</w:t>
            </w:r>
            <w:r w:rsidRPr="009E686F">
              <w:rPr>
                <w:rFonts w:ascii="Times New Roman" w:eastAsia="Aptos" w:hAnsi="Times New Roman" w:cs="Times New Roman"/>
                <w:color w:val="FF0000"/>
                <w:kern w:val="2"/>
                <w:lang w:val="ro-RO"/>
              </w:rPr>
              <w:t xml:space="preserve"> </w:t>
            </w:r>
          </w:p>
          <w:p w14:paraId="468FE0ED" w14:textId="77777777" w:rsidR="00265766" w:rsidRPr="009E686F" w:rsidRDefault="00265766" w:rsidP="007C3980">
            <w:pPr>
              <w:spacing w:after="0"/>
              <w:jc w:val="both"/>
              <w:rPr>
                <w:rFonts w:ascii="Times New Roman" w:hAnsi="Times New Roman" w:cs="Times New Roman"/>
                <w:i/>
                <w:iCs/>
                <w:lang w:val="ro-RO"/>
              </w:rPr>
            </w:pPr>
          </w:p>
          <w:p w14:paraId="7403642C" w14:textId="62D2A850" w:rsidR="00265766" w:rsidRPr="009E686F" w:rsidRDefault="00265766" w:rsidP="007C3980">
            <w:pPr>
              <w:spacing w:after="0"/>
              <w:jc w:val="both"/>
              <w:rPr>
                <w:rFonts w:ascii="Times New Roman" w:hAnsi="Times New Roman" w:cs="Times New Roman"/>
                <w:lang w:val="ro-RO"/>
              </w:rPr>
            </w:pPr>
            <w:r w:rsidRPr="009E686F">
              <w:rPr>
                <w:rFonts w:ascii="Times New Roman" w:hAnsi="Times New Roman" w:cs="Times New Roman"/>
                <w:i/>
                <w:iCs/>
                <w:lang w:val="ro-RO"/>
              </w:rPr>
              <w:t>beneficiar real al deținerii</w:t>
            </w:r>
            <w:r w:rsidRPr="009E686F">
              <w:rPr>
                <w:rFonts w:ascii="Times New Roman" w:hAnsi="Times New Roman" w:cs="Times New Roman"/>
                <w:lang w:val="ro-RO"/>
              </w:rPr>
              <w:t>– persoană (persoanele) fizică (fizice) care deţine (dețin) sau controlează în ultimă instanţă, direct sau indirect, achizitorul potenţial ori deţinătorul direct sau indirect al unei deţineri în capitalul social al instituției de credit sau din drepturile de vot, care include cel puțin:</w:t>
            </w:r>
          </w:p>
          <w:p w14:paraId="4126E91D" w14:textId="77777777" w:rsidR="00265766" w:rsidRPr="009E686F" w:rsidRDefault="00265766" w:rsidP="007C3980">
            <w:pPr>
              <w:spacing w:after="0"/>
              <w:ind w:firstLine="567"/>
              <w:jc w:val="both"/>
              <w:rPr>
                <w:rFonts w:ascii="Times New Roman" w:hAnsi="Times New Roman" w:cs="Times New Roman"/>
                <w:lang w:val="ro-RO"/>
              </w:rPr>
            </w:pPr>
            <w:r w:rsidRPr="009E686F">
              <w:rPr>
                <w:rFonts w:ascii="Times New Roman" w:hAnsi="Times New Roman" w:cs="Times New Roman"/>
                <w:lang w:val="ro-RO"/>
              </w:rPr>
              <w:t xml:space="preserve">1) în cazul persoanelor juridice cu scop lucrativ (comercial) – persoana fizică/persoanele fizice care </w:t>
            </w:r>
            <w:r w:rsidRPr="009E686F">
              <w:rPr>
                <w:rFonts w:ascii="Times New Roman" w:hAnsi="Times New Roman" w:cs="Times New Roman"/>
                <w:lang w:val="ro-RO"/>
              </w:rPr>
              <w:lastRenderedPageBreak/>
              <w:t>deţine/deţin sau controlează în ultimă instanţă o persoană juridică, alta decât o societate cotată pe o piaţă reglementată care face obiectul cerinţelor de divulgare a informaţiilor în conformitate cu standardele internaţionale echivalente care asigură transparenţa corespunzătoare a informaţiilor privind exercitarea dreptului de proprietate, prin exercitarea directă sau indirectă a dreptului de proprietate asupra unei cote-părţi din numărul de acţiuni ori din drepturile de vot sau prin participaţia în capitalul social al persoanei juridice respective, sau prin exercitarea controlului prin alte mijloace.</w:t>
            </w:r>
          </w:p>
          <w:p w14:paraId="0CC9E491" w14:textId="77777777" w:rsidR="00265766" w:rsidRPr="009E686F" w:rsidRDefault="00265766" w:rsidP="007C3980">
            <w:pPr>
              <w:spacing w:after="0"/>
              <w:ind w:firstLine="567"/>
              <w:jc w:val="both"/>
              <w:rPr>
                <w:rFonts w:ascii="Times New Roman" w:hAnsi="Times New Roman" w:cs="Times New Roman"/>
                <w:lang w:val="ro-RO"/>
              </w:rPr>
            </w:pPr>
            <w:r w:rsidRPr="009E686F">
              <w:rPr>
                <w:rFonts w:ascii="Times New Roman" w:hAnsi="Times New Roman" w:cs="Times New Roman"/>
                <w:lang w:val="ro-RO"/>
              </w:rPr>
              <w:t>Deţinerea de către o persoană fizică a 25% plus o acţiune sau participarea acesteia în capitalul social al unei persoane juridice cu peste 25% este un criteriu al exercitării directe a dreptului de proprietate.</w:t>
            </w:r>
          </w:p>
          <w:p w14:paraId="385238C9" w14:textId="77777777" w:rsidR="00265766" w:rsidRPr="009E686F" w:rsidRDefault="00265766" w:rsidP="007C3980">
            <w:pPr>
              <w:spacing w:after="0"/>
              <w:ind w:firstLine="567"/>
              <w:jc w:val="both"/>
              <w:rPr>
                <w:rFonts w:ascii="Times New Roman" w:hAnsi="Times New Roman" w:cs="Times New Roman"/>
                <w:lang w:val="ro-RO"/>
              </w:rPr>
            </w:pPr>
            <w:r w:rsidRPr="009E686F">
              <w:rPr>
                <w:rFonts w:ascii="Times New Roman" w:hAnsi="Times New Roman" w:cs="Times New Roman"/>
                <w:lang w:val="ro-RO"/>
              </w:rPr>
              <w:t>Deţinerea a 25% plus o acţiune de către o altă persoană juridică care se află sub controlul unei persoane fizice sau de către mai multe persoane juridice care se află sub controlul aceleiaşi persoane fizice sau participarea acesteia/acestora în capitalul social al unei persoane juridice cu peste 25% este un criteriu al exercitării indirecte a dreptului de proprietate;</w:t>
            </w:r>
          </w:p>
          <w:p w14:paraId="45595401" w14:textId="77777777" w:rsidR="00265766" w:rsidRPr="009E686F" w:rsidRDefault="00265766" w:rsidP="007C3980">
            <w:pPr>
              <w:spacing w:after="0"/>
              <w:ind w:firstLine="567"/>
              <w:jc w:val="both"/>
              <w:rPr>
                <w:rFonts w:ascii="Times New Roman" w:hAnsi="Times New Roman" w:cs="Times New Roman"/>
                <w:lang w:val="ro-RO"/>
              </w:rPr>
            </w:pPr>
            <w:r w:rsidRPr="009E686F">
              <w:rPr>
                <w:rFonts w:ascii="Times New Roman" w:hAnsi="Times New Roman" w:cs="Times New Roman"/>
                <w:lang w:val="ro-RO"/>
              </w:rPr>
              <w:t>2) în cazul fiduciilor sau construcţiilor juridice similare, toate persoanele fizice, după cum urmează:</w:t>
            </w:r>
          </w:p>
          <w:p w14:paraId="0EF8942A" w14:textId="77777777" w:rsidR="00265766" w:rsidRPr="009E686F" w:rsidRDefault="00265766" w:rsidP="007C3980">
            <w:pPr>
              <w:spacing w:after="0"/>
              <w:ind w:firstLine="567"/>
              <w:jc w:val="both"/>
              <w:rPr>
                <w:rFonts w:ascii="Times New Roman" w:hAnsi="Times New Roman" w:cs="Times New Roman"/>
                <w:lang w:val="ro-RO"/>
              </w:rPr>
            </w:pPr>
            <w:r w:rsidRPr="009E686F">
              <w:rPr>
                <w:rFonts w:ascii="Times New Roman" w:hAnsi="Times New Roman" w:cs="Times New Roman"/>
                <w:lang w:val="ro-RO"/>
              </w:rPr>
              <w:t>a) constituitorul/constituitorii, precum şi persoanele desemnate să îi/le reprezinte interesele în condiţiile legii;</w:t>
            </w:r>
          </w:p>
          <w:p w14:paraId="7158D503" w14:textId="77777777" w:rsidR="00265766" w:rsidRPr="009E686F" w:rsidRDefault="00265766" w:rsidP="007C3980">
            <w:pPr>
              <w:spacing w:after="0"/>
              <w:ind w:firstLine="567"/>
              <w:jc w:val="both"/>
              <w:rPr>
                <w:rFonts w:ascii="Times New Roman" w:hAnsi="Times New Roman" w:cs="Times New Roman"/>
                <w:lang w:val="it-CH"/>
              </w:rPr>
            </w:pPr>
            <w:r w:rsidRPr="009E686F">
              <w:rPr>
                <w:rFonts w:ascii="Times New Roman" w:hAnsi="Times New Roman" w:cs="Times New Roman"/>
                <w:lang w:val="it-CH"/>
              </w:rPr>
              <w:t>b) fiduciarul/fiduciarii;</w:t>
            </w:r>
          </w:p>
          <w:p w14:paraId="77F0D869" w14:textId="77777777" w:rsidR="00265766" w:rsidRPr="009E686F" w:rsidRDefault="00265766" w:rsidP="007C3980">
            <w:pPr>
              <w:spacing w:after="0"/>
              <w:ind w:firstLine="567"/>
              <w:jc w:val="both"/>
              <w:rPr>
                <w:rFonts w:ascii="Times New Roman" w:hAnsi="Times New Roman" w:cs="Times New Roman"/>
                <w:lang w:val="it-CH"/>
              </w:rPr>
            </w:pPr>
            <w:r w:rsidRPr="009E686F">
              <w:rPr>
                <w:rFonts w:ascii="Times New Roman" w:hAnsi="Times New Roman" w:cs="Times New Roman"/>
                <w:lang w:val="it-CH"/>
              </w:rPr>
              <w:t>c) protectorul/protectorii (dacă există);</w:t>
            </w:r>
          </w:p>
          <w:p w14:paraId="6DAB2BF4" w14:textId="77777777" w:rsidR="00265766" w:rsidRPr="009E686F" w:rsidRDefault="00265766" w:rsidP="007C3980">
            <w:pPr>
              <w:spacing w:after="0"/>
              <w:ind w:firstLine="567"/>
              <w:jc w:val="both"/>
              <w:rPr>
                <w:rFonts w:ascii="Times New Roman" w:hAnsi="Times New Roman" w:cs="Times New Roman"/>
                <w:lang w:val="it-CH"/>
              </w:rPr>
            </w:pPr>
            <w:r w:rsidRPr="009E686F">
              <w:rPr>
                <w:rFonts w:ascii="Times New Roman" w:hAnsi="Times New Roman" w:cs="Times New Roman"/>
                <w:lang w:val="it-CH"/>
              </w:rPr>
              <w:t>d) beneficiarul/beneficiarii fiduciilor sau construcţiilor juridice similare sau, în cazul în care identitatea acestuia/acestora încă nu este identificată, categoria de persoane în al căror interes principal se constituie sau funcţionează fiducia ori construcţia juridică similară;</w:t>
            </w:r>
          </w:p>
          <w:p w14:paraId="0D77E15C" w14:textId="175EDC89" w:rsidR="00265766" w:rsidRPr="009E686F" w:rsidRDefault="00265766" w:rsidP="007C3980">
            <w:pPr>
              <w:spacing w:after="0"/>
              <w:jc w:val="both"/>
              <w:rPr>
                <w:rFonts w:ascii="Times New Roman" w:hAnsi="Times New Roman" w:cs="Times New Roman"/>
                <w:lang w:val="it-CH"/>
              </w:rPr>
            </w:pPr>
            <w:r w:rsidRPr="009E686F">
              <w:rPr>
                <w:rFonts w:ascii="Times New Roman" w:hAnsi="Times New Roman" w:cs="Times New Roman"/>
                <w:lang w:val="it-CH"/>
              </w:rPr>
              <w:lastRenderedPageBreak/>
              <w:t>e) oricare altă persoană fizică care exercită controlul în ultimă instanţă asupra fiduciei sau a construcţiei juridice similare prin exercitarea directă sau indirectă a dreptului de proprietate sau prin alte mijloace;</w:t>
            </w:r>
          </w:p>
          <w:p w14:paraId="72371F15" w14:textId="77777777" w:rsidR="00265766" w:rsidRPr="009E686F" w:rsidRDefault="00265766" w:rsidP="007C3980">
            <w:pPr>
              <w:spacing w:after="0"/>
              <w:jc w:val="both"/>
              <w:rPr>
                <w:rFonts w:ascii="Times New Roman" w:hAnsi="Times New Roman" w:cs="Times New Roman"/>
                <w:lang w:val="it-CH"/>
              </w:rPr>
            </w:pPr>
          </w:p>
          <w:p w14:paraId="4B0D51CD" w14:textId="6D45050D" w:rsidR="00265766" w:rsidRPr="009E686F" w:rsidRDefault="00265766" w:rsidP="005B3767">
            <w:pPr>
              <w:spacing w:after="0"/>
              <w:jc w:val="both"/>
              <w:rPr>
                <w:rFonts w:ascii="Times New Roman" w:hAnsi="Times New Roman" w:cs="Times New Roman"/>
                <w:lang w:val="ro-RO"/>
              </w:rPr>
            </w:pPr>
            <w:r w:rsidRPr="009E686F">
              <w:rPr>
                <w:rFonts w:ascii="Times New Roman" w:hAnsi="Times New Roman" w:cs="Times New Roman"/>
                <w:i/>
                <w:iCs/>
                <w:lang w:val="ro-RO"/>
              </w:rPr>
              <w:t>deţinător/dobînditor indirect</w:t>
            </w:r>
            <w:r w:rsidRPr="009E686F">
              <w:rPr>
                <w:rFonts w:ascii="Times New Roman" w:hAnsi="Times New Roman" w:cs="Times New Roman"/>
                <w:lang w:val="ro-RO"/>
              </w:rPr>
              <w:t xml:space="preserve"> – persoana, </w:t>
            </w:r>
            <w:r w:rsidR="00A801BF" w:rsidRPr="009E686F">
              <w:rPr>
                <w:rFonts w:ascii="Times New Roman" w:hAnsi="Times New Roman" w:cs="Times New Roman"/>
                <w:lang w:val="ro-RO"/>
              </w:rPr>
              <w:t xml:space="preserve"> </w:t>
            </w:r>
            <w:r w:rsidRPr="009E686F">
              <w:rPr>
                <w:rFonts w:ascii="Times New Roman" w:hAnsi="Times New Roman" w:cs="Times New Roman"/>
                <w:lang w:val="ro-RO"/>
              </w:rPr>
              <w:t xml:space="preserve">care deţine/dobîndeşte o deţinere în capitalul social al </w:t>
            </w:r>
            <w:r w:rsidRPr="009E686F">
              <w:rPr>
                <w:rFonts w:ascii="Times New Roman" w:hAnsi="Times New Roman" w:cs="Times New Roman"/>
                <w:i/>
                <w:iCs/>
                <w:lang w:val="ro-RO"/>
              </w:rPr>
              <w:t>instituției de credit</w:t>
            </w:r>
            <w:r w:rsidRPr="009E686F">
              <w:rPr>
                <w:rFonts w:ascii="Times New Roman" w:hAnsi="Times New Roman" w:cs="Times New Roman"/>
                <w:lang w:val="ro-RO"/>
              </w:rPr>
              <w:t xml:space="preserve"> prin intermediul unei alte persoane asupra căreia aceasta exercită controlul</w:t>
            </w:r>
            <w:r w:rsidR="00A801BF" w:rsidRPr="009E686F">
              <w:rPr>
                <w:lang w:val="it-CH"/>
              </w:rPr>
              <w:t xml:space="preserve"> </w:t>
            </w:r>
            <w:r w:rsidR="00A801BF" w:rsidRPr="009E686F">
              <w:rPr>
                <w:rFonts w:ascii="Times New Roman" w:hAnsi="Times New Roman" w:cs="Times New Roman"/>
                <w:lang w:val="ro-RO"/>
              </w:rPr>
              <w:t>și beneficiarul real al deținerii</w:t>
            </w:r>
            <w:r w:rsidRPr="009E686F">
              <w:rPr>
                <w:rFonts w:ascii="Times New Roman" w:hAnsi="Times New Roman" w:cs="Times New Roman"/>
                <w:lang w:val="ro-RO"/>
              </w:rPr>
              <w:t>;</w:t>
            </w:r>
          </w:p>
          <w:p w14:paraId="4115C808" w14:textId="77777777" w:rsidR="00265766" w:rsidRPr="009E686F" w:rsidRDefault="00265766" w:rsidP="00017CB1">
            <w:pPr>
              <w:spacing w:after="0"/>
              <w:jc w:val="both"/>
              <w:rPr>
                <w:rFonts w:ascii="Times New Roman" w:hAnsi="Times New Roman" w:cs="Times New Roman"/>
                <w:lang w:val="ro-RO"/>
              </w:rPr>
            </w:pPr>
            <w:r w:rsidRPr="009E686F">
              <w:rPr>
                <w:rFonts w:ascii="Times New Roman" w:hAnsi="Times New Roman" w:cs="Times New Roman"/>
                <w:i/>
                <w:iCs/>
                <w:lang w:val="ro-RO"/>
              </w:rPr>
              <w:t>persoană</w:t>
            </w:r>
            <w:r w:rsidRPr="009E686F">
              <w:rPr>
                <w:rFonts w:ascii="Times New Roman" w:hAnsi="Times New Roman" w:cs="Times New Roman"/>
                <w:lang w:val="ro-RO"/>
              </w:rPr>
              <w:t xml:space="preserve"> – persoană fizică sau juridică, grupare de persoane fizice şi/sau juridice, înregistrate ca atare sau nu;</w:t>
            </w:r>
          </w:p>
          <w:p w14:paraId="7BA7C0F5" w14:textId="77777777" w:rsidR="00265766" w:rsidRPr="009E686F" w:rsidRDefault="00265766" w:rsidP="00017CB1">
            <w:pPr>
              <w:spacing w:after="0"/>
              <w:jc w:val="both"/>
              <w:rPr>
                <w:rFonts w:ascii="Times New Roman" w:hAnsi="Times New Roman" w:cs="Times New Roman"/>
                <w:lang w:val="it-CH"/>
              </w:rPr>
            </w:pPr>
            <w:r w:rsidRPr="009E686F">
              <w:rPr>
                <w:rFonts w:ascii="Times New Roman" w:hAnsi="Times New Roman" w:cs="Times New Roman"/>
                <w:i/>
                <w:iCs/>
                <w:lang w:val="ro-RO"/>
              </w:rPr>
              <w:t>persoane care acţionează concertat</w:t>
            </w:r>
            <w:r w:rsidRPr="009E686F">
              <w:rPr>
                <w:rFonts w:ascii="Times New Roman" w:hAnsi="Times New Roman" w:cs="Times New Roman"/>
                <w:lang w:val="ro-RO"/>
              </w:rPr>
              <w:t xml:space="preserve"> – persoanele aflate în situaţia în care fiecare dintre ele decide să-şi exercite drepturile legate de o deţinere dobîndită sau pe care urmează să o dobîndească în conformitate cu un acord implicit sau explicit încheiat între acestea. </w:t>
            </w:r>
            <w:r w:rsidRPr="009E686F">
              <w:rPr>
                <w:rFonts w:ascii="Times New Roman" w:hAnsi="Times New Roman" w:cs="Times New Roman"/>
                <w:lang w:val="it-CH"/>
              </w:rPr>
              <w:t>Pînă la proba contrară, următoarele persoane se prezumă că acţionează concertat:</w:t>
            </w:r>
          </w:p>
          <w:p w14:paraId="6DA25FFA" w14:textId="77777777" w:rsidR="00265766" w:rsidRPr="009E686F" w:rsidRDefault="00265766" w:rsidP="00017CB1">
            <w:pPr>
              <w:spacing w:after="0"/>
              <w:jc w:val="both"/>
              <w:rPr>
                <w:rFonts w:ascii="Times New Roman" w:hAnsi="Times New Roman" w:cs="Times New Roman"/>
                <w:lang w:val="it-CH"/>
              </w:rPr>
            </w:pPr>
            <w:r w:rsidRPr="009E686F">
              <w:rPr>
                <w:rFonts w:ascii="Times New Roman" w:hAnsi="Times New Roman" w:cs="Times New Roman"/>
                <w:lang w:val="it-CH"/>
              </w:rPr>
              <w:t xml:space="preserve">a) persoanele care au achiziţionat acţiuni ale </w:t>
            </w:r>
            <w:r w:rsidRPr="009E686F">
              <w:rPr>
                <w:rFonts w:ascii="Times New Roman" w:hAnsi="Times New Roman" w:cs="Times New Roman"/>
                <w:i/>
                <w:iCs/>
                <w:lang w:val="it-CH"/>
              </w:rPr>
              <w:t>instituției de credit</w:t>
            </w:r>
            <w:r w:rsidRPr="009E686F">
              <w:rPr>
                <w:rFonts w:ascii="Times New Roman" w:hAnsi="Times New Roman" w:cs="Times New Roman"/>
                <w:lang w:val="it-CH"/>
              </w:rPr>
              <w:t xml:space="preserve"> în circumstanţe care denotă achiziţia coordonată sau intenţia comună a acestor persoane de a achiziţiona acţiunile </w:t>
            </w:r>
            <w:r w:rsidRPr="009E686F">
              <w:rPr>
                <w:rFonts w:ascii="Times New Roman" w:hAnsi="Times New Roman" w:cs="Times New Roman"/>
                <w:i/>
                <w:iCs/>
                <w:lang w:val="it-CH"/>
              </w:rPr>
              <w:t>instituției de credit</w:t>
            </w:r>
            <w:r w:rsidRPr="009E686F">
              <w:rPr>
                <w:rFonts w:ascii="Times New Roman" w:hAnsi="Times New Roman" w:cs="Times New Roman"/>
                <w:lang w:val="it-CH"/>
              </w:rPr>
              <w:t>;</w:t>
            </w:r>
          </w:p>
          <w:p w14:paraId="0948E618" w14:textId="77777777" w:rsidR="00265766" w:rsidRPr="009E686F" w:rsidRDefault="00265766" w:rsidP="00017CB1">
            <w:pPr>
              <w:spacing w:after="0"/>
              <w:jc w:val="both"/>
              <w:rPr>
                <w:rFonts w:ascii="Times New Roman" w:hAnsi="Times New Roman" w:cs="Times New Roman"/>
                <w:lang w:val="it-CH"/>
              </w:rPr>
            </w:pPr>
            <w:r w:rsidRPr="009E686F">
              <w:rPr>
                <w:rFonts w:ascii="Times New Roman" w:hAnsi="Times New Roman" w:cs="Times New Roman"/>
                <w:lang w:val="it-CH"/>
              </w:rPr>
              <w:t>b) persoanele implicate:</w:t>
            </w:r>
          </w:p>
          <w:p w14:paraId="4CAFEC54" w14:textId="77777777" w:rsidR="00265766" w:rsidRPr="009E686F" w:rsidRDefault="00265766" w:rsidP="00017CB1">
            <w:pPr>
              <w:spacing w:after="0"/>
              <w:jc w:val="both"/>
              <w:rPr>
                <w:rFonts w:ascii="Times New Roman" w:hAnsi="Times New Roman" w:cs="Times New Roman"/>
                <w:lang w:val="it-CH"/>
              </w:rPr>
            </w:pPr>
            <w:r w:rsidRPr="009E686F">
              <w:rPr>
                <w:rFonts w:ascii="Times New Roman" w:hAnsi="Times New Roman" w:cs="Times New Roman"/>
                <w:lang w:val="it-CH"/>
              </w:rPr>
              <w:t>- persoanele care controlează sau sînt controlate de către altă persoană sau care se găsesc sub un control comun;</w:t>
            </w:r>
          </w:p>
          <w:p w14:paraId="140A228B" w14:textId="77777777" w:rsidR="00265766" w:rsidRPr="009E686F" w:rsidRDefault="00265766" w:rsidP="00017CB1">
            <w:pPr>
              <w:spacing w:after="0"/>
              <w:jc w:val="both"/>
              <w:rPr>
                <w:rFonts w:ascii="Times New Roman" w:hAnsi="Times New Roman" w:cs="Times New Roman"/>
                <w:lang w:val="it-CH"/>
              </w:rPr>
            </w:pPr>
            <w:r w:rsidRPr="009E686F">
              <w:rPr>
                <w:rFonts w:ascii="Times New Roman" w:hAnsi="Times New Roman" w:cs="Times New Roman"/>
                <w:lang w:val="it-CH"/>
              </w:rPr>
              <w:t>- persoanele care sînt parte directă sau indirectă la acorduri în vederea obţinerii sau exercitării în comun a drepturilor de vot, dacă acţiunile, care sînt obiect al acordului, pot conferi o poziţie de control;</w:t>
            </w:r>
          </w:p>
          <w:p w14:paraId="63DBE1AC" w14:textId="77777777" w:rsidR="00265766" w:rsidRPr="009E686F" w:rsidRDefault="00265766" w:rsidP="00017CB1">
            <w:pPr>
              <w:spacing w:after="0"/>
              <w:jc w:val="both"/>
              <w:rPr>
                <w:rFonts w:ascii="Times New Roman" w:hAnsi="Times New Roman" w:cs="Times New Roman"/>
                <w:lang w:val="it-CH"/>
              </w:rPr>
            </w:pPr>
            <w:r w:rsidRPr="009E686F">
              <w:rPr>
                <w:rFonts w:ascii="Times New Roman" w:hAnsi="Times New Roman" w:cs="Times New Roman"/>
                <w:lang w:val="it-CH"/>
              </w:rPr>
              <w:t>- persoanele fizice din cadrul persoanei juridice, care au atribuţii de conducere sau control;</w:t>
            </w:r>
          </w:p>
          <w:p w14:paraId="056D5FA6" w14:textId="77777777" w:rsidR="00265766" w:rsidRPr="009E686F" w:rsidRDefault="00265766" w:rsidP="00017CB1">
            <w:pPr>
              <w:spacing w:after="0"/>
              <w:jc w:val="both"/>
              <w:rPr>
                <w:rFonts w:ascii="Times New Roman" w:hAnsi="Times New Roman" w:cs="Times New Roman"/>
                <w:lang w:val="it-CH"/>
              </w:rPr>
            </w:pPr>
            <w:r w:rsidRPr="009E686F">
              <w:rPr>
                <w:rFonts w:ascii="Times New Roman" w:hAnsi="Times New Roman" w:cs="Times New Roman"/>
                <w:lang w:val="it-CH"/>
              </w:rPr>
              <w:t>- persoanele care pot numi majoritatea membrilor organelor de conducere în cadrul unei persoane;</w:t>
            </w:r>
          </w:p>
          <w:p w14:paraId="4FFB26D0" w14:textId="77777777" w:rsidR="00265766" w:rsidRPr="009E686F" w:rsidRDefault="00265766" w:rsidP="00017CB1">
            <w:pPr>
              <w:spacing w:after="0"/>
              <w:jc w:val="both"/>
              <w:rPr>
                <w:rFonts w:ascii="Times New Roman" w:hAnsi="Times New Roman" w:cs="Times New Roman"/>
                <w:lang w:val="it-CH"/>
              </w:rPr>
            </w:pPr>
            <w:r w:rsidRPr="009E686F">
              <w:rPr>
                <w:rFonts w:ascii="Times New Roman" w:hAnsi="Times New Roman" w:cs="Times New Roman"/>
                <w:lang w:val="it-CH"/>
              </w:rPr>
              <w:lastRenderedPageBreak/>
              <w:t>- orice persoană care, conform legislaţiei civile, este legată de persoana fizică, menţionată mai sus, printr-un raport de rudenie de gradul întîi şi doi, soţii persoanei şi rudelor persoanei, afinii persoanei şi soţii afinelor, precum şi societăţile aflate sub controlul acestora;</w:t>
            </w:r>
          </w:p>
          <w:p w14:paraId="710CECA6" w14:textId="77777777" w:rsidR="00265766" w:rsidRPr="009E686F" w:rsidRDefault="00265766" w:rsidP="00017CB1">
            <w:pPr>
              <w:spacing w:after="0"/>
              <w:jc w:val="both"/>
              <w:rPr>
                <w:rFonts w:ascii="Times New Roman" w:hAnsi="Times New Roman" w:cs="Times New Roman"/>
                <w:lang w:val="it-CH"/>
              </w:rPr>
            </w:pPr>
            <w:r w:rsidRPr="009E686F">
              <w:rPr>
                <w:rFonts w:ascii="Times New Roman" w:hAnsi="Times New Roman" w:cs="Times New Roman"/>
                <w:lang w:val="it-CH"/>
              </w:rPr>
              <w:t>c) întreprinderea-mamă împreună cu filialele sale, precum şi oricare dintre filialele aceleiaşi întreprinderi-mamă între ele;</w:t>
            </w:r>
          </w:p>
          <w:p w14:paraId="17DF9C83" w14:textId="77777777" w:rsidR="00265766" w:rsidRPr="009E686F" w:rsidRDefault="00265766" w:rsidP="00017CB1">
            <w:pPr>
              <w:spacing w:after="0"/>
              <w:jc w:val="both"/>
              <w:rPr>
                <w:rFonts w:ascii="Times New Roman" w:hAnsi="Times New Roman" w:cs="Times New Roman"/>
                <w:lang w:val="it-CH"/>
              </w:rPr>
            </w:pPr>
            <w:r w:rsidRPr="009E686F">
              <w:rPr>
                <w:rFonts w:ascii="Times New Roman" w:hAnsi="Times New Roman" w:cs="Times New Roman"/>
                <w:lang w:val="it-CH"/>
              </w:rPr>
              <w:t>d) o persoană şi membrii organului de conducere al acesteia şi cu persoanele implicate, precum şi aceste persoane între ele;</w:t>
            </w:r>
          </w:p>
          <w:p w14:paraId="7883F8F8" w14:textId="77777777" w:rsidR="00265766" w:rsidRPr="009E686F" w:rsidRDefault="00265766" w:rsidP="00017CB1">
            <w:pPr>
              <w:spacing w:after="0"/>
              <w:jc w:val="both"/>
              <w:rPr>
                <w:rFonts w:ascii="Times New Roman" w:hAnsi="Times New Roman" w:cs="Times New Roman"/>
                <w:lang w:val="it-CH"/>
              </w:rPr>
            </w:pPr>
            <w:r w:rsidRPr="009E686F">
              <w:rPr>
                <w:rFonts w:ascii="Times New Roman" w:hAnsi="Times New Roman" w:cs="Times New Roman"/>
                <w:lang w:val="it-CH"/>
              </w:rPr>
              <w:t>e) o persoană cu fondurile ei de pensii şi cu persoana care administrează aceste fonduri;</w:t>
            </w:r>
          </w:p>
          <w:p w14:paraId="79F348D0" w14:textId="77777777" w:rsidR="00265766" w:rsidRPr="009E686F" w:rsidRDefault="00265766" w:rsidP="00017CB1">
            <w:pPr>
              <w:spacing w:after="0"/>
              <w:jc w:val="both"/>
              <w:rPr>
                <w:rFonts w:ascii="Times New Roman" w:hAnsi="Times New Roman" w:cs="Times New Roman"/>
                <w:lang w:val="it-CH"/>
              </w:rPr>
            </w:pPr>
            <w:r w:rsidRPr="009E686F">
              <w:rPr>
                <w:rFonts w:ascii="Times New Roman" w:hAnsi="Times New Roman" w:cs="Times New Roman"/>
                <w:lang w:val="it-CH"/>
              </w:rPr>
              <w:t>f) persoanele care, în derularea unor operaţiuni economice, utilizează resurse financiare avînd aceeaşi sursă sau provenind de la entităţi diferite care sînt persoane implicate;</w:t>
            </w:r>
          </w:p>
          <w:p w14:paraId="053D442F" w14:textId="77777777" w:rsidR="00265766" w:rsidRPr="009E686F" w:rsidRDefault="00265766" w:rsidP="00017CB1">
            <w:pPr>
              <w:spacing w:after="0"/>
              <w:jc w:val="both"/>
              <w:rPr>
                <w:rFonts w:ascii="Times New Roman" w:hAnsi="Times New Roman" w:cs="Times New Roman"/>
                <w:lang w:val="it-CH"/>
              </w:rPr>
            </w:pPr>
            <w:r w:rsidRPr="009E686F">
              <w:rPr>
                <w:rFonts w:ascii="Times New Roman" w:hAnsi="Times New Roman" w:cs="Times New Roman"/>
                <w:lang w:val="it-CH"/>
              </w:rPr>
              <w:t>g) persoanele care, în derularea unor operaţiuni economice, direcţionează beneficiile astfel obţinute către acelaşi destinatar sau către destinatari care sînt persoane implicate;</w:t>
            </w:r>
          </w:p>
          <w:p w14:paraId="1A6D72DA" w14:textId="77777777" w:rsidR="00265766" w:rsidRPr="009E686F" w:rsidRDefault="00265766" w:rsidP="00017CB1">
            <w:pPr>
              <w:spacing w:after="0"/>
              <w:jc w:val="both"/>
              <w:rPr>
                <w:rFonts w:ascii="Times New Roman" w:hAnsi="Times New Roman" w:cs="Times New Roman"/>
                <w:lang w:val="pt-BR"/>
              </w:rPr>
            </w:pPr>
            <w:r w:rsidRPr="009E686F">
              <w:rPr>
                <w:rFonts w:ascii="Times New Roman" w:hAnsi="Times New Roman" w:cs="Times New Roman"/>
                <w:lang w:val="pt-BR"/>
              </w:rPr>
              <w:t>h) persoanele juridice ale căror structuri de proprietate sau al căror organ de conducere are preponderent aceeaşi componenţă;</w:t>
            </w:r>
          </w:p>
          <w:p w14:paraId="73DBDC60" w14:textId="77777777" w:rsidR="00265766" w:rsidRPr="009E686F" w:rsidRDefault="00265766" w:rsidP="00017CB1">
            <w:pPr>
              <w:spacing w:after="0"/>
              <w:jc w:val="both"/>
              <w:rPr>
                <w:rFonts w:ascii="Times New Roman" w:hAnsi="Times New Roman" w:cs="Times New Roman"/>
                <w:lang w:val="pt-BR"/>
              </w:rPr>
            </w:pPr>
            <w:r w:rsidRPr="009E686F">
              <w:rPr>
                <w:rFonts w:ascii="Times New Roman" w:hAnsi="Times New Roman" w:cs="Times New Roman"/>
                <w:lang w:val="pt-BR"/>
              </w:rPr>
              <w:t>i) persoanele care au adoptat sau adoptă o politică investiţională similară, prin achiziţia de instrumente financiare emise de acelaşi emitent sau de persoane implicate cu acelaşi emitent şi/sau prin înstrăinarea de instrumente financiare emise de acelaşi emitent sau de persoane implicate cu acelaşi emitent;</w:t>
            </w:r>
          </w:p>
          <w:p w14:paraId="54A23E25" w14:textId="77777777" w:rsidR="00265766" w:rsidRPr="009E686F" w:rsidRDefault="00265766" w:rsidP="00017CB1">
            <w:pPr>
              <w:spacing w:after="0"/>
              <w:jc w:val="both"/>
              <w:rPr>
                <w:rFonts w:ascii="Times New Roman" w:hAnsi="Times New Roman" w:cs="Times New Roman"/>
                <w:lang w:val="pt-BR"/>
              </w:rPr>
            </w:pPr>
            <w:r w:rsidRPr="009E686F">
              <w:rPr>
                <w:rFonts w:ascii="Times New Roman" w:hAnsi="Times New Roman" w:cs="Times New Roman"/>
                <w:lang w:val="pt-BR"/>
              </w:rPr>
              <w:t xml:space="preserve">j) persoanele al căror exerciţiu identic al drepturilor conferite de valorile mobiliare emise de </w:t>
            </w:r>
            <w:r w:rsidRPr="009E686F">
              <w:rPr>
                <w:rFonts w:ascii="Times New Roman" w:hAnsi="Times New Roman" w:cs="Times New Roman"/>
                <w:i/>
                <w:lang w:val="pt-BR"/>
              </w:rPr>
              <w:t>instituția de credit</w:t>
            </w:r>
            <w:r w:rsidRPr="009E686F">
              <w:rPr>
                <w:rFonts w:ascii="Times New Roman" w:hAnsi="Times New Roman" w:cs="Times New Roman"/>
                <w:lang w:val="pt-BR"/>
              </w:rPr>
              <w:t xml:space="preserve">  denotă o politică comună de durată cu referire la această </w:t>
            </w:r>
            <w:r w:rsidRPr="009E686F">
              <w:rPr>
                <w:rFonts w:ascii="Times New Roman" w:hAnsi="Times New Roman" w:cs="Times New Roman"/>
                <w:i/>
                <w:lang w:val="pt-BR"/>
              </w:rPr>
              <w:t>instituție de credit</w:t>
            </w:r>
            <w:r w:rsidRPr="009E686F">
              <w:rPr>
                <w:rFonts w:ascii="Times New Roman" w:hAnsi="Times New Roman" w:cs="Times New Roman"/>
                <w:lang w:val="pt-BR"/>
              </w:rPr>
              <w:t>;</w:t>
            </w:r>
          </w:p>
          <w:p w14:paraId="6F36E13D" w14:textId="77777777" w:rsidR="00265766" w:rsidRPr="009E686F" w:rsidRDefault="00265766" w:rsidP="00017CB1">
            <w:pPr>
              <w:spacing w:after="0"/>
              <w:jc w:val="both"/>
              <w:rPr>
                <w:rFonts w:ascii="Times New Roman" w:hAnsi="Times New Roman" w:cs="Times New Roman"/>
                <w:lang w:val="pt-BR"/>
              </w:rPr>
            </w:pPr>
            <w:r w:rsidRPr="009E686F">
              <w:rPr>
                <w:rFonts w:ascii="Times New Roman" w:hAnsi="Times New Roman" w:cs="Times New Roman"/>
                <w:lang w:val="pt-BR"/>
              </w:rPr>
              <w:lastRenderedPageBreak/>
              <w:t>k) persoanele care, pentru derularea unor operaţiuni economice, de reprezentare a intereselor sau de exercitare a drepturilor de vot conferite de instrumentele financiare deţinute, au desemnat sau desemnează ca mandatar (mandatari) aceeaşi persoană (persoane) care este (sînt) persoană(e) implicată(e);</w:t>
            </w:r>
          </w:p>
          <w:p w14:paraId="276BCC29" w14:textId="77777777" w:rsidR="00265766" w:rsidRPr="009E686F" w:rsidRDefault="00265766" w:rsidP="00017CB1">
            <w:pPr>
              <w:spacing w:after="0"/>
              <w:jc w:val="both"/>
              <w:rPr>
                <w:rFonts w:ascii="Times New Roman" w:hAnsi="Times New Roman" w:cs="Times New Roman"/>
                <w:lang w:val="pt-BR"/>
              </w:rPr>
            </w:pPr>
            <w:r w:rsidRPr="009E686F">
              <w:rPr>
                <w:rFonts w:ascii="Times New Roman" w:hAnsi="Times New Roman" w:cs="Times New Roman"/>
                <w:lang w:val="pt-BR"/>
              </w:rPr>
              <w:t xml:space="preserve">l) persoanele care s-au asociat în orice formă juridică recunoscută de lege, iar scopul sau obiectivul asocierii sînt operaţiunile aflate în legătură cu </w:t>
            </w:r>
            <w:r w:rsidRPr="009E686F">
              <w:rPr>
                <w:rFonts w:ascii="Times New Roman" w:hAnsi="Times New Roman" w:cs="Times New Roman"/>
                <w:i/>
                <w:lang w:val="pt-BR"/>
              </w:rPr>
              <w:t>instituția</w:t>
            </w:r>
            <w:r w:rsidRPr="009E686F">
              <w:rPr>
                <w:rFonts w:ascii="Times New Roman" w:hAnsi="Times New Roman" w:cs="Times New Roman"/>
                <w:lang w:val="pt-BR"/>
              </w:rPr>
              <w:t xml:space="preserve"> </w:t>
            </w:r>
            <w:r w:rsidRPr="009E686F">
              <w:rPr>
                <w:rFonts w:ascii="Times New Roman" w:hAnsi="Times New Roman" w:cs="Times New Roman"/>
                <w:i/>
                <w:lang w:val="pt-BR"/>
              </w:rPr>
              <w:t>de credit;</w:t>
            </w:r>
          </w:p>
          <w:p w14:paraId="6D84030E" w14:textId="77777777" w:rsidR="00265766" w:rsidRPr="009E686F" w:rsidRDefault="00265766" w:rsidP="00017CB1">
            <w:pPr>
              <w:spacing w:after="0"/>
              <w:jc w:val="both"/>
              <w:rPr>
                <w:rFonts w:ascii="Times New Roman" w:hAnsi="Times New Roman" w:cs="Times New Roman"/>
                <w:lang w:val="pt-BR"/>
              </w:rPr>
            </w:pPr>
            <w:r w:rsidRPr="009E686F">
              <w:rPr>
                <w:rFonts w:ascii="Times New Roman" w:hAnsi="Times New Roman" w:cs="Times New Roman"/>
                <w:lang w:val="pt-BR"/>
              </w:rPr>
              <w:t>m) persoanele care au deţinut sau deţin în acelaşi timp deţineri la una sau la mai multe persoane juridice, exercitînd controlul asupra acestora şi desfăşurînd o politică comună;</w:t>
            </w:r>
          </w:p>
          <w:p w14:paraId="7C7618D5" w14:textId="77777777" w:rsidR="00265766" w:rsidRPr="009E686F" w:rsidRDefault="00265766" w:rsidP="00017CB1">
            <w:pPr>
              <w:spacing w:after="0"/>
              <w:jc w:val="both"/>
              <w:rPr>
                <w:rFonts w:ascii="Times New Roman" w:hAnsi="Times New Roman" w:cs="Times New Roman"/>
                <w:lang w:val="pt-BR"/>
              </w:rPr>
            </w:pPr>
            <w:r w:rsidRPr="009E686F">
              <w:rPr>
                <w:rFonts w:ascii="Times New Roman" w:hAnsi="Times New Roman" w:cs="Times New Roman"/>
                <w:lang w:val="pt-BR"/>
              </w:rPr>
              <w:t>n) persoanele care au derulat sau derulează operaţiuni economice împreună;</w:t>
            </w:r>
          </w:p>
          <w:p w14:paraId="59A3A12F" w14:textId="77777777" w:rsidR="00265766" w:rsidRPr="009E686F" w:rsidRDefault="00265766" w:rsidP="00017CB1">
            <w:pPr>
              <w:spacing w:after="0"/>
              <w:jc w:val="both"/>
              <w:rPr>
                <w:rFonts w:ascii="Times New Roman" w:hAnsi="Times New Roman" w:cs="Times New Roman"/>
                <w:lang w:val="pt-BR"/>
              </w:rPr>
            </w:pPr>
            <w:r w:rsidRPr="009E686F">
              <w:rPr>
                <w:rFonts w:ascii="Times New Roman" w:hAnsi="Times New Roman" w:cs="Times New Roman"/>
                <w:lang w:val="pt-BR"/>
              </w:rPr>
              <w:t>o) alte persoane determinate de Banca Naţională a Moldovei, conform criteriilor stabilite în actele normative;</w:t>
            </w:r>
          </w:p>
          <w:p w14:paraId="36096A31" w14:textId="77777777" w:rsidR="00265766" w:rsidRPr="009E686F" w:rsidRDefault="00265766" w:rsidP="005B3767">
            <w:pPr>
              <w:spacing w:after="0"/>
              <w:jc w:val="both"/>
              <w:rPr>
                <w:rFonts w:ascii="Times New Roman" w:hAnsi="Times New Roman" w:cs="Times New Roman"/>
                <w:lang w:val="pt-BR"/>
              </w:rPr>
            </w:pPr>
          </w:p>
          <w:p w14:paraId="56571BEB" w14:textId="699F848A" w:rsidR="00265766" w:rsidRPr="009E686F" w:rsidRDefault="00265766" w:rsidP="00723CDD">
            <w:pPr>
              <w:spacing w:after="0"/>
              <w:jc w:val="both"/>
              <w:rPr>
                <w:rFonts w:ascii="Times New Roman" w:hAnsi="Times New Roman" w:cs="Times New Roman"/>
                <w:lang w:val="ro-MD"/>
              </w:rPr>
            </w:pPr>
          </w:p>
        </w:tc>
        <w:tc>
          <w:tcPr>
            <w:tcW w:w="470" w:type="pct"/>
            <w:tcBorders>
              <w:top w:val="single" w:sz="4" w:space="0" w:color="auto"/>
              <w:left w:val="single" w:sz="4" w:space="0" w:color="auto"/>
              <w:bottom w:val="single" w:sz="4" w:space="0" w:color="auto"/>
              <w:right w:val="single" w:sz="4" w:space="0" w:color="auto"/>
            </w:tcBorders>
          </w:tcPr>
          <w:p w14:paraId="70D916A1" w14:textId="0840E11D" w:rsidR="00265766" w:rsidRPr="009E686F" w:rsidRDefault="00265766" w:rsidP="00723CDD">
            <w:pPr>
              <w:jc w:val="both"/>
              <w:rPr>
                <w:rFonts w:ascii="Times New Roman" w:hAnsi="Times New Roman" w:cs="Times New Roman"/>
              </w:rPr>
            </w:pPr>
            <w:r w:rsidRPr="009E686F">
              <w:rPr>
                <w:rFonts w:ascii="Times New Roman" w:hAnsi="Times New Roman" w:cs="Times New Roman"/>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44DEF44D" w14:textId="0C07133C" w:rsidR="00265766" w:rsidRPr="009E686F" w:rsidRDefault="00265766" w:rsidP="00723CDD">
            <w:pPr>
              <w:spacing w:after="0"/>
              <w:jc w:val="both"/>
              <w:rPr>
                <w:rFonts w:ascii="Times New Roman" w:hAnsi="Times New Roman" w:cs="Times New Roman"/>
              </w:rPr>
            </w:pPr>
            <w:r w:rsidRPr="009E686F">
              <w:rPr>
                <w:rFonts w:ascii="Times New Roman" w:hAnsi="Times New Roman" w:cs="Times New Roman"/>
              </w:rPr>
              <w:t>Noțiun</w:t>
            </w:r>
            <w:r w:rsidR="006C3ED0" w:rsidRPr="009E686F">
              <w:rPr>
                <w:rFonts w:ascii="Times New Roman" w:hAnsi="Times New Roman" w:cs="Times New Roman"/>
              </w:rPr>
              <w:t>e</w:t>
            </w:r>
            <w:r w:rsidRPr="009E686F">
              <w:rPr>
                <w:rFonts w:ascii="Times New Roman" w:hAnsi="Times New Roman" w:cs="Times New Roman"/>
              </w:rPr>
              <w:t xml:space="preserve">a de beneficiar efectiv corespunde pct. 10.4 din </w:t>
            </w:r>
            <w:hyperlink r:id="rId14" w:history="1">
              <w:r w:rsidRPr="009E686F">
                <w:rPr>
                  <w:rStyle w:val="af2"/>
                  <w:rFonts w:ascii="Times New Roman" w:hAnsi="Times New Roman" w:cs="Times New Roman"/>
                </w:rPr>
                <w:t>Ghidul EBA cu privire la evaluarea prudențială a achizițiilor sau majorărilor deținerilor calificate în sectorul financiar (JC/GL/2016/01)</w:t>
              </w:r>
            </w:hyperlink>
            <w:r w:rsidRPr="009E686F">
              <w:rPr>
                <w:rFonts w:ascii="Times New Roman" w:hAnsi="Times New Roman" w:cs="Times New Roman"/>
              </w:rPr>
              <w:t>.</w:t>
            </w:r>
          </w:p>
          <w:p w14:paraId="115E522D" w14:textId="77777777" w:rsidR="00265766" w:rsidRPr="009E686F" w:rsidRDefault="00265766" w:rsidP="00723CDD">
            <w:pPr>
              <w:spacing w:after="0"/>
              <w:jc w:val="both"/>
              <w:rPr>
                <w:rFonts w:ascii="Times New Roman" w:hAnsi="Times New Roman" w:cs="Times New Roman"/>
              </w:rPr>
            </w:pPr>
            <w:r w:rsidRPr="009E686F">
              <w:rPr>
                <w:rFonts w:ascii="Times New Roman" w:hAnsi="Times New Roman" w:cs="Times New Roman"/>
              </w:rPr>
              <w:t xml:space="preserve">Noțiunea de “persoană” și “persoane care acționează în mod concertat”, la fel, sunt aliniate cu prevederile din </w:t>
            </w:r>
            <w:hyperlink r:id="rId15" w:history="1">
              <w:r w:rsidRPr="009E686F">
                <w:rPr>
                  <w:rStyle w:val="af2"/>
                  <w:rFonts w:ascii="Times New Roman" w:hAnsi="Times New Roman" w:cs="Times New Roman"/>
                </w:rPr>
                <w:t>Ghidul EBA cu privire la evaluarea prudențială a achizițiilor sau majorărilor deținerilor calificate în sectorul financiar (JC/GL/2016/01)</w:t>
              </w:r>
            </w:hyperlink>
            <w:r w:rsidRPr="009E686F">
              <w:rPr>
                <w:rFonts w:ascii="Times New Roman" w:hAnsi="Times New Roman" w:cs="Times New Roman"/>
              </w:rPr>
              <w:t>.</w:t>
            </w:r>
          </w:p>
          <w:p w14:paraId="66D6E920" w14:textId="1A5AECC5" w:rsidR="00261F63" w:rsidRPr="009E686F" w:rsidRDefault="00261F63" w:rsidP="00723CDD">
            <w:pPr>
              <w:spacing w:after="0"/>
              <w:jc w:val="both"/>
              <w:rPr>
                <w:rFonts w:ascii="Times New Roman" w:hAnsi="Times New Roman" w:cs="Times New Roman"/>
                <w:lang w:val="it-CH"/>
              </w:rPr>
            </w:pPr>
            <w:r w:rsidRPr="009E686F">
              <w:rPr>
                <w:rFonts w:ascii="Times New Roman" w:hAnsi="Times New Roman" w:cs="Times New Roman"/>
                <w:lang w:val="it-CH"/>
              </w:rPr>
              <w:t xml:space="preserve">Modificările aferente pragului de 10% a </w:t>
            </w:r>
            <w:r w:rsidRPr="009E686F">
              <w:rPr>
                <w:rFonts w:ascii="Times New Roman" w:hAnsi="Times New Roman" w:cs="Times New Roman"/>
                <w:lang w:val="it-CH"/>
              </w:rPr>
              <w:lastRenderedPageBreak/>
              <w:t>deținerii calificate</w:t>
            </w:r>
            <w:r w:rsidR="00721A05" w:rsidRPr="009E686F">
              <w:rPr>
                <w:rFonts w:ascii="Times New Roman" w:hAnsi="Times New Roman" w:cs="Times New Roman"/>
                <w:lang w:val="it-CH"/>
              </w:rPr>
              <w:t xml:space="preserve"> și procedura de notificare</w:t>
            </w:r>
            <w:r w:rsidRPr="009E686F">
              <w:rPr>
                <w:rFonts w:ascii="Times New Roman" w:hAnsi="Times New Roman" w:cs="Times New Roman"/>
                <w:lang w:val="it-CH"/>
              </w:rPr>
              <w:t xml:space="preserve"> intră în vigoare la data aderării.</w:t>
            </w:r>
          </w:p>
        </w:tc>
      </w:tr>
      <w:tr w:rsidR="00265766" w:rsidRPr="009E686F" w14:paraId="51788535" w14:textId="77777777" w:rsidTr="00A575BD">
        <w:tc>
          <w:tcPr>
            <w:tcW w:w="1890" w:type="pct"/>
            <w:vMerge/>
            <w:tcBorders>
              <w:left w:val="single" w:sz="4" w:space="0" w:color="auto"/>
              <w:right w:val="single" w:sz="4" w:space="0" w:color="auto"/>
            </w:tcBorders>
          </w:tcPr>
          <w:p w14:paraId="142E2243" w14:textId="77777777" w:rsidR="00265766" w:rsidRPr="009E686F" w:rsidRDefault="00265766" w:rsidP="00723CDD">
            <w:pPr>
              <w:spacing w:after="0"/>
              <w:jc w:val="both"/>
              <w:rPr>
                <w:rFonts w:ascii="Times New Roman" w:hAnsi="Times New Roman" w:cs="Times New Roman"/>
                <w:lang w:val="it-CH"/>
              </w:rPr>
            </w:pPr>
          </w:p>
        </w:tc>
        <w:tc>
          <w:tcPr>
            <w:tcW w:w="1834" w:type="pct"/>
            <w:tcBorders>
              <w:top w:val="single" w:sz="4" w:space="0" w:color="auto"/>
              <w:left w:val="single" w:sz="4" w:space="0" w:color="auto"/>
              <w:bottom w:val="single" w:sz="4" w:space="0" w:color="auto"/>
              <w:right w:val="single" w:sz="4" w:space="0" w:color="auto"/>
            </w:tcBorders>
          </w:tcPr>
          <w:p w14:paraId="47E07E0F" w14:textId="7D23D11B" w:rsidR="00265766" w:rsidRPr="009E686F" w:rsidRDefault="00265766" w:rsidP="00723CDD">
            <w:pPr>
              <w:spacing w:after="0"/>
              <w:jc w:val="both"/>
              <w:rPr>
                <w:rFonts w:ascii="Times New Roman" w:hAnsi="Times New Roman" w:cs="Times New Roman"/>
                <w:b/>
                <w:lang w:val="ro-RO"/>
              </w:rPr>
            </w:pPr>
            <w:r w:rsidRPr="009E686F">
              <w:rPr>
                <w:rFonts w:ascii="Times New Roman" w:hAnsi="Times New Roman" w:cs="Times New Roman"/>
                <w:b/>
                <w:lang w:val="ro-RO"/>
              </w:rPr>
              <w:t>Articolul 45 alin. (1)</w:t>
            </w:r>
          </w:p>
          <w:p w14:paraId="0A50DF4B" w14:textId="77777777" w:rsidR="00265766" w:rsidRPr="009E686F" w:rsidRDefault="00265766" w:rsidP="00723CDD">
            <w:pPr>
              <w:spacing w:after="0"/>
              <w:jc w:val="both"/>
              <w:rPr>
                <w:rFonts w:ascii="Times New Roman" w:hAnsi="Times New Roman" w:cs="Times New Roman"/>
                <w:lang w:val="ro-RO"/>
              </w:rPr>
            </w:pPr>
            <w:r w:rsidRPr="009E686F">
              <w:rPr>
                <w:rFonts w:ascii="Times New Roman" w:hAnsi="Times New Roman" w:cs="Times New Roman"/>
                <w:lang w:val="ro-RO"/>
              </w:rPr>
              <w:t xml:space="preserve">(1) Orice persoană este obligată, până la achiziționarea/dobândirea acțiunilor unei </w:t>
            </w:r>
            <w:r w:rsidRPr="009E686F">
              <w:rPr>
                <w:rFonts w:ascii="Times New Roman" w:hAnsi="Times New Roman" w:cs="Times New Roman"/>
                <w:i/>
                <w:iCs/>
                <w:lang w:val="ro-RO"/>
              </w:rPr>
              <w:t>instituții de credit</w:t>
            </w:r>
            <w:r w:rsidRPr="009E686F">
              <w:rPr>
                <w:rFonts w:ascii="Times New Roman" w:hAnsi="Times New Roman" w:cs="Times New Roman"/>
                <w:lang w:val="ro-RO"/>
              </w:rPr>
              <w:t xml:space="preserve">, </w:t>
            </w:r>
            <w:r w:rsidRPr="009E686F">
              <w:rPr>
                <w:rFonts w:ascii="Times New Roman" w:hAnsi="Times New Roman" w:cs="Times New Roman"/>
                <w:i/>
                <w:iCs/>
                <w:lang w:val="ro-RO"/>
              </w:rPr>
              <w:t>să notifice în scris</w:t>
            </w:r>
            <w:r w:rsidRPr="009E686F">
              <w:rPr>
                <w:rFonts w:ascii="Times New Roman" w:hAnsi="Times New Roman" w:cs="Times New Roman"/>
                <w:lang w:val="ro-RO"/>
              </w:rPr>
              <w:t xml:space="preserve"> Banca Națională a Moldovei, în condițiile prevăzute la art. 47-49, în următoarele situații: </w:t>
            </w:r>
          </w:p>
          <w:p w14:paraId="5B92EB8E" w14:textId="58B2F80F" w:rsidR="00265766" w:rsidRPr="009E686F" w:rsidRDefault="00265766" w:rsidP="00723CDD">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 xml:space="preserve">a) o persoană, în calitate de achizitor potenţial, intenţionează să achiziţioneze, prin orice modalitate, direct sau indirect, inclusiv în calitate de beneficiar </w:t>
            </w:r>
            <w:r w:rsidRPr="009E686F">
              <w:rPr>
                <w:rFonts w:ascii="Times New Roman" w:hAnsi="Times New Roman" w:cs="Times New Roman"/>
                <w:lang w:val="ro-MD"/>
              </w:rPr>
              <w:t>real al deținerii</w:t>
            </w:r>
            <w:r w:rsidRPr="009E686F">
              <w:rPr>
                <w:rFonts w:ascii="Times New Roman" w:eastAsia="Aptos" w:hAnsi="Times New Roman" w:cs="Times New Roman"/>
                <w:kern w:val="2"/>
                <w:lang w:val="ro-MD"/>
              </w:rPr>
              <w:t xml:space="preserve">, o deţinere calificată într-o  </w:t>
            </w:r>
            <w:r w:rsidRPr="009E686F">
              <w:rPr>
                <w:rFonts w:ascii="Times New Roman" w:eastAsia="Aptos" w:hAnsi="Times New Roman" w:cs="Times New Roman"/>
                <w:i/>
                <w:iCs/>
                <w:kern w:val="2"/>
                <w:lang w:val="ro-MD"/>
              </w:rPr>
              <w:t>instituția de credit</w:t>
            </w:r>
            <w:r w:rsidRPr="009E686F">
              <w:rPr>
                <w:rFonts w:ascii="Times New Roman" w:eastAsia="Aptos" w:hAnsi="Times New Roman" w:cs="Times New Roman"/>
                <w:kern w:val="2"/>
                <w:lang w:val="ro-MD"/>
              </w:rPr>
              <w:t xml:space="preserve"> ori să îşi majoreze, direct sau indirect, inclusiv în calitate de beneficiar real</w:t>
            </w:r>
            <w:r w:rsidRPr="009E686F">
              <w:rPr>
                <w:rFonts w:ascii="Times New Roman" w:hAnsi="Times New Roman" w:cs="Times New Roman"/>
                <w:lang w:val="ro-MD"/>
              </w:rPr>
              <w:t xml:space="preserve"> al deținerii</w:t>
            </w:r>
            <w:r w:rsidRPr="009E686F">
              <w:rPr>
                <w:rFonts w:ascii="Times New Roman" w:eastAsia="Aptos" w:hAnsi="Times New Roman" w:cs="Times New Roman"/>
                <w:kern w:val="2"/>
                <w:lang w:val="ro-MD"/>
              </w:rPr>
              <w:t xml:space="preserve">, deţinerea calificată astfel încît proporţia drepturilor sale de vot sau a deţinerii să atingă ori să depăşească nivelul de 20%, </w:t>
            </w:r>
            <w:r w:rsidRPr="009E686F">
              <w:rPr>
                <w:rFonts w:ascii="Times New Roman" w:eastAsia="Aptos" w:hAnsi="Times New Roman" w:cs="Times New Roman"/>
                <w:kern w:val="2"/>
                <w:lang w:val="ro-MD"/>
              </w:rPr>
              <w:lastRenderedPageBreak/>
              <w:t xml:space="preserve">33% sau 50% ori astfel încît </w:t>
            </w:r>
            <w:r w:rsidRPr="009E686F">
              <w:rPr>
                <w:rFonts w:ascii="Times New Roman" w:eastAsia="Aptos" w:hAnsi="Times New Roman" w:cs="Times New Roman"/>
                <w:i/>
                <w:iCs/>
                <w:kern w:val="2"/>
                <w:lang w:val="ro-MD"/>
              </w:rPr>
              <w:t>instituția de credit</w:t>
            </w:r>
            <w:r w:rsidRPr="009E686F">
              <w:rPr>
                <w:rFonts w:ascii="Times New Roman" w:eastAsia="Aptos" w:hAnsi="Times New Roman" w:cs="Times New Roman"/>
                <w:kern w:val="2"/>
                <w:lang w:val="ro-MD"/>
              </w:rPr>
              <w:t xml:space="preserve"> să devină o filială a sa;</w:t>
            </w:r>
          </w:p>
          <w:p w14:paraId="2E637FFA" w14:textId="34004469" w:rsidR="00265766" w:rsidRPr="009E686F" w:rsidRDefault="00265766" w:rsidP="00723CDD">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b) o persoană,</w:t>
            </w:r>
            <w:r w:rsidRPr="009E686F" w:rsidDel="005833AA">
              <w:rPr>
                <w:rFonts w:ascii="Times New Roman" w:hAnsi="Times New Roman" w:cs="Times New Roman"/>
                <w:lang w:val="ro-MD"/>
              </w:rPr>
              <w:t xml:space="preserve"> </w:t>
            </w:r>
            <w:r w:rsidRPr="009E686F">
              <w:rPr>
                <w:rFonts w:ascii="Times New Roman" w:hAnsi="Times New Roman" w:cs="Times New Roman"/>
                <w:lang w:val="ro-MD"/>
              </w:rPr>
              <w:t>în calitate de dobînditor</w:t>
            </w:r>
            <w:r w:rsidRPr="009E686F">
              <w:rPr>
                <w:rFonts w:ascii="Times New Roman" w:eastAsia="Aptos" w:hAnsi="Times New Roman" w:cs="Times New Roman"/>
                <w:kern w:val="2"/>
                <w:lang w:val="ro-MD"/>
              </w:rPr>
              <w:t xml:space="preserve">, intenţionează să dobîndească, individual sau concertat, prin orice modalitate, o deţinere într-o </w:t>
            </w:r>
            <w:r w:rsidRPr="009E686F">
              <w:rPr>
                <w:rFonts w:ascii="Times New Roman" w:eastAsia="Aptos" w:hAnsi="Times New Roman" w:cs="Times New Roman"/>
                <w:i/>
                <w:iCs/>
                <w:kern w:val="2"/>
                <w:lang w:val="ro-MD"/>
              </w:rPr>
              <w:t>instituție de credit</w:t>
            </w:r>
            <w:r w:rsidRPr="009E686F">
              <w:rPr>
                <w:rFonts w:ascii="Times New Roman" w:eastAsia="Aptos" w:hAnsi="Times New Roman" w:cs="Times New Roman"/>
                <w:kern w:val="2"/>
                <w:lang w:val="ro-MD"/>
              </w:rPr>
              <w:t xml:space="preserve">  asupra căreia au devenit incidente prevederile alin.(2) din prezentul articol sau ale alin.(2) din art.52;</w:t>
            </w:r>
          </w:p>
          <w:p w14:paraId="3A31680C" w14:textId="77777777" w:rsidR="00265766" w:rsidRPr="009E686F" w:rsidRDefault="00265766" w:rsidP="00723CDD">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 xml:space="preserve">c) o persoană intenţionează să primească ca aport la capitalul său social acţiuni ale </w:t>
            </w:r>
            <w:r w:rsidRPr="009E686F">
              <w:rPr>
                <w:rFonts w:ascii="Times New Roman" w:eastAsia="Aptos" w:hAnsi="Times New Roman" w:cs="Times New Roman"/>
                <w:i/>
                <w:iCs/>
                <w:kern w:val="2"/>
                <w:lang w:val="ro-MD"/>
              </w:rPr>
              <w:t>instituției de credit</w:t>
            </w:r>
            <w:r w:rsidRPr="009E686F">
              <w:rPr>
                <w:rFonts w:ascii="Times New Roman" w:eastAsia="Aptos" w:hAnsi="Times New Roman" w:cs="Times New Roman"/>
                <w:kern w:val="2"/>
                <w:lang w:val="ro-MD"/>
              </w:rPr>
              <w:t>.</w:t>
            </w:r>
          </w:p>
          <w:p w14:paraId="1CABBFBC" w14:textId="12497AD1" w:rsidR="00265766" w:rsidRPr="009E686F" w:rsidRDefault="00265766" w:rsidP="000E28B6">
            <w:pPr>
              <w:spacing w:after="0"/>
              <w:jc w:val="both"/>
              <w:rPr>
                <w:rFonts w:ascii="Times New Roman" w:hAnsi="Times New Roman" w:cs="Times New Roman"/>
                <w:lang w:val="ro-MD"/>
              </w:rPr>
            </w:pPr>
            <w:r w:rsidRPr="009E686F">
              <w:rPr>
                <w:rFonts w:ascii="Times New Roman" w:hAnsi="Times New Roman" w:cs="Times New Roman"/>
                <w:lang w:val="ro-MD"/>
              </w:rPr>
              <w:t xml:space="preserve">(2) Exerciţiul dreptului de vot, al dreptului de convocare şi desfăşurare a adunării generale a acţionarilor, al dreptului de a introduce chestiuni pe ordinea de zi, al dreptului de a propune candidaţi pentru membrii organului de conducere, al dreptului de a primi dividende este suspendat de drept din data hotărârii Băncii Naţionale a Moldovei prin care se constată achiziţia/dobândirea realizată cu încălcarea prevederilor alin.(1). Banca Naţională a Moldovei notifică achizitorul potenţial/dobânditorul şi </w:t>
            </w:r>
            <w:r w:rsidRPr="009E686F">
              <w:rPr>
                <w:rFonts w:ascii="Times New Roman" w:hAnsi="Times New Roman" w:cs="Times New Roman"/>
                <w:i/>
                <w:lang w:val="ro-MD"/>
              </w:rPr>
              <w:t>instituția de credit</w:t>
            </w:r>
            <w:r w:rsidRPr="009E686F">
              <w:rPr>
                <w:rFonts w:ascii="Times New Roman" w:hAnsi="Times New Roman" w:cs="Times New Roman"/>
                <w:lang w:val="ro-MD"/>
              </w:rPr>
              <w:t>, în termen de 5 zile de la data la care a aflat despre achiziţia/dobândirea realizată cu încălcarea prevederilor alin.(1), despre incidenţa prevederilor vizând suspendarea exerciţiului drepturilor indicate în prezentul alineat.</w:t>
            </w:r>
            <w:r w:rsidRPr="009E686F">
              <w:rPr>
                <w:color w:val="FF0000"/>
                <w:lang w:val="ro-RO"/>
              </w:rPr>
              <w:t xml:space="preserve"> </w:t>
            </w:r>
          </w:p>
          <w:p w14:paraId="03E74BB1" w14:textId="772382A6" w:rsidR="00265766" w:rsidRPr="009E686F" w:rsidRDefault="00265766" w:rsidP="000E28B6">
            <w:pPr>
              <w:spacing w:after="0"/>
              <w:jc w:val="both"/>
              <w:rPr>
                <w:rFonts w:ascii="Times New Roman" w:hAnsi="Times New Roman" w:cs="Times New Roman"/>
                <w:lang w:val="it-CH"/>
              </w:rPr>
            </w:pPr>
            <w:r w:rsidRPr="009E686F">
              <w:rPr>
                <w:rFonts w:ascii="Times New Roman" w:hAnsi="Times New Roman" w:cs="Times New Roman"/>
                <w:lang w:val="it-CH"/>
              </w:rPr>
              <w:t xml:space="preserve">(3) Acţiunile cu drept de vot suspendat nu se exclud din calcul la convocarea adunării generale a acţionarilor şi la stabilirea cvorumului. Dacă acţiunile cu drept de vot suspendat constituie 50% sau mai mult din acţiunile cu drept de vot ale </w:t>
            </w:r>
            <w:r w:rsidRPr="009E686F">
              <w:rPr>
                <w:rFonts w:ascii="Times New Roman" w:hAnsi="Times New Roman" w:cs="Times New Roman"/>
                <w:i/>
                <w:iCs/>
                <w:lang w:val="it-CH"/>
              </w:rPr>
              <w:t>instituției de credit</w:t>
            </w:r>
            <w:r w:rsidRPr="009E686F">
              <w:rPr>
                <w:rFonts w:ascii="Times New Roman" w:hAnsi="Times New Roman" w:cs="Times New Roman"/>
                <w:lang w:val="it-CH"/>
              </w:rPr>
              <w:t xml:space="preserve">, prin derogare de la art.57 alin.(1) din Legea nr.1134/1997 privind societăţile pe acţiuni, se consideră că adunarea generală a acţionarilor are cvorum dacă la aceasta participă acţionari care deţin cel puţin 25% din acţiunile cu drept de vot ale </w:t>
            </w:r>
            <w:r w:rsidRPr="009E686F">
              <w:rPr>
                <w:rFonts w:ascii="Times New Roman" w:hAnsi="Times New Roman" w:cs="Times New Roman"/>
                <w:i/>
                <w:iCs/>
                <w:lang w:val="it-CH"/>
              </w:rPr>
              <w:t>instituții de credit</w:t>
            </w:r>
            <w:r w:rsidRPr="009E686F">
              <w:rPr>
                <w:rFonts w:ascii="Times New Roman" w:hAnsi="Times New Roman" w:cs="Times New Roman"/>
                <w:lang w:val="it-CH"/>
              </w:rPr>
              <w:t xml:space="preserve">. </w:t>
            </w:r>
            <w:r w:rsidRPr="009E686F">
              <w:rPr>
                <w:rFonts w:ascii="Times New Roman" w:hAnsi="Times New Roman" w:cs="Times New Roman"/>
                <w:lang w:val="it-CH"/>
              </w:rPr>
              <w:lastRenderedPageBreak/>
              <w:t>Acţiunile cu drept de vot suspendat nu participă la adoptarea hotărârilor privind chestiunile incluse pe ordinea de zi a adunării generale a acţionarilor.</w:t>
            </w:r>
          </w:p>
          <w:p w14:paraId="5B4F8836" w14:textId="77777777" w:rsidR="00265766" w:rsidRPr="009E686F" w:rsidRDefault="00265766" w:rsidP="000E28B6">
            <w:pPr>
              <w:spacing w:after="0"/>
              <w:jc w:val="both"/>
              <w:rPr>
                <w:rFonts w:ascii="Times New Roman" w:hAnsi="Times New Roman" w:cs="Times New Roman"/>
                <w:lang w:val="it-CH"/>
              </w:rPr>
            </w:pPr>
            <w:r w:rsidRPr="009E686F">
              <w:rPr>
                <w:rFonts w:ascii="Times New Roman" w:hAnsi="Times New Roman" w:cs="Times New Roman"/>
                <w:lang w:val="it-CH"/>
              </w:rPr>
              <w:t>(4) Persoanele care au încălcat prevederile alin.(1) vor înstrăina, în termen de 3 luni de la data notificării hotărârii Băncii Naţionale a Moldovei prin care s-a constatat achiziţia/dobândirea realizată cu încălcarea prevederilor alin.(1) din prezentul articol, acţiunile aferente deţinerii astfel achiziţionate/dobîndite. Dacă după expirarea termenului acţiunile nu au fost înstrăinate, devin incidente prevederile art.52</w:t>
            </w:r>
            <w:r w:rsidRPr="009E686F">
              <w:rPr>
                <w:rFonts w:ascii="Times New Roman" w:hAnsi="Times New Roman" w:cs="Times New Roman"/>
                <w:vertAlign w:val="superscript"/>
                <w:lang w:val="it-CH"/>
              </w:rPr>
              <w:t>1</w:t>
            </w:r>
            <w:r w:rsidRPr="009E686F">
              <w:rPr>
                <w:rFonts w:ascii="Times New Roman" w:hAnsi="Times New Roman" w:cs="Times New Roman"/>
                <w:lang w:val="it-CH"/>
              </w:rPr>
              <w:t>.</w:t>
            </w:r>
          </w:p>
          <w:p w14:paraId="15296154" w14:textId="77777777" w:rsidR="00265766" w:rsidRPr="009E686F" w:rsidRDefault="00265766" w:rsidP="000E28B6">
            <w:pPr>
              <w:spacing w:after="0"/>
              <w:jc w:val="both"/>
              <w:rPr>
                <w:rFonts w:ascii="Times New Roman" w:hAnsi="Times New Roman" w:cs="Times New Roman"/>
                <w:lang w:val="it-CH"/>
              </w:rPr>
            </w:pPr>
            <w:r w:rsidRPr="009E686F">
              <w:rPr>
                <w:rFonts w:ascii="Times New Roman" w:hAnsi="Times New Roman" w:cs="Times New Roman"/>
                <w:lang w:val="it-CH"/>
              </w:rPr>
              <w:t xml:space="preserve">(5) În aplicarea prevederilor alin.(1), se prezumă, pînă la proba contrară, că mai multe persoane acţionează concertat </w:t>
            </w:r>
            <w:r w:rsidRPr="009E686F" w:rsidDel="00FD6553">
              <w:rPr>
                <w:rFonts w:ascii="Times New Roman" w:hAnsi="Times New Roman" w:cs="Times New Roman"/>
                <w:lang w:val="it-CH"/>
              </w:rPr>
              <w:t xml:space="preserve">în calitate de achizitori potenţiali </w:t>
            </w:r>
            <w:r w:rsidRPr="009E686F">
              <w:rPr>
                <w:rFonts w:ascii="Times New Roman" w:hAnsi="Times New Roman" w:cs="Times New Roman"/>
                <w:lang w:val="it-CH"/>
              </w:rPr>
              <w:t>conform constatărilor Băncii Naţionale a Moldovei.</w:t>
            </w:r>
          </w:p>
          <w:p w14:paraId="6F878198" w14:textId="5B11DABD" w:rsidR="00265766" w:rsidRPr="009E686F" w:rsidRDefault="00265766" w:rsidP="000E28B6">
            <w:pPr>
              <w:spacing w:after="0"/>
              <w:jc w:val="both"/>
              <w:rPr>
                <w:rFonts w:ascii="Times New Roman" w:hAnsi="Times New Roman" w:cs="Times New Roman"/>
                <w:lang w:val="it-CH"/>
              </w:rPr>
            </w:pPr>
            <w:r w:rsidRPr="009E686F">
              <w:rPr>
                <w:rFonts w:ascii="Times New Roman" w:hAnsi="Times New Roman" w:cs="Times New Roman"/>
                <w:lang w:val="it-CH"/>
              </w:rPr>
              <w:t xml:space="preserve">(6) Persoanele împuternicite conform legii să înregistreze transferul dreptului de proprietate asupra acţiunilor </w:t>
            </w:r>
            <w:r w:rsidRPr="009E686F">
              <w:rPr>
                <w:rFonts w:ascii="Times New Roman" w:hAnsi="Times New Roman" w:cs="Times New Roman"/>
                <w:i/>
                <w:iCs/>
                <w:lang w:val="it-CH"/>
              </w:rPr>
              <w:t>instituției de credit</w:t>
            </w:r>
            <w:r w:rsidRPr="009E686F">
              <w:rPr>
                <w:rFonts w:ascii="Times New Roman" w:hAnsi="Times New Roman" w:cs="Times New Roman"/>
                <w:lang w:val="it-CH"/>
              </w:rPr>
              <w:t xml:space="preserve"> vor face înregistrările respective numai cu condiţia prezentării </w:t>
            </w:r>
            <w:r w:rsidRPr="009E686F">
              <w:rPr>
                <w:rFonts w:ascii="Times New Roman" w:hAnsi="Times New Roman" w:cs="Times New Roman"/>
                <w:i/>
                <w:iCs/>
                <w:lang w:val="it-CH"/>
              </w:rPr>
              <w:t>comunicării lipsei opoziției Băncii Naţionale a Moldovei</w:t>
            </w:r>
            <w:r w:rsidRPr="009E686F">
              <w:rPr>
                <w:rFonts w:ascii="Times New Roman" w:hAnsi="Times New Roman" w:cs="Times New Roman"/>
                <w:lang w:val="it-CH"/>
              </w:rPr>
              <w:t xml:space="preserve"> cu privire la achiziționarea acțiunilor instituției de credit, în cazurile prevăzute de prezenta lege. Procedura de înregistrare a transferului dreptului de proprietate asupra acţiunilor </w:t>
            </w:r>
            <w:r w:rsidRPr="009E686F">
              <w:rPr>
                <w:rFonts w:ascii="Times New Roman" w:hAnsi="Times New Roman" w:cs="Times New Roman"/>
                <w:i/>
                <w:iCs/>
                <w:lang w:val="it-CH"/>
              </w:rPr>
              <w:t>instituției de credit</w:t>
            </w:r>
            <w:r w:rsidRPr="009E686F">
              <w:rPr>
                <w:rFonts w:ascii="Times New Roman" w:hAnsi="Times New Roman" w:cs="Times New Roman"/>
                <w:lang w:val="it-CH"/>
              </w:rPr>
              <w:t xml:space="preserve"> se stabileşte prin actele normative ale Băncii Naţionale a Moldovei, în prealabil coordonate cu Comisia Naţională a Pieţei Financiare.</w:t>
            </w:r>
          </w:p>
          <w:p w14:paraId="3C839942" w14:textId="566D0810" w:rsidR="00265766" w:rsidRPr="009E686F" w:rsidRDefault="00265766" w:rsidP="000E28B6">
            <w:pPr>
              <w:spacing w:after="0"/>
              <w:jc w:val="both"/>
              <w:rPr>
                <w:rFonts w:ascii="Times New Roman" w:hAnsi="Times New Roman" w:cs="Times New Roman"/>
                <w:i/>
                <w:iCs/>
                <w:color w:val="8064A2" w:themeColor="accent4"/>
                <w:lang w:val="it-CH"/>
              </w:rPr>
            </w:pPr>
            <w:r w:rsidRPr="009E686F">
              <w:rPr>
                <w:rFonts w:ascii="Times New Roman" w:hAnsi="Times New Roman" w:cs="Times New Roman"/>
                <w:lang w:val="it-CH"/>
              </w:rPr>
              <w:t>(7) În aplicarea prevederilor prezentului capitol, modalitatea de determinare a drepturilor de vot se stabileşte prin actele normative ale Băncii Naţionale a Moldovei, în prealabil coordonate cu Comisia Naţională a Pieţei Financiare. [...]</w:t>
            </w:r>
            <w:r w:rsidRPr="009E686F">
              <w:rPr>
                <w:color w:val="FF0000"/>
                <w:lang w:val="ro-RO"/>
              </w:rPr>
              <w:t xml:space="preserve"> </w:t>
            </w:r>
          </w:p>
          <w:p w14:paraId="6738AE32" w14:textId="23327FB5" w:rsidR="00265766" w:rsidRPr="009E686F" w:rsidRDefault="00265766" w:rsidP="000E28B6">
            <w:pPr>
              <w:spacing w:after="0" w:line="278" w:lineRule="auto"/>
              <w:jc w:val="both"/>
              <w:rPr>
                <w:rFonts w:ascii="Times New Roman" w:eastAsia="Aptos" w:hAnsi="Times New Roman" w:cs="Times New Roman"/>
                <w:kern w:val="2"/>
                <w:lang w:val="ro-MD"/>
              </w:rPr>
            </w:pPr>
            <w:r w:rsidRPr="009E686F">
              <w:rPr>
                <w:rFonts w:ascii="Times New Roman" w:hAnsi="Times New Roman" w:cs="Times New Roman"/>
                <w:lang w:val="it-CH"/>
              </w:rPr>
              <w:t xml:space="preserve">(9) </w:t>
            </w:r>
            <w:r w:rsidRPr="009E686F">
              <w:rPr>
                <w:rFonts w:ascii="Times New Roman" w:hAnsi="Times New Roman" w:cs="Times New Roman"/>
                <w:lang w:val="ro-RO"/>
              </w:rPr>
              <w:t xml:space="preserve">În sensul prezentului capitol, prin sintagma </w:t>
            </w:r>
            <w:r w:rsidRPr="009E686F">
              <w:rPr>
                <w:rFonts w:ascii="Times New Roman" w:hAnsi="Times New Roman" w:cs="Times New Roman"/>
                <w:lang w:val="it-CH"/>
              </w:rPr>
              <w:t>“</w:t>
            </w:r>
            <w:r w:rsidRPr="009E686F">
              <w:rPr>
                <w:rFonts w:ascii="Times New Roman" w:hAnsi="Times New Roman" w:cs="Times New Roman"/>
                <w:lang w:val="ro-RO"/>
              </w:rPr>
              <w:t>dobânditor” se au în vedere persoanele menționate la alin. (1) lit. b) și c).</w:t>
            </w:r>
          </w:p>
          <w:p w14:paraId="1471601D" w14:textId="77777777" w:rsidR="00265766" w:rsidRPr="009E686F" w:rsidRDefault="00265766" w:rsidP="00723CDD">
            <w:pPr>
              <w:spacing w:after="0" w:line="278" w:lineRule="auto"/>
              <w:jc w:val="both"/>
              <w:rPr>
                <w:rFonts w:ascii="Times New Roman" w:eastAsia="Aptos" w:hAnsi="Times New Roman" w:cs="Times New Roman"/>
                <w:kern w:val="2"/>
                <w:lang w:val="ro-MD"/>
              </w:rPr>
            </w:pPr>
          </w:p>
          <w:p w14:paraId="5C810483" w14:textId="77777777" w:rsidR="00265766" w:rsidRPr="009E686F" w:rsidRDefault="00265766" w:rsidP="00723CDD">
            <w:pPr>
              <w:spacing w:after="0"/>
              <w:jc w:val="both"/>
              <w:rPr>
                <w:rFonts w:ascii="Times New Roman" w:hAnsi="Times New Roman" w:cs="Times New Roman"/>
                <w:lang w:val="ro-MD"/>
              </w:rPr>
            </w:pPr>
            <w:r w:rsidRPr="009E686F">
              <w:rPr>
                <w:rFonts w:ascii="Times New Roman" w:hAnsi="Times New Roman" w:cs="Times New Roman"/>
                <w:b/>
                <w:lang w:val="ro-MD"/>
              </w:rPr>
              <w:lastRenderedPageBreak/>
              <w:t>Articolul 47 alin. (1)</w:t>
            </w:r>
            <w:r w:rsidRPr="009E686F">
              <w:rPr>
                <w:rFonts w:ascii="Times New Roman" w:hAnsi="Times New Roman" w:cs="Times New Roman"/>
                <w:lang w:val="ro-MD"/>
              </w:rPr>
              <w:t xml:space="preserve"> </w:t>
            </w:r>
          </w:p>
          <w:p w14:paraId="48E515CB" w14:textId="5C96F679" w:rsidR="00265766" w:rsidRPr="009E686F" w:rsidRDefault="00265766" w:rsidP="00723CDD">
            <w:pPr>
              <w:spacing w:after="0"/>
              <w:jc w:val="both"/>
              <w:rPr>
                <w:rFonts w:ascii="Times New Roman" w:hAnsi="Times New Roman" w:cs="Times New Roman"/>
                <w:b/>
                <w:lang w:val="ro-MD"/>
              </w:rPr>
            </w:pPr>
            <w:r w:rsidRPr="009E686F">
              <w:rPr>
                <w:rFonts w:ascii="Times New Roman" w:eastAsia="Aptos" w:hAnsi="Times New Roman" w:cs="Times New Roman"/>
                <w:kern w:val="2"/>
                <w:lang w:val="ro-MD"/>
              </w:rPr>
              <w:t xml:space="preserve">(1) Achizitorul potenţial/dobînditorul </w:t>
            </w:r>
            <w:r w:rsidRPr="009E686F">
              <w:rPr>
                <w:rFonts w:ascii="Times New Roman" w:eastAsia="Aptos" w:hAnsi="Times New Roman" w:cs="Times New Roman"/>
                <w:i/>
                <w:iCs/>
                <w:kern w:val="2"/>
                <w:lang w:val="ro-MD"/>
              </w:rPr>
              <w:t>va notifica în scris</w:t>
            </w:r>
            <w:r w:rsidRPr="009E686F">
              <w:rPr>
                <w:rFonts w:ascii="Times New Roman" w:eastAsia="Aptos" w:hAnsi="Times New Roman" w:cs="Times New Roman"/>
                <w:kern w:val="2"/>
                <w:lang w:val="ro-MD"/>
              </w:rPr>
              <w:t xml:space="preserve"> Banca Naţională a Moldovei în cazul dobîndirii sau majorării deţinerii, după caz, deţinerii calificate într-o </w:t>
            </w:r>
            <w:r w:rsidRPr="009E686F">
              <w:rPr>
                <w:rFonts w:ascii="Times New Roman" w:eastAsia="Aptos" w:hAnsi="Times New Roman" w:cs="Times New Roman"/>
                <w:i/>
                <w:iCs/>
                <w:kern w:val="2"/>
                <w:lang w:val="ro-MD"/>
              </w:rPr>
              <w:t>instituție de credit</w:t>
            </w:r>
            <w:r w:rsidRPr="009E686F">
              <w:rPr>
                <w:rFonts w:ascii="Times New Roman" w:eastAsia="Aptos" w:hAnsi="Times New Roman" w:cs="Times New Roman"/>
                <w:kern w:val="2"/>
                <w:lang w:val="ro-MD"/>
              </w:rPr>
              <w:t xml:space="preserve"> în una dintre situaţiile prevăzute la art.45 alin.(1), cu indicarea mărimii deţinerii, care constituie obiectul dobîndirii, şi furnizarea documentelor şi a informaţiilor relevante prevăzute la art.48 alin.(5).</w:t>
            </w:r>
          </w:p>
        </w:tc>
        <w:tc>
          <w:tcPr>
            <w:tcW w:w="470" w:type="pct"/>
            <w:tcBorders>
              <w:top w:val="single" w:sz="4" w:space="0" w:color="auto"/>
              <w:left w:val="single" w:sz="4" w:space="0" w:color="auto"/>
              <w:bottom w:val="single" w:sz="4" w:space="0" w:color="auto"/>
              <w:right w:val="single" w:sz="4" w:space="0" w:color="auto"/>
            </w:tcBorders>
          </w:tcPr>
          <w:p w14:paraId="1781E218" w14:textId="77777777" w:rsidR="00265766" w:rsidRPr="009E686F" w:rsidRDefault="00265766" w:rsidP="00723CDD">
            <w:pPr>
              <w:jc w:val="both"/>
              <w:rPr>
                <w:rFonts w:ascii="Times New Roman" w:hAnsi="Times New Roman" w:cs="Times New Roman"/>
                <w:lang w:val="ro-MD"/>
              </w:rPr>
            </w:pPr>
          </w:p>
        </w:tc>
        <w:tc>
          <w:tcPr>
            <w:tcW w:w="806" w:type="pct"/>
            <w:tcBorders>
              <w:top w:val="single" w:sz="4" w:space="0" w:color="auto"/>
              <w:left w:val="single" w:sz="4" w:space="0" w:color="auto"/>
              <w:bottom w:val="single" w:sz="4" w:space="0" w:color="auto"/>
              <w:right w:val="single" w:sz="4" w:space="0" w:color="auto"/>
            </w:tcBorders>
          </w:tcPr>
          <w:p w14:paraId="3542E3D2" w14:textId="77777777" w:rsidR="00265766" w:rsidRPr="009E686F" w:rsidRDefault="00265766" w:rsidP="00265766">
            <w:pPr>
              <w:jc w:val="both"/>
              <w:rPr>
                <w:rFonts w:ascii="Times New Roman" w:hAnsi="Times New Roman" w:cs="Times New Roman"/>
                <w:lang w:val="ro-RO"/>
              </w:rPr>
            </w:pPr>
            <w:r w:rsidRPr="009E686F">
              <w:rPr>
                <w:rFonts w:ascii="Times New Roman" w:hAnsi="Times New Roman" w:cs="Times New Roman"/>
                <w:lang w:val="ro-RO"/>
              </w:rPr>
              <w:t xml:space="preserve">Lit. b) și c) din art. 45 alin. (1) reprezintă norme cu specific național, menținute din cadrul legislativ anterior, care consolidează mecanismul de supraveghere prudențială a acționariatului instituțiilor de credit. Acestea permit BNM să exercite un control ex ante și în situații care nu sunt reglementate expres </w:t>
            </w:r>
            <w:r w:rsidRPr="009E686F">
              <w:rPr>
                <w:rFonts w:ascii="Times New Roman" w:hAnsi="Times New Roman" w:cs="Times New Roman"/>
                <w:lang w:val="ro-RO"/>
              </w:rPr>
              <w:lastRenderedPageBreak/>
              <w:t>de Directiva 2013/36/UE, dar care pot avea ca efect modificarea structurii acționariatului, a controlului sau a influenței exercitate asupra instituției de credit. Prin urmare, prevederile urmăresc menținerea unei structuri a acționariatului transparente, obiectiv compatibil cu scopul cadrului prudențial european.</w:t>
            </w:r>
          </w:p>
          <w:p w14:paraId="6CCB61EC" w14:textId="622AD244" w:rsidR="00265766" w:rsidRPr="009E686F" w:rsidRDefault="00265766" w:rsidP="00265766">
            <w:pPr>
              <w:jc w:val="both"/>
              <w:rPr>
                <w:rFonts w:ascii="Times New Roman" w:hAnsi="Times New Roman" w:cs="Times New Roman"/>
                <w:lang w:val="ro-RO"/>
              </w:rPr>
            </w:pPr>
            <w:r w:rsidRPr="009E686F">
              <w:rPr>
                <w:rFonts w:ascii="Times New Roman" w:hAnsi="Times New Roman" w:cs="Times New Roman"/>
                <w:lang w:val="ro-RO"/>
              </w:rPr>
              <w:t>Prevederile alin. (8) din art. 45 se vor exclude începând cu data aderării RM la UE, moment în care vor fi aplicabile prevederile art. 23 para. (1) lit. e) transpuse în proiectul de lege prin art. 48 alin. (1</w:t>
            </w:r>
            <w:r w:rsidRPr="009E686F">
              <w:rPr>
                <w:rFonts w:ascii="Times New Roman" w:hAnsi="Times New Roman" w:cs="Times New Roman"/>
                <w:vertAlign w:val="superscript"/>
                <w:lang w:val="ro-RO"/>
              </w:rPr>
              <w:t>1</w:t>
            </w:r>
            <w:r w:rsidRPr="009E686F">
              <w:rPr>
                <w:rFonts w:ascii="Times New Roman" w:hAnsi="Times New Roman" w:cs="Times New Roman"/>
                <w:lang w:val="ro-RO"/>
              </w:rPr>
              <w:t>).</w:t>
            </w:r>
          </w:p>
        </w:tc>
      </w:tr>
      <w:tr w:rsidR="00265766" w:rsidRPr="009E686F" w14:paraId="0A1B6DD3" w14:textId="77777777" w:rsidTr="00525010">
        <w:tc>
          <w:tcPr>
            <w:tcW w:w="1890" w:type="pct"/>
            <w:vMerge/>
            <w:tcBorders>
              <w:left w:val="single" w:sz="4" w:space="0" w:color="auto"/>
              <w:bottom w:val="single" w:sz="4" w:space="0" w:color="auto"/>
              <w:right w:val="single" w:sz="4" w:space="0" w:color="auto"/>
            </w:tcBorders>
          </w:tcPr>
          <w:p w14:paraId="47D7767B" w14:textId="77777777" w:rsidR="00265766" w:rsidRPr="009E686F" w:rsidRDefault="00265766" w:rsidP="00265766">
            <w:pPr>
              <w:spacing w:after="0"/>
              <w:jc w:val="both"/>
              <w:rPr>
                <w:rFonts w:ascii="Times New Roman" w:hAnsi="Times New Roman" w:cs="Times New Roman"/>
              </w:rPr>
            </w:pPr>
          </w:p>
        </w:tc>
        <w:tc>
          <w:tcPr>
            <w:tcW w:w="1834" w:type="pct"/>
            <w:tcBorders>
              <w:top w:val="single" w:sz="4" w:space="0" w:color="auto"/>
              <w:left w:val="single" w:sz="4" w:space="0" w:color="auto"/>
              <w:bottom w:val="single" w:sz="4" w:space="0" w:color="auto"/>
              <w:right w:val="single" w:sz="4" w:space="0" w:color="auto"/>
            </w:tcBorders>
          </w:tcPr>
          <w:p w14:paraId="7EE4358E" w14:textId="77777777" w:rsidR="00265766" w:rsidRPr="009E686F" w:rsidRDefault="00265766" w:rsidP="00265766">
            <w:pPr>
              <w:spacing w:after="0"/>
              <w:jc w:val="both"/>
              <w:rPr>
                <w:rFonts w:ascii="Times New Roman" w:hAnsi="Times New Roman" w:cs="Times New Roman"/>
                <w:lang w:val="pt-BR"/>
              </w:rPr>
            </w:pPr>
            <w:r w:rsidRPr="009E686F">
              <w:rPr>
                <w:rFonts w:ascii="Times New Roman" w:hAnsi="Times New Roman" w:cs="Times New Roman"/>
                <w:b/>
                <w:lang w:val="pt-BR"/>
              </w:rPr>
              <w:t>Articolul 46.</w:t>
            </w:r>
            <w:r w:rsidRPr="009E686F">
              <w:rPr>
                <w:rFonts w:ascii="Times New Roman" w:hAnsi="Times New Roman" w:cs="Times New Roman"/>
                <w:lang w:val="pt-BR"/>
              </w:rPr>
              <w:t xml:space="preserve"> Exceptarea de la obligaţia de </w:t>
            </w:r>
            <w:r w:rsidRPr="009E686F">
              <w:rPr>
                <w:rFonts w:ascii="Times New Roman" w:hAnsi="Times New Roman" w:cs="Times New Roman"/>
                <w:i/>
                <w:lang w:val="pt-BR"/>
              </w:rPr>
              <w:t>notificare</w:t>
            </w:r>
            <w:r w:rsidRPr="009E686F">
              <w:rPr>
                <w:rFonts w:ascii="Times New Roman" w:hAnsi="Times New Roman" w:cs="Times New Roman"/>
                <w:lang w:val="pt-BR"/>
              </w:rPr>
              <w:t xml:space="preserve"> </w:t>
            </w:r>
          </w:p>
          <w:p w14:paraId="13E78BCA" w14:textId="77777777"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 xml:space="preserve">(1) Prevederile art. 45 alin.(1) lit. a) şi b) nu se aplică în circumstanţe obiective, stabilite prin actele normative ale Băncii Naţionale a Moldovei. În acest caz, exerciţiul dreptului de vot, al dreptului de convocare şi desfăşurare a adunării generale a acţionarilor, al dreptului de a introduce chestiuni în ordinea de zi, al dreptului de a propune candidaţi pentru membrii organului de conducere, al dreptului de a primi dividende este suspendat de drept de la data achiziţiei pînă la data </w:t>
            </w:r>
            <w:r w:rsidRPr="009E686F">
              <w:rPr>
                <w:rFonts w:ascii="Times New Roman" w:hAnsi="Times New Roman" w:cs="Times New Roman"/>
                <w:i/>
                <w:iCs/>
                <w:lang w:val="it-CH"/>
              </w:rPr>
              <w:t>finalizării evaluării acționarului achizitor</w:t>
            </w:r>
            <w:r w:rsidRPr="009E686F">
              <w:rPr>
                <w:rFonts w:ascii="Times New Roman" w:hAnsi="Times New Roman" w:cs="Times New Roman"/>
                <w:lang w:val="it-CH"/>
              </w:rPr>
              <w:t xml:space="preserve"> de către Banca Naţională a Moldovei în condiţiile prezentei legi. Banca Naţională a Moldovei informează acţionarul achizitor, în termen de 5 zile de la data la care a aflat despre achiziţia realizată în condiţiile prezentului alineat, despre incidenţa prevederilor ce vizează suspendarea exerciţiului drepturilor menţionate.</w:t>
            </w:r>
          </w:p>
          <w:p w14:paraId="34EA79F5" w14:textId="77777777"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 xml:space="preserve">(2) În cazul prevăzut la alin.(1), acţionarii achizitori informează Banca Naţională a Moldovei despre achiziţia realizată în termen de 15 zile de la data achiziţiei şi </w:t>
            </w:r>
            <w:r w:rsidRPr="009E686F">
              <w:rPr>
                <w:rFonts w:ascii="Times New Roman" w:hAnsi="Times New Roman" w:cs="Times New Roman"/>
                <w:i/>
                <w:iCs/>
                <w:lang w:val="it-CH"/>
              </w:rPr>
              <w:t xml:space="preserve">notifică în scris Banca Naţională </w:t>
            </w:r>
            <w:r w:rsidRPr="009E686F">
              <w:rPr>
                <w:rFonts w:ascii="Times New Roman" w:hAnsi="Times New Roman" w:cs="Times New Roman"/>
                <w:lang w:val="it-CH"/>
              </w:rPr>
              <w:t>a Moldovei în termen de 60 de zile de la data achiziţiei.</w:t>
            </w:r>
          </w:p>
          <w:p w14:paraId="225580FA" w14:textId="77777777"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 xml:space="preserve">(3) </w:t>
            </w:r>
            <w:r w:rsidRPr="009E686F">
              <w:rPr>
                <w:rFonts w:ascii="Times New Roman" w:hAnsi="Times New Roman" w:cs="Times New Roman"/>
                <w:i/>
                <w:iCs/>
                <w:lang w:val="it-CH"/>
              </w:rPr>
              <w:t>În cazul notificării realizate potrivit alin. (2)</w:t>
            </w:r>
            <w:r w:rsidRPr="009E686F">
              <w:rPr>
                <w:rFonts w:ascii="Times New Roman" w:hAnsi="Times New Roman" w:cs="Times New Roman"/>
                <w:lang w:val="it-CH"/>
              </w:rPr>
              <w:t xml:space="preserve"> se aplică prevederile art.47–49.</w:t>
            </w:r>
          </w:p>
          <w:p w14:paraId="4541A98C" w14:textId="77777777"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lastRenderedPageBreak/>
              <w:t xml:space="preserve">(4) Dacă acţionarii nu </w:t>
            </w:r>
            <w:r w:rsidRPr="009E686F">
              <w:rPr>
                <w:rFonts w:ascii="Times New Roman" w:hAnsi="Times New Roman" w:cs="Times New Roman"/>
                <w:i/>
                <w:iCs/>
                <w:lang w:val="it-CH"/>
              </w:rPr>
              <w:t>notifică în scris Banca Naţională</w:t>
            </w:r>
            <w:r w:rsidRPr="009E686F">
              <w:rPr>
                <w:rFonts w:ascii="Times New Roman" w:hAnsi="Times New Roman" w:cs="Times New Roman"/>
                <w:lang w:val="it-CH"/>
              </w:rPr>
              <w:t xml:space="preserve"> a Moldovei în termenul prevăzut la alin.(2) sau dacă, în urma evaluării efectuate, Banca Naţională a Moldovei </w:t>
            </w:r>
            <w:r w:rsidRPr="009E686F">
              <w:rPr>
                <w:rFonts w:ascii="Times New Roman" w:hAnsi="Times New Roman" w:cs="Times New Roman"/>
                <w:i/>
                <w:iCs/>
                <w:lang w:val="it-CH"/>
              </w:rPr>
              <w:t>se opune achiziției,</w:t>
            </w:r>
            <w:r w:rsidRPr="009E686F">
              <w:rPr>
                <w:rFonts w:ascii="Times New Roman" w:hAnsi="Times New Roman" w:cs="Times New Roman"/>
                <w:lang w:val="it-CH"/>
              </w:rPr>
              <w:t xml:space="preserve"> acţionarii vor înstrăina, în termen de 3 luni de la data achiziţiei sau, după caz, de la data la care a fost emis </w:t>
            </w:r>
            <w:r w:rsidRPr="009E686F">
              <w:rPr>
                <w:rFonts w:ascii="Times New Roman" w:hAnsi="Times New Roman" w:cs="Times New Roman"/>
                <w:i/>
                <w:iCs/>
                <w:lang w:val="it-CH"/>
              </w:rPr>
              <w:t>această opoziție</w:t>
            </w:r>
            <w:r w:rsidRPr="009E686F">
              <w:rPr>
                <w:rFonts w:ascii="Times New Roman" w:hAnsi="Times New Roman" w:cs="Times New Roman"/>
                <w:lang w:val="it-CH"/>
              </w:rPr>
              <w:t>, acţiunile aferente deţinerii calificate astfel achiziţionate. Dacă după expirarea termenului acţiunile nu au fost vîndute, devin incidente prevederile art.52</w:t>
            </w:r>
            <w:r w:rsidRPr="009E686F">
              <w:rPr>
                <w:rFonts w:ascii="Times New Roman" w:hAnsi="Times New Roman" w:cs="Times New Roman"/>
                <w:vertAlign w:val="superscript"/>
                <w:lang w:val="it-CH"/>
              </w:rPr>
              <w:t>1</w:t>
            </w:r>
            <w:r w:rsidRPr="009E686F">
              <w:rPr>
                <w:rFonts w:ascii="Times New Roman" w:hAnsi="Times New Roman" w:cs="Times New Roman"/>
                <w:lang w:val="it-CH"/>
              </w:rPr>
              <w:t>.</w:t>
            </w:r>
          </w:p>
          <w:p w14:paraId="03123894" w14:textId="77777777" w:rsidR="00265766" w:rsidRPr="009E686F" w:rsidRDefault="00265766" w:rsidP="00265766">
            <w:pPr>
              <w:spacing w:after="0"/>
              <w:jc w:val="both"/>
              <w:rPr>
                <w:rFonts w:ascii="Times New Roman" w:hAnsi="Times New Roman" w:cs="Times New Roman"/>
                <w:i/>
                <w:iCs/>
                <w:lang w:val="it-CH"/>
              </w:rPr>
            </w:pPr>
            <w:r w:rsidRPr="009E686F">
              <w:rPr>
                <w:rFonts w:ascii="Times New Roman" w:hAnsi="Times New Roman" w:cs="Times New Roman"/>
                <w:i/>
                <w:iCs/>
                <w:lang w:val="it-CH"/>
              </w:rPr>
              <w:t>(5) În sensul prezentului articol, „acționarul achizitor” este persoana care a dobândit o deținere în circumstanțe obiective, astfel cum sunt prevăzute de actele normative ale Băncii Naționale a Moldovei emise în aplicarea prezentei legi.</w:t>
            </w:r>
          </w:p>
          <w:p w14:paraId="2FE92134" w14:textId="77777777" w:rsidR="00265766" w:rsidRPr="009E686F" w:rsidRDefault="00265766" w:rsidP="00265766">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1DAB9D89" w14:textId="6D113BA3" w:rsidR="00265766" w:rsidRPr="009E686F" w:rsidRDefault="00265766" w:rsidP="00265766">
            <w:pPr>
              <w:jc w:val="both"/>
              <w:rPr>
                <w:rFonts w:ascii="Times New Roman" w:hAnsi="Times New Roman" w:cs="Times New Roman"/>
                <w:lang w:val="ro-MD"/>
              </w:rPr>
            </w:pPr>
            <w:r w:rsidRPr="009E686F">
              <w:rPr>
                <w:rFonts w:ascii="Times New Roman" w:hAnsi="Times New Roman" w:cs="Times New Roman"/>
                <w:lang w:val="ro-RO"/>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4929CD0F" w14:textId="77777777" w:rsidR="00265766" w:rsidRPr="009E686F" w:rsidRDefault="00265766" w:rsidP="00265766">
            <w:pPr>
              <w:jc w:val="both"/>
              <w:rPr>
                <w:rFonts w:ascii="Times New Roman" w:hAnsi="Times New Roman" w:cs="Times New Roman"/>
                <w:lang w:val="ro-RO"/>
              </w:rPr>
            </w:pPr>
            <w:r w:rsidRPr="009E686F">
              <w:rPr>
                <w:rFonts w:ascii="Times New Roman" w:hAnsi="Times New Roman" w:cs="Times New Roman"/>
                <w:lang w:val="ro-RO"/>
              </w:rPr>
              <w:t>Art. 46 din Legea nr. 202/2017 în vigoare a fost modificat prin Proiectul de lege pentru modificarea unor acte normative (aspecte aferente activității băncilor) – nr. unic Cancelaria de Stat 547/MF/BNM/2026 – doar în partea care ține de înlocuirea mecanismului de aprobare prealabilă a achiziției propuse cu cel al notificării cu dreptul BNM de opoziție conform Directivei.</w:t>
            </w:r>
          </w:p>
          <w:p w14:paraId="63AC9821" w14:textId="77777777" w:rsidR="00265766" w:rsidRPr="009E686F" w:rsidRDefault="00265766" w:rsidP="00265766">
            <w:pPr>
              <w:jc w:val="both"/>
              <w:rPr>
                <w:rFonts w:ascii="Times New Roman" w:hAnsi="Times New Roman" w:cs="Times New Roman"/>
                <w:lang w:val="ro-MD"/>
              </w:rPr>
            </w:pPr>
            <w:r w:rsidRPr="009E686F">
              <w:rPr>
                <w:rFonts w:ascii="Times New Roman" w:hAnsi="Times New Roman" w:cs="Times New Roman"/>
                <w:lang w:val="ro-MD"/>
              </w:rPr>
              <w:t xml:space="preserve">Dispozițiile art. 46 completează secțiunea aferentă acționariatului prin reglementarea situațiilor în care, din circumstanțe obiective, </w:t>
            </w:r>
            <w:r w:rsidRPr="009E686F">
              <w:rPr>
                <w:rFonts w:ascii="Times New Roman" w:hAnsi="Times New Roman" w:cs="Times New Roman"/>
                <w:lang w:val="ro-MD"/>
              </w:rPr>
              <w:lastRenderedPageBreak/>
              <w:t>notificarea prealabilă nu poate fi realizată înainte de dobândirea participației. În aceste cazuri, achizitorul este obligat să notifice ulterior Banca Națională a Moldovei, iar achiziția este supusă aceleiași evaluări prudențiale, cu suspendarea exercitării drepturilor aferente acțiunilor până la finalizarea acesteia.</w:t>
            </w:r>
          </w:p>
          <w:p w14:paraId="6F552877" w14:textId="77777777" w:rsidR="00265766" w:rsidRPr="009E686F" w:rsidRDefault="00265766" w:rsidP="00265766">
            <w:pPr>
              <w:jc w:val="both"/>
              <w:rPr>
                <w:rFonts w:ascii="Times New Roman" w:hAnsi="Times New Roman" w:cs="Times New Roman"/>
                <w:lang w:val="ro-MD"/>
              </w:rPr>
            </w:pPr>
            <w:r w:rsidRPr="009E686F">
              <w:rPr>
                <w:rFonts w:ascii="Times New Roman" w:hAnsi="Times New Roman" w:cs="Times New Roman"/>
                <w:lang w:val="ro-MD"/>
              </w:rPr>
              <w:t>Menținerea acestor prevederi este justificată de necesitatea asigurării unui control prudențial efectiv asupra structurii acționariatului instituțiilor de credit, inclusiv în situațiile care nu sunt reglementate expres de Directiva 2013/36/UE.</w:t>
            </w:r>
          </w:p>
          <w:p w14:paraId="5BC75BD9" w14:textId="77777777" w:rsidR="00265766" w:rsidRPr="009E686F" w:rsidRDefault="00265766" w:rsidP="00265766">
            <w:pPr>
              <w:jc w:val="both"/>
              <w:rPr>
                <w:rFonts w:ascii="Times New Roman" w:hAnsi="Times New Roman" w:cs="Times New Roman"/>
                <w:lang w:val="ro-RO"/>
              </w:rPr>
            </w:pPr>
          </w:p>
        </w:tc>
      </w:tr>
      <w:tr w:rsidR="00265766" w:rsidRPr="009E686F" w14:paraId="38502854" w14:textId="6BAE19AE" w:rsidTr="00960C23">
        <w:tc>
          <w:tcPr>
            <w:tcW w:w="1890" w:type="pct"/>
            <w:tcBorders>
              <w:top w:val="single" w:sz="4" w:space="0" w:color="auto"/>
              <w:left w:val="single" w:sz="4" w:space="0" w:color="auto"/>
              <w:bottom w:val="single" w:sz="4" w:space="0" w:color="auto"/>
              <w:right w:val="single" w:sz="4" w:space="0" w:color="auto"/>
            </w:tcBorders>
          </w:tcPr>
          <w:p w14:paraId="176432B4" w14:textId="77777777"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lastRenderedPageBreak/>
              <w:t xml:space="preserve">(2) Autoritățile competente confirmă în scris primirea notificării prevăzute la alineatul (1) sau a informațiilor suplimentare prevăzute la alineatul (3), cu promptitudine și, în </w:t>
            </w:r>
            <w:r w:rsidRPr="009E686F">
              <w:rPr>
                <w:rFonts w:ascii="Times New Roman" w:hAnsi="Times New Roman" w:cs="Times New Roman"/>
                <w:lang w:val="it-CH"/>
              </w:rPr>
              <w:lastRenderedPageBreak/>
              <w:t>orice caz, în termen de 10 zile lucrătoare de la primirea notificării sau a informațiilor.</w:t>
            </w:r>
          </w:p>
          <w:p w14:paraId="507B31B2" w14:textId="74DB4345" w:rsidR="00265766" w:rsidRPr="009E686F" w:rsidRDefault="00265766" w:rsidP="00265766">
            <w:pPr>
              <w:spacing w:after="0"/>
              <w:jc w:val="both"/>
              <w:rPr>
                <w:rFonts w:ascii="Times New Roman" w:hAnsi="Times New Roman" w:cs="Times New Roman"/>
                <w:lang w:val="it-CH"/>
              </w:rPr>
            </w:pPr>
          </w:p>
        </w:tc>
        <w:tc>
          <w:tcPr>
            <w:tcW w:w="1834" w:type="pct"/>
            <w:tcBorders>
              <w:top w:val="single" w:sz="4" w:space="0" w:color="auto"/>
              <w:left w:val="single" w:sz="4" w:space="0" w:color="auto"/>
              <w:bottom w:val="single" w:sz="4" w:space="0" w:color="auto"/>
              <w:right w:val="single" w:sz="4" w:space="0" w:color="auto"/>
            </w:tcBorders>
          </w:tcPr>
          <w:p w14:paraId="514B65D8" w14:textId="2539FE3B"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b/>
                <w:lang w:val="it-CH"/>
              </w:rPr>
              <w:lastRenderedPageBreak/>
              <w:t>Articolul 47 alin. (3)</w:t>
            </w:r>
          </w:p>
          <w:p w14:paraId="07AE1FE7" w14:textId="5E10A7A3" w:rsidR="00265766" w:rsidRPr="009E686F" w:rsidRDefault="00265766" w:rsidP="00265766">
            <w:pPr>
              <w:spacing w:after="0"/>
              <w:jc w:val="both"/>
              <w:rPr>
                <w:rFonts w:ascii="Times New Roman" w:hAnsi="Times New Roman" w:cs="Times New Roman"/>
                <w:lang w:val="it-CH"/>
              </w:rPr>
            </w:pPr>
            <w:r w:rsidRPr="009E686F">
              <w:rPr>
                <w:rFonts w:ascii="Times New Roman" w:eastAsia="Aptos" w:hAnsi="Times New Roman" w:cs="Times New Roman"/>
                <w:kern w:val="2"/>
                <w:lang w:val="ro-MD"/>
              </w:rPr>
              <w:t xml:space="preserve">(3) Banca Naţională a Moldovei confirmă în scris achizitorului potenţial/ dobînditorului primirea </w:t>
            </w:r>
            <w:r w:rsidRPr="009E686F">
              <w:rPr>
                <w:rFonts w:ascii="Times New Roman" w:eastAsia="Aptos" w:hAnsi="Times New Roman" w:cs="Times New Roman"/>
                <w:i/>
                <w:iCs/>
                <w:kern w:val="2"/>
                <w:lang w:val="ro-MD"/>
              </w:rPr>
              <w:t>notificării</w:t>
            </w:r>
            <w:r w:rsidRPr="009E686F">
              <w:rPr>
                <w:rFonts w:ascii="Times New Roman" w:eastAsia="Aptos" w:hAnsi="Times New Roman" w:cs="Times New Roman"/>
                <w:kern w:val="2"/>
                <w:lang w:val="ro-MD"/>
              </w:rPr>
              <w:t xml:space="preserve">, în temeiul alin.(1), sau a informaţiilor suplimentare, în temeiul </w:t>
            </w:r>
            <w:r w:rsidRPr="009E686F">
              <w:rPr>
                <w:rFonts w:ascii="Times New Roman" w:eastAsia="Aptos" w:hAnsi="Times New Roman" w:cs="Times New Roman"/>
                <w:kern w:val="2"/>
                <w:lang w:val="ro-MD"/>
              </w:rPr>
              <w:lastRenderedPageBreak/>
              <w:t xml:space="preserve">alin.(5), imediat şi, în orice caz, în termen de 10 zile lucrătoare de la primirea </w:t>
            </w:r>
            <w:r w:rsidRPr="009E686F">
              <w:rPr>
                <w:rFonts w:ascii="Times New Roman" w:eastAsia="Aptos" w:hAnsi="Times New Roman" w:cs="Times New Roman"/>
                <w:i/>
                <w:iCs/>
                <w:kern w:val="2"/>
                <w:lang w:val="ro-MD"/>
              </w:rPr>
              <w:t>notificării sau a informațiilor</w:t>
            </w:r>
            <w:r w:rsidRPr="009E686F">
              <w:rPr>
                <w:rFonts w:ascii="Times New Roman" w:eastAsia="Aptos" w:hAnsi="Times New Roman" w:cs="Times New Roman"/>
                <w:kern w:val="2"/>
                <w:lang w:val="ro-MD"/>
              </w:rPr>
              <w:t>.</w:t>
            </w:r>
          </w:p>
        </w:tc>
        <w:tc>
          <w:tcPr>
            <w:tcW w:w="470" w:type="pct"/>
            <w:tcBorders>
              <w:top w:val="single" w:sz="4" w:space="0" w:color="auto"/>
              <w:left w:val="single" w:sz="4" w:space="0" w:color="auto"/>
              <w:bottom w:val="single" w:sz="4" w:space="0" w:color="auto"/>
              <w:right w:val="single" w:sz="4" w:space="0" w:color="auto"/>
            </w:tcBorders>
          </w:tcPr>
          <w:p w14:paraId="3F82529C" w14:textId="3CA95F69" w:rsidR="00265766" w:rsidRPr="009E686F" w:rsidRDefault="00265766" w:rsidP="00265766">
            <w:pPr>
              <w:jc w:val="both"/>
              <w:rPr>
                <w:rFonts w:ascii="Times New Roman" w:hAnsi="Times New Roman" w:cs="Times New Roman"/>
              </w:rPr>
            </w:pPr>
            <w:r w:rsidRPr="009E686F">
              <w:rPr>
                <w:rFonts w:ascii="Times New Roman" w:hAnsi="Times New Roman" w:cs="Times New Roman"/>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3E0A9DAF" w14:textId="53460032" w:rsidR="00265766" w:rsidRPr="009E686F" w:rsidRDefault="00265766" w:rsidP="00265766">
            <w:pPr>
              <w:spacing w:after="0"/>
              <w:jc w:val="both"/>
              <w:rPr>
                <w:rFonts w:ascii="Times New Roman" w:hAnsi="Times New Roman" w:cs="Times New Roman"/>
              </w:rPr>
            </w:pPr>
          </w:p>
        </w:tc>
      </w:tr>
      <w:tr w:rsidR="00265766" w:rsidRPr="009E686F" w14:paraId="709658F7" w14:textId="7BACB146" w:rsidTr="00960C23">
        <w:tc>
          <w:tcPr>
            <w:tcW w:w="1890" w:type="pct"/>
            <w:tcBorders>
              <w:top w:val="single" w:sz="4" w:space="0" w:color="auto"/>
              <w:left w:val="single" w:sz="4" w:space="0" w:color="auto"/>
              <w:bottom w:val="single" w:sz="4" w:space="0" w:color="auto"/>
              <w:right w:val="single" w:sz="4" w:space="0" w:color="auto"/>
            </w:tcBorders>
          </w:tcPr>
          <w:p w14:paraId="6B14744A" w14:textId="77777777"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Autoritățile competente au la dispoziție un termen de cel mult 60 de zile lucrătoare de la data confirmării scrise de primire a notificării și a tuturor documentelor pe care statele membre le doresc anexate la notificare în baza listei prevăzute la articolul 23 alineatul (4) ("termen de evaluare"), pentru a finaliza evaluarea menționată la articolul 23 alineatul (1) ("evaluarea").</w:t>
            </w:r>
          </w:p>
          <w:p w14:paraId="75B469E8" w14:textId="0ABE22A9"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În momentul transmiterii confirmării de primire, autoritățile competente comunică potențialului achizitor data de expirare a termenului de evaluare.</w:t>
            </w:r>
          </w:p>
        </w:tc>
        <w:tc>
          <w:tcPr>
            <w:tcW w:w="1834" w:type="pct"/>
            <w:tcBorders>
              <w:top w:val="single" w:sz="4" w:space="0" w:color="auto"/>
              <w:left w:val="single" w:sz="4" w:space="0" w:color="auto"/>
              <w:bottom w:val="single" w:sz="4" w:space="0" w:color="auto"/>
              <w:right w:val="single" w:sz="4" w:space="0" w:color="auto"/>
            </w:tcBorders>
          </w:tcPr>
          <w:p w14:paraId="33049AE0" w14:textId="09A14D07"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b/>
                <w:lang w:val="it-CH"/>
              </w:rPr>
              <w:t>Articolul 47 alin. (4)</w:t>
            </w:r>
          </w:p>
          <w:p w14:paraId="05F68936" w14:textId="0F797ED4" w:rsidR="00265766" w:rsidRPr="009E686F" w:rsidRDefault="00265766" w:rsidP="00265766">
            <w:pPr>
              <w:spacing w:after="0"/>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 xml:space="preserve">(4) Banca Naţională a Moldovei realizează evaluarea prevăzută la art.48 alin.(1) în termen de cel mult 60 de zile lucrătoare de la data confirmării scrise a primirii </w:t>
            </w:r>
            <w:r w:rsidRPr="009E686F">
              <w:rPr>
                <w:rFonts w:ascii="Times New Roman" w:eastAsia="Aptos" w:hAnsi="Times New Roman" w:cs="Times New Roman"/>
                <w:i/>
                <w:iCs/>
                <w:kern w:val="2"/>
                <w:lang w:val="ro-MD"/>
              </w:rPr>
              <w:t>notificării</w:t>
            </w:r>
            <w:r w:rsidRPr="009E686F">
              <w:rPr>
                <w:rFonts w:ascii="Times New Roman" w:eastAsia="Aptos" w:hAnsi="Times New Roman" w:cs="Times New Roman"/>
                <w:kern w:val="2"/>
                <w:lang w:val="ro-MD"/>
              </w:rPr>
              <w:t xml:space="preserve"> şi a tuturor documentelor care trebuie transmise acesteia, conform actelor normative ale Băncii Naţionale a Moldovei la care se face referire la art.48 alin.(5). Dacă </w:t>
            </w:r>
            <w:r w:rsidRPr="009E686F">
              <w:rPr>
                <w:rFonts w:ascii="Times New Roman" w:eastAsia="Aptos" w:hAnsi="Times New Roman" w:cs="Times New Roman"/>
                <w:i/>
                <w:iCs/>
                <w:kern w:val="2"/>
                <w:lang w:val="ro-MD"/>
              </w:rPr>
              <w:t>notificarea</w:t>
            </w:r>
            <w:r w:rsidRPr="009E686F">
              <w:rPr>
                <w:rFonts w:ascii="Times New Roman" w:eastAsia="Aptos" w:hAnsi="Times New Roman" w:cs="Times New Roman"/>
                <w:kern w:val="2"/>
                <w:lang w:val="ro-MD"/>
              </w:rPr>
              <w:t xml:space="preserve"> nu este însoţită de toate documentele necesare, termenul de evaluare începe să curgă de la data confirmării de către Banca Naţională a Moldovei a primirii tuturor documentelor respective. În momentul transmiterii confirmării de primire, Banca Naţională a Moldovei notifică achizitorului potenţial/dobînditorului data de expirare a termenului de evaluare. Banca Naţională a Moldovei </w:t>
            </w:r>
            <w:r w:rsidRPr="009E686F">
              <w:rPr>
                <w:rFonts w:ascii="Times New Roman" w:eastAsia="Aptos" w:hAnsi="Times New Roman" w:cs="Times New Roman"/>
                <w:i/>
                <w:iCs/>
                <w:kern w:val="2"/>
                <w:lang w:val="ro-MD"/>
              </w:rPr>
              <w:t>se poate opune achiziției propuse</w:t>
            </w:r>
            <w:r w:rsidRPr="009E686F">
              <w:rPr>
                <w:rFonts w:ascii="Times New Roman" w:eastAsia="Aptos" w:hAnsi="Times New Roman" w:cs="Times New Roman"/>
                <w:kern w:val="2"/>
                <w:lang w:val="ro-MD"/>
              </w:rPr>
              <w:t xml:space="preserve"> pînă la începerea evaluării dacă dispune de documente, informaţii ce atestă necorespunderea achizitorului potenţial/dobînditorului cel puţin unuia din criteriile stabilite la art.48.</w:t>
            </w:r>
          </w:p>
        </w:tc>
        <w:tc>
          <w:tcPr>
            <w:tcW w:w="470" w:type="pct"/>
            <w:tcBorders>
              <w:top w:val="single" w:sz="4" w:space="0" w:color="auto"/>
              <w:left w:val="single" w:sz="4" w:space="0" w:color="auto"/>
              <w:bottom w:val="single" w:sz="4" w:space="0" w:color="auto"/>
              <w:right w:val="single" w:sz="4" w:space="0" w:color="auto"/>
            </w:tcBorders>
          </w:tcPr>
          <w:p w14:paraId="18159A89" w14:textId="48BE22A6" w:rsidR="00265766" w:rsidRPr="009E686F" w:rsidRDefault="00265766" w:rsidP="00265766">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5DFA90EA" w14:textId="3396A85E" w:rsidR="00265766" w:rsidRPr="009E686F" w:rsidRDefault="00721A05" w:rsidP="00265766">
            <w:pPr>
              <w:spacing w:after="0"/>
              <w:jc w:val="both"/>
              <w:rPr>
                <w:rFonts w:ascii="Times New Roman" w:hAnsi="Times New Roman" w:cs="Times New Roman"/>
                <w:lang w:val="it-CH"/>
              </w:rPr>
            </w:pPr>
            <w:r w:rsidRPr="009E686F">
              <w:rPr>
                <w:rFonts w:ascii="Times New Roman" w:hAnsi="Times New Roman" w:cs="Times New Roman"/>
                <w:lang w:val="it-CH"/>
              </w:rPr>
              <w:t>Modificările aferente procedurii de notificare – în vigoare de la data aderării.</w:t>
            </w:r>
            <w:r w:rsidR="000C45D6" w:rsidRPr="009E686F">
              <w:rPr>
                <w:rFonts w:ascii="Times New Roman" w:hAnsi="Times New Roman" w:cs="Times New Roman"/>
                <w:lang w:val="it-CH"/>
              </w:rPr>
              <w:t xml:space="preserve"> Până la aderare se menține procedura de aprobare prealabilă.</w:t>
            </w:r>
          </w:p>
        </w:tc>
      </w:tr>
      <w:tr w:rsidR="00265766" w:rsidRPr="009E686F" w14:paraId="13F43232" w14:textId="5700E6DD" w:rsidTr="00960C23">
        <w:tc>
          <w:tcPr>
            <w:tcW w:w="1890" w:type="pct"/>
            <w:tcBorders>
              <w:top w:val="single" w:sz="4" w:space="0" w:color="auto"/>
              <w:left w:val="single" w:sz="4" w:space="0" w:color="auto"/>
              <w:bottom w:val="single" w:sz="4" w:space="0" w:color="auto"/>
              <w:right w:val="single" w:sz="4" w:space="0" w:color="auto"/>
            </w:tcBorders>
          </w:tcPr>
          <w:p w14:paraId="38C0AD9E" w14:textId="37700AC4"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(3) În cursul termenului de evaluare, dar nu mai târziu de cea de a 50-a zi lucrătoare a termenului respectiv, autoritățile competente pot, dacă este necesar, să solicite informațiile suplimentare necesare pentru finalizarea evaluării. O astfel de solicitare se face în scris, precizându-se informațiile suplimentare necesare.</w:t>
            </w:r>
          </w:p>
        </w:tc>
        <w:tc>
          <w:tcPr>
            <w:tcW w:w="1834" w:type="pct"/>
            <w:tcBorders>
              <w:top w:val="single" w:sz="4" w:space="0" w:color="auto"/>
              <w:left w:val="single" w:sz="4" w:space="0" w:color="auto"/>
              <w:bottom w:val="single" w:sz="4" w:space="0" w:color="auto"/>
              <w:right w:val="single" w:sz="4" w:space="0" w:color="auto"/>
            </w:tcBorders>
          </w:tcPr>
          <w:p w14:paraId="51EE73E6" w14:textId="36007FCF"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b/>
                <w:lang w:val="it-CH"/>
              </w:rPr>
              <w:t>Articolul 47 alin. (5)</w:t>
            </w:r>
          </w:p>
          <w:p w14:paraId="4706A314" w14:textId="4F5018F4"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(5) În perioada termenului de evaluare prevăzut la alin. (4), dar nu mai târziu de cea de a 50-a zi lucrătoare a termenului respectiv, Banca Națională a Moldovei poate, dacă este necesar, să solicite informații suplimentare necesare pentru finalizarea evaluării. O astfel de solicitare se face în scris, precizându-se informațiile suplimentare necesare.</w:t>
            </w:r>
          </w:p>
        </w:tc>
        <w:tc>
          <w:tcPr>
            <w:tcW w:w="470" w:type="pct"/>
            <w:tcBorders>
              <w:top w:val="single" w:sz="4" w:space="0" w:color="auto"/>
              <w:left w:val="single" w:sz="4" w:space="0" w:color="auto"/>
              <w:bottom w:val="single" w:sz="4" w:space="0" w:color="auto"/>
              <w:right w:val="single" w:sz="4" w:space="0" w:color="auto"/>
            </w:tcBorders>
          </w:tcPr>
          <w:p w14:paraId="2DBD6539" w14:textId="6D0792A0" w:rsidR="00265766" w:rsidRPr="009E686F" w:rsidRDefault="00265766" w:rsidP="00265766">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64AB1FEA" w14:textId="169358AB" w:rsidR="00265766" w:rsidRPr="009E686F" w:rsidRDefault="00265766" w:rsidP="00265766">
            <w:pPr>
              <w:spacing w:after="0"/>
              <w:jc w:val="both"/>
              <w:rPr>
                <w:rFonts w:ascii="Times New Roman" w:hAnsi="Times New Roman" w:cs="Times New Roman"/>
              </w:rPr>
            </w:pPr>
          </w:p>
        </w:tc>
      </w:tr>
      <w:tr w:rsidR="00265766" w:rsidRPr="009E686F" w14:paraId="062B14C0" w14:textId="64B201C8" w:rsidTr="00960C23">
        <w:tc>
          <w:tcPr>
            <w:tcW w:w="1890" w:type="pct"/>
            <w:tcBorders>
              <w:top w:val="single" w:sz="4" w:space="0" w:color="auto"/>
              <w:left w:val="single" w:sz="4" w:space="0" w:color="auto"/>
              <w:bottom w:val="single" w:sz="4" w:space="0" w:color="auto"/>
              <w:right w:val="single" w:sz="4" w:space="0" w:color="auto"/>
            </w:tcBorders>
          </w:tcPr>
          <w:p w14:paraId="32E8D49A" w14:textId="77777777"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 xml:space="preserve">Termenul de evaluare se suspendă între data solicitării de informații de către autoritățile competente și data primirii răspunsului potențialului achizitor la această solicitare. Suspendarea nu poate depăși 20 de zile lucrătoare. Orice </w:t>
            </w:r>
            <w:r w:rsidRPr="009E686F">
              <w:rPr>
                <w:rFonts w:ascii="Times New Roman" w:hAnsi="Times New Roman" w:cs="Times New Roman"/>
                <w:lang w:val="it-CH"/>
              </w:rPr>
              <w:lastRenderedPageBreak/>
              <w:t>solicitări suplimentare formulate de autoritățile competente în vederea completării sau clarificării informațiilor sunt la discreția autorităților competente, dar nu pot conduce la suspendare a termenului de evaluare.</w:t>
            </w:r>
          </w:p>
        </w:tc>
        <w:tc>
          <w:tcPr>
            <w:tcW w:w="1834" w:type="pct"/>
            <w:tcBorders>
              <w:top w:val="single" w:sz="4" w:space="0" w:color="auto"/>
              <w:left w:val="single" w:sz="4" w:space="0" w:color="auto"/>
              <w:bottom w:val="single" w:sz="4" w:space="0" w:color="auto"/>
              <w:right w:val="single" w:sz="4" w:space="0" w:color="auto"/>
            </w:tcBorders>
          </w:tcPr>
          <w:p w14:paraId="1EB7940F" w14:textId="15BD24C0"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b/>
                <w:lang w:val="it-CH"/>
              </w:rPr>
              <w:lastRenderedPageBreak/>
              <w:t>Articolul 47 alin. (6)</w:t>
            </w:r>
          </w:p>
          <w:p w14:paraId="51BEEB79" w14:textId="0A9BF284" w:rsidR="00265766" w:rsidRPr="009E686F" w:rsidRDefault="00265766" w:rsidP="00265766">
            <w:pPr>
              <w:spacing w:after="0" w:line="278" w:lineRule="auto"/>
              <w:jc w:val="both"/>
              <w:rPr>
                <w:rFonts w:ascii="Times New Roman" w:eastAsia="Aptos" w:hAnsi="Times New Roman" w:cs="Times New Roman"/>
                <w:kern w:val="2"/>
                <w:lang w:val="it-CH"/>
              </w:rPr>
            </w:pPr>
            <w:r w:rsidRPr="009E686F">
              <w:rPr>
                <w:rFonts w:ascii="Times New Roman" w:eastAsia="Aptos" w:hAnsi="Times New Roman" w:cs="Times New Roman"/>
                <w:kern w:val="2"/>
                <w:lang w:val="ro-MD"/>
              </w:rPr>
              <w:t xml:space="preserve">(6) Achizitorul potenţial/dobânditorul transmite informaţiile suplimentare solicitate de Banca Naţională a Moldovei în termen de 20 de zile lucrătoare de la data notificării de către </w:t>
            </w:r>
            <w:r w:rsidRPr="009E686F">
              <w:rPr>
                <w:rFonts w:ascii="Times New Roman" w:eastAsia="Aptos" w:hAnsi="Times New Roman" w:cs="Times New Roman"/>
                <w:kern w:val="2"/>
                <w:lang w:val="ro-MD"/>
              </w:rPr>
              <w:lastRenderedPageBreak/>
              <w:t>Banca Naţională a Moldovei a solicitării. În cazul neîndeplinirii acestei obligaţii, se aplică prevederile art.48 alin.(3). Pe durata termenului respectiv, termenul de evaluare prevăzut la alin.(4) din prezentul articol se suspendă. Orice solicitări suplimentare formulate de Banca Naţională a Moldovei de completare sau de clarificare a informaţiilor primite nu pot conduce la suspendarea termenului de evaluare. [...</w:t>
            </w:r>
            <w:r w:rsidRPr="009E686F">
              <w:rPr>
                <w:rFonts w:ascii="Times New Roman" w:eastAsia="Aptos" w:hAnsi="Times New Roman" w:cs="Times New Roman"/>
                <w:kern w:val="2"/>
                <w:lang w:val="it-CH"/>
              </w:rPr>
              <w:t>]</w:t>
            </w:r>
          </w:p>
        </w:tc>
        <w:tc>
          <w:tcPr>
            <w:tcW w:w="470" w:type="pct"/>
            <w:tcBorders>
              <w:top w:val="single" w:sz="4" w:space="0" w:color="auto"/>
              <w:left w:val="single" w:sz="4" w:space="0" w:color="auto"/>
              <w:bottom w:val="single" w:sz="4" w:space="0" w:color="auto"/>
              <w:right w:val="single" w:sz="4" w:space="0" w:color="auto"/>
            </w:tcBorders>
          </w:tcPr>
          <w:p w14:paraId="367D539C" w14:textId="569102AE" w:rsidR="00265766" w:rsidRPr="009E686F" w:rsidRDefault="00265766" w:rsidP="00265766">
            <w:pPr>
              <w:jc w:val="both"/>
              <w:rPr>
                <w:rFonts w:ascii="Times New Roman" w:hAnsi="Times New Roman" w:cs="Times New Roman"/>
              </w:rPr>
            </w:pPr>
            <w:r w:rsidRPr="009E686F">
              <w:rPr>
                <w:rFonts w:ascii="Times New Roman" w:hAnsi="Times New Roman" w:cs="Times New Roman"/>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245C5B66" w14:textId="55E11206" w:rsidR="00265766" w:rsidRPr="009E686F" w:rsidRDefault="00265766" w:rsidP="00265766">
            <w:pPr>
              <w:spacing w:after="0"/>
              <w:jc w:val="both"/>
              <w:rPr>
                <w:rFonts w:ascii="Times New Roman" w:hAnsi="Times New Roman" w:cs="Times New Roman"/>
              </w:rPr>
            </w:pPr>
          </w:p>
        </w:tc>
      </w:tr>
      <w:tr w:rsidR="00265766" w:rsidRPr="009E686F" w14:paraId="4005FB86" w14:textId="11426B51" w:rsidTr="00960C23">
        <w:tc>
          <w:tcPr>
            <w:tcW w:w="1890" w:type="pct"/>
            <w:tcBorders>
              <w:top w:val="single" w:sz="4" w:space="0" w:color="auto"/>
              <w:left w:val="single" w:sz="4" w:space="0" w:color="auto"/>
              <w:bottom w:val="single" w:sz="4" w:space="0" w:color="auto"/>
              <w:right w:val="single" w:sz="4" w:space="0" w:color="auto"/>
            </w:tcBorders>
          </w:tcPr>
          <w:p w14:paraId="3370E335" w14:textId="4CD45FB3" w:rsidR="00265766" w:rsidRPr="009E686F" w:rsidRDefault="00265766" w:rsidP="00265766">
            <w:pPr>
              <w:spacing w:after="0"/>
              <w:jc w:val="both"/>
              <w:rPr>
                <w:rFonts w:ascii="Times New Roman" w:hAnsi="Times New Roman" w:cs="Times New Roman"/>
              </w:rPr>
            </w:pPr>
            <w:r w:rsidRPr="009E686F">
              <w:rPr>
                <w:rFonts w:ascii="Times New Roman" w:hAnsi="Times New Roman" w:cs="Times New Roman"/>
              </w:rPr>
              <w:t>(4) Autoritățile competente pot prelungi perioada de suspendare menționată la alineatul (3) al doilea paragraf până la 30 de zile lucrătoare, în cazul în care potențialul achizitor este stabilit sau reglementat într-o țară terță sau este o persoană fizică sau juridică care nu face obiectul supravegherii în temeiul prezentei directive sau al Directivelor 2009/65/CE, 2009/138/CE sau 2004/39/CE.</w:t>
            </w:r>
          </w:p>
        </w:tc>
        <w:tc>
          <w:tcPr>
            <w:tcW w:w="1834" w:type="pct"/>
            <w:tcBorders>
              <w:top w:val="single" w:sz="4" w:space="0" w:color="auto"/>
              <w:left w:val="single" w:sz="4" w:space="0" w:color="auto"/>
              <w:bottom w:val="single" w:sz="4" w:space="0" w:color="auto"/>
              <w:right w:val="single" w:sz="4" w:space="0" w:color="auto"/>
            </w:tcBorders>
          </w:tcPr>
          <w:p w14:paraId="1CA6F966" w14:textId="54FB632B"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b/>
                <w:lang w:val="it-CH"/>
              </w:rPr>
              <w:t>Articolul 47 alin.  (6)</w:t>
            </w:r>
          </w:p>
          <w:p w14:paraId="1F63EB1E" w14:textId="5A19301D" w:rsidR="00265766" w:rsidRPr="009E686F" w:rsidRDefault="00265766" w:rsidP="00265766">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 xml:space="preserve">(6) [...] Banca Naţională a Moldovei poate decide prelungirea termenului de prezentare a informaţiilor suplimentare necesare evaluării până la 30 de zile lucrătoare dacă achizitorul potenţial/dobânditorul este situat ori reglementat într-un  stat </w:t>
            </w:r>
            <w:r w:rsidRPr="009E686F">
              <w:rPr>
                <w:rFonts w:ascii="Times New Roman" w:eastAsia="Aptos" w:hAnsi="Times New Roman" w:cs="Times New Roman"/>
                <w:i/>
                <w:iCs/>
                <w:kern w:val="2"/>
                <w:lang w:val="ro-MD"/>
              </w:rPr>
              <w:t>terț</w:t>
            </w:r>
            <w:r w:rsidRPr="009E686F">
              <w:rPr>
                <w:rFonts w:ascii="Times New Roman" w:eastAsia="Aptos" w:hAnsi="Times New Roman" w:cs="Times New Roman"/>
                <w:kern w:val="2"/>
                <w:lang w:val="ro-MD"/>
              </w:rPr>
              <w:t xml:space="preserve"> sau acesta este o persoană care nu face obiectul supravegherii de către Banca Naţională a Moldovei ori de către Comisia Naţională a Pieţei Financiare. Termenul de evaluare se suspendă inclusiv pe durata prelungirii termenului de prezentare a informaţiilor suplimentare necesare evaluării. </w:t>
            </w:r>
          </w:p>
        </w:tc>
        <w:tc>
          <w:tcPr>
            <w:tcW w:w="470" w:type="pct"/>
            <w:tcBorders>
              <w:top w:val="single" w:sz="4" w:space="0" w:color="auto"/>
              <w:left w:val="single" w:sz="4" w:space="0" w:color="auto"/>
              <w:bottom w:val="single" w:sz="4" w:space="0" w:color="auto"/>
              <w:right w:val="single" w:sz="4" w:space="0" w:color="auto"/>
            </w:tcBorders>
          </w:tcPr>
          <w:p w14:paraId="13C94DCF" w14:textId="14209F1C" w:rsidR="00265766" w:rsidRPr="009E686F" w:rsidRDefault="00265766" w:rsidP="00265766">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573FA767" w14:textId="00FD62F0" w:rsidR="00265766" w:rsidRPr="009E686F" w:rsidRDefault="00265766" w:rsidP="00265766">
            <w:pPr>
              <w:spacing w:after="0"/>
              <w:jc w:val="both"/>
              <w:rPr>
                <w:rFonts w:ascii="Times New Roman" w:hAnsi="Times New Roman" w:cs="Times New Roman"/>
              </w:rPr>
            </w:pPr>
          </w:p>
        </w:tc>
      </w:tr>
      <w:tr w:rsidR="00265766" w:rsidRPr="009E686F" w14:paraId="14BE1A5D" w14:textId="0F12859A" w:rsidTr="00960C23">
        <w:tc>
          <w:tcPr>
            <w:tcW w:w="1890" w:type="pct"/>
            <w:tcBorders>
              <w:top w:val="single" w:sz="4" w:space="0" w:color="auto"/>
              <w:left w:val="single" w:sz="4" w:space="0" w:color="auto"/>
              <w:bottom w:val="single" w:sz="4" w:space="0" w:color="auto"/>
              <w:right w:val="single" w:sz="4" w:space="0" w:color="auto"/>
            </w:tcBorders>
          </w:tcPr>
          <w:p w14:paraId="4FC22E16" w14:textId="77B61D62"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rPr>
              <w:t xml:space="preserve">(5) În cazul în care autoritățile competente decid să se opună proiectului de achiziție, acestea informează în scris potențialul achizitor în termen de două zile lucrătoare de la finalizarea evaluării și fără a depăși termenul de evaluare, indicând motivele. </w:t>
            </w:r>
            <w:r w:rsidRPr="009E686F">
              <w:rPr>
                <w:rFonts w:ascii="Times New Roman" w:hAnsi="Times New Roman" w:cs="Times New Roman"/>
                <w:lang w:val="it-CH"/>
              </w:rPr>
              <w:t>În conformitate cu dreptul intern, la cererea achizitorului potențial, se poate pune la dispoziția publicului o motivare corespunzătoare a deciziei. Aceasta nu împiedică un stat membru să permită autorității competente să publice respectivele informații, chiar dacă potențialul achizitor nu a formulat o cerere în acest sens.</w:t>
            </w:r>
          </w:p>
        </w:tc>
        <w:tc>
          <w:tcPr>
            <w:tcW w:w="1834" w:type="pct"/>
            <w:tcBorders>
              <w:top w:val="single" w:sz="4" w:space="0" w:color="auto"/>
              <w:left w:val="single" w:sz="4" w:space="0" w:color="auto"/>
              <w:bottom w:val="single" w:sz="4" w:space="0" w:color="auto"/>
              <w:right w:val="single" w:sz="4" w:space="0" w:color="auto"/>
            </w:tcBorders>
          </w:tcPr>
          <w:p w14:paraId="3146A104" w14:textId="061C7633"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b/>
                <w:lang w:val="it-CH"/>
              </w:rPr>
              <w:t>Articolul 47 alin. (7), (8)</w:t>
            </w:r>
          </w:p>
          <w:p w14:paraId="3C13E67F" w14:textId="1357A9DF" w:rsidR="00265766" w:rsidRPr="009E686F" w:rsidRDefault="00265766" w:rsidP="00265766">
            <w:pPr>
              <w:spacing w:after="0"/>
              <w:jc w:val="both"/>
              <w:rPr>
                <w:rFonts w:ascii="Times New Roman" w:hAnsi="Times New Roman" w:cs="Times New Roman"/>
                <w:lang w:val="it-CH"/>
              </w:rPr>
            </w:pPr>
            <w:r w:rsidRPr="009E686F">
              <w:rPr>
                <w:rFonts w:ascii="Times New Roman" w:eastAsia="Aptos" w:hAnsi="Times New Roman" w:cs="Times New Roman"/>
                <w:kern w:val="2"/>
                <w:lang w:val="ro-MD"/>
              </w:rPr>
              <w:t xml:space="preserve">(7) Dacă Banca Naţională a Moldovei emite hotărîrea cu privire la </w:t>
            </w:r>
            <w:r w:rsidRPr="009E686F">
              <w:rPr>
                <w:rFonts w:ascii="Times New Roman" w:eastAsia="Aptos" w:hAnsi="Times New Roman" w:cs="Times New Roman"/>
                <w:i/>
                <w:iCs/>
                <w:kern w:val="2"/>
                <w:lang w:val="ro-MD"/>
              </w:rPr>
              <w:t>opoziția față de achiziție</w:t>
            </w:r>
            <w:r w:rsidRPr="009E686F">
              <w:rPr>
                <w:rFonts w:ascii="Times New Roman" w:eastAsia="Aptos" w:hAnsi="Times New Roman" w:cs="Times New Roman"/>
                <w:kern w:val="2"/>
                <w:lang w:val="ro-MD"/>
              </w:rPr>
              <w:t xml:space="preserve">, notifică achizitorului potenţial/dobînditorului hotărîrea sa în termen de 2 zile lucrătoare de la data adoptării acesteia </w:t>
            </w:r>
            <w:r w:rsidRPr="009E686F">
              <w:rPr>
                <w:rFonts w:ascii="Times New Roman" w:eastAsia="Aptos" w:hAnsi="Times New Roman" w:cs="Times New Roman"/>
                <w:i/>
                <w:iCs/>
                <w:kern w:val="2"/>
                <w:lang w:val="ro-MD"/>
              </w:rPr>
              <w:t>cu indicarea motivelor acesteia</w:t>
            </w:r>
            <w:r w:rsidRPr="009E686F">
              <w:rPr>
                <w:rFonts w:ascii="Times New Roman" w:eastAsia="Aptos" w:hAnsi="Times New Roman" w:cs="Times New Roman"/>
                <w:kern w:val="2"/>
                <w:lang w:val="ro-MD"/>
              </w:rPr>
              <w:t>, fără a depăşi termenul prevăzut pentru realizarea evaluării.</w:t>
            </w:r>
            <w:r w:rsidRPr="009E686F">
              <w:rPr>
                <w:rFonts w:ascii="Times New Roman" w:eastAsia="Aptos" w:hAnsi="Times New Roman" w:cs="Times New Roman"/>
                <w:color w:val="FF0000"/>
                <w:kern w:val="2"/>
                <w:lang w:val="ro-RO"/>
              </w:rPr>
              <w:t xml:space="preserve"> </w:t>
            </w:r>
          </w:p>
          <w:p w14:paraId="37DAE808" w14:textId="74D4C2CB" w:rsidR="00265766" w:rsidRPr="009E686F" w:rsidRDefault="00265766" w:rsidP="00265766">
            <w:pPr>
              <w:spacing w:after="0"/>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 xml:space="preserve">(8) La cererea achizitorului potenţial/dobînditorului, Banca Naţională a Moldovei poate pune la dispoziţia publicului o motivare corespunzătoare a deciziei. Aceasta nu împiedică Banca Naţională a Moldovei să publice motivele </w:t>
            </w:r>
            <w:r w:rsidRPr="009E686F">
              <w:rPr>
                <w:rFonts w:ascii="Times New Roman" w:eastAsia="Aptos" w:hAnsi="Times New Roman" w:cs="Times New Roman"/>
                <w:i/>
                <w:iCs/>
                <w:kern w:val="2"/>
                <w:lang w:val="ro-MD"/>
              </w:rPr>
              <w:t>opoziției</w:t>
            </w:r>
            <w:r w:rsidRPr="009E686F">
              <w:rPr>
                <w:rFonts w:ascii="Times New Roman" w:eastAsia="Aptos" w:hAnsi="Times New Roman" w:cs="Times New Roman"/>
                <w:kern w:val="2"/>
                <w:lang w:val="ro-MD"/>
              </w:rPr>
              <w:t xml:space="preserve">, </w:t>
            </w:r>
            <w:r w:rsidRPr="009E686F">
              <w:rPr>
                <w:rFonts w:ascii="Times New Roman" w:eastAsia="Aptos" w:hAnsi="Times New Roman" w:cs="Times New Roman"/>
                <w:kern w:val="2"/>
                <w:lang w:val="ro-MD"/>
              </w:rPr>
              <w:lastRenderedPageBreak/>
              <w:t>chiar dacă achizitorul potenţial/dobînditorul nu a formulat o cerere în acest sens.</w:t>
            </w:r>
          </w:p>
        </w:tc>
        <w:tc>
          <w:tcPr>
            <w:tcW w:w="470" w:type="pct"/>
            <w:tcBorders>
              <w:top w:val="single" w:sz="4" w:space="0" w:color="auto"/>
              <w:left w:val="single" w:sz="4" w:space="0" w:color="auto"/>
              <w:bottom w:val="single" w:sz="4" w:space="0" w:color="auto"/>
              <w:right w:val="single" w:sz="4" w:space="0" w:color="auto"/>
            </w:tcBorders>
          </w:tcPr>
          <w:p w14:paraId="10F17A84" w14:textId="4284BD1A" w:rsidR="00265766" w:rsidRPr="009E686F" w:rsidRDefault="00265766" w:rsidP="00265766">
            <w:pPr>
              <w:jc w:val="both"/>
              <w:rPr>
                <w:rFonts w:ascii="Times New Roman" w:hAnsi="Times New Roman" w:cs="Times New Roman"/>
              </w:rPr>
            </w:pPr>
            <w:r w:rsidRPr="009E686F">
              <w:rPr>
                <w:rFonts w:ascii="Times New Roman" w:hAnsi="Times New Roman" w:cs="Times New Roman"/>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640451AC" w14:textId="2CBAAFA8" w:rsidR="00265766" w:rsidRPr="009E686F" w:rsidRDefault="00265766" w:rsidP="00265766">
            <w:pPr>
              <w:spacing w:after="0"/>
              <w:jc w:val="both"/>
              <w:rPr>
                <w:rFonts w:ascii="Times New Roman" w:hAnsi="Times New Roman" w:cs="Times New Roman"/>
              </w:rPr>
            </w:pPr>
          </w:p>
        </w:tc>
      </w:tr>
      <w:tr w:rsidR="00265766" w:rsidRPr="009E686F" w14:paraId="31FC3402" w14:textId="028FE25A" w:rsidTr="00960C23">
        <w:tc>
          <w:tcPr>
            <w:tcW w:w="1890" w:type="pct"/>
            <w:tcBorders>
              <w:top w:val="single" w:sz="4" w:space="0" w:color="auto"/>
              <w:left w:val="single" w:sz="4" w:space="0" w:color="auto"/>
              <w:bottom w:val="single" w:sz="4" w:space="0" w:color="auto"/>
              <w:right w:val="single" w:sz="4" w:space="0" w:color="auto"/>
            </w:tcBorders>
          </w:tcPr>
          <w:p w14:paraId="72AC4304" w14:textId="6360E866"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(6) În cazul în care autoritățile competente nu se opun în scris proiectului de achiziție în cursul termenului de evaluare, acesta se consideră aprobat.</w:t>
            </w:r>
          </w:p>
        </w:tc>
        <w:tc>
          <w:tcPr>
            <w:tcW w:w="1834" w:type="pct"/>
            <w:tcBorders>
              <w:top w:val="single" w:sz="4" w:space="0" w:color="auto"/>
              <w:left w:val="single" w:sz="4" w:space="0" w:color="auto"/>
              <w:bottom w:val="single" w:sz="4" w:space="0" w:color="auto"/>
              <w:right w:val="single" w:sz="4" w:space="0" w:color="auto"/>
            </w:tcBorders>
          </w:tcPr>
          <w:p w14:paraId="23E168EC" w14:textId="4F5F02FC"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b/>
                <w:lang w:val="it-CH"/>
              </w:rPr>
              <w:t>Articolul 47 alin. (7</w:t>
            </w:r>
            <w:r w:rsidRPr="009E686F">
              <w:rPr>
                <w:rFonts w:ascii="Times New Roman" w:hAnsi="Times New Roman" w:cs="Times New Roman"/>
                <w:b/>
                <w:vertAlign w:val="superscript"/>
                <w:lang w:val="it-CH"/>
              </w:rPr>
              <w:t>1</w:t>
            </w:r>
            <w:r w:rsidRPr="009E686F">
              <w:rPr>
                <w:rFonts w:ascii="Times New Roman" w:hAnsi="Times New Roman" w:cs="Times New Roman"/>
                <w:b/>
                <w:lang w:val="it-CH"/>
              </w:rPr>
              <w:t>)</w:t>
            </w:r>
          </w:p>
          <w:p w14:paraId="240BF6D1" w14:textId="251C819E" w:rsidR="00265766" w:rsidRPr="009E686F" w:rsidRDefault="00265766" w:rsidP="00265766">
            <w:pPr>
              <w:spacing w:after="0"/>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(7</w:t>
            </w:r>
            <w:r w:rsidRPr="009E686F">
              <w:rPr>
                <w:rFonts w:ascii="Times New Roman" w:eastAsia="Aptos" w:hAnsi="Times New Roman" w:cs="Times New Roman"/>
                <w:i/>
                <w:iCs/>
                <w:kern w:val="2"/>
                <w:vertAlign w:val="superscript"/>
                <w:lang w:val="ro-MD"/>
              </w:rPr>
              <w:t>1</w:t>
            </w:r>
            <w:r w:rsidRPr="009E686F">
              <w:rPr>
                <w:rFonts w:ascii="Times New Roman" w:eastAsia="Aptos" w:hAnsi="Times New Roman" w:cs="Times New Roman"/>
                <w:i/>
                <w:iCs/>
                <w:kern w:val="2"/>
                <w:lang w:val="ro-MD"/>
              </w:rPr>
              <w:t>) În cazul în care Banca Națională a Moldovei nu se opune achiziției propuse în termenul prevăzut pentru realizarea evaluării, aceasta se consideră aprobată.</w:t>
            </w:r>
          </w:p>
        </w:tc>
        <w:tc>
          <w:tcPr>
            <w:tcW w:w="470" w:type="pct"/>
            <w:tcBorders>
              <w:top w:val="single" w:sz="4" w:space="0" w:color="auto"/>
              <w:left w:val="single" w:sz="4" w:space="0" w:color="auto"/>
              <w:bottom w:val="single" w:sz="4" w:space="0" w:color="auto"/>
              <w:right w:val="single" w:sz="4" w:space="0" w:color="auto"/>
            </w:tcBorders>
          </w:tcPr>
          <w:p w14:paraId="6464E4B8" w14:textId="289D91EA" w:rsidR="00265766" w:rsidRPr="009E686F" w:rsidRDefault="00265766" w:rsidP="00265766">
            <w:pPr>
              <w:jc w:val="both"/>
              <w:rPr>
                <w:rFonts w:ascii="Times New Roman" w:hAnsi="Times New Roman" w:cs="Times New Roman"/>
                <w:lang w:val="ro-RO"/>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7A08784E" w14:textId="421EBA76"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 xml:space="preserve"> </w:t>
            </w:r>
          </w:p>
        </w:tc>
      </w:tr>
      <w:tr w:rsidR="00265766" w:rsidRPr="009E686F" w14:paraId="3C48D64F" w14:textId="308F36E9" w:rsidTr="00960C23">
        <w:tc>
          <w:tcPr>
            <w:tcW w:w="1890" w:type="pct"/>
            <w:tcBorders>
              <w:top w:val="single" w:sz="4" w:space="0" w:color="auto"/>
              <w:left w:val="single" w:sz="4" w:space="0" w:color="auto"/>
              <w:bottom w:val="single" w:sz="4" w:space="0" w:color="auto"/>
              <w:right w:val="single" w:sz="4" w:space="0" w:color="auto"/>
            </w:tcBorders>
          </w:tcPr>
          <w:p w14:paraId="2012ED0E" w14:textId="6E61809D"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(7) Autoritățile competente pot stabili un termen maxim pentru finalizarea proiectului de achiziție și îl pot prelungi, atunci când este necesar.</w:t>
            </w:r>
          </w:p>
        </w:tc>
        <w:tc>
          <w:tcPr>
            <w:tcW w:w="1834" w:type="pct"/>
            <w:tcBorders>
              <w:top w:val="single" w:sz="4" w:space="0" w:color="auto"/>
              <w:left w:val="single" w:sz="4" w:space="0" w:color="auto"/>
              <w:bottom w:val="single" w:sz="4" w:space="0" w:color="auto"/>
              <w:right w:val="single" w:sz="4" w:space="0" w:color="auto"/>
            </w:tcBorders>
          </w:tcPr>
          <w:p w14:paraId="342C5462" w14:textId="51A54750" w:rsidR="00265766" w:rsidRPr="009E686F" w:rsidRDefault="00265766" w:rsidP="00265766">
            <w:pPr>
              <w:spacing w:after="0"/>
              <w:jc w:val="both"/>
              <w:rPr>
                <w:rFonts w:ascii="Times New Roman" w:eastAsia="Aptos" w:hAnsi="Times New Roman" w:cs="Times New Roman"/>
                <w:b/>
                <w:bCs/>
                <w:kern w:val="2"/>
                <w:lang w:val="ro-MD"/>
              </w:rPr>
            </w:pPr>
            <w:r w:rsidRPr="009E686F">
              <w:rPr>
                <w:rFonts w:ascii="Times New Roman" w:eastAsia="Aptos" w:hAnsi="Times New Roman" w:cs="Times New Roman"/>
                <w:b/>
                <w:bCs/>
                <w:kern w:val="2"/>
                <w:lang w:val="ro-MD"/>
              </w:rPr>
              <w:t>Articolul 47 alin. (9)</w:t>
            </w:r>
          </w:p>
          <w:p w14:paraId="21E0DA76" w14:textId="2141DA30" w:rsidR="00265766" w:rsidRPr="009E686F" w:rsidRDefault="00265766" w:rsidP="00265766">
            <w:pPr>
              <w:spacing w:after="0"/>
              <w:jc w:val="both"/>
              <w:rPr>
                <w:rFonts w:ascii="Times New Roman" w:hAnsi="Times New Roman" w:cs="Times New Roman"/>
                <w:lang w:val="it-CH"/>
              </w:rPr>
            </w:pPr>
            <w:r w:rsidRPr="009E686F">
              <w:rPr>
                <w:rFonts w:ascii="Times New Roman" w:eastAsia="Aptos" w:hAnsi="Times New Roman" w:cs="Times New Roman"/>
                <w:kern w:val="2"/>
                <w:lang w:val="ro-MD"/>
              </w:rPr>
              <w:t xml:space="preserve">(9) În cazul </w:t>
            </w:r>
            <w:r w:rsidRPr="009E686F">
              <w:rPr>
                <w:rFonts w:ascii="Times New Roman" w:eastAsia="Aptos" w:hAnsi="Times New Roman" w:cs="Times New Roman"/>
                <w:i/>
                <w:iCs/>
                <w:kern w:val="2"/>
                <w:lang w:val="ro-MD"/>
              </w:rPr>
              <w:t>în care nu se opune achiziției,</w:t>
            </w:r>
            <w:r w:rsidRPr="009E686F">
              <w:rPr>
                <w:rFonts w:ascii="Times New Roman" w:eastAsia="Aptos" w:hAnsi="Times New Roman" w:cs="Times New Roman"/>
                <w:kern w:val="2"/>
                <w:lang w:val="ro-MD"/>
              </w:rPr>
              <w:t xml:space="preserve"> Banca Naţională a Moldovei poate stabili un termen maxim, care nu poate fi mai mic de 3 luni, pentru finalizarea achiziţiei propuse/dobîndirii şi poate prelungi acest termen dacă este necesar.</w:t>
            </w:r>
          </w:p>
        </w:tc>
        <w:tc>
          <w:tcPr>
            <w:tcW w:w="470" w:type="pct"/>
            <w:tcBorders>
              <w:top w:val="single" w:sz="4" w:space="0" w:color="auto"/>
              <w:left w:val="single" w:sz="4" w:space="0" w:color="auto"/>
              <w:bottom w:val="single" w:sz="4" w:space="0" w:color="auto"/>
              <w:right w:val="single" w:sz="4" w:space="0" w:color="auto"/>
            </w:tcBorders>
          </w:tcPr>
          <w:p w14:paraId="67EB92CB" w14:textId="795776AB" w:rsidR="00265766" w:rsidRPr="009E686F" w:rsidRDefault="00265766" w:rsidP="00265766">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4A29AFC4" w14:textId="0DA7581A" w:rsidR="00265766" w:rsidRPr="009E686F" w:rsidRDefault="00265766" w:rsidP="00265766">
            <w:pPr>
              <w:spacing w:after="0"/>
              <w:jc w:val="both"/>
              <w:rPr>
                <w:rFonts w:ascii="Times New Roman" w:hAnsi="Times New Roman" w:cs="Times New Roman"/>
              </w:rPr>
            </w:pPr>
          </w:p>
        </w:tc>
      </w:tr>
      <w:tr w:rsidR="00265766" w:rsidRPr="009E686F" w14:paraId="5889BA7B" w14:textId="377F451E" w:rsidTr="00960C23">
        <w:tc>
          <w:tcPr>
            <w:tcW w:w="1890" w:type="pct"/>
            <w:tcBorders>
              <w:top w:val="single" w:sz="4" w:space="0" w:color="auto"/>
              <w:left w:val="single" w:sz="4" w:space="0" w:color="auto"/>
              <w:bottom w:val="single" w:sz="4" w:space="0" w:color="auto"/>
              <w:right w:val="single" w:sz="4" w:space="0" w:color="auto"/>
            </w:tcBorders>
          </w:tcPr>
          <w:p w14:paraId="60848B88" w14:textId="2CAE5182"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(8) Statele membre nu impun cerințe mai stricte decât cele prevăzute în prezenta directivă pentru notificarea autorităților competente sau pentru aprobarea de către acestea a unor achiziții directe sau indirecte de capital sau de drepturi de vot.</w:t>
            </w:r>
          </w:p>
        </w:tc>
        <w:tc>
          <w:tcPr>
            <w:tcW w:w="1834" w:type="pct"/>
            <w:tcBorders>
              <w:top w:val="single" w:sz="4" w:space="0" w:color="auto"/>
              <w:left w:val="single" w:sz="4" w:space="0" w:color="auto"/>
              <w:bottom w:val="single" w:sz="4" w:space="0" w:color="auto"/>
              <w:right w:val="single" w:sz="4" w:space="0" w:color="auto"/>
            </w:tcBorders>
          </w:tcPr>
          <w:p w14:paraId="3CCE923B" w14:textId="77777777" w:rsidR="00265766" w:rsidRPr="009E686F" w:rsidRDefault="00265766" w:rsidP="00265766">
            <w:pPr>
              <w:spacing w:after="0"/>
              <w:jc w:val="both"/>
              <w:rPr>
                <w:rFonts w:ascii="Times New Roman" w:hAnsi="Times New Roman" w:cs="Times New Roman"/>
                <w:b/>
                <w:lang w:val="it-CH"/>
              </w:rPr>
            </w:pPr>
          </w:p>
        </w:tc>
        <w:tc>
          <w:tcPr>
            <w:tcW w:w="470" w:type="pct"/>
            <w:tcBorders>
              <w:top w:val="single" w:sz="4" w:space="0" w:color="auto"/>
              <w:left w:val="single" w:sz="4" w:space="0" w:color="auto"/>
              <w:bottom w:val="single" w:sz="4" w:space="0" w:color="auto"/>
              <w:right w:val="single" w:sz="4" w:space="0" w:color="auto"/>
            </w:tcBorders>
          </w:tcPr>
          <w:p w14:paraId="58BBE970" w14:textId="1A945FE5" w:rsidR="00265766" w:rsidRPr="009E686F" w:rsidRDefault="00265766" w:rsidP="00265766">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5BCCBD5F" w14:textId="55E1C7E6"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Modificarea pragului deținerii calificate (de la 1% la 10%) va intra în vigoare de la data aderării Republicii Moldova.</w:t>
            </w:r>
          </w:p>
        </w:tc>
      </w:tr>
      <w:tr w:rsidR="00265766" w:rsidRPr="009E686F" w14:paraId="5E8D48B8" w14:textId="05536C99" w:rsidTr="00960C23">
        <w:tc>
          <w:tcPr>
            <w:tcW w:w="1890" w:type="pct"/>
            <w:tcBorders>
              <w:top w:val="single" w:sz="4" w:space="0" w:color="auto"/>
              <w:left w:val="single" w:sz="4" w:space="0" w:color="auto"/>
              <w:bottom w:val="single" w:sz="4" w:space="0" w:color="auto"/>
              <w:right w:val="single" w:sz="4" w:space="0" w:color="auto"/>
            </w:tcBorders>
          </w:tcPr>
          <w:p w14:paraId="049D3669" w14:textId="08B4C36A"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(9) ABE elaborează proiecte de standarde tehnice de punere în aplicare, în scopul stabilirii unor proceduri, formulare și modele comune pentru procesul de consultare între autoritățile competente relevante, așa cum se menționează la articolul 24.</w:t>
            </w:r>
          </w:p>
        </w:tc>
        <w:tc>
          <w:tcPr>
            <w:tcW w:w="1834" w:type="pct"/>
            <w:tcBorders>
              <w:top w:val="single" w:sz="4" w:space="0" w:color="auto"/>
              <w:left w:val="single" w:sz="4" w:space="0" w:color="auto"/>
              <w:bottom w:val="single" w:sz="4" w:space="0" w:color="auto"/>
              <w:right w:val="single" w:sz="4" w:space="0" w:color="auto"/>
            </w:tcBorders>
          </w:tcPr>
          <w:p w14:paraId="274EBDCA" w14:textId="77777777" w:rsidR="00265766" w:rsidRPr="009E686F" w:rsidRDefault="00265766" w:rsidP="00265766">
            <w:pPr>
              <w:spacing w:after="0"/>
              <w:jc w:val="both"/>
              <w:rPr>
                <w:rFonts w:ascii="Times New Roman" w:hAnsi="Times New Roman" w:cs="Times New Roman"/>
                <w:b/>
                <w:lang w:val="it-CH"/>
              </w:rPr>
            </w:pPr>
          </w:p>
        </w:tc>
        <w:tc>
          <w:tcPr>
            <w:tcW w:w="470" w:type="pct"/>
            <w:tcBorders>
              <w:top w:val="single" w:sz="4" w:space="0" w:color="auto"/>
              <w:left w:val="single" w:sz="4" w:space="0" w:color="auto"/>
              <w:bottom w:val="single" w:sz="4" w:space="0" w:color="auto"/>
              <w:right w:val="single" w:sz="4" w:space="0" w:color="auto"/>
            </w:tcBorders>
          </w:tcPr>
          <w:p w14:paraId="5812A73A" w14:textId="6479C9CE" w:rsidR="00265766" w:rsidRPr="009E686F" w:rsidRDefault="00265766" w:rsidP="00265766">
            <w:pPr>
              <w:jc w:val="both"/>
              <w:rPr>
                <w:rFonts w:ascii="Times New Roman" w:hAnsi="Times New Roman" w:cs="Times New Roman"/>
              </w:rPr>
            </w:pPr>
            <w:r w:rsidRPr="009E686F">
              <w:rPr>
                <w:rFonts w:ascii="Times New Roman" w:hAnsi="Times New Roman" w:cs="Times New Roman"/>
              </w:rPr>
              <w:t>Norme UE neaplicabile</w:t>
            </w:r>
          </w:p>
          <w:p w14:paraId="18299B99" w14:textId="329A7172" w:rsidR="00265766" w:rsidRPr="009E686F" w:rsidRDefault="00265766" w:rsidP="00265766">
            <w:pPr>
              <w:jc w:val="both"/>
              <w:rPr>
                <w:rFonts w:ascii="Times New Roman" w:hAnsi="Times New Roman" w:cs="Times New Roman"/>
              </w:rPr>
            </w:pPr>
          </w:p>
        </w:tc>
        <w:tc>
          <w:tcPr>
            <w:tcW w:w="806" w:type="pct"/>
            <w:tcBorders>
              <w:top w:val="single" w:sz="4" w:space="0" w:color="auto"/>
              <w:left w:val="single" w:sz="4" w:space="0" w:color="auto"/>
              <w:bottom w:val="single" w:sz="4" w:space="0" w:color="auto"/>
              <w:right w:val="single" w:sz="4" w:space="0" w:color="auto"/>
            </w:tcBorders>
          </w:tcPr>
          <w:p w14:paraId="12D3B32C" w14:textId="0815BAC5"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Se referă la competențele ABE.</w:t>
            </w:r>
          </w:p>
        </w:tc>
      </w:tr>
      <w:tr w:rsidR="00265766" w:rsidRPr="009E686F" w14:paraId="735F84FB" w14:textId="77777777" w:rsidTr="00960C23">
        <w:tc>
          <w:tcPr>
            <w:tcW w:w="1890" w:type="pct"/>
            <w:tcBorders>
              <w:top w:val="single" w:sz="4" w:space="0" w:color="auto"/>
              <w:left w:val="single" w:sz="4" w:space="0" w:color="auto"/>
              <w:bottom w:val="single" w:sz="4" w:space="0" w:color="auto"/>
              <w:right w:val="single" w:sz="4" w:space="0" w:color="auto"/>
            </w:tcBorders>
          </w:tcPr>
          <w:p w14:paraId="72513257" w14:textId="576F7A8E" w:rsidR="00265766" w:rsidRPr="009E686F" w:rsidRDefault="00265766" w:rsidP="00265766">
            <w:pPr>
              <w:spacing w:after="0"/>
              <w:jc w:val="both"/>
              <w:rPr>
                <w:rFonts w:ascii="Times New Roman" w:hAnsi="Times New Roman" w:cs="Times New Roman"/>
              </w:rPr>
            </w:pPr>
            <w:r w:rsidRPr="009E686F">
              <w:rPr>
                <w:rFonts w:ascii="Times New Roman" w:hAnsi="Times New Roman" w:cs="Times New Roman"/>
              </w:rPr>
              <w:t>ABE înaintează Comisiei proiectele de standarde tehnice respective până la 31 decembrie 2015.</w:t>
            </w:r>
          </w:p>
        </w:tc>
        <w:tc>
          <w:tcPr>
            <w:tcW w:w="1834" w:type="pct"/>
            <w:tcBorders>
              <w:top w:val="single" w:sz="4" w:space="0" w:color="auto"/>
              <w:left w:val="single" w:sz="4" w:space="0" w:color="auto"/>
              <w:bottom w:val="single" w:sz="4" w:space="0" w:color="auto"/>
              <w:right w:val="single" w:sz="4" w:space="0" w:color="auto"/>
            </w:tcBorders>
          </w:tcPr>
          <w:p w14:paraId="4F0C6720" w14:textId="77777777" w:rsidR="00265766" w:rsidRPr="009E686F" w:rsidRDefault="00265766" w:rsidP="00265766">
            <w:pPr>
              <w:spacing w:after="0"/>
              <w:jc w:val="both"/>
              <w:rPr>
                <w:rFonts w:ascii="Times New Roman" w:hAnsi="Times New Roman" w:cs="Times New Roman"/>
                <w:b/>
              </w:rPr>
            </w:pPr>
          </w:p>
        </w:tc>
        <w:tc>
          <w:tcPr>
            <w:tcW w:w="470" w:type="pct"/>
            <w:tcBorders>
              <w:top w:val="single" w:sz="4" w:space="0" w:color="auto"/>
              <w:left w:val="single" w:sz="4" w:space="0" w:color="auto"/>
              <w:bottom w:val="single" w:sz="4" w:space="0" w:color="auto"/>
              <w:right w:val="single" w:sz="4" w:space="0" w:color="auto"/>
            </w:tcBorders>
          </w:tcPr>
          <w:p w14:paraId="1581768D" w14:textId="77777777" w:rsidR="00265766" w:rsidRPr="009E686F" w:rsidRDefault="00265766" w:rsidP="00265766">
            <w:pPr>
              <w:jc w:val="both"/>
              <w:rPr>
                <w:rFonts w:ascii="Times New Roman" w:hAnsi="Times New Roman" w:cs="Times New Roman"/>
              </w:rPr>
            </w:pPr>
            <w:r w:rsidRPr="009E686F">
              <w:rPr>
                <w:rFonts w:ascii="Times New Roman" w:hAnsi="Times New Roman" w:cs="Times New Roman"/>
              </w:rPr>
              <w:t>Norme UE neaplicabile</w:t>
            </w:r>
          </w:p>
          <w:p w14:paraId="29DD1A48" w14:textId="77777777" w:rsidR="00265766" w:rsidRPr="009E686F" w:rsidRDefault="00265766" w:rsidP="00265766">
            <w:pPr>
              <w:jc w:val="both"/>
              <w:rPr>
                <w:rFonts w:ascii="Times New Roman" w:hAnsi="Times New Roman" w:cs="Times New Roman"/>
              </w:rPr>
            </w:pPr>
          </w:p>
        </w:tc>
        <w:tc>
          <w:tcPr>
            <w:tcW w:w="806" w:type="pct"/>
            <w:tcBorders>
              <w:top w:val="single" w:sz="4" w:space="0" w:color="auto"/>
              <w:left w:val="single" w:sz="4" w:space="0" w:color="auto"/>
              <w:bottom w:val="single" w:sz="4" w:space="0" w:color="auto"/>
              <w:right w:val="single" w:sz="4" w:space="0" w:color="auto"/>
            </w:tcBorders>
          </w:tcPr>
          <w:p w14:paraId="224605F6" w14:textId="0C883A57"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Se referă la competențele ABE.</w:t>
            </w:r>
          </w:p>
        </w:tc>
      </w:tr>
      <w:tr w:rsidR="00265766" w:rsidRPr="009E686F" w14:paraId="2BA83FFC" w14:textId="77777777" w:rsidTr="00960C23">
        <w:tc>
          <w:tcPr>
            <w:tcW w:w="1890" w:type="pct"/>
            <w:tcBorders>
              <w:top w:val="single" w:sz="4" w:space="0" w:color="auto"/>
              <w:left w:val="single" w:sz="4" w:space="0" w:color="auto"/>
              <w:bottom w:val="single" w:sz="4" w:space="0" w:color="auto"/>
              <w:right w:val="single" w:sz="4" w:space="0" w:color="auto"/>
            </w:tcBorders>
          </w:tcPr>
          <w:p w14:paraId="5B1B9EE5" w14:textId="204F8C93"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Se conferă Comisiei competența de a adopta standardele tehnice de punere în aplicare menționate la primul paragraf, în conformitate cu articolul 15 din Regulamentul (UE) nr. 1093/2010.</w:t>
            </w:r>
          </w:p>
        </w:tc>
        <w:tc>
          <w:tcPr>
            <w:tcW w:w="1834" w:type="pct"/>
            <w:tcBorders>
              <w:top w:val="single" w:sz="4" w:space="0" w:color="auto"/>
              <w:left w:val="single" w:sz="4" w:space="0" w:color="auto"/>
              <w:bottom w:val="single" w:sz="4" w:space="0" w:color="auto"/>
              <w:right w:val="single" w:sz="4" w:space="0" w:color="auto"/>
            </w:tcBorders>
          </w:tcPr>
          <w:p w14:paraId="4B4C218B" w14:textId="77777777" w:rsidR="00265766" w:rsidRPr="009E686F" w:rsidRDefault="00265766" w:rsidP="00265766">
            <w:pPr>
              <w:spacing w:after="0"/>
              <w:jc w:val="both"/>
              <w:rPr>
                <w:rFonts w:ascii="Times New Roman" w:hAnsi="Times New Roman" w:cs="Times New Roman"/>
                <w:b/>
                <w:lang w:val="it-CH"/>
              </w:rPr>
            </w:pPr>
          </w:p>
        </w:tc>
        <w:tc>
          <w:tcPr>
            <w:tcW w:w="470" w:type="pct"/>
            <w:tcBorders>
              <w:top w:val="single" w:sz="4" w:space="0" w:color="auto"/>
              <w:left w:val="single" w:sz="4" w:space="0" w:color="auto"/>
              <w:bottom w:val="single" w:sz="4" w:space="0" w:color="auto"/>
              <w:right w:val="single" w:sz="4" w:space="0" w:color="auto"/>
            </w:tcBorders>
          </w:tcPr>
          <w:p w14:paraId="66F42C4B" w14:textId="77777777" w:rsidR="00265766" w:rsidRPr="009E686F" w:rsidRDefault="00265766" w:rsidP="00265766">
            <w:pPr>
              <w:jc w:val="both"/>
              <w:rPr>
                <w:rFonts w:ascii="Times New Roman" w:hAnsi="Times New Roman" w:cs="Times New Roman"/>
              </w:rPr>
            </w:pPr>
            <w:r w:rsidRPr="009E686F">
              <w:rPr>
                <w:rFonts w:ascii="Times New Roman" w:hAnsi="Times New Roman" w:cs="Times New Roman"/>
              </w:rPr>
              <w:t>Norme UE neaplicabile</w:t>
            </w:r>
          </w:p>
          <w:p w14:paraId="42AF9E99" w14:textId="77777777" w:rsidR="00265766" w:rsidRPr="009E686F" w:rsidRDefault="00265766" w:rsidP="00265766">
            <w:pPr>
              <w:jc w:val="both"/>
              <w:rPr>
                <w:rFonts w:ascii="Times New Roman" w:hAnsi="Times New Roman" w:cs="Times New Roman"/>
                <w:lang w:val="it-CH"/>
              </w:rPr>
            </w:pPr>
          </w:p>
        </w:tc>
        <w:tc>
          <w:tcPr>
            <w:tcW w:w="806" w:type="pct"/>
            <w:tcBorders>
              <w:top w:val="single" w:sz="4" w:space="0" w:color="auto"/>
              <w:left w:val="single" w:sz="4" w:space="0" w:color="auto"/>
              <w:bottom w:val="single" w:sz="4" w:space="0" w:color="auto"/>
              <w:right w:val="single" w:sz="4" w:space="0" w:color="auto"/>
            </w:tcBorders>
          </w:tcPr>
          <w:p w14:paraId="666429E6" w14:textId="668AD6FD"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Se referă la competențele Comisiei Europene.</w:t>
            </w:r>
          </w:p>
        </w:tc>
      </w:tr>
      <w:tr w:rsidR="00265766" w:rsidRPr="009E686F" w14:paraId="1CB0B1E5" w14:textId="17849842" w:rsidTr="00960C23">
        <w:tc>
          <w:tcPr>
            <w:tcW w:w="1890" w:type="pct"/>
            <w:tcBorders>
              <w:top w:val="single" w:sz="4" w:space="0" w:color="auto"/>
              <w:left w:val="single" w:sz="4" w:space="0" w:color="auto"/>
              <w:bottom w:val="single" w:sz="4" w:space="0" w:color="auto"/>
              <w:right w:val="single" w:sz="4" w:space="0" w:color="auto"/>
            </w:tcBorders>
          </w:tcPr>
          <w:p w14:paraId="6B133A5D" w14:textId="77777777" w:rsidR="00265766" w:rsidRPr="009E686F" w:rsidRDefault="00265766" w:rsidP="00265766">
            <w:pPr>
              <w:spacing w:after="0"/>
              <w:jc w:val="both"/>
              <w:rPr>
                <w:rFonts w:ascii="Times New Roman" w:hAnsi="Times New Roman" w:cs="Times New Roman"/>
                <w:i/>
                <w:iCs/>
              </w:rPr>
            </w:pPr>
            <w:r w:rsidRPr="009E686F">
              <w:rPr>
                <w:rFonts w:ascii="Times New Roman" w:hAnsi="Times New Roman" w:cs="Times New Roman"/>
                <w:i/>
                <w:iCs/>
              </w:rPr>
              <w:t xml:space="preserve">Articolul 23 </w:t>
            </w:r>
          </w:p>
          <w:p w14:paraId="3CF3A3BD" w14:textId="38B0A0BD" w:rsidR="00265766" w:rsidRPr="009E686F" w:rsidRDefault="00265766" w:rsidP="00265766">
            <w:pPr>
              <w:spacing w:after="0"/>
              <w:jc w:val="both"/>
              <w:rPr>
                <w:rFonts w:ascii="Times New Roman" w:hAnsi="Times New Roman" w:cs="Times New Roman"/>
              </w:rPr>
            </w:pPr>
            <w:r w:rsidRPr="009E686F">
              <w:rPr>
                <w:rFonts w:ascii="Times New Roman" w:hAnsi="Times New Roman" w:cs="Times New Roman"/>
              </w:rPr>
              <w:t>Criterii de evaluare</w:t>
            </w:r>
          </w:p>
        </w:tc>
        <w:tc>
          <w:tcPr>
            <w:tcW w:w="1834" w:type="pct"/>
            <w:tcBorders>
              <w:top w:val="single" w:sz="4" w:space="0" w:color="auto"/>
              <w:left w:val="single" w:sz="4" w:space="0" w:color="auto"/>
              <w:bottom w:val="single" w:sz="4" w:space="0" w:color="auto"/>
              <w:right w:val="single" w:sz="4" w:space="0" w:color="auto"/>
            </w:tcBorders>
          </w:tcPr>
          <w:p w14:paraId="18437465" w14:textId="76FED706" w:rsidR="00265766" w:rsidRPr="009E686F" w:rsidRDefault="00265766" w:rsidP="00265766">
            <w:pPr>
              <w:spacing w:after="0"/>
              <w:jc w:val="both"/>
              <w:rPr>
                <w:rFonts w:ascii="Times New Roman" w:hAnsi="Times New Roman" w:cs="Times New Roman"/>
                <w:lang w:val="it-IT"/>
              </w:rPr>
            </w:pPr>
            <w:r w:rsidRPr="009E686F">
              <w:rPr>
                <w:rFonts w:ascii="Times New Roman" w:eastAsia="Aptos" w:hAnsi="Times New Roman" w:cs="Times New Roman"/>
                <w:b/>
                <w:bCs/>
                <w:kern w:val="2"/>
                <w:lang w:val="ro-MD"/>
              </w:rPr>
              <w:t>Articolul 48.</w:t>
            </w:r>
            <w:r w:rsidRPr="009E686F">
              <w:rPr>
                <w:rFonts w:ascii="Times New Roman" w:eastAsia="Aptos" w:hAnsi="Times New Roman" w:cs="Times New Roman"/>
                <w:kern w:val="2"/>
                <w:lang w:val="ro-MD"/>
              </w:rPr>
              <w:t xml:space="preserve"> Evaluarea achizitorului potenţial/dobînditorului</w:t>
            </w:r>
            <w:r w:rsidRPr="009E686F">
              <w:rPr>
                <w:rFonts w:ascii="Times New Roman" w:hAnsi="Times New Roman" w:cs="Times New Roman"/>
                <w:lang w:val="it-IT"/>
              </w:rPr>
              <w:t xml:space="preserve"> </w:t>
            </w:r>
          </w:p>
          <w:p w14:paraId="69F79CEF" w14:textId="77777777" w:rsidR="00265766" w:rsidRPr="009E686F" w:rsidRDefault="00265766" w:rsidP="00265766">
            <w:pPr>
              <w:spacing w:after="0"/>
              <w:jc w:val="both"/>
              <w:rPr>
                <w:rFonts w:ascii="Times New Roman" w:hAnsi="Times New Roman" w:cs="Times New Roman"/>
                <w:b/>
                <w:lang w:val="it-IT"/>
              </w:rPr>
            </w:pPr>
          </w:p>
        </w:tc>
        <w:tc>
          <w:tcPr>
            <w:tcW w:w="470" w:type="pct"/>
            <w:tcBorders>
              <w:top w:val="single" w:sz="4" w:space="0" w:color="auto"/>
              <w:left w:val="single" w:sz="4" w:space="0" w:color="auto"/>
              <w:bottom w:val="single" w:sz="4" w:space="0" w:color="auto"/>
              <w:right w:val="single" w:sz="4" w:space="0" w:color="auto"/>
            </w:tcBorders>
          </w:tcPr>
          <w:p w14:paraId="1736B328" w14:textId="7B36533B" w:rsidR="00265766" w:rsidRPr="009E686F" w:rsidRDefault="00265766" w:rsidP="00265766">
            <w:pPr>
              <w:jc w:val="both"/>
              <w:rPr>
                <w:rFonts w:ascii="Times New Roman" w:hAnsi="Times New Roman" w:cs="Times New Roman"/>
              </w:rPr>
            </w:pPr>
            <w:r w:rsidRPr="009E686F">
              <w:rPr>
                <w:rFonts w:ascii="Times New Roman" w:hAnsi="Times New Roman" w:cs="Times New Roman"/>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5B4C644D" w14:textId="0F42F827" w:rsidR="00265766" w:rsidRPr="009E686F" w:rsidRDefault="00265766" w:rsidP="00265766">
            <w:pPr>
              <w:spacing w:after="0"/>
              <w:jc w:val="both"/>
              <w:rPr>
                <w:rFonts w:ascii="Times New Roman" w:hAnsi="Times New Roman" w:cs="Times New Roman"/>
              </w:rPr>
            </w:pPr>
          </w:p>
        </w:tc>
      </w:tr>
      <w:tr w:rsidR="00265766" w:rsidRPr="009E686F" w14:paraId="53CFEB9E" w14:textId="102D2586" w:rsidTr="00960C23">
        <w:tc>
          <w:tcPr>
            <w:tcW w:w="1890" w:type="pct"/>
            <w:tcBorders>
              <w:top w:val="single" w:sz="4" w:space="0" w:color="auto"/>
              <w:left w:val="single" w:sz="4" w:space="0" w:color="auto"/>
              <w:bottom w:val="single" w:sz="4" w:space="0" w:color="auto"/>
              <w:right w:val="single" w:sz="4" w:space="0" w:color="auto"/>
            </w:tcBorders>
          </w:tcPr>
          <w:p w14:paraId="00BEC1D4" w14:textId="26E99733"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(1) La examinarea notificării prevăzute la articolul 22 alineatul (1) și a informațiilor menționate la articolul 22 alineatul (3), autoritățile competente evaluează, pentru a asigura administrarea viabilă și prudentă a instituției de credit vizate de achiziție și ținând seama de posibila influență a potențialului achizitor asupra instituției de credit respective, adecvarea potențialului achizitor, precum și soliditatea financiară a proiectului de achiziție, în conformitate cu următoarele criterii:</w:t>
            </w:r>
          </w:p>
        </w:tc>
        <w:tc>
          <w:tcPr>
            <w:tcW w:w="1834" w:type="pct"/>
            <w:tcBorders>
              <w:top w:val="single" w:sz="4" w:space="0" w:color="auto"/>
              <w:left w:val="single" w:sz="4" w:space="0" w:color="auto"/>
              <w:bottom w:val="single" w:sz="4" w:space="0" w:color="auto"/>
              <w:right w:val="single" w:sz="4" w:space="0" w:color="auto"/>
            </w:tcBorders>
          </w:tcPr>
          <w:p w14:paraId="112AD4B2" w14:textId="1DB22F8B" w:rsidR="00265766" w:rsidRPr="009E686F" w:rsidRDefault="00265766" w:rsidP="00265766">
            <w:pPr>
              <w:spacing w:after="0"/>
              <w:jc w:val="both"/>
              <w:rPr>
                <w:rFonts w:ascii="Times New Roman" w:hAnsi="Times New Roman" w:cs="Times New Roman"/>
                <w:b/>
                <w:lang w:val="it-CH"/>
              </w:rPr>
            </w:pPr>
            <w:r w:rsidRPr="009E686F">
              <w:rPr>
                <w:rFonts w:ascii="Times New Roman" w:hAnsi="Times New Roman" w:cs="Times New Roman"/>
                <w:b/>
                <w:lang w:val="it-CH"/>
              </w:rPr>
              <w:t>Articolul 48 alin. (1)</w:t>
            </w:r>
          </w:p>
          <w:p w14:paraId="7CEC995C" w14:textId="0BDFAFEC" w:rsidR="00265766" w:rsidRPr="009E686F" w:rsidRDefault="00265766" w:rsidP="00265766">
            <w:pPr>
              <w:spacing w:after="0"/>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 xml:space="preserve">(1) La examinarea </w:t>
            </w:r>
            <w:r w:rsidRPr="009E686F">
              <w:rPr>
                <w:rFonts w:ascii="Times New Roman" w:eastAsia="Aptos" w:hAnsi="Times New Roman" w:cs="Times New Roman"/>
                <w:i/>
                <w:iCs/>
                <w:kern w:val="2"/>
                <w:lang w:val="ro-MD"/>
              </w:rPr>
              <w:t>notificării</w:t>
            </w:r>
            <w:r w:rsidRPr="009E686F">
              <w:rPr>
                <w:rFonts w:ascii="Times New Roman" w:eastAsia="Aptos" w:hAnsi="Times New Roman" w:cs="Times New Roman"/>
                <w:kern w:val="2"/>
                <w:lang w:val="ro-MD"/>
              </w:rPr>
              <w:t xml:space="preserve"> şi a informaţiilor prevăzute la art.47 alin.(1) şi (2), în vederea asigurării administrării prudente şi sănătoase a </w:t>
            </w:r>
            <w:r w:rsidRPr="009E686F">
              <w:rPr>
                <w:rFonts w:ascii="Times New Roman" w:eastAsia="Aptos" w:hAnsi="Times New Roman" w:cs="Times New Roman"/>
                <w:i/>
                <w:iCs/>
                <w:kern w:val="2"/>
                <w:lang w:val="ro-MD"/>
              </w:rPr>
              <w:t>instituției de credit</w:t>
            </w:r>
            <w:r w:rsidRPr="009E686F">
              <w:rPr>
                <w:rFonts w:ascii="Times New Roman" w:eastAsia="Aptos" w:hAnsi="Times New Roman" w:cs="Times New Roman"/>
                <w:kern w:val="2"/>
                <w:lang w:val="ro-MD"/>
              </w:rPr>
              <w:t xml:space="preserve"> vizate de achiziţie şi luînd în considerare posibila influenţă a achizitorului potenţial asupra </w:t>
            </w:r>
            <w:r w:rsidRPr="009E686F">
              <w:rPr>
                <w:rFonts w:ascii="Times New Roman" w:eastAsia="Aptos" w:hAnsi="Times New Roman" w:cs="Times New Roman"/>
                <w:i/>
                <w:iCs/>
                <w:kern w:val="2"/>
                <w:lang w:val="ro-MD"/>
              </w:rPr>
              <w:t>instituției de credit</w:t>
            </w:r>
            <w:r w:rsidRPr="009E686F">
              <w:rPr>
                <w:rFonts w:ascii="Times New Roman" w:eastAsia="Aptos" w:hAnsi="Times New Roman" w:cs="Times New Roman"/>
                <w:kern w:val="2"/>
                <w:lang w:val="ro-MD"/>
              </w:rPr>
              <w:t xml:space="preserve"> respective, Banca Naţională a Moldovei evaluează adecvarea achizitorului potenţial, precum şi soliditatea financiară în raport cu achiziţia propusă prin examinarea cumulativă a următoarelor criterii:</w:t>
            </w:r>
          </w:p>
        </w:tc>
        <w:tc>
          <w:tcPr>
            <w:tcW w:w="470" w:type="pct"/>
            <w:tcBorders>
              <w:top w:val="single" w:sz="4" w:space="0" w:color="auto"/>
              <w:left w:val="single" w:sz="4" w:space="0" w:color="auto"/>
              <w:bottom w:val="single" w:sz="4" w:space="0" w:color="auto"/>
              <w:right w:val="single" w:sz="4" w:space="0" w:color="auto"/>
            </w:tcBorders>
          </w:tcPr>
          <w:p w14:paraId="629679CA" w14:textId="004FA50E" w:rsidR="00265766" w:rsidRPr="009E686F" w:rsidRDefault="00265766" w:rsidP="00265766">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1BC44676" w14:textId="2883C7D8" w:rsidR="00265766" w:rsidRPr="009E686F" w:rsidRDefault="00265766" w:rsidP="00265766">
            <w:pPr>
              <w:spacing w:after="0"/>
              <w:jc w:val="both"/>
              <w:rPr>
                <w:rFonts w:ascii="Times New Roman" w:hAnsi="Times New Roman" w:cs="Times New Roman"/>
              </w:rPr>
            </w:pPr>
          </w:p>
        </w:tc>
      </w:tr>
      <w:tr w:rsidR="00265766" w:rsidRPr="009E686F" w14:paraId="139F1911" w14:textId="75F00AE4" w:rsidTr="00960C23">
        <w:tc>
          <w:tcPr>
            <w:tcW w:w="1890" w:type="pct"/>
            <w:tcBorders>
              <w:top w:val="single" w:sz="4" w:space="0" w:color="auto"/>
              <w:left w:val="single" w:sz="4" w:space="0" w:color="auto"/>
              <w:bottom w:val="single" w:sz="4" w:space="0" w:color="auto"/>
              <w:right w:val="single" w:sz="4" w:space="0" w:color="auto"/>
            </w:tcBorders>
          </w:tcPr>
          <w:p w14:paraId="0696AA2C" w14:textId="6E82B9E1" w:rsidR="00265766" w:rsidRPr="009E686F" w:rsidRDefault="00265766" w:rsidP="00265766">
            <w:pPr>
              <w:spacing w:after="0"/>
              <w:jc w:val="both"/>
              <w:rPr>
                <w:rFonts w:ascii="Times New Roman" w:hAnsi="Times New Roman" w:cs="Times New Roman"/>
              </w:rPr>
            </w:pPr>
            <w:r w:rsidRPr="009E686F">
              <w:rPr>
                <w:rFonts w:ascii="Times New Roman" w:hAnsi="Times New Roman" w:cs="Times New Roman"/>
              </w:rPr>
              <w:t>(a)reputația potențialului achizitor;</w:t>
            </w:r>
          </w:p>
        </w:tc>
        <w:tc>
          <w:tcPr>
            <w:tcW w:w="1834" w:type="pct"/>
            <w:tcBorders>
              <w:top w:val="single" w:sz="4" w:space="0" w:color="auto"/>
              <w:left w:val="single" w:sz="4" w:space="0" w:color="auto"/>
              <w:bottom w:val="single" w:sz="4" w:space="0" w:color="auto"/>
              <w:right w:val="single" w:sz="4" w:space="0" w:color="auto"/>
            </w:tcBorders>
          </w:tcPr>
          <w:p w14:paraId="0D8308DC" w14:textId="2DA1F16F" w:rsidR="00265766" w:rsidRPr="009E686F" w:rsidRDefault="00265766" w:rsidP="00265766">
            <w:pPr>
              <w:spacing w:after="0"/>
              <w:jc w:val="both"/>
              <w:rPr>
                <w:rFonts w:ascii="Times New Roman" w:hAnsi="Times New Roman" w:cs="Times New Roman"/>
              </w:rPr>
            </w:pPr>
            <w:r w:rsidRPr="009E686F">
              <w:rPr>
                <w:rFonts w:ascii="Times New Roman" w:hAnsi="Times New Roman" w:cs="Times New Roman"/>
              </w:rPr>
              <w:t>a) reputația achizitorului potențial;</w:t>
            </w:r>
          </w:p>
        </w:tc>
        <w:tc>
          <w:tcPr>
            <w:tcW w:w="470" w:type="pct"/>
            <w:tcBorders>
              <w:top w:val="single" w:sz="4" w:space="0" w:color="auto"/>
              <w:left w:val="single" w:sz="4" w:space="0" w:color="auto"/>
              <w:bottom w:val="single" w:sz="4" w:space="0" w:color="auto"/>
              <w:right w:val="single" w:sz="4" w:space="0" w:color="auto"/>
            </w:tcBorders>
          </w:tcPr>
          <w:p w14:paraId="2AF570CA" w14:textId="0A7BB326" w:rsidR="00265766" w:rsidRPr="009E686F" w:rsidRDefault="00265766" w:rsidP="00265766">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76F7986A" w14:textId="41CB2FCC" w:rsidR="00265766" w:rsidRPr="009E686F" w:rsidRDefault="00265766" w:rsidP="00265766">
            <w:pPr>
              <w:spacing w:after="0"/>
              <w:jc w:val="both"/>
              <w:rPr>
                <w:rFonts w:ascii="Times New Roman" w:hAnsi="Times New Roman" w:cs="Times New Roman"/>
              </w:rPr>
            </w:pPr>
          </w:p>
        </w:tc>
      </w:tr>
      <w:tr w:rsidR="00265766" w:rsidRPr="009E686F" w14:paraId="793C4386" w14:textId="40C8D089" w:rsidTr="00960C23">
        <w:tc>
          <w:tcPr>
            <w:tcW w:w="1890" w:type="pct"/>
            <w:tcBorders>
              <w:top w:val="single" w:sz="4" w:space="0" w:color="auto"/>
              <w:left w:val="single" w:sz="4" w:space="0" w:color="auto"/>
              <w:bottom w:val="single" w:sz="4" w:space="0" w:color="auto"/>
              <w:right w:val="single" w:sz="4" w:space="0" w:color="auto"/>
            </w:tcBorders>
          </w:tcPr>
          <w:p w14:paraId="3638AA0D" w14:textId="1F10B9BB"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(b) reputația, cunoștințele, aptitudinile și experiența, astfel cum sunt menționate la articolul 91 alineatul (1), ale oricărui membru al organului de conducere care va conduce activitatea instituției de credit ca urmare a proiectului de achiziție;</w:t>
            </w:r>
          </w:p>
        </w:tc>
        <w:tc>
          <w:tcPr>
            <w:tcW w:w="1834" w:type="pct"/>
            <w:tcBorders>
              <w:top w:val="single" w:sz="4" w:space="0" w:color="auto"/>
              <w:left w:val="single" w:sz="4" w:space="0" w:color="auto"/>
              <w:bottom w:val="single" w:sz="4" w:space="0" w:color="auto"/>
              <w:right w:val="single" w:sz="4" w:space="0" w:color="auto"/>
            </w:tcBorders>
          </w:tcPr>
          <w:p w14:paraId="5C32255E" w14:textId="49C3306B" w:rsidR="00265766" w:rsidRPr="009E686F" w:rsidRDefault="00265766" w:rsidP="00265766">
            <w:pPr>
              <w:spacing w:after="0"/>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 xml:space="preserve">b) reputaţia, cunoştinţele, aptitudinile şi experienţa, </w:t>
            </w:r>
            <w:r w:rsidRPr="009E686F">
              <w:rPr>
                <w:rFonts w:ascii="Times New Roman" w:eastAsia="Aptos" w:hAnsi="Times New Roman" w:cs="Times New Roman"/>
                <w:i/>
                <w:iCs/>
                <w:kern w:val="2"/>
                <w:lang w:val="ro-MD"/>
              </w:rPr>
              <w:t>astfel cum sunt prevăzute la art. 43 alin. (1)</w:t>
            </w:r>
            <w:r w:rsidRPr="009E686F">
              <w:rPr>
                <w:rFonts w:ascii="Times New Roman" w:eastAsia="Aptos" w:hAnsi="Times New Roman" w:cs="Times New Roman"/>
                <w:kern w:val="2"/>
                <w:lang w:val="ro-MD"/>
              </w:rPr>
              <w:t xml:space="preserve">, oricărui membru al organului de conducere care va conduce activitatea </w:t>
            </w:r>
            <w:r w:rsidRPr="009E686F">
              <w:rPr>
                <w:rFonts w:ascii="Times New Roman" w:eastAsia="Aptos" w:hAnsi="Times New Roman" w:cs="Times New Roman"/>
                <w:i/>
                <w:iCs/>
                <w:kern w:val="2"/>
                <w:lang w:val="ro-MD"/>
              </w:rPr>
              <w:t>instituției de credit</w:t>
            </w:r>
            <w:r w:rsidRPr="009E686F">
              <w:rPr>
                <w:rFonts w:ascii="Times New Roman" w:eastAsia="Aptos" w:hAnsi="Times New Roman" w:cs="Times New Roman"/>
                <w:kern w:val="2"/>
                <w:lang w:val="ro-MD"/>
              </w:rPr>
              <w:t xml:space="preserve"> ca rezultat al achiziţiei propuse;</w:t>
            </w:r>
          </w:p>
        </w:tc>
        <w:tc>
          <w:tcPr>
            <w:tcW w:w="470" w:type="pct"/>
            <w:tcBorders>
              <w:top w:val="single" w:sz="4" w:space="0" w:color="auto"/>
              <w:left w:val="single" w:sz="4" w:space="0" w:color="auto"/>
              <w:bottom w:val="single" w:sz="4" w:space="0" w:color="auto"/>
              <w:right w:val="single" w:sz="4" w:space="0" w:color="auto"/>
            </w:tcBorders>
          </w:tcPr>
          <w:p w14:paraId="5B9F7355" w14:textId="469480F6" w:rsidR="00265766" w:rsidRPr="009E686F" w:rsidRDefault="00265766" w:rsidP="00265766">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0AD06EED" w14:textId="24F4BA65" w:rsidR="00265766" w:rsidRPr="009E686F" w:rsidRDefault="00265766" w:rsidP="00265766">
            <w:pPr>
              <w:spacing w:after="0"/>
              <w:jc w:val="center"/>
              <w:rPr>
                <w:rFonts w:ascii="Times New Roman" w:hAnsi="Times New Roman" w:cs="Times New Roman"/>
              </w:rPr>
            </w:pPr>
          </w:p>
        </w:tc>
      </w:tr>
      <w:tr w:rsidR="00265766" w:rsidRPr="009E686F" w14:paraId="1E7D9019" w14:textId="390E290B" w:rsidTr="00960C23">
        <w:tc>
          <w:tcPr>
            <w:tcW w:w="1890" w:type="pct"/>
            <w:tcBorders>
              <w:top w:val="single" w:sz="4" w:space="0" w:color="auto"/>
              <w:left w:val="single" w:sz="4" w:space="0" w:color="auto"/>
              <w:bottom w:val="single" w:sz="4" w:space="0" w:color="auto"/>
              <w:right w:val="single" w:sz="4" w:space="0" w:color="auto"/>
            </w:tcBorders>
          </w:tcPr>
          <w:p w14:paraId="09FE0E56" w14:textId="122AEA12" w:rsidR="00265766" w:rsidRPr="009E686F" w:rsidRDefault="00265766" w:rsidP="00265766">
            <w:pPr>
              <w:spacing w:after="0"/>
              <w:jc w:val="both"/>
              <w:rPr>
                <w:rFonts w:ascii="Times New Roman" w:hAnsi="Times New Roman" w:cs="Times New Roman"/>
              </w:rPr>
            </w:pPr>
            <w:r w:rsidRPr="009E686F">
              <w:rPr>
                <w:rFonts w:ascii="Times New Roman" w:hAnsi="Times New Roman" w:cs="Times New Roman"/>
              </w:rPr>
              <w:t>(c) soliditatea financiară a potențialului achizitor, în special în ceea ce privește tipul de activitate desfășurată și prevăzută a se desfășura în cadrul instituției de credit vizate de proiectul de achiziție;</w:t>
            </w:r>
          </w:p>
        </w:tc>
        <w:tc>
          <w:tcPr>
            <w:tcW w:w="1834" w:type="pct"/>
            <w:tcBorders>
              <w:top w:val="single" w:sz="4" w:space="0" w:color="auto"/>
              <w:left w:val="single" w:sz="4" w:space="0" w:color="auto"/>
              <w:bottom w:val="single" w:sz="4" w:space="0" w:color="auto"/>
              <w:right w:val="single" w:sz="4" w:space="0" w:color="auto"/>
            </w:tcBorders>
          </w:tcPr>
          <w:p w14:paraId="190891B8" w14:textId="7C07D96C" w:rsidR="00265766" w:rsidRPr="009E686F" w:rsidRDefault="00265766" w:rsidP="00265766">
            <w:pPr>
              <w:spacing w:after="0"/>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 xml:space="preserve">c) soliditatea financiară a achizitorului potenţial, în special în raport cu tipul de activitate desfăşurată de </w:t>
            </w:r>
            <w:r w:rsidRPr="009E686F">
              <w:rPr>
                <w:rFonts w:ascii="Times New Roman" w:eastAsia="Aptos" w:hAnsi="Times New Roman" w:cs="Times New Roman"/>
                <w:i/>
                <w:iCs/>
                <w:kern w:val="2"/>
                <w:lang w:val="ro-MD"/>
              </w:rPr>
              <w:t>instituția de credit</w:t>
            </w:r>
            <w:r w:rsidRPr="009E686F">
              <w:rPr>
                <w:rFonts w:ascii="Times New Roman" w:eastAsia="Aptos" w:hAnsi="Times New Roman" w:cs="Times New Roman"/>
                <w:kern w:val="2"/>
                <w:lang w:val="ro-MD"/>
              </w:rPr>
              <w:t xml:space="preserve"> în prezent şi cu cea preconizată a fi desfăşurată de </w:t>
            </w:r>
            <w:r w:rsidRPr="009E686F">
              <w:rPr>
                <w:rFonts w:ascii="Times New Roman" w:eastAsia="Aptos" w:hAnsi="Times New Roman" w:cs="Times New Roman"/>
                <w:i/>
                <w:iCs/>
                <w:kern w:val="2"/>
                <w:lang w:val="ro-MD"/>
              </w:rPr>
              <w:t>instituția de credit</w:t>
            </w:r>
            <w:r w:rsidRPr="009E686F">
              <w:rPr>
                <w:rFonts w:ascii="Times New Roman" w:eastAsia="Aptos" w:hAnsi="Times New Roman" w:cs="Times New Roman"/>
                <w:kern w:val="2"/>
                <w:lang w:val="ro-MD"/>
              </w:rPr>
              <w:t>, vizată de achiziţia propusă;</w:t>
            </w:r>
          </w:p>
        </w:tc>
        <w:tc>
          <w:tcPr>
            <w:tcW w:w="470" w:type="pct"/>
            <w:tcBorders>
              <w:top w:val="single" w:sz="4" w:space="0" w:color="auto"/>
              <w:left w:val="single" w:sz="4" w:space="0" w:color="auto"/>
              <w:bottom w:val="single" w:sz="4" w:space="0" w:color="auto"/>
              <w:right w:val="single" w:sz="4" w:space="0" w:color="auto"/>
            </w:tcBorders>
          </w:tcPr>
          <w:p w14:paraId="33F5B758" w14:textId="4A244283" w:rsidR="00265766" w:rsidRPr="009E686F" w:rsidRDefault="00265766" w:rsidP="00265766">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78CAFDF5" w14:textId="0F185807" w:rsidR="00265766" w:rsidRPr="009E686F" w:rsidRDefault="00265766" w:rsidP="00265766">
            <w:pPr>
              <w:spacing w:after="0"/>
              <w:jc w:val="both"/>
              <w:rPr>
                <w:rFonts w:ascii="Times New Roman" w:hAnsi="Times New Roman" w:cs="Times New Roman"/>
              </w:rPr>
            </w:pPr>
          </w:p>
        </w:tc>
      </w:tr>
      <w:tr w:rsidR="00265766" w:rsidRPr="009E686F" w14:paraId="3FA4C61B" w14:textId="6DF3344F" w:rsidTr="00960C23">
        <w:tc>
          <w:tcPr>
            <w:tcW w:w="1890" w:type="pct"/>
            <w:tcBorders>
              <w:top w:val="single" w:sz="4" w:space="0" w:color="auto"/>
              <w:left w:val="single" w:sz="4" w:space="0" w:color="auto"/>
              <w:bottom w:val="single" w:sz="4" w:space="0" w:color="auto"/>
              <w:right w:val="single" w:sz="4" w:space="0" w:color="auto"/>
            </w:tcBorders>
          </w:tcPr>
          <w:p w14:paraId="792688FE" w14:textId="4073FC2E" w:rsidR="00265766" w:rsidRPr="009E686F" w:rsidRDefault="00265766" w:rsidP="00265766">
            <w:pPr>
              <w:spacing w:after="0"/>
              <w:jc w:val="both"/>
              <w:rPr>
                <w:rFonts w:ascii="Times New Roman" w:hAnsi="Times New Roman" w:cs="Times New Roman"/>
              </w:rPr>
            </w:pPr>
            <w:r w:rsidRPr="009E686F">
              <w:rPr>
                <w:rFonts w:ascii="Times New Roman" w:hAnsi="Times New Roman" w:cs="Times New Roman"/>
              </w:rPr>
              <w:t>(d) capacitatea instituției de credit de a respecta și de a continua să respecte cerințele prudențiale prevăzute în prezenta directivă și în Regulamentul (UE) nr. 575/2013 și, după caz, în dreptul Uniunii, în special Directivele 2002/87/CE și 2009/110/CE, inclusiv condiția ca grupul din care va face parte să aibă o structură care să permită exercitarea unei supravegheri efective, schimbul real de informații între autoritățile competente și împărțirea responsabilităților între autoritățile competente;</w:t>
            </w:r>
          </w:p>
        </w:tc>
        <w:tc>
          <w:tcPr>
            <w:tcW w:w="1834" w:type="pct"/>
            <w:tcBorders>
              <w:top w:val="single" w:sz="4" w:space="0" w:color="auto"/>
              <w:left w:val="single" w:sz="4" w:space="0" w:color="auto"/>
              <w:bottom w:val="single" w:sz="4" w:space="0" w:color="auto"/>
              <w:right w:val="single" w:sz="4" w:space="0" w:color="auto"/>
            </w:tcBorders>
          </w:tcPr>
          <w:p w14:paraId="18648CB6" w14:textId="1721242D" w:rsidR="00265766" w:rsidRPr="009E686F" w:rsidRDefault="00265766" w:rsidP="00265766">
            <w:pPr>
              <w:spacing w:after="0"/>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 xml:space="preserve">d) capacitatea </w:t>
            </w:r>
            <w:r w:rsidRPr="009E686F">
              <w:rPr>
                <w:rFonts w:ascii="Times New Roman" w:eastAsia="Aptos" w:hAnsi="Times New Roman" w:cs="Times New Roman"/>
                <w:i/>
                <w:iCs/>
                <w:kern w:val="2"/>
                <w:lang w:val="ro-MD"/>
              </w:rPr>
              <w:t>instituției de credit</w:t>
            </w:r>
            <w:r w:rsidRPr="009E686F">
              <w:rPr>
                <w:rFonts w:ascii="Times New Roman" w:eastAsia="Aptos" w:hAnsi="Times New Roman" w:cs="Times New Roman"/>
                <w:kern w:val="2"/>
                <w:lang w:val="ro-MD"/>
              </w:rPr>
              <w:t xml:space="preserve"> de a respecta şi de a continua să respecte cerinţele prudenţiale prevăzute în prezenta lege şi în actele normative emise în aplicarea acesteia, după caz, pe cele prevăzute de alte acte legislative aplicabile, în special, în materia supravegherii suplimentare a </w:t>
            </w:r>
            <w:r w:rsidRPr="009E686F">
              <w:rPr>
                <w:rFonts w:ascii="Times New Roman" w:eastAsia="Aptos" w:hAnsi="Times New Roman" w:cs="Times New Roman"/>
                <w:i/>
                <w:iCs/>
                <w:kern w:val="2"/>
                <w:lang w:val="ro-MD"/>
              </w:rPr>
              <w:t>instituțiilor de credit</w:t>
            </w:r>
            <w:r w:rsidRPr="009E686F">
              <w:rPr>
                <w:rFonts w:ascii="Times New Roman" w:eastAsia="Aptos" w:hAnsi="Times New Roman" w:cs="Times New Roman"/>
                <w:kern w:val="2"/>
                <w:lang w:val="ro-MD"/>
              </w:rPr>
              <w:t xml:space="preserve">, a asigurătorilor şi/sau reasigurătorilor şi a societăţilor de investiţii care fac parte dintr-un conglomerat financiar ori privind emiterea de monedă electronică, inclusiv condiţia ca grupul financiar din care va face parte să aibă o structură care să permită exercitarea unei supravegheri eficiente, realizarea schimbului eficient de </w:t>
            </w:r>
            <w:r w:rsidRPr="009E686F">
              <w:rPr>
                <w:rFonts w:ascii="Times New Roman" w:eastAsia="Aptos" w:hAnsi="Times New Roman" w:cs="Times New Roman"/>
                <w:kern w:val="2"/>
                <w:lang w:val="ro-MD"/>
              </w:rPr>
              <w:lastRenderedPageBreak/>
              <w:t>informaţii între autorităţile competente şi determinarea repartizării competenţelor dintre aceste autorităţi;</w:t>
            </w:r>
          </w:p>
        </w:tc>
        <w:tc>
          <w:tcPr>
            <w:tcW w:w="470" w:type="pct"/>
            <w:tcBorders>
              <w:top w:val="single" w:sz="4" w:space="0" w:color="auto"/>
              <w:left w:val="single" w:sz="4" w:space="0" w:color="auto"/>
              <w:bottom w:val="single" w:sz="4" w:space="0" w:color="auto"/>
              <w:right w:val="single" w:sz="4" w:space="0" w:color="auto"/>
            </w:tcBorders>
          </w:tcPr>
          <w:p w14:paraId="0EDF00C9" w14:textId="6C186E62" w:rsidR="00265766" w:rsidRPr="009E686F" w:rsidRDefault="00265766" w:rsidP="00265766">
            <w:pPr>
              <w:jc w:val="both"/>
              <w:rPr>
                <w:rFonts w:ascii="Times New Roman" w:hAnsi="Times New Roman" w:cs="Times New Roman"/>
              </w:rPr>
            </w:pPr>
            <w:r w:rsidRPr="009E686F">
              <w:rPr>
                <w:rFonts w:ascii="Times New Roman" w:hAnsi="Times New Roman" w:cs="Times New Roman"/>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6476E10E" w14:textId="74878AA6" w:rsidR="00265766" w:rsidRPr="009E686F" w:rsidRDefault="00265766" w:rsidP="00265766">
            <w:pPr>
              <w:spacing w:after="0"/>
              <w:jc w:val="both"/>
              <w:rPr>
                <w:rFonts w:ascii="Times New Roman" w:hAnsi="Times New Roman" w:cs="Times New Roman"/>
              </w:rPr>
            </w:pPr>
          </w:p>
        </w:tc>
      </w:tr>
      <w:tr w:rsidR="00265766" w:rsidRPr="009E686F" w14:paraId="43F7F41C" w14:textId="4CF2A876" w:rsidTr="00C62444">
        <w:tc>
          <w:tcPr>
            <w:tcW w:w="1890" w:type="pct"/>
            <w:vMerge w:val="restart"/>
            <w:tcBorders>
              <w:top w:val="single" w:sz="4" w:space="0" w:color="auto"/>
              <w:left w:val="single" w:sz="4" w:space="0" w:color="auto"/>
              <w:right w:val="single" w:sz="4" w:space="0" w:color="auto"/>
            </w:tcBorders>
          </w:tcPr>
          <w:p w14:paraId="48421698" w14:textId="0D5DEB1D" w:rsidR="00265766" w:rsidRPr="009E686F" w:rsidRDefault="00265766" w:rsidP="00265766">
            <w:pPr>
              <w:spacing w:after="0"/>
              <w:jc w:val="both"/>
              <w:rPr>
                <w:rFonts w:ascii="Times New Roman" w:hAnsi="Times New Roman" w:cs="Times New Roman"/>
              </w:rPr>
            </w:pPr>
            <w:r w:rsidRPr="009E686F">
              <w:rPr>
                <w:rFonts w:ascii="Times New Roman" w:hAnsi="Times New Roman" w:cs="Times New Roman"/>
              </w:rPr>
              <w:t>(e) existența unor motive rezonabile de a suspecta că, în legătură cu proiectul de achiziție, a fost sau este săvârșită o faptă sau o tentativă de spălare de bani sau de finanțare a unor acte de terorism în sensul articolului 1 din Directiva (UE) 2015/849 a Parlamentului European și a Consiliului (*) sau că proiectul de achiziție ar putea face să crească un astfel de risc.</w:t>
            </w:r>
          </w:p>
        </w:tc>
        <w:tc>
          <w:tcPr>
            <w:tcW w:w="1834" w:type="pct"/>
            <w:tcBorders>
              <w:top w:val="single" w:sz="4" w:space="0" w:color="auto"/>
              <w:left w:val="single" w:sz="4" w:space="0" w:color="auto"/>
              <w:bottom w:val="single" w:sz="4" w:space="0" w:color="auto"/>
              <w:right w:val="single" w:sz="4" w:space="0" w:color="auto"/>
            </w:tcBorders>
          </w:tcPr>
          <w:p w14:paraId="70DA8A0B" w14:textId="77777777" w:rsidR="00265766" w:rsidRPr="009E686F" w:rsidRDefault="00265766" w:rsidP="00265766">
            <w:pPr>
              <w:spacing w:after="0"/>
              <w:jc w:val="both"/>
              <w:rPr>
                <w:rFonts w:ascii="Times New Roman" w:hAnsi="Times New Roman" w:cs="Times New Roman"/>
              </w:rPr>
            </w:pPr>
            <w:r w:rsidRPr="009E686F">
              <w:rPr>
                <w:rFonts w:ascii="Times New Roman" w:eastAsia="Aptos" w:hAnsi="Times New Roman" w:cs="Times New Roman"/>
                <w:kern w:val="2"/>
                <w:lang w:val="ro-MD"/>
              </w:rPr>
              <w:t>e) existenţa unor motive rezonabile de a suspecta că, în ceea ce priveşte achiziţia propusă, este sau a fost săvîrşită o infracţiune ori o tentativă a infracţiunii de spălare a banilor sau de finanţare a actelor de terorism, în sensul prevederilor legislaţiei în domeniu, sau că, prin achiziţia propusă, un asemenea risc ar putea creşte.</w:t>
            </w:r>
          </w:p>
          <w:p w14:paraId="2EA94F69" w14:textId="6DF6436C" w:rsidR="00265766" w:rsidRPr="009E686F" w:rsidRDefault="00265766" w:rsidP="00265766">
            <w:pPr>
              <w:spacing w:after="0"/>
              <w:jc w:val="both"/>
              <w:rPr>
                <w:rFonts w:ascii="Times New Roman" w:hAnsi="Times New Roman" w:cs="Times New Roman"/>
              </w:rPr>
            </w:pPr>
          </w:p>
        </w:tc>
        <w:tc>
          <w:tcPr>
            <w:tcW w:w="470" w:type="pct"/>
            <w:tcBorders>
              <w:top w:val="single" w:sz="4" w:space="0" w:color="auto"/>
              <w:left w:val="single" w:sz="4" w:space="0" w:color="auto"/>
              <w:bottom w:val="single" w:sz="4" w:space="0" w:color="auto"/>
              <w:right w:val="single" w:sz="4" w:space="0" w:color="auto"/>
            </w:tcBorders>
          </w:tcPr>
          <w:p w14:paraId="2871FB76" w14:textId="004F9ACB" w:rsidR="00265766" w:rsidRPr="009E686F" w:rsidRDefault="00265766" w:rsidP="00265766">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30583BB9" w14:textId="1C2DE9E0" w:rsidR="00265766" w:rsidRPr="009E686F" w:rsidRDefault="00265766" w:rsidP="00265766">
            <w:pPr>
              <w:spacing w:after="0"/>
              <w:jc w:val="both"/>
              <w:rPr>
                <w:rFonts w:ascii="Times New Roman" w:hAnsi="Times New Roman" w:cs="Times New Roman"/>
              </w:rPr>
            </w:pPr>
          </w:p>
        </w:tc>
      </w:tr>
      <w:tr w:rsidR="00265766" w:rsidRPr="009E686F" w14:paraId="2ADAF1AF" w14:textId="77777777" w:rsidTr="00C62444">
        <w:tc>
          <w:tcPr>
            <w:tcW w:w="1890" w:type="pct"/>
            <w:vMerge/>
            <w:tcBorders>
              <w:left w:val="single" w:sz="4" w:space="0" w:color="auto"/>
              <w:bottom w:val="single" w:sz="4" w:space="0" w:color="auto"/>
              <w:right w:val="single" w:sz="4" w:space="0" w:color="auto"/>
            </w:tcBorders>
          </w:tcPr>
          <w:p w14:paraId="772AB58A" w14:textId="77777777" w:rsidR="00265766" w:rsidRPr="009E686F" w:rsidRDefault="00265766" w:rsidP="00265766">
            <w:pPr>
              <w:spacing w:after="0"/>
              <w:jc w:val="both"/>
              <w:rPr>
                <w:rFonts w:ascii="Times New Roman" w:hAnsi="Times New Roman" w:cs="Times New Roman"/>
              </w:rPr>
            </w:pPr>
          </w:p>
        </w:tc>
        <w:tc>
          <w:tcPr>
            <w:tcW w:w="1834" w:type="pct"/>
            <w:tcBorders>
              <w:top w:val="single" w:sz="4" w:space="0" w:color="auto"/>
              <w:left w:val="single" w:sz="4" w:space="0" w:color="auto"/>
              <w:bottom w:val="single" w:sz="4" w:space="0" w:color="auto"/>
              <w:right w:val="single" w:sz="4" w:space="0" w:color="auto"/>
            </w:tcBorders>
          </w:tcPr>
          <w:p w14:paraId="5F767D23" w14:textId="7945A1F0" w:rsidR="00265766" w:rsidRPr="009E686F" w:rsidRDefault="00265766" w:rsidP="00265766">
            <w:pPr>
              <w:spacing w:after="0"/>
              <w:jc w:val="both"/>
              <w:rPr>
                <w:rFonts w:ascii="Times New Roman" w:hAnsi="Times New Roman" w:cs="Times New Roman"/>
                <w:b/>
                <w:bCs/>
              </w:rPr>
            </w:pPr>
            <w:r w:rsidRPr="009E686F">
              <w:rPr>
                <w:rFonts w:ascii="Times New Roman" w:hAnsi="Times New Roman" w:cs="Times New Roman"/>
                <w:b/>
                <w:bCs/>
              </w:rPr>
              <w:t>Art. 45 alin. (8)</w:t>
            </w:r>
          </w:p>
          <w:p w14:paraId="5276D7D4" w14:textId="63C6DF6E" w:rsidR="00265766" w:rsidRPr="009E686F" w:rsidRDefault="00265766" w:rsidP="00265766">
            <w:pPr>
              <w:spacing w:after="0"/>
              <w:jc w:val="both"/>
              <w:rPr>
                <w:rFonts w:ascii="Times New Roman" w:hAnsi="Times New Roman" w:cs="Times New Roman"/>
                <w:lang w:val="pt-BR"/>
              </w:rPr>
            </w:pPr>
            <w:r w:rsidRPr="009E686F">
              <w:rPr>
                <w:rFonts w:ascii="Times New Roman" w:hAnsi="Times New Roman" w:cs="Times New Roman"/>
              </w:rPr>
              <w:t xml:space="preserve">(8) Persoanele rezidente în jurisdicţiile ce nu implementează standardele internaţionale de transparenţă nu pot achiziţiona/dobîndi direct sau indirect deţineri într-o bancă. </w:t>
            </w:r>
            <w:r w:rsidRPr="009E686F">
              <w:rPr>
                <w:rFonts w:ascii="Times New Roman" w:hAnsi="Times New Roman" w:cs="Times New Roman"/>
                <w:lang w:val="pt-BR"/>
              </w:rPr>
              <w:t>Lista jurisdicţiilor ce nu implementează standardele internaţionale de transparenţă este stabilită conform art.29 alin (4).</w:t>
            </w:r>
          </w:p>
          <w:p w14:paraId="3C835FAD" w14:textId="77777777" w:rsidR="00265766" w:rsidRPr="009E686F" w:rsidRDefault="00265766" w:rsidP="00265766">
            <w:pPr>
              <w:spacing w:after="0"/>
              <w:jc w:val="both"/>
              <w:rPr>
                <w:rFonts w:ascii="Times New Roman" w:eastAsia="Aptos" w:hAnsi="Times New Roman" w:cs="Times New Roman"/>
                <w:kern w:val="2"/>
                <w:lang w:val="ro-MD"/>
              </w:rPr>
            </w:pPr>
          </w:p>
        </w:tc>
        <w:tc>
          <w:tcPr>
            <w:tcW w:w="470" w:type="pct"/>
            <w:tcBorders>
              <w:top w:val="single" w:sz="4" w:space="0" w:color="auto"/>
              <w:left w:val="single" w:sz="4" w:space="0" w:color="auto"/>
              <w:bottom w:val="single" w:sz="4" w:space="0" w:color="auto"/>
              <w:right w:val="single" w:sz="4" w:space="0" w:color="auto"/>
            </w:tcBorders>
          </w:tcPr>
          <w:p w14:paraId="16FA4319" w14:textId="0DA4E5E9" w:rsidR="00265766" w:rsidRPr="009E686F" w:rsidRDefault="00265766" w:rsidP="00265766">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19ECC1FE" w14:textId="2C33FA8F" w:rsidR="00265766" w:rsidRPr="009E686F" w:rsidRDefault="00265766" w:rsidP="00265766">
            <w:pPr>
              <w:spacing w:after="0"/>
              <w:jc w:val="both"/>
              <w:rPr>
                <w:rFonts w:ascii="Times New Roman" w:hAnsi="Times New Roman" w:cs="Times New Roman"/>
              </w:rPr>
            </w:pPr>
            <w:r w:rsidRPr="009E686F">
              <w:rPr>
                <w:rFonts w:ascii="Times New Roman" w:hAnsi="Times New Roman" w:cs="Times New Roman"/>
                <w:lang w:val="ro-RO"/>
              </w:rPr>
              <w:t>Prevederile alin. (8) din art. 45 se vor exclude începând cu data aderării RM la UE, moment în care vor fi aplicabile prevederile art. 23 para. (1) lit. e) transpuse în proiectul de lege prin art. 48 alin. (1</w:t>
            </w:r>
            <w:r w:rsidRPr="009E686F">
              <w:rPr>
                <w:rFonts w:ascii="Times New Roman" w:hAnsi="Times New Roman" w:cs="Times New Roman"/>
                <w:vertAlign w:val="superscript"/>
                <w:lang w:val="ro-RO"/>
              </w:rPr>
              <w:t>1</w:t>
            </w:r>
            <w:r w:rsidRPr="009E686F">
              <w:rPr>
                <w:rFonts w:ascii="Times New Roman" w:hAnsi="Times New Roman" w:cs="Times New Roman"/>
                <w:lang w:val="ro-RO"/>
              </w:rPr>
              <w:t>).</w:t>
            </w:r>
          </w:p>
        </w:tc>
      </w:tr>
      <w:tr w:rsidR="00265766" w:rsidRPr="009E686F" w14:paraId="40127BD9" w14:textId="77777777" w:rsidTr="00960C23">
        <w:tc>
          <w:tcPr>
            <w:tcW w:w="1890" w:type="pct"/>
            <w:tcBorders>
              <w:top w:val="single" w:sz="4" w:space="0" w:color="auto"/>
              <w:left w:val="single" w:sz="4" w:space="0" w:color="auto"/>
              <w:bottom w:val="single" w:sz="4" w:space="0" w:color="auto"/>
              <w:right w:val="single" w:sz="4" w:space="0" w:color="auto"/>
            </w:tcBorders>
          </w:tcPr>
          <w:p w14:paraId="10F5305A" w14:textId="507C22BF"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În scopul evaluării criteriului prevăzut la primul paragraf litera (e) de la prezentul alineat, autoritățile competente consultă, în contextul verificărilor lor, autoritățile responsabile cu supravegherea instituțiilor de credit în conformitate cu Directiva (UE) 2015/849.</w:t>
            </w:r>
          </w:p>
          <w:p w14:paraId="6AF26AC3" w14:textId="294CB60D"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 xml:space="preserve">Autoritățile competente pot formula obiecții privind proiectul de achiziție în cazul în care potențialul achizitor este situat într-o țară terță inclusă pe lista țărilor terțe cu grad înalt de risc care au deficiențe strategice în regimurile lor privind combaterea spălării banilor și a finanțării terorismului, în conformitate cu articolul 9 din Directiva (UE) 2015/849, sau într-o țară terță care face obiectul unor măsuri restrictive ale Uniunii, iar autoritățile competente consideră că acest lucru afectează capacitatea potențialului achizitor de a dispune de practicile și </w:t>
            </w:r>
            <w:r w:rsidRPr="009E686F">
              <w:rPr>
                <w:rFonts w:ascii="Times New Roman" w:hAnsi="Times New Roman" w:cs="Times New Roman"/>
                <w:lang w:val="it-CH"/>
              </w:rPr>
              <w:lastRenderedPageBreak/>
              <w:t>procesele necesare pentru a respecta cerințele regimului privind combaterea spălării banilor și a finanțării terorismului.</w:t>
            </w:r>
          </w:p>
        </w:tc>
        <w:tc>
          <w:tcPr>
            <w:tcW w:w="1834" w:type="pct"/>
            <w:tcBorders>
              <w:top w:val="single" w:sz="4" w:space="0" w:color="auto"/>
              <w:left w:val="single" w:sz="4" w:space="0" w:color="auto"/>
              <w:bottom w:val="single" w:sz="4" w:space="0" w:color="auto"/>
              <w:right w:val="single" w:sz="4" w:space="0" w:color="auto"/>
            </w:tcBorders>
          </w:tcPr>
          <w:p w14:paraId="43B1CF55" w14:textId="0A5C9118" w:rsidR="00265766" w:rsidRPr="009E686F" w:rsidRDefault="00265766" w:rsidP="00265766">
            <w:pPr>
              <w:spacing w:after="0"/>
              <w:jc w:val="both"/>
              <w:rPr>
                <w:rFonts w:ascii="Times New Roman" w:hAnsi="Times New Roman" w:cs="Times New Roman"/>
                <w:i/>
                <w:iCs/>
                <w:lang w:val="it-CH"/>
              </w:rPr>
            </w:pPr>
            <w:r w:rsidRPr="009E686F">
              <w:rPr>
                <w:rFonts w:ascii="Times New Roman" w:eastAsia="Aptos" w:hAnsi="Times New Roman" w:cs="Times New Roman"/>
                <w:i/>
                <w:iCs/>
                <w:kern w:val="2"/>
                <w:lang w:val="ro-MD"/>
              </w:rPr>
              <w:lastRenderedPageBreak/>
              <w:t>(1</w:t>
            </w:r>
            <w:r w:rsidRPr="009E686F">
              <w:rPr>
                <w:rFonts w:ascii="Times New Roman" w:eastAsia="Aptos" w:hAnsi="Times New Roman" w:cs="Times New Roman"/>
                <w:i/>
                <w:iCs/>
                <w:kern w:val="2"/>
                <w:vertAlign w:val="superscript"/>
                <w:lang w:val="ro-MD"/>
              </w:rPr>
              <w:t>1</w:t>
            </w:r>
            <w:r w:rsidRPr="009E686F">
              <w:rPr>
                <w:rFonts w:ascii="Times New Roman" w:eastAsia="Aptos" w:hAnsi="Times New Roman" w:cs="Times New Roman"/>
                <w:i/>
                <w:iCs/>
                <w:kern w:val="2"/>
                <w:lang w:val="ro-MD"/>
              </w:rPr>
              <w:t xml:space="preserve">) </w:t>
            </w:r>
            <w:r w:rsidRPr="009E686F">
              <w:rPr>
                <w:rFonts w:ascii="Times New Roman" w:hAnsi="Times New Roman" w:cs="Times New Roman"/>
                <w:i/>
                <w:iCs/>
                <w:lang w:val="it-CH"/>
              </w:rPr>
              <w:t xml:space="preserve">În scopul evaluării criteriului prevăzut la alin. (1) lit. e), Banca Națională a Moldovei, în calitate de autoritate competentă, consultă în contextul verificărilor efectuate de aceasta, organul cu funcții de supraveghere în domeniul combaterii spălării banilor sau a combaterii finanțării terorismului în conformitate cu Legea nr. 308/2017. Banca Națională a Moldovei poate formula obiecții cu privire la achiziția propusă în cazul în care potențialul achizitor este situat într-un stat terț inclus pe lista statelor terțe cu grad înalt de risc care au deficiențe strategice în regimurile lor privind combaterea spălării banilor și a finanțării terorismului, într-un stat terț inclus în lista jurisdicțiilor necooperante în scopuri fiscale sau într-un stat terț care face obiectul unei decizii de aliniere la măsurile restrictive ale </w:t>
            </w:r>
            <w:r w:rsidRPr="009E686F">
              <w:rPr>
                <w:rFonts w:ascii="Times New Roman" w:hAnsi="Times New Roman" w:cs="Times New Roman"/>
                <w:i/>
                <w:iCs/>
                <w:lang w:val="it-CH"/>
              </w:rPr>
              <w:lastRenderedPageBreak/>
              <w:t>UE și consideră că acest lucru afectează capacitatea achizitorului potențial de a dispune de practicile și procesele necesare pentru a respecta cerințele regimului privind combaterea spălării banilor și a finanțării terorismului.”;</w:t>
            </w:r>
          </w:p>
        </w:tc>
        <w:tc>
          <w:tcPr>
            <w:tcW w:w="470" w:type="pct"/>
            <w:tcBorders>
              <w:top w:val="single" w:sz="4" w:space="0" w:color="auto"/>
              <w:left w:val="single" w:sz="4" w:space="0" w:color="auto"/>
              <w:bottom w:val="single" w:sz="4" w:space="0" w:color="auto"/>
              <w:right w:val="single" w:sz="4" w:space="0" w:color="auto"/>
            </w:tcBorders>
          </w:tcPr>
          <w:p w14:paraId="176BD0EA" w14:textId="350611B9" w:rsidR="00265766" w:rsidRPr="009E686F" w:rsidRDefault="00265766" w:rsidP="00265766">
            <w:pPr>
              <w:jc w:val="both"/>
              <w:rPr>
                <w:rFonts w:ascii="Times New Roman" w:hAnsi="Times New Roman" w:cs="Times New Roman"/>
                <w:lang w:val="ro-MD"/>
              </w:rPr>
            </w:pPr>
            <w:r w:rsidRPr="009E686F">
              <w:rPr>
                <w:rFonts w:ascii="Times New Roman" w:hAnsi="Times New Roman" w:cs="Times New Roman"/>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1E3A5D1A" w14:textId="77777777" w:rsidR="00265766" w:rsidRPr="009E686F" w:rsidRDefault="00265766" w:rsidP="00265766">
            <w:pPr>
              <w:spacing w:after="0"/>
              <w:jc w:val="both"/>
              <w:rPr>
                <w:rFonts w:ascii="Times New Roman" w:hAnsi="Times New Roman" w:cs="Times New Roman"/>
                <w:lang w:val="ro-MD"/>
              </w:rPr>
            </w:pPr>
          </w:p>
        </w:tc>
      </w:tr>
      <w:tr w:rsidR="00265766" w:rsidRPr="009E686F" w14:paraId="7A8A09A9" w14:textId="6844C72C" w:rsidTr="00960C23">
        <w:tc>
          <w:tcPr>
            <w:tcW w:w="1890" w:type="pct"/>
            <w:tcBorders>
              <w:top w:val="single" w:sz="4" w:space="0" w:color="auto"/>
              <w:left w:val="single" w:sz="4" w:space="0" w:color="auto"/>
              <w:bottom w:val="single" w:sz="4" w:space="0" w:color="auto"/>
              <w:right w:val="single" w:sz="4" w:space="0" w:color="auto"/>
            </w:tcBorders>
          </w:tcPr>
          <w:p w14:paraId="70DC14A1" w14:textId="69FD9AB9" w:rsidR="00265766" w:rsidRPr="009E686F" w:rsidRDefault="00265766" w:rsidP="00265766">
            <w:pPr>
              <w:spacing w:after="0"/>
              <w:jc w:val="both"/>
              <w:rPr>
                <w:rFonts w:ascii="Times New Roman" w:hAnsi="Times New Roman" w:cs="Times New Roman"/>
                <w:lang w:val="ro-MD"/>
              </w:rPr>
            </w:pPr>
            <w:r w:rsidRPr="009E686F">
              <w:rPr>
                <w:rFonts w:ascii="Times New Roman" w:hAnsi="Times New Roman" w:cs="Times New Roman"/>
                <w:lang w:val="ro-MD"/>
              </w:rPr>
              <w:t>(2) Autoritățile competente se pot opune proiectului de achiziție numai în cazul în care există motive rezonabile în acest sens, în conformitate cu criteriile stabilite la alineatul (1), sau în cazul în care informațiile furnizate de potențialul achizitor sunt incomplete.</w:t>
            </w:r>
          </w:p>
        </w:tc>
        <w:tc>
          <w:tcPr>
            <w:tcW w:w="1834" w:type="pct"/>
            <w:tcBorders>
              <w:top w:val="single" w:sz="4" w:space="0" w:color="auto"/>
              <w:left w:val="single" w:sz="4" w:space="0" w:color="auto"/>
              <w:bottom w:val="single" w:sz="4" w:space="0" w:color="auto"/>
              <w:right w:val="single" w:sz="4" w:space="0" w:color="auto"/>
            </w:tcBorders>
          </w:tcPr>
          <w:p w14:paraId="71FF9C0D" w14:textId="279BC998" w:rsidR="00265766" w:rsidRPr="009E686F" w:rsidRDefault="00265766" w:rsidP="00265766">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 xml:space="preserve">(3) Banca Naţională a Moldovei </w:t>
            </w:r>
            <w:r w:rsidRPr="009E686F">
              <w:rPr>
                <w:rFonts w:ascii="Times New Roman" w:hAnsi="Times New Roman" w:cs="Times New Roman"/>
                <w:i/>
                <w:iCs/>
                <w:lang w:val="it-CH"/>
              </w:rPr>
              <w:t>se poate opune achiziției propuse</w:t>
            </w:r>
            <w:r w:rsidRPr="009E686F">
              <w:rPr>
                <w:rFonts w:ascii="Times New Roman" w:hAnsi="Times New Roman" w:cs="Times New Roman"/>
                <w:lang w:val="it-CH"/>
              </w:rPr>
              <w:t xml:space="preserve"> </w:t>
            </w:r>
            <w:r w:rsidRPr="009E686F">
              <w:rPr>
                <w:rFonts w:ascii="Times New Roman" w:eastAsia="Aptos" w:hAnsi="Times New Roman" w:cs="Times New Roman"/>
                <w:kern w:val="2"/>
                <w:lang w:val="ro-MD"/>
              </w:rPr>
              <w:t xml:space="preserve"> dacă:</w:t>
            </w:r>
          </w:p>
          <w:p w14:paraId="7612A0B8" w14:textId="55055817" w:rsidR="00265766" w:rsidRPr="009E686F" w:rsidRDefault="00265766" w:rsidP="00265766">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 xml:space="preserve">a) </w:t>
            </w:r>
            <w:r w:rsidRPr="009E686F">
              <w:rPr>
                <w:rFonts w:ascii="Times New Roman" w:eastAsia="Aptos" w:hAnsi="Times New Roman" w:cs="Times New Roman"/>
                <w:i/>
                <w:iCs/>
                <w:kern w:val="2"/>
                <w:lang w:val="ro-MD"/>
              </w:rPr>
              <w:t>nu</w:t>
            </w:r>
            <w:r w:rsidRPr="009E686F">
              <w:rPr>
                <w:rFonts w:ascii="Times New Roman" w:eastAsia="Aptos" w:hAnsi="Times New Roman" w:cs="Times New Roman"/>
                <w:kern w:val="2"/>
                <w:lang w:val="ro-MD"/>
              </w:rPr>
              <w:t xml:space="preserve"> este pe deplin convinsă că calitatea achizitorului potenţial, inclusiv soliditatea financiară a acestuia în raport cu achiziţia propusă, este potrivită şi adecvată prin examinarea cumulativă a criteriilor prevăzute la alin.(1);</w:t>
            </w:r>
            <w:r w:rsidRPr="009E686F">
              <w:rPr>
                <w:rFonts w:ascii="Times New Roman" w:eastAsia="Aptos" w:hAnsi="Times New Roman" w:cs="Times New Roman"/>
                <w:color w:val="FF0000"/>
                <w:kern w:val="2"/>
                <w:lang w:val="ro-RO"/>
              </w:rPr>
              <w:t xml:space="preserve"> </w:t>
            </w:r>
          </w:p>
          <w:p w14:paraId="43ACB8BE" w14:textId="04D49B66" w:rsidR="00265766" w:rsidRPr="009E686F" w:rsidRDefault="00265766" w:rsidP="00265766">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 xml:space="preserve">b) suspectează că beneficiarul </w:t>
            </w:r>
            <w:r w:rsidRPr="009E686F">
              <w:rPr>
                <w:rFonts w:ascii="Times New Roman" w:hAnsi="Times New Roman" w:cs="Times New Roman"/>
                <w:lang w:val="ro-MD"/>
              </w:rPr>
              <w:t>real al deținerii</w:t>
            </w:r>
            <w:r w:rsidRPr="009E686F">
              <w:rPr>
                <w:rFonts w:ascii="Times New Roman" w:eastAsia="Aptos" w:hAnsi="Times New Roman" w:cs="Times New Roman"/>
                <w:kern w:val="2"/>
                <w:lang w:val="ro-MD"/>
              </w:rPr>
              <w:t xml:space="preserve">al este o altă persoană decît cea declarată acesteia în cadrul solicitării; </w:t>
            </w:r>
          </w:p>
          <w:p w14:paraId="29F9DA10" w14:textId="6B5A5126" w:rsidR="00265766" w:rsidRPr="009E686F" w:rsidRDefault="00265766" w:rsidP="00265766">
            <w:pPr>
              <w:spacing w:after="0"/>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 xml:space="preserve">c) există o stratificare excesivă a acţionariatului (de la achizitorul potenţial pînă la beneficiarul </w:t>
            </w:r>
            <w:r w:rsidRPr="009E686F">
              <w:rPr>
                <w:rFonts w:ascii="Times New Roman" w:hAnsi="Times New Roman" w:cs="Times New Roman"/>
                <w:lang w:val="ro-MD"/>
              </w:rPr>
              <w:t>real al deținerii</w:t>
            </w:r>
            <w:r w:rsidRPr="009E686F">
              <w:rPr>
                <w:rFonts w:ascii="Times New Roman" w:eastAsia="Aptos" w:hAnsi="Times New Roman" w:cs="Times New Roman"/>
                <w:kern w:val="2"/>
                <w:lang w:val="ro-MD"/>
              </w:rPr>
              <w:t>sînt mai mult de 3 niveluri);</w:t>
            </w:r>
          </w:p>
          <w:p w14:paraId="4F39BA18" w14:textId="26F8985C" w:rsidR="00265766" w:rsidRPr="009E686F" w:rsidRDefault="00265766" w:rsidP="00265766">
            <w:pPr>
              <w:spacing w:after="0"/>
              <w:jc w:val="both"/>
              <w:rPr>
                <w:rFonts w:ascii="Times New Roman" w:hAnsi="Times New Roman" w:cs="Times New Roman"/>
                <w:b/>
                <w:lang w:val="ro-MD"/>
              </w:rPr>
            </w:pPr>
            <w:r w:rsidRPr="009E686F">
              <w:rPr>
                <w:rFonts w:ascii="Times New Roman" w:eastAsia="Aptos" w:hAnsi="Times New Roman" w:cs="Times New Roman"/>
                <w:kern w:val="2"/>
                <w:lang w:val="ro-MD"/>
              </w:rPr>
              <w:t>d) informaţiile şi documentele furnizate de achizitorul potenţial sînt incomplete şi/sau  conţin date eronate.</w:t>
            </w:r>
          </w:p>
        </w:tc>
        <w:tc>
          <w:tcPr>
            <w:tcW w:w="470" w:type="pct"/>
            <w:tcBorders>
              <w:top w:val="single" w:sz="4" w:space="0" w:color="auto"/>
              <w:left w:val="single" w:sz="4" w:space="0" w:color="auto"/>
              <w:bottom w:val="single" w:sz="4" w:space="0" w:color="auto"/>
              <w:right w:val="single" w:sz="4" w:space="0" w:color="auto"/>
            </w:tcBorders>
          </w:tcPr>
          <w:p w14:paraId="27344F58" w14:textId="08F21486" w:rsidR="00265766" w:rsidRPr="009E686F" w:rsidRDefault="00265766" w:rsidP="00265766">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11662361" w14:textId="77777777" w:rsidR="00265766" w:rsidRPr="009E686F" w:rsidRDefault="00265766" w:rsidP="00265766">
            <w:pPr>
              <w:jc w:val="both"/>
              <w:rPr>
                <w:rFonts w:ascii="Times New Roman" w:hAnsi="Times New Roman" w:cs="Times New Roman"/>
                <w:lang w:val="ro-RO"/>
              </w:rPr>
            </w:pPr>
            <w:r w:rsidRPr="009E686F">
              <w:rPr>
                <w:rFonts w:ascii="Times New Roman" w:hAnsi="Times New Roman" w:cs="Times New Roman"/>
                <w:lang w:val="ro-RO"/>
              </w:rPr>
              <w:t>Lit. b) și c) din art. 48 din Legea nr. 202/2017, modificat prin proiectul de lege doar în privința mecanismului de notificare (în vigoare de la data aderării) sunt prevederi cu specific național, menținute din legea bancară actuală, dar și legea anterioară care a fost înlocuită cu legea actuală.</w:t>
            </w:r>
          </w:p>
          <w:p w14:paraId="74A50A53" w14:textId="1668040D" w:rsidR="00265766" w:rsidRPr="009E686F" w:rsidRDefault="00265766" w:rsidP="00265766">
            <w:pPr>
              <w:spacing w:after="0"/>
              <w:jc w:val="both"/>
              <w:rPr>
                <w:rFonts w:ascii="Times New Roman" w:hAnsi="Times New Roman" w:cs="Times New Roman"/>
                <w:lang w:val="ro-RO"/>
              </w:rPr>
            </w:pPr>
            <w:r w:rsidRPr="009E686F">
              <w:rPr>
                <w:rFonts w:ascii="Times New Roman" w:hAnsi="Times New Roman" w:cs="Times New Roman"/>
                <w:lang w:val="ro-RO"/>
              </w:rPr>
              <w:t xml:space="preserve">Scopul acestor dispoziții este să asigure identificarea beneficiarului efectiv al achiziției și transparența structurii acționariatului, pentru exercitarea unei supravegheri eficiente de către BNM și, respectiv, sunt compatibile cu obiectivele Directivei. Se menționează că aceste cerințe au fost introduse în cadrul legal național </w:t>
            </w:r>
            <w:r w:rsidRPr="009E686F">
              <w:rPr>
                <w:rFonts w:ascii="Times New Roman" w:hAnsi="Times New Roman" w:cs="Times New Roman"/>
                <w:lang w:val="ro-RO"/>
              </w:rPr>
              <w:lastRenderedPageBreak/>
              <w:t>urmare recomandărilor FMI, formulate în contextul vulnerabilităților identificate în trecut privind transparența și structura acționariatului unor bănci.</w:t>
            </w:r>
          </w:p>
        </w:tc>
      </w:tr>
      <w:tr w:rsidR="00265766" w:rsidRPr="009E686F" w14:paraId="2FBBAFAB" w14:textId="77777777" w:rsidTr="00960C23">
        <w:tc>
          <w:tcPr>
            <w:tcW w:w="1890" w:type="pct"/>
            <w:tcBorders>
              <w:top w:val="single" w:sz="4" w:space="0" w:color="auto"/>
              <w:left w:val="single" w:sz="4" w:space="0" w:color="auto"/>
              <w:bottom w:val="single" w:sz="4" w:space="0" w:color="auto"/>
              <w:right w:val="single" w:sz="4" w:space="0" w:color="auto"/>
            </w:tcBorders>
          </w:tcPr>
          <w:p w14:paraId="4737E204" w14:textId="56AA1E5C"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lastRenderedPageBreak/>
              <w:t>În scopul prezentului alineat și în ceea ce privește criteriul prevăzut la alineatul (1) litera (e) de la prezentul articol, un aviz negativ emis de autoritățile responsabile cu supravegherea instituțiilor de credit în conformitate cu Directiva (UE) 2015/849, primit de autoritățile competente în termen de 30 de zile lucrătoare de la cererea inițială, este luat în considerare în mod corespunzător de către autoritățile competente atunci când evaluează proiectul de achiziție și poate constitui un motiv rezonabil de opoziție.</w:t>
            </w:r>
          </w:p>
        </w:tc>
        <w:tc>
          <w:tcPr>
            <w:tcW w:w="1834" w:type="pct"/>
            <w:tcBorders>
              <w:top w:val="single" w:sz="4" w:space="0" w:color="auto"/>
              <w:left w:val="single" w:sz="4" w:space="0" w:color="auto"/>
              <w:bottom w:val="single" w:sz="4" w:space="0" w:color="auto"/>
              <w:right w:val="single" w:sz="4" w:space="0" w:color="auto"/>
            </w:tcBorders>
          </w:tcPr>
          <w:p w14:paraId="3B2303C3" w14:textId="1A964888" w:rsidR="00265766" w:rsidRPr="009E686F" w:rsidRDefault="00265766" w:rsidP="00265766">
            <w:pPr>
              <w:spacing w:after="0"/>
              <w:jc w:val="both"/>
              <w:rPr>
                <w:rFonts w:ascii="Times New Roman" w:hAnsi="Times New Roman" w:cs="Times New Roman"/>
                <w:i/>
                <w:iCs/>
                <w:lang w:val="it-CH"/>
              </w:rPr>
            </w:pPr>
            <w:r w:rsidRPr="009E686F">
              <w:rPr>
                <w:rFonts w:ascii="Times New Roman" w:eastAsia="Aptos" w:hAnsi="Times New Roman" w:cs="Times New Roman"/>
                <w:i/>
                <w:iCs/>
                <w:kern w:val="2"/>
                <w:lang w:val="ro-MD"/>
              </w:rPr>
              <w:t>(3</w:t>
            </w:r>
            <w:r w:rsidRPr="009E686F">
              <w:rPr>
                <w:rFonts w:ascii="Times New Roman" w:eastAsia="Aptos" w:hAnsi="Times New Roman" w:cs="Times New Roman"/>
                <w:i/>
                <w:iCs/>
                <w:kern w:val="2"/>
                <w:vertAlign w:val="superscript"/>
                <w:lang w:val="ro-MD"/>
              </w:rPr>
              <w:t>1</w:t>
            </w:r>
            <w:r w:rsidRPr="009E686F">
              <w:rPr>
                <w:rFonts w:ascii="Times New Roman" w:eastAsia="Aptos" w:hAnsi="Times New Roman" w:cs="Times New Roman"/>
                <w:i/>
                <w:iCs/>
                <w:kern w:val="2"/>
                <w:lang w:val="ro-MD"/>
              </w:rPr>
              <w:t xml:space="preserve">) </w:t>
            </w:r>
            <w:r w:rsidRPr="009E686F">
              <w:rPr>
                <w:rFonts w:ascii="Times New Roman" w:hAnsi="Times New Roman" w:cs="Times New Roman"/>
                <w:i/>
                <w:iCs/>
                <w:lang w:val="it-CH"/>
              </w:rPr>
              <w:t>) În scopul alin. (3) și în ceea ce privește criteriul prevăzut la alin. (1) lit. e), luând în considerare prevederile alin. (1</w:t>
            </w:r>
            <w:r w:rsidRPr="009E686F">
              <w:rPr>
                <w:rFonts w:ascii="Times New Roman" w:hAnsi="Times New Roman" w:cs="Times New Roman"/>
                <w:i/>
                <w:iCs/>
                <w:vertAlign w:val="superscript"/>
                <w:lang w:val="it-CH"/>
              </w:rPr>
              <w:t>1</w:t>
            </w:r>
            <w:r w:rsidRPr="009E686F">
              <w:rPr>
                <w:rFonts w:ascii="Times New Roman" w:hAnsi="Times New Roman" w:cs="Times New Roman"/>
                <w:i/>
                <w:iCs/>
                <w:lang w:val="it-CH"/>
              </w:rPr>
              <w:t>), la evaluarea adecvării achizitorului potenţial, Banca Națională a Moldovei va avea în vedere în mod corespunzător avizul negativ din partea organul cu funcții de supraveghere în domeniul combaterii spălării banilor sau a combaterii finanțării terorismului în conformitate cu Legea nr. 308/2017, recepționat în termen de 30 de zile lucrătoare de la cererea inițială, acesta putând constitui un motiv rezonabil de opoziție.</w:t>
            </w:r>
          </w:p>
        </w:tc>
        <w:tc>
          <w:tcPr>
            <w:tcW w:w="470" w:type="pct"/>
            <w:tcBorders>
              <w:top w:val="single" w:sz="4" w:space="0" w:color="auto"/>
              <w:left w:val="single" w:sz="4" w:space="0" w:color="auto"/>
              <w:bottom w:val="single" w:sz="4" w:space="0" w:color="auto"/>
              <w:right w:val="single" w:sz="4" w:space="0" w:color="auto"/>
            </w:tcBorders>
          </w:tcPr>
          <w:p w14:paraId="49543119" w14:textId="77777777" w:rsidR="00265766" w:rsidRPr="009E686F" w:rsidRDefault="00265766" w:rsidP="00265766">
            <w:pPr>
              <w:jc w:val="both"/>
              <w:rPr>
                <w:rFonts w:ascii="Times New Roman" w:hAnsi="Times New Roman" w:cs="Times New Roman"/>
                <w:lang w:val="ro-MD"/>
              </w:rPr>
            </w:pPr>
          </w:p>
        </w:tc>
        <w:tc>
          <w:tcPr>
            <w:tcW w:w="806" w:type="pct"/>
            <w:tcBorders>
              <w:top w:val="single" w:sz="4" w:space="0" w:color="auto"/>
              <w:left w:val="single" w:sz="4" w:space="0" w:color="auto"/>
              <w:bottom w:val="single" w:sz="4" w:space="0" w:color="auto"/>
              <w:right w:val="single" w:sz="4" w:space="0" w:color="auto"/>
            </w:tcBorders>
          </w:tcPr>
          <w:p w14:paraId="3DEC5D14" w14:textId="77777777" w:rsidR="00265766" w:rsidRPr="009E686F" w:rsidRDefault="00265766" w:rsidP="00265766">
            <w:pPr>
              <w:spacing w:after="0"/>
              <w:jc w:val="both"/>
              <w:rPr>
                <w:rFonts w:ascii="Times New Roman" w:hAnsi="Times New Roman" w:cs="Times New Roman"/>
                <w:lang w:val="ro-MD"/>
              </w:rPr>
            </w:pPr>
          </w:p>
        </w:tc>
      </w:tr>
      <w:tr w:rsidR="00265766" w:rsidRPr="009E686F" w14:paraId="45AF7F25" w14:textId="72F9104B" w:rsidTr="00960C23">
        <w:tc>
          <w:tcPr>
            <w:tcW w:w="1890" w:type="pct"/>
            <w:tcBorders>
              <w:top w:val="single" w:sz="4" w:space="0" w:color="auto"/>
              <w:left w:val="single" w:sz="4" w:space="0" w:color="auto"/>
              <w:bottom w:val="single" w:sz="4" w:space="0" w:color="auto"/>
              <w:right w:val="single" w:sz="4" w:space="0" w:color="auto"/>
            </w:tcBorders>
          </w:tcPr>
          <w:p w14:paraId="7CCA09F3" w14:textId="268F5B5D" w:rsidR="00265766" w:rsidRPr="009E686F" w:rsidRDefault="00265766" w:rsidP="00265766">
            <w:pPr>
              <w:spacing w:after="0"/>
              <w:jc w:val="both"/>
              <w:rPr>
                <w:rFonts w:ascii="Times New Roman" w:hAnsi="Times New Roman" w:cs="Times New Roman"/>
                <w:lang w:val="ro-MD"/>
              </w:rPr>
            </w:pPr>
            <w:r w:rsidRPr="009E686F">
              <w:rPr>
                <w:rFonts w:ascii="Times New Roman" w:hAnsi="Times New Roman" w:cs="Times New Roman"/>
                <w:lang w:val="ro-MD"/>
              </w:rPr>
              <w:t>(3) Statele membre nu impun condiții prealabile în ceea ce privește nivelul participației care trebuie să fie achiziționată și nici nu permit autorităților lor competente să examineze proiectul de achiziție din punctul de vedere al nevoilor economice ale pieței.</w:t>
            </w:r>
          </w:p>
        </w:tc>
        <w:tc>
          <w:tcPr>
            <w:tcW w:w="1834" w:type="pct"/>
            <w:tcBorders>
              <w:top w:val="single" w:sz="4" w:space="0" w:color="auto"/>
              <w:left w:val="single" w:sz="4" w:space="0" w:color="auto"/>
              <w:bottom w:val="single" w:sz="4" w:space="0" w:color="auto"/>
              <w:right w:val="single" w:sz="4" w:space="0" w:color="auto"/>
            </w:tcBorders>
          </w:tcPr>
          <w:p w14:paraId="2A010B6F" w14:textId="77777777" w:rsidR="00265766" w:rsidRPr="009E686F" w:rsidRDefault="00265766" w:rsidP="00265766">
            <w:pPr>
              <w:spacing w:after="0"/>
              <w:jc w:val="both"/>
              <w:rPr>
                <w:rFonts w:ascii="Times New Roman" w:hAnsi="Times New Roman" w:cs="Times New Roman"/>
                <w:lang w:val="ro-MD"/>
              </w:rPr>
            </w:pPr>
            <w:r w:rsidRPr="009E686F">
              <w:rPr>
                <w:rFonts w:ascii="Times New Roman" w:hAnsi="Times New Roman" w:cs="Times New Roman"/>
                <w:lang w:val="ro-MD"/>
              </w:rPr>
              <w:t>(4) Banca Națională a Moldovei nu poate impune nicio condiție prealabilă privind nivelul deținerii care trebuie să fie achiziționată şi nici nu poate evalua achiziția propusă din punctul de vedere al necesităților economice ale pieței.</w:t>
            </w:r>
          </w:p>
        </w:tc>
        <w:tc>
          <w:tcPr>
            <w:tcW w:w="470" w:type="pct"/>
            <w:tcBorders>
              <w:top w:val="single" w:sz="4" w:space="0" w:color="auto"/>
              <w:left w:val="single" w:sz="4" w:space="0" w:color="auto"/>
              <w:bottom w:val="single" w:sz="4" w:space="0" w:color="auto"/>
              <w:right w:val="single" w:sz="4" w:space="0" w:color="auto"/>
            </w:tcBorders>
          </w:tcPr>
          <w:p w14:paraId="2850A364" w14:textId="4A0A03B1" w:rsidR="00265766" w:rsidRPr="009E686F" w:rsidRDefault="00265766" w:rsidP="00265766">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05205D7F" w14:textId="1CD4BC83" w:rsidR="00265766" w:rsidRPr="009E686F" w:rsidRDefault="00265766" w:rsidP="00265766">
            <w:pPr>
              <w:spacing w:after="0"/>
              <w:jc w:val="both"/>
              <w:rPr>
                <w:rFonts w:ascii="Times New Roman" w:hAnsi="Times New Roman" w:cs="Times New Roman"/>
              </w:rPr>
            </w:pPr>
          </w:p>
        </w:tc>
      </w:tr>
      <w:tr w:rsidR="00265766" w:rsidRPr="009E686F" w14:paraId="455BBEAC" w14:textId="2254E6BB" w:rsidTr="00960C23">
        <w:tc>
          <w:tcPr>
            <w:tcW w:w="1890" w:type="pct"/>
            <w:tcBorders>
              <w:top w:val="single" w:sz="4" w:space="0" w:color="auto"/>
              <w:left w:val="single" w:sz="4" w:space="0" w:color="auto"/>
              <w:bottom w:val="single" w:sz="4" w:space="0" w:color="auto"/>
              <w:right w:val="single" w:sz="4" w:space="0" w:color="auto"/>
            </w:tcBorders>
          </w:tcPr>
          <w:p w14:paraId="593D53F0" w14:textId="45EF3C79"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(4) Statele membre publică o listă cu informațiile necesare pentru a realiza evaluarea și care trebuie furnizate autorităților competente în momentul notificării prevăzute la articolul 22 alineatul (1). Informațiile solicitate sunt proporționale cu și adaptate naturii potențialului achizitor și proiectului de achiziție. Statele membre nu cer informații care nu prezintă relevanță pentru o evaluare prudențială.</w:t>
            </w:r>
          </w:p>
        </w:tc>
        <w:tc>
          <w:tcPr>
            <w:tcW w:w="1834" w:type="pct"/>
            <w:tcBorders>
              <w:top w:val="single" w:sz="4" w:space="0" w:color="auto"/>
              <w:left w:val="single" w:sz="4" w:space="0" w:color="auto"/>
              <w:bottom w:val="single" w:sz="4" w:space="0" w:color="auto"/>
              <w:right w:val="single" w:sz="4" w:space="0" w:color="auto"/>
            </w:tcBorders>
          </w:tcPr>
          <w:p w14:paraId="2B4D756F" w14:textId="77777777" w:rsidR="00265766" w:rsidRPr="009E686F" w:rsidRDefault="00265766" w:rsidP="00265766">
            <w:pPr>
              <w:spacing w:after="0"/>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(5) Criteriile şi condiţiile prevăzute la alin.(1), (2) şi (3), elementele care se au în vedere la evaluarea îndeplinirii acestora, lista de informaţii şi documente pentru realizarea evaluării se detaliază prin actele normative ale Băncii Naţionale a Moldovei.</w:t>
            </w:r>
          </w:p>
          <w:p w14:paraId="04691C00" w14:textId="0D461797" w:rsidR="00265766" w:rsidRPr="009E686F" w:rsidRDefault="00265766" w:rsidP="00265766">
            <w:pPr>
              <w:spacing w:after="0"/>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 xml:space="preserve"> Informaţiile şi documentele solicitate sînt proporţionale şi adaptate naturii achizitorului potenţial/dobînditorului şi achiziţiei propuse/dobîndirii. Banca Naţională a Moldovei nu </w:t>
            </w:r>
            <w:r w:rsidRPr="009E686F">
              <w:rPr>
                <w:rFonts w:ascii="Times New Roman" w:eastAsia="Aptos" w:hAnsi="Times New Roman" w:cs="Times New Roman"/>
                <w:kern w:val="2"/>
                <w:lang w:val="ro-MD"/>
              </w:rPr>
              <w:lastRenderedPageBreak/>
              <w:t>solicită informaţii care nu prezintă relevanţă din perspectiva unei evaluări prudenţiale.</w:t>
            </w:r>
          </w:p>
        </w:tc>
        <w:tc>
          <w:tcPr>
            <w:tcW w:w="470" w:type="pct"/>
            <w:tcBorders>
              <w:top w:val="single" w:sz="4" w:space="0" w:color="auto"/>
              <w:left w:val="single" w:sz="4" w:space="0" w:color="auto"/>
              <w:bottom w:val="single" w:sz="4" w:space="0" w:color="auto"/>
              <w:right w:val="single" w:sz="4" w:space="0" w:color="auto"/>
            </w:tcBorders>
          </w:tcPr>
          <w:p w14:paraId="5F4262D5" w14:textId="7D3C6931" w:rsidR="00265766" w:rsidRPr="009E686F" w:rsidRDefault="00265766" w:rsidP="00265766">
            <w:pPr>
              <w:jc w:val="both"/>
              <w:rPr>
                <w:rFonts w:ascii="Times New Roman" w:hAnsi="Times New Roman" w:cs="Times New Roman"/>
              </w:rPr>
            </w:pPr>
            <w:r w:rsidRPr="009E686F">
              <w:rPr>
                <w:rFonts w:ascii="Times New Roman" w:hAnsi="Times New Roman" w:cs="Times New Roman"/>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4F63DE80" w14:textId="3898F6D7" w:rsidR="00265766" w:rsidRPr="009E686F" w:rsidRDefault="00265766" w:rsidP="00265766">
            <w:pPr>
              <w:spacing w:after="0"/>
              <w:jc w:val="both"/>
              <w:rPr>
                <w:rFonts w:ascii="Times New Roman" w:hAnsi="Times New Roman" w:cs="Times New Roman"/>
              </w:rPr>
            </w:pPr>
          </w:p>
        </w:tc>
      </w:tr>
      <w:tr w:rsidR="00265766" w:rsidRPr="009E686F" w14:paraId="2998B09E" w14:textId="4377DA6D" w:rsidTr="00960C23">
        <w:tc>
          <w:tcPr>
            <w:tcW w:w="1890" w:type="pct"/>
            <w:tcBorders>
              <w:top w:val="single" w:sz="4" w:space="0" w:color="auto"/>
              <w:left w:val="single" w:sz="4" w:space="0" w:color="auto"/>
              <w:bottom w:val="single" w:sz="4" w:space="0" w:color="auto"/>
              <w:right w:val="single" w:sz="4" w:space="0" w:color="auto"/>
            </w:tcBorders>
          </w:tcPr>
          <w:p w14:paraId="2865D659" w14:textId="10B3D775"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(5) Fără a aduce atingere articolului 22 alineatele (2), (3) și (4), în cazul în care autoritatea competentă este notificată în legătură cu două sau mai multe proiecte de achiziție sau majorare de participații calificate pentru aceeași instituție de credit, autoritatea competentă tratează potențialii achizitori în mod nediscriminatoriu.</w:t>
            </w:r>
          </w:p>
        </w:tc>
        <w:tc>
          <w:tcPr>
            <w:tcW w:w="1834" w:type="pct"/>
            <w:tcBorders>
              <w:top w:val="single" w:sz="4" w:space="0" w:color="auto"/>
              <w:left w:val="single" w:sz="4" w:space="0" w:color="auto"/>
              <w:bottom w:val="single" w:sz="4" w:space="0" w:color="auto"/>
              <w:right w:val="single" w:sz="4" w:space="0" w:color="auto"/>
            </w:tcBorders>
          </w:tcPr>
          <w:p w14:paraId="66ACEB09" w14:textId="3A281F1C" w:rsidR="00265766" w:rsidRPr="009E686F" w:rsidRDefault="00265766" w:rsidP="00265766">
            <w:pPr>
              <w:spacing w:after="0"/>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 xml:space="preserve">(7) Fără a aduce atingere prevederilor art.47 alin.(3)–(6), în cazul în care Banca Naţională a Moldovei este notificată în legătură cu două sau mai multe achiziţii propuse ale unor deţineri calificate sau de majorare a unor astfel de deţineri în aceeaşi </w:t>
            </w:r>
            <w:r w:rsidRPr="009E686F">
              <w:rPr>
                <w:rFonts w:ascii="Times New Roman" w:eastAsia="Aptos" w:hAnsi="Times New Roman" w:cs="Times New Roman"/>
                <w:i/>
                <w:iCs/>
                <w:kern w:val="2"/>
                <w:lang w:val="ro-MD"/>
              </w:rPr>
              <w:t>instituția de credit</w:t>
            </w:r>
            <w:r w:rsidRPr="009E686F">
              <w:rPr>
                <w:rFonts w:ascii="Times New Roman" w:eastAsia="Aptos" w:hAnsi="Times New Roman" w:cs="Times New Roman"/>
                <w:kern w:val="2"/>
                <w:lang w:val="ro-MD"/>
              </w:rPr>
              <w:t>, aceasta asigură tratament nediscriminatoriu tuturor achizitorilor potenţiali.</w:t>
            </w:r>
          </w:p>
        </w:tc>
        <w:tc>
          <w:tcPr>
            <w:tcW w:w="470" w:type="pct"/>
            <w:tcBorders>
              <w:top w:val="single" w:sz="4" w:space="0" w:color="auto"/>
              <w:left w:val="single" w:sz="4" w:space="0" w:color="auto"/>
              <w:bottom w:val="single" w:sz="4" w:space="0" w:color="auto"/>
              <w:right w:val="single" w:sz="4" w:space="0" w:color="auto"/>
            </w:tcBorders>
          </w:tcPr>
          <w:p w14:paraId="0B0FB905" w14:textId="119C6DCC" w:rsidR="00265766" w:rsidRPr="009E686F" w:rsidRDefault="00265766" w:rsidP="00265766">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12C1A30C" w14:textId="10D65F39" w:rsidR="00265766" w:rsidRPr="009E686F" w:rsidRDefault="00265766" w:rsidP="00265766">
            <w:pPr>
              <w:spacing w:after="0"/>
              <w:jc w:val="both"/>
              <w:rPr>
                <w:rFonts w:ascii="Times New Roman" w:hAnsi="Times New Roman" w:cs="Times New Roman"/>
              </w:rPr>
            </w:pPr>
          </w:p>
        </w:tc>
      </w:tr>
      <w:tr w:rsidR="00265766" w:rsidRPr="009E686F" w14:paraId="3BED2F85" w14:textId="77777777" w:rsidTr="00960C23">
        <w:tc>
          <w:tcPr>
            <w:tcW w:w="1890" w:type="pct"/>
            <w:tcBorders>
              <w:top w:val="single" w:sz="4" w:space="0" w:color="auto"/>
              <w:left w:val="single" w:sz="4" w:space="0" w:color="auto"/>
              <w:bottom w:val="single" w:sz="4" w:space="0" w:color="auto"/>
              <w:right w:val="single" w:sz="4" w:space="0" w:color="auto"/>
            </w:tcBorders>
          </w:tcPr>
          <w:p w14:paraId="5D023286" w14:textId="4ED5EECE"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(6) ABE elaborează proiecte de standarde tehnice de reglementare pentru a specifica lista informațiilor minime care trebuie furnizate autorității competente de către potențialul achizitor în momentul notificării menționate la articolul 22 alineatul (1).</w:t>
            </w:r>
          </w:p>
        </w:tc>
        <w:tc>
          <w:tcPr>
            <w:tcW w:w="1834" w:type="pct"/>
            <w:tcBorders>
              <w:top w:val="single" w:sz="4" w:space="0" w:color="auto"/>
              <w:left w:val="single" w:sz="4" w:space="0" w:color="auto"/>
              <w:bottom w:val="single" w:sz="4" w:space="0" w:color="auto"/>
              <w:right w:val="single" w:sz="4" w:space="0" w:color="auto"/>
            </w:tcBorders>
          </w:tcPr>
          <w:p w14:paraId="4C9B7D29" w14:textId="77777777" w:rsidR="00265766" w:rsidRPr="009E686F" w:rsidRDefault="00265766" w:rsidP="00265766">
            <w:pPr>
              <w:spacing w:after="0"/>
              <w:jc w:val="both"/>
              <w:rPr>
                <w:rFonts w:ascii="Times New Roman" w:hAnsi="Times New Roman" w:cs="Times New Roman"/>
                <w:lang w:val="it-CH"/>
              </w:rPr>
            </w:pPr>
          </w:p>
        </w:tc>
        <w:tc>
          <w:tcPr>
            <w:tcW w:w="470" w:type="pct"/>
            <w:tcBorders>
              <w:top w:val="single" w:sz="4" w:space="0" w:color="auto"/>
              <w:left w:val="single" w:sz="4" w:space="0" w:color="auto"/>
              <w:bottom w:val="single" w:sz="4" w:space="0" w:color="auto"/>
              <w:right w:val="single" w:sz="4" w:space="0" w:color="auto"/>
            </w:tcBorders>
          </w:tcPr>
          <w:p w14:paraId="041D72AD" w14:textId="18B17889" w:rsidR="00265766" w:rsidRPr="009E686F" w:rsidRDefault="00265766" w:rsidP="00265766">
            <w:pPr>
              <w:jc w:val="both"/>
              <w:rPr>
                <w:rFonts w:ascii="Times New Roman" w:hAnsi="Times New Roman" w:cs="Times New Roman"/>
                <w:lang w:val="it-CH"/>
              </w:rPr>
            </w:pPr>
            <w:r w:rsidRPr="009E686F">
              <w:rPr>
                <w:rFonts w:ascii="Times New Roman" w:hAnsi="Times New Roman" w:cs="Times New Roman"/>
                <w:lang w:val="it-CH"/>
              </w:rPr>
              <w:t>Norme UE neaplicabile</w:t>
            </w:r>
          </w:p>
        </w:tc>
        <w:tc>
          <w:tcPr>
            <w:tcW w:w="806" w:type="pct"/>
            <w:tcBorders>
              <w:top w:val="single" w:sz="4" w:space="0" w:color="auto"/>
              <w:left w:val="single" w:sz="4" w:space="0" w:color="auto"/>
              <w:bottom w:val="single" w:sz="4" w:space="0" w:color="auto"/>
              <w:right w:val="single" w:sz="4" w:space="0" w:color="auto"/>
            </w:tcBorders>
          </w:tcPr>
          <w:p w14:paraId="78C51616" w14:textId="3238272A"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Se referă la competențele ABE.</w:t>
            </w:r>
          </w:p>
        </w:tc>
      </w:tr>
      <w:tr w:rsidR="00265766" w:rsidRPr="009E686F" w14:paraId="382CF4C6" w14:textId="77777777" w:rsidTr="00960C23">
        <w:tc>
          <w:tcPr>
            <w:tcW w:w="1890" w:type="pct"/>
            <w:tcBorders>
              <w:top w:val="single" w:sz="4" w:space="0" w:color="auto"/>
              <w:left w:val="single" w:sz="4" w:space="0" w:color="auto"/>
              <w:bottom w:val="single" w:sz="4" w:space="0" w:color="auto"/>
              <w:right w:val="single" w:sz="4" w:space="0" w:color="auto"/>
            </w:tcBorders>
          </w:tcPr>
          <w:p w14:paraId="2AAAF351" w14:textId="77777777"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În scopul primului paragraf, ABE ia în considerare titlul II din Directiva (UE) 2017/1132 a Parlamentului European și a Consiliului (*).</w:t>
            </w:r>
          </w:p>
          <w:p w14:paraId="1F36660E" w14:textId="77777777"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ABE înaintează Comisiei aceste proiecte de standarde tehnice de reglementare până la 10 ianuarie 2026.</w:t>
            </w:r>
          </w:p>
          <w:p w14:paraId="06B2D227" w14:textId="04F5E7D4"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Comisiei îi este delegată competența de a completa prezenta directivă prin adoptarea standardelor tehnice de reglementare menționate la primul paragraf de la prezentul alineat în conformitate cu articolele 10-14 din Regulamentul (UE) nr. 1093/2010.</w:t>
            </w:r>
          </w:p>
        </w:tc>
        <w:tc>
          <w:tcPr>
            <w:tcW w:w="1834" w:type="pct"/>
            <w:tcBorders>
              <w:top w:val="single" w:sz="4" w:space="0" w:color="auto"/>
              <w:left w:val="single" w:sz="4" w:space="0" w:color="auto"/>
              <w:bottom w:val="single" w:sz="4" w:space="0" w:color="auto"/>
              <w:right w:val="single" w:sz="4" w:space="0" w:color="auto"/>
            </w:tcBorders>
          </w:tcPr>
          <w:p w14:paraId="26F7CC7C" w14:textId="77777777" w:rsidR="00265766" w:rsidRPr="009E686F" w:rsidRDefault="00265766" w:rsidP="00265766">
            <w:pPr>
              <w:spacing w:after="0"/>
              <w:jc w:val="both"/>
              <w:rPr>
                <w:rFonts w:ascii="Times New Roman" w:hAnsi="Times New Roman" w:cs="Times New Roman"/>
                <w:lang w:val="it-CH"/>
              </w:rPr>
            </w:pPr>
          </w:p>
        </w:tc>
        <w:tc>
          <w:tcPr>
            <w:tcW w:w="470" w:type="pct"/>
            <w:tcBorders>
              <w:top w:val="single" w:sz="4" w:space="0" w:color="auto"/>
              <w:left w:val="single" w:sz="4" w:space="0" w:color="auto"/>
              <w:bottom w:val="single" w:sz="4" w:space="0" w:color="auto"/>
              <w:right w:val="single" w:sz="4" w:space="0" w:color="auto"/>
            </w:tcBorders>
          </w:tcPr>
          <w:p w14:paraId="0B6C8652" w14:textId="06DCF768" w:rsidR="00265766" w:rsidRPr="009E686F" w:rsidRDefault="00265766" w:rsidP="00265766">
            <w:pPr>
              <w:jc w:val="both"/>
              <w:rPr>
                <w:rFonts w:ascii="Times New Roman" w:hAnsi="Times New Roman" w:cs="Times New Roman"/>
                <w:lang w:val="it-CH"/>
              </w:rPr>
            </w:pPr>
            <w:r w:rsidRPr="009E686F">
              <w:rPr>
                <w:rFonts w:ascii="Times New Roman" w:hAnsi="Times New Roman" w:cs="Times New Roman"/>
                <w:lang w:val="it-CH"/>
              </w:rPr>
              <w:t>Norme UE neaplicabile</w:t>
            </w:r>
          </w:p>
        </w:tc>
        <w:tc>
          <w:tcPr>
            <w:tcW w:w="806" w:type="pct"/>
            <w:tcBorders>
              <w:top w:val="single" w:sz="4" w:space="0" w:color="auto"/>
              <w:left w:val="single" w:sz="4" w:space="0" w:color="auto"/>
              <w:bottom w:val="single" w:sz="4" w:space="0" w:color="auto"/>
              <w:right w:val="single" w:sz="4" w:space="0" w:color="auto"/>
            </w:tcBorders>
          </w:tcPr>
          <w:p w14:paraId="5D69A006" w14:textId="55867A93"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Se referă la competențele ABE și ale Comisiei Europene.</w:t>
            </w:r>
          </w:p>
        </w:tc>
      </w:tr>
      <w:tr w:rsidR="00265766" w:rsidRPr="009E686F" w14:paraId="6DBE7652" w14:textId="6345484D" w:rsidTr="00960C23">
        <w:tc>
          <w:tcPr>
            <w:tcW w:w="1890" w:type="pct"/>
            <w:tcBorders>
              <w:top w:val="single" w:sz="4" w:space="0" w:color="auto"/>
              <w:left w:val="single" w:sz="4" w:space="0" w:color="auto"/>
              <w:bottom w:val="single" w:sz="4" w:space="0" w:color="auto"/>
              <w:right w:val="single" w:sz="4" w:space="0" w:color="auto"/>
            </w:tcBorders>
          </w:tcPr>
          <w:p w14:paraId="7C6603D4" w14:textId="77777777" w:rsidR="00265766" w:rsidRPr="009E686F" w:rsidRDefault="00265766" w:rsidP="00265766">
            <w:pPr>
              <w:spacing w:after="0"/>
              <w:jc w:val="both"/>
              <w:rPr>
                <w:rFonts w:ascii="Times New Roman" w:hAnsi="Times New Roman" w:cs="Times New Roman"/>
                <w:i/>
                <w:iCs/>
                <w:lang w:val="it-IT"/>
              </w:rPr>
            </w:pPr>
            <w:r w:rsidRPr="009E686F">
              <w:rPr>
                <w:rFonts w:ascii="Times New Roman" w:hAnsi="Times New Roman" w:cs="Times New Roman"/>
                <w:i/>
                <w:iCs/>
                <w:lang w:val="it-IT"/>
              </w:rPr>
              <w:t xml:space="preserve">Articolul 24 </w:t>
            </w:r>
          </w:p>
          <w:p w14:paraId="148DC3FA" w14:textId="5BB2FB78" w:rsidR="00265766" w:rsidRPr="009E686F" w:rsidRDefault="00265766" w:rsidP="00265766">
            <w:pPr>
              <w:spacing w:after="0"/>
              <w:jc w:val="both"/>
              <w:rPr>
                <w:rFonts w:ascii="Times New Roman" w:hAnsi="Times New Roman" w:cs="Times New Roman"/>
                <w:lang w:val="it-IT"/>
              </w:rPr>
            </w:pPr>
            <w:r w:rsidRPr="009E686F">
              <w:rPr>
                <w:rFonts w:ascii="Times New Roman" w:hAnsi="Times New Roman" w:cs="Times New Roman"/>
                <w:lang w:val="it-IT"/>
              </w:rPr>
              <w:t>Cooperarea dintre autoritățile competente</w:t>
            </w:r>
          </w:p>
        </w:tc>
        <w:tc>
          <w:tcPr>
            <w:tcW w:w="1834" w:type="pct"/>
            <w:tcBorders>
              <w:top w:val="single" w:sz="4" w:space="0" w:color="auto"/>
              <w:left w:val="single" w:sz="4" w:space="0" w:color="auto"/>
              <w:bottom w:val="single" w:sz="4" w:space="0" w:color="auto"/>
              <w:right w:val="single" w:sz="4" w:space="0" w:color="auto"/>
            </w:tcBorders>
          </w:tcPr>
          <w:p w14:paraId="372BD9C8" w14:textId="76BCD943" w:rsidR="00265766" w:rsidRPr="009E686F" w:rsidRDefault="00265766" w:rsidP="00265766">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b/>
                <w:bCs/>
                <w:kern w:val="2"/>
                <w:lang w:val="ro-MD"/>
              </w:rPr>
              <w:t>Articolul 49.</w:t>
            </w:r>
            <w:r w:rsidRPr="009E686F">
              <w:rPr>
                <w:rFonts w:ascii="Times New Roman" w:eastAsia="Aptos" w:hAnsi="Times New Roman" w:cs="Times New Roman"/>
                <w:kern w:val="2"/>
                <w:lang w:val="ro-MD"/>
              </w:rPr>
              <w:t xml:space="preserve"> Colaborarea cu alte autorităţi competente în cadrul evaluării achizitorului potenţial/</w:t>
            </w:r>
            <w:r w:rsidRPr="009E686F">
              <w:rPr>
                <w:rFonts w:ascii="Times New Roman" w:eastAsia="Aptos" w:hAnsi="Times New Roman" w:cs="Times New Roman"/>
                <w:i/>
                <w:iCs/>
                <w:kern w:val="2"/>
                <w:lang w:val="ro-MD"/>
              </w:rPr>
              <w:t>dobânditorului</w:t>
            </w:r>
          </w:p>
        </w:tc>
        <w:tc>
          <w:tcPr>
            <w:tcW w:w="470" w:type="pct"/>
            <w:tcBorders>
              <w:top w:val="single" w:sz="4" w:space="0" w:color="auto"/>
              <w:left w:val="single" w:sz="4" w:space="0" w:color="auto"/>
              <w:bottom w:val="single" w:sz="4" w:space="0" w:color="auto"/>
              <w:right w:val="single" w:sz="4" w:space="0" w:color="auto"/>
            </w:tcBorders>
          </w:tcPr>
          <w:p w14:paraId="3FE8D7B2" w14:textId="392CDB4A" w:rsidR="00265766" w:rsidRPr="009E686F" w:rsidRDefault="00265766" w:rsidP="00265766">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284EAFE4" w14:textId="7539A7D7" w:rsidR="00265766" w:rsidRPr="009E686F" w:rsidRDefault="00265766" w:rsidP="00265766">
            <w:pPr>
              <w:spacing w:after="0"/>
              <w:jc w:val="both"/>
              <w:rPr>
                <w:rFonts w:ascii="Times New Roman" w:hAnsi="Times New Roman" w:cs="Times New Roman"/>
              </w:rPr>
            </w:pPr>
          </w:p>
        </w:tc>
      </w:tr>
      <w:tr w:rsidR="00265766" w:rsidRPr="009E686F" w14:paraId="62109A94" w14:textId="61A09839" w:rsidTr="00960C23">
        <w:tc>
          <w:tcPr>
            <w:tcW w:w="1890" w:type="pct"/>
            <w:tcBorders>
              <w:top w:val="single" w:sz="4" w:space="0" w:color="auto"/>
              <w:left w:val="single" w:sz="4" w:space="0" w:color="auto"/>
              <w:bottom w:val="single" w:sz="4" w:space="0" w:color="auto"/>
              <w:right w:val="single" w:sz="4" w:space="0" w:color="auto"/>
            </w:tcBorders>
          </w:tcPr>
          <w:p w14:paraId="05A1CFDF" w14:textId="77777777"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Autoritățile competente relevante se consultă reciproc pe deplin atunci când efectuează evaluarea, în cazul în care potențialul achizitor este:</w:t>
            </w:r>
          </w:p>
        </w:tc>
        <w:tc>
          <w:tcPr>
            <w:tcW w:w="1834" w:type="pct"/>
            <w:tcBorders>
              <w:top w:val="single" w:sz="4" w:space="0" w:color="auto"/>
              <w:left w:val="single" w:sz="4" w:space="0" w:color="auto"/>
              <w:bottom w:val="single" w:sz="4" w:space="0" w:color="auto"/>
              <w:right w:val="single" w:sz="4" w:space="0" w:color="auto"/>
            </w:tcBorders>
          </w:tcPr>
          <w:p w14:paraId="2383F8FE" w14:textId="591BC270"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(1) În realizarea evaluării prevăzute la art. 48, Banca Națională a Moldovei colaborează prin consultare reciprocă în toate privințele cu alte autorități competente naționale sau din alte state implicate, în cazurile în care achizitorul potențial</w:t>
            </w:r>
            <w:r w:rsidRPr="009E686F">
              <w:rPr>
                <w:rFonts w:ascii="Times New Roman" w:hAnsi="Times New Roman" w:cs="Times New Roman"/>
                <w:i/>
                <w:iCs/>
                <w:lang w:val="it-CH"/>
              </w:rPr>
              <w:t>/dobânditorului</w:t>
            </w:r>
            <w:r w:rsidRPr="009E686F">
              <w:rPr>
                <w:rFonts w:ascii="Times New Roman" w:hAnsi="Times New Roman" w:cs="Times New Roman"/>
                <w:lang w:val="it-CH"/>
              </w:rPr>
              <w:t xml:space="preserve"> este:</w:t>
            </w:r>
          </w:p>
        </w:tc>
        <w:tc>
          <w:tcPr>
            <w:tcW w:w="470" w:type="pct"/>
            <w:tcBorders>
              <w:top w:val="single" w:sz="4" w:space="0" w:color="auto"/>
              <w:left w:val="single" w:sz="4" w:space="0" w:color="auto"/>
              <w:bottom w:val="single" w:sz="4" w:space="0" w:color="auto"/>
              <w:right w:val="single" w:sz="4" w:space="0" w:color="auto"/>
            </w:tcBorders>
          </w:tcPr>
          <w:p w14:paraId="51CF3BD9" w14:textId="08E577DC" w:rsidR="00265766" w:rsidRPr="009E686F" w:rsidRDefault="00265766" w:rsidP="00265766">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18F3F527" w14:textId="62A7936A" w:rsidR="00265766" w:rsidRPr="009E686F" w:rsidRDefault="00265766" w:rsidP="00265766">
            <w:pPr>
              <w:spacing w:after="0"/>
              <w:jc w:val="both"/>
              <w:rPr>
                <w:rFonts w:ascii="Times New Roman" w:hAnsi="Times New Roman" w:cs="Times New Roman"/>
              </w:rPr>
            </w:pPr>
          </w:p>
        </w:tc>
      </w:tr>
      <w:tr w:rsidR="00265766" w:rsidRPr="009E686F" w14:paraId="499645A3" w14:textId="41DA0CD2" w:rsidTr="00960C23">
        <w:tc>
          <w:tcPr>
            <w:tcW w:w="1890" w:type="pct"/>
            <w:tcBorders>
              <w:top w:val="single" w:sz="4" w:space="0" w:color="auto"/>
              <w:left w:val="single" w:sz="4" w:space="0" w:color="auto"/>
              <w:bottom w:val="single" w:sz="4" w:space="0" w:color="auto"/>
              <w:right w:val="single" w:sz="4" w:space="0" w:color="auto"/>
            </w:tcBorders>
          </w:tcPr>
          <w:p w14:paraId="53ECBB16" w14:textId="3C913BDC" w:rsidR="00265766" w:rsidRPr="009E686F" w:rsidRDefault="00265766" w:rsidP="00265766">
            <w:pPr>
              <w:spacing w:after="0"/>
              <w:jc w:val="both"/>
              <w:rPr>
                <w:rFonts w:ascii="Times New Roman" w:hAnsi="Times New Roman" w:cs="Times New Roman"/>
                <w:lang w:val="pt-BR"/>
              </w:rPr>
            </w:pPr>
            <w:r w:rsidRPr="009E686F">
              <w:rPr>
                <w:rFonts w:ascii="Times New Roman" w:hAnsi="Times New Roman" w:cs="Times New Roman"/>
                <w:lang w:val="pt-BR"/>
              </w:rPr>
              <w:lastRenderedPageBreak/>
              <w:t>o instituție de credit, o întreprindere de asigurare, o întreprindere de reasigurare, o firmă de investiții sau o societate de administrare în înțelesul articolului 2 alineatul (1) litera (b) din Directiva 2009/65/CE ("societate de administrare a OPCVM") autorizată într-un alt stat membru sau într-un alt sector decât cel vizat de achiziție;</w:t>
            </w:r>
          </w:p>
        </w:tc>
        <w:tc>
          <w:tcPr>
            <w:tcW w:w="1834" w:type="pct"/>
            <w:tcBorders>
              <w:top w:val="single" w:sz="4" w:space="0" w:color="auto"/>
              <w:left w:val="single" w:sz="4" w:space="0" w:color="auto"/>
              <w:bottom w:val="single" w:sz="4" w:space="0" w:color="auto"/>
              <w:right w:val="single" w:sz="4" w:space="0" w:color="auto"/>
            </w:tcBorders>
          </w:tcPr>
          <w:p w14:paraId="6569F25B" w14:textId="1040AEFC" w:rsidR="00265766" w:rsidRPr="009E686F" w:rsidRDefault="00265766" w:rsidP="00265766">
            <w:pPr>
              <w:spacing w:after="0"/>
              <w:jc w:val="both"/>
              <w:rPr>
                <w:rFonts w:ascii="Times New Roman" w:hAnsi="Times New Roman" w:cs="Times New Roman"/>
                <w:lang w:val="pt-BR"/>
              </w:rPr>
            </w:pPr>
            <w:r w:rsidRPr="009E686F">
              <w:rPr>
                <w:rFonts w:ascii="Times New Roman" w:hAnsi="Times New Roman" w:cs="Times New Roman"/>
                <w:lang w:val="pt-BR"/>
              </w:rPr>
              <w:t xml:space="preserve">a) o </w:t>
            </w:r>
            <w:r w:rsidRPr="009E686F">
              <w:rPr>
                <w:rFonts w:ascii="Times New Roman" w:hAnsi="Times New Roman" w:cs="Times New Roman"/>
                <w:i/>
                <w:iCs/>
                <w:lang w:val="pt-BR"/>
              </w:rPr>
              <w:t>instituție de credit</w:t>
            </w:r>
            <w:r w:rsidRPr="009E686F">
              <w:rPr>
                <w:rFonts w:ascii="Times New Roman" w:hAnsi="Times New Roman" w:cs="Times New Roman"/>
                <w:lang w:val="pt-BR"/>
              </w:rPr>
              <w:t>, un asigurător care desfășoară activitatea de asigurare de viață, un asigurător care desfășoară activitatea de asigurări generale, un reasigurător, o societate de investiții, licențiate</w:t>
            </w:r>
            <w:r w:rsidRPr="009E686F">
              <w:rPr>
                <w:rFonts w:ascii="Times New Roman" w:hAnsi="Times New Roman" w:cs="Times New Roman"/>
                <w:i/>
                <w:iCs/>
                <w:lang w:val="pt-BR"/>
              </w:rPr>
              <w:t>/autorizate</w:t>
            </w:r>
            <w:r w:rsidRPr="009E686F">
              <w:rPr>
                <w:rFonts w:ascii="Times New Roman" w:hAnsi="Times New Roman" w:cs="Times New Roman"/>
                <w:lang w:val="pt-BR"/>
              </w:rPr>
              <w:t xml:space="preserve"> într-un alt stat, </w:t>
            </w:r>
            <w:r w:rsidRPr="009E686F">
              <w:rPr>
                <w:rFonts w:ascii="Times New Roman" w:hAnsi="Times New Roman" w:cs="Times New Roman"/>
                <w:i/>
                <w:iCs/>
                <w:lang w:val="pt-BR"/>
              </w:rPr>
              <w:t>inclusiv alt stat membru</w:t>
            </w:r>
            <w:r w:rsidRPr="009E686F">
              <w:rPr>
                <w:rFonts w:ascii="Times New Roman" w:hAnsi="Times New Roman" w:cs="Times New Roman"/>
                <w:lang w:val="pt-BR"/>
              </w:rPr>
              <w:t xml:space="preserve"> sau într-un alt sector decât cel vizat de achiziția propusă/dobândire; </w:t>
            </w:r>
          </w:p>
        </w:tc>
        <w:tc>
          <w:tcPr>
            <w:tcW w:w="470" w:type="pct"/>
            <w:tcBorders>
              <w:top w:val="single" w:sz="4" w:space="0" w:color="auto"/>
              <w:left w:val="single" w:sz="4" w:space="0" w:color="auto"/>
              <w:bottom w:val="single" w:sz="4" w:space="0" w:color="auto"/>
              <w:right w:val="single" w:sz="4" w:space="0" w:color="auto"/>
            </w:tcBorders>
          </w:tcPr>
          <w:p w14:paraId="76E844FF" w14:textId="6633DB75" w:rsidR="00265766" w:rsidRPr="009E686F" w:rsidRDefault="00265766" w:rsidP="00265766">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2C837117" w14:textId="1637D4B8" w:rsidR="00265766" w:rsidRPr="009E686F" w:rsidRDefault="00265766" w:rsidP="00265766">
            <w:pPr>
              <w:spacing w:after="0"/>
              <w:jc w:val="both"/>
              <w:rPr>
                <w:rFonts w:ascii="Times New Roman" w:hAnsi="Times New Roman" w:cs="Times New Roman"/>
              </w:rPr>
            </w:pPr>
          </w:p>
        </w:tc>
      </w:tr>
      <w:tr w:rsidR="00265766" w:rsidRPr="009E686F" w14:paraId="5CD09F93" w14:textId="2F8F8EDF" w:rsidTr="00960C23">
        <w:tc>
          <w:tcPr>
            <w:tcW w:w="1890" w:type="pct"/>
            <w:tcBorders>
              <w:top w:val="single" w:sz="4" w:space="0" w:color="auto"/>
              <w:left w:val="single" w:sz="4" w:space="0" w:color="auto"/>
              <w:bottom w:val="single" w:sz="4" w:space="0" w:color="auto"/>
              <w:right w:val="single" w:sz="4" w:space="0" w:color="auto"/>
            </w:tcBorders>
          </w:tcPr>
          <w:p w14:paraId="353E89AB" w14:textId="6637B654"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întreprinderea-mamă a unei instituții de credit, a unei întreprinderi de asigurare, a unei întreprinderi de reasigurare, a unei firme de investiții sau a unei societăți de administrare a OPCVM, autorizată într-un alt stat membru sau într-un alt sector decât cel vizat de achiziție;</w:t>
            </w:r>
          </w:p>
        </w:tc>
        <w:tc>
          <w:tcPr>
            <w:tcW w:w="1834" w:type="pct"/>
            <w:tcBorders>
              <w:top w:val="single" w:sz="4" w:space="0" w:color="auto"/>
              <w:left w:val="single" w:sz="4" w:space="0" w:color="auto"/>
              <w:bottom w:val="single" w:sz="4" w:space="0" w:color="auto"/>
              <w:right w:val="single" w:sz="4" w:space="0" w:color="auto"/>
            </w:tcBorders>
          </w:tcPr>
          <w:p w14:paraId="5F3AAB35" w14:textId="2DA542E1"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b) o societate-mamă a unei entități din categoria celor prevăzute la lit. a) care sunt licențiate</w:t>
            </w:r>
            <w:r w:rsidRPr="009E686F">
              <w:rPr>
                <w:rFonts w:ascii="Times New Roman" w:hAnsi="Times New Roman" w:cs="Times New Roman"/>
                <w:i/>
                <w:iCs/>
                <w:lang w:val="it-CH"/>
              </w:rPr>
              <w:t>/autorizate</w:t>
            </w:r>
            <w:r w:rsidRPr="009E686F">
              <w:rPr>
                <w:rFonts w:ascii="Times New Roman" w:hAnsi="Times New Roman" w:cs="Times New Roman"/>
                <w:lang w:val="it-CH"/>
              </w:rPr>
              <w:t xml:space="preserve"> într-un alt stat, </w:t>
            </w:r>
            <w:r w:rsidRPr="009E686F">
              <w:rPr>
                <w:rFonts w:ascii="Times New Roman" w:hAnsi="Times New Roman" w:cs="Times New Roman"/>
                <w:i/>
                <w:iCs/>
                <w:lang w:val="it-CH"/>
              </w:rPr>
              <w:t>inclusiv alt stat membru</w:t>
            </w:r>
            <w:r w:rsidRPr="009E686F">
              <w:rPr>
                <w:rFonts w:ascii="Times New Roman" w:hAnsi="Times New Roman" w:cs="Times New Roman"/>
                <w:lang w:val="it-CH"/>
              </w:rPr>
              <w:t xml:space="preserve"> sau în alt sector al sistemului financiar; </w:t>
            </w:r>
          </w:p>
          <w:p w14:paraId="68C709B6" w14:textId="77777777" w:rsidR="00265766" w:rsidRPr="009E686F" w:rsidRDefault="00265766" w:rsidP="00265766">
            <w:pPr>
              <w:spacing w:after="0"/>
              <w:jc w:val="both"/>
              <w:rPr>
                <w:rFonts w:ascii="Times New Roman" w:hAnsi="Times New Roman" w:cs="Times New Roman"/>
                <w:lang w:val="it-CH"/>
              </w:rPr>
            </w:pPr>
          </w:p>
        </w:tc>
        <w:tc>
          <w:tcPr>
            <w:tcW w:w="470" w:type="pct"/>
            <w:tcBorders>
              <w:top w:val="single" w:sz="4" w:space="0" w:color="auto"/>
              <w:left w:val="single" w:sz="4" w:space="0" w:color="auto"/>
              <w:bottom w:val="single" w:sz="4" w:space="0" w:color="auto"/>
              <w:right w:val="single" w:sz="4" w:space="0" w:color="auto"/>
            </w:tcBorders>
          </w:tcPr>
          <w:p w14:paraId="28BC1319" w14:textId="6E76FB9B" w:rsidR="00265766" w:rsidRPr="009E686F" w:rsidRDefault="00265766" w:rsidP="00265766">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36CC75D1" w14:textId="47ABE6A5" w:rsidR="00265766" w:rsidRPr="009E686F" w:rsidRDefault="00265766" w:rsidP="00265766">
            <w:pPr>
              <w:spacing w:after="0"/>
              <w:jc w:val="both"/>
              <w:rPr>
                <w:rFonts w:ascii="Times New Roman" w:hAnsi="Times New Roman" w:cs="Times New Roman"/>
              </w:rPr>
            </w:pPr>
          </w:p>
        </w:tc>
      </w:tr>
      <w:tr w:rsidR="00265766" w:rsidRPr="009E686F" w14:paraId="75DE5D0E" w14:textId="1C5C08FE" w:rsidTr="00960C23">
        <w:tc>
          <w:tcPr>
            <w:tcW w:w="1890" w:type="pct"/>
            <w:tcBorders>
              <w:top w:val="single" w:sz="4" w:space="0" w:color="auto"/>
              <w:left w:val="single" w:sz="4" w:space="0" w:color="auto"/>
              <w:bottom w:val="single" w:sz="4" w:space="0" w:color="auto"/>
              <w:right w:val="single" w:sz="4" w:space="0" w:color="auto"/>
            </w:tcBorders>
          </w:tcPr>
          <w:p w14:paraId="2F0C1A02" w14:textId="50E97E3A" w:rsidR="00265766" w:rsidRPr="009E686F" w:rsidRDefault="00265766" w:rsidP="00265766">
            <w:pPr>
              <w:spacing w:after="0"/>
              <w:jc w:val="both"/>
              <w:rPr>
                <w:rFonts w:ascii="Times New Roman" w:hAnsi="Times New Roman" w:cs="Times New Roman"/>
                <w:lang w:val="pt-BR"/>
              </w:rPr>
            </w:pPr>
            <w:r w:rsidRPr="009E686F">
              <w:rPr>
                <w:rFonts w:ascii="Times New Roman" w:hAnsi="Times New Roman" w:cs="Times New Roman"/>
                <w:lang w:val="pt-BR"/>
              </w:rPr>
              <w:t>o persoană fizică sau juridică ce controlează o instituție de credit, o întreprindere de asigurare, o întreprindere de reasigurare, o firmă de investiții sau o societate de administrare a OPCVM, autorizată într-un alt stat membru sau într-un alt sector decât cel vizat de achiziție.</w:t>
            </w:r>
          </w:p>
        </w:tc>
        <w:tc>
          <w:tcPr>
            <w:tcW w:w="1834" w:type="pct"/>
            <w:tcBorders>
              <w:top w:val="single" w:sz="4" w:space="0" w:color="auto"/>
              <w:left w:val="single" w:sz="4" w:space="0" w:color="auto"/>
              <w:bottom w:val="single" w:sz="4" w:space="0" w:color="auto"/>
              <w:right w:val="single" w:sz="4" w:space="0" w:color="auto"/>
            </w:tcBorders>
          </w:tcPr>
          <w:p w14:paraId="7455D6FF" w14:textId="3F2F321D" w:rsidR="00265766" w:rsidRPr="009E686F" w:rsidRDefault="00265766" w:rsidP="00265766">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c) o persoană fizică sau juridică care controlează o entitate din categoria celor prevăzute la lit.a) care sînt licenţiate</w:t>
            </w:r>
            <w:r w:rsidRPr="009E686F">
              <w:rPr>
                <w:rFonts w:ascii="Times New Roman" w:eastAsia="Aptos" w:hAnsi="Times New Roman" w:cs="Times New Roman"/>
                <w:i/>
                <w:iCs/>
                <w:kern w:val="2"/>
                <w:lang w:val="ro-MD"/>
              </w:rPr>
              <w:t>/autorizate</w:t>
            </w:r>
            <w:r w:rsidRPr="009E686F">
              <w:rPr>
                <w:rFonts w:ascii="Times New Roman" w:eastAsia="Aptos" w:hAnsi="Times New Roman" w:cs="Times New Roman"/>
                <w:kern w:val="2"/>
                <w:lang w:val="ro-MD"/>
              </w:rPr>
              <w:t xml:space="preserve"> într-un alt stat, </w:t>
            </w:r>
            <w:r w:rsidRPr="009E686F">
              <w:rPr>
                <w:rFonts w:ascii="Times New Roman" w:eastAsia="Aptos" w:hAnsi="Times New Roman" w:cs="Times New Roman"/>
                <w:i/>
                <w:iCs/>
                <w:kern w:val="2"/>
                <w:lang w:val="ro-MD"/>
              </w:rPr>
              <w:t>inclusiv alt stat membru</w:t>
            </w:r>
            <w:r w:rsidRPr="009E686F">
              <w:rPr>
                <w:rFonts w:ascii="Times New Roman" w:eastAsia="Aptos" w:hAnsi="Times New Roman" w:cs="Times New Roman"/>
                <w:kern w:val="2"/>
                <w:lang w:val="ro-MD"/>
              </w:rPr>
              <w:t xml:space="preserve"> sau într-un alt sector decît cel vizat de achiziţia propusă.</w:t>
            </w:r>
          </w:p>
        </w:tc>
        <w:tc>
          <w:tcPr>
            <w:tcW w:w="470" w:type="pct"/>
            <w:tcBorders>
              <w:top w:val="single" w:sz="4" w:space="0" w:color="auto"/>
              <w:left w:val="single" w:sz="4" w:space="0" w:color="auto"/>
              <w:bottom w:val="single" w:sz="4" w:space="0" w:color="auto"/>
              <w:right w:val="single" w:sz="4" w:space="0" w:color="auto"/>
            </w:tcBorders>
          </w:tcPr>
          <w:p w14:paraId="64CAA855" w14:textId="659F5CEC" w:rsidR="00265766" w:rsidRPr="009E686F" w:rsidRDefault="00265766" w:rsidP="00265766">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1C25EC13" w14:textId="523560AD" w:rsidR="00265766" w:rsidRPr="009E686F" w:rsidRDefault="00265766" w:rsidP="00265766">
            <w:pPr>
              <w:spacing w:after="0"/>
              <w:jc w:val="both"/>
              <w:rPr>
                <w:rFonts w:ascii="Times New Roman" w:hAnsi="Times New Roman" w:cs="Times New Roman"/>
              </w:rPr>
            </w:pPr>
          </w:p>
        </w:tc>
      </w:tr>
      <w:tr w:rsidR="00265766" w:rsidRPr="009E686F" w14:paraId="72A91349" w14:textId="37AA88E6" w:rsidTr="00960C23">
        <w:tc>
          <w:tcPr>
            <w:tcW w:w="1890" w:type="pct"/>
            <w:tcBorders>
              <w:top w:val="single" w:sz="4" w:space="0" w:color="auto"/>
              <w:left w:val="single" w:sz="4" w:space="0" w:color="auto"/>
              <w:bottom w:val="single" w:sz="4" w:space="0" w:color="auto"/>
              <w:right w:val="single" w:sz="4" w:space="0" w:color="auto"/>
            </w:tcBorders>
          </w:tcPr>
          <w:p w14:paraId="46142802" w14:textId="432A4082"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Autoritățile competente își furnizează reciproc, fără întârziere, informații esențiale sau relevante pentru evaluare. Astfel, acestea își comunică, la cerere, orice informație relevantă și, din proprie inițiativă, orice informație esențială. Orice decizie a autorității competente care a autorizat instituția de credit vizată de proiectul de achiziție indică eventualele opinii sau rezerve formulate de autoritatea competentă responsabilă pentru potențialul achizitor.</w:t>
            </w:r>
          </w:p>
        </w:tc>
        <w:tc>
          <w:tcPr>
            <w:tcW w:w="1834" w:type="pct"/>
            <w:tcBorders>
              <w:top w:val="single" w:sz="4" w:space="0" w:color="auto"/>
              <w:left w:val="single" w:sz="4" w:space="0" w:color="auto"/>
              <w:bottom w:val="single" w:sz="4" w:space="0" w:color="auto"/>
              <w:right w:val="single" w:sz="4" w:space="0" w:color="auto"/>
            </w:tcBorders>
          </w:tcPr>
          <w:p w14:paraId="20845263" w14:textId="7E9AE541" w:rsidR="00265766" w:rsidRPr="009E686F" w:rsidRDefault="00265766" w:rsidP="00265766">
            <w:pPr>
              <w:spacing w:after="0"/>
              <w:jc w:val="both"/>
              <w:rPr>
                <w:rFonts w:ascii="Times New Roman" w:hAnsi="Times New Roman" w:cs="Times New Roman"/>
                <w:lang w:val="ro-MD"/>
              </w:rPr>
            </w:pPr>
            <w:r w:rsidRPr="009E686F">
              <w:rPr>
                <w:rFonts w:ascii="Times New Roman" w:hAnsi="Times New Roman" w:cs="Times New Roman"/>
                <w:lang w:val="ro-MD"/>
              </w:rPr>
              <w:t xml:space="preserve">(2) În sensul prevederilor alin. (1), Banca Națională a Moldovei asigură, fără întârziere, schimbul de informații care sunt esențiale şi relevante pentru realizarea evaluării cu autoritățile de supraveghere implicate. În calitate de autoritate competentă a </w:t>
            </w:r>
            <w:r w:rsidRPr="009E686F">
              <w:rPr>
                <w:rFonts w:ascii="Times New Roman" w:hAnsi="Times New Roman" w:cs="Times New Roman"/>
                <w:i/>
                <w:iCs/>
                <w:lang w:val="ro-MD"/>
              </w:rPr>
              <w:t>instituției de credit</w:t>
            </w:r>
            <w:r w:rsidRPr="009E686F">
              <w:rPr>
                <w:rFonts w:ascii="Times New Roman" w:hAnsi="Times New Roman" w:cs="Times New Roman"/>
                <w:lang w:val="ro-MD"/>
              </w:rPr>
              <w:t xml:space="preserve"> vizate de achiziția propusă/dobândirea, Banca Națională a Moldovei ia în considerare toate informațiile esențiale furnizate de autoritățile de supraveghere în cauză şi poate solicita acestora toate informațiile pe care le consideră relevante pentru realizarea evaluării. Hotărârea Băncii Naționale a Moldovei cu privire la achiziția propusă/dobândirea trebuie să indice orice opinie sau rezervă exprimată de autoritatea competentă a achizitorului potențial/dobânditorului.</w:t>
            </w:r>
          </w:p>
        </w:tc>
        <w:tc>
          <w:tcPr>
            <w:tcW w:w="470" w:type="pct"/>
            <w:tcBorders>
              <w:top w:val="single" w:sz="4" w:space="0" w:color="auto"/>
              <w:left w:val="single" w:sz="4" w:space="0" w:color="auto"/>
              <w:bottom w:val="single" w:sz="4" w:space="0" w:color="auto"/>
              <w:right w:val="single" w:sz="4" w:space="0" w:color="auto"/>
            </w:tcBorders>
          </w:tcPr>
          <w:p w14:paraId="5D5E76A8" w14:textId="2DBCAE11" w:rsidR="00265766" w:rsidRPr="009E686F" w:rsidRDefault="00265766" w:rsidP="00265766">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0F595F48" w14:textId="4DA8BCC3" w:rsidR="00265766" w:rsidRPr="009E686F" w:rsidRDefault="00265766" w:rsidP="00265766">
            <w:pPr>
              <w:spacing w:after="0"/>
              <w:jc w:val="both"/>
              <w:rPr>
                <w:rFonts w:ascii="Times New Roman" w:hAnsi="Times New Roman" w:cs="Times New Roman"/>
              </w:rPr>
            </w:pPr>
          </w:p>
        </w:tc>
      </w:tr>
      <w:tr w:rsidR="00265766" w:rsidRPr="009E686F" w14:paraId="79BA6B76" w14:textId="77777777" w:rsidTr="00960C23">
        <w:tc>
          <w:tcPr>
            <w:tcW w:w="1890" w:type="pct"/>
            <w:tcBorders>
              <w:top w:val="single" w:sz="4" w:space="0" w:color="auto"/>
              <w:left w:val="single" w:sz="4" w:space="0" w:color="auto"/>
              <w:bottom w:val="single" w:sz="4" w:space="0" w:color="auto"/>
              <w:right w:val="single" w:sz="4" w:space="0" w:color="auto"/>
            </w:tcBorders>
          </w:tcPr>
          <w:p w14:paraId="1D4F156A" w14:textId="77777777" w:rsidR="00265766" w:rsidRPr="009E686F" w:rsidRDefault="00265766" w:rsidP="00265766">
            <w:pPr>
              <w:spacing w:after="0"/>
              <w:jc w:val="both"/>
              <w:rPr>
                <w:rFonts w:ascii="Times New Roman" w:hAnsi="Times New Roman" w:cs="Times New Roman"/>
                <w:i/>
                <w:iCs/>
                <w:lang w:val="it-IT"/>
              </w:rPr>
            </w:pPr>
            <w:r w:rsidRPr="009E686F">
              <w:rPr>
                <w:rFonts w:ascii="Times New Roman" w:hAnsi="Times New Roman" w:cs="Times New Roman"/>
                <w:i/>
                <w:iCs/>
                <w:lang w:val="it-IT"/>
              </w:rPr>
              <w:t xml:space="preserve">Articolul 25 </w:t>
            </w:r>
          </w:p>
          <w:p w14:paraId="5379582D" w14:textId="30AE3C68" w:rsidR="00265766" w:rsidRPr="009E686F" w:rsidRDefault="00265766" w:rsidP="00265766">
            <w:pPr>
              <w:spacing w:after="0"/>
              <w:jc w:val="both"/>
              <w:rPr>
                <w:rFonts w:ascii="Times New Roman" w:hAnsi="Times New Roman" w:cs="Times New Roman"/>
                <w:lang w:val="it-IT"/>
              </w:rPr>
            </w:pPr>
            <w:r w:rsidRPr="009E686F">
              <w:rPr>
                <w:rFonts w:ascii="Times New Roman" w:hAnsi="Times New Roman" w:cs="Times New Roman"/>
                <w:lang w:val="it-IT"/>
              </w:rPr>
              <w:t>Notificarea în caz de cesionare</w:t>
            </w:r>
          </w:p>
        </w:tc>
        <w:tc>
          <w:tcPr>
            <w:tcW w:w="1834" w:type="pct"/>
            <w:tcBorders>
              <w:top w:val="single" w:sz="4" w:space="0" w:color="auto"/>
              <w:left w:val="single" w:sz="4" w:space="0" w:color="auto"/>
              <w:bottom w:val="single" w:sz="4" w:space="0" w:color="auto"/>
              <w:right w:val="single" w:sz="4" w:space="0" w:color="auto"/>
            </w:tcBorders>
          </w:tcPr>
          <w:p w14:paraId="243F393F" w14:textId="528DB09A" w:rsidR="00265766" w:rsidRPr="009E686F" w:rsidRDefault="00265766" w:rsidP="00265766">
            <w:pPr>
              <w:spacing w:after="0"/>
              <w:jc w:val="both"/>
              <w:rPr>
                <w:rFonts w:ascii="Times New Roman" w:eastAsia="Aptos" w:hAnsi="Times New Roman" w:cs="Times New Roman"/>
                <w:kern w:val="2"/>
                <w:lang w:val="ro-MD"/>
              </w:rPr>
            </w:pPr>
            <w:r w:rsidRPr="009E686F">
              <w:rPr>
                <w:rFonts w:ascii="Times New Roman" w:eastAsia="Aptos" w:hAnsi="Times New Roman" w:cs="Times New Roman"/>
                <w:b/>
                <w:bCs/>
                <w:kern w:val="2"/>
                <w:lang w:val="ro-MD"/>
              </w:rPr>
              <w:t>Articolul 50.</w:t>
            </w:r>
            <w:r w:rsidRPr="009E686F">
              <w:rPr>
                <w:rFonts w:ascii="Times New Roman" w:eastAsia="Aptos" w:hAnsi="Times New Roman" w:cs="Times New Roman"/>
                <w:kern w:val="2"/>
                <w:lang w:val="ro-MD"/>
              </w:rPr>
              <w:t xml:space="preserve"> Notificarea înstrăinării sau reducerii deţinerii calificate</w:t>
            </w:r>
          </w:p>
        </w:tc>
        <w:tc>
          <w:tcPr>
            <w:tcW w:w="470" w:type="pct"/>
            <w:tcBorders>
              <w:top w:val="single" w:sz="4" w:space="0" w:color="auto"/>
              <w:left w:val="single" w:sz="4" w:space="0" w:color="auto"/>
              <w:bottom w:val="single" w:sz="4" w:space="0" w:color="auto"/>
              <w:right w:val="single" w:sz="4" w:space="0" w:color="auto"/>
            </w:tcBorders>
          </w:tcPr>
          <w:p w14:paraId="2883ECD8" w14:textId="77777777" w:rsidR="00265766" w:rsidRPr="009E686F" w:rsidRDefault="00265766" w:rsidP="00265766">
            <w:pPr>
              <w:jc w:val="both"/>
              <w:rPr>
                <w:rFonts w:ascii="Times New Roman" w:hAnsi="Times New Roman" w:cs="Times New Roman"/>
                <w:lang w:val="it-IT"/>
              </w:rPr>
            </w:pPr>
          </w:p>
        </w:tc>
        <w:tc>
          <w:tcPr>
            <w:tcW w:w="806" w:type="pct"/>
            <w:tcBorders>
              <w:top w:val="single" w:sz="4" w:space="0" w:color="auto"/>
              <w:left w:val="single" w:sz="4" w:space="0" w:color="auto"/>
              <w:bottom w:val="single" w:sz="4" w:space="0" w:color="auto"/>
              <w:right w:val="single" w:sz="4" w:space="0" w:color="auto"/>
            </w:tcBorders>
          </w:tcPr>
          <w:p w14:paraId="6821F4D5" w14:textId="77777777" w:rsidR="00265766" w:rsidRPr="009E686F" w:rsidRDefault="00265766" w:rsidP="00265766">
            <w:pPr>
              <w:spacing w:after="0"/>
              <w:jc w:val="both"/>
              <w:rPr>
                <w:rFonts w:ascii="Times New Roman" w:hAnsi="Times New Roman" w:cs="Times New Roman"/>
                <w:lang w:val="it-IT"/>
              </w:rPr>
            </w:pPr>
          </w:p>
        </w:tc>
      </w:tr>
      <w:tr w:rsidR="00265766" w:rsidRPr="009E686F" w14:paraId="64EB1758" w14:textId="15A1DDBA" w:rsidTr="00960C23">
        <w:tc>
          <w:tcPr>
            <w:tcW w:w="1890" w:type="pct"/>
            <w:tcBorders>
              <w:top w:val="single" w:sz="4" w:space="0" w:color="auto"/>
              <w:left w:val="single" w:sz="4" w:space="0" w:color="auto"/>
              <w:bottom w:val="single" w:sz="4" w:space="0" w:color="auto"/>
              <w:right w:val="single" w:sz="4" w:space="0" w:color="auto"/>
            </w:tcBorders>
          </w:tcPr>
          <w:p w14:paraId="6EBBB11F" w14:textId="6F880277"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lastRenderedPageBreak/>
              <w:t>Statele membre cer oricărei persoane fizice sau juridice care a decis să cedeze, direct sau indirect, o participație calificată într-o instituție de credit să notifice în scris autoritățile competente, indicând mărimea participației vizate, înainte de cesiune. O astfel de persoană notifică, de asemenea, autoritățile competente dacă a decis să își reducă participația calificată, iar drept consecință proporția drepturilor de vot sau a capitalului deținut scade sub 20, 30 sau 50 % ori instituția de credit încetează să mai fie filiala sa. Statelor membre nu li se impune să aplice pragul de 30 % în cazurile în care, în conformitate cu articolul 9 alineatul (3) litera (a) din Directiva 2004/109/CE, aplică un prag de o treime.</w:t>
            </w:r>
          </w:p>
        </w:tc>
        <w:tc>
          <w:tcPr>
            <w:tcW w:w="1834" w:type="pct"/>
            <w:tcBorders>
              <w:top w:val="single" w:sz="4" w:space="0" w:color="auto"/>
              <w:left w:val="single" w:sz="4" w:space="0" w:color="auto"/>
              <w:bottom w:val="single" w:sz="4" w:space="0" w:color="auto"/>
              <w:right w:val="single" w:sz="4" w:space="0" w:color="auto"/>
            </w:tcBorders>
          </w:tcPr>
          <w:p w14:paraId="1F27E6F7" w14:textId="12695457" w:rsidR="00265766" w:rsidRPr="009E686F" w:rsidRDefault="00265766" w:rsidP="00265766">
            <w:pPr>
              <w:spacing w:after="0"/>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 xml:space="preserve">Orice persoană fizică sau juridică care a decis să înstrăineze, direct ori indirect, inclusiv în calitate de beneficiar </w:t>
            </w:r>
            <w:r w:rsidRPr="009E686F">
              <w:rPr>
                <w:rFonts w:ascii="Times New Roman" w:hAnsi="Times New Roman" w:cs="Times New Roman"/>
                <w:lang w:val="ro-MD"/>
              </w:rPr>
              <w:t>real al deținerii</w:t>
            </w:r>
            <w:r w:rsidRPr="009E686F">
              <w:rPr>
                <w:rFonts w:ascii="Times New Roman" w:eastAsia="Aptos" w:hAnsi="Times New Roman" w:cs="Times New Roman"/>
                <w:kern w:val="2"/>
                <w:lang w:val="ro-MD"/>
              </w:rPr>
              <w:t xml:space="preserve">, o deţinere calificată într-o </w:t>
            </w:r>
            <w:r w:rsidRPr="009E686F">
              <w:rPr>
                <w:rFonts w:ascii="Times New Roman" w:eastAsia="Aptos" w:hAnsi="Times New Roman" w:cs="Times New Roman"/>
                <w:i/>
                <w:iCs/>
                <w:kern w:val="2"/>
                <w:lang w:val="ro-MD"/>
              </w:rPr>
              <w:t>instituție de credit</w:t>
            </w:r>
            <w:r w:rsidRPr="009E686F">
              <w:rPr>
                <w:rFonts w:ascii="Times New Roman" w:eastAsia="Aptos" w:hAnsi="Times New Roman" w:cs="Times New Roman"/>
                <w:kern w:val="2"/>
                <w:lang w:val="ro-MD"/>
              </w:rPr>
              <w:t xml:space="preserve">  sau să îşi reducă deţinerea calificată astfel încît proporţia drepturilor sale de vot ori a deţinerii în capitalul social să se situeze sub nivelurile de 10%, 20%, 33% sau 50% sau astfel încît </w:t>
            </w:r>
            <w:r w:rsidRPr="009E686F">
              <w:rPr>
                <w:rFonts w:ascii="Times New Roman" w:eastAsia="Aptos" w:hAnsi="Times New Roman" w:cs="Times New Roman"/>
                <w:i/>
                <w:iCs/>
                <w:kern w:val="2"/>
                <w:lang w:val="ro-MD"/>
              </w:rPr>
              <w:t>instituția de credit</w:t>
            </w:r>
            <w:r w:rsidRPr="009E686F">
              <w:rPr>
                <w:rFonts w:ascii="Times New Roman" w:eastAsia="Aptos" w:hAnsi="Times New Roman" w:cs="Times New Roman"/>
                <w:kern w:val="2"/>
                <w:lang w:val="ro-MD"/>
              </w:rPr>
              <w:t xml:space="preserve"> în cauză să înceteze să mai fie o filială a persoanei respective trebuie să notifice în prealabil, în scris, Banca Naţională a Moldovei şi </w:t>
            </w:r>
            <w:r w:rsidRPr="009E686F">
              <w:rPr>
                <w:rFonts w:ascii="Times New Roman" w:eastAsia="Aptos" w:hAnsi="Times New Roman" w:cs="Times New Roman"/>
                <w:i/>
                <w:iCs/>
                <w:kern w:val="2"/>
                <w:lang w:val="ro-MD"/>
              </w:rPr>
              <w:t>instituția de credit</w:t>
            </w:r>
            <w:r w:rsidRPr="009E686F">
              <w:rPr>
                <w:rFonts w:ascii="Times New Roman" w:eastAsia="Aptos" w:hAnsi="Times New Roman" w:cs="Times New Roman"/>
                <w:kern w:val="2"/>
                <w:lang w:val="ro-MD"/>
              </w:rPr>
              <w:t xml:space="preserve"> în legătură cu această decizie, conform actelor normative emise în acest sens. Pentru calculul drepturilor de vot se au în vedere actele normative emise de Banca Naţională a Moldovei în temeiul art.45 alin.(7).</w:t>
            </w:r>
          </w:p>
        </w:tc>
        <w:tc>
          <w:tcPr>
            <w:tcW w:w="470" w:type="pct"/>
            <w:tcBorders>
              <w:top w:val="single" w:sz="4" w:space="0" w:color="auto"/>
              <w:left w:val="single" w:sz="4" w:space="0" w:color="auto"/>
              <w:bottom w:val="single" w:sz="4" w:space="0" w:color="auto"/>
              <w:right w:val="single" w:sz="4" w:space="0" w:color="auto"/>
            </w:tcBorders>
          </w:tcPr>
          <w:p w14:paraId="32A9B681" w14:textId="1FF9491A" w:rsidR="00265766" w:rsidRPr="009E686F" w:rsidRDefault="00265766" w:rsidP="00265766">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58D455C4" w14:textId="3A465190" w:rsidR="00265766" w:rsidRPr="009E686F" w:rsidRDefault="00721A05" w:rsidP="00265766">
            <w:pPr>
              <w:spacing w:after="0"/>
              <w:jc w:val="both"/>
              <w:rPr>
                <w:rFonts w:ascii="Times New Roman" w:hAnsi="Times New Roman" w:cs="Times New Roman"/>
                <w:lang w:val="it-CH"/>
              </w:rPr>
            </w:pPr>
            <w:r w:rsidRPr="009E686F">
              <w:rPr>
                <w:rFonts w:ascii="Times New Roman" w:hAnsi="Times New Roman" w:cs="Times New Roman"/>
                <w:lang w:val="it-CH"/>
              </w:rPr>
              <w:t>Modificările aferente pragului de deținere calificată de 10% - în vigoare de la data aderării.</w:t>
            </w:r>
          </w:p>
        </w:tc>
      </w:tr>
      <w:tr w:rsidR="00265766" w:rsidRPr="009E686F" w14:paraId="08C05DB5" w14:textId="5FB4F4D2" w:rsidTr="00960C23">
        <w:tc>
          <w:tcPr>
            <w:tcW w:w="1890" w:type="pct"/>
            <w:tcBorders>
              <w:top w:val="single" w:sz="4" w:space="0" w:color="auto"/>
              <w:left w:val="single" w:sz="4" w:space="0" w:color="auto"/>
              <w:bottom w:val="single" w:sz="4" w:space="0" w:color="auto"/>
              <w:right w:val="single" w:sz="4" w:space="0" w:color="auto"/>
            </w:tcBorders>
          </w:tcPr>
          <w:p w14:paraId="169D7F9C" w14:textId="77777777" w:rsidR="00265766" w:rsidRPr="009E686F" w:rsidRDefault="00265766" w:rsidP="00265766">
            <w:pPr>
              <w:spacing w:after="0"/>
              <w:jc w:val="both"/>
              <w:rPr>
                <w:rFonts w:ascii="Times New Roman" w:hAnsi="Times New Roman" w:cs="Times New Roman"/>
                <w:i/>
                <w:iCs/>
                <w:lang w:val="it-CH"/>
              </w:rPr>
            </w:pPr>
            <w:r w:rsidRPr="009E686F">
              <w:rPr>
                <w:rFonts w:ascii="Times New Roman" w:hAnsi="Times New Roman" w:cs="Times New Roman"/>
                <w:i/>
                <w:iCs/>
                <w:lang w:val="it-CH"/>
              </w:rPr>
              <w:t>Articolul 26</w:t>
            </w:r>
          </w:p>
          <w:p w14:paraId="47F43A72" w14:textId="45ACA26D"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Obligații de informare și sancțiuni</w:t>
            </w:r>
          </w:p>
        </w:tc>
        <w:tc>
          <w:tcPr>
            <w:tcW w:w="1834" w:type="pct"/>
            <w:tcBorders>
              <w:top w:val="single" w:sz="4" w:space="0" w:color="auto"/>
              <w:left w:val="single" w:sz="4" w:space="0" w:color="auto"/>
              <w:bottom w:val="single" w:sz="4" w:space="0" w:color="auto"/>
              <w:right w:val="single" w:sz="4" w:space="0" w:color="auto"/>
            </w:tcBorders>
          </w:tcPr>
          <w:p w14:paraId="7C00B564" w14:textId="77777777" w:rsidR="00265766" w:rsidRPr="009E686F" w:rsidRDefault="00265766" w:rsidP="00265766">
            <w:pPr>
              <w:spacing w:after="0"/>
              <w:jc w:val="both"/>
              <w:rPr>
                <w:rFonts w:ascii="Times New Roman" w:hAnsi="Times New Roman" w:cs="Times New Roman"/>
                <w:b/>
              </w:rPr>
            </w:pPr>
            <w:r w:rsidRPr="009E686F">
              <w:rPr>
                <w:rFonts w:ascii="Times New Roman" w:hAnsi="Times New Roman" w:cs="Times New Roman"/>
                <w:b/>
              </w:rPr>
              <w:t xml:space="preserve">Articolul 51. </w:t>
            </w:r>
            <w:r w:rsidRPr="009E686F">
              <w:rPr>
                <w:rFonts w:ascii="Times New Roman" w:hAnsi="Times New Roman" w:cs="Times New Roman"/>
              </w:rPr>
              <w:t>Informări subsecvente</w:t>
            </w:r>
          </w:p>
        </w:tc>
        <w:tc>
          <w:tcPr>
            <w:tcW w:w="470" w:type="pct"/>
            <w:tcBorders>
              <w:top w:val="single" w:sz="4" w:space="0" w:color="auto"/>
              <w:left w:val="single" w:sz="4" w:space="0" w:color="auto"/>
              <w:bottom w:val="single" w:sz="4" w:space="0" w:color="auto"/>
              <w:right w:val="single" w:sz="4" w:space="0" w:color="auto"/>
            </w:tcBorders>
          </w:tcPr>
          <w:p w14:paraId="1844D2D5" w14:textId="5800DA54" w:rsidR="00265766" w:rsidRPr="009E686F" w:rsidRDefault="00265766" w:rsidP="00265766">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423BBCA2" w14:textId="33CB45E3" w:rsidR="00265766" w:rsidRPr="009E686F" w:rsidRDefault="00265766" w:rsidP="00265766">
            <w:pPr>
              <w:spacing w:after="0"/>
              <w:jc w:val="both"/>
              <w:rPr>
                <w:rFonts w:ascii="Times New Roman" w:hAnsi="Times New Roman" w:cs="Times New Roman"/>
              </w:rPr>
            </w:pPr>
          </w:p>
        </w:tc>
      </w:tr>
      <w:tr w:rsidR="00265766" w:rsidRPr="009E686F" w14:paraId="3AAC56A4" w14:textId="59B708D4" w:rsidTr="00960C23">
        <w:tc>
          <w:tcPr>
            <w:tcW w:w="1890" w:type="pct"/>
            <w:tcBorders>
              <w:top w:val="single" w:sz="4" w:space="0" w:color="auto"/>
              <w:left w:val="single" w:sz="4" w:space="0" w:color="auto"/>
              <w:bottom w:val="single" w:sz="4" w:space="0" w:color="auto"/>
              <w:right w:val="single" w:sz="4" w:space="0" w:color="auto"/>
            </w:tcBorders>
          </w:tcPr>
          <w:p w14:paraId="2B34D6B7" w14:textId="00445B8C" w:rsidR="00265766" w:rsidRPr="009E686F" w:rsidRDefault="00265766" w:rsidP="00265766">
            <w:pPr>
              <w:spacing w:after="0"/>
              <w:jc w:val="both"/>
              <w:rPr>
                <w:rFonts w:ascii="Times New Roman" w:hAnsi="Times New Roman" w:cs="Times New Roman"/>
              </w:rPr>
            </w:pPr>
            <w:r w:rsidRPr="009E686F">
              <w:rPr>
                <w:rFonts w:ascii="Times New Roman" w:hAnsi="Times New Roman" w:cs="Times New Roman"/>
              </w:rPr>
              <w:t>(1)Instituțiile de credit comunică autorităților competente, de îndată ce dobândesc informații în acest sens, achizițiile sau vânzările de participații la capitalul lor care fac ca participațiile să depășească sau să scadă sub pragurile menționate la articolul 22 alineatul (1) și la articolul 25.</w:t>
            </w:r>
          </w:p>
        </w:tc>
        <w:tc>
          <w:tcPr>
            <w:tcW w:w="1834" w:type="pct"/>
            <w:tcBorders>
              <w:top w:val="single" w:sz="4" w:space="0" w:color="auto"/>
              <w:left w:val="single" w:sz="4" w:space="0" w:color="auto"/>
              <w:bottom w:val="single" w:sz="4" w:space="0" w:color="auto"/>
              <w:right w:val="single" w:sz="4" w:space="0" w:color="auto"/>
            </w:tcBorders>
          </w:tcPr>
          <w:p w14:paraId="0A200068" w14:textId="6DD54A4B" w:rsidR="00265766" w:rsidRPr="009E686F" w:rsidRDefault="00265766" w:rsidP="00265766">
            <w:pPr>
              <w:spacing w:after="0"/>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 xml:space="preserve">(1) </w:t>
            </w:r>
            <w:r w:rsidRPr="009E686F">
              <w:rPr>
                <w:rFonts w:ascii="Times New Roman" w:eastAsia="Aptos" w:hAnsi="Times New Roman" w:cs="Times New Roman"/>
                <w:i/>
                <w:iCs/>
                <w:kern w:val="2"/>
                <w:lang w:val="ro-MD"/>
              </w:rPr>
              <w:t>Instituția de credit</w:t>
            </w:r>
            <w:r w:rsidRPr="009E686F">
              <w:rPr>
                <w:rFonts w:ascii="Times New Roman" w:eastAsia="Aptos" w:hAnsi="Times New Roman" w:cs="Times New Roman"/>
                <w:kern w:val="2"/>
                <w:lang w:val="ro-MD"/>
              </w:rPr>
              <w:t xml:space="preserve"> trebuie să identifice şi să informeze Banca Naţională a Moldovei, de îndată ce ia cunoştinţă, despre orice achiziţie sau înstrăinare, directă sau indirectă, inclusiv de către beneficiarul </w:t>
            </w:r>
            <w:r w:rsidRPr="009E686F">
              <w:rPr>
                <w:rFonts w:ascii="Times New Roman" w:hAnsi="Times New Roman" w:cs="Times New Roman"/>
                <w:lang w:val="ro-MD"/>
              </w:rPr>
              <w:t>real al deținerii</w:t>
            </w:r>
            <w:r w:rsidRPr="009E686F">
              <w:rPr>
                <w:rFonts w:ascii="Times New Roman" w:eastAsia="Aptos" w:hAnsi="Times New Roman" w:cs="Times New Roman"/>
                <w:kern w:val="2"/>
                <w:lang w:val="ro-MD"/>
              </w:rPr>
              <w:t xml:space="preserve">, a deţinerilor în capitalul ei care depăşeşte nivelurile de 10%, 20%, 30% şi 50% sau ca urmare a căreia </w:t>
            </w:r>
            <w:r w:rsidRPr="009E686F">
              <w:rPr>
                <w:rFonts w:ascii="Times New Roman" w:eastAsia="Aptos" w:hAnsi="Times New Roman" w:cs="Times New Roman"/>
                <w:i/>
                <w:iCs/>
                <w:kern w:val="2"/>
                <w:lang w:val="ro-MD"/>
              </w:rPr>
              <w:t>instituția de credit</w:t>
            </w:r>
            <w:r w:rsidRPr="009E686F">
              <w:rPr>
                <w:rFonts w:ascii="Times New Roman" w:eastAsia="Aptos" w:hAnsi="Times New Roman" w:cs="Times New Roman"/>
                <w:kern w:val="2"/>
                <w:lang w:val="ro-MD"/>
              </w:rPr>
              <w:t xml:space="preserve"> devine filială, respectiv se situează sub nivelurile menţionate, şi/sau despre orice dobîndire în situaţiile prevăzute la art.45 alin.(1) lit.b)–c), precum şi despre orice fapte sau circumstanţe care generează suspiciunea că asemenea achiziţie/dobîndire sau înstrăinare a avut loc fără respectarea prezentei legi şi a actelor normative ale Băncii Naţionale a Moldovei.</w:t>
            </w:r>
          </w:p>
        </w:tc>
        <w:tc>
          <w:tcPr>
            <w:tcW w:w="470" w:type="pct"/>
            <w:tcBorders>
              <w:top w:val="single" w:sz="4" w:space="0" w:color="auto"/>
              <w:left w:val="single" w:sz="4" w:space="0" w:color="auto"/>
              <w:bottom w:val="single" w:sz="4" w:space="0" w:color="auto"/>
              <w:right w:val="single" w:sz="4" w:space="0" w:color="auto"/>
            </w:tcBorders>
          </w:tcPr>
          <w:p w14:paraId="294DD8AA" w14:textId="0BCF15E1" w:rsidR="00265766" w:rsidRPr="009E686F" w:rsidRDefault="00265766" w:rsidP="00265766">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08BC4B95" w14:textId="23590627" w:rsidR="00265766" w:rsidRPr="009E686F" w:rsidRDefault="00265766" w:rsidP="00265766">
            <w:pPr>
              <w:spacing w:after="0"/>
              <w:jc w:val="both"/>
              <w:rPr>
                <w:rFonts w:ascii="Times New Roman" w:hAnsi="Times New Roman" w:cs="Times New Roman"/>
              </w:rPr>
            </w:pPr>
          </w:p>
        </w:tc>
      </w:tr>
      <w:tr w:rsidR="00265766" w:rsidRPr="009E686F" w14:paraId="55F7FDA7" w14:textId="258AF92E" w:rsidTr="00960C23">
        <w:tc>
          <w:tcPr>
            <w:tcW w:w="1890" w:type="pct"/>
            <w:tcBorders>
              <w:top w:val="single" w:sz="4" w:space="0" w:color="auto"/>
              <w:left w:val="single" w:sz="4" w:space="0" w:color="auto"/>
              <w:bottom w:val="single" w:sz="4" w:space="0" w:color="auto"/>
              <w:right w:val="single" w:sz="4" w:space="0" w:color="auto"/>
            </w:tcBorders>
          </w:tcPr>
          <w:p w14:paraId="7AB9F02C" w14:textId="06A2CDD4" w:rsidR="00265766" w:rsidRPr="009E686F" w:rsidRDefault="00265766" w:rsidP="00265766">
            <w:pPr>
              <w:spacing w:after="0"/>
              <w:jc w:val="both"/>
              <w:rPr>
                <w:rFonts w:ascii="Times New Roman" w:hAnsi="Times New Roman" w:cs="Times New Roman"/>
              </w:rPr>
            </w:pPr>
            <w:r w:rsidRPr="009E686F">
              <w:rPr>
                <w:rFonts w:ascii="Times New Roman" w:hAnsi="Times New Roman" w:cs="Times New Roman"/>
              </w:rPr>
              <w:t xml:space="preserve">Cel puțin o dată pe an, instituțiile de credit admise la bursă pe o piață reglementată informează autoritățile competente cu privire la numele acționarilor și asociaților care dețin participații calificate, precum și mărimea respectivelor participații, așa cum apar acestea, de exemplu, în informațiile </w:t>
            </w:r>
            <w:r w:rsidRPr="009E686F">
              <w:rPr>
                <w:rFonts w:ascii="Times New Roman" w:hAnsi="Times New Roman" w:cs="Times New Roman"/>
              </w:rPr>
              <w:lastRenderedPageBreak/>
              <w:t>primite în cadrul adunărilor generale anuale ale acționarilor și asociaților sau ca rezultat al respectării reglementărilor referitoare la societățile admise la bursă pe o piață reglementată.</w:t>
            </w:r>
          </w:p>
        </w:tc>
        <w:tc>
          <w:tcPr>
            <w:tcW w:w="1834" w:type="pct"/>
            <w:tcBorders>
              <w:top w:val="single" w:sz="4" w:space="0" w:color="auto"/>
              <w:left w:val="single" w:sz="4" w:space="0" w:color="auto"/>
              <w:bottom w:val="single" w:sz="4" w:space="0" w:color="auto"/>
              <w:right w:val="single" w:sz="4" w:space="0" w:color="auto"/>
            </w:tcBorders>
          </w:tcPr>
          <w:p w14:paraId="0DC89021" w14:textId="2BA6E82D" w:rsidR="00265766" w:rsidRPr="009E686F" w:rsidRDefault="00265766" w:rsidP="00265766">
            <w:pPr>
              <w:spacing w:after="0"/>
              <w:jc w:val="both"/>
              <w:rPr>
                <w:rFonts w:ascii="Times New Roman" w:eastAsia="Aptos" w:hAnsi="Times New Roman" w:cs="Times New Roman"/>
                <w:b/>
                <w:bCs/>
                <w:kern w:val="2"/>
                <w:lang w:val="ro-MD"/>
              </w:rPr>
            </w:pPr>
            <w:r w:rsidRPr="009E686F">
              <w:rPr>
                <w:rFonts w:ascii="Times New Roman" w:eastAsia="Aptos" w:hAnsi="Times New Roman" w:cs="Times New Roman"/>
                <w:b/>
                <w:bCs/>
                <w:kern w:val="2"/>
                <w:lang w:val="ro-MD"/>
              </w:rPr>
              <w:lastRenderedPageBreak/>
              <w:t>Articolul 51 alin. (2)</w:t>
            </w:r>
          </w:p>
          <w:p w14:paraId="6CBE1FCE" w14:textId="2A902465" w:rsidR="00265766" w:rsidRPr="009E686F" w:rsidRDefault="00265766" w:rsidP="00265766">
            <w:pPr>
              <w:spacing w:after="0"/>
              <w:jc w:val="both"/>
              <w:rPr>
                <w:rFonts w:ascii="Times New Roman" w:hAnsi="Times New Roman" w:cs="Times New Roman"/>
                <w:lang w:val="ro-MD"/>
              </w:rPr>
            </w:pPr>
            <w:r w:rsidRPr="009E686F">
              <w:rPr>
                <w:rFonts w:ascii="Times New Roman" w:eastAsia="Aptos" w:hAnsi="Times New Roman" w:cs="Times New Roman"/>
                <w:kern w:val="2"/>
                <w:lang w:val="ro-MD"/>
              </w:rPr>
              <w:t xml:space="preserve">(2) </w:t>
            </w:r>
            <w:r w:rsidRPr="009E686F">
              <w:rPr>
                <w:rFonts w:ascii="Times New Roman" w:eastAsia="Aptos" w:hAnsi="Times New Roman" w:cs="Times New Roman"/>
                <w:i/>
                <w:iCs/>
                <w:kern w:val="2"/>
                <w:lang w:val="ro-MD"/>
              </w:rPr>
              <w:t>Instituția de credit</w:t>
            </w:r>
            <w:r w:rsidRPr="009E686F">
              <w:rPr>
                <w:rFonts w:ascii="Times New Roman" w:eastAsia="Aptos" w:hAnsi="Times New Roman" w:cs="Times New Roman"/>
                <w:kern w:val="2"/>
                <w:lang w:val="ro-MD"/>
              </w:rPr>
              <w:t xml:space="preserve"> informează Banca Naţională a Moldovei, la solicitarea acesteia, despre identitatea </w:t>
            </w:r>
            <w:r w:rsidRPr="009E686F" w:rsidDel="009D22CF">
              <w:rPr>
                <w:rFonts w:ascii="Times New Roman" w:eastAsia="Aptos" w:hAnsi="Times New Roman" w:cs="Times New Roman"/>
                <w:kern w:val="2"/>
                <w:lang w:val="ro-MD"/>
              </w:rPr>
              <w:t xml:space="preserve">deţinătorilor direcţi şi indirecţi de deţineri calificate, inclusiv a beneficiarului </w:t>
            </w:r>
            <w:r w:rsidRPr="009E686F">
              <w:rPr>
                <w:rFonts w:ascii="Times New Roman" w:hAnsi="Times New Roman" w:cs="Times New Roman"/>
                <w:lang w:val="ro-MD"/>
              </w:rPr>
              <w:t>real al deținerii</w:t>
            </w:r>
            <w:r w:rsidRPr="009E686F">
              <w:rPr>
                <w:rFonts w:ascii="Times New Roman" w:eastAsia="Aptos" w:hAnsi="Times New Roman" w:cs="Times New Roman"/>
                <w:kern w:val="2"/>
                <w:lang w:val="ro-MD"/>
              </w:rPr>
              <w:t xml:space="preserve">, şi despre nivelul </w:t>
            </w:r>
            <w:r w:rsidRPr="009E686F" w:rsidDel="00D2108E">
              <w:rPr>
                <w:rFonts w:ascii="Times New Roman" w:eastAsia="Aptos" w:hAnsi="Times New Roman" w:cs="Times New Roman"/>
                <w:kern w:val="2"/>
                <w:lang w:val="ro-MD"/>
              </w:rPr>
              <w:t xml:space="preserve">acestor </w:t>
            </w:r>
            <w:r w:rsidRPr="009E686F">
              <w:rPr>
                <w:rFonts w:ascii="Times New Roman" w:eastAsia="Aptos" w:hAnsi="Times New Roman" w:cs="Times New Roman"/>
                <w:kern w:val="2"/>
                <w:lang w:val="ro-MD"/>
              </w:rPr>
              <w:lastRenderedPageBreak/>
              <w:t>deţineri, conform informaţiilor de care dispune, în modul şi în condiţiile prevăzute de actele normative ale Băncii Naţionale a Moldovei.</w:t>
            </w:r>
            <w:r w:rsidRPr="009E686F">
              <w:rPr>
                <w:rFonts w:ascii="Times New Roman" w:eastAsia="Aptos" w:hAnsi="Times New Roman" w:cs="Times New Roman"/>
                <w:color w:val="FF0000"/>
                <w:kern w:val="2"/>
                <w:lang w:val="ro-RO"/>
              </w:rPr>
              <w:t xml:space="preserve"> </w:t>
            </w:r>
          </w:p>
          <w:p w14:paraId="0543FE61" w14:textId="447F43BD" w:rsidR="00265766" w:rsidRPr="009E686F" w:rsidRDefault="00265766" w:rsidP="00265766">
            <w:pPr>
              <w:spacing w:after="0"/>
              <w:jc w:val="both"/>
              <w:rPr>
                <w:rFonts w:ascii="Times New Roman" w:hAnsi="Times New Roman" w:cs="Times New Roman"/>
                <w:b/>
                <w:lang w:val="ro-MD"/>
              </w:rPr>
            </w:pPr>
            <w:r w:rsidRPr="009E686F">
              <w:rPr>
                <w:rFonts w:ascii="Times New Roman" w:hAnsi="Times New Roman" w:cs="Times New Roman"/>
                <w:b/>
                <w:lang w:val="ro-MD"/>
              </w:rPr>
              <w:t>Articolul 54 alin. (1)-(2)</w:t>
            </w:r>
          </w:p>
          <w:p w14:paraId="5BC6F94A" w14:textId="6FCA8625" w:rsidR="00265766" w:rsidRPr="009E686F" w:rsidRDefault="00265766" w:rsidP="00265766">
            <w:pPr>
              <w:spacing w:after="0"/>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 xml:space="preserve">(1) Cu cel puţin 7 zile înainte de ţinerea adunării generale a acţionarilor, </w:t>
            </w:r>
            <w:r w:rsidRPr="009E686F">
              <w:rPr>
                <w:rFonts w:ascii="Times New Roman" w:eastAsia="Aptos" w:hAnsi="Times New Roman" w:cs="Times New Roman"/>
                <w:i/>
                <w:iCs/>
                <w:kern w:val="2"/>
                <w:lang w:val="ro-MD"/>
              </w:rPr>
              <w:t>instituția de credit</w:t>
            </w:r>
            <w:r w:rsidRPr="009E686F">
              <w:rPr>
                <w:rFonts w:ascii="Times New Roman" w:eastAsia="Aptos" w:hAnsi="Times New Roman" w:cs="Times New Roman"/>
                <w:kern w:val="2"/>
                <w:lang w:val="ro-MD"/>
              </w:rPr>
              <w:t xml:space="preserve"> sau persoanele care convoacă adunarea generală a acţionarilor prezintă Băncii Naţionale a Moldovei lista acţionarilor cu drept de participare la adunarea generală a acţionarilor.</w:t>
            </w:r>
          </w:p>
          <w:p w14:paraId="37F45E9C" w14:textId="77777777" w:rsidR="00265766" w:rsidRPr="009E686F" w:rsidRDefault="00265766" w:rsidP="00265766">
            <w:pPr>
              <w:spacing w:after="0"/>
              <w:jc w:val="both"/>
              <w:rPr>
                <w:rFonts w:ascii="Times New Roman" w:hAnsi="Times New Roman" w:cs="Times New Roman"/>
                <w:lang w:val="ro-MD"/>
              </w:rPr>
            </w:pPr>
            <w:r w:rsidRPr="009E686F">
              <w:rPr>
                <w:rFonts w:ascii="Times New Roman" w:hAnsi="Times New Roman" w:cs="Times New Roman"/>
                <w:lang w:val="ro-MD"/>
              </w:rPr>
              <w:t>(1</w:t>
            </w:r>
            <w:r w:rsidRPr="009E686F">
              <w:rPr>
                <w:rFonts w:ascii="Times New Roman" w:hAnsi="Times New Roman" w:cs="Times New Roman"/>
                <w:vertAlign w:val="superscript"/>
                <w:lang w:val="ro-MD"/>
              </w:rPr>
              <w:t>1</w:t>
            </w:r>
            <w:r w:rsidRPr="009E686F">
              <w:rPr>
                <w:rFonts w:ascii="Times New Roman" w:hAnsi="Times New Roman" w:cs="Times New Roman"/>
                <w:lang w:val="ro-MD"/>
              </w:rPr>
              <w:t>) În lista acţionarilor cu drept de participare la adunarea generală a acţionarilor pot fi incluse doar persoanele care deţineau calitate de acţionar la data de referinţă, stabilită conform Legii nr.1134/1997 privind societăţile pe acţiuni.</w:t>
            </w:r>
          </w:p>
          <w:p w14:paraId="1269DAD9" w14:textId="77777777" w:rsidR="00265766" w:rsidRPr="009E686F" w:rsidRDefault="00265766" w:rsidP="00265766">
            <w:pPr>
              <w:spacing w:after="0"/>
              <w:jc w:val="both"/>
              <w:rPr>
                <w:rFonts w:ascii="Times New Roman" w:eastAsia="Aptos" w:hAnsi="Times New Roman" w:cs="Times New Roman"/>
                <w:kern w:val="2"/>
                <w:lang w:val="ro-MD"/>
              </w:rPr>
            </w:pPr>
          </w:p>
          <w:p w14:paraId="61A508B9" w14:textId="50782B73" w:rsidR="00265766" w:rsidRPr="009E686F" w:rsidRDefault="00265766" w:rsidP="00265766">
            <w:pPr>
              <w:spacing w:after="0"/>
              <w:jc w:val="both"/>
              <w:rPr>
                <w:rFonts w:ascii="Times New Roman" w:hAnsi="Times New Roman" w:cs="Times New Roman"/>
                <w:b/>
                <w:lang w:val="ro-MD"/>
              </w:rPr>
            </w:pPr>
            <w:r w:rsidRPr="009E686F">
              <w:rPr>
                <w:rFonts w:ascii="Times New Roman" w:hAnsi="Times New Roman" w:cs="Times New Roman"/>
                <w:b/>
                <w:lang w:val="ro-MD"/>
              </w:rPr>
              <w:t>Articolul 54 alin. (2)</w:t>
            </w:r>
          </w:p>
          <w:p w14:paraId="7EA22305" w14:textId="77777777" w:rsidR="00265766" w:rsidRPr="009E686F" w:rsidRDefault="00265766" w:rsidP="00265766">
            <w:pPr>
              <w:spacing w:after="0"/>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 xml:space="preserve">(2) Depozitarul central unic al valorilor mobiliare este obligat, cu cel puţin 3 zile înainte de data desfăşurării adunării generale a acţionarilor, să informeze  </w:t>
            </w:r>
            <w:r w:rsidRPr="009E686F">
              <w:rPr>
                <w:rFonts w:ascii="Times New Roman" w:eastAsia="Aptos" w:hAnsi="Times New Roman" w:cs="Times New Roman"/>
                <w:i/>
                <w:iCs/>
                <w:kern w:val="2"/>
                <w:lang w:val="ro-MD"/>
              </w:rPr>
              <w:t>instituția de credit</w:t>
            </w:r>
            <w:r w:rsidRPr="009E686F">
              <w:rPr>
                <w:rFonts w:ascii="Times New Roman" w:eastAsia="Aptos" w:hAnsi="Times New Roman" w:cs="Times New Roman"/>
                <w:kern w:val="2"/>
                <w:lang w:val="ro-MD"/>
              </w:rPr>
              <w:t xml:space="preserve"> şi persoanele care convoacă adunarea cu privire la orice modificări survenite în lista acţionarilor care are loc după data întocmirii acesteia, cu respectarea cerinţelor stabilite la alin.(6).</w:t>
            </w:r>
          </w:p>
          <w:p w14:paraId="36508BDB" w14:textId="24FC59AD" w:rsidR="00265766" w:rsidRPr="009E686F" w:rsidRDefault="00265766" w:rsidP="00265766">
            <w:pPr>
              <w:spacing w:after="0"/>
              <w:jc w:val="both"/>
              <w:rPr>
                <w:rFonts w:ascii="Times New Roman" w:hAnsi="Times New Roman" w:cs="Times New Roman"/>
                <w:lang w:val="ro-MD"/>
              </w:rPr>
            </w:pPr>
            <w:r w:rsidRPr="009E686F">
              <w:rPr>
                <w:rFonts w:ascii="Times New Roman" w:hAnsi="Times New Roman" w:cs="Times New Roman"/>
                <w:lang w:val="ro-MD"/>
              </w:rPr>
              <w:t xml:space="preserve">(3) Datele obţinute conform alin.(2) se prezintă Băncii Naţionale a Moldovei de către </w:t>
            </w:r>
            <w:r w:rsidRPr="009E686F">
              <w:rPr>
                <w:rFonts w:ascii="Times New Roman" w:hAnsi="Times New Roman" w:cs="Times New Roman"/>
                <w:i/>
                <w:lang w:val="ro-MD"/>
              </w:rPr>
              <w:t>instituția de credit</w:t>
            </w:r>
            <w:r w:rsidRPr="009E686F">
              <w:rPr>
                <w:rFonts w:ascii="Times New Roman" w:hAnsi="Times New Roman" w:cs="Times New Roman"/>
                <w:lang w:val="ro-MD"/>
              </w:rPr>
              <w:t xml:space="preserve">  sau persoanele care convoacă adunarea generală a acţionarilor cu cel puţin 2 zile înainte de data desfăşurării acesteia.</w:t>
            </w:r>
          </w:p>
          <w:p w14:paraId="4B121CC3" w14:textId="1E931BEB" w:rsidR="00265766" w:rsidRPr="009E686F" w:rsidRDefault="00265766" w:rsidP="00265766">
            <w:pPr>
              <w:spacing w:after="0"/>
              <w:jc w:val="both"/>
              <w:rPr>
                <w:rFonts w:ascii="Times New Roman" w:hAnsi="Times New Roman" w:cs="Times New Roman"/>
                <w:lang w:val="ro-MD"/>
              </w:rPr>
            </w:pPr>
            <w:r w:rsidRPr="009E686F">
              <w:rPr>
                <w:rFonts w:ascii="Times New Roman" w:hAnsi="Times New Roman" w:cs="Times New Roman"/>
                <w:lang w:val="ro-MD"/>
              </w:rPr>
              <w:t xml:space="preserve">(4) Banca Naţională a Moldovei examinează documentele prezentate conform alin.(1) şi (3) şi transmite Comisiei de înregistrare a participanţilor la adunarea generală a acţionarilor instituției de credit, precum şi </w:t>
            </w:r>
            <w:r w:rsidRPr="009E686F">
              <w:rPr>
                <w:rFonts w:ascii="Times New Roman" w:hAnsi="Times New Roman" w:cs="Times New Roman"/>
                <w:i/>
                <w:lang w:val="ro-MD"/>
              </w:rPr>
              <w:t>instituției de credit</w:t>
            </w:r>
            <w:r w:rsidRPr="009E686F">
              <w:rPr>
                <w:rFonts w:ascii="Times New Roman" w:hAnsi="Times New Roman" w:cs="Times New Roman"/>
                <w:lang w:val="ro-MD"/>
              </w:rPr>
              <w:t xml:space="preserve"> sau persoanelor care convoacă adunarea generală a acţionarilor, opinia scrisă referitoare la lista acţionarilor.</w:t>
            </w:r>
          </w:p>
          <w:p w14:paraId="10E63444" w14:textId="77777777" w:rsidR="00265766" w:rsidRPr="009E686F" w:rsidRDefault="00265766" w:rsidP="00265766">
            <w:pPr>
              <w:spacing w:after="0"/>
              <w:jc w:val="both"/>
              <w:rPr>
                <w:rFonts w:ascii="Times New Roman" w:hAnsi="Times New Roman" w:cs="Times New Roman"/>
                <w:lang w:val="ro-MD"/>
              </w:rPr>
            </w:pPr>
            <w:r w:rsidRPr="009E686F">
              <w:rPr>
                <w:rFonts w:ascii="Times New Roman" w:hAnsi="Times New Roman" w:cs="Times New Roman"/>
                <w:lang w:val="ro-MD"/>
              </w:rPr>
              <w:lastRenderedPageBreak/>
              <w:t>(5) Lista acţionarilor cu drept de participare la adunarea generală a acţionarilor nu este valabilă în absenţa opiniei scrise a Băncii Naţionale a Moldovei cu privire la aceasta.</w:t>
            </w:r>
          </w:p>
          <w:p w14:paraId="1F7BC129" w14:textId="5C4F5F63" w:rsidR="00265766" w:rsidRPr="009E686F" w:rsidRDefault="00265766" w:rsidP="00265766">
            <w:pPr>
              <w:spacing w:after="0"/>
              <w:jc w:val="both"/>
              <w:rPr>
                <w:rFonts w:ascii="Times New Roman" w:hAnsi="Times New Roman" w:cs="Times New Roman"/>
                <w:lang w:val="ro-MD"/>
              </w:rPr>
            </w:pPr>
            <w:r w:rsidRPr="009E686F">
              <w:rPr>
                <w:rFonts w:ascii="Times New Roman" w:hAnsi="Times New Roman" w:cs="Times New Roman"/>
                <w:lang w:val="ro-MD"/>
              </w:rPr>
              <w:t xml:space="preserve">(6) Lista acţionarilor </w:t>
            </w:r>
            <w:r w:rsidRPr="009E686F">
              <w:rPr>
                <w:rFonts w:ascii="Times New Roman" w:hAnsi="Times New Roman" w:cs="Times New Roman"/>
                <w:i/>
                <w:lang w:val="ro-MD"/>
              </w:rPr>
              <w:t>instituției de credit</w:t>
            </w:r>
            <w:r w:rsidRPr="009E686F">
              <w:rPr>
                <w:rFonts w:ascii="Times New Roman" w:hAnsi="Times New Roman" w:cs="Times New Roman"/>
                <w:lang w:val="ro-MD"/>
              </w:rPr>
              <w:t xml:space="preserve"> cu drept de participare la adunarea generală a acţionarilor nu poate fi modificată în interiorul termenului de 3 zile până la data desfăşurării adunării generale a acţionarilor </w:t>
            </w:r>
            <w:r w:rsidRPr="009E686F">
              <w:rPr>
                <w:rFonts w:ascii="Times New Roman" w:hAnsi="Times New Roman" w:cs="Times New Roman"/>
                <w:i/>
                <w:lang w:val="ro-MD"/>
              </w:rPr>
              <w:t>instituției de credit</w:t>
            </w:r>
            <w:r w:rsidRPr="009E686F">
              <w:rPr>
                <w:rFonts w:ascii="Times New Roman" w:hAnsi="Times New Roman" w:cs="Times New Roman"/>
                <w:lang w:val="ro-MD"/>
              </w:rPr>
              <w:t>.</w:t>
            </w:r>
          </w:p>
        </w:tc>
        <w:tc>
          <w:tcPr>
            <w:tcW w:w="470" w:type="pct"/>
            <w:tcBorders>
              <w:top w:val="single" w:sz="4" w:space="0" w:color="auto"/>
              <w:left w:val="single" w:sz="4" w:space="0" w:color="auto"/>
              <w:bottom w:val="single" w:sz="4" w:space="0" w:color="auto"/>
              <w:right w:val="single" w:sz="4" w:space="0" w:color="auto"/>
            </w:tcBorders>
          </w:tcPr>
          <w:p w14:paraId="36E45F29" w14:textId="5500694D" w:rsidR="00265766" w:rsidRPr="009E686F" w:rsidRDefault="00265766" w:rsidP="00265766">
            <w:pPr>
              <w:jc w:val="both"/>
              <w:rPr>
                <w:rFonts w:ascii="Times New Roman" w:hAnsi="Times New Roman" w:cs="Times New Roman"/>
              </w:rPr>
            </w:pPr>
            <w:r w:rsidRPr="009E686F">
              <w:rPr>
                <w:rFonts w:ascii="Times New Roman" w:hAnsi="Times New Roman" w:cs="Times New Roman"/>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715EE987" w14:textId="77777777" w:rsidR="00265766" w:rsidRPr="009E686F" w:rsidRDefault="00265766" w:rsidP="00265766">
            <w:pPr>
              <w:spacing w:after="0"/>
              <w:jc w:val="both"/>
              <w:rPr>
                <w:rFonts w:ascii="Times New Roman" w:hAnsi="Times New Roman" w:cs="Times New Roman"/>
                <w:lang w:val="pt-BR"/>
              </w:rPr>
            </w:pPr>
          </w:p>
          <w:p w14:paraId="559619AF" w14:textId="77777777" w:rsidR="00265766" w:rsidRPr="009E686F" w:rsidRDefault="00265766" w:rsidP="00265766">
            <w:pPr>
              <w:spacing w:after="0"/>
              <w:jc w:val="both"/>
              <w:rPr>
                <w:rFonts w:ascii="Times New Roman" w:hAnsi="Times New Roman" w:cs="Times New Roman"/>
                <w:lang w:val="pt-BR"/>
              </w:rPr>
            </w:pPr>
          </w:p>
          <w:p w14:paraId="6E4FC91C" w14:textId="77777777" w:rsidR="00265766" w:rsidRPr="009E686F" w:rsidRDefault="00265766" w:rsidP="00265766">
            <w:pPr>
              <w:spacing w:after="0"/>
              <w:jc w:val="both"/>
              <w:rPr>
                <w:rFonts w:ascii="Times New Roman" w:hAnsi="Times New Roman" w:cs="Times New Roman"/>
                <w:lang w:val="pt-BR"/>
              </w:rPr>
            </w:pPr>
          </w:p>
          <w:p w14:paraId="77494135" w14:textId="77777777" w:rsidR="00265766" w:rsidRPr="009E686F" w:rsidRDefault="00265766" w:rsidP="00265766">
            <w:pPr>
              <w:spacing w:after="0"/>
              <w:jc w:val="both"/>
              <w:rPr>
                <w:rFonts w:ascii="Times New Roman" w:hAnsi="Times New Roman" w:cs="Times New Roman"/>
                <w:lang w:val="pt-BR"/>
              </w:rPr>
            </w:pPr>
          </w:p>
          <w:p w14:paraId="48BC1EF0" w14:textId="77777777" w:rsidR="00265766" w:rsidRPr="009E686F" w:rsidRDefault="00265766" w:rsidP="00265766">
            <w:pPr>
              <w:spacing w:after="0"/>
              <w:jc w:val="both"/>
              <w:rPr>
                <w:rFonts w:ascii="Times New Roman" w:hAnsi="Times New Roman" w:cs="Times New Roman"/>
                <w:lang w:val="pt-BR"/>
              </w:rPr>
            </w:pPr>
          </w:p>
          <w:p w14:paraId="1D7AD8C2" w14:textId="77777777" w:rsidR="00265766" w:rsidRPr="009E686F" w:rsidRDefault="00265766" w:rsidP="00265766">
            <w:pPr>
              <w:spacing w:after="0"/>
              <w:jc w:val="both"/>
              <w:rPr>
                <w:rFonts w:ascii="Times New Roman" w:hAnsi="Times New Roman" w:cs="Times New Roman"/>
                <w:lang w:val="pt-BR"/>
              </w:rPr>
            </w:pPr>
          </w:p>
          <w:p w14:paraId="2BAFC981" w14:textId="77777777" w:rsidR="00265766" w:rsidRPr="009E686F" w:rsidRDefault="00265766" w:rsidP="00265766">
            <w:pPr>
              <w:spacing w:after="0"/>
              <w:jc w:val="both"/>
              <w:rPr>
                <w:rFonts w:ascii="Times New Roman" w:hAnsi="Times New Roman" w:cs="Times New Roman"/>
                <w:lang w:val="pt-BR"/>
              </w:rPr>
            </w:pPr>
          </w:p>
          <w:p w14:paraId="14ED1096" w14:textId="77777777" w:rsidR="00265766" w:rsidRPr="009E686F" w:rsidRDefault="00265766" w:rsidP="00265766">
            <w:pPr>
              <w:spacing w:after="0"/>
              <w:jc w:val="both"/>
              <w:rPr>
                <w:rFonts w:ascii="Times New Roman" w:hAnsi="Times New Roman" w:cs="Times New Roman"/>
                <w:lang w:val="pt-BR"/>
              </w:rPr>
            </w:pPr>
          </w:p>
          <w:p w14:paraId="78AF4634" w14:textId="77777777" w:rsidR="00265766" w:rsidRPr="009E686F" w:rsidRDefault="00265766" w:rsidP="00265766">
            <w:pPr>
              <w:spacing w:after="0"/>
              <w:jc w:val="both"/>
              <w:rPr>
                <w:rFonts w:ascii="Times New Roman" w:hAnsi="Times New Roman" w:cs="Times New Roman"/>
                <w:lang w:val="pt-BR"/>
              </w:rPr>
            </w:pPr>
          </w:p>
          <w:p w14:paraId="1920A9FC" w14:textId="77777777" w:rsidR="00265766" w:rsidRPr="009E686F" w:rsidRDefault="00265766" w:rsidP="00265766">
            <w:pPr>
              <w:spacing w:after="0"/>
              <w:jc w:val="both"/>
              <w:rPr>
                <w:rFonts w:ascii="Times New Roman" w:hAnsi="Times New Roman" w:cs="Times New Roman"/>
                <w:lang w:val="pt-BR"/>
              </w:rPr>
            </w:pPr>
          </w:p>
          <w:p w14:paraId="0063C85F" w14:textId="77777777" w:rsidR="00265766" w:rsidRPr="009E686F" w:rsidRDefault="00265766" w:rsidP="00265766">
            <w:pPr>
              <w:spacing w:after="0"/>
              <w:jc w:val="both"/>
              <w:rPr>
                <w:rFonts w:ascii="Times New Roman" w:hAnsi="Times New Roman" w:cs="Times New Roman"/>
                <w:lang w:val="pt-BR"/>
              </w:rPr>
            </w:pPr>
          </w:p>
          <w:p w14:paraId="658EBD6C" w14:textId="77777777" w:rsidR="00265766" w:rsidRPr="009E686F" w:rsidRDefault="00265766" w:rsidP="00265766">
            <w:pPr>
              <w:spacing w:after="0"/>
              <w:jc w:val="both"/>
              <w:rPr>
                <w:rFonts w:ascii="Times New Roman" w:hAnsi="Times New Roman" w:cs="Times New Roman"/>
                <w:lang w:val="pt-BR"/>
              </w:rPr>
            </w:pPr>
          </w:p>
          <w:p w14:paraId="06474423" w14:textId="77777777" w:rsidR="00265766" w:rsidRPr="009E686F" w:rsidRDefault="00265766" w:rsidP="00265766">
            <w:pPr>
              <w:spacing w:after="0"/>
              <w:jc w:val="both"/>
              <w:rPr>
                <w:rFonts w:ascii="Times New Roman" w:hAnsi="Times New Roman" w:cs="Times New Roman"/>
                <w:lang w:val="pt-BR"/>
              </w:rPr>
            </w:pPr>
          </w:p>
          <w:p w14:paraId="1FAF83B9" w14:textId="77777777" w:rsidR="00265766" w:rsidRPr="009E686F" w:rsidRDefault="00265766" w:rsidP="00265766">
            <w:pPr>
              <w:spacing w:after="0"/>
              <w:jc w:val="both"/>
              <w:rPr>
                <w:rFonts w:ascii="Times New Roman" w:hAnsi="Times New Roman" w:cs="Times New Roman"/>
                <w:lang w:val="pt-BR"/>
              </w:rPr>
            </w:pPr>
          </w:p>
          <w:p w14:paraId="69AE1211" w14:textId="7D8D66A3" w:rsidR="00265766" w:rsidRPr="009E686F" w:rsidRDefault="00265766" w:rsidP="00265766">
            <w:pPr>
              <w:spacing w:after="0"/>
              <w:jc w:val="both"/>
              <w:rPr>
                <w:rFonts w:ascii="Times New Roman" w:hAnsi="Times New Roman" w:cs="Times New Roman"/>
                <w:lang w:val="pt-BR"/>
              </w:rPr>
            </w:pPr>
            <w:r w:rsidRPr="009E686F">
              <w:rPr>
                <w:rFonts w:ascii="Times New Roman" w:hAnsi="Times New Roman" w:cs="Times New Roman"/>
                <w:lang w:val="pt-BR"/>
              </w:rPr>
              <w:t>Norme cu specific național de implementare.</w:t>
            </w:r>
          </w:p>
        </w:tc>
      </w:tr>
      <w:tr w:rsidR="00265766" w:rsidRPr="009E686F" w14:paraId="401EE4F2" w14:textId="34C03B98" w:rsidTr="00960C23">
        <w:tc>
          <w:tcPr>
            <w:tcW w:w="1890" w:type="pct"/>
            <w:tcBorders>
              <w:top w:val="single" w:sz="4" w:space="0" w:color="auto"/>
              <w:left w:val="single" w:sz="4" w:space="0" w:color="auto"/>
              <w:bottom w:val="single" w:sz="4" w:space="0" w:color="auto"/>
              <w:right w:val="single" w:sz="4" w:space="0" w:color="auto"/>
            </w:tcBorders>
          </w:tcPr>
          <w:p w14:paraId="13151096" w14:textId="6ED2A930" w:rsidR="00265766" w:rsidRPr="009E686F" w:rsidRDefault="00265766" w:rsidP="00265766">
            <w:pPr>
              <w:spacing w:after="0"/>
              <w:jc w:val="both"/>
              <w:rPr>
                <w:rFonts w:ascii="Times New Roman" w:hAnsi="Times New Roman" w:cs="Times New Roman"/>
              </w:rPr>
            </w:pPr>
            <w:r w:rsidRPr="009E686F">
              <w:rPr>
                <w:rFonts w:ascii="Times New Roman" w:hAnsi="Times New Roman" w:cs="Times New Roman"/>
              </w:rPr>
              <w:lastRenderedPageBreak/>
              <w:t>(2) Statele membre cer ca, în cazul în care influența exercitată de persoanele menționate la articolul 22 alineatul (1) ar putea afecta administrarea viabilă și prudențială a instituției, autoritățile competente să adopte măsuri adecvate pentru încetarea situației respective. Astfel de măsuri pot consta, de exemplu, în interdicții, sancțiuni, sub rezerva articolelor 65-72, împotriva membrilor organului de conducere și a administratorilor sau în suspendarea exercitării drepturilor de vot aferente acțiunilor deținute de acționarii sau asociații instituției de credit în cauză.</w:t>
            </w:r>
          </w:p>
          <w:p w14:paraId="2A29FB46" w14:textId="77777777" w:rsidR="00265766" w:rsidRPr="009E686F" w:rsidRDefault="00265766" w:rsidP="00265766">
            <w:pPr>
              <w:spacing w:after="0"/>
              <w:jc w:val="both"/>
              <w:rPr>
                <w:rFonts w:ascii="Times New Roman" w:hAnsi="Times New Roman" w:cs="Times New Roman"/>
              </w:rPr>
            </w:pPr>
          </w:p>
          <w:p w14:paraId="2F884657" w14:textId="77777777"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Măsuri similare se aplică persoanelor fizice sau juridice care nu respectă obligația de a furniza informații prealabile, astfel cum se prevede la articolul 22 alineatul (1) și sub rezerva articolelor 65-72.</w:t>
            </w:r>
          </w:p>
          <w:p w14:paraId="4207AABE" w14:textId="77777777" w:rsidR="00265766" w:rsidRPr="009E686F" w:rsidRDefault="00265766" w:rsidP="00265766">
            <w:pPr>
              <w:spacing w:after="0"/>
              <w:jc w:val="both"/>
              <w:rPr>
                <w:rFonts w:ascii="Times New Roman" w:hAnsi="Times New Roman" w:cs="Times New Roman"/>
                <w:lang w:val="it-CH"/>
              </w:rPr>
            </w:pPr>
          </w:p>
          <w:p w14:paraId="6A9F897E" w14:textId="77777777"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În cazul în care se dobândește o participație în pofida opoziției autorităților competente, statele membre, indiferent de sancțiunile ce urmează a fi adoptate, dispun fie suspendarea exercitării drepturilor de vot aferente, fie nulitatea voturilor exprimate, fie posibilitatea anulării acestora.</w:t>
            </w:r>
          </w:p>
        </w:tc>
        <w:tc>
          <w:tcPr>
            <w:tcW w:w="1834" w:type="pct"/>
            <w:tcBorders>
              <w:top w:val="single" w:sz="4" w:space="0" w:color="auto"/>
              <w:left w:val="single" w:sz="4" w:space="0" w:color="auto"/>
              <w:bottom w:val="single" w:sz="4" w:space="0" w:color="auto"/>
              <w:right w:val="single" w:sz="4" w:space="0" w:color="auto"/>
            </w:tcBorders>
          </w:tcPr>
          <w:p w14:paraId="5A3FCF5E" w14:textId="5A5AD76F" w:rsidR="00265766" w:rsidRPr="009E686F" w:rsidRDefault="00265766" w:rsidP="00265766">
            <w:pPr>
              <w:spacing w:after="0"/>
              <w:jc w:val="both"/>
              <w:rPr>
                <w:rFonts w:ascii="Times New Roman" w:eastAsia="Aptos" w:hAnsi="Times New Roman" w:cs="Times New Roman"/>
                <w:b/>
                <w:bCs/>
                <w:kern w:val="2"/>
                <w:lang w:val="ro-MD"/>
              </w:rPr>
            </w:pPr>
            <w:r w:rsidRPr="009E686F">
              <w:rPr>
                <w:rFonts w:ascii="Times New Roman" w:eastAsia="Aptos" w:hAnsi="Times New Roman" w:cs="Times New Roman"/>
                <w:b/>
                <w:bCs/>
                <w:kern w:val="2"/>
                <w:lang w:val="ro-MD"/>
              </w:rPr>
              <w:t>Articolul 51 alin. (6)</w:t>
            </w:r>
          </w:p>
          <w:p w14:paraId="6DB1B7D3" w14:textId="4C2C51D2" w:rsidR="00265766" w:rsidRPr="009E686F" w:rsidRDefault="00265766" w:rsidP="00265766">
            <w:pPr>
              <w:spacing w:after="0"/>
              <w:jc w:val="both"/>
              <w:rPr>
                <w:rFonts w:ascii="Times New Roman" w:eastAsia="Aptos" w:hAnsi="Times New Roman" w:cs="Times New Roman"/>
                <w:color w:val="FF0000"/>
                <w:kern w:val="2"/>
                <w:lang w:val="ro-RO"/>
              </w:rPr>
            </w:pPr>
            <w:r w:rsidRPr="009E686F">
              <w:rPr>
                <w:rFonts w:ascii="Times New Roman" w:eastAsia="Aptos" w:hAnsi="Times New Roman" w:cs="Times New Roman"/>
                <w:kern w:val="2"/>
                <w:lang w:val="ro-MD"/>
              </w:rPr>
              <w:t xml:space="preserve">(6) Banca Naţională a Moldovei asigură urmărirea respectării în mod permanent a cerinţelor prevăzute la art.48 şi poate solicita, în acest sens, de la  </w:t>
            </w:r>
            <w:r w:rsidRPr="009E686F">
              <w:rPr>
                <w:rFonts w:ascii="Times New Roman" w:eastAsia="Aptos" w:hAnsi="Times New Roman" w:cs="Times New Roman"/>
                <w:i/>
                <w:iCs/>
                <w:kern w:val="2"/>
                <w:lang w:val="ro-MD"/>
              </w:rPr>
              <w:t>instituția de credit</w:t>
            </w:r>
            <w:r w:rsidRPr="009E686F">
              <w:rPr>
                <w:rFonts w:ascii="Times New Roman" w:eastAsia="Aptos" w:hAnsi="Times New Roman" w:cs="Times New Roman"/>
                <w:kern w:val="2"/>
                <w:lang w:val="ro-MD"/>
              </w:rPr>
              <w:t xml:space="preserve">  şi/sau de la orice deţinător, direct şi/sau indirect, inclusiv beneficiarul </w:t>
            </w:r>
            <w:r w:rsidRPr="009E686F">
              <w:rPr>
                <w:rFonts w:ascii="Times New Roman" w:hAnsi="Times New Roman" w:cs="Times New Roman"/>
                <w:lang w:val="ro-MD"/>
              </w:rPr>
              <w:t>real al deținerii</w:t>
            </w:r>
            <w:r w:rsidRPr="009E686F">
              <w:rPr>
                <w:rFonts w:ascii="Times New Roman" w:eastAsia="Aptos" w:hAnsi="Times New Roman" w:cs="Times New Roman"/>
                <w:kern w:val="2"/>
                <w:lang w:val="ro-MD"/>
              </w:rPr>
              <w:t xml:space="preserve">într-o  </w:t>
            </w:r>
            <w:r w:rsidRPr="009E686F">
              <w:rPr>
                <w:rFonts w:ascii="Times New Roman" w:eastAsia="Aptos" w:hAnsi="Times New Roman" w:cs="Times New Roman"/>
                <w:i/>
                <w:iCs/>
                <w:kern w:val="2"/>
                <w:lang w:val="ro-MD"/>
              </w:rPr>
              <w:t>instituție de credit</w:t>
            </w:r>
            <w:r w:rsidRPr="009E686F">
              <w:rPr>
                <w:rFonts w:ascii="Times New Roman" w:eastAsia="Aptos" w:hAnsi="Times New Roman" w:cs="Times New Roman"/>
                <w:kern w:val="2"/>
                <w:lang w:val="ro-MD"/>
              </w:rPr>
              <w:t xml:space="preserve">, orice informaţii pe care le consideră necesare, de asemenea poate aplica </w:t>
            </w:r>
            <w:r w:rsidRPr="009E686F">
              <w:rPr>
                <w:rFonts w:ascii="Times New Roman" w:eastAsia="Aptos" w:hAnsi="Times New Roman" w:cs="Times New Roman"/>
                <w:i/>
                <w:iCs/>
                <w:kern w:val="2"/>
                <w:lang w:val="ro-MD"/>
              </w:rPr>
              <w:t>instituției de credit</w:t>
            </w:r>
            <w:r w:rsidRPr="009E686F">
              <w:rPr>
                <w:rFonts w:ascii="Times New Roman" w:eastAsia="Aptos" w:hAnsi="Times New Roman" w:cs="Times New Roman"/>
                <w:kern w:val="2"/>
                <w:lang w:val="ro-MD"/>
              </w:rPr>
              <w:t xml:space="preserve">, conducătorilor acesteia şi deţinătorului, direct şi indirect, inclusiv beneficiarului </w:t>
            </w:r>
            <w:r w:rsidRPr="009E686F">
              <w:rPr>
                <w:rFonts w:ascii="Times New Roman" w:hAnsi="Times New Roman" w:cs="Times New Roman"/>
                <w:lang w:val="ro-MD"/>
              </w:rPr>
              <w:t>real al deținerii</w:t>
            </w:r>
            <w:r w:rsidRPr="009E686F">
              <w:rPr>
                <w:rFonts w:ascii="Times New Roman" w:eastAsia="Aptos" w:hAnsi="Times New Roman" w:cs="Times New Roman"/>
                <w:kern w:val="2"/>
                <w:lang w:val="ro-MD"/>
              </w:rPr>
              <w:t xml:space="preserve"> în capitalul social al unei </w:t>
            </w:r>
            <w:r w:rsidRPr="009E686F">
              <w:rPr>
                <w:rFonts w:ascii="Times New Roman" w:eastAsia="Aptos" w:hAnsi="Times New Roman" w:cs="Times New Roman"/>
                <w:i/>
                <w:iCs/>
                <w:kern w:val="2"/>
                <w:lang w:val="ro-MD"/>
              </w:rPr>
              <w:t>instituției de credit</w:t>
            </w:r>
            <w:r w:rsidRPr="009E686F">
              <w:rPr>
                <w:rFonts w:ascii="Times New Roman" w:eastAsia="Aptos" w:hAnsi="Times New Roman" w:cs="Times New Roman"/>
                <w:kern w:val="2"/>
                <w:lang w:val="ro-MD"/>
              </w:rPr>
              <w:t xml:space="preserve"> măsuri provizorii, sancţiuni şi/sau măsuri sancţionatoare corespunzătoare, conform prezentei legi.</w:t>
            </w:r>
            <w:r w:rsidRPr="009E686F">
              <w:rPr>
                <w:rFonts w:ascii="Times New Roman" w:eastAsia="Aptos" w:hAnsi="Times New Roman" w:cs="Times New Roman"/>
                <w:color w:val="FF0000"/>
                <w:kern w:val="2"/>
                <w:lang w:val="ro-RO"/>
              </w:rPr>
              <w:t xml:space="preserve"> </w:t>
            </w:r>
          </w:p>
          <w:p w14:paraId="79727FA9" w14:textId="752C1C84" w:rsidR="00265766" w:rsidRPr="009E686F" w:rsidRDefault="00265766" w:rsidP="00265766">
            <w:pPr>
              <w:spacing w:after="0"/>
              <w:jc w:val="both"/>
              <w:rPr>
                <w:rFonts w:ascii="Times New Roman" w:hAnsi="Times New Roman" w:cs="Times New Roman"/>
                <w:b/>
                <w:bCs/>
                <w:lang w:val="ro-RO"/>
              </w:rPr>
            </w:pPr>
            <w:r w:rsidRPr="009E686F">
              <w:rPr>
                <w:rFonts w:ascii="Times New Roman" w:hAnsi="Times New Roman" w:cs="Times New Roman"/>
                <w:b/>
                <w:bCs/>
                <w:lang w:val="ro-RO"/>
              </w:rPr>
              <w:t>Articolul 52 alin. (1)</w:t>
            </w:r>
          </w:p>
          <w:p w14:paraId="3B8BE6B7" w14:textId="60099DA9" w:rsidR="00265766" w:rsidRPr="009E686F" w:rsidRDefault="00265766" w:rsidP="00265766">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 xml:space="preserve">(1) În cazul în care deţinătorul, direct sau indirect, al unei deţineri calificate, inclusiv beneficiarul </w:t>
            </w:r>
            <w:r w:rsidRPr="009E686F">
              <w:rPr>
                <w:rFonts w:ascii="Times New Roman" w:hAnsi="Times New Roman" w:cs="Times New Roman"/>
                <w:lang w:val="ro-MD"/>
              </w:rPr>
              <w:t>real al deținerii</w:t>
            </w:r>
            <w:r w:rsidRPr="009E686F">
              <w:rPr>
                <w:rFonts w:ascii="Times New Roman" w:eastAsia="Aptos" w:hAnsi="Times New Roman" w:cs="Times New Roman"/>
                <w:kern w:val="2"/>
                <w:lang w:val="ro-MD"/>
              </w:rPr>
              <w:t xml:space="preserve">, nu mai îndeplineşte cerinţele prevăzute de prezenta lege şi actele normative ale Băncii Naţionale a Moldovei emise în aplicarea acesteia privind calitatea acţionariatului unei </w:t>
            </w:r>
            <w:r w:rsidRPr="009E686F">
              <w:rPr>
                <w:rFonts w:ascii="Times New Roman" w:eastAsia="Aptos" w:hAnsi="Times New Roman" w:cs="Times New Roman"/>
                <w:i/>
                <w:iCs/>
                <w:kern w:val="2"/>
                <w:lang w:val="ro-MD"/>
              </w:rPr>
              <w:t>instituții de credit</w:t>
            </w:r>
            <w:r w:rsidRPr="009E686F">
              <w:rPr>
                <w:rFonts w:ascii="Times New Roman" w:eastAsia="Aptos" w:hAnsi="Times New Roman" w:cs="Times New Roman"/>
                <w:kern w:val="2"/>
                <w:lang w:val="ro-MD"/>
              </w:rPr>
              <w:t xml:space="preserve"> sau exercită asupra acesteia o influenţă de natură să pericliteze administrarea prudentă şi sănătoasă a </w:t>
            </w:r>
            <w:r w:rsidRPr="009E686F">
              <w:rPr>
                <w:rFonts w:ascii="Times New Roman" w:eastAsia="Aptos" w:hAnsi="Times New Roman" w:cs="Times New Roman"/>
                <w:i/>
                <w:iCs/>
                <w:kern w:val="2"/>
                <w:lang w:val="ro-MD"/>
              </w:rPr>
              <w:t>instituției de credit</w:t>
            </w:r>
            <w:r w:rsidRPr="009E686F">
              <w:rPr>
                <w:rFonts w:ascii="Times New Roman" w:eastAsia="Aptos" w:hAnsi="Times New Roman" w:cs="Times New Roman"/>
                <w:kern w:val="2"/>
                <w:lang w:val="ro-MD"/>
              </w:rPr>
              <w:t xml:space="preserve">, precum şi în cazul în care deţinătorul, direct sau indirect, inclusiv beneficiarul </w:t>
            </w:r>
            <w:r w:rsidRPr="009E686F">
              <w:rPr>
                <w:rFonts w:ascii="Times New Roman" w:hAnsi="Times New Roman" w:cs="Times New Roman"/>
                <w:lang w:val="ro-MD"/>
              </w:rPr>
              <w:t>real al deținerii</w:t>
            </w:r>
            <w:r w:rsidRPr="009E686F">
              <w:rPr>
                <w:rFonts w:ascii="Times New Roman" w:eastAsia="Aptos" w:hAnsi="Times New Roman" w:cs="Times New Roman"/>
                <w:kern w:val="2"/>
                <w:lang w:val="ro-MD"/>
              </w:rPr>
              <w:t xml:space="preserve">, nu a furnizat Băncii Naţionale a Moldovei informaţii care relevă </w:t>
            </w:r>
            <w:r w:rsidRPr="009E686F">
              <w:rPr>
                <w:rFonts w:ascii="Times New Roman" w:eastAsia="Aptos" w:hAnsi="Times New Roman" w:cs="Times New Roman"/>
                <w:kern w:val="2"/>
                <w:lang w:val="ro-MD"/>
              </w:rPr>
              <w:lastRenderedPageBreak/>
              <w:t xml:space="preserve">cu certitudine identitatea beneficiarului </w:t>
            </w:r>
            <w:r w:rsidRPr="009E686F">
              <w:rPr>
                <w:rFonts w:ascii="Times New Roman" w:hAnsi="Times New Roman" w:cs="Times New Roman"/>
                <w:lang w:val="ro-MD"/>
              </w:rPr>
              <w:t>real al deținerii</w:t>
            </w:r>
            <w:r w:rsidRPr="009E686F">
              <w:rPr>
                <w:rFonts w:ascii="Times New Roman" w:eastAsia="Aptos" w:hAnsi="Times New Roman" w:cs="Times New Roman"/>
                <w:kern w:val="2"/>
                <w:lang w:val="ro-MD"/>
              </w:rPr>
              <w:t xml:space="preserve"> sau în cazul în care Banca Naţională a Moldovei constată acţiunea concertată a acţionarilor cu deţineri calificate fără  </w:t>
            </w:r>
            <w:r w:rsidRPr="009E686F">
              <w:rPr>
                <w:rFonts w:ascii="Times New Roman" w:eastAsia="Aptos" w:hAnsi="Times New Roman" w:cs="Times New Roman"/>
                <w:i/>
                <w:iCs/>
                <w:kern w:val="2"/>
                <w:lang w:val="ro-MD"/>
              </w:rPr>
              <w:t>notificarea scrisă potrivit art. 45 alin. (1)</w:t>
            </w:r>
            <w:r w:rsidRPr="009E686F">
              <w:rPr>
                <w:rFonts w:ascii="Times New Roman" w:eastAsia="Aptos" w:hAnsi="Times New Roman" w:cs="Times New Roman"/>
                <w:kern w:val="2"/>
                <w:lang w:val="ro-MD"/>
              </w:rPr>
              <w:t>, Banca Naţională a Moldovei poate dispune următoarele măsuri şi sancţiuni, inclusiv în mod cumulativ:</w:t>
            </w:r>
          </w:p>
          <w:p w14:paraId="011EDE97" w14:textId="77777777" w:rsidR="00265766" w:rsidRPr="009E686F" w:rsidRDefault="00265766" w:rsidP="00265766">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a) dispune suspendarea exercitării drepturilor de vot aferente acţiunilor deţinute, a dreptului de convocare şi desfăşurare a adunării generale a acţionarilor, a dreptului de a introduce chestiuni în ordinea de zi, a dreptului de a propune candidaţi pentru membrii organului de conducere, a dreptului de a primi dividende sau doar a unora dintre aceste drepturi;</w:t>
            </w:r>
          </w:p>
          <w:p w14:paraId="7C457B9D" w14:textId="184E04C0" w:rsidR="00265766" w:rsidRPr="009E686F" w:rsidRDefault="00265766" w:rsidP="00265766">
            <w:pPr>
              <w:spacing w:after="0"/>
              <w:jc w:val="both"/>
              <w:rPr>
                <w:rFonts w:ascii="Times New Roman" w:hAnsi="Times New Roman" w:cs="Times New Roman"/>
                <w:b/>
                <w:bCs/>
                <w:lang w:val="ro-MD"/>
              </w:rPr>
            </w:pPr>
            <w:r w:rsidRPr="009E686F">
              <w:rPr>
                <w:rFonts w:ascii="Times New Roman" w:eastAsia="Aptos" w:hAnsi="Times New Roman" w:cs="Times New Roman"/>
                <w:kern w:val="2"/>
                <w:lang w:val="ro-MD"/>
              </w:rPr>
              <w:t>b) dispune înstrăinarea de către persoana al cărei drept de vot a fost suspendat a acţiunilor deţinute, în condiţiile alin.(2) şi (3) din prezentul articol;</w:t>
            </w:r>
          </w:p>
          <w:p w14:paraId="21DB6F29" w14:textId="3ED1C5AD" w:rsidR="00265766" w:rsidRPr="009E686F" w:rsidRDefault="00265766" w:rsidP="00265766">
            <w:pPr>
              <w:spacing w:after="0"/>
              <w:jc w:val="both"/>
              <w:rPr>
                <w:rFonts w:ascii="Times New Roman" w:hAnsi="Times New Roman" w:cs="Times New Roman"/>
                <w:b/>
                <w:lang w:val="ro-MD"/>
              </w:rPr>
            </w:pPr>
            <w:r w:rsidRPr="009E686F">
              <w:rPr>
                <w:rFonts w:ascii="Times New Roman" w:hAnsi="Times New Roman" w:cs="Times New Roman"/>
                <w:b/>
                <w:lang w:val="ro-MD"/>
              </w:rPr>
              <w:t>Articolul 45 alin. (2)</w:t>
            </w:r>
          </w:p>
          <w:p w14:paraId="7A444465" w14:textId="671FBD49" w:rsidR="00265766" w:rsidRPr="009E686F" w:rsidRDefault="00265766" w:rsidP="00265766">
            <w:pPr>
              <w:spacing w:after="0"/>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 xml:space="preserve">(2) Exerciţiul dreptului de vot, al dreptului de convocare şi desfăşurare a adunării generale a acţionarilor, al dreptului de a introduce chestiuni pe ordinea de zi, al dreptului de a propune candidaţi pentru membrii organului de conducere, al dreptului de a primi dividende este suspendat de drept din data hotărârii Băncii Naţionale a Moldovei prin care se constată achiziţia/dobândirea realizată cu încălcarea prevederilor alin.(1). Banca Naţională a Moldovei notifică achizitorul potenţial/dobânditorul şi </w:t>
            </w:r>
            <w:r w:rsidRPr="009E686F">
              <w:rPr>
                <w:rFonts w:ascii="Times New Roman" w:eastAsia="Aptos" w:hAnsi="Times New Roman" w:cs="Times New Roman"/>
                <w:i/>
                <w:iCs/>
                <w:kern w:val="2"/>
                <w:lang w:val="ro-MD"/>
              </w:rPr>
              <w:t>instituția de credit</w:t>
            </w:r>
            <w:r w:rsidRPr="009E686F">
              <w:rPr>
                <w:rFonts w:ascii="Times New Roman" w:eastAsia="Aptos" w:hAnsi="Times New Roman" w:cs="Times New Roman"/>
                <w:kern w:val="2"/>
                <w:lang w:val="ro-MD"/>
              </w:rPr>
              <w:t>, în termen de 5 zile de la data la care a aflat despre achiziţia/dobândirea realizată cu încălcarea prevederilor alin.(1), despre incidenţa prevederilor vizând suspendarea exerciţiului drepturilor indicate în prezentul alineat.</w:t>
            </w:r>
          </w:p>
        </w:tc>
        <w:tc>
          <w:tcPr>
            <w:tcW w:w="470" w:type="pct"/>
            <w:tcBorders>
              <w:top w:val="single" w:sz="4" w:space="0" w:color="auto"/>
              <w:left w:val="single" w:sz="4" w:space="0" w:color="auto"/>
              <w:bottom w:val="single" w:sz="4" w:space="0" w:color="auto"/>
              <w:right w:val="single" w:sz="4" w:space="0" w:color="auto"/>
            </w:tcBorders>
          </w:tcPr>
          <w:p w14:paraId="1C41D5CC" w14:textId="77777777" w:rsidR="00265766" w:rsidRPr="009E686F" w:rsidRDefault="00265766" w:rsidP="00265766">
            <w:pPr>
              <w:jc w:val="both"/>
              <w:rPr>
                <w:rFonts w:ascii="Times New Roman" w:hAnsi="Times New Roman" w:cs="Times New Roman"/>
              </w:rPr>
            </w:pPr>
            <w:r w:rsidRPr="009E686F">
              <w:rPr>
                <w:rFonts w:ascii="Times New Roman" w:hAnsi="Times New Roman" w:cs="Times New Roman"/>
              </w:rPr>
              <w:lastRenderedPageBreak/>
              <w:t>Compatibil</w:t>
            </w:r>
          </w:p>
          <w:p w14:paraId="1BC291E4" w14:textId="77777777" w:rsidR="00265766" w:rsidRPr="009E686F" w:rsidRDefault="00265766" w:rsidP="00265766">
            <w:pPr>
              <w:jc w:val="both"/>
              <w:rPr>
                <w:rFonts w:ascii="Times New Roman" w:hAnsi="Times New Roman" w:cs="Times New Roman"/>
              </w:rPr>
            </w:pPr>
          </w:p>
          <w:p w14:paraId="108AB983" w14:textId="77777777" w:rsidR="00265766" w:rsidRPr="009E686F" w:rsidRDefault="00265766" w:rsidP="00265766">
            <w:pPr>
              <w:jc w:val="both"/>
              <w:rPr>
                <w:rFonts w:ascii="Times New Roman" w:hAnsi="Times New Roman" w:cs="Times New Roman"/>
              </w:rPr>
            </w:pPr>
          </w:p>
          <w:p w14:paraId="2F880FE3" w14:textId="77777777" w:rsidR="00265766" w:rsidRPr="009E686F" w:rsidRDefault="00265766" w:rsidP="00265766">
            <w:pPr>
              <w:jc w:val="both"/>
              <w:rPr>
                <w:rFonts w:ascii="Times New Roman" w:hAnsi="Times New Roman" w:cs="Times New Roman"/>
              </w:rPr>
            </w:pPr>
          </w:p>
          <w:p w14:paraId="62005CCA" w14:textId="77777777" w:rsidR="00265766" w:rsidRPr="009E686F" w:rsidRDefault="00265766" w:rsidP="00265766">
            <w:pPr>
              <w:jc w:val="both"/>
              <w:rPr>
                <w:rFonts w:ascii="Times New Roman" w:hAnsi="Times New Roman" w:cs="Times New Roman"/>
              </w:rPr>
            </w:pPr>
          </w:p>
          <w:p w14:paraId="3AA4DA58" w14:textId="77777777" w:rsidR="00265766" w:rsidRPr="009E686F" w:rsidRDefault="00265766" w:rsidP="00265766">
            <w:pPr>
              <w:jc w:val="both"/>
              <w:rPr>
                <w:rFonts w:ascii="Times New Roman" w:hAnsi="Times New Roman" w:cs="Times New Roman"/>
              </w:rPr>
            </w:pPr>
          </w:p>
          <w:p w14:paraId="3815FD56" w14:textId="77777777" w:rsidR="00265766" w:rsidRPr="009E686F" w:rsidRDefault="00265766" w:rsidP="00265766">
            <w:pPr>
              <w:jc w:val="both"/>
              <w:rPr>
                <w:rFonts w:ascii="Times New Roman" w:hAnsi="Times New Roman" w:cs="Times New Roman"/>
              </w:rPr>
            </w:pPr>
          </w:p>
          <w:p w14:paraId="4CEECC06" w14:textId="77777777" w:rsidR="00265766" w:rsidRPr="009E686F" w:rsidRDefault="00265766" w:rsidP="00265766">
            <w:pPr>
              <w:jc w:val="both"/>
              <w:rPr>
                <w:rFonts w:ascii="Times New Roman" w:hAnsi="Times New Roman" w:cs="Times New Roman"/>
              </w:rPr>
            </w:pPr>
          </w:p>
          <w:p w14:paraId="64F39777" w14:textId="77777777" w:rsidR="00265766" w:rsidRPr="009E686F" w:rsidRDefault="00265766" w:rsidP="00265766">
            <w:pPr>
              <w:jc w:val="both"/>
              <w:rPr>
                <w:rFonts w:ascii="Times New Roman" w:hAnsi="Times New Roman" w:cs="Times New Roman"/>
              </w:rPr>
            </w:pPr>
          </w:p>
          <w:p w14:paraId="484198F3" w14:textId="77777777" w:rsidR="00265766" w:rsidRPr="009E686F" w:rsidRDefault="00265766" w:rsidP="00265766">
            <w:pPr>
              <w:jc w:val="both"/>
              <w:rPr>
                <w:rFonts w:ascii="Times New Roman" w:hAnsi="Times New Roman" w:cs="Times New Roman"/>
              </w:rPr>
            </w:pPr>
          </w:p>
          <w:p w14:paraId="5B12703A" w14:textId="77777777" w:rsidR="00265766" w:rsidRPr="009E686F" w:rsidRDefault="00265766" w:rsidP="00265766">
            <w:pPr>
              <w:jc w:val="both"/>
              <w:rPr>
                <w:rFonts w:ascii="Times New Roman" w:hAnsi="Times New Roman" w:cs="Times New Roman"/>
              </w:rPr>
            </w:pPr>
          </w:p>
          <w:p w14:paraId="547A795D" w14:textId="77777777" w:rsidR="00265766" w:rsidRPr="009E686F" w:rsidRDefault="00265766" w:rsidP="00265766">
            <w:pPr>
              <w:jc w:val="both"/>
              <w:rPr>
                <w:rFonts w:ascii="Times New Roman" w:hAnsi="Times New Roman" w:cs="Times New Roman"/>
              </w:rPr>
            </w:pPr>
          </w:p>
          <w:p w14:paraId="77922AFF" w14:textId="77777777" w:rsidR="00265766" w:rsidRPr="009E686F" w:rsidRDefault="00265766" w:rsidP="00265766">
            <w:pPr>
              <w:jc w:val="both"/>
              <w:rPr>
                <w:rFonts w:ascii="Times New Roman" w:hAnsi="Times New Roman" w:cs="Times New Roman"/>
              </w:rPr>
            </w:pPr>
          </w:p>
          <w:p w14:paraId="3637B15F" w14:textId="77777777" w:rsidR="00265766" w:rsidRPr="009E686F" w:rsidRDefault="00265766" w:rsidP="00265766">
            <w:pPr>
              <w:jc w:val="both"/>
              <w:rPr>
                <w:rFonts w:ascii="Times New Roman" w:hAnsi="Times New Roman" w:cs="Times New Roman"/>
              </w:rPr>
            </w:pPr>
          </w:p>
          <w:p w14:paraId="37F5615C" w14:textId="77777777" w:rsidR="00265766" w:rsidRPr="009E686F" w:rsidRDefault="00265766" w:rsidP="00265766">
            <w:pPr>
              <w:jc w:val="both"/>
              <w:rPr>
                <w:rFonts w:ascii="Times New Roman" w:hAnsi="Times New Roman" w:cs="Times New Roman"/>
              </w:rPr>
            </w:pPr>
          </w:p>
          <w:p w14:paraId="5D4532A4" w14:textId="77777777" w:rsidR="00265766" w:rsidRPr="009E686F" w:rsidRDefault="00265766" w:rsidP="00265766">
            <w:pPr>
              <w:jc w:val="both"/>
              <w:rPr>
                <w:rFonts w:ascii="Times New Roman" w:hAnsi="Times New Roman" w:cs="Times New Roman"/>
              </w:rPr>
            </w:pPr>
          </w:p>
          <w:p w14:paraId="29A8216D" w14:textId="77777777" w:rsidR="00265766" w:rsidRPr="009E686F" w:rsidRDefault="00265766" w:rsidP="00265766">
            <w:pPr>
              <w:jc w:val="both"/>
              <w:rPr>
                <w:rFonts w:ascii="Times New Roman" w:hAnsi="Times New Roman" w:cs="Times New Roman"/>
              </w:rPr>
            </w:pPr>
          </w:p>
          <w:p w14:paraId="3C530A68" w14:textId="77777777" w:rsidR="00265766" w:rsidRPr="009E686F" w:rsidRDefault="00265766" w:rsidP="00265766">
            <w:pPr>
              <w:jc w:val="both"/>
              <w:rPr>
                <w:rFonts w:ascii="Times New Roman" w:hAnsi="Times New Roman" w:cs="Times New Roman"/>
              </w:rPr>
            </w:pPr>
          </w:p>
          <w:p w14:paraId="4C740A5C" w14:textId="77777777" w:rsidR="00265766" w:rsidRPr="009E686F" w:rsidRDefault="00265766" w:rsidP="00265766">
            <w:pPr>
              <w:jc w:val="both"/>
              <w:rPr>
                <w:rFonts w:ascii="Times New Roman" w:hAnsi="Times New Roman" w:cs="Times New Roman"/>
              </w:rPr>
            </w:pPr>
          </w:p>
          <w:p w14:paraId="3DCA727B" w14:textId="5FBC8AB2" w:rsidR="00265766" w:rsidRPr="009E686F" w:rsidRDefault="00265766" w:rsidP="00265766">
            <w:pPr>
              <w:jc w:val="both"/>
              <w:rPr>
                <w:rFonts w:ascii="Times New Roman" w:hAnsi="Times New Roman" w:cs="Times New Roman"/>
              </w:rPr>
            </w:pPr>
          </w:p>
          <w:p w14:paraId="02F737BB" w14:textId="77777777" w:rsidR="00265766" w:rsidRPr="009E686F" w:rsidRDefault="00265766" w:rsidP="00265766">
            <w:pPr>
              <w:jc w:val="both"/>
              <w:rPr>
                <w:rFonts w:ascii="Times New Roman" w:hAnsi="Times New Roman" w:cs="Times New Roman"/>
              </w:rPr>
            </w:pPr>
          </w:p>
          <w:p w14:paraId="6629C546" w14:textId="77777777" w:rsidR="00265766" w:rsidRPr="009E686F" w:rsidRDefault="00265766" w:rsidP="00265766">
            <w:pPr>
              <w:jc w:val="both"/>
              <w:rPr>
                <w:rFonts w:ascii="Times New Roman" w:hAnsi="Times New Roman" w:cs="Times New Roman"/>
              </w:rPr>
            </w:pPr>
          </w:p>
          <w:p w14:paraId="72AFA59D" w14:textId="77777777" w:rsidR="00265766" w:rsidRPr="009E686F" w:rsidRDefault="00265766" w:rsidP="00265766">
            <w:pPr>
              <w:jc w:val="both"/>
              <w:rPr>
                <w:rFonts w:ascii="Times New Roman" w:hAnsi="Times New Roman" w:cs="Times New Roman"/>
              </w:rPr>
            </w:pPr>
          </w:p>
          <w:p w14:paraId="35AE9E76" w14:textId="77777777" w:rsidR="00265766" w:rsidRPr="009E686F" w:rsidRDefault="00265766" w:rsidP="00265766">
            <w:pPr>
              <w:jc w:val="both"/>
              <w:rPr>
                <w:rFonts w:ascii="Times New Roman" w:hAnsi="Times New Roman" w:cs="Times New Roman"/>
              </w:rPr>
            </w:pPr>
          </w:p>
          <w:p w14:paraId="6FB98CBA" w14:textId="77777777" w:rsidR="00265766" w:rsidRPr="009E686F" w:rsidRDefault="00265766" w:rsidP="00265766">
            <w:pPr>
              <w:jc w:val="both"/>
              <w:rPr>
                <w:rFonts w:ascii="Times New Roman" w:hAnsi="Times New Roman" w:cs="Times New Roman"/>
              </w:rPr>
            </w:pPr>
          </w:p>
          <w:p w14:paraId="2FAA74D3" w14:textId="77777777" w:rsidR="00265766" w:rsidRPr="009E686F" w:rsidRDefault="00265766" w:rsidP="00265766">
            <w:pPr>
              <w:jc w:val="both"/>
              <w:rPr>
                <w:rFonts w:ascii="Times New Roman" w:hAnsi="Times New Roman" w:cs="Times New Roman"/>
              </w:rPr>
            </w:pPr>
          </w:p>
          <w:p w14:paraId="61182768" w14:textId="77777777" w:rsidR="00265766" w:rsidRPr="009E686F" w:rsidRDefault="00265766" w:rsidP="00265766">
            <w:pPr>
              <w:jc w:val="both"/>
              <w:rPr>
                <w:rFonts w:ascii="Times New Roman" w:hAnsi="Times New Roman" w:cs="Times New Roman"/>
              </w:rPr>
            </w:pPr>
          </w:p>
          <w:p w14:paraId="57BFEB68" w14:textId="77777777" w:rsidR="00265766" w:rsidRPr="009E686F" w:rsidRDefault="00265766" w:rsidP="00265766">
            <w:pPr>
              <w:jc w:val="both"/>
              <w:rPr>
                <w:rFonts w:ascii="Times New Roman" w:hAnsi="Times New Roman" w:cs="Times New Roman"/>
              </w:rPr>
            </w:pPr>
          </w:p>
          <w:p w14:paraId="18217B70" w14:textId="23F6B513" w:rsidR="00265766" w:rsidRPr="009E686F" w:rsidRDefault="00265766" w:rsidP="00265766">
            <w:pPr>
              <w:jc w:val="both"/>
              <w:rPr>
                <w:rFonts w:ascii="Times New Roman" w:hAnsi="Times New Roman" w:cs="Times New Roman"/>
              </w:rPr>
            </w:pPr>
          </w:p>
          <w:p w14:paraId="4A8D7191" w14:textId="2F4AB572" w:rsidR="00265766" w:rsidRPr="009E686F" w:rsidRDefault="00265766" w:rsidP="00265766">
            <w:pPr>
              <w:jc w:val="both"/>
              <w:rPr>
                <w:rFonts w:ascii="Times New Roman" w:hAnsi="Times New Roman" w:cs="Times New Roman"/>
              </w:rPr>
            </w:pPr>
          </w:p>
          <w:p w14:paraId="443E3C72" w14:textId="2A0AC5DF" w:rsidR="00265766" w:rsidRPr="009E686F" w:rsidRDefault="00265766" w:rsidP="00265766">
            <w:pPr>
              <w:jc w:val="both"/>
              <w:rPr>
                <w:rFonts w:ascii="Times New Roman" w:hAnsi="Times New Roman" w:cs="Times New Roman"/>
              </w:rPr>
            </w:pPr>
          </w:p>
          <w:p w14:paraId="55B68C2B" w14:textId="09B13BA2" w:rsidR="00265766" w:rsidRPr="009E686F" w:rsidRDefault="00265766" w:rsidP="00265766">
            <w:pPr>
              <w:jc w:val="both"/>
              <w:rPr>
                <w:rFonts w:ascii="Times New Roman" w:hAnsi="Times New Roman" w:cs="Times New Roman"/>
              </w:rPr>
            </w:pPr>
          </w:p>
        </w:tc>
        <w:tc>
          <w:tcPr>
            <w:tcW w:w="806" w:type="pct"/>
            <w:tcBorders>
              <w:top w:val="single" w:sz="4" w:space="0" w:color="auto"/>
              <w:left w:val="single" w:sz="4" w:space="0" w:color="auto"/>
              <w:bottom w:val="single" w:sz="4" w:space="0" w:color="auto"/>
              <w:right w:val="single" w:sz="4" w:space="0" w:color="auto"/>
            </w:tcBorders>
          </w:tcPr>
          <w:p w14:paraId="2800C1FE" w14:textId="45681373" w:rsidR="00265766" w:rsidRPr="009E686F" w:rsidRDefault="00721A05" w:rsidP="00265766">
            <w:pPr>
              <w:spacing w:after="0"/>
              <w:jc w:val="both"/>
              <w:rPr>
                <w:rFonts w:ascii="Times New Roman" w:hAnsi="Times New Roman" w:cs="Times New Roman"/>
                <w:lang w:val="it-CH"/>
              </w:rPr>
            </w:pPr>
            <w:r w:rsidRPr="009E686F">
              <w:rPr>
                <w:rFonts w:ascii="Times New Roman" w:hAnsi="Times New Roman" w:cs="Times New Roman"/>
                <w:lang w:val="it-CH"/>
              </w:rPr>
              <w:lastRenderedPageBreak/>
              <w:t>Modificările aferente procedurii de notificare – în vigoare de la data aderării. Până la aderare, se menține procedura de aprobare prelabilă.</w:t>
            </w:r>
          </w:p>
        </w:tc>
      </w:tr>
      <w:tr w:rsidR="00265766" w:rsidRPr="009E686F" w14:paraId="35E28838" w14:textId="19DA3E5A" w:rsidTr="00960C23">
        <w:tc>
          <w:tcPr>
            <w:tcW w:w="1890" w:type="pct"/>
            <w:tcBorders>
              <w:top w:val="single" w:sz="4" w:space="0" w:color="auto"/>
              <w:left w:val="single" w:sz="4" w:space="0" w:color="auto"/>
              <w:bottom w:val="single" w:sz="4" w:space="0" w:color="auto"/>
              <w:right w:val="single" w:sz="4" w:space="0" w:color="auto"/>
            </w:tcBorders>
          </w:tcPr>
          <w:p w14:paraId="1FDD577E" w14:textId="77777777" w:rsidR="00265766" w:rsidRPr="009E686F" w:rsidRDefault="00265766" w:rsidP="00265766">
            <w:pPr>
              <w:spacing w:after="0"/>
              <w:jc w:val="both"/>
              <w:rPr>
                <w:rFonts w:ascii="Times New Roman" w:hAnsi="Times New Roman" w:cs="Times New Roman"/>
                <w:i/>
                <w:lang w:val="it-CH"/>
              </w:rPr>
            </w:pPr>
            <w:r w:rsidRPr="009E686F">
              <w:rPr>
                <w:rFonts w:ascii="Times New Roman" w:hAnsi="Times New Roman" w:cs="Times New Roman"/>
                <w:i/>
                <w:lang w:val="it-CH"/>
              </w:rPr>
              <w:t xml:space="preserve">Articolul 27 </w:t>
            </w:r>
          </w:p>
          <w:p w14:paraId="08A7ED81" w14:textId="314E31E8"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Criterii privind participațiile calificate</w:t>
            </w:r>
          </w:p>
          <w:p w14:paraId="501405A2" w14:textId="77777777" w:rsidR="00265766" w:rsidRPr="009E686F" w:rsidRDefault="00265766" w:rsidP="00265766">
            <w:pPr>
              <w:spacing w:after="0"/>
              <w:jc w:val="both"/>
              <w:rPr>
                <w:rFonts w:ascii="Times New Roman" w:hAnsi="Times New Roman" w:cs="Times New Roman"/>
                <w:b/>
                <w:lang w:val="it-CH"/>
              </w:rPr>
            </w:pPr>
          </w:p>
          <w:p w14:paraId="2D4F2AC8" w14:textId="77777777"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Pentru a se stabili dacă au fost respectate criteriile privind participațiile calificate astfel cum se menționează la articolele 22, 25 și 26, se ține seama de drepturile de vot menționate la articolele 9, 10 și 11 din Directiva 2004/109/CE, precum și de condițiile de cumulare stabilite la articolul 12 alineatele (4) și (5) din directiva respectivă.</w:t>
            </w:r>
          </w:p>
        </w:tc>
        <w:tc>
          <w:tcPr>
            <w:tcW w:w="1834" w:type="pct"/>
            <w:tcBorders>
              <w:top w:val="single" w:sz="4" w:space="0" w:color="auto"/>
              <w:left w:val="single" w:sz="4" w:space="0" w:color="auto"/>
              <w:bottom w:val="single" w:sz="4" w:space="0" w:color="auto"/>
              <w:right w:val="single" w:sz="4" w:space="0" w:color="auto"/>
            </w:tcBorders>
          </w:tcPr>
          <w:p w14:paraId="61237316" w14:textId="6FD2085C" w:rsidR="00265766" w:rsidRPr="009E686F" w:rsidRDefault="00265766" w:rsidP="00265766">
            <w:pPr>
              <w:spacing w:after="0"/>
              <w:jc w:val="both"/>
              <w:rPr>
                <w:rFonts w:ascii="Times New Roman" w:hAnsi="Times New Roman" w:cs="Times New Roman"/>
                <w:b/>
                <w:bCs/>
                <w:lang w:val="it-CH"/>
              </w:rPr>
            </w:pPr>
            <w:r w:rsidRPr="009E686F">
              <w:rPr>
                <w:rFonts w:ascii="Times New Roman" w:hAnsi="Times New Roman" w:cs="Times New Roman"/>
                <w:b/>
                <w:bCs/>
                <w:lang w:val="it-CH"/>
              </w:rPr>
              <w:lastRenderedPageBreak/>
              <w:t>Articolul 45 alin. (7)</w:t>
            </w:r>
          </w:p>
          <w:p w14:paraId="2E241368" w14:textId="0333467A"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lastRenderedPageBreak/>
              <w:t>(7) În aplicarea prevederilor  prezentului capitol, modalitatea de determinare a drepturilor de vot se stabilește prin actele normative ale Băncii Naţionale</w:t>
            </w:r>
            <w:r w:rsidRPr="009E686F" w:rsidDel="00E12B05">
              <w:rPr>
                <w:rFonts w:ascii="Times New Roman" w:hAnsi="Times New Roman" w:cs="Times New Roman"/>
                <w:lang w:val="it-CH"/>
              </w:rPr>
              <w:t xml:space="preserve"> </w:t>
            </w:r>
            <w:r w:rsidRPr="009E686F">
              <w:rPr>
                <w:rFonts w:ascii="Times New Roman" w:hAnsi="Times New Roman" w:cs="Times New Roman"/>
                <w:lang w:val="it-CH"/>
              </w:rPr>
              <w:t>a Moldovei, în prealabil coordonate cu Comisia Națională a Pieței Financiare.</w:t>
            </w:r>
          </w:p>
        </w:tc>
        <w:tc>
          <w:tcPr>
            <w:tcW w:w="470" w:type="pct"/>
            <w:tcBorders>
              <w:top w:val="single" w:sz="4" w:space="0" w:color="auto"/>
              <w:left w:val="single" w:sz="4" w:space="0" w:color="auto"/>
              <w:bottom w:val="single" w:sz="4" w:space="0" w:color="auto"/>
              <w:right w:val="single" w:sz="4" w:space="0" w:color="auto"/>
            </w:tcBorders>
          </w:tcPr>
          <w:p w14:paraId="558AD92C" w14:textId="2F907E40" w:rsidR="00265766" w:rsidRPr="009E686F" w:rsidRDefault="00265766" w:rsidP="00265766">
            <w:pPr>
              <w:jc w:val="both"/>
              <w:rPr>
                <w:rFonts w:ascii="Times New Roman" w:hAnsi="Times New Roman" w:cs="Times New Roman"/>
              </w:rPr>
            </w:pPr>
            <w:r w:rsidRPr="009E686F">
              <w:rPr>
                <w:rFonts w:ascii="Times New Roman" w:hAnsi="Times New Roman" w:cs="Times New Roman"/>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390953D9" w14:textId="572C3219" w:rsidR="00265766" w:rsidRPr="009E686F" w:rsidRDefault="00265766" w:rsidP="00265766">
            <w:pPr>
              <w:spacing w:after="0"/>
              <w:jc w:val="both"/>
              <w:rPr>
                <w:rFonts w:ascii="Times New Roman" w:hAnsi="Times New Roman" w:cs="Times New Roman"/>
              </w:rPr>
            </w:pPr>
          </w:p>
        </w:tc>
      </w:tr>
      <w:tr w:rsidR="00265766" w:rsidRPr="009E686F" w14:paraId="56AB5B4B" w14:textId="065E7612" w:rsidTr="00960C23">
        <w:tc>
          <w:tcPr>
            <w:tcW w:w="1890" w:type="pct"/>
            <w:tcBorders>
              <w:top w:val="single" w:sz="4" w:space="0" w:color="auto"/>
              <w:left w:val="single" w:sz="4" w:space="0" w:color="auto"/>
              <w:bottom w:val="single" w:sz="4" w:space="0" w:color="auto"/>
              <w:right w:val="single" w:sz="4" w:space="0" w:color="auto"/>
            </w:tcBorders>
          </w:tcPr>
          <w:p w14:paraId="1E0D8D35" w14:textId="77777777"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Pentru a se stabili dacă au fost respectate criteriile privind participațiile calificate prevăzute la articolul 26, statele membre nu țin seama de drepturile de vot sau acțiunile deținute de instituții ca urmare a subscrierii de instrumente financiare sau a plasării instrumentelor financiare în baza unui angajament ferm, prevăzute în anexa I secțiunea A punctul 6 la Directiva 2004/39/CE, cu condiția ca drepturile respective să nu fie exercitate sau utilizate în vreun alt mod pentru a interveni în administrarea activității emitentului și să fie cedate în termen de un an de la data achiziției.</w:t>
            </w:r>
          </w:p>
        </w:tc>
        <w:tc>
          <w:tcPr>
            <w:tcW w:w="1834" w:type="pct"/>
            <w:tcBorders>
              <w:top w:val="single" w:sz="4" w:space="0" w:color="auto"/>
              <w:left w:val="single" w:sz="4" w:space="0" w:color="auto"/>
              <w:bottom w:val="single" w:sz="4" w:space="0" w:color="auto"/>
              <w:right w:val="single" w:sz="4" w:space="0" w:color="auto"/>
            </w:tcBorders>
          </w:tcPr>
          <w:p w14:paraId="7E567834" w14:textId="77777777"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(7) În aplicarea prevederilor  prezentului capitol, modalitatea de determinare a drepturilor de vot se stabilește prin actele normative ale Băncii Naţionale</w:t>
            </w:r>
            <w:r w:rsidRPr="009E686F" w:rsidDel="00E12B05">
              <w:rPr>
                <w:rFonts w:ascii="Times New Roman" w:hAnsi="Times New Roman" w:cs="Times New Roman"/>
                <w:lang w:val="it-CH"/>
              </w:rPr>
              <w:t xml:space="preserve"> </w:t>
            </w:r>
            <w:r w:rsidRPr="009E686F">
              <w:rPr>
                <w:rFonts w:ascii="Times New Roman" w:hAnsi="Times New Roman" w:cs="Times New Roman"/>
                <w:lang w:val="it-CH"/>
              </w:rPr>
              <w:t>a Moldovei, în prealabil coordonate cu Comisia Națională a Pieței Financiare.</w:t>
            </w:r>
          </w:p>
          <w:p w14:paraId="3E371E8E" w14:textId="77777777" w:rsidR="00265766" w:rsidRPr="009E686F" w:rsidRDefault="00265766" w:rsidP="00265766">
            <w:pPr>
              <w:spacing w:after="0"/>
              <w:jc w:val="both"/>
              <w:rPr>
                <w:rFonts w:ascii="Times New Roman" w:hAnsi="Times New Roman" w:cs="Times New Roman"/>
                <w:i/>
                <w:lang w:val="it-CH"/>
              </w:rPr>
            </w:pPr>
            <w:r w:rsidRPr="009E686F">
              <w:rPr>
                <w:rFonts w:ascii="Times New Roman" w:hAnsi="Times New Roman" w:cs="Times New Roman"/>
                <w:i/>
                <w:lang w:val="it-CH"/>
              </w:rPr>
              <w:t>Pct. 11 din Regulamentul cu privire la calculul drepturilor de vot și înregistrarea transferului dreptului de proprietate asupra acțiunilor băncilor, aprobat prin HCE a BNM nr.130/2013</w:t>
            </w:r>
          </w:p>
          <w:p w14:paraId="4EE83EAA" w14:textId="73AC90AC"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11. La determinarea unei deţineri calificate nu se ţine seama de drepturile de vot sau de acţiunile pe care societăţile de investiţii le pot deţine ca urmare a subscrierii de instrumente financiare şi/sau a plasării instrumentelor financiare în baza unui angajament ferm, asumat în desfăşurarea activităţii, cu condiţia ca, pe de o parte, drepturile de vot sau acţiunile respective să nu fie exercitate sau utilizate pentru a interveni în administrarea activităţii băncii şi, pe de altă parte, drepturile de vot sau acţiunile respective să fie înstrăinate în termen de un an de la data achiziţionării deţinerii calificate.</w:t>
            </w:r>
          </w:p>
        </w:tc>
        <w:tc>
          <w:tcPr>
            <w:tcW w:w="470" w:type="pct"/>
            <w:tcBorders>
              <w:top w:val="single" w:sz="4" w:space="0" w:color="auto"/>
              <w:left w:val="single" w:sz="4" w:space="0" w:color="auto"/>
              <w:bottom w:val="single" w:sz="4" w:space="0" w:color="auto"/>
              <w:right w:val="single" w:sz="4" w:space="0" w:color="auto"/>
            </w:tcBorders>
          </w:tcPr>
          <w:p w14:paraId="37E363C1" w14:textId="77777777" w:rsidR="00265766" w:rsidRPr="009E686F" w:rsidRDefault="00265766" w:rsidP="00265766">
            <w:pPr>
              <w:jc w:val="both"/>
              <w:rPr>
                <w:rFonts w:ascii="Times New Roman" w:hAnsi="Times New Roman" w:cs="Times New Roman"/>
              </w:rPr>
            </w:pPr>
            <w:r w:rsidRPr="009E686F">
              <w:rPr>
                <w:rFonts w:ascii="Times New Roman" w:hAnsi="Times New Roman" w:cs="Times New Roman"/>
              </w:rPr>
              <w:t>Compatibil</w:t>
            </w:r>
          </w:p>
          <w:p w14:paraId="6B74ADB2" w14:textId="6F3AEC09" w:rsidR="00265766" w:rsidRPr="009E686F" w:rsidRDefault="00265766" w:rsidP="00265766">
            <w:pPr>
              <w:jc w:val="both"/>
              <w:rPr>
                <w:rFonts w:ascii="Times New Roman" w:hAnsi="Times New Roman" w:cs="Times New Roman"/>
              </w:rPr>
            </w:pPr>
          </w:p>
        </w:tc>
        <w:tc>
          <w:tcPr>
            <w:tcW w:w="806" w:type="pct"/>
            <w:tcBorders>
              <w:top w:val="single" w:sz="4" w:space="0" w:color="auto"/>
              <w:left w:val="single" w:sz="4" w:space="0" w:color="auto"/>
              <w:bottom w:val="single" w:sz="4" w:space="0" w:color="auto"/>
              <w:right w:val="single" w:sz="4" w:space="0" w:color="auto"/>
            </w:tcBorders>
          </w:tcPr>
          <w:p w14:paraId="3EB8E80F" w14:textId="4ABA62FF" w:rsidR="00265766" w:rsidRPr="009E686F" w:rsidRDefault="00265766" w:rsidP="00265766">
            <w:pPr>
              <w:spacing w:after="0"/>
              <w:jc w:val="both"/>
              <w:rPr>
                <w:rFonts w:ascii="Times New Roman" w:hAnsi="Times New Roman" w:cs="Times New Roman"/>
              </w:rPr>
            </w:pPr>
          </w:p>
        </w:tc>
      </w:tr>
      <w:tr w:rsidR="00265766" w:rsidRPr="009E686F" w14:paraId="48838D26" w14:textId="77777777" w:rsidTr="00960C23">
        <w:tc>
          <w:tcPr>
            <w:tcW w:w="1890" w:type="pct"/>
            <w:tcBorders>
              <w:top w:val="single" w:sz="4" w:space="0" w:color="auto"/>
              <w:left w:val="single" w:sz="4" w:space="0" w:color="auto"/>
              <w:bottom w:val="single" w:sz="4" w:space="0" w:color="auto"/>
              <w:right w:val="single" w:sz="4" w:space="0" w:color="auto"/>
            </w:tcBorders>
          </w:tcPr>
          <w:p w14:paraId="55D211AB" w14:textId="77777777" w:rsidR="00265766" w:rsidRPr="009E686F" w:rsidRDefault="00265766" w:rsidP="00265766">
            <w:pPr>
              <w:spacing w:after="0"/>
              <w:jc w:val="both"/>
              <w:rPr>
                <w:rFonts w:ascii="Times New Roman" w:hAnsi="Times New Roman" w:cs="Times New Roman"/>
                <w:lang w:val="it-IT"/>
              </w:rPr>
            </w:pPr>
            <w:r w:rsidRPr="009E686F">
              <w:rPr>
                <w:rFonts w:ascii="Times New Roman" w:hAnsi="Times New Roman" w:cs="Times New Roman"/>
                <w:lang w:val="it-IT"/>
              </w:rPr>
              <w:t>CAPITOLUL 3</w:t>
            </w:r>
          </w:p>
          <w:p w14:paraId="05A79F88" w14:textId="76FCA95B" w:rsidR="00265766" w:rsidRPr="009E686F" w:rsidDel="003932E1" w:rsidRDefault="00265766" w:rsidP="00265766">
            <w:pPr>
              <w:spacing w:after="0"/>
              <w:jc w:val="both"/>
              <w:rPr>
                <w:rFonts w:ascii="Times New Roman" w:hAnsi="Times New Roman" w:cs="Times New Roman"/>
                <w:b/>
                <w:bCs/>
                <w:lang w:val="it-IT"/>
              </w:rPr>
            </w:pPr>
            <w:r w:rsidRPr="009E686F">
              <w:rPr>
                <w:rFonts w:ascii="Times New Roman" w:hAnsi="Times New Roman" w:cs="Times New Roman"/>
                <w:b/>
                <w:bCs/>
                <w:lang w:val="it-IT"/>
              </w:rPr>
              <w:t>ACHIZIȚIONAREA SAU CESIONAREA UNEI DEȚINERI SEMNIFICATIVE</w:t>
            </w:r>
          </w:p>
        </w:tc>
        <w:tc>
          <w:tcPr>
            <w:tcW w:w="1834" w:type="pct"/>
            <w:tcBorders>
              <w:top w:val="single" w:sz="4" w:space="0" w:color="auto"/>
              <w:left w:val="single" w:sz="4" w:space="0" w:color="auto"/>
              <w:bottom w:val="single" w:sz="4" w:space="0" w:color="auto"/>
              <w:right w:val="single" w:sz="4" w:space="0" w:color="auto"/>
            </w:tcBorders>
          </w:tcPr>
          <w:p w14:paraId="7BC277C3" w14:textId="77777777" w:rsidR="00265766" w:rsidRPr="009E686F" w:rsidRDefault="00265766" w:rsidP="00265766">
            <w:pPr>
              <w:spacing w:after="0" w:line="278" w:lineRule="auto"/>
              <w:rPr>
                <w:rFonts w:ascii="Times New Roman" w:eastAsia="Aptos" w:hAnsi="Times New Roman" w:cs="Times New Roman"/>
                <w:b/>
                <w:i/>
                <w:iCs/>
                <w:kern w:val="2"/>
                <w:vertAlign w:val="superscript"/>
                <w:lang w:val="it-CH"/>
              </w:rPr>
            </w:pPr>
            <w:r w:rsidRPr="009E686F">
              <w:rPr>
                <w:rFonts w:ascii="Times New Roman" w:eastAsia="Aptos" w:hAnsi="Times New Roman" w:cs="Times New Roman"/>
                <w:b/>
                <w:bCs/>
                <w:i/>
                <w:iCs/>
                <w:kern w:val="2"/>
                <w:lang w:val="ro-MD"/>
              </w:rPr>
              <w:t>Capitolul 3</w:t>
            </w:r>
            <w:r w:rsidRPr="009E686F">
              <w:rPr>
                <w:rFonts w:ascii="Times New Roman" w:eastAsia="Aptos" w:hAnsi="Times New Roman" w:cs="Times New Roman"/>
                <w:b/>
                <w:bCs/>
                <w:i/>
                <w:iCs/>
                <w:kern w:val="2"/>
                <w:vertAlign w:val="superscript"/>
                <w:lang w:val="ro-MD"/>
              </w:rPr>
              <w:t>1</w:t>
            </w:r>
          </w:p>
          <w:p w14:paraId="3323B403" w14:textId="7B0ABE05" w:rsidR="00265766" w:rsidRPr="009E686F" w:rsidRDefault="00265766" w:rsidP="00265766">
            <w:pPr>
              <w:spacing w:after="0" w:line="278" w:lineRule="auto"/>
              <w:jc w:val="both"/>
              <w:rPr>
                <w:rFonts w:ascii="Times New Roman" w:eastAsia="Aptos" w:hAnsi="Times New Roman" w:cs="Times New Roman"/>
                <w:b/>
                <w:bCs/>
                <w:i/>
                <w:iCs/>
                <w:kern w:val="2"/>
                <w:lang w:val="ro-MD"/>
              </w:rPr>
            </w:pPr>
            <w:r w:rsidRPr="009E686F">
              <w:rPr>
                <w:rFonts w:ascii="Times New Roman" w:eastAsia="Aptos" w:hAnsi="Times New Roman" w:cs="Times New Roman"/>
                <w:b/>
                <w:bCs/>
                <w:i/>
                <w:iCs/>
                <w:kern w:val="2"/>
                <w:lang w:val="ro-MD"/>
              </w:rPr>
              <w:t>DEȚINERI SEMNIFICATIVE ALE INSTITUȚIILOR</w:t>
            </w:r>
          </w:p>
        </w:tc>
        <w:tc>
          <w:tcPr>
            <w:tcW w:w="470" w:type="pct"/>
            <w:tcBorders>
              <w:top w:val="single" w:sz="4" w:space="0" w:color="auto"/>
              <w:left w:val="single" w:sz="4" w:space="0" w:color="auto"/>
              <w:bottom w:val="single" w:sz="4" w:space="0" w:color="auto"/>
              <w:right w:val="single" w:sz="4" w:space="0" w:color="auto"/>
            </w:tcBorders>
          </w:tcPr>
          <w:p w14:paraId="7BBDB413" w14:textId="77777777" w:rsidR="00265766" w:rsidRPr="009E686F" w:rsidDel="003932E1" w:rsidRDefault="00265766" w:rsidP="00265766">
            <w:pPr>
              <w:jc w:val="both"/>
              <w:rPr>
                <w:rFonts w:ascii="Times New Roman" w:hAnsi="Times New Roman" w:cs="Times New Roman"/>
                <w:lang w:val="it-IT"/>
              </w:rPr>
            </w:pPr>
          </w:p>
        </w:tc>
        <w:tc>
          <w:tcPr>
            <w:tcW w:w="806" w:type="pct"/>
            <w:tcBorders>
              <w:top w:val="single" w:sz="4" w:space="0" w:color="auto"/>
              <w:left w:val="single" w:sz="4" w:space="0" w:color="auto"/>
              <w:bottom w:val="single" w:sz="4" w:space="0" w:color="auto"/>
              <w:right w:val="single" w:sz="4" w:space="0" w:color="auto"/>
            </w:tcBorders>
          </w:tcPr>
          <w:p w14:paraId="37B226B4" w14:textId="77777777" w:rsidR="00265766" w:rsidRPr="009E686F" w:rsidRDefault="00265766" w:rsidP="00265766">
            <w:pPr>
              <w:spacing w:after="0"/>
              <w:jc w:val="both"/>
              <w:rPr>
                <w:rFonts w:ascii="Times New Roman" w:hAnsi="Times New Roman" w:cs="Times New Roman"/>
                <w:color w:val="FF0000"/>
                <w:lang w:val="it-IT"/>
              </w:rPr>
            </w:pPr>
          </w:p>
        </w:tc>
      </w:tr>
      <w:tr w:rsidR="00265766" w:rsidRPr="009E686F" w14:paraId="61D2C390" w14:textId="77777777" w:rsidTr="00960C23">
        <w:tc>
          <w:tcPr>
            <w:tcW w:w="1890" w:type="pct"/>
            <w:tcBorders>
              <w:top w:val="single" w:sz="4" w:space="0" w:color="auto"/>
              <w:left w:val="single" w:sz="4" w:space="0" w:color="auto"/>
              <w:bottom w:val="single" w:sz="4" w:space="0" w:color="auto"/>
              <w:right w:val="single" w:sz="4" w:space="0" w:color="auto"/>
            </w:tcBorders>
          </w:tcPr>
          <w:p w14:paraId="59D19772" w14:textId="77777777" w:rsidR="00265766" w:rsidRPr="009E686F" w:rsidRDefault="00265766" w:rsidP="00265766">
            <w:pPr>
              <w:spacing w:after="0"/>
              <w:jc w:val="both"/>
              <w:rPr>
                <w:rFonts w:ascii="Times New Roman" w:hAnsi="Times New Roman" w:cs="Times New Roman"/>
                <w:i/>
                <w:iCs/>
                <w:lang w:val="it-IT"/>
              </w:rPr>
            </w:pPr>
            <w:r w:rsidRPr="009E686F">
              <w:rPr>
                <w:rFonts w:ascii="Times New Roman" w:hAnsi="Times New Roman" w:cs="Times New Roman"/>
                <w:i/>
                <w:iCs/>
                <w:lang w:val="it-IT"/>
              </w:rPr>
              <w:t xml:space="preserve">Articolul 27a </w:t>
            </w:r>
          </w:p>
          <w:p w14:paraId="45C05E56" w14:textId="58ABD93D"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IT"/>
              </w:rPr>
              <w:t>Notificarea și evaluarea achizițiilor</w:t>
            </w:r>
          </w:p>
        </w:tc>
        <w:tc>
          <w:tcPr>
            <w:tcW w:w="1834" w:type="pct"/>
            <w:tcBorders>
              <w:top w:val="single" w:sz="4" w:space="0" w:color="auto"/>
              <w:left w:val="single" w:sz="4" w:space="0" w:color="auto"/>
              <w:bottom w:val="single" w:sz="4" w:space="0" w:color="auto"/>
              <w:right w:val="single" w:sz="4" w:space="0" w:color="auto"/>
            </w:tcBorders>
          </w:tcPr>
          <w:p w14:paraId="7FEFD18B" w14:textId="6BF25793" w:rsidR="00265766" w:rsidRPr="009E686F" w:rsidRDefault="00265766" w:rsidP="00265766">
            <w:pPr>
              <w:spacing w:after="0"/>
              <w:jc w:val="both"/>
              <w:rPr>
                <w:rFonts w:ascii="Times New Roman" w:hAnsi="Times New Roman" w:cs="Times New Roman"/>
                <w:bCs/>
                <w:i/>
                <w:iCs/>
                <w:lang w:val="it-CH"/>
              </w:rPr>
            </w:pPr>
            <w:bookmarkStart w:id="6" w:name="_Hlk215564216"/>
            <w:r w:rsidRPr="009E686F">
              <w:rPr>
                <w:rFonts w:ascii="Times New Roman" w:eastAsia="Aptos" w:hAnsi="Times New Roman" w:cs="Times New Roman"/>
                <w:b/>
                <w:bCs/>
                <w:i/>
                <w:iCs/>
                <w:kern w:val="2"/>
                <w:lang w:val="ro-MD"/>
              </w:rPr>
              <w:t xml:space="preserve">Articolul </w:t>
            </w:r>
            <w:r w:rsidR="00ED2CFE" w:rsidRPr="009E686F">
              <w:rPr>
                <w:rFonts w:ascii="Times New Roman" w:eastAsia="Aptos" w:hAnsi="Times New Roman" w:cs="Times New Roman"/>
                <w:b/>
                <w:bCs/>
                <w:i/>
                <w:iCs/>
                <w:kern w:val="2"/>
                <w:lang w:val="ro-MD"/>
              </w:rPr>
              <w:t>57</w:t>
            </w:r>
            <w:r w:rsidR="00ED2CFE" w:rsidRPr="009E686F">
              <w:rPr>
                <w:rFonts w:ascii="Times New Roman" w:eastAsia="Aptos" w:hAnsi="Times New Roman" w:cs="Times New Roman"/>
                <w:b/>
                <w:bCs/>
                <w:i/>
                <w:iCs/>
                <w:kern w:val="2"/>
                <w:vertAlign w:val="superscript"/>
                <w:lang w:val="ro-MD"/>
              </w:rPr>
              <w:t>1</w:t>
            </w:r>
            <w:r w:rsidRPr="009E686F">
              <w:rPr>
                <w:rFonts w:ascii="Times New Roman" w:eastAsia="Aptos" w:hAnsi="Times New Roman" w:cs="Times New Roman"/>
                <w:b/>
                <w:bCs/>
                <w:i/>
                <w:iCs/>
                <w:kern w:val="2"/>
                <w:lang w:val="ro-MD"/>
              </w:rPr>
              <w:t xml:space="preserve">. </w:t>
            </w:r>
            <w:r w:rsidRPr="009E686F">
              <w:rPr>
                <w:rFonts w:ascii="Times New Roman" w:eastAsia="Aptos" w:hAnsi="Times New Roman" w:cs="Times New Roman"/>
                <w:i/>
                <w:iCs/>
                <w:kern w:val="2"/>
                <w:lang w:val="ro-MD"/>
              </w:rPr>
              <w:t>Obligația de notificare prealabil</w:t>
            </w:r>
            <w:r w:rsidRPr="009E686F">
              <w:rPr>
                <w:rFonts w:ascii="Times New Roman" w:eastAsia="Aptos" w:hAnsi="Times New Roman" w:cs="Times New Roman"/>
                <w:i/>
                <w:iCs/>
                <w:kern w:val="2"/>
                <w:lang w:val="ro-RO"/>
              </w:rPr>
              <w:t xml:space="preserve">ă a dobândirii </w:t>
            </w:r>
            <w:r w:rsidRPr="009E686F">
              <w:rPr>
                <w:rFonts w:ascii="Times New Roman" w:eastAsia="Aptos" w:hAnsi="Times New Roman" w:cs="Times New Roman"/>
                <w:i/>
                <w:iCs/>
                <w:kern w:val="2"/>
                <w:lang w:val="ro-MD"/>
              </w:rPr>
              <w:t>unei dețineri semnificative</w:t>
            </w:r>
            <w:bookmarkEnd w:id="6"/>
          </w:p>
        </w:tc>
        <w:tc>
          <w:tcPr>
            <w:tcW w:w="470" w:type="pct"/>
            <w:tcBorders>
              <w:top w:val="single" w:sz="4" w:space="0" w:color="auto"/>
              <w:left w:val="single" w:sz="4" w:space="0" w:color="auto"/>
              <w:bottom w:val="single" w:sz="4" w:space="0" w:color="auto"/>
              <w:right w:val="single" w:sz="4" w:space="0" w:color="auto"/>
            </w:tcBorders>
          </w:tcPr>
          <w:p w14:paraId="58596D7F" w14:textId="77777777" w:rsidR="00265766" w:rsidRPr="009E686F" w:rsidRDefault="00265766" w:rsidP="00265766">
            <w:pPr>
              <w:jc w:val="both"/>
              <w:rPr>
                <w:rFonts w:ascii="Times New Roman" w:hAnsi="Times New Roman" w:cs="Times New Roman"/>
              </w:rPr>
            </w:pPr>
            <w:r w:rsidRPr="009E686F">
              <w:rPr>
                <w:rFonts w:ascii="Times New Roman" w:hAnsi="Times New Roman" w:cs="Times New Roman"/>
              </w:rPr>
              <w:t>Compatibil</w:t>
            </w:r>
          </w:p>
          <w:p w14:paraId="2E46CC90" w14:textId="77777777" w:rsidR="00265766" w:rsidRPr="009E686F" w:rsidRDefault="00265766" w:rsidP="00265766">
            <w:pPr>
              <w:jc w:val="both"/>
              <w:rPr>
                <w:rFonts w:ascii="Times New Roman" w:hAnsi="Times New Roman" w:cs="Times New Roman"/>
                <w:lang w:val="it-CH"/>
              </w:rPr>
            </w:pPr>
          </w:p>
        </w:tc>
        <w:tc>
          <w:tcPr>
            <w:tcW w:w="806" w:type="pct"/>
            <w:tcBorders>
              <w:top w:val="single" w:sz="4" w:space="0" w:color="auto"/>
              <w:left w:val="single" w:sz="4" w:space="0" w:color="auto"/>
              <w:bottom w:val="single" w:sz="4" w:space="0" w:color="auto"/>
              <w:right w:val="single" w:sz="4" w:space="0" w:color="auto"/>
            </w:tcBorders>
          </w:tcPr>
          <w:p w14:paraId="6D228EF2" w14:textId="77777777" w:rsidR="00265766" w:rsidRPr="009E686F" w:rsidRDefault="00265766" w:rsidP="00265766">
            <w:pPr>
              <w:spacing w:after="0"/>
              <w:jc w:val="both"/>
              <w:rPr>
                <w:rFonts w:ascii="Times New Roman" w:hAnsi="Times New Roman" w:cs="Times New Roman"/>
                <w:color w:val="FF0000"/>
                <w:lang w:val="it-CH"/>
              </w:rPr>
            </w:pPr>
          </w:p>
        </w:tc>
      </w:tr>
      <w:tr w:rsidR="00265766" w:rsidRPr="009E686F" w14:paraId="67A462A3" w14:textId="77777777" w:rsidTr="00960C23">
        <w:tc>
          <w:tcPr>
            <w:tcW w:w="1890" w:type="pct"/>
            <w:tcBorders>
              <w:top w:val="single" w:sz="4" w:space="0" w:color="auto"/>
              <w:left w:val="single" w:sz="4" w:space="0" w:color="auto"/>
              <w:bottom w:val="single" w:sz="4" w:space="0" w:color="auto"/>
              <w:right w:val="single" w:sz="4" w:space="0" w:color="auto"/>
            </w:tcBorders>
          </w:tcPr>
          <w:p w14:paraId="273C434C" w14:textId="11CDA448" w:rsidR="00265766" w:rsidRPr="009E686F" w:rsidDel="003932E1" w:rsidRDefault="00265766" w:rsidP="00265766">
            <w:pPr>
              <w:spacing w:after="0"/>
              <w:jc w:val="both"/>
              <w:rPr>
                <w:rFonts w:ascii="Times New Roman" w:hAnsi="Times New Roman" w:cs="Times New Roman"/>
                <w:lang w:val="it-IT"/>
              </w:rPr>
            </w:pPr>
            <w:r w:rsidRPr="009E686F">
              <w:rPr>
                <w:rFonts w:ascii="Times New Roman" w:hAnsi="Times New Roman" w:cs="Times New Roman"/>
              </w:rPr>
              <w:lastRenderedPageBreak/>
              <w:t xml:space="preserve">(1) Statele membre impun instituțiilor, precum și societăților financiare holding și societăților financiare holding mixte care intră sub incidența articolului 21a alineatul (1) («potențialul achizitor») obligația de a notifica în scris în prealabil autoritatea lor competentă în cazul în care intenționează să achiziționeze, direct sau indirect, o deținere semnificativă («proiectul de achiziție»). </w:t>
            </w:r>
            <w:r w:rsidRPr="009E686F">
              <w:rPr>
                <w:rFonts w:ascii="Times New Roman" w:hAnsi="Times New Roman" w:cs="Times New Roman"/>
                <w:lang w:val="it-IT"/>
              </w:rPr>
              <w:t>În notificare se indică dimensiunea proiectului de achiziție și informațiile relevante, astfel cum sunt menționate la articolul 27b alineatul (5).</w:t>
            </w:r>
          </w:p>
        </w:tc>
        <w:tc>
          <w:tcPr>
            <w:tcW w:w="1834" w:type="pct"/>
            <w:tcBorders>
              <w:top w:val="single" w:sz="4" w:space="0" w:color="auto"/>
              <w:left w:val="single" w:sz="4" w:space="0" w:color="auto"/>
              <w:bottom w:val="single" w:sz="4" w:space="0" w:color="auto"/>
              <w:right w:val="single" w:sz="4" w:space="0" w:color="auto"/>
            </w:tcBorders>
          </w:tcPr>
          <w:p w14:paraId="70032100" w14:textId="1828A70A" w:rsidR="00265766" w:rsidRPr="009E686F" w:rsidRDefault="00265766" w:rsidP="00265766">
            <w:pPr>
              <w:spacing w:after="0"/>
              <w:jc w:val="both"/>
              <w:rPr>
                <w:rFonts w:ascii="Times New Roman" w:hAnsi="Times New Roman" w:cs="Times New Roman"/>
                <w:bCs/>
                <w:i/>
                <w:iCs/>
              </w:rPr>
            </w:pPr>
            <w:r w:rsidRPr="009E686F">
              <w:rPr>
                <w:rFonts w:ascii="Times New Roman" w:hAnsi="Times New Roman" w:cs="Times New Roman"/>
                <w:bCs/>
                <w:i/>
                <w:iCs/>
              </w:rPr>
              <w:t>(1) Instituțiile de credit, precum și societățile financiare holding și societățile financiare holding mixte care fac obiectul art. 116</w:t>
            </w:r>
            <w:r w:rsidRPr="009E686F">
              <w:rPr>
                <w:rFonts w:ascii="Times New Roman" w:hAnsi="Times New Roman" w:cs="Times New Roman"/>
                <w:bCs/>
                <w:i/>
                <w:iCs/>
                <w:vertAlign w:val="superscript"/>
              </w:rPr>
              <w:t>1</w:t>
            </w:r>
            <w:r w:rsidRPr="009E686F">
              <w:rPr>
                <w:rFonts w:ascii="Times New Roman" w:hAnsi="Times New Roman" w:cs="Times New Roman"/>
                <w:bCs/>
                <w:i/>
                <w:iCs/>
              </w:rPr>
              <w:t xml:space="preserve"> alin. (1)</w:t>
            </w:r>
            <w:r w:rsidR="00345062" w:rsidRPr="009E686F">
              <w:rPr>
                <w:rFonts w:ascii="Times New Roman" w:hAnsi="Times New Roman" w:cs="Times New Roman"/>
                <w:bCs/>
                <w:i/>
                <w:iCs/>
              </w:rPr>
              <w:t xml:space="preserve"> și</w:t>
            </w:r>
            <w:r w:rsidRPr="009E686F">
              <w:rPr>
                <w:rFonts w:ascii="Times New Roman" w:hAnsi="Times New Roman" w:cs="Times New Roman"/>
                <w:bCs/>
                <w:i/>
                <w:iCs/>
              </w:rPr>
              <w:t>(2) (în sensul prezentului capitol, denumit în continuare „potențialul achizitor”) sunt obligate să notifice în scris în prealabil Banca Națională a Moldovei, în calitate de autoritate competentă responsabilă cu supravegherea unei instituții de credit persoană juridică din Republica Moldova sau în calitate de supraveghetor consolidant, în conformitate cu actele normative emise pentru aplicarea prezentei legi, în cazul în care intenționează să achiziționeze, direct sau indirect, o deținere semnificativă (în sensul prezentului capitol, denumit în continuare “proiectul de achiziție”).</w:t>
            </w:r>
          </w:p>
          <w:p w14:paraId="50AE6065" w14:textId="32F583CF" w:rsidR="00265766" w:rsidRPr="009E686F" w:rsidRDefault="00265766" w:rsidP="00265766">
            <w:pPr>
              <w:spacing w:after="0"/>
              <w:jc w:val="both"/>
              <w:rPr>
                <w:rFonts w:ascii="Times New Roman" w:hAnsi="Times New Roman" w:cs="Times New Roman"/>
                <w:i/>
                <w:lang w:val="it-CH"/>
              </w:rPr>
            </w:pPr>
            <w:r w:rsidRPr="009E686F">
              <w:rPr>
                <w:rFonts w:ascii="Times New Roman" w:hAnsi="Times New Roman" w:cs="Times New Roman"/>
                <w:i/>
                <w:lang w:val="it-CH"/>
              </w:rPr>
              <w:t>(5) Notificarea include mărimea deţinerii care face obiectul proiectului de achiziție și informațiile și documentele prevăzute de actele normative ale Băncii Naționale a Moldovei</w:t>
            </w:r>
            <w:r w:rsidR="00F80848" w:rsidRPr="009E686F">
              <w:rPr>
                <w:rFonts w:ascii="Times New Roman" w:hAnsi="Times New Roman" w:cs="Times New Roman"/>
                <w:i/>
                <w:lang w:val="it-CH"/>
              </w:rPr>
              <w:t xml:space="preserve"> emise în aplicarea prezentei legi</w:t>
            </w:r>
            <w:r w:rsidRPr="009E686F">
              <w:rPr>
                <w:rFonts w:ascii="Times New Roman" w:hAnsi="Times New Roman" w:cs="Times New Roman"/>
                <w:i/>
                <w:lang w:val="it-CH"/>
              </w:rPr>
              <w:t>.</w:t>
            </w:r>
          </w:p>
        </w:tc>
        <w:tc>
          <w:tcPr>
            <w:tcW w:w="470" w:type="pct"/>
            <w:tcBorders>
              <w:top w:val="single" w:sz="4" w:space="0" w:color="auto"/>
              <w:left w:val="single" w:sz="4" w:space="0" w:color="auto"/>
              <w:bottom w:val="single" w:sz="4" w:space="0" w:color="auto"/>
              <w:right w:val="single" w:sz="4" w:space="0" w:color="auto"/>
            </w:tcBorders>
          </w:tcPr>
          <w:p w14:paraId="2781100D" w14:textId="77777777" w:rsidR="00265766" w:rsidRPr="009E686F" w:rsidRDefault="00265766" w:rsidP="00265766">
            <w:pPr>
              <w:jc w:val="both"/>
              <w:rPr>
                <w:rFonts w:ascii="Times New Roman" w:hAnsi="Times New Roman" w:cs="Times New Roman"/>
              </w:rPr>
            </w:pPr>
            <w:r w:rsidRPr="009E686F">
              <w:rPr>
                <w:rFonts w:ascii="Times New Roman" w:hAnsi="Times New Roman" w:cs="Times New Roman"/>
              </w:rPr>
              <w:t>Compatibil</w:t>
            </w:r>
          </w:p>
          <w:p w14:paraId="4CB4DBDB" w14:textId="77777777" w:rsidR="00265766" w:rsidRPr="009E686F" w:rsidDel="003932E1" w:rsidRDefault="00265766" w:rsidP="00265766">
            <w:pPr>
              <w:jc w:val="both"/>
              <w:rPr>
                <w:rFonts w:ascii="Times New Roman" w:hAnsi="Times New Roman" w:cs="Times New Roman"/>
                <w:lang w:val="it-CH"/>
              </w:rPr>
            </w:pPr>
          </w:p>
        </w:tc>
        <w:tc>
          <w:tcPr>
            <w:tcW w:w="806" w:type="pct"/>
            <w:tcBorders>
              <w:top w:val="single" w:sz="4" w:space="0" w:color="auto"/>
              <w:left w:val="single" w:sz="4" w:space="0" w:color="auto"/>
              <w:bottom w:val="single" w:sz="4" w:space="0" w:color="auto"/>
              <w:right w:val="single" w:sz="4" w:space="0" w:color="auto"/>
            </w:tcBorders>
          </w:tcPr>
          <w:p w14:paraId="5163403E" w14:textId="77777777" w:rsidR="00265766" w:rsidRPr="009E686F" w:rsidRDefault="00265766" w:rsidP="00265766">
            <w:pPr>
              <w:spacing w:after="0"/>
              <w:jc w:val="both"/>
              <w:rPr>
                <w:rFonts w:ascii="Times New Roman" w:hAnsi="Times New Roman" w:cs="Times New Roman"/>
                <w:color w:val="FF0000"/>
                <w:lang w:val="it-CH"/>
              </w:rPr>
            </w:pPr>
          </w:p>
        </w:tc>
      </w:tr>
      <w:tr w:rsidR="00265766" w:rsidRPr="009E686F" w14:paraId="562C6A7F" w14:textId="77777777" w:rsidTr="00960C23">
        <w:tc>
          <w:tcPr>
            <w:tcW w:w="1890" w:type="pct"/>
            <w:tcBorders>
              <w:top w:val="single" w:sz="4" w:space="0" w:color="auto"/>
              <w:left w:val="single" w:sz="4" w:space="0" w:color="auto"/>
              <w:bottom w:val="single" w:sz="4" w:space="0" w:color="auto"/>
              <w:right w:val="single" w:sz="4" w:space="0" w:color="auto"/>
            </w:tcBorders>
          </w:tcPr>
          <w:p w14:paraId="79D640BF" w14:textId="6D840F3B" w:rsidR="00265766" w:rsidRPr="009E686F" w:rsidDel="003932E1" w:rsidRDefault="00265766" w:rsidP="00265766">
            <w:pPr>
              <w:spacing w:after="0"/>
              <w:jc w:val="both"/>
              <w:rPr>
                <w:rFonts w:ascii="Times New Roman" w:hAnsi="Times New Roman" w:cs="Times New Roman"/>
                <w:lang w:val="it-IT"/>
              </w:rPr>
            </w:pPr>
            <w:r w:rsidRPr="009E686F">
              <w:rPr>
                <w:rFonts w:ascii="Times New Roman" w:hAnsi="Times New Roman" w:cs="Times New Roman"/>
                <w:lang w:val="it-IT"/>
              </w:rPr>
              <w:t>(2) În sensul alineatului (1), o participație este considerată semnificativă dacă reprezintă 15 % sau mai mult din capitalul eligibil al potențialului achizitor.</w:t>
            </w:r>
          </w:p>
        </w:tc>
        <w:tc>
          <w:tcPr>
            <w:tcW w:w="1834" w:type="pct"/>
            <w:tcBorders>
              <w:top w:val="single" w:sz="4" w:space="0" w:color="auto"/>
              <w:left w:val="single" w:sz="4" w:space="0" w:color="auto"/>
              <w:bottom w:val="single" w:sz="4" w:space="0" w:color="auto"/>
              <w:right w:val="single" w:sz="4" w:space="0" w:color="auto"/>
            </w:tcBorders>
          </w:tcPr>
          <w:p w14:paraId="3B7A2B04" w14:textId="2366DB9D" w:rsidR="00265766" w:rsidRPr="009E686F" w:rsidRDefault="00265766" w:rsidP="00265766">
            <w:pPr>
              <w:spacing w:after="0"/>
              <w:jc w:val="both"/>
              <w:rPr>
                <w:rFonts w:ascii="Times New Roman" w:hAnsi="Times New Roman" w:cs="Times New Roman"/>
                <w:bCs/>
                <w:i/>
                <w:iCs/>
                <w:lang w:val="it-IT"/>
              </w:rPr>
            </w:pPr>
            <w:r w:rsidRPr="009E686F">
              <w:rPr>
                <w:rFonts w:ascii="Times New Roman" w:hAnsi="Times New Roman" w:cs="Times New Roman"/>
                <w:bCs/>
                <w:i/>
                <w:iCs/>
                <w:lang w:val="it-IT"/>
              </w:rPr>
              <w:t>(2) În sensul prezentului capitol, o deținere este considerată semnificativă dacă reprezintă cel puțin 15 % din capitalul eligibil al potențialului achizitor.</w:t>
            </w:r>
          </w:p>
        </w:tc>
        <w:tc>
          <w:tcPr>
            <w:tcW w:w="470" w:type="pct"/>
            <w:tcBorders>
              <w:top w:val="single" w:sz="4" w:space="0" w:color="auto"/>
              <w:left w:val="single" w:sz="4" w:space="0" w:color="auto"/>
              <w:bottom w:val="single" w:sz="4" w:space="0" w:color="auto"/>
              <w:right w:val="single" w:sz="4" w:space="0" w:color="auto"/>
            </w:tcBorders>
          </w:tcPr>
          <w:p w14:paraId="1D519CDD" w14:textId="77777777" w:rsidR="00265766" w:rsidRPr="009E686F" w:rsidRDefault="00265766" w:rsidP="00265766">
            <w:pPr>
              <w:jc w:val="both"/>
              <w:rPr>
                <w:rFonts w:ascii="Times New Roman" w:hAnsi="Times New Roman" w:cs="Times New Roman"/>
              </w:rPr>
            </w:pPr>
            <w:r w:rsidRPr="009E686F">
              <w:rPr>
                <w:rFonts w:ascii="Times New Roman" w:hAnsi="Times New Roman" w:cs="Times New Roman"/>
              </w:rPr>
              <w:t>Compatibil</w:t>
            </w:r>
          </w:p>
          <w:p w14:paraId="58D11537" w14:textId="77777777" w:rsidR="00265766" w:rsidRPr="009E686F" w:rsidDel="003932E1" w:rsidRDefault="00265766" w:rsidP="00265766">
            <w:pPr>
              <w:jc w:val="both"/>
              <w:rPr>
                <w:rFonts w:ascii="Times New Roman" w:hAnsi="Times New Roman" w:cs="Times New Roman"/>
                <w:lang w:val="it-IT"/>
              </w:rPr>
            </w:pPr>
          </w:p>
        </w:tc>
        <w:tc>
          <w:tcPr>
            <w:tcW w:w="806" w:type="pct"/>
            <w:tcBorders>
              <w:top w:val="single" w:sz="4" w:space="0" w:color="auto"/>
              <w:left w:val="single" w:sz="4" w:space="0" w:color="auto"/>
              <w:bottom w:val="single" w:sz="4" w:space="0" w:color="auto"/>
              <w:right w:val="single" w:sz="4" w:space="0" w:color="auto"/>
            </w:tcBorders>
          </w:tcPr>
          <w:p w14:paraId="6827B3DF" w14:textId="77777777" w:rsidR="00265766" w:rsidRPr="009E686F" w:rsidRDefault="00265766" w:rsidP="00265766">
            <w:pPr>
              <w:spacing w:after="0"/>
              <w:jc w:val="both"/>
              <w:rPr>
                <w:rFonts w:ascii="Times New Roman" w:hAnsi="Times New Roman" w:cs="Times New Roman"/>
                <w:color w:val="FF0000"/>
                <w:lang w:val="it-IT"/>
              </w:rPr>
            </w:pPr>
          </w:p>
        </w:tc>
      </w:tr>
      <w:tr w:rsidR="00265766" w:rsidRPr="009E686F" w14:paraId="7A2DB153" w14:textId="77777777" w:rsidTr="00960C23">
        <w:tc>
          <w:tcPr>
            <w:tcW w:w="1890" w:type="pct"/>
            <w:tcBorders>
              <w:top w:val="single" w:sz="4" w:space="0" w:color="auto"/>
              <w:left w:val="single" w:sz="4" w:space="0" w:color="auto"/>
              <w:bottom w:val="single" w:sz="4" w:space="0" w:color="auto"/>
              <w:right w:val="single" w:sz="4" w:space="0" w:color="auto"/>
            </w:tcBorders>
          </w:tcPr>
          <w:p w14:paraId="7F3CC2A9" w14:textId="146A5B8E" w:rsidR="00265766" w:rsidRPr="009E686F" w:rsidDel="003932E1" w:rsidRDefault="00265766" w:rsidP="00265766">
            <w:pPr>
              <w:spacing w:after="0"/>
              <w:jc w:val="both"/>
              <w:rPr>
                <w:rFonts w:ascii="Times New Roman" w:hAnsi="Times New Roman" w:cs="Times New Roman"/>
                <w:lang w:val="it-IT"/>
              </w:rPr>
            </w:pPr>
            <w:r w:rsidRPr="009E686F">
              <w:rPr>
                <w:rFonts w:ascii="Times New Roman" w:hAnsi="Times New Roman" w:cs="Times New Roman"/>
              </w:rPr>
              <w:t xml:space="preserve">(3) În sensul alineatului (1), în cazul în care potențialul achizitor este o instituție, pragul menționat la alineatul (2) se aplică atât pe bază individuală, cât și pe baza situației consolidate a grupului. În cazul în care pragul menționat la alineatul (2) este depășit numai pe bază individuală, potențialul achizitor notifică autoritatea competentă din statul membru în care este stabilit. Autoritatea competentă respectivă evaluează proiectul de achiziție. În cazul în care pragul respectiv este depășit pe bază individuală și pe baza situației consolidate a grupului, potențialul achizitor notifică, de asemenea, supraveghetorul consolidant. </w:t>
            </w:r>
            <w:r w:rsidRPr="009E686F">
              <w:rPr>
                <w:rFonts w:ascii="Times New Roman" w:hAnsi="Times New Roman" w:cs="Times New Roman"/>
                <w:lang w:val="it-IT"/>
              </w:rPr>
              <w:t>Supraveghetorul consolidant evaluează, de asemenea, proiectul de achiziție.</w:t>
            </w:r>
          </w:p>
        </w:tc>
        <w:tc>
          <w:tcPr>
            <w:tcW w:w="1834" w:type="pct"/>
            <w:tcBorders>
              <w:top w:val="single" w:sz="4" w:space="0" w:color="auto"/>
              <w:left w:val="single" w:sz="4" w:space="0" w:color="auto"/>
              <w:bottom w:val="single" w:sz="4" w:space="0" w:color="auto"/>
              <w:right w:val="single" w:sz="4" w:space="0" w:color="auto"/>
            </w:tcBorders>
          </w:tcPr>
          <w:p w14:paraId="5F938360" w14:textId="77777777" w:rsidR="00265766" w:rsidRPr="009E686F" w:rsidRDefault="00265766" w:rsidP="00265766">
            <w:pPr>
              <w:spacing w:after="0"/>
              <w:jc w:val="both"/>
              <w:rPr>
                <w:rFonts w:ascii="Times New Roman" w:hAnsi="Times New Roman" w:cs="Times New Roman"/>
                <w:bCs/>
                <w:i/>
                <w:iCs/>
                <w:lang w:val="pt-BR"/>
              </w:rPr>
            </w:pPr>
            <w:r w:rsidRPr="009E686F">
              <w:rPr>
                <w:rFonts w:ascii="Times New Roman" w:hAnsi="Times New Roman" w:cs="Times New Roman"/>
                <w:bCs/>
                <w:i/>
                <w:iCs/>
                <w:lang w:val="pt-BR"/>
              </w:rPr>
              <w:t>(3) În sensul alin. (1), în cazul în care potențialul achizitor este:</w:t>
            </w:r>
          </w:p>
          <w:p w14:paraId="3923D8CF" w14:textId="2F846511" w:rsidR="00265766" w:rsidRPr="009E686F" w:rsidRDefault="00265766" w:rsidP="00265766">
            <w:pPr>
              <w:spacing w:after="0"/>
              <w:jc w:val="both"/>
              <w:rPr>
                <w:rFonts w:ascii="Times New Roman" w:hAnsi="Times New Roman" w:cs="Times New Roman"/>
                <w:bCs/>
                <w:i/>
                <w:iCs/>
                <w:lang w:val="pt-BR"/>
              </w:rPr>
            </w:pPr>
            <w:r w:rsidRPr="009E686F">
              <w:rPr>
                <w:rFonts w:ascii="Times New Roman" w:hAnsi="Times New Roman" w:cs="Times New Roman"/>
                <w:bCs/>
                <w:i/>
                <w:iCs/>
                <w:lang w:val="pt-BR"/>
              </w:rPr>
              <w:t>a) o instituție de credit, pragul menționat la alin. (2) se aplică atât pe bază individuală, cât și pe bază consolidată;</w:t>
            </w:r>
          </w:p>
          <w:p w14:paraId="2F415C5C" w14:textId="6A9CF2A3" w:rsidR="00265766" w:rsidRPr="009E686F" w:rsidRDefault="00265766" w:rsidP="00265766">
            <w:pPr>
              <w:spacing w:after="0"/>
              <w:jc w:val="both"/>
              <w:rPr>
                <w:rFonts w:ascii="Times New Roman" w:hAnsi="Times New Roman" w:cs="Times New Roman"/>
                <w:bCs/>
                <w:i/>
                <w:iCs/>
                <w:lang w:val="pt-BR"/>
              </w:rPr>
            </w:pPr>
            <w:r w:rsidRPr="009E686F">
              <w:rPr>
                <w:rFonts w:ascii="Times New Roman" w:hAnsi="Times New Roman" w:cs="Times New Roman"/>
                <w:bCs/>
                <w:i/>
                <w:iCs/>
                <w:lang w:val="pt-BR"/>
              </w:rPr>
              <w:t>b) o societate financiară holding sau o societate financiară holding mixtă care fac obiectul art. 116</w:t>
            </w:r>
            <w:r w:rsidRPr="009E686F">
              <w:rPr>
                <w:rFonts w:ascii="Times New Roman" w:hAnsi="Times New Roman" w:cs="Times New Roman"/>
                <w:bCs/>
                <w:i/>
                <w:iCs/>
                <w:vertAlign w:val="superscript"/>
                <w:lang w:val="pt-BR"/>
              </w:rPr>
              <w:t>1</w:t>
            </w:r>
            <w:r w:rsidRPr="009E686F">
              <w:rPr>
                <w:rFonts w:ascii="Times New Roman" w:hAnsi="Times New Roman" w:cs="Times New Roman"/>
                <w:bCs/>
                <w:i/>
                <w:iCs/>
                <w:lang w:val="pt-BR"/>
              </w:rPr>
              <w:t xml:space="preserve"> alin. (1)</w:t>
            </w:r>
            <w:r w:rsidR="00345062" w:rsidRPr="009E686F">
              <w:rPr>
                <w:rFonts w:ascii="Times New Roman" w:hAnsi="Times New Roman" w:cs="Times New Roman"/>
                <w:bCs/>
                <w:i/>
                <w:iCs/>
                <w:lang w:val="pt-BR"/>
              </w:rPr>
              <w:t xml:space="preserve"> și </w:t>
            </w:r>
            <w:r w:rsidRPr="009E686F">
              <w:rPr>
                <w:rFonts w:ascii="Times New Roman" w:hAnsi="Times New Roman" w:cs="Times New Roman"/>
                <w:bCs/>
                <w:i/>
                <w:iCs/>
                <w:lang w:val="pt-BR"/>
              </w:rPr>
              <w:t>(2), pragul menționat la alin. (2) se aplică pe bază consolidată.</w:t>
            </w:r>
          </w:p>
          <w:p w14:paraId="25031E5A" w14:textId="253AF2E7" w:rsidR="00265766" w:rsidRPr="009E686F" w:rsidRDefault="00265766" w:rsidP="00265766">
            <w:pPr>
              <w:spacing w:after="0"/>
              <w:jc w:val="both"/>
              <w:rPr>
                <w:rFonts w:ascii="Times New Roman" w:hAnsi="Times New Roman" w:cs="Times New Roman"/>
                <w:bCs/>
                <w:i/>
                <w:iCs/>
                <w:lang w:val="pt-BR"/>
              </w:rPr>
            </w:pPr>
            <w:r w:rsidRPr="009E686F">
              <w:rPr>
                <w:rFonts w:ascii="Times New Roman" w:hAnsi="Times New Roman" w:cs="Times New Roman"/>
                <w:bCs/>
                <w:i/>
                <w:iCs/>
                <w:lang w:val="pt-BR"/>
              </w:rPr>
              <w:t xml:space="preserve">(6) Banca Naţională a Moldovei confirmă în scris potențialului achizitor primirea notificării, în temeiul alin. (1) sau a oricăror informații suplimentare în conformitate cu alin. (10), imediat şi, în orice caz, în termen de 10 zile lucrătoare de la primirea notificării și de la primirea tututor </w:t>
            </w:r>
            <w:r w:rsidRPr="009E686F">
              <w:rPr>
                <w:rFonts w:ascii="Times New Roman" w:hAnsi="Times New Roman" w:cs="Times New Roman"/>
                <w:bCs/>
                <w:i/>
                <w:iCs/>
                <w:lang w:val="pt-BR"/>
              </w:rPr>
              <w:lastRenderedPageBreak/>
              <w:t>documentelor, inclusiv a celor solicitate ca anexă la solicitare în conformitate cu art. 5</w:t>
            </w:r>
            <w:r w:rsidR="00F80848" w:rsidRPr="009E686F">
              <w:rPr>
                <w:rFonts w:ascii="Times New Roman" w:hAnsi="Times New Roman" w:cs="Times New Roman"/>
                <w:bCs/>
                <w:i/>
                <w:iCs/>
                <w:lang w:val="pt-BR"/>
              </w:rPr>
              <w:t>7</w:t>
            </w:r>
            <w:r w:rsidR="00F80848" w:rsidRPr="009E686F">
              <w:rPr>
                <w:rFonts w:ascii="Times New Roman" w:hAnsi="Times New Roman" w:cs="Times New Roman"/>
                <w:bCs/>
                <w:i/>
                <w:iCs/>
                <w:vertAlign w:val="superscript"/>
                <w:lang w:val="pt-BR"/>
              </w:rPr>
              <w:t>2</w:t>
            </w:r>
            <w:r w:rsidRPr="009E686F">
              <w:rPr>
                <w:rFonts w:ascii="Times New Roman" w:hAnsi="Times New Roman" w:cs="Times New Roman"/>
                <w:bCs/>
                <w:i/>
                <w:iCs/>
                <w:lang w:val="pt-BR"/>
              </w:rPr>
              <w:t xml:space="preserve"> alin. (6) și realizează evaluarea proiectului de achiziție, atât în calitate de autoritate competentă responsabilă cu supravegherea acestei instituții de credit la nivel individual, cât și în calitate de autoritate competentă responsabilă cu supravegherea instituției de credit pe bază consolidată.</w:t>
            </w:r>
          </w:p>
        </w:tc>
        <w:tc>
          <w:tcPr>
            <w:tcW w:w="470" w:type="pct"/>
            <w:tcBorders>
              <w:top w:val="single" w:sz="4" w:space="0" w:color="auto"/>
              <w:left w:val="single" w:sz="4" w:space="0" w:color="auto"/>
              <w:bottom w:val="single" w:sz="4" w:space="0" w:color="auto"/>
              <w:right w:val="single" w:sz="4" w:space="0" w:color="auto"/>
            </w:tcBorders>
          </w:tcPr>
          <w:p w14:paraId="5EFB9177" w14:textId="77777777" w:rsidR="00265766" w:rsidRPr="009E686F" w:rsidRDefault="00265766" w:rsidP="00265766">
            <w:pPr>
              <w:jc w:val="both"/>
              <w:rPr>
                <w:rFonts w:ascii="Times New Roman" w:hAnsi="Times New Roman" w:cs="Times New Roman"/>
              </w:rPr>
            </w:pPr>
            <w:r w:rsidRPr="009E686F">
              <w:rPr>
                <w:rFonts w:ascii="Times New Roman" w:hAnsi="Times New Roman" w:cs="Times New Roman"/>
              </w:rPr>
              <w:lastRenderedPageBreak/>
              <w:t>Compatibil</w:t>
            </w:r>
          </w:p>
          <w:p w14:paraId="03B03306" w14:textId="77777777" w:rsidR="00265766" w:rsidRPr="009E686F" w:rsidDel="003932E1" w:rsidRDefault="00265766" w:rsidP="00265766">
            <w:pPr>
              <w:jc w:val="both"/>
              <w:rPr>
                <w:rFonts w:ascii="Times New Roman" w:hAnsi="Times New Roman" w:cs="Times New Roman"/>
                <w:lang w:val="pt-BR"/>
              </w:rPr>
            </w:pPr>
          </w:p>
        </w:tc>
        <w:tc>
          <w:tcPr>
            <w:tcW w:w="806" w:type="pct"/>
            <w:tcBorders>
              <w:top w:val="single" w:sz="4" w:space="0" w:color="auto"/>
              <w:left w:val="single" w:sz="4" w:space="0" w:color="auto"/>
              <w:bottom w:val="single" w:sz="4" w:space="0" w:color="auto"/>
              <w:right w:val="single" w:sz="4" w:space="0" w:color="auto"/>
            </w:tcBorders>
          </w:tcPr>
          <w:p w14:paraId="19A215DE" w14:textId="77777777" w:rsidR="00265766" w:rsidRPr="009E686F" w:rsidRDefault="00265766" w:rsidP="00265766">
            <w:pPr>
              <w:spacing w:after="0"/>
              <w:jc w:val="both"/>
              <w:rPr>
                <w:rFonts w:ascii="Times New Roman" w:hAnsi="Times New Roman" w:cs="Times New Roman"/>
                <w:color w:val="FF0000"/>
                <w:lang w:val="pt-BR"/>
              </w:rPr>
            </w:pPr>
          </w:p>
        </w:tc>
      </w:tr>
      <w:tr w:rsidR="00265766" w:rsidRPr="009E686F" w14:paraId="5B6928B1" w14:textId="77777777" w:rsidTr="00960C23">
        <w:tc>
          <w:tcPr>
            <w:tcW w:w="1890" w:type="pct"/>
            <w:tcBorders>
              <w:top w:val="single" w:sz="4" w:space="0" w:color="auto"/>
              <w:left w:val="single" w:sz="4" w:space="0" w:color="auto"/>
              <w:bottom w:val="single" w:sz="4" w:space="0" w:color="auto"/>
              <w:right w:val="single" w:sz="4" w:space="0" w:color="auto"/>
            </w:tcBorders>
          </w:tcPr>
          <w:p w14:paraId="3DD687B3" w14:textId="7CDB96D4" w:rsidR="00265766" w:rsidRPr="009E686F" w:rsidDel="003932E1"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(4) În cazul în care potențialul achizitor este o societate financiară holding sau o societate financiară holding mixtă care intră sub incidența articolul 21a alineatul (1), pragul menționat la alineatul (2) de la prezentul articol se aplică pe baza situației consolidate, iar supraveghetorul consolidant este autoritatea competentă în sensul alineatului (1) de la prezentul articol.</w:t>
            </w:r>
          </w:p>
        </w:tc>
        <w:tc>
          <w:tcPr>
            <w:tcW w:w="1834" w:type="pct"/>
            <w:tcBorders>
              <w:top w:val="single" w:sz="4" w:space="0" w:color="auto"/>
              <w:left w:val="single" w:sz="4" w:space="0" w:color="auto"/>
              <w:bottom w:val="single" w:sz="4" w:space="0" w:color="auto"/>
              <w:right w:val="single" w:sz="4" w:space="0" w:color="auto"/>
            </w:tcBorders>
          </w:tcPr>
          <w:p w14:paraId="02940456" w14:textId="618549B4" w:rsidR="00265766" w:rsidRPr="009E686F" w:rsidRDefault="00265766" w:rsidP="00265766">
            <w:pPr>
              <w:spacing w:after="0"/>
              <w:jc w:val="both"/>
              <w:rPr>
                <w:rFonts w:ascii="Times New Roman" w:hAnsi="Times New Roman" w:cs="Times New Roman"/>
                <w:i/>
                <w:lang w:val="it-CH"/>
              </w:rPr>
            </w:pPr>
            <w:r w:rsidRPr="009E686F">
              <w:rPr>
                <w:rFonts w:ascii="Times New Roman" w:hAnsi="Times New Roman" w:cs="Times New Roman"/>
                <w:i/>
                <w:lang w:val="it-CH"/>
              </w:rPr>
              <w:t>(4) În cazul în care pragul menționat la alin. (2) este depășit numai pe bază individuală, potențialul achizitor notifică Banca Națională a Moldovei, atunci când aceasta are calitate de autoritate competentă responsabilă cu supravegherea acestei instituții de credit la nivel individual. În cazul în care pragul respectiv este depășit atât pe bază individuală, cât și pe baza situației consolidate a grupului, precum și în cazul în care potențialul achizitor este o societate financiară holding sau o societate financiară holding mixtă care fac obiectul art. 116</w:t>
            </w:r>
            <w:r w:rsidRPr="009E686F">
              <w:rPr>
                <w:rFonts w:ascii="Times New Roman" w:hAnsi="Times New Roman" w:cs="Times New Roman"/>
                <w:i/>
                <w:vertAlign w:val="superscript"/>
                <w:lang w:val="it-CH"/>
              </w:rPr>
              <w:t>1</w:t>
            </w:r>
            <w:r w:rsidRPr="009E686F">
              <w:rPr>
                <w:rFonts w:ascii="Times New Roman" w:hAnsi="Times New Roman" w:cs="Times New Roman"/>
                <w:i/>
                <w:lang w:val="it-CH"/>
              </w:rPr>
              <w:t xml:space="preserve"> alin. (1)</w:t>
            </w:r>
            <w:r w:rsidR="00345062" w:rsidRPr="009E686F">
              <w:rPr>
                <w:rFonts w:ascii="Times New Roman" w:hAnsi="Times New Roman" w:cs="Times New Roman"/>
                <w:i/>
                <w:lang w:val="it-CH"/>
              </w:rPr>
              <w:t xml:space="preserve"> și </w:t>
            </w:r>
            <w:r w:rsidRPr="009E686F">
              <w:rPr>
                <w:rFonts w:ascii="Times New Roman" w:hAnsi="Times New Roman" w:cs="Times New Roman"/>
                <w:i/>
                <w:lang w:val="it-CH"/>
              </w:rPr>
              <w:t>(2), acestea notifică Banca Națională a Moldovei, astfel cum prevede alin. (1) în cazul în care aceasta are calitatea de autoritate competentă responsabilă cu supravegherea instituției de credit pe bază consolidată sau supraveghetorul consolidant, altul decât Banca Națională a Moldovei, când aceasta din urmă nu are această calitate.</w:t>
            </w:r>
          </w:p>
        </w:tc>
        <w:tc>
          <w:tcPr>
            <w:tcW w:w="470" w:type="pct"/>
            <w:tcBorders>
              <w:top w:val="single" w:sz="4" w:space="0" w:color="auto"/>
              <w:left w:val="single" w:sz="4" w:space="0" w:color="auto"/>
              <w:bottom w:val="single" w:sz="4" w:space="0" w:color="auto"/>
              <w:right w:val="single" w:sz="4" w:space="0" w:color="auto"/>
            </w:tcBorders>
          </w:tcPr>
          <w:p w14:paraId="7408717F" w14:textId="77777777" w:rsidR="00265766" w:rsidRPr="009E686F" w:rsidRDefault="00265766" w:rsidP="00265766">
            <w:pPr>
              <w:jc w:val="both"/>
              <w:rPr>
                <w:rFonts w:ascii="Times New Roman" w:hAnsi="Times New Roman" w:cs="Times New Roman"/>
              </w:rPr>
            </w:pPr>
            <w:r w:rsidRPr="009E686F">
              <w:rPr>
                <w:rFonts w:ascii="Times New Roman" w:hAnsi="Times New Roman" w:cs="Times New Roman"/>
              </w:rPr>
              <w:t>Compatibil</w:t>
            </w:r>
          </w:p>
          <w:p w14:paraId="03770241" w14:textId="77777777" w:rsidR="00265766" w:rsidRPr="009E686F" w:rsidDel="003932E1" w:rsidRDefault="00265766" w:rsidP="00265766">
            <w:pPr>
              <w:jc w:val="both"/>
              <w:rPr>
                <w:rFonts w:ascii="Times New Roman" w:hAnsi="Times New Roman" w:cs="Times New Roman"/>
                <w:lang w:val="pt-BR"/>
              </w:rPr>
            </w:pPr>
          </w:p>
        </w:tc>
        <w:tc>
          <w:tcPr>
            <w:tcW w:w="806" w:type="pct"/>
            <w:tcBorders>
              <w:top w:val="single" w:sz="4" w:space="0" w:color="auto"/>
              <w:left w:val="single" w:sz="4" w:space="0" w:color="auto"/>
              <w:bottom w:val="single" w:sz="4" w:space="0" w:color="auto"/>
              <w:right w:val="single" w:sz="4" w:space="0" w:color="auto"/>
            </w:tcBorders>
          </w:tcPr>
          <w:p w14:paraId="079E3523" w14:textId="77777777" w:rsidR="00265766" w:rsidRPr="009E686F" w:rsidRDefault="00265766" w:rsidP="00265766">
            <w:pPr>
              <w:spacing w:after="0"/>
              <w:jc w:val="both"/>
              <w:rPr>
                <w:rFonts w:ascii="Times New Roman" w:hAnsi="Times New Roman" w:cs="Times New Roman"/>
                <w:color w:val="FF0000"/>
                <w:lang w:val="pt-BR"/>
              </w:rPr>
            </w:pPr>
          </w:p>
        </w:tc>
      </w:tr>
      <w:tr w:rsidR="00265766" w:rsidRPr="009E686F" w14:paraId="529B4C22" w14:textId="77777777" w:rsidTr="00960C23">
        <w:tc>
          <w:tcPr>
            <w:tcW w:w="1890" w:type="pct"/>
            <w:tcBorders>
              <w:top w:val="single" w:sz="4" w:space="0" w:color="auto"/>
              <w:left w:val="single" w:sz="4" w:space="0" w:color="auto"/>
              <w:bottom w:val="single" w:sz="4" w:space="0" w:color="auto"/>
              <w:right w:val="single" w:sz="4" w:space="0" w:color="auto"/>
            </w:tcBorders>
          </w:tcPr>
          <w:p w14:paraId="2D126530" w14:textId="3A1FA240" w:rsidR="00265766" w:rsidRPr="009E686F" w:rsidDel="003932E1"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(5) Autoritatea competentă confirmă în scris primirea notificării menționate la alineatul (1) sau a oricăror informații suplimentare în conformitate cu alineatul (9), cu promptitudine și, în orice caz, în termen de 10 zile lucrătoare de la primirea notificării sau a informațiilor suplimentare.</w:t>
            </w:r>
          </w:p>
        </w:tc>
        <w:tc>
          <w:tcPr>
            <w:tcW w:w="1834" w:type="pct"/>
            <w:tcBorders>
              <w:top w:val="single" w:sz="4" w:space="0" w:color="auto"/>
              <w:left w:val="single" w:sz="4" w:space="0" w:color="auto"/>
              <w:bottom w:val="single" w:sz="4" w:space="0" w:color="auto"/>
              <w:right w:val="single" w:sz="4" w:space="0" w:color="auto"/>
            </w:tcBorders>
          </w:tcPr>
          <w:p w14:paraId="3CE72E45" w14:textId="542DC14A" w:rsidR="00265766" w:rsidRPr="009E686F" w:rsidRDefault="00265766" w:rsidP="00265766">
            <w:pPr>
              <w:spacing w:after="0"/>
              <w:jc w:val="both"/>
              <w:rPr>
                <w:rFonts w:ascii="Times New Roman" w:hAnsi="Times New Roman" w:cs="Times New Roman"/>
                <w:bCs/>
                <w:i/>
                <w:iCs/>
                <w:lang w:val="it-CH"/>
              </w:rPr>
            </w:pPr>
            <w:r w:rsidRPr="009E686F">
              <w:rPr>
                <w:rFonts w:ascii="Times New Roman" w:hAnsi="Times New Roman" w:cs="Times New Roman"/>
                <w:bCs/>
                <w:i/>
                <w:iCs/>
                <w:lang w:val="it-IT"/>
              </w:rPr>
              <w:t>(6) Banca Naţională a Moldovei confirmă în scris potențialului achizitor primirea notificării, în temeiul alin. (1) sau a oricăror informații suplimentare în conformitate cu alin. (10), imediat şi, în orice caz, în termen de 10 zile lucrătoare de la primirea notificării și de la primirea tututor documentelor, inclusiv a celor solicitate ca anexă la solicitare în conformitate cu art. 5</w:t>
            </w:r>
            <w:r w:rsidR="001306E0" w:rsidRPr="009E686F">
              <w:rPr>
                <w:rFonts w:ascii="Times New Roman" w:hAnsi="Times New Roman" w:cs="Times New Roman"/>
                <w:bCs/>
                <w:i/>
                <w:iCs/>
                <w:lang w:val="it-IT"/>
              </w:rPr>
              <w:t>7</w:t>
            </w:r>
            <w:r w:rsidR="001306E0" w:rsidRPr="009E686F">
              <w:rPr>
                <w:rFonts w:ascii="Times New Roman" w:hAnsi="Times New Roman" w:cs="Times New Roman"/>
                <w:bCs/>
                <w:i/>
                <w:iCs/>
                <w:vertAlign w:val="superscript"/>
                <w:lang w:val="it-IT"/>
              </w:rPr>
              <w:t>2</w:t>
            </w:r>
            <w:r w:rsidRPr="009E686F">
              <w:rPr>
                <w:rFonts w:ascii="Times New Roman" w:hAnsi="Times New Roman" w:cs="Times New Roman"/>
                <w:bCs/>
                <w:i/>
                <w:iCs/>
                <w:lang w:val="it-IT"/>
              </w:rPr>
              <w:t xml:space="preserve"> alin. (6) și realizează evaluarea proiectului de achiziție, atât în calitate de autoritate competentă responsabilă cu supravegherea </w:t>
            </w:r>
            <w:r w:rsidRPr="009E686F">
              <w:rPr>
                <w:rFonts w:ascii="Times New Roman" w:hAnsi="Times New Roman" w:cs="Times New Roman"/>
                <w:bCs/>
                <w:i/>
                <w:iCs/>
                <w:lang w:val="it-IT"/>
              </w:rPr>
              <w:lastRenderedPageBreak/>
              <w:t>acestei instituții de credit la nivel individual, cât și în calitate de autoritate competentă responsabilă cu supravegherea instituției de credit pe bază consolidată. [...</w:t>
            </w:r>
            <w:r w:rsidRPr="009E686F">
              <w:rPr>
                <w:rFonts w:ascii="Times New Roman" w:hAnsi="Times New Roman" w:cs="Times New Roman"/>
                <w:bCs/>
                <w:i/>
                <w:iCs/>
                <w:lang w:val="it-CH"/>
              </w:rPr>
              <w:t>]</w:t>
            </w:r>
          </w:p>
        </w:tc>
        <w:tc>
          <w:tcPr>
            <w:tcW w:w="470" w:type="pct"/>
            <w:tcBorders>
              <w:top w:val="single" w:sz="4" w:space="0" w:color="auto"/>
              <w:left w:val="single" w:sz="4" w:space="0" w:color="auto"/>
              <w:bottom w:val="single" w:sz="4" w:space="0" w:color="auto"/>
              <w:right w:val="single" w:sz="4" w:space="0" w:color="auto"/>
            </w:tcBorders>
          </w:tcPr>
          <w:p w14:paraId="02F70B3A" w14:textId="77777777" w:rsidR="00265766" w:rsidRPr="009E686F" w:rsidRDefault="00265766" w:rsidP="00265766">
            <w:pPr>
              <w:jc w:val="both"/>
              <w:rPr>
                <w:rFonts w:ascii="Times New Roman" w:hAnsi="Times New Roman" w:cs="Times New Roman"/>
              </w:rPr>
            </w:pPr>
            <w:r w:rsidRPr="009E686F">
              <w:rPr>
                <w:rFonts w:ascii="Times New Roman" w:hAnsi="Times New Roman" w:cs="Times New Roman"/>
              </w:rPr>
              <w:lastRenderedPageBreak/>
              <w:t>Compatibil</w:t>
            </w:r>
          </w:p>
          <w:p w14:paraId="0BE6D873" w14:textId="77777777" w:rsidR="00265766" w:rsidRPr="009E686F" w:rsidDel="003932E1" w:rsidRDefault="00265766" w:rsidP="00265766">
            <w:pPr>
              <w:jc w:val="both"/>
              <w:rPr>
                <w:rFonts w:ascii="Times New Roman" w:hAnsi="Times New Roman" w:cs="Times New Roman"/>
                <w:lang w:val="it-IT"/>
              </w:rPr>
            </w:pPr>
          </w:p>
        </w:tc>
        <w:tc>
          <w:tcPr>
            <w:tcW w:w="806" w:type="pct"/>
            <w:tcBorders>
              <w:top w:val="single" w:sz="4" w:space="0" w:color="auto"/>
              <w:left w:val="single" w:sz="4" w:space="0" w:color="auto"/>
              <w:bottom w:val="single" w:sz="4" w:space="0" w:color="auto"/>
              <w:right w:val="single" w:sz="4" w:space="0" w:color="auto"/>
            </w:tcBorders>
          </w:tcPr>
          <w:p w14:paraId="320A5CEA" w14:textId="77777777" w:rsidR="00265766" w:rsidRPr="009E686F" w:rsidRDefault="00265766" w:rsidP="00265766">
            <w:pPr>
              <w:spacing w:after="0"/>
              <w:jc w:val="both"/>
              <w:rPr>
                <w:rFonts w:ascii="Times New Roman" w:hAnsi="Times New Roman" w:cs="Times New Roman"/>
                <w:color w:val="FF0000"/>
                <w:lang w:val="it-IT"/>
              </w:rPr>
            </w:pPr>
          </w:p>
        </w:tc>
      </w:tr>
      <w:tr w:rsidR="00265766" w:rsidRPr="009E686F" w14:paraId="2B487215" w14:textId="77777777" w:rsidTr="00960C23">
        <w:tc>
          <w:tcPr>
            <w:tcW w:w="1890" w:type="pct"/>
            <w:tcBorders>
              <w:top w:val="single" w:sz="4" w:space="0" w:color="auto"/>
              <w:left w:val="single" w:sz="4" w:space="0" w:color="auto"/>
              <w:bottom w:val="single" w:sz="4" w:space="0" w:color="auto"/>
              <w:right w:val="single" w:sz="4" w:space="0" w:color="auto"/>
            </w:tcBorders>
          </w:tcPr>
          <w:p w14:paraId="34AF704C" w14:textId="4130652F" w:rsidR="00265766" w:rsidRPr="009E686F" w:rsidDel="003932E1"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(6) Autoritatea competentă are la dispoziție 60 de zile lucrătoare de la data confirmării scrise de primire a notificării și de la primirea tuturor documentelor, inclusiv a celor solicitate de statul membru ca anexă la notificare în conformitate cu articolul 27b alineatul (5) («termenul de evaluare»), pentru a efectua evaluarea prevăzută la articolul 27b alineatul (1).</w:t>
            </w:r>
          </w:p>
        </w:tc>
        <w:tc>
          <w:tcPr>
            <w:tcW w:w="1834" w:type="pct"/>
            <w:tcBorders>
              <w:top w:val="single" w:sz="4" w:space="0" w:color="auto"/>
              <w:left w:val="single" w:sz="4" w:space="0" w:color="auto"/>
              <w:bottom w:val="single" w:sz="4" w:space="0" w:color="auto"/>
              <w:right w:val="single" w:sz="4" w:space="0" w:color="auto"/>
            </w:tcBorders>
          </w:tcPr>
          <w:p w14:paraId="7DC85933" w14:textId="1E12025B" w:rsidR="00265766" w:rsidRPr="009E686F" w:rsidRDefault="00265766" w:rsidP="00265766">
            <w:pPr>
              <w:spacing w:after="0"/>
              <w:jc w:val="both"/>
              <w:rPr>
                <w:rFonts w:ascii="Times New Roman" w:hAnsi="Times New Roman" w:cs="Times New Roman"/>
                <w:bCs/>
                <w:i/>
                <w:iCs/>
                <w:lang w:val="it-IT"/>
              </w:rPr>
            </w:pPr>
            <w:r w:rsidRPr="009E686F">
              <w:rPr>
                <w:rFonts w:ascii="Times New Roman" w:hAnsi="Times New Roman" w:cs="Times New Roman"/>
                <w:bCs/>
                <w:i/>
                <w:iCs/>
                <w:lang w:val="it-IT"/>
              </w:rPr>
              <w:t>(7) Banca Naţională a Moldovei realizează evaluarea menționată la alin. (6) în termen de 60 de zile lucrătoare de la data confirmării scrise de primire a notificării și de la primirea tuturor documentelor, inclusiv a celor solicitate ca anexă la solicitare în conformitate cu art. 5</w:t>
            </w:r>
            <w:r w:rsidR="00F80848" w:rsidRPr="009E686F">
              <w:rPr>
                <w:rFonts w:ascii="Times New Roman" w:hAnsi="Times New Roman" w:cs="Times New Roman"/>
                <w:bCs/>
                <w:i/>
                <w:iCs/>
                <w:lang w:val="it-IT"/>
              </w:rPr>
              <w:t>7</w:t>
            </w:r>
            <w:r w:rsidR="00F80848" w:rsidRPr="009E686F">
              <w:rPr>
                <w:rFonts w:ascii="Times New Roman" w:hAnsi="Times New Roman" w:cs="Times New Roman"/>
                <w:bCs/>
                <w:i/>
                <w:iCs/>
                <w:vertAlign w:val="superscript"/>
                <w:lang w:val="it-IT"/>
              </w:rPr>
              <w:t>2</w:t>
            </w:r>
            <w:r w:rsidRPr="009E686F">
              <w:rPr>
                <w:rFonts w:ascii="Times New Roman" w:hAnsi="Times New Roman" w:cs="Times New Roman"/>
                <w:bCs/>
                <w:i/>
                <w:iCs/>
                <w:lang w:val="it-IT"/>
              </w:rPr>
              <w:t xml:space="preserve"> alin. (6), pentru a efectua evaluarea prevăzută la articolul art. 5</w:t>
            </w:r>
            <w:r w:rsidR="00F80848" w:rsidRPr="009E686F">
              <w:rPr>
                <w:rFonts w:ascii="Times New Roman" w:hAnsi="Times New Roman" w:cs="Times New Roman"/>
                <w:bCs/>
                <w:i/>
                <w:iCs/>
                <w:lang w:val="it-IT"/>
              </w:rPr>
              <w:t>7</w:t>
            </w:r>
            <w:r w:rsidR="00F80848" w:rsidRPr="009E686F">
              <w:rPr>
                <w:rFonts w:ascii="Times New Roman" w:hAnsi="Times New Roman" w:cs="Times New Roman"/>
                <w:bCs/>
                <w:i/>
                <w:iCs/>
                <w:vertAlign w:val="superscript"/>
                <w:lang w:val="it-IT"/>
              </w:rPr>
              <w:t>2</w:t>
            </w:r>
            <w:r w:rsidRPr="009E686F">
              <w:rPr>
                <w:rFonts w:ascii="Times New Roman" w:hAnsi="Times New Roman" w:cs="Times New Roman"/>
                <w:bCs/>
                <w:i/>
                <w:iCs/>
                <w:lang w:val="it-IT"/>
              </w:rPr>
              <w:t xml:space="preserve"> alin. (1).</w:t>
            </w:r>
          </w:p>
        </w:tc>
        <w:tc>
          <w:tcPr>
            <w:tcW w:w="470" w:type="pct"/>
            <w:tcBorders>
              <w:top w:val="single" w:sz="4" w:space="0" w:color="auto"/>
              <w:left w:val="single" w:sz="4" w:space="0" w:color="auto"/>
              <w:bottom w:val="single" w:sz="4" w:space="0" w:color="auto"/>
              <w:right w:val="single" w:sz="4" w:space="0" w:color="auto"/>
            </w:tcBorders>
          </w:tcPr>
          <w:p w14:paraId="5A766DBC" w14:textId="77777777" w:rsidR="00265766" w:rsidRPr="009E686F" w:rsidRDefault="00265766" w:rsidP="00265766">
            <w:pPr>
              <w:jc w:val="both"/>
              <w:rPr>
                <w:rFonts w:ascii="Times New Roman" w:hAnsi="Times New Roman" w:cs="Times New Roman"/>
              </w:rPr>
            </w:pPr>
            <w:r w:rsidRPr="009E686F">
              <w:rPr>
                <w:rFonts w:ascii="Times New Roman" w:hAnsi="Times New Roman" w:cs="Times New Roman"/>
              </w:rPr>
              <w:t>Compatibil</w:t>
            </w:r>
          </w:p>
          <w:p w14:paraId="0A12E906" w14:textId="77777777" w:rsidR="00265766" w:rsidRPr="009E686F" w:rsidDel="003932E1" w:rsidRDefault="00265766" w:rsidP="00265766">
            <w:pPr>
              <w:jc w:val="both"/>
              <w:rPr>
                <w:rFonts w:ascii="Times New Roman" w:hAnsi="Times New Roman" w:cs="Times New Roman"/>
                <w:lang w:val="it-IT"/>
              </w:rPr>
            </w:pPr>
          </w:p>
        </w:tc>
        <w:tc>
          <w:tcPr>
            <w:tcW w:w="806" w:type="pct"/>
            <w:tcBorders>
              <w:top w:val="single" w:sz="4" w:space="0" w:color="auto"/>
              <w:left w:val="single" w:sz="4" w:space="0" w:color="auto"/>
              <w:bottom w:val="single" w:sz="4" w:space="0" w:color="auto"/>
              <w:right w:val="single" w:sz="4" w:space="0" w:color="auto"/>
            </w:tcBorders>
          </w:tcPr>
          <w:p w14:paraId="12824973" w14:textId="77777777" w:rsidR="00265766" w:rsidRPr="009E686F" w:rsidRDefault="00265766" w:rsidP="00265766">
            <w:pPr>
              <w:spacing w:after="0"/>
              <w:jc w:val="both"/>
              <w:rPr>
                <w:rFonts w:ascii="Times New Roman" w:hAnsi="Times New Roman" w:cs="Times New Roman"/>
                <w:color w:val="FF0000"/>
                <w:lang w:val="it-IT"/>
              </w:rPr>
            </w:pPr>
          </w:p>
        </w:tc>
      </w:tr>
      <w:tr w:rsidR="00265766" w:rsidRPr="009E686F" w14:paraId="0B525FBD" w14:textId="77777777" w:rsidTr="00960C23">
        <w:tc>
          <w:tcPr>
            <w:tcW w:w="1890" w:type="pct"/>
            <w:tcBorders>
              <w:top w:val="single" w:sz="4" w:space="0" w:color="auto"/>
              <w:left w:val="single" w:sz="4" w:space="0" w:color="auto"/>
              <w:bottom w:val="single" w:sz="4" w:space="0" w:color="auto"/>
              <w:right w:val="single" w:sz="4" w:space="0" w:color="auto"/>
            </w:tcBorders>
          </w:tcPr>
          <w:p w14:paraId="3049A283" w14:textId="1EA1A4E8" w:rsidR="00265766" w:rsidRPr="009E686F" w:rsidDel="003932E1" w:rsidRDefault="00265766" w:rsidP="00265766">
            <w:pPr>
              <w:spacing w:after="0"/>
              <w:jc w:val="both"/>
              <w:rPr>
                <w:rFonts w:ascii="Times New Roman" w:hAnsi="Times New Roman" w:cs="Times New Roman"/>
              </w:rPr>
            </w:pPr>
            <w:r w:rsidRPr="009E686F">
              <w:rPr>
                <w:rFonts w:ascii="Times New Roman" w:hAnsi="Times New Roman" w:cs="Times New Roman"/>
              </w:rPr>
              <w:t>În cazul în care proiectul de achiziție vizează achiziționarea unei dețineri calificate într-o instituție de credit, astfel cum se menționează la articolul 22 alineatul (1), potențialul achizitor este supus și obligației de notificare și evaluării prevăzute la articolul respectiv. În acest caz, termenul în care autoritatea competentă trebuie să efectueze atât evaluarea prevăzută la articolul 27b alineatul (1), cât și evaluarea menționată la articolul 22 alineatul (2) expiră numai la expirarea ultimului dintre cele două termene de evaluare relevante.</w:t>
            </w:r>
          </w:p>
        </w:tc>
        <w:tc>
          <w:tcPr>
            <w:tcW w:w="1834" w:type="pct"/>
            <w:tcBorders>
              <w:top w:val="single" w:sz="4" w:space="0" w:color="auto"/>
              <w:left w:val="single" w:sz="4" w:space="0" w:color="auto"/>
              <w:bottom w:val="single" w:sz="4" w:space="0" w:color="auto"/>
              <w:right w:val="single" w:sz="4" w:space="0" w:color="auto"/>
            </w:tcBorders>
          </w:tcPr>
          <w:p w14:paraId="6B70FBD2" w14:textId="41F76ABC" w:rsidR="00265766" w:rsidRPr="009E686F" w:rsidRDefault="00265766" w:rsidP="00265766">
            <w:pPr>
              <w:spacing w:after="0"/>
              <w:jc w:val="both"/>
              <w:rPr>
                <w:rFonts w:ascii="Times New Roman" w:hAnsi="Times New Roman" w:cs="Times New Roman"/>
                <w:bCs/>
                <w:i/>
                <w:iCs/>
                <w:lang w:val="it-IT"/>
              </w:rPr>
            </w:pPr>
            <w:r w:rsidRPr="009E686F">
              <w:rPr>
                <w:rFonts w:ascii="Times New Roman" w:hAnsi="Times New Roman" w:cs="Times New Roman"/>
                <w:i/>
                <w:lang w:val="it-CH"/>
              </w:rPr>
              <w:t>(8) În cazul în care proiectul de achiziție vizează achiziționarea unei dețineri calificate într-o instituție de credit, astfel cum se menționează la art. 45 alin. (1), potențialul achizitor este supus și obligației de notificare și evaluare prevăzute la articolul respectiv. În acest caz, termenul în care Banca Națională a Moldovei trebuie să efectueze atât evaluarea prevăzută la art. 5</w:t>
            </w:r>
            <w:r w:rsidR="00653692" w:rsidRPr="009E686F">
              <w:rPr>
                <w:rFonts w:ascii="Times New Roman" w:hAnsi="Times New Roman" w:cs="Times New Roman"/>
                <w:i/>
                <w:lang w:val="it-CH"/>
              </w:rPr>
              <w:t>7</w:t>
            </w:r>
            <w:r w:rsidR="00653692" w:rsidRPr="009E686F">
              <w:rPr>
                <w:rFonts w:ascii="Times New Roman" w:hAnsi="Times New Roman" w:cs="Times New Roman"/>
                <w:i/>
                <w:vertAlign w:val="superscript"/>
                <w:lang w:val="it-CH"/>
              </w:rPr>
              <w:t>2</w:t>
            </w:r>
            <w:r w:rsidRPr="009E686F">
              <w:rPr>
                <w:rFonts w:ascii="Times New Roman" w:hAnsi="Times New Roman" w:cs="Times New Roman"/>
                <w:i/>
                <w:lang w:val="it-CH"/>
              </w:rPr>
              <w:t xml:space="preserve"> alin. </w:t>
            </w:r>
            <w:r w:rsidRPr="009E686F">
              <w:rPr>
                <w:rFonts w:ascii="Times New Roman" w:hAnsi="Times New Roman" w:cs="Times New Roman"/>
                <w:bCs/>
                <w:i/>
                <w:iCs/>
                <w:lang w:val="it-IT"/>
              </w:rPr>
              <w:t>(1), cât și evaluarea menționată la art. 47 alin. (3) expiră numai la expirarea ultimului dintre cele două termene de evaluare relevante.</w:t>
            </w:r>
          </w:p>
        </w:tc>
        <w:tc>
          <w:tcPr>
            <w:tcW w:w="470" w:type="pct"/>
            <w:tcBorders>
              <w:top w:val="single" w:sz="4" w:space="0" w:color="auto"/>
              <w:left w:val="single" w:sz="4" w:space="0" w:color="auto"/>
              <w:bottom w:val="single" w:sz="4" w:space="0" w:color="auto"/>
              <w:right w:val="single" w:sz="4" w:space="0" w:color="auto"/>
            </w:tcBorders>
          </w:tcPr>
          <w:p w14:paraId="0C5CB1F3" w14:textId="77777777" w:rsidR="00265766" w:rsidRPr="009E686F" w:rsidRDefault="00265766" w:rsidP="00265766">
            <w:pPr>
              <w:jc w:val="both"/>
              <w:rPr>
                <w:rFonts w:ascii="Times New Roman" w:hAnsi="Times New Roman" w:cs="Times New Roman"/>
              </w:rPr>
            </w:pPr>
            <w:r w:rsidRPr="009E686F">
              <w:rPr>
                <w:rFonts w:ascii="Times New Roman" w:hAnsi="Times New Roman" w:cs="Times New Roman"/>
              </w:rPr>
              <w:t>Compatibil</w:t>
            </w:r>
          </w:p>
          <w:p w14:paraId="6879A564" w14:textId="77777777" w:rsidR="00265766" w:rsidRPr="009E686F" w:rsidDel="003932E1" w:rsidRDefault="00265766" w:rsidP="00265766">
            <w:pPr>
              <w:jc w:val="both"/>
              <w:rPr>
                <w:rFonts w:ascii="Times New Roman" w:hAnsi="Times New Roman" w:cs="Times New Roman"/>
                <w:lang w:val="it-IT"/>
              </w:rPr>
            </w:pPr>
          </w:p>
        </w:tc>
        <w:tc>
          <w:tcPr>
            <w:tcW w:w="806" w:type="pct"/>
            <w:tcBorders>
              <w:top w:val="single" w:sz="4" w:space="0" w:color="auto"/>
              <w:left w:val="single" w:sz="4" w:space="0" w:color="auto"/>
              <w:bottom w:val="single" w:sz="4" w:space="0" w:color="auto"/>
              <w:right w:val="single" w:sz="4" w:space="0" w:color="auto"/>
            </w:tcBorders>
          </w:tcPr>
          <w:p w14:paraId="1DCAE225" w14:textId="77777777" w:rsidR="00265766" w:rsidRPr="009E686F" w:rsidRDefault="00265766" w:rsidP="00265766">
            <w:pPr>
              <w:spacing w:after="0"/>
              <w:jc w:val="both"/>
              <w:rPr>
                <w:rFonts w:ascii="Times New Roman" w:hAnsi="Times New Roman" w:cs="Times New Roman"/>
                <w:color w:val="FF0000"/>
                <w:lang w:val="it-IT"/>
              </w:rPr>
            </w:pPr>
          </w:p>
        </w:tc>
      </w:tr>
      <w:tr w:rsidR="00265766" w:rsidRPr="009E686F" w14:paraId="2D006904" w14:textId="77777777" w:rsidTr="00960C23">
        <w:tc>
          <w:tcPr>
            <w:tcW w:w="1890" w:type="pct"/>
            <w:tcBorders>
              <w:top w:val="single" w:sz="4" w:space="0" w:color="auto"/>
              <w:left w:val="single" w:sz="4" w:space="0" w:color="auto"/>
              <w:bottom w:val="single" w:sz="4" w:space="0" w:color="auto"/>
              <w:right w:val="single" w:sz="4" w:space="0" w:color="auto"/>
            </w:tcBorders>
          </w:tcPr>
          <w:p w14:paraId="447264CF" w14:textId="7857C60F" w:rsidR="00265766" w:rsidRPr="009E686F" w:rsidDel="003932E1" w:rsidRDefault="00265766" w:rsidP="00265766">
            <w:pPr>
              <w:spacing w:after="0"/>
              <w:jc w:val="both"/>
              <w:rPr>
                <w:rFonts w:ascii="Times New Roman" w:hAnsi="Times New Roman" w:cs="Times New Roman"/>
              </w:rPr>
            </w:pPr>
            <w:r w:rsidRPr="009E686F">
              <w:rPr>
                <w:rFonts w:ascii="Times New Roman" w:hAnsi="Times New Roman" w:cs="Times New Roman"/>
              </w:rPr>
              <w:t>(7) În cazul în care proiectul de achiziție a unei dețineri semnificative se desfășoară între entități din același grup, astfel cum se menționează la articolul 113 alineatul (6) din Regulamentul (UE) nr. 575/2013, sau între entități din cadrul aceluiași sistem instituțional de protecție, astfel cum se menționează la articolul 113 alineatul (7) din regulamentul respectiv, autoritatea competentă nu este obligată să efectueze evaluarea prevăzută la articolul 27b alineatul (1) din prezenta directivă.</w:t>
            </w:r>
          </w:p>
        </w:tc>
        <w:tc>
          <w:tcPr>
            <w:tcW w:w="1834" w:type="pct"/>
            <w:tcBorders>
              <w:top w:val="single" w:sz="4" w:space="0" w:color="auto"/>
              <w:left w:val="single" w:sz="4" w:space="0" w:color="auto"/>
              <w:bottom w:val="single" w:sz="4" w:space="0" w:color="auto"/>
              <w:right w:val="single" w:sz="4" w:space="0" w:color="auto"/>
            </w:tcBorders>
          </w:tcPr>
          <w:p w14:paraId="489D90BF" w14:textId="1ABD7440" w:rsidR="00265766" w:rsidRPr="009E686F" w:rsidRDefault="00265766" w:rsidP="00265766">
            <w:pPr>
              <w:spacing w:after="0"/>
              <w:jc w:val="both"/>
              <w:rPr>
                <w:rFonts w:ascii="Times New Roman" w:hAnsi="Times New Roman" w:cs="Times New Roman"/>
                <w:bCs/>
                <w:i/>
                <w:iCs/>
                <w:lang w:val="it-IT"/>
              </w:rPr>
            </w:pPr>
            <w:r w:rsidRPr="009E686F">
              <w:rPr>
                <w:rFonts w:ascii="Times New Roman" w:hAnsi="Times New Roman" w:cs="Times New Roman"/>
                <w:bCs/>
                <w:i/>
                <w:iCs/>
                <w:lang w:val="it-IT"/>
              </w:rPr>
              <w:t>(9) Banca Națională a Moldovei nu realizează evaluarea prevăzută la art. 5</w:t>
            </w:r>
            <w:r w:rsidR="00653692" w:rsidRPr="009E686F">
              <w:rPr>
                <w:rFonts w:ascii="Times New Roman" w:hAnsi="Times New Roman" w:cs="Times New Roman"/>
                <w:bCs/>
                <w:i/>
                <w:iCs/>
                <w:lang w:val="it-IT"/>
              </w:rPr>
              <w:t>7</w:t>
            </w:r>
            <w:r w:rsidR="00653692" w:rsidRPr="009E686F">
              <w:rPr>
                <w:rFonts w:ascii="Times New Roman" w:hAnsi="Times New Roman" w:cs="Times New Roman"/>
                <w:bCs/>
                <w:i/>
                <w:iCs/>
                <w:vertAlign w:val="superscript"/>
                <w:lang w:val="it-IT"/>
              </w:rPr>
              <w:t>2</w:t>
            </w:r>
            <w:r w:rsidRPr="009E686F">
              <w:rPr>
                <w:rFonts w:ascii="Times New Roman" w:hAnsi="Times New Roman" w:cs="Times New Roman"/>
                <w:bCs/>
                <w:i/>
                <w:iCs/>
                <w:lang w:val="it-IT"/>
              </w:rPr>
              <w:t xml:space="preserve"> alin. (1) în cazul în care proiectul de achiziție a unei dețineri semnificative se desfășoară între entități din același grup sau între entități din cadrul aceluiași sistem instituțional de protecție, astfel cum sunt menționate în actele normative emise în aplicarea prezentei legi.</w:t>
            </w:r>
          </w:p>
        </w:tc>
        <w:tc>
          <w:tcPr>
            <w:tcW w:w="470" w:type="pct"/>
            <w:tcBorders>
              <w:top w:val="single" w:sz="4" w:space="0" w:color="auto"/>
              <w:left w:val="single" w:sz="4" w:space="0" w:color="auto"/>
              <w:bottom w:val="single" w:sz="4" w:space="0" w:color="auto"/>
              <w:right w:val="single" w:sz="4" w:space="0" w:color="auto"/>
            </w:tcBorders>
          </w:tcPr>
          <w:p w14:paraId="5B2369ED" w14:textId="77777777" w:rsidR="00265766" w:rsidRPr="009E686F" w:rsidRDefault="00265766" w:rsidP="00265766">
            <w:pPr>
              <w:jc w:val="both"/>
              <w:rPr>
                <w:rFonts w:ascii="Times New Roman" w:hAnsi="Times New Roman" w:cs="Times New Roman"/>
              </w:rPr>
            </w:pPr>
            <w:r w:rsidRPr="009E686F">
              <w:rPr>
                <w:rFonts w:ascii="Times New Roman" w:hAnsi="Times New Roman" w:cs="Times New Roman"/>
              </w:rPr>
              <w:t>Compatibil</w:t>
            </w:r>
          </w:p>
          <w:p w14:paraId="5FC6D477" w14:textId="77777777" w:rsidR="00265766" w:rsidRPr="009E686F" w:rsidDel="003932E1" w:rsidRDefault="00265766" w:rsidP="00265766">
            <w:pPr>
              <w:jc w:val="both"/>
              <w:rPr>
                <w:rFonts w:ascii="Times New Roman" w:hAnsi="Times New Roman" w:cs="Times New Roman"/>
                <w:lang w:val="it-IT"/>
              </w:rPr>
            </w:pPr>
          </w:p>
        </w:tc>
        <w:tc>
          <w:tcPr>
            <w:tcW w:w="806" w:type="pct"/>
            <w:tcBorders>
              <w:top w:val="single" w:sz="4" w:space="0" w:color="auto"/>
              <w:left w:val="single" w:sz="4" w:space="0" w:color="auto"/>
              <w:bottom w:val="single" w:sz="4" w:space="0" w:color="auto"/>
              <w:right w:val="single" w:sz="4" w:space="0" w:color="auto"/>
            </w:tcBorders>
          </w:tcPr>
          <w:p w14:paraId="69D1B457" w14:textId="77777777" w:rsidR="00265766" w:rsidRPr="009E686F" w:rsidRDefault="00265766" w:rsidP="00265766">
            <w:pPr>
              <w:spacing w:after="0"/>
              <w:jc w:val="both"/>
              <w:rPr>
                <w:rFonts w:ascii="Times New Roman" w:hAnsi="Times New Roman" w:cs="Times New Roman"/>
                <w:color w:val="FF0000"/>
                <w:lang w:val="it-IT"/>
              </w:rPr>
            </w:pPr>
          </w:p>
        </w:tc>
      </w:tr>
      <w:tr w:rsidR="00265766" w:rsidRPr="009E686F" w14:paraId="47D416C2" w14:textId="77777777" w:rsidTr="00960C23">
        <w:tc>
          <w:tcPr>
            <w:tcW w:w="1890" w:type="pct"/>
            <w:tcBorders>
              <w:top w:val="single" w:sz="4" w:space="0" w:color="auto"/>
              <w:left w:val="single" w:sz="4" w:space="0" w:color="auto"/>
              <w:bottom w:val="single" w:sz="4" w:space="0" w:color="auto"/>
              <w:right w:val="single" w:sz="4" w:space="0" w:color="auto"/>
            </w:tcBorders>
          </w:tcPr>
          <w:p w14:paraId="5FE728C9" w14:textId="21CCB3B2" w:rsidR="00265766" w:rsidRPr="009E686F" w:rsidDel="003932E1"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(8) În momentul transmiterii confirmării de primire menționate la alineatul (5), autoritatea competentă comunică potențialului achizitor data de expirare a termenului de evaluare.</w:t>
            </w:r>
          </w:p>
        </w:tc>
        <w:tc>
          <w:tcPr>
            <w:tcW w:w="1834" w:type="pct"/>
            <w:tcBorders>
              <w:top w:val="single" w:sz="4" w:space="0" w:color="auto"/>
              <w:left w:val="single" w:sz="4" w:space="0" w:color="auto"/>
              <w:bottom w:val="single" w:sz="4" w:space="0" w:color="auto"/>
              <w:right w:val="single" w:sz="4" w:space="0" w:color="auto"/>
            </w:tcBorders>
          </w:tcPr>
          <w:p w14:paraId="28300321" w14:textId="6CF45013" w:rsidR="00265766" w:rsidRPr="009E686F" w:rsidRDefault="00265766" w:rsidP="00265766">
            <w:pPr>
              <w:spacing w:after="0"/>
              <w:jc w:val="both"/>
              <w:rPr>
                <w:rFonts w:ascii="Times New Roman" w:hAnsi="Times New Roman" w:cs="Times New Roman"/>
                <w:i/>
                <w:lang w:val="it-CH"/>
              </w:rPr>
            </w:pPr>
            <w:r w:rsidRPr="009E686F">
              <w:rPr>
                <w:rFonts w:ascii="Times New Roman" w:hAnsi="Times New Roman" w:cs="Times New Roman"/>
                <w:i/>
                <w:lang w:val="it-CH"/>
              </w:rPr>
              <w:t xml:space="preserve">(6)[...] În momentul transmiterii confirmării de primire menționate la prezentul alineat, Banca Națională a Moldovei </w:t>
            </w:r>
            <w:r w:rsidRPr="009E686F">
              <w:rPr>
                <w:rFonts w:ascii="Times New Roman" w:hAnsi="Times New Roman" w:cs="Times New Roman"/>
                <w:i/>
                <w:lang w:val="it-CH"/>
              </w:rPr>
              <w:lastRenderedPageBreak/>
              <w:t>comunică potențialului achizitor data expirării a termenului de evaluare.</w:t>
            </w:r>
          </w:p>
        </w:tc>
        <w:tc>
          <w:tcPr>
            <w:tcW w:w="470" w:type="pct"/>
            <w:tcBorders>
              <w:top w:val="single" w:sz="4" w:space="0" w:color="auto"/>
              <w:left w:val="single" w:sz="4" w:space="0" w:color="auto"/>
              <w:bottom w:val="single" w:sz="4" w:space="0" w:color="auto"/>
              <w:right w:val="single" w:sz="4" w:space="0" w:color="auto"/>
            </w:tcBorders>
          </w:tcPr>
          <w:p w14:paraId="78A3A134" w14:textId="77777777" w:rsidR="00265766" w:rsidRPr="009E686F" w:rsidRDefault="00265766" w:rsidP="00265766">
            <w:pPr>
              <w:jc w:val="both"/>
              <w:rPr>
                <w:rFonts w:ascii="Times New Roman" w:hAnsi="Times New Roman" w:cs="Times New Roman"/>
              </w:rPr>
            </w:pPr>
            <w:r w:rsidRPr="009E686F">
              <w:rPr>
                <w:rFonts w:ascii="Times New Roman" w:hAnsi="Times New Roman" w:cs="Times New Roman"/>
              </w:rPr>
              <w:lastRenderedPageBreak/>
              <w:t>Compatibil</w:t>
            </w:r>
          </w:p>
          <w:p w14:paraId="54F4D424" w14:textId="77777777" w:rsidR="00265766" w:rsidRPr="009E686F" w:rsidDel="003932E1" w:rsidRDefault="00265766" w:rsidP="00265766">
            <w:pPr>
              <w:jc w:val="both"/>
              <w:rPr>
                <w:rFonts w:ascii="Times New Roman" w:hAnsi="Times New Roman" w:cs="Times New Roman"/>
                <w:lang w:val="it-IT"/>
              </w:rPr>
            </w:pPr>
          </w:p>
        </w:tc>
        <w:tc>
          <w:tcPr>
            <w:tcW w:w="806" w:type="pct"/>
            <w:tcBorders>
              <w:top w:val="single" w:sz="4" w:space="0" w:color="auto"/>
              <w:left w:val="single" w:sz="4" w:space="0" w:color="auto"/>
              <w:bottom w:val="single" w:sz="4" w:space="0" w:color="auto"/>
              <w:right w:val="single" w:sz="4" w:space="0" w:color="auto"/>
            </w:tcBorders>
          </w:tcPr>
          <w:p w14:paraId="4F7B4A09" w14:textId="77777777" w:rsidR="00265766" w:rsidRPr="009E686F" w:rsidRDefault="00265766" w:rsidP="00265766">
            <w:pPr>
              <w:spacing w:after="0"/>
              <w:jc w:val="both"/>
              <w:rPr>
                <w:rFonts w:ascii="Times New Roman" w:hAnsi="Times New Roman" w:cs="Times New Roman"/>
                <w:color w:val="FF0000"/>
                <w:lang w:val="it-IT"/>
              </w:rPr>
            </w:pPr>
          </w:p>
        </w:tc>
      </w:tr>
      <w:tr w:rsidR="00265766" w:rsidRPr="009E686F" w14:paraId="1D339E96" w14:textId="77777777" w:rsidTr="00960C23">
        <w:tc>
          <w:tcPr>
            <w:tcW w:w="1890" w:type="pct"/>
            <w:tcBorders>
              <w:top w:val="single" w:sz="4" w:space="0" w:color="auto"/>
              <w:left w:val="single" w:sz="4" w:space="0" w:color="auto"/>
              <w:bottom w:val="single" w:sz="4" w:space="0" w:color="auto"/>
              <w:right w:val="single" w:sz="4" w:space="0" w:color="auto"/>
            </w:tcBorders>
          </w:tcPr>
          <w:p w14:paraId="0C306227" w14:textId="33E1903B" w:rsidR="00265766" w:rsidRPr="009E686F" w:rsidDel="003932E1" w:rsidRDefault="00265766" w:rsidP="00265766">
            <w:pPr>
              <w:spacing w:after="0"/>
              <w:jc w:val="both"/>
              <w:rPr>
                <w:rFonts w:ascii="Times New Roman" w:hAnsi="Times New Roman" w:cs="Times New Roman"/>
                <w:lang w:val="it-IT"/>
              </w:rPr>
            </w:pPr>
            <w:r w:rsidRPr="009E686F">
              <w:rPr>
                <w:rFonts w:ascii="Times New Roman" w:hAnsi="Times New Roman" w:cs="Times New Roman"/>
                <w:lang w:val="it-CH"/>
              </w:rPr>
              <w:t xml:space="preserve">(9) Dacă este necesar, în cursul termenului de evaluare și, în orice caz, cel târziu în cea de a cincizecea zi lucrătoare a termenului de evaluare, autoritatea competentă poate să solicite informații suplimentare care sunt necesare pentru finalizarea evaluării prevăzute la articolul 27b alineatul (1). </w:t>
            </w:r>
            <w:r w:rsidRPr="009E686F">
              <w:rPr>
                <w:rFonts w:ascii="Times New Roman" w:hAnsi="Times New Roman" w:cs="Times New Roman"/>
                <w:lang w:val="it-IT"/>
              </w:rPr>
              <w:t>O astfel de solicitare se face în scris, precizându-se informațiile suplimentare necesare.</w:t>
            </w:r>
          </w:p>
        </w:tc>
        <w:tc>
          <w:tcPr>
            <w:tcW w:w="1834" w:type="pct"/>
            <w:tcBorders>
              <w:top w:val="single" w:sz="4" w:space="0" w:color="auto"/>
              <w:left w:val="single" w:sz="4" w:space="0" w:color="auto"/>
              <w:bottom w:val="single" w:sz="4" w:space="0" w:color="auto"/>
              <w:right w:val="single" w:sz="4" w:space="0" w:color="auto"/>
            </w:tcBorders>
          </w:tcPr>
          <w:p w14:paraId="1AD5115D" w14:textId="2DCC42C6" w:rsidR="00265766" w:rsidRPr="009E686F" w:rsidRDefault="00265766" w:rsidP="00265766">
            <w:pPr>
              <w:spacing w:after="0"/>
              <w:jc w:val="both"/>
              <w:rPr>
                <w:rFonts w:ascii="Times New Roman" w:hAnsi="Times New Roman" w:cs="Times New Roman"/>
                <w:bCs/>
                <w:i/>
                <w:iCs/>
                <w:lang w:val="it-IT"/>
              </w:rPr>
            </w:pPr>
            <w:r w:rsidRPr="009E686F">
              <w:rPr>
                <w:rFonts w:ascii="Times New Roman" w:hAnsi="Times New Roman" w:cs="Times New Roman"/>
                <w:bCs/>
                <w:i/>
                <w:iCs/>
                <w:lang w:val="it-IT"/>
              </w:rPr>
              <w:t>(10) În cursul termenului de evaluare prevăzut la alin. (7) și, în orice caz, cel târziu în cea de a cincizecea zi lucrătoare a termenului de evaluare, Banca Națională a Moldovei, dacă este necesar, poate să solicite în scris informații suplimentare care sunt necesare pentru finalizarea evaluării prevăzute la articolul art. 5</w:t>
            </w:r>
            <w:r w:rsidR="00653692" w:rsidRPr="009E686F">
              <w:rPr>
                <w:rFonts w:ascii="Times New Roman" w:hAnsi="Times New Roman" w:cs="Times New Roman"/>
                <w:bCs/>
                <w:i/>
                <w:iCs/>
                <w:lang w:val="it-IT"/>
              </w:rPr>
              <w:t>7</w:t>
            </w:r>
            <w:r w:rsidR="00653692" w:rsidRPr="009E686F">
              <w:rPr>
                <w:rFonts w:ascii="Times New Roman" w:hAnsi="Times New Roman" w:cs="Times New Roman"/>
                <w:bCs/>
                <w:i/>
                <w:iCs/>
                <w:vertAlign w:val="superscript"/>
                <w:lang w:val="it-IT"/>
              </w:rPr>
              <w:t>2</w:t>
            </w:r>
            <w:r w:rsidRPr="009E686F">
              <w:rPr>
                <w:rFonts w:ascii="Times New Roman" w:hAnsi="Times New Roman" w:cs="Times New Roman"/>
                <w:bCs/>
                <w:i/>
                <w:iCs/>
                <w:lang w:val="it-IT"/>
              </w:rPr>
              <w:t xml:space="preserve"> alin. (1).</w:t>
            </w:r>
          </w:p>
        </w:tc>
        <w:tc>
          <w:tcPr>
            <w:tcW w:w="470" w:type="pct"/>
            <w:tcBorders>
              <w:top w:val="single" w:sz="4" w:space="0" w:color="auto"/>
              <w:left w:val="single" w:sz="4" w:space="0" w:color="auto"/>
              <w:bottom w:val="single" w:sz="4" w:space="0" w:color="auto"/>
              <w:right w:val="single" w:sz="4" w:space="0" w:color="auto"/>
            </w:tcBorders>
          </w:tcPr>
          <w:p w14:paraId="386C4E9D" w14:textId="77777777" w:rsidR="00265766" w:rsidRPr="009E686F" w:rsidRDefault="00265766" w:rsidP="00265766">
            <w:pPr>
              <w:jc w:val="both"/>
              <w:rPr>
                <w:rFonts w:ascii="Times New Roman" w:hAnsi="Times New Roman" w:cs="Times New Roman"/>
              </w:rPr>
            </w:pPr>
            <w:r w:rsidRPr="009E686F">
              <w:rPr>
                <w:rFonts w:ascii="Times New Roman" w:hAnsi="Times New Roman" w:cs="Times New Roman"/>
              </w:rPr>
              <w:t>Compatibil</w:t>
            </w:r>
          </w:p>
          <w:p w14:paraId="7B07E8E9" w14:textId="77777777" w:rsidR="00265766" w:rsidRPr="009E686F" w:rsidDel="003932E1" w:rsidRDefault="00265766" w:rsidP="00265766">
            <w:pPr>
              <w:jc w:val="both"/>
              <w:rPr>
                <w:rFonts w:ascii="Times New Roman" w:hAnsi="Times New Roman" w:cs="Times New Roman"/>
                <w:lang w:val="it-IT"/>
              </w:rPr>
            </w:pPr>
          </w:p>
        </w:tc>
        <w:tc>
          <w:tcPr>
            <w:tcW w:w="806" w:type="pct"/>
            <w:tcBorders>
              <w:top w:val="single" w:sz="4" w:space="0" w:color="auto"/>
              <w:left w:val="single" w:sz="4" w:space="0" w:color="auto"/>
              <w:bottom w:val="single" w:sz="4" w:space="0" w:color="auto"/>
              <w:right w:val="single" w:sz="4" w:space="0" w:color="auto"/>
            </w:tcBorders>
          </w:tcPr>
          <w:p w14:paraId="797F2176" w14:textId="77777777" w:rsidR="00265766" w:rsidRPr="009E686F" w:rsidRDefault="00265766" w:rsidP="00265766">
            <w:pPr>
              <w:spacing w:after="0"/>
              <w:jc w:val="both"/>
              <w:rPr>
                <w:rFonts w:ascii="Times New Roman" w:hAnsi="Times New Roman" w:cs="Times New Roman"/>
                <w:color w:val="FF0000"/>
                <w:lang w:val="it-IT"/>
              </w:rPr>
            </w:pPr>
          </w:p>
        </w:tc>
      </w:tr>
      <w:tr w:rsidR="00265766" w:rsidRPr="009E686F" w14:paraId="32DE2DDF" w14:textId="77777777" w:rsidTr="00960C23">
        <w:tc>
          <w:tcPr>
            <w:tcW w:w="1890" w:type="pct"/>
            <w:tcBorders>
              <w:top w:val="single" w:sz="4" w:space="0" w:color="auto"/>
              <w:left w:val="single" w:sz="4" w:space="0" w:color="auto"/>
              <w:bottom w:val="single" w:sz="4" w:space="0" w:color="auto"/>
              <w:right w:val="single" w:sz="4" w:space="0" w:color="auto"/>
            </w:tcBorders>
          </w:tcPr>
          <w:p w14:paraId="4949275A" w14:textId="0F74088D" w:rsidR="00265766" w:rsidRPr="009E686F" w:rsidDel="003932E1"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(10) Termenul de evaluare se suspendă pe perioada cuprinsă între data solicitării de informații suplimentare de către autoritatea competentă și data primirii de la potențialul achizitor a răspunsului la această solicitare, prin care se oferă toate informațiile cerute. Suspendarea respectivă nu depășește 20 de zile lucrătoare. Orice solicitări suplimentare formulate de autoritatea competentă în vederea completării sau clarificării informațiilor furnizate sunt la discreția autorității competente, dar nu conduc la suspendarea termenului de evaluare.</w:t>
            </w:r>
          </w:p>
        </w:tc>
        <w:tc>
          <w:tcPr>
            <w:tcW w:w="1834" w:type="pct"/>
            <w:tcBorders>
              <w:top w:val="single" w:sz="4" w:space="0" w:color="auto"/>
              <w:left w:val="single" w:sz="4" w:space="0" w:color="auto"/>
              <w:bottom w:val="single" w:sz="4" w:space="0" w:color="auto"/>
              <w:right w:val="single" w:sz="4" w:space="0" w:color="auto"/>
            </w:tcBorders>
          </w:tcPr>
          <w:p w14:paraId="019FF739" w14:textId="62A0AFB2" w:rsidR="00265766" w:rsidRPr="009E686F" w:rsidRDefault="00265766" w:rsidP="00265766">
            <w:pPr>
              <w:spacing w:after="0"/>
              <w:jc w:val="both"/>
              <w:rPr>
                <w:rFonts w:ascii="Times New Roman" w:hAnsi="Times New Roman" w:cs="Times New Roman"/>
                <w:i/>
                <w:lang w:val="it-CH"/>
              </w:rPr>
            </w:pPr>
            <w:r w:rsidRPr="009E686F">
              <w:rPr>
                <w:rFonts w:ascii="Times New Roman" w:hAnsi="Times New Roman" w:cs="Times New Roman"/>
                <w:i/>
                <w:lang w:val="it-CH"/>
              </w:rPr>
              <w:t>(11) Termenul de evaluare se suspendă pe perioada cuprinsă între data solicitării de informații suplimentare de către Banca Națională a Moldovei și data primirii de la potențialul achizitor a răspunsului la această solicitare, prin care se oferă toate informațiile solicitate. Suspendarea respectivă nu depășește 20 de zile lucrătoare. Orice solicitări suplimentare considerate necesare de Banca Națională a Moldovei în vederea completării sau clarificării informațiilor furnizate nu conduc la suspendarea termenului de evaluare.</w:t>
            </w:r>
          </w:p>
        </w:tc>
        <w:tc>
          <w:tcPr>
            <w:tcW w:w="470" w:type="pct"/>
            <w:tcBorders>
              <w:top w:val="single" w:sz="4" w:space="0" w:color="auto"/>
              <w:left w:val="single" w:sz="4" w:space="0" w:color="auto"/>
              <w:bottom w:val="single" w:sz="4" w:space="0" w:color="auto"/>
              <w:right w:val="single" w:sz="4" w:space="0" w:color="auto"/>
            </w:tcBorders>
          </w:tcPr>
          <w:p w14:paraId="2E10A74A" w14:textId="77777777" w:rsidR="00265766" w:rsidRPr="009E686F" w:rsidRDefault="00265766" w:rsidP="00265766">
            <w:pPr>
              <w:jc w:val="both"/>
              <w:rPr>
                <w:rFonts w:ascii="Times New Roman" w:hAnsi="Times New Roman" w:cs="Times New Roman"/>
              </w:rPr>
            </w:pPr>
            <w:r w:rsidRPr="009E686F">
              <w:rPr>
                <w:rFonts w:ascii="Times New Roman" w:hAnsi="Times New Roman" w:cs="Times New Roman"/>
              </w:rPr>
              <w:t>Compatibil</w:t>
            </w:r>
          </w:p>
          <w:p w14:paraId="70DBEB18" w14:textId="77777777" w:rsidR="00265766" w:rsidRPr="009E686F" w:rsidDel="003932E1" w:rsidRDefault="00265766" w:rsidP="00265766">
            <w:pPr>
              <w:jc w:val="both"/>
              <w:rPr>
                <w:rFonts w:ascii="Times New Roman" w:hAnsi="Times New Roman" w:cs="Times New Roman"/>
                <w:lang w:val="it-IT"/>
              </w:rPr>
            </w:pPr>
          </w:p>
        </w:tc>
        <w:tc>
          <w:tcPr>
            <w:tcW w:w="806" w:type="pct"/>
            <w:tcBorders>
              <w:top w:val="single" w:sz="4" w:space="0" w:color="auto"/>
              <w:left w:val="single" w:sz="4" w:space="0" w:color="auto"/>
              <w:bottom w:val="single" w:sz="4" w:space="0" w:color="auto"/>
              <w:right w:val="single" w:sz="4" w:space="0" w:color="auto"/>
            </w:tcBorders>
          </w:tcPr>
          <w:p w14:paraId="3FD6EA10" w14:textId="77777777" w:rsidR="00265766" w:rsidRPr="009E686F" w:rsidRDefault="00265766" w:rsidP="00265766">
            <w:pPr>
              <w:spacing w:after="0"/>
              <w:jc w:val="both"/>
              <w:rPr>
                <w:rFonts w:ascii="Times New Roman" w:hAnsi="Times New Roman" w:cs="Times New Roman"/>
                <w:color w:val="FF0000"/>
                <w:lang w:val="it-IT"/>
              </w:rPr>
            </w:pPr>
          </w:p>
        </w:tc>
      </w:tr>
      <w:tr w:rsidR="00265766" w:rsidRPr="009E686F" w14:paraId="41367C0C" w14:textId="77777777" w:rsidTr="00960C23">
        <w:tc>
          <w:tcPr>
            <w:tcW w:w="1890" w:type="pct"/>
            <w:tcBorders>
              <w:top w:val="single" w:sz="4" w:space="0" w:color="auto"/>
              <w:left w:val="single" w:sz="4" w:space="0" w:color="auto"/>
              <w:bottom w:val="single" w:sz="4" w:space="0" w:color="auto"/>
              <w:right w:val="single" w:sz="4" w:space="0" w:color="auto"/>
            </w:tcBorders>
          </w:tcPr>
          <w:p w14:paraId="20AD5E35" w14:textId="341A99D0" w:rsidR="00265766" w:rsidRPr="009E686F" w:rsidDel="003932E1"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(11) Autoritatea competentă poate prelungi suspendarea menționată la alineatul (10) cu maximum 30 de zile lucrătoare în următoarele situații:</w:t>
            </w:r>
          </w:p>
        </w:tc>
        <w:tc>
          <w:tcPr>
            <w:tcW w:w="1834" w:type="pct"/>
            <w:tcBorders>
              <w:top w:val="single" w:sz="4" w:space="0" w:color="auto"/>
              <w:left w:val="single" w:sz="4" w:space="0" w:color="auto"/>
              <w:bottom w:val="single" w:sz="4" w:space="0" w:color="auto"/>
              <w:right w:val="single" w:sz="4" w:space="0" w:color="auto"/>
            </w:tcBorders>
          </w:tcPr>
          <w:p w14:paraId="4A6B5AC5" w14:textId="3E7CCEEF" w:rsidR="00265766" w:rsidRPr="009E686F" w:rsidRDefault="00265766" w:rsidP="00265766">
            <w:pPr>
              <w:spacing w:after="0"/>
              <w:jc w:val="both"/>
              <w:rPr>
                <w:rFonts w:ascii="Times New Roman" w:hAnsi="Times New Roman" w:cs="Times New Roman"/>
                <w:bCs/>
                <w:i/>
                <w:iCs/>
                <w:lang w:val="it-IT"/>
              </w:rPr>
            </w:pPr>
            <w:r w:rsidRPr="009E686F">
              <w:rPr>
                <w:rFonts w:ascii="Times New Roman" w:hAnsi="Times New Roman" w:cs="Times New Roman"/>
                <w:bCs/>
                <w:i/>
                <w:iCs/>
                <w:lang w:val="it-IT"/>
              </w:rPr>
              <w:t>(12) Banca Națională a Moldovei poate prelungi suspendarea menționată la alin. (11) cu cel mult 30 de zile lucrătoare în următoarele situații:</w:t>
            </w:r>
          </w:p>
        </w:tc>
        <w:tc>
          <w:tcPr>
            <w:tcW w:w="470" w:type="pct"/>
            <w:tcBorders>
              <w:top w:val="single" w:sz="4" w:space="0" w:color="auto"/>
              <w:left w:val="single" w:sz="4" w:space="0" w:color="auto"/>
              <w:bottom w:val="single" w:sz="4" w:space="0" w:color="auto"/>
              <w:right w:val="single" w:sz="4" w:space="0" w:color="auto"/>
            </w:tcBorders>
          </w:tcPr>
          <w:p w14:paraId="13860FAF" w14:textId="77777777" w:rsidR="00265766" w:rsidRPr="009E686F" w:rsidDel="003932E1" w:rsidRDefault="00265766" w:rsidP="00265766">
            <w:pPr>
              <w:jc w:val="both"/>
              <w:rPr>
                <w:rFonts w:ascii="Times New Roman" w:hAnsi="Times New Roman" w:cs="Times New Roman"/>
                <w:lang w:val="it-IT"/>
              </w:rPr>
            </w:pPr>
          </w:p>
        </w:tc>
        <w:tc>
          <w:tcPr>
            <w:tcW w:w="806" w:type="pct"/>
            <w:tcBorders>
              <w:top w:val="single" w:sz="4" w:space="0" w:color="auto"/>
              <w:left w:val="single" w:sz="4" w:space="0" w:color="auto"/>
              <w:bottom w:val="single" w:sz="4" w:space="0" w:color="auto"/>
              <w:right w:val="single" w:sz="4" w:space="0" w:color="auto"/>
            </w:tcBorders>
          </w:tcPr>
          <w:p w14:paraId="1914776E" w14:textId="77777777" w:rsidR="00265766" w:rsidRPr="009E686F" w:rsidRDefault="00265766" w:rsidP="00265766">
            <w:pPr>
              <w:spacing w:after="0"/>
              <w:jc w:val="both"/>
              <w:rPr>
                <w:rFonts w:ascii="Times New Roman" w:hAnsi="Times New Roman" w:cs="Times New Roman"/>
                <w:color w:val="FF0000"/>
                <w:lang w:val="it-IT"/>
              </w:rPr>
            </w:pPr>
          </w:p>
        </w:tc>
      </w:tr>
      <w:tr w:rsidR="00265766" w:rsidRPr="009E686F" w14:paraId="00BF7B63" w14:textId="77777777" w:rsidTr="00960C23">
        <w:tc>
          <w:tcPr>
            <w:tcW w:w="1890" w:type="pct"/>
            <w:tcBorders>
              <w:top w:val="single" w:sz="4" w:space="0" w:color="auto"/>
              <w:left w:val="single" w:sz="4" w:space="0" w:color="auto"/>
              <w:bottom w:val="single" w:sz="4" w:space="0" w:color="auto"/>
              <w:right w:val="single" w:sz="4" w:space="0" w:color="auto"/>
            </w:tcBorders>
          </w:tcPr>
          <w:p w14:paraId="211F191D" w14:textId="78CDA6E3" w:rsidR="00265766" w:rsidRPr="009E686F" w:rsidDel="003932E1"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(a) în cazul în care entitatea achiziționată este situată într-o țară terță sau este supusă cadrului de reglementare al acesteia;</w:t>
            </w:r>
          </w:p>
        </w:tc>
        <w:tc>
          <w:tcPr>
            <w:tcW w:w="1834" w:type="pct"/>
            <w:tcBorders>
              <w:top w:val="single" w:sz="4" w:space="0" w:color="auto"/>
              <w:left w:val="single" w:sz="4" w:space="0" w:color="auto"/>
              <w:bottom w:val="single" w:sz="4" w:space="0" w:color="auto"/>
              <w:right w:val="single" w:sz="4" w:space="0" w:color="auto"/>
            </w:tcBorders>
          </w:tcPr>
          <w:p w14:paraId="1664BC13" w14:textId="2ED23D2C" w:rsidR="00265766" w:rsidRPr="009E686F" w:rsidRDefault="00265766" w:rsidP="00265766">
            <w:pPr>
              <w:spacing w:after="0"/>
              <w:jc w:val="both"/>
              <w:rPr>
                <w:rFonts w:ascii="Times New Roman" w:hAnsi="Times New Roman" w:cs="Times New Roman"/>
                <w:i/>
                <w:lang w:val="it-CH"/>
              </w:rPr>
            </w:pPr>
            <w:r w:rsidRPr="009E686F">
              <w:rPr>
                <w:rFonts w:ascii="Times New Roman" w:hAnsi="Times New Roman" w:cs="Times New Roman"/>
                <w:i/>
                <w:lang w:val="it-CH"/>
              </w:rPr>
              <w:t>a) în cazul în care entitatea achiziționată este situată într-un stat terț sau este supusă cadrului de reglementare al acesteia;</w:t>
            </w:r>
          </w:p>
        </w:tc>
        <w:tc>
          <w:tcPr>
            <w:tcW w:w="470" w:type="pct"/>
            <w:tcBorders>
              <w:top w:val="single" w:sz="4" w:space="0" w:color="auto"/>
              <w:left w:val="single" w:sz="4" w:space="0" w:color="auto"/>
              <w:bottom w:val="single" w:sz="4" w:space="0" w:color="auto"/>
              <w:right w:val="single" w:sz="4" w:space="0" w:color="auto"/>
            </w:tcBorders>
          </w:tcPr>
          <w:p w14:paraId="4FEE9BF2" w14:textId="77777777" w:rsidR="00265766" w:rsidRPr="009E686F" w:rsidRDefault="00265766" w:rsidP="00265766">
            <w:pPr>
              <w:jc w:val="both"/>
              <w:rPr>
                <w:rFonts w:ascii="Times New Roman" w:hAnsi="Times New Roman" w:cs="Times New Roman"/>
              </w:rPr>
            </w:pPr>
            <w:r w:rsidRPr="009E686F">
              <w:rPr>
                <w:rFonts w:ascii="Times New Roman" w:hAnsi="Times New Roman" w:cs="Times New Roman"/>
              </w:rPr>
              <w:t>Compatibil</w:t>
            </w:r>
          </w:p>
          <w:p w14:paraId="318FE26B" w14:textId="77777777" w:rsidR="00265766" w:rsidRPr="009E686F" w:rsidDel="003932E1" w:rsidRDefault="00265766" w:rsidP="00265766">
            <w:pPr>
              <w:jc w:val="both"/>
              <w:rPr>
                <w:rFonts w:ascii="Times New Roman" w:hAnsi="Times New Roman" w:cs="Times New Roman"/>
                <w:lang w:val="it-IT"/>
              </w:rPr>
            </w:pPr>
          </w:p>
        </w:tc>
        <w:tc>
          <w:tcPr>
            <w:tcW w:w="806" w:type="pct"/>
            <w:tcBorders>
              <w:top w:val="single" w:sz="4" w:space="0" w:color="auto"/>
              <w:left w:val="single" w:sz="4" w:space="0" w:color="auto"/>
              <w:bottom w:val="single" w:sz="4" w:space="0" w:color="auto"/>
              <w:right w:val="single" w:sz="4" w:space="0" w:color="auto"/>
            </w:tcBorders>
          </w:tcPr>
          <w:p w14:paraId="77EE0194" w14:textId="77777777" w:rsidR="00265766" w:rsidRPr="009E686F" w:rsidRDefault="00265766" w:rsidP="00265766">
            <w:pPr>
              <w:spacing w:after="0"/>
              <w:jc w:val="both"/>
              <w:rPr>
                <w:rFonts w:ascii="Times New Roman" w:hAnsi="Times New Roman" w:cs="Times New Roman"/>
                <w:color w:val="FF0000"/>
                <w:lang w:val="it-IT"/>
              </w:rPr>
            </w:pPr>
          </w:p>
        </w:tc>
      </w:tr>
      <w:tr w:rsidR="00265766" w:rsidRPr="009E686F" w14:paraId="639EE3A9" w14:textId="77777777" w:rsidTr="00960C23">
        <w:tc>
          <w:tcPr>
            <w:tcW w:w="1890" w:type="pct"/>
            <w:tcBorders>
              <w:top w:val="single" w:sz="4" w:space="0" w:color="auto"/>
              <w:left w:val="single" w:sz="4" w:space="0" w:color="auto"/>
              <w:bottom w:val="single" w:sz="4" w:space="0" w:color="auto"/>
              <w:right w:val="single" w:sz="4" w:space="0" w:color="auto"/>
            </w:tcBorders>
          </w:tcPr>
          <w:p w14:paraId="290FE6F6" w14:textId="3D0CC943" w:rsidR="00265766" w:rsidRPr="009E686F" w:rsidDel="003932E1" w:rsidRDefault="00265766" w:rsidP="00265766">
            <w:pPr>
              <w:spacing w:after="0"/>
              <w:jc w:val="both"/>
              <w:rPr>
                <w:rFonts w:ascii="Times New Roman" w:hAnsi="Times New Roman" w:cs="Times New Roman"/>
              </w:rPr>
            </w:pPr>
            <w:r w:rsidRPr="009E686F">
              <w:rPr>
                <w:rFonts w:ascii="Times New Roman" w:hAnsi="Times New Roman" w:cs="Times New Roman"/>
              </w:rPr>
              <w:t>(b) în cazul în care, pentru efectuarea evaluării prevăzute la articolul 27b alineatul (1) din prezenta directivă, este necesar un schimb de informații cu autoritățile responsabile cu supravegherea potențialului achizitor în conformitate cu Directiva (UE) 2015/849.</w:t>
            </w:r>
          </w:p>
        </w:tc>
        <w:tc>
          <w:tcPr>
            <w:tcW w:w="1834" w:type="pct"/>
            <w:tcBorders>
              <w:top w:val="single" w:sz="4" w:space="0" w:color="auto"/>
              <w:left w:val="single" w:sz="4" w:space="0" w:color="auto"/>
              <w:bottom w:val="single" w:sz="4" w:space="0" w:color="auto"/>
              <w:right w:val="single" w:sz="4" w:space="0" w:color="auto"/>
            </w:tcBorders>
          </w:tcPr>
          <w:p w14:paraId="6DB8208A" w14:textId="47B40E6A" w:rsidR="00265766" w:rsidRPr="009E686F" w:rsidRDefault="00265766" w:rsidP="00265766">
            <w:pPr>
              <w:spacing w:after="0"/>
              <w:jc w:val="both"/>
              <w:rPr>
                <w:rFonts w:ascii="Times New Roman" w:hAnsi="Times New Roman" w:cs="Times New Roman"/>
                <w:bCs/>
                <w:i/>
                <w:iCs/>
              </w:rPr>
            </w:pPr>
            <w:r w:rsidRPr="009E686F">
              <w:rPr>
                <w:rFonts w:ascii="Times New Roman" w:hAnsi="Times New Roman" w:cs="Times New Roman"/>
                <w:bCs/>
                <w:i/>
                <w:iCs/>
              </w:rPr>
              <w:t>b) în cazul în care, pentru efectuarea evaluării prevăzute la art. 5</w:t>
            </w:r>
            <w:r w:rsidR="00653692" w:rsidRPr="009E686F">
              <w:rPr>
                <w:rFonts w:ascii="Times New Roman" w:hAnsi="Times New Roman" w:cs="Times New Roman"/>
                <w:bCs/>
                <w:i/>
                <w:iCs/>
              </w:rPr>
              <w:t>7</w:t>
            </w:r>
            <w:r w:rsidR="00653692" w:rsidRPr="009E686F">
              <w:rPr>
                <w:rFonts w:ascii="Times New Roman" w:hAnsi="Times New Roman" w:cs="Times New Roman"/>
                <w:bCs/>
                <w:i/>
                <w:iCs/>
                <w:vertAlign w:val="superscript"/>
              </w:rPr>
              <w:t>2</w:t>
            </w:r>
            <w:r w:rsidRPr="009E686F">
              <w:rPr>
                <w:rFonts w:ascii="Times New Roman" w:hAnsi="Times New Roman" w:cs="Times New Roman"/>
                <w:bCs/>
                <w:i/>
                <w:iCs/>
              </w:rPr>
              <w:t xml:space="preserve"> alin. (1) este necesar un schimb de informații cu autoritățile responsabile cu supravegherea potențialului achizitor în conformitate cu legislația cu privire la prevenirea şi combaterea spălării banilor şi finanţării terorismului.</w:t>
            </w:r>
          </w:p>
        </w:tc>
        <w:tc>
          <w:tcPr>
            <w:tcW w:w="470" w:type="pct"/>
            <w:tcBorders>
              <w:top w:val="single" w:sz="4" w:space="0" w:color="auto"/>
              <w:left w:val="single" w:sz="4" w:space="0" w:color="auto"/>
              <w:bottom w:val="single" w:sz="4" w:space="0" w:color="auto"/>
              <w:right w:val="single" w:sz="4" w:space="0" w:color="auto"/>
            </w:tcBorders>
          </w:tcPr>
          <w:p w14:paraId="0FE1797F" w14:textId="77777777" w:rsidR="00265766" w:rsidRPr="009E686F" w:rsidRDefault="00265766" w:rsidP="00265766">
            <w:pPr>
              <w:jc w:val="both"/>
              <w:rPr>
                <w:rFonts w:ascii="Times New Roman" w:hAnsi="Times New Roman" w:cs="Times New Roman"/>
              </w:rPr>
            </w:pPr>
            <w:r w:rsidRPr="009E686F">
              <w:rPr>
                <w:rFonts w:ascii="Times New Roman" w:hAnsi="Times New Roman" w:cs="Times New Roman"/>
              </w:rPr>
              <w:t>Compatibil</w:t>
            </w:r>
          </w:p>
          <w:p w14:paraId="4BC55035" w14:textId="77777777" w:rsidR="00265766" w:rsidRPr="009E686F" w:rsidDel="003932E1" w:rsidRDefault="00265766" w:rsidP="00265766">
            <w:pPr>
              <w:jc w:val="both"/>
              <w:rPr>
                <w:rFonts w:ascii="Times New Roman" w:hAnsi="Times New Roman" w:cs="Times New Roman"/>
                <w:lang w:val="it-IT"/>
              </w:rPr>
            </w:pPr>
          </w:p>
        </w:tc>
        <w:tc>
          <w:tcPr>
            <w:tcW w:w="806" w:type="pct"/>
            <w:tcBorders>
              <w:top w:val="single" w:sz="4" w:space="0" w:color="auto"/>
              <w:left w:val="single" w:sz="4" w:space="0" w:color="auto"/>
              <w:bottom w:val="single" w:sz="4" w:space="0" w:color="auto"/>
              <w:right w:val="single" w:sz="4" w:space="0" w:color="auto"/>
            </w:tcBorders>
          </w:tcPr>
          <w:p w14:paraId="6BA2E7AE" w14:textId="77777777" w:rsidR="00265766" w:rsidRPr="009E686F" w:rsidRDefault="00265766" w:rsidP="00265766">
            <w:pPr>
              <w:spacing w:after="0"/>
              <w:jc w:val="both"/>
              <w:rPr>
                <w:rFonts w:ascii="Times New Roman" w:hAnsi="Times New Roman" w:cs="Times New Roman"/>
                <w:color w:val="FF0000"/>
                <w:lang w:val="it-IT"/>
              </w:rPr>
            </w:pPr>
          </w:p>
        </w:tc>
      </w:tr>
      <w:tr w:rsidR="00265766" w:rsidRPr="009E686F" w14:paraId="3BED799F" w14:textId="77777777" w:rsidTr="00960C23">
        <w:tc>
          <w:tcPr>
            <w:tcW w:w="1890" w:type="pct"/>
            <w:tcBorders>
              <w:top w:val="single" w:sz="4" w:space="0" w:color="auto"/>
              <w:left w:val="single" w:sz="4" w:space="0" w:color="auto"/>
              <w:bottom w:val="single" w:sz="4" w:space="0" w:color="auto"/>
              <w:right w:val="single" w:sz="4" w:space="0" w:color="auto"/>
            </w:tcBorders>
          </w:tcPr>
          <w:p w14:paraId="18469B73" w14:textId="6F0861DC" w:rsidR="00265766" w:rsidRPr="009E686F" w:rsidDel="003932E1" w:rsidRDefault="00265766" w:rsidP="00265766">
            <w:pPr>
              <w:spacing w:after="0"/>
              <w:jc w:val="both"/>
              <w:rPr>
                <w:rFonts w:ascii="Times New Roman" w:hAnsi="Times New Roman" w:cs="Times New Roman"/>
                <w:lang w:val="it-IT"/>
              </w:rPr>
            </w:pPr>
            <w:r w:rsidRPr="009E686F">
              <w:rPr>
                <w:rFonts w:ascii="Times New Roman" w:hAnsi="Times New Roman" w:cs="Times New Roman"/>
              </w:rPr>
              <w:lastRenderedPageBreak/>
              <w:t xml:space="preserve">(12) În cazul în care aprobarea unei societăți financiare holding sau a unei societăți financiare holding mixte care intră sub incidența articolului 21a alineatul (1) are loc în același timp cu evaluarea prevăzută la articolul 27b alineatul (1), autoritatea competentă în sensul articolului 21a alineatul (1) se coordonează, după caz, cu supraveghetorul consolidant și, în cazul în care este vorba despre o autoritate diferită, cu autoritatea competentă din statul membru în care este stabilită societatea financiară holding sau societatea financiară holding mixtă. </w:t>
            </w:r>
            <w:r w:rsidRPr="009E686F">
              <w:rPr>
                <w:rFonts w:ascii="Times New Roman" w:hAnsi="Times New Roman" w:cs="Times New Roman"/>
                <w:lang w:val="it-IT"/>
              </w:rPr>
              <w:t>În acest caz, termenul de evaluare se suspendă până la încheierea procedurii prevăzute la articolul 21a.</w:t>
            </w:r>
          </w:p>
        </w:tc>
        <w:tc>
          <w:tcPr>
            <w:tcW w:w="1834" w:type="pct"/>
            <w:tcBorders>
              <w:top w:val="single" w:sz="4" w:space="0" w:color="auto"/>
              <w:left w:val="single" w:sz="4" w:space="0" w:color="auto"/>
              <w:bottom w:val="single" w:sz="4" w:space="0" w:color="auto"/>
              <w:right w:val="single" w:sz="4" w:space="0" w:color="auto"/>
            </w:tcBorders>
          </w:tcPr>
          <w:p w14:paraId="3B94122F" w14:textId="358BA3F8" w:rsidR="00265766" w:rsidRPr="009E686F" w:rsidRDefault="00265766" w:rsidP="00265766">
            <w:pPr>
              <w:spacing w:after="0"/>
              <w:jc w:val="both"/>
              <w:rPr>
                <w:rFonts w:ascii="Times New Roman" w:hAnsi="Times New Roman" w:cs="Times New Roman"/>
                <w:i/>
                <w:lang w:val="it-CH"/>
              </w:rPr>
            </w:pPr>
            <w:r w:rsidRPr="009E686F">
              <w:rPr>
                <w:rFonts w:ascii="Times New Roman" w:hAnsi="Times New Roman" w:cs="Times New Roman"/>
                <w:bCs/>
                <w:i/>
                <w:iCs/>
              </w:rPr>
              <w:t>(13) În  cazul în care aprobarea unei societăți financiare holding sau a unei societăți financiare holding mixte care face obiectul art. 116</w:t>
            </w:r>
            <w:r w:rsidRPr="009E686F">
              <w:rPr>
                <w:rFonts w:ascii="Times New Roman" w:hAnsi="Times New Roman" w:cs="Times New Roman"/>
                <w:bCs/>
                <w:i/>
                <w:iCs/>
                <w:vertAlign w:val="superscript"/>
              </w:rPr>
              <w:t>1</w:t>
            </w:r>
            <w:r w:rsidRPr="009E686F">
              <w:rPr>
                <w:rFonts w:ascii="Times New Roman" w:hAnsi="Times New Roman" w:cs="Times New Roman"/>
                <w:bCs/>
                <w:i/>
                <w:iCs/>
              </w:rPr>
              <w:t xml:space="preserve"> alin. (1)</w:t>
            </w:r>
            <w:r w:rsidR="00345062" w:rsidRPr="009E686F">
              <w:rPr>
                <w:rFonts w:ascii="Times New Roman" w:hAnsi="Times New Roman" w:cs="Times New Roman"/>
                <w:bCs/>
                <w:i/>
                <w:iCs/>
              </w:rPr>
              <w:t xml:space="preserve"> și </w:t>
            </w:r>
            <w:r w:rsidRPr="009E686F">
              <w:rPr>
                <w:rFonts w:ascii="Times New Roman" w:hAnsi="Times New Roman" w:cs="Times New Roman"/>
                <w:bCs/>
                <w:i/>
                <w:iCs/>
              </w:rPr>
              <w:t>(2), are loc în același timp cu evaluarea prevăzută la articolul art. 5</w:t>
            </w:r>
            <w:r w:rsidR="00653692" w:rsidRPr="009E686F">
              <w:rPr>
                <w:rFonts w:ascii="Times New Roman" w:hAnsi="Times New Roman" w:cs="Times New Roman"/>
                <w:bCs/>
                <w:i/>
                <w:iCs/>
              </w:rPr>
              <w:t>7</w:t>
            </w:r>
            <w:r w:rsidR="00653692" w:rsidRPr="009E686F">
              <w:rPr>
                <w:rFonts w:ascii="Times New Roman" w:hAnsi="Times New Roman" w:cs="Times New Roman"/>
                <w:bCs/>
                <w:i/>
                <w:iCs/>
                <w:vertAlign w:val="superscript"/>
              </w:rPr>
              <w:t>2</w:t>
            </w:r>
            <w:r w:rsidRPr="009E686F">
              <w:rPr>
                <w:rFonts w:ascii="Times New Roman" w:hAnsi="Times New Roman" w:cs="Times New Roman"/>
                <w:bCs/>
                <w:i/>
                <w:iCs/>
              </w:rPr>
              <w:t xml:space="preserve"> alin. (1), Banca Națională a Moldovei coordonează, după caz, cu supraveghetorul consolidant și, în cazul în care este vorba despre o autoritate diferită, cu autoritatea competentă din statul membru în care este stabilită societatea financiară holding sau societatea financiară holding mixtă. </w:t>
            </w:r>
            <w:r w:rsidRPr="009E686F">
              <w:rPr>
                <w:rFonts w:ascii="Times New Roman" w:hAnsi="Times New Roman" w:cs="Times New Roman"/>
                <w:i/>
                <w:lang w:val="it-CH"/>
              </w:rPr>
              <w:t>În acest caz, termenul de evaluare se suspendă până la încheierea procedurii de aprobare a unei societăți financiare holding sau a unei societăți financiare holding mixte prevăzute de prezenta lege.</w:t>
            </w:r>
          </w:p>
        </w:tc>
        <w:tc>
          <w:tcPr>
            <w:tcW w:w="470" w:type="pct"/>
            <w:tcBorders>
              <w:top w:val="single" w:sz="4" w:space="0" w:color="auto"/>
              <w:left w:val="single" w:sz="4" w:space="0" w:color="auto"/>
              <w:bottom w:val="single" w:sz="4" w:space="0" w:color="auto"/>
              <w:right w:val="single" w:sz="4" w:space="0" w:color="auto"/>
            </w:tcBorders>
          </w:tcPr>
          <w:p w14:paraId="57FEA3CC" w14:textId="77777777" w:rsidR="00265766" w:rsidRPr="009E686F" w:rsidRDefault="00265766" w:rsidP="00265766">
            <w:pPr>
              <w:jc w:val="both"/>
              <w:rPr>
                <w:rFonts w:ascii="Times New Roman" w:hAnsi="Times New Roman" w:cs="Times New Roman"/>
              </w:rPr>
            </w:pPr>
            <w:r w:rsidRPr="009E686F">
              <w:rPr>
                <w:rFonts w:ascii="Times New Roman" w:hAnsi="Times New Roman" w:cs="Times New Roman"/>
              </w:rPr>
              <w:t>Compatibil</w:t>
            </w:r>
          </w:p>
          <w:p w14:paraId="3A8A5849" w14:textId="77777777" w:rsidR="00265766" w:rsidRPr="009E686F" w:rsidDel="003932E1" w:rsidRDefault="00265766" w:rsidP="00265766">
            <w:pPr>
              <w:jc w:val="both"/>
              <w:rPr>
                <w:rFonts w:ascii="Times New Roman" w:hAnsi="Times New Roman" w:cs="Times New Roman"/>
                <w:lang w:val="it-CH"/>
              </w:rPr>
            </w:pPr>
          </w:p>
        </w:tc>
        <w:tc>
          <w:tcPr>
            <w:tcW w:w="806" w:type="pct"/>
            <w:tcBorders>
              <w:top w:val="single" w:sz="4" w:space="0" w:color="auto"/>
              <w:left w:val="single" w:sz="4" w:space="0" w:color="auto"/>
              <w:bottom w:val="single" w:sz="4" w:space="0" w:color="auto"/>
              <w:right w:val="single" w:sz="4" w:space="0" w:color="auto"/>
            </w:tcBorders>
          </w:tcPr>
          <w:p w14:paraId="6869BFBC" w14:textId="77777777" w:rsidR="00265766" w:rsidRPr="009E686F" w:rsidRDefault="00265766" w:rsidP="00265766">
            <w:pPr>
              <w:spacing w:after="0"/>
              <w:jc w:val="both"/>
              <w:rPr>
                <w:rFonts w:ascii="Times New Roman" w:hAnsi="Times New Roman" w:cs="Times New Roman"/>
                <w:color w:val="FF0000"/>
                <w:lang w:val="it-CH"/>
              </w:rPr>
            </w:pPr>
          </w:p>
        </w:tc>
      </w:tr>
      <w:tr w:rsidR="00265766" w:rsidRPr="009E686F" w14:paraId="1505521B" w14:textId="77777777" w:rsidTr="00960C23">
        <w:tc>
          <w:tcPr>
            <w:tcW w:w="1890" w:type="pct"/>
            <w:tcBorders>
              <w:top w:val="single" w:sz="4" w:space="0" w:color="auto"/>
              <w:left w:val="single" w:sz="4" w:space="0" w:color="auto"/>
              <w:bottom w:val="single" w:sz="4" w:space="0" w:color="auto"/>
              <w:right w:val="single" w:sz="4" w:space="0" w:color="auto"/>
            </w:tcBorders>
          </w:tcPr>
          <w:p w14:paraId="7840CAC6" w14:textId="51F57A77" w:rsidR="00265766" w:rsidRPr="009E686F" w:rsidDel="003932E1"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(13) În cazul în care autoritatea competentă decide să se opună proiectului de achiziție, aceasta informează în scris potențialul achizitor în termen de două zile lucrătoare de la finalizarea evaluării prevăzute la articolul 27b alineatul (1) și înainte de expirarea termenului de evaluare, indicând motivele pentru care se opune.</w:t>
            </w:r>
          </w:p>
        </w:tc>
        <w:tc>
          <w:tcPr>
            <w:tcW w:w="1834" w:type="pct"/>
            <w:tcBorders>
              <w:top w:val="single" w:sz="4" w:space="0" w:color="auto"/>
              <w:left w:val="single" w:sz="4" w:space="0" w:color="auto"/>
              <w:bottom w:val="single" w:sz="4" w:space="0" w:color="auto"/>
              <w:right w:val="single" w:sz="4" w:space="0" w:color="auto"/>
            </w:tcBorders>
          </w:tcPr>
          <w:p w14:paraId="4676D060" w14:textId="247D7A64" w:rsidR="00265766" w:rsidRPr="009E686F" w:rsidRDefault="00265766" w:rsidP="00265766">
            <w:pPr>
              <w:spacing w:after="0"/>
              <w:jc w:val="both"/>
              <w:rPr>
                <w:rFonts w:ascii="Times New Roman" w:hAnsi="Times New Roman" w:cs="Times New Roman"/>
                <w:bCs/>
                <w:i/>
                <w:iCs/>
                <w:lang w:val="it-IT"/>
              </w:rPr>
            </w:pPr>
            <w:r w:rsidRPr="009E686F">
              <w:rPr>
                <w:rFonts w:ascii="Times New Roman" w:hAnsi="Times New Roman" w:cs="Times New Roman"/>
                <w:i/>
                <w:lang w:val="it-CH"/>
              </w:rPr>
              <w:t>(14) În cazul în care Banca Națională a Moldovei decide să se opună proiectului de achiziție, aceasta informează în scris potențialul achizitor în termen de două zile lucrătoare de la finalizarea evaluării prevăzute la art. 5</w:t>
            </w:r>
            <w:r w:rsidR="00653692" w:rsidRPr="009E686F">
              <w:rPr>
                <w:rFonts w:ascii="Times New Roman" w:hAnsi="Times New Roman" w:cs="Times New Roman"/>
                <w:i/>
                <w:lang w:val="it-CH"/>
              </w:rPr>
              <w:t>7</w:t>
            </w:r>
            <w:r w:rsidR="00653692" w:rsidRPr="009E686F">
              <w:rPr>
                <w:rFonts w:ascii="Times New Roman" w:hAnsi="Times New Roman" w:cs="Times New Roman"/>
                <w:i/>
                <w:vertAlign w:val="superscript"/>
                <w:lang w:val="it-CH"/>
              </w:rPr>
              <w:t>2</w:t>
            </w:r>
            <w:r w:rsidRPr="009E686F">
              <w:rPr>
                <w:rFonts w:ascii="Times New Roman" w:hAnsi="Times New Roman" w:cs="Times New Roman"/>
                <w:i/>
                <w:lang w:val="it-CH"/>
              </w:rPr>
              <w:t xml:space="preserve"> alin. </w:t>
            </w:r>
            <w:r w:rsidRPr="009E686F">
              <w:rPr>
                <w:rFonts w:ascii="Times New Roman" w:hAnsi="Times New Roman" w:cs="Times New Roman"/>
                <w:bCs/>
                <w:i/>
                <w:iCs/>
                <w:lang w:val="it-IT"/>
              </w:rPr>
              <w:t>(1) și înainte de expirarea termenului de evaluare, indicând motivele pentru care se opune.</w:t>
            </w:r>
          </w:p>
        </w:tc>
        <w:tc>
          <w:tcPr>
            <w:tcW w:w="470" w:type="pct"/>
            <w:tcBorders>
              <w:top w:val="single" w:sz="4" w:space="0" w:color="auto"/>
              <w:left w:val="single" w:sz="4" w:space="0" w:color="auto"/>
              <w:bottom w:val="single" w:sz="4" w:space="0" w:color="auto"/>
              <w:right w:val="single" w:sz="4" w:space="0" w:color="auto"/>
            </w:tcBorders>
          </w:tcPr>
          <w:p w14:paraId="5EDEBED2" w14:textId="77777777" w:rsidR="00265766" w:rsidRPr="009E686F" w:rsidRDefault="00265766" w:rsidP="00265766">
            <w:pPr>
              <w:jc w:val="both"/>
              <w:rPr>
                <w:rFonts w:ascii="Times New Roman" w:hAnsi="Times New Roman" w:cs="Times New Roman"/>
              </w:rPr>
            </w:pPr>
            <w:r w:rsidRPr="009E686F">
              <w:rPr>
                <w:rFonts w:ascii="Times New Roman" w:hAnsi="Times New Roman" w:cs="Times New Roman"/>
              </w:rPr>
              <w:t>Compatibil</w:t>
            </w:r>
          </w:p>
          <w:p w14:paraId="5724CC57" w14:textId="77777777" w:rsidR="00265766" w:rsidRPr="009E686F" w:rsidDel="003932E1" w:rsidRDefault="00265766" w:rsidP="00265766">
            <w:pPr>
              <w:jc w:val="both"/>
              <w:rPr>
                <w:rFonts w:ascii="Times New Roman" w:hAnsi="Times New Roman" w:cs="Times New Roman"/>
                <w:lang w:val="it-IT"/>
              </w:rPr>
            </w:pPr>
          </w:p>
        </w:tc>
        <w:tc>
          <w:tcPr>
            <w:tcW w:w="806" w:type="pct"/>
            <w:tcBorders>
              <w:top w:val="single" w:sz="4" w:space="0" w:color="auto"/>
              <w:left w:val="single" w:sz="4" w:space="0" w:color="auto"/>
              <w:bottom w:val="single" w:sz="4" w:space="0" w:color="auto"/>
              <w:right w:val="single" w:sz="4" w:space="0" w:color="auto"/>
            </w:tcBorders>
          </w:tcPr>
          <w:p w14:paraId="39BFFACD" w14:textId="77777777" w:rsidR="00265766" w:rsidRPr="009E686F" w:rsidRDefault="00265766" w:rsidP="00265766">
            <w:pPr>
              <w:spacing w:after="0"/>
              <w:jc w:val="both"/>
              <w:rPr>
                <w:rFonts w:ascii="Times New Roman" w:hAnsi="Times New Roman" w:cs="Times New Roman"/>
                <w:color w:val="FF0000"/>
                <w:lang w:val="it-IT"/>
              </w:rPr>
            </w:pPr>
          </w:p>
        </w:tc>
      </w:tr>
      <w:tr w:rsidR="00265766" w:rsidRPr="009E686F" w14:paraId="40F14918" w14:textId="77777777" w:rsidTr="00960C23">
        <w:tc>
          <w:tcPr>
            <w:tcW w:w="1890" w:type="pct"/>
            <w:tcBorders>
              <w:top w:val="single" w:sz="4" w:space="0" w:color="auto"/>
              <w:left w:val="single" w:sz="4" w:space="0" w:color="auto"/>
              <w:bottom w:val="single" w:sz="4" w:space="0" w:color="auto"/>
              <w:right w:val="single" w:sz="4" w:space="0" w:color="auto"/>
            </w:tcBorders>
          </w:tcPr>
          <w:p w14:paraId="36B5E351" w14:textId="03153A24" w:rsidR="00265766" w:rsidRPr="009E686F" w:rsidDel="003932E1"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(14) În cazul în care autoritatea competentă nu se opune în scris proiectului de achiziție până la expirarea termenului de evaluare, achiziția se consideră aprobată.</w:t>
            </w:r>
          </w:p>
        </w:tc>
        <w:tc>
          <w:tcPr>
            <w:tcW w:w="1834" w:type="pct"/>
            <w:tcBorders>
              <w:top w:val="single" w:sz="4" w:space="0" w:color="auto"/>
              <w:left w:val="single" w:sz="4" w:space="0" w:color="auto"/>
              <w:bottom w:val="single" w:sz="4" w:space="0" w:color="auto"/>
              <w:right w:val="single" w:sz="4" w:space="0" w:color="auto"/>
            </w:tcBorders>
          </w:tcPr>
          <w:p w14:paraId="41FFB34F" w14:textId="2F39E488" w:rsidR="00265766" w:rsidRPr="009E686F" w:rsidRDefault="00265766" w:rsidP="00265766">
            <w:pPr>
              <w:spacing w:after="0"/>
              <w:jc w:val="both"/>
              <w:rPr>
                <w:rFonts w:ascii="Times New Roman" w:hAnsi="Times New Roman" w:cs="Times New Roman"/>
                <w:i/>
                <w:lang w:val="it-CH"/>
              </w:rPr>
            </w:pPr>
            <w:r w:rsidRPr="009E686F">
              <w:rPr>
                <w:rFonts w:ascii="Times New Roman" w:hAnsi="Times New Roman" w:cs="Times New Roman"/>
                <w:i/>
                <w:lang w:val="it-CH"/>
              </w:rPr>
              <w:t>(15) În cazul în care Banca Națională a Moldovei nu se opune în scris proiectului de achiziție până la expirarea termenului de evaluare, achiziția se consideră aprobată.</w:t>
            </w:r>
          </w:p>
        </w:tc>
        <w:tc>
          <w:tcPr>
            <w:tcW w:w="470" w:type="pct"/>
            <w:tcBorders>
              <w:top w:val="single" w:sz="4" w:space="0" w:color="auto"/>
              <w:left w:val="single" w:sz="4" w:space="0" w:color="auto"/>
              <w:bottom w:val="single" w:sz="4" w:space="0" w:color="auto"/>
              <w:right w:val="single" w:sz="4" w:space="0" w:color="auto"/>
            </w:tcBorders>
          </w:tcPr>
          <w:p w14:paraId="224B65D8" w14:textId="77777777" w:rsidR="00265766" w:rsidRPr="009E686F" w:rsidRDefault="00265766" w:rsidP="00265766">
            <w:pPr>
              <w:jc w:val="both"/>
              <w:rPr>
                <w:rFonts w:ascii="Times New Roman" w:hAnsi="Times New Roman" w:cs="Times New Roman"/>
              </w:rPr>
            </w:pPr>
            <w:r w:rsidRPr="009E686F">
              <w:rPr>
                <w:rFonts w:ascii="Times New Roman" w:hAnsi="Times New Roman" w:cs="Times New Roman"/>
              </w:rPr>
              <w:t>Compatibil</w:t>
            </w:r>
          </w:p>
          <w:p w14:paraId="098EAD5A" w14:textId="77777777" w:rsidR="00265766" w:rsidRPr="009E686F" w:rsidDel="003932E1" w:rsidRDefault="00265766" w:rsidP="00265766">
            <w:pPr>
              <w:jc w:val="both"/>
              <w:rPr>
                <w:rFonts w:ascii="Times New Roman" w:hAnsi="Times New Roman" w:cs="Times New Roman"/>
                <w:lang w:val="it-IT"/>
              </w:rPr>
            </w:pPr>
          </w:p>
        </w:tc>
        <w:tc>
          <w:tcPr>
            <w:tcW w:w="806" w:type="pct"/>
            <w:tcBorders>
              <w:top w:val="single" w:sz="4" w:space="0" w:color="auto"/>
              <w:left w:val="single" w:sz="4" w:space="0" w:color="auto"/>
              <w:bottom w:val="single" w:sz="4" w:space="0" w:color="auto"/>
              <w:right w:val="single" w:sz="4" w:space="0" w:color="auto"/>
            </w:tcBorders>
          </w:tcPr>
          <w:p w14:paraId="419D0C65" w14:textId="77777777" w:rsidR="00265766" w:rsidRPr="009E686F" w:rsidRDefault="00265766" w:rsidP="00265766">
            <w:pPr>
              <w:spacing w:after="0"/>
              <w:jc w:val="both"/>
              <w:rPr>
                <w:rFonts w:ascii="Times New Roman" w:hAnsi="Times New Roman" w:cs="Times New Roman"/>
                <w:color w:val="FF0000"/>
                <w:lang w:val="it-IT"/>
              </w:rPr>
            </w:pPr>
          </w:p>
        </w:tc>
      </w:tr>
      <w:tr w:rsidR="00265766" w:rsidRPr="009E686F" w14:paraId="553E123A" w14:textId="77777777" w:rsidTr="00960C23">
        <w:tc>
          <w:tcPr>
            <w:tcW w:w="1890" w:type="pct"/>
            <w:tcBorders>
              <w:top w:val="single" w:sz="4" w:space="0" w:color="auto"/>
              <w:left w:val="single" w:sz="4" w:space="0" w:color="auto"/>
              <w:bottom w:val="single" w:sz="4" w:space="0" w:color="auto"/>
              <w:right w:val="single" w:sz="4" w:space="0" w:color="auto"/>
            </w:tcBorders>
          </w:tcPr>
          <w:p w14:paraId="1511B640" w14:textId="235C80F1" w:rsidR="00265766" w:rsidRPr="009E686F" w:rsidDel="003932E1"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(15) Autoritatea competentă poate stabili un termen maxim pentru finalizarea proiectului de achiziție și îl poate prelungi, atunci când este necesar.</w:t>
            </w:r>
          </w:p>
        </w:tc>
        <w:tc>
          <w:tcPr>
            <w:tcW w:w="1834" w:type="pct"/>
            <w:tcBorders>
              <w:top w:val="single" w:sz="4" w:space="0" w:color="auto"/>
              <w:left w:val="single" w:sz="4" w:space="0" w:color="auto"/>
              <w:bottom w:val="single" w:sz="4" w:space="0" w:color="auto"/>
              <w:right w:val="single" w:sz="4" w:space="0" w:color="auto"/>
            </w:tcBorders>
          </w:tcPr>
          <w:p w14:paraId="29699A68" w14:textId="719D6FCA" w:rsidR="00265766" w:rsidRPr="009E686F" w:rsidRDefault="00265766" w:rsidP="00265766">
            <w:pPr>
              <w:spacing w:after="0"/>
              <w:jc w:val="both"/>
              <w:rPr>
                <w:rFonts w:ascii="Times New Roman" w:hAnsi="Times New Roman" w:cs="Times New Roman"/>
                <w:i/>
                <w:lang w:val="it-CH"/>
              </w:rPr>
            </w:pPr>
            <w:r w:rsidRPr="009E686F">
              <w:rPr>
                <w:rFonts w:ascii="Times New Roman" w:hAnsi="Times New Roman" w:cs="Times New Roman"/>
                <w:i/>
                <w:lang w:val="it-CH"/>
              </w:rPr>
              <w:t>(16) Banca Națională a Moldovei poate stabili un termen maxim pentru finalizarea proiectului de achiziție și îl poate prelungi, atunci când este necesar.</w:t>
            </w:r>
          </w:p>
        </w:tc>
        <w:tc>
          <w:tcPr>
            <w:tcW w:w="470" w:type="pct"/>
            <w:tcBorders>
              <w:top w:val="single" w:sz="4" w:space="0" w:color="auto"/>
              <w:left w:val="single" w:sz="4" w:space="0" w:color="auto"/>
              <w:bottom w:val="single" w:sz="4" w:space="0" w:color="auto"/>
              <w:right w:val="single" w:sz="4" w:space="0" w:color="auto"/>
            </w:tcBorders>
          </w:tcPr>
          <w:p w14:paraId="418EC3FE" w14:textId="77777777" w:rsidR="00265766" w:rsidRPr="009E686F" w:rsidRDefault="00265766" w:rsidP="00265766">
            <w:pPr>
              <w:jc w:val="both"/>
              <w:rPr>
                <w:rFonts w:ascii="Times New Roman" w:hAnsi="Times New Roman" w:cs="Times New Roman"/>
              </w:rPr>
            </w:pPr>
            <w:r w:rsidRPr="009E686F">
              <w:rPr>
                <w:rFonts w:ascii="Times New Roman" w:hAnsi="Times New Roman" w:cs="Times New Roman"/>
              </w:rPr>
              <w:t>Compatibil</w:t>
            </w:r>
          </w:p>
          <w:p w14:paraId="53555FE5" w14:textId="77777777" w:rsidR="00265766" w:rsidRPr="009E686F" w:rsidDel="003932E1" w:rsidRDefault="00265766" w:rsidP="00265766">
            <w:pPr>
              <w:jc w:val="both"/>
              <w:rPr>
                <w:rFonts w:ascii="Times New Roman" w:hAnsi="Times New Roman" w:cs="Times New Roman"/>
                <w:lang w:val="it-IT"/>
              </w:rPr>
            </w:pPr>
          </w:p>
        </w:tc>
        <w:tc>
          <w:tcPr>
            <w:tcW w:w="806" w:type="pct"/>
            <w:tcBorders>
              <w:top w:val="single" w:sz="4" w:space="0" w:color="auto"/>
              <w:left w:val="single" w:sz="4" w:space="0" w:color="auto"/>
              <w:bottom w:val="single" w:sz="4" w:space="0" w:color="auto"/>
              <w:right w:val="single" w:sz="4" w:space="0" w:color="auto"/>
            </w:tcBorders>
          </w:tcPr>
          <w:p w14:paraId="0D4CC569" w14:textId="77777777" w:rsidR="00265766" w:rsidRPr="009E686F" w:rsidRDefault="00265766" w:rsidP="00265766">
            <w:pPr>
              <w:spacing w:after="0"/>
              <w:jc w:val="both"/>
              <w:rPr>
                <w:rFonts w:ascii="Times New Roman" w:hAnsi="Times New Roman" w:cs="Times New Roman"/>
                <w:color w:val="FF0000"/>
                <w:lang w:val="it-IT"/>
              </w:rPr>
            </w:pPr>
          </w:p>
        </w:tc>
      </w:tr>
      <w:tr w:rsidR="00265766" w:rsidRPr="009E686F" w14:paraId="4DEEDC37" w14:textId="77777777" w:rsidTr="00960C23">
        <w:tc>
          <w:tcPr>
            <w:tcW w:w="1890" w:type="pct"/>
            <w:tcBorders>
              <w:top w:val="single" w:sz="4" w:space="0" w:color="auto"/>
              <w:left w:val="single" w:sz="4" w:space="0" w:color="auto"/>
              <w:bottom w:val="single" w:sz="4" w:space="0" w:color="auto"/>
              <w:right w:val="single" w:sz="4" w:space="0" w:color="auto"/>
            </w:tcBorders>
          </w:tcPr>
          <w:p w14:paraId="4C88C021" w14:textId="77777777" w:rsidR="00265766" w:rsidRPr="009E686F" w:rsidRDefault="00265766" w:rsidP="00265766">
            <w:pPr>
              <w:spacing w:after="0"/>
              <w:jc w:val="both"/>
              <w:rPr>
                <w:rFonts w:ascii="Times New Roman" w:hAnsi="Times New Roman" w:cs="Times New Roman"/>
                <w:i/>
                <w:iCs/>
                <w:lang w:val="it-IT"/>
              </w:rPr>
            </w:pPr>
            <w:r w:rsidRPr="009E686F">
              <w:rPr>
                <w:rFonts w:ascii="Times New Roman" w:hAnsi="Times New Roman" w:cs="Times New Roman"/>
                <w:i/>
                <w:iCs/>
                <w:lang w:val="it-IT"/>
              </w:rPr>
              <w:t xml:space="preserve">Articolul 27b </w:t>
            </w:r>
          </w:p>
          <w:p w14:paraId="22B439DE" w14:textId="1CD5AE34" w:rsidR="00265766" w:rsidRPr="009E686F" w:rsidDel="003932E1" w:rsidRDefault="00265766" w:rsidP="00265766">
            <w:pPr>
              <w:spacing w:after="0"/>
              <w:jc w:val="both"/>
              <w:rPr>
                <w:rFonts w:ascii="Times New Roman" w:hAnsi="Times New Roman" w:cs="Times New Roman"/>
                <w:lang w:val="it-IT"/>
              </w:rPr>
            </w:pPr>
            <w:r w:rsidRPr="009E686F">
              <w:rPr>
                <w:rFonts w:ascii="Times New Roman" w:hAnsi="Times New Roman" w:cs="Times New Roman"/>
                <w:lang w:val="it-IT"/>
              </w:rPr>
              <w:t>Criterii de evaluare</w:t>
            </w:r>
          </w:p>
        </w:tc>
        <w:tc>
          <w:tcPr>
            <w:tcW w:w="1834" w:type="pct"/>
            <w:tcBorders>
              <w:top w:val="single" w:sz="4" w:space="0" w:color="auto"/>
              <w:left w:val="single" w:sz="4" w:space="0" w:color="auto"/>
              <w:bottom w:val="single" w:sz="4" w:space="0" w:color="auto"/>
              <w:right w:val="single" w:sz="4" w:space="0" w:color="auto"/>
            </w:tcBorders>
          </w:tcPr>
          <w:p w14:paraId="3AA1BDBC" w14:textId="62744EDB" w:rsidR="00265766" w:rsidRPr="009E686F" w:rsidRDefault="00265766" w:rsidP="00265766">
            <w:pPr>
              <w:spacing w:after="0" w:line="278" w:lineRule="auto"/>
              <w:jc w:val="both"/>
              <w:rPr>
                <w:rFonts w:ascii="Times New Roman" w:eastAsia="Aptos" w:hAnsi="Times New Roman" w:cs="Times New Roman"/>
                <w:i/>
                <w:iCs/>
                <w:kern w:val="2"/>
                <w:lang w:val="ro-MD"/>
              </w:rPr>
            </w:pPr>
            <w:bookmarkStart w:id="7" w:name="_Hlk215564227"/>
            <w:r w:rsidRPr="009E686F">
              <w:rPr>
                <w:rFonts w:ascii="Times New Roman" w:eastAsia="Aptos" w:hAnsi="Times New Roman" w:cs="Times New Roman"/>
                <w:b/>
                <w:bCs/>
                <w:i/>
                <w:iCs/>
                <w:kern w:val="2"/>
                <w:lang w:val="ro-MD"/>
              </w:rPr>
              <w:t>Articolul 5</w:t>
            </w:r>
            <w:r w:rsidR="00337642" w:rsidRPr="009E686F">
              <w:rPr>
                <w:rFonts w:ascii="Times New Roman" w:eastAsia="Aptos" w:hAnsi="Times New Roman" w:cs="Times New Roman"/>
                <w:b/>
                <w:bCs/>
                <w:i/>
                <w:iCs/>
                <w:kern w:val="2"/>
                <w:lang w:val="ro-MD"/>
              </w:rPr>
              <w:t>7</w:t>
            </w:r>
            <w:r w:rsidR="00337642" w:rsidRPr="009E686F">
              <w:rPr>
                <w:rFonts w:ascii="Times New Roman" w:eastAsia="Aptos" w:hAnsi="Times New Roman" w:cs="Times New Roman"/>
                <w:b/>
                <w:bCs/>
                <w:i/>
                <w:iCs/>
                <w:kern w:val="2"/>
                <w:vertAlign w:val="superscript"/>
                <w:lang w:val="ro-MD"/>
              </w:rPr>
              <w:t>2</w:t>
            </w:r>
            <w:r w:rsidRPr="009E686F">
              <w:rPr>
                <w:rFonts w:ascii="Times New Roman" w:eastAsia="Aptos" w:hAnsi="Times New Roman" w:cs="Times New Roman"/>
                <w:b/>
                <w:bCs/>
                <w:i/>
                <w:iCs/>
                <w:kern w:val="2"/>
                <w:lang w:val="ro-MD"/>
              </w:rPr>
              <w:t xml:space="preserve">. </w:t>
            </w:r>
            <w:r w:rsidRPr="009E686F">
              <w:rPr>
                <w:rFonts w:ascii="Times New Roman" w:eastAsia="Aptos" w:hAnsi="Times New Roman" w:cs="Times New Roman"/>
                <w:i/>
                <w:iCs/>
                <w:kern w:val="2"/>
                <w:lang w:val="ro-MD"/>
              </w:rPr>
              <w:t>Criterii de evaluare a proiectului de achiziție a unei dețineri semnificative</w:t>
            </w:r>
          </w:p>
          <w:bookmarkEnd w:id="7"/>
          <w:p w14:paraId="23D3E329" w14:textId="77777777" w:rsidR="00265766" w:rsidRPr="009E686F" w:rsidRDefault="00265766" w:rsidP="00265766">
            <w:pPr>
              <w:spacing w:after="0" w:line="278" w:lineRule="auto"/>
              <w:jc w:val="both"/>
              <w:rPr>
                <w:rFonts w:ascii="Times New Roman" w:hAnsi="Times New Roman" w:cs="Times New Roman"/>
                <w:b/>
                <w:i/>
                <w:iCs/>
                <w:lang w:val="it-IT"/>
              </w:rPr>
            </w:pPr>
          </w:p>
        </w:tc>
        <w:tc>
          <w:tcPr>
            <w:tcW w:w="470" w:type="pct"/>
            <w:tcBorders>
              <w:top w:val="single" w:sz="4" w:space="0" w:color="auto"/>
              <w:left w:val="single" w:sz="4" w:space="0" w:color="auto"/>
              <w:bottom w:val="single" w:sz="4" w:space="0" w:color="auto"/>
              <w:right w:val="single" w:sz="4" w:space="0" w:color="auto"/>
            </w:tcBorders>
          </w:tcPr>
          <w:p w14:paraId="1D01CDC7" w14:textId="77777777" w:rsidR="00265766" w:rsidRPr="009E686F" w:rsidRDefault="00265766" w:rsidP="00265766">
            <w:pPr>
              <w:jc w:val="both"/>
              <w:rPr>
                <w:rFonts w:ascii="Times New Roman" w:hAnsi="Times New Roman" w:cs="Times New Roman"/>
              </w:rPr>
            </w:pPr>
            <w:r w:rsidRPr="009E686F">
              <w:rPr>
                <w:rFonts w:ascii="Times New Roman" w:hAnsi="Times New Roman" w:cs="Times New Roman"/>
              </w:rPr>
              <w:t>Compatibil</w:t>
            </w:r>
          </w:p>
          <w:p w14:paraId="12BE52F8" w14:textId="77777777" w:rsidR="00265766" w:rsidRPr="009E686F" w:rsidDel="003932E1" w:rsidRDefault="00265766" w:rsidP="00265766">
            <w:pPr>
              <w:jc w:val="both"/>
              <w:rPr>
                <w:rFonts w:ascii="Times New Roman" w:hAnsi="Times New Roman" w:cs="Times New Roman"/>
                <w:lang w:val="it-IT"/>
              </w:rPr>
            </w:pPr>
          </w:p>
        </w:tc>
        <w:tc>
          <w:tcPr>
            <w:tcW w:w="806" w:type="pct"/>
            <w:tcBorders>
              <w:top w:val="single" w:sz="4" w:space="0" w:color="auto"/>
              <w:left w:val="single" w:sz="4" w:space="0" w:color="auto"/>
              <w:bottom w:val="single" w:sz="4" w:space="0" w:color="auto"/>
              <w:right w:val="single" w:sz="4" w:space="0" w:color="auto"/>
            </w:tcBorders>
          </w:tcPr>
          <w:p w14:paraId="2A81BAFA" w14:textId="77777777" w:rsidR="00265766" w:rsidRPr="009E686F" w:rsidRDefault="00265766" w:rsidP="00265766">
            <w:pPr>
              <w:spacing w:after="0"/>
              <w:jc w:val="both"/>
              <w:rPr>
                <w:rFonts w:ascii="Times New Roman" w:hAnsi="Times New Roman" w:cs="Times New Roman"/>
                <w:color w:val="FF0000"/>
                <w:lang w:val="it-IT"/>
              </w:rPr>
            </w:pPr>
          </w:p>
        </w:tc>
      </w:tr>
      <w:tr w:rsidR="00265766" w:rsidRPr="009E686F" w14:paraId="196F2329" w14:textId="77777777" w:rsidTr="00960C23">
        <w:tc>
          <w:tcPr>
            <w:tcW w:w="1890" w:type="pct"/>
            <w:tcBorders>
              <w:top w:val="single" w:sz="4" w:space="0" w:color="auto"/>
              <w:left w:val="single" w:sz="4" w:space="0" w:color="auto"/>
              <w:bottom w:val="single" w:sz="4" w:space="0" w:color="auto"/>
              <w:right w:val="single" w:sz="4" w:space="0" w:color="auto"/>
            </w:tcBorders>
          </w:tcPr>
          <w:p w14:paraId="21927F37" w14:textId="77A21C45" w:rsidR="00265766" w:rsidRPr="009E686F" w:rsidDel="003932E1" w:rsidRDefault="00265766" w:rsidP="00265766">
            <w:pPr>
              <w:spacing w:after="0"/>
              <w:jc w:val="both"/>
              <w:rPr>
                <w:rFonts w:ascii="Times New Roman" w:hAnsi="Times New Roman" w:cs="Times New Roman"/>
              </w:rPr>
            </w:pPr>
            <w:r w:rsidRPr="009E686F">
              <w:rPr>
                <w:rFonts w:ascii="Times New Roman" w:hAnsi="Times New Roman" w:cs="Times New Roman"/>
              </w:rPr>
              <w:t xml:space="preserve">(1) Atunci când evaluează notificarea proiectului de achiziție prevăzută la articolul 27a alineatul (1) și a informațiilor menționate la articolul 27a alineatul (9), autoritatea </w:t>
            </w:r>
            <w:r w:rsidRPr="009E686F">
              <w:rPr>
                <w:rFonts w:ascii="Times New Roman" w:hAnsi="Times New Roman" w:cs="Times New Roman"/>
              </w:rPr>
              <w:lastRenderedPageBreak/>
              <w:t>competentă evaluează perspectiva unei administrări sănătoase și prudente de către potențialul achizitor și, în special, riscurile la care acesta este sau ar putea fi expus după achiziție, în conformitate cu următoarele criterii:</w:t>
            </w:r>
          </w:p>
        </w:tc>
        <w:tc>
          <w:tcPr>
            <w:tcW w:w="1834" w:type="pct"/>
            <w:tcBorders>
              <w:top w:val="single" w:sz="4" w:space="0" w:color="auto"/>
              <w:left w:val="single" w:sz="4" w:space="0" w:color="auto"/>
              <w:bottom w:val="single" w:sz="4" w:space="0" w:color="auto"/>
              <w:right w:val="single" w:sz="4" w:space="0" w:color="auto"/>
            </w:tcBorders>
          </w:tcPr>
          <w:p w14:paraId="574D845E" w14:textId="375381E5" w:rsidR="00265766" w:rsidRPr="009E686F" w:rsidRDefault="00265766" w:rsidP="00265766">
            <w:pPr>
              <w:spacing w:after="0" w:line="278" w:lineRule="auto"/>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lastRenderedPageBreak/>
              <w:t xml:space="preserve">(1) Banca Națională a Moldovei evaluează notificarea proiectului de achiziție prevăzută la art. </w:t>
            </w:r>
            <w:r w:rsidR="00A6623F" w:rsidRPr="009E686F">
              <w:rPr>
                <w:rFonts w:ascii="Times New Roman" w:eastAsia="Aptos" w:hAnsi="Times New Roman" w:cs="Times New Roman"/>
                <w:i/>
                <w:iCs/>
                <w:kern w:val="2"/>
                <w:lang w:val="ro-MD"/>
              </w:rPr>
              <w:t>57</w:t>
            </w:r>
            <w:r w:rsidR="00A6623F" w:rsidRPr="009E686F">
              <w:rPr>
                <w:rFonts w:ascii="Times New Roman" w:eastAsia="Aptos" w:hAnsi="Times New Roman" w:cs="Times New Roman"/>
                <w:i/>
                <w:iCs/>
                <w:kern w:val="2"/>
                <w:vertAlign w:val="superscript"/>
                <w:lang w:val="ro-MD"/>
              </w:rPr>
              <w:t xml:space="preserve">1 </w:t>
            </w:r>
            <w:r w:rsidRPr="009E686F">
              <w:rPr>
                <w:rFonts w:ascii="Times New Roman" w:eastAsia="Aptos" w:hAnsi="Times New Roman" w:cs="Times New Roman"/>
                <w:i/>
                <w:iCs/>
                <w:kern w:val="2"/>
                <w:lang w:val="ro-MD"/>
              </w:rPr>
              <w:t xml:space="preserve">alin. (1) și a informațiilor menționate la art. </w:t>
            </w:r>
            <w:r w:rsidR="00A6623F" w:rsidRPr="009E686F">
              <w:rPr>
                <w:rFonts w:ascii="Times New Roman" w:eastAsia="Aptos" w:hAnsi="Times New Roman" w:cs="Times New Roman"/>
                <w:i/>
                <w:iCs/>
                <w:kern w:val="2"/>
                <w:lang w:val="ro-MD"/>
              </w:rPr>
              <w:t>57</w:t>
            </w:r>
            <w:r w:rsidR="00A6623F" w:rsidRPr="009E686F">
              <w:rPr>
                <w:rFonts w:ascii="Times New Roman" w:eastAsia="Aptos" w:hAnsi="Times New Roman" w:cs="Times New Roman"/>
                <w:i/>
                <w:iCs/>
                <w:kern w:val="2"/>
                <w:vertAlign w:val="superscript"/>
                <w:lang w:val="ro-MD"/>
              </w:rPr>
              <w:t xml:space="preserve">1 </w:t>
            </w:r>
            <w:r w:rsidRPr="009E686F">
              <w:rPr>
                <w:rFonts w:ascii="Times New Roman" w:eastAsia="Aptos" w:hAnsi="Times New Roman" w:cs="Times New Roman"/>
                <w:i/>
                <w:iCs/>
                <w:kern w:val="2"/>
                <w:lang w:val="ro-MD"/>
              </w:rPr>
              <w:t xml:space="preserve">alin. (10) din perspectiva </w:t>
            </w:r>
            <w:r w:rsidRPr="009E686F">
              <w:rPr>
                <w:rFonts w:ascii="Times New Roman" w:eastAsia="Aptos" w:hAnsi="Times New Roman" w:cs="Times New Roman"/>
                <w:i/>
                <w:iCs/>
                <w:kern w:val="2"/>
                <w:lang w:val="ro-MD"/>
              </w:rPr>
              <w:lastRenderedPageBreak/>
              <w:t>unei administrări sănătoase și prudente de către potențialul achizitor și, în special, riscurile la care acesta este sau ar putea fi expus după achiziție, în conformitate cu următoarele criterii:</w:t>
            </w:r>
          </w:p>
        </w:tc>
        <w:tc>
          <w:tcPr>
            <w:tcW w:w="470" w:type="pct"/>
            <w:tcBorders>
              <w:top w:val="single" w:sz="4" w:space="0" w:color="auto"/>
              <w:left w:val="single" w:sz="4" w:space="0" w:color="auto"/>
              <w:bottom w:val="single" w:sz="4" w:space="0" w:color="auto"/>
              <w:right w:val="single" w:sz="4" w:space="0" w:color="auto"/>
            </w:tcBorders>
          </w:tcPr>
          <w:p w14:paraId="69401159" w14:textId="77777777" w:rsidR="00265766" w:rsidRPr="009E686F" w:rsidRDefault="00265766" w:rsidP="00265766">
            <w:pPr>
              <w:jc w:val="both"/>
              <w:rPr>
                <w:rFonts w:ascii="Times New Roman" w:hAnsi="Times New Roman" w:cs="Times New Roman"/>
              </w:rPr>
            </w:pPr>
            <w:r w:rsidRPr="009E686F">
              <w:rPr>
                <w:rFonts w:ascii="Times New Roman" w:hAnsi="Times New Roman" w:cs="Times New Roman"/>
              </w:rPr>
              <w:lastRenderedPageBreak/>
              <w:t>Compatibil</w:t>
            </w:r>
          </w:p>
          <w:p w14:paraId="53DBE2DD" w14:textId="77777777" w:rsidR="00265766" w:rsidRPr="009E686F" w:rsidDel="003932E1" w:rsidRDefault="00265766" w:rsidP="00265766">
            <w:pPr>
              <w:jc w:val="both"/>
              <w:rPr>
                <w:rFonts w:ascii="Times New Roman" w:hAnsi="Times New Roman" w:cs="Times New Roman"/>
                <w:lang w:val="ro-MD"/>
              </w:rPr>
            </w:pPr>
          </w:p>
        </w:tc>
        <w:tc>
          <w:tcPr>
            <w:tcW w:w="806" w:type="pct"/>
            <w:tcBorders>
              <w:top w:val="single" w:sz="4" w:space="0" w:color="auto"/>
              <w:left w:val="single" w:sz="4" w:space="0" w:color="auto"/>
              <w:bottom w:val="single" w:sz="4" w:space="0" w:color="auto"/>
              <w:right w:val="single" w:sz="4" w:space="0" w:color="auto"/>
            </w:tcBorders>
          </w:tcPr>
          <w:p w14:paraId="359B1486" w14:textId="77777777" w:rsidR="00265766" w:rsidRPr="009E686F" w:rsidRDefault="00265766" w:rsidP="00265766">
            <w:pPr>
              <w:spacing w:after="0"/>
              <w:jc w:val="both"/>
              <w:rPr>
                <w:rFonts w:ascii="Times New Roman" w:hAnsi="Times New Roman" w:cs="Times New Roman"/>
                <w:color w:val="FF0000"/>
                <w:lang w:val="ro-MD"/>
              </w:rPr>
            </w:pPr>
          </w:p>
        </w:tc>
      </w:tr>
      <w:tr w:rsidR="00265766" w:rsidRPr="009E686F" w14:paraId="5105E69B" w14:textId="77777777" w:rsidTr="00960C23">
        <w:tc>
          <w:tcPr>
            <w:tcW w:w="1890" w:type="pct"/>
            <w:tcBorders>
              <w:top w:val="single" w:sz="4" w:space="0" w:color="auto"/>
              <w:left w:val="single" w:sz="4" w:space="0" w:color="auto"/>
              <w:bottom w:val="single" w:sz="4" w:space="0" w:color="auto"/>
              <w:right w:val="single" w:sz="4" w:space="0" w:color="auto"/>
            </w:tcBorders>
          </w:tcPr>
          <w:p w14:paraId="1B71828F" w14:textId="448EEED5" w:rsidR="00265766" w:rsidRPr="009E686F" w:rsidDel="003932E1" w:rsidRDefault="00265766" w:rsidP="00265766">
            <w:pPr>
              <w:spacing w:after="0"/>
              <w:jc w:val="both"/>
              <w:rPr>
                <w:rFonts w:ascii="Times New Roman" w:hAnsi="Times New Roman" w:cs="Times New Roman"/>
                <w:lang w:val="ro-MD"/>
              </w:rPr>
            </w:pPr>
            <w:r w:rsidRPr="009E686F">
              <w:rPr>
                <w:rFonts w:ascii="Times New Roman" w:hAnsi="Times New Roman" w:cs="Times New Roman"/>
                <w:lang w:val="ro-MD"/>
              </w:rPr>
              <w:t>(a) dacă potențialul achizitor va putea respecta și va putea continua să respecte cerințele prudențiale prevăzute în prezenta directivă și în Regulamentul (UE) nr. 575/2013 și, după caz, în alte acte juridice ale Uniunii;</w:t>
            </w:r>
          </w:p>
        </w:tc>
        <w:tc>
          <w:tcPr>
            <w:tcW w:w="1834" w:type="pct"/>
            <w:tcBorders>
              <w:top w:val="single" w:sz="4" w:space="0" w:color="auto"/>
              <w:left w:val="single" w:sz="4" w:space="0" w:color="auto"/>
              <w:bottom w:val="single" w:sz="4" w:space="0" w:color="auto"/>
              <w:right w:val="single" w:sz="4" w:space="0" w:color="auto"/>
            </w:tcBorders>
          </w:tcPr>
          <w:p w14:paraId="00DA2CAC" w14:textId="77777777" w:rsidR="00265766" w:rsidRPr="009E686F" w:rsidRDefault="00265766" w:rsidP="00265766">
            <w:pPr>
              <w:spacing w:after="0" w:line="278" w:lineRule="auto"/>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 xml:space="preserve">a) dacă potențialul achizitor va putea respecta și va putea continua să respecte indicatorii prudențiali; </w:t>
            </w:r>
          </w:p>
          <w:p w14:paraId="600EE46C" w14:textId="77777777" w:rsidR="00265766" w:rsidRPr="009E686F" w:rsidRDefault="00265766" w:rsidP="00265766">
            <w:pPr>
              <w:spacing w:after="0" w:line="278" w:lineRule="auto"/>
              <w:jc w:val="both"/>
              <w:rPr>
                <w:rFonts w:ascii="Times New Roman" w:hAnsi="Times New Roman" w:cs="Times New Roman"/>
                <w:b/>
                <w:i/>
                <w:iCs/>
                <w:lang w:val="ro-MD"/>
              </w:rPr>
            </w:pPr>
          </w:p>
        </w:tc>
        <w:tc>
          <w:tcPr>
            <w:tcW w:w="470" w:type="pct"/>
            <w:tcBorders>
              <w:top w:val="single" w:sz="4" w:space="0" w:color="auto"/>
              <w:left w:val="single" w:sz="4" w:space="0" w:color="auto"/>
              <w:bottom w:val="single" w:sz="4" w:space="0" w:color="auto"/>
              <w:right w:val="single" w:sz="4" w:space="0" w:color="auto"/>
            </w:tcBorders>
          </w:tcPr>
          <w:p w14:paraId="59E67D2A" w14:textId="77777777" w:rsidR="00265766" w:rsidRPr="009E686F" w:rsidRDefault="00265766" w:rsidP="00265766">
            <w:pPr>
              <w:jc w:val="both"/>
              <w:rPr>
                <w:rFonts w:ascii="Times New Roman" w:hAnsi="Times New Roman" w:cs="Times New Roman"/>
              </w:rPr>
            </w:pPr>
            <w:r w:rsidRPr="009E686F">
              <w:rPr>
                <w:rFonts w:ascii="Times New Roman" w:hAnsi="Times New Roman" w:cs="Times New Roman"/>
              </w:rPr>
              <w:t>Compatibil</w:t>
            </w:r>
          </w:p>
          <w:p w14:paraId="365DE35E" w14:textId="77777777" w:rsidR="00265766" w:rsidRPr="009E686F" w:rsidDel="003932E1" w:rsidRDefault="00265766" w:rsidP="00265766">
            <w:pPr>
              <w:jc w:val="both"/>
              <w:rPr>
                <w:rFonts w:ascii="Times New Roman" w:hAnsi="Times New Roman" w:cs="Times New Roman"/>
                <w:lang w:val="it-IT"/>
              </w:rPr>
            </w:pPr>
          </w:p>
        </w:tc>
        <w:tc>
          <w:tcPr>
            <w:tcW w:w="806" w:type="pct"/>
            <w:tcBorders>
              <w:top w:val="single" w:sz="4" w:space="0" w:color="auto"/>
              <w:left w:val="single" w:sz="4" w:space="0" w:color="auto"/>
              <w:bottom w:val="single" w:sz="4" w:space="0" w:color="auto"/>
              <w:right w:val="single" w:sz="4" w:space="0" w:color="auto"/>
            </w:tcBorders>
          </w:tcPr>
          <w:p w14:paraId="4AE868B6" w14:textId="77777777" w:rsidR="00265766" w:rsidRPr="009E686F" w:rsidRDefault="00265766" w:rsidP="00265766">
            <w:pPr>
              <w:spacing w:after="0"/>
              <w:jc w:val="both"/>
              <w:rPr>
                <w:rFonts w:ascii="Times New Roman" w:hAnsi="Times New Roman" w:cs="Times New Roman"/>
                <w:color w:val="FF0000"/>
                <w:lang w:val="it-IT"/>
              </w:rPr>
            </w:pPr>
          </w:p>
        </w:tc>
      </w:tr>
      <w:tr w:rsidR="00265766" w:rsidRPr="009E686F" w14:paraId="7ABDE0BB" w14:textId="77777777" w:rsidTr="00960C23">
        <w:tc>
          <w:tcPr>
            <w:tcW w:w="1890" w:type="pct"/>
            <w:tcBorders>
              <w:top w:val="single" w:sz="4" w:space="0" w:color="auto"/>
              <w:left w:val="single" w:sz="4" w:space="0" w:color="auto"/>
              <w:bottom w:val="single" w:sz="4" w:space="0" w:color="auto"/>
              <w:right w:val="single" w:sz="4" w:space="0" w:color="auto"/>
            </w:tcBorders>
          </w:tcPr>
          <w:p w14:paraId="32EB67AE" w14:textId="66775B50" w:rsidR="00265766" w:rsidRPr="009E686F" w:rsidDel="003932E1" w:rsidRDefault="00265766" w:rsidP="00265766">
            <w:pPr>
              <w:spacing w:after="0"/>
              <w:jc w:val="both"/>
              <w:rPr>
                <w:rFonts w:ascii="Times New Roman" w:hAnsi="Times New Roman" w:cs="Times New Roman"/>
              </w:rPr>
            </w:pPr>
            <w:r w:rsidRPr="009E686F">
              <w:rPr>
                <w:rFonts w:ascii="Times New Roman" w:hAnsi="Times New Roman" w:cs="Times New Roman"/>
              </w:rPr>
              <w:t>(b) dacă există motive rezonabile de a se suspecta că, în legătură cu proiectul de achiziție, a fost sau este săvârșită o faptă sau o tentativă de spălare de bani sau de finanțare a unor acte de terorism în sensul articolului 1 din Directiva (UE) 2015/849 sau că proiectul de achiziție ar putea face să crească un astfel de risc.</w:t>
            </w:r>
          </w:p>
        </w:tc>
        <w:tc>
          <w:tcPr>
            <w:tcW w:w="1834" w:type="pct"/>
            <w:tcBorders>
              <w:top w:val="single" w:sz="4" w:space="0" w:color="auto"/>
              <w:left w:val="single" w:sz="4" w:space="0" w:color="auto"/>
              <w:bottom w:val="single" w:sz="4" w:space="0" w:color="auto"/>
              <w:right w:val="single" w:sz="4" w:space="0" w:color="auto"/>
            </w:tcBorders>
          </w:tcPr>
          <w:p w14:paraId="5A2F2B36" w14:textId="19AB05DC" w:rsidR="00265766" w:rsidRPr="009E686F" w:rsidRDefault="00265766" w:rsidP="00265766">
            <w:pPr>
              <w:spacing w:after="0"/>
              <w:jc w:val="both"/>
              <w:rPr>
                <w:rFonts w:ascii="Times New Roman" w:hAnsi="Times New Roman" w:cs="Times New Roman"/>
                <w:b/>
                <w:i/>
                <w:iCs/>
              </w:rPr>
            </w:pPr>
            <w:r w:rsidRPr="009E686F">
              <w:rPr>
                <w:rFonts w:ascii="Times New Roman" w:eastAsia="Aptos" w:hAnsi="Times New Roman" w:cs="Times New Roman"/>
                <w:i/>
                <w:iCs/>
                <w:kern w:val="2"/>
                <w:lang w:val="ro-MD"/>
              </w:rPr>
              <w:t>b) dacă există motive rezonabile de a se suspecta că, în legătură cu proiectul de achiziție, a fost sau este săvârșită o faptă sau o tentativă de spălare de bani sau de finanțare a unor acte de terorism în sensul Legii nr. 308/2017 sau că proiectul de achiziție ar putea face să crească un astfel de risc</w:t>
            </w:r>
            <w:r w:rsidRPr="009E686F">
              <w:rPr>
                <w:rFonts w:ascii="Times New Roman" w:eastAsia="Aptos" w:hAnsi="Times New Roman" w:cs="Times New Roman"/>
                <w:i/>
                <w:iCs/>
                <w:color w:val="0F9ED5"/>
                <w:kern w:val="2"/>
                <w:lang w:val="ro-MD"/>
              </w:rPr>
              <w:t>.</w:t>
            </w:r>
          </w:p>
        </w:tc>
        <w:tc>
          <w:tcPr>
            <w:tcW w:w="470" w:type="pct"/>
            <w:tcBorders>
              <w:top w:val="single" w:sz="4" w:space="0" w:color="auto"/>
              <w:left w:val="single" w:sz="4" w:space="0" w:color="auto"/>
              <w:bottom w:val="single" w:sz="4" w:space="0" w:color="auto"/>
              <w:right w:val="single" w:sz="4" w:space="0" w:color="auto"/>
            </w:tcBorders>
          </w:tcPr>
          <w:p w14:paraId="7A5C9B6E" w14:textId="77777777" w:rsidR="00265766" w:rsidRPr="009E686F" w:rsidRDefault="00265766" w:rsidP="00265766">
            <w:pPr>
              <w:jc w:val="both"/>
              <w:rPr>
                <w:rFonts w:ascii="Times New Roman" w:hAnsi="Times New Roman" w:cs="Times New Roman"/>
              </w:rPr>
            </w:pPr>
            <w:r w:rsidRPr="009E686F">
              <w:rPr>
                <w:rFonts w:ascii="Times New Roman" w:hAnsi="Times New Roman" w:cs="Times New Roman"/>
              </w:rPr>
              <w:t>Compatibil</w:t>
            </w:r>
          </w:p>
          <w:p w14:paraId="5E998BA9" w14:textId="77777777" w:rsidR="00265766" w:rsidRPr="009E686F" w:rsidDel="003932E1" w:rsidRDefault="00265766" w:rsidP="00265766">
            <w:pPr>
              <w:jc w:val="both"/>
              <w:rPr>
                <w:rFonts w:ascii="Times New Roman" w:hAnsi="Times New Roman" w:cs="Times New Roman"/>
                <w:lang w:val="it-IT"/>
              </w:rPr>
            </w:pPr>
          </w:p>
        </w:tc>
        <w:tc>
          <w:tcPr>
            <w:tcW w:w="806" w:type="pct"/>
            <w:tcBorders>
              <w:top w:val="single" w:sz="4" w:space="0" w:color="auto"/>
              <w:left w:val="single" w:sz="4" w:space="0" w:color="auto"/>
              <w:bottom w:val="single" w:sz="4" w:space="0" w:color="auto"/>
              <w:right w:val="single" w:sz="4" w:space="0" w:color="auto"/>
            </w:tcBorders>
          </w:tcPr>
          <w:p w14:paraId="438FB274" w14:textId="77777777" w:rsidR="00265766" w:rsidRPr="009E686F" w:rsidRDefault="00265766" w:rsidP="00265766">
            <w:pPr>
              <w:spacing w:after="0"/>
              <w:jc w:val="both"/>
              <w:rPr>
                <w:rFonts w:ascii="Times New Roman" w:hAnsi="Times New Roman" w:cs="Times New Roman"/>
                <w:color w:val="FF0000"/>
                <w:lang w:val="it-IT"/>
              </w:rPr>
            </w:pPr>
          </w:p>
        </w:tc>
      </w:tr>
      <w:tr w:rsidR="00265766" w:rsidRPr="009E686F" w14:paraId="1062BBF0" w14:textId="77777777" w:rsidTr="00960C23">
        <w:tc>
          <w:tcPr>
            <w:tcW w:w="1890" w:type="pct"/>
            <w:tcBorders>
              <w:top w:val="single" w:sz="4" w:space="0" w:color="auto"/>
              <w:left w:val="single" w:sz="4" w:space="0" w:color="auto"/>
              <w:bottom w:val="single" w:sz="4" w:space="0" w:color="auto"/>
              <w:right w:val="single" w:sz="4" w:space="0" w:color="auto"/>
            </w:tcBorders>
          </w:tcPr>
          <w:p w14:paraId="7A339509" w14:textId="1830797C" w:rsidR="00265766" w:rsidRPr="009E686F" w:rsidDel="003932E1"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(2) În scopul evaluării criteriului prevăzut la alineatul (1) litera (b) de la prezentul articol, autoritatea competentă consultă, în contextul verificărilor sale, autoritățile responsabile cu supravegherea potențialului achizitor în conformitate cu Directiva (UE) 2015/849.</w:t>
            </w:r>
          </w:p>
        </w:tc>
        <w:tc>
          <w:tcPr>
            <w:tcW w:w="1834" w:type="pct"/>
            <w:tcBorders>
              <w:top w:val="single" w:sz="4" w:space="0" w:color="auto"/>
              <w:left w:val="single" w:sz="4" w:space="0" w:color="auto"/>
              <w:bottom w:val="single" w:sz="4" w:space="0" w:color="auto"/>
              <w:right w:val="single" w:sz="4" w:space="0" w:color="auto"/>
            </w:tcBorders>
          </w:tcPr>
          <w:p w14:paraId="4151999F" w14:textId="13BD8DE1" w:rsidR="00265766" w:rsidRPr="009E686F" w:rsidRDefault="00265766" w:rsidP="00265766">
            <w:pPr>
              <w:spacing w:after="0"/>
              <w:jc w:val="both"/>
              <w:rPr>
                <w:rFonts w:ascii="Times New Roman" w:hAnsi="Times New Roman" w:cs="Times New Roman"/>
                <w:i/>
                <w:iCs/>
                <w:lang w:val="it-CH"/>
              </w:rPr>
            </w:pPr>
            <w:r w:rsidRPr="009E686F">
              <w:rPr>
                <w:rFonts w:ascii="Times New Roman" w:hAnsi="Times New Roman" w:cs="Times New Roman"/>
                <w:i/>
                <w:iCs/>
                <w:lang w:val="it-CH"/>
              </w:rPr>
              <w:t>(2) În scopul evaluării criteriului prevăzut la alin. (1) lit. b), Banca Națională a Moldovei consultă, în contextul verificărilor sale, organele cu funcții de supraveghere a potențialului achizitor în conformitate cu Legea nr. 308/2017.</w:t>
            </w:r>
            <w:r w:rsidRPr="009E686F">
              <w:rPr>
                <w:rFonts w:ascii="Times New Roman" w:hAnsi="Times New Roman" w:cs="Times New Roman"/>
                <w:b/>
                <w:bCs/>
                <w:i/>
                <w:iCs/>
                <w:color w:val="FF0000"/>
                <w:lang w:val="it-CH"/>
              </w:rPr>
              <w:t xml:space="preserve"> </w:t>
            </w:r>
          </w:p>
        </w:tc>
        <w:tc>
          <w:tcPr>
            <w:tcW w:w="470" w:type="pct"/>
            <w:tcBorders>
              <w:top w:val="single" w:sz="4" w:space="0" w:color="auto"/>
              <w:left w:val="single" w:sz="4" w:space="0" w:color="auto"/>
              <w:bottom w:val="single" w:sz="4" w:space="0" w:color="auto"/>
              <w:right w:val="single" w:sz="4" w:space="0" w:color="auto"/>
            </w:tcBorders>
          </w:tcPr>
          <w:p w14:paraId="4DC3CFBC" w14:textId="77777777" w:rsidR="00265766" w:rsidRPr="009E686F" w:rsidRDefault="00265766" w:rsidP="00265766">
            <w:pPr>
              <w:jc w:val="both"/>
              <w:rPr>
                <w:rFonts w:ascii="Times New Roman" w:hAnsi="Times New Roman" w:cs="Times New Roman"/>
              </w:rPr>
            </w:pPr>
            <w:r w:rsidRPr="009E686F">
              <w:rPr>
                <w:rFonts w:ascii="Times New Roman" w:hAnsi="Times New Roman" w:cs="Times New Roman"/>
              </w:rPr>
              <w:t>Compatibil</w:t>
            </w:r>
          </w:p>
          <w:p w14:paraId="727F3795" w14:textId="77777777" w:rsidR="00265766" w:rsidRPr="009E686F" w:rsidDel="003932E1" w:rsidRDefault="00265766" w:rsidP="00265766">
            <w:pPr>
              <w:jc w:val="both"/>
              <w:rPr>
                <w:rFonts w:ascii="Times New Roman" w:hAnsi="Times New Roman" w:cs="Times New Roman"/>
                <w:lang w:val="it-IT"/>
              </w:rPr>
            </w:pPr>
          </w:p>
        </w:tc>
        <w:tc>
          <w:tcPr>
            <w:tcW w:w="806" w:type="pct"/>
            <w:tcBorders>
              <w:top w:val="single" w:sz="4" w:space="0" w:color="auto"/>
              <w:left w:val="single" w:sz="4" w:space="0" w:color="auto"/>
              <w:bottom w:val="single" w:sz="4" w:space="0" w:color="auto"/>
              <w:right w:val="single" w:sz="4" w:space="0" w:color="auto"/>
            </w:tcBorders>
          </w:tcPr>
          <w:p w14:paraId="158452A2" w14:textId="77777777" w:rsidR="00265766" w:rsidRPr="009E686F" w:rsidRDefault="00265766" w:rsidP="00265766">
            <w:pPr>
              <w:spacing w:after="0"/>
              <w:jc w:val="both"/>
              <w:rPr>
                <w:rFonts w:ascii="Times New Roman" w:hAnsi="Times New Roman" w:cs="Times New Roman"/>
                <w:color w:val="FF0000"/>
                <w:lang w:val="it-IT"/>
              </w:rPr>
            </w:pPr>
          </w:p>
        </w:tc>
      </w:tr>
      <w:tr w:rsidR="00265766" w:rsidRPr="009E686F" w14:paraId="6CA49344" w14:textId="77777777" w:rsidTr="00960C23">
        <w:tc>
          <w:tcPr>
            <w:tcW w:w="1890" w:type="pct"/>
            <w:tcBorders>
              <w:top w:val="single" w:sz="4" w:space="0" w:color="auto"/>
              <w:left w:val="single" w:sz="4" w:space="0" w:color="auto"/>
              <w:bottom w:val="single" w:sz="4" w:space="0" w:color="auto"/>
              <w:right w:val="single" w:sz="4" w:space="0" w:color="auto"/>
            </w:tcBorders>
          </w:tcPr>
          <w:p w14:paraId="15616477" w14:textId="6A3A00F5" w:rsidR="00265766" w:rsidRPr="009E686F" w:rsidDel="003932E1" w:rsidRDefault="00265766" w:rsidP="00265766">
            <w:pPr>
              <w:spacing w:after="0"/>
              <w:jc w:val="both"/>
              <w:rPr>
                <w:rFonts w:ascii="Times New Roman" w:hAnsi="Times New Roman" w:cs="Times New Roman"/>
              </w:rPr>
            </w:pPr>
            <w:r w:rsidRPr="009E686F">
              <w:rPr>
                <w:rFonts w:ascii="Times New Roman" w:hAnsi="Times New Roman" w:cs="Times New Roman"/>
              </w:rPr>
              <w:t>(3) Autoritatea competentă se poate opune proiectului de achiziție numai în cazul în care există motive rezonabile în acest sens, pe baza criteriilor prevăzute la alineatul (1) de la prezentul articol, sau în cazul în care informațiile furnizate de potențialul achizitor sunt incomplete în ciuda unei solicitări efectuate în conformitate cu articolul 27a alineatul (9).</w:t>
            </w:r>
          </w:p>
        </w:tc>
        <w:tc>
          <w:tcPr>
            <w:tcW w:w="1834" w:type="pct"/>
            <w:tcBorders>
              <w:top w:val="single" w:sz="4" w:space="0" w:color="auto"/>
              <w:left w:val="single" w:sz="4" w:space="0" w:color="auto"/>
              <w:bottom w:val="single" w:sz="4" w:space="0" w:color="auto"/>
              <w:right w:val="single" w:sz="4" w:space="0" w:color="auto"/>
            </w:tcBorders>
          </w:tcPr>
          <w:p w14:paraId="4BF9C38F" w14:textId="69F8AF87" w:rsidR="00265766" w:rsidRPr="009E686F" w:rsidRDefault="00265766" w:rsidP="00265766">
            <w:pPr>
              <w:spacing w:after="0"/>
              <w:jc w:val="both"/>
              <w:rPr>
                <w:rFonts w:ascii="Times New Roman" w:hAnsi="Times New Roman" w:cs="Times New Roman"/>
                <w:bCs/>
                <w:i/>
                <w:iCs/>
              </w:rPr>
            </w:pPr>
            <w:r w:rsidRPr="009E686F">
              <w:rPr>
                <w:rFonts w:ascii="Times New Roman" w:hAnsi="Times New Roman" w:cs="Times New Roman"/>
                <w:bCs/>
                <w:i/>
                <w:iCs/>
              </w:rPr>
              <w:t xml:space="preserve">(3) Banca Națională a Moldovei se poate opune proiectului de achiziție numai în cazul în care există motive rezonabile în acest sens, pe baza criteriilor prevăzute la alin. (1)  sau în cazul în care informațiile furnizate de potențialul achizitor sunt incomplete în ciuda unei solicitări efectuate în conformitate cu art. </w:t>
            </w:r>
            <w:r w:rsidR="00A6623F" w:rsidRPr="009E686F">
              <w:rPr>
                <w:rFonts w:ascii="Times New Roman" w:eastAsia="Aptos" w:hAnsi="Times New Roman" w:cs="Times New Roman"/>
                <w:i/>
                <w:iCs/>
                <w:kern w:val="2"/>
                <w:lang w:val="ro-MD"/>
              </w:rPr>
              <w:t>57</w:t>
            </w:r>
            <w:r w:rsidR="00A6623F" w:rsidRPr="009E686F">
              <w:rPr>
                <w:rFonts w:ascii="Times New Roman" w:eastAsia="Aptos" w:hAnsi="Times New Roman" w:cs="Times New Roman"/>
                <w:i/>
                <w:iCs/>
                <w:kern w:val="2"/>
                <w:vertAlign w:val="superscript"/>
                <w:lang w:val="ro-MD"/>
              </w:rPr>
              <w:t>1</w:t>
            </w:r>
            <w:r w:rsidRPr="009E686F">
              <w:rPr>
                <w:rFonts w:ascii="Times New Roman" w:hAnsi="Times New Roman" w:cs="Times New Roman"/>
                <w:bCs/>
                <w:i/>
                <w:iCs/>
              </w:rPr>
              <w:t xml:space="preserve"> alin. (10).</w:t>
            </w:r>
          </w:p>
        </w:tc>
        <w:tc>
          <w:tcPr>
            <w:tcW w:w="470" w:type="pct"/>
            <w:tcBorders>
              <w:top w:val="single" w:sz="4" w:space="0" w:color="auto"/>
              <w:left w:val="single" w:sz="4" w:space="0" w:color="auto"/>
              <w:bottom w:val="single" w:sz="4" w:space="0" w:color="auto"/>
              <w:right w:val="single" w:sz="4" w:space="0" w:color="auto"/>
            </w:tcBorders>
          </w:tcPr>
          <w:p w14:paraId="47D0321F" w14:textId="77777777" w:rsidR="00265766" w:rsidRPr="009E686F" w:rsidDel="003932E1" w:rsidRDefault="00265766" w:rsidP="00265766">
            <w:pPr>
              <w:jc w:val="both"/>
              <w:rPr>
                <w:rFonts w:ascii="Times New Roman" w:hAnsi="Times New Roman" w:cs="Times New Roman"/>
              </w:rPr>
            </w:pPr>
          </w:p>
        </w:tc>
        <w:tc>
          <w:tcPr>
            <w:tcW w:w="806" w:type="pct"/>
            <w:tcBorders>
              <w:top w:val="single" w:sz="4" w:space="0" w:color="auto"/>
              <w:left w:val="single" w:sz="4" w:space="0" w:color="auto"/>
              <w:bottom w:val="single" w:sz="4" w:space="0" w:color="auto"/>
              <w:right w:val="single" w:sz="4" w:space="0" w:color="auto"/>
            </w:tcBorders>
          </w:tcPr>
          <w:p w14:paraId="191F9BB1" w14:textId="77777777" w:rsidR="00265766" w:rsidRPr="009E686F" w:rsidRDefault="00265766" w:rsidP="00265766">
            <w:pPr>
              <w:spacing w:after="0"/>
              <w:jc w:val="both"/>
              <w:rPr>
                <w:rFonts w:ascii="Times New Roman" w:hAnsi="Times New Roman" w:cs="Times New Roman"/>
                <w:color w:val="FF0000"/>
              </w:rPr>
            </w:pPr>
          </w:p>
        </w:tc>
      </w:tr>
      <w:tr w:rsidR="00265766" w:rsidRPr="009E686F" w14:paraId="40F8663C" w14:textId="77777777" w:rsidTr="00960C23">
        <w:tc>
          <w:tcPr>
            <w:tcW w:w="1890" w:type="pct"/>
            <w:tcBorders>
              <w:top w:val="single" w:sz="4" w:space="0" w:color="auto"/>
              <w:left w:val="single" w:sz="4" w:space="0" w:color="auto"/>
              <w:bottom w:val="single" w:sz="4" w:space="0" w:color="auto"/>
              <w:right w:val="single" w:sz="4" w:space="0" w:color="auto"/>
            </w:tcBorders>
          </w:tcPr>
          <w:p w14:paraId="7C4E4C4B" w14:textId="4C83AF57" w:rsidR="00265766" w:rsidRPr="009E686F" w:rsidDel="003932E1"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 xml:space="preserve">În scopul prezentului alineat și în ceea ce privește criteriul prevăzut la alineatul (1) litera (b) de la prezentul articol, un aviz negativ emis de autoritățile responsabile cu supravegherea potențialului achizitor în conformitate cu Directiva (UE) 2015/849, primit de autoritățile competente în termen de 30 de zile lucrătoare de la cererea inițială, este luat în considerare în </w:t>
            </w:r>
            <w:r w:rsidRPr="009E686F">
              <w:rPr>
                <w:rFonts w:ascii="Times New Roman" w:hAnsi="Times New Roman" w:cs="Times New Roman"/>
                <w:lang w:val="it-CH"/>
              </w:rPr>
              <w:lastRenderedPageBreak/>
              <w:t>mod corespunzător de către autoritățile competente atunci când evaluează proiectul de achiziție și poate constitui un motiv rezonabil de opoziție.</w:t>
            </w:r>
          </w:p>
        </w:tc>
        <w:tc>
          <w:tcPr>
            <w:tcW w:w="1834" w:type="pct"/>
            <w:tcBorders>
              <w:top w:val="single" w:sz="4" w:space="0" w:color="auto"/>
              <w:left w:val="single" w:sz="4" w:space="0" w:color="auto"/>
              <w:bottom w:val="single" w:sz="4" w:space="0" w:color="auto"/>
              <w:right w:val="single" w:sz="4" w:space="0" w:color="auto"/>
            </w:tcBorders>
          </w:tcPr>
          <w:p w14:paraId="7C96DE40" w14:textId="3EDB8C8C" w:rsidR="00265766" w:rsidRPr="009E686F" w:rsidRDefault="00265766" w:rsidP="00265766">
            <w:pPr>
              <w:spacing w:after="0"/>
              <w:jc w:val="both"/>
              <w:rPr>
                <w:rFonts w:ascii="Times New Roman" w:hAnsi="Times New Roman" w:cs="Times New Roman"/>
                <w:b/>
                <w:bCs/>
                <w:i/>
                <w:iCs/>
                <w:color w:val="FF0000"/>
                <w:lang w:val="it-CH"/>
              </w:rPr>
            </w:pPr>
            <w:r w:rsidRPr="009E686F">
              <w:rPr>
                <w:rFonts w:ascii="Times New Roman" w:hAnsi="Times New Roman" w:cs="Times New Roman"/>
                <w:i/>
                <w:lang w:val="it-CH"/>
              </w:rPr>
              <w:lastRenderedPageBreak/>
              <w:t xml:space="preserve">(4) Banca Națională a Moldovei ia în considerare, la evaluarea proiectului de achiziție, în mod corespunzător un aviz negativ emis de organele cu funcții de supraveghere a potențialului achizitor în conformitate cu Legea nr. 308/2017, recepționat în termen de 30 de zile lucrătoare de </w:t>
            </w:r>
            <w:r w:rsidRPr="009E686F">
              <w:rPr>
                <w:rFonts w:ascii="Times New Roman" w:hAnsi="Times New Roman" w:cs="Times New Roman"/>
                <w:i/>
                <w:lang w:val="it-CH"/>
              </w:rPr>
              <w:lastRenderedPageBreak/>
              <w:t xml:space="preserve">la cererea inițială, în temeiul alin. </w:t>
            </w:r>
            <w:r w:rsidRPr="009E686F">
              <w:rPr>
                <w:rFonts w:ascii="Times New Roman" w:hAnsi="Times New Roman" w:cs="Times New Roman"/>
                <w:i/>
                <w:iCs/>
                <w:lang w:val="it-CH"/>
              </w:rPr>
              <w:t>(1) lit. b), acesta putând constitui un motiv rezonabil de opoziție.</w:t>
            </w:r>
            <w:r w:rsidRPr="009E686F">
              <w:rPr>
                <w:rFonts w:ascii="Times New Roman" w:hAnsi="Times New Roman" w:cs="Times New Roman"/>
                <w:b/>
                <w:bCs/>
                <w:i/>
                <w:iCs/>
                <w:color w:val="FF0000"/>
                <w:lang w:val="it-CH"/>
              </w:rPr>
              <w:t xml:space="preserve"> </w:t>
            </w:r>
          </w:p>
          <w:p w14:paraId="29366F97" w14:textId="7C38BC83" w:rsidR="00265766" w:rsidRPr="009E686F" w:rsidRDefault="00265766" w:rsidP="00265766">
            <w:pPr>
              <w:spacing w:after="0"/>
              <w:jc w:val="both"/>
              <w:rPr>
                <w:rFonts w:ascii="Times New Roman" w:hAnsi="Times New Roman" w:cs="Times New Roman"/>
                <w:bCs/>
                <w:i/>
                <w:iCs/>
                <w:lang w:val="it-CH"/>
              </w:rPr>
            </w:pPr>
          </w:p>
        </w:tc>
        <w:tc>
          <w:tcPr>
            <w:tcW w:w="470" w:type="pct"/>
            <w:tcBorders>
              <w:top w:val="single" w:sz="4" w:space="0" w:color="auto"/>
              <w:left w:val="single" w:sz="4" w:space="0" w:color="auto"/>
              <w:bottom w:val="single" w:sz="4" w:space="0" w:color="auto"/>
              <w:right w:val="single" w:sz="4" w:space="0" w:color="auto"/>
            </w:tcBorders>
          </w:tcPr>
          <w:p w14:paraId="6C05340A" w14:textId="77777777" w:rsidR="00265766" w:rsidRPr="009E686F" w:rsidRDefault="00265766" w:rsidP="00265766">
            <w:pPr>
              <w:jc w:val="both"/>
              <w:rPr>
                <w:rFonts w:ascii="Times New Roman" w:hAnsi="Times New Roman" w:cs="Times New Roman"/>
              </w:rPr>
            </w:pPr>
            <w:r w:rsidRPr="009E686F">
              <w:rPr>
                <w:rFonts w:ascii="Times New Roman" w:hAnsi="Times New Roman" w:cs="Times New Roman"/>
              </w:rPr>
              <w:lastRenderedPageBreak/>
              <w:t>Compatibil</w:t>
            </w:r>
          </w:p>
          <w:p w14:paraId="2863BCD6" w14:textId="77777777" w:rsidR="00265766" w:rsidRPr="009E686F" w:rsidDel="003932E1" w:rsidRDefault="00265766" w:rsidP="00265766">
            <w:pPr>
              <w:jc w:val="both"/>
              <w:rPr>
                <w:rFonts w:ascii="Times New Roman" w:hAnsi="Times New Roman" w:cs="Times New Roman"/>
                <w:lang w:val="it-IT"/>
              </w:rPr>
            </w:pPr>
          </w:p>
        </w:tc>
        <w:tc>
          <w:tcPr>
            <w:tcW w:w="806" w:type="pct"/>
            <w:tcBorders>
              <w:top w:val="single" w:sz="4" w:space="0" w:color="auto"/>
              <w:left w:val="single" w:sz="4" w:space="0" w:color="auto"/>
              <w:bottom w:val="single" w:sz="4" w:space="0" w:color="auto"/>
              <w:right w:val="single" w:sz="4" w:space="0" w:color="auto"/>
            </w:tcBorders>
          </w:tcPr>
          <w:p w14:paraId="15503470" w14:textId="77777777" w:rsidR="00265766" w:rsidRPr="009E686F" w:rsidRDefault="00265766" w:rsidP="00265766">
            <w:pPr>
              <w:spacing w:after="0"/>
              <w:jc w:val="both"/>
              <w:rPr>
                <w:rFonts w:ascii="Times New Roman" w:hAnsi="Times New Roman" w:cs="Times New Roman"/>
                <w:color w:val="FF0000"/>
                <w:lang w:val="it-IT"/>
              </w:rPr>
            </w:pPr>
          </w:p>
        </w:tc>
      </w:tr>
      <w:tr w:rsidR="00265766" w:rsidRPr="009E686F" w14:paraId="16D09A54" w14:textId="77777777" w:rsidTr="00960C23">
        <w:tc>
          <w:tcPr>
            <w:tcW w:w="1890" w:type="pct"/>
            <w:tcBorders>
              <w:top w:val="single" w:sz="4" w:space="0" w:color="auto"/>
              <w:left w:val="single" w:sz="4" w:space="0" w:color="auto"/>
              <w:bottom w:val="single" w:sz="4" w:space="0" w:color="auto"/>
              <w:right w:val="single" w:sz="4" w:space="0" w:color="auto"/>
            </w:tcBorders>
          </w:tcPr>
          <w:p w14:paraId="1CF715C3" w14:textId="79F98D92" w:rsidR="00265766" w:rsidRPr="009E686F" w:rsidDel="003932E1"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(4) Statele membre nu impun condiții prealabile în ceea ce privește nivelul proiectului de achiziție și nici nu permit autorității competente să examineze proiectul de achiziție din punctul de vedere al necesităților economice ale pieței.</w:t>
            </w:r>
          </w:p>
        </w:tc>
        <w:tc>
          <w:tcPr>
            <w:tcW w:w="1834" w:type="pct"/>
            <w:tcBorders>
              <w:top w:val="single" w:sz="4" w:space="0" w:color="auto"/>
              <w:left w:val="single" w:sz="4" w:space="0" w:color="auto"/>
              <w:bottom w:val="single" w:sz="4" w:space="0" w:color="auto"/>
              <w:right w:val="single" w:sz="4" w:space="0" w:color="auto"/>
            </w:tcBorders>
          </w:tcPr>
          <w:p w14:paraId="0654E8AB" w14:textId="3D64D376" w:rsidR="00265766" w:rsidRPr="009E686F" w:rsidRDefault="00265766" w:rsidP="00265766">
            <w:pPr>
              <w:spacing w:after="0"/>
              <w:jc w:val="both"/>
              <w:rPr>
                <w:rFonts w:ascii="Times New Roman" w:hAnsi="Times New Roman" w:cs="Times New Roman"/>
                <w:i/>
                <w:lang w:val="it-CH"/>
              </w:rPr>
            </w:pPr>
            <w:r w:rsidRPr="009E686F">
              <w:rPr>
                <w:rFonts w:ascii="Times New Roman" w:hAnsi="Times New Roman" w:cs="Times New Roman"/>
                <w:i/>
                <w:lang w:val="it-CH"/>
              </w:rPr>
              <w:t>(5) Banca Naţională a Moldovei nu poate impune nicio condiţie prealabilă privind nivelul proiectului de achiziție şi nici nu poate evalua achiziţia propusă din punctul de vedere al necesităţilor economice ale pieţei.</w:t>
            </w:r>
          </w:p>
        </w:tc>
        <w:tc>
          <w:tcPr>
            <w:tcW w:w="470" w:type="pct"/>
            <w:tcBorders>
              <w:top w:val="single" w:sz="4" w:space="0" w:color="auto"/>
              <w:left w:val="single" w:sz="4" w:space="0" w:color="auto"/>
              <w:bottom w:val="single" w:sz="4" w:space="0" w:color="auto"/>
              <w:right w:val="single" w:sz="4" w:space="0" w:color="auto"/>
            </w:tcBorders>
          </w:tcPr>
          <w:p w14:paraId="1EAA4E2F" w14:textId="77777777" w:rsidR="00265766" w:rsidRPr="009E686F" w:rsidRDefault="00265766" w:rsidP="00265766">
            <w:pPr>
              <w:jc w:val="both"/>
              <w:rPr>
                <w:rFonts w:ascii="Times New Roman" w:hAnsi="Times New Roman" w:cs="Times New Roman"/>
              </w:rPr>
            </w:pPr>
            <w:r w:rsidRPr="009E686F">
              <w:rPr>
                <w:rFonts w:ascii="Times New Roman" w:hAnsi="Times New Roman" w:cs="Times New Roman"/>
              </w:rPr>
              <w:t>Compatibil</w:t>
            </w:r>
          </w:p>
          <w:p w14:paraId="026EADE2" w14:textId="77777777" w:rsidR="00265766" w:rsidRPr="009E686F" w:rsidDel="003932E1" w:rsidRDefault="00265766" w:rsidP="00265766">
            <w:pPr>
              <w:jc w:val="both"/>
              <w:rPr>
                <w:rFonts w:ascii="Times New Roman" w:hAnsi="Times New Roman" w:cs="Times New Roman"/>
                <w:lang w:val="it-IT"/>
              </w:rPr>
            </w:pPr>
          </w:p>
        </w:tc>
        <w:tc>
          <w:tcPr>
            <w:tcW w:w="806" w:type="pct"/>
            <w:tcBorders>
              <w:top w:val="single" w:sz="4" w:space="0" w:color="auto"/>
              <w:left w:val="single" w:sz="4" w:space="0" w:color="auto"/>
              <w:bottom w:val="single" w:sz="4" w:space="0" w:color="auto"/>
              <w:right w:val="single" w:sz="4" w:space="0" w:color="auto"/>
            </w:tcBorders>
          </w:tcPr>
          <w:p w14:paraId="6B116EB2" w14:textId="77777777" w:rsidR="00265766" w:rsidRPr="009E686F" w:rsidRDefault="00265766" w:rsidP="00265766">
            <w:pPr>
              <w:spacing w:after="0"/>
              <w:jc w:val="both"/>
              <w:rPr>
                <w:rFonts w:ascii="Times New Roman" w:hAnsi="Times New Roman" w:cs="Times New Roman"/>
                <w:color w:val="FF0000"/>
                <w:lang w:val="it-IT"/>
              </w:rPr>
            </w:pPr>
          </w:p>
        </w:tc>
      </w:tr>
      <w:tr w:rsidR="00265766" w:rsidRPr="009E686F" w14:paraId="5022283E" w14:textId="77777777" w:rsidTr="00960C23">
        <w:tc>
          <w:tcPr>
            <w:tcW w:w="1890" w:type="pct"/>
            <w:tcBorders>
              <w:top w:val="single" w:sz="4" w:space="0" w:color="auto"/>
              <w:left w:val="single" w:sz="4" w:space="0" w:color="auto"/>
              <w:bottom w:val="single" w:sz="4" w:space="0" w:color="auto"/>
              <w:right w:val="single" w:sz="4" w:space="0" w:color="auto"/>
            </w:tcBorders>
          </w:tcPr>
          <w:p w14:paraId="4E349156" w14:textId="166A849A" w:rsidR="00265766" w:rsidRPr="009E686F" w:rsidDel="003932E1" w:rsidRDefault="00265766" w:rsidP="00265766">
            <w:pPr>
              <w:spacing w:after="0"/>
              <w:jc w:val="both"/>
              <w:rPr>
                <w:rFonts w:ascii="Times New Roman" w:hAnsi="Times New Roman" w:cs="Times New Roman"/>
                <w:lang w:val="it-IT"/>
              </w:rPr>
            </w:pPr>
            <w:r w:rsidRPr="009E686F">
              <w:rPr>
                <w:rFonts w:ascii="Times New Roman" w:hAnsi="Times New Roman" w:cs="Times New Roman"/>
                <w:lang w:val="it-CH"/>
              </w:rPr>
              <w:t xml:space="preserve">(5) Statele membre publică o listă a informațiilor necesare pentru efectuarea evaluării. Potențialul achizitor furnizează informațiile respective autorității competente în momentul notificării menționate la articolul 27a alineatul (1). </w:t>
            </w:r>
            <w:r w:rsidRPr="009E686F">
              <w:rPr>
                <w:rFonts w:ascii="Times New Roman" w:hAnsi="Times New Roman" w:cs="Times New Roman"/>
                <w:lang w:val="it-IT"/>
              </w:rPr>
              <w:t>Informațiile solicitate sunt proporționale și adecvate naturii proiectului de achiziție. Statele membre nu solicită informații care nu prezintă relevanță pentru evaluarea prudențială în temeiul prezentului articol.</w:t>
            </w:r>
          </w:p>
        </w:tc>
        <w:tc>
          <w:tcPr>
            <w:tcW w:w="1834" w:type="pct"/>
            <w:tcBorders>
              <w:top w:val="single" w:sz="4" w:space="0" w:color="auto"/>
              <w:left w:val="single" w:sz="4" w:space="0" w:color="auto"/>
              <w:bottom w:val="single" w:sz="4" w:space="0" w:color="auto"/>
              <w:right w:val="single" w:sz="4" w:space="0" w:color="auto"/>
            </w:tcBorders>
          </w:tcPr>
          <w:p w14:paraId="2B7131CD" w14:textId="07ABB74C" w:rsidR="00265766" w:rsidRPr="009E686F" w:rsidRDefault="00265766" w:rsidP="00265766">
            <w:pPr>
              <w:spacing w:after="0"/>
              <w:jc w:val="both"/>
              <w:rPr>
                <w:rFonts w:ascii="Times New Roman" w:hAnsi="Times New Roman" w:cs="Times New Roman"/>
                <w:bCs/>
                <w:i/>
                <w:iCs/>
                <w:lang w:val="it-IT"/>
              </w:rPr>
            </w:pPr>
            <w:r w:rsidRPr="009E686F">
              <w:rPr>
                <w:rFonts w:ascii="Times New Roman" w:hAnsi="Times New Roman" w:cs="Times New Roman"/>
                <w:bCs/>
                <w:i/>
                <w:iCs/>
                <w:lang w:val="it-IT"/>
              </w:rPr>
              <w:t xml:space="preserve">(6) Banca Națională a Moldovei stabilește în actele sale normative o listă a informațiilorși documentelor necesare pentru efectuarea evaluării care sunt furnizate de către potențialul achizitor în conformitate cu art. </w:t>
            </w:r>
            <w:r w:rsidR="00A6623F" w:rsidRPr="009E686F">
              <w:rPr>
                <w:rFonts w:ascii="Times New Roman" w:eastAsia="Aptos" w:hAnsi="Times New Roman" w:cs="Times New Roman"/>
                <w:i/>
                <w:iCs/>
                <w:kern w:val="2"/>
                <w:lang w:val="ro-MD"/>
              </w:rPr>
              <w:t>57</w:t>
            </w:r>
            <w:r w:rsidR="00A6623F" w:rsidRPr="009E686F">
              <w:rPr>
                <w:rFonts w:ascii="Times New Roman" w:eastAsia="Aptos" w:hAnsi="Times New Roman" w:cs="Times New Roman"/>
                <w:i/>
                <w:iCs/>
                <w:kern w:val="2"/>
                <w:vertAlign w:val="superscript"/>
                <w:lang w:val="ro-MD"/>
              </w:rPr>
              <w:t>1</w:t>
            </w:r>
            <w:r w:rsidRPr="009E686F">
              <w:rPr>
                <w:rFonts w:ascii="Times New Roman" w:hAnsi="Times New Roman" w:cs="Times New Roman"/>
                <w:bCs/>
                <w:i/>
                <w:iCs/>
                <w:lang w:val="it-IT"/>
              </w:rPr>
              <w:t>. Informațiile respective trebuie să fie proporționale și adecvate naturii proiectului de achiziție și să prezinte relevanță pentru evaluarea prudențială realizată în temeiul prezentului articol.</w:t>
            </w:r>
          </w:p>
        </w:tc>
        <w:tc>
          <w:tcPr>
            <w:tcW w:w="470" w:type="pct"/>
            <w:tcBorders>
              <w:top w:val="single" w:sz="4" w:space="0" w:color="auto"/>
              <w:left w:val="single" w:sz="4" w:space="0" w:color="auto"/>
              <w:bottom w:val="single" w:sz="4" w:space="0" w:color="auto"/>
              <w:right w:val="single" w:sz="4" w:space="0" w:color="auto"/>
            </w:tcBorders>
          </w:tcPr>
          <w:p w14:paraId="06861FF1" w14:textId="77777777" w:rsidR="00265766" w:rsidRPr="009E686F" w:rsidRDefault="00265766" w:rsidP="00265766">
            <w:pPr>
              <w:jc w:val="both"/>
              <w:rPr>
                <w:rFonts w:ascii="Times New Roman" w:hAnsi="Times New Roman" w:cs="Times New Roman"/>
              </w:rPr>
            </w:pPr>
            <w:r w:rsidRPr="009E686F">
              <w:rPr>
                <w:rFonts w:ascii="Times New Roman" w:hAnsi="Times New Roman" w:cs="Times New Roman"/>
              </w:rPr>
              <w:t>Compatibil</w:t>
            </w:r>
          </w:p>
          <w:p w14:paraId="30905606" w14:textId="77777777" w:rsidR="00265766" w:rsidRPr="009E686F" w:rsidDel="003932E1" w:rsidRDefault="00265766" w:rsidP="00265766">
            <w:pPr>
              <w:jc w:val="both"/>
              <w:rPr>
                <w:rFonts w:ascii="Times New Roman" w:hAnsi="Times New Roman" w:cs="Times New Roman"/>
                <w:lang w:val="it-IT"/>
              </w:rPr>
            </w:pPr>
          </w:p>
        </w:tc>
        <w:tc>
          <w:tcPr>
            <w:tcW w:w="806" w:type="pct"/>
            <w:tcBorders>
              <w:top w:val="single" w:sz="4" w:space="0" w:color="auto"/>
              <w:left w:val="single" w:sz="4" w:space="0" w:color="auto"/>
              <w:bottom w:val="single" w:sz="4" w:space="0" w:color="auto"/>
              <w:right w:val="single" w:sz="4" w:space="0" w:color="auto"/>
            </w:tcBorders>
          </w:tcPr>
          <w:p w14:paraId="2C40E1C6" w14:textId="77777777" w:rsidR="00265766" w:rsidRPr="009E686F" w:rsidRDefault="00265766" w:rsidP="00265766">
            <w:pPr>
              <w:spacing w:after="0"/>
              <w:jc w:val="both"/>
              <w:rPr>
                <w:rFonts w:ascii="Times New Roman" w:hAnsi="Times New Roman" w:cs="Times New Roman"/>
                <w:color w:val="FF0000"/>
                <w:lang w:val="it-IT"/>
              </w:rPr>
            </w:pPr>
          </w:p>
        </w:tc>
      </w:tr>
      <w:tr w:rsidR="00265766" w:rsidRPr="009E686F" w14:paraId="46CC87AD" w14:textId="77777777" w:rsidTr="00960C23">
        <w:tc>
          <w:tcPr>
            <w:tcW w:w="1890" w:type="pct"/>
            <w:tcBorders>
              <w:top w:val="single" w:sz="4" w:space="0" w:color="auto"/>
              <w:left w:val="single" w:sz="4" w:space="0" w:color="auto"/>
              <w:bottom w:val="single" w:sz="4" w:space="0" w:color="auto"/>
              <w:right w:val="single" w:sz="4" w:space="0" w:color="auto"/>
            </w:tcBorders>
          </w:tcPr>
          <w:p w14:paraId="28527CBC" w14:textId="025DC85D" w:rsidR="00265766" w:rsidRPr="009E686F" w:rsidDel="003932E1" w:rsidRDefault="00265766" w:rsidP="00265766">
            <w:pPr>
              <w:spacing w:after="0"/>
              <w:jc w:val="both"/>
              <w:rPr>
                <w:rFonts w:ascii="Times New Roman" w:hAnsi="Times New Roman" w:cs="Times New Roman"/>
              </w:rPr>
            </w:pPr>
            <w:r w:rsidRPr="009E686F">
              <w:rPr>
                <w:rFonts w:ascii="Times New Roman" w:hAnsi="Times New Roman" w:cs="Times New Roman"/>
              </w:rPr>
              <w:t>(6) Fără a aduce atingere articolului 27a alineatele (5)-(11), în cazul în care primește notificări în legătură cu două sau mai multe proiecte de achiziție de dețineri semnificative în aceeași entitate, autoritatea competentă tratează potențialii achizitori în mod nediscriminatoriu.</w:t>
            </w:r>
          </w:p>
        </w:tc>
        <w:tc>
          <w:tcPr>
            <w:tcW w:w="1834" w:type="pct"/>
            <w:tcBorders>
              <w:top w:val="single" w:sz="4" w:space="0" w:color="auto"/>
              <w:left w:val="single" w:sz="4" w:space="0" w:color="auto"/>
              <w:bottom w:val="single" w:sz="4" w:space="0" w:color="auto"/>
              <w:right w:val="single" w:sz="4" w:space="0" w:color="auto"/>
            </w:tcBorders>
          </w:tcPr>
          <w:p w14:paraId="2101A7D7" w14:textId="59D7D6CB" w:rsidR="00265766" w:rsidRPr="009E686F" w:rsidRDefault="00265766" w:rsidP="00265766">
            <w:pPr>
              <w:spacing w:after="0"/>
              <w:jc w:val="both"/>
              <w:rPr>
                <w:rFonts w:ascii="Times New Roman" w:hAnsi="Times New Roman" w:cs="Times New Roman"/>
                <w:bCs/>
                <w:i/>
                <w:iCs/>
              </w:rPr>
            </w:pPr>
            <w:r w:rsidRPr="009E686F">
              <w:rPr>
                <w:rFonts w:ascii="Times New Roman" w:hAnsi="Times New Roman" w:cs="Times New Roman"/>
                <w:bCs/>
                <w:i/>
                <w:iCs/>
              </w:rPr>
              <w:t xml:space="preserve">(7) Fără a aduce atingere prevederilor art. </w:t>
            </w:r>
            <w:r w:rsidR="00A6623F" w:rsidRPr="009E686F">
              <w:rPr>
                <w:rFonts w:ascii="Times New Roman" w:eastAsia="Aptos" w:hAnsi="Times New Roman" w:cs="Times New Roman"/>
                <w:i/>
                <w:iCs/>
                <w:kern w:val="2"/>
                <w:lang w:val="ro-MD"/>
              </w:rPr>
              <w:t>57</w:t>
            </w:r>
            <w:r w:rsidR="00A6623F" w:rsidRPr="009E686F">
              <w:rPr>
                <w:rFonts w:ascii="Times New Roman" w:eastAsia="Aptos" w:hAnsi="Times New Roman" w:cs="Times New Roman"/>
                <w:i/>
                <w:iCs/>
                <w:kern w:val="2"/>
                <w:vertAlign w:val="superscript"/>
                <w:lang w:val="ro-MD"/>
              </w:rPr>
              <w:t xml:space="preserve">1 </w:t>
            </w:r>
            <w:r w:rsidRPr="009E686F">
              <w:rPr>
                <w:rFonts w:ascii="Times New Roman" w:hAnsi="Times New Roman" w:cs="Times New Roman"/>
                <w:bCs/>
                <w:i/>
                <w:iCs/>
              </w:rPr>
              <w:t xml:space="preserve">alin. (6)-(12), în cazul în care primește notificări în legătură cu două sau mai multe proiecte de achiziție </w:t>
            </w:r>
            <w:r w:rsidR="00102649" w:rsidRPr="009E686F">
              <w:rPr>
                <w:rFonts w:ascii="Times New Roman" w:hAnsi="Times New Roman" w:cs="Times New Roman"/>
                <w:bCs/>
                <w:i/>
                <w:iCs/>
              </w:rPr>
              <w:t xml:space="preserve">a </w:t>
            </w:r>
            <w:r w:rsidRPr="009E686F">
              <w:rPr>
                <w:rFonts w:ascii="Times New Roman" w:hAnsi="Times New Roman" w:cs="Times New Roman"/>
                <w:bCs/>
                <w:i/>
                <w:iCs/>
              </w:rPr>
              <w:t>dețineri</w:t>
            </w:r>
            <w:r w:rsidR="00102649" w:rsidRPr="009E686F">
              <w:rPr>
                <w:rFonts w:ascii="Times New Roman" w:hAnsi="Times New Roman" w:cs="Times New Roman"/>
                <w:bCs/>
                <w:i/>
                <w:iCs/>
              </w:rPr>
              <w:t>lor</w:t>
            </w:r>
            <w:r w:rsidRPr="009E686F">
              <w:rPr>
                <w:rFonts w:ascii="Times New Roman" w:hAnsi="Times New Roman" w:cs="Times New Roman"/>
                <w:bCs/>
                <w:i/>
                <w:iCs/>
              </w:rPr>
              <w:t xml:space="preserve"> semnificative în aceeași entitate, Banca Națională a Moldovei asigură tratament nediscriminatoriu tuturor potențialilor achizitori.</w:t>
            </w:r>
          </w:p>
        </w:tc>
        <w:tc>
          <w:tcPr>
            <w:tcW w:w="470" w:type="pct"/>
            <w:tcBorders>
              <w:top w:val="single" w:sz="4" w:space="0" w:color="auto"/>
              <w:left w:val="single" w:sz="4" w:space="0" w:color="auto"/>
              <w:bottom w:val="single" w:sz="4" w:space="0" w:color="auto"/>
              <w:right w:val="single" w:sz="4" w:space="0" w:color="auto"/>
            </w:tcBorders>
          </w:tcPr>
          <w:p w14:paraId="6E8708B7" w14:textId="77777777" w:rsidR="00265766" w:rsidRPr="009E686F" w:rsidRDefault="00265766" w:rsidP="00265766">
            <w:pPr>
              <w:jc w:val="both"/>
              <w:rPr>
                <w:rFonts w:ascii="Times New Roman" w:hAnsi="Times New Roman" w:cs="Times New Roman"/>
              </w:rPr>
            </w:pPr>
            <w:r w:rsidRPr="009E686F">
              <w:rPr>
                <w:rFonts w:ascii="Times New Roman" w:hAnsi="Times New Roman" w:cs="Times New Roman"/>
              </w:rPr>
              <w:t>Compatibil</w:t>
            </w:r>
          </w:p>
          <w:p w14:paraId="57909CE0" w14:textId="77777777" w:rsidR="00265766" w:rsidRPr="009E686F" w:rsidDel="003932E1" w:rsidRDefault="00265766" w:rsidP="00265766">
            <w:pPr>
              <w:jc w:val="both"/>
              <w:rPr>
                <w:rFonts w:ascii="Times New Roman" w:hAnsi="Times New Roman" w:cs="Times New Roman"/>
                <w:lang w:val="it-IT"/>
              </w:rPr>
            </w:pPr>
          </w:p>
        </w:tc>
        <w:tc>
          <w:tcPr>
            <w:tcW w:w="806" w:type="pct"/>
            <w:tcBorders>
              <w:top w:val="single" w:sz="4" w:space="0" w:color="auto"/>
              <w:left w:val="single" w:sz="4" w:space="0" w:color="auto"/>
              <w:bottom w:val="single" w:sz="4" w:space="0" w:color="auto"/>
              <w:right w:val="single" w:sz="4" w:space="0" w:color="auto"/>
            </w:tcBorders>
          </w:tcPr>
          <w:p w14:paraId="61DF18F0" w14:textId="77777777" w:rsidR="00265766" w:rsidRPr="009E686F" w:rsidRDefault="00265766" w:rsidP="00265766">
            <w:pPr>
              <w:spacing w:after="0"/>
              <w:jc w:val="both"/>
              <w:rPr>
                <w:rFonts w:ascii="Times New Roman" w:hAnsi="Times New Roman" w:cs="Times New Roman"/>
                <w:color w:val="FF0000"/>
                <w:lang w:val="it-IT"/>
              </w:rPr>
            </w:pPr>
          </w:p>
        </w:tc>
      </w:tr>
      <w:tr w:rsidR="00265766" w:rsidRPr="009E686F" w14:paraId="29EADEFB" w14:textId="77777777" w:rsidTr="00960C23">
        <w:tc>
          <w:tcPr>
            <w:tcW w:w="1890" w:type="pct"/>
            <w:tcBorders>
              <w:top w:val="single" w:sz="4" w:space="0" w:color="auto"/>
              <w:left w:val="single" w:sz="4" w:space="0" w:color="auto"/>
              <w:bottom w:val="single" w:sz="4" w:space="0" w:color="auto"/>
              <w:right w:val="single" w:sz="4" w:space="0" w:color="auto"/>
            </w:tcBorders>
          </w:tcPr>
          <w:p w14:paraId="72454847" w14:textId="77777777" w:rsidR="00265766" w:rsidRPr="009E686F" w:rsidDel="003932E1" w:rsidRDefault="00265766" w:rsidP="00265766">
            <w:pPr>
              <w:spacing w:after="0"/>
              <w:jc w:val="both"/>
              <w:rPr>
                <w:rFonts w:ascii="Times New Roman" w:hAnsi="Times New Roman" w:cs="Times New Roman"/>
                <w:lang w:val="pt-BR"/>
              </w:rPr>
            </w:pPr>
            <w:r w:rsidRPr="009E686F">
              <w:rPr>
                <w:rFonts w:ascii="Times New Roman" w:hAnsi="Times New Roman" w:cs="Times New Roman"/>
                <w:lang w:val="pt-BR"/>
              </w:rPr>
              <w:t>(7) ABE elaborează proiecte de standarde tehnice de reglementare pentru a preciza:</w:t>
            </w:r>
          </w:p>
          <w:p w14:paraId="66F2BD4F" w14:textId="77777777" w:rsidR="00265766" w:rsidRPr="009E686F" w:rsidDel="003932E1" w:rsidRDefault="00265766" w:rsidP="00265766">
            <w:pPr>
              <w:spacing w:after="0"/>
              <w:jc w:val="both"/>
              <w:rPr>
                <w:rFonts w:ascii="Times New Roman" w:hAnsi="Times New Roman" w:cs="Times New Roman"/>
                <w:lang w:val="pt-BR"/>
              </w:rPr>
            </w:pPr>
            <w:r w:rsidRPr="009E686F">
              <w:rPr>
                <w:rFonts w:ascii="Times New Roman" w:hAnsi="Times New Roman" w:cs="Times New Roman"/>
                <w:lang w:val="pt-BR"/>
              </w:rPr>
              <w:t>(a) lista informațiilor minime care trebuie furnizate de potențialul achizitor autorității competente în momentul notificării menționate la articolul 27a alineatul (1), articolul 27f alineatul (1) și articolul 27i alineatul (1);</w:t>
            </w:r>
          </w:p>
          <w:p w14:paraId="095560BC" w14:textId="77777777" w:rsidR="00265766" w:rsidRPr="009E686F" w:rsidDel="003932E1" w:rsidRDefault="00265766" w:rsidP="00265766">
            <w:pPr>
              <w:spacing w:after="0"/>
              <w:jc w:val="both"/>
              <w:rPr>
                <w:rFonts w:ascii="Times New Roman" w:hAnsi="Times New Roman" w:cs="Times New Roman"/>
                <w:lang w:val="it-IT"/>
              </w:rPr>
            </w:pPr>
            <w:r w:rsidRPr="009E686F">
              <w:rPr>
                <w:rFonts w:ascii="Times New Roman" w:hAnsi="Times New Roman" w:cs="Times New Roman"/>
                <w:lang w:val="it-IT"/>
              </w:rPr>
              <w:t>(b) o metodologie comună de evaluare a criteriilor prevăzute la prezentul articol și la articolul 27j;</w:t>
            </w:r>
          </w:p>
          <w:p w14:paraId="2B6CC864" w14:textId="77777777" w:rsidR="00265766" w:rsidRPr="009E686F" w:rsidDel="003932E1" w:rsidRDefault="00265766" w:rsidP="00265766">
            <w:pPr>
              <w:spacing w:after="0"/>
              <w:jc w:val="both"/>
              <w:rPr>
                <w:rFonts w:ascii="Times New Roman" w:hAnsi="Times New Roman" w:cs="Times New Roman"/>
                <w:lang w:val="it-IT"/>
              </w:rPr>
            </w:pPr>
            <w:r w:rsidRPr="009E686F">
              <w:rPr>
                <w:rFonts w:ascii="Times New Roman" w:hAnsi="Times New Roman" w:cs="Times New Roman"/>
                <w:lang w:val="it-IT"/>
              </w:rPr>
              <w:t>(c) procesul aplicabil notificării și evaluării prudențiale impuse în temeiul articolelor 27a și 27i.</w:t>
            </w:r>
          </w:p>
          <w:p w14:paraId="075071BC" w14:textId="77777777" w:rsidR="00265766" w:rsidRPr="009E686F" w:rsidDel="003932E1" w:rsidRDefault="00265766" w:rsidP="00265766">
            <w:pPr>
              <w:spacing w:after="0"/>
              <w:jc w:val="both"/>
              <w:rPr>
                <w:rFonts w:ascii="Times New Roman" w:hAnsi="Times New Roman" w:cs="Times New Roman"/>
                <w:lang w:val="it-IT"/>
              </w:rPr>
            </w:pPr>
            <w:r w:rsidRPr="009E686F">
              <w:rPr>
                <w:rFonts w:ascii="Times New Roman" w:hAnsi="Times New Roman" w:cs="Times New Roman"/>
                <w:lang w:val="it-IT"/>
              </w:rPr>
              <w:t>În scopul primului paragraf, ABE ia în considerare titlul II din Directiva (UE) 2017/1132.</w:t>
            </w:r>
          </w:p>
          <w:p w14:paraId="3427DEC3" w14:textId="77777777" w:rsidR="00265766" w:rsidRPr="009E686F" w:rsidDel="003932E1" w:rsidRDefault="00265766" w:rsidP="00265766">
            <w:pPr>
              <w:spacing w:after="0"/>
              <w:jc w:val="both"/>
              <w:rPr>
                <w:rFonts w:ascii="Times New Roman" w:hAnsi="Times New Roman" w:cs="Times New Roman"/>
                <w:lang w:val="it-IT"/>
              </w:rPr>
            </w:pPr>
            <w:r w:rsidRPr="009E686F">
              <w:rPr>
                <w:rFonts w:ascii="Times New Roman" w:hAnsi="Times New Roman" w:cs="Times New Roman"/>
                <w:lang w:val="it-IT"/>
              </w:rPr>
              <w:lastRenderedPageBreak/>
              <w:t>ABE înaintează Comisiei aceste proiecte de standarde tehnice de reglementare până la 10 iulie 2026.</w:t>
            </w:r>
          </w:p>
          <w:p w14:paraId="348BBD7E" w14:textId="7899B1C8"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IT"/>
              </w:rPr>
              <w:t>Comisiei îi este delegată competența de a completa prezenta directivă prin adoptarea standardelor tehnice de reglementare menționate la primul paragraf de la prezentul alineat în conformitate cu articolele 10-14 din Regulamentul (UE) nr. 1093/2010.</w:t>
            </w:r>
          </w:p>
        </w:tc>
        <w:tc>
          <w:tcPr>
            <w:tcW w:w="1834" w:type="pct"/>
            <w:tcBorders>
              <w:top w:val="single" w:sz="4" w:space="0" w:color="auto"/>
              <w:left w:val="single" w:sz="4" w:space="0" w:color="auto"/>
              <w:bottom w:val="single" w:sz="4" w:space="0" w:color="auto"/>
              <w:right w:val="single" w:sz="4" w:space="0" w:color="auto"/>
            </w:tcBorders>
          </w:tcPr>
          <w:p w14:paraId="6FF16057" w14:textId="77777777" w:rsidR="00265766" w:rsidRPr="009E686F" w:rsidRDefault="00265766" w:rsidP="00265766">
            <w:pPr>
              <w:spacing w:after="0"/>
              <w:jc w:val="both"/>
              <w:rPr>
                <w:rFonts w:ascii="Times New Roman" w:hAnsi="Times New Roman" w:cs="Times New Roman"/>
                <w:bCs/>
                <w:i/>
                <w:iCs/>
                <w:lang w:val="it-CH"/>
              </w:rPr>
            </w:pPr>
          </w:p>
        </w:tc>
        <w:tc>
          <w:tcPr>
            <w:tcW w:w="470" w:type="pct"/>
            <w:tcBorders>
              <w:top w:val="single" w:sz="4" w:space="0" w:color="auto"/>
              <w:left w:val="single" w:sz="4" w:space="0" w:color="auto"/>
              <w:bottom w:val="single" w:sz="4" w:space="0" w:color="auto"/>
              <w:right w:val="single" w:sz="4" w:space="0" w:color="auto"/>
            </w:tcBorders>
          </w:tcPr>
          <w:p w14:paraId="1A09D415" w14:textId="7978B415" w:rsidR="00265766" w:rsidRPr="009E686F" w:rsidRDefault="00265766" w:rsidP="00265766">
            <w:pPr>
              <w:jc w:val="both"/>
              <w:rPr>
                <w:rFonts w:ascii="Times New Roman" w:hAnsi="Times New Roman" w:cs="Times New Roman"/>
                <w:lang w:val="it-CH"/>
              </w:rPr>
            </w:pPr>
            <w:r w:rsidRPr="009E686F">
              <w:rPr>
                <w:rFonts w:ascii="Times New Roman" w:hAnsi="Times New Roman" w:cs="Times New Roman"/>
                <w:lang w:val="pt-BR"/>
              </w:rPr>
              <w:t>Norme UE neaplicabile</w:t>
            </w:r>
          </w:p>
        </w:tc>
        <w:tc>
          <w:tcPr>
            <w:tcW w:w="806" w:type="pct"/>
            <w:tcBorders>
              <w:top w:val="single" w:sz="4" w:space="0" w:color="auto"/>
              <w:left w:val="single" w:sz="4" w:space="0" w:color="auto"/>
              <w:bottom w:val="single" w:sz="4" w:space="0" w:color="auto"/>
              <w:right w:val="single" w:sz="4" w:space="0" w:color="auto"/>
            </w:tcBorders>
          </w:tcPr>
          <w:p w14:paraId="19DCE91B" w14:textId="77777777" w:rsidR="00265766" w:rsidRPr="009E686F" w:rsidRDefault="00265766" w:rsidP="00265766">
            <w:pPr>
              <w:spacing w:after="0"/>
              <w:jc w:val="both"/>
              <w:rPr>
                <w:rFonts w:ascii="Times New Roman" w:hAnsi="Times New Roman" w:cs="Times New Roman"/>
                <w:lang w:val="it-IT"/>
              </w:rPr>
            </w:pPr>
            <w:r w:rsidRPr="009E686F">
              <w:rPr>
                <w:rFonts w:ascii="Times New Roman" w:hAnsi="Times New Roman" w:cs="Times New Roman"/>
                <w:lang w:val="it-IT"/>
              </w:rPr>
              <w:t>Se referă la competențele ABE.</w:t>
            </w:r>
          </w:p>
          <w:p w14:paraId="0F591B6C" w14:textId="77777777" w:rsidR="00265766" w:rsidRPr="009E686F" w:rsidRDefault="00265766" w:rsidP="00265766">
            <w:pPr>
              <w:spacing w:after="0"/>
              <w:jc w:val="both"/>
              <w:rPr>
                <w:rFonts w:ascii="Times New Roman" w:hAnsi="Times New Roman" w:cs="Times New Roman"/>
                <w:lang w:val="it-IT"/>
              </w:rPr>
            </w:pPr>
          </w:p>
          <w:p w14:paraId="3B8728BA" w14:textId="77777777" w:rsidR="00265766" w:rsidRPr="009E686F" w:rsidRDefault="00265766" w:rsidP="00265766">
            <w:pPr>
              <w:spacing w:after="0"/>
              <w:jc w:val="both"/>
              <w:rPr>
                <w:rFonts w:ascii="Times New Roman" w:hAnsi="Times New Roman" w:cs="Times New Roman"/>
                <w:lang w:val="it-IT"/>
              </w:rPr>
            </w:pPr>
          </w:p>
          <w:p w14:paraId="53754EC1" w14:textId="77777777" w:rsidR="00265766" w:rsidRPr="009E686F" w:rsidRDefault="00265766" w:rsidP="00265766">
            <w:pPr>
              <w:spacing w:after="0"/>
              <w:jc w:val="both"/>
              <w:rPr>
                <w:rFonts w:ascii="Times New Roman" w:hAnsi="Times New Roman" w:cs="Times New Roman"/>
                <w:lang w:val="it-IT"/>
              </w:rPr>
            </w:pPr>
          </w:p>
          <w:p w14:paraId="033D4F6F" w14:textId="77777777" w:rsidR="00265766" w:rsidRPr="009E686F" w:rsidRDefault="00265766" w:rsidP="00265766">
            <w:pPr>
              <w:spacing w:after="0"/>
              <w:jc w:val="both"/>
              <w:rPr>
                <w:rFonts w:ascii="Times New Roman" w:hAnsi="Times New Roman" w:cs="Times New Roman"/>
                <w:lang w:val="it-IT"/>
              </w:rPr>
            </w:pPr>
          </w:p>
          <w:p w14:paraId="0E017C7F" w14:textId="77777777" w:rsidR="00265766" w:rsidRPr="009E686F" w:rsidRDefault="00265766" w:rsidP="00265766">
            <w:pPr>
              <w:spacing w:after="0"/>
              <w:jc w:val="both"/>
              <w:rPr>
                <w:rFonts w:ascii="Times New Roman" w:hAnsi="Times New Roman" w:cs="Times New Roman"/>
                <w:lang w:val="it-IT"/>
              </w:rPr>
            </w:pPr>
          </w:p>
          <w:p w14:paraId="482EF7AE" w14:textId="77777777" w:rsidR="00265766" w:rsidRPr="009E686F" w:rsidRDefault="00265766" w:rsidP="00265766">
            <w:pPr>
              <w:spacing w:after="0"/>
              <w:jc w:val="both"/>
              <w:rPr>
                <w:rFonts w:ascii="Times New Roman" w:hAnsi="Times New Roman" w:cs="Times New Roman"/>
                <w:lang w:val="it-IT"/>
              </w:rPr>
            </w:pPr>
          </w:p>
          <w:p w14:paraId="6198EC86" w14:textId="77777777" w:rsidR="00265766" w:rsidRPr="009E686F" w:rsidRDefault="00265766" w:rsidP="00265766">
            <w:pPr>
              <w:spacing w:after="0"/>
              <w:jc w:val="both"/>
              <w:rPr>
                <w:rFonts w:ascii="Times New Roman" w:hAnsi="Times New Roman" w:cs="Times New Roman"/>
                <w:lang w:val="it-IT"/>
              </w:rPr>
            </w:pPr>
          </w:p>
          <w:p w14:paraId="75455BA6" w14:textId="77777777" w:rsidR="00265766" w:rsidRPr="009E686F" w:rsidRDefault="00265766" w:rsidP="00265766">
            <w:pPr>
              <w:spacing w:after="0"/>
              <w:jc w:val="both"/>
              <w:rPr>
                <w:rFonts w:ascii="Times New Roman" w:hAnsi="Times New Roman" w:cs="Times New Roman"/>
                <w:lang w:val="it-IT"/>
              </w:rPr>
            </w:pPr>
          </w:p>
          <w:p w14:paraId="4230D249" w14:textId="77777777" w:rsidR="00265766" w:rsidRPr="009E686F" w:rsidRDefault="00265766" w:rsidP="00265766">
            <w:pPr>
              <w:spacing w:after="0"/>
              <w:jc w:val="both"/>
              <w:rPr>
                <w:rFonts w:ascii="Times New Roman" w:hAnsi="Times New Roman" w:cs="Times New Roman"/>
                <w:lang w:val="it-IT"/>
              </w:rPr>
            </w:pPr>
          </w:p>
          <w:p w14:paraId="29372BCC" w14:textId="77777777" w:rsidR="00265766" w:rsidRPr="009E686F" w:rsidRDefault="00265766" w:rsidP="00265766">
            <w:pPr>
              <w:spacing w:after="0"/>
              <w:jc w:val="both"/>
              <w:rPr>
                <w:rFonts w:ascii="Times New Roman" w:hAnsi="Times New Roman" w:cs="Times New Roman"/>
                <w:lang w:val="it-IT"/>
              </w:rPr>
            </w:pPr>
          </w:p>
          <w:p w14:paraId="1462468F" w14:textId="77777777" w:rsidR="00265766" w:rsidRPr="009E686F" w:rsidRDefault="00265766" w:rsidP="00265766">
            <w:pPr>
              <w:spacing w:after="0"/>
              <w:jc w:val="both"/>
              <w:rPr>
                <w:rFonts w:ascii="Times New Roman" w:hAnsi="Times New Roman" w:cs="Times New Roman"/>
                <w:lang w:val="it-IT"/>
              </w:rPr>
            </w:pPr>
          </w:p>
          <w:p w14:paraId="5461EAAD" w14:textId="77777777" w:rsidR="00265766" w:rsidRPr="009E686F" w:rsidRDefault="00265766" w:rsidP="00265766">
            <w:pPr>
              <w:spacing w:after="0"/>
              <w:jc w:val="both"/>
              <w:rPr>
                <w:rFonts w:ascii="Times New Roman" w:hAnsi="Times New Roman" w:cs="Times New Roman"/>
                <w:lang w:val="it-IT"/>
              </w:rPr>
            </w:pPr>
          </w:p>
          <w:p w14:paraId="5CE47B58" w14:textId="77777777" w:rsidR="00265766" w:rsidRPr="009E686F" w:rsidRDefault="00265766" w:rsidP="00265766">
            <w:pPr>
              <w:spacing w:after="0"/>
              <w:jc w:val="both"/>
              <w:rPr>
                <w:rFonts w:ascii="Times New Roman" w:hAnsi="Times New Roman" w:cs="Times New Roman"/>
                <w:lang w:val="it-IT"/>
              </w:rPr>
            </w:pPr>
          </w:p>
          <w:p w14:paraId="390FF67C" w14:textId="77777777" w:rsidR="00265766" w:rsidRPr="009E686F" w:rsidRDefault="00265766" w:rsidP="00265766">
            <w:pPr>
              <w:spacing w:after="0"/>
              <w:jc w:val="both"/>
              <w:rPr>
                <w:rFonts w:ascii="Times New Roman" w:hAnsi="Times New Roman" w:cs="Times New Roman"/>
                <w:lang w:val="it-IT"/>
              </w:rPr>
            </w:pPr>
          </w:p>
          <w:p w14:paraId="0619E174" w14:textId="445CD97A" w:rsidR="00265766" w:rsidRPr="009E686F" w:rsidRDefault="00265766" w:rsidP="00265766">
            <w:pPr>
              <w:spacing w:after="0"/>
              <w:jc w:val="both"/>
              <w:rPr>
                <w:rFonts w:ascii="Times New Roman" w:hAnsi="Times New Roman" w:cs="Times New Roman"/>
                <w:color w:val="FF0000"/>
                <w:lang w:val="it-IT"/>
              </w:rPr>
            </w:pPr>
            <w:r w:rsidRPr="009E686F">
              <w:rPr>
                <w:rFonts w:ascii="Times New Roman" w:hAnsi="Times New Roman" w:cs="Times New Roman"/>
                <w:lang w:val="it-IT"/>
              </w:rPr>
              <w:t>Se referă la competențele Comsiei Europene.</w:t>
            </w:r>
          </w:p>
        </w:tc>
      </w:tr>
      <w:tr w:rsidR="00265766" w:rsidRPr="009E686F" w14:paraId="21D49A30" w14:textId="77777777" w:rsidTr="00960C23">
        <w:tc>
          <w:tcPr>
            <w:tcW w:w="1890" w:type="pct"/>
            <w:tcBorders>
              <w:top w:val="single" w:sz="4" w:space="0" w:color="auto"/>
              <w:left w:val="single" w:sz="4" w:space="0" w:color="auto"/>
              <w:bottom w:val="single" w:sz="4" w:space="0" w:color="auto"/>
              <w:right w:val="single" w:sz="4" w:space="0" w:color="auto"/>
            </w:tcBorders>
          </w:tcPr>
          <w:p w14:paraId="28DA2D80" w14:textId="77777777" w:rsidR="00265766" w:rsidRPr="009E686F" w:rsidRDefault="00265766" w:rsidP="00265766">
            <w:pPr>
              <w:spacing w:after="0"/>
              <w:jc w:val="both"/>
              <w:rPr>
                <w:rFonts w:ascii="Times New Roman" w:hAnsi="Times New Roman" w:cs="Times New Roman"/>
                <w:i/>
                <w:iCs/>
                <w:lang w:val="it-IT"/>
              </w:rPr>
            </w:pPr>
            <w:r w:rsidRPr="009E686F">
              <w:rPr>
                <w:rFonts w:ascii="Times New Roman" w:hAnsi="Times New Roman" w:cs="Times New Roman"/>
                <w:i/>
                <w:iCs/>
                <w:lang w:val="it-IT"/>
              </w:rPr>
              <w:lastRenderedPageBreak/>
              <w:t>Articolul 27c</w:t>
            </w:r>
          </w:p>
          <w:p w14:paraId="12F44D88" w14:textId="5B8E61C2" w:rsidR="00265766" w:rsidRPr="009E686F" w:rsidDel="003932E1" w:rsidRDefault="00265766" w:rsidP="00265766">
            <w:pPr>
              <w:spacing w:after="0"/>
              <w:jc w:val="both"/>
              <w:rPr>
                <w:rFonts w:ascii="Times New Roman" w:hAnsi="Times New Roman" w:cs="Times New Roman"/>
                <w:lang w:val="it-IT"/>
              </w:rPr>
            </w:pPr>
            <w:r w:rsidRPr="009E686F">
              <w:rPr>
                <w:rFonts w:ascii="Times New Roman" w:hAnsi="Times New Roman" w:cs="Times New Roman"/>
                <w:lang w:val="it-IT"/>
              </w:rPr>
              <w:t>Cooperarea dintre autoritățile competente</w:t>
            </w:r>
          </w:p>
        </w:tc>
        <w:tc>
          <w:tcPr>
            <w:tcW w:w="1834" w:type="pct"/>
            <w:tcBorders>
              <w:top w:val="single" w:sz="4" w:space="0" w:color="auto"/>
              <w:left w:val="single" w:sz="4" w:space="0" w:color="auto"/>
              <w:bottom w:val="single" w:sz="4" w:space="0" w:color="auto"/>
              <w:right w:val="single" w:sz="4" w:space="0" w:color="auto"/>
            </w:tcBorders>
          </w:tcPr>
          <w:p w14:paraId="0EA20699" w14:textId="76C19E4E" w:rsidR="00265766" w:rsidRPr="009E686F" w:rsidRDefault="00265766" w:rsidP="00265766">
            <w:pPr>
              <w:spacing w:after="0" w:line="278" w:lineRule="auto"/>
              <w:jc w:val="both"/>
              <w:rPr>
                <w:rFonts w:ascii="Times New Roman" w:eastAsia="Aptos" w:hAnsi="Times New Roman" w:cs="Times New Roman"/>
                <w:i/>
                <w:iCs/>
                <w:kern w:val="2"/>
                <w:lang w:val="ro-MD"/>
              </w:rPr>
            </w:pPr>
            <w:bookmarkStart w:id="8" w:name="_Hlk215564244"/>
            <w:r w:rsidRPr="009E686F">
              <w:rPr>
                <w:rFonts w:ascii="Times New Roman" w:eastAsia="Aptos" w:hAnsi="Times New Roman" w:cs="Times New Roman"/>
                <w:b/>
                <w:bCs/>
                <w:i/>
                <w:iCs/>
                <w:kern w:val="2"/>
                <w:lang w:val="ro-MD"/>
              </w:rPr>
              <w:t>Articolul 5</w:t>
            </w:r>
            <w:r w:rsidR="00337642" w:rsidRPr="009E686F">
              <w:rPr>
                <w:rFonts w:ascii="Times New Roman" w:eastAsia="Aptos" w:hAnsi="Times New Roman" w:cs="Times New Roman"/>
                <w:b/>
                <w:bCs/>
                <w:i/>
                <w:iCs/>
                <w:kern w:val="2"/>
                <w:lang w:val="ro-MD"/>
              </w:rPr>
              <w:t>7</w:t>
            </w:r>
            <w:r w:rsidR="00337642" w:rsidRPr="009E686F">
              <w:rPr>
                <w:rFonts w:ascii="Times New Roman" w:eastAsia="Aptos" w:hAnsi="Times New Roman" w:cs="Times New Roman"/>
                <w:b/>
                <w:bCs/>
                <w:i/>
                <w:iCs/>
                <w:kern w:val="2"/>
                <w:vertAlign w:val="superscript"/>
                <w:lang w:val="ro-MD"/>
              </w:rPr>
              <w:t>3</w:t>
            </w:r>
            <w:r w:rsidRPr="009E686F">
              <w:rPr>
                <w:rFonts w:ascii="Times New Roman" w:eastAsia="Aptos" w:hAnsi="Times New Roman" w:cs="Times New Roman"/>
                <w:b/>
                <w:bCs/>
                <w:i/>
                <w:iCs/>
                <w:kern w:val="2"/>
                <w:lang w:val="ro-MD"/>
              </w:rPr>
              <w:t xml:space="preserve">. </w:t>
            </w:r>
            <w:r w:rsidRPr="009E686F">
              <w:rPr>
                <w:rFonts w:ascii="Times New Roman" w:eastAsia="Aptos" w:hAnsi="Times New Roman" w:cs="Times New Roman"/>
                <w:i/>
                <w:iCs/>
                <w:kern w:val="2"/>
                <w:lang w:val="ro-MD"/>
              </w:rPr>
              <w:t xml:space="preserve">Cooperarea cu autoritățile competente la evaluarea proiectului de achiziție a unei dețineri semnificative </w:t>
            </w:r>
          </w:p>
          <w:bookmarkEnd w:id="8"/>
          <w:p w14:paraId="10672DB1" w14:textId="77777777" w:rsidR="00265766" w:rsidRPr="009E686F" w:rsidRDefault="00265766" w:rsidP="00265766">
            <w:pPr>
              <w:spacing w:after="0"/>
              <w:jc w:val="both"/>
              <w:rPr>
                <w:rFonts w:ascii="Times New Roman" w:hAnsi="Times New Roman" w:cs="Times New Roman"/>
                <w:b/>
                <w:lang w:val="it-IT"/>
              </w:rPr>
            </w:pPr>
          </w:p>
        </w:tc>
        <w:tc>
          <w:tcPr>
            <w:tcW w:w="470" w:type="pct"/>
            <w:tcBorders>
              <w:top w:val="single" w:sz="4" w:space="0" w:color="auto"/>
              <w:left w:val="single" w:sz="4" w:space="0" w:color="auto"/>
              <w:bottom w:val="single" w:sz="4" w:space="0" w:color="auto"/>
              <w:right w:val="single" w:sz="4" w:space="0" w:color="auto"/>
            </w:tcBorders>
          </w:tcPr>
          <w:p w14:paraId="61509579" w14:textId="59E7FFD6" w:rsidR="00265766" w:rsidRPr="009E686F" w:rsidDel="003932E1" w:rsidRDefault="00265766" w:rsidP="00265766">
            <w:pPr>
              <w:jc w:val="both"/>
              <w:rPr>
                <w:rFonts w:ascii="Times New Roman" w:hAnsi="Times New Roman" w:cs="Times New Roman"/>
                <w:lang w:val="it-IT"/>
              </w:rPr>
            </w:pPr>
            <w:r w:rsidRPr="009E686F">
              <w:rPr>
                <w:rFonts w:ascii="Times New Roman" w:hAnsi="Times New Roman" w:cs="Times New Roman"/>
                <w:lang w:val="it-IT"/>
              </w:rPr>
              <w:t>Compatibil</w:t>
            </w:r>
          </w:p>
        </w:tc>
        <w:tc>
          <w:tcPr>
            <w:tcW w:w="806" w:type="pct"/>
            <w:tcBorders>
              <w:top w:val="single" w:sz="4" w:space="0" w:color="auto"/>
              <w:left w:val="single" w:sz="4" w:space="0" w:color="auto"/>
              <w:bottom w:val="single" w:sz="4" w:space="0" w:color="auto"/>
              <w:right w:val="single" w:sz="4" w:space="0" w:color="auto"/>
            </w:tcBorders>
          </w:tcPr>
          <w:p w14:paraId="6B83294F" w14:textId="77777777" w:rsidR="00265766" w:rsidRPr="009E686F" w:rsidRDefault="00265766" w:rsidP="00265766">
            <w:pPr>
              <w:spacing w:after="0"/>
              <w:jc w:val="both"/>
              <w:rPr>
                <w:rFonts w:ascii="Times New Roman" w:hAnsi="Times New Roman" w:cs="Times New Roman"/>
                <w:color w:val="FF0000"/>
                <w:lang w:val="it-IT"/>
              </w:rPr>
            </w:pPr>
          </w:p>
        </w:tc>
      </w:tr>
      <w:tr w:rsidR="00265766" w:rsidRPr="009E686F" w14:paraId="0403CF1D" w14:textId="77777777" w:rsidTr="00960C23">
        <w:tc>
          <w:tcPr>
            <w:tcW w:w="1890" w:type="pct"/>
            <w:tcBorders>
              <w:top w:val="single" w:sz="4" w:space="0" w:color="auto"/>
              <w:left w:val="single" w:sz="4" w:space="0" w:color="auto"/>
              <w:bottom w:val="single" w:sz="4" w:space="0" w:color="auto"/>
              <w:right w:val="single" w:sz="4" w:space="0" w:color="auto"/>
            </w:tcBorders>
          </w:tcPr>
          <w:p w14:paraId="33340052" w14:textId="23DD315B" w:rsidR="00265766" w:rsidRPr="009E686F" w:rsidDel="003932E1" w:rsidRDefault="00265766" w:rsidP="00265766">
            <w:pPr>
              <w:spacing w:after="0"/>
              <w:jc w:val="both"/>
              <w:rPr>
                <w:rFonts w:ascii="Times New Roman" w:hAnsi="Times New Roman" w:cs="Times New Roman"/>
              </w:rPr>
            </w:pPr>
            <w:r w:rsidRPr="009E686F">
              <w:rPr>
                <w:rFonts w:ascii="Times New Roman" w:hAnsi="Times New Roman" w:cs="Times New Roman"/>
              </w:rPr>
              <w:t>(1) Autoritatea competentă consultă autoritățile care au îndatorirea publică de a supraveghea alte entități în cauză din sectorul financiar atunci când efectuează evaluarea prevăzută la articolul 27b alineatul (1) în cazul în care proiectul de achiziție vizează una dintre următoarele:</w:t>
            </w:r>
          </w:p>
        </w:tc>
        <w:tc>
          <w:tcPr>
            <w:tcW w:w="1834" w:type="pct"/>
            <w:tcBorders>
              <w:top w:val="single" w:sz="4" w:space="0" w:color="auto"/>
              <w:left w:val="single" w:sz="4" w:space="0" w:color="auto"/>
              <w:bottom w:val="single" w:sz="4" w:space="0" w:color="auto"/>
              <w:right w:val="single" w:sz="4" w:space="0" w:color="auto"/>
            </w:tcBorders>
          </w:tcPr>
          <w:p w14:paraId="46D982D3" w14:textId="78D6533F" w:rsidR="00265766" w:rsidRPr="009E686F" w:rsidRDefault="00265766" w:rsidP="00265766">
            <w:pPr>
              <w:spacing w:after="0"/>
              <w:jc w:val="both"/>
              <w:rPr>
                <w:rFonts w:ascii="Times New Roman" w:hAnsi="Times New Roman" w:cs="Times New Roman"/>
                <w:i/>
                <w:lang w:val="it-CH"/>
              </w:rPr>
            </w:pPr>
            <w:r w:rsidRPr="009E686F">
              <w:rPr>
                <w:rFonts w:ascii="Times New Roman" w:hAnsi="Times New Roman" w:cs="Times New Roman"/>
                <w:bCs/>
                <w:i/>
                <w:iCs/>
              </w:rPr>
              <w:t xml:space="preserve">(1) Banca Națională a Moldovei consultă autoritățile care au competența de a supraveghea alte entități din sectorul financiar atunci când efectuează evaluarea prevăzută la art. </w:t>
            </w:r>
            <w:r w:rsidR="00102649" w:rsidRPr="009E686F">
              <w:rPr>
                <w:rFonts w:ascii="Times New Roman" w:eastAsia="Aptos" w:hAnsi="Times New Roman" w:cs="Times New Roman"/>
                <w:i/>
                <w:iCs/>
                <w:kern w:val="2"/>
                <w:lang w:val="ro-MD"/>
              </w:rPr>
              <w:t>57</w:t>
            </w:r>
            <w:r w:rsidR="00102649" w:rsidRPr="009E686F">
              <w:rPr>
                <w:rFonts w:ascii="Times New Roman" w:eastAsia="Aptos" w:hAnsi="Times New Roman" w:cs="Times New Roman"/>
                <w:i/>
                <w:iCs/>
                <w:kern w:val="2"/>
                <w:vertAlign w:val="superscript"/>
                <w:lang w:val="ro-MD"/>
              </w:rPr>
              <w:t>2</w:t>
            </w:r>
            <w:r w:rsidRPr="009E686F">
              <w:rPr>
                <w:rFonts w:ascii="Times New Roman" w:hAnsi="Times New Roman" w:cs="Times New Roman"/>
                <w:bCs/>
                <w:i/>
                <w:iCs/>
              </w:rPr>
              <w:t xml:space="preserve"> alin. </w:t>
            </w:r>
            <w:r w:rsidRPr="009E686F">
              <w:rPr>
                <w:rFonts w:ascii="Times New Roman" w:hAnsi="Times New Roman" w:cs="Times New Roman"/>
                <w:i/>
                <w:lang w:val="it-CH"/>
              </w:rPr>
              <w:t>(1) în cazul în care proiectul de achiziție vizează una dintre următoarele:</w:t>
            </w:r>
          </w:p>
        </w:tc>
        <w:tc>
          <w:tcPr>
            <w:tcW w:w="470" w:type="pct"/>
            <w:tcBorders>
              <w:top w:val="single" w:sz="4" w:space="0" w:color="auto"/>
              <w:left w:val="single" w:sz="4" w:space="0" w:color="auto"/>
              <w:bottom w:val="single" w:sz="4" w:space="0" w:color="auto"/>
              <w:right w:val="single" w:sz="4" w:space="0" w:color="auto"/>
            </w:tcBorders>
          </w:tcPr>
          <w:p w14:paraId="217CA801" w14:textId="024FD4C5" w:rsidR="00265766" w:rsidRPr="009E686F" w:rsidDel="003932E1" w:rsidRDefault="00265766" w:rsidP="00265766">
            <w:pPr>
              <w:jc w:val="both"/>
              <w:rPr>
                <w:rFonts w:ascii="Times New Roman" w:hAnsi="Times New Roman" w:cs="Times New Roman"/>
                <w:lang w:val="it-IT"/>
              </w:rPr>
            </w:pPr>
            <w:r w:rsidRPr="009E686F">
              <w:rPr>
                <w:rFonts w:ascii="Times New Roman" w:hAnsi="Times New Roman" w:cs="Times New Roman"/>
                <w:lang w:val="it-IT"/>
              </w:rPr>
              <w:t>Compatibil</w:t>
            </w:r>
          </w:p>
        </w:tc>
        <w:tc>
          <w:tcPr>
            <w:tcW w:w="806" w:type="pct"/>
            <w:tcBorders>
              <w:top w:val="single" w:sz="4" w:space="0" w:color="auto"/>
              <w:left w:val="single" w:sz="4" w:space="0" w:color="auto"/>
              <w:bottom w:val="single" w:sz="4" w:space="0" w:color="auto"/>
              <w:right w:val="single" w:sz="4" w:space="0" w:color="auto"/>
            </w:tcBorders>
          </w:tcPr>
          <w:p w14:paraId="4645EF8D" w14:textId="77777777" w:rsidR="00265766" w:rsidRPr="009E686F" w:rsidRDefault="00265766" w:rsidP="00265766">
            <w:pPr>
              <w:spacing w:after="0"/>
              <w:jc w:val="both"/>
              <w:rPr>
                <w:rFonts w:ascii="Times New Roman" w:hAnsi="Times New Roman" w:cs="Times New Roman"/>
                <w:color w:val="FF0000"/>
                <w:lang w:val="it-IT"/>
              </w:rPr>
            </w:pPr>
          </w:p>
        </w:tc>
      </w:tr>
      <w:tr w:rsidR="00265766" w:rsidRPr="009E686F" w14:paraId="6AA12942" w14:textId="77777777" w:rsidTr="00960C23">
        <w:tc>
          <w:tcPr>
            <w:tcW w:w="1890" w:type="pct"/>
            <w:tcBorders>
              <w:top w:val="single" w:sz="4" w:space="0" w:color="auto"/>
              <w:left w:val="single" w:sz="4" w:space="0" w:color="auto"/>
              <w:bottom w:val="single" w:sz="4" w:space="0" w:color="auto"/>
              <w:right w:val="single" w:sz="4" w:space="0" w:color="auto"/>
            </w:tcBorders>
          </w:tcPr>
          <w:p w14:paraId="560D5D38" w14:textId="742BFFF9" w:rsidR="00265766" w:rsidRPr="009E686F" w:rsidDel="003932E1" w:rsidRDefault="00265766" w:rsidP="00265766">
            <w:pPr>
              <w:spacing w:after="0"/>
              <w:jc w:val="both"/>
              <w:rPr>
                <w:rFonts w:ascii="Times New Roman" w:hAnsi="Times New Roman" w:cs="Times New Roman"/>
                <w:lang w:val="pt-BR"/>
              </w:rPr>
            </w:pPr>
            <w:r w:rsidRPr="009E686F">
              <w:rPr>
                <w:rFonts w:ascii="Times New Roman" w:hAnsi="Times New Roman" w:cs="Times New Roman"/>
                <w:lang w:val="pt-BR"/>
              </w:rPr>
              <w:t>(a) o instituție de credit, o întreprindere de asigurare, o întreprindere de reasigurare, o firmă de investiții sau o societate de administrare a activelor autorizată într-un alt stat membru sau într-un alt sector decât cel al potențialului achizitor;</w:t>
            </w:r>
          </w:p>
        </w:tc>
        <w:tc>
          <w:tcPr>
            <w:tcW w:w="1834" w:type="pct"/>
            <w:tcBorders>
              <w:top w:val="single" w:sz="4" w:space="0" w:color="auto"/>
              <w:left w:val="single" w:sz="4" w:space="0" w:color="auto"/>
              <w:bottom w:val="single" w:sz="4" w:space="0" w:color="auto"/>
              <w:right w:val="single" w:sz="4" w:space="0" w:color="auto"/>
            </w:tcBorders>
          </w:tcPr>
          <w:p w14:paraId="0BA67E39" w14:textId="6497891C" w:rsidR="00265766" w:rsidRPr="009E686F" w:rsidRDefault="00265766" w:rsidP="00265766">
            <w:pPr>
              <w:spacing w:after="0"/>
              <w:jc w:val="both"/>
              <w:rPr>
                <w:rFonts w:ascii="Times New Roman" w:hAnsi="Times New Roman" w:cs="Times New Roman"/>
                <w:bCs/>
                <w:i/>
                <w:iCs/>
                <w:lang w:val="pt-BR"/>
              </w:rPr>
            </w:pPr>
            <w:r w:rsidRPr="009E686F">
              <w:rPr>
                <w:rFonts w:ascii="Times New Roman" w:hAnsi="Times New Roman" w:cs="Times New Roman"/>
                <w:bCs/>
                <w:i/>
                <w:iCs/>
                <w:lang w:val="pt-BR"/>
              </w:rPr>
              <w:t xml:space="preserve">a) o instituție de credit, o societate de asigurare, o societate de reasigurare, o firmă de investiții sau o societate de administrare a activelor autorizată într-un alt stat membru sau într-un alt sector decât cel al potențialului achizitor; </w:t>
            </w:r>
          </w:p>
          <w:p w14:paraId="69CA6BE2" w14:textId="7BB3F61F" w:rsidR="00265766" w:rsidRPr="009E686F" w:rsidRDefault="00265766" w:rsidP="00265766">
            <w:pPr>
              <w:spacing w:after="0"/>
              <w:jc w:val="both"/>
              <w:rPr>
                <w:rFonts w:ascii="Times New Roman" w:hAnsi="Times New Roman" w:cs="Times New Roman"/>
                <w:b/>
                <w:lang w:val="pt-BR"/>
              </w:rPr>
            </w:pPr>
          </w:p>
        </w:tc>
        <w:tc>
          <w:tcPr>
            <w:tcW w:w="470" w:type="pct"/>
            <w:tcBorders>
              <w:top w:val="single" w:sz="4" w:space="0" w:color="auto"/>
              <w:left w:val="single" w:sz="4" w:space="0" w:color="auto"/>
              <w:bottom w:val="single" w:sz="4" w:space="0" w:color="auto"/>
              <w:right w:val="single" w:sz="4" w:space="0" w:color="auto"/>
            </w:tcBorders>
          </w:tcPr>
          <w:p w14:paraId="1599A747" w14:textId="718B3F7A" w:rsidR="00265766" w:rsidRPr="009E686F" w:rsidDel="003932E1" w:rsidRDefault="00265766" w:rsidP="00265766">
            <w:pPr>
              <w:jc w:val="both"/>
              <w:rPr>
                <w:rFonts w:ascii="Times New Roman" w:hAnsi="Times New Roman" w:cs="Times New Roman"/>
                <w:lang w:val="pt-BR"/>
              </w:rPr>
            </w:pPr>
            <w:r w:rsidRPr="009E686F">
              <w:rPr>
                <w:rFonts w:ascii="Times New Roman" w:hAnsi="Times New Roman" w:cs="Times New Roman"/>
                <w:lang w:val="it-IT"/>
              </w:rPr>
              <w:t>Compatibil</w:t>
            </w:r>
          </w:p>
        </w:tc>
        <w:tc>
          <w:tcPr>
            <w:tcW w:w="806" w:type="pct"/>
            <w:tcBorders>
              <w:top w:val="single" w:sz="4" w:space="0" w:color="auto"/>
              <w:left w:val="single" w:sz="4" w:space="0" w:color="auto"/>
              <w:bottom w:val="single" w:sz="4" w:space="0" w:color="auto"/>
              <w:right w:val="single" w:sz="4" w:space="0" w:color="auto"/>
            </w:tcBorders>
          </w:tcPr>
          <w:p w14:paraId="42B31108" w14:textId="77777777" w:rsidR="00265766" w:rsidRPr="009E686F" w:rsidRDefault="00265766" w:rsidP="00265766">
            <w:pPr>
              <w:spacing w:after="0"/>
              <w:jc w:val="both"/>
              <w:rPr>
                <w:rFonts w:ascii="Times New Roman" w:hAnsi="Times New Roman" w:cs="Times New Roman"/>
                <w:color w:val="FF0000"/>
                <w:lang w:val="pt-BR"/>
              </w:rPr>
            </w:pPr>
          </w:p>
        </w:tc>
      </w:tr>
      <w:tr w:rsidR="00265766" w:rsidRPr="009E686F" w14:paraId="1C3F5F5A" w14:textId="77777777" w:rsidTr="00960C23">
        <w:tc>
          <w:tcPr>
            <w:tcW w:w="1890" w:type="pct"/>
            <w:tcBorders>
              <w:top w:val="single" w:sz="4" w:space="0" w:color="auto"/>
              <w:left w:val="single" w:sz="4" w:space="0" w:color="auto"/>
              <w:bottom w:val="single" w:sz="4" w:space="0" w:color="auto"/>
              <w:right w:val="single" w:sz="4" w:space="0" w:color="auto"/>
            </w:tcBorders>
          </w:tcPr>
          <w:p w14:paraId="57A8B1E2" w14:textId="2DE25675" w:rsidR="00265766" w:rsidRPr="009E686F" w:rsidDel="003932E1"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(b) o întreprindere-mamă a unei instituții de credit, a unei întreprinderi de asigurare, a unei întreprinderi de reasigurare, a unei firme de investiții sau a unei societăți de administrare a activelor autorizată într-un alt stat membru sau într-un alt sector decât cel al potențialului achizitor;</w:t>
            </w:r>
          </w:p>
        </w:tc>
        <w:tc>
          <w:tcPr>
            <w:tcW w:w="1834" w:type="pct"/>
            <w:tcBorders>
              <w:top w:val="single" w:sz="4" w:space="0" w:color="auto"/>
              <w:left w:val="single" w:sz="4" w:space="0" w:color="auto"/>
              <w:bottom w:val="single" w:sz="4" w:space="0" w:color="auto"/>
              <w:right w:val="single" w:sz="4" w:space="0" w:color="auto"/>
            </w:tcBorders>
          </w:tcPr>
          <w:p w14:paraId="589B75E7" w14:textId="51448E46" w:rsidR="00265766" w:rsidRPr="009E686F" w:rsidRDefault="00265766" w:rsidP="00265766">
            <w:pPr>
              <w:spacing w:after="0"/>
              <w:jc w:val="both"/>
              <w:rPr>
                <w:rFonts w:ascii="Times New Roman" w:hAnsi="Times New Roman" w:cs="Times New Roman"/>
                <w:b/>
                <w:i/>
                <w:lang w:val="it-CH"/>
              </w:rPr>
            </w:pPr>
            <w:r w:rsidRPr="009E686F">
              <w:rPr>
                <w:rFonts w:ascii="Times New Roman" w:hAnsi="Times New Roman" w:cs="Times New Roman"/>
                <w:i/>
                <w:lang w:val="it-CH"/>
              </w:rPr>
              <w:t>b) o întreprindere-mamă a unei instituții de credit, a unei societăți de asigurare, a unei societăți de reasigurare, a unei firme de investiții sau a unei societăți de administrare a activelor autorizată într-un alt stat membru sau într-un alt sector decât cel al potențialului achizitor;</w:t>
            </w:r>
          </w:p>
        </w:tc>
        <w:tc>
          <w:tcPr>
            <w:tcW w:w="470" w:type="pct"/>
            <w:tcBorders>
              <w:top w:val="single" w:sz="4" w:space="0" w:color="auto"/>
              <w:left w:val="single" w:sz="4" w:space="0" w:color="auto"/>
              <w:bottom w:val="single" w:sz="4" w:space="0" w:color="auto"/>
              <w:right w:val="single" w:sz="4" w:space="0" w:color="auto"/>
            </w:tcBorders>
          </w:tcPr>
          <w:p w14:paraId="5F06F5E8" w14:textId="060F2143" w:rsidR="00265766" w:rsidRPr="009E686F" w:rsidDel="003932E1" w:rsidRDefault="00265766" w:rsidP="00265766">
            <w:pPr>
              <w:jc w:val="both"/>
              <w:rPr>
                <w:rFonts w:ascii="Times New Roman" w:hAnsi="Times New Roman" w:cs="Times New Roman"/>
                <w:lang w:val="pt-BR"/>
              </w:rPr>
            </w:pPr>
            <w:r w:rsidRPr="009E686F">
              <w:rPr>
                <w:rFonts w:ascii="Times New Roman" w:hAnsi="Times New Roman" w:cs="Times New Roman"/>
                <w:lang w:val="it-IT"/>
              </w:rPr>
              <w:t>Compatibil</w:t>
            </w:r>
          </w:p>
        </w:tc>
        <w:tc>
          <w:tcPr>
            <w:tcW w:w="806" w:type="pct"/>
            <w:tcBorders>
              <w:top w:val="single" w:sz="4" w:space="0" w:color="auto"/>
              <w:left w:val="single" w:sz="4" w:space="0" w:color="auto"/>
              <w:bottom w:val="single" w:sz="4" w:space="0" w:color="auto"/>
              <w:right w:val="single" w:sz="4" w:space="0" w:color="auto"/>
            </w:tcBorders>
          </w:tcPr>
          <w:p w14:paraId="2914C111" w14:textId="77777777" w:rsidR="00265766" w:rsidRPr="009E686F" w:rsidRDefault="00265766" w:rsidP="00265766">
            <w:pPr>
              <w:spacing w:after="0"/>
              <w:jc w:val="both"/>
              <w:rPr>
                <w:rFonts w:ascii="Times New Roman" w:hAnsi="Times New Roman" w:cs="Times New Roman"/>
                <w:color w:val="FF0000"/>
                <w:lang w:val="pt-BR"/>
              </w:rPr>
            </w:pPr>
          </w:p>
        </w:tc>
      </w:tr>
      <w:tr w:rsidR="00265766" w:rsidRPr="009E686F" w14:paraId="08FC1BAE" w14:textId="77777777" w:rsidTr="00960C23">
        <w:tc>
          <w:tcPr>
            <w:tcW w:w="1890" w:type="pct"/>
            <w:tcBorders>
              <w:top w:val="single" w:sz="4" w:space="0" w:color="auto"/>
              <w:left w:val="single" w:sz="4" w:space="0" w:color="auto"/>
              <w:bottom w:val="single" w:sz="4" w:space="0" w:color="auto"/>
              <w:right w:val="single" w:sz="4" w:space="0" w:color="auto"/>
            </w:tcBorders>
          </w:tcPr>
          <w:p w14:paraId="2265B00B" w14:textId="0B7C4260" w:rsidR="00265766" w:rsidRPr="009E686F" w:rsidDel="003932E1" w:rsidRDefault="00265766" w:rsidP="00265766">
            <w:pPr>
              <w:spacing w:after="0"/>
              <w:jc w:val="both"/>
              <w:rPr>
                <w:rFonts w:ascii="Times New Roman" w:hAnsi="Times New Roman" w:cs="Times New Roman"/>
                <w:lang w:val="pt-BR"/>
              </w:rPr>
            </w:pPr>
            <w:r w:rsidRPr="009E686F">
              <w:rPr>
                <w:rFonts w:ascii="Times New Roman" w:hAnsi="Times New Roman" w:cs="Times New Roman"/>
                <w:lang w:val="pt-BR"/>
              </w:rPr>
              <w:t>(c) o persoană juridică ce controlează o instituție de credit, o întreprindere de asigurare, o întreprindere de reasigurare, o firmă de investiții sau o societate de administrare a activelor autorizată într-un alt stat membru sau într-un alt sector decât cel vizat de proiectul de achiziție.</w:t>
            </w:r>
          </w:p>
        </w:tc>
        <w:tc>
          <w:tcPr>
            <w:tcW w:w="1834" w:type="pct"/>
            <w:tcBorders>
              <w:top w:val="single" w:sz="4" w:space="0" w:color="auto"/>
              <w:left w:val="single" w:sz="4" w:space="0" w:color="auto"/>
              <w:bottom w:val="single" w:sz="4" w:space="0" w:color="auto"/>
              <w:right w:val="single" w:sz="4" w:space="0" w:color="auto"/>
            </w:tcBorders>
          </w:tcPr>
          <w:p w14:paraId="77FBB9FA" w14:textId="4E12ECF8" w:rsidR="00265766" w:rsidRPr="009E686F" w:rsidRDefault="00265766" w:rsidP="00265766">
            <w:pPr>
              <w:spacing w:after="0"/>
              <w:jc w:val="both"/>
              <w:rPr>
                <w:rFonts w:ascii="Times New Roman" w:hAnsi="Times New Roman" w:cs="Times New Roman"/>
                <w:bCs/>
                <w:i/>
                <w:iCs/>
                <w:lang w:val="pt-BR"/>
              </w:rPr>
            </w:pPr>
            <w:r w:rsidRPr="009E686F">
              <w:rPr>
                <w:rFonts w:ascii="Times New Roman" w:hAnsi="Times New Roman" w:cs="Times New Roman"/>
                <w:bCs/>
                <w:i/>
                <w:iCs/>
                <w:lang w:val="pt-BR"/>
              </w:rPr>
              <w:t>c) o persoană juridică ce controlează o instituție de credit, o societate de asigurare, o societate de reasigurare, o firme de investiții sau o societate de administrare a activelor autorizată într-un alt stat membru sau într-un alt sector decât cel vizat de proiectul de achiziție.</w:t>
            </w:r>
          </w:p>
        </w:tc>
        <w:tc>
          <w:tcPr>
            <w:tcW w:w="470" w:type="pct"/>
            <w:tcBorders>
              <w:top w:val="single" w:sz="4" w:space="0" w:color="auto"/>
              <w:left w:val="single" w:sz="4" w:space="0" w:color="auto"/>
              <w:bottom w:val="single" w:sz="4" w:space="0" w:color="auto"/>
              <w:right w:val="single" w:sz="4" w:space="0" w:color="auto"/>
            </w:tcBorders>
          </w:tcPr>
          <w:p w14:paraId="0F1A99F8" w14:textId="5F3E861B" w:rsidR="00265766" w:rsidRPr="009E686F" w:rsidDel="003932E1" w:rsidRDefault="00265766" w:rsidP="00265766">
            <w:pPr>
              <w:jc w:val="both"/>
              <w:rPr>
                <w:rFonts w:ascii="Times New Roman" w:hAnsi="Times New Roman" w:cs="Times New Roman"/>
                <w:lang w:val="pt-BR"/>
              </w:rPr>
            </w:pPr>
            <w:r w:rsidRPr="009E686F">
              <w:rPr>
                <w:rFonts w:ascii="Times New Roman" w:hAnsi="Times New Roman" w:cs="Times New Roman"/>
                <w:lang w:val="it-IT"/>
              </w:rPr>
              <w:t>Compatibil</w:t>
            </w:r>
          </w:p>
        </w:tc>
        <w:tc>
          <w:tcPr>
            <w:tcW w:w="806" w:type="pct"/>
            <w:tcBorders>
              <w:top w:val="single" w:sz="4" w:space="0" w:color="auto"/>
              <w:left w:val="single" w:sz="4" w:space="0" w:color="auto"/>
              <w:bottom w:val="single" w:sz="4" w:space="0" w:color="auto"/>
              <w:right w:val="single" w:sz="4" w:space="0" w:color="auto"/>
            </w:tcBorders>
          </w:tcPr>
          <w:p w14:paraId="0A91732C" w14:textId="77777777" w:rsidR="00265766" w:rsidRPr="009E686F" w:rsidRDefault="00265766" w:rsidP="00265766">
            <w:pPr>
              <w:spacing w:after="0"/>
              <w:jc w:val="both"/>
              <w:rPr>
                <w:rFonts w:ascii="Times New Roman" w:hAnsi="Times New Roman" w:cs="Times New Roman"/>
                <w:color w:val="FF0000"/>
                <w:lang w:val="pt-BR"/>
              </w:rPr>
            </w:pPr>
          </w:p>
        </w:tc>
      </w:tr>
      <w:tr w:rsidR="00265766" w:rsidRPr="009E686F" w14:paraId="03136058" w14:textId="77777777" w:rsidTr="00960C23">
        <w:tc>
          <w:tcPr>
            <w:tcW w:w="1890" w:type="pct"/>
            <w:tcBorders>
              <w:top w:val="single" w:sz="4" w:space="0" w:color="auto"/>
              <w:left w:val="single" w:sz="4" w:space="0" w:color="auto"/>
              <w:bottom w:val="single" w:sz="4" w:space="0" w:color="auto"/>
              <w:right w:val="single" w:sz="4" w:space="0" w:color="auto"/>
            </w:tcBorders>
          </w:tcPr>
          <w:p w14:paraId="0430422D" w14:textId="20F8692A" w:rsidR="00265766" w:rsidRPr="009E686F" w:rsidDel="003932E1" w:rsidRDefault="00265766" w:rsidP="00265766">
            <w:pPr>
              <w:spacing w:after="0"/>
              <w:jc w:val="both"/>
              <w:rPr>
                <w:rFonts w:ascii="Times New Roman" w:hAnsi="Times New Roman" w:cs="Times New Roman"/>
                <w:lang w:val="pt-BR"/>
              </w:rPr>
            </w:pPr>
            <w:r w:rsidRPr="009E686F">
              <w:rPr>
                <w:rFonts w:ascii="Times New Roman" w:hAnsi="Times New Roman" w:cs="Times New Roman"/>
              </w:rPr>
              <w:lastRenderedPageBreak/>
              <w:t xml:space="preserve">(2) În cazul în care potențialul achizitor este o instituție, iar pragul menționat la articolul 27a alineatul (2) este depășit doar pe bază individuală, autoritatea competentă care evaluează proiectul de achiziție notifică supraveghetorul consolidant cu privire la proiectul de achiziție în termen de 10 zile lucrătoare de la primirea notificării de către potențialul achizitor, în cazul în care acesta face parte dintr-un grup, iar autoritatea competentă este diferită de supraveghetorul consolidant. </w:t>
            </w:r>
            <w:r w:rsidRPr="009E686F">
              <w:rPr>
                <w:rFonts w:ascii="Times New Roman" w:hAnsi="Times New Roman" w:cs="Times New Roman"/>
                <w:lang w:val="pt-BR"/>
              </w:rPr>
              <w:t>Autoritatea competentă transmite evaluarea sa și supraveghetorului consolidant.</w:t>
            </w:r>
          </w:p>
        </w:tc>
        <w:tc>
          <w:tcPr>
            <w:tcW w:w="1834" w:type="pct"/>
            <w:tcBorders>
              <w:top w:val="single" w:sz="4" w:space="0" w:color="auto"/>
              <w:left w:val="single" w:sz="4" w:space="0" w:color="auto"/>
              <w:bottom w:val="single" w:sz="4" w:space="0" w:color="auto"/>
              <w:right w:val="single" w:sz="4" w:space="0" w:color="auto"/>
            </w:tcBorders>
          </w:tcPr>
          <w:p w14:paraId="7EF3548D" w14:textId="423E217D" w:rsidR="00265766" w:rsidRPr="009E686F" w:rsidRDefault="00265766" w:rsidP="00265766">
            <w:pPr>
              <w:spacing w:after="0"/>
              <w:jc w:val="both"/>
              <w:rPr>
                <w:rFonts w:ascii="Times New Roman" w:hAnsi="Times New Roman" w:cs="Times New Roman"/>
                <w:bCs/>
                <w:i/>
                <w:iCs/>
                <w:lang w:val="pt-BR"/>
              </w:rPr>
            </w:pPr>
            <w:r w:rsidRPr="009E686F">
              <w:rPr>
                <w:rFonts w:ascii="Times New Roman" w:hAnsi="Times New Roman" w:cs="Times New Roman"/>
                <w:bCs/>
                <w:i/>
                <w:iCs/>
                <w:lang w:val="pt-BR"/>
              </w:rPr>
              <w:t>(2) În cazul în care potențialul achizitor este o instituție de credit, iar pragul menționat la art. 5</w:t>
            </w:r>
            <w:r w:rsidR="00653692" w:rsidRPr="009E686F">
              <w:rPr>
                <w:rFonts w:ascii="Times New Roman" w:hAnsi="Times New Roman" w:cs="Times New Roman"/>
                <w:bCs/>
                <w:i/>
                <w:iCs/>
                <w:lang w:val="pt-BR"/>
              </w:rPr>
              <w:t>7</w:t>
            </w:r>
            <w:r w:rsidR="00653692" w:rsidRPr="009E686F">
              <w:rPr>
                <w:rFonts w:ascii="Times New Roman" w:hAnsi="Times New Roman" w:cs="Times New Roman"/>
                <w:bCs/>
                <w:i/>
                <w:iCs/>
                <w:vertAlign w:val="superscript"/>
                <w:lang w:val="pt-BR"/>
              </w:rPr>
              <w:t>2</w:t>
            </w:r>
            <w:r w:rsidRPr="009E686F">
              <w:rPr>
                <w:rFonts w:ascii="Times New Roman" w:hAnsi="Times New Roman" w:cs="Times New Roman"/>
                <w:bCs/>
                <w:i/>
                <w:iCs/>
                <w:vertAlign w:val="superscript"/>
                <w:lang w:val="pt-BR"/>
              </w:rPr>
              <w:t xml:space="preserve"> </w:t>
            </w:r>
            <w:r w:rsidRPr="009E686F">
              <w:rPr>
                <w:rFonts w:ascii="Times New Roman" w:hAnsi="Times New Roman" w:cs="Times New Roman"/>
                <w:bCs/>
                <w:i/>
                <w:iCs/>
                <w:lang w:val="pt-BR"/>
              </w:rPr>
              <w:t>alin. (2) este depășit doar pe bază individuală, Banca Națională a Moldovei, în calitate de autoritate competentă care supraveghează instituția pe bază individuală, fără a avea calitatea de supraveghetor consolidant al acestei instituții de credit, notifică supraveghetorul consolidant cu privire la proiectul de achiziție în termen de 10 zile lucrătoare de la primirea notificării de către potențialul achizitor, în cazul în care acesta face parte dintr-un grup și transmite ulterior evaluarea sa supraveghetorului consolidant.</w:t>
            </w:r>
          </w:p>
        </w:tc>
        <w:tc>
          <w:tcPr>
            <w:tcW w:w="470" w:type="pct"/>
            <w:tcBorders>
              <w:top w:val="single" w:sz="4" w:space="0" w:color="auto"/>
              <w:left w:val="single" w:sz="4" w:space="0" w:color="auto"/>
              <w:bottom w:val="single" w:sz="4" w:space="0" w:color="auto"/>
              <w:right w:val="single" w:sz="4" w:space="0" w:color="auto"/>
            </w:tcBorders>
          </w:tcPr>
          <w:p w14:paraId="57FF9BE8" w14:textId="446C76A1" w:rsidR="00265766" w:rsidRPr="009E686F" w:rsidDel="003932E1" w:rsidRDefault="00265766" w:rsidP="00265766">
            <w:pPr>
              <w:jc w:val="both"/>
              <w:rPr>
                <w:rFonts w:ascii="Times New Roman" w:hAnsi="Times New Roman" w:cs="Times New Roman"/>
                <w:lang w:val="pt-BR"/>
              </w:rPr>
            </w:pPr>
            <w:r w:rsidRPr="009E686F">
              <w:rPr>
                <w:rFonts w:ascii="Times New Roman" w:hAnsi="Times New Roman" w:cs="Times New Roman"/>
                <w:lang w:val="it-IT"/>
              </w:rPr>
              <w:t>Compatibil</w:t>
            </w:r>
          </w:p>
        </w:tc>
        <w:tc>
          <w:tcPr>
            <w:tcW w:w="806" w:type="pct"/>
            <w:tcBorders>
              <w:top w:val="single" w:sz="4" w:space="0" w:color="auto"/>
              <w:left w:val="single" w:sz="4" w:space="0" w:color="auto"/>
              <w:bottom w:val="single" w:sz="4" w:space="0" w:color="auto"/>
              <w:right w:val="single" w:sz="4" w:space="0" w:color="auto"/>
            </w:tcBorders>
          </w:tcPr>
          <w:p w14:paraId="040D08B3" w14:textId="77777777" w:rsidR="00265766" w:rsidRPr="009E686F" w:rsidRDefault="00265766" w:rsidP="00265766">
            <w:pPr>
              <w:spacing w:after="0"/>
              <w:jc w:val="both"/>
              <w:rPr>
                <w:rFonts w:ascii="Times New Roman" w:hAnsi="Times New Roman" w:cs="Times New Roman"/>
                <w:color w:val="FF0000"/>
                <w:lang w:val="pt-BR"/>
              </w:rPr>
            </w:pPr>
          </w:p>
        </w:tc>
      </w:tr>
      <w:tr w:rsidR="00265766" w:rsidRPr="009E686F" w14:paraId="6FF1DA10" w14:textId="77777777" w:rsidTr="00960C23">
        <w:tc>
          <w:tcPr>
            <w:tcW w:w="1890" w:type="pct"/>
            <w:tcBorders>
              <w:top w:val="single" w:sz="4" w:space="0" w:color="auto"/>
              <w:left w:val="single" w:sz="4" w:space="0" w:color="auto"/>
              <w:bottom w:val="single" w:sz="4" w:space="0" w:color="auto"/>
              <w:right w:val="single" w:sz="4" w:space="0" w:color="auto"/>
            </w:tcBorders>
          </w:tcPr>
          <w:p w14:paraId="4ABAD905" w14:textId="6693A22B" w:rsidR="00265766" w:rsidRPr="009E686F" w:rsidDel="003932E1" w:rsidRDefault="00265766" w:rsidP="00265766">
            <w:pPr>
              <w:spacing w:after="0"/>
              <w:jc w:val="both"/>
              <w:rPr>
                <w:rFonts w:ascii="Times New Roman" w:hAnsi="Times New Roman" w:cs="Times New Roman"/>
                <w:lang w:val="pt-BR"/>
              </w:rPr>
            </w:pPr>
            <w:r w:rsidRPr="009E686F">
              <w:rPr>
                <w:rFonts w:ascii="Times New Roman" w:hAnsi="Times New Roman" w:cs="Times New Roman"/>
              </w:rPr>
              <w:t xml:space="preserve">În cazul în care potențialul achizitor este o societate financiară holding sau o societate financiară holding mixtă care intră sub incidența articolului 21a alineatul (1), supraveghetorul consolidant care evaluează proiectul de achiziție notifică autoritatea competentă din statul membru în care este stabilit potențialul achizitor cu privire la acest proiect în termen de 10 zile lucrătoare de la primirea notificării de către potențialul achizitor, în cazul în care autoritatea competentă respectivă este diferită de supraveghetorul consolidant. </w:t>
            </w:r>
            <w:r w:rsidRPr="009E686F">
              <w:rPr>
                <w:rFonts w:ascii="Times New Roman" w:hAnsi="Times New Roman" w:cs="Times New Roman"/>
                <w:lang w:val="pt-BR"/>
              </w:rPr>
              <w:t>Supraveghetorul consolidant transmite de asemenea evaluarea sa autorității competente respective.</w:t>
            </w:r>
          </w:p>
        </w:tc>
        <w:tc>
          <w:tcPr>
            <w:tcW w:w="1834" w:type="pct"/>
            <w:tcBorders>
              <w:top w:val="single" w:sz="4" w:space="0" w:color="auto"/>
              <w:left w:val="single" w:sz="4" w:space="0" w:color="auto"/>
              <w:bottom w:val="single" w:sz="4" w:space="0" w:color="auto"/>
              <w:right w:val="single" w:sz="4" w:space="0" w:color="auto"/>
            </w:tcBorders>
          </w:tcPr>
          <w:p w14:paraId="7C67D5A9" w14:textId="64978523" w:rsidR="00265766" w:rsidRPr="009E686F" w:rsidRDefault="00265766" w:rsidP="00265766">
            <w:pPr>
              <w:spacing w:after="0"/>
              <w:jc w:val="both"/>
              <w:rPr>
                <w:rFonts w:ascii="Times New Roman" w:hAnsi="Times New Roman" w:cs="Times New Roman"/>
                <w:i/>
                <w:lang w:val="it-CH"/>
              </w:rPr>
            </w:pPr>
            <w:r w:rsidRPr="009E686F">
              <w:rPr>
                <w:rFonts w:ascii="Times New Roman" w:hAnsi="Times New Roman" w:cs="Times New Roman"/>
                <w:bCs/>
                <w:i/>
                <w:iCs/>
              </w:rPr>
              <w:t>(3) În cazul în care potențialul achizitor este o societate financiară holding sau o societate financiară holding mixtă care face obiectul art. 116</w:t>
            </w:r>
            <w:r w:rsidRPr="009E686F">
              <w:rPr>
                <w:rFonts w:ascii="Times New Roman" w:hAnsi="Times New Roman" w:cs="Times New Roman"/>
                <w:bCs/>
                <w:i/>
                <w:iCs/>
                <w:vertAlign w:val="superscript"/>
              </w:rPr>
              <w:t>1</w:t>
            </w:r>
            <w:r w:rsidRPr="009E686F">
              <w:rPr>
                <w:rFonts w:ascii="Times New Roman" w:hAnsi="Times New Roman" w:cs="Times New Roman"/>
                <w:bCs/>
                <w:i/>
                <w:iCs/>
              </w:rPr>
              <w:t xml:space="preserve"> alin. </w:t>
            </w:r>
            <w:r w:rsidRPr="009E686F">
              <w:rPr>
                <w:rFonts w:ascii="Times New Roman" w:hAnsi="Times New Roman" w:cs="Times New Roman"/>
                <w:i/>
                <w:lang w:val="it-CH"/>
              </w:rPr>
              <w:t>(1)</w:t>
            </w:r>
            <w:r w:rsidR="00345062" w:rsidRPr="009E686F">
              <w:rPr>
                <w:rFonts w:ascii="Times New Roman" w:hAnsi="Times New Roman" w:cs="Times New Roman"/>
                <w:i/>
                <w:lang w:val="it-CH"/>
              </w:rPr>
              <w:t xml:space="preserve"> și </w:t>
            </w:r>
            <w:r w:rsidRPr="009E686F">
              <w:rPr>
                <w:rFonts w:ascii="Times New Roman" w:hAnsi="Times New Roman" w:cs="Times New Roman"/>
                <w:i/>
                <w:lang w:val="it-CH"/>
              </w:rPr>
              <w:t>(2), Banca Națională a Moldovei, în calitate de supraveghetor consolidant care evaluează proiectul de achiziție notifică autoritatea competentă din statul membru în care este stabilit potențialul achizitor cu privire la acest proiect în termen de 10 zile lucrătoare de la primirea notificării de către potențialul achizitor, în cazul în care autoritatea competentă respectivă este diferită de supraveghetorul consolidant și transmite evaluarea sa autorității competente respective.</w:t>
            </w:r>
          </w:p>
        </w:tc>
        <w:tc>
          <w:tcPr>
            <w:tcW w:w="470" w:type="pct"/>
            <w:tcBorders>
              <w:top w:val="single" w:sz="4" w:space="0" w:color="auto"/>
              <w:left w:val="single" w:sz="4" w:space="0" w:color="auto"/>
              <w:bottom w:val="single" w:sz="4" w:space="0" w:color="auto"/>
              <w:right w:val="single" w:sz="4" w:space="0" w:color="auto"/>
            </w:tcBorders>
          </w:tcPr>
          <w:p w14:paraId="367CBCB1" w14:textId="2B113C0F" w:rsidR="00265766" w:rsidRPr="009E686F" w:rsidDel="003932E1" w:rsidRDefault="00265766" w:rsidP="00265766">
            <w:pPr>
              <w:jc w:val="both"/>
              <w:rPr>
                <w:rFonts w:ascii="Times New Roman" w:hAnsi="Times New Roman" w:cs="Times New Roman"/>
                <w:lang w:val="it-CH"/>
              </w:rPr>
            </w:pPr>
            <w:r w:rsidRPr="009E686F">
              <w:rPr>
                <w:rFonts w:ascii="Times New Roman" w:hAnsi="Times New Roman" w:cs="Times New Roman"/>
                <w:lang w:val="it-IT"/>
              </w:rPr>
              <w:t>Compatibil</w:t>
            </w:r>
          </w:p>
        </w:tc>
        <w:tc>
          <w:tcPr>
            <w:tcW w:w="806" w:type="pct"/>
            <w:tcBorders>
              <w:top w:val="single" w:sz="4" w:space="0" w:color="auto"/>
              <w:left w:val="single" w:sz="4" w:space="0" w:color="auto"/>
              <w:bottom w:val="single" w:sz="4" w:space="0" w:color="auto"/>
              <w:right w:val="single" w:sz="4" w:space="0" w:color="auto"/>
            </w:tcBorders>
          </w:tcPr>
          <w:p w14:paraId="6A5F955C" w14:textId="77777777" w:rsidR="00265766" w:rsidRPr="009E686F" w:rsidRDefault="00265766" w:rsidP="00265766">
            <w:pPr>
              <w:spacing w:after="0"/>
              <w:jc w:val="both"/>
              <w:rPr>
                <w:rFonts w:ascii="Times New Roman" w:hAnsi="Times New Roman" w:cs="Times New Roman"/>
                <w:color w:val="FF0000"/>
                <w:lang w:val="it-CH"/>
              </w:rPr>
            </w:pPr>
          </w:p>
        </w:tc>
      </w:tr>
      <w:tr w:rsidR="00265766" w:rsidRPr="009E686F" w14:paraId="39729A59" w14:textId="77777777" w:rsidTr="00960C23">
        <w:tc>
          <w:tcPr>
            <w:tcW w:w="1890" w:type="pct"/>
            <w:tcBorders>
              <w:top w:val="single" w:sz="4" w:space="0" w:color="auto"/>
              <w:left w:val="single" w:sz="4" w:space="0" w:color="auto"/>
              <w:bottom w:val="single" w:sz="4" w:space="0" w:color="auto"/>
              <w:right w:val="single" w:sz="4" w:space="0" w:color="auto"/>
            </w:tcBorders>
          </w:tcPr>
          <w:p w14:paraId="56306F23" w14:textId="4C11C6E3" w:rsidR="00265766" w:rsidRPr="009E686F" w:rsidDel="003932E1" w:rsidRDefault="00265766" w:rsidP="00265766">
            <w:pPr>
              <w:spacing w:after="0"/>
              <w:jc w:val="both"/>
              <w:rPr>
                <w:rFonts w:ascii="Times New Roman" w:hAnsi="Times New Roman" w:cs="Times New Roman"/>
              </w:rPr>
            </w:pPr>
            <w:r w:rsidRPr="009E686F">
              <w:rPr>
                <w:rFonts w:ascii="Times New Roman" w:hAnsi="Times New Roman" w:cs="Times New Roman"/>
              </w:rPr>
              <w:t>În cazul în care potențialul achizitor este o instituție, iar pragul menționat la articolul 27a alineatul (2) este depășit atât pe bază individuală, cât și pe baza situației consolidate a grupului, autoritatea competentă și supraveghetorul consolidant care evaluează proiectul de achiziție încearcă să își coordoneze evaluările, în special în ceea ce privește consultarea de către aceștia a autorităților relevante menționate la alineatul (1) de la prezentul articol.</w:t>
            </w:r>
          </w:p>
        </w:tc>
        <w:tc>
          <w:tcPr>
            <w:tcW w:w="1834" w:type="pct"/>
            <w:tcBorders>
              <w:top w:val="single" w:sz="4" w:space="0" w:color="auto"/>
              <w:left w:val="single" w:sz="4" w:space="0" w:color="auto"/>
              <w:bottom w:val="single" w:sz="4" w:space="0" w:color="auto"/>
              <w:right w:val="single" w:sz="4" w:space="0" w:color="auto"/>
            </w:tcBorders>
          </w:tcPr>
          <w:p w14:paraId="630A8C8B" w14:textId="336D3E42" w:rsidR="00265766" w:rsidRPr="009E686F" w:rsidRDefault="00265766" w:rsidP="00265766">
            <w:pPr>
              <w:spacing w:after="0"/>
              <w:jc w:val="both"/>
              <w:rPr>
                <w:rFonts w:ascii="Times New Roman" w:hAnsi="Times New Roman" w:cs="Times New Roman"/>
                <w:bCs/>
                <w:i/>
                <w:iCs/>
                <w:lang w:val="pt-BR"/>
              </w:rPr>
            </w:pPr>
            <w:r w:rsidRPr="009E686F">
              <w:rPr>
                <w:rFonts w:ascii="Times New Roman" w:hAnsi="Times New Roman" w:cs="Times New Roman"/>
                <w:bCs/>
                <w:i/>
                <w:iCs/>
                <w:lang w:val="pt-BR"/>
              </w:rPr>
              <w:t xml:space="preserve">(4) În cazul în care potențialul achizitor este o instituție de credit, iar pragul menționat la art. </w:t>
            </w:r>
            <w:r w:rsidR="00102649" w:rsidRPr="009E686F">
              <w:rPr>
                <w:rFonts w:ascii="Times New Roman" w:eastAsia="Aptos" w:hAnsi="Times New Roman" w:cs="Times New Roman"/>
                <w:i/>
                <w:iCs/>
                <w:kern w:val="2"/>
                <w:lang w:val="ro-MD"/>
              </w:rPr>
              <w:t>57</w:t>
            </w:r>
            <w:r w:rsidR="00102649" w:rsidRPr="009E686F">
              <w:rPr>
                <w:rFonts w:ascii="Times New Roman" w:eastAsia="Aptos" w:hAnsi="Times New Roman" w:cs="Times New Roman"/>
                <w:i/>
                <w:iCs/>
                <w:kern w:val="2"/>
                <w:vertAlign w:val="superscript"/>
                <w:lang w:val="ro-MD"/>
              </w:rPr>
              <w:t>2</w:t>
            </w:r>
            <w:r w:rsidRPr="009E686F">
              <w:rPr>
                <w:rFonts w:ascii="Times New Roman" w:hAnsi="Times New Roman" w:cs="Times New Roman"/>
                <w:bCs/>
                <w:i/>
                <w:iCs/>
                <w:lang w:val="pt-BR"/>
              </w:rPr>
              <w:t xml:space="preserve"> alin. (2) este depășit atât pe bază individuală, cât și pe baza situației consolidate a grupului, Banca Națională a Moldovei care evaluează proiectul de achiziție încearcă să își coordoneze evaluările cu supraveghetorul consolidant, în special în ceea ce privește consultarea autorităților relevante menționate la alin. (1).</w:t>
            </w:r>
          </w:p>
        </w:tc>
        <w:tc>
          <w:tcPr>
            <w:tcW w:w="470" w:type="pct"/>
            <w:tcBorders>
              <w:top w:val="single" w:sz="4" w:space="0" w:color="auto"/>
              <w:left w:val="single" w:sz="4" w:space="0" w:color="auto"/>
              <w:bottom w:val="single" w:sz="4" w:space="0" w:color="auto"/>
              <w:right w:val="single" w:sz="4" w:space="0" w:color="auto"/>
            </w:tcBorders>
          </w:tcPr>
          <w:p w14:paraId="26BEA469" w14:textId="0756CC46" w:rsidR="00265766" w:rsidRPr="009E686F" w:rsidDel="003932E1" w:rsidRDefault="00265766" w:rsidP="00265766">
            <w:pPr>
              <w:jc w:val="both"/>
              <w:rPr>
                <w:rFonts w:ascii="Times New Roman" w:hAnsi="Times New Roman" w:cs="Times New Roman"/>
                <w:lang w:val="pt-BR"/>
              </w:rPr>
            </w:pPr>
            <w:r w:rsidRPr="009E686F">
              <w:rPr>
                <w:rFonts w:ascii="Times New Roman" w:hAnsi="Times New Roman" w:cs="Times New Roman"/>
                <w:lang w:val="ro-MD"/>
              </w:rPr>
              <w:t>Compatibil</w:t>
            </w:r>
          </w:p>
        </w:tc>
        <w:tc>
          <w:tcPr>
            <w:tcW w:w="806" w:type="pct"/>
            <w:tcBorders>
              <w:top w:val="single" w:sz="4" w:space="0" w:color="auto"/>
              <w:left w:val="single" w:sz="4" w:space="0" w:color="auto"/>
              <w:bottom w:val="single" w:sz="4" w:space="0" w:color="auto"/>
              <w:right w:val="single" w:sz="4" w:space="0" w:color="auto"/>
            </w:tcBorders>
          </w:tcPr>
          <w:p w14:paraId="7AB629E8" w14:textId="77777777" w:rsidR="00265766" w:rsidRPr="009E686F" w:rsidRDefault="00265766" w:rsidP="00265766">
            <w:pPr>
              <w:spacing w:after="0"/>
              <w:jc w:val="both"/>
              <w:rPr>
                <w:rFonts w:ascii="Times New Roman" w:hAnsi="Times New Roman" w:cs="Times New Roman"/>
                <w:color w:val="FF0000"/>
                <w:lang w:val="pt-BR"/>
              </w:rPr>
            </w:pPr>
          </w:p>
        </w:tc>
      </w:tr>
      <w:tr w:rsidR="00265766" w:rsidRPr="009E686F" w14:paraId="75F18CF5" w14:textId="77777777" w:rsidTr="00960C23">
        <w:tc>
          <w:tcPr>
            <w:tcW w:w="1890" w:type="pct"/>
            <w:tcBorders>
              <w:top w:val="single" w:sz="4" w:space="0" w:color="auto"/>
              <w:left w:val="single" w:sz="4" w:space="0" w:color="auto"/>
              <w:bottom w:val="single" w:sz="4" w:space="0" w:color="auto"/>
              <w:right w:val="single" w:sz="4" w:space="0" w:color="auto"/>
            </w:tcBorders>
          </w:tcPr>
          <w:p w14:paraId="21E3252E" w14:textId="45C0B71C" w:rsidR="00265766" w:rsidRPr="009E686F" w:rsidDel="003932E1" w:rsidRDefault="00265766" w:rsidP="00265766">
            <w:pPr>
              <w:spacing w:after="0"/>
              <w:jc w:val="both"/>
              <w:rPr>
                <w:rFonts w:ascii="Times New Roman" w:hAnsi="Times New Roman" w:cs="Times New Roman"/>
                <w:lang w:val="it-CH"/>
              </w:rPr>
            </w:pPr>
            <w:r w:rsidRPr="009E686F">
              <w:rPr>
                <w:rFonts w:ascii="Times New Roman" w:hAnsi="Times New Roman" w:cs="Times New Roman"/>
              </w:rPr>
              <w:t xml:space="preserve">(3) În cazul în care evaluarea proiectului de achiziție trebuie efectuată de supraveghetorul consolidant menționat la articolul </w:t>
            </w:r>
            <w:r w:rsidRPr="009E686F">
              <w:rPr>
                <w:rFonts w:ascii="Times New Roman" w:hAnsi="Times New Roman" w:cs="Times New Roman"/>
              </w:rPr>
              <w:lastRenderedPageBreak/>
              <w:t xml:space="preserve">27a alineatul (3), iar supraveghetorul consolidant este diferit de autoritatea competentă din statul membru în care este stabilit potențialul achizitor, cele două autorități colaborează în deplină consultare. Supraveghetorul consolidant pregătește o evaluare a proiectului de achiziție și transmite evaluarea respectivă autorității competente din statul membru în care este stabilit potențialul achizitor. </w:t>
            </w:r>
            <w:r w:rsidRPr="009E686F">
              <w:rPr>
                <w:rFonts w:ascii="Times New Roman" w:hAnsi="Times New Roman" w:cs="Times New Roman"/>
                <w:lang w:val="it-CH"/>
              </w:rPr>
              <w:t>Cele două autorități fac tot ce este posibil în limita competențelor lor pentru a ajunge la o decizie comună în termen de două luni de la data primirii evaluării respective. Decizia comună este documentată și justificată în mod corespunzător. Supraveghetorul consolidant comunică potențialului achizitor decizia comună respectivă.</w:t>
            </w:r>
          </w:p>
        </w:tc>
        <w:tc>
          <w:tcPr>
            <w:tcW w:w="1834" w:type="pct"/>
            <w:tcBorders>
              <w:top w:val="single" w:sz="4" w:space="0" w:color="auto"/>
              <w:left w:val="single" w:sz="4" w:space="0" w:color="auto"/>
              <w:bottom w:val="single" w:sz="4" w:space="0" w:color="auto"/>
              <w:right w:val="single" w:sz="4" w:space="0" w:color="auto"/>
            </w:tcBorders>
          </w:tcPr>
          <w:p w14:paraId="43068120" w14:textId="76AD9DA0" w:rsidR="00265766" w:rsidRPr="009E686F" w:rsidRDefault="00265766" w:rsidP="00265766">
            <w:pPr>
              <w:spacing w:after="0"/>
              <w:jc w:val="both"/>
              <w:rPr>
                <w:rFonts w:ascii="Times New Roman" w:hAnsi="Times New Roman" w:cs="Times New Roman"/>
                <w:bCs/>
                <w:i/>
                <w:iCs/>
                <w:lang w:val="ro-MD"/>
              </w:rPr>
            </w:pPr>
            <w:r w:rsidRPr="009E686F">
              <w:rPr>
                <w:rFonts w:ascii="Times New Roman" w:eastAsia="Aptos" w:hAnsi="Times New Roman" w:cs="Times New Roman"/>
                <w:i/>
                <w:iCs/>
                <w:kern w:val="2"/>
                <w:lang w:val="ro-MD"/>
              </w:rPr>
              <w:lastRenderedPageBreak/>
              <w:t xml:space="preserve">(5) În cazul în care evaluarea proiectului de achiziție trebuie efectuată de Banca Națională a Moldovei, în calitate de </w:t>
            </w:r>
            <w:r w:rsidRPr="009E686F">
              <w:rPr>
                <w:rFonts w:ascii="Times New Roman" w:eastAsia="Aptos" w:hAnsi="Times New Roman" w:cs="Times New Roman"/>
                <w:i/>
                <w:iCs/>
                <w:kern w:val="2"/>
                <w:lang w:val="ro-MD"/>
              </w:rPr>
              <w:lastRenderedPageBreak/>
              <w:t xml:space="preserve">supraveghetor consolidant, astfel cum prevede art. </w:t>
            </w:r>
            <w:r w:rsidR="00102649" w:rsidRPr="009E686F">
              <w:rPr>
                <w:rFonts w:ascii="Times New Roman" w:eastAsia="Aptos" w:hAnsi="Times New Roman" w:cs="Times New Roman"/>
                <w:i/>
                <w:iCs/>
                <w:kern w:val="2"/>
                <w:lang w:val="ro-MD"/>
              </w:rPr>
              <w:t>57</w:t>
            </w:r>
            <w:r w:rsidR="00102649" w:rsidRPr="009E686F">
              <w:rPr>
                <w:rFonts w:ascii="Times New Roman" w:eastAsia="Aptos" w:hAnsi="Times New Roman" w:cs="Times New Roman"/>
                <w:i/>
                <w:iCs/>
                <w:kern w:val="2"/>
                <w:vertAlign w:val="superscript"/>
                <w:lang w:val="ro-MD"/>
              </w:rPr>
              <w:t>2</w:t>
            </w:r>
            <w:r w:rsidRPr="009E686F">
              <w:rPr>
                <w:rFonts w:ascii="Times New Roman" w:eastAsia="Aptos" w:hAnsi="Times New Roman" w:cs="Times New Roman"/>
                <w:i/>
                <w:iCs/>
                <w:kern w:val="2"/>
                <w:lang w:val="ro-MD"/>
              </w:rPr>
              <w:t>alin. (4), iar supraveghetorul consolidant este diferit de autoritatea competentă din statul membru în care este stabilit potențialul achizitor, cele două autorități colaborează în deplină consultare. Banca Națională a Moldovei pregătește o evaluare a proiectului de achiziție și transmite evaluarea respectivă autorității competente din statul membru în care este stabilit potențialul achizitor. Cele două autorități fac tot ce este posibil în limita competențelor lor pentru a ajunge la o decizie comună în termen de două luni de la data primirii evaluării respective. Decizia comună este documentată și justificată în mod corespunzător. Banca Națională a Moldovei, în calitate de supraveghetor consolidant comunică potențialului achizitor decizia comună respectivă.</w:t>
            </w:r>
          </w:p>
        </w:tc>
        <w:tc>
          <w:tcPr>
            <w:tcW w:w="470" w:type="pct"/>
            <w:tcBorders>
              <w:top w:val="single" w:sz="4" w:space="0" w:color="auto"/>
              <w:left w:val="single" w:sz="4" w:space="0" w:color="auto"/>
              <w:bottom w:val="single" w:sz="4" w:space="0" w:color="auto"/>
              <w:right w:val="single" w:sz="4" w:space="0" w:color="auto"/>
            </w:tcBorders>
          </w:tcPr>
          <w:p w14:paraId="6B9489A8" w14:textId="6F0AD5A0" w:rsidR="00265766" w:rsidRPr="009E686F" w:rsidDel="003932E1" w:rsidRDefault="00265766" w:rsidP="00265766">
            <w:pPr>
              <w:jc w:val="both"/>
              <w:rPr>
                <w:rFonts w:ascii="Times New Roman" w:hAnsi="Times New Roman" w:cs="Times New Roman"/>
                <w:lang w:val="ro-MD"/>
              </w:rPr>
            </w:pPr>
            <w:r w:rsidRPr="009E686F">
              <w:rPr>
                <w:rFonts w:ascii="Times New Roman" w:hAnsi="Times New Roman" w:cs="Times New Roman"/>
                <w:lang w:val="ro-MD"/>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3C71D47D" w14:textId="77777777" w:rsidR="00265766" w:rsidRPr="009E686F" w:rsidRDefault="00265766" w:rsidP="00265766">
            <w:pPr>
              <w:spacing w:after="0"/>
              <w:jc w:val="both"/>
              <w:rPr>
                <w:rFonts w:ascii="Times New Roman" w:hAnsi="Times New Roman" w:cs="Times New Roman"/>
                <w:color w:val="FF0000"/>
                <w:lang w:val="ro-MD"/>
              </w:rPr>
            </w:pPr>
          </w:p>
        </w:tc>
      </w:tr>
      <w:tr w:rsidR="00265766" w:rsidRPr="009E686F" w14:paraId="12FDC1A0" w14:textId="77777777" w:rsidTr="00960C23">
        <w:tc>
          <w:tcPr>
            <w:tcW w:w="1890" w:type="pct"/>
            <w:tcBorders>
              <w:top w:val="single" w:sz="4" w:space="0" w:color="auto"/>
              <w:left w:val="single" w:sz="4" w:space="0" w:color="auto"/>
              <w:bottom w:val="single" w:sz="4" w:space="0" w:color="auto"/>
              <w:right w:val="single" w:sz="4" w:space="0" w:color="auto"/>
            </w:tcBorders>
          </w:tcPr>
          <w:p w14:paraId="19267AFD" w14:textId="262CEBE4" w:rsidR="00265766" w:rsidRPr="009E686F" w:rsidDel="003932E1" w:rsidRDefault="00265766" w:rsidP="00265766">
            <w:pPr>
              <w:spacing w:after="0"/>
              <w:jc w:val="both"/>
              <w:rPr>
                <w:rFonts w:ascii="Times New Roman" w:hAnsi="Times New Roman" w:cs="Times New Roman"/>
                <w:lang w:val="pt-BR"/>
              </w:rPr>
            </w:pPr>
            <w:r w:rsidRPr="009E686F">
              <w:rPr>
                <w:rFonts w:ascii="Times New Roman" w:hAnsi="Times New Roman" w:cs="Times New Roman"/>
                <w:lang w:val="ro-MD"/>
              </w:rPr>
              <w:t xml:space="preserve">În cazul în care nu se ia o decizie comună în termen de două luni de la primirea evaluării, supraveghetorul consolidant sau autoritatea competentă din statul membru în care este stabilit potențialul achizitor se abține de la luarea unei decizii și sesizează ABE în această privință în conformitate cu articolul 19 din Regulamentul (UE) nr. 1093/2010. </w:t>
            </w:r>
            <w:r w:rsidRPr="009E686F">
              <w:rPr>
                <w:rFonts w:ascii="Times New Roman" w:hAnsi="Times New Roman" w:cs="Times New Roman"/>
                <w:lang w:val="pt-BR"/>
              </w:rPr>
              <w:t>ABE ia o decizie în termen de o lună de la primirea sesizării. Autoritățile în cauză adoptă o decizie comună în conformitate cu decizia ABE.</w:t>
            </w:r>
          </w:p>
        </w:tc>
        <w:tc>
          <w:tcPr>
            <w:tcW w:w="1834" w:type="pct"/>
            <w:tcBorders>
              <w:top w:val="single" w:sz="4" w:space="0" w:color="auto"/>
              <w:left w:val="single" w:sz="4" w:space="0" w:color="auto"/>
              <w:bottom w:val="single" w:sz="4" w:space="0" w:color="auto"/>
              <w:right w:val="single" w:sz="4" w:space="0" w:color="auto"/>
            </w:tcBorders>
          </w:tcPr>
          <w:p w14:paraId="31198C57" w14:textId="0B35F281" w:rsidR="00265766" w:rsidRPr="009E686F" w:rsidRDefault="00265766" w:rsidP="00265766">
            <w:pPr>
              <w:spacing w:after="0"/>
              <w:jc w:val="both"/>
              <w:rPr>
                <w:rFonts w:ascii="Times New Roman" w:hAnsi="Times New Roman" w:cs="Times New Roman"/>
                <w:bCs/>
                <w:i/>
                <w:iCs/>
                <w:lang w:val="pt-BR"/>
              </w:rPr>
            </w:pPr>
            <w:r w:rsidRPr="009E686F">
              <w:rPr>
                <w:rFonts w:ascii="Times New Roman" w:hAnsi="Times New Roman" w:cs="Times New Roman"/>
                <w:bCs/>
                <w:i/>
                <w:iCs/>
                <w:lang w:val="pt-BR"/>
              </w:rPr>
              <w:t>(6) În cazul în care nu se ia decizia comună, astfel cum prevede alin. (5), Banca Națională a Moldovei, în calitate de supraveghetor consolidant sau autoritatea competentă din statul membru în care este stabilit potențialul achizitor se abține de la luarea unei decizii și sesizează Autoritatea Bancar</w:t>
            </w:r>
            <w:r w:rsidRPr="009E686F">
              <w:rPr>
                <w:rFonts w:ascii="Times New Roman" w:hAnsi="Times New Roman" w:cs="Times New Roman"/>
                <w:bCs/>
                <w:i/>
                <w:iCs/>
                <w:lang w:val="ro-RO"/>
              </w:rPr>
              <w:t xml:space="preserve">ă </w:t>
            </w:r>
            <w:r w:rsidRPr="009E686F">
              <w:rPr>
                <w:rFonts w:ascii="Times New Roman" w:hAnsi="Times New Roman" w:cs="Times New Roman"/>
                <w:bCs/>
                <w:i/>
                <w:iCs/>
                <w:lang w:val="pt-BR"/>
              </w:rPr>
              <w:t>Europeană în această privință, Banca Națională a Moldovei adoptă o decizie comună în conformitate cu decizia  Autorității Bancare Europene.</w:t>
            </w:r>
          </w:p>
        </w:tc>
        <w:tc>
          <w:tcPr>
            <w:tcW w:w="470" w:type="pct"/>
            <w:tcBorders>
              <w:top w:val="single" w:sz="4" w:space="0" w:color="auto"/>
              <w:left w:val="single" w:sz="4" w:space="0" w:color="auto"/>
              <w:bottom w:val="single" w:sz="4" w:space="0" w:color="auto"/>
              <w:right w:val="single" w:sz="4" w:space="0" w:color="auto"/>
            </w:tcBorders>
          </w:tcPr>
          <w:p w14:paraId="3C29AD76" w14:textId="026E1BF4" w:rsidR="00265766" w:rsidRPr="009E686F" w:rsidDel="003932E1" w:rsidRDefault="00265766" w:rsidP="00265766">
            <w:pPr>
              <w:jc w:val="both"/>
              <w:rPr>
                <w:rFonts w:ascii="Times New Roman" w:hAnsi="Times New Roman" w:cs="Times New Roman"/>
                <w:lang w:val="pt-BR"/>
              </w:rPr>
            </w:pPr>
            <w:r w:rsidRPr="009E686F">
              <w:rPr>
                <w:rFonts w:ascii="Times New Roman" w:hAnsi="Times New Roman" w:cs="Times New Roman"/>
                <w:lang w:val="ro-MD"/>
              </w:rPr>
              <w:t>Compatibil</w:t>
            </w:r>
          </w:p>
        </w:tc>
        <w:tc>
          <w:tcPr>
            <w:tcW w:w="806" w:type="pct"/>
            <w:tcBorders>
              <w:top w:val="single" w:sz="4" w:space="0" w:color="auto"/>
              <w:left w:val="single" w:sz="4" w:space="0" w:color="auto"/>
              <w:bottom w:val="single" w:sz="4" w:space="0" w:color="auto"/>
              <w:right w:val="single" w:sz="4" w:space="0" w:color="auto"/>
            </w:tcBorders>
          </w:tcPr>
          <w:p w14:paraId="25F06920" w14:textId="77777777" w:rsidR="00265766" w:rsidRPr="009E686F" w:rsidRDefault="00265766" w:rsidP="00265766">
            <w:pPr>
              <w:spacing w:after="0"/>
              <w:jc w:val="both"/>
              <w:rPr>
                <w:rFonts w:ascii="Times New Roman" w:hAnsi="Times New Roman" w:cs="Times New Roman"/>
                <w:color w:val="FF0000"/>
                <w:lang w:val="pt-BR"/>
              </w:rPr>
            </w:pPr>
          </w:p>
        </w:tc>
      </w:tr>
      <w:tr w:rsidR="00265766" w:rsidRPr="009E686F" w14:paraId="6760E927" w14:textId="77777777" w:rsidTr="00960C23">
        <w:tc>
          <w:tcPr>
            <w:tcW w:w="1890" w:type="pct"/>
            <w:tcBorders>
              <w:top w:val="single" w:sz="4" w:space="0" w:color="auto"/>
              <w:left w:val="single" w:sz="4" w:space="0" w:color="auto"/>
              <w:bottom w:val="single" w:sz="4" w:space="0" w:color="auto"/>
              <w:right w:val="single" w:sz="4" w:space="0" w:color="auto"/>
            </w:tcBorders>
          </w:tcPr>
          <w:p w14:paraId="1CFDEC26" w14:textId="252F7A9C" w:rsidR="00265766" w:rsidRPr="009E686F" w:rsidDel="003932E1" w:rsidRDefault="00265766" w:rsidP="00265766">
            <w:pPr>
              <w:spacing w:after="0"/>
              <w:jc w:val="both"/>
              <w:rPr>
                <w:rFonts w:ascii="Times New Roman" w:hAnsi="Times New Roman" w:cs="Times New Roman"/>
                <w:lang w:val="it-IT"/>
              </w:rPr>
            </w:pPr>
            <w:r w:rsidRPr="009E686F">
              <w:rPr>
                <w:rFonts w:ascii="Times New Roman" w:hAnsi="Times New Roman" w:cs="Times New Roman"/>
                <w:lang w:val="it-CH"/>
              </w:rPr>
              <w:t xml:space="preserve">(4) Autoritățile competente își furnizează reciproc, fără întârziere, informații esențiale sau relevante pentru evaluare. </w:t>
            </w:r>
            <w:r w:rsidRPr="009E686F">
              <w:rPr>
                <w:rFonts w:ascii="Times New Roman" w:hAnsi="Times New Roman" w:cs="Times New Roman"/>
                <w:lang w:val="it-IT"/>
              </w:rPr>
              <w:t>În această privință, autoritățile competente își comunică, la cerere sau din proprie inițiativă, orice informație relevantă pentru evaluare.</w:t>
            </w:r>
          </w:p>
        </w:tc>
        <w:tc>
          <w:tcPr>
            <w:tcW w:w="1834" w:type="pct"/>
            <w:tcBorders>
              <w:top w:val="single" w:sz="4" w:space="0" w:color="auto"/>
              <w:left w:val="single" w:sz="4" w:space="0" w:color="auto"/>
              <w:bottom w:val="single" w:sz="4" w:space="0" w:color="auto"/>
              <w:right w:val="single" w:sz="4" w:space="0" w:color="auto"/>
            </w:tcBorders>
          </w:tcPr>
          <w:p w14:paraId="7BAC09D3" w14:textId="71E7C403" w:rsidR="00265766" w:rsidRPr="009E686F" w:rsidRDefault="00265766" w:rsidP="00265766">
            <w:pPr>
              <w:spacing w:after="0"/>
              <w:jc w:val="both"/>
              <w:rPr>
                <w:rFonts w:ascii="Times New Roman" w:hAnsi="Times New Roman" w:cs="Times New Roman"/>
                <w:i/>
                <w:iCs/>
                <w:color w:val="8064A2" w:themeColor="accent4"/>
                <w:lang w:val="it-CH"/>
              </w:rPr>
            </w:pPr>
            <w:r w:rsidRPr="009E686F">
              <w:rPr>
                <w:rFonts w:ascii="Times New Roman" w:hAnsi="Times New Roman" w:cs="Times New Roman"/>
                <w:i/>
                <w:iCs/>
                <w:lang w:val="it-CH"/>
              </w:rPr>
              <w:t xml:space="preserve">(7) Banca Națională a Moldovei, în calitate de supraveghetor consolidant sau autoritate responsabilă de supravegherea la nivel individual a instituției de credit furnizează, fără întârziere,  informații esențiale sau relevante la cerere sau din proprie inițiativă pentru evaluare autorităților competente relevante, în sensul prezentului articol, urmărind coordonarea evaluărilor și asigurarea coerenței deciziilor lor. În acest sens, Bănca Națională a Moldovei, la adoptarea deciziei, ia în considerare orice </w:t>
            </w:r>
            <w:r w:rsidRPr="009E686F">
              <w:rPr>
                <w:rFonts w:ascii="Times New Roman" w:hAnsi="Times New Roman" w:cs="Times New Roman"/>
                <w:i/>
                <w:iCs/>
                <w:lang w:val="it-CH"/>
              </w:rPr>
              <w:lastRenderedPageBreak/>
              <w:t>opinii sau rezerve formulate de alte autorități competente relevante</w:t>
            </w:r>
            <w:r w:rsidRPr="009E686F">
              <w:rPr>
                <w:rFonts w:ascii="Times New Roman" w:hAnsi="Times New Roman" w:cs="Times New Roman"/>
                <w:i/>
                <w:iCs/>
                <w:color w:val="8064A2" w:themeColor="accent4"/>
                <w:lang w:val="it-CH"/>
              </w:rPr>
              <w:t xml:space="preserve">. </w:t>
            </w:r>
          </w:p>
        </w:tc>
        <w:tc>
          <w:tcPr>
            <w:tcW w:w="470" w:type="pct"/>
            <w:tcBorders>
              <w:top w:val="single" w:sz="4" w:space="0" w:color="auto"/>
              <w:left w:val="single" w:sz="4" w:space="0" w:color="auto"/>
              <w:bottom w:val="single" w:sz="4" w:space="0" w:color="auto"/>
              <w:right w:val="single" w:sz="4" w:space="0" w:color="auto"/>
            </w:tcBorders>
          </w:tcPr>
          <w:p w14:paraId="1201D1BA" w14:textId="1FA17EA3" w:rsidR="00265766" w:rsidRPr="009E686F" w:rsidDel="003932E1" w:rsidRDefault="00265766" w:rsidP="00265766">
            <w:pPr>
              <w:jc w:val="both"/>
              <w:rPr>
                <w:rFonts w:ascii="Times New Roman" w:hAnsi="Times New Roman" w:cs="Times New Roman"/>
                <w:lang w:val="it-IT"/>
              </w:rPr>
            </w:pPr>
            <w:r w:rsidRPr="009E686F">
              <w:rPr>
                <w:rFonts w:ascii="Times New Roman" w:hAnsi="Times New Roman" w:cs="Times New Roman"/>
                <w:lang w:val="ro-MD"/>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6AD7799A" w14:textId="77777777" w:rsidR="00265766" w:rsidRPr="009E686F" w:rsidRDefault="00265766" w:rsidP="00265766">
            <w:pPr>
              <w:spacing w:after="0"/>
              <w:jc w:val="both"/>
              <w:rPr>
                <w:rFonts w:ascii="Times New Roman" w:hAnsi="Times New Roman" w:cs="Times New Roman"/>
                <w:color w:val="FF0000"/>
                <w:lang w:val="it-IT"/>
              </w:rPr>
            </w:pPr>
          </w:p>
        </w:tc>
      </w:tr>
      <w:tr w:rsidR="00265766" w:rsidRPr="009E686F" w14:paraId="0CD34D3A" w14:textId="77777777" w:rsidTr="00960C23">
        <w:tc>
          <w:tcPr>
            <w:tcW w:w="1890" w:type="pct"/>
            <w:tcBorders>
              <w:top w:val="single" w:sz="4" w:space="0" w:color="auto"/>
              <w:left w:val="single" w:sz="4" w:space="0" w:color="auto"/>
              <w:bottom w:val="single" w:sz="4" w:space="0" w:color="auto"/>
              <w:right w:val="single" w:sz="4" w:space="0" w:color="auto"/>
            </w:tcBorders>
          </w:tcPr>
          <w:p w14:paraId="30C66B3B" w14:textId="210B7958" w:rsidR="00265766" w:rsidRPr="009E686F" w:rsidDel="003932E1" w:rsidRDefault="00265766" w:rsidP="00265766">
            <w:pPr>
              <w:spacing w:after="0"/>
              <w:jc w:val="both"/>
              <w:rPr>
                <w:rFonts w:ascii="Times New Roman" w:hAnsi="Times New Roman" w:cs="Times New Roman"/>
                <w:lang w:val="it-CH"/>
              </w:rPr>
            </w:pPr>
            <w:r w:rsidRPr="009E686F">
              <w:rPr>
                <w:rFonts w:ascii="Times New Roman" w:hAnsi="Times New Roman" w:cs="Times New Roman"/>
              </w:rPr>
              <w:t xml:space="preserve">Autoritățile competente urmăresc să își coordoneze evaluările și să asigure coerența deciziilor lor. </w:t>
            </w:r>
            <w:r w:rsidRPr="009E686F">
              <w:rPr>
                <w:rFonts w:ascii="Times New Roman" w:hAnsi="Times New Roman" w:cs="Times New Roman"/>
                <w:lang w:val="it-CH"/>
              </w:rPr>
              <w:t>În acest sens, decizia autorității competente responsabile cu evaluarea indică orice opinii sau rezerve formulate de alte autorități competente relevante.</w:t>
            </w:r>
          </w:p>
        </w:tc>
        <w:tc>
          <w:tcPr>
            <w:tcW w:w="1834" w:type="pct"/>
            <w:tcBorders>
              <w:top w:val="single" w:sz="4" w:space="0" w:color="auto"/>
              <w:left w:val="single" w:sz="4" w:space="0" w:color="auto"/>
              <w:bottom w:val="single" w:sz="4" w:space="0" w:color="auto"/>
              <w:right w:val="single" w:sz="4" w:space="0" w:color="auto"/>
            </w:tcBorders>
          </w:tcPr>
          <w:p w14:paraId="45447EEA" w14:textId="6AD40EFD" w:rsidR="00265766" w:rsidRPr="009E686F" w:rsidRDefault="00265766" w:rsidP="00265766">
            <w:pPr>
              <w:spacing w:after="0"/>
              <w:jc w:val="both"/>
              <w:rPr>
                <w:rFonts w:ascii="Times New Roman" w:hAnsi="Times New Roman" w:cs="Times New Roman"/>
                <w:b/>
                <w:lang w:val="it-CH"/>
              </w:rPr>
            </w:pPr>
            <w:r w:rsidRPr="009E686F">
              <w:rPr>
                <w:rFonts w:ascii="Times New Roman" w:hAnsi="Times New Roman" w:cs="Times New Roman"/>
                <w:i/>
                <w:lang w:val="it-CH"/>
              </w:rPr>
              <w:t>În acest sens, decizia Băncii Naționale a Moldovei responsabile cu evaluarea indică orice opinii sau rezerve formulate de alte autorități competente relevante.</w:t>
            </w:r>
          </w:p>
        </w:tc>
        <w:tc>
          <w:tcPr>
            <w:tcW w:w="470" w:type="pct"/>
            <w:tcBorders>
              <w:top w:val="single" w:sz="4" w:space="0" w:color="auto"/>
              <w:left w:val="single" w:sz="4" w:space="0" w:color="auto"/>
              <w:bottom w:val="single" w:sz="4" w:space="0" w:color="auto"/>
              <w:right w:val="single" w:sz="4" w:space="0" w:color="auto"/>
            </w:tcBorders>
          </w:tcPr>
          <w:p w14:paraId="6FC5C0BB" w14:textId="6D3AA9C6" w:rsidR="00265766" w:rsidRPr="009E686F" w:rsidDel="003932E1" w:rsidRDefault="00265766" w:rsidP="00265766">
            <w:pPr>
              <w:jc w:val="both"/>
              <w:rPr>
                <w:rFonts w:ascii="Times New Roman" w:hAnsi="Times New Roman" w:cs="Times New Roman"/>
                <w:lang w:val="it-IT"/>
              </w:rPr>
            </w:pPr>
            <w:r w:rsidRPr="009E686F">
              <w:rPr>
                <w:rFonts w:ascii="Times New Roman" w:hAnsi="Times New Roman" w:cs="Times New Roman"/>
                <w:lang w:val="ro-MD"/>
              </w:rPr>
              <w:t>Compatibil</w:t>
            </w:r>
          </w:p>
        </w:tc>
        <w:tc>
          <w:tcPr>
            <w:tcW w:w="806" w:type="pct"/>
            <w:tcBorders>
              <w:top w:val="single" w:sz="4" w:space="0" w:color="auto"/>
              <w:left w:val="single" w:sz="4" w:space="0" w:color="auto"/>
              <w:bottom w:val="single" w:sz="4" w:space="0" w:color="auto"/>
              <w:right w:val="single" w:sz="4" w:space="0" w:color="auto"/>
            </w:tcBorders>
          </w:tcPr>
          <w:p w14:paraId="107FAB17" w14:textId="77777777" w:rsidR="00265766" w:rsidRPr="009E686F" w:rsidRDefault="00265766" w:rsidP="00265766">
            <w:pPr>
              <w:spacing w:after="0"/>
              <w:jc w:val="both"/>
              <w:rPr>
                <w:rFonts w:ascii="Times New Roman" w:hAnsi="Times New Roman" w:cs="Times New Roman"/>
                <w:color w:val="FF0000"/>
                <w:lang w:val="it-IT"/>
              </w:rPr>
            </w:pPr>
          </w:p>
        </w:tc>
      </w:tr>
      <w:tr w:rsidR="00265766" w:rsidRPr="009E686F" w14:paraId="6E348F8A" w14:textId="77777777" w:rsidTr="00960C23">
        <w:tc>
          <w:tcPr>
            <w:tcW w:w="1890" w:type="pct"/>
            <w:tcBorders>
              <w:top w:val="single" w:sz="4" w:space="0" w:color="auto"/>
              <w:left w:val="single" w:sz="4" w:space="0" w:color="auto"/>
              <w:bottom w:val="single" w:sz="4" w:space="0" w:color="auto"/>
              <w:right w:val="single" w:sz="4" w:space="0" w:color="auto"/>
            </w:tcBorders>
          </w:tcPr>
          <w:p w14:paraId="40E010E1" w14:textId="77777777" w:rsidR="00265766" w:rsidRPr="009E686F" w:rsidDel="003932E1"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(5) ABE elaborează proiecte de standarde tehnice de punere în aplicare în scopul stabilirii unor proceduri și formulare comune, precum și modele pentru procesul de consultare dintre autoritățile competente relevante, astfel cum se menționează la prezentul articol.</w:t>
            </w:r>
          </w:p>
          <w:p w14:paraId="6EF45164" w14:textId="77777777" w:rsidR="00265766" w:rsidRPr="009E686F" w:rsidDel="003932E1"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ABE înaintează Comisiei aceste proiecte de standarde tehnice de punere în aplicare până la 10 iulie 2026.</w:t>
            </w:r>
          </w:p>
          <w:p w14:paraId="60BF27E2" w14:textId="2DE35860"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Se conferă Comisiei competența de a adopta standardele tehnice de punere în aplicare menționate la primul paragraf de la prezentul alineat, în conformitate cu articolul 15 din Regulamentul (UE) nr. 1093/2010.</w:t>
            </w:r>
          </w:p>
        </w:tc>
        <w:tc>
          <w:tcPr>
            <w:tcW w:w="1834" w:type="pct"/>
            <w:tcBorders>
              <w:top w:val="single" w:sz="4" w:space="0" w:color="auto"/>
              <w:left w:val="single" w:sz="4" w:space="0" w:color="auto"/>
              <w:bottom w:val="single" w:sz="4" w:space="0" w:color="auto"/>
              <w:right w:val="single" w:sz="4" w:space="0" w:color="auto"/>
            </w:tcBorders>
          </w:tcPr>
          <w:p w14:paraId="2069F992" w14:textId="77777777" w:rsidR="00265766" w:rsidRPr="009E686F" w:rsidRDefault="00265766" w:rsidP="00265766">
            <w:pPr>
              <w:spacing w:after="0"/>
              <w:jc w:val="both"/>
              <w:rPr>
                <w:rFonts w:ascii="Times New Roman" w:hAnsi="Times New Roman" w:cs="Times New Roman"/>
                <w:i/>
                <w:lang w:val="it-CH"/>
              </w:rPr>
            </w:pPr>
          </w:p>
        </w:tc>
        <w:tc>
          <w:tcPr>
            <w:tcW w:w="470" w:type="pct"/>
            <w:tcBorders>
              <w:top w:val="single" w:sz="4" w:space="0" w:color="auto"/>
              <w:left w:val="single" w:sz="4" w:space="0" w:color="auto"/>
              <w:bottom w:val="single" w:sz="4" w:space="0" w:color="auto"/>
              <w:right w:val="single" w:sz="4" w:space="0" w:color="auto"/>
            </w:tcBorders>
          </w:tcPr>
          <w:p w14:paraId="1C98222B" w14:textId="2A71A09B" w:rsidR="00265766" w:rsidRPr="009E686F" w:rsidRDefault="00265766" w:rsidP="00265766">
            <w:pPr>
              <w:jc w:val="both"/>
              <w:rPr>
                <w:rFonts w:ascii="Times New Roman" w:hAnsi="Times New Roman" w:cs="Times New Roman"/>
                <w:lang w:val="ro-MD"/>
              </w:rPr>
            </w:pPr>
            <w:r w:rsidRPr="009E686F">
              <w:rPr>
                <w:rFonts w:ascii="Times New Roman" w:hAnsi="Times New Roman" w:cs="Times New Roman"/>
                <w:lang w:val="it-IT"/>
              </w:rPr>
              <w:t>Norme UE neaplicabile</w:t>
            </w:r>
          </w:p>
        </w:tc>
        <w:tc>
          <w:tcPr>
            <w:tcW w:w="806" w:type="pct"/>
            <w:tcBorders>
              <w:top w:val="single" w:sz="4" w:space="0" w:color="auto"/>
              <w:left w:val="single" w:sz="4" w:space="0" w:color="auto"/>
              <w:bottom w:val="single" w:sz="4" w:space="0" w:color="auto"/>
              <w:right w:val="single" w:sz="4" w:space="0" w:color="auto"/>
            </w:tcBorders>
          </w:tcPr>
          <w:p w14:paraId="13639414" w14:textId="61548BC5" w:rsidR="00265766" w:rsidRPr="009E686F" w:rsidRDefault="00265766" w:rsidP="00265766">
            <w:pPr>
              <w:spacing w:after="0"/>
              <w:jc w:val="both"/>
              <w:rPr>
                <w:rFonts w:ascii="Times New Roman" w:hAnsi="Times New Roman" w:cs="Times New Roman"/>
                <w:color w:val="FF0000"/>
                <w:lang w:val="it-IT"/>
              </w:rPr>
            </w:pPr>
            <w:r w:rsidRPr="009E686F">
              <w:rPr>
                <w:rFonts w:ascii="Times New Roman" w:hAnsi="Times New Roman" w:cs="Times New Roman"/>
                <w:lang w:val="it-IT"/>
              </w:rPr>
              <w:t>Se referă la competențele ABE și ale Comisie Europene.</w:t>
            </w:r>
          </w:p>
        </w:tc>
      </w:tr>
      <w:tr w:rsidR="00265766" w:rsidRPr="009E686F" w14:paraId="6841EAB7" w14:textId="77777777" w:rsidTr="00960C23">
        <w:tc>
          <w:tcPr>
            <w:tcW w:w="1890" w:type="pct"/>
            <w:tcBorders>
              <w:top w:val="single" w:sz="4" w:space="0" w:color="auto"/>
              <w:left w:val="single" w:sz="4" w:space="0" w:color="auto"/>
              <w:bottom w:val="single" w:sz="4" w:space="0" w:color="auto"/>
              <w:right w:val="single" w:sz="4" w:space="0" w:color="auto"/>
            </w:tcBorders>
          </w:tcPr>
          <w:p w14:paraId="414714BD" w14:textId="77777777" w:rsidR="00265766" w:rsidRPr="009E686F" w:rsidRDefault="00265766" w:rsidP="00265766">
            <w:pPr>
              <w:spacing w:after="0"/>
              <w:jc w:val="both"/>
              <w:rPr>
                <w:rFonts w:ascii="Times New Roman" w:hAnsi="Times New Roman" w:cs="Times New Roman"/>
                <w:i/>
                <w:iCs/>
                <w:lang w:val="pt-BR"/>
              </w:rPr>
            </w:pPr>
            <w:r w:rsidRPr="009E686F">
              <w:rPr>
                <w:rFonts w:ascii="Times New Roman" w:hAnsi="Times New Roman" w:cs="Times New Roman"/>
                <w:i/>
                <w:iCs/>
                <w:lang w:val="pt-BR"/>
              </w:rPr>
              <w:t xml:space="preserve">Articolul 27d </w:t>
            </w:r>
          </w:p>
          <w:p w14:paraId="665F9449" w14:textId="2965CBC5" w:rsidR="00265766" w:rsidRPr="009E686F" w:rsidDel="003932E1" w:rsidRDefault="00265766" w:rsidP="00265766">
            <w:pPr>
              <w:spacing w:after="0"/>
              <w:jc w:val="both"/>
              <w:rPr>
                <w:rFonts w:ascii="Times New Roman" w:hAnsi="Times New Roman" w:cs="Times New Roman"/>
                <w:lang w:val="pt-BR"/>
              </w:rPr>
            </w:pPr>
            <w:r w:rsidRPr="009E686F">
              <w:rPr>
                <w:rFonts w:ascii="Times New Roman" w:hAnsi="Times New Roman" w:cs="Times New Roman"/>
                <w:lang w:val="pt-BR"/>
              </w:rPr>
              <w:t>Notificarea cesionării</w:t>
            </w:r>
          </w:p>
        </w:tc>
        <w:tc>
          <w:tcPr>
            <w:tcW w:w="1834" w:type="pct"/>
            <w:tcBorders>
              <w:top w:val="single" w:sz="4" w:space="0" w:color="auto"/>
              <w:left w:val="single" w:sz="4" w:space="0" w:color="auto"/>
              <w:bottom w:val="single" w:sz="4" w:space="0" w:color="auto"/>
              <w:right w:val="single" w:sz="4" w:space="0" w:color="auto"/>
            </w:tcBorders>
          </w:tcPr>
          <w:p w14:paraId="62356A61" w14:textId="343B3FAF" w:rsidR="00265766" w:rsidRPr="009E686F" w:rsidRDefault="00265766" w:rsidP="00265766">
            <w:pPr>
              <w:spacing w:after="0" w:line="278" w:lineRule="auto"/>
              <w:jc w:val="both"/>
              <w:rPr>
                <w:rFonts w:ascii="Times New Roman" w:eastAsia="Aptos" w:hAnsi="Times New Roman" w:cs="Times New Roman"/>
                <w:b/>
                <w:bCs/>
                <w:i/>
                <w:iCs/>
                <w:kern w:val="2"/>
                <w:lang w:val="ro-MD"/>
              </w:rPr>
            </w:pPr>
            <w:r w:rsidRPr="009E686F">
              <w:rPr>
                <w:rFonts w:ascii="Times New Roman" w:eastAsia="Aptos" w:hAnsi="Times New Roman" w:cs="Times New Roman"/>
                <w:b/>
                <w:bCs/>
                <w:i/>
                <w:iCs/>
                <w:kern w:val="2"/>
                <w:lang w:val="ro-MD"/>
              </w:rPr>
              <w:t>Articolul 5</w:t>
            </w:r>
            <w:r w:rsidR="0027483B" w:rsidRPr="009E686F">
              <w:rPr>
                <w:rFonts w:ascii="Times New Roman" w:eastAsia="Aptos" w:hAnsi="Times New Roman" w:cs="Times New Roman"/>
                <w:b/>
                <w:bCs/>
                <w:i/>
                <w:iCs/>
                <w:kern w:val="2"/>
                <w:lang w:val="ro-MD"/>
              </w:rPr>
              <w:t>7</w:t>
            </w:r>
            <w:r w:rsidR="0027483B" w:rsidRPr="009E686F">
              <w:rPr>
                <w:rFonts w:ascii="Times New Roman" w:eastAsia="Aptos" w:hAnsi="Times New Roman" w:cs="Times New Roman"/>
                <w:b/>
                <w:bCs/>
                <w:i/>
                <w:iCs/>
                <w:kern w:val="2"/>
                <w:vertAlign w:val="superscript"/>
                <w:lang w:val="ro-MD"/>
              </w:rPr>
              <w:t>4</w:t>
            </w:r>
            <w:r w:rsidRPr="009E686F">
              <w:rPr>
                <w:rFonts w:ascii="Times New Roman" w:eastAsia="Aptos" w:hAnsi="Times New Roman" w:cs="Times New Roman"/>
                <w:b/>
                <w:bCs/>
                <w:i/>
                <w:iCs/>
                <w:kern w:val="2"/>
                <w:lang w:val="ro-MD"/>
              </w:rPr>
              <w:t xml:space="preserve">. </w:t>
            </w:r>
            <w:r w:rsidRPr="009E686F">
              <w:rPr>
                <w:rFonts w:ascii="Times New Roman" w:eastAsia="Aptos" w:hAnsi="Times New Roman" w:cs="Times New Roman"/>
                <w:i/>
                <w:iCs/>
                <w:kern w:val="2"/>
                <w:lang w:val="ro-MD"/>
              </w:rPr>
              <w:t>Notificarea cesionării</w:t>
            </w:r>
            <w:r w:rsidRPr="009E686F">
              <w:rPr>
                <w:lang w:val="it-CH"/>
              </w:rPr>
              <w:t xml:space="preserve"> </w:t>
            </w:r>
            <w:r w:rsidRPr="009E686F">
              <w:rPr>
                <w:rFonts w:ascii="Times New Roman" w:eastAsia="Aptos" w:hAnsi="Times New Roman" w:cs="Times New Roman"/>
                <w:i/>
                <w:iCs/>
                <w:kern w:val="2"/>
                <w:lang w:val="ro-MD"/>
              </w:rPr>
              <w:t>și a intenției de dobândire a unei dețineri semnificative</w:t>
            </w:r>
          </w:p>
          <w:p w14:paraId="5B826921" w14:textId="77777777" w:rsidR="00265766" w:rsidRPr="009E686F" w:rsidRDefault="00265766" w:rsidP="00265766">
            <w:pPr>
              <w:spacing w:after="0"/>
              <w:jc w:val="both"/>
              <w:rPr>
                <w:rFonts w:ascii="Times New Roman" w:hAnsi="Times New Roman" w:cs="Times New Roman"/>
                <w:b/>
                <w:lang w:val="it-IT"/>
              </w:rPr>
            </w:pPr>
          </w:p>
        </w:tc>
        <w:tc>
          <w:tcPr>
            <w:tcW w:w="470" w:type="pct"/>
            <w:tcBorders>
              <w:top w:val="single" w:sz="4" w:space="0" w:color="auto"/>
              <w:left w:val="single" w:sz="4" w:space="0" w:color="auto"/>
              <w:bottom w:val="single" w:sz="4" w:space="0" w:color="auto"/>
              <w:right w:val="single" w:sz="4" w:space="0" w:color="auto"/>
            </w:tcBorders>
          </w:tcPr>
          <w:p w14:paraId="35080F66" w14:textId="6D0476D6" w:rsidR="00265766" w:rsidRPr="009E686F" w:rsidDel="003932E1" w:rsidRDefault="00265766" w:rsidP="00265766">
            <w:pPr>
              <w:jc w:val="both"/>
              <w:rPr>
                <w:rFonts w:ascii="Times New Roman" w:hAnsi="Times New Roman" w:cs="Times New Roman"/>
                <w:lang w:val="pt-BR"/>
              </w:rPr>
            </w:pPr>
            <w:r w:rsidRPr="009E686F">
              <w:rPr>
                <w:rFonts w:ascii="Times New Roman" w:hAnsi="Times New Roman" w:cs="Times New Roman"/>
                <w:lang w:val="ro-MD"/>
              </w:rPr>
              <w:t>Compatibil</w:t>
            </w:r>
          </w:p>
        </w:tc>
        <w:tc>
          <w:tcPr>
            <w:tcW w:w="806" w:type="pct"/>
            <w:tcBorders>
              <w:top w:val="single" w:sz="4" w:space="0" w:color="auto"/>
              <w:left w:val="single" w:sz="4" w:space="0" w:color="auto"/>
              <w:bottom w:val="single" w:sz="4" w:space="0" w:color="auto"/>
              <w:right w:val="single" w:sz="4" w:space="0" w:color="auto"/>
            </w:tcBorders>
          </w:tcPr>
          <w:p w14:paraId="114391ED" w14:textId="77777777" w:rsidR="00265766" w:rsidRPr="009E686F" w:rsidRDefault="00265766" w:rsidP="00265766">
            <w:pPr>
              <w:spacing w:after="0"/>
              <w:jc w:val="both"/>
              <w:rPr>
                <w:rFonts w:ascii="Times New Roman" w:hAnsi="Times New Roman" w:cs="Times New Roman"/>
                <w:color w:val="FF0000"/>
                <w:lang w:val="pt-BR"/>
              </w:rPr>
            </w:pPr>
          </w:p>
        </w:tc>
      </w:tr>
      <w:tr w:rsidR="00265766" w:rsidRPr="009E686F" w14:paraId="4B244573" w14:textId="77777777" w:rsidTr="00960C23">
        <w:tc>
          <w:tcPr>
            <w:tcW w:w="1890" w:type="pct"/>
            <w:tcBorders>
              <w:top w:val="single" w:sz="4" w:space="0" w:color="auto"/>
              <w:left w:val="single" w:sz="4" w:space="0" w:color="auto"/>
              <w:bottom w:val="single" w:sz="4" w:space="0" w:color="auto"/>
              <w:right w:val="single" w:sz="4" w:space="0" w:color="auto"/>
            </w:tcBorders>
          </w:tcPr>
          <w:p w14:paraId="242112AC" w14:textId="7FFEE367" w:rsidR="00265766" w:rsidRPr="009E686F" w:rsidDel="003932E1" w:rsidRDefault="00265766" w:rsidP="00265766">
            <w:pPr>
              <w:spacing w:after="0"/>
              <w:jc w:val="both"/>
              <w:rPr>
                <w:rFonts w:ascii="Times New Roman" w:hAnsi="Times New Roman" w:cs="Times New Roman"/>
                <w:lang w:val="pt-BR"/>
              </w:rPr>
            </w:pPr>
            <w:r w:rsidRPr="009E686F">
              <w:rPr>
                <w:rFonts w:ascii="Times New Roman" w:hAnsi="Times New Roman" w:cs="Times New Roman"/>
              </w:rPr>
              <w:t xml:space="preserve">Statele membre impun instituțiilor, precum și societăților financiare holding și societăților financiare holding mixte care intră sub incidența articolului 21a alineatul (1) obligația de a trimite o notificare autorității competente în cazul în care intenționează să cedeze, direct sau indirect, o deținere semnificativă, astfel cum este stabilită în conformitate cu articolul 27a alineatul (2). </w:t>
            </w:r>
            <w:r w:rsidRPr="009E686F">
              <w:rPr>
                <w:rFonts w:ascii="Times New Roman" w:hAnsi="Times New Roman" w:cs="Times New Roman"/>
                <w:lang w:val="pt-BR"/>
              </w:rPr>
              <w:t>Notificarea respectivă se face în scris și înainte de cesionare, indicând dimensiunea participației în cauză.</w:t>
            </w:r>
          </w:p>
        </w:tc>
        <w:tc>
          <w:tcPr>
            <w:tcW w:w="1834" w:type="pct"/>
            <w:tcBorders>
              <w:top w:val="single" w:sz="4" w:space="0" w:color="auto"/>
              <w:left w:val="single" w:sz="4" w:space="0" w:color="auto"/>
              <w:bottom w:val="single" w:sz="4" w:space="0" w:color="auto"/>
              <w:right w:val="single" w:sz="4" w:space="0" w:color="auto"/>
            </w:tcBorders>
          </w:tcPr>
          <w:p w14:paraId="7D444C0E" w14:textId="058FB90A" w:rsidR="00265766" w:rsidRPr="009E686F" w:rsidRDefault="00721A05" w:rsidP="00721A05">
            <w:pPr>
              <w:spacing w:after="0"/>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 xml:space="preserve">(1) </w:t>
            </w:r>
            <w:r w:rsidR="00265766" w:rsidRPr="009E686F">
              <w:rPr>
                <w:rFonts w:ascii="Times New Roman" w:eastAsia="Aptos" w:hAnsi="Times New Roman" w:cs="Times New Roman"/>
                <w:i/>
                <w:iCs/>
                <w:kern w:val="2"/>
                <w:lang w:val="ro-MD"/>
              </w:rPr>
              <w:t>Instituțiile de credit, precum și societățile financiare holding și societăților financiare holding mixte care fac obiectul art. 116</w:t>
            </w:r>
            <w:r w:rsidR="00265766" w:rsidRPr="009E686F">
              <w:rPr>
                <w:rFonts w:ascii="Times New Roman" w:eastAsia="Aptos" w:hAnsi="Times New Roman" w:cs="Times New Roman"/>
                <w:i/>
                <w:iCs/>
                <w:kern w:val="2"/>
                <w:vertAlign w:val="superscript"/>
                <w:lang w:val="ro-MD"/>
              </w:rPr>
              <w:t>1</w:t>
            </w:r>
            <w:r w:rsidR="00265766" w:rsidRPr="009E686F">
              <w:rPr>
                <w:rFonts w:ascii="Times New Roman" w:eastAsia="Aptos" w:hAnsi="Times New Roman" w:cs="Times New Roman"/>
                <w:i/>
                <w:iCs/>
                <w:kern w:val="2"/>
                <w:lang w:val="ro-MD"/>
              </w:rPr>
              <w:t xml:space="preserve"> alin. (1)</w:t>
            </w:r>
            <w:r w:rsidR="00345062" w:rsidRPr="009E686F">
              <w:rPr>
                <w:rFonts w:ascii="Times New Roman" w:eastAsia="Aptos" w:hAnsi="Times New Roman" w:cs="Times New Roman"/>
                <w:i/>
                <w:iCs/>
                <w:kern w:val="2"/>
                <w:lang w:val="ro-MD"/>
              </w:rPr>
              <w:t xml:space="preserve"> și </w:t>
            </w:r>
            <w:r w:rsidR="00265766" w:rsidRPr="009E686F">
              <w:rPr>
                <w:rFonts w:ascii="Times New Roman" w:eastAsia="Aptos" w:hAnsi="Times New Roman" w:cs="Times New Roman"/>
                <w:i/>
                <w:iCs/>
                <w:kern w:val="2"/>
                <w:lang w:val="ro-MD"/>
              </w:rPr>
              <w:t xml:space="preserve">(2) trebuie să transmită o notificare scrisă Băncii Naționale a Moldovei în cazul în care intenționează să cedeze, direct sau indirect, o deținere semnificativă, determinată conform art. </w:t>
            </w:r>
            <w:r w:rsidR="00C235BC" w:rsidRPr="009E686F">
              <w:rPr>
                <w:rFonts w:ascii="Times New Roman" w:eastAsia="Aptos" w:hAnsi="Times New Roman" w:cs="Times New Roman"/>
                <w:i/>
                <w:iCs/>
                <w:kern w:val="2"/>
                <w:lang w:val="ro-MD"/>
              </w:rPr>
              <w:t>57</w:t>
            </w:r>
            <w:r w:rsidR="00C235BC" w:rsidRPr="009E686F">
              <w:rPr>
                <w:rFonts w:ascii="Times New Roman" w:eastAsia="Aptos" w:hAnsi="Times New Roman" w:cs="Times New Roman"/>
                <w:i/>
                <w:iCs/>
                <w:kern w:val="2"/>
                <w:vertAlign w:val="superscript"/>
                <w:lang w:val="ro-MD"/>
              </w:rPr>
              <w:t>1</w:t>
            </w:r>
            <w:r w:rsidR="00265766" w:rsidRPr="009E686F">
              <w:rPr>
                <w:rFonts w:ascii="Times New Roman" w:eastAsia="Aptos" w:hAnsi="Times New Roman" w:cs="Times New Roman"/>
                <w:i/>
                <w:iCs/>
                <w:kern w:val="2"/>
                <w:lang w:val="ro-MD"/>
              </w:rPr>
              <w:t xml:space="preserve"> alin. (2), înainte de cesionare, indicând nivelul deținerii respective.</w:t>
            </w:r>
          </w:p>
          <w:p w14:paraId="41482726" w14:textId="77777777" w:rsidR="00F90DDF" w:rsidRPr="009E686F" w:rsidRDefault="00F90DDF" w:rsidP="00721A05">
            <w:pPr>
              <w:spacing w:after="0"/>
              <w:jc w:val="both"/>
              <w:rPr>
                <w:rFonts w:ascii="Times New Roman" w:hAnsi="Times New Roman" w:cs="Times New Roman"/>
                <w:bCs/>
                <w:i/>
                <w:iCs/>
                <w:lang w:val="pt-BR"/>
              </w:rPr>
            </w:pPr>
            <w:r w:rsidRPr="009E686F">
              <w:rPr>
                <w:rFonts w:ascii="Times New Roman" w:hAnsi="Times New Roman" w:cs="Times New Roman"/>
                <w:bCs/>
                <w:i/>
                <w:iCs/>
                <w:lang w:val="pt-BR"/>
              </w:rPr>
              <w:t>(2) Instituțiile de credit care au intenția de a dobândi o deținere sub nivelurile prevăzute la art. 55 alin. (1) și art. 57</w:t>
            </w:r>
            <w:r w:rsidRPr="009E686F">
              <w:rPr>
                <w:rFonts w:ascii="Times New Roman" w:hAnsi="Times New Roman" w:cs="Times New Roman"/>
                <w:bCs/>
                <w:i/>
                <w:iCs/>
                <w:vertAlign w:val="superscript"/>
                <w:lang w:val="pt-BR"/>
              </w:rPr>
              <w:t>1</w:t>
            </w:r>
            <w:r w:rsidRPr="009E686F">
              <w:rPr>
                <w:rFonts w:ascii="Times New Roman" w:hAnsi="Times New Roman" w:cs="Times New Roman"/>
                <w:bCs/>
                <w:i/>
                <w:iCs/>
                <w:lang w:val="pt-BR"/>
              </w:rPr>
              <w:t xml:space="preserve"> alin. (2) într-o întreprindere trebuie să transmită o notificare scrisă Băncii Naționale a Moldovei, cel târziu cu 30 zile </w:t>
            </w:r>
            <w:r w:rsidRPr="009E686F">
              <w:rPr>
                <w:rFonts w:ascii="Times New Roman" w:hAnsi="Times New Roman" w:cs="Times New Roman"/>
                <w:bCs/>
                <w:i/>
                <w:iCs/>
                <w:lang w:val="pt-BR"/>
              </w:rPr>
              <w:lastRenderedPageBreak/>
              <w:t>lucrătoare înainte de data preconizată a tranzacției, indicând nivelul deținerii respective.</w:t>
            </w:r>
          </w:p>
          <w:p w14:paraId="69EBE647" w14:textId="19E1BF54" w:rsidR="00F90DDF" w:rsidRPr="009E686F" w:rsidRDefault="00F90DDF" w:rsidP="00721A05">
            <w:pPr>
              <w:spacing w:after="0"/>
              <w:jc w:val="both"/>
              <w:rPr>
                <w:rFonts w:ascii="Times New Roman" w:hAnsi="Times New Roman" w:cs="Times New Roman"/>
                <w:bCs/>
                <w:i/>
                <w:iCs/>
                <w:lang w:val="pt-BR"/>
              </w:rPr>
            </w:pPr>
            <w:r w:rsidRPr="009E686F">
              <w:rPr>
                <w:rFonts w:ascii="Times New Roman" w:hAnsi="Times New Roman" w:cs="Times New Roman"/>
                <w:bCs/>
                <w:i/>
                <w:iCs/>
                <w:lang w:val="pt-BR"/>
              </w:rPr>
              <w:t>(3) În exercitarea competențelor sale de supraveghere prevăzute de prezenta lege, Banca Națională a Moldovei poate solicita informații și documente ulterior recepționării notificărilor prevăzute la alin. (1) și (2).</w:t>
            </w:r>
          </w:p>
        </w:tc>
        <w:tc>
          <w:tcPr>
            <w:tcW w:w="470" w:type="pct"/>
            <w:tcBorders>
              <w:top w:val="single" w:sz="4" w:space="0" w:color="auto"/>
              <w:left w:val="single" w:sz="4" w:space="0" w:color="auto"/>
              <w:bottom w:val="single" w:sz="4" w:space="0" w:color="auto"/>
              <w:right w:val="single" w:sz="4" w:space="0" w:color="auto"/>
            </w:tcBorders>
          </w:tcPr>
          <w:p w14:paraId="19EE331F" w14:textId="4976C8DC" w:rsidR="00265766" w:rsidRPr="009E686F" w:rsidDel="003932E1" w:rsidRDefault="00265766" w:rsidP="00265766">
            <w:pPr>
              <w:jc w:val="both"/>
              <w:rPr>
                <w:rFonts w:ascii="Times New Roman" w:hAnsi="Times New Roman" w:cs="Times New Roman"/>
                <w:lang w:val="pt-BR"/>
              </w:rPr>
            </w:pPr>
            <w:r w:rsidRPr="009E686F">
              <w:rPr>
                <w:rFonts w:ascii="Times New Roman" w:hAnsi="Times New Roman" w:cs="Times New Roman"/>
                <w:lang w:val="ro-MD"/>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622BF35E" w14:textId="77777777" w:rsidR="00265766" w:rsidRPr="009E686F" w:rsidRDefault="00265766" w:rsidP="00265766">
            <w:pPr>
              <w:spacing w:after="0"/>
              <w:jc w:val="both"/>
              <w:rPr>
                <w:rFonts w:ascii="Times New Roman" w:hAnsi="Times New Roman" w:cs="Times New Roman"/>
                <w:color w:val="FF0000"/>
                <w:lang w:val="pt-BR"/>
              </w:rPr>
            </w:pPr>
          </w:p>
        </w:tc>
      </w:tr>
      <w:tr w:rsidR="00265766" w:rsidRPr="009E686F" w14:paraId="7626426D" w14:textId="77777777" w:rsidTr="00960C23">
        <w:tc>
          <w:tcPr>
            <w:tcW w:w="1890" w:type="pct"/>
            <w:tcBorders>
              <w:top w:val="single" w:sz="4" w:space="0" w:color="auto"/>
              <w:left w:val="single" w:sz="4" w:space="0" w:color="auto"/>
              <w:bottom w:val="single" w:sz="4" w:space="0" w:color="auto"/>
              <w:right w:val="single" w:sz="4" w:space="0" w:color="auto"/>
            </w:tcBorders>
          </w:tcPr>
          <w:p w14:paraId="6BE22DCD" w14:textId="77777777" w:rsidR="00265766" w:rsidRPr="009E686F" w:rsidRDefault="00265766" w:rsidP="00265766">
            <w:pPr>
              <w:spacing w:after="0"/>
              <w:jc w:val="both"/>
              <w:rPr>
                <w:rFonts w:ascii="Times New Roman" w:hAnsi="Times New Roman" w:cs="Times New Roman"/>
                <w:i/>
                <w:iCs/>
                <w:lang w:val="pt-BR"/>
              </w:rPr>
            </w:pPr>
            <w:r w:rsidRPr="009E686F">
              <w:rPr>
                <w:rFonts w:ascii="Times New Roman" w:hAnsi="Times New Roman" w:cs="Times New Roman"/>
                <w:i/>
                <w:iCs/>
                <w:lang w:val="pt-BR"/>
              </w:rPr>
              <w:t xml:space="preserve">Articolul 27e </w:t>
            </w:r>
          </w:p>
          <w:p w14:paraId="68B9D2D4" w14:textId="19B91187" w:rsidR="00265766" w:rsidRPr="009E686F" w:rsidDel="003932E1" w:rsidRDefault="00265766" w:rsidP="00265766">
            <w:pPr>
              <w:spacing w:after="0"/>
              <w:jc w:val="both"/>
              <w:rPr>
                <w:rFonts w:ascii="Times New Roman" w:hAnsi="Times New Roman" w:cs="Times New Roman"/>
                <w:lang w:val="pt-BR"/>
              </w:rPr>
            </w:pPr>
            <w:r w:rsidRPr="009E686F">
              <w:rPr>
                <w:rFonts w:ascii="Times New Roman" w:hAnsi="Times New Roman" w:cs="Times New Roman"/>
                <w:lang w:val="pt-BR"/>
              </w:rPr>
              <w:t>Obligații de informare și sancțiuni</w:t>
            </w:r>
          </w:p>
        </w:tc>
        <w:tc>
          <w:tcPr>
            <w:tcW w:w="1834" w:type="pct"/>
            <w:tcBorders>
              <w:top w:val="single" w:sz="4" w:space="0" w:color="auto"/>
              <w:left w:val="single" w:sz="4" w:space="0" w:color="auto"/>
              <w:bottom w:val="single" w:sz="4" w:space="0" w:color="auto"/>
              <w:right w:val="single" w:sz="4" w:space="0" w:color="auto"/>
            </w:tcBorders>
          </w:tcPr>
          <w:p w14:paraId="34B2499B" w14:textId="096440ED" w:rsidR="00265766" w:rsidRPr="009E686F" w:rsidRDefault="00265766" w:rsidP="00265766">
            <w:pPr>
              <w:spacing w:after="0" w:line="278" w:lineRule="auto"/>
              <w:jc w:val="both"/>
              <w:rPr>
                <w:rFonts w:ascii="Times New Roman" w:eastAsia="Aptos" w:hAnsi="Times New Roman" w:cs="Times New Roman"/>
                <w:i/>
                <w:iCs/>
                <w:kern w:val="2"/>
                <w:lang w:val="ro-MD"/>
              </w:rPr>
            </w:pPr>
            <w:r w:rsidRPr="009E686F">
              <w:rPr>
                <w:rFonts w:ascii="Times New Roman" w:eastAsia="Aptos" w:hAnsi="Times New Roman" w:cs="Times New Roman"/>
                <w:b/>
                <w:bCs/>
                <w:i/>
                <w:iCs/>
                <w:kern w:val="2"/>
                <w:lang w:val="ro-MD"/>
              </w:rPr>
              <w:t>Articolul 5</w:t>
            </w:r>
            <w:r w:rsidR="003E06DC" w:rsidRPr="009E686F">
              <w:rPr>
                <w:rFonts w:ascii="Times New Roman" w:eastAsia="Aptos" w:hAnsi="Times New Roman" w:cs="Times New Roman"/>
                <w:b/>
                <w:bCs/>
                <w:i/>
                <w:iCs/>
                <w:kern w:val="2"/>
                <w:lang w:val="ro-MD"/>
              </w:rPr>
              <w:t>7</w:t>
            </w:r>
            <w:r w:rsidR="003E06DC" w:rsidRPr="009E686F">
              <w:rPr>
                <w:rFonts w:ascii="Times New Roman" w:eastAsia="Aptos" w:hAnsi="Times New Roman" w:cs="Times New Roman"/>
                <w:b/>
                <w:bCs/>
                <w:i/>
                <w:iCs/>
                <w:kern w:val="2"/>
                <w:vertAlign w:val="superscript"/>
                <w:lang w:val="ro-MD"/>
              </w:rPr>
              <w:t>5</w:t>
            </w:r>
            <w:r w:rsidRPr="009E686F">
              <w:rPr>
                <w:rFonts w:ascii="Times New Roman" w:eastAsia="Aptos" w:hAnsi="Times New Roman" w:cs="Times New Roman"/>
                <w:b/>
                <w:bCs/>
                <w:i/>
                <w:iCs/>
                <w:kern w:val="2"/>
                <w:lang w:val="ro-MD"/>
              </w:rPr>
              <w:t xml:space="preserve">. </w:t>
            </w:r>
            <w:r w:rsidRPr="009E686F">
              <w:rPr>
                <w:rFonts w:ascii="Times New Roman" w:eastAsia="Aptos" w:hAnsi="Times New Roman" w:cs="Times New Roman"/>
                <w:i/>
                <w:iCs/>
                <w:kern w:val="2"/>
                <w:lang w:val="ro-MD"/>
              </w:rPr>
              <w:t xml:space="preserve">Sancțiunile aplicate pentru neîndeplinirea obligației de notificare </w:t>
            </w:r>
          </w:p>
        </w:tc>
        <w:tc>
          <w:tcPr>
            <w:tcW w:w="470" w:type="pct"/>
            <w:tcBorders>
              <w:top w:val="single" w:sz="4" w:space="0" w:color="auto"/>
              <w:left w:val="single" w:sz="4" w:space="0" w:color="auto"/>
              <w:bottom w:val="single" w:sz="4" w:space="0" w:color="auto"/>
              <w:right w:val="single" w:sz="4" w:space="0" w:color="auto"/>
            </w:tcBorders>
          </w:tcPr>
          <w:p w14:paraId="36BE9B65" w14:textId="6EB0CE88" w:rsidR="00265766" w:rsidRPr="009E686F" w:rsidDel="003932E1" w:rsidRDefault="00265766" w:rsidP="00265766">
            <w:pPr>
              <w:jc w:val="both"/>
              <w:rPr>
                <w:rFonts w:ascii="Times New Roman" w:hAnsi="Times New Roman" w:cs="Times New Roman"/>
                <w:lang w:val="pt-BR"/>
              </w:rPr>
            </w:pPr>
            <w:r w:rsidRPr="009E686F">
              <w:rPr>
                <w:rFonts w:ascii="Times New Roman" w:hAnsi="Times New Roman" w:cs="Times New Roman"/>
                <w:lang w:val="ro-MD"/>
              </w:rPr>
              <w:t>Compatibil</w:t>
            </w:r>
          </w:p>
        </w:tc>
        <w:tc>
          <w:tcPr>
            <w:tcW w:w="806" w:type="pct"/>
            <w:tcBorders>
              <w:top w:val="single" w:sz="4" w:space="0" w:color="auto"/>
              <w:left w:val="single" w:sz="4" w:space="0" w:color="auto"/>
              <w:bottom w:val="single" w:sz="4" w:space="0" w:color="auto"/>
              <w:right w:val="single" w:sz="4" w:space="0" w:color="auto"/>
            </w:tcBorders>
          </w:tcPr>
          <w:p w14:paraId="495C5499" w14:textId="77777777" w:rsidR="00265766" w:rsidRPr="009E686F" w:rsidRDefault="00265766" w:rsidP="00265766">
            <w:pPr>
              <w:spacing w:after="0"/>
              <w:jc w:val="both"/>
              <w:rPr>
                <w:rFonts w:ascii="Times New Roman" w:hAnsi="Times New Roman" w:cs="Times New Roman"/>
                <w:color w:val="FF0000"/>
                <w:lang w:val="pt-BR"/>
              </w:rPr>
            </w:pPr>
          </w:p>
        </w:tc>
      </w:tr>
      <w:tr w:rsidR="00265766" w:rsidRPr="009E686F" w14:paraId="7222D704" w14:textId="77777777" w:rsidTr="00960C23">
        <w:tc>
          <w:tcPr>
            <w:tcW w:w="1890" w:type="pct"/>
            <w:tcBorders>
              <w:top w:val="single" w:sz="4" w:space="0" w:color="auto"/>
              <w:left w:val="single" w:sz="4" w:space="0" w:color="auto"/>
              <w:bottom w:val="single" w:sz="4" w:space="0" w:color="auto"/>
              <w:right w:val="single" w:sz="4" w:space="0" w:color="auto"/>
            </w:tcBorders>
          </w:tcPr>
          <w:p w14:paraId="074D3C40" w14:textId="6109D348" w:rsidR="00265766" w:rsidRPr="009E686F" w:rsidDel="003932E1" w:rsidRDefault="00265766" w:rsidP="00265766">
            <w:pPr>
              <w:spacing w:after="0"/>
              <w:jc w:val="both"/>
              <w:rPr>
                <w:rFonts w:ascii="Times New Roman" w:hAnsi="Times New Roman" w:cs="Times New Roman"/>
              </w:rPr>
            </w:pPr>
            <w:r w:rsidRPr="009E686F">
              <w:rPr>
                <w:rFonts w:ascii="Times New Roman" w:hAnsi="Times New Roman" w:cs="Times New Roman"/>
              </w:rPr>
              <w:t>În cazul în care potențialul achizitor nu notifică în prealabil proiectul de achiziție în conformitate cu articolul 27a alineatul (1) sau a achiziționat o deținere semnificativă, astfel cum se menționează la articolul respectiv, în pofida opoziției din partea autorității competente, statele membre impun autorității competente obligația de a lua măsurile corespunzătoare. În cazul în care se achiziționează o deținere semnificativă în pofida opoziției autorității competente, statele membre, fără a aduce atingere potențialelor sancțiuni, dispun fie suspendarea exercitării drepturilor de vot aferente, fie declararea voturilor exprimate ca fiind nule.</w:t>
            </w:r>
          </w:p>
        </w:tc>
        <w:tc>
          <w:tcPr>
            <w:tcW w:w="1834" w:type="pct"/>
            <w:tcBorders>
              <w:top w:val="single" w:sz="4" w:space="0" w:color="auto"/>
              <w:left w:val="single" w:sz="4" w:space="0" w:color="auto"/>
              <w:bottom w:val="single" w:sz="4" w:space="0" w:color="auto"/>
              <w:right w:val="single" w:sz="4" w:space="0" w:color="auto"/>
            </w:tcBorders>
          </w:tcPr>
          <w:p w14:paraId="45AC5510" w14:textId="661B8AC1" w:rsidR="00265766" w:rsidRPr="009E686F" w:rsidRDefault="00265766" w:rsidP="00265766">
            <w:pPr>
              <w:spacing w:after="0"/>
              <w:jc w:val="both"/>
              <w:rPr>
                <w:rFonts w:ascii="Times New Roman" w:hAnsi="Times New Roman" w:cs="Times New Roman"/>
                <w:b/>
                <w:i/>
                <w:iCs/>
                <w:lang w:val="ro-MD"/>
              </w:rPr>
            </w:pPr>
            <w:r w:rsidRPr="009E686F">
              <w:rPr>
                <w:rFonts w:ascii="Times New Roman" w:eastAsia="Aptos" w:hAnsi="Times New Roman" w:cs="Times New Roman"/>
                <w:i/>
                <w:iCs/>
                <w:kern w:val="2"/>
                <w:lang w:val="ro-MD"/>
              </w:rPr>
              <w:t xml:space="preserve">Fără a aduce atingere prevederilor din prezenta lege cu privire la aplicarea sancțiunilor, Banca Națională a Moldovei dispune fie suspendarea exercitării drepturilor de vot aferente, fie declararea voturilor exprimate ca fiind nule, în cazul în care potențialul achizitor nu notifică în prealabil proiectul de achiziție în conformitate cu art. </w:t>
            </w:r>
            <w:r w:rsidR="003E06DC" w:rsidRPr="009E686F">
              <w:rPr>
                <w:rFonts w:ascii="Times New Roman" w:eastAsia="Aptos" w:hAnsi="Times New Roman" w:cs="Times New Roman"/>
                <w:i/>
                <w:iCs/>
                <w:kern w:val="2"/>
                <w:lang w:val="ro-MD"/>
              </w:rPr>
              <w:t>57</w:t>
            </w:r>
            <w:r w:rsidR="003E06DC" w:rsidRPr="009E686F">
              <w:rPr>
                <w:rFonts w:ascii="Times New Roman" w:eastAsia="Aptos" w:hAnsi="Times New Roman" w:cs="Times New Roman"/>
                <w:i/>
                <w:iCs/>
                <w:kern w:val="2"/>
                <w:vertAlign w:val="superscript"/>
                <w:lang w:val="ro-MD"/>
              </w:rPr>
              <w:t>1</w:t>
            </w:r>
            <w:r w:rsidR="003E06DC" w:rsidRPr="009E686F">
              <w:rPr>
                <w:rFonts w:ascii="Times New Roman" w:eastAsia="Aptos" w:hAnsi="Times New Roman" w:cs="Times New Roman"/>
                <w:i/>
                <w:iCs/>
                <w:kern w:val="2"/>
                <w:lang w:val="ro-MD"/>
              </w:rPr>
              <w:t xml:space="preserve"> </w:t>
            </w:r>
            <w:r w:rsidRPr="009E686F">
              <w:rPr>
                <w:rFonts w:ascii="Times New Roman" w:eastAsia="Aptos" w:hAnsi="Times New Roman" w:cs="Times New Roman"/>
                <w:i/>
                <w:iCs/>
                <w:kern w:val="2"/>
                <w:lang w:val="ro-MD"/>
              </w:rPr>
              <w:t xml:space="preserve"> alin. (1) sau a achiziționat o deținere semnificativă, astfel cum se menționează la articolul respectiv, în pofida opoziției din partea Băncii Naționale a Moldovei.</w:t>
            </w:r>
          </w:p>
        </w:tc>
        <w:tc>
          <w:tcPr>
            <w:tcW w:w="470" w:type="pct"/>
            <w:tcBorders>
              <w:top w:val="single" w:sz="4" w:space="0" w:color="auto"/>
              <w:left w:val="single" w:sz="4" w:space="0" w:color="auto"/>
              <w:bottom w:val="single" w:sz="4" w:space="0" w:color="auto"/>
              <w:right w:val="single" w:sz="4" w:space="0" w:color="auto"/>
            </w:tcBorders>
          </w:tcPr>
          <w:p w14:paraId="7F4819D4" w14:textId="18E88FD6" w:rsidR="00265766" w:rsidRPr="009E686F" w:rsidDel="003932E1" w:rsidRDefault="00265766" w:rsidP="00265766">
            <w:pPr>
              <w:jc w:val="both"/>
              <w:rPr>
                <w:rFonts w:ascii="Times New Roman" w:hAnsi="Times New Roman" w:cs="Times New Roman"/>
                <w:lang w:val="ro-MD"/>
              </w:rPr>
            </w:pPr>
            <w:r w:rsidRPr="009E686F">
              <w:rPr>
                <w:rFonts w:ascii="Times New Roman" w:hAnsi="Times New Roman" w:cs="Times New Roman"/>
                <w:lang w:val="ro-MD"/>
              </w:rPr>
              <w:t>Compatibil</w:t>
            </w:r>
          </w:p>
        </w:tc>
        <w:tc>
          <w:tcPr>
            <w:tcW w:w="806" w:type="pct"/>
            <w:tcBorders>
              <w:top w:val="single" w:sz="4" w:space="0" w:color="auto"/>
              <w:left w:val="single" w:sz="4" w:space="0" w:color="auto"/>
              <w:bottom w:val="single" w:sz="4" w:space="0" w:color="auto"/>
              <w:right w:val="single" w:sz="4" w:space="0" w:color="auto"/>
            </w:tcBorders>
          </w:tcPr>
          <w:p w14:paraId="0C13E41D" w14:textId="77777777" w:rsidR="00265766" w:rsidRPr="009E686F" w:rsidRDefault="00265766" w:rsidP="00265766">
            <w:pPr>
              <w:spacing w:after="0"/>
              <w:jc w:val="both"/>
              <w:rPr>
                <w:rFonts w:ascii="Times New Roman" w:hAnsi="Times New Roman" w:cs="Times New Roman"/>
                <w:color w:val="FF0000"/>
                <w:lang w:val="ro-MD"/>
              </w:rPr>
            </w:pPr>
          </w:p>
        </w:tc>
      </w:tr>
      <w:tr w:rsidR="00265766" w:rsidRPr="009E686F" w14:paraId="6CB827BB" w14:textId="77777777" w:rsidTr="00960C23">
        <w:tc>
          <w:tcPr>
            <w:tcW w:w="1890" w:type="pct"/>
            <w:tcBorders>
              <w:top w:val="single" w:sz="4" w:space="0" w:color="auto"/>
              <w:left w:val="single" w:sz="4" w:space="0" w:color="auto"/>
              <w:bottom w:val="single" w:sz="4" w:space="0" w:color="auto"/>
              <w:right w:val="single" w:sz="4" w:space="0" w:color="auto"/>
            </w:tcBorders>
          </w:tcPr>
          <w:p w14:paraId="7992503E" w14:textId="77777777" w:rsidR="00265766" w:rsidRPr="009E686F" w:rsidRDefault="00265766" w:rsidP="00265766">
            <w:pPr>
              <w:spacing w:after="0"/>
              <w:jc w:val="both"/>
              <w:rPr>
                <w:rFonts w:ascii="Times New Roman" w:hAnsi="Times New Roman" w:cs="Times New Roman"/>
                <w:lang w:val="pt-BR"/>
              </w:rPr>
            </w:pPr>
            <w:r w:rsidRPr="009E686F">
              <w:rPr>
                <w:rFonts w:ascii="Times New Roman" w:hAnsi="Times New Roman" w:cs="Times New Roman"/>
                <w:lang w:val="pt-BR"/>
              </w:rPr>
              <w:t>CAPITOLUL 4</w:t>
            </w:r>
          </w:p>
          <w:p w14:paraId="1BBE6425" w14:textId="7D1D59D3" w:rsidR="00265766" w:rsidRPr="009E686F" w:rsidDel="003932E1" w:rsidRDefault="00265766" w:rsidP="00265766">
            <w:pPr>
              <w:spacing w:after="0"/>
              <w:jc w:val="both"/>
              <w:rPr>
                <w:rFonts w:ascii="Times New Roman" w:hAnsi="Times New Roman" w:cs="Times New Roman"/>
                <w:b/>
                <w:bCs/>
                <w:lang w:val="pt-BR"/>
              </w:rPr>
            </w:pPr>
            <w:r w:rsidRPr="009E686F">
              <w:rPr>
                <w:rFonts w:ascii="Times New Roman" w:hAnsi="Times New Roman" w:cs="Times New Roman"/>
                <w:b/>
                <w:bCs/>
                <w:lang w:val="pt-BR"/>
              </w:rPr>
              <w:t>TRANSFERURI SEMNIFICATIVE DE ACTIVE ȘI PASIVE</w:t>
            </w:r>
          </w:p>
        </w:tc>
        <w:tc>
          <w:tcPr>
            <w:tcW w:w="1834" w:type="pct"/>
            <w:tcBorders>
              <w:top w:val="single" w:sz="4" w:space="0" w:color="auto"/>
              <w:left w:val="single" w:sz="4" w:space="0" w:color="auto"/>
              <w:bottom w:val="single" w:sz="4" w:space="0" w:color="auto"/>
              <w:right w:val="single" w:sz="4" w:space="0" w:color="auto"/>
            </w:tcBorders>
          </w:tcPr>
          <w:p w14:paraId="1BE4A112" w14:textId="77777777" w:rsidR="00265766" w:rsidRPr="009E686F" w:rsidRDefault="00265766" w:rsidP="00265766">
            <w:pPr>
              <w:spacing w:after="0"/>
              <w:jc w:val="both"/>
              <w:rPr>
                <w:rFonts w:ascii="Times New Roman" w:hAnsi="Times New Roman" w:cs="Times New Roman"/>
                <w:b/>
                <w:lang w:val="pt-BR"/>
              </w:rPr>
            </w:pPr>
          </w:p>
        </w:tc>
        <w:tc>
          <w:tcPr>
            <w:tcW w:w="470" w:type="pct"/>
            <w:tcBorders>
              <w:top w:val="single" w:sz="4" w:space="0" w:color="auto"/>
              <w:left w:val="single" w:sz="4" w:space="0" w:color="auto"/>
              <w:bottom w:val="single" w:sz="4" w:space="0" w:color="auto"/>
              <w:right w:val="single" w:sz="4" w:space="0" w:color="auto"/>
            </w:tcBorders>
          </w:tcPr>
          <w:p w14:paraId="2D03E544" w14:textId="77777777" w:rsidR="00265766" w:rsidRPr="009E686F" w:rsidDel="003932E1" w:rsidRDefault="00265766" w:rsidP="00265766">
            <w:pPr>
              <w:jc w:val="both"/>
              <w:rPr>
                <w:rFonts w:ascii="Times New Roman" w:hAnsi="Times New Roman" w:cs="Times New Roman"/>
                <w:lang w:val="pt-BR"/>
              </w:rPr>
            </w:pPr>
          </w:p>
        </w:tc>
        <w:tc>
          <w:tcPr>
            <w:tcW w:w="806" w:type="pct"/>
            <w:tcBorders>
              <w:top w:val="single" w:sz="4" w:space="0" w:color="auto"/>
              <w:left w:val="single" w:sz="4" w:space="0" w:color="auto"/>
              <w:bottom w:val="single" w:sz="4" w:space="0" w:color="auto"/>
              <w:right w:val="single" w:sz="4" w:space="0" w:color="auto"/>
            </w:tcBorders>
          </w:tcPr>
          <w:p w14:paraId="097F1E40" w14:textId="77777777" w:rsidR="00265766" w:rsidRPr="009E686F" w:rsidRDefault="00265766" w:rsidP="00265766">
            <w:pPr>
              <w:spacing w:after="0"/>
              <w:jc w:val="both"/>
              <w:rPr>
                <w:rFonts w:ascii="Times New Roman" w:hAnsi="Times New Roman" w:cs="Times New Roman"/>
                <w:color w:val="FF0000"/>
                <w:lang w:val="pt-BR"/>
              </w:rPr>
            </w:pPr>
          </w:p>
        </w:tc>
      </w:tr>
      <w:tr w:rsidR="00265766" w:rsidRPr="009E686F" w14:paraId="6C0D352B" w14:textId="77777777" w:rsidTr="00960C23">
        <w:tc>
          <w:tcPr>
            <w:tcW w:w="1890" w:type="pct"/>
            <w:tcBorders>
              <w:top w:val="single" w:sz="4" w:space="0" w:color="auto"/>
              <w:left w:val="single" w:sz="4" w:space="0" w:color="auto"/>
              <w:bottom w:val="single" w:sz="4" w:space="0" w:color="auto"/>
              <w:right w:val="single" w:sz="4" w:space="0" w:color="auto"/>
            </w:tcBorders>
          </w:tcPr>
          <w:p w14:paraId="17F1F802" w14:textId="77777777" w:rsidR="00265766" w:rsidRPr="009E686F" w:rsidRDefault="00265766" w:rsidP="00265766">
            <w:pPr>
              <w:spacing w:after="0"/>
              <w:jc w:val="both"/>
              <w:rPr>
                <w:rFonts w:ascii="Times New Roman" w:hAnsi="Times New Roman" w:cs="Times New Roman"/>
                <w:i/>
                <w:iCs/>
                <w:lang w:val="pt-BR"/>
              </w:rPr>
            </w:pPr>
            <w:r w:rsidRPr="009E686F">
              <w:rPr>
                <w:rFonts w:ascii="Times New Roman" w:hAnsi="Times New Roman" w:cs="Times New Roman"/>
                <w:i/>
                <w:iCs/>
                <w:lang w:val="pt-BR"/>
              </w:rPr>
              <w:t xml:space="preserve">Articolul 27f </w:t>
            </w:r>
          </w:p>
          <w:p w14:paraId="5D351084" w14:textId="5CA097F2" w:rsidR="00265766" w:rsidRPr="009E686F" w:rsidDel="003932E1" w:rsidRDefault="00265766" w:rsidP="00265766">
            <w:pPr>
              <w:spacing w:after="0"/>
              <w:jc w:val="both"/>
              <w:rPr>
                <w:rFonts w:ascii="Times New Roman" w:hAnsi="Times New Roman" w:cs="Times New Roman"/>
                <w:lang w:val="pt-BR"/>
              </w:rPr>
            </w:pPr>
            <w:r w:rsidRPr="009E686F">
              <w:rPr>
                <w:rFonts w:ascii="Times New Roman" w:hAnsi="Times New Roman" w:cs="Times New Roman"/>
                <w:lang w:val="pt-BR"/>
              </w:rPr>
              <w:t>Notificarea transferurilor semnificative de active și pasive</w:t>
            </w:r>
          </w:p>
        </w:tc>
        <w:tc>
          <w:tcPr>
            <w:tcW w:w="1834" w:type="pct"/>
            <w:tcBorders>
              <w:top w:val="single" w:sz="4" w:space="0" w:color="auto"/>
              <w:left w:val="single" w:sz="4" w:space="0" w:color="auto"/>
              <w:bottom w:val="single" w:sz="4" w:space="0" w:color="auto"/>
              <w:right w:val="single" w:sz="4" w:space="0" w:color="auto"/>
            </w:tcBorders>
          </w:tcPr>
          <w:p w14:paraId="1D9E19CB" w14:textId="0AD52391" w:rsidR="00265766" w:rsidRPr="009E686F" w:rsidRDefault="00265766" w:rsidP="00265766">
            <w:pPr>
              <w:spacing w:after="0" w:line="278" w:lineRule="auto"/>
              <w:jc w:val="both"/>
              <w:rPr>
                <w:rFonts w:ascii="Times New Roman" w:eastAsia="Aptos" w:hAnsi="Times New Roman" w:cs="Times New Roman"/>
                <w:i/>
                <w:iCs/>
                <w:kern w:val="2"/>
                <w:lang w:val="ro-MD"/>
              </w:rPr>
            </w:pPr>
            <w:bookmarkStart w:id="9" w:name="_Hlk215557854"/>
            <w:r w:rsidRPr="009E686F">
              <w:rPr>
                <w:rFonts w:ascii="Times New Roman" w:eastAsia="Aptos" w:hAnsi="Times New Roman" w:cs="Times New Roman"/>
                <w:b/>
                <w:bCs/>
                <w:i/>
                <w:iCs/>
                <w:kern w:val="2"/>
                <w:lang w:val="ro-MD"/>
              </w:rPr>
              <w:t>Articolul 34</w:t>
            </w:r>
            <w:r w:rsidRPr="009E686F">
              <w:rPr>
                <w:rFonts w:ascii="Times New Roman" w:eastAsia="Aptos" w:hAnsi="Times New Roman" w:cs="Times New Roman"/>
                <w:b/>
                <w:bCs/>
                <w:i/>
                <w:iCs/>
                <w:kern w:val="2"/>
                <w:vertAlign w:val="superscript"/>
                <w:lang w:val="ro-MD"/>
              </w:rPr>
              <w:t>1</w:t>
            </w:r>
            <w:r w:rsidRPr="009E686F">
              <w:rPr>
                <w:rFonts w:ascii="Times New Roman" w:eastAsia="Aptos" w:hAnsi="Times New Roman" w:cs="Times New Roman"/>
                <w:b/>
                <w:bCs/>
                <w:i/>
                <w:iCs/>
                <w:kern w:val="2"/>
                <w:lang w:val="ro-MD"/>
              </w:rPr>
              <w:t xml:space="preserve">. </w:t>
            </w:r>
            <w:r w:rsidRPr="009E686F">
              <w:rPr>
                <w:rFonts w:ascii="Times New Roman" w:eastAsia="Aptos" w:hAnsi="Times New Roman" w:cs="Times New Roman"/>
                <w:i/>
                <w:iCs/>
                <w:kern w:val="2"/>
                <w:lang w:val="ro-MD"/>
              </w:rPr>
              <w:t>Notificarea transferurilor semnificative de active și pasive și sancțiuni</w:t>
            </w:r>
            <w:bookmarkEnd w:id="9"/>
          </w:p>
        </w:tc>
        <w:tc>
          <w:tcPr>
            <w:tcW w:w="470" w:type="pct"/>
            <w:tcBorders>
              <w:top w:val="single" w:sz="4" w:space="0" w:color="auto"/>
              <w:left w:val="single" w:sz="4" w:space="0" w:color="auto"/>
              <w:bottom w:val="single" w:sz="4" w:space="0" w:color="auto"/>
              <w:right w:val="single" w:sz="4" w:space="0" w:color="auto"/>
            </w:tcBorders>
          </w:tcPr>
          <w:p w14:paraId="55504B26" w14:textId="4840B9C2" w:rsidR="00265766" w:rsidRPr="009E686F" w:rsidDel="003932E1" w:rsidRDefault="00265766" w:rsidP="00265766">
            <w:pPr>
              <w:jc w:val="both"/>
              <w:rPr>
                <w:rFonts w:ascii="Times New Roman" w:hAnsi="Times New Roman" w:cs="Times New Roman"/>
                <w:lang w:val="pt-BR"/>
              </w:rPr>
            </w:pPr>
            <w:r w:rsidRPr="009E686F">
              <w:rPr>
                <w:rFonts w:ascii="Times New Roman" w:hAnsi="Times New Roman" w:cs="Times New Roman"/>
                <w:lang w:val="ro-MD"/>
              </w:rPr>
              <w:t>Compatibil</w:t>
            </w:r>
          </w:p>
        </w:tc>
        <w:tc>
          <w:tcPr>
            <w:tcW w:w="806" w:type="pct"/>
            <w:tcBorders>
              <w:top w:val="single" w:sz="4" w:space="0" w:color="auto"/>
              <w:left w:val="single" w:sz="4" w:space="0" w:color="auto"/>
              <w:bottom w:val="single" w:sz="4" w:space="0" w:color="auto"/>
              <w:right w:val="single" w:sz="4" w:space="0" w:color="auto"/>
            </w:tcBorders>
          </w:tcPr>
          <w:p w14:paraId="045FD8CF" w14:textId="77777777" w:rsidR="00265766" w:rsidRPr="009E686F" w:rsidRDefault="00265766" w:rsidP="00265766">
            <w:pPr>
              <w:spacing w:after="0"/>
              <w:jc w:val="both"/>
              <w:rPr>
                <w:rFonts w:ascii="Times New Roman" w:hAnsi="Times New Roman" w:cs="Times New Roman"/>
                <w:color w:val="FF0000"/>
                <w:lang w:val="pt-BR"/>
              </w:rPr>
            </w:pPr>
          </w:p>
        </w:tc>
      </w:tr>
      <w:tr w:rsidR="00265766" w:rsidRPr="009E686F" w14:paraId="33A0B030" w14:textId="77777777" w:rsidTr="00960C23">
        <w:tc>
          <w:tcPr>
            <w:tcW w:w="1890" w:type="pct"/>
            <w:tcBorders>
              <w:top w:val="single" w:sz="4" w:space="0" w:color="auto"/>
              <w:left w:val="single" w:sz="4" w:space="0" w:color="auto"/>
              <w:bottom w:val="single" w:sz="4" w:space="0" w:color="auto"/>
              <w:right w:val="single" w:sz="4" w:space="0" w:color="auto"/>
            </w:tcBorders>
          </w:tcPr>
          <w:p w14:paraId="2C41B240" w14:textId="12011D6A" w:rsidR="00265766" w:rsidRPr="009E686F" w:rsidDel="003932E1" w:rsidRDefault="00265766" w:rsidP="00265766">
            <w:pPr>
              <w:spacing w:after="0"/>
              <w:jc w:val="both"/>
              <w:rPr>
                <w:rFonts w:ascii="Times New Roman" w:hAnsi="Times New Roman" w:cs="Times New Roman"/>
              </w:rPr>
            </w:pPr>
            <w:r w:rsidRPr="009E686F">
              <w:rPr>
                <w:rFonts w:ascii="Times New Roman" w:hAnsi="Times New Roman" w:cs="Times New Roman"/>
              </w:rPr>
              <w:t>(1) Statele membre impun instituțiilor, precum și societăților financiare holding și societăților financiare holding mixte care intră sub incidența articolului 21a alineatul (1) obligația de a notifica în scris în prealabil autoritatea lor competentă cu privire la orice transfer semnificativ de active sau pasive pe care îl execută fie printr-o vânzare, fie prin orice alt tip de operațiune («operațiunea propusă»).</w:t>
            </w:r>
          </w:p>
        </w:tc>
        <w:tc>
          <w:tcPr>
            <w:tcW w:w="1834" w:type="pct"/>
            <w:tcBorders>
              <w:top w:val="single" w:sz="4" w:space="0" w:color="auto"/>
              <w:left w:val="single" w:sz="4" w:space="0" w:color="auto"/>
              <w:bottom w:val="single" w:sz="4" w:space="0" w:color="auto"/>
              <w:right w:val="single" w:sz="4" w:space="0" w:color="auto"/>
            </w:tcBorders>
          </w:tcPr>
          <w:p w14:paraId="506A27AA" w14:textId="184445C8" w:rsidR="00265766" w:rsidRPr="009E686F" w:rsidRDefault="00265766" w:rsidP="00265766">
            <w:pPr>
              <w:spacing w:after="0"/>
              <w:jc w:val="both"/>
              <w:rPr>
                <w:rFonts w:ascii="Times New Roman" w:hAnsi="Times New Roman" w:cs="Times New Roman"/>
                <w:i/>
                <w:lang w:val="it-CH"/>
              </w:rPr>
            </w:pPr>
            <w:r w:rsidRPr="009E686F">
              <w:rPr>
                <w:rFonts w:ascii="Times New Roman" w:hAnsi="Times New Roman" w:cs="Times New Roman"/>
                <w:bCs/>
                <w:i/>
                <w:iCs/>
                <w:lang w:val="it-CH"/>
              </w:rPr>
              <w:t xml:space="preserve">(1) </w:t>
            </w:r>
            <w:r w:rsidR="001A2004" w:rsidRPr="009E686F">
              <w:rPr>
                <w:rFonts w:ascii="Times New Roman" w:hAnsi="Times New Roman" w:cs="Times New Roman"/>
                <w:bCs/>
                <w:i/>
                <w:iCs/>
                <w:lang w:val="it-CH"/>
              </w:rPr>
              <w:t>Părțile financiare interesate</w:t>
            </w:r>
            <w:r w:rsidRPr="009E686F">
              <w:rPr>
                <w:rFonts w:ascii="Times New Roman" w:hAnsi="Times New Roman" w:cs="Times New Roman"/>
                <w:i/>
                <w:lang w:val="it-CH"/>
              </w:rPr>
              <w:t xml:space="preserve"> notifică în scris, în prealabil, Banca Națională a Moldovei Moldovei în conformitate cu actele normative emise în aplicarea prezentei legi cu privire la orice transfer semnificativ de active sau pasive pe care îl execută fie printr-o vânzare, fie prin orice alt tip de operațiune (în sensul prezentului </w:t>
            </w:r>
            <w:r w:rsidR="001A2004" w:rsidRPr="009E686F">
              <w:rPr>
                <w:rFonts w:ascii="Times New Roman" w:hAnsi="Times New Roman" w:cs="Times New Roman"/>
                <w:i/>
                <w:lang w:val="it-CH"/>
              </w:rPr>
              <w:t>articol</w:t>
            </w:r>
            <w:r w:rsidRPr="009E686F">
              <w:rPr>
                <w:rFonts w:ascii="Times New Roman" w:hAnsi="Times New Roman" w:cs="Times New Roman"/>
                <w:i/>
                <w:lang w:val="it-CH"/>
              </w:rPr>
              <w:t xml:space="preserve">, </w:t>
            </w:r>
            <w:r w:rsidRPr="009E686F">
              <w:rPr>
                <w:rFonts w:ascii="Times New Roman" w:hAnsi="Times New Roman" w:cs="Times New Roman"/>
                <w:i/>
                <w:lang w:val="it-CH"/>
              </w:rPr>
              <w:lastRenderedPageBreak/>
              <w:t>în continuare “operațiunea propusă”).</w:t>
            </w:r>
            <w:r w:rsidRPr="009E686F">
              <w:rPr>
                <w:rFonts w:ascii="Times New Roman" w:hAnsi="Times New Roman" w:cs="Times New Roman"/>
                <w:b/>
                <w:i/>
                <w:lang w:val="it-CH"/>
              </w:rPr>
              <w:t xml:space="preserve"> </w:t>
            </w:r>
            <w:r w:rsidRPr="009E686F">
              <w:rPr>
                <w:rFonts w:ascii="Times New Roman" w:hAnsi="Times New Roman" w:cs="Times New Roman"/>
                <w:b/>
                <w:bCs/>
                <w:i/>
                <w:iCs/>
                <w:lang w:val="it-CH"/>
              </w:rPr>
              <w:t>Prevederile art. 34 alin. (17)-(19) se aplică în mod corespunzător.</w:t>
            </w:r>
          </w:p>
        </w:tc>
        <w:tc>
          <w:tcPr>
            <w:tcW w:w="470" w:type="pct"/>
            <w:tcBorders>
              <w:top w:val="single" w:sz="4" w:space="0" w:color="auto"/>
              <w:left w:val="single" w:sz="4" w:space="0" w:color="auto"/>
              <w:bottom w:val="single" w:sz="4" w:space="0" w:color="auto"/>
              <w:right w:val="single" w:sz="4" w:space="0" w:color="auto"/>
            </w:tcBorders>
          </w:tcPr>
          <w:p w14:paraId="13807383" w14:textId="20F3839B" w:rsidR="00265766" w:rsidRPr="009E686F" w:rsidDel="003932E1" w:rsidRDefault="00265766" w:rsidP="00265766">
            <w:pPr>
              <w:jc w:val="both"/>
              <w:rPr>
                <w:rFonts w:ascii="Times New Roman" w:hAnsi="Times New Roman" w:cs="Times New Roman"/>
                <w:lang w:val="it-CH"/>
              </w:rPr>
            </w:pPr>
            <w:r w:rsidRPr="009E686F">
              <w:rPr>
                <w:rFonts w:ascii="Times New Roman" w:hAnsi="Times New Roman" w:cs="Times New Roman"/>
                <w:lang w:val="ro-MD"/>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173F8FEB" w14:textId="2A9104C1" w:rsidR="00265766" w:rsidRPr="009E686F" w:rsidRDefault="00265766" w:rsidP="00265766">
            <w:pPr>
              <w:jc w:val="both"/>
              <w:rPr>
                <w:rFonts w:ascii="Times New Roman" w:hAnsi="Times New Roman" w:cs="Times New Roman"/>
                <w:lang w:val="ro-MD"/>
              </w:rPr>
            </w:pPr>
            <w:r w:rsidRPr="009E686F">
              <w:rPr>
                <w:rFonts w:ascii="Times New Roman" w:hAnsi="Times New Roman" w:cs="Times New Roman"/>
                <w:lang w:val="ro-MD"/>
              </w:rPr>
              <w:t xml:space="preserve">Textul </w:t>
            </w:r>
            <w:r w:rsidRPr="009E686F">
              <w:rPr>
                <w:rFonts w:ascii="Times New Roman" w:hAnsi="Times New Roman" w:cs="Times New Roman"/>
                <w:b/>
                <w:bCs/>
                <w:lang w:val="ro-MD"/>
              </w:rPr>
              <w:t>„</w:t>
            </w:r>
            <w:r w:rsidRPr="009E686F">
              <w:rPr>
                <w:rFonts w:ascii="Times New Roman" w:hAnsi="Times New Roman" w:cs="Times New Roman"/>
                <w:b/>
                <w:bCs/>
                <w:i/>
                <w:iCs/>
                <w:lang w:val="ro-MD"/>
              </w:rPr>
              <w:t>Prevederile art. 34 alin. (17)–(19) se aplică în mod corespunzător</w:t>
            </w:r>
            <w:r w:rsidRPr="009E686F">
              <w:rPr>
                <w:rFonts w:ascii="Times New Roman" w:hAnsi="Times New Roman" w:cs="Times New Roman"/>
                <w:b/>
                <w:bCs/>
                <w:lang w:val="ro-MD"/>
              </w:rPr>
              <w:t>.”</w:t>
            </w:r>
            <w:r w:rsidRPr="009E686F">
              <w:rPr>
                <w:rFonts w:ascii="Times New Roman" w:hAnsi="Times New Roman" w:cs="Times New Roman"/>
                <w:lang w:val="ro-MD"/>
              </w:rPr>
              <w:t xml:space="preserve"> reprezintă o soluție legislativă națională, prin care mecanismul </w:t>
            </w:r>
            <w:r w:rsidRPr="009E686F">
              <w:rPr>
                <w:rFonts w:ascii="Times New Roman" w:hAnsi="Times New Roman" w:cs="Times New Roman"/>
                <w:lang w:val="ro-MD"/>
              </w:rPr>
              <w:lastRenderedPageBreak/>
              <w:t>procedural aplicabil fuziunilor și demembrărilor este extins, în mod corespunzător, și asupra transferului semnificativ de active și pasive, în lipsa unor dispoziții specifice în Directiva 2013/36/UE pentru această operațiune.</w:t>
            </w:r>
          </w:p>
          <w:p w14:paraId="7C80E3D6" w14:textId="77777777" w:rsidR="00265766" w:rsidRPr="009E686F" w:rsidRDefault="00265766" w:rsidP="00265766">
            <w:pPr>
              <w:jc w:val="both"/>
              <w:rPr>
                <w:rFonts w:ascii="Times New Roman" w:hAnsi="Times New Roman" w:cs="Times New Roman"/>
                <w:lang w:val="ro-MD"/>
              </w:rPr>
            </w:pPr>
            <w:r w:rsidRPr="009E686F">
              <w:rPr>
                <w:rFonts w:ascii="Times New Roman" w:hAnsi="Times New Roman" w:cs="Times New Roman"/>
                <w:lang w:val="ro-MD"/>
              </w:rPr>
              <w:t>Această abordare este preluată din cadrul legislativ național existent, întrucât atât Legea nr. 202/2017, cât și regulamentul BNM prevăd aplicarea corespunzătoare a procedurilor privind fuziunile și demembrările și în cazul transferului semnificativ de active și pasive, asigurând un cadru procedural unitar și coerent.</w:t>
            </w:r>
          </w:p>
          <w:p w14:paraId="41DC1865" w14:textId="77777777" w:rsidR="00265766" w:rsidRPr="009E686F" w:rsidRDefault="00265766" w:rsidP="00265766">
            <w:pPr>
              <w:spacing w:after="0"/>
              <w:jc w:val="both"/>
              <w:rPr>
                <w:rFonts w:ascii="Times New Roman" w:hAnsi="Times New Roman" w:cs="Times New Roman"/>
                <w:color w:val="FF0000"/>
                <w:lang w:val="ro-MD"/>
              </w:rPr>
            </w:pPr>
          </w:p>
        </w:tc>
      </w:tr>
      <w:tr w:rsidR="00265766" w:rsidRPr="009E686F" w14:paraId="78B5B8C9" w14:textId="77777777" w:rsidTr="00960C23">
        <w:tc>
          <w:tcPr>
            <w:tcW w:w="1890" w:type="pct"/>
            <w:tcBorders>
              <w:top w:val="single" w:sz="4" w:space="0" w:color="auto"/>
              <w:left w:val="single" w:sz="4" w:space="0" w:color="auto"/>
              <w:bottom w:val="single" w:sz="4" w:space="0" w:color="auto"/>
              <w:right w:val="single" w:sz="4" w:space="0" w:color="auto"/>
            </w:tcBorders>
          </w:tcPr>
          <w:p w14:paraId="77120963" w14:textId="74B1BE3E" w:rsidR="00265766" w:rsidRPr="009E686F" w:rsidDel="003932E1" w:rsidRDefault="00265766" w:rsidP="00265766">
            <w:pPr>
              <w:spacing w:after="0"/>
              <w:jc w:val="both"/>
              <w:rPr>
                <w:rFonts w:ascii="Times New Roman" w:hAnsi="Times New Roman" w:cs="Times New Roman"/>
                <w:lang w:val="ro-MD"/>
              </w:rPr>
            </w:pPr>
            <w:r w:rsidRPr="009E686F">
              <w:rPr>
                <w:rFonts w:ascii="Times New Roman" w:hAnsi="Times New Roman" w:cs="Times New Roman"/>
                <w:lang w:val="ro-MD"/>
              </w:rPr>
              <w:lastRenderedPageBreak/>
              <w:t>În cazul în care în operațiunea propusă sunt implicate numai entități din cadrul aceluiași grup, entitățile respective intră, de asemenea, sub incidența primului paragraf.</w:t>
            </w:r>
          </w:p>
        </w:tc>
        <w:tc>
          <w:tcPr>
            <w:tcW w:w="1834" w:type="pct"/>
            <w:tcBorders>
              <w:top w:val="single" w:sz="4" w:space="0" w:color="auto"/>
              <w:left w:val="single" w:sz="4" w:space="0" w:color="auto"/>
              <w:bottom w:val="single" w:sz="4" w:space="0" w:color="auto"/>
              <w:right w:val="single" w:sz="4" w:space="0" w:color="auto"/>
            </w:tcBorders>
          </w:tcPr>
          <w:p w14:paraId="1BA24848" w14:textId="1742DCF5" w:rsidR="00265766" w:rsidRPr="009E686F" w:rsidRDefault="00265766" w:rsidP="00265766">
            <w:pPr>
              <w:spacing w:after="0"/>
              <w:jc w:val="both"/>
              <w:rPr>
                <w:rFonts w:ascii="Times New Roman" w:hAnsi="Times New Roman" w:cs="Times New Roman"/>
                <w:bCs/>
                <w:i/>
                <w:iCs/>
                <w:lang w:val="pt-BR"/>
              </w:rPr>
            </w:pPr>
            <w:r w:rsidRPr="009E686F">
              <w:rPr>
                <w:rFonts w:ascii="Times New Roman" w:hAnsi="Times New Roman" w:cs="Times New Roman"/>
                <w:bCs/>
                <w:i/>
                <w:iCs/>
                <w:lang w:val="pt-BR"/>
              </w:rPr>
              <w:t>(2) Prevederile alin. (1) se aplică și entităților din cadrul aceluiași grup implicate în operațiunea propusă.</w:t>
            </w:r>
          </w:p>
        </w:tc>
        <w:tc>
          <w:tcPr>
            <w:tcW w:w="470" w:type="pct"/>
            <w:tcBorders>
              <w:top w:val="single" w:sz="4" w:space="0" w:color="auto"/>
              <w:left w:val="single" w:sz="4" w:space="0" w:color="auto"/>
              <w:bottom w:val="single" w:sz="4" w:space="0" w:color="auto"/>
              <w:right w:val="single" w:sz="4" w:space="0" w:color="auto"/>
            </w:tcBorders>
          </w:tcPr>
          <w:p w14:paraId="3BBBC3FB" w14:textId="390C8486" w:rsidR="00265766" w:rsidRPr="009E686F" w:rsidDel="003932E1" w:rsidRDefault="00265766" w:rsidP="00265766">
            <w:pPr>
              <w:jc w:val="both"/>
              <w:rPr>
                <w:rFonts w:ascii="Times New Roman" w:hAnsi="Times New Roman" w:cs="Times New Roman"/>
                <w:lang w:val="pt-BR"/>
              </w:rPr>
            </w:pPr>
            <w:r w:rsidRPr="009E686F">
              <w:rPr>
                <w:rFonts w:ascii="Times New Roman" w:hAnsi="Times New Roman" w:cs="Times New Roman"/>
                <w:lang w:val="ro-MD"/>
              </w:rPr>
              <w:t>Compatibil</w:t>
            </w:r>
          </w:p>
        </w:tc>
        <w:tc>
          <w:tcPr>
            <w:tcW w:w="806" w:type="pct"/>
            <w:tcBorders>
              <w:top w:val="single" w:sz="4" w:space="0" w:color="auto"/>
              <w:left w:val="single" w:sz="4" w:space="0" w:color="auto"/>
              <w:bottom w:val="single" w:sz="4" w:space="0" w:color="auto"/>
              <w:right w:val="single" w:sz="4" w:space="0" w:color="auto"/>
            </w:tcBorders>
          </w:tcPr>
          <w:p w14:paraId="2D5A3526" w14:textId="77777777" w:rsidR="00265766" w:rsidRPr="009E686F" w:rsidRDefault="00265766" w:rsidP="00265766">
            <w:pPr>
              <w:spacing w:after="0"/>
              <w:jc w:val="both"/>
              <w:rPr>
                <w:rFonts w:ascii="Times New Roman" w:hAnsi="Times New Roman" w:cs="Times New Roman"/>
                <w:color w:val="FF0000"/>
                <w:lang w:val="pt-BR"/>
              </w:rPr>
            </w:pPr>
          </w:p>
        </w:tc>
      </w:tr>
      <w:tr w:rsidR="00265766" w:rsidRPr="009E686F" w14:paraId="3888CFF9" w14:textId="77777777" w:rsidTr="00960C23">
        <w:tc>
          <w:tcPr>
            <w:tcW w:w="1890" w:type="pct"/>
            <w:tcBorders>
              <w:top w:val="single" w:sz="4" w:space="0" w:color="auto"/>
              <w:left w:val="single" w:sz="4" w:space="0" w:color="auto"/>
              <w:bottom w:val="single" w:sz="4" w:space="0" w:color="auto"/>
              <w:right w:val="single" w:sz="4" w:space="0" w:color="auto"/>
            </w:tcBorders>
          </w:tcPr>
          <w:p w14:paraId="0740D6C4" w14:textId="355805C7" w:rsidR="00265766" w:rsidRPr="009E686F" w:rsidDel="003932E1" w:rsidRDefault="00265766" w:rsidP="00265766">
            <w:pPr>
              <w:spacing w:after="0"/>
              <w:jc w:val="both"/>
              <w:rPr>
                <w:rFonts w:ascii="Times New Roman" w:hAnsi="Times New Roman" w:cs="Times New Roman"/>
                <w:lang w:val="it-IT"/>
              </w:rPr>
            </w:pPr>
            <w:r w:rsidRPr="009E686F">
              <w:rPr>
                <w:rFonts w:ascii="Times New Roman" w:hAnsi="Times New Roman" w:cs="Times New Roman"/>
                <w:lang w:val="it-IT"/>
              </w:rPr>
              <w:lastRenderedPageBreak/>
              <w:t>În sensul primului și al celui de al doilea paragraf, fiecare dintre entitățile implicate în aceeași operațiune propusă este supusă individual obligației de notificare prevăzute la paragrafele respective.</w:t>
            </w:r>
          </w:p>
        </w:tc>
        <w:tc>
          <w:tcPr>
            <w:tcW w:w="1834" w:type="pct"/>
            <w:tcBorders>
              <w:top w:val="single" w:sz="4" w:space="0" w:color="auto"/>
              <w:left w:val="single" w:sz="4" w:space="0" w:color="auto"/>
              <w:bottom w:val="single" w:sz="4" w:space="0" w:color="auto"/>
              <w:right w:val="single" w:sz="4" w:space="0" w:color="auto"/>
            </w:tcBorders>
          </w:tcPr>
          <w:p w14:paraId="73D5FFCD" w14:textId="0E35CC1F" w:rsidR="00265766" w:rsidRPr="009E686F" w:rsidRDefault="00265766" w:rsidP="00265766">
            <w:pPr>
              <w:spacing w:after="0"/>
              <w:jc w:val="both"/>
              <w:rPr>
                <w:rFonts w:ascii="Times New Roman" w:hAnsi="Times New Roman" w:cs="Times New Roman"/>
                <w:bCs/>
                <w:i/>
                <w:iCs/>
                <w:lang w:val="it-IT"/>
              </w:rPr>
            </w:pPr>
            <w:r w:rsidRPr="009E686F">
              <w:rPr>
                <w:rFonts w:ascii="Times New Roman" w:hAnsi="Times New Roman" w:cs="Times New Roman"/>
                <w:bCs/>
                <w:i/>
                <w:iCs/>
                <w:lang w:val="it-IT"/>
              </w:rPr>
              <w:t>(3) În sensul alin. (1)</w:t>
            </w:r>
            <w:r w:rsidR="00345062" w:rsidRPr="009E686F">
              <w:rPr>
                <w:rFonts w:ascii="Times New Roman" w:hAnsi="Times New Roman" w:cs="Times New Roman"/>
                <w:bCs/>
                <w:i/>
                <w:iCs/>
                <w:lang w:val="it-IT"/>
              </w:rPr>
              <w:t xml:space="preserve"> și </w:t>
            </w:r>
            <w:r w:rsidRPr="009E686F">
              <w:rPr>
                <w:rFonts w:ascii="Times New Roman" w:hAnsi="Times New Roman" w:cs="Times New Roman"/>
                <w:bCs/>
                <w:i/>
                <w:iCs/>
                <w:lang w:val="it-IT"/>
              </w:rPr>
              <w:t>(2), fiecare dintre entitățile implicate în aceeași operațiune propusă este supusă individual obligației de notificare prevăzute la alineatele respective.</w:t>
            </w:r>
          </w:p>
        </w:tc>
        <w:tc>
          <w:tcPr>
            <w:tcW w:w="470" w:type="pct"/>
            <w:tcBorders>
              <w:top w:val="single" w:sz="4" w:space="0" w:color="auto"/>
              <w:left w:val="single" w:sz="4" w:space="0" w:color="auto"/>
              <w:bottom w:val="single" w:sz="4" w:space="0" w:color="auto"/>
              <w:right w:val="single" w:sz="4" w:space="0" w:color="auto"/>
            </w:tcBorders>
          </w:tcPr>
          <w:p w14:paraId="73C347AB" w14:textId="3044D525" w:rsidR="00265766" w:rsidRPr="009E686F" w:rsidDel="003932E1" w:rsidRDefault="00265766" w:rsidP="00265766">
            <w:pPr>
              <w:jc w:val="both"/>
              <w:rPr>
                <w:rFonts w:ascii="Times New Roman" w:hAnsi="Times New Roman" w:cs="Times New Roman"/>
                <w:lang w:val="it-IT"/>
              </w:rPr>
            </w:pPr>
            <w:r w:rsidRPr="009E686F">
              <w:rPr>
                <w:rFonts w:ascii="Times New Roman" w:hAnsi="Times New Roman" w:cs="Times New Roman"/>
                <w:lang w:val="ro-MD"/>
              </w:rPr>
              <w:t>Compatibil</w:t>
            </w:r>
          </w:p>
        </w:tc>
        <w:tc>
          <w:tcPr>
            <w:tcW w:w="806" w:type="pct"/>
            <w:tcBorders>
              <w:top w:val="single" w:sz="4" w:space="0" w:color="auto"/>
              <w:left w:val="single" w:sz="4" w:space="0" w:color="auto"/>
              <w:bottom w:val="single" w:sz="4" w:space="0" w:color="auto"/>
              <w:right w:val="single" w:sz="4" w:space="0" w:color="auto"/>
            </w:tcBorders>
          </w:tcPr>
          <w:p w14:paraId="25A1500D" w14:textId="77777777" w:rsidR="00265766" w:rsidRPr="009E686F" w:rsidRDefault="00265766" w:rsidP="00265766">
            <w:pPr>
              <w:spacing w:after="0"/>
              <w:jc w:val="both"/>
              <w:rPr>
                <w:rFonts w:ascii="Times New Roman" w:hAnsi="Times New Roman" w:cs="Times New Roman"/>
                <w:color w:val="FF0000"/>
                <w:lang w:val="it-IT"/>
              </w:rPr>
            </w:pPr>
          </w:p>
        </w:tc>
      </w:tr>
      <w:tr w:rsidR="00265766" w:rsidRPr="009E686F" w14:paraId="57146496" w14:textId="77777777" w:rsidTr="00960C23">
        <w:tc>
          <w:tcPr>
            <w:tcW w:w="1890" w:type="pct"/>
            <w:tcBorders>
              <w:top w:val="single" w:sz="4" w:space="0" w:color="auto"/>
              <w:left w:val="single" w:sz="4" w:space="0" w:color="auto"/>
              <w:bottom w:val="single" w:sz="4" w:space="0" w:color="auto"/>
              <w:right w:val="single" w:sz="4" w:space="0" w:color="auto"/>
            </w:tcBorders>
          </w:tcPr>
          <w:p w14:paraId="1234309C" w14:textId="41D87F9A" w:rsidR="00265766" w:rsidRPr="009E686F" w:rsidDel="003932E1" w:rsidRDefault="00265766" w:rsidP="00265766">
            <w:pPr>
              <w:spacing w:after="0"/>
              <w:jc w:val="both"/>
              <w:rPr>
                <w:rFonts w:ascii="Times New Roman" w:hAnsi="Times New Roman" w:cs="Times New Roman"/>
              </w:rPr>
            </w:pPr>
            <w:r w:rsidRPr="009E686F">
              <w:rPr>
                <w:rFonts w:ascii="Times New Roman" w:hAnsi="Times New Roman" w:cs="Times New Roman"/>
              </w:rPr>
              <w:t>(2) În scopul alineatului (1), se consideră că operațiunea propusă este semnificativă pentru o entitate atunci când este egală cu cel puțin 10 % din activele sau pasivele totale ale acesteia, cu excepția situației în care operațiunea propusă se execută între entități din cadrul aceluiași grup, caz în care se consideră că operațiunea propusă este semnificativă pentru o entitate atunci când este egală cu cel puțin 15 % din activele sau pasivele totale ale acesteia.</w:t>
            </w:r>
          </w:p>
        </w:tc>
        <w:tc>
          <w:tcPr>
            <w:tcW w:w="1834" w:type="pct"/>
            <w:vMerge w:val="restart"/>
            <w:tcBorders>
              <w:top w:val="single" w:sz="4" w:space="0" w:color="auto"/>
              <w:left w:val="single" w:sz="4" w:space="0" w:color="auto"/>
              <w:right w:val="single" w:sz="4" w:space="0" w:color="auto"/>
            </w:tcBorders>
          </w:tcPr>
          <w:p w14:paraId="7624C53D" w14:textId="5456A919" w:rsidR="00265766" w:rsidRPr="009E686F" w:rsidRDefault="00265766" w:rsidP="00265766">
            <w:pPr>
              <w:spacing w:after="0"/>
              <w:jc w:val="both"/>
              <w:rPr>
                <w:rFonts w:ascii="Times New Roman" w:hAnsi="Times New Roman" w:cs="Times New Roman"/>
                <w:bCs/>
                <w:i/>
                <w:iCs/>
                <w:lang w:val="it-IT"/>
              </w:rPr>
            </w:pPr>
            <w:r w:rsidRPr="009E686F">
              <w:rPr>
                <w:rFonts w:ascii="Times New Roman" w:hAnsi="Times New Roman" w:cs="Times New Roman"/>
                <w:bCs/>
                <w:i/>
                <w:iCs/>
              </w:rPr>
              <w:t xml:space="preserve">(4) În sensul alin. (1), se consideră că operațiunea propusă este semnificativă pentru o entitate atunci când este egală cu cel puțin 10 % din activele sau datoriile totale ale acesteia, cu excepția situației în care operațiunea propusă se execută între entități din cadrul aceluiași grup, caz în care se consideră că operațiunea propusă este semnificativă pentru o entitate atunci când este egală cu cel puțin 15 % din activele sau pasivele totale ale acesteia. </w:t>
            </w:r>
            <w:r w:rsidRPr="009E686F">
              <w:rPr>
                <w:rFonts w:ascii="Times New Roman" w:hAnsi="Times New Roman" w:cs="Times New Roman"/>
                <w:bCs/>
                <w:i/>
                <w:iCs/>
                <w:lang w:val="it-IT"/>
              </w:rPr>
              <w:t>În cazul societăților financiare holding mamă și societățile financiare holding mixte mamă menționate la alineatul (1), procentele se aplică pe baza situației lor consolidate.</w:t>
            </w:r>
          </w:p>
        </w:tc>
        <w:tc>
          <w:tcPr>
            <w:tcW w:w="470" w:type="pct"/>
            <w:tcBorders>
              <w:top w:val="single" w:sz="4" w:space="0" w:color="auto"/>
              <w:left w:val="single" w:sz="4" w:space="0" w:color="auto"/>
              <w:bottom w:val="single" w:sz="4" w:space="0" w:color="auto"/>
              <w:right w:val="single" w:sz="4" w:space="0" w:color="auto"/>
            </w:tcBorders>
          </w:tcPr>
          <w:p w14:paraId="7BAFAF5D" w14:textId="5BB1C11C" w:rsidR="00265766" w:rsidRPr="009E686F" w:rsidDel="003932E1" w:rsidRDefault="00265766" w:rsidP="00265766">
            <w:pPr>
              <w:jc w:val="both"/>
              <w:rPr>
                <w:rFonts w:ascii="Times New Roman" w:hAnsi="Times New Roman" w:cs="Times New Roman"/>
                <w:lang w:val="it-IT"/>
              </w:rPr>
            </w:pPr>
            <w:r w:rsidRPr="009E686F">
              <w:rPr>
                <w:rFonts w:ascii="Times New Roman" w:hAnsi="Times New Roman" w:cs="Times New Roman"/>
                <w:lang w:val="ro-MD"/>
              </w:rPr>
              <w:t>Compatibil</w:t>
            </w:r>
          </w:p>
        </w:tc>
        <w:tc>
          <w:tcPr>
            <w:tcW w:w="806" w:type="pct"/>
            <w:tcBorders>
              <w:top w:val="single" w:sz="4" w:space="0" w:color="auto"/>
              <w:left w:val="single" w:sz="4" w:space="0" w:color="auto"/>
              <w:bottom w:val="single" w:sz="4" w:space="0" w:color="auto"/>
              <w:right w:val="single" w:sz="4" w:space="0" w:color="auto"/>
            </w:tcBorders>
          </w:tcPr>
          <w:p w14:paraId="1DE78CE1" w14:textId="77777777" w:rsidR="00265766" w:rsidRPr="009E686F" w:rsidRDefault="00265766" w:rsidP="00265766">
            <w:pPr>
              <w:spacing w:after="0"/>
              <w:jc w:val="both"/>
              <w:rPr>
                <w:rFonts w:ascii="Times New Roman" w:hAnsi="Times New Roman" w:cs="Times New Roman"/>
                <w:color w:val="FF0000"/>
                <w:lang w:val="it-IT"/>
              </w:rPr>
            </w:pPr>
          </w:p>
        </w:tc>
      </w:tr>
      <w:tr w:rsidR="00265766" w:rsidRPr="009E686F" w14:paraId="20F5D4F1" w14:textId="77777777" w:rsidTr="00960C23">
        <w:tc>
          <w:tcPr>
            <w:tcW w:w="1890" w:type="pct"/>
            <w:tcBorders>
              <w:top w:val="single" w:sz="4" w:space="0" w:color="auto"/>
              <w:left w:val="single" w:sz="4" w:space="0" w:color="auto"/>
              <w:bottom w:val="single" w:sz="4" w:space="0" w:color="auto"/>
              <w:right w:val="single" w:sz="4" w:space="0" w:color="auto"/>
            </w:tcBorders>
          </w:tcPr>
          <w:p w14:paraId="577C9ADD" w14:textId="34FA270D" w:rsidR="00265766" w:rsidRPr="009E686F" w:rsidDel="003932E1"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În scopul primului paragraf de la prezentul alineat, pentru societățile financiare holding mamă și societățile financiare holding mixte mamă menționate la alineatul (1), procentele se aplică pe baza situației lor consolidate.</w:t>
            </w:r>
          </w:p>
        </w:tc>
        <w:tc>
          <w:tcPr>
            <w:tcW w:w="1834" w:type="pct"/>
            <w:vMerge/>
            <w:tcBorders>
              <w:left w:val="single" w:sz="4" w:space="0" w:color="auto"/>
              <w:bottom w:val="single" w:sz="4" w:space="0" w:color="auto"/>
              <w:right w:val="single" w:sz="4" w:space="0" w:color="auto"/>
            </w:tcBorders>
          </w:tcPr>
          <w:p w14:paraId="625ADC73" w14:textId="77777777" w:rsidR="00265766" w:rsidRPr="009E686F" w:rsidRDefault="00265766" w:rsidP="00265766">
            <w:pPr>
              <w:spacing w:after="0"/>
              <w:jc w:val="both"/>
              <w:rPr>
                <w:rFonts w:ascii="Times New Roman" w:hAnsi="Times New Roman" w:cs="Times New Roman"/>
                <w:lang w:val="it-CH"/>
              </w:rPr>
            </w:pPr>
          </w:p>
        </w:tc>
        <w:tc>
          <w:tcPr>
            <w:tcW w:w="470" w:type="pct"/>
            <w:tcBorders>
              <w:top w:val="single" w:sz="4" w:space="0" w:color="auto"/>
              <w:left w:val="single" w:sz="4" w:space="0" w:color="auto"/>
              <w:bottom w:val="single" w:sz="4" w:space="0" w:color="auto"/>
              <w:right w:val="single" w:sz="4" w:space="0" w:color="auto"/>
            </w:tcBorders>
          </w:tcPr>
          <w:p w14:paraId="52C81998" w14:textId="77777777" w:rsidR="00265766" w:rsidRPr="009E686F" w:rsidDel="003932E1" w:rsidRDefault="00265766" w:rsidP="00265766">
            <w:pPr>
              <w:jc w:val="both"/>
              <w:rPr>
                <w:rFonts w:ascii="Times New Roman" w:hAnsi="Times New Roman" w:cs="Times New Roman"/>
                <w:lang w:val="it-CH"/>
              </w:rPr>
            </w:pPr>
          </w:p>
        </w:tc>
        <w:tc>
          <w:tcPr>
            <w:tcW w:w="806" w:type="pct"/>
            <w:tcBorders>
              <w:top w:val="single" w:sz="4" w:space="0" w:color="auto"/>
              <w:left w:val="single" w:sz="4" w:space="0" w:color="auto"/>
              <w:bottom w:val="single" w:sz="4" w:space="0" w:color="auto"/>
              <w:right w:val="single" w:sz="4" w:space="0" w:color="auto"/>
            </w:tcBorders>
          </w:tcPr>
          <w:p w14:paraId="618AB2AF" w14:textId="77777777" w:rsidR="00265766" w:rsidRPr="009E686F" w:rsidRDefault="00265766" w:rsidP="00265766">
            <w:pPr>
              <w:spacing w:after="0"/>
              <w:jc w:val="both"/>
              <w:rPr>
                <w:rFonts w:ascii="Times New Roman" w:hAnsi="Times New Roman" w:cs="Times New Roman"/>
                <w:color w:val="FF0000"/>
                <w:lang w:val="it-CH"/>
              </w:rPr>
            </w:pPr>
          </w:p>
        </w:tc>
      </w:tr>
      <w:tr w:rsidR="00265766" w:rsidRPr="009E686F" w14:paraId="5145F4A5" w14:textId="77777777" w:rsidTr="00960C23">
        <w:tc>
          <w:tcPr>
            <w:tcW w:w="1890" w:type="pct"/>
            <w:tcBorders>
              <w:top w:val="single" w:sz="4" w:space="0" w:color="auto"/>
              <w:left w:val="single" w:sz="4" w:space="0" w:color="auto"/>
              <w:bottom w:val="single" w:sz="4" w:space="0" w:color="auto"/>
              <w:right w:val="single" w:sz="4" w:space="0" w:color="auto"/>
            </w:tcBorders>
          </w:tcPr>
          <w:p w14:paraId="493B8333" w14:textId="61BBD97B" w:rsidR="00265766" w:rsidRPr="009E686F" w:rsidDel="003932E1" w:rsidRDefault="00265766" w:rsidP="00265766">
            <w:pPr>
              <w:spacing w:after="0"/>
              <w:jc w:val="both"/>
              <w:rPr>
                <w:rFonts w:ascii="Times New Roman" w:hAnsi="Times New Roman" w:cs="Times New Roman"/>
                <w:lang w:val="it-IT"/>
              </w:rPr>
            </w:pPr>
            <w:r w:rsidRPr="009E686F">
              <w:rPr>
                <w:rFonts w:ascii="Times New Roman" w:hAnsi="Times New Roman" w:cs="Times New Roman"/>
                <w:lang w:val="it-IT"/>
              </w:rPr>
              <w:t>La calcularea procentelor menționate la primul paragraf de la prezentul alineat nu se iau în considerare următoarele:</w:t>
            </w:r>
          </w:p>
        </w:tc>
        <w:tc>
          <w:tcPr>
            <w:tcW w:w="1834" w:type="pct"/>
            <w:tcBorders>
              <w:top w:val="single" w:sz="4" w:space="0" w:color="auto"/>
              <w:left w:val="single" w:sz="4" w:space="0" w:color="auto"/>
              <w:bottom w:val="single" w:sz="4" w:space="0" w:color="auto"/>
              <w:right w:val="single" w:sz="4" w:space="0" w:color="auto"/>
            </w:tcBorders>
          </w:tcPr>
          <w:p w14:paraId="2AA5B252" w14:textId="3756B281" w:rsidR="00265766" w:rsidRPr="009E686F" w:rsidRDefault="00265766" w:rsidP="00265766">
            <w:pPr>
              <w:spacing w:after="0"/>
              <w:jc w:val="both"/>
              <w:rPr>
                <w:rFonts w:ascii="Times New Roman" w:hAnsi="Times New Roman" w:cs="Times New Roman"/>
                <w:bCs/>
                <w:i/>
                <w:iCs/>
                <w:lang w:val="pt-BR"/>
              </w:rPr>
            </w:pPr>
            <w:r w:rsidRPr="009E686F">
              <w:rPr>
                <w:rFonts w:ascii="Times New Roman" w:hAnsi="Times New Roman" w:cs="Times New Roman"/>
                <w:bCs/>
                <w:i/>
                <w:iCs/>
                <w:lang w:val="it-IT"/>
              </w:rPr>
              <w:t xml:space="preserve">(5) La calcularea procentelor menționate la alin. </w:t>
            </w:r>
            <w:r w:rsidRPr="009E686F">
              <w:rPr>
                <w:rFonts w:ascii="Times New Roman" w:hAnsi="Times New Roman" w:cs="Times New Roman"/>
                <w:bCs/>
                <w:i/>
                <w:iCs/>
                <w:lang w:val="pt-BR"/>
              </w:rPr>
              <w:t>(4) nu se iau în considerare următoarele:</w:t>
            </w:r>
          </w:p>
        </w:tc>
        <w:tc>
          <w:tcPr>
            <w:tcW w:w="470" w:type="pct"/>
            <w:tcBorders>
              <w:top w:val="single" w:sz="4" w:space="0" w:color="auto"/>
              <w:left w:val="single" w:sz="4" w:space="0" w:color="auto"/>
              <w:bottom w:val="single" w:sz="4" w:space="0" w:color="auto"/>
              <w:right w:val="single" w:sz="4" w:space="0" w:color="auto"/>
            </w:tcBorders>
          </w:tcPr>
          <w:p w14:paraId="31B6B2A8" w14:textId="45475313" w:rsidR="00265766" w:rsidRPr="009E686F" w:rsidDel="003932E1" w:rsidRDefault="00265766" w:rsidP="00265766">
            <w:pPr>
              <w:jc w:val="both"/>
              <w:rPr>
                <w:rFonts w:ascii="Times New Roman" w:hAnsi="Times New Roman" w:cs="Times New Roman"/>
                <w:lang w:val="pt-BR"/>
              </w:rPr>
            </w:pPr>
            <w:r w:rsidRPr="009E686F">
              <w:rPr>
                <w:rFonts w:ascii="Times New Roman" w:hAnsi="Times New Roman" w:cs="Times New Roman"/>
                <w:lang w:val="pt-BR"/>
              </w:rPr>
              <w:t>Compatibil</w:t>
            </w:r>
          </w:p>
        </w:tc>
        <w:tc>
          <w:tcPr>
            <w:tcW w:w="806" w:type="pct"/>
            <w:tcBorders>
              <w:top w:val="single" w:sz="4" w:space="0" w:color="auto"/>
              <w:left w:val="single" w:sz="4" w:space="0" w:color="auto"/>
              <w:bottom w:val="single" w:sz="4" w:space="0" w:color="auto"/>
              <w:right w:val="single" w:sz="4" w:space="0" w:color="auto"/>
            </w:tcBorders>
          </w:tcPr>
          <w:p w14:paraId="48F099B8" w14:textId="77777777" w:rsidR="00265766" w:rsidRPr="009E686F" w:rsidRDefault="00265766" w:rsidP="00265766">
            <w:pPr>
              <w:spacing w:after="0"/>
              <w:jc w:val="both"/>
              <w:rPr>
                <w:rFonts w:ascii="Times New Roman" w:hAnsi="Times New Roman" w:cs="Times New Roman"/>
                <w:color w:val="FF0000"/>
                <w:lang w:val="pt-BR"/>
              </w:rPr>
            </w:pPr>
          </w:p>
        </w:tc>
      </w:tr>
      <w:tr w:rsidR="00265766" w:rsidRPr="009E686F" w14:paraId="60446860" w14:textId="77777777" w:rsidTr="00960C23">
        <w:tc>
          <w:tcPr>
            <w:tcW w:w="1890" w:type="pct"/>
            <w:tcBorders>
              <w:top w:val="single" w:sz="4" w:space="0" w:color="auto"/>
              <w:left w:val="single" w:sz="4" w:space="0" w:color="auto"/>
              <w:bottom w:val="single" w:sz="4" w:space="0" w:color="auto"/>
              <w:right w:val="single" w:sz="4" w:space="0" w:color="auto"/>
            </w:tcBorders>
          </w:tcPr>
          <w:p w14:paraId="757FF624" w14:textId="71243740" w:rsidR="00265766" w:rsidRPr="009E686F" w:rsidDel="003932E1" w:rsidRDefault="00265766" w:rsidP="00265766">
            <w:pPr>
              <w:spacing w:after="0"/>
              <w:jc w:val="both"/>
              <w:rPr>
                <w:rFonts w:ascii="Times New Roman" w:hAnsi="Times New Roman" w:cs="Times New Roman"/>
                <w:lang w:val="pt-BR"/>
              </w:rPr>
            </w:pPr>
            <w:r w:rsidRPr="009E686F">
              <w:rPr>
                <w:rFonts w:ascii="Times New Roman" w:hAnsi="Times New Roman" w:cs="Times New Roman"/>
                <w:lang w:val="pt-BR"/>
              </w:rPr>
              <w:t>(a) transferurile de active neperformante;</w:t>
            </w:r>
          </w:p>
        </w:tc>
        <w:tc>
          <w:tcPr>
            <w:tcW w:w="1834" w:type="pct"/>
            <w:tcBorders>
              <w:top w:val="single" w:sz="4" w:space="0" w:color="auto"/>
              <w:left w:val="single" w:sz="4" w:space="0" w:color="auto"/>
              <w:bottom w:val="single" w:sz="4" w:space="0" w:color="auto"/>
              <w:right w:val="single" w:sz="4" w:space="0" w:color="auto"/>
            </w:tcBorders>
          </w:tcPr>
          <w:p w14:paraId="6C7F0508" w14:textId="464A3533" w:rsidR="00265766" w:rsidRPr="009E686F" w:rsidRDefault="00265766" w:rsidP="00265766">
            <w:pPr>
              <w:spacing w:after="0"/>
              <w:jc w:val="both"/>
              <w:rPr>
                <w:rFonts w:ascii="Times New Roman" w:hAnsi="Times New Roman" w:cs="Times New Roman"/>
                <w:bCs/>
                <w:i/>
                <w:iCs/>
                <w:lang w:val="pt-BR"/>
              </w:rPr>
            </w:pPr>
            <w:r w:rsidRPr="009E686F">
              <w:rPr>
                <w:rFonts w:ascii="Times New Roman" w:hAnsi="Times New Roman" w:cs="Times New Roman"/>
                <w:bCs/>
                <w:i/>
                <w:iCs/>
                <w:lang w:val="pt-BR"/>
              </w:rPr>
              <w:t>a) transferurile de active neperformante;</w:t>
            </w:r>
          </w:p>
        </w:tc>
        <w:tc>
          <w:tcPr>
            <w:tcW w:w="470" w:type="pct"/>
            <w:tcBorders>
              <w:top w:val="single" w:sz="4" w:space="0" w:color="auto"/>
              <w:left w:val="single" w:sz="4" w:space="0" w:color="auto"/>
              <w:bottom w:val="single" w:sz="4" w:space="0" w:color="auto"/>
              <w:right w:val="single" w:sz="4" w:space="0" w:color="auto"/>
            </w:tcBorders>
          </w:tcPr>
          <w:p w14:paraId="5FF1072E" w14:textId="666D5006" w:rsidR="00265766" w:rsidRPr="009E686F" w:rsidDel="003932E1" w:rsidRDefault="00265766" w:rsidP="00265766">
            <w:pPr>
              <w:jc w:val="both"/>
              <w:rPr>
                <w:rFonts w:ascii="Times New Roman" w:hAnsi="Times New Roman" w:cs="Times New Roman"/>
                <w:lang w:val="pt-BR"/>
              </w:rPr>
            </w:pPr>
            <w:r w:rsidRPr="009E686F">
              <w:rPr>
                <w:rFonts w:ascii="Times New Roman" w:hAnsi="Times New Roman" w:cs="Times New Roman"/>
                <w:lang w:val="pt-BR"/>
              </w:rPr>
              <w:t>Compatibil</w:t>
            </w:r>
          </w:p>
        </w:tc>
        <w:tc>
          <w:tcPr>
            <w:tcW w:w="806" w:type="pct"/>
            <w:tcBorders>
              <w:top w:val="single" w:sz="4" w:space="0" w:color="auto"/>
              <w:left w:val="single" w:sz="4" w:space="0" w:color="auto"/>
              <w:bottom w:val="single" w:sz="4" w:space="0" w:color="auto"/>
              <w:right w:val="single" w:sz="4" w:space="0" w:color="auto"/>
            </w:tcBorders>
          </w:tcPr>
          <w:p w14:paraId="3CAD528B" w14:textId="77777777" w:rsidR="00265766" w:rsidRPr="009E686F" w:rsidRDefault="00265766" w:rsidP="00265766">
            <w:pPr>
              <w:spacing w:after="0"/>
              <w:jc w:val="both"/>
              <w:rPr>
                <w:rFonts w:ascii="Times New Roman" w:hAnsi="Times New Roman" w:cs="Times New Roman"/>
                <w:color w:val="FF0000"/>
                <w:lang w:val="pt-BR"/>
              </w:rPr>
            </w:pPr>
          </w:p>
        </w:tc>
      </w:tr>
      <w:tr w:rsidR="00265766" w:rsidRPr="009E686F" w14:paraId="01C4A27E" w14:textId="77777777" w:rsidTr="00960C23">
        <w:tc>
          <w:tcPr>
            <w:tcW w:w="1890" w:type="pct"/>
            <w:tcBorders>
              <w:top w:val="single" w:sz="4" w:space="0" w:color="auto"/>
              <w:left w:val="single" w:sz="4" w:space="0" w:color="auto"/>
              <w:bottom w:val="single" w:sz="4" w:space="0" w:color="auto"/>
              <w:right w:val="single" w:sz="4" w:space="0" w:color="auto"/>
            </w:tcBorders>
          </w:tcPr>
          <w:p w14:paraId="090E572E" w14:textId="5D29E724" w:rsidR="00265766" w:rsidRPr="009E686F" w:rsidDel="003932E1"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(b) transferurile de active în scopul includerii într-un portofoliu de acoperire, astfel cum este definit la articolul 3 punctul 3 din Directiva (UE) 2019/2162 a Parlamentului European și a Consiliului (*);</w:t>
            </w:r>
          </w:p>
        </w:tc>
        <w:tc>
          <w:tcPr>
            <w:tcW w:w="1834" w:type="pct"/>
            <w:tcBorders>
              <w:top w:val="single" w:sz="4" w:space="0" w:color="auto"/>
              <w:left w:val="single" w:sz="4" w:space="0" w:color="auto"/>
              <w:bottom w:val="single" w:sz="4" w:space="0" w:color="auto"/>
              <w:right w:val="single" w:sz="4" w:space="0" w:color="auto"/>
            </w:tcBorders>
          </w:tcPr>
          <w:p w14:paraId="7636BEFC" w14:textId="27E7AF09" w:rsidR="00265766" w:rsidRPr="009E686F" w:rsidRDefault="00265766" w:rsidP="00265766">
            <w:pPr>
              <w:spacing w:after="0"/>
              <w:jc w:val="both"/>
              <w:rPr>
                <w:rFonts w:ascii="Times New Roman" w:hAnsi="Times New Roman" w:cs="Times New Roman"/>
                <w:bCs/>
                <w:i/>
                <w:iCs/>
                <w:lang w:val="pt-BR"/>
              </w:rPr>
            </w:pPr>
            <w:r w:rsidRPr="009E686F">
              <w:rPr>
                <w:rFonts w:ascii="Times New Roman" w:hAnsi="Times New Roman" w:cs="Times New Roman"/>
                <w:bCs/>
                <w:i/>
                <w:iCs/>
                <w:lang w:val="pt-BR"/>
              </w:rPr>
              <w:t>b) transferurile de active în scopul includerii într-un portofoliu de acoperire, astfel cum este definit în Legea privind supravegherea publică a obligațiunilor garantate;</w:t>
            </w:r>
          </w:p>
        </w:tc>
        <w:tc>
          <w:tcPr>
            <w:tcW w:w="470" w:type="pct"/>
            <w:tcBorders>
              <w:top w:val="single" w:sz="4" w:space="0" w:color="auto"/>
              <w:left w:val="single" w:sz="4" w:space="0" w:color="auto"/>
              <w:bottom w:val="single" w:sz="4" w:space="0" w:color="auto"/>
              <w:right w:val="single" w:sz="4" w:space="0" w:color="auto"/>
            </w:tcBorders>
          </w:tcPr>
          <w:p w14:paraId="2D49C029" w14:textId="1D7A197F" w:rsidR="00265766" w:rsidRPr="009E686F" w:rsidDel="003932E1" w:rsidRDefault="00265766" w:rsidP="00265766">
            <w:pPr>
              <w:jc w:val="both"/>
              <w:rPr>
                <w:rFonts w:ascii="Times New Roman" w:hAnsi="Times New Roman" w:cs="Times New Roman"/>
                <w:lang w:val="pt-BR"/>
              </w:rPr>
            </w:pPr>
            <w:r w:rsidRPr="009E686F">
              <w:rPr>
                <w:rFonts w:ascii="Times New Roman" w:hAnsi="Times New Roman" w:cs="Times New Roman"/>
                <w:lang w:val="pt-BR"/>
              </w:rPr>
              <w:t>Compatibil</w:t>
            </w:r>
          </w:p>
        </w:tc>
        <w:tc>
          <w:tcPr>
            <w:tcW w:w="806" w:type="pct"/>
            <w:tcBorders>
              <w:top w:val="single" w:sz="4" w:space="0" w:color="auto"/>
              <w:left w:val="single" w:sz="4" w:space="0" w:color="auto"/>
              <w:bottom w:val="single" w:sz="4" w:space="0" w:color="auto"/>
              <w:right w:val="single" w:sz="4" w:space="0" w:color="auto"/>
            </w:tcBorders>
          </w:tcPr>
          <w:p w14:paraId="015DAD0E" w14:textId="77777777" w:rsidR="00265766" w:rsidRPr="009E686F" w:rsidRDefault="00265766" w:rsidP="00265766">
            <w:pPr>
              <w:spacing w:after="0"/>
              <w:jc w:val="both"/>
              <w:rPr>
                <w:rFonts w:ascii="Times New Roman" w:hAnsi="Times New Roman" w:cs="Times New Roman"/>
                <w:color w:val="FF0000"/>
                <w:lang w:val="pt-BR"/>
              </w:rPr>
            </w:pPr>
          </w:p>
        </w:tc>
      </w:tr>
      <w:tr w:rsidR="00265766" w:rsidRPr="009E686F" w14:paraId="20C35776" w14:textId="77777777" w:rsidTr="00960C23">
        <w:tc>
          <w:tcPr>
            <w:tcW w:w="1890" w:type="pct"/>
            <w:tcBorders>
              <w:top w:val="single" w:sz="4" w:space="0" w:color="auto"/>
              <w:left w:val="single" w:sz="4" w:space="0" w:color="auto"/>
              <w:bottom w:val="single" w:sz="4" w:space="0" w:color="auto"/>
              <w:right w:val="single" w:sz="4" w:space="0" w:color="auto"/>
            </w:tcBorders>
          </w:tcPr>
          <w:p w14:paraId="7C36BB3A" w14:textId="59B863D8" w:rsidR="00265766" w:rsidRPr="009E686F" w:rsidDel="003932E1" w:rsidRDefault="00265766" w:rsidP="00265766">
            <w:pPr>
              <w:spacing w:after="0"/>
              <w:jc w:val="both"/>
              <w:rPr>
                <w:rFonts w:ascii="Times New Roman" w:hAnsi="Times New Roman" w:cs="Times New Roman"/>
                <w:lang w:val="pt-BR"/>
              </w:rPr>
            </w:pPr>
            <w:r w:rsidRPr="009E686F">
              <w:rPr>
                <w:rFonts w:ascii="Times New Roman" w:hAnsi="Times New Roman" w:cs="Times New Roman"/>
                <w:lang w:val="pt-BR"/>
              </w:rPr>
              <w:t>(c) transferurile de active care urmează să fie securitizate;</w:t>
            </w:r>
          </w:p>
        </w:tc>
        <w:tc>
          <w:tcPr>
            <w:tcW w:w="1834" w:type="pct"/>
            <w:tcBorders>
              <w:top w:val="single" w:sz="4" w:space="0" w:color="auto"/>
              <w:left w:val="single" w:sz="4" w:space="0" w:color="auto"/>
              <w:bottom w:val="single" w:sz="4" w:space="0" w:color="auto"/>
              <w:right w:val="single" w:sz="4" w:space="0" w:color="auto"/>
            </w:tcBorders>
          </w:tcPr>
          <w:p w14:paraId="1D2F9BCC" w14:textId="7E32B279" w:rsidR="00265766" w:rsidRPr="009E686F" w:rsidRDefault="00265766" w:rsidP="00265766">
            <w:pPr>
              <w:spacing w:after="0"/>
              <w:jc w:val="both"/>
              <w:rPr>
                <w:rFonts w:ascii="Times New Roman" w:hAnsi="Times New Roman" w:cs="Times New Roman"/>
                <w:bCs/>
                <w:i/>
                <w:iCs/>
                <w:lang w:val="pt-BR"/>
              </w:rPr>
            </w:pPr>
            <w:r w:rsidRPr="009E686F">
              <w:rPr>
                <w:rFonts w:ascii="Times New Roman" w:hAnsi="Times New Roman" w:cs="Times New Roman"/>
                <w:bCs/>
                <w:i/>
                <w:iCs/>
                <w:lang w:val="pt-BR"/>
              </w:rPr>
              <w:t xml:space="preserve">c) transferurile de active care urmează să fie securitizate; </w:t>
            </w:r>
          </w:p>
        </w:tc>
        <w:tc>
          <w:tcPr>
            <w:tcW w:w="470" w:type="pct"/>
            <w:tcBorders>
              <w:top w:val="single" w:sz="4" w:space="0" w:color="auto"/>
              <w:left w:val="single" w:sz="4" w:space="0" w:color="auto"/>
              <w:bottom w:val="single" w:sz="4" w:space="0" w:color="auto"/>
              <w:right w:val="single" w:sz="4" w:space="0" w:color="auto"/>
            </w:tcBorders>
          </w:tcPr>
          <w:p w14:paraId="4678B22F" w14:textId="62EF6E99" w:rsidR="00265766" w:rsidRPr="009E686F" w:rsidDel="003932E1" w:rsidRDefault="00265766" w:rsidP="00265766">
            <w:pPr>
              <w:jc w:val="both"/>
              <w:rPr>
                <w:rFonts w:ascii="Times New Roman" w:hAnsi="Times New Roman" w:cs="Times New Roman"/>
                <w:lang w:val="pt-BR"/>
              </w:rPr>
            </w:pPr>
            <w:r w:rsidRPr="009E686F">
              <w:rPr>
                <w:rFonts w:ascii="Times New Roman" w:hAnsi="Times New Roman" w:cs="Times New Roman"/>
                <w:lang w:val="pt-BR"/>
              </w:rPr>
              <w:t>Compatibil</w:t>
            </w:r>
          </w:p>
        </w:tc>
        <w:tc>
          <w:tcPr>
            <w:tcW w:w="806" w:type="pct"/>
            <w:tcBorders>
              <w:top w:val="single" w:sz="4" w:space="0" w:color="auto"/>
              <w:left w:val="single" w:sz="4" w:space="0" w:color="auto"/>
              <w:bottom w:val="single" w:sz="4" w:space="0" w:color="auto"/>
              <w:right w:val="single" w:sz="4" w:space="0" w:color="auto"/>
            </w:tcBorders>
          </w:tcPr>
          <w:p w14:paraId="1F587D15" w14:textId="77777777" w:rsidR="00265766" w:rsidRPr="009E686F" w:rsidRDefault="00265766" w:rsidP="00265766">
            <w:pPr>
              <w:spacing w:after="0"/>
              <w:jc w:val="both"/>
              <w:rPr>
                <w:rFonts w:ascii="Times New Roman" w:hAnsi="Times New Roman" w:cs="Times New Roman"/>
                <w:color w:val="FF0000"/>
                <w:lang w:val="pt-BR"/>
              </w:rPr>
            </w:pPr>
          </w:p>
        </w:tc>
      </w:tr>
      <w:tr w:rsidR="00265766" w:rsidRPr="009E686F" w14:paraId="221EAB03" w14:textId="77777777" w:rsidTr="00960C23">
        <w:tc>
          <w:tcPr>
            <w:tcW w:w="1890" w:type="pct"/>
            <w:tcBorders>
              <w:top w:val="single" w:sz="4" w:space="0" w:color="auto"/>
              <w:left w:val="single" w:sz="4" w:space="0" w:color="auto"/>
              <w:bottom w:val="single" w:sz="4" w:space="0" w:color="auto"/>
              <w:right w:val="single" w:sz="4" w:space="0" w:color="auto"/>
            </w:tcBorders>
          </w:tcPr>
          <w:p w14:paraId="78146457" w14:textId="09557DD5" w:rsidR="00265766" w:rsidRPr="009E686F" w:rsidDel="003932E1" w:rsidRDefault="00265766" w:rsidP="00265766">
            <w:pPr>
              <w:spacing w:after="0"/>
              <w:jc w:val="both"/>
              <w:rPr>
                <w:rFonts w:ascii="Times New Roman" w:hAnsi="Times New Roman" w:cs="Times New Roman"/>
                <w:lang w:val="pt-BR"/>
              </w:rPr>
            </w:pPr>
            <w:r w:rsidRPr="009E686F">
              <w:rPr>
                <w:rFonts w:ascii="Times New Roman" w:hAnsi="Times New Roman" w:cs="Times New Roman"/>
                <w:lang w:val="pt-BR"/>
              </w:rPr>
              <w:t>(d) transferurile de active sau de pasive în contextul utilizării instrumentelor, competențelor și mecanismelor de rezoluție prevăzute în titlul IV din Directiva 2014/59/UE.</w:t>
            </w:r>
          </w:p>
        </w:tc>
        <w:tc>
          <w:tcPr>
            <w:tcW w:w="1834" w:type="pct"/>
            <w:tcBorders>
              <w:top w:val="single" w:sz="4" w:space="0" w:color="auto"/>
              <w:left w:val="single" w:sz="4" w:space="0" w:color="auto"/>
              <w:bottom w:val="single" w:sz="4" w:space="0" w:color="auto"/>
              <w:right w:val="single" w:sz="4" w:space="0" w:color="auto"/>
            </w:tcBorders>
          </w:tcPr>
          <w:p w14:paraId="43FE523D" w14:textId="40E47929" w:rsidR="00265766" w:rsidRPr="009E686F" w:rsidRDefault="00265766" w:rsidP="00265766">
            <w:pPr>
              <w:spacing w:after="0"/>
              <w:jc w:val="both"/>
              <w:rPr>
                <w:rFonts w:ascii="Times New Roman" w:hAnsi="Times New Roman" w:cs="Times New Roman"/>
                <w:bCs/>
                <w:i/>
                <w:iCs/>
                <w:lang w:val="pt-BR"/>
              </w:rPr>
            </w:pPr>
            <w:r w:rsidRPr="009E686F">
              <w:rPr>
                <w:rFonts w:ascii="Times New Roman" w:hAnsi="Times New Roman" w:cs="Times New Roman"/>
                <w:bCs/>
                <w:i/>
                <w:iCs/>
                <w:lang w:val="pt-BR"/>
              </w:rPr>
              <w:t>d) transferurile de active sau de pasive în contextul utilizării instrumentelor, competențelor și mecanismelor de rezoluție prevăzute de Legea nr. 232/2016.</w:t>
            </w:r>
          </w:p>
        </w:tc>
        <w:tc>
          <w:tcPr>
            <w:tcW w:w="470" w:type="pct"/>
            <w:tcBorders>
              <w:top w:val="single" w:sz="4" w:space="0" w:color="auto"/>
              <w:left w:val="single" w:sz="4" w:space="0" w:color="auto"/>
              <w:bottom w:val="single" w:sz="4" w:space="0" w:color="auto"/>
              <w:right w:val="single" w:sz="4" w:space="0" w:color="auto"/>
            </w:tcBorders>
          </w:tcPr>
          <w:p w14:paraId="0EA5BFAF" w14:textId="09062BEA" w:rsidR="00265766" w:rsidRPr="009E686F" w:rsidDel="003932E1" w:rsidRDefault="00265766" w:rsidP="00265766">
            <w:pPr>
              <w:jc w:val="both"/>
              <w:rPr>
                <w:rFonts w:ascii="Times New Roman" w:hAnsi="Times New Roman" w:cs="Times New Roman"/>
                <w:lang w:val="pt-BR"/>
              </w:rPr>
            </w:pPr>
            <w:r w:rsidRPr="009E686F">
              <w:rPr>
                <w:rFonts w:ascii="Times New Roman" w:hAnsi="Times New Roman" w:cs="Times New Roman"/>
                <w:lang w:val="ro-MD"/>
              </w:rPr>
              <w:t>Compatibil</w:t>
            </w:r>
          </w:p>
        </w:tc>
        <w:tc>
          <w:tcPr>
            <w:tcW w:w="806" w:type="pct"/>
            <w:tcBorders>
              <w:top w:val="single" w:sz="4" w:space="0" w:color="auto"/>
              <w:left w:val="single" w:sz="4" w:space="0" w:color="auto"/>
              <w:bottom w:val="single" w:sz="4" w:space="0" w:color="auto"/>
              <w:right w:val="single" w:sz="4" w:space="0" w:color="auto"/>
            </w:tcBorders>
          </w:tcPr>
          <w:p w14:paraId="07B76808" w14:textId="77777777" w:rsidR="00265766" w:rsidRPr="009E686F" w:rsidRDefault="00265766" w:rsidP="00265766">
            <w:pPr>
              <w:spacing w:after="0"/>
              <w:jc w:val="both"/>
              <w:rPr>
                <w:rFonts w:ascii="Times New Roman" w:hAnsi="Times New Roman" w:cs="Times New Roman"/>
                <w:color w:val="FF0000"/>
                <w:lang w:val="pt-BR"/>
              </w:rPr>
            </w:pPr>
          </w:p>
        </w:tc>
      </w:tr>
      <w:tr w:rsidR="00265766" w:rsidRPr="009E686F" w14:paraId="5DF7D67E" w14:textId="77777777" w:rsidTr="00960C23">
        <w:tc>
          <w:tcPr>
            <w:tcW w:w="1890" w:type="pct"/>
            <w:tcBorders>
              <w:top w:val="single" w:sz="4" w:space="0" w:color="auto"/>
              <w:left w:val="single" w:sz="4" w:space="0" w:color="auto"/>
              <w:bottom w:val="single" w:sz="4" w:space="0" w:color="auto"/>
              <w:right w:val="single" w:sz="4" w:space="0" w:color="auto"/>
            </w:tcBorders>
          </w:tcPr>
          <w:p w14:paraId="55A6E3F6" w14:textId="0D5A4D4F" w:rsidR="00265766" w:rsidRPr="009E686F" w:rsidDel="003932E1" w:rsidRDefault="00265766" w:rsidP="00265766">
            <w:pPr>
              <w:spacing w:after="0"/>
              <w:jc w:val="both"/>
              <w:rPr>
                <w:rFonts w:ascii="Times New Roman" w:hAnsi="Times New Roman" w:cs="Times New Roman"/>
                <w:lang w:val="it-IT"/>
              </w:rPr>
            </w:pPr>
            <w:r w:rsidRPr="009E686F">
              <w:rPr>
                <w:rFonts w:ascii="Times New Roman" w:hAnsi="Times New Roman" w:cs="Times New Roman"/>
                <w:lang w:val="it-IT"/>
              </w:rPr>
              <w:t xml:space="preserve">(3) Autoritatea competentă confirmă în scris primirea notificării prevăzute la alineatul (1) cu promptitudine și, în </w:t>
            </w:r>
            <w:r w:rsidRPr="009E686F">
              <w:rPr>
                <w:rFonts w:ascii="Times New Roman" w:hAnsi="Times New Roman" w:cs="Times New Roman"/>
                <w:lang w:val="it-IT"/>
              </w:rPr>
              <w:lastRenderedPageBreak/>
              <w:t>orice caz, în termen de 10 zile lucrătoare de la primirea notificării.</w:t>
            </w:r>
          </w:p>
        </w:tc>
        <w:tc>
          <w:tcPr>
            <w:tcW w:w="1834" w:type="pct"/>
            <w:tcBorders>
              <w:top w:val="single" w:sz="4" w:space="0" w:color="auto"/>
              <w:left w:val="single" w:sz="4" w:space="0" w:color="auto"/>
              <w:bottom w:val="single" w:sz="4" w:space="0" w:color="auto"/>
              <w:right w:val="single" w:sz="4" w:space="0" w:color="auto"/>
            </w:tcBorders>
          </w:tcPr>
          <w:p w14:paraId="3334D32A" w14:textId="66C86581" w:rsidR="00265766" w:rsidRPr="009E686F" w:rsidRDefault="00265766" w:rsidP="00265766">
            <w:pPr>
              <w:spacing w:after="0"/>
              <w:jc w:val="both"/>
              <w:rPr>
                <w:rFonts w:ascii="Times New Roman" w:hAnsi="Times New Roman" w:cs="Times New Roman"/>
                <w:bCs/>
                <w:i/>
                <w:iCs/>
                <w:lang w:val="it-IT"/>
              </w:rPr>
            </w:pPr>
            <w:r w:rsidRPr="009E686F">
              <w:rPr>
                <w:rFonts w:ascii="Times New Roman" w:hAnsi="Times New Roman" w:cs="Times New Roman"/>
                <w:bCs/>
                <w:i/>
                <w:iCs/>
                <w:lang w:val="it-IT"/>
              </w:rPr>
              <w:lastRenderedPageBreak/>
              <w:t>(6) Banca Națională a Moldovei confirmă în scris primirea notificării prevăzute la alin. (1) cu promptitudine și, în orice caz, în termen de 10 zile lucrătoare de la primirea notificării.</w:t>
            </w:r>
          </w:p>
        </w:tc>
        <w:tc>
          <w:tcPr>
            <w:tcW w:w="470" w:type="pct"/>
            <w:tcBorders>
              <w:top w:val="single" w:sz="4" w:space="0" w:color="auto"/>
              <w:left w:val="single" w:sz="4" w:space="0" w:color="auto"/>
              <w:bottom w:val="single" w:sz="4" w:space="0" w:color="auto"/>
              <w:right w:val="single" w:sz="4" w:space="0" w:color="auto"/>
            </w:tcBorders>
          </w:tcPr>
          <w:p w14:paraId="0C95BDB7" w14:textId="10B67FB6" w:rsidR="00265766" w:rsidRPr="009E686F" w:rsidDel="003932E1" w:rsidRDefault="00265766" w:rsidP="00265766">
            <w:pPr>
              <w:jc w:val="both"/>
              <w:rPr>
                <w:rFonts w:ascii="Times New Roman" w:hAnsi="Times New Roman" w:cs="Times New Roman"/>
                <w:lang w:val="it-IT"/>
              </w:rPr>
            </w:pPr>
            <w:r w:rsidRPr="009E686F">
              <w:rPr>
                <w:rFonts w:ascii="Times New Roman" w:hAnsi="Times New Roman" w:cs="Times New Roman"/>
                <w:lang w:val="ro-MD"/>
              </w:rPr>
              <w:t>Compatibil</w:t>
            </w:r>
          </w:p>
        </w:tc>
        <w:tc>
          <w:tcPr>
            <w:tcW w:w="806" w:type="pct"/>
            <w:tcBorders>
              <w:top w:val="single" w:sz="4" w:space="0" w:color="auto"/>
              <w:left w:val="single" w:sz="4" w:space="0" w:color="auto"/>
              <w:bottom w:val="single" w:sz="4" w:space="0" w:color="auto"/>
              <w:right w:val="single" w:sz="4" w:space="0" w:color="auto"/>
            </w:tcBorders>
          </w:tcPr>
          <w:p w14:paraId="679BC595" w14:textId="77777777" w:rsidR="00265766" w:rsidRPr="009E686F" w:rsidRDefault="00265766" w:rsidP="00265766">
            <w:pPr>
              <w:spacing w:after="0"/>
              <w:jc w:val="both"/>
              <w:rPr>
                <w:rFonts w:ascii="Times New Roman" w:hAnsi="Times New Roman" w:cs="Times New Roman"/>
                <w:color w:val="FF0000"/>
                <w:lang w:val="it-IT"/>
              </w:rPr>
            </w:pPr>
          </w:p>
        </w:tc>
      </w:tr>
      <w:tr w:rsidR="00265766" w:rsidRPr="009E686F" w14:paraId="05BB5BC7" w14:textId="77777777" w:rsidTr="00AD7775">
        <w:trPr>
          <w:trHeight w:val="1949"/>
        </w:trPr>
        <w:tc>
          <w:tcPr>
            <w:tcW w:w="1890" w:type="pct"/>
            <w:tcBorders>
              <w:top w:val="single" w:sz="4" w:space="0" w:color="auto"/>
              <w:left w:val="single" w:sz="4" w:space="0" w:color="auto"/>
              <w:right w:val="single" w:sz="4" w:space="0" w:color="auto"/>
            </w:tcBorders>
          </w:tcPr>
          <w:p w14:paraId="572B3D46" w14:textId="77777777" w:rsidR="00265766" w:rsidRPr="009E686F" w:rsidRDefault="00265766" w:rsidP="00265766">
            <w:pPr>
              <w:spacing w:after="0"/>
              <w:jc w:val="both"/>
              <w:rPr>
                <w:rFonts w:ascii="Times New Roman" w:hAnsi="Times New Roman" w:cs="Times New Roman"/>
                <w:i/>
                <w:lang w:val="it-CH"/>
              </w:rPr>
            </w:pPr>
            <w:r w:rsidRPr="009E686F">
              <w:rPr>
                <w:rFonts w:ascii="Times New Roman" w:hAnsi="Times New Roman" w:cs="Times New Roman"/>
                <w:i/>
                <w:lang w:val="it-CH"/>
              </w:rPr>
              <w:t>Articolul 27g</w:t>
            </w:r>
          </w:p>
          <w:p w14:paraId="49EB3D46" w14:textId="77777777" w:rsidR="00265766" w:rsidRPr="009E686F" w:rsidDel="003932E1"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Obligații de informare și sancțiuni</w:t>
            </w:r>
          </w:p>
          <w:p w14:paraId="425C9749" w14:textId="609A874F" w:rsidR="00265766" w:rsidRPr="009E686F" w:rsidDel="003932E1"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În cazul în care entitățile nu notifică în prealabil operațiunea propusă în conformitate cu articolul 27f alineatul (1), statele membre impun autorităților competente obligația de a lua măsuri corespunzătoare.</w:t>
            </w:r>
          </w:p>
        </w:tc>
        <w:tc>
          <w:tcPr>
            <w:tcW w:w="1834" w:type="pct"/>
            <w:tcBorders>
              <w:top w:val="single" w:sz="4" w:space="0" w:color="auto"/>
              <w:left w:val="single" w:sz="4" w:space="0" w:color="auto"/>
              <w:right w:val="single" w:sz="4" w:space="0" w:color="auto"/>
            </w:tcBorders>
          </w:tcPr>
          <w:p w14:paraId="6D3AF289" w14:textId="77777777" w:rsidR="00265766" w:rsidRPr="009E686F" w:rsidRDefault="00265766" w:rsidP="00265766">
            <w:pPr>
              <w:spacing w:after="0"/>
              <w:jc w:val="both"/>
              <w:rPr>
                <w:rFonts w:ascii="Times New Roman" w:eastAsia="Aptos" w:hAnsi="Times New Roman" w:cs="Times New Roman"/>
                <w:b/>
                <w:bCs/>
                <w:kern w:val="2"/>
                <w:lang w:val="ro-MD"/>
              </w:rPr>
            </w:pPr>
            <w:r w:rsidRPr="009E686F">
              <w:rPr>
                <w:rFonts w:ascii="Times New Roman" w:eastAsia="Aptos" w:hAnsi="Times New Roman" w:cs="Times New Roman"/>
                <w:b/>
                <w:bCs/>
                <w:kern w:val="2"/>
                <w:lang w:val="ro-MD"/>
              </w:rPr>
              <w:t>Articolul 34</w:t>
            </w:r>
            <w:r w:rsidRPr="009E686F">
              <w:rPr>
                <w:rFonts w:ascii="Times New Roman" w:eastAsia="Aptos" w:hAnsi="Times New Roman" w:cs="Times New Roman"/>
                <w:b/>
                <w:bCs/>
                <w:kern w:val="2"/>
                <w:vertAlign w:val="superscript"/>
                <w:lang w:val="ro-MD"/>
              </w:rPr>
              <w:t>1</w:t>
            </w:r>
            <w:r w:rsidRPr="009E686F">
              <w:rPr>
                <w:rFonts w:ascii="Times New Roman" w:eastAsia="Aptos" w:hAnsi="Times New Roman" w:cs="Times New Roman"/>
                <w:b/>
                <w:bCs/>
                <w:kern w:val="2"/>
                <w:lang w:val="ro-MD"/>
              </w:rPr>
              <w:t xml:space="preserve"> alin. (7)</w:t>
            </w:r>
          </w:p>
          <w:p w14:paraId="1C4FB06C" w14:textId="1808E0B4" w:rsidR="00265766" w:rsidRPr="009E686F" w:rsidRDefault="00265766" w:rsidP="00265766">
            <w:pPr>
              <w:spacing w:after="0"/>
              <w:jc w:val="both"/>
              <w:rPr>
                <w:rFonts w:ascii="Times New Roman" w:hAnsi="Times New Roman" w:cs="Times New Roman"/>
                <w:b/>
                <w:lang w:val="ro-MD"/>
              </w:rPr>
            </w:pPr>
            <w:r w:rsidRPr="009E686F">
              <w:rPr>
                <w:rFonts w:ascii="Times New Roman" w:hAnsi="Times New Roman" w:cs="Times New Roman"/>
                <w:i/>
                <w:lang w:val="ro-MD"/>
              </w:rPr>
              <w:t xml:space="preserve">(7) Banca Națională a Moldovei </w:t>
            </w:r>
            <w:r w:rsidR="001A2004" w:rsidRPr="009E686F">
              <w:rPr>
                <w:rFonts w:ascii="Times New Roman" w:hAnsi="Times New Roman" w:cs="Times New Roman"/>
                <w:i/>
                <w:lang w:val="ro-MD"/>
              </w:rPr>
              <w:t xml:space="preserve">aplică sancţiunile, penalitățile cu titlu cominatoriu şi măsurile sancţionatorii prevăzute la art.141 </w:t>
            </w:r>
            <w:r w:rsidRPr="009E686F">
              <w:rPr>
                <w:rFonts w:ascii="Times New Roman" w:hAnsi="Times New Roman" w:cs="Times New Roman"/>
                <w:i/>
                <w:lang w:val="ro-MD"/>
              </w:rPr>
              <w:t xml:space="preserve">în vederea îndeplinirii  obligației entităților de a notifica în prealabil operațiunea propusă în conformitate cu alin. </w:t>
            </w:r>
            <w:r w:rsidRPr="009E686F">
              <w:rPr>
                <w:rFonts w:ascii="Times New Roman" w:hAnsi="Times New Roman" w:cs="Times New Roman"/>
                <w:i/>
                <w:iCs/>
                <w:lang w:val="ro-MD"/>
              </w:rPr>
              <w:t>(1).</w:t>
            </w:r>
          </w:p>
        </w:tc>
        <w:tc>
          <w:tcPr>
            <w:tcW w:w="470" w:type="pct"/>
            <w:tcBorders>
              <w:top w:val="single" w:sz="4" w:space="0" w:color="auto"/>
              <w:left w:val="single" w:sz="4" w:space="0" w:color="auto"/>
              <w:right w:val="single" w:sz="4" w:space="0" w:color="auto"/>
            </w:tcBorders>
          </w:tcPr>
          <w:p w14:paraId="555ACC91" w14:textId="77777777" w:rsidR="00265766" w:rsidRPr="009E686F" w:rsidDel="003932E1" w:rsidRDefault="00265766" w:rsidP="00265766">
            <w:pPr>
              <w:jc w:val="both"/>
              <w:rPr>
                <w:rFonts w:ascii="Times New Roman" w:hAnsi="Times New Roman" w:cs="Times New Roman"/>
                <w:lang w:val="it-IT"/>
              </w:rPr>
            </w:pPr>
            <w:r w:rsidRPr="009E686F">
              <w:rPr>
                <w:rFonts w:ascii="Times New Roman" w:hAnsi="Times New Roman" w:cs="Times New Roman"/>
                <w:lang w:val="ro-MD"/>
              </w:rPr>
              <w:t>Compatibil</w:t>
            </w:r>
          </w:p>
          <w:p w14:paraId="382FD2B6" w14:textId="3C605B6B" w:rsidR="00265766" w:rsidRPr="009E686F" w:rsidDel="003932E1" w:rsidRDefault="00265766" w:rsidP="00265766">
            <w:pPr>
              <w:jc w:val="both"/>
              <w:rPr>
                <w:rFonts w:ascii="Times New Roman" w:hAnsi="Times New Roman" w:cs="Times New Roman"/>
                <w:lang w:val="it-IT"/>
              </w:rPr>
            </w:pPr>
          </w:p>
        </w:tc>
        <w:tc>
          <w:tcPr>
            <w:tcW w:w="806" w:type="pct"/>
            <w:tcBorders>
              <w:top w:val="single" w:sz="4" w:space="0" w:color="auto"/>
              <w:left w:val="single" w:sz="4" w:space="0" w:color="auto"/>
              <w:right w:val="single" w:sz="4" w:space="0" w:color="auto"/>
            </w:tcBorders>
          </w:tcPr>
          <w:p w14:paraId="1DB361CB" w14:textId="77777777" w:rsidR="00265766" w:rsidRPr="009E686F" w:rsidRDefault="00265766" w:rsidP="00265766">
            <w:pPr>
              <w:spacing w:after="0"/>
              <w:jc w:val="both"/>
              <w:rPr>
                <w:rFonts w:ascii="Times New Roman" w:hAnsi="Times New Roman" w:cs="Times New Roman"/>
                <w:color w:val="FF0000"/>
                <w:lang w:val="it-IT"/>
              </w:rPr>
            </w:pPr>
          </w:p>
        </w:tc>
      </w:tr>
      <w:tr w:rsidR="00265766" w:rsidRPr="009E686F" w14:paraId="78628F8D" w14:textId="77777777" w:rsidTr="00960C23">
        <w:trPr>
          <w:trHeight w:val="979"/>
        </w:trPr>
        <w:tc>
          <w:tcPr>
            <w:tcW w:w="1890" w:type="pct"/>
            <w:tcBorders>
              <w:top w:val="single" w:sz="4" w:space="0" w:color="auto"/>
              <w:left w:val="single" w:sz="4" w:space="0" w:color="auto"/>
              <w:right w:val="single" w:sz="4" w:space="0" w:color="auto"/>
            </w:tcBorders>
          </w:tcPr>
          <w:p w14:paraId="1E08B0F7" w14:textId="77777777" w:rsidR="00265766" w:rsidRPr="009E686F" w:rsidRDefault="00265766" w:rsidP="00265766">
            <w:pPr>
              <w:spacing w:after="0"/>
              <w:jc w:val="both"/>
              <w:rPr>
                <w:rFonts w:ascii="Times New Roman" w:hAnsi="Times New Roman" w:cs="Times New Roman"/>
                <w:lang w:val="it-IT"/>
              </w:rPr>
            </w:pPr>
            <w:r w:rsidRPr="009E686F">
              <w:rPr>
                <w:rFonts w:ascii="Times New Roman" w:hAnsi="Times New Roman" w:cs="Times New Roman"/>
                <w:lang w:val="it-IT"/>
              </w:rPr>
              <w:t>CAPITOLUL 5</w:t>
            </w:r>
          </w:p>
          <w:p w14:paraId="1460666E" w14:textId="77777777" w:rsidR="00265766" w:rsidRPr="009E686F" w:rsidDel="003932E1" w:rsidRDefault="00265766" w:rsidP="00265766">
            <w:pPr>
              <w:spacing w:after="0"/>
              <w:jc w:val="both"/>
              <w:rPr>
                <w:rFonts w:ascii="Times New Roman" w:hAnsi="Times New Roman" w:cs="Times New Roman"/>
                <w:b/>
                <w:bCs/>
                <w:lang w:val="it-IT"/>
              </w:rPr>
            </w:pPr>
            <w:r w:rsidRPr="009E686F">
              <w:rPr>
                <w:rFonts w:ascii="Times New Roman" w:hAnsi="Times New Roman" w:cs="Times New Roman"/>
                <w:b/>
                <w:bCs/>
                <w:lang w:val="it-IT"/>
              </w:rPr>
              <w:t>FUZIUNI ȘI DIVIZĂRI</w:t>
            </w:r>
          </w:p>
          <w:p w14:paraId="706A4A24" w14:textId="77777777" w:rsidR="00265766" w:rsidRPr="009E686F" w:rsidRDefault="00265766" w:rsidP="00265766">
            <w:pPr>
              <w:spacing w:after="0"/>
              <w:jc w:val="both"/>
              <w:rPr>
                <w:rFonts w:ascii="Times New Roman" w:hAnsi="Times New Roman" w:cs="Times New Roman"/>
                <w:i/>
                <w:lang w:val="it-IT"/>
              </w:rPr>
            </w:pPr>
            <w:r w:rsidRPr="009E686F">
              <w:rPr>
                <w:rFonts w:ascii="Times New Roman" w:hAnsi="Times New Roman" w:cs="Times New Roman"/>
                <w:i/>
                <w:lang w:val="it-IT"/>
              </w:rPr>
              <w:t xml:space="preserve">Articolul 27h </w:t>
            </w:r>
          </w:p>
          <w:p w14:paraId="2F2402EC" w14:textId="55246602" w:rsidR="00265766" w:rsidRPr="009E686F" w:rsidDel="003932E1" w:rsidRDefault="00265766" w:rsidP="00265766">
            <w:pPr>
              <w:spacing w:after="0"/>
              <w:jc w:val="both"/>
              <w:rPr>
                <w:rFonts w:ascii="Times New Roman" w:hAnsi="Times New Roman" w:cs="Times New Roman"/>
                <w:lang w:val="pt-BR"/>
              </w:rPr>
            </w:pPr>
            <w:r w:rsidRPr="009E686F">
              <w:rPr>
                <w:rFonts w:ascii="Times New Roman" w:hAnsi="Times New Roman" w:cs="Times New Roman"/>
                <w:lang w:val="pt-BR"/>
              </w:rPr>
              <w:t>Domeniu de aplicare și definiții</w:t>
            </w:r>
          </w:p>
        </w:tc>
        <w:tc>
          <w:tcPr>
            <w:tcW w:w="1834" w:type="pct"/>
            <w:tcBorders>
              <w:top w:val="single" w:sz="4" w:space="0" w:color="auto"/>
              <w:left w:val="single" w:sz="4" w:space="0" w:color="auto"/>
              <w:right w:val="single" w:sz="4" w:space="0" w:color="auto"/>
            </w:tcBorders>
          </w:tcPr>
          <w:p w14:paraId="24D525A9" w14:textId="77777777" w:rsidR="00265766" w:rsidRPr="009E686F" w:rsidRDefault="00265766" w:rsidP="00265766">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b/>
                <w:bCs/>
                <w:kern w:val="2"/>
                <w:lang w:val="ro-MD"/>
              </w:rPr>
              <w:t>Articolul 34.</w:t>
            </w:r>
            <w:r w:rsidRPr="009E686F">
              <w:rPr>
                <w:rFonts w:ascii="Times New Roman" w:eastAsia="Aptos" w:hAnsi="Times New Roman" w:cs="Times New Roman"/>
                <w:kern w:val="2"/>
                <w:lang w:val="ro-MD"/>
              </w:rPr>
              <w:t xml:space="preserve"> Fuziunea sau dezmembrarea</w:t>
            </w:r>
          </w:p>
          <w:p w14:paraId="38853D9D" w14:textId="77777777" w:rsidR="00265766" w:rsidRPr="009E686F" w:rsidRDefault="00265766" w:rsidP="00265766">
            <w:pPr>
              <w:spacing w:after="0" w:line="278" w:lineRule="auto"/>
              <w:jc w:val="both"/>
              <w:rPr>
                <w:rFonts w:ascii="Times New Roman" w:hAnsi="Times New Roman" w:cs="Times New Roman"/>
                <w:b/>
                <w:lang w:val="it-IT"/>
              </w:rPr>
            </w:pPr>
          </w:p>
        </w:tc>
        <w:tc>
          <w:tcPr>
            <w:tcW w:w="470" w:type="pct"/>
            <w:tcBorders>
              <w:top w:val="single" w:sz="4" w:space="0" w:color="auto"/>
              <w:left w:val="single" w:sz="4" w:space="0" w:color="auto"/>
              <w:right w:val="single" w:sz="4" w:space="0" w:color="auto"/>
            </w:tcBorders>
          </w:tcPr>
          <w:p w14:paraId="6A997830" w14:textId="481DACA3" w:rsidR="00265766" w:rsidRPr="009E686F" w:rsidDel="003932E1" w:rsidRDefault="00265766" w:rsidP="00265766">
            <w:pPr>
              <w:jc w:val="both"/>
              <w:rPr>
                <w:rFonts w:ascii="Times New Roman" w:hAnsi="Times New Roman" w:cs="Times New Roman"/>
                <w:lang w:val="it-IT"/>
              </w:rPr>
            </w:pPr>
            <w:r w:rsidRPr="009E686F">
              <w:rPr>
                <w:rFonts w:ascii="Times New Roman" w:hAnsi="Times New Roman" w:cs="Times New Roman"/>
                <w:lang w:val="ro-MD"/>
              </w:rPr>
              <w:t>Compatibil</w:t>
            </w:r>
          </w:p>
        </w:tc>
        <w:tc>
          <w:tcPr>
            <w:tcW w:w="806" w:type="pct"/>
            <w:tcBorders>
              <w:top w:val="single" w:sz="4" w:space="0" w:color="auto"/>
              <w:left w:val="single" w:sz="4" w:space="0" w:color="auto"/>
              <w:right w:val="single" w:sz="4" w:space="0" w:color="auto"/>
            </w:tcBorders>
          </w:tcPr>
          <w:p w14:paraId="1CA4C692" w14:textId="77777777" w:rsidR="00265766" w:rsidRPr="009E686F" w:rsidRDefault="00265766" w:rsidP="00265766">
            <w:pPr>
              <w:spacing w:after="0"/>
              <w:jc w:val="both"/>
              <w:rPr>
                <w:rFonts w:ascii="Times New Roman" w:hAnsi="Times New Roman" w:cs="Times New Roman"/>
                <w:color w:val="FF0000"/>
                <w:lang w:val="it-IT"/>
              </w:rPr>
            </w:pPr>
          </w:p>
        </w:tc>
      </w:tr>
      <w:tr w:rsidR="00265766" w:rsidRPr="009E686F" w14:paraId="4BE7502D" w14:textId="77777777" w:rsidTr="00960C23">
        <w:tc>
          <w:tcPr>
            <w:tcW w:w="1890" w:type="pct"/>
            <w:tcBorders>
              <w:top w:val="single" w:sz="4" w:space="0" w:color="auto"/>
              <w:left w:val="single" w:sz="4" w:space="0" w:color="auto"/>
              <w:bottom w:val="single" w:sz="4" w:space="0" w:color="auto"/>
              <w:right w:val="single" w:sz="4" w:space="0" w:color="auto"/>
            </w:tcBorders>
          </w:tcPr>
          <w:p w14:paraId="0A250E5C" w14:textId="77777777" w:rsidR="00265766" w:rsidRPr="009E686F" w:rsidRDefault="00265766" w:rsidP="00265766">
            <w:pPr>
              <w:spacing w:after="0"/>
              <w:jc w:val="both"/>
              <w:rPr>
                <w:rFonts w:ascii="Times New Roman" w:hAnsi="Times New Roman" w:cs="Times New Roman"/>
                <w:lang w:val="it-IT"/>
              </w:rPr>
            </w:pPr>
            <w:r w:rsidRPr="009E686F">
              <w:rPr>
                <w:rFonts w:ascii="Times New Roman" w:hAnsi="Times New Roman" w:cs="Times New Roman"/>
                <w:lang w:val="it-IT"/>
              </w:rPr>
              <w:t>Prezentul capitol nu aduce atingere aplicării Regulamentului (CE) nr. 139/2004 al Consiliului (**) și nici Directivei (UE) 2017/1132.</w:t>
            </w:r>
          </w:p>
          <w:p w14:paraId="5E536F6D" w14:textId="4AA4955F" w:rsidR="00265766" w:rsidRPr="009E686F" w:rsidDel="003932E1" w:rsidRDefault="00265766" w:rsidP="00265766">
            <w:pPr>
              <w:spacing w:after="0"/>
              <w:jc w:val="both"/>
              <w:rPr>
                <w:rFonts w:ascii="Times New Roman" w:hAnsi="Times New Roman" w:cs="Times New Roman"/>
                <w:lang w:val="it-IT"/>
              </w:rPr>
            </w:pPr>
            <w:r w:rsidRPr="009E686F">
              <w:rPr>
                <w:rFonts w:ascii="Times New Roman" w:hAnsi="Times New Roman" w:cs="Times New Roman"/>
                <w:lang w:val="it-IT"/>
              </w:rPr>
              <w:t>Fuziunile și divizările care rezultă din aplicarea Directivei 2014/59/UE nu fac obiectul obligațiilor prevăzute în prezentul capitol.</w:t>
            </w:r>
          </w:p>
        </w:tc>
        <w:tc>
          <w:tcPr>
            <w:tcW w:w="1834" w:type="pct"/>
            <w:tcBorders>
              <w:top w:val="single" w:sz="4" w:space="0" w:color="auto"/>
              <w:left w:val="single" w:sz="4" w:space="0" w:color="auto"/>
              <w:bottom w:val="single" w:sz="4" w:space="0" w:color="auto"/>
              <w:right w:val="single" w:sz="4" w:space="0" w:color="auto"/>
            </w:tcBorders>
          </w:tcPr>
          <w:p w14:paraId="45F62BFA" w14:textId="27A125D2" w:rsidR="00265766" w:rsidRPr="009E686F" w:rsidRDefault="00265766" w:rsidP="00265766">
            <w:pPr>
              <w:spacing w:after="0"/>
              <w:jc w:val="both"/>
              <w:rPr>
                <w:rFonts w:ascii="Times New Roman" w:hAnsi="Times New Roman" w:cs="Times New Roman"/>
                <w:b/>
                <w:i/>
                <w:iCs/>
                <w:lang w:val="ro-MD"/>
              </w:rPr>
            </w:pPr>
            <w:r w:rsidRPr="009E686F">
              <w:rPr>
                <w:rFonts w:ascii="Times New Roman" w:eastAsia="Aptos" w:hAnsi="Times New Roman" w:cs="Times New Roman"/>
                <w:i/>
                <w:iCs/>
                <w:kern w:val="2"/>
                <w:lang w:val="ro-MD"/>
              </w:rPr>
              <w:t>(1) Fuziunea sau dezmembrarea instituțiilor de credit, precum și societățile financiare holding și societățile financiare holding mixte care fac obiectul art. 116</w:t>
            </w:r>
            <w:r w:rsidRPr="009E686F">
              <w:rPr>
                <w:rFonts w:ascii="Times New Roman" w:eastAsia="Aptos" w:hAnsi="Times New Roman" w:cs="Times New Roman"/>
                <w:i/>
                <w:iCs/>
                <w:kern w:val="2"/>
                <w:vertAlign w:val="superscript"/>
                <w:lang w:val="ro-MD"/>
              </w:rPr>
              <w:t>1</w:t>
            </w:r>
            <w:r w:rsidRPr="009E686F">
              <w:rPr>
                <w:rFonts w:ascii="Times New Roman" w:eastAsia="Aptos" w:hAnsi="Times New Roman" w:cs="Times New Roman"/>
                <w:i/>
                <w:iCs/>
                <w:kern w:val="2"/>
                <w:lang w:val="ro-MD"/>
              </w:rPr>
              <w:t xml:space="preserve"> alin. (1)</w:t>
            </w:r>
            <w:r w:rsidR="00345062" w:rsidRPr="009E686F">
              <w:rPr>
                <w:rFonts w:ascii="Times New Roman" w:eastAsia="Aptos" w:hAnsi="Times New Roman" w:cs="Times New Roman"/>
                <w:i/>
                <w:iCs/>
                <w:kern w:val="2"/>
                <w:lang w:val="ro-MD"/>
              </w:rPr>
              <w:t xml:space="preserve"> și </w:t>
            </w:r>
            <w:r w:rsidRPr="009E686F">
              <w:rPr>
                <w:rFonts w:ascii="Times New Roman" w:eastAsia="Aptos" w:hAnsi="Times New Roman" w:cs="Times New Roman"/>
                <w:i/>
                <w:iCs/>
                <w:kern w:val="2"/>
                <w:lang w:val="ro-MD"/>
              </w:rPr>
              <w:t>(2) se efectuează potrivit dispoziţiilor legale în domeniu şi cu respectarea prezentei legi și actelor normative ale Băncii Naţionale a Moldovei.</w:t>
            </w:r>
          </w:p>
        </w:tc>
        <w:tc>
          <w:tcPr>
            <w:tcW w:w="470" w:type="pct"/>
            <w:tcBorders>
              <w:top w:val="single" w:sz="4" w:space="0" w:color="auto"/>
              <w:left w:val="single" w:sz="4" w:space="0" w:color="auto"/>
              <w:bottom w:val="single" w:sz="4" w:space="0" w:color="auto"/>
              <w:right w:val="single" w:sz="4" w:space="0" w:color="auto"/>
            </w:tcBorders>
          </w:tcPr>
          <w:p w14:paraId="1001F1FC" w14:textId="090AABD4" w:rsidR="00265766" w:rsidRPr="009E686F" w:rsidDel="003932E1" w:rsidRDefault="00265766" w:rsidP="00265766">
            <w:pPr>
              <w:jc w:val="both"/>
              <w:rPr>
                <w:rFonts w:ascii="Times New Roman" w:hAnsi="Times New Roman" w:cs="Times New Roman"/>
                <w:lang w:val="ro-MD"/>
              </w:rPr>
            </w:pPr>
            <w:r w:rsidRPr="009E686F">
              <w:rPr>
                <w:rFonts w:ascii="Times New Roman" w:hAnsi="Times New Roman" w:cs="Times New Roman"/>
                <w:lang w:val="ro-MD"/>
              </w:rPr>
              <w:t>Compatibil</w:t>
            </w:r>
          </w:p>
        </w:tc>
        <w:tc>
          <w:tcPr>
            <w:tcW w:w="806" w:type="pct"/>
            <w:tcBorders>
              <w:top w:val="single" w:sz="4" w:space="0" w:color="auto"/>
              <w:left w:val="single" w:sz="4" w:space="0" w:color="auto"/>
              <w:bottom w:val="single" w:sz="4" w:space="0" w:color="auto"/>
              <w:right w:val="single" w:sz="4" w:space="0" w:color="auto"/>
            </w:tcBorders>
          </w:tcPr>
          <w:p w14:paraId="35AD140F" w14:textId="77777777" w:rsidR="00265766" w:rsidRPr="009E686F" w:rsidRDefault="00265766" w:rsidP="00265766">
            <w:pPr>
              <w:spacing w:after="0"/>
              <w:jc w:val="both"/>
              <w:rPr>
                <w:rFonts w:ascii="Times New Roman" w:hAnsi="Times New Roman" w:cs="Times New Roman"/>
                <w:color w:val="FF0000"/>
                <w:lang w:val="ro-MD"/>
              </w:rPr>
            </w:pPr>
          </w:p>
        </w:tc>
      </w:tr>
      <w:tr w:rsidR="00265766" w:rsidRPr="009E686F" w14:paraId="5B8E410C" w14:textId="77777777" w:rsidTr="00960C23">
        <w:tc>
          <w:tcPr>
            <w:tcW w:w="1890" w:type="pct"/>
            <w:tcBorders>
              <w:top w:val="single" w:sz="4" w:space="0" w:color="auto"/>
              <w:left w:val="single" w:sz="4" w:space="0" w:color="auto"/>
              <w:bottom w:val="single" w:sz="4" w:space="0" w:color="auto"/>
              <w:right w:val="single" w:sz="4" w:space="0" w:color="auto"/>
            </w:tcBorders>
          </w:tcPr>
          <w:p w14:paraId="1C7C5BD6" w14:textId="1259F46B" w:rsidR="00265766" w:rsidRPr="009E686F" w:rsidDel="003932E1" w:rsidRDefault="00265766" w:rsidP="00265766">
            <w:pPr>
              <w:spacing w:after="0"/>
              <w:jc w:val="both"/>
              <w:rPr>
                <w:rFonts w:ascii="Times New Roman" w:hAnsi="Times New Roman" w:cs="Times New Roman"/>
                <w:lang w:val="it-IT"/>
              </w:rPr>
            </w:pPr>
            <w:r w:rsidRPr="009E686F">
              <w:rPr>
                <w:rFonts w:ascii="Times New Roman" w:hAnsi="Times New Roman" w:cs="Times New Roman"/>
                <w:lang w:val="it-IT"/>
              </w:rPr>
              <w:t>În sensul prezentului capitol se aplică următoarele definiții:</w:t>
            </w:r>
          </w:p>
        </w:tc>
        <w:tc>
          <w:tcPr>
            <w:tcW w:w="1834" w:type="pct"/>
            <w:tcBorders>
              <w:top w:val="single" w:sz="4" w:space="0" w:color="auto"/>
              <w:left w:val="single" w:sz="4" w:space="0" w:color="auto"/>
              <w:bottom w:val="single" w:sz="4" w:space="0" w:color="auto"/>
              <w:right w:val="single" w:sz="4" w:space="0" w:color="auto"/>
            </w:tcBorders>
          </w:tcPr>
          <w:p w14:paraId="31665A25" w14:textId="77777777" w:rsidR="00265766" w:rsidRPr="009E686F" w:rsidRDefault="00265766" w:rsidP="00265766">
            <w:pPr>
              <w:spacing w:after="0"/>
              <w:jc w:val="both"/>
              <w:rPr>
                <w:rFonts w:ascii="Times New Roman" w:hAnsi="Times New Roman" w:cs="Times New Roman"/>
                <w:b/>
                <w:lang w:val="it-IT"/>
              </w:rPr>
            </w:pPr>
          </w:p>
        </w:tc>
        <w:tc>
          <w:tcPr>
            <w:tcW w:w="470" w:type="pct"/>
            <w:tcBorders>
              <w:top w:val="single" w:sz="4" w:space="0" w:color="auto"/>
              <w:left w:val="single" w:sz="4" w:space="0" w:color="auto"/>
              <w:bottom w:val="single" w:sz="4" w:space="0" w:color="auto"/>
              <w:right w:val="single" w:sz="4" w:space="0" w:color="auto"/>
            </w:tcBorders>
          </w:tcPr>
          <w:p w14:paraId="3E9D1AF4" w14:textId="6DBA3172" w:rsidR="00265766" w:rsidRPr="009E686F" w:rsidDel="003932E1" w:rsidRDefault="00265766" w:rsidP="00265766">
            <w:pPr>
              <w:jc w:val="both"/>
              <w:rPr>
                <w:rFonts w:ascii="Times New Roman" w:hAnsi="Times New Roman" w:cs="Times New Roman"/>
                <w:lang w:val="it-IT"/>
              </w:rPr>
            </w:pPr>
          </w:p>
        </w:tc>
        <w:tc>
          <w:tcPr>
            <w:tcW w:w="806" w:type="pct"/>
            <w:tcBorders>
              <w:top w:val="single" w:sz="4" w:space="0" w:color="auto"/>
              <w:left w:val="single" w:sz="4" w:space="0" w:color="auto"/>
              <w:bottom w:val="single" w:sz="4" w:space="0" w:color="auto"/>
              <w:right w:val="single" w:sz="4" w:space="0" w:color="auto"/>
            </w:tcBorders>
          </w:tcPr>
          <w:p w14:paraId="2C1FD07E" w14:textId="77777777" w:rsidR="00265766" w:rsidRPr="009E686F" w:rsidRDefault="00265766" w:rsidP="00265766">
            <w:pPr>
              <w:spacing w:after="0"/>
              <w:jc w:val="both"/>
              <w:rPr>
                <w:rFonts w:ascii="Times New Roman" w:hAnsi="Times New Roman" w:cs="Times New Roman"/>
                <w:color w:val="FF0000"/>
                <w:lang w:val="it-IT"/>
              </w:rPr>
            </w:pPr>
          </w:p>
        </w:tc>
      </w:tr>
      <w:tr w:rsidR="00265766" w:rsidRPr="009E686F" w14:paraId="2FB04F3A" w14:textId="77777777" w:rsidTr="00960C23">
        <w:tc>
          <w:tcPr>
            <w:tcW w:w="1890" w:type="pct"/>
            <w:tcBorders>
              <w:top w:val="single" w:sz="4" w:space="0" w:color="auto"/>
              <w:left w:val="single" w:sz="4" w:space="0" w:color="auto"/>
              <w:bottom w:val="single" w:sz="4" w:space="0" w:color="auto"/>
              <w:right w:val="single" w:sz="4" w:space="0" w:color="auto"/>
            </w:tcBorders>
          </w:tcPr>
          <w:p w14:paraId="18D20123" w14:textId="68511DB6" w:rsidR="00265766" w:rsidRPr="009E686F" w:rsidDel="003932E1" w:rsidRDefault="00265766" w:rsidP="00265766">
            <w:pPr>
              <w:spacing w:after="0"/>
              <w:jc w:val="both"/>
              <w:rPr>
                <w:rFonts w:ascii="Times New Roman" w:hAnsi="Times New Roman" w:cs="Times New Roman"/>
                <w:lang w:val="it-IT"/>
              </w:rPr>
            </w:pPr>
            <w:r w:rsidRPr="009E686F">
              <w:rPr>
                <w:rFonts w:ascii="Times New Roman" w:hAnsi="Times New Roman" w:cs="Times New Roman"/>
                <w:lang w:val="it-IT"/>
              </w:rPr>
              <w:t>1. «fuziune» înseamnă oricare dintre următoarele operațiuni prin care:</w:t>
            </w:r>
          </w:p>
        </w:tc>
        <w:tc>
          <w:tcPr>
            <w:tcW w:w="1834" w:type="pct"/>
            <w:tcBorders>
              <w:top w:val="single" w:sz="4" w:space="0" w:color="auto"/>
              <w:left w:val="single" w:sz="4" w:space="0" w:color="auto"/>
              <w:bottom w:val="single" w:sz="4" w:space="0" w:color="auto"/>
              <w:right w:val="single" w:sz="4" w:space="0" w:color="auto"/>
            </w:tcBorders>
          </w:tcPr>
          <w:p w14:paraId="61195CFD" w14:textId="465E775F" w:rsidR="00265766" w:rsidRPr="009E686F" w:rsidRDefault="00265766" w:rsidP="00265766">
            <w:pPr>
              <w:spacing w:after="0"/>
              <w:jc w:val="both"/>
              <w:rPr>
                <w:rFonts w:ascii="Times New Roman" w:hAnsi="Times New Roman" w:cs="Times New Roman"/>
                <w:bCs/>
                <w:i/>
                <w:iCs/>
                <w:lang w:val="it-IT"/>
              </w:rPr>
            </w:pPr>
            <w:r w:rsidRPr="009E686F">
              <w:rPr>
                <w:rFonts w:ascii="Times New Roman" w:hAnsi="Times New Roman" w:cs="Times New Roman"/>
                <w:bCs/>
                <w:i/>
                <w:iCs/>
                <w:lang w:val="it-IT"/>
              </w:rPr>
              <w:t>(2) În sensul prezentului articol, fuziunea reprezintă oricare dintre următoarele operațiuni:</w:t>
            </w:r>
          </w:p>
        </w:tc>
        <w:tc>
          <w:tcPr>
            <w:tcW w:w="470" w:type="pct"/>
            <w:tcBorders>
              <w:top w:val="single" w:sz="4" w:space="0" w:color="auto"/>
              <w:left w:val="single" w:sz="4" w:space="0" w:color="auto"/>
              <w:bottom w:val="single" w:sz="4" w:space="0" w:color="auto"/>
              <w:right w:val="single" w:sz="4" w:space="0" w:color="auto"/>
            </w:tcBorders>
          </w:tcPr>
          <w:p w14:paraId="25113FC9" w14:textId="6DC30A47" w:rsidR="00265766" w:rsidRPr="009E686F" w:rsidDel="003932E1" w:rsidRDefault="00265766" w:rsidP="00265766">
            <w:pPr>
              <w:jc w:val="both"/>
              <w:rPr>
                <w:rFonts w:ascii="Times New Roman" w:hAnsi="Times New Roman" w:cs="Times New Roman"/>
                <w:lang w:val="it-IT"/>
              </w:rPr>
            </w:pPr>
            <w:r w:rsidRPr="009E686F">
              <w:rPr>
                <w:rFonts w:ascii="Times New Roman" w:hAnsi="Times New Roman" w:cs="Times New Roman"/>
                <w:lang w:val="ro-MD"/>
              </w:rPr>
              <w:t>Compatibil</w:t>
            </w:r>
          </w:p>
        </w:tc>
        <w:tc>
          <w:tcPr>
            <w:tcW w:w="806" w:type="pct"/>
            <w:tcBorders>
              <w:top w:val="single" w:sz="4" w:space="0" w:color="auto"/>
              <w:left w:val="single" w:sz="4" w:space="0" w:color="auto"/>
              <w:bottom w:val="single" w:sz="4" w:space="0" w:color="auto"/>
              <w:right w:val="single" w:sz="4" w:space="0" w:color="auto"/>
            </w:tcBorders>
          </w:tcPr>
          <w:p w14:paraId="21C8CEC0" w14:textId="77777777" w:rsidR="00265766" w:rsidRPr="009E686F" w:rsidRDefault="00265766" w:rsidP="00265766">
            <w:pPr>
              <w:spacing w:after="0"/>
              <w:jc w:val="both"/>
              <w:rPr>
                <w:rFonts w:ascii="Times New Roman" w:hAnsi="Times New Roman" w:cs="Times New Roman"/>
                <w:color w:val="FF0000"/>
                <w:lang w:val="it-IT"/>
              </w:rPr>
            </w:pPr>
          </w:p>
        </w:tc>
      </w:tr>
      <w:tr w:rsidR="00265766" w:rsidRPr="009E686F" w14:paraId="3E7F7EDF" w14:textId="77777777" w:rsidTr="00960C23">
        <w:tc>
          <w:tcPr>
            <w:tcW w:w="1890" w:type="pct"/>
            <w:tcBorders>
              <w:top w:val="single" w:sz="4" w:space="0" w:color="auto"/>
              <w:left w:val="single" w:sz="4" w:space="0" w:color="auto"/>
              <w:bottom w:val="single" w:sz="4" w:space="0" w:color="auto"/>
              <w:right w:val="single" w:sz="4" w:space="0" w:color="auto"/>
            </w:tcBorders>
          </w:tcPr>
          <w:p w14:paraId="7F3721B4" w14:textId="6DE2C0EF" w:rsidR="00265766" w:rsidRPr="009E686F" w:rsidDel="003932E1" w:rsidRDefault="00265766" w:rsidP="00265766">
            <w:pPr>
              <w:spacing w:after="0"/>
              <w:jc w:val="both"/>
              <w:rPr>
                <w:rFonts w:ascii="Times New Roman" w:hAnsi="Times New Roman" w:cs="Times New Roman"/>
              </w:rPr>
            </w:pPr>
            <w:r w:rsidRPr="009E686F">
              <w:rPr>
                <w:rFonts w:ascii="Times New Roman" w:hAnsi="Times New Roman" w:cs="Times New Roman"/>
              </w:rPr>
              <w:t xml:space="preserve">(a) una sau multe societăți comerciale își transferă, ca urmare a dizolvării fără a intra în lichidare, toate activele și pasivele sau părți ale acestora unei alte societăți comerciale existente (societatea comercială absorbantă) în schimbul emiterii către propriii asociați a unor titluri de valoare sau acțiuni reprezentând capitalul societății comerciale absorbante în cauză și, după caz, în schimbul unei plăți în numerar care nu depășește 10 % din valoarea nominală, cu excepția cazului în care dreptul intern aplicabil prevede altfel, sau, în absența unei </w:t>
            </w:r>
            <w:r w:rsidRPr="009E686F">
              <w:rPr>
                <w:rFonts w:ascii="Times New Roman" w:hAnsi="Times New Roman" w:cs="Times New Roman"/>
              </w:rPr>
              <w:lastRenderedPageBreak/>
              <w:t>valori nominale, din valoarea contabilă nominală a titlurilor de valoare sau acțiunilor respective;</w:t>
            </w:r>
          </w:p>
        </w:tc>
        <w:tc>
          <w:tcPr>
            <w:tcW w:w="1834" w:type="pct"/>
            <w:tcBorders>
              <w:top w:val="single" w:sz="4" w:space="0" w:color="auto"/>
              <w:left w:val="single" w:sz="4" w:space="0" w:color="auto"/>
              <w:bottom w:val="single" w:sz="4" w:space="0" w:color="auto"/>
              <w:right w:val="single" w:sz="4" w:space="0" w:color="auto"/>
            </w:tcBorders>
          </w:tcPr>
          <w:p w14:paraId="1C3C5748" w14:textId="1844E797" w:rsidR="00265766" w:rsidRPr="009E686F" w:rsidRDefault="00265766" w:rsidP="00265766">
            <w:pPr>
              <w:spacing w:after="0"/>
              <w:jc w:val="both"/>
              <w:rPr>
                <w:rFonts w:ascii="Times New Roman" w:hAnsi="Times New Roman" w:cs="Times New Roman"/>
                <w:bCs/>
                <w:i/>
                <w:iCs/>
              </w:rPr>
            </w:pPr>
            <w:r w:rsidRPr="009E686F">
              <w:rPr>
                <w:rFonts w:ascii="Times New Roman" w:hAnsi="Times New Roman" w:cs="Times New Roman"/>
                <w:bCs/>
                <w:i/>
                <w:iCs/>
              </w:rPr>
              <w:lastRenderedPageBreak/>
              <w:t xml:space="preserve">a) una sau mai multe societăți comerciale își transferă, ca urmare a dizolvării fără a intra în lichidare, toate activele și pasivele sau părți ale acestora unei alte societăți comerciale existente (societatea comercială absorbantă) în schimbul emiterii către propriii asociați a unor titluri de valoare sau acțiuni reprezentând capitalul societății comerciale absorbante în cauză și, după caz, în schimbul unei plăți în numerar care nu depășește 10 % din valoarea nominală, sau, </w:t>
            </w:r>
            <w:r w:rsidRPr="009E686F">
              <w:rPr>
                <w:rFonts w:ascii="Times New Roman" w:hAnsi="Times New Roman" w:cs="Times New Roman"/>
                <w:bCs/>
                <w:i/>
                <w:iCs/>
              </w:rPr>
              <w:lastRenderedPageBreak/>
              <w:t>în absența unei valori nominale, din valoarea contabilă nominală a titlurilor de valoare sau acțiunilor respective;</w:t>
            </w:r>
          </w:p>
        </w:tc>
        <w:tc>
          <w:tcPr>
            <w:tcW w:w="470" w:type="pct"/>
            <w:tcBorders>
              <w:top w:val="single" w:sz="4" w:space="0" w:color="auto"/>
              <w:left w:val="single" w:sz="4" w:space="0" w:color="auto"/>
              <w:bottom w:val="single" w:sz="4" w:space="0" w:color="auto"/>
              <w:right w:val="single" w:sz="4" w:space="0" w:color="auto"/>
            </w:tcBorders>
          </w:tcPr>
          <w:p w14:paraId="51ED248C" w14:textId="210D68D1" w:rsidR="00265766" w:rsidRPr="009E686F" w:rsidDel="003932E1" w:rsidRDefault="00265766" w:rsidP="00265766">
            <w:pPr>
              <w:jc w:val="both"/>
              <w:rPr>
                <w:rFonts w:ascii="Times New Roman" w:hAnsi="Times New Roman" w:cs="Times New Roman"/>
                <w:lang w:val="it-IT"/>
              </w:rPr>
            </w:pPr>
            <w:r w:rsidRPr="009E686F">
              <w:rPr>
                <w:rFonts w:ascii="Times New Roman" w:hAnsi="Times New Roman" w:cs="Times New Roman"/>
                <w:lang w:val="ro-MD"/>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119FE777" w14:textId="77777777" w:rsidR="00265766" w:rsidRPr="009E686F" w:rsidRDefault="00265766" w:rsidP="00265766">
            <w:pPr>
              <w:spacing w:after="0"/>
              <w:jc w:val="both"/>
              <w:rPr>
                <w:rFonts w:ascii="Times New Roman" w:hAnsi="Times New Roman" w:cs="Times New Roman"/>
                <w:color w:val="FF0000"/>
                <w:lang w:val="it-IT"/>
              </w:rPr>
            </w:pPr>
          </w:p>
        </w:tc>
      </w:tr>
      <w:tr w:rsidR="00265766" w:rsidRPr="009E686F" w14:paraId="4F0C79B5" w14:textId="77777777" w:rsidTr="00960C23">
        <w:tc>
          <w:tcPr>
            <w:tcW w:w="1890" w:type="pct"/>
            <w:tcBorders>
              <w:top w:val="single" w:sz="4" w:space="0" w:color="auto"/>
              <w:left w:val="single" w:sz="4" w:space="0" w:color="auto"/>
              <w:bottom w:val="single" w:sz="4" w:space="0" w:color="auto"/>
              <w:right w:val="single" w:sz="4" w:space="0" w:color="auto"/>
            </w:tcBorders>
          </w:tcPr>
          <w:p w14:paraId="7D4F6EB1" w14:textId="28A398B3" w:rsidR="00265766" w:rsidRPr="009E686F" w:rsidDel="003932E1" w:rsidRDefault="00265766" w:rsidP="00265766">
            <w:pPr>
              <w:spacing w:after="0"/>
              <w:jc w:val="both"/>
              <w:rPr>
                <w:rFonts w:ascii="Times New Roman" w:hAnsi="Times New Roman" w:cs="Times New Roman"/>
              </w:rPr>
            </w:pPr>
            <w:r w:rsidRPr="009E686F">
              <w:rPr>
                <w:rFonts w:ascii="Times New Roman" w:hAnsi="Times New Roman" w:cs="Times New Roman"/>
              </w:rPr>
              <w:t>(b) una sau mai multe societăți comerciale își transferă, ca urmare a dizolvării fără a intra în lichidare, toate activele și pasivele sau părți ale acestora unei alte societăți comerciale existente (societatea comercială absorbantă), fără emiterea de noi titluri de valoare sau acțiuni de către societatea comercială absorbantă, cu condiția ca o persoană să dețină direct sau indirect totalitatea titlurilor de valoare sau a acțiunilor societăților comerciale care fuzionează sau cu condiția ca asociații societăților comerciale care fuzionează să dețină în aceeași proporție titluri de valoare și acțiuni în toate societățile comerciale care fuzionează;</w:t>
            </w:r>
          </w:p>
        </w:tc>
        <w:tc>
          <w:tcPr>
            <w:tcW w:w="1834" w:type="pct"/>
            <w:tcBorders>
              <w:top w:val="single" w:sz="4" w:space="0" w:color="auto"/>
              <w:left w:val="single" w:sz="4" w:space="0" w:color="auto"/>
              <w:bottom w:val="single" w:sz="4" w:space="0" w:color="auto"/>
              <w:right w:val="single" w:sz="4" w:space="0" w:color="auto"/>
            </w:tcBorders>
          </w:tcPr>
          <w:p w14:paraId="71DBDC9F" w14:textId="08D7697F" w:rsidR="00265766" w:rsidRPr="009E686F" w:rsidRDefault="00265766" w:rsidP="00265766">
            <w:pPr>
              <w:spacing w:after="0"/>
              <w:jc w:val="both"/>
              <w:rPr>
                <w:rFonts w:ascii="Times New Roman" w:hAnsi="Times New Roman" w:cs="Times New Roman"/>
                <w:bCs/>
                <w:i/>
                <w:iCs/>
              </w:rPr>
            </w:pPr>
            <w:r w:rsidRPr="009E686F">
              <w:rPr>
                <w:rFonts w:ascii="Times New Roman" w:hAnsi="Times New Roman" w:cs="Times New Roman"/>
                <w:bCs/>
                <w:i/>
                <w:iCs/>
              </w:rPr>
              <w:t>b) una sau mai multe societăți comerciale își transferă, ca urmare a dizolvării fără a intra în lichidare, toate activele și pasivele sau părți ale acestora unei alte societăți comerciale existente (societatea comercială absorbantă), fără emiterea de noi titluri de valoare sau acțiuni de către societatea comercială absorbantă, cu condiția ca o persoană să dețină direct sau indirect totalitatea titlurilor de valoare sau a acțiunilor societăților comerciale care fuzionează sau cu condiția ca asociații societăților comerciale care fuzionează să dețină în aceeași proporție titluri de valoare și acțiuni în toate societățile comerciale care fuzionează;</w:t>
            </w:r>
          </w:p>
        </w:tc>
        <w:tc>
          <w:tcPr>
            <w:tcW w:w="470" w:type="pct"/>
            <w:tcBorders>
              <w:top w:val="single" w:sz="4" w:space="0" w:color="auto"/>
              <w:left w:val="single" w:sz="4" w:space="0" w:color="auto"/>
              <w:bottom w:val="single" w:sz="4" w:space="0" w:color="auto"/>
              <w:right w:val="single" w:sz="4" w:space="0" w:color="auto"/>
            </w:tcBorders>
          </w:tcPr>
          <w:p w14:paraId="1AABBC85" w14:textId="60BF8E00" w:rsidR="00265766" w:rsidRPr="009E686F" w:rsidDel="003932E1" w:rsidRDefault="00265766" w:rsidP="00265766">
            <w:pPr>
              <w:jc w:val="both"/>
              <w:rPr>
                <w:rFonts w:ascii="Times New Roman" w:hAnsi="Times New Roman" w:cs="Times New Roman"/>
                <w:lang w:val="it-IT"/>
              </w:rPr>
            </w:pPr>
            <w:r w:rsidRPr="009E686F">
              <w:rPr>
                <w:rFonts w:ascii="Times New Roman" w:hAnsi="Times New Roman" w:cs="Times New Roman"/>
                <w:lang w:val="ro-MD"/>
              </w:rPr>
              <w:t>Compatibil</w:t>
            </w:r>
          </w:p>
        </w:tc>
        <w:tc>
          <w:tcPr>
            <w:tcW w:w="806" w:type="pct"/>
            <w:tcBorders>
              <w:top w:val="single" w:sz="4" w:space="0" w:color="auto"/>
              <w:left w:val="single" w:sz="4" w:space="0" w:color="auto"/>
              <w:bottom w:val="single" w:sz="4" w:space="0" w:color="auto"/>
              <w:right w:val="single" w:sz="4" w:space="0" w:color="auto"/>
            </w:tcBorders>
          </w:tcPr>
          <w:p w14:paraId="496BFE6D" w14:textId="77777777" w:rsidR="00265766" w:rsidRPr="009E686F" w:rsidRDefault="00265766" w:rsidP="00265766">
            <w:pPr>
              <w:spacing w:after="0"/>
              <w:jc w:val="both"/>
              <w:rPr>
                <w:rFonts w:ascii="Times New Roman" w:hAnsi="Times New Roman" w:cs="Times New Roman"/>
                <w:color w:val="FF0000"/>
                <w:lang w:val="it-IT"/>
              </w:rPr>
            </w:pPr>
          </w:p>
        </w:tc>
      </w:tr>
      <w:tr w:rsidR="00265766" w:rsidRPr="009E686F" w14:paraId="4FB7604D" w14:textId="77777777" w:rsidTr="00960C23">
        <w:tc>
          <w:tcPr>
            <w:tcW w:w="1890" w:type="pct"/>
            <w:tcBorders>
              <w:top w:val="single" w:sz="4" w:space="0" w:color="auto"/>
              <w:left w:val="single" w:sz="4" w:space="0" w:color="auto"/>
              <w:bottom w:val="single" w:sz="4" w:space="0" w:color="auto"/>
              <w:right w:val="single" w:sz="4" w:space="0" w:color="auto"/>
            </w:tcBorders>
          </w:tcPr>
          <w:p w14:paraId="568BC4A7" w14:textId="326134BC" w:rsidR="00265766" w:rsidRPr="009E686F" w:rsidDel="003932E1" w:rsidRDefault="00265766" w:rsidP="00265766">
            <w:pPr>
              <w:spacing w:after="0"/>
              <w:jc w:val="both"/>
              <w:rPr>
                <w:rFonts w:ascii="Times New Roman" w:hAnsi="Times New Roman" w:cs="Times New Roman"/>
              </w:rPr>
            </w:pPr>
            <w:r w:rsidRPr="009E686F">
              <w:rPr>
                <w:rFonts w:ascii="Times New Roman" w:hAnsi="Times New Roman" w:cs="Times New Roman"/>
              </w:rPr>
              <w:t>(c) două sau multe societăți comerciale își transferă, ca urmare a dizolvării fără a intra în lichidare, toate activele și pasivele sau părți ale acestora unei societăți comerciale pe care o constituie (societate comercială nouă), în schimbul emiterii către propriii asociați a unor titluri de valoare sau acțiuni reprezentând capitalul noii societăți comerciale respective și, după caz, în schimbul unei plăți în numerar care nu depășește 10 % din valoarea nominală, cu excepția cazului în care dreptul intern aplicabil prevede altfel, sau, în absența unei valori nominale, din valoarea contabilă nominală a titlurilor de valoare sau acțiunilor respective;</w:t>
            </w:r>
          </w:p>
        </w:tc>
        <w:tc>
          <w:tcPr>
            <w:tcW w:w="1834" w:type="pct"/>
            <w:tcBorders>
              <w:top w:val="single" w:sz="4" w:space="0" w:color="auto"/>
              <w:left w:val="single" w:sz="4" w:space="0" w:color="auto"/>
              <w:bottom w:val="single" w:sz="4" w:space="0" w:color="auto"/>
              <w:right w:val="single" w:sz="4" w:space="0" w:color="auto"/>
            </w:tcBorders>
          </w:tcPr>
          <w:p w14:paraId="394DF61B" w14:textId="77777777" w:rsidR="00265766" w:rsidRPr="009E686F" w:rsidRDefault="00265766" w:rsidP="00265766">
            <w:pPr>
              <w:spacing w:after="0"/>
              <w:jc w:val="both"/>
              <w:rPr>
                <w:rFonts w:ascii="Times New Roman" w:hAnsi="Times New Roman" w:cs="Times New Roman"/>
                <w:bCs/>
                <w:i/>
                <w:iCs/>
              </w:rPr>
            </w:pPr>
            <w:r w:rsidRPr="009E686F">
              <w:rPr>
                <w:rFonts w:ascii="Times New Roman" w:hAnsi="Times New Roman" w:cs="Times New Roman"/>
                <w:bCs/>
                <w:i/>
                <w:iCs/>
              </w:rPr>
              <w:t xml:space="preserve">c) două sau multe societăți comerciale își transferă, ca urmare a dizolvării fără a intra în lichidare, toate activele și pasivele sau părți ale acestora unei societăți comerciale pe care o constituie (societate comercială nouă), în schimbul emiterii către propriii asociați a unor titluri de valoare sau acțiuni reprezentând capitalul noii societăți comerciale respective și, după caz, în schimbul unei plăți în numerar care nu depășește 10 % din valoarea nominală sau, în absența unei valori nominale, din valoarea contabilă nominală a titlurilor de valoare sau acțiunilor respective; </w:t>
            </w:r>
          </w:p>
          <w:p w14:paraId="7A9B8278" w14:textId="651D3C27" w:rsidR="00265766" w:rsidRPr="009E686F" w:rsidRDefault="00265766" w:rsidP="00265766">
            <w:pPr>
              <w:spacing w:after="0"/>
              <w:jc w:val="both"/>
              <w:rPr>
                <w:rFonts w:ascii="Times New Roman" w:hAnsi="Times New Roman" w:cs="Times New Roman"/>
                <w:bCs/>
                <w:i/>
                <w:iCs/>
              </w:rPr>
            </w:pPr>
          </w:p>
        </w:tc>
        <w:tc>
          <w:tcPr>
            <w:tcW w:w="470" w:type="pct"/>
            <w:tcBorders>
              <w:top w:val="single" w:sz="4" w:space="0" w:color="auto"/>
              <w:left w:val="single" w:sz="4" w:space="0" w:color="auto"/>
              <w:bottom w:val="single" w:sz="4" w:space="0" w:color="auto"/>
              <w:right w:val="single" w:sz="4" w:space="0" w:color="auto"/>
            </w:tcBorders>
          </w:tcPr>
          <w:p w14:paraId="3AE91FB1" w14:textId="79101250" w:rsidR="00265766" w:rsidRPr="009E686F" w:rsidDel="003932E1" w:rsidRDefault="00265766" w:rsidP="00265766">
            <w:pPr>
              <w:jc w:val="both"/>
              <w:rPr>
                <w:rFonts w:ascii="Times New Roman" w:hAnsi="Times New Roman" w:cs="Times New Roman"/>
                <w:lang w:val="it-IT"/>
              </w:rPr>
            </w:pPr>
            <w:r w:rsidRPr="009E686F">
              <w:rPr>
                <w:rFonts w:ascii="Times New Roman" w:hAnsi="Times New Roman" w:cs="Times New Roman"/>
                <w:lang w:val="ro-MD"/>
              </w:rPr>
              <w:t>Compatibil</w:t>
            </w:r>
          </w:p>
        </w:tc>
        <w:tc>
          <w:tcPr>
            <w:tcW w:w="806" w:type="pct"/>
            <w:tcBorders>
              <w:top w:val="single" w:sz="4" w:space="0" w:color="auto"/>
              <w:left w:val="single" w:sz="4" w:space="0" w:color="auto"/>
              <w:bottom w:val="single" w:sz="4" w:space="0" w:color="auto"/>
              <w:right w:val="single" w:sz="4" w:space="0" w:color="auto"/>
            </w:tcBorders>
          </w:tcPr>
          <w:p w14:paraId="1C71AAEF" w14:textId="01230E67" w:rsidR="00265766" w:rsidRPr="009E686F" w:rsidRDefault="00265766" w:rsidP="00265766">
            <w:pPr>
              <w:spacing w:after="0"/>
              <w:rPr>
                <w:rFonts w:ascii="Times New Roman" w:hAnsi="Times New Roman" w:cs="Times New Roman"/>
                <w:color w:val="FF0000"/>
                <w:lang w:val="ro-RO"/>
              </w:rPr>
            </w:pPr>
            <w:r w:rsidRPr="009E686F">
              <w:rPr>
                <w:rFonts w:ascii="Times New Roman" w:hAnsi="Times New Roman" w:cs="Times New Roman"/>
                <w:color w:val="FF0000"/>
                <w:lang w:val="it-IT"/>
              </w:rPr>
              <w:t xml:space="preserve">În ceea ce privește partea din prevedere  - </w:t>
            </w:r>
            <w:r w:rsidRPr="009E686F">
              <w:rPr>
                <w:rFonts w:ascii="Times New Roman" w:hAnsi="Times New Roman" w:cs="Times New Roman"/>
                <w:color w:val="FF0000"/>
                <w:lang w:val="it-CH"/>
              </w:rPr>
              <w:t>“</w:t>
            </w:r>
            <w:r w:rsidRPr="009E686F">
              <w:rPr>
                <w:rFonts w:ascii="Times New Roman" w:hAnsi="Times New Roman" w:cs="Times New Roman"/>
                <w:lang w:val="it-CH"/>
              </w:rPr>
              <w:t>cu excepția cazului în care dreptul intern aplicabil prevede altfel”</w:t>
            </w:r>
            <w:r w:rsidRPr="009E686F">
              <w:rPr>
                <w:rFonts w:ascii="Times New Roman" w:hAnsi="Times New Roman" w:cs="Times New Roman"/>
                <w:lang w:val="ro-RO"/>
              </w:rPr>
              <w:t xml:space="preserve">, Legea nr. 1134/1997 prevede în art. 93 alin. (2) următoarele: “Contractul de fuziune poate prevedea, de rând cu emiterea şi repartizarea acţiunilor către acţionarii societăţii nou-înfiinţate (în caz de contopire) sau absorbante (în caz de absorbţie), şi achitarea unei plăţi în numerar a cărei valoare nu poate </w:t>
            </w:r>
            <w:r w:rsidRPr="009E686F">
              <w:rPr>
                <w:rFonts w:ascii="Times New Roman" w:hAnsi="Times New Roman" w:cs="Times New Roman"/>
                <w:lang w:val="ro-RO"/>
              </w:rPr>
              <w:lastRenderedPageBreak/>
              <w:t>depăşi 10% din valoarea nominală (fixată) a acţiunilor astfel emise.”.</w:t>
            </w:r>
          </w:p>
        </w:tc>
      </w:tr>
      <w:tr w:rsidR="00265766" w:rsidRPr="009E686F" w14:paraId="46DBC311" w14:textId="77777777" w:rsidTr="00960C23">
        <w:tc>
          <w:tcPr>
            <w:tcW w:w="1890" w:type="pct"/>
            <w:tcBorders>
              <w:top w:val="single" w:sz="4" w:space="0" w:color="auto"/>
              <w:left w:val="single" w:sz="4" w:space="0" w:color="auto"/>
              <w:bottom w:val="single" w:sz="4" w:space="0" w:color="auto"/>
              <w:right w:val="single" w:sz="4" w:space="0" w:color="auto"/>
            </w:tcBorders>
          </w:tcPr>
          <w:p w14:paraId="4FACF173" w14:textId="2FD236B4" w:rsidR="00265766" w:rsidRPr="009E686F" w:rsidDel="003932E1" w:rsidRDefault="00265766" w:rsidP="00265766">
            <w:pPr>
              <w:spacing w:after="0"/>
              <w:jc w:val="both"/>
              <w:rPr>
                <w:rFonts w:ascii="Times New Roman" w:hAnsi="Times New Roman" w:cs="Times New Roman"/>
                <w:lang w:val="ro-RO"/>
              </w:rPr>
            </w:pPr>
            <w:r w:rsidRPr="009E686F">
              <w:rPr>
                <w:rFonts w:ascii="Times New Roman" w:hAnsi="Times New Roman" w:cs="Times New Roman"/>
                <w:lang w:val="ro-RO"/>
              </w:rPr>
              <w:lastRenderedPageBreak/>
              <w:t>(d) o societate comercială își transferă, ca urmare a dizolvării fără intrare în lichidare, toate activele și pasivele sau părți ale acestora către societatea comercială care deține toate titlurile de valoare sau acțiunile reprezentând capitalul său;</w:t>
            </w:r>
          </w:p>
        </w:tc>
        <w:tc>
          <w:tcPr>
            <w:tcW w:w="1834" w:type="pct"/>
            <w:tcBorders>
              <w:top w:val="single" w:sz="4" w:space="0" w:color="auto"/>
              <w:left w:val="single" w:sz="4" w:space="0" w:color="auto"/>
              <w:bottom w:val="single" w:sz="4" w:space="0" w:color="auto"/>
              <w:right w:val="single" w:sz="4" w:space="0" w:color="auto"/>
            </w:tcBorders>
          </w:tcPr>
          <w:p w14:paraId="7B6CFE52" w14:textId="67E09B99" w:rsidR="00265766" w:rsidRPr="009E686F" w:rsidRDefault="00265766" w:rsidP="00265766">
            <w:pPr>
              <w:spacing w:after="0"/>
              <w:jc w:val="both"/>
              <w:rPr>
                <w:rFonts w:ascii="Times New Roman" w:hAnsi="Times New Roman" w:cs="Times New Roman"/>
                <w:bCs/>
                <w:i/>
                <w:iCs/>
                <w:lang w:val="ro-RO"/>
              </w:rPr>
            </w:pPr>
            <w:r w:rsidRPr="009E686F">
              <w:rPr>
                <w:rFonts w:ascii="Times New Roman" w:hAnsi="Times New Roman" w:cs="Times New Roman"/>
                <w:bCs/>
                <w:i/>
                <w:iCs/>
                <w:lang w:val="ro-RO"/>
              </w:rPr>
              <w:t>d) o societate comercială își transferă, ca urmare a dizolvării fără intrare în lichidare, toate activele și pasivele sau părți ale acestora către societatea comercială care deține toate titlurile de valoare sau acțiunile reprezentând capitalul său.</w:t>
            </w:r>
          </w:p>
        </w:tc>
        <w:tc>
          <w:tcPr>
            <w:tcW w:w="470" w:type="pct"/>
            <w:tcBorders>
              <w:top w:val="single" w:sz="4" w:space="0" w:color="auto"/>
              <w:left w:val="single" w:sz="4" w:space="0" w:color="auto"/>
              <w:bottom w:val="single" w:sz="4" w:space="0" w:color="auto"/>
              <w:right w:val="single" w:sz="4" w:space="0" w:color="auto"/>
            </w:tcBorders>
          </w:tcPr>
          <w:p w14:paraId="1F658AAC" w14:textId="79A7E5EE" w:rsidR="00265766" w:rsidRPr="009E686F" w:rsidDel="003932E1" w:rsidRDefault="00265766" w:rsidP="00265766">
            <w:pPr>
              <w:jc w:val="both"/>
              <w:rPr>
                <w:rFonts w:ascii="Times New Roman" w:hAnsi="Times New Roman" w:cs="Times New Roman"/>
                <w:lang w:val="it-IT"/>
              </w:rPr>
            </w:pPr>
            <w:r w:rsidRPr="009E686F">
              <w:rPr>
                <w:rFonts w:ascii="Times New Roman" w:hAnsi="Times New Roman" w:cs="Times New Roman"/>
                <w:lang w:val="ro-MD"/>
              </w:rPr>
              <w:t>Compatibil</w:t>
            </w:r>
          </w:p>
        </w:tc>
        <w:tc>
          <w:tcPr>
            <w:tcW w:w="806" w:type="pct"/>
            <w:tcBorders>
              <w:top w:val="single" w:sz="4" w:space="0" w:color="auto"/>
              <w:left w:val="single" w:sz="4" w:space="0" w:color="auto"/>
              <w:bottom w:val="single" w:sz="4" w:space="0" w:color="auto"/>
              <w:right w:val="single" w:sz="4" w:space="0" w:color="auto"/>
            </w:tcBorders>
          </w:tcPr>
          <w:p w14:paraId="1585BE21" w14:textId="77777777" w:rsidR="00265766" w:rsidRPr="009E686F" w:rsidRDefault="00265766" w:rsidP="00265766">
            <w:pPr>
              <w:spacing w:after="0"/>
              <w:jc w:val="both"/>
              <w:rPr>
                <w:rFonts w:ascii="Times New Roman" w:hAnsi="Times New Roman" w:cs="Times New Roman"/>
                <w:color w:val="FF0000"/>
                <w:lang w:val="it-IT"/>
              </w:rPr>
            </w:pPr>
          </w:p>
        </w:tc>
      </w:tr>
      <w:tr w:rsidR="00265766" w:rsidRPr="009E686F" w14:paraId="4C7A67F8" w14:textId="77777777" w:rsidTr="00960C23">
        <w:tc>
          <w:tcPr>
            <w:tcW w:w="1890" w:type="pct"/>
            <w:tcBorders>
              <w:top w:val="single" w:sz="4" w:space="0" w:color="auto"/>
              <w:left w:val="single" w:sz="4" w:space="0" w:color="auto"/>
              <w:bottom w:val="single" w:sz="4" w:space="0" w:color="auto"/>
              <w:right w:val="single" w:sz="4" w:space="0" w:color="auto"/>
            </w:tcBorders>
          </w:tcPr>
          <w:p w14:paraId="11B86514" w14:textId="5A095586" w:rsidR="00265766" w:rsidRPr="009E686F" w:rsidDel="003932E1" w:rsidRDefault="00265766" w:rsidP="00265766">
            <w:pPr>
              <w:spacing w:after="0"/>
              <w:jc w:val="both"/>
              <w:rPr>
                <w:rFonts w:ascii="Times New Roman" w:hAnsi="Times New Roman" w:cs="Times New Roman"/>
                <w:lang w:val="it-IT"/>
              </w:rPr>
            </w:pPr>
            <w:r w:rsidRPr="009E686F">
              <w:rPr>
                <w:rFonts w:ascii="Times New Roman" w:hAnsi="Times New Roman" w:cs="Times New Roman"/>
                <w:lang w:val="it-IT"/>
              </w:rPr>
              <w:t>2. «divizare» înseamnă oricare dintre următoarele:</w:t>
            </w:r>
          </w:p>
        </w:tc>
        <w:tc>
          <w:tcPr>
            <w:tcW w:w="1834" w:type="pct"/>
            <w:tcBorders>
              <w:top w:val="single" w:sz="4" w:space="0" w:color="auto"/>
              <w:left w:val="single" w:sz="4" w:space="0" w:color="auto"/>
              <w:bottom w:val="single" w:sz="4" w:space="0" w:color="auto"/>
              <w:right w:val="single" w:sz="4" w:space="0" w:color="auto"/>
            </w:tcBorders>
          </w:tcPr>
          <w:p w14:paraId="2C2E1B5C" w14:textId="54B03D54" w:rsidR="00265766" w:rsidRPr="009E686F" w:rsidRDefault="00265766" w:rsidP="00265766">
            <w:pPr>
              <w:spacing w:after="0"/>
              <w:jc w:val="both"/>
              <w:rPr>
                <w:rFonts w:ascii="Times New Roman" w:hAnsi="Times New Roman" w:cs="Times New Roman"/>
                <w:bCs/>
                <w:i/>
                <w:iCs/>
                <w:lang w:val="it-IT"/>
              </w:rPr>
            </w:pPr>
            <w:r w:rsidRPr="009E686F">
              <w:rPr>
                <w:rFonts w:ascii="Times New Roman" w:hAnsi="Times New Roman" w:cs="Times New Roman"/>
                <w:bCs/>
                <w:i/>
                <w:iCs/>
                <w:lang w:val="it-IT"/>
              </w:rPr>
              <w:t>(3) În sensul prezentului articol, dezmembrarea reprezintă oricare dintre următoarele operațiuni:</w:t>
            </w:r>
          </w:p>
        </w:tc>
        <w:tc>
          <w:tcPr>
            <w:tcW w:w="470" w:type="pct"/>
            <w:tcBorders>
              <w:top w:val="single" w:sz="4" w:space="0" w:color="auto"/>
              <w:left w:val="single" w:sz="4" w:space="0" w:color="auto"/>
              <w:bottom w:val="single" w:sz="4" w:space="0" w:color="auto"/>
              <w:right w:val="single" w:sz="4" w:space="0" w:color="auto"/>
            </w:tcBorders>
          </w:tcPr>
          <w:p w14:paraId="7FDC67B1" w14:textId="71CEBD2B" w:rsidR="00265766" w:rsidRPr="009E686F" w:rsidDel="003932E1" w:rsidRDefault="00265766" w:rsidP="00265766">
            <w:pPr>
              <w:jc w:val="both"/>
              <w:rPr>
                <w:rFonts w:ascii="Times New Roman" w:hAnsi="Times New Roman" w:cs="Times New Roman"/>
                <w:lang w:val="it-IT"/>
              </w:rPr>
            </w:pPr>
            <w:r w:rsidRPr="009E686F">
              <w:rPr>
                <w:rFonts w:ascii="Times New Roman" w:hAnsi="Times New Roman" w:cs="Times New Roman"/>
                <w:lang w:val="ro-MD"/>
              </w:rPr>
              <w:t>Compatibil</w:t>
            </w:r>
          </w:p>
        </w:tc>
        <w:tc>
          <w:tcPr>
            <w:tcW w:w="806" w:type="pct"/>
            <w:tcBorders>
              <w:top w:val="single" w:sz="4" w:space="0" w:color="auto"/>
              <w:left w:val="single" w:sz="4" w:space="0" w:color="auto"/>
              <w:bottom w:val="single" w:sz="4" w:space="0" w:color="auto"/>
              <w:right w:val="single" w:sz="4" w:space="0" w:color="auto"/>
            </w:tcBorders>
          </w:tcPr>
          <w:p w14:paraId="4582F83F" w14:textId="77777777" w:rsidR="00265766" w:rsidRPr="009E686F" w:rsidRDefault="00265766" w:rsidP="00265766">
            <w:pPr>
              <w:spacing w:after="0"/>
              <w:jc w:val="both"/>
              <w:rPr>
                <w:rFonts w:ascii="Times New Roman" w:hAnsi="Times New Roman" w:cs="Times New Roman"/>
                <w:color w:val="FF0000"/>
                <w:lang w:val="it-IT"/>
              </w:rPr>
            </w:pPr>
          </w:p>
        </w:tc>
      </w:tr>
      <w:tr w:rsidR="00265766" w:rsidRPr="009E686F" w14:paraId="5059885D" w14:textId="77777777" w:rsidTr="00960C23">
        <w:tc>
          <w:tcPr>
            <w:tcW w:w="1890" w:type="pct"/>
            <w:tcBorders>
              <w:top w:val="single" w:sz="4" w:space="0" w:color="auto"/>
              <w:left w:val="single" w:sz="4" w:space="0" w:color="auto"/>
              <w:bottom w:val="single" w:sz="4" w:space="0" w:color="auto"/>
              <w:right w:val="single" w:sz="4" w:space="0" w:color="auto"/>
            </w:tcBorders>
          </w:tcPr>
          <w:p w14:paraId="4FA01353" w14:textId="13791495" w:rsidR="00265766" w:rsidRPr="009E686F" w:rsidDel="003932E1" w:rsidRDefault="00265766" w:rsidP="00265766">
            <w:pPr>
              <w:spacing w:after="0"/>
              <w:jc w:val="both"/>
              <w:rPr>
                <w:rFonts w:ascii="Times New Roman" w:hAnsi="Times New Roman" w:cs="Times New Roman"/>
              </w:rPr>
            </w:pPr>
            <w:r w:rsidRPr="009E686F">
              <w:rPr>
                <w:rFonts w:ascii="Times New Roman" w:hAnsi="Times New Roman" w:cs="Times New Roman"/>
              </w:rPr>
              <w:t>(a) o operațiune prin care, după dizolvarea fără a intra în lichidare, o societate comercială își transferă toate activele și pasivele mai multor societăți comerciale, în schimbul alocării, către acționarii societății comerciale care face obiectul divizării, de titluri de valoare sau acțiuni la societățile comerciale care primesc contribuții ca urmare a divizării și, după caz, în schimbul unei plăți în numerar care nu depășește 10 % din valoarea nominală, cu excepția cazului în care dreptul intern aplicabil prevede altfel, sau, în absența unei valori nominale, din valoarea contabilă nominală a titlurilor de valoare sau acțiunilor respective;</w:t>
            </w:r>
          </w:p>
        </w:tc>
        <w:tc>
          <w:tcPr>
            <w:tcW w:w="1834" w:type="pct"/>
            <w:tcBorders>
              <w:top w:val="single" w:sz="4" w:space="0" w:color="auto"/>
              <w:left w:val="single" w:sz="4" w:space="0" w:color="auto"/>
              <w:bottom w:val="single" w:sz="4" w:space="0" w:color="auto"/>
              <w:right w:val="single" w:sz="4" w:space="0" w:color="auto"/>
            </w:tcBorders>
          </w:tcPr>
          <w:p w14:paraId="14362EB7" w14:textId="0C666FF1" w:rsidR="00265766" w:rsidRPr="009E686F" w:rsidRDefault="00265766" w:rsidP="00265766">
            <w:pPr>
              <w:spacing w:after="0"/>
              <w:jc w:val="both"/>
              <w:rPr>
                <w:rFonts w:ascii="Times New Roman" w:hAnsi="Times New Roman" w:cs="Times New Roman"/>
                <w:bCs/>
                <w:i/>
                <w:iCs/>
              </w:rPr>
            </w:pPr>
            <w:r w:rsidRPr="009E686F">
              <w:rPr>
                <w:rFonts w:ascii="Times New Roman" w:hAnsi="Times New Roman" w:cs="Times New Roman"/>
                <w:bCs/>
                <w:i/>
                <w:iCs/>
              </w:rPr>
              <w:t>a) o operațiune prin care, după dizolvarea fără a intra în lichidare, o societate comercială își transferă toate activele și pasivele mai multor societăți comerciale, în schimbul alocării, către acționarii societății comerciale care face obiectul divizării, de titluri de valoare sau acțiuni la societățile comerciale care primesc contribuții ca urmare a divizării și, după caz, în schimbul unei plăți în numerar care nu depășește 10 % din valoarea nominală, dacă legea nu prevede altfel, sau, în absența unei valori nominale, din valoarea contabilă nominală a titlurilor de valoare sau acțiunilor respective;</w:t>
            </w:r>
          </w:p>
        </w:tc>
        <w:tc>
          <w:tcPr>
            <w:tcW w:w="470" w:type="pct"/>
            <w:tcBorders>
              <w:top w:val="single" w:sz="4" w:space="0" w:color="auto"/>
              <w:left w:val="single" w:sz="4" w:space="0" w:color="auto"/>
              <w:bottom w:val="single" w:sz="4" w:space="0" w:color="auto"/>
              <w:right w:val="single" w:sz="4" w:space="0" w:color="auto"/>
            </w:tcBorders>
          </w:tcPr>
          <w:p w14:paraId="7DAAE191" w14:textId="52A5FD45" w:rsidR="00265766" w:rsidRPr="009E686F" w:rsidDel="003932E1" w:rsidRDefault="00265766" w:rsidP="00265766">
            <w:pPr>
              <w:jc w:val="both"/>
              <w:rPr>
                <w:rFonts w:ascii="Times New Roman" w:hAnsi="Times New Roman" w:cs="Times New Roman"/>
                <w:lang w:val="it-IT"/>
              </w:rPr>
            </w:pPr>
            <w:r w:rsidRPr="009E686F">
              <w:rPr>
                <w:rFonts w:ascii="Times New Roman" w:hAnsi="Times New Roman" w:cs="Times New Roman"/>
                <w:lang w:val="ro-MD"/>
              </w:rPr>
              <w:t>Compatibil</w:t>
            </w:r>
          </w:p>
        </w:tc>
        <w:tc>
          <w:tcPr>
            <w:tcW w:w="806" w:type="pct"/>
            <w:tcBorders>
              <w:top w:val="single" w:sz="4" w:space="0" w:color="auto"/>
              <w:left w:val="single" w:sz="4" w:space="0" w:color="auto"/>
              <w:bottom w:val="single" w:sz="4" w:space="0" w:color="auto"/>
              <w:right w:val="single" w:sz="4" w:space="0" w:color="auto"/>
            </w:tcBorders>
          </w:tcPr>
          <w:p w14:paraId="1F9C75A2" w14:textId="77777777" w:rsidR="00265766" w:rsidRPr="009E686F" w:rsidRDefault="00265766" w:rsidP="00265766">
            <w:pPr>
              <w:spacing w:after="0"/>
              <w:jc w:val="both"/>
              <w:rPr>
                <w:rFonts w:ascii="Times New Roman" w:hAnsi="Times New Roman" w:cs="Times New Roman"/>
                <w:color w:val="FF0000"/>
                <w:lang w:val="it-IT"/>
              </w:rPr>
            </w:pPr>
          </w:p>
        </w:tc>
      </w:tr>
      <w:tr w:rsidR="00265766" w:rsidRPr="009E686F" w14:paraId="4E7C8615" w14:textId="77777777" w:rsidTr="00960C23">
        <w:tc>
          <w:tcPr>
            <w:tcW w:w="1890" w:type="pct"/>
            <w:tcBorders>
              <w:top w:val="single" w:sz="4" w:space="0" w:color="auto"/>
              <w:left w:val="single" w:sz="4" w:space="0" w:color="auto"/>
              <w:bottom w:val="single" w:sz="4" w:space="0" w:color="auto"/>
              <w:right w:val="single" w:sz="4" w:space="0" w:color="auto"/>
            </w:tcBorders>
          </w:tcPr>
          <w:p w14:paraId="58670E16" w14:textId="5071C875" w:rsidR="00265766" w:rsidRPr="009E686F" w:rsidDel="003932E1" w:rsidRDefault="00265766" w:rsidP="00265766">
            <w:pPr>
              <w:spacing w:after="0"/>
              <w:jc w:val="both"/>
              <w:rPr>
                <w:rFonts w:ascii="Times New Roman" w:hAnsi="Times New Roman" w:cs="Times New Roman"/>
              </w:rPr>
            </w:pPr>
            <w:r w:rsidRPr="009E686F">
              <w:rPr>
                <w:rFonts w:ascii="Times New Roman" w:hAnsi="Times New Roman" w:cs="Times New Roman"/>
              </w:rPr>
              <w:t>(b) o operațiune prin care, după dizolvarea fără a intra în lichidare, o societate comercială își transferă toate activele și pasivele mai multor societăți comerciale nou-create, în schimbul alocării, către acționarii societății comerciale care face obiectul divizării, de titluri de valoare sau acțiuni la societățile comerciale beneficiare și, după caz, în schimbul unei plăți în numerar care nu depășește 10 % din valoarea nominală, cu excepția cazului în care dreptul intern aplicabil prevede altfel, sau, în absența unei valori nominale, din valoarea contabilă nominală a titlurilor de valoare sau acțiunilor respective;</w:t>
            </w:r>
          </w:p>
        </w:tc>
        <w:tc>
          <w:tcPr>
            <w:tcW w:w="1834" w:type="pct"/>
            <w:tcBorders>
              <w:top w:val="single" w:sz="4" w:space="0" w:color="auto"/>
              <w:left w:val="single" w:sz="4" w:space="0" w:color="auto"/>
              <w:bottom w:val="single" w:sz="4" w:space="0" w:color="auto"/>
              <w:right w:val="single" w:sz="4" w:space="0" w:color="auto"/>
            </w:tcBorders>
          </w:tcPr>
          <w:p w14:paraId="4823D0E4" w14:textId="77CB7C51" w:rsidR="00265766" w:rsidRPr="009E686F" w:rsidRDefault="00265766" w:rsidP="00265766">
            <w:pPr>
              <w:spacing w:after="0"/>
              <w:jc w:val="both"/>
              <w:rPr>
                <w:rFonts w:ascii="Times New Roman" w:hAnsi="Times New Roman" w:cs="Times New Roman"/>
                <w:bCs/>
                <w:i/>
                <w:iCs/>
              </w:rPr>
            </w:pPr>
            <w:r w:rsidRPr="009E686F">
              <w:rPr>
                <w:rFonts w:ascii="Times New Roman" w:hAnsi="Times New Roman" w:cs="Times New Roman"/>
                <w:bCs/>
                <w:i/>
                <w:iCs/>
              </w:rPr>
              <w:t>b) o operațiune prin care, după dizolvarea fără a intra în lichidare, o societate comercială își transferă toate activele și pasivele mai multor societăți comerciale nou-create, în schimbul alocării, către acționarii societății comerciale care face obiectul divizării, de titluri de valoare sau acțiuni la societățile comerciale beneficiare și, după caz, în schimbul unei plăți în numerar care nu depășește 10 % din valoarea nominală  sau, în absența unei valori nominale, din valoarea contabilă nominală a titlurilor de valoare sau acțiunilor respective;</w:t>
            </w:r>
          </w:p>
        </w:tc>
        <w:tc>
          <w:tcPr>
            <w:tcW w:w="470" w:type="pct"/>
            <w:tcBorders>
              <w:top w:val="single" w:sz="4" w:space="0" w:color="auto"/>
              <w:left w:val="single" w:sz="4" w:space="0" w:color="auto"/>
              <w:bottom w:val="single" w:sz="4" w:space="0" w:color="auto"/>
              <w:right w:val="single" w:sz="4" w:space="0" w:color="auto"/>
            </w:tcBorders>
          </w:tcPr>
          <w:p w14:paraId="2111A527" w14:textId="6741EFC6" w:rsidR="00265766" w:rsidRPr="009E686F" w:rsidDel="003932E1" w:rsidRDefault="00265766" w:rsidP="00265766">
            <w:pPr>
              <w:jc w:val="both"/>
              <w:rPr>
                <w:rFonts w:ascii="Times New Roman" w:hAnsi="Times New Roman" w:cs="Times New Roman"/>
                <w:lang w:val="it-IT"/>
              </w:rPr>
            </w:pPr>
            <w:r w:rsidRPr="009E686F">
              <w:rPr>
                <w:rFonts w:ascii="Times New Roman" w:hAnsi="Times New Roman" w:cs="Times New Roman"/>
                <w:lang w:val="ro-MD"/>
              </w:rPr>
              <w:t>Compatibil</w:t>
            </w:r>
          </w:p>
        </w:tc>
        <w:tc>
          <w:tcPr>
            <w:tcW w:w="806" w:type="pct"/>
            <w:tcBorders>
              <w:top w:val="single" w:sz="4" w:space="0" w:color="auto"/>
              <w:left w:val="single" w:sz="4" w:space="0" w:color="auto"/>
              <w:bottom w:val="single" w:sz="4" w:space="0" w:color="auto"/>
              <w:right w:val="single" w:sz="4" w:space="0" w:color="auto"/>
            </w:tcBorders>
          </w:tcPr>
          <w:p w14:paraId="3CF99957" w14:textId="7B3E2CE2" w:rsidR="00265766" w:rsidRPr="009E686F" w:rsidRDefault="00265766" w:rsidP="00265766">
            <w:pPr>
              <w:spacing w:after="0"/>
              <w:jc w:val="both"/>
              <w:rPr>
                <w:rFonts w:ascii="Times New Roman" w:hAnsi="Times New Roman" w:cs="Times New Roman"/>
                <w:color w:val="FF0000"/>
              </w:rPr>
            </w:pPr>
            <w:r w:rsidRPr="009E686F">
              <w:rPr>
                <w:rFonts w:ascii="Times New Roman" w:hAnsi="Times New Roman" w:cs="Times New Roman"/>
                <w:color w:val="FF0000"/>
              </w:rPr>
              <w:t xml:space="preserve">Legea nr. 1134/1997 prevede </w:t>
            </w:r>
            <w:r w:rsidRPr="009E686F">
              <w:rPr>
                <w:rFonts w:ascii="Times New Roman" w:hAnsi="Times New Roman" w:cs="Times New Roman"/>
                <w:color w:val="FF0000"/>
                <w:lang w:val="ro-RO"/>
              </w:rPr>
              <w:t>î</w:t>
            </w:r>
            <w:r w:rsidRPr="009E686F">
              <w:rPr>
                <w:rFonts w:ascii="Times New Roman" w:hAnsi="Times New Roman" w:cs="Times New Roman"/>
                <w:color w:val="FF0000"/>
              </w:rPr>
              <w:t xml:space="preserve">n art. 96 alin. (4) urmtoarele: “Proiectul dezmembrării poate prevedea, după caz, de rând cu emiterea de către societăţile beneficiare a acţiunilor/participaţiunilor în scopul repartizării acestora către acţionarii </w:t>
            </w:r>
            <w:r w:rsidRPr="009E686F">
              <w:rPr>
                <w:rFonts w:ascii="Times New Roman" w:hAnsi="Times New Roman" w:cs="Times New Roman"/>
                <w:color w:val="FF0000"/>
              </w:rPr>
              <w:lastRenderedPageBreak/>
              <w:t>societăţii dezmembrate, şi achitarea unei plăţi în numerar a cărei valoare nu poate depăşi 10% din valoarea nominală (fixată) a acţiunilor/participaţiunilor alocate în societăţile beneficiare.</w:t>
            </w:r>
          </w:p>
        </w:tc>
      </w:tr>
      <w:tr w:rsidR="00265766" w:rsidRPr="009E686F" w14:paraId="164EEF29" w14:textId="77777777" w:rsidTr="00960C23">
        <w:tc>
          <w:tcPr>
            <w:tcW w:w="1890" w:type="pct"/>
            <w:tcBorders>
              <w:top w:val="single" w:sz="4" w:space="0" w:color="auto"/>
              <w:left w:val="single" w:sz="4" w:space="0" w:color="auto"/>
              <w:bottom w:val="single" w:sz="4" w:space="0" w:color="auto"/>
              <w:right w:val="single" w:sz="4" w:space="0" w:color="auto"/>
            </w:tcBorders>
          </w:tcPr>
          <w:p w14:paraId="1DA8D74F" w14:textId="36E03DB9" w:rsidR="00265766" w:rsidRPr="009E686F" w:rsidDel="003932E1" w:rsidRDefault="00265766" w:rsidP="00265766">
            <w:pPr>
              <w:spacing w:after="0"/>
              <w:jc w:val="both"/>
              <w:rPr>
                <w:rFonts w:ascii="Times New Roman" w:hAnsi="Times New Roman" w:cs="Times New Roman"/>
                <w:lang w:val="it-IT"/>
              </w:rPr>
            </w:pPr>
            <w:r w:rsidRPr="009E686F">
              <w:rPr>
                <w:rFonts w:ascii="Times New Roman" w:hAnsi="Times New Roman" w:cs="Times New Roman"/>
                <w:lang w:val="it-IT"/>
              </w:rPr>
              <w:lastRenderedPageBreak/>
              <w:t>(c) o operațiune care constă într-o combinație de operațiuni descrise la literele (a) și (b);</w:t>
            </w:r>
          </w:p>
        </w:tc>
        <w:tc>
          <w:tcPr>
            <w:tcW w:w="1834" w:type="pct"/>
            <w:tcBorders>
              <w:top w:val="single" w:sz="4" w:space="0" w:color="auto"/>
              <w:left w:val="single" w:sz="4" w:space="0" w:color="auto"/>
              <w:bottom w:val="single" w:sz="4" w:space="0" w:color="auto"/>
              <w:right w:val="single" w:sz="4" w:space="0" w:color="auto"/>
            </w:tcBorders>
          </w:tcPr>
          <w:p w14:paraId="720492A9" w14:textId="54BF200F" w:rsidR="00265766" w:rsidRPr="009E686F" w:rsidRDefault="00265766" w:rsidP="00265766">
            <w:pPr>
              <w:spacing w:after="0"/>
              <w:jc w:val="both"/>
              <w:rPr>
                <w:rFonts w:ascii="Times New Roman" w:hAnsi="Times New Roman" w:cs="Times New Roman"/>
                <w:bCs/>
                <w:i/>
                <w:iCs/>
                <w:lang w:val="it-IT"/>
              </w:rPr>
            </w:pPr>
            <w:r w:rsidRPr="009E686F">
              <w:rPr>
                <w:rFonts w:ascii="Times New Roman" w:hAnsi="Times New Roman" w:cs="Times New Roman"/>
                <w:bCs/>
                <w:i/>
                <w:iCs/>
                <w:lang w:val="it-IT"/>
              </w:rPr>
              <w:t>c) o operațiune care constă într-o combinație de operațiuni descrise la lit. a) și b);</w:t>
            </w:r>
          </w:p>
        </w:tc>
        <w:tc>
          <w:tcPr>
            <w:tcW w:w="470" w:type="pct"/>
            <w:tcBorders>
              <w:top w:val="single" w:sz="4" w:space="0" w:color="auto"/>
              <w:left w:val="single" w:sz="4" w:space="0" w:color="auto"/>
              <w:bottom w:val="single" w:sz="4" w:space="0" w:color="auto"/>
              <w:right w:val="single" w:sz="4" w:space="0" w:color="auto"/>
            </w:tcBorders>
          </w:tcPr>
          <w:p w14:paraId="347B6025" w14:textId="6787909A" w:rsidR="00265766" w:rsidRPr="009E686F" w:rsidDel="003932E1" w:rsidRDefault="00265766" w:rsidP="00265766">
            <w:pPr>
              <w:jc w:val="both"/>
              <w:rPr>
                <w:rFonts w:ascii="Times New Roman" w:hAnsi="Times New Roman" w:cs="Times New Roman"/>
                <w:lang w:val="it-IT"/>
              </w:rPr>
            </w:pPr>
            <w:r w:rsidRPr="009E686F">
              <w:rPr>
                <w:rFonts w:ascii="Times New Roman" w:hAnsi="Times New Roman" w:cs="Times New Roman"/>
                <w:lang w:val="ro-MD"/>
              </w:rPr>
              <w:t>Compatibil</w:t>
            </w:r>
          </w:p>
        </w:tc>
        <w:tc>
          <w:tcPr>
            <w:tcW w:w="806" w:type="pct"/>
            <w:tcBorders>
              <w:top w:val="single" w:sz="4" w:space="0" w:color="auto"/>
              <w:left w:val="single" w:sz="4" w:space="0" w:color="auto"/>
              <w:bottom w:val="single" w:sz="4" w:space="0" w:color="auto"/>
              <w:right w:val="single" w:sz="4" w:space="0" w:color="auto"/>
            </w:tcBorders>
          </w:tcPr>
          <w:p w14:paraId="7C2443EE" w14:textId="77777777" w:rsidR="00265766" w:rsidRPr="009E686F" w:rsidRDefault="00265766" w:rsidP="00265766">
            <w:pPr>
              <w:spacing w:after="0"/>
              <w:jc w:val="both"/>
              <w:rPr>
                <w:rFonts w:ascii="Times New Roman" w:hAnsi="Times New Roman" w:cs="Times New Roman"/>
                <w:color w:val="FF0000"/>
                <w:lang w:val="it-IT"/>
              </w:rPr>
            </w:pPr>
          </w:p>
        </w:tc>
      </w:tr>
      <w:tr w:rsidR="00265766" w:rsidRPr="009E686F" w14:paraId="62DFE18E" w14:textId="77777777" w:rsidTr="00960C23">
        <w:tc>
          <w:tcPr>
            <w:tcW w:w="1890" w:type="pct"/>
            <w:tcBorders>
              <w:top w:val="single" w:sz="4" w:space="0" w:color="auto"/>
              <w:left w:val="single" w:sz="4" w:space="0" w:color="auto"/>
              <w:bottom w:val="single" w:sz="4" w:space="0" w:color="auto"/>
              <w:right w:val="single" w:sz="4" w:space="0" w:color="auto"/>
            </w:tcBorders>
          </w:tcPr>
          <w:p w14:paraId="2A3158A6" w14:textId="37CD44FE" w:rsidR="00265766" w:rsidRPr="009E686F" w:rsidDel="003932E1" w:rsidRDefault="00265766" w:rsidP="00265766">
            <w:pPr>
              <w:spacing w:after="0"/>
              <w:jc w:val="both"/>
              <w:rPr>
                <w:rFonts w:ascii="Times New Roman" w:hAnsi="Times New Roman" w:cs="Times New Roman"/>
              </w:rPr>
            </w:pPr>
            <w:r w:rsidRPr="009E686F">
              <w:rPr>
                <w:rFonts w:ascii="Times New Roman" w:hAnsi="Times New Roman" w:cs="Times New Roman"/>
              </w:rPr>
              <w:t>(d) o operațiune prin care o societate comercială care face obiectul divizării își transferă o parte din active și pasive uneia sau mai multor societăți comerciale beneficiare în schimbul emiterii, către asociații societății comerciale care face obiectul divizării, de titluri de valoare sau acțiuni la societățile comerciale beneficiare, la societatea comercială care face obiectul divizării ori atât la societățile comerciale beneficiare, cât și la societatea comercială care face obiectul divizării și, după caz, în schimbul unei plăți în numerar care nu depășește 10 % din valoarea nominală, cu excepția cazului în care dreptul intern aplicabil prevede altfel, sau, în absența unei valori nominale, din valoarea contabilă nominală a titlurilor de valoare sau acțiunilor respective;</w:t>
            </w:r>
          </w:p>
        </w:tc>
        <w:tc>
          <w:tcPr>
            <w:tcW w:w="1834" w:type="pct"/>
            <w:tcBorders>
              <w:top w:val="single" w:sz="4" w:space="0" w:color="auto"/>
              <w:left w:val="single" w:sz="4" w:space="0" w:color="auto"/>
              <w:bottom w:val="single" w:sz="4" w:space="0" w:color="auto"/>
              <w:right w:val="single" w:sz="4" w:space="0" w:color="auto"/>
            </w:tcBorders>
          </w:tcPr>
          <w:p w14:paraId="43FA1693" w14:textId="433DB983" w:rsidR="00265766" w:rsidRPr="009E686F" w:rsidRDefault="00265766" w:rsidP="00265766">
            <w:pPr>
              <w:spacing w:after="0"/>
              <w:jc w:val="both"/>
              <w:rPr>
                <w:rFonts w:ascii="Times New Roman" w:hAnsi="Times New Roman" w:cs="Times New Roman"/>
                <w:i/>
                <w:lang w:val="it-CH"/>
              </w:rPr>
            </w:pPr>
            <w:r w:rsidRPr="009E686F">
              <w:rPr>
                <w:rFonts w:ascii="Times New Roman" w:hAnsi="Times New Roman" w:cs="Times New Roman"/>
                <w:i/>
                <w:lang w:val="it-CH"/>
              </w:rPr>
              <w:t>d) o operațiune prin care o societate comercială care face obiectul divizării își transferă o parte din active și pasive uneia sau mai multor societăți comerciale beneficiare în schimbul emiterii, către asociații societății comerciale care face obiectul divizării, de titluri de valoare sau acțiuni la societățile comerciale beneficiare, la societatea comercială care face obiectul divizării ori atât la societățile comerciale beneficiare, cât și la societatea comercială care face obiectul divizării și, după caz, în schimbul unei plăți în numerar care nu depășește 10 % din valoarea nominală  sau, în absența unei valori nominale, din valoarea contabilă nominală a titlurilor de valoare sau acțiunilor respective;</w:t>
            </w:r>
          </w:p>
        </w:tc>
        <w:tc>
          <w:tcPr>
            <w:tcW w:w="470" w:type="pct"/>
            <w:tcBorders>
              <w:top w:val="single" w:sz="4" w:space="0" w:color="auto"/>
              <w:left w:val="single" w:sz="4" w:space="0" w:color="auto"/>
              <w:bottom w:val="single" w:sz="4" w:space="0" w:color="auto"/>
              <w:right w:val="single" w:sz="4" w:space="0" w:color="auto"/>
            </w:tcBorders>
          </w:tcPr>
          <w:p w14:paraId="6C40EF0D" w14:textId="0E2870E4" w:rsidR="00265766" w:rsidRPr="009E686F" w:rsidDel="003932E1" w:rsidRDefault="00265766" w:rsidP="00265766">
            <w:pPr>
              <w:jc w:val="both"/>
              <w:rPr>
                <w:rFonts w:ascii="Times New Roman" w:hAnsi="Times New Roman" w:cs="Times New Roman"/>
                <w:lang w:val="it-IT"/>
              </w:rPr>
            </w:pPr>
            <w:r w:rsidRPr="009E686F">
              <w:rPr>
                <w:rFonts w:ascii="Times New Roman" w:hAnsi="Times New Roman" w:cs="Times New Roman"/>
                <w:lang w:val="ro-MD"/>
              </w:rPr>
              <w:t>Compatibil</w:t>
            </w:r>
          </w:p>
        </w:tc>
        <w:tc>
          <w:tcPr>
            <w:tcW w:w="806" w:type="pct"/>
            <w:tcBorders>
              <w:top w:val="single" w:sz="4" w:space="0" w:color="auto"/>
              <w:left w:val="single" w:sz="4" w:space="0" w:color="auto"/>
              <w:bottom w:val="single" w:sz="4" w:space="0" w:color="auto"/>
              <w:right w:val="single" w:sz="4" w:space="0" w:color="auto"/>
            </w:tcBorders>
          </w:tcPr>
          <w:p w14:paraId="121FA3E9" w14:textId="77777777" w:rsidR="00265766" w:rsidRPr="009E686F" w:rsidRDefault="00265766" w:rsidP="00265766">
            <w:pPr>
              <w:spacing w:after="0"/>
              <w:jc w:val="both"/>
              <w:rPr>
                <w:rFonts w:ascii="Times New Roman" w:hAnsi="Times New Roman" w:cs="Times New Roman"/>
                <w:color w:val="FF0000"/>
                <w:lang w:val="it-IT"/>
              </w:rPr>
            </w:pPr>
          </w:p>
        </w:tc>
      </w:tr>
      <w:tr w:rsidR="00265766" w:rsidRPr="009E686F" w14:paraId="376BA40C" w14:textId="77777777" w:rsidTr="00960C23">
        <w:tc>
          <w:tcPr>
            <w:tcW w:w="1890" w:type="pct"/>
            <w:tcBorders>
              <w:top w:val="single" w:sz="4" w:space="0" w:color="auto"/>
              <w:left w:val="single" w:sz="4" w:space="0" w:color="auto"/>
              <w:bottom w:val="single" w:sz="4" w:space="0" w:color="auto"/>
              <w:right w:val="single" w:sz="4" w:space="0" w:color="auto"/>
            </w:tcBorders>
          </w:tcPr>
          <w:p w14:paraId="601B2E12" w14:textId="1474BAAF" w:rsidR="00265766" w:rsidRPr="009E686F" w:rsidDel="003932E1"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(e) o operațiune prin care o societate comercială care face obiectul divizării își transferă o parte din active și pasive uneia sau mai multor societăți comerciale beneficiare în schimbul emiterii, către societatea comercială care face obiectul divizării, de titluri de valoare sau acțiuni la societățile comerciale beneficiare.</w:t>
            </w:r>
          </w:p>
        </w:tc>
        <w:tc>
          <w:tcPr>
            <w:tcW w:w="1834" w:type="pct"/>
            <w:tcBorders>
              <w:top w:val="single" w:sz="4" w:space="0" w:color="auto"/>
              <w:left w:val="single" w:sz="4" w:space="0" w:color="auto"/>
              <w:bottom w:val="single" w:sz="4" w:space="0" w:color="auto"/>
              <w:right w:val="single" w:sz="4" w:space="0" w:color="auto"/>
            </w:tcBorders>
          </w:tcPr>
          <w:p w14:paraId="18E17D60" w14:textId="0097F9AE" w:rsidR="00265766" w:rsidRPr="009E686F" w:rsidRDefault="00265766" w:rsidP="00265766">
            <w:pPr>
              <w:spacing w:after="0"/>
              <w:jc w:val="both"/>
              <w:rPr>
                <w:rFonts w:ascii="Times New Roman" w:hAnsi="Times New Roman" w:cs="Times New Roman"/>
                <w:i/>
                <w:lang w:val="it-CH"/>
              </w:rPr>
            </w:pPr>
            <w:r w:rsidRPr="009E686F">
              <w:rPr>
                <w:rFonts w:ascii="Times New Roman" w:hAnsi="Times New Roman" w:cs="Times New Roman"/>
                <w:i/>
                <w:lang w:val="it-CH"/>
              </w:rPr>
              <w:t>e) o operațiune prin care o societate comercială care face obiectul divizării își transferă o parte din active și pasive uneia sau mai multor societăți comerciale beneficiare în schimbul emiterii, către societatea comercială care face obiectul divizării, de titluri de valoare sau acțiuni la societățile comerciale beneficiare.</w:t>
            </w:r>
          </w:p>
        </w:tc>
        <w:tc>
          <w:tcPr>
            <w:tcW w:w="470" w:type="pct"/>
            <w:tcBorders>
              <w:top w:val="single" w:sz="4" w:space="0" w:color="auto"/>
              <w:left w:val="single" w:sz="4" w:space="0" w:color="auto"/>
              <w:bottom w:val="single" w:sz="4" w:space="0" w:color="auto"/>
              <w:right w:val="single" w:sz="4" w:space="0" w:color="auto"/>
            </w:tcBorders>
          </w:tcPr>
          <w:p w14:paraId="1D939023" w14:textId="4EA92185" w:rsidR="00265766" w:rsidRPr="009E686F" w:rsidDel="003932E1" w:rsidRDefault="00265766" w:rsidP="00265766">
            <w:pPr>
              <w:jc w:val="both"/>
              <w:rPr>
                <w:rFonts w:ascii="Times New Roman" w:hAnsi="Times New Roman" w:cs="Times New Roman"/>
                <w:lang w:val="it-IT"/>
              </w:rPr>
            </w:pPr>
            <w:r w:rsidRPr="009E686F">
              <w:rPr>
                <w:rFonts w:ascii="Times New Roman" w:hAnsi="Times New Roman" w:cs="Times New Roman"/>
                <w:lang w:val="ro-MD"/>
              </w:rPr>
              <w:t>Compatibil</w:t>
            </w:r>
          </w:p>
        </w:tc>
        <w:tc>
          <w:tcPr>
            <w:tcW w:w="806" w:type="pct"/>
            <w:tcBorders>
              <w:top w:val="single" w:sz="4" w:space="0" w:color="auto"/>
              <w:left w:val="single" w:sz="4" w:space="0" w:color="auto"/>
              <w:bottom w:val="single" w:sz="4" w:space="0" w:color="auto"/>
              <w:right w:val="single" w:sz="4" w:space="0" w:color="auto"/>
            </w:tcBorders>
          </w:tcPr>
          <w:p w14:paraId="410D5466" w14:textId="77777777" w:rsidR="00265766" w:rsidRPr="009E686F" w:rsidRDefault="00265766" w:rsidP="00265766">
            <w:pPr>
              <w:spacing w:after="0"/>
              <w:jc w:val="both"/>
              <w:rPr>
                <w:rFonts w:ascii="Times New Roman" w:hAnsi="Times New Roman" w:cs="Times New Roman"/>
                <w:color w:val="FF0000"/>
                <w:lang w:val="it-IT"/>
              </w:rPr>
            </w:pPr>
          </w:p>
        </w:tc>
      </w:tr>
      <w:tr w:rsidR="00265766" w:rsidRPr="009E686F" w14:paraId="4F15D409" w14:textId="77777777" w:rsidTr="00E01B75">
        <w:trPr>
          <w:trHeight w:val="5123"/>
        </w:trPr>
        <w:tc>
          <w:tcPr>
            <w:tcW w:w="1890" w:type="pct"/>
            <w:tcBorders>
              <w:top w:val="single" w:sz="4" w:space="0" w:color="auto"/>
              <w:left w:val="single" w:sz="4" w:space="0" w:color="auto"/>
              <w:right w:val="single" w:sz="4" w:space="0" w:color="auto"/>
            </w:tcBorders>
          </w:tcPr>
          <w:p w14:paraId="6E8B2657" w14:textId="77777777" w:rsidR="00265766" w:rsidRPr="009E686F" w:rsidRDefault="00265766" w:rsidP="00265766">
            <w:pPr>
              <w:spacing w:after="0"/>
              <w:jc w:val="both"/>
              <w:rPr>
                <w:rFonts w:ascii="Times New Roman" w:hAnsi="Times New Roman" w:cs="Times New Roman"/>
                <w:i/>
                <w:lang w:val="it-CH"/>
              </w:rPr>
            </w:pPr>
            <w:r w:rsidRPr="009E686F">
              <w:rPr>
                <w:rFonts w:ascii="Times New Roman" w:hAnsi="Times New Roman" w:cs="Times New Roman"/>
                <w:i/>
                <w:lang w:val="it-CH"/>
              </w:rPr>
              <w:lastRenderedPageBreak/>
              <w:t xml:space="preserve">Articolul 27i </w:t>
            </w:r>
          </w:p>
          <w:p w14:paraId="1FDFE304" w14:textId="77777777" w:rsidR="00265766" w:rsidRPr="009E686F" w:rsidDel="003932E1"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Notificarea și evaluarea fuziunii sau divizării</w:t>
            </w:r>
          </w:p>
          <w:p w14:paraId="315411DD" w14:textId="6B14DDED" w:rsidR="00265766" w:rsidRPr="009E686F" w:rsidDel="003932E1"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(1) Statele membre impun instituțiilor, precum și societăților financiare holding și societăților financiare holding mixte care intră sub incidența articolului 21a alineatul (1) («părțile interesate financiare») care efectuează o fuziune sau o divizare («operațiunea propusă») obligația de a trimite o notificare, după adoptarea proiectului operațiunii propuse și înainte de finalizarea operațiunii propuse, autorității competente care va fi responsabilă cu supravegherea entităților rezultate din operațiunea propusă, indicând informațiile relevante, specificate în conformitate cu articolul 27j alineatul (5).</w:t>
            </w:r>
          </w:p>
        </w:tc>
        <w:tc>
          <w:tcPr>
            <w:tcW w:w="1834" w:type="pct"/>
            <w:tcBorders>
              <w:top w:val="single" w:sz="4" w:space="0" w:color="auto"/>
              <w:left w:val="single" w:sz="4" w:space="0" w:color="auto"/>
              <w:right w:val="single" w:sz="4" w:space="0" w:color="auto"/>
            </w:tcBorders>
          </w:tcPr>
          <w:p w14:paraId="6E45514F" w14:textId="77777777" w:rsidR="00265766" w:rsidRPr="009E686F" w:rsidRDefault="00265766" w:rsidP="00265766">
            <w:pPr>
              <w:spacing w:after="0"/>
              <w:jc w:val="both"/>
              <w:rPr>
                <w:rFonts w:ascii="Times New Roman" w:eastAsia="Aptos" w:hAnsi="Times New Roman" w:cs="Times New Roman"/>
                <w:b/>
                <w:bCs/>
                <w:kern w:val="2"/>
                <w:lang w:val="ro-MD"/>
              </w:rPr>
            </w:pPr>
            <w:r w:rsidRPr="009E686F">
              <w:rPr>
                <w:rFonts w:ascii="Times New Roman" w:eastAsia="Aptos" w:hAnsi="Times New Roman" w:cs="Times New Roman"/>
                <w:b/>
                <w:bCs/>
                <w:kern w:val="2"/>
                <w:lang w:val="ro-MD"/>
              </w:rPr>
              <w:t>Articolul 34 alin. (4)</w:t>
            </w:r>
          </w:p>
          <w:p w14:paraId="473FF883" w14:textId="3B9E3F9C" w:rsidR="00265766" w:rsidRPr="009E686F" w:rsidRDefault="00265766" w:rsidP="00265766">
            <w:pPr>
              <w:spacing w:after="0"/>
              <w:jc w:val="both"/>
              <w:rPr>
                <w:rFonts w:ascii="Times New Roman" w:hAnsi="Times New Roman" w:cs="Times New Roman"/>
                <w:b/>
                <w:i/>
                <w:iCs/>
                <w:lang w:val="it-IT"/>
              </w:rPr>
            </w:pPr>
            <w:r w:rsidRPr="009E686F">
              <w:rPr>
                <w:rFonts w:ascii="Times New Roman" w:hAnsi="Times New Roman" w:cs="Times New Roman"/>
                <w:i/>
                <w:lang w:val="it-CH"/>
              </w:rPr>
              <w:t>(4) Instituțiile de credit, precum și societățile financiare holding și societățile financiare holding mixte care fac obiectul art. 116</w:t>
            </w:r>
            <w:r w:rsidRPr="009E686F">
              <w:rPr>
                <w:rFonts w:ascii="Times New Roman" w:hAnsi="Times New Roman" w:cs="Times New Roman"/>
                <w:i/>
                <w:vertAlign w:val="superscript"/>
                <w:lang w:val="it-CH"/>
              </w:rPr>
              <w:t>1</w:t>
            </w:r>
            <w:r w:rsidRPr="009E686F">
              <w:rPr>
                <w:rFonts w:ascii="Times New Roman" w:hAnsi="Times New Roman" w:cs="Times New Roman"/>
                <w:i/>
                <w:lang w:val="it-CH"/>
              </w:rPr>
              <w:t xml:space="preserve"> alin. (1)</w:t>
            </w:r>
            <w:r w:rsidR="00345062" w:rsidRPr="009E686F">
              <w:rPr>
                <w:rFonts w:ascii="Times New Roman" w:hAnsi="Times New Roman" w:cs="Times New Roman"/>
                <w:i/>
                <w:lang w:val="it-CH"/>
              </w:rPr>
              <w:t xml:space="preserve"> și </w:t>
            </w:r>
            <w:r w:rsidRPr="009E686F">
              <w:rPr>
                <w:rFonts w:ascii="Times New Roman" w:hAnsi="Times New Roman" w:cs="Times New Roman"/>
                <w:i/>
                <w:lang w:val="it-CH"/>
              </w:rPr>
              <w:t xml:space="preserve">(2) (în sensul prezentului capitol, denumite în continuare “părțile interesate financiare”) care efectuează o fuziune sau o dezmembrare (în sensul prezentului </w:t>
            </w:r>
            <w:r w:rsidR="00345062" w:rsidRPr="009E686F">
              <w:rPr>
                <w:rFonts w:ascii="Times New Roman" w:hAnsi="Times New Roman" w:cs="Times New Roman"/>
                <w:i/>
                <w:lang w:val="it-CH"/>
              </w:rPr>
              <w:t>articol</w:t>
            </w:r>
            <w:r w:rsidRPr="009E686F">
              <w:rPr>
                <w:rFonts w:ascii="Times New Roman" w:hAnsi="Times New Roman" w:cs="Times New Roman"/>
                <w:i/>
                <w:lang w:val="it-CH"/>
              </w:rPr>
              <w:t xml:space="preserve">,  denumite în continuare „operațiunea propusă”) trebuie să transmită Băncii Naționale a Moldovei o notificare, după adoptarea proiectului operațiunii propuse și înainte de finalizarea operațiunii propuse, însoțită de documentele și informațiile prevăzute de actele normative ale Băncii Naționale a Moldovei, în cazul în care aceasta este autoritatea competentă responsabilă cu supravegherea entităților rezultate din operațiunea propusă, cu indicarea informațiilor relevante, astfel cum sunt prevăzute în alin. </w:t>
            </w:r>
            <w:r w:rsidRPr="009E686F">
              <w:rPr>
                <w:rFonts w:ascii="Times New Roman" w:hAnsi="Times New Roman" w:cs="Times New Roman"/>
                <w:i/>
                <w:iCs/>
                <w:lang w:val="it-IT"/>
              </w:rPr>
              <w:t>(23).</w:t>
            </w:r>
          </w:p>
        </w:tc>
        <w:tc>
          <w:tcPr>
            <w:tcW w:w="470" w:type="pct"/>
            <w:tcBorders>
              <w:top w:val="single" w:sz="4" w:space="0" w:color="auto"/>
              <w:left w:val="single" w:sz="4" w:space="0" w:color="auto"/>
              <w:right w:val="single" w:sz="4" w:space="0" w:color="auto"/>
            </w:tcBorders>
          </w:tcPr>
          <w:p w14:paraId="2FC799A2" w14:textId="77777777" w:rsidR="00265766" w:rsidRPr="009E686F" w:rsidDel="003932E1" w:rsidRDefault="00265766" w:rsidP="00265766">
            <w:pPr>
              <w:jc w:val="both"/>
              <w:rPr>
                <w:rFonts w:ascii="Times New Roman" w:hAnsi="Times New Roman" w:cs="Times New Roman"/>
                <w:lang w:val="it-IT"/>
              </w:rPr>
            </w:pPr>
            <w:r w:rsidRPr="009E686F">
              <w:rPr>
                <w:rFonts w:ascii="Times New Roman" w:hAnsi="Times New Roman" w:cs="Times New Roman"/>
                <w:lang w:val="ro-MD"/>
              </w:rPr>
              <w:t>Compatibil</w:t>
            </w:r>
          </w:p>
          <w:p w14:paraId="7C2DA5A2" w14:textId="105CD364" w:rsidR="00265766" w:rsidRPr="009E686F" w:rsidDel="003932E1" w:rsidRDefault="00265766" w:rsidP="00265766">
            <w:pPr>
              <w:jc w:val="both"/>
              <w:rPr>
                <w:rFonts w:ascii="Times New Roman" w:hAnsi="Times New Roman" w:cs="Times New Roman"/>
                <w:lang w:val="it-IT"/>
              </w:rPr>
            </w:pPr>
          </w:p>
        </w:tc>
        <w:tc>
          <w:tcPr>
            <w:tcW w:w="806" w:type="pct"/>
            <w:tcBorders>
              <w:top w:val="single" w:sz="4" w:space="0" w:color="auto"/>
              <w:left w:val="single" w:sz="4" w:space="0" w:color="auto"/>
              <w:right w:val="single" w:sz="4" w:space="0" w:color="auto"/>
            </w:tcBorders>
          </w:tcPr>
          <w:p w14:paraId="7E3840AB" w14:textId="77777777" w:rsidR="00265766" w:rsidRPr="009E686F" w:rsidRDefault="00265766" w:rsidP="00265766">
            <w:pPr>
              <w:spacing w:after="0"/>
              <w:jc w:val="both"/>
              <w:rPr>
                <w:rFonts w:ascii="Times New Roman" w:hAnsi="Times New Roman" w:cs="Times New Roman"/>
                <w:color w:val="FF0000"/>
                <w:lang w:val="it-IT"/>
              </w:rPr>
            </w:pPr>
          </w:p>
        </w:tc>
      </w:tr>
      <w:tr w:rsidR="00265766" w:rsidRPr="009E686F" w14:paraId="34A65CB8" w14:textId="77777777" w:rsidTr="00960C23">
        <w:tc>
          <w:tcPr>
            <w:tcW w:w="1890" w:type="pct"/>
            <w:tcBorders>
              <w:top w:val="single" w:sz="4" w:space="0" w:color="auto"/>
              <w:left w:val="single" w:sz="4" w:space="0" w:color="auto"/>
              <w:bottom w:val="single" w:sz="4" w:space="0" w:color="auto"/>
              <w:right w:val="single" w:sz="4" w:space="0" w:color="auto"/>
            </w:tcBorders>
          </w:tcPr>
          <w:p w14:paraId="14454D22" w14:textId="5A410CB6" w:rsidR="00265766" w:rsidRPr="009E686F" w:rsidDel="003932E1" w:rsidRDefault="00265766" w:rsidP="00265766">
            <w:pPr>
              <w:spacing w:after="0"/>
              <w:jc w:val="both"/>
              <w:rPr>
                <w:rFonts w:ascii="Times New Roman" w:hAnsi="Times New Roman" w:cs="Times New Roman"/>
              </w:rPr>
            </w:pPr>
            <w:r w:rsidRPr="009E686F">
              <w:rPr>
                <w:rFonts w:ascii="Times New Roman" w:hAnsi="Times New Roman" w:cs="Times New Roman"/>
              </w:rPr>
              <w:t>În scopul primului paragraf de la prezentul alineat, în cazul în care operațiunea propusă constă într-o divizare, autoritatea competentă responsabilă cu supravegherea entității care efectuează operațiunea propusă este autoritatea competentă care trebuie notificată și care răspunde de evaluarea prevăzută la articolul 27j alineatul (1).</w:t>
            </w:r>
          </w:p>
        </w:tc>
        <w:tc>
          <w:tcPr>
            <w:tcW w:w="1834" w:type="pct"/>
            <w:tcBorders>
              <w:top w:val="single" w:sz="4" w:space="0" w:color="auto"/>
              <w:left w:val="single" w:sz="4" w:space="0" w:color="auto"/>
              <w:bottom w:val="single" w:sz="4" w:space="0" w:color="auto"/>
              <w:right w:val="single" w:sz="4" w:space="0" w:color="auto"/>
            </w:tcBorders>
          </w:tcPr>
          <w:p w14:paraId="225F6161" w14:textId="5FA2653B" w:rsidR="00265766" w:rsidRPr="009E686F" w:rsidRDefault="00265766" w:rsidP="00265766">
            <w:pPr>
              <w:spacing w:after="0"/>
              <w:jc w:val="both"/>
              <w:rPr>
                <w:rFonts w:ascii="Times New Roman" w:eastAsia="Aptos" w:hAnsi="Times New Roman" w:cs="Times New Roman"/>
                <w:b/>
                <w:bCs/>
                <w:kern w:val="2"/>
                <w:lang w:val="ro-MD"/>
              </w:rPr>
            </w:pPr>
            <w:r w:rsidRPr="009E686F">
              <w:rPr>
                <w:rFonts w:ascii="Times New Roman" w:eastAsia="Aptos" w:hAnsi="Times New Roman" w:cs="Times New Roman"/>
                <w:b/>
                <w:bCs/>
                <w:kern w:val="2"/>
                <w:lang w:val="ro-MD"/>
              </w:rPr>
              <w:t>Articolul 34 alin. (5)</w:t>
            </w:r>
          </w:p>
          <w:p w14:paraId="1E01B3EE" w14:textId="40FB078F" w:rsidR="00265766" w:rsidRPr="009E686F" w:rsidRDefault="00265766" w:rsidP="00265766">
            <w:pPr>
              <w:spacing w:after="0"/>
              <w:jc w:val="both"/>
              <w:rPr>
                <w:rFonts w:ascii="Times New Roman" w:hAnsi="Times New Roman" w:cs="Times New Roman"/>
                <w:bCs/>
                <w:i/>
                <w:iCs/>
                <w:lang w:val="it-IT"/>
              </w:rPr>
            </w:pPr>
            <w:r w:rsidRPr="009E686F">
              <w:rPr>
                <w:rFonts w:ascii="Times New Roman" w:hAnsi="Times New Roman" w:cs="Times New Roman"/>
                <w:bCs/>
                <w:i/>
                <w:iCs/>
              </w:rPr>
              <w:t xml:space="preserve">(5) În sensul alin. (4), în cazul în care operațiunea propusă constă într-o dezmembrare, Banca Națională a Moldovei în calitate de autoritate competentă responsabilă cu supravegherea entității care efectuează operațiunea propusă este notificată și realizează evaluarea prevăzută la alin. </w:t>
            </w:r>
            <w:r w:rsidRPr="009E686F">
              <w:rPr>
                <w:rFonts w:ascii="Times New Roman" w:hAnsi="Times New Roman" w:cs="Times New Roman"/>
                <w:bCs/>
                <w:i/>
                <w:iCs/>
                <w:lang w:val="it-IT"/>
              </w:rPr>
              <w:t>(15).</w:t>
            </w:r>
          </w:p>
        </w:tc>
        <w:tc>
          <w:tcPr>
            <w:tcW w:w="470" w:type="pct"/>
            <w:tcBorders>
              <w:top w:val="single" w:sz="4" w:space="0" w:color="auto"/>
              <w:left w:val="single" w:sz="4" w:space="0" w:color="auto"/>
              <w:bottom w:val="single" w:sz="4" w:space="0" w:color="auto"/>
              <w:right w:val="single" w:sz="4" w:space="0" w:color="auto"/>
            </w:tcBorders>
          </w:tcPr>
          <w:p w14:paraId="42606815" w14:textId="7412833D" w:rsidR="00265766" w:rsidRPr="009E686F" w:rsidDel="003932E1" w:rsidRDefault="00265766" w:rsidP="00265766">
            <w:pPr>
              <w:jc w:val="both"/>
              <w:rPr>
                <w:rFonts w:ascii="Times New Roman" w:hAnsi="Times New Roman" w:cs="Times New Roman"/>
                <w:lang w:val="it-IT"/>
              </w:rPr>
            </w:pPr>
            <w:r w:rsidRPr="009E686F">
              <w:rPr>
                <w:rFonts w:ascii="Times New Roman" w:hAnsi="Times New Roman" w:cs="Times New Roman"/>
                <w:lang w:val="ro-MD"/>
              </w:rPr>
              <w:t>Compatibil</w:t>
            </w:r>
          </w:p>
        </w:tc>
        <w:tc>
          <w:tcPr>
            <w:tcW w:w="806" w:type="pct"/>
            <w:tcBorders>
              <w:top w:val="single" w:sz="4" w:space="0" w:color="auto"/>
              <w:left w:val="single" w:sz="4" w:space="0" w:color="auto"/>
              <w:bottom w:val="single" w:sz="4" w:space="0" w:color="auto"/>
              <w:right w:val="single" w:sz="4" w:space="0" w:color="auto"/>
            </w:tcBorders>
          </w:tcPr>
          <w:p w14:paraId="0785D76E" w14:textId="77777777" w:rsidR="00265766" w:rsidRPr="009E686F" w:rsidRDefault="00265766" w:rsidP="00265766">
            <w:pPr>
              <w:spacing w:after="0"/>
              <w:jc w:val="both"/>
              <w:rPr>
                <w:rFonts w:ascii="Times New Roman" w:hAnsi="Times New Roman" w:cs="Times New Roman"/>
                <w:color w:val="FF0000"/>
                <w:lang w:val="it-IT"/>
              </w:rPr>
            </w:pPr>
          </w:p>
        </w:tc>
      </w:tr>
      <w:tr w:rsidR="00265766" w:rsidRPr="009E686F" w14:paraId="21002474" w14:textId="77777777" w:rsidTr="00960C23">
        <w:tc>
          <w:tcPr>
            <w:tcW w:w="1890" w:type="pct"/>
            <w:tcBorders>
              <w:top w:val="single" w:sz="4" w:space="0" w:color="auto"/>
              <w:left w:val="single" w:sz="4" w:space="0" w:color="auto"/>
              <w:bottom w:val="single" w:sz="4" w:space="0" w:color="auto"/>
              <w:right w:val="single" w:sz="4" w:space="0" w:color="auto"/>
            </w:tcBorders>
          </w:tcPr>
          <w:p w14:paraId="52EEA7BD" w14:textId="2541473C" w:rsidR="00265766" w:rsidRPr="009E686F" w:rsidDel="003932E1"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(2) Prin derogare de la alineatul (1) de la prezentul articol, în cazul în care operațiunea propusă este o fuziune în care sunt implicate numai părți interesate financiare din cadrul aceluiași grup, inclusiv un grup de instituții de credit care sunt afiliate în mod permanent unui organism central și care sunt supravegheate ca grup, autoritatea competentă nu este obligată să efectueze evaluarea prevăzută la articolul 27j alineatul (1).</w:t>
            </w:r>
          </w:p>
        </w:tc>
        <w:tc>
          <w:tcPr>
            <w:tcW w:w="1834" w:type="pct"/>
            <w:tcBorders>
              <w:top w:val="single" w:sz="4" w:space="0" w:color="auto"/>
              <w:left w:val="single" w:sz="4" w:space="0" w:color="auto"/>
              <w:bottom w:val="single" w:sz="4" w:space="0" w:color="auto"/>
              <w:right w:val="single" w:sz="4" w:space="0" w:color="auto"/>
            </w:tcBorders>
          </w:tcPr>
          <w:p w14:paraId="4E607FCF" w14:textId="66F41ADB" w:rsidR="00265766" w:rsidRPr="009E686F" w:rsidRDefault="00265766" w:rsidP="00265766">
            <w:pPr>
              <w:spacing w:after="0"/>
              <w:jc w:val="both"/>
              <w:rPr>
                <w:rFonts w:ascii="Times New Roman" w:eastAsia="Aptos" w:hAnsi="Times New Roman" w:cs="Times New Roman"/>
                <w:b/>
                <w:bCs/>
                <w:kern w:val="2"/>
                <w:lang w:val="ro-MD"/>
              </w:rPr>
            </w:pPr>
            <w:r w:rsidRPr="009E686F">
              <w:rPr>
                <w:rFonts w:ascii="Times New Roman" w:eastAsia="Aptos" w:hAnsi="Times New Roman" w:cs="Times New Roman"/>
                <w:b/>
                <w:bCs/>
                <w:kern w:val="2"/>
                <w:lang w:val="ro-MD"/>
              </w:rPr>
              <w:t>Articolul 34 alin. (6)</w:t>
            </w:r>
          </w:p>
          <w:p w14:paraId="7D06FE25" w14:textId="795DC227" w:rsidR="00265766" w:rsidRPr="009E686F" w:rsidRDefault="00265766" w:rsidP="00265766">
            <w:pPr>
              <w:spacing w:after="0"/>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 xml:space="preserve">(6) Prin derogare de la alin. (4), în cazul în care operațiunea propusă este o fuziune în care sunt implicate numai părți interesate financiare din cadrul aceluiași grup, inclusiv un grup de instituții de credit care sunt afiliate în mod permanent unui organism central și care sunt supravegheate </w:t>
            </w:r>
            <w:r w:rsidRPr="009E686F">
              <w:rPr>
                <w:rFonts w:ascii="Times New Roman" w:eastAsia="Aptos" w:hAnsi="Times New Roman" w:cs="Times New Roman"/>
                <w:i/>
                <w:iCs/>
                <w:kern w:val="2"/>
                <w:lang w:val="ro-MD"/>
              </w:rPr>
              <w:lastRenderedPageBreak/>
              <w:t>ca grup, Banca Națională a Moldovei nu este obligată să efectueze evaluarea prevăzută la alin. (15).</w:t>
            </w:r>
          </w:p>
        </w:tc>
        <w:tc>
          <w:tcPr>
            <w:tcW w:w="470" w:type="pct"/>
            <w:tcBorders>
              <w:top w:val="single" w:sz="4" w:space="0" w:color="auto"/>
              <w:left w:val="single" w:sz="4" w:space="0" w:color="auto"/>
              <w:bottom w:val="single" w:sz="4" w:space="0" w:color="auto"/>
              <w:right w:val="single" w:sz="4" w:space="0" w:color="auto"/>
            </w:tcBorders>
          </w:tcPr>
          <w:p w14:paraId="1050BCE4" w14:textId="63BCF631" w:rsidR="00265766" w:rsidRPr="009E686F" w:rsidDel="003932E1" w:rsidRDefault="00265766" w:rsidP="00265766">
            <w:pPr>
              <w:jc w:val="both"/>
              <w:rPr>
                <w:rFonts w:ascii="Times New Roman" w:hAnsi="Times New Roman" w:cs="Times New Roman"/>
                <w:lang w:val="it-IT"/>
              </w:rPr>
            </w:pPr>
            <w:r w:rsidRPr="009E686F">
              <w:rPr>
                <w:rFonts w:ascii="Times New Roman" w:hAnsi="Times New Roman" w:cs="Times New Roman"/>
                <w:lang w:val="ro-MD"/>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046B3C97" w14:textId="77777777" w:rsidR="00265766" w:rsidRPr="009E686F" w:rsidRDefault="00265766" w:rsidP="00265766">
            <w:pPr>
              <w:spacing w:after="0"/>
              <w:jc w:val="both"/>
              <w:rPr>
                <w:rFonts w:ascii="Times New Roman" w:hAnsi="Times New Roman" w:cs="Times New Roman"/>
                <w:color w:val="FF0000"/>
                <w:lang w:val="it-IT"/>
              </w:rPr>
            </w:pPr>
          </w:p>
        </w:tc>
      </w:tr>
      <w:tr w:rsidR="00265766" w:rsidRPr="009E686F" w14:paraId="7005915F" w14:textId="77777777" w:rsidTr="00960C23">
        <w:tc>
          <w:tcPr>
            <w:tcW w:w="1890" w:type="pct"/>
            <w:tcBorders>
              <w:top w:val="single" w:sz="4" w:space="0" w:color="auto"/>
              <w:left w:val="single" w:sz="4" w:space="0" w:color="auto"/>
              <w:bottom w:val="single" w:sz="4" w:space="0" w:color="auto"/>
              <w:right w:val="single" w:sz="4" w:space="0" w:color="auto"/>
            </w:tcBorders>
          </w:tcPr>
          <w:p w14:paraId="1581D13F" w14:textId="4EC9ACAE" w:rsidR="00265766" w:rsidRPr="009E686F" w:rsidDel="003932E1"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(3) Evaluarea prevăzută la articolul 27j alineatul (1) nu se efectuează în cazul în care operațiunea propusă necesită o autorizație în conformitate cu articolul 8 sau o aprobare în conformitate cu articolul 21a.</w:t>
            </w:r>
          </w:p>
        </w:tc>
        <w:tc>
          <w:tcPr>
            <w:tcW w:w="1834" w:type="pct"/>
            <w:tcBorders>
              <w:top w:val="single" w:sz="4" w:space="0" w:color="auto"/>
              <w:left w:val="single" w:sz="4" w:space="0" w:color="auto"/>
              <w:bottom w:val="single" w:sz="4" w:space="0" w:color="auto"/>
              <w:right w:val="single" w:sz="4" w:space="0" w:color="auto"/>
            </w:tcBorders>
          </w:tcPr>
          <w:p w14:paraId="556829D8" w14:textId="651B86F0" w:rsidR="00265766" w:rsidRPr="009E686F" w:rsidRDefault="00265766" w:rsidP="00265766">
            <w:pPr>
              <w:spacing w:after="0"/>
              <w:jc w:val="both"/>
              <w:rPr>
                <w:rFonts w:ascii="Times New Roman" w:eastAsia="Aptos" w:hAnsi="Times New Roman" w:cs="Times New Roman"/>
                <w:b/>
                <w:bCs/>
                <w:kern w:val="2"/>
                <w:lang w:val="ro-MD"/>
              </w:rPr>
            </w:pPr>
            <w:r w:rsidRPr="009E686F">
              <w:rPr>
                <w:rFonts w:ascii="Times New Roman" w:eastAsia="Aptos" w:hAnsi="Times New Roman" w:cs="Times New Roman"/>
                <w:b/>
                <w:bCs/>
                <w:kern w:val="2"/>
                <w:lang w:val="ro-MD"/>
              </w:rPr>
              <w:t>Articolul 34 alin. (7)</w:t>
            </w:r>
          </w:p>
          <w:p w14:paraId="64F44BBD" w14:textId="7AC45BBF" w:rsidR="00265766" w:rsidRPr="009E686F" w:rsidRDefault="00265766" w:rsidP="00265766">
            <w:pPr>
              <w:spacing w:after="0"/>
              <w:jc w:val="both"/>
              <w:rPr>
                <w:rFonts w:ascii="Times New Roman" w:hAnsi="Times New Roman" w:cs="Times New Roman"/>
                <w:bCs/>
                <w:i/>
                <w:iCs/>
                <w:lang w:val="it-IT"/>
              </w:rPr>
            </w:pPr>
            <w:r w:rsidRPr="009E686F">
              <w:rPr>
                <w:rFonts w:ascii="Times New Roman" w:hAnsi="Times New Roman" w:cs="Times New Roman"/>
                <w:bCs/>
                <w:i/>
                <w:iCs/>
                <w:lang w:val="it-IT"/>
              </w:rPr>
              <w:t>(7) Evaluarea prevăzută la alin. (15) nu se efectuează în cazul în care operațiunea propusă necesită o autorizație în conformitate cu art. 16 sau o aprobare în conformitate cu 116</w:t>
            </w:r>
            <w:r w:rsidRPr="009E686F">
              <w:rPr>
                <w:rFonts w:ascii="Times New Roman" w:hAnsi="Times New Roman" w:cs="Times New Roman"/>
                <w:bCs/>
                <w:i/>
                <w:iCs/>
                <w:vertAlign w:val="superscript"/>
                <w:lang w:val="it-IT"/>
              </w:rPr>
              <w:t>1</w:t>
            </w:r>
            <w:r w:rsidRPr="009E686F">
              <w:rPr>
                <w:rFonts w:ascii="Times New Roman" w:hAnsi="Times New Roman" w:cs="Times New Roman"/>
                <w:bCs/>
                <w:i/>
                <w:iCs/>
                <w:lang w:val="it-IT"/>
              </w:rPr>
              <w:t xml:space="preserve"> alin. (1)</w:t>
            </w:r>
            <w:r w:rsidR="00345062" w:rsidRPr="009E686F">
              <w:rPr>
                <w:rFonts w:ascii="Times New Roman" w:hAnsi="Times New Roman" w:cs="Times New Roman"/>
                <w:bCs/>
                <w:i/>
                <w:iCs/>
                <w:lang w:val="it-IT"/>
              </w:rPr>
              <w:t xml:space="preserve"> și </w:t>
            </w:r>
            <w:r w:rsidRPr="009E686F">
              <w:rPr>
                <w:rFonts w:ascii="Times New Roman" w:hAnsi="Times New Roman" w:cs="Times New Roman"/>
                <w:bCs/>
                <w:i/>
                <w:iCs/>
                <w:lang w:val="it-IT"/>
              </w:rPr>
              <w:t>(2).</w:t>
            </w:r>
          </w:p>
        </w:tc>
        <w:tc>
          <w:tcPr>
            <w:tcW w:w="470" w:type="pct"/>
            <w:tcBorders>
              <w:top w:val="single" w:sz="4" w:space="0" w:color="auto"/>
              <w:left w:val="single" w:sz="4" w:space="0" w:color="auto"/>
              <w:bottom w:val="single" w:sz="4" w:space="0" w:color="auto"/>
              <w:right w:val="single" w:sz="4" w:space="0" w:color="auto"/>
            </w:tcBorders>
          </w:tcPr>
          <w:p w14:paraId="0B0A879A" w14:textId="63A806BA" w:rsidR="00265766" w:rsidRPr="009E686F" w:rsidDel="003932E1" w:rsidRDefault="00265766" w:rsidP="00265766">
            <w:pPr>
              <w:jc w:val="both"/>
              <w:rPr>
                <w:rFonts w:ascii="Times New Roman" w:hAnsi="Times New Roman" w:cs="Times New Roman"/>
                <w:lang w:val="it-IT"/>
              </w:rPr>
            </w:pPr>
            <w:r w:rsidRPr="009E686F">
              <w:rPr>
                <w:rFonts w:ascii="Times New Roman" w:hAnsi="Times New Roman" w:cs="Times New Roman"/>
                <w:lang w:val="ro-MD"/>
              </w:rPr>
              <w:t>Compatibil</w:t>
            </w:r>
          </w:p>
        </w:tc>
        <w:tc>
          <w:tcPr>
            <w:tcW w:w="806" w:type="pct"/>
            <w:tcBorders>
              <w:top w:val="single" w:sz="4" w:space="0" w:color="auto"/>
              <w:left w:val="single" w:sz="4" w:space="0" w:color="auto"/>
              <w:bottom w:val="single" w:sz="4" w:space="0" w:color="auto"/>
              <w:right w:val="single" w:sz="4" w:space="0" w:color="auto"/>
            </w:tcBorders>
          </w:tcPr>
          <w:p w14:paraId="2E00CEAD" w14:textId="77777777" w:rsidR="00265766" w:rsidRPr="009E686F" w:rsidRDefault="00265766" w:rsidP="00265766">
            <w:pPr>
              <w:spacing w:after="0"/>
              <w:jc w:val="both"/>
              <w:rPr>
                <w:rFonts w:ascii="Times New Roman" w:hAnsi="Times New Roman" w:cs="Times New Roman"/>
                <w:color w:val="FF0000"/>
                <w:lang w:val="it-IT"/>
              </w:rPr>
            </w:pPr>
          </w:p>
        </w:tc>
      </w:tr>
      <w:tr w:rsidR="00265766" w:rsidRPr="009E686F" w14:paraId="7C2340C3" w14:textId="77777777" w:rsidTr="00960C23">
        <w:tc>
          <w:tcPr>
            <w:tcW w:w="1890" w:type="pct"/>
            <w:tcBorders>
              <w:top w:val="single" w:sz="4" w:space="0" w:color="auto"/>
              <w:left w:val="single" w:sz="4" w:space="0" w:color="auto"/>
              <w:bottom w:val="single" w:sz="4" w:space="0" w:color="auto"/>
              <w:right w:val="single" w:sz="4" w:space="0" w:color="auto"/>
            </w:tcBorders>
          </w:tcPr>
          <w:p w14:paraId="38B70132" w14:textId="77777777" w:rsidR="00265766" w:rsidRPr="009E686F" w:rsidDel="003932E1"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(4) Autoritatea competentă confirmă în scris primirea notificării menționate la alineatul (1) sau a informațiilor suplimentare prezentate în conformitate cu alineatul (5), cu promptitudine și, în orice caz, în termen de 10 zile lucrătoare de la primirea notificării sau a informațiilor suplimentare.</w:t>
            </w:r>
          </w:p>
          <w:p w14:paraId="5FB5A50B" w14:textId="77777777" w:rsidR="00265766" w:rsidRPr="009E686F" w:rsidDel="003932E1" w:rsidRDefault="00265766" w:rsidP="00265766">
            <w:pPr>
              <w:spacing w:after="0"/>
              <w:jc w:val="both"/>
              <w:rPr>
                <w:rFonts w:ascii="Times New Roman" w:hAnsi="Times New Roman" w:cs="Times New Roman"/>
                <w:lang w:val="ro-MD"/>
              </w:rPr>
            </w:pPr>
            <w:r w:rsidRPr="009E686F">
              <w:rPr>
                <w:rFonts w:ascii="Times New Roman" w:hAnsi="Times New Roman" w:cs="Times New Roman"/>
                <w:lang w:val="ro-MD"/>
              </w:rPr>
              <w:t>În cazul în care în operațiunea propusă sunt implicate numai părți interesate financiare din cadrul aceluiași grup, autoritatea competentă are la dispoziție un termen de 60 de zile lucrătoare de la data confirmării scrise de primire a notificării și de la primirea tuturor documentelor solicitate de statul membru ca anexă la notificare în conformitate cu articolul 27j alineatul (5) («termenul de evaluare») pentru a efectua evaluarea prevăzută la articolul 27j alineatul (1).</w:t>
            </w:r>
          </w:p>
          <w:p w14:paraId="2210BFEB" w14:textId="56897495" w:rsidR="00265766" w:rsidRPr="009E686F" w:rsidRDefault="00265766" w:rsidP="00265766">
            <w:pPr>
              <w:spacing w:after="0"/>
              <w:jc w:val="both"/>
              <w:rPr>
                <w:rFonts w:ascii="Times New Roman" w:hAnsi="Times New Roman" w:cs="Times New Roman"/>
                <w:lang w:val="it-IT"/>
              </w:rPr>
            </w:pPr>
            <w:r w:rsidRPr="009E686F">
              <w:rPr>
                <w:rFonts w:ascii="Times New Roman" w:hAnsi="Times New Roman" w:cs="Times New Roman"/>
                <w:lang w:val="it-IT"/>
              </w:rPr>
              <w:t>În momentul transmiterii confirmării de primire, autoritatea competentă comunică părților interesate financiare data de expirare a termenului de evaluare.</w:t>
            </w:r>
          </w:p>
        </w:tc>
        <w:tc>
          <w:tcPr>
            <w:tcW w:w="1834" w:type="pct"/>
            <w:tcBorders>
              <w:top w:val="single" w:sz="4" w:space="0" w:color="auto"/>
              <w:left w:val="single" w:sz="4" w:space="0" w:color="auto"/>
              <w:bottom w:val="single" w:sz="4" w:space="0" w:color="auto"/>
              <w:right w:val="single" w:sz="4" w:space="0" w:color="auto"/>
            </w:tcBorders>
          </w:tcPr>
          <w:p w14:paraId="724A4CF2" w14:textId="6481E7D8" w:rsidR="00265766" w:rsidRPr="009E686F" w:rsidRDefault="00265766" w:rsidP="00265766">
            <w:pPr>
              <w:spacing w:after="0"/>
              <w:jc w:val="both"/>
              <w:rPr>
                <w:rFonts w:ascii="Times New Roman" w:eastAsia="Aptos" w:hAnsi="Times New Roman" w:cs="Times New Roman"/>
                <w:b/>
                <w:bCs/>
                <w:kern w:val="2"/>
                <w:lang w:val="ro-MD"/>
              </w:rPr>
            </w:pPr>
            <w:r w:rsidRPr="009E686F">
              <w:rPr>
                <w:rFonts w:ascii="Times New Roman" w:eastAsia="Aptos" w:hAnsi="Times New Roman" w:cs="Times New Roman"/>
                <w:b/>
                <w:bCs/>
                <w:kern w:val="2"/>
                <w:lang w:val="ro-MD"/>
              </w:rPr>
              <w:t>Articolul 34 alin. (8)-(10)</w:t>
            </w:r>
          </w:p>
          <w:p w14:paraId="2EF3FEFC" w14:textId="66A82C86" w:rsidR="00265766" w:rsidRPr="009E686F" w:rsidRDefault="00265766" w:rsidP="00265766">
            <w:pPr>
              <w:spacing w:after="0"/>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 xml:space="preserve">(8) Banca Națională a Moldovei confirmă în scris primirea notificării menționate la alin. (4) sau a informațiilor suplimentare prezentate în conformitate cu alin. (11), cu promptitudine și, în orice caz, în termen de 10 zile lucrătoare de la şi comunică data la care expiră termenul de evaluare. </w:t>
            </w:r>
          </w:p>
          <w:p w14:paraId="6189E628" w14:textId="2D9A01AB" w:rsidR="00265766" w:rsidRPr="009E686F" w:rsidRDefault="00265766" w:rsidP="00265766">
            <w:pPr>
              <w:spacing w:after="0"/>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(9) Banca Naţională a Moldovei realizează evaluarea prevăzută la alin. (15) în termen de cel mult 5 luni de la data confirmării scrise a primirii notificării prealabile şi a tuturor documentelor și informațiilor prevăzute de actele normative ale Băncii Naționale a Moldovei conform alin. (4).</w:t>
            </w:r>
          </w:p>
          <w:p w14:paraId="779F56AF" w14:textId="6E4DE19B" w:rsidR="00265766" w:rsidRPr="009E686F" w:rsidRDefault="00265766" w:rsidP="00265766">
            <w:pPr>
              <w:spacing w:after="0"/>
              <w:jc w:val="both"/>
              <w:rPr>
                <w:rFonts w:ascii="Times New Roman" w:eastAsia="Aptos" w:hAnsi="Times New Roman" w:cs="Times New Roman"/>
                <w:b/>
                <w:bCs/>
                <w:kern w:val="2"/>
                <w:lang w:val="ro-MD"/>
              </w:rPr>
            </w:pPr>
            <w:r w:rsidRPr="009E686F">
              <w:rPr>
                <w:rFonts w:ascii="Times New Roman" w:eastAsia="Aptos" w:hAnsi="Times New Roman" w:cs="Times New Roman"/>
                <w:i/>
                <w:iCs/>
                <w:kern w:val="2"/>
                <w:lang w:val="ro-MD"/>
              </w:rPr>
              <w:t xml:space="preserve">(10) Prin derogare de la alin. (9), </w:t>
            </w:r>
            <w:r w:rsidRPr="009E686F">
              <w:rPr>
                <w:rFonts w:ascii="Times New Roman" w:hAnsi="Times New Roman" w:cs="Times New Roman"/>
                <w:bCs/>
                <w:i/>
                <w:iCs/>
                <w:lang w:val="ro-MD"/>
              </w:rPr>
              <w:t xml:space="preserve">în cazul în care în operațiunea propusă sunt implicate numai părți interesate financiare din cadrul aceluiași grup, Banca Națională a Moldovei realizează evaluarea prevăzută la alin. (15) în termen de 60 de zile lucrătoare de la data confirmării scrise de primire a notificării și de la primirea tuturor documentelor anexate la notificare astfel cum sunt menționate la alin. (23) (în sensul prezentului articol denumit în continuare “termenul de evaluare”). Banca Națională a Moldovei comunică părților interesate financiare data de expirare a termenului de evaluare în momentul transmiterii confirmării de primire a notificării.  </w:t>
            </w:r>
          </w:p>
        </w:tc>
        <w:tc>
          <w:tcPr>
            <w:tcW w:w="470" w:type="pct"/>
            <w:tcBorders>
              <w:top w:val="single" w:sz="4" w:space="0" w:color="auto"/>
              <w:left w:val="single" w:sz="4" w:space="0" w:color="auto"/>
              <w:bottom w:val="single" w:sz="4" w:space="0" w:color="auto"/>
              <w:right w:val="single" w:sz="4" w:space="0" w:color="auto"/>
            </w:tcBorders>
          </w:tcPr>
          <w:p w14:paraId="741C77BA" w14:textId="77777777" w:rsidR="00265766" w:rsidRPr="009E686F" w:rsidDel="003932E1" w:rsidRDefault="00265766" w:rsidP="00265766">
            <w:pPr>
              <w:jc w:val="both"/>
              <w:rPr>
                <w:rFonts w:ascii="Times New Roman" w:hAnsi="Times New Roman" w:cs="Times New Roman"/>
                <w:lang w:val="ro-MD"/>
              </w:rPr>
            </w:pPr>
            <w:r w:rsidRPr="009E686F">
              <w:rPr>
                <w:rFonts w:ascii="Times New Roman" w:hAnsi="Times New Roman" w:cs="Times New Roman"/>
                <w:lang w:val="ro-MD"/>
              </w:rPr>
              <w:t>Compatibil</w:t>
            </w:r>
          </w:p>
          <w:p w14:paraId="36CD803F" w14:textId="77777777" w:rsidR="00265766" w:rsidRPr="009E686F" w:rsidRDefault="00265766" w:rsidP="00265766">
            <w:pPr>
              <w:jc w:val="both"/>
              <w:rPr>
                <w:rFonts w:ascii="Times New Roman" w:hAnsi="Times New Roman" w:cs="Times New Roman"/>
                <w:lang w:val="ro-MD"/>
              </w:rPr>
            </w:pPr>
          </w:p>
        </w:tc>
        <w:tc>
          <w:tcPr>
            <w:tcW w:w="806" w:type="pct"/>
            <w:tcBorders>
              <w:top w:val="single" w:sz="4" w:space="0" w:color="auto"/>
              <w:left w:val="single" w:sz="4" w:space="0" w:color="auto"/>
              <w:bottom w:val="single" w:sz="4" w:space="0" w:color="auto"/>
              <w:right w:val="single" w:sz="4" w:space="0" w:color="auto"/>
            </w:tcBorders>
          </w:tcPr>
          <w:p w14:paraId="04BDB05B" w14:textId="338BC5CE" w:rsidR="00265766" w:rsidRPr="009E686F" w:rsidRDefault="00265766" w:rsidP="00265766">
            <w:pPr>
              <w:spacing w:after="0"/>
              <w:jc w:val="both"/>
              <w:rPr>
                <w:rFonts w:ascii="Times New Roman" w:hAnsi="Times New Roman" w:cs="Times New Roman"/>
                <w:color w:val="FF0000"/>
                <w:lang w:val="ro-MD"/>
              </w:rPr>
            </w:pPr>
            <w:r w:rsidRPr="009E686F">
              <w:rPr>
                <w:rFonts w:ascii="Times New Roman" w:hAnsi="Times New Roman" w:cs="Times New Roman"/>
                <w:color w:val="FF0000"/>
                <w:lang w:val="ro-MD"/>
              </w:rPr>
              <w:t xml:space="preserve">Prevederile alin. (9) sunt cu carcater național, având în vedere că CRD VI nu stabilește termen pentru evaluare a operațiunilor propuse în cazul în care părțile financiare interesate nu fac parte din același grup, dar doar reglementează situația când aceste părți interesate sunt din același grup. </w:t>
            </w:r>
          </w:p>
        </w:tc>
      </w:tr>
      <w:tr w:rsidR="00265766" w:rsidRPr="009E686F" w14:paraId="703271ED" w14:textId="77777777" w:rsidTr="00960C23">
        <w:tc>
          <w:tcPr>
            <w:tcW w:w="1890" w:type="pct"/>
            <w:tcBorders>
              <w:top w:val="single" w:sz="4" w:space="0" w:color="auto"/>
              <w:left w:val="single" w:sz="4" w:space="0" w:color="auto"/>
              <w:bottom w:val="single" w:sz="4" w:space="0" w:color="auto"/>
              <w:right w:val="single" w:sz="4" w:space="0" w:color="auto"/>
            </w:tcBorders>
          </w:tcPr>
          <w:p w14:paraId="10390BA2" w14:textId="77777777" w:rsidR="00265766" w:rsidRPr="009E686F" w:rsidDel="003932E1" w:rsidRDefault="00265766" w:rsidP="00265766">
            <w:pPr>
              <w:spacing w:after="0"/>
              <w:jc w:val="both"/>
              <w:rPr>
                <w:rFonts w:ascii="Times New Roman" w:hAnsi="Times New Roman" w:cs="Times New Roman"/>
                <w:lang w:val="it-IT"/>
              </w:rPr>
            </w:pPr>
            <w:r w:rsidRPr="009E686F">
              <w:rPr>
                <w:rFonts w:ascii="Times New Roman" w:hAnsi="Times New Roman" w:cs="Times New Roman"/>
                <w:lang w:val="it-IT"/>
              </w:rPr>
              <w:t xml:space="preserve">(5) Autoritatea competentă poate solicita informații suplimentare care sunt necesare pentru finalizarea evaluării </w:t>
            </w:r>
            <w:r w:rsidRPr="009E686F">
              <w:rPr>
                <w:rFonts w:ascii="Times New Roman" w:hAnsi="Times New Roman" w:cs="Times New Roman"/>
                <w:lang w:val="it-IT"/>
              </w:rPr>
              <w:lastRenderedPageBreak/>
              <w:t>prevăzute la articolul 27j alineatul (1). O astfel de solicitare se face în scris, precizându-se informațiile suplimentare necesare.</w:t>
            </w:r>
          </w:p>
          <w:p w14:paraId="777FF2F5" w14:textId="77777777" w:rsidR="00265766" w:rsidRPr="009E686F" w:rsidDel="003932E1" w:rsidRDefault="00265766" w:rsidP="00265766">
            <w:pPr>
              <w:spacing w:after="0"/>
              <w:jc w:val="both"/>
              <w:rPr>
                <w:rFonts w:ascii="Times New Roman" w:hAnsi="Times New Roman" w:cs="Times New Roman"/>
                <w:lang w:val="it-IT"/>
              </w:rPr>
            </w:pPr>
            <w:r w:rsidRPr="009E686F">
              <w:rPr>
                <w:rFonts w:ascii="Times New Roman" w:hAnsi="Times New Roman" w:cs="Times New Roman"/>
                <w:lang w:val="it-IT"/>
              </w:rPr>
              <w:t>În cazul în care în operațiunea propusă sunt implicate numai părți interesate financiare din cadrul aceluiași grup, autoritatea competentă poate solicita informații suplimentare până cel târziu în a cincizecea zi lucrătoare a termenului de evaluare.</w:t>
            </w:r>
          </w:p>
          <w:p w14:paraId="63679119" w14:textId="0298882F" w:rsidR="00265766" w:rsidRPr="009E686F" w:rsidRDefault="00265766" w:rsidP="00265766">
            <w:pPr>
              <w:spacing w:after="0"/>
              <w:jc w:val="both"/>
              <w:rPr>
                <w:rFonts w:ascii="Times New Roman" w:hAnsi="Times New Roman" w:cs="Times New Roman"/>
                <w:lang w:val="it-IT"/>
              </w:rPr>
            </w:pPr>
            <w:r w:rsidRPr="009E686F">
              <w:rPr>
                <w:rFonts w:ascii="Times New Roman" w:hAnsi="Times New Roman" w:cs="Times New Roman"/>
                <w:lang w:val="it-IT"/>
              </w:rPr>
              <w:t>Termenul de evaluare se suspendă pe perioada cuprinsă între data solicitării de informații suplimentare de către autoritatea competentă și data primirii de la părțile interesate financiare a răspunsului la această solicitare, prin care se oferă toate informațiile cerute. Suspendarea respectivă nu depășește 20 de zile lucrătoare. Orice solicitări suplimentare formulate de autoritatea competentă în vederea completării sau clarificării informațiilor furnizate sunt la discreția autorității competente, dar nu conduc la suspendarea termenului de evaluare.</w:t>
            </w:r>
          </w:p>
        </w:tc>
        <w:tc>
          <w:tcPr>
            <w:tcW w:w="1834" w:type="pct"/>
            <w:tcBorders>
              <w:top w:val="single" w:sz="4" w:space="0" w:color="auto"/>
              <w:left w:val="single" w:sz="4" w:space="0" w:color="auto"/>
              <w:bottom w:val="single" w:sz="4" w:space="0" w:color="auto"/>
              <w:right w:val="single" w:sz="4" w:space="0" w:color="auto"/>
            </w:tcBorders>
          </w:tcPr>
          <w:p w14:paraId="30AD2B32" w14:textId="51C6474C" w:rsidR="00265766" w:rsidRPr="009E686F" w:rsidRDefault="00265766" w:rsidP="00265766">
            <w:pPr>
              <w:spacing w:after="0"/>
              <w:jc w:val="both"/>
              <w:rPr>
                <w:rFonts w:ascii="Times New Roman" w:hAnsi="Times New Roman" w:cs="Times New Roman"/>
                <w:b/>
                <w:lang w:val="it-IT"/>
              </w:rPr>
            </w:pPr>
            <w:r w:rsidRPr="009E686F">
              <w:rPr>
                <w:rFonts w:ascii="Times New Roman" w:hAnsi="Times New Roman" w:cs="Times New Roman"/>
                <w:b/>
                <w:lang w:val="it-IT"/>
              </w:rPr>
              <w:lastRenderedPageBreak/>
              <w:t>Articolul 34 alin. (11)-(12)</w:t>
            </w:r>
          </w:p>
          <w:p w14:paraId="7E5EF8E0" w14:textId="1E9F7818" w:rsidR="00265766" w:rsidRPr="009E686F" w:rsidRDefault="00265766" w:rsidP="00265766">
            <w:pPr>
              <w:spacing w:after="0"/>
              <w:jc w:val="both"/>
              <w:rPr>
                <w:rFonts w:ascii="Times New Roman" w:hAnsi="Times New Roman" w:cs="Times New Roman"/>
                <w:bCs/>
                <w:i/>
                <w:iCs/>
                <w:lang w:val="it-IT"/>
              </w:rPr>
            </w:pPr>
            <w:r w:rsidRPr="009E686F">
              <w:rPr>
                <w:rFonts w:ascii="Times New Roman" w:hAnsi="Times New Roman" w:cs="Times New Roman"/>
                <w:bCs/>
                <w:i/>
                <w:iCs/>
                <w:lang w:val="it-IT"/>
              </w:rPr>
              <w:lastRenderedPageBreak/>
              <w:t>(11) Banca Națională a Moldovei poate solicita informații suplimentare care sunt necesare pentru finalizarea evaluării prevăzute la alin. (15). O astfel de solicitare se face în scris, precizându-se informațiile suplimentare necesare. În cazul în care în operațiunea propusă sunt implicate numai părți interesate financiare din cadrul aceluiași grup, Banca Națională a Moldovei poate solicita informații suplimentare până cel târziu în a 50-a zi lucrătoare a termenului de evaluare. Termenul de evaluare se suspendă pe perioada cuprinsă între data solicitării de informații suplimentare și data primirii de la părțile interesate financiare a răspunsului la această solicitare, prin care se oferă toate informațiile solicitate. Suspendarea respectivă nu poate depăși 20 de zile lucrătoare.</w:t>
            </w:r>
          </w:p>
          <w:p w14:paraId="17364925" w14:textId="2D8D5BE0" w:rsidR="00265766" w:rsidRPr="009E686F" w:rsidRDefault="00265766" w:rsidP="00265766">
            <w:pPr>
              <w:spacing w:after="0"/>
              <w:jc w:val="both"/>
              <w:rPr>
                <w:rFonts w:ascii="Times New Roman" w:hAnsi="Times New Roman" w:cs="Times New Roman"/>
                <w:b/>
                <w:i/>
                <w:iCs/>
                <w:lang w:val="it-IT"/>
              </w:rPr>
            </w:pPr>
            <w:r w:rsidRPr="009E686F">
              <w:rPr>
                <w:rFonts w:ascii="Times New Roman" w:hAnsi="Times New Roman" w:cs="Times New Roman"/>
                <w:bCs/>
                <w:i/>
                <w:iCs/>
                <w:lang w:val="it-IT"/>
              </w:rPr>
              <w:t>(12) Banca Națională a Moldovei poate solicita orice alte informații sau documente decât cele solcitate în temeiul alin. (11) în vederea completării sau clarificării informațiilor furnizate. Orice solicitări suplimentare de completare sau de clarificare a informaţiilor primite nu pot conduce la suspendarea termenului de evaluare.</w:t>
            </w:r>
          </w:p>
        </w:tc>
        <w:tc>
          <w:tcPr>
            <w:tcW w:w="470" w:type="pct"/>
            <w:tcBorders>
              <w:top w:val="single" w:sz="4" w:space="0" w:color="auto"/>
              <w:left w:val="single" w:sz="4" w:space="0" w:color="auto"/>
              <w:bottom w:val="single" w:sz="4" w:space="0" w:color="auto"/>
              <w:right w:val="single" w:sz="4" w:space="0" w:color="auto"/>
            </w:tcBorders>
          </w:tcPr>
          <w:p w14:paraId="18A0DAD9" w14:textId="41D2095F" w:rsidR="00265766" w:rsidRPr="009E686F" w:rsidRDefault="00265766" w:rsidP="00265766">
            <w:pPr>
              <w:jc w:val="both"/>
              <w:rPr>
                <w:rFonts w:ascii="Times New Roman" w:hAnsi="Times New Roman" w:cs="Times New Roman"/>
                <w:lang w:val="ro-MD"/>
              </w:rPr>
            </w:pPr>
            <w:r w:rsidRPr="009E686F">
              <w:rPr>
                <w:rFonts w:ascii="Times New Roman" w:hAnsi="Times New Roman" w:cs="Times New Roman"/>
                <w:lang w:val="ro-MD"/>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6DF87877" w14:textId="77777777" w:rsidR="00265766" w:rsidRPr="009E686F" w:rsidRDefault="00265766" w:rsidP="00265766">
            <w:pPr>
              <w:spacing w:after="0"/>
              <w:jc w:val="both"/>
              <w:rPr>
                <w:rFonts w:ascii="Times New Roman" w:hAnsi="Times New Roman" w:cs="Times New Roman"/>
                <w:color w:val="FF0000"/>
                <w:lang w:val="it-IT"/>
              </w:rPr>
            </w:pPr>
          </w:p>
        </w:tc>
      </w:tr>
      <w:tr w:rsidR="00265766" w:rsidRPr="009E686F" w14:paraId="7FCB3C05" w14:textId="77777777" w:rsidTr="00960C23">
        <w:tc>
          <w:tcPr>
            <w:tcW w:w="1890" w:type="pct"/>
            <w:tcBorders>
              <w:top w:val="single" w:sz="4" w:space="0" w:color="auto"/>
              <w:left w:val="single" w:sz="4" w:space="0" w:color="auto"/>
              <w:bottom w:val="single" w:sz="4" w:space="0" w:color="auto"/>
              <w:right w:val="single" w:sz="4" w:space="0" w:color="auto"/>
            </w:tcBorders>
          </w:tcPr>
          <w:p w14:paraId="0F0E1AC5" w14:textId="7E89ADAB" w:rsidR="00265766" w:rsidRPr="009E686F" w:rsidDel="003932E1"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(6) Autoritatea competentă poate prelungi suspendarea menționată la alineatul (5) al treilea paragraf cu maximum 30 de zile lucrătoare în următoarele situații:</w:t>
            </w:r>
          </w:p>
        </w:tc>
        <w:tc>
          <w:tcPr>
            <w:tcW w:w="1834" w:type="pct"/>
            <w:tcBorders>
              <w:top w:val="single" w:sz="4" w:space="0" w:color="auto"/>
              <w:left w:val="single" w:sz="4" w:space="0" w:color="auto"/>
              <w:bottom w:val="single" w:sz="4" w:space="0" w:color="auto"/>
              <w:right w:val="single" w:sz="4" w:space="0" w:color="auto"/>
            </w:tcBorders>
          </w:tcPr>
          <w:p w14:paraId="3B84A115" w14:textId="230A7259" w:rsidR="00265766" w:rsidRPr="009E686F" w:rsidRDefault="00265766" w:rsidP="00265766">
            <w:pPr>
              <w:spacing w:after="0"/>
              <w:jc w:val="both"/>
              <w:rPr>
                <w:rFonts w:ascii="Times New Roman" w:hAnsi="Times New Roman" w:cs="Times New Roman"/>
                <w:b/>
                <w:lang w:val="it-IT"/>
              </w:rPr>
            </w:pPr>
            <w:r w:rsidRPr="009E686F">
              <w:rPr>
                <w:rFonts w:ascii="Times New Roman" w:hAnsi="Times New Roman" w:cs="Times New Roman"/>
                <w:b/>
                <w:lang w:val="it-IT"/>
              </w:rPr>
              <w:t>Articolul 34 alin. (13), a), b)</w:t>
            </w:r>
          </w:p>
          <w:p w14:paraId="61C03867" w14:textId="1C70AE8A" w:rsidR="00265766" w:rsidRPr="009E686F" w:rsidRDefault="00265766" w:rsidP="00265766">
            <w:pPr>
              <w:spacing w:after="0"/>
              <w:jc w:val="both"/>
              <w:rPr>
                <w:rFonts w:ascii="Times New Roman" w:hAnsi="Times New Roman" w:cs="Times New Roman"/>
                <w:bCs/>
                <w:i/>
                <w:iCs/>
                <w:lang w:val="it-IT"/>
              </w:rPr>
            </w:pPr>
            <w:r w:rsidRPr="009E686F">
              <w:rPr>
                <w:rFonts w:ascii="Times New Roman" w:hAnsi="Times New Roman" w:cs="Times New Roman"/>
                <w:bCs/>
                <w:i/>
                <w:iCs/>
                <w:lang w:val="it-IT"/>
              </w:rPr>
              <w:t>(13) Banca Națională a Moldovei poate prelungi suspendarea menționată la alin. (11) cu cel mult 30 de zile lucrătoare în următoarele situații:</w:t>
            </w:r>
          </w:p>
        </w:tc>
        <w:tc>
          <w:tcPr>
            <w:tcW w:w="470" w:type="pct"/>
            <w:tcBorders>
              <w:top w:val="single" w:sz="4" w:space="0" w:color="auto"/>
              <w:left w:val="single" w:sz="4" w:space="0" w:color="auto"/>
              <w:bottom w:val="single" w:sz="4" w:space="0" w:color="auto"/>
              <w:right w:val="single" w:sz="4" w:space="0" w:color="auto"/>
            </w:tcBorders>
          </w:tcPr>
          <w:p w14:paraId="2640C1ED" w14:textId="73CB9AAE" w:rsidR="00265766" w:rsidRPr="009E686F" w:rsidDel="003932E1" w:rsidRDefault="00265766" w:rsidP="00265766">
            <w:pPr>
              <w:jc w:val="both"/>
              <w:rPr>
                <w:rFonts w:ascii="Times New Roman" w:hAnsi="Times New Roman" w:cs="Times New Roman"/>
                <w:lang w:val="it-IT"/>
              </w:rPr>
            </w:pPr>
            <w:r w:rsidRPr="009E686F">
              <w:rPr>
                <w:rFonts w:ascii="Times New Roman" w:hAnsi="Times New Roman" w:cs="Times New Roman"/>
                <w:lang w:val="ro-MD"/>
              </w:rPr>
              <w:t>Compatibil</w:t>
            </w:r>
          </w:p>
        </w:tc>
        <w:tc>
          <w:tcPr>
            <w:tcW w:w="806" w:type="pct"/>
            <w:tcBorders>
              <w:top w:val="single" w:sz="4" w:space="0" w:color="auto"/>
              <w:left w:val="single" w:sz="4" w:space="0" w:color="auto"/>
              <w:bottom w:val="single" w:sz="4" w:space="0" w:color="auto"/>
              <w:right w:val="single" w:sz="4" w:space="0" w:color="auto"/>
            </w:tcBorders>
          </w:tcPr>
          <w:p w14:paraId="1D5C7A44" w14:textId="77777777" w:rsidR="00265766" w:rsidRPr="009E686F" w:rsidRDefault="00265766" w:rsidP="00265766">
            <w:pPr>
              <w:spacing w:after="0"/>
              <w:jc w:val="both"/>
              <w:rPr>
                <w:rFonts w:ascii="Times New Roman" w:hAnsi="Times New Roman" w:cs="Times New Roman"/>
                <w:color w:val="FF0000"/>
                <w:lang w:val="it-IT"/>
              </w:rPr>
            </w:pPr>
          </w:p>
        </w:tc>
      </w:tr>
      <w:tr w:rsidR="00265766" w:rsidRPr="009E686F" w14:paraId="10F46846" w14:textId="77777777" w:rsidTr="00960C23">
        <w:tc>
          <w:tcPr>
            <w:tcW w:w="1890" w:type="pct"/>
            <w:tcBorders>
              <w:top w:val="single" w:sz="4" w:space="0" w:color="auto"/>
              <w:left w:val="single" w:sz="4" w:space="0" w:color="auto"/>
              <w:bottom w:val="single" w:sz="4" w:space="0" w:color="auto"/>
              <w:right w:val="single" w:sz="4" w:space="0" w:color="auto"/>
            </w:tcBorders>
          </w:tcPr>
          <w:p w14:paraId="7F653560" w14:textId="089BBB21" w:rsidR="00265766" w:rsidRPr="009E686F" w:rsidDel="003932E1"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(a) în cazul în care cel puțin una dintre părțile interesate financiare este situată într-o țară terță sau este supusă cadrului de reglementare al unei țări terțe;</w:t>
            </w:r>
          </w:p>
        </w:tc>
        <w:tc>
          <w:tcPr>
            <w:tcW w:w="1834" w:type="pct"/>
            <w:tcBorders>
              <w:top w:val="single" w:sz="4" w:space="0" w:color="auto"/>
              <w:left w:val="single" w:sz="4" w:space="0" w:color="auto"/>
              <w:bottom w:val="single" w:sz="4" w:space="0" w:color="auto"/>
              <w:right w:val="single" w:sz="4" w:space="0" w:color="auto"/>
            </w:tcBorders>
          </w:tcPr>
          <w:p w14:paraId="508E2AF1" w14:textId="251D250A" w:rsidR="00265766" w:rsidRPr="009E686F" w:rsidRDefault="00265766" w:rsidP="00265766">
            <w:pPr>
              <w:spacing w:after="0"/>
              <w:jc w:val="both"/>
              <w:rPr>
                <w:rFonts w:ascii="Times New Roman" w:hAnsi="Times New Roman" w:cs="Times New Roman"/>
                <w:bCs/>
                <w:i/>
                <w:iCs/>
                <w:lang w:val="ro-MD"/>
              </w:rPr>
            </w:pPr>
            <w:r w:rsidRPr="009E686F">
              <w:rPr>
                <w:rFonts w:ascii="Times New Roman" w:hAnsi="Times New Roman" w:cs="Times New Roman"/>
                <w:bCs/>
                <w:i/>
                <w:iCs/>
                <w:lang w:val="ro-MD"/>
              </w:rPr>
              <w:t>a) în cazul în care cel puțin una dintre părțile interesate financiare este situată într-un stat terț sau este supusă cadrului de reglementare al unui stat terț;</w:t>
            </w:r>
          </w:p>
        </w:tc>
        <w:tc>
          <w:tcPr>
            <w:tcW w:w="470" w:type="pct"/>
            <w:tcBorders>
              <w:top w:val="single" w:sz="4" w:space="0" w:color="auto"/>
              <w:left w:val="single" w:sz="4" w:space="0" w:color="auto"/>
              <w:bottom w:val="single" w:sz="4" w:space="0" w:color="auto"/>
              <w:right w:val="single" w:sz="4" w:space="0" w:color="auto"/>
            </w:tcBorders>
          </w:tcPr>
          <w:p w14:paraId="79124899" w14:textId="3B939890" w:rsidR="00265766" w:rsidRPr="009E686F" w:rsidDel="003932E1" w:rsidRDefault="00265766" w:rsidP="00265766">
            <w:pPr>
              <w:jc w:val="both"/>
              <w:rPr>
                <w:rFonts w:ascii="Times New Roman" w:hAnsi="Times New Roman" w:cs="Times New Roman"/>
                <w:lang w:val="it-IT"/>
              </w:rPr>
            </w:pPr>
            <w:r w:rsidRPr="009E686F">
              <w:rPr>
                <w:rFonts w:ascii="Times New Roman" w:hAnsi="Times New Roman" w:cs="Times New Roman"/>
                <w:lang w:val="ro-MD"/>
              </w:rPr>
              <w:t>Compatibil</w:t>
            </w:r>
          </w:p>
        </w:tc>
        <w:tc>
          <w:tcPr>
            <w:tcW w:w="806" w:type="pct"/>
            <w:tcBorders>
              <w:top w:val="single" w:sz="4" w:space="0" w:color="auto"/>
              <w:left w:val="single" w:sz="4" w:space="0" w:color="auto"/>
              <w:bottom w:val="single" w:sz="4" w:space="0" w:color="auto"/>
              <w:right w:val="single" w:sz="4" w:space="0" w:color="auto"/>
            </w:tcBorders>
          </w:tcPr>
          <w:p w14:paraId="4D7808BF" w14:textId="77777777" w:rsidR="00265766" w:rsidRPr="009E686F" w:rsidRDefault="00265766" w:rsidP="00265766">
            <w:pPr>
              <w:spacing w:after="0"/>
              <w:jc w:val="both"/>
              <w:rPr>
                <w:rFonts w:ascii="Times New Roman" w:hAnsi="Times New Roman" w:cs="Times New Roman"/>
                <w:color w:val="FF0000"/>
                <w:lang w:val="it-IT"/>
              </w:rPr>
            </w:pPr>
          </w:p>
        </w:tc>
      </w:tr>
      <w:tr w:rsidR="00265766" w:rsidRPr="009E686F" w14:paraId="2149FA6A" w14:textId="77777777" w:rsidTr="00960C23">
        <w:tc>
          <w:tcPr>
            <w:tcW w:w="1890" w:type="pct"/>
            <w:tcBorders>
              <w:top w:val="single" w:sz="4" w:space="0" w:color="auto"/>
              <w:left w:val="single" w:sz="4" w:space="0" w:color="auto"/>
              <w:bottom w:val="single" w:sz="4" w:space="0" w:color="auto"/>
              <w:right w:val="single" w:sz="4" w:space="0" w:color="auto"/>
            </w:tcBorders>
          </w:tcPr>
          <w:p w14:paraId="66C24D92" w14:textId="4B4B9299" w:rsidR="00265766" w:rsidRPr="009E686F" w:rsidDel="003932E1" w:rsidRDefault="00265766" w:rsidP="00265766">
            <w:pPr>
              <w:spacing w:after="0"/>
              <w:jc w:val="both"/>
              <w:rPr>
                <w:rFonts w:ascii="Times New Roman" w:hAnsi="Times New Roman" w:cs="Times New Roman"/>
              </w:rPr>
            </w:pPr>
            <w:r w:rsidRPr="009E686F">
              <w:rPr>
                <w:rFonts w:ascii="Times New Roman" w:hAnsi="Times New Roman" w:cs="Times New Roman"/>
              </w:rPr>
              <w:t>(b) în cazul în care, pentru efectuarea evaluării prevăzute la articolul 27j alineatul (1) din prezenta directivă, este necesar un schimb de informații cu autoritățile responsabile cu supravegherea părților interesate financiare în conformitate cu Directiva (UE) 2015/849.</w:t>
            </w:r>
          </w:p>
        </w:tc>
        <w:tc>
          <w:tcPr>
            <w:tcW w:w="1834" w:type="pct"/>
            <w:tcBorders>
              <w:top w:val="single" w:sz="4" w:space="0" w:color="auto"/>
              <w:left w:val="single" w:sz="4" w:space="0" w:color="auto"/>
              <w:bottom w:val="single" w:sz="4" w:space="0" w:color="auto"/>
              <w:right w:val="single" w:sz="4" w:space="0" w:color="auto"/>
            </w:tcBorders>
          </w:tcPr>
          <w:p w14:paraId="35565350" w14:textId="56400CBF" w:rsidR="00265766" w:rsidRPr="009E686F" w:rsidRDefault="00265766" w:rsidP="00265766">
            <w:pPr>
              <w:spacing w:after="0"/>
              <w:jc w:val="both"/>
              <w:rPr>
                <w:rFonts w:ascii="Times New Roman" w:hAnsi="Times New Roman" w:cs="Times New Roman"/>
                <w:i/>
                <w:lang w:val="it-CH"/>
              </w:rPr>
            </w:pPr>
            <w:r w:rsidRPr="009E686F">
              <w:rPr>
                <w:rFonts w:ascii="Times New Roman" w:hAnsi="Times New Roman" w:cs="Times New Roman"/>
                <w:i/>
                <w:lang w:val="it-CH"/>
              </w:rPr>
              <w:t xml:space="preserve">b) în cazul în care, pentru efectuarea evaluării prevăzute la alin. (15), în calitate de autoritate competentă,  este necesar un schimb de informații cu organele cu funcții de supraveghere a părților interesate financiare în conformitate cu Legea nr. 308/2017 sau în conformitate cu dispozițiile </w:t>
            </w:r>
            <w:r w:rsidRPr="009E686F">
              <w:rPr>
                <w:rFonts w:ascii="Times New Roman" w:hAnsi="Times New Roman" w:cs="Times New Roman"/>
                <w:i/>
                <w:lang w:val="it-CH"/>
              </w:rPr>
              <w:lastRenderedPageBreak/>
              <w:t>legale adoptate de alte state membre pentru transpunerea Directivei (UE) 2015/849</w:t>
            </w:r>
            <w:r w:rsidR="00502029" w:rsidRPr="009E686F">
              <w:rPr>
                <w:lang w:val="it-CH"/>
              </w:rPr>
              <w:t xml:space="preserve"> </w:t>
            </w:r>
            <w:r w:rsidR="00502029" w:rsidRPr="009E686F">
              <w:rPr>
                <w:rFonts w:ascii="Times New Roman" w:hAnsi="Times New Roman" w:cs="Times New Roman"/>
                <w:i/>
                <w:lang w:val="it-CH"/>
              </w:rPr>
              <w:t xml:space="preserve">a Parlamentului European și a Consiliului din 20 mai 2015 privind prevenirea utilizării sistemului financiar în scopul spălării banilor sau finanțării terorismului, de modificare a Regulamentului (UE) nr. 648/2012 al Parlamentului European și al Consiliului și de abrogare a Directivei 2005/60/CE a Parlamentului European și a Consiliului și a Directivei 2006/70/CE a Comisiei, </w:t>
            </w:r>
            <w:r w:rsidRPr="009E686F">
              <w:rPr>
                <w:rFonts w:ascii="Times New Roman" w:hAnsi="Times New Roman" w:cs="Times New Roman"/>
                <w:i/>
                <w:lang w:val="it-CH"/>
              </w:rPr>
              <w:t xml:space="preserve"> după  caz.</w:t>
            </w:r>
          </w:p>
        </w:tc>
        <w:tc>
          <w:tcPr>
            <w:tcW w:w="470" w:type="pct"/>
            <w:tcBorders>
              <w:top w:val="single" w:sz="4" w:space="0" w:color="auto"/>
              <w:left w:val="single" w:sz="4" w:space="0" w:color="auto"/>
              <w:bottom w:val="single" w:sz="4" w:space="0" w:color="auto"/>
              <w:right w:val="single" w:sz="4" w:space="0" w:color="auto"/>
            </w:tcBorders>
          </w:tcPr>
          <w:p w14:paraId="4BC6F6EF" w14:textId="716F6A8B" w:rsidR="00265766" w:rsidRPr="009E686F" w:rsidDel="003932E1" w:rsidRDefault="00265766" w:rsidP="00265766">
            <w:pPr>
              <w:jc w:val="both"/>
              <w:rPr>
                <w:rFonts w:ascii="Times New Roman" w:hAnsi="Times New Roman" w:cs="Times New Roman"/>
                <w:lang w:val="it-IT"/>
              </w:rPr>
            </w:pPr>
            <w:r w:rsidRPr="009E686F">
              <w:rPr>
                <w:rFonts w:ascii="Times New Roman" w:hAnsi="Times New Roman" w:cs="Times New Roman"/>
                <w:lang w:val="ro-MD"/>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2AFC049E" w14:textId="77777777" w:rsidR="00265766" w:rsidRPr="009E686F" w:rsidRDefault="00265766" w:rsidP="00265766">
            <w:pPr>
              <w:spacing w:after="0"/>
              <w:jc w:val="both"/>
              <w:rPr>
                <w:rFonts w:ascii="Times New Roman" w:hAnsi="Times New Roman" w:cs="Times New Roman"/>
                <w:color w:val="FF0000"/>
                <w:lang w:val="it-IT"/>
              </w:rPr>
            </w:pPr>
          </w:p>
        </w:tc>
      </w:tr>
      <w:tr w:rsidR="00265766" w:rsidRPr="009E686F" w14:paraId="166CF06E" w14:textId="77777777" w:rsidTr="00960C23">
        <w:tc>
          <w:tcPr>
            <w:tcW w:w="1890" w:type="pct"/>
            <w:tcBorders>
              <w:top w:val="single" w:sz="4" w:space="0" w:color="auto"/>
              <w:left w:val="single" w:sz="4" w:space="0" w:color="auto"/>
              <w:bottom w:val="single" w:sz="4" w:space="0" w:color="auto"/>
              <w:right w:val="single" w:sz="4" w:space="0" w:color="auto"/>
            </w:tcBorders>
          </w:tcPr>
          <w:p w14:paraId="20752573" w14:textId="0A303653" w:rsidR="00265766" w:rsidRPr="009E686F" w:rsidDel="003932E1" w:rsidRDefault="00265766" w:rsidP="00265766">
            <w:pPr>
              <w:spacing w:after="0"/>
              <w:jc w:val="both"/>
              <w:rPr>
                <w:rFonts w:ascii="Times New Roman" w:hAnsi="Times New Roman" w:cs="Times New Roman"/>
                <w:lang w:val="it-IT"/>
              </w:rPr>
            </w:pPr>
            <w:r w:rsidRPr="009E686F">
              <w:rPr>
                <w:rFonts w:ascii="Times New Roman" w:hAnsi="Times New Roman" w:cs="Times New Roman"/>
                <w:lang w:val="it-IT"/>
              </w:rPr>
              <w:t>(7) Operațiunea propusă nu se finalizează înainte ca autoritatea competentă să fi emis un aviz pozitiv.</w:t>
            </w:r>
          </w:p>
        </w:tc>
        <w:tc>
          <w:tcPr>
            <w:tcW w:w="1834" w:type="pct"/>
            <w:vMerge w:val="restart"/>
            <w:tcBorders>
              <w:top w:val="single" w:sz="4" w:space="0" w:color="auto"/>
              <w:left w:val="single" w:sz="4" w:space="0" w:color="auto"/>
              <w:right w:val="single" w:sz="4" w:space="0" w:color="auto"/>
            </w:tcBorders>
          </w:tcPr>
          <w:p w14:paraId="58FE920C" w14:textId="7235D765" w:rsidR="00265766" w:rsidRPr="009E686F" w:rsidRDefault="00265766" w:rsidP="00265766">
            <w:pPr>
              <w:spacing w:after="0"/>
              <w:jc w:val="both"/>
              <w:rPr>
                <w:rFonts w:ascii="Times New Roman" w:hAnsi="Times New Roman" w:cs="Times New Roman"/>
                <w:b/>
                <w:lang w:val="it-IT"/>
              </w:rPr>
            </w:pPr>
            <w:r w:rsidRPr="009E686F">
              <w:rPr>
                <w:rFonts w:ascii="Times New Roman" w:hAnsi="Times New Roman" w:cs="Times New Roman"/>
                <w:b/>
                <w:lang w:val="it-IT"/>
              </w:rPr>
              <w:t xml:space="preserve">Articolul 34 alin. </w:t>
            </w:r>
            <w:r w:rsidR="00255AF6" w:rsidRPr="009E686F">
              <w:rPr>
                <w:rFonts w:ascii="Times New Roman" w:hAnsi="Times New Roman" w:cs="Times New Roman"/>
                <w:b/>
                <w:lang w:val="it-IT"/>
              </w:rPr>
              <w:t xml:space="preserve">(14) și </w:t>
            </w:r>
            <w:r w:rsidRPr="009E686F">
              <w:rPr>
                <w:rFonts w:ascii="Times New Roman" w:hAnsi="Times New Roman" w:cs="Times New Roman"/>
                <w:b/>
                <w:lang w:val="it-IT"/>
              </w:rPr>
              <w:t>(17)</w:t>
            </w:r>
          </w:p>
          <w:p w14:paraId="2FE9A81D" w14:textId="16953FFF" w:rsidR="00265766" w:rsidRPr="009E686F" w:rsidRDefault="00265766" w:rsidP="00265766">
            <w:pPr>
              <w:spacing w:after="0"/>
              <w:jc w:val="both"/>
              <w:rPr>
                <w:rFonts w:ascii="Times New Roman" w:hAnsi="Times New Roman" w:cs="Times New Roman"/>
                <w:bCs/>
                <w:i/>
                <w:iCs/>
                <w:lang w:val="it-IT"/>
              </w:rPr>
            </w:pPr>
            <w:r w:rsidRPr="009E686F">
              <w:rPr>
                <w:rFonts w:ascii="Times New Roman" w:hAnsi="Times New Roman" w:cs="Times New Roman"/>
                <w:bCs/>
                <w:i/>
                <w:iCs/>
                <w:lang w:val="it-IT"/>
              </w:rPr>
              <w:t>(17) În termen de două zile lucrătoare de la finalizarea evaluării sale, Banca Națională a Moldovei emite în scris un aviz pozitiv sau negativ motivat și îl transmite părților interesate financiare. În cazul în care în cadrul operațiunii propuse sunt implicate numai părți interesate financiare din cadrul aceluiași grup, iar Banca Națională a Moldovei nu se opune în scris operațiunii propuse în cursul termenului de evaluare</w:t>
            </w:r>
            <w:r w:rsidR="00E52797" w:rsidRPr="009E686F">
              <w:rPr>
                <w:rFonts w:ascii="Times New Roman" w:hAnsi="Times New Roman" w:cs="Times New Roman"/>
                <w:bCs/>
                <w:i/>
                <w:iCs/>
                <w:lang w:val="it-IT"/>
              </w:rPr>
              <w:t xml:space="preserve"> prevăzut la alin. (10)</w:t>
            </w:r>
            <w:r w:rsidRPr="009E686F">
              <w:rPr>
                <w:rFonts w:ascii="Times New Roman" w:hAnsi="Times New Roman" w:cs="Times New Roman"/>
                <w:bCs/>
                <w:i/>
                <w:iCs/>
                <w:lang w:val="it-IT"/>
              </w:rPr>
              <w:t>, se consideră că avizul este pozitiv. Operațiunea propusă nu se finalizează înainte ca Banca Națională a Moldovei să fi emis un aviz pozitiv.</w:t>
            </w:r>
          </w:p>
          <w:p w14:paraId="7E7878B5" w14:textId="17F9E75B" w:rsidR="00255AF6" w:rsidRPr="009E686F" w:rsidRDefault="00255AF6" w:rsidP="00265766">
            <w:pPr>
              <w:spacing w:after="0"/>
              <w:jc w:val="both"/>
              <w:rPr>
                <w:rFonts w:ascii="Times New Roman" w:hAnsi="Times New Roman" w:cs="Times New Roman"/>
                <w:bCs/>
                <w:i/>
                <w:iCs/>
                <w:lang w:val="it-IT"/>
              </w:rPr>
            </w:pPr>
            <w:r w:rsidRPr="009E686F">
              <w:rPr>
                <w:rFonts w:ascii="Times New Roman" w:hAnsi="Times New Roman" w:cs="Times New Roman"/>
                <w:bCs/>
                <w:i/>
                <w:iCs/>
                <w:lang w:val="it-IT"/>
              </w:rPr>
              <w:t>(14) Fuziunea sau dezmembrarea se înregistrează de către Agenţia Servicii Publice numai după obţinerea de către părțile interesate financiare respectivă a  avizului pozitiv din partea Băncii Naţionale a Moldovei potrivit alin. (17).</w:t>
            </w:r>
          </w:p>
        </w:tc>
        <w:tc>
          <w:tcPr>
            <w:tcW w:w="470" w:type="pct"/>
            <w:vMerge w:val="restart"/>
            <w:tcBorders>
              <w:top w:val="single" w:sz="4" w:space="0" w:color="auto"/>
              <w:left w:val="single" w:sz="4" w:space="0" w:color="auto"/>
              <w:right w:val="single" w:sz="4" w:space="0" w:color="auto"/>
            </w:tcBorders>
          </w:tcPr>
          <w:p w14:paraId="6EBBAAC4" w14:textId="030566A2" w:rsidR="00265766" w:rsidRPr="009E686F" w:rsidDel="003932E1" w:rsidRDefault="00265766" w:rsidP="00265766">
            <w:pPr>
              <w:jc w:val="both"/>
              <w:rPr>
                <w:rFonts w:ascii="Times New Roman" w:hAnsi="Times New Roman" w:cs="Times New Roman"/>
                <w:lang w:val="it-IT"/>
              </w:rPr>
            </w:pPr>
            <w:r w:rsidRPr="009E686F">
              <w:rPr>
                <w:rFonts w:ascii="Times New Roman" w:hAnsi="Times New Roman" w:cs="Times New Roman"/>
                <w:lang w:val="ro-MD"/>
              </w:rPr>
              <w:t>Compatibil</w:t>
            </w:r>
          </w:p>
        </w:tc>
        <w:tc>
          <w:tcPr>
            <w:tcW w:w="806" w:type="pct"/>
            <w:vMerge w:val="restart"/>
            <w:tcBorders>
              <w:top w:val="single" w:sz="4" w:space="0" w:color="auto"/>
              <w:left w:val="single" w:sz="4" w:space="0" w:color="auto"/>
              <w:right w:val="single" w:sz="4" w:space="0" w:color="auto"/>
            </w:tcBorders>
          </w:tcPr>
          <w:p w14:paraId="30931A83" w14:textId="77777777" w:rsidR="00265766" w:rsidRPr="009E686F" w:rsidRDefault="00265766" w:rsidP="00265766">
            <w:pPr>
              <w:spacing w:after="0"/>
              <w:jc w:val="both"/>
              <w:rPr>
                <w:rFonts w:ascii="Times New Roman" w:hAnsi="Times New Roman" w:cs="Times New Roman"/>
                <w:color w:val="FF0000"/>
                <w:lang w:val="it-IT"/>
              </w:rPr>
            </w:pPr>
          </w:p>
        </w:tc>
      </w:tr>
      <w:tr w:rsidR="00265766" w:rsidRPr="009E686F" w14:paraId="6DEF7571" w14:textId="77777777" w:rsidTr="00960C23">
        <w:tc>
          <w:tcPr>
            <w:tcW w:w="1890" w:type="pct"/>
            <w:tcBorders>
              <w:top w:val="single" w:sz="4" w:space="0" w:color="auto"/>
              <w:left w:val="single" w:sz="4" w:space="0" w:color="auto"/>
              <w:bottom w:val="single" w:sz="4" w:space="0" w:color="auto"/>
              <w:right w:val="single" w:sz="4" w:space="0" w:color="auto"/>
            </w:tcBorders>
          </w:tcPr>
          <w:p w14:paraId="034003CC" w14:textId="7E1B65B8" w:rsidR="00265766" w:rsidRPr="009E686F" w:rsidDel="003932E1" w:rsidRDefault="00265766" w:rsidP="00265766">
            <w:pPr>
              <w:spacing w:after="0"/>
              <w:jc w:val="both"/>
              <w:rPr>
                <w:rFonts w:ascii="Times New Roman" w:hAnsi="Times New Roman" w:cs="Times New Roman"/>
                <w:lang w:val="it-IT"/>
              </w:rPr>
            </w:pPr>
            <w:r w:rsidRPr="009E686F">
              <w:rPr>
                <w:rFonts w:ascii="Times New Roman" w:hAnsi="Times New Roman" w:cs="Times New Roman"/>
                <w:lang w:val="it-CH"/>
              </w:rPr>
              <w:t xml:space="preserve">(8) În termen de două zile lucrătoare de la finalizarea evaluării sale, autoritatea competentă emite în scris un aviz pozitiv sau negativ motivat adresat părților interesate financiare. </w:t>
            </w:r>
            <w:r w:rsidRPr="009E686F">
              <w:rPr>
                <w:rFonts w:ascii="Times New Roman" w:hAnsi="Times New Roman" w:cs="Times New Roman"/>
                <w:lang w:val="it-IT"/>
              </w:rPr>
              <w:t>Părțile interesate financiare transmit avizul motivat autorităților responsabile, în temeiul dreptului intern, cu examinarea operațiunii propuse.</w:t>
            </w:r>
          </w:p>
        </w:tc>
        <w:tc>
          <w:tcPr>
            <w:tcW w:w="1834" w:type="pct"/>
            <w:vMerge/>
            <w:tcBorders>
              <w:left w:val="single" w:sz="4" w:space="0" w:color="auto"/>
              <w:right w:val="single" w:sz="4" w:space="0" w:color="auto"/>
            </w:tcBorders>
          </w:tcPr>
          <w:p w14:paraId="743F04E5" w14:textId="0552EA99" w:rsidR="00265766" w:rsidRPr="009E686F" w:rsidRDefault="00265766" w:rsidP="00265766">
            <w:pPr>
              <w:spacing w:after="0"/>
              <w:jc w:val="both"/>
              <w:rPr>
                <w:rFonts w:ascii="Times New Roman" w:hAnsi="Times New Roman" w:cs="Times New Roman"/>
                <w:bCs/>
                <w:lang w:val="it-IT"/>
              </w:rPr>
            </w:pPr>
          </w:p>
        </w:tc>
        <w:tc>
          <w:tcPr>
            <w:tcW w:w="470" w:type="pct"/>
            <w:vMerge/>
            <w:tcBorders>
              <w:left w:val="single" w:sz="4" w:space="0" w:color="auto"/>
              <w:right w:val="single" w:sz="4" w:space="0" w:color="auto"/>
            </w:tcBorders>
          </w:tcPr>
          <w:p w14:paraId="30ABB55C" w14:textId="77777777" w:rsidR="00265766" w:rsidRPr="009E686F" w:rsidDel="003932E1" w:rsidRDefault="00265766" w:rsidP="00265766">
            <w:pPr>
              <w:jc w:val="both"/>
              <w:rPr>
                <w:rFonts w:ascii="Times New Roman" w:hAnsi="Times New Roman" w:cs="Times New Roman"/>
                <w:lang w:val="it-IT"/>
              </w:rPr>
            </w:pPr>
          </w:p>
        </w:tc>
        <w:tc>
          <w:tcPr>
            <w:tcW w:w="806" w:type="pct"/>
            <w:vMerge/>
            <w:tcBorders>
              <w:left w:val="single" w:sz="4" w:space="0" w:color="auto"/>
              <w:right w:val="single" w:sz="4" w:space="0" w:color="auto"/>
            </w:tcBorders>
          </w:tcPr>
          <w:p w14:paraId="4659611D" w14:textId="77777777" w:rsidR="00265766" w:rsidRPr="009E686F" w:rsidRDefault="00265766" w:rsidP="00265766">
            <w:pPr>
              <w:spacing w:after="0"/>
              <w:jc w:val="both"/>
              <w:rPr>
                <w:rFonts w:ascii="Times New Roman" w:hAnsi="Times New Roman" w:cs="Times New Roman"/>
                <w:color w:val="FF0000"/>
                <w:lang w:val="it-IT"/>
              </w:rPr>
            </w:pPr>
          </w:p>
        </w:tc>
      </w:tr>
      <w:tr w:rsidR="00265766" w:rsidRPr="009E686F" w14:paraId="0EEE9209" w14:textId="77777777" w:rsidTr="00960C23">
        <w:tc>
          <w:tcPr>
            <w:tcW w:w="1890" w:type="pct"/>
            <w:tcBorders>
              <w:top w:val="single" w:sz="4" w:space="0" w:color="auto"/>
              <w:left w:val="single" w:sz="4" w:space="0" w:color="auto"/>
              <w:bottom w:val="single" w:sz="4" w:space="0" w:color="auto"/>
              <w:right w:val="single" w:sz="4" w:space="0" w:color="auto"/>
            </w:tcBorders>
          </w:tcPr>
          <w:p w14:paraId="1E7BC959" w14:textId="38FDB24D" w:rsidR="00265766" w:rsidRPr="009E686F" w:rsidDel="003932E1" w:rsidRDefault="00265766" w:rsidP="00265766">
            <w:pPr>
              <w:spacing w:after="0"/>
              <w:jc w:val="both"/>
              <w:rPr>
                <w:rFonts w:ascii="Times New Roman" w:hAnsi="Times New Roman" w:cs="Times New Roman"/>
                <w:lang w:val="it-IT"/>
              </w:rPr>
            </w:pPr>
            <w:r w:rsidRPr="009E686F">
              <w:rPr>
                <w:rFonts w:ascii="Times New Roman" w:hAnsi="Times New Roman" w:cs="Times New Roman"/>
                <w:lang w:val="it-IT"/>
              </w:rPr>
              <w:t>(9) Atunci când în operațiunea propusă sunt implicate numai părți interesate financiare din cadrul aceluiași grup, iar autoritatea competentă nu se opune în scris operațiunii propuse în cursul termenului de evaluare, se consideră că avizul este pozitiv.</w:t>
            </w:r>
          </w:p>
        </w:tc>
        <w:tc>
          <w:tcPr>
            <w:tcW w:w="1834" w:type="pct"/>
            <w:vMerge/>
            <w:tcBorders>
              <w:left w:val="single" w:sz="4" w:space="0" w:color="auto"/>
              <w:bottom w:val="single" w:sz="4" w:space="0" w:color="auto"/>
              <w:right w:val="single" w:sz="4" w:space="0" w:color="auto"/>
            </w:tcBorders>
          </w:tcPr>
          <w:p w14:paraId="19EBF41E" w14:textId="77777777" w:rsidR="00265766" w:rsidRPr="009E686F" w:rsidRDefault="00265766" w:rsidP="00265766">
            <w:pPr>
              <w:spacing w:after="0"/>
              <w:jc w:val="both"/>
              <w:rPr>
                <w:rFonts w:ascii="Times New Roman" w:hAnsi="Times New Roman" w:cs="Times New Roman"/>
                <w:b/>
                <w:lang w:val="it-IT"/>
              </w:rPr>
            </w:pPr>
          </w:p>
        </w:tc>
        <w:tc>
          <w:tcPr>
            <w:tcW w:w="470" w:type="pct"/>
            <w:vMerge/>
            <w:tcBorders>
              <w:left w:val="single" w:sz="4" w:space="0" w:color="auto"/>
              <w:bottom w:val="single" w:sz="4" w:space="0" w:color="auto"/>
              <w:right w:val="single" w:sz="4" w:space="0" w:color="auto"/>
            </w:tcBorders>
          </w:tcPr>
          <w:p w14:paraId="0C00D687" w14:textId="77777777" w:rsidR="00265766" w:rsidRPr="009E686F" w:rsidDel="003932E1" w:rsidRDefault="00265766" w:rsidP="00265766">
            <w:pPr>
              <w:jc w:val="both"/>
              <w:rPr>
                <w:rFonts w:ascii="Times New Roman" w:hAnsi="Times New Roman" w:cs="Times New Roman"/>
                <w:lang w:val="it-IT"/>
              </w:rPr>
            </w:pPr>
          </w:p>
        </w:tc>
        <w:tc>
          <w:tcPr>
            <w:tcW w:w="806" w:type="pct"/>
            <w:vMerge/>
            <w:tcBorders>
              <w:left w:val="single" w:sz="4" w:space="0" w:color="auto"/>
              <w:bottom w:val="single" w:sz="4" w:space="0" w:color="auto"/>
              <w:right w:val="single" w:sz="4" w:space="0" w:color="auto"/>
            </w:tcBorders>
          </w:tcPr>
          <w:p w14:paraId="1732B24A" w14:textId="77777777" w:rsidR="00265766" w:rsidRPr="009E686F" w:rsidRDefault="00265766" w:rsidP="00265766">
            <w:pPr>
              <w:spacing w:after="0"/>
              <w:jc w:val="both"/>
              <w:rPr>
                <w:rFonts w:ascii="Times New Roman" w:hAnsi="Times New Roman" w:cs="Times New Roman"/>
                <w:color w:val="FF0000"/>
                <w:lang w:val="it-IT"/>
              </w:rPr>
            </w:pPr>
          </w:p>
        </w:tc>
      </w:tr>
      <w:tr w:rsidR="00265766" w:rsidRPr="009E686F" w14:paraId="6785D5AF" w14:textId="77777777" w:rsidTr="00960C23">
        <w:tc>
          <w:tcPr>
            <w:tcW w:w="1890" w:type="pct"/>
            <w:tcBorders>
              <w:top w:val="single" w:sz="4" w:space="0" w:color="auto"/>
              <w:left w:val="single" w:sz="4" w:space="0" w:color="auto"/>
              <w:bottom w:val="single" w:sz="4" w:space="0" w:color="auto"/>
              <w:right w:val="single" w:sz="4" w:space="0" w:color="auto"/>
            </w:tcBorders>
          </w:tcPr>
          <w:p w14:paraId="3A5AE4B7" w14:textId="7A326237" w:rsidR="00265766" w:rsidRPr="009E686F" w:rsidDel="003932E1" w:rsidRDefault="00265766" w:rsidP="00265766">
            <w:pPr>
              <w:spacing w:after="0"/>
              <w:jc w:val="both"/>
              <w:rPr>
                <w:rFonts w:ascii="Times New Roman" w:hAnsi="Times New Roman" w:cs="Times New Roman"/>
                <w:lang w:val="it-IT"/>
              </w:rPr>
            </w:pPr>
            <w:r w:rsidRPr="009E686F">
              <w:rPr>
                <w:rFonts w:ascii="Times New Roman" w:hAnsi="Times New Roman" w:cs="Times New Roman"/>
                <w:lang w:val="it-IT"/>
              </w:rPr>
              <w:t>(10) Avizul pozitiv motivat emis de autoritatea competentă poate prevedea un termen limitat în care operațiunea propusă trebuie să fie efectuată.</w:t>
            </w:r>
          </w:p>
        </w:tc>
        <w:tc>
          <w:tcPr>
            <w:tcW w:w="1834" w:type="pct"/>
            <w:tcBorders>
              <w:top w:val="single" w:sz="4" w:space="0" w:color="auto"/>
              <w:left w:val="single" w:sz="4" w:space="0" w:color="auto"/>
              <w:bottom w:val="single" w:sz="4" w:space="0" w:color="auto"/>
              <w:right w:val="single" w:sz="4" w:space="0" w:color="auto"/>
            </w:tcBorders>
          </w:tcPr>
          <w:p w14:paraId="7A2BB4D4" w14:textId="77777777" w:rsidR="00265766" w:rsidRPr="009E686F" w:rsidRDefault="00265766" w:rsidP="00265766">
            <w:pPr>
              <w:spacing w:after="0"/>
              <w:jc w:val="both"/>
              <w:rPr>
                <w:rFonts w:ascii="Times New Roman" w:hAnsi="Times New Roman" w:cs="Times New Roman"/>
                <w:b/>
                <w:lang w:val="it-IT"/>
              </w:rPr>
            </w:pPr>
          </w:p>
        </w:tc>
        <w:tc>
          <w:tcPr>
            <w:tcW w:w="470" w:type="pct"/>
            <w:tcBorders>
              <w:top w:val="single" w:sz="4" w:space="0" w:color="auto"/>
              <w:left w:val="single" w:sz="4" w:space="0" w:color="auto"/>
              <w:bottom w:val="single" w:sz="4" w:space="0" w:color="auto"/>
              <w:right w:val="single" w:sz="4" w:space="0" w:color="auto"/>
            </w:tcBorders>
          </w:tcPr>
          <w:p w14:paraId="79C52D7C" w14:textId="25A9225D" w:rsidR="00265766" w:rsidRPr="009E686F" w:rsidDel="003932E1" w:rsidRDefault="00265766" w:rsidP="00265766">
            <w:pPr>
              <w:jc w:val="both"/>
              <w:rPr>
                <w:rFonts w:ascii="Times New Roman" w:hAnsi="Times New Roman" w:cs="Times New Roman"/>
                <w:lang w:val="it-IT"/>
              </w:rPr>
            </w:pPr>
            <w:r w:rsidRPr="009E686F">
              <w:rPr>
                <w:rFonts w:ascii="Times New Roman" w:hAnsi="Times New Roman" w:cs="Times New Roman"/>
                <w:lang w:val="it-IT"/>
              </w:rPr>
              <w:t>Norme UE netranspuse</w:t>
            </w:r>
          </w:p>
        </w:tc>
        <w:tc>
          <w:tcPr>
            <w:tcW w:w="806" w:type="pct"/>
            <w:tcBorders>
              <w:top w:val="single" w:sz="4" w:space="0" w:color="auto"/>
              <w:left w:val="single" w:sz="4" w:space="0" w:color="auto"/>
              <w:bottom w:val="single" w:sz="4" w:space="0" w:color="auto"/>
              <w:right w:val="single" w:sz="4" w:space="0" w:color="auto"/>
            </w:tcBorders>
          </w:tcPr>
          <w:p w14:paraId="1C6EF3A6" w14:textId="64A5AF03" w:rsidR="00265766" w:rsidRPr="009E686F" w:rsidRDefault="00265766" w:rsidP="00265766">
            <w:pPr>
              <w:spacing w:after="0"/>
              <w:jc w:val="both"/>
              <w:rPr>
                <w:rFonts w:ascii="Times New Roman" w:hAnsi="Times New Roman" w:cs="Times New Roman"/>
                <w:color w:val="FF0000"/>
                <w:lang w:val="it-IT"/>
              </w:rPr>
            </w:pPr>
            <w:r w:rsidRPr="009E686F">
              <w:rPr>
                <w:rFonts w:ascii="Times New Roman" w:hAnsi="Times New Roman" w:cs="Times New Roman"/>
                <w:lang w:val="it-IT"/>
              </w:rPr>
              <w:t>Opțiunea neexercitată</w:t>
            </w:r>
          </w:p>
        </w:tc>
      </w:tr>
      <w:tr w:rsidR="00265766" w:rsidRPr="009E686F" w14:paraId="5C1C96AC" w14:textId="77777777" w:rsidTr="00620A93">
        <w:trPr>
          <w:trHeight w:val="3792"/>
        </w:trPr>
        <w:tc>
          <w:tcPr>
            <w:tcW w:w="1890" w:type="pct"/>
            <w:tcBorders>
              <w:top w:val="single" w:sz="4" w:space="0" w:color="auto"/>
              <w:left w:val="single" w:sz="4" w:space="0" w:color="auto"/>
              <w:right w:val="single" w:sz="4" w:space="0" w:color="auto"/>
            </w:tcBorders>
          </w:tcPr>
          <w:p w14:paraId="162EA7E6" w14:textId="77777777" w:rsidR="00265766" w:rsidRPr="009E686F" w:rsidRDefault="00265766" w:rsidP="00265766">
            <w:pPr>
              <w:spacing w:after="0"/>
              <w:jc w:val="both"/>
              <w:rPr>
                <w:rFonts w:ascii="Times New Roman" w:hAnsi="Times New Roman" w:cs="Times New Roman"/>
                <w:i/>
                <w:lang w:val="it-CH"/>
              </w:rPr>
            </w:pPr>
            <w:r w:rsidRPr="009E686F">
              <w:rPr>
                <w:rFonts w:ascii="Times New Roman" w:hAnsi="Times New Roman" w:cs="Times New Roman"/>
                <w:i/>
                <w:lang w:val="it-CH"/>
              </w:rPr>
              <w:lastRenderedPageBreak/>
              <w:t xml:space="preserve">Articolul 27j </w:t>
            </w:r>
          </w:p>
          <w:p w14:paraId="014C1659" w14:textId="77777777" w:rsidR="00265766" w:rsidRPr="009E686F" w:rsidDel="003932E1"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Criterii de evaluare</w:t>
            </w:r>
          </w:p>
          <w:p w14:paraId="12BBA6D3" w14:textId="5F020422" w:rsidR="00265766" w:rsidRPr="009E686F" w:rsidDel="003932E1"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(1) Atunci când evaluează notificarea operațiunii propuse prevăzută la articolul 27i alineatul (1) și informațiile menționate la articolul 27i alineatul (5), pentru a asigura soliditatea profilului prudențial al părților interesate financiare după finalizarea operațiunii propuse și, în special, pentru a aborda riscurile la care părțile interesate financiare sunt sau ar putea fi expuse în cursul operațiunii propuse și riscurile la care ar putea fi expusă entitatea rezultată din operațiunea propusă, autoritatea competentă evaluează operațiunea propusă în conformitate cu următoarele criterii:</w:t>
            </w:r>
          </w:p>
        </w:tc>
        <w:tc>
          <w:tcPr>
            <w:tcW w:w="1834" w:type="pct"/>
            <w:tcBorders>
              <w:top w:val="single" w:sz="4" w:space="0" w:color="auto"/>
              <w:left w:val="single" w:sz="4" w:space="0" w:color="auto"/>
              <w:right w:val="single" w:sz="4" w:space="0" w:color="auto"/>
            </w:tcBorders>
          </w:tcPr>
          <w:p w14:paraId="6CF88376" w14:textId="76C4C850" w:rsidR="00265766" w:rsidRPr="009E686F" w:rsidRDefault="00265766" w:rsidP="00265766">
            <w:pPr>
              <w:spacing w:after="0"/>
              <w:jc w:val="both"/>
              <w:rPr>
                <w:rFonts w:ascii="Times New Roman" w:hAnsi="Times New Roman" w:cs="Times New Roman"/>
                <w:b/>
                <w:lang w:val="it-CH"/>
              </w:rPr>
            </w:pPr>
            <w:r w:rsidRPr="009E686F">
              <w:rPr>
                <w:rFonts w:ascii="Times New Roman" w:hAnsi="Times New Roman" w:cs="Times New Roman"/>
                <w:b/>
                <w:lang w:val="it-CH"/>
              </w:rPr>
              <w:t>Articolul 34 alin. (15)</w:t>
            </w:r>
          </w:p>
          <w:p w14:paraId="29F8441B" w14:textId="7645AB7B" w:rsidR="00265766" w:rsidRPr="009E686F" w:rsidRDefault="00265766" w:rsidP="00265766">
            <w:pPr>
              <w:spacing w:after="0"/>
              <w:jc w:val="both"/>
              <w:rPr>
                <w:rFonts w:ascii="Times New Roman" w:hAnsi="Times New Roman" w:cs="Times New Roman"/>
                <w:b/>
                <w:i/>
                <w:lang w:val="it-CH"/>
              </w:rPr>
            </w:pPr>
            <w:r w:rsidRPr="009E686F">
              <w:rPr>
                <w:rFonts w:ascii="Times New Roman" w:hAnsi="Times New Roman" w:cs="Times New Roman"/>
                <w:i/>
                <w:lang w:val="it-CH"/>
              </w:rPr>
              <w:t>(15) La evaluarea unei notificări privind operaţiunile propuse, pentru a asigura soliditatea profilului prudențial al părților interesate financiare după finalizarea operațiunii propuse și, în special, pentru a aborda riscurile la care părțile interesate financiare sunt sau ar putea fi expuse în cursul operațiunii propuse și riscurile la care ar putea fi expusă entitatea rezultată din operațiunea propusă, Banca Națională a Moldovei se ia în vedere, fără a fi limitative, următoarele criterii:</w:t>
            </w:r>
          </w:p>
        </w:tc>
        <w:tc>
          <w:tcPr>
            <w:tcW w:w="470" w:type="pct"/>
            <w:tcBorders>
              <w:top w:val="single" w:sz="4" w:space="0" w:color="auto"/>
              <w:left w:val="single" w:sz="4" w:space="0" w:color="auto"/>
              <w:right w:val="single" w:sz="4" w:space="0" w:color="auto"/>
            </w:tcBorders>
          </w:tcPr>
          <w:p w14:paraId="3459911B" w14:textId="1FBBE012" w:rsidR="00265766" w:rsidRPr="009E686F" w:rsidDel="003932E1" w:rsidRDefault="00265766" w:rsidP="00265766">
            <w:pPr>
              <w:jc w:val="both"/>
              <w:rPr>
                <w:rFonts w:ascii="Times New Roman" w:hAnsi="Times New Roman" w:cs="Times New Roman"/>
                <w:lang w:val="it-IT"/>
              </w:rPr>
            </w:pPr>
            <w:r w:rsidRPr="009E686F">
              <w:rPr>
                <w:rFonts w:ascii="Times New Roman" w:hAnsi="Times New Roman" w:cs="Times New Roman"/>
                <w:lang w:val="ro-MD"/>
              </w:rPr>
              <w:t>Compatibil</w:t>
            </w:r>
          </w:p>
        </w:tc>
        <w:tc>
          <w:tcPr>
            <w:tcW w:w="806" w:type="pct"/>
            <w:tcBorders>
              <w:top w:val="single" w:sz="4" w:space="0" w:color="auto"/>
              <w:left w:val="single" w:sz="4" w:space="0" w:color="auto"/>
              <w:right w:val="single" w:sz="4" w:space="0" w:color="auto"/>
            </w:tcBorders>
          </w:tcPr>
          <w:p w14:paraId="6B2095B8" w14:textId="77777777" w:rsidR="00265766" w:rsidRPr="009E686F" w:rsidRDefault="00265766" w:rsidP="00265766">
            <w:pPr>
              <w:spacing w:after="0"/>
              <w:jc w:val="both"/>
              <w:rPr>
                <w:rFonts w:ascii="Times New Roman" w:hAnsi="Times New Roman" w:cs="Times New Roman"/>
                <w:color w:val="FF0000"/>
                <w:lang w:val="it-IT"/>
              </w:rPr>
            </w:pPr>
          </w:p>
        </w:tc>
      </w:tr>
      <w:tr w:rsidR="00265766" w:rsidRPr="009E686F" w14:paraId="19EE5B22" w14:textId="77777777" w:rsidTr="00960C23">
        <w:tc>
          <w:tcPr>
            <w:tcW w:w="1890" w:type="pct"/>
            <w:tcBorders>
              <w:top w:val="single" w:sz="4" w:space="0" w:color="auto"/>
              <w:left w:val="single" w:sz="4" w:space="0" w:color="auto"/>
              <w:bottom w:val="single" w:sz="4" w:space="0" w:color="auto"/>
              <w:right w:val="single" w:sz="4" w:space="0" w:color="auto"/>
            </w:tcBorders>
          </w:tcPr>
          <w:p w14:paraId="00EA5D44" w14:textId="430F3FFC" w:rsidR="00265766" w:rsidRPr="009E686F" w:rsidDel="003932E1" w:rsidRDefault="00265766" w:rsidP="00265766">
            <w:pPr>
              <w:spacing w:after="0"/>
              <w:jc w:val="both"/>
              <w:rPr>
                <w:rFonts w:ascii="Times New Roman" w:hAnsi="Times New Roman" w:cs="Times New Roman"/>
                <w:lang w:val="it-IT"/>
              </w:rPr>
            </w:pPr>
            <w:r w:rsidRPr="009E686F">
              <w:rPr>
                <w:rFonts w:ascii="Times New Roman" w:hAnsi="Times New Roman" w:cs="Times New Roman"/>
                <w:lang w:val="it-IT"/>
              </w:rPr>
              <w:t>(a) reputația părților interesate financiare implicate în operațiunea propusă;</w:t>
            </w:r>
          </w:p>
        </w:tc>
        <w:tc>
          <w:tcPr>
            <w:tcW w:w="1834" w:type="pct"/>
            <w:tcBorders>
              <w:top w:val="single" w:sz="4" w:space="0" w:color="auto"/>
              <w:left w:val="single" w:sz="4" w:space="0" w:color="auto"/>
              <w:bottom w:val="single" w:sz="4" w:space="0" w:color="auto"/>
              <w:right w:val="single" w:sz="4" w:space="0" w:color="auto"/>
            </w:tcBorders>
          </w:tcPr>
          <w:p w14:paraId="775EEC9C" w14:textId="06E116D5" w:rsidR="00265766" w:rsidRPr="009E686F" w:rsidRDefault="00265766" w:rsidP="00265766">
            <w:pPr>
              <w:spacing w:after="0"/>
              <w:jc w:val="both"/>
              <w:rPr>
                <w:rFonts w:ascii="Times New Roman" w:hAnsi="Times New Roman" w:cs="Times New Roman"/>
                <w:bCs/>
                <w:i/>
                <w:iCs/>
                <w:lang w:val="it-IT"/>
              </w:rPr>
            </w:pPr>
            <w:r w:rsidRPr="009E686F">
              <w:rPr>
                <w:rFonts w:ascii="Times New Roman" w:hAnsi="Times New Roman" w:cs="Times New Roman"/>
                <w:bCs/>
                <w:i/>
                <w:iCs/>
                <w:lang w:val="it-IT"/>
              </w:rPr>
              <w:t>a) reputația părților interesate financiare implicate în operațiunea propusă;</w:t>
            </w:r>
          </w:p>
        </w:tc>
        <w:tc>
          <w:tcPr>
            <w:tcW w:w="470" w:type="pct"/>
            <w:tcBorders>
              <w:top w:val="single" w:sz="4" w:space="0" w:color="auto"/>
              <w:left w:val="single" w:sz="4" w:space="0" w:color="auto"/>
              <w:bottom w:val="single" w:sz="4" w:space="0" w:color="auto"/>
              <w:right w:val="single" w:sz="4" w:space="0" w:color="auto"/>
            </w:tcBorders>
          </w:tcPr>
          <w:p w14:paraId="0FA80C2B" w14:textId="385990D9" w:rsidR="00265766" w:rsidRPr="009E686F" w:rsidDel="003932E1" w:rsidRDefault="00265766" w:rsidP="00265766">
            <w:pPr>
              <w:jc w:val="both"/>
              <w:rPr>
                <w:rFonts w:ascii="Times New Roman" w:hAnsi="Times New Roman" w:cs="Times New Roman"/>
                <w:lang w:val="it-IT"/>
              </w:rPr>
            </w:pPr>
            <w:r w:rsidRPr="009E686F">
              <w:rPr>
                <w:rFonts w:ascii="Times New Roman" w:hAnsi="Times New Roman" w:cs="Times New Roman"/>
                <w:lang w:val="ro-MD"/>
              </w:rPr>
              <w:t>Compatibil</w:t>
            </w:r>
          </w:p>
        </w:tc>
        <w:tc>
          <w:tcPr>
            <w:tcW w:w="806" w:type="pct"/>
            <w:tcBorders>
              <w:top w:val="single" w:sz="4" w:space="0" w:color="auto"/>
              <w:left w:val="single" w:sz="4" w:space="0" w:color="auto"/>
              <w:bottom w:val="single" w:sz="4" w:space="0" w:color="auto"/>
              <w:right w:val="single" w:sz="4" w:space="0" w:color="auto"/>
            </w:tcBorders>
          </w:tcPr>
          <w:p w14:paraId="3CE78BE3" w14:textId="77777777" w:rsidR="00265766" w:rsidRPr="009E686F" w:rsidRDefault="00265766" w:rsidP="00265766">
            <w:pPr>
              <w:spacing w:after="0"/>
              <w:jc w:val="both"/>
              <w:rPr>
                <w:rFonts w:ascii="Times New Roman" w:hAnsi="Times New Roman" w:cs="Times New Roman"/>
                <w:color w:val="FF0000"/>
                <w:lang w:val="it-IT"/>
              </w:rPr>
            </w:pPr>
          </w:p>
        </w:tc>
      </w:tr>
      <w:tr w:rsidR="00265766" w:rsidRPr="009E686F" w14:paraId="7F5B6226" w14:textId="77777777" w:rsidTr="00960C23">
        <w:tc>
          <w:tcPr>
            <w:tcW w:w="1890" w:type="pct"/>
            <w:tcBorders>
              <w:top w:val="single" w:sz="4" w:space="0" w:color="auto"/>
              <w:left w:val="single" w:sz="4" w:space="0" w:color="auto"/>
              <w:bottom w:val="single" w:sz="4" w:space="0" w:color="auto"/>
              <w:right w:val="single" w:sz="4" w:space="0" w:color="auto"/>
            </w:tcBorders>
          </w:tcPr>
          <w:p w14:paraId="7B453A57" w14:textId="63B8225E" w:rsidR="00265766" w:rsidRPr="009E686F" w:rsidDel="003932E1" w:rsidRDefault="00265766" w:rsidP="00265766">
            <w:pPr>
              <w:spacing w:after="0"/>
              <w:jc w:val="both"/>
              <w:rPr>
                <w:rFonts w:ascii="Times New Roman" w:hAnsi="Times New Roman" w:cs="Times New Roman"/>
              </w:rPr>
            </w:pPr>
            <w:r w:rsidRPr="009E686F">
              <w:rPr>
                <w:rFonts w:ascii="Times New Roman" w:hAnsi="Times New Roman" w:cs="Times New Roman"/>
              </w:rPr>
              <w:t>(b) soliditatea financiară a părților interesate financiare implicate în operațiunea propusă, în special în ceea ce privește tipul de activitate desfășurată și prevăzută a se desfășura pentru entitatea rezultată din operațiunea propusă;</w:t>
            </w:r>
          </w:p>
        </w:tc>
        <w:tc>
          <w:tcPr>
            <w:tcW w:w="1834" w:type="pct"/>
            <w:tcBorders>
              <w:top w:val="single" w:sz="4" w:space="0" w:color="auto"/>
              <w:left w:val="single" w:sz="4" w:space="0" w:color="auto"/>
              <w:bottom w:val="single" w:sz="4" w:space="0" w:color="auto"/>
              <w:right w:val="single" w:sz="4" w:space="0" w:color="auto"/>
            </w:tcBorders>
          </w:tcPr>
          <w:p w14:paraId="797784B9" w14:textId="68009F7A" w:rsidR="00265766" w:rsidRPr="009E686F" w:rsidRDefault="00265766" w:rsidP="00265766">
            <w:pPr>
              <w:spacing w:after="0"/>
              <w:jc w:val="both"/>
              <w:rPr>
                <w:rFonts w:ascii="Times New Roman" w:hAnsi="Times New Roman" w:cs="Times New Roman"/>
                <w:bCs/>
                <w:i/>
                <w:iCs/>
              </w:rPr>
            </w:pPr>
            <w:r w:rsidRPr="009E686F">
              <w:rPr>
                <w:rFonts w:ascii="Times New Roman" w:hAnsi="Times New Roman" w:cs="Times New Roman"/>
                <w:bCs/>
                <w:i/>
                <w:iCs/>
              </w:rPr>
              <w:t>b) soliditatea financiară a părților interesate financiare implicate în operațiunea propusă, în special în ceea ce privește tipurile de activități desfășurate și preconizate a fi desfășurate pentru entitatea rezultată din operațiunea propusă;</w:t>
            </w:r>
          </w:p>
        </w:tc>
        <w:tc>
          <w:tcPr>
            <w:tcW w:w="470" w:type="pct"/>
            <w:tcBorders>
              <w:top w:val="single" w:sz="4" w:space="0" w:color="auto"/>
              <w:left w:val="single" w:sz="4" w:space="0" w:color="auto"/>
              <w:bottom w:val="single" w:sz="4" w:space="0" w:color="auto"/>
              <w:right w:val="single" w:sz="4" w:space="0" w:color="auto"/>
            </w:tcBorders>
          </w:tcPr>
          <w:p w14:paraId="792BA34A" w14:textId="48DAA15B" w:rsidR="00265766" w:rsidRPr="009E686F" w:rsidDel="003932E1" w:rsidRDefault="00265766" w:rsidP="00265766">
            <w:pPr>
              <w:jc w:val="both"/>
              <w:rPr>
                <w:rFonts w:ascii="Times New Roman" w:hAnsi="Times New Roman" w:cs="Times New Roman"/>
                <w:lang w:val="it-IT"/>
              </w:rPr>
            </w:pPr>
            <w:r w:rsidRPr="009E686F">
              <w:rPr>
                <w:rFonts w:ascii="Times New Roman" w:hAnsi="Times New Roman" w:cs="Times New Roman"/>
                <w:lang w:val="ro-MD"/>
              </w:rPr>
              <w:t>Compatibil</w:t>
            </w:r>
          </w:p>
        </w:tc>
        <w:tc>
          <w:tcPr>
            <w:tcW w:w="806" w:type="pct"/>
            <w:tcBorders>
              <w:top w:val="single" w:sz="4" w:space="0" w:color="auto"/>
              <w:left w:val="single" w:sz="4" w:space="0" w:color="auto"/>
              <w:bottom w:val="single" w:sz="4" w:space="0" w:color="auto"/>
              <w:right w:val="single" w:sz="4" w:space="0" w:color="auto"/>
            </w:tcBorders>
          </w:tcPr>
          <w:p w14:paraId="1A245847" w14:textId="77777777" w:rsidR="00265766" w:rsidRPr="009E686F" w:rsidRDefault="00265766" w:rsidP="00265766">
            <w:pPr>
              <w:spacing w:after="0"/>
              <w:jc w:val="both"/>
              <w:rPr>
                <w:rFonts w:ascii="Times New Roman" w:hAnsi="Times New Roman" w:cs="Times New Roman"/>
                <w:color w:val="FF0000"/>
                <w:lang w:val="it-IT"/>
              </w:rPr>
            </w:pPr>
          </w:p>
        </w:tc>
      </w:tr>
      <w:tr w:rsidR="00265766" w:rsidRPr="009E686F" w14:paraId="3EC5E9E1" w14:textId="77777777" w:rsidTr="00960C23">
        <w:tc>
          <w:tcPr>
            <w:tcW w:w="1890" w:type="pct"/>
            <w:tcBorders>
              <w:top w:val="single" w:sz="4" w:space="0" w:color="auto"/>
              <w:left w:val="single" w:sz="4" w:space="0" w:color="auto"/>
              <w:bottom w:val="single" w:sz="4" w:space="0" w:color="auto"/>
              <w:right w:val="single" w:sz="4" w:space="0" w:color="auto"/>
            </w:tcBorders>
          </w:tcPr>
          <w:p w14:paraId="7134A5E0" w14:textId="6D17BAA9" w:rsidR="00265766" w:rsidRPr="009E686F" w:rsidDel="003932E1" w:rsidRDefault="00265766" w:rsidP="00265766">
            <w:pPr>
              <w:spacing w:after="0"/>
              <w:jc w:val="both"/>
              <w:rPr>
                <w:rFonts w:ascii="Times New Roman" w:hAnsi="Times New Roman" w:cs="Times New Roman"/>
              </w:rPr>
            </w:pPr>
            <w:r w:rsidRPr="009E686F">
              <w:rPr>
                <w:rFonts w:ascii="Times New Roman" w:hAnsi="Times New Roman" w:cs="Times New Roman"/>
              </w:rPr>
              <w:t>(c) dacă entitatea rezultată din operațiunea propusă va putea respecta și continua să respecte cerințele prudențiale prevăzute în prezenta directivă și în Regulamentul (UE) nr. 575/2013 și, după caz, în alte acte juridice ale Uniunii, în special Directivele 2002/87/CE și 2009/110/CE;</w:t>
            </w:r>
          </w:p>
        </w:tc>
        <w:tc>
          <w:tcPr>
            <w:tcW w:w="1834" w:type="pct"/>
            <w:tcBorders>
              <w:top w:val="single" w:sz="4" w:space="0" w:color="auto"/>
              <w:left w:val="single" w:sz="4" w:space="0" w:color="auto"/>
              <w:bottom w:val="single" w:sz="4" w:space="0" w:color="auto"/>
              <w:right w:val="single" w:sz="4" w:space="0" w:color="auto"/>
            </w:tcBorders>
          </w:tcPr>
          <w:p w14:paraId="3E83C77B" w14:textId="69D088CA" w:rsidR="00265766" w:rsidRPr="009E686F" w:rsidRDefault="00265766" w:rsidP="00265766">
            <w:pPr>
              <w:spacing w:after="0"/>
              <w:jc w:val="both"/>
              <w:rPr>
                <w:rFonts w:ascii="Times New Roman" w:hAnsi="Times New Roman" w:cs="Times New Roman"/>
                <w:bCs/>
                <w:i/>
                <w:iCs/>
              </w:rPr>
            </w:pPr>
            <w:r w:rsidRPr="009E686F">
              <w:rPr>
                <w:rFonts w:ascii="Times New Roman" w:hAnsi="Times New Roman" w:cs="Times New Roman"/>
                <w:bCs/>
                <w:i/>
                <w:iCs/>
              </w:rPr>
              <w:t>c) dacă entitatea rezultată din operațiunea propusă va putea respecta și continua să respecte cerințele prudențiale prevăzute de prezenta lege și actele normative emise în aplicarea acesteia și, după caz,</w:t>
            </w:r>
            <w:r w:rsidRPr="009E686F">
              <w:t xml:space="preserve"> </w:t>
            </w:r>
            <w:r w:rsidRPr="009E686F">
              <w:rPr>
                <w:rFonts w:ascii="Times New Roman" w:hAnsi="Times New Roman" w:cs="Times New Roman"/>
                <w:bCs/>
                <w:i/>
                <w:iCs/>
              </w:rPr>
              <w:t>de Legea nr. 250/2016 cu privire la supravegherea suplimentară a instituțiilor de credit, asigurătorilor/reasigurătorilor şi a firmelor de investiții care aparţin unui conglomerat financiar</w:t>
            </w:r>
            <w:r w:rsidR="00345062" w:rsidRPr="009E686F">
              <w:rPr>
                <w:rFonts w:ascii="Times New Roman" w:hAnsi="Times New Roman" w:cs="Times New Roman"/>
                <w:bCs/>
                <w:i/>
                <w:iCs/>
              </w:rPr>
              <w:t>(în continuare – Legea nr. 250/2017)</w:t>
            </w:r>
            <w:r w:rsidRPr="009E686F">
              <w:rPr>
                <w:rFonts w:ascii="Times New Roman" w:hAnsi="Times New Roman" w:cs="Times New Roman"/>
                <w:bCs/>
                <w:i/>
                <w:iCs/>
              </w:rPr>
              <w:t xml:space="preserve"> și cele referitoare la activitatea emitenților de moneda electronică conform Legii nr. 114/2012</w:t>
            </w:r>
            <w:r w:rsidR="00345062" w:rsidRPr="009E686F">
              <w:t xml:space="preserve"> </w:t>
            </w:r>
            <w:r w:rsidR="00345062" w:rsidRPr="009E686F">
              <w:rPr>
                <w:rFonts w:ascii="Times New Roman" w:hAnsi="Times New Roman" w:cs="Times New Roman"/>
                <w:bCs/>
                <w:i/>
                <w:iCs/>
              </w:rPr>
              <w:t>cu privire la serviciile de plată şi moneda electronică</w:t>
            </w:r>
            <w:r w:rsidRPr="009E686F">
              <w:rPr>
                <w:rFonts w:ascii="Times New Roman" w:hAnsi="Times New Roman" w:cs="Times New Roman"/>
                <w:bCs/>
                <w:i/>
                <w:iCs/>
              </w:rPr>
              <w:t>;</w:t>
            </w:r>
          </w:p>
        </w:tc>
        <w:tc>
          <w:tcPr>
            <w:tcW w:w="470" w:type="pct"/>
            <w:tcBorders>
              <w:top w:val="single" w:sz="4" w:space="0" w:color="auto"/>
              <w:left w:val="single" w:sz="4" w:space="0" w:color="auto"/>
              <w:bottom w:val="single" w:sz="4" w:space="0" w:color="auto"/>
              <w:right w:val="single" w:sz="4" w:space="0" w:color="auto"/>
            </w:tcBorders>
          </w:tcPr>
          <w:p w14:paraId="60888AC1" w14:textId="5CCE8DAF" w:rsidR="00265766" w:rsidRPr="009E686F" w:rsidDel="003932E1" w:rsidRDefault="00265766" w:rsidP="00265766">
            <w:pPr>
              <w:jc w:val="both"/>
              <w:rPr>
                <w:rFonts w:ascii="Times New Roman" w:hAnsi="Times New Roman" w:cs="Times New Roman"/>
                <w:lang w:val="it-IT"/>
              </w:rPr>
            </w:pPr>
            <w:r w:rsidRPr="009E686F">
              <w:rPr>
                <w:rFonts w:ascii="Times New Roman" w:hAnsi="Times New Roman" w:cs="Times New Roman"/>
                <w:lang w:val="ro-MD"/>
              </w:rPr>
              <w:t>Compatibil</w:t>
            </w:r>
          </w:p>
        </w:tc>
        <w:tc>
          <w:tcPr>
            <w:tcW w:w="806" w:type="pct"/>
            <w:tcBorders>
              <w:top w:val="single" w:sz="4" w:space="0" w:color="auto"/>
              <w:left w:val="single" w:sz="4" w:space="0" w:color="auto"/>
              <w:bottom w:val="single" w:sz="4" w:space="0" w:color="auto"/>
              <w:right w:val="single" w:sz="4" w:space="0" w:color="auto"/>
            </w:tcBorders>
          </w:tcPr>
          <w:p w14:paraId="713FFC7B" w14:textId="77777777" w:rsidR="00265766" w:rsidRPr="009E686F" w:rsidRDefault="00265766" w:rsidP="00265766">
            <w:pPr>
              <w:spacing w:after="0"/>
              <w:jc w:val="both"/>
              <w:rPr>
                <w:rFonts w:ascii="Times New Roman" w:hAnsi="Times New Roman" w:cs="Times New Roman"/>
                <w:color w:val="FF0000"/>
                <w:lang w:val="it-IT"/>
              </w:rPr>
            </w:pPr>
          </w:p>
        </w:tc>
      </w:tr>
      <w:tr w:rsidR="00265766" w:rsidRPr="009E686F" w14:paraId="3A7765EE" w14:textId="77777777" w:rsidTr="00960C23">
        <w:tc>
          <w:tcPr>
            <w:tcW w:w="1890" w:type="pct"/>
            <w:tcBorders>
              <w:top w:val="single" w:sz="4" w:space="0" w:color="auto"/>
              <w:left w:val="single" w:sz="4" w:space="0" w:color="auto"/>
              <w:bottom w:val="single" w:sz="4" w:space="0" w:color="auto"/>
              <w:right w:val="single" w:sz="4" w:space="0" w:color="auto"/>
            </w:tcBorders>
          </w:tcPr>
          <w:p w14:paraId="6F5C1609" w14:textId="354DB89E" w:rsidR="00265766" w:rsidRPr="009E686F" w:rsidDel="003932E1" w:rsidRDefault="00265766" w:rsidP="00265766">
            <w:pPr>
              <w:spacing w:after="0"/>
              <w:jc w:val="both"/>
              <w:rPr>
                <w:rFonts w:ascii="Times New Roman" w:hAnsi="Times New Roman" w:cs="Times New Roman"/>
                <w:lang w:val="it-IT"/>
              </w:rPr>
            </w:pPr>
            <w:r w:rsidRPr="009E686F">
              <w:rPr>
                <w:rFonts w:ascii="Times New Roman" w:hAnsi="Times New Roman" w:cs="Times New Roman"/>
                <w:lang w:val="it-IT"/>
              </w:rPr>
              <w:lastRenderedPageBreak/>
              <w:t>(d) dacă planul de punere în aplicare al operațiunii propuse este realist și solid din punct de vedere prudențial;</w:t>
            </w:r>
          </w:p>
        </w:tc>
        <w:tc>
          <w:tcPr>
            <w:tcW w:w="1834" w:type="pct"/>
            <w:tcBorders>
              <w:top w:val="single" w:sz="4" w:space="0" w:color="auto"/>
              <w:left w:val="single" w:sz="4" w:space="0" w:color="auto"/>
              <w:bottom w:val="single" w:sz="4" w:space="0" w:color="auto"/>
              <w:right w:val="single" w:sz="4" w:space="0" w:color="auto"/>
            </w:tcBorders>
          </w:tcPr>
          <w:p w14:paraId="64B21EBD" w14:textId="65FA747D" w:rsidR="00265766" w:rsidRPr="009E686F" w:rsidRDefault="00265766" w:rsidP="00265766">
            <w:pPr>
              <w:spacing w:after="0"/>
              <w:jc w:val="both"/>
              <w:rPr>
                <w:rFonts w:ascii="Times New Roman" w:hAnsi="Times New Roman" w:cs="Times New Roman"/>
                <w:bCs/>
                <w:i/>
                <w:iCs/>
                <w:lang w:val="it-IT"/>
              </w:rPr>
            </w:pPr>
            <w:r w:rsidRPr="009E686F">
              <w:rPr>
                <w:rFonts w:ascii="Times New Roman" w:hAnsi="Times New Roman" w:cs="Times New Roman"/>
                <w:bCs/>
                <w:i/>
                <w:iCs/>
                <w:lang w:val="it-IT"/>
              </w:rPr>
              <w:t>d) dacă planul de punere în aplicare al operațiunii propuse este realist și solid din punct de vedere prudențial. Banca Națională a Moldovei monitorizează în mod corespunzător planul de punere în aplicare până la finalizarea operațiunii propuse;</w:t>
            </w:r>
          </w:p>
        </w:tc>
        <w:tc>
          <w:tcPr>
            <w:tcW w:w="470" w:type="pct"/>
            <w:tcBorders>
              <w:top w:val="single" w:sz="4" w:space="0" w:color="auto"/>
              <w:left w:val="single" w:sz="4" w:space="0" w:color="auto"/>
              <w:bottom w:val="single" w:sz="4" w:space="0" w:color="auto"/>
              <w:right w:val="single" w:sz="4" w:space="0" w:color="auto"/>
            </w:tcBorders>
          </w:tcPr>
          <w:p w14:paraId="2052254F" w14:textId="5D6B39DD" w:rsidR="00265766" w:rsidRPr="009E686F" w:rsidDel="003932E1" w:rsidRDefault="00265766" w:rsidP="00265766">
            <w:pPr>
              <w:jc w:val="both"/>
              <w:rPr>
                <w:rFonts w:ascii="Times New Roman" w:hAnsi="Times New Roman" w:cs="Times New Roman"/>
                <w:lang w:val="it-IT"/>
              </w:rPr>
            </w:pPr>
            <w:r w:rsidRPr="009E686F">
              <w:rPr>
                <w:rFonts w:ascii="Times New Roman" w:hAnsi="Times New Roman" w:cs="Times New Roman"/>
                <w:lang w:val="ro-MD"/>
              </w:rPr>
              <w:t>Compatibil</w:t>
            </w:r>
          </w:p>
        </w:tc>
        <w:tc>
          <w:tcPr>
            <w:tcW w:w="806" w:type="pct"/>
            <w:tcBorders>
              <w:top w:val="single" w:sz="4" w:space="0" w:color="auto"/>
              <w:left w:val="single" w:sz="4" w:space="0" w:color="auto"/>
              <w:bottom w:val="single" w:sz="4" w:space="0" w:color="auto"/>
              <w:right w:val="single" w:sz="4" w:space="0" w:color="auto"/>
            </w:tcBorders>
          </w:tcPr>
          <w:p w14:paraId="0A6E09B7" w14:textId="77777777" w:rsidR="00265766" w:rsidRPr="009E686F" w:rsidRDefault="00265766" w:rsidP="00265766">
            <w:pPr>
              <w:spacing w:after="0"/>
              <w:jc w:val="both"/>
              <w:rPr>
                <w:rFonts w:ascii="Times New Roman" w:hAnsi="Times New Roman" w:cs="Times New Roman"/>
                <w:color w:val="FF0000"/>
                <w:lang w:val="it-IT"/>
              </w:rPr>
            </w:pPr>
          </w:p>
        </w:tc>
      </w:tr>
      <w:tr w:rsidR="00265766" w:rsidRPr="009E686F" w14:paraId="34F9781C" w14:textId="77777777" w:rsidTr="00960C23">
        <w:trPr>
          <w:trHeight w:val="3323"/>
        </w:trPr>
        <w:tc>
          <w:tcPr>
            <w:tcW w:w="1890" w:type="pct"/>
            <w:tcBorders>
              <w:top w:val="single" w:sz="4" w:space="0" w:color="auto"/>
              <w:left w:val="single" w:sz="4" w:space="0" w:color="auto"/>
              <w:right w:val="single" w:sz="4" w:space="0" w:color="auto"/>
            </w:tcBorders>
          </w:tcPr>
          <w:p w14:paraId="7C26E616" w14:textId="77777777" w:rsidR="00265766" w:rsidRPr="009E686F" w:rsidDel="003932E1" w:rsidRDefault="00265766" w:rsidP="00265766">
            <w:pPr>
              <w:spacing w:after="0"/>
              <w:jc w:val="both"/>
              <w:rPr>
                <w:rFonts w:ascii="Times New Roman" w:hAnsi="Times New Roman" w:cs="Times New Roman"/>
              </w:rPr>
            </w:pPr>
            <w:r w:rsidRPr="009E686F">
              <w:rPr>
                <w:rFonts w:ascii="Times New Roman" w:hAnsi="Times New Roman" w:cs="Times New Roman"/>
              </w:rPr>
              <w:t>(e) dacă există motive rezonabile de a suspecta că, în legătură cu operațiunea propusă, a fost sau este săvârșită o faptă sau o tentativă de spălare de bani ori de finanțare a unor acte de terorism în sensul articolului 1 din Directiva (UE) 2015/849 sau că operațiunea propusă ar putea face să crească un astfel de risc.</w:t>
            </w:r>
          </w:p>
          <w:p w14:paraId="106F4D18" w14:textId="7B55D5FF" w:rsidR="00265766" w:rsidRPr="009E686F" w:rsidDel="003932E1"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Planul de punere în aplicare menționat la primul paragraf litera (d) este monitorizat în mod corespunzător de autoritatea competentă până la finalizarea operațiunii propuse.</w:t>
            </w:r>
          </w:p>
        </w:tc>
        <w:tc>
          <w:tcPr>
            <w:tcW w:w="1834" w:type="pct"/>
            <w:tcBorders>
              <w:top w:val="single" w:sz="4" w:space="0" w:color="auto"/>
              <w:left w:val="single" w:sz="4" w:space="0" w:color="auto"/>
              <w:right w:val="single" w:sz="4" w:space="0" w:color="auto"/>
            </w:tcBorders>
          </w:tcPr>
          <w:p w14:paraId="5FB595A8" w14:textId="001C9803" w:rsidR="00265766" w:rsidRPr="009E686F" w:rsidRDefault="00265766" w:rsidP="00265766">
            <w:pPr>
              <w:spacing w:after="0"/>
              <w:jc w:val="both"/>
              <w:rPr>
                <w:rFonts w:ascii="Times New Roman" w:hAnsi="Times New Roman" w:cs="Times New Roman"/>
                <w:i/>
                <w:lang w:val="it-CH"/>
              </w:rPr>
            </w:pPr>
            <w:r w:rsidRPr="009E686F">
              <w:rPr>
                <w:rFonts w:ascii="Times New Roman" w:hAnsi="Times New Roman" w:cs="Times New Roman"/>
                <w:i/>
                <w:lang w:val="it-CH"/>
              </w:rPr>
              <w:t xml:space="preserve">e) dacă există motive rezonabile de a suspecta că, în legătură cu operațiunea propusă, a fost sau este săvârșită o faptă sau o tentativă de spălare de bani ori de finanțare a unor acte de terorism în sensul Legii nr. 308/2017 sau că operațiunea propusă ar putea face să crească un astfel de risc. </w:t>
            </w:r>
          </w:p>
        </w:tc>
        <w:tc>
          <w:tcPr>
            <w:tcW w:w="470" w:type="pct"/>
            <w:tcBorders>
              <w:top w:val="single" w:sz="4" w:space="0" w:color="auto"/>
              <w:left w:val="single" w:sz="4" w:space="0" w:color="auto"/>
              <w:right w:val="single" w:sz="4" w:space="0" w:color="auto"/>
            </w:tcBorders>
          </w:tcPr>
          <w:p w14:paraId="543B32BC" w14:textId="7D3D1A8F" w:rsidR="00265766" w:rsidRPr="009E686F" w:rsidDel="003932E1" w:rsidRDefault="00265766" w:rsidP="00265766">
            <w:pPr>
              <w:jc w:val="both"/>
              <w:rPr>
                <w:rFonts w:ascii="Times New Roman" w:hAnsi="Times New Roman" w:cs="Times New Roman"/>
                <w:lang w:val="it-IT"/>
              </w:rPr>
            </w:pPr>
            <w:r w:rsidRPr="009E686F">
              <w:rPr>
                <w:rFonts w:ascii="Times New Roman" w:hAnsi="Times New Roman" w:cs="Times New Roman"/>
                <w:lang w:val="ro-MD"/>
              </w:rPr>
              <w:t>Compatibil</w:t>
            </w:r>
          </w:p>
        </w:tc>
        <w:tc>
          <w:tcPr>
            <w:tcW w:w="806" w:type="pct"/>
            <w:tcBorders>
              <w:top w:val="single" w:sz="4" w:space="0" w:color="auto"/>
              <w:left w:val="single" w:sz="4" w:space="0" w:color="auto"/>
              <w:right w:val="single" w:sz="4" w:space="0" w:color="auto"/>
            </w:tcBorders>
          </w:tcPr>
          <w:p w14:paraId="7E1634EE" w14:textId="77777777" w:rsidR="00265766" w:rsidRPr="009E686F" w:rsidRDefault="00265766" w:rsidP="00265766">
            <w:pPr>
              <w:spacing w:after="0"/>
              <w:jc w:val="both"/>
              <w:rPr>
                <w:rFonts w:ascii="Times New Roman" w:hAnsi="Times New Roman" w:cs="Times New Roman"/>
                <w:color w:val="FF0000"/>
                <w:lang w:val="it-IT"/>
              </w:rPr>
            </w:pPr>
          </w:p>
        </w:tc>
      </w:tr>
      <w:tr w:rsidR="00265766" w:rsidRPr="009E686F" w14:paraId="61AB6302" w14:textId="77777777" w:rsidTr="00960C23">
        <w:tc>
          <w:tcPr>
            <w:tcW w:w="1890" w:type="pct"/>
            <w:tcBorders>
              <w:top w:val="single" w:sz="4" w:space="0" w:color="auto"/>
              <w:left w:val="single" w:sz="4" w:space="0" w:color="auto"/>
              <w:bottom w:val="single" w:sz="4" w:space="0" w:color="auto"/>
              <w:right w:val="single" w:sz="4" w:space="0" w:color="auto"/>
            </w:tcBorders>
          </w:tcPr>
          <w:p w14:paraId="1FCBC2D3" w14:textId="494F44BE" w:rsidR="00265766" w:rsidRPr="009E686F" w:rsidDel="003932E1"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(2) În scopul evaluării criteriului prevăzut la alineatul (1) litera (e) de la prezentul articol, autoritatea competentă consultă, în contextul verificărilor sale, autoritățile responsabile cu supravegherea părților interesate financiare în conformitate cu Directiva (UE) 2015/849.</w:t>
            </w:r>
          </w:p>
        </w:tc>
        <w:tc>
          <w:tcPr>
            <w:tcW w:w="1834" w:type="pct"/>
            <w:tcBorders>
              <w:top w:val="single" w:sz="4" w:space="0" w:color="auto"/>
              <w:left w:val="single" w:sz="4" w:space="0" w:color="auto"/>
              <w:bottom w:val="single" w:sz="4" w:space="0" w:color="auto"/>
              <w:right w:val="single" w:sz="4" w:space="0" w:color="auto"/>
            </w:tcBorders>
          </w:tcPr>
          <w:p w14:paraId="4EA24231" w14:textId="64004A68" w:rsidR="00265766" w:rsidRPr="009E686F" w:rsidRDefault="00265766" w:rsidP="00265766">
            <w:pPr>
              <w:spacing w:after="0"/>
              <w:jc w:val="both"/>
              <w:rPr>
                <w:rFonts w:ascii="Times New Roman" w:hAnsi="Times New Roman" w:cs="Times New Roman"/>
                <w:b/>
                <w:lang w:val="it-IT"/>
              </w:rPr>
            </w:pPr>
            <w:r w:rsidRPr="009E686F">
              <w:rPr>
                <w:rFonts w:ascii="Times New Roman" w:hAnsi="Times New Roman" w:cs="Times New Roman"/>
                <w:b/>
                <w:lang w:val="it-IT"/>
              </w:rPr>
              <w:t>Articolul 34 alin. (16)</w:t>
            </w:r>
          </w:p>
          <w:p w14:paraId="36B4444D" w14:textId="5B1AF6D3" w:rsidR="00265766" w:rsidRPr="009E686F" w:rsidRDefault="00265766" w:rsidP="00265766">
            <w:pPr>
              <w:spacing w:after="0"/>
              <w:jc w:val="both"/>
              <w:rPr>
                <w:rFonts w:ascii="Times New Roman" w:hAnsi="Times New Roman" w:cs="Times New Roman"/>
                <w:bCs/>
                <w:i/>
                <w:iCs/>
                <w:lang w:val="it-IT"/>
              </w:rPr>
            </w:pPr>
            <w:r w:rsidRPr="009E686F">
              <w:rPr>
                <w:rFonts w:ascii="Times New Roman" w:hAnsi="Times New Roman" w:cs="Times New Roman"/>
                <w:bCs/>
                <w:i/>
                <w:iCs/>
                <w:lang w:val="it-IT"/>
              </w:rPr>
              <w:t>(16) În scopul evaluării criteriului prevăzut la alin. (15) lit. e) Banca Națională a Moldovei,</w:t>
            </w:r>
            <w:r w:rsidRPr="009E686F">
              <w:rPr>
                <w:lang w:val="it-CH"/>
              </w:rPr>
              <w:t xml:space="preserve"> </w:t>
            </w:r>
            <w:r w:rsidRPr="009E686F">
              <w:rPr>
                <w:rFonts w:ascii="Times New Roman" w:hAnsi="Times New Roman" w:cs="Times New Roman"/>
                <w:bCs/>
                <w:i/>
                <w:iCs/>
                <w:lang w:val="it-IT"/>
              </w:rPr>
              <w:t>în calitate de autoritate competentă,  consultă, în realizarea verificărilor sale, organul cu funcțiide supraveghere a părților interesate financiare în conformitate cu Legea nr. 308/</w:t>
            </w:r>
            <w:r w:rsidRPr="009E686F">
              <w:rPr>
                <w:lang w:val="it-CH"/>
              </w:rPr>
              <w:t xml:space="preserve"> </w:t>
            </w:r>
            <w:r w:rsidRPr="009E686F">
              <w:rPr>
                <w:rFonts w:ascii="Times New Roman" w:hAnsi="Times New Roman" w:cs="Times New Roman"/>
                <w:bCs/>
                <w:i/>
                <w:iCs/>
                <w:lang w:val="it-IT"/>
              </w:rPr>
              <w:t>sau în conformitate cu dispozițiile legale adoptate de alte state membre pentru transpunerea Directivei (UE) 2015/849</w:t>
            </w:r>
            <w:r w:rsidR="007A2BD1" w:rsidRPr="009E686F">
              <w:rPr>
                <w:lang w:val="it-CH"/>
              </w:rPr>
              <w:t xml:space="preserve"> </w:t>
            </w:r>
            <w:r w:rsidR="007A2BD1" w:rsidRPr="009E686F">
              <w:rPr>
                <w:rFonts w:ascii="Times New Roman" w:hAnsi="Times New Roman" w:cs="Times New Roman"/>
                <w:bCs/>
                <w:i/>
                <w:iCs/>
                <w:lang w:val="it-IT"/>
              </w:rPr>
              <w:t>a Parlamentului European și a Consiliului din 20 mai 2015 privind prevenirea utilizării sistemului financiar în scopul spălării banilor sau finanțării terorismului, de modificare a Regulamentului (UE) nr. 648/2012 al Parlamentului European și al Consiliului și de abrogare a Directivei 2005/60/CE a Parlamentului European și a Consiliului și a Directivei 2006/70/CE a Comisiei</w:t>
            </w:r>
            <w:r w:rsidRPr="009E686F">
              <w:rPr>
                <w:rFonts w:ascii="Times New Roman" w:hAnsi="Times New Roman" w:cs="Times New Roman"/>
                <w:bCs/>
                <w:i/>
                <w:iCs/>
                <w:lang w:val="it-IT"/>
              </w:rPr>
              <w:t>, după  caz.</w:t>
            </w:r>
          </w:p>
        </w:tc>
        <w:tc>
          <w:tcPr>
            <w:tcW w:w="470" w:type="pct"/>
            <w:tcBorders>
              <w:top w:val="single" w:sz="4" w:space="0" w:color="auto"/>
              <w:left w:val="single" w:sz="4" w:space="0" w:color="auto"/>
              <w:bottom w:val="single" w:sz="4" w:space="0" w:color="auto"/>
              <w:right w:val="single" w:sz="4" w:space="0" w:color="auto"/>
            </w:tcBorders>
          </w:tcPr>
          <w:p w14:paraId="3CAD0B99" w14:textId="2C30D9B6" w:rsidR="00265766" w:rsidRPr="009E686F" w:rsidDel="003932E1" w:rsidRDefault="00265766" w:rsidP="00265766">
            <w:pPr>
              <w:jc w:val="both"/>
              <w:rPr>
                <w:rFonts w:ascii="Times New Roman" w:hAnsi="Times New Roman" w:cs="Times New Roman"/>
                <w:lang w:val="it-IT"/>
              </w:rPr>
            </w:pPr>
            <w:r w:rsidRPr="009E686F">
              <w:rPr>
                <w:rFonts w:ascii="Times New Roman" w:hAnsi="Times New Roman" w:cs="Times New Roman"/>
                <w:lang w:val="ro-MD"/>
              </w:rPr>
              <w:t>Compatibil</w:t>
            </w:r>
          </w:p>
        </w:tc>
        <w:tc>
          <w:tcPr>
            <w:tcW w:w="806" w:type="pct"/>
            <w:tcBorders>
              <w:top w:val="single" w:sz="4" w:space="0" w:color="auto"/>
              <w:left w:val="single" w:sz="4" w:space="0" w:color="auto"/>
              <w:bottom w:val="single" w:sz="4" w:space="0" w:color="auto"/>
              <w:right w:val="single" w:sz="4" w:space="0" w:color="auto"/>
            </w:tcBorders>
          </w:tcPr>
          <w:p w14:paraId="55A2CD50" w14:textId="77777777" w:rsidR="00265766" w:rsidRPr="009E686F" w:rsidRDefault="00265766" w:rsidP="00265766">
            <w:pPr>
              <w:spacing w:after="0"/>
              <w:jc w:val="both"/>
              <w:rPr>
                <w:rFonts w:ascii="Times New Roman" w:hAnsi="Times New Roman" w:cs="Times New Roman"/>
                <w:color w:val="FF0000"/>
                <w:lang w:val="it-IT"/>
              </w:rPr>
            </w:pPr>
          </w:p>
        </w:tc>
      </w:tr>
      <w:tr w:rsidR="00265766" w:rsidRPr="009E686F" w14:paraId="0FAF8AB9" w14:textId="77777777" w:rsidTr="00960C23">
        <w:tc>
          <w:tcPr>
            <w:tcW w:w="1890" w:type="pct"/>
            <w:tcBorders>
              <w:top w:val="single" w:sz="4" w:space="0" w:color="auto"/>
              <w:left w:val="single" w:sz="4" w:space="0" w:color="auto"/>
              <w:bottom w:val="single" w:sz="4" w:space="0" w:color="auto"/>
              <w:right w:val="single" w:sz="4" w:space="0" w:color="auto"/>
            </w:tcBorders>
          </w:tcPr>
          <w:p w14:paraId="75673807" w14:textId="66B25AA4" w:rsidR="00265766" w:rsidRPr="009E686F" w:rsidDel="003932E1"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lastRenderedPageBreak/>
              <w:t>(3) Autoritatea competentă poate emite un aviz negativ referitor la operațiunea propusă numai în cazul în care nu sunt întrunite criteriile prevăzute la alineatul (1) de la prezentul articol sau în cazul în care informațiile furnizate de partea interesată financiară sunt incomplete în pofida unei cereri formulate în conformitate cu articolul 27i alineatul (5).</w:t>
            </w:r>
          </w:p>
        </w:tc>
        <w:tc>
          <w:tcPr>
            <w:tcW w:w="1834" w:type="pct"/>
            <w:tcBorders>
              <w:top w:val="single" w:sz="4" w:space="0" w:color="auto"/>
              <w:left w:val="single" w:sz="4" w:space="0" w:color="auto"/>
              <w:bottom w:val="single" w:sz="4" w:space="0" w:color="auto"/>
              <w:right w:val="single" w:sz="4" w:space="0" w:color="auto"/>
            </w:tcBorders>
          </w:tcPr>
          <w:p w14:paraId="63E479FF" w14:textId="347BD658" w:rsidR="00265766" w:rsidRPr="009E686F" w:rsidRDefault="00265766" w:rsidP="00265766">
            <w:pPr>
              <w:spacing w:after="0"/>
              <w:jc w:val="both"/>
              <w:rPr>
                <w:rFonts w:ascii="Times New Roman" w:hAnsi="Times New Roman" w:cs="Times New Roman"/>
                <w:b/>
                <w:lang w:val="it-IT"/>
              </w:rPr>
            </w:pPr>
            <w:r w:rsidRPr="009E686F">
              <w:rPr>
                <w:rFonts w:ascii="Times New Roman" w:hAnsi="Times New Roman" w:cs="Times New Roman"/>
                <w:b/>
                <w:lang w:val="it-IT"/>
              </w:rPr>
              <w:t>Articolul 34 alin. (18)</w:t>
            </w:r>
          </w:p>
          <w:p w14:paraId="2E3E12D8" w14:textId="476C3BA8" w:rsidR="00265766" w:rsidRPr="009E686F" w:rsidRDefault="00265766" w:rsidP="00265766">
            <w:pPr>
              <w:spacing w:after="0"/>
              <w:jc w:val="both"/>
              <w:rPr>
                <w:rFonts w:ascii="Times New Roman" w:hAnsi="Times New Roman" w:cs="Times New Roman"/>
                <w:bCs/>
                <w:i/>
                <w:iCs/>
                <w:lang w:val="it-IT"/>
              </w:rPr>
            </w:pPr>
            <w:r w:rsidRPr="009E686F">
              <w:rPr>
                <w:rFonts w:ascii="Times New Roman" w:hAnsi="Times New Roman" w:cs="Times New Roman"/>
                <w:bCs/>
                <w:i/>
                <w:iCs/>
                <w:lang w:val="it-IT"/>
              </w:rPr>
              <w:t>(17) Banca Națională a Moldovei poate emite un aviz negativ referitor la operațiunea propusă numai în cazul în care nu sunt întrunite criteriile prevăzute la alin. (15) sau în cazul în care informațiile furnizate de partea interesată financiară sunt incomplete, inclusiv după ce au fost solicitate informații și documente astfel cum prevede alin. (11)-(12).</w:t>
            </w:r>
          </w:p>
        </w:tc>
        <w:tc>
          <w:tcPr>
            <w:tcW w:w="470" w:type="pct"/>
            <w:tcBorders>
              <w:top w:val="single" w:sz="4" w:space="0" w:color="auto"/>
              <w:left w:val="single" w:sz="4" w:space="0" w:color="auto"/>
              <w:bottom w:val="single" w:sz="4" w:space="0" w:color="auto"/>
              <w:right w:val="single" w:sz="4" w:space="0" w:color="auto"/>
            </w:tcBorders>
          </w:tcPr>
          <w:p w14:paraId="1E65B14D" w14:textId="674E112F" w:rsidR="00265766" w:rsidRPr="009E686F" w:rsidDel="003932E1" w:rsidRDefault="00265766" w:rsidP="00265766">
            <w:pPr>
              <w:jc w:val="both"/>
              <w:rPr>
                <w:rFonts w:ascii="Times New Roman" w:hAnsi="Times New Roman" w:cs="Times New Roman"/>
                <w:lang w:val="it-IT"/>
              </w:rPr>
            </w:pPr>
            <w:r w:rsidRPr="009E686F">
              <w:rPr>
                <w:rFonts w:ascii="Times New Roman" w:hAnsi="Times New Roman" w:cs="Times New Roman"/>
                <w:lang w:val="ro-MD"/>
              </w:rPr>
              <w:t>Compatibil</w:t>
            </w:r>
          </w:p>
        </w:tc>
        <w:tc>
          <w:tcPr>
            <w:tcW w:w="806" w:type="pct"/>
            <w:tcBorders>
              <w:top w:val="single" w:sz="4" w:space="0" w:color="auto"/>
              <w:left w:val="single" w:sz="4" w:space="0" w:color="auto"/>
              <w:bottom w:val="single" w:sz="4" w:space="0" w:color="auto"/>
              <w:right w:val="single" w:sz="4" w:space="0" w:color="auto"/>
            </w:tcBorders>
          </w:tcPr>
          <w:p w14:paraId="3E4F9FBA" w14:textId="77777777" w:rsidR="00265766" w:rsidRPr="009E686F" w:rsidRDefault="00265766" w:rsidP="00265766">
            <w:pPr>
              <w:spacing w:after="0"/>
              <w:jc w:val="both"/>
              <w:rPr>
                <w:rFonts w:ascii="Times New Roman" w:hAnsi="Times New Roman" w:cs="Times New Roman"/>
                <w:color w:val="FF0000"/>
                <w:lang w:val="it-IT"/>
              </w:rPr>
            </w:pPr>
          </w:p>
        </w:tc>
      </w:tr>
      <w:tr w:rsidR="00265766" w:rsidRPr="009E686F" w14:paraId="1CB5C5D9" w14:textId="77777777" w:rsidTr="00960C23">
        <w:tc>
          <w:tcPr>
            <w:tcW w:w="1890" w:type="pct"/>
            <w:tcBorders>
              <w:top w:val="single" w:sz="4" w:space="0" w:color="auto"/>
              <w:left w:val="single" w:sz="4" w:space="0" w:color="auto"/>
              <w:bottom w:val="single" w:sz="4" w:space="0" w:color="auto"/>
              <w:right w:val="single" w:sz="4" w:space="0" w:color="auto"/>
            </w:tcBorders>
          </w:tcPr>
          <w:p w14:paraId="7E9083AE" w14:textId="2DC199D6" w:rsidR="00265766" w:rsidRPr="009E686F" w:rsidDel="003932E1"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În ceea ce privește criteriul prevăzut la alineatul (1) litera (e) de la prezentul articol, un aviz negativ emis de autoritățile responsabile cu supravegherea părților interesate financiare în conformitate cu Directiva (UE) 2015/849, primit de autoritatea competentă în termen de 30 de zile lucrătoare de la cererea inițială, este luat în considerare în mod corespunzător de către autoritatea competentă atunci când evaluează operațiunea propusă și poate constitui un motiv rezonabil pentru emiterea unui aviz negativ, astfel cum este menționat la primul paragraf de la prezentul alineat.</w:t>
            </w:r>
          </w:p>
        </w:tc>
        <w:tc>
          <w:tcPr>
            <w:tcW w:w="1834" w:type="pct"/>
            <w:tcBorders>
              <w:top w:val="single" w:sz="4" w:space="0" w:color="auto"/>
              <w:left w:val="single" w:sz="4" w:space="0" w:color="auto"/>
              <w:bottom w:val="single" w:sz="4" w:space="0" w:color="auto"/>
              <w:right w:val="single" w:sz="4" w:space="0" w:color="auto"/>
            </w:tcBorders>
          </w:tcPr>
          <w:p w14:paraId="32ED0CF5" w14:textId="1E396ED4" w:rsidR="00265766" w:rsidRPr="009E686F" w:rsidRDefault="00265766" w:rsidP="00265766">
            <w:pPr>
              <w:spacing w:after="0"/>
              <w:jc w:val="both"/>
              <w:rPr>
                <w:rFonts w:ascii="Times New Roman" w:hAnsi="Times New Roman" w:cs="Times New Roman"/>
                <w:b/>
                <w:lang w:val="it-CH"/>
              </w:rPr>
            </w:pPr>
            <w:r w:rsidRPr="009E686F">
              <w:rPr>
                <w:rFonts w:ascii="Times New Roman" w:hAnsi="Times New Roman" w:cs="Times New Roman"/>
                <w:b/>
                <w:lang w:val="it-CH"/>
              </w:rPr>
              <w:t>Articolul 34 alin. (19)</w:t>
            </w:r>
          </w:p>
          <w:p w14:paraId="12291804" w14:textId="32234740" w:rsidR="00265766" w:rsidRPr="009E686F" w:rsidRDefault="00265766" w:rsidP="00265766">
            <w:pPr>
              <w:spacing w:after="0"/>
              <w:jc w:val="both"/>
              <w:rPr>
                <w:rFonts w:ascii="Times New Roman" w:hAnsi="Times New Roman" w:cs="Times New Roman"/>
                <w:bCs/>
                <w:i/>
                <w:iCs/>
                <w:lang w:val="it-IT"/>
              </w:rPr>
            </w:pPr>
            <w:r w:rsidRPr="009E686F">
              <w:rPr>
                <w:rFonts w:ascii="Times New Roman" w:hAnsi="Times New Roman" w:cs="Times New Roman"/>
                <w:i/>
                <w:lang w:val="it-CH"/>
              </w:rPr>
              <w:t>(19) În aplicarea alin. (15) lit. e), în cazul în care a recepționat un aviz negativ din partea organului cu funcții de supraveghere a părților fiannciare interesate în conformitate cu Legea nr. 308/2017</w:t>
            </w:r>
            <w:r w:rsidRPr="009E686F">
              <w:rPr>
                <w:lang w:val="it-CH"/>
              </w:rPr>
              <w:t xml:space="preserve"> </w:t>
            </w:r>
            <w:r w:rsidRPr="009E686F">
              <w:rPr>
                <w:rFonts w:ascii="Times New Roman" w:hAnsi="Times New Roman" w:cs="Times New Roman"/>
                <w:i/>
                <w:lang w:val="it-CH"/>
              </w:rPr>
              <w:t>sau în conformitate cu dispozițiile legale adoptate de alte state membre pentru transpunerea Directivei (UE) 2015/849</w:t>
            </w:r>
            <w:r w:rsidR="00D7122D" w:rsidRPr="009E686F">
              <w:rPr>
                <w:rFonts w:ascii="Times New Roman" w:hAnsi="Times New Roman" w:cs="Times New Roman"/>
                <w:i/>
                <w:lang w:val="it-CH"/>
              </w:rPr>
              <w:t xml:space="preserve"> a Parlamentului European și a Consiliului din 20 mai 2015 privind prevenirea utilizării sistemului financiar în scopul spălării banilor sau finanțării terorismului, de modificare a Regulamentului (UE) nr. 648/2012 al Parlamentului European și al Consiliului și de abrogare a Directivei 2005/60/CE a Parlamentului European și a Consiliului și a Directivei 2006/70/CE a Comisiei, după  caz</w:t>
            </w:r>
            <w:r w:rsidRPr="009E686F">
              <w:rPr>
                <w:rFonts w:ascii="Times New Roman" w:hAnsi="Times New Roman" w:cs="Times New Roman"/>
                <w:i/>
                <w:lang w:val="it-CH"/>
              </w:rPr>
              <w:t xml:space="preserve">, în termen de 30 </w:t>
            </w:r>
            <w:r w:rsidR="00D7122D" w:rsidRPr="009E686F">
              <w:rPr>
                <w:rFonts w:ascii="Times New Roman" w:hAnsi="Times New Roman" w:cs="Times New Roman"/>
                <w:i/>
                <w:lang w:val="it-CH"/>
              </w:rPr>
              <w:t xml:space="preserve">zile </w:t>
            </w:r>
            <w:r w:rsidRPr="009E686F">
              <w:rPr>
                <w:rFonts w:ascii="Times New Roman" w:hAnsi="Times New Roman" w:cs="Times New Roman"/>
                <w:i/>
                <w:lang w:val="it-CH"/>
              </w:rPr>
              <w:t xml:space="preserve">lucrătoare de la cererea  inițială, Banca Națională a Moldovei, în calitate de autoritate competentă, ia în considerare respectivul aviz în mod corespunzător la realizarea evaluării. </w:t>
            </w:r>
            <w:r w:rsidRPr="009E686F">
              <w:rPr>
                <w:rFonts w:ascii="Times New Roman" w:hAnsi="Times New Roman" w:cs="Times New Roman"/>
                <w:bCs/>
                <w:i/>
                <w:iCs/>
                <w:lang w:val="it-IT"/>
              </w:rPr>
              <w:t>Acest aviz poate constitui un motiv rezonabil pentru emiterea unui aviz negativ din partea Băncii Naționale a Moldovei cu privire la operațiunea propusă.</w:t>
            </w:r>
          </w:p>
        </w:tc>
        <w:tc>
          <w:tcPr>
            <w:tcW w:w="470" w:type="pct"/>
            <w:tcBorders>
              <w:top w:val="single" w:sz="4" w:space="0" w:color="auto"/>
              <w:left w:val="single" w:sz="4" w:space="0" w:color="auto"/>
              <w:bottom w:val="single" w:sz="4" w:space="0" w:color="auto"/>
              <w:right w:val="single" w:sz="4" w:space="0" w:color="auto"/>
            </w:tcBorders>
          </w:tcPr>
          <w:p w14:paraId="4D8AFB43" w14:textId="38F61489" w:rsidR="00265766" w:rsidRPr="009E686F" w:rsidDel="003932E1" w:rsidRDefault="00265766" w:rsidP="00265766">
            <w:pPr>
              <w:jc w:val="both"/>
              <w:rPr>
                <w:rFonts w:ascii="Times New Roman" w:hAnsi="Times New Roman" w:cs="Times New Roman"/>
                <w:lang w:val="it-IT"/>
              </w:rPr>
            </w:pPr>
            <w:r w:rsidRPr="009E686F">
              <w:rPr>
                <w:rFonts w:ascii="Times New Roman" w:hAnsi="Times New Roman" w:cs="Times New Roman"/>
                <w:lang w:val="ro-MD"/>
              </w:rPr>
              <w:t>Compatibil</w:t>
            </w:r>
          </w:p>
        </w:tc>
        <w:tc>
          <w:tcPr>
            <w:tcW w:w="806" w:type="pct"/>
            <w:tcBorders>
              <w:top w:val="single" w:sz="4" w:space="0" w:color="auto"/>
              <w:left w:val="single" w:sz="4" w:space="0" w:color="auto"/>
              <w:bottom w:val="single" w:sz="4" w:space="0" w:color="auto"/>
              <w:right w:val="single" w:sz="4" w:space="0" w:color="auto"/>
            </w:tcBorders>
          </w:tcPr>
          <w:p w14:paraId="67D620D0" w14:textId="77777777" w:rsidR="00265766" w:rsidRPr="009E686F" w:rsidRDefault="00265766" w:rsidP="00265766">
            <w:pPr>
              <w:spacing w:after="0"/>
              <w:jc w:val="both"/>
              <w:rPr>
                <w:rFonts w:ascii="Times New Roman" w:hAnsi="Times New Roman" w:cs="Times New Roman"/>
                <w:color w:val="FF0000"/>
                <w:lang w:val="it-IT"/>
              </w:rPr>
            </w:pPr>
          </w:p>
        </w:tc>
      </w:tr>
      <w:tr w:rsidR="00265766" w:rsidRPr="009E686F" w14:paraId="58CD9312" w14:textId="77777777" w:rsidTr="00960C23">
        <w:tc>
          <w:tcPr>
            <w:tcW w:w="1890" w:type="pct"/>
            <w:tcBorders>
              <w:top w:val="single" w:sz="4" w:space="0" w:color="auto"/>
              <w:left w:val="single" w:sz="4" w:space="0" w:color="auto"/>
              <w:bottom w:val="single" w:sz="4" w:space="0" w:color="auto"/>
              <w:right w:val="single" w:sz="4" w:space="0" w:color="auto"/>
            </w:tcBorders>
          </w:tcPr>
          <w:p w14:paraId="26E8AC68" w14:textId="6A543A82" w:rsidR="00265766" w:rsidRPr="009E686F" w:rsidDel="003932E1" w:rsidRDefault="00265766" w:rsidP="00265766">
            <w:pPr>
              <w:spacing w:after="0"/>
              <w:jc w:val="both"/>
              <w:rPr>
                <w:rFonts w:ascii="Times New Roman" w:hAnsi="Times New Roman" w:cs="Times New Roman"/>
                <w:lang w:val="it-IT"/>
              </w:rPr>
            </w:pPr>
            <w:r w:rsidRPr="009E686F">
              <w:rPr>
                <w:rFonts w:ascii="Times New Roman" w:hAnsi="Times New Roman" w:cs="Times New Roman"/>
                <w:lang w:val="it-IT"/>
              </w:rPr>
              <w:t>(4) Statele membre nu permit autorităților competente să examineze operațiunea propusă din perspectiva necesităților economice ale pieței.</w:t>
            </w:r>
          </w:p>
        </w:tc>
        <w:tc>
          <w:tcPr>
            <w:tcW w:w="1834" w:type="pct"/>
            <w:tcBorders>
              <w:top w:val="single" w:sz="4" w:space="0" w:color="auto"/>
              <w:left w:val="single" w:sz="4" w:space="0" w:color="auto"/>
              <w:bottom w:val="single" w:sz="4" w:space="0" w:color="auto"/>
              <w:right w:val="single" w:sz="4" w:space="0" w:color="auto"/>
            </w:tcBorders>
          </w:tcPr>
          <w:p w14:paraId="3AF5BF92" w14:textId="0E712C82" w:rsidR="00265766" w:rsidRPr="009E686F" w:rsidRDefault="00265766" w:rsidP="00265766">
            <w:pPr>
              <w:spacing w:after="0"/>
              <w:jc w:val="both"/>
              <w:rPr>
                <w:rFonts w:ascii="Times New Roman" w:hAnsi="Times New Roman" w:cs="Times New Roman"/>
                <w:b/>
                <w:lang w:val="it-IT"/>
              </w:rPr>
            </w:pPr>
            <w:r w:rsidRPr="009E686F">
              <w:rPr>
                <w:rFonts w:ascii="Times New Roman" w:hAnsi="Times New Roman" w:cs="Times New Roman"/>
                <w:b/>
                <w:lang w:val="it-IT"/>
              </w:rPr>
              <w:t>Articolul 34 alin. (20)</w:t>
            </w:r>
          </w:p>
          <w:p w14:paraId="5139EB7D" w14:textId="26C52AEE" w:rsidR="00265766" w:rsidRPr="009E686F" w:rsidRDefault="00265766" w:rsidP="00265766">
            <w:pPr>
              <w:spacing w:after="0"/>
              <w:jc w:val="both"/>
              <w:rPr>
                <w:rFonts w:ascii="Times New Roman" w:hAnsi="Times New Roman" w:cs="Times New Roman"/>
                <w:bCs/>
                <w:i/>
                <w:iCs/>
                <w:lang w:val="it-IT"/>
              </w:rPr>
            </w:pPr>
            <w:r w:rsidRPr="009E686F">
              <w:rPr>
                <w:rFonts w:ascii="Times New Roman" w:hAnsi="Times New Roman" w:cs="Times New Roman"/>
                <w:bCs/>
                <w:i/>
                <w:iCs/>
                <w:lang w:val="it-IT"/>
              </w:rPr>
              <w:t>(20) Banca Naţională a Moldovei nu poate evalua operațiunea propusă din punctul de vedere al necesităţilor economice ale pieţei.</w:t>
            </w:r>
          </w:p>
        </w:tc>
        <w:tc>
          <w:tcPr>
            <w:tcW w:w="470" w:type="pct"/>
            <w:tcBorders>
              <w:top w:val="single" w:sz="4" w:space="0" w:color="auto"/>
              <w:left w:val="single" w:sz="4" w:space="0" w:color="auto"/>
              <w:bottom w:val="single" w:sz="4" w:space="0" w:color="auto"/>
              <w:right w:val="single" w:sz="4" w:space="0" w:color="auto"/>
            </w:tcBorders>
          </w:tcPr>
          <w:p w14:paraId="360C04BC" w14:textId="537EAB27" w:rsidR="00265766" w:rsidRPr="009E686F" w:rsidDel="003932E1" w:rsidRDefault="00265766" w:rsidP="00265766">
            <w:pPr>
              <w:jc w:val="both"/>
              <w:rPr>
                <w:rFonts w:ascii="Times New Roman" w:hAnsi="Times New Roman" w:cs="Times New Roman"/>
                <w:lang w:val="it-IT"/>
              </w:rPr>
            </w:pPr>
            <w:r w:rsidRPr="009E686F">
              <w:rPr>
                <w:rFonts w:ascii="Times New Roman" w:hAnsi="Times New Roman" w:cs="Times New Roman"/>
                <w:lang w:val="ro-MD"/>
              </w:rPr>
              <w:t>Compatibil</w:t>
            </w:r>
          </w:p>
        </w:tc>
        <w:tc>
          <w:tcPr>
            <w:tcW w:w="806" w:type="pct"/>
            <w:tcBorders>
              <w:top w:val="single" w:sz="4" w:space="0" w:color="auto"/>
              <w:left w:val="single" w:sz="4" w:space="0" w:color="auto"/>
              <w:bottom w:val="single" w:sz="4" w:space="0" w:color="auto"/>
              <w:right w:val="single" w:sz="4" w:space="0" w:color="auto"/>
            </w:tcBorders>
          </w:tcPr>
          <w:p w14:paraId="061E7079" w14:textId="77777777" w:rsidR="00265766" w:rsidRPr="009E686F" w:rsidRDefault="00265766" w:rsidP="00265766">
            <w:pPr>
              <w:spacing w:after="0"/>
              <w:jc w:val="both"/>
              <w:rPr>
                <w:rFonts w:ascii="Times New Roman" w:hAnsi="Times New Roman" w:cs="Times New Roman"/>
                <w:color w:val="FF0000"/>
                <w:lang w:val="it-IT"/>
              </w:rPr>
            </w:pPr>
          </w:p>
        </w:tc>
      </w:tr>
      <w:tr w:rsidR="00265766" w:rsidRPr="009E686F" w14:paraId="284B1E62" w14:textId="77777777" w:rsidTr="00960C23">
        <w:tc>
          <w:tcPr>
            <w:tcW w:w="1890" w:type="pct"/>
            <w:tcBorders>
              <w:top w:val="single" w:sz="4" w:space="0" w:color="auto"/>
              <w:left w:val="single" w:sz="4" w:space="0" w:color="auto"/>
              <w:bottom w:val="single" w:sz="4" w:space="0" w:color="auto"/>
              <w:right w:val="single" w:sz="4" w:space="0" w:color="auto"/>
            </w:tcBorders>
          </w:tcPr>
          <w:p w14:paraId="737CD263" w14:textId="42460B07" w:rsidR="00265766" w:rsidRPr="009E686F" w:rsidDel="003932E1" w:rsidRDefault="00265766" w:rsidP="00265766">
            <w:pPr>
              <w:spacing w:after="0"/>
              <w:jc w:val="both"/>
              <w:rPr>
                <w:rFonts w:ascii="Times New Roman" w:hAnsi="Times New Roman" w:cs="Times New Roman"/>
                <w:lang w:val="it-IT"/>
              </w:rPr>
            </w:pPr>
            <w:r w:rsidRPr="009E686F">
              <w:rPr>
                <w:rFonts w:ascii="Times New Roman" w:hAnsi="Times New Roman" w:cs="Times New Roman"/>
                <w:lang w:val="it-IT"/>
              </w:rPr>
              <w:lastRenderedPageBreak/>
              <w:t>(5) Statele membre publică o listă a informațiilor necesare pentru efectuarea evaluării prevăzute la alineatul (1) de la prezentul articol. Părțile interesate financiare furnizează informațiile respective autorităților competente la momentul notificării menționate la articolul 27i alineatul (1). Informațiile solicitate sunt proporționale și adecvate naturii operațiunii propuse. Statele membre nu solicită informații care nu prezintă relevanță pentru o evaluare prudențială în temeiul prezentului articol.</w:t>
            </w:r>
          </w:p>
        </w:tc>
        <w:tc>
          <w:tcPr>
            <w:tcW w:w="1834" w:type="pct"/>
            <w:tcBorders>
              <w:top w:val="single" w:sz="4" w:space="0" w:color="auto"/>
              <w:left w:val="single" w:sz="4" w:space="0" w:color="auto"/>
              <w:bottom w:val="single" w:sz="4" w:space="0" w:color="auto"/>
              <w:right w:val="single" w:sz="4" w:space="0" w:color="auto"/>
            </w:tcBorders>
          </w:tcPr>
          <w:p w14:paraId="5D15513D" w14:textId="750CACAC" w:rsidR="00265766" w:rsidRPr="009E686F" w:rsidRDefault="00265766" w:rsidP="00265766">
            <w:pPr>
              <w:spacing w:after="0"/>
              <w:jc w:val="both"/>
              <w:rPr>
                <w:rFonts w:ascii="Times New Roman" w:hAnsi="Times New Roman" w:cs="Times New Roman"/>
                <w:b/>
                <w:lang w:val="it-IT"/>
              </w:rPr>
            </w:pPr>
            <w:r w:rsidRPr="009E686F">
              <w:rPr>
                <w:rFonts w:ascii="Times New Roman" w:hAnsi="Times New Roman" w:cs="Times New Roman"/>
                <w:b/>
                <w:lang w:val="it-IT"/>
              </w:rPr>
              <w:t>Articolul 34 alin. (23)</w:t>
            </w:r>
          </w:p>
          <w:p w14:paraId="7D28225C" w14:textId="024935E1" w:rsidR="00265766" w:rsidRPr="009E686F" w:rsidRDefault="00265766" w:rsidP="00265766">
            <w:pPr>
              <w:spacing w:after="0"/>
              <w:jc w:val="both"/>
              <w:rPr>
                <w:rFonts w:ascii="Times New Roman" w:hAnsi="Times New Roman" w:cs="Times New Roman"/>
                <w:bCs/>
                <w:i/>
                <w:iCs/>
                <w:lang w:val="it-IT"/>
              </w:rPr>
            </w:pPr>
            <w:r w:rsidRPr="009E686F">
              <w:rPr>
                <w:rFonts w:ascii="Times New Roman" w:hAnsi="Times New Roman" w:cs="Times New Roman"/>
                <w:bCs/>
                <w:i/>
                <w:iCs/>
                <w:lang w:val="it-IT"/>
              </w:rPr>
              <w:t>(23) Informațiile și documentele necesare a fi prezentate Băncii Naționale a Moldovei potrivit alin. (4) trebuie să fie proporționale și adecvate naturii operațiunii propuse și să prezinte relevanță pentru evaluarea prudențială realizată în temeiul prezentului articol și se stabilesc prin actele normative emise în aplicarea prezentei legi trebuie să fie proporționale și adecvate naturii operațiunii propuse și să prezinte relevanță pentru evaluarea prudențială realizată în temeiul prezentului articol.</w:t>
            </w:r>
          </w:p>
          <w:p w14:paraId="13DFF2C2" w14:textId="77777777" w:rsidR="00265766" w:rsidRPr="009E686F" w:rsidRDefault="00265766" w:rsidP="00265766">
            <w:pPr>
              <w:spacing w:after="0"/>
              <w:jc w:val="both"/>
              <w:rPr>
                <w:rFonts w:ascii="Times New Roman" w:hAnsi="Times New Roman" w:cs="Times New Roman"/>
                <w:b/>
                <w:lang w:val="it-IT"/>
              </w:rPr>
            </w:pPr>
          </w:p>
        </w:tc>
        <w:tc>
          <w:tcPr>
            <w:tcW w:w="470" w:type="pct"/>
            <w:tcBorders>
              <w:top w:val="single" w:sz="4" w:space="0" w:color="auto"/>
              <w:left w:val="single" w:sz="4" w:space="0" w:color="auto"/>
              <w:bottom w:val="single" w:sz="4" w:space="0" w:color="auto"/>
              <w:right w:val="single" w:sz="4" w:space="0" w:color="auto"/>
            </w:tcBorders>
          </w:tcPr>
          <w:p w14:paraId="1170BFC4" w14:textId="3D78D9C6" w:rsidR="00265766" w:rsidRPr="009E686F" w:rsidDel="003932E1" w:rsidRDefault="00265766" w:rsidP="00265766">
            <w:pPr>
              <w:jc w:val="both"/>
              <w:rPr>
                <w:rFonts w:ascii="Times New Roman" w:hAnsi="Times New Roman" w:cs="Times New Roman"/>
                <w:lang w:val="it-IT"/>
              </w:rPr>
            </w:pPr>
            <w:r w:rsidRPr="009E686F">
              <w:rPr>
                <w:rFonts w:ascii="Times New Roman" w:hAnsi="Times New Roman" w:cs="Times New Roman"/>
                <w:lang w:val="ro-MD"/>
              </w:rPr>
              <w:t>Compatibil</w:t>
            </w:r>
          </w:p>
        </w:tc>
        <w:tc>
          <w:tcPr>
            <w:tcW w:w="806" w:type="pct"/>
            <w:tcBorders>
              <w:top w:val="single" w:sz="4" w:space="0" w:color="auto"/>
              <w:left w:val="single" w:sz="4" w:space="0" w:color="auto"/>
              <w:bottom w:val="single" w:sz="4" w:space="0" w:color="auto"/>
              <w:right w:val="single" w:sz="4" w:space="0" w:color="auto"/>
            </w:tcBorders>
          </w:tcPr>
          <w:p w14:paraId="2D797A07" w14:textId="77777777" w:rsidR="00265766" w:rsidRPr="009E686F" w:rsidRDefault="00265766" w:rsidP="00265766">
            <w:pPr>
              <w:spacing w:after="0"/>
              <w:jc w:val="both"/>
              <w:rPr>
                <w:rFonts w:ascii="Times New Roman" w:hAnsi="Times New Roman" w:cs="Times New Roman"/>
                <w:color w:val="FF0000"/>
                <w:lang w:val="it-IT"/>
              </w:rPr>
            </w:pPr>
          </w:p>
        </w:tc>
      </w:tr>
      <w:tr w:rsidR="00265766" w:rsidRPr="009E686F" w14:paraId="04E485D1" w14:textId="77777777" w:rsidTr="00620A93">
        <w:trPr>
          <w:trHeight w:val="2658"/>
        </w:trPr>
        <w:tc>
          <w:tcPr>
            <w:tcW w:w="1890" w:type="pct"/>
            <w:tcBorders>
              <w:top w:val="single" w:sz="4" w:space="0" w:color="auto"/>
              <w:left w:val="single" w:sz="4" w:space="0" w:color="auto"/>
              <w:right w:val="single" w:sz="4" w:space="0" w:color="auto"/>
            </w:tcBorders>
          </w:tcPr>
          <w:p w14:paraId="6CE1841C" w14:textId="77777777" w:rsidR="00265766" w:rsidRPr="009E686F" w:rsidRDefault="00265766" w:rsidP="00265766">
            <w:pPr>
              <w:spacing w:after="0"/>
              <w:jc w:val="both"/>
              <w:rPr>
                <w:rFonts w:ascii="Times New Roman" w:hAnsi="Times New Roman" w:cs="Times New Roman"/>
                <w:i/>
                <w:lang w:val="it-CH"/>
              </w:rPr>
            </w:pPr>
            <w:r w:rsidRPr="009E686F">
              <w:rPr>
                <w:rFonts w:ascii="Times New Roman" w:hAnsi="Times New Roman" w:cs="Times New Roman"/>
                <w:i/>
                <w:lang w:val="it-CH"/>
              </w:rPr>
              <w:t xml:space="preserve">Articolul 27k </w:t>
            </w:r>
          </w:p>
          <w:p w14:paraId="333D9860" w14:textId="77777777" w:rsidR="00265766" w:rsidRPr="009E686F" w:rsidDel="003932E1"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Cooperarea dintre autoritățile competente</w:t>
            </w:r>
          </w:p>
          <w:p w14:paraId="01310DEC" w14:textId="5D0B78C3" w:rsidR="00265766" w:rsidRPr="009E686F" w:rsidDel="003932E1"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(1) Autoritatea competentă consultă autoritățile care au îndatorirea publică de a supraveghea alte entități în cauză din sectorul financiar atunci când efectuează evaluarea prevăzută la articolul 27j alineatul (1) în cazul în care, pe lângă părțile interesate financiare, în operațiunea propusă sunt implicate entități care sunt oricare dintre următoarele:</w:t>
            </w:r>
          </w:p>
        </w:tc>
        <w:tc>
          <w:tcPr>
            <w:tcW w:w="1834" w:type="pct"/>
            <w:tcBorders>
              <w:top w:val="single" w:sz="4" w:space="0" w:color="auto"/>
              <w:left w:val="single" w:sz="4" w:space="0" w:color="auto"/>
              <w:right w:val="single" w:sz="4" w:space="0" w:color="auto"/>
            </w:tcBorders>
          </w:tcPr>
          <w:p w14:paraId="72A86AA1" w14:textId="4DA4A1B9" w:rsidR="00265766" w:rsidRPr="009E686F" w:rsidRDefault="00265766" w:rsidP="00265766">
            <w:pPr>
              <w:spacing w:after="0"/>
              <w:jc w:val="both"/>
              <w:rPr>
                <w:rFonts w:ascii="Times New Roman" w:hAnsi="Times New Roman" w:cs="Times New Roman"/>
                <w:b/>
                <w:lang w:val="it-CH"/>
              </w:rPr>
            </w:pPr>
            <w:r w:rsidRPr="009E686F">
              <w:rPr>
                <w:rFonts w:ascii="Times New Roman" w:hAnsi="Times New Roman" w:cs="Times New Roman"/>
                <w:b/>
                <w:lang w:val="it-CH"/>
              </w:rPr>
              <w:t>Articolul 34 alin. (24)</w:t>
            </w:r>
          </w:p>
          <w:p w14:paraId="79A2CEF7" w14:textId="20CB8D5F" w:rsidR="00265766" w:rsidRPr="009E686F" w:rsidRDefault="00265766" w:rsidP="00265766">
            <w:pPr>
              <w:spacing w:after="0"/>
              <w:jc w:val="both"/>
              <w:rPr>
                <w:rFonts w:ascii="Times New Roman" w:hAnsi="Times New Roman" w:cs="Times New Roman"/>
                <w:b/>
                <w:i/>
                <w:lang w:val="it-CH"/>
              </w:rPr>
            </w:pPr>
            <w:r w:rsidRPr="009E686F">
              <w:rPr>
                <w:rFonts w:ascii="Times New Roman" w:hAnsi="Times New Roman" w:cs="Times New Roman"/>
                <w:i/>
                <w:lang w:val="it-CH"/>
              </w:rPr>
              <w:t>(24) Banca Națională a Moldovei consultă autoritățile care au competența de a supraveghea alte entități în cauză din sectorul financiar atunci când efectuează evaluarea prevăzută la alin. (15) în cazul în care, pe lângă părțile interesate financiare, în operațiunea propusă sunt implicate entități care sunt oricare dintre următoarele:</w:t>
            </w:r>
          </w:p>
        </w:tc>
        <w:tc>
          <w:tcPr>
            <w:tcW w:w="470" w:type="pct"/>
            <w:tcBorders>
              <w:top w:val="single" w:sz="4" w:space="0" w:color="auto"/>
              <w:left w:val="single" w:sz="4" w:space="0" w:color="auto"/>
              <w:right w:val="single" w:sz="4" w:space="0" w:color="auto"/>
            </w:tcBorders>
          </w:tcPr>
          <w:p w14:paraId="75EAD0CA" w14:textId="6836EE29" w:rsidR="00265766" w:rsidRPr="009E686F" w:rsidDel="003932E1" w:rsidRDefault="00265766" w:rsidP="00265766">
            <w:pPr>
              <w:jc w:val="both"/>
              <w:rPr>
                <w:rFonts w:ascii="Times New Roman" w:hAnsi="Times New Roman" w:cs="Times New Roman"/>
                <w:lang w:val="it-IT"/>
              </w:rPr>
            </w:pPr>
            <w:r w:rsidRPr="009E686F">
              <w:rPr>
                <w:rFonts w:ascii="Times New Roman" w:hAnsi="Times New Roman" w:cs="Times New Roman"/>
                <w:lang w:val="pt-BR"/>
              </w:rPr>
              <w:t>Compatibil</w:t>
            </w:r>
          </w:p>
        </w:tc>
        <w:tc>
          <w:tcPr>
            <w:tcW w:w="806" w:type="pct"/>
            <w:tcBorders>
              <w:top w:val="single" w:sz="4" w:space="0" w:color="auto"/>
              <w:left w:val="single" w:sz="4" w:space="0" w:color="auto"/>
              <w:right w:val="single" w:sz="4" w:space="0" w:color="auto"/>
            </w:tcBorders>
          </w:tcPr>
          <w:p w14:paraId="4C58C759" w14:textId="77777777" w:rsidR="00265766" w:rsidRPr="009E686F" w:rsidRDefault="00265766" w:rsidP="00265766">
            <w:pPr>
              <w:spacing w:after="0"/>
              <w:jc w:val="both"/>
              <w:rPr>
                <w:rFonts w:ascii="Times New Roman" w:hAnsi="Times New Roman" w:cs="Times New Roman"/>
                <w:color w:val="FF0000"/>
                <w:lang w:val="it-IT"/>
              </w:rPr>
            </w:pPr>
          </w:p>
        </w:tc>
      </w:tr>
      <w:tr w:rsidR="00265766" w:rsidRPr="009E686F" w14:paraId="544ADB71" w14:textId="77777777" w:rsidTr="00960C23">
        <w:tc>
          <w:tcPr>
            <w:tcW w:w="1890" w:type="pct"/>
            <w:tcBorders>
              <w:top w:val="single" w:sz="4" w:space="0" w:color="auto"/>
              <w:left w:val="single" w:sz="4" w:space="0" w:color="auto"/>
              <w:bottom w:val="single" w:sz="4" w:space="0" w:color="auto"/>
              <w:right w:val="single" w:sz="4" w:space="0" w:color="auto"/>
            </w:tcBorders>
          </w:tcPr>
          <w:p w14:paraId="3BF72F3C" w14:textId="62E036A7" w:rsidR="00265766" w:rsidRPr="009E686F" w:rsidDel="003932E1" w:rsidRDefault="00265766" w:rsidP="00265766">
            <w:pPr>
              <w:spacing w:after="0"/>
              <w:jc w:val="both"/>
              <w:rPr>
                <w:rFonts w:ascii="Times New Roman" w:hAnsi="Times New Roman" w:cs="Times New Roman"/>
                <w:lang w:val="pt-BR"/>
              </w:rPr>
            </w:pPr>
            <w:r w:rsidRPr="009E686F">
              <w:rPr>
                <w:rFonts w:ascii="Times New Roman" w:hAnsi="Times New Roman" w:cs="Times New Roman"/>
                <w:lang w:val="pt-BR"/>
              </w:rPr>
              <w:t>(a) o instituție de credit, o întreprindere de asigurare, o întreprindere de reasigurare, o firmă de investiții sau o societate de administrare a activelor autorizată într-un alt stat membru sau într-un alt sector decât cel în care este efectuată operațiunea propusă;</w:t>
            </w:r>
          </w:p>
        </w:tc>
        <w:tc>
          <w:tcPr>
            <w:tcW w:w="1834" w:type="pct"/>
            <w:tcBorders>
              <w:top w:val="single" w:sz="4" w:space="0" w:color="auto"/>
              <w:left w:val="single" w:sz="4" w:space="0" w:color="auto"/>
              <w:bottom w:val="single" w:sz="4" w:space="0" w:color="auto"/>
              <w:right w:val="single" w:sz="4" w:space="0" w:color="auto"/>
            </w:tcBorders>
          </w:tcPr>
          <w:p w14:paraId="530794E3" w14:textId="3BFB2C96" w:rsidR="00265766" w:rsidRPr="009E686F" w:rsidRDefault="00265766" w:rsidP="00265766">
            <w:pPr>
              <w:spacing w:after="0"/>
              <w:jc w:val="both"/>
              <w:rPr>
                <w:rFonts w:ascii="Times New Roman" w:hAnsi="Times New Roman" w:cs="Times New Roman"/>
                <w:bCs/>
                <w:i/>
                <w:iCs/>
                <w:lang w:val="pt-BR"/>
              </w:rPr>
            </w:pPr>
            <w:r w:rsidRPr="009E686F">
              <w:rPr>
                <w:rFonts w:ascii="Times New Roman" w:hAnsi="Times New Roman" w:cs="Times New Roman"/>
                <w:bCs/>
                <w:i/>
                <w:iCs/>
                <w:lang w:val="pt-BR"/>
              </w:rPr>
              <w:t>a) o instituție de credit, o societate de asigurare, o societate de reasigurare, o firmă de investiții sau o societate de administrare a activelor autorizată într-un alt stat membru sau într-un alt sector decât cel în care este efectuată operațiunea propusă;</w:t>
            </w:r>
          </w:p>
        </w:tc>
        <w:tc>
          <w:tcPr>
            <w:tcW w:w="470" w:type="pct"/>
            <w:tcBorders>
              <w:top w:val="single" w:sz="4" w:space="0" w:color="auto"/>
              <w:left w:val="single" w:sz="4" w:space="0" w:color="auto"/>
              <w:bottom w:val="single" w:sz="4" w:space="0" w:color="auto"/>
              <w:right w:val="single" w:sz="4" w:space="0" w:color="auto"/>
            </w:tcBorders>
          </w:tcPr>
          <w:p w14:paraId="64E79D48" w14:textId="7D9214DA" w:rsidR="00265766" w:rsidRPr="009E686F" w:rsidDel="003932E1" w:rsidRDefault="00265766" w:rsidP="00265766">
            <w:pPr>
              <w:jc w:val="both"/>
              <w:rPr>
                <w:rFonts w:ascii="Times New Roman" w:hAnsi="Times New Roman" w:cs="Times New Roman"/>
                <w:lang w:val="pt-BR"/>
              </w:rPr>
            </w:pPr>
            <w:r w:rsidRPr="009E686F">
              <w:rPr>
                <w:rFonts w:ascii="Times New Roman" w:hAnsi="Times New Roman" w:cs="Times New Roman"/>
                <w:lang w:val="pt-BR"/>
              </w:rPr>
              <w:t>Compatibil</w:t>
            </w:r>
          </w:p>
        </w:tc>
        <w:tc>
          <w:tcPr>
            <w:tcW w:w="806" w:type="pct"/>
            <w:tcBorders>
              <w:top w:val="single" w:sz="4" w:space="0" w:color="auto"/>
              <w:left w:val="single" w:sz="4" w:space="0" w:color="auto"/>
              <w:bottom w:val="single" w:sz="4" w:space="0" w:color="auto"/>
              <w:right w:val="single" w:sz="4" w:space="0" w:color="auto"/>
            </w:tcBorders>
          </w:tcPr>
          <w:p w14:paraId="2489C4AD" w14:textId="77777777" w:rsidR="00265766" w:rsidRPr="009E686F" w:rsidRDefault="00265766" w:rsidP="00265766">
            <w:pPr>
              <w:spacing w:after="0"/>
              <w:jc w:val="both"/>
              <w:rPr>
                <w:rFonts w:ascii="Times New Roman" w:hAnsi="Times New Roman" w:cs="Times New Roman"/>
                <w:color w:val="FF0000"/>
                <w:lang w:val="pt-BR"/>
              </w:rPr>
            </w:pPr>
          </w:p>
        </w:tc>
      </w:tr>
      <w:tr w:rsidR="00265766" w:rsidRPr="009E686F" w14:paraId="1941A4C4" w14:textId="77777777" w:rsidTr="00960C23">
        <w:tc>
          <w:tcPr>
            <w:tcW w:w="1890" w:type="pct"/>
            <w:tcBorders>
              <w:top w:val="single" w:sz="4" w:space="0" w:color="auto"/>
              <w:left w:val="single" w:sz="4" w:space="0" w:color="auto"/>
              <w:bottom w:val="single" w:sz="4" w:space="0" w:color="auto"/>
              <w:right w:val="single" w:sz="4" w:space="0" w:color="auto"/>
            </w:tcBorders>
          </w:tcPr>
          <w:p w14:paraId="0C121ED0" w14:textId="34096FAE" w:rsidR="00265766" w:rsidRPr="009E686F" w:rsidDel="003932E1" w:rsidRDefault="00265766" w:rsidP="00265766">
            <w:pPr>
              <w:spacing w:after="0"/>
              <w:jc w:val="both"/>
              <w:rPr>
                <w:rFonts w:ascii="Times New Roman" w:hAnsi="Times New Roman" w:cs="Times New Roman"/>
              </w:rPr>
            </w:pPr>
            <w:r w:rsidRPr="009E686F">
              <w:rPr>
                <w:rFonts w:ascii="Times New Roman" w:hAnsi="Times New Roman" w:cs="Times New Roman"/>
              </w:rPr>
              <w:t>(b) o întreprindere-mamă a unei instituții de credit, a unei întreprinderi de asigurare, a unei întreprinderi de reasigurare, a unei firme de investiții sau a unei societăți de administrare a activelor autorizată într-un alt stat membru sau într-un alt sector decât cel în care este efectuată operațiunea propusă;</w:t>
            </w:r>
          </w:p>
        </w:tc>
        <w:tc>
          <w:tcPr>
            <w:tcW w:w="1834" w:type="pct"/>
            <w:tcBorders>
              <w:top w:val="single" w:sz="4" w:space="0" w:color="auto"/>
              <w:left w:val="single" w:sz="4" w:space="0" w:color="auto"/>
              <w:bottom w:val="single" w:sz="4" w:space="0" w:color="auto"/>
              <w:right w:val="single" w:sz="4" w:space="0" w:color="auto"/>
            </w:tcBorders>
          </w:tcPr>
          <w:p w14:paraId="3CB0DD30" w14:textId="2DEA3D60" w:rsidR="00265766" w:rsidRPr="009E686F" w:rsidRDefault="00265766" w:rsidP="00265766">
            <w:pPr>
              <w:spacing w:after="0"/>
              <w:jc w:val="both"/>
              <w:rPr>
                <w:rFonts w:ascii="Times New Roman" w:hAnsi="Times New Roman" w:cs="Times New Roman"/>
                <w:i/>
                <w:lang w:val="it-CH"/>
              </w:rPr>
            </w:pPr>
            <w:r w:rsidRPr="009E686F">
              <w:rPr>
                <w:rFonts w:ascii="Times New Roman" w:hAnsi="Times New Roman" w:cs="Times New Roman"/>
                <w:i/>
                <w:lang w:val="it-CH"/>
              </w:rPr>
              <w:t>b) o întreprindere-mamă a unei instituții de credit, a unei societăți de asigurare, a unei societăți de reasigurare, a unei firmă de investiții sau a unei societăți de administrare a activelor autorizată într-un alt stat membru sau într-un alt sector decât cel în care este efectuată operațiunea propusă;</w:t>
            </w:r>
          </w:p>
        </w:tc>
        <w:tc>
          <w:tcPr>
            <w:tcW w:w="470" w:type="pct"/>
            <w:tcBorders>
              <w:top w:val="single" w:sz="4" w:space="0" w:color="auto"/>
              <w:left w:val="single" w:sz="4" w:space="0" w:color="auto"/>
              <w:bottom w:val="single" w:sz="4" w:space="0" w:color="auto"/>
              <w:right w:val="single" w:sz="4" w:space="0" w:color="auto"/>
            </w:tcBorders>
          </w:tcPr>
          <w:p w14:paraId="68225A58" w14:textId="16F985E3" w:rsidR="00265766" w:rsidRPr="009E686F" w:rsidDel="003932E1" w:rsidRDefault="00265766" w:rsidP="00265766">
            <w:pPr>
              <w:jc w:val="both"/>
              <w:rPr>
                <w:rFonts w:ascii="Times New Roman" w:hAnsi="Times New Roman" w:cs="Times New Roman"/>
                <w:lang w:val="pt-BR"/>
              </w:rPr>
            </w:pPr>
            <w:r w:rsidRPr="009E686F">
              <w:rPr>
                <w:rFonts w:ascii="Times New Roman" w:hAnsi="Times New Roman" w:cs="Times New Roman"/>
                <w:lang w:val="pt-BR"/>
              </w:rPr>
              <w:t>Compatibil</w:t>
            </w:r>
          </w:p>
        </w:tc>
        <w:tc>
          <w:tcPr>
            <w:tcW w:w="806" w:type="pct"/>
            <w:tcBorders>
              <w:top w:val="single" w:sz="4" w:space="0" w:color="auto"/>
              <w:left w:val="single" w:sz="4" w:space="0" w:color="auto"/>
              <w:bottom w:val="single" w:sz="4" w:space="0" w:color="auto"/>
              <w:right w:val="single" w:sz="4" w:space="0" w:color="auto"/>
            </w:tcBorders>
          </w:tcPr>
          <w:p w14:paraId="08F0CEFE" w14:textId="77777777" w:rsidR="00265766" w:rsidRPr="009E686F" w:rsidRDefault="00265766" w:rsidP="00265766">
            <w:pPr>
              <w:spacing w:after="0"/>
              <w:jc w:val="both"/>
              <w:rPr>
                <w:rFonts w:ascii="Times New Roman" w:hAnsi="Times New Roman" w:cs="Times New Roman"/>
                <w:color w:val="FF0000"/>
                <w:lang w:val="pt-BR"/>
              </w:rPr>
            </w:pPr>
          </w:p>
        </w:tc>
      </w:tr>
      <w:tr w:rsidR="00265766" w:rsidRPr="009E686F" w14:paraId="3AAB4AA0" w14:textId="77777777" w:rsidTr="00960C23">
        <w:tc>
          <w:tcPr>
            <w:tcW w:w="1890" w:type="pct"/>
            <w:tcBorders>
              <w:top w:val="single" w:sz="4" w:space="0" w:color="auto"/>
              <w:left w:val="single" w:sz="4" w:space="0" w:color="auto"/>
              <w:bottom w:val="single" w:sz="4" w:space="0" w:color="auto"/>
              <w:right w:val="single" w:sz="4" w:space="0" w:color="auto"/>
            </w:tcBorders>
          </w:tcPr>
          <w:p w14:paraId="1126BB9D" w14:textId="2C835131" w:rsidR="00265766" w:rsidRPr="009E686F" w:rsidDel="003932E1" w:rsidRDefault="00265766" w:rsidP="00265766">
            <w:pPr>
              <w:spacing w:after="0"/>
              <w:jc w:val="both"/>
              <w:rPr>
                <w:rFonts w:ascii="Times New Roman" w:hAnsi="Times New Roman" w:cs="Times New Roman"/>
                <w:lang w:val="pt-BR"/>
              </w:rPr>
            </w:pPr>
            <w:r w:rsidRPr="009E686F">
              <w:rPr>
                <w:rFonts w:ascii="Times New Roman" w:hAnsi="Times New Roman" w:cs="Times New Roman"/>
                <w:lang w:val="pt-BR"/>
              </w:rPr>
              <w:lastRenderedPageBreak/>
              <w:t>(c) o persoană juridică ce controlează o instituție de credit, o întreprindere de asigurare, o întreprindere de reasigurare, o firmă de investiții sau o societate de administrare a activelor autorizată într-un alt stat membru sau într-un alt sector decât cel în care este efectuată operațiunea propusă.</w:t>
            </w:r>
          </w:p>
        </w:tc>
        <w:tc>
          <w:tcPr>
            <w:tcW w:w="1834" w:type="pct"/>
            <w:tcBorders>
              <w:top w:val="single" w:sz="4" w:space="0" w:color="auto"/>
              <w:left w:val="single" w:sz="4" w:space="0" w:color="auto"/>
              <w:bottom w:val="single" w:sz="4" w:space="0" w:color="auto"/>
              <w:right w:val="single" w:sz="4" w:space="0" w:color="auto"/>
            </w:tcBorders>
          </w:tcPr>
          <w:p w14:paraId="6F70F4D3" w14:textId="0E415F46" w:rsidR="00265766" w:rsidRPr="009E686F" w:rsidRDefault="00265766" w:rsidP="00265766">
            <w:pPr>
              <w:spacing w:after="0"/>
              <w:jc w:val="both"/>
              <w:rPr>
                <w:rFonts w:ascii="Times New Roman" w:hAnsi="Times New Roman" w:cs="Times New Roman"/>
                <w:bCs/>
                <w:i/>
                <w:iCs/>
                <w:lang w:val="pt-BR"/>
              </w:rPr>
            </w:pPr>
            <w:r w:rsidRPr="009E686F">
              <w:rPr>
                <w:rFonts w:ascii="Times New Roman" w:hAnsi="Times New Roman" w:cs="Times New Roman"/>
                <w:bCs/>
                <w:i/>
                <w:iCs/>
                <w:lang w:val="pt-BR"/>
              </w:rPr>
              <w:t>c) o persoană juridică ce controlează o instituție de credit, o societate de asigurare, o întreprindere societate de reasigurare, o firmă de investiții sau o societate de administrare a activelor autorizată într-un alt stat membru sau într-un alt sector decât cel în care este efectuată operațiunea propusă.</w:t>
            </w:r>
          </w:p>
        </w:tc>
        <w:tc>
          <w:tcPr>
            <w:tcW w:w="470" w:type="pct"/>
            <w:tcBorders>
              <w:top w:val="single" w:sz="4" w:space="0" w:color="auto"/>
              <w:left w:val="single" w:sz="4" w:space="0" w:color="auto"/>
              <w:bottom w:val="single" w:sz="4" w:space="0" w:color="auto"/>
              <w:right w:val="single" w:sz="4" w:space="0" w:color="auto"/>
            </w:tcBorders>
          </w:tcPr>
          <w:p w14:paraId="5B6D31C5" w14:textId="00995FB6" w:rsidR="00265766" w:rsidRPr="009E686F" w:rsidDel="003932E1" w:rsidRDefault="00265766" w:rsidP="00265766">
            <w:pPr>
              <w:jc w:val="both"/>
              <w:rPr>
                <w:rFonts w:ascii="Times New Roman" w:hAnsi="Times New Roman" w:cs="Times New Roman"/>
                <w:lang w:val="pt-BR"/>
              </w:rPr>
            </w:pPr>
            <w:r w:rsidRPr="009E686F">
              <w:rPr>
                <w:rFonts w:ascii="Times New Roman" w:hAnsi="Times New Roman" w:cs="Times New Roman"/>
                <w:lang w:val="pt-BR"/>
              </w:rPr>
              <w:t>Compatibil</w:t>
            </w:r>
          </w:p>
        </w:tc>
        <w:tc>
          <w:tcPr>
            <w:tcW w:w="806" w:type="pct"/>
            <w:tcBorders>
              <w:top w:val="single" w:sz="4" w:space="0" w:color="auto"/>
              <w:left w:val="single" w:sz="4" w:space="0" w:color="auto"/>
              <w:bottom w:val="single" w:sz="4" w:space="0" w:color="auto"/>
              <w:right w:val="single" w:sz="4" w:space="0" w:color="auto"/>
            </w:tcBorders>
          </w:tcPr>
          <w:p w14:paraId="071B3ACC" w14:textId="77777777" w:rsidR="00265766" w:rsidRPr="009E686F" w:rsidRDefault="00265766" w:rsidP="00265766">
            <w:pPr>
              <w:spacing w:after="0"/>
              <w:jc w:val="both"/>
              <w:rPr>
                <w:rFonts w:ascii="Times New Roman" w:hAnsi="Times New Roman" w:cs="Times New Roman"/>
                <w:color w:val="FF0000"/>
                <w:lang w:val="pt-BR"/>
              </w:rPr>
            </w:pPr>
          </w:p>
        </w:tc>
      </w:tr>
      <w:tr w:rsidR="00265766" w:rsidRPr="009E686F" w14:paraId="7A12AF85" w14:textId="77777777" w:rsidTr="00960C23">
        <w:tc>
          <w:tcPr>
            <w:tcW w:w="1890" w:type="pct"/>
            <w:tcBorders>
              <w:top w:val="single" w:sz="4" w:space="0" w:color="auto"/>
              <w:left w:val="single" w:sz="4" w:space="0" w:color="auto"/>
              <w:bottom w:val="single" w:sz="4" w:space="0" w:color="auto"/>
              <w:right w:val="single" w:sz="4" w:space="0" w:color="auto"/>
            </w:tcBorders>
          </w:tcPr>
          <w:p w14:paraId="1AB36390" w14:textId="77777777" w:rsidR="00265766" w:rsidRPr="009E686F" w:rsidDel="003932E1" w:rsidRDefault="00265766" w:rsidP="00265766">
            <w:pPr>
              <w:spacing w:after="0"/>
              <w:jc w:val="both"/>
              <w:rPr>
                <w:rFonts w:ascii="Times New Roman" w:hAnsi="Times New Roman" w:cs="Times New Roman"/>
                <w:lang w:val="it-IT"/>
              </w:rPr>
            </w:pPr>
            <w:r w:rsidRPr="009E686F">
              <w:rPr>
                <w:rFonts w:ascii="Times New Roman" w:hAnsi="Times New Roman" w:cs="Times New Roman"/>
                <w:lang w:val="it-CH"/>
              </w:rPr>
              <w:t xml:space="preserve">(2) Autoritățile competente își furnizează reciproc, fără întârziere, orice informații care sunt esențiale sau relevante pentru evaluare. </w:t>
            </w:r>
            <w:r w:rsidRPr="009E686F">
              <w:rPr>
                <w:rFonts w:ascii="Times New Roman" w:hAnsi="Times New Roman" w:cs="Times New Roman"/>
                <w:lang w:val="it-IT"/>
              </w:rPr>
              <w:t>În acest sens, autoritățile competente își comunică, la cerere sau din proprie inițiativă, orice informație relevantă pentru evaluare. În avizul emis de autoritatea competentă a unei părți interesate financiare se indică orice opinii sau rezerve exprimate de autoritatea competentă care supraveghează una sau mai multe dintre entitățile enumerate la alineatul (1).</w:t>
            </w:r>
          </w:p>
          <w:p w14:paraId="25C2FE84" w14:textId="6EFF3F29" w:rsidR="00265766" w:rsidRPr="009E686F" w:rsidRDefault="00265766" w:rsidP="00265766">
            <w:pPr>
              <w:spacing w:after="0"/>
              <w:jc w:val="both"/>
              <w:rPr>
                <w:rFonts w:ascii="Times New Roman" w:hAnsi="Times New Roman" w:cs="Times New Roman"/>
                <w:lang w:val="it-IT"/>
              </w:rPr>
            </w:pPr>
            <w:r w:rsidRPr="009E686F">
              <w:rPr>
                <w:rFonts w:ascii="Times New Roman" w:hAnsi="Times New Roman" w:cs="Times New Roman"/>
                <w:lang w:val="it-IT"/>
              </w:rPr>
              <w:t>Autoritățile competente urmăresc să își coordoneze evaluările și să asigure coerența avizelor lor.</w:t>
            </w:r>
          </w:p>
        </w:tc>
        <w:tc>
          <w:tcPr>
            <w:tcW w:w="1834" w:type="pct"/>
            <w:tcBorders>
              <w:top w:val="single" w:sz="4" w:space="0" w:color="auto"/>
              <w:left w:val="single" w:sz="4" w:space="0" w:color="auto"/>
              <w:bottom w:val="single" w:sz="4" w:space="0" w:color="auto"/>
              <w:right w:val="single" w:sz="4" w:space="0" w:color="auto"/>
            </w:tcBorders>
          </w:tcPr>
          <w:p w14:paraId="5126FC68" w14:textId="7CF0BA45" w:rsidR="00265766" w:rsidRPr="009E686F" w:rsidRDefault="00265766" w:rsidP="00265766">
            <w:pPr>
              <w:spacing w:after="0"/>
              <w:jc w:val="both"/>
              <w:rPr>
                <w:rFonts w:ascii="Times New Roman" w:hAnsi="Times New Roman" w:cs="Times New Roman"/>
                <w:b/>
                <w:i/>
                <w:lang w:val="it-IT"/>
              </w:rPr>
            </w:pPr>
            <w:r w:rsidRPr="009E686F">
              <w:rPr>
                <w:rFonts w:ascii="Times New Roman" w:hAnsi="Times New Roman" w:cs="Times New Roman"/>
                <w:b/>
                <w:i/>
                <w:lang w:val="it-IT"/>
              </w:rPr>
              <w:t>Articolul 34 alin. (25)</w:t>
            </w:r>
          </w:p>
          <w:p w14:paraId="44AAC626" w14:textId="3A26F1F6" w:rsidR="00265766" w:rsidRPr="009E686F" w:rsidRDefault="00265766" w:rsidP="00265766">
            <w:pPr>
              <w:spacing w:after="0"/>
              <w:jc w:val="both"/>
              <w:rPr>
                <w:rFonts w:ascii="Times New Roman" w:hAnsi="Times New Roman" w:cs="Times New Roman"/>
                <w:i/>
                <w:lang w:val="it-IT"/>
              </w:rPr>
            </w:pPr>
            <w:r w:rsidRPr="009E686F">
              <w:rPr>
                <w:rFonts w:ascii="Times New Roman" w:hAnsi="Times New Roman" w:cs="Times New Roman"/>
                <w:i/>
                <w:lang w:val="it-IT"/>
              </w:rPr>
              <w:t xml:space="preserve">(25) Banca Națională a Moldovei furnizează, fără întârziere, orice informații care sunt esențiale sau relevante pentru evaluare, la cerere sau din proprie inițiativă, altor autorități competente implicate, în aplicarea prezentului articol, urmărind coordonarea evaluărilor și asigurarea coerenței deciziilor lor. </w:t>
            </w:r>
            <w:r w:rsidRPr="009E686F">
              <w:rPr>
                <w:rFonts w:ascii="Times New Roman" w:hAnsi="Times New Roman" w:cs="Times New Roman"/>
                <w:bCs/>
                <w:i/>
                <w:iCs/>
                <w:lang w:val="it-IT"/>
              </w:rPr>
              <w:t>În cazul în care, Banca Națională a Moldovei este autoritatea competentă cu evaluarea conform prezentului articol, în avizul său, aceasta indică orice opinii sau rezerve formulate de alte autorități competente implicate.</w:t>
            </w:r>
          </w:p>
        </w:tc>
        <w:tc>
          <w:tcPr>
            <w:tcW w:w="470" w:type="pct"/>
            <w:tcBorders>
              <w:top w:val="single" w:sz="4" w:space="0" w:color="auto"/>
              <w:left w:val="single" w:sz="4" w:space="0" w:color="auto"/>
              <w:bottom w:val="single" w:sz="4" w:space="0" w:color="auto"/>
              <w:right w:val="single" w:sz="4" w:space="0" w:color="auto"/>
            </w:tcBorders>
          </w:tcPr>
          <w:p w14:paraId="6680827C" w14:textId="2221A113" w:rsidR="00265766" w:rsidRPr="009E686F" w:rsidDel="003932E1" w:rsidRDefault="00265766" w:rsidP="00265766">
            <w:pPr>
              <w:jc w:val="both"/>
              <w:rPr>
                <w:rFonts w:ascii="Times New Roman" w:hAnsi="Times New Roman" w:cs="Times New Roman"/>
                <w:lang w:val="pt-BR"/>
              </w:rPr>
            </w:pPr>
            <w:r w:rsidRPr="009E686F">
              <w:rPr>
                <w:rFonts w:ascii="Times New Roman" w:hAnsi="Times New Roman" w:cs="Times New Roman"/>
                <w:lang w:val="pt-BR"/>
              </w:rPr>
              <w:t>Compatibil</w:t>
            </w:r>
          </w:p>
        </w:tc>
        <w:tc>
          <w:tcPr>
            <w:tcW w:w="806" w:type="pct"/>
            <w:tcBorders>
              <w:top w:val="single" w:sz="4" w:space="0" w:color="auto"/>
              <w:left w:val="single" w:sz="4" w:space="0" w:color="auto"/>
              <w:bottom w:val="single" w:sz="4" w:space="0" w:color="auto"/>
              <w:right w:val="single" w:sz="4" w:space="0" w:color="auto"/>
            </w:tcBorders>
          </w:tcPr>
          <w:p w14:paraId="6B1AB15A" w14:textId="77777777" w:rsidR="00265766" w:rsidRPr="009E686F" w:rsidRDefault="00265766" w:rsidP="00265766">
            <w:pPr>
              <w:spacing w:after="0"/>
              <w:jc w:val="both"/>
              <w:rPr>
                <w:rFonts w:ascii="Times New Roman" w:hAnsi="Times New Roman" w:cs="Times New Roman"/>
                <w:color w:val="FF0000"/>
                <w:lang w:val="pt-BR"/>
              </w:rPr>
            </w:pPr>
          </w:p>
        </w:tc>
      </w:tr>
      <w:tr w:rsidR="00265766" w:rsidRPr="009E686F" w14:paraId="37C2EECA" w14:textId="77777777" w:rsidTr="00960C23">
        <w:trPr>
          <w:trHeight w:val="801"/>
        </w:trPr>
        <w:tc>
          <w:tcPr>
            <w:tcW w:w="1890" w:type="pct"/>
            <w:tcBorders>
              <w:top w:val="single" w:sz="4" w:space="0" w:color="auto"/>
              <w:left w:val="single" w:sz="4" w:space="0" w:color="auto"/>
              <w:right w:val="single" w:sz="4" w:space="0" w:color="auto"/>
            </w:tcBorders>
          </w:tcPr>
          <w:p w14:paraId="51DEB382" w14:textId="77777777" w:rsidR="00265766" w:rsidRPr="009E686F" w:rsidDel="003932E1"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(3) ABE elaborează proiecte de standarde tehnice de punere în aplicare în scopul stabilirii unor proceduri și formulare comune, precum și modele pentru procesul de consultare dintre autoritățile competente relevante, astfel cum se menționează la prezentul articol.</w:t>
            </w:r>
          </w:p>
          <w:p w14:paraId="6799740A" w14:textId="77777777" w:rsidR="00265766" w:rsidRPr="009E686F" w:rsidDel="003932E1"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În scopul primului paragraf, ABE ia în considerare titlul II din Directiva (UE) 2017/1132.</w:t>
            </w:r>
          </w:p>
          <w:p w14:paraId="0505A078" w14:textId="77777777" w:rsidR="00265766" w:rsidRPr="009E686F" w:rsidDel="003932E1"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ABE înaintează Comisiei aceste proiecte de standarde tehnice de punere în aplicare până la 10 ianuarie 2027.</w:t>
            </w:r>
          </w:p>
          <w:p w14:paraId="7754AF1C" w14:textId="43E9C03C" w:rsidR="00265766" w:rsidRPr="009E686F" w:rsidRDefault="00265766" w:rsidP="00265766">
            <w:pPr>
              <w:spacing w:after="0"/>
              <w:jc w:val="both"/>
              <w:rPr>
                <w:rFonts w:ascii="Times New Roman" w:hAnsi="Times New Roman" w:cs="Times New Roman"/>
                <w:i/>
                <w:lang w:val="it-CH"/>
              </w:rPr>
            </w:pPr>
            <w:r w:rsidRPr="009E686F">
              <w:rPr>
                <w:rFonts w:ascii="Times New Roman" w:hAnsi="Times New Roman" w:cs="Times New Roman"/>
                <w:lang w:val="it-CH"/>
              </w:rPr>
              <w:t>Se conferă Comisiei competența de a adopta standardele tehnice de punere în aplicare menționate la primul paragraf de la prezentul alineat, în conformitate cu articolul 15 din Regulamentul (UE) nr. 1093/2010.</w:t>
            </w:r>
          </w:p>
        </w:tc>
        <w:tc>
          <w:tcPr>
            <w:tcW w:w="1834" w:type="pct"/>
            <w:tcBorders>
              <w:top w:val="single" w:sz="4" w:space="0" w:color="auto"/>
              <w:left w:val="single" w:sz="4" w:space="0" w:color="auto"/>
              <w:right w:val="single" w:sz="4" w:space="0" w:color="auto"/>
            </w:tcBorders>
          </w:tcPr>
          <w:p w14:paraId="06CEC873" w14:textId="77777777" w:rsidR="00265766" w:rsidRPr="009E686F" w:rsidRDefault="00265766" w:rsidP="00265766">
            <w:pPr>
              <w:spacing w:after="0"/>
              <w:jc w:val="both"/>
              <w:rPr>
                <w:rFonts w:ascii="Times New Roman" w:hAnsi="Times New Roman" w:cs="Times New Roman"/>
                <w:b/>
                <w:lang w:val="it-CH"/>
              </w:rPr>
            </w:pPr>
          </w:p>
        </w:tc>
        <w:tc>
          <w:tcPr>
            <w:tcW w:w="470" w:type="pct"/>
            <w:tcBorders>
              <w:top w:val="single" w:sz="4" w:space="0" w:color="auto"/>
              <w:left w:val="single" w:sz="4" w:space="0" w:color="auto"/>
              <w:right w:val="single" w:sz="4" w:space="0" w:color="auto"/>
            </w:tcBorders>
          </w:tcPr>
          <w:p w14:paraId="45ECA03F" w14:textId="4A544EE1" w:rsidR="00265766" w:rsidRPr="009E686F" w:rsidRDefault="00265766" w:rsidP="00265766">
            <w:pPr>
              <w:jc w:val="both"/>
              <w:rPr>
                <w:rFonts w:ascii="Times New Roman" w:hAnsi="Times New Roman" w:cs="Times New Roman"/>
                <w:lang w:val="ro-MD"/>
              </w:rPr>
            </w:pPr>
            <w:r w:rsidRPr="009E686F">
              <w:rPr>
                <w:rFonts w:ascii="Times New Roman" w:hAnsi="Times New Roman" w:cs="Times New Roman"/>
                <w:lang w:val="it-IT"/>
              </w:rPr>
              <w:t>Norme UE neaplicabile</w:t>
            </w:r>
          </w:p>
        </w:tc>
        <w:tc>
          <w:tcPr>
            <w:tcW w:w="806" w:type="pct"/>
            <w:tcBorders>
              <w:top w:val="single" w:sz="4" w:space="0" w:color="auto"/>
              <w:left w:val="single" w:sz="4" w:space="0" w:color="auto"/>
              <w:right w:val="single" w:sz="4" w:space="0" w:color="auto"/>
            </w:tcBorders>
          </w:tcPr>
          <w:p w14:paraId="21CC5AC5" w14:textId="038092A1" w:rsidR="00265766" w:rsidRPr="009E686F" w:rsidRDefault="00265766" w:rsidP="00265766">
            <w:pPr>
              <w:spacing w:after="0"/>
              <w:jc w:val="both"/>
              <w:rPr>
                <w:rFonts w:ascii="Times New Roman" w:hAnsi="Times New Roman" w:cs="Times New Roman"/>
                <w:color w:val="FF0000"/>
                <w:lang w:val="it-CH"/>
              </w:rPr>
            </w:pPr>
            <w:r w:rsidRPr="009E686F">
              <w:rPr>
                <w:rFonts w:ascii="Times New Roman" w:hAnsi="Times New Roman" w:cs="Times New Roman"/>
                <w:lang w:val="it-IT"/>
              </w:rPr>
              <w:t>Se referă la competențele ABE și ale Comisiei Europene.</w:t>
            </w:r>
          </w:p>
        </w:tc>
      </w:tr>
      <w:tr w:rsidR="00265766" w:rsidRPr="009E686F" w14:paraId="3275E5FA" w14:textId="77777777" w:rsidTr="00960C23">
        <w:trPr>
          <w:trHeight w:val="801"/>
        </w:trPr>
        <w:tc>
          <w:tcPr>
            <w:tcW w:w="1890" w:type="pct"/>
            <w:tcBorders>
              <w:top w:val="single" w:sz="4" w:space="0" w:color="auto"/>
              <w:left w:val="single" w:sz="4" w:space="0" w:color="auto"/>
              <w:right w:val="single" w:sz="4" w:space="0" w:color="auto"/>
            </w:tcBorders>
          </w:tcPr>
          <w:p w14:paraId="6FFDDE43" w14:textId="77777777" w:rsidR="00265766" w:rsidRPr="009E686F" w:rsidRDefault="00265766" w:rsidP="00265766">
            <w:pPr>
              <w:spacing w:after="0"/>
              <w:jc w:val="both"/>
              <w:rPr>
                <w:rFonts w:ascii="Times New Roman" w:hAnsi="Times New Roman" w:cs="Times New Roman"/>
                <w:i/>
                <w:iCs/>
                <w:lang w:val="it-IT"/>
              </w:rPr>
            </w:pPr>
            <w:r w:rsidRPr="009E686F">
              <w:rPr>
                <w:rFonts w:ascii="Times New Roman" w:hAnsi="Times New Roman" w:cs="Times New Roman"/>
                <w:i/>
                <w:iCs/>
                <w:lang w:val="it-IT"/>
              </w:rPr>
              <w:lastRenderedPageBreak/>
              <w:t xml:space="preserve">Articolul 27l </w:t>
            </w:r>
          </w:p>
          <w:p w14:paraId="7944B004" w14:textId="77777777" w:rsidR="00265766" w:rsidRPr="009E686F" w:rsidDel="003932E1" w:rsidRDefault="00265766" w:rsidP="00265766">
            <w:pPr>
              <w:spacing w:after="0"/>
              <w:jc w:val="both"/>
              <w:rPr>
                <w:rFonts w:ascii="Times New Roman" w:hAnsi="Times New Roman" w:cs="Times New Roman"/>
                <w:lang w:val="it-IT"/>
              </w:rPr>
            </w:pPr>
            <w:r w:rsidRPr="009E686F">
              <w:rPr>
                <w:rFonts w:ascii="Times New Roman" w:hAnsi="Times New Roman" w:cs="Times New Roman"/>
                <w:lang w:val="it-IT"/>
              </w:rPr>
              <w:t>Obligații de informare și sancțiuni</w:t>
            </w:r>
          </w:p>
          <w:p w14:paraId="50C23718" w14:textId="5B217712"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IT"/>
              </w:rPr>
              <w:t>În cazul în care părțile interesate financiare nu notifică în prealabil operațiunea propusă în conformitate cu articolul 27i alineatul (1) sau au efectuat operațiunea propusă astfel cum se menționează la articolul respectiv în lipsa unui aviz pozitiv prealabil emis de autoritățile competente, statele membre impun autorităților competente obligația de a lua măsuri corespunzătoare.</w:t>
            </w:r>
          </w:p>
        </w:tc>
        <w:tc>
          <w:tcPr>
            <w:tcW w:w="1834" w:type="pct"/>
            <w:tcBorders>
              <w:top w:val="single" w:sz="4" w:space="0" w:color="auto"/>
              <w:left w:val="single" w:sz="4" w:space="0" w:color="auto"/>
              <w:right w:val="single" w:sz="4" w:space="0" w:color="auto"/>
            </w:tcBorders>
          </w:tcPr>
          <w:p w14:paraId="2DE1E3DA" w14:textId="031D3ED1" w:rsidR="00265766" w:rsidRPr="009E686F" w:rsidRDefault="00265766" w:rsidP="00265766">
            <w:pPr>
              <w:spacing w:after="0"/>
              <w:jc w:val="both"/>
              <w:rPr>
                <w:rFonts w:ascii="Times New Roman" w:hAnsi="Times New Roman" w:cs="Times New Roman"/>
                <w:b/>
                <w:lang w:val="it-IT"/>
              </w:rPr>
            </w:pPr>
            <w:r w:rsidRPr="009E686F">
              <w:rPr>
                <w:rFonts w:ascii="Times New Roman" w:hAnsi="Times New Roman" w:cs="Times New Roman"/>
                <w:b/>
                <w:lang w:val="it-IT"/>
              </w:rPr>
              <w:t>Articolul 34 alin. (26)</w:t>
            </w:r>
          </w:p>
          <w:p w14:paraId="45C86D09" w14:textId="4BE7735C" w:rsidR="00265766" w:rsidRPr="009E686F" w:rsidRDefault="00265766" w:rsidP="00265766">
            <w:pPr>
              <w:spacing w:after="0"/>
              <w:jc w:val="both"/>
              <w:rPr>
                <w:rFonts w:ascii="Times New Roman" w:hAnsi="Times New Roman" w:cs="Times New Roman"/>
                <w:b/>
                <w:i/>
                <w:lang w:val="it-IT"/>
              </w:rPr>
            </w:pPr>
            <w:r w:rsidRPr="009E686F">
              <w:rPr>
                <w:rFonts w:ascii="Times New Roman" w:hAnsi="Times New Roman" w:cs="Times New Roman"/>
                <w:bCs/>
                <w:i/>
                <w:iCs/>
                <w:lang w:val="it-IT"/>
              </w:rPr>
              <w:t xml:space="preserve">(26) Banca Națională a Moldovei </w:t>
            </w:r>
            <w:r w:rsidR="00411551" w:rsidRPr="009E686F">
              <w:rPr>
                <w:rFonts w:ascii="Times New Roman" w:hAnsi="Times New Roman" w:cs="Times New Roman"/>
                <w:bCs/>
                <w:i/>
                <w:iCs/>
                <w:lang w:val="it-IT"/>
              </w:rPr>
              <w:t>aplică sancţiunile, penalitățile cu titlu cominatoriu şi măsurile sancţionatorii prevăzute la art.141</w:t>
            </w:r>
            <w:r w:rsidRPr="009E686F">
              <w:rPr>
                <w:rFonts w:ascii="Times New Roman" w:hAnsi="Times New Roman" w:cs="Times New Roman"/>
                <w:bCs/>
                <w:i/>
                <w:iCs/>
                <w:lang w:val="it-IT"/>
              </w:rPr>
              <w:t xml:space="preserve"> față de părțile interesate financiare dacă acestea nu notifică în prealabil operațiunea propusă în conformitate cu alin. (4) sau au efectuat operațiunea propusă astfel cum este prevăzut la alineatul respectiv în lipsa unui aviz pozitiv prealabil emis de Banca Națională a Moldovei.</w:t>
            </w:r>
          </w:p>
        </w:tc>
        <w:tc>
          <w:tcPr>
            <w:tcW w:w="470" w:type="pct"/>
            <w:tcBorders>
              <w:top w:val="single" w:sz="4" w:space="0" w:color="auto"/>
              <w:left w:val="single" w:sz="4" w:space="0" w:color="auto"/>
              <w:right w:val="single" w:sz="4" w:space="0" w:color="auto"/>
            </w:tcBorders>
          </w:tcPr>
          <w:p w14:paraId="350BB987" w14:textId="034E2C2B" w:rsidR="00265766" w:rsidRPr="009E686F" w:rsidRDefault="00265766" w:rsidP="00265766">
            <w:pPr>
              <w:jc w:val="both"/>
              <w:rPr>
                <w:rFonts w:ascii="Times New Roman" w:hAnsi="Times New Roman" w:cs="Times New Roman"/>
                <w:lang w:val="ro-MD"/>
              </w:rPr>
            </w:pPr>
            <w:r w:rsidRPr="009E686F">
              <w:rPr>
                <w:rFonts w:ascii="Times New Roman" w:hAnsi="Times New Roman" w:cs="Times New Roman"/>
                <w:lang w:val="ro-MD"/>
              </w:rPr>
              <w:t>Compatibil</w:t>
            </w:r>
          </w:p>
        </w:tc>
        <w:tc>
          <w:tcPr>
            <w:tcW w:w="806" w:type="pct"/>
            <w:tcBorders>
              <w:top w:val="single" w:sz="4" w:space="0" w:color="auto"/>
              <w:left w:val="single" w:sz="4" w:space="0" w:color="auto"/>
              <w:right w:val="single" w:sz="4" w:space="0" w:color="auto"/>
            </w:tcBorders>
          </w:tcPr>
          <w:p w14:paraId="1DD93FEB" w14:textId="77777777" w:rsidR="00265766" w:rsidRPr="009E686F" w:rsidRDefault="00265766" w:rsidP="00265766">
            <w:pPr>
              <w:spacing w:after="0"/>
              <w:jc w:val="both"/>
              <w:rPr>
                <w:rFonts w:ascii="Times New Roman" w:hAnsi="Times New Roman" w:cs="Times New Roman"/>
                <w:color w:val="FF0000"/>
                <w:lang w:val="it-CH"/>
              </w:rPr>
            </w:pPr>
          </w:p>
        </w:tc>
      </w:tr>
      <w:tr w:rsidR="00265766" w:rsidRPr="009E686F" w14:paraId="4A0177DF" w14:textId="77777777" w:rsidTr="00960C23">
        <w:trPr>
          <w:trHeight w:val="2244"/>
        </w:trPr>
        <w:tc>
          <w:tcPr>
            <w:tcW w:w="1890" w:type="pct"/>
            <w:tcBorders>
              <w:top w:val="single" w:sz="4" w:space="0" w:color="auto"/>
              <w:left w:val="single" w:sz="4" w:space="0" w:color="auto"/>
              <w:right w:val="single" w:sz="4" w:space="0" w:color="auto"/>
            </w:tcBorders>
          </w:tcPr>
          <w:p w14:paraId="0AADE0CE" w14:textId="77777777"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TITLUL V</w:t>
            </w:r>
          </w:p>
          <w:p w14:paraId="28F7AD00" w14:textId="77777777" w:rsidR="00265766" w:rsidRPr="009E686F" w:rsidDel="003932E1" w:rsidRDefault="00265766" w:rsidP="00265766">
            <w:pPr>
              <w:spacing w:after="0"/>
              <w:jc w:val="both"/>
              <w:rPr>
                <w:rFonts w:ascii="Times New Roman" w:hAnsi="Times New Roman" w:cs="Times New Roman"/>
                <w:b/>
                <w:bCs/>
                <w:lang w:val="it-CH"/>
              </w:rPr>
            </w:pPr>
            <w:r w:rsidRPr="009E686F">
              <w:rPr>
                <w:rFonts w:ascii="Times New Roman" w:hAnsi="Times New Roman" w:cs="Times New Roman"/>
                <w:b/>
                <w:bCs/>
                <w:lang w:val="it-CH"/>
              </w:rPr>
              <w:t>DISPOZIȚII PRIVIND LIBERTATEA DE STABILIRE ȘI LIBERTATEA DE A PRESTA SERVICII</w:t>
            </w:r>
          </w:p>
          <w:p w14:paraId="40B4A50D" w14:textId="77777777" w:rsidR="00265766" w:rsidRPr="009E686F" w:rsidRDefault="00265766" w:rsidP="00265766">
            <w:pPr>
              <w:spacing w:after="0"/>
              <w:jc w:val="both"/>
              <w:rPr>
                <w:rFonts w:ascii="Times New Roman" w:hAnsi="Times New Roman" w:cs="Times New Roman"/>
                <w:lang w:val="it-IT"/>
              </w:rPr>
            </w:pPr>
            <w:r w:rsidRPr="009E686F">
              <w:rPr>
                <w:rFonts w:ascii="Times New Roman" w:hAnsi="Times New Roman" w:cs="Times New Roman"/>
                <w:lang w:val="it-IT"/>
              </w:rPr>
              <w:t>CAPITOLUL 1</w:t>
            </w:r>
          </w:p>
          <w:p w14:paraId="6D776B93" w14:textId="6D2CCB92" w:rsidR="00265766" w:rsidRPr="009E686F" w:rsidDel="003932E1" w:rsidRDefault="00265766" w:rsidP="00265766">
            <w:pPr>
              <w:spacing w:after="0"/>
              <w:jc w:val="both"/>
              <w:rPr>
                <w:rFonts w:ascii="Times New Roman" w:hAnsi="Times New Roman" w:cs="Times New Roman"/>
                <w:b/>
                <w:bCs/>
                <w:lang w:val="it-CH"/>
              </w:rPr>
            </w:pPr>
            <w:r w:rsidRPr="009E686F">
              <w:rPr>
                <w:rFonts w:ascii="Times New Roman" w:hAnsi="Times New Roman" w:cs="Times New Roman"/>
                <w:b/>
              </w:rPr>
              <w:t>Principii generale</w:t>
            </w:r>
          </w:p>
        </w:tc>
        <w:tc>
          <w:tcPr>
            <w:tcW w:w="1834" w:type="pct"/>
            <w:tcBorders>
              <w:top w:val="single" w:sz="4" w:space="0" w:color="auto"/>
              <w:left w:val="single" w:sz="4" w:space="0" w:color="auto"/>
              <w:right w:val="single" w:sz="4" w:space="0" w:color="auto"/>
            </w:tcBorders>
          </w:tcPr>
          <w:p w14:paraId="0C0FB3B2" w14:textId="77777777" w:rsidR="00265766" w:rsidRPr="009E686F" w:rsidRDefault="00265766" w:rsidP="00265766">
            <w:pPr>
              <w:spacing w:after="0"/>
              <w:jc w:val="both"/>
              <w:rPr>
                <w:rFonts w:ascii="Times New Roman" w:hAnsi="Times New Roman" w:cs="Times New Roman"/>
                <w:b/>
                <w:i/>
                <w:lang w:val="it-CH"/>
              </w:rPr>
            </w:pPr>
            <w:r w:rsidRPr="009E686F">
              <w:rPr>
                <w:rFonts w:ascii="Times New Roman" w:hAnsi="Times New Roman" w:cs="Times New Roman"/>
                <w:b/>
                <w:i/>
                <w:lang w:val="it-CH"/>
              </w:rPr>
              <w:t>Capitolul 2</w:t>
            </w:r>
            <w:r w:rsidRPr="009E686F">
              <w:rPr>
                <w:rFonts w:ascii="Times New Roman" w:hAnsi="Times New Roman" w:cs="Times New Roman"/>
                <w:b/>
                <w:i/>
                <w:vertAlign w:val="superscript"/>
                <w:lang w:val="it-CH"/>
              </w:rPr>
              <w:t>2</w:t>
            </w:r>
            <w:r w:rsidRPr="009E686F">
              <w:rPr>
                <w:rFonts w:ascii="Times New Roman" w:hAnsi="Times New Roman" w:cs="Times New Roman"/>
                <w:b/>
                <w:i/>
                <w:lang w:val="it-CH"/>
              </w:rPr>
              <w:t xml:space="preserve"> </w:t>
            </w:r>
          </w:p>
          <w:p w14:paraId="6CE94433" w14:textId="302B424A" w:rsidR="00265766" w:rsidRPr="009E686F" w:rsidRDefault="00265766" w:rsidP="00265766">
            <w:pPr>
              <w:spacing w:after="0"/>
              <w:jc w:val="both"/>
              <w:rPr>
                <w:rFonts w:ascii="Times New Roman" w:hAnsi="Times New Roman" w:cs="Times New Roman"/>
                <w:b/>
                <w:i/>
                <w:iCs/>
                <w:lang w:val="it-CH"/>
              </w:rPr>
            </w:pPr>
            <w:r w:rsidRPr="009E686F">
              <w:rPr>
                <w:rFonts w:ascii="Times New Roman" w:hAnsi="Times New Roman" w:cs="Times New Roman"/>
                <w:b/>
                <w:i/>
                <w:lang w:val="it-CH"/>
              </w:rPr>
              <w:t xml:space="preserve">REGIMUL INSTITUȚIILOR DE CREDIT ŞI AL INSTITUŢIILOR </w:t>
            </w:r>
            <w:r w:rsidRPr="009E686F">
              <w:rPr>
                <w:rFonts w:ascii="Times New Roman" w:hAnsi="Times New Roman" w:cs="Times New Roman"/>
                <w:b/>
                <w:i/>
                <w:iCs/>
                <w:lang w:val="it-IT"/>
              </w:rPr>
              <w:t xml:space="preserve">FINANCIARE DIN ALTE STATE MEMBRE  </w:t>
            </w:r>
          </w:p>
          <w:p w14:paraId="1742CCC1" w14:textId="0F3C1A32" w:rsidR="00265766" w:rsidRPr="009E686F" w:rsidRDefault="00265766" w:rsidP="00265766">
            <w:pPr>
              <w:spacing w:after="0" w:line="278" w:lineRule="auto"/>
              <w:jc w:val="both"/>
              <w:rPr>
                <w:rFonts w:ascii="Times New Roman" w:eastAsia="Aptos" w:hAnsi="Times New Roman" w:cs="Times New Roman"/>
                <w:b/>
                <w:bCs/>
                <w:i/>
                <w:iCs/>
                <w:kern w:val="2"/>
                <w:lang w:val="ro-RO"/>
              </w:rPr>
            </w:pPr>
            <w:r w:rsidRPr="009E686F">
              <w:rPr>
                <w:rFonts w:ascii="Times New Roman" w:eastAsia="Aptos" w:hAnsi="Times New Roman" w:cs="Times New Roman"/>
                <w:b/>
                <w:bCs/>
                <w:i/>
                <w:iCs/>
                <w:kern w:val="2"/>
                <w:lang w:val="ro-MD"/>
              </w:rPr>
              <w:t>Articolul 23</w:t>
            </w:r>
            <w:r w:rsidRPr="009E686F">
              <w:rPr>
                <w:rFonts w:ascii="Times New Roman" w:eastAsia="Aptos" w:hAnsi="Times New Roman" w:cs="Times New Roman"/>
                <w:b/>
                <w:bCs/>
                <w:i/>
                <w:iCs/>
                <w:kern w:val="2"/>
                <w:vertAlign w:val="superscript"/>
                <w:lang w:val="ro-MD"/>
              </w:rPr>
              <w:t>2</w:t>
            </w:r>
            <w:r w:rsidRPr="009E686F">
              <w:rPr>
                <w:rFonts w:ascii="Times New Roman" w:eastAsia="Aptos" w:hAnsi="Times New Roman" w:cs="Times New Roman"/>
                <w:b/>
                <w:bCs/>
                <w:i/>
                <w:iCs/>
                <w:kern w:val="2"/>
                <w:lang w:val="ro-MD"/>
              </w:rPr>
              <w:t xml:space="preserve">. </w:t>
            </w:r>
            <w:r w:rsidRPr="009E686F">
              <w:rPr>
                <w:rFonts w:ascii="Times New Roman" w:eastAsia="Aptos" w:hAnsi="Times New Roman" w:cs="Times New Roman"/>
                <w:i/>
                <w:iCs/>
                <w:kern w:val="2"/>
                <w:lang w:val="ro-MD"/>
              </w:rPr>
              <w:t>Desfăsurarea activității instituțiilor de credit</w:t>
            </w:r>
            <w:r w:rsidRPr="009E686F">
              <w:rPr>
                <w:rFonts w:ascii="Times New Roman" w:eastAsia="Aptos" w:hAnsi="Times New Roman" w:cs="Times New Roman"/>
                <w:i/>
                <w:iCs/>
                <w:kern w:val="2"/>
                <w:lang w:val="ro-RO"/>
              </w:rPr>
              <w:t xml:space="preserve"> din state membre pe teritoriul Republicii Moldova</w:t>
            </w:r>
            <w:r w:rsidRPr="009E686F">
              <w:rPr>
                <w:rFonts w:ascii="Times New Roman" w:eastAsia="Aptos" w:hAnsi="Times New Roman" w:cs="Times New Roman"/>
                <w:b/>
                <w:bCs/>
                <w:i/>
                <w:iCs/>
                <w:kern w:val="2"/>
                <w:lang w:val="ro-RO"/>
              </w:rPr>
              <w:t xml:space="preserve"> </w:t>
            </w:r>
          </w:p>
        </w:tc>
        <w:tc>
          <w:tcPr>
            <w:tcW w:w="470" w:type="pct"/>
            <w:tcBorders>
              <w:top w:val="single" w:sz="4" w:space="0" w:color="auto"/>
              <w:left w:val="single" w:sz="4" w:space="0" w:color="auto"/>
              <w:right w:val="single" w:sz="4" w:space="0" w:color="auto"/>
            </w:tcBorders>
          </w:tcPr>
          <w:p w14:paraId="78B5C64D" w14:textId="7DA065B2" w:rsidR="00265766" w:rsidRPr="009E686F" w:rsidDel="003932E1" w:rsidRDefault="00265766" w:rsidP="00265766">
            <w:pPr>
              <w:jc w:val="both"/>
              <w:rPr>
                <w:rFonts w:ascii="Times New Roman" w:hAnsi="Times New Roman" w:cs="Times New Roman"/>
                <w:lang w:val="it-CH"/>
              </w:rPr>
            </w:pPr>
            <w:r w:rsidRPr="009E686F">
              <w:rPr>
                <w:rFonts w:ascii="Times New Roman" w:hAnsi="Times New Roman" w:cs="Times New Roman"/>
                <w:lang w:val="ro-MD"/>
              </w:rPr>
              <w:t>Compatibil</w:t>
            </w:r>
          </w:p>
        </w:tc>
        <w:tc>
          <w:tcPr>
            <w:tcW w:w="806" w:type="pct"/>
            <w:tcBorders>
              <w:top w:val="single" w:sz="4" w:space="0" w:color="auto"/>
              <w:left w:val="single" w:sz="4" w:space="0" w:color="auto"/>
              <w:right w:val="single" w:sz="4" w:space="0" w:color="auto"/>
            </w:tcBorders>
          </w:tcPr>
          <w:p w14:paraId="46BE752D" w14:textId="4DDC6781" w:rsidR="00D02498" w:rsidRPr="009E686F" w:rsidRDefault="00D02498" w:rsidP="00D02498">
            <w:pPr>
              <w:rPr>
                <w:lang w:val="it-CH"/>
              </w:rPr>
            </w:pPr>
            <w:r w:rsidRPr="009E686F">
              <w:rPr>
                <w:rFonts w:ascii="Times New Roman" w:hAnsi="Times New Roman" w:cs="Times New Roman"/>
                <w:lang w:val="ro-RO"/>
              </w:rPr>
              <w:t>În vigoare –5 ani de la data aderării.</w:t>
            </w:r>
          </w:p>
          <w:p w14:paraId="70856F08" w14:textId="77777777" w:rsidR="00265766" w:rsidRPr="009E686F" w:rsidRDefault="00265766" w:rsidP="00265766">
            <w:pPr>
              <w:spacing w:after="0"/>
              <w:jc w:val="both"/>
              <w:rPr>
                <w:rFonts w:ascii="Times New Roman" w:hAnsi="Times New Roman" w:cs="Times New Roman"/>
                <w:color w:val="FF0000"/>
                <w:lang w:val="it-CH"/>
              </w:rPr>
            </w:pPr>
          </w:p>
        </w:tc>
      </w:tr>
      <w:tr w:rsidR="00265766" w:rsidRPr="009E686F" w14:paraId="5403F365" w14:textId="77777777" w:rsidTr="00960C23">
        <w:tc>
          <w:tcPr>
            <w:tcW w:w="1890" w:type="pct"/>
            <w:tcBorders>
              <w:top w:val="single" w:sz="4" w:space="0" w:color="auto"/>
              <w:left w:val="single" w:sz="4" w:space="0" w:color="auto"/>
              <w:bottom w:val="single" w:sz="4" w:space="0" w:color="auto"/>
              <w:right w:val="single" w:sz="4" w:space="0" w:color="auto"/>
            </w:tcBorders>
          </w:tcPr>
          <w:p w14:paraId="1EF2B0C4" w14:textId="77777777" w:rsidR="00265766" w:rsidRPr="009E686F" w:rsidRDefault="00265766" w:rsidP="00265766">
            <w:pPr>
              <w:spacing w:after="0"/>
              <w:jc w:val="both"/>
              <w:rPr>
                <w:rFonts w:ascii="Times New Roman" w:hAnsi="Times New Roman" w:cs="Times New Roman"/>
                <w:i/>
                <w:lang w:val="it-CH"/>
              </w:rPr>
            </w:pPr>
            <w:r w:rsidRPr="009E686F">
              <w:rPr>
                <w:rFonts w:ascii="Times New Roman" w:hAnsi="Times New Roman" w:cs="Times New Roman"/>
                <w:i/>
                <w:lang w:val="it-CH"/>
              </w:rPr>
              <w:t xml:space="preserve">Articolul 33 </w:t>
            </w:r>
          </w:p>
          <w:p w14:paraId="36E6B313" w14:textId="253DA08A"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Instituții de credit</w:t>
            </w:r>
          </w:p>
          <w:p w14:paraId="7168D502" w14:textId="77777777" w:rsidR="00265766" w:rsidRPr="009E686F" w:rsidRDefault="00265766" w:rsidP="00265766">
            <w:pPr>
              <w:spacing w:after="0"/>
              <w:jc w:val="both"/>
              <w:rPr>
                <w:rFonts w:ascii="Times New Roman" w:hAnsi="Times New Roman" w:cs="Times New Roman"/>
                <w:lang w:val="it-CH"/>
              </w:rPr>
            </w:pPr>
          </w:p>
          <w:p w14:paraId="4B70C08F" w14:textId="652A5AD9"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Statele membre adoptă dispoziții în conformitate cu care pot fi desfășurate pe teritoriul lor activitățile prevăzute în anexa I, în conformitate cu articolul 35, articolul 36 alineatele (1)-(3), articolul 39 alineatele (1) și (2) și articolele 40-46, fie prin înființarea unei sucursale, fie prin prestarea de servicii de către orice instituție de credit autorizată și supravegheată de către autoritățile competente dintr-un alt stat membru, cu condiția ca activitățile respective să fie incluse în autorizație.</w:t>
            </w:r>
          </w:p>
        </w:tc>
        <w:tc>
          <w:tcPr>
            <w:tcW w:w="1834" w:type="pct"/>
            <w:tcBorders>
              <w:top w:val="single" w:sz="4" w:space="0" w:color="auto"/>
              <w:left w:val="single" w:sz="4" w:space="0" w:color="auto"/>
              <w:bottom w:val="single" w:sz="4" w:space="0" w:color="auto"/>
              <w:right w:val="single" w:sz="4" w:space="0" w:color="auto"/>
            </w:tcBorders>
          </w:tcPr>
          <w:p w14:paraId="5FE8FC08" w14:textId="0FC5B58D" w:rsidR="00265766" w:rsidRPr="009E686F" w:rsidRDefault="00265766" w:rsidP="00265766">
            <w:pPr>
              <w:spacing w:after="0"/>
              <w:jc w:val="both"/>
              <w:rPr>
                <w:rFonts w:ascii="Times New Roman" w:eastAsia="Aptos" w:hAnsi="Times New Roman" w:cs="Times New Roman"/>
                <w:b/>
                <w:bCs/>
                <w:kern w:val="2"/>
                <w:lang w:val="ro-MD"/>
              </w:rPr>
            </w:pPr>
            <w:r w:rsidRPr="009E686F">
              <w:rPr>
                <w:rFonts w:ascii="Times New Roman" w:eastAsia="Aptos" w:hAnsi="Times New Roman" w:cs="Times New Roman"/>
                <w:b/>
                <w:bCs/>
                <w:kern w:val="2"/>
                <w:lang w:val="ro-MD"/>
              </w:rPr>
              <w:t>Articolul 23</w:t>
            </w:r>
            <w:r w:rsidRPr="009E686F">
              <w:rPr>
                <w:rFonts w:ascii="Times New Roman" w:eastAsia="Aptos" w:hAnsi="Times New Roman" w:cs="Times New Roman"/>
                <w:b/>
                <w:bCs/>
                <w:kern w:val="2"/>
                <w:vertAlign w:val="superscript"/>
                <w:lang w:val="ro-MD"/>
              </w:rPr>
              <w:t xml:space="preserve">2 </w:t>
            </w:r>
            <w:r w:rsidRPr="009E686F">
              <w:rPr>
                <w:rFonts w:ascii="Times New Roman" w:eastAsia="Aptos" w:hAnsi="Times New Roman" w:cs="Times New Roman"/>
                <w:b/>
                <w:bCs/>
                <w:kern w:val="2"/>
                <w:lang w:val="ro-MD"/>
              </w:rPr>
              <w:t>alin. (1)</w:t>
            </w:r>
          </w:p>
          <w:p w14:paraId="29CBC593" w14:textId="7DFFFE45" w:rsidR="00265766" w:rsidRPr="009E686F" w:rsidRDefault="00265766" w:rsidP="00265766">
            <w:pPr>
              <w:spacing w:after="0"/>
              <w:jc w:val="both"/>
              <w:rPr>
                <w:rFonts w:ascii="Times New Roman" w:hAnsi="Times New Roman" w:cs="Times New Roman"/>
                <w:bCs/>
                <w:i/>
                <w:iCs/>
                <w:lang w:val="it-IT"/>
              </w:rPr>
            </w:pPr>
            <w:r w:rsidRPr="009E686F">
              <w:rPr>
                <w:rFonts w:ascii="Times New Roman" w:hAnsi="Times New Roman" w:cs="Times New Roman"/>
                <w:bCs/>
                <w:i/>
                <w:iCs/>
                <w:lang w:val="it-IT"/>
              </w:rPr>
              <w:t xml:space="preserve">(1) Instituţiile de credit din alte state membre pot desfăşura activităţile prevăzute la art. 14 alin. (1) pe teritoriul Republicii Moldova prin înfiinţarea de sucursale sau prin furnizarea de servicii în mod direct care nu pot excede obiectul de activitate a instituției de credit autorizate de autoritatea competentă din statul membru de origine </w:t>
            </w:r>
            <w:r w:rsidR="007508A5" w:rsidRPr="009E686F">
              <w:rPr>
                <w:rFonts w:ascii="Times New Roman" w:hAnsi="Times New Roman" w:cs="Times New Roman"/>
                <w:bCs/>
                <w:i/>
                <w:iCs/>
                <w:lang w:val="it-IT"/>
              </w:rPr>
              <w:t>ș</w:t>
            </w:r>
            <w:r w:rsidRPr="009E686F">
              <w:rPr>
                <w:rFonts w:ascii="Times New Roman" w:hAnsi="Times New Roman" w:cs="Times New Roman"/>
                <w:bCs/>
                <w:i/>
                <w:iCs/>
                <w:lang w:val="it-IT"/>
              </w:rPr>
              <w:t>i se asigură respectarea legislaţiei R. Moldova adoptate în scopul protejării interesului general.</w:t>
            </w:r>
          </w:p>
          <w:p w14:paraId="4AAD2B45" w14:textId="6D59568B" w:rsidR="00265766" w:rsidRPr="009E686F" w:rsidRDefault="00265766" w:rsidP="00265766">
            <w:pPr>
              <w:spacing w:after="0"/>
              <w:jc w:val="both"/>
              <w:rPr>
                <w:rFonts w:ascii="Times New Roman" w:eastAsia="Aptos" w:hAnsi="Times New Roman" w:cs="Times New Roman"/>
                <w:b/>
                <w:bCs/>
                <w:kern w:val="2"/>
                <w:lang w:val="ro-MD"/>
              </w:rPr>
            </w:pPr>
            <w:r w:rsidRPr="009E686F">
              <w:rPr>
                <w:rFonts w:ascii="Times New Roman" w:eastAsia="Aptos" w:hAnsi="Times New Roman" w:cs="Times New Roman"/>
                <w:b/>
                <w:bCs/>
                <w:kern w:val="2"/>
                <w:lang w:val="ro-MD"/>
              </w:rPr>
              <w:t>Articolul 27</w:t>
            </w:r>
            <w:r w:rsidRPr="009E686F">
              <w:rPr>
                <w:rFonts w:ascii="Times New Roman" w:eastAsia="Aptos" w:hAnsi="Times New Roman" w:cs="Times New Roman"/>
                <w:b/>
                <w:bCs/>
                <w:kern w:val="2"/>
                <w:vertAlign w:val="superscript"/>
                <w:lang w:val="ro-MD"/>
              </w:rPr>
              <w:t xml:space="preserve"> </w:t>
            </w:r>
            <w:r w:rsidRPr="009E686F">
              <w:rPr>
                <w:rFonts w:ascii="Times New Roman" w:eastAsia="Aptos" w:hAnsi="Times New Roman" w:cs="Times New Roman"/>
                <w:b/>
                <w:bCs/>
                <w:kern w:val="2"/>
                <w:lang w:val="ro-MD"/>
              </w:rPr>
              <w:t>alin. (2)</w:t>
            </w:r>
          </w:p>
          <w:p w14:paraId="312A3646" w14:textId="55F63362" w:rsidR="00265766" w:rsidRPr="009E686F" w:rsidRDefault="00265766" w:rsidP="00265766">
            <w:pPr>
              <w:spacing w:after="0"/>
              <w:jc w:val="both"/>
              <w:rPr>
                <w:rFonts w:ascii="Times New Roman" w:hAnsi="Times New Roman" w:cs="Times New Roman"/>
                <w:bCs/>
                <w:i/>
                <w:iCs/>
                <w:lang w:val="it-CH"/>
              </w:rPr>
            </w:pPr>
            <w:r w:rsidRPr="009E686F">
              <w:rPr>
                <w:rFonts w:ascii="Times New Roman" w:hAnsi="Times New Roman" w:cs="Times New Roman"/>
                <w:i/>
                <w:iCs/>
                <w:lang w:val="it-CH"/>
              </w:rPr>
              <w:t xml:space="preserve">(2) Activităţile desfăşurate de către sucursala dintr-un stat terț pe teritoriul R. Moldova trebuie să fie prevăzute în autorizația acordată de Banca Naţională a Moldovei şi nu pot exceda obiectul de activitate a instituției de credit </w:t>
            </w:r>
            <w:r w:rsidRPr="009E686F">
              <w:rPr>
                <w:rFonts w:ascii="Times New Roman" w:hAnsi="Times New Roman" w:cs="Times New Roman"/>
                <w:i/>
                <w:iCs/>
                <w:lang w:val="it-CH"/>
              </w:rPr>
              <w:lastRenderedPageBreak/>
              <w:t>autorizate de autoritatea competentă din statul membru de origine.</w:t>
            </w:r>
          </w:p>
          <w:p w14:paraId="4D416FC1" w14:textId="40D93F1D" w:rsidR="00265766" w:rsidRPr="009E686F" w:rsidRDefault="00265766" w:rsidP="00265766">
            <w:pPr>
              <w:spacing w:after="0"/>
              <w:jc w:val="both"/>
              <w:rPr>
                <w:rFonts w:ascii="Times New Roman" w:hAnsi="Times New Roman" w:cs="Times New Roman"/>
                <w:b/>
                <w:lang w:val="it-IT"/>
              </w:rPr>
            </w:pPr>
            <w:r w:rsidRPr="009E686F">
              <w:rPr>
                <w:rFonts w:ascii="Times New Roman" w:hAnsi="Times New Roman" w:cs="Times New Roman"/>
                <w:b/>
                <w:lang w:val="it-IT"/>
              </w:rPr>
              <w:t>Articolul 32</w:t>
            </w:r>
            <w:r w:rsidRPr="009E686F">
              <w:rPr>
                <w:rFonts w:ascii="Times New Roman" w:hAnsi="Times New Roman" w:cs="Times New Roman"/>
                <w:b/>
                <w:vertAlign w:val="superscript"/>
                <w:lang w:val="it-IT"/>
              </w:rPr>
              <w:t>1</w:t>
            </w:r>
            <w:r w:rsidRPr="009E686F">
              <w:rPr>
                <w:rFonts w:ascii="Times New Roman" w:hAnsi="Times New Roman" w:cs="Times New Roman"/>
                <w:b/>
                <w:lang w:val="it-IT"/>
              </w:rPr>
              <w:t xml:space="preserve"> alin. (1)</w:t>
            </w:r>
          </w:p>
          <w:p w14:paraId="48414D1B" w14:textId="4F21E99B" w:rsidR="00265766" w:rsidRPr="009E686F" w:rsidRDefault="00265766" w:rsidP="00265766">
            <w:pPr>
              <w:spacing w:after="0"/>
              <w:jc w:val="both"/>
              <w:rPr>
                <w:rFonts w:ascii="Times New Roman" w:hAnsi="Times New Roman" w:cs="Times New Roman"/>
                <w:bCs/>
                <w:i/>
                <w:iCs/>
                <w:lang w:val="it-IT"/>
              </w:rPr>
            </w:pPr>
            <w:r w:rsidRPr="009E686F">
              <w:rPr>
                <w:rFonts w:ascii="Times New Roman" w:hAnsi="Times New Roman" w:cs="Times New Roman"/>
                <w:bCs/>
                <w:i/>
                <w:iCs/>
                <w:lang w:val="it-IT"/>
              </w:rPr>
              <w:t>(1) Instituţiile de credit persoane juridice din Republica Moldova, pot desfășura activităţile prevăzute la art. 14 alin. (1) în alte state membre, prin deschiderea sucursalelor sau prin prestarea de servicii în mod direct, fără a fi necesară autorizarea lor de către autoritatea competentă din statul membru gazdă, dacă activităţile respective se regăsesc în autorizația acordată de Banca Naţională a Moldovei.</w:t>
            </w:r>
          </w:p>
        </w:tc>
        <w:tc>
          <w:tcPr>
            <w:tcW w:w="470" w:type="pct"/>
            <w:tcBorders>
              <w:top w:val="single" w:sz="4" w:space="0" w:color="auto"/>
              <w:left w:val="single" w:sz="4" w:space="0" w:color="auto"/>
              <w:bottom w:val="single" w:sz="4" w:space="0" w:color="auto"/>
              <w:right w:val="single" w:sz="4" w:space="0" w:color="auto"/>
            </w:tcBorders>
          </w:tcPr>
          <w:p w14:paraId="201B8595" w14:textId="2EECC8C3" w:rsidR="00265766" w:rsidRPr="009E686F" w:rsidRDefault="00265766" w:rsidP="00265766">
            <w:pPr>
              <w:jc w:val="both"/>
              <w:rPr>
                <w:rFonts w:ascii="Times New Roman" w:hAnsi="Times New Roman" w:cs="Times New Roman"/>
              </w:rPr>
            </w:pPr>
            <w:r w:rsidRPr="009E686F">
              <w:rPr>
                <w:rFonts w:ascii="Times New Roman" w:hAnsi="Times New Roman" w:cs="Times New Roman"/>
                <w:lang w:val="ro-MD"/>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644FC014" w14:textId="77777777" w:rsidR="00D02498" w:rsidRPr="009E686F" w:rsidRDefault="00D02498" w:rsidP="00D02498">
            <w:pPr>
              <w:rPr>
                <w:lang w:val="it-CH"/>
              </w:rPr>
            </w:pPr>
            <w:r w:rsidRPr="009E686F">
              <w:rPr>
                <w:rFonts w:ascii="Times New Roman" w:hAnsi="Times New Roman" w:cs="Times New Roman"/>
                <w:lang w:val="ro-RO"/>
              </w:rPr>
              <w:t>În vigoare –5 ani de la data aderării.</w:t>
            </w:r>
          </w:p>
          <w:p w14:paraId="635AFD60" w14:textId="039FAF7A" w:rsidR="00265766" w:rsidRPr="009E686F" w:rsidRDefault="00265766" w:rsidP="00265766">
            <w:pPr>
              <w:spacing w:after="0"/>
              <w:jc w:val="both"/>
              <w:rPr>
                <w:rFonts w:ascii="Times New Roman" w:hAnsi="Times New Roman" w:cs="Times New Roman"/>
                <w:lang w:val="it-CH"/>
              </w:rPr>
            </w:pPr>
          </w:p>
        </w:tc>
      </w:tr>
      <w:tr w:rsidR="00D02498" w:rsidRPr="009E686F" w14:paraId="583F7753" w14:textId="77777777" w:rsidTr="00B06894">
        <w:tc>
          <w:tcPr>
            <w:tcW w:w="1890" w:type="pct"/>
            <w:tcBorders>
              <w:top w:val="single" w:sz="4" w:space="0" w:color="auto"/>
              <w:left w:val="single" w:sz="4" w:space="0" w:color="auto"/>
              <w:bottom w:val="single" w:sz="4" w:space="0" w:color="auto"/>
              <w:right w:val="single" w:sz="4" w:space="0" w:color="auto"/>
            </w:tcBorders>
          </w:tcPr>
          <w:p w14:paraId="5E7C23F7" w14:textId="77777777" w:rsidR="00D02498" w:rsidRPr="009E686F" w:rsidRDefault="00D02498" w:rsidP="00265766">
            <w:pPr>
              <w:spacing w:after="0"/>
              <w:jc w:val="both"/>
              <w:rPr>
                <w:rFonts w:ascii="Times New Roman" w:hAnsi="Times New Roman" w:cs="Times New Roman"/>
                <w:i/>
                <w:iCs/>
                <w:lang w:val="it-CH"/>
              </w:rPr>
            </w:pPr>
            <w:r w:rsidRPr="009E686F">
              <w:rPr>
                <w:rFonts w:ascii="Times New Roman" w:hAnsi="Times New Roman" w:cs="Times New Roman"/>
                <w:i/>
                <w:iCs/>
                <w:lang w:val="it-CH"/>
              </w:rPr>
              <w:t xml:space="preserve">Articolul 34 </w:t>
            </w:r>
          </w:p>
          <w:p w14:paraId="48D5D9DB" w14:textId="62FB51C0" w:rsidR="00D02498" w:rsidRPr="009E686F" w:rsidRDefault="00D02498" w:rsidP="00265766">
            <w:pPr>
              <w:spacing w:after="0"/>
              <w:jc w:val="both"/>
              <w:rPr>
                <w:rFonts w:ascii="Times New Roman" w:hAnsi="Times New Roman" w:cs="Times New Roman"/>
              </w:rPr>
            </w:pPr>
            <w:r w:rsidRPr="009E686F">
              <w:rPr>
                <w:rFonts w:ascii="Times New Roman" w:hAnsi="Times New Roman" w:cs="Times New Roman"/>
                <w:lang w:val="it-CH"/>
              </w:rPr>
              <w:t>Instituții financiare</w:t>
            </w:r>
          </w:p>
        </w:tc>
        <w:tc>
          <w:tcPr>
            <w:tcW w:w="1834" w:type="pct"/>
            <w:tcBorders>
              <w:top w:val="single" w:sz="4" w:space="0" w:color="auto"/>
              <w:left w:val="single" w:sz="4" w:space="0" w:color="auto"/>
              <w:bottom w:val="single" w:sz="4" w:space="0" w:color="auto"/>
              <w:right w:val="single" w:sz="4" w:space="0" w:color="auto"/>
            </w:tcBorders>
          </w:tcPr>
          <w:p w14:paraId="3ABB9485" w14:textId="0C159B81" w:rsidR="00D02498" w:rsidRPr="009E686F" w:rsidRDefault="00D02498" w:rsidP="00265766">
            <w:pPr>
              <w:spacing w:after="0"/>
              <w:jc w:val="both"/>
              <w:rPr>
                <w:rFonts w:ascii="Times New Roman" w:hAnsi="Times New Roman" w:cs="Times New Roman"/>
                <w:b/>
                <w:i/>
                <w:iCs/>
                <w:lang w:val="it-CH"/>
              </w:rPr>
            </w:pPr>
            <w:r w:rsidRPr="009E686F">
              <w:rPr>
                <w:rFonts w:ascii="Times New Roman" w:eastAsia="Aptos" w:hAnsi="Times New Roman" w:cs="Times New Roman"/>
                <w:b/>
                <w:bCs/>
                <w:i/>
                <w:iCs/>
                <w:kern w:val="2"/>
                <w:lang w:val="ro-MD"/>
              </w:rPr>
              <w:t>Articolul 23</w:t>
            </w:r>
            <w:r w:rsidRPr="009E686F">
              <w:rPr>
                <w:rFonts w:ascii="Times New Roman" w:eastAsia="Aptos" w:hAnsi="Times New Roman" w:cs="Times New Roman"/>
                <w:b/>
                <w:bCs/>
                <w:i/>
                <w:iCs/>
                <w:kern w:val="2"/>
                <w:vertAlign w:val="superscript"/>
                <w:lang w:val="ro-MD"/>
              </w:rPr>
              <w:t>5</w:t>
            </w:r>
            <w:r w:rsidRPr="009E686F">
              <w:rPr>
                <w:rFonts w:ascii="Times New Roman" w:eastAsia="Aptos" w:hAnsi="Times New Roman" w:cs="Times New Roman"/>
                <w:b/>
                <w:bCs/>
                <w:i/>
                <w:iCs/>
                <w:kern w:val="2"/>
                <w:lang w:val="ro-MD"/>
              </w:rPr>
              <w:t xml:space="preserve">. </w:t>
            </w:r>
            <w:r w:rsidRPr="009E686F">
              <w:rPr>
                <w:rFonts w:ascii="Times New Roman" w:eastAsia="Aptos" w:hAnsi="Times New Roman" w:cs="Times New Roman"/>
                <w:i/>
                <w:iCs/>
                <w:kern w:val="2"/>
                <w:lang w:val="ro-MD"/>
              </w:rPr>
              <w:t>Desfăsurarea activității institu</w:t>
            </w:r>
            <w:r w:rsidRPr="009E686F">
              <w:rPr>
                <w:rFonts w:ascii="Times New Roman" w:eastAsia="Aptos" w:hAnsi="Times New Roman" w:cs="Times New Roman"/>
                <w:i/>
                <w:iCs/>
                <w:kern w:val="2"/>
                <w:lang w:val="ro-RO"/>
              </w:rPr>
              <w:t>țiilor financiare din state membre pe teritoriul Republicii Moldova</w:t>
            </w:r>
          </w:p>
        </w:tc>
        <w:tc>
          <w:tcPr>
            <w:tcW w:w="470" w:type="pct"/>
            <w:tcBorders>
              <w:top w:val="single" w:sz="4" w:space="0" w:color="auto"/>
              <w:left w:val="single" w:sz="4" w:space="0" w:color="auto"/>
              <w:bottom w:val="single" w:sz="4" w:space="0" w:color="auto"/>
              <w:right w:val="single" w:sz="4" w:space="0" w:color="auto"/>
            </w:tcBorders>
          </w:tcPr>
          <w:p w14:paraId="6E43667E" w14:textId="478FB7BC" w:rsidR="00D02498" w:rsidRPr="009E686F" w:rsidRDefault="00D02498" w:rsidP="00265766">
            <w:pPr>
              <w:jc w:val="both"/>
              <w:rPr>
                <w:rFonts w:ascii="Times New Roman" w:hAnsi="Times New Roman" w:cs="Times New Roman"/>
                <w:lang w:val="it-CH"/>
              </w:rPr>
            </w:pPr>
            <w:r w:rsidRPr="009E686F">
              <w:rPr>
                <w:rFonts w:ascii="Times New Roman" w:hAnsi="Times New Roman" w:cs="Times New Roman"/>
              </w:rPr>
              <w:t>Compatibil</w:t>
            </w:r>
          </w:p>
        </w:tc>
        <w:tc>
          <w:tcPr>
            <w:tcW w:w="806" w:type="pct"/>
            <w:vMerge w:val="restart"/>
            <w:tcBorders>
              <w:top w:val="single" w:sz="4" w:space="0" w:color="auto"/>
              <w:left w:val="single" w:sz="4" w:space="0" w:color="auto"/>
              <w:right w:val="single" w:sz="4" w:space="0" w:color="auto"/>
            </w:tcBorders>
          </w:tcPr>
          <w:p w14:paraId="08B12022" w14:textId="77777777" w:rsidR="00D02498" w:rsidRPr="009E686F" w:rsidRDefault="00D02498" w:rsidP="00D02498">
            <w:pPr>
              <w:rPr>
                <w:lang w:val="it-CH"/>
              </w:rPr>
            </w:pPr>
            <w:r w:rsidRPr="009E686F">
              <w:rPr>
                <w:rFonts w:ascii="Times New Roman" w:hAnsi="Times New Roman" w:cs="Times New Roman"/>
                <w:lang w:val="ro-RO"/>
              </w:rPr>
              <w:t>În vigoare –5 ani de la data aderării.</w:t>
            </w:r>
          </w:p>
          <w:p w14:paraId="75A3DBCF" w14:textId="5AE069B0" w:rsidR="00D02498" w:rsidRPr="009E686F" w:rsidRDefault="00D02498" w:rsidP="00265766">
            <w:pPr>
              <w:spacing w:after="0"/>
              <w:jc w:val="both"/>
              <w:rPr>
                <w:rFonts w:ascii="Times New Roman" w:hAnsi="Times New Roman" w:cs="Times New Roman"/>
                <w:lang w:val="it-CH"/>
              </w:rPr>
            </w:pPr>
          </w:p>
        </w:tc>
      </w:tr>
      <w:tr w:rsidR="00D02498" w:rsidRPr="009E686F" w14:paraId="4EB756D6" w14:textId="77777777" w:rsidTr="00630F7C">
        <w:tc>
          <w:tcPr>
            <w:tcW w:w="1890" w:type="pct"/>
            <w:tcBorders>
              <w:top w:val="single" w:sz="4" w:space="0" w:color="auto"/>
              <w:left w:val="single" w:sz="4" w:space="0" w:color="auto"/>
              <w:bottom w:val="single" w:sz="4" w:space="0" w:color="auto"/>
              <w:right w:val="single" w:sz="4" w:space="0" w:color="auto"/>
            </w:tcBorders>
          </w:tcPr>
          <w:p w14:paraId="4DEF799F" w14:textId="210B2F01" w:rsidR="00D02498" w:rsidRPr="009E686F" w:rsidRDefault="00D02498" w:rsidP="00265766">
            <w:pPr>
              <w:spacing w:after="0"/>
              <w:jc w:val="both"/>
              <w:rPr>
                <w:rFonts w:ascii="Times New Roman" w:hAnsi="Times New Roman" w:cs="Times New Roman"/>
                <w:lang w:val="it-CH"/>
              </w:rPr>
            </w:pPr>
            <w:r w:rsidRPr="009E686F">
              <w:rPr>
                <w:rFonts w:ascii="Times New Roman" w:hAnsi="Times New Roman" w:cs="Times New Roman"/>
                <w:lang w:val="it-CH"/>
              </w:rPr>
              <w:t>(1)Statele membre adoptă dispoziții în conformitate cu care pot fi desfășurate pe teritoriul lor activitățile prevăzute de anexa I, în conformitate cu articolul 35, articolul 36 alineatele (1)-(3), articolul 39 alineatele (1) și (2) și articolele 40-46, fie prin înființarea unei sucursale, fie prin prestarea de servicii de către orice instituție financiară din alt stat membru, care poate fi fie filiala unei instituții de credit, fie o filială deținută în comun de două sau mai multe instituții de credit, al cărei act constitutiv și statut permit desfășurarea acestor activități și care îndeplinește următoarele condiții:</w:t>
            </w:r>
          </w:p>
        </w:tc>
        <w:tc>
          <w:tcPr>
            <w:tcW w:w="1834" w:type="pct"/>
            <w:tcBorders>
              <w:top w:val="single" w:sz="4" w:space="0" w:color="auto"/>
              <w:left w:val="single" w:sz="4" w:space="0" w:color="auto"/>
              <w:bottom w:val="single" w:sz="4" w:space="0" w:color="auto"/>
              <w:right w:val="single" w:sz="4" w:space="0" w:color="auto"/>
            </w:tcBorders>
          </w:tcPr>
          <w:p w14:paraId="2C85AADF" w14:textId="1E5D2531" w:rsidR="00D02498" w:rsidRPr="009E686F" w:rsidRDefault="00D02498" w:rsidP="00265766">
            <w:pPr>
              <w:spacing w:after="0"/>
              <w:jc w:val="both"/>
              <w:rPr>
                <w:rFonts w:ascii="Times New Roman" w:hAnsi="Times New Roman" w:cs="Times New Roman"/>
                <w:bCs/>
                <w:i/>
                <w:iCs/>
                <w:lang w:val="it-IT"/>
              </w:rPr>
            </w:pPr>
            <w:r w:rsidRPr="009E686F">
              <w:rPr>
                <w:rFonts w:ascii="Times New Roman" w:hAnsi="Times New Roman" w:cs="Times New Roman"/>
                <w:bCs/>
                <w:i/>
                <w:iCs/>
                <w:lang w:val="it-IT"/>
              </w:rPr>
              <w:t>(1) Instituţiile financiare cu sediul într-un alt stat membru pot desfăşura activităţile prevăzute la art. 14 alin. (1) lit. b)-o) pe teritoriul Republicii Moldova prin înfiinţarea de sucursale sau prin furnizarea de servicii în mod direct , dacă aceste instituții financiare sunt filiale ale uneia sau mai multor instituții de credit, dacă activităţile respective sunt prevăzute în statutele lor şi dacă sunt îndeplinite în mod cumulativ următoarele condiţii:</w:t>
            </w:r>
          </w:p>
        </w:tc>
        <w:tc>
          <w:tcPr>
            <w:tcW w:w="470" w:type="pct"/>
            <w:tcBorders>
              <w:top w:val="single" w:sz="4" w:space="0" w:color="auto"/>
              <w:left w:val="single" w:sz="4" w:space="0" w:color="auto"/>
              <w:bottom w:val="single" w:sz="4" w:space="0" w:color="auto"/>
              <w:right w:val="single" w:sz="4" w:space="0" w:color="auto"/>
            </w:tcBorders>
          </w:tcPr>
          <w:p w14:paraId="161221CE" w14:textId="18B3DF71" w:rsidR="00D02498" w:rsidRPr="009E686F" w:rsidRDefault="00D02498" w:rsidP="00265766">
            <w:pPr>
              <w:jc w:val="both"/>
              <w:rPr>
                <w:rFonts w:ascii="Times New Roman" w:hAnsi="Times New Roman" w:cs="Times New Roman"/>
              </w:rPr>
            </w:pPr>
            <w:r w:rsidRPr="009E686F">
              <w:rPr>
                <w:rFonts w:ascii="Times New Roman" w:hAnsi="Times New Roman" w:cs="Times New Roman"/>
                <w:lang w:val="ro-MD"/>
              </w:rPr>
              <w:t>Compatibil</w:t>
            </w:r>
          </w:p>
          <w:p w14:paraId="1D807CF0" w14:textId="1A685258" w:rsidR="00D02498" w:rsidRPr="009E686F" w:rsidRDefault="00D02498" w:rsidP="00265766">
            <w:pPr>
              <w:jc w:val="both"/>
              <w:rPr>
                <w:rFonts w:ascii="Times New Roman" w:hAnsi="Times New Roman" w:cs="Times New Roman"/>
              </w:rPr>
            </w:pPr>
          </w:p>
        </w:tc>
        <w:tc>
          <w:tcPr>
            <w:tcW w:w="806" w:type="pct"/>
            <w:vMerge/>
            <w:tcBorders>
              <w:left w:val="single" w:sz="4" w:space="0" w:color="auto"/>
              <w:right w:val="single" w:sz="4" w:space="0" w:color="auto"/>
            </w:tcBorders>
          </w:tcPr>
          <w:p w14:paraId="3A6550D3" w14:textId="2ABFDCA5" w:rsidR="00D02498" w:rsidRPr="009E686F" w:rsidRDefault="00D02498" w:rsidP="00265766">
            <w:pPr>
              <w:spacing w:after="0"/>
              <w:jc w:val="both"/>
              <w:rPr>
                <w:rFonts w:ascii="Times New Roman" w:hAnsi="Times New Roman" w:cs="Times New Roman"/>
              </w:rPr>
            </w:pPr>
          </w:p>
        </w:tc>
      </w:tr>
      <w:tr w:rsidR="00D02498" w:rsidRPr="009E686F" w14:paraId="51EFC353" w14:textId="77777777" w:rsidTr="00630F7C">
        <w:tc>
          <w:tcPr>
            <w:tcW w:w="1890" w:type="pct"/>
            <w:tcBorders>
              <w:top w:val="single" w:sz="4" w:space="0" w:color="auto"/>
              <w:left w:val="single" w:sz="4" w:space="0" w:color="auto"/>
              <w:bottom w:val="single" w:sz="4" w:space="0" w:color="auto"/>
              <w:right w:val="single" w:sz="4" w:space="0" w:color="auto"/>
            </w:tcBorders>
          </w:tcPr>
          <w:p w14:paraId="7AB828EA" w14:textId="20FBC6E6" w:rsidR="00D02498" w:rsidRPr="009E686F" w:rsidRDefault="00D02498" w:rsidP="00265766">
            <w:pPr>
              <w:spacing w:after="0"/>
              <w:jc w:val="both"/>
              <w:rPr>
                <w:rFonts w:ascii="Times New Roman" w:hAnsi="Times New Roman" w:cs="Times New Roman"/>
              </w:rPr>
            </w:pPr>
            <w:r w:rsidRPr="009E686F">
              <w:rPr>
                <w:rFonts w:ascii="Times New Roman" w:hAnsi="Times New Roman" w:cs="Times New Roman"/>
              </w:rPr>
              <w:t>(a)întreprinderea sau întreprinderile-mamă sunt instituții de credit autorizate în statele membre în temeiul legii care reglementează și activitatea instituției financiare;</w:t>
            </w:r>
          </w:p>
        </w:tc>
        <w:tc>
          <w:tcPr>
            <w:tcW w:w="1834" w:type="pct"/>
            <w:tcBorders>
              <w:top w:val="single" w:sz="4" w:space="0" w:color="auto"/>
              <w:left w:val="single" w:sz="4" w:space="0" w:color="auto"/>
              <w:bottom w:val="single" w:sz="4" w:space="0" w:color="auto"/>
              <w:right w:val="single" w:sz="4" w:space="0" w:color="auto"/>
            </w:tcBorders>
          </w:tcPr>
          <w:p w14:paraId="454A88B6" w14:textId="0941810B" w:rsidR="00D02498" w:rsidRPr="009E686F" w:rsidRDefault="00D02498" w:rsidP="00265766">
            <w:pPr>
              <w:spacing w:after="0"/>
              <w:jc w:val="both"/>
              <w:rPr>
                <w:rFonts w:ascii="Times New Roman" w:hAnsi="Times New Roman" w:cs="Times New Roman"/>
                <w:bCs/>
                <w:i/>
                <w:iCs/>
              </w:rPr>
            </w:pPr>
            <w:r w:rsidRPr="009E686F">
              <w:rPr>
                <w:rFonts w:ascii="Times New Roman" w:hAnsi="Times New Roman" w:cs="Times New Roman"/>
                <w:bCs/>
                <w:i/>
                <w:iCs/>
              </w:rPr>
              <w:t xml:space="preserve">a) întreprinderea sau întreprinderile-mamă sunt instituții de credit autorizate în statele membre în temeiul legii care reglementează și activitatea instituţiei financiare; </w:t>
            </w:r>
          </w:p>
        </w:tc>
        <w:tc>
          <w:tcPr>
            <w:tcW w:w="470" w:type="pct"/>
            <w:tcBorders>
              <w:top w:val="single" w:sz="4" w:space="0" w:color="auto"/>
              <w:left w:val="single" w:sz="4" w:space="0" w:color="auto"/>
              <w:bottom w:val="single" w:sz="4" w:space="0" w:color="auto"/>
              <w:right w:val="single" w:sz="4" w:space="0" w:color="auto"/>
            </w:tcBorders>
          </w:tcPr>
          <w:p w14:paraId="3DD3D10F" w14:textId="3F8BF3DB" w:rsidR="00D02498" w:rsidRPr="009E686F" w:rsidRDefault="00D02498" w:rsidP="00265766">
            <w:pPr>
              <w:jc w:val="both"/>
              <w:rPr>
                <w:rFonts w:ascii="Times New Roman" w:hAnsi="Times New Roman" w:cs="Times New Roman"/>
              </w:rPr>
            </w:pPr>
            <w:r w:rsidRPr="009E686F">
              <w:rPr>
                <w:rFonts w:ascii="Times New Roman" w:hAnsi="Times New Roman" w:cs="Times New Roman"/>
              </w:rPr>
              <w:t>Compatibil</w:t>
            </w:r>
          </w:p>
        </w:tc>
        <w:tc>
          <w:tcPr>
            <w:tcW w:w="806" w:type="pct"/>
            <w:vMerge/>
            <w:tcBorders>
              <w:left w:val="single" w:sz="4" w:space="0" w:color="auto"/>
              <w:right w:val="single" w:sz="4" w:space="0" w:color="auto"/>
            </w:tcBorders>
          </w:tcPr>
          <w:p w14:paraId="6720D90F" w14:textId="6545B23E" w:rsidR="00D02498" w:rsidRPr="009E686F" w:rsidRDefault="00D02498" w:rsidP="00265766">
            <w:pPr>
              <w:spacing w:after="0"/>
              <w:jc w:val="both"/>
              <w:rPr>
                <w:rFonts w:ascii="Times New Roman" w:hAnsi="Times New Roman" w:cs="Times New Roman"/>
              </w:rPr>
            </w:pPr>
          </w:p>
        </w:tc>
      </w:tr>
      <w:tr w:rsidR="00D02498" w:rsidRPr="009E686F" w14:paraId="751A8402" w14:textId="77777777" w:rsidTr="00630F7C">
        <w:tc>
          <w:tcPr>
            <w:tcW w:w="1890" w:type="pct"/>
            <w:tcBorders>
              <w:top w:val="single" w:sz="4" w:space="0" w:color="auto"/>
              <w:left w:val="single" w:sz="4" w:space="0" w:color="auto"/>
              <w:bottom w:val="single" w:sz="4" w:space="0" w:color="auto"/>
              <w:right w:val="single" w:sz="4" w:space="0" w:color="auto"/>
            </w:tcBorders>
          </w:tcPr>
          <w:p w14:paraId="095B62DB" w14:textId="5A90413B" w:rsidR="00D02498" w:rsidRPr="009E686F" w:rsidRDefault="00D02498" w:rsidP="00265766">
            <w:pPr>
              <w:spacing w:after="0"/>
              <w:jc w:val="both"/>
              <w:rPr>
                <w:rFonts w:ascii="Times New Roman" w:hAnsi="Times New Roman" w:cs="Times New Roman"/>
                <w:lang w:val="pt-BR"/>
              </w:rPr>
            </w:pPr>
            <w:r w:rsidRPr="009E686F">
              <w:rPr>
                <w:rFonts w:ascii="Times New Roman" w:hAnsi="Times New Roman" w:cs="Times New Roman"/>
                <w:lang w:val="pt-BR"/>
              </w:rPr>
              <w:t>(b) activitățile respective se desfășoară efectiv pe teritoriul aceluiași stat membru;</w:t>
            </w:r>
          </w:p>
        </w:tc>
        <w:tc>
          <w:tcPr>
            <w:tcW w:w="1834" w:type="pct"/>
            <w:tcBorders>
              <w:top w:val="single" w:sz="4" w:space="0" w:color="auto"/>
              <w:left w:val="single" w:sz="4" w:space="0" w:color="auto"/>
              <w:bottom w:val="single" w:sz="4" w:space="0" w:color="auto"/>
              <w:right w:val="single" w:sz="4" w:space="0" w:color="auto"/>
            </w:tcBorders>
          </w:tcPr>
          <w:p w14:paraId="28F3FF04" w14:textId="368BE64E" w:rsidR="00D02498" w:rsidRPr="009E686F" w:rsidRDefault="00D02498" w:rsidP="00265766">
            <w:pPr>
              <w:spacing w:after="0"/>
              <w:jc w:val="both"/>
              <w:rPr>
                <w:rFonts w:ascii="Times New Roman" w:hAnsi="Times New Roman" w:cs="Times New Roman"/>
                <w:bCs/>
                <w:i/>
                <w:iCs/>
                <w:lang w:val="pt-BR"/>
              </w:rPr>
            </w:pPr>
            <w:r w:rsidRPr="009E686F">
              <w:rPr>
                <w:rFonts w:ascii="Times New Roman" w:hAnsi="Times New Roman" w:cs="Times New Roman"/>
                <w:bCs/>
                <w:i/>
                <w:iCs/>
                <w:lang w:val="pt-BR"/>
              </w:rPr>
              <w:t xml:space="preserve">b) activităţile respective se desfășoară efectiv pe teritoriul aceluiași stat membru; </w:t>
            </w:r>
          </w:p>
        </w:tc>
        <w:tc>
          <w:tcPr>
            <w:tcW w:w="470" w:type="pct"/>
            <w:tcBorders>
              <w:top w:val="single" w:sz="4" w:space="0" w:color="auto"/>
              <w:left w:val="single" w:sz="4" w:space="0" w:color="auto"/>
              <w:bottom w:val="single" w:sz="4" w:space="0" w:color="auto"/>
              <w:right w:val="single" w:sz="4" w:space="0" w:color="auto"/>
            </w:tcBorders>
          </w:tcPr>
          <w:p w14:paraId="0AC620F6" w14:textId="1982EC1B" w:rsidR="00D02498" w:rsidRPr="009E686F" w:rsidRDefault="00D02498" w:rsidP="00265766">
            <w:pPr>
              <w:jc w:val="both"/>
              <w:rPr>
                <w:rFonts w:ascii="Times New Roman" w:hAnsi="Times New Roman" w:cs="Times New Roman"/>
              </w:rPr>
            </w:pPr>
            <w:r w:rsidRPr="009E686F">
              <w:rPr>
                <w:rFonts w:ascii="Times New Roman" w:hAnsi="Times New Roman" w:cs="Times New Roman"/>
              </w:rPr>
              <w:t>Compatibil</w:t>
            </w:r>
          </w:p>
        </w:tc>
        <w:tc>
          <w:tcPr>
            <w:tcW w:w="806" w:type="pct"/>
            <w:vMerge/>
            <w:tcBorders>
              <w:left w:val="single" w:sz="4" w:space="0" w:color="auto"/>
              <w:right w:val="single" w:sz="4" w:space="0" w:color="auto"/>
            </w:tcBorders>
          </w:tcPr>
          <w:p w14:paraId="50AA97A0" w14:textId="020812CE" w:rsidR="00D02498" w:rsidRPr="009E686F" w:rsidRDefault="00D02498" w:rsidP="00265766">
            <w:pPr>
              <w:spacing w:after="0"/>
              <w:jc w:val="both"/>
              <w:rPr>
                <w:rFonts w:ascii="Times New Roman" w:hAnsi="Times New Roman" w:cs="Times New Roman"/>
              </w:rPr>
            </w:pPr>
          </w:p>
        </w:tc>
      </w:tr>
      <w:tr w:rsidR="00D02498" w:rsidRPr="009E686F" w14:paraId="47453CAF" w14:textId="77777777" w:rsidTr="00630F7C">
        <w:tc>
          <w:tcPr>
            <w:tcW w:w="1890" w:type="pct"/>
            <w:tcBorders>
              <w:top w:val="single" w:sz="4" w:space="0" w:color="auto"/>
              <w:left w:val="single" w:sz="4" w:space="0" w:color="auto"/>
              <w:bottom w:val="single" w:sz="4" w:space="0" w:color="auto"/>
              <w:right w:val="single" w:sz="4" w:space="0" w:color="auto"/>
            </w:tcBorders>
          </w:tcPr>
          <w:p w14:paraId="6822CCC2" w14:textId="28D01718" w:rsidR="00D02498" w:rsidRPr="009E686F" w:rsidRDefault="00D02498" w:rsidP="00265766">
            <w:pPr>
              <w:spacing w:after="0"/>
              <w:jc w:val="both"/>
              <w:rPr>
                <w:rFonts w:ascii="Times New Roman" w:hAnsi="Times New Roman" w:cs="Times New Roman"/>
                <w:lang w:val="it-CH"/>
              </w:rPr>
            </w:pPr>
            <w:r w:rsidRPr="009E686F">
              <w:rPr>
                <w:rFonts w:ascii="Times New Roman" w:hAnsi="Times New Roman" w:cs="Times New Roman"/>
                <w:lang w:val="it-CH"/>
              </w:rPr>
              <w:t>(c) întreprinderea sau întreprinderile-mamă dețin cel puțin 90 % din drepturile de vot aferente acțiunilor deținute în capitalul social al instituției financiare;</w:t>
            </w:r>
          </w:p>
        </w:tc>
        <w:tc>
          <w:tcPr>
            <w:tcW w:w="1834" w:type="pct"/>
            <w:tcBorders>
              <w:top w:val="single" w:sz="4" w:space="0" w:color="auto"/>
              <w:left w:val="single" w:sz="4" w:space="0" w:color="auto"/>
              <w:bottom w:val="single" w:sz="4" w:space="0" w:color="auto"/>
              <w:right w:val="single" w:sz="4" w:space="0" w:color="auto"/>
            </w:tcBorders>
          </w:tcPr>
          <w:p w14:paraId="5F93C02F" w14:textId="5A89FE0B" w:rsidR="00D02498" w:rsidRPr="009E686F" w:rsidRDefault="00D02498" w:rsidP="00265766">
            <w:pPr>
              <w:spacing w:after="0"/>
              <w:jc w:val="both"/>
              <w:rPr>
                <w:rFonts w:ascii="Times New Roman" w:hAnsi="Times New Roman" w:cs="Times New Roman"/>
                <w:i/>
                <w:lang w:val="it-CH"/>
              </w:rPr>
            </w:pPr>
            <w:r w:rsidRPr="009E686F">
              <w:rPr>
                <w:rFonts w:ascii="Times New Roman" w:hAnsi="Times New Roman" w:cs="Times New Roman"/>
                <w:i/>
                <w:lang w:val="it-CH"/>
              </w:rPr>
              <w:t>c) întreprinderea sau întreprinderile-mamă deţin cel puţin 90 % din drepturile de vot aferente acţiunilor deţinute în capitalul social al instituţiei financiare;</w:t>
            </w:r>
          </w:p>
        </w:tc>
        <w:tc>
          <w:tcPr>
            <w:tcW w:w="470" w:type="pct"/>
            <w:tcBorders>
              <w:top w:val="single" w:sz="4" w:space="0" w:color="auto"/>
              <w:left w:val="single" w:sz="4" w:space="0" w:color="auto"/>
              <w:bottom w:val="single" w:sz="4" w:space="0" w:color="auto"/>
              <w:right w:val="single" w:sz="4" w:space="0" w:color="auto"/>
            </w:tcBorders>
          </w:tcPr>
          <w:p w14:paraId="730593E6" w14:textId="0EB443B1" w:rsidR="00D02498" w:rsidRPr="009E686F" w:rsidRDefault="00D02498" w:rsidP="00265766">
            <w:pPr>
              <w:jc w:val="both"/>
              <w:rPr>
                <w:rFonts w:ascii="Times New Roman" w:hAnsi="Times New Roman" w:cs="Times New Roman"/>
              </w:rPr>
            </w:pPr>
            <w:r w:rsidRPr="009E686F">
              <w:rPr>
                <w:rFonts w:ascii="Times New Roman" w:hAnsi="Times New Roman" w:cs="Times New Roman"/>
                <w:lang w:val="ro-MD"/>
              </w:rPr>
              <w:t>Compatibil</w:t>
            </w:r>
          </w:p>
        </w:tc>
        <w:tc>
          <w:tcPr>
            <w:tcW w:w="806" w:type="pct"/>
            <w:vMerge/>
            <w:tcBorders>
              <w:left w:val="single" w:sz="4" w:space="0" w:color="auto"/>
              <w:right w:val="single" w:sz="4" w:space="0" w:color="auto"/>
            </w:tcBorders>
          </w:tcPr>
          <w:p w14:paraId="6315DFF2" w14:textId="6DEB32B7" w:rsidR="00D02498" w:rsidRPr="009E686F" w:rsidRDefault="00D02498" w:rsidP="00265766">
            <w:pPr>
              <w:spacing w:after="0"/>
              <w:jc w:val="both"/>
              <w:rPr>
                <w:rFonts w:ascii="Times New Roman" w:hAnsi="Times New Roman" w:cs="Times New Roman"/>
              </w:rPr>
            </w:pPr>
          </w:p>
        </w:tc>
      </w:tr>
      <w:tr w:rsidR="00D02498" w:rsidRPr="009E686F" w14:paraId="1A739005" w14:textId="77777777" w:rsidTr="00630F7C">
        <w:tc>
          <w:tcPr>
            <w:tcW w:w="1890" w:type="pct"/>
            <w:tcBorders>
              <w:top w:val="single" w:sz="4" w:space="0" w:color="auto"/>
              <w:left w:val="single" w:sz="4" w:space="0" w:color="auto"/>
              <w:bottom w:val="single" w:sz="4" w:space="0" w:color="auto"/>
              <w:right w:val="single" w:sz="4" w:space="0" w:color="auto"/>
            </w:tcBorders>
          </w:tcPr>
          <w:p w14:paraId="1E103CEE" w14:textId="435FB68B" w:rsidR="00D02498" w:rsidRPr="009E686F" w:rsidRDefault="00D02498" w:rsidP="00265766">
            <w:pPr>
              <w:spacing w:after="0"/>
              <w:jc w:val="both"/>
              <w:rPr>
                <w:rFonts w:ascii="Times New Roman" w:hAnsi="Times New Roman" w:cs="Times New Roman"/>
              </w:rPr>
            </w:pPr>
            <w:r w:rsidRPr="009E686F">
              <w:rPr>
                <w:rFonts w:ascii="Times New Roman" w:hAnsi="Times New Roman" w:cs="Times New Roman"/>
              </w:rPr>
              <w:t xml:space="preserve">(d) întreprinderea sau întreprinderile-mamă îndeplinesc cerințele autorităților competente în ceea ce privește </w:t>
            </w:r>
            <w:r w:rsidRPr="009E686F">
              <w:rPr>
                <w:rFonts w:ascii="Times New Roman" w:hAnsi="Times New Roman" w:cs="Times New Roman"/>
              </w:rPr>
              <w:lastRenderedPageBreak/>
              <w:t>administrarea prudentă a instituției financiare și trebuie să fi declarat, cu consimțământul autorităților competente din statul membru de origine, că garantează în solidar angajamentele asumate de instituția financiară;</w:t>
            </w:r>
          </w:p>
        </w:tc>
        <w:tc>
          <w:tcPr>
            <w:tcW w:w="1834" w:type="pct"/>
            <w:tcBorders>
              <w:top w:val="single" w:sz="4" w:space="0" w:color="auto"/>
              <w:left w:val="single" w:sz="4" w:space="0" w:color="auto"/>
              <w:bottom w:val="single" w:sz="4" w:space="0" w:color="auto"/>
              <w:right w:val="single" w:sz="4" w:space="0" w:color="auto"/>
            </w:tcBorders>
          </w:tcPr>
          <w:p w14:paraId="05A701D6" w14:textId="15740891" w:rsidR="00D02498" w:rsidRPr="009E686F" w:rsidRDefault="00D02498" w:rsidP="00265766">
            <w:pPr>
              <w:spacing w:after="0"/>
              <w:jc w:val="both"/>
              <w:rPr>
                <w:rFonts w:ascii="Times New Roman" w:hAnsi="Times New Roman" w:cs="Times New Roman"/>
                <w:bCs/>
                <w:i/>
                <w:iCs/>
              </w:rPr>
            </w:pPr>
            <w:r w:rsidRPr="009E686F">
              <w:rPr>
                <w:rFonts w:ascii="Times New Roman" w:hAnsi="Times New Roman" w:cs="Times New Roman"/>
                <w:bCs/>
                <w:i/>
                <w:iCs/>
              </w:rPr>
              <w:lastRenderedPageBreak/>
              <w:t xml:space="preserve">d) întreprinderea sau întreprinderile-mamă îndeplinesc cerinţele autorităţilor competente cu privire la </w:t>
            </w:r>
            <w:r w:rsidRPr="009E686F">
              <w:rPr>
                <w:rFonts w:ascii="Times New Roman" w:hAnsi="Times New Roman" w:cs="Times New Roman"/>
                <w:bCs/>
                <w:i/>
                <w:iCs/>
              </w:rPr>
              <w:lastRenderedPageBreak/>
              <w:t>administrarea prudentă a instituţiei financiare și trebuie să declare, cu acordul acestei autorități, că garantează în solidar angajamentele asumate de instituţia financiară;</w:t>
            </w:r>
          </w:p>
        </w:tc>
        <w:tc>
          <w:tcPr>
            <w:tcW w:w="470" w:type="pct"/>
            <w:tcBorders>
              <w:top w:val="single" w:sz="4" w:space="0" w:color="auto"/>
              <w:left w:val="single" w:sz="4" w:space="0" w:color="auto"/>
              <w:bottom w:val="single" w:sz="4" w:space="0" w:color="auto"/>
              <w:right w:val="single" w:sz="4" w:space="0" w:color="auto"/>
            </w:tcBorders>
          </w:tcPr>
          <w:p w14:paraId="1F169FF4" w14:textId="758FBF7E" w:rsidR="00D02498" w:rsidRPr="009E686F" w:rsidRDefault="00D02498" w:rsidP="00265766">
            <w:pPr>
              <w:jc w:val="both"/>
              <w:rPr>
                <w:rFonts w:ascii="Times New Roman" w:hAnsi="Times New Roman" w:cs="Times New Roman"/>
              </w:rPr>
            </w:pPr>
            <w:r w:rsidRPr="009E686F">
              <w:rPr>
                <w:rFonts w:ascii="Times New Roman" w:hAnsi="Times New Roman" w:cs="Times New Roman"/>
                <w:lang w:val="ro-MD"/>
              </w:rPr>
              <w:lastRenderedPageBreak/>
              <w:t>Compatibil</w:t>
            </w:r>
          </w:p>
        </w:tc>
        <w:tc>
          <w:tcPr>
            <w:tcW w:w="806" w:type="pct"/>
            <w:vMerge/>
            <w:tcBorders>
              <w:left w:val="single" w:sz="4" w:space="0" w:color="auto"/>
              <w:right w:val="single" w:sz="4" w:space="0" w:color="auto"/>
            </w:tcBorders>
          </w:tcPr>
          <w:p w14:paraId="1E42E28E" w14:textId="3807D22B" w:rsidR="00D02498" w:rsidRPr="009E686F" w:rsidRDefault="00D02498" w:rsidP="00265766">
            <w:pPr>
              <w:spacing w:after="0"/>
              <w:jc w:val="both"/>
              <w:rPr>
                <w:rFonts w:ascii="Times New Roman" w:hAnsi="Times New Roman" w:cs="Times New Roman"/>
              </w:rPr>
            </w:pPr>
          </w:p>
        </w:tc>
      </w:tr>
      <w:tr w:rsidR="00D02498" w:rsidRPr="009E686F" w14:paraId="486B33B4" w14:textId="77777777" w:rsidTr="00630F7C">
        <w:tc>
          <w:tcPr>
            <w:tcW w:w="1890" w:type="pct"/>
            <w:tcBorders>
              <w:top w:val="single" w:sz="4" w:space="0" w:color="auto"/>
              <w:left w:val="single" w:sz="4" w:space="0" w:color="auto"/>
              <w:bottom w:val="single" w:sz="4" w:space="0" w:color="auto"/>
              <w:right w:val="single" w:sz="4" w:space="0" w:color="auto"/>
            </w:tcBorders>
          </w:tcPr>
          <w:p w14:paraId="740D666F" w14:textId="64C766A3" w:rsidR="00D02498" w:rsidRPr="009E686F" w:rsidRDefault="00D02498" w:rsidP="00265766">
            <w:pPr>
              <w:spacing w:after="0"/>
              <w:jc w:val="both"/>
              <w:rPr>
                <w:rFonts w:ascii="Times New Roman" w:hAnsi="Times New Roman" w:cs="Times New Roman"/>
              </w:rPr>
            </w:pPr>
            <w:r w:rsidRPr="009E686F">
              <w:rPr>
                <w:rFonts w:ascii="Times New Roman" w:hAnsi="Times New Roman" w:cs="Times New Roman"/>
              </w:rPr>
              <w:t>(e) instituția financiară este inclusă efectiv, în special în ceea ce privește activitățile în cauză, în supravegherea consolidată a întreprinderii-mamă sau a fiecăreia dintre întreprinderile-mamă, în conformitate cu titlul VII capitolul 3 din prezenta directivă și cu partea întâi titlul II capitolul 2 din Regulamentul (UE) nr. 575/2013, în special în sensul cerințelor de fonduri proprii prevăzute la articolul 92 din respectivul regulament, pentru controlul expunerilor mari prevăzute în partea a patra din regulamentul respectiv și pentru limitarea participațiilor prevăzute la articolele 89 și 90 din regulamentul respectiv.</w:t>
            </w:r>
          </w:p>
        </w:tc>
        <w:tc>
          <w:tcPr>
            <w:tcW w:w="1834" w:type="pct"/>
            <w:tcBorders>
              <w:top w:val="single" w:sz="4" w:space="0" w:color="auto"/>
              <w:left w:val="single" w:sz="4" w:space="0" w:color="auto"/>
              <w:bottom w:val="single" w:sz="4" w:space="0" w:color="auto"/>
              <w:right w:val="single" w:sz="4" w:space="0" w:color="auto"/>
            </w:tcBorders>
          </w:tcPr>
          <w:p w14:paraId="746B6353" w14:textId="00F9044C" w:rsidR="00D02498" w:rsidRPr="009E686F" w:rsidRDefault="00D02498" w:rsidP="00265766">
            <w:pPr>
              <w:spacing w:after="0"/>
              <w:jc w:val="both"/>
              <w:rPr>
                <w:rFonts w:ascii="Times New Roman" w:hAnsi="Times New Roman" w:cs="Times New Roman"/>
                <w:bCs/>
                <w:i/>
                <w:iCs/>
              </w:rPr>
            </w:pPr>
            <w:r w:rsidRPr="009E686F">
              <w:rPr>
                <w:rFonts w:ascii="Times New Roman" w:hAnsi="Times New Roman" w:cs="Times New Roman"/>
                <w:bCs/>
                <w:i/>
                <w:iCs/>
              </w:rPr>
              <w:t>e) instituţia financiară este inclusă efectiv, în special în ceea ce privește activităţile pe care urmează să le desfășoare în Republica Moldova, în supravegherea pe bază consolidată a întreprinderii-mamă sau, după caz, a fiecărei întreprinderi-mamă, potrivit prezentei legi și actelor normative ale Băncii Naționale a Moldovei, în special pentru calculul cerinţelor de fonduri proprii prevăzute de actele normative ale Băncii Naționale a Moldovei, pentru controlul expunerilor mari prevăzute în actele normative ale Băncii Naționale a Moldovei și în scopul limitării deținerilor calificate din afara sectorului financiar, potrivit prezentei legi și actelor normative emise în aplicarea acesteia.</w:t>
            </w:r>
          </w:p>
        </w:tc>
        <w:tc>
          <w:tcPr>
            <w:tcW w:w="470" w:type="pct"/>
            <w:tcBorders>
              <w:top w:val="single" w:sz="4" w:space="0" w:color="auto"/>
              <w:left w:val="single" w:sz="4" w:space="0" w:color="auto"/>
              <w:bottom w:val="single" w:sz="4" w:space="0" w:color="auto"/>
              <w:right w:val="single" w:sz="4" w:space="0" w:color="auto"/>
            </w:tcBorders>
          </w:tcPr>
          <w:p w14:paraId="0A73ED38" w14:textId="077D4C95" w:rsidR="00D02498" w:rsidRPr="009E686F" w:rsidRDefault="00D02498" w:rsidP="00265766">
            <w:pPr>
              <w:jc w:val="both"/>
              <w:rPr>
                <w:rFonts w:ascii="Times New Roman" w:hAnsi="Times New Roman" w:cs="Times New Roman"/>
              </w:rPr>
            </w:pPr>
            <w:r w:rsidRPr="009E686F">
              <w:rPr>
                <w:rFonts w:ascii="Times New Roman" w:hAnsi="Times New Roman" w:cs="Times New Roman"/>
                <w:lang w:val="ro-MD"/>
              </w:rPr>
              <w:t>Compatibil</w:t>
            </w:r>
          </w:p>
        </w:tc>
        <w:tc>
          <w:tcPr>
            <w:tcW w:w="806" w:type="pct"/>
            <w:vMerge/>
            <w:tcBorders>
              <w:left w:val="single" w:sz="4" w:space="0" w:color="auto"/>
              <w:bottom w:val="single" w:sz="4" w:space="0" w:color="auto"/>
              <w:right w:val="single" w:sz="4" w:space="0" w:color="auto"/>
            </w:tcBorders>
          </w:tcPr>
          <w:p w14:paraId="4790243D" w14:textId="42030F6F" w:rsidR="00D02498" w:rsidRPr="009E686F" w:rsidRDefault="00D02498" w:rsidP="00265766">
            <w:pPr>
              <w:spacing w:after="0"/>
              <w:jc w:val="both"/>
              <w:rPr>
                <w:rFonts w:ascii="Times New Roman" w:hAnsi="Times New Roman" w:cs="Times New Roman"/>
              </w:rPr>
            </w:pPr>
          </w:p>
        </w:tc>
      </w:tr>
      <w:tr w:rsidR="00265766" w:rsidRPr="009E686F" w14:paraId="7A76C797" w14:textId="77777777" w:rsidTr="00960C23">
        <w:tc>
          <w:tcPr>
            <w:tcW w:w="1890" w:type="pct"/>
            <w:tcBorders>
              <w:top w:val="single" w:sz="4" w:space="0" w:color="auto"/>
              <w:left w:val="single" w:sz="4" w:space="0" w:color="auto"/>
              <w:bottom w:val="single" w:sz="4" w:space="0" w:color="auto"/>
              <w:right w:val="single" w:sz="4" w:space="0" w:color="auto"/>
            </w:tcBorders>
          </w:tcPr>
          <w:p w14:paraId="13BA8A4F" w14:textId="77777777"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Autoritățile competente din statul membru de origine verifică respectarea condițiilor prevăzute la primul paragraf și eliberează instituției financiare un certificat de conformitate, care este parte integrantă din notificarea menționată la articolele 35 și 39.</w:t>
            </w:r>
          </w:p>
        </w:tc>
        <w:tc>
          <w:tcPr>
            <w:tcW w:w="1834" w:type="pct"/>
            <w:tcBorders>
              <w:top w:val="single" w:sz="4" w:space="0" w:color="auto"/>
              <w:left w:val="single" w:sz="4" w:space="0" w:color="auto"/>
              <w:bottom w:val="single" w:sz="4" w:space="0" w:color="auto"/>
              <w:right w:val="single" w:sz="4" w:space="0" w:color="auto"/>
            </w:tcBorders>
          </w:tcPr>
          <w:p w14:paraId="46C5DE7F" w14:textId="1B7C3579" w:rsidR="00265766" w:rsidRPr="009E686F" w:rsidRDefault="00265766" w:rsidP="00265766">
            <w:pPr>
              <w:spacing w:after="0"/>
              <w:jc w:val="both"/>
              <w:rPr>
                <w:rFonts w:ascii="Times New Roman" w:hAnsi="Times New Roman" w:cs="Times New Roman"/>
                <w:bCs/>
                <w:i/>
                <w:iCs/>
                <w:lang w:val="it-CH"/>
              </w:rPr>
            </w:pPr>
            <w:r w:rsidRPr="009E686F">
              <w:rPr>
                <w:rFonts w:ascii="Times New Roman" w:hAnsi="Times New Roman" w:cs="Times New Roman"/>
                <w:bCs/>
                <w:i/>
                <w:iCs/>
                <w:lang w:val="it-CH"/>
              </w:rPr>
              <w:t>(2) Prevederile art. 23</w:t>
            </w:r>
            <w:r w:rsidRPr="009E686F">
              <w:rPr>
                <w:rFonts w:ascii="Times New Roman" w:hAnsi="Times New Roman" w:cs="Times New Roman"/>
                <w:bCs/>
                <w:i/>
                <w:iCs/>
                <w:vertAlign w:val="superscript"/>
                <w:lang w:val="it-CH"/>
              </w:rPr>
              <w:t>2</w:t>
            </w:r>
            <w:r w:rsidRPr="009E686F">
              <w:rPr>
                <w:rFonts w:ascii="Times New Roman" w:hAnsi="Times New Roman" w:cs="Times New Roman"/>
                <w:bCs/>
                <w:i/>
                <w:iCs/>
                <w:lang w:val="it-CH"/>
              </w:rPr>
              <w:t xml:space="preserve"> se aplică în mod corespunzător și în cazul înființării unei sucursale sau furnizării în mod direct a serviciilor pe teritoriul Republicii Moldova de către o instituție financiară dintr-un alt stat membru. Notificarea transmisă Băncii Naționale a Moldovei include în acest caz și certificarea îndeplinirii condițiilor prevăzute la alin. (1).</w:t>
            </w:r>
          </w:p>
        </w:tc>
        <w:tc>
          <w:tcPr>
            <w:tcW w:w="470" w:type="pct"/>
            <w:tcBorders>
              <w:top w:val="single" w:sz="4" w:space="0" w:color="auto"/>
              <w:left w:val="single" w:sz="4" w:space="0" w:color="auto"/>
              <w:bottom w:val="single" w:sz="4" w:space="0" w:color="auto"/>
              <w:right w:val="single" w:sz="4" w:space="0" w:color="auto"/>
            </w:tcBorders>
          </w:tcPr>
          <w:p w14:paraId="319C95B2" w14:textId="10DE44A0" w:rsidR="00265766" w:rsidRPr="009E686F" w:rsidRDefault="00265766" w:rsidP="00265766">
            <w:pPr>
              <w:jc w:val="both"/>
              <w:rPr>
                <w:rFonts w:ascii="Times New Roman" w:hAnsi="Times New Roman" w:cs="Times New Roman"/>
              </w:rPr>
            </w:pPr>
            <w:r w:rsidRPr="009E686F">
              <w:rPr>
                <w:rFonts w:ascii="Times New Roman" w:hAnsi="Times New Roman" w:cs="Times New Roman"/>
                <w:lang w:val="ro-MD"/>
              </w:rPr>
              <w:t>Compatibil</w:t>
            </w:r>
          </w:p>
        </w:tc>
        <w:tc>
          <w:tcPr>
            <w:tcW w:w="806" w:type="pct"/>
            <w:tcBorders>
              <w:top w:val="single" w:sz="4" w:space="0" w:color="auto"/>
              <w:left w:val="single" w:sz="4" w:space="0" w:color="auto"/>
              <w:bottom w:val="single" w:sz="4" w:space="0" w:color="auto"/>
              <w:right w:val="single" w:sz="4" w:space="0" w:color="auto"/>
            </w:tcBorders>
          </w:tcPr>
          <w:p w14:paraId="404F7B94" w14:textId="77777777" w:rsidR="00D02498" w:rsidRPr="009E686F" w:rsidRDefault="00D02498" w:rsidP="00D02498">
            <w:pPr>
              <w:rPr>
                <w:lang w:val="it-CH"/>
              </w:rPr>
            </w:pPr>
            <w:r w:rsidRPr="009E686F">
              <w:rPr>
                <w:rFonts w:ascii="Times New Roman" w:hAnsi="Times New Roman" w:cs="Times New Roman"/>
                <w:lang w:val="ro-RO"/>
              </w:rPr>
              <w:t>În vigoare –5 ani de la data aderării.</w:t>
            </w:r>
          </w:p>
          <w:p w14:paraId="2A22B6D5" w14:textId="1C60334B" w:rsidR="00265766" w:rsidRPr="009E686F" w:rsidRDefault="00265766" w:rsidP="00265766">
            <w:pPr>
              <w:spacing w:after="0"/>
              <w:jc w:val="both"/>
              <w:rPr>
                <w:rFonts w:ascii="Times New Roman" w:hAnsi="Times New Roman" w:cs="Times New Roman"/>
                <w:lang w:val="it-CH"/>
              </w:rPr>
            </w:pPr>
          </w:p>
        </w:tc>
      </w:tr>
      <w:tr w:rsidR="00265766" w:rsidRPr="009E686F" w14:paraId="154D775C" w14:textId="77777777" w:rsidTr="00960C23">
        <w:tc>
          <w:tcPr>
            <w:tcW w:w="1890" w:type="pct"/>
            <w:tcBorders>
              <w:top w:val="single" w:sz="4" w:space="0" w:color="auto"/>
              <w:left w:val="single" w:sz="4" w:space="0" w:color="auto"/>
              <w:bottom w:val="single" w:sz="4" w:space="0" w:color="auto"/>
              <w:right w:val="single" w:sz="4" w:space="0" w:color="auto"/>
            </w:tcBorders>
          </w:tcPr>
          <w:p w14:paraId="12AF0637" w14:textId="1EF15503"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(2) În cazul în care o instituție financiară menționată la alineatul (1) primul paragraf nu mai îndeplinește toate condițiile impuse, autoritatea competentă a statului membru de origine notifică autoritățile competente din statul membru gazdă, iar activitățile desfășurate de instituția respectivă în statul membru gazdă fac obiectul dreptului statului membru gazdă respectiv.</w:t>
            </w:r>
          </w:p>
        </w:tc>
        <w:tc>
          <w:tcPr>
            <w:tcW w:w="1834" w:type="pct"/>
            <w:tcBorders>
              <w:top w:val="single" w:sz="4" w:space="0" w:color="auto"/>
              <w:left w:val="single" w:sz="4" w:space="0" w:color="auto"/>
              <w:bottom w:val="single" w:sz="4" w:space="0" w:color="auto"/>
              <w:right w:val="single" w:sz="4" w:space="0" w:color="auto"/>
            </w:tcBorders>
          </w:tcPr>
          <w:p w14:paraId="6C78E4BB" w14:textId="530F0348" w:rsidR="00265766" w:rsidRPr="009E686F" w:rsidRDefault="00265766" w:rsidP="00265766">
            <w:pPr>
              <w:spacing w:after="0"/>
              <w:jc w:val="both"/>
              <w:rPr>
                <w:rFonts w:ascii="Times New Roman" w:hAnsi="Times New Roman" w:cs="Times New Roman"/>
                <w:i/>
                <w:lang w:val="it-CH"/>
              </w:rPr>
            </w:pPr>
            <w:r w:rsidRPr="009E686F">
              <w:rPr>
                <w:rFonts w:ascii="Times New Roman" w:hAnsi="Times New Roman" w:cs="Times New Roman"/>
                <w:i/>
                <w:lang w:val="it-CH"/>
              </w:rPr>
              <w:t>(3) În cazul în care Banca Naţională a Moldovei este informată de către autoritatea competentă din statul membru de origine cu privire la faptul că o instituţie financiară nu mai îndeplineşte oricare dintre condiţiile prevăzute la alin. (1), activităţile desfăşurate în Republica Moldova de respectiva instituţie financiară nu mai beneficiază de regimul prevăzut în prezentul articol, iar instituția financiară trebuie să respecte cerințele aplicabile activității desfășurate prevăzute de actele normative relevante</w:t>
            </w:r>
            <w:r w:rsidR="00336336" w:rsidRPr="009E686F">
              <w:rPr>
                <w:lang w:val="it-CH"/>
              </w:rPr>
              <w:t xml:space="preserve"> </w:t>
            </w:r>
            <w:r w:rsidR="00336336" w:rsidRPr="009E686F">
              <w:rPr>
                <w:rFonts w:ascii="Times New Roman" w:hAnsi="Times New Roman" w:cs="Times New Roman"/>
                <w:i/>
                <w:lang w:val="it-CH"/>
              </w:rPr>
              <w:t>din legislația națională a Republicii Moldova</w:t>
            </w:r>
            <w:r w:rsidRPr="009E686F">
              <w:rPr>
                <w:rFonts w:ascii="Times New Roman" w:hAnsi="Times New Roman" w:cs="Times New Roman"/>
                <w:i/>
                <w:lang w:val="it-CH"/>
              </w:rPr>
              <w:t>.</w:t>
            </w:r>
          </w:p>
        </w:tc>
        <w:tc>
          <w:tcPr>
            <w:tcW w:w="470" w:type="pct"/>
            <w:tcBorders>
              <w:top w:val="single" w:sz="4" w:space="0" w:color="auto"/>
              <w:left w:val="single" w:sz="4" w:space="0" w:color="auto"/>
              <w:bottom w:val="single" w:sz="4" w:space="0" w:color="auto"/>
              <w:right w:val="single" w:sz="4" w:space="0" w:color="auto"/>
            </w:tcBorders>
          </w:tcPr>
          <w:p w14:paraId="0C1E9666" w14:textId="0A439386" w:rsidR="00265766" w:rsidRPr="009E686F" w:rsidRDefault="00265766" w:rsidP="00265766">
            <w:pPr>
              <w:jc w:val="both"/>
              <w:rPr>
                <w:rFonts w:ascii="Times New Roman" w:hAnsi="Times New Roman" w:cs="Times New Roman"/>
              </w:rPr>
            </w:pPr>
            <w:r w:rsidRPr="009E686F">
              <w:rPr>
                <w:rFonts w:ascii="Times New Roman" w:hAnsi="Times New Roman" w:cs="Times New Roman"/>
                <w:lang w:val="ro-MD"/>
              </w:rPr>
              <w:t>Compatibil</w:t>
            </w:r>
          </w:p>
        </w:tc>
        <w:tc>
          <w:tcPr>
            <w:tcW w:w="806" w:type="pct"/>
            <w:tcBorders>
              <w:top w:val="single" w:sz="4" w:space="0" w:color="auto"/>
              <w:left w:val="single" w:sz="4" w:space="0" w:color="auto"/>
              <w:bottom w:val="single" w:sz="4" w:space="0" w:color="auto"/>
              <w:right w:val="single" w:sz="4" w:space="0" w:color="auto"/>
            </w:tcBorders>
          </w:tcPr>
          <w:p w14:paraId="1D2E1756" w14:textId="77777777" w:rsidR="00D02498" w:rsidRPr="009E686F" w:rsidRDefault="00D02498" w:rsidP="00D02498">
            <w:pPr>
              <w:rPr>
                <w:lang w:val="it-CH"/>
              </w:rPr>
            </w:pPr>
            <w:r w:rsidRPr="009E686F">
              <w:rPr>
                <w:rFonts w:ascii="Times New Roman" w:hAnsi="Times New Roman" w:cs="Times New Roman"/>
                <w:lang w:val="ro-RO"/>
              </w:rPr>
              <w:t>În vigoare –5 ani de la data aderării.</w:t>
            </w:r>
          </w:p>
          <w:p w14:paraId="1C9ACB06" w14:textId="5F279226" w:rsidR="00265766" w:rsidRPr="009E686F" w:rsidRDefault="00265766" w:rsidP="00265766">
            <w:pPr>
              <w:spacing w:after="0"/>
              <w:jc w:val="both"/>
              <w:rPr>
                <w:rFonts w:ascii="Times New Roman" w:hAnsi="Times New Roman" w:cs="Times New Roman"/>
                <w:lang w:val="it-CH"/>
              </w:rPr>
            </w:pPr>
          </w:p>
        </w:tc>
      </w:tr>
      <w:tr w:rsidR="00265766" w:rsidRPr="009E686F" w14:paraId="6FCDE1F2" w14:textId="77777777" w:rsidTr="00960C23">
        <w:tc>
          <w:tcPr>
            <w:tcW w:w="1890" w:type="pct"/>
            <w:tcBorders>
              <w:top w:val="single" w:sz="4" w:space="0" w:color="auto"/>
              <w:left w:val="single" w:sz="4" w:space="0" w:color="auto"/>
              <w:bottom w:val="single" w:sz="4" w:space="0" w:color="auto"/>
              <w:right w:val="single" w:sz="4" w:space="0" w:color="auto"/>
            </w:tcBorders>
          </w:tcPr>
          <w:p w14:paraId="199E194B" w14:textId="2E7BB347"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lastRenderedPageBreak/>
              <w:t>(3) Dispozițiile alineatelor (1) și (2) se aplică în consecință filialelor unei instituții financiare menționate la alineatul (1) primul paragraf.</w:t>
            </w:r>
          </w:p>
        </w:tc>
        <w:tc>
          <w:tcPr>
            <w:tcW w:w="1834" w:type="pct"/>
            <w:tcBorders>
              <w:top w:val="single" w:sz="4" w:space="0" w:color="auto"/>
              <w:left w:val="single" w:sz="4" w:space="0" w:color="auto"/>
              <w:bottom w:val="single" w:sz="4" w:space="0" w:color="auto"/>
              <w:right w:val="single" w:sz="4" w:space="0" w:color="auto"/>
            </w:tcBorders>
          </w:tcPr>
          <w:p w14:paraId="7EEE8668" w14:textId="3D4C3DCF" w:rsidR="00265766" w:rsidRPr="009E686F" w:rsidRDefault="00265766" w:rsidP="00265766">
            <w:pPr>
              <w:spacing w:after="0"/>
              <w:jc w:val="both"/>
              <w:rPr>
                <w:rFonts w:ascii="Times New Roman" w:hAnsi="Times New Roman" w:cs="Times New Roman"/>
                <w:bCs/>
                <w:i/>
                <w:iCs/>
                <w:lang w:val="it-CH"/>
              </w:rPr>
            </w:pPr>
            <w:r w:rsidRPr="009E686F">
              <w:rPr>
                <w:rFonts w:ascii="Times New Roman" w:hAnsi="Times New Roman" w:cs="Times New Roman"/>
                <w:bCs/>
                <w:i/>
                <w:iCs/>
                <w:lang w:val="it-CH"/>
              </w:rPr>
              <w:t>(4) Prevederile prezentului articol se aplică în mod corespunzător şi filialelor dintr-un stat membru ale instituţiilor financiare prevăzute la alin. (1).</w:t>
            </w:r>
          </w:p>
        </w:tc>
        <w:tc>
          <w:tcPr>
            <w:tcW w:w="470" w:type="pct"/>
            <w:tcBorders>
              <w:top w:val="single" w:sz="4" w:space="0" w:color="auto"/>
              <w:left w:val="single" w:sz="4" w:space="0" w:color="auto"/>
              <w:bottom w:val="single" w:sz="4" w:space="0" w:color="auto"/>
              <w:right w:val="single" w:sz="4" w:space="0" w:color="auto"/>
            </w:tcBorders>
          </w:tcPr>
          <w:p w14:paraId="1C2DFF55" w14:textId="2AE903C1" w:rsidR="00265766" w:rsidRPr="009E686F" w:rsidRDefault="00265766" w:rsidP="00265766">
            <w:pPr>
              <w:jc w:val="both"/>
              <w:rPr>
                <w:rFonts w:ascii="Times New Roman" w:hAnsi="Times New Roman" w:cs="Times New Roman"/>
              </w:rPr>
            </w:pPr>
            <w:r w:rsidRPr="009E686F">
              <w:rPr>
                <w:rFonts w:ascii="Times New Roman" w:hAnsi="Times New Roman" w:cs="Times New Roman"/>
                <w:lang w:val="ro-MD"/>
              </w:rPr>
              <w:t>Compatibil</w:t>
            </w:r>
          </w:p>
        </w:tc>
        <w:tc>
          <w:tcPr>
            <w:tcW w:w="806" w:type="pct"/>
            <w:tcBorders>
              <w:top w:val="single" w:sz="4" w:space="0" w:color="auto"/>
              <w:left w:val="single" w:sz="4" w:space="0" w:color="auto"/>
              <w:bottom w:val="single" w:sz="4" w:space="0" w:color="auto"/>
              <w:right w:val="single" w:sz="4" w:space="0" w:color="auto"/>
            </w:tcBorders>
          </w:tcPr>
          <w:p w14:paraId="6D7F5D90" w14:textId="77777777" w:rsidR="00D02498" w:rsidRPr="009E686F" w:rsidRDefault="00D02498" w:rsidP="00D02498">
            <w:pPr>
              <w:rPr>
                <w:lang w:val="it-CH"/>
              </w:rPr>
            </w:pPr>
            <w:r w:rsidRPr="009E686F">
              <w:rPr>
                <w:rFonts w:ascii="Times New Roman" w:hAnsi="Times New Roman" w:cs="Times New Roman"/>
                <w:lang w:val="ro-RO"/>
              </w:rPr>
              <w:t>În vigoare –5 ani de la data aderării.</w:t>
            </w:r>
          </w:p>
          <w:p w14:paraId="25B0BCA7" w14:textId="0C7C6B53" w:rsidR="00265766" w:rsidRPr="009E686F" w:rsidRDefault="00265766" w:rsidP="00265766">
            <w:pPr>
              <w:spacing w:after="0"/>
              <w:jc w:val="both"/>
              <w:rPr>
                <w:rFonts w:ascii="Times New Roman" w:hAnsi="Times New Roman" w:cs="Times New Roman"/>
                <w:lang w:val="it-CH"/>
              </w:rPr>
            </w:pPr>
          </w:p>
        </w:tc>
      </w:tr>
      <w:tr w:rsidR="00D02498" w:rsidRPr="009E686F" w14:paraId="0BF832C5" w14:textId="77777777" w:rsidTr="00620A93">
        <w:trPr>
          <w:trHeight w:val="4549"/>
        </w:trPr>
        <w:tc>
          <w:tcPr>
            <w:tcW w:w="1890" w:type="pct"/>
            <w:tcBorders>
              <w:top w:val="single" w:sz="4" w:space="0" w:color="auto"/>
              <w:left w:val="single" w:sz="4" w:space="0" w:color="auto"/>
              <w:right w:val="single" w:sz="4" w:space="0" w:color="auto"/>
            </w:tcBorders>
          </w:tcPr>
          <w:p w14:paraId="7061E9C8" w14:textId="77777777" w:rsidR="00D02498" w:rsidRPr="009E686F" w:rsidRDefault="00D02498" w:rsidP="00265766">
            <w:pPr>
              <w:spacing w:after="0"/>
              <w:jc w:val="both"/>
              <w:rPr>
                <w:rFonts w:ascii="Times New Roman" w:hAnsi="Times New Roman" w:cs="Times New Roman"/>
                <w:lang w:val="it-CH"/>
              </w:rPr>
            </w:pPr>
            <w:r w:rsidRPr="009E686F">
              <w:rPr>
                <w:rFonts w:ascii="Times New Roman" w:hAnsi="Times New Roman" w:cs="Times New Roman"/>
                <w:lang w:val="it-CH"/>
              </w:rPr>
              <w:t>CAPITOLUL 2</w:t>
            </w:r>
          </w:p>
          <w:p w14:paraId="0439ACD9" w14:textId="120B10BD" w:rsidR="00D02498" w:rsidRPr="009E686F" w:rsidRDefault="00D02498" w:rsidP="00265766">
            <w:pPr>
              <w:spacing w:after="0"/>
              <w:jc w:val="both"/>
              <w:rPr>
                <w:rFonts w:ascii="Times New Roman" w:hAnsi="Times New Roman" w:cs="Times New Roman"/>
                <w:lang w:val="it-CH"/>
              </w:rPr>
            </w:pPr>
            <w:r w:rsidRPr="009E686F">
              <w:rPr>
                <w:rFonts w:ascii="Times New Roman" w:hAnsi="Times New Roman" w:cs="Times New Roman"/>
                <w:lang w:val="it-CH"/>
              </w:rPr>
              <w:t>Dreptul de stabilire al instituțiilor de credit</w:t>
            </w:r>
          </w:p>
          <w:p w14:paraId="56906EEA" w14:textId="77777777" w:rsidR="00D02498" w:rsidRPr="009E686F" w:rsidRDefault="00D02498" w:rsidP="00265766">
            <w:pPr>
              <w:spacing w:after="0"/>
              <w:jc w:val="both"/>
              <w:rPr>
                <w:rFonts w:ascii="Times New Roman" w:hAnsi="Times New Roman" w:cs="Times New Roman"/>
                <w:lang w:val="it-CH"/>
              </w:rPr>
            </w:pPr>
          </w:p>
          <w:p w14:paraId="7B2B9F0C" w14:textId="7DDC3712" w:rsidR="00D02498" w:rsidRPr="009E686F" w:rsidRDefault="00D02498" w:rsidP="00265766">
            <w:pPr>
              <w:spacing w:after="0"/>
              <w:jc w:val="both"/>
              <w:rPr>
                <w:rFonts w:ascii="Times New Roman" w:hAnsi="Times New Roman" w:cs="Times New Roman"/>
                <w:i/>
                <w:lang w:val="it-CH"/>
              </w:rPr>
            </w:pPr>
            <w:r w:rsidRPr="009E686F">
              <w:rPr>
                <w:rFonts w:ascii="Times New Roman" w:hAnsi="Times New Roman" w:cs="Times New Roman"/>
                <w:i/>
                <w:lang w:val="it-CH"/>
              </w:rPr>
              <w:t xml:space="preserve">Articolul 35 </w:t>
            </w:r>
          </w:p>
          <w:p w14:paraId="34ABEB64" w14:textId="77777777" w:rsidR="00D02498" w:rsidRPr="009E686F" w:rsidRDefault="00D02498" w:rsidP="00265766">
            <w:pPr>
              <w:spacing w:after="0"/>
              <w:jc w:val="both"/>
              <w:rPr>
                <w:rFonts w:ascii="Times New Roman" w:hAnsi="Times New Roman" w:cs="Times New Roman"/>
                <w:lang w:val="it-CH"/>
              </w:rPr>
            </w:pPr>
            <w:r w:rsidRPr="009E686F">
              <w:rPr>
                <w:rFonts w:ascii="Times New Roman" w:hAnsi="Times New Roman" w:cs="Times New Roman"/>
                <w:lang w:val="it-CH"/>
              </w:rPr>
              <w:t>Obligația de notificare și interacțiunea dintre autoritățile competente</w:t>
            </w:r>
          </w:p>
          <w:p w14:paraId="73F9F63E" w14:textId="77777777" w:rsidR="00D02498" w:rsidRPr="009E686F" w:rsidRDefault="00D02498" w:rsidP="00265766">
            <w:pPr>
              <w:spacing w:after="0"/>
              <w:jc w:val="both"/>
              <w:rPr>
                <w:rFonts w:ascii="Times New Roman" w:hAnsi="Times New Roman" w:cs="Times New Roman"/>
                <w:lang w:val="it-CH"/>
              </w:rPr>
            </w:pPr>
          </w:p>
          <w:p w14:paraId="37AA4526" w14:textId="79C0AE82" w:rsidR="00D02498" w:rsidRPr="009E686F" w:rsidRDefault="00D02498" w:rsidP="00265766">
            <w:pPr>
              <w:spacing w:after="0"/>
              <w:jc w:val="both"/>
              <w:rPr>
                <w:rFonts w:ascii="Times New Roman" w:hAnsi="Times New Roman" w:cs="Times New Roman"/>
                <w:lang w:val="it-CH"/>
              </w:rPr>
            </w:pPr>
            <w:r w:rsidRPr="009E686F">
              <w:rPr>
                <w:rFonts w:ascii="Times New Roman" w:hAnsi="Times New Roman" w:cs="Times New Roman"/>
                <w:lang w:val="it-CH"/>
              </w:rPr>
              <w:t>(1) Orice instituție de credit care dorește să își deschidă o sucursală pe teritoriul unui alt stat membru notifică autoritățile competente din statul membru de origine.</w:t>
            </w:r>
          </w:p>
          <w:p w14:paraId="775290E5" w14:textId="1A2B856B" w:rsidR="00D02498" w:rsidRPr="009E686F" w:rsidRDefault="00D02498" w:rsidP="00265766">
            <w:pPr>
              <w:spacing w:after="0"/>
              <w:jc w:val="both"/>
              <w:rPr>
                <w:rFonts w:ascii="Times New Roman" w:hAnsi="Times New Roman" w:cs="Times New Roman"/>
                <w:lang w:val="it-CH"/>
              </w:rPr>
            </w:pPr>
            <w:r w:rsidRPr="009E686F">
              <w:rPr>
                <w:rFonts w:ascii="Times New Roman" w:hAnsi="Times New Roman" w:cs="Times New Roman"/>
                <w:lang w:val="it-CH"/>
              </w:rPr>
              <w:t>(2) Statele membre cer fiecărei instituții de credit care dorește să își deschidă o sucursală într-un alt stat membru să furnizeze toate informațiile specificate mai jos, la depunerea notificării menționate la alineatul (1):</w:t>
            </w:r>
          </w:p>
        </w:tc>
        <w:tc>
          <w:tcPr>
            <w:tcW w:w="1834" w:type="pct"/>
            <w:tcBorders>
              <w:top w:val="single" w:sz="4" w:space="0" w:color="auto"/>
              <w:left w:val="single" w:sz="4" w:space="0" w:color="auto"/>
              <w:right w:val="single" w:sz="4" w:space="0" w:color="auto"/>
            </w:tcBorders>
          </w:tcPr>
          <w:p w14:paraId="65B06F8D" w14:textId="77777777" w:rsidR="00D02498" w:rsidRPr="009E686F" w:rsidRDefault="00D02498" w:rsidP="00265766">
            <w:pPr>
              <w:spacing w:after="0"/>
              <w:jc w:val="both"/>
              <w:rPr>
                <w:rFonts w:ascii="Times New Roman" w:hAnsi="Times New Roman" w:cs="Times New Roman"/>
                <w:b/>
                <w:lang w:val="it-CH"/>
              </w:rPr>
            </w:pPr>
            <w:r w:rsidRPr="009E686F">
              <w:rPr>
                <w:rFonts w:ascii="Times New Roman" w:hAnsi="Times New Roman" w:cs="Times New Roman"/>
                <w:b/>
                <w:lang w:val="it-CH"/>
              </w:rPr>
              <w:t>Articolul 23</w:t>
            </w:r>
            <w:r w:rsidRPr="009E686F">
              <w:rPr>
                <w:rFonts w:ascii="Times New Roman" w:hAnsi="Times New Roman" w:cs="Times New Roman"/>
                <w:b/>
                <w:vertAlign w:val="superscript"/>
                <w:lang w:val="it-CH"/>
              </w:rPr>
              <w:t>2</w:t>
            </w:r>
            <w:r w:rsidRPr="009E686F">
              <w:rPr>
                <w:rFonts w:ascii="Times New Roman" w:hAnsi="Times New Roman" w:cs="Times New Roman"/>
                <w:b/>
                <w:lang w:val="it-CH"/>
              </w:rPr>
              <w:t xml:space="preserve"> alin. (2)</w:t>
            </w:r>
          </w:p>
          <w:p w14:paraId="6C7803F6" w14:textId="11DB4A3C" w:rsidR="00D02498" w:rsidRPr="009E686F" w:rsidRDefault="00D02498" w:rsidP="00265766">
            <w:pPr>
              <w:spacing w:after="0"/>
              <w:jc w:val="both"/>
              <w:rPr>
                <w:rFonts w:ascii="Times New Roman" w:hAnsi="Times New Roman" w:cs="Times New Roman"/>
                <w:b/>
                <w:i/>
                <w:lang w:val="it-CH"/>
              </w:rPr>
            </w:pPr>
            <w:r w:rsidRPr="009E686F">
              <w:rPr>
                <w:rFonts w:ascii="Times New Roman" w:hAnsi="Times New Roman" w:cs="Times New Roman"/>
                <w:i/>
                <w:lang w:val="it-CH"/>
              </w:rPr>
              <w:t>(2) Institu</w:t>
            </w:r>
            <w:r w:rsidRPr="009E686F">
              <w:rPr>
                <w:rFonts w:ascii="Times New Roman" w:hAnsi="Times New Roman" w:cs="Times New Roman"/>
                <w:i/>
                <w:iCs/>
                <w:lang w:val="ro-RO"/>
              </w:rPr>
              <w:t>ț</w:t>
            </w:r>
            <w:r w:rsidRPr="009E686F">
              <w:rPr>
                <w:rFonts w:ascii="Times New Roman" w:hAnsi="Times New Roman" w:cs="Times New Roman"/>
                <w:i/>
                <w:lang w:val="it-CH"/>
              </w:rPr>
              <w:t>iile de credit din state membre pot înfiinţa o sucursală în Republica Moldova, f</w:t>
            </w:r>
            <w:r w:rsidRPr="009E686F">
              <w:rPr>
                <w:rFonts w:ascii="Times New Roman" w:hAnsi="Times New Roman" w:cs="Times New Roman"/>
                <w:i/>
                <w:iCs/>
                <w:lang w:val="ro-RO"/>
              </w:rPr>
              <w:t xml:space="preserve">ără a fi necesară autorizarea din partea Băncii Naționale a Moldovei sau asigurarea unui capital de dotare, </w:t>
            </w:r>
            <w:r w:rsidRPr="009E686F">
              <w:rPr>
                <w:rFonts w:ascii="Times New Roman" w:hAnsi="Times New Roman" w:cs="Times New Roman"/>
                <w:i/>
                <w:lang w:val="it-CH"/>
              </w:rPr>
              <w:t>pe baza notificării transmise Băncii Naţionale a Moldovei de către autoritatea competentă din statul membru de origine, însoțită de următoarele documente și informații: [...]</w:t>
            </w:r>
          </w:p>
          <w:p w14:paraId="717BCFEC" w14:textId="1E743DEA" w:rsidR="00D02498" w:rsidRPr="009E686F" w:rsidRDefault="00D02498" w:rsidP="00265766">
            <w:pPr>
              <w:spacing w:after="0"/>
              <w:jc w:val="both"/>
              <w:rPr>
                <w:rFonts w:ascii="Times New Roman" w:hAnsi="Times New Roman" w:cs="Times New Roman"/>
                <w:b/>
                <w:lang w:val="it-CH"/>
              </w:rPr>
            </w:pPr>
            <w:r w:rsidRPr="009E686F">
              <w:rPr>
                <w:rFonts w:ascii="Times New Roman" w:hAnsi="Times New Roman" w:cs="Times New Roman"/>
                <w:b/>
                <w:lang w:val="it-CH"/>
              </w:rPr>
              <w:t>Articolul 32</w:t>
            </w:r>
            <w:r w:rsidRPr="009E686F">
              <w:rPr>
                <w:rFonts w:ascii="Times New Roman" w:hAnsi="Times New Roman" w:cs="Times New Roman"/>
                <w:b/>
                <w:vertAlign w:val="superscript"/>
                <w:lang w:val="it-CH"/>
              </w:rPr>
              <w:t>1</w:t>
            </w:r>
            <w:r w:rsidRPr="009E686F">
              <w:rPr>
                <w:rFonts w:ascii="Times New Roman" w:hAnsi="Times New Roman" w:cs="Times New Roman"/>
                <w:b/>
                <w:lang w:val="it-CH"/>
              </w:rPr>
              <w:t xml:space="preserve"> alin. (2)</w:t>
            </w:r>
          </w:p>
          <w:p w14:paraId="11D21B58" w14:textId="12CB85BF" w:rsidR="00D02498" w:rsidRPr="009E686F" w:rsidRDefault="00D02498" w:rsidP="00265766">
            <w:pPr>
              <w:spacing w:after="0"/>
              <w:jc w:val="both"/>
              <w:rPr>
                <w:rFonts w:ascii="Times New Roman" w:hAnsi="Times New Roman" w:cs="Times New Roman"/>
                <w:b/>
                <w:i/>
                <w:lang w:val="it-CH"/>
              </w:rPr>
            </w:pPr>
            <w:r w:rsidRPr="009E686F">
              <w:rPr>
                <w:rFonts w:ascii="Times New Roman" w:hAnsi="Times New Roman" w:cs="Times New Roman"/>
                <w:i/>
                <w:lang w:val="it-CH"/>
              </w:rPr>
              <w:t>(2) Instituția de credit persoană juridică din Republica Moldova care intenționează să deschidă o sucursală pe teritoriul unui stat membru trebuie să transmită Băncii Naţionale a Moldovei o notificare însoțită de următoarele documente și informații, astfel cum sunt prevăzute în actele normative ale Băncii Naționale a Moldovei</w:t>
            </w:r>
            <w:r w:rsidR="004C3D35" w:rsidRPr="009E686F">
              <w:rPr>
                <w:lang w:val="it-CH"/>
              </w:rPr>
              <w:t xml:space="preserve"> </w:t>
            </w:r>
            <w:r w:rsidR="004C3D35" w:rsidRPr="009E686F">
              <w:rPr>
                <w:rFonts w:ascii="Times New Roman" w:hAnsi="Times New Roman" w:cs="Times New Roman"/>
                <w:i/>
                <w:lang w:val="it-CH"/>
              </w:rPr>
              <w:t>emise în aplicarea prezentei legi:</w:t>
            </w:r>
            <w:r w:rsidRPr="009E686F">
              <w:rPr>
                <w:rFonts w:ascii="Times New Roman" w:hAnsi="Times New Roman" w:cs="Times New Roman"/>
                <w:i/>
                <w:lang w:val="it-CH"/>
              </w:rPr>
              <w:t>:</w:t>
            </w:r>
          </w:p>
        </w:tc>
        <w:tc>
          <w:tcPr>
            <w:tcW w:w="470" w:type="pct"/>
            <w:tcBorders>
              <w:top w:val="single" w:sz="4" w:space="0" w:color="auto"/>
              <w:left w:val="single" w:sz="4" w:space="0" w:color="auto"/>
              <w:right w:val="single" w:sz="4" w:space="0" w:color="auto"/>
            </w:tcBorders>
          </w:tcPr>
          <w:p w14:paraId="14EA4719" w14:textId="2650AC14" w:rsidR="00D02498" w:rsidRPr="009E686F" w:rsidRDefault="00D02498" w:rsidP="00265766">
            <w:pPr>
              <w:jc w:val="both"/>
              <w:rPr>
                <w:rFonts w:ascii="Times New Roman" w:hAnsi="Times New Roman" w:cs="Times New Roman"/>
                <w:lang w:val="it-CH"/>
              </w:rPr>
            </w:pPr>
            <w:r w:rsidRPr="009E686F">
              <w:rPr>
                <w:rFonts w:ascii="Times New Roman" w:hAnsi="Times New Roman" w:cs="Times New Roman"/>
              </w:rPr>
              <w:t xml:space="preserve">Compatibil </w:t>
            </w:r>
          </w:p>
        </w:tc>
        <w:tc>
          <w:tcPr>
            <w:tcW w:w="806" w:type="pct"/>
            <w:vMerge w:val="restart"/>
            <w:tcBorders>
              <w:top w:val="single" w:sz="4" w:space="0" w:color="auto"/>
              <w:left w:val="single" w:sz="4" w:space="0" w:color="auto"/>
              <w:right w:val="single" w:sz="4" w:space="0" w:color="auto"/>
            </w:tcBorders>
          </w:tcPr>
          <w:p w14:paraId="0C353203" w14:textId="77777777" w:rsidR="00D02498" w:rsidRPr="009E686F" w:rsidRDefault="00D02498" w:rsidP="00D02498">
            <w:pPr>
              <w:rPr>
                <w:lang w:val="it-CH"/>
              </w:rPr>
            </w:pPr>
            <w:r w:rsidRPr="009E686F">
              <w:rPr>
                <w:rFonts w:ascii="Times New Roman" w:hAnsi="Times New Roman" w:cs="Times New Roman"/>
                <w:lang w:val="ro-RO"/>
              </w:rPr>
              <w:t>În vigoare –5 ani de la data aderării.</w:t>
            </w:r>
          </w:p>
          <w:p w14:paraId="6D4ACD8D" w14:textId="2BA931DA" w:rsidR="00D02498" w:rsidRPr="009E686F" w:rsidRDefault="00D02498" w:rsidP="00265766">
            <w:pPr>
              <w:spacing w:after="0"/>
              <w:jc w:val="both"/>
              <w:rPr>
                <w:rFonts w:ascii="Times New Roman" w:hAnsi="Times New Roman" w:cs="Times New Roman"/>
                <w:lang w:val="it-CH"/>
              </w:rPr>
            </w:pPr>
          </w:p>
        </w:tc>
      </w:tr>
      <w:tr w:rsidR="00D02498" w:rsidRPr="009E686F" w14:paraId="4A597918" w14:textId="77777777" w:rsidTr="00FA19F3">
        <w:tc>
          <w:tcPr>
            <w:tcW w:w="1890" w:type="pct"/>
            <w:tcBorders>
              <w:top w:val="single" w:sz="4" w:space="0" w:color="auto"/>
              <w:left w:val="single" w:sz="4" w:space="0" w:color="auto"/>
              <w:bottom w:val="single" w:sz="4" w:space="0" w:color="auto"/>
              <w:right w:val="single" w:sz="4" w:space="0" w:color="auto"/>
            </w:tcBorders>
          </w:tcPr>
          <w:p w14:paraId="1D1AC4E1" w14:textId="6CE28598" w:rsidR="00D02498" w:rsidRPr="009E686F" w:rsidRDefault="00D02498" w:rsidP="00265766">
            <w:pPr>
              <w:spacing w:after="0"/>
              <w:jc w:val="both"/>
              <w:rPr>
                <w:rFonts w:ascii="Times New Roman" w:hAnsi="Times New Roman" w:cs="Times New Roman"/>
                <w:lang w:val="it-CH"/>
              </w:rPr>
            </w:pPr>
            <w:r w:rsidRPr="009E686F">
              <w:rPr>
                <w:rFonts w:ascii="Times New Roman" w:hAnsi="Times New Roman" w:cs="Times New Roman"/>
                <w:lang w:val="it-CH"/>
              </w:rPr>
              <w:t>(a)statul membru pe teritoriul căruia instituția de credit respectivă intenționează să își deschidă o sucursală;</w:t>
            </w:r>
          </w:p>
        </w:tc>
        <w:tc>
          <w:tcPr>
            <w:tcW w:w="1834" w:type="pct"/>
            <w:tcBorders>
              <w:top w:val="single" w:sz="4" w:space="0" w:color="auto"/>
              <w:left w:val="single" w:sz="4" w:space="0" w:color="auto"/>
              <w:bottom w:val="single" w:sz="4" w:space="0" w:color="auto"/>
              <w:right w:val="single" w:sz="4" w:space="0" w:color="auto"/>
            </w:tcBorders>
          </w:tcPr>
          <w:p w14:paraId="4C5E8D67" w14:textId="59038BC6" w:rsidR="00D02498" w:rsidRPr="009E686F" w:rsidRDefault="00D02498" w:rsidP="00265766">
            <w:pPr>
              <w:spacing w:after="0"/>
              <w:jc w:val="both"/>
              <w:rPr>
                <w:rFonts w:ascii="Times New Roman" w:hAnsi="Times New Roman" w:cs="Times New Roman"/>
                <w:b/>
                <w:bCs/>
                <w:lang w:val="it-CH"/>
              </w:rPr>
            </w:pPr>
            <w:r w:rsidRPr="009E686F">
              <w:rPr>
                <w:rFonts w:ascii="Times New Roman" w:hAnsi="Times New Roman" w:cs="Times New Roman"/>
                <w:b/>
                <w:bCs/>
                <w:lang w:val="it-CH"/>
              </w:rPr>
              <w:t>Articolul 32</w:t>
            </w:r>
            <w:r w:rsidRPr="009E686F">
              <w:rPr>
                <w:rFonts w:ascii="Times New Roman" w:hAnsi="Times New Roman" w:cs="Times New Roman"/>
                <w:b/>
                <w:bCs/>
                <w:vertAlign w:val="superscript"/>
                <w:lang w:val="it-CH"/>
              </w:rPr>
              <w:t>1</w:t>
            </w:r>
            <w:r w:rsidRPr="009E686F">
              <w:rPr>
                <w:rFonts w:ascii="Times New Roman" w:hAnsi="Times New Roman" w:cs="Times New Roman"/>
                <w:b/>
                <w:bCs/>
                <w:lang w:val="it-CH"/>
              </w:rPr>
              <w:t xml:space="preserve"> alin. (2), lit. a)</w:t>
            </w:r>
          </w:p>
          <w:p w14:paraId="3C7F799F" w14:textId="1AC0ABED" w:rsidR="00D02498" w:rsidRPr="009E686F" w:rsidRDefault="00D02498" w:rsidP="00265766">
            <w:pPr>
              <w:spacing w:after="0"/>
              <w:jc w:val="both"/>
              <w:rPr>
                <w:rFonts w:ascii="Times New Roman" w:hAnsi="Times New Roman" w:cs="Times New Roman"/>
                <w:bCs/>
                <w:i/>
                <w:iCs/>
                <w:lang w:val="it-CH"/>
              </w:rPr>
            </w:pPr>
            <w:r w:rsidRPr="009E686F">
              <w:rPr>
                <w:rFonts w:ascii="Times New Roman" w:hAnsi="Times New Roman" w:cs="Times New Roman"/>
                <w:bCs/>
                <w:i/>
                <w:iCs/>
                <w:lang w:val="it-CH"/>
              </w:rPr>
              <w:t>a) statul membru gazdă pe teritoriul căruia urmează să fie deschisă sucursala;</w:t>
            </w:r>
          </w:p>
        </w:tc>
        <w:tc>
          <w:tcPr>
            <w:tcW w:w="470" w:type="pct"/>
            <w:tcBorders>
              <w:top w:val="single" w:sz="4" w:space="0" w:color="auto"/>
              <w:left w:val="single" w:sz="4" w:space="0" w:color="auto"/>
              <w:bottom w:val="single" w:sz="4" w:space="0" w:color="auto"/>
              <w:right w:val="single" w:sz="4" w:space="0" w:color="auto"/>
            </w:tcBorders>
          </w:tcPr>
          <w:p w14:paraId="50CA88A7" w14:textId="0521D6E1" w:rsidR="00D02498" w:rsidRPr="009E686F" w:rsidRDefault="00D02498" w:rsidP="00265766">
            <w:pPr>
              <w:jc w:val="both"/>
              <w:rPr>
                <w:rFonts w:ascii="Times New Roman" w:hAnsi="Times New Roman" w:cs="Times New Roman"/>
              </w:rPr>
            </w:pPr>
            <w:r w:rsidRPr="009E686F">
              <w:rPr>
                <w:rFonts w:ascii="Times New Roman" w:hAnsi="Times New Roman" w:cs="Times New Roman"/>
                <w:lang w:val="ro-MD"/>
              </w:rPr>
              <w:t>Compatibil</w:t>
            </w:r>
            <w:r w:rsidRPr="009E686F">
              <w:rPr>
                <w:rFonts w:ascii="Times New Roman" w:hAnsi="Times New Roman" w:cs="Times New Roman"/>
              </w:rPr>
              <w:t xml:space="preserve"> </w:t>
            </w:r>
          </w:p>
        </w:tc>
        <w:tc>
          <w:tcPr>
            <w:tcW w:w="806" w:type="pct"/>
            <w:vMerge/>
            <w:tcBorders>
              <w:left w:val="single" w:sz="4" w:space="0" w:color="auto"/>
              <w:right w:val="single" w:sz="4" w:space="0" w:color="auto"/>
            </w:tcBorders>
          </w:tcPr>
          <w:p w14:paraId="22A16D72" w14:textId="6A36BBAB" w:rsidR="00D02498" w:rsidRPr="009E686F" w:rsidRDefault="00D02498" w:rsidP="00265766">
            <w:pPr>
              <w:spacing w:after="0"/>
              <w:jc w:val="both"/>
              <w:rPr>
                <w:rFonts w:ascii="Times New Roman" w:hAnsi="Times New Roman" w:cs="Times New Roman"/>
              </w:rPr>
            </w:pPr>
          </w:p>
        </w:tc>
      </w:tr>
      <w:tr w:rsidR="00D02498" w:rsidRPr="009E686F" w14:paraId="3AD8AFA5" w14:textId="77777777" w:rsidTr="00484ADE">
        <w:tc>
          <w:tcPr>
            <w:tcW w:w="1890" w:type="pct"/>
            <w:tcBorders>
              <w:top w:val="single" w:sz="4" w:space="0" w:color="auto"/>
              <w:left w:val="single" w:sz="4" w:space="0" w:color="auto"/>
              <w:bottom w:val="single" w:sz="4" w:space="0" w:color="auto"/>
              <w:right w:val="single" w:sz="4" w:space="0" w:color="auto"/>
            </w:tcBorders>
          </w:tcPr>
          <w:p w14:paraId="177A0C21" w14:textId="768923C8" w:rsidR="00D02498" w:rsidRPr="009E686F" w:rsidRDefault="00D02498" w:rsidP="00265766">
            <w:pPr>
              <w:spacing w:after="0"/>
              <w:jc w:val="both"/>
              <w:rPr>
                <w:rFonts w:ascii="Times New Roman" w:hAnsi="Times New Roman" w:cs="Times New Roman"/>
              </w:rPr>
            </w:pPr>
            <w:r w:rsidRPr="009E686F">
              <w:rPr>
                <w:rFonts w:ascii="Times New Roman" w:hAnsi="Times New Roman" w:cs="Times New Roman"/>
              </w:rPr>
              <w:t>(b) un program de activitate care să specifice, printre altele, tipurile de activități anticipate și organizarea structurală a sucursalei respective;</w:t>
            </w:r>
          </w:p>
        </w:tc>
        <w:tc>
          <w:tcPr>
            <w:tcW w:w="1834" w:type="pct"/>
            <w:tcBorders>
              <w:top w:val="single" w:sz="4" w:space="0" w:color="auto"/>
              <w:left w:val="single" w:sz="4" w:space="0" w:color="auto"/>
              <w:bottom w:val="single" w:sz="4" w:space="0" w:color="auto"/>
              <w:right w:val="single" w:sz="4" w:space="0" w:color="auto"/>
            </w:tcBorders>
          </w:tcPr>
          <w:p w14:paraId="29F688CE" w14:textId="641498DD" w:rsidR="00D02498" w:rsidRPr="009E686F" w:rsidRDefault="00D02498" w:rsidP="00265766">
            <w:pPr>
              <w:spacing w:after="0"/>
              <w:jc w:val="both"/>
              <w:rPr>
                <w:rFonts w:ascii="Times New Roman" w:hAnsi="Times New Roman" w:cs="Times New Roman"/>
                <w:b/>
                <w:lang w:val="it-CH"/>
              </w:rPr>
            </w:pPr>
            <w:r w:rsidRPr="009E686F">
              <w:rPr>
                <w:rFonts w:ascii="Times New Roman" w:hAnsi="Times New Roman" w:cs="Times New Roman"/>
                <w:b/>
                <w:lang w:val="it-CH"/>
              </w:rPr>
              <w:t>Articolul 23</w:t>
            </w:r>
            <w:r w:rsidRPr="009E686F">
              <w:rPr>
                <w:rFonts w:ascii="Times New Roman" w:hAnsi="Times New Roman" w:cs="Times New Roman"/>
                <w:b/>
                <w:vertAlign w:val="superscript"/>
                <w:lang w:val="it-CH"/>
              </w:rPr>
              <w:t>2</w:t>
            </w:r>
            <w:r w:rsidRPr="009E686F">
              <w:rPr>
                <w:rFonts w:ascii="Times New Roman" w:hAnsi="Times New Roman" w:cs="Times New Roman"/>
                <w:b/>
                <w:lang w:val="it-CH"/>
              </w:rPr>
              <w:t xml:space="preserve"> alin. (2), lit. a)</w:t>
            </w:r>
          </w:p>
          <w:p w14:paraId="694698E6" w14:textId="77777777" w:rsidR="00D02498" w:rsidRPr="009E686F" w:rsidRDefault="00D02498" w:rsidP="00265766">
            <w:pPr>
              <w:spacing w:after="0"/>
              <w:jc w:val="both"/>
              <w:rPr>
                <w:rFonts w:ascii="Times New Roman" w:hAnsi="Times New Roman" w:cs="Times New Roman"/>
                <w:i/>
                <w:lang w:val="it-CH"/>
              </w:rPr>
            </w:pPr>
            <w:r w:rsidRPr="009E686F">
              <w:rPr>
                <w:rFonts w:ascii="Times New Roman" w:hAnsi="Times New Roman" w:cs="Times New Roman"/>
                <w:i/>
                <w:lang w:val="it-CH"/>
              </w:rPr>
              <w:t>a) un program de activitate care să specifice, printre altele, tipurile de activităţi pe care intenționează să le desfășoare și organizarea structurală a sucursalei respective;</w:t>
            </w:r>
          </w:p>
          <w:p w14:paraId="3F38A8D0" w14:textId="0EBA8A27" w:rsidR="00D02498" w:rsidRPr="009E686F" w:rsidRDefault="00D02498" w:rsidP="00265766">
            <w:pPr>
              <w:spacing w:after="0"/>
              <w:jc w:val="both"/>
              <w:rPr>
                <w:rFonts w:ascii="Times New Roman" w:hAnsi="Times New Roman" w:cs="Times New Roman"/>
                <w:b/>
                <w:lang w:val="it-CH"/>
              </w:rPr>
            </w:pPr>
            <w:r w:rsidRPr="009E686F">
              <w:rPr>
                <w:rFonts w:ascii="Times New Roman" w:hAnsi="Times New Roman" w:cs="Times New Roman"/>
                <w:b/>
                <w:lang w:val="it-CH"/>
              </w:rPr>
              <w:t>Articolul 32</w:t>
            </w:r>
            <w:r w:rsidRPr="009E686F">
              <w:rPr>
                <w:rFonts w:ascii="Times New Roman" w:hAnsi="Times New Roman" w:cs="Times New Roman"/>
                <w:b/>
                <w:vertAlign w:val="superscript"/>
                <w:lang w:val="it-CH"/>
              </w:rPr>
              <w:t>1</w:t>
            </w:r>
            <w:r w:rsidRPr="009E686F">
              <w:rPr>
                <w:rFonts w:ascii="Times New Roman" w:hAnsi="Times New Roman" w:cs="Times New Roman"/>
                <w:b/>
                <w:lang w:val="it-CH"/>
              </w:rPr>
              <w:t xml:space="preserve"> alin. (2), lit. b)</w:t>
            </w:r>
          </w:p>
          <w:p w14:paraId="0FA06248" w14:textId="0D02813B" w:rsidR="00D02498" w:rsidRPr="009E686F" w:rsidRDefault="00D02498" w:rsidP="00265766">
            <w:pPr>
              <w:spacing w:after="0"/>
              <w:jc w:val="both"/>
              <w:rPr>
                <w:rFonts w:ascii="Times New Roman" w:hAnsi="Times New Roman" w:cs="Times New Roman"/>
                <w:i/>
                <w:lang w:val="it-CH"/>
              </w:rPr>
            </w:pPr>
            <w:r w:rsidRPr="009E686F">
              <w:rPr>
                <w:rFonts w:ascii="Times New Roman" w:hAnsi="Times New Roman" w:cs="Times New Roman"/>
                <w:i/>
                <w:lang w:val="it-CH"/>
              </w:rPr>
              <w:t>b) un program de activitate care să specifice, printre altele, tipurile de activităţi pe care intenționează să le desfășoare și organizarea structurală a sucursalei respective;</w:t>
            </w:r>
          </w:p>
        </w:tc>
        <w:tc>
          <w:tcPr>
            <w:tcW w:w="470" w:type="pct"/>
            <w:tcBorders>
              <w:top w:val="single" w:sz="4" w:space="0" w:color="auto"/>
              <w:left w:val="single" w:sz="4" w:space="0" w:color="auto"/>
              <w:bottom w:val="single" w:sz="4" w:space="0" w:color="auto"/>
              <w:right w:val="single" w:sz="4" w:space="0" w:color="auto"/>
            </w:tcBorders>
          </w:tcPr>
          <w:p w14:paraId="08218BC7" w14:textId="0644103E" w:rsidR="00D02498" w:rsidRPr="009E686F" w:rsidRDefault="00D02498" w:rsidP="00265766">
            <w:pPr>
              <w:jc w:val="both"/>
              <w:rPr>
                <w:rFonts w:ascii="Times New Roman" w:hAnsi="Times New Roman" w:cs="Times New Roman"/>
              </w:rPr>
            </w:pPr>
            <w:r w:rsidRPr="009E686F">
              <w:rPr>
                <w:rFonts w:ascii="Times New Roman" w:hAnsi="Times New Roman" w:cs="Times New Roman"/>
                <w:lang w:val="ro-MD"/>
              </w:rPr>
              <w:t>Compatibil</w:t>
            </w:r>
            <w:r w:rsidRPr="009E686F">
              <w:rPr>
                <w:rFonts w:ascii="Times New Roman" w:hAnsi="Times New Roman" w:cs="Times New Roman"/>
              </w:rPr>
              <w:t xml:space="preserve"> </w:t>
            </w:r>
          </w:p>
        </w:tc>
        <w:tc>
          <w:tcPr>
            <w:tcW w:w="806" w:type="pct"/>
            <w:vMerge/>
            <w:tcBorders>
              <w:left w:val="single" w:sz="4" w:space="0" w:color="auto"/>
              <w:right w:val="single" w:sz="4" w:space="0" w:color="auto"/>
            </w:tcBorders>
          </w:tcPr>
          <w:p w14:paraId="153DF318" w14:textId="04E96057" w:rsidR="00D02498" w:rsidRPr="009E686F" w:rsidRDefault="00D02498" w:rsidP="00265766">
            <w:pPr>
              <w:spacing w:after="0"/>
              <w:jc w:val="both"/>
              <w:rPr>
                <w:rFonts w:ascii="Times New Roman" w:hAnsi="Times New Roman" w:cs="Times New Roman"/>
              </w:rPr>
            </w:pPr>
          </w:p>
        </w:tc>
      </w:tr>
      <w:tr w:rsidR="00D02498" w:rsidRPr="009E686F" w14:paraId="1A065F77" w14:textId="77777777" w:rsidTr="00C55679">
        <w:tc>
          <w:tcPr>
            <w:tcW w:w="1890" w:type="pct"/>
            <w:tcBorders>
              <w:top w:val="single" w:sz="4" w:space="0" w:color="auto"/>
              <w:left w:val="single" w:sz="4" w:space="0" w:color="auto"/>
              <w:bottom w:val="single" w:sz="4" w:space="0" w:color="auto"/>
              <w:right w:val="single" w:sz="4" w:space="0" w:color="auto"/>
            </w:tcBorders>
          </w:tcPr>
          <w:p w14:paraId="489EA7D9" w14:textId="5750CD5D" w:rsidR="00D02498" w:rsidRPr="009E686F" w:rsidRDefault="00D02498" w:rsidP="00265766">
            <w:pPr>
              <w:spacing w:after="0"/>
              <w:jc w:val="both"/>
              <w:rPr>
                <w:rFonts w:ascii="Times New Roman" w:hAnsi="Times New Roman" w:cs="Times New Roman"/>
                <w:lang w:val="it-CH"/>
              </w:rPr>
            </w:pPr>
            <w:r w:rsidRPr="009E686F">
              <w:rPr>
                <w:rFonts w:ascii="Times New Roman" w:hAnsi="Times New Roman" w:cs="Times New Roman"/>
                <w:lang w:val="it-CH"/>
              </w:rPr>
              <w:lastRenderedPageBreak/>
              <w:t>(c) adresa la care pot fi solicitate documente în statul membru gazdă;</w:t>
            </w:r>
          </w:p>
        </w:tc>
        <w:tc>
          <w:tcPr>
            <w:tcW w:w="1834" w:type="pct"/>
            <w:tcBorders>
              <w:top w:val="single" w:sz="4" w:space="0" w:color="auto"/>
              <w:left w:val="single" w:sz="4" w:space="0" w:color="auto"/>
              <w:bottom w:val="single" w:sz="4" w:space="0" w:color="auto"/>
              <w:right w:val="single" w:sz="4" w:space="0" w:color="auto"/>
            </w:tcBorders>
          </w:tcPr>
          <w:p w14:paraId="6B320BD2" w14:textId="350A1A8F" w:rsidR="00D02498" w:rsidRPr="009E686F" w:rsidRDefault="00D02498" w:rsidP="00265766">
            <w:pPr>
              <w:spacing w:after="0"/>
              <w:jc w:val="both"/>
              <w:rPr>
                <w:rFonts w:ascii="Times New Roman" w:hAnsi="Times New Roman" w:cs="Times New Roman"/>
                <w:b/>
                <w:bCs/>
                <w:lang w:val="it-IT"/>
              </w:rPr>
            </w:pPr>
            <w:r w:rsidRPr="009E686F">
              <w:rPr>
                <w:rFonts w:ascii="Times New Roman" w:hAnsi="Times New Roman" w:cs="Times New Roman"/>
                <w:b/>
                <w:bCs/>
                <w:lang w:val="it-IT"/>
              </w:rPr>
              <w:t>Articolul 23</w:t>
            </w:r>
            <w:r w:rsidRPr="009E686F">
              <w:rPr>
                <w:rFonts w:ascii="Times New Roman" w:hAnsi="Times New Roman" w:cs="Times New Roman"/>
                <w:b/>
                <w:bCs/>
                <w:vertAlign w:val="superscript"/>
                <w:lang w:val="it-IT"/>
              </w:rPr>
              <w:t xml:space="preserve">2 </w:t>
            </w:r>
            <w:r w:rsidRPr="009E686F">
              <w:rPr>
                <w:rFonts w:ascii="Times New Roman" w:hAnsi="Times New Roman" w:cs="Times New Roman"/>
                <w:b/>
                <w:bCs/>
                <w:lang w:val="it-IT"/>
              </w:rPr>
              <w:t>alin. (2), lit. b)</w:t>
            </w:r>
          </w:p>
          <w:p w14:paraId="783C5D20" w14:textId="47E3CD8D" w:rsidR="00D02498" w:rsidRPr="009E686F" w:rsidRDefault="00D02498" w:rsidP="00265766">
            <w:pPr>
              <w:spacing w:after="0"/>
              <w:jc w:val="both"/>
              <w:rPr>
                <w:rFonts w:ascii="Times New Roman" w:hAnsi="Times New Roman" w:cs="Times New Roman"/>
                <w:bCs/>
                <w:i/>
                <w:iCs/>
                <w:lang w:val="it-CH"/>
              </w:rPr>
            </w:pPr>
            <w:r w:rsidRPr="009E686F">
              <w:rPr>
                <w:rFonts w:ascii="Times New Roman" w:hAnsi="Times New Roman" w:cs="Times New Roman"/>
                <w:bCs/>
                <w:i/>
                <w:iCs/>
                <w:lang w:val="it-CH"/>
              </w:rPr>
              <w:t>b) adresa la care pot fi solicitate documente în R. Moldova;</w:t>
            </w:r>
          </w:p>
          <w:p w14:paraId="18B57087" w14:textId="22241279" w:rsidR="00D02498" w:rsidRPr="009E686F" w:rsidRDefault="00D02498" w:rsidP="00265766">
            <w:pPr>
              <w:spacing w:after="0"/>
              <w:jc w:val="both"/>
              <w:rPr>
                <w:rFonts w:ascii="Times New Roman" w:hAnsi="Times New Roman" w:cs="Times New Roman"/>
                <w:b/>
                <w:bCs/>
                <w:lang w:val="it-IT"/>
              </w:rPr>
            </w:pPr>
            <w:r w:rsidRPr="009E686F">
              <w:rPr>
                <w:rFonts w:ascii="Times New Roman" w:hAnsi="Times New Roman" w:cs="Times New Roman"/>
                <w:b/>
                <w:bCs/>
                <w:lang w:val="it-IT"/>
              </w:rPr>
              <w:t>Articolul 32</w:t>
            </w:r>
            <w:r w:rsidRPr="009E686F">
              <w:rPr>
                <w:rFonts w:ascii="Times New Roman" w:hAnsi="Times New Roman" w:cs="Times New Roman"/>
                <w:b/>
                <w:bCs/>
                <w:vertAlign w:val="superscript"/>
                <w:lang w:val="it-IT"/>
              </w:rPr>
              <w:t>1</w:t>
            </w:r>
            <w:r w:rsidRPr="009E686F">
              <w:rPr>
                <w:rFonts w:ascii="Times New Roman" w:hAnsi="Times New Roman" w:cs="Times New Roman"/>
                <w:b/>
                <w:bCs/>
                <w:lang w:val="it-IT"/>
              </w:rPr>
              <w:t xml:space="preserve"> alin. (2), lit. c)</w:t>
            </w:r>
          </w:p>
          <w:p w14:paraId="74BFA52C" w14:textId="612E0B1D" w:rsidR="00D02498" w:rsidRPr="009E686F" w:rsidRDefault="00D02498" w:rsidP="00265766">
            <w:pPr>
              <w:spacing w:after="0"/>
              <w:jc w:val="both"/>
              <w:rPr>
                <w:rFonts w:ascii="Times New Roman" w:hAnsi="Times New Roman" w:cs="Times New Roman"/>
                <w:bCs/>
                <w:i/>
                <w:iCs/>
                <w:lang w:val="it-CH"/>
              </w:rPr>
            </w:pPr>
            <w:r w:rsidRPr="009E686F">
              <w:rPr>
                <w:rFonts w:ascii="Times New Roman" w:hAnsi="Times New Roman" w:cs="Times New Roman"/>
                <w:bCs/>
                <w:i/>
                <w:iCs/>
                <w:lang w:val="it-CH"/>
              </w:rPr>
              <w:t>c) adresa la care pot fi solicitate documente în statul membru gazdă;</w:t>
            </w:r>
          </w:p>
        </w:tc>
        <w:tc>
          <w:tcPr>
            <w:tcW w:w="470" w:type="pct"/>
            <w:tcBorders>
              <w:top w:val="single" w:sz="4" w:space="0" w:color="auto"/>
              <w:left w:val="single" w:sz="4" w:space="0" w:color="auto"/>
              <w:bottom w:val="single" w:sz="4" w:space="0" w:color="auto"/>
              <w:right w:val="single" w:sz="4" w:space="0" w:color="auto"/>
            </w:tcBorders>
          </w:tcPr>
          <w:p w14:paraId="2352D69F" w14:textId="47E87088" w:rsidR="00D02498" w:rsidRPr="009E686F" w:rsidRDefault="00D02498" w:rsidP="00265766">
            <w:pPr>
              <w:jc w:val="both"/>
              <w:rPr>
                <w:rFonts w:ascii="Times New Roman" w:hAnsi="Times New Roman" w:cs="Times New Roman"/>
              </w:rPr>
            </w:pPr>
            <w:r w:rsidRPr="009E686F">
              <w:rPr>
                <w:rFonts w:ascii="Times New Roman" w:hAnsi="Times New Roman" w:cs="Times New Roman"/>
                <w:lang w:val="ro-MD"/>
              </w:rPr>
              <w:t>Compatibil</w:t>
            </w:r>
          </w:p>
        </w:tc>
        <w:tc>
          <w:tcPr>
            <w:tcW w:w="806" w:type="pct"/>
            <w:vMerge/>
            <w:tcBorders>
              <w:left w:val="single" w:sz="4" w:space="0" w:color="auto"/>
              <w:right w:val="single" w:sz="4" w:space="0" w:color="auto"/>
            </w:tcBorders>
          </w:tcPr>
          <w:p w14:paraId="12CE5147" w14:textId="09FBFE2E" w:rsidR="00D02498" w:rsidRPr="009E686F" w:rsidRDefault="00D02498" w:rsidP="00265766">
            <w:pPr>
              <w:spacing w:after="0"/>
              <w:jc w:val="both"/>
              <w:rPr>
                <w:rFonts w:ascii="Times New Roman" w:hAnsi="Times New Roman" w:cs="Times New Roman"/>
              </w:rPr>
            </w:pPr>
          </w:p>
        </w:tc>
      </w:tr>
      <w:tr w:rsidR="00D02498" w:rsidRPr="009E686F" w14:paraId="3261C9BF" w14:textId="77777777" w:rsidTr="00C55679">
        <w:tc>
          <w:tcPr>
            <w:tcW w:w="1890" w:type="pct"/>
            <w:tcBorders>
              <w:top w:val="single" w:sz="4" w:space="0" w:color="auto"/>
              <w:left w:val="single" w:sz="4" w:space="0" w:color="auto"/>
              <w:bottom w:val="single" w:sz="4" w:space="0" w:color="auto"/>
              <w:right w:val="single" w:sz="4" w:space="0" w:color="auto"/>
            </w:tcBorders>
          </w:tcPr>
          <w:p w14:paraId="7DF95033" w14:textId="3D5BD9DD" w:rsidR="00D02498" w:rsidRPr="009E686F" w:rsidRDefault="00D02498" w:rsidP="00265766">
            <w:pPr>
              <w:spacing w:after="0"/>
              <w:jc w:val="both"/>
              <w:rPr>
                <w:rFonts w:ascii="Times New Roman" w:hAnsi="Times New Roman" w:cs="Times New Roman"/>
                <w:lang w:val="pt-BR"/>
              </w:rPr>
            </w:pPr>
            <w:r w:rsidRPr="009E686F">
              <w:rPr>
                <w:rFonts w:ascii="Times New Roman" w:hAnsi="Times New Roman" w:cs="Times New Roman"/>
                <w:lang w:val="pt-BR"/>
              </w:rPr>
              <w:t>(d) numele celor care răspund de administrarea sucursalei.</w:t>
            </w:r>
          </w:p>
        </w:tc>
        <w:tc>
          <w:tcPr>
            <w:tcW w:w="1834" w:type="pct"/>
            <w:tcBorders>
              <w:top w:val="single" w:sz="4" w:space="0" w:color="auto"/>
              <w:left w:val="single" w:sz="4" w:space="0" w:color="auto"/>
              <w:bottom w:val="single" w:sz="4" w:space="0" w:color="auto"/>
              <w:right w:val="single" w:sz="4" w:space="0" w:color="auto"/>
            </w:tcBorders>
          </w:tcPr>
          <w:p w14:paraId="07C1DB37" w14:textId="77777777" w:rsidR="00D02498" w:rsidRPr="009E686F" w:rsidRDefault="00D02498" w:rsidP="00265766">
            <w:pPr>
              <w:spacing w:after="0"/>
              <w:jc w:val="both"/>
              <w:rPr>
                <w:rFonts w:ascii="Times New Roman" w:hAnsi="Times New Roman" w:cs="Times New Roman"/>
                <w:b/>
                <w:bCs/>
                <w:lang w:val="pt-BR"/>
              </w:rPr>
            </w:pPr>
            <w:r w:rsidRPr="009E686F">
              <w:rPr>
                <w:rFonts w:ascii="Times New Roman" w:hAnsi="Times New Roman" w:cs="Times New Roman"/>
                <w:b/>
                <w:bCs/>
                <w:lang w:val="pt-BR"/>
              </w:rPr>
              <w:t>Articolul 23</w:t>
            </w:r>
            <w:r w:rsidRPr="009E686F">
              <w:rPr>
                <w:rFonts w:ascii="Times New Roman" w:hAnsi="Times New Roman" w:cs="Times New Roman"/>
                <w:b/>
                <w:bCs/>
                <w:vertAlign w:val="superscript"/>
                <w:lang w:val="pt-BR"/>
              </w:rPr>
              <w:t xml:space="preserve">2 </w:t>
            </w:r>
            <w:r w:rsidRPr="009E686F">
              <w:rPr>
                <w:rFonts w:ascii="Times New Roman" w:hAnsi="Times New Roman" w:cs="Times New Roman"/>
                <w:b/>
                <w:bCs/>
                <w:lang w:val="pt-BR"/>
              </w:rPr>
              <w:t>alin. (2), lit. c)</w:t>
            </w:r>
          </w:p>
          <w:p w14:paraId="33037DFC" w14:textId="7BED3B18" w:rsidR="00D02498" w:rsidRPr="009E686F" w:rsidRDefault="00D02498" w:rsidP="00265766">
            <w:pPr>
              <w:spacing w:after="0"/>
              <w:jc w:val="both"/>
              <w:rPr>
                <w:rFonts w:ascii="Times New Roman" w:hAnsi="Times New Roman" w:cs="Times New Roman"/>
                <w:bCs/>
                <w:i/>
                <w:iCs/>
                <w:lang w:val="pt-BR"/>
              </w:rPr>
            </w:pPr>
            <w:r w:rsidRPr="009E686F">
              <w:rPr>
                <w:rFonts w:ascii="Times New Roman" w:hAnsi="Times New Roman" w:cs="Times New Roman"/>
                <w:bCs/>
                <w:i/>
                <w:iCs/>
                <w:lang w:val="pt-BR"/>
              </w:rPr>
              <w:t>c) numele persoanelor responsabile cu conducerea activității sucursalei;</w:t>
            </w:r>
          </w:p>
          <w:p w14:paraId="2804FE72" w14:textId="77777777" w:rsidR="00D02498" w:rsidRPr="009E686F" w:rsidRDefault="00D02498" w:rsidP="00265766">
            <w:pPr>
              <w:spacing w:after="0"/>
              <w:jc w:val="both"/>
              <w:rPr>
                <w:rFonts w:ascii="Times New Roman" w:hAnsi="Times New Roman" w:cs="Times New Roman"/>
                <w:b/>
                <w:bCs/>
                <w:lang w:val="pt-BR"/>
              </w:rPr>
            </w:pPr>
            <w:r w:rsidRPr="009E686F">
              <w:rPr>
                <w:rFonts w:ascii="Times New Roman" w:hAnsi="Times New Roman" w:cs="Times New Roman"/>
                <w:b/>
                <w:bCs/>
                <w:lang w:val="pt-BR"/>
              </w:rPr>
              <w:t>Articolul 32</w:t>
            </w:r>
            <w:r w:rsidRPr="009E686F">
              <w:rPr>
                <w:rFonts w:ascii="Times New Roman" w:hAnsi="Times New Roman" w:cs="Times New Roman"/>
                <w:b/>
                <w:bCs/>
                <w:vertAlign w:val="superscript"/>
                <w:lang w:val="pt-BR"/>
              </w:rPr>
              <w:t>1</w:t>
            </w:r>
            <w:r w:rsidRPr="009E686F">
              <w:rPr>
                <w:rFonts w:ascii="Times New Roman" w:hAnsi="Times New Roman" w:cs="Times New Roman"/>
                <w:b/>
                <w:bCs/>
                <w:lang w:val="pt-BR"/>
              </w:rPr>
              <w:t>, (2), lit. d)</w:t>
            </w:r>
          </w:p>
          <w:p w14:paraId="62A22358" w14:textId="77777777" w:rsidR="00D02498" w:rsidRPr="009E686F" w:rsidRDefault="00D02498" w:rsidP="00265766">
            <w:pPr>
              <w:spacing w:after="0"/>
              <w:jc w:val="both"/>
              <w:rPr>
                <w:rFonts w:ascii="Times New Roman" w:hAnsi="Times New Roman" w:cs="Times New Roman"/>
                <w:bCs/>
                <w:i/>
                <w:iCs/>
                <w:lang w:val="pt-BR"/>
              </w:rPr>
            </w:pPr>
            <w:r w:rsidRPr="009E686F">
              <w:rPr>
                <w:rFonts w:ascii="Times New Roman" w:hAnsi="Times New Roman" w:cs="Times New Roman"/>
                <w:bCs/>
                <w:i/>
                <w:iCs/>
                <w:lang w:val="pt-BR"/>
              </w:rPr>
              <w:t>d) numele persoanelor responsabile cu conducerea activității sucursalei şi informaţii privind reputaţia şi experienţa profesională a acestor persoane;</w:t>
            </w:r>
          </w:p>
          <w:p w14:paraId="0132CF33" w14:textId="77777777" w:rsidR="00D02498" w:rsidRPr="009E686F" w:rsidRDefault="00D02498" w:rsidP="00265766">
            <w:pPr>
              <w:spacing w:after="0"/>
              <w:jc w:val="both"/>
              <w:rPr>
                <w:rFonts w:ascii="Times New Roman" w:hAnsi="Times New Roman" w:cs="Times New Roman"/>
                <w:b/>
                <w:bCs/>
                <w:lang w:val="it-IT"/>
              </w:rPr>
            </w:pPr>
            <w:r w:rsidRPr="009E686F">
              <w:rPr>
                <w:rFonts w:ascii="Times New Roman" w:hAnsi="Times New Roman" w:cs="Times New Roman"/>
                <w:b/>
                <w:bCs/>
                <w:lang w:val="it-IT"/>
              </w:rPr>
              <w:t>Articolul 32</w:t>
            </w:r>
            <w:r w:rsidRPr="009E686F">
              <w:rPr>
                <w:rFonts w:ascii="Times New Roman" w:hAnsi="Times New Roman" w:cs="Times New Roman"/>
                <w:b/>
                <w:bCs/>
                <w:vertAlign w:val="superscript"/>
                <w:lang w:val="it-IT"/>
              </w:rPr>
              <w:t>1</w:t>
            </w:r>
            <w:r w:rsidRPr="009E686F">
              <w:rPr>
                <w:rFonts w:ascii="Times New Roman" w:hAnsi="Times New Roman" w:cs="Times New Roman"/>
                <w:b/>
                <w:bCs/>
                <w:lang w:val="it-IT"/>
              </w:rPr>
              <w:t xml:space="preserve"> alin. (2), lit. e)</w:t>
            </w:r>
          </w:p>
          <w:p w14:paraId="6086ACDC" w14:textId="15437E0B" w:rsidR="00D02498" w:rsidRPr="009E686F" w:rsidRDefault="00D02498" w:rsidP="00265766">
            <w:pPr>
              <w:spacing w:after="0"/>
              <w:jc w:val="both"/>
              <w:rPr>
                <w:rFonts w:ascii="Times New Roman" w:hAnsi="Times New Roman" w:cs="Times New Roman"/>
                <w:b/>
                <w:bCs/>
                <w:lang w:val="it-IT"/>
              </w:rPr>
            </w:pPr>
            <w:r w:rsidRPr="009E686F">
              <w:rPr>
                <w:rFonts w:ascii="Times New Roman" w:hAnsi="Times New Roman" w:cs="Times New Roman"/>
                <w:i/>
                <w:iCs/>
                <w:lang w:val="it-IT"/>
              </w:rPr>
              <w:t>e) alte documente și informații prevăzute de actele normative ale Băncii Naționale a Moldovei.</w:t>
            </w:r>
          </w:p>
        </w:tc>
        <w:tc>
          <w:tcPr>
            <w:tcW w:w="470" w:type="pct"/>
            <w:tcBorders>
              <w:top w:val="single" w:sz="4" w:space="0" w:color="auto"/>
              <w:left w:val="single" w:sz="4" w:space="0" w:color="auto"/>
              <w:bottom w:val="single" w:sz="4" w:space="0" w:color="auto"/>
              <w:right w:val="single" w:sz="4" w:space="0" w:color="auto"/>
            </w:tcBorders>
          </w:tcPr>
          <w:p w14:paraId="29A26956" w14:textId="59472D69" w:rsidR="00D02498" w:rsidRPr="009E686F" w:rsidRDefault="00D02498" w:rsidP="00265766">
            <w:pPr>
              <w:jc w:val="both"/>
              <w:rPr>
                <w:rFonts w:ascii="Times New Roman" w:hAnsi="Times New Roman" w:cs="Times New Roman"/>
                <w:lang w:val="ro-MD"/>
              </w:rPr>
            </w:pPr>
            <w:r w:rsidRPr="009E686F">
              <w:rPr>
                <w:rFonts w:ascii="Times New Roman" w:hAnsi="Times New Roman" w:cs="Times New Roman"/>
                <w:lang w:val="ro-MD"/>
              </w:rPr>
              <w:t>Compatibil</w:t>
            </w:r>
          </w:p>
        </w:tc>
        <w:tc>
          <w:tcPr>
            <w:tcW w:w="806" w:type="pct"/>
            <w:vMerge/>
            <w:tcBorders>
              <w:left w:val="single" w:sz="4" w:space="0" w:color="auto"/>
              <w:bottom w:val="single" w:sz="4" w:space="0" w:color="auto"/>
              <w:right w:val="single" w:sz="4" w:space="0" w:color="auto"/>
            </w:tcBorders>
          </w:tcPr>
          <w:p w14:paraId="56AFD3EB" w14:textId="77777777" w:rsidR="00D02498" w:rsidRPr="009E686F" w:rsidRDefault="00D02498" w:rsidP="00265766">
            <w:pPr>
              <w:spacing w:after="0"/>
              <w:jc w:val="both"/>
              <w:rPr>
                <w:rFonts w:ascii="Times New Roman" w:hAnsi="Times New Roman" w:cs="Times New Roman"/>
              </w:rPr>
            </w:pPr>
          </w:p>
        </w:tc>
      </w:tr>
      <w:tr w:rsidR="00265766" w:rsidRPr="009E686F" w14:paraId="6330EDE5" w14:textId="77777777" w:rsidTr="00960C23">
        <w:tc>
          <w:tcPr>
            <w:tcW w:w="1890" w:type="pct"/>
            <w:tcBorders>
              <w:top w:val="single" w:sz="4" w:space="0" w:color="auto"/>
              <w:left w:val="single" w:sz="4" w:space="0" w:color="auto"/>
              <w:bottom w:val="single" w:sz="4" w:space="0" w:color="auto"/>
              <w:right w:val="single" w:sz="4" w:space="0" w:color="auto"/>
            </w:tcBorders>
          </w:tcPr>
          <w:p w14:paraId="00088E7D" w14:textId="77777777"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 xml:space="preserve">(3) În cazul în care autoritățile competente din statul membru de origine nu au niciun motiv pentru a pune la îndoială caracterul adecvat al structurii administrative sau situația financiară a instituției de credit, având în vedere activitățile anticipate, autoritățile respective, în termen de trei luni de la primirea informațiilor prevăzute la alineatul (2), comunică informațiile respective autorităților competente din statul membru gazdă și informează instituția de credit în consecință. </w:t>
            </w:r>
          </w:p>
          <w:p w14:paraId="231D327C" w14:textId="634F039C"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Autoritățile competente ale statului membru de origine comunică, de asemenea, cuantumul și structura fondurilor proprii, precum și cuantumul cerințelor de fonduri proprii ale instituției de credit, prevăzut la articolul 92 din Regulamentul (UE) nr. 575/2013.</w:t>
            </w:r>
          </w:p>
        </w:tc>
        <w:tc>
          <w:tcPr>
            <w:tcW w:w="1834" w:type="pct"/>
            <w:tcBorders>
              <w:top w:val="single" w:sz="4" w:space="0" w:color="auto"/>
              <w:left w:val="single" w:sz="4" w:space="0" w:color="auto"/>
              <w:bottom w:val="single" w:sz="4" w:space="0" w:color="auto"/>
              <w:right w:val="single" w:sz="4" w:space="0" w:color="auto"/>
            </w:tcBorders>
          </w:tcPr>
          <w:p w14:paraId="64BB3D0D" w14:textId="77777777" w:rsidR="00265766" w:rsidRPr="009E686F" w:rsidRDefault="00265766" w:rsidP="00265766">
            <w:pPr>
              <w:spacing w:after="0"/>
              <w:jc w:val="both"/>
              <w:rPr>
                <w:rFonts w:ascii="Times New Roman" w:hAnsi="Times New Roman" w:cs="Times New Roman"/>
                <w:b/>
                <w:lang w:val="it-CH"/>
              </w:rPr>
            </w:pPr>
            <w:r w:rsidRPr="009E686F">
              <w:rPr>
                <w:rFonts w:ascii="Times New Roman" w:hAnsi="Times New Roman" w:cs="Times New Roman"/>
                <w:b/>
                <w:lang w:val="it-CH"/>
              </w:rPr>
              <w:t>Articolul 32</w:t>
            </w:r>
            <w:r w:rsidRPr="009E686F">
              <w:rPr>
                <w:rFonts w:ascii="Times New Roman" w:hAnsi="Times New Roman" w:cs="Times New Roman"/>
                <w:b/>
                <w:vertAlign w:val="superscript"/>
                <w:lang w:val="it-CH"/>
              </w:rPr>
              <w:t>1</w:t>
            </w:r>
            <w:r w:rsidRPr="009E686F">
              <w:rPr>
                <w:rFonts w:ascii="Times New Roman" w:hAnsi="Times New Roman" w:cs="Times New Roman"/>
                <w:b/>
                <w:lang w:val="it-CH"/>
              </w:rPr>
              <w:t xml:space="preserve"> alin. (4)</w:t>
            </w:r>
          </w:p>
          <w:p w14:paraId="7E21FEC6" w14:textId="77777777" w:rsidR="00265766" w:rsidRPr="009E686F" w:rsidRDefault="00265766" w:rsidP="00265766">
            <w:pPr>
              <w:spacing w:after="0"/>
              <w:jc w:val="both"/>
              <w:rPr>
                <w:rFonts w:ascii="Times New Roman" w:hAnsi="Times New Roman" w:cs="Times New Roman"/>
                <w:i/>
                <w:lang w:val="it-CH"/>
              </w:rPr>
            </w:pPr>
            <w:r w:rsidRPr="009E686F">
              <w:rPr>
                <w:rFonts w:ascii="Times New Roman" w:hAnsi="Times New Roman" w:cs="Times New Roman"/>
                <w:i/>
                <w:lang w:val="it-CH"/>
              </w:rPr>
              <w:t>(4) În cazul în care Banca Națională a Moldovei constată că nu există motive să pună la îndoială caracterul adecvat al structurii administrative sau situaţia financiară a instituției de credit persoană juridică din Republica Moldova care intenționează să deschidă o sucursală într-un stat membru, având în vedere activităţile pe care intenționează să le desfășoare prin intermediul sucursalei, în termen de 3 luni de la data recepționării informațiilor prevăzute la alineatul (2), transmite aceste informații, precum și informații privind nivelul, structura fondurilor proprii și cuantumul cerințelor de fonduri proprii calculate conform actelor normative emise în aplicarea prezentei legi, autorității competente din statul membru gazdă și informează instituția de credit despre acest fapt.</w:t>
            </w:r>
          </w:p>
          <w:p w14:paraId="1E83EECB" w14:textId="77777777" w:rsidR="00265766" w:rsidRPr="009E686F" w:rsidRDefault="00265766" w:rsidP="00265766">
            <w:pPr>
              <w:spacing w:after="0"/>
              <w:jc w:val="both"/>
              <w:rPr>
                <w:rFonts w:ascii="Times New Roman" w:hAnsi="Times New Roman" w:cs="Times New Roman"/>
                <w:i/>
                <w:lang w:val="it-CH"/>
              </w:rPr>
            </w:pPr>
          </w:p>
          <w:p w14:paraId="7937F713" w14:textId="77777777" w:rsidR="00265766" w:rsidRPr="009E686F" w:rsidRDefault="00265766" w:rsidP="00265766">
            <w:pPr>
              <w:spacing w:after="0"/>
              <w:jc w:val="both"/>
              <w:rPr>
                <w:rFonts w:ascii="Times New Roman" w:hAnsi="Times New Roman" w:cs="Times New Roman"/>
                <w:b/>
                <w:lang w:val="it-CH"/>
              </w:rPr>
            </w:pPr>
            <w:r w:rsidRPr="009E686F">
              <w:rPr>
                <w:rFonts w:ascii="Times New Roman" w:hAnsi="Times New Roman" w:cs="Times New Roman"/>
                <w:b/>
                <w:lang w:val="it-CH"/>
              </w:rPr>
              <w:t>Articolul 23</w:t>
            </w:r>
            <w:r w:rsidRPr="009E686F">
              <w:rPr>
                <w:rFonts w:ascii="Times New Roman" w:hAnsi="Times New Roman" w:cs="Times New Roman"/>
                <w:b/>
                <w:vertAlign w:val="superscript"/>
                <w:lang w:val="it-CH"/>
              </w:rPr>
              <w:t xml:space="preserve">2 </w:t>
            </w:r>
            <w:r w:rsidRPr="009E686F">
              <w:rPr>
                <w:rFonts w:ascii="Times New Roman" w:hAnsi="Times New Roman" w:cs="Times New Roman"/>
                <w:b/>
                <w:lang w:val="it-CH"/>
              </w:rPr>
              <w:t>alin. (2), lit. d)</w:t>
            </w:r>
          </w:p>
          <w:p w14:paraId="3226749F" w14:textId="4878D982" w:rsidR="00265766" w:rsidRPr="009E686F" w:rsidRDefault="00265766" w:rsidP="00265766">
            <w:pPr>
              <w:spacing w:after="0"/>
              <w:jc w:val="both"/>
              <w:rPr>
                <w:rFonts w:ascii="Times New Roman" w:hAnsi="Times New Roman" w:cs="Times New Roman"/>
                <w:i/>
                <w:lang w:val="it-CH"/>
              </w:rPr>
            </w:pPr>
            <w:r w:rsidRPr="009E686F">
              <w:rPr>
                <w:rFonts w:ascii="Times New Roman" w:hAnsi="Times New Roman" w:cs="Times New Roman"/>
                <w:i/>
                <w:lang w:val="it-CH"/>
              </w:rPr>
              <w:lastRenderedPageBreak/>
              <w:t>d)  nivelul şi structura fondurilor proprii, precum şi suma cerinţelor de fonduri proprii ale instituţiei de credit, confirmat de autoritatea competentă din statul membru de origine.</w:t>
            </w:r>
          </w:p>
        </w:tc>
        <w:tc>
          <w:tcPr>
            <w:tcW w:w="470" w:type="pct"/>
            <w:tcBorders>
              <w:top w:val="single" w:sz="4" w:space="0" w:color="auto"/>
              <w:left w:val="single" w:sz="4" w:space="0" w:color="auto"/>
              <w:bottom w:val="single" w:sz="4" w:space="0" w:color="auto"/>
              <w:right w:val="single" w:sz="4" w:space="0" w:color="auto"/>
            </w:tcBorders>
          </w:tcPr>
          <w:p w14:paraId="0854CCBC" w14:textId="690E2442" w:rsidR="00265766" w:rsidRPr="009E686F" w:rsidRDefault="00265766" w:rsidP="00265766">
            <w:pPr>
              <w:jc w:val="both"/>
              <w:rPr>
                <w:rFonts w:ascii="Times New Roman" w:hAnsi="Times New Roman" w:cs="Times New Roman"/>
                <w:lang w:val="ro-MD"/>
              </w:rPr>
            </w:pPr>
            <w:r w:rsidRPr="009E686F">
              <w:rPr>
                <w:rFonts w:ascii="Times New Roman" w:hAnsi="Times New Roman" w:cs="Times New Roman"/>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5A8A4F8C" w14:textId="77777777" w:rsidR="00D02498" w:rsidRPr="009E686F" w:rsidRDefault="00D02498" w:rsidP="00D02498">
            <w:pPr>
              <w:rPr>
                <w:lang w:val="it-CH"/>
              </w:rPr>
            </w:pPr>
            <w:r w:rsidRPr="009E686F">
              <w:rPr>
                <w:rFonts w:ascii="Times New Roman" w:hAnsi="Times New Roman" w:cs="Times New Roman"/>
                <w:lang w:val="ro-RO"/>
              </w:rPr>
              <w:t>În vigoare –5 ani de la data aderării.</w:t>
            </w:r>
          </w:p>
          <w:p w14:paraId="383EFB06" w14:textId="77777777" w:rsidR="00265766" w:rsidRPr="009E686F" w:rsidRDefault="00265766" w:rsidP="00265766">
            <w:pPr>
              <w:spacing w:after="0"/>
              <w:jc w:val="both"/>
              <w:rPr>
                <w:rFonts w:ascii="Times New Roman" w:hAnsi="Times New Roman" w:cs="Times New Roman"/>
                <w:lang w:val="it-CH"/>
              </w:rPr>
            </w:pPr>
          </w:p>
        </w:tc>
      </w:tr>
      <w:tr w:rsidR="00265766" w:rsidRPr="009E686F" w14:paraId="10B2916D" w14:textId="77777777" w:rsidTr="00960C23">
        <w:tc>
          <w:tcPr>
            <w:tcW w:w="1890" w:type="pct"/>
            <w:tcBorders>
              <w:top w:val="single" w:sz="4" w:space="0" w:color="auto"/>
              <w:left w:val="single" w:sz="4" w:space="0" w:color="auto"/>
              <w:bottom w:val="single" w:sz="4" w:space="0" w:color="auto"/>
              <w:right w:val="single" w:sz="4" w:space="0" w:color="auto"/>
            </w:tcBorders>
          </w:tcPr>
          <w:p w14:paraId="6F06CB3F" w14:textId="65A793FC"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Prin derogare de la paragraful al doilea, în cazul prevăzut la articolul 34, autoritățile competente din statul membru de origine comunică cuantumul și structura fondurilor proprii ale instituției financiare și valoarea totală a expunerilor la risc calculate în conformitate cu articolul 92 alineatele (3) și (4) din Regulamentul (UE) nr. 575/2013 ale instituției de credit care este întreprinderea-mamă.</w:t>
            </w:r>
          </w:p>
        </w:tc>
        <w:tc>
          <w:tcPr>
            <w:tcW w:w="1834" w:type="pct"/>
            <w:tcBorders>
              <w:top w:val="single" w:sz="4" w:space="0" w:color="auto"/>
              <w:left w:val="single" w:sz="4" w:space="0" w:color="auto"/>
              <w:bottom w:val="single" w:sz="4" w:space="0" w:color="auto"/>
              <w:right w:val="single" w:sz="4" w:space="0" w:color="auto"/>
            </w:tcBorders>
          </w:tcPr>
          <w:p w14:paraId="752A5D6A" w14:textId="263C5D7F" w:rsidR="00265766" w:rsidRPr="009E686F" w:rsidRDefault="00265766" w:rsidP="00265766">
            <w:pPr>
              <w:spacing w:after="0"/>
              <w:jc w:val="both"/>
              <w:rPr>
                <w:rFonts w:ascii="Times New Roman" w:hAnsi="Times New Roman" w:cs="Times New Roman"/>
                <w:b/>
                <w:lang w:val="it-CH"/>
              </w:rPr>
            </w:pPr>
            <w:r w:rsidRPr="009E686F">
              <w:rPr>
                <w:rFonts w:ascii="Times New Roman" w:hAnsi="Times New Roman" w:cs="Times New Roman"/>
                <w:b/>
                <w:lang w:val="it-CH"/>
              </w:rPr>
              <w:t>Articolul 23</w:t>
            </w:r>
            <w:r w:rsidRPr="009E686F">
              <w:rPr>
                <w:rFonts w:ascii="Times New Roman" w:hAnsi="Times New Roman" w:cs="Times New Roman"/>
                <w:b/>
                <w:vertAlign w:val="superscript"/>
                <w:lang w:val="it-CH"/>
              </w:rPr>
              <w:t>2</w:t>
            </w:r>
            <w:r w:rsidRPr="009E686F">
              <w:rPr>
                <w:rFonts w:ascii="Times New Roman" w:hAnsi="Times New Roman" w:cs="Times New Roman"/>
                <w:b/>
                <w:lang w:val="it-CH"/>
              </w:rPr>
              <w:t xml:space="preserve"> alin. (3)</w:t>
            </w:r>
          </w:p>
          <w:p w14:paraId="6A9F4635" w14:textId="6ACF225E" w:rsidR="00265766" w:rsidRPr="009E686F" w:rsidRDefault="00265766" w:rsidP="00265766">
            <w:pPr>
              <w:spacing w:after="0"/>
              <w:jc w:val="both"/>
              <w:rPr>
                <w:rFonts w:ascii="Times New Roman" w:hAnsi="Times New Roman" w:cs="Times New Roman"/>
                <w:i/>
                <w:lang w:val="it-CH"/>
              </w:rPr>
            </w:pPr>
            <w:r w:rsidRPr="009E686F">
              <w:rPr>
                <w:rFonts w:ascii="Times New Roman" w:hAnsi="Times New Roman" w:cs="Times New Roman"/>
                <w:i/>
                <w:lang w:val="it-CH"/>
              </w:rPr>
              <w:t>(3) Prin excepţie de la alineatul (2), în cazul înființării unei sucursale sau furnizării în mod direct a serviciilor pe teritoriul Republicii Moldova de către o instituție financiară dintr-un alt stat membru, în condițiile art. 23</w:t>
            </w:r>
            <w:r w:rsidRPr="009E686F">
              <w:rPr>
                <w:rFonts w:ascii="Times New Roman" w:hAnsi="Times New Roman" w:cs="Times New Roman"/>
                <w:i/>
                <w:vertAlign w:val="superscript"/>
                <w:lang w:val="it-CH"/>
              </w:rPr>
              <w:t>5</w:t>
            </w:r>
            <w:r w:rsidRPr="009E686F">
              <w:rPr>
                <w:rFonts w:ascii="Times New Roman" w:hAnsi="Times New Roman" w:cs="Times New Roman"/>
                <w:i/>
                <w:lang w:val="it-CH"/>
              </w:rPr>
              <w:t xml:space="preserve">,notificarea cuprinde informaţii privind nivelul şi structura fondurilor proprii ale instituţiei financiare-filială a uneia sau mai multor instituţii de credit şi valoarea totală a expunerilor la risc ale instituţiei de credit întreprindere-mamă, calculată potrivit actelor normative ale Băncii Naționale a Moldovei. </w:t>
            </w:r>
          </w:p>
        </w:tc>
        <w:tc>
          <w:tcPr>
            <w:tcW w:w="470" w:type="pct"/>
            <w:tcBorders>
              <w:top w:val="single" w:sz="4" w:space="0" w:color="auto"/>
              <w:left w:val="single" w:sz="4" w:space="0" w:color="auto"/>
              <w:bottom w:val="single" w:sz="4" w:space="0" w:color="auto"/>
              <w:right w:val="single" w:sz="4" w:space="0" w:color="auto"/>
            </w:tcBorders>
          </w:tcPr>
          <w:p w14:paraId="094B2E68" w14:textId="5AD637D3" w:rsidR="00265766" w:rsidRPr="009E686F" w:rsidRDefault="00265766" w:rsidP="00265766">
            <w:pPr>
              <w:jc w:val="both"/>
              <w:rPr>
                <w:rFonts w:ascii="Times New Roman" w:hAnsi="Times New Roman" w:cs="Times New Roman"/>
              </w:rPr>
            </w:pPr>
            <w:r w:rsidRPr="009E686F">
              <w:rPr>
                <w:rFonts w:ascii="Times New Roman" w:hAnsi="Times New Roman" w:cs="Times New Roman"/>
              </w:rPr>
              <w:t xml:space="preserve">Compatibil </w:t>
            </w:r>
          </w:p>
        </w:tc>
        <w:tc>
          <w:tcPr>
            <w:tcW w:w="806" w:type="pct"/>
            <w:tcBorders>
              <w:top w:val="single" w:sz="4" w:space="0" w:color="auto"/>
              <w:left w:val="single" w:sz="4" w:space="0" w:color="auto"/>
              <w:bottom w:val="single" w:sz="4" w:space="0" w:color="auto"/>
              <w:right w:val="single" w:sz="4" w:space="0" w:color="auto"/>
            </w:tcBorders>
          </w:tcPr>
          <w:p w14:paraId="792FDDD4" w14:textId="77777777" w:rsidR="00D02498" w:rsidRPr="009E686F" w:rsidRDefault="00D02498" w:rsidP="00D02498">
            <w:pPr>
              <w:rPr>
                <w:lang w:val="it-CH"/>
              </w:rPr>
            </w:pPr>
            <w:r w:rsidRPr="009E686F">
              <w:rPr>
                <w:rFonts w:ascii="Times New Roman" w:hAnsi="Times New Roman" w:cs="Times New Roman"/>
                <w:lang w:val="ro-RO"/>
              </w:rPr>
              <w:t>În vigoare –5 ani de la data aderării.</w:t>
            </w:r>
          </w:p>
          <w:p w14:paraId="7F35EB44" w14:textId="204E86EC" w:rsidR="00265766" w:rsidRPr="009E686F" w:rsidRDefault="00265766" w:rsidP="00265766">
            <w:pPr>
              <w:spacing w:after="0"/>
              <w:jc w:val="both"/>
              <w:rPr>
                <w:rFonts w:ascii="Times New Roman" w:hAnsi="Times New Roman" w:cs="Times New Roman"/>
                <w:lang w:val="it-CH"/>
              </w:rPr>
            </w:pPr>
          </w:p>
        </w:tc>
      </w:tr>
      <w:tr w:rsidR="00265766" w:rsidRPr="009E686F" w14:paraId="65825EFE" w14:textId="77777777" w:rsidTr="00960C23">
        <w:tc>
          <w:tcPr>
            <w:tcW w:w="1890" w:type="pct"/>
            <w:tcBorders>
              <w:top w:val="single" w:sz="4" w:space="0" w:color="auto"/>
              <w:left w:val="single" w:sz="4" w:space="0" w:color="auto"/>
              <w:bottom w:val="single" w:sz="4" w:space="0" w:color="auto"/>
              <w:right w:val="single" w:sz="4" w:space="0" w:color="auto"/>
            </w:tcBorders>
          </w:tcPr>
          <w:p w14:paraId="6671AEB5" w14:textId="4471ACC7"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(4) În cazul în care autoritățile competente din statul membru de origine refuză să comunice informațiile prevăzute la alineatul (2) autorităților competente din statul membru gazdă, refuzul este motivat în fața instituției de credit în cauză în termen de trei luni de la primirea tuturor informațiilor.</w:t>
            </w:r>
          </w:p>
          <w:p w14:paraId="324842ED" w14:textId="77777777" w:rsidR="00265766" w:rsidRPr="009E686F" w:rsidRDefault="00265766" w:rsidP="00265766">
            <w:pPr>
              <w:spacing w:after="0"/>
              <w:jc w:val="both"/>
              <w:rPr>
                <w:rFonts w:ascii="Times New Roman" w:hAnsi="Times New Roman" w:cs="Times New Roman"/>
                <w:lang w:val="pt-BR"/>
              </w:rPr>
            </w:pPr>
            <w:r w:rsidRPr="009E686F">
              <w:rPr>
                <w:rFonts w:ascii="Times New Roman" w:hAnsi="Times New Roman" w:cs="Times New Roman"/>
                <w:lang w:val="pt-BR"/>
              </w:rPr>
              <w:t>Refuzul de a răspunde sau absența unui astfel de răspuns pot fi atacate într-o instanță din statul membru de origine.</w:t>
            </w:r>
          </w:p>
        </w:tc>
        <w:tc>
          <w:tcPr>
            <w:tcW w:w="1834" w:type="pct"/>
            <w:tcBorders>
              <w:top w:val="single" w:sz="4" w:space="0" w:color="auto"/>
              <w:left w:val="single" w:sz="4" w:space="0" w:color="auto"/>
              <w:bottom w:val="single" w:sz="4" w:space="0" w:color="auto"/>
              <w:right w:val="single" w:sz="4" w:space="0" w:color="auto"/>
            </w:tcBorders>
          </w:tcPr>
          <w:p w14:paraId="65E4AB33" w14:textId="6E90FE58" w:rsidR="00265766" w:rsidRPr="009E686F" w:rsidRDefault="00265766" w:rsidP="00265766">
            <w:pPr>
              <w:spacing w:after="0"/>
              <w:jc w:val="both"/>
              <w:rPr>
                <w:rFonts w:ascii="Times New Roman" w:hAnsi="Times New Roman" w:cs="Times New Roman"/>
                <w:bCs/>
                <w:lang w:val="pt-BR"/>
              </w:rPr>
            </w:pPr>
            <w:r w:rsidRPr="009E686F">
              <w:rPr>
                <w:rFonts w:ascii="Times New Roman" w:hAnsi="Times New Roman" w:cs="Times New Roman"/>
                <w:b/>
                <w:bCs/>
                <w:lang w:val="pt-BR"/>
              </w:rPr>
              <w:t>Articolul 32</w:t>
            </w:r>
            <w:r w:rsidRPr="009E686F">
              <w:rPr>
                <w:rFonts w:ascii="Times New Roman" w:hAnsi="Times New Roman" w:cs="Times New Roman"/>
                <w:b/>
                <w:bCs/>
                <w:vertAlign w:val="superscript"/>
                <w:lang w:val="pt-BR"/>
              </w:rPr>
              <w:t>1</w:t>
            </w:r>
            <w:r w:rsidRPr="009E686F">
              <w:rPr>
                <w:rFonts w:ascii="Times New Roman" w:hAnsi="Times New Roman" w:cs="Times New Roman"/>
                <w:b/>
                <w:bCs/>
                <w:lang w:val="pt-BR"/>
              </w:rPr>
              <w:t xml:space="preserve"> alin. (5)</w:t>
            </w:r>
          </w:p>
          <w:p w14:paraId="3903DB02" w14:textId="2B239952" w:rsidR="00265766" w:rsidRPr="009E686F" w:rsidRDefault="00265766" w:rsidP="00265766">
            <w:pPr>
              <w:spacing w:after="0"/>
              <w:jc w:val="both"/>
              <w:rPr>
                <w:rFonts w:ascii="Times New Roman" w:hAnsi="Times New Roman" w:cs="Times New Roman"/>
                <w:bCs/>
                <w:i/>
                <w:iCs/>
                <w:lang w:val="pt-BR"/>
              </w:rPr>
            </w:pPr>
            <w:r w:rsidRPr="009E686F">
              <w:rPr>
                <w:rFonts w:ascii="Times New Roman" w:hAnsi="Times New Roman" w:cs="Times New Roman"/>
                <w:bCs/>
                <w:i/>
                <w:iCs/>
                <w:lang w:val="pt-BR"/>
              </w:rPr>
              <w:t>(5) În cazul în care Banca Națională a Moldovei constată că existe motive de îndoială astfel cum sunt prevăzute la alin. (4), aceasta nu transmite informațiile autorității competente din statul membru gazdă conform alineatului (4) și informează despre acest lucru instituția de credit în termen de 3 luni de la data recepționării informațiilor prevăzute la alineatul (2), indicând motivele sale.</w:t>
            </w:r>
          </w:p>
        </w:tc>
        <w:tc>
          <w:tcPr>
            <w:tcW w:w="470" w:type="pct"/>
            <w:tcBorders>
              <w:top w:val="single" w:sz="4" w:space="0" w:color="auto"/>
              <w:left w:val="single" w:sz="4" w:space="0" w:color="auto"/>
              <w:bottom w:val="single" w:sz="4" w:space="0" w:color="auto"/>
              <w:right w:val="single" w:sz="4" w:space="0" w:color="auto"/>
            </w:tcBorders>
          </w:tcPr>
          <w:p w14:paraId="75335DA2" w14:textId="52A01ABD" w:rsidR="00265766" w:rsidRPr="009E686F" w:rsidRDefault="00265766" w:rsidP="00265766">
            <w:pPr>
              <w:jc w:val="both"/>
              <w:rPr>
                <w:rFonts w:ascii="Times New Roman" w:hAnsi="Times New Roman" w:cs="Times New Roman"/>
              </w:rPr>
            </w:pPr>
            <w:r w:rsidRPr="009E686F">
              <w:rPr>
                <w:rFonts w:ascii="Times New Roman" w:hAnsi="Times New Roman" w:cs="Times New Roman"/>
              </w:rPr>
              <w:t>Compatibil</w:t>
            </w:r>
          </w:p>
          <w:p w14:paraId="4493C437" w14:textId="5E91AA7C" w:rsidR="00265766" w:rsidRPr="009E686F" w:rsidRDefault="00265766" w:rsidP="00265766">
            <w:pPr>
              <w:jc w:val="both"/>
              <w:rPr>
                <w:rFonts w:ascii="Times New Roman" w:hAnsi="Times New Roman" w:cs="Times New Roman"/>
              </w:rPr>
            </w:pPr>
          </w:p>
        </w:tc>
        <w:tc>
          <w:tcPr>
            <w:tcW w:w="806" w:type="pct"/>
            <w:tcBorders>
              <w:top w:val="single" w:sz="4" w:space="0" w:color="auto"/>
              <w:left w:val="single" w:sz="4" w:space="0" w:color="auto"/>
              <w:bottom w:val="single" w:sz="4" w:space="0" w:color="auto"/>
              <w:right w:val="single" w:sz="4" w:space="0" w:color="auto"/>
            </w:tcBorders>
          </w:tcPr>
          <w:p w14:paraId="55234A25" w14:textId="77777777" w:rsidR="00D02498" w:rsidRPr="009E686F" w:rsidRDefault="00D02498" w:rsidP="00D02498">
            <w:pPr>
              <w:rPr>
                <w:lang w:val="it-CH"/>
              </w:rPr>
            </w:pPr>
            <w:r w:rsidRPr="009E686F">
              <w:rPr>
                <w:rFonts w:ascii="Times New Roman" w:hAnsi="Times New Roman" w:cs="Times New Roman"/>
                <w:lang w:val="ro-RO"/>
              </w:rPr>
              <w:t>În vigoare –5 ani de la data aderării.</w:t>
            </w:r>
          </w:p>
          <w:p w14:paraId="69FD98AD" w14:textId="243FF481" w:rsidR="00265766" w:rsidRPr="009E686F" w:rsidRDefault="00265766" w:rsidP="00265766">
            <w:pPr>
              <w:spacing w:after="0"/>
              <w:jc w:val="both"/>
              <w:rPr>
                <w:rFonts w:ascii="Times New Roman" w:hAnsi="Times New Roman" w:cs="Times New Roman"/>
                <w:lang w:val="it-CH"/>
              </w:rPr>
            </w:pPr>
          </w:p>
        </w:tc>
      </w:tr>
      <w:tr w:rsidR="00265766" w:rsidRPr="009E686F" w14:paraId="6D6BCBC3" w14:textId="77777777" w:rsidTr="00960C23">
        <w:trPr>
          <w:trHeight w:val="2231"/>
        </w:trPr>
        <w:tc>
          <w:tcPr>
            <w:tcW w:w="1890" w:type="pct"/>
            <w:tcBorders>
              <w:top w:val="single" w:sz="4" w:space="0" w:color="auto"/>
              <w:left w:val="single" w:sz="4" w:space="0" w:color="auto"/>
              <w:right w:val="single" w:sz="4" w:space="0" w:color="auto"/>
            </w:tcBorders>
          </w:tcPr>
          <w:p w14:paraId="0CE0B9FC" w14:textId="7107AB4A"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(5) ABE elaborează proiecte de standarde tehnice de reglementare pentru a preciza informațiile de notificat în conformitate cu prezentul articol.</w:t>
            </w:r>
          </w:p>
          <w:p w14:paraId="206CD5F1" w14:textId="244BA659"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Se deleagă Comisiei competența de a adopta standardele tehnice de reglementare menționate la primul paragraf, în conformitate cu articolele 10-14 din Regulamentul (UE) nr. 1093/2010.</w:t>
            </w:r>
          </w:p>
        </w:tc>
        <w:tc>
          <w:tcPr>
            <w:tcW w:w="1834" w:type="pct"/>
            <w:tcBorders>
              <w:top w:val="single" w:sz="4" w:space="0" w:color="auto"/>
              <w:left w:val="single" w:sz="4" w:space="0" w:color="auto"/>
              <w:right w:val="single" w:sz="4" w:space="0" w:color="auto"/>
            </w:tcBorders>
          </w:tcPr>
          <w:p w14:paraId="77108ADB" w14:textId="77777777" w:rsidR="00265766" w:rsidRPr="009E686F" w:rsidRDefault="00265766" w:rsidP="00265766">
            <w:pPr>
              <w:spacing w:after="0"/>
              <w:jc w:val="both"/>
              <w:rPr>
                <w:rFonts w:ascii="Times New Roman" w:hAnsi="Times New Roman" w:cs="Times New Roman"/>
                <w:b/>
                <w:lang w:val="it-CH"/>
              </w:rPr>
            </w:pPr>
          </w:p>
        </w:tc>
        <w:tc>
          <w:tcPr>
            <w:tcW w:w="470" w:type="pct"/>
            <w:tcBorders>
              <w:top w:val="single" w:sz="4" w:space="0" w:color="auto"/>
              <w:left w:val="single" w:sz="4" w:space="0" w:color="auto"/>
              <w:right w:val="single" w:sz="4" w:space="0" w:color="auto"/>
            </w:tcBorders>
          </w:tcPr>
          <w:p w14:paraId="6683F909" w14:textId="3F251BF0" w:rsidR="00265766" w:rsidRPr="009E686F" w:rsidRDefault="00265766" w:rsidP="00265766">
            <w:pPr>
              <w:jc w:val="both"/>
              <w:rPr>
                <w:rFonts w:ascii="Times New Roman" w:hAnsi="Times New Roman" w:cs="Times New Roman"/>
              </w:rPr>
            </w:pPr>
            <w:r w:rsidRPr="009E686F">
              <w:rPr>
                <w:rFonts w:ascii="Times New Roman" w:hAnsi="Times New Roman" w:cs="Times New Roman"/>
              </w:rPr>
              <w:t>Norme UE neaplicabile</w:t>
            </w:r>
          </w:p>
          <w:p w14:paraId="47B983BC" w14:textId="78FD0A26" w:rsidR="00265766" w:rsidRPr="009E686F" w:rsidRDefault="00265766" w:rsidP="00265766">
            <w:pPr>
              <w:jc w:val="both"/>
              <w:rPr>
                <w:rFonts w:ascii="Times New Roman" w:hAnsi="Times New Roman" w:cs="Times New Roman"/>
              </w:rPr>
            </w:pPr>
          </w:p>
          <w:p w14:paraId="3C4F479D" w14:textId="280DAAA8" w:rsidR="00265766" w:rsidRPr="009E686F" w:rsidRDefault="00265766" w:rsidP="00265766">
            <w:pPr>
              <w:jc w:val="both"/>
              <w:rPr>
                <w:rFonts w:ascii="Times New Roman" w:hAnsi="Times New Roman" w:cs="Times New Roman"/>
              </w:rPr>
            </w:pPr>
          </w:p>
        </w:tc>
        <w:tc>
          <w:tcPr>
            <w:tcW w:w="806" w:type="pct"/>
            <w:tcBorders>
              <w:top w:val="single" w:sz="4" w:space="0" w:color="auto"/>
              <w:left w:val="single" w:sz="4" w:space="0" w:color="auto"/>
              <w:right w:val="single" w:sz="4" w:space="0" w:color="auto"/>
            </w:tcBorders>
          </w:tcPr>
          <w:p w14:paraId="1708E8AB" w14:textId="55910370"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Se referă la competențele ABE.</w:t>
            </w:r>
          </w:p>
        </w:tc>
      </w:tr>
      <w:tr w:rsidR="00265766" w:rsidRPr="009E686F" w14:paraId="2776E5A4" w14:textId="77777777" w:rsidTr="00960C23">
        <w:trPr>
          <w:trHeight w:val="2787"/>
        </w:trPr>
        <w:tc>
          <w:tcPr>
            <w:tcW w:w="1890" w:type="pct"/>
            <w:tcBorders>
              <w:top w:val="single" w:sz="4" w:space="0" w:color="auto"/>
              <w:left w:val="single" w:sz="4" w:space="0" w:color="auto"/>
              <w:right w:val="single" w:sz="4" w:space="0" w:color="auto"/>
            </w:tcBorders>
          </w:tcPr>
          <w:p w14:paraId="46405139" w14:textId="77777777"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lastRenderedPageBreak/>
              <w:t>(6) ABE elaborează proiecte de standarde tehnice de punere în aplicare pentru a stabili formulare, modele și proceduri standard pentru transmiterea acestor informații.</w:t>
            </w:r>
          </w:p>
          <w:p w14:paraId="684F7EB0" w14:textId="2C78D73E"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Se conferă Comisiei competența de a adopta standardele tehnice de punere în aplicare menționate la primul paragraf, în conformitate cu articolul 15 din Regulamentul (UE) nr. 1093/2010.</w:t>
            </w:r>
          </w:p>
        </w:tc>
        <w:tc>
          <w:tcPr>
            <w:tcW w:w="1834" w:type="pct"/>
            <w:tcBorders>
              <w:top w:val="single" w:sz="4" w:space="0" w:color="auto"/>
              <w:left w:val="single" w:sz="4" w:space="0" w:color="auto"/>
              <w:right w:val="single" w:sz="4" w:space="0" w:color="auto"/>
            </w:tcBorders>
          </w:tcPr>
          <w:p w14:paraId="68CDE7B9" w14:textId="77777777" w:rsidR="00265766" w:rsidRPr="009E686F" w:rsidRDefault="00265766" w:rsidP="00265766">
            <w:pPr>
              <w:spacing w:after="0"/>
              <w:jc w:val="both"/>
              <w:rPr>
                <w:rFonts w:ascii="Times New Roman" w:hAnsi="Times New Roman" w:cs="Times New Roman"/>
                <w:b/>
                <w:lang w:val="it-CH"/>
              </w:rPr>
            </w:pPr>
          </w:p>
        </w:tc>
        <w:tc>
          <w:tcPr>
            <w:tcW w:w="470" w:type="pct"/>
            <w:tcBorders>
              <w:top w:val="single" w:sz="4" w:space="0" w:color="auto"/>
              <w:left w:val="single" w:sz="4" w:space="0" w:color="auto"/>
              <w:right w:val="single" w:sz="4" w:space="0" w:color="auto"/>
            </w:tcBorders>
          </w:tcPr>
          <w:p w14:paraId="5DC933BD" w14:textId="11DDADA3" w:rsidR="00265766" w:rsidRPr="009E686F" w:rsidRDefault="00265766" w:rsidP="00265766">
            <w:pPr>
              <w:jc w:val="both"/>
              <w:rPr>
                <w:rFonts w:ascii="Times New Roman" w:hAnsi="Times New Roman" w:cs="Times New Roman"/>
              </w:rPr>
            </w:pPr>
            <w:r w:rsidRPr="009E686F">
              <w:rPr>
                <w:rFonts w:ascii="Times New Roman" w:hAnsi="Times New Roman" w:cs="Times New Roman"/>
              </w:rPr>
              <w:t>Norme UE neaplicabile</w:t>
            </w:r>
          </w:p>
          <w:p w14:paraId="026BBDCD" w14:textId="4883DF9A" w:rsidR="00265766" w:rsidRPr="009E686F" w:rsidRDefault="00265766" w:rsidP="00265766">
            <w:pPr>
              <w:jc w:val="both"/>
              <w:rPr>
                <w:rFonts w:ascii="Times New Roman" w:hAnsi="Times New Roman" w:cs="Times New Roman"/>
              </w:rPr>
            </w:pPr>
          </w:p>
        </w:tc>
        <w:tc>
          <w:tcPr>
            <w:tcW w:w="806" w:type="pct"/>
            <w:tcBorders>
              <w:top w:val="single" w:sz="4" w:space="0" w:color="auto"/>
              <w:left w:val="single" w:sz="4" w:space="0" w:color="auto"/>
              <w:right w:val="single" w:sz="4" w:space="0" w:color="auto"/>
            </w:tcBorders>
          </w:tcPr>
          <w:p w14:paraId="3C0FDCFB" w14:textId="20B10370"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Se referă la competențele ABE.</w:t>
            </w:r>
          </w:p>
        </w:tc>
      </w:tr>
      <w:tr w:rsidR="00265766" w:rsidRPr="009E686F" w14:paraId="6AA54A2D" w14:textId="77777777" w:rsidTr="00960C23">
        <w:tc>
          <w:tcPr>
            <w:tcW w:w="1890" w:type="pct"/>
            <w:tcBorders>
              <w:top w:val="single" w:sz="4" w:space="0" w:color="auto"/>
              <w:left w:val="single" w:sz="4" w:space="0" w:color="auto"/>
              <w:bottom w:val="single" w:sz="4" w:space="0" w:color="auto"/>
              <w:right w:val="single" w:sz="4" w:space="0" w:color="auto"/>
            </w:tcBorders>
          </w:tcPr>
          <w:p w14:paraId="538B0475" w14:textId="388CF34F"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(7) ABE înaintează Comisiei proiectele de standarde tehnice menționate la alineatele (5) și (6) până la 1 ianuarie 2014.</w:t>
            </w:r>
          </w:p>
        </w:tc>
        <w:tc>
          <w:tcPr>
            <w:tcW w:w="1834" w:type="pct"/>
            <w:tcBorders>
              <w:top w:val="single" w:sz="4" w:space="0" w:color="auto"/>
              <w:left w:val="single" w:sz="4" w:space="0" w:color="auto"/>
              <w:bottom w:val="single" w:sz="4" w:space="0" w:color="auto"/>
              <w:right w:val="single" w:sz="4" w:space="0" w:color="auto"/>
            </w:tcBorders>
          </w:tcPr>
          <w:p w14:paraId="3144D78D" w14:textId="77777777" w:rsidR="00265766" w:rsidRPr="009E686F" w:rsidRDefault="00265766" w:rsidP="00265766">
            <w:pPr>
              <w:spacing w:after="0"/>
              <w:jc w:val="both"/>
              <w:rPr>
                <w:rFonts w:ascii="Times New Roman" w:hAnsi="Times New Roman" w:cs="Times New Roman"/>
                <w:b/>
                <w:lang w:val="it-CH"/>
              </w:rPr>
            </w:pPr>
          </w:p>
        </w:tc>
        <w:tc>
          <w:tcPr>
            <w:tcW w:w="470" w:type="pct"/>
            <w:tcBorders>
              <w:top w:val="single" w:sz="4" w:space="0" w:color="auto"/>
              <w:left w:val="single" w:sz="4" w:space="0" w:color="auto"/>
              <w:bottom w:val="single" w:sz="4" w:space="0" w:color="auto"/>
              <w:right w:val="single" w:sz="4" w:space="0" w:color="auto"/>
            </w:tcBorders>
          </w:tcPr>
          <w:p w14:paraId="2A39929A" w14:textId="3A63E4C0" w:rsidR="00265766" w:rsidRPr="009E686F" w:rsidRDefault="00265766" w:rsidP="00265766">
            <w:pPr>
              <w:jc w:val="both"/>
              <w:rPr>
                <w:rFonts w:ascii="Times New Roman" w:hAnsi="Times New Roman" w:cs="Times New Roman"/>
              </w:rPr>
            </w:pPr>
            <w:r w:rsidRPr="009E686F">
              <w:rPr>
                <w:rFonts w:ascii="Times New Roman" w:hAnsi="Times New Roman" w:cs="Times New Roman"/>
              </w:rPr>
              <w:t>Norme UE neaplicabile</w:t>
            </w:r>
          </w:p>
          <w:p w14:paraId="72C5C2A1" w14:textId="7AE8A010" w:rsidR="00265766" w:rsidRPr="009E686F" w:rsidRDefault="00265766" w:rsidP="00265766">
            <w:pPr>
              <w:jc w:val="both"/>
              <w:rPr>
                <w:rFonts w:ascii="Times New Roman" w:hAnsi="Times New Roman" w:cs="Times New Roman"/>
              </w:rPr>
            </w:pPr>
          </w:p>
        </w:tc>
        <w:tc>
          <w:tcPr>
            <w:tcW w:w="806" w:type="pct"/>
            <w:tcBorders>
              <w:top w:val="single" w:sz="4" w:space="0" w:color="auto"/>
              <w:left w:val="single" w:sz="4" w:space="0" w:color="auto"/>
              <w:bottom w:val="single" w:sz="4" w:space="0" w:color="auto"/>
              <w:right w:val="single" w:sz="4" w:space="0" w:color="auto"/>
            </w:tcBorders>
          </w:tcPr>
          <w:p w14:paraId="7C8C2155" w14:textId="391255B1"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Se referă la competențele ABE.</w:t>
            </w:r>
          </w:p>
        </w:tc>
      </w:tr>
      <w:tr w:rsidR="00265766" w:rsidRPr="009E686F" w14:paraId="0F1AD906" w14:textId="77777777" w:rsidTr="00960C23">
        <w:tc>
          <w:tcPr>
            <w:tcW w:w="1890" w:type="pct"/>
            <w:tcBorders>
              <w:top w:val="single" w:sz="4" w:space="0" w:color="auto"/>
              <w:left w:val="single" w:sz="4" w:space="0" w:color="auto"/>
              <w:bottom w:val="single" w:sz="4" w:space="0" w:color="auto"/>
              <w:right w:val="single" w:sz="4" w:space="0" w:color="auto"/>
            </w:tcBorders>
          </w:tcPr>
          <w:p w14:paraId="5612BA1A" w14:textId="77777777" w:rsidR="00265766" w:rsidRPr="009E686F" w:rsidRDefault="00265766" w:rsidP="00265766">
            <w:pPr>
              <w:spacing w:after="0"/>
              <w:jc w:val="both"/>
              <w:rPr>
                <w:rFonts w:ascii="Times New Roman" w:hAnsi="Times New Roman" w:cs="Times New Roman"/>
                <w:i/>
                <w:iCs/>
              </w:rPr>
            </w:pPr>
            <w:r w:rsidRPr="009E686F">
              <w:rPr>
                <w:rFonts w:ascii="Times New Roman" w:hAnsi="Times New Roman" w:cs="Times New Roman"/>
                <w:i/>
                <w:iCs/>
              </w:rPr>
              <w:t xml:space="preserve">Articolul 36 </w:t>
            </w:r>
          </w:p>
          <w:p w14:paraId="542E0978" w14:textId="42912A5B" w:rsidR="00265766" w:rsidRPr="009E686F" w:rsidRDefault="00265766" w:rsidP="00265766">
            <w:pPr>
              <w:spacing w:after="0"/>
              <w:jc w:val="both"/>
              <w:rPr>
                <w:rFonts w:ascii="Times New Roman" w:hAnsi="Times New Roman" w:cs="Times New Roman"/>
              </w:rPr>
            </w:pPr>
            <w:r w:rsidRPr="009E686F">
              <w:rPr>
                <w:rFonts w:ascii="Times New Roman" w:hAnsi="Times New Roman" w:cs="Times New Roman"/>
              </w:rPr>
              <w:t>Începerea activităților</w:t>
            </w:r>
          </w:p>
        </w:tc>
        <w:tc>
          <w:tcPr>
            <w:tcW w:w="1834" w:type="pct"/>
            <w:tcBorders>
              <w:top w:val="single" w:sz="4" w:space="0" w:color="auto"/>
              <w:left w:val="single" w:sz="4" w:space="0" w:color="auto"/>
              <w:bottom w:val="single" w:sz="4" w:space="0" w:color="auto"/>
              <w:right w:val="single" w:sz="4" w:space="0" w:color="auto"/>
            </w:tcBorders>
          </w:tcPr>
          <w:p w14:paraId="569050C9" w14:textId="77777777" w:rsidR="00265766" w:rsidRPr="009E686F" w:rsidRDefault="00265766" w:rsidP="00265766">
            <w:pPr>
              <w:spacing w:after="0"/>
              <w:jc w:val="both"/>
              <w:rPr>
                <w:rFonts w:ascii="Times New Roman" w:hAnsi="Times New Roman" w:cs="Times New Roman"/>
                <w:b/>
              </w:rPr>
            </w:pPr>
          </w:p>
        </w:tc>
        <w:tc>
          <w:tcPr>
            <w:tcW w:w="470" w:type="pct"/>
            <w:tcBorders>
              <w:top w:val="single" w:sz="4" w:space="0" w:color="auto"/>
              <w:left w:val="single" w:sz="4" w:space="0" w:color="auto"/>
              <w:bottom w:val="single" w:sz="4" w:space="0" w:color="auto"/>
              <w:right w:val="single" w:sz="4" w:space="0" w:color="auto"/>
            </w:tcBorders>
          </w:tcPr>
          <w:p w14:paraId="56A10183" w14:textId="77777777" w:rsidR="00265766" w:rsidRPr="009E686F" w:rsidRDefault="00265766" w:rsidP="00265766">
            <w:pPr>
              <w:jc w:val="both"/>
              <w:rPr>
                <w:rFonts w:ascii="Times New Roman" w:hAnsi="Times New Roman" w:cs="Times New Roman"/>
              </w:rPr>
            </w:pPr>
          </w:p>
        </w:tc>
        <w:tc>
          <w:tcPr>
            <w:tcW w:w="806" w:type="pct"/>
            <w:tcBorders>
              <w:top w:val="single" w:sz="4" w:space="0" w:color="auto"/>
              <w:left w:val="single" w:sz="4" w:space="0" w:color="auto"/>
              <w:bottom w:val="single" w:sz="4" w:space="0" w:color="auto"/>
              <w:right w:val="single" w:sz="4" w:space="0" w:color="auto"/>
            </w:tcBorders>
          </w:tcPr>
          <w:p w14:paraId="24A3ABD1" w14:textId="27C89FA3" w:rsidR="00265766" w:rsidRPr="009E686F" w:rsidRDefault="00265766" w:rsidP="00265766">
            <w:pPr>
              <w:spacing w:after="0"/>
              <w:jc w:val="both"/>
              <w:rPr>
                <w:rFonts w:ascii="Times New Roman" w:hAnsi="Times New Roman" w:cs="Times New Roman"/>
              </w:rPr>
            </w:pPr>
          </w:p>
        </w:tc>
      </w:tr>
      <w:tr w:rsidR="00265766" w:rsidRPr="009E686F" w14:paraId="3B2722D8" w14:textId="77777777" w:rsidTr="00960C23">
        <w:tc>
          <w:tcPr>
            <w:tcW w:w="1890" w:type="pct"/>
            <w:tcBorders>
              <w:top w:val="single" w:sz="4" w:space="0" w:color="auto"/>
              <w:left w:val="single" w:sz="4" w:space="0" w:color="auto"/>
              <w:bottom w:val="single" w:sz="4" w:space="0" w:color="auto"/>
              <w:right w:val="single" w:sz="4" w:space="0" w:color="auto"/>
            </w:tcBorders>
          </w:tcPr>
          <w:p w14:paraId="0C68CE6D" w14:textId="75A8F3C1" w:rsidR="00265766" w:rsidRPr="009E686F" w:rsidRDefault="00265766" w:rsidP="00265766">
            <w:pPr>
              <w:spacing w:after="0"/>
              <w:jc w:val="both"/>
              <w:rPr>
                <w:rFonts w:ascii="Times New Roman" w:hAnsi="Times New Roman" w:cs="Times New Roman"/>
              </w:rPr>
            </w:pPr>
            <w:r w:rsidRPr="009E686F">
              <w:rPr>
                <w:rFonts w:ascii="Times New Roman" w:hAnsi="Times New Roman" w:cs="Times New Roman"/>
              </w:rPr>
              <w:t>(1) Înainte ca sucursala unei instituții de credit să își înceapă activitatea, autoritățile competente din statul membru gazdă, în termen de două luni de la primirea informațiilor menționate la articolul 35, organizează supravegherea instituției de credit în conformitate cu capitolul 4 indicând, în cazul în care este necesar, și condițiile în care, din motive de interes general, pot fi desfășurate activitățile respective în statul membru gazdă.</w:t>
            </w:r>
          </w:p>
        </w:tc>
        <w:tc>
          <w:tcPr>
            <w:tcW w:w="1834" w:type="pct"/>
            <w:tcBorders>
              <w:top w:val="single" w:sz="4" w:space="0" w:color="auto"/>
              <w:left w:val="single" w:sz="4" w:space="0" w:color="auto"/>
              <w:bottom w:val="single" w:sz="4" w:space="0" w:color="auto"/>
              <w:right w:val="single" w:sz="4" w:space="0" w:color="auto"/>
            </w:tcBorders>
          </w:tcPr>
          <w:p w14:paraId="3467CEEF" w14:textId="74BF06FE" w:rsidR="00265766" w:rsidRPr="009E686F" w:rsidRDefault="00265766" w:rsidP="00265766">
            <w:pPr>
              <w:spacing w:after="0"/>
              <w:jc w:val="both"/>
              <w:rPr>
                <w:rFonts w:ascii="Times New Roman" w:hAnsi="Times New Roman" w:cs="Times New Roman"/>
                <w:b/>
                <w:lang w:val="it-CH"/>
              </w:rPr>
            </w:pPr>
            <w:r w:rsidRPr="009E686F">
              <w:rPr>
                <w:rFonts w:ascii="Times New Roman" w:hAnsi="Times New Roman" w:cs="Times New Roman"/>
                <w:b/>
                <w:lang w:val="it-CH"/>
              </w:rPr>
              <w:t>Articolul 23</w:t>
            </w:r>
            <w:r w:rsidRPr="009E686F">
              <w:rPr>
                <w:rFonts w:ascii="Times New Roman" w:hAnsi="Times New Roman" w:cs="Times New Roman"/>
                <w:b/>
                <w:vertAlign w:val="superscript"/>
                <w:lang w:val="it-CH"/>
              </w:rPr>
              <w:t>2</w:t>
            </w:r>
            <w:r w:rsidRPr="009E686F">
              <w:rPr>
                <w:rFonts w:ascii="Times New Roman" w:hAnsi="Times New Roman" w:cs="Times New Roman"/>
                <w:b/>
                <w:lang w:val="it-CH"/>
              </w:rPr>
              <w:t xml:space="preserve"> alin. (4)</w:t>
            </w:r>
          </w:p>
          <w:p w14:paraId="156B60E7" w14:textId="277676B9" w:rsidR="00265766" w:rsidRPr="009E686F" w:rsidRDefault="00265766" w:rsidP="00265766">
            <w:pPr>
              <w:spacing w:after="0"/>
              <w:jc w:val="both"/>
              <w:rPr>
                <w:rFonts w:ascii="Times New Roman" w:hAnsi="Times New Roman" w:cs="Times New Roman"/>
                <w:i/>
                <w:lang w:val="it-CH"/>
              </w:rPr>
            </w:pPr>
            <w:r w:rsidRPr="009E686F">
              <w:rPr>
                <w:rFonts w:ascii="Times New Roman" w:hAnsi="Times New Roman" w:cs="Times New Roman"/>
                <w:i/>
                <w:lang w:val="it-CH"/>
              </w:rPr>
              <w:t>(4) Înainte de începerea activităţii sucursalei unei instituții de credit dintr-un stat membru, în termen de 2 luni de la primirea notificării, precum și a documentelor și informațiilor prevăzute la alin. (2), Banca Naţională a Moldovei întreprinde măsurile necesare, în conformitate cu prezentul capitol, pentru realizarea supravegherii instituției de credit în cauză de către autoritatea competentă din statul membru de origine și comunică instituţiei de credit respective, dacă este cazul, lista actelor normative din Republica Moldova, adoptate în scopul protejării interesului general, care reglementează condiţii specifice în care anumite activităţi pot fi desfăşurate.</w:t>
            </w:r>
          </w:p>
        </w:tc>
        <w:tc>
          <w:tcPr>
            <w:tcW w:w="470" w:type="pct"/>
            <w:tcBorders>
              <w:top w:val="single" w:sz="4" w:space="0" w:color="auto"/>
              <w:left w:val="single" w:sz="4" w:space="0" w:color="auto"/>
              <w:bottom w:val="single" w:sz="4" w:space="0" w:color="auto"/>
              <w:right w:val="single" w:sz="4" w:space="0" w:color="auto"/>
            </w:tcBorders>
          </w:tcPr>
          <w:p w14:paraId="00B9E142" w14:textId="698D28BD" w:rsidR="00265766" w:rsidRPr="009E686F" w:rsidRDefault="00265766" w:rsidP="00265766">
            <w:pPr>
              <w:jc w:val="both"/>
              <w:rPr>
                <w:rFonts w:ascii="Times New Roman" w:hAnsi="Times New Roman" w:cs="Times New Roman"/>
              </w:rPr>
            </w:pPr>
            <w:r w:rsidRPr="009E686F">
              <w:rPr>
                <w:rFonts w:ascii="Times New Roman" w:hAnsi="Times New Roman" w:cs="Times New Roman"/>
              </w:rPr>
              <w:t>Compatibil</w:t>
            </w:r>
          </w:p>
          <w:p w14:paraId="69C8A054" w14:textId="253F7A0E" w:rsidR="00265766" w:rsidRPr="009E686F" w:rsidRDefault="00265766" w:rsidP="00265766">
            <w:pPr>
              <w:jc w:val="both"/>
              <w:rPr>
                <w:rFonts w:ascii="Times New Roman" w:hAnsi="Times New Roman" w:cs="Times New Roman"/>
              </w:rPr>
            </w:pPr>
          </w:p>
        </w:tc>
        <w:tc>
          <w:tcPr>
            <w:tcW w:w="806" w:type="pct"/>
            <w:tcBorders>
              <w:top w:val="single" w:sz="4" w:space="0" w:color="auto"/>
              <w:left w:val="single" w:sz="4" w:space="0" w:color="auto"/>
              <w:bottom w:val="single" w:sz="4" w:space="0" w:color="auto"/>
              <w:right w:val="single" w:sz="4" w:space="0" w:color="auto"/>
            </w:tcBorders>
          </w:tcPr>
          <w:p w14:paraId="6D5D8E7A" w14:textId="77777777" w:rsidR="00D02498" w:rsidRPr="009E686F" w:rsidRDefault="00D02498" w:rsidP="00D02498">
            <w:pPr>
              <w:rPr>
                <w:lang w:val="it-CH"/>
              </w:rPr>
            </w:pPr>
            <w:r w:rsidRPr="009E686F">
              <w:rPr>
                <w:rFonts w:ascii="Times New Roman" w:hAnsi="Times New Roman" w:cs="Times New Roman"/>
                <w:lang w:val="ro-RO"/>
              </w:rPr>
              <w:t>În vigoare –5 ani de la data aderării.</w:t>
            </w:r>
          </w:p>
          <w:p w14:paraId="36807C93" w14:textId="79C3DB7F" w:rsidR="00265766" w:rsidRPr="009E686F" w:rsidRDefault="00265766" w:rsidP="00265766">
            <w:pPr>
              <w:spacing w:after="0"/>
              <w:jc w:val="both"/>
              <w:rPr>
                <w:rFonts w:ascii="Times New Roman" w:hAnsi="Times New Roman" w:cs="Times New Roman"/>
                <w:lang w:val="it-CH"/>
              </w:rPr>
            </w:pPr>
          </w:p>
        </w:tc>
      </w:tr>
      <w:tr w:rsidR="00265766" w:rsidRPr="009E686F" w14:paraId="326ACF8B" w14:textId="77777777" w:rsidTr="00960C23">
        <w:tc>
          <w:tcPr>
            <w:tcW w:w="1890" w:type="pct"/>
            <w:tcBorders>
              <w:top w:val="single" w:sz="4" w:space="0" w:color="auto"/>
              <w:left w:val="single" w:sz="4" w:space="0" w:color="auto"/>
              <w:bottom w:val="single" w:sz="4" w:space="0" w:color="auto"/>
              <w:right w:val="single" w:sz="4" w:space="0" w:color="auto"/>
            </w:tcBorders>
          </w:tcPr>
          <w:p w14:paraId="62930A6D" w14:textId="4846D50E"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 xml:space="preserve">(2) La primirea unei comunicări din partea autorităților competente din statul membru gazdă sau în cazul în care </w:t>
            </w:r>
            <w:r w:rsidRPr="009E686F">
              <w:rPr>
                <w:rFonts w:ascii="Times New Roman" w:hAnsi="Times New Roman" w:cs="Times New Roman"/>
                <w:lang w:val="it-CH"/>
              </w:rPr>
              <w:lastRenderedPageBreak/>
              <w:t>perioada menționată la alineatul (1) expiră fără a se primi nicio comunicare din partea statului membru gazdă, sucursala poate fi înființată și își poate începe activitatea.</w:t>
            </w:r>
          </w:p>
        </w:tc>
        <w:tc>
          <w:tcPr>
            <w:tcW w:w="1834" w:type="pct"/>
            <w:tcBorders>
              <w:top w:val="single" w:sz="4" w:space="0" w:color="auto"/>
              <w:left w:val="single" w:sz="4" w:space="0" w:color="auto"/>
              <w:bottom w:val="single" w:sz="4" w:space="0" w:color="auto"/>
              <w:right w:val="single" w:sz="4" w:space="0" w:color="auto"/>
            </w:tcBorders>
          </w:tcPr>
          <w:p w14:paraId="4EAC4584" w14:textId="4A12D9BA" w:rsidR="00265766" w:rsidRPr="009E686F" w:rsidRDefault="00265766" w:rsidP="00265766">
            <w:pPr>
              <w:spacing w:after="0"/>
              <w:jc w:val="both"/>
              <w:rPr>
                <w:rFonts w:ascii="Times New Roman" w:hAnsi="Times New Roman" w:cs="Times New Roman"/>
                <w:b/>
                <w:bCs/>
                <w:lang w:val="it-IT"/>
              </w:rPr>
            </w:pPr>
            <w:r w:rsidRPr="009E686F">
              <w:rPr>
                <w:rFonts w:ascii="Times New Roman" w:hAnsi="Times New Roman" w:cs="Times New Roman"/>
                <w:b/>
                <w:bCs/>
                <w:lang w:val="it-IT"/>
              </w:rPr>
              <w:lastRenderedPageBreak/>
              <w:t>Articolul 23</w:t>
            </w:r>
            <w:r w:rsidRPr="009E686F">
              <w:rPr>
                <w:rFonts w:ascii="Times New Roman" w:hAnsi="Times New Roman" w:cs="Times New Roman"/>
                <w:b/>
                <w:bCs/>
                <w:vertAlign w:val="superscript"/>
                <w:lang w:val="it-IT"/>
              </w:rPr>
              <w:t>2</w:t>
            </w:r>
            <w:r w:rsidRPr="009E686F">
              <w:rPr>
                <w:rFonts w:ascii="Times New Roman" w:hAnsi="Times New Roman" w:cs="Times New Roman"/>
                <w:b/>
                <w:bCs/>
                <w:lang w:val="it-IT"/>
              </w:rPr>
              <w:t xml:space="preserve"> alin. (5)</w:t>
            </w:r>
          </w:p>
          <w:p w14:paraId="3358896E" w14:textId="1218F606" w:rsidR="00265766" w:rsidRPr="009E686F" w:rsidRDefault="00265766" w:rsidP="00265766">
            <w:pPr>
              <w:spacing w:after="0"/>
              <w:jc w:val="both"/>
              <w:rPr>
                <w:rFonts w:ascii="Times New Roman" w:hAnsi="Times New Roman" w:cs="Times New Roman"/>
                <w:bCs/>
                <w:i/>
                <w:iCs/>
                <w:lang w:val="it-IT"/>
              </w:rPr>
            </w:pPr>
            <w:r w:rsidRPr="009E686F">
              <w:rPr>
                <w:rFonts w:ascii="Times New Roman" w:hAnsi="Times New Roman" w:cs="Times New Roman"/>
                <w:bCs/>
                <w:i/>
                <w:iCs/>
                <w:lang w:val="it-IT"/>
              </w:rPr>
              <w:lastRenderedPageBreak/>
              <w:t>(5) Sucursala poate să înceapă să-și desfășoare activitatea de la data primirii comunicării cu privire la lista actelor normative prevăzute la alin. (4) sau, în lipsa unei comunicări, de la data expirării termenului de 2 luni prevăzut la alin. (4).</w:t>
            </w:r>
          </w:p>
        </w:tc>
        <w:tc>
          <w:tcPr>
            <w:tcW w:w="470" w:type="pct"/>
            <w:tcBorders>
              <w:top w:val="single" w:sz="4" w:space="0" w:color="auto"/>
              <w:left w:val="single" w:sz="4" w:space="0" w:color="auto"/>
              <w:bottom w:val="single" w:sz="4" w:space="0" w:color="auto"/>
              <w:right w:val="single" w:sz="4" w:space="0" w:color="auto"/>
            </w:tcBorders>
          </w:tcPr>
          <w:p w14:paraId="49FC1DEF" w14:textId="6B45ED12" w:rsidR="00265766" w:rsidRPr="009E686F" w:rsidRDefault="00265766" w:rsidP="00265766">
            <w:pPr>
              <w:jc w:val="both"/>
              <w:rPr>
                <w:rFonts w:ascii="Times New Roman" w:hAnsi="Times New Roman" w:cs="Times New Roman"/>
              </w:rPr>
            </w:pPr>
            <w:r w:rsidRPr="009E686F">
              <w:rPr>
                <w:rFonts w:ascii="Times New Roman" w:hAnsi="Times New Roman" w:cs="Times New Roman"/>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2FD6594D" w14:textId="77777777" w:rsidR="00D02498" w:rsidRPr="009E686F" w:rsidRDefault="00D02498" w:rsidP="00D02498">
            <w:pPr>
              <w:rPr>
                <w:lang w:val="it-CH"/>
              </w:rPr>
            </w:pPr>
            <w:r w:rsidRPr="009E686F">
              <w:rPr>
                <w:rFonts w:ascii="Times New Roman" w:hAnsi="Times New Roman" w:cs="Times New Roman"/>
                <w:lang w:val="ro-RO"/>
              </w:rPr>
              <w:t>În vigoare –5 ani de la data aderării.</w:t>
            </w:r>
          </w:p>
          <w:p w14:paraId="4ED75238" w14:textId="50BBA6D5" w:rsidR="00265766" w:rsidRPr="009E686F" w:rsidRDefault="00265766" w:rsidP="00265766">
            <w:pPr>
              <w:spacing w:after="0"/>
              <w:jc w:val="both"/>
              <w:rPr>
                <w:rFonts w:ascii="Times New Roman" w:hAnsi="Times New Roman" w:cs="Times New Roman"/>
                <w:lang w:val="it-CH"/>
              </w:rPr>
            </w:pPr>
          </w:p>
        </w:tc>
      </w:tr>
      <w:tr w:rsidR="00265766" w:rsidRPr="009E686F" w14:paraId="006950C3" w14:textId="77777777" w:rsidTr="00960C23">
        <w:tc>
          <w:tcPr>
            <w:tcW w:w="1890" w:type="pct"/>
            <w:tcBorders>
              <w:top w:val="single" w:sz="4" w:space="0" w:color="auto"/>
              <w:left w:val="single" w:sz="4" w:space="0" w:color="auto"/>
              <w:bottom w:val="single" w:sz="4" w:space="0" w:color="auto"/>
              <w:right w:val="single" w:sz="4" w:space="0" w:color="auto"/>
            </w:tcBorders>
          </w:tcPr>
          <w:p w14:paraId="586EEB30" w14:textId="7AA8FDF2"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lastRenderedPageBreak/>
              <w:t>(3) În cazul modificării oricăreia dintre informațiile comunicate în conformitate cu articolul 35 alineatul (2) literele (b), (c) sau (d), instituția de credit notifică în scris autoritățile competente din statul membru de origine și statul membru gazdă, cu cel puțin o lună înainte de modificarea respectivă, pentru a permite autorităților competente din statul membru de origine să ia o decizie în urma unei notificări în temeiul articolului 35 și, de asemenea, pentru a permite autorităților competente din statul membru gazdă să ia o decizie de stabilire a condițiilor pentru efectuarea modificării, în conformitate cu dispozițiile alineatului (1) din prezentul articol.</w:t>
            </w:r>
          </w:p>
        </w:tc>
        <w:tc>
          <w:tcPr>
            <w:tcW w:w="1834" w:type="pct"/>
            <w:tcBorders>
              <w:top w:val="single" w:sz="4" w:space="0" w:color="auto"/>
              <w:left w:val="single" w:sz="4" w:space="0" w:color="auto"/>
              <w:bottom w:val="single" w:sz="4" w:space="0" w:color="auto"/>
              <w:right w:val="single" w:sz="4" w:space="0" w:color="auto"/>
            </w:tcBorders>
          </w:tcPr>
          <w:p w14:paraId="4F0DE054" w14:textId="77777777" w:rsidR="00265766" w:rsidRPr="009E686F" w:rsidRDefault="00265766" w:rsidP="00265766">
            <w:pPr>
              <w:spacing w:after="0"/>
              <w:jc w:val="both"/>
              <w:rPr>
                <w:rFonts w:ascii="Times New Roman" w:hAnsi="Times New Roman" w:cs="Times New Roman"/>
                <w:b/>
                <w:bCs/>
                <w:lang w:val="it-CH"/>
              </w:rPr>
            </w:pPr>
            <w:r w:rsidRPr="009E686F">
              <w:rPr>
                <w:rFonts w:ascii="Times New Roman" w:hAnsi="Times New Roman" w:cs="Times New Roman"/>
                <w:b/>
                <w:bCs/>
                <w:lang w:val="it-CH"/>
              </w:rPr>
              <w:t>Articolul 23</w:t>
            </w:r>
            <w:r w:rsidRPr="009E686F">
              <w:rPr>
                <w:rFonts w:ascii="Times New Roman" w:hAnsi="Times New Roman" w:cs="Times New Roman"/>
                <w:b/>
                <w:bCs/>
                <w:vertAlign w:val="superscript"/>
                <w:lang w:val="it-CH"/>
              </w:rPr>
              <w:t>2</w:t>
            </w:r>
            <w:r w:rsidRPr="009E686F">
              <w:rPr>
                <w:rFonts w:ascii="Times New Roman" w:hAnsi="Times New Roman" w:cs="Times New Roman"/>
                <w:b/>
                <w:bCs/>
                <w:lang w:val="it-CH"/>
              </w:rPr>
              <w:t xml:space="preserve"> alin. (7)</w:t>
            </w:r>
          </w:p>
          <w:p w14:paraId="2BCF72A0" w14:textId="2B2B7BCA" w:rsidR="00265766" w:rsidRPr="009E686F" w:rsidRDefault="00265766" w:rsidP="00265766">
            <w:pPr>
              <w:spacing w:after="0"/>
              <w:jc w:val="both"/>
              <w:rPr>
                <w:rFonts w:ascii="Times New Roman" w:hAnsi="Times New Roman" w:cs="Times New Roman"/>
                <w:bCs/>
                <w:i/>
                <w:iCs/>
                <w:lang w:val="it-CH"/>
              </w:rPr>
            </w:pPr>
            <w:r w:rsidRPr="009E686F">
              <w:rPr>
                <w:rFonts w:ascii="Times New Roman" w:hAnsi="Times New Roman" w:cs="Times New Roman"/>
                <w:bCs/>
                <w:i/>
                <w:iCs/>
                <w:lang w:val="it-CH"/>
              </w:rPr>
              <w:t>(7) Orice intenţie de modificare a informaţiilor prevăzute la alin. (2) lit. b)-c), se notifică în scris Băncii Naţionale a Moldovei de către instituția de credit în cauză, cu cel puţin o lună înainte de data la care modificarea urmează să fie efectuată, termen în care Banca Națională a Moldovei trebuie să comunice instituției de credit, dacă este necesar, noile condiţii în care activitatea urmează să fie desfăşurată pe teritoriul Republicii Moldova.</w:t>
            </w:r>
          </w:p>
          <w:p w14:paraId="1E638B63" w14:textId="77777777" w:rsidR="00265766" w:rsidRPr="009E686F" w:rsidRDefault="00265766" w:rsidP="00265766">
            <w:pPr>
              <w:spacing w:after="0"/>
              <w:jc w:val="both"/>
              <w:rPr>
                <w:rFonts w:ascii="Times New Roman" w:hAnsi="Times New Roman" w:cs="Times New Roman"/>
                <w:bCs/>
                <w:i/>
                <w:iCs/>
                <w:lang w:val="it-CH"/>
              </w:rPr>
            </w:pPr>
          </w:p>
          <w:p w14:paraId="37396C41" w14:textId="05EEB2D5" w:rsidR="00265766" w:rsidRPr="009E686F" w:rsidRDefault="00265766" w:rsidP="00265766">
            <w:pPr>
              <w:spacing w:after="0"/>
              <w:jc w:val="both"/>
              <w:rPr>
                <w:rFonts w:ascii="Times New Roman" w:hAnsi="Times New Roman" w:cs="Times New Roman"/>
                <w:bCs/>
                <w:lang w:val="it-IT"/>
              </w:rPr>
            </w:pPr>
            <w:r w:rsidRPr="009E686F">
              <w:rPr>
                <w:rFonts w:ascii="Times New Roman" w:hAnsi="Times New Roman" w:cs="Times New Roman"/>
                <w:b/>
                <w:bCs/>
                <w:lang w:val="it-IT"/>
              </w:rPr>
              <w:t>Articolul 32</w:t>
            </w:r>
            <w:r w:rsidRPr="009E686F">
              <w:rPr>
                <w:rFonts w:ascii="Times New Roman" w:hAnsi="Times New Roman" w:cs="Times New Roman"/>
                <w:b/>
                <w:bCs/>
                <w:vertAlign w:val="superscript"/>
                <w:lang w:val="it-IT"/>
              </w:rPr>
              <w:t>1</w:t>
            </w:r>
            <w:r w:rsidRPr="009E686F">
              <w:rPr>
                <w:rFonts w:ascii="Times New Roman" w:hAnsi="Times New Roman" w:cs="Times New Roman"/>
                <w:b/>
                <w:bCs/>
                <w:lang w:val="it-IT"/>
              </w:rPr>
              <w:t xml:space="preserve"> alin. (7)</w:t>
            </w:r>
          </w:p>
          <w:p w14:paraId="14E71CD4" w14:textId="088867B6" w:rsidR="00265766" w:rsidRPr="009E686F" w:rsidRDefault="00265766" w:rsidP="00265766">
            <w:pPr>
              <w:spacing w:after="0"/>
              <w:jc w:val="both"/>
              <w:rPr>
                <w:rFonts w:ascii="Times New Roman" w:hAnsi="Times New Roman" w:cs="Times New Roman"/>
                <w:bCs/>
                <w:i/>
                <w:iCs/>
                <w:lang w:val="it-IT"/>
              </w:rPr>
            </w:pPr>
            <w:r w:rsidRPr="009E686F">
              <w:rPr>
                <w:rFonts w:ascii="Times New Roman" w:hAnsi="Times New Roman" w:cs="Times New Roman"/>
                <w:bCs/>
                <w:i/>
                <w:iCs/>
                <w:lang w:val="it-IT"/>
              </w:rPr>
              <w:t xml:space="preserve">(7) Orice intenţie de modificare a informaţiilor prevăzute la alin. </w:t>
            </w:r>
            <w:r w:rsidRPr="009E686F">
              <w:rPr>
                <w:rFonts w:ascii="Times New Roman" w:hAnsi="Times New Roman" w:cs="Times New Roman"/>
                <w:bCs/>
                <w:i/>
                <w:iCs/>
              </w:rPr>
              <w:t>(2) lit. b)-d)</w:t>
            </w:r>
            <w:r w:rsidR="004C3D35" w:rsidRPr="009E686F">
              <w:t xml:space="preserve"> </w:t>
            </w:r>
            <w:r w:rsidR="004C3D35" w:rsidRPr="009E686F">
              <w:rPr>
                <w:rFonts w:ascii="Times New Roman" w:hAnsi="Times New Roman" w:cs="Times New Roman"/>
                <w:bCs/>
                <w:i/>
                <w:iCs/>
              </w:rPr>
              <w:t xml:space="preserve">care are loc ulterior transmiterii notificării conform alin. </w:t>
            </w:r>
            <w:r w:rsidR="004C3D35" w:rsidRPr="009E686F">
              <w:rPr>
                <w:rFonts w:ascii="Times New Roman" w:hAnsi="Times New Roman" w:cs="Times New Roman"/>
                <w:bCs/>
                <w:i/>
                <w:iCs/>
                <w:lang w:val="it-IT"/>
              </w:rPr>
              <w:t>(2) sau (3)</w:t>
            </w:r>
            <w:r w:rsidRPr="009E686F">
              <w:rPr>
                <w:rFonts w:ascii="Times New Roman" w:hAnsi="Times New Roman" w:cs="Times New Roman"/>
                <w:bCs/>
                <w:i/>
                <w:iCs/>
                <w:lang w:val="it-IT"/>
              </w:rPr>
              <w:t>, se notifică în scris Băncii Naţionale a Moldovei și autorității competente din statul membru gazdă de către instituția de credit în cauză, cu cel puţin o lună înainte de data la care modificarea urmează să fie efectuată. În cazul în care, Banca Națională a Moldovei nu are obiecții cu privire continuarea activității sucursalei urmare modificărilor informațiilor conform prezentului alineat, aceasta comunică instituției de credit decizia sa</w:t>
            </w:r>
            <w:r w:rsidR="004C3D35" w:rsidRPr="009E686F">
              <w:rPr>
                <w:lang w:val="it-IT"/>
              </w:rPr>
              <w:t xml:space="preserve"> </w:t>
            </w:r>
            <w:r w:rsidR="004C3D35" w:rsidRPr="009E686F">
              <w:rPr>
                <w:rFonts w:ascii="Times New Roman" w:hAnsi="Times New Roman" w:cs="Times New Roman"/>
                <w:bCs/>
                <w:i/>
                <w:iCs/>
                <w:lang w:val="it-IT"/>
              </w:rPr>
              <w:t>privind existența sau inexistența motivelor potrivit alin. (4), respectiv alin. (5), nu mai târziu de 2 zile lucrătoare de la data emiterii deciziei</w:t>
            </w:r>
            <w:r w:rsidRPr="009E686F">
              <w:rPr>
                <w:rFonts w:ascii="Times New Roman" w:hAnsi="Times New Roman" w:cs="Times New Roman"/>
                <w:bCs/>
                <w:i/>
                <w:iCs/>
                <w:lang w:val="it-IT"/>
              </w:rPr>
              <w:t>.</w:t>
            </w:r>
          </w:p>
        </w:tc>
        <w:tc>
          <w:tcPr>
            <w:tcW w:w="470" w:type="pct"/>
            <w:tcBorders>
              <w:top w:val="single" w:sz="4" w:space="0" w:color="auto"/>
              <w:left w:val="single" w:sz="4" w:space="0" w:color="auto"/>
              <w:bottom w:val="single" w:sz="4" w:space="0" w:color="auto"/>
              <w:right w:val="single" w:sz="4" w:space="0" w:color="auto"/>
            </w:tcBorders>
          </w:tcPr>
          <w:p w14:paraId="0F0D2236" w14:textId="4A289D45" w:rsidR="00265766" w:rsidRPr="009E686F" w:rsidRDefault="00265766" w:rsidP="00265766">
            <w:pPr>
              <w:jc w:val="both"/>
              <w:rPr>
                <w:rFonts w:ascii="Times New Roman" w:hAnsi="Times New Roman" w:cs="Times New Roman"/>
              </w:rPr>
            </w:pPr>
            <w:r w:rsidRPr="009E686F">
              <w:rPr>
                <w:rFonts w:ascii="Times New Roman" w:hAnsi="Times New Roman" w:cs="Times New Roman"/>
              </w:rPr>
              <w:t xml:space="preserve">Compatibil </w:t>
            </w:r>
          </w:p>
        </w:tc>
        <w:tc>
          <w:tcPr>
            <w:tcW w:w="806" w:type="pct"/>
            <w:tcBorders>
              <w:top w:val="single" w:sz="4" w:space="0" w:color="auto"/>
              <w:left w:val="single" w:sz="4" w:space="0" w:color="auto"/>
              <w:bottom w:val="single" w:sz="4" w:space="0" w:color="auto"/>
              <w:right w:val="single" w:sz="4" w:space="0" w:color="auto"/>
            </w:tcBorders>
          </w:tcPr>
          <w:p w14:paraId="654D0311" w14:textId="77777777" w:rsidR="00D02498" w:rsidRPr="009E686F" w:rsidRDefault="00D02498" w:rsidP="00D02498">
            <w:pPr>
              <w:rPr>
                <w:lang w:val="it-CH"/>
              </w:rPr>
            </w:pPr>
            <w:r w:rsidRPr="009E686F">
              <w:rPr>
                <w:rFonts w:ascii="Times New Roman" w:hAnsi="Times New Roman" w:cs="Times New Roman"/>
                <w:lang w:val="ro-RO"/>
              </w:rPr>
              <w:t>În vigoare –5 ani de la data aderării.</w:t>
            </w:r>
          </w:p>
          <w:p w14:paraId="28956259" w14:textId="68152A85" w:rsidR="00265766" w:rsidRPr="009E686F" w:rsidRDefault="00265766" w:rsidP="00265766">
            <w:pPr>
              <w:spacing w:after="0"/>
              <w:jc w:val="both"/>
              <w:rPr>
                <w:rFonts w:ascii="Times New Roman" w:hAnsi="Times New Roman" w:cs="Times New Roman"/>
                <w:lang w:val="it-CH"/>
              </w:rPr>
            </w:pPr>
          </w:p>
        </w:tc>
      </w:tr>
      <w:tr w:rsidR="00265766" w:rsidRPr="009E686F" w14:paraId="1FC8C3C3" w14:textId="77777777" w:rsidTr="00960C23">
        <w:tc>
          <w:tcPr>
            <w:tcW w:w="1890" w:type="pct"/>
            <w:tcBorders>
              <w:top w:val="single" w:sz="4" w:space="0" w:color="auto"/>
              <w:left w:val="single" w:sz="4" w:space="0" w:color="auto"/>
              <w:bottom w:val="single" w:sz="4" w:space="0" w:color="auto"/>
              <w:right w:val="single" w:sz="4" w:space="0" w:color="auto"/>
            </w:tcBorders>
          </w:tcPr>
          <w:p w14:paraId="73835EF5" w14:textId="5708A57E"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 xml:space="preserve">(4) Se consideră că sucursalele care și-au început deja activitatea, în conformitate cu dispozițiile în vigoare în statele membre gazdă, înainte de 1 ianuarie 1993, au făcut deja </w:t>
            </w:r>
            <w:r w:rsidRPr="009E686F">
              <w:rPr>
                <w:rFonts w:ascii="Times New Roman" w:hAnsi="Times New Roman" w:cs="Times New Roman"/>
                <w:lang w:val="it-CH"/>
              </w:rPr>
              <w:lastRenderedPageBreak/>
              <w:t>obiectul procedurilor prevăzute la articolul 35 și la alineatele (1) și (2) din prezentul articol. Începând cu 1 ianuarie 1993, sucursalele respective intră sub incidența alineatului (3) din prezentul articol, a articolelor 33 și 52, precum și a capitolului 4.</w:t>
            </w:r>
          </w:p>
        </w:tc>
        <w:tc>
          <w:tcPr>
            <w:tcW w:w="1834" w:type="pct"/>
            <w:tcBorders>
              <w:top w:val="single" w:sz="4" w:space="0" w:color="auto"/>
              <w:left w:val="single" w:sz="4" w:space="0" w:color="auto"/>
              <w:bottom w:val="single" w:sz="4" w:space="0" w:color="auto"/>
              <w:right w:val="single" w:sz="4" w:space="0" w:color="auto"/>
            </w:tcBorders>
          </w:tcPr>
          <w:p w14:paraId="2E6BA57B" w14:textId="77777777" w:rsidR="00265766" w:rsidRPr="009E686F" w:rsidRDefault="00265766" w:rsidP="00265766">
            <w:pPr>
              <w:spacing w:after="0"/>
              <w:jc w:val="both"/>
              <w:rPr>
                <w:rFonts w:ascii="Times New Roman" w:hAnsi="Times New Roman" w:cs="Times New Roman"/>
                <w:bCs/>
                <w:lang w:val="it-CH"/>
              </w:rPr>
            </w:pPr>
          </w:p>
        </w:tc>
        <w:tc>
          <w:tcPr>
            <w:tcW w:w="470" w:type="pct"/>
            <w:tcBorders>
              <w:top w:val="single" w:sz="4" w:space="0" w:color="auto"/>
              <w:left w:val="single" w:sz="4" w:space="0" w:color="auto"/>
              <w:bottom w:val="single" w:sz="4" w:space="0" w:color="auto"/>
              <w:right w:val="single" w:sz="4" w:space="0" w:color="auto"/>
            </w:tcBorders>
          </w:tcPr>
          <w:p w14:paraId="4F048A8F" w14:textId="1547D3F9" w:rsidR="00265766" w:rsidRPr="009E686F" w:rsidRDefault="00265766" w:rsidP="00265766">
            <w:pPr>
              <w:jc w:val="both"/>
              <w:rPr>
                <w:rFonts w:ascii="Times New Roman" w:hAnsi="Times New Roman" w:cs="Times New Roman"/>
              </w:rPr>
            </w:pPr>
            <w:r w:rsidRPr="009E686F">
              <w:rPr>
                <w:rFonts w:ascii="Times New Roman" w:hAnsi="Times New Roman" w:cs="Times New Roman"/>
              </w:rPr>
              <w:t>Norme UE neaplicabile</w:t>
            </w:r>
          </w:p>
          <w:p w14:paraId="69B3D52E" w14:textId="2E1252E6" w:rsidR="00265766" w:rsidRPr="009E686F" w:rsidRDefault="00265766" w:rsidP="00265766">
            <w:pPr>
              <w:jc w:val="both"/>
              <w:rPr>
                <w:rFonts w:ascii="Times New Roman" w:hAnsi="Times New Roman" w:cs="Times New Roman"/>
              </w:rPr>
            </w:pPr>
          </w:p>
        </w:tc>
        <w:tc>
          <w:tcPr>
            <w:tcW w:w="806" w:type="pct"/>
            <w:tcBorders>
              <w:top w:val="single" w:sz="4" w:space="0" w:color="auto"/>
              <w:left w:val="single" w:sz="4" w:space="0" w:color="auto"/>
              <w:bottom w:val="single" w:sz="4" w:space="0" w:color="auto"/>
              <w:right w:val="single" w:sz="4" w:space="0" w:color="auto"/>
            </w:tcBorders>
          </w:tcPr>
          <w:p w14:paraId="17FC7275" w14:textId="09168E90"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lastRenderedPageBreak/>
              <w:t>Se referă la sucursalele instituțiilor de credit din UE până în 1993.</w:t>
            </w:r>
          </w:p>
        </w:tc>
      </w:tr>
      <w:tr w:rsidR="00265766" w:rsidRPr="009E686F" w14:paraId="37BCBD21" w14:textId="77777777" w:rsidTr="00960C23">
        <w:tc>
          <w:tcPr>
            <w:tcW w:w="1890" w:type="pct"/>
            <w:tcBorders>
              <w:top w:val="single" w:sz="4" w:space="0" w:color="auto"/>
              <w:left w:val="single" w:sz="4" w:space="0" w:color="auto"/>
              <w:bottom w:val="single" w:sz="4" w:space="0" w:color="auto"/>
              <w:right w:val="single" w:sz="4" w:space="0" w:color="auto"/>
            </w:tcBorders>
          </w:tcPr>
          <w:p w14:paraId="5BCB8DE8" w14:textId="48CE809D"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(5) ABE elaborează proiecte de standarde tehnice de reglementare pentru a preciza informațiile de notificat în conformitate cu prezentul articol.</w:t>
            </w:r>
          </w:p>
          <w:p w14:paraId="2B0FEA01" w14:textId="77777777" w:rsidR="00265766" w:rsidRPr="009E686F" w:rsidRDefault="00265766" w:rsidP="00265766">
            <w:pPr>
              <w:spacing w:after="0"/>
              <w:jc w:val="both"/>
              <w:rPr>
                <w:rFonts w:ascii="Times New Roman" w:hAnsi="Times New Roman" w:cs="Times New Roman"/>
                <w:lang w:val="it-CH"/>
              </w:rPr>
            </w:pPr>
          </w:p>
          <w:p w14:paraId="1C90F159" w14:textId="77777777"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Se deleagă Comisiei competența de a adopta standardele tehnice de reglementare menționate la primul paragraf, în conformitate cu articolele 10-14 din Regulamentul (UE) nr. 1093/2010.</w:t>
            </w:r>
          </w:p>
        </w:tc>
        <w:tc>
          <w:tcPr>
            <w:tcW w:w="1834" w:type="pct"/>
            <w:tcBorders>
              <w:top w:val="single" w:sz="4" w:space="0" w:color="auto"/>
              <w:left w:val="single" w:sz="4" w:space="0" w:color="auto"/>
              <w:bottom w:val="single" w:sz="4" w:space="0" w:color="auto"/>
              <w:right w:val="single" w:sz="4" w:space="0" w:color="auto"/>
            </w:tcBorders>
          </w:tcPr>
          <w:p w14:paraId="0F389A4E" w14:textId="77777777" w:rsidR="00265766" w:rsidRPr="009E686F" w:rsidRDefault="00265766" w:rsidP="00265766">
            <w:pPr>
              <w:spacing w:after="0"/>
              <w:jc w:val="both"/>
              <w:rPr>
                <w:rFonts w:ascii="Times New Roman" w:hAnsi="Times New Roman" w:cs="Times New Roman"/>
                <w:lang w:val="it-CH"/>
              </w:rPr>
            </w:pPr>
          </w:p>
        </w:tc>
        <w:tc>
          <w:tcPr>
            <w:tcW w:w="470" w:type="pct"/>
            <w:tcBorders>
              <w:top w:val="single" w:sz="4" w:space="0" w:color="auto"/>
              <w:left w:val="single" w:sz="4" w:space="0" w:color="auto"/>
              <w:bottom w:val="single" w:sz="4" w:space="0" w:color="auto"/>
              <w:right w:val="single" w:sz="4" w:space="0" w:color="auto"/>
            </w:tcBorders>
          </w:tcPr>
          <w:p w14:paraId="69655AE9" w14:textId="12D3DAAC" w:rsidR="00265766" w:rsidRPr="009E686F" w:rsidRDefault="00265766" w:rsidP="00265766">
            <w:pPr>
              <w:jc w:val="both"/>
              <w:rPr>
                <w:rFonts w:ascii="Times New Roman" w:hAnsi="Times New Roman" w:cs="Times New Roman"/>
              </w:rPr>
            </w:pPr>
            <w:r w:rsidRPr="009E686F">
              <w:rPr>
                <w:rFonts w:ascii="Times New Roman" w:hAnsi="Times New Roman" w:cs="Times New Roman"/>
              </w:rPr>
              <w:t>Norme UE neaplicabile</w:t>
            </w:r>
          </w:p>
          <w:p w14:paraId="11BDBECE" w14:textId="54B076FA" w:rsidR="00265766" w:rsidRPr="009E686F" w:rsidRDefault="00265766" w:rsidP="00265766">
            <w:pPr>
              <w:jc w:val="both"/>
              <w:rPr>
                <w:rFonts w:ascii="Times New Roman" w:hAnsi="Times New Roman" w:cs="Times New Roman"/>
              </w:rPr>
            </w:pPr>
          </w:p>
        </w:tc>
        <w:tc>
          <w:tcPr>
            <w:tcW w:w="806" w:type="pct"/>
            <w:tcBorders>
              <w:top w:val="single" w:sz="4" w:space="0" w:color="auto"/>
              <w:left w:val="single" w:sz="4" w:space="0" w:color="auto"/>
              <w:bottom w:val="single" w:sz="4" w:space="0" w:color="auto"/>
              <w:right w:val="single" w:sz="4" w:space="0" w:color="auto"/>
            </w:tcBorders>
          </w:tcPr>
          <w:p w14:paraId="368B91A1" w14:textId="5799346A"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Se referă la competențele ABE.</w:t>
            </w:r>
          </w:p>
        </w:tc>
      </w:tr>
      <w:tr w:rsidR="00265766" w:rsidRPr="009E686F" w14:paraId="1E6C34F2" w14:textId="77777777" w:rsidTr="00960C23">
        <w:trPr>
          <w:trHeight w:val="3756"/>
        </w:trPr>
        <w:tc>
          <w:tcPr>
            <w:tcW w:w="1890" w:type="pct"/>
            <w:tcBorders>
              <w:top w:val="single" w:sz="4" w:space="0" w:color="auto"/>
              <w:left w:val="single" w:sz="4" w:space="0" w:color="auto"/>
              <w:right w:val="single" w:sz="4" w:space="0" w:color="auto"/>
            </w:tcBorders>
          </w:tcPr>
          <w:p w14:paraId="2F8D9C92" w14:textId="58675598"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(6) ABE elaborează proiecte de standarde tehnice de punere în aplicare pentru a stabili formulare, modele și proceduri standard pentru transmiterea acestor informații.</w:t>
            </w:r>
          </w:p>
          <w:p w14:paraId="6BAF4AF7" w14:textId="77777777"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Se conferă Comisiei competența de a adopta standardele tehnice de punere în aplicare menționate la primul paragraf, în conformitate cu articolul 15 din Regulamentul (UE) nr. 1093/2010.</w:t>
            </w:r>
          </w:p>
          <w:p w14:paraId="65870E9D" w14:textId="3EDBD18D"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(7) ABE înaintează Comisiei proiectele de standarde tehnice menționate la alineatele (5) și (6) până la 1 ianuarie 2014.</w:t>
            </w:r>
          </w:p>
        </w:tc>
        <w:tc>
          <w:tcPr>
            <w:tcW w:w="1834" w:type="pct"/>
            <w:tcBorders>
              <w:top w:val="single" w:sz="4" w:space="0" w:color="auto"/>
              <w:left w:val="single" w:sz="4" w:space="0" w:color="auto"/>
              <w:right w:val="single" w:sz="4" w:space="0" w:color="auto"/>
            </w:tcBorders>
          </w:tcPr>
          <w:p w14:paraId="3FF353C8" w14:textId="77777777" w:rsidR="00265766" w:rsidRPr="009E686F" w:rsidRDefault="00265766" w:rsidP="00265766">
            <w:pPr>
              <w:spacing w:after="0"/>
              <w:jc w:val="both"/>
              <w:rPr>
                <w:rFonts w:ascii="Times New Roman" w:hAnsi="Times New Roman" w:cs="Times New Roman"/>
                <w:b/>
                <w:lang w:val="it-CH"/>
              </w:rPr>
            </w:pPr>
          </w:p>
        </w:tc>
        <w:tc>
          <w:tcPr>
            <w:tcW w:w="470" w:type="pct"/>
            <w:tcBorders>
              <w:top w:val="single" w:sz="4" w:space="0" w:color="auto"/>
              <w:left w:val="single" w:sz="4" w:space="0" w:color="auto"/>
              <w:right w:val="single" w:sz="4" w:space="0" w:color="auto"/>
            </w:tcBorders>
          </w:tcPr>
          <w:p w14:paraId="16BA09EB" w14:textId="036CD96C" w:rsidR="00265766" w:rsidRPr="009E686F" w:rsidRDefault="00265766" w:rsidP="00265766">
            <w:pPr>
              <w:jc w:val="both"/>
              <w:rPr>
                <w:rFonts w:ascii="Times New Roman" w:hAnsi="Times New Roman" w:cs="Times New Roman"/>
              </w:rPr>
            </w:pPr>
            <w:r w:rsidRPr="009E686F">
              <w:rPr>
                <w:rFonts w:ascii="Times New Roman" w:hAnsi="Times New Roman" w:cs="Times New Roman"/>
              </w:rPr>
              <w:t>Norme UE neaplicabile</w:t>
            </w:r>
          </w:p>
          <w:p w14:paraId="382677BC" w14:textId="270D8A43" w:rsidR="00265766" w:rsidRPr="009E686F" w:rsidRDefault="00265766" w:rsidP="00265766">
            <w:pPr>
              <w:jc w:val="both"/>
              <w:rPr>
                <w:rFonts w:ascii="Times New Roman" w:hAnsi="Times New Roman" w:cs="Times New Roman"/>
              </w:rPr>
            </w:pPr>
          </w:p>
        </w:tc>
        <w:tc>
          <w:tcPr>
            <w:tcW w:w="806" w:type="pct"/>
            <w:tcBorders>
              <w:top w:val="single" w:sz="4" w:space="0" w:color="auto"/>
              <w:left w:val="single" w:sz="4" w:space="0" w:color="auto"/>
              <w:right w:val="single" w:sz="4" w:space="0" w:color="auto"/>
            </w:tcBorders>
          </w:tcPr>
          <w:p w14:paraId="024307D0" w14:textId="2D5AD707"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Se referă la competențele ABE.</w:t>
            </w:r>
          </w:p>
        </w:tc>
      </w:tr>
      <w:tr w:rsidR="00265766" w:rsidRPr="009E686F" w14:paraId="6AC48ED0" w14:textId="77777777" w:rsidTr="00960C23">
        <w:tc>
          <w:tcPr>
            <w:tcW w:w="1890" w:type="pct"/>
            <w:tcBorders>
              <w:top w:val="single" w:sz="4" w:space="0" w:color="auto"/>
              <w:left w:val="single" w:sz="4" w:space="0" w:color="auto"/>
              <w:bottom w:val="single" w:sz="4" w:space="0" w:color="auto"/>
              <w:right w:val="single" w:sz="4" w:space="0" w:color="auto"/>
            </w:tcBorders>
          </w:tcPr>
          <w:p w14:paraId="2639009B" w14:textId="77777777" w:rsidR="00265766" w:rsidRPr="009E686F" w:rsidRDefault="00265766" w:rsidP="00265766">
            <w:pPr>
              <w:spacing w:after="0"/>
              <w:jc w:val="both"/>
              <w:rPr>
                <w:rFonts w:ascii="Times New Roman" w:hAnsi="Times New Roman" w:cs="Times New Roman"/>
                <w:i/>
                <w:iCs/>
                <w:lang w:val="it-CH"/>
              </w:rPr>
            </w:pPr>
            <w:r w:rsidRPr="009E686F">
              <w:rPr>
                <w:rFonts w:ascii="Times New Roman" w:hAnsi="Times New Roman" w:cs="Times New Roman"/>
                <w:i/>
                <w:iCs/>
                <w:lang w:val="it-CH"/>
              </w:rPr>
              <w:t>Articolul 37</w:t>
            </w:r>
          </w:p>
          <w:p w14:paraId="136B12A9" w14:textId="2564C728" w:rsidR="00265766" w:rsidRPr="009E686F" w:rsidRDefault="00265766" w:rsidP="00265766">
            <w:pPr>
              <w:spacing w:after="0"/>
              <w:jc w:val="both"/>
              <w:rPr>
                <w:rFonts w:ascii="Times New Roman" w:hAnsi="Times New Roman" w:cs="Times New Roman"/>
                <w:lang w:val="it-IT"/>
              </w:rPr>
            </w:pPr>
            <w:r w:rsidRPr="009E686F">
              <w:rPr>
                <w:rFonts w:ascii="Times New Roman" w:hAnsi="Times New Roman" w:cs="Times New Roman"/>
                <w:lang w:val="it-IT"/>
              </w:rPr>
              <w:t xml:space="preserve"> Informații cu privire la refuzuri</w:t>
            </w:r>
          </w:p>
          <w:p w14:paraId="0DB791B3" w14:textId="77777777" w:rsidR="00265766" w:rsidRPr="009E686F" w:rsidRDefault="00265766" w:rsidP="00265766">
            <w:pPr>
              <w:spacing w:after="0"/>
              <w:jc w:val="both"/>
              <w:rPr>
                <w:rFonts w:ascii="Times New Roman" w:hAnsi="Times New Roman" w:cs="Times New Roman"/>
                <w:lang w:val="it-IT"/>
              </w:rPr>
            </w:pPr>
            <w:r w:rsidRPr="009E686F">
              <w:rPr>
                <w:rFonts w:ascii="Times New Roman" w:hAnsi="Times New Roman" w:cs="Times New Roman"/>
                <w:lang w:val="it-IT"/>
              </w:rPr>
              <w:t xml:space="preserve">Statele membre informează Comisia și ABE cu privire la numărul și tipul cazurilor în care s-a refuzat acordarea unei </w:t>
            </w:r>
            <w:r w:rsidRPr="009E686F">
              <w:rPr>
                <w:rFonts w:ascii="Times New Roman" w:hAnsi="Times New Roman" w:cs="Times New Roman"/>
                <w:lang w:val="it-IT"/>
              </w:rPr>
              <w:lastRenderedPageBreak/>
              <w:t>autorizații în conformitate cu articolul 35 și cu articolul 36 alineatul (3).</w:t>
            </w:r>
          </w:p>
        </w:tc>
        <w:tc>
          <w:tcPr>
            <w:tcW w:w="1834" w:type="pct"/>
            <w:tcBorders>
              <w:top w:val="single" w:sz="4" w:space="0" w:color="auto"/>
              <w:left w:val="single" w:sz="4" w:space="0" w:color="auto"/>
              <w:bottom w:val="single" w:sz="4" w:space="0" w:color="auto"/>
              <w:right w:val="single" w:sz="4" w:space="0" w:color="auto"/>
            </w:tcBorders>
          </w:tcPr>
          <w:p w14:paraId="48DFA180" w14:textId="3D304411" w:rsidR="00265766" w:rsidRPr="009E686F" w:rsidRDefault="00265766" w:rsidP="00265766">
            <w:pPr>
              <w:spacing w:after="0"/>
              <w:jc w:val="both"/>
              <w:rPr>
                <w:rFonts w:ascii="Times New Roman" w:hAnsi="Times New Roman" w:cs="Times New Roman"/>
                <w:b/>
                <w:bCs/>
                <w:lang w:val="it-IT"/>
              </w:rPr>
            </w:pPr>
            <w:r w:rsidRPr="009E686F">
              <w:rPr>
                <w:rFonts w:ascii="Times New Roman" w:hAnsi="Times New Roman" w:cs="Times New Roman"/>
                <w:b/>
                <w:bCs/>
                <w:lang w:val="it-IT"/>
              </w:rPr>
              <w:lastRenderedPageBreak/>
              <w:t>Articolul 32</w:t>
            </w:r>
            <w:r w:rsidRPr="009E686F">
              <w:rPr>
                <w:rFonts w:ascii="Times New Roman" w:hAnsi="Times New Roman" w:cs="Times New Roman"/>
                <w:b/>
                <w:bCs/>
                <w:vertAlign w:val="superscript"/>
                <w:lang w:val="it-IT"/>
              </w:rPr>
              <w:t>1</w:t>
            </w:r>
            <w:r w:rsidRPr="009E686F">
              <w:rPr>
                <w:rFonts w:ascii="Times New Roman" w:hAnsi="Times New Roman" w:cs="Times New Roman"/>
                <w:b/>
                <w:bCs/>
                <w:lang w:val="it-IT"/>
              </w:rPr>
              <w:t xml:space="preserve"> alin. (9)</w:t>
            </w:r>
          </w:p>
          <w:p w14:paraId="4F517BC3" w14:textId="310036B3" w:rsidR="00265766" w:rsidRPr="009E686F" w:rsidRDefault="00265766" w:rsidP="00265766">
            <w:pPr>
              <w:spacing w:after="0"/>
              <w:jc w:val="both"/>
              <w:rPr>
                <w:rFonts w:ascii="Times New Roman" w:hAnsi="Times New Roman" w:cs="Times New Roman"/>
                <w:bCs/>
                <w:i/>
                <w:iCs/>
                <w:lang w:val="it-IT"/>
              </w:rPr>
            </w:pPr>
            <w:r w:rsidRPr="009E686F">
              <w:rPr>
                <w:rFonts w:ascii="Times New Roman" w:hAnsi="Times New Roman" w:cs="Times New Roman"/>
                <w:bCs/>
                <w:i/>
                <w:iCs/>
                <w:lang w:val="it-IT"/>
              </w:rPr>
              <w:t xml:space="preserve">(9) Banca Națională a Moldovei informează Comisia Europeană și Autoritatea Bancară Europeană cu privire la numărul și tipul cazurilor în care aceasta s-a opus </w:t>
            </w:r>
            <w:r w:rsidR="007977F2" w:rsidRPr="009E686F">
              <w:rPr>
                <w:rFonts w:ascii="Times New Roman" w:hAnsi="Times New Roman" w:cs="Times New Roman"/>
                <w:bCs/>
                <w:i/>
                <w:iCs/>
                <w:lang w:val="it-IT"/>
              </w:rPr>
              <w:t xml:space="preserve">deschiderii </w:t>
            </w:r>
            <w:r w:rsidRPr="009E686F">
              <w:rPr>
                <w:rFonts w:ascii="Times New Roman" w:hAnsi="Times New Roman" w:cs="Times New Roman"/>
                <w:bCs/>
                <w:i/>
                <w:iCs/>
                <w:lang w:val="it-IT"/>
              </w:rPr>
              <w:t xml:space="preserve">de către o instituție de credit, persoană juridică </w:t>
            </w:r>
            <w:r w:rsidRPr="009E686F">
              <w:rPr>
                <w:rFonts w:ascii="Times New Roman" w:hAnsi="Times New Roman" w:cs="Times New Roman"/>
                <w:bCs/>
                <w:i/>
                <w:iCs/>
                <w:lang w:val="it-IT"/>
              </w:rPr>
              <w:lastRenderedPageBreak/>
              <w:t>din Republica Moldova, a unei sucursale într-un alt stat membru sau continuării desfăşurării activităţii unei astfel de sucursale.</w:t>
            </w:r>
          </w:p>
        </w:tc>
        <w:tc>
          <w:tcPr>
            <w:tcW w:w="470" w:type="pct"/>
            <w:tcBorders>
              <w:top w:val="single" w:sz="4" w:space="0" w:color="auto"/>
              <w:left w:val="single" w:sz="4" w:space="0" w:color="auto"/>
              <w:bottom w:val="single" w:sz="4" w:space="0" w:color="auto"/>
              <w:right w:val="single" w:sz="4" w:space="0" w:color="auto"/>
            </w:tcBorders>
          </w:tcPr>
          <w:p w14:paraId="30C30837" w14:textId="0182484D" w:rsidR="00265766" w:rsidRPr="009E686F" w:rsidRDefault="00265766" w:rsidP="00265766">
            <w:pPr>
              <w:jc w:val="both"/>
              <w:rPr>
                <w:rFonts w:ascii="Times New Roman" w:hAnsi="Times New Roman" w:cs="Times New Roman"/>
              </w:rPr>
            </w:pPr>
            <w:r w:rsidRPr="009E686F">
              <w:rPr>
                <w:rFonts w:ascii="Times New Roman" w:hAnsi="Times New Roman" w:cs="Times New Roman"/>
              </w:rPr>
              <w:lastRenderedPageBreak/>
              <w:t xml:space="preserve">Compatibil </w:t>
            </w:r>
          </w:p>
        </w:tc>
        <w:tc>
          <w:tcPr>
            <w:tcW w:w="806" w:type="pct"/>
            <w:tcBorders>
              <w:top w:val="single" w:sz="4" w:space="0" w:color="auto"/>
              <w:left w:val="single" w:sz="4" w:space="0" w:color="auto"/>
              <w:bottom w:val="single" w:sz="4" w:space="0" w:color="auto"/>
              <w:right w:val="single" w:sz="4" w:space="0" w:color="auto"/>
            </w:tcBorders>
          </w:tcPr>
          <w:p w14:paraId="50B4E5B3" w14:textId="77777777" w:rsidR="00D02498" w:rsidRPr="009E686F" w:rsidRDefault="00D02498" w:rsidP="00D02498">
            <w:pPr>
              <w:rPr>
                <w:lang w:val="it-CH"/>
              </w:rPr>
            </w:pPr>
            <w:r w:rsidRPr="009E686F">
              <w:rPr>
                <w:rFonts w:ascii="Times New Roman" w:hAnsi="Times New Roman" w:cs="Times New Roman"/>
                <w:lang w:val="ro-RO"/>
              </w:rPr>
              <w:t>În vigoare –5 ani de la data aderării.</w:t>
            </w:r>
          </w:p>
          <w:p w14:paraId="149005FD" w14:textId="31D76ED1" w:rsidR="00265766" w:rsidRPr="009E686F" w:rsidRDefault="00265766" w:rsidP="00265766">
            <w:pPr>
              <w:spacing w:after="0"/>
              <w:jc w:val="both"/>
              <w:rPr>
                <w:rFonts w:ascii="Times New Roman" w:hAnsi="Times New Roman" w:cs="Times New Roman"/>
                <w:lang w:val="it-CH"/>
              </w:rPr>
            </w:pPr>
          </w:p>
        </w:tc>
      </w:tr>
      <w:tr w:rsidR="00265766" w:rsidRPr="009E686F" w14:paraId="6AF54C04" w14:textId="77777777" w:rsidTr="00960C23">
        <w:tc>
          <w:tcPr>
            <w:tcW w:w="1890" w:type="pct"/>
            <w:tcBorders>
              <w:top w:val="single" w:sz="4" w:space="0" w:color="auto"/>
              <w:left w:val="single" w:sz="4" w:space="0" w:color="auto"/>
              <w:bottom w:val="single" w:sz="4" w:space="0" w:color="auto"/>
              <w:right w:val="single" w:sz="4" w:space="0" w:color="auto"/>
            </w:tcBorders>
          </w:tcPr>
          <w:p w14:paraId="5DB27370" w14:textId="77777777" w:rsidR="00265766" w:rsidRPr="009E686F" w:rsidRDefault="00265766" w:rsidP="00265766">
            <w:pPr>
              <w:spacing w:after="0"/>
              <w:jc w:val="both"/>
              <w:rPr>
                <w:rFonts w:ascii="Times New Roman" w:hAnsi="Times New Roman" w:cs="Times New Roman"/>
                <w:i/>
                <w:lang w:val="it-CH"/>
              </w:rPr>
            </w:pPr>
            <w:r w:rsidRPr="009E686F">
              <w:rPr>
                <w:rFonts w:ascii="Times New Roman" w:hAnsi="Times New Roman" w:cs="Times New Roman"/>
                <w:i/>
                <w:lang w:val="it-CH"/>
              </w:rPr>
              <w:t>Articolul 38</w:t>
            </w:r>
          </w:p>
          <w:p w14:paraId="6A349FCB" w14:textId="0E75107E"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Agregarea sucursalelor</w:t>
            </w:r>
          </w:p>
          <w:p w14:paraId="7FE32EB8" w14:textId="5758EDE6"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Mai multe sedii secundare înființate în același stat membru de o instituție de credit cu sediul central în alt stat membru sunt considerate o singură sucursală.</w:t>
            </w:r>
          </w:p>
        </w:tc>
        <w:tc>
          <w:tcPr>
            <w:tcW w:w="1834" w:type="pct"/>
            <w:tcBorders>
              <w:top w:val="single" w:sz="4" w:space="0" w:color="auto"/>
              <w:left w:val="single" w:sz="4" w:space="0" w:color="auto"/>
              <w:bottom w:val="single" w:sz="4" w:space="0" w:color="auto"/>
              <w:right w:val="single" w:sz="4" w:space="0" w:color="auto"/>
            </w:tcBorders>
          </w:tcPr>
          <w:p w14:paraId="5B4DE8B5" w14:textId="543590D3" w:rsidR="00265766" w:rsidRPr="009E686F" w:rsidRDefault="00265766" w:rsidP="00265766">
            <w:pPr>
              <w:spacing w:after="0"/>
              <w:jc w:val="both"/>
              <w:rPr>
                <w:rFonts w:ascii="Times New Roman" w:hAnsi="Times New Roman" w:cs="Times New Roman"/>
                <w:b/>
                <w:lang w:val="it-CH"/>
              </w:rPr>
            </w:pPr>
            <w:r w:rsidRPr="009E686F">
              <w:rPr>
                <w:rFonts w:ascii="Times New Roman" w:hAnsi="Times New Roman" w:cs="Times New Roman"/>
                <w:b/>
                <w:lang w:val="it-CH"/>
              </w:rPr>
              <w:t>Articolul 23</w:t>
            </w:r>
            <w:r w:rsidRPr="009E686F">
              <w:rPr>
                <w:rFonts w:ascii="Times New Roman" w:hAnsi="Times New Roman" w:cs="Times New Roman"/>
                <w:b/>
                <w:vertAlign w:val="superscript"/>
                <w:lang w:val="it-CH"/>
              </w:rPr>
              <w:t>2</w:t>
            </w:r>
            <w:r w:rsidRPr="009E686F">
              <w:rPr>
                <w:rFonts w:ascii="Times New Roman" w:hAnsi="Times New Roman" w:cs="Times New Roman"/>
                <w:b/>
                <w:lang w:val="it-CH"/>
              </w:rPr>
              <w:t xml:space="preserve"> alin. (5)</w:t>
            </w:r>
          </w:p>
          <w:p w14:paraId="60CDE413" w14:textId="14730472" w:rsidR="00265766" w:rsidRPr="009E686F" w:rsidRDefault="00265766" w:rsidP="00265766">
            <w:pPr>
              <w:spacing w:after="0"/>
              <w:jc w:val="both"/>
              <w:rPr>
                <w:rFonts w:ascii="Times New Roman" w:hAnsi="Times New Roman" w:cs="Times New Roman"/>
                <w:i/>
                <w:lang w:val="it-CH"/>
              </w:rPr>
            </w:pPr>
            <w:r w:rsidRPr="009E686F">
              <w:rPr>
                <w:rFonts w:ascii="Times New Roman" w:hAnsi="Times New Roman" w:cs="Times New Roman"/>
                <w:i/>
                <w:lang w:val="it-CH"/>
              </w:rPr>
              <w:t>(6) Toate sucursalele înfiinţate pe teritoriul Republicii Moldova de către o instituție de credit cu sediul într-un stat membru sunt considerate o singură sucursală.</w:t>
            </w:r>
          </w:p>
          <w:p w14:paraId="6AC03209" w14:textId="0502EA30" w:rsidR="00265766" w:rsidRPr="009E686F" w:rsidRDefault="00265766" w:rsidP="00265766">
            <w:pPr>
              <w:spacing w:after="0"/>
              <w:jc w:val="both"/>
              <w:rPr>
                <w:rFonts w:ascii="Times New Roman" w:hAnsi="Times New Roman" w:cs="Times New Roman"/>
                <w:b/>
                <w:lang w:val="it-CH"/>
              </w:rPr>
            </w:pPr>
            <w:r w:rsidRPr="009E686F">
              <w:rPr>
                <w:rFonts w:ascii="Times New Roman" w:hAnsi="Times New Roman" w:cs="Times New Roman"/>
                <w:b/>
                <w:lang w:val="it-CH"/>
              </w:rPr>
              <w:t>Articolul 33 alin. (2)</w:t>
            </w:r>
          </w:p>
          <w:p w14:paraId="74579311" w14:textId="57F525D7" w:rsidR="00265766" w:rsidRPr="009E686F" w:rsidRDefault="00265766" w:rsidP="00265766">
            <w:pPr>
              <w:spacing w:after="0"/>
              <w:jc w:val="both"/>
              <w:rPr>
                <w:rFonts w:ascii="Times New Roman" w:hAnsi="Times New Roman" w:cs="Times New Roman"/>
                <w:i/>
                <w:lang w:val="it-CH"/>
              </w:rPr>
            </w:pPr>
            <w:r w:rsidRPr="009E686F">
              <w:rPr>
                <w:rFonts w:ascii="Times New Roman" w:eastAsia="Aptos" w:hAnsi="Times New Roman" w:cs="Times New Roman"/>
                <w:i/>
                <w:iCs/>
                <w:kern w:val="2"/>
                <w:lang w:val="ro-MD"/>
              </w:rPr>
              <w:t>(2) Pentru scopurile prezentei legi, toate sucursalele înfiinţate de o instituție de credit  autorizată de Banca Naţională a Moldovei pe teritoriul unui stat terț sînt considerate o singură sucursală.</w:t>
            </w:r>
          </w:p>
        </w:tc>
        <w:tc>
          <w:tcPr>
            <w:tcW w:w="470" w:type="pct"/>
            <w:tcBorders>
              <w:top w:val="single" w:sz="4" w:space="0" w:color="auto"/>
              <w:left w:val="single" w:sz="4" w:space="0" w:color="auto"/>
              <w:bottom w:val="single" w:sz="4" w:space="0" w:color="auto"/>
              <w:right w:val="single" w:sz="4" w:space="0" w:color="auto"/>
            </w:tcBorders>
          </w:tcPr>
          <w:p w14:paraId="5068B70C" w14:textId="5F9CB214" w:rsidR="00265766" w:rsidRPr="009E686F" w:rsidRDefault="00265766" w:rsidP="00265766">
            <w:pPr>
              <w:jc w:val="both"/>
              <w:rPr>
                <w:rFonts w:ascii="Times New Roman" w:hAnsi="Times New Roman" w:cs="Times New Roman"/>
              </w:rPr>
            </w:pPr>
            <w:r w:rsidRPr="009E686F">
              <w:rPr>
                <w:rFonts w:ascii="Times New Roman" w:hAnsi="Times New Roman" w:cs="Times New Roman"/>
              </w:rPr>
              <w:t xml:space="preserve">Compatibil </w:t>
            </w:r>
          </w:p>
        </w:tc>
        <w:tc>
          <w:tcPr>
            <w:tcW w:w="806" w:type="pct"/>
            <w:tcBorders>
              <w:top w:val="single" w:sz="4" w:space="0" w:color="auto"/>
              <w:left w:val="single" w:sz="4" w:space="0" w:color="auto"/>
              <w:bottom w:val="single" w:sz="4" w:space="0" w:color="auto"/>
              <w:right w:val="single" w:sz="4" w:space="0" w:color="auto"/>
            </w:tcBorders>
          </w:tcPr>
          <w:p w14:paraId="0F427E19" w14:textId="77777777" w:rsidR="00D02498" w:rsidRPr="009E686F" w:rsidRDefault="00D02498" w:rsidP="00D02498">
            <w:pPr>
              <w:rPr>
                <w:lang w:val="it-CH"/>
              </w:rPr>
            </w:pPr>
            <w:r w:rsidRPr="009E686F">
              <w:rPr>
                <w:rFonts w:ascii="Times New Roman" w:hAnsi="Times New Roman" w:cs="Times New Roman"/>
                <w:lang w:val="ro-RO"/>
              </w:rPr>
              <w:t>În vigoare –5 ani de la data aderării.</w:t>
            </w:r>
          </w:p>
          <w:p w14:paraId="32CB4690" w14:textId="451EF9FA" w:rsidR="00265766" w:rsidRPr="009E686F" w:rsidRDefault="00265766" w:rsidP="00265766">
            <w:pPr>
              <w:spacing w:after="0"/>
              <w:jc w:val="both"/>
              <w:rPr>
                <w:rFonts w:ascii="Times New Roman" w:hAnsi="Times New Roman" w:cs="Times New Roman"/>
                <w:lang w:val="it-CH"/>
              </w:rPr>
            </w:pPr>
          </w:p>
        </w:tc>
      </w:tr>
      <w:tr w:rsidR="00265766" w:rsidRPr="009E686F" w14:paraId="50026DA7" w14:textId="77777777" w:rsidTr="00960C23">
        <w:trPr>
          <w:trHeight w:val="3436"/>
        </w:trPr>
        <w:tc>
          <w:tcPr>
            <w:tcW w:w="1890" w:type="pct"/>
            <w:tcBorders>
              <w:top w:val="single" w:sz="4" w:space="0" w:color="auto"/>
              <w:left w:val="single" w:sz="4" w:space="0" w:color="auto"/>
              <w:right w:val="single" w:sz="4" w:space="0" w:color="auto"/>
            </w:tcBorders>
          </w:tcPr>
          <w:p w14:paraId="395678D0" w14:textId="77777777"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CAPITOLUL 3</w:t>
            </w:r>
          </w:p>
          <w:p w14:paraId="4A123CA5" w14:textId="77777777"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b/>
                <w:lang w:val="it-CH"/>
              </w:rPr>
              <w:t>Exercitarea libertății de a presta servicii</w:t>
            </w:r>
          </w:p>
          <w:p w14:paraId="38AD6D32" w14:textId="77777777" w:rsidR="00265766" w:rsidRPr="009E686F" w:rsidRDefault="00265766" w:rsidP="00265766">
            <w:pPr>
              <w:spacing w:after="0"/>
              <w:jc w:val="both"/>
              <w:rPr>
                <w:rFonts w:ascii="Times New Roman" w:hAnsi="Times New Roman" w:cs="Times New Roman"/>
                <w:i/>
                <w:lang w:val="it-CH"/>
              </w:rPr>
            </w:pPr>
            <w:r w:rsidRPr="009E686F">
              <w:rPr>
                <w:rFonts w:ascii="Times New Roman" w:hAnsi="Times New Roman" w:cs="Times New Roman"/>
                <w:i/>
                <w:lang w:val="it-CH"/>
              </w:rPr>
              <w:t>Articolul 39</w:t>
            </w:r>
          </w:p>
          <w:p w14:paraId="7042D62D" w14:textId="77777777"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 xml:space="preserve"> Procedura de notificare</w:t>
            </w:r>
          </w:p>
          <w:p w14:paraId="4565A0A0" w14:textId="4F1F7355"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(1) Orice instituție de credit care dorește să își exercite pentru prima dată libertatea de a presta servicii pe teritoriul unui alt stat membru notifică în acest sens autoritățile competente din statul membru de origine în legătură cu activitățile menționate în anexa I pe care dorește să le desfășoare.</w:t>
            </w:r>
          </w:p>
        </w:tc>
        <w:tc>
          <w:tcPr>
            <w:tcW w:w="1834" w:type="pct"/>
            <w:tcBorders>
              <w:top w:val="single" w:sz="4" w:space="0" w:color="auto"/>
              <w:left w:val="single" w:sz="4" w:space="0" w:color="auto"/>
              <w:right w:val="single" w:sz="4" w:space="0" w:color="auto"/>
            </w:tcBorders>
          </w:tcPr>
          <w:p w14:paraId="18217799" w14:textId="77777777" w:rsidR="00265766" w:rsidRPr="009E686F" w:rsidRDefault="00265766" w:rsidP="00265766">
            <w:pPr>
              <w:spacing w:after="0"/>
              <w:jc w:val="both"/>
              <w:rPr>
                <w:rFonts w:ascii="Times New Roman" w:hAnsi="Times New Roman" w:cs="Times New Roman"/>
                <w:b/>
                <w:lang w:val="it-CH"/>
              </w:rPr>
            </w:pPr>
            <w:r w:rsidRPr="009E686F">
              <w:rPr>
                <w:rFonts w:ascii="Times New Roman" w:hAnsi="Times New Roman" w:cs="Times New Roman"/>
                <w:b/>
                <w:lang w:val="it-CH"/>
              </w:rPr>
              <w:t>Articolul 32</w:t>
            </w:r>
            <w:r w:rsidRPr="009E686F">
              <w:rPr>
                <w:rFonts w:ascii="Times New Roman" w:hAnsi="Times New Roman" w:cs="Times New Roman"/>
                <w:b/>
                <w:vertAlign w:val="superscript"/>
                <w:lang w:val="it-CH"/>
              </w:rPr>
              <w:t xml:space="preserve">1 </w:t>
            </w:r>
            <w:r w:rsidRPr="009E686F">
              <w:rPr>
                <w:rFonts w:ascii="Times New Roman" w:hAnsi="Times New Roman" w:cs="Times New Roman"/>
                <w:b/>
                <w:lang w:val="it-CH"/>
              </w:rPr>
              <w:t>alin. (2)</w:t>
            </w:r>
          </w:p>
          <w:p w14:paraId="507EF70B" w14:textId="17FDEE44" w:rsidR="00265766" w:rsidRPr="009E686F" w:rsidRDefault="00265766" w:rsidP="00265766">
            <w:pPr>
              <w:spacing w:after="0"/>
              <w:jc w:val="both"/>
              <w:rPr>
                <w:rFonts w:ascii="Times New Roman" w:hAnsi="Times New Roman" w:cs="Times New Roman"/>
                <w:b/>
                <w:i/>
                <w:lang w:val="it-CH"/>
              </w:rPr>
            </w:pPr>
            <w:r w:rsidRPr="009E686F">
              <w:rPr>
                <w:rFonts w:ascii="Times New Roman" w:hAnsi="Times New Roman" w:cs="Times New Roman"/>
                <w:i/>
                <w:lang w:val="it-CH"/>
              </w:rPr>
              <w:t>(2) Instituția de credit persoană juridică din Republica Moldova care intenționează să deschidă o sucursală pe teritoriul unui stat membru trebuie să transmită Băncii Naţionale a Moldovei o notificare însoțită de următoarele documente și informații, astfel cum sunt prevăzute în actele normative ale Băncii Naționale a Moldovei</w:t>
            </w:r>
            <w:r w:rsidR="00B44DDD" w:rsidRPr="009E686F">
              <w:rPr>
                <w:rFonts w:ascii="Times New Roman" w:hAnsi="Times New Roman" w:cs="Times New Roman"/>
                <w:i/>
                <w:lang w:val="it-CH"/>
              </w:rPr>
              <w:t xml:space="preserve"> emise în aplicarea prezentei legi</w:t>
            </w:r>
            <w:r w:rsidRPr="009E686F">
              <w:rPr>
                <w:rFonts w:ascii="Times New Roman" w:hAnsi="Times New Roman" w:cs="Times New Roman"/>
                <w:i/>
                <w:lang w:val="it-CH"/>
              </w:rPr>
              <w:t>:</w:t>
            </w:r>
          </w:p>
        </w:tc>
        <w:tc>
          <w:tcPr>
            <w:tcW w:w="470" w:type="pct"/>
            <w:tcBorders>
              <w:top w:val="single" w:sz="4" w:space="0" w:color="auto"/>
              <w:left w:val="single" w:sz="4" w:space="0" w:color="auto"/>
              <w:right w:val="single" w:sz="4" w:space="0" w:color="auto"/>
            </w:tcBorders>
          </w:tcPr>
          <w:p w14:paraId="647B96A4" w14:textId="77777777" w:rsidR="00265766" w:rsidRPr="009E686F" w:rsidRDefault="00265766" w:rsidP="00265766">
            <w:pPr>
              <w:jc w:val="both"/>
              <w:rPr>
                <w:rFonts w:ascii="Times New Roman" w:hAnsi="Times New Roman" w:cs="Times New Roman"/>
              </w:rPr>
            </w:pPr>
            <w:r w:rsidRPr="009E686F">
              <w:rPr>
                <w:rFonts w:ascii="Times New Roman" w:hAnsi="Times New Roman" w:cs="Times New Roman"/>
              </w:rPr>
              <w:t>Compatibil</w:t>
            </w:r>
          </w:p>
          <w:p w14:paraId="1879DAE3" w14:textId="77777777" w:rsidR="00265766" w:rsidRPr="009E686F" w:rsidRDefault="00265766" w:rsidP="00265766">
            <w:pPr>
              <w:jc w:val="both"/>
              <w:rPr>
                <w:rFonts w:ascii="Times New Roman" w:hAnsi="Times New Roman" w:cs="Times New Roman"/>
                <w:lang w:val="it-CH"/>
              </w:rPr>
            </w:pPr>
          </w:p>
        </w:tc>
        <w:tc>
          <w:tcPr>
            <w:tcW w:w="806" w:type="pct"/>
            <w:tcBorders>
              <w:top w:val="single" w:sz="4" w:space="0" w:color="auto"/>
              <w:left w:val="single" w:sz="4" w:space="0" w:color="auto"/>
              <w:right w:val="single" w:sz="4" w:space="0" w:color="auto"/>
            </w:tcBorders>
          </w:tcPr>
          <w:p w14:paraId="5AD2B98C" w14:textId="77777777" w:rsidR="00D02498" w:rsidRPr="009E686F" w:rsidRDefault="00D02498" w:rsidP="00D02498">
            <w:pPr>
              <w:rPr>
                <w:lang w:val="it-CH"/>
              </w:rPr>
            </w:pPr>
            <w:r w:rsidRPr="009E686F">
              <w:rPr>
                <w:rFonts w:ascii="Times New Roman" w:hAnsi="Times New Roman" w:cs="Times New Roman"/>
                <w:lang w:val="ro-RO"/>
              </w:rPr>
              <w:t>În vigoare –5 ani de la data aderării.</w:t>
            </w:r>
          </w:p>
          <w:p w14:paraId="3DC0FD6A" w14:textId="5C432F49" w:rsidR="00265766" w:rsidRPr="009E686F" w:rsidRDefault="00265766" w:rsidP="00265766">
            <w:pPr>
              <w:spacing w:after="0"/>
              <w:jc w:val="both"/>
              <w:rPr>
                <w:rFonts w:ascii="Times New Roman" w:hAnsi="Times New Roman" w:cs="Times New Roman"/>
                <w:lang w:val="it-CH"/>
              </w:rPr>
            </w:pPr>
          </w:p>
        </w:tc>
      </w:tr>
      <w:tr w:rsidR="00265766" w:rsidRPr="009E686F" w14:paraId="5724641D" w14:textId="77777777" w:rsidTr="00960C23">
        <w:tc>
          <w:tcPr>
            <w:tcW w:w="1890" w:type="pct"/>
            <w:tcBorders>
              <w:top w:val="single" w:sz="4" w:space="0" w:color="auto"/>
              <w:left w:val="single" w:sz="4" w:space="0" w:color="auto"/>
              <w:bottom w:val="single" w:sz="4" w:space="0" w:color="auto"/>
              <w:right w:val="single" w:sz="4" w:space="0" w:color="auto"/>
            </w:tcBorders>
          </w:tcPr>
          <w:p w14:paraId="231D84DB" w14:textId="50F05D9C"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(2) În termen de o lună de la primirea notificării menționate la alineatul (1), autoritățile competente din statul membru de origine trimit notificarea respectivă autorităților competente din statul membru gazdă.</w:t>
            </w:r>
          </w:p>
        </w:tc>
        <w:tc>
          <w:tcPr>
            <w:tcW w:w="1834" w:type="pct"/>
            <w:tcBorders>
              <w:top w:val="single" w:sz="4" w:space="0" w:color="auto"/>
              <w:left w:val="single" w:sz="4" w:space="0" w:color="auto"/>
              <w:bottom w:val="single" w:sz="4" w:space="0" w:color="auto"/>
              <w:right w:val="single" w:sz="4" w:space="0" w:color="auto"/>
            </w:tcBorders>
          </w:tcPr>
          <w:p w14:paraId="55D8517C" w14:textId="698BA280" w:rsidR="00265766" w:rsidRPr="009E686F" w:rsidRDefault="00265766" w:rsidP="00265766">
            <w:pPr>
              <w:spacing w:after="0"/>
              <w:jc w:val="both"/>
              <w:rPr>
                <w:rFonts w:ascii="Times New Roman" w:hAnsi="Times New Roman" w:cs="Times New Roman"/>
                <w:b/>
                <w:bCs/>
                <w:lang w:val="it-CH"/>
              </w:rPr>
            </w:pPr>
            <w:r w:rsidRPr="009E686F">
              <w:rPr>
                <w:rFonts w:ascii="Times New Roman" w:hAnsi="Times New Roman" w:cs="Times New Roman"/>
                <w:b/>
                <w:bCs/>
                <w:lang w:val="it-CH"/>
              </w:rPr>
              <w:t>Articolul 32</w:t>
            </w:r>
            <w:r w:rsidRPr="009E686F">
              <w:rPr>
                <w:rFonts w:ascii="Times New Roman" w:hAnsi="Times New Roman" w:cs="Times New Roman"/>
                <w:b/>
                <w:bCs/>
                <w:vertAlign w:val="superscript"/>
                <w:lang w:val="it-CH"/>
              </w:rPr>
              <w:t>1</w:t>
            </w:r>
            <w:r w:rsidRPr="009E686F">
              <w:rPr>
                <w:rFonts w:ascii="Times New Roman" w:hAnsi="Times New Roman" w:cs="Times New Roman"/>
                <w:b/>
                <w:bCs/>
                <w:lang w:val="it-CH"/>
              </w:rPr>
              <w:t xml:space="preserve"> alin. (3)</w:t>
            </w:r>
          </w:p>
          <w:p w14:paraId="19938ACB" w14:textId="3411F594" w:rsidR="00265766" w:rsidRPr="009E686F" w:rsidRDefault="00265766" w:rsidP="00265766">
            <w:pPr>
              <w:spacing w:after="0"/>
              <w:jc w:val="both"/>
              <w:rPr>
                <w:rFonts w:ascii="Times New Roman" w:hAnsi="Times New Roman" w:cs="Times New Roman"/>
                <w:bCs/>
                <w:lang w:val="it-CH"/>
              </w:rPr>
            </w:pPr>
            <w:r w:rsidRPr="009E686F">
              <w:rPr>
                <w:rFonts w:ascii="Times New Roman" w:hAnsi="Times New Roman" w:cs="Times New Roman"/>
                <w:bCs/>
                <w:i/>
                <w:iCs/>
                <w:lang w:val="it-CH"/>
              </w:rPr>
              <w:t xml:space="preserve">(3) Instituția de credit persoană juridică din Republica Moldova care intenționează să presteze servicii în mod direct într-un stat membru trebuie să transmită Băncii Naţionale a Moldovei o notificare în legătură cu activitățile menționate la art. 14 alin. (1) pe care dorește să le desfășoare. Banca Națională a Moldovei, în termen de o lună </w:t>
            </w:r>
            <w:r w:rsidRPr="009E686F">
              <w:rPr>
                <w:rFonts w:ascii="Times New Roman" w:hAnsi="Times New Roman" w:cs="Times New Roman"/>
                <w:bCs/>
                <w:i/>
                <w:iCs/>
                <w:lang w:val="it-CH"/>
              </w:rPr>
              <w:lastRenderedPageBreak/>
              <w:t>de la data recepționării, transmite notificarea respectivă autorității competente din statul membru gazdă.</w:t>
            </w:r>
          </w:p>
        </w:tc>
        <w:tc>
          <w:tcPr>
            <w:tcW w:w="470" w:type="pct"/>
            <w:tcBorders>
              <w:top w:val="single" w:sz="4" w:space="0" w:color="auto"/>
              <w:left w:val="single" w:sz="4" w:space="0" w:color="auto"/>
              <w:bottom w:val="single" w:sz="4" w:space="0" w:color="auto"/>
              <w:right w:val="single" w:sz="4" w:space="0" w:color="auto"/>
            </w:tcBorders>
          </w:tcPr>
          <w:p w14:paraId="42CD74B3" w14:textId="14146E1B" w:rsidR="00265766" w:rsidRPr="009E686F" w:rsidRDefault="00265766" w:rsidP="00265766">
            <w:pPr>
              <w:jc w:val="both"/>
              <w:rPr>
                <w:rFonts w:ascii="Times New Roman" w:hAnsi="Times New Roman" w:cs="Times New Roman"/>
              </w:rPr>
            </w:pPr>
            <w:r w:rsidRPr="009E686F">
              <w:rPr>
                <w:rFonts w:ascii="Times New Roman" w:hAnsi="Times New Roman" w:cs="Times New Roman"/>
              </w:rPr>
              <w:lastRenderedPageBreak/>
              <w:t>Compatibil</w:t>
            </w:r>
          </w:p>
          <w:p w14:paraId="06B3A123" w14:textId="49998DA8" w:rsidR="00265766" w:rsidRPr="009E686F" w:rsidRDefault="00265766" w:rsidP="00265766">
            <w:pPr>
              <w:jc w:val="both"/>
              <w:rPr>
                <w:rFonts w:ascii="Times New Roman" w:hAnsi="Times New Roman" w:cs="Times New Roman"/>
              </w:rPr>
            </w:pPr>
          </w:p>
        </w:tc>
        <w:tc>
          <w:tcPr>
            <w:tcW w:w="806" w:type="pct"/>
            <w:tcBorders>
              <w:top w:val="single" w:sz="4" w:space="0" w:color="auto"/>
              <w:left w:val="single" w:sz="4" w:space="0" w:color="auto"/>
              <w:bottom w:val="single" w:sz="4" w:space="0" w:color="auto"/>
              <w:right w:val="single" w:sz="4" w:space="0" w:color="auto"/>
            </w:tcBorders>
          </w:tcPr>
          <w:p w14:paraId="75725728" w14:textId="77777777" w:rsidR="00D02498" w:rsidRPr="009E686F" w:rsidRDefault="00D02498" w:rsidP="00D02498">
            <w:pPr>
              <w:rPr>
                <w:lang w:val="it-CH"/>
              </w:rPr>
            </w:pPr>
            <w:r w:rsidRPr="009E686F">
              <w:rPr>
                <w:rFonts w:ascii="Times New Roman" w:hAnsi="Times New Roman" w:cs="Times New Roman"/>
                <w:lang w:val="ro-RO"/>
              </w:rPr>
              <w:t>În vigoare –5 ani de la data aderării.</w:t>
            </w:r>
          </w:p>
          <w:p w14:paraId="06B1FD08" w14:textId="0016D345" w:rsidR="00265766" w:rsidRPr="009E686F" w:rsidRDefault="00265766" w:rsidP="00265766">
            <w:pPr>
              <w:spacing w:after="0"/>
              <w:jc w:val="both"/>
              <w:rPr>
                <w:rFonts w:ascii="Times New Roman" w:hAnsi="Times New Roman" w:cs="Times New Roman"/>
                <w:lang w:val="it-CH"/>
              </w:rPr>
            </w:pPr>
          </w:p>
        </w:tc>
      </w:tr>
      <w:tr w:rsidR="00265766" w:rsidRPr="009E686F" w14:paraId="56C10D9D" w14:textId="77777777" w:rsidTr="00960C23">
        <w:trPr>
          <w:trHeight w:val="523"/>
        </w:trPr>
        <w:tc>
          <w:tcPr>
            <w:tcW w:w="1890" w:type="pct"/>
            <w:tcBorders>
              <w:top w:val="single" w:sz="4" w:space="0" w:color="auto"/>
              <w:left w:val="single" w:sz="4" w:space="0" w:color="auto"/>
              <w:right w:val="single" w:sz="4" w:space="0" w:color="auto"/>
            </w:tcBorders>
          </w:tcPr>
          <w:p w14:paraId="08963B11" w14:textId="63B6E695"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(3) Prezentul articol nu aduce atingere în niciun fel drepturilor dobândite de instituțiile de credit prestatoare de servicii înainte de 1 ianuarie 1993.</w:t>
            </w:r>
          </w:p>
          <w:p w14:paraId="6956D115" w14:textId="77777777"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(4) ABE elaborează proiecte de standarde tehnice de reglementare pentru a preciza informațiile de notificat în conformitate cu prezentul articol.</w:t>
            </w:r>
          </w:p>
          <w:p w14:paraId="62A008E2" w14:textId="68B9B8A7"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Se deleagă Comisiei competența de a adopta standardele tehnice de reglementare menționate la primul paragraf, în conformitate cu articolele 10-14 din Regulamentul (UE) nr. 1093/2010.</w:t>
            </w:r>
          </w:p>
        </w:tc>
        <w:tc>
          <w:tcPr>
            <w:tcW w:w="1834" w:type="pct"/>
            <w:tcBorders>
              <w:top w:val="single" w:sz="4" w:space="0" w:color="auto"/>
              <w:left w:val="single" w:sz="4" w:space="0" w:color="auto"/>
              <w:right w:val="single" w:sz="4" w:space="0" w:color="auto"/>
            </w:tcBorders>
          </w:tcPr>
          <w:p w14:paraId="79548189" w14:textId="77777777" w:rsidR="00265766" w:rsidRPr="009E686F" w:rsidRDefault="00265766" w:rsidP="00265766">
            <w:pPr>
              <w:spacing w:after="0"/>
              <w:jc w:val="both"/>
              <w:rPr>
                <w:rFonts w:ascii="Times New Roman" w:hAnsi="Times New Roman" w:cs="Times New Roman"/>
                <w:b/>
                <w:lang w:val="it-CH"/>
              </w:rPr>
            </w:pPr>
          </w:p>
        </w:tc>
        <w:tc>
          <w:tcPr>
            <w:tcW w:w="470" w:type="pct"/>
            <w:tcBorders>
              <w:top w:val="single" w:sz="4" w:space="0" w:color="auto"/>
              <w:left w:val="single" w:sz="4" w:space="0" w:color="auto"/>
              <w:right w:val="single" w:sz="4" w:space="0" w:color="auto"/>
            </w:tcBorders>
          </w:tcPr>
          <w:p w14:paraId="20D073C9" w14:textId="26F79DBC" w:rsidR="00265766" w:rsidRPr="009E686F" w:rsidRDefault="00265766" w:rsidP="00265766">
            <w:pPr>
              <w:jc w:val="both"/>
              <w:rPr>
                <w:rFonts w:ascii="Times New Roman" w:hAnsi="Times New Roman" w:cs="Times New Roman"/>
              </w:rPr>
            </w:pPr>
            <w:r w:rsidRPr="009E686F">
              <w:rPr>
                <w:rFonts w:ascii="Times New Roman" w:hAnsi="Times New Roman" w:cs="Times New Roman"/>
              </w:rPr>
              <w:t>Norme UE neaplicabile</w:t>
            </w:r>
          </w:p>
          <w:p w14:paraId="67856BDD" w14:textId="77777777" w:rsidR="00265766" w:rsidRPr="009E686F" w:rsidRDefault="00265766" w:rsidP="00265766">
            <w:pPr>
              <w:jc w:val="both"/>
              <w:rPr>
                <w:rFonts w:ascii="Times New Roman" w:hAnsi="Times New Roman" w:cs="Times New Roman"/>
              </w:rPr>
            </w:pPr>
          </w:p>
          <w:p w14:paraId="4851179D" w14:textId="77777777" w:rsidR="00265766" w:rsidRPr="009E686F" w:rsidRDefault="00265766" w:rsidP="00265766">
            <w:pPr>
              <w:jc w:val="both"/>
              <w:rPr>
                <w:rFonts w:ascii="Times New Roman" w:hAnsi="Times New Roman" w:cs="Times New Roman"/>
              </w:rPr>
            </w:pPr>
          </w:p>
          <w:p w14:paraId="3DF5EB4A" w14:textId="77777777" w:rsidR="00265766" w:rsidRPr="009E686F" w:rsidRDefault="00265766" w:rsidP="00265766">
            <w:pPr>
              <w:jc w:val="both"/>
              <w:rPr>
                <w:rFonts w:ascii="Times New Roman" w:hAnsi="Times New Roman" w:cs="Times New Roman"/>
              </w:rPr>
            </w:pPr>
          </w:p>
          <w:p w14:paraId="1A77099D" w14:textId="19D339E0" w:rsidR="00265766" w:rsidRPr="009E686F" w:rsidRDefault="00265766" w:rsidP="00265766">
            <w:pPr>
              <w:jc w:val="both"/>
              <w:rPr>
                <w:rFonts w:ascii="Times New Roman" w:hAnsi="Times New Roman" w:cs="Times New Roman"/>
              </w:rPr>
            </w:pPr>
          </w:p>
        </w:tc>
        <w:tc>
          <w:tcPr>
            <w:tcW w:w="806" w:type="pct"/>
            <w:tcBorders>
              <w:top w:val="single" w:sz="4" w:space="0" w:color="auto"/>
              <w:left w:val="single" w:sz="4" w:space="0" w:color="auto"/>
              <w:right w:val="single" w:sz="4" w:space="0" w:color="auto"/>
            </w:tcBorders>
          </w:tcPr>
          <w:p w14:paraId="2A87A3D7" w14:textId="20824E8F" w:rsidR="00265766" w:rsidRPr="009E686F" w:rsidRDefault="00265766" w:rsidP="00265766">
            <w:pPr>
              <w:spacing w:after="0"/>
              <w:jc w:val="both"/>
              <w:rPr>
                <w:rFonts w:ascii="Times New Roman" w:hAnsi="Times New Roman" w:cs="Times New Roman"/>
                <w:lang w:val="pt-BR"/>
              </w:rPr>
            </w:pPr>
            <w:r w:rsidRPr="009E686F">
              <w:rPr>
                <w:rFonts w:ascii="Times New Roman" w:hAnsi="Times New Roman" w:cs="Times New Roman"/>
                <w:lang w:val="pt-BR"/>
              </w:rPr>
              <w:t xml:space="preserve">Se referă la situația drepturilor dobândite de </w:t>
            </w:r>
            <w:r w:rsidRPr="009E686F">
              <w:rPr>
                <w:rFonts w:ascii="Times New Roman" w:hAnsi="Times New Roman" w:cs="Times New Roman"/>
                <w:i/>
                <w:lang w:val="pt-BR"/>
              </w:rPr>
              <w:t>instituțiile de credit</w:t>
            </w:r>
            <w:r w:rsidRPr="009E686F">
              <w:rPr>
                <w:rFonts w:ascii="Times New Roman" w:hAnsi="Times New Roman" w:cs="Times New Roman"/>
                <w:lang w:val="pt-BR"/>
              </w:rPr>
              <w:t xml:space="preserve"> înainte de 1 ianuarie 1993.</w:t>
            </w:r>
          </w:p>
          <w:p w14:paraId="69FA699C" w14:textId="6DAC0D5D"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Se referă la competențele ABE.</w:t>
            </w:r>
          </w:p>
        </w:tc>
      </w:tr>
      <w:tr w:rsidR="00265766" w:rsidRPr="009E686F" w14:paraId="75D9F9A0" w14:textId="77777777" w:rsidTr="00960C23">
        <w:trPr>
          <w:trHeight w:val="2777"/>
        </w:trPr>
        <w:tc>
          <w:tcPr>
            <w:tcW w:w="1890" w:type="pct"/>
            <w:tcBorders>
              <w:top w:val="single" w:sz="4" w:space="0" w:color="auto"/>
              <w:left w:val="single" w:sz="4" w:space="0" w:color="auto"/>
              <w:right w:val="single" w:sz="4" w:space="0" w:color="auto"/>
            </w:tcBorders>
          </w:tcPr>
          <w:p w14:paraId="293D0F5F" w14:textId="77777777"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ABE elaborează proiecte de standarde tehnice de punere în aplicare pentru a stabili formulare, modele și proceduri standard pentru transmiterea acestor informații.</w:t>
            </w:r>
          </w:p>
          <w:p w14:paraId="14D64BB3" w14:textId="26838229"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Se conferă Comisiei competența de a adopta standardele tehnice de punere în aplicare menționate la primul paragraf, în conformitate cu articolul 15 din Regulamentul (UE) nr. 1093/2010.</w:t>
            </w:r>
          </w:p>
        </w:tc>
        <w:tc>
          <w:tcPr>
            <w:tcW w:w="1834" w:type="pct"/>
            <w:tcBorders>
              <w:top w:val="single" w:sz="4" w:space="0" w:color="auto"/>
              <w:left w:val="single" w:sz="4" w:space="0" w:color="auto"/>
              <w:right w:val="single" w:sz="4" w:space="0" w:color="auto"/>
            </w:tcBorders>
          </w:tcPr>
          <w:p w14:paraId="5E7B2676" w14:textId="77777777" w:rsidR="00265766" w:rsidRPr="009E686F" w:rsidRDefault="00265766" w:rsidP="00265766">
            <w:pPr>
              <w:spacing w:after="0"/>
              <w:jc w:val="both"/>
              <w:rPr>
                <w:rFonts w:ascii="Times New Roman" w:hAnsi="Times New Roman" w:cs="Times New Roman"/>
                <w:b/>
                <w:lang w:val="it-CH"/>
              </w:rPr>
            </w:pPr>
          </w:p>
        </w:tc>
        <w:tc>
          <w:tcPr>
            <w:tcW w:w="470" w:type="pct"/>
            <w:tcBorders>
              <w:top w:val="single" w:sz="4" w:space="0" w:color="auto"/>
              <w:left w:val="single" w:sz="4" w:space="0" w:color="auto"/>
              <w:right w:val="single" w:sz="4" w:space="0" w:color="auto"/>
            </w:tcBorders>
          </w:tcPr>
          <w:p w14:paraId="26D544D6" w14:textId="00BB25AF" w:rsidR="00265766" w:rsidRPr="009E686F" w:rsidRDefault="00265766" w:rsidP="00265766">
            <w:pPr>
              <w:jc w:val="both"/>
              <w:rPr>
                <w:rFonts w:ascii="Times New Roman" w:hAnsi="Times New Roman" w:cs="Times New Roman"/>
              </w:rPr>
            </w:pPr>
            <w:r w:rsidRPr="009E686F">
              <w:rPr>
                <w:rFonts w:ascii="Times New Roman" w:hAnsi="Times New Roman" w:cs="Times New Roman"/>
              </w:rPr>
              <w:t>Norme UE neaplicabile</w:t>
            </w:r>
          </w:p>
          <w:p w14:paraId="61452BF1" w14:textId="43143602" w:rsidR="00265766" w:rsidRPr="009E686F" w:rsidRDefault="00265766" w:rsidP="00265766">
            <w:pPr>
              <w:jc w:val="both"/>
              <w:rPr>
                <w:rFonts w:ascii="Times New Roman" w:hAnsi="Times New Roman" w:cs="Times New Roman"/>
              </w:rPr>
            </w:pPr>
          </w:p>
        </w:tc>
        <w:tc>
          <w:tcPr>
            <w:tcW w:w="806" w:type="pct"/>
            <w:tcBorders>
              <w:top w:val="single" w:sz="4" w:space="0" w:color="auto"/>
              <w:left w:val="single" w:sz="4" w:space="0" w:color="auto"/>
              <w:right w:val="single" w:sz="4" w:space="0" w:color="auto"/>
            </w:tcBorders>
          </w:tcPr>
          <w:p w14:paraId="265B1B60" w14:textId="4184DF96"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Se referă la competențele ABE.</w:t>
            </w:r>
          </w:p>
        </w:tc>
      </w:tr>
      <w:tr w:rsidR="00265766" w:rsidRPr="009E686F" w14:paraId="60C0DC81" w14:textId="77777777" w:rsidTr="00960C23">
        <w:tc>
          <w:tcPr>
            <w:tcW w:w="1890" w:type="pct"/>
            <w:tcBorders>
              <w:top w:val="single" w:sz="4" w:space="0" w:color="auto"/>
              <w:left w:val="single" w:sz="4" w:space="0" w:color="auto"/>
              <w:bottom w:val="single" w:sz="4" w:space="0" w:color="auto"/>
              <w:right w:val="single" w:sz="4" w:space="0" w:color="auto"/>
            </w:tcBorders>
          </w:tcPr>
          <w:p w14:paraId="2C98A990" w14:textId="39A1537B"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(6) ABE înaintează Comisiei proiectele de standarde tehnice menționate la alineatele (4) și (5) până la 1 ianuarie 2014.</w:t>
            </w:r>
          </w:p>
        </w:tc>
        <w:tc>
          <w:tcPr>
            <w:tcW w:w="1834" w:type="pct"/>
            <w:tcBorders>
              <w:top w:val="single" w:sz="4" w:space="0" w:color="auto"/>
              <w:left w:val="single" w:sz="4" w:space="0" w:color="auto"/>
              <w:bottom w:val="single" w:sz="4" w:space="0" w:color="auto"/>
              <w:right w:val="single" w:sz="4" w:space="0" w:color="auto"/>
            </w:tcBorders>
          </w:tcPr>
          <w:p w14:paraId="6065498A" w14:textId="77777777" w:rsidR="00265766" w:rsidRPr="009E686F" w:rsidRDefault="00265766" w:rsidP="00265766">
            <w:pPr>
              <w:spacing w:after="0"/>
              <w:jc w:val="both"/>
              <w:rPr>
                <w:rFonts w:ascii="Times New Roman" w:hAnsi="Times New Roman" w:cs="Times New Roman"/>
                <w:b/>
                <w:lang w:val="it-CH"/>
              </w:rPr>
            </w:pPr>
          </w:p>
        </w:tc>
        <w:tc>
          <w:tcPr>
            <w:tcW w:w="470" w:type="pct"/>
            <w:tcBorders>
              <w:top w:val="single" w:sz="4" w:space="0" w:color="auto"/>
              <w:left w:val="single" w:sz="4" w:space="0" w:color="auto"/>
              <w:bottom w:val="single" w:sz="4" w:space="0" w:color="auto"/>
              <w:right w:val="single" w:sz="4" w:space="0" w:color="auto"/>
            </w:tcBorders>
          </w:tcPr>
          <w:p w14:paraId="4B89646B" w14:textId="1762AD3E" w:rsidR="00265766" w:rsidRPr="009E686F" w:rsidRDefault="00265766" w:rsidP="00265766">
            <w:pPr>
              <w:jc w:val="both"/>
              <w:rPr>
                <w:rFonts w:ascii="Times New Roman" w:hAnsi="Times New Roman" w:cs="Times New Roman"/>
              </w:rPr>
            </w:pPr>
            <w:r w:rsidRPr="009E686F">
              <w:rPr>
                <w:rFonts w:ascii="Times New Roman" w:hAnsi="Times New Roman" w:cs="Times New Roman"/>
              </w:rPr>
              <w:t>Norme UE neaplicabile</w:t>
            </w:r>
          </w:p>
          <w:p w14:paraId="47243A69" w14:textId="3810DD37" w:rsidR="00265766" w:rsidRPr="009E686F" w:rsidRDefault="00265766" w:rsidP="00265766">
            <w:pPr>
              <w:jc w:val="both"/>
              <w:rPr>
                <w:rFonts w:ascii="Times New Roman" w:hAnsi="Times New Roman" w:cs="Times New Roman"/>
              </w:rPr>
            </w:pPr>
          </w:p>
        </w:tc>
        <w:tc>
          <w:tcPr>
            <w:tcW w:w="806" w:type="pct"/>
            <w:tcBorders>
              <w:top w:val="single" w:sz="4" w:space="0" w:color="auto"/>
              <w:left w:val="single" w:sz="4" w:space="0" w:color="auto"/>
              <w:bottom w:val="single" w:sz="4" w:space="0" w:color="auto"/>
              <w:right w:val="single" w:sz="4" w:space="0" w:color="auto"/>
            </w:tcBorders>
          </w:tcPr>
          <w:p w14:paraId="7EE0540A" w14:textId="28A790C0"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Se referă la competențele ABE.</w:t>
            </w:r>
          </w:p>
        </w:tc>
      </w:tr>
      <w:tr w:rsidR="00265766" w:rsidRPr="009E686F" w14:paraId="1A7F38FC" w14:textId="77777777" w:rsidTr="00960C23">
        <w:tc>
          <w:tcPr>
            <w:tcW w:w="1890" w:type="pct"/>
            <w:tcBorders>
              <w:top w:val="single" w:sz="4" w:space="0" w:color="auto"/>
              <w:left w:val="single" w:sz="4" w:space="0" w:color="auto"/>
              <w:bottom w:val="single" w:sz="4" w:space="0" w:color="auto"/>
              <w:right w:val="single" w:sz="4" w:space="0" w:color="auto"/>
            </w:tcBorders>
          </w:tcPr>
          <w:p w14:paraId="1D145679" w14:textId="77777777"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CAPITOLUL 4</w:t>
            </w:r>
          </w:p>
          <w:p w14:paraId="30460ECA" w14:textId="77777777" w:rsidR="00265766" w:rsidRPr="009E686F" w:rsidRDefault="00265766" w:rsidP="00265766">
            <w:pPr>
              <w:spacing w:after="0"/>
              <w:jc w:val="both"/>
              <w:rPr>
                <w:rFonts w:ascii="Times New Roman" w:hAnsi="Times New Roman" w:cs="Times New Roman"/>
                <w:b/>
                <w:lang w:val="it-CH"/>
              </w:rPr>
            </w:pPr>
            <w:r w:rsidRPr="009E686F">
              <w:rPr>
                <w:rFonts w:ascii="Times New Roman" w:hAnsi="Times New Roman" w:cs="Times New Roman"/>
                <w:b/>
                <w:lang w:val="it-CH"/>
              </w:rPr>
              <w:t>Atribuțiile autorităților competente din statul membru gazdă</w:t>
            </w:r>
          </w:p>
          <w:p w14:paraId="0AB22305" w14:textId="77777777" w:rsidR="00265766" w:rsidRPr="009E686F" w:rsidRDefault="00265766" w:rsidP="00265766">
            <w:pPr>
              <w:spacing w:after="0"/>
              <w:jc w:val="both"/>
              <w:rPr>
                <w:rFonts w:ascii="Times New Roman" w:hAnsi="Times New Roman" w:cs="Times New Roman"/>
                <w:lang w:val="it-CH"/>
              </w:rPr>
            </w:pPr>
          </w:p>
          <w:p w14:paraId="6EF61CCD" w14:textId="77777777" w:rsidR="00265766" w:rsidRPr="009E686F" w:rsidRDefault="00265766" w:rsidP="00265766">
            <w:pPr>
              <w:spacing w:after="0"/>
              <w:jc w:val="both"/>
              <w:rPr>
                <w:rFonts w:ascii="Times New Roman" w:hAnsi="Times New Roman" w:cs="Times New Roman"/>
                <w:i/>
                <w:lang w:val="it-CH"/>
              </w:rPr>
            </w:pPr>
            <w:r w:rsidRPr="009E686F">
              <w:rPr>
                <w:rFonts w:ascii="Times New Roman" w:hAnsi="Times New Roman" w:cs="Times New Roman"/>
                <w:i/>
                <w:lang w:val="it-CH"/>
              </w:rPr>
              <w:t xml:space="preserve">Articolul 40 </w:t>
            </w:r>
          </w:p>
          <w:p w14:paraId="72BBE832" w14:textId="77777777"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lastRenderedPageBreak/>
              <w:t>Cerințe de raportare</w:t>
            </w:r>
          </w:p>
          <w:p w14:paraId="2DC7AC98" w14:textId="77777777"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Autoritățile competente ale statelor membre gazdă pot solicita tuturor instituțiilor de credit care au sucursale pe teritoriul lor să le transmită rapoarte periodice cu privire la activitatea lor din statele membre gazdă respective.</w:t>
            </w:r>
          </w:p>
          <w:p w14:paraId="448F7E51" w14:textId="60350262"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Astfel de rapoarte sunt cerute numai în scop informativ sau statistic, pentru aplicarea articolului 51 alineatul (1) sau în scopuri de supraveghere în conformitate cu prezentul capitol. Acestea fac obiectul cerințelor privind secretul profesional cel puțin echivalente cu cele menționate la articolul 53 alineatul (1).</w:t>
            </w:r>
          </w:p>
        </w:tc>
        <w:tc>
          <w:tcPr>
            <w:tcW w:w="1834" w:type="pct"/>
            <w:tcBorders>
              <w:top w:val="single" w:sz="4" w:space="0" w:color="auto"/>
              <w:left w:val="single" w:sz="4" w:space="0" w:color="auto"/>
              <w:bottom w:val="single" w:sz="4" w:space="0" w:color="auto"/>
              <w:right w:val="single" w:sz="4" w:space="0" w:color="auto"/>
            </w:tcBorders>
          </w:tcPr>
          <w:p w14:paraId="7E9159B9" w14:textId="77777777" w:rsidR="00265766" w:rsidRPr="009E686F" w:rsidRDefault="00265766" w:rsidP="00265766">
            <w:pPr>
              <w:spacing w:after="0"/>
              <w:jc w:val="both"/>
              <w:rPr>
                <w:rFonts w:ascii="Times New Roman" w:hAnsi="Times New Roman" w:cs="Times New Roman"/>
                <w:bCs/>
                <w:i/>
                <w:iCs/>
                <w:lang w:val="it-CH"/>
              </w:rPr>
            </w:pPr>
            <w:r w:rsidRPr="009E686F">
              <w:rPr>
                <w:rFonts w:ascii="Times New Roman" w:hAnsi="Times New Roman" w:cs="Times New Roman"/>
                <w:b/>
                <w:lang w:val="it-CH"/>
              </w:rPr>
              <w:lastRenderedPageBreak/>
              <w:t>Articolul 23</w:t>
            </w:r>
            <w:r w:rsidRPr="009E686F">
              <w:rPr>
                <w:rFonts w:ascii="Times New Roman" w:hAnsi="Times New Roman" w:cs="Times New Roman"/>
                <w:b/>
                <w:vertAlign w:val="superscript"/>
                <w:lang w:val="it-CH"/>
              </w:rPr>
              <w:t>3</w:t>
            </w:r>
            <w:r w:rsidRPr="009E686F">
              <w:rPr>
                <w:rFonts w:ascii="Times New Roman" w:hAnsi="Times New Roman" w:cs="Times New Roman"/>
                <w:b/>
                <w:lang w:val="it-CH"/>
              </w:rPr>
              <w:t xml:space="preserve">. </w:t>
            </w:r>
            <w:r w:rsidRPr="009E686F">
              <w:rPr>
                <w:rFonts w:ascii="Times New Roman" w:hAnsi="Times New Roman" w:cs="Times New Roman"/>
                <w:bCs/>
                <w:i/>
                <w:iCs/>
                <w:lang w:val="it-CH"/>
              </w:rPr>
              <w:t>Cerințe de raportare pentru instituțiile de credit din statele membre care își desfășoară activitatea pe teritoriul Republicii Moldova</w:t>
            </w:r>
          </w:p>
          <w:p w14:paraId="292C045F" w14:textId="77777777" w:rsidR="00265766" w:rsidRPr="009E686F" w:rsidRDefault="00265766" w:rsidP="00265766">
            <w:pPr>
              <w:spacing w:after="0"/>
              <w:jc w:val="both"/>
              <w:rPr>
                <w:rFonts w:ascii="Times New Roman" w:hAnsi="Times New Roman" w:cs="Times New Roman"/>
                <w:bCs/>
                <w:i/>
                <w:iCs/>
                <w:lang w:val="it-CH"/>
              </w:rPr>
            </w:pPr>
            <w:r w:rsidRPr="009E686F">
              <w:rPr>
                <w:rFonts w:ascii="Times New Roman" w:hAnsi="Times New Roman" w:cs="Times New Roman"/>
                <w:bCs/>
                <w:i/>
                <w:iCs/>
                <w:lang w:val="it-CH"/>
              </w:rPr>
              <w:t xml:space="preserve">(1) Instituțiile de credit din statele membre care au înființat o sucursală pe teritoriul Republicii Moldova transmit </w:t>
            </w:r>
            <w:r w:rsidRPr="009E686F">
              <w:rPr>
                <w:rFonts w:ascii="Times New Roman" w:hAnsi="Times New Roman" w:cs="Times New Roman"/>
                <w:bCs/>
                <w:i/>
                <w:iCs/>
                <w:lang w:val="it-CH"/>
              </w:rPr>
              <w:lastRenderedPageBreak/>
              <w:t xml:space="preserve">periodic rapoarte Băncii Naționale a Moldovei în scop statistic sau informativ ori </w:t>
            </w:r>
            <w:bookmarkStart w:id="10" w:name="_Hlk226714621"/>
            <w:r w:rsidRPr="009E686F">
              <w:rPr>
                <w:rFonts w:ascii="Times New Roman" w:hAnsi="Times New Roman" w:cs="Times New Roman"/>
                <w:bCs/>
                <w:i/>
                <w:iCs/>
                <w:lang w:val="it-CH"/>
              </w:rPr>
              <w:t>în scopuri de întreprindere a măsurilor necesare pentru realizarea supravegherii de către autoritatea competentă din statul membru de origine</w:t>
            </w:r>
            <w:bookmarkEnd w:id="10"/>
            <w:r w:rsidRPr="009E686F">
              <w:rPr>
                <w:rFonts w:ascii="Times New Roman" w:hAnsi="Times New Roman" w:cs="Times New Roman"/>
                <w:bCs/>
                <w:i/>
                <w:iCs/>
                <w:lang w:val="it-CH"/>
              </w:rPr>
              <w:t>, date şi informaţii privind activităţile desfăşurate în Republica Moldova, potrivit actelor normative emise de aceasta.</w:t>
            </w:r>
          </w:p>
          <w:p w14:paraId="4FEDC80F" w14:textId="18B07539" w:rsidR="00265766" w:rsidRPr="009E686F" w:rsidRDefault="00265766" w:rsidP="00265766">
            <w:pPr>
              <w:spacing w:after="0"/>
              <w:jc w:val="both"/>
              <w:rPr>
                <w:rFonts w:ascii="Times New Roman" w:hAnsi="Times New Roman" w:cs="Times New Roman"/>
                <w:b/>
                <w:lang w:val="it-CH"/>
              </w:rPr>
            </w:pPr>
            <w:r w:rsidRPr="009E686F">
              <w:rPr>
                <w:rFonts w:ascii="Times New Roman" w:hAnsi="Times New Roman" w:cs="Times New Roman"/>
                <w:bCs/>
                <w:i/>
                <w:iCs/>
                <w:lang w:val="it-CH"/>
              </w:rPr>
              <w:t>(2) Datele şi informaţiile recepționate de Banca Națională a Moldovei în temeiul prezentului articol sunt supuse prevederilor privind secretul profesional din capitolul 3 titlul V.</w:t>
            </w:r>
          </w:p>
        </w:tc>
        <w:tc>
          <w:tcPr>
            <w:tcW w:w="470" w:type="pct"/>
            <w:tcBorders>
              <w:top w:val="single" w:sz="4" w:space="0" w:color="auto"/>
              <w:left w:val="single" w:sz="4" w:space="0" w:color="auto"/>
              <w:bottom w:val="single" w:sz="4" w:space="0" w:color="auto"/>
              <w:right w:val="single" w:sz="4" w:space="0" w:color="auto"/>
            </w:tcBorders>
          </w:tcPr>
          <w:p w14:paraId="5BD3E62D" w14:textId="77777777" w:rsidR="00265766" w:rsidRPr="009E686F" w:rsidRDefault="00265766" w:rsidP="00265766">
            <w:pPr>
              <w:jc w:val="both"/>
              <w:rPr>
                <w:rFonts w:ascii="Times New Roman" w:hAnsi="Times New Roman" w:cs="Times New Roman"/>
              </w:rPr>
            </w:pPr>
            <w:r w:rsidRPr="009E686F">
              <w:rPr>
                <w:rFonts w:ascii="Times New Roman" w:hAnsi="Times New Roman" w:cs="Times New Roman"/>
              </w:rPr>
              <w:lastRenderedPageBreak/>
              <w:t>Compatibil</w:t>
            </w:r>
          </w:p>
          <w:p w14:paraId="7020D118" w14:textId="77777777" w:rsidR="00265766" w:rsidRPr="009E686F" w:rsidRDefault="00265766" w:rsidP="00265766">
            <w:pPr>
              <w:jc w:val="both"/>
              <w:rPr>
                <w:rFonts w:ascii="Times New Roman" w:hAnsi="Times New Roman" w:cs="Times New Roman"/>
                <w:lang w:val="it-CH"/>
              </w:rPr>
            </w:pPr>
          </w:p>
        </w:tc>
        <w:tc>
          <w:tcPr>
            <w:tcW w:w="806" w:type="pct"/>
            <w:tcBorders>
              <w:top w:val="single" w:sz="4" w:space="0" w:color="auto"/>
              <w:left w:val="single" w:sz="4" w:space="0" w:color="auto"/>
              <w:bottom w:val="single" w:sz="4" w:space="0" w:color="auto"/>
              <w:right w:val="single" w:sz="4" w:space="0" w:color="auto"/>
            </w:tcBorders>
          </w:tcPr>
          <w:p w14:paraId="608640FB" w14:textId="77777777" w:rsidR="001859E1" w:rsidRPr="009E686F" w:rsidRDefault="001859E1" w:rsidP="001859E1">
            <w:pPr>
              <w:rPr>
                <w:lang w:val="it-CH"/>
              </w:rPr>
            </w:pPr>
            <w:r w:rsidRPr="009E686F">
              <w:rPr>
                <w:rFonts w:ascii="Times New Roman" w:hAnsi="Times New Roman" w:cs="Times New Roman"/>
                <w:lang w:val="ro-RO"/>
              </w:rPr>
              <w:t>În vigoare –5 ani de la data aderării.</w:t>
            </w:r>
          </w:p>
          <w:p w14:paraId="36028A45" w14:textId="77777777" w:rsidR="00265766" w:rsidRPr="009E686F" w:rsidRDefault="00265766" w:rsidP="00265766">
            <w:pPr>
              <w:spacing w:after="0"/>
              <w:jc w:val="both"/>
              <w:rPr>
                <w:rFonts w:ascii="Times New Roman" w:hAnsi="Times New Roman" w:cs="Times New Roman"/>
                <w:lang w:val="it-CH"/>
              </w:rPr>
            </w:pPr>
          </w:p>
        </w:tc>
      </w:tr>
      <w:tr w:rsidR="00265766" w:rsidRPr="009E686F" w14:paraId="45BB4284" w14:textId="77777777" w:rsidTr="00960C23">
        <w:trPr>
          <w:trHeight w:val="659"/>
        </w:trPr>
        <w:tc>
          <w:tcPr>
            <w:tcW w:w="1890" w:type="pct"/>
            <w:tcBorders>
              <w:top w:val="single" w:sz="4" w:space="0" w:color="auto"/>
              <w:left w:val="single" w:sz="4" w:space="0" w:color="auto"/>
              <w:bottom w:val="single" w:sz="4" w:space="0" w:color="auto"/>
              <w:right w:val="single" w:sz="4" w:space="0" w:color="auto"/>
            </w:tcBorders>
          </w:tcPr>
          <w:p w14:paraId="7F3B939C" w14:textId="0DE7BA84"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Autoritățile competente ale statului membru gazdă pot, în special, solicita informații de la instituțiile de credit menționate la primul paragraf cu scopul de a permite autorităților competente să evalueze dacă o sucursală este semnificativă în conformitate cu articolul 51 alineatul (1).</w:t>
            </w:r>
          </w:p>
        </w:tc>
        <w:tc>
          <w:tcPr>
            <w:tcW w:w="1834" w:type="pct"/>
            <w:tcBorders>
              <w:top w:val="single" w:sz="4" w:space="0" w:color="auto"/>
              <w:left w:val="single" w:sz="4" w:space="0" w:color="auto"/>
              <w:bottom w:val="single" w:sz="4" w:space="0" w:color="auto"/>
              <w:right w:val="single" w:sz="4" w:space="0" w:color="auto"/>
            </w:tcBorders>
          </w:tcPr>
          <w:p w14:paraId="6943ACF4" w14:textId="26BC6986" w:rsidR="00265766" w:rsidRPr="009E686F" w:rsidRDefault="00265766" w:rsidP="00265766">
            <w:pPr>
              <w:spacing w:after="0"/>
              <w:jc w:val="both"/>
              <w:rPr>
                <w:rFonts w:ascii="Times New Roman" w:hAnsi="Times New Roman" w:cs="Times New Roman"/>
                <w:bCs/>
                <w:i/>
                <w:iCs/>
                <w:lang w:val="it-CH"/>
              </w:rPr>
            </w:pPr>
            <w:r w:rsidRPr="009E686F">
              <w:rPr>
                <w:rFonts w:ascii="Times New Roman" w:hAnsi="Times New Roman" w:cs="Times New Roman"/>
                <w:bCs/>
                <w:i/>
                <w:iCs/>
                <w:lang w:val="it-IT"/>
              </w:rPr>
              <w:t xml:space="preserve">(3) Banca Naţională a Moldovei poate solicita instituțiilor de credit prevăzute la alin. </w:t>
            </w:r>
            <w:r w:rsidRPr="009E686F">
              <w:rPr>
                <w:rFonts w:ascii="Times New Roman" w:hAnsi="Times New Roman" w:cs="Times New Roman"/>
                <w:bCs/>
                <w:i/>
                <w:iCs/>
                <w:lang w:val="it-CH"/>
              </w:rPr>
              <w:t>(1) informaţii şi date pentru a evalua dacă sucursala din Republica Moldova este semnificativă, potrivit art. 108</w:t>
            </w:r>
            <w:r w:rsidRPr="009E686F">
              <w:rPr>
                <w:rFonts w:ascii="Times New Roman" w:hAnsi="Times New Roman" w:cs="Times New Roman"/>
                <w:bCs/>
                <w:i/>
                <w:iCs/>
                <w:vertAlign w:val="superscript"/>
                <w:lang w:val="it-CH"/>
              </w:rPr>
              <w:t>1</w:t>
            </w:r>
            <w:r w:rsidRPr="009E686F">
              <w:rPr>
                <w:rFonts w:ascii="Times New Roman" w:hAnsi="Times New Roman" w:cs="Times New Roman"/>
                <w:bCs/>
                <w:i/>
                <w:iCs/>
                <w:lang w:val="it-CH"/>
              </w:rPr>
              <w:t>.</w:t>
            </w:r>
          </w:p>
        </w:tc>
        <w:tc>
          <w:tcPr>
            <w:tcW w:w="470" w:type="pct"/>
            <w:tcBorders>
              <w:top w:val="single" w:sz="4" w:space="0" w:color="auto"/>
              <w:left w:val="single" w:sz="4" w:space="0" w:color="auto"/>
              <w:bottom w:val="single" w:sz="4" w:space="0" w:color="auto"/>
              <w:right w:val="single" w:sz="4" w:space="0" w:color="auto"/>
            </w:tcBorders>
          </w:tcPr>
          <w:p w14:paraId="2ADF1FB8" w14:textId="77777777" w:rsidR="00265766" w:rsidRPr="009E686F" w:rsidRDefault="00265766" w:rsidP="00265766">
            <w:pPr>
              <w:jc w:val="both"/>
              <w:rPr>
                <w:rFonts w:ascii="Times New Roman" w:hAnsi="Times New Roman" w:cs="Times New Roman"/>
              </w:rPr>
            </w:pPr>
            <w:r w:rsidRPr="009E686F">
              <w:rPr>
                <w:rFonts w:ascii="Times New Roman" w:hAnsi="Times New Roman" w:cs="Times New Roman"/>
              </w:rPr>
              <w:t>Compatibil</w:t>
            </w:r>
          </w:p>
          <w:p w14:paraId="1A2AC42A" w14:textId="0DD90781" w:rsidR="00265766" w:rsidRPr="009E686F" w:rsidRDefault="00265766" w:rsidP="00265766">
            <w:pPr>
              <w:jc w:val="both"/>
              <w:rPr>
                <w:rFonts w:ascii="Times New Roman" w:hAnsi="Times New Roman" w:cs="Times New Roman"/>
              </w:rPr>
            </w:pPr>
          </w:p>
        </w:tc>
        <w:tc>
          <w:tcPr>
            <w:tcW w:w="806" w:type="pct"/>
            <w:tcBorders>
              <w:left w:val="single" w:sz="4" w:space="0" w:color="auto"/>
              <w:bottom w:val="single" w:sz="4" w:space="0" w:color="auto"/>
              <w:right w:val="single" w:sz="4" w:space="0" w:color="auto"/>
            </w:tcBorders>
          </w:tcPr>
          <w:p w14:paraId="151EB59E" w14:textId="77777777" w:rsidR="001859E1" w:rsidRPr="009E686F" w:rsidRDefault="001859E1" w:rsidP="001859E1">
            <w:pPr>
              <w:rPr>
                <w:lang w:val="it-CH"/>
              </w:rPr>
            </w:pPr>
            <w:r w:rsidRPr="009E686F">
              <w:rPr>
                <w:rFonts w:ascii="Times New Roman" w:hAnsi="Times New Roman" w:cs="Times New Roman"/>
                <w:lang w:val="ro-RO"/>
              </w:rPr>
              <w:t>În vigoare –5 ani de la data aderării.</w:t>
            </w:r>
          </w:p>
          <w:p w14:paraId="030750B3" w14:textId="259C3FF5" w:rsidR="00265766" w:rsidRPr="009E686F" w:rsidRDefault="00265766" w:rsidP="00265766">
            <w:pPr>
              <w:spacing w:after="0"/>
              <w:jc w:val="both"/>
              <w:rPr>
                <w:rFonts w:ascii="Times New Roman" w:hAnsi="Times New Roman" w:cs="Times New Roman"/>
                <w:lang w:val="it-CH"/>
              </w:rPr>
            </w:pPr>
          </w:p>
        </w:tc>
      </w:tr>
      <w:tr w:rsidR="001859E1" w:rsidRPr="009E686F" w14:paraId="43CB076E" w14:textId="77777777" w:rsidTr="00960C23">
        <w:trPr>
          <w:trHeight w:val="4528"/>
        </w:trPr>
        <w:tc>
          <w:tcPr>
            <w:tcW w:w="1890" w:type="pct"/>
            <w:tcBorders>
              <w:top w:val="single" w:sz="4" w:space="0" w:color="auto"/>
              <w:left w:val="single" w:sz="4" w:space="0" w:color="auto"/>
              <w:right w:val="single" w:sz="4" w:space="0" w:color="auto"/>
            </w:tcBorders>
          </w:tcPr>
          <w:p w14:paraId="604F09E1" w14:textId="77777777" w:rsidR="001859E1" w:rsidRPr="009E686F" w:rsidRDefault="001859E1" w:rsidP="00265766">
            <w:pPr>
              <w:spacing w:after="0"/>
              <w:jc w:val="both"/>
              <w:rPr>
                <w:rFonts w:ascii="Times New Roman" w:hAnsi="Times New Roman" w:cs="Times New Roman"/>
                <w:i/>
                <w:iCs/>
                <w:lang w:val="it-CH"/>
              </w:rPr>
            </w:pPr>
            <w:r w:rsidRPr="009E686F">
              <w:rPr>
                <w:rFonts w:ascii="Times New Roman" w:hAnsi="Times New Roman" w:cs="Times New Roman"/>
                <w:i/>
                <w:iCs/>
                <w:lang w:val="it-CH"/>
              </w:rPr>
              <w:lastRenderedPageBreak/>
              <w:t>Articolul 41</w:t>
            </w:r>
          </w:p>
          <w:p w14:paraId="03BA0F24" w14:textId="77777777" w:rsidR="001859E1" w:rsidRPr="009E686F" w:rsidRDefault="001859E1" w:rsidP="00265766">
            <w:pPr>
              <w:spacing w:after="0"/>
              <w:jc w:val="both"/>
              <w:rPr>
                <w:rFonts w:ascii="Times New Roman" w:hAnsi="Times New Roman" w:cs="Times New Roman"/>
                <w:lang w:val="it-CH"/>
              </w:rPr>
            </w:pPr>
            <w:r w:rsidRPr="009E686F">
              <w:rPr>
                <w:rFonts w:ascii="Times New Roman" w:hAnsi="Times New Roman" w:cs="Times New Roman"/>
                <w:lang w:val="it-CH"/>
              </w:rPr>
              <w:t>Măsurile luate de autoritățile competente din statul membru de origine cu privire la activitățile desfășurate în statul membru gazdă</w:t>
            </w:r>
          </w:p>
          <w:p w14:paraId="1BDACBDD" w14:textId="77777777" w:rsidR="001859E1" w:rsidRPr="009E686F" w:rsidRDefault="001859E1" w:rsidP="00265766">
            <w:pPr>
              <w:spacing w:after="0"/>
              <w:jc w:val="both"/>
              <w:rPr>
                <w:rFonts w:ascii="Times New Roman" w:hAnsi="Times New Roman" w:cs="Times New Roman"/>
                <w:lang w:val="it-CH"/>
              </w:rPr>
            </w:pPr>
          </w:p>
          <w:p w14:paraId="093708BE" w14:textId="17F7CF03" w:rsidR="001859E1" w:rsidRPr="009E686F" w:rsidRDefault="001859E1" w:rsidP="00265766">
            <w:pPr>
              <w:spacing w:after="0"/>
              <w:jc w:val="both"/>
              <w:rPr>
                <w:rFonts w:ascii="Times New Roman" w:hAnsi="Times New Roman" w:cs="Times New Roman"/>
                <w:lang w:val="it-CH"/>
              </w:rPr>
            </w:pPr>
            <w:r w:rsidRPr="009E686F">
              <w:rPr>
                <w:rFonts w:ascii="Times New Roman" w:hAnsi="Times New Roman" w:cs="Times New Roman"/>
                <w:lang w:val="it-CH"/>
              </w:rPr>
              <w:t>(1) În cazul în care autoritățile competente din statul membru gazdă constată, pe baza informațiilor primite din partea autorităților competente din statul membru gazdă în temeiul articolului 50, că o instituție de credit care are o sucursală sau prestează servicii pe teritoriul statului respectiv se regăsește în una dintre situațiile de mai jos în ceea ce privește activitățile desfășurate în respectivul stat membru gazdă, acestea informează autoritățile competente din statul membru de origine:</w:t>
            </w:r>
          </w:p>
        </w:tc>
        <w:tc>
          <w:tcPr>
            <w:tcW w:w="1834" w:type="pct"/>
            <w:tcBorders>
              <w:top w:val="single" w:sz="4" w:space="0" w:color="auto"/>
              <w:left w:val="single" w:sz="4" w:space="0" w:color="auto"/>
              <w:right w:val="single" w:sz="4" w:space="0" w:color="auto"/>
            </w:tcBorders>
          </w:tcPr>
          <w:p w14:paraId="18E9BCFF" w14:textId="32F011B9" w:rsidR="001859E1" w:rsidRPr="009E686F" w:rsidRDefault="001859E1" w:rsidP="00265766">
            <w:pPr>
              <w:spacing w:after="0"/>
              <w:jc w:val="both"/>
              <w:rPr>
                <w:rFonts w:ascii="Times New Roman" w:hAnsi="Times New Roman" w:cs="Times New Roman"/>
                <w:bCs/>
                <w:i/>
                <w:iCs/>
                <w:lang w:val="it-IT"/>
              </w:rPr>
            </w:pPr>
            <w:r w:rsidRPr="009E686F">
              <w:rPr>
                <w:rFonts w:ascii="Times New Roman" w:hAnsi="Times New Roman" w:cs="Times New Roman"/>
                <w:b/>
                <w:lang w:val="it-IT"/>
              </w:rPr>
              <w:t>Articolul 23</w:t>
            </w:r>
            <w:r w:rsidRPr="009E686F">
              <w:rPr>
                <w:rFonts w:ascii="Times New Roman" w:hAnsi="Times New Roman" w:cs="Times New Roman"/>
                <w:b/>
                <w:vertAlign w:val="superscript"/>
                <w:lang w:val="it-IT"/>
              </w:rPr>
              <w:t>4</w:t>
            </w:r>
            <w:r w:rsidRPr="009E686F">
              <w:rPr>
                <w:rFonts w:ascii="Times New Roman" w:hAnsi="Times New Roman" w:cs="Times New Roman"/>
                <w:b/>
                <w:lang w:val="it-IT"/>
              </w:rPr>
              <w:t>.</w:t>
            </w:r>
            <w:r w:rsidRPr="009E686F">
              <w:rPr>
                <w:rFonts w:ascii="Times New Roman" w:hAnsi="Times New Roman" w:cs="Times New Roman"/>
                <w:bCs/>
                <w:i/>
                <w:iCs/>
                <w:lang w:val="it-IT"/>
              </w:rPr>
              <w:t xml:space="preserve"> Măsurile luate de Banca Națională a Moldovei cu privire la activitatea instituțiilor de credit din statele membre care își desfășoară activitatea pe teritoriul Republicii Moldova</w:t>
            </w:r>
          </w:p>
          <w:p w14:paraId="6DAE4228" w14:textId="5063A93C" w:rsidR="001859E1" w:rsidRPr="009E686F" w:rsidRDefault="001859E1" w:rsidP="00265766">
            <w:pPr>
              <w:spacing w:after="0"/>
              <w:jc w:val="both"/>
              <w:rPr>
                <w:rFonts w:ascii="Times New Roman" w:hAnsi="Times New Roman" w:cs="Times New Roman"/>
                <w:bCs/>
                <w:lang w:val="it-IT"/>
              </w:rPr>
            </w:pPr>
            <w:r w:rsidRPr="009E686F">
              <w:rPr>
                <w:rFonts w:ascii="Times New Roman" w:hAnsi="Times New Roman" w:cs="Times New Roman"/>
                <w:bCs/>
                <w:i/>
                <w:iCs/>
                <w:lang w:val="it-CH"/>
              </w:rPr>
              <w:t>(1) Banca Națională a Moldovei, în calitate de autoritate competentă din statul membru gazdă, informează autoritatea competentă din statul membru în care este înființată sau își are sediul central instituția de credit dintr-un stat membru care își desfășoară activitatea prin intermediul unei sucursale sau prestează în mod direct servicii pe teritoriul Republicii Moldova despre necesitatea luării măsurilor necesare pentru a se asigura că instituţia de credit în cauzărespectivă remediază situaţia de nerespectare sau ia măsurile necesare pentru a evita riscul de nerespectare, în cazul în care constată, pe baza informațiilor recepționate în temeiul art. 107, că respectiva instituție de credit se regăsește în una dintre următoarele situații:</w:t>
            </w:r>
          </w:p>
        </w:tc>
        <w:tc>
          <w:tcPr>
            <w:tcW w:w="470" w:type="pct"/>
            <w:tcBorders>
              <w:top w:val="single" w:sz="4" w:space="0" w:color="auto"/>
              <w:left w:val="single" w:sz="4" w:space="0" w:color="auto"/>
              <w:right w:val="single" w:sz="4" w:space="0" w:color="auto"/>
            </w:tcBorders>
          </w:tcPr>
          <w:p w14:paraId="39D05C25" w14:textId="77777777" w:rsidR="001859E1" w:rsidRPr="009E686F" w:rsidRDefault="001859E1" w:rsidP="00265766">
            <w:pPr>
              <w:jc w:val="both"/>
              <w:rPr>
                <w:rFonts w:ascii="Times New Roman" w:hAnsi="Times New Roman" w:cs="Times New Roman"/>
              </w:rPr>
            </w:pPr>
            <w:r w:rsidRPr="009E686F">
              <w:rPr>
                <w:rFonts w:ascii="Times New Roman" w:hAnsi="Times New Roman" w:cs="Times New Roman"/>
              </w:rPr>
              <w:t>Compatibil</w:t>
            </w:r>
          </w:p>
          <w:p w14:paraId="1C6FEEF4" w14:textId="5DB61081" w:rsidR="001859E1" w:rsidRPr="009E686F" w:rsidRDefault="001859E1" w:rsidP="00265766">
            <w:pPr>
              <w:jc w:val="both"/>
              <w:rPr>
                <w:rFonts w:ascii="Times New Roman" w:hAnsi="Times New Roman" w:cs="Times New Roman"/>
                <w:lang w:val="it-IT"/>
              </w:rPr>
            </w:pPr>
          </w:p>
        </w:tc>
        <w:tc>
          <w:tcPr>
            <w:tcW w:w="806" w:type="pct"/>
            <w:vMerge w:val="restart"/>
            <w:tcBorders>
              <w:top w:val="single" w:sz="4" w:space="0" w:color="auto"/>
              <w:left w:val="single" w:sz="4" w:space="0" w:color="auto"/>
              <w:right w:val="single" w:sz="4" w:space="0" w:color="auto"/>
            </w:tcBorders>
          </w:tcPr>
          <w:p w14:paraId="135664B6" w14:textId="77777777" w:rsidR="001859E1" w:rsidRPr="009E686F" w:rsidRDefault="001859E1" w:rsidP="001859E1">
            <w:pPr>
              <w:rPr>
                <w:lang w:val="it-CH"/>
              </w:rPr>
            </w:pPr>
            <w:r w:rsidRPr="009E686F">
              <w:rPr>
                <w:rFonts w:ascii="Times New Roman" w:hAnsi="Times New Roman" w:cs="Times New Roman"/>
                <w:lang w:val="ro-RO"/>
              </w:rPr>
              <w:t>În vigoare –5 ani de la data aderării.</w:t>
            </w:r>
          </w:p>
          <w:p w14:paraId="4E8F34A1" w14:textId="28A123B7" w:rsidR="001859E1" w:rsidRPr="009E686F" w:rsidRDefault="001859E1" w:rsidP="00265766">
            <w:pPr>
              <w:spacing w:after="0"/>
              <w:jc w:val="both"/>
              <w:rPr>
                <w:rFonts w:ascii="Times New Roman" w:hAnsi="Times New Roman" w:cs="Times New Roman"/>
                <w:lang w:val="it-CH"/>
              </w:rPr>
            </w:pPr>
          </w:p>
        </w:tc>
      </w:tr>
      <w:tr w:rsidR="001859E1" w:rsidRPr="009E686F" w14:paraId="406A902C" w14:textId="77777777" w:rsidTr="005E29C8">
        <w:tc>
          <w:tcPr>
            <w:tcW w:w="1890" w:type="pct"/>
            <w:tcBorders>
              <w:top w:val="single" w:sz="4" w:space="0" w:color="auto"/>
              <w:left w:val="single" w:sz="4" w:space="0" w:color="auto"/>
              <w:bottom w:val="single" w:sz="4" w:space="0" w:color="auto"/>
              <w:right w:val="single" w:sz="4" w:space="0" w:color="auto"/>
            </w:tcBorders>
          </w:tcPr>
          <w:p w14:paraId="34EE944B" w14:textId="0AE2ECD6" w:rsidR="001859E1" w:rsidRPr="009E686F" w:rsidRDefault="001859E1" w:rsidP="00265766">
            <w:pPr>
              <w:spacing w:after="0"/>
              <w:jc w:val="both"/>
              <w:rPr>
                <w:rFonts w:ascii="Times New Roman" w:hAnsi="Times New Roman" w:cs="Times New Roman"/>
                <w:lang w:val="pt-BR"/>
              </w:rPr>
            </w:pPr>
            <w:r w:rsidRPr="009E686F">
              <w:rPr>
                <w:rFonts w:ascii="Times New Roman" w:hAnsi="Times New Roman" w:cs="Times New Roman"/>
                <w:lang w:val="pt-BR"/>
              </w:rPr>
              <w:t>(a) instituția de credit nu respectă dispozițiile naționale de transpunere a prezentei directive sau Regulamentul (UE) nr. 575/2013;</w:t>
            </w:r>
          </w:p>
        </w:tc>
        <w:tc>
          <w:tcPr>
            <w:tcW w:w="1834" w:type="pct"/>
            <w:tcBorders>
              <w:top w:val="single" w:sz="4" w:space="0" w:color="auto"/>
              <w:left w:val="single" w:sz="4" w:space="0" w:color="auto"/>
              <w:bottom w:val="single" w:sz="4" w:space="0" w:color="auto"/>
              <w:right w:val="single" w:sz="4" w:space="0" w:color="auto"/>
            </w:tcBorders>
          </w:tcPr>
          <w:p w14:paraId="23C558B2" w14:textId="45A54E0B" w:rsidR="001859E1" w:rsidRPr="009E686F" w:rsidRDefault="001859E1" w:rsidP="00265766">
            <w:pPr>
              <w:spacing w:after="0"/>
              <w:jc w:val="both"/>
              <w:rPr>
                <w:rFonts w:ascii="Times New Roman" w:hAnsi="Times New Roman" w:cs="Times New Roman"/>
                <w:bCs/>
                <w:i/>
                <w:iCs/>
                <w:lang w:val="pt-BR"/>
              </w:rPr>
            </w:pPr>
            <w:r w:rsidRPr="009E686F">
              <w:rPr>
                <w:rFonts w:ascii="Times New Roman" w:hAnsi="Times New Roman" w:cs="Times New Roman"/>
                <w:bCs/>
                <w:i/>
                <w:iCs/>
                <w:lang w:val="pt-BR"/>
              </w:rPr>
              <w:t>a) instituția de credit nu respectă prevederile din prezenta lege și actele normative emise în aplicarea acesteia;</w:t>
            </w:r>
          </w:p>
        </w:tc>
        <w:tc>
          <w:tcPr>
            <w:tcW w:w="470" w:type="pct"/>
            <w:tcBorders>
              <w:top w:val="single" w:sz="4" w:space="0" w:color="auto"/>
              <w:left w:val="single" w:sz="4" w:space="0" w:color="auto"/>
              <w:bottom w:val="single" w:sz="4" w:space="0" w:color="auto"/>
              <w:right w:val="single" w:sz="4" w:space="0" w:color="auto"/>
            </w:tcBorders>
          </w:tcPr>
          <w:p w14:paraId="6D4C3D36" w14:textId="77777777" w:rsidR="001859E1" w:rsidRPr="009E686F" w:rsidRDefault="001859E1" w:rsidP="00265766">
            <w:pPr>
              <w:jc w:val="both"/>
              <w:rPr>
                <w:rFonts w:ascii="Times New Roman" w:hAnsi="Times New Roman" w:cs="Times New Roman"/>
              </w:rPr>
            </w:pPr>
            <w:r w:rsidRPr="009E686F">
              <w:rPr>
                <w:rFonts w:ascii="Times New Roman" w:hAnsi="Times New Roman" w:cs="Times New Roman"/>
              </w:rPr>
              <w:t>Compatibil</w:t>
            </w:r>
          </w:p>
          <w:p w14:paraId="1CA6E01B" w14:textId="5354F177" w:rsidR="001859E1" w:rsidRPr="009E686F" w:rsidRDefault="001859E1" w:rsidP="00265766">
            <w:pPr>
              <w:jc w:val="both"/>
              <w:rPr>
                <w:rFonts w:ascii="Times New Roman" w:hAnsi="Times New Roman" w:cs="Times New Roman"/>
              </w:rPr>
            </w:pPr>
          </w:p>
        </w:tc>
        <w:tc>
          <w:tcPr>
            <w:tcW w:w="806" w:type="pct"/>
            <w:vMerge/>
            <w:tcBorders>
              <w:left w:val="single" w:sz="4" w:space="0" w:color="auto"/>
              <w:right w:val="single" w:sz="4" w:space="0" w:color="auto"/>
            </w:tcBorders>
          </w:tcPr>
          <w:p w14:paraId="3EC55A2C" w14:textId="6A56E999" w:rsidR="001859E1" w:rsidRPr="009E686F" w:rsidRDefault="001859E1" w:rsidP="00265766">
            <w:pPr>
              <w:spacing w:after="0"/>
              <w:jc w:val="both"/>
              <w:rPr>
                <w:rFonts w:ascii="Times New Roman" w:hAnsi="Times New Roman" w:cs="Times New Roman"/>
              </w:rPr>
            </w:pPr>
          </w:p>
        </w:tc>
      </w:tr>
      <w:tr w:rsidR="001859E1" w:rsidRPr="009E686F" w14:paraId="70861634" w14:textId="77777777" w:rsidTr="005E29C8">
        <w:tc>
          <w:tcPr>
            <w:tcW w:w="1890" w:type="pct"/>
            <w:tcBorders>
              <w:top w:val="single" w:sz="4" w:space="0" w:color="auto"/>
              <w:left w:val="single" w:sz="4" w:space="0" w:color="auto"/>
              <w:bottom w:val="single" w:sz="4" w:space="0" w:color="auto"/>
              <w:right w:val="single" w:sz="4" w:space="0" w:color="auto"/>
            </w:tcBorders>
          </w:tcPr>
          <w:p w14:paraId="04F7A214" w14:textId="04320752" w:rsidR="001859E1" w:rsidRPr="009E686F" w:rsidRDefault="001859E1" w:rsidP="00265766">
            <w:pPr>
              <w:spacing w:after="0"/>
              <w:jc w:val="both"/>
              <w:rPr>
                <w:rFonts w:ascii="Times New Roman" w:hAnsi="Times New Roman" w:cs="Times New Roman"/>
                <w:lang w:val="pt-BR"/>
              </w:rPr>
            </w:pPr>
            <w:r w:rsidRPr="009E686F">
              <w:rPr>
                <w:rFonts w:ascii="Times New Roman" w:hAnsi="Times New Roman" w:cs="Times New Roman"/>
                <w:lang w:val="pt-BR"/>
              </w:rPr>
              <w:t>(b) există un risc semnificativ ca instituția de credit să nu respecte dispozițiile naționale de transpunere a prezentei directive sau Regulamentul (UE) nr. 575/2013.</w:t>
            </w:r>
          </w:p>
        </w:tc>
        <w:tc>
          <w:tcPr>
            <w:tcW w:w="1834" w:type="pct"/>
            <w:tcBorders>
              <w:top w:val="single" w:sz="4" w:space="0" w:color="auto"/>
              <w:left w:val="single" w:sz="4" w:space="0" w:color="auto"/>
              <w:bottom w:val="single" w:sz="4" w:space="0" w:color="auto"/>
              <w:right w:val="single" w:sz="4" w:space="0" w:color="auto"/>
            </w:tcBorders>
          </w:tcPr>
          <w:p w14:paraId="59431E5C" w14:textId="1B22F647" w:rsidR="001859E1" w:rsidRPr="009E686F" w:rsidRDefault="001859E1" w:rsidP="00265766">
            <w:pPr>
              <w:spacing w:after="0"/>
              <w:jc w:val="both"/>
              <w:rPr>
                <w:rFonts w:ascii="Times New Roman" w:hAnsi="Times New Roman" w:cs="Times New Roman"/>
                <w:bCs/>
                <w:i/>
                <w:iCs/>
                <w:lang w:val="pt-BR"/>
              </w:rPr>
            </w:pPr>
            <w:r w:rsidRPr="009E686F">
              <w:rPr>
                <w:rFonts w:ascii="Times New Roman" w:hAnsi="Times New Roman" w:cs="Times New Roman"/>
                <w:bCs/>
                <w:i/>
                <w:iCs/>
                <w:lang w:val="pt-BR"/>
              </w:rPr>
              <w:t>b) există un risc semnificativ ca instituția de credit să nu respecte prevederile prezentei legi și ale actelor normative emise în aplicarea acesteia.</w:t>
            </w:r>
          </w:p>
        </w:tc>
        <w:tc>
          <w:tcPr>
            <w:tcW w:w="470" w:type="pct"/>
            <w:tcBorders>
              <w:top w:val="single" w:sz="4" w:space="0" w:color="auto"/>
              <w:left w:val="single" w:sz="4" w:space="0" w:color="auto"/>
              <w:bottom w:val="single" w:sz="4" w:space="0" w:color="auto"/>
              <w:right w:val="single" w:sz="4" w:space="0" w:color="auto"/>
            </w:tcBorders>
          </w:tcPr>
          <w:p w14:paraId="04FCD2DE" w14:textId="77777777" w:rsidR="001859E1" w:rsidRPr="009E686F" w:rsidRDefault="001859E1" w:rsidP="00265766">
            <w:pPr>
              <w:jc w:val="both"/>
              <w:rPr>
                <w:rFonts w:ascii="Times New Roman" w:hAnsi="Times New Roman" w:cs="Times New Roman"/>
              </w:rPr>
            </w:pPr>
            <w:r w:rsidRPr="009E686F">
              <w:rPr>
                <w:rFonts w:ascii="Times New Roman" w:hAnsi="Times New Roman" w:cs="Times New Roman"/>
              </w:rPr>
              <w:t>Compatibil</w:t>
            </w:r>
          </w:p>
          <w:p w14:paraId="4211E0FB" w14:textId="1266AC84" w:rsidR="001859E1" w:rsidRPr="009E686F" w:rsidRDefault="001859E1" w:rsidP="00265766">
            <w:pPr>
              <w:jc w:val="both"/>
              <w:rPr>
                <w:rFonts w:ascii="Times New Roman" w:hAnsi="Times New Roman" w:cs="Times New Roman"/>
              </w:rPr>
            </w:pPr>
          </w:p>
        </w:tc>
        <w:tc>
          <w:tcPr>
            <w:tcW w:w="806" w:type="pct"/>
            <w:vMerge/>
            <w:tcBorders>
              <w:left w:val="single" w:sz="4" w:space="0" w:color="auto"/>
              <w:bottom w:val="single" w:sz="4" w:space="0" w:color="auto"/>
              <w:right w:val="single" w:sz="4" w:space="0" w:color="auto"/>
            </w:tcBorders>
          </w:tcPr>
          <w:p w14:paraId="7673A6CE" w14:textId="2ECD7843" w:rsidR="001859E1" w:rsidRPr="009E686F" w:rsidRDefault="001859E1" w:rsidP="00265766">
            <w:pPr>
              <w:spacing w:after="0"/>
              <w:jc w:val="both"/>
              <w:rPr>
                <w:rFonts w:ascii="Times New Roman" w:hAnsi="Times New Roman" w:cs="Times New Roman"/>
              </w:rPr>
            </w:pPr>
          </w:p>
        </w:tc>
      </w:tr>
      <w:tr w:rsidR="00265766" w:rsidRPr="009E686F" w14:paraId="36D2CCBA" w14:textId="77777777" w:rsidTr="00960C23">
        <w:tc>
          <w:tcPr>
            <w:tcW w:w="1890" w:type="pct"/>
            <w:tcBorders>
              <w:top w:val="single" w:sz="4" w:space="0" w:color="auto"/>
              <w:left w:val="single" w:sz="4" w:space="0" w:color="auto"/>
              <w:bottom w:val="single" w:sz="4" w:space="0" w:color="auto"/>
              <w:right w:val="single" w:sz="4" w:space="0" w:color="auto"/>
            </w:tcBorders>
          </w:tcPr>
          <w:p w14:paraId="4603D4F8" w14:textId="10CF3247"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Autoritățile competente din statul membru de origine iau fără întârziere toate măsurile necesare pentru a se asigura că instituția de credit în cauză remediază situația de nerespectare sau ia măsurile necesare pentru a evita riscul de nerespectare. Autoritățile competente ale statului membru de origine comunică fără întârziere respectivele măsuri autorităților competente din statul membru gazdă.</w:t>
            </w:r>
          </w:p>
        </w:tc>
        <w:tc>
          <w:tcPr>
            <w:tcW w:w="1834" w:type="pct"/>
            <w:tcBorders>
              <w:top w:val="single" w:sz="4" w:space="0" w:color="auto"/>
              <w:left w:val="single" w:sz="4" w:space="0" w:color="auto"/>
              <w:bottom w:val="single" w:sz="4" w:space="0" w:color="auto"/>
              <w:right w:val="single" w:sz="4" w:space="0" w:color="auto"/>
            </w:tcBorders>
          </w:tcPr>
          <w:p w14:paraId="181E5F23" w14:textId="3012DD95" w:rsidR="00265766" w:rsidRPr="009E686F" w:rsidRDefault="00265766" w:rsidP="00265766">
            <w:pPr>
              <w:spacing w:after="0"/>
              <w:jc w:val="both"/>
              <w:rPr>
                <w:rFonts w:ascii="Times New Roman" w:hAnsi="Times New Roman" w:cs="Times New Roman"/>
                <w:b/>
                <w:lang w:val="it-CH"/>
              </w:rPr>
            </w:pPr>
            <w:r w:rsidRPr="009E686F">
              <w:rPr>
                <w:rFonts w:ascii="Times New Roman" w:hAnsi="Times New Roman" w:cs="Times New Roman"/>
                <w:b/>
                <w:lang w:val="it-CH"/>
              </w:rPr>
              <w:t>Articolul 32</w:t>
            </w:r>
            <w:r w:rsidRPr="009E686F">
              <w:rPr>
                <w:rFonts w:ascii="Times New Roman" w:hAnsi="Times New Roman" w:cs="Times New Roman"/>
                <w:b/>
                <w:vertAlign w:val="superscript"/>
                <w:lang w:val="it-CH"/>
              </w:rPr>
              <w:t xml:space="preserve">2 </w:t>
            </w:r>
            <w:r w:rsidRPr="009E686F">
              <w:rPr>
                <w:rFonts w:ascii="Times New Roman" w:hAnsi="Times New Roman" w:cs="Times New Roman"/>
                <w:b/>
                <w:lang w:val="it-CH"/>
              </w:rPr>
              <w:t>alin. (1)</w:t>
            </w:r>
          </w:p>
          <w:p w14:paraId="632D7828" w14:textId="703F313D" w:rsidR="00265766" w:rsidRPr="009E686F" w:rsidRDefault="00265766" w:rsidP="00265766">
            <w:pPr>
              <w:spacing w:after="0"/>
              <w:jc w:val="both"/>
              <w:rPr>
                <w:rFonts w:ascii="Times New Roman" w:hAnsi="Times New Roman" w:cs="Times New Roman"/>
                <w:bCs/>
                <w:i/>
                <w:iCs/>
                <w:lang w:val="it-CH"/>
              </w:rPr>
            </w:pPr>
            <w:r w:rsidRPr="009E686F">
              <w:rPr>
                <w:rFonts w:ascii="Times New Roman" w:hAnsi="Times New Roman" w:cs="Times New Roman"/>
                <w:bCs/>
                <w:i/>
                <w:iCs/>
                <w:lang w:val="it-CH"/>
              </w:rPr>
              <w:t xml:space="preserve">(1) Dacă Banca Naţională a Moldovei este informată de către autoritatea competentă din statul membru gazdă că o instituție de credit, persoană juridică din Republica Moldova, care are o sucursală sau care prestează în mod direct servicii pe teritoriul statului membru respectiv, nu respectă sau există un risc semnificativ să nu respecte, în ceea ce priveşte activităţile desfăşurate pe teritoriul statului </w:t>
            </w:r>
            <w:r w:rsidRPr="009E686F">
              <w:rPr>
                <w:rFonts w:ascii="Times New Roman" w:hAnsi="Times New Roman" w:cs="Times New Roman"/>
                <w:bCs/>
                <w:i/>
                <w:iCs/>
                <w:lang w:val="it-CH"/>
              </w:rPr>
              <w:lastRenderedPageBreak/>
              <w:t xml:space="preserve">membru gazdă, prevederile legale adoptate în acel stat membru pentru transpunerea Directivei 2013/36/UE </w:t>
            </w:r>
            <w:r w:rsidR="00502029" w:rsidRPr="009E686F">
              <w:rPr>
                <w:rFonts w:ascii="Times New Roman" w:hAnsi="Times New Roman" w:cs="Times New Roman"/>
                <w:bCs/>
                <w:i/>
                <w:iCs/>
                <w:lang w:val="it-CH"/>
              </w:rPr>
              <w:t xml:space="preserve">a Parlamentului European și a Consiliului din 26 iunie 2013 cu privire la accesul la activitatea instituțiilor de credit și supravegherea prudențială a instituțiilor de credit și a firmelor de investiții, de modificare a Directivei 2002/87/CE și de abrogare a Directivelor 2006/48/CE și 2006/49/CE  </w:t>
            </w:r>
            <w:r w:rsidRPr="009E686F">
              <w:rPr>
                <w:rFonts w:ascii="Times New Roman" w:hAnsi="Times New Roman" w:cs="Times New Roman"/>
                <w:bCs/>
                <w:i/>
                <w:iCs/>
                <w:lang w:val="it-CH"/>
              </w:rPr>
              <w:t>sau aplicarea Regulamentului (UE) nr. 575/2013, aceasta dispune, de îndată, toate măsurile pentru a se asigura că instituția de credit respectivă remediază situaţia sau acţionează în vederea prevenirii riscului de neconformare și informează autoritatea competentă din statul membru gazdă despre măsurile luate.</w:t>
            </w:r>
          </w:p>
        </w:tc>
        <w:tc>
          <w:tcPr>
            <w:tcW w:w="470" w:type="pct"/>
            <w:tcBorders>
              <w:top w:val="single" w:sz="4" w:space="0" w:color="auto"/>
              <w:left w:val="single" w:sz="4" w:space="0" w:color="auto"/>
              <w:bottom w:val="single" w:sz="4" w:space="0" w:color="auto"/>
              <w:right w:val="single" w:sz="4" w:space="0" w:color="auto"/>
            </w:tcBorders>
          </w:tcPr>
          <w:p w14:paraId="2DB73C1C" w14:textId="77777777" w:rsidR="00265766" w:rsidRPr="009E686F" w:rsidRDefault="00265766" w:rsidP="00265766">
            <w:pPr>
              <w:jc w:val="both"/>
              <w:rPr>
                <w:rFonts w:ascii="Times New Roman" w:hAnsi="Times New Roman" w:cs="Times New Roman"/>
              </w:rPr>
            </w:pPr>
            <w:r w:rsidRPr="009E686F">
              <w:rPr>
                <w:rFonts w:ascii="Times New Roman" w:hAnsi="Times New Roman" w:cs="Times New Roman"/>
              </w:rPr>
              <w:lastRenderedPageBreak/>
              <w:t>Compatibil</w:t>
            </w:r>
          </w:p>
          <w:p w14:paraId="2BF198CD" w14:textId="738B5543" w:rsidR="00265766" w:rsidRPr="009E686F" w:rsidRDefault="00265766" w:rsidP="00265766">
            <w:pPr>
              <w:jc w:val="both"/>
              <w:rPr>
                <w:rFonts w:ascii="Times New Roman" w:hAnsi="Times New Roman" w:cs="Times New Roman"/>
              </w:rPr>
            </w:pPr>
          </w:p>
        </w:tc>
        <w:tc>
          <w:tcPr>
            <w:tcW w:w="806" w:type="pct"/>
            <w:tcBorders>
              <w:top w:val="single" w:sz="4" w:space="0" w:color="auto"/>
              <w:left w:val="single" w:sz="4" w:space="0" w:color="auto"/>
              <w:bottom w:val="single" w:sz="4" w:space="0" w:color="auto"/>
              <w:right w:val="single" w:sz="4" w:space="0" w:color="auto"/>
            </w:tcBorders>
          </w:tcPr>
          <w:p w14:paraId="4399EC31" w14:textId="77777777" w:rsidR="001859E1" w:rsidRPr="009E686F" w:rsidRDefault="001859E1" w:rsidP="001859E1">
            <w:pPr>
              <w:rPr>
                <w:lang w:val="it-CH"/>
              </w:rPr>
            </w:pPr>
            <w:r w:rsidRPr="009E686F">
              <w:rPr>
                <w:rFonts w:ascii="Times New Roman" w:hAnsi="Times New Roman" w:cs="Times New Roman"/>
                <w:lang w:val="ro-RO"/>
              </w:rPr>
              <w:t>În vigoare –5 ani de la data aderării.</w:t>
            </w:r>
          </w:p>
          <w:p w14:paraId="36EA079C" w14:textId="42F0D393" w:rsidR="00265766" w:rsidRPr="009E686F" w:rsidRDefault="00265766" w:rsidP="00265766">
            <w:pPr>
              <w:spacing w:after="0"/>
              <w:jc w:val="both"/>
              <w:rPr>
                <w:rFonts w:ascii="Times New Roman" w:hAnsi="Times New Roman" w:cs="Times New Roman"/>
                <w:lang w:val="it-CH"/>
              </w:rPr>
            </w:pPr>
          </w:p>
        </w:tc>
      </w:tr>
      <w:tr w:rsidR="00265766" w:rsidRPr="009E686F" w14:paraId="53DDE6D1" w14:textId="77777777" w:rsidTr="00960C23">
        <w:tc>
          <w:tcPr>
            <w:tcW w:w="1890" w:type="pct"/>
            <w:tcBorders>
              <w:top w:val="single" w:sz="4" w:space="0" w:color="auto"/>
              <w:left w:val="single" w:sz="4" w:space="0" w:color="auto"/>
              <w:bottom w:val="single" w:sz="4" w:space="0" w:color="auto"/>
              <w:right w:val="single" w:sz="4" w:space="0" w:color="auto"/>
            </w:tcBorders>
          </w:tcPr>
          <w:p w14:paraId="6187F0D4" w14:textId="451E2434"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(2) În cazul în care autoritățile competente din statul membru gazdă consideră că autoritățile competente din statul membru de origine nu și-au îndeplinit sau nu își vor îndeplini obligațiile prevăzute la alineatul (1) al doilea paragraf, pot să sesizeze ABE și să îi solicite asistența în conformitate cu articolul 19 din Regulamentul (UE) nr. 1093/2010. Atunci când ABE acționează în conformitate cu articolul menționat, aceasta ia orice decizie în temeiul articolului 19 alineatul (3) din regulamentul menționat în termen de 24 de ore. ABE poate de asemenea să acorde asistență din proprie inițiativă autorităților competente, în vederea ajungerii la un acord, în conformitate cu articolul 19 alineatul (1) al doilea paragraf din regulamentul menționat.</w:t>
            </w:r>
          </w:p>
        </w:tc>
        <w:tc>
          <w:tcPr>
            <w:tcW w:w="1834" w:type="pct"/>
            <w:tcBorders>
              <w:top w:val="single" w:sz="4" w:space="0" w:color="auto"/>
              <w:left w:val="single" w:sz="4" w:space="0" w:color="auto"/>
              <w:bottom w:val="single" w:sz="4" w:space="0" w:color="auto"/>
              <w:right w:val="single" w:sz="4" w:space="0" w:color="auto"/>
            </w:tcBorders>
          </w:tcPr>
          <w:p w14:paraId="4C665AC9" w14:textId="4B2045DF"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b/>
                <w:lang w:val="it-CH"/>
              </w:rPr>
              <w:t>Articolul 23</w:t>
            </w:r>
            <w:r w:rsidRPr="009E686F">
              <w:rPr>
                <w:rFonts w:ascii="Times New Roman" w:hAnsi="Times New Roman" w:cs="Times New Roman"/>
                <w:b/>
                <w:vertAlign w:val="superscript"/>
                <w:lang w:val="it-CH"/>
              </w:rPr>
              <w:t>4</w:t>
            </w:r>
            <w:r w:rsidRPr="009E686F">
              <w:rPr>
                <w:rFonts w:ascii="Times New Roman" w:hAnsi="Times New Roman" w:cs="Times New Roman"/>
                <w:b/>
                <w:lang w:val="it-CH"/>
              </w:rPr>
              <w:t xml:space="preserve"> alin.  (2)</w:t>
            </w:r>
          </w:p>
          <w:p w14:paraId="1B240953" w14:textId="2D839220" w:rsidR="00265766" w:rsidRPr="009E686F" w:rsidRDefault="00265766" w:rsidP="00265766">
            <w:pPr>
              <w:spacing w:after="0"/>
              <w:jc w:val="both"/>
              <w:rPr>
                <w:rFonts w:ascii="Times New Roman" w:hAnsi="Times New Roman" w:cs="Times New Roman"/>
                <w:bCs/>
                <w:i/>
                <w:iCs/>
                <w:lang w:val="it-CH"/>
              </w:rPr>
            </w:pPr>
            <w:r w:rsidRPr="009E686F">
              <w:rPr>
                <w:rFonts w:ascii="Times New Roman" w:hAnsi="Times New Roman" w:cs="Times New Roman"/>
                <w:i/>
                <w:lang w:val="it-CH"/>
              </w:rPr>
              <w:t>(2) Banca Națională a Moldovei poate să sesizeze Autoritatea Bancară Europeană pentru a solicita asistență, în cazul în care consideră că autoritatea competentă din statul membru de origine a instituției de credit care își desfășoară activitatea pe teritoriul Republicii Moldova nu și-a îndeplinit obligațiile de luare măsurilor menționate la alin. (1).</w:t>
            </w:r>
          </w:p>
        </w:tc>
        <w:tc>
          <w:tcPr>
            <w:tcW w:w="470" w:type="pct"/>
            <w:tcBorders>
              <w:top w:val="single" w:sz="4" w:space="0" w:color="auto"/>
              <w:left w:val="single" w:sz="4" w:space="0" w:color="auto"/>
              <w:bottom w:val="single" w:sz="4" w:space="0" w:color="auto"/>
              <w:right w:val="single" w:sz="4" w:space="0" w:color="auto"/>
            </w:tcBorders>
          </w:tcPr>
          <w:p w14:paraId="29338A5F" w14:textId="77777777" w:rsidR="00265766" w:rsidRPr="009E686F" w:rsidRDefault="00265766" w:rsidP="00265766">
            <w:pPr>
              <w:jc w:val="both"/>
              <w:rPr>
                <w:rFonts w:ascii="Times New Roman" w:hAnsi="Times New Roman" w:cs="Times New Roman"/>
              </w:rPr>
            </w:pPr>
            <w:r w:rsidRPr="009E686F">
              <w:rPr>
                <w:rFonts w:ascii="Times New Roman" w:hAnsi="Times New Roman" w:cs="Times New Roman"/>
              </w:rPr>
              <w:t>Compatibil</w:t>
            </w:r>
          </w:p>
          <w:p w14:paraId="3719B564" w14:textId="278F2A99" w:rsidR="00265766" w:rsidRPr="009E686F" w:rsidRDefault="00265766" w:rsidP="00265766">
            <w:pPr>
              <w:jc w:val="both"/>
              <w:rPr>
                <w:rFonts w:ascii="Times New Roman" w:hAnsi="Times New Roman" w:cs="Times New Roman"/>
              </w:rPr>
            </w:pPr>
          </w:p>
        </w:tc>
        <w:tc>
          <w:tcPr>
            <w:tcW w:w="806" w:type="pct"/>
            <w:tcBorders>
              <w:top w:val="single" w:sz="4" w:space="0" w:color="auto"/>
              <w:left w:val="single" w:sz="4" w:space="0" w:color="auto"/>
              <w:bottom w:val="single" w:sz="4" w:space="0" w:color="auto"/>
              <w:right w:val="single" w:sz="4" w:space="0" w:color="auto"/>
            </w:tcBorders>
          </w:tcPr>
          <w:p w14:paraId="0C2A5C4D" w14:textId="77777777" w:rsidR="001859E1" w:rsidRPr="009E686F" w:rsidRDefault="001859E1" w:rsidP="001859E1">
            <w:pPr>
              <w:rPr>
                <w:lang w:val="it-CH"/>
              </w:rPr>
            </w:pPr>
            <w:r w:rsidRPr="009E686F">
              <w:rPr>
                <w:rFonts w:ascii="Times New Roman" w:hAnsi="Times New Roman" w:cs="Times New Roman"/>
                <w:lang w:val="ro-RO"/>
              </w:rPr>
              <w:t>În vigoare –5 ani de la data aderării.</w:t>
            </w:r>
          </w:p>
          <w:p w14:paraId="72A288DC" w14:textId="6E7FC79D" w:rsidR="00265766" w:rsidRPr="009E686F" w:rsidRDefault="00265766" w:rsidP="00265766">
            <w:pPr>
              <w:spacing w:after="0"/>
              <w:jc w:val="both"/>
              <w:rPr>
                <w:rFonts w:ascii="Times New Roman" w:hAnsi="Times New Roman" w:cs="Times New Roman"/>
                <w:lang w:val="it-CH"/>
              </w:rPr>
            </w:pPr>
          </w:p>
        </w:tc>
      </w:tr>
      <w:tr w:rsidR="00265766" w:rsidRPr="009E686F" w14:paraId="1667F5AB" w14:textId="77777777" w:rsidTr="00960C23">
        <w:tc>
          <w:tcPr>
            <w:tcW w:w="1890" w:type="pct"/>
            <w:tcBorders>
              <w:top w:val="single" w:sz="4" w:space="0" w:color="auto"/>
              <w:left w:val="single" w:sz="4" w:space="0" w:color="auto"/>
              <w:bottom w:val="single" w:sz="4" w:space="0" w:color="auto"/>
              <w:right w:val="single" w:sz="4" w:space="0" w:color="auto"/>
            </w:tcBorders>
          </w:tcPr>
          <w:p w14:paraId="2C68332A" w14:textId="77777777" w:rsidR="00265766" w:rsidRPr="009E686F" w:rsidRDefault="00265766" w:rsidP="00265766">
            <w:pPr>
              <w:spacing w:after="0"/>
              <w:jc w:val="both"/>
              <w:rPr>
                <w:rFonts w:ascii="Times New Roman" w:hAnsi="Times New Roman" w:cs="Times New Roman"/>
                <w:i/>
                <w:lang w:val="it-CH"/>
              </w:rPr>
            </w:pPr>
            <w:r w:rsidRPr="009E686F">
              <w:rPr>
                <w:rFonts w:ascii="Times New Roman" w:hAnsi="Times New Roman" w:cs="Times New Roman"/>
                <w:i/>
                <w:lang w:val="it-CH"/>
              </w:rPr>
              <w:t xml:space="preserve">Articolul 42 </w:t>
            </w:r>
          </w:p>
          <w:p w14:paraId="50966F3E" w14:textId="327E2542"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Motivare și comunicare</w:t>
            </w:r>
          </w:p>
          <w:p w14:paraId="6591987E" w14:textId="77777777" w:rsidR="00265766" w:rsidRPr="009E686F" w:rsidRDefault="00265766" w:rsidP="00265766">
            <w:pPr>
              <w:spacing w:after="0"/>
              <w:jc w:val="both"/>
              <w:rPr>
                <w:rFonts w:ascii="Times New Roman" w:hAnsi="Times New Roman" w:cs="Times New Roman"/>
                <w:lang w:val="it-CH"/>
              </w:rPr>
            </w:pPr>
          </w:p>
          <w:p w14:paraId="36367EA2" w14:textId="1E06B4EB"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 xml:space="preserve">Orice măsură luată în temeiul articolului 41 alineatul (1), sau al articolului 43 sau al articolului 44, care implică sancțiuni sau restricții în exercitarea libertății de a presta servicii ori a </w:t>
            </w:r>
            <w:r w:rsidRPr="009E686F">
              <w:rPr>
                <w:rFonts w:ascii="Times New Roman" w:hAnsi="Times New Roman" w:cs="Times New Roman"/>
                <w:lang w:val="it-CH"/>
              </w:rPr>
              <w:lastRenderedPageBreak/>
              <w:t>libertății de stabilire, se motivează în mod corespunzător și se comunică instituției de credit în cauză.</w:t>
            </w:r>
          </w:p>
        </w:tc>
        <w:tc>
          <w:tcPr>
            <w:tcW w:w="1834" w:type="pct"/>
            <w:tcBorders>
              <w:top w:val="single" w:sz="4" w:space="0" w:color="auto"/>
              <w:left w:val="single" w:sz="4" w:space="0" w:color="auto"/>
              <w:bottom w:val="single" w:sz="4" w:space="0" w:color="auto"/>
              <w:right w:val="single" w:sz="4" w:space="0" w:color="auto"/>
            </w:tcBorders>
          </w:tcPr>
          <w:p w14:paraId="1BFB1A99" w14:textId="16636AD0" w:rsidR="00265766" w:rsidRPr="009E686F" w:rsidRDefault="00265766" w:rsidP="00265766">
            <w:pPr>
              <w:spacing w:after="0"/>
              <w:jc w:val="both"/>
              <w:rPr>
                <w:rFonts w:ascii="Times New Roman" w:hAnsi="Times New Roman" w:cs="Times New Roman"/>
                <w:b/>
                <w:lang w:val="it-CH"/>
              </w:rPr>
            </w:pPr>
            <w:r w:rsidRPr="009E686F">
              <w:rPr>
                <w:rFonts w:ascii="Times New Roman" w:hAnsi="Times New Roman" w:cs="Times New Roman"/>
                <w:b/>
                <w:lang w:val="it-CH"/>
              </w:rPr>
              <w:lastRenderedPageBreak/>
              <w:t>Articolul 22 alin.  (5)</w:t>
            </w:r>
          </w:p>
          <w:p w14:paraId="06C3FBD4" w14:textId="4FD77B40"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i/>
                <w:lang w:val="it-CH"/>
              </w:rPr>
              <w:t xml:space="preserve">(5) Hotărîrea Băncii Naţionale a Moldovei de retragere a autorizației va cuprinde motivele de retragere a autorizației. Despre retragerea autorizației este notificată instituția de credit respectivă, Fondul de garantare a depozitelor în sistemul bancar şi Serviciul Fiscal de Stat, precum și </w:t>
            </w:r>
            <w:r w:rsidRPr="009E686F">
              <w:rPr>
                <w:rFonts w:ascii="Times New Roman" w:hAnsi="Times New Roman" w:cs="Times New Roman"/>
                <w:i/>
                <w:lang w:val="it-CH"/>
              </w:rPr>
              <w:lastRenderedPageBreak/>
              <w:t>Autoritatea Bancară Europeană și autorităţile competente din statele membre gazdă în cazul retragerii autorizației unei instituții de credit, persoană juridică din Republica Moldova, care își desfăşoară activitatea pe teritoriul altor state membre, inclusiv cu privire la motivele și consecinţele retragerii autorizaţiei</w:t>
            </w:r>
            <w:r w:rsidRPr="009E686F">
              <w:rPr>
                <w:rFonts w:ascii="Times New Roman" w:hAnsi="Times New Roman" w:cs="Times New Roman"/>
                <w:lang w:val="it-CH"/>
              </w:rPr>
              <w:t xml:space="preserve">.  </w:t>
            </w:r>
          </w:p>
          <w:p w14:paraId="51DF781A" w14:textId="48AA9307" w:rsidR="00265766" w:rsidRPr="009E686F" w:rsidRDefault="00265766" w:rsidP="00265766">
            <w:pPr>
              <w:spacing w:after="0"/>
              <w:jc w:val="both"/>
              <w:rPr>
                <w:rFonts w:ascii="Times New Roman" w:hAnsi="Times New Roman" w:cs="Times New Roman"/>
                <w:b/>
                <w:lang w:val="it-CH"/>
              </w:rPr>
            </w:pPr>
            <w:r w:rsidRPr="009E686F">
              <w:rPr>
                <w:rFonts w:ascii="Times New Roman" w:hAnsi="Times New Roman" w:cs="Times New Roman"/>
                <w:b/>
                <w:lang w:val="it-CH"/>
              </w:rPr>
              <w:t>Articolul 32</w:t>
            </w:r>
            <w:r w:rsidRPr="009E686F">
              <w:rPr>
                <w:rFonts w:ascii="Times New Roman" w:hAnsi="Times New Roman" w:cs="Times New Roman"/>
                <w:b/>
                <w:vertAlign w:val="superscript"/>
                <w:lang w:val="it-CH"/>
              </w:rPr>
              <w:t>2</w:t>
            </w:r>
            <w:r w:rsidRPr="009E686F">
              <w:rPr>
                <w:rFonts w:ascii="Times New Roman" w:hAnsi="Times New Roman" w:cs="Times New Roman"/>
                <w:b/>
                <w:lang w:val="it-CH"/>
              </w:rPr>
              <w:t xml:space="preserve"> alin. (2)</w:t>
            </w:r>
          </w:p>
          <w:p w14:paraId="483B8596" w14:textId="6C4497CF" w:rsidR="00265766" w:rsidRPr="009E686F" w:rsidRDefault="00265766" w:rsidP="00265766">
            <w:pPr>
              <w:spacing w:after="0"/>
              <w:jc w:val="both"/>
              <w:rPr>
                <w:rFonts w:ascii="Times New Roman" w:hAnsi="Times New Roman" w:cs="Times New Roman"/>
                <w:i/>
                <w:lang w:val="it-CH"/>
              </w:rPr>
            </w:pPr>
            <w:r w:rsidRPr="009E686F">
              <w:rPr>
                <w:rFonts w:ascii="Times New Roman" w:hAnsi="Times New Roman" w:cs="Times New Roman"/>
                <w:i/>
                <w:lang w:val="it-CH"/>
              </w:rPr>
              <w:t>(2) Măsurile luate de Banca Națională a Moldovei în temeiul alineatului (1) care implică sancțiuni sau restricții în exercitarea libertății de a presta servicii sau a libertății de stabilire se comunică instituției de credit vizate cu indicarea motivelor care au stat la baza acestora.</w:t>
            </w:r>
          </w:p>
        </w:tc>
        <w:tc>
          <w:tcPr>
            <w:tcW w:w="470" w:type="pct"/>
            <w:tcBorders>
              <w:top w:val="single" w:sz="4" w:space="0" w:color="auto"/>
              <w:left w:val="single" w:sz="4" w:space="0" w:color="auto"/>
              <w:bottom w:val="single" w:sz="4" w:space="0" w:color="auto"/>
              <w:right w:val="single" w:sz="4" w:space="0" w:color="auto"/>
            </w:tcBorders>
          </w:tcPr>
          <w:p w14:paraId="7076A8F5" w14:textId="77777777" w:rsidR="00265766" w:rsidRPr="009E686F" w:rsidRDefault="00265766" w:rsidP="00265766">
            <w:pPr>
              <w:jc w:val="both"/>
              <w:rPr>
                <w:rFonts w:ascii="Times New Roman" w:hAnsi="Times New Roman" w:cs="Times New Roman"/>
              </w:rPr>
            </w:pPr>
            <w:r w:rsidRPr="009E686F">
              <w:rPr>
                <w:rFonts w:ascii="Times New Roman" w:hAnsi="Times New Roman" w:cs="Times New Roman"/>
              </w:rPr>
              <w:lastRenderedPageBreak/>
              <w:t>Compatibil</w:t>
            </w:r>
          </w:p>
          <w:p w14:paraId="5DF5279A" w14:textId="6CB3E537" w:rsidR="00265766" w:rsidRPr="009E686F" w:rsidRDefault="00265766" w:rsidP="00265766">
            <w:pPr>
              <w:jc w:val="both"/>
              <w:rPr>
                <w:rFonts w:ascii="Times New Roman" w:hAnsi="Times New Roman" w:cs="Times New Roman"/>
              </w:rPr>
            </w:pPr>
          </w:p>
        </w:tc>
        <w:tc>
          <w:tcPr>
            <w:tcW w:w="806" w:type="pct"/>
            <w:tcBorders>
              <w:top w:val="single" w:sz="4" w:space="0" w:color="auto"/>
              <w:left w:val="single" w:sz="4" w:space="0" w:color="auto"/>
              <w:bottom w:val="single" w:sz="4" w:space="0" w:color="auto"/>
              <w:right w:val="single" w:sz="4" w:space="0" w:color="auto"/>
            </w:tcBorders>
          </w:tcPr>
          <w:p w14:paraId="79B70D54" w14:textId="77777777" w:rsidR="001859E1" w:rsidRPr="009E686F" w:rsidRDefault="001859E1" w:rsidP="001859E1">
            <w:pPr>
              <w:rPr>
                <w:lang w:val="it-CH"/>
              </w:rPr>
            </w:pPr>
            <w:r w:rsidRPr="009E686F">
              <w:rPr>
                <w:rFonts w:ascii="Times New Roman" w:hAnsi="Times New Roman" w:cs="Times New Roman"/>
                <w:lang w:val="ro-RO"/>
              </w:rPr>
              <w:t>În vigoare –5 ani de la data aderării.</w:t>
            </w:r>
          </w:p>
          <w:p w14:paraId="4215C5ED" w14:textId="705091C5" w:rsidR="00265766" w:rsidRPr="009E686F" w:rsidRDefault="00265766" w:rsidP="00265766">
            <w:pPr>
              <w:spacing w:after="0"/>
              <w:jc w:val="both"/>
              <w:rPr>
                <w:rFonts w:ascii="Times New Roman" w:hAnsi="Times New Roman" w:cs="Times New Roman"/>
                <w:lang w:val="it-CH"/>
              </w:rPr>
            </w:pPr>
          </w:p>
        </w:tc>
      </w:tr>
      <w:tr w:rsidR="00265766" w:rsidRPr="009E686F" w14:paraId="7D7728DA" w14:textId="77777777" w:rsidTr="00960C23">
        <w:tc>
          <w:tcPr>
            <w:tcW w:w="1890" w:type="pct"/>
            <w:tcBorders>
              <w:top w:val="single" w:sz="4" w:space="0" w:color="auto"/>
              <w:left w:val="single" w:sz="4" w:space="0" w:color="auto"/>
              <w:bottom w:val="single" w:sz="4" w:space="0" w:color="auto"/>
              <w:right w:val="single" w:sz="4" w:space="0" w:color="auto"/>
            </w:tcBorders>
          </w:tcPr>
          <w:p w14:paraId="6B17D259" w14:textId="77777777" w:rsidR="00265766" w:rsidRPr="009E686F" w:rsidRDefault="00265766" w:rsidP="00265766">
            <w:pPr>
              <w:spacing w:after="0"/>
              <w:jc w:val="both"/>
              <w:rPr>
                <w:rFonts w:ascii="Times New Roman" w:hAnsi="Times New Roman" w:cs="Times New Roman"/>
                <w:i/>
                <w:lang w:val="it-CH"/>
              </w:rPr>
            </w:pPr>
            <w:r w:rsidRPr="009E686F">
              <w:rPr>
                <w:rFonts w:ascii="Times New Roman" w:hAnsi="Times New Roman" w:cs="Times New Roman"/>
                <w:i/>
                <w:lang w:val="it-CH"/>
              </w:rPr>
              <w:t xml:space="preserve">Articolul 43 </w:t>
            </w:r>
          </w:p>
          <w:p w14:paraId="15606760" w14:textId="77777777"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 xml:space="preserve">Măsuri preventive </w:t>
            </w:r>
          </w:p>
          <w:p w14:paraId="353BC5AB" w14:textId="727F4780"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(1) Înainte de a urma procedura prevăzută la articolul 41, autoritățile competente din statul membru gazdă, în situații de urgență, până când autoritățile competente din statul membru de origine adoptă măsuri sau până când se aplică măsuri de reorganizare conform articolului 3 din Directiva 2001/24/CE, pot să ia toate măsurile preventive necesare pentru a asigura o protecție împotriva instabilității financiare care ar amenința grav interesele colective ale deponenților, investitorilor și clienților în statul membru gazdă.</w:t>
            </w:r>
          </w:p>
        </w:tc>
        <w:tc>
          <w:tcPr>
            <w:tcW w:w="1834" w:type="pct"/>
            <w:tcBorders>
              <w:top w:val="single" w:sz="4" w:space="0" w:color="auto"/>
              <w:left w:val="single" w:sz="4" w:space="0" w:color="auto"/>
              <w:bottom w:val="single" w:sz="4" w:space="0" w:color="auto"/>
              <w:right w:val="single" w:sz="4" w:space="0" w:color="auto"/>
            </w:tcBorders>
          </w:tcPr>
          <w:p w14:paraId="123402B7" w14:textId="0A7D9A70" w:rsidR="00265766" w:rsidRPr="009E686F" w:rsidRDefault="00265766" w:rsidP="00265766">
            <w:pPr>
              <w:spacing w:after="0"/>
              <w:jc w:val="both"/>
              <w:rPr>
                <w:rFonts w:ascii="Times New Roman" w:hAnsi="Times New Roman" w:cs="Times New Roman"/>
                <w:b/>
                <w:lang w:val="it-CH"/>
              </w:rPr>
            </w:pPr>
            <w:r w:rsidRPr="009E686F">
              <w:rPr>
                <w:rFonts w:ascii="Times New Roman" w:hAnsi="Times New Roman" w:cs="Times New Roman"/>
                <w:b/>
                <w:lang w:val="it-CH"/>
              </w:rPr>
              <w:t>Articolul 23</w:t>
            </w:r>
            <w:r w:rsidRPr="009E686F">
              <w:rPr>
                <w:rFonts w:ascii="Times New Roman" w:hAnsi="Times New Roman" w:cs="Times New Roman"/>
                <w:b/>
                <w:vertAlign w:val="superscript"/>
                <w:lang w:val="it-CH"/>
              </w:rPr>
              <w:t>4</w:t>
            </w:r>
            <w:r w:rsidRPr="009E686F">
              <w:rPr>
                <w:rFonts w:ascii="Times New Roman" w:hAnsi="Times New Roman" w:cs="Times New Roman"/>
                <w:b/>
                <w:lang w:val="it-CH"/>
              </w:rPr>
              <w:t xml:space="preserve"> alin. (3)</w:t>
            </w:r>
          </w:p>
          <w:p w14:paraId="14162156" w14:textId="62A06107" w:rsidR="00265766" w:rsidRPr="009E686F" w:rsidRDefault="00265766" w:rsidP="00265766">
            <w:pPr>
              <w:spacing w:after="0"/>
              <w:jc w:val="both"/>
              <w:rPr>
                <w:rFonts w:ascii="Times New Roman" w:hAnsi="Times New Roman" w:cs="Times New Roman"/>
                <w:i/>
                <w:lang w:val="it-CH"/>
              </w:rPr>
            </w:pPr>
            <w:r w:rsidRPr="009E686F">
              <w:rPr>
                <w:rFonts w:ascii="Times New Roman" w:hAnsi="Times New Roman" w:cs="Times New Roman"/>
                <w:i/>
                <w:lang w:val="it-CH"/>
              </w:rPr>
              <w:t xml:space="preserve">(3) În situații de urgență, până la aplicarea măsurilor prevăzute de alin. (1) de către autoritatea competentă din statul memrbu de origine a instituției de credit care își desfășoară activitatea pe teritoriul Republicii Moldova sau până la aplicarea măsurilor de reorganizare în conformitate cu actele normative care transpun prevederile Directivei 2001/24/CE </w:t>
            </w:r>
            <w:r w:rsidR="00D7122D" w:rsidRPr="009E686F">
              <w:rPr>
                <w:rFonts w:ascii="Times New Roman" w:hAnsi="Times New Roman" w:cs="Times New Roman"/>
                <w:i/>
                <w:lang w:val="it-CH"/>
              </w:rPr>
              <w:t xml:space="preserve">a Parlamentului European și a Consiliului din 4 aprilie 2001 </w:t>
            </w:r>
            <w:r w:rsidRPr="009E686F">
              <w:rPr>
                <w:rFonts w:ascii="Times New Roman" w:hAnsi="Times New Roman" w:cs="Times New Roman"/>
                <w:i/>
                <w:lang w:val="it-CH"/>
              </w:rPr>
              <w:t>privind reorganizarea și lichidarea instituțiilor de credit, Banca Națională a Moldovei poate să ia măsuri preventive necesare proporționale cu scopul de a asigura o protecţie împotriva instabilităţii financiare care ar ameninţa grav interesele colective ale deponenţilor, investitorilor și clienţilor instituțiilor de credit.</w:t>
            </w:r>
          </w:p>
        </w:tc>
        <w:tc>
          <w:tcPr>
            <w:tcW w:w="470" w:type="pct"/>
            <w:tcBorders>
              <w:top w:val="single" w:sz="4" w:space="0" w:color="auto"/>
              <w:left w:val="single" w:sz="4" w:space="0" w:color="auto"/>
              <w:bottom w:val="single" w:sz="4" w:space="0" w:color="auto"/>
              <w:right w:val="single" w:sz="4" w:space="0" w:color="auto"/>
            </w:tcBorders>
          </w:tcPr>
          <w:p w14:paraId="7B23B9E3" w14:textId="77777777" w:rsidR="00265766" w:rsidRPr="009E686F" w:rsidRDefault="00265766" w:rsidP="00265766">
            <w:pPr>
              <w:jc w:val="both"/>
              <w:rPr>
                <w:rFonts w:ascii="Times New Roman" w:hAnsi="Times New Roman" w:cs="Times New Roman"/>
              </w:rPr>
            </w:pPr>
            <w:r w:rsidRPr="009E686F">
              <w:rPr>
                <w:rFonts w:ascii="Times New Roman" w:hAnsi="Times New Roman" w:cs="Times New Roman"/>
              </w:rPr>
              <w:t>Compatibil</w:t>
            </w:r>
          </w:p>
          <w:p w14:paraId="5B0B4AF4" w14:textId="0DE5C6C5" w:rsidR="00265766" w:rsidRPr="009E686F" w:rsidRDefault="00265766" w:rsidP="00265766">
            <w:pPr>
              <w:jc w:val="both"/>
              <w:rPr>
                <w:rFonts w:ascii="Times New Roman" w:hAnsi="Times New Roman" w:cs="Times New Roman"/>
              </w:rPr>
            </w:pPr>
          </w:p>
        </w:tc>
        <w:tc>
          <w:tcPr>
            <w:tcW w:w="806" w:type="pct"/>
            <w:tcBorders>
              <w:top w:val="single" w:sz="4" w:space="0" w:color="auto"/>
              <w:left w:val="single" w:sz="4" w:space="0" w:color="auto"/>
              <w:bottom w:val="single" w:sz="4" w:space="0" w:color="auto"/>
              <w:right w:val="single" w:sz="4" w:space="0" w:color="auto"/>
            </w:tcBorders>
          </w:tcPr>
          <w:p w14:paraId="6DF6224B" w14:textId="77777777" w:rsidR="000053DB" w:rsidRPr="009E686F" w:rsidRDefault="000053DB" w:rsidP="000053DB">
            <w:pPr>
              <w:rPr>
                <w:lang w:val="it-CH"/>
              </w:rPr>
            </w:pPr>
            <w:r w:rsidRPr="009E686F">
              <w:rPr>
                <w:rFonts w:ascii="Times New Roman" w:hAnsi="Times New Roman" w:cs="Times New Roman"/>
                <w:lang w:val="ro-RO"/>
              </w:rPr>
              <w:t>În vigoare –5 ani de la data aderării.</w:t>
            </w:r>
          </w:p>
          <w:p w14:paraId="7F7B53A6" w14:textId="41224704" w:rsidR="00265766" w:rsidRPr="009E686F" w:rsidRDefault="00265766" w:rsidP="00265766">
            <w:pPr>
              <w:spacing w:after="0"/>
              <w:jc w:val="both"/>
              <w:rPr>
                <w:rFonts w:ascii="Times New Roman" w:hAnsi="Times New Roman" w:cs="Times New Roman"/>
                <w:lang w:val="it-CH"/>
              </w:rPr>
            </w:pPr>
          </w:p>
        </w:tc>
      </w:tr>
      <w:tr w:rsidR="00265766" w:rsidRPr="009E686F" w14:paraId="2E58F243" w14:textId="77777777" w:rsidTr="00960C23">
        <w:tc>
          <w:tcPr>
            <w:tcW w:w="1890" w:type="pct"/>
            <w:tcBorders>
              <w:top w:val="single" w:sz="4" w:space="0" w:color="auto"/>
              <w:left w:val="single" w:sz="4" w:space="0" w:color="auto"/>
              <w:bottom w:val="single" w:sz="4" w:space="0" w:color="auto"/>
              <w:right w:val="single" w:sz="4" w:space="0" w:color="auto"/>
            </w:tcBorders>
          </w:tcPr>
          <w:p w14:paraId="1650D49D" w14:textId="54F01D5D"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 xml:space="preserve">(2) Orice măsură preventiv în temeiul alineatului (1) este proporțională cu scopul său, care este acela de a proteja împotriva instabilității financiare care ar amenința grav interesele colective ale deponenților, investitorilor și clienților din statul membru gazdă. Astfel de măsuri preventive pot include suspendarea plății. Acestea nu au ca rezultat </w:t>
            </w:r>
            <w:r w:rsidRPr="009E686F">
              <w:rPr>
                <w:rFonts w:ascii="Times New Roman" w:hAnsi="Times New Roman" w:cs="Times New Roman"/>
                <w:lang w:val="it-CH"/>
              </w:rPr>
              <w:lastRenderedPageBreak/>
              <w:t>favorizarea creditorilor instituției de credit din statul membru gazdă față de creditorii din alte state membre.</w:t>
            </w:r>
          </w:p>
        </w:tc>
        <w:tc>
          <w:tcPr>
            <w:tcW w:w="1834" w:type="pct"/>
            <w:tcBorders>
              <w:top w:val="single" w:sz="4" w:space="0" w:color="auto"/>
              <w:left w:val="single" w:sz="4" w:space="0" w:color="auto"/>
              <w:bottom w:val="single" w:sz="4" w:space="0" w:color="auto"/>
              <w:right w:val="single" w:sz="4" w:space="0" w:color="auto"/>
            </w:tcBorders>
          </w:tcPr>
          <w:p w14:paraId="50A3A0C2" w14:textId="577DC922" w:rsidR="00265766" w:rsidRPr="009E686F" w:rsidRDefault="00265766" w:rsidP="00265766">
            <w:pPr>
              <w:spacing w:after="0"/>
              <w:jc w:val="both"/>
              <w:rPr>
                <w:rFonts w:ascii="Times New Roman" w:hAnsi="Times New Roman" w:cs="Times New Roman"/>
                <w:b/>
                <w:lang w:val="it-CH"/>
              </w:rPr>
            </w:pPr>
            <w:r w:rsidRPr="009E686F">
              <w:rPr>
                <w:rFonts w:ascii="Times New Roman" w:hAnsi="Times New Roman" w:cs="Times New Roman"/>
                <w:b/>
                <w:lang w:val="it-CH"/>
              </w:rPr>
              <w:lastRenderedPageBreak/>
              <w:t>Articolul 23</w:t>
            </w:r>
            <w:r w:rsidRPr="009E686F">
              <w:rPr>
                <w:rFonts w:ascii="Times New Roman" w:hAnsi="Times New Roman" w:cs="Times New Roman"/>
                <w:b/>
                <w:vertAlign w:val="superscript"/>
                <w:lang w:val="it-CH"/>
              </w:rPr>
              <w:t>4</w:t>
            </w:r>
            <w:r w:rsidRPr="009E686F">
              <w:rPr>
                <w:rFonts w:ascii="Times New Roman" w:hAnsi="Times New Roman" w:cs="Times New Roman"/>
                <w:b/>
                <w:lang w:val="it-CH"/>
              </w:rPr>
              <w:t xml:space="preserve"> alin.  (6)</w:t>
            </w:r>
          </w:p>
          <w:p w14:paraId="37194B2B" w14:textId="069FD60F" w:rsidR="00265766" w:rsidRPr="009E686F" w:rsidRDefault="00265766" w:rsidP="00265766">
            <w:pPr>
              <w:spacing w:after="0"/>
              <w:jc w:val="both"/>
              <w:rPr>
                <w:rFonts w:ascii="Times New Roman" w:hAnsi="Times New Roman" w:cs="Times New Roman"/>
                <w:i/>
                <w:lang w:val="it-CH"/>
              </w:rPr>
            </w:pPr>
            <w:r w:rsidRPr="009E686F">
              <w:rPr>
                <w:rFonts w:ascii="Times New Roman" w:hAnsi="Times New Roman" w:cs="Times New Roman"/>
                <w:i/>
                <w:lang w:val="it-CH"/>
              </w:rPr>
              <w:t>(6) Măsurile preventive prevăzute la alineatul (3) pot include suspendarea plăţii și nu trebuie să aibă ca rezultat favorizarea creditorilor instituției de credit persoană juridică din Republica Moldova faţă de creditorii din alte state membre.</w:t>
            </w:r>
          </w:p>
        </w:tc>
        <w:tc>
          <w:tcPr>
            <w:tcW w:w="470" w:type="pct"/>
            <w:tcBorders>
              <w:top w:val="single" w:sz="4" w:space="0" w:color="auto"/>
              <w:left w:val="single" w:sz="4" w:space="0" w:color="auto"/>
              <w:bottom w:val="single" w:sz="4" w:space="0" w:color="auto"/>
              <w:right w:val="single" w:sz="4" w:space="0" w:color="auto"/>
            </w:tcBorders>
          </w:tcPr>
          <w:p w14:paraId="5C16BC48" w14:textId="4968A098" w:rsidR="00265766" w:rsidRPr="009E686F" w:rsidRDefault="00265766" w:rsidP="00265766">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19B9C1CA" w14:textId="77777777" w:rsidR="00EF3208" w:rsidRPr="009E686F" w:rsidRDefault="00EF3208" w:rsidP="00EF3208">
            <w:pPr>
              <w:rPr>
                <w:lang w:val="it-CH"/>
              </w:rPr>
            </w:pPr>
            <w:r w:rsidRPr="009E686F">
              <w:rPr>
                <w:rFonts w:ascii="Times New Roman" w:hAnsi="Times New Roman" w:cs="Times New Roman"/>
                <w:lang w:val="ro-RO"/>
              </w:rPr>
              <w:t>În vigoare –5 ani de la data aderării.</w:t>
            </w:r>
          </w:p>
          <w:p w14:paraId="273E038F" w14:textId="5B475F0F" w:rsidR="00265766" w:rsidRPr="009E686F" w:rsidRDefault="00265766" w:rsidP="00265766">
            <w:pPr>
              <w:spacing w:after="0"/>
              <w:jc w:val="both"/>
              <w:rPr>
                <w:rFonts w:ascii="Times New Roman" w:hAnsi="Times New Roman" w:cs="Times New Roman"/>
                <w:lang w:val="it-CH"/>
              </w:rPr>
            </w:pPr>
          </w:p>
        </w:tc>
      </w:tr>
      <w:tr w:rsidR="00265766" w:rsidRPr="009E686F" w14:paraId="63F3863D" w14:textId="77777777" w:rsidTr="00960C23">
        <w:tc>
          <w:tcPr>
            <w:tcW w:w="1890" w:type="pct"/>
            <w:tcBorders>
              <w:top w:val="single" w:sz="4" w:space="0" w:color="auto"/>
              <w:left w:val="single" w:sz="4" w:space="0" w:color="auto"/>
              <w:bottom w:val="single" w:sz="4" w:space="0" w:color="auto"/>
              <w:right w:val="single" w:sz="4" w:space="0" w:color="auto"/>
            </w:tcBorders>
          </w:tcPr>
          <w:p w14:paraId="72978515" w14:textId="2B0DEA6F"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(3) Orice măsură preventivă în temeiul alineatului (1) își încetează efectul atunci când autoritățile administrative sau judiciare din statul membru de origine iau măsuri de reorganizare în temeiul articolului 3 din Directiva 2001/24/CE.</w:t>
            </w:r>
          </w:p>
        </w:tc>
        <w:tc>
          <w:tcPr>
            <w:tcW w:w="1834" w:type="pct"/>
            <w:tcBorders>
              <w:top w:val="single" w:sz="4" w:space="0" w:color="auto"/>
              <w:left w:val="single" w:sz="4" w:space="0" w:color="auto"/>
              <w:bottom w:val="single" w:sz="4" w:space="0" w:color="auto"/>
              <w:right w:val="single" w:sz="4" w:space="0" w:color="auto"/>
            </w:tcBorders>
          </w:tcPr>
          <w:p w14:paraId="43A7BFB5" w14:textId="51EBADA1" w:rsidR="00265766" w:rsidRPr="009E686F" w:rsidRDefault="00265766" w:rsidP="00265766">
            <w:pPr>
              <w:spacing w:after="0"/>
              <w:jc w:val="both"/>
              <w:rPr>
                <w:rFonts w:ascii="Times New Roman" w:hAnsi="Times New Roman" w:cs="Times New Roman"/>
                <w:b/>
                <w:bCs/>
                <w:lang w:val="it-CH"/>
              </w:rPr>
            </w:pPr>
            <w:r w:rsidRPr="009E686F">
              <w:rPr>
                <w:rFonts w:ascii="Times New Roman" w:hAnsi="Times New Roman" w:cs="Times New Roman"/>
                <w:b/>
                <w:bCs/>
                <w:lang w:val="it-CH"/>
              </w:rPr>
              <w:t>Articolul 23</w:t>
            </w:r>
            <w:r w:rsidRPr="009E686F">
              <w:rPr>
                <w:rFonts w:ascii="Times New Roman" w:hAnsi="Times New Roman" w:cs="Times New Roman"/>
                <w:b/>
                <w:bCs/>
                <w:vertAlign w:val="superscript"/>
                <w:lang w:val="it-CH"/>
              </w:rPr>
              <w:t>4</w:t>
            </w:r>
            <w:r w:rsidRPr="009E686F">
              <w:rPr>
                <w:rFonts w:ascii="Times New Roman" w:hAnsi="Times New Roman" w:cs="Times New Roman"/>
                <w:b/>
                <w:bCs/>
                <w:lang w:val="it-CH"/>
              </w:rPr>
              <w:t xml:space="preserve"> alin.  (4)</w:t>
            </w:r>
          </w:p>
          <w:p w14:paraId="63D95BEB" w14:textId="1E352796" w:rsidR="00265766" w:rsidRPr="009E686F" w:rsidRDefault="00265766" w:rsidP="00265766">
            <w:pPr>
              <w:spacing w:after="0"/>
              <w:jc w:val="both"/>
              <w:rPr>
                <w:rFonts w:ascii="Times New Roman" w:hAnsi="Times New Roman" w:cs="Times New Roman"/>
                <w:bCs/>
                <w:i/>
                <w:iCs/>
                <w:lang w:val="it-CH"/>
              </w:rPr>
            </w:pPr>
            <w:r w:rsidRPr="009E686F">
              <w:rPr>
                <w:rFonts w:ascii="Times New Roman" w:hAnsi="Times New Roman" w:cs="Times New Roman"/>
                <w:bCs/>
                <w:i/>
                <w:iCs/>
                <w:lang w:val="it-CH"/>
              </w:rPr>
              <w:t xml:space="preserve">(4) Odată cu aplicarea măsurii de reorganizare de către autoritățile din statul membru de origine în conformitate cu actele normative care transpun prevederile Directivei 2001/24/CE </w:t>
            </w:r>
            <w:r w:rsidR="00D7122D" w:rsidRPr="009E686F">
              <w:rPr>
                <w:rFonts w:ascii="Times New Roman" w:hAnsi="Times New Roman" w:cs="Times New Roman"/>
                <w:bCs/>
                <w:i/>
                <w:iCs/>
                <w:lang w:val="it-CH"/>
              </w:rPr>
              <w:t xml:space="preserve">a Parlamentului European și a Consiliului din 4 aprilie 2001 </w:t>
            </w:r>
            <w:r w:rsidRPr="009E686F">
              <w:rPr>
                <w:rFonts w:ascii="Times New Roman" w:hAnsi="Times New Roman" w:cs="Times New Roman"/>
                <w:bCs/>
                <w:i/>
                <w:iCs/>
                <w:lang w:val="it-CH"/>
              </w:rPr>
              <w:t>privind reorganizarea și lichidarea instituțiilor de credit, orice măsură preventivă luată de Banca Națională a Moldovei își încetează de drept efectul.</w:t>
            </w:r>
          </w:p>
        </w:tc>
        <w:tc>
          <w:tcPr>
            <w:tcW w:w="470" w:type="pct"/>
            <w:tcBorders>
              <w:top w:val="single" w:sz="4" w:space="0" w:color="auto"/>
              <w:left w:val="single" w:sz="4" w:space="0" w:color="auto"/>
              <w:bottom w:val="single" w:sz="4" w:space="0" w:color="auto"/>
              <w:right w:val="single" w:sz="4" w:space="0" w:color="auto"/>
            </w:tcBorders>
          </w:tcPr>
          <w:p w14:paraId="235CD9AF" w14:textId="77777777" w:rsidR="00265766" w:rsidRPr="009E686F" w:rsidRDefault="00265766" w:rsidP="00265766">
            <w:pPr>
              <w:jc w:val="both"/>
              <w:rPr>
                <w:rFonts w:ascii="Times New Roman" w:hAnsi="Times New Roman" w:cs="Times New Roman"/>
              </w:rPr>
            </w:pPr>
            <w:r w:rsidRPr="009E686F">
              <w:rPr>
                <w:rFonts w:ascii="Times New Roman" w:hAnsi="Times New Roman" w:cs="Times New Roman"/>
              </w:rPr>
              <w:t>Compatibil</w:t>
            </w:r>
          </w:p>
          <w:p w14:paraId="51A0844A" w14:textId="00D41962" w:rsidR="00265766" w:rsidRPr="009E686F" w:rsidRDefault="00265766" w:rsidP="00265766">
            <w:pPr>
              <w:jc w:val="both"/>
              <w:rPr>
                <w:rFonts w:ascii="Times New Roman" w:hAnsi="Times New Roman" w:cs="Times New Roman"/>
              </w:rPr>
            </w:pPr>
          </w:p>
        </w:tc>
        <w:tc>
          <w:tcPr>
            <w:tcW w:w="806" w:type="pct"/>
            <w:tcBorders>
              <w:top w:val="single" w:sz="4" w:space="0" w:color="auto"/>
              <w:left w:val="single" w:sz="4" w:space="0" w:color="auto"/>
              <w:bottom w:val="single" w:sz="4" w:space="0" w:color="auto"/>
              <w:right w:val="single" w:sz="4" w:space="0" w:color="auto"/>
            </w:tcBorders>
          </w:tcPr>
          <w:p w14:paraId="4C99F403" w14:textId="77777777" w:rsidR="00EF3208" w:rsidRPr="009E686F" w:rsidRDefault="00EF3208" w:rsidP="00EF3208">
            <w:pPr>
              <w:rPr>
                <w:lang w:val="it-CH"/>
              </w:rPr>
            </w:pPr>
            <w:r w:rsidRPr="009E686F">
              <w:rPr>
                <w:rFonts w:ascii="Times New Roman" w:hAnsi="Times New Roman" w:cs="Times New Roman"/>
                <w:lang w:val="ro-RO"/>
              </w:rPr>
              <w:t>În vigoare –5 ani de la data aderării.</w:t>
            </w:r>
          </w:p>
          <w:p w14:paraId="618EE2DF" w14:textId="6F41FD54" w:rsidR="00265766" w:rsidRPr="009E686F" w:rsidRDefault="00265766" w:rsidP="00265766">
            <w:pPr>
              <w:spacing w:after="0"/>
              <w:jc w:val="both"/>
              <w:rPr>
                <w:rFonts w:ascii="Times New Roman" w:hAnsi="Times New Roman" w:cs="Times New Roman"/>
                <w:lang w:val="it-CH"/>
              </w:rPr>
            </w:pPr>
          </w:p>
        </w:tc>
      </w:tr>
      <w:tr w:rsidR="00265766" w:rsidRPr="009E686F" w14:paraId="50D05DC7" w14:textId="77777777" w:rsidTr="00960C23">
        <w:tc>
          <w:tcPr>
            <w:tcW w:w="1890" w:type="pct"/>
            <w:tcBorders>
              <w:top w:val="single" w:sz="4" w:space="0" w:color="auto"/>
              <w:left w:val="single" w:sz="4" w:space="0" w:color="auto"/>
              <w:bottom w:val="single" w:sz="4" w:space="0" w:color="auto"/>
              <w:right w:val="single" w:sz="4" w:space="0" w:color="auto"/>
            </w:tcBorders>
          </w:tcPr>
          <w:p w14:paraId="78EAF39A" w14:textId="6EA444BF"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(4) Autoritățile competente din statul membru gazdă dispun încetarea măsurilor preventive în cazul în care consideră că măsurile respective au devenit caduce în temeiul articolului 41, cu excepția cazului în care acestea își încetează efectul în conformitate cu alineatul (3) de la prezentul articol.</w:t>
            </w:r>
          </w:p>
        </w:tc>
        <w:tc>
          <w:tcPr>
            <w:tcW w:w="1834" w:type="pct"/>
            <w:tcBorders>
              <w:top w:val="single" w:sz="4" w:space="0" w:color="auto"/>
              <w:left w:val="single" w:sz="4" w:space="0" w:color="auto"/>
              <w:bottom w:val="single" w:sz="4" w:space="0" w:color="auto"/>
              <w:right w:val="single" w:sz="4" w:space="0" w:color="auto"/>
            </w:tcBorders>
          </w:tcPr>
          <w:p w14:paraId="603696AD" w14:textId="19F24A02" w:rsidR="00265766" w:rsidRPr="009E686F" w:rsidRDefault="00265766" w:rsidP="00265766">
            <w:pPr>
              <w:spacing w:after="0"/>
              <w:jc w:val="both"/>
              <w:rPr>
                <w:rFonts w:ascii="Times New Roman" w:hAnsi="Times New Roman" w:cs="Times New Roman"/>
                <w:b/>
                <w:bCs/>
                <w:lang w:val="it-CH"/>
              </w:rPr>
            </w:pPr>
            <w:r w:rsidRPr="009E686F">
              <w:rPr>
                <w:rFonts w:ascii="Times New Roman" w:hAnsi="Times New Roman" w:cs="Times New Roman"/>
                <w:b/>
                <w:bCs/>
                <w:lang w:val="it-CH"/>
              </w:rPr>
              <w:t>Articolul 23</w:t>
            </w:r>
            <w:r w:rsidRPr="009E686F">
              <w:rPr>
                <w:rFonts w:ascii="Times New Roman" w:hAnsi="Times New Roman" w:cs="Times New Roman"/>
                <w:b/>
                <w:bCs/>
                <w:vertAlign w:val="superscript"/>
                <w:lang w:val="it-CH"/>
              </w:rPr>
              <w:t>4</w:t>
            </w:r>
            <w:r w:rsidRPr="009E686F">
              <w:rPr>
                <w:rFonts w:ascii="Times New Roman" w:hAnsi="Times New Roman" w:cs="Times New Roman"/>
                <w:b/>
                <w:bCs/>
                <w:lang w:val="it-CH"/>
              </w:rPr>
              <w:t xml:space="preserve"> alin. (5)</w:t>
            </w:r>
          </w:p>
          <w:p w14:paraId="039E42CC" w14:textId="57F9473F" w:rsidR="00265766" w:rsidRPr="009E686F" w:rsidRDefault="00265766" w:rsidP="00265766">
            <w:pPr>
              <w:spacing w:after="0"/>
              <w:jc w:val="both"/>
              <w:rPr>
                <w:rFonts w:ascii="Times New Roman" w:hAnsi="Times New Roman" w:cs="Times New Roman"/>
                <w:bCs/>
                <w:i/>
                <w:iCs/>
                <w:lang w:val="it-CH"/>
              </w:rPr>
            </w:pPr>
            <w:r w:rsidRPr="009E686F">
              <w:rPr>
                <w:rFonts w:ascii="Times New Roman" w:hAnsi="Times New Roman" w:cs="Times New Roman"/>
                <w:bCs/>
                <w:i/>
                <w:iCs/>
                <w:lang w:val="it-CH"/>
              </w:rPr>
              <w:t>(5) Banca Națională a Moldovei dispune încetarea măsurilor prevăzute de alineatul (3) în cazul în care se constată că măsurile respective au devenit caduce, cu excepția măsurilor care au încetat de drept conform alineatului (4).</w:t>
            </w:r>
          </w:p>
        </w:tc>
        <w:tc>
          <w:tcPr>
            <w:tcW w:w="470" w:type="pct"/>
            <w:tcBorders>
              <w:top w:val="single" w:sz="4" w:space="0" w:color="auto"/>
              <w:left w:val="single" w:sz="4" w:space="0" w:color="auto"/>
              <w:bottom w:val="single" w:sz="4" w:space="0" w:color="auto"/>
              <w:right w:val="single" w:sz="4" w:space="0" w:color="auto"/>
            </w:tcBorders>
          </w:tcPr>
          <w:p w14:paraId="7EFCEF81" w14:textId="77777777" w:rsidR="00265766" w:rsidRPr="009E686F" w:rsidRDefault="00265766" w:rsidP="00265766">
            <w:pPr>
              <w:jc w:val="both"/>
              <w:rPr>
                <w:rFonts w:ascii="Times New Roman" w:hAnsi="Times New Roman" w:cs="Times New Roman"/>
              </w:rPr>
            </w:pPr>
            <w:r w:rsidRPr="009E686F">
              <w:rPr>
                <w:rFonts w:ascii="Times New Roman" w:hAnsi="Times New Roman" w:cs="Times New Roman"/>
              </w:rPr>
              <w:t>Compatibil</w:t>
            </w:r>
          </w:p>
          <w:p w14:paraId="1432E7AD" w14:textId="1C193BC4" w:rsidR="00265766" w:rsidRPr="009E686F" w:rsidRDefault="00265766" w:rsidP="00265766">
            <w:pPr>
              <w:jc w:val="both"/>
              <w:rPr>
                <w:rFonts w:ascii="Times New Roman" w:hAnsi="Times New Roman" w:cs="Times New Roman"/>
              </w:rPr>
            </w:pPr>
          </w:p>
        </w:tc>
        <w:tc>
          <w:tcPr>
            <w:tcW w:w="806" w:type="pct"/>
            <w:tcBorders>
              <w:top w:val="single" w:sz="4" w:space="0" w:color="auto"/>
              <w:left w:val="single" w:sz="4" w:space="0" w:color="auto"/>
              <w:bottom w:val="single" w:sz="4" w:space="0" w:color="auto"/>
              <w:right w:val="single" w:sz="4" w:space="0" w:color="auto"/>
            </w:tcBorders>
          </w:tcPr>
          <w:p w14:paraId="324E3B5A" w14:textId="77777777" w:rsidR="00EF3208" w:rsidRPr="009E686F" w:rsidRDefault="00EF3208" w:rsidP="00EF3208">
            <w:pPr>
              <w:rPr>
                <w:lang w:val="it-CH"/>
              </w:rPr>
            </w:pPr>
            <w:r w:rsidRPr="009E686F">
              <w:rPr>
                <w:rFonts w:ascii="Times New Roman" w:hAnsi="Times New Roman" w:cs="Times New Roman"/>
                <w:lang w:val="ro-RO"/>
              </w:rPr>
              <w:t>În vigoare –5 ani de la data aderării.</w:t>
            </w:r>
          </w:p>
          <w:p w14:paraId="11D7CC6D" w14:textId="15FFDFA1" w:rsidR="00265766" w:rsidRPr="009E686F" w:rsidRDefault="00265766" w:rsidP="00265766">
            <w:pPr>
              <w:spacing w:after="0"/>
              <w:jc w:val="both"/>
              <w:rPr>
                <w:rFonts w:ascii="Times New Roman" w:hAnsi="Times New Roman" w:cs="Times New Roman"/>
                <w:lang w:val="it-CH"/>
              </w:rPr>
            </w:pPr>
          </w:p>
        </w:tc>
      </w:tr>
      <w:tr w:rsidR="00265766" w:rsidRPr="009E686F" w14:paraId="3ACF2E55" w14:textId="77777777" w:rsidTr="00960C23">
        <w:tc>
          <w:tcPr>
            <w:tcW w:w="1890" w:type="pct"/>
            <w:tcBorders>
              <w:top w:val="single" w:sz="4" w:space="0" w:color="auto"/>
              <w:left w:val="single" w:sz="4" w:space="0" w:color="auto"/>
              <w:bottom w:val="single" w:sz="4" w:space="0" w:color="auto"/>
              <w:right w:val="single" w:sz="4" w:space="0" w:color="auto"/>
            </w:tcBorders>
          </w:tcPr>
          <w:p w14:paraId="7B17429D" w14:textId="0080AAB0"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(5) Comisia, ABE și autoritățile competente din celelalte state membre implicate sunt informate fără întârziere cu privire la măsurile preventive adoptate în temeiul alineatului (1).</w:t>
            </w:r>
          </w:p>
        </w:tc>
        <w:tc>
          <w:tcPr>
            <w:tcW w:w="1834" w:type="pct"/>
            <w:tcBorders>
              <w:top w:val="single" w:sz="4" w:space="0" w:color="auto"/>
              <w:left w:val="single" w:sz="4" w:space="0" w:color="auto"/>
              <w:bottom w:val="single" w:sz="4" w:space="0" w:color="auto"/>
              <w:right w:val="single" w:sz="4" w:space="0" w:color="auto"/>
            </w:tcBorders>
          </w:tcPr>
          <w:p w14:paraId="7AEF4396" w14:textId="4FE6811A" w:rsidR="00265766" w:rsidRPr="009E686F" w:rsidRDefault="00265766" w:rsidP="00265766">
            <w:pPr>
              <w:spacing w:after="0"/>
              <w:jc w:val="both"/>
              <w:rPr>
                <w:rFonts w:ascii="Times New Roman" w:hAnsi="Times New Roman" w:cs="Times New Roman"/>
                <w:b/>
                <w:bCs/>
                <w:lang w:val="it-CH"/>
              </w:rPr>
            </w:pPr>
            <w:r w:rsidRPr="009E686F">
              <w:rPr>
                <w:rFonts w:ascii="Times New Roman" w:hAnsi="Times New Roman" w:cs="Times New Roman"/>
                <w:b/>
                <w:bCs/>
                <w:lang w:val="it-CH"/>
              </w:rPr>
              <w:t>Articolul 23</w:t>
            </w:r>
            <w:r w:rsidRPr="009E686F">
              <w:rPr>
                <w:rFonts w:ascii="Times New Roman" w:hAnsi="Times New Roman" w:cs="Times New Roman"/>
                <w:b/>
                <w:bCs/>
                <w:vertAlign w:val="superscript"/>
                <w:lang w:val="it-CH"/>
              </w:rPr>
              <w:t>4</w:t>
            </w:r>
            <w:r w:rsidRPr="009E686F">
              <w:rPr>
                <w:rFonts w:ascii="Times New Roman" w:hAnsi="Times New Roman" w:cs="Times New Roman"/>
                <w:b/>
                <w:bCs/>
                <w:lang w:val="it-CH"/>
              </w:rPr>
              <w:t xml:space="preserve"> alin.  (7)</w:t>
            </w:r>
          </w:p>
          <w:p w14:paraId="726A7297" w14:textId="3C3277FA" w:rsidR="00265766" w:rsidRPr="009E686F" w:rsidRDefault="00265766" w:rsidP="00265766">
            <w:pPr>
              <w:spacing w:after="0"/>
              <w:jc w:val="both"/>
              <w:rPr>
                <w:rFonts w:ascii="Times New Roman" w:hAnsi="Times New Roman" w:cs="Times New Roman"/>
                <w:bCs/>
                <w:i/>
                <w:iCs/>
                <w:lang w:val="it-CH"/>
              </w:rPr>
            </w:pPr>
            <w:r w:rsidRPr="009E686F">
              <w:rPr>
                <w:rFonts w:ascii="Times New Roman" w:hAnsi="Times New Roman" w:cs="Times New Roman"/>
                <w:bCs/>
                <w:i/>
                <w:iCs/>
                <w:lang w:val="it-CH"/>
              </w:rPr>
              <w:t>(7) Banca Națională a Moldovei informează, în cel mai scurt timp posibil, Comisia Europeană, Autoritatea Bancară Europeană și autoritățile competente din statul membru de origine și ale altor state membre implicate despre măsurile luate potrivit alineatului (3).</w:t>
            </w:r>
          </w:p>
        </w:tc>
        <w:tc>
          <w:tcPr>
            <w:tcW w:w="470" w:type="pct"/>
            <w:tcBorders>
              <w:top w:val="single" w:sz="4" w:space="0" w:color="auto"/>
              <w:left w:val="single" w:sz="4" w:space="0" w:color="auto"/>
              <w:bottom w:val="single" w:sz="4" w:space="0" w:color="auto"/>
              <w:right w:val="single" w:sz="4" w:space="0" w:color="auto"/>
            </w:tcBorders>
          </w:tcPr>
          <w:p w14:paraId="711D7250" w14:textId="77777777" w:rsidR="00265766" w:rsidRPr="009E686F" w:rsidRDefault="00265766" w:rsidP="00265766">
            <w:pPr>
              <w:jc w:val="both"/>
              <w:rPr>
                <w:rFonts w:ascii="Times New Roman" w:hAnsi="Times New Roman" w:cs="Times New Roman"/>
              </w:rPr>
            </w:pPr>
            <w:r w:rsidRPr="009E686F">
              <w:rPr>
                <w:rFonts w:ascii="Times New Roman" w:hAnsi="Times New Roman" w:cs="Times New Roman"/>
              </w:rPr>
              <w:t>Compatibil</w:t>
            </w:r>
          </w:p>
          <w:p w14:paraId="7F12ED6C" w14:textId="2962A482" w:rsidR="00265766" w:rsidRPr="009E686F" w:rsidRDefault="00265766" w:rsidP="00265766">
            <w:pPr>
              <w:jc w:val="both"/>
              <w:rPr>
                <w:rFonts w:ascii="Times New Roman" w:hAnsi="Times New Roman" w:cs="Times New Roman"/>
              </w:rPr>
            </w:pPr>
          </w:p>
        </w:tc>
        <w:tc>
          <w:tcPr>
            <w:tcW w:w="806" w:type="pct"/>
            <w:tcBorders>
              <w:top w:val="single" w:sz="4" w:space="0" w:color="auto"/>
              <w:left w:val="single" w:sz="4" w:space="0" w:color="auto"/>
              <w:bottom w:val="single" w:sz="4" w:space="0" w:color="auto"/>
              <w:right w:val="single" w:sz="4" w:space="0" w:color="auto"/>
            </w:tcBorders>
          </w:tcPr>
          <w:p w14:paraId="7D0C43D8" w14:textId="77777777" w:rsidR="00EF3208" w:rsidRPr="009E686F" w:rsidRDefault="00EF3208" w:rsidP="00EF3208">
            <w:pPr>
              <w:rPr>
                <w:lang w:val="it-CH"/>
              </w:rPr>
            </w:pPr>
            <w:r w:rsidRPr="009E686F">
              <w:rPr>
                <w:rFonts w:ascii="Times New Roman" w:hAnsi="Times New Roman" w:cs="Times New Roman"/>
                <w:lang w:val="ro-RO"/>
              </w:rPr>
              <w:t>În vigoare –5 ani de la data aderării.</w:t>
            </w:r>
          </w:p>
          <w:p w14:paraId="4AA14B39" w14:textId="7FEE968F" w:rsidR="00265766" w:rsidRPr="009E686F" w:rsidRDefault="00265766" w:rsidP="00265766">
            <w:pPr>
              <w:spacing w:after="0"/>
              <w:jc w:val="both"/>
              <w:rPr>
                <w:rFonts w:ascii="Times New Roman" w:hAnsi="Times New Roman" w:cs="Times New Roman"/>
                <w:lang w:val="it-CH"/>
              </w:rPr>
            </w:pPr>
          </w:p>
        </w:tc>
      </w:tr>
      <w:tr w:rsidR="00265766" w:rsidRPr="009E686F" w14:paraId="0CAC9BB4" w14:textId="77777777" w:rsidTr="00960C23">
        <w:tc>
          <w:tcPr>
            <w:tcW w:w="1890" w:type="pct"/>
            <w:tcBorders>
              <w:top w:val="single" w:sz="4" w:space="0" w:color="auto"/>
              <w:left w:val="single" w:sz="4" w:space="0" w:color="auto"/>
              <w:bottom w:val="single" w:sz="4" w:space="0" w:color="auto"/>
              <w:right w:val="single" w:sz="4" w:space="0" w:color="auto"/>
            </w:tcBorders>
          </w:tcPr>
          <w:p w14:paraId="31DD9196" w14:textId="77777777"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 xml:space="preserve">În cazul în care autoritățile competente ale statului membru de origine sau ale altor state membre afectate au obiecții față de măsurile luate de autoritățile competente ale statului membru gazdă, pot să sesizeze ABE în acest sens și să îi solicite asistența în conformitate cu articolul 19 din Regulamentul (UE) nr. 1093/2010. Atunci când ABE acționează în conformitate cu articolul menționat, aceasta ia orice decizie în conformitate cu articolul 19 alineatul (3) din regulamentul respectiv în termen de 24 de ore. ABE poate de asemenea să acorde asistență din proprie inițiativă autorităților competente, </w:t>
            </w:r>
            <w:r w:rsidRPr="009E686F">
              <w:rPr>
                <w:rFonts w:ascii="Times New Roman" w:hAnsi="Times New Roman" w:cs="Times New Roman"/>
                <w:lang w:val="it-CH"/>
              </w:rPr>
              <w:lastRenderedPageBreak/>
              <w:t>în vederea ajungerii la un acord, în conformitate cu articolul 19 alineatul (1) al doilea paragraf din regulamentul respectiv.</w:t>
            </w:r>
          </w:p>
        </w:tc>
        <w:tc>
          <w:tcPr>
            <w:tcW w:w="1834" w:type="pct"/>
            <w:tcBorders>
              <w:top w:val="single" w:sz="4" w:space="0" w:color="auto"/>
              <w:left w:val="single" w:sz="4" w:space="0" w:color="auto"/>
              <w:bottom w:val="single" w:sz="4" w:space="0" w:color="auto"/>
              <w:right w:val="single" w:sz="4" w:space="0" w:color="auto"/>
            </w:tcBorders>
          </w:tcPr>
          <w:p w14:paraId="3CFCF064" w14:textId="15EF687F" w:rsidR="00265766" w:rsidRPr="009E686F" w:rsidRDefault="00265766" w:rsidP="00265766">
            <w:pPr>
              <w:spacing w:after="0"/>
              <w:jc w:val="both"/>
              <w:rPr>
                <w:rFonts w:ascii="Times New Roman" w:hAnsi="Times New Roman" w:cs="Times New Roman"/>
                <w:b/>
                <w:lang w:val="it-CH"/>
              </w:rPr>
            </w:pPr>
            <w:r w:rsidRPr="009E686F">
              <w:rPr>
                <w:rFonts w:ascii="Times New Roman" w:hAnsi="Times New Roman" w:cs="Times New Roman"/>
                <w:b/>
                <w:lang w:val="it-CH"/>
              </w:rPr>
              <w:lastRenderedPageBreak/>
              <w:t>Articolul 32</w:t>
            </w:r>
            <w:r w:rsidRPr="009E686F">
              <w:rPr>
                <w:rFonts w:ascii="Times New Roman" w:hAnsi="Times New Roman" w:cs="Times New Roman"/>
                <w:b/>
                <w:vertAlign w:val="superscript"/>
                <w:lang w:val="it-CH"/>
              </w:rPr>
              <w:t>2</w:t>
            </w:r>
            <w:r w:rsidRPr="009E686F">
              <w:rPr>
                <w:rFonts w:ascii="Times New Roman" w:hAnsi="Times New Roman" w:cs="Times New Roman"/>
                <w:b/>
                <w:lang w:val="it-CH"/>
              </w:rPr>
              <w:t xml:space="preserve"> alin. (3)</w:t>
            </w:r>
          </w:p>
          <w:p w14:paraId="2062206E" w14:textId="5767CB0F" w:rsidR="00265766" w:rsidRPr="009E686F" w:rsidRDefault="00265766" w:rsidP="00265766">
            <w:pPr>
              <w:spacing w:after="0"/>
              <w:jc w:val="both"/>
              <w:rPr>
                <w:rFonts w:ascii="Times New Roman" w:hAnsi="Times New Roman" w:cs="Times New Roman"/>
                <w:bCs/>
                <w:i/>
                <w:iCs/>
                <w:lang w:val="it-CH"/>
              </w:rPr>
            </w:pPr>
            <w:r w:rsidRPr="009E686F">
              <w:rPr>
                <w:rFonts w:ascii="Times New Roman" w:hAnsi="Times New Roman" w:cs="Times New Roman"/>
                <w:i/>
                <w:lang w:val="it-CH"/>
              </w:rPr>
              <w:t>(3) Banca Națională a Moldovei poate să sesizeze Autoritatea Bancară Europeană pentru a solicita asistență, în vederea ajungerii la un acord cu autoritatea competentă din statul membru gazdă pe teritoriul căruia instituția de credit, persoană juridică din Republica Moldova, are o sucursală sau în care prestează în mod direct servicii, în cazul în care are obiecții cu privire la măsurile luate de autoritățile competente din statul respectiv de natura celor prevăzute la art. 23</w:t>
            </w:r>
            <w:r w:rsidRPr="009E686F">
              <w:rPr>
                <w:rFonts w:ascii="Times New Roman" w:hAnsi="Times New Roman" w:cs="Times New Roman"/>
                <w:i/>
                <w:vertAlign w:val="superscript"/>
                <w:lang w:val="it-CH"/>
              </w:rPr>
              <w:t>4</w:t>
            </w:r>
            <w:r w:rsidRPr="009E686F">
              <w:rPr>
                <w:rFonts w:ascii="Times New Roman" w:hAnsi="Times New Roman" w:cs="Times New Roman"/>
                <w:i/>
                <w:lang w:val="it-CH"/>
              </w:rPr>
              <w:t xml:space="preserve"> alin. </w:t>
            </w:r>
            <w:r w:rsidRPr="009E686F">
              <w:rPr>
                <w:rFonts w:ascii="Times New Roman" w:hAnsi="Times New Roman" w:cs="Times New Roman"/>
                <w:bCs/>
                <w:i/>
                <w:iCs/>
                <w:lang w:val="it-CH"/>
              </w:rPr>
              <w:t>(3).</w:t>
            </w:r>
          </w:p>
        </w:tc>
        <w:tc>
          <w:tcPr>
            <w:tcW w:w="470" w:type="pct"/>
            <w:tcBorders>
              <w:top w:val="single" w:sz="4" w:space="0" w:color="auto"/>
              <w:left w:val="single" w:sz="4" w:space="0" w:color="auto"/>
              <w:bottom w:val="single" w:sz="4" w:space="0" w:color="auto"/>
              <w:right w:val="single" w:sz="4" w:space="0" w:color="auto"/>
            </w:tcBorders>
          </w:tcPr>
          <w:p w14:paraId="755D6F44" w14:textId="1C38BA45" w:rsidR="00265766" w:rsidRPr="009E686F" w:rsidRDefault="00265766" w:rsidP="00265766">
            <w:pPr>
              <w:jc w:val="both"/>
              <w:rPr>
                <w:rFonts w:ascii="Times New Roman" w:hAnsi="Times New Roman" w:cs="Times New Roman"/>
              </w:rPr>
            </w:pPr>
            <w:r w:rsidRPr="009E686F">
              <w:rPr>
                <w:rFonts w:ascii="Times New Roman" w:hAnsi="Times New Roman" w:cs="Times New Roman"/>
              </w:rPr>
              <w:t>Compatibil</w:t>
            </w:r>
          </w:p>
          <w:p w14:paraId="5ACECAB6" w14:textId="7CA44052" w:rsidR="00265766" w:rsidRPr="009E686F" w:rsidRDefault="00265766" w:rsidP="00265766">
            <w:pPr>
              <w:jc w:val="both"/>
              <w:rPr>
                <w:rFonts w:ascii="Times New Roman" w:hAnsi="Times New Roman" w:cs="Times New Roman"/>
              </w:rPr>
            </w:pPr>
          </w:p>
        </w:tc>
        <w:tc>
          <w:tcPr>
            <w:tcW w:w="806" w:type="pct"/>
            <w:tcBorders>
              <w:top w:val="single" w:sz="4" w:space="0" w:color="auto"/>
              <w:left w:val="single" w:sz="4" w:space="0" w:color="auto"/>
              <w:bottom w:val="single" w:sz="4" w:space="0" w:color="auto"/>
              <w:right w:val="single" w:sz="4" w:space="0" w:color="auto"/>
            </w:tcBorders>
          </w:tcPr>
          <w:p w14:paraId="3AEBC291" w14:textId="77777777" w:rsidR="00EF3208" w:rsidRPr="009E686F" w:rsidRDefault="00EF3208" w:rsidP="00EF3208">
            <w:pPr>
              <w:rPr>
                <w:lang w:val="it-CH"/>
              </w:rPr>
            </w:pPr>
            <w:r w:rsidRPr="009E686F">
              <w:rPr>
                <w:rFonts w:ascii="Times New Roman" w:hAnsi="Times New Roman" w:cs="Times New Roman"/>
                <w:lang w:val="ro-RO"/>
              </w:rPr>
              <w:t>În vigoare –5 ani de la data aderării.</w:t>
            </w:r>
          </w:p>
          <w:p w14:paraId="40ADE470" w14:textId="142B43A5" w:rsidR="00265766" w:rsidRPr="009E686F" w:rsidRDefault="00265766" w:rsidP="00265766">
            <w:pPr>
              <w:spacing w:after="0"/>
              <w:jc w:val="both"/>
              <w:rPr>
                <w:rFonts w:ascii="Times New Roman" w:hAnsi="Times New Roman" w:cs="Times New Roman"/>
                <w:lang w:val="it-CH"/>
              </w:rPr>
            </w:pPr>
          </w:p>
        </w:tc>
      </w:tr>
      <w:tr w:rsidR="00265766" w:rsidRPr="009E686F" w14:paraId="1DC7EC8A" w14:textId="77777777" w:rsidTr="00960C23">
        <w:tc>
          <w:tcPr>
            <w:tcW w:w="1890" w:type="pct"/>
            <w:tcBorders>
              <w:top w:val="single" w:sz="4" w:space="0" w:color="auto"/>
              <w:left w:val="single" w:sz="4" w:space="0" w:color="auto"/>
              <w:bottom w:val="single" w:sz="4" w:space="0" w:color="auto"/>
              <w:right w:val="single" w:sz="4" w:space="0" w:color="auto"/>
            </w:tcBorders>
          </w:tcPr>
          <w:p w14:paraId="3566EE2E" w14:textId="1DCEEAD4" w:rsidR="00265766" w:rsidRPr="009E686F" w:rsidRDefault="00265766" w:rsidP="00265766">
            <w:pPr>
              <w:spacing w:after="0"/>
              <w:jc w:val="both"/>
              <w:rPr>
                <w:rFonts w:ascii="Times New Roman" w:hAnsi="Times New Roman" w:cs="Times New Roman"/>
                <w:b/>
                <w:bCs/>
                <w:i/>
                <w:iCs/>
                <w:lang w:val="it-CH"/>
              </w:rPr>
            </w:pPr>
            <w:r w:rsidRPr="009E686F">
              <w:rPr>
                <w:rFonts w:ascii="Times New Roman" w:hAnsi="Times New Roman" w:cs="Times New Roman"/>
                <w:i/>
                <w:iCs/>
                <w:lang w:val="it-CH"/>
              </w:rPr>
              <w:t>Articolul 44</w:t>
            </w:r>
          </w:p>
          <w:p w14:paraId="6198D664" w14:textId="1F8466C2"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Competențele statelor membre gazdă</w:t>
            </w:r>
          </w:p>
          <w:p w14:paraId="1029C791" w14:textId="77777777" w:rsidR="00265766" w:rsidRPr="009E686F" w:rsidRDefault="00265766" w:rsidP="00265766">
            <w:pPr>
              <w:spacing w:after="0"/>
              <w:jc w:val="both"/>
              <w:rPr>
                <w:rFonts w:ascii="Times New Roman" w:hAnsi="Times New Roman" w:cs="Times New Roman"/>
                <w:lang w:val="it-CH"/>
              </w:rPr>
            </w:pPr>
          </w:p>
          <w:p w14:paraId="3F659A9D" w14:textId="10ADC143"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Statele membre gazdă pot, în pofida articolelor 40 și 41, să își exercite competențele acordate în temeiul prezentei directive pentru a lua măsurile adecvate în scopul prevenirii sau sancționării încălcărilor comise pe teritoriul lor dispozițiilor adoptate în temeiul prezentei directive sau din motive de interes general. Aceste măsuri includ și posibilitatea de a împiedica instituțiile de credit care au comis nereguli să efectueze noi tranzacții pe teritoriile lor.</w:t>
            </w:r>
          </w:p>
        </w:tc>
        <w:tc>
          <w:tcPr>
            <w:tcW w:w="1834" w:type="pct"/>
            <w:tcBorders>
              <w:top w:val="single" w:sz="4" w:space="0" w:color="auto"/>
              <w:left w:val="single" w:sz="4" w:space="0" w:color="auto"/>
              <w:bottom w:val="single" w:sz="4" w:space="0" w:color="auto"/>
              <w:right w:val="single" w:sz="4" w:space="0" w:color="auto"/>
            </w:tcBorders>
          </w:tcPr>
          <w:p w14:paraId="0A899C64" w14:textId="1EA54EBB" w:rsidR="00265766" w:rsidRPr="009E686F" w:rsidRDefault="00265766" w:rsidP="00265766">
            <w:pPr>
              <w:spacing w:after="0"/>
              <w:jc w:val="both"/>
              <w:rPr>
                <w:rFonts w:ascii="Times New Roman" w:hAnsi="Times New Roman" w:cs="Times New Roman"/>
                <w:b/>
                <w:lang w:val="it-CH"/>
              </w:rPr>
            </w:pPr>
            <w:r w:rsidRPr="009E686F">
              <w:rPr>
                <w:rFonts w:ascii="Times New Roman" w:hAnsi="Times New Roman" w:cs="Times New Roman"/>
                <w:b/>
                <w:lang w:val="it-CH"/>
              </w:rPr>
              <w:t>Articolul 23</w:t>
            </w:r>
            <w:r w:rsidRPr="009E686F">
              <w:rPr>
                <w:rFonts w:ascii="Times New Roman" w:hAnsi="Times New Roman" w:cs="Times New Roman"/>
                <w:b/>
                <w:vertAlign w:val="superscript"/>
                <w:lang w:val="it-CH"/>
              </w:rPr>
              <w:t xml:space="preserve">4 </w:t>
            </w:r>
            <w:r w:rsidRPr="009E686F">
              <w:rPr>
                <w:rFonts w:ascii="Times New Roman" w:hAnsi="Times New Roman" w:cs="Times New Roman"/>
                <w:b/>
                <w:lang w:val="it-CH"/>
              </w:rPr>
              <w:t>alin. (8)</w:t>
            </w:r>
          </w:p>
          <w:p w14:paraId="09B6343C" w14:textId="3DF91331" w:rsidR="00265766" w:rsidRPr="009E686F" w:rsidRDefault="00265766" w:rsidP="00265766">
            <w:pPr>
              <w:spacing w:after="0"/>
              <w:jc w:val="both"/>
              <w:rPr>
                <w:rFonts w:ascii="Times New Roman" w:hAnsi="Times New Roman" w:cs="Times New Roman"/>
                <w:i/>
                <w:lang w:val="it-CH"/>
              </w:rPr>
            </w:pPr>
            <w:r w:rsidRPr="009E686F">
              <w:rPr>
                <w:rFonts w:ascii="Times New Roman" w:hAnsi="Times New Roman" w:cs="Times New Roman"/>
                <w:i/>
                <w:lang w:val="it-CH"/>
              </w:rPr>
              <w:t>(8) Aplicarea prevederilor articolelor 23</w:t>
            </w:r>
            <w:r w:rsidRPr="009E686F">
              <w:rPr>
                <w:rFonts w:ascii="Times New Roman" w:hAnsi="Times New Roman" w:cs="Times New Roman"/>
                <w:i/>
                <w:vertAlign w:val="superscript"/>
                <w:lang w:val="it-CH"/>
              </w:rPr>
              <w:t>3</w:t>
            </w:r>
            <w:r w:rsidRPr="009E686F">
              <w:rPr>
                <w:rFonts w:ascii="Times New Roman" w:hAnsi="Times New Roman" w:cs="Times New Roman"/>
                <w:i/>
                <w:lang w:val="it-CH"/>
              </w:rPr>
              <w:t xml:space="preserve"> și a prezentului articol nu aduce atingere aplicării măsurile adecvate în scopul prevenirii sau sancţionării încălcărilor comise pe teritoriul Republicii Moldova a altor prevederi ale prezentei legi sau pentru motive de interes general, inclusiv măsuri prin care instituțiile de credit care au comis nereguli sunt împiedicate să efectueze noi tranzacţii pe teritoriul Republicii Moldova.</w:t>
            </w:r>
          </w:p>
        </w:tc>
        <w:tc>
          <w:tcPr>
            <w:tcW w:w="470" w:type="pct"/>
            <w:tcBorders>
              <w:top w:val="single" w:sz="4" w:space="0" w:color="auto"/>
              <w:left w:val="single" w:sz="4" w:space="0" w:color="auto"/>
              <w:bottom w:val="single" w:sz="4" w:space="0" w:color="auto"/>
              <w:right w:val="single" w:sz="4" w:space="0" w:color="auto"/>
            </w:tcBorders>
          </w:tcPr>
          <w:p w14:paraId="5F1E4A86" w14:textId="5EB0585C" w:rsidR="00265766" w:rsidRPr="009E686F" w:rsidRDefault="00265766" w:rsidP="00265766">
            <w:pPr>
              <w:jc w:val="both"/>
              <w:rPr>
                <w:rFonts w:ascii="Times New Roman" w:hAnsi="Times New Roman" w:cs="Times New Roman"/>
              </w:rPr>
            </w:pPr>
            <w:r w:rsidRPr="009E686F">
              <w:rPr>
                <w:rFonts w:ascii="Times New Roman" w:hAnsi="Times New Roman" w:cs="Times New Roman"/>
              </w:rPr>
              <w:t>Compatibil</w:t>
            </w:r>
          </w:p>
          <w:p w14:paraId="1B1F82B4" w14:textId="1087119D" w:rsidR="00265766" w:rsidRPr="009E686F" w:rsidRDefault="00265766" w:rsidP="00265766">
            <w:pPr>
              <w:jc w:val="both"/>
              <w:rPr>
                <w:rFonts w:ascii="Times New Roman" w:hAnsi="Times New Roman" w:cs="Times New Roman"/>
              </w:rPr>
            </w:pPr>
          </w:p>
        </w:tc>
        <w:tc>
          <w:tcPr>
            <w:tcW w:w="806" w:type="pct"/>
            <w:tcBorders>
              <w:top w:val="single" w:sz="4" w:space="0" w:color="auto"/>
              <w:left w:val="single" w:sz="4" w:space="0" w:color="auto"/>
              <w:bottom w:val="single" w:sz="4" w:space="0" w:color="auto"/>
              <w:right w:val="single" w:sz="4" w:space="0" w:color="auto"/>
            </w:tcBorders>
          </w:tcPr>
          <w:p w14:paraId="2B67E140" w14:textId="77777777" w:rsidR="00EF3208" w:rsidRPr="009E686F" w:rsidRDefault="00EF3208" w:rsidP="00EF3208">
            <w:pPr>
              <w:rPr>
                <w:lang w:val="it-CH"/>
              </w:rPr>
            </w:pPr>
            <w:r w:rsidRPr="009E686F">
              <w:rPr>
                <w:rFonts w:ascii="Times New Roman" w:hAnsi="Times New Roman" w:cs="Times New Roman"/>
                <w:lang w:val="ro-RO"/>
              </w:rPr>
              <w:t>În vigoare –5 ani de la data aderării.</w:t>
            </w:r>
          </w:p>
          <w:p w14:paraId="1F4E9BEB" w14:textId="4A4383AE" w:rsidR="00265766" w:rsidRPr="009E686F" w:rsidRDefault="00265766" w:rsidP="00265766">
            <w:pPr>
              <w:spacing w:after="0"/>
              <w:jc w:val="both"/>
              <w:rPr>
                <w:rFonts w:ascii="Times New Roman" w:hAnsi="Times New Roman" w:cs="Times New Roman"/>
                <w:lang w:val="it-CH"/>
              </w:rPr>
            </w:pPr>
          </w:p>
        </w:tc>
      </w:tr>
      <w:tr w:rsidR="00265766" w:rsidRPr="009E686F" w14:paraId="3AD33042" w14:textId="77777777" w:rsidTr="00960C23">
        <w:tc>
          <w:tcPr>
            <w:tcW w:w="1890" w:type="pct"/>
            <w:tcBorders>
              <w:top w:val="single" w:sz="4" w:space="0" w:color="auto"/>
              <w:left w:val="single" w:sz="4" w:space="0" w:color="auto"/>
              <w:bottom w:val="single" w:sz="4" w:space="0" w:color="auto"/>
              <w:right w:val="single" w:sz="4" w:space="0" w:color="auto"/>
            </w:tcBorders>
          </w:tcPr>
          <w:p w14:paraId="137E8BE8" w14:textId="77777777" w:rsidR="00265766" w:rsidRPr="009E686F" w:rsidRDefault="00265766" w:rsidP="00265766">
            <w:pPr>
              <w:spacing w:after="0"/>
              <w:jc w:val="both"/>
              <w:rPr>
                <w:rFonts w:ascii="Times New Roman" w:hAnsi="Times New Roman" w:cs="Times New Roman"/>
                <w:i/>
                <w:lang w:val="it-CH"/>
              </w:rPr>
            </w:pPr>
            <w:r w:rsidRPr="009E686F">
              <w:rPr>
                <w:rFonts w:ascii="Times New Roman" w:hAnsi="Times New Roman" w:cs="Times New Roman"/>
                <w:i/>
                <w:lang w:val="it-CH"/>
              </w:rPr>
              <w:t xml:space="preserve">Articolul 45. </w:t>
            </w:r>
          </w:p>
          <w:p w14:paraId="7C70FDBA" w14:textId="2DD9B196"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Măsuri după retragerea autorizației</w:t>
            </w:r>
          </w:p>
          <w:p w14:paraId="0562098C" w14:textId="77777777" w:rsidR="00265766" w:rsidRPr="009E686F" w:rsidRDefault="00265766" w:rsidP="00265766">
            <w:pPr>
              <w:spacing w:after="0"/>
              <w:jc w:val="both"/>
              <w:rPr>
                <w:rFonts w:ascii="Times New Roman" w:hAnsi="Times New Roman" w:cs="Times New Roman"/>
                <w:lang w:val="it-CH"/>
              </w:rPr>
            </w:pPr>
          </w:p>
          <w:p w14:paraId="58C68AA1" w14:textId="77777777"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În cazul retragerii autorizației, autoritățile competente din statul membru de origine informează autoritățile competente din statul membru gazdă fără întârziere.</w:t>
            </w:r>
          </w:p>
          <w:p w14:paraId="15C2B153" w14:textId="0E9F3E36"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 xml:space="preserve"> Autoritățile competente din statul membru gazdă adoptă măsurile necesare pentru a împiedica instituția de credit în cauză să inițieze noi tranzacții pe teritoriul acestuia și pentru a proteja interesele deponenților.</w:t>
            </w:r>
          </w:p>
        </w:tc>
        <w:tc>
          <w:tcPr>
            <w:tcW w:w="1834" w:type="pct"/>
            <w:tcBorders>
              <w:top w:val="single" w:sz="4" w:space="0" w:color="auto"/>
              <w:left w:val="single" w:sz="4" w:space="0" w:color="auto"/>
              <w:bottom w:val="single" w:sz="4" w:space="0" w:color="auto"/>
              <w:right w:val="single" w:sz="4" w:space="0" w:color="auto"/>
            </w:tcBorders>
          </w:tcPr>
          <w:p w14:paraId="791C2139" w14:textId="7D66A6E1"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b/>
                <w:lang w:val="it-CH"/>
              </w:rPr>
              <w:t>Articolul 32</w:t>
            </w:r>
            <w:r w:rsidRPr="009E686F">
              <w:rPr>
                <w:rFonts w:ascii="Times New Roman" w:hAnsi="Times New Roman" w:cs="Times New Roman"/>
                <w:b/>
                <w:vertAlign w:val="superscript"/>
                <w:lang w:val="it-CH"/>
              </w:rPr>
              <w:t xml:space="preserve">1 </w:t>
            </w:r>
            <w:r w:rsidRPr="009E686F">
              <w:rPr>
                <w:rFonts w:ascii="Times New Roman" w:hAnsi="Times New Roman" w:cs="Times New Roman"/>
                <w:b/>
                <w:lang w:val="it-CH"/>
              </w:rPr>
              <w:t>alin. (8)</w:t>
            </w:r>
          </w:p>
          <w:p w14:paraId="5FE0591D" w14:textId="720E8416" w:rsidR="00265766" w:rsidRPr="009E686F" w:rsidRDefault="00265766" w:rsidP="00265766">
            <w:pPr>
              <w:spacing w:after="0"/>
              <w:jc w:val="both"/>
              <w:rPr>
                <w:rFonts w:ascii="Times New Roman" w:hAnsi="Times New Roman" w:cs="Times New Roman"/>
                <w:i/>
                <w:lang w:val="it-CH"/>
              </w:rPr>
            </w:pPr>
            <w:r w:rsidRPr="009E686F">
              <w:rPr>
                <w:rFonts w:ascii="Times New Roman" w:hAnsi="Times New Roman" w:cs="Times New Roman"/>
                <w:i/>
                <w:lang w:val="it-CH"/>
              </w:rPr>
              <w:t>(8) Banca Națională a Moldovei informează, în cel mai scurt timp posibil,</w:t>
            </w:r>
            <w:r w:rsidR="007977F2" w:rsidRPr="009E686F">
              <w:rPr>
                <w:lang w:val="it-CH"/>
              </w:rPr>
              <w:t xml:space="preserve"> </w:t>
            </w:r>
            <w:r w:rsidR="007977F2" w:rsidRPr="009E686F">
              <w:rPr>
                <w:rFonts w:ascii="Times New Roman" w:hAnsi="Times New Roman" w:cs="Times New Roman"/>
                <w:i/>
                <w:lang w:val="it-CH"/>
              </w:rPr>
              <w:t>dar nu mai târziu de 2 zile lucrătoare de la data retragerii autorizației,</w:t>
            </w:r>
            <w:r w:rsidRPr="009E686F">
              <w:rPr>
                <w:rFonts w:ascii="Times New Roman" w:hAnsi="Times New Roman" w:cs="Times New Roman"/>
                <w:i/>
                <w:lang w:val="it-CH"/>
              </w:rPr>
              <w:t xml:space="preserve"> autoritățile competente din statul membru gazdă pe teritoriul căreia instituția de credit, persoană juridică din Republica Moldova, își desfășoară activitatea prin intermediul unei sucursale sau prin prestarea de servicii în mod direct despre retragerea autorizației instituției de credit respective.</w:t>
            </w:r>
          </w:p>
          <w:p w14:paraId="69C9DB6A" w14:textId="03993FA7" w:rsidR="00265766" w:rsidRPr="009E686F" w:rsidRDefault="00265766" w:rsidP="00265766">
            <w:pPr>
              <w:spacing w:after="0"/>
              <w:jc w:val="both"/>
              <w:rPr>
                <w:rFonts w:ascii="Times New Roman" w:hAnsi="Times New Roman" w:cs="Times New Roman"/>
                <w:b/>
                <w:lang w:val="it-CH"/>
              </w:rPr>
            </w:pPr>
            <w:r w:rsidRPr="009E686F">
              <w:rPr>
                <w:rFonts w:ascii="Times New Roman" w:hAnsi="Times New Roman" w:cs="Times New Roman"/>
                <w:b/>
                <w:lang w:val="it-CH"/>
              </w:rPr>
              <w:t>Articolul 23</w:t>
            </w:r>
            <w:r w:rsidRPr="009E686F">
              <w:rPr>
                <w:rFonts w:ascii="Times New Roman" w:hAnsi="Times New Roman" w:cs="Times New Roman"/>
                <w:b/>
                <w:vertAlign w:val="superscript"/>
                <w:lang w:val="it-CH"/>
              </w:rPr>
              <w:t>2</w:t>
            </w:r>
            <w:r w:rsidRPr="009E686F">
              <w:rPr>
                <w:rFonts w:ascii="Times New Roman" w:hAnsi="Times New Roman" w:cs="Times New Roman"/>
                <w:b/>
                <w:lang w:val="it-CH"/>
              </w:rPr>
              <w:t xml:space="preserve"> alin.  (8)</w:t>
            </w:r>
          </w:p>
          <w:p w14:paraId="0FA6A64D" w14:textId="0C3C618F" w:rsidR="00265766" w:rsidRPr="009E686F" w:rsidRDefault="00265766" w:rsidP="00265766">
            <w:pPr>
              <w:spacing w:after="0"/>
              <w:jc w:val="both"/>
              <w:rPr>
                <w:rFonts w:ascii="Times New Roman" w:hAnsi="Times New Roman" w:cs="Times New Roman"/>
                <w:i/>
                <w:lang w:val="it-CH"/>
              </w:rPr>
            </w:pPr>
            <w:r w:rsidRPr="009E686F">
              <w:rPr>
                <w:rFonts w:ascii="Times New Roman" w:hAnsi="Times New Roman" w:cs="Times New Roman"/>
                <w:i/>
                <w:lang w:val="it-CH"/>
              </w:rPr>
              <w:t xml:space="preserve">(8) Banca Națională a Moldovei, în calitate de autoritate competentă din statul membru gazdă, colaborează cu autoritatea competentă din statul membru de origine, pentru a împiedica instituția de credit din alt stat membru care își desfășoară activitatea pe teritoriul Republicii Moldova prin intermediul unei sucursale sau prin prestarea de servicii în mod direct să iniţieze noi tranzacţii pe teritoriul Republicii Moldova și pentru a proteja interesele deponenţilor, în cazul </w:t>
            </w:r>
            <w:r w:rsidRPr="009E686F">
              <w:rPr>
                <w:rFonts w:ascii="Times New Roman" w:hAnsi="Times New Roman" w:cs="Times New Roman"/>
                <w:i/>
                <w:lang w:val="it-CH"/>
              </w:rPr>
              <w:lastRenderedPageBreak/>
              <w:t>în care este informată despre retragerea autorizației instituției de credit respective.</w:t>
            </w:r>
          </w:p>
        </w:tc>
        <w:tc>
          <w:tcPr>
            <w:tcW w:w="470" w:type="pct"/>
            <w:tcBorders>
              <w:top w:val="single" w:sz="4" w:space="0" w:color="auto"/>
              <w:left w:val="single" w:sz="4" w:space="0" w:color="auto"/>
              <w:bottom w:val="single" w:sz="4" w:space="0" w:color="auto"/>
              <w:right w:val="single" w:sz="4" w:space="0" w:color="auto"/>
            </w:tcBorders>
          </w:tcPr>
          <w:p w14:paraId="6BD0620C" w14:textId="46D3B7F7" w:rsidR="00265766" w:rsidRPr="009E686F" w:rsidRDefault="00265766" w:rsidP="00265766">
            <w:pPr>
              <w:jc w:val="both"/>
              <w:rPr>
                <w:rFonts w:ascii="Times New Roman" w:hAnsi="Times New Roman" w:cs="Times New Roman"/>
              </w:rPr>
            </w:pPr>
            <w:r w:rsidRPr="009E686F">
              <w:rPr>
                <w:rFonts w:ascii="Times New Roman" w:hAnsi="Times New Roman" w:cs="Times New Roman"/>
              </w:rPr>
              <w:lastRenderedPageBreak/>
              <w:t xml:space="preserve">Compatibil </w:t>
            </w:r>
          </w:p>
        </w:tc>
        <w:tc>
          <w:tcPr>
            <w:tcW w:w="806" w:type="pct"/>
            <w:tcBorders>
              <w:top w:val="single" w:sz="4" w:space="0" w:color="auto"/>
              <w:left w:val="single" w:sz="4" w:space="0" w:color="auto"/>
              <w:bottom w:val="single" w:sz="4" w:space="0" w:color="auto"/>
              <w:right w:val="single" w:sz="4" w:space="0" w:color="auto"/>
            </w:tcBorders>
          </w:tcPr>
          <w:p w14:paraId="60FEA780" w14:textId="77777777" w:rsidR="00EF3208" w:rsidRPr="009E686F" w:rsidRDefault="00EF3208" w:rsidP="00EF3208">
            <w:pPr>
              <w:rPr>
                <w:lang w:val="it-CH"/>
              </w:rPr>
            </w:pPr>
            <w:r w:rsidRPr="009E686F">
              <w:rPr>
                <w:rFonts w:ascii="Times New Roman" w:hAnsi="Times New Roman" w:cs="Times New Roman"/>
                <w:lang w:val="ro-RO"/>
              </w:rPr>
              <w:t>În vigoare –5 ani de la data aderării.</w:t>
            </w:r>
          </w:p>
          <w:p w14:paraId="5C0D5944" w14:textId="22E5FAB9" w:rsidR="00265766" w:rsidRPr="009E686F" w:rsidRDefault="00265766" w:rsidP="00265766">
            <w:pPr>
              <w:spacing w:after="0"/>
              <w:jc w:val="both"/>
              <w:rPr>
                <w:rFonts w:ascii="Times New Roman" w:hAnsi="Times New Roman" w:cs="Times New Roman"/>
                <w:lang w:val="it-CH"/>
              </w:rPr>
            </w:pPr>
          </w:p>
        </w:tc>
      </w:tr>
      <w:tr w:rsidR="00265766" w:rsidRPr="009E686F" w14:paraId="2E282FAD" w14:textId="77777777" w:rsidTr="00960C23">
        <w:tc>
          <w:tcPr>
            <w:tcW w:w="1890" w:type="pct"/>
            <w:tcBorders>
              <w:top w:val="single" w:sz="4" w:space="0" w:color="auto"/>
              <w:left w:val="single" w:sz="4" w:space="0" w:color="auto"/>
              <w:bottom w:val="single" w:sz="4" w:space="0" w:color="auto"/>
              <w:right w:val="single" w:sz="4" w:space="0" w:color="auto"/>
            </w:tcBorders>
          </w:tcPr>
          <w:p w14:paraId="6297D57A" w14:textId="44E324AD" w:rsidR="00265766" w:rsidRPr="009E686F" w:rsidRDefault="00265766" w:rsidP="00265766">
            <w:pPr>
              <w:spacing w:after="0"/>
              <w:jc w:val="both"/>
              <w:rPr>
                <w:rFonts w:ascii="Times New Roman" w:hAnsi="Times New Roman" w:cs="Times New Roman"/>
                <w:i/>
                <w:lang w:val="it-CH"/>
              </w:rPr>
            </w:pPr>
            <w:r w:rsidRPr="009E686F">
              <w:rPr>
                <w:rFonts w:ascii="Times New Roman" w:hAnsi="Times New Roman" w:cs="Times New Roman"/>
                <w:i/>
                <w:lang w:val="it-CH"/>
              </w:rPr>
              <w:t xml:space="preserve">Articolul 46 </w:t>
            </w:r>
          </w:p>
          <w:p w14:paraId="3A45190D" w14:textId="6838B580"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Publicitate</w:t>
            </w:r>
          </w:p>
          <w:p w14:paraId="76D6BAFD" w14:textId="77777777" w:rsidR="00265766" w:rsidRPr="009E686F" w:rsidRDefault="00265766" w:rsidP="00265766">
            <w:pPr>
              <w:spacing w:after="0"/>
              <w:jc w:val="both"/>
              <w:rPr>
                <w:rFonts w:ascii="Times New Roman" w:hAnsi="Times New Roman" w:cs="Times New Roman"/>
                <w:lang w:val="it-CH"/>
              </w:rPr>
            </w:pPr>
          </w:p>
          <w:p w14:paraId="07DED308" w14:textId="280C93AD"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Niciuna dintre dispozițiile prezentului capitol nu împiedică instituțiile de credit cu sediul central în alte state membre să facă publicitate serviciilor lor prin toate mijloacele de comunicare disponibile în statul membru gazdă, sub rezerva respectării normelor privind forma și conținutul acestei publicități, adoptate din motive de interes general.</w:t>
            </w:r>
          </w:p>
        </w:tc>
        <w:tc>
          <w:tcPr>
            <w:tcW w:w="1834" w:type="pct"/>
            <w:tcBorders>
              <w:top w:val="single" w:sz="4" w:space="0" w:color="auto"/>
              <w:left w:val="single" w:sz="4" w:space="0" w:color="auto"/>
              <w:bottom w:val="single" w:sz="4" w:space="0" w:color="auto"/>
              <w:right w:val="single" w:sz="4" w:space="0" w:color="auto"/>
            </w:tcBorders>
          </w:tcPr>
          <w:p w14:paraId="0A045E2E" w14:textId="13EEC518" w:rsidR="00265766" w:rsidRPr="009E686F" w:rsidRDefault="00265766" w:rsidP="00265766">
            <w:pPr>
              <w:spacing w:after="0"/>
              <w:jc w:val="both"/>
              <w:rPr>
                <w:rFonts w:ascii="Times New Roman" w:hAnsi="Times New Roman" w:cs="Times New Roman"/>
                <w:b/>
                <w:lang w:val="it-CH"/>
              </w:rPr>
            </w:pPr>
            <w:r w:rsidRPr="009E686F">
              <w:rPr>
                <w:rFonts w:ascii="Times New Roman" w:hAnsi="Times New Roman" w:cs="Times New Roman"/>
                <w:b/>
                <w:lang w:val="it-CH"/>
              </w:rPr>
              <w:t>Articolul 23</w:t>
            </w:r>
            <w:r w:rsidRPr="009E686F">
              <w:rPr>
                <w:rFonts w:ascii="Times New Roman" w:hAnsi="Times New Roman" w:cs="Times New Roman"/>
                <w:b/>
                <w:vertAlign w:val="superscript"/>
                <w:lang w:val="it-CH"/>
              </w:rPr>
              <w:t>2</w:t>
            </w:r>
            <w:r w:rsidRPr="009E686F">
              <w:rPr>
                <w:rFonts w:ascii="Times New Roman" w:hAnsi="Times New Roman" w:cs="Times New Roman"/>
                <w:b/>
                <w:lang w:val="it-CH"/>
              </w:rPr>
              <w:t xml:space="preserve"> alin. (9)</w:t>
            </w:r>
          </w:p>
          <w:p w14:paraId="196EB826" w14:textId="1F00E271" w:rsidR="00265766" w:rsidRPr="009E686F" w:rsidRDefault="00265766" w:rsidP="00265766">
            <w:pPr>
              <w:spacing w:after="0"/>
              <w:jc w:val="both"/>
              <w:rPr>
                <w:rFonts w:ascii="Times New Roman" w:hAnsi="Times New Roman" w:cs="Times New Roman"/>
                <w:i/>
                <w:lang w:val="it-CH"/>
              </w:rPr>
            </w:pPr>
            <w:r w:rsidRPr="009E686F">
              <w:rPr>
                <w:rFonts w:ascii="Times New Roman" w:hAnsi="Times New Roman" w:cs="Times New Roman"/>
                <w:i/>
                <w:lang w:val="it-CH"/>
              </w:rPr>
              <w:t>(9) Dispoziţiile prezentei legi nu împiedică instituțiile de credit din alte state membre, care își desfășoară activitatea pe teritoriul Republicii Moldova prin intermediul unei sucursale sau prestează servicii în mod direct, să-şi facă publicitate pe teritoriul Republicii Moldova prin intermediul oricăror mijloace de comunicare disponibile, în condiţiile respectării prevederilor actelor normative privind forma şi conţinutul publicităţii</w:t>
            </w:r>
          </w:p>
        </w:tc>
        <w:tc>
          <w:tcPr>
            <w:tcW w:w="470" w:type="pct"/>
            <w:tcBorders>
              <w:top w:val="single" w:sz="4" w:space="0" w:color="auto"/>
              <w:left w:val="single" w:sz="4" w:space="0" w:color="auto"/>
              <w:bottom w:val="single" w:sz="4" w:space="0" w:color="auto"/>
              <w:right w:val="single" w:sz="4" w:space="0" w:color="auto"/>
            </w:tcBorders>
          </w:tcPr>
          <w:p w14:paraId="7DB86AF2" w14:textId="2D81DBA8" w:rsidR="00265766" w:rsidRPr="009E686F" w:rsidRDefault="00265766" w:rsidP="00265766">
            <w:pPr>
              <w:jc w:val="both"/>
              <w:rPr>
                <w:rFonts w:ascii="Times New Roman" w:hAnsi="Times New Roman" w:cs="Times New Roman"/>
              </w:rPr>
            </w:pPr>
            <w:r w:rsidRPr="009E686F">
              <w:rPr>
                <w:rFonts w:ascii="Times New Roman" w:hAnsi="Times New Roman" w:cs="Times New Roman"/>
              </w:rPr>
              <w:t>Compatibil</w:t>
            </w:r>
          </w:p>
          <w:p w14:paraId="3C0133D2" w14:textId="19F0A20F" w:rsidR="00265766" w:rsidRPr="009E686F" w:rsidRDefault="00265766" w:rsidP="00265766">
            <w:pPr>
              <w:jc w:val="both"/>
              <w:rPr>
                <w:rFonts w:ascii="Times New Roman" w:hAnsi="Times New Roman" w:cs="Times New Roman"/>
              </w:rPr>
            </w:pPr>
          </w:p>
        </w:tc>
        <w:tc>
          <w:tcPr>
            <w:tcW w:w="806" w:type="pct"/>
            <w:tcBorders>
              <w:top w:val="single" w:sz="4" w:space="0" w:color="auto"/>
              <w:left w:val="single" w:sz="4" w:space="0" w:color="auto"/>
              <w:bottom w:val="single" w:sz="4" w:space="0" w:color="auto"/>
              <w:right w:val="single" w:sz="4" w:space="0" w:color="auto"/>
            </w:tcBorders>
          </w:tcPr>
          <w:p w14:paraId="1E6158F4" w14:textId="77777777" w:rsidR="00EF3208" w:rsidRPr="009E686F" w:rsidRDefault="00EF3208" w:rsidP="00EF3208">
            <w:pPr>
              <w:rPr>
                <w:lang w:val="it-CH"/>
              </w:rPr>
            </w:pPr>
            <w:r w:rsidRPr="009E686F">
              <w:rPr>
                <w:rFonts w:ascii="Times New Roman" w:hAnsi="Times New Roman" w:cs="Times New Roman"/>
                <w:lang w:val="ro-RO"/>
              </w:rPr>
              <w:t>În vigoare –5 ani de la data aderării.</w:t>
            </w:r>
          </w:p>
          <w:p w14:paraId="6B03116D" w14:textId="344E5435" w:rsidR="00265766" w:rsidRPr="009E686F" w:rsidRDefault="00265766" w:rsidP="00265766">
            <w:pPr>
              <w:spacing w:after="0"/>
              <w:jc w:val="both"/>
              <w:rPr>
                <w:rFonts w:ascii="Times New Roman" w:hAnsi="Times New Roman" w:cs="Times New Roman"/>
                <w:lang w:val="it-CH"/>
              </w:rPr>
            </w:pPr>
          </w:p>
        </w:tc>
      </w:tr>
      <w:tr w:rsidR="00AE067D" w:rsidRPr="009E686F" w14:paraId="4F3C6CE0" w14:textId="77777777" w:rsidTr="00960C23">
        <w:trPr>
          <w:trHeight w:val="3436"/>
        </w:trPr>
        <w:tc>
          <w:tcPr>
            <w:tcW w:w="1890" w:type="pct"/>
            <w:tcBorders>
              <w:top w:val="single" w:sz="4" w:space="0" w:color="auto"/>
              <w:left w:val="single" w:sz="4" w:space="0" w:color="auto"/>
              <w:bottom w:val="single" w:sz="4" w:space="0" w:color="auto"/>
              <w:right w:val="single" w:sz="4" w:space="0" w:color="auto"/>
            </w:tcBorders>
          </w:tcPr>
          <w:p w14:paraId="57DC95BD" w14:textId="77777777" w:rsidR="00AE067D" w:rsidRPr="009E686F" w:rsidRDefault="00AE067D" w:rsidP="00265766">
            <w:pPr>
              <w:spacing w:after="0"/>
              <w:jc w:val="both"/>
              <w:rPr>
                <w:rFonts w:ascii="Times New Roman" w:hAnsi="Times New Roman" w:cs="Times New Roman"/>
                <w:lang w:val="it-CH"/>
              </w:rPr>
            </w:pPr>
            <w:r w:rsidRPr="009E686F">
              <w:rPr>
                <w:rFonts w:ascii="Times New Roman" w:hAnsi="Times New Roman" w:cs="Times New Roman"/>
                <w:lang w:val="it-CH"/>
              </w:rPr>
              <w:t>TITLUL VI</w:t>
            </w:r>
          </w:p>
          <w:p w14:paraId="20E0D624" w14:textId="77777777" w:rsidR="00AE067D" w:rsidRPr="009E686F" w:rsidDel="000459E1" w:rsidRDefault="00AE067D" w:rsidP="00265766">
            <w:pPr>
              <w:spacing w:after="0"/>
              <w:jc w:val="both"/>
              <w:rPr>
                <w:rFonts w:ascii="Times New Roman" w:hAnsi="Times New Roman" w:cs="Times New Roman"/>
                <w:b/>
                <w:bCs/>
                <w:lang w:val="it-CH"/>
              </w:rPr>
            </w:pPr>
            <w:r w:rsidRPr="009E686F">
              <w:rPr>
                <w:rFonts w:ascii="Times New Roman" w:hAnsi="Times New Roman" w:cs="Times New Roman"/>
                <w:b/>
                <w:bCs/>
                <w:lang w:val="it-CH"/>
              </w:rPr>
              <w:t>SUPRAVEGHEREA PRUDENȚIALĂ A SUCURSALELOR DIN ȚĂRI TERȚE ȘI RELAȚIILE CU ȚĂRILE TERȚE</w:t>
            </w:r>
          </w:p>
          <w:p w14:paraId="750AB798" w14:textId="77777777" w:rsidR="00AE067D" w:rsidRPr="009E686F" w:rsidRDefault="00AE067D" w:rsidP="00265766">
            <w:pPr>
              <w:spacing w:after="0"/>
              <w:jc w:val="both"/>
              <w:rPr>
                <w:rFonts w:ascii="Times New Roman" w:hAnsi="Times New Roman" w:cs="Times New Roman"/>
                <w:lang w:val="it-CH"/>
              </w:rPr>
            </w:pPr>
          </w:p>
          <w:p w14:paraId="6C83F892" w14:textId="31ED3B5A" w:rsidR="00AE067D" w:rsidRPr="009E686F" w:rsidRDefault="00AE067D" w:rsidP="00265766">
            <w:pPr>
              <w:spacing w:after="0"/>
              <w:jc w:val="both"/>
              <w:rPr>
                <w:rFonts w:ascii="Times New Roman" w:hAnsi="Times New Roman" w:cs="Times New Roman"/>
                <w:lang w:val="it-CH"/>
              </w:rPr>
            </w:pPr>
            <w:r w:rsidRPr="009E686F">
              <w:rPr>
                <w:rFonts w:ascii="Times New Roman" w:hAnsi="Times New Roman" w:cs="Times New Roman"/>
                <w:lang w:val="it-CH"/>
              </w:rPr>
              <w:t>CAPITOLUL 1</w:t>
            </w:r>
          </w:p>
          <w:p w14:paraId="1DE3DC8C" w14:textId="77777777" w:rsidR="00AE067D" w:rsidRPr="009E686F" w:rsidRDefault="00AE067D" w:rsidP="00265766">
            <w:pPr>
              <w:spacing w:after="0"/>
              <w:jc w:val="both"/>
              <w:rPr>
                <w:rFonts w:ascii="Times New Roman" w:hAnsi="Times New Roman" w:cs="Times New Roman"/>
                <w:b/>
                <w:bCs/>
                <w:lang w:val="it-CH"/>
              </w:rPr>
            </w:pPr>
            <w:r w:rsidRPr="009E686F">
              <w:rPr>
                <w:rFonts w:ascii="Times New Roman" w:hAnsi="Times New Roman" w:cs="Times New Roman"/>
                <w:b/>
                <w:bCs/>
                <w:lang w:val="it-CH"/>
              </w:rPr>
              <w:t>SUPRAVEGHEREA PRUDENȚIALĂ A SUCURSALELOR DIN ȚĂRI TERȚE</w:t>
            </w:r>
          </w:p>
          <w:p w14:paraId="1C8F00DD" w14:textId="77777777" w:rsidR="00AE067D" w:rsidRPr="009E686F" w:rsidRDefault="00AE067D" w:rsidP="00265766">
            <w:pPr>
              <w:spacing w:after="0"/>
              <w:jc w:val="both"/>
              <w:rPr>
                <w:rFonts w:ascii="Times New Roman" w:hAnsi="Times New Roman" w:cs="Times New Roman"/>
                <w:lang w:val="it-CH"/>
              </w:rPr>
            </w:pPr>
          </w:p>
          <w:p w14:paraId="4990A2BA" w14:textId="427BA5A8" w:rsidR="00AE067D" w:rsidRPr="009E686F" w:rsidRDefault="00AE067D" w:rsidP="00265766">
            <w:pPr>
              <w:spacing w:after="0"/>
              <w:jc w:val="both"/>
              <w:rPr>
                <w:rFonts w:ascii="Times New Roman" w:hAnsi="Times New Roman" w:cs="Times New Roman"/>
                <w:lang w:val="it-CH"/>
              </w:rPr>
            </w:pPr>
            <w:r w:rsidRPr="009E686F">
              <w:rPr>
                <w:rFonts w:ascii="Times New Roman" w:hAnsi="Times New Roman" w:cs="Times New Roman"/>
                <w:lang w:val="it-CH"/>
              </w:rPr>
              <w:t>SECȚIUNEA I</w:t>
            </w:r>
          </w:p>
          <w:p w14:paraId="4CBF986E" w14:textId="77777777" w:rsidR="00AE067D" w:rsidRPr="009E686F" w:rsidRDefault="00AE067D" w:rsidP="00265766">
            <w:pPr>
              <w:spacing w:after="0"/>
              <w:jc w:val="both"/>
              <w:rPr>
                <w:rFonts w:ascii="Times New Roman" w:hAnsi="Times New Roman" w:cs="Times New Roman"/>
                <w:b/>
                <w:bCs/>
                <w:lang w:val="it-CH"/>
              </w:rPr>
            </w:pPr>
            <w:r w:rsidRPr="009E686F">
              <w:rPr>
                <w:rFonts w:ascii="Times New Roman" w:hAnsi="Times New Roman" w:cs="Times New Roman"/>
                <w:b/>
                <w:bCs/>
                <w:lang w:val="it-CH"/>
              </w:rPr>
              <w:t>Dispoziții generale</w:t>
            </w:r>
          </w:p>
          <w:p w14:paraId="240956E0" w14:textId="77777777" w:rsidR="00AE067D" w:rsidRPr="009E686F" w:rsidRDefault="00AE067D" w:rsidP="00265766">
            <w:pPr>
              <w:spacing w:after="0"/>
              <w:jc w:val="both"/>
              <w:rPr>
                <w:rFonts w:ascii="Times New Roman" w:hAnsi="Times New Roman" w:cs="Times New Roman"/>
                <w:i/>
                <w:lang w:val="pt-BR"/>
              </w:rPr>
            </w:pPr>
            <w:r w:rsidRPr="009E686F">
              <w:rPr>
                <w:rFonts w:ascii="Times New Roman" w:hAnsi="Times New Roman" w:cs="Times New Roman"/>
                <w:i/>
                <w:lang w:val="pt-BR"/>
              </w:rPr>
              <w:t xml:space="preserve">Articolul 47 </w:t>
            </w:r>
          </w:p>
          <w:p w14:paraId="01C2D545" w14:textId="568E16B1" w:rsidR="00AE067D" w:rsidRPr="009E686F" w:rsidDel="000459E1" w:rsidRDefault="00AE067D" w:rsidP="00265766">
            <w:pPr>
              <w:spacing w:after="0"/>
              <w:jc w:val="both"/>
              <w:rPr>
                <w:rFonts w:ascii="Times New Roman" w:hAnsi="Times New Roman" w:cs="Times New Roman"/>
                <w:b/>
                <w:lang w:val="pt-BR"/>
              </w:rPr>
            </w:pPr>
            <w:r w:rsidRPr="009E686F">
              <w:rPr>
                <w:rFonts w:ascii="Times New Roman" w:hAnsi="Times New Roman" w:cs="Times New Roman"/>
                <w:lang w:val="pt-BR"/>
              </w:rPr>
              <w:t>Domeniu de aplicare și definiții</w:t>
            </w:r>
          </w:p>
        </w:tc>
        <w:tc>
          <w:tcPr>
            <w:tcW w:w="1834" w:type="pct"/>
            <w:tcBorders>
              <w:top w:val="single" w:sz="4" w:space="0" w:color="auto"/>
              <w:left w:val="single" w:sz="4" w:space="0" w:color="auto"/>
              <w:bottom w:val="single" w:sz="4" w:space="0" w:color="auto"/>
              <w:right w:val="single" w:sz="4" w:space="0" w:color="auto"/>
            </w:tcBorders>
          </w:tcPr>
          <w:p w14:paraId="62056D22" w14:textId="77777777" w:rsidR="00AE067D" w:rsidRPr="009E686F" w:rsidRDefault="00AE067D" w:rsidP="00265766">
            <w:pPr>
              <w:spacing w:after="0" w:line="278" w:lineRule="auto"/>
              <w:rPr>
                <w:rFonts w:ascii="Times New Roman" w:eastAsia="Aptos" w:hAnsi="Times New Roman" w:cs="Times New Roman"/>
                <w:b/>
                <w:bCs/>
                <w:kern w:val="2"/>
                <w:lang w:val="ro-MD"/>
              </w:rPr>
            </w:pPr>
            <w:r w:rsidRPr="009E686F">
              <w:rPr>
                <w:rFonts w:ascii="Times New Roman" w:eastAsia="Aptos" w:hAnsi="Times New Roman" w:cs="Times New Roman"/>
                <w:b/>
                <w:bCs/>
                <w:kern w:val="2"/>
                <w:lang w:val="ro-MD"/>
              </w:rPr>
              <w:t>Capitolul 3</w:t>
            </w:r>
          </w:p>
          <w:p w14:paraId="41A232C5" w14:textId="5AAEEF7B" w:rsidR="00AE067D" w:rsidRPr="009E686F" w:rsidRDefault="00AE067D" w:rsidP="00265766">
            <w:pPr>
              <w:spacing w:after="0"/>
              <w:rPr>
                <w:rFonts w:ascii="Times New Roman" w:hAnsi="Times New Roman" w:cs="Times New Roman"/>
                <w:b/>
                <w:lang w:val="pt-BR"/>
              </w:rPr>
            </w:pPr>
            <w:r w:rsidRPr="009E686F">
              <w:rPr>
                <w:rFonts w:ascii="Times New Roman" w:eastAsia="Aptos" w:hAnsi="Times New Roman" w:cs="Times New Roman"/>
                <w:b/>
                <w:kern w:val="2"/>
                <w:lang w:val="ro-MD"/>
              </w:rPr>
              <w:t>REGIMUL</w:t>
            </w:r>
            <w:r w:rsidRPr="009E686F">
              <w:rPr>
                <w:rFonts w:ascii="Times New Roman" w:eastAsia="Aptos" w:hAnsi="Times New Roman" w:cs="Times New Roman"/>
                <w:b/>
                <w:bCs/>
                <w:kern w:val="2"/>
                <w:lang w:val="ro-MD"/>
              </w:rPr>
              <w:t xml:space="preserve"> SUCURSALELOR </w:t>
            </w:r>
            <w:r w:rsidRPr="009E686F">
              <w:rPr>
                <w:rFonts w:ascii="Times New Roman" w:eastAsia="Aptos" w:hAnsi="Times New Roman" w:cs="Times New Roman"/>
                <w:b/>
                <w:bCs/>
                <w:i/>
                <w:iCs/>
                <w:kern w:val="2"/>
                <w:lang w:val="ro-MD"/>
              </w:rPr>
              <w:t>INSTITUȚIILOR DE CREDIT</w:t>
            </w:r>
            <w:r w:rsidRPr="009E686F">
              <w:rPr>
                <w:rFonts w:ascii="Times New Roman" w:eastAsia="Aptos" w:hAnsi="Times New Roman" w:cs="Times New Roman"/>
                <w:b/>
                <w:bCs/>
                <w:kern w:val="2"/>
                <w:lang w:val="ro-MD"/>
              </w:rPr>
              <w:t xml:space="preserve">  DIN STATE TERȚE ȘI RELAȚIILE CU STATE TERȚE</w:t>
            </w:r>
          </w:p>
          <w:p w14:paraId="68CCCE53" w14:textId="77777777" w:rsidR="00AE067D" w:rsidRPr="009E686F" w:rsidRDefault="00AE067D" w:rsidP="00265766">
            <w:pPr>
              <w:spacing w:after="0"/>
              <w:jc w:val="both"/>
              <w:rPr>
                <w:rFonts w:ascii="Times New Roman" w:hAnsi="Times New Roman" w:cs="Times New Roman"/>
                <w:b/>
                <w:lang w:val="pt-BR"/>
              </w:rPr>
            </w:pPr>
          </w:p>
          <w:p w14:paraId="652D0D26" w14:textId="77777777" w:rsidR="00AE067D" w:rsidRPr="009E686F" w:rsidRDefault="00AE067D" w:rsidP="00265766">
            <w:pPr>
              <w:spacing w:after="0"/>
              <w:jc w:val="both"/>
              <w:rPr>
                <w:rFonts w:ascii="Times New Roman" w:hAnsi="Times New Roman" w:cs="Times New Roman"/>
                <w:b/>
                <w:lang w:val="pt-BR"/>
              </w:rPr>
            </w:pPr>
          </w:p>
          <w:p w14:paraId="18C3F0DF" w14:textId="77777777" w:rsidR="00AE067D" w:rsidRPr="009E686F" w:rsidRDefault="00AE067D" w:rsidP="00265766">
            <w:pPr>
              <w:spacing w:after="0"/>
              <w:jc w:val="both"/>
              <w:rPr>
                <w:rFonts w:ascii="Times New Roman" w:hAnsi="Times New Roman" w:cs="Times New Roman"/>
                <w:b/>
                <w:lang w:val="pt-BR"/>
              </w:rPr>
            </w:pPr>
          </w:p>
          <w:p w14:paraId="6A31E407" w14:textId="77777777" w:rsidR="00AE067D" w:rsidRPr="009E686F" w:rsidRDefault="00AE067D" w:rsidP="00265766">
            <w:pPr>
              <w:spacing w:after="0"/>
              <w:jc w:val="both"/>
              <w:rPr>
                <w:rFonts w:ascii="Times New Roman" w:hAnsi="Times New Roman" w:cs="Times New Roman"/>
                <w:b/>
                <w:lang w:val="pt-BR"/>
              </w:rPr>
            </w:pPr>
          </w:p>
          <w:p w14:paraId="538C7F19" w14:textId="77777777" w:rsidR="00AE067D" w:rsidRPr="009E686F" w:rsidRDefault="00AE067D" w:rsidP="00265766">
            <w:pPr>
              <w:spacing w:after="0"/>
              <w:jc w:val="both"/>
              <w:rPr>
                <w:rFonts w:ascii="Times New Roman" w:hAnsi="Times New Roman" w:cs="Times New Roman"/>
                <w:b/>
                <w:lang w:val="pt-BR"/>
              </w:rPr>
            </w:pPr>
          </w:p>
          <w:p w14:paraId="7C2D4F24" w14:textId="77777777" w:rsidR="00AE067D" w:rsidRPr="009E686F" w:rsidRDefault="00AE067D" w:rsidP="00265766">
            <w:pPr>
              <w:spacing w:after="0"/>
              <w:jc w:val="both"/>
              <w:rPr>
                <w:rFonts w:ascii="Times New Roman" w:hAnsi="Times New Roman" w:cs="Times New Roman"/>
                <w:b/>
                <w:lang w:val="pt-BR"/>
              </w:rPr>
            </w:pPr>
          </w:p>
          <w:p w14:paraId="4406E198" w14:textId="1FC01C39" w:rsidR="00AE067D" w:rsidRPr="009E686F" w:rsidRDefault="00AE067D" w:rsidP="00265766">
            <w:pPr>
              <w:spacing w:after="0"/>
              <w:jc w:val="both"/>
              <w:rPr>
                <w:rFonts w:ascii="Times New Roman" w:hAnsi="Times New Roman" w:cs="Times New Roman"/>
                <w:b/>
                <w:lang w:val="pt-BR"/>
              </w:rPr>
            </w:pPr>
          </w:p>
          <w:p w14:paraId="0230C56F" w14:textId="2FFC6AF6" w:rsidR="00AE067D" w:rsidRPr="009E686F" w:rsidRDefault="00AE067D" w:rsidP="00265766">
            <w:pPr>
              <w:spacing w:after="0"/>
              <w:jc w:val="both"/>
              <w:rPr>
                <w:rFonts w:ascii="Times New Roman" w:hAnsi="Times New Roman" w:cs="Times New Roman"/>
                <w:b/>
                <w:i/>
                <w:lang w:val="pt-BR"/>
              </w:rPr>
            </w:pPr>
            <w:r w:rsidRPr="009E686F">
              <w:rPr>
                <w:rFonts w:ascii="Times New Roman" w:hAnsi="Times New Roman" w:cs="Times New Roman"/>
                <w:b/>
                <w:i/>
                <w:iCs/>
                <w:lang w:val="pt-BR"/>
              </w:rPr>
              <w:t xml:space="preserve">Articolul 27. </w:t>
            </w:r>
            <w:r w:rsidRPr="009E686F">
              <w:rPr>
                <w:rFonts w:ascii="Times New Roman" w:hAnsi="Times New Roman" w:cs="Times New Roman"/>
                <w:bCs/>
                <w:i/>
                <w:iCs/>
                <w:lang w:val="pt-BR"/>
              </w:rPr>
              <w:t>Cerințe de desfășurare a activităților sucursalelor din state terțe</w:t>
            </w:r>
          </w:p>
        </w:tc>
        <w:tc>
          <w:tcPr>
            <w:tcW w:w="470" w:type="pct"/>
            <w:tcBorders>
              <w:top w:val="single" w:sz="4" w:space="0" w:color="auto"/>
              <w:left w:val="single" w:sz="4" w:space="0" w:color="auto"/>
              <w:right w:val="single" w:sz="4" w:space="0" w:color="auto"/>
            </w:tcBorders>
          </w:tcPr>
          <w:p w14:paraId="2412DF3C" w14:textId="5A8C223C" w:rsidR="00AE067D" w:rsidRPr="009E686F" w:rsidRDefault="00AE067D" w:rsidP="00265766">
            <w:pPr>
              <w:jc w:val="both"/>
              <w:rPr>
                <w:rFonts w:ascii="Times New Roman" w:hAnsi="Times New Roman" w:cs="Times New Roman"/>
                <w:lang w:val="it-CH"/>
              </w:rPr>
            </w:pPr>
            <w:r w:rsidRPr="009E686F">
              <w:rPr>
                <w:rFonts w:ascii="Times New Roman" w:hAnsi="Times New Roman" w:cs="Times New Roman"/>
                <w:lang w:val="it-CH"/>
              </w:rPr>
              <w:t>Compatibil</w:t>
            </w:r>
          </w:p>
        </w:tc>
        <w:tc>
          <w:tcPr>
            <w:tcW w:w="806" w:type="pct"/>
            <w:vMerge w:val="restart"/>
            <w:tcBorders>
              <w:top w:val="single" w:sz="4" w:space="0" w:color="auto"/>
              <w:left w:val="single" w:sz="4" w:space="0" w:color="auto"/>
              <w:right w:val="single" w:sz="4" w:space="0" w:color="auto"/>
            </w:tcBorders>
          </w:tcPr>
          <w:p w14:paraId="01D816A6" w14:textId="77777777" w:rsidR="00AE067D" w:rsidRPr="009E686F" w:rsidRDefault="00AE067D" w:rsidP="00AE067D">
            <w:r w:rsidRPr="009E686F">
              <w:rPr>
                <w:rFonts w:ascii="Times New Roman" w:hAnsi="Times New Roman" w:cs="Times New Roman"/>
                <w:lang w:val="ro-RO"/>
              </w:rPr>
              <w:t>În vigoare – data aderării.</w:t>
            </w:r>
          </w:p>
          <w:p w14:paraId="030AC536" w14:textId="77777777" w:rsidR="00AE067D" w:rsidRPr="009E686F" w:rsidRDefault="00AE067D" w:rsidP="00265766">
            <w:pPr>
              <w:spacing w:after="0"/>
              <w:jc w:val="both"/>
              <w:rPr>
                <w:rFonts w:ascii="Times New Roman" w:hAnsi="Times New Roman" w:cs="Times New Roman"/>
                <w:lang w:val="it-CH"/>
              </w:rPr>
            </w:pPr>
          </w:p>
        </w:tc>
      </w:tr>
      <w:tr w:rsidR="00AE067D" w:rsidRPr="009E686F" w14:paraId="0C1D866E" w14:textId="77777777" w:rsidTr="00752ED3">
        <w:tc>
          <w:tcPr>
            <w:tcW w:w="1890" w:type="pct"/>
            <w:tcBorders>
              <w:top w:val="single" w:sz="4" w:space="0" w:color="auto"/>
              <w:left w:val="single" w:sz="4" w:space="0" w:color="auto"/>
              <w:bottom w:val="single" w:sz="4" w:space="0" w:color="auto"/>
              <w:right w:val="single" w:sz="4" w:space="0" w:color="auto"/>
            </w:tcBorders>
          </w:tcPr>
          <w:p w14:paraId="2684EF11" w14:textId="054F4FFE" w:rsidR="00AE067D" w:rsidRPr="009E686F" w:rsidDel="000459E1" w:rsidRDefault="00AE067D" w:rsidP="00265766">
            <w:pPr>
              <w:spacing w:after="0"/>
              <w:jc w:val="both"/>
              <w:rPr>
                <w:rFonts w:ascii="Times New Roman" w:hAnsi="Times New Roman" w:cs="Times New Roman"/>
                <w:lang w:val="it-CH"/>
              </w:rPr>
            </w:pPr>
            <w:r w:rsidRPr="009E686F">
              <w:rPr>
                <w:rFonts w:ascii="Times New Roman" w:hAnsi="Times New Roman" w:cs="Times New Roman"/>
                <w:lang w:val="it-CH"/>
              </w:rPr>
              <w:t>(1) Prezentul capitol stabilește cerințele minime privind desfășurarea într-un stat membru a următoarelor activități de către o sucursală dintr-o țară terță:</w:t>
            </w:r>
          </w:p>
        </w:tc>
        <w:tc>
          <w:tcPr>
            <w:tcW w:w="1834" w:type="pct"/>
            <w:tcBorders>
              <w:top w:val="single" w:sz="4" w:space="0" w:color="auto"/>
              <w:left w:val="single" w:sz="4" w:space="0" w:color="auto"/>
              <w:bottom w:val="single" w:sz="4" w:space="0" w:color="auto"/>
              <w:right w:val="single" w:sz="4" w:space="0" w:color="auto"/>
            </w:tcBorders>
          </w:tcPr>
          <w:p w14:paraId="6A577A3F" w14:textId="27C26760" w:rsidR="00AE067D" w:rsidRPr="009E686F" w:rsidRDefault="00AE067D" w:rsidP="00265766">
            <w:pPr>
              <w:spacing w:after="0"/>
              <w:jc w:val="both"/>
              <w:rPr>
                <w:rFonts w:ascii="Times New Roman" w:hAnsi="Times New Roman" w:cs="Times New Roman"/>
                <w:i/>
                <w:lang w:val="it-CH"/>
              </w:rPr>
            </w:pPr>
            <w:r w:rsidRPr="009E686F">
              <w:rPr>
                <w:rFonts w:ascii="Times New Roman" w:hAnsi="Times New Roman" w:cs="Times New Roman"/>
                <w:i/>
                <w:lang w:val="it-CH"/>
              </w:rPr>
              <w:t>(1) Sucursalele dintr-un stat terț pot desfășura pe teritoriul Republicii Moldova următoarele activități:</w:t>
            </w:r>
          </w:p>
        </w:tc>
        <w:tc>
          <w:tcPr>
            <w:tcW w:w="470" w:type="pct"/>
            <w:tcBorders>
              <w:top w:val="single" w:sz="4" w:space="0" w:color="auto"/>
              <w:left w:val="single" w:sz="4" w:space="0" w:color="auto"/>
              <w:bottom w:val="single" w:sz="4" w:space="0" w:color="auto"/>
              <w:right w:val="single" w:sz="4" w:space="0" w:color="auto"/>
            </w:tcBorders>
          </w:tcPr>
          <w:p w14:paraId="38F9B71A" w14:textId="0AEB1870" w:rsidR="00AE067D" w:rsidRPr="009E686F" w:rsidRDefault="00AE067D" w:rsidP="00265766">
            <w:pPr>
              <w:jc w:val="both"/>
              <w:rPr>
                <w:rFonts w:ascii="Times New Roman" w:hAnsi="Times New Roman" w:cs="Times New Roman"/>
                <w:lang w:val="pt-BR"/>
              </w:rPr>
            </w:pPr>
            <w:r w:rsidRPr="009E686F">
              <w:rPr>
                <w:rFonts w:ascii="Times New Roman" w:hAnsi="Times New Roman" w:cs="Times New Roman"/>
                <w:lang w:val="it-CH"/>
              </w:rPr>
              <w:t>Compatibil</w:t>
            </w:r>
          </w:p>
        </w:tc>
        <w:tc>
          <w:tcPr>
            <w:tcW w:w="806" w:type="pct"/>
            <w:vMerge/>
            <w:tcBorders>
              <w:left w:val="single" w:sz="4" w:space="0" w:color="auto"/>
              <w:right w:val="single" w:sz="4" w:space="0" w:color="auto"/>
            </w:tcBorders>
          </w:tcPr>
          <w:p w14:paraId="5EF22FB8" w14:textId="77777777" w:rsidR="00AE067D" w:rsidRPr="009E686F" w:rsidRDefault="00AE067D" w:rsidP="00265766">
            <w:pPr>
              <w:spacing w:after="0"/>
              <w:jc w:val="both"/>
              <w:rPr>
                <w:rFonts w:ascii="Times New Roman" w:hAnsi="Times New Roman" w:cs="Times New Roman"/>
                <w:lang w:val="pt-BR"/>
              </w:rPr>
            </w:pPr>
          </w:p>
        </w:tc>
      </w:tr>
      <w:tr w:rsidR="00AE067D" w:rsidRPr="009E686F" w14:paraId="274195CA" w14:textId="77777777" w:rsidTr="00752ED3">
        <w:tc>
          <w:tcPr>
            <w:tcW w:w="1890" w:type="pct"/>
            <w:tcBorders>
              <w:top w:val="single" w:sz="4" w:space="0" w:color="auto"/>
              <w:left w:val="single" w:sz="4" w:space="0" w:color="auto"/>
              <w:bottom w:val="single" w:sz="4" w:space="0" w:color="auto"/>
              <w:right w:val="single" w:sz="4" w:space="0" w:color="auto"/>
            </w:tcBorders>
          </w:tcPr>
          <w:p w14:paraId="71EEC331" w14:textId="59EC6D55" w:rsidR="00AE067D" w:rsidRPr="009E686F" w:rsidDel="000459E1" w:rsidRDefault="00AE067D" w:rsidP="00265766">
            <w:pPr>
              <w:spacing w:after="0"/>
              <w:jc w:val="both"/>
              <w:rPr>
                <w:rFonts w:ascii="Times New Roman" w:hAnsi="Times New Roman" w:cs="Times New Roman"/>
              </w:rPr>
            </w:pPr>
            <w:r w:rsidRPr="009E686F">
              <w:rPr>
                <w:rFonts w:ascii="Times New Roman" w:hAnsi="Times New Roman" w:cs="Times New Roman"/>
              </w:rPr>
              <w:t xml:space="preserve">(a) oricare dintre activitățile menționate la punctele 2 și 6 din anexa I la prezenta directivă desfășurate de o întreprindere stabilită într-o țară terță care s-ar califica drept instituție de credit sau care ar îndeplini criteriile prevăzute la articolul 4 </w:t>
            </w:r>
            <w:r w:rsidRPr="009E686F">
              <w:rPr>
                <w:rFonts w:ascii="Times New Roman" w:hAnsi="Times New Roman" w:cs="Times New Roman"/>
              </w:rPr>
              <w:lastRenderedPageBreak/>
              <w:t>alineatul (1) punctul 1 litera (b) din Regulamentul (UE) nr. 575/2013, dacă ar fi stabilită în Uniune;</w:t>
            </w:r>
          </w:p>
        </w:tc>
        <w:tc>
          <w:tcPr>
            <w:tcW w:w="1834" w:type="pct"/>
            <w:tcBorders>
              <w:top w:val="single" w:sz="4" w:space="0" w:color="auto"/>
              <w:left w:val="single" w:sz="4" w:space="0" w:color="auto"/>
              <w:bottom w:val="single" w:sz="4" w:space="0" w:color="auto"/>
              <w:right w:val="single" w:sz="4" w:space="0" w:color="auto"/>
            </w:tcBorders>
          </w:tcPr>
          <w:p w14:paraId="2B42E9E4" w14:textId="4350E48D" w:rsidR="00AE067D" w:rsidRPr="009E686F" w:rsidRDefault="00AE067D" w:rsidP="00265766">
            <w:pPr>
              <w:spacing w:after="0"/>
              <w:jc w:val="both"/>
              <w:rPr>
                <w:rFonts w:ascii="Times New Roman" w:hAnsi="Times New Roman" w:cs="Times New Roman"/>
                <w:bCs/>
                <w:i/>
                <w:iCs/>
                <w:lang w:val="it-IT"/>
              </w:rPr>
            </w:pPr>
            <w:r w:rsidRPr="009E686F">
              <w:rPr>
                <w:rFonts w:ascii="Times New Roman" w:hAnsi="Times New Roman" w:cs="Times New Roman"/>
                <w:bCs/>
                <w:i/>
                <w:iCs/>
                <w:lang w:val="it-IT"/>
              </w:rPr>
              <w:lastRenderedPageBreak/>
              <w:t xml:space="preserve">a) oricare dintre activitățile prevăzute la art. 14 alin. (1) lit. b) și f) desfășurate de o întreprindere stabilită într-un stat terț care s-ar califica drept instituție de credit sau care ar îndeplini criteriile prevăzute la art. 3 </w:t>
            </w:r>
            <w:r w:rsidRPr="009E686F">
              <w:rPr>
                <w:rFonts w:ascii="Times New Roman" w:hAnsi="Times New Roman" w:cs="Times New Roman"/>
                <w:i/>
                <w:iCs/>
                <w:lang w:val="it-CH"/>
              </w:rPr>
              <w:t>noțiunea de “</w:t>
            </w:r>
            <w:r w:rsidRPr="009E686F">
              <w:rPr>
                <w:rFonts w:ascii="Times New Roman" w:hAnsi="Times New Roman" w:cs="Times New Roman"/>
                <w:i/>
                <w:iCs/>
                <w:lang w:val="ro-RO"/>
              </w:rPr>
              <w:t>instituție de credit</w:t>
            </w:r>
            <w:r w:rsidRPr="009E686F">
              <w:rPr>
                <w:rFonts w:ascii="Times New Roman" w:hAnsi="Times New Roman" w:cs="Times New Roman"/>
                <w:i/>
                <w:iCs/>
                <w:lang w:val="it-CH"/>
              </w:rPr>
              <w:t xml:space="preserve">” </w:t>
            </w:r>
            <w:r w:rsidRPr="009E686F">
              <w:rPr>
                <w:rFonts w:ascii="Times New Roman" w:hAnsi="Times New Roman" w:cs="Times New Roman"/>
                <w:bCs/>
                <w:i/>
                <w:iCs/>
                <w:lang w:val="it-IT"/>
              </w:rPr>
              <w:t>lit. b), dacă ar fi stabilită în UE;</w:t>
            </w:r>
          </w:p>
        </w:tc>
        <w:tc>
          <w:tcPr>
            <w:tcW w:w="470" w:type="pct"/>
            <w:tcBorders>
              <w:top w:val="single" w:sz="4" w:space="0" w:color="auto"/>
              <w:left w:val="single" w:sz="4" w:space="0" w:color="auto"/>
              <w:bottom w:val="single" w:sz="4" w:space="0" w:color="auto"/>
              <w:right w:val="single" w:sz="4" w:space="0" w:color="auto"/>
            </w:tcBorders>
          </w:tcPr>
          <w:p w14:paraId="41139FA1" w14:textId="7A3F36F5" w:rsidR="00AE067D" w:rsidRPr="009E686F" w:rsidRDefault="00AE067D" w:rsidP="00265766">
            <w:pPr>
              <w:jc w:val="both"/>
              <w:rPr>
                <w:rFonts w:ascii="Times New Roman" w:hAnsi="Times New Roman" w:cs="Times New Roman"/>
                <w:lang w:val="it-IT"/>
              </w:rPr>
            </w:pPr>
            <w:r w:rsidRPr="009E686F">
              <w:rPr>
                <w:rFonts w:ascii="Times New Roman" w:hAnsi="Times New Roman" w:cs="Times New Roman"/>
                <w:lang w:val="it-CH"/>
              </w:rPr>
              <w:t>Compatibil</w:t>
            </w:r>
          </w:p>
        </w:tc>
        <w:tc>
          <w:tcPr>
            <w:tcW w:w="806" w:type="pct"/>
            <w:vMerge/>
            <w:tcBorders>
              <w:left w:val="single" w:sz="4" w:space="0" w:color="auto"/>
              <w:right w:val="single" w:sz="4" w:space="0" w:color="auto"/>
            </w:tcBorders>
          </w:tcPr>
          <w:p w14:paraId="28DFA820" w14:textId="77777777" w:rsidR="00AE067D" w:rsidRPr="009E686F" w:rsidRDefault="00AE067D" w:rsidP="00265766">
            <w:pPr>
              <w:spacing w:after="0"/>
              <w:jc w:val="both"/>
              <w:rPr>
                <w:rFonts w:ascii="Times New Roman" w:hAnsi="Times New Roman" w:cs="Times New Roman"/>
                <w:lang w:val="it-IT"/>
              </w:rPr>
            </w:pPr>
          </w:p>
        </w:tc>
      </w:tr>
      <w:tr w:rsidR="00AE067D" w:rsidRPr="009E686F" w14:paraId="0523584D" w14:textId="77777777" w:rsidTr="00752ED3">
        <w:tc>
          <w:tcPr>
            <w:tcW w:w="1890" w:type="pct"/>
            <w:tcBorders>
              <w:top w:val="single" w:sz="4" w:space="0" w:color="auto"/>
              <w:left w:val="single" w:sz="4" w:space="0" w:color="auto"/>
              <w:bottom w:val="single" w:sz="4" w:space="0" w:color="auto"/>
              <w:right w:val="single" w:sz="4" w:space="0" w:color="auto"/>
            </w:tcBorders>
          </w:tcPr>
          <w:p w14:paraId="2CFA44BB" w14:textId="2604346E" w:rsidR="00AE067D" w:rsidRPr="009E686F" w:rsidDel="000459E1" w:rsidRDefault="00AE067D" w:rsidP="00265766">
            <w:pPr>
              <w:spacing w:after="0"/>
              <w:jc w:val="both"/>
              <w:rPr>
                <w:rFonts w:ascii="Times New Roman" w:hAnsi="Times New Roman" w:cs="Times New Roman"/>
                <w:lang w:val="it-CH"/>
              </w:rPr>
            </w:pPr>
            <w:r w:rsidRPr="009E686F">
              <w:rPr>
                <w:rFonts w:ascii="Times New Roman" w:hAnsi="Times New Roman" w:cs="Times New Roman"/>
                <w:lang w:val="it-CH"/>
              </w:rPr>
              <w:t>(b) activitatea menționată la punctul 1 din anexa I la prezenta directivă desfășurată de o întreprindere stabilită într-o țară terță.</w:t>
            </w:r>
          </w:p>
        </w:tc>
        <w:tc>
          <w:tcPr>
            <w:tcW w:w="1834" w:type="pct"/>
            <w:tcBorders>
              <w:top w:val="single" w:sz="4" w:space="0" w:color="auto"/>
              <w:left w:val="single" w:sz="4" w:space="0" w:color="auto"/>
              <w:bottom w:val="single" w:sz="4" w:space="0" w:color="auto"/>
              <w:right w:val="single" w:sz="4" w:space="0" w:color="auto"/>
            </w:tcBorders>
          </w:tcPr>
          <w:p w14:paraId="5AE7E391" w14:textId="2FE98470" w:rsidR="00AE067D" w:rsidRPr="009E686F" w:rsidRDefault="00AE067D" w:rsidP="00265766">
            <w:pPr>
              <w:spacing w:after="0"/>
              <w:jc w:val="both"/>
              <w:rPr>
                <w:rFonts w:ascii="Times New Roman" w:hAnsi="Times New Roman" w:cs="Times New Roman"/>
                <w:bCs/>
                <w:i/>
                <w:iCs/>
                <w:lang w:val="it-IT"/>
              </w:rPr>
            </w:pPr>
            <w:r w:rsidRPr="009E686F">
              <w:rPr>
                <w:rFonts w:ascii="Times New Roman" w:hAnsi="Times New Roman" w:cs="Times New Roman"/>
                <w:bCs/>
                <w:i/>
                <w:iCs/>
                <w:lang w:val="it-IT"/>
              </w:rPr>
              <w:t>b) activitatea prevăzută la art. 14 alin. (1) lit. a) desfășurată de o întreprindere stabilită într-un stat terț.</w:t>
            </w:r>
          </w:p>
        </w:tc>
        <w:tc>
          <w:tcPr>
            <w:tcW w:w="470" w:type="pct"/>
            <w:tcBorders>
              <w:top w:val="single" w:sz="4" w:space="0" w:color="auto"/>
              <w:left w:val="single" w:sz="4" w:space="0" w:color="auto"/>
              <w:bottom w:val="single" w:sz="4" w:space="0" w:color="auto"/>
              <w:right w:val="single" w:sz="4" w:space="0" w:color="auto"/>
            </w:tcBorders>
          </w:tcPr>
          <w:p w14:paraId="0D121077" w14:textId="20CF04A4" w:rsidR="00AE067D" w:rsidRPr="009E686F" w:rsidRDefault="00AE067D" w:rsidP="00265766">
            <w:pPr>
              <w:jc w:val="both"/>
              <w:rPr>
                <w:rFonts w:ascii="Times New Roman" w:hAnsi="Times New Roman" w:cs="Times New Roman"/>
                <w:lang w:val="it-IT"/>
              </w:rPr>
            </w:pPr>
            <w:r w:rsidRPr="009E686F">
              <w:rPr>
                <w:rFonts w:ascii="Times New Roman" w:hAnsi="Times New Roman" w:cs="Times New Roman"/>
                <w:lang w:val="it-CH"/>
              </w:rPr>
              <w:t>Compatibil</w:t>
            </w:r>
          </w:p>
        </w:tc>
        <w:tc>
          <w:tcPr>
            <w:tcW w:w="806" w:type="pct"/>
            <w:vMerge/>
            <w:tcBorders>
              <w:left w:val="single" w:sz="4" w:space="0" w:color="auto"/>
              <w:bottom w:val="single" w:sz="4" w:space="0" w:color="auto"/>
              <w:right w:val="single" w:sz="4" w:space="0" w:color="auto"/>
            </w:tcBorders>
          </w:tcPr>
          <w:p w14:paraId="090E5018" w14:textId="77777777" w:rsidR="00AE067D" w:rsidRPr="009E686F" w:rsidRDefault="00AE067D" w:rsidP="00265766">
            <w:pPr>
              <w:spacing w:after="0"/>
              <w:jc w:val="both"/>
              <w:rPr>
                <w:rFonts w:ascii="Times New Roman" w:hAnsi="Times New Roman" w:cs="Times New Roman"/>
                <w:lang w:val="it-IT"/>
              </w:rPr>
            </w:pPr>
          </w:p>
        </w:tc>
      </w:tr>
      <w:tr w:rsidR="00265766" w:rsidRPr="009E686F" w14:paraId="3FFE7480" w14:textId="77777777" w:rsidTr="00960C23">
        <w:tc>
          <w:tcPr>
            <w:tcW w:w="1890" w:type="pct"/>
            <w:tcBorders>
              <w:top w:val="single" w:sz="4" w:space="0" w:color="auto"/>
              <w:left w:val="single" w:sz="4" w:space="0" w:color="auto"/>
              <w:bottom w:val="single" w:sz="4" w:space="0" w:color="auto"/>
              <w:right w:val="single" w:sz="4" w:space="0" w:color="auto"/>
            </w:tcBorders>
          </w:tcPr>
          <w:p w14:paraId="020DF558" w14:textId="55EF186C" w:rsidR="00265766" w:rsidRPr="009E686F" w:rsidDel="000459E1" w:rsidRDefault="00265766" w:rsidP="00265766">
            <w:pPr>
              <w:spacing w:after="0"/>
              <w:jc w:val="both"/>
              <w:rPr>
                <w:rFonts w:ascii="Times New Roman" w:hAnsi="Times New Roman" w:cs="Times New Roman"/>
              </w:rPr>
            </w:pPr>
            <w:r w:rsidRPr="009E686F">
              <w:rPr>
                <w:rFonts w:ascii="Times New Roman" w:hAnsi="Times New Roman" w:cs="Times New Roman"/>
              </w:rPr>
              <w:t>(2) În cazul în care o întreprindere stabilită într-o țară terță desfășoară activități și prestează servicii enumerate în secțiunea A din anexa I la Directiva 2014/65/UE și servicii auxiliare, cum ar fi atragerea de depozite conexe sau acordarea de credite ori împrumuturi al căror scop este de a furniza servicii în temeiul directivei respective, întreprinderea respectivă nu este inclusă în domeniul de aplicare al alineatului (1) de la prezentul articol.</w:t>
            </w:r>
          </w:p>
        </w:tc>
        <w:tc>
          <w:tcPr>
            <w:tcW w:w="1834" w:type="pct"/>
            <w:tcBorders>
              <w:top w:val="single" w:sz="4" w:space="0" w:color="auto"/>
              <w:left w:val="single" w:sz="4" w:space="0" w:color="auto"/>
              <w:bottom w:val="single" w:sz="4" w:space="0" w:color="auto"/>
              <w:right w:val="single" w:sz="4" w:space="0" w:color="auto"/>
            </w:tcBorders>
          </w:tcPr>
          <w:p w14:paraId="02470CFF" w14:textId="2EEDFC97" w:rsidR="00265766" w:rsidRPr="009E686F" w:rsidRDefault="00265766" w:rsidP="00265766">
            <w:pPr>
              <w:spacing w:after="0"/>
              <w:jc w:val="both"/>
              <w:rPr>
                <w:rFonts w:ascii="Times New Roman" w:hAnsi="Times New Roman" w:cs="Times New Roman"/>
                <w:bCs/>
                <w:i/>
                <w:iCs/>
                <w:lang w:val="pt-BR"/>
              </w:rPr>
            </w:pPr>
            <w:r w:rsidRPr="009E686F">
              <w:rPr>
                <w:rFonts w:ascii="Times New Roman" w:hAnsi="Times New Roman" w:cs="Times New Roman"/>
                <w:bCs/>
                <w:i/>
                <w:iCs/>
              </w:rPr>
              <w:t xml:space="preserve">(3) În cazul în care o întreprindere stabilită într-un stat terț desfășoară activități și prestează servicii prevăzute la art. 9 din Legea </w:t>
            </w:r>
            <w:r w:rsidR="00C2714D" w:rsidRPr="009E686F">
              <w:rPr>
                <w:rFonts w:ascii="Times New Roman" w:hAnsi="Times New Roman" w:cs="Times New Roman"/>
                <w:bCs/>
                <w:i/>
                <w:iCs/>
              </w:rPr>
              <w:t>nr. 181/2026</w:t>
            </w:r>
            <w:r w:rsidRPr="009E686F">
              <w:rPr>
                <w:rFonts w:ascii="Times New Roman" w:hAnsi="Times New Roman" w:cs="Times New Roman"/>
                <w:bCs/>
                <w:i/>
                <w:iCs/>
              </w:rPr>
              <w:t xml:space="preserve"> și servicii auxiliare, cum ar fi atragerea de depozite conexe sau acordarea de credite ori împrumuturi al căror scop este de a furniza servicii în temeiul legii respective, întreprinderea respectivă </w:t>
            </w:r>
            <w:r w:rsidR="00C2714D" w:rsidRPr="009E686F">
              <w:rPr>
                <w:rFonts w:ascii="Times New Roman" w:hAnsi="Times New Roman" w:cs="Times New Roman"/>
                <w:bCs/>
                <w:i/>
                <w:iCs/>
              </w:rPr>
              <w:t xml:space="preserve">nu </w:t>
            </w:r>
            <w:r w:rsidRPr="009E686F">
              <w:rPr>
                <w:rFonts w:ascii="Times New Roman" w:hAnsi="Times New Roman" w:cs="Times New Roman"/>
                <w:bCs/>
                <w:i/>
                <w:iCs/>
              </w:rPr>
              <w:t>face obiectul alin. (1).</w:t>
            </w:r>
          </w:p>
        </w:tc>
        <w:tc>
          <w:tcPr>
            <w:tcW w:w="470" w:type="pct"/>
            <w:tcBorders>
              <w:top w:val="single" w:sz="4" w:space="0" w:color="auto"/>
              <w:left w:val="single" w:sz="4" w:space="0" w:color="auto"/>
              <w:bottom w:val="single" w:sz="4" w:space="0" w:color="auto"/>
              <w:right w:val="single" w:sz="4" w:space="0" w:color="auto"/>
            </w:tcBorders>
          </w:tcPr>
          <w:p w14:paraId="7ACA4177" w14:textId="4E7724C4" w:rsidR="00265766" w:rsidRPr="009E686F" w:rsidRDefault="00265766" w:rsidP="00265766">
            <w:pPr>
              <w:jc w:val="both"/>
              <w:rPr>
                <w:rFonts w:ascii="Times New Roman" w:hAnsi="Times New Roman" w:cs="Times New Roman"/>
                <w:lang w:val="pt-BR"/>
              </w:rPr>
            </w:pPr>
            <w:r w:rsidRPr="009E686F">
              <w:rPr>
                <w:rFonts w:ascii="Times New Roman" w:hAnsi="Times New Roman" w:cs="Times New Roman"/>
                <w:lang w:val="it-CH"/>
              </w:rPr>
              <w:t>Compatibil</w:t>
            </w:r>
          </w:p>
        </w:tc>
        <w:tc>
          <w:tcPr>
            <w:tcW w:w="806" w:type="pct"/>
            <w:tcBorders>
              <w:top w:val="single" w:sz="4" w:space="0" w:color="auto"/>
              <w:left w:val="single" w:sz="4" w:space="0" w:color="auto"/>
              <w:bottom w:val="single" w:sz="4" w:space="0" w:color="auto"/>
              <w:right w:val="single" w:sz="4" w:space="0" w:color="auto"/>
            </w:tcBorders>
          </w:tcPr>
          <w:p w14:paraId="1D7DFDD5" w14:textId="77777777" w:rsidR="00AE067D" w:rsidRPr="009E686F" w:rsidRDefault="00AE067D" w:rsidP="00AE067D">
            <w:r w:rsidRPr="009E686F">
              <w:rPr>
                <w:rFonts w:ascii="Times New Roman" w:hAnsi="Times New Roman" w:cs="Times New Roman"/>
                <w:lang w:val="ro-RO"/>
              </w:rPr>
              <w:t>În vigoare – data aderării.</w:t>
            </w:r>
          </w:p>
          <w:p w14:paraId="3C3E603A" w14:textId="77777777" w:rsidR="00265766" w:rsidRPr="009E686F" w:rsidRDefault="00265766" w:rsidP="00265766">
            <w:pPr>
              <w:spacing w:after="0"/>
              <w:jc w:val="both"/>
              <w:rPr>
                <w:rFonts w:ascii="Times New Roman" w:hAnsi="Times New Roman" w:cs="Times New Roman"/>
                <w:lang w:val="pt-BR"/>
              </w:rPr>
            </w:pPr>
          </w:p>
        </w:tc>
      </w:tr>
      <w:tr w:rsidR="00F17D19" w:rsidRPr="009E686F" w14:paraId="03C01043" w14:textId="77777777" w:rsidTr="005B22FF">
        <w:tc>
          <w:tcPr>
            <w:tcW w:w="1890" w:type="pct"/>
            <w:tcBorders>
              <w:top w:val="single" w:sz="4" w:space="0" w:color="auto"/>
              <w:left w:val="single" w:sz="4" w:space="0" w:color="auto"/>
              <w:bottom w:val="single" w:sz="4" w:space="0" w:color="auto"/>
              <w:right w:val="single" w:sz="4" w:space="0" w:color="auto"/>
            </w:tcBorders>
          </w:tcPr>
          <w:p w14:paraId="3493F957" w14:textId="02273D8E" w:rsidR="00F17D19" w:rsidRPr="009E686F" w:rsidDel="000459E1" w:rsidRDefault="00F17D19" w:rsidP="00265766">
            <w:pPr>
              <w:spacing w:after="0"/>
              <w:jc w:val="both"/>
              <w:rPr>
                <w:rFonts w:ascii="Times New Roman" w:hAnsi="Times New Roman" w:cs="Times New Roman"/>
                <w:lang w:val="pt-BR"/>
              </w:rPr>
            </w:pPr>
            <w:r w:rsidRPr="009E686F">
              <w:rPr>
                <w:rFonts w:ascii="Times New Roman" w:hAnsi="Times New Roman" w:cs="Times New Roman"/>
                <w:lang w:val="pt-BR"/>
              </w:rPr>
              <w:t>(3) În sensul prezentului titlu se aplică următoarele definiții:</w:t>
            </w:r>
          </w:p>
        </w:tc>
        <w:tc>
          <w:tcPr>
            <w:tcW w:w="1834" w:type="pct"/>
            <w:vMerge w:val="restart"/>
            <w:tcBorders>
              <w:top w:val="single" w:sz="4" w:space="0" w:color="auto"/>
              <w:left w:val="single" w:sz="4" w:space="0" w:color="auto"/>
              <w:right w:val="single" w:sz="4" w:space="0" w:color="auto"/>
            </w:tcBorders>
          </w:tcPr>
          <w:p w14:paraId="62940838" w14:textId="33AB26D9" w:rsidR="00F17D19" w:rsidRPr="009E686F" w:rsidRDefault="00F17D19" w:rsidP="00265766">
            <w:pPr>
              <w:spacing w:after="0"/>
              <w:jc w:val="both"/>
              <w:rPr>
                <w:rFonts w:ascii="Times New Roman" w:hAnsi="Times New Roman" w:cs="Times New Roman"/>
                <w:b/>
                <w:lang w:val="it-IT"/>
              </w:rPr>
            </w:pPr>
            <w:r w:rsidRPr="009E686F">
              <w:rPr>
                <w:rFonts w:ascii="Times New Roman" w:hAnsi="Times New Roman" w:cs="Times New Roman"/>
                <w:b/>
                <w:lang w:val="it-IT"/>
              </w:rPr>
              <w:t>Articolul 24 alin. (8)-(9)</w:t>
            </w:r>
          </w:p>
          <w:p w14:paraId="188B86FA" w14:textId="4B35EA86" w:rsidR="00F17D19" w:rsidRPr="009E686F" w:rsidRDefault="00F17D19" w:rsidP="00265766">
            <w:pPr>
              <w:spacing w:after="0"/>
              <w:jc w:val="both"/>
              <w:rPr>
                <w:rFonts w:ascii="Times New Roman" w:hAnsi="Times New Roman" w:cs="Times New Roman"/>
                <w:bCs/>
                <w:lang w:val="it-IT"/>
              </w:rPr>
            </w:pPr>
            <w:r w:rsidRPr="009E686F">
              <w:rPr>
                <w:rFonts w:ascii="Times New Roman" w:hAnsi="Times New Roman" w:cs="Times New Roman"/>
                <w:bCs/>
                <w:i/>
                <w:iCs/>
                <w:lang w:val="it-IT"/>
              </w:rPr>
              <w:t>(8) În sensul prezentei legi, sucursala dintr-un stat terț reprezintă sucursala deschisă în Republica Moldova de către</w:t>
            </w:r>
            <w:r w:rsidRPr="009E686F">
              <w:rPr>
                <w:rFonts w:ascii="Times New Roman" w:hAnsi="Times New Roman" w:cs="Times New Roman"/>
                <w:bCs/>
                <w:lang w:val="it-IT"/>
              </w:rPr>
              <w:t>:</w:t>
            </w:r>
          </w:p>
        </w:tc>
        <w:tc>
          <w:tcPr>
            <w:tcW w:w="470" w:type="pct"/>
            <w:tcBorders>
              <w:top w:val="single" w:sz="4" w:space="0" w:color="auto"/>
              <w:left w:val="single" w:sz="4" w:space="0" w:color="auto"/>
              <w:bottom w:val="single" w:sz="4" w:space="0" w:color="auto"/>
              <w:right w:val="single" w:sz="4" w:space="0" w:color="auto"/>
            </w:tcBorders>
          </w:tcPr>
          <w:p w14:paraId="3BC5ED0D" w14:textId="593537D2" w:rsidR="00F17D19" w:rsidRPr="009E686F" w:rsidRDefault="00F17D19" w:rsidP="00265766">
            <w:pPr>
              <w:jc w:val="both"/>
              <w:rPr>
                <w:rFonts w:ascii="Times New Roman" w:hAnsi="Times New Roman" w:cs="Times New Roman"/>
                <w:lang w:val="it-IT"/>
              </w:rPr>
            </w:pPr>
            <w:r w:rsidRPr="009E686F">
              <w:rPr>
                <w:rFonts w:ascii="Times New Roman" w:hAnsi="Times New Roman" w:cs="Times New Roman"/>
                <w:lang w:val="it-CH"/>
              </w:rPr>
              <w:t>Compatibil</w:t>
            </w:r>
          </w:p>
        </w:tc>
        <w:tc>
          <w:tcPr>
            <w:tcW w:w="806" w:type="pct"/>
            <w:vMerge w:val="restart"/>
            <w:tcBorders>
              <w:top w:val="single" w:sz="4" w:space="0" w:color="auto"/>
              <w:left w:val="single" w:sz="4" w:space="0" w:color="auto"/>
              <w:right w:val="single" w:sz="4" w:space="0" w:color="auto"/>
            </w:tcBorders>
          </w:tcPr>
          <w:p w14:paraId="3D3F9637" w14:textId="77777777" w:rsidR="00F17D19" w:rsidRPr="009E686F" w:rsidRDefault="00F17D19" w:rsidP="00F17D19">
            <w:r w:rsidRPr="009E686F">
              <w:rPr>
                <w:rFonts w:ascii="Times New Roman" w:hAnsi="Times New Roman" w:cs="Times New Roman"/>
                <w:lang w:val="ro-RO"/>
              </w:rPr>
              <w:t>În vigoare – data aderării.</w:t>
            </w:r>
          </w:p>
          <w:p w14:paraId="3323E976" w14:textId="77777777" w:rsidR="00F17D19" w:rsidRPr="009E686F" w:rsidRDefault="00F17D19" w:rsidP="00265766">
            <w:pPr>
              <w:spacing w:after="0"/>
              <w:jc w:val="both"/>
              <w:rPr>
                <w:rFonts w:ascii="Times New Roman" w:hAnsi="Times New Roman" w:cs="Times New Roman"/>
                <w:lang w:val="it-IT"/>
              </w:rPr>
            </w:pPr>
          </w:p>
        </w:tc>
      </w:tr>
      <w:tr w:rsidR="00F17D19" w:rsidRPr="009E686F" w14:paraId="1528CBA8" w14:textId="77777777" w:rsidTr="005B22FF">
        <w:tc>
          <w:tcPr>
            <w:tcW w:w="1890" w:type="pct"/>
            <w:tcBorders>
              <w:top w:val="single" w:sz="4" w:space="0" w:color="auto"/>
              <w:left w:val="single" w:sz="4" w:space="0" w:color="auto"/>
              <w:bottom w:val="single" w:sz="4" w:space="0" w:color="auto"/>
              <w:right w:val="single" w:sz="4" w:space="0" w:color="auto"/>
            </w:tcBorders>
          </w:tcPr>
          <w:p w14:paraId="38C95D63" w14:textId="0A66E185" w:rsidR="00F17D19" w:rsidRPr="009E686F" w:rsidDel="000459E1" w:rsidRDefault="00F17D19" w:rsidP="00265766">
            <w:pPr>
              <w:spacing w:after="0"/>
              <w:jc w:val="both"/>
              <w:rPr>
                <w:rFonts w:ascii="Times New Roman" w:hAnsi="Times New Roman" w:cs="Times New Roman"/>
              </w:rPr>
            </w:pPr>
            <w:r w:rsidRPr="009E686F">
              <w:rPr>
                <w:rFonts w:ascii="Times New Roman" w:hAnsi="Times New Roman" w:cs="Times New Roman"/>
              </w:rPr>
              <w:t>1. «sucursală dintr-o țară terță» înseamnă o sucursală înființată într-un stat membru:</w:t>
            </w:r>
          </w:p>
        </w:tc>
        <w:tc>
          <w:tcPr>
            <w:tcW w:w="1834" w:type="pct"/>
            <w:vMerge/>
            <w:tcBorders>
              <w:left w:val="single" w:sz="4" w:space="0" w:color="auto"/>
              <w:bottom w:val="single" w:sz="4" w:space="0" w:color="auto"/>
              <w:right w:val="single" w:sz="4" w:space="0" w:color="auto"/>
            </w:tcBorders>
          </w:tcPr>
          <w:p w14:paraId="2FA46ECA" w14:textId="77777777" w:rsidR="00F17D19" w:rsidRPr="009E686F" w:rsidRDefault="00F17D19" w:rsidP="00265766">
            <w:pPr>
              <w:spacing w:after="0"/>
              <w:jc w:val="both"/>
              <w:rPr>
                <w:rFonts w:ascii="Times New Roman" w:hAnsi="Times New Roman" w:cs="Times New Roman"/>
                <w:bCs/>
              </w:rPr>
            </w:pPr>
          </w:p>
        </w:tc>
        <w:tc>
          <w:tcPr>
            <w:tcW w:w="470" w:type="pct"/>
            <w:tcBorders>
              <w:top w:val="single" w:sz="4" w:space="0" w:color="auto"/>
              <w:left w:val="single" w:sz="4" w:space="0" w:color="auto"/>
              <w:bottom w:val="single" w:sz="4" w:space="0" w:color="auto"/>
              <w:right w:val="single" w:sz="4" w:space="0" w:color="auto"/>
            </w:tcBorders>
          </w:tcPr>
          <w:p w14:paraId="523B0CFB" w14:textId="69AB54EB" w:rsidR="00F17D19" w:rsidRPr="009E686F" w:rsidRDefault="00F17D19" w:rsidP="00265766">
            <w:pPr>
              <w:jc w:val="both"/>
              <w:rPr>
                <w:rFonts w:ascii="Times New Roman" w:hAnsi="Times New Roman" w:cs="Times New Roman"/>
                <w:lang w:val="it-IT"/>
              </w:rPr>
            </w:pPr>
            <w:r w:rsidRPr="009E686F">
              <w:rPr>
                <w:rFonts w:ascii="Times New Roman" w:hAnsi="Times New Roman" w:cs="Times New Roman"/>
                <w:lang w:val="it-CH"/>
              </w:rPr>
              <w:t>Compatibil</w:t>
            </w:r>
          </w:p>
        </w:tc>
        <w:tc>
          <w:tcPr>
            <w:tcW w:w="806" w:type="pct"/>
            <w:vMerge/>
            <w:tcBorders>
              <w:left w:val="single" w:sz="4" w:space="0" w:color="auto"/>
              <w:right w:val="single" w:sz="4" w:space="0" w:color="auto"/>
            </w:tcBorders>
          </w:tcPr>
          <w:p w14:paraId="3E6DCB9B" w14:textId="77777777" w:rsidR="00F17D19" w:rsidRPr="009E686F" w:rsidRDefault="00F17D19" w:rsidP="00265766">
            <w:pPr>
              <w:spacing w:after="0"/>
              <w:jc w:val="both"/>
              <w:rPr>
                <w:rFonts w:ascii="Times New Roman" w:hAnsi="Times New Roman" w:cs="Times New Roman"/>
                <w:lang w:val="it-IT"/>
              </w:rPr>
            </w:pPr>
          </w:p>
        </w:tc>
      </w:tr>
      <w:tr w:rsidR="00F17D19" w:rsidRPr="009E686F" w14:paraId="626424F6" w14:textId="77777777" w:rsidTr="005B22FF">
        <w:tc>
          <w:tcPr>
            <w:tcW w:w="1890" w:type="pct"/>
            <w:tcBorders>
              <w:top w:val="single" w:sz="4" w:space="0" w:color="auto"/>
              <w:left w:val="single" w:sz="4" w:space="0" w:color="auto"/>
              <w:bottom w:val="single" w:sz="4" w:space="0" w:color="auto"/>
              <w:right w:val="single" w:sz="4" w:space="0" w:color="auto"/>
            </w:tcBorders>
          </w:tcPr>
          <w:p w14:paraId="5FC19BFE" w14:textId="0DE86099" w:rsidR="00F17D19" w:rsidRPr="009E686F" w:rsidDel="000459E1" w:rsidRDefault="00F17D19" w:rsidP="00265766">
            <w:pPr>
              <w:spacing w:after="0"/>
              <w:jc w:val="both"/>
              <w:rPr>
                <w:rFonts w:ascii="Times New Roman" w:hAnsi="Times New Roman" w:cs="Times New Roman"/>
                <w:lang w:val="it-CH"/>
              </w:rPr>
            </w:pPr>
            <w:r w:rsidRPr="009E686F">
              <w:rPr>
                <w:rFonts w:ascii="Times New Roman" w:hAnsi="Times New Roman" w:cs="Times New Roman"/>
                <w:lang w:val="it-CH"/>
              </w:rPr>
              <w:t>(a) fie de o întreprindere care își are sediul central într-o țară terță, în scopul desfășurării oricăreia dintre activitățile menționate la alineatul (1);</w:t>
            </w:r>
          </w:p>
        </w:tc>
        <w:tc>
          <w:tcPr>
            <w:tcW w:w="1834" w:type="pct"/>
            <w:tcBorders>
              <w:top w:val="single" w:sz="4" w:space="0" w:color="auto"/>
              <w:left w:val="single" w:sz="4" w:space="0" w:color="auto"/>
              <w:bottom w:val="single" w:sz="4" w:space="0" w:color="auto"/>
              <w:right w:val="single" w:sz="4" w:space="0" w:color="auto"/>
            </w:tcBorders>
          </w:tcPr>
          <w:p w14:paraId="4FFA10FB" w14:textId="6EF1043B" w:rsidR="00F17D19" w:rsidRPr="009E686F" w:rsidRDefault="00F17D19" w:rsidP="00265766">
            <w:pPr>
              <w:spacing w:after="0"/>
              <w:jc w:val="both"/>
              <w:rPr>
                <w:rFonts w:ascii="Times New Roman" w:hAnsi="Times New Roman" w:cs="Times New Roman"/>
                <w:bCs/>
                <w:i/>
                <w:iCs/>
                <w:lang w:val="pt-BR"/>
              </w:rPr>
            </w:pPr>
            <w:r w:rsidRPr="009E686F">
              <w:rPr>
                <w:rFonts w:ascii="Times New Roman" w:hAnsi="Times New Roman" w:cs="Times New Roman"/>
                <w:i/>
                <w:lang w:val="it-CH"/>
              </w:rPr>
              <w:t xml:space="preserve">a) o întreprindere care își are sediul central într-un stat terț, în scopul desfășurării oricăreia dintre activitățile menționate la </w:t>
            </w:r>
            <w:r w:rsidR="00336336" w:rsidRPr="009E686F">
              <w:rPr>
                <w:rFonts w:ascii="Times New Roman" w:hAnsi="Times New Roman" w:cs="Times New Roman"/>
                <w:i/>
                <w:lang w:val="it-CH"/>
              </w:rPr>
              <w:t xml:space="preserve">art. 27 </w:t>
            </w:r>
            <w:r w:rsidRPr="009E686F">
              <w:rPr>
                <w:rFonts w:ascii="Times New Roman" w:hAnsi="Times New Roman" w:cs="Times New Roman"/>
                <w:i/>
                <w:lang w:val="it-CH"/>
              </w:rPr>
              <w:t xml:space="preserve">alin. </w:t>
            </w:r>
            <w:r w:rsidRPr="009E686F">
              <w:rPr>
                <w:rFonts w:ascii="Times New Roman" w:hAnsi="Times New Roman" w:cs="Times New Roman"/>
                <w:bCs/>
                <w:i/>
                <w:iCs/>
                <w:lang w:val="it-IT"/>
              </w:rPr>
              <w:t>(1) sau</w:t>
            </w:r>
          </w:p>
        </w:tc>
        <w:tc>
          <w:tcPr>
            <w:tcW w:w="470" w:type="pct"/>
            <w:tcBorders>
              <w:top w:val="single" w:sz="4" w:space="0" w:color="auto"/>
              <w:left w:val="single" w:sz="4" w:space="0" w:color="auto"/>
              <w:bottom w:val="single" w:sz="4" w:space="0" w:color="auto"/>
              <w:right w:val="single" w:sz="4" w:space="0" w:color="auto"/>
            </w:tcBorders>
          </w:tcPr>
          <w:p w14:paraId="476A4D9E" w14:textId="6CE5AF35" w:rsidR="00F17D19" w:rsidRPr="009E686F" w:rsidRDefault="00F17D19" w:rsidP="00265766">
            <w:pPr>
              <w:jc w:val="both"/>
              <w:rPr>
                <w:rFonts w:ascii="Times New Roman" w:hAnsi="Times New Roman" w:cs="Times New Roman"/>
                <w:lang w:val="pt-BR"/>
              </w:rPr>
            </w:pPr>
            <w:r w:rsidRPr="009E686F">
              <w:rPr>
                <w:rFonts w:ascii="Times New Roman" w:hAnsi="Times New Roman" w:cs="Times New Roman"/>
                <w:lang w:val="it-CH"/>
              </w:rPr>
              <w:t>Compatibil</w:t>
            </w:r>
          </w:p>
        </w:tc>
        <w:tc>
          <w:tcPr>
            <w:tcW w:w="806" w:type="pct"/>
            <w:vMerge/>
            <w:tcBorders>
              <w:left w:val="single" w:sz="4" w:space="0" w:color="auto"/>
              <w:right w:val="single" w:sz="4" w:space="0" w:color="auto"/>
            </w:tcBorders>
          </w:tcPr>
          <w:p w14:paraId="54307778" w14:textId="77777777" w:rsidR="00F17D19" w:rsidRPr="009E686F" w:rsidRDefault="00F17D19" w:rsidP="00265766">
            <w:pPr>
              <w:spacing w:after="0"/>
              <w:jc w:val="both"/>
              <w:rPr>
                <w:rFonts w:ascii="Times New Roman" w:hAnsi="Times New Roman" w:cs="Times New Roman"/>
                <w:lang w:val="pt-BR"/>
              </w:rPr>
            </w:pPr>
          </w:p>
        </w:tc>
      </w:tr>
      <w:tr w:rsidR="00F17D19" w:rsidRPr="009E686F" w14:paraId="24C88465" w14:textId="77777777" w:rsidTr="005B22FF">
        <w:tc>
          <w:tcPr>
            <w:tcW w:w="1890" w:type="pct"/>
            <w:tcBorders>
              <w:top w:val="single" w:sz="4" w:space="0" w:color="auto"/>
              <w:left w:val="single" w:sz="4" w:space="0" w:color="auto"/>
              <w:bottom w:val="single" w:sz="4" w:space="0" w:color="auto"/>
              <w:right w:val="single" w:sz="4" w:space="0" w:color="auto"/>
            </w:tcBorders>
          </w:tcPr>
          <w:p w14:paraId="33F27CE7" w14:textId="1977CE18" w:rsidR="00F17D19" w:rsidRPr="009E686F" w:rsidDel="000459E1" w:rsidRDefault="00F17D19" w:rsidP="00265766">
            <w:pPr>
              <w:spacing w:after="0"/>
              <w:jc w:val="both"/>
              <w:rPr>
                <w:rFonts w:ascii="Times New Roman" w:hAnsi="Times New Roman" w:cs="Times New Roman"/>
                <w:lang w:val="pt-BR"/>
              </w:rPr>
            </w:pPr>
            <w:r w:rsidRPr="009E686F">
              <w:rPr>
                <w:rFonts w:ascii="Times New Roman" w:hAnsi="Times New Roman" w:cs="Times New Roman"/>
                <w:lang w:val="pt-BR"/>
              </w:rPr>
              <w:t>(b) fie de o instituție de credit care își are sediul central într-o țară terță;</w:t>
            </w:r>
          </w:p>
        </w:tc>
        <w:tc>
          <w:tcPr>
            <w:tcW w:w="1834" w:type="pct"/>
            <w:vMerge w:val="restart"/>
            <w:tcBorders>
              <w:top w:val="single" w:sz="4" w:space="0" w:color="auto"/>
              <w:left w:val="single" w:sz="4" w:space="0" w:color="auto"/>
              <w:right w:val="single" w:sz="4" w:space="0" w:color="auto"/>
            </w:tcBorders>
          </w:tcPr>
          <w:p w14:paraId="05956E36" w14:textId="6E730319" w:rsidR="00F17D19" w:rsidRPr="009E686F" w:rsidRDefault="00F17D19" w:rsidP="00265766">
            <w:pPr>
              <w:spacing w:after="0"/>
              <w:jc w:val="both"/>
              <w:rPr>
                <w:rFonts w:ascii="Times New Roman" w:hAnsi="Times New Roman" w:cs="Times New Roman"/>
                <w:bCs/>
                <w:i/>
                <w:iCs/>
                <w:lang w:val="pt-BR"/>
              </w:rPr>
            </w:pPr>
            <w:r w:rsidRPr="009E686F">
              <w:rPr>
                <w:rFonts w:ascii="Times New Roman" w:hAnsi="Times New Roman" w:cs="Times New Roman"/>
                <w:bCs/>
                <w:i/>
                <w:iCs/>
                <w:lang w:val="pt-BR"/>
              </w:rPr>
              <w:t xml:space="preserve">b) o instituție de credit care își are sediul central într-un stat terț. </w:t>
            </w:r>
          </w:p>
          <w:p w14:paraId="59E4BC71" w14:textId="4D4ACFEA" w:rsidR="00F17D19" w:rsidRPr="009E686F" w:rsidRDefault="00F17D19" w:rsidP="00265766">
            <w:pPr>
              <w:spacing w:after="0"/>
              <w:jc w:val="both"/>
              <w:rPr>
                <w:rFonts w:ascii="Times New Roman" w:hAnsi="Times New Roman" w:cs="Times New Roman"/>
                <w:bCs/>
                <w:lang w:val="pt-BR"/>
              </w:rPr>
            </w:pPr>
            <w:r w:rsidRPr="009E686F">
              <w:rPr>
                <w:rFonts w:ascii="Times New Roman" w:hAnsi="Times New Roman" w:cs="Times New Roman"/>
                <w:bCs/>
                <w:i/>
                <w:iCs/>
                <w:lang w:val="pt-BR"/>
              </w:rPr>
              <w:t>(9) În sensul prezentului capitol,  întreprinderea principală reprezintă întreprinderea care își are sediul central într-un stat terț și care a înființat o sucursală pe teritoriul Republicii Moldova, precum și întreprinderile-mamă intermediare sau de cel mai înalt rang ale întreprinderii respective, după caz.</w:t>
            </w:r>
          </w:p>
        </w:tc>
        <w:tc>
          <w:tcPr>
            <w:tcW w:w="470" w:type="pct"/>
            <w:tcBorders>
              <w:top w:val="single" w:sz="4" w:space="0" w:color="auto"/>
              <w:left w:val="single" w:sz="4" w:space="0" w:color="auto"/>
              <w:bottom w:val="single" w:sz="4" w:space="0" w:color="auto"/>
              <w:right w:val="single" w:sz="4" w:space="0" w:color="auto"/>
            </w:tcBorders>
          </w:tcPr>
          <w:p w14:paraId="371E174A" w14:textId="427F7D6A" w:rsidR="00F17D19" w:rsidRPr="009E686F" w:rsidRDefault="00F17D19" w:rsidP="00265766">
            <w:pPr>
              <w:jc w:val="both"/>
              <w:rPr>
                <w:rFonts w:ascii="Times New Roman" w:hAnsi="Times New Roman" w:cs="Times New Roman"/>
                <w:lang w:val="pt-BR"/>
              </w:rPr>
            </w:pPr>
            <w:r w:rsidRPr="009E686F">
              <w:rPr>
                <w:rFonts w:ascii="Times New Roman" w:hAnsi="Times New Roman" w:cs="Times New Roman"/>
                <w:lang w:val="it-CH"/>
              </w:rPr>
              <w:t>Compatibil</w:t>
            </w:r>
          </w:p>
        </w:tc>
        <w:tc>
          <w:tcPr>
            <w:tcW w:w="806" w:type="pct"/>
            <w:vMerge/>
            <w:tcBorders>
              <w:left w:val="single" w:sz="4" w:space="0" w:color="auto"/>
              <w:right w:val="single" w:sz="4" w:space="0" w:color="auto"/>
            </w:tcBorders>
          </w:tcPr>
          <w:p w14:paraId="18703C5D" w14:textId="77777777" w:rsidR="00F17D19" w:rsidRPr="009E686F" w:rsidRDefault="00F17D19" w:rsidP="00265766">
            <w:pPr>
              <w:spacing w:after="0"/>
              <w:jc w:val="both"/>
              <w:rPr>
                <w:rFonts w:ascii="Times New Roman" w:hAnsi="Times New Roman" w:cs="Times New Roman"/>
                <w:lang w:val="pt-BR"/>
              </w:rPr>
            </w:pPr>
          </w:p>
        </w:tc>
      </w:tr>
      <w:tr w:rsidR="00F17D19" w:rsidRPr="009E686F" w14:paraId="2B50B872" w14:textId="77777777" w:rsidTr="005B22FF">
        <w:tc>
          <w:tcPr>
            <w:tcW w:w="1890" w:type="pct"/>
            <w:tcBorders>
              <w:top w:val="single" w:sz="4" w:space="0" w:color="auto"/>
              <w:left w:val="single" w:sz="4" w:space="0" w:color="auto"/>
              <w:bottom w:val="single" w:sz="4" w:space="0" w:color="auto"/>
              <w:right w:val="single" w:sz="4" w:space="0" w:color="auto"/>
            </w:tcBorders>
          </w:tcPr>
          <w:p w14:paraId="2D16CF3B" w14:textId="7A160A0B" w:rsidR="00F17D19" w:rsidRPr="009E686F" w:rsidDel="000459E1" w:rsidRDefault="00F17D19" w:rsidP="00265766">
            <w:pPr>
              <w:spacing w:after="0"/>
              <w:jc w:val="both"/>
              <w:rPr>
                <w:rFonts w:ascii="Times New Roman" w:hAnsi="Times New Roman" w:cs="Times New Roman"/>
              </w:rPr>
            </w:pPr>
            <w:r w:rsidRPr="009E686F">
              <w:rPr>
                <w:rFonts w:ascii="Times New Roman" w:hAnsi="Times New Roman" w:cs="Times New Roman"/>
              </w:rPr>
              <w:t>2. «întreprindere principală» înseamnă o întreprindere care își are sediul central într-o țară terță și care a înființat o sucursală în statul membru, precum și întreprinderile-mamă intermediare sau de cel mai înalt rang ale întreprinderii respective, după caz.</w:t>
            </w:r>
          </w:p>
        </w:tc>
        <w:tc>
          <w:tcPr>
            <w:tcW w:w="1834" w:type="pct"/>
            <w:vMerge/>
            <w:tcBorders>
              <w:left w:val="single" w:sz="4" w:space="0" w:color="auto"/>
              <w:bottom w:val="single" w:sz="4" w:space="0" w:color="auto"/>
              <w:right w:val="single" w:sz="4" w:space="0" w:color="auto"/>
            </w:tcBorders>
          </w:tcPr>
          <w:p w14:paraId="5639E2C9" w14:textId="77777777" w:rsidR="00F17D19" w:rsidRPr="009E686F" w:rsidRDefault="00F17D19" w:rsidP="00265766">
            <w:pPr>
              <w:spacing w:after="0"/>
              <w:jc w:val="both"/>
              <w:rPr>
                <w:rFonts w:ascii="Times New Roman" w:hAnsi="Times New Roman" w:cs="Times New Roman"/>
              </w:rPr>
            </w:pPr>
          </w:p>
        </w:tc>
        <w:tc>
          <w:tcPr>
            <w:tcW w:w="470" w:type="pct"/>
            <w:tcBorders>
              <w:top w:val="single" w:sz="4" w:space="0" w:color="auto"/>
              <w:left w:val="single" w:sz="4" w:space="0" w:color="auto"/>
              <w:bottom w:val="single" w:sz="4" w:space="0" w:color="auto"/>
              <w:right w:val="single" w:sz="4" w:space="0" w:color="auto"/>
            </w:tcBorders>
          </w:tcPr>
          <w:p w14:paraId="05BE1EA0" w14:textId="5A306984" w:rsidR="00F17D19" w:rsidRPr="009E686F" w:rsidRDefault="00F17D19" w:rsidP="00265766">
            <w:pPr>
              <w:jc w:val="both"/>
              <w:rPr>
                <w:rFonts w:ascii="Times New Roman" w:hAnsi="Times New Roman" w:cs="Times New Roman"/>
                <w:lang w:val="pt-BR"/>
              </w:rPr>
            </w:pPr>
            <w:r w:rsidRPr="009E686F">
              <w:rPr>
                <w:rFonts w:ascii="Times New Roman" w:hAnsi="Times New Roman" w:cs="Times New Roman"/>
                <w:lang w:val="it-CH"/>
              </w:rPr>
              <w:t>Compatibil</w:t>
            </w:r>
          </w:p>
        </w:tc>
        <w:tc>
          <w:tcPr>
            <w:tcW w:w="806" w:type="pct"/>
            <w:vMerge/>
            <w:tcBorders>
              <w:left w:val="single" w:sz="4" w:space="0" w:color="auto"/>
              <w:bottom w:val="single" w:sz="4" w:space="0" w:color="auto"/>
              <w:right w:val="single" w:sz="4" w:space="0" w:color="auto"/>
            </w:tcBorders>
          </w:tcPr>
          <w:p w14:paraId="69A99F4A" w14:textId="77777777" w:rsidR="00F17D19" w:rsidRPr="009E686F" w:rsidRDefault="00F17D19" w:rsidP="00265766">
            <w:pPr>
              <w:spacing w:after="0"/>
              <w:jc w:val="both"/>
              <w:rPr>
                <w:rFonts w:ascii="Times New Roman" w:hAnsi="Times New Roman" w:cs="Times New Roman"/>
                <w:lang w:val="pt-BR"/>
              </w:rPr>
            </w:pPr>
          </w:p>
        </w:tc>
      </w:tr>
      <w:tr w:rsidR="00265766" w:rsidRPr="009E686F" w14:paraId="2E12A121" w14:textId="77777777" w:rsidTr="00960C23">
        <w:trPr>
          <w:trHeight w:val="2095"/>
        </w:trPr>
        <w:tc>
          <w:tcPr>
            <w:tcW w:w="1890" w:type="pct"/>
            <w:tcBorders>
              <w:top w:val="single" w:sz="4" w:space="0" w:color="auto"/>
              <w:left w:val="single" w:sz="4" w:space="0" w:color="auto"/>
              <w:bottom w:val="single" w:sz="4" w:space="0" w:color="auto"/>
              <w:right w:val="single" w:sz="4" w:space="0" w:color="auto"/>
            </w:tcBorders>
          </w:tcPr>
          <w:p w14:paraId="53DBB103" w14:textId="77777777" w:rsidR="00265766" w:rsidRPr="009E686F" w:rsidRDefault="00265766" w:rsidP="00265766">
            <w:pPr>
              <w:spacing w:after="0"/>
              <w:jc w:val="both"/>
              <w:rPr>
                <w:rFonts w:ascii="Times New Roman" w:hAnsi="Times New Roman" w:cs="Times New Roman"/>
                <w:i/>
              </w:rPr>
            </w:pPr>
            <w:r w:rsidRPr="009E686F">
              <w:rPr>
                <w:rFonts w:ascii="Times New Roman" w:hAnsi="Times New Roman" w:cs="Times New Roman"/>
                <w:i/>
              </w:rPr>
              <w:lastRenderedPageBreak/>
              <w:t xml:space="preserve">Articolul 48 </w:t>
            </w:r>
          </w:p>
          <w:p w14:paraId="14D4B988" w14:textId="23B78E52" w:rsidR="00265766" w:rsidRPr="009E686F" w:rsidRDefault="00265766" w:rsidP="00265766">
            <w:pPr>
              <w:spacing w:after="0"/>
              <w:jc w:val="both"/>
              <w:rPr>
                <w:rFonts w:ascii="Times New Roman" w:hAnsi="Times New Roman" w:cs="Times New Roman"/>
              </w:rPr>
            </w:pPr>
            <w:r w:rsidRPr="009E686F">
              <w:rPr>
                <w:rFonts w:ascii="Times New Roman" w:hAnsi="Times New Roman" w:cs="Times New Roman"/>
              </w:rPr>
              <w:t>Interzicerea discriminării</w:t>
            </w:r>
          </w:p>
          <w:p w14:paraId="05AEA8C1" w14:textId="77777777" w:rsidR="00265766" w:rsidRPr="009E686F" w:rsidRDefault="00265766" w:rsidP="00265766">
            <w:pPr>
              <w:spacing w:after="0"/>
              <w:jc w:val="both"/>
              <w:rPr>
                <w:rFonts w:ascii="Times New Roman" w:hAnsi="Times New Roman" w:cs="Times New Roman"/>
              </w:rPr>
            </w:pPr>
          </w:p>
          <w:p w14:paraId="0B60321F" w14:textId="7C0E2C99" w:rsidR="00265766" w:rsidRPr="009E686F" w:rsidRDefault="00265766" w:rsidP="00265766">
            <w:pPr>
              <w:spacing w:after="0"/>
              <w:jc w:val="both"/>
              <w:rPr>
                <w:rFonts w:ascii="Times New Roman" w:hAnsi="Times New Roman" w:cs="Times New Roman"/>
              </w:rPr>
            </w:pPr>
            <w:r w:rsidRPr="009E686F">
              <w:rPr>
                <w:rFonts w:ascii="Times New Roman" w:hAnsi="Times New Roman" w:cs="Times New Roman"/>
              </w:rPr>
              <w:t>Statele membre nu aplică în cazul sucursalelor din țări terțe, atunci când sucursalele respective își încep sau își continuă activitatea, dispoziții care au ca rezultat un tratament mai favorabil decât cel acordat sucursalelor instituțiilor care își au sediul central într-un alt stat membru.</w:t>
            </w:r>
          </w:p>
        </w:tc>
        <w:tc>
          <w:tcPr>
            <w:tcW w:w="1834" w:type="pct"/>
            <w:tcBorders>
              <w:top w:val="single" w:sz="4" w:space="0" w:color="auto"/>
              <w:left w:val="single" w:sz="4" w:space="0" w:color="auto"/>
              <w:bottom w:val="single" w:sz="4" w:space="0" w:color="auto"/>
              <w:right w:val="single" w:sz="4" w:space="0" w:color="auto"/>
            </w:tcBorders>
          </w:tcPr>
          <w:p w14:paraId="2F9E19FC" w14:textId="0D4CE8CB" w:rsidR="00265766" w:rsidRPr="009E686F" w:rsidRDefault="00265766" w:rsidP="00265766">
            <w:pPr>
              <w:spacing w:after="0" w:line="278" w:lineRule="auto"/>
              <w:jc w:val="both"/>
              <w:rPr>
                <w:rFonts w:ascii="Times New Roman" w:hAnsi="Times New Roman" w:cs="Times New Roman"/>
                <w:b/>
              </w:rPr>
            </w:pPr>
            <w:r w:rsidRPr="009E686F">
              <w:rPr>
                <w:rFonts w:ascii="Times New Roman" w:hAnsi="Times New Roman" w:cs="Times New Roman"/>
                <w:b/>
              </w:rPr>
              <w:t>Articolul 27 alin. (4)</w:t>
            </w:r>
          </w:p>
          <w:p w14:paraId="46BAAA07" w14:textId="288BB24C" w:rsidR="00265766" w:rsidRPr="009E686F" w:rsidRDefault="00265766" w:rsidP="00265766">
            <w:pPr>
              <w:spacing w:after="0" w:line="278" w:lineRule="auto"/>
              <w:jc w:val="both"/>
              <w:rPr>
                <w:rFonts w:ascii="Times New Roman" w:hAnsi="Times New Roman" w:cs="Times New Roman"/>
                <w:i/>
              </w:rPr>
            </w:pPr>
            <w:r w:rsidRPr="009E686F">
              <w:rPr>
                <w:rFonts w:ascii="Times New Roman" w:hAnsi="Times New Roman" w:cs="Times New Roman"/>
                <w:i/>
              </w:rPr>
              <w:t>(4) Regimul aplicat sucursalelor din state terțe, atunci când sucursalele respective își încep sau își continuă activitatea pe teritoriul Republicii Moldova nu instituie un tratament mai favorabil decît cel prevăzut pentru sucursalele instituțiilor care își au sediul central într-un alt stat membru.</w:t>
            </w:r>
          </w:p>
        </w:tc>
        <w:tc>
          <w:tcPr>
            <w:tcW w:w="470" w:type="pct"/>
            <w:tcBorders>
              <w:top w:val="single" w:sz="4" w:space="0" w:color="auto"/>
              <w:left w:val="single" w:sz="4" w:space="0" w:color="auto"/>
              <w:bottom w:val="single" w:sz="4" w:space="0" w:color="auto"/>
              <w:right w:val="single" w:sz="4" w:space="0" w:color="auto"/>
            </w:tcBorders>
          </w:tcPr>
          <w:p w14:paraId="6953A980" w14:textId="0E4CDBED" w:rsidR="00265766" w:rsidRPr="009E686F" w:rsidRDefault="00265766" w:rsidP="00265766">
            <w:pPr>
              <w:jc w:val="both"/>
              <w:rPr>
                <w:rFonts w:ascii="Times New Roman" w:hAnsi="Times New Roman" w:cs="Times New Roman"/>
                <w:lang w:val="pt-BR"/>
              </w:rPr>
            </w:pPr>
            <w:r w:rsidRPr="009E686F">
              <w:rPr>
                <w:rFonts w:ascii="Times New Roman" w:hAnsi="Times New Roman" w:cs="Times New Roman"/>
                <w:lang w:val="it-CH"/>
              </w:rPr>
              <w:t>Compatibil</w:t>
            </w:r>
          </w:p>
        </w:tc>
        <w:tc>
          <w:tcPr>
            <w:tcW w:w="806" w:type="pct"/>
            <w:tcBorders>
              <w:top w:val="single" w:sz="4" w:space="0" w:color="auto"/>
              <w:left w:val="single" w:sz="4" w:space="0" w:color="auto"/>
              <w:bottom w:val="single" w:sz="4" w:space="0" w:color="auto"/>
              <w:right w:val="single" w:sz="4" w:space="0" w:color="auto"/>
            </w:tcBorders>
          </w:tcPr>
          <w:p w14:paraId="31CD981F" w14:textId="77777777" w:rsidR="00F17D19" w:rsidRPr="009E686F" w:rsidRDefault="00F17D19" w:rsidP="00F17D19">
            <w:r w:rsidRPr="009E686F">
              <w:rPr>
                <w:rFonts w:ascii="Times New Roman" w:hAnsi="Times New Roman" w:cs="Times New Roman"/>
                <w:lang w:val="ro-RO"/>
              </w:rPr>
              <w:t>În vigoare – data aderării.</w:t>
            </w:r>
          </w:p>
          <w:p w14:paraId="7E9EAD15" w14:textId="333DEA56" w:rsidR="00265766" w:rsidRPr="009E686F" w:rsidRDefault="00265766" w:rsidP="00265766">
            <w:pPr>
              <w:spacing w:after="0"/>
              <w:jc w:val="both"/>
              <w:rPr>
                <w:rFonts w:ascii="Times New Roman" w:hAnsi="Times New Roman" w:cs="Times New Roman"/>
                <w:lang w:val="pt-BR"/>
              </w:rPr>
            </w:pPr>
          </w:p>
        </w:tc>
      </w:tr>
      <w:tr w:rsidR="00F17D19" w:rsidRPr="009E686F" w14:paraId="384DACC9" w14:textId="77777777" w:rsidTr="002F7E8F">
        <w:tc>
          <w:tcPr>
            <w:tcW w:w="1890" w:type="pct"/>
            <w:tcBorders>
              <w:top w:val="single" w:sz="4" w:space="0" w:color="auto"/>
              <w:left w:val="single" w:sz="4" w:space="0" w:color="auto"/>
              <w:bottom w:val="single" w:sz="4" w:space="0" w:color="auto"/>
              <w:right w:val="single" w:sz="4" w:space="0" w:color="auto"/>
            </w:tcBorders>
          </w:tcPr>
          <w:p w14:paraId="2052FA48" w14:textId="77777777" w:rsidR="00F17D19" w:rsidRPr="009E686F" w:rsidRDefault="00F17D19" w:rsidP="00265766">
            <w:pPr>
              <w:spacing w:after="0"/>
              <w:jc w:val="both"/>
              <w:rPr>
                <w:rFonts w:ascii="Times New Roman" w:hAnsi="Times New Roman" w:cs="Times New Roman"/>
                <w:i/>
                <w:iCs/>
                <w:lang w:val="it-CH"/>
              </w:rPr>
            </w:pPr>
            <w:r w:rsidRPr="009E686F">
              <w:rPr>
                <w:rFonts w:ascii="Times New Roman" w:hAnsi="Times New Roman" w:cs="Times New Roman"/>
                <w:i/>
                <w:iCs/>
                <w:lang w:val="it-CH"/>
              </w:rPr>
              <w:t xml:space="preserve">Articolul 48a </w:t>
            </w:r>
          </w:p>
          <w:p w14:paraId="08EFA9A4" w14:textId="43DA148B" w:rsidR="00F17D19" w:rsidRPr="009E686F" w:rsidDel="002D6675" w:rsidRDefault="00F17D19" w:rsidP="00265766">
            <w:pPr>
              <w:spacing w:after="0"/>
              <w:jc w:val="both"/>
              <w:rPr>
                <w:rFonts w:ascii="Times New Roman" w:hAnsi="Times New Roman" w:cs="Times New Roman"/>
                <w:lang w:val="it-CH"/>
              </w:rPr>
            </w:pPr>
            <w:r w:rsidRPr="009E686F">
              <w:rPr>
                <w:rFonts w:ascii="Times New Roman" w:hAnsi="Times New Roman" w:cs="Times New Roman"/>
                <w:lang w:val="it-CH"/>
              </w:rPr>
              <w:t>Clasificarea sucursalelor din țări terțe</w:t>
            </w:r>
          </w:p>
        </w:tc>
        <w:tc>
          <w:tcPr>
            <w:tcW w:w="1834" w:type="pct"/>
            <w:tcBorders>
              <w:top w:val="single" w:sz="4" w:space="0" w:color="auto"/>
              <w:left w:val="single" w:sz="4" w:space="0" w:color="auto"/>
              <w:bottom w:val="single" w:sz="4" w:space="0" w:color="auto"/>
              <w:right w:val="single" w:sz="4" w:space="0" w:color="auto"/>
            </w:tcBorders>
          </w:tcPr>
          <w:p w14:paraId="6FE0AE08" w14:textId="77777777" w:rsidR="00F17D19" w:rsidRPr="009E686F" w:rsidRDefault="00F17D19" w:rsidP="00265766">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b/>
                <w:bCs/>
                <w:kern w:val="2"/>
                <w:lang w:val="ro-MD"/>
              </w:rPr>
              <w:t xml:space="preserve">Articolul 26. </w:t>
            </w:r>
            <w:r w:rsidRPr="009E686F">
              <w:rPr>
                <w:rFonts w:ascii="Times New Roman" w:eastAsia="Aptos" w:hAnsi="Times New Roman" w:cs="Times New Roman"/>
                <w:i/>
                <w:iCs/>
                <w:kern w:val="2"/>
                <w:lang w:val="ro-MD"/>
              </w:rPr>
              <w:t>Clasificarea sucursalelor din state terțe</w:t>
            </w:r>
          </w:p>
          <w:p w14:paraId="08C16188" w14:textId="77777777" w:rsidR="00F17D19" w:rsidRPr="009E686F" w:rsidRDefault="00F17D19" w:rsidP="00265766">
            <w:pPr>
              <w:spacing w:after="0"/>
              <w:jc w:val="both"/>
              <w:rPr>
                <w:rFonts w:ascii="Times New Roman" w:hAnsi="Times New Roman" w:cs="Times New Roman"/>
                <w:b/>
                <w:lang w:val="ro-MD"/>
              </w:rPr>
            </w:pPr>
          </w:p>
        </w:tc>
        <w:tc>
          <w:tcPr>
            <w:tcW w:w="470" w:type="pct"/>
            <w:tcBorders>
              <w:top w:val="single" w:sz="4" w:space="0" w:color="auto"/>
              <w:left w:val="single" w:sz="4" w:space="0" w:color="auto"/>
              <w:bottom w:val="single" w:sz="4" w:space="0" w:color="auto"/>
              <w:right w:val="single" w:sz="4" w:space="0" w:color="auto"/>
            </w:tcBorders>
          </w:tcPr>
          <w:p w14:paraId="7DC75A92" w14:textId="359DC6F3" w:rsidR="00F17D19" w:rsidRPr="009E686F" w:rsidRDefault="00F17D19" w:rsidP="00265766">
            <w:pPr>
              <w:jc w:val="both"/>
              <w:rPr>
                <w:rFonts w:ascii="Times New Roman" w:hAnsi="Times New Roman" w:cs="Times New Roman"/>
                <w:lang w:val="it-IT"/>
              </w:rPr>
            </w:pPr>
            <w:r w:rsidRPr="009E686F">
              <w:rPr>
                <w:rFonts w:ascii="Times New Roman" w:hAnsi="Times New Roman" w:cs="Times New Roman"/>
                <w:lang w:val="it-CH"/>
              </w:rPr>
              <w:t>Compatibil</w:t>
            </w:r>
          </w:p>
        </w:tc>
        <w:tc>
          <w:tcPr>
            <w:tcW w:w="806" w:type="pct"/>
            <w:vMerge w:val="restart"/>
            <w:tcBorders>
              <w:top w:val="single" w:sz="4" w:space="0" w:color="auto"/>
              <w:left w:val="single" w:sz="4" w:space="0" w:color="auto"/>
              <w:right w:val="single" w:sz="4" w:space="0" w:color="auto"/>
            </w:tcBorders>
          </w:tcPr>
          <w:p w14:paraId="2A4D9D5D" w14:textId="77777777" w:rsidR="00F17D19" w:rsidRPr="009E686F" w:rsidRDefault="00F17D19" w:rsidP="00F17D19">
            <w:r w:rsidRPr="009E686F">
              <w:rPr>
                <w:rFonts w:ascii="Times New Roman" w:hAnsi="Times New Roman" w:cs="Times New Roman"/>
                <w:lang w:val="ro-RO"/>
              </w:rPr>
              <w:t>În vigoare – data aderării.</w:t>
            </w:r>
          </w:p>
          <w:p w14:paraId="63EA8DC5" w14:textId="77777777" w:rsidR="00F17D19" w:rsidRPr="009E686F" w:rsidRDefault="00F17D19" w:rsidP="00265766">
            <w:pPr>
              <w:spacing w:after="0"/>
              <w:jc w:val="both"/>
              <w:rPr>
                <w:rFonts w:ascii="Times New Roman" w:hAnsi="Times New Roman" w:cs="Times New Roman"/>
                <w:lang w:val="it-IT"/>
              </w:rPr>
            </w:pPr>
          </w:p>
        </w:tc>
      </w:tr>
      <w:tr w:rsidR="00F17D19" w:rsidRPr="009E686F" w14:paraId="7052813B" w14:textId="77777777" w:rsidTr="002F7E8F">
        <w:tc>
          <w:tcPr>
            <w:tcW w:w="1890" w:type="pct"/>
            <w:tcBorders>
              <w:top w:val="single" w:sz="4" w:space="0" w:color="auto"/>
              <w:left w:val="single" w:sz="4" w:space="0" w:color="auto"/>
              <w:bottom w:val="single" w:sz="4" w:space="0" w:color="auto"/>
              <w:right w:val="single" w:sz="4" w:space="0" w:color="auto"/>
            </w:tcBorders>
          </w:tcPr>
          <w:p w14:paraId="24B4011B" w14:textId="1ACB1C06" w:rsidR="00F17D19" w:rsidRPr="009E686F" w:rsidDel="002D6675" w:rsidRDefault="00F17D19" w:rsidP="00265766">
            <w:pPr>
              <w:spacing w:after="0"/>
              <w:jc w:val="both"/>
              <w:rPr>
                <w:rFonts w:ascii="Times New Roman" w:hAnsi="Times New Roman" w:cs="Times New Roman"/>
              </w:rPr>
            </w:pPr>
            <w:r w:rsidRPr="009E686F">
              <w:rPr>
                <w:rFonts w:ascii="Times New Roman" w:hAnsi="Times New Roman" w:cs="Times New Roman"/>
              </w:rPr>
              <w:t>(1) Statele membre clasifică sucursalele din țări terțe în clasa 1 în cazul în care sucursalele respective îndeplinesc oricare dintre următoarele condiții:</w:t>
            </w:r>
          </w:p>
        </w:tc>
        <w:tc>
          <w:tcPr>
            <w:tcW w:w="1834" w:type="pct"/>
            <w:tcBorders>
              <w:top w:val="single" w:sz="4" w:space="0" w:color="auto"/>
              <w:left w:val="single" w:sz="4" w:space="0" w:color="auto"/>
              <w:bottom w:val="single" w:sz="4" w:space="0" w:color="auto"/>
              <w:right w:val="single" w:sz="4" w:space="0" w:color="auto"/>
            </w:tcBorders>
          </w:tcPr>
          <w:p w14:paraId="06A95FB2" w14:textId="77777777" w:rsidR="00F17D19" w:rsidRPr="009E686F" w:rsidRDefault="00F17D19" w:rsidP="00265766">
            <w:pPr>
              <w:spacing w:after="0"/>
              <w:jc w:val="both"/>
              <w:rPr>
                <w:rFonts w:ascii="Times New Roman" w:hAnsi="Times New Roman" w:cs="Times New Roman"/>
                <w:bCs/>
                <w:i/>
                <w:iCs/>
                <w:lang w:val="it-IT"/>
              </w:rPr>
            </w:pPr>
            <w:r w:rsidRPr="009E686F">
              <w:rPr>
                <w:rFonts w:ascii="Times New Roman" w:hAnsi="Times New Roman" w:cs="Times New Roman"/>
                <w:bCs/>
                <w:i/>
                <w:iCs/>
                <w:lang w:val="it-IT"/>
              </w:rPr>
              <w:t>(1) Sucursalele din state terțe se împart în următoarele clase:</w:t>
            </w:r>
          </w:p>
          <w:p w14:paraId="1ABB4B1D" w14:textId="77777777" w:rsidR="00F17D19" w:rsidRPr="009E686F" w:rsidRDefault="00F17D19" w:rsidP="00265766">
            <w:pPr>
              <w:spacing w:after="0"/>
              <w:jc w:val="both"/>
              <w:rPr>
                <w:rFonts w:ascii="Times New Roman" w:hAnsi="Times New Roman" w:cs="Times New Roman"/>
                <w:bCs/>
                <w:i/>
                <w:iCs/>
                <w:lang w:val="it-IT"/>
              </w:rPr>
            </w:pPr>
            <w:r w:rsidRPr="009E686F">
              <w:rPr>
                <w:rFonts w:ascii="Times New Roman" w:hAnsi="Times New Roman" w:cs="Times New Roman"/>
                <w:bCs/>
                <w:i/>
                <w:iCs/>
                <w:lang w:val="it-IT"/>
              </w:rPr>
              <w:t xml:space="preserve">a) clasa 1 și </w:t>
            </w:r>
          </w:p>
          <w:p w14:paraId="5EEF4B8A" w14:textId="77777777" w:rsidR="00F17D19" w:rsidRPr="009E686F" w:rsidRDefault="00F17D19" w:rsidP="00265766">
            <w:pPr>
              <w:spacing w:after="0"/>
              <w:jc w:val="both"/>
              <w:rPr>
                <w:rFonts w:ascii="Times New Roman" w:hAnsi="Times New Roman" w:cs="Times New Roman"/>
                <w:bCs/>
                <w:i/>
                <w:iCs/>
                <w:lang w:val="it-IT"/>
              </w:rPr>
            </w:pPr>
            <w:r w:rsidRPr="009E686F">
              <w:rPr>
                <w:rFonts w:ascii="Times New Roman" w:hAnsi="Times New Roman" w:cs="Times New Roman"/>
                <w:bCs/>
                <w:i/>
                <w:iCs/>
                <w:lang w:val="it-IT"/>
              </w:rPr>
              <w:t>b) clasa 2.</w:t>
            </w:r>
          </w:p>
          <w:p w14:paraId="64844C91" w14:textId="25C3ADCD" w:rsidR="00F17D19" w:rsidRPr="009E686F" w:rsidRDefault="00F17D19" w:rsidP="00265766">
            <w:pPr>
              <w:spacing w:after="0"/>
              <w:jc w:val="both"/>
              <w:rPr>
                <w:rFonts w:ascii="Times New Roman" w:hAnsi="Times New Roman" w:cs="Times New Roman"/>
                <w:bCs/>
                <w:i/>
                <w:iCs/>
                <w:lang w:val="it-IT"/>
              </w:rPr>
            </w:pPr>
            <w:r w:rsidRPr="009E686F">
              <w:rPr>
                <w:rFonts w:ascii="Times New Roman" w:hAnsi="Times New Roman" w:cs="Times New Roman"/>
                <w:bCs/>
                <w:i/>
                <w:iCs/>
                <w:lang w:val="it-IT"/>
              </w:rPr>
              <w:t>(2) Sunt considerate ca fiind sucursale din state terțe de clasa 1, sucursalele din state terțe care îndeplinesc oricare dintre următoarele condiții:</w:t>
            </w:r>
          </w:p>
        </w:tc>
        <w:tc>
          <w:tcPr>
            <w:tcW w:w="470" w:type="pct"/>
            <w:tcBorders>
              <w:top w:val="single" w:sz="4" w:space="0" w:color="auto"/>
              <w:left w:val="single" w:sz="4" w:space="0" w:color="auto"/>
              <w:bottom w:val="single" w:sz="4" w:space="0" w:color="auto"/>
              <w:right w:val="single" w:sz="4" w:space="0" w:color="auto"/>
            </w:tcBorders>
          </w:tcPr>
          <w:p w14:paraId="427A32C3" w14:textId="01FCD3A4" w:rsidR="00F17D19" w:rsidRPr="009E686F" w:rsidRDefault="00F17D19" w:rsidP="00265766">
            <w:pPr>
              <w:jc w:val="both"/>
              <w:rPr>
                <w:rFonts w:ascii="Times New Roman" w:hAnsi="Times New Roman" w:cs="Times New Roman"/>
                <w:lang w:val="it-IT"/>
              </w:rPr>
            </w:pPr>
            <w:r w:rsidRPr="009E686F">
              <w:rPr>
                <w:rFonts w:ascii="Times New Roman" w:hAnsi="Times New Roman" w:cs="Times New Roman"/>
                <w:lang w:val="it-CH"/>
              </w:rPr>
              <w:t>Compatibil</w:t>
            </w:r>
          </w:p>
        </w:tc>
        <w:tc>
          <w:tcPr>
            <w:tcW w:w="806" w:type="pct"/>
            <w:vMerge/>
            <w:tcBorders>
              <w:left w:val="single" w:sz="4" w:space="0" w:color="auto"/>
              <w:right w:val="single" w:sz="4" w:space="0" w:color="auto"/>
            </w:tcBorders>
          </w:tcPr>
          <w:p w14:paraId="64FA45BE" w14:textId="77777777" w:rsidR="00F17D19" w:rsidRPr="009E686F" w:rsidRDefault="00F17D19" w:rsidP="00265766">
            <w:pPr>
              <w:spacing w:after="0"/>
              <w:jc w:val="both"/>
              <w:rPr>
                <w:rFonts w:ascii="Times New Roman" w:hAnsi="Times New Roman" w:cs="Times New Roman"/>
                <w:lang w:val="it-IT"/>
              </w:rPr>
            </w:pPr>
          </w:p>
        </w:tc>
      </w:tr>
      <w:tr w:rsidR="00F17D19" w:rsidRPr="009E686F" w14:paraId="5AD0AA28" w14:textId="77777777" w:rsidTr="002F7E8F">
        <w:tc>
          <w:tcPr>
            <w:tcW w:w="1890" w:type="pct"/>
            <w:tcBorders>
              <w:top w:val="single" w:sz="4" w:space="0" w:color="auto"/>
              <w:left w:val="single" w:sz="4" w:space="0" w:color="auto"/>
              <w:bottom w:val="single" w:sz="4" w:space="0" w:color="auto"/>
              <w:right w:val="single" w:sz="4" w:space="0" w:color="auto"/>
            </w:tcBorders>
          </w:tcPr>
          <w:p w14:paraId="31A20EDB" w14:textId="7AFAF086" w:rsidR="00F17D19" w:rsidRPr="009E686F" w:rsidDel="002D6675" w:rsidRDefault="00F17D19" w:rsidP="00265766">
            <w:pPr>
              <w:spacing w:after="0"/>
              <w:jc w:val="both"/>
              <w:rPr>
                <w:rFonts w:ascii="Times New Roman" w:hAnsi="Times New Roman" w:cs="Times New Roman"/>
              </w:rPr>
            </w:pPr>
            <w:r w:rsidRPr="009E686F">
              <w:rPr>
                <w:rFonts w:ascii="Times New Roman" w:hAnsi="Times New Roman" w:cs="Times New Roman"/>
              </w:rPr>
              <w:t>(a) valoarea totală a activelor contabilizate sau inițiate în statul membru de sucursala dintr-o țară terță este cel puțin egală cu 5 miliarde EUR, astfel cum a fost raportată pentru perioada de raportare anuală imediat precedentă în conformitate cu secțiunea II subsecțiunea 4;</w:t>
            </w:r>
          </w:p>
        </w:tc>
        <w:tc>
          <w:tcPr>
            <w:tcW w:w="1834" w:type="pct"/>
            <w:tcBorders>
              <w:top w:val="single" w:sz="4" w:space="0" w:color="auto"/>
              <w:left w:val="single" w:sz="4" w:space="0" w:color="auto"/>
              <w:bottom w:val="single" w:sz="4" w:space="0" w:color="auto"/>
              <w:right w:val="single" w:sz="4" w:space="0" w:color="auto"/>
            </w:tcBorders>
          </w:tcPr>
          <w:p w14:paraId="4F24292F" w14:textId="75E64839" w:rsidR="00F17D19" w:rsidRPr="009E686F" w:rsidRDefault="00F17D19" w:rsidP="00265766">
            <w:pPr>
              <w:spacing w:after="0"/>
              <w:jc w:val="both"/>
              <w:rPr>
                <w:rFonts w:ascii="Times New Roman" w:hAnsi="Times New Roman" w:cs="Times New Roman"/>
                <w:i/>
                <w:lang w:val="it-CH"/>
              </w:rPr>
            </w:pPr>
            <w:r w:rsidRPr="009E686F">
              <w:rPr>
                <w:rFonts w:ascii="Times New Roman" w:hAnsi="Times New Roman" w:cs="Times New Roman"/>
                <w:i/>
                <w:lang w:val="it-CH"/>
              </w:rPr>
              <w:t>a) valoarea totală a activelor contabilizate sau inițiate în Republica Moldova de sucursala dintr-un stat terț este cel puțin egală cu echivalentul în lei moldovenești a 5 miliarde euro, astfel cum a fost raportată pentru perioada de raportare anuală imediat precedentă în conformitate cu art. 94</w:t>
            </w:r>
            <w:r w:rsidRPr="009E686F">
              <w:rPr>
                <w:rFonts w:ascii="Times New Roman" w:hAnsi="Times New Roman" w:cs="Times New Roman"/>
                <w:i/>
                <w:vertAlign w:val="superscript"/>
                <w:lang w:val="it-CH"/>
              </w:rPr>
              <w:t>5</w:t>
            </w:r>
            <w:r w:rsidRPr="009E686F">
              <w:rPr>
                <w:rFonts w:ascii="Times New Roman" w:hAnsi="Times New Roman" w:cs="Times New Roman"/>
                <w:i/>
                <w:lang w:val="it-CH"/>
              </w:rPr>
              <w:t>;</w:t>
            </w:r>
          </w:p>
        </w:tc>
        <w:tc>
          <w:tcPr>
            <w:tcW w:w="470" w:type="pct"/>
            <w:tcBorders>
              <w:top w:val="single" w:sz="4" w:space="0" w:color="auto"/>
              <w:left w:val="single" w:sz="4" w:space="0" w:color="auto"/>
              <w:bottom w:val="single" w:sz="4" w:space="0" w:color="auto"/>
              <w:right w:val="single" w:sz="4" w:space="0" w:color="auto"/>
            </w:tcBorders>
          </w:tcPr>
          <w:p w14:paraId="394CDCB9" w14:textId="5B4FFCAA" w:rsidR="00F17D19" w:rsidRPr="009E686F" w:rsidRDefault="00F17D19" w:rsidP="00265766">
            <w:pPr>
              <w:jc w:val="both"/>
              <w:rPr>
                <w:rFonts w:ascii="Times New Roman" w:hAnsi="Times New Roman" w:cs="Times New Roman"/>
                <w:lang w:val="it-IT"/>
              </w:rPr>
            </w:pPr>
            <w:r w:rsidRPr="009E686F">
              <w:rPr>
                <w:rFonts w:ascii="Times New Roman" w:hAnsi="Times New Roman" w:cs="Times New Roman"/>
                <w:lang w:val="it-CH"/>
              </w:rPr>
              <w:t>Compatibil</w:t>
            </w:r>
          </w:p>
        </w:tc>
        <w:tc>
          <w:tcPr>
            <w:tcW w:w="806" w:type="pct"/>
            <w:vMerge/>
            <w:tcBorders>
              <w:left w:val="single" w:sz="4" w:space="0" w:color="auto"/>
              <w:right w:val="single" w:sz="4" w:space="0" w:color="auto"/>
            </w:tcBorders>
          </w:tcPr>
          <w:p w14:paraId="54BC6738" w14:textId="77777777" w:rsidR="00F17D19" w:rsidRPr="009E686F" w:rsidRDefault="00F17D19" w:rsidP="00265766">
            <w:pPr>
              <w:spacing w:after="0"/>
              <w:jc w:val="both"/>
              <w:rPr>
                <w:rFonts w:ascii="Times New Roman" w:hAnsi="Times New Roman" w:cs="Times New Roman"/>
                <w:lang w:val="it-IT"/>
              </w:rPr>
            </w:pPr>
          </w:p>
        </w:tc>
      </w:tr>
      <w:tr w:rsidR="00F17D19" w:rsidRPr="009E686F" w14:paraId="4C888780" w14:textId="77777777" w:rsidTr="002F7E8F">
        <w:tc>
          <w:tcPr>
            <w:tcW w:w="1890" w:type="pct"/>
            <w:tcBorders>
              <w:top w:val="single" w:sz="4" w:space="0" w:color="auto"/>
              <w:left w:val="single" w:sz="4" w:space="0" w:color="auto"/>
              <w:bottom w:val="single" w:sz="4" w:space="0" w:color="auto"/>
              <w:right w:val="single" w:sz="4" w:space="0" w:color="auto"/>
            </w:tcBorders>
          </w:tcPr>
          <w:p w14:paraId="3189627C" w14:textId="1C77CC61" w:rsidR="00F17D19" w:rsidRPr="009E686F" w:rsidDel="002D6675" w:rsidRDefault="00F17D19" w:rsidP="00265766">
            <w:pPr>
              <w:spacing w:after="0"/>
              <w:jc w:val="both"/>
              <w:rPr>
                <w:rFonts w:ascii="Times New Roman" w:hAnsi="Times New Roman" w:cs="Times New Roman"/>
              </w:rPr>
            </w:pPr>
            <w:r w:rsidRPr="009E686F">
              <w:rPr>
                <w:rFonts w:ascii="Times New Roman" w:hAnsi="Times New Roman" w:cs="Times New Roman"/>
              </w:rPr>
              <w:t>(b) activitățile autorizate ale sucursalei dintr-o țară terță includ atragerea de depozite sau de alte fonduri rambursabile de la clienții de retail, cu condiția ca cuantumul acestor depozite și al altor fonduri rambursabile să fie cel puțin egal cu 5 % din totalul pasivelor sucursalei din țara terță sau ca cuantumul acestor depozite și al altor fonduri rambursabile să depășească 50 de milioane EUR;</w:t>
            </w:r>
          </w:p>
        </w:tc>
        <w:tc>
          <w:tcPr>
            <w:tcW w:w="1834" w:type="pct"/>
            <w:tcBorders>
              <w:top w:val="single" w:sz="4" w:space="0" w:color="auto"/>
              <w:left w:val="single" w:sz="4" w:space="0" w:color="auto"/>
              <w:bottom w:val="single" w:sz="4" w:space="0" w:color="auto"/>
              <w:right w:val="single" w:sz="4" w:space="0" w:color="auto"/>
            </w:tcBorders>
          </w:tcPr>
          <w:p w14:paraId="0F486819" w14:textId="6F75BD69" w:rsidR="00F17D19" w:rsidRPr="009E686F" w:rsidRDefault="00F17D19" w:rsidP="00265766">
            <w:pPr>
              <w:spacing w:after="0"/>
              <w:jc w:val="both"/>
              <w:rPr>
                <w:rFonts w:ascii="Times New Roman" w:hAnsi="Times New Roman" w:cs="Times New Roman"/>
                <w:i/>
                <w:lang w:val="it-CH"/>
              </w:rPr>
            </w:pPr>
            <w:r w:rsidRPr="009E686F">
              <w:rPr>
                <w:rFonts w:ascii="Times New Roman" w:hAnsi="Times New Roman" w:cs="Times New Roman"/>
                <w:i/>
                <w:lang w:val="it-CH"/>
              </w:rPr>
              <w:t>b) activitățile autorizate ale sucursalei dintr-un stat terț includ atragerea de depozite sau de alte fonduri rambursabile de la clienții de retail, cu condiția ca cuantumul acestor depozite și al altor fonduri rambursabile să fie cel puțin egal cu 5 % din totalul pasivelor sucursalei din stat terț sau ca cuantumul acestor depozite și al altor fonduri rambursabile să depășească echivalentul în lei moldovenești a 50 de milioane euro;</w:t>
            </w:r>
          </w:p>
        </w:tc>
        <w:tc>
          <w:tcPr>
            <w:tcW w:w="470" w:type="pct"/>
            <w:tcBorders>
              <w:top w:val="single" w:sz="4" w:space="0" w:color="auto"/>
              <w:left w:val="single" w:sz="4" w:space="0" w:color="auto"/>
              <w:bottom w:val="single" w:sz="4" w:space="0" w:color="auto"/>
              <w:right w:val="single" w:sz="4" w:space="0" w:color="auto"/>
            </w:tcBorders>
          </w:tcPr>
          <w:p w14:paraId="67CE4499" w14:textId="269CE78B" w:rsidR="00F17D19" w:rsidRPr="009E686F" w:rsidRDefault="00F17D19" w:rsidP="00265766">
            <w:pPr>
              <w:jc w:val="both"/>
              <w:rPr>
                <w:rFonts w:ascii="Times New Roman" w:hAnsi="Times New Roman" w:cs="Times New Roman"/>
                <w:lang w:val="it-IT"/>
              </w:rPr>
            </w:pPr>
            <w:r w:rsidRPr="009E686F">
              <w:rPr>
                <w:rFonts w:ascii="Times New Roman" w:hAnsi="Times New Roman" w:cs="Times New Roman"/>
                <w:lang w:val="it-CH"/>
              </w:rPr>
              <w:t>Compatibil</w:t>
            </w:r>
          </w:p>
        </w:tc>
        <w:tc>
          <w:tcPr>
            <w:tcW w:w="806" w:type="pct"/>
            <w:vMerge/>
            <w:tcBorders>
              <w:left w:val="single" w:sz="4" w:space="0" w:color="auto"/>
              <w:right w:val="single" w:sz="4" w:space="0" w:color="auto"/>
            </w:tcBorders>
          </w:tcPr>
          <w:p w14:paraId="6F2A804A" w14:textId="77777777" w:rsidR="00F17D19" w:rsidRPr="009E686F" w:rsidRDefault="00F17D19" w:rsidP="00265766">
            <w:pPr>
              <w:spacing w:after="0"/>
              <w:jc w:val="both"/>
              <w:rPr>
                <w:rFonts w:ascii="Times New Roman" w:hAnsi="Times New Roman" w:cs="Times New Roman"/>
                <w:lang w:val="it-IT"/>
              </w:rPr>
            </w:pPr>
          </w:p>
        </w:tc>
      </w:tr>
      <w:tr w:rsidR="00F17D19" w:rsidRPr="009E686F" w14:paraId="23CFB461" w14:textId="77777777" w:rsidTr="002F7E8F">
        <w:tc>
          <w:tcPr>
            <w:tcW w:w="1890" w:type="pct"/>
            <w:tcBorders>
              <w:top w:val="single" w:sz="4" w:space="0" w:color="auto"/>
              <w:left w:val="single" w:sz="4" w:space="0" w:color="auto"/>
              <w:bottom w:val="single" w:sz="4" w:space="0" w:color="auto"/>
              <w:right w:val="single" w:sz="4" w:space="0" w:color="auto"/>
            </w:tcBorders>
          </w:tcPr>
          <w:p w14:paraId="2027A883" w14:textId="10718FC2" w:rsidR="00F17D19" w:rsidRPr="009E686F" w:rsidDel="002D6675" w:rsidRDefault="00F17D19" w:rsidP="00265766">
            <w:pPr>
              <w:spacing w:after="0"/>
              <w:jc w:val="both"/>
              <w:rPr>
                <w:rFonts w:ascii="Times New Roman" w:hAnsi="Times New Roman" w:cs="Times New Roman"/>
                <w:lang w:val="pt-BR"/>
              </w:rPr>
            </w:pPr>
            <w:r w:rsidRPr="009E686F">
              <w:rPr>
                <w:rFonts w:ascii="Times New Roman" w:hAnsi="Times New Roman" w:cs="Times New Roman"/>
                <w:lang w:val="pt-BR"/>
              </w:rPr>
              <w:t>(c) sucursala dintr-o țară terță nu este o sucursală calificată dintr-o țară terță în sensul articolului 48b.</w:t>
            </w:r>
          </w:p>
        </w:tc>
        <w:tc>
          <w:tcPr>
            <w:tcW w:w="1834" w:type="pct"/>
            <w:tcBorders>
              <w:top w:val="single" w:sz="4" w:space="0" w:color="auto"/>
              <w:left w:val="single" w:sz="4" w:space="0" w:color="auto"/>
              <w:bottom w:val="single" w:sz="4" w:space="0" w:color="auto"/>
              <w:right w:val="single" w:sz="4" w:space="0" w:color="auto"/>
            </w:tcBorders>
          </w:tcPr>
          <w:p w14:paraId="24EF94CD" w14:textId="4AE55106" w:rsidR="00F17D19" w:rsidRPr="009E686F" w:rsidRDefault="00F17D19" w:rsidP="00265766">
            <w:pPr>
              <w:spacing w:after="0"/>
              <w:jc w:val="both"/>
              <w:rPr>
                <w:rFonts w:ascii="Times New Roman" w:hAnsi="Times New Roman" w:cs="Times New Roman"/>
                <w:bCs/>
                <w:i/>
                <w:iCs/>
                <w:lang w:val="pt-BR"/>
              </w:rPr>
            </w:pPr>
            <w:r w:rsidRPr="009E686F">
              <w:rPr>
                <w:rFonts w:ascii="Times New Roman" w:hAnsi="Times New Roman" w:cs="Times New Roman"/>
                <w:bCs/>
                <w:i/>
                <w:iCs/>
                <w:lang w:val="it-IT"/>
              </w:rPr>
              <w:t xml:space="preserve">c) sucursala dintr-un stat terț nu este o sucursală calificată dintr-un stat terț în sensul art. 28 alin. </w:t>
            </w:r>
            <w:r w:rsidRPr="009E686F">
              <w:rPr>
                <w:rFonts w:ascii="Times New Roman" w:hAnsi="Times New Roman" w:cs="Times New Roman"/>
                <w:bCs/>
                <w:i/>
                <w:iCs/>
                <w:lang w:val="pt-BR"/>
              </w:rPr>
              <w:t>(1).</w:t>
            </w:r>
          </w:p>
        </w:tc>
        <w:tc>
          <w:tcPr>
            <w:tcW w:w="470" w:type="pct"/>
            <w:tcBorders>
              <w:top w:val="single" w:sz="4" w:space="0" w:color="auto"/>
              <w:left w:val="single" w:sz="4" w:space="0" w:color="auto"/>
              <w:bottom w:val="single" w:sz="4" w:space="0" w:color="auto"/>
              <w:right w:val="single" w:sz="4" w:space="0" w:color="auto"/>
            </w:tcBorders>
          </w:tcPr>
          <w:p w14:paraId="162C3FE9" w14:textId="6C6B8B8C" w:rsidR="00F17D19" w:rsidRPr="009E686F" w:rsidRDefault="00F17D19" w:rsidP="00265766">
            <w:pPr>
              <w:jc w:val="both"/>
              <w:rPr>
                <w:rFonts w:ascii="Times New Roman" w:hAnsi="Times New Roman" w:cs="Times New Roman"/>
                <w:lang w:val="pt-BR"/>
              </w:rPr>
            </w:pPr>
            <w:r w:rsidRPr="009E686F">
              <w:rPr>
                <w:rFonts w:ascii="Times New Roman" w:hAnsi="Times New Roman" w:cs="Times New Roman"/>
                <w:lang w:val="it-CH"/>
              </w:rPr>
              <w:t>Compatibil</w:t>
            </w:r>
          </w:p>
        </w:tc>
        <w:tc>
          <w:tcPr>
            <w:tcW w:w="806" w:type="pct"/>
            <w:vMerge/>
            <w:tcBorders>
              <w:left w:val="single" w:sz="4" w:space="0" w:color="auto"/>
              <w:right w:val="single" w:sz="4" w:space="0" w:color="auto"/>
            </w:tcBorders>
          </w:tcPr>
          <w:p w14:paraId="3A9C9367" w14:textId="77777777" w:rsidR="00F17D19" w:rsidRPr="009E686F" w:rsidRDefault="00F17D19" w:rsidP="00265766">
            <w:pPr>
              <w:spacing w:after="0"/>
              <w:jc w:val="both"/>
              <w:rPr>
                <w:rFonts w:ascii="Times New Roman" w:hAnsi="Times New Roman" w:cs="Times New Roman"/>
                <w:lang w:val="pt-BR"/>
              </w:rPr>
            </w:pPr>
          </w:p>
        </w:tc>
      </w:tr>
      <w:tr w:rsidR="00F17D19" w:rsidRPr="009E686F" w14:paraId="3354E701" w14:textId="77777777" w:rsidTr="002F7E8F">
        <w:tc>
          <w:tcPr>
            <w:tcW w:w="1890" w:type="pct"/>
            <w:tcBorders>
              <w:top w:val="single" w:sz="4" w:space="0" w:color="auto"/>
              <w:left w:val="single" w:sz="4" w:space="0" w:color="auto"/>
              <w:bottom w:val="single" w:sz="4" w:space="0" w:color="auto"/>
              <w:right w:val="single" w:sz="4" w:space="0" w:color="auto"/>
            </w:tcBorders>
          </w:tcPr>
          <w:p w14:paraId="2B0C681C" w14:textId="123BC23B" w:rsidR="00F17D19" w:rsidRPr="009E686F" w:rsidDel="002D6675" w:rsidRDefault="00F17D19" w:rsidP="00265766">
            <w:pPr>
              <w:spacing w:after="0"/>
              <w:jc w:val="both"/>
              <w:rPr>
                <w:rFonts w:ascii="Times New Roman" w:hAnsi="Times New Roman" w:cs="Times New Roman"/>
                <w:lang w:val="it-IT"/>
              </w:rPr>
            </w:pPr>
            <w:r w:rsidRPr="009E686F">
              <w:rPr>
                <w:rFonts w:ascii="Times New Roman" w:hAnsi="Times New Roman" w:cs="Times New Roman"/>
                <w:lang w:val="it-IT"/>
              </w:rPr>
              <w:lastRenderedPageBreak/>
              <w:t>(2) Statele membre clasifică sucursalele din țări terțe care nu îndeplinesc niciuna dintre condițiile prevăzute la alineatul (1) în clasa 2.</w:t>
            </w:r>
          </w:p>
        </w:tc>
        <w:tc>
          <w:tcPr>
            <w:tcW w:w="1834" w:type="pct"/>
            <w:tcBorders>
              <w:top w:val="single" w:sz="4" w:space="0" w:color="auto"/>
              <w:left w:val="single" w:sz="4" w:space="0" w:color="auto"/>
              <w:bottom w:val="single" w:sz="4" w:space="0" w:color="auto"/>
              <w:right w:val="single" w:sz="4" w:space="0" w:color="auto"/>
            </w:tcBorders>
          </w:tcPr>
          <w:p w14:paraId="0452F6DD" w14:textId="7E24F0A1" w:rsidR="00F17D19" w:rsidRPr="009E686F" w:rsidRDefault="00F17D19" w:rsidP="00265766">
            <w:pPr>
              <w:spacing w:after="0"/>
              <w:jc w:val="both"/>
              <w:rPr>
                <w:rFonts w:ascii="Times New Roman" w:hAnsi="Times New Roman" w:cs="Times New Roman"/>
                <w:bCs/>
                <w:i/>
                <w:iCs/>
                <w:lang w:val="it-IT"/>
              </w:rPr>
            </w:pPr>
            <w:r w:rsidRPr="009E686F">
              <w:rPr>
                <w:rFonts w:ascii="Times New Roman" w:hAnsi="Times New Roman" w:cs="Times New Roman"/>
                <w:bCs/>
                <w:i/>
                <w:iCs/>
                <w:lang w:val="it-IT"/>
              </w:rPr>
              <w:t>(2) Sunt considerate ca fiind din clasa 2, sucursalele din state terțe care nu îndeplinesc niciuna dintre condițiile prevăzute la alin. (1).</w:t>
            </w:r>
          </w:p>
        </w:tc>
        <w:tc>
          <w:tcPr>
            <w:tcW w:w="470" w:type="pct"/>
            <w:tcBorders>
              <w:top w:val="single" w:sz="4" w:space="0" w:color="auto"/>
              <w:left w:val="single" w:sz="4" w:space="0" w:color="auto"/>
              <w:bottom w:val="single" w:sz="4" w:space="0" w:color="auto"/>
              <w:right w:val="single" w:sz="4" w:space="0" w:color="auto"/>
            </w:tcBorders>
          </w:tcPr>
          <w:p w14:paraId="7DD52425" w14:textId="74D561B5" w:rsidR="00F17D19" w:rsidRPr="009E686F" w:rsidRDefault="00F17D19" w:rsidP="00265766">
            <w:pPr>
              <w:jc w:val="both"/>
              <w:rPr>
                <w:rFonts w:ascii="Times New Roman" w:hAnsi="Times New Roman" w:cs="Times New Roman"/>
                <w:lang w:val="it-IT"/>
              </w:rPr>
            </w:pPr>
            <w:r w:rsidRPr="009E686F">
              <w:rPr>
                <w:rFonts w:ascii="Times New Roman" w:hAnsi="Times New Roman" w:cs="Times New Roman"/>
                <w:lang w:val="it-CH"/>
              </w:rPr>
              <w:t>Compatibil</w:t>
            </w:r>
          </w:p>
        </w:tc>
        <w:tc>
          <w:tcPr>
            <w:tcW w:w="806" w:type="pct"/>
            <w:vMerge/>
            <w:tcBorders>
              <w:left w:val="single" w:sz="4" w:space="0" w:color="auto"/>
              <w:right w:val="single" w:sz="4" w:space="0" w:color="auto"/>
            </w:tcBorders>
          </w:tcPr>
          <w:p w14:paraId="74D8918E" w14:textId="77777777" w:rsidR="00F17D19" w:rsidRPr="009E686F" w:rsidRDefault="00F17D19" w:rsidP="00265766">
            <w:pPr>
              <w:spacing w:after="0"/>
              <w:jc w:val="both"/>
              <w:rPr>
                <w:rFonts w:ascii="Times New Roman" w:hAnsi="Times New Roman" w:cs="Times New Roman"/>
                <w:lang w:val="it-IT"/>
              </w:rPr>
            </w:pPr>
          </w:p>
        </w:tc>
      </w:tr>
      <w:tr w:rsidR="00F17D19" w:rsidRPr="009E686F" w14:paraId="24DB3F3F" w14:textId="77777777" w:rsidTr="002F7E8F">
        <w:tc>
          <w:tcPr>
            <w:tcW w:w="1890" w:type="pct"/>
            <w:tcBorders>
              <w:top w:val="single" w:sz="4" w:space="0" w:color="auto"/>
              <w:left w:val="single" w:sz="4" w:space="0" w:color="auto"/>
              <w:bottom w:val="single" w:sz="4" w:space="0" w:color="auto"/>
              <w:right w:val="single" w:sz="4" w:space="0" w:color="auto"/>
            </w:tcBorders>
          </w:tcPr>
          <w:p w14:paraId="1DB2BA8E" w14:textId="65C62033" w:rsidR="00F17D19" w:rsidRPr="009E686F" w:rsidDel="002D6675" w:rsidRDefault="00F17D19" w:rsidP="00265766">
            <w:pPr>
              <w:spacing w:after="0"/>
              <w:jc w:val="both"/>
              <w:rPr>
                <w:rFonts w:ascii="Times New Roman" w:hAnsi="Times New Roman" w:cs="Times New Roman"/>
                <w:lang w:val="it-IT"/>
              </w:rPr>
            </w:pPr>
            <w:r w:rsidRPr="009E686F">
              <w:rPr>
                <w:rFonts w:ascii="Times New Roman" w:hAnsi="Times New Roman" w:cs="Times New Roman"/>
                <w:lang w:val="it-IT"/>
              </w:rPr>
              <w:t>(3) Autoritățile competente actualizează clasificarea sucursalelor din țări terțe după cum urmează:</w:t>
            </w:r>
          </w:p>
        </w:tc>
        <w:tc>
          <w:tcPr>
            <w:tcW w:w="1834" w:type="pct"/>
            <w:tcBorders>
              <w:top w:val="single" w:sz="4" w:space="0" w:color="auto"/>
              <w:left w:val="single" w:sz="4" w:space="0" w:color="auto"/>
              <w:bottom w:val="single" w:sz="4" w:space="0" w:color="auto"/>
              <w:right w:val="single" w:sz="4" w:space="0" w:color="auto"/>
            </w:tcBorders>
          </w:tcPr>
          <w:p w14:paraId="0F9C8A77" w14:textId="7CF8A9C2" w:rsidR="00F17D19" w:rsidRPr="009E686F" w:rsidRDefault="00F17D19" w:rsidP="00265766">
            <w:pPr>
              <w:spacing w:after="0"/>
              <w:jc w:val="both"/>
              <w:rPr>
                <w:rFonts w:ascii="Times New Roman" w:hAnsi="Times New Roman" w:cs="Times New Roman"/>
                <w:bCs/>
                <w:i/>
                <w:iCs/>
                <w:lang w:val="it-IT"/>
              </w:rPr>
            </w:pPr>
            <w:r w:rsidRPr="009E686F">
              <w:rPr>
                <w:rFonts w:ascii="Times New Roman" w:hAnsi="Times New Roman" w:cs="Times New Roman"/>
                <w:bCs/>
                <w:i/>
                <w:iCs/>
                <w:lang w:val="it-IT"/>
              </w:rPr>
              <w:t>(3) Banca Națională a Moldovei actualizează clasificarea sucursalelor din state terțe după cum urmează:</w:t>
            </w:r>
          </w:p>
        </w:tc>
        <w:tc>
          <w:tcPr>
            <w:tcW w:w="470" w:type="pct"/>
            <w:tcBorders>
              <w:top w:val="single" w:sz="4" w:space="0" w:color="auto"/>
              <w:left w:val="single" w:sz="4" w:space="0" w:color="auto"/>
              <w:bottom w:val="single" w:sz="4" w:space="0" w:color="auto"/>
              <w:right w:val="single" w:sz="4" w:space="0" w:color="auto"/>
            </w:tcBorders>
          </w:tcPr>
          <w:p w14:paraId="0378BA4C" w14:textId="36DB81BE" w:rsidR="00F17D19" w:rsidRPr="009E686F" w:rsidRDefault="00F17D19" w:rsidP="00265766">
            <w:pPr>
              <w:jc w:val="both"/>
              <w:rPr>
                <w:rFonts w:ascii="Times New Roman" w:hAnsi="Times New Roman" w:cs="Times New Roman"/>
                <w:lang w:val="it-IT"/>
              </w:rPr>
            </w:pPr>
            <w:r w:rsidRPr="009E686F">
              <w:rPr>
                <w:rFonts w:ascii="Times New Roman" w:hAnsi="Times New Roman" w:cs="Times New Roman"/>
                <w:lang w:val="it-CH"/>
              </w:rPr>
              <w:t>Compatibil</w:t>
            </w:r>
          </w:p>
        </w:tc>
        <w:tc>
          <w:tcPr>
            <w:tcW w:w="806" w:type="pct"/>
            <w:vMerge/>
            <w:tcBorders>
              <w:left w:val="single" w:sz="4" w:space="0" w:color="auto"/>
              <w:right w:val="single" w:sz="4" w:space="0" w:color="auto"/>
            </w:tcBorders>
          </w:tcPr>
          <w:p w14:paraId="498F9887" w14:textId="77777777" w:rsidR="00F17D19" w:rsidRPr="009E686F" w:rsidRDefault="00F17D19" w:rsidP="00265766">
            <w:pPr>
              <w:spacing w:after="0"/>
              <w:jc w:val="both"/>
              <w:rPr>
                <w:rFonts w:ascii="Times New Roman" w:hAnsi="Times New Roman" w:cs="Times New Roman"/>
                <w:lang w:val="it-IT"/>
              </w:rPr>
            </w:pPr>
          </w:p>
        </w:tc>
      </w:tr>
      <w:tr w:rsidR="00F17D19" w:rsidRPr="009E686F" w14:paraId="4748F632" w14:textId="77777777" w:rsidTr="002F7E8F">
        <w:tc>
          <w:tcPr>
            <w:tcW w:w="1890" w:type="pct"/>
            <w:tcBorders>
              <w:top w:val="single" w:sz="4" w:space="0" w:color="auto"/>
              <w:left w:val="single" w:sz="4" w:space="0" w:color="auto"/>
              <w:bottom w:val="single" w:sz="4" w:space="0" w:color="auto"/>
              <w:right w:val="single" w:sz="4" w:space="0" w:color="auto"/>
            </w:tcBorders>
          </w:tcPr>
          <w:p w14:paraId="434BAEF7" w14:textId="151E8E18" w:rsidR="00F17D19" w:rsidRPr="009E686F" w:rsidDel="002D6675" w:rsidRDefault="00F17D19" w:rsidP="00265766">
            <w:pPr>
              <w:spacing w:after="0"/>
              <w:jc w:val="both"/>
              <w:rPr>
                <w:rFonts w:ascii="Times New Roman" w:hAnsi="Times New Roman" w:cs="Times New Roman"/>
              </w:rPr>
            </w:pPr>
            <w:r w:rsidRPr="009E686F">
              <w:rPr>
                <w:rFonts w:ascii="Times New Roman" w:hAnsi="Times New Roman" w:cs="Times New Roman"/>
              </w:rPr>
              <w:t>(a) în cazul în care o sucursală dintr-o țară terță din clasa 1 nu mai îndeplinește condițiile prevăzute la alineatul (1), sucursala respectivă este considerată imediat ca fiind în clasa 2;</w:t>
            </w:r>
          </w:p>
        </w:tc>
        <w:tc>
          <w:tcPr>
            <w:tcW w:w="1834" w:type="pct"/>
            <w:tcBorders>
              <w:top w:val="single" w:sz="4" w:space="0" w:color="auto"/>
              <w:left w:val="single" w:sz="4" w:space="0" w:color="auto"/>
              <w:bottom w:val="single" w:sz="4" w:space="0" w:color="auto"/>
              <w:right w:val="single" w:sz="4" w:space="0" w:color="auto"/>
            </w:tcBorders>
          </w:tcPr>
          <w:p w14:paraId="69AAC853" w14:textId="44B680DD" w:rsidR="00F17D19" w:rsidRPr="009E686F" w:rsidRDefault="00F17D19" w:rsidP="00265766">
            <w:pPr>
              <w:spacing w:after="0"/>
              <w:jc w:val="both"/>
              <w:rPr>
                <w:rFonts w:ascii="Times New Roman" w:hAnsi="Times New Roman" w:cs="Times New Roman"/>
                <w:bCs/>
                <w:i/>
                <w:iCs/>
                <w:lang w:val="it-IT"/>
              </w:rPr>
            </w:pPr>
            <w:r w:rsidRPr="009E686F">
              <w:rPr>
                <w:rFonts w:ascii="Times New Roman" w:hAnsi="Times New Roman" w:cs="Times New Roman"/>
                <w:bCs/>
                <w:i/>
                <w:iCs/>
                <w:lang w:val="it-IT"/>
              </w:rPr>
              <w:t>a) în cazul în care o sucursală dintr-un stat terț din clasa 1 nu mai îndeplinește condițiile prevăzute la alin. (1), sucursala respectivă este considerată imediat ca fiind în clasa 2;</w:t>
            </w:r>
          </w:p>
        </w:tc>
        <w:tc>
          <w:tcPr>
            <w:tcW w:w="470" w:type="pct"/>
            <w:tcBorders>
              <w:top w:val="single" w:sz="4" w:space="0" w:color="auto"/>
              <w:left w:val="single" w:sz="4" w:space="0" w:color="auto"/>
              <w:bottom w:val="single" w:sz="4" w:space="0" w:color="auto"/>
              <w:right w:val="single" w:sz="4" w:space="0" w:color="auto"/>
            </w:tcBorders>
          </w:tcPr>
          <w:p w14:paraId="57D3F6DC" w14:textId="1E0D345C" w:rsidR="00F17D19" w:rsidRPr="009E686F" w:rsidRDefault="00F17D19" w:rsidP="00265766">
            <w:pPr>
              <w:jc w:val="both"/>
              <w:rPr>
                <w:rFonts w:ascii="Times New Roman" w:hAnsi="Times New Roman" w:cs="Times New Roman"/>
                <w:lang w:val="it-IT"/>
              </w:rPr>
            </w:pPr>
            <w:r w:rsidRPr="009E686F">
              <w:rPr>
                <w:rFonts w:ascii="Times New Roman" w:hAnsi="Times New Roman" w:cs="Times New Roman"/>
                <w:lang w:val="it-CH"/>
              </w:rPr>
              <w:t>Compatibil</w:t>
            </w:r>
          </w:p>
        </w:tc>
        <w:tc>
          <w:tcPr>
            <w:tcW w:w="806" w:type="pct"/>
            <w:vMerge/>
            <w:tcBorders>
              <w:left w:val="single" w:sz="4" w:space="0" w:color="auto"/>
              <w:right w:val="single" w:sz="4" w:space="0" w:color="auto"/>
            </w:tcBorders>
          </w:tcPr>
          <w:p w14:paraId="79B24689" w14:textId="77777777" w:rsidR="00F17D19" w:rsidRPr="009E686F" w:rsidRDefault="00F17D19" w:rsidP="00265766">
            <w:pPr>
              <w:spacing w:after="0"/>
              <w:jc w:val="both"/>
              <w:rPr>
                <w:rFonts w:ascii="Times New Roman" w:hAnsi="Times New Roman" w:cs="Times New Roman"/>
                <w:lang w:val="it-IT"/>
              </w:rPr>
            </w:pPr>
          </w:p>
        </w:tc>
      </w:tr>
      <w:tr w:rsidR="00F17D19" w:rsidRPr="009E686F" w14:paraId="46B6869B" w14:textId="77777777" w:rsidTr="002F7E8F">
        <w:tc>
          <w:tcPr>
            <w:tcW w:w="1890" w:type="pct"/>
            <w:tcBorders>
              <w:top w:val="single" w:sz="4" w:space="0" w:color="auto"/>
              <w:left w:val="single" w:sz="4" w:space="0" w:color="auto"/>
              <w:bottom w:val="single" w:sz="4" w:space="0" w:color="auto"/>
              <w:right w:val="single" w:sz="4" w:space="0" w:color="auto"/>
            </w:tcBorders>
          </w:tcPr>
          <w:p w14:paraId="17EB1C39" w14:textId="1DAA7259" w:rsidR="00F17D19" w:rsidRPr="009E686F" w:rsidDel="002D6675" w:rsidRDefault="00F17D19" w:rsidP="00265766">
            <w:pPr>
              <w:spacing w:after="0"/>
              <w:jc w:val="both"/>
              <w:rPr>
                <w:rFonts w:ascii="Times New Roman" w:hAnsi="Times New Roman" w:cs="Times New Roman"/>
              </w:rPr>
            </w:pPr>
            <w:r w:rsidRPr="009E686F">
              <w:rPr>
                <w:rFonts w:ascii="Times New Roman" w:hAnsi="Times New Roman" w:cs="Times New Roman"/>
              </w:rPr>
              <w:t>(b) în cazul în care o sucursală dintr-o țară terță din clasa 2 începe să îndeplinească una dintre condițiile prevăzute la alineatul (1), sucursala respectivă este considerată ca aparținând clasei 1 numai după o perioadă de patru luni de la data la care a început să îndeplinească condițiile respective.</w:t>
            </w:r>
          </w:p>
        </w:tc>
        <w:tc>
          <w:tcPr>
            <w:tcW w:w="1834" w:type="pct"/>
            <w:tcBorders>
              <w:top w:val="single" w:sz="4" w:space="0" w:color="auto"/>
              <w:left w:val="single" w:sz="4" w:space="0" w:color="auto"/>
              <w:bottom w:val="single" w:sz="4" w:space="0" w:color="auto"/>
              <w:right w:val="single" w:sz="4" w:space="0" w:color="auto"/>
            </w:tcBorders>
          </w:tcPr>
          <w:p w14:paraId="586F7CCE" w14:textId="73156AB6" w:rsidR="00F17D19" w:rsidRPr="009E686F" w:rsidRDefault="00F17D19" w:rsidP="00265766">
            <w:pPr>
              <w:spacing w:after="0"/>
              <w:jc w:val="both"/>
              <w:rPr>
                <w:rFonts w:ascii="Times New Roman" w:hAnsi="Times New Roman" w:cs="Times New Roman"/>
                <w:i/>
                <w:lang w:val="it-CH"/>
              </w:rPr>
            </w:pPr>
            <w:r w:rsidRPr="009E686F">
              <w:rPr>
                <w:rFonts w:ascii="Times New Roman" w:hAnsi="Times New Roman" w:cs="Times New Roman"/>
                <w:i/>
                <w:lang w:val="it-CH"/>
              </w:rPr>
              <w:t>b) în cazul în care o sucursală dintr-un stat terț din clasa 2 începe să îndeplinească una dintre condițiile prevăzute la alin. (1), sucursala respectivă este considerată ca aparținând clasei 1 numai după o perioadă de 4 luni de la data la care a început să îndeplinească condițiile respective.</w:t>
            </w:r>
          </w:p>
        </w:tc>
        <w:tc>
          <w:tcPr>
            <w:tcW w:w="470" w:type="pct"/>
            <w:tcBorders>
              <w:top w:val="single" w:sz="4" w:space="0" w:color="auto"/>
              <w:left w:val="single" w:sz="4" w:space="0" w:color="auto"/>
              <w:bottom w:val="single" w:sz="4" w:space="0" w:color="auto"/>
              <w:right w:val="single" w:sz="4" w:space="0" w:color="auto"/>
            </w:tcBorders>
          </w:tcPr>
          <w:p w14:paraId="4813D323" w14:textId="7B9E7B32" w:rsidR="00F17D19" w:rsidRPr="009E686F" w:rsidRDefault="00F17D19" w:rsidP="00265766">
            <w:pPr>
              <w:jc w:val="both"/>
              <w:rPr>
                <w:rFonts w:ascii="Times New Roman" w:hAnsi="Times New Roman" w:cs="Times New Roman"/>
                <w:lang w:val="it-IT"/>
              </w:rPr>
            </w:pPr>
            <w:r w:rsidRPr="009E686F">
              <w:rPr>
                <w:rFonts w:ascii="Times New Roman" w:hAnsi="Times New Roman" w:cs="Times New Roman"/>
                <w:lang w:val="it-CH"/>
              </w:rPr>
              <w:t>Compatibil</w:t>
            </w:r>
          </w:p>
        </w:tc>
        <w:tc>
          <w:tcPr>
            <w:tcW w:w="806" w:type="pct"/>
            <w:vMerge/>
            <w:tcBorders>
              <w:left w:val="single" w:sz="4" w:space="0" w:color="auto"/>
              <w:bottom w:val="single" w:sz="4" w:space="0" w:color="auto"/>
              <w:right w:val="single" w:sz="4" w:space="0" w:color="auto"/>
            </w:tcBorders>
          </w:tcPr>
          <w:p w14:paraId="3B97B98F" w14:textId="77777777" w:rsidR="00F17D19" w:rsidRPr="009E686F" w:rsidRDefault="00F17D19" w:rsidP="00265766">
            <w:pPr>
              <w:spacing w:after="0"/>
              <w:jc w:val="both"/>
              <w:rPr>
                <w:rFonts w:ascii="Times New Roman" w:hAnsi="Times New Roman" w:cs="Times New Roman"/>
                <w:lang w:val="it-IT"/>
              </w:rPr>
            </w:pPr>
          </w:p>
        </w:tc>
      </w:tr>
      <w:tr w:rsidR="00265766" w:rsidRPr="009E686F" w14:paraId="44C406EB" w14:textId="77777777" w:rsidTr="00960C23">
        <w:tc>
          <w:tcPr>
            <w:tcW w:w="1890" w:type="pct"/>
            <w:tcBorders>
              <w:top w:val="single" w:sz="4" w:space="0" w:color="auto"/>
              <w:left w:val="single" w:sz="4" w:space="0" w:color="auto"/>
              <w:bottom w:val="single" w:sz="4" w:space="0" w:color="auto"/>
              <w:right w:val="single" w:sz="4" w:space="0" w:color="auto"/>
            </w:tcBorders>
          </w:tcPr>
          <w:p w14:paraId="05A69E0F" w14:textId="47CF14C3" w:rsidR="00265766" w:rsidRPr="009E686F" w:rsidDel="002D6675" w:rsidRDefault="00265766" w:rsidP="00265766">
            <w:pPr>
              <w:spacing w:after="0"/>
              <w:jc w:val="both"/>
              <w:rPr>
                <w:rFonts w:ascii="Times New Roman" w:hAnsi="Times New Roman" w:cs="Times New Roman"/>
                <w:lang w:val="it-IT"/>
              </w:rPr>
            </w:pPr>
            <w:r w:rsidRPr="009E686F">
              <w:rPr>
                <w:rFonts w:ascii="Times New Roman" w:hAnsi="Times New Roman" w:cs="Times New Roman"/>
              </w:rPr>
              <w:t xml:space="preserve">(4) Statele membre pot aplica sucursalelor din țări terțe autorizate pe teritoriul lor sau anumitor categorii ale acestora aceleași cerințe care se aplică instituțiilor de credit autorizate în temeiul prezentei directive, în locul cerințelor prevăzute în prezentul titlu. </w:t>
            </w:r>
            <w:r w:rsidRPr="009E686F">
              <w:rPr>
                <w:rFonts w:ascii="Times New Roman" w:hAnsi="Times New Roman" w:cs="Times New Roman"/>
                <w:lang w:val="it-IT"/>
              </w:rPr>
              <w:t>În cazul în care tratamentul prevăzut la prezentul alineat se aplică numai anumitor categorii de sucursale din țări terțe, statele membre stabilesc criteriile de clasificare relevante în scopul tratamentului respectiv. Alineatele (1), (2) și (3) de la prezentul articol nu se aplică respectivelor sucursale din țări terțe, cu excepția cazurilor prevăzute la articolul 48p.</w:t>
            </w:r>
          </w:p>
        </w:tc>
        <w:tc>
          <w:tcPr>
            <w:tcW w:w="1834" w:type="pct"/>
            <w:tcBorders>
              <w:top w:val="single" w:sz="4" w:space="0" w:color="auto"/>
              <w:left w:val="single" w:sz="4" w:space="0" w:color="auto"/>
              <w:bottom w:val="single" w:sz="4" w:space="0" w:color="auto"/>
              <w:right w:val="single" w:sz="4" w:space="0" w:color="auto"/>
            </w:tcBorders>
          </w:tcPr>
          <w:p w14:paraId="7BCBB039" w14:textId="77777777" w:rsidR="00265766" w:rsidRPr="009E686F" w:rsidRDefault="00265766" w:rsidP="00265766">
            <w:pPr>
              <w:spacing w:after="0"/>
              <w:jc w:val="both"/>
              <w:rPr>
                <w:rFonts w:ascii="Times New Roman" w:hAnsi="Times New Roman" w:cs="Times New Roman"/>
                <w:b/>
                <w:lang w:val="it-IT"/>
              </w:rPr>
            </w:pPr>
          </w:p>
        </w:tc>
        <w:tc>
          <w:tcPr>
            <w:tcW w:w="470" w:type="pct"/>
            <w:tcBorders>
              <w:top w:val="single" w:sz="4" w:space="0" w:color="auto"/>
              <w:left w:val="single" w:sz="4" w:space="0" w:color="auto"/>
              <w:bottom w:val="single" w:sz="4" w:space="0" w:color="auto"/>
              <w:right w:val="single" w:sz="4" w:space="0" w:color="auto"/>
            </w:tcBorders>
          </w:tcPr>
          <w:p w14:paraId="50347C08" w14:textId="7FE3FD3F" w:rsidR="00265766" w:rsidRPr="009E686F" w:rsidRDefault="00265766" w:rsidP="00265766">
            <w:pPr>
              <w:jc w:val="both"/>
              <w:rPr>
                <w:rFonts w:ascii="Times New Roman" w:hAnsi="Times New Roman" w:cs="Times New Roman"/>
                <w:lang w:val="it-IT"/>
              </w:rPr>
            </w:pPr>
            <w:r w:rsidRPr="009E686F">
              <w:rPr>
                <w:rFonts w:ascii="Times New Roman" w:hAnsi="Times New Roman" w:cs="Times New Roman"/>
                <w:lang w:val="it-IT"/>
              </w:rPr>
              <w:t>Norme UE netranspuse</w:t>
            </w:r>
          </w:p>
        </w:tc>
        <w:tc>
          <w:tcPr>
            <w:tcW w:w="806" w:type="pct"/>
            <w:tcBorders>
              <w:top w:val="single" w:sz="4" w:space="0" w:color="auto"/>
              <w:left w:val="single" w:sz="4" w:space="0" w:color="auto"/>
              <w:bottom w:val="single" w:sz="4" w:space="0" w:color="auto"/>
              <w:right w:val="single" w:sz="4" w:space="0" w:color="auto"/>
            </w:tcBorders>
          </w:tcPr>
          <w:p w14:paraId="08872C88" w14:textId="5B5FFD3F" w:rsidR="00265766" w:rsidRPr="009E686F" w:rsidRDefault="00265766" w:rsidP="00265766">
            <w:pPr>
              <w:spacing w:after="0"/>
              <w:jc w:val="both"/>
              <w:rPr>
                <w:rFonts w:ascii="Times New Roman" w:hAnsi="Times New Roman" w:cs="Times New Roman"/>
                <w:lang w:val="ro-RO"/>
              </w:rPr>
            </w:pPr>
            <w:r w:rsidRPr="009E686F">
              <w:rPr>
                <w:rFonts w:ascii="Times New Roman" w:hAnsi="Times New Roman" w:cs="Times New Roman"/>
                <w:lang w:val="it-IT"/>
              </w:rPr>
              <w:t>O</w:t>
            </w:r>
            <w:r w:rsidRPr="009E686F">
              <w:rPr>
                <w:rFonts w:ascii="Times New Roman" w:hAnsi="Times New Roman" w:cs="Times New Roman"/>
                <w:lang w:val="ro-RO"/>
              </w:rPr>
              <w:t>pțiune neexercitată.</w:t>
            </w:r>
          </w:p>
        </w:tc>
      </w:tr>
      <w:tr w:rsidR="0024380F" w:rsidRPr="009E686F" w14:paraId="15B22DDE" w14:textId="77777777" w:rsidTr="00BA5F8D">
        <w:tc>
          <w:tcPr>
            <w:tcW w:w="1890" w:type="pct"/>
            <w:tcBorders>
              <w:top w:val="single" w:sz="4" w:space="0" w:color="auto"/>
              <w:left w:val="single" w:sz="4" w:space="0" w:color="auto"/>
              <w:bottom w:val="single" w:sz="4" w:space="0" w:color="auto"/>
              <w:right w:val="single" w:sz="4" w:space="0" w:color="auto"/>
            </w:tcBorders>
          </w:tcPr>
          <w:p w14:paraId="3A3873E3" w14:textId="77777777" w:rsidR="0024380F" w:rsidRPr="009E686F" w:rsidRDefault="0024380F" w:rsidP="00265766">
            <w:pPr>
              <w:spacing w:after="0"/>
              <w:jc w:val="both"/>
              <w:rPr>
                <w:rFonts w:ascii="Times New Roman" w:hAnsi="Times New Roman" w:cs="Times New Roman"/>
                <w:i/>
                <w:iCs/>
                <w:lang w:val="it-IT"/>
              </w:rPr>
            </w:pPr>
            <w:r w:rsidRPr="009E686F">
              <w:rPr>
                <w:rFonts w:ascii="Times New Roman" w:hAnsi="Times New Roman" w:cs="Times New Roman"/>
                <w:i/>
                <w:iCs/>
                <w:lang w:val="it-IT"/>
              </w:rPr>
              <w:t xml:space="preserve">Articolul 48b </w:t>
            </w:r>
          </w:p>
          <w:p w14:paraId="01489357" w14:textId="632915DC" w:rsidR="0024380F" w:rsidRPr="009E686F" w:rsidRDefault="0024380F" w:rsidP="00265766">
            <w:pPr>
              <w:spacing w:after="0"/>
              <w:jc w:val="both"/>
              <w:rPr>
                <w:rFonts w:ascii="Times New Roman" w:hAnsi="Times New Roman" w:cs="Times New Roman"/>
                <w:lang w:val="it-IT"/>
              </w:rPr>
            </w:pPr>
            <w:r w:rsidRPr="009E686F">
              <w:rPr>
                <w:rFonts w:ascii="Times New Roman" w:hAnsi="Times New Roman" w:cs="Times New Roman"/>
                <w:lang w:val="it-IT"/>
              </w:rPr>
              <w:t xml:space="preserve">Condiții pentru sucursalele </w:t>
            </w:r>
            <w:r w:rsidRPr="009E686F">
              <w:rPr>
                <w:rFonts w:ascii="Times New Roman" w:hAnsi="Times New Roman" w:cs="Times New Roman"/>
                <w:lang w:val="it-CH"/>
              </w:rPr>
              <w:t>calificate din țări terțe</w:t>
            </w:r>
          </w:p>
        </w:tc>
        <w:tc>
          <w:tcPr>
            <w:tcW w:w="1834" w:type="pct"/>
            <w:tcBorders>
              <w:top w:val="single" w:sz="4" w:space="0" w:color="auto"/>
              <w:left w:val="single" w:sz="4" w:space="0" w:color="auto"/>
              <w:bottom w:val="single" w:sz="4" w:space="0" w:color="auto"/>
              <w:right w:val="single" w:sz="4" w:space="0" w:color="auto"/>
            </w:tcBorders>
          </w:tcPr>
          <w:p w14:paraId="062B6BA3" w14:textId="38638219" w:rsidR="0024380F" w:rsidRPr="009E686F" w:rsidRDefault="0024380F" w:rsidP="00265766">
            <w:pPr>
              <w:spacing w:after="0"/>
              <w:jc w:val="both"/>
              <w:rPr>
                <w:rFonts w:ascii="Times New Roman" w:hAnsi="Times New Roman" w:cs="Times New Roman"/>
                <w:b/>
                <w:i/>
                <w:iCs/>
                <w:lang w:val="it-IT"/>
              </w:rPr>
            </w:pPr>
            <w:r w:rsidRPr="009E686F">
              <w:rPr>
                <w:rFonts w:ascii="Times New Roman" w:hAnsi="Times New Roman" w:cs="Times New Roman"/>
                <w:b/>
                <w:lang w:val="it-IT"/>
              </w:rPr>
              <w:t>Articolul 28.</w:t>
            </w:r>
            <w:r w:rsidRPr="009E686F">
              <w:rPr>
                <w:rFonts w:ascii="Times New Roman" w:hAnsi="Times New Roman" w:cs="Times New Roman"/>
                <w:b/>
                <w:i/>
                <w:iCs/>
                <w:lang w:val="it-IT"/>
              </w:rPr>
              <w:t xml:space="preserve"> </w:t>
            </w:r>
            <w:r w:rsidRPr="009E686F">
              <w:rPr>
                <w:rFonts w:ascii="Times New Roman" w:hAnsi="Times New Roman" w:cs="Times New Roman"/>
                <w:bCs/>
                <w:i/>
                <w:iCs/>
                <w:lang w:val="it-IT"/>
              </w:rPr>
              <w:t>Condiții pentru sucursalele calificate din state terțe</w:t>
            </w:r>
          </w:p>
        </w:tc>
        <w:tc>
          <w:tcPr>
            <w:tcW w:w="470" w:type="pct"/>
            <w:tcBorders>
              <w:top w:val="single" w:sz="4" w:space="0" w:color="auto"/>
              <w:left w:val="single" w:sz="4" w:space="0" w:color="auto"/>
              <w:bottom w:val="single" w:sz="4" w:space="0" w:color="auto"/>
              <w:right w:val="single" w:sz="4" w:space="0" w:color="auto"/>
            </w:tcBorders>
          </w:tcPr>
          <w:p w14:paraId="4ACD0529" w14:textId="29AF1025" w:rsidR="0024380F" w:rsidRPr="009E686F" w:rsidRDefault="0024380F" w:rsidP="00265766">
            <w:pPr>
              <w:jc w:val="both"/>
              <w:rPr>
                <w:rFonts w:ascii="Times New Roman" w:hAnsi="Times New Roman" w:cs="Times New Roman"/>
                <w:lang w:val="it-IT"/>
              </w:rPr>
            </w:pPr>
            <w:r w:rsidRPr="009E686F">
              <w:rPr>
                <w:rFonts w:ascii="Times New Roman" w:hAnsi="Times New Roman" w:cs="Times New Roman"/>
                <w:lang w:val="it-CH"/>
              </w:rPr>
              <w:t>Compatibil</w:t>
            </w:r>
          </w:p>
        </w:tc>
        <w:tc>
          <w:tcPr>
            <w:tcW w:w="806" w:type="pct"/>
            <w:vMerge w:val="restart"/>
            <w:tcBorders>
              <w:top w:val="single" w:sz="4" w:space="0" w:color="auto"/>
              <w:left w:val="single" w:sz="4" w:space="0" w:color="auto"/>
              <w:right w:val="single" w:sz="4" w:space="0" w:color="auto"/>
            </w:tcBorders>
          </w:tcPr>
          <w:p w14:paraId="333F7E21" w14:textId="77777777" w:rsidR="0024380F" w:rsidRPr="009E686F" w:rsidRDefault="0024380F" w:rsidP="0024380F">
            <w:r w:rsidRPr="009E686F">
              <w:rPr>
                <w:rFonts w:ascii="Times New Roman" w:hAnsi="Times New Roman" w:cs="Times New Roman"/>
                <w:lang w:val="ro-RO"/>
              </w:rPr>
              <w:t>În vigoare – data aderării.</w:t>
            </w:r>
          </w:p>
          <w:p w14:paraId="364BD188" w14:textId="77777777" w:rsidR="0024380F" w:rsidRPr="009E686F" w:rsidRDefault="0024380F" w:rsidP="00265766">
            <w:pPr>
              <w:spacing w:after="0"/>
              <w:jc w:val="both"/>
              <w:rPr>
                <w:rFonts w:ascii="Times New Roman" w:hAnsi="Times New Roman" w:cs="Times New Roman"/>
                <w:lang w:val="it-IT"/>
              </w:rPr>
            </w:pPr>
          </w:p>
        </w:tc>
      </w:tr>
      <w:tr w:rsidR="0024380F" w:rsidRPr="009E686F" w14:paraId="1C76B264" w14:textId="77777777" w:rsidTr="00BA5F8D">
        <w:tc>
          <w:tcPr>
            <w:tcW w:w="1890" w:type="pct"/>
            <w:tcBorders>
              <w:top w:val="single" w:sz="4" w:space="0" w:color="auto"/>
              <w:left w:val="single" w:sz="4" w:space="0" w:color="auto"/>
              <w:bottom w:val="single" w:sz="4" w:space="0" w:color="auto"/>
              <w:right w:val="single" w:sz="4" w:space="0" w:color="auto"/>
            </w:tcBorders>
          </w:tcPr>
          <w:p w14:paraId="729EFDE3" w14:textId="490F1E46" w:rsidR="0024380F" w:rsidRPr="009E686F" w:rsidDel="002D6675" w:rsidRDefault="0024380F" w:rsidP="00265766">
            <w:pPr>
              <w:spacing w:after="0"/>
              <w:jc w:val="both"/>
              <w:rPr>
                <w:rFonts w:ascii="Times New Roman" w:hAnsi="Times New Roman" w:cs="Times New Roman"/>
              </w:rPr>
            </w:pPr>
            <w:r w:rsidRPr="009E686F">
              <w:rPr>
                <w:rFonts w:ascii="Times New Roman" w:hAnsi="Times New Roman" w:cs="Times New Roman"/>
              </w:rPr>
              <w:t>(1) În cazul în care sunt îndeplinite următoarele condiții în legătură cu o sucursală dintr-o țară terță, sucursala respectivă este considerată sucursală calificată dintr-o țară terță în sensul prezentului titlu:</w:t>
            </w:r>
          </w:p>
        </w:tc>
        <w:tc>
          <w:tcPr>
            <w:tcW w:w="1834" w:type="pct"/>
            <w:tcBorders>
              <w:top w:val="single" w:sz="4" w:space="0" w:color="auto"/>
              <w:left w:val="single" w:sz="4" w:space="0" w:color="auto"/>
              <w:bottom w:val="single" w:sz="4" w:space="0" w:color="auto"/>
              <w:right w:val="single" w:sz="4" w:space="0" w:color="auto"/>
            </w:tcBorders>
          </w:tcPr>
          <w:p w14:paraId="180BEF52" w14:textId="4EA25D13" w:rsidR="0024380F" w:rsidRPr="009E686F" w:rsidRDefault="0024380F" w:rsidP="00265766">
            <w:pPr>
              <w:spacing w:after="0"/>
              <w:jc w:val="both"/>
              <w:rPr>
                <w:rFonts w:ascii="Times New Roman" w:hAnsi="Times New Roman" w:cs="Times New Roman"/>
                <w:bCs/>
                <w:i/>
                <w:iCs/>
              </w:rPr>
            </w:pPr>
            <w:r w:rsidRPr="009E686F">
              <w:rPr>
                <w:rFonts w:ascii="Times New Roman" w:hAnsi="Times New Roman" w:cs="Times New Roman"/>
                <w:bCs/>
                <w:i/>
                <w:iCs/>
              </w:rPr>
              <w:t>(1) În sensul prezentului capitol, este considerată sucursală calificată dintr-un stat terț dacă sunt îndeplinite următoarele condiții în legătură cu o sucursală dintr-un stat terț:</w:t>
            </w:r>
          </w:p>
        </w:tc>
        <w:tc>
          <w:tcPr>
            <w:tcW w:w="470" w:type="pct"/>
            <w:tcBorders>
              <w:top w:val="single" w:sz="4" w:space="0" w:color="auto"/>
              <w:left w:val="single" w:sz="4" w:space="0" w:color="auto"/>
              <w:bottom w:val="single" w:sz="4" w:space="0" w:color="auto"/>
              <w:right w:val="single" w:sz="4" w:space="0" w:color="auto"/>
            </w:tcBorders>
          </w:tcPr>
          <w:p w14:paraId="1CE8ECF7" w14:textId="3C0B34D5" w:rsidR="0024380F" w:rsidRPr="009E686F" w:rsidRDefault="0024380F" w:rsidP="00265766">
            <w:pPr>
              <w:jc w:val="both"/>
              <w:rPr>
                <w:rFonts w:ascii="Times New Roman" w:hAnsi="Times New Roman" w:cs="Times New Roman"/>
                <w:lang w:val="it-IT"/>
              </w:rPr>
            </w:pPr>
            <w:r w:rsidRPr="009E686F">
              <w:rPr>
                <w:rFonts w:ascii="Times New Roman" w:hAnsi="Times New Roman" w:cs="Times New Roman"/>
                <w:lang w:val="it-CH"/>
              </w:rPr>
              <w:t>Compatibil</w:t>
            </w:r>
          </w:p>
        </w:tc>
        <w:tc>
          <w:tcPr>
            <w:tcW w:w="806" w:type="pct"/>
            <w:vMerge/>
            <w:tcBorders>
              <w:left w:val="single" w:sz="4" w:space="0" w:color="auto"/>
              <w:right w:val="single" w:sz="4" w:space="0" w:color="auto"/>
            </w:tcBorders>
          </w:tcPr>
          <w:p w14:paraId="2ED780D8" w14:textId="77777777" w:rsidR="0024380F" w:rsidRPr="009E686F" w:rsidRDefault="0024380F" w:rsidP="00265766">
            <w:pPr>
              <w:spacing w:after="0"/>
              <w:jc w:val="both"/>
              <w:rPr>
                <w:rFonts w:ascii="Times New Roman" w:hAnsi="Times New Roman" w:cs="Times New Roman"/>
                <w:lang w:val="it-IT"/>
              </w:rPr>
            </w:pPr>
          </w:p>
        </w:tc>
      </w:tr>
      <w:tr w:rsidR="0024380F" w:rsidRPr="009E686F" w14:paraId="77944FE9" w14:textId="77777777" w:rsidTr="00BA5F8D">
        <w:tc>
          <w:tcPr>
            <w:tcW w:w="1890" w:type="pct"/>
            <w:tcBorders>
              <w:top w:val="single" w:sz="4" w:space="0" w:color="auto"/>
              <w:left w:val="single" w:sz="4" w:space="0" w:color="auto"/>
              <w:bottom w:val="single" w:sz="4" w:space="0" w:color="auto"/>
              <w:right w:val="single" w:sz="4" w:space="0" w:color="auto"/>
            </w:tcBorders>
          </w:tcPr>
          <w:p w14:paraId="2AB81DB2" w14:textId="314D9FEB" w:rsidR="0024380F" w:rsidRPr="009E686F" w:rsidDel="002D6675" w:rsidRDefault="0024380F" w:rsidP="00265766">
            <w:pPr>
              <w:spacing w:after="0"/>
              <w:jc w:val="both"/>
              <w:rPr>
                <w:rFonts w:ascii="Times New Roman" w:hAnsi="Times New Roman" w:cs="Times New Roman"/>
              </w:rPr>
            </w:pPr>
            <w:r w:rsidRPr="009E686F">
              <w:rPr>
                <w:rFonts w:ascii="Times New Roman" w:hAnsi="Times New Roman" w:cs="Times New Roman"/>
              </w:rPr>
              <w:lastRenderedPageBreak/>
              <w:t>(a) întreprinderea principală este stabilită într-o țară care aplică standarde prudențiale și un regim de supraveghere în conformitate cu cadrul de reglementare bancară al țării terțe care sunt cel puțin echivalente cu prezenta directivă și cu Regulamentul (UE) nr. 575/2013;</w:t>
            </w:r>
          </w:p>
        </w:tc>
        <w:tc>
          <w:tcPr>
            <w:tcW w:w="1834" w:type="pct"/>
            <w:tcBorders>
              <w:top w:val="single" w:sz="4" w:space="0" w:color="auto"/>
              <w:left w:val="single" w:sz="4" w:space="0" w:color="auto"/>
              <w:bottom w:val="single" w:sz="4" w:space="0" w:color="auto"/>
              <w:right w:val="single" w:sz="4" w:space="0" w:color="auto"/>
            </w:tcBorders>
          </w:tcPr>
          <w:p w14:paraId="6FEA89F5" w14:textId="0B3204BD" w:rsidR="0024380F" w:rsidRPr="009E686F" w:rsidRDefault="0024380F" w:rsidP="00265766">
            <w:pPr>
              <w:spacing w:after="0"/>
              <w:jc w:val="both"/>
              <w:rPr>
                <w:rFonts w:ascii="Times New Roman" w:hAnsi="Times New Roman" w:cs="Times New Roman"/>
                <w:i/>
              </w:rPr>
            </w:pPr>
            <w:r w:rsidRPr="009E686F">
              <w:rPr>
                <w:rFonts w:ascii="Times New Roman" w:hAnsi="Times New Roman" w:cs="Times New Roman"/>
                <w:i/>
              </w:rPr>
              <w:t>a) întreprinderea principală este înființată într-un stat care aplică standarde prudențiale și un regim de supraveghere în conformitate cu reglementările bancare ale statului terț care sunt cel puțin echivalente cu reglementările aplicate în UE;</w:t>
            </w:r>
          </w:p>
        </w:tc>
        <w:tc>
          <w:tcPr>
            <w:tcW w:w="470" w:type="pct"/>
            <w:tcBorders>
              <w:top w:val="single" w:sz="4" w:space="0" w:color="auto"/>
              <w:left w:val="single" w:sz="4" w:space="0" w:color="auto"/>
              <w:bottom w:val="single" w:sz="4" w:space="0" w:color="auto"/>
              <w:right w:val="single" w:sz="4" w:space="0" w:color="auto"/>
            </w:tcBorders>
          </w:tcPr>
          <w:p w14:paraId="13BB6E1F" w14:textId="14F69D9B" w:rsidR="0024380F" w:rsidRPr="009E686F" w:rsidRDefault="0024380F" w:rsidP="00265766">
            <w:pPr>
              <w:jc w:val="both"/>
              <w:rPr>
                <w:rFonts w:ascii="Times New Roman" w:hAnsi="Times New Roman" w:cs="Times New Roman"/>
                <w:lang w:val="it-IT"/>
              </w:rPr>
            </w:pPr>
            <w:r w:rsidRPr="009E686F">
              <w:rPr>
                <w:rFonts w:ascii="Times New Roman" w:hAnsi="Times New Roman" w:cs="Times New Roman"/>
                <w:lang w:val="it-CH"/>
              </w:rPr>
              <w:t>Compatibil</w:t>
            </w:r>
          </w:p>
        </w:tc>
        <w:tc>
          <w:tcPr>
            <w:tcW w:w="806" w:type="pct"/>
            <w:vMerge/>
            <w:tcBorders>
              <w:left w:val="single" w:sz="4" w:space="0" w:color="auto"/>
              <w:right w:val="single" w:sz="4" w:space="0" w:color="auto"/>
            </w:tcBorders>
          </w:tcPr>
          <w:p w14:paraId="187C6751" w14:textId="77777777" w:rsidR="0024380F" w:rsidRPr="009E686F" w:rsidRDefault="0024380F" w:rsidP="00265766">
            <w:pPr>
              <w:spacing w:after="0"/>
              <w:jc w:val="both"/>
              <w:rPr>
                <w:rFonts w:ascii="Times New Roman" w:hAnsi="Times New Roman" w:cs="Times New Roman"/>
                <w:lang w:val="it-IT"/>
              </w:rPr>
            </w:pPr>
          </w:p>
        </w:tc>
      </w:tr>
      <w:tr w:rsidR="0024380F" w:rsidRPr="009E686F" w14:paraId="0D588CC4" w14:textId="77777777" w:rsidTr="00BA5F8D">
        <w:tc>
          <w:tcPr>
            <w:tcW w:w="1890" w:type="pct"/>
            <w:tcBorders>
              <w:top w:val="single" w:sz="4" w:space="0" w:color="auto"/>
              <w:left w:val="single" w:sz="4" w:space="0" w:color="auto"/>
              <w:bottom w:val="single" w:sz="4" w:space="0" w:color="auto"/>
              <w:right w:val="single" w:sz="4" w:space="0" w:color="auto"/>
            </w:tcBorders>
          </w:tcPr>
          <w:p w14:paraId="7F6DB13F" w14:textId="729501E2" w:rsidR="0024380F" w:rsidRPr="009E686F" w:rsidDel="002D6675" w:rsidRDefault="0024380F" w:rsidP="00265766">
            <w:pPr>
              <w:spacing w:after="0"/>
              <w:jc w:val="both"/>
              <w:rPr>
                <w:rFonts w:ascii="Times New Roman" w:hAnsi="Times New Roman" w:cs="Times New Roman"/>
              </w:rPr>
            </w:pPr>
            <w:r w:rsidRPr="009E686F">
              <w:rPr>
                <w:rFonts w:ascii="Times New Roman" w:hAnsi="Times New Roman" w:cs="Times New Roman"/>
              </w:rPr>
              <w:t>(b) autoritățile responsabile cu supravegherea întreprinderii principale fac obiectul unor cerințe de confidențialitate care sunt cel puțin echivalente cu cerințele prevăzute în titlul VII capitolul 1 secțiunea II din prezenta directivă;</w:t>
            </w:r>
          </w:p>
        </w:tc>
        <w:tc>
          <w:tcPr>
            <w:tcW w:w="1834" w:type="pct"/>
            <w:tcBorders>
              <w:top w:val="single" w:sz="4" w:space="0" w:color="auto"/>
              <w:left w:val="single" w:sz="4" w:space="0" w:color="auto"/>
              <w:bottom w:val="single" w:sz="4" w:space="0" w:color="auto"/>
              <w:right w:val="single" w:sz="4" w:space="0" w:color="auto"/>
            </w:tcBorders>
          </w:tcPr>
          <w:p w14:paraId="5C718534" w14:textId="6444700B" w:rsidR="0024380F" w:rsidRPr="009E686F" w:rsidRDefault="0024380F" w:rsidP="00265766">
            <w:pPr>
              <w:spacing w:after="0"/>
              <w:jc w:val="both"/>
              <w:rPr>
                <w:rFonts w:ascii="Times New Roman" w:hAnsi="Times New Roman" w:cs="Times New Roman"/>
                <w:b/>
                <w:i/>
                <w:lang w:val="it-CH"/>
              </w:rPr>
            </w:pPr>
            <w:r w:rsidRPr="009E686F">
              <w:rPr>
                <w:rFonts w:ascii="Times New Roman" w:hAnsi="Times New Roman" w:cs="Times New Roman"/>
                <w:i/>
                <w:lang w:val="it-CH"/>
              </w:rPr>
              <w:t>b) autoritățile responsabile cu supravegherea întreprinderii principale fac obiectul unor cerințe de confidențialitate care sunt cel puțin echivalente cu cele prevăzute la art. 126;</w:t>
            </w:r>
          </w:p>
        </w:tc>
        <w:tc>
          <w:tcPr>
            <w:tcW w:w="470" w:type="pct"/>
            <w:tcBorders>
              <w:top w:val="single" w:sz="4" w:space="0" w:color="auto"/>
              <w:left w:val="single" w:sz="4" w:space="0" w:color="auto"/>
              <w:bottom w:val="single" w:sz="4" w:space="0" w:color="auto"/>
              <w:right w:val="single" w:sz="4" w:space="0" w:color="auto"/>
            </w:tcBorders>
          </w:tcPr>
          <w:p w14:paraId="0A101487" w14:textId="3B0F1114" w:rsidR="0024380F" w:rsidRPr="009E686F" w:rsidRDefault="0024380F" w:rsidP="00265766">
            <w:pPr>
              <w:jc w:val="both"/>
              <w:rPr>
                <w:rFonts w:ascii="Times New Roman" w:hAnsi="Times New Roman" w:cs="Times New Roman"/>
                <w:lang w:val="it-IT"/>
              </w:rPr>
            </w:pPr>
            <w:r w:rsidRPr="009E686F">
              <w:rPr>
                <w:rFonts w:ascii="Times New Roman" w:hAnsi="Times New Roman" w:cs="Times New Roman"/>
                <w:lang w:val="it-CH"/>
              </w:rPr>
              <w:t>Compatibil</w:t>
            </w:r>
          </w:p>
        </w:tc>
        <w:tc>
          <w:tcPr>
            <w:tcW w:w="806" w:type="pct"/>
            <w:vMerge/>
            <w:tcBorders>
              <w:left w:val="single" w:sz="4" w:space="0" w:color="auto"/>
              <w:right w:val="single" w:sz="4" w:space="0" w:color="auto"/>
            </w:tcBorders>
          </w:tcPr>
          <w:p w14:paraId="25F04374" w14:textId="77777777" w:rsidR="0024380F" w:rsidRPr="009E686F" w:rsidRDefault="0024380F" w:rsidP="00265766">
            <w:pPr>
              <w:spacing w:after="0"/>
              <w:jc w:val="both"/>
              <w:rPr>
                <w:rFonts w:ascii="Times New Roman" w:hAnsi="Times New Roman" w:cs="Times New Roman"/>
                <w:lang w:val="it-IT"/>
              </w:rPr>
            </w:pPr>
          </w:p>
        </w:tc>
      </w:tr>
      <w:tr w:rsidR="0024380F" w:rsidRPr="009E686F" w14:paraId="5D675577" w14:textId="77777777" w:rsidTr="00BA5F8D">
        <w:tc>
          <w:tcPr>
            <w:tcW w:w="1890" w:type="pct"/>
            <w:tcBorders>
              <w:top w:val="single" w:sz="4" w:space="0" w:color="auto"/>
              <w:left w:val="single" w:sz="4" w:space="0" w:color="auto"/>
              <w:bottom w:val="single" w:sz="4" w:space="0" w:color="auto"/>
              <w:right w:val="single" w:sz="4" w:space="0" w:color="auto"/>
            </w:tcBorders>
          </w:tcPr>
          <w:p w14:paraId="16E926F9" w14:textId="4D056B34" w:rsidR="0024380F" w:rsidRPr="009E686F" w:rsidDel="002D6675" w:rsidRDefault="0024380F" w:rsidP="00265766">
            <w:pPr>
              <w:spacing w:after="0"/>
              <w:jc w:val="both"/>
              <w:rPr>
                <w:rFonts w:ascii="Times New Roman" w:hAnsi="Times New Roman" w:cs="Times New Roman"/>
              </w:rPr>
            </w:pPr>
            <w:r w:rsidRPr="009E686F">
              <w:rPr>
                <w:rFonts w:ascii="Times New Roman" w:hAnsi="Times New Roman" w:cs="Times New Roman"/>
              </w:rPr>
              <w:t>(c) întreprinderea principală este stabilită într-o țară care nu este considerată țară terță cu grad înalt de risc care are deficiențe strategice în regimul său privind combaterea spălării banilor și a finanțării terorismului, în conformitate cu articolul 9 din Directiva (UE) 2015/849.</w:t>
            </w:r>
          </w:p>
        </w:tc>
        <w:tc>
          <w:tcPr>
            <w:tcW w:w="1834" w:type="pct"/>
            <w:tcBorders>
              <w:top w:val="single" w:sz="4" w:space="0" w:color="auto"/>
              <w:left w:val="single" w:sz="4" w:space="0" w:color="auto"/>
              <w:bottom w:val="single" w:sz="4" w:space="0" w:color="auto"/>
              <w:right w:val="single" w:sz="4" w:space="0" w:color="auto"/>
            </w:tcBorders>
          </w:tcPr>
          <w:p w14:paraId="602CD808" w14:textId="42D4455D" w:rsidR="0024380F" w:rsidRPr="009E686F" w:rsidRDefault="0024380F" w:rsidP="00265766">
            <w:pPr>
              <w:spacing w:after="0"/>
              <w:jc w:val="both"/>
              <w:rPr>
                <w:rFonts w:ascii="Times New Roman" w:hAnsi="Times New Roman" w:cs="Times New Roman"/>
                <w:bCs/>
                <w:i/>
                <w:iCs/>
              </w:rPr>
            </w:pPr>
            <w:r w:rsidRPr="009E686F">
              <w:rPr>
                <w:rFonts w:ascii="Times New Roman" w:hAnsi="Times New Roman" w:cs="Times New Roman"/>
                <w:bCs/>
                <w:i/>
                <w:iCs/>
              </w:rPr>
              <w:t>c) întreprinderea principală este înființată într-un stat care nu este considerat stat terț cu grad înalt de risc care are deficiențe strategice în regimul său privind combaterea spălării banilor și a finanțării terorismului, în conformitate cu legislația în domeniul prevenirii și combaterii spălării banilor și finanțării terorismului.</w:t>
            </w:r>
          </w:p>
        </w:tc>
        <w:tc>
          <w:tcPr>
            <w:tcW w:w="470" w:type="pct"/>
            <w:tcBorders>
              <w:top w:val="single" w:sz="4" w:space="0" w:color="auto"/>
              <w:left w:val="single" w:sz="4" w:space="0" w:color="auto"/>
              <w:bottom w:val="single" w:sz="4" w:space="0" w:color="auto"/>
              <w:right w:val="single" w:sz="4" w:space="0" w:color="auto"/>
            </w:tcBorders>
          </w:tcPr>
          <w:p w14:paraId="336887BE" w14:textId="4C0EF8EB" w:rsidR="0024380F" w:rsidRPr="009E686F" w:rsidRDefault="0024380F" w:rsidP="00265766">
            <w:pPr>
              <w:jc w:val="both"/>
              <w:rPr>
                <w:rFonts w:ascii="Times New Roman" w:hAnsi="Times New Roman" w:cs="Times New Roman"/>
                <w:lang w:val="it-IT"/>
              </w:rPr>
            </w:pPr>
            <w:r w:rsidRPr="009E686F">
              <w:rPr>
                <w:rFonts w:ascii="Times New Roman" w:hAnsi="Times New Roman" w:cs="Times New Roman"/>
                <w:lang w:val="it-CH"/>
              </w:rPr>
              <w:t>Compatibil</w:t>
            </w:r>
          </w:p>
        </w:tc>
        <w:tc>
          <w:tcPr>
            <w:tcW w:w="806" w:type="pct"/>
            <w:vMerge/>
            <w:tcBorders>
              <w:left w:val="single" w:sz="4" w:space="0" w:color="auto"/>
              <w:bottom w:val="single" w:sz="4" w:space="0" w:color="auto"/>
              <w:right w:val="single" w:sz="4" w:space="0" w:color="auto"/>
            </w:tcBorders>
          </w:tcPr>
          <w:p w14:paraId="4C2C5FE3" w14:textId="77777777" w:rsidR="0024380F" w:rsidRPr="009E686F" w:rsidRDefault="0024380F" w:rsidP="00265766">
            <w:pPr>
              <w:spacing w:after="0"/>
              <w:jc w:val="both"/>
              <w:rPr>
                <w:rFonts w:ascii="Times New Roman" w:hAnsi="Times New Roman" w:cs="Times New Roman"/>
                <w:lang w:val="it-IT"/>
              </w:rPr>
            </w:pPr>
          </w:p>
        </w:tc>
      </w:tr>
      <w:tr w:rsidR="00265766" w:rsidRPr="009E686F" w14:paraId="5E460F63" w14:textId="77777777" w:rsidTr="00960C23">
        <w:tc>
          <w:tcPr>
            <w:tcW w:w="1890" w:type="pct"/>
            <w:tcBorders>
              <w:top w:val="single" w:sz="4" w:space="0" w:color="auto"/>
              <w:left w:val="single" w:sz="4" w:space="0" w:color="auto"/>
              <w:bottom w:val="single" w:sz="4" w:space="0" w:color="auto"/>
              <w:right w:val="single" w:sz="4" w:space="0" w:color="auto"/>
            </w:tcBorders>
          </w:tcPr>
          <w:p w14:paraId="111A6733" w14:textId="11D27B96" w:rsidR="00265766" w:rsidRPr="009E686F" w:rsidDel="002D6675"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(2) Comisia poate adopta, prin intermediul unor acte de punere în aplicare, decizii prin care să stabilească dacă sunt îndeplinite condițiile prevăzute la alineatul (1) literele (a) și (b) de la prezentul articol în ceea ce privește cadrul de reglementare bancară al unei țări terțe. Respectivele acte de punere în aplicare se adoptă în conformitate cu procedura de examinare menționată la articolul 147 alineatul (2).</w:t>
            </w:r>
          </w:p>
        </w:tc>
        <w:tc>
          <w:tcPr>
            <w:tcW w:w="1834" w:type="pct"/>
            <w:tcBorders>
              <w:top w:val="single" w:sz="4" w:space="0" w:color="auto"/>
              <w:left w:val="single" w:sz="4" w:space="0" w:color="auto"/>
              <w:bottom w:val="single" w:sz="4" w:space="0" w:color="auto"/>
              <w:right w:val="single" w:sz="4" w:space="0" w:color="auto"/>
            </w:tcBorders>
          </w:tcPr>
          <w:p w14:paraId="3F0403F8" w14:textId="77777777" w:rsidR="00265766" w:rsidRPr="009E686F" w:rsidRDefault="00265766" w:rsidP="00265766">
            <w:pPr>
              <w:spacing w:after="0"/>
              <w:jc w:val="both"/>
              <w:rPr>
                <w:rFonts w:ascii="Times New Roman" w:hAnsi="Times New Roman" w:cs="Times New Roman"/>
                <w:lang w:val="it-CH"/>
              </w:rPr>
            </w:pPr>
          </w:p>
        </w:tc>
        <w:tc>
          <w:tcPr>
            <w:tcW w:w="470" w:type="pct"/>
            <w:tcBorders>
              <w:top w:val="single" w:sz="4" w:space="0" w:color="auto"/>
              <w:left w:val="single" w:sz="4" w:space="0" w:color="auto"/>
              <w:bottom w:val="single" w:sz="4" w:space="0" w:color="auto"/>
              <w:right w:val="single" w:sz="4" w:space="0" w:color="auto"/>
            </w:tcBorders>
          </w:tcPr>
          <w:p w14:paraId="18192341" w14:textId="1CB89623" w:rsidR="00265766" w:rsidRPr="009E686F" w:rsidRDefault="00265766" w:rsidP="00265766">
            <w:pPr>
              <w:jc w:val="both"/>
              <w:rPr>
                <w:rFonts w:ascii="Times New Roman" w:hAnsi="Times New Roman" w:cs="Times New Roman"/>
                <w:lang w:val="it-IT"/>
              </w:rPr>
            </w:pPr>
            <w:r w:rsidRPr="009E686F">
              <w:rPr>
                <w:rFonts w:ascii="Times New Roman" w:hAnsi="Times New Roman" w:cs="Times New Roman"/>
                <w:lang w:val="it-IT"/>
              </w:rPr>
              <w:t>Norme UE neaplicabile</w:t>
            </w:r>
          </w:p>
        </w:tc>
        <w:tc>
          <w:tcPr>
            <w:tcW w:w="806" w:type="pct"/>
            <w:tcBorders>
              <w:top w:val="single" w:sz="4" w:space="0" w:color="auto"/>
              <w:left w:val="single" w:sz="4" w:space="0" w:color="auto"/>
              <w:bottom w:val="single" w:sz="4" w:space="0" w:color="auto"/>
              <w:right w:val="single" w:sz="4" w:space="0" w:color="auto"/>
            </w:tcBorders>
          </w:tcPr>
          <w:p w14:paraId="176A2625" w14:textId="15D5BE5A" w:rsidR="00265766" w:rsidRPr="009E686F" w:rsidRDefault="00265766" w:rsidP="00265766">
            <w:pPr>
              <w:spacing w:after="0"/>
              <w:jc w:val="both"/>
              <w:rPr>
                <w:rFonts w:ascii="Times New Roman" w:hAnsi="Times New Roman" w:cs="Times New Roman"/>
                <w:lang w:val="it-IT"/>
              </w:rPr>
            </w:pPr>
            <w:r w:rsidRPr="009E686F">
              <w:rPr>
                <w:rFonts w:ascii="Times New Roman" w:hAnsi="Times New Roman" w:cs="Times New Roman"/>
                <w:lang w:val="it-IT"/>
              </w:rPr>
              <w:t>Se referă la competențele Comisiei Europene.</w:t>
            </w:r>
          </w:p>
        </w:tc>
      </w:tr>
      <w:tr w:rsidR="00265766" w:rsidRPr="009E686F" w14:paraId="021F316F" w14:textId="77777777" w:rsidTr="00960C23">
        <w:tc>
          <w:tcPr>
            <w:tcW w:w="1890" w:type="pct"/>
            <w:tcBorders>
              <w:top w:val="single" w:sz="4" w:space="0" w:color="auto"/>
              <w:left w:val="single" w:sz="4" w:space="0" w:color="auto"/>
              <w:bottom w:val="single" w:sz="4" w:space="0" w:color="auto"/>
              <w:right w:val="single" w:sz="4" w:space="0" w:color="auto"/>
            </w:tcBorders>
          </w:tcPr>
          <w:p w14:paraId="50CBE604" w14:textId="24E47D4A" w:rsidR="00265766" w:rsidRPr="009E686F" w:rsidDel="002D6675" w:rsidRDefault="00265766" w:rsidP="00265766">
            <w:pPr>
              <w:spacing w:after="0"/>
              <w:jc w:val="both"/>
              <w:rPr>
                <w:rFonts w:ascii="Times New Roman" w:hAnsi="Times New Roman" w:cs="Times New Roman"/>
                <w:lang w:val="it-IT"/>
              </w:rPr>
            </w:pPr>
            <w:r w:rsidRPr="009E686F">
              <w:rPr>
                <w:rFonts w:ascii="Times New Roman" w:hAnsi="Times New Roman" w:cs="Times New Roman"/>
                <w:lang w:val="it-IT"/>
              </w:rPr>
              <w:t>(3) Înainte de adoptarea deciziei menționate la alineatul (2) de la prezentul articol, Comisia poate solicita asistența ABE în conformitate cu articolul 33 din Regulamentul (UE) nr. 1093/2010 pentru a efectua o evaluare a cadrului de reglementare bancară și a cerințelor de confidențialitate ale țării terțe relevante și pentru a emite un raport privind conformitatea cadrului respectiv și a cerințelor respective cu condițiile prevăzute la alineatul (1) literele (a) și (b) de la prezentul articol. ABE publică rezultatele evaluării sale pe site-ul său web.</w:t>
            </w:r>
          </w:p>
        </w:tc>
        <w:tc>
          <w:tcPr>
            <w:tcW w:w="1834" w:type="pct"/>
            <w:tcBorders>
              <w:top w:val="single" w:sz="4" w:space="0" w:color="auto"/>
              <w:left w:val="single" w:sz="4" w:space="0" w:color="auto"/>
              <w:bottom w:val="single" w:sz="4" w:space="0" w:color="auto"/>
              <w:right w:val="single" w:sz="4" w:space="0" w:color="auto"/>
            </w:tcBorders>
          </w:tcPr>
          <w:p w14:paraId="0384AE4E" w14:textId="77777777" w:rsidR="00265766" w:rsidRPr="009E686F" w:rsidRDefault="00265766" w:rsidP="00265766">
            <w:pPr>
              <w:spacing w:after="0"/>
              <w:jc w:val="both"/>
              <w:rPr>
                <w:rFonts w:ascii="Times New Roman" w:hAnsi="Times New Roman" w:cs="Times New Roman"/>
                <w:b/>
                <w:lang w:val="it-IT"/>
              </w:rPr>
            </w:pPr>
          </w:p>
        </w:tc>
        <w:tc>
          <w:tcPr>
            <w:tcW w:w="470" w:type="pct"/>
            <w:tcBorders>
              <w:top w:val="single" w:sz="4" w:space="0" w:color="auto"/>
              <w:left w:val="single" w:sz="4" w:space="0" w:color="auto"/>
              <w:bottom w:val="single" w:sz="4" w:space="0" w:color="auto"/>
              <w:right w:val="single" w:sz="4" w:space="0" w:color="auto"/>
            </w:tcBorders>
          </w:tcPr>
          <w:p w14:paraId="141FA8BA" w14:textId="5E027DF4" w:rsidR="00265766" w:rsidRPr="009E686F" w:rsidRDefault="00265766" w:rsidP="00265766">
            <w:pPr>
              <w:jc w:val="both"/>
              <w:rPr>
                <w:rFonts w:ascii="Times New Roman" w:hAnsi="Times New Roman" w:cs="Times New Roman"/>
                <w:lang w:val="it-IT"/>
              </w:rPr>
            </w:pPr>
            <w:r w:rsidRPr="009E686F">
              <w:rPr>
                <w:rFonts w:ascii="Times New Roman" w:hAnsi="Times New Roman" w:cs="Times New Roman"/>
                <w:lang w:val="it-IT"/>
              </w:rPr>
              <w:t>Norme UE neaplicabile</w:t>
            </w:r>
          </w:p>
        </w:tc>
        <w:tc>
          <w:tcPr>
            <w:tcW w:w="806" w:type="pct"/>
            <w:tcBorders>
              <w:top w:val="single" w:sz="4" w:space="0" w:color="auto"/>
              <w:left w:val="single" w:sz="4" w:space="0" w:color="auto"/>
              <w:bottom w:val="single" w:sz="4" w:space="0" w:color="auto"/>
              <w:right w:val="single" w:sz="4" w:space="0" w:color="auto"/>
            </w:tcBorders>
          </w:tcPr>
          <w:p w14:paraId="1D989880" w14:textId="5FB06332" w:rsidR="00265766" w:rsidRPr="009E686F" w:rsidRDefault="00265766" w:rsidP="00265766">
            <w:pPr>
              <w:spacing w:after="0"/>
              <w:jc w:val="both"/>
              <w:rPr>
                <w:rFonts w:ascii="Times New Roman" w:hAnsi="Times New Roman" w:cs="Times New Roman"/>
                <w:lang w:val="it-IT"/>
              </w:rPr>
            </w:pPr>
            <w:r w:rsidRPr="009E686F">
              <w:rPr>
                <w:rFonts w:ascii="Times New Roman" w:hAnsi="Times New Roman" w:cs="Times New Roman"/>
                <w:lang w:val="it-IT"/>
              </w:rPr>
              <w:t>Se referă la competențele ABE.</w:t>
            </w:r>
          </w:p>
        </w:tc>
      </w:tr>
      <w:tr w:rsidR="00265766" w:rsidRPr="009E686F" w14:paraId="4460A2D8" w14:textId="77777777" w:rsidTr="00960C23">
        <w:tc>
          <w:tcPr>
            <w:tcW w:w="1890" w:type="pct"/>
            <w:tcBorders>
              <w:top w:val="single" w:sz="4" w:space="0" w:color="auto"/>
              <w:left w:val="single" w:sz="4" w:space="0" w:color="auto"/>
              <w:bottom w:val="single" w:sz="4" w:space="0" w:color="auto"/>
              <w:right w:val="single" w:sz="4" w:space="0" w:color="auto"/>
            </w:tcBorders>
          </w:tcPr>
          <w:p w14:paraId="21846A2D" w14:textId="3A4CE765" w:rsidR="00265766" w:rsidRPr="009E686F" w:rsidDel="002D6675"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lastRenderedPageBreak/>
              <w:t>(4) ABE ține un registru public al țărilor terțe și al autorităților din țările terțe care îndeplinesc condițiile prevăzute la alineatul (1).</w:t>
            </w:r>
          </w:p>
        </w:tc>
        <w:tc>
          <w:tcPr>
            <w:tcW w:w="1834" w:type="pct"/>
            <w:tcBorders>
              <w:top w:val="single" w:sz="4" w:space="0" w:color="auto"/>
              <w:left w:val="single" w:sz="4" w:space="0" w:color="auto"/>
              <w:bottom w:val="single" w:sz="4" w:space="0" w:color="auto"/>
              <w:right w:val="single" w:sz="4" w:space="0" w:color="auto"/>
            </w:tcBorders>
          </w:tcPr>
          <w:p w14:paraId="000A56FF" w14:textId="77777777" w:rsidR="00265766" w:rsidRPr="009E686F" w:rsidRDefault="00265766" w:rsidP="00265766">
            <w:pPr>
              <w:spacing w:after="0"/>
              <w:jc w:val="both"/>
              <w:rPr>
                <w:rFonts w:ascii="Times New Roman" w:hAnsi="Times New Roman" w:cs="Times New Roman"/>
                <w:b/>
                <w:lang w:val="it-CH"/>
              </w:rPr>
            </w:pPr>
          </w:p>
        </w:tc>
        <w:tc>
          <w:tcPr>
            <w:tcW w:w="470" w:type="pct"/>
            <w:tcBorders>
              <w:top w:val="single" w:sz="4" w:space="0" w:color="auto"/>
              <w:left w:val="single" w:sz="4" w:space="0" w:color="auto"/>
              <w:bottom w:val="single" w:sz="4" w:space="0" w:color="auto"/>
              <w:right w:val="single" w:sz="4" w:space="0" w:color="auto"/>
            </w:tcBorders>
          </w:tcPr>
          <w:p w14:paraId="27B82D36" w14:textId="1669B491" w:rsidR="00265766" w:rsidRPr="009E686F" w:rsidRDefault="00265766" w:rsidP="00265766">
            <w:pPr>
              <w:jc w:val="both"/>
              <w:rPr>
                <w:rFonts w:ascii="Times New Roman" w:hAnsi="Times New Roman" w:cs="Times New Roman"/>
                <w:lang w:val="it-IT"/>
              </w:rPr>
            </w:pPr>
            <w:r w:rsidRPr="009E686F">
              <w:rPr>
                <w:rFonts w:ascii="Times New Roman" w:hAnsi="Times New Roman" w:cs="Times New Roman"/>
                <w:lang w:val="it-IT"/>
              </w:rPr>
              <w:t>Norme UE neaplicabile</w:t>
            </w:r>
          </w:p>
        </w:tc>
        <w:tc>
          <w:tcPr>
            <w:tcW w:w="806" w:type="pct"/>
            <w:tcBorders>
              <w:top w:val="single" w:sz="4" w:space="0" w:color="auto"/>
              <w:left w:val="single" w:sz="4" w:space="0" w:color="auto"/>
              <w:bottom w:val="single" w:sz="4" w:space="0" w:color="auto"/>
              <w:right w:val="single" w:sz="4" w:space="0" w:color="auto"/>
            </w:tcBorders>
          </w:tcPr>
          <w:p w14:paraId="5FAB296A" w14:textId="63F24DBC" w:rsidR="00265766" w:rsidRPr="009E686F" w:rsidRDefault="00265766" w:rsidP="00265766">
            <w:pPr>
              <w:spacing w:after="0"/>
              <w:jc w:val="both"/>
              <w:rPr>
                <w:rFonts w:ascii="Times New Roman" w:hAnsi="Times New Roman" w:cs="Times New Roman"/>
                <w:lang w:val="it-IT"/>
              </w:rPr>
            </w:pPr>
            <w:r w:rsidRPr="009E686F">
              <w:rPr>
                <w:rFonts w:ascii="Times New Roman" w:hAnsi="Times New Roman" w:cs="Times New Roman"/>
                <w:lang w:val="it-IT"/>
              </w:rPr>
              <w:t>Se referă la competențele ABE.</w:t>
            </w:r>
          </w:p>
        </w:tc>
      </w:tr>
      <w:tr w:rsidR="00265766" w:rsidRPr="009E686F" w14:paraId="3DCE5EF0" w14:textId="77777777" w:rsidTr="00960C23">
        <w:tc>
          <w:tcPr>
            <w:tcW w:w="1890" w:type="pct"/>
            <w:tcBorders>
              <w:top w:val="single" w:sz="4" w:space="0" w:color="auto"/>
              <w:left w:val="single" w:sz="4" w:space="0" w:color="auto"/>
              <w:bottom w:val="single" w:sz="4" w:space="0" w:color="auto"/>
              <w:right w:val="single" w:sz="4" w:space="0" w:color="auto"/>
            </w:tcBorders>
          </w:tcPr>
          <w:p w14:paraId="15BD0518" w14:textId="07D17559" w:rsidR="00265766" w:rsidRPr="009E686F" w:rsidDel="002D6675"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(5) Atunci când primește o cerere de autorizare în conformitate cu articolul 48c, autoritatea competentă evaluează condițiile prevăzute la alineatul (1) de la prezentul articol și la articolul 48a pentru a clasifica sucursala dintr-o țară terță în clasa 1 sau în clasa 2. În cazul în care țara terță relevantă nu este înscrisă în registrul public menționat la alineatul (4) de la prezentul articol, autoritatea competentă solicită Comisiei să evalueze cadrul de reglementare bancară și cerințele de confidențialitate ale țării terțe în sensul alineatului (2) de la prezentul articol, sub rezerva îndeplinirii condiției menționate la alineatul (1) litera (c) de la prezentul articol. Autoritatea competentă clasifică sucursala dintr-o țară terță în clasa 1 în așteptarea adoptării de către Comisie a unei decizii în conformitate cu alineatul (2) de la prezentul articol.</w:t>
            </w:r>
          </w:p>
        </w:tc>
        <w:tc>
          <w:tcPr>
            <w:tcW w:w="1834" w:type="pct"/>
            <w:tcBorders>
              <w:top w:val="single" w:sz="4" w:space="0" w:color="auto"/>
              <w:left w:val="single" w:sz="4" w:space="0" w:color="auto"/>
              <w:bottom w:val="single" w:sz="4" w:space="0" w:color="auto"/>
              <w:right w:val="single" w:sz="4" w:space="0" w:color="auto"/>
            </w:tcBorders>
          </w:tcPr>
          <w:p w14:paraId="665BB0CA" w14:textId="77777777" w:rsidR="00265766" w:rsidRPr="009E686F" w:rsidRDefault="00265766" w:rsidP="00265766">
            <w:pPr>
              <w:spacing w:after="0"/>
              <w:jc w:val="both"/>
              <w:rPr>
                <w:rFonts w:ascii="Times New Roman" w:hAnsi="Times New Roman" w:cs="Times New Roman"/>
                <w:bCs/>
                <w:i/>
                <w:iCs/>
                <w:lang w:val="it-IT"/>
              </w:rPr>
            </w:pPr>
            <w:r w:rsidRPr="009E686F">
              <w:rPr>
                <w:rFonts w:ascii="Times New Roman" w:hAnsi="Times New Roman" w:cs="Times New Roman"/>
                <w:bCs/>
                <w:i/>
                <w:iCs/>
                <w:lang w:val="it-IT"/>
              </w:rPr>
              <w:t>(2) Banca Națională a Moldovei evaluează condițiile prevăzute la alin. (1) și la art. 26 pentru a clasifica sucursala dintr-un stat terț în clasa 1 sau în clasa 2 la recepționarea unei cereri de autorizare în conformitate cu art. 25. În cazul în care statul terț relevant nu este înscris în registrul public  al statelor terțe și al autorităților competente a statelor terțe care îndeplinesc condițiile prevăzute la alin. (1), ținut de Autoritatea Bancară Europeană, Banca Națională a Moldovei solicită Comisiei Europene să evalueze cadrul de reglementare bancară și cerințele de confidențialitate ale statului terț, sub rezerva îndeplinirii condiției menționate la alin. (1) lit. c).</w:t>
            </w:r>
          </w:p>
          <w:p w14:paraId="344DB9BE" w14:textId="3389CD18" w:rsidR="00265766" w:rsidRPr="009E686F" w:rsidRDefault="00265766" w:rsidP="00265766">
            <w:pPr>
              <w:spacing w:after="0"/>
              <w:jc w:val="both"/>
              <w:rPr>
                <w:rFonts w:ascii="Times New Roman" w:hAnsi="Times New Roman" w:cs="Times New Roman"/>
                <w:bCs/>
                <w:i/>
                <w:iCs/>
                <w:lang w:val="it-IT"/>
              </w:rPr>
            </w:pPr>
            <w:r w:rsidRPr="009E686F">
              <w:rPr>
                <w:rFonts w:ascii="Times New Roman" w:hAnsi="Times New Roman" w:cs="Times New Roman"/>
                <w:bCs/>
                <w:i/>
                <w:iCs/>
                <w:lang w:val="it-IT"/>
              </w:rPr>
              <w:t>(3) Banca Națională a Moldovei clasifică sucursala dintr-un stat terț în clasa 1 în așteptarea adoptării de către Comisia Europeană a unei decizii prin care se stabilește îndeplinirea condițiilor de la alin. (1) în ceea ce privește cadrul de reglementare bancară a unui stat terț.</w:t>
            </w:r>
          </w:p>
        </w:tc>
        <w:tc>
          <w:tcPr>
            <w:tcW w:w="470" w:type="pct"/>
            <w:tcBorders>
              <w:top w:val="single" w:sz="4" w:space="0" w:color="auto"/>
              <w:left w:val="single" w:sz="4" w:space="0" w:color="auto"/>
              <w:bottom w:val="single" w:sz="4" w:space="0" w:color="auto"/>
              <w:right w:val="single" w:sz="4" w:space="0" w:color="auto"/>
            </w:tcBorders>
          </w:tcPr>
          <w:p w14:paraId="24DB7DE6" w14:textId="3208BF80" w:rsidR="00265766" w:rsidRPr="009E686F" w:rsidRDefault="00265766" w:rsidP="00265766">
            <w:pPr>
              <w:jc w:val="both"/>
              <w:rPr>
                <w:rFonts w:ascii="Times New Roman" w:hAnsi="Times New Roman" w:cs="Times New Roman"/>
                <w:lang w:val="it-IT"/>
              </w:rPr>
            </w:pPr>
            <w:r w:rsidRPr="009E686F">
              <w:rPr>
                <w:rFonts w:ascii="Times New Roman" w:hAnsi="Times New Roman" w:cs="Times New Roman"/>
                <w:lang w:val="it-IT"/>
              </w:rPr>
              <w:t>Compatibil</w:t>
            </w:r>
          </w:p>
        </w:tc>
        <w:tc>
          <w:tcPr>
            <w:tcW w:w="806" w:type="pct"/>
            <w:tcBorders>
              <w:top w:val="single" w:sz="4" w:space="0" w:color="auto"/>
              <w:left w:val="single" w:sz="4" w:space="0" w:color="auto"/>
              <w:bottom w:val="single" w:sz="4" w:space="0" w:color="auto"/>
              <w:right w:val="single" w:sz="4" w:space="0" w:color="auto"/>
            </w:tcBorders>
          </w:tcPr>
          <w:p w14:paraId="7ABF1E9C" w14:textId="77777777" w:rsidR="005B0C78" w:rsidRPr="009E686F" w:rsidRDefault="005B0C78" w:rsidP="005B0C78">
            <w:r w:rsidRPr="009E686F">
              <w:rPr>
                <w:rFonts w:ascii="Times New Roman" w:hAnsi="Times New Roman" w:cs="Times New Roman"/>
                <w:lang w:val="ro-RO"/>
              </w:rPr>
              <w:t>În vigoare – data aderării.</w:t>
            </w:r>
          </w:p>
          <w:p w14:paraId="1379AC29" w14:textId="77777777" w:rsidR="00265766" w:rsidRPr="009E686F" w:rsidRDefault="00265766" w:rsidP="00265766">
            <w:pPr>
              <w:spacing w:after="0"/>
              <w:jc w:val="both"/>
              <w:rPr>
                <w:rFonts w:ascii="Times New Roman" w:hAnsi="Times New Roman" w:cs="Times New Roman"/>
                <w:lang w:val="it-IT"/>
              </w:rPr>
            </w:pPr>
          </w:p>
        </w:tc>
      </w:tr>
      <w:tr w:rsidR="00EF4367" w:rsidRPr="009E686F" w14:paraId="4916596F" w14:textId="77777777" w:rsidTr="000F4FAE">
        <w:trPr>
          <w:trHeight w:val="1092"/>
        </w:trPr>
        <w:tc>
          <w:tcPr>
            <w:tcW w:w="1890" w:type="pct"/>
            <w:tcBorders>
              <w:top w:val="single" w:sz="4" w:space="0" w:color="auto"/>
              <w:left w:val="single" w:sz="4" w:space="0" w:color="auto"/>
              <w:right w:val="single" w:sz="4" w:space="0" w:color="auto"/>
            </w:tcBorders>
          </w:tcPr>
          <w:p w14:paraId="124BD9CB" w14:textId="77777777" w:rsidR="00EF4367" w:rsidRPr="009E686F" w:rsidRDefault="00EF4367" w:rsidP="00265766">
            <w:pPr>
              <w:spacing w:after="0"/>
              <w:jc w:val="both"/>
              <w:rPr>
                <w:rFonts w:ascii="Times New Roman" w:hAnsi="Times New Roman" w:cs="Times New Roman"/>
                <w:lang w:val="pt-BR"/>
              </w:rPr>
            </w:pPr>
            <w:r w:rsidRPr="009E686F">
              <w:rPr>
                <w:rFonts w:ascii="Times New Roman" w:hAnsi="Times New Roman" w:cs="Times New Roman"/>
                <w:lang w:val="pt-BR"/>
              </w:rPr>
              <w:t>SECȚIUNEA II</w:t>
            </w:r>
          </w:p>
          <w:p w14:paraId="61868CCA" w14:textId="77777777" w:rsidR="00EF4367" w:rsidRPr="009E686F" w:rsidDel="002D6675" w:rsidRDefault="00EF4367" w:rsidP="00265766">
            <w:pPr>
              <w:spacing w:after="0"/>
              <w:jc w:val="both"/>
              <w:rPr>
                <w:rFonts w:ascii="Times New Roman" w:hAnsi="Times New Roman" w:cs="Times New Roman"/>
                <w:b/>
                <w:bCs/>
                <w:lang w:val="pt-BR"/>
              </w:rPr>
            </w:pPr>
            <w:r w:rsidRPr="009E686F">
              <w:rPr>
                <w:rFonts w:ascii="Times New Roman" w:hAnsi="Times New Roman" w:cs="Times New Roman"/>
                <w:b/>
                <w:bCs/>
                <w:lang w:val="pt-BR"/>
              </w:rPr>
              <w:t>Cerințe de autorizare și de reglementare</w:t>
            </w:r>
          </w:p>
          <w:p w14:paraId="01D40EEF" w14:textId="77777777" w:rsidR="00EF4367" w:rsidRPr="009E686F" w:rsidRDefault="00EF4367" w:rsidP="00265766">
            <w:pPr>
              <w:spacing w:after="0"/>
              <w:jc w:val="both"/>
              <w:rPr>
                <w:rFonts w:ascii="Times New Roman" w:hAnsi="Times New Roman" w:cs="Times New Roman"/>
                <w:lang w:val="it-IT"/>
              </w:rPr>
            </w:pPr>
            <w:r w:rsidRPr="009E686F">
              <w:rPr>
                <w:rFonts w:ascii="Times New Roman" w:hAnsi="Times New Roman" w:cs="Times New Roman"/>
                <w:lang w:val="it-IT"/>
              </w:rPr>
              <w:t>Subsecțiunea 1</w:t>
            </w:r>
          </w:p>
          <w:p w14:paraId="65DE09DA" w14:textId="3F4D895E" w:rsidR="00EF4367" w:rsidRPr="009E686F" w:rsidDel="002D6675" w:rsidRDefault="00EF4367" w:rsidP="00265766">
            <w:pPr>
              <w:spacing w:after="0"/>
              <w:jc w:val="both"/>
              <w:rPr>
                <w:rFonts w:ascii="Times New Roman" w:hAnsi="Times New Roman" w:cs="Times New Roman"/>
                <w:b/>
                <w:bCs/>
                <w:lang w:val="pt-BR"/>
              </w:rPr>
            </w:pPr>
            <w:r w:rsidRPr="009E686F">
              <w:rPr>
                <w:rFonts w:ascii="Times New Roman" w:hAnsi="Times New Roman" w:cs="Times New Roman"/>
                <w:b/>
                <w:bCs/>
                <w:lang w:val="it-IT"/>
              </w:rPr>
              <w:t>Cerințe de autorizare</w:t>
            </w:r>
          </w:p>
        </w:tc>
        <w:tc>
          <w:tcPr>
            <w:tcW w:w="1834" w:type="pct"/>
            <w:tcBorders>
              <w:top w:val="single" w:sz="4" w:space="0" w:color="auto"/>
              <w:left w:val="single" w:sz="4" w:space="0" w:color="auto"/>
              <w:right w:val="single" w:sz="4" w:space="0" w:color="auto"/>
            </w:tcBorders>
          </w:tcPr>
          <w:p w14:paraId="5CB11D08" w14:textId="77777777" w:rsidR="00EF4367" w:rsidRPr="009E686F" w:rsidRDefault="00EF4367" w:rsidP="00265766">
            <w:pPr>
              <w:spacing w:after="0"/>
              <w:jc w:val="both"/>
              <w:rPr>
                <w:rFonts w:ascii="Times New Roman" w:hAnsi="Times New Roman" w:cs="Times New Roman"/>
                <w:b/>
                <w:lang w:val="pt-BR"/>
              </w:rPr>
            </w:pPr>
          </w:p>
        </w:tc>
        <w:tc>
          <w:tcPr>
            <w:tcW w:w="470" w:type="pct"/>
            <w:tcBorders>
              <w:top w:val="single" w:sz="4" w:space="0" w:color="auto"/>
              <w:left w:val="single" w:sz="4" w:space="0" w:color="auto"/>
              <w:right w:val="single" w:sz="4" w:space="0" w:color="auto"/>
            </w:tcBorders>
          </w:tcPr>
          <w:p w14:paraId="11B3B37F" w14:textId="77777777" w:rsidR="00EF4367" w:rsidRPr="009E686F" w:rsidRDefault="00EF4367" w:rsidP="00265766">
            <w:pPr>
              <w:jc w:val="both"/>
              <w:rPr>
                <w:rFonts w:ascii="Times New Roman" w:hAnsi="Times New Roman" w:cs="Times New Roman"/>
                <w:lang w:val="pt-BR"/>
              </w:rPr>
            </w:pPr>
          </w:p>
        </w:tc>
        <w:tc>
          <w:tcPr>
            <w:tcW w:w="806" w:type="pct"/>
            <w:tcBorders>
              <w:top w:val="single" w:sz="4" w:space="0" w:color="auto"/>
              <w:left w:val="single" w:sz="4" w:space="0" w:color="auto"/>
              <w:right w:val="single" w:sz="4" w:space="0" w:color="auto"/>
            </w:tcBorders>
          </w:tcPr>
          <w:p w14:paraId="35F9BEB8" w14:textId="77777777" w:rsidR="00EF4367" w:rsidRPr="009E686F" w:rsidRDefault="00EF4367" w:rsidP="00265766">
            <w:pPr>
              <w:spacing w:after="0"/>
              <w:jc w:val="both"/>
              <w:rPr>
                <w:rFonts w:ascii="Times New Roman" w:hAnsi="Times New Roman" w:cs="Times New Roman"/>
                <w:lang w:val="pt-BR"/>
              </w:rPr>
            </w:pPr>
          </w:p>
        </w:tc>
      </w:tr>
      <w:tr w:rsidR="0050006F" w:rsidRPr="009E686F" w14:paraId="2EAA4CDC" w14:textId="77777777" w:rsidTr="00FD2582">
        <w:tc>
          <w:tcPr>
            <w:tcW w:w="1890" w:type="pct"/>
            <w:tcBorders>
              <w:top w:val="single" w:sz="4" w:space="0" w:color="auto"/>
              <w:left w:val="single" w:sz="4" w:space="0" w:color="auto"/>
              <w:bottom w:val="single" w:sz="4" w:space="0" w:color="auto"/>
              <w:right w:val="single" w:sz="4" w:space="0" w:color="auto"/>
            </w:tcBorders>
          </w:tcPr>
          <w:p w14:paraId="71D603C9" w14:textId="77777777" w:rsidR="0050006F" w:rsidRPr="009E686F" w:rsidRDefault="0050006F" w:rsidP="00265766">
            <w:pPr>
              <w:spacing w:after="0"/>
              <w:jc w:val="both"/>
              <w:rPr>
                <w:rFonts w:ascii="Times New Roman" w:hAnsi="Times New Roman" w:cs="Times New Roman"/>
                <w:i/>
                <w:iCs/>
                <w:lang w:val="it-IT"/>
              </w:rPr>
            </w:pPr>
            <w:r w:rsidRPr="009E686F">
              <w:rPr>
                <w:rFonts w:ascii="Times New Roman" w:hAnsi="Times New Roman" w:cs="Times New Roman"/>
                <w:i/>
                <w:iCs/>
                <w:lang w:val="it-IT"/>
              </w:rPr>
              <w:t xml:space="preserve">Articolul 48c </w:t>
            </w:r>
          </w:p>
          <w:p w14:paraId="40380C54" w14:textId="4D3B2A63" w:rsidR="0050006F" w:rsidRPr="009E686F" w:rsidDel="002D6675" w:rsidRDefault="0050006F" w:rsidP="00265766">
            <w:pPr>
              <w:spacing w:after="0"/>
              <w:jc w:val="both"/>
              <w:rPr>
                <w:rFonts w:ascii="Times New Roman" w:hAnsi="Times New Roman" w:cs="Times New Roman"/>
                <w:lang w:val="it-IT"/>
              </w:rPr>
            </w:pPr>
            <w:r w:rsidRPr="009E686F">
              <w:rPr>
                <w:rFonts w:ascii="Times New Roman" w:hAnsi="Times New Roman" w:cs="Times New Roman"/>
                <w:lang w:val="it-IT"/>
              </w:rPr>
              <w:t>Condiții minime pentru autorizarea sucursalelor din țări terțe</w:t>
            </w:r>
          </w:p>
        </w:tc>
        <w:tc>
          <w:tcPr>
            <w:tcW w:w="1834" w:type="pct"/>
            <w:tcBorders>
              <w:top w:val="single" w:sz="4" w:space="0" w:color="auto"/>
              <w:left w:val="single" w:sz="4" w:space="0" w:color="auto"/>
              <w:bottom w:val="single" w:sz="4" w:space="0" w:color="auto"/>
              <w:right w:val="single" w:sz="4" w:space="0" w:color="auto"/>
            </w:tcBorders>
          </w:tcPr>
          <w:p w14:paraId="7BC705DD" w14:textId="4558CE71" w:rsidR="0050006F" w:rsidRPr="009E686F" w:rsidRDefault="0050006F" w:rsidP="00265766">
            <w:pPr>
              <w:spacing w:after="0" w:line="278" w:lineRule="auto"/>
              <w:jc w:val="both"/>
              <w:rPr>
                <w:rFonts w:ascii="Times New Roman" w:eastAsia="Aptos" w:hAnsi="Times New Roman" w:cs="Times New Roman"/>
                <w:i/>
                <w:iCs/>
                <w:kern w:val="2"/>
                <w:lang w:val="ro-MD"/>
              </w:rPr>
            </w:pPr>
            <w:r w:rsidRPr="009E686F">
              <w:rPr>
                <w:rFonts w:ascii="Times New Roman" w:eastAsia="Aptos" w:hAnsi="Times New Roman" w:cs="Times New Roman"/>
                <w:b/>
                <w:bCs/>
                <w:i/>
                <w:iCs/>
                <w:kern w:val="2"/>
                <w:lang w:val="ro-MD"/>
              </w:rPr>
              <w:t xml:space="preserve">Articolul 25. </w:t>
            </w:r>
            <w:r w:rsidRPr="009E686F">
              <w:rPr>
                <w:rFonts w:ascii="Times New Roman" w:eastAsia="Aptos" w:hAnsi="Times New Roman" w:cs="Times New Roman"/>
                <w:i/>
                <w:iCs/>
                <w:kern w:val="2"/>
                <w:lang w:val="ro-MD"/>
              </w:rPr>
              <w:t>Condiții minime de autorizare a sucursalelor din state terțe</w:t>
            </w:r>
          </w:p>
        </w:tc>
        <w:tc>
          <w:tcPr>
            <w:tcW w:w="470" w:type="pct"/>
            <w:tcBorders>
              <w:top w:val="single" w:sz="4" w:space="0" w:color="auto"/>
              <w:left w:val="single" w:sz="4" w:space="0" w:color="auto"/>
              <w:bottom w:val="single" w:sz="4" w:space="0" w:color="auto"/>
              <w:right w:val="single" w:sz="4" w:space="0" w:color="auto"/>
            </w:tcBorders>
          </w:tcPr>
          <w:p w14:paraId="1D38EE24" w14:textId="27EABFB7" w:rsidR="0050006F" w:rsidRPr="009E686F" w:rsidRDefault="0050006F" w:rsidP="00265766">
            <w:pPr>
              <w:jc w:val="both"/>
              <w:rPr>
                <w:rFonts w:ascii="Times New Roman" w:hAnsi="Times New Roman" w:cs="Times New Roman"/>
                <w:lang w:val="it-IT"/>
              </w:rPr>
            </w:pPr>
            <w:r w:rsidRPr="009E686F">
              <w:rPr>
                <w:rFonts w:ascii="Times New Roman" w:hAnsi="Times New Roman" w:cs="Times New Roman"/>
                <w:lang w:val="it-CH"/>
              </w:rPr>
              <w:t>Compatibil</w:t>
            </w:r>
          </w:p>
        </w:tc>
        <w:tc>
          <w:tcPr>
            <w:tcW w:w="806" w:type="pct"/>
            <w:vMerge w:val="restart"/>
            <w:tcBorders>
              <w:top w:val="single" w:sz="4" w:space="0" w:color="auto"/>
              <w:left w:val="single" w:sz="4" w:space="0" w:color="auto"/>
              <w:right w:val="single" w:sz="4" w:space="0" w:color="auto"/>
            </w:tcBorders>
          </w:tcPr>
          <w:p w14:paraId="52AB21B1" w14:textId="77777777" w:rsidR="0050006F" w:rsidRPr="009E686F" w:rsidRDefault="0050006F" w:rsidP="0050006F">
            <w:r w:rsidRPr="009E686F">
              <w:rPr>
                <w:rFonts w:ascii="Times New Roman" w:hAnsi="Times New Roman" w:cs="Times New Roman"/>
                <w:lang w:val="ro-RO"/>
              </w:rPr>
              <w:t>În vigoare – data aderării.</w:t>
            </w:r>
          </w:p>
          <w:p w14:paraId="2C14A27D" w14:textId="77777777" w:rsidR="0050006F" w:rsidRPr="009E686F" w:rsidRDefault="0050006F" w:rsidP="00265766">
            <w:pPr>
              <w:spacing w:after="0"/>
              <w:jc w:val="both"/>
              <w:rPr>
                <w:rFonts w:ascii="Times New Roman" w:hAnsi="Times New Roman" w:cs="Times New Roman"/>
                <w:lang w:val="it-IT"/>
              </w:rPr>
            </w:pPr>
          </w:p>
        </w:tc>
      </w:tr>
      <w:tr w:rsidR="0050006F" w:rsidRPr="009E686F" w14:paraId="5B5F3984" w14:textId="77777777" w:rsidTr="00FD2582">
        <w:tc>
          <w:tcPr>
            <w:tcW w:w="1890" w:type="pct"/>
            <w:vMerge w:val="restart"/>
            <w:tcBorders>
              <w:top w:val="single" w:sz="4" w:space="0" w:color="auto"/>
              <w:left w:val="single" w:sz="4" w:space="0" w:color="auto"/>
              <w:right w:val="single" w:sz="4" w:space="0" w:color="auto"/>
            </w:tcBorders>
          </w:tcPr>
          <w:p w14:paraId="5A4B65D4" w14:textId="64FC5AD3" w:rsidR="0050006F" w:rsidRPr="009E686F" w:rsidDel="002D6675" w:rsidRDefault="0050006F" w:rsidP="00265766">
            <w:pPr>
              <w:spacing w:after="0"/>
              <w:jc w:val="both"/>
              <w:rPr>
                <w:rFonts w:ascii="Times New Roman" w:hAnsi="Times New Roman" w:cs="Times New Roman"/>
                <w:lang w:val="it-CH"/>
              </w:rPr>
            </w:pPr>
            <w:r w:rsidRPr="009E686F">
              <w:rPr>
                <w:rFonts w:ascii="Times New Roman" w:hAnsi="Times New Roman" w:cs="Times New Roman"/>
                <w:lang w:val="it-CH"/>
              </w:rPr>
              <w:t>(1) Statele membre impun obligația, în conformitate cu articolul 21c, ca întreprinderile din țări terțe să înființeze o sucursală pe teritoriul lor înainte de a începe sau a continua activitățile menționate la articolul 47 alineatul (1). Înființarea unei sucursale dintr-o țară terță face obiectul unei autorizări prealabile în conformitate cu prezentul capitol.</w:t>
            </w:r>
          </w:p>
        </w:tc>
        <w:tc>
          <w:tcPr>
            <w:tcW w:w="1834" w:type="pct"/>
            <w:tcBorders>
              <w:top w:val="single" w:sz="4" w:space="0" w:color="auto"/>
              <w:left w:val="single" w:sz="4" w:space="0" w:color="auto"/>
              <w:bottom w:val="single" w:sz="4" w:space="0" w:color="auto"/>
              <w:right w:val="single" w:sz="4" w:space="0" w:color="auto"/>
            </w:tcBorders>
          </w:tcPr>
          <w:p w14:paraId="083AA0F4" w14:textId="15208AD4" w:rsidR="0050006F" w:rsidRPr="009E686F" w:rsidRDefault="0050006F" w:rsidP="00265766">
            <w:pPr>
              <w:spacing w:after="0"/>
              <w:jc w:val="both"/>
              <w:rPr>
                <w:rFonts w:ascii="Times New Roman" w:hAnsi="Times New Roman" w:cs="Times New Roman"/>
                <w:i/>
                <w:lang w:val="it-CH"/>
              </w:rPr>
            </w:pPr>
            <w:r w:rsidRPr="009E686F">
              <w:rPr>
                <w:rFonts w:ascii="Times New Roman" w:hAnsi="Times New Roman" w:cs="Times New Roman"/>
                <w:i/>
                <w:lang w:val="it-CH"/>
              </w:rPr>
              <w:t>(1) Întreprinderile din state terțe care înființează o sucursală pe teritoriul Republicii Moldova,  înainte de începerea propriu-zisă sau continuarea activităților menționate la art. 27 alin. (1), trebuie să obțină autorizarea prealabilă a Băncii Naționale a Moldovei în conformitate cu prezentul capitol și a actele normative emise în aplicarea prezentei legi.</w:t>
            </w:r>
          </w:p>
        </w:tc>
        <w:tc>
          <w:tcPr>
            <w:tcW w:w="470" w:type="pct"/>
            <w:tcBorders>
              <w:top w:val="single" w:sz="4" w:space="0" w:color="auto"/>
              <w:left w:val="single" w:sz="4" w:space="0" w:color="auto"/>
              <w:bottom w:val="single" w:sz="4" w:space="0" w:color="auto"/>
              <w:right w:val="single" w:sz="4" w:space="0" w:color="auto"/>
            </w:tcBorders>
          </w:tcPr>
          <w:p w14:paraId="4C3D59C7" w14:textId="73C9A186" w:rsidR="0050006F" w:rsidRPr="009E686F" w:rsidRDefault="0050006F" w:rsidP="00265766">
            <w:pPr>
              <w:jc w:val="both"/>
              <w:rPr>
                <w:rFonts w:ascii="Times New Roman" w:hAnsi="Times New Roman" w:cs="Times New Roman"/>
                <w:lang w:val="it-IT"/>
              </w:rPr>
            </w:pPr>
            <w:r w:rsidRPr="009E686F">
              <w:rPr>
                <w:rFonts w:ascii="Times New Roman" w:hAnsi="Times New Roman" w:cs="Times New Roman"/>
                <w:lang w:val="it-CH"/>
              </w:rPr>
              <w:t>Compatibil</w:t>
            </w:r>
          </w:p>
        </w:tc>
        <w:tc>
          <w:tcPr>
            <w:tcW w:w="806" w:type="pct"/>
            <w:vMerge/>
            <w:tcBorders>
              <w:left w:val="single" w:sz="4" w:space="0" w:color="auto"/>
              <w:bottom w:val="single" w:sz="4" w:space="0" w:color="auto"/>
              <w:right w:val="single" w:sz="4" w:space="0" w:color="auto"/>
            </w:tcBorders>
          </w:tcPr>
          <w:p w14:paraId="68A9F66A" w14:textId="77777777" w:rsidR="0050006F" w:rsidRPr="009E686F" w:rsidRDefault="0050006F" w:rsidP="00265766">
            <w:pPr>
              <w:spacing w:after="0"/>
              <w:jc w:val="both"/>
              <w:rPr>
                <w:rFonts w:ascii="Times New Roman" w:hAnsi="Times New Roman" w:cs="Times New Roman"/>
                <w:lang w:val="it-IT"/>
              </w:rPr>
            </w:pPr>
          </w:p>
        </w:tc>
      </w:tr>
      <w:tr w:rsidR="00265766" w:rsidRPr="009E686F" w14:paraId="36AFE135" w14:textId="77777777" w:rsidTr="00FD29A5">
        <w:tc>
          <w:tcPr>
            <w:tcW w:w="1890" w:type="pct"/>
            <w:vMerge/>
            <w:tcBorders>
              <w:top w:val="single" w:sz="4" w:space="0" w:color="auto"/>
              <w:left w:val="single" w:sz="4" w:space="0" w:color="auto"/>
              <w:right w:val="single" w:sz="4" w:space="0" w:color="auto"/>
            </w:tcBorders>
          </w:tcPr>
          <w:p w14:paraId="06D59323" w14:textId="77777777" w:rsidR="00265766" w:rsidRPr="009E686F" w:rsidRDefault="00265766" w:rsidP="00265766">
            <w:pPr>
              <w:spacing w:after="0"/>
              <w:jc w:val="both"/>
              <w:rPr>
                <w:rFonts w:ascii="Times New Roman" w:hAnsi="Times New Roman" w:cs="Times New Roman"/>
                <w:lang w:val="it-CH"/>
              </w:rPr>
            </w:pPr>
          </w:p>
        </w:tc>
        <w:tc>
          <w:tcPr>
            <w:tcW w:w="1834" w:type="pct"/>
            <w:tcBorders>
              <w:top w:val="single" w:sz="4" w:space="0" w:color="auto"/>
              <w:left w:val="single" w:sz="4" w:space="0" w:color="auto"/>
              <w:bottom w:val="single" w:sz="4" w:space="0" w:color="auto"/>
              <w:right w:val="single" w:sz="4" w:space="0" w:color="auto"/>
            </w:tcBorders>
          </w:tcPr>
          <w:p w14:paraId="4F527A6D" w14:textId="77777777" w:rsidR="00265766" w:rsidRPr="009E686F" w:rsidRDefault="00265766" w:rsidP="00265766">
            <w:pPr>
              <w:spacing w:after="0"/>
              <w:jc w:val="both"/>
              <w:rPr>
                <w:rFonts w:ascii="Times New Roman" w:hAnsi="Times New Roman" w:cs="Times New Roman"/>
                <w:b/>
                <w:bCs/>
                <w:i/>
                <w:iCs/>
                <w:lang w:val="it-CH"/>
              </w:rPr>
            </w:pPr>
            <w:r w:rsidRPr="009E686F">
              <w:rPr>
                <w:rFonts w:ascii="Times New Roman" w:hAnsi="Times New Roman" w:cs="Times New Roman"/>
                <w:b/>
                <w:bCs/>
                <w:i/>
                <w:iCs/>
                <w:lang w:val="it-CH"/>
              </w:rPr>
              <w:t>Articolul 6 alin. (3)</w:t>
            </w:r>
          </w:p>
          <w:p w14:paraId="6947BBAD" w14:textId="5CF00593"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 xml:space="preserve">(3) Nicio instituție de credit </w:t>
            </w:r>
            <w:r w:rsidRPr="009E686F">
              <w:rPr>
                <w:rFonts w:ascii="Times New Roman" w:hAnsi="Times New Roman" w:cs="Times New Roman"/>
                <w:i/>
                <w:iCs/>
                <w:lang w:val="it-CH"/>
              </w:rPr>
              <w:t>dintr-un stat terț</w:t>
            </w:r>
            <w:r w:rsidRPr="009E686F">
              <w:rPr>
                <w:rFonts w:ascii="Times New Roman" w:hAnsi="Times New Roman" w:cs="Times New Roman"/>
                <w:lang w:val="it-CH"/>
              </w:rPr>
              <w:t xml:space="preserve"> nu poate desfăşura în Republica Moldova activităţi permise </w:t>
            </w:r>
            <w:r w:rsidRPr="009E686F">
              <w:rPr>
                <w:rFonts w:ascii="Times New Roman" w:hAnsi="Times New Roman" w:cs="Times New Roman"/>
                <w:i/>
                <w:iCs/>
                <w:lang w:val="it-CH"/>
              </w:rPr>
              <w:t>instituțiilor de credit</w:t>
            </w:r>
            <w:r w:rsidRPr="009E686F">
              <w:rPr>
                <w:rFonts w:ascii="Times New Roman" w:hAnsi="Times New Roman" w:cs="Times New Roman"/>
                <w:lang w:val="it-CH"/>
              </w:rPr>
              <w:t xml:space="preserve">  prevăzute la art.14 alin.(1) lit.a), decît prin sucursale pentru care Banca Naţională a Moldovei a acordat </w:t>
            </w:r>
            <w:r w:rsidRPr="009E686F">
              <w:rPr>
                <w:rFonts w:ascii="Times New Roman" w:hAnsi="Times New Roman" w:cs="Times New Roman"/>
                <w:i/>
                <w:iCs/>
                <w:lang w:val="it-CH"/>
              </w:rPr>
              <w:t>autorizație</w:t>
            </w:r>
            <w:r w:rsidRPr="009E686F">
              <w:rPr>
                <w:rFonts w:ascii="Times New Roman" w:hAnsi="Times New Roman" w:cs="Times New Roman"/>
                <w:lang w:val="it-CH"/>
              </w:rPr>
              <w:t xml:space="preserve"> în condiţiile prezentei legi.</w:t>
            </w:r>
          </w:p>
          <w:p w14:paraId="4A7A6ACC" w14:textId="77777777" w:rsidR="00265766" w:rsidRPr="009E686F" w:rsidRDefault="00265766" w:rsidP="00265766">
            <w:pPr>
              <w:spacing w:after="0"/>
              <w:jc w:val="both"/>
              <w:rPr>
                <w:rFonts w:ascii="Times New Roman" w:hAnsi="Times New Roman" w:cs="Times New Roman"/>
                <w:i/>
                <w:lang w:val="it-CH"/>
              </w:rPr>
            </w:pPr>
          </w:p>
        </w:tc>
        <w:tc>
          <w:tcPr>
            <w:tcW w:w="470" w:type="pct"/>
            <w:tcBorders>
              <w:top w:val="single" w:sz="4" w:space="0" w:color="auto"/>
              <w:left w:val="single" w:sz="4" w:space="0" w:color="auto"/>
              <w:bottom w:val="single" w:sz="4" w:space="0" w:color="auto"/>
              <w:right w:val="single" w:sz="4" w:space="0" w:color="auto"/>
            </w:tcBorders>
          </w:tcPr>
          <w:p w14:paraId="55600014" w14:textId="003AAC49" w:rsidR="00265766" w:rsidRPr="009E686F" w:rsidRDefault="00265766" w:rsidP="00265766">
            <w:pPr>
              <w:jc w:val="both"/>
              <w:rPr>
                <w:rFonts w:ascii="Times New Roman" w:hAnsi="Times New Roman" w:cs="Times New Roman"/>
                <w:lang w:val="it-CH"/>
              </w:rPr>
            </w:pPr>
            <w:r w:rsidRPr="009E686F">
              <w:rPr>
                <w:rFonts w:ascii="Times New Roman" w:hAnsi="Times New Roman" w:cs="Times New Roman"/>
                <w:lang w:val="it-CH"/>
              </w:rPr>
              <w:t>Compatibil</w:t>
            </w:r>
          </w:p>
        </w:tc>
        <w:tc>
          <w:tcPr>
            <w:tcW w:w="806" w:type="pct"/>
            <w:tcBorders>
              <w:top w:val="single" w:sz="4" w:space="0" w:color="auto"/>
              <w:left w:val="single" w:sz="4" w:space="0" w:color="auto"/>
              <w:bottom w:val="single" w:sz="4" w:space="0" w:color="auto"/>
              <w:right w:val="single" w:sz="4" w:space="0" w:color="auto"/>
            </w:tcBorders>
          </w:tcPr>
          <w:p w14:paraId="5EEFF5A7" w14:textId="77777777" w:rsidR="00265766" w:rsidRPr="009E686F" w:rsidRDefault="00265766" w:rsidP="00265766">
            <w:pPr>
              <w:spacing w:after="0"/>
              <w:jc w:val="both"/>
              <w:rPr>
                <w:rFonts w:ascii="Times New Roman" w:hAnsi="Times New Roman" w:cs="Times New Roman"/>
                <w:lang w:val="it-IT"/>
              </w:rPr>
            </w:pPr>
          </w:p>
        </w:tc>
      </w:tr>
      <w:tr w:rsidR="00265766" w:rsidRPr="009E686F" w14:paraId="49AF516E" w14:textId="77777777" w:rsidTr="00FD29A5">
        <w:tc>
          <w:tcPr>
            <w:tcW w:w="1890" w:type="pct"/>
            <w:vMerge/>
            <w:tcBorders>
              <w:left w:val="single" w:sz="4" w:space="0" w:color="auto"/>
              <w:bottom w:val="single" w:sz="4" w:space="0" w:color="auto"/>
              <w:right w:val="single" w:sz="4" w:space="0" w:color="auto"/>
            </w:tcBorders>
          </w:tcPr>
          <w:p w14:paraId="3D1F64CE" w14:textId="77777777" w:rsidR="00265766" w:rsidRPr="009E686F" w:rsidRDefault="00265766" w:rsidP="00265766">
            <w:pPr>
              <w:spacing w:after="0"/>
              <w:jc w:val="both"/>
              <w:rPr>
                <w:rFonts w:ascii="Times New Roman" w:hAnsi="Times New Roman" w:cs="Times New Roman"/>
                <w:lang w:val="it-CH"/>
              </w:rPr>
            </w:pPr>
          </w:p>
        </w:tc>
        <w:tc>
          <w:tcPr>
            <w:tcW w:w="1834" w:type="pct"/>
            <w:tcBorders>
              <w:top w:val="single" w:sz="4" w:space="0" w:color="auto"/>
              <w:left w:val="single" w:sz="4" w:space="0" w:color="auto"/>
              <w:bottom w:val="single" w:sz="4" w:space="0" w:color="auto"/>
              <w:right w:val="single" w:sz="4" w:space="0" w:color="auto"/>
            </w:tcBorders>
          </w:tcPr>
          <w:p w14:paraId="6D12D718" w14:textId="77777777" w:rsidR="00265766" w:rsidRPr="009E686F" w:rsidRDefault="00265766" w:rsidP="00265766">
            <w:pPr>
              <w:spacing w:after="0"/>
              <w:jc w:val="both"/>
              <w:rPr>
                <w:rFonts w:ascii="Times New Roman" w:hAnsi="Times New Roman" w:cs="Times New Roman"/>
                <w:i/>
                <w:iCs/>
                <w:u w:val="single"/>
                <w:lang w:val="it-CH"/>
              </w:rPr>
            </w:pPr>
            <w:r w:rsidRPr="009E686F">
              <w:rPr>
                <w:rFonts w:ascii="Times New Roman" w:hAnsi="Times New Roman" w:cs="Times New Roman"/>
                <w:b/>
                <w:i/>
                <w:iCs/>
                <w:u w:val="single"/>
                <w:lang w:val="it-CH"/>
              </w:rPr>
              <w:t>Articolul 21.</w:t>
            </w:r>
            <w:r w:rsidRPr="009E686F">
              <w:rPr>
                <w:rFonts w:ascii="Times New Roman" w:hAnsi="Times New Roman" w:cs="Times New Roman"/>
                <w:i/>
                <w:iCs/>
                <w:u w:val="single"/>
                <w:lang w:val="it-CH"/>
              </w:rPr>
              <w:t xml:space="preserve"> Registrul instituțiilor de credit, a sucursalelor instituțiilor de credit din alte state membre și a sucursalelor din state terțe </w:t>
            </w:r>
          </w:p>
          <w:p w14:paraId="06D29521" w14:textId="7EC26253" w:rsidR="00265766" w:rsidRPr="009E686F" w:rsidRDefault="00265766" w:rsidP="00265766">
            <w:pPr>
              <w:spacing w:after="0"/>
              <w:jc w:val="both"/>
              <w:rPr>
                <w:rFonts w:ascii="Times New Roman" w:hAnsi="Times New Roman" w:cs="Times New Roman"/>
                <w:i/>
                <w:iCs/>
                <w:u w:val="single"/>
                <w:lang w:val="it-CH"/>
              </w:rPr>
            </w:pPr>
            <w:r w:rsidRPr="009E686F">
              <w:rPr>
                <w:rFonts w:ascii="Times New Roman" w:hAnsi="Times New Roman" w:cs="Times New Roman"/>
                <w:i/>
                <w:iCs/>
                <w:u w:val="single"/>
                <w:lang w:val="it-CH"/>
              </w:rPr>
              <w:t>(1) Banca Naţională a Moldovei ţine în formă electronică registrul instituțiilor de credit  persoane juridice din Republica Moldova şi al sucursalelor instituțiilor de credit din state membre și state terțe, în care se înscrie, după caz, seria, numărul şi data acordării autorizației, denumirea, adresele sediului acestora şi ale sucursalelor instituției de credit persoane juridice din Republica Moldova, informaţia privind reperfectarea autorizației şi eliberarea duplicatelor de pe aceasta. Banca Naţională a Moldovei publică pe pagina oficială şi actualizează în mod regulat o listă cu denumirile tuturor instituțiilor de credit  care au primit autorizație, inclusiv ale sucursalelor instituțiilor de credit  din state terțe și denumirile sucursalelor instituțiilor de credit din state membre. Banca Naţională a Moldovei efectuează înregistrarea în registrul menționat a sucursalelor instituțiilor de credit din state membre pe baza notificării prevăzute la art. 23</w:t>
            </w:r>
            <w:r w:rsidRPr="009E686F">
              <w:rPr>
                <w:rFonts w:ascii="Times New Roman" w:hAnsi="Times New Roman" w:cs="Times New Roman"/>
                <w:i/>
                <w:iCs/>
                <w:u w:val="single"/>
                <w:vertAlign w:val="superscript"/>
                <w:lang w:val="it-CH"/>
              </w:rPr>
              <w:t>2</w:t>
            </w:r>
            <w:r w:rsidRPr="009E686F">
              <w:rPr>
                <w:rFonts w:ascii="Times New Roman" w:hAnsi="Times New Roman" w:cs="Times New Roman"/>
                <w:i/>
                <w:iCs/>
                <w:u w:val="single"/>
                <w:lang w:val="it-CH"/>
              </w:rPr>
              <w:t>.</w:t>
            </w:r>
          </w:p>
          <w:p w14:paraId="57AFCB8F" w14:textId="173C09E6" w:rsidR="00265766" w:rsidRPr="009E686F" w:rsidRDefault="00265766" w:rsidP="00265766">
            <w:pPr>
              <w:spacing w:after="0"/>
              <w:jc w:val="both"/>
              <w:rPr>
                <w:rFonts w:ascii="Times New Roman" w:hAnsi="Times New Roman" w:cs="Times New Roman"/>
                <w:i/>
                <w:iCs/>
                <w:u w:val="single"/>
                <w:lang w:val="it-CH"/>
              </w:rPr>
            </w:pPr>
            <w:r w:rsidRPr="009E686F">
              <w:rPr>
                <w:rFonts w:ascii="Times New Roman" w:hAnsi="Times New Roman" w:cs="Times New Roman"/>
                <w:i/>
                <w:iCs/>
                <w:u w:val="single"/>
                <w:lang w:val="it-CH"/>
              </w:rPr>
              <w:t>(2) Instituțiile de credit persoane juridice din Republica Moldova sau sucursalele instituțiilor de credit  din state terțe ale căror autoriza</w:t>
            </w:r>
            <w:r w:rsidRPr="009E686F">
              <w:rPr>
                <w:rFonts w:ascii="Times New Roman" w:hAnsi="Times New Roman" w:cs="Times New Roman"/>
                <w:i/>
                <w:iCs/>
                <w:u w:val="single"/>
                <w:lang w:val="ro-RO"/>
              </w:rPr>
              <w:t xml:space="preserve">ții </w:t>
            </w:r>
            <w:r w:rsidRPr="009E686F">
              <w:rPr>
                <w:rFonts w:ascii="Times New Roman" w:hAnsi="Times New Roman" w:cs="Times New Roman"/>
                <w:i/>
                <w:iCs/>
                <w:u w:val="single"/>
                <w:lang w:val="it-CH"/>
              </w:rPr>
              <w:t>au fost retrase sînt radiate din registru</w:t>
            </w:r>
            <w:r w:rsidR="00B67538" w:rsidRPr="009E686F">
              <w:rPr>
                <w:rFonts w:ascii="Times New Roman" w:hAnsi="Times New Roman" w:cs="Times New Roman"/>
                <w:i/>
                <w:iCs/>
                <w:u w:val="single"/>
                <w:lang w:val="it-CH"/>
              </w:rPr>
              <w:t>l prevăzut la alin. (1)</w:t>
            </w:r>
            <w:r w:rsidRPr="009E686F">
              <w:rPr>
                <w:rFonts w:ascii="Times New Roman" w:hAnsi="Times New Roman" w:cs="Times New Roman"/>
                <w:i/>
                <w:iCs/>
                <w:u w:val="single"/>
                <w:lang w:val="it-CH"/>
              </w:rPr>
              <w:t xml:space="preserve"> prin înserarea unei note speciale care include data şi numărul deciziei privind retragerea </w:t>
            </w:r>
            <w:r w:rsidRPr="009E686F">
              <w:rPr>
                <w:rFonts w:ascii="Times New Roman" w:hAnsi="Times New Roman" w:cs="Times New Roman"/>
                <w:i/>
                <w:iCs/>
                <w:u w:val="single"/>
                <w:lang w:val="it-CH"/>
              </w:rPr>
              <w:lastRenderedPageBreak/>
              <w:t>autorizației. Radierea din registru a sucursalelor instituțiilor de credit din state membre se realizează prin înscrierea unei note speciale privind încetarea activității acesteia. Radierea nu reprezintă excluderea fizică a datelor din registru.</w:t>
            </w:r>
          </w:p>
          <w:p w14:paraId="786B0C26" w14:textId="64BC3920" w:rsidR="00265766" w:rsidRPr="009E686F" w:rsidRDefault="00265766" w:rsidP="00265766">
            <w:pPr>
              <w:spacing w:after="0"/>
              <w:jc w:val="both"/>
              <w:rPr>
                <w:rFonts w:ascii="Times New Roman" w:hAnsi="Times New Roman" w:cs="Times New Roman"/>
                <w:i/>
                <w:iCs/>
                <w:u w:val="single"/>
                <w:lang w:val="it-CH"/>
              </w:rPr>
            </w:pPr>
            <w:r w:rsidRPr="009E686F">
              <w:rPr>
                <w:rFonts w:ascii="Times New Roman" w:hAnsi="Times New Roman" w:cs="Times New Roman"/>
                <w:i/>
                <w:iCs/>
                <w:u w:val="single"/>
                <w:lang w:val="it-CH"/>
              </w:rPr>
              <w:t>(3) Banca Națională a Moldovei face înscrieri în registrul menționat la alin. (1) cu privire la denumirea, sediul instituțiilor de credit din state membre care vor presta servicii în mod direct pe teritoriul Republicii Moldova și data începerii prestării serviciilor respective.</w:t>
            </w:r>
          </w:p>
        </w:tc>
        <w:tc>
          <w:tcPr>
            <w:tcW w:w="470" w:type="pct"/>
            <w:tcBorders>
              <w:top w:val="single" w:sz="4" w:space="0" w:color="auto"/>
              <w:left w:val="single" w:sz="4" w:space="0" w:color="auto"/>
              <w:bottom w:val="single" w:sz="4" w:space="0" w:color="auto"/>
              <w:right w:val="single" w:sz="4" w:space="0" w:color="auto"/>
            </w:tcBorders>
          </w:tcPr>
          <w:p w14:paraId="3DBDFB6D" w14:textId="719CDCA4" w:rsidR="00265766" w:rsidRPr="009E686F" w:rsidRDefault="00265766" w:rsidP="00265766">
            <w:pPr>
              <w:jc w:val="both"/>
              <w:rPr>
                <w:rFonts w:ascii="Times New Roman" w:hAnsi="Times New Roman" w:cs="Times New Roman"/>
                <w:lang w:val="it-CH"/>
              </w:rPr>
            </w:pPr>
            <w:r w:rsidRPr="009E686F">
              <w:rPr>
                <w:rFonts w:ascii="Times New Roman" w:hAnsi="Times New Roman" w:cs="Times New Roman"/>
                <w:lang w:val="it-CH"/>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6C8D516D" w14:textId="77777777"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IT"/>
              </w:rPr>
              <w:t xml:space="preserve">Norme procedurale cu specific național </w:t>
            </w:r>
            <w:r w:rsidRPr="009E686F">
              <w:rPr>
                <w:rFonts w:ascii="Times New Roman" w:hAnsi="Times New Roman" w:cs="Times New Roman"/>
                <w:lang w:val="it-CH"/>
              </w:rPr>
              <w:t>privind evidența administrativă și publicitatea sucursalelor instituțiilor de credit din state terțe autorizate de Banca Națională a Moldovei.</w:t>
            </w:r>
          </w:p>
          <w:p w14:paraId="3C63548C" w14:textId="7A3FBED9" w:rsidR="007E3054" w:rsidRPr="009E686F" w:rsidRDefault="007E3054" w:rsidP="00265766">
            <w:pPr>
              <w:spacing w:after="0"/>
              <w:jc w:val="both"/>
              <w:rPr>
                <w:rFonts w:ascii="Times New Roman" w:hAnsi="Times New Roman" w:cs="Times New Roman"/>
                <w:lang w:val="it-CH"/>
              </w:rPr>
            </w:pPr>
            <w:r w:rsidRPr="009E686F">
              <w:rPr>
                <w:rFonts w:ascii="Times New Roman" w:hAnsi="Times New Roman" w:cs="Times New Roman"/>
                <w:lang w:val="it-CH"/>
              </w:rPr>
              <w:t>Ultima teză din alin. (1) și alin. (3) – în vigoare de la data aderării.</w:t>
            </w:r>
          </w:p>
        </w:tc>
      </w:tr>
      <w:tr w:rsidR="00265766" w:rsidRPr="009E686F" w14:paraId="7A3144DF" w14:textId="77777777" w:rsidTr="00FD29A5">
        <w:tc>
          <w:tcPr>
            <w:tcW w:w="1890" w:type="pct"/>
            <w:tcBorders>
              <w:left w:val="single" w:sz="4" w:space="0" w:color="auto"/>
              <w:bottom w:val="single" w:sz="4" w:space="0" w:color="auto"/>
              <w:right w:val="single" w:sz="4" w:space="0" w:color="auto"/>
            </w:tcBorders>
          </w:tcPr>
          <w:p w14:paraId="04CEAB3A" w14:textId="77777777" w:rsidR="00265766" w:rsidRPr="009E686F" w:rsidRDefault="00265766" w:rsidP="00265766">
            <w:pPr>
              <w:spacing w:after="0"/>
              <w:jc w:val="both"/>
              <w:rPr>
                <w:rFonts w:ascii="Times New Roman" w:hAnsi="Times New Roman" w:cs="Times New Roman"/>
                <w:lang w:val="it-CH"/>
              </w:rPr>
            </w:pPr>
          </w:p>
        </w:tc>
        <w:tc>
          <w:tcPr>
            <w:tcW w:w="1834" w:type="pct"/>
            <w:tcBorders>
              <w:top w:val="single" w:sz="4" w:space="0" w:color="auto"/>
              <w:left w:val="single" w:sz="4" w:space="0" w:color="auto"/>
              <w:bottom w:val="single" w:sz="4" w:space="0" w:color="auto"/>
              <w:right w:val="single" w:sz="4" w:space="0" w:color="auto"/>
            </w:tcBorders>
          </w:tcPr>
          <w:p w14:paraId="4F462A5F" w14:textId="04AFD3FE" w:rsidR="00265766" w:rsidRPr="009E686F" w:rsidRDefault="00265766" w:rsidP="00265766">
            <w:pPr>
              <w:spacing w:after="0"/>
              <w:jc w:val="both"/>
              <w:rPr>
                <w:rFonts w:ascii="Times New Roman" w:hAnsi="Times New Roman" w:cs="Times New Roman"/>
                <w:b/>
                <w:bCs/>
                <w:lang w:val="it-CH"/>
              </w:rPr>
            </w:pPr>
            <w:r w:rsidRPr="009E686F">
              <w:rPr>
                <w:rFonts w:ascii="Times New Roman" w:hAnsi="Times New Roman" w:cs="Times New Roman"/>
                <w:b/>
                <w:bCs/>
                <w:lang w:val="it-CH"/>
              </w:rPr>
              <w:t>Articolul 27 alin. (5)-(8)</w:t>
            </w:r>
          </w:p>
          <w:p w14:paraId="718A2DD0" w14:textId="65A03CB7" w:rsidR="00265766" w:rsidRPr="009E686F" w:rsidRDefault="00265766" w:rsidP="00265766">
            <w:pPr>
              <w:spacing w:after="0"/>
              <w:jc w:val="both"/>
              <w:rPr>
                <w:rFonts w:ascii="Times New Roman" w:hAnsi="Times New Roman" w:cs="Times New Roman"/>
                <w:i/>
                <w:iCs/>
                <w:lang w:val="it-CH"/>
              </w:rPr>
            </w:pPr>
            <w:r w:rsidRPr="009E686F">
              <w:rPr>
                <w:rFonts w:ascii="Times New Roman" w:hAnsi="Times New Roman" w:cs="Times New Roman"/>
                <w:i/>
                <w:iCs/>
                <w:lang w:val="it-CH"/>
              </w:rPr>
              <w:t>(5) Sucursalele din state terțe nu sunt persoane juridice şi înregistrarea acestora se efectuează conform procedurii stabilite la art.12 din Legea nr.220/2007 privind înregistrarea de stat a persoanelor juridice şi a întreprinzătorilor individuali.</w:t>
            </w:r>
          </w:p>
          <w:p w14:paraId="5D0C6AB1" w14:textId="374911C5" w:rsidR="00265766" w:rsidRPr="009E686F" w:rsidRDefault="00265766" w:rsidP="00265766">
            <w:pPr>
              <w:spacing w:after="0"/>
              <w:jc w:val="both"/>
              <w:rPr>
                <w:rFonts w:ascii="Times New Roman" w:hAnsi="Times New Roman" w:cs="Times New Roman"/>
                <w:i/>
                <w:iCs/>
                <w:lang w:val="it-CH"/>
              </w:rPr>
            </w:pPr>
            <w:r w:rsidRPr="009E686F">
              <w:rPr>
                <w:rFonts w:ascii="Times New Roman" w:hAnsi="Times New Roman" w:cs="Times New Roman"/>
                <w:i/>
                <w:iCs/>
                <w:lang w:val="it-CH"/>
              </w:rPr>
              <w:t>(6) Prevederile art. 35 se aplică în mod corespunzător modificărilor în situaţia sucursalelor din state terțe.</w:t>
            </w:r>
          </w:p>
          <w:p w14:paraId="4065DFBE" w14:textId="22434DDC" w:rsidR="00265766" w:rsidRPr="009E686F" w:rsidRDefault="00265766" w:rsidP="00265766">
            <w:pPr>
              <w:spacing w:after="0"/>
              <w:jc w:val="both"/>
              <w:rPr>
                <w:rFonts w:ascii="Times New Roman" w:hAnsi="Times New Roman" w:cs="Times New Roman"/>
                <w:i/>
                <w:iCs/>
                <w:lang w:val="it-CH"/>
              </w:rPr>
            </w:pPr>
            <w:r w:rsidRPr="009E686F">
              <w:rPr>
                <w:rFonts w:ascii="Times New Roman" w:hAnsi="Times New Roman" w:cs="Times New Roman"/>
                <w:i/>
                <w:iCs/>
                <w:lang w:val="it-CH"/>
              </w:rPr>
              <w:t xml:space="preserve">(7) Sucursala dintr-un stat terț participă la formarea mijloacelor Fondului de garantare a depozitelor în sistemul bancar conform Legii nr. 160/2023 privind garantarea depozitelor </w:t>
            </w:r>
            <w:r w:rsidRPr="009E686F">
              <w:rPr>
                <w:rFonts w:ascii="Times New Roman" w:hAnsi="Times New Roman" w:cs="Times New Roman"/>
                <w:i/>
                <w:iCs/>
                <w:lang w:val="ro-RO"/>
              </w:rPr>
              <w:t xml:space="preserve">în </w:t>
            </w:r>
            <w:r w:rsidR="00C2714D" w:rsidRPr="009E686F">
              <w:rPr>
                <w:rFonts w:ascii="Times New Roman" w:hAnsi="Times New Roman" w:cs="Times New Roman"/>
                <w:i/>
                <w:iCs/>
                <w:lang w:val="ro-RO"/>
              </w:rPr>
              <w:t>bănci</w:t>
            </w:r>
            <w:r w:rsidRPr="009E686F">
              <w:rPr>
                <w:rFonts w:ascii="Times New Roman" w:hAnsi="Times New Roman" w:cs="Times New Roman"/>
                <w:i/>
                <w:iCs/>
                <w:lang w:val="it-CH"/>
              </w:rPr>
              <w:t>.</w:t>
            </w:r>
          </w:p>
          <w:p w14:paraId="078B9229" w14:textId="1F4554E4" w:rsidR="00265766" w:rsidRPr="009E686F" w:rsidRDefault="00265766" w:rsidP="00265766">
            <w:pPr>
              <w:spacing w:after="0"/>
              <w:jc w:val="both"/>
              <w:rPr>
                <w:rFonts w:ascii="Times New Roman" w:hAnsi="Times New Roman" w:cs="Times New Roman"/>
                <w:b/>
                <w:i/>
                <w:iCs/>
                <w:lang w:val="it-CH"/>
              </w:rPr>
            </w:pPr>
            <w:r w:rsidRPr="009E686F">
              <w:rPr>
                <w:rFonts w:ascii="Times New Roman" w:hAnsi="Times New Roman" w:cs="Times New Roman"/>
                <w:i/>
                <w:iCs/>
                <w:lang w:val="it-CH"/>
              </w:rPr>
              <w:t xml:space="preserve">(8) Sucursala dintr-un stat terț trebuie să aibă un regulament în care se specifică, cel puţin, denumirea, adresa, cuantumul capitalului de dotare, funcţiile conducătorilor, obiectul activităţii, care poate fi modificat doar cu aprobarea Băncii Naţionale a Moldovei prezentată în scris. Termenul de finalizare a procedurii de soluţionare a cererii privind aprobarea modificării regulamentului este de 20 de zile lucrătoare, calculat de la data depunerii cererii însoţite de toate documentele care trebuie prezentate Băncii Naţionale a Moldovei. Dacă este necesară o examinare suplimentară sau este nevoie de mai mult timp pentru prelucrarea </w:t>
            </w:r>
            <w:r w:rsidRPr="009E686F">
              <w:rPr>
                <w:rFonts w:ascii="Times New Roman" w:hAnsi="Times New Roman" w:cs="Times New Roman"/>
                <w:i/>
                <w:iCs/>
                <w:lang w:val="it-CH"/>
              </w:rPr>
              <w:lastRenderedPageBreak/>
              <w:t>informaţiilor şi documentelor, termenul prevăzut de prezentul alineat poate fi prelungit cu cel mult 10 zile lucrătoare, cu notificarea instituției de credit.</w:t>
            </w:r>
          </w:p>
        </w:tc>
        <w:tc>
          <w:tcPr>
            <w:tcW w:w="470" w:type="pct"/>
            <w:tcBorders>
              <w:top w:val="single" w:sz="4" w:space="0" w:color="auto"/>
              <w:left w:val="single" w:sz="4" w:space="0" w:color="auto"/>
              <w:bottom w:val="single" w:sz="4" w:space="0" w:color="auto"/>
              <w:right w:val="single" w:sz="4" w:space="0" w:color="auto"/>
            </w:tcBorders>
          </w:tcPr>
          <w:p w14:paraId="1072EA51" w14:textId="125CF568" w:rsidR="00265766" w:rsidRPr="009E686F" w:rsidRDefault="00265766" w:rsidP="00265766">
            <w:pPr>
              <w:jc w:val="both"/>
              <w:rPr>
                <w:rFonts w:ascii="Times New Roman" w:hAnsi="Times New Roman" w:cs="Times New Roman"/>
                <w:lang w:val="it-CH"/>
              </w:rPr>
            </w:pPr>
            <w:r w:rsidRPr="009E686F">
              <w:rPr>
                <w:rFonts w:ascii="Times New Roman" w:hAnsi="Times New Roman" w:cs="Times New Roman"/>
                <w:lang w:val="it-CH"/>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5860B272" w14:textId="77777777"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Norme cu specific național din  Proiectul de lege pentru modificarea unor acte normative (aspecte aferente activității băncilor) Nr. unic Cancelaria de Stat 547/MF/BNM/2026 (modificarea Legii nr. 202/2017), preluate din cadrul legislativ existent cu scop de clarificare a prezenței sucursalei din stat terț pe teritoriul R. Moldova.</w:t>
            </w:r>
          </w:p>
          <w:p w14:paraId="0DBCCA9F" w14:textId="77777777" w:rsidR="004049F4" w:rsidRPr="009E686F" w:rsidRDefault="004049F4" w:rsidP="004049F4">
            <w:r w:rsidRPr="009E686F">
              <w:rPr>
                <w:rFonts w:ascii="Times New Roman" w:hAnsi="Times New Roman" w:cs="Times New Roman"/>
                <w:lang w:val="ro-RO"/>
              </w:rPr>
              <w:t>În vigoare – data aderării.</w:t>
            </w:r>
          </w:p>
          <w:p w14:paraId="2393DA7A" w14:textId="61707CA1" w:rsidR="004049F4" w:rsidRPr="009E686F" w:rsidRDefault="004049F4" w:rsidP="00265766">
            <w:pPr>
              <w:spacing w:after="0"/>
              <w:jc w:val="both"/>
              <w:rPr>
                <w:rFonts w:ascii="Times New Roman" w:hAnsi="Times New Roman" w:cs="Times New Roman"/>
                <w:lang w:val="it-CH"/>
              </w:rPr>
            </w:pPr>
          </w:p>
        </w:tc>
      </w:tr>
      <w:tr w:rsidR="00265766" w:rsidRPr="009E686F" w14:paraId="201EEBE2" w14:textId="77777777" w:rsidTr="00960C23">
        <w:tc>
          <w:tcPr>
            <w:tcW w:w="1890" w:type="pct"/>
            <w:tcBorders>
              <w:top w:val="single" w:sz="4" w:space="0" w:color="auto"/>
              <w:left w:val="single" w:sz="4" w:space="0" w:color="auto"/>
              <w:bottom w:val="single" w:sz="4" w:space="0" w:color="auto"/>
              <w:right w:val="single" w:sz="4" w:space="0" w:color="auto"/>
            </w:tcBorders>
          </w:tcPr>
          <w:p w14:paraId="2A1BDD4D" w14:textId="36FA5D79" w:rsidR="00265766" w:rsidRPr="009E686F" w:rsidDel="002D6675" w:rsidRDefault="00265766" w:rsidP="00265766">
            <w:pPr>
              <w:spacing w:after="0"/>
              <w:jc w:val="both"/>
              <w:rPr>
                <w:rFonts w:ascii="Times New Roman" w:hAnsi="Times New Roman" w:cs="Times New Roman"/>
                <w:lang w:val="it-IT"/>
              </w:rPr>
            </w:pPr>
            <w:r w:rsidRPr="009E686F">
              <w:rPr>
                <w:rFonts w:ascii="Times New Roman" w:hAnsi="Times New Roman" w:cs="Times New Roman"/>
              </w:rPr>
              <w:t xml:space="preserve">(2) Autoritățile competente depun eforturi pentru a încheia acorduri administrative sau alte acorduri cu autoritățile competente din țara terță relevantă înainte ca o sucursală dintr-o țară terță să își înceapă activitatea în statul membru în cauză. </w:t>
            </w:r>
            <w:r w:rsidRPr="009E686F">
              <w:rPr>
                <w:rFonts w:ascii="Times New Roman" w:hAnsi="Times New Roman" w:cs="Times New Roman"/>
                <w:lang w:val="pt-BR"/>
              </w:rPr>
              <w:t xml:space="preserve">Astfel de acorduri se bazează pe modelele de acorduri administrative elaborate de ABE în conformitate cu articolul 33 alineatul (5) din Regulamentul (UE) nr. 1093/2010. Această cerință nu se aplică în cazul în care sucursalele din țări terțe fac obiectul unor cerințe naționale mai stricte. </w:t>
            </w:r>
            <w:r w:rsidRPr="009E686F">
              <w:rPr>
                <w:rFonts w:ascii="Times New Roman" w:hAnsi="Times New Roman" w:cs="Times New Roman"/>
                <w:lang w:val="it-IT"/>
              </w:rPr>
              <w:t>Autoritățile competente transmit fără întârziere ABE informații cu privire la orice acorduri administrative sau alte acorduri încheiate cu autoritățile competente din țările terțe.</w:t>
            </w:r>
          </w:p>
        </w:tc>
        <w:tc>
          <w:tcPr>
            <w:tcW w:w="1834" w:type="pct"/>
            <w:tcBorders>
              <w:top w:val="single" w:sz="4" w:space="0" w:color="auto"/>
              <w:left w:val="single" w:sz="4" w:space="0" w:color="auto"/>
              <w:bottom w:val="single" w:sz="4" w:space="0" w:color="auto"/>
              <w:right w:val="single" w:sz="4" w:space="0" w:color="auto"/>
            </w:tcBorders>
          </w:tcPr>
          <w:p w14:paraId="3DABF4E3" w14:textId="77777777" w:rsidR="00265766" w:rsidRPr="009E686F" w:rsidRDefault="00265766" w:rsidP="00265766">
            <w:pPr>
              <w:spacing w:after="0" w:line="278" w:lineRule="auto"/>
              <w:jc w:val="both"/>
              <w:rPr>
                <w:rFonts w:ascii="Times New Roman" w:eastAsia="Aptos" w:hAnsi="Times New Roman" w:cs="Times New Roman"/>
                <w:i/>
                <w:iCs/>
                <w:kern w:val="2"/>
                <w:lang w:val="ro-MD"/>
              </w:rPr>
            </w:pPr>
            <w:r w:rsidRPr="009E686F">
              <w:rPr>
                <w:rFonts w:ascii="Times New Roman" w:eastAsia="Aptos" w:hAnsi="Times New Roman" w:cs="Times New Roman"/>
                <w:b/>
                <w:bCs/>
                <w:i/>
                <w:iCs/>
                <w:kern w:val="2"/>
                <w:lang w:val="ro-MD"/>
              </w:rPr>
              <w:t xml:space="preserve">Articolul 25. </w:t>
            </w:r>
            <w:r w:rsidRPr="009E686F">
              <w:rPr>
                <w:rFonts w:ascii="Times New Roman" w:eastAsia="Aptos" w:hAnsi="Times New Roman" w:cs="Times New Roman"/>
                <w:i/>
                <w:iCs/>
                <w:kern w:val="2"/>
                <w:lang w:val="ro-MD"/>
              </w:rPr>
              <w:t>Condiții minime de autorizare a sucursalelor din state terțe</w:t>
            </w:r>
          </w:p>
          <w:p w14:paraId="19EB81AE" w14:textId="77777777" w:rsidR="00265766" w:rsidRPr="009E686F" w:rsidRDefault="00265766" w:rsidP="00265766">
            <w:pPr>
              <w:spacing w:after="0"/>
              <w:ind w:firstLine="720"/>
              <w:jc w:val="both"/>
              <w:rPr>
                <w:rFonts w:ascii="Times New Roman" w:hAnsi="Times New Roman" w:cs="Times New Roman"/>
                <w:bCs/>
                <w:i/>
                <w:iCs/>
                <w:lang w:val="ro-MD"/>
              </w:rPr>
            </w:pPr>
          </w:p>
          <w:p w14:paraId="16C6591C" w14:textId="544298C4" w:rsidR="00265766" w:rsidRPr="009E686F" w:rsidRDefault="00265766" w:rsidP="00265766">
            <w:pPr>
              <w:spacing w:after="0"/>
              <w:jc w:val="both"/>
              <w:rPr>
                <w:rFonts w:ascii="Times New Roman" w:hAnsi="Times New Roman" w:cs="Times New Roman"/>
                <w:bCs/>
                <w:i/>
                <w:iCs/>
                <w:lang w:val="it-IT"/>
              </w:rPr>
            </w:pPr>
            <w:r w:rsidRPr="009E686F">
              <w:rPr>
                <w:rFonts w:ascii="Times New Roman" w:hAnsi="Times New Roman" w:cs="Times New Roman"/>
                <w:bCs/>
                <w:i/>
                <w:iCs/>
                <w:lang w:val="it-IT"/>
              </w:rPr>
              <w:t>(5) Banca Națională a Moldovei depune eforturi pentru a încheia acorduri cu autoritățile competente din statul terț relevant înainte ca o sucursală dintr-un stat terț să își înceapă activitatea pe teritoriul Republicii Moldova, bazate pe modelele de acorduri administrative elaborate de Autoritatea Bancară Europeană, în cazul în care sucursalele din state terțe fac obiectul unor cerințe naționale mai puțin stricte. Banca Națională a Moldovei transmite fără întârziere Autorității Bancare Europene informații cu privire la orice acorduri încheiate cu autoritățile competente din statele terțe.</w:t>
            </w:r>
          </w:p>
        </w:tc>
        <w:tc>
          <w:tcPr>
            <w:tcW w:w="470" w:type="pct"/>
            <w:tcBorders>
              <w:top w:val="single" w:sz="4" w:space="0" w:color="auto"/>
              <w:left w:val="single" w:sz="4" w:space="0" w:color="auto"/>
              <w:bottom w:val="single" w:sz="4" w:space="0" w:color="auto"/>
              <w:right w:val="single" w:sz="4" w:space="0" w:color="auto"/>
            </w:tcBorders>
          </w:tcPr>
          <w:p w14:paraId="52553614" w14:textId="19468DEA" w:rsidR="00265766" w:rsidRPr="009E686F" w:rsidRDefault="00265766" w:rsidP="00265766">
            <w:pPr>
              <w:jc w:val="both"/>
              <w:rPr>
                <w:rFonts w:ascii="Times New Roman" w:hAnsi="Times New Roman" w:cs="Times New Roman"/>
                <w:lang w:val="it-IT"/>
              </w:rPr>
            </w:pPr>
            <w:r w:rsidRPr="009E686F">
              <w:rPr>
                <w:rFonts w:ascii="Times New Roman" w:hAnsi="Times New Roman" w:cs="Times New Roman"/>
                <w:lang w:val="it-CH"/>
              </w:rPr>
              <w:t>Compatibil</w:t>
            </w:r>
          </w:p>
        </w:tc>
        <w:tc>
          <w:tcPr>
            <w:tcW w:w="806" w:type="pct"/>
            <w:tcBorders>
              <w:top w:val="single" w:sz="4" w:space="0" w:color="auto"/>
              <w:left w:val="single" w:sz="4" w:space="0" w:color="auto"/>
              <w:bottom w:val="single" w:sz="4" w:space="0" w:color="auto"/>
              <w:right w:val="single" w:sz="4" w:space="0" w:color="auto"/>
            </w:tcBorders>
          </w:tcPr>
          <w:p w14:paraId="612B1AA1" w14:textId="77777777" w:rsidR="001D4436" w:rsidRPr="009E686F" w:rsidRDefault="001D4436" w:rsidP="001D4436">
            <w:r w:rsidRPr="009E686F">
              <w:rPr>
                <w:rFonts w:ascii="Times New Roman" w:hAnsi="Times New Roman" w:cs="Times New Roman"/>
                <w:lang w:val="ro-RO"/>
              </w:rPr>
              <w:t>În vigoare – data aderării.</w:t>
            </w:r>
          </w:p>
          <w:p w14:paraId="2A086BDE" w14:textId="77777777" w:rsidR="00265766" w:rsidRPr="009E686F" w:rsidRDefault="00265766" w:rsidP="00265766">
            <w:pPr>
              <w:spacing w:after="0"/>
              <w:jc w:val="both"/>
              <w:rPr>
                <w:rFonts w:ascii="Times New Roman" w:hAnsi="Times New Roman" w:cs="Times New Roman"/>
                <w:lang w:val="it-IT"/>
              </w:rPr>
            </w:pPr>
          </w:p>
        </w:tc>
      </w:tr>
      <w:tr w:rsidR="00265766" w:rsidRPr="009E686F" w14:paraId="4DC9CC10" w14:textId="77777777" w:rsidTr="00960C23">
        <w:tc>
          <w:tcPr>
            <w:tcW w:w="1890" w:type="pct"/>
            <w:tcBorders>
              <w:top w:val="single" w:sz="4" w:space="0" w:color="auto"/>
              <w:left w:val="single" w:sz="4" w:space="0" w:color="auto"/>
              <w:bottom w:val="single" w:sz="4" w:space="0" w:color="auto"/>
              <w:right w:val="single" w:sz="4" w:space="0" w:color="auto"/>
            </w:tcBorders>
          </w:tcPr>
          <w:p w14:paraId="44838CF2" w14:textId="174EA22F" w:rsidR="00265766" w:rsidRPr="009E686F" w:rsidDel="002D6675"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(3) Statele membre impun obligația ca cererile de autorizare a sucursalelor din țări terțe să fie însoțite de un program de activitate care să descrie activitățile prevăzute, activitățile care urmează să fie desfășurate dintre cele menționate la articolul 47 alineatul (1), precum și structura organizatorică și gestionarea riscurilor aferente sucursalei în statul membru relevant, în conformitate cu articolul 48g.</w:t>
            </w:r>
          </w:p>
        </w:tc>
        <w:tc>
          <w:tcPr>
            <w:tcW w:w="1834" w:type="pct"/>
            <w:tcBorders>
              <w:top w:val="single" w:sz="4" w:space="0" w:color="auto"/>
              <w:left w:val="single" w:sz="4" w:space="0" w:color="auto"/>
              <w:bottom w:val="single" w:sz="4" w:space="0" w:color="auto"/>
              <w:right w:val="single" w:sz="4" w:space="0" w:color="auto"/>
            </w:tcBorders>
          </w:tcPr>
          <w:p w14:paraId="6FDB180F" w14:textId="77777777" w:rsidR="00265766" w:rsidRPr="009E686F" w:rsidRDefault="00265766" w:rsidP="00265766">
            <w:pPr>
              <w:spacing w:after="0"/>
              <w:jc w:val="both"/>
              <w:rPr>
                <w:rFonts w:ascii="Times New Roman" w:hAnsi="Times New Roman" w:cs="Times New Roman"/>
                <w:i/>
                <w:lang w:val="it-CH"/>
              </w:rPr>
            </w:pPr>
            <w:r w:rsidRPr="009E686F">
              <w:rPr>
                <w:rFonts w:ascii="Times New Roman" w:hAnsi="Times New Roman" w:cs="Times New Roman"/>
                <w:i/>
                <w:lang w:val="it-CH"/>
              </w:rPr>
              <w:t>(2) Pentru eliberarea autorizării sucursalelor din state terțe se depune la Banca Naţională a Moldovei, în modul stabilit de prezenta lege și actele normative emise în aplicarea acesteia, o cerere scrisă, la care se anexează următoarele documente și informații:</w:t>
            </w:r>
          </w:p>
          <w:p w14:paraId="4336E658" w14:textId="77777777" w:rsidR="00265766" w:rsidRPr="009E686F" w:rsidRDefault="00265766" w:rsidP="00265766">
            <w:pPr>
              <w:spacing w:after="0"/>
              <w:jc w:val="both"/>
              <w:rPr>
                <w:rFonts w:ascii="Times New Roman" w:hAnsi="Times New Roman" w:cs="Times New Roman"/>
                <w:bCs/>
                <w:i/>
                <w:iCs/>
                <w:lang w:val="it-IT"/>
              </w:rPr>
            </w:pPr>
            <w:r w:rsidRPr="009E686F">
              <w:rPr>
                <w:rFonts w:ascii="Times New Roman" w:hAnsi="Times New Roman" w:cs="Times New Roman"/>
                <w:bCs/>
                <w:i/>
                <w:iCs/>
                <w:lang w:val="it-IT"/>
              </w:rPr>
              <w:t>a) un program de activitate care să descrie activitățile care urmează să fie desfășurate dintre cele prevăzute la art. 27 alin. (1);</w:t>
            </w:r>
          </w:p>
          <w:p w14:paraId="2C2F9137" w14:textId="6B6CAB01" w:rsidR="00265766" w:rsidRPr="009E686F" w:rsidRDefault="00265766" w:rsidP="00265766">
            <w:pPr>
              <w:spacing w:after="0"/>
              <w:jc w:val="both"/>
              <w:rPr>
                <w:rFonts w:ascii="Times New Roman" w:hAnsi="Times New Roman" w:cs="Times New Roman"/>
                <w:bCs/>
                <w:i/>
                <w:iCs/>
                <w:lang w:val="it-IT"/>
              </w:rPr>
            </w:pPr>
            <w:r w:rsidRPr="009E686F">
              <w:rPr>
                <w:rFonts w:ascii="Times New Roman" w:hAnsi="Times New Roman" w:cs="Times New Roman"/>
                <w:bCs/>
                <w:i/>
                <w:iCs/>
                <w:lang w:val="it-IT"/>
              </w:rPr>
              <w:t>b) structura organizatorică și gestionarea riscurilor aferente sucursalei în Republica Moldova, în conformitate cu art. 94</w:t>
            </w:r>
            <w:r w:rsidRPr="009E686F">
              <w:rPr>
                <w:rFonts w:ascii="Times New Roman" w:hAnsi="Times New Roman" w:cs="Times New Roman"/>
                <w:bCs/>
                <w:i/>
                <w:iCs/>
                <w:vertAlign w:val="superscript"/>
                <w:lang w:val="it-IT"/>
              </w:rPr>
              <w:t>3</w:t>
            </w:r>
            <w:r w:rsidRPr="009E686F">
              <w:rPr>
                <w:rFonts w:ascii="Times New Roman" w:hAnsi="Times New Roman" w:cs="Times New Roman"/>
                <w:bCs/>
                <w:i/>
                <w:iCs/>
                <w:lang w:val="it-IT"/>
              </w:rPr>
              <w:t>;</w:t>
            </w:r>
          </w:p>
          <w:p w14:paraId="2419911B" w14:textId="742505A1" w:rsidR="00265766" w:rsidRPr="009E686F" w:rsidRDefault="00265766" w:rsidP="00265766">
            <w:pPr>
              <w:spacing w:after="0"/>
              <w:jc w:val="both"/>
              <w:rPr>
                <w:rFonts w:ascii="Times New Roman" w:hAnsi="Times New Roman" w:cs="Times New Roman"/>
                <w:bCs/>
                <w:i/>
                <w:iCs/>
                <w:lang w:val="it-IT"/>
              </w:rPr>
            </w:pPr>
            <w:r w:rsidRPr="009E686F">
              <w:rPr>
                <w:rFonts w:ascii="Times New Roman" w:hAnsi="Times New Roman" w:cs="Times New Roman"/>
                <w:bCs/>
                <w:i/>
                <w:iCs/>
                <w:lang w:val="it-IT"/>
              </w:rPr>
              <w:t>c) orice alte informaţii şi documente prevăzute în actele normative ale Băncii Naţionale a Moldovei</w:t>
            </w:r>
            <w:r w:rsidR="00336336" w:rsidRPr="009E686F">
              <w:rPr>
                <w:rFonts w:ascii="Times New Roman" w:hAnsi="Times New Roman" w:cs="Times New Roman"/>
                <w:bCs/>
                <w:i/>
                <w:iCs/>
                <w:lang w:val="it-IT"/>
              </w:rPr>
              <w:t xml:space="preserve"> emise în aplicarea prezentei legi</w:t>
            </w:r>
            <w:r w:rsidRPr="009E686F">
              <w:rPr>
                <w:rFonts w:ascii="Times New Roman" w:hAnsi="Times New Roman" w:cs="Times New Roman"/>
                <w:bCs/>
                <w:i/>
                <w:iCs/>
                <w:lang w:val="it-IT"/>
              </w:rPr>
              <w:t>.</w:t>
            </w:r>
          </w:p>
        </w:tc>
        <w:tc>
          <w:tcPr>
            <w:tcW w:w="470" w:type="pct"/>
            <w:tcBorders>
              <w:top w:val="single" w:sz="4" w:space="0" w:color="auto"/>
              <w:left w:val="single" w:sz="4" w:space="0" w:color="auto"/>
              <w:bottom w:val="single" w:sz="4" w:space="0" w:color="auto"/>
              <w:right w:val="single" w:sz="4" w:space="0" w:color="auto"/>
            </w:tcBorders>
          </w:tcPr>
          <w:p w14:paraId="03E082FE" w14:textId="55439B61" w:rsidR="00265766" w:rsidRPr="009E686F" w:rsidRDefault="00265766" w:rsidP="00265766">
            <w:pPr>
              <w:jc w:val="both"/>
              <w:rPr>
                <w:rFonts w:ascii="Times New Roman" w:hAnsi="Times New Roman" w:cs="Times New Roman"/>
                <w:lang w:val="it-IT"/>
              </w:rPr>
            </w:pPr>
            <w:r w:rsidRPr="009E686F">
              <w:rPr>
                <w:rFonts w:ascii="Times New Roman" w:hAnsi="Times New Roman" w:cs="Times New Roman"/>
                <w:lang w:val="it-CH"/>
              </w:rPr>
              <w:t>Compatibil</w:t>
            </w:r>
          </w:p>
        </w:tc>
        <w:tc>
          <w:tcPr>
            <w:tcW w:w="806" w:type="pct"/>
            <w:tcBorders>
              <w:top w:val="single" w:sz="4" w:space="0" w:color="auto"/>
              <w:left w:val="single" w:sz="4" w:space="0" w:color="auto"/>
              <w:bottom w:val="single" w:sz="4" w:space="0" w:color="auto"/>
              <w:right w:val="single" w:sz="4" w:space="0" w:color="auto"/>
            </w:tcBorders>
          </w:tcPr>
          <w:p w14:paraId="65C75734" w14:textId="77777777" w:rsidR="0050006F" w:rsidRPr="009E686F" w:rsidRDefault="0050006F" w:rsidP="0050006F">
            <w:r w:rsidRPr="009E686F">
              <w:rPr>
                <w:rFonts w:ascii="Times New Roman" w:hAnsi="Times New Roman" w:cs="Times New Roman"/>
                <w:lang w:val="ro-RO"/>
              </w:rPr>
              <w:t>În vigoare – data aderării.</w:t>
            </w:r>
          </w:p>
          <w:p w14:paraId="570DF701" w14:textId="77777777" w:rsidR="00265766" w:rsidRPr="009E686F" w:rsidRDefault="00265766" w:rsidP="00265766">
            <w:pPr>
              <w:spacing w:after="0"/>
              <w:jc w:val="both"/>
              <w:rPr>
                <w:rFonts w:ascii="Times New Roman" w:hAnsi="Times New Roman" w:cs="Times New Roman"/>
                <w:lang w:val="it-IT"/>
              </w:rPr>
            </w:pPr>
          </w:p>
        </w:tc>
      </w:tr>
      <w:tr w:rsidR="0050006F" w:rsidRPr="009E686F" w14:paraId="2A4597A7" w14:textId="77777777" w:rsidTr="002E1EBD">
        <w:tc>
          <w:tcPr>
            <w:tcW w:w="1890" w:type="pct"/>
            <w:tcBorders>
              <w:top w:val="single" w:sz="4" w:space="0" w:color="auto"/>
              <w:left w:val="single" w:sz="4" w:space="0" w:color="auto"/>
              <w:bottom w:val="single" w:sz="4" w:space="0" w:color="auto"/>
              <w:right w:val="single" w:sz="4" w:space="0" w:color="auto"/>
            </w:tcBorders>
          </w:tcPr>
          <w:p w14:paraId="4A51A819" w14:textId="10C17B9E" w:rsidR="0050006F" w:rsidRPr="009E686F" w:rsidDel="002D6675" w:rsidRDefault="0050006F" w:rsidP="00265766">
            <w:pPr>
              <w:spacing w:after="0"/>
              <w:jc w:val="both"/>
              <w:rPr>
                <w:rFonts w:ascii="Times New Roman" w:hAnsi="Times New Roman" w:cs="Times New Roman"/>
              </w:rPr>
            </w:pPr>
            <w:r w:rsidRPr="009E686F">
              <w:rPr>
                <w:rFonts w:ascii="Times New Roman" w:hAnsi="Times New Roman" w:cs="Times New Roman"/>
              </w:rPr>
              <w:lastRenderedPageBreak/>
              <w:t>(4) Sucursalele din țări terțe sunt autorizate numai în cazul în care, ca cerință minimă, sunt îndeplinite toate condițiile următoare:</w:t>
            </w:r>
          </w:p>
        </w:tc>
        <w:tc>
          <w:tcPr>
            <w:tcW w:w="1834" w:type="pct"/>
            <w:tcBorders>
              <w:top w:val="single" w:sz="4" w:space="0" w:color="auto"/>
              <w:left w:val="single" w:sz="4" w:space="0" w:color="auto"/>
              <w:bottom w:val="single" w:sz="4" w:space="0" w:color="auto"/>
              <w:right w:val="single" w:sz="4" w:space="0" w:color="auto"/>
            </w:tcBorders>
          </w:tcPr>
          <w:p w14:paraId="63453FE3" w14:textId="2175B6DD" w:rsidR="0050006F" w:rsidRPr="009E686F" w:rsidRDefault="0050006F" w:rsidP="00265766">
            <w:pPr>
              <w:spacing w:after="0"/>
              <w:jc w:val="both"/>
              <w:rPr>
                <w:rFonts w:ascii="Times New Roman" w:hAnsi="Times New Roman" w:cs="Times New Roman"/>
                <w:bCs/>
                <w:i/>
                <w:iCs/>
                <w:lang w:val="it-IT"/>
              </w:rPr>
            </w:pPr>
            <w:r w:rsidRPr="009E686F">
              <w:rPr>
                <w:rFonts w:ascii="Times New Roman" w:hAnsi="Times New Roman" w:cs="Times New Roman"/>
                <w:bCs/>
                <w:i/>
                <w:iCs/>
                <w:lang w:val="it-IT"/>
              </w:rPr>
              <w:t>(3) Banca Națională a Moldovei eliberează autorizația prevăzută la alin. (1) sucursalei dintr-un stat terț numai în cazul în care, sunt îndeplinite, cel puțin, următoarele condiții:</w:t>
            </w:r>
          </w:p>
        </w:tc>
        <w:tc>
          <w:tcPr>
            <w:tcW w:w="470" w:type="pct"/>
            <w:tcBorders>
              <w:top w:val="single" w:sz="4" w:space="0" w:color="auto"/>
              <w:left w:val="single" w:sz="4" w:space="0" w:color="auto"/>
              <w:bottom w:val="single" w:sz="4" w:space="0" w:color="auto"/>
              <w:right w:val="single" w:sz="4" w:space="0" w:color="auto"/>
            </w:tcBorders>
          </w:tcPr>
          <w:p w14:paraId="72B0C50C" w14:textId="1DACBC58" w:rsidR="0050006F" w:rsidRPr="009E686F" w:rsidRDefault="0050006F" w:rsidP="00265766">
            <w:pPr>
              <w:jc w:val="both"/>
              <w:rPr>
                <w:rFonts w:ascii="Times New Roman" w:hAnsi="Times New Roman" w:cs="Times New Roman"/>
                <w:lang w:val="it-IT"/>
              </w:rPr>
            </w:pPr>
            <w:r w:rsidRPr="009E686F">
              <w:rPr>
                <w:rFonts w:ascii="Times New Roman" w:hAnsi="Times New Roman" w:cs="Times New Roman"/>
                <w:lang w:val="it-CH"/>
              </w:rPr>
              <w:t>Compatibil</w:t>
            </w:r>
          </w:p>
        </w:tc>
        <w:tc>
          <w:tcPr>
            <w:tcW w:w="806" w:type="pct"/>
            <w:vMerge w:val="restart"/>
            <w:tcBorders>
              <w:top w:val="single" w:sz="4" w:space="0" w:color="auto"/>
              <w:left w:val="single" w:sz="4" w:space="0" w:color="auto"/>
              <w:right w:val="single" w:sz="4" w:space="0" w:color="auto"/>
            </w:tcBorders>
          </w:tcPr>
          <w:p w14:paraId="06F6402D" w14:textId="77777777" w:rsidR="0050006F" w:rsidRPr="009E686F" w:rsidRDefault="0050006F" w:rsidP="0050006F">
            <w:r w:rsidRPr="009E686F">
              <w:rPr>
                <w:rFonts w:ascii="Times New Roman" w:hAnsi="Times New Roman" w:cs="Times New Roman"/>
                <w:lang w:val="ro-RO"/>
              </w:rPr>
              <w:t>În vigoare – data aderării.</w:t>
            </w:r>
          </w:p>
          <w:p w14:paraId="0284588C" w14:textId="77777777" w:rsidR="0050006F" w:rsidRPr="009E686F" w:rsidRDefault="0050006F" w:rsidP="00265766">
            <w:pPr>
              <w:spacing w:after="0"/>
              <w:jc w:val="both"/>
              <w:rPr>
                <w:rFonts w:ascii="Times New Roman" w:hAnsi="Times New Roman" w:cs="Times New Roman"/>
                <w:lang w:val="it-IT"/>
              </w:rPr>
            </w:pPr>
          </w:p>
        </w:tc>
      </w:tr>
      <w:tr w:rsidR="0050006F" w:rsidRPr="009E686F" w14:paraId="03E19A5C" w14:textId="77777777" w:rsidTr="002E1EBD">
        <w:tc>
          <w:tcPr>
            <w:tcW w:w="1890" w:type="pct"/>
            <w:tcBorders>
              <w:top w:val="single" w:sz="4" w:space="0" w:color="auto"/>
              <w:left w:val="single" w:sz="4" w:space="0" w:color="auto"/>
              <w:bottom w:val="single" w:sz="4" w:space="0" w:color="auto"/>
              <w:right w:val="single" w:sz="4" w:space="0" w:color="auto"/>
            </w:tcBorders>
          </w:tcPr>
          <w:p w14:paraId="090CF970" w14:textId="0876B4CB" w:rsidR="0050006F" w:rsidRPr="009E686F" w:rsidDel="002D6675" w:rsidRDefault="0050006F" w:rsidP="00265766">
            <w:pPr>
              <w:spacing w:after="0"/>
              <w:jc w:val="both"/>
              <w:rPr>
                <w:rFonts w:ascii="Times New Roman" w:hAnsi="Times New Roman" w:cs="Times New Roman"/>
                <w:lang w:val="it-IT"/>
              </w:rPr>
            </w:pPr>
            <w:r w:rsidRPr="009E686F">
              <w:rPr>
                <w:rFonts w:ascii="Times New Roman" w:hAnsi="Times New Roman" w:cs="Times New Roman"/>
                <w:lang w:val="it-IT"/>
              </w:rPr>
              <w:t>(a) sucursala dintr-o țară terță îndeplinește cerințele minime de reglementare prevăzute în subsecțiunea 2;</w:t>
            </w:r>
          </w:p>
        </w:tc>
        <w:tc>
          <w:tcPr>
            <w:tcW w:w="1834" w:type="pct"/>
            <w:tcBorders>
              <w:top w:val="single" w:sz="4" w:space="0" w:color="auto"/>
              <w:left w:val="single" w:sz="4" w:space="0" w:color="auto"/>
              <w:bottom w:val="single" w:sz="4" w:space="0" w:color="auto"/>
              <w:right w:val="single" w:sz="4" w:space="0" w:color="auto"/>
            </w:tcBorders>
          </w:tcPr>
          <w:p w14:paraId="4C29FEF0" w14:textId="1314FD0A" w:rsidR="0050006F" w:rsidRPr="009E686F" w:rsidRDefault="0050006F" w:rsidP="00265766">
            <w:pPr>
              <w:spacing w:after="0"/>
              <w:jc w:val="both"/>
              <w:rPr>
                <w:rFonts w:ascii="Times New Roman" w:hAnsi="Times New Roman" w:cs="Times New Roman"/>
                <w:bCs/>
                <w:i/>
                <w:iCs/>
                <w:lang w:val="it-IT"/>
              </w:rPr>
            </w:pPr>
            <w:r w:rsidRPr="009E686F">
              <w:rPr>
                <w:rFonts w:ascii="Times New Roman" w:hAnsi="Times New Roman" w:cs="Times New Roman"/>
                <w:bCs/>
                <w:i/>
                <w:iCs/>
                <w:lang w:val="it-IT"/>
              </w:rPr>
              <w:t>a) sucursala dintr-un stat terț îndeplinește cerințele minime de reglementare prevăzute în Capitolul 6</w:t>
            </w:r>
            <w:r w:rsidRPr="009E686F">
              <w:rPr>
                <w:rFonts w:ascii="Times New Roman" w:hAnsi="Times New Roman" w:cs="Times New Roman"/>
                <w:bCs/>
                <w:i/>
                <w:iCs/>
                <w:vertAlign w:val="superscript"/>
                <w:lang w:val="it-IT"/>
              </w:rPr>
              <w:t>1</w:t>
            </w:r>
            <w:r w:rsidR="00336336" w:rsidRPr="009E686F">
              <w:rPr>
                <w:rFonts w:ascii="Times New Roman" w:hAnsi="Times New Roman" w:cs="Times New Roman"/>
                <w:bCs/>
                <w:i/>
                <w:iCs/>
                <w:lang w:val="it-IT"/>
              </w:rPr>
              <w:t>al Titlului III</w:t>
            </w:r>
            <w:r w:rsidRPr="009E686F">
              <w:rPr>
                <w:rFonts w:ascii="Times New Roman" w:hAnsi="Times New Roman" w:cs="Times New Roman"/>
                <w:bCs/>
                <w:i/>
                <w:iCs/>
                <w:lang w:val="it-IT"/>
              </w:rPr>
              <w:t>;</w:t>
            </w:r>
          </w:p>
        </w:tc>
        <w:tc>
          <w:tcPr>
            <w:tcW w:w="470" w:type="pct"/>
            <w:tcBorders>
              <w:top w:val="single" w:sz="4" w:space="0" w:color="auto"/>
              <w:left w:val="single" w:sz="4" w:space="0" w:color="auto"/>
              <w:bottom w:val="single" w:sz="4" w:space="0" w:color="auto"/>
              <w:right w:val="single" w:sz="4" w:space="0" w:color="auto"/>
            </w:tcBorders>
          </w:tcPr>
          <w:p w14:paraId="02261190" w14:textId="06C24939" w:rsidR="0050006F" w:rsidRPr="009E686F" w:rsidRDefault="0050006F" w:rsidP="00265766">
            <w:pPr>
              <w:jc w:val="both"/>
              <w:rPr>
                <w:rFonts w:ascii="Times New Roman" w:hAnsi="Times New Roman" w:cs="Times New Roman"/>
                <w:lang w:val="it-IT"/>
              </w:rPr>
            </w:pPr>
            <w:r w:rsidRPr="009E686F">
              <w:rPr>
                <w:rFonts w:ascii="Times New Roman" w:hAnsi="Times New Roman" w:cs="Times New Roman"/>
                <w:lang w:val="it-CH"/>
              </w:rPr>
              <w:t>Compatibil</w:t>
            </w:r>
          </w:p>
        </w:tc>
        <w:tc>
          <w:tcPr>
            <w:tcW w:w="806" w:type="pct"/>
            <w:vMerge/>
            <w:tcBorders>
              <w:left w:val="single" w:sz="4" w:space="0" w:color="auto"/>
              <w:right w:val="single" w:sz="4" w:space="0" w:color="auto"/>
            </w:tcBorders>
          </w:tcPr>
          <w:p w14:paraId="097C62A9" w14:textId="77777777" w:rsidR="0050006F" w:rsidRPr="009E686F" w:rsidRDefault="0050006F" w:rsidP="00265766">
            <w:pPr>
              <w:spacing w:after="0"/>
              <w:jc w:val="both"/>
              <w:rPr>
                <w:rFonts w:ascii="Times New Roman" w:hAnsi="Times New Roman" w:cs="Times New Roman"/>
                <w:lang w:val="it-IT"/>
              </w:rPr>
            </w:pPr>
          </w:p>
        </w:tc>
      </w:tr>
      <w:tr w:rsidR="0050006F" w:rsidRPr="009E686F" w14:paraId="2373BF24" w14:textId="77777777" w:rsidTr="002E1EBD">
        <w:tc>
          <w:tcPr>
            <w:tcW w:w="1890" w:type="pct"/>
            <w:tcBorders>
              <w:top w:val="single" w:sz="4" w:space="0" w:color="auto"/>
              <w:left w:val="single" w:sz="4" w:space="0" w:color="auto"/>
              <w:bottom w:val="single" w:sz="4" w:space="0" w:color="auto"/>
              <w:right w:val="single" w:sz="4" w:space="0" w:color="auto"/>
            </w:tcBorders>
          </w:tcPr>
          <w:p w14:paraId="565B45FA" w14:textId="10DAE6C1" w:rsidR="0050006F" w:rsidRPr="009E686F" w:rsidDel="002D6675" w:rsidRDefault="0050006F" w:rsidP="00265766">
            <w:pPr>
              <w:spacing w:after="0"/>
              <w:jc w:val="both"/>
              <w:rPr>
                <w:rFonts w:ascii="Times New Roman" w:hAnsi="Times New Roman" w:cs="Times New Roman"/>
              </w:rPr>
            </w:pPr>
            <w:r w:rsidRPr="009E686F">
              <w:rPr>
                <w:rFonts w:ascii="Times New Roman" w:hAnsi="Times New Roman" w:cs="Times New Roman"/>
              </w:rPr>
              <w:t>(b) activitățile pentru care întreprinderea principală solicită autorizarea în statul membru intră în sfera autorizației pe care o deține respectiva întreprindere principală în țara terță în care este stabilită și sunt supuse supravegherii în țara terță respectivă;</w:t>
            </w:r>
          </w:p>
        </w:tc>
        <w:tc>
          <w:tcPr>
            <w:tcW w:w="1834" w:type="pct"/>
            <w:tcBorders>
              <w:top w:val="single" w:sz="4" w:space="0" w:color="auto"/>
              <w:left w:val="single" w:sz="4" w:space="0" w:color="auto"/>
              <w:bottom w:val="single" w:sz="4" w:space="0" w:color="auto"/>
              <w:right w:val="single" w:sz="4" w:space="0" w:color="auto"/>
            </w:tcBorders>
          </w:tcPr>
          <w:p w14:paraId="1DCACEDF" w14:textId="35B36A4C" w:rsidR="0050006F" w:rsidRPr="009E686F" w:rsidRDefault="0050006F" w:rsidP="00265766">
            <w:pPr>
              <w:spacing w:after="0"/>
              <w:jc w:val="both"/>
              <w:rPr>
                <w:rFonts w:ascii="Times New Roman" w:hAnsi="Times New Roman" w:cs="Times New Roman"/>
                <w:bCs/>
                <w:i/>
                <w:iCs/>
              </w:rPr>
            </w:pPr>
            <w:r w:rsidRPr="009E686F">
              <w:rPr>
                <w:rFonts w:ascii="Times New Roman" w:hAnsi="Times New Roman" w:cs="Times New Roman"/>
                <w:bCs/>
                <w:i/>
                <w:iCs/>
              </w:rPr>
              <w:t>b) activitățile pentru care întreprinderea principală solicită autorizarea intră în sfera autorizației pe care o deține respectiva întreprindere principală în statul terț în care este stabilit și sunt supuse supravegherii în statul terț respectiv;</w:t>
            </w:r>
          </w:p>
        </w:tc>
        <w:tc>
          <w:tcPr>
            <w:tcW w:w="470" w:type="pct"/>
            <w:tcBorders>
              <w:top w:val="single" w:sz="4" w:space="0" w:color="auto"/>
              <w:left w:val="single" w:sz="4" w:space="0" w:color="auto"/>
              <w:bottom w:val="single" w:sz="4" w:space="0" w:color="auto"/>
              <w:right w:val="single" w:sz="4" w:space="0" w:color="auto"/>
            </w:tcBorders>
          </w:tcPr>
          <w:p w14:paraId="086F0C65" w14:textId="667FCD99" w:rsidR="0050006F" w:rsidRPr="009E686F" w:rsidRDefault="0050006F" w:rsidP="00265766">
            <w:pPr>
              <w:jc w:val="both"/>
              <w:rPr>
                <w:rFonts w:ascii="Times New Roman" w:hAnsi="Times New Roman" w:cs="Times New Roman"/>
                <w:lang w:val="it-IT"/>
              </w:rPr>
            </w:pPr>
            <w:r w:rsidRPr="009E686F">
              <w:rPr>
                <w:rFonts w:ascii="Times New Roman" w:hAnsi="Times New Roman" w:cs="Times New Roman"/>
                <w:lang w:val="it-CH"/>
              </w:rPr>
              <w:t>Compatibil</w:t>
            </w:r>
          </w:p>
        </w:tc>
        <w:tc>
          <w:tcPr>
            <w:tcW w:w="806" w:type="pct"/>
            <w:vMerge/>
            <w:tcBorders>
              <w:left w:val="single" w:sz="4" w:space="0" w:color="auto"/>
              <w:right w:val="single" w:sz="4" w:space="0" w:color="auto"/>
            </w:tcBorders>
          </w:tcPr>
          <w:p w14:paraId="273B27D4" w14:textId="77777777" w:rsidR="0050006F" w:rsidRPr="009E686F" w:rsidRDefault="0050006F" w:rsidP="00265766">
            <w:pPr>
              <w:spacing w:after="0"/>
              <w:jc w:val="both"/>
              <w:rPr>
                <w:rFonts w:ascii="Times New Roman" w:hAnsi="Times New Roman" w:cs="Times New Roman"/>
                <w:lang w:val="it-IT"/>
              </w:rPr>
            </w:pPr>
          </w:p>
        </w:tc>
      </w:tr>
      <w:tr w:rsidR="0050006F" w:rsidRPr="009E686F" w14:paraId="306DA1CC" w14:textId="77777777" w:rsidTr="002E1EBD">
        <w:tc>
          <w:tcPr>
            <w:tcW w:w="1890" w:type="pct"/>
            <w:tcBorders>
              <w:top w:val="single" w:sz="4" w:space="0" w:color="auto"/>
              <w:left w:val="single" w:sz="4" w:space="0" w:color="auto"/>
              <w:bottom w:val="single" w:sz="4" w:space="0" w:color="auto"/>
              <w:right w:val="single" w:sz="4" w:space="0" w:color="auto"/>
            </w:tcBorders>
          </w:tcPr>
          <w:p w14:paraId="6498F445" w14:textId="3195E9B8" w:rsidR="0050006F" w:rsidRPr="009E686F" w:rsidDel="002D6675" w:rsidRDefault="0050006F" w:rsidP="00265766">
            <w:pPr>
              <w:spacing w:after="0"/>
              <w:jc w:val="both"/>
              <w:rPr>
                <w:rFonts w:ascii="Times New Roman" w:hAnsi="Times New Roman" w:cs="Times New Roman"/>
                <w:lang w:val="it-CH"/>
              </w:rPr>
            </w:pPr>
            <w:r w:rsidRPr="009E686F">
              <w:rPr>
                <w:rFonts w:ascii="Times New Roman" w:hAnsi="Times New Roman" w:cs="Times New Roman"/>
                <w:lang w:val="it-CH"/>
              </w:rPr>
              <w:t>(c) autoritatea de supraveghere a întreprinderii principale din țara terță a fost notificată cu privire la cererea de înființare a unei sucursale în statul membru și la documentele însoțitoare menționate la alineatul (3) și a primit cererea și documentele respective;</w:t>
            </w:r>
          </w:p>
        </w:tc>
        <w:tc>
          <w:tcPr>
            <w:tcW w:w="1834" w:type="pct"/>
            <w:tcBorders>
              <w:top w:val="single" w:sz="4" w:space="0" w:color="auto"/>
              <w:left w:val="single" w:sz="4" w:space="0" w:color="auto"/>
              <w:bottom w:val="single" w:sz="4" w:space="0" w:color="auto"/>
              <w:right w:val="single" w:sz="4" w:space="0" w:color="auto"/>
            </w:tcBorders>
          </w:tcPr>
          <w:p w14:paraId="5AC9197E" w14:textId="516BF3F8" w:rsidR="0050006F" w:rsidRPr="009E686F" w:rsidRDefault="0050006F" w:rsidP="00265766">
            <w:pPr>
              <w:spacing w:after="0"/>
              <w:jc w:val="both"/>
              <w:rPr>
                <w:rFonts w:ascii="Times New Roman" w:hAnsi="Times New Roman" w:cs="Times New Roman"/>
                <w:bCs/>
                <w:i/>
                <w:iCs/>
                <w:lang w:val="it-IT"/>
              </w:rPr>
            </w:pPr>
            <w:r w:rsidRPr="009E686F">
              <w:rPr>
                <w:rFonts w:ascii="Times New Roman" w:hAnsi="Times New Roman" w:cs="Times New Roman"/>
                <w:i/>
                <w:lang w:val="it-CH"/>
              </w:rPr>
              <w:t xml:space="preserve">c) autoritatea de supraveghere a întreprinderii principale din statul terț a fost notificată cu privire la cererea de înființare a unei sucursale pe teritoriul Republicii Moldova, inclusiv a recepționat respectiva cerere însoțită de documentele prevăzute la alin. </w:t>
            </w:r>
            <w:r w:rsidRPr="009E686F">
              <w:rPr>
                <w:rFonts w:ascii="Times New Roman" w:hAnsi="Times New Roman" w:cs="Times New Roman"/>
                <w:bCs/>
                <w:i/>
                <w:iCs/>
                <w:lang w:val="it-IT"/>
              </w:rPr>
              <w:t>(3);</w:t>
            </w:r>
          </w:p>
        </w:tc>
        <w:tc>
          <w:tcPr>
            <w:tcW w:w="470" w:type="pct"/>
            <w:tcBorders>
              <w:top w:val="single" w:sz="4" w:space="0" w:color="auto"/>
              <w:left w:val="single" w:sz="4" w:space="0" w:color="auto"/>
              <w:bottom w:val="single" w:sz="4" w:space="0" w:color="auto"/>
              <w:right w:val="single" w:sz="4" w:space="0" w:color="auto"/>
            </w:tcBorders>
          </w:tcPr>
          <w:p w14:paraId="6FE3D195" w14:textId="56A79FD2" w:rsidR="0050006F" w:rsidRPr="009E686F" w:rsidRDefault="0050006F" w:rsidP="00265766">
            <w:pPr>
              <w:jc w:val="both"/>
              <w:rPr>
                <w:rFonts w:ascii="Times New Roman" w:hAnsi="Times New Roman" w:cs="Times New Roman"/>
                <w:lang w:val="it-IT"/>
              </w:rPr>
            </w:pPr>
            <w:r w:rsidRPr="009E686F">
              <w:rPr>
                <w:rFonts w:ascii="Times New Roman" w:hAnsi="Times New Roman" w:cs="Times New Roman"/>
                <w:lang w:val="it-CH"/>
              </w:rPr>
              <w:t>Compatibil</w:t>
            </w:r>
          </w:p>
        </w:tc>
        <w:tc>
          <w:tcPr>
            <w:tcW w:w="806" w:type="pct"/>
            <w:vMerge/>
            <w:tcBorders>
              <w:left w:val="single" w:sz="4" w:space="0" w:color="auto"/>
              <w:right w:val="single" w:sz="4" w:space="0" w:color="auto"/>
            </w:tcBorders>
          </w:tcPr>
          <w:p w14:paraId="11EC4707" w14:textId="77777777" w:rsidR="0050006F" w:rsidRPr="009E686F" w:rsidRDefault="0050006F" w:rsidP="00265766">
            <w:pPr>
              <w:spacing w:after="0"/>
              <w:jc w:val="both"/>
              <w:rPr>
                <w:rFonts w:ascii="Times New Roman" w:hAnsi="Times New Roman" w:cs="Times New Roman"/>
                <w:lang w:val="it-IT"/>
              </w:rPr>
            </w:pPr>
          </w:p>
        </w:tc>
      </w:tr>
      <w:tr w:rsidR="0050006F" w:rsidRPr="009E686F" w14:paraId="60166E11" w14:textId="77777777" w:rsidTr="00490984">
        <w:tc>
          <w:tcPr>
            <w:tcW w:w="1890" w:type="pct"/>
            <w:tcBorders>
              <w:top w:val="single" w:sz="4" w:space="0" w:color="auto"/>
              <w:left w:val="single" w:sz="4" w:space="0" w:color="auto"/>
              <w:bottom w:val="single" w:sz="4" w:space="0" w:color="auto"/>
              <w:right w:val="single" w:sz="4" w:space="0" w:color="auto"/>
            </w:tcBorders>
          </w:tcPr>
          <w:p w14:paraId="4DE99D59" w14:textId="45B3F2C4" w:rsidR="0050006F" w:rsidRPr="009E686F" w:rsidDel="002D6675" w:rsidRDefault="0050006F" w:rsidP="00265766">
            <w:pPr>
              <w:spacing w:after="0"/>
              <w:jc w:val="both"/>
              <w:rPr>
                <w:rFonts w:ascii="Times New Roman" w:hAnsi="Times New Roman" w:cs="Times New Roman"/>
              </w:rPr>
            </w:pPr>
            <w:r w:rsidRPr="009E686F">
              <w:rPr>
                <w:rFonts w:ascii="Times New Roman" w:hAnsi="Times New Roman" w:cs="Times New Roman"/>
              </w:rPr>
              <w:t>(d) autorizația prevede că sucursala dintr-o țară terță poate desfășura activitățile autorizate numai în statul membru în care este stabilită și interzice în mod expres sucursalei din țara terță să ofere sau să desfășoare activitățile respective în alte state membre, la nivel transfrontalier, cu excepția operațiunilor de finanțare din interiorul grupului încheiate cu alte sucursale ale aceleiași întreprinderi principale dintr-o țară terță și a operațiunilor efectuate pe bază de solicitare inversă a serviciilor în conformitate cu articolul 21c;</w:t>
            </w:r>
          </w:p>
        </w:tc>
        <w:tc>
          <w:tcPr>
            <w:tcW w:w="1834" w:type="pct"/>
            <w:tcBorders>
              <w:top w:val="single" w:sz="4" w:space="0" w:color="auto"/>
              <w:left w:val="single" w:sz="4" w:space="0" w:color="auto"/>
              <w:bottom w:val="single" w:sz="4" w:space="0" w:color="auto"/>
              <w:right w:val="single" w:sz="4" w:space="0" w:color="auto"/>
            </w:tcBorders>
          </w:tcPr>
          <w:p w14:paraId="1D825060" w14:textId="1534C19F" w:rsidR="0050006F" w:rsidRPr="009E686F" w:rsidRDefault="0050006F" w:rsidP="00265766">
            <w:pPr>
              <w:spacing w:after="0"/>
              <w:jc w:val="both"/>
              <w:rPr>
                <w:rFonts w:ascii="Times New Roman" w:hAnsi="Times New Roman" w:cs="Times New Roman"/>
                <w:bCs/>
                <w:i/>
                <w:iCs/>
              </w:rPr>
            </w:pPr>
            <w:r w:rsidRPr="009E686F">
              <w:rPr>
                <w:rFonts w:ascii="Times New Roman" w:hAnsi="Times New Roman" w:cs="Times New Roman"/>
                <w:bCs/>
                <w:i/>
                <w:iCs/>
              </w:rPr>
              <w:t xml:space="preserve">d) autorizația prevede că sucursala dintr-un stat terț poate desfășura activitățile autorizate numai în statul membru în care este stabilită și interzice în mod expres sucursalei din statul terț să ofere sau să desfășoare activitățile respective în alte state membre, la nivel transfrontalier, cu excepția operațiunilor de finanțare din interiorul grupului încheiate cu alte sucursale ale aceleiași întreprinderi principale dintr-o stat terț și a operațiunilor efectuate pe bază de solicitare inversă a serviciilor în </w:t>
            </w:r>
            <w:r w:rsidR="00A62123" w:rsidRPr="009E686F">
              <w:rPr>
                <w:rFonts w:ascii="Times New Roman" w:hAnsi="Times New Roman" w:cs="Times New Roman"/>
                <w:bCs/>
                <w:i/>
                <w:iCs/>
              </w:rPr>
              <w:t xml:space="preserve">condițiile </w:t>
            </w:r>
            <w:r w:rsidRPr="009E686F">
              <w:rPr>
                <w:rFonts w:ascii="Times New Roman" w:hAnsi="Times New Roman" w:cs="Times New Roman"/>
                <w:bCs/>
                <w:i/>
                <w:iCs/>
              </w:rPr>
              <w:t>art. 24;</w:t>
            </w:r>
          </w:p>
        </w:tc>
        <w:tc>
          <w:tcPr>
            <w:tcW w:w="470" w:type="pct"/>
            <w:tcBorders>
              <w:top w:val="single" w:sz="4" w:space="0" w:color="auto"/>
              <w:left w:val="single" w:sz="4" w:space="0" w:color="auto"/>
              <w:bottom w:val="single" w:sz="4" w:space="0" w:color="auto"/>
              <w:right w:val="single" w:sz="4" w:space="0" w:color="auto"/>
            </w:tcBorders>
          </w:tcPr>
          <w:p w14:paraId="2B524167" w14:textId="77AB2ADB" w:rsidR="0050006F" w:rsidRPr="009E686F" w:rsidRDefault="0050006F" w:rsidP="00265766">
            <w:pPr>
              <w:jc w:val="both"/>
              <w:rPr>
                <w:rFonts w:ascii="Times New Roman" w:hAnsi="Times New Roman" w:cs="Times New Roman"/>
              </w:rPr>
            </w:pPr>
            <w:r w:rsidRPr="009E686F">
              <w:rPr>
                <w:rFonts w:ascii="Times New Roman" w:hAnsi="Times New Roman" w:cs="Times New Roman"/>
                <w:lang w:val="it-CH"/>
              </w:rPr>
              <w:t>Compatibil</w:t>
            </w:r>
          </w:p>
        </w:tc>
        <w:tc>
          <w:tcPr>
            <w:tcW w:w="806" w:type="pct"/>
            <w:vMerge/>
            <w:tcBorders>
              <w:left w:val="single" w:sz="4" w:space="0" w:color="auto"/>
              <w:right w:val="single" w:sz="4" w:space="0" w:color="auto"/>
            </w:tcBorders>
          </w:tcPr>
          <w:p w14:paraId="0DA3CDAF" w14:textId="77777777" w:rsidR="0050006F" w:rsidRPr="009E686F" w:rsidRDefault="0050006F" w:rsidP="00265766">
            <w:pPr>
              <w:spacing w:after="0"/>
              <w:jc w:val="both"/>
              <w:rPr>
                <w:rFonts w:ascii="Times New Roman" w:hAnsi="Times New Roman" w:cs="Times New Roman"/>
              </w:rPr>
            </w:pPr>
          </w:p>
        </w:tc>
      </w:tr>
      <w:tr w:rsidR="0050006F" w:rsidRPr="009E686F" w14:paraId="65F9D654" w14:textId="77777777" w:rsidTr="00490984">
        <w:tc>
          <w:tcPr>
            <w:tcW w:w="1890" w:type="pct"/>
            <w:tcBorders>
              <w:top w:val="single" w:sz="4" w:space="0" w:color="auto"/>
              <w:left w:val="single" w:sz="4" w:space="0" w:color="auto"/>
              <w:bottom w:val="single" w:sz="4" w:space="0" w:color="auto"/>
              <w:right w:val="single" w:sz="4" w:space="0" w:color="auto"/>
            </w:tcBorders>
          </w:tcPr>
          <w:p w14:paraId="0740C594" w14:textId="2C88AEFA" w:rsidR="0050006F" w:rsidRPr="009E686F" w:rsidDel="002D6675" w:rsidRDefault="0050006F" w:rsidP="00265766">
            <w:pPr>
              <w:spacing w:after="0"/>
              <w:jc w:val="both"/>
              <w:rPr>
                <w:rFonts w:ascii="Times New Roman" w:hAnsi="Times New Roman" w:cs="Times New Roman"/>
              </w:rPr>
            </w:pPr>
            <w:r w:rsidRPr="009E686F">
              <w:rPr>
                <w:rFonts w:ascii="Times New Roman" w:hAnsi="Times New Roman" w:cs="Times New Roman"/>
              </w:rPr>
              <w:t xml:space="preserve">(e) în scopul exercitării funcțiilor sale de supraveghere, autoritatea competentă poate să acceseze toate informațiile necesare privind întreprinderea principală de la autoritățile de supraveghere ale întreprinderii principale respective și să își coordoneze în mod eficace activitățile de supraveghere cu cele ale autorităților de supraveghere din țara terță, în special în perioade de criză sau de dificultăți financiare care afectează </w:t>
            </w:r>
            <w:r w:rsidRPr="009E686F">
              <w:rPr>
                <w:rFonts w:ascii="Times New Roman" w:hAnsi="Times New Roman" w:cs="Times New Roman"/>
              </w:rPr>
              <w:lastRenderedPageBreak/>
              <w:t>întreprinderea principală, grupul acesteia sau sistemul financiar al țării terțe;</w:t>
            </w:r>
          </w:p>
        </w:tc>
        <w:tc>
          <w:tcPr>
            <w:tcW w:w="1834" w:type="pct"/>
            <w:tcBorders>
              <w:top w:val="single" w:sz="4" w:space="0" w:color="auto"/>
              <w:left w:val="single" w:sz="4" w:space="0" w:color="auto"/>
              <w:bottom w:val="single" w:sz="4" w:space="0" w:color="auto"/>
              <w:right w:val="single" w:sz="4" w:space="0" w:color="auto"/>
            </w:tcBorders>
          </w:tcPr>
          <w:p w14:paraId="21B8AE9B" w14:textId="06070157" w:rsidR="0050006F" w:rsidRPr="009E686F" w:rsidRDefault="0050006F" w:rsidP="00265766">
            <w:pPr>
              <w:spacing w:after="0"/>
              <w:jc w:val="both"/>
              <w:rPr>
                <w:rFonts w:ascii="Times New Roman" w:hAnsi="Times New Roman" w:cs="Times New Roman"/>
                <w:bCs/>
                <w:i/>
                <w:iCs/>
              </w:rPr>
            </w:pPr>
            <w:r w:rsidRPr="009E686F">
              <w:rPr>
                <w:rFonts w:ascii="Times New Roman" w:hAnsi="Times New Roman" w:cs="Times New Roman"/>
                <w:bCs/>
                <w:i/>
                <w:iCs/>
              </w:rPr>
              <w:lastRenderedPageBreak/>
              <w:t xml:space="preserve">e) în scopul exercitării funcțiilor sale de supraveghere, Banca Națională a Moldovei are posibilitatea să aibă acces la toate informațiile necesare privind întreprinderea principală de la autoritățile de supraveghere ale întreprinderii principale respective și să își coordoneze în mod eficace activitățile de supraveghere cu cele ale autorităților de supraveghere din statul terț, în special în </w:t>
            </w:r>
            <w:r w:rsidRPr="009E686F">
              <w:rPr>
                <w:rFonts w:ascii="Times New Roman" w:hAnsi="Times New Roman" w:cs="Times New Roman"/>
                <w:bCs/>
                <w:i/>
                <w:iCs/>
              </w:rPr>
              <w:lastRenderedPageBreak/>
              <w:t>perioade de criză sau de dificultăți financiare care afectează întreprinderea principală, grupul acesteia sau sistemul financiar al statului terț;</w:t>
            </w:r>
          </w:p>
        </w:tc>
        <w:tc>
          <w:tcPr>
            <w:tcW w:w="470" w:type="pct"/>
            <w:tcBorders>
              <w:top w:val="single" w:sz="4" w:space="0" w:color="auto"/>
              <w:left w:val="single" w:sz="4" w:space="0" w:color="auto"/>
              <w:bottom w:val="single" w:sz="4" w:space="0" w:color="auto"/>
              <w:right w:val="single" w:sz="4" w:space="0" w:color="auto"/>
            </w:tcBorders>
          </w:tcPr>
          <w:p w14:paraId="450F22A9" w14:textId="7C97FF27" w:rsidR="0050006F" w:rsidRPr="009E686F" w:rsidRDefault="0050006F" w:rsidP="00265766">
            <w:pPr>
              <w:jc w:val="both"/>
              <w:rPr>
                <w:rFonts w:ascii="Times New Roman" w:hAnsi="Times New Roman" w:cs="Times New Roman"/>
              </w:rPr>
            </w:pPr>
            <w:r w:rsidRPr="009E686F">
              <w:rPr>
                <w:rFonts w:ascii="Times New Roman" w:hAnsi="Times New Roman" w:cs="Times New Roman"/>
                <w:lang w:val="it-CH"/>
              </w:rPr>
              <w:lastRenderedPageBreak/>
              <w:t>Compatibil</w:t>
            </w:r>
          </w:p>
        </w:tc>
        <w:tc>
          <w:tcPr>
            <w:tcW w:w="806" w:type="pct"/>
            <w:vMerge/>
            <w:tcBorders>
              <w:left w:val="single" w:sz="4" w:space="0" w:color="auto"/>
              <w:right w:val="single" w:sz="4" w:space="0" w:color="auto"/>
            </w:tcBorders>
          </w:tcPr>
          <w:p w14:paraId="70B189A1" w14:textId="77777777" w:rsidR="0050006F" w:rsidRPr="009E686F" w:rsidRDefault="0050006F" w:rsidP="00265766">
            <w:pPr>
              <w:spacing w:after="0"/>
              <w:jc w:val="both"/>
              <w:rPr>
                <w:rFonts w:ascii="Times New Roman" w:hAnsi="Times New Roman" w:cs="Times New Roman"/>
              </w:rPr>
            </w:pPr>
          </w:p>
        </w:tc>
      </w:tr>
      <w:tr w:rsidR="0050006F" w:rsidRPr="009E686F" w14:paraId="4B266055" w14:textId="77777777" w:rsidTr="00490984">
        <w:tc>
          <w:tcPr>
            <w:tcW w:w="1890" w:type="pct"/>
            <w:tcBorders>
              <w:top w:val="single" w:sz="4" w:space="0" w:color="auto"/>
              <w:left w:val="single" w:sz="4" w:space="0" w:color="auto"/>
              <w:bottom w:val="single" w:sz="4" w:space="0" w:color="auto"/>
              <w:right w:val="single" w:sz="4" w:space="0" w:color="auto"/>
            </w:tcBorders>
          </w:tcPr>
          <w:p w14:paraId="558EF84B" w14:textId="78E57D9B" w:rsidR="0050006F" w:rsidRPr="009E686F" w:rsidDel="002D6675" w:rsidRDefault="0050006F" w:rsidP="00265766">
            <w:pPr>
              <w:spacing w:after="0"/>
              <w:jc w:val="both"/>
              <w:rPr>
                <w:rFonts w:ascii="Times New Roman" w:hAnsi="Times New Roman" w:cs="Times New Roman"/>
                <w:lang w:val="pt-BR"/>
              </w:rPr>
            </w:pPr>
            <w:r w:rsidRPr="009E686F">
              <w:rPr>
                <w:rFonts w:ascii="Times New Roman" w:hAnsi="Times New Roman" w:cs="Times New Roman"/>
                <w:lang w:val="pt-BR"/>
              </w:rPr>
              <w:t>(f) nu există motive rezonabile pentru a suspecta că sucursala dintr-o țară terță ar fi utilizată pentru a săvârși sau a facilita săvârșirea de fapte de spălare de bani sau de finanțare a terorismului în sensul articolului 1 din Directiva (UE) 2015/849.</w:t>
            </w:r>
          </w:p>
        </w:tc>
        <w:tc>
          <w:tcPr>
            <w:tcW w:w="1834" w:type="pct"/>
            <w:tcBorders>
              <w:top w:val="single" w:sz="4" w:space="0" w:color="auto"/>
              <w:left w:val="single" w:sz="4" w:space="0" w:color="auto"/>
              <w:bottom w:val="single" w:sz="4" w:space="0" w:color="auto"/>
              <w:right w:val="single" w:sz="4" w:space="0" w:color="auto"/>
            </w:tcBorders>
          </w:tcPr>
          <w:p w14:paraId="47513F26" w14:textId="2468DA9C" w:rsidR="0050006F" w:rsidRPr="009E686F" w:rsidRDefault="0050006F" w:rsidP="00265766">
            <w:pPr>
              <w:spacing w:after="0"/>
              <w:jc w:val="both"/>
              <w:rPr>
                <w:rFonts w:ascii="Times New Roman" w:hAnsi="Times New Roman" w:cs="Times New Roman"/>
                <w:bCs/>
                <w:i/>
                <w:iCs/>
                <w:lang w:val="pt-BR"/>
              </w:rPr>
            </w:pPr>
            <w:r w:rsidRPr="009E686F">
              <w:rPr>
                <w:rFonts w:ascii="Times New Roman" w:hAnsi="Times New Roman" w:cs="Times New Roman"/>
                <w:bCs/>
                <w:i/>
                <w:iCs/>
                <w:lang w:val="pt-BR"/>
              </w:rPr>
              <w:t>f) nu există motive rezonabile pentru a suspecta că sucursala dintr-un stat terț ar fi utilizată pentru a săvârși sau a facilita săvârșirea de fapte de spălare de bani sau de finanțare a terorismului.</w:t>
            </w:r>
          </w:p>
        </w:tc>
        <w:tc>
          <w:tcPr>
            <w:tcW w:w="470" w:type="pct"/>
            <w:tcBorders>
              <w:top w:val="single" w:sz="4" w:space="0" w:color="auto"/>
              <w:left w:val="single" w:sz="4" w:space="0" w:color="auto"/>
              <w:bottom w:val="single" w:sz="4" w:space="0" w:color="auto"/>
              <w:right w:val="single" w:sz="4" w:space="0" w:color="auto"/>
            </w:tcBorders>
          </w:tcPr>
          <w:p w14:paraId="12F06F65" w14:textId="6E247513" w:rsidR="0050006F" w:rsidRPr="009E686F" w:rsidRDefault="0050006F" w:rsidP="00265766">
            <w:pPr>
              <w:jc w:val="both"/>
              <w:rPr>
                <w:rFonts w:ascii="Times New Roman" w:hAnsi="Times New Roman" w:cs="Times New Roman"/>
                <w:lang w:val="pt-BR"/>
              </w:rPr>
            </w:pPr>
            <w:r w:rsidRPr="009E686F">
              <w:rPr>
                <w:rFonts w:ascii="Times New Roman" w:hAnsi="Times New Roman" w:cs="Times New Roman"/>
                <w:lang w:val="it-CH"/>
              </w:rPr>
              <w:t>Compatibil</w:t>
            </w:r>
          </w:p>
        </w:tc>
        <w:tc>
          <w:tcPr>
            <w:tcW w:w="806" w:type="pct"/>
            <w:vMerge/>
            <w:tcBorders>
              <w:left w:val="single" w:sz="4" w:space="0" w:color="auto"/>
              <w:bottom w:val="single" w:sz="4" w:space="0" w:color="auto"/>
              <w:right w:val="single" w:sz="4" w:space="0" w:color="auto"/>
            </w:tcBorders>
          </w:tcPr>
          <w:p w14:paraId="2CEE4052" w14:textId="77777777" w:rsidR="0050006F" w:rsidRPr="009E686F" w:rsidRDefault="0050006F" w:rsidP="00265766">
            <w:pPr>
              <w:spacing w:after="0"/>
              <w:jc w:val="both"/>
              <w:rPr>
                <w:rFonts w:ascii="Times New Roman" w:hAnsi="Times New Roman" w:cs="Times New Roman"/>
                <w:lang w:val="pt-BR"/>
              </w:rPr>
            </w:pPr>
          </w:p>
        </w:tc>
      </w:tr>
      <w:tr w:rsidR="00265766" w:rsidRPr="009E686F" w14:paraId="2C6F3C42" w14:textId="77777777" w:rsidTr="00960C23">
        <w:tc>
          <w:tcPr>
            <w:tcW w:w="1890" w:type="pct"/>
            <w:tcBorders>
              <w:top w:val="single" w:sz="4" w:space="0" w:color="auto"/>
              <w:left w:val="single" w:sz="4" w:space="0" w:color="auto"/>
              <w:bottom w:val="single" w:sz="4" w:space="0" w:color="auto"/>
              <w:right w:val="single" w:sz="4" w:space="0" w:color="auto"/>
            </w:tcBorders>
          </w:tcPr>
          <w:p w14:paraId="1D23D127" w14:textId="6E76A5EF" w:rsidR="00265766" w:rsidRPr="009E686F" w:rsidDel="002D6675"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(5) Pentru a evalua dacă este îndeplinită condiția prevăzută la alineatul (4) litera (f) de la prezentul articol, autoritatea competentă consultă autoritatea responsabilă cu supravegherea combaterii spălării banilor sau a combaterii finanțării terorismului din statul membru în conformitate cu Directiva (UE) 2015/849 și obține confirmarea scrisă a îndeplinirii condiției înainte de a acorda autorizarea sucursalei dintr-o țară terță.</w:t>
            </w:r>
          </w:p>
        </w:tc>
        <w:tc>
          <w:tcPr>
            <w:tcW w:w="1834" w:type="pct"/>
            <w:tcBorders>
              <w:top w:val="single" w:sz="4" w:space="0" w:color="auto"/>
              <w:left w:val="single" w:sz="4" w:space="0" w:color="auto"/>
              <w:bottom w:val="single" w:sz="4" w:space="0" w:color="auto"/>
              <w:right w:val="single" w:sz="4" w:space="0" w:color="auto"/>
            </w:tcBorders>
          </w:tcPr>
          <w:p w14:paraId="769379B5" w14:textId="7F94B88E" w:rsidR="00265766" w:rsidRPr="009E686F" w:rsidRDefault="00265766" w:rsidP="00265766">
            <w:pPr>
              <w:spacing w:after="0"/>
              <w:jc w:val="both"/>
              <w:rPr>
                <w:rFonts w:ascii="Times New Roman" w:hAnsi="Times New Roman" w:cs="Times New Roman"/>
                <w:i/>
                <w:lang w:val="it-CH"/>
              </w:rPr>
            </w:pPr>
            <w:r w:rsidRPr="009E686F">
              <w:rPr>
                <w:rFonts w:ascii="Times New Roman" w:hAnsi="Times New Roman" w:cs="Times New Roman"/>
                <w:i/>
                <w:lang w:val="it-CH"/>
              </w:rPr>
              <w:t>(4) Banca Națională a Moldovei consultă organul cu funcții de supraveghere în domeniul combaterii spălării banilor sau a combaterii finanțării terorismului, pentru a evalua dacă este îndeplinită condiția prevăzută la alin (3) lit. f) și a obține confirmarea scrisă a îndeplinirii condiției înainte de a acorda autorizarea sucursalei dintr-un stat terț.</w:t>
            </w:r>
          </w:p>
        </w:tc>
        <w:tc>
          <w:tcPr>
            <w:tcW w:w="470" w:type="pct"/>
            <w:tcBorders>
              <w:top w:val="single" w:sz="4" w:space="0" w:color="auto"/>
              <w:left w:val="single" w:sz="4" w:space="0" w:color="auto"/>
              <w:bottom w:val="single" w:sz="4" w:space="0" w:color="auto"/>
              <w:right w:val="single" w:sz="4" w:space="0" w:color="auto"/>
            </w:tcBorders>
          </w:tcPr>
          <w:p w14:paraId="12B11C01" w14:textId="30641128" w:rsidR="00265766" w:rsidRPr="009E686F" w:rsidRDefault="00265766" w:rsidP="00265766">
            <w:pPr>
              <w:jc w:val="both"/>
              <w:rPr>
                <w:rFonts w:ascii="Times New Roman" w:hAnsi="Times New Roman" w:cs="Times New Roman"/>
                <w:lang w:val="it-CH"/>
              </w:rPr>
            </w:pPr>
            <w:r w:rsidRPr="009E686F">
              <w:rPr>
                <w:rFonts w:ascii="Times New Roman" w:hAnsi="Times New Roman" w:cs="Times New Roman"/>
                <w:lang w:val="it-CH"/>
              </w:rPr>
              <w:t>Compatibil</w:t>
            </w:r>
          </w:p>
        </w:tc>
        <w:tc>
          <w:tcPr>
            <w:tcW w:w="806" w:type="pct"/>
            <w:tcBorders>
              <w:top w:val="single" w:sz="4" w:space="0" w:color="auto"/>
              <w:left w:val="single" w:sz="4" w:space="0" w:color="auto"/>
              <w:bottom w:val="single" w:sz="4" w:space="0" w:color="auto"/>
              <w:right w:val="single" w:sz="4" w:space="0" w:color="auto"/>
            </w:tcBorders>
          </w:tcPr>
          <w:p w14:paraId="1BB6D179" w14:textId="77777777" w:rsidR="001D4436" w:rsidRPr="009E686F" w:rsidRDefault="001D4436" w:rsidP="001D4436">
            <w:r w:rsidRPr="009E686F">
              <w:rPr>
                <w:rFonts w:ascii="Times New Roman" w:hAnsi="Times New Roman" w:cs="Times New Roman"/>
                <w:lang w:val="ro-RO"/>
              </w:rPr>
              <w:t>În vigoare – data aderării.</w:t>
            </w:r>
          </w:p>
          <w:p w14:paraId="2F8C1786" w14:textId="77777777" w:rsidR="00265766" w:rsidRPr="009E686F" w:rsidRDefault="00265766" w:rsidP="00265766">
            <w:pPr>
              <w:spacing w:after="0"/>
              <w:jc w:val="both"/>
              <w:rPr>
                <w:rFonts w:ascii="Times New Roman" w:hAnsi="Times New Roman" w:cs="Times New Roman"/>
                <w:lang w:val="it-CH"/>
              </w:rPr>
            </w:pPr>
          </w:p>
        </w:tc>
      </w:tr>
      <w:tr w:rsidR="00265766" w:rsidRPr="009E686F" w14:paraId="070BB4EF" w14:textId="77777777" w:rsidTr="00960C23">
        <w:tc>
          <w:tcPr>
            <w:tcW w:w="1890" w:type="pct"/>
            <w:tcBorders>
              <w:top w:val="single" w:sz="4" w:space="0" w:color="auto"/>
              <w:left w:val="single" w:sz="4" w:space="0" w:color="auto"/>
              <w:bottom w:val="single" w:sz="4" w:space="0" w:color="auto"/>
              <w:right w:val="single" w:sz="4" w:space="0" w:color="auto"/>
            </w:tcBorders>
          </w:tcPr>
          <w:p w14:paraId="1A8ACCA5" w14:textId="3E713E6B" w:rsidR="00265766" w:rsidRPr="009E686F" w:rsidDel="002D6675" w:rsidRDefault="00265766" w:rsidP="00265766">
            <w:pPr>
              <w:spacing w:after="0"/>
              <w:jc w:val="both"/>
              <w:rPr>
                <w:rFonts w:ascii="Times New Roman" w:hAnsi="Times New Roman" w:cs="Times New Roman"/>
              </w:rPr>
            </w:pPr>
            <w:r w:rsidRPr="009E686F">
              <w:rPr>
                <w:rFonts w:ascii="Times New Roman" w:hAnsi="Times New Roman" w:cs="Times New Roman"/>
              </w:rPr>
              <w:t>(6) Autoritățile competente pot decide că autorizațiile sucursalelor din țări terțe acordate până la 10 ianuarie 2027 rămân valabile, cu condiția ca sucursalele din țări terțe cărora li s-au acordat autorizațiile respective să respecte cerințele minime prevăzute în prezentul titlu.</w:t>
            </w:r>
          </w:p>
        </w:tc>
        <w:tc>
          <w:tcPr>
            <w:tcW w:w="1834" w:type="pct"/>
            <w:tcBorders>
              <w:top w:val="single" w:sz="4" w:space="0" w:color="auto"/>
              <w:left w:val="single" w:sz="4" w:space="0" w:color="auto"/>
              <w:bottom w:val="single" w:sz="4" w:space="0" w:color="auto"/>
              <w:right w:val="single" w:sz="4" w:space="0" w:color="auto"/>
            </w:tcBorders>
          </w:tcPr>
          <w:p w14:paraId="0A2BD787" w14:textId="77777777" w:rsidR="00265766" w:rsidRPr="009E686F" w:rsidRDefault="00265766" w:rsidP="00265766">
            <w:pPr>
              <w:spacing w:after="0"/>
              <w:jc w:val="both"/>
              <w:rPr>
                <w:rFonts w:ascii="Times New Roman" w:hAnsi="Times New Roman" w:cs="Times New Roman"/>
                <w:b/>
              </w:rPr>
            </w:pPr>
          </w:p>
        </w:tc>
        <w:tc>
          <w:tcPr>
            <w:tcW w:w="470" w:type="pct"/>
            <w:tcBorders>
              <w:top w:val="single" w:sz="4" w:space="0" w:color="auto"/>
              <w:left w:val="single" w:sz="4" w:space="0" w:color="auto"/>
              <w:bottom w:val="single" w:sz="4" w:space="0" w:color="auto"/>
              <w:right w:val="single" w:sz="4" w:space="0" w:color="auto"/>
            </w:tcBorders>
          </w:tcPr>
          <w:p w14:paraId="4EF8161B" w14:textId="15E7E6BA" w:rsidR="00265766" w:rsidRPr="009E686F" w:rsidRDefault="00265766" w:rsidP="00265766">
            <w:pPr>
              <w:jc w:val="both"/>
              <w:rPr>
                <w:rFonts w:ascii="Times New Roman" w:hAnsi="Times New Roman" w:cs="Times New Roman"/>
                <w:lang w:val="pt-BR"/>
              </w:rPr>
            </w:pPr>
            <w:r w:rsidRPr="009E686F">
              <w:rPr>
                <w:rFonts w:ascii="Times New Roman" w:hAnsi="Times New Roman" w:cs="Times New Roman"/>
                <w:lang w:val="pt-BR"/>
              </w:rPr>
              <w:t>Norme neaplicabile</w:t>
            </w:r>
          </w:p>
        </w:tc>
        <w:tc>
          <w:tcPr>
            <w:tcW w:w="806" w:type="pct"/>
            <w:tcBorders>
              <w:top w:val="single" w:sz="4" w:space="0" w:color="auto"/>
              <w:left w:val="single" w:sz="4" w:space="0" w:color="auto"/>
              <w:bottom w:val="single" w:sz="4" w:space="0" w:color="auto"/>
              <w:right w:val="single" w:sz="4" w:space="0" w:color="auto"/>
            </w:tcBorders>
          </w:tcPr>
          <w:p w14:paraId="1E74EF44" w14:textId="7F38FDA7" w:rsidR="00265766" w:rsidRPr="009E686F" w:rsidRDefault="00265766" w:rsidP="00265766">
            <w:pPr>
              <w:spacing w:after="0"/>
              <w:jc w:val="both"/>
              <w:rPr>
                <w:rFonts w:ascii="Times New Roman" w:hAnsi="Times New Roman" w:cs="Times New Roman"/>
                <w:lang w:val="it-IT"/>
              </w:rPr>
            </w:pPr>
            <w:r w:rsidRPr="009E686F">
              <w:rPr>
                <w:rFonts w:ascii="Times New Roman" w:hAnsi="Times New Roman" w:cs="Times New Roman"/>
                <w:lang w:val="it-IT"/>
              </w:rPr>
              <w:t>Dispoziții tranzitorii pentru statele membre până la 10 ianuarie 2027.</w:t>
            </w:r>
          </w:p>
        </w:tc>
      </w:tr>
      <w:tr w:rsidR="00265766" w:rsidRPr="009E686F" w14:paraId="39589533" w14:textId="77777777" w:rsidTr="00960C23">
        <w:tc>
          <w:tcPr>
            <w:tcW w:w="1890" w:type="pct"/>
            <w:tcBorders>
              <w:top w:val="single" w:sz="4" w:space="0" w:color="auto"/>
              <w:left w:val="single" w:sz="4" w:space="0" w:color="auto"/>
              <w:bottom w:val="single" w:sz="4" w:space="0" w:color="auto"/>
              <w:right w:val="single" w:sz="4" w:space="0" w:color="auto"/>
            </w:tcBorders>
          </w:tcPr>
          <w:p w14:paraId="5B389D03" w14:textId="77777777" w:rsidR="00265766" w:rsidRPr="009E686F" w:rsidRDefault="00265766" w:rsidP="00265766">
            <w:pPr>
              <w:spacing w:after="0"/>
              <w:jc w:val="both"/>
              <w:rPr>
                <w:rFonts w:ascii="Times New Roman" w:hAnsi="Times New Roman" w:cs="Times New Roman"/>
                <w:lang w:val="it-IT"/>
              </w:rPr>
            </w:pPr>
            <w:r w:rsidRPr="009E686F">
              <w:rPr>
                <w:rFonts w:ascii="Times New Roman" w:hAnsi="Times New Roman" w:cs="Times New Roman"/>
                <w:lang w:val="it-IT"/>
              </w:rPr>
              <w:t>(7) ABE monitorizează operațiunile dintre sucursalele din țări terțe ale aceleiași întreprinderi principale autorizate în state membre diferite și înaintează Comisiei, până la 10 iulie 2028, un raport în care își prezintă constatările.</w:t>
            </w:r>
          </w:p>
          <w:p w14:paraId="25EC6BF6" w14:textId="77777777" w:rsidR="00265766" w:rsidRPr="009E686F" w:rsidDel="002D6675" w:rsidRDefault="00265766" w:rsidP="00265766">
            <w:pPr>
              <w:spacing w:after="0"/>
              <w:jc w:val="both"/>
              <w:rPr>
                <w:rFonts w:ascii="Times New Roman" w:hAnsi="Times New Roman" w:cs="Times New Roman"/>
                <w:lang w:val="it-IT"/>
              </w:rPr>
            </w:pPr>
            <w:r w:rsidRPr="009E686F">
              <w:rPr>
                <w:rFonts w:ascii="Times New Roman" w:hAnsi="Times New Roman" w:cs="Times New Roman"/>
                <w:lang w:val="it-IT"/>
              </w:rPr>
              <w:t>(8) Până la 10 iulie 2026, ABE emite ghiduri, în conformitate cu articolul 16 din Regulamentul (UE) nr. 1093/2010, pentru a preciza mai detaliat:</w:t>
            </w:r>
          </w:p>
          <w:p w14:paraId="79F6771C" w14:textId="77777777" w:rsidR="00265766" w:rsidRPr="009E686F" w:rsidDel="002D6675" w:rsidRDefault="00265766" w:rsidP="00265766">
            <w:pPr>
              <w:spacing w:after="0"/>
              <w:jc w:val="both"/>
              <w:rPr>
                <w:rFonts w:ascii="Times New Roman" w:hAnsi="Times New Roman" w:cs="Times New Roman"/>
                <w:lang w:val="it-IT"/>
              </w:rPr>
            </w:pPr>
            <w:r w:rsidRPr="009E686F">
              <w:rPr>
                <w:rFonts w:ascii="Times New Roman" w:hAnsi="Times New Roman" w:cs="Times New Roman"/>
                <w:lang w:val="it-IT"/>
              </w:rPr>
              <w:t xml:space="preserve">(a) informațiile care trebuie furnizate autorităților competente în momentul depunerii cererii de autorizare a unei sucursale dintr-o țară terță, inclusiv programul de activitate și structura </w:t>
            </w:r>
            <w:r w:rsidRPr="009E686F">
              <w:rPr>
                <w:rFonts w:ascii="Times New Roman" w:hAnsi="Times New Roman" w:cs="Times New Roman"/>
                <w:lang w:val="it-IT"/>
              </w:rPr>
              <w:lastRenderedPageBreak/>
              <w:t>organizatorică și administrarea riscurilor menționate la alineatul (3);</w:t>
            </w:r>
          </w:p>
          <w:p w14:paraId="7F445698" w14:textId="77777777" w:rsidR="00265766" w:rsidRPr="009E686F" w:rsidDel="002D6675" w:rsidRDefault="00265766" w:rsidP="00265766">
            <w:pPr>
              <w:spacing w:after="0"/>
              <w:jc w:val="both"/>
              <w:rPr>
                <w:rFonts w:ascii="Times New Roman" w:hAnsi="Times New Roman" w:cs="Times New Roman"/>
                <w:lang w:val="it-IT"/>
              </w:rPr>
            </w:pPr>
            <w:r w:rsidRPr="009E686F">
              <w:rPr>
                <w:rFonts w:ascii="Times New Roman" w:hAnsi="Times New Roman" w:cs="Times New Roman"/>
                <w:lang w:val="it-IT"/>
              </w:rPr>
              <w:t>(b) procedura de autorizare a sucursalei dintr-o țară terță, precum și formularele și modelele standard pentru furnizarea informațiilor menționate la litera (a) de la prezentul alineat;</w:t>
            </w:r>
          </w:p>
          <w:p w14:paraId="7BBAF4EF" w14:textId="77777777" w:rsidR="00265766" w:rsidRPr="009E686F" w:rsidDel="002D6675" w:rsidRDefault="00265766" w:rsidP="00265766">
            <w:pPr>
              <w:spacing w:after="0"/>
              <w:jc w:val="both"/>
              <w:rPr>
                <w:rFonts w:ascii="Times New Roman" w:hAnsi="Times New Roman" w:cs="Times New Roman"/>
                <w:lang w:val="it-IT"/>
              </w:rPr>
            </w:pPr>
            <w:r w:rsidRPr="009E686F">
              <w:rPr>
                <w:rFonts w:ascii="Times New Roman" w:hAnsi="Times New Roman" w:cs="Times New Roman"/>
                <w:lang w:val="it-IT"/>
              </w:rPr>
              <w:t>(c) condițiile de autorizare menționate la alineatul (4);</w:t>
            </w:r>
          </w:p>
          <w:p w14:paraId="397EB4A7" w14:textId="4E536E6F" w:rsidR="00265766" w:rsidRPr="009E686F" w:rsidRDefault="00265766" w:rsidP="00265766">
            <w:pPr>
              <w:spacing w:after="0"/>
              <w:jc w:val="both"/>
              <w:rPr>
                <w:rFonts w:ascii="Times New Roman" w:hAnsi="Times New Roman" w:cs="Times New Roman"/>
                <w:lang w:val="it-IT"/>
              </w:rPr>
            </w:pPr>
            <w:r w:rsidRPr="009E686F">
              <w:rPr>
                <w:rFonts w:ascii="Times New Roman" w:hAnsi="Times New Roman" w:cs="Times New Roman"/>
                <w:lang w:val="it-IT"/>
              </w:rPr>
              <w:t>(d) condițiile în care autoritățile competente se pot baza pe informații care au fost deja furnizate într-un eventual proces de autorizare prealabilă a sucursalei dintr-o țară terță.</w:t>
            </w:r>
          </w:p>
        </w:tc>
        <w:tc>
          <w:tcPr>
            <w:tcW w:w="1834" w:type="pct"/>
            <w:tcBorders>
              <w:top w:val="single" w:sz="4" w:space="0" w:color="auto"/>
              <w:left w:val="single" w:sz="4" w:space="0" w:color="auto"/>
              <w:bottom w:val="single" w:sz="4" w:space="0" w:color="auto"/>
              <w:right w:val="single" w:sz="4" w:space="0" w:color="auto"/>
            </w:tcBorders>
          </w:tcPr>
          <w:p w14:paraId="4CE54B8D" w14:textId="77777777" w:rsidR="00265766" w:rsidRPr="009E686F" w:rsidRDefault="00265766" w:rsidP="00265766">
            <w:pPr>
              <w:spacing w:after="0"/>
              <w:jc w:val="both"/>
              <w:rPr>
                <w:rFonts w:ascii="Times New Roman" w:hAnsi="Times New Roman" w:cs="Times New Roman"/>
                <w:b/>
                <w:lang w:val="it-IT"/>
              </w:rPr>
            </w:pPr>
          </w:p>
        </w:tc>
        <w:tc>
          <w:tcPr>
            <w:tcW w:w="470" w:type="pct"/>
            <w:tcBorders>
              <w:top w:val="single" w:sz="4" w:space="0" w:color="auto"/>
              <w:left w:val="single" w:sz="4" w:space="0" w:color="auto"/>
              <w:bottom w:val="single" w:sz="4" w:space="0" w:color="auto"/>
              <w:right w:val="single" w:sz="4" w:space="0" w:color="auto"/>
            </w:tcBorders>
          </w:tcPr>
          <w:p w14:paraId="139034BF" w14:textId="1EFAAAA0" w:rsidR="00265766" w:rsidRPr="009E686F" w:rsidRDefault="00265766" w:rsidP="00265766">
            <w:pPr>
              <w:jc w:val="both"/>
              <w:rPr>
                <w:rFonts w:ascii="Times New Roman" w:hAnsi="Times New Roman" w:cs="Times New Roman"/>
                <w:lang w:val="pt-BR"/>
              </w:rPr>
            </w:pPr>
            <w:r w:rsidRPr="009E686F">
              <w:rPr>
                <w:rFonts w:ascii="Times New Roman" w:hAnsi="Times New Roman" w:cs="Times New Roman"/>
                <w:lang w:val="pt-BR"/>
              </w:rPr>
              <w:t>Norme neaplicabile</w:t>
            </w:r>
          </w:p>
        </w:tc>
        <w:tc>
          <w:tcPr>
            <w:tcW w:w="806" w:type="pct"/>
            <w:tcBorders>
              <w:top w:val="single" w:sz="4" w:space="0" w:color="auto"/>
              <w:left w:val="single" w:sz="4" w:space="0" w:color="auto"/>
              <w:bottom w:val="single" w:sz="4" w:space="0" w:color="auto"/>
              <w:right w:val="single" w:sz="4" w:space="0" w:color="auto"/>
            </w:tcBorders>
          </w:tcPr>
          <w:p w14:paraId="1E4432AB" w14:textId="13D46A91" w:rsidR="00265766" w:rsidRPr="009E686F" w:rsidRDefault="00265766" w:rsidP="00265766">
            <w:pPr>
              <w:spacing w:after="0"/>
              <w:jc w:val="both"/>
              <w:rPr>
                <w:rFonts w:ascii="Times New Roman" w:hAnsi="Times New Roman" w:cs="Times New Roman"/>
                <w:lang w:val="pt-BR"/>
              </w:rPr>
            </w:pPr>
            <w:r w:rsidRPr="009E686F">
              <w:rPr>
                <w:rFonts w:ascii="Times New Roman" w:hAnsi="Times New Roman" w:cs="Times New Roman"/>
                <w:lang w:val="it-IT"/>
              </w:rPr>
              <w:t>Se referă la competențele ABE.</w:t>
            </w:r>
          </w:p>
        </w:tc>
      </w:tr>
      <w:tr w:rsidR="005B0C78" w:rsidRPr="009E686F" w14:paraId="71B595C8" w14:textId="77777777" w:rsidTr="0087225A">
        <w:tc>
          <w:tcPr>
            <w:tcW w:w="1890" w:type="pct"/>
            <w:tcBorders>
              <w:top w:val="single" w:sz="4" w:space="0" w:color="auto"/>
              <w:left w:val="single" w:sz="4" w:space="0" w:color="auto"/>
              <w:bottom w:val="single" w:sz="4" w:space="0" w:color="auto"/>
              <w:right w:val="single" w:sz="4" w:space="0" w:color="auto"/>
            </w:tcBorders>
          </w:tcPr>
          <w:p w14:paraId="30FD0A9A" w14:textId="77777777" w:rsidR="005B0C78" w:rsidRPr="009E686F" w:rsidRDefault="005B0C78" w:rsidP="00265766">
            <w:pPr>
              <w:spacing w:after="0"/>
              <w:jc w:val="both"/>
              <w:rPr>
                <w:rFonts w:ascii="Times New Roman" w:hAnsi="Times New Roman" w:cs="Times New Roman"/>
                <w:i/>
                <w:iCs/>
                <w:lang w:val="it-IT"/>
              </w:rPr>
            </w:pPr>
            <w:r w:rsidRPr="009E686F">
              <w:rPr>
                <w:rFonts w:ascii="Times New Roman" w:hAnsi="Times New Roman" w:cs="Times New Roman"/>
                <w:i/>
                <w:iCs/>
                <w:lang w:val="it-IT"/>
              </w:rPr>
              <w:t xml:space="preserve">Articolul 48d </w:t>
            </w:r>
          </w:p>
          <w:p w14:paraId="2D195BF5" w14:textId="1368A7E0" w:rsidR="005B0C78" w:rsidRPr="009E686F" w:rsidDel="002D6675" w:rsidRDefault="005B0C78" w:rsidP="00265766">
            <w:pPr>
              <w:spacing w:after="0"/>
              <w:jc w:val="both"/>
              <w:rPr>
                <w:rFonts w:ascii="Times New Roman" w:hAnsi="Times New Roman" w:cs="Times New Roman"/>
                <w:lang w:val="it-IT"/>
              </w:rPr>
            </w:pPr>
            <w:r w:rsidRPr="009E686F">
              <w:rPr>
                <w:rFonts w:ascii="Times New Roman" w:hAnsi="Times New Roman" w:cs="Times New Roman"/>
                <w:lang w:val="it-IT"/>
              </w:rPr>
              <w:t>Condiții pentru refuzarea sau retragerea autorizației unei sucursale dintr-o țară terță</w:t>
            </w:r>
          </w:p>
        </w:tc>
        <w:tc>
          <w:tcPr>
            <w:tcW w:w="1834" w:type="pct"/>
            <w:tcBorders>
              <w:top w:val="single" w:sz="4" w:space="0" w:color="auto"/>
              <w:left w:val="single" w:sz="4" w:space="0" w:color="auto"/>
              <w:bottom w:val="single" w:sz="4" w:space="0" w:color="auto"/>
              <w:right w:val="single" w:sz="4" w:space="0" w:color="auto"/>
            </w:tcBorders>
          </w:tcPr>
          <w:p w14:paraId="5DF0AFC7" w14:textId="45D9C78E" w:rsidR="005B0C78" w:rsidRPr="009E686F" w:rsidRDefault="005B0C78" w:rsidP="00265766">
            <w:pPr>
              <w:spacing w:after="0"/>
              <w:jc w:val="both"/>
              <w:rPr>
                <w:rFonts w:ascii="Times New Roman" w:hAnsi="Times New Roman" w:cs="Times New Roman"/>
                <w:b/>
                <w:lang w:val="it-IT"/>
              </w:rPr>
            </w:pPr>
            <w:r w:rsidRPr="009E686F">
              <w:rPr>
                <w:rFonts w:ascii="Times New Roman" w:hAnsi="Times New Roman" w:cs="Times New Roman"/>
                <w:b/>
                <w:lang w:val="it-IT"/>
              </w:rPr>
              <w:t xml:space="preserve">Articolul 29. </w:t>
            </w:r>
            <w:r w:rsidRPr="009E686F">
              <w:rPr>
                <w:rFonts w:ascii="Times New Roman" w:hAnsi="Times New Roman" w:cs="Times New Roman"/>
                <w:bCs/>
                <w:i/>
                <w:iCs/>
                <w:lang w:val="it-IT"/>
              </w:rPr>
              <w:t>Refuzul acordării autorizației sucursalei sau retragerea autorizației sucursalei dintr-un stat terț</w:t>
            </w:r>
          </w:p>
        </w:tc>
        <w:tc>
          <w:tcPr>
            <w:tcW w:w="470" w:type="pct"/>
            <w:tcBorders>
              <w:top w:val="single" w:sz="4" w:space="0" w:color="auto"/>
              <w:left w:val="single" w:sz="4" w:space="0" w:color="auto"/>
              <w:bottom w:val="single" w:sz="4" w:space="0" w:color="auto"/>
              <w:right w:val="single" w:sz="4" w:space="0" w:color="auto"/>
            </w:tcBorders>
          </w:tcPr>
          <w:p w14:paraId="7594469F" w14:textId="491A7740" w:rsidR="005B0C78" w:rsidRPr="009E686F" w:rsidRDefault="005B0C78" w:rsidP="00265766">
            <w:pPr>
              <w:jc w:val="both"/>
              <w:rPr>
                <w:rFonts w:ascii="Times New Roman" w:hAnsi="Times New Roman" w:cs="Times New Roman"/>
                <w:lang w:val="it-IT"/>
              </w:rPr>
            </w:pPr>
            <w:r w:rsidRPr="009E686F">
              <w:rPr>
                <w:rFonts w:ascii="Times New Roman" w:hAnsi="Times New Roman" w:cs="Times New Roman"/>
                <w:lang w:val="it-CH"/>
              </w:rPr>
              <w:t>Compatibil</w:t>
            </w:r>
          </w:p>
        </w:tc>
        <w:tc>
          <w:tcPr>
            <w:tcW w:w="806" w:type="pct"/>
            <w:vMerge w:val="restart"/>
            <w:tcBorders>
              <w:top w:val="single" w:sz="4" w:space="0" w:color="auto"/>
              <w:left w:val="single" w:sz="4" w:space="0" w:color="auto"/>
              <w:right w:val="single" w:sz="4" w:space="0" w:color="auto"/>
            </w:tcBorders>
          </w:tcPr>
          <w:p w14:paraId="06D1382D" w14:textId="77777777" w:rsidR="005B0C78" w:rsidRPr="009E686F" w:rsidRDefault="005B0C78" w:rsidP="005B0C78">
            <w:r w:rsidRPr="009E686F">
              <w:rPr>
                <w:rFonts w:ascii="Times New Roman" w:hAnsi="Times New Roman" w:cs="Times New Roman"/>
                <w:lang w:val="ro-RO"/>
              </w:rPr>
              <w:t>În vigoare – data aderării.</w:t>
            </w:r>
          </w:p>
          <w:p w14:paraId="54664017" w14:textId="77777777" w:rsidR="005B0C78" w:rsidRPr="009E686F" w:rsidRDefault="005B0C78" w:rsidP="00265766">
            <w:pPr>
              <w:spacing w:after="0"/>
              <w:jc w:val="both"/>
              <w:rPr>
                <w:rFonts w:ascii="Times New Roman" w:hAnsi="Times New Roman" w:cs="Times New Roman"/>
                <w:lang w:val="it-IT"/>
              </w:rPr>
            </w:pPr>
          </w:p>
        </w:tc>
      </w:tr>
      <w:tr w:rsidR="005B0C78" w:rsidRPr="009E686F" w14:paraId="07473E36" w14:textId="77777777" w:rsidTr="0087225A">
        <w:tc>
          <w:tcPr>
            <w:tcW w:w="1890" w:type="pct"/>
            <w:tcBorders>
              <w:top w:val="single" w:sz="4" w:space="0" w:color="auto"/>
              <w:left w:val="single" w:sz="4" w:space="0" w:color="auto"/>
              <w:bottom w:val="single" w:sz="4" w:space="0" w:color="auto"/>
              <w:right w:val="single" w:sz="4" w:space="0" w:color="auto"/>
            </w:tcBorders>
          </w:tcPr>
          <w:p w14:paraId="2E48736D" w14:textId="3521F015" w:rsidR="005B0C78" w:rsidRPr="009E686F" w:rsidDel="002D6675" w:rsidRDefault="005B0C78" w:rsidP="00265766">
            <w:pPr>
              <w:spacing w:after="0"/>
              <w:jc w:val="both"/>
              <w:rPr>
                <w:rFonts w:ascii="Times New Roman" w:hAnsi="Times New Roman" w:cs="Times New Roman"/>
                <w:lang w:val="it-CH"/>
              </w:rPr>
            </w:pPr>
            <w:r w:rsidRPr="009E686F">
              <w:rPr>
                <w:rFonts w:ascii="Times New Roman" w:hAnsi="Times New Roman" w:cs="Times New Roman"/>
                <w:lang w:val="it-CH"/>
              </w:rPr>
              <w:t>(1) Statele membre prevăd cel puțin următoarele condiții pentru refuzarea sau retragerea autorizației unei sucursale dintr-o țară terță:</w:t>
            </w:r>
          </w:p>
        </w:tc>
        <w:tc>
          <w:tcPr>
            <w:tcW w:w="1834" w:type="pct"/>
            <w:tcBorders>
              <w:top w:val="single" w:sz="4" w:space="0" w:color="auto"/>
              <w:left w:val="single" w:sz="4" w:space="0" w:color="auto"/>
              <w:bottom w:val="single" w:sz="4" w:space="0" w:color="auto"/>
              <w:right w:val="single" w:sz="4" w:space="0" w:color="auto"/>
            </w:tcBorders>
          </w:tcPr>
          <w:p w14:paraId="6861708B" w14:textId="0779221D" w:rsidR="005B0C78" w:rsidRPr="009E686F" w:rsidRDefault="005B0C78" w:rsidP="00265766">
            <w:pPr>
              <w:spacing w:after="0"/>
              <w:jc w:val="both"/>
              <w:rPr>
                <w:rFonts w:ascii="Times New Roman" w:hAnsi="Times New Roman" w:cs="Times New Roman"/>
                <w:i/>
                <w:lang w:val="it-CH"/>
              </w:rPr>
            </w:pPr>
            <w:r w:rsidRPr="009E686F">
              <w:rPr>
                <w:rFonts w:ascii="Times New Roman" w:hAnsi="Times New Roman" w:cs="Times New Roman"/>
                <w:i/>
                <w:lang w:val="it-CH"/>
              </w:rPr>
              <w:t>(</w:t>
            </w:r>
            <w:r w:rsidR="009E0F9A" w:rsidRPr="009E686F">
              <w:rPr>
                <w:rFonts w:ascii="Times New Roman" w:hAnsi="Times New Roman" w:cs="Times New Roman"/>
                <w:i/>
                <w:lang w:val="it-CH"/>
              </w:rPr>
              <w:t>3</w:t>
            </w:r>
            <w:r w:rsidRPr="009E686F">
              <w:rPr>
                <w:rFonts w:ascii="Times New Roman" w:hAnsi="Times New Roman" w:cs="Times New Roman"/>
                <w:i/>
                <w:lang w:val="it-CH"/>
              </w:rPr>
              <w:t>) Banca Națională a Moldovei refuză eliberarea autorizației sau retrage autorizația unei sucursale dintr-un stat terț în următoarele cazuri:</w:t>
            </w:r>
          </w:p>
        </w:tc>
        <w:tc>
          <w:tcPr>
            <w:tcW w:w="470" w:type="pct"/>
            <w:tcBorders>
              <w:top w:val="single" w:sz="4" w:space="0" w:color="auto"/>
              <w:left w:val="single" w:sz="4" w:space="0" w:color="auto"/>
              <w:bottom w:val="single" w:sz="4" w:space="0" w:color="auto"/>
              <w:right w:val="single" w:sz="4" w:space="0" w:color="auto"/>
            </w:tcBorders>
          </w:tcPr>
          <w:p w14:paraId="7D276141" w14:textId="175DBD53" w:rsidR="005B0C78" w:rsidRPr="009E686F" w:rsidRDefault="005B0C78" w:rsidP="00265766">
            <w:pPr>
              <w:jc w:val="both"/>
              <w:rPr>
                <w:rFonts w:ascii="Times New Roman" w:hAnsi="Times New Roman" w:cs="Times New Roman"/>
                <w:lang w:val="it-IT"/>
              </w:rPr>
            </w:pPr>
            <w:r w:rsidRPr="009E686F">
              <w:rPr>
                <w:rFonts w:ascii="Times New Roman" w:hAnsi="Times New Roman" w:cs="Times New Roman"/>
                <w:lang w:val="it-CH"/>
              </w:rPr>
              <w:t>Compatibil</w:t>
            </w:r>
          </w:p>
        </w:tc>
        <w:tc>
          <w:tcPr>
            <w:tcW w:w="806" w:type="pct"/>
            <w:vMerge/>
            <w:tcBorders>
              <w:left w:val="single" w:sz="4" w:space="0" w:color="auto"/>
              <w:right w:val="single" w:sz="4" w:space="0" w:color="auto"/>
            </w:tcBorders>
          </w:tcPr>
          <w:p w14:paraId="6ACAF5DE" w14:textId="77777777" w:rsidR="005B0C78" w:rsidRPr="009E686F" w:rsidRDefault="005B0C78" w:rsidP="00265766">
            <w:pPr>
              <w:spacing w:after="0"/>
              <w:jc w:val="both"/>
              <w:rPr>
                <w:rFonts w:ascii="Times New Roman" w:hAnsi="Times New Roman" w:cs="Times New Roman"/>
                <w:lang w:val="it-IT"/>
              </w:rPr>
            </w:pPr>
          </w:p>
        </w:tc>
      </w:tr>
      <w:tr w:rsidR="005B0C78" w:rsidRPr="009E686F" w14:paraId="10C33DEE" w14:textId="77777777" w:rsidTr="0087225A">
        <w:tc>
          <w:tcPr>
            <w:tcW w:w="1890" w:type="pct"/>
            <w:tcBorders>
              <w:top w:val="single" w:sz="4" w:space="0" w:color="auto"/>
              <w:left w:val="single" w:sz="4" w:space="0" w:color="auto"/>
              <w:bottom w:val="single" w:sz="4" w:space="0" w:color="auto"/>
              <w:right w:val="single" w:sz="4" w:space="0" w:color="auto"/>
            </w:tcBorders>
          </w:tcPr>
          <w:p w14:paraId="2A89802E" w14:textId="7E6789A7" w:rsidR="005B0C78" w:rsidRPr="009E686F" w:rsidDel="002D6675" w:rsidRDefault="005B0C78" w:rsidP="00265766">
            <w:pPr>
              <w:spacing w:after="0"/>
              <w:jc w:val="both"/>
              <w:rPr>
                <w:rFonts w:ascii="Times New Roman" w:hAnsi="Times New Roman" w:cs="Times New Roman"/>
                <w:lang w:val="it-IT"/>
              </w:rPr>
            </w:pPr>
            <w:r w:rsidRPr="009E686F">
              <w:rPr>
                <w:rFonts w:ascii="Times New Roman" w:hAnsi="Times New Roman" w:cs="Times New Roman"/>
                <w:lang w:val="it-IT"/>
              </w:rPr>
              <w:t>(a) sucursala dintr-o țară terță nu îndeplinește cerințele de autorizare prevăzute la articolul 48c sau în dreptul intern;</w:t>
            </w:r>
          </w:p>
        </w:tc>
        <w:tc>
          <w:tcPr>
            <w:tcW w:w="1834" w:type="pct"/>
            <w:tcBorders>
              <w:top w:val="single" w:sz="4" w:space="0" w:color="auto"/>
              <w:left w:val="single" w:sz="4" w:space="0" w:color="auto"/>
              <w:bottom w:val="single" w:sz="4" w:space="0" w:color="auto"/>
              <w:right w:val="single" w:sz="4" w:space="0" w:color="auto"/>
            </w:tcBorders>
          </w:tcPr>
          <w:p w14:paraId="441AD0E5" w14:textId="7178936F" w:rsidR="005B0C78" w:rsidRPr="009E686F" w:rsidRDefault="005B0C78" w:rsidP="00265766">
            <w:pPr>
              <w:spacing w:after="0"/>
              <w:jc w:val="both"/>
              <w:rPr>
                <w:rFonts w:ascii="Times New Roman" w:hAnsi="Times New Roman" w:cs="Times New Roman"/>
                <w:bCs/>
                <w:i/>
                <w:iCs/>
                <w:lang w:val="it-IT"/>
              </w:rPr>
            </w:pPr>
            <w:r w:rsidRPr="009E686F">
              <w:rPr>
                <w:rFonts w:ascii="Times New Roman" w:hAnsi="Times New Roman" w:cs="Times New Roman"/>
                <w:bCs/>
                <w:i/>
                <w:iCs/>
                <w:lang w:val="it-IT"/>
              </w:rPr>
              <w:t xml:space="preserve">a) sucursala dintr-un stat terț nu îndeplinește cerințele de autorizare prevăzute la art. 25 sau cerințele de înființare prevăzute de legislație; </w:t>
            </w:r>
          </w:p>
        </w:tc>
        <w:tc>
          <w:tcPr>
            <w:tcW w:w="470" w:type="pct"/>
            <w:tcBorders>
              <w:top w:val="single" w:sz="4" w:space="0" w:color="auto"/>
              <w:left w:val="single" w:sz="4" w:space="0" w:color="auto"/>
              <w:bottom w:val="single" w:sz="4" w:space="0" w:color="auto"/>
              <w:right w:val="single" w:sz="4" w:space="0" w:color="auto"/>
            </w:tcBorders>
          </w:tcPr>
          <w:p w14:paraId="53CCA7FF" w14:textId="0234E249" w:rsidR="005B0C78" w:rsidRPr="009E686F" w:rsidRDefault="005B0C78" w:rsidP="00265766">
            <w:pPr>
              <w:jc w:val="both"/>
              <w:rPr>
                <w:rFonts w:ascii="Times New Roman" w:hAnsi="Times New Roman" w:cs="Times New Roman"/>
                <w:lang w:val="it-IT"/>
              </w:rPr>
            </w:pPr>
            <w:r w:rsidRPr="009E686F">
              <w:rPr>
                <w:rFonts w:ascii="Times New Roman" w:hAnsi="Times New Roman" w:cs="Times New Roman"/>
                <w:lang w:val="it-CH"/>
              </w:rPr>
              <w:t>Compatibil</w:t>
            </w:r>
          </w:p>
        </w:tc>
        <w:tc>
          <w:tcPr>
            <w:tcW w:w="806" w:type="pct"/>
            <w:vMerge/>
            <w:tcBorders>
              <w:left w:val="single" w:sz="4" w:space="0" w:color="auto"/>
              <w:right w:val="single" w:sz="4" w:space="0" w:color="auto"/>
            </w:tcBorders>
          </w:tcPr>
          <w:p w14:paraId="6D55D46D" w14:textId="77777777" w:rsidR="005B0C78" w:rsidRPr="009E686F" w:rsidRDefault="005B0C78" w:rsidP="00265766">
            <w:pPr>
              <w:spacing w:after="0"/>
              <w:jc w:val="both"/>
              <w:rPr>
                <w:rFonts w:ascii="Times New Roman" w:hAnsi="Times New Roman" w:cs="Times New Roman"/>
                <w:lang w:val="it-IT"/>
              </w:rPr>
            </w:pPr>
          </w:p>
        </w:tc>
      </w:tr>
      <w:tr w:rsidR="005B0C78" w:rsidRPr="009E686F" w14:paraId="71D4B0AA" w14:textId="77777777" w:rsidTr="0087225A">
        <w:tc>
          <w:tcPr>
            <w:tcW w:w="1890" w:type="pct"/>
            <w:tcBorders>
              <w:top w:val="single" w:sz="4" w:space="0" w:color="auto"/>
              <w:left w:val="single" w:sz="4" w:space="0" w:color="auto"/>
              <w:bottom w:val="single" w:sz="4" w:space="0" w:color="auto"/>
              <w:right w:val="single" w:sz="4" w:space="0" w:color="auto"/>
            </w:tcBorders>
          </w:tcPr>
          <w:p w14:paraId="1B879AF0" w14:textId="7F0DBD9C" w:rsidR="005B0C78" w:rsidRPr="009E686F" w:rsidDel="002D6675" w:rsidRDefault="005B0C78" w:rsidP="00265766">
            <w:pPr>
              <w:spacing w:after="0"/>
              <w:jc w:val="both"/>
              <w:rPr>
                <w:rFonts w:ascii="Times New Roman" w:hAnsi="Times New Roman" w:cs="Times New Roman"/>
              </w:rPr>
            </w:pPr>
            <w:r w:rsidRPr="009E686F">
              <w:rPr>
                <w:rFonts w:ascii="Times New Roman" w:hAnsi="Times New Roman" w:cs="Times New Roman"/>
              </w:rPr>
              <w:t>(b) întreprinderea principală sau grupul din care face parte aceasta nu îndeplinește cerințele prudențiale care i se aplică în temeiul legislației țării terțe sau există motive întemeiate pentru a suspecta că nu îndeplinește sau că va încălca cerințele respective în următoarele 12 luni.</w:t>
            </w:r>
          </w:p>
        </w:tc>
        <w:tc>
          <w:tcPr>
            <w:tcW w:w="1834" w:type="pct"/>
            <w:tcBorders>
              <w:top w:val="single" w:sz="4" w:space="0" w:color="auto"/>
              <w:left w:val="single" w:sz="4" w:space="0" w:color="auto"/>
              <w:bottom w:val="single" w:sz="4" w:space="0" w:color="auto"/>
              <w:right w:val="single" w:sz="4" w:space="0" w:color="auto"/>
            </w:tcBorders>
          </w:tcPr>
          <w:p w14:paraId="57B25AFA" w14:textId="3E921C0A" w:rsidR="005B0C78" w:rsidRPr="009E686F" w:rsidRDefault="005B0C78" w:rsidP="00265766">
            <w:pPr>
              <w:spacing w:after="0"/>
              <w:jc w:val="both"/>
              <w:rPr>
                <w:rFonts w:ascii="Times New Roman" w:hAnsi="Times New Roman" w:cs="Times New Roman"/>
                <w:bCs/>
                <w:i/>
                <w:iCs/>
              </w:rPr>
            </w:pPr>
            <w:r w:rsidRPr="009E686F">
              <w:rPr>
                <w:rFonts w:ascii="Times New Roman" w:hAnsi="Times New Roman" w:cs="Times New Roman"/>
                <w:bCs/>
                <w:i/>
                <w:iCs/>
              </w:rPr>
              <w:t>b) întreprinderea principală sau grupul din care face parte aceasta nu îndeplinește cerințele prudențiale prevăzute de prezenta lege și actele normative emise în aplicarea acesteia sau există motive întemeiate pentru a suspecta că nu îndeplinește sau că nu se va conforma cerințelor respective  în următoarele 12 luni.</w:t>
            </w:r>
          </w:p>
        </w:tc>
        <w:tc>
          <w:tcPr>
            <w:tcW w:w="470" w:type="pct"/>
            <w:tcBorders>
              <w:top w:val="single" w:sz="4" w:space="0" w:color="auto"/>
              <w:left w:val="single" w:sz="4" w:space="0" w:color="auto"/>
              <w:bottom w:val="single" w:sz="4" w:space="0" w:color="auto"/>
              <w:right w:val="single" w:sz="4" w:space="0" w:color="auto"/>
            </w:tcBorders>
          </w:tcPr>
          <w:p w14:paraId="7059104B" w14:textId="41D9C8C9" w:rsidR="005B0C78" w:rsidRPr="009E686F" w:rsidRDefault="005B0C78" w:rsidP="00265766">
            <w:pPr>
              <w:jc w:val="both"/>
              <w:rPr>
                <w:rFonts w:ascii="Times New Roman" w:hAnsi="Times New Roman" w:cs="Times New Roman"/>
                <w:lang w:val="it-IT"/>
              </w:rPr>
            </w:pPr>
            <w:r w:rsidRPr="009E686F">
              <w:rPr>
                <w:rFonts w:ascii="Times New Roman" w:hAnsi="Times New Roman" w:cs="Times New Roman"/>
                <w:lang w:val="it-CH"/>
              </w:rPr>
              <w:t>Compatibil</w:t>
            </w:r>
          </w:p>
        </w:tc>
        <w:tc>
          <w:tcPr>
            <w:tcW w:w="806" w:type="pct"/>
            <w:vMerge/>
            <w:tcBorders>
              <w:left w:val="single" w:sz="4" w:space="0" w:color="auto"/>
              <w:right w:val="single" w:sz="4" w:space="0" w:color="auto"/>
            </w:tcBorders>
          </w:tcPr>
          <w:p w14:paraId="23D30788" w14:textId="77777777" w:rsidR="005B0C78" w:rsidRPr="009E686F" w:rsidRDefault="005B0C78" w:rsidP="00265766">
            <w:pPr>
              <w:spacing w:after="0"/>
              <w:jc w:val="both"/>
              <w:rPr>
                <w:rFonts w:ascii="Times New Roman" w:hAnsi="Times New Roman" w:cs="Times New Roman"/>
                <w:lang w:val="it-IT"/>
              </w:rPr>
            </w:pPr>
          </w:p>
        </w:tc>
      </w:tr>
      <w:tr w:rsidR="005B0C78" w:rsidRPr="009E686F" w14:paraId="04773C78" w14:textId="77777777" w:rsidTr="0087225A">
        <w:tc>
          <w:tcPr>
            <w:tcW w:w="1890" w:type="pct"/>
            <w:tcBorders>
              <w:top w:val="single" w:sz="4" w:space="0" w:color="auto"/>
              <w:left w:val="single" w:sz="4" w:space="0" w:color="auto"/>
              <w:bottom w:val="single" w:sz="4" w:space="0" w:color="auto"/>
              <w:right w:val="single" w:sz="4" w:space="0" w:color="auto"/>
            </w:tcBorders>
          </w:tcPr>
          <w:p w14:paraId="1E1DACB8" w14:textId="58972449" w:rsidR="005B0C78" w:rsidRPr="009E686F" w:rsidRDefault="005B0C78" w:rsidP="00265766">
            <w:pPr>
              <w:spacing w:after="0"/>
              <w:jc w:val="both"/>
              <w:rPr>
                <w:rFonts w:ascii="Times New Roman" w:hAnsi="Times New Roman" w:cs="Times New Roman"/>
                <w:lang w:val="it-CH"/>
              </w:rPr>
            </w:pPr>
            <w:r w:rsidRPr="009E686F">
              <w:rPr>
                <w:rFonts w:ascii="Times New Roman" w:hAnsi="Times New Roman" w:cs="Times New Roman"/>
                <w:lang w:val="it-CH"/>
              </w:rPr>
              <w:t>În sensul primului paragraf litera (b), sucursalele din țări terțe transmit cu promptitudine o notificare autorităților lor competente în cazul în care apar circumstanțele menționate la litera respectivă.</w:t>
            </w:r>
          </w:p>
        </w:tc>
        <w:tc>
          <w:tcPr>
            <w:tcW w:w="1834" w:type="pct"/>
            <w:tcBorders>
              <w:top w:val="single" w:sz="4" w:space="0" w:color="auto"/>
              <w:left w:val="single" w:sz="4" w:space="0" w:color="auto"/>
              <w:bottom w:val="single" w:sz="4" w:space="0" w:color="auto"/>
              <w:right w:val="single" w:sz="4" w:space="0" w:color="auto"/>
            </w:tcBorders>
          </w:tcPr>
          <w:p w14:paraId="5768F2CD" w14:textId="1A074EDD" w:rsidR="005B0C78" w:rsidRPr="009E686F" w:rsidRDefault="005B0C78" w:rsidP="00265766">
            <w:pPr>
              <w:spacing w:after="0"/>
              <w:jc w:val="both"/>
              <w:rPr>
                <w:rFonts w:ascii="Times New Roman" w:hAnsi="Times New Roman" w:cs="Times New Roman"/>
                <w:i/>
                <w:lang w:val="it-CH"/>
              </w:rPr>
            </w:pPr>
            <w:r w:rsidRPr="009E686F">
              <w:rPr>
                <w:rFonts w:ascii="Times New Roman" w:hAnsi="Times New Roman" w:cs="Times New Roman"/>
                <w:i/>
                <w:lang w:val="it-CH"/>
              </w:rPr>
              <w:t>În cazul apariției circumstanțelor menționate la lit. b) sucursala dintr-un stat terț notifică fără întârziere autoritatea sa competentă despre acest fapt.</w:t>
            </w:r>
          </w:p>
        </w:tc>
        <w:tc>
          <w:tcPr>
            <w:tcW w:w="470" w:type="pct"/>
            <w:tcBorders>
              <w:top w:val="single" w:sz="4" w:space="0" w:color="auto"/>
              <w:left w:val="single" w:sz="4" w:space="0" w:color="auto"/>
              <w:bottom w:val="single" w:sz="4" w:space="0" w:color="auto"/>
              <w:right w:val="single" w:sz="4" w:space="0" w:color="auto"/>
            </w:tcBorders>
          </w:tcPr>
          <w:p w14:paraId="7037841A" w14:textId="2F2D35DC" w:rsidR="005B0C78" w:rsidRPr="009E686F" w:rsidRDefault="005B0C78" w:rsidP="00265766">
            <w:pPr>
              <w:jc w:val="both"/>
              <w:rPr>
                <w:rFonts w:ascii="Times New Roman" w:hAnsi="Times New Roman" w:cs="Times New Roman"/>
                <w:lang w:val="it-IT"/>
              </w:rPr>
            </w:pPr>
            <w:r w:rsidRPr="009E686F">
              <w:rPr>
                <w:rFonts w:ascii="Times New Roman" w:hAnsi="Times New Roman" w:cs="Times New Roman"/>
                <w:lang w:val="it-CH"/>
              </w:rPr>
              <w:t>Compatibil</w:t>
            </w:r>
          </w:p>
        </w:tc>
        <w:tc>
          <w:tcPr>
            <w:tcW w:w="806" w:type="pct"/>
            <w:vMerge/>
            <w:tcBorders>
              <w:left w:val="single" w:sz="4" w:space="0" w:color="auto"/>
              <w:bottom w:val="single" w:sz="4" w:space="0" w:color="auto"/>
              <w:right w:val="single" w:sz="4" w:space="0" w:color="auto"/>
            </w:tcBorders>
          </w:tcPr>
          <w:p w14:paraId="1CD3CD49" w14:textId="77777777" w:rsidR="005B0C78" w:rsidRPr="009E686F" w:rsidRDefault="005B0C78" w:rsidP="00265766">
            <w:pPr>
              <w:spacing w:after="0"/>
              <w:jc w:val="both"/>
              <w:rPr>
                <w:rFonts w:ascii="Times New Roman" w:hAnsi="Times New Roman" w:cs="Times New Roman"/>
                <w:lang w:val="it-IT"/>
              </w:rPr>
            </w:pPr>
          </w:p>
        </w:tc>
      </w:tr>
      <w:tr w:rsidR="005B0C78" w:rsidRPr="009E686F" w14:paraId="4C009D72" w14:textId="77777777" w:rsidTr="0005316E">
        <w:tc>
          <w:tcPr>
            <w:tcW w:w="1890" w:type="pct"/>
            <w:tcBorders>
              <w:top w:val="single" w:sz="4" w:space="0" w:color="auto"/>
              <w:left w:val="single" w:sz="4" w:space="0" w:color="auto"/>
              <w:bottom w:val="single" w:sz="4" w:space="0" w:color="auto"/>
              <w:right w:val="single" w:sz="4" w:space="0" w:color="auto"/>
            </w:tcBorders>
          </w:tcPr>
          <w:p w14:paraId="73FE1BA7" w14:textId="53EC247D" w:rsidR="005B0C78" w:rsidRPr="009E686F" w:rsidDel="002D6675" w:rsidRDefault="005B0C78" w:rsidP="00265766">
            <w:pPr>
              <w:spacing w:after="0"/>
              <w:jc w:val="both"/>
              <w:rPr>
                <w:rFonts w:ascii="Times New Roman" w:hAnsi="Times New Roman" w:cs="Times New Roman"/>
              </w:rPr>
            </w:pPr>
            <w:r w:rsidRPr="009E686F">
              <w:rPr>
                <w:rFonts w:ascii="Times New Roman" w:hAnsi="Times New Roman" w:cs="Times New Roman"/>
              </w:rPr>
              <w:t>(2) Autoritățile competente pot, de asemenea, să retragă autorizația acordată unei sucursale dintr-o țară terță în cazul în care este îndeplinită oricare dintre următoarele condiții:</w:t>
            </w:r>
          </w:p>
        </w:tc>
        <w:tc>
          <w:tcPr>
            <w:tcW w:w="1834" w:type="pct"/>
            <w:tcBorders>
              <w:top w:val="single" w:sz="4" w:space="0" w:color="auto"/>
              <w:left w:val="single" w:sz="4" w:space="0" w:color="auto"/>
              <w:bottom w:val="single" w:sz="4" w:space="0" w:color="auto"/>
              <w:right w:val="single" w:sz="4" w:space="0" w:color="auto"/>
            </w:tcBorders>
          </w:tcPr>
          <w:p w14:paraId="6C0A3823" w14:textId="0703C70F" w:rsidR="005B0C78" w:rsidRPr="009E686F" w:rsidRDefault="005B0C78" w:rsidP="00265766">
            <w:pPr>
              <w:spacing w:after="0"/>
              <w:jc w:val="both"/>
              <w:rPr>
                <w:rFonts w:ascii="Times New Roman" w:hAnsi="Times New Roman" w:cs="Times New Roman"/>
                <w:i/>
                <w:lang w:val="it-CH"/>
              </w:rPr>
            </w:pPr>
            <w:r w:rsidRPr="009E686F">
              <w:rPr>
                <w:rFonts w:ascii="Times New Roman" w:hAnsi="Times New Roman" w:cs="Times New Roman"/>
                <w:i/>
                <w:lang w:val="it-CH"/>
              </w:rPr>
              <w:t>(1) Banca Naţională a Moldovei poate retrage autorizația acordată unei sucursale dintr-un stat  terț în una dintre următoarele condiții:</w:t>
            </w:r>
          </w:p>
        </w:tc>
        <w:tc>
          <w:tcPr>
            <w:tcW w:w="470" w:type="pct"/>
            <w:tcBorders>
              <w:top w:val="single" w:sz="4" w:space="0" w:color="auto"/>
              <w:left w:val="single" w:sz="4" w:space="0" w:color="auto"/>
              <w:bottom w:val="single" w:sz="4" w:space="0" w:color="auto"/>
              <w:right w:val="single" w:sz="4" w:space="0" w:color="auto"/>
            </w:tcBorders>
          </w:tcPr>
          <w:p w14:paraId="5F189A36" w14:textId="74781049" w:rsidR="005B0C78" w:rsidRPr="009E686F" w:rsidRDefault="005B0C78" w:rsidP="00265766">
            <w:pPr>
              <w:jc w:val="both"/>
              <w:rPr>
                <w:rFonts w:ascii="Times New Roman" w:hAnsi="Times New Roman" w:cs="Times New Roman"/>
                <w:lang w:val="it-IT"/>
              </w:rPr>
            </w:pPr>
            <w:r w:rsidRPr="009E686F">
              <w:rPr>
                <w:rFonts w:ascii="Times New Roman" w:hAnsi="Times New Roman" w:cs="Times New Roman"/>
                <w:lang w:val="it-CH"/>
              </w:rPr>
              <w:t>Compatibil</w:t>
            </w:r>
          </w:p>
        </w:tc>
        <w:tc>
          <w:tcPr>
            <w:tcW w:w="806" w:type="pct"/>
            <w:vMerge w:val="restart"/>
            <w:tcBorders>
              <w:top w:val="single" w:sz="4" w:space="0" w:color="auto"/>
              <w:left w:val="single" w:sz="4" w:space="0" w:color="auto"/>
              <w:right w:val="single" w:sz="4" w:space="0" w:color="auto"/>
            </w:tcBorders>
          </w:tcPr>
          <w:p w14:paraId="4DE1016D" w14:textId="3BDAFE38" w:rsidR="005B0C78" w:rsidRPr="009E686F" w:rsidRDefault="005B0C78" w:rsidP="005B0C78">
            <w:r w:rsidRPr="009E686F">
              <w:rPr>
                <w:rFonts w:ascii="Times New Roman" w:hAnsi="Times New Roman" w:cs="Times New Roman"/>
                <w:lang w:val="ro-RO"/>
              </w:rPr>
              <w:t>În vigoare – data aderării.</w:t>
            </w:r>
          </w:p>
        </w:tc>
      </w:tr>
      <w:tr w:rsidR="005B0C78" w:rsidRPr="009E686F" w14:paraId="5DD12D06" w14:textId="77777777" w:rsidTr="0005316E">
        <w:tc>
          <w:tcPr>
            <w:tcW w:w="1890" w:type="pct"/>
            <w:tcBorders>
              <w:top w:val="single" w:sz="4" w:space="0" w:color="auto"/>
              <w:left w:val="single" w:sz="4" w:space="0" w:color="auto"/>
              <w:bottom w:val="single" w:sz="4" w:space="0" w:color="auto"/>
              <w:right w:val="single" w:sz="4" w:space="0" w:color="auto"/>
            </w:tcBorders>
          </w:tcPr>
          <w:p w14:paraId="7C9874C9" w14:textId="33E8565F" w:rsidR="005B0C78" w:rsidRPr="009E686F" w:rsidRDefault="005B0C78" w:rsidP="00265766">
            <w:pPr>
              <w:spacing w:after="0"/>
              <w:jc w:val="both"/>
              <w:rPr>
                <w:rFonts w:ascii="Times New Roman" w:hAnsi="Times New Roman" w:cs="Times New Roman"/>
              </w:rPr>
            </w:pPr>
            <w:r w:rsidRPr="009E686F">
              <w:rPr>
                <w:rFonts w:ascii="Times New Roman" w:hAnsi="Times New Roman" w:cs="Times New Roman"/>
              </w:rPr>
              <w:lastRenderedPageBreak/>
              <w:t>(a) sucursala dintr-o țară terță nu utilizează autorizația în termen de 12 luni, renunță în mod expres la aceasta sau nu a mai avut activitate timp de mai mult de șase luni, cu excepția cazului în care statul membru respectiv prevede că în astfel de situații autorizația expiră;</w:t>
            </w:r>
          </w:p>
        </w:tc>
        <w:tc>
          <w:tcPr>
            <w:tcW w:w="1834" w:type="pct"/>
            <w:tcBorders>
              <w:top w:val="single" w:sz="4" w:space="0" w:color="auto"/>
              <w:left w:val="single" w:sz="4" w:space="0" w:color="auto"/>
              <w:bottom w:val="single" w:sz="4" w:space="0" w:color="auto"/>
              <w:right w:val="single" w:sz="4" w:space="0" w:color="auto"/>
            </w:tcBorders>
          </w:tcPr>
          <w:p w14:paraId="4C0FE648" w14:textId="017BF47A" w:rsidR="005B0C78" w:rsidRPr="009E686F" w:rsidRDefault="005B0C78" w:rsidP="00265766">
            <w:pPr>
              <w:spacing w:after="0"/>
              <w:jc w:val="both"/>
              <w:rPr>
                <w:rFonts w:ascii="Times New Roman" w:hAnsi="Times New Roman" w:cs="Times New Roman"/>
                <w:bCs/>
                <w:i/>
                <w:iCs/>
                <w:lang w:val="it-IT"/>
              </w:rPr>
            </w:pPr>
            <w:r w:rsidRPr="009E686F">
              <w:rPr>
                <w:rFonts w:ascii="Times New Roman" w:hAnsi="Times New Roman" w:cs="Times New Roman"/>
                <w:bCs/>
                <w:i/>
                <w:iCs/>
                <w:lang w:val="it-IT"/>
              </w:rPr>
              <w:t>a) sucursala dintr-un stat terț nu utilizează autorizația în termen de 12 luni de la data eliberării, renunță în mod expres la aceasta sau nu a mai avut activitate timp de mai mult de șase luni;</w:t>
            </w:r>
          </w:p>
        </w:tc>
        <w:tc>
          <w:tcPr>
            <w:tcW w:w="470" w:type="pct"/>
            <w:tcBorders>
              <w:top w:val="single" w:sz="4" w:space="0" w:color="auto"/>
              <w:left w:val="single" w:sz="4" w:space="0" w:color="auto"/>
              <w:bottom w:val="single" w:sz="4" w:space="0" w:color="auto"/>
              <w:right w:val="single" w:sz="4" w:space="0" w:color="auto"/>
            </w:tcBorders>
          </w:tcPr>
          <w:p w14:paraId="19022F4D" w14:textId="3D15B8C8" w:rsidR="005B0C78" w:rsidRPr="009E686F" w:rsidRDefault="005B0C78" w:rsidP="00265766">
            <w:pPr>
              <w:jc w:val="both"/>
              <w:rPr>
                <w:rFonts w:ascii="Times New Roman" w:hAnsi="Times New Roman" w:cs="Times New Roman"/>
                <w:lang w:val="it-IT"/>
              </w:rPr>
            </w:pPr>
            <w:r w:rsidRPr="009E686F">
              <w:rPr>
                <w:rFonts w:ascii="Times New Roman" w:hAnsi="Times New Roman" w:cs="Times New Roman"/>
                <w:lang w:val="it-CH"/>
              </w:rPr>
              <w:t>Compatibil</w:t>
            </w:r>
          </w:p>
        </w:tc>
        <w:tc>
          <w:tcPr>
            <w:tcW w:w="806" w:type="pct"/>
            <w:vMerge/>
            <w:tcBorders>
              <w:left w:val="single" w:sz="4" w:space="0" w:color="auto"/>
              <w:right w:val="single" w:sz="4" w:space="0" w:color="auto"/>
            </w:tcBorders>
          </w:tcPr>
          <w:p w14:paraId="03DD59F8" w14:textId="77777777" w:rsidR="005B0C78" w:rsidRPr="009E686F" w:rsidRDefault="005B0C78" w:rsidP="00265766">
            <w:pPr>
              <w:spacing w:after="0"/>
              <w:jc w:val="both"/>
              <w:rPr>
                <w:rFonts w:ascii="Times New Roman" w:hAnsi="Times New Roman" w:cs="Times New Roman"/>
                <w:lang w:val="it-IT"/>
              </w:rPr>
            </w:pPr>
          </w:p>
        </w:tc>
      </w:tr>
      <w:tr w:rsidR="005B0C78" w:rsidRPr="009E686F" w14:paraId="54BD956B" w14:textId="77777777" w:rsidTr="006D192F">
        <w:tc>
          <w:tcPr>
            <w:tcW w:w="1890" w:type="pct"/>
            <w:tcBorders>
              <w:top w:val="single" w:sz="4" w:space="0" w:color="auto"/>
              <w:left w:val="single" w:sz="4" w:space="0" w:color="auto"/>
              <w:bottom w:val="single" w:sz="4" w:space="0" w:color="auto"/>
              <w:right w:val="single" w:sz="4" w:space="0" w:color="auto"/>
            </w:tcBorders>
          </w:tcPr>
          <w:p w14:paraId="306A4E62" w14:textId="1CAB941E" w:rsidR="005B0C78" w:rsidRPr="009E686F" w:rsidDel="002D6675" w:rsidRDefault="005B0C78" w:rsidP="00265766">
            <w:pPr>
              <w:spacing w:after="0"/>
              <w:jc w:val="both"/>
              <w:rPr>
                <w:rFonts w:ascii="Times New Roman" w:hAnsi="Times New Roman" w:cs="Times New Roman"/>
                <w:lang w:val="it-CH"/>
              </w:rPr>
            </w:pPr>
            <w:r w:rsidRPr="009E686F">
              <w:rPr>
                <w:rFonts w:ascii="Times New Roman" w:hAnsi="Times New Roman" w:cs="Times New Roman"/>
                <w:lang w:val="it-CH"/>
              </w:rPr>
              <w:t>(b) sucursala dintr-o țară terță a obținut autorizația pe baza unor informații false sau prin orice alt mijloc ilegal;</w:t>
            </w:r>
          </w:p>
        </w:tc>
        <w:tc>
          <w:tcPr>
            <w:tcW w:w="1834" w:type="pct"/>
            <w:tcBorders>
              <w:top w:val="single" w:sz="4" w:space="0" w:color="auto"/>
              <w:left w:val="single" w:sz="4" w:space="0" w:color="auto"/>
              <w:bottom w:val="single" w:sz="4" w:space="0" w:color="auto"/>
              <w:right w:val="single" w:sz="4" w:space="0" w:color="auto"/>
            </w:tcBorders>
          </w:tcPr>
          <w:p w14:paraId="384BA8B6" w14:textId="0CD173FE" w:rsidR="005B0C78" w:rsidRPr="009E686F" w:rsidRDefault="005B0C78" w:rsidP="00265766">
            <w:pPr>
              <w:spacing w:after="0"/>
              <w:jc w:val="both"/>
              <w:rPr>
                <w:rFonts w:ascii="Times New Roman" w:hAnsi="Times New Roman" w:cs="Times New Roman"/>
                <w:i/>
                <w:lang w:val="it-CH"/>
              </w:rPr>
            </w:pPr>
            <w:r w:rsidRPr="009E686F">
              <w:rPr>
                <w:rFonts w:ascii="Times New Roman" w:hAnsi="Times New Roman" w:cs="Times New Roman"/>
                <w:i/>
                <w:lang w:val="it-CH"/>
              </w:rPr>
              <w:t>b) sucursala dintr-un stat terț a obținut autorizația pe baza unor informații false sau prin orice alt mijloc ilegal;</w:t>
            </w:r>
          </w:p>
        </w:tc>
        <w:tc>
          <w:tcPr>
            <w:tcW w:w="470" w:type="pct"/>
            <w:tcBorders>
              <w:top w:val="single" w:sz="4" w:space="0" w:color="auto"/>
              <w:left w:val="single" w:sz="4" w:space="0" w:color="auto"/>
              <w:bottom w:val="single" w:sz="4" w:space="0" w:color="auto"/>
              <w:right w:val="single" w:sz="4" w:space="0" w:color="auto"/>
            </w:tcBorders>
          </w:tcPr>
          <w:p w14:paraId="49941CDE" w14:textId="055E98AB" w:rsidR="005B0C78" w:rsidRPr="009E686F" w:rsidRDefault="005B0C78" w:rsidP="00265766">
            <w:pPr>
              <w:jc w:val="both"/>
              <w:rPr>
                <w:rFonts w:ascii="Times New Roman" w:hAnsi="Times New Roman" w:cs="Times New Roman"/>
                <w:lang w:val="it-IT"/>
              </w:rPr>
            </w:pPr>
            <w:r w:rsidRPr="009E686F">
              <w:rPr>
                <w:rFonts w:ascii="Times New Roman" w:hAnsi="Times New Roman" w:cs="Times New Roman"/>
                <w:lang w:val="it-CH"/>
              </w:rPr>
              <w:t>Compatibil</w:t>
            </w:r>
          </w:p>
        </w:tc>
        <w:tc>
          <w:tcPr>
            <w:tcW w:w="806" w:type="pct"/>
            <w:vMerge/>
            <w:tcBorders>
              <w:left w:val="single" w:sz="4" w:space="0" w:color="auto"/>
              <w:right w:val="single" w:sz="4" w:space="0" w:color="auto"/>
            </w:tcBorders>
          </w:tcPr>
          <w:p w14:paraId="522446D1" w14:textId="77777777" w:rsidR="005B0C78" w:rsidRPr="009E686F" w:rsidRDefault="005B0C78" w:rsidP="00265766">
            <w:pPr>
              <w:spacing w:after="0"/>
              <w:jc w:val="both"/>
              <w:rPr>
                <w:rFonts w:ascii="Times New Roman" w:hAnsi="Times New Roman" w:cs="Times New Roman"/>
                <w:lang w:val="it-IT"/>
              </w:rPr>
            </w:pPr>
          </w:p>
        </w:tc>
      </w:tr>
      <w:tr w:rsidR="005B0C78" w:rsidRPr="009E686F" w14:paraId="1A01BEFF" w14:textId="77777777" w:rsidTr="006D192F">
        <w:tc>
          <w:tcPr>
            <w:tcW w:w="1890" w:type="pct"/>
            <w:tcBorders>
              <w:top w:val="single" w:sz="4" w:space="0" w:color="auto"/>
              <w:left w:val="single" w:sz="4" w:space="0" w:color="auto"/>
              <w:bottom w:val="single" w:sz="4" w:space="0" w:color="auto"/>
              <w:right w:val="single" w:sz="4" w:space="0" w:color="auto"/>
            </w:tcBorders>
          </w:tcPr>
          <w:p w14:paraId="05B7D4B9" w14:textId="4424002C" w:rsidR="005B0C78" w:rsidRPr="009E686F" w:rsidDel="002D6675" w:rsidRDefault="005B0C78" w:rsidP="00265766">
            <w:pPr>
              <w:spacing w:after="0"/>
              <w:jc w:val="both"/>
              <w:rPr>
                <w:rFonts w:ascii="Times New Roman" w:hAnsi="Times New Roman" w:cs="Times New Roman"/>
                <w:lang w:val="it-CH"/>
              </w:rPr>
            </w:pPr>
            <w:r w:rsidRPr="009E686F">
              <w:rPr>
                <w:rFonts w:ascii="Times New Roman" w:hAnsi="Times New Roman" w:cs="Times New Roman"/>
                <w:lang w:val="it-CH"/>
              </w:rPr>
              <w:t>(c) sucursala dintr-o țară terță nu mai îndeplinește una sau mai multe dintre condițiile sau cerințele suplimentare care au stat la baza acordării autorizației;</w:t>
            </w:r>
          </w:p>
        </w:tc>
        <w:tc>
          <w:tcPr>
            <w:tcW w:w="1834" w:type="pct"/>
            <w:tcBorders>
              <w:top w:val="single" w:sz="4" w:space="0" w:color="auto"/>
              <w:left w:val="single" w:sz="4" w:space="0" w:color="auto"/>
              <w:bottom w:val="single" w:sz="4" w:space="0" w:color="auto"/>
              <w:right w:val="single" w:sz="4" w:space="0" w:color="auto"/>
            </w:tcBorders>
          </w:tcPr>
          <w:p w14:paraId="59E2D94E" w14:textId="263803E2" w:rsidR="005B0C78" w:rsidRPr="009E686F" w:rsidRDefault="005B0C78" w:rsidP="00265766">
            <w:pPr>
              <w:spacing w:after="0"/>
              <w:jc w:val="both"/>
              <w:rPr>
                <w:rFonts w:ascii="Times New Roman" w:hAnsi="Times New Roman" w:cs="Times New Roman"/>
                <w:bCs/>
                <w:i/>
                <w:iCs/>
                <w:lang w:val="it-IT"/>
              </w:rPr>
            </w:pPr>
            <w:r w:rsidRPr="009E686F">
              <w:rPr>
                <w:rFonts w:ascii="Times New Roman" w:hAnsi="Times New Roman" w:cs="Times New Roman"/>
                <w:bCs/>
                <w:i/>
                <w:iCs/>
                <w:lang w:val="it-IT"/>
              </w:rPr>
              <w:t>c) sucursala dintr-un stat terț nu mai îndeplinește una sau mai multe dintre condițiile sau cerințele suplimentare</w:t>
            </w:r>
            <w:r w:rsidRPr="009E686F">
              <w:rPr>
                <w:lang w:val="it-CH"/>
              </w:rPr>
              <w:t xml:space="preserve"> </w:t>
            </w:r>
            <w:r w:rsidRPr="009E686F">
              <w:rPr>
                <w:rFonts w:ascii="Times New Roman" w:hAnsi="Times New Roman" w:cs="Times New Roman"/>
                <w:bCs/>
                <w:i/>
                <w:iCs/>
                <w:lang w:val="it-IT"/>
              </w:rPr>
              <w:t>stabilite de Banca Națională a Moldovei  care au stat la baza acordării autorizației;</w:t>
            </w:r>
          </w:p>
        </w:tc>
        <w:tc>
          <w:tcPr>
            <w:tcW w:w="470" w:type="pct"/>
            <w:tcBorders>
              <w:top w:val="single" w:sz="4" w:space="0" w:color="auto"/>
              <w:left w:val="single" w:sz="4" w:space="0" w:color="auto"/>
              <w:bottom w:val="single" w:sz="4" w:space="0" w:color="auto"/>
              <w:right w:val="single" w:sz="4" w:space="0" w:color="auto"/>
            </w:tcBorders>
          </w:tcPr>
          <w:p w14:paraId="6EB76DB5" w14:textId="5B953314" w:rsidR="005B0C78" w:rsidRPr="009E686F" w:rsidRDefault="005B0C78" w:rsidP="00265766">
            <w:pPr>
              <w:jc w:val="both"/>
              <w:rPr>
                <w:rFonts w:ascii="Times New Roman" w:hAnsi="Times New Roman" w:cs="Times New Roman"/>
                <w:lang w:val="it-IT"/>
              </w:rPr>
            </w:pPr>
            <w:r w:rsidRPr="009E686F">
              <w:rPr>
                <w:rFonts w:ascii="Times New Roman" w:hAnsi="Times New Roman" w:cs="Times New Roman"/>
                <w:lang w:val="it-CH"/>
              </w:rPr>
              <w:t>Compatibil</w:t>
            </w:r>
          </w:p>
        </w:tc>
        <w:tc>
          <w:tcPr>
            <w:tcW w:w="806" w:type="pct"/>
            <w:vMerge/>
            <w:tcBorders>
              <w:left w:val="single" w:sz="4" w:space="0" w:color="auto"/>
              <w:right w:val="single" w:sz="4" w:space="0" w:color="auto"/>
            </w:tcBorders>
          </w:tcPr>
          <w:p w14:paraId="0DF8B9EF" w14:textId="77777777" w:rsidR="005B0C78" w:rsidRPr="009E686F" w:rsidRDefault="005B0C78" w:rsidP="00265766">
            <w:pPr>
              <w:spacing w:after="0"/>
              <w:jc w:val="both"/>
              <w:rPr>
                <w:rFonts w:ascii="Times New Roman" w:hAnsi="Times New Roman" w:cs="Times New Roman"/>
                <w:lang w:val="it-IT"/>
              </w:rPr>
            </w:pPr>
          </w:p>
        </w:tc>
      </w:tr>
      <w:tr w:rsidR="005B0C78" w:rsidRPr="009E686F" w14:paraId="45C64934" w14:textId="77777777" w:rsidTr="006D192F">
        <w:tc>
          <w:tcPr>
            <w:tcW w:w="1890" w:type="pct"/>
            <w:tcBorders>
              <w:top w:val="single" w:sz="4" w:space="0" w:color="auto"/>
              <w:left w:val="single" w:sz="4" w:space="0" w:color="auto"/>
              <w:bottom w:val="single" w:sz="4" w:space="0" w:color="auto"/>
              <w:right w:val="single" w:sz="4" w:space="0" w:color="auto"/>
            </w:tcBorders>
          </w:tcPr>
          <w:p w14:paraId="26F7FC9E" w14:textId="7E4E9E3A" w:rsidR="005B0C78" w:rsidRPr="009E686F" w:rsidDel="002D6675" w:rsidRDefault="005B0C78" w:rsidP="00265766">
            <w:pPr>
              <w:spacing w:after="0"/>
              <w:jc w:val="both"/>
              <w:rPr>
                <w:rFonts w:ascii="Times New Roman" w:hAnsi="Times New Roman" w:cs="Times New Roman"/>
              </w:rPr>
            </w:pPr>
            <w:r w:rsidRPr="009E686F">
              <w:rPr>
                <w:rFonts w:ascii="Times New Roman" w:hAnsi="Times New Roman" w:cs="Times New Roman"/>
              </w:rPr>
              <w:t>(d) sucursala dintr-o țară terță nu mai prezintă garanții că își va putea onora obligațiile față de creditori și, în special, nu mai garantează securitatea activelor încredințate ei de către deponenții săi;</w:t>
            </w:r>
          </w:p>
        </w:tc>
        <w:tc>
          <w:tcPr>
            <w:tcW w:w="1834" w:type="pct"/>
            <w:tcBorders>
              <w:top w:val="single" w:sz="4" w:space="0" w:color="auto"/>
              <w:left w:val="single" w:sz="4" w:space="0" w:color="auto"/>
              <w:bottom w:val="single" w:sz="4" w:space="0" w:color="auto"/>
              <w:right w:val="single" w:sz="4" w:space="0" w:color="auto"/>
            </w:tcBorders>
          </w:tcPr>
          <w:p w14:paraId="1487C3F3" w14:textId="35F48710" w:rsidR="005B0C78" w:rsidRPr="009E686F" w:rsidRDefault="005B0C78" w:rsidP="00265766">
            <w:pPr>
              <w:spacing w:after="0"/>
              <w:jc w:val="both"/>
              <w:rPr>
                <w:rFonts w:ascii="Times New Roman" w:hAnsi="Times New Roman" w:cs="Times New Roman"/>
                <w:i/>
                <w:lang w:val="it-CH"/>
              </w:rPr>
            </w:pPr>
            <w:r w:rsidRPr="009E686F">
              <w:rPr>
                <w:rFonts w:ascii="Times New Roman" w:hAnsi="Times New Roman" w:cs="Times New Roman"/>
                <w:i/>
                <w:lang w:val="it-CH"/>
              </w:rPr>
              <w:t>d) sucursala dintr-un stat terț nu mai prezintă garanții că își va putea onora obligațiile față de creditori și, în special, nu mai garantează securitatea activelor încredințate ei de către deponenții săi;</w:t>
            </w:r>
          </w:p>
        </w:tc>
        <w:tc>
          <w:tcPr>
            <w:tcW w:w="470" w:type="pct"/>
            <w:tcBorders>
              <w:top w:val="single" w:sz="4" w:space="0" w:color="auto"/>
              <w:left w:val="single" w:sz="4" w:space="0" w:color="auto"/>
              <w:bottom w:val="single" w:sz="4" w:space="0" w:color="auto"/>
              <w:right w:val="single" w:sz="4" w:space="0" w:color="auto"/>
            </w:tcBorders>
          </w:tcPr>
          <w:p w14:paraId="3774F0C8" w14:textId="05D56820" w:rsidR="005B0C78" w:rsidRPr="009E686F" w:rsidRDefault="005B0C78" w:rsidP="00265766">
            <w:pPr>
              <w:jc w:val="both"/>
              <w:rPr>
                <w:rFonts w:ascii="Times New Roman" w:hAnsi="Times New Roman" w:cs="Times New Roman"/>
                <w:lang w:val="it-IT"/>
              </w:rPr>
            </w:pPr>
            <w:r w:rsidRPr="009E686F">
              <w:rPr>
                <w:rFonts w:ascii="Times New Roman" w:hAnsi="Times New Roman" w:cs="Times New Roman"/>
                <w:lang w:val="it-CH"/>
              </w:rPr>
              <w:t>Compatibil</w:t>
            </w:r>
          </w:p>
        </w:tc>
        <w:tc>
          <w:tcPr>
            <w:tcW w:w="806" w:type="pct"/>
            <w:vMerge/>
            <w:tcBorders>
              <w:left w:val="single" w:sz="4" w:space="0" w:color="auto"/>
              <w:right w:val="single" w:sz="4" w:space="0" w:color="auto"/>
            </w:tcBorders>
          </w:tcPr>
          <w:p w14:paraId="1C4608A4" w14:textId="77777777" w:rsidR="005B0C78" w:rsidRPr="009E686F" w:rsidRDefault="005B0C78" w:rsidP="00265766">
            <w:pPr>
              <w:spacing w:after="0"/>
              <w:jc w:val="both"/>
              <w:rPr>
                <w:rFonts w:ascii="Times New Roman" w:hAnsi="Times New Roman" w:cs="Times New Roman"/>
                <w:lang w:val="it-IT"/>
              </w:rPr>
            </w:pPr>
          </w:p>
        </w:tc>
      </w:tr>
      <w:tr w:rsidR="005B0C78" w:rsidRPr="009E686F" w14:paraId="4E6253D3" w14:textId="77777777" w:rsidTr="006D192F">
        <w:tc>
          <w:tcPr>
            <w:tcW w:w="1890" w:type="pct"/>
            <w:tcBorders>
              <w:top w:val="single" w:sz="4" w:space="0" w:color="auto"/>
              <w:left w:val="single" w:sz="4" w:space="0" w:color="auto"/>
              <w:bottom w:val="single" w:sz="4" w:space="0" w:color="auto"/>
              <w:right w:val="single" w:sz="4" w:space="0" w:color="auto"/>
            </w:tcBorders>
          </w:tcPr>
          <w:p w14:paraId="14FF4D67" w14:textId="599EEBC1" w:rsidR="005B0C78" w:rsidRPr="009E686F" w:rsidRDefault="005B0C78" w:rsidP="00265766">
            <w:pPr>
              <w:spacing w:after="0"/>
              <w:jc w:val="both"/>
              <w:rPr>
                <w:rFonts w:ascii="Times New Roman" w:hAnsi="Times New Roman" w:cs="Times New Roman"/>
                <w:lang w:val="it-CH"/>
              </w:rPr>
            </w:pPr>
            <w:r w:rsidRPr="009E686F">
              <w:rPr>
                <w:rFonts w:ascii="Times New Roman" w:hAnsi="Times New Roman" w:cs="Times New Roman"/>
                <w:lang w:val="it-CH"/>
              </w:rPr>
              <w:t>(e) sucursala dintr-o țară terță se încadrează în una dintre celelalte situații în care dreptul intern prevede retragerea autorizației;</w:t>
            </w:r>
          </w:p>
        </w:tc>
        <w:tc>
          <w:tcPr>
            <w:tcW w:w="1834" w:type="pct"/>
            <w:tcBorders>
              <w:top w:val="single" w:sz="4" w:space="0" w:color="auto"/>
              <w:left w:val="single" w:sz="4" w:space="0" w:color="auto"/>
              <w:bottom w:val="single" w:sz="4" w:space="0" w:color="auto"/>
              <w:right w:val="single" w:sz="4" w:space="0" w:color="auto"/>
            </w:tcBorders>
          </w:tcPr>
          <w:p w14:paraId="0BF6BAEB" w14:textId="46050277" w:rsidR="005B0C78" w:rsidRPr="009E686F" w:rsidRDefault="005B0C78" w:rsidP="00265766">
            <w:pPr>
              <w:spacing w:after="0"/>
              <w:jc w:val="both"/>
              <w:rPr>
                <w:rFonts w:ascii="Times New Roman" w:hAnsi="Times New Roman" w:cs="Times New Roman"/>
                <w:bCs/>
                <w:i/>
                <w:iCs/>
                <w:lang w:val="it-IT"/>
              </w:rPr>
            </w:pPr>
            <w:r w:rsidRPr="009E686F">
              <w:rPr>
                <w:rFonts w:ascii="Times New Roman" w:hAnsi="Times New Roman" w:cs="Times New Roman"/>
                <w:bCs/>
                <w:i/>
                <w:iCs/>
                <w:lang w:val="it-IT"/>
              </w:rPr>
              <w:t>e) sucursala dintr-un stat terț se încadrează în alte situații în care legislația prevede retragerea autorizației;</w:t>
            </w:r>
          </w:p>
        </w:tc>
        <w:tc>
          <w:tcPr>
            <w:tcW w:w="470" w:type="pct"/>
            <w:tcBorders>
              <w:top w:val="single" w:sz="4" w:space="0" w:color="auto"/>
              <w:left w:val="single" w:sz="4" w:space="0" w:color="auto"/>
              <w:bottom w:val="single" w:sz="4" w:space="0" w:color="auto"/>
              <w:right w:val="single" w:sz="4" w:space="0" w:color="auto"/>
            </w:tcBorders>
          </w:tcPr>
          <w:p w14:paraId="136D9055" w14:textId="67084FA4" w:rsidR="005B0C78" w:rsidRPr="009E686F" w:rsidRDefault="005B0C78" w:rsidP="00265766">
            <w:pPr>
              <w:jc w:val="both"/>
              <w:rPr>
                <w:rFonts w:ascii="Times New Roman" w:hAnsi="Times New Roman" w:cs="Times New Roman"/>
                <w:lang w:val="it-IT"/>
              </w:rPr>
            </w:pPr>
            <w:r w:rsidRPr="009E686F">
              <w:rPr>
                <w:rFonts w:ascii="Times New Roman" w:hAnsi="Times New Roman" w:cs="Times New Roman"/>
                <w:lang w:val="it-CH"/>
              </w:rPr>
              <w:t>Compatibil</w:t>
            </w:r>
          </w:p>
        </w:tc>
        <w:tc>
          <w:tcPr>
            <w:tcW w:w="806" w:type="pct"/>
            <w:vMerge/>
            <w:tcBorders>
              <w:left w:val="single" w:sz="4" w:space="0" w:color="auto"/>
              <w:right w:val="single" w:sz="4" w:space="0" w:color="auto"/>
            </w:tcBorders>
          </w:tcPr>
          <w:p w14:paraId="6D46C0E0" w14:textId="77777777" w:rsidR="005B0C78" w:rsidRPr="009E686F" w:rsidRDefault="005B0C78" w:rsidP="00265766">
            <w:pPr>
              <w:spacing w:after="0"/>
              <w:jc w:val="both"/>
              <w:rPr>
                <w:rFonts w:ascii="Times New Roman" w:hAnsi="Times New Roman" w:cs="Times New Roman"/>
                <w:lang w:val="it-IT"/>
              </w:rPr>
            </w:pPr>
          </w:p>
        </w:tc>
      </w:tr>
      <w:tr w:rsidR="005B0C78" w:rsidRPr="009E686F" w14:paraId="30D30034" w14:textId="77777777" w:rsidTr="006D192F">
        <w:tc>
          <w:tcPr>
            <w:tcW w:w="1890" w:type="pct"/>
            <w:tcBorders>
              <w:top w:val="single" w:sz="4" w:space="0" w:color="auto"/>
              <w:left w:val="single" w:sz="4" w:space="0" w:color="auto"/>
              <w:bottom w:val="single" w:sz="4" w:space="0" w:color="auto"/>
              <w:right w:val="single" w:sz="4" w:space="0" w:color="auto"/>
            </w:tcBorders>
          </w:tcPr>
          <w:p w14:paraId="33CD730D" w14:textId="0A3DC5AC" w:rsidR="005B0C78" w:rsidRPr="009E686F" w:rsidRDefault="005B0C78" w:rsidP="00265766">
            <w:pPr>
              <w:spacing w:after="0"/>
              <w:jc w:val="both"/>
              <w:rPr>
                <w:rFonts w:ascii="Times New Roman" w:hAnsi="Times New Roman" w:cs="Times New Roman"/>
                <w:lang w:val="it-IT"/>
              </w:rPr>
            </w:pPr>
            <w:r w:rsidRPr="009E686F">
              <w:rPr>
                <w:rFonts w:ascii="Times New Roman" w:hAnsi="Times New Roman" w:cs="Times New Roman"/>
                <w:lang w:val="it-IT"/>
              </w:rPr>
              <w:t>(f) sucursala dintr-o țară terță comite una dintre încălcările menționate la articolul 67 alineatul (1);</w:t>
            </w:r>
          </w:p>
        </w:tc>
        <w:tc>
          <w:tcPr>
            <w:tcW w:w="1834" w:type="pct"/>
            <w:tcBorders>
              <w:top w:val="single" w:sz="4" w:space="0" w:color="auto"/>
              <w:left w:val="single" w:sz="4" w:space="0" w:color="auto"/>
              <w:bottom w:val="single" w:sz="4" w:space="0" w:color="auto"/>
              <w:right w:val="single" w:sz="4" w:space="0" w:color="auto"/>
            </w:tcBorders>
          </w:tcPr>
          <w:p w14:paraId="47FE18A0" w14:textId="4B9431FB" w:rsidR="005B0C78" w:rsidRPr="009E686F" w:rsidRDefault="005B0C78" w:rsidP="00265766">
            <w:pPr>
              <w:spacing w:after="0"/>
              <w:jc w:val="both"/>
              <w:rPr>
                <w:rFonts w:ascii="Times New Roman" w:hAnsi="Times New Roman" w:cs="Times New Roman"/>
                <w:bCs/>
                <w:i/>
                <w:iCs/>
                <w:lang w:val="it-IT"/>
              </w:rPr>
            </w:pPr>
            <w:r w:rsidRPr="009E686F">
              <w:rPr>
                <w:rFonts w:ascii="Times New Roman" w:hAnsi="Times New Roman" w:cs="Times New Roman"/>
                <w:bCs/>
                <w:i/>
                <w:iCs/>
                <w:lang w:val="it-IT"/>
              </w:rPr>
              <w:t>f) sucursala dintr-un stat terț comite una dintre faptele sancţionabile prevăzute la art.140;</w:t>
            </w:r>
          </w:p>
        </w:tc>
        <w:tc>
          <w:tcPr>
            <w:tcW w:w="470" w:type="pct"/>
            <w:tcBorders>
              <w:top w:val="single" w:sz="4" w:space="0" w:color="auto"/>
              <w:left w:val="single" w:sz="4" w:space="0" w:color="auto"/>
              <w:bottom w:val="single" w:sz="4" w:space="0" w:color="auto"/>
              <w:right w:val="single" w:sz="4" w:space="0" w:color="auto"/>
            </w:tcBorders>
          </w:tcPr>
          <w:p w14:paraId="7A037EC6" w14:textId="44E43360" w:rsidR="005B0C78" w:rsidRPr="009E686F" w:rsidRDefault="005B0C78" w:rsidP="00265766">
            <w:pPr>
              <w:jc w:val="both"/>
              <w:rPr>
                <w:rFonts w:ascii="Times New Roman" w:hAnsi="Times New Roman" w:cs="Times New Roman"/>
                <w:lang w:val="it-IT"/>
              </w:rPr>
            </w:pPr>
            <w:r w:rsidRPr="009E686F">
              <w:rPr>
                <w:rFonts w:ascii="Times New Roman" w:hAnsi="Times New Roman" w:cs="Times New Roman"/>
                <w:lang w:val="it-CH"/>
              </w:rPr>
              <w:t>Compatibil</w:t>
            </w:r>
          </w:p>
        </w:tc>
        <w:tc>
          <w:tcPr>
            <w:tcW w:w="806" w:type="pct"/>
            <w:vMerge/>
            <w:tcBorders>
              <w:left w:val="single" w:sz="4" w:space="0" w:color="auto"/>
              <w:right w:val="single" w:sz="4" w:space="0" w:color="auto"/>
            </w:tcBorders>
          </w:tcPr>
          <w:p w14:paraId="73236B29" w14:textId="77777777" w:rsidR="005B0C78" w:rsidRPr="009E686F" w:rsidRDefault="005B0C78" w:rsidP="00265766">
            <w:pPr>
              <w:spacing w:after="0"/>
              <w:jc w:val="both"/>
              <w:rPr>
                <w:rFonts w:ascii="Times New Roman" w:hAnsi="Times New Roman" w:cs="Times New Roman"/>
                <w:lang w:val="it-IT"/>
              </w:rPr>
            </w:pPr>
          </w:p>
        </w:tc>
      </w:tr>
      <w:tr w:rsidR="005B0C78" w:rsidRPr="009E686F" w14:paraId="1B52D5E2" w14:textId="77777777" w:rsidTr="006D192F">
        <w:tc>
          <w:tcPr>
            <w:tcW w:w="1890" w:type="pct"/>
            <w:tcBorders>
              <w:top w:val="single" w:sz="4" w:space="0" w:color="auto"/>
              <w:left w:val="single" w:sz="4" w:space="0" w:color="auto"/>
              <w:bottom w:val="single" w:sz="4" w:space="0" w:color="auto"/>
              <w:right w:val="single" w:sz="4" w:space="0" w:color="auto"/>
            </w:tcBorders>
          </w:tcPr>
          <w:p w14:paraId="2A4064A4" w14:textId="4015CEE4" w:rsidR="005B0C78" w:rsidRPr="009E686F" w:rsidRDefault="005B0C78" w:rsidP="00265766">
            <w:pPr>
              <w:spacing w:after="0"/>
              <w:jc w:val="both"/>
              <w:rPr>
                <w:rFonts w:ascii="Times New Roman" w:hAnsi="Times New Roman" w:cs="Times New Roman"/>
              </w:rPr>
            </w:pPr>
            <w:r w:rsidRPr="009E686F">
              <w:rPr>
                <w:rFonts w:ascii="Times New Roman" w:hAnsi="Times New Roman" w:cs="Times New Roman"/>
              </w:rPr>
              <w:t>(g) există motive rezonabile de a suspecta că se săvârșește sau s-a săvârșit o faptă sau o tentativă de spălare de bani ori de finanțare a terorismului în sensul articolului 1 din Directiva (UE) 2015/849 în legătură cu sucursala dintr-o țară terță, cu întreprinderea sa principală sau cu grupul din care face parte aceasta sau că există un risc crescut de săvârșire a faptei sau a tentativei de spălare a banilor ori de finanțare a terorismului în legătură cu sucursala dintr-o țară terță, cu întreprinderea sa principală sau cu grupul din care face parte aceasta.</w:t>
            </w:r>
          </w:p>
        </w:tc>
        <w:tc>
          <w:tcPr>
            <w:tcW w:w="1834" w:type="pct"/>
            <w:tcBorders>
              <w:top w:val="single" w:sz="4" w:space="0" w:color="auto"/>
              <w:left w:val="single" w:sz="4" w:space="0" w:color="auto"/>
              <w:bottom w:val="single" w:sz="4" w:space="0" w:color="auto"/>
              <w:right w:val="single" w:sz="4" w:space="0" w:color="auto"/>
            </w:tcBorders>
          </w:tcPr>
          <w:p w14:paraId="56F5A6AC" w14:textId="4D1E7632" w:rsidR="005B0C78" w:rsidRPr="009E686F" w:rsidRDefault="005B0C78" w:rsidP="00265766">
            <w:pPr>
              <w:spacing w:after="0"/>
              <w:jc w:val="both"/>
              <w:rPr>
                <w:rFonts w:ascii="Times New Roman" w:hAnsi="Times New Roman" w:cs="Times New Roman"/>
                <w:bCs/>
                <w:i/>
                <w:iCs/>
              </w:rPr>
            </w:pPr>
            <w:r w:rsidRPr="009E686F">
              <w:rPr>
                <w:rFonts w:ascii="Times New Roman" w:hAnsi="Times New Roman" w:cs="Times New Roman"/>
                <w:bCs/>
                <w:i/>
                <w:iCs/>
              </w:rPr>
              <w:t>g) există motive rezonabile de a suspecta că se săvârșește sau s-a săvârșit o faptă sau o tentativă de spălare de bani ori de finanțare a terorismului în sensul sensul Legii nr. 308/2017</w:t>
            </w:r>
            <w:r w:rsidR="00C2714D" w:rsidRPr="009E686F">
              <w:t xml:space="preserve"> </w:t>
            </w:r>
            <w:r w:rsidR="00C2714D" w:rsidRPr="009E686F">
              <w:rPr>
                <w:rFonts w:ascii="Times New Roman" w:hAnsi="Times New Roman" w:cs="Times New Roman"/>
                <w:bCs/>
                <w:i/>
                <w:iCs/>
              </w:rPr>
              <w:t>în continuare – Legea nr. 308/2017)</w:t>
            </w:r>
            <w:r w:rsidRPr="009E686F">
              <w:rPr>
                <w:rFonts w:ascii="Times New Roman" w:hAnsi="Times New Roman" w:cs="Times New Roman"/>
                <w:bCs/>
                <w:i/>
                <w:iCs/>
              </w:rPr>
              <w:t xml:space="preserve"> în legătură cu sucursala dintr-un stat terț, cu întreprinderea sa principală sau cu grupul din care face parte aceasta sau că există un risc crescut de săvârșire a faptei sau a tentativei de spălare a banilor ori de finanțare a terorismului în legătură cu sucursala dintr-un stat terț, cu întreprinderea sa principală sau cu grupul din care face parte aceasta.</w:t>
            </w:r>
          </w:p>
        </w:tc>
        <w:tc>
          <w:tcPr>
            <w:tcW w:w="470" w:type="pct"/>
            <w:tcBorders>
              <w:top w:val="single" w:sz="4" w:space="0" w:color="auto"/>
              <w:left w:val="single" w:sz="4" w:space="0" w:color="auto"/>
              <w:bottom w:val="single" w:sz="4" w:space="0" w:color="auto"/>
              <w:right w:val="single" w:sz="4" w:space="0" w:color="auto"/>
            </w:tcBorders>
          </w:tcPr>
          <w:p w14:paraId="290803AE" w14:textId="469F997E" w:rsidR="005B0C78" w:rsidRPr="009E686F" w:rsidRDefault="005B0C78" w:rsidP="00265766">
            <w:pPr>
              <w:jc w:val="both"/>
              <w:rPr>
                <w:rFonts w:ascii="Times New Roman" w:hAnsi="Times New Roman" w:cs="Times New Roman"/>
                <w:lang w:val="it-IT"/>
              </w:rPr>
            </w:pPr>
            <w:r w:rsidRPr="009E686F">
              <w:rPr>
                <w:rFonts w:ascii="Times New Roman" w:hAnsi="Times New Roman" w:cs="Times New Roman"/>
                <w:lang w:val="it-CH"/>
              </w:rPr>
              <w:t>Compatibil</w:t>
            </w:r>
          </w:p>
        </w:tc>
        <w:tc>
          <w:tcPr>
            <w:tcW w:w="806" w:type="pct"/>
            <w:vMerge/>
            <w:tcBorders>
              <w:left w:val="single" w:sz="4" w:space="0" w:color="auto"/>
              <w:bottom w:val="single" w:sz="4" w:space="0" w:color="auto"/>
              <w:right w:val="single" w:sz="4" w:space="0" w:color="auto"/>
            </w:tcBorders>
          </w:tcPr>
          <w:p w14:paraId="3381F2F8" w14:textId="77777777" w:rsidR="005B0C78" w:rsidRPr="009E686F" w:rsidRDefault="005B0C78" w:rsidP="00265766">
            <w:pPr>
              <w:spacing w:after="0"/>
              <w:jc w:val="both"/>
              <w:rPr>
                <w:rFonts w:ascii="Times New Roman" w:hAnsi="Times New Roman" w:cs="Times New Roman"/>
                <w:lang w:val="it-IT"/>
              </w:rPr>
            </w:pPr>
          </w:p>
        </w:tc>
      </w:tr>
      <w:tr w:rsidR="00265766" w:rsidRPr="009E686F" w14:paraId="7FDD6ADD" w14:textId="77777777" w:rsidTr="00960C23">
        <w:tc>
          <w:tcPr>
            <w:tcW w:w="1890" w:type="pct"/>
            <w:tcBorders>
              <w:top w:val="single" w:sz="4" w:space="0" w:color="auto"/>
              <w:left w:val="single" w:sz="4" w:space="0" w:color="auto"/>
              <w:bottom w:val="single" w:sz="4" w:space="0" w:color="auto"/>
              <w:right w:val="single" w:sz="4" w:space="0" w:color="auto"/>
            </w:tcBorders>
          </w:tcPr>
          <w:p w14:paraId="111CA759" w14:textId="5A68A943"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lastRenderedPageBreak/>
              <w:t>(3) Pentru a evalua dacă este îndeplinită condiția prevăzută la alineatul (2) litera (g) de la prezentul articol, autoritatea competentă consultă autoritatea responsabilă cu supravegherea combaterii spălării banilor sau a finanțării terorismului din statul membru în conformitate cu Directiva (UE) 2015/849.</w:t>
            </w:r>
          </w:p>
        </w:tc>
        <w:tc>
          <w:tcPr>
            <w:tcW w:w="1834" w:type="pct"/>
            <w:tcBorders>
              <w:top w:val="single" w:sz="4" w:space="0" w:color="auto"/>
              <w:left w:val="single" w:sz="4" w:space="0" w:color="auto"/>
              <w:bottom w:val="single" w:sz="4" w:space="0" w:color="auto"/>
              <w:right w:val="single" w:sz="4" w:space="0" w:color="auto"/>
            </w:tcBorders>
          </w:tcPr>
          <w:p w14:paraId="44ECAE06" w14:textId="77777777" w:rsidR="009E0F9A" w:rsidRPr="009E686F" w:rsidRDefault="009E0F9A" w:rsidP="009E0F9A">
            <w:pPr>
              <w:spacing w:after="0"/>
              <w:jc w:val="both"/>
              <w:rPr>
                <w:rFonts w:ascii="Times New Roman" w:hAnsi="Times New Roman" w:cs="Times New Roman"/>
                <w:i/>
                <w:iCs/>
                <w:lang w:val="it-CH"/>
              </w:rPr>
            </w:pPr>
            <w:r w:rsidRPr="009E686F">
              <w:rPr>
                <w:rFonts w:ascii="Times New Roman" w:hAnsi="Times New Roman" w:cs="Times New Roman"/>
                <w:i/>
                <w:iCs/>
                <w:lang w:val="it-CH"/>
              </w:rPr>
              <w:t>(2) La evaluarea îndeplinirii condiției prevăzute la alin. (1) lit. g), Banca Națională a Moldovei consultă Serviciul Prevenirea şi Combaterea Spălării Banilor.</w:t>
            </w:r>
            <w:r w:rsidRPr="009E686F">
              <w:rPr>
                <w:rFonts w:ascii="Times New Roman" w:hAnsi="Times New Roman" w:cs="Times New Roman"/>
                <w:b/>
                <w:bCs/>
                <w:i/>
                <w:iCs/>
                <w:lang w:val="it-CH"/>
              </w:rPr>
              <w:t xml:space="preserve"> </w:t>
            </w:r>
          </w:p>
          <w:p w14:paraId="00094327" w14:textId="0AA9349E" w:rsidR="00265766" w:rsidRPr="009E686F" w:rsidRDefault="00265766" w:rsidP="00265766">
            <w:pPr>
              <w:spacing w:after="0"/>
              <w:jc w:val="both"/>
              <w:rPr>
                <w:rFonts w:ascii="Times New Roman" w:hAnsi="Times New Roman" w:cs="Times New Roman"/>
                <w:bCs/>
                <w:i/>
                <w:iCs/>
                <w:lang w:val="it-IT"/>
              </w:rPr>
            </w:pPr>
          </w:p>
        </w:tc>
        <w:tc>
          <w:tcPr>
            <w:tcW w:w="470" w:type="pct"/>
            <w:tcBorders>
              <w:top w:val="single" w:sz="4" w:space="0" w:color="auto"/>
              <w:left w:val="single" w:sz="4" w:space="0" w:color="auto"/>
              <w:bottom w:val="single" w:sz="4" w:space="0" w:color="auto"/>
              <w:right w:val="single" w:sz="4" w:space="0" w:color="auto"/>
            </w:tcBorders>
          </w:tcPr>
          <w:p w14:paraId="7E61DD65" w14:textId="73D03F87" w:rsidR="00265766" w:rsidRPr="009E686F" w:rsidRDefault="00265766" w:rsidP="00265766">
            <w:pPr>
              <w:jc w:val="both"/>
              <w:rPr>
                <w:rFonts w:ascii="Times New Roman" w:hAnsi="Times New Roman" w:cs="Times New Roman"/>
                <w:lang w:val="it-IT"/>
              </w:rPr>
            </w:pPr>
            <w:r w:rsidRPr="009E686F">
              <w:rPr>
                <w:rFonts w:ascii="Times New Roman" w:hAnsi="Times New Roman" w:cs="Times New Roman"/>
                <w:lang w:val="it-CH"/>
              </w:rPr>
              <w:t>Compatibil</w:t>
            </w:r>
          </w:p>
        </w:tc>
        <w:tc>
          <w:tcPr>
            <w:tcW w:w="806" w:type="pct"/>
            <w:tcBorders>
              <w:top w:val="single" w:sz="4" w:space="0" w:color="auto"/>
              <w:left w:val="single" w:sz="4" w:space="0" w:color="auto"/>
              <w:bottom w:val="single" w:sz="4" w:space="0" w:color="auto"/>
              <w:right w:val="single" w:sz="4" w:space="0" w:color="auto"/>
            </w:tcBorders>
          </w:tcPr>
          <w:p w14:paraId="3287F335" w14:textId="77777777" w:rsidR="005B0C78" w:rsidRPr="009E686F" w:rsidRDefault="005B0C78" w:rsidP="005B0C78">
            <w:r w:rsidRPr="009E686F">
              <w:rPr>
                <w:rFonts w:ascii="Times New Roman" w:hAnsi="Times New Roman" w:cs="Times New Roman"/>
                <w:lang w:val="ro-RO"/>
              </w:rPr>
              <w:t>În vigoare – data aderării.</w:t>
            </w:r>
          </w:p>
          <w:p w14:paraId="0B776EAC" w14:textId="77777777" w:rsidR="00265766" w:rsidRPr="009E686F" w:rsidRDefault="00265766" w:rsidP="00265766">
            <w:pPr>
              <w:spacing w:after="0"/>
              <w:jc w:val="both"/>
              <w:rPr>
                <w:rFonts w:ascii="Times New Roman" w:hAnsi="Times New Roman" w:cs="Times New Roman"/>
                <w:lang w:val="it-IT"/>
              </w:rPr>
            </w:pPr>
          </w:p>
        </w:tc>
      </w:tr>
      <w:tr w:rsidR="00265766" w:rsidRPr="009E686F" w14:paraId="5AAA306A" w14:textId="77777777" w:rsidTr="00960C23">
        <w:tc>
          <w:tcPr>
            <w:tcW w:w="1890" w:type="pct"/>
            <w:tcBorders>
              <w:top w:val="single" w:sz="4" w:space="0" w:color="auto"/>
              <w:left w:val="single" w:sz="4" w:space="0" w:color="auto"/>
              <w:bottom w:val="single" w:sz="4" w:space="0" w:color="auto"/>
              <w:right w:val="single" w:sz="4" w:space="0" w:color="auto"/>
            </w:tcBorders>
          </w:tcPr>
          <w:p w14:paraId="730348FB" w14:textId="74B4FAF6" w:rsidR="00265766" w:rsidRPr="009E686F" w:rsidRDefault="00265766" w:rsidP="00265766">
            <w:pPr>
              <w:spacing w:after="0"/>
              <w:jc w:val="both"/>
              <w:rPr>
                <w:rFonts w:ascii="Times New Roman" w:hAnsi="Times New Roman" w:cs="Times New Roman"/>
                <w:lang w:val="it-IT"/>
              </w:rPr>
            </w:pPr>
            <w:r w:rsidRPr="009E686F">
              <w:rPr>
                <w:rFonts w:ascii="Times New Roman" w:hAnsi="Times New Roman" w:cs="Times New Roman"/>
                <w:lang w:val="it-IT"/>
              </w:rPr>
              <w:t>(4) Statele membre prevăd proceduri clare pentru refuzul sau retragerea autorizației unei sucursale dintr-o țară terță în conformitate cu alineatele (1), (2) și (3).</w:t>
            </w:r>
          </w:p>
        </w:tc>
        <w:tc>
          <w:tcPr>
            <w:tcW w:w="1834" w:type="pct"/>
            <w:tcBorders>
              <w:top w:val="single" w:sz="4" w:space="0" w:color="auto"/>
              <w:left w:val="single" w:sz="4" w:space="0" w:color="auto"/>
              <w:bottom w:val="single" w:sz="4" w:space="0" w:color="auto"/>
              <w:right w:val="single" w:sz="4" w:space="0" w:color="auto"/>
            </w:tcBorders>
          </w:tcPr>
          <w:p w14:paraId="6D46C9A6" w14:textId="2655C7BE" w:rsidR="00265766" w:rsidRPr="009E686F" w:rsidRDefault="00265766" w:rsidP="00265766">
            <w:pPr>
              <w:spacing w:after="0"/>
              <w:jc w:val="both"/>
              <w:rPr>
                <w:rFonts w:ascii="Times New Roman" w:hAnsi="Times New Roman" w:cs="Times New Roman"/>
                <w:bCs/>
                <w:i/>
                <w:iCs/>
                <w:lang w:val="it-IT"/>
              </w:rPr>
            </w:pPr>
            <w:r w:rsidRPr="009E686F">
              <w:rPr>
                <w:rFonts w:ascii="Times New Roman" w:hAnsi="Times New Roman" w:cs="Times New Roman"/>
                <w:bCs/>
                <w:i/>
                <w:iCs/>
                <w:lang w:val="it-IT"/>
              </w:rPr>
              <w:t>(4) Banca Națională a Moldovei stabilește în actele sale normative procedurile pentru refuzul sau retragerea autorizației unei sucursale dintr-un stat terț.</w:t>
            </w:r>
          </w:p>
        </w:tc>
        <w:tc>
          <w:tcPr>
            <w:tcW w:w="470" w:type="pct"/>
            <w:tcBorders>
              <w:top w:val="single" w:sz="4" w:space="0" w:color="auto"/>
              <w:left w:val="single" w:sz="4" w:space="0" w:color="auto"/>
              <w:bottom w:val="single" w:sz="4" w:space="0" w:color="auto"/>
              <w:right w:val="single" w:sz="4" w:space="0" w:color="auto"/>
            </w:tcBorders>
          </w:tcPr>
          <w:p w14:paraId="4FB2DA0B" w14:textId="17220632" w:rsidR="00265766" w:rsidRPr="009E686F" w:rsidRDefault="00265766" w:rsidP="00265766">
            <w:pPr>
              <w:jc w:val="both"/>
              <w:rPr>
                <w:rFonts w:ascii="Times New Roman" w:hAnsi="Times New Roman" w:cs="Times New Roman"/>
                <w:lang w:val="it-IT"/>
              </w:rPr>
            </w:pPr>
            <w:r w:rsidRPr="009E686F">
              <w:rPr>
                <w:rFonts w:ascii="Times New Roman" w:hAnsi="Times New Roman" w:cs="Times New Roman"/>
                <w:lang w:val="it-CH"/>
              </w:rPr>
              <w:t>Compatibil</w:t>
            </w:r>
          </w:p>
        </w:tc>
        <w:tc>
          <w:tcPr>
            <w:tcW w:w="806" w:type="pct"/>
            <w:tcBorders>
              <w:top w:val="single" w:sz="4" w:space="0" w:color="auto"/>
              <w:left w:val="single" w:sz="4" w:space="0" w:color="auto"/>
              <w:bottom w:val="single" w:sz="4" w:space="0" w:color="auto"/>
              <w:right w:val="single" w:sz="4" w:space="0" w:color="auto"/>
            </w:tcBorders>
          </w:tcPr>
          <w:p w14:paraId="1B63B1D6" w14:textId="2CA0CC4A" w:rsidR="00265766" w:rsidRPr="009E686F" w:rsidRDefault="005B0C78" w:rsidP="005B0C78">
            <w:r w:rsidRPr="009E686F">
              <w:rPr>
                <w:rFonts w:ascii="Times New Roman" w:hAnsi="Times New Roman" w:cs="Times New Roman"/>
                <w:lang w:val="ro-RO"/>
              </w:rPr>
              <w:t>În vigoare – data aderării.</w:t>
            </w:r>
          </w:p>
        </w:tc>
      </w:tr>
      <w:tr w:rsidR="00265766" w:rsidRPr="009E686F" w14:paraId="60407840" w14:textId="77777777" w:rsidTr="00960C23">
        <w:tc>
          <w:tcPr>
            <w:tcW w:w="1890" w:type="pct"/>
            <w:tcBorders>
              <w:top w:val="single" w:sz="4" w:space="0" w:color="auto"/>
              <w:left w:val="single" w:sz="4" w:space="0" w:color="auto"/>
              <w:bottom w:val="single" w:sz="4" w:space="0" w:color="auto"/>
              <w:right w:val="single" w:sz="4" w:space="0" w:color="auto"/>
            </w:tcBorders>
          </w:tcPr>
          <w:p w14:paraId="56EB6006" w14:textId="77777777" w:rsidR="00265766" w:rsidRPr="009E686F" w:rsidRDefault="00265766" w:rsidP="00265766">
            <w:pPr>
              <w:spacing w:after="0" w:line="240" w:lineRule="auto"/>
              <w:jc w:val="both"/>
              <w:rPr>
                <w:rFonts w:ascii="Times New Roman" w:hAnsi="Times New Roman" w:cs="Times New Roman"/>
                <w:lang w:val="it-IT"/>
              </w:rPr>
            </w:pPr>
            <w:r w:rsidRPr="009E686F">
              <w:rPr>
                <w:rFonts w:ascii="Times New Roman" w:hAnsi="Times New Roman" w:cs="Times New Roman"/>
                <w:lang w:val="it-IT"/>
              </w:rPr>
              <w:t>Subsecțiunea 2</w:t>
            </w:r>
          </w:p>
          <w:p w14:paraId="6ADBE411" w14:textId="1ECFB2D4" w:rsidR="00265766" w:rsidRPr="009E686F" w:rsidRDefault="00265766" w:rsidP="00265766">
            <w:pPr>
              <w:spacing w:after="0" w:line="240" w:lineRule="auto"/>
              <w:jc w:val="both"/>
              <w:rPr>
                <w:rFonts w:ascii="Times New Roman" w:hAnsi="Times New Roman" w:cs="Times New Roman"/>
                <w:b/>
                <w:bCs/>
                <w:lang w:val="it-IT"/>
              </w:rPr>
            </w:pPr>
            <w:r w:rsidRPr="009E686F">
              <w:rPr>
                <w:rFonts w:ascii="Times New Roman" w:hAnsi="Times New Roman" w:cs="Times New Roman"/>
                <w:b/>
                <w:bCs/>
                <w:lang w:val="it-IT"/>
              </w:rPr>
              <w:t>Cerințe minime de reglementare</w:t>
            </w:r>
          </w:p>
        </w:tc>
        <w:tc>
          <w:tcPr>
            <w:tcW w:w="1834" w:type="pct"/>
            <w:tcBorders>
              <w:top w:val="single" w:sz="4" w:space="0" w:color="auto"/>
              <w:left w:val="single" w:sz="4" w:space="0" w:color="auto"/>
              <w:bottom w:val="single" w:sz="4" w:space="0" w:color="auto"/>
              <w:right w:val="single" w:sz="4" w:space="0" w:color="auto"/>
            </w:tcBorders>
          </w:tcPr>
          <w:p w14:paraId="1478698C" w14:textId="77777777" w:rsidR="00265766" w:rsidRPr="009E686F" w:rsidRDefault="00265766" w:rsidP="00265766">
            <w:pPr>
              <w:spacing w:after="0"/>
              <w:jc w:val="both"/>
              <w:rPr>
                <w:rFonts w:ascii="Times New Roman" w:hAnsi="Times New Roman" w:cs="Times New Roman"/>
                <w:b/>
                <w:lang w:val="it-IT"/>
              </w:rPr>
            </w:pPr>
          </w:p>
        </w:tc>
        <w:tc>
          <w:tcPr>
            <w:tcW w:w="470" w:type="pct"/>
            <w:tcBorders>
              <w:top w:val="single" w:sz="4" w:space="0" w:color="auto"/>
              <w:left w:val="single" w:sz="4" w:space="0" w:color="auto"/>
              <w:bottom w:val="single" w:sz="4" w:space="0" w:color="auto"/>
              <w:right w:val="single" w:sz="4" w:space="0" w:color="auto"/>
            </w:tcBorders>
          </w:tcPr>
          <w:p w14:paraId="6A75CD43" w14:textId="0F54723A" w:rsidR="00265766" w:rsidRPr="009E686F" w:rsidRDefault="00265766" w:rsidP="00265766">
            <w:pPr>
              <w:jc w:val="both"/>
              <w:rPr>
                <w:rFonts w:ascii="Times New Roman" w:hAnsi="Times New Roman" w:cs="Times New Roman"/>
                <w:lang w:val="it-IT"/>
              </w:rPr>
            </w:pPr>
            <w:r w:rsidRPr="009E686F">
              <w:rPr>
                <w:rFonts w:ascii="Times New Roman" w:hAnsi="Times New Roman" w:cs="Times New Roman"/>
                <w:lang w:val="it-CH"/>
              </w:rPr>
              <w:t>Compatibil</w:t>
            </w:r>
          </w:p>
        </w:tc>
        <w:tc>
          <w:tcPr>
            <w:tcW w:w="806" w:type="pct"/>
            <w:tcBorders>
              <w:top w:val="single" w:sz="4" w:space="0" w:color="auto"/>
              <w:left w:val="single" w:sz="4" w:space="0" w:color="auto"/>
              <w:bottom w:val="single" w:sz="4" w:space="0" w:color="auto"/>
              <w:right w:val="single" w:sz="4" w:space="0" w:color="auto"/>
            </w:tcBorders>
          </w:tcPr>
          <w:p w14:paraId="44508664" w14:textId="77777777" w:rsidR="00265766" w:rsidRPr="009E686F" w:rsidRDefault="00265766" w:rsidP="00265766">
            <w:pPr>
              <w:spacing w:after="0"/>
              <w:jc w:val="both"/>
              <w:rPr>
                <w:rFonts w:ascii="Times New Roman" w:hAnsi="Times New Roman" w:cs="Times New Roman"/>
                <w:lang w:val="it-IT"/>
              </w:rPr>
            </w:pPr>
          </w:p>
        </w:tc>
      </w:tr>
      <w:tr w:rsidR="00265766" w:rsidRPr="009E686F" w14:paraId="7FA38E53" w14:textId="77777777" w:rsidTr="00960C23">
        <w:tc>
          <w:tcPr>
            <w:tcW w:w="1890" w:type="pct"/>
            <w:tcBorders>
              <w:top w:val="single" w:sz="4" w:space="0" w:color="auto"/>
              <w:left w:val="single" w:sz="4" w:space="0" w:color="auto"/>
              <w:bottom w:val="single" w:sz="4" w:space="0" w:color="auto"/>
              <w:right w:val="single" w:sz="4" w:space="0" w:color="auto"/>
            </w:tcBorders>
          </w:tcPr>
          <w:p w14:paraId="0FEBF681" w14:textId="77777777" w:rsidR="00265766" w:rsidRPr="009E686F" w:rsidRDefault="00265766" w:rsidP="00265766">
            <w:pPr>
              <w:spacing w:after="0"/>
              <w:jc w:val="both"/>
              <w:rPr>
                <w:rFonts w:ascii="Times New Roman" w:hAnsi="Times New Roman" w:cs="Times New Roman"/>
                <w:i/>
                <w:iCs/>
                <w:lang w:val="pt-BR"/>
              </w:rPr>
            </w:pPr>
            <w:r w:rsidRPr="009E686F">
              <w:rPr>
                <w:rFonts w:ascii="Times New Roman" w:hAnsi="Times New Roman" w:cs="Times New Roman"/>
                <w:i/>
                <w:iCs/>
                <w:lang w:val="pt-BR"/>
              </w:rPr>
              <w:t xml:space="preserve">Articolul 48e </w:t>
            </w:r>
          </w:p>
          <w:p w14:paraId="1764F487" w14:textId="40B58CEB" w:rsidR="00265766" w:rsidRPr="009E686F" w:rsidRDefault="00265766" w:rsidP="00265766">
            <w:pPr>
              <w:spacing w:after="0"/>
              <w:jc w:val="both"/>
              <w:rPr>
                <w:rFonts w:ascii="Times New Roman" w:hAnsi="Times New Roman" w:cs="Times New Roman"/>
                <w:lang w:val="pt-BR"/>
              </w:rPr>
            </w:pPr>
            <w:r w:rsidRPr="009E686F">
              <w:rPr>
                <w:rFonts w:ascii="Times New Roman" w:hAnsi="Times New Roman" w:cs="Times New Roman"/>
                <w:lang w:val="pt-BR"/>
              </w:rPr>
              <w:t>Cerința privind capitalul de dotare</w:t>
            </w:r>
          </w:p>
        </w:tc>
        <w:tc>
          <w:tcPr>
            <w:tcW w:w="1834" w:type="pct"/>
            <w:tcBorders>
              <w:top w:val="single" w:sz="4" w:space="0" w:color="auto"/>
              <w:left w:val="single" w:sz="4" w:space="0" w:color="auto"/>
              <w:bottom w:val="single" w:sz="4" w:space="0" w:color="auto"/>
              <w:right w:val="single" w:sz="4" w:space="0" w:color="auto"/>
            </w:tcBorders>
          </w:tcPr>
          <w:p w14:paraId="4BF83F4F" w14:textId="20A1FB2C" w:rsidR="00265766" w:rsidRPr="009E686F" w:rsidRDefault="00265766" w:rsidP="00265766">
            <w:pPr>
              <w:spacing w:after="0"/>
              <w:jc w:val="both"/>
              <w:rPr>
                <w:rFonts w:ascii="Times New Roman" w:hAnsi="Times New Roman" w:cs="Times New Roman"/>
                <w:b/>
                <w:lang w:val="it-IT"/>
              </w:rPr>
            </w:pPr>
            <w:r w:rsidRPr="009E686F">
              <w:rPr>
                <w:rFonts w:ascii="Times New Roman" w:eastAsia="Aptos" w:hAnsi="Times New Roman" w:cs="Times New Roman"/>
                <w:b/>
                <w:bCs/>
                <w:kern w:val="2"/>
                <w:lang w:val="ro-MD"/>
              </w:rPr>
              <w:t>Articolul 94</w:t>
            </w:r>
            <w:r w:rsidRPr="009E686F">
              <w:rPr>
                <w:rFonts w:ascii="Times New Roman" w:eastAsia="Aptos" w:hAnsi="Times New Roman" w:cs="Times New Roman"/>
                <w:b/>
                <w:bCs/>
                <w:kern w:val="2"/>
                <w:vertAlign w:val="superscript"/>
                <w:lang w:val="ro-MD"/>
              </w:rPr>
              <w:t>1</w:t>
            </w:r>
            <w:r w:rsidRPr="009E686F">
              <w:rPr>
                <w:rFonts w:ascii="Times New Roman" w:eastAsia="Aptos" w:hAnsi="Times New Roman" w:cs="Times New Roman"/>
                <w:b/>
                <w:bCs/>
                <w:kern w:val="2"/>
                <w:lang w:val="ro-MD"/>
              </w:rPr>
              <w:t xml:space="preserve">. </w:t>
            </w:r>
            <w:r w:rsidRPr="009E686F">
              <w:rPr>
                <w:rFonts w:ascii="Times New Roman" w:hAnsi="Times New Roman" w:cs="Times New Roman"/>
                <w:i/>
                <w:iCs/>
                <w:lang w:val="it-CH"/>
              </w:rPr>
              <w:t>Capitalul de dotare a sucursalei dintr-un stat terț</w:t>
            </w:r>
          </w:p>
        </w:tc>
        <w:tc>
          <w:tcPr>
            <w:tcW w:w="470" w:type="pct"/>
            <w:tcBorders>
              <w:top w:val="single" w:sz="4" w:space="0" w:color="auto"/>
              <w:left w:val="single" w:sz="4" w:space="0" w:color="auto"/>
              <w:bottom w:val="single" w:sz="4" w:space="0" w:color="auto"/>
              <w:right w:val="single" w:sz="4" w:space="0" w:color="auto"/>
            </w:tcBorders>
          </w:tcPr>
          <w:p w14:paraId="0DA1A12E" w14:textId="11C80F46" w:rsidR="00265766" w:rsidRPr="009E686F" w:rsidRDefault="00265766" w:rsidP="00265766">
            <w:pPr>
              <w:jc w:val="both"/>
              <w:rPr>
                <w:rFonts w:ascii="Times New Roman" w:hAnsi="Times New Roman" w:cs="Times New Roman"/>
                <w:lang w:val="pt-BR"/>
              </w:rPr>
            </w:pPr>
            <w:r w:rsidRPr="009E686F">
              <w:rPr>
                <w:rFonts w:ascii="Times New Roman" w:hAnsi="Times New Roman" w:cs="Times New Roman"/>
                <w:lang w:val="pt-BR"/>
              </w:rPr>
              <w:t>Compatibil</w:t>
            </w:r>
          </w:p>
        </w:tc>
        <w:tc>
          <w:tcPr>
            <w:tcW w:w="806" w:type="pct"/>
            <w:tcBorders>
              <w:top w:val="single" w:sz="4" w:space="0" w:color="auto"/>
              <w:left w:val="single" w:sz="4" w:space="0" w:color="auto"/>
              <w:bottom w:val="single" w:sz="4" w:space="0" w:color="auto"/>
              <w:right w:val="single" w:sz="4" w:space="0" w:color="auto"/>
            </w:tcBorders>
          </w:tcPr>
          <w:p w14:paraId="0CB10F45" w14:textId="65FF0B07" w:rsidR="00265766" w:rsidRPr="009E686F" w:rsidRDefault="00F22329" w:rsidP="00F22329">
            <w:r w:rsidRPr="009E686F">
              <w:rPr>
                <w:rFonts w:ascii="Times New Roman" w:hAnsi="Times New Roman" w:cs="Times New Roman"/>
                <w:lang w:val="ro-RO"/>
              </w:rPr>
              <w:t>În vigoare – data aderării.</w:t>
            </w:r>
          </w:p>
        </w:tc>
      </w:tr>
      <w:tr w:rsidR="00265766" w:rsidRPr="009E686F" w14:paraId="222F5223" w14:textId="77777777" w:rsidTr="006A04B8">
        <w:trPr>
          <w:trHeight w:val="5634"/>
        </w:trPr>
        <w:tc>
          <w:tcPr>
            <w:tcW w:w="1890" w:type="pct"/>
            <w:tcBorders>
              <w:top w:val="single" w:sz="4" w:space="0" w:color="auto"/>
              <w:left w:val="single" w:sz="4" w:space="0" w:color="auto"/>
              <w:right w:val="single" w:sz="4" w:space="0" w:color="auto"/>
            </w:tcBorders>
          </w:tcPr>
          <w:p w14:paraId="3169C4E1" w14:textId="77777777"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lastRenderedPageBreak/>
              <w:t>(1) Fără a aduce atingere altor cerințe de capital aplicabile în conformitate cu dreptul intern, statele membre prevăd obligația ca sucursalele din țări terțe să mențină în permanență un capital minim de dotare care să fie cel puțin egal cu:</w:t>
            </w:r>
          </w:p>
          <w:p w14:paraId="41B2B8FD" w14:textId="77777777" w:rsidR="00265766" w:rsidRPr="009E686F" w:rsidRDefault="00265766" w:rsidP="00265766">
            <w:pPr>
              <w:spacing w:after="0"/>
              <w:jc w:val="both"/>
              <w:rPr>
                <w:rFonts w:ascii="Times New Roman" w:hAnsi="Times New Roman" w:cs="Times New Roman"/>
                <w:lang w:val="ro-MD"/>
              </w:rPr>
            </w:pPr>
            <w:r w:rsidRPr="009E686F">
              <w:rPr>
                <w:rFonts w:ascii="Times New Roman" w:hAnsi="Times New Roman" w:cs="Times New Roman"/>
                <w:lang w:val="ro-MD"/>
              </w:rPr>
              <w:t>(a) 2,5 % din datoriile medii ale sucursalei pentru cele trei perioade anuale de raportare imediat precedente sau, pentru sucursalele din țări terțe nou autorizate, din datoriile sucursalei la momentul autorizării, astfel cum au fost raportate în conformitate cu subsecțiunea 4, sub rezerva a minimum 10 milioane EUR, în cazul sucursalelor din țări terțe din clasa 1;</w:t>
            </w:r>
          </w:p>
          <w:p w14:paraId="392FC200" w14:textId="006FA62B" w:rsidR="00265766" w:rsidRPr="009E686F" w:rsidRDefault="00265766" w:rsidP="00265766">
            <w:pPr>
              <w:spacing w:after="0"/>
              <w:jc w:val="both"/>
              <w:rPr>
                <w:rFonts w:ascii="Times New Roman" w:hAnsi="Times New Roman" w:cs="Times New Roman"/>
                <w:lang w:val="ro-MD"/>
              </w:rPr>
            </w:pPr>
            <w:r w:rsidRPr="009E686F">
              <w:rPr>
                <w:rFonts w:ascii="Times New Roman" w:hAnsi="Times New Roman" w:cs="Times New Roman"/>
                <w:lang w:val="ro-MD"/>
              </w:rPr>
              <w:t>(b) 0,5 % din datoriile medii ale sucursalei pentru cele trei perioade anuale de raportare imediat precedente sau, pentru sucursalele din țări terțe nou autorizate, din datoriile sucursalei la momentul autorizării, astfel cum au fost raportate în conformitate cu subsecțiunea 4, sub rezerva a minimum 5 milioane EUR, în cazul sucursalelor din țări terțe din clasa 2.</w:t>
            </w:r>
          </w:p>
        </w:tc>
        <w:tc>
          <w:tcPr>
            <w:tcW w:w="1834" w:type="pct"/>
            <w:tcBorders>
              <w:top w:val="single" w:sz="4" w:space="0" w:color="auto"/>
              <w:left w:val="single" w:sz="4" w:space="0" w:color="auto"/>
              <w:right w:val="single" w:sz="4" w:space="0" w:color="auto"/>
            </w:tcBorders>
          </w:tcPr>
          <w:p w14:paraId="03552135" w14:textId="155AD20C" w:rsidR="00265766" w:rsidRPr="009E686F" w:rsidRDefault="00265766" w:rsidP="00265766">
            <w:pPr>
              <w:spacing w:after="0" w:line="278" w:lineRule="auto"/>
              <w:jc w:val="both"/>
              <w:rPr>
                <w:rFonts w:ascii="Times New Roman" w:eastAsia="Aptos" w:hAnsi="Times New Roman" w:cs="Times New Roman"/>
                <w:b/>
                <w:bCs/>
                <w:kern w:val="2"/>
                <w:lang w:val="ro-MD"/>
              </w:rPr>
            </w:pPr>
            <w:r w:rsidRPr="009E686F">
              <w:rPr>
                <w:rFonts w:ascii="Times New Roman" w:eastAsia="Aptos" w:hAnsi="Times New Roman" w:cs="Times New Roman"/>
                <w:b/>
                <w:bCs/>
                <w:kern w:val="2"/>
                <w:lang w:val="ro-MD"/>
              </w:rPr>
              <w:t>Articolul 94</w:t>
            </w:r>
            <w:r w:rsidRPr="009E686F">
              <w:rPr>
                <w:rFonts w:ascii="Times New Roman" w:eastAsia="Aptos" w:hAnsi="Times New Roman" w:cs="Times New Roman"/>
                <w:b/>
                <w:bCs/>
                <w:kern w:val="2"/>
                <w:vertAlign w:val="superscript"/>
                <w:lang w:val="ro-MD"/>
              </w:rPr>
              <w:t>1</w:t>
            </w:r>
            <w:r w:rsidRPr="009E686F">
              <w:rPr>
                <w:rFonts w:ascii="Times New Roman" w:eastAsia="Aptos" w:hAnsi="Times New Roman" w:cs="Times New Roman"/>
                <w:b/>
                <w:bCs/>
                <w:kern w:val="2"/>
                <w:lang w:val="ro-MD"/>
              </w:rPr>
              <w:t xml:space="preserve"> alin. (2)</w:t>
            </w:r>
          </w:p>
          <w:p w14:paraId="3D3AB5F1" w14:textId="77777777" w:rsidR="00265766" w:rsidRPr="009E686F" w:rsidRDefault="00265766" w:rsidP="00265766">
            <w:pPr>
              <w:spacing w:after="0" w:line="278" w:lineRule="auto"/>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 xml:space="preserve">(2) Capital minim de dotare prevăzut la alin. (1) trebuie să fie cel puțin egal cu: </w:t>
            </w:r>
          </w:p>
          <w:p w14:paraId="1062C61B" w14:textId="72C683D9" w:rsidR="00265766" w:rsidRPr="009E686F" w:rsidRDefault="00265766" w:rsidP="00265766">
            <w:pPr>
              <w:spacing w:after="0" w:line="278" w:lineRule="auto"/>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a) 2,5 % din datoriile medii ale sucursalei pentru cele trei perioade anuale de raportare imediat precedente sau, pentru sucursalele din state terțe nou autorizate, din datoriile sucursalei la momentul autorizării, astfel cum au fost raportate în conformitate cu art. 94</w:t>
            </w:r>
            <w:r w:rsidRPr="009E686F">
              <w:rPr>
                <w:rFonts w:ascii="Times New Roman" w:eastAsia="Aptos" w:hAnsi="Times New Roman" w:cs="Times New Roman"/>
                <w:i/>
                <w:iCs/>
                <w:kern w:val="2"/>
                <w:vertAlign w:val="superscript"/>
                <w:lang w:val="ro-MD"/>
              </w:rPr>
              <w:t>5</w:t>
            </w:r>
            <w:r w:rsidRPr="009E686F">
              <w:rPr>
                <w:rFonts w:ascii="Times New Roman" w:eastAsia="Aptos" w:hAnsi="Times New Roman" w:cs="Times New Roman"/>
                <w:i/>
                <w:iCs/>
                <w:kern w:val="2"/>
                <w:lang w:val="ro-MD"/>
              </w:rPr>
              <w:t xml:space="preserve">, sub rezerva a cel puțin echivalentul în lei moldovenești a 10 milioane euro, în cazul sucursalelor din state terțe din clasa 1; </w:t>
            </w:r>
          </w:p>
          <w:p w14:paraId="3C1AE40C" w14:textId="23BE900E" w:rsidR="00265766" w:rsidRPr="009E686F" w:rsidRDefault="00265766" w:rsidP="00265766">
            <w:pPr>
              <w:spacing w:after="0"/>
              <w:jc w:val="both"/>
              <w:rPr>
                <w:rFonts w:ascii="Times New Roman" w:hAnsi="Times New Roman" w:cs="Times New Roman"/>
                <w:b/>
                <w:lang w:val="ro-MD"/>
              </w:rPr>
            </w:pPr>
            <w:r w:rsidRPr="009E686F">
              <w:rPr>
                <w:rFonts w:ascii="Times New Roman" w:eastAsia="Aptos" w:hAnsi="Times New Roman" w:cs="Times New Roman"/>
                <w:i/>
                <w:iCs/>
                <w:kern w:val="2"/>
                <w:lang w:val="ro-MD"/>
              </w:rPr>
              <w:t>b) 0,5 % din datoriile medii ale sucursalei pentru cele trei perioade anuale de raportare imediat precedente sau, pentru sucursalele din state terțe nou autorizate, din datoriile sucursalei la momentul autorizării, astfel cum au fost raportate în conformitate cu art. 94</w:t>
            </w:r>
            <w:r w:rsidRPr="009E686F">
              <w:rPr>
                <w:rFonts w:ascii="Times New Roman" w:eastAsia="Aptos" w:hAnsi="Times New Roman" w:cs="Times New Roman"/>
                <w:i/>
                <w:iCs/>
                <w:kern w:val="2"/>
                <w:vertAlign w:val="superscript"/>
                <w:lang w:val="ro-MD"/>
              </w:rPr>
              <w:t>5</w:t>
            </w:r>
            <w:r w:rsidRPr="009E686F">
              <w:rPr>
                <w:rFonts w:ascii="Times New Roman" w:eastAsia="Aptos" w:hAnsi="Times New Roman" w:cs="Times New Roman"/>
                <w:i/>
                <w:iCs/>
                <w:kern w:val="2"/>
                <w:lang w:val="ro-MD"/>
              </w:rPr>
              <w:t>, sub rezerva a cel puțin echivalentul în lei moldovenești a 5 milioane euro, în cazul sucursalelor din state terțe din clasa 2.</w:t>
            </w:r>
          </w:p>
        </w:tc>
        <w:tc>
          <w:tcPr>
            <w:tcW w:w="470" w:type="pct"/>
            <w:tcBorders>
              <w:top w:val="single" w:sz="4" w:space="0" w:color="auto"/>
              <w:left w:val="single" w:sz="4" w:space="0" w:color="auto"/>
              <w:right w:val="single" w:sz="4" w:space="0" w:color="auto"/>
            </w:tcBorders>
          </w:tcPr>
          <w:p w14:paraId="6EAB7A0C" w14:textId="0E88ADE5" w:rsidR="00265766" w:rsidRPr="009E686F" w:rsidRDefault="00265766" w:rsidP="00265766">
            <w:pPr>
              <w:jc w:val="both"/>
              <w:rPr>
                <w:rFonts w:ascii="Times New Roman" w:hAnsi="Times New Roman" w:cs="Times New Roman"/>
                <w:lang w:val="ro-MD"/>
              </w:rPr>
            </w:pPr>
            <w:r w:rsidRPr="009E686F">
              <w:rPr>
                <w:rFonts w:ascii="Times New Roman" w:hAnsi="Times New Roman" w:cs="Times New Roman"/>
                <w:lang w:val="ro-MD"/>
              </w:rPr>
              <w:t>Compatibil</w:t>
            </w:r>
          </w:p>
        </w:tc>
        <w:tc>
          <w:tcPr>
            <w:tcW w:w="806" w:type="pct"/>
            <w:tcBorders>
              <w:top w:val="single" w:sz="4" w:space="0" w:color="auto"/>
              <w:left w:val="single" w:sz="4" w:space="0" w:color="auto"/>
              <w:right w:val="single" w:sz="4" w:space="0" w:color="auto"/>
            </w:tcBorders>
          </w:tcPr>
          <w:p w14:paraId="40CFDCA3" w14:textId="77777777" w:rsidR="00F22329" w:rsidRPr="009E686F" w:rsidRDefault="00F22329" w:rsidP="00F22329">
            <w:r w:rsidRPr="009E686F">
              <w:rPr>
                <w:rFonts w:ascii="Times New Roman" w:hAnsi="Times New Roman" w:cs="Times New Roman"/>
                <w:lang w:val="ro-RO"/>
              </w:rPr>
              <w:t>În vigoare – data aderării.</w:t>
            </w:r>
          </w:p>
          <w:p w14:paraId="43760875" w14:textId="77777777" w:rsidR="00265766" w:rsidRPr="009E686F" w:rsidRDefault="00265766" w:rsidP="00265766">
            <w:pPr>
              <w:spacing w:after="0"/>
              <w:jc w:val="both"/>
              <w:rPr>
                <w:rFonts w:ascii="Times New Roman" w:hAnsi="Times New Roman" w:cs="Times New Roman"/>
                <w:lang w:val="ro-MD"/>
              </w:rPr>
            </w:pPr>
          </w:p>
        </w:tc>
      </w:tr>
      <w:tr w:rsidR="00F22329" w:rsidRPr="009E686F" w14:paraId="45F21FDC" w14:textId="77777777" w:rsidTr="009C3397">
        <w:tc>
          <w:tcPr>
            <w:tcW w:w="1890" w:type="pct"/>
            <w:tcBorders>
              <w:top w:val="single" w:sz="4" w:space="0" w:color="auto"/>
              <w:left w:val="single" w:sz="4" w:space="0" w:color="auto"/>
              <w:bottom w:val="single" w:sz="4" w:space="0" w:color="auto"/>
              <w:right w:val="single" w:sz="4" w:space="0" w:color="auto"/>
            </w:tcBorders>
          </w:tcPr>
          <w:p w14:paraId="00D37732" w14:textId="4F88D2C0" w:rsidR="00F22329" w:rsidRPr="009E686F" w:rsidRDefault="00F22329" w:rsidP="00265766">
            <w:pPr>
              <w:spacing w:after="0"/>
              <w:jc w:val="both"/>
              <w:rPr>
                <w:rFonts w:ascii="Times New Roman" w:hAnsi="Times New Roman" w:cs="Times New Roman"/>
                <w:lang w:val="ro-MD"/>
              </w:rPr>
            </w:pPr>
            <w:r w:rsidRPr="009E686F">
              <w:rPr>
                <w:rFonts w:ascii="Times New Roman" w:hAnsi="Times New Roman" w:cs="Times New Roman"/>
                <w:lang w:val="ro-MD"/>
              </w:rPr>
              <w:t>(2) Sucursalele din țări terțe întrunesc cerința privind capitalul minim de dotare menționată la alineatul (1) cu active sub forma oricărora dintre următoarele:</w:t>
            </w:r>
          </w:p>
        </w:tc>
        <w:tc>
          <w:tcPr>
            <w:tcW w:w="1834" w:type="pct"/>
            <w:tcBorders>
              <w:top w:val="single" w:sz="4" w:space="0" w:color="auto"/>
              <w:left w:val="single" w:sz="4" w:space="0" w:color="auto"/>
              <w:bottom w:val="single" w:sz="4" w:space="0" w:color="auto"/>
              <w:right w:val="single" w:sz="4" w:space="0" w:color="auto"/>
            </w:tcBorders>
          </w:tcPr>
          <w:p w14:paraId="53B1178F" w14:textId="7ED01315" w:rsidR="00F22329" w:rsidRPr="009E686F" w:rsidRDefault="00F22329" w:rsidP="00265766">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b/>
                <w:bCs/>
                <w:kern w:val="2"/>
                <w:lang w:val="ro-MD"/>
              </w:rPr>
              <w:t>Articolul 94</w:t>
            </w:r>
            <w:r w:rsidRPr="009E686F">
              <w:rPr>
                <w:rFonts w:ascii="Times New Roman" w:eastAsia="Aptos" w:hAnsi="Times New Roman" w:cs="Times New Roman"/>
                <w:b/>
                <w:bCs/>
                <w:kern w:val="2"/>
                <w:vertAlign w:val="superscript"/>
                <w:lang w:val="ro-MD"/>
              </w:rPr>
              <w:t>1</w:t>
            </w:r>
            <w:r w:rsidRPr="009E686F">
              <w:rPr>
                <w:rFonts w:ascii="Times New Roman" w:eastAsia="Aptos" w:hAnsi="Times New Roman" w:cs="Times New Roman"/>
                <w:b/>
                <w:bCs/>
                <w:kern w:val="2"/>
                <w:lang w:val="ro-MD"/>
              </w:rPr>
              <w:t xml:space="preserve"> alin. (1)</w:t>
            </w:r>
            <w:r w:rsidRPr="009E686F">
              <w:rPr>
                <w:rFonts w:ascii="Times New Roman" w:eastAsia="Aptos" w:hAnsi="Times New Roman" w:cs="Times New Roman"/>
                <w:kern w:val="2"/>
                <w:lang w:val="ro-MD"/>
              </w:rPr>
              <w:t xml:space="preserve"> </w:t>
            </w:r>
          </w:p>
          <w:p w14:paraId="7EA187E3" w14:textId="016F5BA1" w:rsidR="00F22329" w:rsidRPr="009E686F" w:rsidRDefault="00F22329" w:rsidP="00265766">
            <w:pPr>
              <w:spacing w:after="0"/>
              <w:jc w:val="both"/>
              <w:rPr>
                <w:rFonts w:ascii="Times New Roman" w:hAnsi="Times New Roman" w:cs="Times New Roman"/>
                <w:i/>
                <w:lang w:val="ro-MD"/>
              </w:rPr>
            </w:pPr>
            <w:r w:rsidRPr="009E686F">
              <w:rPr>
                <w:rFonts w:ascii="Times New Roman" w:hAnsi="Times New Roman" w:cs="Times New Roman"/>
                <w:i/>
                <w:lang w:val="ro-MD"/>
              </w:rPr>
              <w:t xml:space="preserve">(3) Cerința privind capitalul minim de dotare menționată la alin. (2) este considerată îndeplinită dacă e constituit din active sub una dintre următoarele forme: </w:t>
            </w:r>
          </w:p>
        </w:tc>
        <w:tc>
          <w:tcPr>
            <w:tcW w:w="470" w:type="pct"/>
            <w:tcBorders>
              <w:top w:val="single" w:sz="4" w:space="0" w:color="auto"/>
              <w:left w:val="single" w:sz="4" w:space="0" w:color="auto"/>
              <w:bottom w:val="single" w:sz="4" w:space="0" w:color="auto"/>
              <w:right w:val="single" w:sz="4" w:space="0" w:color="auto"/>
            </w:tcBorders>
          </w:tcPr>
          <w:p w14:paraId="15E70EFF" w14:textId="408A4283" w:rsidR="00F22329" w:rsidRPr="009E686F" w:rsidRDefault="00F22329" w:rsidP="00265766">
            <w:pPr>
              <w:jc w:val="both"/>
              <w:rPr>
                <w:rFonts w:ascii="Times New Roman" w:hAnsi="Times New Roman" w:cs="Times New Roman"/>
                <w:lang w:val="ro-MD"/>
              </w:rPr>
            </w:pPr>
            <w:r w:rsidRPr="009E686F">
              <w:rPr>
                <w:rFonts w:ascii="Times New Roman" w:hAnsi="Times New Roman" w:cs="Times New Roman"/>
                <w:lang w:val="ro-MD"/>
              </w:rPr>
              <w:t>Compatibil</w:t>
            </w:r>
          </w:p>
        </w:tc>
        <w:tc>
          <w:tcPr>
            <w:tcW w:w="806" w:type="pct"/>
            <w:vMerge w:val="restart"/>
            <w:tcBorders>
              <w:top w:val="single" w:sz="4" w:space="0" w:color="auto"/>
              <w:left w:val="single" w:sz="4" w:space="0" w:color="auto"/>
              <w:right w:val="single" w:sz="4" w:space="0" w:color="auto"/>
            </w:tcBorders>
          </w:tcPr>
          <w:p w14:paraId="766DF80B" w14:textId="77777777" w:rsidR="00F22329" w:rsidRPr="009E686F" w:rsidRDefault="00F22329" w:rsidP="00F22329">
            <w:r w:rsidRPr="009E686F">
              <w:rPr>
                <w:rFonts w:ascii="Times New Roman" w:hAnsi="Times New Roman" w:cs="Times New Roman"/>
                <w:lang w:val="ro-RO"/>
              </w:rPr>
              <w:t>În vigoare – data aderării.</w:t>
            </w:r>
          </w:p>
          <w:p w14:paraId="5C37061B" w14:textId="77777777" w:rsidR="00F22329" w:rsidRPr="009E686F" w:rsidRDefault="00F22329" w:rsidP="00265766">
            <w:pPr>
              <w:spacing w:after="0"/>
              <w:jc w:val="both"/>
              <w:rPr>
                <w:rFonts w:ascii="Times New Roman" w:hAnsi="Times New Roman" w:cs="Times New Roman"/>
                <w:lang w:val="ro-MD"/>
              </w:rPr>
            </w:pPr>
          </w:p>
        </w:tc>
      </w:tr>
      <w:tr w:rsidR="00F22329" w:rsidRPr="009E686F" w14:paraId="237DD037" w14:textId="77777777" w:rsidTr="009C3397">
        <w:tc>
          <w:tcPr>
            <w:tcW w:w="1890" w:type="pct"/>
            <w:tcBorders>
              <w:top w:val="single" w:sz="4" w:space="0" w:color="auto"/>
              <w:left w:val="single" w:sz="4" w:space="0" w:color="auto"/>
              <w:bottom w:val="single" w:sz="4" w:space="0" w:color="auto"/>
              <w:right w:val="single" w:sz="4" w:space="0" w:color="auto"/>
            </w:tcBorders>
          </w:tcPr>
          <w:p w14:paraId="5FDA2BE8" w14:textId="5CBBE756" w:rsidR="00F22329" w:rsidRPr="009E686F" w:rsidRDefault="00F22329" w:rsidP="00265766">
            <w:pPr>
              <w:spacing w:after="0"/>
              <w:jc w:val="both"/>
              <w:rPr>
                <w:rFonts w:ascii="Times New Roman" w:hAnsi="Times New Roman" w:cs="Times New Roman"/>
                <w:lang w:val="pt-BR"/>
              </w:rPr>
            </w:pPr>
            <w:r w:rsidRPr="009E686F">
              <w:rPr>
                <w:rFonts w:ascii="Times New Roman" w:hAnsi="Times New Roman" w:cs="Times New Roman"/>
                <w:lang w:val="pt-BR"/>
              </w:rPr>
              <w:t>(a)  numerar sau instrumente asimilate numerarului, astfel cum sunt definite la articolul 4 alineatul (1) punctul 60 din Regulamentul (UE) nr. 575/2013;</w:t>
            </w:r>
          </w:p>
        </w:tc>
        <w:tc>
          <w:tcPr>
            <w:tcW w:w="1834" w:type="pct"/>
            <w:tcBorders>
              <w:top w:val="single" w:sz="4" w:space="0" w:color="auto"/>
              <w:left w:val="single" w:sz="4" w:space="0" w:color="auto"/>
              <w:bottom w:val="single" w:sz="4" w:space="0" w:color="auto"/>
              <w:right w:val="single" w:sz="4" w:space="0" w:color="auto"/>
            </w:tcBorders>
          </w:tcPr>
          <w:p w14:paraId="3CA503D7" w14:textId="77777777" w:rsidR="00F22329" w:rsidRPr="009E686F" w:rsidRDefault="00F22329" w:rsidP="00265766">
            <w:pPr>
              <w:spacing w:after="0"/>
              <w:jc w:val="both"/>
              <w:rPr>
                <w:rFonts w:ascii="Times New Roman" w:hAnsi="Times New Roman" w:cs="Times New Roman"/>
                <w:i/>
                <w:lang w:val="pt-BR"/>
              </w:rPr>
            </w:pPr>
            <w:r w:rsidRPr="009E686F">
              <w:rPr>
                <w:rFonts w:ascii="Times New Roman" w:hAnsi="Times New Roman" w:cs="Times New Roman"/>
                <w:i/>
                <w:lang w:val="pt-BR"/>
              </w:rPr>
              <w:t xml:space="preserve">a) numerar sau instrumente asimilate numerarului, astfel cum sunt definite de actele normative ale Băncii Naționale a Moldovei emise în aplicarea prezentei legi; </w:t>
            </w:r>
          </w:p>
          <w:p w14:paraId="7A858A43" w14:textId="34876C01" w:rsidR="00F22329" w:rsidRPr="009E686F" w:rsidRDefault="00F22329" w:rsidP="00265766">
            <w:pPr>
              <w:spacing w:after="0"/>
              <w:jc w:val="both"/>
              <w:rPr>
                <w:rFonts w:ascii="Times New Roman" w:hAnsi="Times New Roman" w:cs="Times New Roman"/>
                <w:b/>
                <w:i/>
                <w:iCs/>
                <w:lang w:val="pt-BR"/>
              </w:rPr>
            </w:pPr>
          </w:p>
        </w:tc>
        <w:tc>
          <w:tcPr>
            <w:tcW w:w="470" w:type="pct"/>
            <w:tcBorders>
              <w:top w:val="single" w:sz="4" w:space="0" w:color="auto"/>
              <w:left w:val="single" w:sz="4" w:space="0" w:color="auto"/>
              <w:bottom w:val="single" w:sz="4" w:space="0" w:color="auto"/>
              <w:right w:val="single" w:sz="4" w:space="0" w:color="auto"/>
            </w:tcBorders>
          </w:tcPr>
          <w:p w14:paraId="701615D6" w14:textId="68CA3AD7" w:rsidR="00F22329" w:rsidRPr="009E686F" w:rsidRDefault="00F22329" w:rsidP="00265766">
            <w:pPr>
              <w:jc w:val="both"/>
              <w:rPr>
                <w:rFonts w:ascii="Times New Roman" w:hAnsi="Times New Roman" w:cs="Times New Roman"/>
                <w:lang w:val="pt-BR"/>
              </w:rPr>
            </w:pPr>
            <w:r w:rsidRPr="009E686F">
              <w:rPr>
                <w:rFonts w:ascii="Times New Roman" w:hAnsi="Times New Roman" w:cs="Times New Roman"/>
                <w:lang w:val="ro-MD"/>
              </w:rPr>
              <w:t>Compatibil</w:t>
            </w:r>
          </w:p>
        </w:tc>
        <w:tc>
          <w:tcPr>
            <w:tcW w:w="806" w:type="pct"/>
            <w:vMerge/>
            <w:tcBorders>
              <w:left w:val="single" w:sz="4" w:space="0" w:color="auto"/>
              <w:right w:val="single" w:sz="4" w:space="0" w:color="auto"/>
            </w:tcBorders>
          </w:tcPr>
          <w:p w14:paraId="1A50A95B" w14:textId="77777777" w:rsidR="00F22329" w:rsidRPr="009E686F" w:rsidRDefault="00F22329" w:rsidP="00265766">
            <w:pPr>
              <w:spacing w:after="0"/>
              <w:jc w:val="both"/>
              <w:rPr>
                <w:rFonts w:ascii="Times New Roman" w:hAnsi="Times New Roman" w:cs="Times New Roman"/>
                <w:lang w:val="pt-BR"/>
              </w:rPr>
            </w:pPr>
          </w:p>
        </w:tc>
      </w:tr>
      <w:tr w:rsidR="00F22329" w:rsidRPr="009E686F" w14:paraId="6A643F64" w14:textId="77777777" w:rsidTr="00DC48A6">
        <w:tc>
          <w:tcPr>
            <w:tcW w:w="1890" w:type="pct"/>
            <w:tcBorders>
              <w:top w:val="single" w:sz="4" w:space="0" w:color="auto"/>
              <w:left w:val="single" w:sz="4" w:space="0" w:color="auto"/>
              <w:bottom w:val="single" w:sz="4" w:space="0" w:color="auto"/>
              <w:right w:val="single" w:sz="4" w:space="0" w:color="auto"/>
            </w:tcBorders>
          </w:tcPr>
          <w:p w14:paraId="20B01ECC" w14:textId="499C32A5" w:rsidR="00F22329" w:rsidRPr="009E686F" w:rsidRDefault="00F22329" w:rsidP="00265766">
            <w:pPr>
              <w:spacing w:after="0"/>
              <w:jc w:val="both"/>
              <w:rPr>
                <w:rFonts w:ascii="Times New Roman" w:hAnsi="Times New Roman" w:cs="Times New Roman"/>
                <w:lang w:val="pt-BR"/>
              </w:rPr>
            </w:pPr>
            <w:r w:rsidRPr="009E686F">
              <w:rPr>
                <w:rFonts w:ascii="Times New Roman" w:hAnsi="Times New Roman" w:cs="Times New Roman"/>
                <w:lang w:val="pt-BR"/>
              </w:rPr>
              <w:t>(a)  numerar sau instrumente asimilate numerarului, astfel cum sunt definite la articolul 4 alineatul (1) punctul 60 din Regulamentul (UE) nr. 575/2013;</w:t>
            </w:r>
          </w:p>
        </w:tc>
        <w:tc>
          <w:tcPr>
            <w:tcW w:w="1834" w:type="pct"/>
            <w:tcBorders>
              <w:top w:val="single" w:sz="4" w:space="0" w:color="auto"/>
              <w:left w:val="single" w:sz="4" w:space="0" w:color="auto"/>
              <w:bottom w:val="single" w:sz="4" w:space="0" w:color="auto"/>
              <w:right w:val="single" w:sz="4" w:space="0" w:color="auto"/>
            </w:tcBorders>
          </w:tcPr>
          <w:p w14:paraId="05FA1F5D" w14:textId="77777777" w:rsidR="00F22329" w:rsidRPr="009E686F" w:rsidRDefault="00F22329" w:rsidP="00265766">
            <w:pPr>
              <w:spacing w:after="0"/>
              <w:jc w:val="both"/>
              <w:rPr>
                <w:rFonts w:ascii="Times New Roman" w:hAnsi="Times New Roman" w:cs="Times New Roman"/>
                <w:i/>
                <w:iCs/>
                <w:lang w:val="it-CH"/>
              </w:rPr>
            </w:pPr>
            <w:r w:rsidRPr="009E686F">
              <w:rPr>
                <w:rFonts w:ascii="Times New Roman" w:hAnsi="Times New Roman" w:cs="Times New Roman"/>
                <w:i/>
                <w:iCs/>
                <w:lang w:val="it-CH"/>
              </w:rPr>
              <w:t xml:space="preserve">b) titluri de natura datoriei emise de administrații centrale sau bănci centrale ale statelor membre; sau </w:t>
            </w:r>
          </w:p>
          <w:p w14:paraId="7C10626C" w14:textId="050B2C7E" w:rsidR="00F22329" w:rsidRPr="009E686F" w:rsidRDefault="00F22329" w:rsidP="00265766">
            <w:pPr>
              <w:spacing w:after="0"/>
              <w:jc w:val="both"/>
              <w:rPr>
                <w:rFonts w:ascii="Times New Roman" w:hAnsi="Times New Roman" w:cs="Times New Roman"/>
                <w:b/>
                <w:i/>
                <w:iCs/>
                <w:lang w:val="pt-BR"/>
              </w:rPr>
            </w:pPr>
          </w:p>
        </w:tc>
        <w:tc>
          <w:tcPr>
            <w:tcW w:w="470" w:type="pct"/>
            <w:tcBorders>
              <w:top w:val="single" w:sz="4" w:space="0" w:color="auto"/>
              <w:left w:val="single" w:sz="4" w:space="0" w:color="auto"/>
              <w:bottom w:val="single" w:sz="4" w:space="0" w:color="auto"/>
              <w:right w:val="single" w:sz="4" w:space="0" w:color="auto"/>
            </w:tcBorders>
          </w:tcPr>
          <w:p w14:paraId="1B9CCF35" w14:textId="52416F3F" w:rsidR="00F22329" w:rsidRPr="009E686F" w:rsidRDefault="00F22329" w:rsidP="00265766">
            <w:pPr>
              <w:jc w:val="both"/>
              <w:rPr>
                <w:rFonts w:ascii="Times New Roman" w:hAnsi="Times New Roman" w:cs="Times New Roman"/>
                <w:lang w:val="pt-BR"/>
              </w:rPr>
            </w:pPr>
            <w:r w:rsidRPr="009E686F">
              <w:rPr>
                <w:rFonts w:ascii="Times New Roman" w:hAnsi="Times New Roman" w:cs="Times New Roman"/>
                <w:lang w:val="ro-MD"/>
              </w:rPr>
              <w:t>Compatibil</w:t>
            </w:r>
          </w:p>
        </w:tc>
        <w:tc>
          <w:tcPr>
            <w:tcW w:w="806" w:type="pct"/>
            <w:vMerge/>
            <w:tcBorders>
              <w:left w:val="single" w:sz="4" w:space="0" w:color="auto"/>
              <w:right w:val="single" w:sz="4" w:space="0" w:color="auto"/>
            </w:tcBorders>
          </w:tcPr>
          <w:p w14:paraId="69C5F566" w14:textId="77777777" w:rsidR="00F22329" w:rsidRPr="009E686F" w:rsidRDefault="00F22329" w:rsidP="00265766">
            <w:pPr>
              <w:spacing w:after="0"/>
              <w:jc w:val="both"/>
              <w:rPr>
                <w:rFonts w:ascii="Times New Roman" w:hAnsi="Times New Roman" w:cs="Times New Roman"/>
                <w:lang w:val="pt-BR"/>
              </w:rPr>
            </w:pPr>
          </w:p>
        </w:tc>
      </w:tr>
      <w:tr w:rsidR="00F22329" w:rsidRPr="009E686F" w14:paraId="2A214DFF" w14:textId="77777777" w:rsidTr="00DC48A6">
        <w:tc>
          <w:tcPr>
            <w:tcW w:w="1890" w:type="pct"/>
            <w:tcBorders>
              <w:top w:val="single" w:sz="4" w:space="0" w:color="auto"/>
              <w:left w:val="single" w:sz="4" w:space="0" w:color="auto"/>
              <w:bottom w:val="single" w:sz="4" w:space="0" w:color="auto"/>
              <w:right w:val="single" w:sz="4" w:space="0" w:color="auto"/>
            </w:tcBorders>
          </w:tcPr>
          <w:p w14:paraId="537E0BF7" w14:textId="72A6D204" w:rsidR="00F22329" w:rsidRPr="009E686F" w:rsidRDefault="00F22329" w:rsidP="00265766">
            <w:pPr>
              <w:spacing w:after="0"/>
              <w:jc w:val="both"/>
              <w:rPr>
                <w:rFonts w:ascii="Times New Roman" w:hAnsi="Times New Roman" w:cs="Times New Roman"/>
                <w:lang w:val="it-CH"/>
              </w:rPr>
            </w:pPr>
            <w:r w:rsidRPr="009E686F">
              <w:rPr>
                <w:rFonts w:ascii="Times New Roman" w:hAnsi="Times New Roman" w:cs="Times New Roman"/>
                <w:lang w:val="it-CH"/>
              </w:rPr>
              <w:lastRenderedPageBreak/>
              <w:t>(c) orice alt instrument care este la dispoziția sucursalei dintr-o țară terță pentru o utilizare nerestricționată și imediată cu scopul de a acoperi riscurile sau pierderile de îndată ce apar.</w:t>
            </w:r>
          </w:p>
        </w:tc>
        <w:tc>
          <w:tcPr>
            <w:tcW w:w="1834" w:type="pct"/>
            <w:tcBorders>
              <w:top w:val="single" w:sz="4" w:space="0" w:color="auto"/>
              <w:left w:val="single" w:sz="4" w:space="0" w:color="auto"/>
              <w:bottom w:val="single" w:sz="4" w:space="0" w:color="auto"/>
              <w:right w:val="single" w:sz="4" w:space="0" w:color="auto"/>
            </w:tcBorders>
          </w:tcPr>
          <w:p w14:paraId="3828B06A" w14:textId="7472BD81" w:rsidR="00F22329" w:rsidRPr="009E686F" w:rsidRDefault="00F22329" w:rsidP="00265766">
            <w:pPr>
              <w:spacing w:after="0"/>
              <w:jc w:val="both"/>
              <w:rPr>
                <w:rFonts w:ascii="Times New Roman" w:hAnsi="Times New Roman" w:cs="Times New Roman"/>
                <w:b/>
                <w:i/>
                <w:lang w:val="it-IT"/>
              </w:rPr>
            </w:pPr>
            <w:r w:rsidRPr="009E686F">
              <w:rPr>
                <w:rFonts w:ascii="Times New Roman" w:hAnsi="Times New Roman" w:cs="Times New Roman"/>
                <w:i/>
                <w:iCs/>
                <w:lang w:val="it-CH"/>
              </w:rPr>
              <w:t>c) orice alt instrument care este la dispoziția sucursalei dintr-un stat terț pentru o utilizare nerestricționată și imediată cu scopul de a acoperi riscurile sau pierderile de îndată ce apar.</w:t>
            </w:r>
          </w:p>
        </w:tc>
        <w:tc>
          <w:tcPr>
            <w:tcW w:w="470" w:type="pct"/>
            <w:tcBorders>
              <w:top w:val="single" w:sz="4" w:space="0" w:color="auto"/>
              <w:left w:val="single" w:sz="4" w:space="0" w:color="auto"/>
              <w:bottom w:val="single" w:sz="4" w:space="0" w:color="auto"/>
              <w:right w:val="single" w:sz="4" w:space="0" w:color="auto"/>
            </w:tcBorders>
          </w:tcPr>
          <w:p w14:paraId="0C049A5E" w14:textId="2E21A367" w:rsidR="00F22329" w:rsidRPr="009E686F" w:rsidRDefault="00F22329" w:rsidP="00265766">
            <w:pPr>
              <w:jc w:val="both"/>
              <w:rPr>
                <w:rFonts w:ascii="Times New Roman" w:hAnsi="Times New Roman" w:cs="Times New Roman"/>
                <w:lang w:val="pt-BR"/>
              </w:rPr>
            </w:pPr>
            <w:r w:rsidRPr="009E686F">
              <w:rPr>
                <w:rFonts w:ascii="Times New Roman" w:hAnsi="Times New Roman" w:cs="Times New Roman"/>
                <w:lang w:val="ro-MD"/>
              </w:rPr>
              <w:t>Compatibil</w:t>
            </w:r>
          </w:p>
        </w:tc>
        <w:tc>
          <w:tcPr>
            <w:tcW w:w="806" w:type="pct"/>
            <w:vMerge/>
            <w:tcBorders>
              <w:left w:val="single" w:sz="4" w:space="0" w:color="auto"/>
              <w:bottom w:val="single" w:sz="4" w:space="0" w:color="auto"/>
              <w:right w:val="single" w:sz="4" w:space="0" w:color="auto"/>
            </w:tcBorders>
          </w:tcPr>
          <w:p w14:paraId="27A2C30B" w14:textId="77777777" w:rsidR="00F22329" w:rsidRPr="009E686F" w:rsidRDefault="00F22329" w:rsidP="00265766">
            <w:pPr>
              <w:spacing w:after="0"/>
              <w:jc w:val="both"/>
              <w:rPr>
                <w:rFonts w:ascii="Times New Roman" w:hAnsi="Times New Roman" w:cs="Times New Roman"/>
                <w:lang w:val="pt-BR"/>
              </w:rPr>
            </w:pPr>
          </w:p>
        </w:tc>
      </w:tr>
      <w:tr w:rsidR="00265766" w:rsidRPr="009E686F" w14:paraId="30EE7D24" w14:textId="77777777" w:rsidTr="00960C23">
        <w:tc>
          <w:tcPr>
            <w:tcW w:w="1890" w:type="pct"/>
            <w:tcBorders>
              <w:top w:val="single" w:sz="4" w:space="0" w:color="auto"/>
              <w:left w:val="single" w:sz="4" w:space="0" w:color="auto"/>
              <w:bottom w:val="single" w:sz="4" w:space="0" w:color="auto"/>
              <w:right w:val="single" w:sz="4" w:space="0" w:color="auto"/>
            </w:tcBorders>
          </w:tcPr>
          <w:p w14:paraId="53256589" w14:textId="08B28EEA"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(3) Statele membre prevăd obligația ca sucursalele din țări terțe să depoziteze instrumentele de capital de dotare menționate la alineatul (2) de la prezentul articol într-un cont escrow deținut în statul membru în care este autorizată sucursala, deschis la o instituție de credit care nu face parte din grupul întreprinderii sale principale sau, în cazul în care dreptul intern permite acest lucru, la banca centrală a statului membru. Instrumentele de capital de dotare depozitate în contul escrow sunt disponibile pentru a fi utilizate în sensul articolului 96 din Directiva 2014/59/UE în cazul rezoluției sucursalei dintr-o țară terță și în scopul lichidării sucursalei dintr-o țară terță în conformitate cu dreptul intern.</w:t>
            </w:r>
          </w:p>
        </w:tc>
        <w:tc>
          <w:tcPr>
            <w:tcW w:w="1834" w:type="pct"/>
            <w:tcBorders>
              <w:top w:val="single" w:sz="4" w:space="0" w:color="auto"/>
              <w:left w:val="single" w:sz="4" w:space="0" w:color="auto"/>
              <w:bottom w:val="single" w:sz="4" w:space="0" w:color="auto"/>
              <w:right w:val="single" w:sz="4" w:space="0" w:color="auto"/>
            </w:tcBorders>
          </w:tcPr>
          <w:p w14:paraId="14F6D75C" w14:textId="30DE5173" w:rsidR="00265766" w:rsidRPr="009E686F" w:rsidRDefault="00265766" w:rsidP="00265766">
            <w:pPr>
              <w:spacing w:after="0" w:line="278" w:lineRule="auto"/>
              <w:jc w:val="both"/>
              <w:rPr>
                <w:rFonts w:ascii="Times New Roman" w:eastAsia="Aptos" w:hAnsi="Times New Roman" w:cs="Times New Roman"/>
                <w:kern w:val="2"/>
                <w:lang w:val="ro-MD"/>
              </w:rPr>
            </w:pPr>
            <w:bookmarkStart w:id="11" w:name="_Hlk215564392"/>
            <w:r w:rsidRPr="009E686F">
              <w:rPr>
                <w:rFonts w:ascii="Times New Roman" w:eastAsia="Aptos" w:hAnsi="Times New Roman" w:cs="Times New Roman"/>
                <w:b/>
                <w:bCs/>
                <w:kern w:val="2"/>
                <w:lang w:val="ro-MD"/>
              </w:rPr>
              <w:t>Articolul 94</w:t>
            </w:r>
            <w:r w:rsidRPr="009E686F">
              <w:rPr>
                <w:rFonts w:ascii="Times New Roman" w:eastAsia="Aptos" w:hAnsi="Times New Roman" w:cs="Times New Roman"/>
                <w:b/>
                <w:bCs/>
                <w:kern w:val="2"/>
                <w:vertAlign w:val="superscript"/>
                <w:lang w:val="ro-MD"/>
              </w:rPr>
              <w:t>1</w:t>
            </w:r>
            <w:r w:rsidRPr="009E686F">
              <w:rPr>
                <w:rFonts w:ascii="Times New Roman" w:eastAsia="Aptos" w:hAnsi="Times New Roman" w:cs="Times New Roman"/>
                <w:b/>
                <w:bCs/>
                <w:kern w:val="2"/>
                <w:lang w:val="ro-MD"/>
              </w:rPr>
              <w:t xml:space="preserve"> alin. (4)</w:t>
            </w:r>
            <w:r w:rsidRPr="009E686F">
              <w:rPr>
                <w:rFonts w:ascii="Times New Roman" w:eastAsia="Aptos" w:hAnsi="Times New Roman" w:cs="Times New Roman"/>
                <w:kern w:val="2"/>
                <w:lang w:val="ro-MD"/>
              </w:rPr>
              <w:t xml:space="preserve"> </w:t>
            </w:r>
          </w:p>
          <w:bookmarkEnd w:id="11"/>
          <w:p w14:paraId="2A249602" w14:textId="39F6133C" w:rsidR="00265766" w:rsidRPr="009E686F" w:rsidRDefault="00265766" w:rsidP="00265766">
            <w:pPr>
              <w:spacing w:after="0"/>
              <w:jc w:val="both"/>
              <w:rPr>
                <w:rFonts w:ascii="Times New Roman" w:hAnsi="Times New Roman" w:cs="Times New Roman"/>
                <w:b/>
                <w:i/>
                <w:iCs/>
                <w:lang w:val="ro-MD"/>
              </w:rPr>
            </w:pPr>
            <w:r w:rsidRPr="009E686F">
              <w:rPr>
                <w:rFonts w:ascii="Times New Roman" w:hAnsi="Times New Roman" w:cs="Times New Roman"/>
                <w:i/>
                <w:lang w:val="it-CH"/>
              </w:rPr>
              <w:t>(4) Instrumentele de capital menționate la alin. (2) depozitate în contul escrow trebuie să fie disponibile pentru a fi utilizate, în sensul Leg</w:t>
            </w:r>
            <w:r w:rsidR="00925B4E" w:rsidRPr="009E686F">
              <w:rPr>
                <w:rFonts w:ascii="Times New Roman" w:hAnsi="Times New Roman" w:cs="Times New Roman"/>
                <w:i/>
                <w:lang w:val="it-CH"/>
              </w:rPr>
              <w:t>ii</w:t>
            </w:r>
            <w:r w:rsidRPr="009E686F">
              <w:rPr>
                <w:rFonts w:ascii="Times New Roman" w:hAnsi="Times New Roman" w:cs="Times New Roman"/>
                <w:i/>
                <w:lang w:val="it-CH"/>
              </w:rPr>
              <w:t xml:space="preserve"> nr. 232/2016, în cazul rezoluției sucursalei dintr-un stat terț și în scopul lichidării sucursalei dintr-un stat terț.</w:t>
            </w:r>
          </w:p>
        </w:tc>
        <w:tc>
          <w:tcPr>
            <w:tcW w:w="470" w:type="pct"/>
            <w:tcBorders>
              <w:top w:val="single" w:sz="4" w:space="0" w:color="auto"/>
              <w:left w:val="single" w:sz="4" w:space="0" w:color="auto"/>
              <w:bottom w:val="single" w:sz="4" w:space="0" w:color="auto"/>
              <w:right w:val="single" w:sz="4" w:space="0" w:color="auto"/>
            </w:tcBorders>
          </w:tcPr>
          <w:p w14:paraId="589B9A00" w14:textId="4DB1CC0F" w:rsidR="00265766" w:rsidRPr="009E686F" w:rsidRDefault="00265766" w:rsidP="00265766">
            <w:pPr>
              <w:jc w:val="both"/>
              <w:rPr>
                <w:rFonts w:ascii="Times New Roman" w:hAnsi="Times New Roman" w:cs="Times New Roman"/>
                <w:lang w:val="ro-MD"/>
              </w:rPr>
            </w:pPr>
            <w:r w:rsidRPr="009E686F">
              <w:rPr>
                <w:rFonts w:ascii="Times New Roman" w:hAnsi="Times New Roman" w:cs="Times New Roman"/>
                <w:lang w:val="ro-MD"/>
              </w:rPr>
              <w:t>Compatibil</w:t>
            </w:r>
          </w:p>
        </w:tc>
        <w:tc>
          <w:tcPr>
            <w:tcW w:w="806" w:type="pct"/>
            <w:tcBorders>
              <w:top w:val="single" w:sz="4" w:space="0" w:color="auto"/>
              <w:left w:val="single" w:sz="4" w:space="0" w:color="auto"/>
              <w:bottom w:val="single" w:sz="4" w:space="0" w:color="auto"/>
              <w:right w:val="single" w:sz="4" w:space="0" w:color="auto"/>
            </w:tcBorders>
          </w:tcPr>
          <w:p w14:paraId="19E8AC91" w14:textId="77777777" w:rsidR="00F22329" w:rsidRPr="009E686F" w:rsidRDefault="00F22329" w:rsidP="00F22329">
            <w:r w:rsidRPr="009E686F">
              <w:rPr>
                <w:rFonts w:ascii="Times New Roman" w:hAnsi="Times New Roman" w:cs="Times New Roman"/>
                <w:lang w:val="ro-RO"/>
              </w:rPr>
              <w:t>În vigoare – data aderării.</w:t>
            </w:r>
          </w:p>
          <w:p w14:paraId="646FD295" w14:textId="77777777" w:rsidR="00265766" w:rsidRPr="009E686F" w:rsidRDefault="00265766" w:rsidP="00265766">
            <w:pPr>
              <w:spacing w:after="0"/>
              <w:jc w:val="both"/>
              <w:rPr>
                <w:rFonts w:ascii="Times New Roman" w:hAnsi="Times New Roman" w:cs="Times New Roman"/>
                <w:lang w:val="ro-MD"/>
              </w:rPr>
            </w:pPr>
          </w:p>
        </w:tc>
      </w:tr>
      <w:tr w:rsidR="00265766" w:rsidRPr="009E686F" w14:paraId="1A3A1B09" w14:textId="77777777" w:rsidTr="00960C23">
        <w:tc>
          <w:tcPr>
            <w:tcW w:w="1890" w:type="pct"/>
            <w:tcBorders>
              <w:top w:val="single" w:sz="4" w:space="0" w:color="auto"/>
              <w:left w:val="single" w:sz="4" w:space="0" w:color="auto"/>
              <w:bottom w:val="single" w:sz="4" w:space="0" w:color="auto"/>
              <w:right w:val="single" w:sz="4" w:space="0" w:color="auto"/>
            </w:tcBorders>
          </w:tcPr>
          <w:p w14:paraId="66B1D4CF" w14:textId="64A66977" w:rsidR="00265766" w:rsidRPr="009E686F" w:rsidRDefault="00265766" w:rsidP="00265766">
            <w:pPr>
              <w:spacing w:after="0"/>
              <w:jc w:val="both"/>
              <w:rPr>
                <w:rFonts w:ascii="Times New Roman" w:hAnsi="Times New Roman" w:cs="Times New Roman"/>
                <w:lang w:val="ro-MD"/>
              </w:rPr>
            </w:pPr>
            <w:r w:rsidRPr="009E686F">
              <w:rPr>
                <w:rFonts w:ascii="Times New Roman" w:hAnsi="Times New Roman" w:cs="Times New Roman"/>
                <w:lang w:val="ro-MD"/>
              </w:rPr>
              <w:t>(4) Până la 10 iulie 2026, ABE emite ghiduri în conformitate cu articolul 16 din Regulamentul (UE) nr. 1093/2010 pentru a preciza cerința prevăzută la alineatul (2) litera (c) de la prezentul articol în ceea ce privește instrumentele care sunt disponibile pentru o utilizare nerestricționată și imediată cu scopul de a acoperi riscurile sau pierderile de îndată ce apar.</w:t>
            </w:r>
          </w:p>
        </w:tc>
        <w:tc>
          <w:tcPr>
            <w:tcW w:w="1834" w:type="pct"/>
            <w:tcBorders>
              <w:top w:val="single" w:sz="4" w:space="0" w:color="auto"/>
              <w:left w:val="single" w:sz="4" w:space="0" w:color="auto"/>
              <w:bottom w:val="single" w:sz="4" w:space="0" w:color="auto"/>
              <w:right w:val="single" w:sz="4" w:space="0" w:color="auto"/>
            </w:tcBorders>
          </w:tcPr>
          <w:p w14:paraId="18971621" w14:textId="77777777" w:rsidR="00265766" w:rsidRPr="009E686F" w:rsidRDefault="00265766" w:rsidP="00265766">
            <w:pPr>
              <w:spacing w:after="0"/>
              <w:jc w:val="both"/>
              <w:rPr>
                <w:rFonts w:ascii="Times New Roman" w:hAnsi="Times New Roman" w:cs="Times New Roman"/>
                <w:b/>
                <w:lang w:val="ro-MD"/>
              </w:rPr>
            </w:pPr>
          </w:p>
        </w:tc>
        <w:tc>
          <w:tcPr>
            <w:tcW w:w="470" w:type="pct"/>
            <w:tcBorders>
              <w:top w:val="single" w:sz="4" w:space="0" w:color="auto"/>
              <w:left w:val="single" w:sz="4" w:space="0" w:color="auto"/>
              <w:bottom w:val="single" w:sz="4" w:space="0" w:color="auto"/>
              <w:right w:val="single" w:sz="4" w:space="0" w:color="auto"/>
            </w:tcBorders>
          </w:tcPr>
          <w:p w14:paraId="7738AF4D" w14:textId="70DBC3DB" w:rsidR="00265766" w:rsidRPr="009E686F" w:rsidRDefault="00265766" w:rsidP="00265766">
            <w:pPr>
              <w:jc w:val="both"/>
              <w:rPr>
                <w:rFonts w:ascii="Times New Roman" w:hAnsi="Times New Roman" w:cs="Times New Roman"/>
                <w:lang w:val="ro-MD"/>
              </w:rPr>
            </w:pPr>
            <w:r w:rsidRPr="009E686F">
              <w:rPr>
                <w:rFonts w:ascii="Times New Roman" w:hAnsi="Times New Roman" w:cs="Times New Roman"/>
                <w:lang w:val="ro-MD"/>
              </w:rPr>
              <w:t>Norme UE neaplicabile</w:t>
            </w:r>
          </w:p>
        </w:tc>
        <w:tc>
          <w:tcPr>
            <w:tcW w:w="806" w:type="pct"/>
            <w:tcBorders>
              <w:top w:val="single" w:sz="4" w:space="0" w:color="auto"/>
              <w:left w:val="single" w:sz="4" w:space="0" w:color="auto"/>
              <w:bottom w:val="single" w:sz="4" w:space="0" w:color="auto"/>
              <w:right w:val="single" w:sz="4" w:space="0" w:color="auto"/>
            </w:tcBorders>
          </w:tcPr>
          <w:p w14:paraId="54AA0978" w14:textId="257AFE7C" w:rsidR="00265766" w:rsidRPr="009E686F" w:rsidRDefault="00265766" w:rsidP="00265766">
            <w:pPr>
              <w:spacing w:after="0"/>
              <w:jc w:val="both"/>
              <w:rPr>
                <w:rFonts w:ascii="Times New Roman" w:hAnsi="Times New Roman" w:cs="Times New Roman"/>
                <w:lang w:val="ro-MD"/>
              </w:rPr>
            </w:pPr>
            <w:r w:rsidRPr="009E686F">
              <w:rPr>
                <w:rFonts w:ascii="Times New Roman" w:hAnsi="Times New Roman" w:cs="Times New Roman"/>
                <w:lang w:val="ro-MD"/>
              </w:rPr>
              <w:t>Se referă la competențele ABE.</w:t>
            </w:r>
          </w:p>
        </w:tc>
      </w:tr>
      <w:tr w:rsidR="00F578E3" w:rsidRPr="009E686F" w14:paraId="31B52929" w14:textId="77777777" w:rsidTr="001D7F07">
        <w:tc>
          <w:tcPr>
            <w:tcW w:w="1890" w:type="pct"/>
            <w:tcBorders>
              <w:top w:val="single" w:sz="4" w:space="0" w:color="auto"/>
              <w:left w:val="single" w:sz="4" w:space="0" w:color="auto"/>
              <w:bottom w:val="single" w:sz="4" w:space="0" w:color="auto"/>
              <w:right w:val="single" w:sz="4" w:space="0" w:color="auto"/>
            </w:tcBorders>
          </w:tcPr>
          <w:p w14:paraId="49B385CD" w14:textId="77777777" w:rsidR="00F578E3" w:rsidRPr="009E686F" w:rsidRDefault="00F578E3" w:rsidP="00265766">
            <w:pPr>
              <w:spacing w:after="0"/>
              <w:jc w:val="both"/>
              <w:rPr>
                <w:rFonts w:ascii="Times New Roman" w:hAnsi="Times New Roman" w:cs="Times New Roman"/>
                <w:i/>
                <w:iCs/>
                <w:lang w:val="pt-BR"/>
              </w:rPr>
            </w:pPr>
            <w:r w:rsidRPr="009E686F">
              <w:rPr>
                <w:rFonts w:ascii="Times New Roman" w:hAnsi="Times New Roman" w:cs="Times New Roman"/>
                <w:i/>
                <w:iCs/>
                <w:lang w:val="pt-BR"/>
              </w:rPr>
              <w:t xml:space="preserve">Articolul 48f  </w:t>
            </w:r>
          </w:p>
          <w:p w14:paraId="425EFCD5" w14:textId="1D150026" w:rsidR="00F578E3" w:rsidRPr="009E686F" w:rsidRDefault="00F578E3" w:rsidP="00265766">
            <w:pPr>
              <w:spacing w:after="0"/>
              <w:jc w:val="both"/>
              <w:rPr>
                <w:rFonts w:ascii="Times New Roman" w:hAnsi="Times New Roman" w:cs="Times New Roman"/>
                <w:lang w:val="pt-BR"/>
              </w:rPr>
            </w:pPr>
            <w:r w:rsidRPr="009E686F">
              <w:rPr>
                <w:rFonts w:ascii="Times New Roman" w:hAnsi="Times New Roman" w:cs="Times New Roman"/>
                <w:lang w:val="pt-BR"/>
              </w:rPr>
              <w:t>Cerințe de lichiditate</w:t>
            </w:r>
          </w:p>
        </w:tc>
        <w:tc>
          <w:tcPr>
            <w:tcW w:w="1834" w:type="pct"/>
            <w:tcBorders>
              <w:top w:val="single" w:sz="4" w:space="0" w:color="auto"/>
              <w:left w:val="single" w:sz="4" w:space="0" w:color="auto"/>
              <w:bottom w:val="single" w:sz="4" w:space="0" w:color="auto"/>
              <w:right w:val="single" w:sz="4" w:space="0" w:color="auto"/>
            </w:tcBorders>
          </w:tcPr>
          <w:p w14:paraId="5F4AED9E" w14:textId="2192A2F1" w:rsidR="00F578E3" w:rsidRPr="009E686F" w:rsidRDefault="00F578E3" w:rsidP="00265766">
            <w:pPr>
              <w:spacing w:after="0" w:line="278" w:lineRule="auto"/>
              <w:jc w:val="both"/>
              <w:rPr>
                <w:rFonts w:ascii="Times New Roman" w:eastAsia="Aptos" w:hAnsi="Times New Roman" w:cs="Times New Roman"/>
                <w:kern w:val="2"/>
                <w:lang w:val="ro-MD"/>
              </w:rPr>
            </w:pPr>
            <w:bookmarkStart w:id="12" w:name="_Hlk215564401"/>
            <w:r w:rsidRPr="009E686F">
              <w:rPr>
                <w:rFonts w:ascii="Times New Roman" w:eastAsia="Aptos" w:hAnsi="Times New Roman" w:cs="Times New Roman"/>
                <w:b/>
                <w:bCs/>
                <w:kern w:val="2"/>
                <w:lang w:val="ro-MD"/>
              </w:rPr>
              <w:t>Articolul 94</w:t>
            </w:r>
            <w:r w:rsidRPr="009E686F">
              <w:rPr>
                <w:rFonts w:ascii="Times New Roman" w:eastAsia="Aptos" w:hAnsi="Times New Roman" w:cs="Times New Roman"/>
                <w:b/>
                <w:bCs/>
                <w:kern w:val="2"/>
                <w:vertAlign w:val="superscript"/>
                <w:lang w:val="ro-MD"/>
              </w:rPr>
              <w:t>2</w:t>
            </w:r>
            <w:r w:rsidRPr="009E686F">
              <w:rPr>
                <w:rFonts w:ascii="Times New Roman" w:eastAsia="Aptos" w:hAnsi="Times New Roman" w:cs="Times New Roman"/>
                <w:b/>
                <w:bCs/>
                <w:kern w:val="2"/>
                <w:lang w:val="ro-MD"/>
              </w:rPr>
              <w:t xml:space="preserve">. </w:t>
            </w:r>
            <w:r w:rsidRPr="009E686F">
              <w:rPr>
                <w:rFonts w:ascii="Times New Roman" w:eastAsia="Aptos" w:hAnsi="Times New Roman" w:cs="Times New Roman"/>
                <w:i/>
                <w:iCs/>
                <w:kern w:val="2"/>
                <w:lang w:val="ro-MD"/>
              </w:rPr>
              <w:t>Cerințe de lichiditate</w:t>
            </w:r>
            <w:bookmarkEnd w:id="12"/>
          </w:p>
        </w:tc>
        <w:tc>
          <w:tcPr>
            <w:tcW w:w="470" w:type="pct"/>
            <w:tcBorders>
              <w:top w:val="single" w:sz="4" w:space="0" w:color="auto"/>
              <w:left w:val="single" w:sz="4" w:space="0" w:color="auto"/>
              <w:bottom w:val="single" w:sz="4" w:space="0" w:color="auto"/>
              <w:right w:val="single" w:sz="4" w:space="0" w:color="auto"/>
            </w:tcBorders>
          </w:tcPr>
          <w:p w14:paraId="588ABECF" w14:textId="4EA1161D" w:rsidR="00F578E3" w:rsidRPr="009E686F" w:rsidRDefault="00F578E3" w:rsidP="00265766">
            <w:pPr>
              <w:jc w:val="both"/>
              <w:rPr>
                <w:rFonts w:ascii="Times New Roman" w:hAnsi="Times New Roman" w:cs="Times New Roman"/>
                <w:lang w:val="pt-BR"/>
              </w:rPr>
            </w:pPr>
            <w:r w:rsidRPr="009E686F">
              <w:rPr>
                <w:rFonts w:ascii="Times New Roman" w:hAnsi="Times New Roman" w:cs="Times New Roman"/>
                <w:lang w:val="it-IT"/>
              </w:rPr>
              <w:t>Compatibil</w:t>
            </w:r>
          </w:p>
        </w:tc>
        <w:tc>
          <w:tcPr>
            <w:tcW w:w="806" w:type="pct"/>
            <w:vMerge w:val="restart"/>
            <w:tcBorders>
              <w:top w:val="single" w:sz="4" w:space="0" w:color="auto"/>
              <w:left w:val="single" w:sz="4" w:space="0" w:color="auto"/>
              <w:right w:val="single" w:sz="4" w:space="0" w:color="auto"/>
            </w:tcBorders>
          </w:tcPr>
          <w:p w14:paraId="3EEBCEEA" w14:textId="77777777" w:rsidR="00F578E3" w:rsidRPr="009E686F" w:rsidRDefault="00F578E3" w:rsidP="00F578E3">
            <w:r w:rsidRPr="009E686F">
              <w:rPr>
                <w:rFonts w:ascii="Times New Roman" w:hAnsi="Times New Roman" w:cs="Times New Roman"/>
                <w:lang w:val="ro-RO"/>
              </w:rPr>
              <w:t>În vigoare – data aderării.</w:t>
            </w:r>
          </w:p>
          <w:p w14:paraId="5DC6E111" w14:textId="77777777" w:rsidR="00F578E3" w:rsidRPr="009E686F" w:rsidRDefault="00F578E3" w:rsidP="00265766">
            <w:pPr>
              <w:spacing w:after="0"/>
              <w:jc w:val="both"/>
              <w:rPr>
                <w:rFonts w:ascii="Times New Roman" w:hAnsi="Times New Roman" w:cs="Times New Roman"/>
                <w:lang w:val="pt-BR"/>
              </w:rPr>
            </w:pPr>
          </w:p>
        </w:tc>
      </w:tr>
      <w:tr w:rsidR="00F578E3" w:rsidRPr="009E686F" w14:paraId="1FEC2B55" w14:textId="77777777" w:rsidTr="001D7F07">
        <w:tc>
          <w:tcPr>
            <w:tcW w:w="1890" w:type="pct"/>
            <w:tcBorders>
              <w:top w:val="single" w:sz="4" w:space="0" w:color="auto"/>
              <w:left w:val="single" w:sz="4" w:space="0" w:color="auto"/>
              <w:bottom w:val="single" w:sz="4" w:space="0" w:color="auto"/>
              <w:right w:val="single" w:sz="4" w:space="0" w:color="auto"/>
            </w:tcBorders>
          </w:tcPr>
          <w:p w14:paraId="0B426CC2" w14:textId="2E8AFE80" w:rsidR="00F578E3" w:rsidRPr="009E686F" w:rsidRDefault="00F578E3" w:rsidP="00265766">
            <w:pPr>
              <w:spacing w:after="0"/>
              <w:jc w:val="both"/>
              <w:rPr>
                <w:rFonts w:ascii="Times New Roman" w:hAnsi="Times New Roman" w:cs="Times New Roman"/>
                <w:lang w:val="it-CH"/>
              </w:rPr>
            </w:pPr>
            <w:r w:rsidRPr="009E686F">
              <w:rPr>
                <w:rFonts w:ascii="Times New Roman" w:hAnsi="Times New Roman" w:cs="Times New Roman"/>
                <w:lang w:val="it-CH"/>
              </w:rPr>
              <w:t>(1) Fără a aduce atingere altor cerințe de lichiditate aplicabile în conformitate cu dreptul intern, statele membre impun cel puțin obligația ca sucursalele din țări terțe să mențină în permanență un volum de active negrevate de sarcini și lichide suficient pentru a acoperi ieșirile de lichidități pe o perioadă de cel puțin 30 de zile.</w:t>
            </w:r>
          </w:p>
        </w:tc>
        <w:tc>
          <w:tcPr>
            <w:tcW w:w="1834" w:type="pct"/>
            <w:tcBorders>
              <w:top w:val="single" w:sz="4" w:space="0" w:color="auto"/>
              <w:left w:val="single" w:sz="4" w:space="0" w:color="auto"/>
              <w:bottom w:val="single" w:sz="4" w:space="0" w:color="auto"/>
              <w:right w:val="single" w:sz="4" w:space="0" w:color="auto"/>
            </w:tcBorders>
          </w:tcPr>
          <w:p w14:paraId="21A13DC3" w14:textId="51A6DE3B" w:rsidR="00F578E3" w:rsidRPr="009E686F" w:rsidRDefault="00F578E3" w:rsidP="00265766">
            <w:pPr>
              <w:spacing w:after="0"/>
              <w:jc w:val="both"/>
              <w:rPr>
                <w:rFonts w:ascii="Times New Roman" w:hAnsi="Times New Roman" w:cs="Times New Roman"/>
                <w:i/>
                <w:lang w:val="it-CH"/>
              </w:rPr>
            </w:pPr>
            <w:r w:rsidRPr="009E686F">
              <w:rPr>
                <w:rFonts w:ascii="Times New Roman" w:hAnsi="Times New Roman" w:cs="Times New Roman"/>
                <w:i/>
                <w:lang w:val="it-CH"/>
              </w:rPr>
              <w:t>(1) Sucursalele din state terțe trebuie să respecte în permanență un volum de active negrevate de sarcini și lichide suficient pentru a acoperi ieșirile de lichidități pe o perioadă de cel puțin 30 de zile.</w:t>
            </w:r>
          </w:p>
        </w:tc>
        <w:tc>
          <w:tcPr>
            <w:tcW w:w="470" w:type="pct"/>
            <w:tcBorders>
              <w:top w:val="single" w:sz="4" w:space="0" w:color="auto"/>
              <w:left w:val="single" w:sz="4" w:space="0" w:color="auto"/>
              <w:bottom w:val="single" w:sz="4" w:space="0" w:color="auto"/>
              <w:right w:val="single" w:sz="4" w:space="0" w:color="auto"/>
            </w:tcBorders>
          </w:tcPr>
          <w:p w14:paraId="41CB3024" w14:textId="733884A8" w:rsidR="00F578E3" w:rsidRPr="009E686F" w:rsidRDefault="00F578E3" w:rsidP="00265766">
            <w:pPr>
              <w:jc w:val="both"/>
              <w:rPr>
                <w:rFonts w:ascii="Times New Roman" w:hAnsi="Times New Roman" w:cs="Times New Roman"/>
                <w:lang w:val="pt-BR"/>
              </w:rPr>
            </w:pPr>
            <w:r w:rsidRPr="009E686F">
              <w:rPr>
                <w:rFonts w:ascii="Times New Roman" w:hAnsi="Times New Roman" w:cs="Times New Roman"/>
                <w:lang w:val="it-IT"/>
              </w:rPr>
              <w:t>Compatibil</w:t>
            </w:r>
          </w:p>
        </w:tc>
        <w:tc>
          <w:tcPr>
            <w:tcW w:w="806" w:type="pct"/>
            <w:vMerge/>
            <w:tcBorders>
              <w:left w:val="single" w:sz="4" w:space="0" w:color="auto"/>
              <w:bottom w:val="single" w:sz="4" w:space="0" w:color="auto"/>
              <w:right w:val="single" w:sz="4" w:space="0" w:color="auto"/>
            </w:tcBorders>
          </w:tcPr>
          <w:p w14:paraId="2B02A7CD" w14:textId="77777777" w:rsidR="00F578E3" w:rsidRPr="009E686F" w:rsidRDefault="00F578E3" w:rsidP="00265766">
            <w:pPr>
              <w:spacing w:after="0"/>
              <w:jc w:val="both"/>
              <w:rPr>
                <w:rFonts w:ascii="Times New Roman" w:hAnsi="Times New Roman" w:cs="Times New Roman"/>
                <w:lang w:val="pt-BR"/>
              </w:rPr>
            </w:pPr>
          </w:p>
        </w:tc>
      </w:tr>
      <w:tr w:rsidR="00265766" w:rsidRPr="009E686F" w14:paraId="1580F6A5" w14:textId="77777777" w:rsidTr="00960C23">
        <w:tc>
          <w:tcPr>
            <w:tcW w:w="1890" w:type="pct"/>
            <w:tcBorders>
              <w:top w:val="single" w:sz="4" w:space="0" w:color="auto"/>
              <w:left w:val="single" w:sz="4" w:space="0" w:color="auto"/>
              <w:bottom w:val="single" w:sz="4" w:space="0" w:color="auto"/>
              <w:right w:val="single" w:sz="4" w:space="0" w:color="auto"/>
            </w:tcBorders>
          </w:tcPr>
          <w:p w14:paraId="41CF2FA8" w14:textId="7FE9688A"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lastRenderedPageBreak/>
              <w:t>(2) În sensul alineatului (1) de la prezentul articol, statele membre impun obligația ca sucursalele din țări terțe din clasa 1 să respecte cerința de acoperire a necesarului de lichiditate prevăzută în partea a șasea titlul I din Regulamentul (UE) nr. 575/2013 și în Regulamentul delegat (UE) 2015/61 al Comisiei (*).</w:t>
            </w:r>
          </w:p>
        </w:tc>
        <w:tc>
          <w:tcPr>
            <w:tcW w:w="1834" w:type="pct"/>
            <w:tcBorders>
              <w:top w:val="single" w:sz="4" w:space="0" w:color="auto"/>
              <w:left w:val="single" w:sz="4" w:space="0" w:color="auto"/>
              <w:bottom w:val="single" w:sz="4" w:space="0" w:color="auto"/>
              <w:right w:val="single" w:sz="4" w:space="0" w:color="auto"/>
            </w:tcBorders>
          </w:tcPr>
          <w:p w14:paraId="511B9C58" w14:textId="00297BEC" w:rsidR="00265766" w:rsidRPr="009E686F" w:rsidRDefault="00265766" w:rsidP="00265766">
            <w:pPr>
              <w:spacing w:after="0"/>
              <w:jc w:val="both"/>
              <w:rPr>
                <w:rFonts w:ascii="Times New Roman" w:hAnsi="Times New Roman" w:cs="Times New Roman"/>
                <w:i/>
                <w:lang w:val="it-CH"/>
              </w:rPr>
            </w:pPr>
            <w:r w:rsidRPr="009E686F">
              <w:rPr>
                <w:rFonts w:ascii="Times New Roman" w:hAnsi="Times New Roman" w:cs="Times New Roman"/>
                <w:i/>
                <w:lang w:val="it-CH"/>
              </w:rPr>
              <w:t>(2) Sucursalele din state terțe din clasa 1 trebuie să respecte cerința de acoperire a necesarului de lichiditate prevăzută de actele normative ale Băncii Naționale a Moldovei.</w:t>
            </w:r>
          </w:p>
        </w:tc>
        <w:tc>
          <w:tcPr>
            <w:tcW w:w="470" w:type="pct"/>
            <w:tcBorders>
              <w:top w:val="single" w:sz="4" w:space="0" w:color="auto"/>
              <w:left w:val="single" w:sz="4" w:space="0" w:color="auto"/>
              <w:bottom w:val="single" w:sz="4" w:space="0" w:color="auto"/>
              <w:right w:val="single" w:sz="4" w:space="0" w:color="auto"/>
            </w:tcBorders>
          </w:tcPr>
          <w:p w14:paraId="2B49BFED" w14:textId="5A461BB0" w:rsidR="00265766" w:rsidRPr="009E686F" w:rsidRDefault="00265766" w:rsidP="00265766">
            <w:pPr>
              <w:jc w:val="both"/>
              <w:rPr>
                <w:rFonts w:ascii="Times New Roman" w:hAnsi="Times New Roman" w:cs="Times New Roman"/>
                <w:lang w:val="pt-BR"/>
              </w:rPr>
            </w:pPr>
            <w:r w:rsidRPr="009E686F">
              <w:rPr>
                <w:rFonts w:ascii="Times New Roman" w:hAnsi="Times New Roman" w:cs="Times New Roman"/>
                <w:lang w:val="it-IT"/>
              </w:rPr>
              <w:t>Compatibil</w:t>
            </w:r>
          </w:p>
        </w:tc>
        <w:tc>
          <w:tcPr>
            <w:tcW w:w="806" w:type="pct"/>
            <w:tcBorders>
              <w:top w:val="single" w:sz="4" w:space="0" w:color="auto"/>
              <w:left w:val="single" w:sz="4" w:space="0" w:color="auto"/>
              <w:bottom w:val="single" w:sz="4" w:space="0" w:color="auto"/>
              <w:right w:val="single" w:sz="4" w:space="0" w:color="auto"/>
            </w:tcBorders>
          </w:tcPr>
          <w:p w14:paraId="7382F3B8" w14:textId="77777777" w:rsidR="00F578E3" w:rsidRPr="009E686F" w:rsidRDefault="00F578E3" w:rsidP="00F578E3">
            <w:r w:rsidRPr="009E686F">
              <w:rPr>
                <w:rFonts w:ascii="Times New Roman" w:hAnsi="Times New Roman" w:cs="Times New Roman"/>
                <w:lang w:val="ro-RO"/>
              </w:rPr>
              <w:t>În vigoare – data aderării.</w:t>
            </w:r>
          </w:p>
          <w:p w14:paraId="4754A669" w14:textId="77777777" w:rsidR="00265766" w:rsidRPr="009E686F" w:rsidRDefault="00265766" w:rsidP="00265766">
            <w:pPr>
              <w:spacing w:after="0"/>
              <w:jc w:val="both"/>
              <w:rPr>
                <w:rFonts w:ascii="Times New Roman" w:hAnsi="Times New Roman" w:cs="Times New Roman"/>
                <w:lang w:val="pt-BR"/>
              </w:rPr>
            </w:pPr>
          </w:p>
        </w:tc>
      </w:tr>
      <w:tr w:rsidR="00265766" w:rsidRPr="009E686F" w14:paraId="05230BF8" w14:textId="77777777" w:rsidTr="00960C23">
        <w:tc>
          <w:tcPr>
            <w:tcW w:w="1890" w:type="pct"/>
            <w:tcBorders>
              <w:top w:val="single" w:sz="4" w:space="0" w:color="auto"/>
              <w:left w:val="single" w:sz="4" w:space="0" w:color="auto"/>
              <w:bottom w:val="single" w:sz="4" w:space="0" w:color="auto"/>
              <w:right w:val="single" w:sz="4" w:space="0" w:color="auto"/>
            </w:tcBorders>
          </w:tcPr>
          <w:p w14:paraId="475543F1" w14:textId="2B1EC03B" w:rsidR="00265766" w:rsidRPr="009E686F" w:rsidRDefault="00265766" w:rsidP="00265766">
            <w:pPr>
              <w:spacing w:after="0"/>
              <w:jc w:val="both"/>
              <w:rPr>
                <w:rFonts w:ascii="Times New Roman" w:hAnsi="Times New Roman" w:cs="Times New Roman"/>
              </w:rPr>
            </w:pPr>
            <w:r w:rsidRPr="009E686F">
              <w:rPr>
                <w:rFonts w:ascii="Times New Roman" w:hAnsi="Times New Roman" w:cs="Times New Roman"/>
              </w:rPr>
              <w:t>(3) Statele membre prevăd obligația ca sucursalele din țări terțe să depoziteze activele lichide deținute în vederea respectării prezentului articol într-un cont deținut în statul membru în care este autorizată sucursala, deschis la o instituție de credit care nu face parte din grupul întreprinderii sale principale sau, în cazul în care dreptul intern permite acest lucru, la banca centrală a statului membru. În cazul în care în cont rămân active lichide după ce acestea au fost aplicate pentru a acoperi ieșirile de lichidități în conformitate cu alineatul (1) de la prezentul articol, activele lichide respective sunt disponibile pentru a fi utilizate în sensul articolului 96 din Directiva 2014/59/UE în cazul rezoluției sucursalei dintr-o țară terță și în scopul lichidării sucursalei dintr-o țară terță în conformitate cu dreptul intern.</w:t>
            </w:r>
          </w:p>
        </w:tc>
        <w:tc>
          <w:tcPr>
            <w:tcW w:w="1834" w:type="pct"/>
            <w:tcBorders>
              <w:top w:val="single" w:sz="4" w:space="0" w:color="auto"/>
              <w:left w:val="single" w:sz="4" w:space="0" w:color="auto"/>
              <w:bottom w:val="single" w:sz="4" w:space="0" w:color="auto"/>
              <w:right w:val="single" w:sz="4" w:space="0" w:color="auto"/>
            </w:tcBorders>
          </w:tcPr>
          <w:p w14:paraId="30CD3173" w14:textId="0BE6BD21" w:rsidR="00265766" w:rsidRPr="009E686F" w:rsidRDefault="00265766" w:rsidP="00265766">
            <w:pPr>
              <w:spacing w:after="0"/>
              <w:jc w:val="both"/>
              <w:rPr>
                <w:rFonts w:ascii="Times New Roman" w:hAnsi="Times New Roman" w:cs="Times New Roman"/>
                <w:i/>
                <w:lang w:val="it-CH"/>
              </w:rPr>
            </w:pPr>
            <w:r w:rsidRPr="009E686F">
              <w:rPr>
                <w:rFonts w:ascii="Times New Roman" w:hAnsi="Times New Roman" w:cs="Times New Roman"/>
                <w:i/>
                <w:lang w:val="it-CH"/>
              </w:rPr>
              <w:t>(3) Sucursalele din state terțe trebuie să depoziteze activele lichide deținute în vederea respectării prezentului articol într-un cont deschis la o instituție de credit care nu face parte din grupul întreprinderii sale principale. În cazul în care în cont rămân active lichide după ce acestea au fost aplicate pentru a acoperi ieșirile de lichidități în conformitate cu alin. (1), activele lichide respective sunt disponibile pentru a fi utilizate în sensul Legii nr. 232/2016, în cazul rezoluției sucursalei dintr-un stat terț și în scopul lichidării sucursalei dintr-un stat terț.</w:t>
            </w:r>
          </w:p>
        </w:tc>
        <w:tc>
          <w:tcPr>
            <w:tcW w:w="470" w:type="pct"/>
            <w:tcBorders>
              <w:top w:val="single" w:sz="4" w:space="0" w:color="auto"/>
              <w:left w:val="single" w:sz="4" w:space="0" w:color="auto"/>
              <w:bottom w:val="single" w:sz="4" w:space="0" w:color="auto"/>
              <w:right w:val="single" w:sz="4" w:space="0" w:color="auto"/>
            </w:tcBorders>
          </w:tcPr>
          <w:p w14:paraId="4AEEE8C3" w14:textId="1B8FB5A7" w:rsidR="00265766" w:rsidRPr="009E686F" w:rsidRDefault="00265766" w:rsidP="00265766">
            <w:pPr>
              <w:jc w:val="both"/>
              <w:rPr>
                <w:rFonts w:ascii="Times New Roman" w:hAnsi="Times New Roman" w:cs="Times New Roman"/>
                <w:lang w:val="pt-BR"/>
              </w:rPr>
            </w:pPr>
            <w:r w:rsidRPr="009E686F">
              <w:rPr>
                <w:rFonts w:ascii="Times New Roman" w:hAnsi="Times New Roman" w:cs="Times New Roman"/>
                <w:lang w:val="it-IT"/>
              </w:rPr>
              <w:t>Compatibil</w:t>
            </w:r>
          </w:p>
        </w:tc>
        <w:tc>
          <w:tcPr>
            <w:tcW w:w="806" w:type="pct"/>
            <w:tcBorders>
              <w:top w:val="single" w:sz="4" w:space="0" w:color="auto"/>
              <w:left w:val="single" w:sz="4" w:space="0" w:color="auto"/>
              <w:bottom w:val="single" w:sz="4" w:space="0" w:color="auto"/>
              <w:right w:val="single" w:sz="4" w:space="0" w:color="auto"/>
            </w:tcBorders>
          </w:tcPr>
          <w:p w14:paraId="60F8F0FE" w14:textId="77777777" w:rsidR="00F578E3" w:rsidRPr="009E686F" w:rsidRDefault="00F578E3" w:rsidP="00F578E3">
            <w:r w:rsidRPr="009E686F">
              <w:rPr>
                <w:rFonts w:ascii="Times New Roman" w:hAnsi="Times New Roman" w:cs="Times New Roman"/>
                <w:lang w:val="ro-RO"/>
              </w:rPr>
              <w:t>În vigoare – data aderării.</w:t>
            </w:r>
          </w:p>
          <w:p w14:paraId="4A644E77" w14:textId="77777777" w:rsidR="00265766" w:rsidRPr="009E686F" w:rsidRDefault="00265766" w:rsidP="00265766">
            <w:pPr>
              <w:spacing w:after="0"/>
              <w:jc w:val="both"/>
              <w:rPr>
                <w:rFonts w:ascii="Times New Roman" w:hAnsi="Times New Roman" w:cs="Times New Roman"/>
                <w:b/>
                <w:bCs/>
                <w:lang w:val="pt-BR"/>
              </w:rPr>
            </w:pPr>
          </w:p>
        </w:tc>
      </w:tr>
      <w:tr w:rsidR="00265766" w:rsidRPr="009E686F" w14:paraId="68CF9491" w14:textId="77777777" w:rsidTr="00960C23">
        <w:tc>
          <w:tcPr>
            <w:tcW w:w="1890" w:type="pct"/>
            <w:tcBorders>
              <w:top w:val="single" w:sz="4" w:space="0" w:color="auto"/>
              <w:left w:val="single" w:sz="4" w:space="0" w:color="auto"/>
              <w:bottom w:val="single" w:sz="4" w:space="0" w:color="auto"/>
              <w:right w:val="single" w:sz="4" w:space="0" w:color="auto"/>
            </w:tcBorders>
          </w:tcPr>
          <w:p w14:paraId="4DCAA7F9" w14:textId="4AE1C3C1"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(4) Autoritățile competente pot acorda o derogare de la cerința de lichiditate prevăzută la prezentul articol pentru sucursalele calificate din țări terțe.</w:t>
            </w:r>
          </w:p>
        </w:tc>
        <w:tc>
          <w:tcPr>
            <w:tcW w:w="1834" w:type="pct"/>
            <w:tcBorders>
              <w:top w:val="single" w:sz="4" w:space="0" w:color="auto"/>
              <w:left w:val="single" w:sz="4" w:space="0" w:color="auto"/>
              <w:bottom w:val="single" w:sz="4" w:space="0" w:color="auto"/>
              <w:right w:val="single" w:sz="4" w:space="0" w:color="auto"/>
            </w:tcBorders>
          </w:tcPr>
          <w:p w14:paraId="3AB0425E" w14:textId="7DA4BA35" w:rsidR="00265766" w:rsidRPr="009E686F" w:rsidRDefault="00265766" w:rsidP="00265766">
            <w:pPr>
              <w:spacing w:after="0"/>
              <w:jc w:val="both"/>
              <w:rPr>
                <w:rFonts w:ascii="Times New Roman" w:hAnsi="Times New Roman" w:cs="Times New Roman"/>
                <w:i/>
                <w:lang w:val="it-CH"/>
              </w:rPr>
            </w:pPr>
            <w:r w:rsidRPr="009E686F">
              <w:rPr>
                <w:rFonts w:ascii="Times New Roman" w:hAnsi="Times New Roman" w:cs="Times New Roman"/>
                <w:i/>
                <w:lang w:val="it-CH"/>
              </w:rPr>
              <w:t>(4)   Banca Națională a Moldovei poate să acorde o derogare de la cerința de lichiditate prevăzută la prezentul articol pentru sucursalele calificate din state terțe în condițiile prevăzute de actele normative ale Băncii Naționale a Moldovei.</w:t>
            </w:r>
          </w:p>
        </w:tc>
        <w:tc>
          <w:tcPr>
            <w:tcW w:w="470" w:type="pct"/>
            <w:tcBorders>
              <w:top w:val="single" w:sz="4" w:space="0" w:color="auto"/>
              <w:left w:val="single" w:sz="4" w:space="0" w:color="auto"/>
              <w:bottom w:val="single" w:sz="4" w:space="0" w:color="auto"/>
              <w:right w:val="single" w:sz="4" w:space="0" w:color="auto"/>
            </w:tcBorders>
          </w:tcPr>
          <w:p w14:paraId="16EED4B6" w14:textId="2D972C6A" w:rsidR="00265766" w:rsidRPr="009E686F" w:rsidRDefault="00265766" w:rsidP="00265766">
            <w:pPr>
              <w:jc w:val="both"/>
              <w:rPr>
                <w:rFonts w:ascii="Times New Roman" w:hAnsi="Times New Roman" w:cs="Times New Roman"/>
                <w:lang w:val="pt-BR"/>
              </w:rPr>
            </w:pPr>
            <w:r w:rsidRPr="009E686F">
              <w:rPr>
                <w:rFonts w:ascii="Times New Roman" w:hAnsi="Times New Roman" w:cs="Times New Roman"/>
                <w:lang w:val="it-IT"/>
              </w:rPr>
              <w:t>Compatibil</w:t>
            </w:r>
          </w:p>
        </w:tc>
        <w:tc>
          <w:tcPr>
            <w:tcW w:w="806" w:type="pct"/>
            <w:tcBorders>
              <w:top w:val="single" w:sz="4" w:space="0" w:color="auto"/>
              <w:left w:val="single" w:sz="4" w:space="0" w:color="auto"/>
              <w:bottom w:val="single" w:sz="4" w:space="0" w:color="auto"/>
              <w:right w:val="single" w:sz="4" w:space="0" w:color="auto"/>
            </w:tcBorders>
          </w:tcPr>
          <w:p w14:paraId="51C7E322" w14:textId="77777777" w:rsidR="00F578E3" w:rsidRPr="009E686F" w:rsidRDefault="00F578E3" w:rsidP="00F578E3">
            <w:r w:rsidRPr="009E686F">
              <w:rPr>
                <w:rFonts w:ascii="Times New Roman" w:hAnsi="Times New Roman" w:cs="Times New Roman"/>
                <w:lang w:val="ro-RO"/>
              </w:rPr>
              <w:t>În vigoare – data aderării.</w:t>
            </w:r>
          </w:p>
          <w:p w14:paraId="6363054F" w14:textId="77777777" w:rsidR="00265766" w:rsidRPr="009E686F" w:rsidRDefault="00265766" w:rsidP="00265766">
            <w:pPr>
              <w:spacing w:after="0"/>
              <w:jc w:val="both"/>
              <w:rPr>
                <w:rFonts w:ascii="Times New Roman" w:hAnsi="Times New Roman" w:cs="Times New Roman"/>
                <w:lang w:val="pt-BR"/>
              </w:rPr>
            </w:pPr>
          </w:p>
        </w:tc>
      </w:tr>
      <w:tr w:rsidR="00F578E3" w:rsidRPr="009E686F" w14:paraId="50A6A6F3" w14:textId="77777777" w:rsidTr="003E5B77">
        <w:tc>
          <w:tcPr>
            <w:tcW w:w="1890" w:type="pct"/>
            <w:tcBorders>
              <w:top w:val="single" w:sz="4" w:space="0" w:color="auto"/>
              <w:left w:val="single" w:sz="4" w:space="0" w:color="auto"/>
              <w:bottom w:val="single" w:sz="4" w:space="0" w:color="auto"/>
              <w:right w:val="single" w:sz="4" w:space="0" w:color="auto"/>
            </w:tcBorders>
          </w:tcPr>
          <w:p w14:paraId="037BA2CB" w14:textId="77777777" w:rsidR="00F578E3" w:rsidRPr="009E686F" w:rsidRDefault="00F578E3" w:rsidP="00265766">
            <w:pPr>
              <w:spacing w:after="0"/>
              <w:jc w:val="both"/>
              <w:rPr>
                <w:rFonts w:ascii="Times New Roman" w:hAnsi="Times New Roman" w:cs="Times New Roman"/>
                <w:i/>
                <w:iCs/>
                <w:lang w:val="it-IT"/>
              </w:rPr>
            </w:pPr>
            <w:r w:rsidRPr="009E686F">
              <w:rPr>
                <w:rFonts w:ascii="Times New Roman" w:hAnsi="Times New Roman" w:cs="Times New Roman"/>
                <w:i/>
                <w:iCs/>
                <w:lang w:val="it-IT"/>
              </w:rPr>
              <w:t xml:space="preserve">Articolul 48g </w:t>
            </w:r>
          </w:p>
          <w:p w14:paraId="27B8F2CC" w14:textId="63D87E8C" w:rsidR="00F578E3" w:rsidRPr="009E686F" w:rsidRDefault="00F578E3" w:rsidP="00265766">
            <w:pPr>
              <w:spacing w:after="0"/>
              <w:jc w:val="both"/>
              <w:rPr>
                <w:rFonts w:ascii="Times New Roman" w:hAnsi="Times New Roman" w:cs="Times New Roman"/>
                <w:lang w:val="it-IT"/>
              </w:rPr>
            </w:pPr>
            <w:r w:rsidRPr="009E686F">
              <w:rPr>
                <w:rFonts w:ascii="Times New Roman" w:hAnsi="Times New Roman" w:cs="Times New Roman"/>
                <w:lang w:val="it-IT"/>
              </w:rPr>
              <w:t>Guvernanța internă și gestionarea riscurilor</w:t>
            </w:r>
          </w:p>
        </w:tc>
        <w:tc>
          <w:tcPr>
            <w:tcW w:w="1834" w:type="pct"/>
            <w:tcBorders>
              <w:top w:val="single" w:sz="4" w:space="0" w:color="auto"/>
              <w:left w:val="single" w:sz="4" w:space="0" w:color="auto"/>
              <w:bottom w:val="single" w:sz="4" w:space="0" w:color="auto"/>
              <w:right w:val="single" w:sz="4" w:space="0" w:color="auto"/>
            </w:tcBorders>
          </w:tcPr>
          <w:p w14:paraId="2F2D1CD6" w14:textId="1DF2A3C2" w:rsidR="00F578E3" w:rsidRPr="009E686F" w:rsidRDefault="00F578E3" w:rsidP="00265766">
            <w:pPr>
              <w:spacing w:after="0" w:line="278" w:lineRule="auto"/>
              <w:jc w:val="both"/>
              <w:rPr>
                <w:rFonts w:ascii="Times New Roman" w:eastAsia="Aptos" w:hAnsi="Times New Roman" w:cs="Times New Roman"/>
                <w:kern w:val="2"/>
                <w:lang w:val="ro-MD"/>
              </w:rPr>
            </w:pPr>
            <w:bookmarkStart w:id="13" w:name="_Hlk215564409"/>
            <w:r w:rsidRPr="009E686F">
              <w:rPr>
                <w:rFonts w:ascii="Times New Roman" w:eastAsia="Aptos" w:hAnsi="Times New Roman" w:cs="Times New Roman"/>
                <w:b/>
                <w:bCs/>
                <w:kern w:val="2"/>
                <w:lang w:val="ro-MD"/>
              </w:rPr>
              <w:t>Articolul 94</w:t>
            </w:r>
            <w:r w:rsidRPr="009E686F">
              <w:rPr>
                <w:rFonts w:ascii="Times New Roman" w:eastAsia="Aptos" w:hAnsi="Times New Roman" w:cs="Times New Roman"/>
                <w:b/>
                <w:bCs/>
                <w:kern w:val="2"/>
                <w:vertAlign w:val="superscript"/>
                <w:lang w:val="ro-MD"/>
              </w:rPr>
              <w:t>3</w:t>
            </w:r>
            <w:r w:rsidRPr="009E686F">
              <w:rPr>
                <w:rFonts w:ascii="Times New Roman" w:eastAsia="Aptos" w:hAnsi="Times New Roman" w:cs="Times New Roman"/>
                <w:b/>
                <w:bCs/>
                <w:kern w:val="2"/>
                <w:lang w:val="ro-MD"/>
              </w:rPr>
              <w:t xml:space="preserve">. </w:t>
            </w:r>
            <w:r w:rsidRPr="009E686F">
              <w:rPr>
                <w:rFonts w:ascii="Times New Roman" w:eastAsia="Aptos" w:hAnsi="Times New Roman" w:cs="Times New Roman"/>
                <w:i/>
                <w:iCs/>
                <w:kern w:val="2"/>
                <w:lang w:val="ro-MD"/>
              </w:rPr>
              <w:t>Cerințe privind guvernanța internă și administrarea riscurilor</w:t>
            </w:r>
            <w:bookmarkEnd w:id="13"/>
          </w:p>
        </w:tc>
        <w:tc>
          <w:tcPr>
            <w:tcW w:w="470" w:type="pct"/>
            <w:tcBorders>
              <w:top w:val="single" w:sz="4" w:space="0" w:color="auto"/>
              <w:left w:val="single" w:sz="4" w:space="0" w:color="auto"/>
              <w:bottom w:val="single" w:sz="4" w:space="0" w:color="auto"/>
              <w:right w:val="single" w:sz="4" w:space="0" w:color="auto"/>
            </w:tcBorders>
          </w:tcPr>
          <w:p w14:paraId="70B819AD" w14:textId="6AD2A1D4" w:rsidR="00F578E3" w:rsidRPr="009E686F" w:rsidRDefault="00F578E3" w:rsidP="00265766">
            <w:pPr>
              <w:jc w:val="both"/>
              <w:rPr>
                <w:rFonts w:ascii="Times New Roman" w:hAnsi="Times New Roman" w:cs="Times New Roman"/>
                <w:lang w:val="it-IT"/>
              </w:rPr>
            </w:pPr>
            <w:r w:rsidRPr="009E686F">
              <w:rPr>
                <w:rFonts w:ascii="Times New Roman" w:hAnsi="Times New Roman" w:cs="Times New Roman"/>
                <w:lang w:val="it-IT"/>
              </w:rPr>
              <w:t>Compatibil</w:t>
            </w:r>
          </w:p>
        </w:tc>
        <w:tc>
          <w:tcPr>
            <w:tcW w:w="806" w:type="pct"/>
            <w:vMerge w:val="restart"/>
            <w:tcBorders>
              <w:top w:val="single" w:sz="4" w:space="0" w:color="auto"/>
              <w:left w:val="single" w:sz="4" w:space="0" w:color="auto"/>
              <w:right w:val="single" w:sz="4" w:space="0" w:color="auto"/>
            </w:tcBorders>
          </w:tcPr>
          <w:p w14:paraId="67D7B568" w14:textId="77777777" w:rsidR="00F578E3" w:rsidRPr="009E686F" w:rsidRDefault="00F578E3" w:rsidP="00F578E3">
            <w:r w:rsidRPr="009E686F">
              <w:rPr>
                <w:rFonts w:ascii="Times New Roman" w:hAnsi="Times New Roman" w:cs="Times New Roman"/>
                <w:lang w:val="ro-RO"/>
              </w:rPr>
              <w:t>În vigoare – data aderării.</w:t>
            </w:r>
          </w:p>
          <w:p w14:paraId="61BDFD2E" w14:textId="77777777" w:rsidR="00F578E3" w:rsidRPr="009E686F" w:rsidRDefault="00F578E3" w:rsidP="00265766">
            <w:pPr>
              <w:spacing w:after="0"/>
              <w:jc w:val="both"/>
              <w:rPr>
                <w:rFonts w:ascii="Times New Roman" w:hAnsi="Times New Roman" w:cs="Times New Roman"/>
                <w:lang w:val="it-IT"/>
              </w:rPr>
            </w:pPr>
          </w:p>
        </w:tc>
      </w:tr>
      <w:tr w:rsidR="00F578E3" w:rsidRPr="009E686F" w14:paraId="65E916AC" w14:textId="77777777" w:rsidTr="003E5B77">
        <w:tc>
          <w:tcPr>
            <w:tcW w:w="1890" w:type="pct"/>
            <w:tcBorders>
              <w:top w:val="single" w:sz="4" w:space="0" w:color="auto"/>
              <w:left w:val="single" w:sz="4" w:space="0" w:color="auto"/>
              <w:bottom w:val="single" w:sz="4" w:space="0" w:color="auto"/>
              <w:right w:val="single" w:sz="4" w:space="0" w:color="auto"/>
            </w:tcBorders>
          </w:tcPr>
          <w:p w14:paraId="2605A85B" w14:textId="32943A7A" w:rsidR="00F578E3" w:rsidRPr="009E686F" w:rsidRDefault="00F578E3" w:rsidP="00265766">
            <w:pPr>
              <w:spacing w:after="0"/>
              <w:jc w:val="both"/>
              <w:rPr>
                <w:rFonts w:ascii="Times New Roman" w:hAnsi="Times New Roman" w:cs="Times New Roman"/>
              </w:rPr>
            </w:pPr>
            <w:r w:rsidRPr="009E686F">
              <w:rPr>
                <w:rFonts w:ascii="Times New Roman" w:hAnsi="Times New Roman" w:cs="Times New Roman"/>
              </w:rPr>
              <w:t xml:space="preserve">(1) Statele membre prevăd obligația ca sucursalele din țări terțe să aibă cel puțin două persoane în statul membru relevant care să conducă efectiv activitatea, sub rezerva aprobării prealabile de către autoritățile competente. Persoanele respective trebuie să aibă o bună reputație, posedă suficiente cunoștințe, </w:t>
            </w:r>
            <w:r w:rsidRPr="009E686F">
              <w:rPr>
                <w:rFonts w:ascii="Times New Roman" w:hAnsi="Times New Roman" w:cs="Times New Roman"/>
              </w:rPr>
              <w:lastRenderedPageBreak/>
              <w:t>competențe și experiență și dedică suficient timp pentru îndeplinirea sarcinilor lor.</w:t>
            </w:r>
          </w:p>
        </w:tc>
        <w:tc>
          <w:tcPr>
            <w:tcW w:w="1834" w:type="pct"/>
            <w:tcBorders>
              <w:top w:val="single" w:sz="4" w:space="0" w:color="auto"/>
              <w:left w:val="single" w:sz="4" w:space="0" w:color="auto"/>
              <w:bottom w:val="single" w:sz="4" w:space="0" w:color="auto"/>
              <w:right w:val="single" w:sz="4" w:space="0" w:color="auto"/>
            </w:tcBorders>
          </w:tcPr>
          <w:p w14:paraId="3F705718" w14:textId="0FFD0206" w:rsidR="00F578E3" w:rsidRPr="009E686F" w:rsidRDefault="00F578E3" w:rsidP="00265766">
            <w:pPr>
              <w:spacing w:after="0"/>
              <w:jc w:val="both"/>
              <w:rPr>
                <w:rFonts w:ascii="Times New Roman" w:hAnsi="Times New Roman" w:cs="Times New Roman"/>
                <w:b/>
                <w:i/>
                <w:iCs/>
                <w:lang w:val="ro-MD"/>
              </w:rPr>
            </w:pPr>
            <w:r w:rsidRPr="009E686F">
              <w:rPr>
                <w:rFonts w:ascii="Times New Roman" w:eastAsia="Aptos" w:hAnsi="Times New Roman" w:cs="Times New Roman"/>
                <w:i/>
                <w:iCs/>
                <w:kern w:val="2"/>
                <w:lang w:val="ro-MD"/>
              </w:rPr>
              <w:lastRenderedPageBreak/>
              <w:t xml:space="preserve">(1) Sucursala dintr-un stat terț trebuie să desemneze cel puţin două persoane care să asigure conducerea activităţii sucursalei din Republica Moldova şi care sînt împuternicite să angajeze şi să reprezinte, în mod legal, în Republica Moldova, instituția de credit respectivă. Aceste persoane </w:t>
            </w:r>
            <w:r w:rsidRPr="009E686F">
              <w:rPr>
                <w:rFonts w:ascii="Times New Roman" w:eastAsia="Aptos" w:hAnsi="Times New Roman" w:cs="Times New Roman"/>
                <w:i/>
                <w:iCs/>
                <w:kern w:val="2"/>
                <w:lang w:val="ro-MD"/>
              </w:rPr>
              <w:lastRenderedPageBreak/>
              <w:t>trebuie să dispună de o bună reputaţie, suficiente cunoștințe, competențe, experienţă adecvată  și să dedice suficient timp pentru exercitarea responsabilităţilor încredinţate. Dispoziţiile cuprinse în capitolul 1 din titlul III referitoare la persoanele care asigură conducerea instituțiilor de credit se aplică în mod corespunzător.</w:t>
            </w:r>
          </w:p>
        </w:tc>
        <w:tc>
          <w:tcPr>
            <w:tcW w:w="470" w:type="pct"/>
            <w:tcBorders>
              <w:top w:val="single" w:sz="4" w:space="0" w:color="auto"/>
              <w:left w:val="single" w:sz="4" w:space="0" w:color="auto"/>
              <w:bottom w:val="single" w:sz="4" w:space="0" w:color="auto"/>
              <w:right w:val="single" w:sz="4" w:space="0" w:color="auto"/>
            </w:tcBorders>
          </w:tcPr>
          <w:p w14:paraId="53C9F954" w14:textId="365B6230" w:rsidR="00F578E3" w:rsidRPr="009E686F" w:rsidRDefault="00F578E3" w:rsidP="00265766">
            <w:pPr>
              <w:jc w:val="both"/>
              <w:rPr>
                <w:rFonts w:ascii="Times New Roman" w:hAnsi="Times New Roman" w:cs="Times New Roman"/>
                <w:lang w:val="ro-MD"/>
              </w:rPr>
            </w:pPr>
            <w:r w:rsidRPr="009E686F">
              <w:rPr>
                <w:rFonts w:ascii="Times New Roman" w:hAnsi="Times New Roman" w:cs="Times New Roman"/>
                <w:lang w:val="it-IT"/>
              </w:rPr>
              <w:lastRenderedPageBreak/>
              <w:t>Compatibil</w:t>
            </w:r>
          </w:p>
        </w:tc>
        <w:tc>
          <w:tcPr>
            <w:tcW w:w="806" w:type="pct"/>
            <w:vMerge/>
            <w:tcBorders>
              <w:left w:val="single" w:sz="4" w:space="0" w:color="auto"/>
              <w:bottom w:val="single" w:sz="4" w:space="0" w:color="auto"/>
              <w:right w:val="single" w:sz="4" w:space="0" w:color="auto"/>
            </w:tcBorders>
          </w:tcPr>
          <w:p w14:paraId="066EDB8B" w14:textId="77777777" w:rsidR="00F578E3" w:rsidRPr="009E686F" w:rsidRDefault="00F578E3" w:rsidP="00265766">
            <w:pPr>
              <w:spacing w:after="0"/>
              <w:jc w:val="both"/>
              <w:rPr>
                <w:rFonts w:ascii="Times New Roman" w:hAnsi="Times New Roman" w:cs="Times New Roman"/>
                <w:lang w:val="ro-MD"/>
              </w:rPr>
            </w:pPr>
          </w:p>
        </w:tc>
      </w:tr>
      <w:tr w:rsidR="00265766" w:rsidRPr="009E686F" w14:paraId="496705FB" w14:textId="77777777" w:rsidTr="00960C23">
        <w:tc>
          <w:tcPr>
            <w:tcW w:w="1890" w:type="pct"/>
            <w:tcBorders>
              <w:top w:val="single" w:sz="4" w:space="0" w:color="auto"/>
              <w:left w:val="single" w:sz="4" w:space="0" w:color="auto"/>
              <w:bottom w:val="single" w:sz="4" w:space="0" w:color="auto"/>
              <w:right w:val="single" w:sz="4" w:space="0" w:color="auto"/>
            </w:tcBorders>
          </w:tcPr>
          <w:p w14:paraId="60CFB21B" w14:textId="203E466F" w:rsidR="00265766" w:rsidRPr="009E686F" w:rsidRDefault="00265766" w:rsidP="00265766">
            <w:pPr>
              <w:spacing w:after="0"/>
              <w:jc w:val="both"/>
              <w:rPr>
                <w:rFonts w:ascii="Times New Roman" w:hAnsi="Times New Roman" w:cs="Times New Roman"/>
                <w:lang w:val="it-IT"/>
              </w:rPr>
            </w:pPr>
            <w:r w:rsidRPr="009E686F">
              <w:rPr>
                <w:rFonts w:ascii="Times New Roman" w:hAnsi="Times New Roman" w:cs="Times New Roman"/>
                <w:lang w:val="it-IT"/>
              </w:rPr>
              <w:t>(2) Statele membre prevăd obligația ca sucursalele din țări terțe din clasa 1 să respecte articolele 74 și 75, articolul 76 alineatele (5) și (6) și articolele 92, 94 și 95. Autoritățile competente pot solicita sucursalelor din țări terțe să înființeze la nivel local un comitet de conducere care să asigure o guvernanță adecvată a sucursalei.</w:t>
            </w:r>
          </w:p>
        </w:tc>
        <w:tc>
          <w:tcPr>
            <w:tcW w:w="1834" w:type="pct"/>
            <w:tcBorders>
              <w:top w:val="single" w:sz="4" w:space="0" w:color="auto"/>
              <w:left w:val="single" w:sz="4" w:space="0" w:color="auto"/>
              <w:bottom w:val="single" w:sz="4" w:space="0" w:color="auto"/>
              <w:right w:val="single" w:sz="4" w:space="0" w:color="auto"/>
            </w:tcBorders>
          </w:tcPr>
          <w:p w14:paraId="1A369FCE" w14:textId="2DF2634C" w:rsidR="00265766" w:rsidRPr="009E686F" w:rsidRDefault="00265766" w:rsidP="00265766">
            <w:pPr>
              <w:spacing w:after="0"/>
              <w:jc w:val="both"/>
              <w:rPr>
                <w:rFonts w:ascii="Times New Roman" w:hAnsi="Times New Roman" w:cs="Times New Roman"/>
                <w:b/>
                <w:i/>
                <w:iCs/>
                <w:lang w:val="ro-MD"/>
              </w:rPr>
            </w:pPr>
            <w:r w:rsidRPr="009E686F">
              <w:rPr>
                <w:rFonts w:ascii="Times New Roman" w:eastAsia="Aptos" w:hAnsi="Times New Roman" w:cs="Times New Roman"/>
                <w:i/>
                <w:iCs/>
                <w:kern w:val="2"/>
                <w:lang w:val="ro-MD"/>
              </w:rPr>
              <w:t>(2) Sucursalele din state terțe din clasa 1 trebuie să respecte cerințele prevăzute la art. 38 alin. (1) și (2), art. 39 alin. (1)-(2</w:t>
            </w:r>
            <w:r w:rsidRPr="009E686F">
              <w:rPr>
                <w:rFonts w:ascii="Times New Roman" w:eastAsia="Aptos" w:hAnsi="Times New Roman" w:cs="Times New Roman"/>
                <w:i/>
                <w:iCs/>
                <w:kern w:val="2"/>
                <w:vertAlign w:val="superscript"/>
                <w:lang w:val="ro-MD"/>
              </w:rPr>
              <w:t>1</w:t>
            </w:r>
            <w:r w:rsidRPr="009E686F">
              <w:rPr>
                <w:rFonts w:ascii="Times New Roman" w:eastAsia="Aptos" w:hAnsi="Times New Roman" w:cs="Times New Roman"/>
                <w:i/>
                <w:iCs/>
                <w:kern w:val="2"/>
                <w:lang w:val="ro-MD"/>
              </w:rPr>
              <w:t>)</w:t>
            </w:r>
            <w:r w:rsidR="00925B4E" w:rsidRPr="009E686F">
              <w:rPr>
                <w:rFonts w:ascii="Times New Roman" w:eastAsia="Aptos" w:hAnsi="Times New Roman" w:cs="Times New Roman"/>
                <w:i/>
                <w:iCs/>
                <w:kern w:val="2"/>
                <w:lang w:val="ro-MD"/>
              </w:rPr>
              <w:t xml:space="preserve"> și</w:t>
            </w:r>
            <w:r w:rsidRPr="009E686F">
              <w:rPr>
                <w:rFonts w:ascii="Times New Roman" w:eastAsia="Aptos" w:hAnsi="Times New Roman" w:cs="Times New Roman"/>
                <w:i/>
                <w:iCs/>
                <w:kern w:val="2"/>
                <w:lang w:val="ro-MD"/>
              </w:rPr>
              <w:t xml:space="preserve"> (4), art. 44 în partea care se referă la comitetul de remunerare, art. 44</w:t>
            </w:r>
            <w:r w:rsidRPr="009E686F">
              <w:rPr>
                <w:rFonts w:ascii="Times New Roman" w:eastAsia="Aptos" w:hAnsi="Times New Roman" w:cs="Times New Roman"/>
                <w:i/>
                <w:iCs/>
                <w:kern w:val="2"/>
                <w:vertAlign w:val="superscript"/>
                <w:lang w:val="ro-MD"/>
              </w:rPr>
              <w:t>2</w:t>
            </w:r>
            <w:r w:rsidRPr="009E686F">
              <w:rPr>
                <w:rFonts w:ascii="Times New Roman" w:eastAsia="Aptos" w:hAnsi="Times New Roman" w:cs="Times New Roman"/>
                <w:i/>
                <w:iCs/>
                <w:kern w:val="2"/>
                <w:lang w:val="ro-MD"/>
              </w:rPr>
              <w:t xml:space="preserve"> și actele normative ale Băncii Naționale a Moldovei emise în aplicarea prezentei legi și să înființeze un comitet de conducere care să asigure o guvernanță adecvată a sucursalei.</w:t>
            </w:r>
          </w:p>
        </w:tc>
        <w:tc>
          <w:tcPr>
            <w:tcW w:w="470" w:type="pct"/>
            <w:tcBorders>
              <w:top w:val="single" w:sz="4" w:space="0" w:color="auto"/>
              <w:left w:val="single" w:sz="4" w:space="0" w:color="auto"/>
              <w:bottom w:val="single" w:sz="4" w:space="0" w:color="auto"/>
              <w:right w:val="single" w:sz="4" w:space="0" w:color="auto"/>
            </w:tcBorders>
          </w:tcPr>
          <w:p w14:paraId="3C9D6FD6" w14:textId="77777777" w:rsidR="00265766" w:rsidRPr="009E686F" w:rsidRDefault="00265766" w:rsidP="00265766">
            <w:pPr>
              <w:jc w:val="both"/>
              <w:rPr>
                <w:rFonts w:ascii="Times New Roman" w:hAnsi="Times New Roman" w:cs="Times New Roman"/>
                <w:lang w:val="ro-MD"/>
              </w:rPr>
            </w:pPr>
          </w:p>
        </w:tc>
        <w:tc>
          <w:tcPr>
            <w:tcW w:w="806" w:type="pct"/>
            <w:tcBorders>
              <w:top w:val="single" w:sz="4" w:space="0" w:color="auto"/>
              <w:left w:val="single" w:sz="4" w:space="0" w:color="auto"/>
              <w:bottom w:val="single" w:sz="4" w:space="0" w:color="auto"/>
              <w:right w:val="single" w:sz="4" w:space="0" w:color="auto"/>
            </w:tcBorders>
          </w:tcPr>
          <w:p w14:paraId="17D82D23" w14:textId="77777777" w:rsidR="00F578E3" w:rsidRPr="009E686F" w:rsidRDefault="00F578E3" w:rsidP="00F578E3">
            <w:r w:rsidRPr="009E686F">
              <w:rPr>
                <w:rFonts w:ascii="Times New Roman" w:hAnsi="Times New Roman" w:cs="Times New Roman"/>
                <w:lang w:val="ro-RO"/>
              </w:rPr>
              <w:t>În vigoare – data aderării.</w:t>
            </w:r>
          </w:p>
          <w:p w14:paraId="7ED841F3" w14:textId="77777777" w:rsidR="00265766" w:rsidRPr="009E686F" w:rsidRDefault="00265766" w:rsidP="00265766">
            <w:pPr>
              <w:spacing w:after="0"/>
              <w:jc w:val="both"/>
              <w:rPr>
                <w:rFonts w:ascii="Times New Roman" w:hAnsi="Times New Roman" w:cs="Times New Roman"/>
                <w:lang w:val="ro-MD"/>
              </w:rPr>
            </w:pPr>
          </w:p>
        </w:tc>
      </w:tr>
      <w:tr w:rsidR="00265766" w:rsidRPr="009E686F" w14:paraId="624E3C44" w14:textId="77777777" w:rsidTr="00960C23">
        <w:tc>
          <w:tcPr>
            <w:tcW w:w="1890" w:type="pct"/>
            <w:tcBorders>
              <w:top w:val="single" w:sz="4" w:space="0" w:color="auto"/>
              <w:left w:val="single" w:sz="4" w:space="0" w:color="auto"/>
              <w:bottom w:val="single" w:sz="4" w:space="0" w:color="auto"/>
              <w:right w:val="single" w:sz="4" w:space="0" w:color="auto"/>
            </w:tcBorders>
          </w:tcPr>
          <w:p w14:paraId="0D2162FA" w14:textId="77777777" w:rsidR="00265766" w:rsidRPr="009E686F" w:rsidRDefault="00265766" w:rsidP="00265766">
            <w:pPr>
              <w:spacing w:after="0"/>
              <w:jc w:val="both"/>
              <w:rPr>
                <w:rFonts w:ascii="Times New Roman" w:hAnsi="Times New Roman" w:cs="Times New Roman"/>
                <w:lang w:val="ro-MD"/>
              </w:rPr>
            </w:pPr>
            <w:r w:rsidRPr="009E686F">
              <w:rPr>
                <w:rFonts w:ascii="Times New Roman" w:hAnsi="Times New Roman" w:cs="Times New Roman"/>
                <w:lang w:val="ro-MD"/>
              </w:rPr>
              <w:t>(3) Statele membre prevăd obligația ca sucursalele din țări terțe din clasa 2 să respecte articolele 74, 75, 92, 94 și 95 și să aibă funcții de control intern, astfel cum se prevede la articolul 76 alineatul (5) și la articolul 76 alineatul (6) primul, al doilea și al patrulea paragraf.</w:t>
            </w:r>
          </w:p>
          <w:p w14:paraId="60BE38FD" w14:textId="160610CE" w:rsidR="00265766" w:rsidRPr="009E686F" w:rsidRDefault="00265766" w:rsidP="00265766">
            <w:pPr>
              <w:spacing w:after="0"/>
              <w:jc w:val="both"/>
              <w:rPr>
                <w:rFonts w:ascii="Times New Roman" w:hAnsi="Times New Roman" w:cs="Times New Roman"/>
                <w:lang w:val="ro-MD"/>
              </w:rPr>
            </w:pPr>
            <w:r w:rsidRPr="009E686F">
              <w:rPr>
                <w:rFonts w:ascii="Times New Roman" w:hAnsi="Times New Roman" w:cs="Times New Roman"/>
                <w:lang w:val="ro-MD"/>
              </w:rPr>
              <w:t>În funcție de dimensiunea lor, de organizarea internă și de natura, sfera și complexitatea activităților lor, autoritățile competente pot prevedea obligația ca sucursalele din țări terțe din clasa 2 să numească coordonatori ai funcțiilor de control intern, astfel cum se prevede la articolul 76 alineatul (6) al treilea și al cincilea paragraf.</w:t>
            </w:r>
          </w:p>
        </w:tc>
        <w:tc>
          <w:tcPr>
            <w:tcW w:w="1834" w:type="pct"/>
            <w:tcBorders>
              <w:top w:val="single" w:sz="4" w:space="0" w:color="auto"/>
              <w:left w:val="single" w:sz="4" w:space="0" w:color="auto"/>
              <w:bottom w:val="single" w:sz="4" w:space="0" w:color="auto"/>
              <w:right w:val="single" w:sz="4" w:space="0" w:color="auto"/>
            </w:tcBorders>
          </w:tcPr>
          <w:p w14:paraId="3629994A" w14:textId="6B4200E9" w:rsidR="00265766" w:rsidRPr="009E686F" w:rsidRDefault="00265766" w:rsidP="00265766">
            <w:pPr>
              <w:spacing w:after="0"/>
              <w:jc w:val="both"/>
              <w:rPr>
                <w:rFonts w:ascii="Times New Roman" w:hAnsi="Times New Roman" w:cs="Times New Roman"/>
                <w:b/>
                <w:i/>
                <w:iCs/>
                <w:lang w:val="it-IT"/>
              </w:rPr>
            </w:pPr>
            <w:r w:rsidRPr="009E686F">
              <w:rPr>
                <w:rFonts w:ascii="Times New Roman" w:eastAsia="Aptos" w:hAnsi="Times New Roman" w:cs="Times New Roman"/>
                <w:i/>
                <w:iCs/>
                <w:kern w:val="2"/>
                <w:lang w:val="ro-MD"/>
              </w:rPr>
              <w:t>(3) Sucursalele din state terțe din clasa 2 trebuie să respecte cerințele prevăzute de art. 38 alin. (1)</w:t>
            </w:r>
            <w:r w:rsidR="00345062" w:rsidRPr="009E686F">
              <w:rPr>
                <w:rFonts w:ascii="Times New Roman" w:eastAsia="Aptos" w:hAnsi="Times New Roman" w:cs="Times New Roman"/>
                <w:i/>
                <w:iCs/>
                <w:kern w:val="2"/>
                <w:lang w:val="ro-MD"/>
              </w:rPr>
              <w:t xml:space="preserve"> și </w:t>
            </w:r>
            <w:r w:rsidRPr="009E686F">
              <w:rPr>
                <w:rFonts w:ascii="Times New Roman" w:eastAsia="Aptos" w:hAnsi="Times New Roman" w:cs="Times New Roman"/>
                <w:i/>
                <w:iCs/>
                <w:kern w:val="2"/>
                <w:lang w:val="ro-MD"/>
              </w:rPr>
              <w:t>(2), art. 39 alin. (1)-(2</w:t>
            </w:r>
            <w:r w:rsidRPr="009E686F">
              <w:rPr>
                <w:rFonts w:ascii="Times New Roman" w:eastAsia="Aptos" w:hAnsi="Times New Roman" w:cs="Times New Roman"/>
                <w:i/>
                <w:iCs/>
                <w:kern w:val="2"/>
                <w:vertAlign w:val="superscript"/>
                <w:lang w:val="ro-MD"/>
              </w:rPr>
              <w:t>1</w:t>
            </w:r>
            <w:r w:rsidRPr="009E686F">
              <w:rPr>
                <w:rFonts w:ascii="Times New Roman" w:eastAsia="Aptos" w:hAnsi="Times New Roman" w:cs="Times New Roman"/>
                <w:i/>
                <w:iCs/>
                <w:kern w:val="2"/>
                <w:lang w:val="ro-MD"/>
              </w:rPr>
              <w:t>)</w:t>
            </w:r>
            <w:r w:rsidR="00925B4E" w:rsidRPr="009E686F">
              <w:rPr>
                <w:rFonts w:ascii="Times New Roman" w:eastAsia="Aptos" w:hAnsi="Times New Roman" w:cs="Times New Roman"/>
                <w:i/>
                <w:iCs/>
                <w:kern w:val="2"/>
                <w:lang w:val="ro-MD"/>
              </w:rPr>
              <w:t xml:space="preserve"> și</w:t>
            </w:r>
            <w:r w:rsidRPr="009E686F">
              <w:rPr>
                <w:rFonts w:ascii="Times New Roman" w:eastAsia="Aptos" w:hAnsi="Times New Roman" w:cs="Times New Roman"/>
                <w:i/>
                <w:iCs/>
                <w:kern w:val="2"/>
                <w:lang w:val="ro-MD"/>
              </w:rPr>
              <w:t xml:space="preserve"> (4), art. 44 în partea care se referă la comitetul de remunerare. De asemenea, sucursalele din state terțe de clasa 2 trebuie să dispună de funcții de control intern care să respecte cerințele prevăzute de art. 44</w:t>
            </w:r>
            <w:r w:rsidRPr="009E686F">
              <w:rPr>
                <w:rFonts w:ascii="Times New Roman" w:eastAsia="Aptos" w:hAnsi="Times New Roman" w:cs="Times New Roman"/>
                <w:i/>
                <w:iCs/>
                <w:kern w:val="2"/>
                <w:vertAlign w:val="superscript"/>
                <w:lang w:val="ro-MD"/>
              </w:rPr>
              <w:t>2</w:t>
            </w:r>
            <w:r w:rsidRPr="009E686F">
              <w:rPr>
                <w:rFonts w:ascii="Times New Roman" w:eastAsia="Aptos" w:hAnsi="Times New Roman" w:cs="Times New Roman"/>
                <w:i/>
                <w:iCs/>
                <w:kern w:val="2"/>
                <w:lang w:val="ro-MD"/>
              </w:rPr>
              <w:t xml:space="preserve"> alin. (1)-(4) și (6) și, în funcție de dimensiunea lor, de organizarea internă și de natura, sfera și complexitatea activităților lor, să numească coordonatori ai funcțiilor de control intern în condițiile prevăzute de art. 44</w:t>
            </w:r>
            <w:r w:rsidRPr="009E686F">
              <w:rPr>
                <w:rFonts w:ascii="Times New Roman" w:eastAsia="Aptos" w:hAnsi="Times New Roman" w:cs="Times New Roman"/>
                <w:i/>
                <w:iCs/>
                <w:kern w:val="2"/>
                <w:vertAlign w:val="superscript"/>
                <w:lang w:val="ro-MD"/>
              </w:rPr>
              <w:t xml:space="preserve">2 </w:t>
            </w:r>
            <w:r w:rsidRPr="009E686F">
              <w:rPr>
                <w:rFonts w:ascii="Times New Roman" w:eastAsia="Aptos" w:hAnsi="Times New Roman" w:cs="Times New Roman"/>
                <w:i/>
                <w:iCs/>
                <w:kern w:val="2"/>
                <w:lang w:val="ro-MD"/>
              </w:rPr>
              <w:t>alin. (5) și (7).</w:t>
            </w:r>
          </w:p>
        </w:tc>
        <w:tc>
          <w:tcPr>
            <w:tcW w:w="470" w:type="pct"/>
            <w:tcBorders>
              <w:top w:val="single" w:sz="4" w:space="0" w:color="auto"/>
              <w:left w:val="single" w:sz="4" w:space="0" w:color="auto"/>
              <w:bottom w:val="single" w:sz="4" w:space="0" w:color="auto"/>
              <w:right w:val="single" w:sz="4" w:space="0" w:color="auto"/>
            </w:tcBorders>
          </w:tcPr>
          <w:p w14:paraId="74EA728A" w14:textId="46689CFD" w:rsidR="00265766" w:rsidRPr="009E686F" w:rsidRDefault="00265766" w:rsidP="00265766">
            <w:pPr>
              <w:jc w:val="both"/>
              <w:rPr>
                <w:rFonts w:ascii="Times New Roman" w:hAnsi="Times New Roman" w:cs="Times New Roman"/>
                <w:lang w:val="it-IT"/>
              </w:rPr>
            </w:pPr>
            <w:r w:rsidRPr="009E686F">
              <w:rPr>
                <w:rFonts w:ascii="Times New Roman" w:hAnsi="Times New Roman" w:cs="Times New Roman"/>
                <w:lang w:val="it-IT"/>
              </w:rPr>
              <w:t>Compatibil</w:t>
            </w:r>
          </w:p>
        </w:tc>
        <w:tc>
          <w:tcPr>
            <w:tcW w:w="806" w:type="pct"/>
            <w:tcBorders>
              <w:top w:val="single" w:sz="4" w:space="0" w:color="auto"/>
              <w:left w:val="single" w:sz="4" w:space="0" w:color="auto"/>
              <w:bottom w:val="single" w:sz="4" w:space="0" w:color="auto"/>
              <w:right w:val="single" w:sz="4" w:space="0" w:color="auto"/>
            </w:tcBorders>
          </w:tcPr>
          <w:p w14:paraId="47988ABC" w14:textId="77777777" w:rsidR="00F578E3" w:rsidRPr="009E686F" w:rsidRDefault="00F578E3" w:rsidP="00F578E3">
            <w:r w:rsidRPr="009E686F">
              <w:rPr>
                <w:rFonts w:ascii="Times New Roman" w:hAnsi="Times New Roman" w:cs="Times New Roman"/>
                <w:lang w:val="ro-RO"/>
              </w:rPr>
              <w:t>În vigoare – data aderării.</w:t>
            </w:r>
          </w:p>
          <w:p w14:paraId="6138FCFC" w14:textId="77777777" w:rsidR="00265766" w:rsidRPr="009E686F" w:rsidRDefault="00265766" w:rsidP="00265766">
            <w:pPr>
              <w:spacing w:after="0"/>
              <w:jc w:val="both"/>
              <w:rPr>
                <w:rFonts w:ascii="Times New Roman" w:hAnsi="Times New Roman" w:cs="Times New Roman"/>
                <w:lang w:val="it-IT"/>
              </w:rPr>
            </w:pPr>
          </w:p>
        </w:tc>
      </w:tr>
      <w:tr w:rsidR="00265766" w:rsidRPr="009E686F" w14:paraId="48FD6FC9" w14:textId="77777777" w:rsidTr="00960C23">
        <w:tc>
          <w:tcPr>
            <w:tcW w:w="1890" w:type="pct"/>
            <w:tcBorders>
              <w:top w:val="single" w:sz="4" w:space="0" w:color="auto"/>
              <w:left w:val="single" w:sz="4" w:space="0" w:color="auto"/>
              <w:bottom w:val="single" w:sz="4" w:space="0" w:color="auto"/>
              <w:right w:val="single" w:sz="4" w:space="0" w:color="auto"/>
            </w:tcBorders>
          </w:tcPr>
          <w:p w14:paraId="18C7E0BC" w14:textId="2A84C9E1"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(4) Statele membre impun sucursalelor din țări terțe obligația de a institui linii de raportare către organul de conducere al întreprinderii principale care să acopere toate riscurile semnificative, politicile de administrare a riscurilor și modificările acestora și de a dispune de sisteme și controale de tehnologie a informației și a comunicațiilor (TIC) adecvate care să asigure respectarea în mod corespunzător a politicilor.</w:t>
            </w:r>
          </w:p>
        </w:tc>
        <w:tc>
          <w:tcPr>
            <w:tcW w:w="1834" w:type="pct"/>
            <w:tcBorders>
              <w:top w:val="single" w:sz="4" w:space="0" w:color="auto"/>
              <w:left w:val="single" w:sz="4" w:space="0" w:color="auto"/>
              <w:bottom w:val="single" w:sz="4" w:space="0" w:color="auto"/>
              <w:right w:val="single" w:sz="4" w:space="0" w:color="auto"/>
            </w:tcBorders>
          </w:tcPr>
          <w:p w14:paraId="31DF0469" w14:textId="76F14B69" w:rsidR="00265766" w:rsidRPr="009E686F" w:rsidRDefault="00265766" w:rsidP="00265766">
            <w:pPr>
              <w:spacing w:after="0"/>
              <w:jc w:val="both"/>
              <w:rPr>
                <w:rFonts w:ascii="Times New Roman" w:hAnsi="Times New Roman" w:cs="Times New Roman"/>
                <w:b/>
                <w:i/>
                <w:lang w:val="it-CH"/>
              </w:rPr>
            </w:pPr>
            <w:r w:rsidRPr="009E686F">
              <w:rPr>
                <w:rFonts w:ascii="Times New Roman" w:eastAsia="Aptos" w:hAnsi="Times New Roman" w:cs="Times New Roman"/>
                <w:i/>
                <w:iCs/>
                <w:kern w:val="2"/>
                <w:lang w:val="ro-MD"/>
              </w:rPr>
              <w:t>(4) Sucursalele din state terțe trebuie să instituie linii de raportare către organul de conducere al întreprinderii principale care să acopere toate riscurile semnificative, politicile de administrare a riscurilor și modificările acestora și să dispună de sisteme și controale TIC adecvate care să asigure respectarea în mod corespunzător a politicilor.</w:t>
            </w:r>
          </w:p>
        </w:tc>
        <w:tc>
          <w:tcPr>
            <w:tcW w:w="470" w:type="pct"/>
            <w:tcBorders>
              <w:top w:val="single" w:sz="4" w:space="0" w:color="auto"/>
              <w:left w:val="single" w:sz="4" w:space="0" w:color="auto"/>
              <w:bottom w:val="single" w:sz="4" w:space="0" w:color="auto"/>
              <w:right w:val="single" w:sz="4" w:space="0" w:color="auto"/>
            </w:tcBorders>
          </w:tcPr>
          <w:p w14:paraId="53B8F980" w14:textId="28E3CE28" w:rsidR="00265766" w:rsidRPr="009E686F" w:rsidRDefault="00265766" w:rsidP="00265766">
            <w:pPr>
              <w:jc w:val="both"/>
              <w:rPr>
                <w:rFonts w:ascii="Times New Roman" w:hAnsi="Times New Roman" w:cs="Times New Roman"/>
                <w:lang w:val="it-IT"/>
              </w:rPr>
            </w:pPr>
            <w:r w:rsidRPr="009E686F">
              <w:rPr>
                <w:rFonts w:ascii="Times New Roman" w:hAnsi="Times New Roman" w:cs="Times New Roman"/>
                <w:lang w:val="it-IT"/>
              </w:rPr>
              <w:t>Compatibil</w:t>
            </w:r>
          </w:p>
        </w:tc>
        <w:tc>
          <w:tcPr>
            <w:tcW w:w="806" w:type="pct"/>
            <w:tcBorders>
              <w:top w:val="single" w:sz="4" w:space="0" w:color="auto"/>
              <w:left w:val="single" w:sz="4" w:space="0" w:color="auto"/>
              <w:bottom w:val="single" w:sz="4" w:space="0" w:color="auto"/>
              <w:right w:val="single" w:sz="4" w:space="0" w:color="auto"/>
            </w:tcBorders>
          </w:tcPr>
          <w:p w14:paraId="3B85BD0C" w14:textId="77777777" w:rsidR="00F578E3" w:rsidRPr="009E686F" w:rsidRDefault="00F578E3" w:rsidP="00F578E3">
            <w:r w:rsidRPr="009E686F">
              <w:rPr>
                <w:rFonts w:ascii="Times New Roman" w:hAnsi="Times New Roman" w:cs="Times New Roman"/>
                <w:lang w:val="ro-RO"/>
              </w:rPr>
              <w:t>În vigoare – data aderării.</w:t>
            </w:r>
          </w:p>
          <w:p w14:paraId="7A4876AB" w14:textId="77777777" w:rsidR="00265766" w:rsidRPr="009E686F" w:rsidRDefault="00265766" w:rsidP="00265766">
            <w:pPr>
              <w:spacing w:after="0"/>
              <w:jc w:val="both"/>
              <w:rPr>
                <w:rFonts w:ascii="Times New Roman" w:hAnsi="Times New Roman" w:cs="Times New Roman"/>
                <w:lang w:val="it-IT"/>
              </w:rPr>
            </w:pPr>
          </w:p>
        </w:tc>
      </w:tr>
      <w:tr w:rsidR="00265766" w:rsidRPr="009E686F" w14:paraId="1F1D9FEC" w14:textId="77777777" w:rsidTr="00960C23">
        <w:tc>
          <w:tcPr>
            <w:tcW w:w="1890" w:type="pct"/>
            <w:tcBorders>
              <w:top w:val="single" w:sz="4" w:space="0" w:color="auto"/>
              <w:left w:val="single" w:sz="4" w:space="0" w:color="auto"/>
              <w:bottom w:val="single" w:sz="4" w:space="0" w:color="auto"/>
              <w:right w:val="single" w:sz="4" w:space="0" w:color="auto"/>
            </w:tcBorders>
          </w:tcPr>
          <w:p w14:paraId="5E792299" w14:textId="1CA74960"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lastRenderedPageBreak/>
              <w:t>(5) Statele membre impun sucursalelor din țări terțe obligația de a monitoriza și gestiona acordurile de externalizare și de a se asigura că autoritățile lor competente au acces deplin la toate informațiile de care au nevoie pentru a-și exercita funcția de supraveghere.</w:t>
            </w:r>
          </w:p>
        </w:tc>
        <w:tc>
          <w:tcPr>
            <w:tcW w:w="1834" w:type="pct"/>
            <w:tcBorders>
              <w:top w:val="single" w:sz="4" w:space="0" w:color="auto"/>
              <w:left w:val="single" w:sz="4" w:space="0" w:color="auto"/>
              <w:bottom w:val="single" w:sz="4" w:space="0" w:color="auto"/>
              <w:right w:val="single" w:sz="4" w:space="0" w:color="auto"/>
            </w:tcBorders>
          </w:tcPr>
          <w:p w14:paraId="44E983B6" w14:textId="5E29D44B" w:rsidR="00265766" w:rsidRPr="009E686F" w:rsidRDefault="00265766" w:rsidP="00265766">
            <w:pPr>
              <w:spacing w:after="0"/>
              <w:jc w:val="both"/>
              <w:rPr>
                <w:rFonts w:ascii="Times New Roman" w:hAnsi="Times New Roman" w:cs="Times New Roman"/>
                <w:b/>
                <w:i/>
                <w:lang w:val="it-CH"/>
              </w:rPr>
            </w:pPr>
            <w:r w:rsidRPr="009E686F">
              <w:rPr>
                <w:rFonts w:ascii="Times New Roman" w:eastAsia="Aptos" w:hAnsi="Times New Roman" w:cs="Times New Roman"/>
                <w:i/>
                <w:iCs/>
                <w:kern w:val="2"/>
                <w:lang w:val="ro-MD"/>
              </w:rPr>
              <w:t>(5) Sucursalele din state terțe trebuie să monitorizeze și să gestioneze contractele de externalizare și să transmită Băncii Naționale a Moldovei toate informațiile necesare pentru ca aceasta să-și exercite în mod nestingherit funcția de supraveghere.</w:t>
            </w:r>
          </w:p>
        </w:tc>
        <w:tc>
          <w:tcPr>
            <w:tcW w:w="470" w:type="pct"/>
            <w:tcBorders>
              <w:top w:val="single" w:sz="4" w:space="0" w:color="auto"/>
              <w:left w:val="single" w:sz="4" w:space="0" w:color="auto"/>
              <w:bottom w:val="single" w:sz="4" w:space="0" w:color="auto"/>
              <w:right w:val="single" w:sz="4" w:space="0" w:color="auto"/>
            </w:tcBorders>
          </w:tcPr>
          <w:p w14:paraId="4D6EA978" w14:textId="68ABFBB2" w:rsidR="00265766" w:rsidRPr="009E686F" w:rsidRDefault="00265766" w:rsidP="00265766">
            <w:pPr>
              <w:jc w:val="both"/>
              <w:rPr>
                <w:rFonts w:ascii="Times New Roman" w:hAnsi="Times New Roman" w:cs="Times New Roman"/>
                <w:lang w:val="it-IT"/>
              </w:rPr>
            </w:pPr>
            <w:r w:rsidRPr="009E686F">
              <w:rPr>
                <w:rFonts w:ascii="Times New Roman" w:hAnsi="Times New Roman" w:cs="Times New Roman"/>
                <w:lang w:val="it-IT"/>
              </w:rPr>
              <w:t>Compatibil</w:t>
            </w:r>
          </w:p>
        </w:tc>
        <w:tc>
          <w:tcPr>
            <w:tcW w:w="806" w:type="pct"/>
            <w:tcBorders>
              <w:top w:val="single" w:sz="4" w:space="0" w:color="auto"/>
              <w:left w:val="single" w:sz="4" w:space="0" w:color="auto"/>
              <w:bottom w:val="single" w:sz="4" w:space="0" w:color="auto"/>
              <w:right w:val="single" w:sz="4" w:space="0" w:color="auto"/>
            </w:tcBorders>
          </w:tcPr>
          <w:p w14:paraId="02CC6943" w14:textId="77777777" w:rsidR="00F578E3" w:rsidRPr="009E686F" w:rsidRDefault="00F578E3" w:rsidP="00F578E3">
            <w:r w:rsidRPr="009E686F">
              <w:rPr>
                <w:rFonts w:ascii="Times New Roman" w:hAnsi="Times New Roman" w:cs="Times New Roman"/>
                <w:lang w:val="ro-RO"/>
              </w:rPr>
              <w:t>În vigoare – data aderării.</w:t>
            </w:r>
          </w:p>
          <w:p w14:paraId="29683DF5" w14:textId="77777777" w:rsidR="00265766" w:rsidRPr="009E686F" w:rsidRDefault="00265766" w:rsidP="00265766">
            <w:pPr>
              <w:spacing w:after="0"/>
              <w:jc w:val="both"/>
              <w:rPr>
                <w:rFonts w:ascii="Times New Roman" w:hAnsi="Times New Roman" w:cs="Times New Roman"/>
                <w:lang w:val="it-IT"/>
              </w:rPr>
            </w:pPr>
          </w:p>
        </w:tc>
      </w:tr>
      <w:tr w:rsidR="00265766" w:rsidRPr="009E686F" w14:paraId="16C901DE" w14:textId="77777777" w:rsidTr="00960C23">
        <w:tc>
          <w:tcPr>
            <w:tcW w:w="1890" w:type="pct"/>
            <w:tcBorders>
              <w:top w:val="single" w:sz="4" w:space="0" w:color="auto"/>
              <w:left w:val="single" w:sz="4" w:space="0" w:color="auto"/>
              <w:bottom w:val="single" w:sz="4" w:space="0" w:color="auto"/>
              <w:right w:val="single" w:sz="4" w:space="0" w:color="auto"/>
            </w:tcBorders>
          </w:tcPr>
          <w:p w14:paraId="253FC6F5" w14:textId="0DAB148D"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(6) Statele membre impun sucursalelor din țări terțe care efectuează operațiuni back-to-back sau intragrup obligația de a dispune de resurse adecvate pentru a identifica și a gestiona în mod corespunzător propriul risc de credit al contrapărții în cazul în care riscurile semnificative asociate activelor contabilizate de sucursala dintr-o țară terță sunt transferate contrapărții.</w:t>
            </w:r>
          </w:p>
        </w:tc>
        <w:tc>
          <w:tcPr>
            <w:tcW w:w="1834" w:type="pct"/>
            <w:tcBorders>
              <w:top w:val="single" w:sz="4" w:space="0" w:color="auto"/>
              <w:left w:val="single" w:sz="4" w:space="0" w:color="auto"/>
              <w:bottom w:val="single" w:sz="4" w:space="0" w:color="auto"/>
              <w:right w:val="single" w:sz="4" w:space="0" w:color="auto"/>
            </w:tcBorders>
          </w:tcPr>
          <w:p w14:paraId="65701A68" w14:textId="47969E93" w:rsidR="00265766" w:rsidRPr="009E686F" w:rsidRDefault="00265766" w:rsidP="00265766">
            <w:pPr>
              <w:spacing w:after="0"/>
              <w:jc w:val="both"/>
              <w:rPr>
                <w:rFonts w:ascii="Times New Roman" w:hAnsi="Times New Roman" w:cs="Times New Roman"/>
                <w:b/>
                <w:i/>
                <w:lang w:val="it-CH"/>
              </w:rPr>
            </w:pPr>
            <w:r w:rsidRPr="009E686F">
              <w:rPr>
                <w:rFonts w:ascii="Times New Roman" w:eastAsia="Aptos" w:hAnsi="Times New Roman" w:cs="Times New Roman"/>
                <w:i/>
                <w:iCs/>
                <w:kern w:val="2"/>
                <w:lang w:val="ro-MD"/>
              </w:rPr>
              <w:t>(6) Sucursalele din state terțe care efectuează operațiuni back-to-back sau intragrup trebuie să dispună de resurse adecvate pentru a identifica și a gestiona în mod corespunzător propriul risc de credit al contrapărții în cazul în care riscurile semnificative asociate activelor contabilizate de sucursala dintr-un stat terț sunt transferate contrapărții.</w:t>
            </w:r>
          </w:p>
        </w:tc>
        <w:tc>
          <w:tcPr>
            <w:tcW w:w="470" w:type="pct"/>
            <w:tcBorders>
              <w:top w:val="single" w:sz="4" w:space="0" w:color="auto"/>
              <w:left w:val="single" w:sz="4" w:space="0" w:color="auto"/>
              <w:bottom w:val="single" w:sz="4" w:space="0" w:color="auto"/>
              <w:right w:val="single" w:sz="4" w:space="0" w:color="auto"/>
            </w:tcBorders>
          </w:tcPr>
          <w:p w14:paraId="18B1F614" w14:textId="15C2AE78" w:rsidR="00265766" w:rsidRPr="009E686F" w:rsidRDefault="00265766" w:rsidP="00265766">
            <w:pPr>
              <w:jc w:val="both"/>
              <w:rPr>
                <w:rFonts w:ascii="Times New Roman" w:hAnsi="Times New Roman" w:cs="Times New Roman"/>
                <w:lang w:val="it-IT"/>
              </w:rPr>
            </w:pPr>
            <w:r w:rsidRPr="009E686F">
              <w:rPr>
                <w:rFonts w:ascii="Times New Roman" w:hAnsi="Times New Roman" w:cs="Times New Roman"/>
                <w:lang w:val="it-IT"/>
              </w:rPr>
              <w:t>Compatibil</w:t>
            </w:r>
          </w:p>
        </w:tc>
        <w:tc>
          <w:tcPr>
            <w:tcW w:w="806" w:type="pct"/>
            <w:tcBorders>
              <w:top w:val="single" w:sz="4" w:space="0" w:color="auto"/>
              <w:left w:val="single" w:sz="4" w:space="0" w:color="auto"/>
              <w:bottom w:val="single" w:sz="4" w:space="0" w:color="auto"/>
              <w:right w:val="single" w:sz="4" w:space="0" w:color="auto"/>
            </w:tcBorders>
          </w:tcPr>
          <w:p w14:paraId="2B08A9F3" w14:textId="77777777" w:rsidR="00F578E3" w:rsidRPr="009E686F" w:rsidRDefault="00F578E3" w:rsidP="00F578E3">
            <w:r w:rsidRPr="009E686F">
              <w:rPr>
                <w:rFonts w:ascii="Times New Roman" w:hAnsi="Times New Roman" w:cs="Times New Roman"/>
                <w:lang w:val="ro-RO"/>
              </w:rPr>
              <w:t>În vigoare – data aderării.</w:t>
            </w:r>
          </w:p>
          <w:p w14:paraId="7E3A1F20" w14:textId="77777777" w:rsidR="00265766" w:rsidRPr="009E686F" w:rsidRDefault="00265766" w:rsidP="00265766">
            <w:pPr>
              <w:spacing w:after="0"/>
              <w:jc w:val="both"/>
              <w:rPr>
                <w:rFonts w:ascii="Times New Roman" w:hAnsi="Times New Roman" w:cs="Times New Roman"/>
                <w:lang w:val="it-IT"/>
              </w:rPr>
            </w:pPr>
          </w:p>
        </w:tc>
      </w:tr>
      <w:tr w:rsidR="00265766" w:rsidRPr="009E686F" w14:paraId="52DB4A65" w14:textId="77777777" w:rsidTr="00960C23">
        <w:tc>
          <w:tcPr>
            <w:tcW w:w="1890" w:type="pct"/>
            <w:tcBorders>
              <w:top w:val="single" w:sz="4" w:space="0" w:color="auto"/>
              <w:left w:val="single" w:sz="4" w:space="0" w:color="auto"/>
              <w:bottom w:val="single" w:sz="4" w:space="0" w:color="auto"/>
              <w:right w:val="single" w:sz="4" w:space="0" w:color="auto"/>
            </w:tcBorders>
          </w:tcPr>
          <w:p w14:paraId="434DBE56" w14:textId="3FED06AF"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(7) În cazul în care funcțiile critice sau importante ale sucursalei dintr-o țară terță sunt îndeplinite de întreprinderea sa principală, respectivele funcții se exercită în conformitate cu acordurile interne sau cu acordurile intragrup. Autoritățile competente responsabile cu supravegherea sucursalelor din țări terțe au acces la toate informațiile de care au nevoie pentru a-și exercita funcția de supraveghere.</w:t>
            </w:r>
          </w:p>
        </w:tc>
        <w:tc>
          <w:tcPr>
            <w:tcW w:w="1834" w:type="pct"/>
            <w:tcBorders>
              <w:top w:val="single" w:sz="4" w:space="0" w:color="auto"/>
              <w:left w:val="single" w:sz="4" w:space="0" w:color="auto"/>
              <w:bottom w:val="single" w:sz="4" w:space="0" w:color="auto"/>
              <w:right w:val="single" w:sz="4" w:space="0" w:color="auto"/>
            </w:tcBorders>
          </w:tcPr>
          <w:p w14:paraId="43469FA1" w14:textId="37DE18C4" w:rsidR="00265766" w:rsidRPr="009E686F" w:rsidRDefault="00265766" w:rsidP="00265766">
            <w:pPr>
              <w:spacing w:after="0"/>
              <w:jc w:val="both"/>
              <w:rPr>
                <w:rFonts w:ascii="Times New Roman" w:hAnsi="Times New Roman" w:cs="Times New Roman"/>
                <w:b/>
                <w:i/>
                <w:lang w:val="it-CH"/>
              </w:rPr>
            </w:pPr>
            <w:r w:rsidRPr="009E686F">
              <w:rPr>
                <w:rFonts w:ascii="Times New Roman" w:eastAsia="Aptos" w:hAnsi="Times New Roman" w:cs="Times New Roman"/>
                <w:i/>
                <w:iCs/>
                <w:kern w:val="2"/>
                <w:lang w:val="ro-MD"/>
              </w:rPr>
              <w:t>(7) Sucursalele din state terțe exercită activitățile de importanță materială în conformitate cu acordurile interne sau cu acordurile intragrup, în cazul în care aceste funcții sunt îndeplinite de întreprinderea sa principală și transmite informațiile necesare exercitării funcției de supraveghere Băncii Naționale a Moldovei.</w:t>
            </w:r>
          </w:p>
        </w:tc>
        <w:tc>
          <w:tcPr>
            <w:tcW w:w="470" w:type="pct"/>
            <w:tcBorders>
              <w:top w:val="single" w:sz="4" w:space="0" w:color="auto"/>
              <w:left w:val="single" w:sz="4" w:space="0" w:color="auto"/>
              <w:bottom w:val="single" w:sz="4" w:space="0" w:color="auto"/>
              <w:right w:val="single" w:sz="4" w:space="0" w:color="auto"/>
            </w:tcBorders>
          </w:tcPr>
          <w:p w14:paraId="0766CC04" w14:textId="1D886CCD" w:rsidR="00265766" w:rsidRPr="009E686F" w:rsidRDefault="00265766" w:rsidP="00265766">
            <w:pPr>
              <w:jc w:val="both"/>
              <w:rPr>
                <w:rFonts w:ascii="Times New Roman" w:hAnsi="Times New Roman" w:cs="Times New Roman"/>
                <w:lang w:val="it-IT"/>
              </w:rPr>
            </w:pPr>
            <w:r w:rsidRPr="009E686F">
              <w:rPr>
                <w:rFonts w:ascii="Times New Roman" w:hAnsi="Times New Roman" w:cs="Times New Roman"/>
                <w:lang w:val="it-IT"/>
              </w:rPr>
              <w:t>Compatibil</w:t>
            </w:r>
          </w:p>
        </w:tc>
        <w:tc>
          <w:tcPr>
            <w:tcW w:w="806" w:type="pct"/>
            <w:tcBorders>
              <w:top w:val="single" w:sz="4" w:space="0" w:color="auto"/>
              <w:left w:val="single" w:sz="4" w:space="0" w:color="auto"/>
              <w:bottom w:val="single" w:sz="4" w:space="0" w:color="auto"/>
              <w:right w:val="single" w:sz="4" w:space="0" w:color="auto"/>
            </w:tcBorders>
          </w:tcPr>
          <w:p w14:paraId="42809020" w14:textId="77777777" w:rsidR="00F578E3" w:rsidRPr="009E686F" w:rsidRDefault="00F578E3" w:rsidP="00F578E3">
            <w:r w:rsidRPr="009E686F">
              <w:rPr>
                <w:rFonts w:ascii="Times New Roman" w:hAnsi="Times New Roman" w:cs="Times New Roman"/>
                <w:lang w:val="ro-RO"/>
              </w:rPr>
              <w:t>În vigoare – data aderării.</w:t>
            </w:r>
          </w:p>
          <w:p w14:paraId="0DAD77D8" w14:textId="77777777" w:rsidR="00265766" w:rsidRPr="009E686F" w:rsidRDefault="00265766" w:rsidP="00265766">
            <w:pPr>
              <w:spacing w:after="0"/>
              <w:jc w:val="both"/>
              <w:rPr>
                <w:rFonts w:ascii="Times New Roman" w:hAnsi="Times New Roman" w:cs="Times New Roman"/>
                <w:lang w:val="it-IT"/>
              </w:rPr>
            </w:pPr>
          </w:p>
        </w:tc>
      </w:tr>
      <w:tr w:rsidR="00265766" w:rsidRPr="009E686F" w14:paraId="376D25E6" w14:textId="77777777" w:rsidTr="00960C23">
        <w:tc>
          <w:tcPr>
            <w:tcW w:w="1890" w:type="pct"/>
            <w:tcBorders>
              <w:top w:val="single" w:sz="4" w:space="0" w:color="auto"/>
              <w:left w:val="single" w:sz="4" w:space="0" w:color="auto"/>
              <w:bottom w:val="single" w:sz="4" w:space="0" w:color="auto"/>
              <w:right w:val="single" w:sz="4" w:space="0" w:color="auto"/>
            </w:tcBorders>
          </w:tcPr>
          <w:p w14:paraId="7B02CCE6" w14:textId="72CE5C67" w:rsidR="00265766" w:rsidRPr="009E686F" w:rsidRDefault="00265766" w:rsidP="00265766">
            <w:pPr>
              <w:spacing w:after="0"/>
              <w:jc w:val="both"/>
              <w:rPr>
                <w:rFonts w:ascii="Times New Roman" w:hAnsi="Times New Roman" w:cs="Times New Roman"/>
              </w:rPr>
            </w:pPr>
            <w:r w:rsidRPr="009E686F">
              <w:rPr>
                <w:rFonts w:ascii="Times New Roman" w:hAnsi="Times New Roman" w:cs="Times New Roman"/>
              </w:rPr>
              <w:t>(8) Autoritățile competente prevăd obligația ca un terț independent să evalueze periodic punerea în aplicare și respectarea continuă de către sucursala dintr-o țară terță a cerințelor prevăzute la prezentul articol și să transmită autorității competente un raport care să includă constatările și concluziile sale.</w:t>
            </w:r>
          </w:p>
        </w:tc>
        <w:tc>
          <w:tcPr>
            <w:tcW w:w="1834" w:type="pct"/>
            <w:tcBorders>
              <w:top w:val="single" w:sz="4" w:space="0" w:color="auto"/>
              <w:left w:val="single" w:sz="4" w:space="0" w:color="auto"/>
              <w:bottom w:val="single" w:sz="4" w:space="0" w:color="auto"/>
              <w:right w:val="single" w:sz="4" w:space="0" w:color="auto"/>
            </w:tcBorders>
          </w:tcPr>
          <w:p w14:paraId="619842F2" w14:textId="05C21F96" w:rsidR="00265766" w:rsidRPr="009E686F" w:rsidRDefault="00265766" w:rsidP="00265766">
            <w:pPr>
              <w:spacing w:after="0"/>
              <w:jc w:val="both"/>
              <w:rPr>
                <w:rFonts w:ascii="Times New Roman" w:hAnsi="Times New Roman" w:cs="Times New Roman"/>
                <w:b/>
                <w:i/>
                <w:iCs/>
              </w:rPr>
            </w:pPr>
            <w:r w:rsidRPr="009E686F">
              <w:rPr>
                <w:rFonts w:ascii="Times New Roman" w:eastAsia="Aptos" w:hAnsi="Times New Roman" w:cs="Times New Roman"/>
                <w:i/>
                <w:iCs/>
                <w:kern w:val="2"/>
                <w:lang w:val="ro-MD"/>
              </w:rPr>
              <w:t>(8) Sucursala dintr-un stat terț trebuie să se asigure că o entitate de audit agreată de Banca Națională a Moldovei evaluează periodic punerea în aplicare și respectarea continuă de către sucursala dintr-un stat terț a cerințelor prevăzute la prezentul articol și să transmită Băncii Naționale a Moldovei un raport care să includă constatările și concluziile acestei entități</w:t>
            </w:r>
            <w:r w:rsidRPr="009E686F">
              <w:t xml:space="preserve"> </w:t>
            </w:r>
            <w:r w:rsidRPr="009E686F">
              <w:rPr>
                <w:rFonts w:ascii="Times New Roman" w:eastAsia="Aptos" w:hAnsi="Times New Roman" w:cs="Times New Roman"/>
                <w:i/>
                <w:iCs/>
                <w:kern w:val="2"/>
                <w:lang w:val="ro-MD"/>
              </w:rPr>
              <w:t>în condițiile și termenele stabilite în actele normative emise în aplicarea prezentei legi.  .</w:t>
            </w:r>
          </w:p>
        </w:tc>
        <w:tc>
          <w:tcPr>
            <w:tcW w:w="470" w:type="pct"/>
            <w:tcBorders>
              <w:top w:val="single" w:sz="4" w:space="0" w:color="auto"/>
              <w:left w:val="single" w:sz="4" w:space="0" w:color="auto"/>
              <w:bottom w:val="single" w:sz="4" w:space="0" w:color="auto"/>
              <w:right w:val="single" w:sz="4" w:space="0" w:color="auto"/>
            </w:tcBorders>
          </w:tcPr>
          <w:p w14:paraId="294D2312" w14:textId="3230003E" w:rsidR="00265766" w:rsidRPr="009E686F" w:rsidRDefault="00265766" w:rsidP="00265766">
            <w:pPr>
              <w:jc w:val="both"/>
              <w:rPr>
                <w:rFonts w:ascii="Times New Roman" w:hAnsi="Times New Roman" w:cs="Times New Roman"/>
                <w:lang w:val="it-IT"/>
              </w:rPr>
            </w:pPr>
            <w:r w:rsidRPr="009E686F">
              <w:rPr>
                <w:rFonts w:ascii="Times New Roman" w:hAnsi="Times New Roman" w:cs="Times New Roman"/>
                <w:lang w:val="it-IT"/>
              </w:rPr>
              <w:t>Compatibil</w:t>
            </w:r>
          </w:p>
        </w:tc>
        <w:tc>
          <w:tcPr>
            <w:tcW w:w="806" w:type="pct"/>
            <w:tcBorders>
              <w:top w:val="single" w:sz="4" w:space="0" w:color="auto"/>
              <w:left w:val="single" w:sz="4" w:space="0" w:color="auto"/>
              <w:bottom w:val="single" w:sz="4" w:space="0" w:color="auto"/>
              <w:right w:val="single" w:sz="4" w:space="0" w:color="auto"/>
            </w:tcBorders>
          </w:tcPr>
          <w:p w14:paraId="6BD59E46" w14:textId="77777777" w:rsidR="00F578E3" w:rsidRPr="009E686F" w:rsidRDefault="00F578E3" w:rsidP="00F578E3">
            <w:r w:rsidRPr="009E686F">
              <w:rPr>
                <w:rFonts w:ascii="Times New Roman" w:hAnsi="Times New Roman" w:cs="Times New Roman"/>
                <w:lang w:val="ro-RO"/>
              </w:rPr>
              <w:t>În vigoare – data aderării.</w:t>
            </w:r>
          </w:p>
          <w:p w14:paraId="0F472543" w14:textId="77777777" w:rsidR="00265766" w:rsidRPr="009E686F" w:rsidRDefault="00265766" w:rsidP="00265766">
            <w:pPr>
              <w:spacing w:after="0"/>
              <w:jc w:val="both"/>
              <w:rPr>
                <w:rFonts w:ascii="Times New Roman" w:hAnsi="Times New Roman" w:cs="Times New Roman"/>
                <w:lang w:val="it-IT"/>
              </w:rPr>
            </w:pPr>
          </w:p>
        </w:tc>
      </w:tr>
      <w:tr w:rsidR="00265766" w:rsidRPr="009E686F" w14:paraId="63143005" w14:textId="77777777" w:rsidTr="00960C23">
        <w:tc>
          <w:tcPr>
            <w:tcW w:w="1890" w:type="pct"/>
            <w:tcBorders>
              <w:top w:val="single" w:sz="4" w:space="0" w:color="auto"/>
              <w:left w:val="single" w:sz="4" w:space="0" w:color="auto"/>
              <w:bottom w:val="single" w:sz="4" w:space="0" w:color="auto"/>
              <w:right w:val="single" w:sz="4" w:space="0" w:color="auto"/>
            </w:tcBorders>
          </w:tcPr>
          <w:p w14:paraId="7AABAC8F" w14:textId="70A444E0" w:rsidR="00265766" w:rsidRPr="009E686F" w:rsidRDefault="00265766" w:rsidP="00265766">
            <w:pPr>
              <w:spacing w:after="0"/>
              <w:jc w:val="both"/>
              <w:rPr>
                <w:rFonts w:ascii="Times New Roman" w:hAnsi="Times New Roman" w:cs="Times New Roman"/>
              </w:rPr>
            </w:pPr>
            <w:r w:rsidRPr="009E686F">
              <w:rPr>
                <w:rFonts w:ascii="Times New Roman" w:hAnsi="Times New Roman" w:cs="Times New Roman"/>
              </w:rPr>
              <w:t xml:space="preserve">(9) Până la 10 ianuarie 2027, ABE emite ghiduri, în conformitate cu articolul 16 din Regulamentul (UE) nr. 1093/2010, cu privire la aplicarea, în cazul sucursalelor din țări terțe, a cadrului, proceselor și mecanismelor menționate la </w:t>
            </w:r>
            <w:r w:rsidRPr="009E686F">
              <w:rPr>
                <w:rFonts w:ascii="Times New Roman" w:hAnsi="Times New Roman" w:cs="Times New Roman"/>
              </w:rPr>
              <w:lastRenderedPageBreak/>
              <w:t>articolul 74 alineatul (1) din prezenta directivă, ținând seama de articolul 74 alineatul (2), și cu privire la aplicarea, în cazul sucursalelor din țări terțe, a articolului 75 și a articolului 76 alineatele (5) și (6) din prezenta directivă.</w:t>
            </w:r>
          </w:p>
        </w:tc>
        <w:tc>
          <w:tcPr>
            <w:tcW w:w="1834" w:type="pct"/>
            <w:tcBorders>
              <w:top w:val="single" w:sz="4" w:space="0" w:color="auto"/>
              <w:left w:val="single" w:sz="4" w:space="0" w:color="auto"/>
              <w:bottom w:val="single" w:sz="4" w:space="0" w:color="auto"/>
              <w:right w:val="single" w:sz="4" w:space="0" w:color="auto"/>
            </w:tcBorders>
          </w:tcPr>
          <w:p w14:paraId="71DD57E2" w14:textId="77777777" w:rsidR="00265766" w:rsidRPr="009E686F" w:rsidRDefault="00265766" w:rsidP="00265766">
            <w:pPr>
              <w:spacing w:after="0"/>
              <w:jc w:val="both"/>
              <w:rPr>
                <w:rFonts w:ascii="Times New Roman" w:hAnsi="Times New Roman" w:cs="Times New Roman"/>
                <w:b/>
              </w:rPr>
            </w:pPr>
          </w:p>
        </w:tc>
        <w:tc>
          <w:tcPr>
            <w:tcW w:w="470" w:type="pct"/>
            <w:tcBorders>
              <w:top w:val="single" w:sz="4" w:space="0" w:color="auto"/>
              <w:left w:val="single" w:sz="4" w:space="0" w:color="auto"/>
              <w:bottom w:val="single" w:sz="4" w:space="0" w:color="auto"/>
              <w:right w:val="single" w:sz="4" w:space="0" w:color="auto"/>
            </w:tcBorders>
          </w:tcPr>
          <w:p w14:paraId="53816D8A" w14:textId="248EE17B" w:rsidR="00265766" w:rsidRPr="009E686F" w:rsidRDefault="00265766" w:rsidP="00265766">
            <w:pPr>
              <w:jc w:val="both"/>
              <w:rPr>
                <w:rFonts w:ascii="Times New Roman" w:hAnsi="Times New Roman" w:cs="Times New Roman"/>
                <w:lang w:val="it-IT"/>
              </w:rPr>
            </w:pPr>
            <w:r w:rsidRPr="009E686F">
              <w:rPr>
                <w:rFonts w:ascii="Times New Roman" w:hAnsi="Times New Roman" w:cs="Times New Roman"/>
                <w:lang w:val="ro-MD"/>
              </w:rPr>
              <w:t>Norme UE neaplicabile</w:t>
            </w:r>
          </w:p>
        </w:tc>
        <w:tc>
          <w:tcPr>
            <w:tcW w:w="806" w:type="pct"/>
            <w:tcBorders>
              <w:top w:val="single" w:sz="4" w:space="0" w:color="auto"/>
              <w:left w:val="single" w:sz="4" w:space="0" w:color="auto"/>
              <w:bottom w:val="single" w:sz="4" w:space="0" w:color="auto"/>
              <w:right w:val="single" w:sz="4" w:space="0" w:color="auto"/>
            </w:tcBorders>
          </w:tcPr>
          <w:p w14:paraId="27542B77" w14:textId="186CE1C9" w:rsidR="00265766" w:rsidRPr="009E686F" w:rsidRDefault="00265766" w:rsidP="00265766">
            <w:pPr>
              <w:spacing w:after="0"/>
              <w:jc w:val="both"/>
              <w:rPr>
                <w:rFonts w:ascii="Times New Roman" w:hAnsi="Times New Roman" w:cs="Times New Roman"/>
                <w:lang w:val="it-IT"/>
              </w:rPr>
            </w:pPr>
            <w:r w:rsidRPr="009E686F">
              <w:rPr>
                <w:rFonts w:ascii="Times New Roman" w:hAnsi="Times New Roman" w:cs="Times New Roman"/>
                <w:lang w:val="ro-MD"/>
              </w:rPr>
              <w:t>Se referă la competențele ABE.</w:t>
            </w:r>
          </w:p>
        </w:tc>
      </w:tr>
      <w:tr w:rsidR="003C05DB" w:rsidRPr="009E686F" w14:paraId="75F3F69A" w14:textId="77777777" w:rsidTr="00CC3636">
        <w:tc>
          <w:tcPr>
            <w:tcW w:w="1890" w:type="pct"/>
            <w:tcBorders>
              <w:top w:val="single" w:sz="4" w:space="0" w:color="auto"/>
              <w:left w:val="single" w:sz="4" w:space="0" w:color="auto"/>
              <w:bottom w:val="single" w:sz="4" w:space="0" w:color="auto"/>
              <w:right w:val="single" w:sz="4" w:space="0" w:color="auto"/>
            </w:tcBorders>
          </w:tcPr>
          <w:p w14:paraId="42EE20DB" w14:textId="77777777" w:rsidR="003C05DB" w:rsidRPr="009E686F" w:rsidRDefault="003C05DB" w:rsidP="00265766">
            <w:pPr>
              <w:spacing w:after="0"/>
              <w:jc w:val="both"/>
              <w:rPr>
                <w:rFonts w:ascii="Times New Roman" w:hAnsi="Times New Roman" w:cs="Times New Roman"/>
                <w:i/>
                <w:iCs/>
                <w:lang w:val="pt-BR"/>
              </w:rPr>
            </w:pPr>
            <w:r w:rsidRPr="009E686F">
              <w:rPr>
                <w:rFonts w:ascii="Times New Roman" w:hAnsi="Times New Roman" w:cs="Times New Roman"/>
                <w:i/>
                <w:iCs/>
                <w:lang w:val="pt-BR"/>
              </w:rPr>
              <w:t xml:space="preserve">Articolul 48h </w:t>
            </w:r>
          </w:p>
          <w:p w14:paraId="6A37E44F" w14:textId="628FD513" w:rsidR="003C05DB" w:rsidRPr="009E686F" w:rsidRDefault="003C05DB" w:rsidP="00265766">
            <w:pPr>
              <w:spacing w:after="0"/>
              <w:jc w:val="both"/>
              <w:rPr>
                <w:rFonts w:ascii="Times New Roman" w:hAnsi="Times New Roman" w:cs="Times New Roman"/>
                <w:lang w:val="pt-BR"/>
              </w:rPr>
            </w:pPr>
            <w:r w:rsidRPr="009E686F">
              <w:rPr>
                <w:rFonts w:ascii="Times New Roman" w:hAnsi="Times New Roman" w:cs="Times New Roman"/>
                <w:lang w:val="pt-BR"/>
              </w:rPr>
              <w:t>Cerințe de contabilizare</w:t>
            </w:r>
          </w:p>
        </w:tc>
        <w:tc>
          <w:tcPr>
            <w:tcW w:w="1834" w:type="pct"/>
            <w:tcBorders>
              <w:top w:val="single" w:sz="4" w:space="0" w:color="auto"/>
              <w:left w:val="single" w:sz="4" w:space="0" w:color="auto"/>
              <w:bottom w:val="single" w:sz="4" w:space="0" w:color="auto"/>
              <w:right w:val="single" w:sz="4" w:space="0" w:color="auto"/>
            </w:tcBorders>
          </w:tcPr>
          <w:p w14:paraId="3E622934" w14:textId="77777777" w:rsidR="003C05DB" w:rsidRPr="009E686F" w:rsidRDefault="003C05DB" w:rsidP="00265766">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b/>
                <w:bCs/>
                <w:kern w:val="2"/>
                <w:lang w:val="ro-MD"/>
              </w:rPr>
              <w:t>Articolul 94</w:t>
            </w:r>
            <w:r w:rsidRPr="009E686F">
              <w:rPr>
                <w:rFonts w:ascii="Times New Roman" w:eastAsia="Aptos" w:hAnsi="Times New Roman" w:cs="Times New Roman"/>
                <w:b/>
                <w:bCs/>
                <w:kern w:val="2"/>
                <w:vertAlign w:val="superscript"/>
                <w:lang w:val="ro-MD"/>
              </w:rPr>
              <w:t>4</w:t>
            </w:r>
            <w:r w:rsidRPr="009E686F">
              <w:rPr>
                <w:rFonts w:ascii="Times New Roman" w:eastAsia="Aptos" w:hAnsi="Times New Roman" w:cs="Times New Roman"/>
                <w:b/>
                <w:bCs/>
                <w:kern w:val="2"/>
                <w:lang w:val="ro-MD"/>
              </w:rPr>
              <w:t xml:space="preserve">. </w:t>
            </w:r>
            <w:r w:rsidRPr="009E686F">
              <w:rPr>
                <w:rFonts w:ascii="Times New Roman" w:eastAsia="Aptos" w:hAnsi="Times New Roman" w:cs="Times New Roman"/>
                <w:i/>
                <w:iCs/>
                <w:kern w:val="2"/>
                <w:lang w:val="ro-MD"/>
              </w:rPr>
              <w:t>Cerințe de contabilizare</w:t>
            </w:r>
            <w:r w:rsidRPr="009E686F">
              <w:rPr>
                <w:rFonts w:ascii="Times New Roman" w:eastAsia="Aptos" w:hAnsi="Times New Roman" w:cs="Times New Roman"/>
                <w:kern w:val="2"/>
                <w:lang w:val="ro-MD"/>
              </w:rPr>
              <w:t xml:space="preserve"> </w:t>
            </w:r>
          </w:p>
          <w:p w14:paraId="66382838" w14:textId="77777777" w:rsidR="003C05DB" w:rsidRPr="009E686F" w:rsidRDefault="003C05DB" w:rsidP="00265766">
            <w:pPr>
              <w:spacing w:after="0"/>
              <w:jc w:val="both"/>
              <w:rPr>
                <w:rFonts w:ascii="Times New Roman" w:hAnsi="Times New Roman" w:cs="Times New Roman"/>
                <w:b/>
                <w:lang w:val="pt-BR"/>
              </w:rPr>
            </w:pPr>
          </w:p>
        </w:tc>
        <w:tc>
          <w:tcPr>
            <w:tcW w:w="470" w:type="pct"/>
            <w:tcBorders>
              <w:top w:val="single" w:sz="4" w:space="0" w:color="auto"/>
              <w:left w:val="single" w:sz="4" w:space="0" w:color="auto"/>
              <w:bottom w:val="single" w:sz="4" w:space="0" w:color="auto"/>
              <w:right w:val="single" w:sz="4" w:space="0" w:color="auto"/>
            </w:tcBorders>
          </w:tcPr>
          <w:p w14:paraId="136BE475" w14:textId="26907A88" w:rsidR="003C05DB" w:rsidRPr="009E686F" w:rsidRDefault="003C05DB" w:rsidP="00265766">
            <w:pPr>
              <w:jc w:val="both"/>
              <w:rPr>
                <w:rFonts w:ascii="Times New Roman" w:hAnsi="Times New Roman" w:cs="Times New Roman"/>
                <w:lang w:val="pt-BR"/>
              </w:rPr>
            </w:pPr>
            <w:r w:rsidRPr="009E686F">
              <w:rPr>
                <w:rFonts w:ascii="Times New Roman" w:hAnsi="Times New Roman" w:cs="Times New Roman"/>
                <w:lang w:val="it-IT"/>
              </w:rPr>
              <w:t>Compatibil</w:t>
            </w:r>
          </w:p>
        </w:tc>
        <w:tc>
          <w:tcPr>
            <w:tcW w:w="806" w:type="pct"/>
            <w:vMerge w:val="restart"/>
            <w:tcBorders>
              <w:top w:val="single" w:sz="4" w:space="0" w:color="auto"/>
              <w:left w:val="single" w:sz="4" w:space="0" w:color="auto"/>
              <w:right w:val="single" w:sz="4" w:space="0" w:color="auto"/>
            </w:tcBorders>
          </w:tcPr>
          <w:p w14:paraId="515E7C4E" w14:textId="77777777" w:rsidR="003C05DB" w:rsidRPr="009E686F" w:rsidRDefault="003C05DB" w:rsidP="003C05DB">
            <w:r w:rsidRPr="009E686F">
              <w:rPr>
                <w:rFonts w:ascii="Times New Roman" w:hAnsi="Times New Roman" w:cs="Times New Roman"/>
                <w:lang w:val="ro-RO"/>
              </w:rPr>
              <w:t>În vigoare – data aderării.</w:t>
            </w:r>
          </w:p>
          <w:p w14:paraId="2D281680" w14:textId="77777777" w:rsidR="003C05DB" w:rsidRPr="009E686F" w:rsidRDefault="003C05DB" w:rsidP="00265766">
            <w:pPr>
              <w:spacing w:after="0"/>
              <w:jc w:val="both"/>
              <w:rPr>
                <w:rFonts w:ascii="Times New Roman" w:hAnsi="Times New Roman" w:cs="Times New Roman"/>
                <w:lang w:val="pt-BR"/>
              </w:rPr>
            </w:pPr>
          </w:p>
        </w:tc>
      </w:tr>
      <w:tr w:rsidR="003C05DB" w:rsidRPr="009E686F" w14:paraId="71DEB621" w14:textId="77777777" w:rsidTr="00CC3636">
        <w:tc>
          <w:tcPr>
            <w:tcW w:w="1890" w:type="pct"/>
            <w:tcBorders>
              <w:top w:val="single" w:sz="4" w:space="0" w:color="auto"/>
              <w:left w:val="single" w:sz="4" w:space="0" w:color="auto"/>
              <w:bottom w:val="single" w:sz="4" w:space="0" w:color="auto"/>
              <w:right w:val="single" w:sz="4" w:space="0" w:color="auto"/>
            </w:tcBorders>
          </w:tcPr>
          <w:p w14:paraId="078EBC5B" w14:textId="6BB4E877" w:rsidR="003C05DB" w:rsidRPr="009E686F" w:rsidRDefault="003C05DB" w:rsidP="00265766">
            <w:pPr>
              <w:spacing w:after="0"/>
              <w:jc w:val="both"/>
              <w:rPr>
                <w:rFonts w:ascii="Times New Roman" w:hAnsi="Times New Roman" w:cs="Times New Roman"/>
              </w:rPr>
            </w:pPr>
            <w:r w:rsidRPr="009E686F">
              <w:rPr>
                <w:rFonts w:ascii="Times New Roman" w:hAnsi="Times New Roman" w:cs="Times New Roman"/>
              </w:rPr>
              <w:t>(1) Statele membre prevăd obligația ca sucursalele din țări terțe să țină un registru care să le permită sucursalelor respective din țări terțe să urmărească și să țină o evidență cuprinzătoare și precisă a tuturor activelor și pasivelor contabilizate sau inițiate de sucursala dintr-o țară terță în statul membru în cauză și să gestioneze activele și pasivele respective în mod autonom în cadrul sucursalei dintr-o țară terță. Registrul furnizează toate informațiile necesare și suficiente cu privire la riscurile generate de sucursala dintr-o țară terță și cu privire la modul în care acestea sunt gestionate.</w:t>
            </w:r>
          </w:p>
        </w:tc>
        <w:tc>
          <w:tcPr>
            <w:tcW w:w="1834" w:type="pct"/>
            <w:tcBorders>
              <w:top w:val="single" w:sz="4" w:space="0" w:color="auto"/>
              <w:left w:val="single" w:sz="4" w:space="0" w:color="auto"/>
              <w:bottom w:val="single" w:sz="4" w:space="0" w:color="auto"/>
              <w:right w:val="single" w:sz="4" w:space="0" w:color="auto"/>
            </w:tcBorders>
          </w:tcPr>
          <w:p w14:paraId="6FECB818" w14:textId="6852FF5F" w:rsidR="003C05DB" w:rsidRPr="009E686F" w:rsidRDefault="003C05DB" w:rsidP="00265766">
            <w:pPr>
              <w:spacing w:after="0"/>
              <w:jc w:val="both"/>
              <w:rPr>
                <w:rFonts w:ascii="Times New Roman" w:hAnsi="Times New Roman" w:cs="Times New Roman"/>
                <w:b/>
                <w:i/>
                <w:iCs/>
                <w:lang w:val="it-IT"/>
              </w:rPr>
            </w:pPr>
            <w:r w:rsidRPr="009E686F">
              <w:rPr>
                <w:rFonts w:ascii="Times New Roman" w:eastAsia="Aptos" w:hAnsi="Times New Roman" w:cs="Times New Roman"/>
                <w:i/>
                <w:iCs/>
                <w:kern w:val="2"/>
                <w:lang w:val="ro-MD"/>
              </w:rPr>
              <w:t>(1) Sucursalele din state terțe să țină un registru care să le permită acestora să urmărească și să țină o evidență cuprinzătoare și precisă a tuturor activelor și pasivelor contabilizate sau inițiate de sucursala dintr-un stat terț în Republica Moldova și să gestioneze activele și pasivele respective în mod autonom în cadrul sucursalei dintr-un stat terț. Registrul furnizează toate informațiile necesare și suficiente cu privire la riscurile generate de sucursala dintr-un stat terț și cu privire la modul în care acestea sunt gestionate.</w:t>
            </w:r>
          </w:p>
        </w:tc>
        <w:tc>
          <w:tcPr>
            <w:tcW w:w="470" w:type="pct"/>
            <w:tcBorders>
              <w:top w:val="single" w:sz="4" w:space="0" w:color="auto"/>
              <w:left w:val="single" w:sz="4" w:space="0" w:color="auto"/>
              <w:bottom w:val="single" w:sz="4" w:space="0" w:color="auto"/>
              <w:right w:val="single" w:sz="4" w:space="0" w:color="auto"/>
            </w:tcBorders>
          </w:tcPr>
          <w:p w14:paraId="675F6B60" w14:textId="5B10AA0D" w:rsidR="003C05DB" w:rsidRPr="009E686F" w:rsidRDefault="003C05DB" w:rsidP="00265766">
            <w:pPr>
              <w:jc w:val="both"/>
              <w:rPr>
                <w:rFonts w:ascii="Times New Roman" w:hAnsi="Times New Roman" w:cs="Times New Roman"/>
                <w:lang w:val="it-IT"/>
              </w:rPr>
            </w:pPr>
            <w:r w:rsidRPr="009E686F">
              <w:rPr>
                <w:rFonts w:ascii="Times New Roman" w:hAnsi="Times New Roman" w:cs="Times New Roman"/>
                <w:lang w:val="it-IT"/>
              </w:rPr>
              <w:t>Compatibil</w:t>
            </w:r>
          </w:p>
        </w:tc>
        <w:tc>
          <w:tcPr>
            <w:tcW w:w="806" w:type="pct"/>
            <w:vMerge/>
            <w:tcBorders>
              <w:left w:val="single" w:sz="4" w:space="0" w:color="auto"/>
              <w:bottom w:val="single" w:sz="4" w:space="0" w:color="auto"/>
              <w:right w:val="single" w:sz="4" w:space="0" w:color="auto"/>
            </w:tcBorders>
          </w:tcPr>
          <w:p w14:paraId="52A7290D" w14:textId="77777777" w:rsidR="003C05DB" w:rsidRPr="009E686F" w:rsidRDefault="003C05DB" w:rsidP="00265766">
            <w:pPr>
              <w:spacing w:after="0"/>
              <w:jc w:val="both"/>
              <w:rPr>
                <w:rFonts w:ascii="Times New Roman" w:hAnsi="Times New Roman" w:cs="Times New Roman"/>
                <w:lang w:val="it-IT"/>
              </w:rPr>
            </w:pPr>
          </w:p>
        </w:tc>
      </w:tr>
      <w:tr w:rsidR="00265766" w:rsidRPr="009E686F" w14:paraId="39CC6FC8" w14:textId="77777777" w:rsidTr="00960C23">
        <w:tc>
          <w:tcPr>
            <w:tcW w:w="1890" w:type="pct"/>
            <w:tcBorders>
              <w:top w:val="single" w:sz="4" w:space="0" w:color="auto"/>
              <w:left w:val="single" w:sz="4" w:space="0" w:color="auto"/>
              <w:bottom w:val="single" w:sz="4" w:space="0" w:color="auto"/>
              <w:right w:val="single" w:sz="4" w:space="0" w:color="auto"/>
            </w:tcBorders>
          </w:tcPr>
          <w:p w14:paraId="62981E8A" w14:textId="68A46B2B" w:rsidR="00265766" w:rsidRPr="009E686F" w:rsidRDefault="00265766" w:rsidP="00265766">
            <w:pPr>
              <w:spacing w:after="0"/>
              <w:jc w:val="both"/>
              <w:rPr>
                <w:rFonts w:ascii="Times New Roman" w:hAnsi="Times New Roman" w:cs="Times New Roman"/>
                <w:lang w:val="pt-BR"/>
              </w:rPr>
            </w:pPr>
            <w:r w:rsidRPr="009E686F">
              <w:rPr>
                <w:rFonts w:ascii="Times New Roman" w:hAnsi="Times New Roman" w:cs="Times New Roman"/>
                <w:lang w:val="it-CH"/>
              </w:rPr>
              <w:t xml:space="preserve">(2) Statele membre prevăd obligația ca sucursalele din țări terțe să elaboreze, precum și să revizuiască și să actualizeze periodic o politică privind modalitățile de contabilizare pentru gestionarea registrului menționat la alineatul (1). </w:t>
            </w:r>
            <w:r w:rsidRPr="009E686F">
              <w:rPr>
                <w:rFonts w:ascii="Times New Roman" w:hAnsi="Times New Roman" w:cs="Times New Roman"/>
                <w:lang w:val="pt-BR"/>
              </w:rPr>
              <w:t>O astfel de politică este documentată și aprobată de organismul de conducere relevant al întreprinderii principale. Politica oferă o justificare clară a modalităților de contabilizare și stabilește în ce fel se aliniază modalitățile respective la strategia de afaceri a sucursalei dintr-o țară terță.</w:t>
            </w:r>
          </w:p>
        </w:tc>
        <w:tc>
          <w:tcPr>
            <w:tcW w:w="1834" w:type="pct"/>
            <w:tcBorders>
              <w:top w:val="single" w:sz="4" w:space="0" w:color="auto"/>
              <w:left w:val="single" w:sz="4" w:space="0" w:color="auto"/>
              <w:bottom w:val="single" w:sz="4" w:space="0" w:color="auto"/>
              <w:right w:val="single" w:sz="4" w:space="0" w:color="auto"/>
            </w:tcBorders>
          </w:tcPr>
          <w:p w14:paraId="0F4F5DF6" w14:textId="034264E9" w:rsidR="00265766" w:rsidRPr="009E686F" w:rsidRDefault="00265766" w:rsidP="00265766">
            <w:pPr>
              <w:spacing w:after="0"/>
              <w:jc w:val="both"/>
              <w:rPr>
                <w:rFonts w:ascii="Times New Roman" w:hAnsi="Times New Roman" w:cs="Times New Roman"/>
                <w:b/>
                <w:i/>
                <w:iCs/>
                <w:lang w:val="ro-MD"/>
              </w:rPr>
            </w:pPr>
            <w:r w:rsidRPr="009E686F">
              <w:rPr>
                <w:rFonts w:ascii="Times New Roman" w:eastAsia="Aptos" w:hAnsi="Times New Roman" w:cs="Times New Roman"/>
                <w:i/>
                <w:iCs/>
                <w:kern w:val="2"/>
                <w:lang w:val="ro-MD"/>
              </w:rPr>
              <w:t xml:space="preserve">(2) Sucursalele din state terțe trebuie să dispună, precum și să revizuiască și să actualizeze periodic o politică privind modalitățile de contabilizare pentru gestionarea registrului menționat la alin. (1), documentată și aprobată de </w:t>
            </w:r>
            <w:r w:rsidR="00925B4E" w:rsidRPr="009E686F">
              <w:rPr>
                <w:rFonts w:ascii="Times New Roman" w:eastAsia="Aptos" w:hAnsi="Times New Roman" w:cs="Times New Roman"/>
                <w:i/>
                <w:iCs/>
                <w:kern w:val="2"/>
                <w:lang w:val="ro-MD"/>
              </w:rPr>
              <w:t xml:space="preserve">organul </w:t>
            </w:r>
            <w:r w:rsidRPr="009E686F">
              <w:rPr>
                <w:rFonts w:ascii="Times New Roman" w:eastAsia="Aptos" w:hAnsi="Times New Roman" w:cs="Times New Roman"/>
                <w:i/>
                <w:iCs/>
                <w:kern w:val="2"/>
                <w:lang w:val="ro-MD"/>
              </w:rPr>
              <w:t>de conducere relevant al întreprinderii principale. Politica respectivă trebuie să ofere o justificare clară a modalităților de contabilizare și să stabilească alinierea modalităților respective la strategia de afaceri a sucursalei dintr-un stat terț.</w:t>
            </w:r>
          </w:p>
        </w:tc>
        <w:tc>
          <w:tcPr>
            <w:tcW w:w="470" w:type="pct"/>
            <w:tcBorders>
              <w:top w:val="single" w:sz="4" w:space="0" w:color="auto"/>
              <w:left w:val="single" w:sz="4" w:space="0" w:color="auto"/>
              <w:bottom w:val="single" w:sz="4" w:space="0" w:color="auto"/>
              <w:right w:val="single" w:sz="4" w:space="0" w:color="auto"/>
            </w:tcBorders>
          </w:tcPr>
          <w:p w14:paraId="72D460A9" w14:textId="0FB97FC3" w:rsidR="00265766" w:rsidRPr="009E686F" w:rsidRDefault="00265766" w:rsidP="00265766">
            <w:pPr>
              <w:jc w:val="both"/>
              <w:rPr>
                <w:rFonts w:ascii="Times New Roman" w:hAnsi="Times New Roman" w:cs="Times New Roman"/>
                <w:lang w:val="ro-MD"/>
              </w:rPr>
            </w:pPr>
            <w:r w:rsidRPr="009E686F">
              <w:rPr>
                <w:rFonts w:ascii="Times New Roman" w:hAnsi="Times New Roman" w:cs="Times New Roman"/>
                <w:lang w:val="it-IT"/>
              </w:rPr>
              <w:t>Compatibil</w:t>
            </w:r>
          </w:p>
        </w:tc>
        <w:tc>
          <w:tcPr>
            <w:tcW w:w="806" w:type="pct"/>
            <w:tcBorders>
              <w:top w:val="single" w:sz="4" w:space="0" w:color="auto"/>
              <w:left w:val="single" w:sz="4" w:space="0" w:color="auto"/>
              <w:bottom w:val="single" w:sz="4" w:space="0" w:color="auto"/>
              <w:right w:val="single" w:sz="4" w:space="0" w:color="auto"/>
            </w:tcBorders>
          </w:tcPr>
          <w:p w14:paraId="4A5A9204" w14:textId="77777777" w:rsidR="003C05DB" w:rsidRPr="009E686F" w:rsidRDefault="003C05DB" w:rsidP="003C05DB">
            <w:r w:rsidRPr="009E686F">
              <w:rPr>
                <w:rFonts w:ascii="Times New Roman" w:hAnsi="Times New Roman" w:cs="Times New Roman"/>
                <w:lang w:val="ro-RO"/>
              </w:rPr>
              <w:t>În vigoare – data aderării.</w:t>
            </w:r>
          </w:p>
          <w:p w14:paraId="588D24DF" w14:textId="77777777" w:rsidR="00265766" w:rsidRPr="009E686F" w:rsidRDefault="00265766" w:rsidP="00265766">
            <w:pPr>
              <w:spacing w:after="0"/>
              <w:jc w:val="both"/>
              <w:rPr>
                <w:rFonts w:ascii="Times New Roman" w:hAnsi="Times New Roman" w:cs="Times New Roman"/>
                <w:lang w:val="ro-MD"/>
              </w:rPr>
            </w:pPr>
          </w:p>
        </w:tc>
      </w:tr>
      <w:tr w:rsidR="00265766" w:rsidRPr="009E686F" w14:paraId="2D696A35" w14:textId="77777777" w:rsidTr="00960C23">
        <w:tc>
          <w:tcPr>
            <w:tcW w:w="1890" w:type="pct"/>
            <w:tcBorders>
              <w:top w:val="single" w:sz="4" w:space="0" w:color="auto"/>
              <w:left w:val="single" w:sz="4" w:space="0" w:color="auto"/>
              <w:bottom w:val="single" w:sz="4" w:space="0" w:color="auto"/>
              <w:right w:val="single" w:sz="4" w:space="0" w:color="auto"/>
            </w:tcBorders>
          </w:tcPr>
          <w:p w14:paraId="1FFA3774" w14:textId="56DCC174" w:rsidR="00265766" w:rsidRPr="009E686F" w:rsidRDefault="00265766" w:rsidP="00265766">
            <w:pPr>
              <w:spacing w:after="0"/>
              <w:jc w:val="both"/>
              <w:rPr>
                <w:rFonts w:ascii="Times New Roman" w:hAnsi="Times New Roman" w:cs="Times New Roman"/>
                <w:lang w:val="ro-MD"/>
              </w:rPr>
            </w:pPr>
            <w:r w:rsidRPr="009E686F">
              <w:rPr>
                <w:rFonts w:ascii="Times New Roman" w:hAnsi="Times New Roman" w:cs="Times New Roman"/>
                <w:lang w:val="ro-MD"/>
              </w:rPr>
              <w:t>(3) Statele membre prevăd obligația ca sucursalele din țări terțe să se asigure că un aviz independent formulat în scris și motivat cu privire la punerea în aplicare și respectarea continuă a cerințelor prevăzute la prezentul articol este pregătit în mod periodic și este destinat autorității competente, incluzând constatări și concluzii.</w:t>
            </w:r>
          </w:p>
        </w:tc>
        <w:tc>
          <w:tcPr>
            <w:tcW w:w="1834" w:type="pct"/>
            <w:tcBorders>
              <w:top w:val="single" w:sz="4" w:space="0" w:color="auto"/>
              <w:left w:val="single" w:sz="4" w:space="0" w:color="auto"/>
              <w:bottom w:val="single" w:sz="4" w:space="0" w:color="auto"/>
              <w:right w:val="single" w:sz="4" w:space="0" w:color="auto"/>
            </w:tcBorders>
          </w:tcPr>
          <w:p w14:paraId="4D17B9DC" w14:textId="3425F155" w:rsidR="00265766" w:rsidRPr="009E686F" w:rsidRDefault="00265766" w:rsidP="00265766">
            <w:pPr>
              <w:spacing w:after="0"/>
              <w:jc w:val="both"/>
              <w:rPr>
                <w:rFonts w:ascii="Times New Roman" w:hAnsi="Times New Roman" w:cs="Times New Roman"/>
                <w:b/>
                <w:i/>
                <w:iCs/>
                <w:lang w:val="ro-MD"/>
              </w:rPr>
            </w:pPr>
            <w:r w:rsidRPr="009E686F">
              <w:rPr>
                <w:rFonts w:ascii="Times New Roman" w:eastAsia="Aptos" w:hAnsi="Times New Roman" w:cs="Times New Roman"/>
                <w:i/>
                <w:iCs/>
                <w:kern w:val="2"/>
                <w:lang w:val="ro-MD"/>
              </w:rPr>
              <w:t>(3) Sucursalele din state terțe trebuie să prezinte anual Băncii Naționale a Moldovei un raport scris și motivat al unei entități de audit cu privire la punerea în aplicare și respectarea continuă a cerințelor prevăzute la prezentul articol, incluzând constatări și concluzii, conform actelor normative ale Băncii Naționale a Moldovei.</w:t>
            </w:r>
          </w:p>
        </w:tc>
        <w:tc>
          <w:tcPr>
            <w:tcW w:w="470" w:type="pct"/>
            <w:tcBorders>
              <w:top w:val="single" w:sz="4" w:space="0" w:color="auto"/>
              <w:left w:val="single" w:sz="4" w:space="0" w:color="auto"/>
              <w:bottom w:val="single" w:sz="4" w:space="0" w:color="auto"/>
              <w:right w:val="single" w:sz="4" w:space="0" w:color="auto"/>
            </w:tcBorders>
          </w:tcPr>
          <w:p w14:paraId="22421500" w14:textId="5A6712D6" w:rsidR="00265766" w:rsidRPr="009E686F" w:rsidRDefault="00265766" w:rsidP="00265766">
            <w:pPr>
              <w:jc w:val="both"/>
              <w:rPr>
                <w:rFonts w:ascii="Times New Roman" w:hAnsi="Times New Roman" w:cs="Times New Roman"/>
                <w:lang w:val="ro-MD"/>
              </w:rPr>
            </w:pPr>
            <w:r w:rsidRPr="009E686F">
              <w:rPr>
                <w:rFonts w:ascii="Times New Roman" w:hAnsi="Times New Roman" w:cs="Times New Roman"/>
                <w:lang w:val="it-IT"/>
              </w:rPr>
              <w:t>Compatibil</w:t>
            </w:r>
          </w:p>
        </w:tc>
        <w:tc>
          <w:tcPr>
            <w:tcW w:w="806" w:type="pct"/>
            <w:tcBorders>
              <w:top w:val="single" w:sz="4" w:space="0" w:color="auto"/>
              <w:left w:val="single" w:sz="4" w:space="0" w:color="auto"/>
              <w:bottom w:val="single" w:sz="4" w:space="0" w:color="auto"/>
              <w:right w:val="single" w:sz="4" w:space="0" w:color="auto"/>
            </w:tcBorders>
          </w:tcPr>
          <w:p w14:paraId="7DF18842" w14:textId="77777777" w:rsidR="003C05DB" w:rsidRPr="009E686F" w:rsidRDefault="003C05DB" w:rsidP="003C05DB">
            <w:r w:rsidRPr="009E686F">
              <w:rPr>
                <w:rFonts w:ascii="Times New Roman" w:hAnsi="Times New Roman" w:cs="Times New Roman"/>
                <w:lang w:val="ro-RO"/>
              </w:rPr>
              <w:t>În vigoare – data aderării.</w:t>
            </w:r>
          </w:p>
          <w:p w14:paraId="5C2C5FF0" w14:textId="77777777" w:rsidR="00265766" w:rsidRPr="009E686F" w:rsidRDefault="00265766" w:rsidP="00265766">
            <w:pPr>
              <w:spacing w:after="0"/>
              <w:jc w:val="both"/>
              <w:rPr>
                <w:rFonts w:ascii="Times New Roman" w:hAnsi="Times New Roman" w:cs="Times New Roman"/>
                <w:lang w:val="ro-MD"/>
              </w:rPr>
            </w:pPr>
          </w:p>
        </w:tc>
      </w:tr>
      <w:tr w:rsidR="00265766" w:rsidRPr="009E686F" w14:paraId="1773B1E4" w14:textId="77777777" w:rsidTr="00960C23">
        <w:tc>
          <w:tcPr>
            <w:tcW w:w="1890" w:type="pct"/>
            <w:tcBorders>
              <w:top w:val="single" w:sz="4" w:space="0" w:color="auto"/>
              <w:left w:val="single" w:sz="4" w:space="0" w:color="auto"/>
              <w:bottom w:val="single" w:sz="4" w:space="0" w:color="auto"/>
              <w:right w:val="single" w:sz="4" w:space="0" w:color="auto"/>
            </w:tcBorders>
          </w:tcPr>
          <w:p w14:paraId="576F8CFC" w14:textId="77777777" w:rsidR="00265766" w:rsidRPr="009E686F" w:rsidRDefault="00265766" w:rsidP="00265766">
            <w:pPr>
              <w:spacing w:after="0"/>
              <w:jc w:val="both"/>
              <w:rPr>
                <w:rFonts w:ascii="Times New Roman" w:hAnsi="Times New Roman" w:cs="Times New Roman"/>
                <w:lang w:val="ro-MD"/>
              </w:rPr>
            </w:pPr>
            <w:r w:rsidRPr="009E686F">
              <w:rPr>
                <w:rFonts w:ascii="Times New Roman" w:hAnsi="Times New Roman" w:cs="Times New Roman"/>
                <w:lang w:val="ro-MD"/>
              </w:rPr>
              <w:lastRenderedPageBreak/>
              <w:t>(4) ABE elaborează proiecte de standarde tehnice de reglementare pentru a preciza modalitățile de contabilizare pe care sucursalele din țări terțe trebuie să le aplice în sensul prezentului articol, în special în ceea ce privește:</w:t>
            </w:r>
          </w:p>
          <w:p w14:paraId="6D8087EB" w14:textId="77777777" w:rsidR="00265766" w:rsidRPr="009E686F" w:rsidRDefault="00265766" w:rsidP="00265766">
            <w:pPr>
              <w:spacing w:after="0"/>
              <w:jc w:val="both"/>
              <w:rPr>
                <w:rFonts w:ascii="Times New Roman" w:hAnsi="Times New Roman" w:cs="Times New Roman"/>
                <w:lang w:val="ro-MD"/>
              </w:rPr>
            </w:pPr>
            <w:r w:rsidRPr="009E686F">
              <w:rPr>
                <w:rFonts w:ascii="Times New Roman" w:hAnsi="Times New Roman" w:cs="Times New Roman"/>
                <w:lang w:val="ro-MD"/>
              </w:rPr>
              <w:t>(a) metodologia pentru a identifica și a păstra evidențe cuprinzătoare și precise ale activelor și pasivelor contabilizate de sucursala dintr-o țară terță în statul membru; și</w:t>
            </w:r>
          </w:p>
          <w:p w14:paraId="76EB438B" w14:textId="77777777" w:rsidR="00265766" w:rsidRPr="009E686F" w:rsidRDefault="00265766" w:rsidP="00265766">
            <w:pPr>
              <w:spacing w:after="0"/>
              <w:jc w:val="both"/>
              <w:rPr>
                <w:rFonts w:ascii="Times New Roman" w:hAnsi="Times New Roman" w:cs="Times New Roman"/>
                <w:lang w:val="ro-MD"/>
              </w:rPr>
            </w:pPr>
            <w:r w:rsidRPr="009E686F">
              <w:rPr>
                <w:rFonts w:ascii="Times New Roman" w:hAnsi="Times New Roman" w:cs="Times New Roman"/>
                <w:lang w:val="ro-MD"/>
              </w:rPr>
              <w:t>(b) metodologia pentru identificarea și ținerea unei evidențe a elementelor extrabilanțiere și a activelor și pasivelor inițiate de o sucursală dintr-o țară terță și contabilizate sau deținute la distanță în alte sucursale sau filiale ale aceluiași grup în numele sau în beneficiul sucursalei inițiatoare dintr-o țară terță.</w:t>
            </w:r>
          </w:p>
          <w:p w14:paraId="3A8B3165" w14:textId="77777777" w:rsidR="00265766" w:rsidRPr="009E686F" w:rsidRDefault="00265766" w:rsidP="00265766">
            <w:pPr>
              <w:spacing w:after="0"/>
              <w:jc w:val="both"/>
              <w:rPr>
                <w:rFonts w:ascii="Times New Roman" w:hAnsi="Times New Roman" w:cs="Times New Roman"/>
                <w:lang w:val="ro-MD"/>
              </w:rPr>
            </w:pPr>
            <w:r w:rsidRPr="009E686F">
              <w:rPr>
                <w:rFonts w:ascii="Times New Roman" w:hAnsi="Times New Roman" w:cs="Times New Roman"/>
                <w:lang w:val="ro-MD"/>
              </w:rPr>
              <w:t>ABE înaintează Comisiei aceste proiecte de standarde tehnice de reglementare până la 10 ianuarie 2026.</w:t>
            </w:r>
          </w:p>
          <w:p w14:paraId="69EB5592" w14:textId="08F2B9F3" w:rsidR="00265766" w:rsidRPr="009E686F" w:rsidRDefault="00265766" w:rsidP="00265766">
            <w:pPr>
              <w:spacing w:after="0"/>
              <w:jc w:val="both"/>
              <w:rPr>
                <w:rFonts w:ascii="Times New Roman" w:hAnsi="Times New Roman" w:cs="Times New Roman"/>
                <w:lang w:val="ro-MD"/>
              </w:rPr>
            </w:pPr>
            <w:r w:rsidRPr="009E686F">
              <w:rPr>
                <w:rFonts w:ascii="Times New Roman" w:hAnsi="Times New Roman" w:cs="Times New Roman"/>
                <w:lang w:val="ro-MD"/>
              </w:rPr>
              <w:t>Comisiei îi este delegată competența de a completa prezenta directivă prin adoptarea standardelor tehnice de reglementare menționate la primul paragraf de la prezentul alineat în conformitate cu articolele 10-14 din Regulamentul (UE) nr. 1093/2010.</w:t>
            </w:r>
          </w:p>
        </w:tc>
        <w:tc>
          <w:tcPr>
            <w:tcW w:w="1834" w:type="pct"/>
            <w:tcBorders>
              <w:top w:val="single" w:sz="4" w:space="0" w:color="auto"/>
              <w:left w:val="single" w:sz="4" w:space="0" w:color="auto"/>
              <w:bottom w:val="single" w:sz="4" w:space="0" w:color="auto"/>
              <w:right w:val="single" w:sz="4" w:space="0" w:color="auto"/>
            </w:tcBorders>
          </w:tcPr>
          <w:p w14:paraId="043EAEB0" w14:textId="77777777" w:rsidR="00265766" w:rsidRPr="009E686F" w:rsidRDefault="00265766" w:rsidP="00265766">
            <w:pPr>
              <w:spacing w:after="0"/>
              <w:jc w:val="both"/>
              <w:rPr>
                <w:rFonts w:ascii="Times New Roman" w:eastAsia="Aptos" w:hAnsi="Times New Roman" w:cs="Times New Roman"/>
                <w:i/>
                <w:iCs/>
                <w:kern w:val="2"/>
                <w:lang w:val="ro-MD"/>
              </w:rPr>
            </w:pPr>
          </w:p>
        </w:tc>
        <w:tc>
          <w:tcPr>
            <w:tcW w:w="470" w:type="pct"/>
            <w:tcBorders>
              <w:top w:val="single" w:sz="4" w:space="0" w:color="auto"/>
              <w:left w:val="single" w:sz="4" w:space="0" w:color="auto"/>
              <w:bottom w:val="single" w:sz="4" w:space="0" w:color="auto"/>
              <w:right w:val="single" w:sz="4" w:space="0" w:color="auto"/>
            </w:tcBorders>
          </w:tcPr>
          <w:p w14:paraId="0DFE2BDE" w14:textId="77777777" w:rsidR="00265766" w:rsidRPr="009E686F" w:rsidRDefault="00265766" w:rsidP="00265766">
            <w:pPr>
              <w:jc w:val="both"/>
              <w:rPr>
                <w:rFonts w:ascii="Times New Roman" w:hAnsi="Times New Roman" w:cs="Times New Roman"/>
                <w:lang w:val="ro-MD"/>
              </w:rPr>
            </w:pPr>
            <w:r w:rsidRPr="009E686F">
              <w:rPr>
                <w:rFonts w:ascii="Times New Roman" w:hAnsi="Times New Roman" w:cs="Times New Roman"/>
                <w:lang w:val="pt-BR"/>
              </w:rPr>
              <w:t>Norme UE neaplicabile</w:t>
            </w:r>
          </w:p>
          <w:p w14:paraId="73C057F2" w14:textId="77777777" w:rsidR="00265766" w:rsidRPr="009E686F" w:rsidRDefault="00265766" w:rsidP="00265766">
            <w:pPr>
              <w:jc w:val="both"/>
              <w:rPr>
                <w:rFonts w:ascii="Times New Roman" w:hAnsi="Times New Roman" w:cs="Times New Roman"/>
                <w:lang w:val="it-IT"/>
              </w:rPr>
            </w:pPr>
          </w:p>
        </w:tc>
        <w:tc>
          <w:tcPr>
            <w:tcW w:w="806" w:type="pct"/>
            <w:tcBorders>
              <w:top w:val="single" w:sz="4" w:space="0" w:color="auto"/>
              <w:left w:val="single" w:sz="4" w:space="0" w:color="auto"/>
              <w:bottom w:val="single" w:sz="4" w:space="0" w:color="auto"/>
              <w:right w:val="single" w:sz="4" w:space="0" w:color="auto"/>
            </w:tcBorders>
          </w:tcPr>
          <w:p w14:paraId="34FAE017" w14:textId="171EF159" w:rsidR="00265766" w:rsidRPr="009E686F" w:rsidRDefault="00265766" w:rsidP="00265766">
            <w:pPr>
              <w:spacing w:after="0"/>
              <w:jc w:val="both"/>
              <w:rPr>
                <w:rFonts w:ascii="Times New Roman" w:hAnsi="Times New Roman" w:cs="Times New Roman"/>
                <w:lang w:val="ro-MD"/>
              </w:rPr>
            </w:pPr>
            <w:r w:rsidRPr="009E686F">
              <w:rPr>
                <w:rFonts w:ascii="Times New Roman" w:hAnsi="Times New Roman" w:cs="Times New Roman"/>
                <w:lang w:val="ro-MD"/>
              </w:rPr>
              <w:t>Se referă la competențele ABE și ale Comisiei Europene.</w:t>
            </w:r>
          </w:p>
        </w:tc>
      </w:tr>
      <w:tr w:rsidR="003C05DB" w:rsidRPr="009E686F" w14:paraId="759F2077" w14:textId="77777777" w:rsidTr="00BD23B8">
        <w:tc>
          <w:tcPr>
            <w:tcW w:w="1890" w:type="pct"/>
            <w:tcBorders>
              <w:top w:val="single" w:sz="4" w:space="0" w:color="auto"/>
              <w:left w:val="single" w:sz="4" w:space="0" w:color="auto"/>
              <w:bottom w:val="single" w:sz="4" w:space="0" w:color="auto"/>
              <w:right w:val="single" w:sz="4" w:space="0" w:color="auto"/>
            </w:tcBorders>
          </w:tcPr>
          <w:p w14:paraId="45B9DCF4" w14:textId="77777777" w:rsidR="003C05DB" w:rsidRPr="009E686F" w:rsidRDefault="003C05DB" w:rsidP="00265766">
            <w:pPr>
              <w:spacing w:after="0"/>
              <w:jc w:val="both"/>
              <w:rPr>
                <w:rFonts w:ascii="Times New Roman" w:hAnsi="Times New Roman" w:cs="Times New Roman"/>
                <w:lang w:val="it-IT"/>
              </w:rPr>
            </w:pPr>
            <w:r w:rsidRPr="009E686F">
              <w:rPr>
                <w:rFonts w:ascii="Times New Roman" w:hAnsi="Times New Roman" w:cs="Times New Roman"/>
                <w:lang w:val="it-IT"/>
              </w:rPr>
              <w:t>Subsecțiunea 3</w:t>
            </w:r>
          </w:p>
          <w:p w14:paraId="144EF343" w14:textId="065E4DF1" w:rsidR="003C05DB" w:rsidRPr="009E686F" w:rsidRDefault="003C05DB" w:rsidP="00265766">
            <w:pPr>
              <w:spacing w:after="0"/>
              <w:jc w:val="both"/>
              <w:rPr>
                <w:rFonts w:ascii="Times New Roman" w:hAnsi="Times New Roman" w:cs="Times New Roman"/>
                <w:b/>
                <w:lang w:val="it-IT"/>
              </w:rPr>
            </w:pPr>
            <w:r w:rsidRPr="009E686F">
              <w:rPr>
                <w:rFonts w:ascii="Times New Roman" w:hAnsi="Times New Roman" w:cs="Times New Roman"/>
                <w:b/>
                <w:lang w:val="it-IT"/>
              </w:rPr>
              <w:t>Competența de a solicita autorizarea în temeiul titlului III și cerințele privind sucursalele din țări terțe care au o importanță sistemică</w:t>
            </w:r>
          </w:p>
        </w:tc>
        <w:tc>
          <w:tcPr>
            <w:tcW w:w="1834" w:type="pct"/>
            <w:tcBorders>
              <w:top w:val="single" w:sz="4" w:space="0" w:color="auto"/>
              <w:left w:val="single" w:sz="4" w:space="0" w:color="auto"/>
              <w:bottom w:val="single" w:sz="4" w:space="0" w:color="auto"/>
              <w:right w:val="single" w:sz="4" w:space="0" w:color="auto"/>
            </w:tcBorders>
          </w:tcPr>
          <w:p w14:paraId="5DA697A7" w14:textId="02FC08DB" w:rsidR="003C05DB" w:rsidRPr="009E686F" w:rsidRDefault="003C05DB" w:rsidP="00265766">
            <w:pPr>
              <w:spacing w:after="0"/>
              <w:jc w:val="both"/>
              <w:rPr>
                <w:rFonts w:ascii="Times New Roman" w:hAnsi="Times New Roman" w:cs="Times New Roman"/>
                <w:b/>
                <w:lang w:val="pt-BR"/>
              </w:rPr>
            </w:pPr>
            <w:r w:rsidRPr="009E686F">
              <w:rPr>
                <w:rFonts w:ascii="Times New Roman" w:hAnsi="Times New Roman" w:cs="Times New Roman"/>
                <w:b/>
                <w:lang w:val="pt-BR"/>
              </w:rPr>
              <w:t>Secţiunea 2. Cerințe privind sucursalele din state terțe care au o importanță sistemică</w:t>
            </w:r>
          </w:p>
        </w:tc>
        <w:tc>
          <w:tcPr>
            <w:tcW w:w="470" w:type="pct"/>
            <w:tcBorders>
              <w:top w:val="single" w:sz="4" w:space="0" w:color="auto"/>
              <w:left w:val="single" w:sz="4" w:space="0" w:color="auto"/>
              <w:bottom w:val="single" w:sz="4" w:space="0" w:color="auto"/>
              <w:right w:val="single" w:sz="4" w:space="0" w:color="auto"/>
            </w:tcBorders>
          </w:tcPr>
          <w:p w14:paraId="5B14CCF7" w14:textId="5E5A1ADE" w:rsidR="003C05DB" w:rsidRPr="009E686F" w:rsidRDefault="003C05DB" w:rsidP="00265766">
            <w:pPr>
              <w:jc w:val="both"/>
              <w:rPr>
                <w:rFonts w:ascii="Times New Roman" w:hAnsi="Times New Roman" w:cs="Times New Roman"/>
                <w:lang w:val="pt-BR"/>
              </w:rPr>
            </w:pPr>
            <w:r w:rsidRPr="009E686F">
              <w:rPr>
                <w:rFonts w:ascii="Times New Roman" w:hAnsi="Times New Roman" w:cs="Times New Roman"/>
                <w:lang w:val="it-IT"/>
              </w:rPr>
              <w:t>Compatibil</w:t>
            </w:r>
          </w:p>
        </w:tc>
        <w:tc>
          <w:tcPr>
            <w:tcW w:w="806" w:type="pct"/>
            <w:vMerge w:val="restart"/>
            <w:tcBorders>
              <w:top w:val="single" w:sz="4" w:space="0" w:color="auto"/>
              <w:left w:val="single" w:sz="4" w:space="0" w:color="auto"/>
              <w:right w:val="single" w:sz="4" w:space="0" w:color="auto"/>
            </w:tcBorders>
          </w:tcPr>
          <w:p w14:paraId="302E525D" w14:textId="77777777" w:rsidR="003C05DB" w:rsidRPr="009E686F" w:rsidRDefault="003C05DB" w:rsidP="003C05DB">
            <w:r w:rsidRPr="009E686F">
              <w:rPr>
                <w:rFonts w:ascii="Times New Roman" w:hAnsi="Times New Roman" w:cs="Times New Roman"/>
                <w:lang w:val="ro-RO"/>
              </w:rPr>
              <w:t>În vigoare – data aderării.</w:t>
            </w:r>
          </w:p>
          <w:p w14:paraId="4807FDC4" w14:textId="77777777" w:rsidR="003C05DB" w:rsidRPr="009E686F" w:rsidRDefault="003C05DB" w:rsidP="00265766">
            <w:pPr>
              <w:spacing w:after="0"/>
              <w:jc w:val="both"/>
              <w:rPr>
                <w:rFonts w:ascii="Times New Roman" w:hAnsi="Times New Roman" w:cs="Times New Roman"/>
                <w:lang w:val="pt-BR"/>
              </w:rPr>
            </w:pPr>
          </w:p>
        </w:tc>
      </w:tr>
      <w:tr w:rsidR="003C05DB" w:rsidRPr="009E686F" w14:paraId="1842751C" w14:textId="77777777" w:rsidTr="00BD23B8">
        <w:tc>
          <w:tcPr>
            <w:tcW w:w="1890" w:type="pct"/>
            <w:tcBorders>
              <w:top w:val="single" w:sz="4" w:space="0" w:color="auto"/>
              <w:left w:val="single" w:sz="4" w:space="0" w:color="auto"/>
              <w:bottom w:val="single" w:sz="4" w:space="0" w:color="auto"/>
              <w:right w:val="single" w:sz="4" w:space="0" w:color="auto"/>
            </w:tcBorders>
          </w:tcPr>
          <w:p w14:paraId="180BA054" w14:textId="77777777" w:rsidR="003C05DB" w:rsidRPr="009E686F" w:rsidRDefault="003C05DB" w:rsidP="00265766">
            <w:pPr>
              <w:spacing w:after="0"/>
              <w:jc w:val="both"/>
              <w:rPr>
                <w:rFonts w:ascii="Times New Roman" w:hAnsi="Times New Roman" w:cs="Times New Roman"/>
                <w:i/>
                <w:iCs/>
                <w:lang w:val="pt-BR"/>
              </w:rPr>
            </w:pPr>
            <w:r w:rsidRPr="009E686F">
              <w:rPr>
                <w:rFonts w:ascii="Times New Roman" w:hAnsi="Times New Roman" w:cs="Times New Roman"/>
                <w:i/>
                <w:iCs/>
                <w:lang w:val="pt-BR"/>
              </w:rPr>
              <w:t xml:space="preserve">Articolul 48i </w:t>
            </w:r>
          </w:p>
          <w:p w14:paraId="7EF347C4" w14:textId="3AB049CA" w:rsidR="003C05DB" w:rsidRPr="009E686F" w:rsidRDefault="003C05DB" w:rsidP="00265766">
            <w:pPr>
              <w:spacing w:after="0"/>
              <w:jc w:val="both"/>
              <w:rPr>
                <w:rFonts w:ascii="Times New Roman" w:hAnsi="Times New Roman" w:cs="Times New Roman"/>
                <w:lang w:val="pt-BR"/>
              </w:rPr>
            </w:pPr>
            <w:r w:rsidRPr="009E686F">
              <w:rPr>
                <w:rFonts w:ascii="Times New Roman" w:hAnsi="Times New Roman" w:cs="Times New Roman"/>
                <w:lang w:val="pt-BR"/>
              </w:rPr>
              <w:t>Competența de a impune obligația instituirii unei sucursale</w:t>
            </w:r>
          </w:p>
        </w:tc>
        <w:tc>
          <w:tcPr>
            <w:tcW w:w="1834" w:type="pct"/>
            <w:tcBorders>
              <w:top w:val="single" w:sz="4" w:space="0" w:color="auto"/>
              <w:left w:val="single" w:sz="4" w:space="0" w:color="auto"/>
              <w:bottom w:val="single" w:sz="4" w:space="0" w:color="auto"/>
              <w:right w:val="single" w:sz="4" w:space="0" w:color="auto"/>
            </w:tcBorders>
          </w:tcPr>
          <w:p w14:paraId="0C279C9E" w14:textId="3925BF33" w:rsidR="003C05DB" w:rsidRPr="009E686F" w:rsidRDefault="003C05DB" w:rsidP="00265766">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b/>
                <w:bCs/>
                <w:kern w:val="2"/>
                <w:lang w:val="ro-MD"/>
              </w:rPr>
              <w:t xml:space="preserve">Articolul 31. </w:t>
            </w:r>
            <w:r w:rsidR="00516439" w:rsidRPr="009E686F">
              <w:rPr>
                <w:rFonts w:ascii="Times New Roman" w:eastAsia="Aptos" w:hAnsi="Times New Roman" w:cs="Times New Roman"/>
                <w:i/>
                <w:iCs/>
                <w:kern w:val="2"/>
                <w:lang w:val="ro-MD"/>
              </w:rPr>
              <w:t xml:space="preserve">Cerința </w:t>
            </w:r>
            <w:r w:rsidRPr="009E686F">
              <w:rPr>
                <w:rFonts w:ascii="Times New Roman" w:eastAsia="Aptos" w:hAnsi="Times New Roman" w:cs="Times New Roman"/>
                <w:i/>
                <w:iCs/>
                <w:kern w:val="2"/>
                <w:lang w:val="ro-MD"/>
              </w:rPr>
              <w:t xml:space="preserve">de autorizare </w:t>
            </w:r>
            <w:r w:rsidR="00516439" w:rsidRPr="009E686F">
              <w:rPr>
                <w:rFonts w:ascii="Times New Roman" w:eastAsia="Aptos" w:hAnsi="Times New Roman" w:cs="Times New Roman"/>
                <w:i/>
                <w:iCs/>
                <w:kern w:val="2"/>
                <w:lang w:val="ro-MD"/>
              </w:rPr>
              <w:t xml:space="preserve">privind </w:t>
            </w:r>
            <w:r w:rsidRPr="009E686F">
              <w:rPr>
                <w:rFonts w:ascii="Times New Roman" w:eastAsia="Aptos" w:hAnsi="Times New Roman" w:cs="Times New Roman"/>
                <w:i/>
                <w:iCs/>
                <w:kern w:val="2"/>
                <w:lang w:val="ro-MD"/>
              </w:rPr>
              <w:t>sucursale</w:t>
            </w:r>
            <w:r w:rsidR="00516439" w:rsidRPr="009E686F">
              <w:rPr>
                <w:rFonts w:ascii="Times New Roman" w:eastAsia="Aptos" w:hAnsi="Times New Roman" w:cs="Times New Roman"/>
                <w:i/>
                <w:iCs/>
                <w:kern w:val="2"/>
                <w:lang w:val="ro-MD"/>
              </w:rPr>
              <w:t>le</w:t>
            </w:r>
            <w:r w:rsidRPr="009E686F">
              <w:rPr>
                <w:rFonts w:ascii="Times New Roman" w:eastAsia="Aptos" w:hAnsi="Times New Roman" w:cs="Times New Roman"/>
                <w:i/>
                <w:iCs/>
                <w:kern w:val="2"/>
                <w:lang w:val="ro-MD"/>
              </w:rPr>
              <w:t xml:space="preserve"> din state terțe care au o importanță sistemică</w:t>
            </w:r>
          </w:p>
          <w:p w14:paraId="029BC577" w14:textId="77777777" w:rsidR="003C05DB" w:rsidRPr="009E686F" w:rsidRDefault="003C05DB" w:rsidP="00265766">
            <w:pPr>
              <w:spacing w:after="0"/>
              <w:jc w:val="both"/>
              <w:rPr>
                <w:rFonts w:ascii="Times New Roman" w:hAnsi="Times New Roman" w:cs="Times New Roman"/>
                <w:b/>
                <w:lang w:val="pt-BR"/>
              </w:rPr>
            </w:pPr>
          </w:p>
        </w:tc>
        <w:tc>
          <w:tcPr>
            <w:tcW w:w="470" w:type="pct"/>
            <w:tcBorders>
              <w:top w:val="single" w:sz="4" w:space="0" w:color="auto"/>
              <w:left w:val="single" w:sz="4" w:space="0" w:color="auto"/>
              <w:bottom w:val="single" w:sz="4" w:space="0" w:color="auto"/>
              <w:right w:val="single" w:sz="4" w:space="0" w:color="auto"/>
            </w:tcBorders>
          </w:tcPr>
          <w:p w14:paraId="2CF32805" w14:textId="41C59835" w:rsidR="003C05DB" w:rsidRPr="009E686F" w:rsidRDefault="003C05DB" w:rsidP="00265766">
            <w:pPr>
              <w:jc w:val="both"/>
              <w:rPr>
                <w:rFonts w:ascii="Times New Roman" w:hAnsi="Times New Roman" w:cs="Times New Roman"/>
                <w:lang w:val="pt-BR"/>
              </w:rPr>
            </w:pPr>
            <w:r w:rsidRPr="009E686F">
              <w:rPr>
                <w:rFonts w:ascii="Times New Roman" w:hAnsi="Times New Roman" w:cs="Times New Roman"/>
                <w:lang w:val="it-IT"/>
              </w:rPr>
              <w:t>Compatibil</w:t>
            </w:r>
          </w:p>
        </w:tc>
        <w:tc>
          <w:tcPr>
            <w:tcW w:w="806" w:type="pct"/>
            <w:vMerge/>
            <w:tcBorders>
              <w:left w:val="single" w:sz="4" w:space="0" w:color="auto"/>
              <w:right w:val="single" w:sz="4" w:space="0" w:color="auto"/>
            </w:tcBorders>
          </w:tcPr>
          <w:p w14:paraId="07530DBB" w14:textId="77777777" w:rsidR="003C05DB" w:rsidRPr="009E686F" w:rsidRDefault="003C05DB" w:rsidP="00265766">
            <w:pPr>
              <w:spacing w:after="0"/>
              <w:jc w:val="both"/>
              <w:rPr>
                <w:rFonts w:ascii="Times New Roman" w:hAnsi="Times New Roman" w:cs="Times New Roman"/>
                <w:lang w:val="pt-BR"/>
              </w:rPr>
            </w:pPr>
          </w:p>
        </w:tc>
      </w:tr>
      <w:tr w:rsidR="003C05DB" w:rsidRPr="009E686F" w14:paraId="68E1E1F9" w14:textId="77777777" w:rsidTr="00BD23B8">
        <w:tc>
          <w:tcPr>
            <w:tcW w:w="1890" w:type="pct"/>
            <w:tcBorders>
              <w:top w:val="single" w:sz="4" w:space="0" w:color="auto"/>
              <w:left w:val="single" w:sz="4" w:space="0" w:color="auto"/>
              <w:bottom w:val="single" w:sz="4" w:space="0" w:color="auto"/>
              <w:right w:val="single" w:sz="4" w:space="0" w:color="auto"/>
            </w:tcBorders>
          </w:tcPr>
          <w:p w14:paraId="14E447EC" w14:textId="040B2A99" w:rsidR="003C05DB" w:rsidRPr="009E686F" w:rsidRDefault="003C05DB" w:rsidP="00265766">
            <w:pPr>
              <w:spacing w:after="0"/>
              <w:jc w:val="both"/>
              <w:rPr>
                <w:rFonts w:ascii="Times New Roman" w:hAnsi="Times New Roman" w:cs="Times New Roman"/>
                <w:lang w:val="it-CH"/>
              </w:rPr>
            </w:pPr>
            <w:r w:rsidRPr="009E686F">
              <w:rPr>
                <w:rFonts w:ascii="Times New Roman" w:hAnsi="Times New Roman" w:cs="Times New Roman"/>
                <w:lang w:val="it-CH"/>
              </w:rPr>
              <w:t>(1) Statele membre se asigură că autoritățile competente au competența de a prevedea obligația ca sucursalele din țări terțe să solicite autorizația prevăzută la titlul III capitolul 1 cel puțin în cazul în care:</w:t>
            </w:r>
          </w:p>
        </w:tc>
        <w:tc>
          <w:tcPr>
            <w:tcW w:w="1834" w:type="pct"/>
            <w:tcBorders>
              <w:top w:val="single" w:sz="4" w:space="0" w:color="auto"/>
              <w:left w:val="single" w:sz="4" w:space="0" w:color="auto"/>
              <w:bottom w:val="single" w:sz="4" w:space="0" w:color="auto"/>
              <w:right w:val="single" w:sz="4" w:space="0" w:color="auto"/>
            </w:tcBorders>
          </w:tcPr>
          <w:p w14:paraId="0966D662" w14:textId="7824D6CC" w:rsidR="003C05DB" w:rsidRPr="009E686F" w:rsidRDefault="003C05DB" w:rsidP="00265766">
            <w:pPr>
              <w:spacing w:after="0"/>
              <w:jc w:val="both"/>
              <w:rPr>
                <w:rFonts w:ascii="Times New Roman" w:hAnsi="Times New Roman" w:cs="Times New Roman"/>
                <w:i/>
                <w:lang w:val="it-CH"/>
              </w:rPr>
            </w:pPr>
            <w:r w:rsidRPr="009E686F">
              <w:rPr>
                <w:rFonts w:ascii="Times New Roman" w:hAnsi="Times New Roman" w:cs="Times New Roman"/>
                <w:i/>
                <w:lang w:val="it-CH"/>
              </w:rPr>
              <w:t xml:space="preserve">(1) </w:t>
            </w:r>
            <w:r w:rsidR="00516439" w:rsidRPr="009E686F">
              <w:rPr>
                <w:rFonts w:ascii="Times New Roman" w:hAnsi="Times New Roman" w:cs="Times New Roman"/>
                <w:i/>
                <w:lang w:val="it-CH"/>
              </w:rPr>
              <w:t xml:space="preserve">Banca Națională a Moldovei poate impune unei sucursale dintr-un stat terț </w:t>
            </w:r>
            <w:r w:rsidRPr="009E686F">
              <w:rPr>
                <w:rFonts w:ascii="Times New Roman" w:hAnsi="Times New Roman" w:cs="Times New Roman"/>
                <w:i/>
                <w:lang w:val="it-CH"/>
              </w:rPr>
              <w:t xml:space="preserve">eliberarea autorizației </w:t>
            </w:r>
            <w:r w:rsidR="00D7122D" w:rsidRPr="009E686F">
              <w:rPr>
                <w:rFonts w:ascii="Times New Roman" w:hAnsi="Times New Roman" w:cs="Times New Roman"/>
                <w:i/>
                <w:lang w:val="it-CH"/>
              </w:rPr>
              <w:t xml:space="preserve">ca intituție de credit </w:t>
            </w:r>
            <w:r w:rsidRPr="009E686F">
              <w:rPr>
                <w:rFonts w:ascii="Times New Roman" w:hAnsi="Times New Roman" w:cs="Times New Roman"/>
                <w:i/>
                <w:lang w:val="it-CH"/>
              </w:rPr>
              <w:t>în condițiile prevăzute la capitolul 2 cel puțin în următoarele cazuri:</w:t>
            </w:r>
          </w:p>
        </w:tc>
        <w:tc>
          <w:tcPr>
            <w:tcW w:w="470" w:type="pct"/>
            <w:tcBorders>
              <w:top w:val="single" w:sz="4" w:space="0" w:color="auto"/>
              <w:left w:val="single" w:sz="4" w:space="0" w:color="auto"/>
              <w:bottom w:val="single" w:sz="4" w:space="0" w:color="auto"/>
              <w:right w:val="single" w:sz="4" w:space="0" w:color="auto"/>
            </w:tcBorders>
          </w:tcPr>
          <w:p w14:paraId="493B2D24" w14:textId="546CEFC3" w:rsidR="003C05DB" w:rsidRPr="009E686F" w:rsidRDefault="003C05DB" w:rsidP="00265766">
            <w:pPr>
              <w:jc w:val="both"/>
              <w:rPr>
                <w:rFonts w:ascii="Times New Roman" w:hAnsi="Times New Roman" w:cs="Times New Roman"/>
                <w:lang w:val="pt-BR"/>
              </w:rPr>
            </w:pPr>
            <w:r w:rsidRPr="009E686F">
              <w:rPr>
                <w:rFonts w:ascii="Times New Roman" w:hAnsi="Times New Roman" w:cs="Times New Roman"/>
                <w:lang w:val="it-IT"/>
              </w:rPr>
              <w:t>Compatibil</w:t>
            </w:r>
          </w:p>
        </w:tc>
        <w:tc>
          <w:tcPr>
            <w:tcW w:w="806" w:type="pct"/>
            <w:vMerge/>
            <w:tcBorders>
              <w:left w:val="single" w:sz="4" w:space="0" w:color="auto"/>
              <w:right w:val="single" w:sz="4" w:space="0" w:color="auto"/>
            </w:tcBorders>
          </w:tcPr>
          <w:p w14:paraId="7E3F991D" w14:textId="77777777" w:rsidR="003C05DB" w:rsidRPr="009E686F" w:rsidRDefault="003C05DB" w:rsidP="00265766">
            <w:pPr>
              <w:spacing w:after="0"/>
              <w:jc w:val="both"/>
              <w:rPr>
                <w:rFonts w:ascii="Times New Roman" w:hAnsi="Times New Roman" w:cs="Times New Roman"/>
                <w:lang w:val="pt-BR"/>
              </w:rPr>
            </w:pPr>
          </w:p>
        </w:tc>
      </w:tr>
      <w:tr w:rsidR="003C05DB" w:rsidRPr="009E686F" w14:paraId="210862FC" w14:textId="77777777" w:rsidTr="002A0755">
        <w:tc>
          <w:tcPr>
            <w:tcW w:w="1890" w:type="pct"/>
            <w:tcBorders>
              <w:top w:val="single" w:sz="4" w:space="0" w:color="auto"/>
              <w:left w:val="single" w:sz="4" w:space="0" w:color="auto"/>
              <w:bottom w:val="single" w:sz="4" w:space="0" w:color="auto"/>
              <w:right w:val="single" w:sz="4" w:space="0" w:color="auto"/>
            </w:tcBorders>
          </w:tcPr>
          <w:p w14:paraId="0E956790" w14:textId="309DC5F4" w:rsidR="003C05DB" w:rsidRPr="009E686F" w:rsidRDefault="003C05DB" w:rsidP="00265766">
            <w:pPr>
              <w:spacing w:after="0"/>
              <w:jc w:val="both"/>
              <w:rPr>
                <w:rFonts w:ascii="Times New Roman" w:hAnsi="Times New Roman" w:cs="Times New Roman"/>
              </w:rPr>
            </w:pPr>
            <w:r w:rsidRPr="009E686F">
              <w:rPr>
                <w:rFonts w:ascii="Times New Roman" w:hAnsi="Times New Roman" w:cs="Times New Roman"/>
              </w:rPr>
              <w:t xml:space="preserve">(a) sucursala dintr-o țară terță a desfășurat în trecut sau desfășoară în prezent activități dintre cele menționate la </w:t>
            </w:r>
            <w:r w:rsidRPr="009E686F">
              <w:rPr>
                <w:rFonts w:ascii="Times New Roman" w:hAnsi="Times New Roman" w:cs="Times New Roman"/>
              </w:rPr>
              <w:lastRenderedPageBreak/>
              <w:t>articolul 47 alineatul (1), fără a aduce atingere derogărilor menționate la articolul 48c alineatul (4) litera (d), cu clienți sau contrapărți din alte state membre;</w:t>
            </w:r>
          </w:p>
        </w:tc>
        <w:tc>
          <w:tcPr>
            <w:tcW w:w="1834" w:type="pct"/>
            <w:tcBorders>
              <w:top w:val="single" w:sz="4" w:space="0" w:color="auto"/>
              <w:left w:val="single" w:sz="4" w:space="0" w:color="auto"/>
              <w:bottom w:val="single" w:sz="4" w:space="0" w:color="auto"/>
              <w:right w:val="single" w:sz="4" w:space="0" w:color="auto"/>
            </w:tcBorders>
          </w:tcPr>
          <w:p w14:paraId="2684A0ED" w14:textId="69133915" w:rsidR="003C05DB" w:rsidRPr="009E686F" w:rsidRDefault="003C05DB" w:rsidP="00265766">
            <w:pPr>
              <w:spacing w:after="0"/>
              <w:jc w:val="both"/>
              <w:rPr>
                <w:rFonts w:ascii="Times New Roman" w:hAnsi="Times New Roman" w:cs="Times New Roman"/>
                <w:bCs/>
                <w:lang w:val="it-IT"/>
              </w:rPr>
            </w:pPr>
            <w:r w:rsidRPr="009E686F">
              <w:rPr>
                <w:rFonts w:ascii="Times New Roman" w:hAnsi="Times New Roman" w:cs="Times New Roman"/>
                <w:i/>
                <w:lang w:val="it-CH"/>
              </w:rPr>
              <w:lastRenderedPageBreak/>
              <w:t xml:space="preserve">a) sucursala dintr-un stat terț a desfășurat în trecut sau desfășoară în prezent activități dintre cele menționate la art. </w:t>
            </w:r>
            <w:r w:rsidRPr="009E686F">
              <w:rPr>
                <w:rFonts w:ascii="Times New Roman" w:hAnsi="Times New Roman" w:cs="Times New Roman"/>
                <w:i/>
                <w:lang w:val="it-CH"/>
              </w:rPr>
              <w:lastRenderedPageBreak/>
              <w:t xml:space="preserve">27 alin. </w:t>
            </w:r>
            <w:r w:rsidRPr="009E686F">
              <w:rPr>
                <w:rFonts w:ascii="Times New Roman" w:hAnsi="Times New Roman" w:cs="Times New Roman"/>
                <w:bCs/>
                <w:i/>
                <w:iCs/>
                <w:lang w:val="it-IT"/>
              </w:rPr>
              <w:t>(1), fără a aduce atingere derogărilor menționate la art. 25 alin. (3) lit. d), cu clienți sau contrapărți din alte state membre;</w:t>
            </w:r>
          </w:p>
        </w:tc>
        <w:tc>
          <w:tcPr>
            <w:tcW w:w="470" w:type="pct"/>
            <w:tcBorders>
              <w:top w:val="single" w:sz="4" w:space="0" w:color="auto"/>
              <w:left w:val="single" w:sz="4" w:space="0" w:color="auto"/>
              <w:bottom w:val="single" w:sz="4" w:space="0" w:color="auto"/>
              <w:right w:val="single" w:sz="4" w:space="0" w:color="auto"/>
            </w:tcBorders>
          </w:tcPr>
          <w:p w14:paraId="491E795E" w14:textId="7236E2C1" w:rsidR="003C05DB" w:rsidRPr="009E686F" w:rsidRDefault="003C05DB" w:rsidP="00265766">
            <w:pPr>
              <w:jc w:val="both"/>
              <w:rPr>
                <w:rFonts w:ascii="Times New Roman" w:hAnsi="Times New Roman" w:cs="Times New Roman"/>
                <w:lang w:val="it-IT"/>
              </w:rPr>
            </w:pPr>
            <w:r w:rsidRPr="009E686F">
              <w:rPr>
                <w:rFonts w:ascii="Times New Roman" w:hAnsi="Times New Roman" w:cs="Times New Roman"/>
                <w:lang w:val="it-IT"/>
              </w:rPr>
              <w:lastRenderedPageBreak/>
              <w:t>Compatibil</w:t>
            </w:r>
          </w:p>
        </w:tc>
        <w:tc>
          <w:tcPr>
            <w:tcW w:w="806" w:type="pct"/>
            <w:vMerge/>
            <w:tcBorders>
              <w:left w:val="single" w:sz="4" w:space="0" w:color="auto"/>
              <w:right w:val="single" w:sz="4" w:space="0" w:color="auto"/>
            </w:tcBorders>
          </w:tcPr>
          <w:p w14:paraId="3122D9C0" w14:textId="77777777" w:rsidR="003C05DB" w:rsidRPr="009E686F" w:rsidRDefault="003C05DB" w:rsidP="00265766">
            <w:pPr>
              <w:spacing w:after="0"/>
              <w:jc w:val="both"/>
              <w:rPr>
                <w:rFonts w:ascii="Times New Roman" w:hAnsi="Times New Roman" w:cs="Times New Roman"/>
                <w:lang w:val="it-IT"/>
              </w:rPr>
            </w:pPr>
          </w:p>
        </w:tc>
      </w:tr>
      <w:tr w:rsidR="003C05DB" w:rsidRPr="009E686F" w14:paraId="05A90AF3" w14:textId="77777777" w:rsidTr="002A0755">
        <w:tc>
          <w:tcPr>
            <w:tcW w:w="1890" w:type="pct"/>
            <w:tcBorders>
              <w:top w:val="single" w:sz="4" w:space="0" w:color="auto"/>
              <w:left w:val="single" w:sz="4" w:space="0" w:color="auto"/>
              <w:bottom w:val="single" w:sz="4" w:space="0" w:color="auto"/>
              <w:right w:val="single" w:sz="4" w:space="0" w:color="auto"/>
            </w:tcBorders>
          </w:tcPr>
          <w:p w14:paraId="5C41B854" w14:textId="2783897E" w:rsidR="003C05DB" w:rsidRPr="009E686F" w:rsidRDefault="003C05DB" w:rsidP="00265766">
            <w:pPr>
              <w:spacing w:after="0"/>
              <w:jc w:val="both"/>
              <w:rPr>
                <w:rFonts w:ascii="Times New Roman" w:hAnsi="Times New Roman" w:cs="Times New Roman"/>
              </w:rPr>
            </w:pPr>
            <w:r w:rsidRPr="009E686F">
              <w:rPr>
                <w:rFonts w:ascii="Times New Roman" w:hAnsi="Times New Roman" w:cs="Times New Roman"/>
              </w:rPr>
              <w:t>(b) sucursala dintr-o țară terță întrunește indicatorii de importanță sistemică menționați la articolul 131 alineatul (3) sau este evaluată ca având importanță sistemică în conformitate cu articolul 48j și prezintă riscuri semnificative pentru stabilitatea financiară în Uniune sau în statul membru în care este stabilită; sau</w:t>
            </w:r>
          </w:p>
        </w:tc>
        <w:tc>
          <w:tcPr>
            <w:tcW w:w="1834" w:type="pct"/>
            <w:tcBorders>
              <w:top w:val="single" w:sz="4" w:space="0" w:color="auto"/>
              <w:left w:val="single" w:sz="4" w:space="0" w:color="auto"/>
              <w:bottom w:val="single" w:sz="4" w:space="0" w:color="auto"/>
              <w:right w:val="single" w:sz="4" w:space="0" w:color="auto"/>
            </w:tcBorders>
          </w:tcPr>
          <w:p w14:paraId="789A2382" w14:textId="623AFA28" w:rsidR="003C05DB" w:rsidRPr="009E686F" w:rsidRDefault="003C05DB" w:rsidP="00265766">
            <w:pPr>
              <w:spacing w:after="0"/>
              <w:jc w:val="both"/>
              <w:rPr>
                <w:rFonts w:ascii="Times New Roman" w:hAnsi="Times New Roman" w:cs="Times New Roman"/>
                <w:i/>
                <w:lang w:val="it-CH"/>
              </w:rPr>
            </w:pPr>
            <w:r w:rsidRPr="009E686F">
              <w:rPr>
                <w:rFonts w:ascii="Times New Roman" w:hAnsi="Times New Roman" w:cs="Times New Roman"/>
                <w:i/>
                <w:lang w:val="it-CH"/>
              </w:rPr>
              <w:t>b) sucursala dintr-un stat terț îndeplinește criteriile de importanță sistemică prevăzute de actele normative ale Băncii Naționale a Moldovei</w:t>
            </w:r>
            <w:r w:rsidR="00D7122D" w:rsidRPr="009E686F">
              <w:rPr>
                <w:lang w:val="it-CH"/>
              </w:rPr>
              <w:t xml:space="preserve"> </w:t>
            </w:r>
            <w:r w:rsidR="00D7122D" w:rsidRPr="009E686F">
              <w:rPr>
                <w:rFonts w:ascii="Times New Roman" w:hAnsi="Times New Roman" w:cs="Times New Roman"/>
                <w:i/>
                <w:lang w:val="it-CH"/>
              </w:rPr>
              <w:t>emise în aplicarea prezentei legi</w:t>
            </w:r>
            <w:r w:rsidRPr="009E686F">
              <w:rPr>
                <w:rFonts w:ascii="Times New Roman" w:hAnsi="Times New Roman" w:cs="Times New Roman"/>
                <w:i/>
                <w:lang w:val="it-CH"/>
              </w:rPr>
              <w:t xml:space="preserve"> sau este evaluată ca având importanță sistemică în conformitate cu articolul 31</w:t>
            </w:r>
            <w:r w:rsidRPr="009E686F">
              <w:rPr>
                <w:rFonts w:ascii="Times New Roman" w:hAnsi="Times New Roman" w:cs="Times New Roman"/>
                <w:i/>
                <w:vertAlign w:val="superscript"/>
                <w:lang w:val="it-CH"/>
              </w:rPr>
              <w:t xml:space="preserve">1 </w:t>
            </w:r>
            <w:r w:rsidRPr="009E686F">
              <w:rPr>
                <w:rFonts w:ascii="Times New Roman" w:hAnsi="Times New Roman" w:cs="Times New Roman"/>
                <w:i/>
                <w:lang w:val="it-CH"/>
              </w:rPr>
              <w:t>și prezintă riscuri semnificative pentru stabilitatea financiară în Uniunea Europeană sau în Republica Moldova; sau</w:t>
            </w:r>
          </w:p>
        </w:tc>
        <w:tc>
          <w:tcPr>
            <w:tcW w:w="470" w:type="pct"/>
            <w:tcBorders>
              <w:top w:val="single" w:sz="4" w:space="0" w:color="auto"/>
              <w:left w:val="single" w:sz="4" w:space="0" w:color="auto"/>
              <w:bottom w:val="single" w:sz="4" w:space="0" w:color="auto"/>
              <w:right w:val="single" w:sz="4" w:space="0" w:color="auto"/>
            </w:tcBorders>
          </w:tcPr>
          <w:p w14:paraId="4C513400" w14:textId="3EA5FAED" w:rsidR="003C05DB" w:rsidRPr="009E686F" w:rsidRDefault="003C05DB" w:rsidP="00265766">
            <w:pPr>
              <w:jc w:val="both"/>
              <w:rPr>
                <w:rFonts w:ascii="Times New Roman" w:hAnsi="Times New Roman" w:cs="Times New Roman"/>
                <w:lang w:val="it-IT"/>
              </w:rPr>
            </w:pPr>
            <w:r w:rsidRPr="009E686F">
              <w:rPr>
                <w:rFonts w:ascii="Times New Roman" w:hAnsi="Times New Roman" w:cs="Times New Roman"/>
                <w:lang w:val="it-IT"/>
              </w:rPr>
              <w:t>Compatibil</w:t>
            </w:r>
          </w:p>
        </w:tc>
        <w:tc>
          <w:tcPr>
            <w:tcW w:w="806" w:type="pct"/>
            <w:vMerge/>
            <w:tcBorders>
              <w:left w:val="single" w:sz="4" w:space="0" w:color="auto"/>
              <w:right w:val="single" w:sz="4" w:space="0" w:color="auto"/>
            </w:tcBorders>
          </w:tcPr>
          <w:p w14:paraId="6244D4EA" w14:textId="77777777" w:rsidR="003C05DB" w:rsidRPr="009E686F" w:rsidRDefault="003C05DB" w:rsidP="00265766">
            <w:pPr>
              <w:spacing w:after="0"/>
              <w:jc w:val="both"/>
              <w:rPr>
                <w:rFonts w:ascii="Times New Roman" w:hAnsi="Times New Roman" w:cs="Times New Roman"/>
                <w:lang w:val="it-IT"/>
              </w:rPr>
            </w:pPr>
          </w:p>
        </w:tc>
      </w:tr>
      <w:tr w:rsidR="003C05DB" w:rsidRPr="009E686F" w14:paraId="26102419" w14:textId="77777777" w:rsidTr="002A0755">
        <w:tc>
          <w:tcPr>
            <w:tcW w:w="1890" w:type="pct"/>
            <w:tcBorders>
              <w:top w:val="single" w:sz="4" w:space="0" w:color="auto"/>
              <w:left w:val="single" w:sz="4" w:space="0" w:color="auto"/>
              <w:bottom w:val="single" w:sz="4" w:space="0" w:color="auto"/>
              <w:right w:val="single" w:sz="4" w:space="0" w:color="auto"/>
            </w:tcBorders>
          </w:tcPr>
          <w:p w14:paraId="7602F20A" w14:textId="185FC50B" w:rsidR="003C05DB" w:rsidRPr="009E686F" w:rsidRDefault="003C05DB" w:rsidP="00265766">
            <w:pPr>
              <w:spacing w:after="0"/>
              <w:jc w:val="both"/>
              <w:rPr>
                <w:rFonts w:ascii="Times New Roman" w:hAnsi="Times New Roman" w:cs="Times New Roman"/>
              </w:rPr>
            </w:pPr>
            <w:r w:rsidRPr="009E686F">
              <w:rPr>
                <w:rFonts w:ascii="Times New Roman" w:hAnsi="Times New Roman" w:cs="Times New Roman"/>
              </w:rPr>
              <w:t>(c) valoarea agregată a activelor tuturor sucursalelor din țări terțe stabilite în Uniune care aparțin aceluiași grup dintr-o țară terță este cel puțin egal cu 40 de miliarde EUR sau valoarea activelor sucursalei dintr-o țară terță deținute în evidențele sale contabile în statul membru în care este stabilită este cel puțin egală cu 10 miliarde EUR.</w:t>
            </w:r>
          </w:p>
        </w:tc>
        <w:tc>
          <w:tcPr>
            <w:tcW w:w="1834" w:type="pct"/>
            <w:tcBorders>
              <w:top w:val="single" w:sz="4" w:space="0" w:color="auto"/>
              <w:left w:val="single" w:sz="4" w:space="0" w:color="auto"/>
              <w:bottom w:val="single" w:sz="4" w:space="0" w:color="auto"/>
              <w:right w:val="single" w:sz="4" w:space="0" w:color="auto"/>
            </w:tcBorders>
          </w:tcPr>
          <w:p w14:paraId="787EB17C" w14:textId="2385932C" w:rsidR="003C05DB" w:rsidRPr="009E686F" w:rsidRDefault="003C05DB" w:rsidP="00265766">
            <w:pPr>
              <w:spacing w:after="0"/>
              <w:jc w:val="both"/>
              <w:rPr>
                <w:rFonts w:ascii="Times New Roman" w:hAnsi="Times New Roman" w:cs="Times New Roman"/>
                <w:bCs/>
                <w:i/>
                <w:iCs/>
              </w:rPr>
            </w:pPr>
            <w:r w:rsidRPr="009E686F">
              <w:rPr>
                <w:rFonts w:ascii="Times New Roman" w:hAnsi="Times New Roman" w:cs="Times New Roman"/>
                <w:bCs/>
                <w:i/>
                <w:iCs/>
              </w:rPr>
              <w:t>c) valoarea agregată a activelor tuturor sucursalelor din state terțe stabilite în Uniunea Europeană care aparțin aceluiași grup dintr-un stat terț este cel puțin egal cu echivalentul în lei moldovenești a 40 de miliarde euro sau valoarea activelor sucursalei dintr-un stat terț deținute în evidențele sale contabile în statul membru în care este stabilită este cel puțin egală cu echivalentul în lei moldovenești a 10 miliarde euro.</w:t>
            </w:r>
          </w:p>
        </w:tc>
        <w:tc>
          <w:tcPr>
            <w:tcW w:w="470" w:type="pct"/>
            <w:tcBorders>
              <w:top w:val="single" w:sz="4" w:space="0" w:color="auto"/>
              <w:left w:val="single" w:sz="4" w:space="0" w:color="auto"/>
              <w:bottom w:val="single" w:sz="4" w:space="0" w:color="auto"/>
              <w:right w:val="single" w:sz="4" w:space="0" w:color="auto"/>
            </w:tcBorders>
          </w:tcPr>
          <w:p w14:paraId="2F6BD92F" w14:textId="009836D6" w:rsidR="003C05DB" w:rsidRPr="009E686F" w:rsidRDefault="003C05DB" w:rsidP="00265766">
            <w:pPr>
              <w:jc w:val="both"/>
              <w:rPr>
                <w:rFonts w:ascii="Times New Roman" w:hAnsi="Times New Roman" w:cs="Times New Roman"/>
                <w:lang w:val="it-IT"/>
              </w:rPr>
            </w:pPr>
            <w:r w:rsidRPr="009E686F">
              <w:rPr>
                <w:rFonts w:ascii="Times New Roman" w:hAnsi="Times New Roman" w:cs="Times New Roman"/>
                <w:lang w:val="it-IT"/>
              </w:rPr>
              <w:t>Compatibil</w:t>
            </w:r>
          </w:p>
        </w:tc>
        <w:tc>
          <w:tcPr>
            <w:tcW w:w="806" w:type="pct"/>
            <w:vMerge/>
            <w:tcBorders>
              <w:left w:val="single" w:sz="4" w:space="0" w:color="auto"/>
              <w:bottom w:val="single" w:sz="4" w:space="0" w:color="auto"/>
              <w:right w:val="single" w:sz="4" w:space="0" w:color="auto"/>
            </w:tcBorders>
          </w:tcPr>
          <w:p w14:paraId="5777B2B8" w14:textId="77777777" w:rsidR="003C05DB" w:rsidRPr="009E686F" w:rsidRDefault="003C05DB" w:rsidP="00265766">
            <w:pPr>
              <w:spacing w:after="0"/>
              <w:jc w:val="both"/>
              <w:rPr>
                <w:rFonts w:ascii="Times New Roman" w:hAnsi="Times New Roman" w:cs="Times New Roman"/>
                <w:lang w:val="it-IT"/>
              </w:rPr>
            </w:pPr>
          </w:p>
        </w:tc>
      </w:tr>
      <w:tr w:rsidR="00265766" w:rsidRPr="009E686F" w14:paraId="2C587A71" w14:textId="77777777" w:rsidTr="00960C23">
        <w:tc>
          <w:tcPr>
            <w:tcW w:w="1890" w:type="pct"/>
            <w:tcBorders>
              <w:top w:val="single" w:sz="4" w:space="0" w:color="auto"/>
              <w:left w:val="single" w:sz="4" w:space="0" w:color="auto"/>
              <w:bottom w:val="single" w:sz="4" w:space="0" w:color="auto"/>
              <w:right w:val="single" w:sz="4" w:space="0" w:color="auto"/>
            </w:tcBorders>
          </w:tcPr>
          <w:p w14:paraId="7E493035" w14:textId="4A597C9A"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Competența menționată la primul paragraf de la prezentul alineat poate fi utilizată după aplicarea măsurilor prevăzute la articolele 48j sau 48o, după caz, sau în situațiile în care autoritatea competentă poate justifica, din alte motive decât cele enumerate la primul paragraf de la prezentul alineat, că măsurile respective ar fi insuficiente pentru a răspunde preocupărilor semnificative în materie de supraveghere.</w:t>
            </w:r>
          </w:p>
        </w:tc>
        <w:tc>
          <w:tcPr>
            <w:tcW w:w="1834" w:type="pct"/>
            <w:tcBorders>
              <w:top w:val="single" w:sz="4" w:space="0" w:color="auto"/>
              <w:left w:val="single" w:sz="4" w:space="0" w:color="auto"/>
              <w:bottom w:val="single" w:sz="4" w:space="0" w:color="auto"/>
              <w:right w:val="single" w:sz="4" w:space="0" w:color="auto"/>
            </w:tcBorders>
          </w:tcPr>
          <w:p w14:paraId="0DF930BC" w14:textId="683AA5A2" w:rsidR="00265766" w:rsidRPr="009E686F" w:rsidRDefault="00265766" w:rsidP="00265766">
            <w:pPr>
              <w:spacing w:after="0"/>
              <w:jc w:val="both"/>
              <w:rPr>
                <w:rFonts w:ascii="Times New Roman" w:hAnsi="Times New Roman" w:cs="Times New Roman"/>
                <w:bCs/>
                <w:i/>
                <w:iCs/>
                <w:lang w:val="pt-BR"/>
              </w:rPr>
            </w:pPr>
            <w:r w:rsidRPr="009E686F">
              <w:rPr>
                <w:rFonts w:ascii="Times New Roman" w:hAnsi="Times New Roman" w:cs="Times New Roman"/>
                <w:i/>
                <w:lang w:val="it-CH"/>
              </w:rPr>
              <w:t>(2) Alin. (1) se aplică doar ulterior  luării măsurilor prevăzute de art. 31</w:t>
            </w:r>
            <w:r w:rsidRPr="009E686F">
              <w:rPr>
                <w:rFonts w:ascii="Times New Roman" w:hAnsi="Times New Roman" w:cs="Times New Roman"/>
                <w:i/>
                <w:vertAlign w:val="superscript"/>
                <w:lang w:val="it-CH"/>
              </w:rPr>
              <w:t>1</w:t>
            </w:r>
            <w:r w:rsidRPr="009E686F">
              <w:rPr>
                <w:rFonts w:ascii="Times New Roman" w:hAnsi="Times New Roman" w:cs="Times New Roman"/>
                <w:i/>
                <w:lang w:val="it-CH"/>
              </w:rPr>
              <w:t xml:space="preserve"> sau art. 108</w:t>
            </w:r>
            <w:r w:rsidRPr="009E686F">
              <w:rPr>
                <w:rFonts w:ascii="Times New Roman" w:hAnsi="Times New Roman" w:cs="Times New Roman"/>
                <w:i/>
                <w:vertAlign w:val="superscript"/>
                <w:lang w:val="it-CH"/>
              </w:rPr>
              <w:t>4</w:t>
            </w:r>
            <w:r w:rsidRPr="009E686F">
              <w:rPr>
                <w:rFonts w:ascii="Times New Roman" w:hAnsi="Times New Roman" w:cs="Times New Roman"/>
                <w:i/>
                <w:lang w:val="it-CH"/>
              </w:rPr>
              <w:t xml:space="preserve">, după caz, ori în situațiile în care Banca Națională a Moldovei poate justifica, din alte motive decât cele enumerate la alin. </w:t>
            </w:r>
            <w:r w:rsidRPr="009E686F">
              <w:rPr>
                <w:rFonts w:ascii="Times New Roman" w:hAnsi="Times New Roman" w:cs="Times New Roman"/>
                <w:bCs/>
                <w:i/>
                <w:iCs/>
                <w:lang w:val="pt-BR"/>
              </w:rPr>
              <w:t>(1), că măsurile respective ar fi insuficiente pentru a răspunde preocupărilor semnificative în materie de supraveghere.</w:t>
            </w:r>
          </w:p>
        </w:tc>
        <w:tc>
          <w:tcPr>
            <w:tcW w:w="470" w:type="pct"/>
            <w:tcBorders>
              <w:top w:val="single" w:sz="4" w:space="0" w:color="auto"/>
              <w:left w:val="single" w:sz="4" w:space="0" w:color="auto"/>
              <w:bottom w:val="single" w:sz="4" w:space="0" w:color="auto"/>
              <w:right w:val="single" w:sz="4" w:space="0" w:color="auto"/>
            </w:tcBorders>
          </w:tcPr>
          <w:p w14:paraId="2BCF4AE7" w14:textId="6A7C4FF6" w:rsidR="00265766" w:rsidRPr="009E686F" w:rsidRDefault="00265766" w:rsidP="00265766">
            <w:pPr>
              <w:jc w:val="both"/>
              <w:rPr>
                <w:rFonts w:ascii="Times New Roman" w:hAnsi="Times New Roman" w:cs="Times New Roman"/>
                <w:lang w:val="pt-BR"/>
              </w:rPr>
            </w:pPr>
            <w:r w:rsidRPr="009E686F">
              <w:rPr>
                <w:rFonts w:ascii="Times New Roman" w:hAnsi="Times New Roman" w:cs="Times New Roman"/>
                <w:lang w:val="it-IT"/>
              </w:rPr>
              <w:t>Compatibil</w:t>
            </w:r>
          </w:p>
        </w:tc>
        <w:tc>
          <w:tcPr>
            <w:tcW w:w="806" w:type="pct"/>
            <w:tcBorders>
              <w:top w:val="single" w:sz="4" w:space="0" w:color="auto"/>
              <w:left w:val="single" w:sz="4" w:space="0" w:color="auto"/>
              <w:bottom w:val="single" w:sz="4" w:space="0" w:color="auto"/>
              <w:right w:val="single" w:sz="4" w:space="0" w:color="auto"/>
            </w:tcBorders>
          </w:tcPr>
          <w:p w14:paraId="2489CEF1" w14:textId="77777777" w:rsidR="003C05DB" w:rsidRPr="009E686F" w:rsidRDefault="003C05DB" w:rsidP="003C05DB">
            <w:r w:rsidRPr="009E686F">
              <w:rPr>
                <w:rFonts w:ascii="Times New Roman" w:hAnsi="Times New Roman" w:cs="Times New Roman"/>
                <w:lang w:val="ro-RO"/>
              </w:rPr>
              <w:t>În vigoare – data aderării.</w:t>
            </w:r>
          </w:p>
          <w:p w14:paraId="4A795902" w14:textId="77777777" w:rsidR="00265766" w:rsidRPr="009E686F" w:rsidRDefault="00265766" w:rsidP="00265766">
            <w:pPr>
              <w:spacing w:after="0"/>
              <w:jc w:val="both"/>
              <w:rPr>
                <w:rFonts w:ascii="Times New Roman" w:hAnsi="Times New Roman" w:cs="Times New Roman"/>
                <w:lang w:val="pt-BR"/>
              </w:rPr>
            </w:pPr>
          </w:p>
        </w:tc>
      </w:tr>
      <w:tr w:rsidR="00265766" w:rsidRPr="009E686F" w14:paraId="561F0E61" w14:textId="77777777" w:rsidTr="00960C23">
        <w:tc>
          <w:tcPr>
            <w:tcW w:w="1890" w:type="pct"/>
            <w:tcBorders>
              <w:top w:val="single" w:sz="4" w:space="0" w:color="auto"/>
              <w:left w:val="single" w:sz="4" w:space="0" w:color="auto"/>
              <w:bottom w:val="single" w:sz="4" w:space="0" w:color="auto"/>
              <w:right w:val="single" w:sz="4" w:space="0" w:color="auto"/>
            </w:tcBorders>
          </w:tcPr>
          <w:p w14:paraId="74E2AC64" w14:textId="2140CC52"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(2) Înainte de a exercita competența menționată la alineatul (1), autoritățile competente consultă ABE și autoritățile competente din statele membre în care grupul relevant dintr-o țară terță și-a înființat alte sucursale din țări-terțe sau instituții-filiale.</w:t>
            </w:r>
          </w:p>
        </w:tc>
        <w:tc>
          <w:tcPr>
            <w:tcW w:w="1834" w:type="pct"/>
            <w:tcBorders>
              <w:top w:val="single" w:sz="4" w:space="0" w:color="auto"/>
              <w:left w:val="single" w:sz="4" w:space="0" w:color="auto"/>
              <w:bottom w:val="single" w:sz="4" w:space="0" w:color="auto"/>
              <w:right w:val="single" w:sz="4" w:space="0" w:color="auto"/>
            </w:tcBorders>
          </w:tcPr>
          <w:p w14:paraId="0F5DE315" w14:textId="566BC5B7" w:rsidR="00265766" w:rsidRPr="009E686F" w:rsidRDefault="00265766" w:rsidP="00265766">
            <w:pPr>
              <w:spacing w:after="0"/>
              <w:jc w:val="both"/>
              <w:rPr>
                <w:rFonts w:ascii="Times New Roman" w:hAnsi="Times New Roman" w:cs="Times New Roman"/>
                <w:i/>
                <w:lang w:val="it-CH"/>
              </w:rPr>
            </w:pPr>
            <w:r w:rsidRPr="009E686F">
              <w:rPr>
                <w:rFonts w:ascii="Times New Roman" w:hAnsi="Times New Roman" w:cs="Times New Roman"/>
                <w:i/>
                <w:lang w:val="it-CH"/>
              </w:rPr>
              <w:t xml:space="preserve">(3) Înainte de </w:t>
            </w:r>
            <w:r w:rsidR="008A1F74" w:rsidRPr="009E686F">
              <w:rPr>
                <w:rFonts w:ascii="Times New Roman" w:hAnsi="Times New Roman" w:cs="Times New Roman"/>
                <w:i/>
                <w:lang w:val="it-CH"/>
              </w:rPr>
              <w:t xml:space="preserve">exercitarea competenței prevăzute la </w:t>
            </w:r>
            <w:r w:rsidRPr="009E686F">
              <w:rPr>
                <w:rFonts w:ascii="Times New Roman" w:hAnsi="Times New Roman" w:cs="Times New Roman"/>
                <w:i/>
                <w:lang w:val="it-CH"/>
              </w:rPr>
              <w:t>alin. (1), Banca Națională a Moldovei consultă ABE și autoritățile competente din statele membre în care grupul relevant dintr-un stat terț și-a înființat alte sucursale din state terțe sau instituții de credit-filiale.</w:t>
            </w:r>
          </w:p>
        </w:tc>
        <w:tc>
          <w:tcPr>
            <w:tcW w:w="470" w:type="pct"/>
            <w:tcBorders>
              <w:top w:val="single" w:sz="4" w:space="0" w:color="auto"/>
              <w:left w:val="single" w:sz="4" w:space="0" w:color="auto"/>
              <w:bottom w:val="single" w:sz="4" w:space="0" w:color="auto"/>
              <w:right w:val="single" w:sz="4" w:space="0" w:color="auto"/>
            </w:tcBorders>
          </w:tcPr>
          <w:p w14:paraId="1FDD6683" w14:textId="3E146E41" w:rsidR="00265766" w:rsidRPr="009E686F" w:rsidRDefault="00265766" w:rsidP="00265766">
            <w:pPr>
              <w:jc w:val="both"/>
              <w:rPr>
                <w:rFonts w:ascii="Times New Roman" w:hAnsi="Times New Roman" w:cs="Times New Roman"/>
                <w:lang w:val="pt-BR"/>
              </w:rPr>
            </w:pPr>
            <w:r w:rsidRPr="009E686F">
              <w:rPr>
                <w:rFonts w:ascii="Times New Roman" w:hAnsi="Times New Roman" w:cs="Times New Roman"/>
                <w:lang w:val="it-IT"/>
              </w:rPr>
              <w:t>Compatibil</w:t>
            </w:r>
          </w:p>
        </w:tc>
        <w:tc>
          <w:tcPr>
            <w:tcW w:w="806" w:type="pct"/>
            <w:tcBorders>
              <w:top w:val="single" w:sz="4" w:space="0" w:color="auto"/>
              <w:left w:val="single" w:sz="4" w:space="0" w:color="auto"/>
              <w:bottom w:val="single" w:sz="4" w:space="0" w:color="auto"/>
              <w:right w:val="single" w:sz="4" w:space="0" w:color="auto"/>
            </w:tcBorders>
          </w:tcPr>
          <w:p w14:paraId="1B40ED2D" w14:textId="77777777" w:rsidR="003C05DB" w:rsidRPr="009E686F" w:rsidRDefault="003C05DB" w:rsidP="003C05DB">
            <w:r w:rsidRPr="009E686F">
              <w:rPr>
                <w:rFonts w:ascii="Times New Roman" w:hAnsi="Times New Roman" w:cs="Times New Roman"/>
                <w:lang w:val="ro-RO"/>
              </w:rPr>
              <w:t>În vigoare – data aderării.</w:t>
            </w:r>
          </w:p>
          <w:p w14:paraId="0BB266D1" w14:textId="77777777" w:rsidR="00265766" w:rsidRPr="009E686F" w:rsidRDefault="00265766" w:rsidP="00265766">
            <w:pPr>
              <w:spacing w:after="0"/>
              <w:jc w:val="both"/>
              <w:rPr>
                <w:rFonts w:ascii="Times New Roman" w:hAnsi="Times New Roman" w:cs="Times New Roman"/>
                <w:lang w:val="pt-BR"/>
              </w:rPr>
            </w:pPr>
          </w:p>
        </w:tc>
      </w:tr>
      <w:tr w:rsidR="00A94677" w:rsidRPr="009E686F" w14:paraId="13C77BA9" w14:textId="77777777" w:rsidTr="00352380">
        <w:tc>
          <w:tcPr>
            <w:tcW w:w="1890" w:type="pct"/>
            <w:tcBorders>
              <w:top w:val="single" w:sz="4" w:space="0" w:color="auto"/>
              <w:left w:val="single" w:sz="4" w:space="0" w:color="auto"/>
              <w:bottom w:val="single" w:sz="4" w:space="0" w:color="auto"/>
              <w:right w:val="single" w:sz="4" w:space="0" w:color="auto"/>
            </w:tcBorders>
          </w:tcPr>
          <w:p w14:paraId="420DA5C2" w14:textId="7DCABF37" w:rsidR="00A94677" w:rsidRPr="009E686F" w:rsidRDefault="00A94677" w:rsidP="00265766">
            <w:pPr>
              <w:spacing w:after="0"/>
              <w:jc w:val="both"/>
              <w:rPr>
                <w:rFonts w:ascii="Times New Roman" w:hAnsi="Times New Roman" w:cs="Times New Roman"/>
              </w:rPr>
            </w:pPr>
            <w:r w:rsidRPr="009E686F">
              <w:rPr>
                <w:rFonts w:ascii="Times New Roman" w:hAnsi="Times New Roman" w:cs="Times New Roman"/>
              </w:rPr>
              <w:t xml:space="preserve">În sensul alineatului (1) literele (b) și (c) de la prezentul articol și atunci când efectuează evaluarea menționată la articolul 48j, </w:t>
            </w:r>
            <w:r w:rsidRPr="009E686F">
              <w:rPr>
                <w:rFonts w:ascii="Times New Roman" w:hAnsi="Times New Roman" w:cs="Times New Roman"/>
              </w:rPr>
              <w:lastRenderedPageBreak/>
              <w:t>autoritățile competente sau, după caz, autoritățile desemnate iau în considerare indicatori adecvați pentru a evalua importanța sistemică a sucursalelor din țări terțe, care includ în special:</w:t>
            </w:r>
          </w:p>
        </w:tc>
        <w:tc>
          <w:tcPr>
            <w:tcW w:w="1834" w:type="pct"/>
            <w:tcBorders>
              <w:top w:val="single" w:sz="4" w:space="0" w:color="auto"/>
              <w:left w:val="single" w:sz="4" w:space="0" w:color="auto"/>
              <w:bottom w:val="single" w:sz="4" w:space="0" w:color="auto"/>
              <w:right w:val="single" w:sz="4" w:space="0" w:color="auto"/>
            </w:tcBorders>
          </w:tcPr>
          <w:p w14:paraId="651AD96E" w14:textId="6A63C89D" w:rsidR="00A94677" w:rsidRPr="009E686F" w:rsidRDefault="00A94677" w:rsidP="00265766">
            <w:pPr>
              <w:spacing w:after="0"/>
              <w:jc w:val="both"/>
              <w:rPr>
                <w:rFonts w:ascii="Times New Roman" w:hAnsi="Times New Roman" w:cs="Times New Roman"/>
                <w:b/>
                <w:lang w:val="it-CH"/>
              </w:rPr>
            </w:pPr>
            <w:r w:rsidRPr="009E686F">
              <w:rPr>
                <w:rFonts w:ascii="Times New Roman" w:hAnsi="Times New Roman" w:cs="Times New Roman"/>
                <w:b/>
                <w:lang w:val="it-CH"/>
              </w:rPr>
              <w:lastRenderedPageBreak/>
              <w:t>Articolul 31</w:t>
            </w:r>
            <w:r w:rsidRPr="009E686F">
              <w:rPr>
                <w:rFonts w:ascii="Times New Roman" w:hAnsi="Times New Roman" w:cs="Times New Roman"/>
                <w:b/>
                <w:vertAlign w:val="superscript"/>
                <w:lang w:val="it-CH"/>
              </w:rPr>
              <w:t xml:space="preserve">1 </w:t>
            </w:r>
            <w:r w:rsidRPr="009E686F">
              <w:rPr>
                <w:rFonts w:ascii="Times New Roman" w:hAnsi="Times New Roman" w:cs="Times New Roman"/>
                <w:b/>
                <w:lang w:val="it-CH"/>
              </w:rPr>
              <w:t xml:space="preserve"> alin. (3)</w:t>
            </w:r>
          </w:p>
          <w:p w14:paraId="3AA17818" w14:textId="2130B84B" w:rsidR="00A94677" w:rsidRPr="009E686F" w:rsidRDefault="00A94677" w:rsidP="00265766">
            <w:pPr>
              <w:spacing w:after="0"/>
              <w:jc w:val="both"/>
              <w:rPr>
                <w:rFonts w:ascii="Times New Roman" w:hAnsi="Times New Roman" w:cs="Times New Roman"/>
                <w:i/>
                <w:lang w:val="it-CH"/>
              </w:rPr>
            </w:pPr>
            <w:r w:rsidRPr="009E686F">
              <w:rPr>
                <w:rFonts w:ascii="Times New Roman" w:hAnsi="Times New Roman" w:cs="Times New Roman"/>
                <w:i/>
                <w:lang w:val="it-CH"/>
              </w:rPr>
              <w:lastRenderedPageBreak/>
              <w:t>(3) La realizarea evaluării prevăzute de alin. (1), Banca Națională a Moldovei ia în considerare, în special, criteriile de importanță sistemică prevăzute de actele normative ale Băncii Naționale a Moldovei și următoarele criterii:</w:t>
            </w:r>
          </w:p>
        </w:tc>
        <w:tc>
          <w:tcPr>
            <w:tcW w:w="470" w:type="pct"/>
            <w:tcBorders>
              <w:top w:val="single" w:sz="4" w:space="0" w:color="auto"/>
              <w:left w:val="single" w:sz="4" w:space="0" w:color="auto"/>
              <w:bottom w:val="single" w:sz="4" w:space="0" w:color="auto"/>
              <w:right w:val="single" w:sz="4" w:space="0" w:color="auto"/>
            </w:tcBorders>
          </w:tcPr>
          <w:p w14:paraId="5F88FA72" w14:textId="30D68968" w:rsidR="00A94677" w:rsidRPr="009E686F" w:rsidRDefault="00A94677" w:rsidP="00265766">
            <w:pPr>
              <w:jc w:val="both"/>
              <w:rPr>
                <w:rFonts w:ascii="Times New Roman" w:hAnsi="Times New Roman" w:cs="Times New Roman"/>
                <w:lang w:val="pt-BR"/>
              </w:rPr>
            </w:pPr>
            <w:r w:rsidRPr="009E686F">
              <w:rPr>
                <w:rFonts w:ascii="Times New Roman" w:hAnsi="Times New Roman" w:cs="Times New Roman"/>
                <w:lang w:val="it-IT"/>
              </w:rPr>
              <w:lastRenderedPageBreak/>
              <w:t>Compatibil</w:t>
            </w:r>
          </w:p>
        </w:tc>
        <w:tc>
          <w:tcPr>
            <w:tcW w:w="806" w:type="pct"/>
            <w:vMerge w:val="restart"/>
            <w:tcBorders>
              <w:top w:val="single" w:sz="4" w:space="0" w:color="auto"/>
              <w:left w:val="single" w:sz="4" w:space="0" w:color="auto"/>
              <w:right w:val="single" w:sz="4" w:space="0" w:color="auto"/>
            </w:tcBorders>
          </w:tcPr>
          <w:p w14:paraId="52974C3E" w14:textId="77777777" w:rsidR="00A94677" w:rsidRPr="009E686F" w:rsidRDefault="00A94677" w:rsidP="003C05DB">
            <w:r w:rsidRPr="009E686F">
              <w:rPr>
                <w:rFonts w:ascii="Times New Roman" w:hAnsi="Times New Roman" w:cs="Times New Roman"/>
                <w:lang w:val="ro-RO"/>
              </w:rPr>
              <w:t>În vigoare – data aderării.</w:t>
            </w:r>
          </w:p>
          <w:p w14:paraId="24FCDD6E" w14:textId="77777777" w:rsidR="00A94677" w:rsidRPr="009E686F" w:rsidRDefault="00A94677" w:rsidP="00265766">
            <w:pPr>
              <w:spacing w:after="0"/>
              <w:jc w:val="both"/>
              <w:rPr>
                <w:rFonts w:ascii="Times New Roman" w:hAnsi="Times New Roman" w:cs="Times New Roman"/>
                <w:lang w:val="pt-BR"/>
              </w:rPr>
            </w:pPr>
          </w:p>
        </w:tc>
      </w:tr>
      <w:tr w:rsidR="00A94677" w:rsidRPr="009E686F" w14:paraId="0728A7A4" w14:textId="77777777" w:rsidTr="00352380">
        <w:tc>
          <w:tcPr>
            <w:tcW w:w="1890" w:type="pct"/>
            <w:tcBorders>
              <w:top w:val="single" w:sz="4" w:space="0" w:color="auto"/>
              <w:left w:val="single" w:sz="4" w:space="0" w:color="auto"/>
              <w:bottom w:val="single" w:sz="4" w:space="0" w:color="auto"/>
              <w:right w:val="single" w:sz="4" w:space="0" w:color="auto"/>
            </w:tcBorders>
          </w:tcPr>
          <w:p w14:paraId="36C62CAE" w14:textId="4D11C757" w:rsidR="00A94677" w:rsidRPr="009E686F" w:rsidRDefault="00A94677" w:rsidP="00265766">
            <w:pPr>
              <w:spacing w:after="0"/>
              <w:jc w:val="both"/>
              <w:rPr>
                <w:rFonts w:ascii="Times New Roman" w:hAnsi="Times New Roman" w:cs="Times New Roman"/>
                <w:lang w:val="pt-BR"/>
              </w:rPr>
            </w:pPr>
            <w:r w:rsidRPr="009E686F">
              <w:rPr>
                <w:rFonts w:ascii="Times New Roman" w:hAnsi="Times New Roman" w:cs="Times New Roman"/>
                <w:lang w:val="pt-BR"/>
              </w:rPr>
              <w:t>(a) dimensiunea sucursalei dintr-o țară terță;</w:t>
            </w:r>
          </w:p>
        </w:tc>
        <w:tc>
          <w:tcPr>
            <w:tcW w:w="1834" w:type="pct"/>
            <w:tcBorders>
              <w:top w:val="single" w:sz="4" w:space="0" w:color="auto"/>
              <w:left w:val="single" w:sz="4" w:space="0" w:color="auto"/>
              <w:bottom w:val="single" w:sz="4" w:space="0" w:color="auto"/>
              <w:right w:val="single" w:sz="4" w:space="0" w:color="auto"/>
            </w:tcBorders>
          </w:tcPr>
          <w:p w14:paraId="5F9B75C0" w14:textId="54057718" w:rsidR="00A94677" w:rsidRPr="009E686F" w:rsidRDefault="00A94677" w:rsidP="00265766">
            <w:pPr>
              <w:spacing w:after="0"/>
              <w:jc w:val="both"/>
              <w:rPr>
                <w:rFonts w:ascii="Times New Roman" w:hAnsi="Times New Roman" w:cs="Times New Roman"/>
                <w:bCs/>
                <w:i/>
                <w:iCs/>
                <w:lang w:val="it-IT"/>
              </w:rPr>
            </w:pPr>
            <w:r w:rsidRPr="009E686F">
              <w:rPr>
                <w:rFonts w:ascii="Times New Roman" w:hAnsi="Times New Roman" w:cs="Times New Roman"/>
                <w:bCs/>
                <w:i/>
                <w:iCs/>
                <w:lang w:val="it-IT"/>
              </w:rPr>
              <w:t>a) dimensiunea sucursalei dintr-un stat terț;</w:t>
            </w:r>
          </w:p>
        </w:tc>
        <w:tc>
          <w:tcPr>
            <w:tcW w:w="470" w:type="pct"/>
            <w:tcBorders>
              <w:top w:val="single" w:sz="4" w:space="0" w:color="auto"/>
              <w:left w:val="single" w:sz="4" w:space="0" w:color="auto"/>
              <w:bottom w:val="single" w:sz="4" w:space="0" w:color="auto"/>
              <w:right w:val="single" w:sz="4" w:space="0" w:color="auto"/>
            </w:tcBorders>
          </w:tcPr>
          <w:p w14:paraId="6A0140A8" w14:textId="316233CC" w:rsidR="00A94677" w:rsidRPr="009E686F" w:rsidRDefault="00A94677" w:rsidP="00265766">
            <w:pPr>
              <w:jc w:val="both"/>
              <w:rPr>
                <w:rFonts w:ascii="Times New Roman" w:hAnsi="Times New Roman" w:cs="Times New Roman"/>
                <w:lang w:val="it-IT"/>
              </w:rPr>
            </w:pPr>
            <w:r w:rsidRPr="009E686F">
              <w:rPr>
                <w:rFonts w:ascii="Times New Roman" w:hAnsi="Times New Roman" w:cs="Times New Roman"/>
                <w:lang w:val="it-IT"/>
              </w:rPr>
              <w:t>Compatibil</w:t>
            </w:r>
          </w:p>
        </w:tc>
        <w:tc>
          <w:tcPr>
            <w:tcW w:w="806" w:type="pct"/>
            <w:vMerge/>
            <w:tcBorders>
              <w:left w:val="single" w:sz="4" w:space="0" w:color="auto"/>
              <w:right w:val="single" w:sz="4" w:space="0" w:color="auto"/>
            </w:tcBorders>
          </w:tcPr>
          <w:p w14:paraId="4D1A5B2D" w14:textId="77777777" w:rsidR="00A94677" w:rsidRPr="009E686F" w:rsidRDefault="00A94677" w:rsidP="00265766">
            <w:pPr>
              <w:spacing w:after="0"/>
              <w:jc w:val="both"/>
              <w:rPr>
                <w:rFonts w:ascii="Times New Roman" w:hAnsi="Times New Roman" w:cs="Times New Roman"/>
                <w:lang w:val="it-IT"/>
              </w:rPr>
            </w:pPr>
          </w:p>
        </w:tc>
      </w:tr>
      <w:tr w:rsidR="00A94677" w:rsidRPr="009E686F" w14:paraId="1094BB39" w14:textId="77777777" w:rsidTr="00352380">
        <w:tc>
          <w:tcPr>
            <w:tcW w:w="1890" w:type="pct"/>
            <w:tcBorders>
              <w:top w:val="single" w:sz="4" w:space="0" w:color="auto"/>
              <w:left w:val="single" w:sz="4" w:space="0" w:color="auto"/>
              <w:bottom w:val="single" w:sz="4" w:space="0" w:color="auto"/>
              <w:right w:val="single" w:sz="4" w:space="0" w:color="auto"/>
            </w:tcBorders>
          </w:tcPr>
          <w:p w14:paraId="38DE9173" w14:textId="5D1AF830" w:rsidR="00A94677" w:rsidRPr="009E686F" w:rsidRDefault="00A94677" w:rsidP="00265766">
            <w:pPr>
              <w:spacing w:after="0"/>
              <w:jc w:val="both"/>
              <w:rPr>
                <w:rFonts w:ascii="Times New Roman" w:hAnsi="Times New Roman" w:cs="Times New Roman"/>
                <w:lang w:val="pt-BR"/>
              </w:rPr>
            </w:pPr>
            <w:r w:rsidRPr="009E686F">
              <w:rPr>
                <w:rFonts w:ascii="Times New Roman" w:hAnsi="Times New Roman" w:cs="Times New Roman"/>
                <w:lang w:val="pt-BR"/>
              </w:rPr>
              <w:t>(b) complexitatea structurii, a organizării și a modelului de afaceri al sucursalei dintr-o țară terță;</w:t>
            </w:r>
          </w:p>
        </w:tc>
        <w:tc>
          <w:tcPr>
            <w:tcW w:w="1834" w:type="pct"/>
            <w:tcBorders>
              <w:top w:val="single" w:sz="4" w:space="0" w:color="auto"/>
              <w:left w:val="single" w:sz="4" w:space="0" w:color="auto"/>
              <w:bottom w:val="single" w:sz="4" w:space="0" w:color="auto"/>
              <w:right w:val="single" w:sz="4" w:space="0" w:color="auto"/>
            </w:tcBorders>
          </w:tcPr>
          <w:p w14:paraId="12000474" w14:textId="76BCF506" w:rsidR="00A94677" w:rsidRPr="009E686F" w:rsidRDefault="00A94677" w:rsidP="00265766">
            <w:pPr>
              <w:spacing w:after="0"/>
              <w:jc w:val="both"/>
              <w:rPr>
                <w:rFonts w:ascii="Times New Roman" w:hAnsi="Times New Roman" w:cs="Times New Roman"/>
                <w:bCs/>
                <w:i/>
                <w:iCs/>
                <w:lang w:val="it-IT"/>
              </w:rPr>
            </w:pPr>
            <w:r w:rsidRPr="009E686F">
              <w:rPr>
                <w:rFonts w:ascii="Times New Roman" w:hAnsi="Times New Roman" w:cs="Times New Roman"/>
                <w:bCs/>
                <w:i/>
                <w:iCs/>
                <w:lang w:val="it-IT"/>
              </w:rPr>
              <w:t>b) complexitatea structurii, a organizării și a modelului de afaceri al sucursalei dintr-un stat terț;</w:t>
            </w:r>
          </w:p>
        </w:tc>
        <w:tc>
          <w:tcPr>
            <w:tcW w:w="470" w:type="pct"/>
            <w:tcBorders>
              <w:top w:val="single" w:sz="4" w:space="0" w:color="auto"/>
              <w:left w:val="single" w:sz="4" w:space="0" w:color="auto"/>
              <w:bottom w:val="single" w:sz="4" w:space="0" w:color="auto"/>
              <w:right w:val="single" w:sz="4" w:space="0" w:color="auto"/>
            </w:tcBorders>
          </w:tcPr>
          <w:p w14:paraId="25B79A8D" w14:textId="1F69EADC" w:rsidR="00A94677" w:rsidRPr="009E686F" w:rsidRDefault="00A94677" w:rsidP="00265766">
            <w:pPr>
              <w:jc w:val="both"/>
              <w:rPr>
                <w:rFonts w:ascii="Times New Roman" w:hAnsi="Times New Roman" w:cs="Times New Roman"/>
                <w:lang w:val="it-IT"/>
              </w:rPr>
            </w:pPr>
            <w:r w:rsidRPr="009E686F">
              <w:rPr>
                <w:rFonts w:ascii="Times New Roman" w:hAnsi="Times New Roman" w:cs="Times New Roman"/>
                <w:lang w:val="it-IT"/>
              </w:rPr>
              <w:t>Compatibil</w:t>
            </w:r>
          </w:p>
        </w:tc>
        <w:tc>
          <w:tcPr>
            <w:tcW w:w="806" w:type="pct"/>
            <w:vMerge/>
            <w:tcBorders>
              <w:left w:val="single" w:sz="4" w:space="0" w:color="auto"/>
              <w:right w:val="single" w:sz="4" w:space="0" w:color="auto"/>
            </w:tcBorders>
          </w:tcPr>
          <w:p w14:paraId="0FB0E6D9" w14:textId="77777777" w:rsidR="00A94677" w:rsidRPr="009E686F" w:rsidRDefault="00A94677" w:rsidP="00265766">
            <w:pPr>
              <w:spacing w:after="0"/>
              <w:jc w:val="both"/>
              <w:rPr>
                <w:rFonts w:ascii="Times New Roman" w:hAnsi="Times New Roman" w:cs="Times New Roman"/>
                <w:lang w:val="it-IT"/>
              </w:rPr>
            </w:pPr>
          </w:p>
        </w:tc>
      </w:tr>
      <w:tr w:rsidR="00A94677" w:rsidRPr="009E686F" w14:paraId="6BA085BE" w14:textId="77777777" w:rsidTr="00352380">
        <w:tc>
          <w:tcPr>
            <w:tcW w:w="1890" w:type="pct"/>
            <w:tcBorders>
              <w:top w:val="single" w:sz="4" w:space="0" w:color="auto"/>
              <w:left w:val="single" w:sz="4" w:space="0" w:color="auto"/>
              <w:bottom w:val="single" w:sz="4" w:space="0" w:color="auto"/>
              <w:right w:val="single" w:sz="4" w:space="0" w:color="auto"/>
            </w:tcBorders>
          </w:tcPr>
          <w:p w14:paraId="0409F070" w14:textId="3EE55B03" w:rsidR="00A94677" w:rsidRPr="009E686F" w:rsidRDefault="00A94677" w:rsidP="00265766">
            <w:pPr>
              <w:spacing w:after="0"/>
              <w:jc w:val="both"/>
              <w:rPr>
                <w:rFonts w:ascii="Times New Roman" w:hAnsi="Times New Roman" w:cs="Times New Roman"/>
                <w:lang w:val="it-CH"/>
              </w:rPr>
            </w:pPr>
            <w:r w:rsidRPr="009E686F">
              <w:rPr>
                <w:rFonts w:ascii="Times New Roman" w:hAnsi="Times New Roman" w:cs="Times New Roman"/>
                <w:lang w:val="it-CH"/>
              </w:rPr>
              <w:t>(c) gradul de interconectare al sucursalei dintr-o țară terță cu sistemul financiar al Uniunii și al statului membru în care este stabilită;</w:t>
            </w:r>
          </w:p>
        </w:tc>
        <w:tc>
          <w:tcPr>
            <w:tcW w:w="1834" w:type="pct"/>
            <w:tcBorders>
              <w:top w:val="single" w:sz="4" w:space="0" w:color="auto"/>
              <w:left w:val="single" w:sz="4" w:space="0" w:color="auto"/>
              <w:bottom w:val="single" w:sz="4" w:space="0" w:color="auto"/>
              <w:right w:val="single" w:sz="4" w:space="0" w:color="auto"/>
            </w:tcBorders>
          </w:tcPr>
          <w:p w14:paraId="662344F4" w14:textId="6FDF9263" w:rsidR="00A94677" w:rsidRPr="009E686F" w:rsidRDefault="00A94677" w:rsidP="00265766">
            <w:pPr>
              <w:spacing w:after="0"/>
              <w:jc w:val="both"/>
              <w:rPr>
                <w:rFonts w:ascii="Times New Roman" w:hAnsi="Times New Roman" w:cs="Times New Roman"/>
                <w:bCs/>
                <w:i/>
                <w:iCs/>
                <w:lang w:val="it-IT"/>
              </w:rPr>
            </w:pPr>
            <w:r w:rsidRPr="009E686F">
              <w:rPr>
                <w:rFonts w:ascii="Times New Roman" w:hAnsi="Times New Roman" w:cs="Times New Roman"/>
                <w:bCs/>
                <w:i/>
                <w:iCs/>
                <w:lang w:val="it-IT"/>
              </w:rPr>
              <w:t>c) gradul de interconectare al sucursalei dintr-un stat terț cu sistemul financiar al Uniunii Europene și al Republicii Moldova;</w:t>
            </w:r>
          </w:p>
        </w:tc>
        <w:tc>
          <w:tcPr>
            <w:tcW w:w="470" w:type="pct"/>
            <w:tcBorders>
              <w:top w:val="single" w:sz="4" w:space="0" w:color="auto"/>
              <w:left w:val="single" w:sz="4" w:space="0" w:color="auto"/>
              <w:bottom w:val="single" w:sz="4" w:space="0" w:color="auto"/>
              <w:right w:val="single" w:sz="4" w:space="0" w:color="auto"/>
            </w:tcBorders>
          </w:tcPr>
          <w:p w14:paraId="72194404" w14:textId="3D63B3EB" w:rsidR="00A94677" w:rsidRPr="009E686F" w:rsidRDefault="00A94677" w:rsidP="00265766">
            <w:pPr>
              <w:jc w:val="both"/>
              <w:rPr>
                <w:rFonts w:ascii="Times New Roman" w:hAnsi="Times New Roman" w:cs="Times New Roman"/>
                <w:lang w:val="it-IT"/>
              </w:rPr>
            </w:pPr>
            <w:r w:rsidRPr="009E686F">
              <w:rPr>
                <w:rFonts w:ascii="Times New Roman" w:hAnsi="Times New Roman" w:cs="Times New Roman"/>
                <w:lang w:val="it-IT"/>
              </w:rPr>
              <w:t>Compatibil</w:t>
            </w:r>
          </w:p>
        </w:tc>
        <w:tc>
          <w:tcPr>
            <w:tcW w:w="806" w:type="pct"/>
            <w:vMerge/>
            <w:tcBorders>
              <w:left w:val="single" w:sz="4" w:space="0" w:color="auto"/>
              <w:right w:val="single" w:sz="4" w:space="0" w:color="auto"/>
            </w:tcBorders>
          </w:tcPr>
          <w:p w14:paraId="4E534590" w14:textId="77777777" w:rsidR="00A94677" w:rsidRPr="009E686F" w:rsidRDefault="00A94677" w:rsidP="00265766">
            <w:pPr>
              <w:spacing w:after="0"/>
              <w:jc w:val="both"/>
              <w:rPr>
                <w:rFonts w:ascii="Times New Roman" w:hAnsi="Times New Roman" w:cs="Times New Roman"/>
                <w:lang w:val="it-IT"/>
              </w:rPr>
            </w:pPr>
          </w:p>
        </w:tc>
      </w:tr>
      <w:tr w:rsidR="00A94677" w:rsidRPr="009E686F" w14:paraId="078FD3FF" w14:textId="77777777" w:rsidTr="00352380">
        <w:tc>
          <w:tcPr>
            <w:tcW w:w="1890" w:type="pct"/>
            <w:tcBorders>
              <w:top w:val="single" w:sz="4" w:space="0" w:color="auto"/>
              <w:left w:val="single" w:sz="4" w:space="0" w:color="auto"/>
              <w:bottom w:val="single" w:sz="4" w:space="0" w:color="auto"/>
              <w:right w:val="single" w:sz="4" w:space="0" w:color="auto"/>
            </w:tcBorders>
          </w:tcPr>
          <w:p w14:paraId="519D7E14" w14:textId="5ED56CBA" w:rsidR="00A94677" w:rsidRPr="009E686F" w:rsidRDefault="00A94677" w:rsidP="00265766">
            <w:pPr>
              <w:spacing w:after="0"/>
              <w:jc w:val="both"/>
              <w:rPr>
                <w:rFonts w:ascii="Times New Roman" w:hAnsi="Times New Roman" w:cs="Times New Roman"/>
                <w:lang w:val="pt-BR"/>
              </w:rPr>
            </w:pPr>
            <w:r w:rsidRPr="009E686F">
              <w:rPr>
                <w:rFonts w:ascii="Times New Roman" w:hAnsi="Times New Roman" w:cs="Times New Roman"/>
                <w:lang w:val="pt-BR"/>
              </w:rPr>
              <w:t>(d) posibilitatea de substituire a activităților, serviciilor sau operațiunilor desfășurate sau infrastructura financiară furnizată de sucursala dintr-o țară terță;</w:t>
            </w:r>
          </w:p>
        </w:tc>
        <w:tc>
          <w:tcPr>
            <w:tcW w:w="1834" w:type="pct"/>
            <w:tcBorders>
              <w:top w:val="single" w:sz="4" w:space="0" w:color="auto"/>
              <w:left w:val="single" w:sz="4" w:space="0" w:color="auto"/>
              <w:bottom w:val="single" w:sz="4" w:space="0" w:color="auto"/>
              <w:right w:val="single" w:sz="4" w:space="0" w:color="auto"/>
            </w:tcBorders>
          </w:tcPr>
          <w:p w14:paraId="27157C37" w14:textId="35393BB7" w:rsidR="00A94677" w:rsidRPr="009E686F" w:rsidRDefault="00A94677" w:rsidP="00265766">
            <w:pPr>
              <w:spacing w:after="0"/>
              <w:jc w:val="both"/>
              <w:rPr>
                <w:rFonts w:ascii="Times New Roman" w:hAnsi="Times New Roman" w:cs="Times New Roman"/>
                <w:bCs/>
                <w:i/>
                <w:iCs/>
                <w:lang w:val="pt-BR"/>
              </w:rPr>
            </w:pPr>
            <w:r w:rsidRPr="009E686F">
              <w:rPr>
                <w:rFonts w:ascii="Times New Roman" w:hAnsi="Times New Roman" w:cs="Times New Roman"/>
                <w:bCs/>
                <w:i/>
                <w:iCs/>
                <w:lang w:val="pt-BR"/>
              </w:rPr>
              <w:t>d) posibilitatea de substituire a activităților, serviciilor sau operațiunilor desfășurate sau infrastructura financiară furnizată de sucursala dintr-un stat terț;</w:t>
            </w:r>
          </w:p>
        </w:tc>
        <w:tc>
          <w:tcPr>
            <w:tcW w:w="470" w:type="pct"/>
            <w:tcBorders>
              <w:top w:val="single" w:sz="4" w:space="0" w:color="auto"/>
              <w:left w:val="single" w:sz="4" w:space="0" w:color="auto"/>
              <w:bottom w:val="single" w:sz="4" w:space="0" w:color="auto"/>
              <w:right w:val="single" w:sz="4" w:space="0" w:color="auto"/>
            </w:tcBorders>
          </w:tcPr>
          <w:p w14:paraId="7E4B0E76" w14:textId="34FA087A" w:rsidR="00A94677" w:rsidRPr="009E686F" w:rsidRDefault="00A94677" w:rsidP="00265766">
            <w:pPr>
              <w:jc w:val="both"/>
              <w:rPr>
                <w:rFonts w:ascii="Times New Roman" w:hAnsi="Times New Roman" w:cs="Times New Roman"/>
                <w:lang w:val="pt-BR"/>
              </w:rPr>
            </w:pPr>
            <w:r w:rsidRPr="009E686F">
              <w:rPr>
                <w:rFonts w:ascii="Times New Roman" w:hAnsi="Times New Roman" w:cs="Times New Roman"/>
                <w:lang w:val="it-IT"/>
              </w:rPr>
              <w:t>Compatibil</w:t>
            </w:r>
          </w:p>
        </w:tc>
        <w:tc>
          <w:tcPr>
            <w:tcW w:w="806" w:type="pct"/>
            <w:vMerge/>
            <w:tcBorders>
              <w:left w:val="single" w:sz="4" w:space="0" w:color="auto"/>
              <w:right w:val="single" w:sz="4" w:space="0" w:color="auto"/>
            </w:tcBorders>
          </w:tcPr>
          <w:p w14:paraId="2076C5D2" w14:textId="77777777" w:rsidR="00A94677" w:rsidRPr="009E686F" w:rsidRDefault="00A94677" w:rsidP="00265766">
            <w:pPr>
              <w:spacing w:after="0"/>
              <w:jc w:val="both"/>
              <w:rPr>
                <w:rFonts w:ascii="Times New Roman" w:hAnsi="Times New Roman" w:cs="Times New Roman"/>
                <w:lang w:val="pt-BR"/>
              </w:rPr>
            </w:pPr>
          </w:p>
        </w:tc>
      </w:tr>
      <w:tr w:rsidR="00A94677" w:rsidRPr="009E686F" w14:paraId="63A26213" w14:textId="77777777" w:rsidTr="00352380">
        <w:tc>
          <w:tcPr>
            <w:tcW w:w="1890" w:type="pct"/>
            <w:tcBorders>
              <w:top w:val="single" w:sz="4" w:space="0" w:color="auto"/>
              <w:left w:val="single" w:sz="4" w:space="0" w:color="auto"/>
              <w:bottom w:val="single" w:sz="4" w:space="0" w:color="auto"/>
              <w:right w:val="single" w:sz="4" w:space="0" w:color="auto"/>
            </w:tcBorders>
          </w:tcPr>
          <w:p w14:paraId="4D68EBFE" w14:textId="06C5CC95" w:rsidR="00A94677" w:rsidRPr="009E686F" w:rsidRDefault="00A94677" w:rsidP="00265766">
            <w:pPr>
              <w:spacing w:after="0"/>
              <w:jc w:val="both"/>
              <w:rPr>
                <w:rFonts w:ascii="Times New Roman" w:hAnsi="Times New Roman" w:cs="Times New Roman"/>
              </w:rPr>
            </w:pPr>
            <w:r w:rsidRPr="009E686F">
              <w:rPr>
                <w:rFonts w:ascii="Times New Roman" w:hAnsi="Times New Roman" w:cs="Times New Roman"/>
              </w:rPr>
              <w:t>(e) cota de piață a sucursalei dintr-o țară terță în Uniune și în statul membru în care este stabilită în ceea ce privește activele bancare totale și în legătură cu activitățile și serviciile pe care le furnizează și cu operațiunile pe care le desfășoară;</w:t>
            </w:r>
          </w:p>
        </w:tc>
        <w:tc>
          <w:tcPr>
            <w:tcW w:w="1834" w:type="pct"/>
            <w:tcBorders>
              <w:top w:val="single" w:sz="4" w:space="0" w:color="auto"/>
              <w:left w:val="single" w:sz="4" w:space="0" w:color="auto"/>
              <w:bottom w:val="single" w:sz="4" w:space="0" w:color="auto"/>
              <w:right w:val="single" w:sz="4" w:space="0" w:color="auto"/>
            </w:tcBorders>
          </w:tcPr>
          <w:p w14:paraId="1F989346" w14:textId="5BDF176C" w:rsidR="00A94677" w:rsidRPr="009E686F" w:rsidRDefault="00A94677" w:rsidP="00265766">
            <w:pPr>
              <w:spacing w:after="0"/>
              <w:jc w:val="both"/>
              <w:rPr>
                <w:rFonts w:ascii="Times New Roman" w:hAnsi="Times New Roman" w:cs="Times New Roman"/>
                <w:i/>
              </w:rPr>
            </w:pPr>
            <w:r w:rsidRPr="009E686F">
              <w:rPr>
                <w:rFonts w:ascii="Times New Roman" w:hAnsi="Times New Roman" w:cs="Times New Roman"/>
                <w:i/>
              </w:rPr>
              <w:t>e) cota de piață a sucursalei dintr-un stat terț în UE și în Republica Moldova în ceea ce privește activele bancare totale și în legătură cu activitățile și serviciile pe care le furnizează și cu operațiunile pe care le desfășoară;</w:t>
            </w:r>
          </w:p>
        </w:tc>
        <w:tc>
          <w:tcPr>
            <w:tcW w:w="470" w:type="pct"/>
            <w:tcBorders>
              <w:top w:val="single" w:sz="4" w:space="0" w:color="auto"/>
              <w:left w:val="single" w:sz="4" w:space="0" w:color="auto"/>
              <w:bottom w:val="single" w:sz="4" w:space="0" w:color="auto"/>
              <w:right w:val="single" w:sz="4" w:space="0" w:color="auto"/>
            </w:tcBorders>
          </w:tcPr>
          <w:p w14:paraId="3B56B607" w14:textId="7723FC72" w:rsidR="00A94677" w:rsidRPr="009E686F" w:rsidRDefault="00A94677" w:rsidP="00265766">
            <w:pPr>
              <w:jc w:val="both"/>
              <w:rPr>
                <w:rFonts w:ascii="Times New Roman" w:hAnsi="Times New Roman" w:cs="Times New Roman"/>
                <w:lang w:val="pt-BR"/>
              </w:rPr>
            </w:pPr>
            <w:r w:rsidRPr="009E686F">
              <w:rPr>
                <w:rFonts w:ascii="Times New Roman" w:hAnsi="Times New Roman" w:cs="Times New Roman"/>
                <w:lang w:val="it-IT"/>
              </w:rPr>
              <w:t>Compatibil</w:t>
            </w:r>
          </w:p>
        </w:tc>
        <w:tc>
          <w:tcPr>
            <w:tcW w:w="806" w:type="pct"/>
            <w:vMerge/>
            <w:tcBorders>
              <w:left w:val="single" w:sz="4" w:space="0" w:color="auto"/>
              <w:right w:val="single" w:sz="4" w:space="0" w:color="auto"/>
            </w:tcBorders>
          </w:tcPr>
          <w:p w14:paraId="0891FCF8" w14:textId="77777777" w:rsidR="00A94677" w:rsidRPr="009E686F" w:rsidRDefault="00A94677" w:rsidP="00265766">
            <w:pPr>
              <w:spacing w:after="0"/>
              <w:jc w:val="both"/>
              <w:rPr>
                <w:rFonts w:ascii="Times New Roman" w:hAnsi="Times New Roman" w:cs="Times New Roman"/>
                <w:lang w:val="pt-BR"/>
              </w:rPr>
            </w:pPr>
          </w:p>
        </w:tc>
      </w:tr>
      <w:tr w:rsidR="00A94677" w:rsidRPr="009E686F" w14:paraId="3EE07A13" w14:textId="77777777" w:rsidTr="00352380">
        <w:tc>
          <w:tcPr>
            <w:tcW w:w="1890" w:type="pct"/>
            <w:tcBorders>
              <w:top w:val="single" w:sz="4" w:space="0" w:color="auto"/>
              <w:left w:val="single" w:sz="4" w:space="0" w:color="auto"/>
              <w:bottom w:val="single" w:sz="4" w:space="0" w:color="auto"/>
              <w:right w:val="single" w:sz="4" w:space="0" w:color="auto"/>
            </w:tcBorders>
          </w:tcPr>
          <w:p w14:paraId="70F0D104" w14:textId="2029EB66" w:rsidR="00A94677" w:rsidRPr="009E686F" w:rsidRDefault="00A94677" w:rsidP="00265766">
            <w:pPr>
              <w:spacing w:after="0"/>
              <w:jc w:val="both"/>
              <w:rPr>
                <w:rFonts w:ascii="Times New Roman" w:hAnsi="Times New Roman" w:cs="Times New Roman"/>
              </w:rPr>
            </w:pPr>
            <w:r w:rsidRPr="009E686F">
              <w:rPr>
                <w:rFonts w:ascii="Times New Roman" w:hAnsi="Times New Roman" w:cs="Times New Roman"/>
              </w:rPr>
              <w:t>(f) impactul probabil pe care l-ar avea suspendarea sau închiderea operațiunilor ori a activităților sucursalei dintr-o țară terță asupra lichidității sistemului financiar al statului membru în care este stabilită sucursala sau asupra sistemelor de plată, de compensare și de decontare din Uniune și din statul membru respectiv;</w:t>
            </w:r>
          </w:p>
        </w:tc>
        <w:tc>
          <w:tcPr>
            <w:tcW w:w="1834" w:type="pct"/>
            <w:tcBorders>
              <w:top w:val="single" w:sz="4" w:space="0" w:color="auto"/>
              <w:left w:val="single" w:sz="4" w:space="0" w:color="auto"/>
              <w:bottom w:val="single" w:sz="4" w:space="0" w:color="auto"/>
              <w:right w:val="single" w:sz="4" w:space="0" w:color="auto"/>
            </w:tcBorders>
          </w:tcPr>
          <w:p w14:paraId="5667D83B" w14:textId="18926C2B" w:rsidR="00A94677" w:rsidRPr="009E686F" w:rsidRDefault="00A94677" w:rsidP="00265766">
            <w:pPr>
              <w:spacing w:after="0"/>
              <w:jc w:val="both"/>
              <w:rPr>
                <w:rFonts w:ascii="Times New Roman" w:hAnsi="Times New Roman" w:cs="Times New Roman"/>
                <w:i/>
                <w:lang w:val="it-CH"/>
              </w:rPr>
            </w:pPr>
            <w:r w:rsidRPr="009E686F">
              <w:rPr>
                <w:rFonts w:ascii="Times New Roman" w:hAnsi="Times New Roman" w:cs="Times New Roman"/>
                <w:i/>
                <w:lang w:val="it-CH"/>
              </w:rPr>
              <w:t>f) impactul probabil pe care l-ar avea suspendarea sau închiderea operațiunilor ori a activităților sucursalei dintr-un stat terț asupra lichidității sistemului financiar al Republicii Moldova sau asupra sistemelor de plată, de compensare și de decontare din UE și din Republica Moldova;</w:t>
            </w:r>
          </w:p>
        </w:tc>
        <w:tc>
          <w:tcPr>
            <w:tcW w:w="470" w:type="pct"/>
            <w:tcBorders>
              <w:top w:val="single" w:sz="4" w:space="0" w:color="auto"/>
              <w:left w:val="single" w:sz="4" w:space="0" w:color="auto"/>
              <w:bottom w:val="single" w:sz="4" w:space="0" w:color="auto"/>
              <w:right w:val="single" w:sz="4" w:space="0" w:color="auto"/>
            </w:tcBorders>
          </w:tcPr>
          <w:p w14:paraId="68DF3363" w14:textId="3A98903C" w:rsidR="00A94677" w:rsidRPr="009E686F" w:rsidRDefault="00A94677" w:rsidP="00265766">
            <w:pPr>
              <w:jc w:val="both"/>
              <w:rPr>
                <w:rFonts w:ascii="Times New Roman" w:hAnsi="Times New Roman" w:cs="Times New Roman"/>
                <w:lang w:val="pt-BR"/>
              </w:rPr>
            </w:pPr>
            <w:r w:rsidRPr="009E686F">
              <w:rPr>
                <w:rFonts w:ascii="Times New Roman" w:hAnsi="Times New Roman" w:cs="Times New Roman"/>
                <w:lang w:val="it-IT"/>
              </w:rPr>
              <w:t>Compatibil</w:t>
            </w:r>
          </w:p>
        </w:tc>
        <w:tc>
          <w:tcPr>
            <w:tcW w:w="806" w:type="pct"/>
            <w:vMerge/>
            <w:tcBorders>
              <w:left w:val="single" w:sz="4" w:space="0" w:color="auto"/>
              <w:right w:val="single" w:sz="4" w:space="0" w:color="auto"/>
            </w:tcBorders>
          </w:tcPr>
          <w:p w14:paraId="55C342A4" w14:textId="77777777" w:rsidR="00A94677" w:rsidRPr="009E686F" w:rsidRDefault="00A94677" w:rsidP="00265766">
            <w:pPr>
              <w:spacing w:after="0"/>
              <w:jc w:val="both"/>
              <w:rPr>
                <w:rFonts w:ascii="Times New Roman" w:hAnsi="Times New Roman" w:cs="Times New Roman"/>
                <w:lang w:val="pt-BR"/>
              </w:rPr>
            </w:pPr>
          </w:p>
        </w:tc>
      </w:tr>
      <w:tr w:rsidR="00A94677" w:rsidRPr="009E686F" w14:paraId="55600630" w14:textId="77777777" w:rsidTr="00352380">
        <w:tc>
          <w:tcPr>
            <w:tcW w:w="1890" w:type="pct"/>
            <w:tcBorders>
              <w:top w:val="single" w:sz="4" w:space="0" w:color="auto"/>
              <w:left w:val="single" w:sz="4" w:space="0" w:color="auto"/>
              <w:bottom w:val="single" w:sz="4" w:space="0" w:color="auto"/>
              <w:right w:val="single" w:sz="4" w:space="0" w:color="auto"/>
            </w:tcBorders>
          </w:tcPr>
          <w:p w14:paraId="52A6CFC0" w14:textId="1C508922" w:rsidR="00A94677" w:rsidRPr="009E686F" w:rsidRDefault="00A94677" w:rsidP="00265766">
            <w:pPr>
              <w:spacing w:after="0"/>
              <w:jc w:val="both"/>
              <w:rPr>
                <w:rFonts w:ascii="Times New Roman" w:hAnsi="Times New Roman" w:cs="Times New Roman"/>
              </w:rPr>
            </w:pPr>
            <w:r w:rsidRPr="009E686F">
              <w:rPr>
                <w:rFonts w:ascii="Times New Roman" w:hAnsi="Times New Roman" w:cs="Times New Roman"/>
              </w:rPr>
              <w:t>(g) rolul și importanța sucursalei dintr-o țară terță pentru activitățile, serviciile și operațiunile grupului dintr-o țară terță în Uniune și în statul membru în care este stabilită respectiva sucursală;</w:t>
            </w:r>
          </w:p>
        </w:tc>
        <w:tc>
          <w:tcPr>
            <w:tcW w:w="1834" w:type="pct"/>
            <w:tcBorders>
              <w:top w:val="single" w:sz="4" w:space="0" w:color="auto"/>
              <w:left w:val="single" w:sz="4" w:space="0" w:color="auto"/>
              <w:bottom w:val="single" w:sz="4" w:space="0" w:color="auto"/>
              <w:right w:val="single" w:sz="4" w:space="0" w:color="auto"/>
            </w:tcBorders>
          </w:tcPr>
          <w:p w14:paraId="26C3F8B5" w14:textId="444C709B" w:rsidR="00A94677" w:rsidRPr="009E686F" w:rsidRDefault="00A94677" w:rsidP="00265766">
            <w:pPr>
              <w:spacing w:after="0"/>
              <w:jc w:val="both"/>
              <w:rPr>
                <w:rFonts w:ascii="Times New Roman" w:hAnsi="Times New Roman" w:cs="Times New Roman"/>
                <w:i/>
                <w:lang w:val="it-CH"/>
              </w:rPr>
            </w:pPr>
            <w:r w:rsidRPr="009E686F">
              <w:rPr>
                <w:rFonts w:ascii="Times New Roman" w:hAnsi="Times New Roman" w:cs="Times New Roman"/>
                <w:i/>
                <w:lang w:val="it-CH"/>
              </w:rPr>
              <w:t>g) rolul și importanța sucursalei dintr-un stat terț pentru activitățile, serviciile și operațiunile grupului dintr-un stat terț în UE și în Republica Moldova;</w:t>
            </w:r>
          </w:p>
        </w:tc>
        <w:tc>
          <w:tcPr>
            <w:tcW w:w="470" w:type="pct"/>
            <w:tcBorders>
              <w:top w:val="single" w:sz="4" w:space="0" w:color="auto"/>
              <w:left w:val="single" w:sz="4" w:space="0" w:color="auto"/>
              <w:bottom w:val="single" w:sz="4" w:space="0" w:color="auto"/>
              <w:right w:val="single" w:sz="4" w:space="0" w:color="auto"/>
            </w:tcBorders>
          </w:tcPr>
          <w:p w14:paraId="4728F425" w14:textId="4212012A" w:rsidR="00A94677" w:rsidRPr="009E686F" w:rsidRDefault="00A94677" w:rsidP="00265766">
            <w:pPr>
              <w:jc w:val="both"/>
              <w:rPr>
                <w:rFonts w:ascii="Times New Roman" w:hAnsi="Times New Roman" w:cs="Times New Roman"/>
                <w:lang w:val="pt-BR"/>
              </w:rPr>
            </w:pPr>
            <w:r w:rsidRPr="009E686F">
              <w:rPr>
                <w:rFonts w:ascii="Times New Roman" w:hAnsi="Times New Roman" w:cs="Times New Roman"/>
                <w:lang w:val="it-IT"/>
              </w:rPr>
              <w:t>Compatibil</w:t>
            </w:r>
          </w:p>
        </w:tc>
        <w:tc>
          <w:tcPr>
            <w:tcW w:w="806" w:type="pct"/>
            <w:vMerge/>
            <w:tcBorders>
              <w:left w:val="single" w:sz="4" w:space="0" w:color="auto"/>
              <w:right w:val="single" w:sz="4" w:space="0" w:color="auto"/>
            </w:tcBorders>
          </w:tcPr>
          <w:p w14:paraId="092B18B8" w14:textId="77777777" w:rsidR="00A94677" w:rsidRPr="009E686F" w:rsidRDefault="00A94677" w:rsidP="00265766">
            <w:pPr>
              <w:spacing w:after="0"/>
              <w:jc w:val="both"/>
              <w:rPr>
                <w:rFonts w:ascii="Times New Roman" w:hAnsi="Times New Roman" w:cs="Times New Roman"/>
                <w:lang w:val="pt-BR"/>
              </w:rPr>
            </w:pPr>
          </w:p>
        </w:tc>
      </w:tr>
      <w:tr w:rsidR="00A94677" w:rsidRPr="009E686F" w14:paraId="5C33A97B" w14:textId="77777777" w:rsidTr="00352380">
        <w:tc>
          <w:tcPr>
            <w:tcW w:w="1890" w:type="pct"/>
            <w:tcBorders>
              <w:top w:val="single" w:sz="4" w:space="0" w:color="auto"/>
              <w:left w:val="single" w:sz="4" w:space="0" w:color="auto"/>
              <w:bottom w:val="single" w:sz="4" w:space="0" w:color="auto"/>
              <w:right w:val="single" w:sz="4" w:space="0" w:color="auto"/>
            </w:tcBorders>
          </w:tcPr>
          <w:p w14:paraId="4F96CA18" w14:textId="436590A2" w:rsidR="00A94677" w:rsidRPr="009E686F" w:rsidRDefault="00A94677" w:rsidP="00265766">
            <w:pPr>
              <w:spacing w:after="0"/>
              <w:jc w:val="both"/>
              <w:rPr>
                <w:rFonts w:ascii="Times New Roman" w:hAnsi="Times New Roman" w:cs="Times New Roman"/>
              </w:rPr>
            </w:pPr>
            <w:r w:rsidRPr="009E686F">
              <w:rPr>
                <w:rFonts w:ascii="Times New Roman" w:hAnsi="Times New Roman" w:cs="Times New Roman"/>
              </w:rPr>
              <w:t>(h) rolul și importanța sucursalei dintr-o țară terță în contextul rezoluției sau al lichidării pe baza informațiilor furnizate de autoritatea de rezoluție;</w:t>
            </w:r>
          </w:p>
        </w:tc>
        <w:tc>
          <w:tcPr>
            <w:tcW w:w="1834" w:type="pct"/>
            <w:tcBorders>
              <w:top w:val="single" w:sz="4" w:space="0" w:color="auto"/>
              <w:left w:val="single" w:sz="4" w:space="0" w:color="auto"/>
              <w:bottom w:val="single" w:sz="4" w:space="0" w:color="auto"/>
              <w:right w:val="single" w:sz="4" w:space="0" w:color="auto"/>
            </w:tcBorders>
          </w:tcPr>
          <w:p w14:paraId="6740A71C" w14:textId="530B6DBC" w:rsidR="00A94677" w:rsidRPr="009E686F" w:rsidRDefault="00A94677" w:rsidP="00265766">
            <w:pPr>
              <w:spacing w:after="0"/>
              <w:jc w:val="both"/>
              <w:rPr>
                <w:rFonts w:ascii="Times New Roman" w:hAnsi="Times New Roman" w:cs="Times New Roman"/>
                <w:bCs/>
                <w:i/>
                <w:iCs/>
                <w:lang w:val="it-IT"/>
              </w:rPr>
            </w:pPr>
            <w:r w:rsidRPr="009E686F">
              <w:rPr>
                <w:rFonts w:ascii="Times New Roman" w:hAnsi="Times New Roman" w:cs="Times New Roman"/>
                <w:bCs/>
                <w:i/>
                <w:iCs/>
                <w:lang w:val="it-IT"/>
              </w:rPr>
              <w:t>h) rolul și importanța sucursalei dintr-un stat terț în contextul rezoluției sau al lichidării;</w:t>
            </w:r>
          </w:p>
        </w:tc>
        <w:tc>
          <w:tcPr>
            <w:tcW w:w="470" w:type="pct"/>
            <w:tcBorders>
              <w:top w:val="single" w:sz="4" w:space="0" w:color="auto"/>
              <w:left w:val="single" w:sz="4" w:space="0" w:color="auto"/>
              <w:bottom w:val="single" w:sz="4" w:space="0" w:color="auto"/>
              <w:right w:val="single" w:sz="4" w:space="0" w:color="auto"/>
            </w:tcBorders>
          </w:tcPr>
          <w:p w14:paraId="3657D91B" w14:textId="09E21A27" w:rsidR="00A94677" w:rsidRPr="009E686F" w:rsidRDefault="00A94677" w:rsidP="00265766">
            <w:pPr>
              <w:jc w:val="both"/>
              <w:rPr>
                <w:rFonts w:ascii="Times New Roman" w:hAnsi="Times New Roman" w:cs="Times New Roman"/>
                <w:lang w:val="it-IT"/>
              </w:rPr>
            </w:pPr>
            <w:r w:rsidRPr="009E686F">
              <w:rPr>
                <w:rFonts w:ascii="Times New Roman" w:hAnsi="Times New Roman" w:cs="Times New Roman"/>
                <w:lang w:val="it-IT"/>
              </w:rPr>
              <w:t>Compatibil</w:t>
            </w:r>
          </w:p>
        </w:tc>
        <w:tc>
          <w:tcPr>
            <w:tcW w:w="806" w:type="pct"/>
            <w:vMerge/>
            <w:tcBorders>
              <w:left w:val="single" w:sz="4" w:space="0" w:color="auto"/>
              <w:right w:val="single" w:sz="4" w:space="0" w:color="auto"/>
            </w:tcBorders>
          </w:tcPr>
          <w:p w14:paraId="6330A4EB" w14:textId="77777777" w:rsidR="00A94677" w:rsidRPr="009E686F" w:rsidRDefault="00A94677" w:rsidP="00265766">
            <w:pPr>
              <w:spacing w:after="0"/>
              <w:jc w:val="both"/>
              <w:rPr>
                <w:rFonts w:ascii="Times New Roman" w:hAnsi="Times New Roman" w:cs="Times New Roman"/>
                <w:lang w:val="it-IT"/>
              </w:rPr>
            </w:pPr>
          </w:p>
        </w:tc>
      </w:tr>
      <w:tr w:rsidR="00A94677" w:rsidRPr="009E686F" w14:paraId="32931E45" w14:textId="77777777" w:rsidTr="00352380">
        <w:tc>
          <w:tcPr>
            <w:tcW w:w="1890" w:type="pct"/>
            <w:tcBorders>
              <w:top w:val="single" w:sz="4" w:space="0" w:color="auto"/>
              <w:left w:val="single" w:sz="4" w:space="0" w:color="auto"/>
              <w:bottom w:val="single" w:sz="4" w:space="0" w:color="auto"/>
              <w:right w:val="single" w:sz="4" w:space="0" w:color="auto"/>
            </w:tcBorders>
          </w:tcPr>
          <w:p w14:paraId="1A13C068" w14:textId="0A6450C6" w:rsidR="00A94677" w:rsidRPr="009E686F" w:rsidRDefault="00A94677" w:rsidP="00265766">
            <w:pPr>
              <w:spacing w:after="0"/>
              <w:jc w:val="both"/>
              <w:rPr>
                <w:rFonts w:ascii="Times New Roman" w:hAnsi="Times New Roman" w:cs="Times New Roman"/>
              </w:rPr>
            </w:pPr>
            <w:r w:rsidRPr="009E686F">
              <w:rPr>
                <w:rFonts w:ascii="Times New Roman" w:hAnsi="Times New Roman" w:cs="Times New Roman"/>
              </w:rPr>
              <w:lastRenderedPageBreak/>
              <w:t>(i) volumul activităților grupului dintr-o țară terță desfășurate prin intermediul sucursalelor din țări terțe, raportat la activitățile respectivului grup desfășurate prin intermediul instituțiilor-filială autorizate în Uniune și în statele membre în care sunt stabilite sucursalele dintr-o țară terță.</w:t>
            </w:r>
          </w:p>
        </w:tc>
        <w:tc>
          <w:tcPr>
            <w:tcW w:w="1834" w:type="pct"/>
            <w:tcBorders>
              <w:top w:val="single" w:sz="4" w:space="0" w:color="auto"/>
              <w:left w:val="single" w:sz="4" w:space="0" w:color="auto"/>
              <w:bottom w:val="single" w:sz="4" w:space="0" w:color="auto"/>
              <w:right w:val="single" w:sz="4" w:space="0" w:color="auto"/>
            </w:tcBorders>
          </w:tcPr>
          <w:p w14:paraId="798B4B92" w14:textId="4388D2FC" w:rsidR="00A94677" w:rsidRPr="009E686F" w:rsidRDefault="00A94677" w:rsidP="00265766">
            <w:pPr>
              <w:spacing w:after="0"/>
              <w:jc w:val="both"/>
              <w:rPr>
                <w:rFonts w:ascii="Times New Roman" w:hAnsi="Times New Roman" w:cs="Times New Roman"/>
                <w:bCs/>
                <w:i/>
                <w:iCs/>
              </w:rPr>
            </w:pPr>
            <w:r w:rsidRPr="009E686F">
              <w:rPr>
                <w:rFonts w:ascii="Times New Roman" w:hAnsi="Times New Roman" w:cs="Times New Roman"/>
                <w:bCs/>
                <w:i/>
                <w:iCs/>
              </w:rPr>
              <w:t>i) volumul activităților grupului dintr-un stat terț desfășurate prin intermediul sucursalelor din state terțe, raportat la activitățile respectivului grup desfășurate prin intermediul instituțiilor de credit -filială autorizate în UE și în statele membre în care sunt stabilite sucursalele dintr-un stat terț.</w:t>
            </w:r>
          </w:p>
        </w:tc>
        <w:tc>
          <w:tcPr>
            <w:tcW w:w="470" w:type="pct"/>
            <w:tcBorders>
              <w:top w:val="single" w:sz="4" w:space="0" w:color="auto"/>
              <w:left w:val="single" w:sz="4" w:space="0" w:color="auto"/>
              <w:bottom w:val="single" w:sz="4" w:space="0" w:color="auto"/>
              <w:right w:val="single" w:sz="4" w:space="0" w:color="auto"/>
            </w:tcBorders>
          </w:tcPr>
          <w:p w14:paraId="6FDF1BE5" w14:textId="47C38E89" w:rsidR="00A94677" w:rsidRPr="009E686F" w:rsidRDefault="00A94677" w:rsidP="00265766">
            <w:pPr>
              <w:jc w:val="both"/>
              <w:rPr>
                <w:rFonts w:ascii="Times New Roman" w:hAnsi="Times New Roman" w:cs="Times New Roman"/>
                <w:lang w:val="it-IT"/>
              </w:rPr>
            </w:pPr>
            <w:r w:rsidRPr="009E686F">
              <w:rPr>
                <w:rFonts w:ascii="Times New Roman" w:hAnsi="Times New Roman" w:cs="Times New Roman"/>
                <w:lang w:val="it-IT"/>
              </w:rPr>
              <w:t>Compatibil</w:t>
            </w:r>
          </w:p>
        </w:tc>
        <w:tc>
          <w:tcPr>
            <w:tcW w:w="806" w:type="pct"/>
            <w:vMerge/>
            <w:tcBorders>
              <w:left w:val="single" w:sz="4" w:space="0" w:color="auto"/>
              <w:bottom w:val="single" w:sz="4" w:space="0" w:color="auto"/>
              <w:right w:val="single" w:sz="4" w:space="0" w:color="auto"/>
            </w:tcBorders>
          </w:tcPr>
          <w:p w14:paraId="5D3E1AB3" w14:textId="77777777" w:rsidR="00A94677" w:rsidRPr="009E686F" w:rsidRDefault="00A94677" w:rsidP="00265766">
            <w:pPr>
              <w:spacing w:after="0"/>
              <w:jc w:val="both"/>
              <w:rPr>
                <w:rFonts w:ascii="Times New Roman" w:hAnsi="Times New Roman" w:cs="Times New Roman"/>
                <w:lang w:val="it-IT"/>
              </w:rPr>
            </w:pPr>
          </w:p>
        </w:tc>
      </w:tr>
      <w:tr w:rsidR="00A94677" w:rsidRPr="009E686F" w14:paraId="225E59B8" w14:textId="77777777" w:rsidTr="004D7C7C">
        <w:tc>
          <w:tcPr>
            <w:tcW w:w="1890" w:type="pct"/>
            <w:tcBorders>
              <w:top w:val="single" w:sz="4" w:space="0" w:color="auto"/>
              <w:left w:val="single" w:sz="4" w:space="0" w:color="auto"/>
              <w:bottom w:val="single" w:sz="4" w:space="0" w:color="auto"/>
              <w:right w:val="single" w:sz="4" w:space="0" w:color="auto"/>
            </w:tcBorders>
          </w:tcPr>
          <w:p w14:paraId="0BCFBFF9" w14:textId="77777777" w:rsidR="00A94677" w:rsidRPr="009E686F" w:rsidRDefault="00A94677" w:rsidP="00265766">
            <w:pPr>
              <w:spacing w:after="0"/>
              <w:jc w:val="both"/>
              <w:rPr>
                <w:rFonts w:ascii="Times New Roman" w:hAnsi="Times New Roman" w:cs="Times New Roman"/>
                <w:lang w:val="it-IT"/>
              </w:rPr>
            </w:pPr>
            <w:r w:rsidRPr="009E686F">
              <w:rPr>
                <w:rFonts w:ascii="Times New Roman" w:hAnsi="Times New Roman" w:cs="Times New Roman"/>
                <w:lang w:val="it-IT"/>
              </w:rPr>
              <w:t xml:space="preserve">Articolul 48j </w:t>
            </w:r>
          </w:p>
          <w:p w14:paraId="4CD2440D" w14:textId="266F02EB" w:rsidR="00A94677" w:rsidRPr="009E686F" w:rsidRDefault="00A94677" w:rsidP="00265766">
            <w:pPr>
              <w:spacing w:after="0"/>
              <w:jc w:val="both"/>
              <w:rPr>
                <w:rFonts w:ascii="Times New Roman" w:hAnsi="Times New Roman" w:cs="Times New Roman"/>
                <w:lang w:val="it-IT"/>
              </w:rPr>
            </w:pPr>
            <w:r w:rsidRPr="009E686F">
              <w:rPr>
                <w:rFonts w:ascii="Times New Roman" w:hAnsi="Times New Roman" w:cs="Times New Roman"/>
                <w:lang w:val="it-IT"/>
              </w:rPr>
              <w:t>Evaluarea importanței sistemice și cerințele privind sucursalele din țări terțe care au o importanță sistemică</w:t>
            </w:r>
          </w:p>
        </w:tc>
        <w:tc>
          <w:tcPr>
            <w:tcW w:w="1834" w:type="pct"/>
            <w:tcBorders>
              <w:top w:val="single" w:sz="4" w:space="0" w:color="auto"/>
              <w:left w:val="single" w:sz="4" w:space="0" w:color="auto"/>
              <w:bottom w:val="single" w:sz="4" w:space="0" w:color="auto"/>
              <w:right w:val="single" w:sz="4" w:space="0" w:color="auto"/>
            </w:tcBorders>
          </w:tcPr>
          <w:p w14:paraId="0762B13A" w14:textId="77777777" w:rsidR="00A94677" w:rsidRPr="009E686F" w:rsidRDefault="00A94677" w:rsidP="00265766">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b/>
                <w:bCs/>
                <w:kern w:val="2"/>
                <w:lang w:val="ro-MD"/>
              </w:rPr>
              <w:t>Articolul 31</w:t>
            </w:r>
            <w:r w:rsidRPr="009E686F">
              <w:rPr>
                <w:rFonts w:ascii="Times New Roman" w:eastAsia="Aptos" w:hAnsi="Times New Roman" w:cs="Times New Roman"/>
                <w:b/>
                <w:bCs/>
                <w:kern w:val="2"/>
                <w:vertAlign w:val="superscript"/>
                <w:lang w:val="ro-MD"/>
              </w:rPr>
              <w:t>1</w:t>
            </w:r>
            <w:r w:rsidRPr="009E686F">
              <w:rPr>
                <w:rFonts w:ascii="Times New Roman" w:eastAsia="Aptos" w:hAnsi="Times New Roman" w:cs="Times New Roman"/>
                <w:b/>
                <w:bCs/>
                <w:kern w:val="2"/>
                <w:lang w:val="ro-MD"/>
              </w:rPr>
              <w:t>.</w:t>
            </w:r>
            <w:r w:rsidRPr="009E686F">
              <w:rPr>
                <w:rFonts w:ascii="Times New Roman" w:eastAsia="Aptos" w:hAnsi="Times New Roman" w:cs="Times New Roman"/>
                <w:kern w:val="2"/>
                <w:lang w:val="ro-MD"/>
              </w:rPr>
              <w:t xml:space="preserve"> </w:t>
            </w:r>
            <w:r w:rsidRPr="009E686F">
              <w:rPr>
                <w:rFonts w:ascii="Times New Roman" w:eastAsia="Aptos" w:hAnsi="Times New Roman" w:cs="Times New Roman"/>
                <w:i/>
                <w:iCs/>
                <w:kern w:val="2"/>
                <w:lang w:val="ro-MD"/>
              </w:rPr>
              <w:t>Cerințele privind sucursalele din state terțe care au o importanță sistemică și evaluarea importanței sistemice</w:t>
            </w:r>
            <w:r w:rsidRPr="009E686F">
              <w:rPr>
                <w:rFonts w:ascii="Times New Roman" w:eastAsia="Aptos" w:hAnsi="Times New Roman" w:cs="Times New Roman"/>
                <w:kern w:val="2"/>
                <w:lang w:val="ro-MD"/>
              </w:rPr>
              <w:t xml:space="preserve"> </w:t>
            </w:r>
          </w:p>
          <w:p w14:paraId="6D68EB36" w14:textId="77777777" w:rsidR="00A94677" w:rsidRPr="009E686F" w:rsidRDefault="00A94677" w:rsidP="00265766">
            <w:pPr>
              <w:spacing w:after="0"/>
              <w:jc w:val="both"/>
              <w:rPr>
                <w:rFonts w:ascii="Times New Roman" w:hAnsi="Times New Roman" w:cs="Times New Roman"/>
                <w:b/>
                <w:lang w:val="it-IT"/>
              </w:rPr>
            </w:pPr>
          </w:p>
        </w:tc>
        <w:tc>
          <w:tcPr>
            <w:tcW w:w="470" w:type="pct"/>
            <w:tcBorders>
              <w:top w:val="single" w:sz="4" w:space="0" w:color="auto"/>
              <w:left w:val="single" w:sz="4" w:space="0" w:color="auto"/>
              <w:bottom w:val="single" w:sz="4" w:space="0" w:color="auto"/>
              <w:right w:val="single" w:sz="4" w:space="0" w:color="auto"/>
            </w:tcBorders>
          </w:tcPr>
          <w:p w14:paraId="6D146D4D" w14:textId="343FF549" w:rsidR="00A94677" w:rsidRPr="009E686F" w:rsidRDefault="00A94677" w:rsidP="00265766">
            <w:pPr>
              <w:jc w:val="both"/>
              <w:rPr>
                <w:rFonts w:ascii="Times New Roman" w:hAnsi="Times New Roman" w:cs="Times New Roman"/>
                <w:lang w:val="it-IT"/>
              </w:rPr>
            </w:pPr>
            <w:r w:rsidRPr="009E686F">
              <w:rPr>
                <w:rFonts w:ascii="Times New Roman" w:hAnsi="Times New Roman" w:cs="Times New Roman"/>
                <w:lang w:val="it-IT"/>
              </w:rPr>
              <w:t>Compatibil</w:t>
            </w:r>
          </w:p>
        </w:tc>
        <w:tc>
          <w:tcPr>
            <w:tcW w:w="806" w:type="pct"/>
            <w:vMerge w:val="restart"/>
            <w:tcBorders>
              <w:top w:val="single" w:sz="4" w:space="0" w:color="auto"/>
              <w:left w:val="single" w:sz="4" w:space="0" w:color="auto"/>
              <w:right w:val="single" w:sz="4" w:space="0" w:color="auto"/>
            </w:tcBorders>
          </w:tcPr>
          <w:p w14:paraId="1F2E7059" w14:textId="77777777" w:rsidR="00A94677" w:rsidRPr="009E686F" w:rsidRDefault="00A94677" w:rsidP="00A94677">
            <w:r w:rsidRPr="009E686F">
              <w:rPr>
                <w:rFonts w:ascii="Times New Roman" w:hAnsi="Times New Roman" w:cs="Times New Roman"/>
                <w:lang w:val="ro-RO"/>
              </w:rPr>
              <w:t>În vigoare – data aderării.</w:t>
            </w:r>
          </w:p>
          <w:p w14:paraId="43B21863" w14:textId="77777777" w:rsidR="00A94677" w:rsidRPr="009E686F" w:rsidRDefault="00A94677" w:rsidP="00265766">
            <w:pPr>
              <w:spacing w:after="0"/>
              <w:jc w:val="both"/>
              <w:rPr>
                <w:rFonts w:ascii="Times New Roman" w:hAnsi="Times New Roman" w:cs="Times New Roman"/>
                <w:lang w:val="it-IT"/>
              </w:rPr>
            </w:pPr>
          </w:p>
        </w:tc>
      </w:tr>
      <w:tr w:rsidR="00A94677" w:rsidRPr="009E686F" w14:paraId="04DBA473" w14:textId="77777777" w:rsidTr="004D7C7C">
        <w:tc>
          <w:tcPr>
            <w:tcW w:w="1890" w:type="pct"/>
            <w:tcBorders>
              <w:top w:val="single" w:sz="4" w:space="0" w:color="auto"/>
              <w:left w:val="single" w:sz="4" w:space="0" w:color="auto"/>
              <w:bottom w:val="single" w:sz="4" w:space="0" w:color="auto"/>
              <w:right w:val="single" w:sz="4" w:space="0" w:color="auto"/>
            </w:tcBorders>
          </w:tcPr>
          <w:p w14:paraId="5FBC7A78" w14:textId="0E32AE08" w:rsidR="00A94677" w:rsidRPr="009E686F" w:rsidRDefault="00A94677" w:rsidP="00265766">
            <w:pPr>
              <w:spacing w:after="0"/>
              <w:jc w:val="both"/>
              <w:rPr>
                <w:rFonts w:ascii="Times New Roman" w:hAnsi="Times New Roman" w:cs="Times New Roman"/>
              </w:rPr>
            </w:pPr>
            <w:r w:rsidRPr="009E686F">
              <w:rPr>
                <w:rFonts w:ascii="Times New Roman" w:hAnsi="Times New Roman" w:cs="Times New Roman"/>
              </w:rPr>
              <w:t>(1) Sucursala dintr-o țară terță face obiectul evaluării prevăzute la alineatul (2) de la prezentul articol în cazul în care toate sucursalele din țări terțe stabilite în Uniune care aparțin aceluiași grup dintr-o țară terță au o valoare agregată a activelor în Uniune, astfel cum sunt raportate în conformitate cu subsecțiunea 4, cel puțin egală cu 40 de miliarde EUR fie:</w:t>
            </w:r>
          </w:p>
        </w:tc>
        <w:tc>
          <w:tcPr>
            <w:tcW w:w="1834" w:type="pct"/>
            <w:tcBorders>
              <w:top w:val="single" w:sz="4" w:space="0" w:color="auto"/>
              <w:left w:val="single" w:sz="4" w:space="0" w:color="auto"/>
              <w:bottom w:val="single" w:sz="4" w:space="0" w:color="auto"/>
              <w:right w:val="single" w:sz="4" w:space="0" w:color="auto"/>
            </w:tcBorders>
          </w:tcPr>
          <w:p w14:paraId="3773D743" w14:textId="016EC892" w:rsidR="00A94677" w:rsidRPr="009E686F" w:rsidRDefault="00A94677" w:rsidP="00265766">
            <w:pPr>
              <w:spacing w:after="0"/>
              <w:jc w:val="both"/>
              <w:rPr>
                <w:rFonts w:ascii="Times New Roman" w:hAnsi="Times New Roman" w:cs="Times New Roman"/>
                <w:i/>
                <w:lang w:val="it-CH"/>
              </w:rPr>
            </w:pPr>
            <w:r w:rsidRPr="009E686F">
              <w:rPr>
                <w:rFonts w:ascii="Times New Roman" w:hAnsi="Times New Roman" w:cs="Times New Roman"/>
                <w:bCs/>
                <w:i/>
                <w:iCs/>
              </w:rPr>
              <w:t xml:space="preserve">(1) Sucursala dint-un stat terț care aparține unui grup dintr-un stat terț în cadrul căruia toate sucursalele din state terțe stabilite în UE au o valoare agregată a activelor în Uniune cel puțin egală cu echivalentul în lei moldovenești a 40 de miliarde euro, calculată conform alin. </w:t>
            </w:r>
            <w:r w:rsidRPr="009E686F">
              <w:rPr>
                <w:rFonts w:ascii="Times New Roman" w:hAnsi="Times New Roman" w:cs="Times New Roman"/>
                <w:i/>
                <w:lang w:val="it-CH"/>
              </w:rPr>
              <w:t>(2) trebuie să fie evaluată de Banca Națională a Moldovei din perspectiva importanței sistemice și a potențialelor riscuri semnificative asupra stabilității financiare a Uniunii Europene sau a Republicii Moldova.</w:t>
            </w:r>
          </w:p>
          <w:p w14:paraId="637D76A5" w14:textId="619CC4AC" w:rsidR="00A94677" w:rsidRPr="009E686F" w:rsidRDefault="00A94677" w:rsidP="00265766">
            <w:pPr>
              <w:spacing w:after="0"/>
              <w:jc w:val="both"/>
              <w:rPr>
                <w:rFonts w:ascii="Times New Roman" w:hAnsi="Times New Roman" w:cs="Times New Roman"/>
                <w:bCs/>
                <w:i/>
                <w:iCs/>
                <w:lang w:val="pt-BR"/>
              </w:rPr>
            </w:pPr>
            <w:r w:rsidRPr="009E686F">
              <w:rPr>
                <w:rFonts w:ascii="Times New Roman" w:hAnsi="Times New Roman" w:cs="Times New Roman"/>
                <w:bCs/>
                <w:i/>
                <w:iCs/>
                <w:lang w:val="pt-BR"/>
              </w:rPr>
              <w:t>(2) Valoarea agregată a activelor menționată la alin. (1) se calculează după cum urmează:</w:t>
            </w:r>
          </w:p>
        </w:tc>
        <w:tc>
          <w:tcPr>
            <w:tcW w:w="470" w:type="pct"/>
            <w:tcBorders>
              <w:top w:val="single" w:sz="4" w:space="0" w:color="auto"/>
              <w:left w:val="single" w:sz="4" w:space="0" w:color="auto"/>
              <w:bottom w:val="single" w:sz="4" w:space="0" w:color="auto"/>
              <w:right w:val="single" w:sz="4" w:space="0" w:color="auto"/>
            </w:tcBorders>
          </w:tcPr>
          <w:p w14:paraId="5F3D83E9" w14:textId="14B1D15B" w:rsidR="00A94677" w:rsidRPr="009E686F" w:rsidRDefault="00A94677" w:rsidP="00265766">
            <w:pPr>
              <w:jc w:val="both"/>
              <w:rPr>
                <w:rFonts w:ascii="Times New Roman" w:hAnsi="Times New Roman" w:cs="Times New Roman"/>
                <w:lang w:val="pt-BR"/>
              </w:rPr>
            </w:pPr>
            <w:r w:rsidRPr="009E686F">
              <w:rPr>
                <w:rFonts w:ascii="Times New Roman" w:hAnsi="Times New Roman" w:cs="Times New Roman"/>
                <w:lang w:val="it-IT"/>
              </w:rPr>
              <w:t>Compatibil</w:t>
            </w:r>
          </w:p>
        </w:tc>
        <w:tc>
          <w:tcPr>
            <w:tcW w:w="806" w:type="pct"/>
            <w:vMerge/>
            <w:tcBorders>
              <w:left w:val="single" w:sz="4" w:space="0" w:color="auto"/>
              <w:right w:val="single" w:sz="4" w:space="0" w:color="auto"/>
            </w:tcBorders>
          </w:tcPr>
          <w:p w14:paraId="55FA7808" w14:textId="77777777" w:rsidR="00A94677" w:rsidRPr="009E686F" w:rsidRDefault="00A94677" w:rsidP="00265766">
            <w:pPr>
              <w:spacing w:after="0"/>
              <w:jc w:val="both"/>
              <w:rPr>
                <w:rFonts w:ascii="Times New Roman" w:hAnsi="Times New Roman" w:cs="Times New Roman"/>
                <w:lang w:val="pt-BR"/>
              </w:rPr>
            </w:pPr>
          </w:p>
        </w:tc>
      </w:tr>
      <w:tr w:rsidR="00A94677" w:rsidRPr="009E686F" w14:paraId="7F4E7F42" w14:textId="77777777" w:rsidTr="004D7C7C">
        <w:tc>
          <w:tcPr>
            <w:tcW w:w="1890" w:type="pct"/>
            <w:tcBorders>
              <w:top w:val="single" w:sz="4" w:space="0" w:color="auto"/>
              <w:left w:val="single" w:sz="4" w:space="0" w:color="auto"/>
              <w:bottom w:val="single" w:sz="4" w:space="0" w:color="auto"/>
              <w:right w:val="single" w:sz="4" w:space="0" w:color="auto"/>
            </w:tcBorders>
          </w:tcPr>
          <w:p w14:paraId="433C6B98" w14:textId="554BAEF9" w:rsidR="00A94677" w:rsidRPr="009E686F" w:rsidRDefault="00A94677" w:rsidP="00265766">
            <w:pPr>
              <w:spacing w:after="0"/>
              <w:jc w:val="both"/>
              <w:rPr>
                <w:rFonts w:ascii="Times New Roman" w:hAnsi="Times New Roman" w:cs="Times New Roman"/>
                <w:lang w:val="it-IT"/>
              </w:rPr>
            </w:pPr>
            <w:r w:rsidRPr="009E686F">
              <w:rPr>
                <w:rFonts w:ascii="Times New Roman" w:hAnsi="Times New Roman" w:cs="Times New Roman"/>
                <w:lang w:val="it-IT"/>
              </w:rPr>
              <w:t>(a) în medie pentru cele trei perioade anuale de raportare imediat precedente, fie</w:t>
            </w:r>
          </w:p>
        </w:tc>
        <w:tc>
          <w:tcPr>
            <w:tcW w:w="1834" w:type="pct"/>
            <w:tcBorders>
              <w:top w:val="single" w:sz="4" w:space="0" w:color="auto"/>
              <w:left w:val="single" w:sz="4" w:space="0" w:color="auto"/>
              <w:bottom w:val="single" w:sz="4" w:space="0" w:color="auto"/>
              <w:right w:val="single" w:sz="4" w:space="0" w:color="auto"/>
            </w:tcBorders>
          </w:tcPr>
          <w:p w14:paraId="7CD6BFCA" w14:textId="58284FB1" w:rsidR="00A94677" w:rsidRPr="009E686F" w:rsidRDefault="00A94677" w:rsidP="00265766">
            <w:pPr>
              <w:spacing w:after="0"/>
              <w:jc w:val="both"/>
              <w:rPr>
                <w:rFonts w:ascii="Times New Roman" w:hAnsi="Times New Roman" w:cs="Times New Roman"/>
                <w:bCs/>
                <w:i/>
                <w:iCs/>
                <w:lang w:val="it-IT"/>
              </w:rPr>
            </w:pPr>
            <w:r w:rsidRPr="009E686F">
              <w:rPr>
                <w:rFonts w:ascii="Times New Roman" w:hAnsi="Times New Roman" w:cs="Times New Roman"/>
                <w:bCs/>
                <w:i/>
                <w:iCs/>
                <w:lang w:val="it-IT"/>
              </w:rPr>
              <w:t>a) fie în medie pentru cele trei perioade anuale de raportare imediat precedente, fie</w:t>
            </w:r>
          </w:p>
        </w:tc>
        <w:tc>
          <w:tcPr>
            <w:tcW w:w="470" w:type="pct"/>
            <w:tcBorders>
              <w:top w:val="single" w:sz="4" w:space="0" w:color="auto"/>
              <w:left w:val="single" w:sz="4" w:space="0" w:color="auto"/>
              <w:bottom w:val="single" w:sz="4" w:space="0" w:color="auto"/>
              <w:right w:val="single" w:sz="4" w:space="0" w:color="auto"/>
            </w:tcBorders>
          </w:tcPr>
          <w:p w14:paraId="55889900" w14:textId="04B94FC0" w:rsidR="00A94677" w:rsidRPr="009E686F" w:rsidRDefault="00A94677" w:rsidP="00265766">
            <w:pPr>
              <w:jc w:val="both"/>
              <w:rPr>
                <w:rFonts w:ascii="Times New Roman" w:hAnsi="Times New Roman" w:cs="Times New Roman"/>
                <w:lang w:val="it-IT"/>
              </w:rPr>
            </w:pPr>
            <w:r w:rsidRPr="009E686F">
              <w:rPr>
                <w:rFonts w:ascii="Times New Roman" w:hAnsi="Times New Roman" w:cs="Times New Roman"/>
                <w:lang w:val="it-IT"/>
              </w:rPr>
              <w:t>Compatibil</w:t>
            </w:r>
          </w:p>
        </w:tc>
        <w:tc>
          <w:tcPr>
            <w:tcW w:w="806" w:type="pct"/>
            <w:vMerge/>
            <w:tcBorders>
              <w:left w:val="single" w:sz="4" w:space="0" w:color="auto"/>
              <w:right w:val="single" w:sz="4" w:space="0" w:color="auto"/>
            </w:tcBorders>
          </w:tcPr>
          <w:p w14:paraId="74626F23" w14:textId="77777777" w:rsidR="00A94677" w:rsidRPr="009E686F" w:rsidRDefault="00A94677" w:rsidP="00265766">
            <w:pPr>
              <w:spacing w:after="0"/>
              <w:jc w:val="both"/>
              <w:rPr>
                <w:rFonts w:ascii="Times New Roman" w:hAnsi="Times New Roman" w:cs="Times New Roman"/>
                <w:lang w:val="it-IT"/>
              </w:rPr>
            </w:pPr>
          </w:p>
        </w:tc>
      </w:tr>
      <w:tr w:rsidR="00A94677" w:rsidRPr="009E686F" w14:paraId="0E1BC4BE" w14:textId="77777777" w:rsidTr="004D7C7C">
        <w:tc>
          <w:tcPr>
            <w:tcW w:w="1890" w:type="pct"/>
            <w:tcBorders>
              <w:top w:val="single" w:sz="4" w:space="0" w:color="auto"/>
              <w:left w:val="single" w:sz="4" w:space="0" w:color="auto"/>
              <w:bottom w:val="single" w:sz="4" w:space="0" w:color="auto"/>
              <w:right w:val="single" w:sz="4" w:space="0" w:color="auto"/>
            </w:tcBorders>
          </w:tcPr>
          <w:p w14:paraId="7E187F61" w14:textId="2449393F" w:rsidR="00A94677" w:rsidRPr="009E686F" w:rsidRDefault="00A94677" w:rsidP="00265766">
            <w:pPr>
              <w:spacing w:after="0"/>
              <w:jc w:val="both"/>
              <w:rPr>
                <w:rFonts w:ascii="Times New Roman" w:hAnsi="Times New Roman" w:cs="Times New Roman"/>
                <w:lang w:val="it-CH"/>
              </w:rPr>
            </w:pPr>
            <w:r w:rsidRPr="009E686F">
              <w:rPr>
                <w:rFonts w:ascii="Times New Roman" w:hAnsi="Times New Roman" w:cs="Times New Roman"/>
                <w:lang w:val="it-CH"/>
              </w:rPr>
              <w:t>(b) în valoare absolută, pentru cel puțin trei perioade anuale de raportare în cursul celor cinci perioade anuale de raportare imediat precedente.</w:t>
            </w:r>
          </w:p>
        </w:tc>
        <w:tc>
          <w:tcPr>
            <w:tcW w:w="1834" w:type="pct"/>
            <w:tcBorders>
              <w:top w:val="single" w:sz="4" w:space="0" w:color="auto"/>
              <w:left w:val="single" w:sz="4" w:space="0" w:color="auto"/>
              <w:bottom w:val="single" w:sz="4" w:space="0" w:color="auto"/>
              <w:right w:val="single" w:sz="4" w:space="0" w:color="auto"/>
            </w:tcBorders>
          </w:tcPr>
          <w:p w14:paraId="5F7C5EF0" w14:textId="2EEA3F7C" w:rsidR="00A94677" w:rsidRPr="009E686F" w:rsidRDefault="00A94677" w:rsidP="00265766">
            <w:pPr>
              <w:spacing w:after="0"/>
              <w:jc w:val="both"/>
              <w:rPr>
                <w:rFonts w:ascii="Times New Roman" w:hAnsi="Times New Roman" w:cs="Times New Roman"/>
                <w:i/>
                <w:lang w:val="it-CH"/>
              </w:rPr>
            </w:pPr>
            <w:r w:rsidRPr="009E686F">
              <w:rPr>
                <w:rFonts w:ascii="Times New Roman" w:hAnsi="Times New Roman" w:cs="Times New Roman"/>
                <w:i/>
                <w:lang w:val="it-CH"/>
              </w:rPr>
              <w:t>b) în valoare absolută, pentru cel puțin trei perioade anuale de raportare în cursul celor cinci perioade anuale de raportare imediat precedente.</w:t>
            </w:r>
          </w:p>
        </w:tc>
        <w:tc>
          <w:tcPr>
            <w:tcW w:w="470" w:type="pct"/>
            <w:tcBorders>
              <w:top w:val="single" w:sz="4" w:space="0" w:color="auto"/>
              <w:left w:val="single" w:sz="4" w:space="0" w:color="auto"/>
              <w:bottom w:val="single" w:sz="4" w:space="0" w:color="auto"/>
              <w:right w:val="single" w:sz="4" w:space="0" w:color="auto"/>
            </w:tcBorders>
          </w:tcPr>
          <w:p w14:paraId="41530B55" w14:textId="54353B5C" w:rsidR="00A94677" w:rsidRPr="009E686F" w:rsidRDefault="00A94677" w:rsidP="00265766">
            <w:pPr>
              <w:jc w:val="both"/>
              <w:rPr>
                <w:rFonts w:ascii="Times New Roman" w:hAnsi="Times New Roman" w:cs="Times New Roman"/>
                <w:lang w:val="it-IT"/>
              </w:rPr>
            </w:pPr>
            <w:r w:rsidRPr="009E686F">
              <w:rPr>
                <w:rFonts w:ascii="Times New Roman" w:hAnsi="Times New Roman" w:cs="Times New Roman"/>
                <w:lang w:val="it-IT"/>
              </w:rPr>
              <w:t>Compatibil</w:t>
            </w:r>
          </w:p>
        </w:tc>
        <w:tc>
          <w:tcPr>
            <w:tcW w:w="806" w:type="pct"/>
            <w:vMerge/>
            <w:tcBorders>
              <w:left w:val="single" w:sz="4" w:space="0" w:color="auto"/>
              <w:right w:val="single" w:sz="4" w:space="0" w:color="auto"/>
            </w:tcBorders>
          </w:tcPr>
          <w:p w14:paraId="29E6962B" w14:textId="77777777" w:rsidR="00A94677" w:rsidRPr="009E686F" w:rsidRDefault="00A94677" w:rsidP="00265766">
            <w:pPr>
              <w:spacing w:after="0"/>
              <w:jc w:val="both"/>
              <w:rPr>
                <w:rFonts w:ascii="Times New Roman" w:hAnsi="Times New Roman" w:cs="Times New Roman"/>
                <w:lang w:val="it-IT"/>
              </w:rPr>
            </w:pPr>
          </w:p>
        </w:tc>
      </w:tr>
      <w:tr w:rsidR="00A94677" w:rsidRPr="009E686F" w14:paraId="026A077B" w14:textId="77777777" w:rsidTr="004D7C7C">
        <w:tc>
          <w:tcPr>
            <w:tcW w:w="1890" w:type="pct"/>
            <w:tcBorders>
              <w:top w:val="single" w:sz="4" w:space="0" w:color="auto"/>
              <w:left w:val="single" w:sz="4" w:space="0" w:color="auto"/>
              <w:bottom w:val="single" w:sz="4" w:space="0" w:color="auto"/>
              <w:right w:val="single" w:sz="4" w:space="0" w:color="auto"/>
            </w:tcBorders>
          </w:tcPr>
          <w:p w14:paraId="2F192FCB" w14:textId="2682C960" w:rsidR="00A94677" w:rsidRPr="009E686F" w:rsidRDefault="00A94677" w:rsidP="00265766">
            <w:pPr>
              <w:spacing w:after="0"/>
              <w:jc w:val="both"/>
              <w:rPr>
                <w:rFonts w:ascii="Times New Roman" w:hAnsi="Times New Roman" w:cs="Times New Roman"/>
              </w:rPr>
            </w:pPr>
            <w:r w:rsidRPr="009E686F">
              <w:rPr>
                <w:rFonts w:ascii="Times New Roman" w:hAnsi="Times New Roman" w:cs="Times New Roman"/>
              </w:rPr>
              <w:t>Pragul activelor menționat la primul paragraf nu include activele deținute de sucursalele dintr-o țară terță în legătură cu operațiunile de piață ale băncii centrale derulate împreună cu băncile centrale din cadrul SEBC.</w:t>
            </w:r>
          </w:p>
        </w:tc>
        <w:tc>
          <w:tcPr>
            <w:tcW w:w="1834" w:type="pct"/>
            <w:tcBorders>
              <w:top w:val="single" w:sz="4" w:space="0" w:color="auto"/>
              <w:left w:val="single" w:sz="4" w:space="0" w:color="auto"/>
              <w:bottom w:val="single" w:sz="4" w:space="0" w:color="auto"/>
              <w:right w:val="single" w:sz="4" w:space="0" w:color="auto"/>
            </w:tcBorders>
          </w:tcPr>
          <w:p w14:paraId="08D1ACD5" w14:textId="20448DEA" w:rsidR="00A94677" w:rsidRPr="009E686F" w:rsidRDefault="00A94677" w:rsidP="00265766">
            <w:pPr>
              <w:spacing w:after="0"/>
              <w:jc w:val="both"/>
              <w:rPr>
                <w:rFonts w:ascii="Times New Roman" w:hAnsi="Times New Roman" w:cs="Times New Roman"/>
                <w:i/>
                <w:lang w:val="it-CH"/>
              </w:rPr>
            </w:pPr>
            <w:r w:rsidRPr="009E686F">
              <w:rPr>
                <w:rFonts w:ascii="Times New Roman" w:hAnsi="Times New Roman" w:cs="Times New Roman"/>
                <w:bCs/>
                <w:i/>
                <w:iCs/>
              </w:rPr>
              <w:t xml:space="preserve">Pragul activelor menționat la alin. </w:t>
            </w:r>
            <w:r w:rsidRPr="009E686F">
              <w:rPr>
                <w:rFonts w:ascii="Times New Roman" w:hAnsi="Times New Roman" w:cs="Times New Roman"/>
                <w:i/>
                <w:lang w:val="it-CH"/>
              </w:rPr>
              <w:t>(1) nu include activele deținute de sucursalele dintr-un stat terț în legătură cu operațiunile de piață ale băncii centrale derulate împreună cu băncile centrale din cadrul SEBC.</w:t>
            </w:r>
          </w:p>
        </w:tc>
        <w:tc>
          <w:tcPr>
            <w:tcW w:w="470" w:type="pct"/>
            <w:tcBorders>
              <w:top w:val="single" w:sz="4" w:space="0" w:color="auto"/>
              <w:left w:val="single" w:sz="4" w:space="0" w:color="auto"/>
              <w:bottom w:val="single" w:sz="4" w:space="0" w:color="auto"/>
              <w:right w:val="single" w:sz="4" w:space="0" w:color="auto"/>
            </w:tcBorders>
          </w:tcPr>
          <w:p w14:paraId="6EE0220C" w14:textId="1933249F" w:rsidR="00A94677" w:rsidRPr="009E686F" w:rsidRDefault="00A94677" w:rsidP="00265766">
            <w:pPr>
              <w:jc w:val="both"/>
              <w:rPr>
                <w:rFonts w:ascii="Times New Roman" w:hAnsi="Times New Roman" w:cs="Times New Roman"/>
                <w:lang w:val="it-IT"/>
              </w:rPr>
            </w:pPr>
            <w:r w:rsidRPr="009E686F">
              <w:rPr>
                <w:rFonts w:ascii="Times New Roman" w:hAnsi="Times New Roman" w:cs="Times New Roman"/>
                <w:lang w:val="it-IT"/>
              </w:rPr>
              <w:t>Compatibil</w:t>
            </w:r>
          </w:p>
        </w:tc>
        <w:tc>
          <w:tcPr>
            <w:tcW w:w="806" w:type="pct"/>
            <w:vMerge/>
            <w:tcBorders>
              <w:left w:val="single" w:sz="4" w:space="0" w:color="auto"/>
              <w:bottom w:val="single" w:sz="4" w:space="0" w:color="auto"/>
              <w:right w:val="single" w:sz="4" w:space="0" w:color="auto"/>
            </w:tcBorders>
          </w:tcPr>
          <w:p w14:paraId="278708D1" w14:textId="77777777" w:rsidR="00A94677" w:rsidRPr="009E686F" w:rsidRDefault="00A94677" w:rsidP="00265766">
            <w:pPr>
              <w:spacing w:after="0"/>
              <w:jc w:val="both"/>
              <w:rPr>
                <w:rFonts w:ascii="Times New Roman" w:hAnsi="Times New Roman" w:cs="Times New Roman"/>
                <w:lang w:val="it-IT"/>
              </w:rPr>
            </w:pPr>
          </w:p>
        </w:tc>
      </w:tr>
      <w:tr w:rsidR="00265766" w:rsidRPr="009E686F" w14:paraId="5B9525E0" w14:textId="77777777" w:rsidTr="00960C23">
        <w:tc>
          <w:tcPr>
            <w:tcW w:w="1890" w:type="pct"/>
            <w:tcBorders>
              <w:top w:val="single" w:sz="4" w:space="0" w:color="auto"/>
              <w:left w:val="single" w:sz="4" w:space="0" w:color="auto"/>
              <w:bottom w:val="single" w:sz="4" w:space="0" w:color="auto"/>
              <w:right w:val="single" w:sz="4" w:space="0" w:color="auto"/>
            </w:tcBorders>
          </w:tcPr>
          <w:p w14:paraId="5A9C8EBC" w14:textId="3602B347" w:rsidR="00265766" w:rsidRPr="009E686F" w:rsidRDefault="00265766" w:rsidP="00265766">
            <w:pPr>
              <w:spacing w:after="0"/>
              <w:jc w:val="both"/>
              <w:rPr>
                <w:rFonts w:ascii="Times New Roman" w:hAnsi="Times New Roman" w:cs="Times New Roman"/>
                <w:lang w:val="it-IT"/>
              </w:rPr>
            </w:pPr>
            <w:r w:rsidRPr="009E686F">
              <w:rPr>
                <w:rFonts w:ascii="Times New Roman" w:hAnsi="Times New Roman" w:cs="Times New Roman"/>
              </w:rPr>
              <w:t xml:space="preserve">(2) Autoritatea competentă responsabilă cu supravegherea unei sucursale dintr-o țară terță care aparține unui grup dintr-o țară </w:t>
            </w:r>
            <w:r w:rsidRPr="009E686F">
              <w:rPr>
                <w:rFonts w:ascii="Times New Roman" w:hAnsi="Times New Roman" w:cs="Times New Roman"/>
              </w:rPr>
              <w:lastRenderedPageBreak/>
              <w:t xml:space="preserve">terță în cadrul căruia toate sucursalele din țări terțe stabilite în Uniune au o valoare agregată a activelor în Uniune cel puțin egală cu 40 de miliarde EUR evaluează dacă sucursala dintr-o țară terță aflată sub supravegherea sa are o importanță sistemică și prezintă riscuri semnificative pentru stabilitatea financiară a Uniunii sau a statului membru în care este stabilită. </w:t>
            </w:r>
            <w:r w:rsidRPr="009E686F">
              <w:rPr>
                <w:rFonts w:ascii="Times New Roman" w:hAnsi="Times New Roman" w:cs="Times New Roman"/>
                <w:lang w:val="it-IT"/>
              </w:rPr>
              <w:t>În acest sens, autoritățile competente iau în considerare, în special, indicatorii de importanță sistemică menționați la articolul 48j alineatul (2) și la articolul 131 alineatul (3).</w:t>
            </w:r>
          </w:p>
        </w:tc>
        <w:tc>
          <w:tcPr>
            <w:tcW w:w="1834" w:type="pct"/>
            <w:tcBorders>
              <w:top w:val="single" w:sz="4" w:space="0" w:color="auto"/>
              <w:left w:val="single" w:sz="4" w:space="0" w:color="auto"/>
              <w:bottom w:val="single" w:sz="4" w:space="0" w:color="auto"/>
              <w:right w:val="single" w:sz="4" w:space="0" w:color="auto"/>
            </w:tcBorders>
          </w:tcPr>
          <w:p w14:paraId="47ECFFFB" w14:textId="77777777" w:rsidR="00265766" w:rsidRPr="009E686F" w:rsidRDefault="00265766" w:rsidP="00265766">
            <w:pPr>
              <w:spacing w:after="0"/>
              <w:jc w:val="both"/>
              <w:rPr>
                <w:rFonts w:ascii="Times New Roman" w:hAnsi="Times New Roman" w:cs="Times New Roman"/>
                <w:bCs/>
                <w:i/>
                <w:iCs/>
                <w:lang w:val="it-IT"/>
              </w:rPr>
            </w:pPr>
            <w:r w:rsidRPr="009E686F">
              <w:rPr>
                <w:rFonts w:ascii="Times New Roman" w:hAnsi="Times New Roman" w:cs="Times New Roman"/>
                <w:bCs/>
                <w:i/>
                <w:iCs/>
                <w:lang w:val="it-IT"/>
              </w:rPr>
              <w:lastRenderedPageBreak/>
              <w:t xml:space="preserve">(1) Sucursala dint-un stat terț care aparține unui grup dintr-un stat terț în cadrul căruia toate sucursalele din state terțe </w:t>
            </w:r>
            <w:r w:rsidRPr="009E686F">
              <w:rPr>
                <w:rFonts w:ascii="Times New Roman" w:hAnsi="Times New Roman" w:cs="Times New Roman"/>
                <w:bCs/>
                <w:i/>
                <w:iCs/>
                <w:lang w:val="it-IT"/>
              </w:rPr>
              <w:lastRenderedPageBreak/>
              <w:t>stabilite în Uniunea Europeană au o valoare agregată a activelor în Uniune cel puțin egală cu echivalentul în MDL a 40 de miliarde EUR, calculată conform alin. (2) trebuie să fie evaluată de Banca Națională a Moldovei din perspectiva importanței sistemice și a potențialelor riscuri semnificative asupra stabilității financiare a Uniunii Europene sau a Republicii Moldova.</w:t>
            </w:r>
          </w:p>
          <w:p w14:paraId="3CBB4F95" w14:textId="7B87E2FC" w:rsidR="00265766" w:rsidRPr="009E686F" w:rsidRDefault="00265766" w:rsidP="00265766">
            <w:pPr>
              <w:spacing w:after="0"/>
              <w:jc w:val="both"/>
              <w:rPr>
                <w:rFonts w:ascii="Times New Roman" w:hAnsi="Times New Roman" w:cs="Times New Roman"/>
                <w:bCs/>
                <w:lang w:val="it-IT"/>
              </w:rPr>
            </w:pPr>
          </w:p>
        </w:tc>
        <w:tc>
          <w:tcPr>
            <w:tcW w:w="470" w:type="pct"/>
            <w:tcBorders>
              <w:top w:val="single" w:sz="4" w:space="0" w:color="auto"/>
              <w:left w:val="single" w:sz="4" w:space="0" w:color="auto"/>
              <w:bottom w:val="single" w:sz="4" w:space="0" w:color="auto"/>
              <w:right w:val="single" w:sz="4" w:space="0" w:color="auto"/>
            </w:tcBorders>
          </w:tcPr>
          <w:p w14:paraId="78E8EE87" w14:textId="743E3AB8" w:rsidR="00265766" w:rsidRPr="009E686F" w:rsidRDefault="00265766" w:rsidP="00265766">
            <w:pPr>
              <w:jc w:val="both"/>
              <w:rPr>
                <w:rFonts w:ascii="Times New Roman" w:hAnsi="Times New Roman" w:cs="Times New Roman"/>
                <w:lang w:val="it-IT"/>
              </w:rPr>
            </w:pPr>
            <w:r w:rsidRPr="009E686F">
              <w:rPr>
                <w:rFonts w:ascii="Times New Roman" w:hAnsi="Times New Roman" w:cs="Times New Roman"/>
                <w:lang w:val="it-IT"/>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6BBC3724" w14:textId="77777777" w:rsidR="00A94677" w:rsidRPr="009E686F" w:rsidRDefault="00A94677" w:rsidP="00A94677">
            <w:r w:rsidRPr="009E686F">
              <w:rPr>
                <w:rFonts w:ascii="Times New Roman" w:hAnsi="Times New Roman" w:cs="Times New Roman"/>
                <w:lang w:val="ro-RO"/>
              </w:rPr>
              <w:t>În vigoare – data aderării.</w:t>
            </w:r>
          </w:p>
          <w:p w14:paraId="1B13A45C" w14:textId="77777777" w:rsidR="00265766" w:rsidRPr="009E686F" w:rsidRDefault="00265766" w:rsidP="00265766">
            <w:pPr>
              <w:spacing w:after="0"/>
              <w:jc w:val="both"/>
              <w:rPr>
                <w:rFonts w:ascii="Times New Roman" w:hAnsi="Times New Roman" w:cs="Times New Roman"/>
                <w:b/>
                <w:bCs/>
                <w:lang w:val="it-IT"/>
              </w:rPr>
            </w:pPr>
          </w:p>
        </w:tc>
      </w:tr>
      <w:tr w:rsidR="00265766" w:rsidRPr="009E686F" w14:paraId="229742F3" w14:textId="77777777" w:rsidTr="00960C23">
        <w:tc>
          <w:tcPr>
            <w:tcW w:w="1890" w:type="pct"/>
            <w:tcBorders>
              <w:top w:val="single" w:sz="4" w:space="0" w:color="auto"/>
              <w:left w:val="single" w:sz="4" w:space="0" w:color="auto"/>
              <w:bottom w:val="single" w:sz="4" w:space="0" w:color="auto"/>
              <w:right w:val="single" w:sz="4" w:space="0" w:color="auto"/>
            </w:tcBorders>
          </w:tcPr>
          <w:p w14:paraId="5BBEFDB4" w14:textId="17F9517C"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lastRenderedPageBreak/>
              <w:t>(3) Ca parte a evaluării menționate la alineatul (2), autoritatea competentă sau, după caz, autoritatea desemnată consultă ABE și autoritățile competente din statele membre în care grupul relevant dintr-o țară terță a înființat alte sucursale din țări terțe sau instituții-filiale pentru a evalua riscurile la adresa stabilității financiare pe care le prezintă sucursala relevantă dintr-o țară terță pentru alte state membre decât statul membru în care este stabilită.</w:t>
            </w:r>
          </w:p>
        </w:tc>
        <w:tc>
          <w:tcPr>
            <w:tcW w:w="1834" w:type="pct"/>
            <w:tcBorders>
              <w:top w:val="single" w:sz="4" w:space="0" w:color="auto"/>
              <w:left w:val="single" w:sz="4" w:space="0" w:color="auto"/>
              <w:bottom w:val="single" w:sz="4" w:space="0" w:color="auto"/>
              <w:right w:val="single" w:sz="4" w:space="0" w:color="auto"/>
            </w:tcBorders>
          </w:tcPr>
          <w:p w14:paraId="35166D8D" w14:textId="7AAC068C" w:rsidR="00265766" w:rsidRPr="009E686F" w:rsidRDefault="00265766" w:rsidP="00265766">
            <w:pPr>
              <w:spacing w:after="0"/>
              <w:jc w:val="both"/>
              <w:rPr>
                <w:rFonts w:ascii="Times New Roman" w:eastAsia="Aptos" w:hAnsi="Times New Roman" w:cs="Times New Roman"/>
                <w:b/>
                <w:bCs/>
                <w:kern w:val="2"/>
                <w:lang w:val="ro-MD"/>
              </w:rPr>
            </w:pPr>
            <w:r w:rsidRPr="009E686F">
              <w:rPr>
                <w:rFonts w:ascii="Times New Roman" w:eastAsia="Aptos" w:hAnsi="Times New Roman" w:cs="Times New Roman"/>
                <w:b/>
                <w:bCs/>
                <w:kern w:val="2"/>
                <w:lang w:val="ro-MD"/>
              </w:rPr>
              <w:t>Articolul 31</w:t>
            </w:r>
            <w:r w:rsidRPr="009E686F">
              <w:rPr>
                <w:rFonts w:ascii="Times New Roman" w:eastAsia="Aptos" w:hAnsi="Times New Roman" w:cs="Times New Roman"/>
                <w:b/>
                <w:bCs/>
                <w:kern w:val="2"/>
                <w:vertAlign w:val="superscript"/>
                <w:lang w:val="ro-MD"/>
              </w:rPr>
              <w:t>1</w:t>
            </w:r>
            <w:r w:rsidRPr="009E686F">
              <w:rPr>
                <w:rFonts w:ascii="Times New Roman" w:eastAsia="Aptos" w:hAnsi="Times New Roman" w:cs="Times New Roman"/>
                <w:b/>
                <w:bCs/>
                <w:kern w:val="2"/>
                <w:lang w:val="ro-MD"/>
              </w:rPr>
              <w:t xml:space="preserve"> alin.  (4)</w:t>
            </w:r>
          </w:p>
          <w:p w14:paraId="31435696" w14:textId="23428656" w:rsidR="00265766" w:rsidRPr="009E686F" w:rsidRDefault="00265766" w:rsidP="00265766">
            <w:pPr>
              <w:spacing w:after="0"/>
              <w:jc w:val="both"/>
              <w:rPr>
                <w:rFonts w:ascii="Times New Roman" w:hAnsi="Times New Roman" w:cs="Times New Roman"/>
                <w:i/>
                <w:iCs/>
                <w:lang w:val="it-IT"/>
              </w:rPr>
            </w:pPr>
            <w:r w:rsidRPr="009E686F">
              <w:rPr>
                <w:rFonts w:ascii="Times New Roman" w:hAnsi="Times New Roman" w:cs="Times New Roman"/>
                <w:i/>
                <w:iCs/>
                <w:lang w:val="it-IT"/>
              </w:rPr>
              <w:t>(4) Ca parte a evaluării prevăzute la alin. (1), Banca Națională a Moldovei consultă Autoritatea Bancară Europeană și autoritățile competente din statele membre în care grupul relevant dintr-un stat terț a înființat alte sucursale din state terțe sau instituții de credit-filiale pentru a evalua riscurile la adresa stabilității financiare pe care le prezintă sucursalele relevante dintr-un stat terț pentru Republica Moldova.</w:t>
            </w:r>
          </w:p>
        </w:tc>
        <w:tc>
          <w:tcPr>
            <w:tcW w:w="470" w:type="pct"/>
            <w:tcBorders>
              <w:top w:val="single" w:sz="4" w:space="0" w:color="auto"/>
              <w:left w:val="single" w:sz="4" w:space="0" w:color="auto"/>
              <w:bottom w:val="single" w:sz="4" w:space="0" w:color="auto"/>
              <w:right w:val="single" w:sz="4" w:space="0" w:color="auto"/>
            </w:tcBorders>
          </w:tcPr>
          <w:p w14:paraId="7F5D8464" w14:textId="125F9936" w:rsidR="00265766" w:rsidRPr="009E686F" w:rsidRDefault="00265766" w:rsidP="00265766">
            <w:pPr>
              <w:jc w:val="both"/>
              <w:rPr>
                <w:rFonts w:ascii="Times New Roman" w:hAnsi="Times New Roman" w:cs="Times New Roman"/>
                <w:lang w:val="it-IT"/>
              </w:rPr>
            </w:pPr>
            <w:r w:rsidRPr="009E686F">
              <w:rPr>
                <w:rFonts w:ascii="Times New Roman" w:hAnsi="Times New Roman" w:cs="Times New Roman"/>
                <w:lang w:val="it-IT"/>
              </w:rPr>
              <w:t>Compatibil</w:t>
            </w:r>
          </w:p>
        </w:tc>
        <w:tc>
          <w:tcPr>
            <w:tcW w:w="806" w:type="pct"/>
            <w:tcBorders>
              <w:top w:val="single" w:sz="4" w:space="0" w:color="auto"/>
              <w:left w:val="single" w:sz="4" w:space="0" w:color="auto"/>
              <w:bottom w:val="single" w:sz="4" w:space="0" w:color="auto"/>
              <w:right w:val="single" w:sz="4" w:space="0" w:color="auto"/>
            </w:tcBorders>
          </w:tcPr>
          <w:p w14:paraId="2F1DD35D" w14:textId="77777777" w:rsidR="00A94677" w:rsidRPr="009E686F" w:rsidRDefault="00A94677" w:rsidP="00A94677">
            <w:r w:rsidRPr="009E686F">
              <w:rPr>
                <w:rFonts w:ascii="Times New Roman" w:hAnsi="Times New Roman" w:cs="Times New Roman"/>
                <w:lang w:val="ro-RO"/>
              </w:rPr>
              <w:t>În vigoare – data aderării.</w:t>
            </w:r>
          </w:p>
          <w:p w14:paraId="41ACF09B" w14:textId="77777777" w:rsidR="00265766" w:rsidRPr="009E686F" w:rsidRDefault="00265766" w:rsidP="00265766">
            <w:pPr>
              <w:spacing w:after="0"/>
              <w:jc w:val="both"/>
              <w:rPr>
                <w:rFonts w:ascii="Times New Roman" w:hAnsi="Times New Roman" w:cs="Times New Roman"/>
                <w:lang w:val="it-IT"/>
              </w:rPr>
            </w:pPr>
          </w:p>
        </w:tc>
      </w:tr>
      <w:tr w:rsidR="00265766" w:rsidRPr="009E686F" w14:paraId="20E0D57F" w14:textId="77777777" w:rsidTr="00960C23">
        <w:tc>
          <w:tcPr>
            <w:tcW w:w="1890" w:type="pct"/>
            <w:tcBorders>
              <w:top w:val="single" w:sz="4" w:space="0" w:color="auto"/>
              <w:left w:val="single" w:sz="4" w:space="0" w:color="auto"/>
              <w:bottom w:val="single" w:sz="4" w:space="0" w:color="auto"/>
              <w:right w:val="single" w:sz="4" w:space="0" w:color="auto"/>
            </w:tcBorders>
          </w:tcPr>
          <w:p w14:paraId="0F2F966D" w14:textId="2EC7D09C" w:rsidR="00265766" w:rsidRPr="009E686F" w:rsidRDefault="00265766" w:rsidP="00265766">
            <w:pPr>
              <w:spacing w:after="0"/>
              <w:jc w:val="both"/>
              <w:rPr>
                <w:rFonts w:ascii="Times New Roman" w:hAnsi="Times New Roman" w:cs="Times New Roman"/>
              </w:rPr>
            </w:pPr>
            <w:r w:rsidRPr="009E686F">
              <w:rPr>
                <w:rFonts w:ascii="Times New Roman" w:hAnsi="Times New Roman" w:cs="Times New Roman"/>
              </w:rPr>
              <w:t>Autoritatea competentă sau, după caz, autoritatea desemnată furnizează ABE și autorităților competente din statele membre în care grupul relevant dintr-o țară terță a înființat alte sucursale din țări terțe sau instituții-filiale evaluarea sa motivată cu privire la importanța sistemică a sucursalei dintr-o țară terță pentru Uniune sau pentru statul membru în care este stabilită.</w:t>
            </w:r>
          </w:p>
        </w:tc>
        <w:tc>
          <w:tcPr>
            <w:tcW w:w="1834" w:type="pct"/>
            <w:tcBorders>
              <w:top w:val="single" w:sz="4" w:space="0" w:color="auto"/>
              <w:left w:val="single" w:sz="4" w:space="0" w:color="auto"/>
              <w:bottom w:val="single" w:sz="4" w:space="0" w:color="auto"/>
              <w:right w:val="single" w:sz="4" w:space="0" w:color="auto"/>
            </w:tcBorders>
          </w:tcPr>
          <w:p w14:paraId="3E0E7A74" w14:textId="167700BF" w:rsidR="00265766" w:rsidRPr="009E686F" w:rsidRDefault="00265766" w:rsidP="00265766">
            <w:pPr>
              <w:spacing w:after="0"/>
              <w:jc w:val="both"/>
              <w:rPr>
                <w:rFonts w:ascii="Times New Roman" w:eastAsia="Aptos" w:hAnsi="Times New Roman" w:cs="Times New Roman"/>
                <w:b/>
                <w:bCs/>
                <w:kern w:val="2"/>
                <w:lang w:val="ro-MD"/>
              </w:rPr>
            </w:pPr>
            <w:r w:rsidRPr="009E686F">
              <w:rPr>
                <w:rFonts w:ascii="Times New Roman" w:eastAsia="Aptos" w:hAnsi="Times New Roman" w:cs="Times New Roman"/>
                <w:b/>
                <w:bCs/>
                <w:kern w:val="2"/>
                <w:lang w:val="ro-MD"/>
              </w:rPr>
              <w:t>Articolul 31</w:t>
            </w:r>
            <w:r w:rsidRPr="009E686F">
              <w:rPr>
                <w:rFonts w:ascii="Times New Roman" w:eastAsia="Aptos" w:hAnsi="Times New Roman" w:cs="Times New Roman"/>
                <w:b/>
                <w:bCs/>
                <w:kern w:val="2"/>
                <w:vertAlign w:val="superscript"/>
                <w:lang w:val="ro-MD"/>
              </w:rPr>
              <w:t>1</w:t>
            </w:r>
            <w:r w:rsidRPr="009E686F">
              <w:rPr>
                <w:rFonts w:ascii="Times New Roman" w:eastAsia="Aptos" w:hAnsi="Times New Roman" w:cs="Times New Roman"/>
                <w:b/>
                <w:bCs/>
                <w:kern w:val="2"/>
                <w:lang w:val="ro-MD"/>
              </w:rPr>
              <w:t xml:space="preserve"> alin.  (5)</w:t>
            </w:r>
          </w:p>
          <w:p w14:paraId="3E8DB8BC" w14:textId="12112EA8" w:rsidR="00265766" w:rsidRPr="009E686F" w:rsidRDefault="00265766" w:rsidP="00265766">
            <w:pPr>
              <w:spacing w:after="0"/>
              <w:jc w:val="both"/>
              <w:rPr>
                <w:rFonts w:ascii="Times New Roman" w:hAnsi="Times New Roman" w:cs="Times New Roman"/>
                <w:bCs/>
                <w:i/>
                <w:iCs/>
                <w:lang w:val="it-IT"/>
              </w:rPr>
            </w:pPr>
            <w:r w:rsidRPr="009E686F">
              <w:rPr>
                <w:rFonts w:ascii="Times New Roman" w:hAnsi="Times New Roman" w:cs="Times New Roman"/>
                <w:bCs/>
                <w:i/>
                <w:iCs/>
                <w:lang w:val="it-IT"/>
              </w:rPr>
              <w:t>(5) Banca Națională a Moldovei transmite Autorității Bancare Europene și autorităților competente din statele membre în care grupul relevant dintr-un stat terț a înființat alte sucursale din state terțe sau instituții de credit-filiale evaluarea sa motivată cu privire la importanța sistemică a sucursalei dintr-un stat terț stabilită pe teritoriul Republicii Moldova pentru UE sau pentru Republica Moldova.</w:t>
            </w:r>
          </w:p>
        </w:tc>
        <w:tc>
          <w:tcPr>
            <w:tcW w:w="470" w:type="pct"/>
            <w:tcBorders>
              <w:top w:val="single" w:sz="4" w:space="0" w:color="auto"/>
              <w:left w:val="single" w:sz="4" w:space="0" w:color="auto"/>
              <w:bottom w:val="single" w:sz="4" w:space="0" w:color="auto"/>
              <w:right w:val="single" w:sz="4" w:space="0" w:color="auto"/>
            </w:tcBorders>
          </w:tcPr>
          <w:p w14:paraId="5DF4DF68" w14:textId="78856389" w:rsidR="00265766" w:rsidRPr="009E686F" w:rsidRDefault="00265766" w:rsidP="00265766">
            <w:pPr>
              <w:jc w:val="both"/>
              <w:rPr>
                <w:rFonts w:ascii="Times New Roman" w:hAnsi="Times New Roman" w:cs="Times New Roman"/>
                <w:lang w:val="it-IT"/>
              </w:rPr>
            </w:pPr>
            <w:r w:rsidRPr="009E686F">
              <w:rPr>
                <w:rFonts w:ascii="Times New Roman" w:hAnsi="Times New Roman" w:cs="Times New Roman"/>
                <w:lang w:val="it-IT"/>
              </w:rPr>
              <w:t>Compatibil</w:t>
            </w:r>
          </w:p>
        </w:tc>
        <w:tc>
          <w:tcPr>
            <w:tcW w:w="806" w:type="pct"/>
            <w:tcBorders>
              <w:top w:val="single" w:sz="4" w:space="0" w:color="auto"/>
              <w:left w:val="single" w:sz="4" w:space="0" w:color="auto"/>
              <w:bottom w:val="single" w:sz="4" w:space="0" w:color="auto"/>
              <w:right w:val="single" w:sz="4" w:space="0" w:color="auto"/>
            </w:tcBorders>
          </w:tcPr>
          <w:p w14:paraId="6A90B76C" w14:textId="77777777" w:rsidR="00A94677" w:rsidRPr="009E686F" w:rsidRDefault="00A94677" w:rsidP="00A94677">
            <w:r w:rsidRPr="009E686F">
              <w:rPr>
                <w:rFonts w:ascii="Times New Roman" w:hAnsi="Times New Roman" w:cs="Times New Roman"/>
                <w:lang w:val="ro-RO"/>
              </w:rPr>
              <w:t>În vigoare – data aderării.</w:t>
            </w:r>
          </w:p>
          <w:p w14:paraId="162B9431" w14:textId="77777777" w:rsidR="00265766" w:rsidRPr="009E686F" w:rsidRDefault="00265766" w:rsidP="00265766">
            <w:pPr>
              <w:spacing w:after="0"/>
              <w:jc w:val="both"/>
              <w:rPr>
                <w:rFonts w:ascii="Times New Roman" w:hAnsi="Times New Roman" w:cs="Times New Roman"/>
                <w:lang w:val="it-IT"/>
              </w:rPr>
            </w:pPr>
          </w:p>
        </w:tc>
      </w:tr>
      <w:tr w:rsidR="00265766" w:rsidRPr="009E686F" w14:paraId="53AA1174" w14:textId="77777777" w:rsidTr="00960C23">
        <w:tc>
          <w:tcPr>
            <w:tcW w:w="1890" w:type="pct"/>
            <w:tcBorders>
              <w:top w:val="single" w:sz="4" w:space="0" w:color="auto"/>
              <w:left w:val="single" w:sz="4" w:space="0" w:color="auto"/>
              <w:bottom w:val="single" w:sz="4" w:space="0" w:color="auto"/>
              <w:right w:val="single" w:sz="4" w:space="0" w:color="auto"/>
            </w:tcBorders>
          </w:tcPr>
          <w:p w14:paraId="589113BD" w14:textId="53D263DB" w:rsidR="00265766" w:rsidRPr="009E686F" w:rsidRDefault="00265766" w:rsidP="00265766">
            <w:pPr>
              <w:spacing w:after="0"/>
              <w:jc w:val="both"/>
              <w:rPr>
                <w:rFonts w:ascii="Times New Roman" w:hAnsi="Times New Roman" w:cs="Times New Roman"/>
                <w:lang w:val="it-IT"/>
              </w:rPr>
            </w:pPr>
            <w:r w:rsidRPr="009E686F">
              <w:rPr>
                <w:rFonts w:ascii="Times New Roman" w:hAnsi="Times New Roman" w:cs="Times New Roman"/>
                <w:lang w:val="it-CH"/>
              </w:rPr>
              <w:t xml:space="preserve">În cazul în care autoritățile competente consultate nu sunt de acord cu evaluarea importanței sistemice a sucursalei dintr-o țară terță, acestea informează autoritatea competentă care a efectuat evaluarea menționată la alineatul (2) în termen de 10 zile lucrătoare de la primirea evaluării. </w:t>
            </w:r>
            <w:r w:rsidRPr="009E686F">
              <w:rPr>
                <w:rFonts w:ascii="Times New Roman" w:hAnsi="Times New Roman" w:cs="Times New Roman"/>
                <w:lang w:val="it-IT"/>
              </w:rPr>
              <w:t xml:space="preserve">Autoritățile competente depun, cu asistență din partea ABE, toate eforturile necesare </w:t>
            </w:r>
            <w:r w:rsidRPr="009E686F">
              <w:rPr>
                <w:rFonts w:ascii="Times New Roman" w:hAnsi="Times New Roman" w:cs="Times New Roman"/>
                <w:lang w:val="it-IT"/>
              </w:rPr>
              <w:lastRenderedPageBreak/>
              <w:t>pentru a ajunge la un consens cu privire la evaluare și, după caz, cu privire la cerințele specifice menționate la alineatul (4) în termen de cel mult trei luni de la data la care autoritatea competentă sau, după caz, autoritatea desemnată a formulat obiecții. După expirarea acestei perioade, autoritatea competentă responsabilă cu supravegherea sucursalei dintr-o țară terță în curs de evaluare decide cu privire la evaluarea importanței sistemice a sucursalei dintr-o țară terță și cu privire la cerințele specifice menționate la alineatul (4).</w:t>
            </w:r>
          </w:p>
        </w:tc>
        <w:tc>
          <w:tcPr>
            <w:tcW w:w="1834" w:type="pct"/>
            <w:tcBorders>
              <w:top w:val="single" w:sz="4" w:space="0" w:color="auto"/>
              <w:left w:val="single" w:sz="4" w:space="0" w:color="auto"/>
              <w:bottom w:val="single" w:sz="4" w:space="0" w:color="auto"/>
              <w:right w:val="single" w:sz="4" w:space="0" w:color="auto"/>
            </w:tcBorders>
          </w:tcPr>
          <w:p w14:paraId="7C2893C4" w14:textId="0AD29E70" w:rsidR="00265766" w:rsidRPr="009E686F" w:rsidRDefault="00265766" w:rsidP="00265766">
            <w:pPr>
              <w:spacing w:after="0"/>
              <w:jc w:val="both"/>
              <w:rPr>
                <w:rFonts w:ascii="Times New Roman" w:eastAsia="Aptos" w:hAnsi="Times New Roman" w:cs="Times New Roman"/>
                <w:b/>
                <w:bCs/>
                <w:kern w:val="2"/>
                <w:lang w:val="ro-MD"/>
              </w:rPr>
            </w:pPr>
            <w:r w:rsidRPr="009E686F">
              <w:rPr>
                <w:rFonts w:ascii="Times New Roman" w:eastAsia="Aptos" w:hAnsi="Times New Roman" w:cs="Times New Roman"/>
                <w:b/>
                <w:bCs/>
                <w:kern w:val="2"/>
                <w:lang w:val="ro-MD"/>
              </w:rPr>
              <w:lastRenderedPageBreak/>
              <w:t>Articolul 31</w:t>
            </w:r>
            <w:r w:rsidRPr="009E686F">
              <w:rPr>
                <w:rFonts w:ascii="Times New Roman" w:eastAsia="Aptos" w:hAnsi="Times New Roman" w:cs="Times New Roman"/>
                <w:b/>
                <w:bCs/>
                <w:kern w:val="2"/>
                <w:vertAlign w:val="superscript"/>
                <w:lang w:val="ro-MD"/>
              </w:rPr>
              <w:t xml:space="preserve">1 </w:t>
            </w:r>
            <w:r w:rsidRPr="009E686F">
              <w:rPr>
                <w:rFonts w:ascii="Times New Roman" w:eastAsia="Aptos" w:hAnsi="Times New Roman" w:cs="Times New Roman"/>
                <w:b/>
                <w:bCs/>
                <w:kern w:val="2"/>
                <w:lang w:val="ro-MD"/>
              </w:rPr>
              <w:t>alin.  (6)</w:t>
            </w:r>
          </w:p>
          <w:p w14:paraId="6744541F" w14:textId="4F13BFEE" w:rsidR="00265766" w:rsidRPr="009E686F" w:rsidRDefault="00265766" w:rsidP="00265766">
            <w:pPr>
              <w:spacing w:after="0"/>
              <w:jc w:val="both"/>
              <w:rPr>
                <w:rFonts w:ascii="Times New Roman" w:eastAsia="Aptos" w:hAnsi="Times New Roman" w:cs="Times New Roman"/>
                <w:kern w:val="2"/>
                <w:lang w:val="ro-MD"/>
              </w:rPr>
            </w:pPr>
            <w:r w:rsidRPr="009E686F">
              <w:rPr>
                <w:rFonts w:ascii="Times New Roman" w:eastAsia="Aptos" w:hAnsi="Times New Roman" w:cs="Times New Roman"/>
                <w:i/>
                <w:iCs/>
                <w:kern w:val="2"/>
                <w:lang w:val="ro-MD"/>
              </w:rPr>
              <w:t xml:space="preserve">(6) Banca Națională a Moldovei, depune, cu asistență din partea Autorității Bancare Europene, toate eforturile necesare pentru a ajunge la un consens cu privire la evaluare și, după caz, cu privire la cerințele specifice prevăzute la alin. (7) în termen de cel mult 3 luni de la data la care </w:t>
            </w:r>
            <w:r w:rsidRPr="009E686F">
              <w:rPr>
                <w:rFonts w:ascii="Times New Roman" w:eastAsia="Aptos" w:hAnsi="Times New Roman" w:cs="Times New Roman"/>
                <w:i/>
                <w:iCs/>
                <w:kern w:val="2"/>
                <w:lang w:val="ro-MD"/>
              </w:rPr>
              <w:lastRenderedPageBreak/>
              <w:t>autoritatea competentă sau, după caz, autoritatea desemnată a formulat obiecții. După expirarea acestei perioade, Banca Națională a Moldovei, în calitate de autoritate competentă responsabilă cu supravegherea sucursalei dintr-un stat terț în curs de evaluare decide cu privire la evaluarea importanței sistemice a sucursalei dintr-un stat terț și cu privire la cerințele specifice prevăzute alin. (7).</w:t>
            </w:r>
          </w:p>
          <w:p w14:paraId="6BF87437" w14:textId="77777777" w:rsidR="00265766" w:rsidRPr="009E686F" w:rsidRDefault="00265766" w:rsidP="00265766">
            <w:pPr>
              <w:spacing w:after="0"/>
              <w:jc w:val="both"/>
              <w:rPr>
                <w:rFonts w:ascii="Times New Roman" w:hAnsi="Times New Roman" w:cs="Times New Roman"/>
                <w:b/>
                <w:lang w:val="it-IT"/>
              </w:rPr>
            </w:pPr>
          </w:p>
        </w:tc>
        <w:tc>
          <w:tcPr>
            <w:tcW w:w="470" w:type="pct"/>
            <w:tcBorders>
              <w:top w:val="single" w:sz="4" w:space="0" w:color="auto"/>
              <w:left w:val="single" w:sz="4" w:space="0" w:color="auto"/>
              <w:bottom w:val="single" w:sz="4" w:space="0" w:color="auto"/>
              <w:right w:val="single" w:sz="4" w:space="0" w:color="auto"/>
            </w:tcBorders>
          </w:tcPr>
          <w:p w14:paraId="358F554C" w14:textId="30488471" w:rsidR="00265766" w:rsidRPr="009E686F" w:rsidRDefault="00265766" w:rsidP="00265766">
            <w:pPr>
              <w:jc w:val="both"/>
              <w:rPr>
                <w:rFonts w:ascii="Times New Roman" w:hAnsi="Times New Roman" w:cs="Times New Roman"/>
                <w:lang w:val="it-IT"/>
              </w:rPr>
            </w:pPr>
            <w:r w:rsidRPr="009E686F">
              <w:rPr>
                <w:rFonts w:ascii="Times New Roman" w:hAnsi="Times New Roman" w:cs="Times New Roman"/>
                <w:lang w:val="it-IT"/>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7BF2E569" w14:textId="77777777" w:rsidR="00A94677" w:rsidRPr="009E686F" w:rsidRDefault="00A94677" w:rsidP="00A94677">
            <w:r w:rsidRPr="009E686F">
              <w:rPr>
                <w:rFonts w:ascii="Times New Roman" w:hAnsi="Times New Roman" w:cs="Times New Roman"/>
                <w:lang w:val="ro-RO"/>
              </w:rPr>
              <w:t>În vigoare – data aderării.</w:t>
            </w:r>
          </w:p>
          <w:p w14:paraId="56C80D10" w14:textId="77777777" w:rsidR="00265766" w:rsidRPr="009E686F" w:rsidRDefault="00265766" w:rsidP="00265766">
            <w:pPr>
              <w:spacing w:after="0"/>
              <w:jc w:val="both"/>
              <w:rPr>
                <w:rFonts w:ascii="Times New Roman" w:hAnsi="Times New Roman" w:cs="Times New Roman"/>
                <w:lang w:val="it-IT"/>
              </w:rPr>
            </w:pPr>
          </w:p>
        </w:tc>
      </w:tr>
      <w:tr w:rsidR="00A94677" w:rsidRPr="009E686F" w14:paraId="0F23946D" w14:textId="77777777" w:rsidTr="00AD4D60">
        <w:tc>
          <w:tcPr>
            <w:tcW w:w="1890" w:type="pct"/>
            <w:tcBorders>
              <w:top w:val="single" w:sz="4" w:space="0" w:color="auto"/>
              <w:left w:val="single" w:sz="4" w:space="0" w:color="auto"/>
              <w:bottom w:val="single" w:sz="4" w:space="0" w:color="auto"/>
              <w:right w:val="single" w:sz="4" w:space="0" w:color="auto"/>
            </w:tcBorders>
          </w:tcPr>
          <w:p w14:paraId="528FDFA1" w14:textId="48B16CB7" w:rsidR="00A94677" w:rsidRPr="009E686F" w:rsidRDefault="00A94677" w:rsidP="00265766">
            <w:pPr>
              <w:spacing w:after="0"/>
              <w:jc w:val="both"/>
              <w:rPr>
                <w:rFonts w:ascii="Times New Roman" w:hAnsi="Times New Roman" w:cs="Times New Roman"/>
                <w:lang w:val="it-CH"/>
              </w:rPr>
            </w:pPr>
            <w:r w:rsidRPr="009E686F">
              <w:rPr>
                <w:rFonts w:ascii="Times New Roman" w:hAnsi="Times New Roman" w:cs="Times New Roman"/>
                <w:lang w:val="it-CH"/>
              </w:rPr>
              <w:t>(4) Acolo unde este necesar pentru a se aborda riscurile identificate, autoritatea competentă sau, după caz, autoritatea desemnată poate supune sucursala dintr-o țară terță unor cerințe specifice care pot include:</w:t>
            </w:r>
          </w:p>
        </w:tc>
        <w:tc>
          <w:tcPr>
            <w:tcW w:w="1834" w:type="pct"/>
            <w:tcBorders>
              <w:top w:val="single" w:sz="4" w:space="0" w:color="auto"/>
              <w:left w:val="single" w:sz="4" w:space="0" w:color="auto"/>
              <w:bottom w:val="single" w:sz="4" w:space="0" w:color="auto"/>
              <w:right w:val="single" w:sz="4" w:space="0" w:color="auto"/>
            </w:tcBorders>
          </w:tcPr>
          <w:p w14:paraId="191C83FA" w14:textId="4626AEF5" w:rsidR="00A94677" w:rsidRPr="009E686F" w:rsidRDefault="00A94677" w:rsidP="00265766">
            <w:pPr>
              <w:spacing w:after="0"/>
              <w:jc w:val="both"/>
              <w:rPr>
                <w:rFonts w:ascii="Times New Roman" w:eastAsia="Aptos" w:hAnsi="Times New Roman" w:cs="Times New Roman"/>
                <w:b/>
                <w:bCs/>
                <w:kern w:val="2"/>
                <w:lang w:val="ro-MD"/>
              </w:rPr>
            </w:pPr>
            <w:r w:rsidRPr="009E686F">
              <w:rPr>
                <w:rFonts w:ascii="Times New Roman" w:eastAsia="Aptos" w:hAnsi="Times New Roman" w:cs="Times New Roman"/>
                <w:b/>
                <w:bCs/>
                <w:kern w:val="2"/>
                <w:lang w:val="ro-MD"/>
              </w:rPr>
              <w:t>Articolul 31</w:t>
            </w:r>
            <w:r w:rsidRPr="009E686F">
              <w:rPr>
                <w:rFonts w:ascii="Times New Roman" w:eastAsia="Aptos" w:hAnsi="Times New Roman" w:cs="Times New Roman"/>
                <w:b/>
                <w:bCs/>
                <w:kern w:val="2"/>
                <w:vertAlign w:val="superscript"/>
                <w:lang w:val="ro-MD"/>
              </w:rPr>
              <w:t>1</w:t>
            </w:r>
            <w:r w:rsidRPr="009E686F">
              <w:rPr>
                <w:rFonts w:ascii="Times New Roman" w:eastAsia="Aptos" w:hAnsi="Times New Roman" w:cs="Times New Roman"/>
                <w:b/>
                <w:bCs/>
                <w:kern w:val="2"/>
                <w:lang w:val="ro-MD"/>
              </w:rPr>
              <w:t xml:space="preserve"> alin.  (7)</w:t>
            </w:r>
          </w:p>
          <w:p w14:paraId="634B2E02" w14:textId="6B39A944" w:rsidR="00A94677" w:rsidRPr="009E686F" w:rsidRDefault="00A94677" w:rsidP="00265766">
            <w:pPr>
              <w:spacing w:after="0"/>
              <w:jc w:val="both"/>
              <w:rPr>
                <w:rFonts w:ascii="Times New Roman" w:hAnsi="Times New Roman" w:cs="Times New Roman"/>
                <w:i/>
                <w:lang w:val="it-CH"/>
              </w:rPr>
            </w:pPr>
            <w:r w:rsidRPr="009E686F">
              <w:rPr>
                <w:rFonts w:ascii="Times New Roman" w:hAnsi="Times New Roman" w:cs="Times New Roman"/>
                <w:i/>
                <w:lang w:val="it-CH"/>
              </w:rPr>
              <w:t>(7) Banca Națională a Moldovei poate supune sucursala dintr-un stat terț unor cerințe specifice, în cazul în care este necesară abordarea riscurilor identificate, după cum urmează:</w:t>
            </w:r>
          </w:p>
        </w:tc>
        <w:tc>
          <w:tcPr>
            <w:tcW w:w="470" w:type="pct"/>
            <w:tcBorders>
              <w:top w:val="single" w:sz="4" w:space="0" w:color="auto"/>
              <w:left w:val="single" w:sz="4" w:space="0" w:color="auto"/>
              <w:bottom w:val="single" w:sz="4" w:space="0" w:color="auto"/>
              <w:right w:val="single" w:sz="4" w:space="0" w:color="auto"/>
            </w:tcBorders>
          </w:tcPr>
          <w:p w14:paraId="5630FA3C" w14:textId="690DBEB0" w:rsidR="00A94677" w:rsidRPr="009E686F" w:rsidRDefault="00A94677" w:rsidP="00265766">
            <w:pPr>
              <w:jc w:val="both"/>
              <w:rPr>
                <w:rFonts w:ascii="Times New Roman" w:hAnsi="Times New Roman" w:cs="Times New Roman"/>
                <w:lang w:val="it-IT"/>
              </w:rPr>
            </w:pPr>
            <w:r w:rsidRPr="009E686F">
              <w:rPr>
                <w:rFonts w:ascii="Times New Roman" w:hAnsi="Times New Roman" w:cs="Times New Roman"/>
                <w:lang w:val="it-IT"/>
              </w:rPr>
              <w:t>Compatibil</w:t>
            </w:r>
          </w:p>
        </w:tc>
        <w:tc>
          <w:tcPr>
            <w:tcW w:w="806" w:type="pct"/>
            <w:vMerge w:val="restart"/>
            <w:tcBorders>
              <w:top w:val="single" w:sz="4" w:space="0" w:color="auto"/>
              <w:left w:val="single" w:sz="4" w:space="0" w:color="auto"/>
              <w:right w:val="single" w:sz="4" w:space="0" w:color="auto"/>
            </w:tcBorders>
          </w:tcPr>
          <w:p w14:paraId="58549B4A" w14:textId="77777777" w:rsidR="00A94677" w:rsidRPr="009E686F" w:rsidRDefault="00A94677" w:rsidP="00A94677">
            <w:r w:rsidRPr="009E686F">
              <w:rPr>
                <w:rFonts w:ascii="Times New Roman" w:hAnsi="Times New Roman" w:cs="Times New Roman"/>
                <w:lang w:val="ro-RO"/>
              </w:rPr>
              <w:t>În vigoare – data aderării.</w:t>
            </w:r>
          </w:p>
          <w:p w14:paraId="2FFCC523" w14:textId="77777777" w:rsidR="00A94677" w:rsidRPr="009E686F" w:rsidRDefault="00A94677" w:rsidP="00265766">
            <w:pPr>
              <w:spacing w:after="0"/>
              <w:jc w:val="both"/>
              <w:rPr>
                <w:rFonts w:ascii="Times New Roman" w:hAnsi="Times New Roman" w:cs="Times New Roman"/>
                <w:lang w:val="it-IT"/>
              </w:rPr>
            </w:pPr>
          </w:p>
        </w:tc>
      </w:tr>
      <w:tr w:rsidR="00A94677" w:rsidRPr="009E686F" w14:paraId="1C06614B" w14:textId="77777777" w:rsidTr="00AD4D60">
        <w:tc>
          <w:tcPr>
            <w:tcW w:w="1890" w:type="pct"/>
            <w:tcBorders>
              <w:top w:val="single" w:sz="4" w:space="0" w:color="auto"/>
              <w:left w:val="single" w:sz="4" w:space="0" w:color="auto"/>
              <w:bottom w:val="single" w:sz="4" w:space="0" w:color="auto"/>
              <w:right w:val="single" w:sz="4" w:space="0" w:color="auto"/>
            </w:tcBorders>
          </w:tcPr>
          <w:p w14:paraId="0F8C233C" w14:textId="326F02EA" w:rsidR="00A94677" w:rsidRPr="009E686F" w:rsidRDefault="00A94677" w:rsidP="00265766">
            <w:pPr>
              <w:spacing w:after="0"/>
              <w:jc w:val="both"/>
              <w:rPr>
                <w:rFonts w:ascii="Times New Roman" w:hAnsi="Times New Roman" w:cs="Times New Roman"/>
              </w:rPr>
            </w:pPr>
            <w:r w:rsidRPr="009E686F">
              <w:rPr>
                <w:rFonts w:ascii="Times New Roman" w:hAnsi="Times New Roman" w:cs="Times New Roman"/>
              </w:rPr>
              <w:t>(a) impunerea obligației ca sucursala relevantă dintr-o țară terță să își restructureze activele sau activitățile, astfel încât aceasta să înceteze să se califice ca având importanță sistemică în conformitate cu alineatul (2) sau să înceteze să mai prezinte un risc nejustificat pentru stabilitatea financiară a Uniunii sau a statelor membre în care este stabilită; sau</w:t>
            </w:r>
          </w:p>
        </w:tc>
        <w:tc>
          <w:tcPr>
            <w:tcW w:w="1834" w:type="pct"/>
            <w:tcBorders>
              <w:top w:val="single" w:sz="4" w:space="0" w:color="auto"/>
              <w:left w:val="single" w:sz="4" w:space="0" w:color="auto"/>
              <w:bottom w:val="single" w:sz="4" w:space="0" w:color="auto"/>
              <w:right w:val="single" w:sz="4" w:space="0" w:color="auto"/>
            </w:tcBorders>
          </w:tcPr>
          <w:p w14:paraId="71FA98A7" w14:textId="113A3AA7" w:rsidR="00A94677" w:rsidRPr="009E686F" w:rsidRDefault="00A94677" w:rsidP="00265766">
            <w:pPr>
              <w:spacing w:after="0"/>
              <w:jc w:val="both"/>
              <w:rPr>
                <w:rFonts w:ascii="Times New Roman" w:hAnsi="Times New Roman" w:cs="Times New Roman"/>
                <w:bCs/>
                <w:i/>
                <w:iCs/>
                <w:lang w:val="it-IT"/>
              </w:rPr>
            </w:pPr>
            <w:r w:rsidRPr="009E686F">
              <w:rPr>
                <w:rFonts w:ascii="Times New Roman" w:hAnsi="Times New Roman" w:cs="Times New Roman"/>
                <w:bCs/>
                <w:i/>
                <w:iCs/>
              </w:rPr>
              <w:t xml:space="preserve">a) impunerea obligației ca sucursala relevantă dintr-un stat terț să își restructureze activele sau activitățile, astfel încât aceasta să înceteze să se califice ca având importanță sistemică în conformitate cu alin. </w:t>
            </w:r>
            <w:r w:rsidRPr="009E686F">
              <w:rPr>
                <w:rFonts w:ascii="Times New Roman" w:hAnsi="Times New Roman" w:cs="Times New Roman"/>
                <w:bCs/>
                <w:i/>
                <w:iCs/>
                <w:lang w:val="it-IT"/>
              </w:rPr>
              <w:t>(1) sau să înceteze să mai prezinte un risc nejustificat pentru stabilitatea financiară a Uniunii Europene sau a Republicii Moldova; sau</w:t>
            </w:r>
          </w:p>
        </w:tc>
        <w:tc>
          <w:tcPr>
            <w:tcW w:w="470" w:type="pct"/>
            <w:tcBorders>
              <w:top w:val="single" w:sz="4" w:space="0" w:color="auto"/>
              <w:left w:val="single" w:sz="4" w:space="0" w:color="auto"/>
              <w:bottom w:val="single" w:sz="4" w:space="0" w:color="auto"/>
              <w:right w:val="single" w:sz="4" w:space="0" w:color="auto"/>
            </w:tcBorders>
          </w:tcPr>
          <w:p w14:paraId="35BF2326" w14:textId="4F594565" w:rsidR="00A94677" w:rsidRPr="009E686F" w:rsidRDefault="00A94677" w:rsidP="00265766">
            <w:pPr>
              <w:jc w:val="both"/>
              <w:rPr>
                <w:rFonts w:ascii="Times New Roman" w:hAnsi="Times New Roman" w:cs="Times New Roman"/>
                <w:lang w:val="it-IT"/>
              </w:rPr>
            </w:pPr>
            <w:r w:rsidRPr="009E686F">
              <w:rPr>
                <w:rFonts w:ascii="Times New Roman" w:hAnsi="Times New Roman" w:cs="Times New Roman"/>
                <w:lang w:val="it-IT"/>
              </w:rPr>
              <w:t>Compatibil</w:t>
            </w:r>
          </w:p>
        </w:tc>
        <w:tc>
          <w:tcPr>
            <w:tcW w:w="806" w:type="pct"/>
            <w:vMerge/>
            <w:tcBorders>
              <w:left w:val="single" w:sz="4" w:space="0" w:color="auto"/>
              <w:right w:val="single" w:sz="4" w:space="0" w:color="auto"/>
            </w:tcBorders>
          </w:tcPr>
          <w:p w14:paraId="00B4329D" w14:textId="77777777" w:rsidR="00A94677" w:rsidRPr="009E686F" w:rsidRDefault="00A94677" w:rsidP="00265766">
            <w:pPr>
              <w:spacing w:after="0"/>
              <w:jc w:val="both"/>
              <w:rPr>
                <w:rFonts w:ascii="Times New Roman" w:hAnsi="Times New Roman" w:cs="Times New Roman"/>
                <w:lang w:val="it-IT"/>
              </w:rPr>
            </w:pPr>
          </w:p>
        </w:tc>
      </w:tr>
      <w:tr w:rsidR="00A94677" w:rsidRPr="009E686F" w14:paraId="534D6C54" w14:textId="77777777" w:rsidTr="00AD4D60">
        <w:tc>
          <w:tcPr>
            <w:tcW w:w="1890" w:type="pct"/>
            <w:tcBorders>
              <w:top w:val="single" w:sz="4" w:space="0" w:color="auto"/>
              <w:left w:val="single" w:sz="4" w:space="0" w:color="auto"/>
              <w:bottom w:val="single" w:sz="4" w:space="0" w:color="auto"/>
              <w:right w:val="single" w:sz="4" w:space="0" w:color="auto"/>
            </w:tcBorders>
          </w:tcPr>
          <w:p w14:paraId="7B206779" w14:textId="6C90C8E2" w:rsidR="00A94677" w:rsidRPr="009E686F" w:rsidRDefault="00A94677" w:rsidP="00265766">
            <w:pPr>
              <w:spacing w:after="0"/>
              <w:jc w:val="both"/>
              <w:rPr>
                <w:rFonts w:ascii="Times New Roman" w:hAnsi="Times New Roman" w:cs="Times New Roman"/>
                <w:lang w:val="it-IT"/>
              </w:rPr>
            </w:pPr>
            <w:r w:rsidRPr="009E686F">
              <w:rPr>
                <w:rFonts w:ascii="Times New Roman" w:hAnsi="Times New Roman" w:cs="Times New Roman"/>
                <w:lang w:val="it-IT"/>
              </w:rPr>
              <w:t>(b) impunerea de cerințe prudențiale suplimentare pentru sucursala relevantă dintr-o țară terță.</w:t>
            </w:r>
          </w:p>
        </w:tc>
        <w:tc>
          <w:tcPr>
            <w:tcW w:w="1834" w:type="pct"/>
            <w:tcBorders>
              <w:top w:val="single" w:sz="4" w:space="0" w:color="auto"/>
              <w:left w:val="single" w:sz="4" w:space="0" w:color="auto"/>
              <w:bottom w:val="single" w:sz="4" w:space="0" w:color="auto"/>
              <w:right w:val="single" w:sz="4" w:space="0" w:color="auto"/>
            </w:tcBorders>
          </w:tcPr>
          <w:p w14:paraId="050FB979" w14:textId="70090817" w:rsidR="00A94677" w:rsidRPr="009E686F" w:rsidRDefault="00A94677" w:rsidP="00265766">
            <w:pPr>
              <w:spacing w:after="0"/>
              <w:jc w:val="both"/>
              <w:rPr>
                <w:rFonts w:ascii="Times New Roman" w:hAnsi="Times New Roman" w:cs="Times New Roman"/>
                <w:bCs/>
                <w:i/>
                <w:iCs/>
                <w:lang w:val="it-IT"/>
              </w:rPr>
            </w:pPr>
            <w:r w:rsidRPr="009E686F">
              <w:rPr>
                <w:rFonts w:ascii="Times New Roman" w:hAnsi="Times New Roman" w:cs="Times New Roman"/>
                <w:bCs/>
                <w:i/>
                <w:iCs/>
                <w:lang w:val="it-IT"/>
              </w:rPr>
              <w:t>b) impunerea de cerințe prudențiale suplimentare pentru sucursala relevantă dintr-un stat terț.</w:t>
            </w:r>
          </w:p>
        </w:tc>
        <w:tc>
          <w:tcPr>
            <w:tcW w:w="470" w:type="pct"/>
            <w:tcBorders>
              <w:top w:val="single" w:sz="4" w:space="0" w:color="auto"/>
              <w:left w:val="single" w:sz="4" w:space="0" w:color="auto"/>
              <w:bottom w:val="single" w:sz="4" w:space="0" w:color="auto"/>
              <w:right w:val="single" w:sz="4" w:space="0" w:color="auto"/>
            </w:tcBorders>
          </w:tcPr>
          <w:p w14:paraId="474B173F" w14:textId="2EC81D44" w:rsidR="00A94677" w:rsidRPr="009E686F" w:rsidRDefault="00A94677" w:rsidP="00265766">
            <w:pPr>
              <w:jc w:val="both"/>
              <w:rPr>
                <w:rFonts w:ascii="Times New Roman" w:hAnsi="Times New Roman" w:cs="Times New Roman"/>
                <w:lang w:val="it-IT"/>
              </w:rPr>
            </w:pPr>
            <w:r w:rsidRPr="009E686F">
              <w:rPr>
                <w:rFonts w:ascii="Times New Roman" w:hAnsi="Times New Roman" w:cs="Times New Roman"/>
                <w:lang w:val="it-IT"/>
              </w:rPr>
              <w:t>Compatibil</w:t>
            </w:r>
          </w:p>
        </w:tc>
        <w:tc>
          <w:tcPr>
            <w:tcW w:w="806" w:type="pct"/>
            <w:vMerge/>
            <w:tcBorders>
              <w:left w:val="single" w:sz="4" w:space="0" w:color="auto"/>
              <w:bottom w:val="single" w:sz="4" w:space="0" w:color="auto"/>
              <w:right w:val="single" w:sz="4" w:space="0" w:color="auto"/>
            </w:tcBorders>
          </w:tcPr>
          <w:p w14:paraId="26C79FE2" w14:textId="77777777" w:rsidR="00A94677" w:rsidRPr="009E686F" w:rsidRDefault="00A94677" w:rsidP="00265766">
            <w:pPr>
              <w:spacing w:after="0"/>
              <w:jc w:val="both"/>
              <w:rPr>
                <w:rFonts w:ascii="Times New Roman" w:hAnsi="Times New Roman" w:cs="Times New Roman"/>
                <w:lang w:val="it-IT"/>
              </w:rPr>
            </w:pPr>
          </w:p>
        </w:tc>
      </w:tr>
      <w:tr w:rsidR="00265766" w:rsidRPr="009E686F" w14:paraId="565ECE92" w14:textId="77777777" w:rsidTr="00960C23">
        <w:tc>
          <w:tcPr>
            <w:tcW w:w="1890" w:type="pct"/>
            <w:tcBorders>
              <w:top w:val="single" w:sz="4" w:space="0" w:color="auto"/>
              <w:left w:val="single" w:sz="4" w:space="0" w:color="auto"/>
              <w:bottom w:val="single" w:sz="4" w:space="0" w:color="auto"/>
              <w:right w:val="single" w:sz="4" w:space="0" w:color="auto"/>
            </w:tcBorders>
          </w:tcPr>
          <w:p w14:paraId="13AF7AA0" w14:textId="56518A0F"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În cazul în care autoritatea competentă sau, după caz, autoritatea desemnată consideră că o sucursală dintr-o țară terță are o importanță sistemică, dar decide să nu exercite niciuna dintre competențele menționate la primul paragraf litera (a) de la prezentul alineat sau la articolul 48i, aceasta transmite o notificare motivată ABE și autorităților competente din statele membre în care grupul relevant dintr-o țară terță a înființat alte sucursale din țări terțe sau instituții-filiale cu privire la motivele pentru care a decis să nu își exercite competențele respective.</w:t>
            </w:r>
          </w:p>
        </w:tc>
        <w:tc>
          <w:tcPr>
            <w:tcW w:w="1834" w:type="pct"/>
            <w:tcBorders>
              <w:top w:val="single" w:sz="4" w:space="0" w:color="auto"/>
              <w:left w:val="single" w:sz="4" w:space="0" w:color="auto"/>
              <w:bottom w:val="single" w:sz="4" w:space="0" w:color="auto"/>
              <w:right w:val="single" w:sz="4" w:space="0" w:color="auto"/>
            </w:tcBorders>
          </w:tcPr>
          <w:p w14:paraId="71175172" w14:textId="57C81B3E" w:rsidR="00265766" w:rsidRPr="009E686F" w:rsidRDefault="00265766" w:rsidP="00265766">
            <w:pPr>
              <w:spacing w:after="0"/>
              <w:jc w:val="both"/>
              <w:rPr>
                <w:rFonts w:ascii="Times New Roman" w:eastAsia="Aptos" w:hAnsi="Times New Roman" w:cs="Times New Roman"/>
                <w:b/>
                <w:bCs/>
                <w:kern w:val="2"/>
                <w:lang w:val="ro-MD"/>
              </w:rPr>
            </w:pPr>
            <w:r w:rsidRPr="009E686F">
              <w:rPr>
                <w:rFonts w:ascii="Times New Roman" w:eastAsia="Aptos" w:hAnsi="Times New Roman" w:cs="Times New Roman"/>
                <w:b/>
                <w:bCs/>
                <w:kern w:val="2"/>
                <w:lang w:val="ro-MD"/>
              </w:rPr>
              <w:t>Articolul 31</w:t>
            </w:r>
            <w:r w:rsidRPr="009E686F">
              <w:rPr>
                <w:rFonts w:ascii="Times New Roman" w:eastAsia="Aptos" w:hAnsi="Times New Roman" w:cs="Times New Roman"/>
                <w:b/>
                <w:bCs/>
                <w:kern w:val="2"/>
                <w:vertAlign w:val="superscript"/>
                <w:lang w:val="ro-MD"/>
              </w:rPr>
              <w:t>1</w:t>
            </w:r>
            <w:r w:rsidRPr="009E686F">
              <w:rPr>
                <w:rFonts w:ascii="Times New Roman" w:eastAsia="Aptos" w:hAnsi="Times New Roman" w:cs="Times New Roman"/>
                <w:b/>
                <w:bCs/>
                <w:kern w:val="2"/>
                <w:lang w:val="ro-MD"/>
              </w:rPr>
              <w:t xml:space="preserve"> alin.  (8)</w:t>
            </w:r>
          </w:p>
          <w:p w14:paraId="136271B1" w14:textId="5829D0C7" w:rsidR="00265766" w:rsidRPr="009E686F" w:rsidRDefault="00265766" w:rsidP="00265766">
            <w:pPr>
              <w:spacing w:after="0"/>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(8) În cazul în care Banca Națională a Moldovei consideră că o sucursală dintr-un stat terț are o importanță sistemică, dar decide să nuo supună cerințelor prevăzute la alin. (7) lit. a) sau art. 31, aceasta transmite o notificare motivată Autorității Bancare Europene și autorităților competente din statele membre în care grupul relevant dintr-un stat terț a înființat alte sucursale din state terțe sau instituții de credit-filiale cu privire la motivele pentru care a decis să nu își exercite competențele respective.</w:t>
            </w:r>
          </w:p>
          <w:p w14:paraId="73BDC8EE" w14:textId="77777777" w:rsidR="00265766" w:rsidRPr="009E686F" w:rsidRDefault="00265766" w:rsidP="00265766">
            <w:pPr>
              <w:spacing w:after="0"/>
              <w:jc w:val="both"/>
              <w:rPr>
                <w:rFonts w:ascii="Times New Roman" w:hAnsi="Times New Roman" w:cs="Times New Roman"/>
                <w:bCs/>
                <w:lang w:val="ro-MD"/>
              </w:rPr>
            </w:pPr>
          </w:p>
        </w:tc>
        <w:tc>
          <w:tcPr>
            <w:tcW w:w="470" w:type="pct"/>
            <w:tcBorders>
              <w:top w:val="single" w:sz="4" w:space="0" w:color="auto"/>
              <w:left w:val="single" w:sz="4" w:space="0" w:color="auto"/>
              <w:bottom w:val="single" w:sz="4" w:space="0" w:color="auto"/>
              <w:right w:val="single" w:sz="4" w:space="0" w:color="auto"/>
            </w:tcBorders>
          </w:tcPr>
          <w:p w14:paraId="52D24600" w14:textId="4E1790EB" w:rsidR="00265766" w:rsidRPr="009E686F" w:rsidRDefault="00265766" w:rsidP="00265766">
            <w:pPr>
              <w:jc w:val="both"/>
              <w:rPr>
                <w:rFonts w:ascii="Times New Roman" w:hAnsi="Times New Roman" w:cs="Times New Roman"/>
                <w:lang w:val="ro-MD"/>
              </w:rPr>
            </w:pPr>
            <w:r w:rsidRPr="009E686F">
              <w:rPr>
                <w:rFonts w:ascii="Times New Roman" w:hAnsi="Times New Roman" w:cs="Times New Roman"/>
                <w:lang w:val="it-IT"/>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0EFAF6A9" w14:textId="77777777" w:rsidR="00A94677" w:rsidRPr="009E686F" w:rsidRDefault="00A94677" w:rsidP="00A94677">
            <w:r w:rsidRPr="009E686F">
              <w:rPr>
                <w:rFonts w:ascii="Times New Roman" w:hAnsi="Times New Roman" w:cs="Times New Roman"/>
                <w:lang w:val="ro-RO"/>
              </w:rPr>
              <w:t>În vigoare – data aderării.</w:t>
            </w:r>
          </w:p>
          <w:p w14:paraId="67D44B6F" w14:textId="77777777" w:rsidR="00265766" w:rsidRPr="009E686F" w:rsidRDefault="00265766" w:rsidP="00265766">
            <w:pPr>
              <w:spacing w:after="0"/>
              <w:jc w:val="both"/>
              <w:rPr>
                <w:rFonts w:ascii="Times New Roman" w:hAnsi="Times New Roman" w:cs="Times New Roman"/>
                <w:b/>
                <w:bCs/>
                <w:lang w:val="ro-MD"/>
              </w:rPr>
            </w:pPr>
          </w:p>
        </w:tc>
      </w:tr>
      <w:tr w:rsidR="00265766" w:rsidRPr="009E686F" w14:paraId="46A320F5" w14:textId="77777777" w:rsidTr="00960C23">
        <w:tc>
          <w:tcPr>
            <w:tcW w:w="1890" w:type="pct"/>
            <w:tcBorders>
              <w:top w:val="single" w:sz="4" w:space="0" w:color="auto"/>
              <w:left w:val="single" w:sz="4" w:space="0" w:color="auto"/>
              <w:bottom w:val="single" w:sz="4" w:space="0" w:color="auto"/>
              <w:right w:val="single" w:sz="4" w:space="0" w:color="auto"/>
            </w:tcBorders>
          </w:tcPr>
          <w:p w14:paraId="073898EE" w14:textId="77777777" w:rsidR="00265766" w:rsidRPr="009E686F" w:rsidRDefault="00265766" w:rsidP="00265766">
            <w:pPr>
              <w:spacing w:after="0"/>
              <w:jc w:val="both"/>
              <w:rPr>
                <w:rFonts w:ascii="Times New Roman" w:hAnsi="Times New Roman" w:cs="Times New Roman"/>
                <w:lang w:val="it-IT"/>
              </w:rPr>
            </w:pPr>
            <w:r w:rsidRPr="009E686F">
              <w:rPr>
                <w:rFonts w:ascii="Times New Roman" w:hAnsi="Times New Roman" w:cs="Times New Roman"/>
                <w:lang w:val="it-IT"/>
              </w:rPr>
              <w:t>(5) Până la 31 decembrie 2028, ABE raportează Parlamentului European, Consiliului și Comisiei cu privire la:</w:t>
            </w:r>
          </w:p>
          <w:p w14:paraId="214F8A1A" w14:textId="77777777" w:rsidR="00265766" w:rsidRPr="009E686F" w:rsidRDefault="00265766" w:rsidP="00265766">
            <w:pPr>
              <w:spacing w:after="0"/>
              <w:jc w:val="both"/>
              <w:rPr>
                <w:rFonts w:ascii="Times New Roman" w:hAnsi="Times New Roman" w:cs="Times New Roman"/>
                <w:lang w:val="it-IT"/>
              </w:rPr>
            </w:pPr>
            <w:r w:rsidRPr="009E686F">
              <w:rPr>
                <w:rFonts w:ascii="Times New Roman" w:hAnsi="Times New Roman" w:cs="Times New Roman"/>
                <w:lang w:val="it-IT"/>
              </w:rPr>
              <w:t>(a) evaluarea menționată la alineatul (3) de la prezentul articol, în special în ceea ce privește identificarea sucursalelor din țări terțe care aparțin aceleiași întreprinderi principale și funcționarea procesului de consultare prevăzut la alineatul respectiv;</w:t>
            </w:r>
          </w:p>
          <w:p w14:paraId="4544985B" w14:textId="0371BE4C" w:rsidR="00265766" w:rsidRPr="009E686F" w:rsidRDefault="00265766" w:rsidP="00265766">
            <w:pPr>
              <w:spacing w:after="0"/>
              <w:jc w:val="both"/>
              <w:rPr>
                <w:rFonts w:ascii="Times New Roman" w:hAnsi="Times New Roman" w:cs="Times New Roman"/>
                <w:lang w:val="it-IT"/>
              </w:rPr>
            </w:pPr>
            <w:r w:rsidRPr="009E686F">
              <w:rPr>
                <w:rFonts w:ascii="Times New Roman" w:hAnsi="Times New Roman" w:cs="Times New Roman"/>
                <w:lang w:val="it-IT"/>
              </w:rPr>
              <w:t>b) utilizarea competențelor de supraveghere prevăzute la alineatul (4) de la prezentul articol și la articolul 48i.</w:t>
            </w:r>
          </w:p>
        </w:tc>
        <w:tc>
          <w:tcPr>
            <w:tcW w:w="1834" w:type="pct"/>
            <w:tcBorders>
              <w:top w:val="single" w:sz="4" w:space="0" w:color="auto"/>
              <w:left w:val="single" w:sz="4" w:space="0" w:color="auto"/>
              <w:bottom w:val="single" w:sz="4" w:space="0" w:color="auto"/>
              <w:right w:val="single" w:sz="4" w:space="0" w:color="auto"/>
            </w:tcBorders>
          </w:tcPr>
          <w:p w14:paraId="7395BF9C" w14:textId="77777777" w:rsidR="00265766" w:rsidRPr="009E686F" w:rsidRDefault="00265766" w:rsidP="00265766">
            <w:pPr>
              <w:spacing w:after="0"/>
              <w:jc w:val="both"/>
              <w:rPr>
                <w:rFonts w:ascii="Times New Roman" w:hAnsi="Times New Roman" w:cs="Times New Roman"/>
                <w:b/>
                <w:lang w:val="it-IT"/>
              </w:rPr>
            </w:pPr>
          </w:p>
        </w:tc>
        <w:tc>
          <w:tcPr>
            <w:tcW w:w="470" w:type="pct"/>
            <w:tcBorders>
              <w:top w:val="single" w:sz="4" w:space="0" w:color="auto"/>
              <w:left w:val="single" w:sz="4" w:space="0" w:color="auto"/>
              <w:bottom w:val="single" w:sz="4" w:space="0" w:color="auto"/>
              <w:right w:val="single" w:sz="4" w:space="0" w:color="auto"/>
            </w:tcBorders>
          </w:tcPr>
          <w:p w14:paraId="52E4BABB" w14:textId="765C5B55" w:rsidR="00265766" w:rsidRPr="009E686F" w:rsidRDefault="00265766" w:rsidP="00265766">
            <w:pPr>
              <w:jc w:val="both"/>
              <w:rPr>
                <w:rFonts w:ascii="Times New Roman" w:hAnsi="Times New Roman" w:cs="Times New Roman"/>
                <w:lang w:val="it-IT"/>
              </w:rPr>
            </w:pPr>
            <w:r w:rsidRPr="009E686F">
              <w:rPr>
                <w:rFonts w:ascii="Times New Roman" w:hAnsi="Times New Roman" w:cs="Times New Roman"/>
                <w:lang w:val="it-IT"/>
              </w:rPr>
              <w:t>Norme UE neaplicabile</w:t>
            </w:r>
          </w:p>
        </w:tc>
        <w:tc>
          <w:tcPr>
            <w:tcW w:w="806" w:type="pct"/>
            <w:tcBorders>
              <w:top w:val="single" w:sz="4" w:space="0" w:color="auto"/>
              <w:left w:val="single" w:sz="4" w:space="0" w:color="auto"/>
              <w:bottom w:val="single" w:sz="4" w:space="0" w:color="auto"/>
              <w:right w:val="single" w:sz="4" w:space="0" w:color="auto"/>
            </w:tcBorders>
          </w:tcPr>
          <w:p w14:paraId="2BDC89E7" w14:textId="4F5BEBCC" w:rsidR="00265766" w:rsidRPr="009E686F" w:rsidRDefault="00265766" w:rsidP="00265766">
            <w:pPr>
              <w:spacing w:after="0"/>
              <w:jc w:val="both"/>
              <w:rPr>
                <w:rFonts w:ascii="Times New Roman" w:hAnsi="Times New Roman" w:cs="Times New Roman"/>
                <w:lang w:val="it-IT"/>
              </w:rPr>
            </w:pPr>
            <w:r w:rsidRPr="009E686F">
              <w:rPr>
                <w:rFonts w:ascii="Times New Roman" w:hAnsi="Times New Roman" w:cs="Times New Roman"/>
                <w:lang w:val="it-IT"/>
              </w:rPr>
              <w:t>Se refer</w:t>
            </w:r>
            <w:r w:rsidRPr="009E686F">
              <w:rPr>
                <w:rFonts w:ascii="Times New Roman" w:hAnsi="Times New Roman" w:cs="Times New Roman"/>
                <w:lang w:val="ro-RO"/>
              </w:rPr>
              <w:t>ă</w:t>
            </w:r>
            <w:r w:rsidRPr="009E686F">
              <w:rPr>
                <w:rFonts w:ascii="Times New Roman" w:hAnsi="Times New Roman" w:cs="Times New Roman"/>
                <w:lang w:val="it-IT"/>
              </w:rPr>
              <w:t xml:space="preserve"> la competențele ABE.</w:t>
            </w:r>
          </w:p>
        </w:tc>
      </w:tr>
      <w:tr w:rsidR="00A94677" w:rsidRPr="009E686F" w14:paraId="5CBBD4E6" w14:textId="77777777" w:rsidTr="00A94677">
        <w:trPr>
          <w:trHeight w:val="1493"/>
        </w:trPr>
        <w:tc>
          <w:tcPr>
            <w:tcW w:w="1890" w:type="pct"/>
            <w:tcBorders>
              <w:top w:val="single" w:sz="4" w:space="0" w:color="auto"/>
              <w:left w:val="single" w:sz="4" w:space="0" w:color="auto"/>
              <w:right w:val="single" w:sz="4" w:space="0" w:color="auto"/>
            </w:tcBorders>
          </w:tcPr>
          <w:p w14:paraId="11D59AA1" w14:textId="77777777" w:rsidR="00A94677" w:rsidRPr="009E686F" w:rsidRDefault="00A94677" w:rsidP="00265766">
            <w:pPr>
              <w:spacing w:after="0"/>
              <w:jc w:val="both"/>
              <w:rPr>
                <w:rFonts w:ascii="Times New Roman" w:hAnsi="Times New Roman" w:cs="Times New Roman"/>
                <w:lang w:val="it-CH"/>
              </w:rPr>
            </w:pPr>
            <w:r w:rsidRPr="009E686F">
              <w:rPr>
                <w:rFonts w:ascii="Times New Roman" w:hAnsi="Times New Roman" w:cs="Times New Roman"/>
                <w:lang w:val="it-CH"/>
              </w:rPr>
              <w:t>Subsecțiunea 4</w:t>
            </w:r>
          </w:p>
          <w:p w14:paraId="7CA93368" w14:textId="77777777" w:rsidR="00A94677" w:rsidRPr="009E686F" w:rsidRDefault="00A94677" w:rsidP="00265766">
            <w:pPr>
              <w:spacing w:after="0"/>
              <w:jc w:val="both"/>
              <w:rPr>
                <w:rFonts w:ascii="Times New Roman" w:hAnsi="Times New Roman" w:cs="Times New Roman"/>
                <w:b/>
                <w:lang w:val="it-CH"/>
              </w:rPr>
            </w:pPr>
            <w:r w:rsidRPr="009E686F">
              <w:rPr>
                <w:rFonts w:ascii="Times New Roman" w:hAnsi="Times New Roman" w:cs="Times New Roman"/>
                <w:b/>
                <w:lang w:val="it-CH"/>
              </w:rPr>
              <w:t>Cerințe de raportare</w:t>
            </w:r>
          </w:p>
          <w:p w14:paraId="022620BC" w14:textId="77777777" w:rsidR="00A94677" w:rsidRPr="009E686F" w:rsidRDefault="00A94677" w:rsidP="00265766">
            <w:pPr>
              <w:spacing w:after="0"/>
              <w:jc w:val="both"/>
              <w:rPr>
                <w:rFonts w:ascii="Times New Roman" w:hAnsi="Times New Roman" w:cs="Times New Roman"/>
                <w:i/>
                <w:lang w:val="it-CH"/>
              </w:rPr>
            </w:pPr>
            <w:r w:rsidRPr="009E686F">
              <w:rPr>
                <w:rFonts w:ascii="Times New Roman" w:hAnsi="Times New Roman" w:cs="Times New Roman"/>
                <w:i/>
                <w:lang w:val="it-CH"/>
              </w:rPr>
              <w:t xml:space="preserve">Articolul 48k </w:t>
            </w:r>
          </w:p>
          <w:p w14:paraId="6124106F" w14:textId="0BC27AD5" w:rsidR="00A94677" w:rsidRPr="009E686F" w:rsidRDefault="00A94677" w:rsidP="00265766">
            <w:pPr>
              <w:spacing w:after="0"/>
              <w:jc w:val="both"/>
              <w:rPr>
                <w:rFonts w:ascii="Times New Roman" w:hAnsi="Times New Roman" w:cs="Times New Roman"/>
                <w:b/>
                <w:lang w:val="it-CH"/>
              </w:rPr>
            </w:pPr>
            <w:r w:rsidRPr="009E686F">
              <w:rPr>
                <w:rFonts w:ascii="Times New Roman" w:hAnsi="Times New Roman" w:cs="Times New Roman"/>
                <w:lang w:val="it-CH"/>
              </w:rPr>
              <w:t>Informații de reglementare și financiare privind sucursalele din țări terțe și privind întreprinderea principală</w:t>
            </w:r>
          </w:p>
        </w:tc>
        <w:tc>
          <w:tcPr>
            <w:tcW w:w="1834" w:type="pct"/>
            <w:tcBorders>
              <w:top w:val="single" w:sz="4" w:space="0" w:color="auto"/>
              <w:left w:val="single" w:sz="4" w:space="0" w:color="auto"/>
              <w:right w:val="single" w:sz="4" w:space="0" w:color="auto"/>
            </w:tcBorders>
          </w:tcPr>
          <w:p w14:paraId="12A611E3" w14:textId="77777777" w:rsidR="00A94677" w:rsidRPr="009E686F" w:rsidRDefault="00A94677" w:rsidP="00265766">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b/>
                <w:bCs/>
                <w:kern w:val="2"/>
                <w:lang w:val="ro-MD"/>
              </w:rPr>
              <w:t>Articolul 94</w:t>
            </w:r>
            <w:r w:rsidRPr="009E686F">
              <w:rPr>
                <w:rFonts w:ascii="Times New Roman" w:eastAsia="Aptos" w:hAnsi="Times New Roman" w:cs="Times New Roman"/>
                <w:b/>
                <w:bCs/>
                <w:kern w:val="2"/>
                <w:vertAlign w:val="superscript"/>
                <w:lang w:val="ro-MD"/>
              </w:rPr>
              <w:t>5</w:t>
            </w:r>
            <w:r w:rsidRPr="009E686F">
              <w:rPr>
                <w:rFonts w:ascii="Times New Roman" w:eastAsia="Aptos" w:hAnsi="Times New Roman" w:cs="Times New Roman"/>
                <w:b/>
                <w:bCs/>
                <w:kern w:val="2"/>
                <w:lang w:val="ro-MD"/>
              </w:rPr>
              <w:t xml:space="preserve">. </w:t>
            </w:r>
            <w:r w:rsidRPr="009E686F">
              <w:rPr>
                <w:rFonts w:ascii="Times New Roman" w:eastAsia="Aptos" w:hAnsi="Times New Roman" w:cs="Times New Roman"/>
                <w:kern w:val="2"/>
                <w:lang w:val="ro-MD"/>
              </w:rPr>
              <w:t>Cerințe de raportare</w:t>
            </w:r>
          </w:p>
          <w:p w14:paraId="2AB65468" w14:textId="77777777" w:rsidR="00A94677" w:rsidRPr="009E686F" w:rsidRDefault="00A94677" w:rsidP="00265766">
            <w:pPr>
              <w:spacing w:after="0"/>
              <w:jc w:val="both"/>
              <w:rPr>
                <w:rFonts w:ascii="Times New Roman" w:hAnsi="Times New Roman" w:cs="Times New Roman"/>
                <w:b/>
                <w:lang w:val="it-IT"/>
              </w:rPr>
            </w:pPr>
          </w:p>
        </w:tc>
        <w:tc>
          <w:tcPr>
            <w:tcW w:w="470" w:type="pct"/>
            <w:tcBorders>
              <w:top w:val="single" w:sz="4" w:space="0" w:color="auto"/>
              <w:left w:val="single" w:sz="4" w:space="0" w:color="auto"/>
              <w:right w:val="single" w:sz="4" w:space="0" w:color="auto"/>
            </w:tcBorders>
          </w:tcPr>
          <w:p w14:paraId="2FD0D606" w14:textId="77777777" w:rsidR="00A94677" w:rsidRPr="009E686F" w:rsidRDefault="00A94677" w:rsidP="00265766">
            <w:pPr>
              <w:jc w:val="both"/>
              <w:rPr>
                <w:rFonts w:ascii="Times New Roman" w:hAnsi="Times New Roman" w:cs="Times New Roman"/>
                <w:lang w:val="it-IT"/>
              </w:rPr>
            </w:pPr>
          </w:p>
        </w:tc>
        <w:tc>
          <w:tcPr>
            <w:tcW w:w="806" w:type="pct"/>
            <w:vMerge w:val="restart"/>
            <w:tcBorders>
              <w:top w:val="single" w:sz="4" w:space="0" w:color="auto"/>
              <w:left w:val="single" w:sz="4" w:space="0" w:color="auto"/>
              <w:right w:val="single" w:sz="4" w:space="0" w:color="auto"/>
            </w:tcBorders>
          </w:tcPr>
          <w:p w14:paraId="3D2002C8" w14:textId="77777777" w:rsidR="00A94677" w:rsidRPr="009E686F" w:rsidRDefault="00A94677" w:rsidP="00A94677">
            <w:r w:rsidRPr="009E686F">
              <w:rPr>
                <w:rFonts w:ascii="Times New Roman" w:hAnsi="Times New Roman" w:cs="Times New Roman"/>
                <w:lang w:val="ro-RO"/>
              </w:rPr>
              <w:t>În vigoare – data aderării.</w:t>
            </w:r>
          </w:p>
          <w:p w14:paraId="79AF7F84" w14:textId="77777777" w:rsidR="00A94677" w:rsidRPr="009E686F" w:rsidRDefault="00A94677" w:rsidP="00265766">
            <w:pPr>
              <w:spacing w:after="0"/>
              <w:jc w:val="both"/>
              <w:rPr>
                <w:rFonts w:ascii="Times New Roman" w:hAnsi="Times New Roman" w:cs="Times New Roman"/>
                <w:lang w:val="it-IT"/>
              </w:rPr>
            </w:pPr>
          </w:p>
        </w:tc>
      </w:tr>
      <w:tr w:rsidR="00A94677" w:rsidRPr="009E686F" w14:paraId="45E541F5" w14:textId="77777777" w:rsidTr="001649B5">
        <w:tc>
          <w:tcPr>
            <w:tcW w:w="1890" w:type="pct"/>
            <w:tcBorders>
              <w:top w:val="single" w:sz="4" w:space="0" w:color="auto"/>
              <w:left w:val="single" w:sz="4" w:space="0" w:color="auto"/>
              <w:bottom w:val="single" w:sz="4" w:space="0" w:color="auto"/>
              <w:right w:val="single" w:sz="4" w:space="0" w:color="auto"/>
            </w:tcBorders>
          </w:tcPr>
          <w:p w14:paraId="00442305" w14:textId="4A223ECD" w:rsidR="00A94677" w:rsidRPr="009E686F" w:rsidRDefault="00A94677" w:rsidP="00265766">
            <w:pPr>
              <w:spacing w:after="0"/>
              <w:jc w:val="both"/>
              <w:rPr>
                <w:rFonts w:ascii="Times New Roman" w:hAnsi="Times New Roman" w:cs="Times New Roman"/>
                <w:lang w:val="it-IT"/>
              </w:rPr>
            </w:pPr>
            <w:r w:rsidRPr="009E686F">
              <w:rPr>
                <w:rFonts w:ascii="Times New Roman" w:hAnsi="Times New Roman" w:cs="Times New Roman"/>
                <w:lang w:val="it-IT"/>
              </w:rPr>
              <w:t>(1) Statele membre impun sucursalelor din țări terțe obligația de a raporta periodic autorităților lor competente informații cu privire la:</w:t>
            </w:r>
          </w:p>
        </w:tc>
        <w:tc>
          <w:tcPr>
            <w:tcW w:w="1834" w:type="pct"/>
            <w:tcBorders>
              <w:top w:val="single" w:sz="4" w:space="0" w:color="auto"/>
              <w:left w:val="single" w:sz="4" w:space="0" w:color="auto"/>
              <w:bottom w:val="single" w:sz="4" w:space="0" w:color="auto"/>
              <w:right w:val="single" w:sz="4" w:space="0" w:color="auto"/>
            </w:tcBorders>
          </w:tcPr>
          <w:p w14:paraId="617BE419" w14:textId="77777777" w:rsidR="00A94677" w:rsidRPr="009E686F" w:rsidRDefault="00A94677" w:rsidP="00265766">
            <w:pPr>
              <w:spacing w:after="0" w:line="278" w:lineRule="auto"/>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(1) Sucursalele din state terțe trebuie să întocmească și să prezinte periodic sau ad-hoc Băncii Naționale a Moldovei informațiile privind:</w:t>
            </w:r>
          </w:p>
          <w:p w14:paraId="1006FE0B" w14:textId="77777777" w:rsidR="00A94677" w:rsidRPr="009E686F" w:rsidRDefault="00A94677" w:rsidP="00265766">
            <w:pPr>
              <w:spacing w:after="0"/>
              <w:jc w:val="both"/>
              <w:rPr>
                <w:rFonts w:ascii="Times New Roman" w:hAnsi="Times New Roman" w:cs="Times New Roman"/>
                <w:b/>
                <w:lang w:val="it-IT"/>
              </w:rPr>
            </w:pPr>
          </w:p>
        </w:tc>
        <w:tc>
          <w:tcPr>
            <w:tcW w:w="470" w:type="pct"/>
            <w:tcBorders>
              <w:top w:val="single" w:sz="4" w:space="0" w:color="auto"/>
              <w:left w:val="single" w:sz="4" w:space="0" w:color="auto"/>
              <w:bottom w:val="single" w:sz="4" w:space="0" w:color="auto"/>
              <w:right w:val="single" w:sz="4" w:space="0" w:color="auto"/>
            </w:tcBorders>
          </w:tcPr>
          <w:p w14:paraId="774C932E" w14:textId="7378E895" w:rsidR="00A94677" w:rsidRPr="009E686F" w:rsidRDefault="00A94677" w:rsidP="00265766">
            <w:pPr>
              <w:jc w:val="both"/>
              <w:rPr>
                <w:rFonts w:ascii="Times New Roman" w:hAnsi="Times New Roman" w:cs="Times New Roman"/>
                <w:lang w:val="it-IT"/>
              </w:rPr>
            </w:pPr>
            <w:r w:rsidRPr="009E686F">
              <w:rPr>
                <w:rFonts w:ascii="Times New Roman" w:hAnsi="Times New Roman" w:cs="Times New Roman"/>
                <w:lang w:val="it-IT"/>
              </w:rPr>
              <w:t>Compatibil</w:t>
            </w:r>
          </w:p>
        </w:tc>
        <w:tc>
          <w:tcPr>
            <w:tcW w:w="806" w:type="pct"/>
            <w:vMerge/>
            <w:tcBorders>
              <w:left w:val="single" w:sz="4" w:space="0" w:color="auto"/>
              <w:right w:val="single" w:sz="4" w:space="0" w:color="auto"/>
            </w:tcBorders>
          </w:tcPr>
          <w:p w14:paraId="4FB74BD6" w14:textId="77777777" w:rsidR="00A94677" w:rsidRPr="009E686F" w:rsidRDefault="00A94677" w:rsidP="00265766">
            <w:pPr>
              <w:spacing w:after="0"/>
              <w:jc w:val="both"/>
              <w:rPr>
                <w:rFonts w:ascii="Times New Roman" w:hAnsi="Times New Roman" w:cs="Times New Roman"/>
                <w:lang w:val="it-IT"/>
              </w:rPr>
            </w:pPr>
          </w:p>
        </w:tc>
      </w:tr>
      <w:tr w:rsidR="00A94677" w:rsidRPr="009E686F" w14:paraId="2F82DE87" w14:textId="77777777" w:rsidTr="001649B5">
        <w:tc>
          <w:tcPr>
            <w:tcW w:w="1890" w:type="pct"/>
            <w:tcBorders>
              <w:top w:val="single" w:sz="4" w:space="0" w:color="auto"/>
              <w:left w:val="single" w:sz="4" w:space="0" w:color="auto"/>
              <w:bottom w:val="single" w:sz="4" w:space="0" w:color="auto"/>
              <w:right w:val="single" w:sz="4" w:space="0" w:color="auto"/>
            </w:tcBorders>
          </w:tcPr>
          <w:p w14:paraId="336AC7F1" w14:textId="69124C3F" w:rsidR="00A94677" w:rsidRPr="009E686F" w:rsidRDefault="00A94677" w:rsidP="00265766">
            <w:pPr>
              <w:spacing w:after="0"/>
              <w:jc w:val="both"/>
              <w:rPr>
                <w:rFonts w:ascii="Times New Roman" w:hAnsi="Times New Roman" w:cs="Times New Roman"/>
                <w:lang w:val="it-CH"/>
              </w:rPr>
            </w:pPr>
            <w:r w:rsidRPr="009E686F">
              <w:rPr>
                <w:rFonts w:ascii="Times New Roman" w:hAnsi="Times New Roman" w:cs="Times New Roman"/>
                <w:lang w:val="it-CH"/>
              </w:rPr>
              <w:t>(a) activele și pasivele deținute în evidențele lor contabile în conformitate cu articolul 48h și activele și pasivele inițiate de sucursalele din țări terțe, cu o defalcare care să evidențieze:</w:t>
            </w:r>
          </w:p>
        </w:tc>
        <w:tc>
          <w:tcPr>
            <w:tcW w:w="1834" w:type="pct"/>
            <w:tcBorders>
              <w:top w:val="single" w:sz="4" w:space="0" w:color="auto"/>
              <w:left w:val="single" w:sz="4" w:space="0" w:color="auto"/>
              <w:bottom w:val="single" w:sz="4" w:space="0" w:color="auto"/>
              <w:right w:val="single" w:sz="4" w:space="0" w:color="auto"/>
            </w:tcBorders>
          </w:tcPr>
          <w:p w14:paraId="7F307A7D" w14:textId="77777777" w:rsidR="00A94677" w:rsidRPr="009E686F" w:rsidRDefault="00A94677" w:rsidP="00265766">
            <w:pPr>
              <w:spacing w:after="0" w:line="278" w:lineRule="auto"/>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a) activele și pasivele deținute în evidențele lor contabile în conformitate cu art. 94</w:t>
            </w:r>
            <w:r w:rsidRPr="009E686F">
              <w:rPr>
                <w:rFonts w:ascii="Times New Roman" w:eastAsia="Aptos" w:hAnsi="Times New Roman" w:cs="Times New Roman"/>
                <w:i/>
                <w:iCs/>
                <w:kern w:val="2"/>
                <w:vertAlign w:val="superscript"/>
                <w:lang w:val="ro-MD"/>
              </w:rPr>
              <w:t>4</w:t>
            </w:r>
            <w:r w:rsidRPr="009E686F">
              <w:rPr>
                <w:rFonts w:ascii="Times New Roman" w:eastAsia="Aptos" w:hAnsi="Times New Roman" w:cs="Times New Roman"/>
                <w:i/>
                <w:iCs/>
                <w:kern w:val="2"/>
                <w:lang w:val="ro-MD"/>
              </w:rPr>
              <w:t xml:space="preserve"> și activele și pasivele inițiate de sucursalele din state terțe, cu o defalcare care să evidențieze: </w:t>
            </w:r>
          </w:p>
          <w:p w14:paraId="6B511F05" w14:textId="77777777" w:rsidR="00A94677" w:rsidRPr="009E686F" w:rsidRDefault="00A94677" w:rsidP="00265766">
            <w:pPr>
              <w:spacing w:after="0"/>
              <w:jc w:val="both"/>
              <w:rPr>
                <w:rFonts w:ascii="Times New Roman" w:hAnsi="Times New Roman" w:cs="Times New Roman"/>
                <w:b/>
                <w:i/>
                <w:lang w:val="it-CH"/>
              </w:rPr>
            </w:pPr>
          </w:p>
        </w:tc>
        <w:tc>
          <w:tcPr>
            <w:tcW w:w="470" w:type="pct"/>
            <w:tcBorders>
              <w:top w:val="single" w:sz="4" w:space="0" w:color="auto"/>
              <w:left w:val="single" w:sz="4" w:space="0" w:color="auto"/>
              <w:bottom w:val="single" w:sz="4" w:space="0" w:color="auto"/>
              <w:right w:val="single" w:sz="4" w:space="0" w:color="auto"/>
            </w:tcBorders>
          </w:tcPr>
          <w:p w14:paraId="221FE0DB" w14:textId="007F9418" w:rsidR="00A94677" w:rsidRPr="009E686F" w:rsidRDefault="00A94677" w:rsidP="00265766">
            <w:pPr>
              <w:jc w:val="both"/>
              <w:rPr>
                <w:rFonts w:ascii="Times New Roman" w:hAnsi="Times New Roman" w:cs="Times New Roman"/>
                <w:lang w:val="it-IT"/>
              </w:rPr>
            </w:pPr>
            <w:r w:rsidRPr="009E686F">
              <w:rPr>
                <w:rFonts w:ascii="Times New Roman" w:hAnsi="Times New Roman" w:cs="Times New Roman"/>
                <w:lang w:val="it-IT"/>
              </w:rPr>
              <w:t>Compatibil</w:t>
            </w:r>
          </w:p>
        </w:tc>
        <w:tc>
          <w:tcPr>
            <w:tcW w:w="806" w:type="pct"/>
            <w:vMerge/>
            <w:tcBorders>
              <w:left w:val="single" w:sz="4" w:space="0" w:color="auto"/>
              <w:right w:val="single" w:sz="4" w:space="0" w:color="auto"/>
            </w:tcBorders>
          </w:tcPr>
          <w:p w14:paraId="3C01E389" w14:textId="77777777" w:rsidR="00A94677" w:rsidRPr="009E686F" w:rsidRDefault="00A94677" w:rsidP="00265766">
            <w:pPr>
              <w:spacing w:after="0"/>
              <w:jc w:val="both"/>
              <w:rPr>
                <w:rFonts w:ascii="Times New Roman" w:hAnsi="Times New Roman" w:cs="Times New Roman"/>
                <w:lang w:val="it-IT"/>
              </w:rPr>
            </w:pPr>
          </w:p>
        </w:tc>
      </w:tr>
      <w:tr w:rsidR="00A94677" w:rsidRPr="009E686F" w14:paraId="3C518D8E" w14:textId="77777777" w:rsidTr="001649B5">
        <w:tc>
          <w:tcPr>
            <w:tcW w:w="1890" w:type="pct"/>
            <w:tcBorders>
              <w:top w:val="single" w:sz="4" w:space="0" w:color="auto"/>
              <w:left w:val="single" w:sz="4" w:space="0" w:color="auto"/>
              <w:bottom w:val="single" w:sz="4" w:space="0" w:color="auto"/>
              <w:right w:val="single" w:sz="4" w:space="0" w:color="auto"/>
            </w:tcBorders>
          </w:tcPr>
          <w:p w14:paraId="69E648B4" w14:textId="713B6DDC" w:rsidR="00A94677" w:rsidRPr="009E686F" w:rsidRDefault="00A94677" w:rsidP="00265766">
            <w:pPr>
              <w:spacing w:after="0"/>
              <w:jc w:val="both"/>
              <w:rPr>
                <w:rFonts w:ascii="Times New Roman" w:hAnsi="Times New Roman" w:cs="Times New Roman"/>
                <w:lang w:val="it-CH"/>
              </w:rPr>
            </w:pPr>
            <w:r w:rsidRPr="009E686F">
              <w:rPr>
                <w:rFonts w:ascii="Times New Roman" w:hAnsi="Times New Roman" w:cs="Times New Roman"/>
                <w:lang w:val="it-CH"/>
              </w:rPr>
              <w:t>(i) cele mai mari active și pasive înregistrate clasificate pe sectoare și tipuri de contrapărți, inclusiv, în particular, expunerile din sectorul financiar;</w:t>
            </w:r>
          </w:p>
        </w:tc>
        <w:tc>
          <w:tcPr>
            <w:tcW w:w="1834" w:type="pct"/>
            <w:tcBorders>
              <w:top w:val="single" w:sz="4" w:space="0" w:color="auto"/>
              <w:left w:val="single" w:sz="4" w:space="0" w:color="auto"/>
              <w:bottom w:val="single" w:sz="4" w:space="0" w:color="auto"/>
              <w:right w:val="single" w:sz="4" w:space="0" w:color="auto"/>
            </w:tcBorders>
          </w:tcPr>
          <w:p w14:paraId="03C9712C" w14:textId="77777777" w:rsidR="00A94677" w:rsidRPr="009E686F" w:rsidRDefault="00A94677" w:rsidP="00265766">
            <w:pPr>
              <w:spacing w:after="0" w:line="278" w:lineRule="auto"/>
              <w:ind w:firstLine="708"/>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 xml:space="preserve">(i) cele mai mari active și pasive înregistrate clasificate pe sectoare și tipuri de contrapărți, inclusiv, în particular, expunerile din sectorul financiar; </w:t>
            </w:r>
          </w:p>
          <w:p w14:paraId="45FD93C4" w14:textId="77777777" w:rsidR="00A94677" w:rsidRPr="009E686F" w:rsidRDefault="00A94677" w:rsidP="00265766">
            <w:pPr>
              <w:spacing w:after="0"/>
              <w:jc w:val="both"/>
              <w:rPr>
                <w:rFonts w:ascii="Times New Roman" w:hAnsi="Times New Roman" w:cs="Times New Roman"/>
                <w:b/>
                <w:i/>
                <w:lang w:val="it-CH"/>
              </w:rPr>
            </w:pPr>
          </w:p>
        </w:tc>
        <w:tc>
          <w:tcPr>
            <w:tcW w:w="470" w:type="pct"/>
            <w:tcBorders>
              <w:top w:val="single" w:sz="4" w:space="0" w:color="auto"/>
              <w:left w:val="single" w:sz="4" w:space="0" w:color="auto"/>
              <w:bottom w:val="single" w:sz="4" w:space="0" w:color="auto"/>
              <w:right w:val="single" w:sz="4" w:space="0" w:color="auto"/>
            </w:tcBorders>
          </w:tcPr>
          <w:p w14:paraId="2C1A987A" w14:textId="396108DA" w:rsidR="00A94677" w:rsidRPr="009E686F" w:rsidRDefault="00A94677" w:rsidP="00265766">
            <w:pPr>
              <w:jc w:val="both"/>
              <w:rPr>
                <w:rFonts w:ascii="Times New Roman" w:hAnsi="Times New Roman" w:cs="Times New Roman"/>
                <w:lang w:val="it-IT"/>
              </w:rPr>
            </w:pPr>
            <w:r w:rsidRPr="009E686F">
              <w:rPr>
                <w:rFonts w:ascii="Times New Roman" w:hAnsi="Times New Roman" w:cs="Times New Roman"/>
                <w:lang w:val="it-IT"/>
              </w:rPr>
              <w:t>Compatibil</w:t>
            </w:r>
          </w:p>
        </w:tc>
        <w:tc>
          <w:tcPr>
            <w:tcW w:w="806" w:type="pct"/>
            <w:vMerge/>
            <w:tcBorders>
              <w:left w:val="single" w:sz="4" w:space="0" w:color="auto"/>
              <w:right w:val="single" w:sz="4" w:space="0" w:color="auto"/>
            </w:tcBorders>
          </w:tcPr>
          <w:p w14:paraId="135844BC" w14:textId="77777777" w:rsidR="00A94677" w:rsidRPr="009E686F" w:rsidRDefault="00A94677" w:rsidP="00265766">
            <w:pPr>
              <w:spacing w:after="0"/>
              <w:jc w:val="both"/>
              <w:rPr>
                <w:rFonts w:ascii="Times New Roman" w:hAnsi="Times New Roman" w:cs="Times New Roman"/>
                <w:lang w:val="it-IT"/>
              </w:rPr>
            </w:pPr>
          </w:p>
        </w:tc>
      </w:tr>
      <w:tr w:rsidR="00A94677" w:rsidRPr="009E686F" w14:paraId="13C52D98" w14:textId="77777777" w:rsidTr="001649B5">
        <w:trPr>
          <w:trHeight w:val="704"/>
        </w:trPr>
        <w:tc>
          <w:tcPr>
            <w:tcW w:w="1890" w:type="pct"/>
            <w:tcBorders>
              <w:top w:val="single" w:sz="4" w:space="0" w:color="auto"/>
              <w:left w:val="single" w:sz="4" w:space="0" w:color="auto"/>
              <w:bottom w:val="single" w:sz="4" w:space="0" w:color="auto"/>
              <w:right w:val="single" w:sz="4" w:space="0" w:color="auto"/>
            </w:tcBorders>
          </w:tcPr>
          <w:p w14:paraId="65D3894B" w14:textId="71027C8D" w:rsidR="00A94677" w:rsidRPr="009E686F" w:rsidRDefault="00A94677" w:rsidP="00265766">
            <w:pPr>
              <w:spacing w:after="0"/>
              <w:jc w:val="both"/>
              <w:rPr>
                <w:rFonts w:ascii="Times New Roman" w:hAnsi="Times New Roman" w:cs="Times New Roman"/>
                <w:lang w:val="pt-BR"/>
              </w:rPr>
            </w:pPr>
            <w:r w:rsidRPr="009E686F">
              <w:rPr>
                <w:rFonts w:ascii="Times New Roman" w:hAnsi="Times New Roman" w:cs="Times New Roman"/>
                <w:lang w:val="pt-BR"/>
              </w:rPr>
              <w:t>(ii) expunerea semnificativă și concentrările de surse de finanțare în raport cu anumite tipuri de contrapărți;</w:t>
            </w:r>
          </w:p>
        </w:tc>
        <w:tc>
          <w:tcPr>
            <w:tcW w:w="1834" w:type="pct"/>
            <w:tcBorders>
              <w:top w:val="single" w:sz="4" w:space="0" w:color="auto"/>
              <w:left w:val="single" w:sz="4" w:space="0" w:color="auto"/>
              <w:bottom w:val="single" w:sz="4" w:space="0" w:color="auto"/>
              <w:right w:val="single" w:sz="4" w:space="0" w:color="auto"/>
            </w:tcBorders>
          </w:tcPr>
          <w:p w14:paraId="605B7CC9" w14:textId="66F139F9" w:rsidR="00A94677" w:rsidRPr="009E686F" w:rsidRDefault="00A94677" w:rsidP="00265766">
            <w:pPr>
              <w:spacing w:after="0" w:line="278" w:lineRule="auto"/>
              <w:ind w:firstLine="708"/>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 xml:space="preserve">(ii) expunerea semnificativă și concentrările de surse de finanțare în raport cu anumite tipuri de contrapărți; </w:t>
            </w:r>
          </w:p>
        </w:tc>
        <w:tc>
          <w:tcPr>
            <w:tcW w:w="470" w:type="pct"/>
            <w:tcBorders>
              <w:top w:val="single" w:sz="4" w:space="0" w:color="auto"/>
              <w:left w:val="single" w:sz="4" w:space="0" w:color="auto"/>
              <w:bottom w:val="single" w:sz="4" w:space="0" w:color="auto"/>
              <w:right w:val="single" w:sz="4" w:space="0" w:color="auto"/>
            </w:tcBorders>
          </w:tcPr>
          <w:p w14:paraId="30CF2049" w14:textId="5A9D6C82" w:rsidR="00A94677" w:rsidRPr="009E686F" w:rsidRDefault="00A94677" w:rsidP="00265766">
            <w:pPr>
              <w:jc w:val="both"/>
              <w:rPr>
                <w:rFonts w:ascii="Times New Roman" w:hAnsi="Times New Roman" w:cs="Times New Roman"/>
                <w:lang w:val="pt-BR"/>
              </w:rPr>
            </w:pPr>
            <w:r w:rsidRPr="009E686F">
              <w:rPr>
                <w:rFonts w:ascii="Times New Roman" w:hAnsi="Times New Roman" w:cs="Times New Roman"/>
                <w:lang w:val="it-IT"/>
              </w:rPr>
              <w:t>Compatibil</w:t>
            </w:r>
          </w:p>
        </w:tc>
        <w:tc>
          <w:tcPr>
            <w:tcW w:w="806" w:type="pct"/>
            <w:vMerge/>
            <w:tcBorders>
              <w:left w:val="single" w:sz="4" w:space="0" w:color="auto"/>
              <w:right w:val="single" w:sz="4" w:space="0" w:color="auto"/>
            </w:tcBorders>
          </w:tcPr>
          <w:p w14:paraId="15164E43" w14:textId="77777777" w:rsidR="00A94677" w:rsidRPr="009E686F" w:rsidRDefault="00A94677" w:rsidP="00265766">
            <w:pPr>
              <w:spacing w:after="0"/>
              <w:jc w:val="both"/>
              <w:rPr>
                <w:rFonts w:ascii="Times New Roman" w:hAnsi="Times New Roman" w:cs="Times New Roman"/>
                <w:lang w:val="pt-BR"/>
              </w:rPr>
            </w:pPr>
          </w:p>
        </w:tc>
      </w:tr>
      <w:tr w:rsidR="00A94677" w:rsidRPr="009E686F" w14:paraId="3A294778" w14:textId="77777777" w:rsidTr="001649B5">
        <w:tc>
          <w:tcPr>
            <w:tcW w:w="1890" w:type="pct"/>
            <w:tcBorders>
              <w:top w:val="single" w:sz="4" w:space="0" w:color="auto"/>
              <w:left w:val="single" w:sz="4" w:space="0" w:color="auto"/>
              <w:bottom w:val="single" w:sz="4" w:space="0" w:color="auto"/>
              <w:right w:val="single" w:sz="4" w:space="0" w:color="auto"/>
            </w:tcBorders>
          </w:tcPr>
          <w:p w14:paraId="6C885AC2" w14:textId="36F45CED" w:rsidR="00A94677" w:rsidRPr="009E686F" w:rsidRDefault="00A94677" w:rsidP="00265766">
            <w:pPr>
              <w:spacing w:after="0"/>
              <w:jc w:val="both"/>
              <w:rPr>
                <w:rFonts w:ascii="Times New Roman" w:hAnsi="Times New Roman" w:cs="Times New Roman"/>
                <w:lang w:val="it-IT"/>
              </w:rPr>
            </w:pPr>
            <w:r w:rsidRPr="009E686F">
              <w:rPr>
                <w:rFonts w:ascii="Times New Roman" w:hAnsi="Times New Roman" w:cs="Times New Roman"/>
                <w:lang w:val="it-IT"/>
              </w:rPr>
              <w:lastRenderedPageBreak/>
              <w:t>(iii) tranzacțiile interne semnificative cu întreprinderea principală și cu membrii grupului întreprinderii principale;</w:t>
            </w:r>
          </w:p>
        </w:tc>
        <w:tc>
          <w:tcPr>
            <w:tcW w:w="1834" w:type="pct"/>
            <w:tcBorders>
              <w:top w:val="single" w:sz="4" w:space="0" w:color="auto"/>
              <w:left w:val="single" w:sz="4" w:space="0" w:color="auto"/>
              <w:bottom w:val="single" w:sz="4" w:space="0" w:color="auto"/>
              <w:right w:val="single" w:sz="4" w:space="0" w:color="auto"/>
            </w:tcBorders>
          </w:tcPr>
          <w:p w14:paraId="3D1B15B9" w14:textId="4356E0AC" w:rsidR="00A94677" w:rsidRPr="009E686F" w:rsidRDefault="00A94677" w:rsidP="00265766">
            <w:pPr>
              <w:tabs>
                <w:tab w:val="left" w:pos="709"/>
              </w:tabs>
              <w:spacing w:after="0" w:line="278" w:lineRule="auto"/>
              <w:ind w:firstLine="708"/>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(iii) tranzacțiile interne semnificative cu întreprinderea principală și cu membrii grupului întreprinderii principale;</w:t>
            </w:r>
          </w:p>
        </w:tc>
        <w:tc>
          <w:tcPr>
            <w:tcW w:w="470" w:type="pct"/>
            <w:tcBorders>
              <w:top w:val="single" w:sz="4" w:space="0" w:color="auto"/>
              <w:left w:val="single" w:sz="4" w:space="0" w:color="auto"/>
              <w:bottom w:val="single" w:sz="4" w:space="0" w:color="auto"/>
              <w:right w:val="single" w:sz="4" w:space="0" w:color="auto"/>
            </w:tcBorders>
          </w:tcPr>
          <w:p w14:paraId="531D31DF" w14:textId="6458B04F" w:rsidR="00A94677" w:rsidRPr="009E686F" w:rsidRDefault="00A94677" w:rsidP="00265766">
            <w:pPr>
              <w:jc w:val="both"/>
              <w:rPr>
                <w:rFonts w:ascii="Times New Roman" w:hAnsi="Times New Roman" w:cs="Times New Roman"/>
                <w:lang w:val="it-IT"/>
              </w:rPr>
            </w:pPr>
            <w:r w:rsidRPr="009E686F">
              <w:rPr>
                <w:rFonts w:ascii="Times New Roman" w:hAnsi="Times New Roman" w:cs="Times New Roman"/>
                <w:lang w:val="it-IT"/>
              </w:rPr>
              <w:t>Compatibil</w:t>
            </w:r>
          </w:p>
        </w:tc>
        <w:tc>
          <w:tcPr>
            <w:tcW w:w="806" w:type="pct"/>
            <w:vMerge/>
            <w:tcBorders>
              <w:left w:val="single" w:sz="4" w:space="0" w:color="auto"/>
              <w:right w:val="single" w:sz="4" w:space="0" w:color="auto"/>
            </w:tcBorders>
          </w:tcPr>
          <w:p w14:paraId="220F25C9" w14:textId="77777777" w:rsidR="00A94677" w:rsidRPr="009E686F" w:rsidRDefault="00A94677" w:rsidP="00265766">
            <w:pPr>
              <w:spacing w:after="0"/>
              <w:jc w:val="both"/>
              <w:rPr>
                <w:rFonts w:ascii="Times New Roman" w:hAnsi="Times New Roman" w:cs="Times New Roman"/>
                <w:lang w:val="it-IT"/>
              </w:rPr>
            </w:pPr>
          </w:p>
        </w:tc>
      </w:tr>
      <w:tr w:rsidR="00A94677" w:rsidRPr="009E686F" w14:paraId="2AC10883" w14:textId="77777777" w:rsidTr="001649B5">
        <w:tc>
          <w:tcPr>
            <w:tcW w:w="1890" w:type="pct"/>
            <w:tcBorders>
              <w:top w:val="single" w:sz="4" w:space="0" w:color="auto"/>
              <w:left w:val="single" w:sz="4" w:space="0" w:color="auto"/>
              <w:bottom w:val="single" w:sz="4" w:space="0" w:color="auto"/>
              <w:right w:val="single" w:sz="4" w:space="0" w:color="auto"/>
            </w:tcBorders>
          </w:tcPr>
          <w:p w14:paraId="38D83EB6" w14:textId="2EDD722B" w:rsidR="00A94677" w:rsidRPr="009E686F" w:rsidRDefault="00A94677" w:rsidP="00265766">
            <w:pPr>
              <w:spacing w:after="0"/>
              <w:jc w:val="both"/>
              <w:rPr>
                <w:rFonts w:ascii="Times New Roman" w:hAnsi="Times New Roman" w:cs="Times New Roman"/>
                <w:lang w:val="pt-BR"/>
              </w:rPr>
            </w:pPr>
            <w:r w:rsidRPr="009E686F">
              <w:rPr>
                <w:rFonts w:ascii="Times New Roman" w:hAnsi="Times New Roman" w:cs="Times New Roman"/>
                <w:lang w:val="pt-BR"/>
              </w:rPr>
              <w:t>(b) respectarea de către sucursalele din țări terțe a cerințelor care li se aplică în temeiul prezentei directive;</w:t>
            </w:r>
          </w:p>
        </w:tc>
        <w:tc>
          <w:tcPr>
            <w:tcW w:w="1834" w:type="pct"/>
            <w:tcBorders>
              <w:top w:val="single" w:sz="4" w:space="0" w:color="auto"/>
              <w:left w:val="single" w:sz="4" w:space="0" w:color="auto"/>
              <w:bottom w:val="single" w:sz="4" w:space="0" w:color="auto"/>
              <w:right w:val="single" w:sz="4" w:space="0" w:color="auto"/>
            </w:tcBorders>
          </w:tcPr>
          <w:p w14:paraId="7355A30F" w14:textId="00F251B2" w:rsidR="00A94677" w:rsidRPr="009E686F" w:rsidRDefault="00A94677" w:rsidP="00265766">
            <w:pPr>
              <w:spacing w:after="0" w:line="278" w:lineRule="auto"/>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 xml:space="preserve">b) respectarea de către sucursalele din state terțe a cerințelor care li se aplică în temeiul prezentei legi; </w:t>
            </w:r>
          </w:p>
        </w:tc>
        <w:tc>
          <w:tcPr>
            <w:tcW w:w="470" w:type="pct"/>
            <w:tcBorders>
              <w:top w:val="single" w:sz="4" w:space="0" w:color="auto"/>
              <w:left w:val="single" w:sz="4" w:space="0" w:color="auto"/>
              <w:bottom w:val="single" w:sz="4" w:space="0" w:color="auto"/>
              <w:right w:val="single" w:sz="4" w:space="0" w:color="auto"/>
            </w:tcBorders>
          </w:tcPr>
          <w:p w14:paraId="375D5E3A" w14:textId="3970B4EB" w:rsidR="00A94677" w:rsidRPr="009E686F" w:rsidRDefault="00A94677" w:rsidP="00265766">
            <w:pPr>
              <w:jc w:val="both"/>
              <w:rPr>
                <w:rFonts w:ascii="Times New Roman" w:hAnsi="Times New Roman" w:cs="Times New Roman"/>
                <w:lang w:val="pt-BR"/>
              </w:rPr>
            </w:pPr>
            <w:r w:rsidRPr="009E686F">
              <w:rPr>
                <w:rFonts w:ascii="Times New Roman" w:hAnsi="Times New Roman" w:cs="Times New Roman"/>
                <w:lang w:val="it-IT"/>
              </w:rPr>
              <w:t>Compatibil</w:t>
            </w:r>
          </w:p>
        </w:tc>
        <w:tc>
          <w:tcPr>
            <w:tcW w:w="806" w:type="pct"/>
            <w:vMerge/>
            <w:tcBorders>
              <w:left w:val="single" w:sz="4" w:space="0" w:color="auto"/>
              <w:right w:val="single" w:sz="4" w:space="0" w:color="auto"/>
            </w:tcBorders>
          </w:tcPr>
          <w:p w14:paraId="13F4A094" w14:textId="77777777" w:rsidR="00A94677" w:rsidRPr="009E686F" w:rsidRDefault="00A94677" w:rsidP="00265766">
            <w:pPr>
              <w:spacing w:after="0"/>
              <w:jc w:val="both"/>
              <w:rPr>
                <w:rFonts w:ascii="Times New Roman" w:hAnsi="Times New Roman" w:cs="Times New Roman"/>
                <w:lang w:val="pt-BR"/>
              </w:rPr>
            </w:pPr>
          </w:p>
        </w:tc>
      </w:tr>
      <w:tr w:rsidR="00A94677" w:rsidRPr="009E686F" w14:paraId="4C04AE17" w14:textId="77777777" w:rsidTr="001649B5">
        <w:tc>
          <w:tcPr>
            <w:tcW w:w="1890" w:type="pct"/>
            <w:tcBorders>
              <w:top w:val="single" w:sz="4" w:space="0" w:color="auto"/>
              <w:left w:val="single" w:sz="4" w:space="0" w:color="auto"/>
              <w:bottom w:val="single" w:sz="4" w:space="0" w:color="auto"/>
              <w:right w:val="single" w:sz="4" w:space="0" w:color="auto"/>
            </w:tcBorders>
          </w:tcPr>
          <w:p w14:paraId="7A5A4861" w14:textId="5D3B3297" w:rsidR="00A94677" w:rsidRPr="009E686F" w:rsidRDefault="00A94677" w:rsidP="00265766">
            <w:pPr>
              <w:spacing w:after="0"/>
              <w:jc w:val="both"/>
              <w:rPr>
                <w:rFonts w:ascii="Times New Roman" w:hAnsi="Times New Roman" w:cs="Times New Roman"/>
                <w:lang w:val="it-CH"/>
              </w:rPr>
            </w:pPr>
            <w:r w:rsidRPr="009E686F">
              <w:rPr>
                <w:rFonts w:ascii="Times New Roman" w:hAnsi="Times New Roman" w:cs="Times New Roman"/>
                <w:lang w:val="it-CH"/>
              </w:rPr>
              <w:t>(c) pe o bază ad-hoc, modalitățile de protecție a depozitelor puse la dispoziția deponenților în sucursalele din țări terțe, în conformitate cu articolul 15 alineatele (2) și (3) din Directiva 2014/49/UE a Parlamentului European și a Consiliului (**);</w:t>
            </w:r>
          </w:p>
        </w:tc>
        <w:tc>
          <w:tcPr>
            <w:tcW w:w="1834" w:type="pct"/>
            <w:tcBorders>
              <w:top w:val="single" w:sz="4" w:space="0" w:color="auto"/>
              <w:left w:val="single" w:sz="4" w:space="0" w:color="auto"/>
              <w:bottom w:val="single" w:sz="4" w:space="0" w:color="auto"/>
              <w:right w:val="single" w:sz="4" w:space="0" w:color="auto"/>
            </w:tcBorders>
          </w:tcPr>
          <w:p w14:paraId="4B0ED609" w14:textId="1297944D" w:rsidR="00A94677" w:rsidRPr="009E686F" w:rsidRDefault="00A94677" w:rsidP="00265766">
            <w:pPr>
              <w:spacing w:after="0" w:line="278" w:lineRule="auto"/>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c) în mod ad-hoc, modalitățile de protecție a depozitelor puse la dispoziția deponenților în sucursalele din state terțe;</w:t>
            </w:r>
          </w:p>
          <w:p w14:paraId="78C461B6" w14:textId="77777777" w:rsidR="00A94677" w:rsidRPr="009E686F" w:rsidRDefault="00A94677" w:rsidP="00265766">
            <w:pPr>
              <w:spacing w:after="0"/>
              <w:jc w:val="both"/>
              <w:rPr>
                <w:rFonts w:ascii="Times New Roman" w:hAnsi="Times New Roman" w:cs="Times New Roman"/>
                <w:b/>
                <w:lang w:val="it-CH"/>
              </w:rPr>
            </w:pPr>
          </w:p>
        </w:tc>
        <w:tc>
          <w:tcPr>
            <w:tcW w:w="470" w:type="pct"/>
            <w:tcBorders>
              <w:top w:val="single" w:sz="4" w:space="0" w:color="auto"/>
              <w:left w:val="single" w:sz="4" w:space="0" w:color="auto"/>
              <w:bottom w:val="single" w:sz="4" w:space="0" w:color="auto"/>
              <w:right w:val="single" w:sz="4" w:space="0" w:color="auto"/>
            </w:tcBorders>
          </w:tcPr>
          <w:p w14:paraId="20E57862" w14:textId="1C32DF21" w:rsidR="00A94677" w:rsidRPr="009E686F" w:rsidRDefault="00A94677" w:rsidP="00265766">
            <w:pPr>
              <w:jc w:val="both"/>
              <w:rPr>
                <w:rFonts w:ascii="Times New Roman" w:hAnsi="Times New Roman" w:cs="Times New Roman"/>
                <w:lang w:val="pt-BR"/>
              </w:rPr>
            </w:pPr>
            <w:r w:rsidRPr="009E686F">
              <w:rPr>
                <w:rFonts w:ascii="Times New Roman" w:hAnsi="Times New Roman" w:cs="Times New Roman"/>
                <w:lang w:val="it-IT"/>
              </w:rPr>
              <w:t>Compatibil</w:t>
            </w:r>
          </w:p>
        </w:tc>
        <w:tc>
          <w:tcPr>
            <w:tcW w:w="806" w:type="pct"/>
            <w:vMerge/>
            <w:tcBorders>
              <w:left w:val="single" w:sz="4" w:space="0" w:color="auto"/>
              <w:right w:val="single" w:sz="4" w:space="0" w:color="auto"/>
            </w:tcBorders>
          </w:tcPr>
          <w:p w14:paraId="1E48056B" w14:textId="77777777" w:rsidR="00A94677" w:rsidRPr="009E686F" w:rsidRDefault="00A94677" w:rsidP="00265766">
            <w:pPr>
              <w:spacing w:after="0"/>
              <w:jc w:val="both"/>
              <w:rPr>
                <w:rFonts w:ascii="Times New Roman" w:hAnsi="Times New Roman" w:cs="Times New Roman"/>
                <w:lang w:val="pt-BR"/>
              </w:rPr>
            </w:pPr>
          </w:p>
        </w:tc>
      </w:tr>
      <w:tr w:rsidR="00A94677" w:rsidRPr="009E686F" w14:paraId="5CF59EF7" w14:textId="77777777" w:rsidTr="001649B5">
        <w:tc>
          <w:tcPr>
            <w:tcW w:w="1890" w:type="pct"/>
            <w:tcBorders>
              <w:top w:val="single" w:sz="4" w:space="0" w:color="auto"/>
              <w:left w:val="single" w:sz="4" w:space="0" w:color="auto"/>
              <w:bottom w:val="single" w:sz="4" w:space="0" w:color="auto"/>
              <w:right w:val="single" w:sz="4" w:space="0" w:color="auto"/>
            </w:tcBorders>
          </w:tcPr>
          <w:p w14:paraId="70F4D901" w14:textId="66912A23" w:rsidR="00A94677" w:rsidRPr="009E686F" w:rsidRDefault="00A94677" w:rsidP="00265766">
            <w:pPr>
              <w:spacing w:after="0"/>
              <w:jc w:val="both"/>
              <w:rPr>
                <w:rFonts w:ascii="Times New Roman" w:hAnsi="Times New Roman" w:cs="Times New Roman"/>
                <w:lang w:val="pt-BR"/>
              </w:rPr>
            </w:pPr>
            <w:r w:rsidRPr="009E686F">
              <w:rPr>
                <w:rFonts w:ascii="Times New Roman" w:hAnsi="Times New Roman" w:cs="Times New Roman"/>
                <w:lang w:val="pt-BR"/>
              </w:rPr>
              <w:t>(d) cerințele de reglementare suplimentare impuse sucursalelor din țări terțe de către statele membre în temeiul dreptul intern.</w:t>
            </w:r>
          </w:p>
        </w:tc>
        <w:tc>
          <w:tcPr>
            <w:tcW w:w="1834" w:type="pct"/>
            <w:tcBorders>
              <w:top w:val="single" w:sz="4" w:space="0" w:color="auto"/>
              <w:left w:val="single" w:sz="4" w:space="0" w:color="auto"/>
              <w:bottom w:val="single" w:sz="4" w:space="0" w:color="auto"/>
              <w:right w:val="single" w:sz="4" w:space="0" w:color="auto"/>
            </w:tcBorders>
          </w:tcPr>
          <w:p w14:paraId="3C31F052" w14:textId="53079476" w:rsidR="00A94677" w:rsidRPr="009E686F" w:rsidRDefault="00A94677" w:rsidP="00265766">
            <w:pPr>
              <w:spacing w:after="0"/>
              <w:jc w:val="both"/>
              <w:rPr>
                <w:rFonts w:ascii="Times New Roman" w:hAnsi="Times New Roman" w:cs="Times New Roman"/>
                <w:b/>
                <w:i/>
                <w:iCs/>
                <w:lang w:val="pt-BR"/>
              </w:rPr>
            </w:pPr>
            <w:r w:rsidRPr="009E686F">
              <w:rPr>
                <w:rFonts w:ascii="Times New Roman" w:eastAsia="Aptos" w:hAnsi="Times New Roman" w:cs="Times New Roman"/>
                <w:i/>
                <w:iCs/>
                <w:kern w:val="2"/>
                <w:lang w:val="ro-MD"/>
              </w:rPr>
              <w:t>d) cerințele de reglementare suplimentare impuse sucursalelor din state terțe, dacă e cazul.</w:t>
            </w:r>
          </w:p>
        </w:tc>
        <w:tc>
          <w:tcPr>
            <w:tcW w:w="470" w:type="pct"/>
            <w:tcBorders>
              <w:top w:val="single" w:sz="4" w:space="0" w:color="auto"/>
              <w:left w:val="single" w:sz="4" w:space="0" w:color="auto"/>
              <w:bottom w:val="single" w:sz="4" w:space="0" w:color="auto"/>
              <w:right w:val="single" w:sz="4" w:space="0" w:color="auto"/>
            </w:tcBorders>
          </w:tcPr>
          <w:p w14:paraId="62DD4624" w14:textId="66A6C5E9" w:rsidR="00A94677" w:rsidRPr="009E686F" w:rsidRDefault="00A94677" w:rsidP="00265766">
            <w:pPr>
              <w:jc w:val="both"/>
              <w:rPr>
                <w:rFonts w:ascii="Times New Roman" w:hAnsi="Times New Roman" w:cs="Times New Roman"/>
                <w:lang w:val="pt-BR"/>
              </w:rPr>
            </w:pPr>
            <w:r w:rsidRPr="009E686F">
              <w:rPr>
                <w:rFonts w:ascii="Times New Roman" w:hAnsi="Times New Roman" w:cs="Times New Roman"/>
                <w:lang w:val="it-IT"/>
              </w:rPr>
              <w:t>Compatibil</w:t>
            </w:r>
          </w:p>
        </w:tc>
        <w:tc>
          <w:tcPr>
            <w:tcW w:w="806" w:type="pct"/>
            <w:vMerge/>
            <w:tcBorders>
              <w:left w:val="single" w:sz="4" w:space="0" w:color="auto"/>
              <w:bottom w:val="single" w:sz="4" w:space="0" w:color="auto"/>
              <w:right w:val="single" w:sz="4" w:space="0" w:color="auto"/>
            </w:tcBorders>
          </w:tcPr>
          <w:p w14:paraId="5DD8B070" w14:textId="77777777" w:rsidR="00A94677" w:rsidRPr="009E686F" w:rsidRDefault="00A94677" w:rsidP="00265766">
            <w:pPr>
              <w:spacing w:after="0"/>
              <w:jc w:val="both"/>
              <w:rPr>
                <w:rFonts w:ascii="Times New Roman" w:hAnsi="Times New Roman" w:cs="Times New Roman"/>
                <w:lang w:val="pt-BR"/>
              </w:rPr>
            </w:pPr>
          </w:p>
        </w:tc>
      </w:tr>
      <w:tr w:rsidR="00265766" w:rsidRPr="009E686F" w14:paraId="41D21937" w14:textId="77777777" w:rsidTr="00960C23">
        <w:tc>
          <w:tcPr>
            <w:tcW w:w="1890" w:type="pct"/>
            <w:tcBorders>
              <w:top w:val="single" w:sz="4" w:space="0" w:color="auto"/>
              <w:left w:val="single" w:sz="4" w:space="0" w:color="auto"/>
              <w:bottom w:val="single" w:sz="4" w:space="0" w:color="auto"/>
              <w:right w:val="single" w:sz="4" w:space="0" w:color="auto"/>
            </w:tcBorders>
          </w:tcPr>
          <w:p w14:paraId="4A464E3B" w14:textId="44009AC9"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În scopul raportării informațiilor privind activele și pasivele deținute în evidențele lor contabile în conformitate cu litera (a) de la primul paragraf, sucursalele din țări terțe aplică standardele internaționale de contabilitate astfel cum sunt aplicate în conformitate cu Regulamentul (CE) nr. 1606/2002 al Parlamentului European și al Consiliului (***) sau principiile contabile general acceptate aplicabile în statul membru în cauză.</w:t>
            </w:r>
          </w:p>
        </w:tc>
        <w:tc>
          <w:tcPr>
            <w:tcW w:w="1834" w:type="pct"/>
            <w:tcBorders>
              <w:top w:val="single" w:sz="4" w:space="0" w:color="auto"/>
              <w:left w:val="single" w:sz="4" w:space="0" w:color="auto"/>
              <w:bottom w:val="single" w:sz="4" w:space="0" w:color="auto"/>
              <w:right w:val="single" w:sz="4" w:space="0" w:color="auto"/>
            </w:tcBorders>
          </w:tcPr>
          <w:p w14:paraId="15472E43" w14:textId="35CA0E94" w:rsidR="00265766" w:rsidRPr="009E686F" w:rsidRDefault="00265766" w:rsidP="00265766">
            <w:pPr>
              <w:spacing w:after="0"/>
              <w:jc w:val="both"/>
              <w:rPr>
                <w:rFonts w:ascii="Times New Roman" w:hAnsi="Times New Roman" w:cs="Times New Roman"/>
                <w:b/>
                <w:i/>
                <w:iCs/>
                <w:lang w:val="pt-BR"/>
              </w:rPr>
            </w:pPr>
            <w:r w:rsidRPr="009E686F">
              <w:rPr>
                <w:rFonts w:ascii="Times New Roman" w:eastAsia="Aptos" w:hAnsi="Times New Roman" w:cs="Times New Roman"/>
                <w:i/>
                <w:iCs/>
                <w:kern w:val="2"/>
                <w:lang w:val="ro-MD"/>
              </w:rPr>
              <w:t>(2) Sucursalele din state terțe aplică Standardele Internaționale de Raportare Financiară, în scopul raportării informațiilor menționate la alin. (1) lit. a).</w:t>
            </w:r>
          </w:p>
        </w:tc>
        <w:tc>
          <w:tcPr>
            <w:tcW w:w="470" w:type="pct"/>
            <w:tcBorders>
              <w:top w:val="single" w:sz="4" w:space="0" w:color="auto"/>
              <w:left w:val="single" w:sz="4" w:space="0" w:color="auto"/>
              <w:bottom w:val="single" w:sz="4" w:space="0" w:color="auto"/>
              <w:right w:val="single" w:sz="4" w:space="0" w:color="auto"/>
            </w:tcBorders>
          </w:tcPr>
          <w:p w14:paraId="66C682B9" w14:textId="27035C14" w:rsidR="00265766" w:rsidRPr="009E686F" w:rsidRDefault="00265766" w:rsidP="00265766">
            <w:pPr>
              <w:jc w:val="both"/>
              <w:rPr>
                <w:rFonts w:ascii="Times New Roman" w:hAnsi="Times New Roman" w:cs="Times New Roman"/>
                <w:lang w:val="pt-BR"/>
              </w:rPr>
            </w:pPr>
            <w:r w:rsidRPr="009E686F">
              <w:rPr>
                <w:rFonts w:ascii="Times New Roman" w:hAnsi="Times New Roman" w:cs="Times New Roman"/>
                <w:lang w:val="it-IT"/>
              </w:rPr>
              <w:t>Compatibil</w:t>
            </w:r>
          </w:p>
        </w:tc>
        <w:tc>
          <w:tcPr>
            <w:tcW w:w="806" w:type="pct"/>
            <w:tcBorders>
              <w:top w:val="single" w:sz="4" w:space="0" w:color="auto"/>
              <w:left w:val="single" w:sz="4" w:space="0" w:color="auto"/>
              <w:bottom w:val="single" w:sz="4" w:space="0" w:color="auto"/>
              <w:right w:val="single" w:sz="4" w:space="0" w:color="auto"/>
            </w:tcBorders>
          </w:tcPr>
          <w:p w14:paraId="67DC88F1" w14:textId="77777777" w:rsidR="00A94677" w:rsidRPr="009E686F" w:rsidRDefault="00A94677" w:rsidP="00A94677">
            <w:r w:rsidRPr="009E686F">
              <w:rPr>
                <w:rFonts w:ascii="Times New Roman" w:hAnsi="Times New Roman" w:cs="Times New Roman"/>
                <w:lang w:val="ro-RO"/>
              </w:rPr>
              <w:t>În vigoare – data aderării.</w:t>
            </w:r>
          </w:p>
          <w:p w14:paraId="6891F0DC" w14:textId="77777777" w:rsidR="00265766" w:rsidRPr="009E686F" w:rsidRDefault="00265766" w:rsidP="00265766">
            <w:pPr>
              <w:spacing w:after="0"/>
              <w:jc w:val="both"/>
              <w:rPr>
                <w:rFonts w:ascii="Times New Roman" w:hAnsi="Times New Roman" w:cs="Times New Roman"/>
                <w:lang w:val="pt-BR"/>
              </w:rPr>
            </w:pPr>
          </w:p>
        </w:tc>
      </w:tr>
      <w:tr w:rsidR="00A94677" w:rsidRPr="009E686F" w14:paraId="2DE301CB" w14:textId="77777777" w:rsidTr="008A4002">
        <w:trPr>
          <w:trHeight w:val="1040"/>
        </w:trPr>
        <w:tc>
          <w:tcPr>
            <w:tcW w:w="1890" w:type="pct"/>
            <w:tcBorders>
              <w:top w:val="single" w:sz="4" w:space="0" w:color="auto"/>
              <w:left w:val="single" w:sz="4" w:space="0" w:color="auto"/>
              <w:bottom w:val="single" w:sz="4" w:space="0" w:color="auto"/>
              <w:right w:val="single" w:sz="4" w:space="0" w:color="auto"/>
            </w:tcBorders>
          </w:tcPr>
          <w:p w14:paraId="52A9EC4A" w14:textId="04BCA161" w:rsidR="00A94677" w:rsidRPr="009E686F" w:rsidDel="002D6675" w:rsidRDefault="00A94677" w:rsidP="00265766">
            <w:pPr>
              <w:spacing w:after="0"/>
              <w:jc w:val="both"/>
              <w:rPr>
                <w:rFonts w:ascii="Times New Roman" w:hAnsi="Times New Roman" w:cs="Times New Roman"/>
                <w:lang w:val="it-CH"/>
              </w:rPr>
            </w:pPr>
            <w:r w:rsidRPr="009E686F">
              <w:rPr>
                <w:rFonts w:ascii="Times New Roman" w:hAnsi="Times New Roman" w:cs="Times New Roman"/>
                <w:lang w:val="it-CH"/>
              </w:rPr>
              <w:t>(2) Statele membre prevăd obligația ca sucursalele din țări terțe să raporteze autorităților lor competente următoarele informații cu privire la întreprinderea lor principală:</w:t>
            </w:r>
          </w:p>
        </w:tc>
        <w:tc>
          <w:tcPr>
            <w:tcW w:w="1834" w:type="pct"/>
            <w:tcBorders>
              <w:top w:val="single" w:sz="4" w:space="0" w:color="auto"/>
              <w:left w:val="single" w:sz="4" w:space="0" w:color="auto"/>
              <w:bottom w:val="single" w:sz="4" w:space="0" w:color="auto"/>
              <w:right w:val="single" w:sz="4" w:space="0" w:color="auto"/>
            </w:tcBorders>
          </w:tcPr>
          <w:p w14:paraId="0E415EFF" w14:textId="77777777" w:rsidR="00A94677" w:rsidRPr="009E686F" w:rsidRDefault="00A94677" w:rsidP="00265766">
            <w:pPr>
              <w:spacing w:after="0" w:line="278" w:lineRule="auto"/>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 xml:space="preserve">(3) Sucursalele din state terțe trebuie să raporteze Băncii Naționale a Moldovei următoarele informații cu privire la întreprinderea lor principală: </w:t>
            </w:r>
          </w:p>
          <w:p w14:paraId="6F40A574" w14:textId="77777777" w:rsidR="00A94677" w:rsidRPr="009E686F" w:rsidRDefault="00A94677" w:rsidP="00265766">
            <w:pPr>
              <w:spacing w:after="0"/>
              <w:jc w:val="both"/>
              <w:rPr>
                <w:rFonts w:ascii="Times New Roman" w:hAnsi="Times New Roman" w:cs="Times New Roman"/>
                <w:b/>
                <w:i/>
                <w:lang w:val="it-CH"/>
              </w:rPr>
            </w:pPr>
          </w:p>
        </w:tc>
        <w:tc>
          <w:tcPr>
            <w:tcW w:w="470" w:type="pct"/>
            <w:tcBorders>
              <w:top w:val="single" w:sz="4" w:space="0" w:color="auto"/>
              <w:left w:val="single" w:sz="4" w:space="0" w:color="auto"/>
              <w:bottom w:val="single" w:sz="4" w:space="0" w:color="auto"/>
              <w:right w:val="single" w:sz="4" w:space="0" w:color="auto"/>
            </w:tcBorders>
          </w:tcPr>
          <w:p w14:paraId="1E184BED" w14:textId="46F03C57" w:rsidR="00A94677" w:rsidRPr="009E686F" w:rsidRDefault="00A94677" w:rsidP="00265766">
            <w:pPr>
              <w:jc w:val="both"/>
              <w:rPr>
                <w:rFonts w:ascii="Times New Roman" w:hAnsi="Times New Roman" w:cs="Times New Roman"/>
                <w:lang w:val="pt-BR"/>
              </w:rPr>
            </w:pPr>
            <w:r w:rsidRPr="009E686F">
              <w:rPr>
                <w:rFonts w:ascii="Times New Roman" w:hAnsi="Times New Roman" w:cs="Times New Roman"/>
                <w:lang w:val="it-IT"/>
              </w:rPr>
              <w:t>Compatibil</w:t>
            </w:r>
          </w:p>
        </w:tc>
        <w:tc>
          <w:tcPr>
            <w:tcW w:w="806" w:type="pct"/>
            <w:vMerge w:val="restart"/>
            <w:tcBorders>
              <w:top w:val="single" w:sz="4" w:space="0" w:color="auto"/>
              <w:left w:val="single" w:sz="4" w:space="0" w:color="auto"/>
              <w:right w:val="single" w:sz="4" w:space="0" w:color="auto"/>
            </w:tcBorders>
          </w:tcPr>
          <w:p w14:paraId="0115EF4E" w14:textId="77777777" w:rsidR="00A94677" w:rsidRPr="009E686F" w:rsidRDefault="00A94677" w:rsidP="00A94677">
            <w:r w:rsidRPr="009E686F">
              <w:rPr>
                <w:rFonts w:ascii="Times New Roman" w:hAnsi="Times New Roman" w:cs="Times New Roman"/>
                <w:lang w:val="ro-RO"/>
              </w:rPr>
              <w:t>În vigoare – data aderării.</w:t>
            </w:r>
          </w:p>
          <w:p w14:paraId="25259572" w14:textId="77777777" w:rsidR="00A94677" w:rsidRPr="009E686F" w:rsidRDefault="00A94677" w:rsidP="00265766">
            <w:pPr>
              <w:spacing w:after="0"/>
              <w:jc w:val="both"/>
              <w:rPr>
                <w:rFonts w:ascii="Times New Roman" w:hAnsi="Times New Roman" w:cs="Times New Roman"/>
                <w:lang w:val="pt-BR"/>
              </w:rPr>
            </w:pPr>
          </w:p>
        </w:tc>
      </w:tr>
      <w:tr w:rsidR="00A94677" w:rsidRPr="009E686F" w14:paraId="464E0EDE" w14:textId="77777777" w:rsidTr="008A4002">
        <w:tc>
          <w:tcPr>
            <w:tcW w:w="1890" w:type="pct"/>
            <w:tcBorders>
              <w:top w:val="single" w:sz="4" w:space="0" w:color="auto"/>
              <w:left w:val="single" w:sz="4" w:space="0" w:color="auto"/>
              <w:bottom w:val="single" w:sz="4" w:space="0" w:color="auto"/>
              <w:right w:val="single" w:sz="4" w:space="0" w:color="auto"/>
            </w:tcBorders>
          </w:tcPr>
          <w:p w14:paraId="699413A6" w14:textId="77649089" w:rsidR="00A94677" w:rsidRPr="009E686F" w:rsidDel="002D6675" w:rsidRDefault="00A94677" w:rsidP="00265766">
            <w:pPr>
              <w:spacing w:after="0"/>
              <w:jc w:val="both"/>
              <w:rPr>
                <w:rFonts w:ascii="Times New Roman" w:hAnsi="Times New Roman" w:cs="Times New Roman"/>
                <w:lang w:val="it-CH"/>
              </w:rPr>
            </w:pPr>
            <w:r w:rsidRPr="009E686F">
              <w:rPr>
                <w:rFonts w:ascii="Times New Roman" w:hAnsi="Times New Roman" w:cs="Times New Roman"/>
                <w:lang w:val="it-CH"/>
              </w:rPr>
              <w:t>(a) periodic, informații agregate privind activele și pasivele deținute sau, respectiv, contabilizate în Uniune de filialele și de alte sucursale din țări terțe ale respectivului grup al întreprinderii principale;</w:t>
            </w:r>
          </w:p>
        </w:tc>
        <w:tc>
          <w:tcPr>
            <w:tcW w:w="1834" w:type="pct"/>
            <w:tcBorders>
              <w:top w:val="single" w:sz="4" w:space="0" w:color="auto"/>
              <w:left w:val="single" w:sz="4" w:space="0" w:color="auto"/>
              <w:bottom w:val="single" w:sz="4" w:space="0" w:color="auto"/>
              <w:right w:val="single" w:sz="4" w:space="0" w:color="auto"/>
            </w:tcBorders>
          </w:tcPr>
          <w:p w14:paraId="7825491F" w14:textId="573B3D7B" w:rsidR="00A94677" w:rsidRPr="009E686F" w:rsidRDefault="00A94677" w:rsidP="00265766">
            <w:pPr>
              <w:spacing w:after="0" w:line="278" w:lineRule="auto"/>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 xml:space="preserve">a) informații agregate privind activele și pasivele deținute sau, respectiv, contabilizate în UE de filialele și de alte sucursale din state terțe ale respectivului grup al întreprinderii principale; </w:t>
            </w:r>
          </w:p>
        </w:tc>
        <w:tc>
          <w:tcPr>
            <w:tcW w:w="470" w:type="pct"/>
            <w:tcBorders>
              <w:top w:val="single" w:sz="4" w:space="0" w:color="auto"/>
              <w:left w:val="single" w:sz="4" w:space="0" w:color="auto"/>
              <w:bottom w:val="single" w:sz="4" w:space="0" w:color="auto"/>
              <w:right w:val="single" w:sz="4" w:space="0" w:color="auto"/>
            </w:tcBorders>
          </w:tcPr>
          <w:p w14:paraId="49733029" w14:textId="09479D9D" w:rsidR="00A94677" w:rsidRPr="009E686F" w:rsidRDefault="00A94677" w:rsidP="00265766">
            <w:pPr>
              <w:jc w:val="both"/>
              <w:rPr>
                <w:rFonts w:ascii="Times New Roman" w:hAnsi="Times New Roman" w:cs="Times New Roman"/>
                <w:lang w:val="pt-BR"/>
              </w:rPr>
            </w:pPr>
            <w:r w:rsidRPr="009E686F">
              <w:rPr>
                <w:rFonts w:ascii="Times New Roman" w:hAnsi="Times New Roman" w:cs="Times New Roman"/>
                <w:lang w:val="it-IT"/>
              </w:rPr>
              <w:t>Compatibil</w:t>
            </w:r>
          </w:p>
        </w:tc>
        <w:tc>
          <w:tcPr>
            <w:tcW w:w="806" w:type="pct"/>
            <w:vMerge/>
            <w:tcBorders>
              <w:left w:val="single" w:sz="4" w:space="0" w:color="auto"/>
              <w:right w:val="single" w:sz="4" w:space="0" w:color="auto"/>
            </w:tcBorders>
          </w:tcPr>
          <w:p w14:paraId="630B5F26" w14:textId="77777777" w:rsidR="00A94677" w:rsidRPr="009E686F" w:rsidRDefault="00A94677" w:rsidP="00265766">
            <w:pPr>
              <w:spacing w:after="0"/>
              <w:jc w:val="both"/>
              <w:rPr>
                <w:rFonts w:ascii="Times New Roman" w:hAnsi="Times New Roman" w:cs="Times New Roman"/>
                <w:lang w:val="pt-BR"/>
              </w:rPr>
            </w:pPr>
          </w:p>
        </w:tc>
      </w:tr>
      <w:tr w:rsidR="00A94677" w:rsidRPr="009E686F" w14:paraId="333856DF" w14:textId="77777777" w:rsidTr="008A4002">
        <w:trPr>
          <w:trHeight w:val="801"/>
        </w:trPr>
        <w:tc>
          <w:tcPr>
            <w:tcW w:w="1890" w:type="pct"/>
            <w:tcBorders>
              <w:top w:val="single" w:sz="4" w:space="0" w:color="auto"/>
              <w:left w:val="single" w:sz="4" w:space="0" w:color="auto"/>
              <w:bottom w:val="single" w:sz="4" w:space="0" w:color="auto"/>
              <w:right w:val="single" w:sz="4" w:space="0" w:color="auto"/>
            </w:tcBorders>
          </w:tcPr>
          <w:p w14:paraId="623BBF55" w14:textId="4746C430" w:rsidR="00A94677" w:rsidRPr="009E686F" w:rsidDel="002D6675" w:rsidRDefault="00A94677" w:rsidP="00265766">
            <w:pPr>
              <w:spacing w:after="0"/>
              <w:jc w:val="both"/>
              <w:rPr>
                <w:rFonts w:ascii="Times New Roman" w:hAnsi="Times New Roman" w:cs="Times New Roman"/>
                <w:lang w:val="pt-BR"/>
              </w:rPr>
            </w:pPr>
            <w:r w:rsidRPr="009E686F">
              <w:rPr>
                <w:rFonts w:ascii="Times New Roman" w:hAnsi="Times New Roman" w:cs="Times New Roman"/>
                <w:lang w:val="pt-BR"/>
              </w:rPr>
              <w:t>(b) periodic, respectarea de către întreprinderea principală, pe bază individuală și consolidată, a cerințelor prudențiale aplicabile;</w:t>
            </w:r>
          </w:p>
        </w:tc>
        <w:tc>
          <w:tcPr>
            <w:tcW w:w="1834" w:type="pct"/>
            <w:tcBorders>
              <w:top w:val="single" w:sz="4" w:space="0" w:color="auto"/>
              <w:left w:val="single" w:sz="4" w:space="0" w:color="auto"/>
              <w:bottom w:val="single" w:sz="4" w:space="0" w:color="auto"/>
              <w:right w:val="single" w:sz="4" w:space="0" w:color="auto"/>
            </w:tcBorders>
          </w:tcPr>
          <w:p w14:paraId="4C09E58C" w14:textId="77777777" w:rsidR="00A94677" w:rsidRPr="009E686F" w:rsidRDefault="00A94677" w:rsidP="00265766">
            <w:pPr>
              <w:spacing w:after="0" w:line="278" w:lineRule="auto"/>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b) respectarea de către întreprinderea principală, pe bază individuală și consolidată, a cerințelor prudențiale aplicabile;</w:t>
            </w:r>
          </w:p>
          <w:p w14:paraId="02DF5D41" w14:textId="77777777" w:rsidR="00A94677" w:rsidRPr="009E686F" w:rsidRDefault="00A94677" w:rsidP="00265766">
            <w:pPr>
              <w:spacing w:after="0"/>
              <w:jc w:val="both"/>
              <w:rPr>
                <w:rFonts w:ascii="Times New Roman" w:hAnsi="Times New Roman" w:cs="Times New Roman"/>
                <w:b/>
                <w:i/>
                <w:iCs/>
                <w:lang w:val="pt-BR"/>
              </w:rPr>
            </w:pPr>
          </w:p>
        </w:tc>
        <w:tc>
          <w:tcPr>
            <w:tcW w:w="470" w:type="pct"/>
            <w:tcBorders>
              <w:top w:val="single" w:sz="4" w:space="0" w:color="auto"/>
              <w:left w:val="single" w:sz="4" w:space="0" w:color="auto"/>
              <w:bottom w:val="single" w:sz="4" w:space="0" w:color="auto"/>
              <w:right w:val="single" w:sz="4" w:space="0" w:color="auto"/>
            </w:tcBorders>
          </w:tcPr>
          <w:p w14:paraId="4E093764" w14:textId="1B7658DE" w:rsidR="00A94677" w:rsidRPr="009E686F" w:rsidRDefault="00A94677" w:rsidP="00265766">
            <w:pPr>
              <w:jc w:val="both"/>
              <w:rPr>
                <w:rFonts w:ascii="Times New Roman" w:hAnsi="Times New Roman" w:cs="Times New Roman"/>
                <w:lang w:val="pt-BR"/>
              </w:rPr>
            </w:pPr>
            <w:r w:rsidRPr="009E686F">
              <w:rPr>
                <w:rFonts w:ascii="Times New Roman" w:hAnsi="Times New Roman" w:cs="Times New Roman"/>
                <w:lang w:val="it-IT"/>
              </w:rPr>
              <w:lastRenderedPageBreak/>
              <w:t>Compatibil</w:t>
            </w:r>
          </w:p>
        </w:tc>
        <w:tc>
          <w:tcPr>
            <w:tcW w:w="806" w:type="pct"/>
            <w:vMerge/>
            <w:tcBorders>
              <w:left w:val="single" w:sz="4" w:space="0" w:color="auto"/>
              <w:right w:val="single" w:sz="4" w:space="0" w:color="auto"/>
            </w:tcBorders>
          </w:tcPr>
          <w:p w14:paraId="529EDAAF" w14:textId="77777777" w:rsidR="00A94677" w:rsidRPr="009E686F" w:rsidRDefault="00A94677" w:rsidP="00265766">
            <w:pPr>
              <w:spacing w:after="0"/>
              <w:jc w:val="both"/>
              <w:rPr>
                <w:rFonts w:ascii="Times New Roman" w:hAnsi="Times New Roman" w:cs="Times New Roman"/>
                <w:lang w:val="pt-BR"/>
              </w:rPr>
            </w:pPr>
          </w:p>
        </w:tc>
      </w:tr>
      <w:tr w:rsidR="00A94677" w:rsidRPr="009E686F" w14:paraId="3257EDA4" w14:textId="77777777" w:rsidTr="008A4002">
        <w:trPr>
          <w:trHeight w:val="1398"/>
        </w:trPr>
        <w:tc>
          <w:tcPr>
            <w:tcW w:w="1890" w:type="pct"/>
            <w:tcBorders>
              <w:top w:val="single" w:sz="4" w:space="0" w:color="auto"/>
              <w:left w:val="single" w:sz="4" w:space="0" w:color="auto"/>
              <w:bottom w:val="single" w:sz="4" w:space="0" w:color="auto"/>
              <w:right w:val="single" w:sz="4" w:space="0" w:color="auto"/>
            </w:tcBorders>
          </w:tcPr>
          <w:p w14:paraId="23C795C8" w14:textId="6B7D8A43" w:rsidR="00A94677" w:rsidRPr="009E686F" w:rsidDel="002D6675" w:rsidRDefault="00A94677" w:rsidP="00265766">
            <w:pPr>
              <w:spacing w:after="0"/>
              <w:jc w:val="both"/>
              <w:rPr>
                <w:rFonts w:ascii="Times New Roman" w:hAnsi="Times New Roman" w:cs="Times New Roman"/>
              </w:rPr>
            </w:pPr>
            <w:r w:rsidRPr="009E686F">
              <w:rPr>
                <w:rFonts w:ascii="Times New Roman" w:hAnsi="Times New Roman" w:cs="Times New Roman"/>
              </w:rPr>
              <w:t>(c) în mod ad-hoc, analize și evaluări semnificative de supraveghere, atunci când acestea sunt efectuate în raport cu întreprinderea principală, și deciziile de supraveghere subsecvente;</w:t>
            </w:r>
          </w:p>
        </w:tc>
        <w:tc>
          <w:tcPr>
            <w:tcW w:w="1834" w:type="pct"/>
            <w:tcBorders>
              <w:top w:val="single" w:sz="4" w:space="0" w:color="auto"/>
              <w:left w:val="single" w:sz="4" w:space="0" w:color="auto"/>
              <w:bottom w:val="single" w:sz="4" w:space="0" w:color="auto"/>
              <w:right w:val="single" w:sz="4" w:space="0" w:color="auto"/>
            </w:tcBorders>
          </w:tcPr>
          <w:p w14:paraId="5751DC7B" w14:textId="77777777" w:rsidR="00A94677" w:rsidRPr="009E686F" w:rsidRDefault="00A94677" w:rsidP="00265766">
            <w:pPr>
              <w:spacing w:after="0" w:line="278" w:lineRule="auto"/>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 xml:space="preserve">c) în mod ad-hoc, analize și evaluări semnificative de supraveghere, atunci când acestea sunt efectuate în raport cu întreprinderea principală, și deciziile de supraveghere subsecvente; </w:t>
            </w:r>
          </w:p>
          <w:p w14:paraId="6F5B8EA5" w14:textId="77777777" w:rsidR="00A94677" w:rsidRPr="009E686F" w:rsidRDefault="00A94677" w:rsidP="00265766">
            <w:pPr>
              <w:spacing w:after="0"/>
              <w:jc w:val="both"/>
              <w:rPr>
                <w:rFonts w:ascii="Times New Roman" w:hAnsi="Times New Roman" w:cs="Times New Roman"/>
                <w:b/>
                <w:i/>
              </w:rPr>
            </w:pPr>
          </w:p>
        </w:tc>
        <w:tc>
          <w:tcPr>
            <w:tcW w:w="470" w:type="pct"/>
            <w:tcBorders>
              <w:top w:val="single" w:sz="4" w:space="0" w:color="auto"/>
              <w:left w:val="single" w:sz="4" w:space="0" w:color="auto"/>
              <w:bottom w:val="single" w:sz="4" w:space="0" w:color="auto"/>
              <w:right w:val="single" w:sz="4" w:space="0" w:color="auto"/>
            </w:tcBorders>
          </w:tcPr>
          <w:p w14:paraId="267C3C4A" w14:textId="130D459E" w:rsidR="00A94677" w:rsidRPr="009E686F" w:rsidRDefault="00A94677" w:rsidP="00265766">
            <w:pPr>
              <w:jc w:val="both"/>
              <w:rPr>
                <w:rFonts w:ascii="Times New Roman" w:hAnsi="Times New Roman" w:cs="Times New Roman"/>
                <w:lang w:val="pt-BR"/>
              </w:rPr>
            </w:pPr>
            <w:r w:rsidRPr="009E686F">
              <w:rPr>
                <w:rFonts w:ascii="Times New Roman" w:hAnsi="Times New Roman" w:cs="Times New Roman"/>
                <w:lang w:val="it-IT"/>
              </w:rPr>
              <w:t>Compatibil</w:t>
            </w:r>
          </w:p>
        </w:tc>
        <w:tc>
          <w:tcPr>
            <w:tcW w:w="806" w:type="pct"/>
            <w:vMerge/>
            <w:tcBorders>
              <w:left w:val="single" w:sz="4" w:space="0" w:color="auto"/>
              <w:right w:val="single" w:sz="4" w:space="0" w:color="auto"/>
            </w:tcBorders>
          </w:tcPr>
          <w:p w14:paraId="0721AF8A" w14:textId="77777777" w:rsidR="00A94677" w:rsidRPr="009E686F" w:rsidRDefault="00A94677" w:rsidP="00265766">
            <w:pPr>
              <w:spacing w:after="0"/>
              <w:jc w:val="both"/>
              <w:rPr>
                <w:rFonts w:ascii="Times New Roman" w:hAnsi="Times New Roman" w:cs="Times New Roman"/>
                <w:lang w:val="pt-BR"/>
              </w:rPr>
            </w:pPr>
          </w:p>
        </w:tc>
      </w:tr>
      <w:tr w:rsidR="00A94677" w:rsidRPr="009E686F" w14:paraId="0BAEAC7C" w14:textId="77777777" w:rsidTr="008A4002">
        <w:tc>
          <w:tcPr>
            <w:tcW w:w="1890" w:type="pct"/>
            <w:tcBorders>
              <w:top w:val="single" w:sz="4" w:space="0" w:color="auto"/>
              <w:left w:val="single" w:sz="4" w:space="0" w:color="auto"/>
              <w:bottom w:val="single" w:sz="4" w:space="0" w:color="auto"/>
              <w:right w:val="single" w:sz="4" w:space="0" w:color="auto"/>
            </w:tcBorders>
          </w:tcPr>
          <w:p w14:paraId="3B31A266" w14:textId="46F59728" w:rsidR="00A94677" w:rsidRPr="009E686F" w:rsidDel="002D6675" w:rsidRDefault="00A94677" w:rsidP="00265766">
            <w:pPr>
              <w:spacing w:after="0"/>
              <w:jc w:val="both"/>
              <w:rPr>
                <w:rFonts w:ascii="Times New Roman" w:hAnsi="Times New Roman" w:cs="Times New Roman"/>
              </w:rPr>
            </w:pPr>
            <w:r w:rsidRPr="009E686F">
              <w:rPr>
                <w:rFonts w:ascii="Times New Roman" w:hAnsi="Times New Roman" w:cs="Times New Roman"/>
              </w:rPr>
              <w:t>(d) planurile de redresare ale întreprinderii principale și măsurile specifice care ar putea fi luate cu privire la sucursalele din țări terțe în conformitate cu planurile respective, precum și orice actualizări și modificări ulterioare ale planurilor respective;</w:t>
            </w:r>
          </w:p>
        </w:tc>
        <w:tc>
          <w:tcPr>
            <w:tcW w:w="1834" w:type="pct"/>
            <w:tcBorders>
              <w:top w:val="single" w:sz="4" w:space="0" w:color="auto"/>
              <w:left w:val="single" w:sz="4" w:space="0" w:color="auto"/>
              <w:bottom w:val="single" w:sz="4" w:space="0" w:color="auto"/>
              <w:right w:val="single" w:sz="4" w:space="0" w:color="auto"/>
            </w:tcBorders>
          </w:tcPr>
          <w:p w14:paraId="48E24092" w14:textId="77777777" w:rsidR="00A94677" w:rsidRPr="009E686F" w:rsidRDefault="00A94677" w:rsidP="00265766">
            <w:pPr>
              <w:spacing w:after="0" w:line="278" w:lineRule="auto"/>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 xml:space="preserve">d) planurile de redresare ale întreprinderii principale și măsurile specifice care ar putea fi luate cu privire la sucursalele din state terțe în conformitate cu planurile respective, precum și orice actualizări și modificări ulterioare ale planurilor respective; </w:t>
            </w:r>
          </w:p>
          <w:p w14:paraId="1EE02509" w14:textId="77777777" w:rsidR="00A94677" w:rsidRPr="009E686F" w:rsidRDefault="00A94677" w:rsidP="00265766">
            <w:pPr>
              <w:spacing w:after="0"/>
              <w:jc w:val="both"/>
              <w:rPr>
                <w:rFonts w:ascii="Times New Roman" w:hAnsi="Times New Roman" w:cs="Times New Roman"/>
                <w:b/>
                <w:i/>
                <w:lang w:val="it-CH"/>
              </w:rPr>
            </w:pPr>
          </w:p>
        </w:tc>
        <w:tc>
          <w:tcPr>
            <w:tcW w:w="470" w:type="pct"/>
            <w:tcBorders>
              <w:top w:val="single" w:sz="4" w:space="0" w:color="auto"/>
              <w:left w:val="single" w:sz="4" w:space="0" w:color="auto"/>
              <w:bottom w:val="single" w:sz="4" w:space="0" w:color="auto"/>
              <w:right w:val="single" w:sz="4" w:space="0" w:color="auto"/>
            </w:tcBorders>
          </w:tcPr>
          <w:p w14:paraId="17F99D85" w14:textId="7F348580" w:rsidR="00A94677" w:rsidRPr="009E686F" w:rsidRDefault="00A94677" w:rsidP="00265766">
            <w:pPr>
              <w:jc w:val="both"/>
              <w:rPr>
                <w:rFonts w:ascii="Times New Roman" w:hAnsi="Times New Roman" w:cs="Times New Roman"/>
                <w:lang w:val="pt-BR"/>
              </w:rPr>
            </w:pPr>
            <w:r w:rsidRPr="009E686F">
              <w:rPr>
                <w:rFonts w:ascii="Times New Roman" w:hAnsi="Times New Roman" w:cs="Times New Roman"/>
                <w:lang w:val="it-IT"/>
              </w:rPr>
              <w:t>Compatibil</w:t>
            </w:r>
          </w:p>
        </w:tc>
        <w:tc>
          <w:tcPr>
            <w:tcW w:w="806" w:type="pct"/>
            <w:vMerge/>
            <w:tcBorders>
              <w:left w:val="single" w:sz="4" w:space="0" w:color="auto"/>
              <w:right w:val="single" w:sz="4" w:space="0" w:color="auto"/>
            </w:tcBorders>
          </w:tcPr>
          <w:p w14:paraId="5E1CA339" w14:textId="77777777" w:rsidR="00A94677" w:rsidRPr="009E686F" w:rsidRDefault="00A94677" w:rsidP="00265766">
            <w:pPr>
              <w:spacing w:after="0"/>
              <w:jc w:val="both"/>
              <w:rPr>
                <w:rFonts w:ascii="Times New Roman" w:hAnsi="Times New Roman" w:cs="Times New Roman"/>
                <w:lang w:val="pt-BR"/>
              </w:rPr>
            </w:pPr>
          </w:p>
        </w:tc>
      </w:tr>
      <w:tr w:rsidR="00A94677" w:rsidRPr="009E686F" w14:paraId="53840464" w14:textId="77777777" w:rsidTr="008A4002">
        <w:tc>
          <w:tcPr>
            <w:tcW w:w="1890" w:type="pct"/>
            <w:tcBorders>
              <w:top w:val="single" w:sz="4" w:space="0" w:color="auto"/>
              <w:left w:val="single" w:sz="4" w:space="0" w:color="auto"/>
              <w:bottom w:val="single" w:sz="4" w:space="0" w:color="auto"/>
              <w:right w:val="single" w:sz="4" w:space="0" w:color="auto"/>
            </w:tcBorders>
          </w:tcPr>
          <w:p w14:paraId="26F2382E" w14:textId="79D5D31C" w:rsidR="00A94677" w:rsidRPr="009E686F" w:rsidDel="002D6675" w:rsidRDefault="00A94677" w:rsidP="00265766">
            <w:pPr>
              <w:spacing w:after="0"/>
              <w:jc w:val="both"/>
              <w:rPr>
                <w:rFonts w:ascii="Times New Roman" w:hAnsi="Times New Roman" w:cs="Times New Roman"/>
                <w:lang w:val="it-IT"/>
              </w:rPr>
            </w:pPr>
            <w:r w:rsidRPr="009E686F">
              <w:rPr>
                <w:rFonts w:ascii="Times New Roman" w:hAnsi="Times New Roman" w:cs="Times New Roman"/>
                <w:lang w:val="it-IT"/>
              </w:rPr>
              <w:t>(e) strategia de afaceri a întreprinderii principale în ceea ce privește sucursalele din țări terțe și orice modificări ulterioare ale strategiei respective;</w:t>
            </w:r>
          </w:p>
        </w:tc>
        <w:tc>
          <w:tcPr>
            <w:tcW w:w="1834" w:type="pct"/>
            <w:tcBorders>
              <w:top w:val="single" w:sz="4" w:space="0" w:color="auto"/>
              <w:left w:val="single" w:sz="4" w:space="0" w:color="auto"/>
              <w:bottom w:val="single" w:sz="4" w:space="0" w:color="auto"/>
              <w:right w:val="single" w:sz="4" w:space="0" w:color="auto"/>
            </w:tcBorders>
          </w:tcPr>
          <w:p w14:paraId="6DFD92D3" w14:textId="77777777" w:rsidR="00A94677" w:rsidRPr="009E686F" w:rsidRDefault="00A94677" w:rsidP="00265766">
            <w:pPr>
              <w:spacing w:after="0" w:line="278" w:lineRule="auto"/>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 xml:space="preserve">e) strategia de afaceri a întreprinderii principale în ceea ce privește sucursalele din state terțe și orice modificări ulterioare ale strategiei respective; </w:t>
            </w:r>
          </w:p>
          <w:p w14:paraId="0D02882D" w14:textId="77777777" w:rsidR="00A94677" w:rsidRPr="009E686F" w:rsidRDefault="00A94677" w:rsidP="00265766">
            <w:pPr>
              <w:spacing w:after="0"/>
              <w:jc w:val="both"/>
              <w:rPr>
                <w:rFonts w:ascii="Times New Roman" w:hAnsi="Times New Roman" w:cs="Times New Roman"/>
                <w:b/>
                <w:lang w:val="it-IT"/>
              </w:rPr>
            </w:pPr>
          </w:p>
        </w:tc>
        <w:tc>
          <w:tcPr>
            <w:tcW w:w="470" w:type="pct"/>
            <w:tcBorders>
              <w:top w:val="single" w:sz="4" w:space="0" w:color="auto"/>
              <w:left w:val="single" w:sz="4" w:space="0" w:color="auto"/>
              <w:bottom w:val="single" w:sz="4" w:space="0" w:color="auto"/>
              <w:right w:val="single" w:sz="4" w:space="0" w:color="auto"/>
            </w:tcBorders>
          </w:tcPr>
          <w:p w14:paraId="352EE643" w14:textId="1CF28E2A" w:rsidR="00A94677" w:rsidRPr="009E686F" w:rsidRDefault="00A94677" w:rsidP="00265766">
            <w:pPr>
              <w:jc w:val="both"/>
              <w:rPr>
                <w:rFonts w:ascii="Times New Roman" w:hAnsi="Times New Roman" w:cs="Times New Roman"/>
                <w:lang w:val="it-IT"/>
              </w:rPr>
            </w:pPr>
            <w:r w:rsidRPr="009E686F">
              <w:rPr>
                <w:rFonts w:ascii="Times New Roman" w:hAnsi="Times New Roman" w:cs="Times New Roman"/>
                <w:lang w:val="it-IT"/>
              </w:rPr>
              <w:t>Compatibil</w:t>
            </w:r>
          </w:p>
        </w:tc>
        <w:tc>
          <w:tcPr>
            <w:tcW w:w="806" w:type="pct"/>
            <w:vMerge/>
            <w:tcBorders>
              <w:left w:val="single" w:sz="4" w:space="0" w:color="auto"/>
              <w:right w:val="single" w:sz="4" w:space="0" w:color="auto"/>
            </w:tcBorders>
          </w:tcPr>
          <w:p w14:paraId="63446FDB" w14:textId="77777777" w:rsidR="00A94677" w:rsidRPr="009E686F" w:rsidRDefault="00A94677" w:rsidP="00265766">
            <w:pPr>
              <w:spacing w:after="0"/>
              <w:jc w:val="both"/>
              <w:rPr>
                <w:rFonts w:ascii="Times New Roman" w:hAnsi="Times New Roman" w:cs="Times New Roman"/>
                <w:lang w:val="it-IT"/>
              </w:rPr>
            </w:pPr>
          </w:p>
        </w:tc>
      </w:tr>
      <w:tr w:rsidR="00A94677" w:rsidRPr="009E686F" w14:paraId="3DDACA82" w14:textId="77777777" w:rsidTr="008A4002">
        <w:tc>
          <w:tcPr>
            <w:tcW w:w="1890" w:type="pct"/>
            <w:tcBorders>
              <w:top w:val="single" w:sz="4" w:space="0" w:color="auto"/>
              <w:left w:val="single" w:sz="4" w:space="0" w:color="auto"/>
              <w:bottom w:val="single" w:sz="4" w:space="0" w:color="auto"/>
              <w:right w:val="single" w:sz="4" w:space="0" w:color="auto"/>
            </w:tcBorders>
          </w:tcPr>
          <w:p w14:paraId="45BF0D07" w14:textId="71A39BDB" w:rsidR="00A94677" w:rsidRPr="009E686F" w:rsidDel="002D6675" w:rsidRDefault="00A94677" w:rsidP="00265766">
            <w:pPr>
              <w:spacing w:after="0"/>
              <w:jc w:val="both"/>
              <w:rPr>
                <w:rFonts w:ascii="Times New Roman" w:hAnsi="Times New Roman" w:cs="Times New Roman"/>
                <w:lang w:val="it-CH"/>
              </w:rPr>
            </w:pPr>
            <w:r w:rsidRPr="009E686F">
              <w:rPr>
                <w:rFonts w:ascii="Times New Roman" w:hAnsi="Times New Roman" w:cs="Times New Roman"/>
                <w:lang w:val="it-CH"/>
              </w:rPr>
              <w:t>(f) serviciile furnizate de întreprinderea principală clienților stabiliți sau situați în Uniune, pe bază de solicitare inversă a serviciilor, în conformitate cu articolul 21c.</w:t>
            </w:r>
          </w:p>
        </w:tc>
        <w:tc>
          <w:tcPr>
            <w:tcW w:w="1834" w:type="pct"/>
            <w:tcBorders>
              <w:top w:val="single" w:sz="4" w:space="0" w:color="auto"/>
              <w:left w:val="single" w:sz="4" w:space="0" w:color="auto"/>
              <w:bottom w:val="single" w:sz="4" w:space="0" w:color="auto"/>
              <w:right w:val="single" w:sz="4" w:space="0" w:color="auto"/>
            </w:tcBorders>
          </w:tcPr>
          <w:p w14:paraId="01454B85" w14:textId="16B273B3" w:rsidR="00A94677" w:rsidRPr="009E686F" w:rsidRDefault="00A94677" w:rsidP="00265766">
            <w:pPr>
              <w:spacing w:after="0"/>
              <w:jc w:val="both"/>
              <w:rPr>
                <w:rFonts w:ascii="Times New Roman" w:hAnsi="Times New Roman" w:cs="Times New Roman"/>
                <w:b/>
                <w:i/>
                <w:lang w:val="it-CH"/>
              </w:rPr>
            </w:pPr>
            <w:r w:rsidRPr="009E686F">
              <w:rPr>
                <w:rFonts w:ascii="Times New Roman" w:eastAsia="Aptos" w:hAnsi="Times New Roman" w:cs="Times New Roman"/>
                <w:i/>
                <w:iCs/>
                <w:kern w:val="2"/>
                <w:lang w:val="ro-MD"/>
              </w:rPr>
              <w:t>f) serviciile furnizate de întreprinderea principală clienților stabiliți sau situați în UE, pe bază de solicitare inversă a serviciilor, astfel cum prevede articolul 31</w:t>
            </w:r>
            <w:r w:rsidRPr="009E686F">
              <w:rPr>
                <w:rFonts w:ascii="Times New Roman" w:eastAsia="Aptos" w:hAnsi="Times New Roman" w:cs="Times New Roman"/>
                <w:i/>
                <w:iCs/>
                <w:kern w:val="2"/>
                <w:vertAlign w:val="superscript"/>
                <w:lang w:val="ro-MD"/>
              </w:rPr>
              <w:t>1</w:t>
            </w:r>
            <w:r w:rsidRPr="009E686F">
              <w:rPr>
                <w:rFonts w:ascii="Times New Roman" w:eastAsia="Aptos" w:hAnsi="Times New Roman" w:cs="Times New Roman"/>
                <w:i/>
                <w:iCs/>
                <w:kern w:val="2"/>
                <w:lang w:val="ro-MD"/>
              </w:rPr>
              <w:t>.</w:t>
            </w:r>
          </w:p>
        </w:tc>
        <w:tc>
          <w:tcPr>
            <w:tcW w:w="470" w:type="pct"/>
            <w:tcBorders>
              <w:top w:val="single" w:sz="4" w:space="0" w:color="auto"/>
              <w:left w:val="single" w:sz="4" w:space="0" w:color="auto"/>
              <w:bottom w:val="single" w:sz="4" w:space="0" w:color="auto"/>
              <w:right w:val="single" w:sz="4" w:space="0" w:color="auto"/>
            </w:tcBorders>
          </w:tcPr>
          <w:p w14:paraId="5A6EE0F1" w14:textId="2044B51B" w:rsidR="00A94677" w:rsidRPr="009E686F" w:rsidRDefault="00A94677" w:rsidP="00265766">
            <w:pPr>
              <w:jc w:val="both"/>
              <w:rPr>
                <w:rFonts w:ascii="Times New Roman" w:hAnsi="Times New Roman" w:cs="Times New Roman"/>
                <w:lang w:val="it-IT"/>
              </w:rPr>
            </w:pPr>
            <w:r w:rsidRPr="009E686F">
              <w:rPr>
                <w:rFonts w:ascii="Times New Roman" w:hAnsi="Times New Roman" w:cs="Times New Roman"/>
                <w:lang w:val="it-IT"/>
              </w:rPr>
              <w:t>Compatibil</w:t>
            </w:r>
          </w:p>
        </w:tc>
        <w:tc>
          <w:tcPr>
            <w:tcW w:w="806" w:type="pct"/>
            <w:vMerge/>
            <w:tcBorders>
              <w:left w:val="single" w:sz="4" w:space="0" w:color="auto"/>
              <w:bottom w:val="single" w:sz="4" w:space="0" w:color="auto"/>
              <w:right w:val="single" w:sz="4" w:space="0" w:color="auto"/>
            </w:tcBorders>
          </w:tcPr>
          <w:p w14:paraId="6AB85D28" w14:textId="77777777" w:rsidR="00A94677" w:rsidRPr="009E686F" w:rsidRDefault="00A94677" w:rsidP="00265766">
            <w:pPr>
              <w:spacing w:after="0"/>
              <w:jc w:val="both"/>
              <w:rPr>
                <w:rFonts w:ascii="Times New Roman" w:hAnsi="Times New Roman" w:cs="Times New Roman"/>
                <w:lang w:val="it-IT"/>
              </w:rPr>
            </w:pPr>
          </w:p>
        </w:tc>
      </w:tr>
      <w:tr w:rsidR="00265766" w:rsidRPr="009E686F" w14:paraId="5D867A7C" w14:textId="77777777" w:rsidTr="00960C23">
        <w:tc>
          <w:tcPr>
            <w:tcW w:w="1890" w:type="pct"/>
            <w:tcBorders>
              <w:top w:val="single" w:sz="4" w:space="0" w:color="auto"/>
              <w:left w:val="single" w:sz="4" w:space="0" w:color="auto"/>
              <w:bottom w:val="single" w:sz="4" w:space="0" w:color="auto"/>
              <w:right w:val="single" w:sz="4" w:space="0" w:color="auto"/>
            </w:tcBorders>
          </w:tcPr>
          <w:p w14:paraId="6DFADAED" w14:textId="459C3C89" w:rsidR="00265766" w:rsidRPr="009E686F" w:rsidDel="002D6675"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 xml:space="preserve">(3) Obligațiile de raportare prevăzute la prezentul articol nu împiedică o autoritate competentă să impună cerințe de raportare suplimentare sucursalelor din țări terțe în cazul în care consideră că informațiile suplimentare sunt necesare pentru a avea o imagine cuprinzătoare asupra operațiunilor, activităților sau solidității financiare ale sucursalelor din țări terțe sau ale întreprinderii lor principale, pentru a verifica respectarea de către sucursalele din țări terțe și de către întreprinderea lor principală a dreptului aplicabil și pentru a </w:t>
            </w:r>
            <w:r w:rsidRPr="009E686F">
              <w:rPr>
                <w:rFonts w:ascii="Times New Roman" w:hAnsi="Times New Roman" w:cs="Times New Roman"/>
                <w:lang w:val="it-CH"/>
              </w:rPr>
              <w:lastRenderedPageBreak/>
              <w:t>asigura respectarea de către sucursalele din țări terțe a actelor legislative respective.</w:t>
            </w:r>
          </w:p>
        </w:tc>
        <w:tc>
          <w:tcPr>
            <w:tcW w:w="1834" w:type="pct"/>
            <w:tcBorders>
              <w:top w:val="single" w:sz="4" w:space="0" w:color="auto"/>
              <w:left w:val="single" w:sz="4" w:space="0" w:color="auto"/>
              <w:bottom w:val="single" w:sz="4" w:space="0" w:color="auto"/>
              <w:right w:val="single" w:sz="4" w:space="0" w:color="auto"/>
            </w:tcBorders>
          </w:tcPr>
          <w:p w14:paraId="60DE893D" w14:textId="0EFA4748" w:rsidR="00265766" w:rsidRPr="009E686F" w:rsidRDefault="00265766" w:rsidP="00265766">
            <w:pPr>
              <w:spacing w:after="0"/>
              <w:jc w:val="both"/>
              <w:rPr>
                <w:rFonts w:ascii="Times New Roman" w:hAnsi="Times New Roman" w:cs="Times New Roman"/>
                <w:b/>
                <w:i/>
                <w:lang w:val="it-CH"/>
              </w:rPr>
            </w:pPr>
            <w:r w:rsidRPr="009E686F">
              <w:rPr>
                <w:rFonts w:ascii="Times New Roman" w:eastAsia="Aptos" w:hAnsi="Times New Roman" w:cs="Times New Roman"/>
                <w:i/>
                <w:iCs/>
                <w:kern w:val="2"/>
                <w:lang w:val="ro-MD"/>
              </w:rPr>
              <w:lastRenderedPageBreak/>
              <w:t xml:space="preserve">(4) Banca Națională a Moldovei poate impune cerințe de raportare suplimentare sucursalelor din state terțe, prin actele sale normative, în cazul în care consideră că informațiile suplimentare sunt necesare pentru a avea o imagine cuprinzătoare asupra operațiunilor, activităților sau solidității financiare ale sucursalelor din state terțe sau ale întreprinderii lor principale, pentru a verifica respectarea de către sucursalele din state terțe și de către întreprinderea lor principală a dreptului aplicabil și pentru a asigura </w:t>
            </w:r>
            <w:r w:rsidRPr="009E686F">
              <w:rPr>
                <w:rFonts w:ascii="Times New Roman" w:eastAsia="Aptos" w:hAnsi="Times New Roman" w:cs="Times New Roman"/>
                <w:i/>
                <w:iCs/>
                <w:kern w:val="2"/>
                <w:lang w:val="ro-MD"/>
              </w:rPr>
              <w:lastRenderedPageBreak/>
              <w:t>respectarea de către sucursalele din state terțe a actelor normative respective.</w:t>
            </w:r>
          </w:p>
        </w:tc>
        <w:tc>
          <w:tcPr>
            <w:tcW w:w="470" w:type="pct"/>
            <w:tcBorders>
              <w:top w:val="single" w:sz="4" w:space="0" w:color="auto"/>
              <w:left w:val="single" w:sz="4" w:space="0" w:color="auto"/>
              <w:bottom w:val="single" w:sz="4" w:space="0" w:color="auto"/>
              <w:right w:val="single" w:sz="4" w:space="0" w:color="auto"/>
            </w:tcBorders>
          </w:tcPr>
          <w:p w14:paraId="5443C552" w14:textId="06E48A1B" w:rsidR="00265766" w:rsidRPr="009E686F" w:rsidRDefault="00265766" w:rsidP="00265766">
            <w:pPr>
              <w:jc w:val="both"/>
              <w:rPr>
                <w:rFonts w:ascii="Times New Roman" w:hAnsi="Times New Roman" w:cs="Times New Roman"/>
                <w:lang w:val="it-IT"/>
              </w:rPr>
            </w:pPr>
            <w:r w:rsidRPr="009E686F">
              <w:rPr>
                <w:rFonts w:ascii="Times New Roman" w:hAnsi="Times New Roman" w:cs="Times New Roman"/>
                <w:lang w:val="it-IT"/>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20FD2162" w14:textId="77777777" w:rsidR="00A94677" w:rsidRPr="009E686F" w:rsidRDefault="00A94677" w:rsidP="00A94677">
            <w:r w:rsidRPr="009E686F">
              <w:rPr>
                <w:rFonts w:ascii="Times New Roman" w:hAnsi="Times New Roman" w:cs="Times New Roman"/>
                <w:lang w:val="ro-RO"/>
              </w:rPr>
              <w:t>În vigoare – data aderării.</w:t>
            </w:r>
          </w:p>
          <w:p w14:paraId="46F5C4AA" w14:textId="77777777" w:rsidR="00265766" w:rsidRPr="009E686F" w:rsidRDefault="00265766" w:rsidP="00265766">
            <w:pPr>
              <w:spacing w:after="0"/>
              <w:jc w:val="both"/>
              <w:rPr>
                <w:rFonts w:ascii="Times New Roman" w:hAnsi="Times New Roman" w:cs="Times New Roman"/>
                <w:lang w:val="it-IT"/>
              </w:rPr>
            </w:pPr>
          </w:p>
        </w:tc>
      </w:tr>
      <w:tr w:rsidR="00265766" w:rsidRPr="009E686F" w14:paraId="781C0761" w14:textId="77777777" w:rsidTr="00960C23">
        <w:tc>
          <w:tcPr>
            <w:tcW w:w="1890" w:type="pct"/>
            <w:tcBorders>
              <w:top w:val="single" w:sz="4" w:space="0" w:color="auto"/>
              <w:left w:val="single" w:sz="4" w:space="0" w:color="auto"/>
              <w:bottom w:val="single" w:sz="4" w:space="0" w:color="auto"/>
              <w:right w:val="single" w:sz="4" w:space="0" w:color="auto"/>
            </w:tcBorders>
          </w:tcPr>
          <w:p w14:paraId="29D4DCE0" w14:textId="77777777" w:rsidR="00265766" w:rsidRPr="009E686F" w:rsidRDefault="00265766" w:rsidP="00265766">
            <w:pPr>
              <w:spacing w:after="0"/>
              <w:jc w:val="both"/>
              <w:rPr>
                <w:rFonts w:ascii="Times New Roman" w:hAnsi="Times New Roman" w:cs="Times New Roman"/>
                <w:lang w:val="it-IT"/>
              </w:rPr>
            </w:pPr>
            <w:r w:rsidRPr="009E686F">
              <w:rPr>
                <w:rFonts w:ascii="Times New Roman" w:hAnsi="Times New Roman" w:cs="Times New Roman"/>
                <w:lang w:val="it-IT"/>
              </w:rPr>
              <w:t xml:space="preserve">Articolul 48l </w:t>
            </w:r>
          </w:p>
          <w:p w14:paraId="73644981" w14:textId="1BA526F9" w:rsidR="00265766" w:rsidRPr="009E686F" w:rsidDel="002D6675" w:rsidRDefault="00265766" w:rsidP="00265766">
            <w:pPr>
              <w:spacing w:after="0"/>
              <w:jc w:val="both"/>
              <w:rPr>
                <w:rFonts w:ascii="Times New Roman" w:hAnsi="Times New Roman" w:cs="Times New Roman"/>
                <w:lang w:val="it-IT"/>
              </w:rPr>
            </w:pPr>
            <w:r w:rsidRPr="009E686F">
              <w:rPr>
                <w:rFonts w:ascii="Times New Roman" w:hAnsi="Times New Roman" w:cs="Times New Roman"/>
                <w:lang w:val="it-IT"/>
              </w:rPr>
              <w:t>Formulare și modele standard și frecvența raportării</w:t>
            </w:r>
          </w:p>
        </w:tc>
        <w:tc>
          <w:tcPr>
            <w:tcW w:w="1834" w:type="pct"/>
            <w:tcBorders>
              <w:top w:val="single" w:sz="4" w:space="0" w:color="auto"/>
              <w:left w:val="single" w:sz="4" w:space="0" w:color="auto"/>
              <w:bottom w:val="single" w:sz="4" w:space="0" w:color="auto"/>
              <w:right w:val="single" w:sz="4" w:space="0" w:color="auto"/>
            </w:tcBorders>
          </w:tcPr>
          <w:p w14:paraId="5B766249" w14:textId="77777777" w:rsidR="00265766" w:rsidRPr="009E686F" w:rsidRDefault="00265766" w:rsidP="00265766">
            <w:pPr>
              <w:spacing w:after="0"/>
              <w:jc w:val="both"/>
              <w:rPr>
                <w:rFonts w:ascii="Times New Roman" w:hAnsi="Times New Roman" w:cs="Times New Roman"/>
                <w:b/>
                <w:lang w:val="it-IT"/>
              </w:rPr>
            </w:pPr>
          </w:p>
        </w:tc>
        <w:tc>
          <w:tcPr>
            <w:tcW w:w="470" w:type="pct"/>
            <w:tcBorders>
              <w:top w:val="single" w:sz="4" w:space="0" w:color="auto"/>
              <w:left w:val="single" w:sz="4" w:space="0" w:color="auto"/>
              <w:bottom w:val="single" w:sz="4" w:space="0" w:color="auto"/>
              <w:right w:val="single" w:sz="4" w:space="0" w:color="auto"/>
            </w:tcBorders>
          </w:tcPr>
          <w:p w14:paraId="67A5749E" w14:textId="77777777" w:rsidR="00265766" w:rsidRPr="009E686F" w:rsidRDefault="00265766" w:rsidP="00265766">
            <w:pPr>
              <w:jc w:val="both"/>
              <w:rPr>
                <w:rFonts w:ascii="Times New Roman" w:hAnsi="Times New Roman" w:cs="Times New Roman"/>
                <w:lang w:val="it-IT"/>
              </w:rPr>
            </w:pPr>
          </w:p>
        </w:tc>
        <w:tc>
          <w:tcPr>
            <w:tcW w:w="806" w:type="pct"/>
            <w:tcBorders>
              <w:top w:val="single" w:sz="4" w:space="0" w:color="auto"/>
              <w:left w:val="single" w:sz="4" w:space="0" w:color="auto"/>
              <w:bottom w:val="single" w:sz="4" w:space="0" w:color="auto"/>
              <w:right w:val="single" w:sz="4" w:space="0" w:color="auto"/>
            </w:tcBorders>
          </w:tcPr>
          <w:p w14:paraId="5177B307" w14:textId="77777777" w:rsidR="00265766" w:rsidRPr="009E686F" w:rsidRDefault="00265766" w:rsidP="00265766">
            <w:pPr>
              <w:spacing w:after="0"/>
              <w:jc w:val="both"/>
              <w:rPr>
                <w:rFonts w:ascii="Times New Roman" w:hAnsi="Times New Roman" w:cs="Times New Roman"/>
                <w:lang w:val="it-IT"/>
              </w:rPr>
            </w:pPr>
          </w:p>
        </w:tc>
      </w:tr>
      <w:tr w:rsidR="00265766" w:rsidRPr="009E686F" w14:paraId="2F718795" w14:textId="77777777" w:rsidTr="00960C23">
        <w:tc>
          <w:tcPr>
            <w:tcW w:w="1890" w:type="pct"/>
            <w:tcBorders>
              <w:top w:val="single" w:sz="4" w:space="0" w:color="auto"/>
              <w:left w:val="single" w:sz="4" w:space="0" w:color="auto"/>
              <w:bottom w:val="single" w:sz="4" w:space="0" w:color="auto"/>
              <w:right w:val="single" w:sz="4" w:space="0" w:color="auto"/>
            </w:tcBorders>
          </w:tcPr>
          <w:p w14:paraId="4A36D24B" w14:textId="6F00932F" w:rsidR="00265766" w:rsidRPr="009E686F" w:rsidDel="002D6675" w:rsidRDefault="00265766" w:rsidP="00265766">
            <w:pPr>
              <w:spacing w:after="0"/>
              <w:jc w:val="both"/>
              <w:rPr>
                <w:rFonts w:ascii="Times New Roman" w:hAnsi="Times New Roman" w:cs="Times New Roman"/>
                <w:lang w:val="it-IT"/>
              </w:rPr>
            </w:pPr>
            <w:r w:rsidRPr="009E686F">
              <w:rPr>
                <w:rFonts w:ascii="Times New Roman" w:hAnsi="Times New Roman" w:cs="Times New Roman"/>
                <w:lang w:val="it-IT"/>
              </w:rPr>
              <w:t>(1) ABE elaborează proiecte de standarde tehnice de punere în aplicare pentru a specifica formate și definiții uniforme pentru raportare, precum și frecvența acesteia, și elaborează soluțiile informatice care urmează să fie aplicate în sensul articolului 48k.</w:t>
            </w:r>
          </w:p>
        </w:tc>
        <w:tc>
          <w:tcPr>
            <w:tcW w:w="1834" w:type="pct"/>
            <w:tcBorders>
              <w:top w:val="single" w:sz="4" w:space="0" w:color="auto"/>
              <w:left w:val="single" w:sz="4" w:space="0" w:color="auto"/>
              <w:bottom w:val="single" w:sz="4" w:space="0" w:color="auto"/>
              <w:right w:val="single" w:sz="4" w:space="0" w:color="auto"/>
            </w:tcBorders>
          </w:tcPr>
          <w:p w14:paraId="70D10BDD" w14:textId="0FCCDDF6" w:rsidR="00265766" w:rsidRPr="009E686F" w:rsidRDefault="00265766" w:rsidP="00265766">
            <w:pPr>
              <w:spacing w:after="0"/>
              <w:jc w:val="both"/>
              <w:rPr>
                <w:rFonts w:ascii="Times New Roman" w:hAnsi="Times New Roman" w:cs="Times New Roman"/>
                <w:b/>
                <w:lang w:val="it-IT"/>
              </w:rPr>
            </w:pPr>
          </w:p>
        </w:tc>
        <w:tc>
          <w:tcPr>
            <w:tcW w:w="470" w:type="pct"/>
            <w:tcBorders>
              <w:top w:val="single" w:sz="4" w:space="0" w:color="auto"/>
              <w:left w:val="single" w:sz="4" w:space="0" w:color="auto"/>
              <w:bottom w:val="single" w:sz="4" w:space="0" w:color="auto"/>
              <w:right w:val="single" w:sz="4" w:space="0" w:color="auto"/>
            </w:tcBorders>
          </w:tcPr>
          <w:p w14:paraId="1EC101B1" w14:textId="5458E6FC" w:rsidR="00265766" w:rsidRPr="009E686F" w:rsidRDefault="00265766" w:rsidP="00265766">
            <w:pPr>
              <w:jc w:val="both"/>
              <w:rPr>
                <w:rFonts w:ascii="Times New Roman" w:hAnsi="Times New Roman" w:cs="Times New Roman"/>
                <w:b/>
                <w:bCs/>
                <w:lang w:val="it-IT"/>
              </w:rPr>
            </w:pPr>
            <w:r w:rsidRPr="009E686F">
              <w:rPr>
                <w:rFonts w:ascii="Times New Roman" w:hAnsi="Times New Roman" w:cs="Times New Roman"/>
                <w:lang w:val="it-IT"/>
              </w:rPr>
              <w:t>Norme UE neaplicabile</w:t>
            </w:r>
          </w:p>
        </w:tc>
        <w:tc>
          <w:tcPr>
            <w:tcW w:w="806" w:type="pct"/>
            <w:tcBorders>
              <w:top w:val="single" w:sz="4" w:space="0" w:color="auto"/>
              <w:left w:val="single" w:sz="4" w:space="0" w:color="auto"/>
              <w:bottom w:val="single" w:sz="4" w:space="0" w:color="auto"/>
              <w:right w:val="single" w:sz="4" w:space="0" w:color="auto"/>
            </w:tcBorders>
          </w:tcPr>
          <w:p w14:paraId="6D6AA60F" w14:textId="233A226E" w:rsidR="00265766" w:rsidRPr="009E686F" w:rsidRDefault="00265766" w:rsidP="00265766">
            <w:pPr>
              <w:spacing w:after="0"/>
              <w:jc w:val="both"/>
              <w:rPr>
                <w:rFonts w:ascii="Times New Roman" w:hAnsi="Times New Roman" w:cs="Times New Roman"/>
                <w:lang w:val="it-IT"/>
              </w:rPr>
            </w:pPr>
            <w:r w:rsidRPr="009E686F">
              <w:rPr>
                <w:rFonts w:ascii="Times New Roman" w:hAnsi="Times New Roman" w:cs="Times New Roman"/>
                <w:lang w:val="it-IT"/>
              </w:rPr>
              <w:t>Se referă la competențele ABE.</w:t>
            </w:r>
          </w:p>
        </w:tc>
      </w:tr>
      <w:tr w:rsidR="00265766" w:rsidRPr="009E686F" w14:paraId="2F1A8C8A" w14:textId="77777777" w:rsidTr="00960C23">
        <w:tc>
          <w:tcPr>
            <w:tcW w:w="1890" w:type="pct"/>
            <w:tcBorders>
              <w:top w:val="single" w:sz="4" w:space="0" w:color="auto"/>
              <w:left w:val="single" w:sz="4" w:space="0" w:color="auto"/>
              <w:bottom w:val="single" w:sz="4" w:space="0" w:color="auto"/>
              <w:right w:val="single" w:sz="4" w:space="0" w:color="auto"/>
            </w:tcBorders>
          </w:tcPr>
          <w:p w14:paraId="0ABD4268" w14:textId="14E106BE" w:rsidR="00265766" w:rsidRPr="009E686F" w:rsidDel="002D6675" w:rsidRDefault="00265766" w:rsidP="00265766">
            <w:pPr>
              <w:spacing w:after="0"/>
              <w:jc w:val="both"/>
              <w:rPr>
                <w:rFonts w:ascii="Times New Roman" w:hAnsi="Times New Roman" w:cs="Times New Roman"/>
                <w:lang w:val="it-IT"/>
              </w:rPr>
            </w:pPr>
            <w:r w:rsidRPr="009E686F">
              <w:rPr>
                <w:rFonts w:ascii="Times New Roman" w:hAnsi="Times New Roman" w:cs="Times New Roman"/>
                <w:lang w:val="it-IT"/>
              </w:rPr>
              <w:t>Cerințele de raportare menționate la articolul 48k sunt proporționale cu clasificarea sucursalelor din țări terțe în clasa 1 sau în clasa 2.</w:t>
            </w:r>
          </w:p>
        </w:tc>
        <w:tc>
          <w:tcPr>
            <w:tcW w:w="1834" w:type="pct"/>
            <w:tcBorders>
              <w:top w:val="single" w:sz="4" w:space="0" w:color="auto"/>
              <w:left w:val="single" w:sz="4" w:space="0" w:color="auto"/>
              <w:bottom w:val="single" w:sz="4" w:space="0" w:color="auto"/>
              <w:right w:val="single" w:sz="4" w:space="0" w:color="auto"/>
            </w:tcBorders>
          </w:tcPr>
          <w:p w14:paraId="0F356DF3" w14:textId="2C0482DC" w:rsidR="00265766" w:rsidRPr="009E686F" w:rsidRDefault="00265766" w:rsidP="00265766">
            <w:pPr>
              <w:spacing w:after="0"/>
              <w:jc w:val="both"/>
              <w:rPr>
                <w:rFonts w:ascii="Times New Roman" w:eastAsia="Aptos" w:hAnsi="Times New Roman" w:cs="Times New Roman"/>
                <w:kern w:val="2"/>
                <w:lang w:val="ro-MD"/>
              </w:rPr>
            </w:pPr>
            <w:r w:rsidRPr="009E686F">
              <w:rPr>
                <w:rFonts w:ascii="Times New Roman" w:eastAsia="Aptos" w:hAnsi="Times New Roman" w:cs="Times New Roman"/>
                <w:b/>
                <w:bCs/>
                <w:kern w:val="2"/>
                <w:lang w:val="ro-MD"/>
              </w:rPr>
              <w:t>Articolul 94</w:t>
            </w:r>
            <w:r w:rsidRPr="009E686F">
              <w:rPr>
                <w:rFonts w:ascii="Times New Roman" w:eastAsia="Aptos" w:hAnsi="Times New Roman" w:cs="Times New Roman"/>
                <w:b/>
                <w:bCs/>
                <w:kern w:val="2"/>
                <w:vertAlign w:val="superscript"/>
                <w:lang w:val="ro-MD"/>
              </w:rPr>
              <w:t>5</w:t>
            </w:r>
            <w:r w:rsidRPr="009E686F">
              <w:rPr>
                <w:rFonts w:ascii="Times New Roman" w:eastAsia="Aptos" w:hAnsi="Times New Roman" w:cs="Times New Roman"/>
                <w:b/>
                <w:bCs/>
                <w:kern w:val="2"/>
                <w:lang w:val="ro-MD"/>
              </w:rPr>
              <w:t>alin. (5)</w:t>
            </w:r>
          </w:p>
          <w:p w14:paraId="0DFEDE37" w14:textId="0FC7ABAB" w:rsidR="00265766" w:rsidRPr="009E686F" w:rsidRDefault="00265766" w:rsidP="00265766">
            <w:pPr>
              <w:spacing w:after="0"/>
              <w:jc w:val="both"/>
              <w:rPr>
                <w:rFonts w:ascii="Times New Roman" w:hAnsi="Times New Roman" w:cs="Times New Roman"/>
                <w:b/>
                <w:i/>
                <w:iCs/>
                <w:lang w:val="it-IT"/>
              </w:rPr>
            </w:pPr>
            <w:r w:rsidRPr="009E686F">
              <w:rPr>
                <w:rFonts w:ascii="Times New Roman" w:eastAsia="Aptos" w:hAnsi="Times New Roman" w:cs="Times New Roman"/>
                <w:i/>
                <w:iCs/>
                <w:kern w:val="2"/>
                <w:lang w:val="ro-MD"/>
              </w:rPr>
              <w:t>(5) Cerințele de raportare prevăzute de prezentul articol trebuie să fie proporționale cu clasificarea sucursalelor din state terțe în clasa 1 sau în clasa 2.</w:t>
            </w:r>
          </w:p>
        </w:tc>
        <w:tc>
          <w:tcPr>
            <w:tcW w:w="470" w:type="pct"/>
            <w:tcBorders>
              <w:top w:val="single" w:sz="4" w:space="0" w:color="auto"/>
              <w:left w:val="single" w:sz="4" w:space="0" w:color="auto"/>
              <w:bottom w:val="single" w:sz="4" w:space="0" w:color="auto"/>
              <w:right w:val="single" w:sz="4" w:space="0" w:color="auto"/>
            </w:tcBorders>
          </w:tcPr>
          <w:p w14:paraId="059F916E" w14:textId="019F4F2F" w:rsidR="00265766" w:rsidRPr="009E686F" w:rsidRDefault="00265766" w:rsidP="00265766">
            <w:pPr>
              <w:jc w:val="both"/>
              <w:rPr>
                <w:rFonts w:ascii="Times New Roman" w:hAnsi="Times New Roman" w:cs="Times New Roman"/>
                <w:lang w:val="it-IT"/>
              </w:rPr>
            </w:pPr>
            <w:r w:rsidRPr="009E686F">
              <w:rPr>
                <w:rFonts w:ascii="Times New Roman" w:hAnsi="Times New Roman" w:cs="Times New Roman"/>
                <w:lang w:val="it-IT"/>
              </w:rPr>
              <w:t>Compatibil</w:t>
            </w:r>
          </w:p>
        </w:tc>
        <w:tc>
          <w:tcPr>
            <w:tcW w:w="806" w:type="pct"/>
            <w:tcBorders>
              <w:top w:val="single" w:sz="4" w:space="0" w:color="auto"/>
              <w:left w:val="single" w:sz="4" w:space="0" w:color="auto"/>
              <w:bottom w:val="single" w:sz="4" w:space="0" w:color="auto"/>
              <w:right w:val="single" w:sz="4" w:space="0" w:color="auto"/>
            </w:tcBorders>
          </w:tcPr>
          <w:p w14:paraId="4723EFAC" w14:textId="77777777" w:rsidR="00A94677" w:rsidRPr="009E686F" w:rsidRDefault="00A94677" w:rsidP="00A94677">
            <w:r w:rsidRPr="009E686F">
              <w:rPr>
                <w:rFonts w:ascii="Times New Roman" w:hAnsi="Times New Roman" w:cs="Times New Roman"/>
                <w:lang w:val="ro-RO"/>
              </w:rPr>
              <w:t>În vigoare – data aderării.</w:t>
            </w:r>
          </w:p>
          <w:p w14:paraId="559ACF96" w14:textId="77777777" w:rsidR="00265766" w:rsidRPr="009E686F" w:rsidRDefault="00265766" w:rsidP="00265766">
            <w:pPr>
              <w:spacing w:after="0"/>
              <w:jc w:val="both"/>
              <w:rPr>
                <w:rFonts w:ascii="Times New Roman" w:hAnsi="Times New Roman" w:cs="Times New Roman"/>
                <w:lang w:val="it-IT"/>
              </w:rPr>
            </w:pPr>
          </w:p>
        </w:tc>
      </w:tr>
      <w:tr w:rsidR="00265766" w:rsidRPr="009E686F" w14:paraId="2BEE4E94" w14:textId="77777777" w:rsidTr="00960C23">
        <w:tc>
          <w:tcPr>
            <w:tcW w:w="1890" w:type="pct"/>
            <w:tcBorders>
              <w:top w:val="single" w:sz="4" w:space="0" w:color="auto"/>
              <w:left w:val="single" w:sz="4" w:space="0" w:color="auto"/>
              <w:bottom w:val="single" w:sz="4" w:space="0" w:color="auto"/>
              <w:right w:val="single" w:sz="4" w:space="0" w:color="auto"/>
            </w:tcBorders>
          </w:tcPr>
          <w:p w14:paraId="6C0A2FB4" w14:textId="471DB38E" w:rsidR="00265766" w:rsidRPr="009E686F" w:rsidDel="002D6675" w:rsidRDefault="00265766" w:rsidP="00265766">
            <w:pPr>
              <w:spacing w:after="0"/>
              <w:jc w:val="both"/>
              <w:rPr>
                <w:rFonts w:ascii="Times New Roman" w:hAnsi="Times New Roman" w:cs="Times New Roman"/>
                <w:lang w:val="it-IT"/>
              </w:rPr>
            </w:pPr>
            <w:r w:rsidRPr="009E686F">
              <w:rPr>
                <w:rFonts w:ascii="Times New Roman" w:hAnsi="Times New Roman" w:cs="Times New Roman"/>
                <w:lang w:val="it-IT"/>
              </w:rPr>
              <w:t>ABE înaintează Comisiei respectivele proiecte de standarde tehnice de punere în aplicare până la 10 ianuarie 2026.</w:t>
            </w:r>
          </w:p>
        </w:tc>
        <w:tc>
          <w:tcPr>
            <w:tcW w:w="1834" w:type="pct"/>
            <w:tcBorders>
              <w:top w:val="single" w:sz="4" w:space="0" w:color="auto"/>
              <w:left w:val="single" w:sz="4" w:space="0" w:color="auto"/>
              <w:bottom w:val="single" w:sz="4" w:space="0" w:color="auto"/>
              <w:right w:val="single" w:sz="4" w:space="0" w:color="auto"/>
            </w:tcBorders>
          </w:tcPr>
          <w:p w14:paraId="500C23A7" w14:textId="77777777" w:rsidR="00265766" w:rsidRPr="009E686F" w:rsidRDefault="00265766" w:rsidP="00265766">
            <w:pPr>
              <w:spacing w:after="0"/>
              <w:jc w:val="both"/>
              <w:rPr>
                <w:rFonts w:ascii="Times New Roman" w:hAnsi="Times New Roman" w:cs="Times New Roman"/>
                <w:b/>
                <w:lang w:val="it-IT"/>
              </w:rPr>
            </w:pPr>
          </w:p>
        </w:tc>
        <w:tc>
          <w:tcPr>
            <w:tcW w:w="470" w:type="pct"/>
            <w:tcBorders>
              <w:top w:val="single" w:sz="4" w:space="0" w:color="auto"/>
              <w:left w:val="single" w:sz="4" w:space="0" w:color="auto"/>
              <w:bottom w:val="single" w:sz="4" w:space="0" w:color="auto"/>
              <w:right w:val="single" w:sz="4" w:space="0" w:color="auto"/>
            </w:tcBorders>
          </w:tcPr>
          <w:p w14:paraId="7CC0AA50" w14:textId="7FB75D70" w:rsidR="00265766" w:rsidRPr="009E686F" w:rsidRDefault="00265766" w:rsidP="00265766">
            <w:pPr>
              <w:jc w:val="both"/>
              <w:rPr>
                <w:rFonts w:ascii="Times New Roman" w:hAnsi="Times New Roman" w:cs="Times New Roman"/>
                <w:lang w:val="it-IT"/>
              </w:rPr>
            </w:pPr>
            <w:r w:rsidRPr="009E686F">
              <w:rPr>
                <w:rFonts w:ascii="Times New Roman" w:hAnsi="Times New Roman" w:cs="Times New Roman"/>
                <w:lang w:val="it-IT"/>
              </w:rPr>
              <w:t>Norme UE neaplicabile</w:t>
            </w:r>
          </w:p>
        </w:tc>
        <w:tc>
          <w:tcPr>
            <w:tcW w:w="806" w:type="pct"/>
            <w:tcBorders>
              <w:top w:val="single" w:sz="4" w:space="0" w:color="auto"/>
              <w:left w:val="single" w:sz="4" w:space="0" w:color="auto"/>
              <w:bottom w:val="single" w:sz="4" w:space="0" w:color="auto"/>
              <w:right w:val="single" w:sz="4" w:space="0" w:color="auto"/>
            </w:tcBorders>
          </w:tcPr>
          <w:p w14:paraId="0652A771" w14:textId="115341BE" w:rsidR="00265766" w:rsidRPr="009E686F" w:rsidRDefault="00265766" w:rsidP="00265766">
            <w:pPr>
              <w:spacing w:after="0"/>
              <w:jc w:val="both"/>
              <w:rPr>
                <w:rFonts w:ascii="Times New Roman" w:hAnsi="Times New Roman" w:cs="Times New Roman"/>
                <w:lang w:val="it-IT"/>
              </w:rPr>
            </w:pPr>
            <w:r w:rsidRPr="009E686F">
              <w:rPr>
                <w:rFonts w:ascii="Times New Roman" w:hAnsi="Times New Roman" w:cs="Times New Roman"/>
                <w:lang w:val="it-IT"/>
              </w:rPr>
              <w:t>Se referă la competențele ABE.</w:t>
            </w:r>
          </w:p>
        </w:tc>
      </w:tr>
      <w:tr w:rsidR="00265766" w:rsidRPr="009E686F" w14:paraId="6D238B36" w14:textId="77777777" w:rsidTr="00960C23">
        <w:tc>
          <w:tcPr>
            <w:tcW w:w="1890" w:type="pct"/>
            <w:tcBorders>
              <w:top w:val="single" w:sz="4" w:space="0" w:color="auto"/>
              <w:left w:val="single" w:sz="4" w:space="0" w:color="auto"/>
              <w:bottom w:val="single" w:sz="4" w:space="0" w:color="auto"/>
              <w:right w:val="single" w:sz="4" w:space="0" w:color="auto"/>
            </w:tcBorders>
          </w:tcPr>
          <w:p w14:paraId="7711FD30" w14:textId="6083C022" w:rsidR="00265766" w:rsidRPr="009E686F" w:rsidDel="002D6675"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Se conferă Comisiei competența de a adopta standardele tehnice de punere în aplicare menționate la primul paragraf al prezentului alineat, în conformitate cu articolul 15 din Regulamentul (UE) nr. 1093/2010.</w:t>
            </w:r>
          </w:p>
        </w:tc>
        <w:tc>
          <w:tcPr>
            <w:tcW w:w="1834" w:type="pct"/>
            <w:tcBorders>
              <w:top w:val="single" w:sz="4" w:space="0" w:color="auto"/>
              <w:left w:val="single" w:sz="4" w:space="0" w:color="auto"/>
              <w:bottom w:val="single" w:sz="4" w:space="0" w:color="auto"/>
              <w:right w:val="single" w:sz="4" w:space="0" w:color="auto"/>
            </w:tcBorders>
          </w:tcPr>
          <w:p w14:paraId="7584FB88" w14:textId="77777777" w:rsidR="00265766" w:rsidRPr="009E686F" w:rsidRDefault="00265766" w:rsidP="00265766">
            <w:pPr>
              <w:spacing w:after="0"/>
              <w:jc w:val="both"/>
              <w:rPr>
                <w:rFonts w:ascii="Times New Roman" w:hAnsi="Times New Roman" w:cs="Times New Roman"/>
                <w:b/>
                <w:lang w:val="it-CH"/>
              </w:rPr>
            </w:pPr>
          </w:p>
        </w:tc>
        <w:tc>
          <w:tcPr>
            <w:tcW w:w="470" w:type="pct"/>
            <w:tcBorders>
              <w:top w:val="single" w:sz="4" w:space="0" w:color="auto"/>
              <w:left w:val="single" w:sz="4" w:space="0" w:color="auto"/>
              <w:bottom w:val="single" w:sz="4" w:space="0" w:color="auto"/>
              <w:right w:val="single" w:sz="4" w:space="0" w:color="auto"/>
            </w:tcBorders>
          </w:tcPr>
          <w:p w14:paraId="09B29A21" w14:textId="77777777" w:rsidR="00265766" w:rsidRPr="009E686F" w:rsidRDefault="00265766" w:rsidP="00265766">
            <w:pPr>
              <w:jc w:val="both"/>
              <w:rPr>
                <w:rFonts w:ascii="Times New Roman" w:hAnsi="Times New Roman" w:cs="Times New Roman"/>
                <w:lang w:val="it-CH"/>
              </w:rPr>
            </w:pPr>
          </w:p>
        </w:tc>
        <w:tc>
          <w:tcPr>
            <w:tcW w:w="806" w:type="pct"/>
            <w:tcBorders>
              <w:top w:val="single" w:sz="4" w:space="0" w:color="auto"/>
              <w:left w:val="single" w:sz="4" w:space="0" w:color="auto"/>
              <w:bottom w:val="single" w:sz="4" w:space="0" w:color="auto"/>
              <w:right w:val="single" w:sz="4" w:space="0" w:color="auto"/>
            </w:tcBorders>
          </w:tcPr>
          <w:p w14:paraId="23CF9212" w14:textId="7E2EE0DB" w:rsidR="00265766" w:rsidRPr="009E686F" w:rsidRDefault="00265766" w:rsidP="00265766">
            <w:pPr>
              <w:spacing w:after="0"/>
              <w:jc w:val="both"/>
              <w:rPr>
                <w:rFonts w:ascii="Times New Roman" w:hAnsi="Times New Roman" w:cs="Times New Roman"/>
                <w:lang w:val="it-IT"/>
              </w:rPr>
            </w:pPr>
            <w:r w:rsidRPr="009E686F">
              <w:rPr>
                <w:rFonts w:ascii="Times New Roman" w:hAnsi="Times New Roman" w:cs="Times New Roman"/>
                <w:lang w:val="it-IT"/>
              </w:rPr>
              <w:t>Se referă la competențele Comisiei Europene.</w:t>
            </w:r>
          </w:p>
        </w:tc>
      </w:tr>
      <w:tr w:rsidR="00265766" w:rsidRPr="009E686F" w14:paraId="4C2B22EF" w14:textId="77777777" w:rsidTr="00960C23">
        <w:tc>
          <w:tcPr>
            <w:tcW w:w="1890" w:type="pct"/>
            <w:tcBorders>
              <w:top w:val="single" w:sz="4" w:space="0" w:color="auto"/>
              <w:left w:val="single" w:sz="4" w:space="0" w:color="auto"/>
              <w:bottom w:val="single" w:sz="4" w:space="0" w:color="auto"/>
              <w:right w:val="single" w:sz="4" w:space="0" w:color="auto"/>
            </w:tcBorders>
          </w:tcPr>
          <w:p w14:paraId="418E007D" w14:textId="056AFCBB" w:rsidR="00265766" w:rsidRPr="009E686F" w:rsidDel="002D6675" w:rsidRDefault="00265766" w:rsidP="00265766">
            <w:pPr>
              <w:spacing w:after="0"/>
              <w:jc w:val="both"/>
              <w:rPr>
                <w:rFonts w:ascii="Times New Roman" w:hAnsi="Times New Roman" w:cs="Times New Roman"/>
                <w:lang w:val="it-IT"/>
              </w:rPr>
            </w:pPr>
            <w:r w:rsidRPr="009E686F">
              <w:rPr>
                <w:rFonts w:ascii="Times New Roman" w:hAnsi="Times New Roman" w:cs="Times New Roman"/>
                <w:lang w:val="it-IT"/>
              </w:rPr>
              <w:t>(2) Informațiile de reglementare și financiare menționate la articolul 48k se raportează cel puțin de două ori pe an de către sucursalele din țări terțe din clasa 1 și cel puțin o dată pe an de către sucursalele din țări terțe din clasa 2.</w:t>
            </w:r>
          </w:p>
        </w:tc>
        <w:tc>
          <w:tcPr>
            <w:tcW w:w="1834" w:type="pct"/>
            <w:tcBorders>
              <w:top w:val="single" w:sz="4" w:space="0" w:color="auto"/>
              <w:left w:val="single" w:sz="4" w:space="0" w:color="auto"/>
              <w:bottom w:val="single" w:sz="4" w:space="0" w:color="auto"/>
              <w:right w:val="single" w:sz="4" w:space="0" w:color="auto"/>
            </w:tcBorders>
          </w:tcPr>
          <w:p w14:paraId="3C487F94" w14:textId="409C3298" w:rsidR="00265766" w:rsidRPr="009E686F" w:rsidRDefault="00265766" w:rsidP="00265766">
            <w:pPr>
              <w:spacing w:after="0"/>
              <w:jc w:val="both"/>
              <w:rPr>
                <w:rFonts w:ascii="Times New Roman" w:eastAsia="Aptos" w:hAnsi="Times New Roman" w:cs="Times New Roman"/>
                <w:kern w:val="2"/>
                <w:lang w:val="ro-MD"/>
              </w:rPr>
            </w:pPr>
            <w:r w:rsidRPr="009E686F">
              <w:rPr>
                <w:rFonts w:ascii="Times New Roman" w:eastAsia="Aptos" w:hAnsi="Times New Roman" w:cs="Times New Roman"/>
                <w:b/>
                <w:bCs/>
                <w:kern w:val="2"/>
                <w:lang w:val="ro-MD"/>
              </w:rPr>
              <w:t>Articolul 94</w:t>
            </w:r>
            <w:r w:rsidRPr="009E686F">
              <w:rPr>
                <w:rFonts w:ascii="Times New Roman" w:eastAsia="Aptos" w:hAnsi="Times New Roman" w:cs="Times New Roman"/>
                <w:b/>
                <w:bCs/>
                <w:kern w:val="2"/>
                <w:vertAlign w:val="superscript"/>
                <w:lang w:val="ro-MD"/>
              </w:rPr>
              <w:t xml:space="preserve">5 </w:t>
            </w:r>
            <w:r w:rsidRPr="009E686F">
              <w:rPr>
                <w:rFonts w:ascii="Times New Roman" w:eastAsia="Aptos" w:hAnsi="Times New Roman" w:cs="Times New Roman"/>
                <w:b/>
                <w:bCs/>
                <w:kern w:val="2"/>
                <w:lang w:val="ro-MD"/>
              </w:rPr>
              <w:t>alin. (6)</w:t>
            </w:r>
          </w:p>
          <w:p w14:paraId="74A73B5C" w14:textId="0C624A6C" w:rsidR="00265766" w:rsidRPr="009E686F" w:rsidRDefault="00265766" w:rsidP="00265766">
            <w:pPr>
              <w:spacing w:after="0"/>
              <w:jc w:val="both"/>
              <w:rPr>
                <w:rFonts w:ascii="Times New Roman" w:hAnsi="Times New Roman" w:cs="Times New Roman"/>
                <w:b/>
                <w:i/>
                <w:iCs/>
                <w:lang w:val="it-IT"/>
              </w:rPr>
            </w:pPr>
            <w:r w:rsidRPr="009E686F">
              <w:rPr>
                <w:rFonts w:ascii="Times New Roman" w:eastAsia="Aptos" w:hAnsi="Times New Roman" w:cs="Times New Roman"/>
                <w:i/>
                <w:iCs/>
                <w:kern w:val="2"/>
                <w:lang w:val="ro-MD"/>
              </w:rPr>
              <w:t>(6) Sucursalele din state terțe din clasa 1 raportează informațiile menționate la prezentul articol cel puțin de două ori pe an, iar sucursalele din state terțe din clasa 2 cel puțin o dată pe an.</w:t>
            </w:r>
          </w:p>
        </w:tc>
        <w:tc>
          <w:tcPr>
            <w:tcW w:w="470" w:type="pct"/>
            <w:tcBorders>
              <w:top w:val="single" w:sz="4" w:space="0" w:color="auto"/>
              <w:left w:val="single" w:sz="4" w:space="0" w:color="auto"/>
              <w:bottom w:val="single" w:sz="4" w:space="0" w:color="auto"/>
              <w:right w:val="single" w:sz="4" w:space="0" w:color="auto"/>
            </w:tcBorders>
          </w:tcPr>
          <w:p w14:paraId="4E9D3DB8" w14:textId="3DFF4DF8" w:rsidR="00265766" w:rsidRPr="009E686F" w:rsidRDefault="00265766" w:rsidP="00265766">
            <w:pPr>
              <w:jc w:val="both"/>
              <w:rPr>
                <w:rFonts w:ascii="Times New Roman" w:hAnsi="Times New Roman" w:cs="Times New Roman"/>
                <w:lang w:val="it-IT"/>
              </w:rPr>
            </w:pPr>
            <w:r w:rsidRPr="009E686F">
              <w:rPr>
                <w:rFonts w:ascii="Times New Roman" w:hAnsi="Times New Roman" w:cs="Times New Roman"/>
                <w:lang w:val="it-IT"/>
              </w:rPr>
              <w:t>Compatibil</w:t>
            </w:r>
          </w:p>
        </w:tc>
        <w:tc>
          <w:tcPr>
            <w:tcW w:w="806" w:type="pct"/>
            <w:tcBorders>
              <w:top w:val="single" w:sz="4" w:space="0" w:color="auto"/>
              <w:left w:val="single" w:sz="4" w:space="0" w:color="auto"/>
              <w:bottom w:val="single" w:sz="4" w:space="0" w:color="auto"/>
              <w:right w:val="single" w:sz="4" w:space="0" w:color="auto"/>
            </w:tcBorders>
          </w:tcPr>
          <w:p w14:paraId="4E7177A7" w14:textId="77777777" w:rsidR="00A94677" w:rsidRPr="009E686F" w:rsidRDefault="00A94677" w:rsidP="00A94677">
            <w:r w:rsidRPr="009E686F">
              <w:rPr>
                <w:rFonts w:ascii="Times New Roman" w:hAnsi="Times New Roman" w:cs="Times New Roman"/>
                <w:lang w:val="ro-RO"/>
              </w:rPr>
              <w:t>În vigoare – data aderării.</w:t>
            </w:r>
          </w:p>
          <w:p w14:paraId="01559B15" w14:textId="77777777" w:rsidR="00265766" w:rsidRPr="009E686F" w:rsidRDefault="00265766" w:rsidP="00265766">
            <w:pPr>
              <w:spacing w:after="0"/>
              <w:jc w:val="both"/>
              <w:rPr>
                <w:rFonts w:ascii="Times New Roman" w:hAnsi="Times New Roman" w:cs="Times New Roman"/>
                <w:lang w:val="it-IT"/>
              </w:rPr>
            </w:pPr>
          </w:p>
        </w:tc>
      </w:tr>
      <w:tr w:rsidR="00265766" w:rsidRPr="009E686F" w14:paraId="760414B1" w14:textId="77777777" w:rsidTr="00960C23">
        <w:tc>
          <w:tcPr>
            <w:tcW w:w="1890" w:type="pct"/>
            <w:tcBorders>
              <w:top w:val="single" w:sz="4" w:space="0" w:color="auto"/>
              <w:left w:val="single" w:sz="4" w:space="0" w:color="auto"/>
              <w:bottom w:val="single" w:sz="4" w:space="0" w:color="auto"/>
              <w:right w:val="single" w:sz="4" w:space="0" w:color="auto"/>
            </w:tcBorders>
          </w:tcPr>
          <w:p w14:paraId="6E755DD4" w14:textId="482D2910" w:rsidR="00265766" w:rsidRPr="009E686F" w:rsidDel="002D6675"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(3) O autoritate competentă poate acorda o derogare totală sau parțială de la cerințele de raportare a informațiilor privind întreprinderea principală prevăzute la articolul 48k alineatul (2) pentru sucursalele calificate din țări terțe, cu condiția ca autoritatea competentă respectivă să poată să obțină informațiile relevante direct de la autoritățile de supraveghere din țara terță relevantă.</w:t>
            </w:r>
          </w:p>
        </w:tc>
        <w:tc>
          <w:tcPr>
            <w:tcW w:w="1834" w:type="pct"/>
            <w:tcBorders>
              <w:top w:val="single" w:sz="4" w:space="0" w:color="auto"/>
              <w:left w:val="single" w:sz="4" w:space="0" w:color="auto"/>
              <w:bottom w:val="single" w:sz="4" w:space="0" w:color="auto"/>
              <w:right w:val="single" w:sz="4" w:space="0" w:color="auto"/>
            </w:tcBorders>
          </w:tcPr>
          <w:p w14:paraId="768787FA" w14:textId="66B21991" w:rsidR="00265766" w:rsidRPr="009E686F" w:rsidRDefault="00265766" w:rsidP="00265766">
            <w:pPr>
              <w:spacing w:after="0"/>
              <w:jc w:val="both"/>
              <w:rPr>
                <w:rFonts w:ascii="Times New Roman" w:eastAsia="Aptos" w:hAnsi="Times New Roman" w:cs="Times New Roman"/>
                <w:b/>
                <w:bCs/>
                <w:kern w:val="2"/>
                <w:lang w:val="ro-MD"/>
              </w:rPr>
            </w:pPr>
            <w:r w:rsidRPr="009E686F">
              <w:rPr>
                <w:rFonts w:ascii="Times New Roman" w:eastAsia="Aptos" w:hAnsi="Times New Roman" w:cs="Times New Roman"/>
                <w:b/>
                <w:bCs/>
                <w:kern w:val="2"/>
                <w:lang w:val="ro-MD"/>
              </w:rPr>
              <w:t>Articolul 94</w:t>
            </w:r>
            <w:r w:rsidRPr="009E686F">
              <w:rPr>
                <w:rFonts w:ascii="Times New Roman" w:eastAsia="Aptos" w:hAnsi="Times New Roman" w:cs="Times New Roman"/>
                <w:b/>
                <w:bCs/>
                <w:kern w:val="2"/>
                <w:vertAlign w:val="superscript"/>
                <w:lang w:val="ro-MD"/>
              </w:rPr>
              <w:t>5</w:t>
            </w:r>
            <w:r w:rsidRPr="009E686F">
              <w:rPr>
                <w:rFonts w:ascii="Times New Roman" w:eastAsia="Aptos" w:hAnsi="Times New Roman" w:cs="Times New Roman"/>
                <w:b/>
                <w:bCs/>
                <w:kern w:val="2"/>
                <w:lang w:val="ro-MD"/>
              </w:rPr>
              <w:t xml:space="preserve"> alin.  (7)</w:t>
            </w:r>
          </w:p>
          <w:p w14:paraId="73A1CFEB" w14:textId="69F7DB08" w:rsidR="00265766" w:rsidRPr="009E686F" w:rsidRDefault="00265766" w:rsidP="00265766">
            <w:pPr>
              <w:spacing w:after="0"/>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(7) Banca Națională a Moldovei poate acorda o derogare totală sau parțială de la cerințele de raportare prevăzute la alin. (3) pentru sucursalele calificate din state terțe, cu condiția că are posibilitatea obținerii informațiilor relevante direct de la autoritățile de supraveghere din statul terț relevant.</w:t>
            </w:r>
          </w:p>
          <w:p w14:paraId="61EFF177" w14:textId="77777777" w:rsidR="00265766" w:rsidRPr="009E686F" w:rsidRDefault="00265766" w:rsidP="00265766">
            <w:pPr>
              <w:spacing w:after="0"/>
              <w:jc w:val="both"/>
              <w:rPr>
                <w:rFonts w:ascii="Times New Roman" w:hAnsi="Times New Roman" w:cs="Times New Roman"/>
                <w:b/>
                <w:lang w:val="ro-MD"/>
              </w:rPr>
            </w:pPr>
          </w:p>
        </w:tc>
        <w:tc>
          <w:tcPr>
            <w:tcW w:w="470" w:type="pct"/>
            <w:tcBorders>
              <w:top w:val="single" w:sz="4" w:space="0" w:color="auto"/>
              <w:left w:val="single" w:sz="4" w:space="0" w:color="auto"/>
              <w:bottom w:val="single" w:sz="4" w:space="0" w:color="auto"/>
              <w:right w:val="single" w:sz="4" w:space="0" w:color="auto"/>
            </w:tcBorders>
          </w:tcPr>
          <w:p w14:paraId="4D0F5911" w14:textId="0BDB92E7" w:rsidR="00265766" w:rsidRPr="009E686F" w:rsidRDefault="00265766" w:rsidP="00265766">
            <w:pPr>
              <w:jc w:val="both"/>
              <w:rPr>
                <w:rFonts w:ascii="Times New Roman" w:hAnsi="Times New Roman" w:cs="Times New Roman"/>
                <w:lang w:val="ro-MD"/>
              </w:rPr>
            </w:pPr>
            <w:r w:rsidRPr="009E686F">
              <w:rPr>
                <w:rFonts w:ascii="Times New Roman" w:hAnsi="Times New Roman" w:cs="Times New Roman"/>
                <w:lang w:val="it-IT"/>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02DD10FA" w14:textId="77777777" w:rsidR="00A94677" w:rsidRPr="009E686F" w:rsidRDefault="00A94677" w:rsidP="00A94677">
            <w:r w:rsidRPr="009E686F">
              <w:rPr>
                <w:rFonts w:ascii="Times New Roman" w:hAnsi="Times New Roman" w:cs="Times New Roman"/>
                <w:lang w:val="ro-RO"/>
              </w:rPr>
              <w:t>În vigoare – data aderării.</w:t>
            </w:r>
          </w:p>
          <w:p w14:paraId="60D8BE29" w14:textId="77777777" w:rsidR="00265766" w:rsidRPr="009E686F" w:rsidRDefault="00265766" w:rsidP="00265766">
            <w:pPr>
              <w:spacing w:after="0"/>
              <w:jc w:val="both"/>
              <w:rPr>
                <w:rFonts w:ascii="Times New Roman" w:hAnsi="Times New Roman" w:cs="Times New Roman"/>
                <w:lang w:val="ro-MD"/>
              </w:rPr>
            </w:pPr>
          </w:p>
        </w:tc>
      </w:tr>
      <w:tr w:rsidR="00265766" w:rsidRPr="009E686F" w14:paraId="4384EA0C" w14:textId="77777777" w:rsidTr="00960C23">
        <w:tc>
          <w:tcPr>
            <w:tcW w:w="1890" w:type="pct"/>
            <w:tcBorders>
              <w:top w:val="single" w:sz="4" w:space="0" w:color="auto"/>
              <w:left w:val="single" w:sz="4" w:space="0" w:color="auto"/>
              <w:bottom w:val="single" w:sz="4" w:space="0" w:color="auto"/>
              <w:right w:val="single" w:sz="4" w:space="0" w:color="auto"/>
            </w:tcBorders>
          </w:tcPr>
          <w:p w14:paraId="051AFCA0" w14:textId="77777777" w:rsidR="00265766" w:rsidRPr="009E686F" w:rsidRDefault="00265766" w:rsidP="00265766">
            <w:pPr>
              <w:spacing w:after="0"/>
              <w:jc w:val="both"/>
              <w:rPr>
                <w:rFonts w:ascii="Times New Roman" w:hAnsi="Times New Roman" w:cs="Times New Roman"/>
                <w:lang w:val="it-IT"/>
              </w:rPr>
            </w:pPr>
            <w:r w:rsidRPr="009E686F">
              <w:rPr>
                <w:rFonts w:ascii="Times New Roman" w:hAnsi="Times New Roman" w:cs="Times New Roman"/>
                <w:lang w:val="it-IT"/>
              </w:rPr>
              <w:t>SECȚIUNEA III</w:t>
            </w:r>
          </w:p>
          <w:p w14:paraId="2B07AA7A" w14:textId="775A3806" w:rsidR="00265766" w:rsidRPr="009E686F" w:rsidDel="002D6675" w:rsidRDefault="00265766" w:rsidP="00265766">
            <w:pPr>
              <w:spacing w:after="0"/>
              <w:jc w:val="both"/>
              <w:rPr>
                <w:rFonts w:ascii="Times New Roman" w:hAnsi="Times New Roman" w:cs="Times New Roman"/>
                <w:b/>
                <w:bCs/>
                <w:lang w:val="it-IT"/>
              </w:rPr>
            </w:pPr>
            <w:r w:rsidRPr="009E686F">
              <w:rPr>
                <w:rFonts w:ascii="Times New Roman" w:hAnsi="Times New Roman" w:cs="Times New Roman"/>
                <w:b/>
                <w:bCs/>
                <w:lang w:val="it-IT"/>
              </w:rPr>
              <w:t>Supravegherea</w:t>
            </w:r>
          </w:p>
        </w:tc>
        <w:tc>
          <w:tcPr>
            <w:tcW w:w="1834" w:type="pct"/>
            <w:tcBorders>
              <w:top w:val="single" w:sz="4" w:space="0" w:color="auto"/>
              <w:left w:val="single" w:sz="4" w:space="0" w:color="auto"/>
              <w:bottom w:val="single" w:sz="4" w:space="0" w:color="auto"/>
              <w:right w:val="single" w:sz="4" w:space="0" w:color="auto"/>
            </w:tcBorders>
          </w:tcPr>
          <w:p w14:paraId="240EF517" w14:textId="77777777" w:rsidR="00265766" w:rsidRPr="009E686F" w:rsidRDefault="00265766" w:rsidP="00265766">
            <w:pPr>
              <w:spacing w:after="0" w:line="278" w:lineRule="auto"/>
              <w:jc w:val="center"/>
              <w:rPr>
                <w:rFonts w:ascii="Times New Roman" w:eastAsia="Aptos" w:hAnsi="Times New Roman" w:cs="Times New Roman"/>
                <w:b/>
                <w:bCs/>
                <w:kern w:val="2"/>
                <w:vertAlign w:val="superscript"/>
                <w:lang w:val="ro-MD"/>
              </w:rPr>
            </w:pPr>
            <w:r w:rsidRPr="009E686F">
              <w:rPr>
                <w:rFonts w:ascii="Times New Roman" w:eastAsia="Aptos" w:hAnsi="Times New Roman" w:cs="Times New Roman"/>
                <w:b/>
                <w:bCs/>
                <w:kern w:val="2"/>
                <w:lang w:val="ro-MD"/>
              </w:rPr>
              <w:t>Capitolul 1</w:t>
            </w:r>
            <w:r w:rsidRPr="009E686F">
              <w:rPr>
                <w:rFonts w:ascii="Times New Roman" w:eastAsia="Aptos" w:hAnsi="Times New Roman" w:cs="Times New Roman"/>
                <w:b/>
                <w:bCs/>
                <w:kern w:val="2"/>
                <w:vertAlign w:val="superscript"/>
                <w:lang w:val="ro-MD"/>
              </w:rPr>
              <w:t>1</w:t>
            </w:r>
          </w:p>
          <w:p w14:paraId="5A8D7ABB" w14:textId="1E53A7D1" w:rsidR="00265766" w:rsidRPr="009E686F" w:rsidRDefault="00265766" w:rsidP="00265766">
            <w:pPr>
              <w:spacing w:after="0"/>
              <w:rPr>
                <w:rFonts w:ascii="Times New Roman" w:hAnsi="Times New Roman" w:cs="Times New Roman"/>
                <w:b/>
                <w:lang w:val="it-IT"/>
              </w:rPr>
            </w:pPr>
            <w:r w:rsidRPr="009E686F">
              <w:rPr>
                <w:rFonts w:ascii="Times New Roman" w:eastAsia="Aptos" w:hAnsi="Times New Roman" w:cs="Times New Roman"/>
                <w:b/>
                <w:bCs/>
                <w:kern w:val="2"/>
                <w:lang w:val="ro-MD"/>
              </w:rPr>
              <w:t>SUPRAVEGHEREA SUCURSALELOR DIN STATE TERȚE</w:t>
            </w:r>
          </w:p>
        </w:tc>
        <w:tc>
          <w:tcPr>
            <w:tcW w:w="470" w:type="pct"/>
            <w:tcBorders>
              <w:top w:val="single" w:sz="4" w:space="0" w:color="auto"/>
              <w:left w:val="single" w:sz="4" w:space="0" w:color="auto"/>
              <w:bottom w:val="single" w:sz="4" w:space="0" w:color="auto"/>
              <w:right w:val="single" w:sz="4" w:space="0" w:color="auto"/>
            </w:tcBorders>
          </w:tcPr>
          <w:p w14:paraId="00AA41BD" w14:textId="31129891" w:rsidR="00265766" w:rsidRPr="009E686F" w:rsidRDefault="00265766" w:rsidP="00265766">
            <w:pPr>
              <w:jc w:val="both"/>
              <w:rPr>
                <w:rFonts w:ascii="Times New Roman" w:hAnsi="Times New Roman" w:cs="Times New Roman"/>
                <w:lang w:val="it-IT"/>
              </w:rPr>
            </w:pPr>
            <w:r w:rsidRPr="009E686F">
              <w:rPr>
                <w:rFonts w:ascii="Times New Roman" w:hAnsi="Times New Roman" w:cs="Times New Roman"/>
                <w:lang w:val="it-IT"/>
              </w:rPr>
              <w:t>Compatibil</w:t>
            </w:r>
          </w:p>
        </w:tc>
        <w:tc>
          <w:tcPr>
            <w:tcW w:w="806" w:type="pct"/>
            <w:tcBorders>
              <w:top w:val="single" w:sz="4" w:space="0" w:color="auto"/>
              <w:left w:val="single" w:sz="4" w:space="0" w:color="auto"/>
              <w:bottom w:val="single" w:sz="4" w:space="0" w:color="auto"/>
              <w:right w:val="single" w:sz="4" w:space="0" w:color="auto"/>
            </w:tcBorders>
          </w:tcPr>
          <w:p w14:paraId="38393490" w14:textId="77777777" w:rsidR="00A94677" w:rsidRPr="009E686F" w:rsidRDefault="00A94677" w:rsidP="00A94677">
            <w:r w:rsidRPr="009E686F">
              <w:rPr>
                <w:rFonts w:ascii="Times New Roman" w:hAnsi="Times New Roman" w:cs="Times New Roman"/>
                <w:lang w:val="ro-RO"/>
              </w:rPr>
              <w:t>În vigoare – data aderării.</w:t>
            </w:r>
          </w:p>
          <w:p w14:paraId="1EA88F0F" w14:textId="77777777" w:rsidR="00265766" w:rsidRPr="009E686F" w:rsidRDefault="00265766" w:rsidP="00265766">
            <w:pPr>
              <w:spacing w:after="0"/>
              <w:jc w:val="both"/>
              <w:rPr>
                <w:rFonts w:ascii="Times New Roman" w:hAnsi="Times New Roman" w:cs="Times New Roman"/>
                <w:lang w:val="it-IT"/>
              </w:rPr>
            </w:pPr>
          </w:p>
        </w:tc>
      </w:tr>
      <w:tr w:rsidR="00A94677" w:rsidRPr="009E686F" w14:paraId="0D4C1387" w14:textId="77777777" w:rsidTr="00356F95">
        <w:tc>
          <w:tcPr>
            <w:tcW w:w="1890" w:type="pct"/>
            <w:tcBorders>
              <w:top w:val="single" w:sz="4" w:space="0" w:color="auto"/>
              <w:left w:val="single" w:sz="4" w:space="0" w:color="auto"/>
              <w:bottom w:val="single" w:sz="4" w:space="0" w:color="auto"/>
              <w:right w:val="single" w:sz="4" w:space="0" w:color="auto"/>
            </w:tcBorders>
          </w:tcPr>
          <w:p w14:paraId="2804B181" w14:textId="77777777" w:rsidR="00A94677" w:rsidRPr="009E686F" w:rsidRDefault="00A94677" w:rsidP="00265766">
            <w:pPr>
              <w:spacing w:after="0"/>
              <w:jc w:val="both"/>
              <w:rPr>
                <w:rFonts w:ascii="Times New Roman" w:hAnsi="Times New Roman" w:cs="Times New Roman"/>
                <w:i/>
                <w:iCs/>
                <w:lang w:val="it-IT"/>
              </w:rPr>
            </w:pPr>
            <w:r w:rsidRPr="009E686F">
              <w:rPr>
                <w:rFonts w:ascii="Times New Roman" w:hAnsi="Times New Roman" w:cs="Times New Roman"/>
                <w:i/>
                <w:iCs/>
                <w:lang w:val="it-IT"/>
              </w:rPr>
              <w:t xml:space="preserve">Articolul 48m </w:t>
            </w:r>
          </w:p>
          <w:p w14:paraId="72067CE9" w14:textId="5D3727F4" w:rsidR="00A94677" w:rsidRPr="009E686F" w:rsidDel="002D6675" w:rsidRDefault="00A94677" w:rsidP="00265766">
            <w:pPr>
              <w:spacing w:after="0"/>
              <w:jc w:val="both"/>
              <w:rPr>
                <w:rFonts w:ascii="Times New Roman" w:hAnsi="Times New Roman" w:cs="Times New Roman"/>
                <w:lang w:val="it-IT"/>
              </w:rPr>
            </w:pPr>
            <w:r w:rsidRPr="009E686F">
              <w:rPr>
                <w:rFonts w:ascii="Times New Roman" w:hAnsi="Times New Roman" w:cs="Times New Roman"/>
                <w:lang w:val="it-IT"/>
              </w:rPr>
              <w:t>Supravegherea sucursalelor din țări terțe și programul de supraveghere prudențială</w:t>
            </w:r>
          </w:p>
        </w:tc>
        <w:tc>
          <w:tcPr>
            <w:tcW w:w="1834" w:type="pct"/>
            <w:tcBorders>
              <w:top w:val="single" w:sz="4" w:space="0" w:color="auto"/>
              <w:left w:val="single" w:sz="4" w:space="0" w:color="auto"/>
              <w:bottom w:val="single" w:sz="4" w:space="0" w:color="auto"/>
              <w:right w:val="single" w:sz="4" w:space="0" w:color="auto"/>
            </w:tcBorders>
          </w:tcPr>
          <w:p w14:paraId="2B137CD9" w14:textId="6A77665A" w:rsidR="00A94677" w:rsidRPr="009E686F" w:rsidRDefault="00A94677" w:rsidP="00265766">
            <w:pPr>
              <w:spacing w:after="0" w:line="278" w:lineRule="auto"/>
              <w:jc w:val="both"/>
              <w:rPr>
                <w:rFonts w:ascii="Times New Roman" w:eastAsia="Aptos" w:hAnsi="Times New Roman" w:cs="Times New Roman"/>
                <w:i/>
                <w:iCs/>
                <w:kern w:val="2"/>
                <w:lang w:val="ro-MD"/>
              </w:rPr>
            </w:pPr>
            <w:r w:rsidRPr="009E686F">
              <w:rPr>
                <w:rFonts w:ascii="Times New Roman" w:eastAsia="Aptos" w:hAnsi="Times New Roman" w:cs="Times New Roman"/>
                <w:b/>
                <w:bCs/>
                <w:kern w:val="2"/>
                <w:lang w:val="ro-MD"/>
              </w:rPr>
              <w:t>Articolul 108</w:t>
            </w:r>
            <w:r w:rsidRPr="009E686F">
              <w:rPr>
                <w:rFonts w:ascii="Times New Roman" w:eastAsia="Aptos" w:hAnsi="Times New Roman" w:cs="Times New Roman"/>
                <w:b/>
                <w:bCs/>
                <w:kern w:val="2"/>
                <w:vertAlign w:val="superscript"/>
                <w:lang w:val="ro-MD"/>
              </w:rPr>
              <w:t>2</w:t>
            </w:r>
            <w:r w:rsidRPr="009E686F">
              <w:rPr>
                <w:rFonts w:ascii="Times New Roman" w:eastAsia="Aptos" w:hAnsi="Times New Roman" w:cs="Times New Roman"/>
                <w:b/>
                <w:bCs/>
                <w:kern w:val="2"/>
                <w:lang w:val="ro-MD"/>
              </w:rPr>
              <w:t>.</w:t>
            </w:r>
            <w:r w:rsidRPr="009E686F">
              <w:rPr>
                <w:rFonts w:ascii="Times New Roman" w:eastAsia="Aptos" w:hAnsi="Times New Roman" w:cs="Times New Roman"/>
                <w:b/>
                <w:bCs/>
                <w:i/>
                <w:iCs/>
                <w:kern w:val="2"/>
                <w:lang w:val="ro-MD"/>
              </w:rPr>
              <w:t xml:space="preserve"> </w:t>
            </w:r>
            <w:r w:rsidRPr="009E686F">
              <w:rPr>
                <w:rFonts w:ascii="Times New Roman" w:eastAsia="Aptos" w:hAnsi="Times New Roman" w:cs="Times New Roman"/>
                <w:i/>
                <w:iCs/>
                <w:kern w:val="2"/>
                <w:lang w:val="ro-MD"/>
              </w:rPr>
              <w:t>Supravegherea sucursalelor din state terțe și programul de supraveghere prudențială</w:t>
            </w:r>
          </w:p>
          <w:p w14:paraId="68BEC500" w14:textId="77777777" w:rsidR="00A94677" w:rsidRPr="009E686F" w:rsidRDefault="00A94677" w:rsidP="00265766">
            <w:pPr>
              <w:spacing w:after="0"/>
              <w:jc w:val="both"/>
              <w:rPr>
                <w:rFonts w:ascii="Times New Roman" w:hAnsi="Times New Roman" w:cs="Times New Roman"/>
                <w:b/>
                <w:i/>
                <w:iCs/>
                <w:lang w:val="it-IT"/>
              </w:rPr>
            </w:pPr>
          </w:p>
        </w:tc>
        <w:tc>
          <w:tcPr>
            <w:tcW w:w="470" w:type="pct"/>
            <w:tcBorders>
              <w:top w:val="single" w:sz="4" w:space="0" w:color="auto"/>
              <w:left w:val="single" w:sz="4" w:space="0" w:color="auto"/>
              <w:bottom w:val="single" w:sz="4" w:space="0" w:color="auto"/>
              <w:right w:val="single" w:sz="4" w:space="0" w:color="auto"/>
            </w:tcBorders>
          </w:tcPr>
          <w:p w14:paraId="79987553" w14:textId="3173BA62" w:rsidR="00A94677" w:rsidRPr="009E686F" w:rsidRDefault="00A94677" w:rsidP="00265766">
            <w:pPr>
              <w:jc w:val="both"/>
              <w:rPr>
                <w:rFonts w:ascii="Times New Roman" w:hAnsi="Times New Roman" w:cs="Times New Roman"/>
                <w:lang w:val="it-IT"/>
              </w:rPr>
            </w:pPr>
            <w:r w:rsidRPr="009E686F">
              <w:rPr>
                <w:rFonts w:ascii="Times New Roman" w:hAnsi="Times New Roman" w:cs="Times New Roman"/>
                <w:lang w:val="it-IT"/>
              </w:rPr>
              <w:t>Compatibil</w:t>
            </w:r>
          </w:p>
        </w:tc>
        <w:tc>
          <w:tcPr>
            <w:tcW w:w="806" w:type="pct"/>
            <w:vMerge w:val="restart"/>
            <w:tcBorders>
              <w:top w:val="single" w:sz="4" w:space="0" w:color="auto"/>
              <w:left w:val="single" w:sz="4" w:space="0" w:color="auto"/>
              <w:right w:val="single" w:sz="4" w:space="0" w:color="auto"/>
            </w:tcBorders>
          </w:tcPr>
          <w:p w14:paraId="5EF1365B" w14:textId="77777777" w:rsidR="00A94677" w:rsidRPr="009E686F" w:rsidRDefault="00A94677" w:rsidP="00A94677">
            <w:r w:rsidRPr="009E686F">
              <w:rPr>
                <w:rFonts w:ascii="Times New Roman" w:hAnsi="Times New Roman" w:cs="Times New Roman"/>
                <w:lang w:val="ro-RO"/>
              </w:rPr>
              <w:t>În vigoare – data aderării.</w:t>
            </w:r>
          </w:p>
          <w:p w14:paraId="68D9F9AB" w14:textId="77777777" w:rsidR="00A94677" w:rsidRPr="009E686F" w:rsidRDefault="00A94677" w:rsidP="00265766">
            <w:pPr>
              <w:spacing w:after="0"/>
              <w:jc w:val="both"/>
              <w:rPr>
                <w:rFonts w:ascii="Times New Roman" w:hAnsi="Times New Roman" w:cs="Times New Roman"/>
                <w:lang w:val="it-IT"/>
              </w:rPr>
            </w:pPr>
          </w:p>
        </w:tc>
      </w:tr>
      <w:tr w:rsidR="00A94677" w:rsidRPr="009E686F" w14:paraId="314D1DAE" w14:textId="77777777" w:rsidTr="00356F95">
        <w:tc>
          <w:tcPr>
            <w:tcW w:w="1890" w:type="pct"/>
            <w:tcBorders>
              <w:top w:val="single" w:sz="4" w:space="0" w:color="auto"/>
              <w:left w:val="single" w:sz="4" w:space="0" w:color="auto"/>
              <w:bottom w:val="single" w:sz="4" w:space="0" w:color="auto"/>
              <w:right w:val="single" w:sz="4" w:space="0" w:color="auto"/>
            </w:tcBorders>
          </w:tcPr>
          <w:p w14:paraId="38A07D5E" w14:textId="6EEB2478" w:rsidR="00A94677" w:rsidRPr="009E686F" w:rsidDel="002D6675" w:rsidRDefault="00A94677" w:rsidP="00265766">
            <w:pPr>
              <w:spacing w:after="0"/>
              <w:jc w:val="both"/>
              <w:rPr>
                <w:rFonts w:ascii="Times New Roman" w:hAnsi="Times New Roman" w:cs="Times New Roman"/>
                <w:lang w:val="it-CH"/>
              </w:rPr>
            </w:pPr>
            <w:r w:rsidRPr="009E686F">
              <w:rPr>
                <w:rFonts w:ascii="Times New Roman" w:hAnsi="Times New Roman" w:cs="Times New Roman"/>
                <w:lang w:val="it-CH"/>
              </w:rPr>
              <w:t>(1) Statele membre impun autorităților competente obligația de a respecta prezenta secțiune și, mutatis mutandis, titlul VII în scopul supravegherii sucursalelor din țări terțe.</w:t>
            </w:r>
          </w:p>
        </w:tc>
        <w:tc>
          <w:tcPr>
            <w:tcW w:w="1834" w:type="pct"/>
            <w:tcBorders>
              <w:top w:val="single" w:sz="4" w:space="0" w:color="auto"/>
              <w:left w:val="single" w:sz="4" w:space="0" w:color="auto"/>
              <w:bottom w:val="single" w:sz="4" w:space="0" w:color="auto"/>
              <w:right w:val="single" w:sz="4" w:space="0" w:color="auto"/>
            </w:tcBorders>
          </w:tcPr>
          <w:p w14:paraId="27FA5C82" w14:textId="7792814B" w:rsidR="00A94677" w:rsidRPr="009E686F" w:rsidRDefault="00A94677" w:rsidP="00265766">
            <w:pPr>
              <w:spacing w:after="0"/>
              <w:jc w:val="both"/>
              <w:rPr>
                <w:rFonts w:ascii="Times New Roman" w:hAnsi="Times New Roman" w:cs="Times New Roman"/>
                <w:b/>
                <w:i/>
                <w:lang w:val="it-CH"/>
              </w:rPr>
            </w:pPr>
            <w:r w:rsidRPr="009E686F">
              <w:rPr>
                <w:rFonts w:ascii="Times New Roman" w:eastAsia="Aptos" w:hAnsi="Times New Roman" w:cs="Times New Roman"/>
                <w:i/>
                <w:iCs/>
                <w:kern w:val="2"/>
                <w:lang w:val="ro-MD"/>
              </w:rPr>
              <w:t>(1) Banca Națională a Moldovei asigură supravegherea sucursalelor din state terțe în conformitate cu prezentul capitol și, mutatis mutandis, cu prezentul titlu.</w:t>
            </w:r>
          </w:p>
        </w:tc>
        <w:tc>
          <w:tcPr>
            <w:tcW w:w="470" w:type="pct"/>
            <w:tcBorders>
              <w:top w:val="single" w:sz="4" w:space="0" w:color="auto"/>
              <w:left w:val="single" w:sz="4" w:space="0" w:color="auto"/>
              <w:bottom w:val="single" w:sz="4" w:space="0" w:color="auto"/>
              <w:right w:val="single" w:sz="4" w:space="0" w:color="auto"/>
            </w:tcBorders>
          </w:tcPr>
          <w:p w14:paraId="4ABBAA23" w14:textId="3FC214EC" w:rsidR="00A94677" w:rsidRPr="009E686F" w:rsidRDefault="00A94677" w:rsidP="00265766">
            <w:pPr>
              <w:jc w:val="both"/>
              <w:rPr>
                <w:rFonts w:ascii="Times New Roman" w:hAnsi="Times New Roman" w:cs="Times New Roman"/>
                <w:lang w:val="it-IT"/>
              </w:rPr>
            </w:pPr>
            <w:r w:rsidRPr="009E686F">
              <w:rPr>
                <w:rFonts w:ascii="Times New Roman" w:hAnsi="Times New Roman" w:cs="Times New Roman"/>
                <w:lang w:val="it-IT"/>
              </w:rPr>
              <w:t>Compatibil</w:t>
            </w:r>
          </w:p>
        </w:tc>
        <w:tc>
          <w:tcPr>
            <w:tcW w:w="806" w:type="pct"/>
            <w:vMerge/>
            <w:tcBorders>
              <w:left w:val="single" w:sz="4" w:space="0" w:color="auto"/>
              <w:right w:val="single" w:sz="4" w:space="0" w:color="auto"/>
            </w:tcBorders>
          </w:tcPr>
          <w:p w14:paraId="1C7AE26D" w14:textId="77777777" w:rsidR="00A94677" w:rsidRPr="009E686F" w:rsidRDefault="00A94677" w:rsidP="00265766">
            <w:pPr>
              <w:spacing w:after="0"/>
              <w:jc w:val="both"/>
              <w:rPr>
                <w:rFonts w:ascii="Times New Roman" w:hAnsi="Times New Roman" w:cs="Times New Roman"/>
                <w:lang w:val="it-IT"/>
              </w:rPr>
            </w:pPr>
          </w:p>
        </w:tc>
      </w:tr>
      <w:tr w:rsidR="00A94677" w:rsidRPr="009E686F" w14:paraId="7985CCC2" w14:textId="77777777" w:rsidTr="00356F95">
        <w:tc>
          <w:tcPr>
            <w:tcW w:w="1890" w:type="pct"/>
            <w:tcBorders>
              <w:top w:val="single" w:sz="4" w:space="0" w:color="auto"/>
              <w:left w:val="single" w:sz="4" w:space="0" w:color="auto"/>
              <w:bottom w:val="single" w:sz="4" w:space="0" w:color="auto"/>
              <w:right w:val="single" w:sz="4" w:space="0" w:color="auto"/>
            </w:tcBorders>
          </w:tcPr>
          <w:p w14:paraId="3664F2BC" w14:textId="366F6003" w:rsidR="00A94677" w:rsidRPr="009E686F" w:rsidDel="002D6675" w:rsidRDefault="00A94677" w:rsidP="00265766">
            <w:pPr>
              <w:spacing w:after="0"/>
              <w:jc w:val="both"/>
              <w:rPr>
                <w:rFonts w:ascii="Times New Roman" w:hAnsi="Times New Roman" w:cs="Times New Roman"/>
                <w:lang w:val="it-IT"/>
              </w:rPr>
            </w:pPr>
            <w:r w:rsidRPr="009E686F">
              <w:rPr>
                <w:rFonts w:ascii="Times New Roman" w:hAnsi="Times New Roman" w:cs="Times New Roman"/>
                <w:lang w:val="it-IT"/>
              </w:rPr>
              <w:t>(2) Autoritățile competente includ sucursalele din țări terțe în programul de supraveghere prudențială menționat la articolul 99.</w:t>
            </w:r>
          </w:p>
        </w:tc>
        <w:tc>
          <w:tcPr>
            <w:tcW w:w="1834" w:type="pct"/>
            <w:tcBorders>
              <w:top w:val="single" w:sz="4" w:space="0" w:color="auto"/>
              <w:left w:val="single" w:sz="4" w:space="0" w:color="auto"/>
              <w:bottom w:val="single" w:sz="4" w:space="0" w:color="auto"/>
              <w:right w:val="single" w:sz="4" w:space="0" w:color="auto"/>
            </w:tcBorders>
          </w:tcPr>
          <w:p w14:paraId="57006075" w14:textId="450B1B48" w:rsidR="00A94677" w:rsidRPr="009E686F" w:rsidRDefault="00A94677" w:rsidP="00265766">
            <w:pPr>
              <w:spacing w:after="0"/>
              <w:jc w:val="both"/>
              <w:rPr>
                <w:rFonts w:ascii="Times New Roman" w:hAnsi="Times New Roman" w:cs="Times New Roman"/>
                <w:b/>
                <w:i/>
                <w:iCs/>
                <w:lang w:val="it-IT"/>
              </w:rPr>
            </w:pPr>
            <w:r w:rsidRPr="009E686F">
              <w:rPr>
                <w:rFonts w:ascii="Times New Roman" w:eastAsia="Aptos" w:hAnsi="Times New Roman" w:cs="Times New Roman"/>
                <w:i/>
                <w:iCs/>
                <w:kern w:val="2"/>
                <w:lang w:val="ro-MD"/>
              </w:rPr>
              <w:t>(2) Banca Națională a Moldovei include sucursalele din state terțe în programul de supraveghere prudențială menționat la art. 106.</w:t>
            </w:r>
          </w:p>
        </w:tc>
        <w:tc>
          <w:tcPr>
            <w:tcW w:w="470" w:type="pct"/>
            <w:tcBorders>
              <w:top w:val="single" w:sz="4" w:space="0" w:color="auto"/>
              <w:left w:val="single" w:sz="4" w:space="0" w:color="auto"/>
              <w:bottom w:val="single" w:sz="4" w:space="0" w:color="auto"/>
              <w:right w:val="single" w:sz="4" w:space="0" w:color="auto"/>
            </w:tcBorders>
          </w:tcPr>
          <w:p w14:paraId="44815A78" w14:textId="13A97AFA" w:rsidR="00A94677" w:rsidRPr="009E686F" w:rsidRDefault="00A94677" w:rsidP="00265766">
            <w:pPr>
              <w:jc w:val="both"/>
              <w:rPr>
                <w:rFonts w:ascii="Times New Roman" w:hAnsi="Times New Roman" w:cs="Times New Roman"/>
                <w:lang w:val="it-IT"/>
              </w:rPr>
            </w:pPr>
            <w:r w:rsidRPr="009E686F">
              <w:rPr>
                <w:rFonts w:ascii="Times New Roman" w:hAnsi="Times New Roman" w:cs="Times New Roman"/>
                <w:lang w:val="it-IT"/>
              </w:rPr>
              <w:t>Compatibil</w:t>
            </w:r>
          </w:p>
        </w:tc>
        <w:tc>
          <w:tcPr>
            <w:tcW w:w="806" w:type="pct"/>
            <w:vMerge/>
            <w:tcBorders>
              <w:left w:val="single" w:sz="4" w:space="0" w:color="auto"/>
              <w:bottom w:val="single" w:sz="4" w:space="0" w:color="auto"/>
              <w:right w:val="single" w:sz="4" w:space="0" w:color="auto"/>
            </w:tcBorders>
          </w:tcPr>
          <w:p w14:paraId="31789200" w14:textId="77777777" w:rsidR="00A94677" w:rsidRPr="009E686F" w:rsidRDefault="00A94677" w:rsidP="00265766">
            <w:pPr>
              <w:spacing w:after="0"/>
              <w:jc w:val="both"/>
              <w:rPr>
                <w:rFonts w:ascii="Times New Roman" w:hAnsi="Times New Roman" w:cs="Times New Roman"/>
                <w:lang w:val="it-IT"/>
              </w:rPr>
            </w:pPr>
          </w:p>
        </w:tc>
      </w:tr>
      <w:tr w:rsidR="00A94677" w:rsidRPr="009E686F" w14:paraId="3871EC7A" w14:textId="77777777" w:rsidTr="008B6E80">
        <w:tc>
          <w:tcPr>
            <w:tcW w:w="1890" w:type="pct"/>
            <w:tcBorders>
              <w:top w:val="single" w:sz="4" w:space="0" w:color="auto"/>
              <w:left w:val="single" w:sz="4" w:space="0" w:color="auto"/>
              <w:bottom w:val="single" w:sz="4" w:space="0" w:color="auto"/>
              <w:right w:val="single" w:sz="4" w:space="0" w:color="auto"/>
            </w:tcBorders>
          </w:tcPr>
          <w:p w14:paraId="2A0D49BD" w14:textId="77777777" w:rsidR="00A94677" w:rsidRPr="009E686F" w:rsidRDefault="00A94677" w:rsidP="00265766">
            <w:pPr>
              <w:spacing w:after="0"/>
              <w:jc w:val="both"/>
              <w:rPr>
                <w:rFonts w:ascii="Times New Roman" w:hAnsi="Times New Roman" w:cs="Times New Roman"/>
                <w:i/>
                <w:lang w:val="pt-BR"/>
              </w:rPr>
            </w:pPr>
            <w:r w:rsidRPr="009E686F">
              <w:rPr>
                <w:rFonts w:ascii="Times New Roman" w:hAnsi="Times New Roman" w:cs="Times New Roman"/>
                <w:i/>
                <w:lang w:val="pt-BR"/>
              </w:rPr>
              <w:t xml:space="preserve">Articolul 48n </w:t>
            </w:r>
          </w:p>
          <w:p w14:paraId="513E97A4" w14:textId="78B3F00E" w:rsidR="00A94677" w:rsidRPr="009E686F" w:rsidDel="002D6675" w:rsidRDefault="00A94677" w:rsidP="00265766">
            <w:pPr>
              <w:spacing w:after="0"/>
              <w:jc w:val="both"/>
              <w:rPr>
                <w:rFonts w:ascii="Times New Roman" w:hAnsi="Times New Roman" w:cs="Times New Roman"/>
                <w:lang w:val="pt-BR"/>
              </w:rPr>
            </w:pPr>
            <w:r w:rsidRPr="009E686F">
              <w:rPr>
                <w:rFonts w:ascii="Times New Roman" w:hAnsi="Times New Roman" w:cs="Times New Roman"/>
                <w:lang w:val="pt-BR"/>
              </w:rPr>
              <w:t>Procesul de supraveghere și evaluare</w:t>
            </w:r>
          </w:p>
        </w:tc>
        <w:tc>
          <w:tcPr>
            <w:tcW w:w="1834" w:type="pct"/>
            <w:tcBorders>
              <w:top w:val="single" w:sz="4" w:space="0" w:color="auto"/>
              <w:left w:val="single" w:sz="4" w:space="0" w:color="auto"/>
              <w:bottom w:val="single" w:sz="4" w:space="0" w:color="auto"/>
              <w:right w:val="single" w:sz="4" w:space="0" w:color="auto"/>
            </w:tcBorders>
          </w:tcPr>
          <w:p w14:paraId="7C7D6A52" w14:textId="570D4F9A" w:rsidR="00A94677" w:rsidRPr="009E686F" w:rsidRDefault="00A94677" w:rsidP="00265766">
            <w:pPr>
              <w:spacing w:after="0" w:line="278" w:lineRule="auto"/>
              <w:jc w:val="both"/>
              <w:rPr>
                <w:rFonts w:ascii="Times New Roman" w:eastAsia="Aptos" w:hAnsi="Times New Roman" w:cs="Times New Roman"/>
                <w:i/>
                <w:iCs/>
                <w:kern w:val="2"/>
                <w:lang w:val="ro-MD"/>
              </w:rPr>
            </w:pPr>
            <w:r w:rsidRPr="009E686F">
              <w:rPr>
                <w:rFonts w:ascii="Times New Roman" w:eastAsia="Aptos" w:hAnsi="Times New Roman" w:cs="Times New Roman"/>
                <w:b/>
                <w:bCs/>
                <w:kern w:val="2"/>
                <w:lang w:val="ro-MD"/>
              </w:rPr>
              <w:t>Articolul 108</w:t>
            </w:r>
            <w:r w:rsidRPr="009E686F">
              <w:rPr>
                <w:rFonts w:ascii="Times New Roman" w:eastAsia="Aptos" w:hAnsi="Times New Roman" w:cs="Times New Roman"/>
                <w:b/>
                <w:bCs/>
                <w:kern w:val="2"/>
                <w:vertAlign w:val="superscript"/>
                <w:lang w:val="ro-MD"/>
              </w:rPr>
              <w:t>3</w:t>
            </w:r>
            <w:r w:rsidRPr="009E686F">
              <w:rPr>
                <w:rFonts w:ascii="Times New Roman" w:eastAsia="Aptos" w:hAnsi="Times New Roman" w:cs="Times New Roman"/>
                <w:b/>
                <w:bCs/>
                <w:kern w:val="2"/>
                <w:lang w:val="ro-MD"/>
              </w:rPr>
              <w:t>.</w:t>
            </w:r>
            <w:r w:rsidRPr="009E686F">
              <w:rPr>
                <w:rFonts w:ascii="Times New Roman" w:eastAsia="Aptos" w:hAnsi="Times New Roman" w:cs="Times New Roman"/>
                <w:b/>
                <w:bCs/>
                <w:i/>
                <w:iCs/>
                <w:kern w:val="2"/>
                <w:lang w:val="ro-MD"/>
              </w:rPr>
              <w:t xml:space="preserve"> </w:t>
            </w:r>
            <w:r w:rsidRPr="009E686F">
              <w:rPr>
                <w:rFonts w:ascii="Times New Roman" w:eastAsia="Aptos" w:hAnsi="Times New Roman" w:cs="Times New Roman"/>
                <w:i/>
                <w:iCs/>
                <w:kern w:val="2"/>
                <w:lang w:val="ro-MD"/>
              </w:rPr>
              <w:t xml:space="preserve">Procesul de verificare și evaluare </w:t>
            </w:r>
          </w:p>
          <w:p w14:paraId="2D7D6E50" w14:textId="77777777" w:rsidR="00A94677" w:rsidRPr="009E686F" w:rsidRDefault="00A94677" w:rsidP="00265766">
            <w:pPr>
              <w:spacing w:after="0"/>
              <w:jc w:val="both"/>
              <w:rPr>
                <w:rFonts w:ascii="Times New Roman" w:hAnsi="Times New Roman" w:cs="Times New Roman"/>
                <w:b/>
                <w:i/>
                <w:iCs/>
                <w:lang w:val="pt-BR"/>
              </w:rPr>
            </w:pPr>
          </w:p>
        </w:tc>
        <w:tc>
          <w:tcPr>
            <w:tcW w:w="470" w:type="pct"/>
            <w:tcBorders>
              <w:top w:val="single" w:sz="4" w:space="0" w:color="auto"/>
              <w:left w:val="single" w:sz="4" w:space="0" w:color="auto"/>
              <w:bottom w:val="single" w:sz="4" w:space="0" w:color="auto"/>
              <w:right w:val="single" w:sz="4" w:space="0" w:color="auto"/>
            </w:tcBorders>
          </w:tcPr>
          <w:p w14:paraId="3FFDC3D6" w14:textId="5E14D694" w:rsidR="00A94677" w:rsidRPr="009E686F" w:rsidRDefault="00A94677" w:rsidP="00265766">
            <w:pPr>
              <w:jc w:val="both"/>
              <w:rPr>
                <w:rFonts w:ascii="Times New Roman" w:hAnsi="Times New Roman" w:cs="Times New Roman"/>
                <w:lang w:val="pt-BR"/>
              </w:rPr>
            </w:pPr>
            <w:r w:rsidRPr="009E686F">
              <w:rPr>
                <w:rFonts w:ascii="Times New Roman" w:hAnsi="Times New Roman" w:cs="Times New Roman"/>
                <w:lang w:val="it-IT"/>
              </w:rPr>
              <w:t>Compatibil</w:t>
            </w:r>
          </w:p>
        </w:tc>
        <w:tc>
          <w:tcPr>
            <w:tcW w:w="806" w:type="pct"/>
            <w:vMerge w:val="restart"/>
            <w:tcBorders>
              <w:top w:val="single" w:sz="4" w:space="0" w:color="auto"/>
              <w:left w:val="single" w:sz="4" w:space="0" w:color="auto"/>
              <w:right w:val="single" w:sz="4" w:space="0" w:color="auto"/>
            </w:tcBorders>
          </w:tcPr>
          <w:p w14:paraId="02D794DF" w14:textId="77777777" w:rsidR="00A94677" w:rsidRPr="009E686F" w:rsidRDefault="00A94677" w:rsidP="00A94677">
            <w:r w:rsidRPr="009E686F">
              <w:rPr>
                <w:rFonts w:ascii="Times New Roman" w:hAnsi="Times New Roman" w:cs="Times New Roman"/>
                <w:lang w:val="ro-RO"/>
              </w:rPr>
              <w:t>În vigoare – data aderării.</w:t>
            </w:r>
          </w:p>
          <w:p w14:paraId="054EBB3E" w14:textId="77777777" w:rsidR="00A94677" w:rsidRPr="009E686F" w:rsidRDefault="00A94677" w:rsidP="00265766">
            <w:pPr>
              <w:spacing w:after="0"/>
              <w:jc w:val="both"/>
              <w:rPr>
                <w:rFonts w:ascii="Times New Roman" w:hAnsi="Times New Roman" w:cs="Times New Roman"/>
                <w:lang w:val="pt-BR"/>
              </w:rPr>
            </w:pPr>
          </w:p>
        </w:tc>
      </w:tr>
      <w:tr w:rsidR="00A94677" w:rsidRPr="009E686F" w14:paraId="02376068" w14:textId="77777777" w:rsidTr="008B6E80">
        <w:tc>
          <w:tcPr>
            <w:tcW w:w="1890" w:type="pct"/>
            <w:tcBorders>
              <w:top w:val="single" w:sz="4" w:space="0" w:color="auto"/>
              <w:left w:val="single" w:sz="4" w:space="0" w:color="auto"/>
              <w:bottom w:val="single" w:sz="4" w:space="0" w:color="auto"/>
              <w:right w:val="single" w:sz="4" w:space="0" w:color="auto"/>
            </w:tcBorders>
          </w:tcPr>
          <w:p w14:paraId="1ADF8F51" w14:textId="209A72FE" w:rsidR="00A94677" w:rsidRPr="009E686F" w:rsidDel="002D6675" w:rsidRDefault="00A94677" w:rsidP="00265766">
            <w:pPr>
              <w:spacing w:after="0"/>
              <w:jc w:val="both"/>
              <w:rPr>
                <w:rFonts w:ascii="Times New Roman" w:hAnsi="Times New Roman" w:cs="Times New Roman"/>
                <w:lang w:val="it-CH"/>
              </w:rPr>
            </w:pPr>
            <w:r w:rsidRPr="009E686F">
              <w:rPr>
                <w:rFonts w:ascii="Times New Roman" w:hAnsi="Times New Roman" w:cs="Times New Roman"/>
                <w:lang w:val="it-CH"/>
              </w:rPr>
              <w:t>(1) Statele membre prevăd obligația ca autoritățile competente să analizeze dispozițiile, strategiile, procedurile și mecanismele puse în aplicare de sucursalele din țări terțe pentru a se conforma dispozițiilor care li se aplică în temeiul prezentei directive și, după caz, oricăror cerințe suplimentare de reglementare în temeiul dreptul intern.</w:t>
            </w:r>
          </w:p>
        </w:tc>
        <w:tc>
          <w:tcPr>
            <w:tcW w:w="1834" w:type="pct"/>
            <w:tcBorders>
              <w:top w:val="single" w:sz="4" w:space="0" w:color="auto"/>
              <w:left w:val="single" w:sz="4" w:space="0" w:color="auto"/>
              <w:bottom w:val="single" w:sz="4" w:space="0" w:color="auto"/>
              <w:right w:val="single" w:sz="4" w:space="0" w:color="auto"/>
            </w:tcBorders>
          </w:tcPr>
          <w:p w14:paraId="7E6EC268" w14:textId="5F3CFE52" w:rsidR="00A94677" w:rsidRPr="009E686F" w:rsidRDefault="00A94677" w:rsidP="00265766">
            <w:pPr>
              <w:spacing w:after="0"/>
              <w:jc w:val="both"/>
              <w:rPr>
                <w:rFonts w:ascii="Times New Roman" w:hAnsi="Times New Roman" w:cs="Times New Roman"/>
                <w:bCs/>
                <w:i/>
                <w:iCs/>
                <w:lang w:val="pt-BR"/>
              </w:rPr>
            </w:pPr>
            <w:r w:rsidRPr="009E686F">
              <w:rPr>
                <w:rFonts w:ascii="Times New Roman" w:hAnsi="Times New Roman" w:cs="Times New Roman"/>
                <w:bCs/>
                <w:i/>
                <w:iCs/>
                <w:lang w:val="pt-BR"/>
              </w:rPr>
              <w:t>(1) Banca Națională a Moldovei asigură verificarea cadrului de administrare, a strategiilor, proceselor și mecanismelor implementate de sucursalele din state terțe, pentru respectarea dispozițiilor prezentei legi și ale actelor normative emise în aplicarea acesteia.</w:t>
            </w:r>
          </w:p>
        </w:tc>
        <w:tc>
          <w:tcPr>
            <w:tcW w:w="470" w:type="pct"/>
            <w:tcBorders>
              <w:top w:val="single" w:sz="4" w:space="0" w:color="auto"/>
              <w:left w:val="single" w:sz="4" w:space="0" w:color="auto"/>
              <w:bottom w:val="single" w:sz="4" w:space="0" w:color="auto"/>
              <w:right w:val="single" w:sz="4" w:space="0" w:color="auto"/>
            </w:tcBorders>
          </w:tcPr>
          <w:p w14:paraId="7A251BD2" w14:textId="6078E752" w:rsidR="00A94677" w:rsidRPr="009E686F" w:rsidRDefault="00A94677" w:rsidP="00265766">
            <w:pPr>
              <w:jc w:val="both"/>
              <w:rPr>
                <w:rFonts w:ascii="Times New Roman" w:hAnsi="Times New Roman" w:cs="Times New Roman"/>
                <w:lang w:val="pt-BR"/>
              </w:rPr>
            </w:pPr>
            <w:r w:rsidRPr="009E686F">
              <w:rPr>
                <w:rFonts w:ascii="Times New Roman" w:hAnsi="Times New Roman" w:cs="Times New Roman"/>
                <w:lang w:val="it-IT"/>
              </w:rPr>
              <w:t>Compatibil</w:t>
            </w:r>
          </w:p>
        </w:tc>
        <w:tc>
          <w:tcPr>
            <w:tcW w:w="806" w:type="pct"/>
            <w:vMerge/>
            <w:tcBorders>
              <w:left w:val="single" w:sz="4" w:space="0" w:color="auto"/>
              <w:right w:val="single" w:sz="4" w:space="0" w:color="auto"/>
            </w:tcBorders>
          </w:tcPr>
          <w:p w14:paraId="7CA933DB" w14:textId="77777777" w:rsidR="00A94677" w:rsidRPr="009E686F" w:rsidRDefault="00A94677" w:rsidP="00265766">
            <w:pPr>
              <w:spacing w:after="0"/>
              <w:jc w:val="both"/>
              <w:rPr>
                <w:rFonts w:ascii="Times New Roman" w:hAnsi="Times New Roman" w:cs="Times New Roman"/>
                <w:lang w:val="pt-BR"/>
              </w:rPr>
            </w:pPr>
          </w:p>
        </w:tc>
      </w:tr>
      <w:tr w:rsidR="00A94677" w:rsidRPr="009E686F" w14:paraId="0F49F75B" w14:textId="77777777" w:rsidTr="008B6E80">
        <w:tc>
          <w:tcPr>
            <w:tcW w:w="1890" w:type="pct"/>
            <w:tcBorders>
              <w:top w:val="single" w:sz="4" w:space="0" w:color="auto"/>
              <w:left w:val="single" w:sz="4" w:space="0" w:color="auto"/>
              <w:bottom w:val="single" w:sz="4" w:space="0" w:color="auto"/>
              <w:right w:val="single" w:sz="4" w:space="0" w:color="auto"/>
            </w:tcBorders>
          </w:tcPr>
          <w:p w14:paraId="21D2CF1A" w14:textId="55E243F4" w:rsidR="00A94677" w:rsidRPr="009E686F" w:rsidDel="002D6675" w:rsidRDefault="00A94677" w:rsidP="00265766">
            <w:pPr>
              <w:spacing w:after="0"/>
              <w:jc w:val="both"/>
              <w:rPr>
                <w:rFonts w:ascii="Times New Roman" w:hAnsi="Times New Roman" w:cs="Times New Roman"/>
                <w:lang w:val="it-CH"/>
              </w:rPr>
            </w:pPr>
            <w:r w:rsidRPr="009E686F">
              <w:rPr>
                <w:rFonts w:ascii="Times New Roman" w:hAnsi="Times New Roman" w:cs="Times New Roman"/>
                <w:lang w:val="it-CH"/>
              </w:rPr>
              <w:t>(2) Pe baza analizei menționate la alineatul (1), autoritățile competente evaluează dacă dispozițiile, strategiile, procedurile și mecanismele puse în aplicare de sucursalele din țări terțe, precum și capitalul de dotare și lichiditatea deținute de acestea asigură o gestionare și o acoperire adecvate ale riscurilor lor semnificative și viabilitatea sucursalelor din țări terțe.</w:t>
            </w:r>
          </w:p>
        </w:tc>
        <w:tc>
          <w:tcPr>
            <w:tcW w:w="1834" w:type="pct"/>
            <w:tcBorders>
              <w:top w:val="single" w:sz="4" w:space="0" w:color="auto"/>
              <w:left w:val="single" w:sz="4" w:space="0" w:color="auto"/>
              <w:bottom w:val="single" w:sz="4" w:space="0" w:color="auto"/>
              <w:right w:val="single" w:sz="4" w:space="0" w:color="auto"/>
            </w:tcBorders>
          </w:tcPr>
          <w:p w14:paraId="08F6B038" w14:textId="69713918" w:rsidR="00A94677" w:rsidRPr="009E686F" w:rsidRDefault="00A94677" w:rsidP="00265766">
            <w:pPr>
              <w:spacing w:after="0"/>
              <w:jc w:val="both"/>
              <w:rPr>
                <w:rFonts w:ascii="Times New Roman" w:hAnsi="Times New Roman" w:cs="Times New Roman"/>
                <w:i/>
                <w:lang w:val="it-CH"/>
              </w:rPr>
            </w:pPr>
            <w:r w:rsidRPr="009E686F">
              <w:rPr>
                <w:rFonts w:ascii="Times New Roman" w:hAnsi="Times New Roman" w:cs="Times New Roman"/>
                <w:i/>
                <w:lang w:val="it-CH"/>
              </w:rPr>
              <w:t xml:space="preserve">(2) Pe baza verificării menţionate la alin.(1), Banca Naţională a Moldovei </w:t>
            </w:r>
            <w:r w:rsidR="003F0BB0" w:rsidRPr="009E686F">
              <w:rPr>
                <w:rFonts w:ascii="Times New Roman" w:hAnsi="Times New Roman" w:cs="Times New Roman"/>
                <w:i/>
                <w:lang w:val="it-CH"/>
              </w:rPr>
              <w:t xml:space="preserve">evaluează </w:t>
            </w:r>
            <w:r w:rsidRPr="009E686F">
              <w:rPr>
                <w:rFonts w:ascii="Times New Roman" w:hAnsi="Times New Roman" w:cs="Times New Roman"/>
                <w:i/>
                <w:lang w:val="it-CH"/>
              </w:rPr>
              <w:t>în ce măsură cadrul de administrare, strategiile, procesele şi mecanismele implementate de sucursală dintr-un stat terț, precum și capitalul de dotare și lichiditatea deținute de acestea asigură o gestionare și o acoperire adecvate ale riscurilor lor semnificative și viabilitatea sucursalelor din state terțe.</w:t>
            </w:r>
          </w:p>
        </w:tc>
        <w:tc>
          <w:tcPr>
            <w:tcW w:w="470" w:type="pct"/>
            <w:tcBorders>
              <w:top w:val="single" w:sz="4" w:space="0" w:color="auto"/>
              <w:left w:val="single" w:sz="4" w:space="0" w:color="auto"/>
              <w:bottom w:val="single" w:sz="4" w:space="0" w:color="auto"/>
              <w:right w:val="single" w:sz="4" w:space="0" w:color="auto"/>
            </w:tcBorders>
          </w:tcPr>
          <w:p w14:paraId="7AD31AB3" w14:textId="194F22C9" w:rsidR="00A94677" w:rsidRPr="009E686F" w:rsidRDefault="00A94677" w:rsidP="00265766">
            <w:pPr>
              <w:jc w:val="both"/>
              <w:rPr>
                <w:rFonts w:ascii="Times New Roman" w:hAnsi="Times New Roman" w:cs="Times New Roman"/>
                <w:lang w:val="pt-BR"/>
              </w:rPr>
            </w:pPr>
            <w:r w:rsidRPr="009E686F">
              <w:rPr>
                <w:rFonts w:ascii="Times New Roman" w:hAnsi="Times New Roman" w:cs="Times New Roman"/>
                <w:lang w:val="it-IT"/>
              </w:rPr>
              <w:t>Compatibil</w:t>
            </w:r>
          </w:p>
        </w:tc>
        <w:tc>
          <w:tcPr>
            <w:tcW w:w="806" w:type="pct"/>
            <w:vMerge/>
            <w:tcBorders>
              <w:left w:val="single" w:sz="4" w:space="0" w:color="auto"/>
              <w:bottom w:val="single" w:sz="4" w:space="0" w:color="auto"/>
              <w:right w:val="single" w:sz="4" w:space="0" w:color="auto"/>
            </w:tcBorders>
          </w:tcPr>
          <w:p w14:paraId="0FB43460" w14:textId="77777777" w:rsidR="00A94677" w:rsidRPr="009E686F" w:rsidRDefault="00A94677" w:rsidP="00265766">
            <w:pPr>
              <w:spacing w:after="0"/>
              <w:jc w:val="both"/>
              <w:rPr>
                <w:rFonts w:ascii="Times New Roman" w:hAnsi="Times New Roman" w:cs="Times New Roman"/>
                <w:lang w:val="pt-BR"/>
              </w:rPr>
            </w:pPr>
          </w:p>
        </w:tc>
      </w:tr>
      <w:tr w:rsidR="00265766" w:rsidRPr="009E686F" w14:paraId="0DA2A83E" w14:textId="77777777" w:rsidTr="00960C23">
        <w:tc>
          <w:tcPr>
            <w:tcW w:w="1890" w:type="pct"/>
            <w:tcBorders>
              <w:top w:val="single" w:sz="4" w:space="0" w:color="auto"/>
              <w:left w:val="single" w:sz="4" w:space="0" w:color="auto"/>
              <w:bottom w:val="single" w:sz="4" w:space="0" w:color="auto"/>
              <w:right w:val="single" w:sz="4" w:space="0" w:color="auto"/>
            </w:tcBorders>
          </w:tcPr>
          <w:p w14:paraId="438F1278" w14:textId="3365890B" w:rsidR="00265766" w:rsidRPr="009E686F" w:rsidDel="002D6675" w:rsidRDefault="00265766" w:rsidP="00265766">
            <w:pPr>
              <w:spacing w:after="0"/>
              <w:jc w:val="both"/>
              <w:rPr>
                <w:rFonts w:ascii="Times New Roman" w:hAnsi="Times New Roman" w:cs="Times New Roman"/>
                <w:lang w:val="it-IT"/>
              </w:rPr>
            </w:pPr>
            <w:r w:rsidRPr="009E686F">
              <w:rPr>
                <w:rFonts w:ascii="Times New Roman" w:hAnsi="Times New Roman" w:cs="Times New Roman"/>
                <w:lang w:val="it-IT"/>
              </w:rPr>
              <w:t xml:space="preserve">(3) Autoritățile competente efectuează analiza și evaluarea menționate la alineatele (1) și (2) de la prezentul articol în conformitate cu criteriile de aplicare a principiului </w:t>
            </w:r>
            <w:r w:rsidRPr="009E686F">
              <w:rPr>
                <w:rFonts w:ascii="Times New Roman" w:hAnsi="Times New Roman" w:cs="Times New Roman"/>
                <w:lang w:val="it-IT"/>
              </w:rPr>
              <w:lastRenderedPageBreak/>
              <w:t>proporționalității publicate în conformitate cu articolul 143 alineatul (1) litera (c). În particular, autoritățile competente stabilesc un nivel al frecvenței și al intensității analizei menționate la alineatul (1) de la prezentul articol care să fie proporțional cu clasificarea ca sucursale din țări terțe din clasa 1 și din clasa 2 și care să ia în considerare alte criterii relevante, cum ar fi natura, amploarea și complexitatea activităților sucursalelor din țări terțe.</w:t>
            </w:r>
          </w:p>
        </w:tc>
        <w:tc>
          <w:tcPr>
            <w:tcW w:w="1834" w:type="pct"/>
            <w:tcBorders>
              <w:top w:val="single" w:sz="4" w:space="0" w:color="auto"/>
              <w:left w:val="single" w:sz="4" w:space="0" w:color="auto"/>
              <w:bottom w:val="single" w:sz="4" w:space="0" w:color="auto"/>
              <w:right w:val="single" w:sz="4" w:space="0" w:color="auto"/>
            </w:tcBorders>
          </w:tcPr>
          <w:p w14:paraId="22011D56" w14:textId="1374C2D0" w:rsidR="00265766" w:rsidRPr="009E686F" w:rsidRDefault="00265766" w:rsidP="00265766">
            <w:pPr>
              <w:spacing w:after="0"/>
              <w:jc w:val="both"/>
              <w:rPr>
                <w:rFonts w:ascii="Times New Roman" w:hAnsi="Times New Roman" w:cs="Times New Roman"/>
                <w:b/>
                <w:i/>
                <w:iCs/>
                <w:lang w:val="it-IT"/>
              </w:rPr>
            </w:pPr>
            <w:r w:rsidRPr="009E686F">
              <w:rPr>
                <w:rFonts w:ascii="Times New Roman" w:eastAsia="Aptos" w:hAnsi="Times New Roman" w:cs="Times New Roman"/>
                <w:i/>
                <w:iCs/>
                <w:kern w:val="2"/>
                <w:lang w:val="ro-MD"/>
              </w:rPr>
              <w:lastRenderedPageBreak/>
              <w:t>(3) Banca Naţională a Moldovei stabileşte frecvenţa şi gradul de detaliere a verificărilor şi evaluărilor menţionate la alin.(1)</w:t>
            </w:r>
            <w:r w:rsidR="003F0BB0" w:rsidRPr="009E686F">
              <w:rPr>
                <w:rFonts w:ascii="Times New Roman" w:eastAsia="Aptos" w:hAnsi="Times New Roman" w:cs="Times New Roman"/>
                <w:i/>
                <w:iCs/>
                <w:kern w:val="2"/>
                <w:lang w:val="ro-MD"/>
              </w:rPr>
              <w:t xml:space="preserve"> și (2)</w:t>
            </w:r>
            <w:r w:rsidRPr="009E686F">
              <w:rPr>
                <w:rFonts w:ascii="Times New Roman" w:eastAsia="Aptos" w:hAnsi="Times New Roman" w:cs="Times New Roman"/>
                <w:i/>
                <w:iCs/>
                <w:kern w:val="2"/>
                <w:lang w:val="ro-MD"/>
              </w:rPr>
              <w:t xml:space="preserve">, cu luarea în considerare a criteriilor de </w:t>
            </w:r>
            <w:r w:rsidRPr="009E686F">
              <w:rPr>
                <w:rFonts w:ascii="Times New Roman" w:eastAsia="Aptos" w:hAnsi="Times New Roman" w:cs="Times New Roman"/>
                <w:i/>
                <w:iCs/>
                <w:kern w:val="2"/>
                <w:lang w:val="ro-MD"/>
              </w:rPr>
              <w:lastRenderedPageBreak/>
              <w:t>aplicare a principiului proporţionalităţii publicate conform actelor normative emise în aplicarea prezentei legi, avînd în vedere clasificarea sucursalelor</w:t>
            </w:r>
            <w:r w:rsidR="003F0BB0" w:rsidRPr="009E686F">
              <w:rPr>
                <w:rFonts w:ascii="Times New Roman" w:eastAsia="Aptos" w:hAnsi="Times New Roman" w:cs="Times New Roman"/>
                <w:i/>
                <w:iCs/>
                <w:kern w:val="2"/>
                <w:lang w:val="ro-MD"/>
              </w:rPr>
              <w:t xml:space="preserve"> din state terțe</w:t>
            </w:r>
            <w:r w:rsidRPr="009E686F">
              <w:rPr>
                <w:rFonts w:ascii="Times New Roman" w:eastAsia="Aptos" w:hAnsi="Times New Roman" w:cs="Times New Roman"/>
                <w:i/>
                <w:iCs/>
                <w:kern w:val="2"/>
                <w:lang w:val="ro-MD"/>
              </w:rPr>
              <w:t xml:space="preserve">, astfel cum este prevăzută la art. </w:t>
            </w:r>
            <w:r w:rsidR="003F0BB0" w:rsidRPr="009E686F">
              <w:rPr>
                <w:rFonts w:ascii="Times New Roman" w:eastAsia="Aptos" w:hAnsi="Times New Roman" w:cs="Times New Roman"/>
                <w:i/>
                <w:iCs/>
                <w:kern w:val="2"/>
                <w:lang w:val="ro-MD"/>
              </w:rPr>
              <w:t>26</w:t>
            </w:r>
            <w:r w:rsidRPr="009E686F">
              <w:rPr>
                <w:rFonts w:ascii="Times New Roman" w:eastAsia="Aptos" w:hAnsi="Times New Roman" w:cs="Times New Roman"/>
                <w:i/>
                <w:iCs/>
                <w:kern w:val="2"/>
                <w:lang w:val="ro-MD"/>
              </w:rPr>
              <w:t xml:space="preserve">, natura, amploarea şi complexitatea activităţilor desfăşurate de </w:t>
            </w:r>
            <w:r w:rsidR="003F0BB0" w:rsidRPr="009E686F">
              <w:rPr>
                <w:rFonts w:ascii="Times New Roman" w:eastAsia="Aptos" w:hAnsi="Times New Roman" w:cs="Times New Roman"/>
                <w:i/>
                <w:iCs/>
                <w:kern w:val="2"/>
                <w:lang w:val="ro-MD"/>
              </w:rPr>
              <w:t xml:space="preserve">aceste </w:t>
            </w:r>
            <w:r w:rsidRPr="009E686F">
              <w:rPr>
                <w:rFonts w:ascii="Times New Roman" w:eastAsia="Aptos" w:hAnsi="Times New Roman" w:cs="Times New Roman"/>
                <w:i/>
                <w:iCs/>
                <w:kern w:val="2"/>
                <w:lang w:val="ro-MD"/>
              </w:rPr>
              <w:t>sucursale.</w:t>
            </w:r>
          </w:p>
        </w:tc>
        <w:tc>
          <w:tcPr>
            <w:tcW w:w="470" w:type="pct"/>
            <w:tcBorders>
              <w:top w:val="single" w:sz="4" w:space="0" w:color="auto"/>
              <w:left w:val="single" w:sz="4" w:space="0" w:color="auto"/>
              <w:bottom w:val="single" w:sz="4" w:space="0" w:color="auto"/>
              <w:right w:val="single" w:sz="4" w:space="0" w:color="auto"/>
            </w:tcBorders>
          </w:tcPr>
          <w:p w14:paraId="1FCF2963" w14:textId="5AAAC90A" w:rsidR="00265766" w:rsidRPr="009E686F" w:rsidRDefault="00265766" w:rsidP="00265766">
            <w:pPr>
              <w:jc w:val="both"/>
              <w:rPr>
                <w:rFonts w:ascii="Times New Roman" w:hAnsi="Times New Roman" w:cs="Times New Roman"/>
                <w:lang w:val="it-IT"/>
              </w:rPr>
            </w:pPr>
            <w:r w:rsidRPr="009E686F">
              <w:rPr>
                <w:rFonts w:ascii="Times New Roman" w:hAnsi="Times New Roman" w:cs="Times New Roman"/>
                <w:lang w:val="it-IT"/>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7FC620DA" w14:textId="77777777" w:rsidR="00A94677" w:rsidRPr="009E686F" w:rsidRDefault="00A94677" w:rsidP="00A94677">
            <w:r w:rsidRPr="009E686F">
              <w:rPr>
                <w:rFonts w:ascii="Times New Roman" w:hAnsi="Times New Roman" w:cs="Times New Roman"/>
                <w:lang w:val="ro-RO"/>
              </w:rPr>
              <w:t>În vigoare – data aderării.</w:t>
            </w:r>
          </w:p>
          <w:p w14:paraId="697376D5" w14:textId="77777777" w:rsidR="00265766" w:rsidRPr="009E686F" w:rsidRDefault="00265766" w:rsidP="00265766">
            <w:pPr>
              <w:spacing w:after="0"/>
              <w:jc w:val="both"/>
              <w:rPr>
                <w:rFonts w:ascii="Times New Roman" w:hAnsi="Times New Roman" w:cs="Times New Roman"/>
                <w:lang w:val="it-IT"/>
              </w:rPr>
            </w:pPr>
          </w:p>
        </w:tc>
      </w:tr>
      <w:tr w:rsidR="00265766" w:rsidRPr="009E686F" w14:paraId="5554AA1F" w14:textId="77777777" w:rsidTr="00960C23">
        <w:tc>
          <w:tcPr>
            <w:tcW w:w="1890" w:type="pct"/>
            <w:tcBorders>
              <w:top w:val="single" w:sz="4" w:space="0" w:color="auto"/>
              <w:left w:val="single" w:sz="4" w:space="0" w:color="auto"/>
              <w:bottom w:val="single" w:sz="4" w:space="0" w:color="auto"/>
              <w:right w:val="single" w:sz="4" w:space="0" w:color="auto"/>
            </w:tcBorders>
          </w:tcPr>
          <w:p w14:paraId="64364220" w14:textId="65A28210" w:rsidR="00265766" w:rsidRPr="009E686F" w:rsidDel="002D6675" w:rsidRDefault="00265766" w:rsidP="00265766">
            <w:pPr>
              <w:spacing w:after="0"/>
              <w:jc w:val="both"/>
              <w:rPr>
                <w:rFonts w:ascii="Times New Roman" w:hAnsi="Times New Roman" w:cs="Times New Roman"/>
              </w:rPr>
            </w:pPr>
            <w:r w:rsidRPr="009E686F">
              <w:rPr>
                <w:rFonts w:ascii="Times New Roman" w:hAnsi="Times New Roman" w:cs="Times New Roman"/>
              </w:rPr>
              <w:lastRenderedPageBreak/>
              <w:t>(4) În cazul în care o analiză, în special a cadrului de administrare a activității, a modelului de afaceri sau a activităților sucursalei dintr-o țară terță, oferă autorităților competente motive întemeiate pentru a suspecta că, în legătură cu respectiva sucursală dintr-o țară terță, se săvârșește sau s-a săvârșit o faptă ori o tentativă de spălare de bani sau de finanțare a terorismului în sensul articolului 1 din Directiva (UE) 2015/849 sau că există un risc crescut în acest sens, autoritatea competentă informează imediat ABE și autoritatea care este responsabilă pentru supravegherea sucursalei dintr-o țară terță în conformitate cu Directiva (UE) 2015/849. În cazul în care există un risc crescut de spălare a banilor sau de finanțare a terorismului, autoritatea competentă și autoritatea care este responsabilă pentru supravegherea sucursalei dintr-o țară terță în conformitate cu Directiva (UE) 2015/849 cooperează și transmit imediat ABE evaluarea lor comună. Autoritatea competentă ia, după caz, măsuri în conformitate cu prezenta directivă, care pot include retragerea autorizației sucursalei dintr-o țară terță, în temeiul articolului 48d alineatul (2) litera (g) din prezenta directivă.</w:t>
            </w:r>
          </w:p>
        </w:tc>
        <w:tc>
          <w:tcPr>
            <w:tcW w:w="1834" w:type="pct"/>
            <w:tcBorders>
              <w:top w:val="single" w:sz="4" w:space="0" w:color="auto"/>
              <w:left w:val="single" w:sz="4" w:space="0" w:color="auto"/>
              <w:bottom w:val="single" w:sz="4" w:space="0" w:color="auto"/>
              <w:right w:val="single" w:sz="4" w:space="0" w:color="auto"/>
            </w:tcBorders>
          </w:tcPr>
          <w:p w14:paraId="0D9544A9" w14:textId="57877EA2" w:rsidR="00265766" w:rsidRPr="009E686F" w:rsidRDefault="00265766" w:rsidP="00265766">
            <w:pPr>
              <w:spacing w:after="0"/>
              <w:jc w:val="both"/>
              <w:rPr>
                <w:rFonts w:ascii="Times New Roman" w:hAnsi="Times New Roman" w:cs="Times New Roman"/>
                <w:bCs/>
                <w:i/>
                <w:iCs/>
                <w:lang w:val="it-IT"/>
              </w:rPr>
            </w:pPr>
            <w:r w:rsidRPr="009E686F">
              <w:rPr>
                <w:rFonts w:ascii="Times New Roman" w:hAnsi="Times New Roman" w:cs="Times New Roman"/>
                <w:bCs/>
                <w:i/>
                <w:iCs/>
                <w:lang w:val="it-IT"/>
              </w:rPr>
              <w:t>(4) Prevederile art. 103 alin. (5) se aplică în mod corespunzător sucursalelor din state terțe.</w:t>
            </w:r>
          </w:p>
        </w:tc>
        <w:tc>
          <w:tcPr>
            <w:tcW w:w="470" w:type="pct"/>
            <w:tcBorders>
              <w:top w:val="single" w:sz="4" w:space="0" w:color="auto"/>
              <w:left w:val="single" w:sz="4" w:space="0" w:color="auto"/>
              <w:bottom w:val="single" w:sz="4" w:space="0" w:color="auto"/>
              <w:right w:val="single" w:sz="4" w:space="0" w:color="auto"/>
            </w:tcBorders>
          </w:tcPr>
          <w:p w14:paraId="3277BCD2" w14:textId="2709F4BA" w:rsidR="00265766" w:rsidRPr="009E686F" w:rsidRDefault="00265766" w:rsidP="00265766">
            <w:pPr>
              <w:jc w:val="both"/>
              <w:rPr>
                <w:rFonts w:ascii="Times New Roman" w:hAnsi="Times New Roman" w:cs="Times New Roman"/>
                <w:lang w:val="it-IT"/>
              </w:rPr>
            </w:pPr>
            <w:r w:rsidRPr="009E686F">
              <w:rPr>
                <w:rFonts w:ascii="Times New Roman" w:hAnsi="Times New Roman" w:cs="Times New Roman"/>
                <w:lang w:val="it-IT"/>
              </w:rPr>
              <w:t>Compatibil</w:t>
            </w:r>
          </w:p>
        </w:tc>
        <w:tc>
          <w:tcPr>
            <w:tcW w:w="806" w:type="pct"/>
            <w:tcBorders>
              <w:top w:val="single" w:sz="4" w:space="0" w:color="auto"/>
              <w:left w:val="single" w:sz="4" w:space="0" w:color="auto"/>
              <w:bottom w:val="single" w:sz="4" w:space="0" w:color="auto"/>
              <w:right w:val="single" w:sz="4" w:space="0" w:color="auto"/>
            </w:tcBorders>
          </w:tcPr>
          <w:p w14:paraId="155AB951" w14:textId="77777777" w:rsidR="00A94677" w:rsidRPr="009E686F" w:rsidRDefault="00A94677" w:rsidP="00A94677">
            <w:r w:rsidRPr="009E686F">
              <w:rPr>
                <w:rFonts w:ascii="Times New Roman" w:hAnsi="Times New Roman" w:cs="Times New Roman"/>
                <w:lang w:val="ro-RO"/>
              </w:rPr>
              <w:t>În vigoare – data aderării.</w:t>
            </w:r>
          </w:p>
          <w:p w14:paraId="36938B52" w14:textId="77777777" w:rsidR="00265766" w:rsidRPr="009E686F" w:rsidRDefault="00265766" w:rsidP="00265766">
            <w:pPr>
              <w:spacing w:after="0"/>
              <w:jc w:val="both"/>
              <w:rPr>
                <w:rFonts w:ascii="Times New Roman" w:hAnsi="Times New Roman" w:cs="Times New Roman"/>
                <w:lang w:val="it-IT"/>
              </w:rPr>
            </w:pPr>
          </w:p>
        </w:tc>
      </w:tr>
      <w:tr w:rsidR="00265766" w:rsidRPr="009E686F" w14:paraId="0BE1384A" w14:textId="77777777" w:rsidTr="00960C23">
        <w:tc>
          <w:tcPr>
            <w:tcW w:w="1890" w:type="pct"/>
            <w:tcBorders>
              <w:top w:val="single" w:sz="4" w:space="0" w:color="auto"/>
              <w:left w:val="single" w:sz="4" w:space="0" w:color="auto"/>
              <w:bottom w:val="single" w:sz="4" w:space="0" w:color="auto"/>
              <w:right w:val="single" w:sz="4" w:space="0" w:color="auto"/>
            </w:tcBorders>
          </w:tcPr>
          <w:p w14:paraId="78D1FA49" w14:textId="7E32A72A" w:rsidR="00265766" w:rsidRPr="009E686F" w:rsidDel="002D6675" w:rsidRDefault="00265766" w:rsidP="00265766">
            <w:pPr>
              <w:spacing w:after="0"/>
              <w:jc w:val="both"/>
              <w:rPr>
                <w:rFonts w:ascii="Times New Roman" w:hAnsi="Times New Roman" w:cs="Times New Roman"/>
                <w:lang w:val="it-IT"/>
              </w:rPr>
            </w:pPr>
            <w:r w:rsidRPr="009E686F">
              <w:rPr>
                <w:rFonts w:ascii="Times New Roman" w:hAnsi="Times New Roman" w:cs="Times New Roman"/>
              </w:rPr>
              <w:t xml:space="preserve">(5) Autoritatea competentă, unitatea de informații financiare și autoritatea care este responsabilă de supravegherea sucursalei dintr-o țară terță în conformitate cu Directiva (UE) 2015/849 cooperează îndeaproape în limitele competențelor lor </w:t>
            </w:r>
            <w:r w:rsidRPr="009E686F">
              <w:rPr>
                <w:rFonts w:ascii="Times New Roman" w:hAnsi="Times New Roman" w:cs="Times New Roman"/>
              </w:rPr>
              <w:lastRenderedPageBreak/>
              <w:t xml:space="preserve">respective și fac schimb de informații relevante în sensul prezentei directive, cu condiția ca această cooperare și acest schimb de informații să nu afecteze nicio anchetă, investigație sau procedură aflată în curs de desfășurare în temeiul dreptului penal sau administrativ al statului membru în care este situată autoritatea competentă, unitatea de informații financiare sau autoritatea care este responsabilă de supravegherea sucursalei dintr-o țară terță în conformitate cu Directiva (UE) 2015/849. ABE poate acorda asistență din proprie inițiativă autorităților competente și autorităților responsabile cu supravegherea sucursalei dintr-o țară terță în conformitate cu Directiva (UE) 2015/849 în caz de dezacord cu privire la coordonarea activităților de supraveghere în temeiul prezentului articol. </w:t>
            </w:r>
            <w:r w:rsidRPr="009E686F">
              <w:rPr>
                <w:rFonts w:ascii="Times New Roman" w:hAnsi="Times New Roman" w:cs="Times New Roman"/>
                <w:lang w:val="it-IT"/>
              </w:rPr>
              <w:t>Într-un astfel de caz, ABE acționează în conformitate cu articolul 19 din Regulamentul (UE) nr. 1093/2010.</w:t>
            </w:r>
          </w:p>
        </w:tc>
        <w:tc>
          <w:tcPr>
            <w:tcW w:w="1834" w:type="pct"/>
            <w:tcBorders>
              <w:top w:val="single" w:sz="4" w:space="0" w:color="auto"/>
              <w:left w:val="single" w:sz="4" w:space="0" w:color="auto"/>
              <w:bottom w:val="single" w:sz="4" w:space="0" w:color="auto"/>
              <w:right w:val="single" w:sz="4" w:space="0" w:color="auto"/>
            </w:tcBorders>
          </w:tcPr>
          <w:p w14:paraId="6A99318D" w14:textId="68411ACA" w:rsidR="00265766" w:rsidRPr="009E686F" w:rsidRDefault="00265766" w:rsidP="00265766">
            <w:pPr>
              <w:spacing w:after="0"/>
              <w:jc w:val="both"/>
              <w:rPr>
                <w:rFonts w:ascii="Times New Roman" w:hAnsi="Times New Roman" w:cs="Times New Roman"/>
                <w:bCs/>
                <w:i/>
                <w:iCs/>
                <w:lang w:val="it-IT"/>
              </w:rPr>
            </w:pPr>
            <w:r w:rsidRPr="009E686F">
              <w:rPr>
                <w:rFonts w:ascii="Times New Roman" w:hAnsi="Times New Roman" w:cs="Times New Roman"/>
                <w:bCs/>
                <w:i/>
                <w:iCs/>
                <w:lang w:val="it-IT"/>
              </w:rPr>
              <w:lastRenderedPageBreak/>
              <w:t xml:space="preserve">(5) Banca Națională a Moldovei cooperează, în limita competențelor sale și face schimb de informații relevante cu autoritatea responsabilă de supravegherea sucursalei dintr-un stat terț în domeniul prevenirii utilizării sistemului </w:t>
            </w:r>
            <w:r w:rsidRPr="009E686F">
              <w:rPr>
                <w:rFonts w:ascii="Times New Roman" w:hAnsi="Times New Roman" w:cs="Times New Roman"/>
                <w:bCs/>
                <w:i/>
                <w:iCs/>
                <w:lang w:val="it-IT"/>
              </w:rPr>
              <w:lastRenderedPageBreak/>
              <w:t>financiar în scopul spălării banilor și finanţării terorismului, cu condiția ca această cooperare și acest schimb de informații să nu afecteze nicio anchetă, investigație sau procedură aflată în curs de desfășurare în temeiul dreptului penal sau administrativ.</w:t>
            </w:r>
          </w:p>
        </w:tc>
        <w:tc>
          <w:tcPr>
            <w:tcW w:w="470" w:type="pct"/>
            <w:tcBorders>
              <w:top w:val="single" w:sz="4" w:space="0" w:color="auto"/>
              <w:left w:val="single" w:sz="4" w:space="0" w:color="auto"/>
              <w:bottom w:val="single" w:sz="4" w:space="0" w:color="auto"/>
              <w:right w:val="single" w:sz="4" w:space="0" w:color="auto"/>
            </w:tcBorders>
          </w:tcPr>
          <w:p w14:paraId="120EF09A" w14:textId="43FE4AD4" w:rsidR="00265766" w:rsidRPr="009E686F" w:rsidRDefault="00265766" w:rsidP="00265766">
            <w:pPr>
              <w:jc w:val="both"/>
              <w:rPr>
                <w:rFonts w:ascii="Times New Roman" w:hAnsi="Times New Roman" w:cs="Times New Roman"/>
                <w:lang w:val="it-IT"/>
              </w:rPr>
            </w:pPr>
            <w:r w:rsidRPr="009E686F">
              <w:rPr>
                <w:rFonts w:ascii="Times New Roman" w:hAnsi="Times New Roman" w:cs="Times New Roman"/>
                <w:lang w:val="it-IT"/>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227B4974" w14:textId="77777777" w:rsidR="00A94677" w:rsidRPr="009E686F" w:rsidRDefault="00A94677" w:rsidP="00A94677">
            <w:r w:rsidRPr="009E686F">
              <w:rPr>
                <w:rFonts w:ascii="Times New Roman" w:hAnsi="Times New Roman" w:cs="Times New Roman"/>
                <w:lang w:val="ro-RO"/>
              </w:rPr>
              <w:t>În vigoare – data aderării.</w:t>
            </w:r>
          </w:p>
          <w:p w14:paraId="6230F984" w14:textId="77777777" w:rsidR="00265766" w:rsidRPr="009E686F" w:rsidRDefault="00265766" w:rsidP="00265766">
            <w:pPr>
              <w:spacing w:after="0"/>
              <w:jc w:val="both"/>
              <w:rPr>
                <w:rFonts w:ascii="Times New Roman" w:hAnsi="Times New Roman" w:cs="Times New Roman"/>
                <w:lang w:val="it-IT"/>
              </w:rPr>
            </w:pPr>
          </w:p>
        </w:tc>
      </w:tr>
      <w:tr w:rsidR="00265766" w:rsidRPr="009E686F" w14:paraId="2819B587" w14:textId="77777777" w:rsidTr="00E17A07">
        <w:trPr>
          <w:trHeight w:val="7179"/>
        </w:trPr>
        <w:tc>
          <w:tcPr>
            <w:tcW w:w="1890" w:type="pct"/>
            <w:tcBorders>
              <w:top w:val="single" w:sz="4" w:space="0" w:color="auto"/>
              <w:left w:val="single" w:sz="4" w:space="0" w:color="auto"/>
              <w:bottom w:val="single" w:sz="4" w:space="0" w:color="auto"/>
              <w:right w:val="single" w:sz="4" w:space="0" w:color="auto"/>
            </w:tcBorders>
          </w:tcPr>
          <w:p w14:paraId="5AD30585" w14:textId="77777777" w:rsidR="00265766" w:rsidRPr="009E686F" w:rsidDel="002D6675" w:rsidRDefault="00265766" w:rsidP="00265766">
            <w:pPr>
              <w:spacing w:after="0"/>
              <w:jc w:val="both"/>
              <w:rPr>
                <w:rFonts w:ascii="Times New Roman" w:hAnsi="Times New Roman" w:cs="Times New Roman"/>
                <w:lang w:val="it-IT"/>
              </w:rPr>
            </w:pPr>
            <w:r w:rsidRPr="009E686F">
              <w:rPr>
                <w:rFonts w:ascii="Times New Roman" w:hAnsi="Times New Roman" w:cs="Times New Roman"/>
                <w:lang w:val="it-IT"/>
              </w:rPr>
              <w:lastRenderedPageBreak/>
              <w:t>(6) Până la 10 iulie 2026, ABE emite ghiduri, în conformitate cu articolul 16 din Regulamentul (UE) nr. 1093/2010, pentru a preciza mai detaliat:</w:t>
            </w:r>
          </w:p>
          <w:p w14:paraId="6C87A930" w14:textId="77777777" w:rsidR="00265766" w:rsidRPr="009E686F" w:rsidDel="002D6675" w:rsidRDefault="00265766" w:rsidP="00265766">
            <w:pPr>
              <w:spacing w:after="0"/>
              <w:jc w:val="both"/>
              <w:rPr>
                <w:rFonts w:ascii="Times New Roman" w:hAnsi="Times New Roman" w:cs="Times New Roman"/>
                <w:lang w:val="it-IT"/>
              </w:rPr>
            </w:pPr>
            <w:r w:rsidRPr="009E686F">
              <w:rPr>
                <w:rFonts w:ascii="Times New Roman" w:hAnsi="Times New Roman" w:cs="Times New Roman"/>
                <w:lang w:val="it-IT"/>
              </w:rPr>
              <w:t>(a) procedurile și metodologiile comune pentru procesul de supraveghere și evaluare menționat la prezentul articol și pentru evaluarea modului în care sunt tratate riscurile semnificative;</w:t>
            </w:r>
          </w:p>
          <w:p w14:paraId="6C8FA7AD" w14:textId="77777777" w:rsidR="00265766" w:rsidRPr="009E686F" w:rsidDel="002D6675" w:rsidRDefault="00265766" w:rsidP="00265766">
            <w:pPr>
              <w:spacing w:after="0"/>
              <w:jc w:val="both"/>
              <w:rPr>
                <w:rFonts w:ascii="Times New Roman" w:hAnsi="Times New Roman" w:cs="Times New Roman"/>
                <w:lang w:val="it-IT"/>
              </w:rPr>
            </w:pPr>
            <w:r w:rsidRPr="009E686F">
              <w:rPr>
                <w:rFonts w:ascii="Times New Roman" w:hAnsi="Times New Roman" w:cs="Times New Roman"/>
                <w:lang w:val="it-IT"/>
              </w:rPr>
              <w:t>(b) mecanismele de cooperare și schimb de informații dintre autoritățile menționate la alineatul (5) de la prezentul articol, în special în contextul identificării unor încălcări grave ale normelor privind combaterea spălării banilor sau a finanțării terorismului;</w:t>
            </w:r>
          </w:p>
          <w:p w14:paraId="5E20902E" w14:textId="77777777" w:rsidR="00265766" w:rsidRPr="009E686F" w:rsidDel="002D6675" w:rsidRDefault="00265766" w:rsidP="00265766">
            <w:pPr>
              <w:spacing w:after="0"/>
              <w:jc w:val="both"/>
              <w:rPr>
                <w:rFonts w:ascii="Times New Roman" w:hAnsi="Times New Roman" w:cs="Times New Roman"/>
                <w:lang w:val="it-IT"/>
              </w:rPr>
            </w:pPr>
            <w:r w:rsidRPr="009E686F">
              <w:rPr>
                <w:rFonts w:ascii="Times New Roman" w:hAnsi="Times New Roman" w:cs="Times New Roman"/>
                <w:lang w:val="it-IT"/>
              </w:rPr>
              <w:t>(c) autoritatea responsabilă cu supravegherea combaterii spălării banilor sau a finanțării terorismului în statul membru în conformitate cu Directiva (UE) 2015/849 în contextul aplicării articolului 27b alineatul (2), a articolului 48c alineatul (5) și a articolului 48d alineatul (3) din prezenta directivă.</w:t>
            </w:r>
          </w:p>
          <w:p w14:paraId="5DE052CC" w14:textId="22482A20" w:rsidR="00265766" w:rsidRPr="009E686F" w:rsidDel="002D6675" w:rsidRDefault="00265766" w:rsidP="00265766">
            <w:pPr>
              <w:spacing w:after="0"/>
              <w:jc w:val="both"/>
              <w:rPr>
                <w:rFonts w:ascii="Times New Roman" w:hAnsi="Times New Roman" w:cs="Times New Roman"/>
                <w:lang w:val="it-IT"/>
              </w:rPr>
            </w:pPr>
            <w:r w:rsidRPr="009E686F">
              <w:rPr>
                <w:rFonts w:ascii="Times New Roman" w:hAnsi="Times New Roman" w:cs="Times New Roman"/>
                <w:lang w:val="it-IT"/>
              </w:rPr>
              <w:t>În sensul literei (a) de la primul paragraf, procedurile și metodologiile menționate la litera respectivă se stabilesc într-un mod proporțional cu clasificarea sucursalelor din țări terțe în clasa 1 sau clasa 2, precum și cu alte criterii adecvate, cum ar fi natura, amploarea și complexitatea activităților lor.</w:t>
            </w:r>
          </w:p>
        </w:tc>
        <w:tc>
          <w:tcPr>
            <w:tcW w:w="1834" w:type="pct"/>
            <w:tcBorders>
              <w:top w:val="single" w:sz="4" w:space="0" w:color="auto"/>
              <w:left w:val="single" w:sz="4" w:space="0" w:color="auto"/>
              <w:bottom w:val="single" w:sz="4" w:space="0" w:color="auto"/>
              <w:right w:val="single" w:sz="4" w:space="0" w:color="auto"/>
            </w:tcBorders>
          </w:tcPr>
          <w:p w14:paraId="706304D2" w14:textId="77777777" w:rsidR="00265766" w:rsidRPr="009E686F" w:rsidRDefault="00265766" w:rsidP="00265766">
            <w:pPr>
              <w:spacing w:after="0"/>
              <w:jc w:val="both"/>
              <w:rPr>
                <w:rFonts w:ascii="Times New Roman" w:hAnsi="Times New Roman" w:cs="Times New Roman"/>
                <w:b/>
                <w:lang w:val="it-IT"/>
              </w:rPr>
            </w:pPr>
          </w:p>
        </w:tc>
        <w:tc>
          <w:tcPr>
            <w:tcW w:w="470" w:type="pct"/>
            <w:tcBorders>
              <w:top w:val="single" w:sz="4" w:space="0" w:color="auto"/>
              <w:left w:val="single" w:sz="4" w:space="0" w:color="auto"/>
              <w:bottom w:val="single" w:sz="4" w:space="0" w:color="auto"/>
              <w:right w:val="single" w:sz="4" w:space="0" w:color="auto"/>
            </w:tcBorders>
          </w:tcPr>
          <w:p w14:paraId="21BCD438" w14:textId="2A94A001" w:rsidR="00265766" w:rsidRPr="009E686F" w:rsidRDefault="00265766" w:rsidP="00265766">
            <w:pPr>
              <w:spacing w:after="0"/>
              <w:jc w:val="both"/>
              <w:rPr>
                <w:rFonts w:ascii="Times New Roman" w:hAnsi="Times New Roman" w:cs="Times New Roman"/>
                <w:lang w:val="it-IT"/>
              </w:rPr>
            </w:pPr>
            <w:r w:rsidRPr="009E686F">
              <w:rPr>
                <w:rFonts w:ascii="Times New Roman" w:hAnsi="Times New Roman" w:cs="Times New Roman"/>
                <w:lang w:val="it-IT"/>
              </w:rPr>
              <w:t>Norme UE neaplicabile</w:t>
            </w:r>
          </w:p>
        </w:tc>
        <w:tc>
          <w:tcPr>
            <w:tcW w:w="806" w:type="pct"/>
            <w:tcBorders>
              <w:top w:val="single" w:sz="4" w:space="0" w:color="auto"/>
              <w:left w:val="single" w:sz="4" w:space="0" w:color="auto"/>
              <w:right w:val="single" w:sz="4" w:space="0" w:color="auto"/>
            </w:tcBorders>
          </w:tcPr>
          <w:p w14:paraId="64263059" w14:textId="2EB1DD55" w:rsidR="00265766" w:rsidRPr="009E686F" w:rsidRDefault="00265766" w:rsidP="00265766">
            <w:pPr>
              <w:spacing w:after="0"/>
              <w:jc w:val="both"/>
              <w:rPr>
                <w:rFonts w:ascii="Times New Roman" w:hAnsi="Times New Roman" w:cs="Times New Roman"/>
                <w:lang w:val="it-IT"/>
              </w:rPr>
            </w:pPr>
            <w:r w:rsidRPr="009E686F">
              <w:rPr>
                <w:rFonts w:ascii="Times New Roman" w:hAnsi="Times New Roman" w:cs="Times New Roman"/>
                <w:lang w:val="it-IT"/>
              </w:rPr>
              <w:t>Se referă la competențele ABE.</w:t>
            </w:r>
          </w:p>
        </w:tc>
      </w:tr>
      <w:tr w:rsidR="00A94677" w:rsidRPr="009E686F" w14:paraId="22AB3986" w14:textId="77777777" w:rsidTr="00E92D59">
        <w:tc>
          <w:tcPr>
            <w:tcW w:w="1890" w:type="pct"/>
            <w:tcBorders>
              <w:top w:val="single" w:sz="4" w:space="0" w:color="auto"/>
              <w:left w:val="single" w:sz="4" w:space="0" w:color="auto"/>
              <w:bottom w:val="single" w:sz="4" w:space="0" w:color="auto"/>
              <w:right w:val="single" w:sz="4" w:space="0" w:color="auto"/>
            </w:tcBorders>
          </w:tcPr>
          <w:p w14:paraId="2A51AF7F" w14:textId="77777777" w:rsidR="00A94677" w:rsidRPr="009E686F" w:rsidRDefault="00A94677" w:rsidP="00265766">
            <w:pPr>
              <w:spacing w:after="0"/>
              <w:jc w:val="both"/>
              <w:rPr>
                <w:rFonts w:ascii="Times New Roman" w:hAnsi="Times New Roman" w:cs="Times New Roman"/>
                <w:i/>
                <w:iCs/>
                <w:lang w:val="pt-BR"/>
              </w:rPr>
            </w:pPr>
            <w:r w:rsidRPr="009E686F">
              <w:rPr>
                <w:rFonts w:ascii="Times New Roman" w:hAnsi="Times New Roman" w:cs="Times New Roman"/>
                <w:i/>
                <w:iCs/>
                <w:lang w:val="pt-BR"/>
              </w:rPr>
              <w:t xml:space="preserve">Articolul 48o </w:t>
            </w:r>
          </w:p>
          <w:p w14:paraId="631FC8FA" w14:textId="758C8185" w:rsidR="00A94677" w:rsidRPr="009E686F" w:rsidDel="002D6675" w:rsidRDefault="00A94677" w:rsidP="00265766">
            <w:pPr>
              <w:spacing w:after="0"/>
              <w:jc w:val="both"/>
              <w:rPr>
                <w:rFonts w:ascii="Times New Roman" w:hAnsi="Times New Roman" w:cs="Times New Roman"/>
                <w:lang w:val="pt-BR"/>
              </w:rPr>
            </w:pPr>
            <w:r w:rsidRPr="009E686F">
              <w:rPr>
                <w:rFonts w:ascii="Times New Roman" w:hAnsi="Times New Roman" w:cs="Times New Roman"/>
                <w:lang w:val="pt-BR"/>
              </w:rPr>
              <w:t>Măsuri și competențe de supraveghere</w:t>
            </w:r>
          </w:p>
        </w:tc>
        <w:tc>
          <w:tcPr>
            <w:tcW w:w="1834" w:type="pct"/>
            <w:tcBorders>
              <w:top w:val="single" w:sz="4" w:space="0" w:color="auto"/>
              <w:left w:val="single" w:sz="4" w:space="0" w:color="auto"/>
              <w:bottom w:val="single" w:sz="4" w:space="0" w:color="auto"/>
              <w:right w:val="single" w:sz="4" w:space="0" w:color="auto"/>
            </w:tcBorders>
          </w:tcPr>
          <w:p w14:paraId="1C429C45" w14:textId="72A48406" w:rsidR="00A94677" w:rsidRPr="009E686F" w:rsidRDefault="00A94677" w:rsidP="00265766">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b/>
                <w:bCs/>
                <w:kern w:val="2"/>
                <w:lang w:val="ro-MD"/>
              </w:rPr>
              <w:t>Articolul 108</w:t>
            </w:r>
            <w:r w:rsidRPr="009E686F">
              <w:rPr>
                <w:rFonts w:ascii="Times New Roman" w:eastAsia="Aptos" w:hAnsi="Times New Roman" w:cs="Times New Roman"/>
                <w:b/>
                <w:bCs/>
                <w:kern w:val="2"/>
                <w:vertAlign w:val="superscript"/>
                <w:lang w:val="ro-MD"/>
              </w:rPr>
              <w:t>4</w:t>
            </w:r>
            <w:r w:rsidRPr="009E686F">
              <w:rPr>
                <w:rFonts w:ascii="Times New Roman" w:eastAsia="Aptos" w:hAnsi="Times New Roman" w:cs="Times New Roman"/>
                <w:b/>
                <w:bCs/>
                <w:kern w:val="2"/>
                <w:lang w:val="ro-MD"/>
              </w:rPr>
              <w:t>.</w:t>
            </w:r>
            <w:r w:rsidRPr="009E686F">
              <w:rPr>
                <w:rFonts w:ascii="Times New Roman" w:eastAsia="Aptos" w:hAnsi="Times New Roman" w:cs="Times New Roman"/>
                <w:kern w:val="2"/>
                <w:lang w:val="ro-MD"/>
              </w:rPr>
              <w:t xml:space="preserve"> </w:t>
            </w:r>
            <w:r w:rsidRPr="009E686F">
              <w:rPr>
                <w:rFonts w:ascii="Times New Roman" w:eastAsia="Aptos" w:hAnsi="Times New Roman" w:cs="Times New Roman"/>
                <w:i/>
                <w:iCs/>
                <w:kern w:val="2"/>
                <w:lang w:val="ro-MD"/>
              </w:rPr>
              <w:t>Măsuri și competențe de supraveghere</w:t>
            </w:r>
            <w:r w:rsidRPr="009E686F">
              <w:rPr>
                <w:rFonts w:ascii="Times New Roman" w:eastAsia="Aptos" w:hAnsi="Times New Roman" w:cs="Times New Roman"/>
                <w:kern w:val="2"/>
                <w:lang w:val="ro-MD"/>
              </w:rPr>
              <w:t xml:space="preserve"> </w:t>
            </w:r>
          </w:p>
          <w:p w14:paraId="7B24EC4F" w14:textId="77777777" w:rsidR="00A94677" w:rsidRPr="009E686F" w:rsidRDefault="00A94677" w:rsidP="00265766">
            <w:pPr>
              <w:spacing w:after="0"/>
              <w:jc w:val="both"/>
              <w:rPr>
                <w:rFonts w:ascii="Times New Roman" w:hAnsi="Times New Roman" w:cs="Times New Roman"/>
                <w:b/>
                <w:lang w:val="pt-BR"/>
              </w:rPr>
            </w:pPr>
          </w:p>
        </w:tc>
        <w:tc>
          <w:tcPr>
            <w:tcW w:w="470" w:type="pct"/>
            <w:tcBorders>
              <w:top w:val="single" w:sz="4" w:space="0" w:color="auto"/>
              <w:left w:val="single" w:sz="4" w:space="0" w:color="auto"/>
              <w:bottom w:val="single" w:sz="4" w:space="0" w:color="auto"/>
              <w:right w:val="single" w:sz="4" w:space="0" w:color="auto"/>
            </w:tcBorders>
          </w:tcPr>
          <w:p w14:paraId="528A7F58" w14:textId="03259FC7" w:rsidR="00A94677" w:rsidRPr="009E686F" w:rsidRDefault="00A94677" w:rsidP="00265766">
            <w:pPr>
              <w:jc w:val="both"/>
              <w:rPr>
                <w:rFonts w:ascii="Times New Roman" w:hAnsi="Times New Roman" w:cs="Times New Roman"/>
                <w:lang w:val="pt-BR"/>
              </w:rPr>
            </w:pPr>
            <w:r w:rsidRPr="009E686F">
              <w:rPr>
                <w:rFonts w:ascii="Times New Roman" w:hAnsi="Times New Roman" w:cs="Times New Roman"/>
                <w:lang w:val="pt-BR"/>
              </w:rPr>
              <w:t>Compatibil</w:t>
            </w:r>
          </w:p>
        </w:tc>
        <w:tc>
          <w:tcPr>
            <w:tcW w:w="806" w:type="pct"/>
            <w:vMerge w:val="restart"/>
            <w:tcBorders>
              <w:top w:val="single" w:sz="4" w:space="0" w:color="auto"/>
              <w:left w:val="single" w:sz="4" w:space="0" w:color="auto"/>
              <w:right w:val="single" w:sz="4" w:space="0" w:color="auto"/>
            </w:tcBorders>
          </w:tcPr>
          <w:p w14:paraId="3FAE0AFA" w14:textId="77777777" w:rsidR="00A94677" w:rsidRPr="009E686F" w:rsidRDefault="00A94677" w:rsidP="00A94677">
            <w:r w:rsidRPr="009E686F">
              <w:rPr>
                <w:rFonts w:ascii="Times New Roman" w:hAnsi="Times New Roman" w:cs="Times New Roman"/>
                <w:lang w:val="ro-RO"/>
              </w:rPr>
              <w:t>În vigoare – data aderării.</w:t>
            </w:r>
          </w:p>
          <w:p w14:paraId="26443B7F" w14:textId="77777777" w:rsidR="00A94677" w:rsidRPr="009E686F" w:rsidRDefault="00A94677" w:rsidP="00265766">
            <w:pPr>
              <w:spacing w:after="0"/>
              <w:jc w:val="both"/>
              <w:rPr>
                <w:rFonts w:ascii="Times New Roman" w:hAnsi="Times New Roman" w:cs="Times New Roman"/>
                <w:lang w:val="pt-BR"/>
              </w:rPr>
            </w:pPr>
          </w:p>
        </w:tc>
      </w:tr>
      <w:tr w:rsidR="00A94677" w:rsidRPr="009E686F" w14:paraId="3BEDB8C4" w14:textId="77777777" w:rsidTr="00E92D59">
        <w:trPr>
          <w:trHeight w:val="943"/>
        </w:trPr>
        <w:tc>
          <w:tcPr>
            <w:tcW w:w="1890" w:type="pct"/>
            <w:tcBorders>
              <w:top w:val="single" w:sz="4" w:space="0" w:color="auto"/>
              <w:left w:val="single" w:sz="4" w:space="0" w:color="auto"/>
              <w:bottom w:val="single" w:sz="4" w:space="0" w:color="auto"/>
              <w:right w:val="single" w:sz="4" w:space="0" w:color="auto"/>
            </w:tcBorders>
          </w:tcPr>
          <w:p w14:paraId="7BD5C43B" w14:textId="31583411" w:rsidR="00A94677" w:rsidRPr="009E686F" w:rsidDel="002D6675" w:rsidRDefault="00A94677" w:rsidP="00265766">
            <w:pPr>
              <w:spacing w:after="0"/>
              <w:jc w:val="both"/>
              <w:rPr>
                <w:rFonts w:ascii="Times New Roman" w:hAnsi="Times New Roman" w:cs="Times New Roman"/>
                <w:lang w:val="it-CH"/>
              </w:rPr>
            </w:pPr>
            <w:r w:rsidRPr="009E686F">
              <w:rPr>
                <w:rFonts w:ascii="Times New Roman" w:hAnsi="Times New Roman" w:cs="Times New Roman"/>
                <w:lang w:val="it-CH"/>
              </w:rPr>
              <w:t>(1) Autoritățile competente prevăd obligația ca sucursalele din țări terțe să ia măsurile necesare într-un stadiu incipient, astfel încât:</w:t>
            </w:r>
          </w:p>
        </w:tc>
        <w:tc>
          <w:tcPr>
            <w:tcW w:w="1834" w:type="pct"/>
            <w:tcBorders>
              <w:top w:val="single" w:sz="4" w:space="0" w:color="auto"/>
              <w:left w:val="single" w:sz="4" w:space="0" w:color="auto"/>
              <w:bottom w:val="single" w:sz="4" w:space="0" w:color="auto"/>
              <w:right w:val="single" w:sz="4" w:space="0" w:color="auto"/>
            </w:tcBorders>
          </w:tcPr>
          <w:p w14:paraId="6B0BD85E" w14:textId="77777777" w:rsidR="00A94677" w:rsidRPr="009E686F" w:rsidRDefault="00A94677" w:rsidP="00265766">
            <w:pPr>
              <w:spacing w:after="0" w:line="278" w:lineRule="auto"/>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 xml:space="preserve">(1) Sucursalele din state terțe trebuie să ia măsurile necesare într-un stadiu incipient, astfel încât: </w:t>
            </w:r>
          </w:p>
          <w:p w14:paraId="78723EFE" w14:textId="77777777" w:rsidR="00A94677" w:rsidRPr="009E686F" w:rsidRDefault="00A94677" w:rsidP="00265766">
            <w:pPr>
              <w:spacing w:after="0"/>
              <w:jc w:val="both"/>
              <w:rPr>
                <w:rFonts w:ascii="Times New Roman" w:hAnsi="Times New Roman" w:cs="Times New Roman"/>
                <w:b/>
                <w:i/>
                <w:lang w:val="it-CH"/>
              </w:rPr>
            </w:pPr>
          </w:p>
        </w:tc>
        <w:tc>
          <w:tcPr>
            <w:tcW w:w="470" w:type="pct"/>
            <w:tcBorders>
              <w:top w:val="single" w:sz="4" w:space="0" w:color="auto"/>
              <w:left w:val="single" w:sz="4" w:space="0" w:color="auto"/>
              <w:bottom w:val="single" w:sz="4" w:space="0" w:color="auto"/>
              <w:right w:val="single" w:sz="4" w:space="0" w:color="auto"/>
            </w:tcBorders>
          </w:tcPr>
          <w:p w14:paraId="51E79799" w14:textId="62746874" w:rsidR="00A94677" w:rsidRPr="009E686F" w:rsidRDefault="00A94677" w:rsidP="00265766">
            <w:pPr>
              <w:jc w:val="both"/>
              <w:rPr>
                <w:rFonts w:ascii="Times New Roman" w:hAnsi="Times New Roman" w:cs="Times New Roman"/>
                <w:lang w:val="pt-BR"/>
              </w:rPr>
            </w:pPr>
            <w:r w:rsidRPr="009E686F">
              <w:rPr>
                <w:rFonts w:ascii="Times New Roman" w:hAnsi="Times New Roman" w:cs="Times New Roman"/>
                <w:lang w:val="pt-BR"/>
              </w:rPr>
              <w:t>Compatibil</w:t>
            </w:r>
          </w:p>
        </w:tc>
        <w:tc>
          <w:tcPr>
            <w:tcW w:w="806" w:type="pct"/>
            <w:vMerge/>
            <w:tcBorders>
              <w:left w:val="single" w:sz="4" w:space="0" w:color="auto"/>
              <w:right w:val="single" w:sz="4" w:space="0" w:color="auto"/>
            </w:tcBorders>
          </w:tcPr>
          <w:p w14:paraId="3CAFB634" w14:textId="77777777" w:rsidR="00A94677" w:rsidRPr="009E686F" w:rsidRDefault="00A94677" w:rsidP="00265766">
            <w:pPr>
              <w:spacing w:after="0"/>
              <w:jc w:val="both"/>
              <w:rPr>
                <w:rFonts w:ascii="Times New Roman" w:hAnsi="Times New Roman" w:cs="Times New Roman"/>
                <w:lang w:val="pt-BR"/>
              </w:rPr>
            </w:pPr>
          </w:p>
        </w:tc>
      </w:tr>
      <w:tr w:rsidR="00A94677" w:rsidRPr="009E686F" w14:paraId="1A896618" w14:textId="77777777" w:rsidTr="00E92D59">
        <w:trPr>
          <w:trHeight w:val="1256"/>
        </w:trPr>
        <w:tc>
          <w:tcPr>
            <w:tcW w:w="1890" w:type="pct"/>
            <w:tcBorders>
              <w:top w:val="single" w:sz="4" w:space="0" w:color="auto"/>
              <w:left w:val="single" w:sz="4" w:space="0" w:color="auto"/>
              <w:bottom w:val="single" w:sz="4" w:space="0" w:color="auto"/>
              <w:right w:val="single" w:sz="4" w:space="0" w:color="auto"/>
            </w:tcBorders>
          </w:tcPr>
          <w:p w14:paraId="23D44554" w14:textId="720E3031" w:rsidR="00A94677" w:rsidRPr="009E686F" w:rsidDel="002D6675" w:rsidRDefault="00A94677" w:rsidP="00265766">
            <w:pPr>
              <w:spacing w:after="0"/>
              <w:jc w:val="both"/>
              <w:rPr>
                <w:rFonts w:ascii="Times New Roman" w:hAnsi="Times New Roman" w:cs="Times New Roman"/>
              </w:rPr>
            </w:pPr>
            <w:r w:rsidRPr="009E686F">
              <w:rPr>
                <w:rFonts w:ascii="Times New Roman" w:hAnsi="Times New Roman" w:cs="Times New Roman"/>
              </w:rPr>
              <w:lastRenderedPageBreak/>
              <w:t>(a) să se asigure faptul că sucursalele din țări terțe respectă cerințele care li se aplică în temeiul prezentei directive și al dreptul intern sau să se restabilească respectarea cerințelor respective; și</w:t>
            </w:r>
          </w:p>
        </w:tc>
        <w:tc>
          <w:tcPr>
            <w:tcW w:w="1834" w:type="pct"/>
            <w:tcBorders>
              <w:top w:val="single" w:sz="4" w:space="0" w:color="auto"/>
              <w:left w:val="single" w:sz="4" w:space="0" w:color="auto"/>
              <w:bottom w:val="single" w:sz="4" w:space="0" w:color="auto"/>
              <w:right w:val="single" w:sz="4" w:space="0" w:color="auto"/>
            </w:tcBorders>
          </w:tcPr>
          <w:p w14:paraId="0C73DEAB" w14:textId="4F3C45E9" w:rsidR="00A94677" w:rsidRPr="009E686F" w:rsidRDefault="00A94677" w:rsidP="00265766">
            <w:pPr>
              <w:spacing w:after="0" w:line="278" w:lineRule="auto"/>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 xml:space="preserve">a) să se asigure faptul că acestea respectă cerințele care li se aplică în temeiul prezentei legi și a actelor normative ale Băncii Naționale a Moldovei </w:t>
            </w:r>
            <w:r w:rsidR="00AC008D" w:rsidRPr="009E686F">
              <w:rPr>
                <w:rFonts w:ascii="Times New Roman" w:eastAsia="Aptos" w:hAnsi="Times New Roman" w:cs="Times New Roman"/>
                <w:i/>
                <w:iCs/>
                <w:kern w:val="2"/>
                <w:lang w:val="ro-MD"/>
              </w:rPr>
              <w:t xml:space="preserve">emise în aplicarea prezentei legi </w:t>
            </w:r>
            <w:r w:rsidRPr="009E686F">
              <w:rPr>
                <w:rFonts w:ascii="Times New Roman" w:eastAsia="Aptos" w:hAnsi="Times New Roman" w:cs="Times New Roman"/>
                <w:i/>
                <w:iCs/>
                <w:kern w:val="2"/>
                <w:lang w:val="ro-MD"/>
              </w:rPr>
              <w:t xml:space="preserve">sau să se restabilească respectarea cerințelor respective; și </w:t>
            </w:r>
          </w:p>
        </w:tc>
        <w:tc>
          <w:tcPr>
            <w:tcW w:w="470" w:type="pct"/>
            <w:tcBorders>
              <w:top w:val="single" w:sz="4" w:space="0" w:color="auto"/>
              <w:left w:val="single" w:sz="4" w:space="0" w:color="auto"/>
              <w:bottom w:val="single" w:sz="4" w:space="0" w:color="auto"/>
              <w:right w:val="single" w:sz="4" w:space="0" w:color="auto"/>
            </w:tcBorders>
          </w:tcPr>
          <w:p w14:paraId="5431EF41" w14:textId="26D80FD2" w:rsidR="00A94677" w:rsidRPr="009E686F" w:rsidRDefault="00A94677" w:rsidP="00265766">
            <w:pPr>
              <w:jc w:val="both"/>
              <w:rPr>
                <w:rFonts w:ascii="Times New Roman" w:hAnsi="Times New Roman" w:cs="Times New Roman"/>
                <w:lang w:val="pt-BR"/>
              </w:rPr>
            </w:pPr>
            <w:r w:rsidRPr="009E686F">
              <w:rPr>
                <w:rFonts w:ascii="Times New Roman" w:hAnsi="Times New Roman" w:cs="Times New Roman"/>
                <w:lang w:val="pt-BR"/>
              </w:rPr>
              <w:t>Compatibil</w:t>
            </w:r>
          </w:p>
        </w:tc>
        <w:tc>
          <w:tcPr>
            <w:tcW w:w="806" w:type="pct"/>
            <w:vMerge/>
            <w:tcBorders>
              <w:left w:val="single" w:sz="4" w:space="0" w:color="auto"/>
              <w:right w:val="single" w:sz="4" w:space="0" w:color="auto"/>
            </w:tcBorders>
          </w:tcPr>
          <w:p w14:paraId="1AB4861A" w14:textId="77777777" w:rsidR="00A94677" w:rsidRPr="009E686F" w:rsidRDefault="00A94677" w:rsidP="00265766">
            <w:pPr>
              <w:spacing w:after="0"/>
              <w:jc w:val="both"/>
              <w:rPr>
                <w:rFonts w:ascii="Times New Roman" w:hAnsi="Times New Roman" w:cs="Times New Roman"/>
                <w:lang w:val="pt-BR"/>
              </w:rPr>
            </w:pPr>
          </w:p>
        </w:tc>
      </w:tr>
      <w:tr w:rsidR="00A94677" w:rsidRPr="009E686F" w14:paraId="7DDEA002" w14:textId="77777777" w:rsidTr="00E92D59">
        <w:tc>
          <w:tcPr>
            <w:tcW w:w="1890" w:type="pct"/>
            <w:tcBorders>
              <w:top w:val="single" w:sz="4" w:space="0" w:color="auto"/>
              <w:left w:val="single" w:sz="4" w:space="0" w:color="auto"/>
              <w:bottom w:val="single" w:sz="4" w:space="0" w:color="auto"/>
              <w:right w:val="single" w:sz="4" w:space="0" w:color="auto"/>
            </w:tcBorders>
          </w:tcPr>
          <w:p w14:paraId="1730166E" w14:textId="53F61BD6" w:rsidR="00A94677" w:rsidRPr="009E686F" w:rsidDel="002D6675" w:rsidRDefault="00A94677" w:rsidP="00265766">
            <w:pPr>
              <w:spacing w:after="0"/>
              <w:jc w:val="both"/>
              <w:rPr>
                <w:rFonts w:ascii="Times New Roman" w:hAnsi="Times New Roman" w:cs="Times New Roman"/>
              </w:rPr>
            </w:pPr>
            <w:r w:rsidRPr="009E686F">
              <w:rPr>
                <w:rFonts w:ascii="Times New Roman" w:hAnsi="Times New Roman" w:cs="Times New Roman"/>
              </w:rPr>
              <w:t>(b) să se asigure faptul că riscurile semnificative la care sunt expuse sucursalele din țări terțe sunt acoperite și gestionate în mod corespunzător și suficient și că sucursalele respective rămân viabile.</w:t>
            </w:r>
          </w:p>
        </w:tc>
        <w:tc>
          <w:tcPr>
            <w:tcW w:w="1834" w:type="pct"/>
            <w:tcBorders>
              <w:top w:val="single" w:sz="4" w:space="0" w:color="auto"/>
              <w:left w:val="single" w:sz="4" w:space="0" w:color="auto"/>
              <w:bottom w:val="single" w:sz="4" w:space="0" w:color="auto"/>
              <w:right w:val="single" w:sz="4" w:space="0" w:color="auto"/>
            </w:tcBorders>
          </w:tcPr>
          <w:p w14:paraId="69632B57" w14:textId="1C66525D" w:rsidR="00A94677" w:rsidRPr="009E686F" w:rsidRDefault="00A94677" w:rsidP="00265766">
            <w:pPr>
              <w:spacing w:after="0"/>
              <w:jc w:val="both"/>
              <w:rPr>
                <w:rFonts w:ascii="Times New Roman" w:hAnsi="Times New Roman" w:cs="Times New Roman"/>
                <w:b/>
                <w:i/>
              </w:rPr>
            </w:pPr>
            <w:r w:rsidRPr="009E686F">
              <w:rPr>
                <w:rFonts w:ascii="Times New Roman" w:eastAsia="Aptos" w:hAnsi="Times New Roman" w:cs="Times New Roman"/>
                <w:i/>
                <w:iCs/>
                <w:kern w:val="2"/>
                <w:lang w:val="ro-MD"/>
              </w:rPr>
              <w:t>b) să se asigure faptul că riscurile semnificative la care acestea sunt expuse sunt acoperite și gestionate în mod corespunzător și suficient și că sucursalele respective rămân viabile.</w:t>
            </w:r>
          </w:p>
        </w:tc>
        <w:tc>
          <w:tcPr>
            <w:tcW w:w="470" w:type="pct"/>
            <w:tcBorders>
              <w:top w:val="single" w:sz="4" w:space="0" w:color="auto"/>
              <w:left w:val="single" w:sz="4" w:space="0" w:color="auto"/>
              <w:bottom w:val="single" w:sz="4" w:space="0" w:color="auto"/>
              <w:right w:val="single" w:sz="4" w:space="0" w:color="auto"/>
            </w:tcBorders>
          </w:tcPr>
          <w:p w14:paraId="1C828F09" w14:textId="49E3B16C" w:rsidR="00A94677" w:rsidRPr="009E686F" w:rsidRDefault="00A94677" w:rsidP="00265766">
            <w:pPr>
              <w:jc w:val="both"/>
              <w:rPr>
                <w:rFonts w:ascii="Times New Roman" w:hAnsi="Times New Roman" w:cs="Times New Roman"/>
                <w:lang w:val="pt-BR"/>
              </w:rPr>
            </w:pPr>
            <w:r w:rsidRPr="009E686F">
              <w:rPr>
                <w:rFonts w:ascii="Times New Roman" w:hAnsi="Times New Roman" w:cs="Times New Roman"/>
                <w:lang w:val="pt-BR"/>
              </w:rPr>
              <w:t>Compatibil</w:t>
            </w:r>
          </w:p>
        </w:tc>
        <w:tc>
          <w:tcPr>
            <w:tcW w:w="806" w:type="pct"/>
            <w:vMerge/>
            <w:tcBorders>
              <w:left w:val="single" w:sz="4" w:space="0" w:color="auto"/>
              <w:bottom w:val="single" w:sz="4" w:space="0" w:color="auto"/>
              <w:right w:val="single" w:sz="4" w:space="0" w:color="auto"/>
            </w:tcBorders>
          </w:tcPr>
          <w:p w14:paraId="57B60B5C" w14:textId="77777777" w:rsidR="00A94677" w:rsidRPr="009E686F" w:rsidRDefault="00A94677" w:rsidP="00265766">
            <w:pPr>
              <w:spacing w:after="0"/>
              <w:jc w:val="both"/>
              <w:rPr>
                <w:rFonts w:ascii="Times New Roman" w:hAnsi="Times New Roman" w:cs="Times New Roman"/>
                <w:lang w:val="pt-BR"/>
              </w:rPr>
            </w:pPr>
          </w:p>
        </w:tc>
      </w:tr>
      <w:tr w:rsidR="00A94677" w:rsidRPr="009E686F" w14:paraId="4CEA1C6B" w14:textId="77777777" w:rsidTr="008D1DBE">
        <w:tc>
          <w:tcPr>
            <w:tcW w:w="1890" w:type="pct"/>
            <w:tcBorders>
              <w:top w:val="single" w:sz="4" w:space="0" w:color="auto"/>
              <w:left w:val="single" w:sz="4" w:space="0" w:color="auto"/>
              <w:bottom w:val="single" w:sz="4" w:space="0" w:color="auto"/>
              <w:right w:val="single" w:sz="4" w:space="0" w:color="auto"/>
            </w:tcBorders>
          </w:tcPr>
          <w:p w14:paraId="09E69CA9" w14:textId="1F82F848" w:rsidR="00A94677" w:rsidRPr="009E686F" w:rsidDel="002D6675" w:rsidRDefault="00A94677" w:rsidP="00265766">
            <w:pPr>
              <w:spacing w:after="0"/>
              <w:jc w:val="both"/>
              <w:rPr>
                <w:rFonts w:ascii="Times New Roman" w:hAnsi="Times New Roman" w:cs="Times New Roman"/>
                <w:lang w:val="pt-BR"/>
              </w:rPr>
            </w:pPr>
            <w:r w:rsidRPr="009E686F">
              <w:rPr>
                <w:rFonts w:ascii="Times New Roman" w:hAnsi="Times New Roman" w:cs="Times New Roman"/>
                <w:lang w:val="pt-BR"/>
              </w:rPr>
              <w:t>(2) În sensul alineatului (1), competențele autorităților competente includ cel puțin competența de a impune sucursalelor din țări terțe obligația:</w:t>
            </w:r>
          </w:p>
        </w:tc>
        <w:tc>
          <w:tcPr>
            <w:tcW w:w="1834" w:type="pct"/>
            <w:tcBorders>
              <w:top w:val="single" w:sz="4" w:space="0" w:color="auto"/>
              <w:left w:val="single" w:sz="4" w:space="0" w:color="auto"/>
              <w:bottom w:val="single" w:sz="4" w:space="0" w:color="auto"/>
              <w:right w:val="single" w:sz="4" w:space="0" w:color="auto"/>
            </w:tcBorders>
          </w:tcPr>
          <w:p w14:paraId="32506A59" w14:textId="77777777" w:rsidR="00A94677" w:rsidRPr="009E686F" w:rsidRDefault="00A94677" w:rsidP="00265766">
            <w:pPr>
              <w:spacing w:after="0" w:line="278" w:lineRule="auto"/>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 xml:space="preserve">(2) În sensul alin. (1), Banca Națională a Moldovei poate impune sucursalelor din state terțe următoarele: </w:t>
            </w:r>
          </w:p>
          <w:p w14:paraId="08C87F0F" w14:textId="77777777" w:rsidR="00A94677" w:rsidRPr="009E686F" w:rsidRDefault="00A94677" w:rsidP="00265766">
            <w:pPr>
              <w:spacing w:after="0"/>
              <w:jc w:val="both"/>
              <w:rPr>
                <w:rFonts w:ascii="Times New Roman" w:hAnsi="Times New Roman" w:cs="Times New Roman"/>
                <w:b/>
                <w:i/>
                <w:iCs/>
                <w:lang w:val="ro-MD"/>
              </w:rPr>
            </w:pPr>
          </w:p>
        </w:tc>
        <w:tc>
          <w:tcPr>
            <w:tcW w:w="470" w:type="pct"/>
            <w:tcBorders>
              <w:top w:val="single" w:sz="4" w:space="0" w:color="auto"/>
              <w:left w:val="single" w:sz="4" w:space="0" w:color="auto"/>
              <w:bottom w:val="single" w:sz="4" w:space="0" w:color="auto"/>
              <w:right w:val="single" w:sz="4" w:space="0" w:color="auto"/>
            </w:tcBorders>
          </w:tcPr>
          <w:p w14:paraId="0EBF0897" w14:textId="3F1A56AC" w:rsidR="00A94677" w:rsidRPr="009E686F" w:rsidRDefault="00A94677" w:rsidP="00265766">
            <w:pPr>
              <w:jc w:val="both"/>
              <w:rPr>
                <w:rFonts w:ascii="Times New Roman" w:hAnsi="Times New Roman" w:cs="Times New Roman"/>
                <w:lang w:val="it-IT"/>
              </w:rPr>
            </w:pPr>
            <w:r w:rsidRPr="009E686F">
              <w:rPr>
                <w:rFonts w:ascii="Times New Roman" w:hAnsi="Times New Roman" w:cs="Times New Roman"/>
                <w:lang w:val="pt-BR"/>
              </w:rPr>
              <w:t>Compatibil</w:t>
            </w:r>
          </w:p>
        </w:tc>
        <w:tc>
          <w:tcPr>
            <w:tcW w:w="806" w:type="pct"/>
            <w:vMerge w:val="restart"/>
            <w:tcBorders>
              <w:top w:val="single" w:sz="4" w:space="0" w:color="auto"/>
              <w:left w:val="single" w:sz="4" w:space="0" w:color="auto"/>
              <w:right w:val="single" w:sz="4" w:space="0" w:color="auto"/>
            </w:tcBorders>
          </w:tcPr>
          <w:p w14:paraId="6FE948AE" w14:textId="77777777" w:rsidR="00A94677" w:rsidRPr="009E686F" w:rsidRDefault="00A94677" w:rsidP="00A94677">
            <w:r w:rsidRPr="009E686F">
              <w:rPr>
                <w:rFonts w:ascii="Times New Roman" w:hAnsi="Times New Roman" w:cs="Times New Roman"/>
                <w:lang w:val="ro-RO"/>
              </w:rPr>
              <w:t>În vigoare – data aderării.</w:t>
            </w:r>
          </w:p>
          <w:p w14:paraId="51B94DCA" w14:textId="77777777" w:rsidR="00A94677" w:rsidRPr="009E686F" w:rsidRDefault="00A94677" w:rsidP="00265766">
            <w:pPr>
              <w:spacing w:after="0"/>
              <w:jc w:val="both"/>
              <w:rPr>
                <w:rFonts w:ascii="Times New Roman" w:hAnsi="Times New Roman" w:cs="Times New Roman"/>
                <w:lang w:val="it-IT"/>
              </w:rPr>
            </w:pPr>
          </w:p>
        </w:tc>
      </w:tr>
      <w:tr w:rsidR="00A94677" w:rsidRPr="009E686F" w14:paraId="0D15C309" w14:textId="77777777" w:rsidTr="008D1DBE">
        <w:tc>
          <w:tcPr>
            <w:tcW w:w="1890" w:type="pct"/>
            <w:tcBorders>
              <w:top w:val="single" w:sz="4" w:space="0" w:color="auto"/>
              <w:left w:val="single" w:sz="4" w:space="0" w:color="auto"/>
              <w:bottom w:val="single" w:sz="4" w:space="0" w:color="auto"/>
              <w:right w:val="single" w:sz="4" w:space="0" w:color="auto"/>
            </w:tcBorders>
          </w:tcPr>
          <w:p w14:paraId="404E60B7" w14:textId="27FEEECB" w:rsidR="00A94677" w:rsidRPr="009E686F" w:rsidDel="002D6675" w:rsidRDefault="00A94677" w:rsidP="00265766">
            <w:pPr>
              <w:spacing w:after="0"/>
              <w:jc w:val="both"/>
              <w:rPr>
                <w:rFonts w:ascii="Times New Roman" w:hAnsi="Times New Roman" w:cs="Times New Roman"/>
                <w:lang w:val="it-CH"/>
              </w:rPr>
            </w:pPr>
            <w:r w:rsidRPr="009E686F">
              <w:rPr>
                <w:rFonts w:ascii="Times New Roman" w:hAnsi="Times New Roman" w:cs="Times New Roman"/>
                <w:lang w:val="it-CH"/>
              </w:rPr>
              <w:t>(a) de a deține capital de dotare într-un cuantum mai mare decât cerințele minime prevăzute la articolul 48e sau de a respecta alte cerințe suplimentare de capital; orice cuantum suplimentar al capitalului de dotare care trebuie deținut de sucursala dintr-o țară terță în conformitate cu prezenta literă respectă cerințele prevăzute la articolul 48e;</w:t>
            </w:r>
          </w:p>
        </w:tc>
        <w:tc>
          <w:tcPr>
            <w:tcW w:w="1834" w:type="pct"/>
            <w:tcBorders>
              <w:top w:val="single" w:sz="4" w:space="0" w:color="auto"/>
              <w:left w:val="single" w:sz="4" w:space="0" w:color="auto"/>
              <w:bottom w:val="single" w:sz="4" w:space="0" w:color="auto"/>
              <w:right w:val="single" w:sz="4" w:space="0" w:color="auto"/>
            </w:tcBorders>
          </w:tcPr>
          <w:p w14:paraId="02DB21C2" w14:textId="09048B54" w:rsidR="00A94677" w:rsidRPr="009E686F" w:rsidRDefault="00A94677" w:rsidP="00265766">
            <w:pPr>
              <w:spacing w:after="0" w:line="278" w:lineRule="auto"/>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a) de a deține capital de dotare într-un cuantum mai mare decât cerințele minime prevăzute de prezenta lege sau de a respecta alte cerințe suplimentare de capital, cu condiția îndeplinirii cerințelor prevăzute la 94</w:t>
            </w:r>
            <w:r w:rsidRPr="009E686F">
              <w:rPr>
                <w:rFonts w:ascii="Times New Roman" w:eastAsia="Aptos" w:hAnsi="Times New Roman" w:cs="Times New Roman"/>
                <w:i/>
                <w:iCs/>
                <w:kern w:val="2"/>
                <w:vertAlign w:val="superscript"/>
                <w:lang w:val="ro-MD"/>
              </w:rPr>
              <w:t>1</w:t>
            </w:r>
            <w:r w:rsidRPr="009E686F">
              <w:rPr>
                <w:rFonts w:ascii="Times New Roman" w:eastAsia="Aptos" w:hAnsi="Times New Roman" w:cs="Times New Roman"/>
                <w:i/>
                <w:iCs/>
                <w:kern w:val="2"/>
                <w:lang w:val="ro-MD"/>
              </w:rPr>
              <w:t xml:space="preserve">; </w:t>
            </w:r>
          </w:p>
          <w:p w14:paraId="6E6DDF1D" w14:textId="77777777" w:rsidR="00A94677" w:rsidRPr="009E686F" w:rsidRDefault="00A94677" w:rsidP="00265766">
            <w:pPr>
              <w:spacing w:after="0"/>
              <w:jc w:val="both"/>
              <w:rPr>
                <w:rFonts w:ascii="Times New Roman" w:hAnsi="Times New Roman" w:cs="Times New Roman"/>
                <w:b/>
                <w:i/>
                <w:lang w:val="it-CH"/>
              </w:rPr>
            </w:pPr>
          </w:p>
        </w:tc>
        <w:tc>
          <w:tcPr>
            <w:tcW w:w="470" w:type="pct"/>
            <w:tcBorders>
              <w:top w:val="single" w:sz="4" w:space="0" w:color="auto"/>
              <w:left w:val="single" w:sz="4" w:space="0" w:color="auto"/>
              <w:bottom w:val="single" w:sz="4" w:space="0" w:color="auto"/>
              <w:right w:val="single" w:sz="4" w:space="0" w:color="auto"/>
            </w:tcBorders>
          </w:tcPr>
          <w:p w14:paraId="08154483" w14:textId="707BE789" w:rsidR="00A94677" w:rsidRPr="009E686F" w:rsidRDefault="00A94677" w:rsidP="00265766">
            <w:pPr>
              <w:jc w:val="both"/>
              <w:rPr>
                <w:rFonts w:ascii="Times New Roman" w:hAnsi="Times New Roman" w:cs="Times New Roman"/>
                <w:lang w:val="it-IT"/>
              </w:rPr>
            </w:pPr>
            <w:r w:rsidRPr="009E686F">
              <w:rPr>
                <w:rFonts w:ascii="Times New Roman" w:hAnsi="Times New Roman" w:cs="Times New Roman"/>
                <w:lang w:val="pt-BR"/>
              </w:rPr>
              <w:t>Compatibil</w:t>
            </w:r>
          </w:p>
        </w:tc>
        <w:tc>
          <w:tcPr>
            <w:tcW w:w="806" w:type="pct"/>
            <w:vMerge/>
            <w:tcBorders>
              <w:left w:val="single" w:sz="4" w:space="0" w:color="auto"/>
              <w:right w:val="single" w:sz="4" w:space="0" w:color="auto"/>
            </w:tcBorders>
          </w:tcPr>
          <w:p w14:paraId="32F21B80" w14:textId="77777777" w:rsidR="00A94677" w:rsidRPr="009E686F" w:rsidRDefault="00A94677" w:rsidP="00265766">
            <w:pPr>
              <w:spacing w:after="0"/>
              <w:jc w:val="both"/>
              <w:rPr>
                <w:rFonts w:ascii="Times New Roman" w:hAnsi="Times New Roman" w:cs="Times New Roman"/>
                <w:lang w:val="it-IT"/>
              </w:rPr>
            </w:pPr>
          </w:p>
        </w:tc>
      </w:tr>
      <w:tr w:rsidR="00A94677" w:rsidRPr="009E686F" w14:paraId="5F42D5C6" w14:textId="77777777" w:rsidTr="008D1DBE">
        <w:tc>
          <w:tcPr>
            <w:tcW w:w="1890" w:type="pct"/>
            <w:tcBorders>
              <w:top w:val="single" w:sz="4" w:space="0" w:color="auto"/>
              <w:left w:val="single" w:sz="4" w:space="0" w:color="auto"/>
              <w:bottom w:val="single" w:sz="4" w:space="0" w:color="auto"/>
              <w:right w:val="single" w:sz="4" w:space="0" w:color="auto"/>
            </w:tcBorders>
          </w:tcPr>
          <w:p w14:paraId="2D38B8DC" w14:textId="44143E6C" w:rsidR="00A94677" w:rsidRPr="009E686F" w:rsidDel="002D6675" w:rsidRDefault="00A94677" w:rsidP="00265766">
            <w:pPr>
              <w:spacing w:after="0"/>
              <w:jc w:val="both"/>
              <w:rPr>
                <w:rFonts w:ascii="Times New Roman" w:hAnsi="Times New Roman" w:cs="Times New Roman"/>
                <w:lang w:val="it-CH"/>
              </w:rPr>
            </w:pPr>
            <w:r w:rsidRPr="009E686F">
              <w:rPr>
                <w:rFonts w:ascii="Times New Roman" w:hAnsi="Times New Roman" w:cs="Times New Roman"/>
                <w:lang w:val="it-CH"/>
              </w:rPr>
              <w:t>(b) de a întruni alte cerințe specifice de lichiditate, pe lângă cerințele prevăzute la articolul 48f; orice active lichide suplimentare care trebuie deținute de sucursala dintr-o țară terță în conformitate cu prezenta literă respectă cerințele prevăzute la articolul 48f;</w:t>
            </w:r>
          </w:p>
        </w:tc>
        <w:tc>
          <w:tcPr>
            <w:tcW w:w="1834" w:type="pct"/>
            <w:tcBorders>
              <w:top w:val="single" w:sz="4" w:space="0" w:color="auto"/>
              <w:left w:val="single" w:sz="4" w:space="0" w:color="auto"/>
              <w:bottom w:val="single" w:sz="4" w:space="0" w:color="auto"/>
              <w:right w:val="single" w:sz="4" w:space="0" w:color="auto"/>
            </w:tcBorders>
          </w:tcPr>
          <w:p w14:paraId="47DA12C6" w14:textId="5B7F1D5F" w:rsidR="00A94677" w:rsidRPr="009E686F" w:rsidRDefault="00A94677" w:rsidP="00265766">
            <w:pPr>
              <w:spacing w:after="0" w:line="278" w:lineRule="auto"/>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b) de a întruni alte cerințe specifice de lichiditate, pe lângă cerințele prevăzute la art. 94</w:t>
            </w:r>
            <w:r w:rsidRPr="009E686F">
              <w:rPr>
                <w:rFonts w:ascii="Times New Roman" w:eastAsia="Aptos" w:hAnsi="Times New Roman" w:cs="Times New Roman"/>
                <w:i/>
                <w:iCs/>
                <w:kern w:val="2"/>
                <w:vertAlign w:val="superscript"/>
                <w:lang w:val="ro-MD"/>
              </w:rPr>
              <w:t>2</w:t>
            </w:r>
            <w:r w:rsidRPr="009E686F">
              <w:rPr>
                <w:rFonts w:ascii="Times New Roman" w:eastAsia="Aptos" w:hAnsi="Times New Roman" w:cs="Times New Roman"/>
                <w:i/>
                <w:iCs/>
                <w:kern w:val="2"/>
                <w:lang w:val="ro-MD"/>
              </w:rPr>
              <w:t>, cu condiția respectării cerințelor prevăzute la articolul respectiv;</w:t>
            </w:r>
          </w:p>
          <w:p w14:paraId="6F5B24D9" w14:textId="77777777" w:rsidR="00A94677" w:rsidRPr="009E686F" w:rsidRDefault="00A94677" w:rsidP="00265766">
            <w:pPr>
              <w:spacing w:after="0"/>
              <w:jc w:val="both"/>
              <w:rPr>
                <w:rFonts w:ascii="Times New Roman" w:hAnsi="Times New Roman" w:cs="Times New Roman"/>
                <w:b/>
                <w:lang w:val="it-CH"/>
              </w:rPr>
            </w:pPr>
          </w:p>
        </w:tc>
        <w:tc>
          <w:tcPr>
            <w:tcW w:w="470" w:type="pct"/>
            <w:tcBorders>
              <w:top w:val="single" w:sz="4" w:space="0" w:color="auto"/>
              <w:left w:val="single" w:sz="4" w:space="0" w:color="auto"/>
              <w:bottom w:val="single" w:sz="4" w:space="0" w:color="auto"/>
              <w:right w:val="single" w:sz="4" w:space="0" w:color="auto"/>
            </w:tcBorders>
          </w:tcPr>
          <w:p w14:paraId="16A18E19" w14:textId="0E871CAB" w:rsidR="00A94677" w:rsidRPr="009E686F" w:rsidRDefault="00A94677" w:rsidP="00265766">
            <w:pPr>
              <w:jc w:val="both"/>
              <w:rPr>
                <w:rFonts w:ascii="Times New Roman" w:hAnsi="Times New Roman" w:cs="Times New Roman"/>
                <w:lang w:val="it-IT"/>
              </w:rPr>
            </w:pPr>
            <w:r w:rsidRPr="009E686F">
              <w:rPr>
                <w:rFonts w:ascii="Times New Roman" w:hAnsi="Times New Roman" w:cs="Times New Roman"/>
                <w:lang w:val="pt-BR"/>
              </w:rPr>
              <w:t>Compatibil</w:t>
            </w:r>
          </w:p>
        </w:tc>
        <w:tc>
          <w:tcPr>
            <w:tcW w:w="806" w:type="pct"/>
            <w:vMerge/>
            <w:tcBorders>
              <w:left w:val="single" w:sz="4" w:space="0" w:color="auto"/>
              <w:right w:val="single" w:sz="4" w:space="0" w:color="auto"/>
            </w:tcBorders>
          </w:tcPr>
          <w:p w14:paraId="4ED512E6" w14:textId="77777777" w:rsidR="00A94677" w:rsidRPr="009E686F" w:rsidRDefault="00A94677" w:rsidP="00265766">
            <w:pPr>
              <w:spacing w:after="0"/>
              <w:jc w:val="both"/>
              <w:rPr>
                <w:rFonts w:ascii="Times New Roman" w:hAnsi="Times New Roman" w:cs="Times New Roman"/>
                <w:lang w:val="it-IT"/>
              </w:rPr>
            </w:pPr>
          </w:p>
        </w:tc>
      </w:tr>
      <w:tr w:rsidR="00A94677" w:rsidRPr="009E686F" w14:paraId="24EE7D4A" w14:textId="77777777" w:rsidTr="008D1DBE">
        <w:tc>
          <w:tcPr>
            <w:tcW w:w="1890" w:type="pct"/>
            <w:tcBorders>
              <w:top w:val="single" w:sz="4" w:space="0" w:color="auto"/>
              <w:left w:val="single" w:sz="4" w:space="0" w:color="auto"/>
              <w:bottom w:val="single" w:sz="4" w:space="0" w:color="auto"/>
              <w:right w:val="single" w:sz="4" w:space="0" w:color="auto"/>
            </w:tcBorders>
          </w:tcPr>
          <w:p w14:paraId="5BB5A719" w14:textId="13057EC1" w:rsidR="00A94677" w:rsidRPr="009E686F" w:rsidDel="002D6675" w:rsidRDefault="00A94677" w:rsidP="00265766">
            <w:pPr>
              <w:spacing w:after="0"/>
              <w:jc w:val="both"/>
              <w:rPr>
                <w:rFonts w:ascii="Times New Roman" w:hAnsi="Times New Roman" w:cs="Times New Roman"/>
                <w:lang w:val="pt-BR"/>
              </w:rPr>
            </w:pPr>
            <w:r w:rsidRPr="009E686F">
              <w:rPr>
                <w:rFonts w:ascii="Times New Roman" w:hAnsi="Times New Roman" w:cs="Times New Roman"/>
                <w:lang w:val="pt-BR"/>
              </w:rPr>
              <w:t>(c) de a-și consolida mecanismele în materie de guvernanță, de gestionare a riscurilor sau contabilizare;</w:t>
            </w:r>
          </w:p>
        </w:tc>
        <w:tc>
          <w:tcPr>
            <w:tcW w:w="1834" w:type="pct"/>
            <w:tcBorders>
              <w:top w:val="single" w:sz="4" w:space="0" w:color="auto"/>
              <w:left w:val="single" w:sz="4" w:space="0" w:color="auto"/>
              <w:bottom w:val="single" w:sz="4" w:space="0" w:color="auto"/>
              <w:right w:val="single" w:sz="4" w:space="0" w:color="auto"/>
            </w:tcBorders>
          </w:tcPr>
          <w:p w14:paraId="1D25ACBF" w14:textId="1BAF4E29" w:rsidR="00A94677" w:rsidRPr="009E686F" w:rsidRDefault="00A94677" w:rsidP="00265766">
            <w:pPr>
              <w:spacing w:after="0" w:line="278" w:lineRule="auto"/>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 xml:space="preserve">c) de a-și consolida mecanismele în materie de guvernanță, de gestionare a riscurilor sau contabilizare; </w:t>
            </w:r>
          </w:p>
        </w:tc>
        <w:tc>
          <w:tcPr>
            <w:tcW w:w="470" w:type="pct"/>
            <w:tcBorders>
              <w:top w:val="single" w:sz="4" w:space="0" w:color="auto"/>
              <w:left w:val="single" w:sz="4" w:space="0" w:color="auto"/>
              <w:bottom w:val="single" w:sz="4" w:space="0" w:color="auto"/>
              <w:right w:val="single" w:sz="4" w:space="0" w:color="auto"/>
            </w:tcBorders>
          </w:tcPr>
          <w:p w14:paraId="4960D887" w14:textId="36E140B4" w:rsidR="00A94677" w:rsidRPr="009E686F" w:rsidRDefault="00A94677" w:rsidP="00265766">
            <w:pPr>
              <w:jc w:val="both"/>
              <w:rPr>
                <w:rFonts w:ascii="Times New Roman" w:hAnsi="Times New Roman" w:cs="Times New Roman"/>
                <w:lang w:val="pt-BR"/>
              </w:rPr>
            </w:pPr>
            <w:r w:rsidRPr="009E686F">
              <w:rPr>
                <w:rFonts w:ascii="Times New Roman" w:hAnsi="Times New Roman" w:cs="Times New Roman"/>
                <w:lang w:val="pt-BR"/>
              </w:rPr>
              <w:t>Compatibil</w:t>
            </w:r>
          </w:p>
        </w:tc>
        <w:tc>
          <w:tcPr>
            <w:tcW w:w="806" w:type="pct"/>
            <w:vMerge/>
            <w:tcBorders>
              <w:left w:val="single" w:sz="4" w:space="0" w:color="auto"/>
              <w:right w:val="single" w:sz="4" w:space="0" w:color="auto"/>
            </w:tcBorders>
          </w:tcPr>
          <w:p w14:paraId="235F9547" w14:textId="77777777" w:rsidR="00A94677" w:rsidRPr="009E686F" w:rsidRDefault="00A94677" w:rsidP="00265766">
            <w:pPr>
              <w:spacing w:after="0"/>
              <w:jc w:val="both"/>
              <w:rPr>
                <w:rFonts w:ascii="Times New Roman" w:hAnsi="Times New Roman" w:cs="Times New Roman"/>
                <w:lang w:val="pt-BR"/>
              </w:rPr>
            </w:pPr>
          </w:p>
        </w:tc>
      </w:tr>
      <w:tr w:rsidR="00A94677" w:rsidRPr="009E686F" w14:paraId="362D1E24" w14:textId="77777777" w:rsidTr="008D1DBE">
        <w:tc>
          <w:tcPr>
            <w:tcW w:w="1890" w:type="pct"/>
            <w:tcBorders>
              <w:top w:val="single" w:sz="4" w:space="0" w:color="auto"/>
              <w:left w:val="single" w:sz="4" w:space="0" w:color="auto"/>
              <w:bottom w:val="single" w:sz="4" w:space="0" w:color="auto"/>
              <w:right w:val="single" w:sz="4" w:space="0" w:color="auto"/>
            </w:tcBorders>
          </w:tcPr>
          <w:p w14:paraId="4EEC1971" w14:textId="125AC113" w:rsidR="00A94677" w:rsidRPr="009E686F" w:rsidDel="002D6675" w:rsidRDefault="00A94677" w:rsidP="00265766">
            <w:pPr>
              <w:spacing w:after="0"/>
              <w:jc w:val="both"/>
              <w:rPr>
                <w:rFonts w:ascii="Times New Roman" w:hAnsi="Times New Roman" w:cs="Times New Roman"/>
                <w:lang w:val="it-CH"/>
              </w:rPr>
            </w:pPr>
            <w:r w:rsidRPr="009E686F">
              <w:rPr>
                <w:rFonts w:ascii="Times New Roman" w:hAnsi="Times New Roman" w:cs="Times New Roman"/>
                <w:lang w:val="it-CH"/>
              </w:rPr>
              <w:t>(d) de a restricționa sau limita domeniul de aplicare al operațiunilor lor sau al activităților pe care le desfășoară, precum și contrapărțile la activitățile respective;</w:t>
            </w:r>
          </w:p>
        </w:tc>
        <w:tc>
          <w:tcPr>
            <w:tcW w:w="1834" w:type="pct"/>
            <w:tcBorders>
              <w:top w:val="single" w:sz="4" w:space="0" w:color="auto"/>
              <w:left w:val="single" w:sz="4" w:space="0" w:color="auto"/>
              <w:bottom w:val="single" w:sz="4" w:space="0" w:color="auto"/>
              <w:right w:val="single" w:sz="4" w:space="0" w:color="auto"/>
            </w:tcBorders>
          </w:tcPr>
          <w:p w14:paraId="4F4B7111" w14:textId="4B7184A4" w:rsidR="00A94677" w:rsidRPr="009E686F" w:rsidRDefault="00A94677" w:rsidP="00265766">
            <w:pPr>
              <w:spacing w:after="0" w:line="278" w:lineRule="auto"/>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 xml:space="preserve">d) de a restricționa sau limita domeniul de aplicare al operațiunilor lor sau al activităților pe care le desfășoară, precum și contrapărțile la activitățile respective; </w:t>
            </w:r>
          </w:p>
        </w:tc>
        <w:tc>
          <w:tcPr>
            <w:tcW w:w="470" w:type="pct"/>
            <w:tcBorders>
              <w:top w:val="single" w:sz="4" w:space="0" w:color="auto"/>
              <w:left w:val="single" w:sz="4" w:space="0" w:color="auto"/>
              <w:bottom w:val="single" w:sz="4" w:space="0" w:color="auto"/>
              <w:right w:val="single" w:sz="4" w:space="0" w:color="auto"/>
            </w:tcBorders>
          </w:tcPr>
          <w:p w14:paraId="1C3D739E" w14:textId="7A7C18B2" w:rsidR="00A94677" w:rsidRPr="009E686F" w:rsidRDefault="00A94677" w:rsidP="00265766">
            <w:pPr>
              <w:jc w:val="both"/>
              <w:rPr>
                <w:rFonts w:ascii="Times New Roman" w:hAnsi="Times New Roman" w:cs="Times New Roman"/>
                <w:lang w:val="pt-BR"/>
              </w:rPr>
            </w:pPr>
            <w:r w:rsidRPr="009E686F">
              <w:rPr>
                <w:rFonts w:ascii="Times New Roman" w:hAnsi="Times New Roman" w:cs="Times New Roman"/>
                <w:lang w:val="pt-BR"/>
              </w:rPr>
              <w:t>Compatibil</w:t>
            </w:r>
          </w:p>
        </w:tc>
        <w:tc>
          <w:tcPr>
            <w:tcW w:w="806" w:type="pct"/>
            <w:vMerge/>
            <w:tcBorders>
              <w:left w:val="single" w:sz="4" w:space="0" w:color="auto"/>
              <w:right w:val="single" w:sz="4" w:space="0" w:color="auto"/>
            </w:tcBorders>
          </w:tcPr>
          <w:p w14:paraId="7C893116" w14:textId="77777777" w:rsidR="00A94677" w:rsidRPr="009E686F" w:rsidRDefault="00A94677" w:rsidP="00265766">
            <w:pPr>
              <w:spacing w:after="0"/>
              <w:jc w:val="both"/>
              <w:rPr>
                <w:rFonts w:ascii="Times New Roman" w:hAnsi="Times New Roman" w:cs="Times New Roman"/>
                <w:lang w:val="pt-BR"/>
              </w:rPr>
            </w:pPr>
          </w:p>
        </w:tc>
      </w:tr>
      <w:tr w:rsidR="00A94677" w:rsidRPr="009E686F" w14:paraId="3EC1BEDF" w14:textId="77777777" w:rsidTr="00894320">
        <w:tc>
          <w:tcPr>
            <w:tcW w:w="1890" w:type="pct"/>
            <w:tcBorders>
              <w:top w:val="single" w:sz="4" w:space="0" w:color="auto"/>
              <w:left w:val="single" w:sz="4" w:space="0" w:color="auto"/>
              <w:bottom w:val="single" w:sz="4" w:space="0" w:color="auto"/>
              <w:right w:val="single" w:sz="4" w:space="0" w:color="auto"/>
            </w:tcBorders>
          </w:tcPr>
          <w:p w14:paraId="1008E3A5" w14:textId="52F1F0B3" w:rsidR="00A94677" w:rsidRPr="009E686F" w:rsidDel="002D6675" w:rsidRDefault="00A94677" w:rsidP="00265766">
            <w:pPr>
              <w:spacing w:after="0"/>
              <w:jc w:val="both"/>
              <w:rPr>
                <w:rFonts w:ascii="Times New Roman" w:hAnsi="Times New Roman" w:cs="Times New Roman"/>
                <w:lang w:val="pt-BR"/>
              </w:rPr>
            </w:pPr>
            <w:r w:rsidRPr="009E686F">
              <w:rPr>
                <w:rFonts w:ascii="Times New Roman" w:hAnsi="Times New Roman" w:cs="Times New Roman"/>
                <w:lang w:val="pt-BR"/>
              </w:rPr>
              <w:t xml:space="preserve">(e) de a reduce riscul inerent activităților, produselor și sistemelor lor, inclusiv activităților externalizate, și de a nu se </w:t>
            </w:r>
            <w:r w:rsidRPr="009E686F">
              <w:rPr>
                <w:rFonts w:ascii="Times New Roman" w:hAnsi="Times New Roman" w:cs="Times New Roman"/>
                <w:lang w:val="pt-BR"/>
              </w:rPr>
              <w:lastRenderedPageBreak/>
              <w:t>mai implica în astfel de activități sau de a nu mai oferi astfel de produse;</w:t>
            </w:r>
          </w:p>
        </w:tc>
        <w:tc>
          <w:tcPr>
            <w:tcW w:w="1834" w:type="pct"/>
            <w:tcBorders>
              <w:top w:val="single" w:sz="4" w:space="0" w:color="auto"/>
              <w:left w:val="single" w:sz="4" w:space="0" w:color="auto"/>
              <w:bottom w:val="single" w:sz="4" w:space="0" w:color="auto"/>
              <w:right w:val="single" w:sz="4" w:space="0" w:color="auto"/>
            </w:tcBorders>
          </w:tcPr>
          <w:p w14:paraId="2E934FEF" w14:textId="77777777" w:rsidR="00A94677" w:rsidRPr="009E686F" w:rsidRDefault="00A94677" w:rsidP="00265766">
            <w:pPr>
              <w:spacing w:after="0" w:line="278" w:lineRule="auto"/>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lastRenderedPageBreak/>
              <w:t xml:space="preserve">e) de a reduce riscul inerent activităților, produselor și sistemelor lor, inclusiv activităților externalizate, și de a nu </w:t>
            </w:r>
            <w:r w:rsidRPr="009E686F">
              <w:rPr>
                <w:rFonts w:ascii="Times New Roman" w:eastAsia="Aptos" w:hAnsi="Times New Roman" w:cs="Times New Roman"/>
                <w:i/>
                <w:iCs/>
                <w:kern w:val="2"/>
                <w:lang w:val="ro-MD"/>
              </w:rPr>
              <w:lastRenderedPageBreak/>
              <w:t>se mai implica în astfel de activități sau de a nu mai oferi astfel de produse;</w:t>
            </w:r>
          </w:p>
          <w:p w14:paraId="0A0747F3" w14:textId="77777777" w:rsidR="00A94677" w:rsidRPr="009E686F" w:rsidRDefault="00A94677" w:rsidP="00265766">
            <w:pPr>
              <w:spacing w:after="0"/>
              <w:jc w:val="both"/>
              <w:rPr>
                <w:rFonts w:ascii="Times New Roman" w:hAnsi="Times New Roman" w:cs="Times New Roman"/>
                <w:b/>
                <w:i/>
                <w:iCs/>
                <w:lang w:val="pt-BR"/>
              </w:rPr>
            </w:pPr>
          </w:p>
        </w:tc>
        <w:tc>
          <w:tcPr>
            <w:tcW w:w="470" w:type="pct"/>
            <w:tcBorders>
              <w:top w:val="single" w:sz="4" w:space="0" w:color="auto"/>
              <w:left w:val="single" w:sz="4" w:space="0" w:color="auto"/>
              <w:bottom w:val="single" w:sz="4" w:space="0" w:color="auto"/>
              <w:right w:val="single" w:sz="4" w:space="0" w:color="auto"/>
            </w:tcBorders>
          </w:tcPr>
          <w:p w14:paraId="545FFC4F" w14:textId="05CC66AB" w:rsidR="00A94677" w:rsidRPr="009E686F" w:rsidRDefault="00A94677" w:rsidP="00265766">
            <w:pPr>
              <w:jc w:val="both"/>
              <w:rPr>
                <w:rFonts w:ascii="Times New Roman" w:hAnsi="Times New Roman" w:cs="Times New Roman"/>
                <w:lang w:val="pt-BR"/>
              </w:rPr>
            </w:pPr>
            <w:r w:rsidRPr="009E686F">
              <w:rPr>
                <w:rFonts w:ascii="Times New Roman" w:hAnsi="Times New Roman" w:cs="Times New Roman"/>
                <w:lang w:val="pt-BR"/>
              </w:rPr>
              <w:lastRenderedPageBreak/>
              <w:t>Compatibil</w:t>
            </w:r>
          </w:p>
        </w:tc>
        <w:tc>
          <w:tcPr>
            <w:tcW w:w="806" w:type="pct"/>
            <w:vMerge/>
            <w:tcBorders>
              <w:left w:val="single" w:sz="4" w:space="0" w:color="auto"/>
              <w:right w:val="single" w:sz="4" w:space="0" w:color="auto"/>
            </w:tcBorders>
          </w:tcPr>
          <w:p w14:paraId="015F4409" w14:textId="77777777" w:rsidR="00A94677" w:rsidRPr="009E686F" w:rsidRDefault="00A94677" w:rsidP="00265766">
            <w:pPr>
              <w:spacing w:after="0"/>
              <w:jc w:val="both"/>
              <w:rPr>
                <w:rFonts w:ascii="Times New Roman" w:hAnsi="Times New Roman" w:cs="Times New Roman"/>
                <w:lang w:val="pt-BR"/>
              </w:rPr>
            </w:pPr>
          </w:p>
        </w:tc>
      </w:tr>
      <w:tr w:rsidR="00A94677" w:rsidRPr="009E686F" w14:paraId="2D2B8DDF" w14:textId="77777777" w:rsidTr="00824033">
        <w:tc>
          <w:tcPr>
            <w:tcW w:w="1890" w:type="pct"/>
            <w:tcBorders>
              <w:top w:val="single" w:sz="4" w:space="0" w:color="auto"/>
              <w:left w:val="single" w:sz="4" w:space="0" w:color="auto"/>
              <w:bottom w:val="single" w:sz="4" w:space="0" w:color="auto"/>
              <w:right w:val="single" w:sz="4" w:space="0" w:color="auto"/>
            </w:tcBorders>
          </w:tcPr>
          <w:p w14:paraId="6FB08F68" w14:textId="0B7FF5BE" w:rsidR="00A94677" w:rsidRPr="009E686F" w:rsidDel="002D6675" w:rsidRDefault="00A94677" w:rsidP="00265766">
            <w:pPr>
              <w:spacing w:after="0"/>
              <w:jc w:val="both"/>
              <w:rPr>
                <w:rFonts w:ascii="Times New Roman" w:hAnsi="Times New Roman" w:cs="Times New Roman"/>
                <w:lang w:val="it-CH"/>
              </w:rPr>
            </w:pPr>
            <w:r w:rsidRPr="009E686F">
              <w:rPr>
                <w:rFonts w:ascii="Times New Roman" w:hAnsi="Times New Roman" w:cs="Times New Roman"/>
                <w:lang w:val="it-CH"/>
              </w:rPr>
              <w:t>(f) de a respecta cerințe suplimentare de raportare în conformitate cu articolul 48k alineatul (3) sau de a mări frecvența raportării periodice;</w:t>
            </w:r>
          </w:p>
        </w:tc>
        <w:tc>
          <w:tcPr>
            <w:tcW w:w="1834" w:type="pct"/>
            <w:tcBorders>
              <w:top w:val="single" w:sz="4" w:space="0" w:color="auto"/>
              <w:left w:val="single" w:sz="4" w:space="0" w:color="auto"/>
              <w:bottom w:val="single" w:sz="4" w:space="0" w:color="auto"/>
              <w:right w:val="single" w:sz="4" w:space="0" w:color="auto"/>
            </w:tcBorders>
          </w:tcPr>
          <w:p w14:paraId="6A3FF2D5" w14:textId="0FA4BC31" w:rsidR="00A94677" w:rsidRPr="009E686F" w:rsidRDefault="00A94677" w:rsidP="00265766">
            <w:pPr>
              <w:spacing w:after="0" w:line="278" w:lineRule="auto"/>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(f) de a respecta cerințe suplimentare de raportare prevăzute la art. 95</w:t>
            </w:r>
            <w:r w:rsidRPr="009E686F">
              <w:rPr>
                <w:rFonts w:ascii="Times New Roman" w:eastAsia="Aptos" w:hAnsi="Times New Roman" w:cs="Times New Roman"/>
                <w:i/>
                <w:iCs/>
                <w:kern w:val="2"/>
                <w:vertAlign w:val="superscript"/>
                <w:lang w:val="ro-MD"/>
              </w:rPr>
              <w:t>4</w:t>
            </w:r>
            <w:r w:rsidRPr="009E686F">
              <w:rPr>
                <w:rFonts w:ascii="Times New Roman" w:eastAsia="Aptos" w:hAnsi="Times New Roman" w:cs="Times New Roman"/>
                <w:i/>
                <w:iCs/>
                <w:kern w:val="2"/>
                <w:lang w:val="ro-MD"/>
              </w:rPr>
              <w:t xml:space="preserve"> alin. (3)</w:t>
            </w:r>
            <w:r w:rsidRPr="009E686F">
              <w:rPr>
                <w:rFonts w:ascii="Times New Roman" w:eastAsia="Aptos" w:hAnsi="Times New Roman" w:cs="Times New Roman"/>
                <w:b/>
                <w:bCs/>
                <w:i/>
                <w:iCs/>
                <w:kern w:val="2"/>
                <w:lang w:val="ro-MD"/>
              </w:rPr>
              <w:t xml:space="preserve"> </w:t>
            </w:r>
            <w:r w:rsidRPr="009E686F">
              <w:rPr>
                <w:rFonts w:ascii="Times New Roman" w:eastAsia="Aptos" w:hAnsi="Times New Roman" w:cs="Times New Roman"/>
                <w:i/>
                <w:iCs/>
                <w:kern w:val="2"/>
                <w:lang w:val="ro-MD"/>
              </w:rPr>
              <w:t xml:space="preserve">sau de a crește frecvența raportării periodice; </w:t>
            </w:r>
          </w:p>
        </w:tc>
        <w:tc>
          <w:tcPr>
            <w:tcW w:w="470" w:type="pct"/>
            <w:tcBorders>
              <w:top w:val="single" w:sz="4" w:space="0" w:color="auto"/>
              <w:left w:val="single" w:sz="4" w:space="0" w:color="auto"/>
              <w:bottom w:val="single" w:sz="4" w:space="0" w:color="auto"/>
              <w:right w:val="single" w:sz="4" w:space="0" w:color="auto"/>
            </w:tcBorders>
          </w:tcPr>
          <w:p w14:paraId="3253C7DF" w14:textId="0D8B674B" w:rsidR="00A94677" w:rsidRPr="009E686F" w:rsidRDefault="00A94677" w:rsidP="00265766">
            <w:pPr>
              <w:jc w:val="both"/>
              <w:rPr>
                <w:rFonts w:ascii="Times New Roman" w:hAnsi="Times New Roman" w:cs="Times New Roman"/>
                <w:lang w:val="pt-BR"/>
              </w:rPr>
            </w:pPr>
            <w:r w:rsidRPr="009E686F">
              <w:rPr>
                <w:rFonts w:ascii="Times New Roman" w:hAnsi="Times New Roman" w:cs="Times New Roman"/>
                <w:lang w:val="pt-BR"/>
              </w:rPr>
              <w:t>Compatibil</w:t>
            </w:r>
          </w:p>
        </w:tc>
        <w:tc>
          <w:tcPr>
            <w:tcW w:w="806" w:type="pct"/>
            <w:vMerge/>
            <w:tcBorders>
              <w:left w:val="single" w:sz="4" w:space="0" w:color="auto"/>
              <w:right w:val="single" w:sz="4" w:space="0" w:color="auto"/>
            </w:tcBorders>
          </w:tcPr>
          <w:p w14:paraId="53277E77" w14:textId="77777777" w:rsidR="00A94677" w:rsidRPr="009E686F" w:rsidRDefault="00A94677" w:rsidP="00265766">
            <w:pPr>
              <w:spacing w:after="0"/>
              <w:jc w:val="both"/>
              <w:rPr>
                <w:rFonts w:ascii="Times New Roman" w:hAnsi="Times New Roman" w:cs="Times New Roman"/>
                <w:lang w:val="pt-BR"/>
              </w:rPr>
            </w:pPr>
          </w:p>
        </w:tc>
      </w:tr>
      <w:tr w:rsidR="00A94677" w:rsidRPr="009E686F" w14:paraId="080DBB12" w14:textId="77777777" w:rsidTr="00824033">
        <w:tc>
          <w:tcPr>
            <w:tcW w:w="1890" w:type="pct"/>
            <w:tcBorders>
              <w:top w:val="single" w:sz="4" w:space="0" w:color="auto"/>
              <w:left w:val="single" w:sz="4" w:space="0" w:color="auto"/>
              <w:bottom w:val="single" w:sz="4" w:space="0" w:color="auto"/>
              <w:right w:val="single" w:sz="4" w:space="0" w:color="auto"/>
            </w:tcBorders>
          </w:tcPr>
          <w:p w14:paraId="3711C77A" w14:textId="076A6C12" w:rsidR="00A94677" w:rsidRPr="009E686F" w:rsidDel="002D6675" w:rsidRDefault="00A94677" w:rsidP="00265766">
            <w:pPr>
              <w:spacing w:after="0"/>
              <w:jc w:val="both"/>
              <w:rPr>
                <w:rFonts w:ascii="Times New Roman" w:hAnsi="Times New Roman" w:cs="Times New Roman"/>
                <w:lang w:val="pt-BR"/>
              </w:rPr>
            </w:pPr>
            <w:r w:rsidRPr="009E686F">
              <w:rPr>
                <w:rFonts w:ascii="Times New Roman" w:hAnsi="Times New Roman" w:cs="Times New Roman"/>
                <w:lang w:val="pt-BR"/>
              </w:rPr>
              <w:t>(g) de a publica informații.</w:t>
            </w:r>
          </w:p>
        </w:tc>
        <w:tc>
          <w:tcPr>
            <w:tcW w:w="1834" w:type="pct"/>
            <w:tcBorders>
              <w:top w:val="single" w:sz="4" w:space="0" w:color="auto"/>
              <w:left w:val="single" w:sz="4" w:space="0" w:color="auto"/>
              <w:bottom w:val="single" w:sz="4" w:space="0" w:color="auto"/>
              <w:right w:val="single" w:sz="4" w:space="0" w:color="auto"/>
            </w:tcBorders>
          </w:tcPr>
          <w:p w14:paraId="69547AD1" w14:textId="264CFA24" w:rsidR="00A94677" w:rsidRPr="009E686F" w:rsidRDefault="00A94677" w:rsidP="00265766">
            <w:pPr>
              <w:spacing w:after="0"/>
              <w:jc w:val="both"/>
              <w:rPr>
                <w:rFonts w:ascii="Times New Roman" w:hAnsi="Times New Roman" w:cs="Times New Roman"/>
                <w:b/>
                <w:i/>
                <w:iCs/>
                <w:lang w:val="pt-BR"/>
              </w:rPr>
            </w:pPr>
            <w:r w:rsidRPr="009E686F">
              <w:rPr>
                <w:rFonts w:ascii="Times New Roman" w:eastAsia="Aptos" w:hAnsi="Times New Roman" w:cs="Times New Roman"/>
                <w:i/>
                <w:iCs/>
                <w:kern w:val="2"/>
                <w:lang w:val="ro-MD"/>
              </w:rPr>
              <w:t>g) de a publica informații.</w:t>
            </w:r>
          </w:p>
        </w:tc>
        <w:tc>
          <w:tcPr>
            <w:tcW w:w="470" w:type="pct"/>
            <w:tcBorders>
              <w:top w:val="single" w:sz="4" w:space="0" w:color="auto"/>
              <w:left w:val="single" w:sz="4" w:space="0" w:color="auto"/>
              <w:bottom w:val="single" w:sz="4" w:space="0" w:color="auto"/>
              <w:right w:val="single" w:sz="4" w:space="0" w:color="auto"/>
            </w:tcBorders>
          </w:tcPr>
          <w:p w14:paraId="68F88A93" w14:textId="2FE42E39" w:rsidR="00A94677" w:rsidRPr="009E686F" w:rsidRDefault="00A94677" w:rsidP="00265766">
            <w:pPr>
              <w:jc w:val="both"/>
              <w:rPr>
                <w:rFonts w:ascii="Times New Roman" w:hAnsi="Times New Roman" w:cs="Times New Roman"/>
                <w:lang w:val="pt-BR"/>
              </w:rPr>
            </w:pPr>
            <w:r w:rsidRPr="009E686F">
              <w:rPr>
                <w:rFonts w:ascii="Times New Roman" w:hAnsi="Times New Roman" w:cs="Times New Roman"/>
                <w:lang w:val="pt-BR"/>
              </w:rPr>
              <w:t>Compatibil</w:t>
            </w:r>
          </w:p>
        </w:tc>
        <w:tc>
          <w:tcPr>
            <w:tcW w:w="806" w:type="pct"/>
            <w:vMerge/>
            <w:tcBorders>
              <w:left w:val="single" w:sz="4" w:space="0" w:color="auto"/>
              <w:bottom w:val="single" w:sz="4" w:space="0" w:color="auto"/>
              <w:right w:val="single" w:sz="4" w:space="0" w:color="auto"/>
            </w:tcBorders>
          </w:tcPr>
          <w:p w14:paraId="21E923C3" w14:textId="77777777" w:rsidR="00A94677" w:rsidRPr="009E686F" w:rsidRDefault="00A94677" w:rsidP="00265766">
            <w:pPr>
              <w:spacing w:after="0"/>
              <w:jc w:val="both"/>
              <w:rPr>
                <w:rFonts w:ascii="Times New Roman" w:hAnsi="Times New Roman" w:cs="Times New Roman"/>
                <w:lang w:val="pt-BR"/>
              </w:rPr>
            </w:pPr>
          </w:p>
        </w:tc>
      </w:tr>
      <w:tr w:rsidR="00A94677" w:rsidRPr="009E686F" w14:paraId="4EB7235E" w14:textId="77777777" w:rsidTr="003939BC">
        <w:tc>
          <w:tcPr>
            <w:tcW w:w="1890" w:type="pct"/>
            <w:tcBorders>
              <w:top w:val="single" w:sz="4" w:space="0" w:color="auto"/>
              <w:left w:val="single" w:sz="4" w:space="0" w:color="auto"/>
              <w:bottom w:val="single" w:sz="4" w:space="0" w:color="auto"/>
              <w:right w:val="single" w:sz="4" w:space="0" w:color="auto"/>
            </w:tcBorders>
          </w:tcPr>
          <w:p w14:paraId="7ACDB8D7" w14:textId="77777777" w:rsidR="00A94677" w:rsidRPr="009E686F" w:rsidRDefault="00A94677" w:rsidP="00265766">
            <w:pPr>
              <w:spacing w:after="0"/>
              <w:jc w:val="both"/>
              <w:rPr>
                <w:rFonts w:ascii="Times New Roman" w:hAnsi="Times New Roman" w:cs="Times New Roman"/>
                <w:lang w:val="pt-BR"/>
              </w:rPr>
            </w:pPr>
            <w:r w:rsidRPr="009E686F">
              <w:rPr>
                <w:rFonts w:ascii="Times New Roman" w:hAnsi="Times New Roman" w:cs="Times New Roman"/>
                <w:lang w:val="pt-BR"/>
              </w:rPr>
              <w:t xml:space="preserve">Articolul 48p </w:t>
            </w:r>
          </w:p>
          <w:p w14:paraId="51F52916" w14:textId="53FF0E20" w:rsidR="00A94677" w:rsidRPr="009E686F" w:rsidDel="002D6675" w:rsidRDefault="00A94677" w:rsidP="00265766">
            <w:pPr>
              <w:spacing w:after="0"/>
              <w:jc w:val="both"/>
              <w:rPr>
                <w:rFonts w:ascii="Times New Roman" w:hAnsi="Times New Roman" w:cs="Times New Roman"/>
                <w:lang w:val="pt-BR"/>
              </w:rPr>
            </w:pPr>
            <w:r w:rsidRPr="009E686F">
              <w:rPr>
                <w:rFonts w:ascii="Times New Roman" w:hAnsi="Times New Roman" w:cs="Times New Roman"/>
                <w:lang w:val="pt-BR"/>
              </w:rPr>
              <w:t>Cooperarea dintre autoritățile competente și colegiile de supraveghetori</w:t>
            </w:r>
          </w:p>
        </w:tc>
        <w:tc>
          <w:tcPr>
            <w:tcW w:w="1834" w:type="pct"/>
            <w:tcBorders>
              <w:top w:val="single" w:sz="4" w:space="0" w:color="auto"/>
              <w:left w:val="single" w:sz="4" w:space="0" w:color="auto"/>
              <w:bottom w:val="single" w:sz="4" w:space="0" w:color="auto"/>
              <w:right w:val="single" w:sz="4" w:space="0" w:color="auto"/>
            </w:tcBorders>
          </w:tcPr>
          <w:p w14:paraId="471C0A1A" w14:textId="2A35A844" w:rsidR="00A94677" w:rsidRPr="009E686F" w:rsidRDefault="00A94677" w:rsidP="00265766">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b/>
                <w:bCs/>
                <w:kern w:val="2"/>
                <w:lang w:val="ro-MD"/>
              </w:rPr>
              <w:t>Articolul 108</w:t>
            </w:r>
            <w:r w:rsidRPr="009E686F">
              <w:rPr>
                <w:rFonts w:ascii="Times New Roman" w:eastAsia="Aptos" w:hAnsi="Times New Roman" w:cs="Times New Roman"/>
                <w:b/>
                <w:bCs/>
                <w:kern w:val="2"/>
                <w:vertAlign w:val="superscript"/>
                <w:lang w:val="ro-MD"/>
              </w:rPr>
              <w:t>5</w:t>
            </w:r>
            <w:r w:rsidRPr="009E686F">
              <w:rPr>
                <w:rFonts w:ascii="Times New Roman" w:eastAsia="Aptos" w:hAnsi="Times New Roman" w:cs="Times New Roman"/>
                <w:b/>
                <w:bCs/>
                <w:kern w:val="2"/>
                <w:lang w:val="ro-MD"/>
              </w:rPr>
              <w:t>.</w:t>
            </w:r>
            <w:r w:rsidRPr="009E686F">
              <w:rPr>
                <w:rFonts w:ascii="Times New Roman" w:eastAsia="Aptos" w:hAnsi="Times New Roman" w:cs="Times New Roman"/>
                <w:kern w:val="2"/>
                <w:lang w:val="ro-MD"/>
              </w:rPr>
              <w:t xml:space="preserve"> </w:t>
            </w:r>
            <w:r w:rsidRPr="009E686F">
              <w:rPr>
                <w:rFonts w:ascii="Times New Roman" w:eastAsia="Aptos" w:hAnsi="Times New Roman" w:cs="Times New Roman"/>
                <w:i/>
                <w:iCs/>
                <w:kern w:val="2"/>
                <w:lang w:val="ro-MD"/>
              </w:rPr>
              <w:t>Cooperarea cu colegiile de supraveghetori</w:t>
            </w:r>
          </w:p>
        </w:tc>
        <w:tc>
          <w:tcPr>
            <w:tcW w:w="470" w:type="pct"/>
            <w:tcBorders>
              <w:top w:val="single" w:sz="4" w:space="0" w:color="auto"/>
              <w:left w:val="single" w:sz="4" w:space="0" w:color="auto"/>
              <w:bottom w:val="single" w:sz="4" w:space="0" w:color="auto"/>
              <w:right w:val="single" w:sz="4" w:space="0" w:color="auto"/>
            </w:tcBorders>
          </w:tcPr>
          <w:p w14:paraId="19BC5167" w14:textId="5FCE11DA" w:rsidR="00A94677" w:rsidRPr="009E686F" w:rsidRDefault="00A94677" w:rsidP="00265766">
            <w:pPr>
              <w:jc w:val="both"/>
              <w:rPr>
                <w:rFonts w:ascii="Times New Roman" w:hAnsi="Times New Roman" w:cs="Times New Roman"/>
                <w:lang w:val="pt-BR"/>
              </w:rPr>
            </w:pPr>
            <w:r w:rsidRPr="009E686F">
              <w:rPr>
                <w:rFonts w:ascii="Times New Roman" w:hAnsi="Times New Roman" w:cs="Times New Roman"/>
                <w:lang w:val="pt-BR"/>
              </w:rPr>
              <w:t>Compatibil</w:t>
            </w:r>
          </w:p>
        </w:tc>
        <w:tc>
          <w:tcPr>
            <w:tcW w:w="806" w:type="pct"/>
            <w:vMerge w:val="restart"/>
            <w:tcBorders>
              <w:top w:val="single" w:sz="4" w:space="0" w:color="auto"/>
              <w:left w:val="single" w:sz="4" w:space="0" w:color="auto"/>
              <w:right w:val="single" w:sz="4" w:space="0" w:color="auto"/>
            </w:tcBorders>
          </w:tcPr>
          <w:p w14:paraId="3F41135C" w14:textId="77777777" w:rsidR="00A94677" w:rsidRPr="009E686F" w:rsidRDefault="00A94677" w:rsidP="00A94677">
            <w:r w:rsidRPr="009E686F">
              <w:rPr>
                <w:rFonts w:ascii="Times New Roman" w:hAnsi="Times New Roman" w:cs="Times New Roman"/>
                <w:lang w:val="ro-RO"/>
              </w:rPr>
              <w:t>În vigoare – data aderării.</w:t>
            </w:r>
          </w:p>
          <w:p w14:paraId="688B9A9B" w14:textId="77777777" w:rsidR="00A94677" w:rsidRPr="009E686F" w:rsidRDefault="00A94677" w:rsidP="00265766">
            <w:pPr>
              <w:spacing w:after="0"/>
              <w:jc w:val="both"/>
              <w:rPr>
                <w:rFonts w:ascii="Times New Roman" w:hAnsi="Times New Roman" w:cs="Times New Roman"/>
                <w:lang w:val="pt-BR"/>
              </w:rPr>
            </w:pPr>
          </w:p>
        </w:tc>
      </w:tr>
      <w:tr w:rsidR="00A94677" w:rsidRPr="009E686F" w14:paraId="41D1B403" w14:textId="77777777" w:rsidTr="003939BC">
        <w:tc>
          <w:tcPr>
            <w:tcW w:w="1890" w:type="pct"/>
            <w:tcBorders>
              <w:top w:val="single" w:sz="4" w:space="0" w:color="auto"/>
              <w:left w:val="single" w:sz="4" w:space="0" w:color="auto"/>
              <w:bottom w:val="single" w:sz="4" w:space="0" w:color="auto"/>
              <w:right w:val="single" w:sz="4" w:space="0" w:color="auto"/>
            </w:tcBorders>
          </w:tcPr>
          <w:p w14:paraId="315FD2E5" w14:textId="3BEAECD6" w:rsidR="00A94677" w:rsidRPr="009E686F" w:rsidDel="002D6675" w:rsidRDefault="00A94677" w:rsidP="00265766">
            <w:pPr>
              <w:spacing w:after="0"/>
              <w:jc w:val="both"/>
              <w:rPr>
                <w:rFonts w:ascii="Times New Roman" w:hAnsi="Times New Roman" w:cs="Times New Roman"/>
                <w:lang w:val="pt-BR"/>
              </w:rPr>
            </w:pPr>
            <w:r w:rsidRPr="009E686F">
              <w:rPr>
                <w:rFonts w:ascii="Times New Roman" w:hAnsi="Times New Roman" w:cs="Times New Roman"/>
              </w:rPr>
              <w:t xml:space="preserve">(1) Autoritățile competente care supraveghează sucursalele din țări terțe și instituțiile-filiale ale aceluiași grup dintr-o țară terță cooperează îndeaproape și fac schimb de informații. </w:t>
            </w:r>
            <w:r w:rsidRPr="009E686F">
              <w:rPr>
                <w:rFonts w:ascii="Times New Roman" w:hAnsi="Times New Roman" w:cs="Times New Roman"/>
                <w:lang w:val="pt-BR"/>
              </w:rPr>
              <w:t>Autoritățile competente instituie acorduri scrise de coordonare și cooperare în conformitate cu articolul 115.</w:t>
            </w:r>
          </w:p>
        </w:tc>
        <w:tc>
          <w:tcPr>
            <w:tcW w:w="1834" w:type="pct"/>
            <w:tcBorders>
              <w:top w:val="single" w:sz="4" w:space="0" w:color="auto"/>
              <w:left w:val="single" w:sz="4" w:space="0" w:color="auto"/>
              <w:bottom w:val="single" w:sz="4" w:space="0" w:color="auto"/>
              <w:right w:val="single" w:sz="4" w:space="0" w:color="auto"/>
            </w:tcBorders>
          </w:tcPr>
          <w:p w14:paraId="29ADBE8A" w14:textId="719F4BAF" w:rsidR="00A94677" w:rsidRPr="009E686F" w:rsidRDefault="00A94677" w:rsidP="00265766">
            <w:pPr>
              <w:spacing w:after="0"/>
              <w:jc w:val="both"/>
              <w:rPr>
                <w:rFonts w:ascii="Times New Roman" w:hAnsi="Times New Roman" w:cs="Times New Roman"/>
                <w:b/>
                <w:i/>
                <w:iCs/>
                <w:lang w:val="pt-BR"/>
              </w:rPr>
            </w:pPr>
            <w:r w:rsidRPr="009E686F">
              <w:rPr>
                <w:rFonts w:ascii="Times New Roman" w:eastAsia="Aptos" w:hAnsi="Times New Roman" w:cs="Times New Roman"/>
                <w:i/>
                <w:iCs/>
                <w:kern w:val="2"/>
                <w:lang w:val="ro-MD"/>
              </w:rPr>
              <w:t>(1) Banca Națională a Moldovei cooperează și face schimb de informații cu autoritățile competente care supraveghează sucursalele din state terțe și instituțiile de credit -filiale ale aceluiași grup dintr-un stat terț și încheie acorduri scrise de colaborare în conformitate cu art. 111.</w:t>
            </w:r>
          </w:p>
        </w:tc>
        <w:tc>
          <w:tcPr>
            <w:tcW w:w="470" w:type="pct"/>
            <w:tcBorders>
              <w:top w:val="single" w:sz="4" w:space="0" w:color="auto"/>
              <w:left w:val="single" w:sz="4" w:space="0" w:color="auto"/>
              <w:bottom w:val="single" w:sz="4" w:space="0" w:color="auto"/>
              <w:right w:val="single" w:sz="4" w:space="0" w:color="auto"/>
            </w:tcBorders>
          </w:tcPr>
          <w:p w14:paraId="09738343" w14:textId="63F22FB6" w:rsidR="00A94677" w:rsidRPr="009E686F" w:rsidRDefault="00A94677" w:rsidP="00265766">
            <w:pPr>
              <w:jc w:val="both"/>
              <w:rPr>
                <w:rFonts w:ascii="Times New Roman" w:hAnsi="Times New Roman" w:cs="Times New Roman"/>
                <w:lang w:val="pt-BR"/>
              </w:rPr>
            </w:pPr>
            <w:r w:rsidRPr="009E686F">
              <w:rPr>
                <w:rFonts w:ascii="Times New Roman" w:hAnsi="Times New Roman" w:cs="Times New Roman"/>
                <w:lang w:val="pt-BR"/>
              </w:rPr>
              <w:t>Compatibil</w:t>
            </w:r>
          </w:p>
        </w:tc>
        <w:tc>
          <w:tcPr>
            <w:tcW w:w="806" w:type="pct"/>
            <w:vMerge/>
            <w:tcBorders>
              <w:left w:val="single" w:sz="4" w:space="0" w:color="auto"/>
              <w:bottom w:val="single" w:sz="4" w:space="0" w:color="auto"/>
              <w:right w:val="single" w:sz="4" w:space="0" w:color="auto"/>
            </w:tcBorders>
          </w:tcPr>
          <w:p w14:paraId="2F7F4DA0" w14:textId="77777777" w:rsidR="00A94677" w:rsidRPr="009E686F" w:rsidRDefault="00A94677" w:rsidP="00265766">
            <w:pPr>
              <w:spacing w:after="0"/>
              <w:jc w:val="both"/>
              <w:rPr>
                <w:rFonts w:ascii="Times New Roman" w:hAnsi="Times New Roman" w:cs="Times New Roman"/>
                <w:lang w:val="pt-BR"/>
              </w:rPr>
            </w:pPr>
          </w:p>
        </w:tc>
      </w:tr>
      <w:tr w:rsidR="00265766" w:rsidRPr="009E686F" w14:paraId="4EFA7BC9" w14:textId="77777777" w:rsidTr="00960C23">
        <w:tc>
          <w:tcPr>
            <w:tcW w:w="1890" w:type="pct"/>
            <w:tcBorders>
              <w:top w:val="single" w:sz="4" w:space="0" w:color="auto"/>
              <w:left w:val="single" w:sz="4" w:space="0" w:color="auto"/>
              <w:bottom w:val="single" w:sz="4" w:space="0" w:color="auto"/>
              <w:right w:val="single" w:sz="4" w:space="0" w:color="auto"/>
            </w:tcBorders>
          </w:tcPr>
          <w:p w14:paraId="123B80BA" w14:textId="62E3ECB7" w:rsidR="00265766" w:rsidRPr="009E686F" w:rsidDel="002D6675" w:rsidRDefault="00265766" w:rsidP="00265766">
            <w:pPr>
              <w:spacing w:after="0"/>
              <w:jc w:val="both"/>
              <w:rPr>
                <w:rFonts w:ascii="Times New Roman" w:hAnsi="Times New Roman" w:cs="Times New Roman"/>
                <w:lang w:val="pt-BR"/>
              </w:rPr>
            </w:pPr>
            <w:r w:rsidRPr="009E686F">
              <w:rPr>
                <w:rFonts w:ascii="Times New Roman" w:hAnsi="Times New Roman" w:cs="Times New Roman"/>
                <w:lang w:val="it-CH"/>
              </w:rPr>
              <w:t xml:space="preserve">(2) În sensul alineatului (1) de la prezentul articol, sucursalele din țări terțe din clasa 1 fac obiectul unei supravegheri cuprinzătoare exercitate de un colegiu de supraveghetori în conformitate cu articolul 116. </w:t>
            </w:r>
            <w:r w:rsidRPr="009E686F">
              <w:rPr>
                <w:rFonts w:ascii="Times New Roman" w:hAnsi="Times New Roman" w:cs="Times New Roman"/>
                <w:lang w:val="pt-BR"/>
              </w:rPr>
              <w:t>Pentru aceste scopuri, se aplică următoarele cerințe:</w:t>
            </w:r>
          </w:p>
        </w:tc>
        <w:tc>
          <w:tcPr>
            <w:tcW w:w="1834" w:type="pct"/>
            <w:tcBorders>
              <w:top w:val="single" w:sz="4" w:space="0" w:color="auto"/>
              <w:left w:val="single" w:sz="4" w:space="0" w:color="auto"/>
              <w:bottom w:val="single" w:sz="4" w:space="0" w:color="auto"/>
              <w:right w:val="single" w:sz="4" w:space="0" w:color="auto"/>
            </w:tcBorders>
          </w:tcPr>
          <w:p w14:paraId="7C6B62C0" w14:textId="77777777" w:rsidR="00265766" w:rsidRPr="009E686F" w:rsidRDefault="00265766" w:rsidP="00265766">
            <w:pPr>
              <w:spacing w:after="0"/>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(2) În sensul alin. (1), sucursalele din state terțe din clasa 1 sunt supuse supravegherii exercitate de un colegiu de supraveghetori în conformitate cu articolul 112.</w:t>
            </w:r>
          </w:p>
          <w:p w14:paraId="3B968A64" w14:textId="60D39C47" w:rsidR="00265766" w:rsidRPr="009E686F" w:rsidRDefault="00265766" w:rsidP="00265766">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i/>
                <w:iCs/>
                <w:kern w:val="2"/>
                <w:lang w:val="ro-MD"/>
              </w:rPr>
              <w:t>(3) În scopul exercitării supravegherii conform alin. (2), se aplică următoarele cerințe:</w:t>
            </w:r>
          </w:p>
        </w:tc>
        <w:tc>
          <w:tcPr>
            <w:tcW w:w="470" w:type="pct"/>
            <w:tcBorders>
              <w:top w:val="single" w:sz="4" w:space="0" w:color="auto"/>
              <w:left w:val="single" w:sz="4" w:space="0" w:color="auto"/>
              <w:bottom w:val="single" w:sz="4" w:space="0" w:color="auto"/>
              <w:right w:val="single" w:sz="4" w:space="0" w:color="auto"/>
            </w:tcBorders>
          </w:tcPr>
          <w:p w14:paraId="1947EBBB" w14:textId="5D1D4384" w:rsidR="00265766" w:rsidRPr="009E686F" w:rsidRDefault="00265766" w:rsidP="00265766">
            <w:pPr>
              <w:jc w:val="both"/>
              <w:rPr>
                <w:rFonts w:ascii="Times New Roman" w:hAnsi="Times New Roman" w:cs="Times New Roman"/>
                <w:lang w:val="pt-BR"/>
              </w:rPr>
            </w:pPr>
            <w:r w:rsidRPr="009E686F">
              <w:rPr>
                <w:rFonts w:ascii="Times New Roman" w:hAnsi="Times New Roman" w:cs="Times New Roman"/>
                <w:lang w:val="pt-BR"/>
              </w:rPr>
              <w:t>Compatibil</w:t>
            </w:r>
          </w:p>
        </w:tc>
        <w:tc>
          <w:tcPr>
            <w:tcW w:w="806" w:type="pct"/>
            <w:tcBorders>
              <w:top w:val="single" w:sz="4" w:space="0" w:color="auto"/>
              <w:left w:val="single" w:sz="4" w:space="0" w:color="auto"/>
              <w:bottom w:val="single" w:sz="4" w:space="0" w:color="auto"/>
              <w:right w:val="single" w:sz="4" w:space="0" w:color="auto"/>
            </w:tcBorders>
          </w:tcPr>
          <w:p w14:paraId="7FC3ED9E" w14:textId="77777777" w:rsidR="00A94677" w:rsidRPr="009E686F" w:rsidRDefault="00A94677" w:rsidP="00A94677">
            <w:r w:rsidRPr="009E686F">
              <w:rPr>
                <w:rFonts w:ascii="Times New Roman" w:hAnsi="Times New Roman" w:cs="Times New Roman"/>
                <w:lang w:val="ro-RO"/>
              </w:rPr>
              <w:t>În vigoare – data aderării.</w:t>
            </w:r>
          </w:p>
          <w:p w14:paraId="772B30C2" w14:textId="77777777" w:rsidR="00265766" w:rsidRPr="009E686F" w:rsidRDefault="00265766" w:rsidP="00265766">
            <w:pPr>
              <w:spacing w:after="0"/>
              <w:jc w:val="both"/>
              <w:rPr>
                <w:rFonts w:ascii="Times New Roman" w:hAnsi="Times New Roman" w:cs="Times New Roman"/>
                <w:lang w:val="pt-BR"/>
              </w:rPr>
            </w:pPr>
          </w:p>
        </w:tc>
      </w:tr>
      <w:tr w:rsidR="00265766" w:rsidRPr="009E686F" w14:paraId="05F7B882" w14:textId="77777777" w:rsidTr="00960C23">
        <w:tc>
          <w:tcPr>
            <w:tcW w:w="1890" w:type="pct"/>
            <w:tcBorders>
              <w:top w:val="single" w:sz="4" w:space="0" w:color="auto"/>
              <w:left w:val="single" w:sz="4" w:space="0" w:color="auto"/>
              <w:bottom w:val="single" w:sz="4" w:space="0" w:color="auto"/>
              <w:right w:val="single" w:sz="4" w:space="0" w:color="auto"/>
            </w:tcBorders>
          </w:tcPr>
          <w:p w14:paraId="0D5EED39" w14:textId="34038BF7" w:rsidR="00265766" w:rsidRPr="009E686F" w:rsidDel="002D6675" w:rsidRDefault="00265766" w:rsidP="00265766">
            <w:pPr>
              <w:spacing w:after="0"/>
              <w:jc w:val="both"/>
              <w:rPr>
                <w:rFonts w:ascii="Times New Roman" w:hAnsi="Times New Roman" w:cs="Times New Roman"/>
              </w:rPr>
            </w:pPr>
            <w:r w:rsidRPr="009E686F">
              <w:rPr>
                <w:rFonts w:ascii="Times New Roman" w:hAnsi="Times New Roman" w:cs="Times New Roman"/>
              </w:rPr>
              <w:t>(a) în cazul în care s-a înființat un colegiu de supraveghetori în legătură cu instituțiile-filiale ale unui grup dintr-o țară terță, sucursalele din țări terțe din clasa 1 din același grup se includ în sfera colegiului de supraveghetori respectiv;</w:t>
            </w:r>
          </w:p>
        </w:tc>
        <w:tc>
          <w:tcPr>
            <w:tcW w:w="1834" w:type="pct"/>
            <w:tcBorders>
              <w:top w:val="single" w:sz="4" w:space="0" w:color="auto"/>
              <w:left w:val="single" w:sz="4" w:space="0" w:color="auto"/>
              <w:bottom w:val="single" w:sz="4" w:space="0" w:color="auto"/>
              <w:right w:val="single" w:sz="4" w:space="0" w:color="auto"/>
            </w:tcBorders>
          </w:tcPr>
          <w:p w14:paraId="006978C9" w14:textId="0BFD4944" w:rsidR="00265766" w:rsidRPr="009E686F" w:rsidRDefault="00265766" w:rsidP="00265766">
            <w:pPr>
              <w:spacing w:after="0" w:line="278" w:lineRule="auto"/>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 xml:space="preserve">a) în cazul în care s-a înființat un colegiu de supraveghetori în legătură cu instituțiile de credit -filiale ale unui grup dintr-un stat terț, sucursalele din state terțe din clasa 1 din același grup se includ în sfera colegiului de supraveghetori respectiv; </w:t>
            </w:r>
          </w:p>
        </w:tc>
        <w:tc>
          <w:tcPr>
            <w:tcW w:w="470" w:type="pct"/>
            <w:tcBorders>
              <w:top w:val="single" w:sz="4" w:space="0" w:color="auto"/>
              <w:left w:val="single" w:sz="4" w:space="0" w:color="auto"/>
              <w:bottom w:val="single" w:sz="4" w:space="0" w:color="auto"/>
              <w:right w:val="single" w:sz="4" w:space="0" w:color="auto"/>
            </w:tcBorders>
          </w:tcPr>
          <w:p w14:paraId="694B64A6" w14:textId="46B3F618" w:rsidR="00265766" w:rsidRPr="009E686F" w:rsidRDefault="00265766" w:rsidP="00265766">
            <w:pPr>
              <w:jc w:val="both"/>
              <w:rPr>
                <w:rFonts w:ascii="Times New Roman" w:hAnsi="Times New Roman" w:cs="Times New Roman"/>
                <w:lang w:val="pt-BR"/>
              </w:rPr>
            </w:pPr>
            <w:r w:rsidRPr="009E686F">
              <w:rPr>
                <w:rFonts w:ascii="Times New Roman" w:hAnsi="Times New Roman" w:cs="Times New Roman"/>
                <w:lang w:val="pt-BR"/>
              </w:rPr>
              <w:t>Compatibil</w:t>
            </w:r>
          </w:p>
        </w:tc>
        <w:tc>
          <w:tcPr>
            <w:tcW w:w="806" w:type="pct"/>
            <w:tcBorders>
              <w:top w:val="single" w:sz="4" w:space="0" w:color="auto"/>
              <w:left w:val="single" w:sz="4" w:space="0" w:color="auto"/>
              <w:bottom w:val="single" w:sz="4" w:space="0" w:color="auto"/>
              <w:right w:val="single" w:sz="4" w:space="0" w:color="auto"/>
            </w:tcBorders>
          </w:tcPr>
          <w:p w14:paraId="3DE7DFE2" w14:textId="77777777" w:rsidR="00A94677" w:rsidRPr="009E686F" w:rsidRDefault="00A94677" w:rsidP="00A94677">
            <w:r w:rsidRPr="009E686F">
              <w:rPr>
                <w:rFonts w:ascii="Times New Roman" w:hAnsi="Times New Roman" w:cs="Times New Roman"/>
                <w:lang w:val="ro-RO"/>
              </w:rPr>
              <w:t>În vigoare – data aderării.</w:t>
            </w:r>
          </w:p>
          <w:p w14:paraId="0C6125E7" w14:textId="77777777" w:rsidR="00265766" w:rsidRPr="009E686F" w:rsidRDefault="00265766" w:rsidP="00265766">
            <w:pPr>
              <w:spacing w:after="0"/>
              <w:jc w:val="both"/>
              <w:rPr>
                <w:rFonts w:ascii="Times New Roman" w:hAnsi="Times New Roman" w:cs="Times New Roman"/>
                <w:lang w:val="pt-BR"/>
              </w:rPr>
            </w:pPr>
          </w:p>
        </w:tc>
      </w:tr>
      <w:tr w:rsidR="00265766" w:rsidRPr="009E686F" w14:paraId="0A1EB050" w14:textId="77777777" w:rsidTr="00960C23">
        <w:tc>
          <w:tcPr>
            <w:tcW w:w="1890" w:type="pct"/>
            <w:tcBorders>
              <w:top w:val="single" w:sz="4" w:space="0" w:color="auto"/>
              <w:left w:val="single" w:sz="4" w:space="0" w:color="auto"/>
              <w:bottom w:val="single" w:sz="4" w:space="0" w:color="auto"/>
              <w:right w:val="single" w:sz="4" w:space="0" w:color="auto"/>
            </w:tcBorders>
          </w:tcPr>
          <w:p w14:paraId="0455EC9E" w14:textId="6F69C171" w:rsidR="00265766" w:rsidRPr="009E686F" w:rsidDel="002D6675" w:rsidRDefault="00265766" w:rsidP="00265766">
            <w:pPr>
              <w:spacing w:after="0"/>
              <w:jc w:val="both"/>
              <w:rPr>
                <w:rFonts w:ascii="Times New Roman" w:hAnsi="Times New Roman" w:cs="Times New Roman"/>
              </w:rPr>
            </w:pPr>
            <w:r w:rsidRPr="009E686F">
              <w:rPr>
                <w:rFonts w:ascii="Times New Roman" w:hAnsi="Times New Roman" w:cs="Times New Roman"/>
              </w:rPr>
              <w:t>(b) în cazul în care grupul dintr-o țară terță are sucursale din țări terțe din clasa 1 în mai multe state membre, dar nicio instituție-filială în Uniune care intră sub incidența articolului 116, se instituie un colegiu de supraveghetori pentru respectivele sucursale din țări terțe din clasa 1;</w:t>
            </w:r>
          </w:p>
        </w:tc>
        <w:tc>
          <w:tcPr>
            <w:tcW w:w="1834" w:type="pct"/>
            <w:tcBorders>
              <w:top w:val="single" w:sz="4" w:space="0" w:color="auto"/>
              <w:left w:val="single" w:sz="4" w:space="0" w:color="auto"/>
              <w:bottom w:val="single" w:sz="4" w:space="0" w:color="auto"/>
              <w:right w:val="single" w:sz="4" w:space="0" w:color="auto"/>
            </w:tcBorders>
          </w:tcPr>
          <w:p w14:paraId="485D4ECA" w14:textId="5CABF8A0" w:rsidR="00265766" w:rsidRPr="009E686F" w:rsidRDefault="00265766" w:rsidP="00265766">
            <w:pPr>
              <w:spacing w:after="0" w:line="278" w:lineRule="auto"/>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 xml:space="preserve">b) în cazul în care grupul dintr-un stat terț are sucursale din state terțe din clasa 1 în mai multe state membre, dar nicio instituție de credit-filială în Uniunea Europeană care face obiectul art. 112, se instituie un colegiu de supraveghetori pentru respectivele sucursale din state terțe din clasa 1; </w:t>
            </w:r>
          </w:p>
        </w:tc>
        <w:tc>
          <w:tcPr>
            <w:tcW w:w="470" w:type="pct"/>
            <w:tcBorders>
              <w:top w:val="single" w:sz="4" w:space="0" w:color="auto"/>
              <w:left w:val="single" w:sz="4" w:space="0" w:color="auto"/>
              <w:bottom w:val="single" w:sz="4" w:space="0" w:color="auto"/>
              <w:right w:val="single" w:sz="4" w:space="0" w:color="auto"/>
            </w:tcBorders>
          </w:tcPr>
          <w:p w14:paraId="3EA46C88" w14:textId="00F4DA14" w:rsidR="00265766" w:rsidRPr="009E686F" w:rsidRDefault="00265766" w:rsidP="00265766">
            <w:pPr>
              <w:jc w:val="both"/>
              <w:rPr>
                <w:rFonts w:ascii="Times New Roman" w:hAnsi="Times New Roman" w:cs="Times New Roman"/>
                <w:lang w:val="pt-BR"/>
              </w:rPr>
            </w:pPr>
            <w:r w:rsidRPr="009E686F">
              <w:rPr>
                <w:rFonts w:ascii="Times New Roman" w:hAnsi="Times New Roman" w:cs="Times New Roman"/>
                <w:lang w:val="pt-BR"/>
              </w:rPr>
              <w:t>Compatibil</w:t>
            </w:r>
          </w:p>
        </w:tc>
        <w:tc>
          <w:tcPr>
            <w:tcW w:w="806" w:type="pct"/>
            <w:tcBorders>
              <w:top w:val="single" w:sz="4" w:space="0" w:color="auto"/>
              <w:left w:val="single" w:sz="4" w:space="0" w:color="auto"/>
              <w:bottom w:val="single" w:sz="4" w:space="0" w:color="auto"/>
              <w:right w:val="single" w:sz="4" w:space="0" w:color="auto"/>
            </w:tcBorders>
          </w:tcPr>
          <w:p w14:paraId="3673A063" w14:textId="77777777" w:rsidR="00A94677" w:rsidRPr="009E686F" w:rsidRDefault="00A94677" w:rsidP="00A94677">
            <w:r w:rsidRPr="009E686F">
              <w:rPr>
                <w:rFonts w:ascii="Times New Roman" w:hAnsi="Times New Roman" w:cs="Times New Roman"/>
                <w:lang w:val="ro-RO"/>
              </w:rPr>
              <w:t>În vigoare – data aderării.</w:t>
            </w:r>
          </w:p>
          <w:p w14:paraId="44E46C61" w14:textId="77777777" w:rsidR="00265766" w:rsidRPr="009E686F" w:rsidRDefault="00265766" w:rsidP="00265766">
            <w:pPr>
              <w:spacing w:after="0"/>
              <w:jc w:val="both"/>
              <w:rPr>
                <w:rFonts w:ascii="Times New Roman" w:hAnsi="Times New Roman" w:cs="Times New Roman"/>
                <w:lang w:val="pt-BR"/>
              </w:rPr>
            </w:pPr>
          </w:p>
        </w:tc>
      </w:tr>
      <w:tr w:rsidR="00265766" w:rsidRPr="009E686F" w14:paraId="2AEB5E8D" w14:textId="77777777" w:rsidTr="00960C23">
        <w:tc>
          <w:tcPr>
            <w:tcW w:w="1890" w:type="pct"/>
            <w:tcBorders>
              <w:top w:val="single" w:sz="4" w:space="0" w:color="auto"/>
              <w:left w:val="single" w:sz="4" w:space="0" w:color="auto"/>
              <w:bottom w:val="single" w:sz="4" w:space="0" w:color="auto"/>
              <w:right w:val="single" w:sz="4" w:space="0" w:color="auto"/>
            </w:tcBorders>
          </w:tcPr>
          <w:p w14:paraId="316E1742" w14:textId="109FB3C5" w:rsidR="00265766" w:rsidRPr="009E686F" w:rsidDel="002D6675" w:rsidRDefault="00265766" w:rsidP="00265766">
            <w:pPr>
              <w:spacing w:after="0"/>
              <w:jc w:val="both"/>
              <w:rPr>
                <w:rFonts w:ascii="Times New Roman" w:hAnsi="Times New Roman" w:cs="Times New Roman"/>
              </w:rPr>
            </w:pPr>
            <w:r w:rsidRPr="009E686F">
              <w:rPr>
                <w:rFonts w:ascii="Times New Roman" w:hAnsi="Times New Roman" w:cs="Times New Roman"/>
              </w:rPr>
              <w:lastRenderedPageBreak/>
              <w:t>(c) în cazul în care grupul dintr-o țară terță are sucursale din țări terțe din clasa 1 în mai multe state membre sau cel puțin o sucursală din clasa 1 și una sau mai multe instituții-filiale în Uniune care nu intră sub incidența articolului 116, se instituie un colegiu de supraveghetori pentru respectivele sucursale din țări terțe și instituții-filiale.</w:t>
            </w:r>
          </w:p>
        </w:tc>
        <w:tc>
          <w:tcPr>
            <w:tcW w:w="1834" w:type="pct"/>
            <w:tcBorders>
              <w:top w:val="single" w:sz="4" w:space="0" w:color="auto"/>
              <w:left w:val="single" w:sz="4" w:space="0" w:color="auto"/>
              <w:bottom w:val="single" w:sz="4" w:space="0" w:color="auto"/>
              <w:right w:val="single" w:sz="4" w:space="0" w:color="auto"/>
            </w:tcBorders>
          </w:tcPr>
          <w:p w14:paraId="1016308D" w14:textId="01626E2C" w:rsidR="00265766" w:rsidRPr="009E686F" w:rsidRDefault="00265766" w:rsidP="00265766">
            <w:pPr>
              <w:spacing w:after="0"/>
              <w:jc w:val="both"/>
              <w:rPr>
                <w:rFonts w:ascii="Times New Roman" w:hAnsi="Times New Roman" w:cs="Times New Roman"/>
                <w:b/>
                <w:i/>
                <w:lang w:val="it-CH"/>
              </w:rPr>
            </w:pPr>
            <w:r w:rsidRPr="009E686F">
              <w:rPr>
                <w:rFonts w:ascii="Times New Roman" w:eastAsia="Aptos" w:hAnsi="Times New Roman" w:cs="Times New Roman"/>
                <w:i/>
                <w:iCs/>
                <w:kern w:val="2"/>
                <w:lang w:val="ro-MD"/>
              </w:rPr>
              <w:t>c) în cazul în care grupul dintr-un stat terț are sucursale din state terțe din clasa 1 în mai multe state membre sau cel puțin o sucursală din clasa 1 și una sau mai multe instituții de credit-filiale în UE care nu face obiectul art. 112, se instituie un colegiu de supraveghetori pentru respectivele sucursale din state terțe și instituții de credit -filiale.</w:t>
            </w:r>
          </w:p>
        </w:tc>
        <w:tc>
          <w:tcPr>
            <w:tcW w:w="470" w:type="pct"/>
            <w:tcBorders>
              <w:top w:val="single" w:sz="4" w:space="0" w:color="auto"/>
              <w:left w:val="single" w:sz="4" w:space="0" w:color="auto"/>
              <w:bottom w:val="single" w:sz="4" w:space="0" w:color="auto"/>
              <w:right w:val="single" w:sz="4" w:space="0" w:color="auto"/>
            </w:tcBorders>
          </w:tcPr>
          <w:p w14:paraId="3E5153AF" w14:textId="08A9C507" w:rsidR="00265766" w:rsidRPr="009E686F" w:rsidRDefault="00265766" w:rsidP="00265766">
            <w:pPr>
              <w:jc w:val="both"/>
              <w:rPr>
                <w:rFonts w:ascii="Times New Roman" w:hAnsi="Times New Roman" w:cs="Times New Roman"/>
                <w:lang w:val="pt-BR"/>
              </w:rPr>
            </w:pPr>
            <w:r w:rsidRPr="009E686F">
              <w:rPr>
                <w:rFonts w:ascii="Times New Roman" w:hAnsi="Times New Roman" w:cs="Times New Roman"/>
                <w:lang w:val="pt-BR"/>
              </w:rPr>
              <w:t>Compatibil</w:t>
            </w:r>
          </w:p>
        </w:tc>
        <w:tc>
          <w:tcPr>
            <w:tcW w:w="806" w:type="pct"/>
            <w:tcBorders>
              <w:top w:val="single" w:sz="4" w:space="0" w:color="auto"/>
              <w:left w:val="single" w:sz="4" w:space="0" w:color="auto"/>
              <w:bottom w:val="single" w:sz="4" w:space="0" w:color="auto"/>
              <w:right w:val="single" w:sz="4" w:space="0" w:color="auto"/>
            </w:tcBorders>
          </w:tcPr>
          <w:p w14:paraId="750E8CD9" w14:textId="77777777" w:rsidR="00A94677" w:rsidRPr="009E686F" w:rsidRDefault="00A94677" w:rsidP="00A94677">
            <w:r w:rsidRPr="009E686F">
              <w:rPr>
                <w:rFonts w:ascii="Times New Roman" w:hAnsi="Times New Roman" w:cs="Times New Roman"/>
                <w:lang w:val="ro-RO"/>
              </w:rPr>
              <w:t>În vigoare – data aderării.</w:t>
            </w:r>
          </w:p>
          <w:p w14:paraId="51043ED5" w14:textId="77777777" w:rsidR="00265766" w:rsidRPr="009E686F" w:rsidRDefault="00265766" w:rsidP="00265766">
            <w:pPr>
              <w:spacing w:after="0"/>
              <w:jc w:val="both"/>
              <w:rPr>
                <w:rFonts w:ascii="Times New Roman" w:hAnsi="Times New Roman" w:cs="Times New Roman"/>
                <w:lang w:val="pt-BR"/>
              </w:rPr>
            </w:pPr>
          </w:p>
        </w:tc>
      </w:tr>
      <w:tr w:rsidR="00265766" w:rsidRPr="009E686F" w14:paraId="4F01D724" w14:textId="77777777" w:rsidTr="00960C23">
        <w:tc>
          <w:tcPr>
            <w:tcW w:w="1890" w:type="pct"/>
            <w:tcBorders>
              <w:top w:val="single" w:sz="4" w:space="0" w:color="auto"/>
              <w:left w:val="single" w:sz="4" w:space="0" w:color="auto"/>
              <w:bottom w:val="single" w:sz="4" w:space="0" w:color="auto"/>
              <w:right w:val="single" w:sz="4" w:space="0" w:color="auto"/>
            </w:tcBorders>
          </w:tcPr>
          <w:p w14:paraId="646FCDC2" w14:textId="18981B8E" w:rsidR="00265766" w:rsidRPr="009E686F" w:rsidDel="002D6675"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(3) În sensul alineatului (2) literele (b) și (c) de la prezentul articol, statele membre se asigură că există o autoritate competentă principală care să îndeplinească același rol ca și supraveghetorul consolidant în conformitate cu articolul 116. Autoritatea competentă principală este cea a statului membru în care se află cea mai mare sucursală dintr-o țară terță din punctul de vedere al valorii totale a activelor contabilizate.</w:t>
            </w:r>
          </w:p>
        </w:tc>
        <w:tc>
          <w:tcPr>
            <w:tcW w:w="1834" w:type="pct"/>
            <w:tcBorders>
              <w:top w:val="single" w:sz="4" w:space="0" w:color="auto"/>
              <w:left w:val="single" w:sz="4" w:space="0" w:color="auto"/>
              <w:bottom w:val="single" w:sz="4" w:space="0" w:color="auto"/>
              <w:right w:val="single" w:sz="4" w:space="0" w:color="auto"/>
            </w:tcBorders>
          </w:tcPr>
          <w:p w14:paraId="0F92F707" w14:textId="4DFA940B" w:rsidR="00265766" w:rsidRPr="009E686F" w:rsidRDefault="00265766" w:rsidP="00265766">
            <w:pPr>
              <w:spacing w:after="0"/>
              <w:jc w:val="both"/>
              <w:rPr>
                <w:rFonts w:ascii="Times New Roman" w:hAnsi="Times New Roman" w:cs="Times New Roman"/>
                <w:b/>
                <w:i/>
                <w:lang w:val="it-CH"/>
              </w:rPr>
            </w:pPr>
            <w:r w:rsidRPr="009E686F">
              <w:rPr>
                <w:rFonts w:ascii="Times New Roman" w:eastAsia="Aptos" w:hAnsi="Times New Roman" w:cs="Times New Roman"/>
                <w:i/>
                <w:iCs/>
                <w:kern w:val="2"/>
                <w:lang w:val="ro-MD"/>
              </w:rPr>
              <w:t>(4) În sensul alin. (3) lit. b) și c), Banca Națională a Moldovei este considerată autoritate competentă principală care îndeplinește același rol ca și supraveghetorul consolidant în conformitate cu art. 112, în cazul în care pe teritoriul Republicii Moldova se află cea mai mare sucursală dintr-un stat terț din punctul de vedere al valorii totale a activelor contabilizate.</w:t>
            </w:r>
          </w:p>
        </w:tc>
        <w:tc>
          <w:tcPr>
            <w:tcW w:w="470" w:type="pct"/>
            <w:tcBorders>
              <w:top w:val="single" w:sz="4" w:space="0" w:color="auto"/>
              <w:left w:val="single" w:sz="4" w:space="0" w:color="auto"/>
              <w:bottom w:val="single" w:sz="4" w:space="0" w:color="auto"/>
              <w:right w:val="single" w:sz="4" w:space="0" w:color="auto"/>
            </w:tcBorders>
          </w:tcPr>
          <w:p w14:paraId="141B76AD" w14:textId="73F852F7" w:rsidR="00265766" w:rsidRPr="009E686F" w:rsidRDefault="00265766" w:rsidP="00265766">
            <w:pPr>
              <w:jc w:val="both"/>
              <w:rPr>
                <w:rFonts w:ascii="Times New Roman" w:hAnsi="Times New Roman" w:cs="Times New Roman"/>
                <w:lang w:val="pt-BR"/>
              </w:rPr>
            </w:pPr>
            <w:r w:rsidRPr="009E686F">
              <w:rPr>
                <w:rFonts w:ascii="Times New Roman" w:hAnsi="Times New Roman" w:cs="Times New Roman"/>
                <w:lang w:val="pt-BR"/>
              </w:rPr>
              <w:t>Compatibil</w:t>
            </w:r>
          </w:p>
        </w:tc>
        <w:tc>
          <w:tcPr>
            <w:tcW w:w="806" w:type="pct"/>
            <w:tcBorders>
              <w:top w:val="single" w:sz="4" w:space="0" w:color="auto"/>
              <w:left w:val="single" w:sz="4" w:space="0" w:color="auto"/>
              <w:bottom w:val="single" w:sz="4" w:space="0" w:color="auto"/>
              <w:right w:val="single" w:sz="4" w:space="0" w:color="auto"/>
            </w:tcBorders>
          </w:tcPr>
          <w:p w14:paraId="2AE07F10" w14:textId="77777777" w:rsidR="00A94677" w:rsidRPr="009E686F" w:rsidRDefault="00A94677" w:rsidP="00A94677">
            <w:r w:rsidRPr="009E686F">
              <w:rPr>
                <w:rFonts w:ascii="Times New Roman" w:hAnsi="Times New Roman" w:cs="Times New Roman"/>
                <w:lang w:val="ro-RO"/>
              </w:rPr>
              <w:t>În vigoare – data aderării.</w:t>
            </w:r>
          </w:p>
          <w:p w14:paraId="7CA487FC" w14:textId="77777777" w:rsidR="00265766" w:rsidRPr="009E686F" w:rsidRDefault="00265766" w:rsidP="00265766">
            <w:pPr>
              <w:spacing w:after="0"/>
              <w:jc w:val="both"/>
              <w:rPr>
                <w:rFonts w:ascii="Times New Roman" w:hAnsi="Times New Roman" w:cs="Times New Roman"/>
                <w:lang w:val="pt-BR"/>
              </w:rPr>
            </w:pPr>
          </w:p>
        </w:tc>
      </w:tr>
      <w:tr w:rsidR="00A94677" w:rsidRPr="009E686F" w14:paraId="630B1D20" w14:textId="77777777" w:rsidTr="007B3C89">
        <w:tc>
          <w:tcPr>
            <w:tcW w:w="1890" w:type="pct"/>
            <w:tcBorders>
              <w:top w:val="single" w:sz="4" w:space="0" w:color="auto"/>
              <w:left w:val="single" w:sz="4" w:space="0" w:color="auto"/>
              <w:bottom w:val="single" w:sz="4" w:space="0" w:color="auto"/>
              <w:right w:val="single" w:sz="4" w:space="0" w:color="auto"/>
            </w:tcBorders>
          </w:tcPr>
          <w:p w14:paraId="7D10D677" w14:textId="61FB31DB" w:rsidR="00A94677" w:rsidRPr="009E686F" w:rsidDel="002D6675" w:rsidRDefault="00A94677" w:rsidP="00265766">
            <w:pPr>
              <w:spacing w:after="0"/>
              <w:jc w:val="both"/>
              <w:rPr>
                <w:rFonts w:ascii="Times New Roman" w:hAnsi="Times New Roman" w:cs="Times New Roman"/>
                <w:lang w:val="it-IT"/>
              </w:rPr>
            </w:pPr>
            <w:r w:rsidRPr="009E686F">
              <w:rPr>
                <w:rFonts w:ascii="Times New Roman" w:hAnsi="Times New Roman" w:cs="Times New Roman"/>
                <w:lang w:val="it-IT"/>
              </w:rPr>
              <w:t>(4) Pe lângă sarcinile prevăzute la articolul 116, colegiul de supraveghetori:</w:t>
            </w:r>
          </w:p>
        </w:tc>
        <w:tc>
          <w:tcPr>
            <w:tcW w:w="1834" w:type="pct"/>
            <w:tcBorders>
              <w:top w:val="single" w:sz="4" w:space="0" w:color="auto"/>
              <w:left w:val="single" w:sz="4" w:space="0" w:color="auto"/>
              <w:bottom w:val="single" w:sz="4" w:space="0" w:color="auto"/>
              <w:right w:val="single" w:sz="4" w:space="0" w:color="auto"/>
            </w:tcBorders>
          </w:tcPr>
          <w:p w14:paraId="50B24E31" w14:textId="1F8DB4B8" w:rsidR="00A94677" w:rsidRPr="009E686F" w:rsidRDefault="00A94677" w:rsidP="00265766">
            <w:pPr>
              <w:spacing w:after="0" w:line="278" w:lineRule="auto"/>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 xml:space="preserve">(5) Pe lângă sarcinile prevăzute la art. 112, colegiul de supraveghetori: </w:t>
            </w:r>
          </w:p>
        </w:tc>
        <w:tc>
          <w:tcPr>
            <w:tcW w:w="470" w:type="pct"/>
            <w:tcBorders>
              <w:top w:val="single" w:sz="4" w:space="0" w:color="auto"/>
              <w:left w:val="single" w:sz="4" w:space="0" w:color="auto"/>
              <w:bottom w:val="single" w:sz="4" w:space="0" w:color="auto"/>
              <w:right w:val="single" w:sz="4" w:space="0" w:color="auto"/>
            </w:tcBorders>
          </w:tcPr>
          <w:p w14:paraId="636E8E28" w14:textId="1893BB21" w:rsidR="00A94677" w:rsidRPr="009E686F" w:rsidRDefault="00A94677" w:rsidP="00265766">
            <w:pPr>
              <w:jc w:val="both"/>
              <w:rPr>
                <w:rFonts w:ascii="Times New Roman" w:hAnsi="Times New Roman" w:cs="Times New Roman"/>
                <w:lang w:val="it-IT"/>
              </w:rPr>
            </w:pPr>
            <w:r w:rsidRPr="009E686F">
              <w:rPr>
                <w:rFonts w:ascii="Times New Roman" w:hAnsi="Times New Roman" w:cs="Times New Roman"/>
                <w:lang w:val="pt-BR"/>
              </w:rPr>
              <w:t>Compatibil</w:t>
            </w:r>
          </w:p>
        </w:tc>
        <w:tc>
          <w:tcPr>
            <w:tcW w:w="806" w:type="pct"/>
            <w:vMerge w:val="restart"/>
            <w:tcBorders>
              <w:top w:val="single" w:sz="4" w:space="0" w:color="auto"/>
              <w:left w:val="single" w:sz="4" w:space="0" w:color="auto"/>
              <w:right w:val="single" w:sz="4" w:space="0" w:color="auto"/>
            </w:tcBorders>
          </w:tcPr>
          <w:p w14:paraId="78DAA7EE" w14:textId="77777777" w:rsidR="00A94677" w:rsidRPr="009E686F" w:rsidRDefault="00A94677" w:rsidP="00A94677">
            <w:r w:rsidRPr="009E686F">
              <w:rPr>
                <w:rFonts w:ascii="Times New Roman" w:hAnsi="Times New Roman" w:cs="Times New Roman"/>
                <w:lang w:val="ro-RO"/>
              </w:rPr>
              <w:t>În vigoare – data aderării.</w:t>
            </w:r>
          </w:p>
          <w:p w14:paraId="23508500" w14:textId="77777777" w:rsidR="00A94677" w:rsidRPr="009E686F" w:rsidRDefault="00A94677" w:rsidP="00265766">
            <w:pPr>
              <w:spacing w:after="0"/>
              <w:jc w:val="both"/>
              <w:rPr>
                <w:rFonts w:ascii="Times New Roman" w:hAnsi="Times New Roman" w:cs="Times New Roman"/>
                <w:lang w:val="it-IT"/>
              </w:rPr>
            </w:pPr>
          </w:p>
        </w:tc>
      </w:tr>
      <w:tr w:rsidR="00A94677" w:rsidRPr="009E686F" w14:paraId="46F485DF" w14:textId="77777777" w:rsidTr="007B3C89">
        <w:tc>
          <w:tcPr>
            <w:tcW w:w="1890" w:type="pct"/>
            <w:tcBorders>
              <w:top w:val="single" w:sz="4" w:space="0" w:color="auto"/>
              <w:left w:val="single" w:sz="4" w:space="0" w:color="auto"/>
              <w:bottom w:val="single" w:sz="4" w:space="0" w:color="auto"/>
              <w:right w:val="single" w:sz="4" w:space="0" w:color="auto"/>
            </w:tcBorders>
          </w:tcPr>
          <w:p w14:paraId="352D4A89" w14:textId="222BBA21" w:rsidR="00A94677" w:rsidRPr="009E686F" w:rsidDel="002D6675" w:rsidRDefault="00A94677" w:rsidP="00265766">
            <w:pPr>
              <w:spacing w:after="0"/>
              <w:jc w:val="both"/>
              <w:rPr>
                <w:rFonts w:ascii="Times New Roman" w:hAnsi="Times New Roman" w:cs="Times New Roman"/>
              </w:rPr>
            </w:pPr>
            <w:r w:rsidRPr="009E686F">
              <w:rPr>
                <w:rFonts w:ascii="Times New Roman" w:hAnsi="Times New Roman" w:cs="Times New Roman"/>
              </w:rPr>
              <w:t>(a) pregătește un raport privind structura și activitățile grupului dintr-o țară terță în Uniune și actualizează raportul respectiv în fiecare an;</w:t>
            </w:r>
          </w:p>
        </w:tc>
        <w:tc>
          <w:tcPr>
            <w:tcW w:w="1834" w:type="pct"/>
            <w:tcBorders>
              <w:top w:val="single" w:sz="4" w:space="0" w:color="auto"/>
              <w:left w:val="single" w:sz="4" w:space="0" w:color="auto"/>
              <w:bottom w:val="single" w:sz="4" w:space="0" w:color="auto"/>
              <w:right w:val="single" w:sz="4" w:space="0" w:color="auto"/>
            </w:tcBorders>
          </w:tcPr>
          <w:p w14:paraId="50461011" w14:textId="382941D6" w:rsidR="00A94677" w:rsidRPr="009E686F" w:rsidRDefault="00A94677" w:rsidP="00265766">
            <w:pPr>
              <w:spacing w:after="0" w:line="278" w:lineRule="auto"/>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 xml:space="preserve">a) pregătește un raport privind structura și activitățile grupului dintr-un stat terț în UE și actualizează raportul respectiv în fiecare an; </w:t>
            </w:r>
          </w:p>
        </w:tc>
        <w:tc>
          <w:tcPr>
            <w:tcW w:w="470" w:type="pct"/>
            <w:tcBorders>
              <w:top w:val="single" w:sz="4" w:space="0" w:color="auto"/>
              <w:left w:val="single" w:sz="4" w:space="0" w:color="auto"/>
              <w:bottom w:val="single" w:sz="4" w:space="0" w:color="auto"/>
              <w:right w:val="single" w:sz="4" w:space="0" w:color="auto"/>
            </w:tcBorders>
          </w:tcPr>
          <w:p w14:paraId="2AE34C0C" w14:textId="767E9BF4" w:rsidR="00A94677" w:rsidRPr="009E686F" w:rsidRDefault="00A94677" w:rsidP="00265766">
            <w:pPr>
              <w:jc w:val="both"/>
              <w:rPr>
                <w:rFonts w:ascii="Times New Roman" w:hAnsi="Times New Roman" w:cs="Times New Roman"/>
                <w:lang w:val="it-IT"/>
              </w:rPr>
            </w:pPr>
            <w:r w:rsidRPr="009E686F">
              <w:rPr>
                <w:rFonts w:ascii="Times New Roman" w:hAnsi="Times New Roman" w:cs="Times New Roman"/>
                <w:lang w:val="pt-BR"/>
              </w:rPr>
              <w:t>Compatibil</w:t>
            </w:r>
          </w:p>
        </w:tc>
        <w:tc>
          <w:tcPr>
            <w:tcW w:w="806" w:type="pct"/>
            <w:vMerge/>
            <w:tcBorders>
              <w:left w:val="single" w:sz="4" w:space="0" w:color="auto"/>
              <w:right w:val="single" w:sz="4" w:space="0" w:color="auto"/>
            </w:tcBorders>
          </w:tcPr>
          <w:p w14:paraId="6CE9231A" w14:textId="77777777" w:rsidR="00A94677" w:rsidRPr="009E686F" w:rsidRDefault="00A94677" w:rsidP="00265766">
            <w:pPr>
              <w:spacing w:after="0"/>
              <w:jc w:val="both"/>
              <w:rPr>
                <w:rFonts w:ascii="Times New Roman" w:hAnsi="Times New Roman" w:cs="Times New Roman"/>
                <w:lang w:val="it-IT"/>
              </w:rPr>
            </w:pPr>
          </w:p>
        </w:tc>
      </w:tr>
      <w:tr w:rsidR="00A94677" w:rsidRPr="009E686F" w14:paraId="0C07BC01" w14:textId="77777777" w:rsidTr="007B3C89">
        <w:tc>
          <w:tcPr>
            <w:tcW w:w="1890" w:type="pct"/>
            <w:tcBorders>
              <w:top w:val="single" w:sz="4" w:space="0" w:color="auto"/>
              <w:left w:val="single" w:sz="4" w:space="0" w:color="auto"/>
              <w:bottom w:val="single" w:sz="4" w:space="0" w:color="auto"/>
              <w:right w:val="single" w:sz="4" w:space="0" w:color="auto"/>
            </w:tcBorders>
          </w:tcPr>
          <w:p w14:paraId="33E3B5F6" w14:textId="2C535664" w:rsidR="00A94677" w:rsidRPr="009E686F" w:rsidDel="002D6675" w:rsidRDefault="00A94677" w:rsidP="00265766">
            <w:pPr>
              <w:spacing w:after="0"/>
              <w:jc w:val="both"/>
              <w:rPr>
                <w:rFonts w:ascii="Times New Roman" w:hAnsi="Times New Roman" w:cs="Times New Roman"/>
                <w:lang w:val="it-IT"/>
              </w:rPr>
            </w:pPr>
            <w:r w:rsidRPr="009E686F">
              <w:rPr>
                <w:rFonts w:ascii="Times New Roman" w:hAnsi="Times New Roman" w:cs="Times New Roman"/>
                <w:lang w:val="it-IT"/>
              </w:rPr>
              <w:t>(b) face schimb de informații cu privire la rezultatele procesului de supraveghere și evaluare menționat la articolul 48n;</w:t>
            </w:r>
          </w:p>
        </w:tc>
        <w:tc>
          <w:tcPr>
            <w:tcW w:w="1834" w:type="pct"/>
            <w:tcBorders>
              <w:top w:val="single" w:sz="4" w:space="0" w:color="auto"/>
              <w:left w:val="single" w:sz="4" w:space="0" w:color="auto"/>
              <w:bottom w:val="single" w:sz="4" w:space="0" w:color="auto"/>
              <w:right w:val="single" w:sz="4" w:space="0" w:color="auto"/>
            </w:tcBorders>
          </w:tcPr>
          <w:p w14:paraId="4051369A" w14:textId="4996AA50" w:rsidR="00A94677" w:rsidRPr="009E686F" w:rsidRDefault="00A94677" w:rsidP="00265766">
            <w:pPr>
              <w:spacing w:after="0" w:line="278" w:lineRule="auto"/>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b) face schimb de informații cu privire la rezultatele procesului de supraveghere și evaluare menționat la articolul 108</w:t>
            </w:r>
            <w:r w:rsidRPr="009E686F">
              <w:rPr>
                <w:rFonts w:ascii="Times New Roman" w:eastAsia="Aptos" w:hAnsi="Times New Roman" w:cs="Times New Roman"/>
                <w:i/>
                <w:iCs/>
                <w:kern w:val="2"/>
                <w:vertAlign w:val="superscript"/>
                <w:lang w:val="ro-MD"/>
              </w:rPr>
              <w:t>3</w:t>
            </w:r>
            <w:r w:rsidRPr="009E686F">
              <w:rPr>
                <w:rFonts w:ascii="Times New Roman" w:eastAsia="Aptos" w:hAnsi="Times New Roman" w:cs="Times New Roman"/>
                <w:i/>
                <w:iCs/>
                <w:kern w:val="2"/>
                <w:lang w:val="ro-MD"/>
              </w:rPr>
              <w:t xml:space="preserve">; </w:t>
            </w:r>
          </w:p>
        </w:tc>
        <w:tc>
          <w:tcPr>
            <w:tcW w:w="470" w:type="pct"/>
            <w:tcBorders>
              <w:top w:val="single" w:sz="4" w:space="0" w:color="auto"/>
              <w:left w:val="single" w:sz="4" w:space="0" w:color="auto"/>
              <w:bottom w:val="single" w:sz="4" w:space="0" w:color="auto"/>
              <w:right w:val="single" w:sz="4" w:space="0" w:color="auto"/>
            </w:tcBorders>
          </w:tcPr>
          <w:p w14:paraId="06A88AE4" w14:textId="7231DDF8" w:rsidR="00A94677" w:rsidRPr="009E686F" w:rsidRDefault="00A94677" w:rsidP="00265766">
            <w:pPr>
              <w:jc w:val="both"/>
              <w:rPr>
                <w:rFonts w:ascii="Times New Roman" w:hAnsi="Times New Roman" w:cs="Times New Roman"/>
                <w:lang w:val="it-IT"/>
              </w:rPr>
            </w:pPr>
            <w:r w:rsidRPr="009E686F">
              <w:rPr>
                <w:rFonts w:ascii="Times New Roman" w:hAnsi="Times New Roman" w:cs="Times New Roman"/>
                <w:lang w:val="pt-BR"/>
              </w:rPr>
              <w:t>Compatibil</w:t>
            </w:r>
          </w:p>
        </w:tc>
        <w:tc>
          <w:tcPr>
            <w:tcW w:w="806" w:type="pct"/>
            <w:vMerge/>
            <w:tcBorders>
              <w:left w:val="single" w:sz="4" w:space="0" w:color="auto"/>
              <w:right w:val="single" w:sz="4" w:space="0" w:color="auto"/>
            </w:tcBorders>
          </w:tcPr>
          <w:p w14:paraId="0AE4F13F" w14:textId="77777777" w:rsidR="00A94677" w:rsidRPr="009E686F" w:rsidRDefault="00A94677" w:rsidP="00265766">
            <w:pPr>
              <w:spacing w:after="0"/>
              <w:jc w:val="both"/>
              <w:rPr>
                <w:rFonts w:ascii="Times New Roman" w:hAnsi="Times New Roman" w:cs="Times New Roman"/>
                <w:lang w:val="it-IT"/>
              </w:rPr>
            </w:pPr>
          </w:p>
        </w:tc>
      </w:tr>
      <w:tr w:rsidR="00A94677" w:rsidRPr="009E686F" w14:paraId="4D4E698E" w14:textId="77777777" w:rsidTr="007B3C89">
        <w:tc>
          <w:tcPr>
            <w:tcW w:w="1890" w:type="pct"/>
            <w:tcBorders>
              <w:top w:val="single" w:sz="4" w:space="0" w:color="auto"/>
              <w:left w:val="single" w:sz="4" w:space="0" w:color="auto"/>
              <w:bottom w:val="single" w:sz="4" w:space="0" w:color="auto"/>
              <w:right w:val="single" w:sz="4" w:space="0" w:color="auto"/>
            </w:tcBorders>
          </w:tcPr>
          <w:p w14:paraId="7943A56E" w14:textId="717B738E" w:rsidR="00A94677" w:rsidRPr="009E686F" w:rsidDel="002D6675" w:rsidRDefault="00A94677" w:rsidP="00265766">
            <w:pPr>
              <w:spacing w:after="0"/>
              <w:jc w:val="both"/>
              <w:rPr>
                <w:rFonts w:ascii="Times New Roman" w:hAnsi="Times New Roman" w:cs="Times New Roman"/>
                <w:lang w:val="it-IT"/>
              </w:rPr>
            </w:pPr>
            <w:r w:rsidRPr="009E686F">
              <w:rPr>
                <w:rFonts w:ascii="Times New Roman" w:hAnsi="Times New Roman" w:cs="Times New Roman"/>
                <w:lang w:val="pt-BR"/>
              </w:rPr>
              <w:t>(c) depune eforturi pentru a alinia aplicarea măsurilor și a competențelor în materie de supraveghere menționate la articolul 48o.</w:t>
            </w:r>
          </w:p>
        </w:tc>
        <w:tc>
          <w:tcPr>
            <w:tcW w:w="1834" w:type="pct"/>
            <w:tcBorders>
              <w:top w:val="single" w:sz="4" w:space="0" w:color="auto"/>
              <w:left w:val="single" w:sz="4" w:space="0" w:color="auto"/>
              <w:bottom w:val="single" w:sz="4" w:space="0" w:color="auto"/>
              <w:right w:val="single" w:sz="4" w:space="0" w:color="auto"/>
            </w:tcBorders>
          </w:tcPr>
          <w:p w14:paraId="152D6C75" w14:textId="76F4751B" w:rsidR="00A94677" w:rsidRPr="009E686F" w:rsidRDefault="00A94677" w:rsidP="00265766">
            <w:pPr>
              <w:spacing w:after="0"/>
              <w:jc w:val="both"/>
              <w:rPr>
                <w:rFonts w:ascii="Times New Roman" w:hAnsi="Times New Roman" w:cs="Times New Roman"/>
                <w:b/>
                <w:i/>
                <w:iCs/>
                <w:lang w:val="it-IT"/>
              </w:rPr>
            </w:pPr>
            <w:r w:rsidRPr="009E686F">
              <w:rPr>
                <w:rFonts w:ascii="Times New Roman" w:eastAsia="Aptos" w:hAnsi="Times New Roman" w:cs="Times New Roman"/>
                <w:i/>
                <w:iCs/>
                <w:kern w:val="2"/>
                <w:lang w:val="ro-MD"/>
              </w:rPr>
              <w:t>c) depune eforturi pentru a alinia aplicarea măsurilor și a competențelor în materie de supraveghere menționate la articolul 108</w:t>
            </w:r>
            <w:r w:rsidRPr="009E686F">
              <w:rPr>
                <w:rFonts w:ascii="Times New Roman" w:eastAsia="Aptos" w:hAnsi="Times New Roman" w:cs="Times New Roman"/>
                <w:i/>
                <w:iCs/>
                <w:kern w:val="2"/>
                <w:vertAlign w:val="superscript"/>
                <w:lang w:val="ro-MD"/>
              </w:rPr>
              <w:t>4</w:t>
            </w:r>
            <w:r w:rsidRPr="009E686F">
              <w:rPr>
                <w:rFonts w:ascii="Times New Roman" w:eastAsia="Aptos" w:hAnsi="Times New Roman" w:cs="Times New Roman"/>
                <w:i/>
                <w:iCs/>
                <w:kern w:val="2"/>
                <w:lang w:val="ro-MD"/>
              </w:rPr>
              <w:t>.</w:t>
            </w:r>
          </w:p>
        </w:tc>
        <w:tc>
          <w:tcPr>
            <w:tcW w:w="470" w:type="pct"/>
            <w:tcBorders>
              <w:top w:val="single" w:sz="4" w:space="0" w:color="auto"/>
              <w:left w:val="single" w:sz="4" w:space="0" w:color="auto"/>
              <w:bottom w:val="single" w:sz="4" w:space="0" w:color="auto"/>
              <w:right w:val="single" w:sz="4" w:space="0" w:color="auto"/>
            </w:tcBorders>
          </w:tcPr>
          <w:p w14:paraId="0AA67583" w14:textId="635D14F6" w:rsidR="00A94677" w:rsidRPr="009E686F" w:rsidRDefault="00A94677" w:rsidP="00265766">
            <w:pPr>
              <w:jc w:val="both"/>
              <w:rPr>
                <w:rFonts w:ascii="Times New Roman" w:hAnsi="Times New Roman" w:cs="Times New Roman"/>
                <w:lang w:val="it-IT"/>
              </w:rPr>
            </w:pPr>
            <w:r w:rsidRPr="009E686F">
              <w:rPr>
                <w:rFonts w:ascii="Times New Roman" w:hAnsi="Times New Roman" w:cs="Times New Roman"/>
                <w:lang w:val="pt-BR"/>
              </w:rPr>
              <w:t>Compatibil</w:t>
            </w:r>
          </w:p>
        </w:tc>
        <w:tc>
          <w:tcPr>
            <w:tcW w:w="806" w:type="pct"/>
            <w:vMerge/>
            <w:tcBorders>
              <w:left w:val="single" w:sz="4" w:space="0" w:color="auto"/>
              <w:bottom w:val="single" w:sz="4" w:space="0" w:color="auto"/>
              <w:right w:val="single" w:sz="4" w:space="0" w:color="auto"/>
            </w:tcBorders>
          </w:tcPr>
          <w:p w14:paraId="2EF6CE20" w14:textId="77777777" w:rsidR="00A94677" w:rsidRPr="009E686F" w:rsidRDefault="00A94677" w:rsidP="00265766">
            <w:pPr>
              <w:spacing w:after="0"/>
              <w:jc w:val="both"/>
              <w:rPr>
                <w:rFonts w:ascii="Times New Roman" w:hAnsi="Times New Roman" w:cs="Times New Roman"/>
                <w:lang w:val="it-IT"/>
              </w:rPr>
            </w:pPr>
          </w:p>
        </w:tc>
      </w:tr>
      <w:tr w:rsidR="00265766" w:rsidRPr="009E686F" w14:paraId="041274F7" w14:textId="77777777" w:rsidTr="00960C23">
        <w:tc>
          <w:tcPr>
            <w:tcW w:w="1890" w:type="pct"/>
            <w:tcBorders>
              <w:top w:val="single" w:sz="4" w:space="0" w:color="auto"/>
              <w:left w:val="single" w:sz="4" w:space="0" w:color="auto"/>
              <w:bottom w:val="single" w:sz="4" w:space="0" w:color="auto"/>
              <w:right w:val="single" w:sz="4" w:space="0" w:color="auto"/>
            </w:tcBorders>
          </w:tcPr>
          <w:p w14:paraId="324BD50F" w14:textId="7836FE0A" w:rsidR="00265766" w:rsidRPr="009E686F" w:rsidDel="002D6675" w:rsidRDefault="00265766" w:rsidP="00265766">
            <w:pPr>
              <w:spacing w:after="0"/>
              <w:jc w:val="both"/>
              <w:rPr>
                <w:rFonts w:ascii="Times New Roman" w:hAnsi="Times New Roman" w:cs="Times New Roman"/>
                <w:lang w:val="it-IT"/>
              </w:rPr>
            </w:pPr>
            <w:r w:rsidRPr="009E686F">
              <w:rPr>
                <w:rFonts w:ascii="Times New Roman" w:hAnsi="Times New Roman" w:cs="Times New Roman"/>
                <w:lang w:val="it-IT"/>
              </w:rPr>
              <w:t>(5) Colegiul de supraveghetori asigură coordonarea și cooperarea corespunzătoare cu autoritățile de supraveghere relevante din țări terțe, după caz.</w:t>
            </w:r>
          </w:p>
        </w:tc>
        <w:tc>
          <w:tcPr>
            <w:tcW w:w="1834" w:type="pct"/>
            <w:tcBorders>
              <w:top w:val="single" w:sz="4" w:space="0" w:color="auto"/>
              <w:left w:val="single" w:sz="4" w:space="0" w:color="auto"/>
              <w:bottom w:val="single" w:sz="4" w:space="0" w:color="auto"/>
              <w:right w:val="single" w:sz="4" w:space="0" w:color="auto"/>
            </w:tcBorders>
          </w:tcPr>
          <w:p w14:paraId="113224C6" w14:textId="3B67166F" w:rsidR="00265766" w:rsidRPr="009E686F" w:rsidRDefault="00265766" w:rsidP="00265766">
            <w:pPr>
              <w:spacing w:after="0"/>
              <w:jc w:val="both"/>
              <w:rPr>
                <w:rFonts w:ascii="Times New Roman" w:hAnsi="Times New Roman" w:cs="Times New Roman"/>
                <w:b/>
                <w:i/>
                <w:iCs/>
                <w:lang w:val="pt-BR"/>
              </w:rPr>
            </w:pPr>
            <w:r w:rsidRPr="009E686F">
              <w:rPr>
                <w:rFonts w:ascii="Times New Roman" w:eastAsia="Aptos" w:hAnsi="Times New Roman" w:cs="Times New Roman"/>
                <w:i/>
                <w:iCs/>
                <w:kern w:val="2"/>
                <w:lang w:val="ro-MD"/>
              </w:rPr>
              <w:t>(6) Colegiul de supraveghetori asigură coordonarea și cooperarea corespunzătoare cu autoritățile de supraveghere relevante din state terțe, după caz.</w:t>
            </w:r>
          </w:p>
        </w:tc>
        <w:tc>
          <w:tcPr>
            <w:tcW w:w="470" w:type="pct"/>
            <w:tcBorders>
              <w:top w:val="single" w:sz="4" w:space="0" w:color="auto"/>
              <w:left w:val="single" w:sz="4" w:space="0" w:color="auto"/>
              <w:bottom w:val="single" w:sz="4" w:space="0" w:color="auto"/>
              <w:right w:val="single" w:sz="4" w:space="0" w:color="auto"/>
            </w:tcBorders>
          </w:tcPr>
          <w:p w14:paraId="4BB9859D" w14:textId="04FA0CBE" w:rsidR="00265766" w:rsidRPr="009E686F" w:rsidRDefault="00265766" w:rsidP="00265766">
            <w:pPr>
              <w:jc w:val="both"/>
              <w:rPr>
                <w:rFonts w:ascii="Times New Roman" w:hAnsi="Times New Roman" w:cs="Times New Roman"/>
                <w:lang w:val="pt-BR"/>
              </w:rPr>
            </w:pPr>
            <w:r w:rsidRPr="009E686F">
              <w:rPr>
                <w:rFonts w:ascii="Times New Roman" w:hAnsi="Times New Roman" w:cs="Times New Roman"/>
                <w:lang w:val="pt-BR"/>
              </w:rPr>
              <w:t>Compatibil</w:t>
            </w:r>
          </w:p>
        </w:tc>
        <w:tc>
          <w:tcPr>
            <w:tcW w:w="806" w:type="pct"/>
            <w:tcBorders>
              <w:top w:val="single" w:sz="4" w:space="0" w:color="auto"/>
              <w:left w:val="single" w:sz="4" w:space="0" w:color="auto"/>
              <w:bottom w:val="single" w:sz="4" w:space="0" w:color="auto"/>
              <w:right w:val="single" w:sz="4" w:space="0" w:color="auto"/>
            </w:tcBorders>
          </w:tcPr>
          <w:p w14:paraId="4DA15A71" w14:textId="77777777" w:rsidR="00A94677" w:rsidRPr="009E686F" w:rsidRDefault="00A94677" w:rsidP="00A94677">
            <w:r w:rsidRPr="009E686F">
              <w:rPr>
                <w:rFonts w:ascii="Times New Roman" w:hAnsi="Times New Roman" w:cs="Times New Roman"/>
                <w:lang w:val="ro-RO"/>
              </w:rPr>
              <w:t>În vigoare – data aderării.</w:t>
            </w:r>
          </w:p>
          <w:p w14:paraId="2747AF07" w14:textId="77777777" w:rsidR="00265766" w:rsidRPr="009E686F" w:rsidRDefault="00265766" w:rsidP="00265766">
            <w:pPr>
              <w:spacing w:after="0"/>
              <w:jc w:val="both"/>
              <w:rPr>
                <w:rFonts w:ascii="Times New Roman" w:hAnsi="Times New Roman" w:cs="Times New Roman"/>
                <w:lang w:val="pt-BR"/>
              </w:rPr>
            </w:pPr>
          </w:p>
        </w:tc>
      </w:tr>
      <w:tr w:rsidR="00265766" w:rsidRPr="009E686F" w14:paraId="762A9D58" w14:textId="77777777" w:rsidTr="00960C23">
        <w:tc>
          <w:tcPr>
            <w:tcW w:w="1890" w:type="pct"/>
            <w:tcBorders>
              <w:top w:val="single" w:sz="4" w:space="0" w:color="auto"/>
              <w:left w:val="single" w:sz="4" w:space="0" w:color="auto"/>
              <w:bottom w:val="single" w:sz="4" w:space="0" w:color="auto"/>
              <w:right w:val="single" w:sz="4" w:space="0" w:color="auto"/>
            </w:tcBorders>
          </w:tcPr>
          <w:p w14:paraId="248E1566" w14:textId="77777777" w:rsidR="00265766" w:rsidRPr="009E686F" w:rsidDel="002D6675"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 xml:space="preserve">(6) ABE contribuie la promovarea și monitorizarea funcționării eficiente, efective și coerente a colegiilor de supraveghetori </w:t>
            </w:r>
            <w:r w:rsidRPr="009E686F">
              <w:rPr>
                <w:rFonts w:ascii="Times New Roman" w:hAnsi="Times New Roman" w:cs="Times New Roman"/>
                <w:lang w:val="it-CH"/>
              </w:rPr>
              <w:lastRenderedPageBreak/>
              <w:t>menționate în prezentul articol, în conformitate cu articolul 21 din Regulamentul (UE) nr. 1093/2010.</w:t>
            </w:r>
          </w:p>
          <w:p w14:paraId="79D7BD72" w14:textId="77777777" w:rsidR="00265766" w:rsidRPr="009E686F" w:rsidDel="002D6675" w:rsidRDefault="00265766" w:rsidP="00265766">
            <w:pPr>
              <w:spacing w:after="0"/>
              <w:jc w:val="both"/>
              <w:rPr>
                <w:rFonts w:ascii="Times New Roman" w:hAnsi="Times New Roman" w:cs="Times New Roman"/>
                <w:lang w:val="pt-BR"/>
              </w:rPr>
            </w:pPr>
            <w:r w:rsidRPr="009E686F">
              <w:rPr>
                <w:rFonts w:ascii="Times New Roman" w:hAnsi="Times New Roman" w:cs="Times New Roman"/>
                <w:lang w:val="pt-BR"/>
              </w:rPr>
              <w:t>(7) ABE elaborează proiecte de standarde tehnice de reglementare pentru a preciza:</w:t>
            </w:r>
          </w:p>
          <w:p w14:paraId="648BC4FC" w14:textId="77777777" w:rsidR="00265766" w:rsidRPr="009E686F" w:rsidDel="002D6675" w:rsidRDefault="00265766" w:rsidP="00265766">
            <w:pPr>
              <w:spacing w:after="0"/>
              <w:jc w:val="both"/>
              <w:rPr>
                <w:rFonts w:ascii="Times New Roman" w:hAnsi="Times New Roman" w:cs="Times New Roman"/>
                <w:lang w:val="pt-BR"/>
              </w:rPr>
            </w:pPr>
            <w:r w:rsidRPr="009E686F">
              <w:rPr>
                <w:rFonts w:ascii="Times New Roman" w:hAnsi="Times New Roman" w:cs="Times New Roman"/>
                <w:lang w:val="pt-BR"/>
              </w:rPr>
              <w:t>(a) mecanismele de cooperare și proiectele de modele de acorduri dintre autoritățile competente în sensul alineatului (1); și</w:t>
            </w:r>
          </w:p>
          <w:p w14:paraId="6110DA13" w14:textId="77777777" w:rsidR="00265766" w:rsidRPr="009E686F" w:rsidDel="002D6675" w:rsidRDefault="00265766" w:rsidP="00265766">
            <w:pPr>
              <w:spacing w:after="0"/>
              <w:jc w:val="both"/>
              <w:rPr>
                <w:rFonts w:ascii="Times New Roman" w:hAnsi="Times New Roman" w:cs="Times New Roman"/>
                <w:lang w:val="pt-BR"/>
              </w:rPr>
            </w:pPr>
            <w:r w:rsidRPr="009E686F">
              <w:rPr>
                <w:rFonts w:ascii="Times New Roman" w:hAnsi="Times New Roman" w:cs="Times New Roman"/>
                <w:lang w:val="pt-BR"/>
              </w:rPr>
              <w:t>(b) condițiile de funcționare a colegiilor de supraveghetori în sensul alineatelor (2)-(6).</w:t>
            </w:r>
          </w:p>
          <w:p w14:paraId="5E8B05A2" w14:textId="77777777" w:rsidR="00265766" w:rsidRPr="009E686F" w:rsidRDefault="00265766" w:rsidP="00265766">
            <w:pPr>
              <w:spacing w:after="0"/>
              <w:jc w:val="both"/>
              <w:rPr>
                <w:rFonts w:ascii="Times New Roman" w:hAnsi="Times New Roman" w:cs="Times New Roman"/>
                <w:lang w:val="pt-BR"/>
              </w:rPr>
            </w:pPr>
            <w:r w:rsidRPr="009E686F">
              <w:rPr>
                <w:rFonts w:ascii="Times New Roman" w:hAnsi="Times New Roman" w:cs="Times New Roman"/>
                <w:lang w:val="pt-BR"/>
              </w:rPr>
              <w:t>ABE înaintează Comisiei aceste proiecte de standarde tehnice de reglementare până la 10 ianuarie 2026.</w:t>
            </w:r>
          </w:p>
          <w:p w14:paraId="166405ED" w14:textId="77777777" w:rsidR="00265766" w:rsidRPr="009E686F" w:rsidDel="002D6675" w:rsidRDefault="00265766" w:rsidP="00265766">
            <w:pPr>
              <w:spacing w:after="0"/>
              <w:jc w:val="both"/>
              <w:rPr>
                <w:rFonts w:ascii="Times New Roman" w:hAnsi="Times New Roman" w:cs="Times New Roman"/>
                <w:lang w:val="pt-BR"/>
              </w:rPr>
            </w:pPr>
            <w:r w:rsidRPr="009E686F">
              <w:rPr>
                <w:rFonts w:ascii="Times New Roman" w:hAnsi="Times New Roman" w:cs="Times New Roman"/>
                <w:lang w:val="pt-BR"/>
              </w:rPr>
              <w:t>Comisiei îi este delegată competența de a completa prezenta directivă prin adoptarea standardelor tehnice de reglementare menționate la primul paragraf de la prezentul alineat în conformitate cu articolele 10-14 din Regulamentul (UE) nr. 1093/2010.</w:t>
            </w:r>
          </w:p>
          <w:p w14:paraId="1644020F" w14:textId="77777777" w:rsidR="00265766" w:rsidRPr="009E686F" w:rsidDel="002D6675" w:rsidRDefault="00265766" w:rsidP="00265766">
            <w:pPr>
              <w:spacing w:after="0"/>
              <w:jc w:val="both"/>
              <w:rPr>
                <w:rFonts w:ascii="Times New Roman" w:hAnsi="Times New Roman" w:cs="Times New Roman"/>
                <w:lang w:val="pt-BR"/>
              </w:rPr>
            </w:pPr>
            <w:r w:rsidRPr="009E686F">
              <w:rPr>
                <w:rFonts w:ascii="Times New Roman" w:hAnsi="Times New Roman" w:cs="Times New Roman"/>
                <w:lang w:val="pt-BR"/>
              </w:rPr>
              <w:t>ABE înaintează Comisiei aceste proiecte de standarde tehnice de reglementare până la 10 ianuarie 2026.</w:t>
            </w:r>
          </w:p>
          <w:p w14:paraId="4223D4DC" w14:textId="4A0FAC53" w:rsidR="00265766" w:rsidRPr="009E686F" w:rsidRDefault="00265766" w:rsidP="00265766">
            <w:pPr>
              <w:spacing w:after="0"/>
              <w:jc w:val="both"/>
              <w:rPr>
                <w:rFonts w:ascii="Times New Roman" w:hAnsi="Times New Roman" w:cs="Times New Roman"/>
                <w:lang w:val="pt-BR"/>
              </w:rPr>
            </w:pPr>
            <w:r w:rsidRPr="009E686F">
              <w:rPr>
                <w:rFonts w:ascii="Times New Roman" w:hAnsi="Times New Roman" w:cs="Times New Roman"/>
                <w:lang w:val="pt-BR"/>
              </w:rPr>
              <w:t>Comisiei îi este delegată competența de a completa prezenta directivă prin adoptarea standardelor tehnice de reglementare menționate la primul paragraf de la prezentul alineat în conformitate cu articolele 10-14 din Regulamentul (UE) nr. 1093/2010.</w:t>
            </w:r>
          </w:p>
        </w:tc>
        <w:tc>
          <w:tcPr>
            <w:tcW w:w="1834" w:type="pct"/>
            <w:tcBorders>
              <w:top w:val="single" w:sz="4" w:space="0" w:color="auto"/>
              <w:left w:val="single" w:sz="4" w:space="0" w:color="auto"/>
              <w:bottom w:val="single" w:sz="4" w:space="0" w:color="auto"/>
              <w:right w:val="single" w:sz="4" w:space="0" w:color="auto"/>
            </w:tcBorders>
          </w:tcPr>
          <w:p w14:paraId="73A9E08C" w14:textId="77777777" w:rsidR="00265766" w:rsidRPr="009E686F" w:rsidRDefault="00265766" w:rsidP="00265766">
            <w:pPr>
              <w:spacing w:after="0"/>
              <w:jc w:val="both"/>
              <w:rPr>
                <w:rFonts w:ascii="Times New Roman" w:eastAsia="Aptos" w:hAnsi="Times New Roman" w:cs="Times New Roman"/>
                <w:i/>
                <w:iCs/>
                <w:kern w:val="2"/>
                <w:lang w:val="ro-MD"/>
              </w:rPr>
            </w:pPr>
          </w:p>
        </w:tc>
        <w:tc>
          <w:tcPr>
            <w:tcW w:w="470" w:type="pct"/>
            <w:tcBorders>
              <w:top w:val="single" w:sz="4" w:space="0" w:color="auto"/>
              <w:left w:val="single" w:sz="4" w:space="0" w:color="auto"/>
              <w:bottom w:val="single" w:sz="4" w:space="0" w:color="auto"/>
              <w:right w:val="single" w:sz="4" w:space="0" w:color="auto"/>
            </w:tcBorders>
          </w:tcPr>
          <w:p w14:paraId="571858E3" w14:textId="3E08345C" w:rsidR="00265766" w:rsidRPr="009E686F" w:rsidRDefault="00265766" w:rsidP="00265766">
            <w:pPr>
              <w:jc w:val="both"/>
              <w:rPr>
                <w:rFonts w:ascii="Times New Roman" w:hAnsi="Times New Roman" w:cs="Times New Roman"/>
                <w:lang w:val="pt-BR"/>
              </w:rPr>
            </w:pPr>
            <w:r w:rsidRPr="009E686F">
              <w:rPr>
                <w:rFonts w:ascii="Times New Roman" w:hAnsi="Times New Roman" w:cs="Times New Roman"/>
                <w:lang w:val="pt-BR"/>
              </w:rPr>
              <w:t>Norme UE neaplicabile</w:t>
            </w:r>
          </w:p>
        </w:tc>
        <w:tc>
          <w:tcPr>
            <w:tcW w:w="806" w:type="pct"/>
            <w:tcBorders>
              <w:top w:val="single" w:sz="4" w:space="0" w:color="auto"/>
              <w:left w:val="single" w:sz="4" w:space="0" w:color="auto"/>
              <w:bottom w:val="single" w:sz="4" w:space="0" w:color="auto"/>
              <w:right w:val="single" w:sz="4" w:space="0" w:color="auto"/>
            </w:tcBorders>
          </w:tcPr>
          <w:p w14:paraId="5C16EA62" w14:textId="5BCD8B3B" w:rsidR="00265766" w:rsidRPr="009E686F" w:rsidRDefault="00265766" w:rsidP="00265766">
            <w:pPr>
              <w:spacing w:after="0"/>
              <w:jc w:val="both"/>
              <w:rPr>
                <w:rFonts w:ascii="Times New Roman" w:hAnsi="Times New Roman" w:cs="Times New Roman"/>
                <w:lang w:val="pt-BR"/>
              </w:rPr>
            </w:pPr>
            <w:r w:rsidRPr="009E686F">
              <w:rPr>
                <w:rFonts w:ascii="Times New Roman" w:hAnsi="Times New Roman" w:cs="Times New Roman"/>
                <w:lang w:val="pt-BR"/>
              </w:rPr>
              <w:t>Se referă la competențele ABE</w:t>
            </w:r>
          </w:p>
        </w:tc>
      </w:tr>
      <w:tr w:rsidR="00A94677" w:rsidRPr="009E686F" w14:paraId="200D5C3E" w14:textId="77777777" w:rsidTr="00D73750">
        <w:tc>
          <w:tcPr>
            <w:tcW w:w="1890" w:type="pct"/>
            <w:tcBorders>
              <w:top w:val="single" w:sz="4" w:space="0" w:color="auto"/>
              <w:left w:val="single" w:sz="4" w:space="0" w:color="auto"/>
              <w:bottom w:val="single" w:sz="4" w:space="0" w:color="auto"/>
              <w:right w:val="single" w:sz="4" w:space="0" w:color="auto"/>
            </w:tcBorders>
          </w:tcPr>
          <w:p w14:paraId="452619E5" w14:textId="77777777" w:rsidR="00A94677" w:rsidRPr="009E686F" w:rsidRDefault="00A94677" w:rsidP="00265766">
            <w:pPr>
              <w:spacing w:after="0"/>
              <w:jc w:val="both"/>
              <w:rPr>
                <w:rFonts w:ascii="Times New Roman" w:hAnsi="Times New Roman" w:cs="Times New Roman"/>
                <w:i/>
                <w:iCs/>
                <w:lang w:val="pt-BR"/>
              </w:rPr>
            </w:pPr>
            <w:r w:rsidRPr="009E686F">
              <w:rPr>
                <w:rFonts w:ascii="Times New Roman" w:hAnsi="Times New Roman" w:cs="Times New Roman"/>
                <w:i/>
                <w:iCs/>
                <w:lang w:val="pt-BR"/>
              </w:rPr>
              <w:t xml:space="preserve">Articolul 48q </w:t>
            </w:r>
          </w:p>
          <w:p w14:paraId="12F67007" w14:textId="6B5208BD" w:rsidR="00A94677" w:rsidRPr="009E686F" w:rsidDel="002D6675" w:rsidRDefault="00A94677" w:rsidP="00265766">
            <w:pPr>
              <w:spacing w:after="0"/>
              <w:jc w:val="both"/>
              <w:rPr>
                <w:rFonts w:ascii="Times New Roman" w:hAnsi="Times New Roman" w:cs="Times New Roman"/>
                <w:lang w:val="pt-BR"/>
              </w:rPr>
            </w:pPr>
            <w:r w:rsidRPr="009E686F">
              <w:rPr>
                <w:rFonts w:ascii="Times New Roman" w:hAnsi="Times New Roman" w:cs="Times New Roman"/>
                <w:lang w:val="pt-BR"/>
              </w:rPr>
              <w:t>Notificarea către ABE</w:t>
            </w:r>
          </w:p>
        </w:tc>
        <w:tc>
          <w:tcPr>
            <w:tcW w:w="1834" w:type="pct"/>
            <w:tcBorders>
              <w:top w:val="single" w:sz="4" w:space="0" w:color="auto"/>
              <w:left w:val="single" w:sz="4" w:space="0" w:color="auto"/>
              <w:bottom w:val="single" w:sz="4" w:space="0" w:color="auto"/>
              <w:right w:val="single" w:sz="4" w:space="0" w:color="auto"/>
            </w:tcBorders>
          </w:tcPr>
          <w:p w14:paraId="5D9D82C8" w14:textId="7BA432A5" w:rsidR="00A94677" w:rsidRPr="009E686F" w:rsidRDefault="00A94677" w:rsidP="00265766">
            <w:pPr>
              <w:spacing w:after="0"/>
              <w:jc w:val="both"/>
              <w:rPr>
                <w:rFonts w:ascii="Times New Roman" w:hAnsi="Times New Roman" w:cs="Times New Roman"/>
                <w:b/>
                <w:lang w:val="it-IT"/>
              </w:rPr>
            </w:pPr>
            <w:r w:rsidRPr="009E686F">
              <w:rPr>
                <w:rFonts w:ascii="Times New Roman" w:eastAsia="Aptos" w:hAnsi="Times New Roman" w:cs="Times New Roman"/>
                <w:b/>
                <w:bCs/>
                <w:kern w:val="2"/>
                <w:lang w:val="ro-MD"/>
              </w:rPr>
              <w:t>Articolul 108</w:t>
            </w:r>
            <w:r w:rsidRPr="009E686F">
              <w:rPr>
                <w:rFonts w:ascii="Times New Roman" w:eastAsia="Aptos" w:hAnsi="Times New Roman" w:cs="Times New Roman"/>
                <w:b/>
                <w:bCs/>
                <w:kern w:val="2"/>
                <w:vertAlign w:val="superscript"/>
                <w:lang w:val="ro-MD"/>
              </w:rPr>
              <w:t>6</w:t>
            </w:r>
            <w:r w:rsidRPr="009E686F">
              <w:rPr>
                <w:rFonts w:ascii="Times New Roman" w:eastAsia="Aptos" w:hAnsi="Times New Roman" w:cs="Times New Roman"/>
                <w:b/>
                <w:bCs/>
                <w:kern w:val="2"/>
                <w:lang w:val="ro-MD"/>
              </w:rPr>
              <w:t xml:space="preserve">. </w:t>
            </w:r>
            <w:r w:rsidRPr="009E686F">
              <w:rPr>
                <w:rFonts w:ascii="Times New Roman" w:eastAsia="Aptos" w:hAnsi="Times New Roman" w:cs="Times New Roman"/>
                <w:i/>
                <w:iCs/>
                <w:kern w:val="2"/>
                <w:lang w:val="ro-MD"/>
              </w:rPr>
              <w:t>Notificarea către Autoritatea Bancară Europeană</w:t>
            </w:r>
          </w:p>
        </w:tc>
        <w:tc>
          <w:tcPr>
            <w:tcW w:w="470" w:type="pct"/>
            <w:tcBorders>
              <w:top w:val="single" w:sz="4" w:space="0" w:color="auto"/>
              <w:left w:val="single" w:sz="4" w:space="0" w:color="auto"/>
              <w:bottom w:val="single" w:sz="4" w:space="0" w:color="auto"/>
              <w:right w:val="single" w:sz="4" w:space="0" w:color="auto"/>
            </w:tcBorders>
          </w:tcPr>
          <w:p w14:paraId="7EAF0EE4" w14:textId="03D84491" w:rsidR="00A94677" w:rsidRPr="009E686F" w:rsidRDefault="00A94677" w:rsidP="00265766">
            <w:pPr>
              <w:jc w:val="both"/>
              <w:rPr>
                <w:rFonts w:ascii="Times New Roman" w:hAnsi="Times New Roman" w:cs="Times New Roman"/>
                <w:lang w:val="it-IT"/>
              </w:rPr>
            </w:pPr>
            <w:r w:rsidRPr="009E686F">
              <w:rPr>
                <w:rFonts w:ascii="Times New Roman" w:hAnsi="Times New Roman" w:cs="Times New Roman"/>
                <w:lang w:val="pt-BR"/>
              </w:rPr>
              <w:t>Compatibil</w:t>
            </w:r>
          </w:p>
        </w:tc>
        <w:tc>
          <w:tcPr>
            <w:tcW w:w="806" w:type="pct"/>
            <w:vMerge w:val="restart"/>
            <w:tcBorders>
              <w:top w:val="single" w:sz="4" w:space="0" w:color="auto"/>
              <w:left w:val="single" w:sz="4" w:space="0" w:color="auto"/>
              <w:right w:val="single" w:sz="4" w:space="0" w:color="auto"/>
            </w:tcBorders>
          </w:tcPr>
          <w:p w14:paraId="5E9B3921" w14:textId="77777777" w:rsidR="00A94677" w:rsidRPr="009E686F" w:rsidRDefault="00A94677" w:rsidP="00A94677">
            <w:r w:rsidRPr="009E686F">
              <w:rPr>
                <w:rFonts w:ascii="Times New Roman" w:hAnsi="Times New Roman" w:cs="Times New Roman"/>
                <w:lang w:val="ro-RO"/>
              </w:rPr>
              <w:t>În vigoare – data aderării.</w:t>
            </w:r>
          </w:p>
          <w:p w14:paraId="1CDB31AC" w14:textId="77777777" w:rsidR="00A94677" w:rsidRPr="009E686F" w:rsidRDefault="00A94677" w:rsidP="00265766">
            <w:pPr>
              <w:spacing w:after="0"/>
              <w:jc w:val="both"/>
              <w:rPr>
                <w:rFonts w:ascii="Times New Roman" w:hAnsi="Times New Roman" w:cs="Times New Roman"/>
                <w:lang w:val="it-IT"/>
              </w:rPr>
            </w:pPr>
          </w:p>
        </w:tc>
      </w:tr>
      <w:tr w:rsidR="00A94677" w:rsidRPr="009E686F" w14:paraId="7F15C8EB" w14:textId="77777777" w:rsidTr="00D73750">
        <w:tc>
          <w:tcPr>
            <w:tcW w:w="1890" w:type="pct"/>
            <w:tcBorders>
              <w:top w:val="single" w:sz="4" w:space="0" w:color="auto"/>
              <w:left w:val="single" w:sz="4" w:space="0" w:color="auto"/>
              <w:bottom w:val="single" w:sz="4" w:space="0" w:color="auto"/>
              <w:right w:val="single" w:sz="4" w:space="0" w:color="auto"/>
            </w:tcBorders>
          </w:tcPr>
          <w:p w14:paraId="23DF9B1C" w14:textId="5A3055C6" w:rsidR="00A94677" w:rsidRPr="009E686F" w:rsidRDefault="00A94677" w:rsidP="00265766">
            <w:pPr>
              <w:spacing w:after="0"/>
              <w:jc w:val="both"/>
              <w:rPr>
                <w:rFonts w:ascii="Times New Roman" w:hAnsi="Times New Roman" w:cs="Times New Roman"/>
                <w:lang w:val="pt-BR"/>
              </w:rPr>
            </w:pPr>
            <w:r w:rsidRPr="009E686F">
              <w:rPr>
                <w:rFonts w:ascii="Times New Roman" w:hAnsi="Times New Roman" w:cs="Times New Roman"/>
                <w:lang w:val="pt-BR"/>
              </w:rPr>
              <w:t>Autoritățile competente notifică ABE următoarele:</w:t>
            </w:r>
          </w:p>
        </w:tc>
        <w:tc>
          <w:tcPr>
            <w:tcW w:w="1834" w:type="pct"/>
            <w:tcBorders>
              <w:top w:val="single" w:sz="4" w:space="0" w:color="auto"/>
              <w:left w:val="single" w:sz="4" w:space="0" w:color="auto"/>
              <w:bottom w:val="single" w:sz="4" w:space="0" w:color="auto"/>
              <w:right w:val="single" w:sz="4" w:space="0" w:color="auto"/>
            </w:tcBorders>
          </w:tcPr>
          <w:p w14:paraId="5CBE76FE" w14:textId="2421A4B9" w:rsidR="00A94677" w:rsidRPr="009E686F" w:rsidRDefault="00A94677" w:rsidP="00265766">
            <w:pPr>
              <w:spacing w:after="0" w:line="278" w:lineRule="auto"/>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 xml:space="preserve">(1) Banca Națională a Moldovei notifică Autoritatea Bancară Europeană cu privire la: </w:t>
            </w:r>
          </w:p>
        </w:tc>
        <w:tc>
          <w:tcPr>
            <w:tcW w:w="470" w:type="pct"/>
            <w:tcBorders>
              <w:top w:val="single" w:sz="4" w:space="0" w:color="auto"/>
              <w:left w:val="single" w:sz="4" w:space="0" w:color="auto"/>
              <w:bottom w:val="single" w:sz="4" w:space="0" w:color="auto"/>
              <w:right w:val="single" w:sz="4" w:space="0" w:color="auto"/>
            </w:tcBorders>
          </w:tcPr>
          <w:p w14:paraId="11E7E1F7" w14:textId="546CE27E" w:rsidR="00A94677" w:rsidRPr="009E686F" w:rsidRDefault="00A94677" w:rsidP="00265766">
            <w:pPr>
              <w:jc w:val="both"/>
              <w:rPr>
                <w:rFonts w:ascii="Times New Roman" w:hAnsi="Times New Roman" w:cs="Times New Roman"/>
                <w:lang w:val="it-IT"/>
              </w:rPr>
            </w:pPr>
            <w:r w:rsidRPr="009E686F">
              <w:rPr>
                <w:rFonts w:ascii="Times New Roman" w:hAnsi="Times New Roman" w:cs="Times New Roman"/>
                <w:lang w:val="pt-BR"/>
              </w:rPr>
              <w:t>Compatibil</w:t>
            </w:r>
          </w:p>
        </w:tc>
        <w:tc>
          <w:tcPr>
            <w:tcW w:w="806" w:type="pct"/>
            <w:vMerge/>
            <w:tcBorders>
              <w:left w:val="single" w:sz="4" w:space="0" w:color="auto"/>
              <w:right w:val="single" w:sz="4" w:space="0" w:color="auto"/>
            </w:tcBorders>
          </w:tcPr>
          <w:p w14:paraId="07D48598" w14:textId="77777777" w:rsidR="00A94677" w:rsidRPr="009E686F" w:rsidRDefault="00A94677" w:rsidP="00265766">
            <w:pPr>
              <w:spacing w:after="0"/>
              <w:jc w:val="both"/>
              <w:rPr>
                <w:rFonts w:ascii="Times New Roman" w:hAnsi="Times New Roman" w:cs="Times New Roman"/>
                <w:lang w:val="it-IT"/>
              </w:rPr>
            </w:pPr>
          </w:p>
        </w:tc>
      </w:tr>
      <w:tr w:rsidR="00A94677" w:rsidRPr="009E686F" w14:paraId="2A1C8355" w14:textId="77777777" w:rsidTr="00D73750">
        <w:tc>
          <w:tcPr>
            <w:tcW w:w="1890" w:type="pct"/>
            <w:tcBorders>
              <w:top w:val="single" w:sz="4" w:space="0" w:color="auto"/>
              <w:left w:val="single" w:sz="4" w:space="0" w:color="auto"/>
              <w:bottom w:val="single" w:sz="4" w:space="0" w:color="auto"/>
              <w:right w:val="single" w:sz="4" w:space="0" w:color="auto"/>
            </w:tcBorders>
          </w:tcPr>
          <w:p w14:paraId="0609DF5D" w14:textId="3CBD2E9F" w:rsidR="00A94677" w:rsidRPr="009E686F" w:rsidRDefault="00A94677" w:rsidP="00265766">
            <w:pPr>
              <w:spacing w:after="0"/>
              <w:jc w:val="both"/>
              <w:rPr>
                <w:rFonts w:ascii="Times New Roman" w:hAnsi="Times New Roman" w:cs="Times New Roman"/>
                <w:lang w:val="pt-BR"/>
              </w:rPr>
            </w:pPr>
            <w:r w:rsidRPr="009E686F">
              <w:rPr>
                <w:rFonts w:ascii="Times New Roman" w:hAnsi="Times New Roman" w:cs="Times New Roman"/>
                <w:lang w:val="pt-BR"/>
              </w:rPr>
              <w:t>(a) toate autorizațiile acordate sucursalelor din țări terțe și orice modificări ulterioare ale acestor autorizații;</w:t>
            </w:r>
          </w:p>
        </w:tc>
        <w:tc>
          <w:tcPr>
            <w:tcW w:w="1834" w:type="pct"/>
            <w:tcBorders>
              <w:top w:val="single" w:sz="4" w:space="0" w:color="auto"/>
              <w:left w:val="single" w:sz="4" w:space="0" w:color="auto"/>
              <w:bottom w:val="single" w:sz="4" w:space="0" w:color="auto"/>
              <w:right w:val="single" w:sz="4" w:space="0" w:color="auto"/>
            </w:tcBorders>
          </w:tcPr>
          <w:p w14:paraId="52B7AEB9" w14:textId="33C00D80" w:rsidR="00A94677" w:rsidRPr="009E686F" w:rsidRDefault="00A94677" w:rsidP="00265766">
            <w:pPr>
              <w:spacing w:after="0" w:line="278" w:lineRule="auto"/>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 xml:space="preserve">a) toate autorizațiile acordate sucursalelor din state terțe și orice modificări ulterioare ale acestor autorizații; </w:t>
            </w:r>
          </w:p>
        </w:tc>
        <w:tc>
          <w:tcPr>
            <w:tcW w:w="470" w:type="pct"/>
            <w:tcBorders>
              <w:top w:val="single" w:sz="4" w:space="0" w:color="auto"/>
              <w:left w:val="single" w:sz="4" w:space="0" w:color="auto"/>
              <w:bottom w:val="single" w:sz="4" w:space="0" w:color="auto"/>
              <w:right w:val="single" w:sz="4" w:space="0" w:color="auto"/>
            </w:tcBorders>
          </w:tcPr>
          <w:p w14:paraId="6BB6D568" w14:textId="7039E7D1" w:rsidR="00A94677" w:rsidRPr="009E686F" w:rsidRDefault="00A94677" w:rsidP="00265766">
            <w:pPr>
              <w:jc w:val="both"/>
              <w:rPr>
                <w:rFonts w:ascii="Times New Roman" w:hAnsi="Times New Roman" w:cs="Times New Roman"/>
                <w:lang w:val="pt-BR"/>
              </w:rPr>
            </w:pPr>
            <w:r w:rsidRPr="009E686F">
              <w:rPr>
                <w:rFonts w:ascii="Times New Roman" w:hAnsi="Times New Roman" w:cs="Times New Roman"/>
                <w:lang w:val="pt-BR"/>
              </w:rPr>
              <w:t>Compatibil</w:t>
            </w:r>
          </w:p>
        </w:tc>
        <w:tc>
          <w:tcPr>
            <w:tcW w:w="806" w:type="pct"/>
            <w:vMerge/>
            <w:tcBorders>
              <w:left w:val="single" w:sz="4" w:space="0" w:color="auto"/>
              <w:right w:val="single" w:sz="4" w:space="0" w:color="auto"/>
            </w:tcBorders>
          </w:tcPr>
          <w:p w14:paraId="6025EDB1" w14:textId="77777777" w:rsidR="00A94677" w:rsidRPr="009E686F" w:rsidRDefault="00A94677" w:rsidP="00265766">
            <w:pPr>
              <w:spacing w:after="0"/>
              <w:jc w:val="both"/>
              <w:rPr>
                <w:rFonts w:ascii="Times New Roman" w:hAnsi="Times New Roman" w:cs="Times New Roman"/>
                <w:lang w:val="pt-BR"/>
              </w:rPr>
            </w:pPr>
          </w:p>
        </w:tc>
      </w:tr>
      <w:tr w:rsidR="00A94677" w:rsidRPr="009E686F" w14:paraId="7E00778C" w14:textId="77777777" w:rsidTr="00D73750">
        <w:tc>
          <w:tcPr>
            <w:tcW w:w="1890" w:type="pct"/>
            <w:tcBorders>
              <w:top w:val="single" w:sz="4" w:space="0" w:color="auto"/>
              <w:left w:val="single" w:sz="4" w:space="0" w:color="auto"/>
              <w:bottom w:val="single" w:sz="4" w:space="0" w:color="auto"/>
              <w:right w:val="single" w:sz="4" w:space="0" w:color="auto"/>
            </w:tcBorders>
          </w:tcPr>
          <w:p w14:paraId="53A2F0CB" w14:textId="501BB4B4" w:rsidR="00A94677" w:rsidRPr="009E686F" w:rsidRDefault="00A94677" w:rsidP="00265766">
            <w:pPr>
              <w:spacing w:after="0"/>
              <w:jc w:val="both"/>
              <w:rPr>
                <w:rFonts w:ascii="Times New Roman" w:hAnsi="Times New Roman" w:cs="Times New Roman"/>
                <w:lang w:val="pt-BR"/>
              </w:rPr>
            </w:pPr>
            <w:r w:rsidRPr="009E686F">
              <w:rPr>
                <w:rFonts w:ascii="Times New Roman" w:hAnsi="Times New Roman" w:cs="Times New Roman"/>
                <w:lang w:val="pt-BR"/>
              </w:rPr>
              <w:t>(b) totalul activelor și pasivelor contabilizate de sucursalele din țări terțe autorizate, astfel cum sunt raportate periodic;</w:t>
            </w:r>
          </w:p>
        </w:tc>
        <w:tc>
          <w:tcPr>
            <w:tcW w:w="1834" w:type="pct"/>
            <w:tcBorders>
              <w:top w:val="single" w:sz="4" w:space="0" w:color="auto"/>
              <w:left w:val="single" w:sz="4" w:space="0" w:color="auto"/>
              <w:bottom w:val="single" w:sz="4" w:space="0" w:color="auto"/>
              <w:right w:val="single" w:sz="4" w:space="0" w:color="auto"/>
            </w:tcBorders>
          </w:tcPr>
          <w:p w14:paraId="6CA7E81E" w14:textId="05E6352E" w:rsidR="00A94677" w:rsidRPr="009E686F" w:rsidRDefault="00A94677" w:rsidP="00265766">
            <w:pPr>
              <w:spacing w:after="0" w:line="278" w:lineRule="auto"/>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 xml:space="preserve">b) totalul activelor și pasivelor contabilizate de sucursalele din state terțe autorizate, astfel cum sunt raportate periodic; </w:t>
            </w:r>
          </w:p>
        </w:tc>
        <w:tc>
          <w:tcPr>
            <w:tcW w:w="470" w:type="pct"/>
            <w:tcBorders>
              <w:top w:val="single" w:sz="4" w:space="0" w:color="auto"/>
              <w:left w:val="single" w:sz="4" w:space="0" w:color="auto"/>
              <w:bottom w:val="single" w:sz="4" w:space="0" w:color="auto"/>
              <w:right w:val="single" w:sz="4" w:space="0" w:color="auto"/>
            </w:tcBorders>
          </w:tcPr>
          <w:p w14:paraId="0080BF63" w14:textId="28A389A1" w:rsidR="00A94677" w:rsidRPr="009E686F" w:rsidRDefault="00A94677" w:rsidP="00265766">
            <w:pPr>
              <w:jc w:val="both"/>
              <w:rPr>
                <w:rFonts w:ascii="Times New Roman" w:hAnsi="Times New Roman" w:cs="Times New Roman"/>
                <w:lang w:val="pt-BR"/>
              </w:rPr>
            </w:pPr>
            <w:r w:rsidRPr="009E686F">
              <w:rPr>
                <w:rFonts w:ascii="Times New Roman" w:hAnsi="Times New Roman" w:cs="Times New Roman"/>
                <w:lang w:val="pt-BR"/>
              </w:rPr>
              <w:t>Compatibil</w:t>
            </w:r>
          </w:p>
        </w:tc>
        <w:tc>
          <w:tcPr>
            <w:tcW w:w="806" w:type="pct"/>
            <w:vMerge/>
            <w:tcBorders>
              <w:left w:val="single" w:sz="4" w:space="0" w:color="auto"/>
              <w:right w:val="single" w:sz="4" w:space="0" w:color="auto"/>
            </w:tcBorders>
          </w:tcPr>
          <w:p w14:paraId="663AEF70" w14:textId="77777777" w:rsidR="00A94677" w:rsidRPr="009E686F" w:rsidRDefault="00A94677" w:rsidP="00265766">
            <w:pPr>
              <w:spacing w:after="0"/>
              <w:jc w:val="both"/>
              <w:rPr>
                <w:rFonts w:ascii="Times New Roman" w:hAnsi="Times New Roman" w:cs="Times New Roman"/>
                <w:lang w:val="pt-BR"/>
              </w:rPr>
            </w:pPr>
          </w:p>
        </w:tc>
      </w:tr>
      <w:tr w:rsidR="00A94677" w:rsidRPr="009E686F" w14:paraId="41C09D21" w14:textId="77777777" w:rsidTr="00D73750">
        <w:tc>
          <w:tcPr>
            <w:tcW w:w="1890" w:type="pct"/>
            <w:tcBorders>
              <w:top w:val="single" w:sz="4" w:space="0" w:color="auto"/>
              <w:left w:val="single" w:sz="4" w:space="0" w:color="auto"/>
              <w:bottom w:val="single" w:sz="4" w:space="0" w:color="auto"/>
              <w:right w:val="single" w:sz="4" w:space="0" w:color="auto"/>
            </w:tcBorders>
          </w:tcPr>
          <w:p w14:paraId="7BF89B45" w14:textId="5B8A96AF" w:rsidR="00A94677" w:rsidRPr="009E686F" w:rsidDel="002D6675" w:rsidRDefault="00A94677" w:rsidP="00265766">
            <w:pPr>
              <w:spacing w:after="0"/>
              <w:jc w:val="both"/>
              <w:rPr>
                <w:rFonts w:ascii="Times New Roman" w:hAnsi="Times New Roman" w:cs="Times New Roman"/>
              </w:rPr>
            </w:pPr>
            <w:r w:rsidRPr="009E686F">
              <w:rPr>
                <w:rFonts w:ascii="Times New Roman" w:hAnsi="Times New Roman" w:cs="Times New Roman"/>
              </w:rPr>
              <w:lastRenderedPageBreak/>
              <w:t>(c) numele grupului dintr-o țară terță căruia îi aparține o sucursală autorizată dintr-o țară terță.</w:t>
            </w:r>
          </w:p>
        </w:tc>
        <w:tc>
          <w:tcPr>
            <w:tcW w:w="1834" w:type="pct"/>
            <w:tcBorders>
              <w:top w:val="single" w:sz="4" w:space="0" w:color="auto"/>
              <w:left w:val="single" w:sz="4" w:space="0" w:color="auto"/>
              <w:bottom w:val="single" w:sz="4" w:space="0" w:color="auto"/>
              <w:right w:val="single" w:sz="4" w:space="0" w:color="auto"/>
            </w:tcBorders>
          </w:tcPr>
          <w:p w14:paraId="6C08DA3F" w14:textId="4F7E013B" w:rsidR="00A94677" w:rsidRPr="009E686F" w:rsidRDefault="00A94677" w:rsidP="00265766">
            <w:pPr>
              <w:spacing w:after="0"/>
              <w:jc w:val="both"/>
              <w:rPr>
                <w:rFonts w:ascii="Times New Roman" w:hAnsi="Times New Roman" w:cs="Times New Roman"/>
                <w:b/>
                <w:i/>
                <w:iCs/>
                <w:lang w:val="it-IT"/>
              </w:rPr>
            </w:pPr>
            <w:r w:rsidRPr="009E686F">
              <w:rPr>
                <w:rFonts w:ascii="Times New Roman" w:eastAsia="Aptos" w:hAnsi="Times New Roman" w:cs="Times New Roman"/>
                <w:i/>
                <w:iCs/>
                <w:kern w:val="2"/>
                <w:lang w:val="ro-MD"/>
              </w:rPr>
              <w:t>c) numele grupului dintr-un stat terț căruia îi aparține o sucursală autorizată dintr-un stat terț.</w:t>
            </w:r>
          </w:p>
        </w:tc>
        <w:tc>
          <w:tcPr>
            <w:tcW w:w="470" w:type="pct"/>
            <w:tcBorders>
              <w:top w:val="single" w:sz="4" w:space="0" w:color="auto"/>
              <w:left w:val="single" w:sz="4" w:space="0" w:color="auto"/>
              <w:bottom w:val="single" w:sz="4" w:space="0" w:color="auto"/>
              <w:right w:val="single" w:sz="4" w:space="0" w:color="auto"/>
            </w:tcBorders>
          </w:tcPr>
          <w:p w14:paraId="2AA993E1" w14:textId="24E3ADB9" w:rsidR="00A94677" w:rsidRPr="009E686F" w:rsidRDefault="00A94677" w:rsidP="00265766">
            <w:pPr>
              <w:jc w:val="both"/>
              <w:rPr>
                <w:rFonts w:ascii="Times New Roman" w:hAnsi="Times New Roman" w:cs="Times New Roman"/>
                <w:lang w:val="it-IT"/>
              </w:rPr>
            </w:pPr>
            <w:r w:rsidRPr="009E686F">
              <w:rPr>
                <w:rFonts w:ascii="Times New Roman" w:hAnsi="Times New Roman" w:cs="Times New Roman"/>
                <w:lang w:val="pt-BR"/>
              </w:rPr>
              <w:t>Compatibil</w:t>
            </w:r>
          </w:p>
        </w:tc>
        <w:tc>
          <w:tcPr>
            <w:tcW w:w="806" w:type="pct"/>
            <w:vMerge/>
            <w:tcBorders>
              <w:left w:val="single" w:sz="4" w:space="0" w:color="auto"/>
              <w:bottom w:val="single" w:sz="4" w:space="0" w:color="auto"/>
              <w:right w:val="single" w:sz="4" w:space="0" w:color="auto"/>
            </w:tcBorders>
          </w:tcPr>
          <w:p w14:paraId="469AF548" w14:textId="77777777" w:rsidR="00A94677" w:rsidRPr="009E686F" w:rsidRDefault="00A94677" w:rsidP="00265766">
            <w:pPr>
              <w:spacing w:after="0"/>
              <w:jc w:val="both"/>
              <w:rPr>
                <w:rFonts w:ascii="Times New Roman" w:hAnsi="Times New Roman" w:cs="Times New Roman"/>
                <w:lang w:val="it-IT"/>
              </w:rPr>
            </w:pPr>
          </w:p>
        </w:tc>
      </w:tr>
      <w:tr w:rsidR="00265766" w:rsidRPr="009E686F" w14:paraId="703EAF7C" w14:textId="77777777" w:rsidTr="00960C23">
        <w:tc>
          <w:tcPr>
            <w:tcW w:w="1890" w:type="pct"/>
            <w:tcBorders>
              <w:top w:val="single" w:sz="4" w:space="0" w:color="auto"/>
              <w:left w:val="single" w:sz="4" w:space="0" w:color="auto"/>
              <w:bottom w:val="single" w:sz="4" w:space="0" w:color="auto"/>
              <w:right w:val="single" w:sz="4" w:space="0" w:color="auto"/>
            </w:tcBorders>
          </w:tcPr>
          <w:p w14:paraId="0D8567BA" w14:textId="5A2B934A" w:rsidR="00265766" w:rsidRPr="009E686F" w:rsidDel="002D6675" w:rsidRDefault="00265766" w:rsidP="00265766">
            <w:pPr>
              <w:spacing w:after="0"/>
              <w:jc w:val="both"/>
              <w:rPr>
                <w:rFonts w:ascii="Times New Roman" w:hAnsi="Times New Roman" w:cs="Times New Roman"/>
              </w:rPr>
            </w:pPr>
            <w:r w:rsidRPr="009E686F">
              <w:rPr>
                <w:rFonts w:ascii="Times New Roman" w:hAnsi="Times New Roman" w:cs="Times New Roman"/>
              </w:rPr>
              <w:t>ABE publică pe site-ul său web o listă a tuturor sucursalelor autorizate din țări terțe să își desfășoare activitatea în Uniune în conformitate cu prezentul titlu, indicând statele membre în care sunt autorizate să funcționeze.</w:t>
            </w:r>
          </w:p>
        </w:tc>
        <w:tc>
          <w:tcPr>
            <w:tcW w:w="1834" w:type="pct"/>
            <w:tcBorders>
              <w:top w:val="single" w:sz="4" w:space="0" w:color="auto"/>
              <w:left w:val="single" w:sz="4" w:space="0" w:color="auto"/>
              <w:bottom w:val="single" w:sz="4" w:space="0" w:color="auto"/>
              <w:right w:val="single" w:sz="4" w:space="0" w:color="auto"/>
            </w:tcBorders>
          </w:tcPr>
          <w:p w14:paraId="724FE510" w14:textId="77777777" w:rsidR="00265766" w:rsidRPr="009E686F" w:rsidRDefault="00265766" w:rsidP="00265766">
            <w:pPr>
              <w:spacing w:after="0"/>
              <w:jc w:val="both"/>
              <w:rPr>
                <w:rFonts w:ascii="Times New Roman" w:hAnsi="Times New Roman" w:cs="Times New Roman"/>
                <w:b/>
              </w:rPr>
            </w:pPr>
          </w:p>
        </w:tc>
        <w:tc>
          <w:tcPr>
            <w:tcW w:w="470" w:type="pct"/>
            <w:tcBorders>
              <w:top w:val="single" w:sz="4" w:space="0" w:color="auto"/>
              <w:left w:val="single" w:sz="4" w:space="0" w:color="auto"/>
              <w:bottom w:val="single" w:sz="4" w:space="0" w:color="auto"/>
              <w:right w:val="single" w:sz="4" w:space="0" w:color="auto"/>
            </w:tcBorders>
          </w:tcPr>
          <w:p w14:paraId="7E13912B" w14:textId="62946D0E" w:rsidR="00265766" w:rsidRPr="009E686F" w:rsidRDefault="00265766" w:rsidP="00265766">
            <w:pPr>
              <w:jc w:val="both"/>
              <w:rPr>
                <w:rFonts w:ascii="Times New Roman" w:hAnsi="Times New Roman" w:cs="Times New Roman"/>
                <w:lang w:val="it-IT"/>
              </w:rPr>
            </w:pPr>
            <w:r w:rsidRPr="009E686F">
              <w:rPr>
                <w:rFonts w:ascii="Times New Roman" w:hAnsi="Times New Roman" w:cs="Times New Roman"/>
                <w:lang w:val="it-IT"/>
              </w:rPr>
              <w:t>Norme UE neaplicabile</w:t>
            </w:r>
          </w:p>
        </w:tc>
        <w:tc>
          <w:tcPr>
            <w:tcW w:w="806" w:type="pct"/>
            <w:tcBorders>
              <w:top w:val="single" w:sz="4" w:space="0" w:color="auto"/>
              <w:left w:val="single" w:sz="4" w:space="0" w:color="auto"/>
              <w:bottom w:val="single" w:sz="4" w:space="0" w:color="auto"/>
              <w:right w:val="single" w:sz="4" w:space="0" w:color="auto"/>
            </w:tcBorders>
          </w:tcPr>
          <w:p w14:paraId="4FB51049" w14:textId="2E53B321" w:rsidR="00265766" w:rsidRPr="009E686F" w:rsidRDefault="00265766" w:rsidP="00265766">
            <w:pPr>
              <w:spacing w:after="0"/>
              <w:jc w:val="both"/>
              <w:rPr>
                <w:rFonts w:ascii="Times New Roman" w:hAnsi="Times New Roman" w:cs="Times New Roman"/>
                <w:lang w:val="it-IT"/>
              </w:rPr>
            </w:pPr>
            <w:r w:rsidRPr="009E686F">
              <w:rPr>
                <w:rFonts w:ascii="Times New Roman" w:hAnsi="Times New Roman" w:cs="Times New Roman"/>
                <w:lang w:val="it-IT"/>
              </w:rPr>
              <w:t>Se referă la competențele ABE.</w:t>
            </w:r>
          </w:p>
        </w:tc>
      </w:tr>
      <w:tr w:rsidR="00265766" w:rsidRPr="009E686F" w14:paraId="543EC043" w14:textId="77777777" w:rsidTr="00960C23">
        <w:tc>
          <w:tcPr>
            <w:tcW w:w="1890" w:type="pct"/>
            <w:tcBorders>
              <w:top w:val="single" w:sz="4" w:space="0" w:color="auto"/>
              <w:left w:val="single" w:sz="4" w:space="0" w:color="auto"/>
              <w:bottom w:val="single" w:sz="4" w:space="0" w:color="auto"/>
              <w:right w:val="single" w:sz="4" w:space="0" w:color="auto"/>
            </w:tcBorders>
          </w:tcPr>
          <w:p w14:paraId="1AB3EB97" w14:textId="77777777"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CAPITOLUL 2</w:t>
            </w:r>
          </w:p>
          <w:p w14:paraId="0361CBD6" w14:textId="77777777" w:rsidR="00265766" w:rsidRPr="009E686F" w:rsidDel="002D6675" w:rsidRDefault="00265766" w:rsidP="00265766">
            <w:pPr>
              <w:spacing w:after="0"/>
              <w:jc w:val="both"/>
              <w:rPr>
                <w:rFonts w:ascii="Times New Roman" w:hAnsi="Times New Roman" w:cs="Times New Roman"/>
                <w:b/>
                <w:lang w:val="it-CH"/>
              </w:rPr>
            </w:pPr>
            <w:r w:rsidRPr="009E686F">
              <w:rPr>
                <w:rFonts w:ascii="Times New Roman" w:hAnsi="Times New Roman" w:cs="Times New Roman"/>
                <w:b/>
                <w:lang w:val="it-CH"/>
              </w:rPr>
              <w:t>RELAȚIILE CU ȚĂRI TERȚE</w:t>
            </w:r>
          </w:p>
          <w:p w14:paraId="59D58B43" w14:textId="77777777" w:rsidR="00265766" w:rsidRPr="009E686F" w:rsidRDefault="00265766" w:rsidP="00265766">
            <w:pPr>
              <w:spacing w:after="0"/>
              <w:jc w:val="both"/>
              <w:rPr>
                <w:rFonts w:ascii="Times New Roman" w:hAnsi="Times New Roman" w:cs="Times New Roman"/>
                <w:i/>
                <w:lang w:val="it-CH"/>
              </w:rPr>
            </w:pPr>
            <w:r w:rsidRPr="009E686F">
              <w:rPr>
                <w:rFonts w:ascii="Times New Roman" w:hAnsi="Times New Roman" w:cs="Times New Roman"/>
                <w:i/>
                <w:lang w:val="it-CH"/>
              </w:rPr>
              <w:t xml:space="preserve">Articolul 48r </w:t>
            </w:r>
          </w:p>
          <w:p w14:paraId="704C5DDB" w14:textId="77777777" w:rsidR="00265766" w:rsidRPr="009E686F" w:rsidDel="002D6675"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Cooperarea cu autoritățile de supraveghere ale țărilor terțe privind supravegherea pe bază consolidată</w:t>
            </w:r>
          </w:p>
          <w:p w14:paraId="3CB99691" w14:textId="77777777" w:rsidR="00265766" w:rsidRPr="009E686F" w:rsidRDefault="00265766" w:rsidP="00265766">
            <w:pPr>
              <w:spacing w:after="0"/>
              <w:jc w:val="both"/>
              <w:rPr>
                <w:rFonts w:ascii="Times New Roman" w:hAnsi="Times New Roman" w:cs="Times New Roman"/>
                <w:lang w:val="it-IT"/>
              </w:rPr>
            </w:pPr>
            <w:r w:rsidRPr="009E686F">
              <w:rPr>
                <w:rFonts w:ascii="Times New Roman" w:hAnsi="Times New Roman" w:cs="Times New Roman"/>
                <w:lang w:val="it-IT"/>
              </w:rPr>
              <w:t>(1) Uniunea poate încheia acorduri cu una sau mai multe țări terțe cu privire la mijloacele de exercitare a supravegherii pe bază consolidată a:</w:t>
            </w:r>
          </w:p>
          <w:p w14:paraId="36D203D4" w14:textId="77777777" w:rsidR="00265766" w:rsidRPr="009E686F" w:rsidRDefault="00265766" w:rsidP="00265766">
            <w:pPr>
              <w:spacing w:after="0"/>
              <w:jc w:val="both"/>
              <w:rPr>
                <w:rFonts w:ascii="Times New Roman" w:hAnsi="Times New Roman" w:cs="Times New Roman"/>
                <w:lang w:val="it-IT"/>
              </w:rPr>
            </w:pPr>
            <w:r w:rsidRPr="009E686F">
              <w:rPr>
                <w:rFonts w:ascii="Times New Roman" w:hAnsi="Times New Roman" w:cs="Times New Roman"/>
                <w:lang w:val="it-IT"/>
              </w:rPr>
              <w:t>(a) instituțiilor ale căror întreprinderi-mamă au sediile centrale într-o țară terță;</w:t>
            </w:r>
          </w:p>
          <w:p w14:paraId="31E9BCF9" w14:textId="77777777" w:rsidR="00265766" w:rsidRPr="009E686F" w:rsidRDefault="00265766" w:rsidP="00265766">
            <w:pPr>
              <w:spacing w:after="0"/>
              <w:jc w:val="both"/>
              <w:rPr>
                <w:rFonts w:ascii="Times New Roman" w:hAnsi="Times New Roman" w:cs="Times New Roman"/>
                <w:lang w:val="it-IT"/>
              </w:rPr>
            </w:pPr>
            <w:r w:rsidRPr="009E686F">
              <w:rPr>
                <w:rFonts w:ascii="Times New Roman" w:hAnsi="Times New Roman" w:cs="Times New Roman"/>
                <w:lang w:val="it-IT"/>
              </w:rPr>
              <w:t>(b) instituțiilor situate în țări terțe ale căror întreprinderi-mamă, fie că sunt instituții, societăți financiare holding sau societăți financiare holding mixte, își au sediile centrale în Uniune.</w:t>
            </w:r>
          </w:p>
          <w:p w14:paraId="6F0377F1" w14:textId="77777777" w:rsidR="00265766" w:rsidRPr="009E686F" w:rsidDel="002D6675" w:rsidRDefault="00265766" w:rsidP="00265766">
            <w:pPr>
              <w:spacing w:after="0"/>
              <w:jc w:val="both"/>
              <w:rPr>
                <w:rFonts w:ascii="Times New Roman" w:hAnsi="Times New Roman" w:cs="Times New Roman"/>
                <w:lang w:val="it-IT"/>
              </w:rPr>
            </w:pPr>
            <w:r w:rsidRPr="009E686F">
              <w:rPr>
                <w:rFonts w:ascii="Times New Roman" w:hAnsi="Times New Roman" w:cs="Times New Roman"/>
                <w:lang w:val="it-IT"/>
              </w:rPr>
              <w:t>(2) Acordurile menționate la alineatul (1) urmăresc, în special, să asigure faptul că:</w:t>
            </w:r>
          </w:p>
          <w:p w14:paraId="731D506F" w14:textId="77777777" w:rsidR="00265766" w:rsidRPr="009E686F" w:rsidRDefault="00265766" w:rsidP="00265766">
            <w:pPr>
              <w:spacing w:after="0"/>
              <w:jc w:val="both"/>
              <w:rPr>
                <w:rFonts w:ascii="Times New Roman" w:hAnsi="Times New Roman" w:cs="Times New Roman"/>
                <w:lang w:val="it-IT"/>
              </w:rPr>
            </w:pPr>
            <w:r w:rsidRPr="009E686F">
              <w:rPr>
                <w:rFonts w:ascii="Times New Roman" w:hAnsi="Times New Roman" w:cs="Times New Roman"/>
                <w:lang w:val="it-IT"/>
              </w:rPr>
              <w:t>(a) autoritățile competente din statele membre pot obține informațiile necesare pentru a supraveghea, pe baza situațiilor lor financiare consolidate, instituțiile, societățile financiare holding și societățile financiare holding mixte situate în Uniune care au ca filiale instituții sau instituții financiare situate într-o țară terță sau care dețin participații în astfel de entități;</w:t>
            </w:r>
          </w:p>
          <w:p w14:paraId="5B79F3F5" w14:textId="77777777" w:rsidR="00265766" w:rsidRPr="009E686F" w:rsidRDefault="00265766" w:rsidP="00265766">
            <w:pPr>
              <w:spacing w:after="0"/>
              <w:jc w:val="both"/>
              <w:rPr>
                <w:rFonts w:ascii="Times New Roman" w:hAnsi="Times New Roman" w:cs="Times New Roman"/>
                <w:lang w:val="it-IT"/>
              </w:rPr>
            </w:pPr>
            <w:r w:rsidRPr="009E686F">
              <w:rPr>
                <w:rFonts w:ascii="Times New Roman" w:hAnsi="Times New Roman" w:cs="Times New Roman"/>
                <w:lang w:val="it-IT"/>
              </w:rPr>
              <w:t xml:space="preserve">(b) autoritățile de supraveghere ale țărilor terțe pot obține informațiile necesare pentru a supraveghea întreprinderile-mamă ale căror sedii centrale sunt situate pe teritoriile lor și care au ca filiale instituții sau instituții financiare situate în unul </w:t>
            </w:r>
            <w:r w:rsidRPr="009E686F">
              <w:rPr>
                <w:rFonts w:ascii="Times New Roman" w:hAnsi="Times New Roman" w:cs="Times New Roman"/>
                <w:lang w:val="it-IT"/>
              </w:rPr>
              <w:lastRenderedPageBreak/>
              <w:t>sau mai multe state membre sau care dețin participații în astfel de entități; și</w:t>
            </w:r>
          </w:p>
          <w:p w14:paraId="50153AD1" w14:textId="7090F0B7" w:rsidR="00265766" w:rsidRPr="009E686F" w:rsidRDefault="00265766" w:rsidP="00265766">
            <w:pPr>
              <w:spacing w:after="0"/>
              <w:jc w:val="both"/>
              <w:rPr>
                <w:rFonts w:ascii="Times New Roman" w:hAnsi="Times New Roman" w:cs="Times New Roman"/>
                <w:lang w:val="it-IT"/>
              </w:rPr>
            </w:pPr>
            <w:r w:rsidRPr="009E686F">
              <w:rPr>
                <w:rFonts w:ascii="Times New Roman" w:hAnsi="Times New Roman" w:cs="Times New Roman"/>
                <w:lang w:val="it-IT"/>
              </w:rPr>
              <w:t>(c) ABE poate obține de la autoritățile competente ale statelor membre informațiile primite de la autoritățile naționale ale țărilor terțe, în conformitate cu articolul 35 din Regulamentul (UE) nr. 1093/2010.</w:t>
            </w:r>
          </w:p>
        </w:tc>
        <w:tc>
          <w:tcPr>
            <w:tcW w:w="1834" w:type="pct"/>
            <w:tcBorders>
              <w:top w:val="single" w:sz="4" w:space="0" w:color="auto"/>
              <w:left w:val="single" w:sz="4" w:space="0" w:color="auto"/>
              <w:bottom w:val="single" w:sz="4" w:space="0" w:color="auto"/>
              <w:right w:val="single" w:sz="4" w:space="0" w:color="auto"/>
            </w:tcBorders>
          </w:tcPr>
          <w:p w14:paraId="597E4987" w14:textId="77777777" w:rsidR="00265766" w:rsidRPr="009E686F" w:rsidRDefault="00265766" w:rsidP="00265766">
            <w:pPr>
              <w:spacing w:after="0"/>
              <w:jc w:val="both"/>
              <w:rPr>
                <w:rFonts w:ascii="Times New Roman" w:hAnsi="Times New Roman" w:cs="Times New Roman"/>
                <w:b/>
                <w:lang w:val="it-IT"/>
              </w:rPr>
            </w:pPr>
          </w:p>
        </w:tc>
        <w:tc>
          <w:tcPr>
            <w:tcW w:w="470" w:type="pct"/>
            <w:tcBorders>
              <w:top w:val="single" w:sz="4" w:space="0" w:color="auto"/>
              <w:left w:val="single" w:sz="4" w:space="0" w:color="auto"/>
              <w:bottom w:val="single" w:sz="4" w:space="0" w:color="auto"/>
              <w:right w:val="single" w:sz="4" w:space="0" w:color="auto"/>
            </w:tcBorders>
          </w:tcPr>
          <w:p w14:paraId="09287333" w14:textId="77777777" w:rsidR="00265766" w:rsidRPr="009E686F" w:rsidRDefault="00265766" w:rsidP="00265766">
            <w:pPr>
              <w:jc w:val="both"/>
              <w:rPr>
                <w:rFonts w:ascii="Times New Roman" w:hAnsi="Times New Roman" w:cs="Times New Roman"/>
                <w:lang w:val="pt-BR"/>
              </w:rPr>
            </w:pPr>
            <w:r w:rsidRPr="009E686F">
              <w:rPr>
                <w:rFonts w:ascii="Times New Roman" w:hAnsi="Times New Roman" w:cs="Times New Roman"/>
                <w:lang w:val="pt-BR"/>
              </w:rPr>
              <w:t>Norme UE neaplicabile</w:t>
            </w:r>
          </w:p>
          <w:p w14:paraId="5CD7A592" w14:textId="77777777" w:rsidR="00265766" w:rsidRPr="009E686F" w:rsidRDefault="00265766" w:rsidP="00265766">
            <w:pPr>
              <w:jc w:val="both"/>
              <w:rPr>
                <w:rFonts w:ascii="Times New Roman" w:hAnsi="Times New Roman" w:cs="Times New Roman"/>
                <w:lang w:val="it-IT"/>
              </w:rPr>
            </w:pPr>
          </w:p>
        </w:tc>
        <w:tc>
          <w:tcPr>
            <w:tcW w:w="806" w:type="pct"/>
            <w:tcBorders>
              <w:top w:val="single" w:sz="4" w:space="0" w:color="auto"/>
              <w:left w:val="single" w:sz="4" w:space="0" w:color="auto"/>
              <w:bottom w:val="single" w:sz="4" w:space="0" w:color="auto"/>
              <w:right w:val="single" w:sz="4" w:space="0" w:color="auto"/>
            </w:tcBorders>
          </w:tcPr>
          <w:p w14:paraId="57F7B099" w14:textId="52B40951" w:rsidR="00265766" w:rsidRPr="009E686F" w:rsidRDefault="00265766" w:rsidP="00265766">
            <w:pPr>
              <w:spacing w:after="0"/>
              <w:jc w:val="both"/>
              <w:rPr>
                <w:rFonts w:ascii="Times New Roman" w:hAnsi="Times New Roman" w:cs="Times New Roman"/>
                <w:lang w:val="pt-BR"/>
              </w:rPr>
            </w:pPr>
            <w:r w:rsidRPr="009E686F">
              <w:rPr>
                <w:rFonts w:ascii="Times New Roman" w:hAnsi="Times New Roman" w:cs="Times New Roman"/>
                <w:lang w:val="pt-BR"/>
              </w:rPr>
              <w:t>Se referă la dreptul Uniunii de a încheia acorduri.</w:t>
            </w:r>
          </w:p>
        </w:tc>
      </w:tr>
      <w:tr w:rsidR="00265766" w:rsidRPr="009E686F" w14:paraId="14480663" w14:textId="77777777" w:rsidTr="00960C23">
        <w:tc>
          <w:tcPr>
            <w:tcW w:w="1890" w:type="pct"/>
            <w:tcBorders>
              <w:top w:val="single" w:sz="4" w:space="0" w:color="auto"/>
              <w:left w:val="single" w:sz="4" w:space="0" w:color="auto"/>
              <w:bottom w:val="single" w:sz="4" w:space="0" w:color="auto"/>
              <w:right w:val="single" w:sz="4" w:space="0" w:color="auto"/>
            </w:tcBorders>
          </w:tcPr>
          <w:p w14:paraId="1F7CBC36" w14:textId="23EF8F03" w:rsidR="00265766" w:rsidRPr="009E686F" w:rsidDel="002D6675" w:rsidRDefault="00265766" w:rsidP="00265766">
            <w:pPr>
              <w:spacing w:after="0"/>
              <w:jc w:val="both"/>
              <w:rPr>
                <w:rFonts w:ascii="Times New Roman" w:hAnsi="Times New Roman" w:cs="Times New Roman"/>
                <w:lang w:val="pt-BR"/>
              </w:rPr>
            </w:pPr>
            <w:r w:rsidRPr="009E686F">
              <w:rPr>
                <w:rFonts w:ascii="Times New Roman" w:hAnsi="Times New Roman" w:cs="Times New Roman"/>
                <w:lang w:val="pt-BR"/>
              </w:rPr>
              <w:t>(3) Fără a aduce atingere dispozițiilor articolului 218 din TFUE, Comisia, cu sprijinul Comitetului bancar european, examinează rezultatul negocierilor menționate la alineatul (1) de la prezentul articol și situația rezultată.</w:t>
            </w:r>
          </w:p>
        </w:tc>
        <w:tc>
          <w:tcPr>
            <w:tcW w:w="1834" w:type="pct"/>
            <w:tcBorders>
              <w:top w:val="single" w:sz="4" w:space="0" w:color="auto"/>
              <w:left w:val="single" w:sz="4" w:space="0" w:color="auto"/>
              <w:bottom w:val="single" w:sz="4" w:space="0" w:color="auto"/>
              <w:right w:val="single" w:sz="4" w:space="0" w:color="auto"/>
            </w:tcBorders>
          </w:tcPr>
          <w:p w14:paraId="1C3F3C99" w14:textId="77777777" w:rsidR="00265766" w:rsidRPr="009E686F" w:rsidRDefault="00265766" w:rsidP="00265766">
            <w:pPr>
              <w:spacing w:after="0"/>
              <w:jc w:val="both"/>
              <w:rPr>
                <w:rFonts w:ascii="Times New Roman" w:hAnsi="Times New Roman" w:cs="Times New Roman"/>
                <w:b/>
                <w:lang w:val="pt-BR"/>
              </w:rPr>
            </w:pPr>
          </w:p>
        </w:tc>
        <w:tc>
          <w:tcPr>
            <w:tcW w:w="470" w:type="pct"/>
            <w:tcBorders>
              <w:top w:val="single" w:sz="4" w:space="0" w:color="auto"/>
              <w:left w:val="single" w:sz="4" w:space="0" w:color="auto"/>
              <w:bottom w:val="single" w:sz="4" w:space="0" w:color="auto"/>
              <w:right w:val="single" w:sz="4" w:space="0" w:color="auto"/>
            </w:tcBorders>
          </w:tcPr>
          <w:p w14:paraId="41048748" w14:textId="60320B30" w:rsidR="00265766" w:rsidRPr="009E686F" w:rsidRDefault="00265766" w:rsidP="00265766">
            <w:pPr>
              <w:jc w:val="both"/>
              <w:rPr>
                <w:rFonts w:ascii="Times New Roman" w:hAnsi="Times New Roman" w:cs="Times New Roman"/>
                <w:lang w:val="it-IT"/>
              </w:rPr>
            </w:pPr>
            <w:r w:rsidRPr="009E686F">
              <w:rPr>
                <w:rFonts w:ascii="Times New Roman" w:hAnsi="Times New Roman" w:cs="Times New Roman"/>
                <w:lang w:val="it-IT"/>
              </w:rPr>
              <w:t>Norme UE neaplicabile</w:t>
            </w:r>
          </w:p>
        </w:tc>
        <w:tc>
          <w:tcPr>
            <w:tcW w:w="806" w:type="pct"/>
            <w:tcBorders>
              <w:top w:val="single" w:sz="4" w:space="0" w:color="auto"/>
              <w:left w:val="single" w:sz="4" w:space="0" w:color="auto"/>
              <w:bottom w:val="single" w:sz="4" w:space="0" w:color="auto"/>
              <w:right w:val="single" w:sz="4" w:space="0" w:color="auto"/>
            </w:tcBorders>
          </w:tcPr>
          <w:p w14:paraId="65C6BCDB" w14:textId="6D00B4E8" w:rsidR="00265766" w:rsidRPr="009E686F" w:rsidRDefault="00265766" w:rsidP="00265766">
            <w:pPr>
              <w:spacing w:after="0"/>
              <w:jc w:val="both"/>
              <w:rPr>
                <w:rFonts w:ascii="Times New Roman" w:hAnsi="Times New Roman" w:cs="Times New Roman"/>
                <w:lang w:val="it-IT"/>
              </w:rPr>
            </w:pPr>
            <w:r w:rsidRPr="009E686F">
              <w:rPr>
                <w:rFonts w:ascii="Times New Roman" w:hAnsi="Times New Roman" w:cs="Times New Roman"/>
                <w:lang w:val="it-IT"/>
              </w:rPr>
              <w:t>Se referă la competențele Comisiei Europene</w:t>
            </w:r>
          </w:p>
        </w:tc>
      </w:tr>
      <w:tr w:rsidR="00265766" w:rsidRPr="009E686F" w14:paraId="13717AA0" w14:textId="77777777" w:rsidTr="00960C23">
        <w:tc>
          <w:tcPr>
            <w:tcW w:w="1890" w:type="pct"/>
            <w:tcBorders>
              <w:top w:val="single" w:sz="4" w:space="0" w:color="auto"/>
              <w:left w:val="single" w:sz="4" w:space="0" w:color="auto"/>
              <w:bottom w:val="single" w:sz="4" w:space="0" w:color="auto"/>
              <w:right w:val="single" w:sz="4" w:space="0" w:color="auto"/>
            </w:tcBorders>
          </w:tcPr>
          <w:p w14:paraId="2A2BDCB7" w14:textId="365F1DAB" w:rsidR="00265766" w:rsidRPr="009E686F" w:rsidDel="002D6675" w:rsidRDefault="00265766" w:rsidP="00265766">
            <w:pPr>
              <w:spacing w:after="0"/>
              <w:jc w:val="both"/>
              <w:rPr>
                <w:rFonts w:ascii="Times New Roman" w:hAnsi="Times New Roman" w:cs="Times New Roman"/>
                <w:lang w:val="it-IT"/>
              </w:rPr>
            </w:pPr>
            <w:r w:rsidRPr="009E686F">
              <w:rPr>
                <w:rFonts w:ascii="Times New Roman" w:hAnsi="Times New Roman" w:cs="Times New Roman"/>
                <w:lang w:val="it-IT"/>
              </w:rPr>
              <w:t>(4) ABE sprijină Comisia în sensul prezentului articol, în conformitate cu articolul 33 din Regulamentul (UE) nr. 1093/2010.</w:t>
            </w:r>
          </w:p>
        </w:tc>
        <w:tc>
          <w:tcPr>
            <w:tcW w:w="1834" w:type="pct"/>
            <w:tcBorders>
              <w:top w:val="single" w:sz="4" w:space="0" w:color="auto"/>
              <w:left w:val="single" w:sz="4" w:space="0" w:color="auto"/>
              <w:bottom w:val="single" w:sz="4" w:space="0" w:color="auto"/>
              <w:right w:val="single" w:sz="4" w:space="0" w:color="auto"/>
            </w:tcBorders>
          </w:tcPr>
          <w:p w14:paraId="14E34680" w14:textId="77777777" w:rsidR="00265766" w:rsidRPr="009E686F" w:rsidRDefault="00265766" w:rsidP="00265766">
            <w:pPr>
              <w:spacing w:after="0"/>
              <w:jc w:val="both"/>
              <w:rPr>
                <w:rFonts w:ascii="Times New Roman" w:hAnsi="Times New Roman" w:cs="Times New Roman"/>
                <w:b/>
                <w:lang w:val="it-IT"/>
              </w:rPr>
            </w:pPr>
          </w:p>
        </w:tc>
        <w:tc>
          <w:tcPr>
            <w:tcW w:w="470" w:type="pct"/>
            <w:tcBorders>
              <w:top w:val="single" w:sz="4" w:space="0" w:color="auto"/>
              <w:left w:val="single" w:sz="4" w:space="0" w:color="auto"/>
              <w:bottom w:val="single" w:sz="4" w:space="0" w:color="auto"/>
              <w:right w:val="single" w:sz="4" w:space="0" w:color="auto"/>
            </w:tcBorders>
          </w:tcPr>
          <w:p w14:paraId="6E144A47" w14:textId="1E983BD9" w:rsidR="00265766" w:rsidRPr="009E686F" w:rsidRDefault="00265766" w:rsidP="00265766">
            <w:pPr>
              <w:jc w:val="both"/>
              <w:rPr>
                <w:rFonts w:ascii="Times New Roman" w:hAnsi="Times New Roman" w:cs="Times New Roman"/>
                <w:lang w:val="it-IT"/>
              </w:rPr>
            </w:pPr>
            <w:r w:rsidRPr="009E686F">
              <w:rPr>
                <w:rFonts w:ascii="Times New Roman" w:hAnsi="Times New Roman" w:cs="Times New Roman"/>
                <w:lang w:val="it-IT"/>
              </w:rPr>
              <w:t>Norme UE neaplicabile</w:t>
            </w:r>
          </w:p>
        </w:tc>
        <w:tc>
          <w:tcPr>
            <w:tcW w:w="806" w:type="pct"/>
            <w:tcBorders>
              <w:top w:val="single" w:sz="4" w:space="0" w:color="auto"/>
              <w:left w:val="single" w:sz="4" w:space="0" w:color="auto"/>
              <w:bottom w:val="single" w:sz="4" w:space="0" w:color="auto"/>
              <w:right w:val="single" w:sz="4" w:space="0" w:color="auto"/>
            </w:tcBorders>
          </w:tcPr>
          <w:p w14:paraId="1B728553" w14:textId="3F613DBE" w:rsidR="00265766" w:rsidRPr="009E686F" w:rsidRDefault="00265766" w:rsidP="00265766">
            <w:pPr>
              <w:spacing w:after="0"/>
              <w:jc w:val="both"/>
              <w:rPr>
                <w:rFonts w:ascii="Times New Roman" w:hAnsi="Times New Roman" w:cs="Times New Roman"/>
                <w:lang w:val="it-IT"/>
              </w:rPr>
            </w:pPr>
            <w:r w:rsidRPr="009E686F">
              <w:rPr>
                <w:rFonts w:ascii="Times New Roman" w:hAnsi="Times New Roman" w:cs="Times New Roman"/>
                <w:lang w:val="it-IT"/>
              </w:rPr>
              <w:t>Se referă la competențele ABE</w:t>
            </w:r>
          </w:p>
        </w:tc>
      </w:tr>
      <w:tr w:rsidR="00265766" w:rsidRPr="009E686F" w14:paraId="42FCA8A1" w14:textId="77777777" w:rsidTr="00960C23">
        <w:tc>
          <w:tcPr>
            <w:tcW w:w="1890" w:type="pct"/>
            <w:tcBorders>
              <w:top w:val="single" w:sz="4" w:space="0" w:color="auto"/>
              <w:left w:val="single" w:sz="4" w:space="0" w:color="auto"/>
              <w:bottom w:val="single" w:sz="4" w:space="0" w:color="auto"/>
              <w:right w:val="single" w:sz="4" w:space="0" w:color="auto"/>
            </w:tcBorders>
          </w:tcPr>
          <w:p w14:paraId="40235F7D" w14:textId="77777777" w:rsidR="00265766" w:rsidRPr="009E686F" w:rsidRDefault="00265766" w:rsidP="00265766">
            <w:pPr>
              <w:spacing w:after="0"/>
              <w:jc w:val="both"/>
              <w:rPr>
                <w:rFonts w:ascii="Times New Roman" w:hAnsi="Times New Roman" w:cs="Times New Roman"/>
                <w:bCs/>
                <w:lang w:val="it-CH"/>
              </w:rPr>
            </w:pPr>
            <w:r w:rsidRPr="009E686F">
              <w:rPr>
                <w:rFonts w:ascii="Times New Roman" w:hAnsi="Times New Roman" w:cs="Times New Roman"/>
                <w:bCs/>
                <w:lang w:val="it-CH"/>
              </w:rPr>
              <w:t>TITLUL VII</w:t>
            </w:r>
          </w:p>
          <w:p w14:paraId="28131FBE" w14:textId="77777777" w:rsidR="00265766" w:rsidRPr="009E686F" w:rsidRDefault="00265766" w:rsidP="00265766">
            <w:pPr>
              <w:spacing w:after="0"/>
              <w:jc w:val="both"/>
              <w:rPr>
                <w:rFonts w:ascii="Times New Roman" w:hAnsi="Times New Roman" w:cs="Times New Roman"/>
                <w:b/>
                <w:lang w:val="it-CH"/>
              </w:rPr>
            </w:pPr>
            <w:r w:rsidRPr="009E686F">
              <w:rPr>
                <w:rFonts w:ascii="Times New Roman" w:hAnsi="Times New Roman" w:cs="Times New Roman"/>
                <w:b/>
                <w:lang w:val="it-CH"/>
              </w:rPr>
              <w:t>SUPRAVEGHERE PRUDENȚIALĂ</w:t>
            </w:r>
          </w:p>
          <w:p w14:paraId="00B593FE" w14:textId="77777777" w:rsidR="00265766" w:rsidRPr="009E686F" w:rsidRDefault="00265766" w:rsidP="00265766">
            <w:pPr>
              <w:spacing w:after="0"/>
              <w:jc w:val="both"/>
              <w:rPr>
                <w:rFonts w:ascii="Times New Roman" w:hAnsi="Times New Roman" w:cs="Times New Roman"/>
                <w:bCs/>
                <w:lang w:val="it-CH"/>
              </w:rPr>
            </w:pPr>
            <w:r w:rsidRPr="009E686F">
              <w:rPr>
                <w:rFonts w:ascii="Times New Roman" w:hAnsi="Times New Roman" w:cs="Times New Roman"/>
                <w:bCs/>
                <w:lang w:val="it-CH"/>
              </w:rPr>
              <w:t>CAPITOLUL 1</w:t>
            </w:r>
          </w:p>
          <w:p w14:paraId="50FB3430" w14:textId="77777777" w:rsidR="00265766" w:rsidRPr="009E686F" w:rsidRDefault="00265766" w:rsidP="00265766">
            <w:pPr>
              <w:spacing w:after="0"/>
              <w:jc w:val="both"/>
              <w:rPr>
                <w:rFonts w:ascii="Times New Roman" w:hAnsi="Times New Roman" w:cs="Times New Roman"/>
                <w:bCs/>
                <w:lang w:val="it-CH"/>
              </w:rPr>
            </w:pPr>
            <w:r w:rsidRPr="009E686F">
              <w:rPr>
                <w:rFonts w:ascii="Times New Roman" w:hAnsi="Times New Roman" w:cs="Times New Roman"/>
                <w:bCs/>
                <w:lang w:val="it-CH"/>
              </w:rPr>
              <w:t>Principii de supraveghere prudențială</w:t>
            </w:r>
          </w:p>
          <w:p w14:paraId="500E0921" w14:textId="77777777" w:rsidR="00265766" w:rsidRPr="009E686F" w:rsidRDefault="00265766" w:rsidP="00265766">
            <w:pPr>
              <w:spacing w:after="0"/>
              <w:jc w:val="both"/>
              <w:rPr>
                <w:rFonts w:ascii="Times New Roman" w:hAnsi="Times New Roman" w:cs="Times New Roman"/>
                <w:bCs/>
                <w:lang w:val="it-CH"/>
              </w:rPr>
            </w:pPr>
            <w:r w:rsidRPr="009E686F">
              <w:rPr>
                <w:rFonts w:ascii="Times New Roman" w:hAnsi="Times New Roman" w:cs="Times New Roman"/>
                <w:bCs/>
                <w:lang w:val="it-CH"/>
              </w:rPr>
              <w:t>Secțiunea I</w:t>
            </w:r>
          </w:p>
          <w:p w14:paraId="45810750" w14:textId="77777777" w:rsidR="00265766" w:rsidRPr="009E686F" w:rsidRDefault="00265766" w:rsidP="00265766">
            <w:pPr>
              <w:spacing w:after="0"/>
              <w:jc w:val="both"/>
              <w:rPr>
                <w:rFonts w:ascii="Times New Roman" w:hAnsi="Times New Roman" w:cs="Times New Roman"/>
                <w:b/>
                <w:lang w:val="it-CH"/>
              </w:rPr>
            </w:pPr>
            <w:r w:rsidRPr="009E686F">
              <w:rPr>
                <w:rFonts w:ascii="Times New Roman" w:hAnsi="Times New Roman" w:cs="Times New Roman"/>
                <w:b/>
                <w:lang w:val="it-CH"/>
              </w:rPr>
              <w:t>Competențele și sarcinile statulului membru de origine și ale statului membru gazdă</w:t>
            </w:r>
          </w:p>
          <w:p w14:paraId="0202571E" w14:textId="77777777" w:rsidR="00265766" w:rsidRPr="009E686F" w:rsidRDefault="00265766" w:rsidP="00265766">
            <w:pPr>
              <w:spacing w:after="0"/>
              <w:jc w:val="both"/>
              <w:rPr>
                <w:rFonts w:ascii="Times New Roman" w:hAnsi="Times New Roman" w:cs="Times New Roman"/>
                <w:i/>
                <w:iCs/>
                <w:lang w:val="it-CH"/>
              </w:rPr>
            </w:pPr>
            <w:r w:rsidRPr="009E686F">
              <w:rPr>
                <w:rFonts w:ascii="Times New Roman" w:hAnsi="Times New Roman" w:cs="Times New Roman"/>
                <w:i/>
                <w:iCs/>
                <w:lang w:val="it-CH"/>
              </w:rPr>
              <w:t xml:space="preserve">Articolul 49 </w:t>
            </w:r>
          </w:p>
          <w:p w14:paraId="2ED4BF37" w14:textId="77777777" w:rsidR="00265766" w:rsidRPr="009E686F" w:rsidRDefault="00265766" w:rsidP="00265766">
            <w:pPr>
              <w:spacing w:after="0"/>
              <w:jc w:val="both"/>
              <w:rPr>
                <w:rFonts w:ascii="Times New Roman" w:hAnsi="Times New Roman" w:cs="Times New Roman"/>
                <w:b/>
                <w:lang w:val="it-CH"/>
              </w:rPr>
            </w:pPr>
            <w:r w:rsidRPr="009E686F">
              <w:rPr>
                <w:rFonts w:ascii="Times New Roman" w:hAnsi="Times New Roman" w:cs="Times New Roman"/>
                <w:lang w:val="it-CH"/>
              </w:rPr>
              <w:t>Competențele autorităților competente ale statului membru de origine și a celui gazdă</w:t>
            </w:r>
          </w:p>
          <w:p w14:paraId="413AE125" w14:textId="32B865FE" w:rsidR="00265766" w:rsidRPr="009E686F" w:rsidRDefault="00265766" w:rsidP="00265766">
            <w:pPr>
              <w:spacing w:after="0"/>
              <w:jc w:val="both"/>
              <w:rPr>
                <w:rFonts w:ascii="Times New Roman" w:hAnsi="Times New Roman" w:cs="Times New Roman"/>
                <w:lang w:val="it-IT"/>
              </w:rPr>
            </w:pPr>
            <w:r w:rsidRPr="009E686F">
              <w:rPr>
                <w:rFonts w:ascii="Times New Roman" w:hAnsi="Times New Roman" w:cs="Times New Roman"/>
                <w:lang w:val="it-CH"/>
              </w:rPr>
              <w:t>(1) Supravegherea prudențială a unei instituții, inclusiv a activităților desfășurate de aceasta în conformitate cu articolele 33 și 34, este responsabilitatea autorităților competente din statul membru de origine, fără a aduce atingere dispozițiilor prezentei directive care stabilesc atribuții în acest sens pentru autoritățile competente din statul membru gazdă.</w:t>
            </w:r>
          </w:p>
        </w:tc>
        <w:tc>
          <w:tcPr>
            <w:tcW w:w="1834" w:type="pct"/>
            <w:tcBorders>
              <w:top w:val="single" w:sz="4" w:space="0" w:color="auto"/>
              <w:left w:val="single" w:sz="4" w:space="0" w:color="auto"/>
              <w:bottom w:val="single" w:sz="4" w:space="0" w:color="auto"/>
              <w:right w:val="single" w:sz="4" w:space="0" w:color="auto"/>
            </w:tcBorders>
          </w:tcPr>
          <w:p w14:paraId="3876684D" w14:textId="67687801" w:rsidR="00265766" w:rsidRPr="009E686F" w:rsidRDefault="00265766" w:rsidP="00265766">
            <w:pPr>
              <w:spacing w:after="0"/>
              <w:jc w:val="both"/>
              <w:rPr>
                <w:rFonts w:ascii="Times New Roman" w:eastAsia="Aptos" w:hAnsi="Times New Roman" w:cs="Times New Roman"/>
                <w:b/>
                <w:bCs/>
                <w:i/>
                <w:iCs/>
                <w:kern w:val="2"/>
                <w:lang w:val="ro-MD"/>
              </w:rPr>
            </w:pPr>
            <w:r w:rsidRPr="009E686F">
              <w:rPr>
                <w:rFonts w:ascii="Times New Roman" w:eastAsia="Aptos" w:hAnsi="Times New Roman" w:cs="Times New Roman"/>
                <w:b/>
                <w:bCs/>
                <w:kern w:val="2"/>
                <w:lang w:val="ro-MD"/>
              </w:rPr>
              <w:t xml:space="preserve">Articolul 99. Supravegherea prudenţială a </w:t>
            </w:r>
            <w:r w:rsidRPr="009E686F">
              <w:rPr>
                <w:rFonts w:ascii="Times New Roman" w:eastAsia="Aptos" w:hAnsi="Times New Roman" w:cs="Times New Roman"/>
                <w:b/>
                <w:bCs/>
                <w:i/>
                <w:iCs/>
                <w:kern w:val="2"/>
                <w:lang w:val="ro-MD"/>
              </w:rPr>
              <w:t>instituțiilor de credit</w:t>
            </w:r>
            <w:r w:rsidRPr="009E686F">
              <w:rPr>
                <w:rFonts w:ascii="Times New Roman" w:eastAsia="Aptos" w:hAnsi="Times New Roman" w:cs="Times New Roman"/>
                <w:b/>
                <w:bCs/>
                <w:kern w:val="2"/>
                <w:lang w:val="ro-MD"/>
              </w:rPr>
              <w:t xml:space="preserve">  persoane juridice din Republica Moldova </w:t>
            </w:r>
            <w:r w:rsidRPr="009E686F">
              <w:rPr>
                <w:rFonts w:ascii="Times New Roman" w:eastAsia="Aptos" w:hAnsi="Times New Roman" w:cs="Times New Roman"/>
                <w:b/>
                <w:bCs/>
                <w:i/>
                <w:iCs/>
                <w:kern w:val="2"/>
                <w:lang w:val="ro-MD"/>
              </w:rPr>
              <w:t>și măsurile referitoare la activitatea instituțiilor de credit din statele terțe și statele membre pe teritoriul Republicii Moldova</w:t>
            </w:r>
          </w:p>
          <w:p w14:paraId="54D5382A" w14:textId="171B7DA6" w:rsidR="00265766" w:rsidRPr="009E686F" w:rsidRDefault="00265766" w:rsidP="00265766">
            <w:pPr>
              <w:spacing w:after="0"/>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 xml:space="preserve">(1) În scopul protejării intereselor deponenţilor şi al asigurării stabilităţii şi viabilităţii întregului sistem bancar, Banca Naţională a Moldovei asigură supravegherea prudenţială a </w:t>
            </w:r>
            <w:r w:rsidRPr="009E686F">
              <w:rPr>
                <w:rFonts w:ascii="Times New Roman" w:eastAsia="Aptos" w:hAnsi="Times New Roman" w:cs="Times New Roman"/>
                <w:i/>
                <w:iCs/>
                <w:kern w:val="2"/>
                <w:lang w:val="ro-MD"/>
              </w:rPr>
              <w:t>instituțiilor de credit</w:t>
            </w:r>
            <w:r w:rsidRPr="009E686F">
              <w:rPr>
                <w:rFonts w:ascii="Times New Roman" w:eastAsia="Aptos" w:hAnsi="Times New Roman" w:cs="Times New Roman"/>
                <w:kern w:val="2"/>
                <w:lang w:val="ro-MD"/>
              </w:rPr>
              <w:t xml:space="preserve"> persoane juridice din Republica Moldova, inclusiv a sucursalelor acestora înfiinţate în </w:t>
            </w:r>
            <w:r w:rsidRPr="009E686F">
              <w:rPr>
                <w:rFonts w:ascii="Times New Roman" w:eastAsia="Aptos" w:hAnsi="Times New Roman" w:cs="Times New Roman"/>
                <w:i/>
                <w:iCs/>
                <w:kern w:val="2"/>
                <w:lang w:val="ro-MD"/>
              </w:rPr>
              <w:t xml:space="preserve">state membre sau state terțe, </w:t>
            </w:r>
            <w:r w:rsidRPr="009E686F">
              <w:rPr>
                <w:rFonts w:ascii="Times New Roman" w:eastAsia="Aptos" w:hAnsi="Times New Roman" w:cs="Times New Roman"/>
                <w:i/>
                <w:iCs/>
                <w:kern w:val="2"/>
                <w:lang w:val="ro-RO"/>
              </w:rPr>
              <w:t>inclusiv în cazul în care își desfășoară activitatea pe teritoriul statelor membre prin prestarea în mod direct a serviciilor</w:t>
            </w:r>
            <w:r w:rsidRPr="009E686F">
              <w:rPr>
                <w:rFonts w:ascii="Times New Roman" w:eastAsia="Aptos" w:hAnsi="Times New Roman" w:cs="Times New Roman"/>
                <w:kern w:val="2"/>
                <w:lang w:val="ro-RO"/>
              </w:rPr>
              <w:t xml:space="preserve">, </w:t>
            </w:r>
            <w:r w:rsidRPr="009E686F">
              <w:rPr>
                <w:rFonts w:ascii="Times New Roman" w:eastAsia="Aptos" w:hAnsi="Times New Roman" w:cs="Times New Roman"/>
                <w:kern w:val="2"/>
                <w:lang w:val="ro-MD"/>
              </w:rPr>
              <w:t xml:space="preserve">urmărind respectarea cerinţelor prevăzute de lege şi de actele normative aplicabile, atît pe bază individuală, cît şi pe bază consolidată </w:t>
            </w:r>
            <w:r w:rsidRPr="009E686F">
              <w:rPr>
                <w:rFonts w:ascii="Times New Roman" w:eastAsia="Aptos" w:hAnsi="Times New Roman" w:cs="Times New Roman"/>
                <w:i/>
                <w:iCs/>
                <w:kern w:val="2"/>
                <w:lang w:val="ro-MD"/>
              </w:rPr>
              <w:t xml:space="preserve">sau subconsolidată, </w:t>
            </w:r>
            <w:r w:rsidRPr="009E686F">
              <w:rPr>
                <w:rFonts w:ascii="Times New Roman" w:eastAsia="Aptos" w:hAnsi="Times New Roman" w:cs="Times New Roman"/>
                <w:kern w:val="2"/>
                <w:lang w:val="ro-MD"/>
              </w:rPr>
              <w:t>după caz, în vederea prevenirii şi limitării riscurilor specifice activităţii bancare.</w:t>
            </w:r>
          </w:p>
          <w:p w14:paraId="0ADC22E2" w14:textId="2E77DD76" w:rsidR="00265766" w:rsidRPr="009E686F" w:rsidRDefault="00265766" w:rsidP="00265766">
            <w:pPr>
              <w:spacing w:after="0"/>
              <w:jc w:val="both"/>
              <w:rPr>
                <w:rFonts w:ascii="Times New Roman" w:eastAsia="Aptos" w:hAnsi="Times New Roman" w:cs="Times New Roman"/>
                <w:b/>
                <w:bCs/>
                <w:i/>
                <w:iCs/>
                <w:kern w:val="2"/>
                <w:lang w:val="ro-MD"/>
              </w:rPr>
            </w:pPr>
            <w:r w:rsidRPr="009E686F">
              <w:rPr>
                <w:rFonts w:ascii="Times New Roman" w:eastAsia="Aptos" w:hAnsi="Times New Roman" w:cs="Times New Roman"/>
                <w:i/>
                <w:iCs/>
                <w:kern w:val="2"/>
                <w:lang w:val="ro-MD"/>
              </w:rPr>
              <w:t>(1</w:t>
            </w:r>
            <w:r w:rsidRPr="009E686F">
              <w:rPr>
                <w:rFonts w:ascii="Times New Roman" w:eastAsia="Aptos" w:hAnsi="Times New Roman" w:cs="Times New Roman"/>
                <w:i/>
                <w:iCs/>
                <w:kern w:val="2"/>
                <w:vertAlign w:val="superscript"/>
                <w:lang w:val="ro-MD"/>
              </w:rPr>
              <w:t>1</w:t>
            </w:r>
            <w:r w:rsidRPr="009E686F">
              <w:rPr>
                <w:rFonts w:ascii="Times New Roman" w:eastAsia="Aptos" w:hAnsi="Times New Roman" w:cs="Times New Roman"/>
                <w:i/>
                <w:iCs/>
                <w:kern w:val="2"/>
                <w:lang w:val="ro-MD"/>
              </w:rPr>
              <w:t xml:space="preserve">) Prevederile alin. (1) referitoare la supravegherea instituțiilor de credit, persoane juridice din Republica </w:t>
            </w:r>
            <w:r w:rsidRPr="009E686F">
              <w:rPr>
                <w:rFonts w:ascii="Times New Roman" w:eastAsia="Aptos" w:hAnsi="Times New Roman" w:cs="Times New Roman"/>
                <w:i/>
                <w:iCs/>
                <w:kern w:val="2"/>
                <w:lang w:val="ro-MD"/>
              </w:rPr>
              <w:lastRenderedPageBreak/>
              <w:t>Moldova, care își desfășoară activitatea inclusiv prin intermediul unei sucursale pe teritoriul unor state membre sau prestează servicii în mod direct pe teritoriul unor state membre nu aduc atingere prevederilor prezentei legi care stabilesc atribuții ale Băncii Naționale a Moldovei în privința sucursalelor instituțiilor de credit din statele membre care își desfășoară activitatea prin intermediul unei sucursale pe teritoriul Republicii Moldova sau prin prestarea de servicii în mod direct pe teritoriul Republicii Moldova.</w:t>
            </w:r>
          </w:p>
        </w:tc>
        <w:tc>
          <w:tcPr>
            <w:tcW w:w="470" w:type="pct"/>
            <w:tcBorders>
              <w:top w:val="single" w:sz="4" w:space="0" w:color="auto"/>
              <w:left w:val="single" w:sz="4" w:space="0" w:color="auto"/>
              <w:bottom w:val="single" w:sz="4" w:space="0" w:color="auto"/>
              <w:right w:val="single" w:sz="4" w:space="0" w:color="auto"/>
            </w:tcBorders>
          </w:tcPr>
          <w:p w14:paraId="3A32F4CB" w14:textId="58229C0A" w:rsidR="00265766" w:rsidRPr="009E686F" w:rsidRDefault="00265766" w:rsidP="00265766">
            <w:pPr>
              <w:jc w:val="both"/>
              <w:rPr>
                <w:rFonts w:ascii="Times New Roman" w:hAnsi="Times New Roman" w:cs="Times New Roman"/>
                <w:lang w:val="ro-MD"/>
              </w:rPr>
            </w:pPr>
            <w:r w:rsidRPr="009E686F">
              <w:rPr>
                <w:rFonts w:ascii="Times New Roman" w:hAnsi="Times New Roman" w:cs="Times New Roman"/>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4FE5EE88" w14:textId="759C9825" w:rsidR="00265766" w:rsidRPr="009E686F" w:rsidRDefault="001641F5" w:rsidP="00265766">
            <w:pPr>
              <w:spacing w:after="0"/>
              <w:jc w:val="both"/>
              <w:rPr>
                <w:rFonts w:ascii="Times New Roman" w:hAnsi="Times New Roman" w:cs="Times New Roman"/>
                <w:lang w:val="ro-MD"/>
              </w:rPr>
            </w:pPr>
            <w:r w:rsidRPr="009E686F">
              <w:rPr>
                <w:rFonts w:ascii="Times New Roman" w:hAnsi="Times New Roman" w:cs="Times New Roman"/>
                <w:lang w:val="ro-MD"/>
              </w:rPr>
              <w:t>Modificările referitoare la activitatea sucursalel</w:t>
            </w:r>
            <w:r w:rsidR="00503512" w:rsidRPr="009E686F">
              <w:rPr>
                <w:rFonts w:ascii="Times New Roman" w:hAnsi="Times New Roman" w:cs="Times New Roman"/>
                <w:lang w:val="ro-MD"/>
              </w:rPr>
              <w:t>or</w:t>
            </w:r>
            <w:r w:rsidRPr="009E686F">
              <w:rPr>
                <w:rFonts w:ascii="Times New Roman" w:hAnsi="Times New Roman" w:cs="Times New Roman"/>
                <w:lang w:val="ro-MD"/>
              </w:rPr>
              <w:t xml:space="preserve"> instituțiilor de credit înființate în state </w:t>
            </w:r>
            <w:r w:rsidR="00D844DC" w:rsidRPr="009E686F">
              <w:rPr>
                <w:rFonts w:ascii="Times New Roman" w:hAnsi="Times New Roman" w:cs="Times New Roman"/>
                <w:lang w:val="ro-MD"/>
              </w:rPr>
              <w:t xml:space="preserve">terțe </w:t>
            </w:r>
            <w:r w:rsidR="00503512" w:rsidRPr="009E686F">
              <w:rPr>
                <w:rFonts w:ascii="Times New Roman" w:hAnsi="Times New Roman" w:cs="Times New Roman"/>
                <w:lang w:val="ro-MD"/>
              </w:rPr>
              <w:t>în vigoare de la data aderării</w:t>
            </w:r>
            <w:r w:rsidRPr="009E686F">
              <w:rPr>
                <w:rFonts w:ascii="Times New Roman" w:hAnsi="Times New Roman" w:cs="Times New Roman"/>
                <w:lang w:val="ro-MD"/>
              </w:rPr>
              <w:t xml:space="preserve"> sau </w:t>
            </w:r>
            <w:r w:rsidR="00503512" w:rsidRPr="009E686F">
              <w:rPr>
                <w:rFonts w:ascii="Times New Roman" w:hAnsi="Times New Roman" w:cs="Times New Roman"/>
                <w:lang w:val="ro-MD"/>
              </w:rPr>
              <w:t xml:space="preserve">în </w:t>
            </w:r>
            <w:r w:rsidRPr="009E686F">
              <w:rPr>
                <w:rFonts w:ascii="Times New Roman" w:hAnsi="Times New Roman" w:cs="Times New Roman"/>
                <w:lang w:val="ro-MD"/>
              </w:rPr>
              <w:t xml:space="preserve">state </w:t>
            </w:r>
            <w:r w:rsidR="00D844DC" w:rsidRPr="009E686F">
              <w:rPr>
                <w:rFonts w:ascii="Times New Roman" w:hAnsi="Times New Roman" w:cs="Times New Roman"/>
                <w:lang w:val="ro-MD"/>
              </w:rPr>
              <w:t>membre</w:t>
            </w:r>
            <w:r w:rsidR="00247A35" w:rsidRPr="009E686F">
              <w:rPr>
                <w:rFonts w:ascii="Times New Roman" w:hAnsi="Times New Roman" w:cs="Times New Roman"/>
                <w:lang w:val="ro-MD"/>
              </w:rPr>
              <w:t xml:space="preserve"> </w:t>
            </w:r>
            <w:r w:rsidR="00503512" w:rsidRPr="009E686F">
              <w:rPr>
                <w:rFonts w:ascii="Times New Roman" w:hAnsi="Times New Roman" w:cs="Times New Roman"/>
                <w:lang w:val="ro-MD"/>
              </w:rPr>
              <w:t>–</w:t>
            </w:r>
            <w:r w:rsidR="00247A35" w:rsidRPr="009E686F">
              <w:rPr>
                <w:rFonts w:ascii="Times New Roman" w:hAnsi="Times New Roman" w:cs="Times New Roman"/>
                <w:lang w:val="ro-MD"/>
              </w:rPr>
              <w:t xml:space="preserve"> </w:t>
            </w:r>
            <w:r w:rsidRPr="009E686F">
              <w:rPr>
                <w:rFonts w:ascii="Times New Roman" w:hAnsi="Times New Roman" w:cs="Times New Roman"/>
                <w:lang w:val="ro-MD"/>
              </w:rPr>
              <w:t xml:space="preserve">în vigoare </w:t>
            </w:r>
            <w:r w:rsidR="00503512" w:rsidRPr="009E686F">
              <w:rPr>
                <w:rFonts w:ascii="Times New Roman" w:hAnsi="Times New Roman" w:cs="Times New Roman"/>
                <w:lang w:val="ro-MD"/>
              </w:rPr>
              <w:t xml:space="preserve">în termen de 5 ani de la data </w:t>
            </w:r>
            <w:r w:rsidRPr="009E686F">
              <w:rPr>
                <w:rFonts w:ascii="Times New Roman" w:hAnsi="Times New Roman" w:cs="Times New Roman"/>
                <w:lang w:val="ro-MD"/>
              </w:rPr>
              <w:t>aderării.</w:t>
            </w:r>
          </w:p>
        </w:tc>
      </w:tr>
      <w:tr w:rsidR="00265766" w:rsidRPr="009E686F" w14:paraId="7FDD6743" w14:textId="77777777" w:rsidTr="00960C23">
        <w:tc>
          <w:tcPr>
            <w:tcW w:w="1890" w:type="pct"/>
            <w:tcBorders>
              <w:top w:val="single" w:sz="4" w:space="0" w:color="auto"/>
              <w:left w:val="single" w:sz="4" w:space="0" w:color="auto"/>
              <w:bottom w:val="single" w:sz="4" w:space="0" w:color="auto"/>
              <w:right w:val="single" w:sz="4" w:space="0" w:color="auto"/>
            </w:tcBorders>
          </w:tcPr>
          <w:p w14:paraId="474A790F" w14:textId="7FAF8FA9"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(2) Aplicarea alineatului (1) nu împiedică supravegherea pe bază consolidată.</w:t>
            </w:r>
          </w:p>
        </w:tc>
        <w:tc>
          <w:tcPr>
            <w:tcW w:w="1834" w:type="pct"/>
            <w:tcBorders>
              <w:top w:val="single" w:sz="4" w:space="0" w:color="auto"/>
              <w:left w:val="single" w:sz="4" w:space="0" w:color="auto"/>
              <w:bottom w:val="single" w:sz="4" w:space="0" w:color="auto"/>
              <w:right w:val="single" w:sz="4" w:space="0" w:color="auto"/>
            </w:tcBorders>
          </w:tcPr>
          <w:p w14:paraId="678E3045" w14:textId="6347CFD2" w:rsidR="00265766" w:rsidRPr="009E686F" w:rsidRDefault="00265766" w:rsidP="00265766">
            <w:pPr>
              <w:spacing w:after="0"/>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(1</w:t>
            </w:r>
            <w:r w:rsidRPr="009E686F">
              <w:rPr>
                <w:rFonts w:ascii="Times New Roman" w:eastAsia="Aptos" w:hAnsi="Times New Roman" w:cs="Times New Roman"/>
                <w:i/>
                <w:iCs/>
                <w:kern w:val="2"/>
                <w:vertAlign w:val="superscript"/>
                <w:lang w:val="ro-MD"/>
              </w:rPr>
              <w:t>2</w:t>
            </w:r>
            <w:r w:rsidRPr="009E686F">
              <w:rPr>
                <w:rFonts w:ascii="Times New Roman" w:eastAsia="Aptos" w:hAnsi="Times New Roman" w:cs="Times New Roman"/>
                <w:i/>
                <w:iCs/>
                <w:kern w:val="2"/>
                <w:lang w:val="ro-MD"/>
              </w:rPr>
              <w:t>) Aplicarea alin. (1</w:t>
            </w:r>
            <w:r w:rsidRPr="009E686F">
              <w:rPr>
                <w:rFonts w:ascii="Times New Roman" w:eastAsia="Aptos" w:hAnsi="Times New Roman" w:cs="Times New Roman"/>
                <w:i/>
                <w:iCs/>
                <w:kern w:val="2"/>
                <w:vertAlign w:val="superscript"/>
                <w:lang w:val="ro-MD"/>
              </w:rPr>
              <w:t>1</w:t>
            </w:r>
            <w:r w:rsidRPr="009E686F">
              <w:rPr>
                <w:rFonts w:ascii="Times New Roman" w:eastAsia="Aptos" w:hAnsi="Times New Roman" w:cs="Times New Roman"/>
                <w:i/>
                <w:iCs/>
                <w:kern w:val="2"/>
                <w:lang w:val="ro-MD"/>
              </w:rPr>
              <w:t>) nu împiedică exercitarea de către Banca Națională a Moldovei a supravegherii pe bază consolidată.</w:t>
            </w:r>
          </w:p>
        </w:tc>
        <w:tc>
          <w:tcPr>
            <w:tcW w:w="470" w:type="pct"/>
            <w:tcBorders>
              <w:top w:val="single" w:sz="4" w:space="0" w:color="auto"/>
              <w:left w:val="single" w:sz="4" w:space="0" w:color="auto"/>
              <w:bottom w:val="single" w:sz="4" w:space="0" w:color="auto"/>
              <w:right w:val="single" w:sz="4" w:space="0" w:color="auto"/>
            </w:tcBorders>
          </w:tcPr>
          <w:p w14:paraId="6D17919D" w14:textId="4A2CEDDF" w:rsidR="00265766" w:rsidRPr="009E686F" w:rsidRDefault="00265766" w:rsidP="00265766">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6E5E0484" w14:textId="60E5DB36" w:rsidR="00265766" w:rsidRPr="009E686F" w:rsidRDefault="00265766" w:rsidP="00265766">
            <w:pPr>
              <w:spacing w:after="0"/>
              <w:jc w:val="both"/>
              <w:rPr>
                <w:rFonts w:ascii="Times New Roman" w:hAnsi="Times New Roman" w:cs="Times New Roman"/>
              </w:rPr>
            </w:pPr>
          </w:p>
        </w:tc>
      </w:tr>
      <w:tr w:rsidR="00265766" w:rsidRPr="009E686F" w14:paraId="0983D09F" w14:textId="77777777" w:rsidTr="00960C23">
        <w:tc>
          <w:tcPr>
            <w:tcW w:w="1890" w:type="pct"/>
            <w:tcBorders>
              <w:top w:val="single" w:sz="4" w:space="0" w:color="auto"/>
              <w:left w:val="single" w:sz="4" w:space="0" w:color="auto"/>
              <w:bottom w:val="single" w:sz="4" w:space="0" w:color="auto"/>
              <w:right w:val="single" w:sz="4" w:space="0" w:color="auto"/>
            </w:tcBorders>
          </w:tcPr>
          <w:p w14:paraId="1210B97C" w14:textId="6CB37ED2"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(3) Măsurile luate de statul membru gazdă nu prevăd un tratament discriminatoriu sau restrictiv pe baza faptului că o instituție este autorizată într-un alt stat membru.</w:t>
            </w:r>
          </w:p>
        </w:tc>
        <w:tc>
          <w:tcPr>
            <w:tcW w:w="1834" w:type="pct"/>
            <w:tcBorders>
              <w:top w:val="single" w:sz="4" w:space="0" w:color="auto"/>
              <w:left w:val="single" w:sz="4" w:space="0" w:color="auto"/>
              <w:bottom w:val="single" w:sz="4" w:space="0" w:color="auto"/>
              <w:right w:val="single" w:sz="4" w:space="0" w:color="auto"/>
            </w:tcBorders>
          </w:tcPr>
          <w:p w14:paraId="281558AA" w14:textId="5708DDE5" w:rsidR="00265766" w:rsidRPr="009E686F" w:rsidRDefault="00265766" w:rsidP="00265766">
            <w:pPr>
              <w:spacing w:after="0"/>
              <w:jc w:val="both"/>
              <w:rPr>
                <w:rFonts w:ascii="Times New Roman" w:hAnsi="Times New Roman" w:cs="Times New Roman"/>
                <w:b/>
                <w:i/>
                <w:iCs/>
                <w:lang w:val="ro-MD"/>
              </w:rPr>
            </w:pPr>
            <w:r w:rsidRPr="009E686F">
              <w:rPr>
                <w:rFonts w:ascii="Times New Roman" w:eastAsia="Aptos" w:hAnsi="Times New Roman" w:cs="Times New Roman"/>
                <w:i/>
                <w:iCs/>
                <w:kern w:val="2"/>
                <w:lang w:val="ro-MD"/>
              </w:rPr>
              <w:t>(1</w:t>
            </w:r>
            <w:r w:rsidRPr="009E686F">
              <w:rPr>
                <w:rFonts w:ascii="Times New Roman" w:eastAsia="Aptos" w:hAnsi="Times New Roman" w:cs="Times New Roman"/>
                <w:i/>
                <w:iCs/>
                <w:kern w:val="2"/>
                <w:vertAlign w:val="superscript"/>
                <w:lang w:val="ro-MD"/>
              </w:rPr>
              <w:t>3</w:t>
            </w:r>
            <w:r w:rsidRPr="009E686F">
              <w:rPr>
                <w:rFonts w:ascii="Times New Roman" w:eastAsia="Aptos" w:hAnsi="Times New Roman" w:cs="Times New Roman"/>
                <w:i/>
                <w:iCs/>
                <w:kern w:val="2"/>
                <w:lang w:val="ro-MD"/>
              </w:rPr>
              <w:t>) Măsurile luate de către Banca Națională a Moldovei în exercitarea atribuțiilor prevăzute de prezenta lege în privința sucursalelor instituțiilor de credit din statele membre care își desfășoară activitatea prin intermediul unei sucursale pe teritoriul Republicii Moldova sau prin prestarea de servicii în mod direct pe teritoriul Republicii Moldova nu trebuie să aibă caracter discriminatoriu în baza faptului că o instituție de credit este autorizată într-un stat membru.</w:t>
            </w:r>
          </w:p>
        </w:tc>
        <w:tc>
          <w:tcPr>
            <w:tcW w:w="470" w:type="pct"/>
            <w:tcBorders>
              <w:top w:val="single" w:sz="4" w:space="0" w:color="auto"/>
              <w:left w:val="single" w:sz="4" w:space="0" w:color="auto"/>
              <w:bottom w:val="single" w:sz="4" w:space="0" w:color="auto"/>
              <w:right w:val="single" w:sz="4" w:space="0" w:color="auto"/>
            </w:tcBorders>
          </w:tcPr>
          <w:p w14:paraId="1C6682C7" w14:textId="36C2EC28" w:rsidR="00265766" w:rsidRPr="009E686F" w:rsidRDefault="00265766" w:rsidP="00265766">
            <w:pPr>
              <w:jc w:val="both"/>
              <w:rPr>
                <w:rFonts w:ascii="Times New Roman" w:hAnsi="Times New Roman" w:cs="Times New Roman"/>
              </w:rPr>
            </w:pPr>
            <w:r w:rsidRPr="009E686F">
              <w:rPr>
                <w:rFonts w:ascii="Times New Roman" w:hAnsi="Times New Roman" w:cs="Times New Roman"/>
              </w:rPr>
              <w:t xml:space="preserve">Compatibil </w:t>
            </w:r>
          </w:p>
        </w:tc>
        <w:tc>
          <w:tcPr>
            <w:tcW w:w="806" w:type="pct"/>
            <w:tcBorders>
              <w:top w:val="single" w:sz="4" w:space="0" w:color="auto"/>
              <w:left w:val="single" w:sz="4" w:space="0" w:color="auto"/>
              <w:bottom w:val="single" w:sz="4" w:space="0" w:color="auto"/>
              <w:right w:val="single" w:sz="4" w:space="0" w:color="auto"/>
            </w:tcBorders>
          </w:tcPr>
          <w:p w14:paraId="601D401A" w14:textId="105B6DD1" w:rsidR="00265766" w:rsidRPr="009E686F" w:rsidRDefault="00247A35" w:rsidP="00265766">
            <w:pPr>
              <w:spacing w:after="0"/>
              <w:jc w:val="both"/>
              <w:rPr>
                <w:rFonts w:ascii="Times New Roman" w:hAnsi="Times New Roman" w:cs="Times New Roman"/>
                <w:lang w:val="it-CH"/>
              </w:rPr>
            </w:pPr>
            <w:r w:rsidRPr="009E686F">
              <w:rPr>
                <w:rFonts w:ascii="Times New Roman" w:hAnsi="Times New Roman" w:cs="Times New Roman"/>
                <w:lang w:val="ro-MD"/>
              </w:rPr>
              <w:t>Modificările referitoare la activitatea sucursalelor instituțiilor de credit înființate în state membre – în vigoare în termen de 5 ani de la data aderării.</w:t>
            </w:r>
          </w:p>
        </w:tc>
      </w:tr>
      <w:tr w:rsidR="00265766" w:rsidRPr="009E686F" w14:paraId="625BACE0" w14:textId="77777777" w:rsidTr="00960C23">
        <w:tc>
          <w:tcPr>
            <w:tcW w:w="1890" w:type="pct"/>
            <w:tcBorders>
              <w:top w:val="single" w:sz="4" w:space="0" w:color="auto"/>
              <w:left w:val="single" w:sz="4" w:space="0" w:color="auto"/>
              <w:bottom w:val="single" w:sz="4" w:space="0" w:color="auto"/>
              <w:right w:val="single" w:sz="4" w:space="0" w:color="auto"/>
            </w:tcBorders>
          </w:tcPr>
          <w:p w14:paraId="30642F90" w14:textId="77777777" w:rsidR="00265766" w:rsidRPr="009E686F" w:rsidRDefault="00265766" w:rsidP="00265766">
            <w:pPr>
              <w:spacing w:after="0"/>
              <w:jc w:val="both"/>
              <w:rPr>
                <w:rFonts w:ascii="Times New Roman" w:hAnsi="Times New Roman" w:cs="Times New Roman"/>
                <w:i/>
                <w:iCs/>
              </w:rPr>
            </w:pPr>
            <w:r w:rsidRPr="009E686F">
              <w:rPr>
                <w:rFonts w:ascii="Times New Roman" w:hAnsi="Times New Roman" w:cs="Times New Roman"/>
                <w:i/>
                <w:iCs/>
              </w:rPr>
              <w:t xml:space="preserve">Articolul 50 </w:t>
            </w:r>
          </w:p>
          <w:p w14:paraId="5DD7C0CB" w14:textId="396D47B1" w:rsidR="00265766" w:rsidRPr="009E686F" w:rsidRDefault="00265766" w:rsidP="00265766">
            <w:pPr>
              <w:spacing w:after="0"/>
              <w:jc w:val="both"/>
              <w:rPr>
                <w:rFonts w:ascii="Times New Roman" w:hAnsi="Times New Roman" w:cs="Times New Roman"/>
              </w:rPr>
            </w:pPr>
            <w:r w:rsidRPr="009E686F">
              <w:rPr>
                <w:rFonts w:ascii="Times New Roman" w:hAnsi="Times New Roman" w:cs="Times New Roman"/>
              </w:rPr>
              <w:t>Colaborarea privind supravegherea</w:t>
            </w:r>
          </w:p>
        </w:tc>
        <w:tc>
          <w:tcPr>
            <w:tcW w:w="1834" w:type="pct"/>
            <w:tcBorders>
              <w:top w:val="single" w:sz="4" w:space="0" w:color="auto"/>
              <w:left w:val="single" w:sz="4" w:space="0" w:color="auto"/>
              <w:bottom w:val="single" w:sz="4" w:space="0" w:color="auto"/>
              <w:right w:val="single" w:sz="4" w:space="0" w:color="auto"/>
            </w:tcBorders>
          </w:tcPr>
          <w:p w14:paraId="6285C780" w14:textId="77777777" w:rsidR="00265766" w:rsidRPr="009E686F" w:rsidRDefault="00265766" w:rsidP="00265766">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b/>
                <w:bCs/>
                <w:kern w:val="2"/>
                <w:lang w:val="ro-MD"/>
              </w:rPr>
              <w:t>Articolul 107.</w:t>
            </w:r>
            <w:r w:rsidRPr="009E686F">
              <w:rPr>
                <w:rFonts w:ascii="Times New Roman" w:eastAsia="Aptos" w:hAnsi="Times New Roman" w:cs="Times New Roman"/>
                <w:kern w:val="2"/>
                <w:lang w:val="ro-MD"/>
              </w:rPr>
              <w:t xml:space="preserve"> Colaborarea privind supravegherea</w:t>
            </w:r>
          </w:p>
          <w:p w14:paraId="211630F0" w14:textId="77777777" w:rsidR="00265766" w:rsidRPr="009E686F" w:rsidRDefault="00265766" w:rsidP="00265766">
            <w:pPr>
              <w:spacing w:after="0"/>
              <w:jc w:val="both"/>
              <w:rPr>
                <w:rFonts w:ascii="Times New Roman" w:hAnsi="Times New Roman" w:cs="Times New Roman"/>
                <w:b/>
              </w:rPr>
            </w:pPr>
          </w:p>
        </w:tc>
        <w:tc>
          <w:tcPr>
            <w:tcW w:w="470" w:type="pct"/>
            <w:tcBorders>
              <w:top w:val="single" w:sz="4" w:space="0" w:color="auto"/>
              <w:left w:val="single" w:sz="4" w:space="0" w:color="auto"/>
              <w:bottom w:val="single" w:sz="4" w:space="0" w:color="auto"/>
              <w:right w:val="single" w:sz="4" w:space="0" w:color="auto"/>
            </w:tcBorders>
          </w:tcPr>
          <w:p w14:paraId="427A529C" w14:textId="77777777" w:rsidR="00265766" w:rsidRPr="009E686F" w:rsidRDefault="00265766" w:rsidP="00265766">
            <w:pPr>
              <w:jc w:val="both"/>
              <w:rPr>
                <w:rFonts w:ascii="Times New Roman" w:hAnsi="Times New Roman" w:cs="Times New Roman"/>
              </w:rPr>
            </w:pPr>
          </w:p>
        </w:tc>
        <w:tc>
          <w:tcPr>
            <w:tcW w:w="806" w:type="pct"/>
            <w:tcBorders>
              <w:top w:val="single" w:sz="4" w:space="0" w:color="auto"/>
              <w:left w:val="single" w:sz="4" w:space="0" w:color="auto"/>
              <w:bottom w:val="single" w:sz="4" w:space="0" w:color="auto"/>
              <w:right w:val="single" w:sz="4" w:space="0" w:color="auto"/>
            </w:tcBorders>
          </w:tcPr>
          <w:p w14:paraId="3E6D6648" w14:textId="23B3C431" w:rsidR="00265766" w:rsidRPr="009E686F" w:rsidRDefault="00265766" w:rsidP="00265766">
            <w:pPr>
              <w:spacing w:after="0"/>
              <w:jc w:val="both"/>
              <w:rPr>
                <w:rFonts w:ascii="Times New Roman" w:hAnsi="Times New Roman" w:cs="Times New Roman"/>
              </w:rPr>
            </w:pPr>
          </w:p>
        </w:tc>
      </w:tr>
      <w:tr w:rsidR="00265766" w:rsidRPr="009E686F" w14:paraId="72DCD5BA" w14:textId="77777777" w:rsidTr="00960C23">
        <w:tc>
          <w:tcPr>
            <w:tcW w:w="1890" w:type="pct"/>
            <w:tcBorders>
              <w:top w:val="single" w:sz="4" w:space="0" w:color="auto"/>
              <w:left w:val="single" w:sz="4" w:space="0" w:color="auto"/>
              <w:bottom w:val="single" w:sz="4" w:space="0" w:color="auto"/>
              <w:right w:val="single" w:sz="4" w:space="0" w:color="auto"/>
            </w:tcBorders>
          </w:tcPr>
          <w:p w14:paraId="1C2E6A9E" w14:textId="4157B591" w:rsidR="00265766" w:rsidRPr="009E686F" w:rsidRDefault="00265766" w:rsidP="00265766">
            <w:pPr>
              <w:spacing w:after="0"/>
              <w:jc w:val="both"/>
              <w:rPr>
                <w:rFonts w:ascii="Times New Roman" w:hAnsi="Times New Roman" w:cs="Times New Roman"/>
              </w:rPr>
            </w:pPr>
            <w:r w:rsidRPr="009E686F">
              <w:rPr>
                <w:rFonts w:ascii="Times New Roman" w:hAnsi="Times New Roman" w:cs="Times New Roman"/>
              </w:rPr>
              <w:t xml:space="preserve">(1) Autoritățile competente din statele membre în cauză colaborează îndeaproape la supravegherea activității instituțiilor de credit care funcționează, în special printr-o sucursală, în unul sau mai multe state membre, altele decât cele în care își au sediul central. </w:t>
            </w:r>
          </w:p>
          <w:p w14:paraId="3BBCFCA6" w14:textId="77777777" w:rsidR="00265766" w:rsidRPr="009E686F" w:rsidRDefault="00265766" w:rsidP="00265766">
            <w:pPr>
              <w:spacing w:after="0"/>
              <w:jc w:val="both"/>
              <w:rPr>
                <w:rFonts w:ascii="Times New Roman" w:hAnsi="Times New Roman" w:cs="Times New Roman"/>
              </w:rPr>
            </w:pPr>
          </w:p>
          <w:p w14:paraId="18F30E83" w14:textId="77777777"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 xml:space="preserve">Autoritățile competente din statele membre își comunică toate informațiile privind administrarea și proprietatea asupra acestor instituții, informații care pot facilita supravegherea </w:t>
            </w:r>
            <w:r w:rsidRPr="009E686F">
              <w:rPr>
                <w:rFonts w:ascii="Times New Roman" w:hAnsi="Times New Roman" w:cs="Times New Roman"/>
                <w:lang w:val="it-CH"/>
              </w:rPr>
              <w:lastRenderedPageBreak/>
              <w:t>acestora și examinarea condițiilor de autorizare a lor, precum și toate informațiile care pot facilita monitorizarea instituțiilor, în special în ceea ce privește lichiditatea, solvabilitatea, garantarea depozitelor, limitarea expunerilor mari, alți factori care pot influența riscul sistemic prezentat de instituție, procedurile administrative și contabile și mecanismele de control intern.</w:t>
            </w:r>
          </w:p>
        </w:tc>
        <w:tc>
          <w:tcPr>
            <w:tcW w:w="1834" w:type="pct"/>
            <w:tcBorders>
              <w:top w:val="single" w:sz="4" w:space="0" w:color="auto"/>
              <w:left w:val="single" w:sz="4" w:space="0" w:color="auto"/>
              <w:bottom w:val="single" w:sz="4" w:space="0" w:color="auto"/>
              <w:right w:val="single" w:sz="4" w:space="0" w:color="auto"/>
            </w:tcBorders>
          </w:tcPr>
          <w:p w14:paraId="10AD75B7" w14:textId="41EE8910" w:rsidR="00265766" w:rsidRPr="009E686F" w:rsidRDefault="00265766" w:rsidP="00265766">
            <w:pPr>
              <w:spacing w:after="0"/>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lastRenderedPageBreak/>
              <w:t xml:space="preserve">(1) Pentru supravegherea prudenţială a </w:t>
            </w:r>
            <w:r w:rsidRPr="009E686F">
              <w:rPr>
                <w:rFonts w:ascii="Times New Roman" w:eastAsia="Aptos" w:hAnsi="Times New Roman" w:cs="Times New Roman"/>
                <w:i/>
                <w:iCs/>
                <w:kern w:val="2"/>
                <w:lang w:val="ro-MD"/>
              </w:rPr>
              <w:t>instituțiilor de credit</w:t>
            </w:r>
            <w:r w:rsidRPr="009E686F">
              <w:rPr>
                <w:rFonts w:ascii="Times New Roman" w:eastAsia="Aptos" w:hAnsi="Times New Roman" w:cs="Times New Roman"/>
                <w:kern w:val="2"/>
                <w:lang w:val="ro-MD"/>
              </w:rPr>
              <w:t xml:space="preserve">  persoane juridice din Republica Moldova care desfăşoară activitate în </w:t>
            </w:r>
            <w:r w:rsidRPr="009E686F">
              <w:rPr>
                <w:rFonts w:ascii="Times New Roman" w:eastAsia="Aptos" w:hAnsi="Times New Roman" w:cs="Times New Roman"/>
                <w:i/>
                <w:iCs/>
                <w:kern w:val="2"/>
                <w:lang w:val="ro-MD"/>
              </w:rPr>
              <w:t>statele membre</w:t>
            </w:r>
            <w:r w:rsidRPr="009E686F">
              <w:rPr>
                <w:rFonts w:ascii="Times New Roman" w:eastAsia="Aptos" w:hAnsi="Times New Roman" w:cs="Times New Roman"/>
                <w:kern w:val="2"/>
                <w:lang w:val="ro-MD"/>
              </w:rPr>
              <w:t xml:space="preserve"> printr-o sucursală, Banca Naţională a Moldovei colaborează cu autorităţile competente din statele </w:t>
            </w:r>
            <w:r w:rsidRPr="009E686F">
              <w:rPr>
                <w:rFonts w:ascii="Times New Roman" w:eastAsia="Aptos" w:hAnsi="Times New Roman" w:cs="Times New Roman"/>
                <w:i/>
                <w:iCs/>
                <w:kern w:val="2"/>
                <w:lang w:val="ro-MD"/>
              </w:rPr>
              <w:t>membre</w:t>
            </w:r>
            <w:r w:rsidRPr="009E686F">
              <w:rPr>
                <w:rFonts w:ascii="Times New Roman" w:eastAsia="Aptos" w:hAnsi="Times New Roman" w:cs="Times New Roman"/>
                <w:kern w:val="2"/>
                <w:lang w:val="ro-MD"/>
              </w:rPr>
              <w:t xml:space="preserve"> gazdă. </w:t>
            </w:r>
          </w:p>
          <w:p w14:paraId="74CC256D" w14:textId="694F3BC7" w:rsidR="00265766" w:rsidRPr="009E686F" w:rsidRDefault="00265766" w:rsidP="00265766">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 xml:space="preserve">(2) Pentru supravegherea prudenţială a </w:t>
            </w:r>
            <w:r w:rsidRPr="009E686F">
              <w:rPr>
                <w:rFonts w:ascii="Times New Roman" w:eastAsia="Aptos" w:hAnsi="Times New Roman" w:cs="Times New Roman"/>
                <w:i/>
                <w:iCs/>
                <w:kern w:val="2"/>
                <w:lang w:val="ro-MD"/>
              </w:rPr>
              <w:t>instituțiilor de credit</w:t>
            </w:r>
            <w:r w:rsidRPr="009E686F">
              <w:rPr>
                <w:rFonts w:ascii="Times New Roman" w:eastAsia="Aptos" w:hAnsi="Times New Roman" w:cs="Times New Roman"/>
                <w:kern w:val="2"/>
                <w:lang w:val="ro-MD"/>
              </w:rPr>
              <w:t xml:space="preserve">  dintr-un</w:t>
            </w:r>
            <w:r w:rsidR="00D155F2" w:rsidRPr="009E686F">
              <w:rPr>
                <w:rFonts w:ascii="Times New Roman" w:eastAsia="Aptos" w:hAnsi="Times New Roman" w:cs="Times New Roman"/>
                <w:kern w:val="2"/>
                <w:lang w:val="ro-MD"/>
              </w:rPr>
              <w:t xml:space="preserve"> alt</w:t>
            </w:r>
            <w:r w:rsidRPr="009E686F">
              <w:rPr>
                <w:rFonts w:ascii="Times New Roman" w:eastAsia="Aptos" w:hAnsi="Times New Roman" w:cs="Times New Roman"/>
                <w:kern w:val="2"/>
                <w:lang w:val="ro-MD"/>
              </w:rPr>
              <w:t xml:space="preserve"> stat membru care desfăşoară activitate în Republica Moldova printr-o sucursală, Banca Naţională a </w:t>
            </w:r>
            <w:r w:rsidRPr="009E686F">
              <w:rPr>
                <w:rFonts w:ascii="Times New Roman" w:eastAsia="Aptos" w:hAnsi="Times New Roman" w:cs="Times New Roman"/>
                <w:kern w:val="2"/>
                <w:lang w:val="ro-MD"/>
              </w:rPr>
              <w:lastRenderedPageBreak/>
              <w:t xml:space="preserve">Moldovei colaborează cu autorităţile competente din statul </w:t>
            </w:r>
            <w:r w:rsidRPr="009E686F">
              <w:rPr>
                <w:rFonts w:ascii="Times New Roman" w:eastAsia="Aptos" w:hAnsi="Times New Roman" w:cs="Times New Roman"/>
                <w:i/>
                <w:iCs/>
                <w:kern w:val="2"/>
                <w:lang w:val="ro-MD"/>
              </w:rPr>
              <w:t>membru</w:t>
            </w:r>
            <w:r w:rsidRPr="009E686F">
              <w:rPr>
                <w:rFonts w:ascii="Times New Roman" w:eastAsia="Aptos" w:hAnsi="Times New Roman" w:cs="Times New Roman"/>
                <w:kern w:val="2"/>
                <w:lang w:val="ro-MD"/>
              </w:rPr>
              <w:t xml:space="preserve"> de origine</w:t>
            </w:r>
            <w:r w:rsidRPr="009E686F">
              <w:rPr>
                <w:rFonts w:ascii="Times New Roman" w:eastAsia="Aptos" w:hAnsi="Times New Roman" w:cs="Times New Roman"/>
                <w:i/>
                <w:iCs/>
                <w:kern w:val="2"/>
                <w:lang w:val="ro-MD"/>
              </w:rPr>
              <w:t xml:space="preserve"> şi din</w:t>
            </w:r>
            <w:r w:rsidRPr="009E686F">
              <w:rPr>
                <w:rFonts w:ascii="Times New Roman" w:eastAsia="Aptos" w:hAnsi="Times New Roman" w:cs="Times New Roman"/>
                <w:kern w:val="2"/>
                <w:lang w:val="ro-MD"/>
              </w:rPr>
              <w:t xml:space="preserve"> </w:t>
            </w:r>
            <w:r w:rsidRPr="009E686F">
              <w:rPr>
                <w:rFonts w:ascii="Times New Roman" w:eastAsia="Aptos" w:hAnsi="Times New Roman" w:cs="Times New Roman"/>
                <w:i/>
                <w:iCs/>
                <w:kern w:val="2"/>
                <w:lang w:val="ro-MD"/>
              </w:rPr>
              <w:t>state</w:t>
            </w:r>
            <w:r w:rsidR="00D155F2" w:rsidRPr="009E686F">
              <w:rPr>
                <w:rFonts w:ascii="Times New Roman" w:eastAsia="Aptos" w:hAnsi="Times New Roman" w:cs="Times New Roman"/>
                <w:i/>
                <w:iCs/>
                <w:kern w:val="2"/>
                <w:lang w:val="ro-MD"/>
              </w:rPr>
              <w:t>le</w:t>
            </w:r>
            <w:r w:rsidRPr="009E686F">
              <w:rPr>
                <w:rFonts w:ascii="Times New Roman" w:eastAsia="Aptos" w:hAnsi="Times New Roman" w:cs="Times New Roman"/>
                <w:i/>
                <w:iCs/>
                <w:kern w:val="2"/>
                <w:lang w:val="ro-MD"/>
              </w:rPr>
              <w:t xml:space="preserve"> membre</w:t>
            </w:r>
            <w:r w:rsidRPr="009E686F">
              <w:rPr>
                <w:rFonts w:ascii="Times New Roman" w:eastAsia="Aptos" w:hAnsi="Times New Roman" w:cs="Times New Roman"/>
                <w:kern w:val="2"/>
                <w:lang w:val="ro-MD"/>
              </w:rPr>
              <w:t xml:space="preserve"> în care </w:t>
            </w:r>
            <w:r w:rsidRPr="009E686F">
              <w:rPr>
                <w:rFonts w:ascii="Times New Roman" w:eastAsia="Aptos" w:hAnsi="Times New Roman" w:cs="Times New Roman"/>
                <w:i/>
                <w:iCs/>
                <w:kern w:val="2"/>
                <w:lang w:val="ro-MD"/>
              </w:rPr>
              <w:t>instituția de credit</w:t>
            </w:r>
            <w:r w:rsidRPr="009E686F">
              <w:rPr>
                <w:rFonts w:ascii="Times New Roman" w:eastAsia="Aptos" w:hAnsi="Times New Roman" w:cs="Times New Roman"/>
                <w:kern w:val="2"/>
                <w:lang w:val="ro-MD"/>
              </w:rPr>
              <w:t xml:space="preserve"> desfăşoară activitate.</w:t>
            </w:r>
          </w:p>
          <w:p w14:paraId="1F438DF5" w14:textId="2A9D4A9B" w:rsidR="00265766" w:rsidRPr="009E686F" w:rsidRDefault="00265766" w:rsidP="00265766">
            <w:pPr>
              <w:spacing w:after="0" w:line="278" w:lineRule="auto"/>
              <w:jc w:val="both"/>
              <w:rPr>
                <w:rFonts w:ascii="Times New Roman" w:hAnsi="Times New Roman" w:cs="Times New Roman"/>
                <w:color w:val="FF0000"/>
                <w:lang w:val="ro-MD"/>
              </w:rPr>
            </w:pPr>
            <w:r w:rsidRPr="009E686F">
              <w:rPr>
                <w:rFonts w:ascii="Times New Roman" w:eastAsia="Aptos" w:hAnsi="Times New Roman" w:cs="Times New Roman"/>
                <w:kern w:val="2"/>
                <w:lang w:val="ro-MD"/>
              </w:rPr>
              <w:t xml:space="preserve">(3) Colaborarea prevăzută la alin.(1) şi (2) se realizează, </w:t>
            </w:r>
            <w:r w:rsidRPr="009E686F">
              <w:rPr>
                <w:rFonts w:ascii="Times New Roman" w:eastAsia="Aptos" w:hAnsi="Times New Roman" w:cs="Times New Roman"/>
                <w:i/>
                <w:iCs/>
                <w:kern w:val="2"/>
                <w:lang w:val="ro-MD"/>
              </w:rPr>
              <w:t>după caz,</w:t>
            </w:r>
            <w:r w:rsidRPr="009E686F">
              <w:rPr>
                <w:rFonts w:ascii="Times New Roman" w:eastAsia="Aptos" w:hAnsi="Times New Roman" w:cs="Times New Roman"/>
                <w:kern w:val="2"/>
                <w:lang w:val="ro-MD"/>
              </w:rPr>
              <w:t xml:space="preserve"> în baza acordurilor de colaborare încheiate de Banca Naţională a Moldovei cu autorităţile competente din statul </w:t>
            </w:r>
            <w:r w:rsidRPr="009E686F">
              <w:rPr>
                <w:rFonts w:ascii="Times New Roman" w:eastAsia="Aptos" w:hAnsi="Times New Roman" w:cs="Times New Roman"/>
                <w:i/>
                <w:iCs/>
                <w:kern w:val="2"/>
                <w:lang w:val="ro-MD"/>
              </w:rPr>
              <w:t xml:space="preserve">membru </w:t>
            </w:r>
            <w:r w:rsidRPr="009E686F">
              <w:rPr>
                <w:rFonts w:ascii="Times New Roman" w:eastAsia="Aptos" w:hAnsi="Times New Roman" w:cs="Times New Roman"/>
                <w:kern w:val="2"/>
                <w:lang w:val="ro-MD"/>
              </w:rPr>
              <w:t xml:space="preserve">de origine </w:t>
            </w:r>
            <w:r w:rsidRPr="009E686F">
              <w:rPr>
                <w:rFonts w:ascii="Times New Roman" w:eastAsia="Aptos" w:hAnsi="Times New Roman" w:cs="Times New Roman"/>
                <w:i/>
                <w:iCs/>
                <w:kern w:val="2"/>
                <w:lang w:val="ro-MD"/>
              </w:rPr>
              <w:t>sau statul membru gazdă</w:t>
            </w:r>
            <w:r w:rsidRPr="009E686F">
              <w:rPr>
                <w:rFonts w:ascii="Times New Roman" w:eastAsia="Aptos" w:hAnsi="Times New Roman" w:cs="Times New Roman"/>
                <w:kern w:val="2"/>
                <w:lang w:val="ro-MD"/>
              </w:rPr>
              <w:t xml:space="preserve">. În baza acestor acorduri </w:t>
            </w:r>
            <w:r w:rsidRPr="009E686F">
              <w:rPr>
                <w:rFonts w:ascii="Times New Roman" w:eastAsia="Aptos" w:hAnsi="Times New Roman" w:cs="Times New Roman"/>
                <w:i/>
                <w:iCs/>
                <w:kern w:val="2"/>
                <w:lang w:val="ro-MD"/>
              </w:rPr>
              <w:t>sau în lipsa acestora</w:t>
            </w:r>
            <w:r w:rsidRPr="009E686F">
              <w:rPr>
                <w:rFonts w:ascii="Times New Roman" w:eastAsia="Aptos" w:hAnsi="Times New Roman" w:cs="Times New Roman"/>
                <w:kern w:val="2"/>
                <w:lang w:val="ro-MD"/>
              </w:rPr>
              <w:t xml:space="preserve"> poate fi realizat, cu respectarea prevederilor privind secretul profesional din capitolul 3 titlul V, schimbul de informaţii referitoare la conducerea şi la acţionariatul </w:t>
            </w:r>
            <w:r w:rsidRPr="009E686F">
              <w:rPr>
                <w:rFonts w:ascii="Times New Roman" w:eastAsia="Aptos" w:hAnsi="Times New Roman" w:cs="Times New Roman"/>
                <w:i/>
                <w:iCs/>
                <w:kern w:val="2"/>
                <w:lang w:val="ro-MD"/>
              </w:rPr>
              <w:t>instituției de credit</w:t>
            </w:r>
            <w:r w:rsidRPr="009E686F">
              <w:rPr>
                <w:rFonts w:ascii="Times New Roman" w:eastAsia="Aptos" w:hAnsi="Times New Roman" w:cs="Times New Roman"/>
                <w:kern w:val="2"/>
                <w:lang w:val="ro-MD"/>
              </w:rPr>
              <w:t xml:space="preserve">, informaţii de natură să faciliteze supravegherea acesteia şi evaluarea îndeplinirii condiţiilor care au stat la baza autorizării, precum şi schimbul tuturor informaţiilor de natură să faciliteze verificarea pe o bază continuă a activităţii </w:t>
            </w:r>
            <w:r w:rsidRPr="009E686F">
              <w:rPr>
                <w:rFonts w:ascii="Times New Roman" w:eastAsia="Aptos" w:hAnsi="Times New Roman" w:cs="Times New Roman"/>
                <w:i/>
                <w:iCs/>
                <w:kern w:val="2"/>
                <w:lang w:val="ro-MD"/>
              </w:rPr>
              <w:t>instituției de credit</w:t>
            </w:r>
            <w:r w:rsidRPr="009E686F">
              <w:rPr>
                <w:rFonts w:ascii="Times New Roman" w:eastAsia="Aptos" w:hAnsi="Times New Roman" w:cs="Times New Roman"/>
                <w:kern w:val="2"/>
                <w:lang w:val="ro-MD"/>
              </w:rPr>
              <w:t xml:space="preserve">, în special în ceea ce priveşte lichiditatea, solvabilitatea, schema de garantare a depozitelor, limitarea expunerilor mari, alţi factori care pot influenţa riscul sistemic pe care îl prezintă </w:t>
            </w:r>
            <w:r w:rsidRPr="009E686F">
              <w:rPr>
                <w:rFonts w:ascii="Times New Roman" w:eastAsia="Aptos" w:hAnsi="Times New Roman" w:cs="Times New Roman"/>
                <w:i/>
                <w:iCs/>
                <w:kern w:val="2"/>
                <w:lang w:val="ro-MD"/>
              </w:rPr>
              <w:t>instituția de credit</w:t>
            </w:r>
            <w:r w:rsidRPr="009E686F">
              <w:rPr>
                <w:rFonts w:ascii="Times New Roman" w:eastAsia="Aptos" w:hAnsi="Times New Roman" w:cs="Times New Roman"/>
                <w:kern w:val="2"/>
                <w:lang w:val="ro-MD"/>
              </w:rPr>
              <w:t>, procedurile administrative şi contabile şi mecanismele de control intern.</w:t>
            </w:r>
          </w:p>
        </w:tc>
        <w:tc>
          <w:tcPr>
            <w:tcW w:w="470" w:type="pct"/>
            <w:tcBorders>
              <w:top w:val="single" w:sz="4" w:space="0" w:color="auto"/>
              <w:left w:val="single" w:sz="4" w:space="0" w:color="auto"/>
              <w:bottom w:val="single" w:sz="4" w:space="0" w:color="auto"/>
              <w:right w:val="single" w:sz="4" w:space="0" w:color="auto"/>
            </w:tcBorders>
          </w:tcPr>
          <w:p w14:paraId="12BB9244" w14:textId="641CB7B4" w:rsidR="00265766" w:rsidRPr="009E686F" w:rsidRDefault="00265766" w:rsidP="00265766">
            <w:pPr>
              <w:jc w:val="both"/>
              <w:rPr>
                <w:rFonts w:ascii="Times New Roman" w:hAnsi="Times New Roman" w:cs="Times New Roman"/>
              </w:rPr>
            </w:pPr>
            <w:r w:rsidRPr="009E686F">
              <w:rPr>
                <w:rFonts w:ascii="Times New Roman" w:hAnsi="Times New Roman" w:cs="Times New Roman"/>
              </w:rPr>
              <w:lastRenderedPageBreak/>
              <w:t>Compatibil</w:t>
            </w:r>
          </w:p>
          <w:p w14:paraId="04775E6A" w14:textId="463AB60C" w:rsidR="00265766" w:rsidRPr="009E686F" w:rsidRDefault="00265766" w:rsidP="00265766">
            <w:pPr>
              <w:jc w:val="both"/>
              <w:rPr>
                <w:rFonts w:ascii="Times New Roman" w:hAnsi="Times New Roman" w:cs="Times New Roman"/>
              </w:rPr>
            </w:pPr>
          </w:p>
        </w:tc>
        <w:tc>
          <w:tcPr>
            <w:tcW w:w="806" w:type="pct"/>
            <w:tcBorders>
              <w:top w:val="single" w:sz="4" w:space="0" w:color="auto"/>
              <w:left w:val="single" w:sz="4" w:space="0" w:color="auto"/>
              <w:bottom w:val="single" w:sz="4" w:space="0" w:color="auto"/>
              <w:right w:val="single" w:sz="4" w:space="0" w:color="auto"/>
            </w:tcBorders>
          </w:tcPr>
          <w:p w14:paraId="58FD207C" w14:textId="5BED633B" w:rsidR="00265766" w:rsidRPr="009E686F" w:rsidRDefault="00247A35" w:rsidP="00265766">
            <w:pPr>
              <w:spacing w:after="0"/>
              <w:jc w:val="both"/>
              <w:rPr>
                <w:rFonts w:ascii="Times New Roman" w:hAnsi="Times New Roman" w:cs="Times New Roman"/>
                <w:lang w:val="it-CH"/>
              </w:rPr>
            </w:pPr>
            <w:r w:rsidRPr="009E686F">
              <w:rPr>
                <w:rFonts w:ascii="Times New Roman" w:hAnsi="Times New Roman" w:cs="Times New Roman"/>
                <w:lang w:val="ro-MD"/>
              </w:rPr>
              <w:t>Modificările referitoare la activitatea sucursalelor instituțiilor de credit înființate în state membre – în vigoare în termen de 5 ani de la data aderării.</w:t>
            </w:r>
          </w:p>
        </w:tc>
      </w:tr>
      <w:tr w:rsidR="00265766" w:rsidRPr="009E686F" w14:paraId="462688AF" w14:textId="77777777" w:rsidTr="00960C23">
        <w:tc>
          <w:tcPr>
            <w:tcW w:w="1890" w:type="pct"/>
            <w:tcBorders>
              <w:top w:val="single" w:sz="4" w:space="0" w:color="auto"/>
              <w:left w:val="single" w:sz="4" w:space="0" w:color="auto"/>
              <w:bottom w:val="single" w:sz="4" w:space="0" w:color="auto"/>
              <w:right w:val="single" w:sz="4" w:space="0" w:color="auto"/>
            </w:tcBorders>
          </w:tcPr>
          <w:p w14:paraId="2E1DB98A" w14:textId="7C42C350"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(2) Autoritățile competente din statul membru de origine comunică imediat autorităților competente din statele membre gazdă orice informații și constatări legate de supravegherea lichidităților cu privire la activitățile desfășurate de instituție prin sucursalele sale, în conformitate cu partea a șasea din Regulamentul (UE) nr. 575/2013 și titlul VII, capitolul 3 din prezenta directivă, în măsura în care aceste informații și constatări sunt relevante pentru protecția deponenților sau a investitorilor din statul membru gazdă.</w:t>
            </w:r>
          </w:p>
        </w:tc>
        <w:tc>
          <w:tcPr>
            <w:tcW w:w="1834" w:type="pct"/>
            <w:tcBorders>
              <w:top w:val="single" w:sz="4" w:space="0" w:color="auto"/>
              <w:left w:val="single" w:sz="4" w:space="0" w:color="auto"/>
              <w:bottom w:val="single" w:sz="4" w:space="0" w:color="auto"/>
              <w:right w:val="single" w:sz="4" w:space="0" w:color="auto"/>
            </w:tcBorders>
          </w:tcPr>
          <w:p w14:paraId="1CCB9FD9" w14:textId="511CE56E" w:rsidR="00265766" w:rsidRPr="009E686F" w:rsidRDefault="00265766" w:rsidP="00265766">
            <w:pPr>
              <w:spacing w:after="0"/>
              <w:jc w:val="both"/>
              <w:rPr>
                <w:rFonts w:ascii="Times New Roman" w:hAnsi="Times New Roman" w:cs="Times New Roman"/>
                <w:i/>
                <w:lang w:val="it-CH"/>
              </w:rPr>
            </w:pPr>
            <w:r w:rsidRPr="009E686F">
              <w:rPr>
                <w:rFonts w:ascii="Times New Roman" w:hAnsi="Times New Roman" w:cs="Times New Roman"/>
                <w:i/>
                <w:lang w:val="it-CH"/>
              </w:rPr>
              <w:t>(3</w:t>
            </w:r>
            <w:r w:rsidRPr="009E686F">
              <w:rPr>
                <w:rFonts w:ascii="Times New Roman" w:hAnsi="Times New Roman" w:cs="Times New Roman"/>
                <w:i/>
                <w:vertAlign w:val="superscript"/>
                <w:lang w:val="it-CH"/>
              </w:rPr>
              <w:t>1</w:t>
            </w:r>
            <w:r w:rsidRPr="009E686F">
              <w:rPr>
                <w:rFonts w:ascii="Times New Roman" w:hAnsi="Times New Roman" w:cs="Times New Roman"/>
                <w:i/>
                <w:lang w:val="it-CH"/>
              </w:rPr>
              <w:t xml:space="preserve">) Banca Națională a Moldovei, în calitate de autoritate competentă din statul membru de origine,  comunică imediat autorităților competente din statul membru gazdă pe teritoriul cărora instituțiile de credit, persoane juridice din Republica Moldova își desfășoară activitatea în mod direct sau prin intermediul unei sucursale, orice informații şi constatări referitoare la supravegherea lichidității cu privire la aceste activități, în conformitate cu prevederile corespunzătoare ale actelor normative emise în aplicarea prezentei legi, în măsura în care informațiile și constatările </w:t>
            </w:r>
            <w:r w:rsidRPr="009E686F">
              <w:rPr>
                <w:rFonts w:ascii="Times New Roman" w:hAnsi="Times New Roman" w:cs="Times New Roman"/>
                <w:i/>
                <w:lang w:val="it-CH"/>
              </w:rPr>
              <w:lastRenderedPageBreak/>
              <w:t>respective sunt relevante pentru protecția deponenților și a investitorilor din statele membre gazdă.</w:t>
            </w:r>
          </w:p>
        </w:tc>
        <w:tc>
          <w:tcPr>
            <w:tcW w:w="470" w:type="pct"/>
            <w:tcBorders>
              <w:top w:val="single" w:sz="4" w:space="0" w:color="auto"/>
              <w:left w:val="single" w:sz="4" w:space="0" w:color="auto"/>
              <w:bottom w:val="single" w:sz="4" w:space="0" w:color="auto"/>
              <w:right w:val="single" w:sz="4" w:space="0" w:color="auto"/>
            </w:tcBorders>
          </w:tcPr>
          <w:p w14:paraId="2010134F" w14:textId="77777777" w:rsidR="00265766" w:rsidRPr="009E686F" w:rsidRDefault="00265766" w:rsidP="00265766">
            <w:pPr>
              <w:jc w:val="both"/>
              <w:rPr>
                <w:rFonts w:ascii="Times New Roman" w:hAnsi="Times New Roman" w:cs="Times New Roman"/>
              </w:rPr>
            </w:pPr>
            <w:r w:rsidRPr="009E686F">
              <w:rPr>
                <w:rFonts w:ascii="Times New Roman" w:hAnsi="Times New Roman" w:cs="Times New Roman"/>
              </w:rPr>
              <w:lastRenderedPageBreak/>
              <w:t>Compatibil</w:t>
            </w:r>
          </w:p>
          <w:p w14:paraId="781095DC" w14:textId="6CB4D894" w:rsidR="00265766" w:rsidRPr="009E686F" w:rsidRDefault="00265766" w:rsidP="00265766">
            <w:pPr>
              <w:jc w:val="both"/>
              <w:rPr>
                <w:rFonts w:ascii="Times New Roman" w:hAnsi="Times New Roman" w:cs="Times New Roman"/>
              </w:rPr>
            </w:pPr>
          </w:p>
        </w:tc>
        <w:tc>
          <w:tcPr>
            <w:tcW w:w="806" w:type="pct"/>
            <w:tcBorders>
              <w:top w:val="single" w:sz="4" w:space="0" w:color="auto"/>
              <w:left w:val="single" w:sz="4" w:space="0" w:color="auto"/>
              <w:bottom w:val="single" w:sz="4" w:space="0" w:color="auto"/>
              <w:right w:val="single" w:sz="4" w:space="0" w:color="auto"/>
            </w:tcBorders>
          </w:tcPr>
          <w:p w14:paraId="43485E3A" w14:textId="6ABA0C44" w:rsidR="00265766" w:rsidRPr="009E686F" w:rsidRDefault="00247A35" w:rsidP="00265766">
            <w:pPr>
              <w:spacing w:after="0"/>
              <w:jc w:val="both"/>
              <w:rPr>
                <w:rFonts w:ascii="Times New Roman" w:hAnsi="Times New Roman" w:cs="Times New Roman"/>
                <w:lang w:val="it-CH"/>
              </w:rPr>
            </w:pPr>
            <w:r w:rsidRPr="009E686F">
              <w:rPr>
                <w:rFonts w:ascii="Times New Roman" w:hAnsi="Times New Roman" w:cs="Times New Roman"/>
                <w:lang w:val="ro-MD"/>
              </w:rPr>
              <w:t>Modificările referitoare la activitatea sucursalelor instituțiilor de credit înființate în state membre – în vigoare în termen de 5 ani de la data aderării.</w:t>
            </w:r>
          </w:p>
        </w:tc>
      </w:tr>
      <w:tr w:rsidR="00265766" w:rsidRPr="009E686F" w14:paraId="61D80520" w14:textId="77777777" w:rsidTr="00960C23">
        <w:tc>
          <w:tcPr>
            <w:tcW w:w="1890" w:type="pct"/>
            <w:tcBorders>
              <w:top w:val="single" w:sz="4" w:space="0" w:color="auto"/>
              <w:left w:val="single" w:sz="4" w:space="0" w:color="auto"/>
              <w:bottom w:val="single" w:sz="4" w:space="0" w:color="auto"/>
              <w:right w:val="single" w:sz="4" w:space="0" w:color="auto"/>
            </w:tcBorders>
          </w:tcPr>
          <w:p w14:paraId="44FCF558" w14:textId="4F911041"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(3) Autoritățile competente din statul membru de origine informează imediat autoritățile competente din statul membru gazdă în cazul în care apare o criză de lichiditate sau se poate estima în mod rezonabil că va apărea o astfel de criză. Aceste informații cuprind, de asemenea, detalii cu privire la planificarea și punerea în aplicare a unui plan de redresare și orice măsuri prudențiale de supraveghere adoptate în acest context.</w:t>
            </w:r>
          </w:p>
        </w:tc>
        <w:tc>
          <w:tcPr>
            <w:tcW w:w="1834" w:type="pct"/>
            <w:tcBorders>
              <w:top w:val="single" w:sz="4" w:space="0" w:color="auto"/>
              <w:left w:val="single" w:sz="4" w:space="0" w:color="auto"/>
              <w:bottom w:val="single" w:sz="4" w:space="0" w:color="auto"/>
              <w:right w:val="single" w:sz="4" w:space="0" w:color="auto"/>
            </w:tcBorders>
          </w:tcPr>
          <w:p w14:paraId="048BFA5F" w14:textId="274C096F" w:rsidR="00265766" w:rsidRPr="009E686F" w:rsidRDefault="00265766" w:rsidP="00265766">
            <w:pPr>
              <w:spacing w:after="0"/>
              <w:jc w:val="both"/>
              <w:rPr>
                <w:rFonts w:ascii="Times New Roman" w:hAnsi="Times New Roman" w:cs="Times New Roman"/>
                <w:i/>
                <w:lang w:val="it-CH"/>
              </w:rPr>
            </w:pPr>
            <w:r w:rsidRPr="009E686F">
              <w:rPr>
                <w:rFonts w:ascii="Times New Roman" w:hAnsi="Times New Roman" w:cs="Times New Roman"/>
                <w:i/>
                <w:lang w:val="it-CH"/>
              </w:rPr>
              <w:t>(3</w:t>
            </w:r>
            <w:r w:rsidRPr="009E686F">
              <w:rPr>
                <w:rFonts w:ascii="Times New Roman" w:hAnsi="Times New Roman" w:cs="Times New Roman"/>
                <w:i/>
                <w:vertAlign w:val="superscript"/>
                <w:lang w:val="it-CH"/>
              </w:rPr>
              <w:t>2</w:t>
            </w:r>
            <w:r w:rsidRPr="009E686F">
              <w:rPr>
                <w:rFonts w:ascii="Times New Roman" w:hAnsi="Times New Roman" w:cs="Times New Roman"/>
                <w:i/>
                <w:lang w:val="it-CH"/>
              </w:rPr>
              <w:t>) Banca Națională a Moldovei, în calitate de autoritate competentă din statul membru de origine, informează imediat autoritățile competente din statul membru gazdă pe teritoriul cărora instituțiile de credit, persoane juridice din Republica Moldova își desfășoară activitatea în mod direct sau prin intermediul unei sucursale, în cazul în care apare o criză de lichiditate sau se poate estima în mod rezonabil că va apărea o astfel de criză, inclusiv informații cu privire la planificarea și punerea în aplicare a unui plan de redresare și orice măsuri de supraveghere adoptate în acest context.</w:t>
            </w:r>
          </w:p>
        </w:tc>
        <w:tc>
          <w:tcPr>
            <w:tcW w:w="470" w:type="pct"/>
            <w:tcBorders>
              <w:top w:val="single" w:sz="4" w:space="0" w:color="auto"/>
              <w:left w:val="single" w:sz="4" w:space="0" w:color="auto"/>
              <w:bottom w:val="single" w:sz="4" w:space="0" w:color="auto"/>
              <w:right w:val="single" w:sz="4" w:space="0" w:color="auto"/>
            </w:tcBorders>
          </w:tcPr>
          <w:p w14:paraId="6BA2CF94" w14:textId="77777777" w:rsidR="00265766" w:rsidRPr="009E686F" w:rsidRDefault="00265766" w:rsidP="00265766">
            <w:pPr>
              <w:jc w:val="both"/>
              <w:rPr>
                <w:rFonts w:ascii="Times New Roman" w:hAnsi="Times New Roman" w:cs="Times New Roman"/>
              </w:rPr>
            </w:pPr>
            <w:r w:rsidRPr="009E686F">
              <w:rPr>
                <w:rFonts w:ascii="Times New Roman" w:hAnsi="Times New Roman" w:cs="Times New Roman"/>
              </w:rPr>
              <w:t>Compatibil</w:t>
            </w:r>
          </w:p>
          <w:p w14:paraId="7BFC6DF9" w14:textId="51F182C7" w:rsidR="00265766" w:rsidRPr="009E686F" w:rsidRDefault="00265766" w:rsidP="00265766">
            <w:pPr>
              <w:jc w:val="both"/>
              <w:rPr>
                <w:rFonts w:ascii="Times New Roman" w:hAnsi="Times New Roman" w:cs="Times New Roman"/>
              </w:rPr>
            </w:pPr>
          </w:p>
        </w:tc>
        <w:tc>
          <w:tcPr>
            <w:tcW w:w="806" w:type="pct"/>
            <w:tcBorders>
              <w:top w:val="single" w:sz="4" w:space="0" w:color="auto"/>
              <w:left w:val="single" w:sz="4" w:space="0" w:color="auto"/>
              <w:bottom w:val="single" w:sz="4" w:space="0" w:color="auto"/>
              <w:right w:val="single" w:sz="4" w:space="0" w:color="auto"/>
            </w:tcBorders>
          </w:tcPr>
          <w:p w14:paraId="06DF2D06" w14:textId="22122603" w:rsidR="00265766" w:rsidRPr="009E686F" w:rsidRDefault="00247A35" w:rsidP="00265766">
            <w:pPr>
              <w:spacing w:after="0"/>
              <w:jc w:val="both"/>
              <w:rPr>
                <w:rFonts w:ascii="Times New Roman" w:hAnsi="Times New Roman" w:cs="Times New Roman"/>
                <w:lang w:val="it-CH"/>
              </w:rPr>
            </w:pPr>
            <w:r w:rsidRPr="009E686F">
              <w:rPr>
                <w:rFonts w:ascii="Times New Roman" w:hAnsi="Times New Roman" w:cs="Times New Roman"/>
                <w:lang w:val="ro-MD"/>
              </w:rPr>
              <w:t>Modificările referitoare la activitatea sucursalelor instituțiilor de credit înființate în state membre – în vigoare în termen de 5 ani de la data aderării.</w:t>
            </w:r>
          </w:p>
        </w:tc>
      </w:tr>
      <w:tr w:rsidR="00265766" w:rsidRPr="009E686F" w14:paraId="4CB0700E" w14:textId="77777777" w:rsidTr="00960C23">
        <w:tc>
          <w:tcPr>
            <w:tcW w:w="1890" w:type="pct"/>
            <w:tcBorders>
              <w:top w:val="single" w:sz="4" w:space="0" w:color="auto"/>
              <w:left w:val="single" w:sz="4" w:space="0" w:color="auto"/>
              <w:bottom w:val="single" w:sz="4" w:space="0" w:color="auto"/>
              <w:right w:val="single" w:sz="4" w:space="0" w:color="auto"/>
            </w:tcBorders>
          </w:tcPr>
          <w:p w14:paraId="2DE801B2" w14:textId="562496F7" w:rsidR="00265766" w:rsidRPr="009E686F" w:rsidRDefault="00265766" w:rsidP="00265766">
            <w:pPr>
              <w:spacing w:after="0" w:line="276" w:lineRule="auto"/>
              <w:jc w:val="both"/>
              <w:rPr>
                <w:rFonts w:ascii="Times New Roman" w:hAnsi="Times New Roman" w:cs="Times New Roman"/>
                <w:lang w:val="it-CH"/>
              </w:rPr>
            </w:pPr>
            <w:r w:rsidRPr="009E686F">
              <w:rPr>
                <w:rFonts w:ascii="Times New Roman" w:hAnsi="Times New Roman" w:cs="Times New Roman"/>
                <w:lang w:val="it-CH"/>
              </w:rPr>
              <w:t xml:space="preserve">(4) Autoritățile competente din statul membru de origine comunică și explică la cerere autorităților competente din statul membru gazdă modul în care au fost luate în considerare informațiile și constatările furnizate de acestea. </w:t>
            </w:r>
          </w:p>
          <w:p w14:paraId="6E9700ED" w14:textId="77777777" w:rsidR="00265766" w:rsidRPr="009E686F" w:rsidRDefault="00265766" w:rsidP="00265766">
            <w:pPr>
              <w:spacing w:after="0" w:line="276" w:lineRule="auto"/>
              <w:jc w:val="both"/>
              <w:rPr>
                <w:rFonts w:ascii="Times New Roman" w:hAnsi="Times New Roman" w:cs="Times New Roman"/>
                <w:lang w:val="it-CH"/>
              </w:rPr>
            </w:pPr>
          </w:p>
          <w:p w14:paraId="3895E740" w14:textId="77777777" w:rsidR="00265766" w:rsidRPr="009E686F" w:rsidRDefault="00265766" w:rsidP="00265766">
            <w:pPr>
              <w:spacing w:after="0" w:line="276" w:lineRule="auto"/>
              <w:jc w:val="both"/>
              <w:rPr>
                <w:rFonts w:ascii="Times New Roman" w:hAnsi="Times New Roman" w:cs="Times New Roman"/>
                <w:lang w:val="it-CH"/>
              </w:rPr>
            </w:pPr>
            <w:r w:rsidRPr="009E686F">
              <w:rPr>
                <w:rFonts w:ascii="Times New Roman" w:hAnsi="Times New Roman" w:cs="Times New Roman"/>
                <w:lang w:val="it-CH"/>
              </w:rPr>
              <w:t>În cazul în care, după comunicarea informațiilor și a constatărilor, autoritățile competente din statul membru gazdă își mențin poziția că autoritățile competente din statul membru de origine nu au luat măsuri adecvate, autoritățile competente din statul membru gazdă pot, după ce au informat autoritățile competente din statul membru de origine și ABE, să ia măsurile adecvate pentru a preveni alte încălcări, în vederea protejării intereselor deponenților, ale investitorilor și ale altor persoane cărora li se furnizează servicii sau în vederea protejării stabilității sistemului financiar.</w:t>
            </w:r>
          </w:p>
          <w:p w14:paraId="7A53242B" w14:textId="77777777" w:rsidR="00265766" w:rsidRPr="009E686F" w:rsidRDefault="00265766" w:rsidP="00265766">
            <w:pPr>
              <w:spacing w:after="0" w:line="276" w:lineRule="auto"/>
              <w:jc w:val="both"/>
              <w:rPr>
                <w:rFonts w:ascii="Times New Roman" w:hAnsi="Times New Roman" w:cs="Times New Roman"/>
                <w:lang w:val="it-CH"/>
              </w:rPr>
            </w:pPr>
          </w:p>
          <w:p w14:paraId="69D55711" w14:textId="77777777" w:rsidR="00265766" w:rsidRPr="009E686F" w:rsidRDefault="00265766" w:rsidP="00265766">
            <w:pPr>
              <w:spacing w:after="0" w:line="276" w:lineRule="auto"/>
              <w:jc w:val="both"/>
              <w:rPr>
                <w:rFonts w:ascii="Times New Roman" w:hAnsi="Times New Roman" w:cs="Times New Roman"/>
                <w:lang w:val="it-CH"/>
              </w:rPr>
            </w:pPr>
            <w:r w:rsidRPr="009E686F">
              <w:rPr>
                <w:rFonts w:ascii="Times New Roman" w:hAnsi="Times New Roman" w:cs="Times New Roman"/>
                <w:lang w:val="it-CH"/>
              </w:rPr>
              <w:t xml:space="preserve">În cazul în care autoritățile competente din statul membru de origine au obiecții față de măsurile care urmează să fie luate de autoritățile competente din statul membru gazdă, ele pot să </w:t>
            </w:r>
            <w:r w:rsidRPr="009E686F">
              <w:rPr>
                <w:rFonts w:ascii="Times New Roman" w:hAnsi="Times New Roman" w:cs="Times New Roman"/>
                <w:lang w:val="it-CH"/>
              </w:rPr>
              <w:lastRenderedPageBreak/>
              <w:t>sesizeze ABE și să îi solicite asistența în conformitate cu articolul 19 din Regulamentul (UE) nr. 1093/2010. Atunci când ABE acționează în conformitate cu articolul menționat, aceasta adoptă o decizie în termen de o lună.</w:t>
            </w:r>
          </w:p>
        </w:tc>
        <w:tc>
          <w:tcPr>
            <w:tcW w:w="1834" w:type="pct"/>
            <w:tcBorders>
              <w:top w:val="single" w:sz="4" w:space="0" w:color="auto"/>
              <w:left w:val="single" w:sz="4" w:space="0" w:color="auto"/>
              <w:bottom w:val="single" w:sz="4" w:space="0" w:color="auto"/>
              <w:right w:val="single" w:sz="4" w:space="0" w:color="auto"/>
            </w:tcBorders>
          </w:tcPr>
          <w:p w14:paraId="3E739D1D" w14:textId="6C66003C" w:rsidR="00265766" w:rsidRPr="009E686F" w:rsidRDefault="00265766" w:rsidP="00265766">
            <w:pPr>
              <w:spacing w:after="0"/>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lastRenderedPageBreak/>
              <w:t>(3</w:t>
            </w:r>
            <w:r w:rsidRPr="009E686F">
              <w:rPr>
                <w:rFonts w:ascii="Times New Roman" w:eastAsia="Aptos" w:hAnsi="Times New Roman" w:cs="Times New Roman"/>
                <w:i/>
                <w:iCs/>
                <w:kern w:val="2"/>
                <w:vertAlign w:val="superscript"/>
                <w:lang w:val="ro-MD"/>
              </w:rPr>
              <w:t>3</w:t>
            </w:r>
            <w:r w:rsidRPr="009E686F">
              <w:rPr>
                <w:rFonts w:ascii="Times New Roman" w:eastAsia="Aptos" w:hAnsi="Times New Roman" w:cs="Times New Roman"/>
                <w:i/>
                <w:iCs/>
                <w:kern w:val="2"/>
                <w:lang w:val="ro-MD"/>
              </w:rPr>
              <w:t>) Banca Națională a Moldovei, în calitate de autoritate competentă din statul membru de origine,  comunică și explică, la cerere, autorităţilor competente din statul membru gazdă modul în care au fost luate în considerare informaţiile și constatările furnizate de aceasta în temeiul alin. (3</w:t>
            </w:r>
            <w:r w:rsidRPr="009E686F">
              <w:rPr>
                <w:rFonts w:ascii="Times New Roman" w:eastAsia="Aptos" w:hAnsi="Times New Roman" w:cs="Times New Roman"/>
                <w:i/>
                <w:iCs/>
                <w:kern w:val="2"/>
                <w:vertAlign w:val="superscript"/>
                <w:lang w:val="ro-MD"/>
              </w:rPr>
              <w:t>1</w:t>
            </w:r>
            <w:r w:rsidRPr="009E686F">
              <w:rPr>
                <w:rFonts w:ascii="Times New Roman" w:eastAsia="Aptos" w:hAnsi="Times New Roman" w:cs="Times New Roman"/>
                <w:i/>
                <w:iCs/>
                <w:kern w:val="2"/>
                <w:lang w:val="ro-MD"/>
              </w:rPr>
              <w:t>).</w:t>
            </w:r>
          </w:p>
          <w:p w14:paraId="51199D27" w14:textId="77777777" w:rsidR="00265766" w:rsidRPr="009E686F" w:rsidRDefault="00265766" w:rsidP="00265766">
            <w:pPr>
              <w:spacing w:after="0"/>
              <w:jc w:val="both"/>
              <w:rPr>
                <w:rFonts w:ascii="Times New Roman" w:eastAsia="Aptos" w:hAnsi="Times New Roman" w:cs="Times New Roman"/>
                <w:i/>
                <w:iCs/>
                <w:kern w:val="2"/>
                <w:lang w:val="ro-MD"/>
              </w:rPr>
            </w:pPr>
          </w:p>
          <w:p w14:paraId="60506C4A" w14:textId="62D245B3" w:rsidR="00265766" w:rsidRPr="009E686F" w:rsidRDefault="00265766" w:rsidP="00265766">
            <w:pPr>
              <w:spacing w:after="0"/>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(3</w:t>
            </w:r>
            <w:r w:rsidRPr="009E686F">
              <w:rPr>
                <w:rFonts w:ascii="Times New Roman" w:eastAsia="Aptos" w:hAnsi="Times New Roman" w:cs="Times New Roman"/>
                <w:i/>
                <w:iCs/>
                <w:kern w:val="2"/>
                <w:vertAlign w:val="superscript"/>
                <w:lang w:val="ro-MD"/>
              </w:rPr>
              <w:t>4</w:t>
            </w:r>
            <w:r w:rsidRPr="009E686F">
              <w:rPr>
                <w:rFonts w:ascii="Times New Roman" w:eastAsia="Aptos" w:hAnsi="Times New Roman" w:cs="Times New Roman"/>
                <w:i/>
                <w:iCs/>
                <w:kern w:val="2"/>
                <w:lang w:val="ro-MD"/>
              </w:rPr>
              <w:t>) În cazul în care autoritatea competentă din statul gazdă nu este de acord cu măsurile menționate la alin. (3</w:t>
            </w:r>
            <w:r w:rsidRPr="009E686F">
              <w:rPr>
                <w:rFonts w:ascii="Times New Roman" w:eastAsia="Aptos" w:hAnsi="Times New Roman" w:cs="Times New Roman"/>
                <w:i/>
                <w:iCs/>
                <w:kern w:val="2"/>
                <w:vertAlign w:val="superscript"/>
                <w:lang w:val="ro-MD"/>
              </w:rPr>
              <w:t>2</w:t>
            </w:r>
            <w:r w:rsidRPr="009E686F">
              <w:rPr>
                <w:rFonts w:ascii="Times New Roman" w:eastAsia="Aptos" w:hAnsi="Times New Roman" w:cs="Times New Roman"/>
                <w:i/>
                <w:iCs/>
                <w:kern w:val="2"/>
                <w:lang w:val="ro-MD"/>
              </w:rPr>
              <w:t>) informează Banca Națională a Moldovei, în calitate de autoritate competentă din statul membru origine despre acest lucru, iar cazul poate fi supus spre soluţionare Autorităţii Bancare Europene.</w:t>
            </w:r>
          </w:p>
          <w:p w14:paraId="7F2682BD" w14:textId="77777777" w:rsidR="00265766" w:rsidRPr="009E686F" w:rsidRDefault="00265766" w:rsidP="00265766">
            <w:pPr>
              <w:spacing w:after="0"/>
              <w:jc w:val="both"/>
              <w:rPr>
                <w:rFonts w:ascii="Times New Roman" w:eastAsia="Aptos" w:hAnsi="Times New Roman" w:cs="Times New Roman"/>
                <w:i/>
                <w:iCs/>
                <w:kern w:val="2"/>
                <w:lang w:val="ro-MD"/>
              </w:rPr>
            </w:pPr>
          </w:p>
          <w:p w14:paraId="3257ACF4" w14:textId="44B715E1" w:rsidR="00265766" w:rsidRPr="009E686F" w:rsidRDefault="00265766" w:rsidP="00265766">
            <w:pPr>
              <w:spacing w:after="0"/>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(3</w:t>
            </w:r>
            <w:r w:rsidRPr="009E686F">
              <w:rPr>
                <w:rFonts w:ascii="Times New Roman" w:eastAsia="Aptos" w:hAnsi="Times New Roman" w:cs="Times New Roman"/>
                <w:i/>
                <w:iCs/>
                <w:kern w:val="2"/>
                <w:vertAlign w:val="superscript"/>
                <w:lang w:val="ro-MD"/>
              </w:rPr>
              <w:t>5</w:t>
            </w:r>
            <w:r w:rsidRPr="009E686F">
              <w:rPr>
                <w:rFonts w:ascii="Times New Roman" w:eastAsia="Aptos" w:hAnsi="Times New Roman" w:cs="Times New Roman"/>
                <w:i/>
                <w:iCs/>
                <w:kern w:val="2"/>
                <w:lang w:val="ro-MD"/>
              </w:rPr>
              <w:t>) Prevederile alin. (3</w:t>
            </w:r>
            <w:r w:rsidRPr="009E686F">
              <w:rPr>
                <w:rFonts w:ascii="Times New Roman" w:eastAsia="Aptos" w:hAnsi="Times New Roman" w:cs="Times New Roman"/>
                <w:i/>
                <w:iCs/>
                <w:kern w:val="2"/>
                <w:vertAlign w:val="superscript"/>
                <w:lang w:val="ro-MD"/>
              </w:rPr>
              <w:t>1</w:t>
            </w:r>
            <w:r w:rsidRPr="009E686F">
              <w:rPr>
                <w:rFonts w:ascii="Times New Roman" w:eastAsia="Aptos" w:hAnsi="Times New Roman" w:cs="Times New Roman"/>
                <w:i/>
                <w:iCs/>
                <w:kern w:val="2"/>
                <w:lang w:val="ro-MD"/>
              </w:rPr>
              <w:t>)-(3</w:t>
            </w:r>
            <w:r w:rsidRPr="009E686F">
              <w:rPr>
                <w:rFonts w:ascii="Times New Roman" w:eastAsia="Aptos" w:hAnsi="Times New Roman" w:cs="Times New Roman"/>
                <w:i/>
                <w:iCs/>
                <w:kern w:val="2"/>
                <w:vertAlign w:val="superscript"/>
                <w:lang w:val="ro-MD"/>
              </w:rPr>
              <w:t>3</w:t>
            </w:r>
            <w:r w:rsidRPr="009E686F">
              <w:rPr>
                <w:rFonts w:ascii="Times New Roman" w:eastAsia="Aptos" w:hAnsi="Times New Roman" w:cs="Times New Roman"/>
                <w:i/>
                <w:iCs/>
                <w:kern w:val="2"/>
                <w:lang w:val="ro-MD"/>
              </w:rPr>
              <w:t xml:space="preserve">) referitoare la statul membru gazdă se aplică în mod corespunzător Băncii Naționale a Moldovei, în cazul în care are această calitate. </w:t>
            </w:r>
          </w:p>
          <w:p w14:paraId="2ADC5F76" w14:textId="77777777" w:rsidR="00265766" w:rsidRPr="009E686F" w:rsidRDefault="00265766" w:rsidP="00265766">
            <w:pPr>
              <w:spacing w:after="0" w:line="278" w:lineRule="auto"/>
              <w:jc w:val="both"/>
              <w:rPr>
                <w:rFonts w:ascii="Times New Roman" w:eastAsia="Aptos" w:hAnsi="Times New Roman" w:cs="Times New Roman"/>
                <w:i/>
                <w:iCs/>
                <w:kern w:val="2"/>
                <w:lang w:val="ro-RO"/>
              </w:rPr>
            </w:pPr>
          </w:p>
          <w:p w14:paraId="3F121F42" w14:textId="07CE6D50" w:rsidR="00265766" w:rsidRPr="009E686F" w:rsidRDefault="00265766" w:rsidP="00265766">
            <w:pPr>
              <w:spacing w:after="0"/>
              <w:jc w:val="both"/>
              <w:rPr>
                <w:rFonts w:ascii="Times New Roman" w:hAnsi="Times New Roman" w:cs="Times New Roman"/>
                <w:b/>
                <w:color w:val="FF0000"/>
                <w:lang w:val="ro-MD"/>
              </w:rPr>
            </w:pPr>
            <w:r w:rsidRPr="009E686F">
              <w:rPr>
                <w:rFonts w:ascii="Times New Roman" w:eastAsia="Aptos" w:hAnsi="Times New Roman" w:cs="Times New Roman"/>
                <w:i/>
                <w:iCs/>
                <w:kern w:val="2"/>
                <w:lang w:val="ro-MD"/>
              </w:rPr>
              <w:t>(3</w:t>
            </w:r>
            <w:r w:rsidRPr="009E686F">
              <w:rPr>
                <w:rFonts w:ascii="Times New Roman" w:eastAsia="Aptos" w:hAnsi="Times New Roman" w:cs="Times New Roman"/>
                <w:i/>
                <w:iCs/>
                <w:kern w:val="2"/>
                <w:vertAlign w:val="superscript"/>
                <w:lang w:val="ro-MD"/>
              </w:rPr>
              <w:t>6</w:t>
            </w:r>
            <w:r w:rsidRPr="009E686F">
              <w:rPr>
                <w:rFonts w:ascii="Times New Roman" w:eastAsia="Aptos" w:hAnsi="Times New Roman" w:cs="Times New Roman"/>
                <w:i/>
                <w:iCs/>
                <w:kern w:val="2"/>
                <w:lang w:val="ro-MD"/>
              </w:rPr>
              <w:t xml:space="preserve">) În cazul în care constată, din informaţiile și constatările recepționate de la autoritățile competente din statul membru </w:t>
            </w:r>
            <w:r w:rsidRPr="009E686F">
              <w:rPr>
                <w:rFonts w:ascii="Times New Roman" w:eastAsia="Aptos" w:hAnsi="Times New Roman" w:cs="Times New Roman"/>
                <w:i/>
                <w:iCs/>
                <w:kern w:val="2"/>
                <w:lang w:val="ro-MD"/>
              </w:rPr>
              <w:lastRenderedPageBreak/>
              <w:t>de origine că nu au fost luate măsuri adecvate în sensul corezpunzător de la alin. (3</w:t>
            </w:r>
            <w:r w:rsidRPr="009E686F">
              <w:rPr>
                <w:rFonts w:ascii="Times New Roman" w:eastAsia="Aptos" w:hAnsi="Times New Roman" w:cs="Times New Roman"/>
                <w:i/>
                <w:iCs/>
                <w:kern w:val="2"/>
                <w:vertAlign w:val="superscript"/>
                <w:lang w:val="ro-MD"/>
              </w:rPr>
              <w:t>2</w:t>
            </w:r>
            <w:r w:rsidRPr="009E686F">
              <w:rPr>
                <w:rFonts w:ascii="Times New Roman" w:eastAsia="Aptos" w:hAnsi="Times New Roman" w:cs="Times New Roman"/>
                <w:i/>
                <w:iCs/>
                <w:kern w:val="2"/>
                <w:lang w:val="ro-MD"/>
              </w:rPr>
              <w:t>), Banca Națională a Moldovei, în calitate de autoritate competentă din statul membru gazdă, informează autorităţile competente din statul membru de origine și Autoritatea Bancară Europeană despre acest fapt și poate lua măsurile adecvate pentru a preveni alte încălcări, în vederea protejării intereselor deponenţilor, ale investitorilor și ale altor persoane cărora li se furnizează servicii sau în vederea protejării stabilităţii sistemului financiar.</w:t>
            </w:r>
          </w:p>
        </w:tc>
        <w:tc>
          <w:tcPr>
            <w:tcW w:w="470" w:type="pct"/>
            <w:tcBorders>
              <w:top w:val="single" w:sz="4" w:space="0" w:color="auto"/>
              <w:left w:val="single" w:sz="4" w:space="0" w:color="auto"/>
              <w:bottom w:val="single" w:sz="4" w:space="0" w:color="auto"/>
              <w:right w:val="single" w:sz="4" w:space="0" w:color="auto"/>
            </w:tcBorders>
          </w:tcPr>
          <w:p w14:paraId="3491CA6D" w14:textId="77777777" w:rsidR="00265766" w:rsidRPr="009E686F" w:rsidRDefault="00265766" w:rsidP="00265766">
            <w:pPr>
              <w:jc w:val="both"/>
              <w:rPr>
                <w:rFonts w:ascii="Times New Roman" w:hAnsi="Times New Roman" w:cs="Times New Roman"/>
              </w:rPr>
            </w:pPr>
            <w:r w:rsidRPr="009E686F">
              <w:rPr>
                <w:rFonts w:ascii="Times New Roman" w:hAnsi="Times New Roman" w:cs="Times New Roman"/>
              </w:rPr>
              <w:lastRenderedPageBreak/>
              <w:t>Compatibil</w:t>
            </w:r>
          </w:p>
          <w:p w14:paraId="3346E270" w14:textId="77777777" w:rsidR="00265766" w:rsidRPr="009E686F" w:rsidRDefault="00265766" w:rsidP="00265766">
            <w:pPr>
              <w:jc w:val="both"/>
              <w:rPr>
                <w:rFonts w:ascii="Times New Roman" w:hAnsi="Times New Roman" w:cs="Times New Roman"/>
                <w:lang w:val="it-CH"/>
              </w:rPr>
            </w:pPr>
          </w:p>
          <w:p w14:paraId="7BE86BE4" w14:textId="77777777" w:rsidR="00265766" w:rsidRPr="009E686F" w:rsidRDefault="00265766" w:rsidP="00265766">
            <w:pPr>
              <w:jc w:val="both"/>
              <w:rPr>
                <w:rFonts w:ascii="Times New Roman" w:hAnsi="Times New Roman" w:cs="Times New Roman"/>
                <w:lang w:val="it-CH"/>
              </w:rPr>
            </w:pPr>
          </w:p>
          <w:p w14:paraId="53F74723" w14:textId="77777777" w:rsidR="00265766" w:rsidRPr="009E686F" w:rsidRDefault="00265766" w:rsidP="00265766">
            <w:pPr>
              <w:jc w:val="both"/>
              <w:rPr>
                <w:rFonts w:ascii="Times New Roman" w:hAnsi="Times New Roman" w:cs="Times New Roman"/>
                <w:lang w:val="it-CH"/>
              </w:rPr>
            </w:pPr>
          </w:p>
          <w:p w14:paraId="4403B837" w14:textId="77777777" w:rsidR="00265766" w:rsidRPr="009E686F" w:rsidRDefault="00265766" w:rsidP="00265766">
            <w:pPr>
              <w:jc w:val="both"/>
              <w:rPr>
                <w:rFonts w:ascii="Times New Roman" w:hAnsi="Times New Roman" w:cs="Times New Roman"/>
                <w:lang w:val="it-CH"/>
              </w:rPr>
            </w:pPr>
          </w:p>
          <w:p w14:paraId="274BA972" w14:textId="77777777" w:rsidR="00265766" w:rsidRPr="009E686F" w:rsidRDefault="00265766" w:rsidP="00265766">
            <w:pPr>
              <w:jc w:val="both"/>
              <w:rPr>
                <w:rFonts w:ascii="Times New Roman" w:hAnsi="Times New Roman" w:cs="Times New Roman"/>
                <w:lang w:val="it-CH"/>
              </w:rPr>
            </w:pPr>
          </w:p>
          <w:p w14:paraId="3AEC2494" w14:textId="77777777" w:rsidR="00265766" w:rsidRPr="009E686F" w:rsidRDefault="00265766" w:rsidP="00265766">
            <w:pPr>
              <w:jc w:val="both"/>
              <w:rPr>
                <w:rFonts w:ascii="Times New Roman" w:hAnsi="Times New Roman" w:cs="Times New Roman"/>
                <w:lang w:val="it-CH"/>
              </w:rPr>
            </w:pPr>
          </w:p>
          <w:p w14:paraId="4B5282E6" w14:textId="77777777" w:rsidR="00265766" w:rsidRPr="009E686F" w:rsidRDefault="00265766" w:rsidP="00265766">
            <w:pPr>
              <w:jc w:val="both"/>
              <w:rPr>
                <w:rFonts w:ascii="Times New Roman" w:hAnsi="Times New Roman" w:cs="Times New Roman"/>
                <w:lang w:val="it-CH"/>
              </w:rPr>
            </w:pPr>
          </w:p>
          <w:p w14:paraId="7B6F30CA" w14:textId="77777777" w:rsidR="00265766" w:rsidRPr="009E686F" w:rsidRDefault="00265766" w:rsidP="00265766">
            <w:pPr>
              <w:jc w:val="both"/>
              <w:rPr>
                <w:rFonts w:ascii="Times New Roman" w:hAnsi="Times New Roman" w:cs="Times New Roman"/>
                <w:lang w:val="it-CH"/>
              </w:rPr>
            </w:pPr>
          </w:p>
          <w:p w14:paraId="7D5BC727" w14:textId="77777777" w:rsidR="00265766" w:rsidRPr="009E686F" w:rsidRDefault="00265766" w:rsidP="00265766">
            <w:pPr>
              <w:jc w:val="both"/>
              <w:rPr>
                <w:rFonts w:ascii="Times New Roman" w:hAnsi="Times New Roman" w:cs="Times New Roman"/>
                <w:lang w:val="it-CH"/>
              </w:rPr>
            </w:pPr>
          </w:p>
          <w:p w14:paraId="1CC0C9AA" w14:textId="77777777" w:rsidR="00265766" w:rsidRPr="009E686F" w:rsidRDefault="00265766" w:rsidP="00265766">
            <w:pPr>
              <w:jc w:val="both"/>
              <w:rPr>
                <w:rFonts w:ascii="Times New Roman" w:hAnsi="Times New Roman" w:cs="Times New Roman"/>
                <w:lang w:val="it-CH"/>
              </w:rPr>
            </w:pPr>
          </w:p>
          <w:p w14:paraId="7CB859CF" w14:textId="77777777" w:rsidR="00265766" w:rsidRPr="009E686F" w:rsidRDefault="00265766" w:rsidP="00265766">
            <w:pPr>
              <w:jc w:val="both"/>
              <w:rPr>
                <w:rFonts w:ascii="Times New Roman" w:hAnsi="Times New Roman" w:cs="Times New Roman"/>
                <w:lang w:val="it-CH"/>
              </w:rPr>
            </w:pPr>
          </w:p>
          <w:p w14:paraId="13886FBF" w14:textId="77777777" w:rsidR="00265766" w:rsidRPr="009E686F" w:rsidRDefault="00265766" w:rsidP="00265766">
            <w:pPr>
              <w:jc w:val="both"/>
              <w:rPr>
                <w:rFonts w:ascii="Times New Roman" w:hAnsi="Times New Roman" w:cs="Times New Roman"/>
                <w:lang w:val="it-CH"/>
              </w:rPr>
            </w:pPr>
          </w:p>
          <w:p w14:paraId="62CDF370" w14:textId="77777777" w:rsidR="00265766" w:rsidRPr="009E686F" w:rsidRDefault="00265766" w:rsidP="00265766">
            <w:pPr>
              <w:jc w:val="both"/>
              <w:rPr>
                <w:rFonts w:ascii="Times New Roman" w:hAnsi="Times New Roman" w:cs="Times New Roman"/>
                <w:lang w:val="it-CH"/>
              </w:rPr>
            </w:pPr>
          </w:p>
          <w:p w14:paraId="48EEC77F" w14:textId="77777777" w:rsidR="00265766" w:rsidRPr="009E686F" w:rsidRDefault="00265766" w:rsidP="00265766">
            <w:pPr>
              <w:jc w:val="both"/>
              <w:rPr>
                <w:rFonts w:ascii="Times New Roman" w:hAnsi="Times New Roman" w:cs="Times New Roman"/>
                <w:lang w:val="it-CH"/>
              </w:rPr>
            </w:pPr>
          </w:p>
          <w:p w14:paraId="39750342" w14:textId="77777777" w:rsidR="00265766" w:rsidRPr="009E686F" w:rsidRDefault="00265766" w:rsidP="00265766">
            <w:pPr>
              <w:jc w:val="both"/>
              <w:rPr>
                <w:rFonts w:ascii="Times New Roman" w:hAnsi="Times New Roman" w:cs="Times New Roman"/>
                <w:lang w:val="it-CH"/>
              </w:rPr>
            </w:pPr>
          </w:p>
          <w:p w14:paraId="0C03F099" w14:textId="77777777" w:rsidR="00265766" w:rsidRPr="009E686F" w:rsidRDefault="00265766" w:rsidP="00265766">
            <w:pPr>
              <w:jc w:val="both"/>
              <w:rPr>
                <w:rFonts w:ascii="Times New Roman" w:hAnsi="Times New Roman" w:cs="Times New Roman"/>
                <w:lang w:val="it-CH"/>
              </w:rPr>
            </w:pPr>
          </w:p>
          <w:p w14:paraId="7A31CA02" w14:textId="2DD0E7F7" w:rsidR="00265766" w:rsidRPr="009E686F" w:rsidRDefault="00265766" w:rsidP="00265766">
            <w:pPr>
              <w:jc w:val="both"/>
              <w:rPr>
                <w:rFonts w:ascii="Times New Roman" w:hAnsi="Times New Roman" w:cs="Times New Roman"/>
                <w:lang w:val="it-CH"/>
              </w:rPr>
            </w:pPr>
          </w:p>
        </w:tc>
        <w:tc>
          <w:tcPr>
            <w:tcW w:w="806" w:type="pct"/>
            <w:tcBorders>
              <w:top w:val="single" w:sz="4" w:space="0" w:color="auto"/>
              <w:left w:val="single" w:sz="4" w:space="0" w:color="auto"/>
              <w:bottom w:val="single" w:sz="4" w:space="0" w:color="auto"/>
              <w:right w:val="single" w:sz="4" w:space="0" w:color="auto"/>
            </w:tcBorders>
          </w:tcPr>
          <w:p w14:paraId="2F263561" w14:textId="3572C89E" w:rsidR="00265766" w:rsidRPr="009E686F" w:rsidRDefault="00247A35" w:rsidP="00265766">
            <w:pPr>
              <w:spacing w:after="0"/>
              <w:jc w:val="both"/>
              <w:rPr>
                <w:rFonts w:ascii="Times New Roman" w:hAnsi="Times New Roman" w:cs="Times New Roman"/>
                <w:lang w:val="it-CH"/>
              </w:rPr>
            </w:pPr>
            <w:r w:rsidRPr="009E686F">
              <w:rPr>
                <w:rFonts w:ascii="Times New Roman" w:hAnsi="Times New Roman" w:cs="Times New Roman"/>
                <w:lang w:val="ro-MD"/>
              </w:rPr>
              <w:lastRenderedPageBreak/>
              <w:t>Modificările referitoare la activitatea sucursalelor instituțiilor de credit înființate în state membre – în vigoare în termen de 5 ani de la data aderării.</w:t>
            </w:r>
          </w:p>
        </w:tc>
      </w:tr>
      <w:tr w:rsidR="00265766" w:rsidRPr="009E686F" w14:paraId="46FA79B7" w14:textId="77777777" w:rsidTr="00960C23">
        <w:tc>
          <w:tcPr>
            <w:tcW w:w="1890" w:type="pct"/>
            <w:tcBorders>
              <w:top w:val="single" w:sz="4" w:space="0" w:color="auto"/>
              <w:left w:val="single" w:sz="4" w:space="0" w:color="auto"/>
              <w:bottom w:val="single" w:sz="4" w:space="0" w:color="auto"/>
              <w:right w:val="single" w:sz="4" w:space="0" w:color="auto"/>
            </w:tcBorders>
          </w:tcPr>
          <w:p w14:paraId="6D653451" w14:textId="77777777"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 xml:space="preserve">(5) Autoritățile competente pot sesiza ABE cu privire la situațiile în care o cerere de colaborare, în special în vederea schimbului de informații, a fost respinsă sau nu a primit un răspuns într-un termen rezonabil. </w:t>
            </w:r>
          </w:p>
          <w:p w14:paraId="2F693F4A" w14:textId="39A203C0" w:rsidR="00265766" w:rsidRPr="009E686F" w:rsidRDefault="00265766" w:rsidP="00265766">
            <w:pPr>
              <w:spacing w:after="0"/>
              <w:jc w:val="both"/>
              <w:rPr>
                <w:rFonts w:ascii="Times New Roman" w:hAnsi="Times New Roman" w:cs="Times New Roman"/>
                <w:lang w:val="it-CH"/>
              </w:rPr>
            </w:pPr>
          </w:p>
        </w:tc>
        <w:tc>
          <w:tcPr>
            <w:tcW w:w="1834" w:type="pct"/>
            <w:tcBorders>
              <w:top w:val="single" w:sz="4" w:space="0" w:color="auto"/>
              <w:left w:val="single" w:sz="4" w:space="0" w:color="auto"/>
              <w:bottom w:val="single" w:sz="4" w:space="0" w:color="auto"/>
              <w:right w:val="single" w:sz="4" w:space="0" w:color="auto"/>
            </w:tcBorders>
          </w:tcPr>
          <w:p w14:paraId="6DEDF9E5" w14:textId="1AD6580D" w:rsidR="00265766" w:rsidRPr="009E686F" w:rsidRDefault="00265766" w:rsidP="00265766">
            <w:pPr>
              <w:spacing w:after="0"/>
              <w:jc w:val="both"/>
              <w:rPr>
                <w:rFonts w:ascii="Times New Roman" w:hAnsi="Times New Roman" w:cs="Times New Roman"/>
                <w:b/>
                <w:i/>
                <w:iCs/>
                <w:lang w:val="it-CH"/>
              </w:rPr>
            </w:pPr>
            <w:r w:rsidRPr="009E686F">
              <w:rPr>
                <w:rFonts w:ascii="Times New Roman" w:eastAsia="Aptos" w:hAnsi="Times New Roman" w:cs="Times New Roman"/>
                <w:i/>
                <w:iCs/>
                <w:kern w:val="2"/>
                <w:lang w:val="ro-MD"/>
              </w:rPr>
              <w:t>(3</w:t>
            </w:r>
            <w:r w:rsidRPr="009E686F">
              <w:rPr>
                <w:rFonts w:ascii="Times New Roman" w:eastAsia="Aptos" w:hAnsi="Times New Roman" w:cs="Times New Roman"/>
                <w:i/>
                <w:iCs/>
                <w:kern w:val="2"/>
                <w:vertAlign w:val="superscript"/>
                <w:lang w:val="ro-MD"/>
              </w:rPr>
              <w:t>7</w:t>
            </w:r>
            <w:r w:rsidRPr="009E686F">
              <w:rPr>
                <w:rFonts w:ascii="Times New Roman" w:eastAsia="Aptos" w:hAnsi="Times New Roman" w:cs="Times New Roman"/>
                <w:i/>
                <w:iCs/>
                <w:kern w:val="2"/>
                <w:lang w:val="ro-MD"/>
              </w:rPr>
              <w:t>)  Banca Naţională a Moldovei,</w:t>
            </w:r>
            <w:r w:rsidRPr="009E686F">
              <w:rPr>
                <w:lang w:val="it-CH"/>
              </w:rPr>
              <w:t xml:space="preserve"> </w:t>
            </w:r>
            <w:r w:rsidRPr="009E686F">
              <w:rPr>
                <w:rFonts w:ascii="Times New Roman" w:eastAsia="Aptos" w:hAnsi="Times New Roman" w:cs="Times New Roman"/>
                <w:i/>
                <w:iCs/>
                <w:kern w:val="2"/>
                <w:lang w:val="ro-MD"/>
              </w:rPr>
              <w:t>atât în calitate de autoritate competentă din statul membru de origine, cât și din statul membru gazdă, poate sesiza Autoritatea Bancară Europeană, cu privire la situaţiile în care o cerere de colaborare, în special în vederea schimbului de informaţii, a fost respinsă sau acesteia nu i s-a dat curs într-un termen rezonabil. Banca Naţională a Moldovei poate beneficia de asistenţa acordată, din proprie iniţiativă, de Autoritatea Bancară Europeană, în vederea ajungerii la un acord privind schimbul de informaţii cu autorităţile competente implicate.</w:t>
            </w:r>
          </w:p>
        </w:tc>
        <w:tc>
          <w:tcPr>
            <w:tcW w:w="470" w:type="pct"/>
            <w:tcBorders>
              <w:top w:val="single" w:sz="4" w:space="0" w:color="auto"/>
              <w:left w:val="single" w:sz="4" w:space="0" w:color="auto"/>
              <w:bottom w:val="single" w:sz="4" w:space="0" w:color="auto"/>
              <w:right w:val="single" w:sz="4" w:space="0" w:color="auto"/>
            </w:tcBorders>
          </w:tcPr>
          <w:p w14:paraId="267EE176" w14:textId="465E618B" w:rsidR="00265766" w:rsidRPr="009E686F" w:rsidRDefault="00265766" w:rsidP="00265766">
            <w:pPr>
              <w:jc w:val="both"/>
              <w:rPr>
                <w:rFonts w:ascii="Times New Roman" w:hAnsi="Times New Roman" w:cs="Times New Roman"/>
              </w:rPr>
            </w:pPr>
            <w:r w:rsidRPr="009E686F">
              <w:rPr>
                <w:rFonts w:ascii="Times New Roman" w:hAnsi="Times New Roman" w:cs="Times New Roman"/>
              </w:rPr>
              <w:t>Compatibil</w:t>
            </w:r>
          </w:p>
          <w:p w14:paraId="4EC671F8" w14:textId="0BBF6A0A" w:rsidR="00265766" w:rsidRPr="009E686F" w:rsidRDefault="00265766" w:rsidP="00265766">
            <w:pPr>
              <w:jc w:val="both"/>
              <w:rPr>
                <w:rFonts w:ascii="Times New Roman" w:hAnsi="Times New Roman" w:cs="Times New Roman"/>
              </w:rPr>
            </w:pPr>
          </w:p>
        </w:tc>
        <w:tc>
          <w:tcPr>
            <w:tcW w:w="806" w:type="pct"/>
            <w:tcBorders>
              <w:top w:val="single" w:sz="4" w:space="0" w:color="auto"/>
              <w:left w:val="single" w:sz="4" w:space="0" w:color="auto"/>
              <w:bottom w:val="single" w:sz="4" w:space="0" w:color="auto"/>
              <w:right w:val="single" w:sz="4" w:space="0" w:color="auto"/>
            </w:tcBorders>
          </w:tcPr>
          <w:p w14:paraId="470C8503" w14:textId="3342EE9A" w:rsidR="00265766" w:rsidRPr="009E686F" w:rsidRDefault="00247A35" w:rsidP="00265766">
            <w:pPr>
              <w:spacing w:after="0"/>
              <w:jc w:val="both"/>
              <w:rPr>
                <w:lang w:val="it-CH"/>
              </w:rPr>
            </w:pPr>
            <w:r w:rsidRPr="009E686F">
              <w:rPr>
                <w:rFonts w:ascii="Times New Roman" w:hAnsi="Times New Roman" w:cs="Times New Roman"/>
                <w:lang w:val="ro-MD"/>
              </w:rPr>
              <w:t>Modificările referitoare la activitatea sucursalelor instituțiilor de credit înființate în state membre – în vigoare în termen de 5 ani de la data aderării.</w:t>
            </w:r>
          </w:p>
        </w:tc>
      </w:tr>
      <w:tr w:rsidR="00265766" w:rsidRPr="009E686F" w14:paraId="6F5DBA2A" w14:textId="77777777" w:rsidTr="00960C23">
        <w:tc>
          <w:tcPr>
            <w:tcW w:w="1890" w:type="pct"/>
            <w:tcBorders>
              <w:top w:val="single" w:sz="4" w:space="0" w:color="auto"/>
              <w:left w:val="single" w:sz="4" w:space="0" w:color="auto"/>
              <w:bottom w:val="single" w:sz="4" w:space="0" w:color="auto"/>
              <w:right w:val="single" w:sz="4" w:space="0" w:color="auto"/>
            </w:tcBorders>
          </w:tcPr>
          <w:p w14:paraId="573DF01F" w14:textId="1776A296"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Fără a aduce atingere dispozițiilor articolului 258 din TFUE, ABE poate, în aceste situații, să acționeze în conformitate cu competențele conferite acesteia în temeiul articolului 19 din Regulamentul (UE) nr. 1093/2010. ABE poate de asemenea să acorde asistență din proprie inițiativă autorităților competente, în vederea ajungerii la un acord privind schimbul de informații în temeiul prezentului articol, în conformitate cu articolul 19 alineatul (1) al doilea paragraf din Regulamentul respectiv.</w:t>
            </w:r>
          </w:p>
        </w:tc>
        <w:tc>
          <w:tcPr>
            <w:tcW w:w="1834" w:type="pct"/>
            <w:tcBorders>
              <w:top w:val="single" w:sz="4" w:space="0" w:color="auto"/>
              <w:left w:val="single" w:sz="4" w:space="0" w:color="auto"/>
              <w:bottom w:val="single" w:sz="4" w:space="0" w:color="auto"/>
              <w:right w:val="single" w:sz="4" w:space="0" w:color="auto"/>
            </w:tcBorders>
          </w:tcPr>
          <w:p w14:paraId="7E31C7F9" w14:textId="77777777" w:rsidR="00265766" w:rsidRPr="009E686F" w:rsidRDefault="00265766" w:rsidP="00265766">
            <w:pPr>
              <w:spacing w:after="0"/>
              <w:jc w:val="both"/>
              <w:rPr>
                <w:rFonts w:ascii="Times New Roman" w:eastAsia="Aptos" w:hAnsi="Times New Roman" w:cs="Times New Roman"/>
                <w:i/>
                <w:iCs/>
                <w:kern w:val="2"/>
                <w:lang w:val="ro-MD"/>
              </w:rPr>
            </w:pPr>
          </w:p>
        </w:tc>
        <w:tc>
          <w:tcPr>
            <w:tcW w:w="470" w:type="pct"/>
            <w:tcBorders>
              <w:top w:val="single" w:sz="4" w:space="0" w:color="auto"/>
              <w:left w:val="single" w:sz="4" w:space="0" w:color="auto"/>
              <w:bottom w:val="single" w:sz="4" w:space="0" w:color="auto"/>
              <w:right w:val="single" w:sz="4" w:space="0" w:color="auto"/>
            </w:tcBorders>
          </w:tcPr>
          <w:p w14:paraId="33541AC7" w14:textId="77777777" w:rsidR="00265766" w:rsidRPr="009E686F" w:rsidRDefault="00265766" w:rsidP="00265766">
            <w:pPr>
              <w:jc w:val="both"/>
              <w:rPr>
                <w:rFonts w:ascii="Times New Roman" w:hAnsi="Times New Roman" w:cs="Times New Roman"/>
              </w:rPr>
            </w:pPr>
            <w:r w:rsidRPr="009E686F">
              <w:rPr>
                <w:rFonts w:ascii="Times New Roman" w:hAnsi="Times New Roman" w:cs="Times New Roman"/>
              </w:rPr>
              <w:t>Norme UE neaplicabile</w:t>
            </w:r>
          </w:p>
          <w:p w14:paraId="56D19F2E" w14:textId="68558174" w:rsidR="00265766" w:rsidRPr="009E686F" w:rsidRDefault="00265766" w:rsidP="00265766">
            <w:pPr>
              <w:jc w:val="both"/>
              <w:rPr>
                <w:rFonts w:ascii="Times New Roman" w:hAnsi="Times New Roman" w:cs="Times New Roman"/>
                <w:lang w:val="it-CH"/>
              </w:rPr>
            </w:pPr>
          </w:p>
        </w:tc>
        <w:tc>
          <w:tcPr>
            <w:tcW w:w="806" w:type="pct"/>
            <w:tcBorders>
              <w:top w:val="single" w:sz="4" w:space="0" w:color="auto"/>
              <w:left w:val="single" w:sz="4" w:space="0" w:color="auto"/>
              <w:bottom w:val="single" w:sz="4" w:space="0" w:color="auto"/>
              <w:right w:val="single" w:sz="4" w:space="0" w:color="auto"/>
            </w:tcBorders>
          </w:tcPr>
          <w:p w14:paraId="42D48E23" w14:textId="345E555F"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Se referă la competențele ABE.</w:t>
            </w:r>
          </w:p>
        </w:tc>
      </w:tr>
      <w:tr w:rsidR="00265766" w:rsidRPr="009E686F" w14:paraId="105FDB43" w14:textId="77777777" w:rsidTr="00960C23">
        <w:tc>
          <w:tcPr>
            <w:tcW w:w="1890" w:type="pct"/>
            <w:tcBorders>
              <w:top w:val="single" w:sz="4" w:space="0" w:color="auto"/>
              <w:left w:val="single" w:sz="4" w:space="0" w:color="auto"/>
              <w:bottom w:val="single" w:sz="4" w:space="0" w:color="auto"/>
              <w:right w:val="single" w:sz="4" w:space="0" w:color="auto"/>
            </w:tcBorders>
          </w:tcPr>
          <w:p w14:paraId="630508F7" w14:textId="56512AAA"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(6) ABE elaborează proiecte de standarde tehnice de reglementare care să precizeze informațiile menționate în prezentul articol.</w:t>
            </w:r>
          </w:p>
          <w:p w14:paraId="2E92A19E" w14:textId="77777777"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lastRenderedPageBreak/>
              <w:t>Se deleagă Comisiei competența de a adopta standardele tehnice de reglementare menționate la primul paragraf, în conformitate cu articolele 10-14 din Regulamentul (UE) nr. 1093/2010.</w:t>
            </w:r>
          </w:p>
          <w:p w14:paraId="0F44ABA4" w14:textId="77777777"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(7) ABE elaborează proiecte de standarde tehnice de punere în aplicare pentru a stabili formulare, modele și proceduri standard pentru cerințele referitoare la schimbul de informații, care pot facilita monitorizarea instituțiilor de credit.</w:t>
            </w:r>
          </w:p>
          <w:p w14:paraId="5335CBF0" w14:textId="58797856"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(8) ABE înaintează Comisiei proiectele de standarde tehnice menționate la alineatele (6) și (7) până la 1 ianuarie 2014.</w:t>
            </w:r>
          </w:p>
        </w:tc>
        <w:tc>
          <w:tcPr>
            <w:tcW w:w="1834" w:type="pct"/>
            <w:tcBorders>
              <w:top w:val="single" w:sz="4" w:space="0" w:color="auto"/>
              <w:left w:val="single" w:sz="4" w:space="0" w:color="auto"/>
              <w:bottom w:val="single" w:sz="4" w:space="0" w:color="auto"/>
              <w:right w:val="single" w:sz="4" w:space="0" w:color="auto"/>
            </w:tcBorders>
          </w:tcPr>
          <w:p w14:paraId="3D389F37" w14:textId="77777777" w:rsidR="00265766" w:rsidRPr="009E686F" w:rsidRDefault="00265766" w:rsidP="00265766">
            <w:pPr>
              <w:spacing w:after="0"/>
              <w:jc w:val="both"/>
              <w:rPr>
                <w:rFonts w:ascii="Times New Roman" w:hAnsi="Times New Roman" w:cs="Times New Roman"/>
                <w:b/>
                <w:lang w:val="it-CH"/>
              </w:rPr>
            </w:pPr>
          </w:p>
        </w:tc>
        <w:tc>
          <w:tcPr>
            <w:tcW w:w="470" w:type="pct"/>
            <w:tcBorders>
              <w:top w:val="single" w:sz="4" w:space="0" w:color="auto"/>
              <w:left w:val="single" w:sz="4" w:space="0" w:color="auto"/>
              <w:bottom w:val="single" w:sz="4" w:space="0" w:color="auto"/>
              <w:right w:val="single" w:sz="4" w:space="0" w:color="auto"/>
            </w:tcBorders>
          </w:tcPr>
          <w:p w14:paraId="5F40544F" w14:textId="563A4E2F" w:rsidR="00265766" w:rsidRPr="009E686F" w:rsidRDefault="00265766" w:rsidP="00265766">
            <w:pPr>
              <w:jc w:val="both"/>
              <w:rPr>
                <w:rFonts w:ascii="Times New Roman" w:hAnsi="Times New Roman" w:cs="Times New Roman"/>
              </w:rPr>
            </w:pPr>
            <w:r w:rsidRPr="009E686F">
              <w:rPr>
                <w:rFonts w:ascii="Times New Roman" w:hAnsi="Times New Roman" w:cs="Times New Roman"/>
              </w:rPr>
              <w:t>Norme UE neaplicabile</w:t>
            </w:r>
          </w:p>
          <w:p w14:paraId="1123A85B" w14:textId="271E31BE" w:rsidR="00265766" w:rsidRPr="009E686F" w:rsidRDefault="00265766" w:rsidP="00265766">
            <w:pPr>
              <w:jc w:val="both"/>
              <w:rPr>
                <w:rFonts w:ascii="Times New Roman" w:hAnsi="Times New Roman" w:cs="Times New Roman"/>
              </w:rPr>
            </w:pPr>
          </w:p>
        </w:tc>
        <w:tc>
          <w:tcPr>
            <w:tcW w:w="806" w:type="pct"/>
            <w:tcBorders>
              <w:top w:val="single" w:sz="4" w:space="0" w:color="auto"/>
              <w:left w:val="single" w:sz="4" w:space="0" w:color="auto"/>
              <w:bottom w:val="single" w:sz="4" w:space="0" w:color="auto"/>
              <w:right w:val="single" w:sz="4" w:space="0" w:color="auto"/>
            </w:tcBorders>
          </w:tcPr>
          <w:p w14:paraId="28305DB5" w14:textId="21FDE179"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Se referă la competențele ABE.</w:t>
            </w:r>
          </w:p>
        </w:tc>
      </w:tr>
      <w:tr w:rsidR="00265766" w:rsidRPr="009E686F" w14:paraId="1C9132DC" w14:textId="77777777" w:rsidTr="00960C23">
        <w:tc>
          <w:tcPr>
            <w:tcW w:w="1890" w:type="pct"/>
            <w:tcBorders>
              <w:top w:val="single" w:sz="4" w:space="0" w:color="auto"/>
              <w:left w:val="single" w:sz="4" w:space="0" w:color="auto"/>
              <w:bottom w:val="single" w:sz="4" w:space="0" w:color="auto"/>
              <w:right w:val="single" w:sz="4" w:space="0" w:color="auto"/>
            </w:tcBorders>
          </w:tcPr>
          <w:p w14:paraId="05F34108" w14:textId="77777777" w:rsidR="00265766" w:rsidRPr="009E686F" w:rsidRDefault="00265766" w:rsidP="00265766">
            <w:pPr>
              <w:spacing w:after="0"/>
              <w:jc w:val="both"/>
              <w:rPr>
                <w:rFonts w:ascii="Times New Roman" w:hAnsi="Times New Roman" w:cs="Times New Roman"/>
                <w:i/>
                <w:lang w:val="it-CH"/>
              </w:rPr>
            </w:pPr>
            <w:r w:rsidRPr="009E686F">
              <w:rPr>
                <w:rFonts w:ascii="Times New Roman" w:hAnsi="Times New Roman" w:cs="Times New Roman"/>
                <w:i/>
                <w:lang w:val="it-CH"/>
              </w:rPr>
              <w:t xml:space="preserve">Articolul 51 </w:t>
            </w:r>
          </w:p>
          <w:p w14:paraId="60127C1D" w14:textId="77777777"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Sucursale semnificative</w:t>
            </w:r>
          </w:p>
          <w:p w14:paraId="403044D1" w14:textId="77777777"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 xml:space="preserve">(1) Autoritățile competente  ale unui stat membru gazdă pot solicita supraveghetorului consolidant, în cazul în care se aplică articolul 112 alineatul (1), sau autorităților competente ale statutui membru de origine să considere o sucursală a unei instituții de credit ca fiind semnificativă. </w:t>
            </w:r>
          </w:p>
          <w:p w14:paraId="027818BA" w14:textId="16CCEF6D"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Cererea respectivă specifică motivele pentru care sucursala ar trebui considerată semnificativă, în special cu privire la următoarele aspecte:</w:t>
            </w:r>
          </w:p>
        </w:tc>
        <w:tc>
          <w:tcPr>
            <w:tcW w:w="1834" w:type="pct"/>
            <w:tcBorders>
              <w:top w:val="single" w:sz="4" w:space="0" w:color="auto"/>
              <w:left w:val="single" w:sz="4" w:space="0" w:color="auto"/>
              <w:bottom w:val="single" w:sz="4" w:space="0" w:color="auto"/>
              <w:right w:val="single" w:sz="4" w:space="0" w:color="auto"/>
            </w:tcBorders>
          </w:tcPr>
          <w:p w14:paraId="640FACE7" w14:textId="38971022" w:rsidR="00265766" w:rsidRPr="009E686F" w:rsidRDefault="00265766" w:rsidP="00265766">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b/>
                <w:bCs/>
                <w:kern w:val="2"/>
                <w:lang w:val="ro-MD"/>
              </w:rPr>
              <w:t>Articolul 10</w:t>
            </w:r>
            <w:r w:rsidR="00CC0AB6" w:rsidRPr="009E686F">
              <w:rPr>
                <w:rFonts w:ascii="Times New Roman" w:eastAsia="Aptos" w:hAnsi="Times New Roman" w:cs="Times New Roman"/>
                <w:b/>
                <w:bCs/>
                <w:kern w:val="2"/>
                <w:lang w:val="ro-MD"/>
              </w:rPr>
              <w:t>7</w:t>
            </w:r>
            <w:r w:rsidRPr="009E686F">
              <w:rPr>
                <w:rFonts w:ascii="Times New Roman" w:eastAsia="Aptos" w:hAnsi="Times New Roman" w:cs="Times New Roman"/>
                <w:b/>
                <w:bCs/>
                <w:kern w:val="2"/>
                <w:vertAlign w:val="superscript"/>
                <w:lang w:val="ro-MD"/>
              </w:rPr>
              <w:t>1</w:t>
            </w:r>
            <w:r w:rsidRPr="009E686F">
              <w:rPr>
                <w:rFonts w:ascii="Times New Roman" w:eastAsia="Aptos" w:hAnsi="Times New Roman" w:cs="Times New Roman"/>
                <w:b/>
                <w:bCs/>
                <w:kern w:val="2"/>
                <w:lang w:val="ro-MD"/>
              </w:rPr>
              <w:t xml:space="preserve"> alin. (</w:t>
            </w:r>
            <w:r w:rsidR="00CC0AB6" w:rsidRPr="009E686F">
              <w:rPr>
                <w:rFonts w:ascii="Times New Roman" w:eastAsia="Aptos" w:hAnsi="Times New Roman" w:cs="Times New Roman"/>
                <w:b/>
                <w:bCs/>
                <w:kern w:val="2"/>
                <w:lang w:val="ro-MD"/>
              </w:rPr>
              <w:t>1</w:t>
            </w:r>
            <w:r w:rsidRPr="009E686F">
              <w:rPr>
                <w:rFonts w:ascii="Times New Roman" w:eastAsia="Aptos" w:hAnsi="Times New Roman" w:cs="Times New Roman"/>
                <w:b/>
                <w:bCs/>
                <w:kern w:val="2"/>
                <w:lang w:val="ro-MD"/>
              </w:rPr>
              <w:t>)</w:t>
            </w:r>
            <w:r w:rsidRPr="009E686F">
              <w:rPr>
                <w:rFonts w:ascii="Times New Roman" w:eastAsia="Aptos" w:hAnsi="Times New Roman" w:cs="Times New Roman"/>
                <w:kern w:val="2"/>
                <w:lang w:val="ro-MD"/>
              </w:rPr>
              <w:t xml:space="preserve"> </w:t>
            </w:r>
            <w:r w:rsidRPr="009E686F">
              <w:rPr>
                <w:rFonts w:ascii="Times New Roman" w:eastAsia="Aptos" w:hAnsi="Times New Roman" w:cs="Times New Roman"/>
                <w:b/>
                <w:bCs/>
                <w:kern w:val="2"/>
                <w:lang w:val="ro-MD"/>
              </w:rPr>
              <w:t>– (</w:t>
            </w:r>
            <w:r w:rsidR="00CC0AB6" w:rsidRPr="009E686F">
              <w:rPr>
                <w:rFonts w:ascii="Times New Roman" w:eastAsia="Aptos" w:hAnsi="Times New Roman" w:cs="Times New Roman"/>
                <w:b/>
                <w:bCs/>
                <w:kern w:val="2"/>
                <w:lang w:val="ro-MD"/>
              </w:rPr>
              <w:t>2</w:t>
            </w:r>
            <w:r w:rsidRPr="009E686F">
              <w:rPr>
                <w:rFonts w:ascii="Times New Roman" w:eastAsia="Aptos" w:hAnsi="Times New Roman" w:cs="Times New Roman"/>
                <w:b/>
                <w:bCs/>
                <w:kern w:val="2"/>
                <w:lang w:val="ro-MD"/>
              </w:rPr>
              <w:t>)</w:t>
            </w:r>
            <w:r w:rsidRPr="009E686F">
              <w:rPr>
                <w:rFonts w:ascii="Times New Roman" w:eastAsia="Aptos" w:hAnsi="Times New Roman" w:cs="Times New Roman"/>
                <w:kern w:val="2"/>
                <w:lang w:val="ro-MD"/>
              </w:rPr>
              <w:t xml:space="preserve"> </w:t>
            </w:r>
          </w:p>
          <w:p w14:paraId="486902AB" w14:textId="1652B827" w:rsidR="00265766" w:rsidRPr="009E686F" w:rsidRDefault="00265766" w:rsidP="00265766">
            <w:pPr>
              <w:spacing w:after="0" w:line="278" w:lineRule="auto"/>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w:t>
            </w:r>
            <w:r w:rsidR="00CC0AB6" w:rsidRPr="009E686F">
              <w:rPr>
                <w:rFonts w:ascii="Times New Roman" w:eastAsia="Aptos" w:hAnsi="Times New Roman" w:cs="Times New Roman"/>
                <w:i/>
                <w:iCs/>
                <w:kern w:val="2"/>
                <w:lang w:val="ro-MD"/>
              </w:rPr>
              <w:t>1</w:t>
            </w:r>
            <w:r w:rsidRPr="009E686F">
              <w:rPr>
                <w:rFonts w:ascii="Times New Roman" w:eastAsia="Aptos" w:hAnsi="Times New Roman" w:cs="Times New Roman"/>
                <w:i/>
                <w:iCs/>
                <w:kern w:val="2"/>
                <w:lang w:val="ro-MD"/>
              </w:rPr>
              <w:t>) Banca Națională a Moldovei, în calitate de autoritate competentă din statul membru gazdă, poate solicita autorității competente din statul membru de origine a instituțiilor de credit care au sucursale deschise pe teritoriul Republicii Moldova și autorității competente responsabile cu supravegherea pe bază consolidată, după caz, să considere o sucursală ca fiind semnificativă în scopul evaluării riscurilor care se referă la instituțiile de credit cu astfel de sucursale.</w:t>
            </w:r>
          </w:p>
          <w:p w14:paraId="76F1C065" w14:textId="77777777" w:rsidR="00265766" w:rsidRPr="009E686F" w:rsidRDefault="00265766" w:rsidP="00265766">
            <w:pPr>
              <w:spacing w:after="0" w:line="278" w:lineRule="auto"/>
              <w:jc w:val="both"/>
              <w:rPr>
                <w:rFonts w:ascii="Times New Roman" w:eastAsia="Aptos" w:hAnsi="Times New Roman" w:cs="Times New Roman"/>
                <w:i/>
                <w:iCs/>
                <w:kern w:val="2"/>
                <w:lang w:val="ro-MD"/>
              </w:rPr>
            </w:pPr>
          </w:p>
          <w:p w14:paraId="54593C22" w14:textId="14E0C500" w:rsidR="00265766" w:rsidRPr="009E686F" w:rsidRDefault="00265766" w:rsidP="00265766">
            <w:pPr>
              <w:spacing w:after="0" w:line="278" w:lineRule="auto"/>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w:t>
            </w:r>
            <w:r w:rsidR="00CC0AB6" w:rsidRPr="009E686F">
              <w:rPr>
                <w:rFonts w:ascii="Times New Roman" w:eastAsia="Aptos" w:hAnsi="Times New Roman" w:cs="Times New Roman"/>
                <w:i/>
                <w:iCs/>
                <w:kern w:val="2"/>
                <w:lang w:val="ro-MD"/>
              </w:rPr>
              <w:t>2</w:t>
            </w:r>
            <w:r w:rsidRPr="009E686F">
              <w:rPr>
                <w:rFonts w:ascii="Times New Roman" w:eastAsia="Aptos" w:hAnsi="Times New Roman" w:cs="Times New Roman"/>
                <w:i/>
                <w:iCs/>
                <w:kern w:val="2"/>
                <w:lang w:val="ro-MD"/>
              </w:rPr>
              <w:t>) Solicitarea prevăzută la alin. (</w:t>
            </w:r>
            <w:r w:rsidR="00CC0AB6" w:rsidRPr="009E686F">
              <w:rPr>
                <w:rFonts w:ascii="Times New Roman" w:eastAsia="Aptos" w:hAnsi="Times New Roman" w:cs="Times New Roman"/>
                <w:i/>
                <w:iCs/>
                <w:kern w:val="2"/>
                <w:lang w:val="ro-MD"/>
              </w:rPr>
              <w:t>1</w:t>
            </w:r>
            <w:r w:rsidRPr="009E686F">
              <w:rPr>
                <w:rFonts w:ascii="Times New Roman" w:eastAsia="Aptos" w:hAnsi="Times New Roman" w:cs="Times New Roman"/>
                <w:i/>
                <w:iCs/>
                <w:kern w:val="2"/>
                <w:lang w:val="ro-MD"/>
              </w:rPr>
              <w:t>) specifică motivele pentru care sucursala unei instituții de credit dintr-un stat membru care își desfășoară activitatea pe teritoriul Republicii Moldova ar trebui considerată semnificativă, în special cu privire la următoarele aspecte:</w:t>
            </w:r>
          </w:p>
        </w:tc>
        <w:tc>
          <w:tcPr>
            <w:tcW w:w="470" w:type="pct"/>
            <w:tcBorders>
              <w:top w:val="single" w:sz="4" w:space="0" w:color="auto"/>
              <w:left w:val="single" w:sz="4" w:space="0" w:color="auto"/>
              <w:bottom w:val="single" w:sz="4" w:space="0" w:color="auto"/>
              <w:right w:val="single" w:sz="4" w:space="0" w:color="auto"/>
            </w:tcBorders>
          </w:tcPr>
          <w:p w14:paraId="285DC883" w14:textId="77777777" w:rsidR="00265766" w:rsidRPr="009E686F" w:rsidRDefault="00265766" w:rsidP="00265766">
            <w:pPr>
              <w:jc w:val="both"/>
              <w:rPr>
                <w:rFonts w:ascii="Times New Roman" w:hAnsi="Times New Roman" w:cs="Times New Roman"/>
              </w:rPr>
            </w:pPr>
            <w:r w:rsidRPr="009E686F">
              <w:rPr>
                <w:rFonts w:ascii="Times New Roman" w:hAnsi="Times New Roman" w:cs="Times New Roman"/>
              </w:rPr>
              <w:t>Compatibil</w:t>
            </w:r>
          </w:p>
          <w:p w14:paraId="7E64D6C4" w14:textId="77777777" w:rsidR="00265766" w:rsidRPr="009E686F" w:rsidRDefault="00265766" w:rsidP="00265766">
            <w:pPr>
              <w:jc w:val="both"/>
              <w:rPr>
                <w:rFonts w:ascii="Times New Roman" w:hAnsi="Times New Roman" w:cs="Times New Roman"/>
                <w:lang w:val="it-CH"/>
              </w:rPr>
            </w:pPr>
          </w:p>
        </w:tc>
        <w:tc>
          <w:tcPr>
            <w:tcW w:w="806" w:type="pct"/>
            <w:tcBorders>
              <w:top w:val="single" w:sz="4" w:space="0" w:color="auto"/>
              <w:left w:val="single" w:sz="4" w:space="0" w:color="auto"/>
              <w:bottom w:val="single" w:sz="4" w:space="0" w:color="auto"/>
              <w:right w:val="single" w:sz="4" w:space="0" w:color="auto"/>
            </w:tcBorders>
          </w:tcPr>
          <w:p w14:paraId="7D901C0E" w14:textId="76F387BC" w:rsidR="00265766" w:rsidRPr="009E686F" w:rsidRDefault="00247A35" w:rsidP="00265766">
            <w:pPr>
              <w:spacing w:after="0"/>
              <w:jc w:val="both"/>
              <w:rPr>
                <w:rFonts w:ascii="Times New Roman" w:hAnsi="Times New Roman" w:cs="Times New Roman"/>
                <w:lang w:val="pt-BR"/>
              </w:rPr>
            </w:pPr>
            <w:r w:rsidRPr="009E686F">
              <w:rPr>
                <w:rFonts w:ascii="Times New Roman" w:hAnsi="Times New Roman" w:cs="Times New Roman"/>
                <w:lang w:val="ro-MD"/>
              </w:rPr>
              <w:t>Modificările referitoare la activitatea sucursalelor instituțiilor de credit înființate în state membre – în vigoare în termen de 5 ani de la data aderării.</w:t>
            </w:r>
          </w:p>
        </w:tc>
      </w:tr>
      <w:tr w:rsidR="00265766" w:rsidRPr="009E686F" w14:paraId="6A76A1EB" w14:textId="77777777" w:rsidTr="00960C23">
        <w:tc>
          <w:tcPr>
            <w:tcW w:w="1890" w:type="pct"/>
            <w:tcBorders>
              <w:top w:val="single" w:sz="4" w:space="0" w:color="auto"/>
              <w:left w:val="single" w:sz="4" w:space="0" w:color="auto"/>
              <w:bottom w:val="single" w:sz="4" w:space="0" w:color="auto"/>
              <w:right w:val="single" w:sz="4" w:space="0" w:color="auto"/>
            </w:tcBorders>
          </w:tcPr>
          <w:p w14:paraId="0F8B959D" w14:textId="122EF463"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(a) în cazul în care cota de piață a sucursalei în ceea ce privește depozitele depășește 2 % în statul membru gazdă;</w:t>
            </w:r>
          </w:p>
        </w:tc>
        <w:tc>
          <w:tcPr>
            <w:tcW w:w="1834" w:type="pct"/>
            <w:tcBorders>
              <w:top w:val="single" w:sz="4" w:space="0" w:color="auto"/>
              <w:left w:val="single" w:sz="4" w:space="0" w:color="auto"/>
              <w:bottom w:val="single" w:sz="4" w:space="0" w:color="auto"/>
              <w:right w:val="single" w:sz="4" w:space="0" w:color="auto"/>
            </w:tcBorders>
          </w:tcPr>
          <w:p w14:paraId="4610FE86" w14:textId="03122C4A" w:rsidR="00265766" w:rsidRPr="009E686F" w:rsidRDefault="00265766" w:rsidP="00265766">
            <w:pPr>
              <w:spacing w:after="0" w:line="278" w:lineRule="auto"/>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 xml:space="preserve">a) atingerea de către respectiva sucursală a unei cote de piaţă de peste 2 % în ceea ce privește depozitele în Republica Moldova; </w:t>
            </w:r>
          </w:p>
        </w:tc>
        <w:tc>
          <w:tcPr>
            <w:tcW w:w="470" w:type="pct"/>
            <w:tcBorders>
              <w:top w:val="single" w:sz="4" w:space="0" w:color="auto"/>
              <w:left w:val="single" w:sz="4" w:space="0" w:color="auto"/>
              <w:bottom w:val="single" w:sz="4" w:space="0" w:color="auto"/>
              <w:right w:val="single" w:sz="4" w:space="0" w:color="auto"/>
            </w:tcBorders>
          </w:tcPr>
          <w:p w14:paraId="0E76336B" w14:textId="77777777" w:rsidR="00265766" w:rsidRPr="009E686F" w:rsidRDefault="00265766" w:rsidP="00265766">
            <w:pPr>
              <w:jc w:val="both"/>
              <w:rPr>
                <w:rFonts w:ascii="Times New Roman" w:hAnsi="Times New Roman" w:cs="Times New Roman"/>
              </w:rPr>
            </w:pPr>
            <w:r w:rsidRPr="009E686F">
              <w:rPr>
                <w:rFonts w:ascii="Times New Roman" w:hAnsi="Times New Roman" w:cs="Times New Roman"/>
              </w:rPr>
              <w:t>Compatibil</w:t>
            </w:r>
          </w:p>
          <w:p w14:paraId="0A2F5353" w14:textId="77777777" w:rsidR="00265766" w:rsidRPr="009E686F" w:rsidRDefault="00265766" w:rsidP="00265766">
            <w:pPr>
              <w:jc w:val="both"/>
              <w:rPr>
                <w:rFonts w:ascii="Times New Roman" w:hAnsi="Times New Roman" w:cs="Times New Roman"/>
                <w:b/>
                <w:bCs/>
                <w:lang w:val="pt-BR"/>
              </w:rPr>
            </w:pPr>
          </w:p>
        </w:tc>
        <w:tc>
          <w:tcPr>
            <w:tcW w:w="806" w:type="pct"/>
            <w:tcBorders>
              <w:top w:val="single" w:sz="4" w:space="0" w:color="auto"/>
              <w:left w:val="single" w:sz="4" w:space="0" w:color="auto"/>
              <w:bottom w:val="single" w:sz="4" w:space="0" w:color="auto"/>
              <w:right w:val="single" w:sz="4" w:space="0" w:color="auto"/>
            </w:tcBorders>
          </w:tcPr>
          <w:p w14:paraId="68089677" w14:textId="7752145C" w:rsidR="00265766" w:rsidRPr="009E686F" w:rsidRDefault="00247A35" w:rsidP="00265766">
            <w:pPr>
              <w:spacing w:after="0"/>
              <w:jc w:val="both"/>
              <w:rPr>
                <w:rFonts w:ascii="Times New Roman" w:hAnsi="Times New Roman" w:cs="Times New Roman"/>
                <w:lang w:val="pt-BR"/>
              </w:rPr>
            </w:pPr>
            <w:r w:rsidRPr="009E686F">
              <w:rPr>
                <w:rFonts w:ascii="Times New Roman" w:hAnsi="Times New Roman" w:cs="Times New Roman"/>
                <w:lang w:val="ro-MD"/>
              </w:rPr>
              <w:t xml:space="preserve">Modificările referitoare la activitatea sucursalelor instituțiilor de credit înființate în state membre </w:t>
            </w:r>
            <w:r w:rsidRPr="009E686F">
              <w:rPr>
                <w:rFonts w:ascii="Times New Roman" w:hAnsi="Times New Roman" w:cs="Times New Roman"/>
                <w:lang w:val="ro-MD"/>
              </w:rPr>
              <w:lastRenderedPageBreak/>
              <w:t>– în vigoare în termen de 5 ani de la data aderării.</w:t>
            </w:r>
          </w:p>
        </w:tc>
      </w:tr>
      <w:tr w:rsidR="00265766" w:rsidRPr="009E686F" w14:paraId="32BF15D4" w14:textId="77777777" w:rsidTr="00960C23">
        <w:tc>
          <w:tcPr>
            <w:tcW w:w="1890" w:type="pct"/>
            <w:tcBorders>
              <w:top w:val="single" w:sz="4" w:space="0" w:color="auto"/>
              <w:left w:val="single" w:sz="4" w:space="0" w:color="auto"/>
              <w:bottom w:val="single" w:sz="4" w:space="0" w:color="auto"/>
              <w:right w:val="single" w:sz="4" w:space="0" w:color="auto"/>
            </w:tcBorders>
          </w:tcPr>
          <w:p w14:paraId="6A9F2D71" w14:textId="53FCBE68"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lastRenderedPageBreak/>
              <w:t>(b) impactul probabil al unei suspendări sau încetări a operațiunilor instituției asupra lichidității sistemice și asupra sistemelor de plată, compensare și decontare din statul membru gazdă;</w:t>
            </w:r>
          </w:p>
        </w:tc>
        <w:tc>
          <w:tcPr>
            <w:tcW w:w="1834" w:type="pct"/>
            <w:tcBorders>
              <w:top w:val="single" w:sz="4" w:space="0" w:color="auto"/>
              <w:left w:val="single" w:sz="4" w:space="0" w:color="auto"/>
              <w:bottom w:val="single" w:sz="4" w:space="0" w:color="auto"/>
              <w:right w:val="single" w:sz="4" w:space="0" w:color="auto"/>
            </w:tcBorders>
          </w:tcPr>
          <w:p w14:paraId="2FD56EA3" w14:textId="4F9CF03E" w:rsidR="00265766" w:rsidRPr="009E686F" w:rsidRDefault="00265766" w:rsidP="00265766">
            <w:pPr>
              <w:spacing w:after="0" w:line="278" w:lineRule="auto"/>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 xml:space="preserve">b) impactul probabil al unei suspendări sau încetări a operaţiunilor instituției de credit-mamă a respectivei sucursale asupra lichidităţii sistemice și asupra sistemelor de plată, compensare și decontare din Republica Moldova; </w:t>
            </w:r>
          </w:p>
        </w:tc>
        <w:tc>
          <w:tcPr>
            <w:tcW w:w="470" w:type="pct"/>
            <w:tcBorders>
              <w:top w:val="single" w:sz="4" w:space="0" w:color="auto"/>
              <w:left w:val="single" w:sz="4" w:space="0" w:color="auto"/>
              <w:bottom w:val="single" w:sz="4" w:space="0" w:color="auto"/>
              <w:right w:val="single" w:sz="4" w:space="0" w:color="auto"/>
            </w:tcBorders>
          </w:tcPr>
          <w:p w14:paraId="3C5A6C92" w14:textId="77777777" w:rsidR="00265766" w:rsidRPr="009E686F" w:rsidRDefault="00265766" w:rsidP="00265766">
            <w:pPr>
              <w:jc w:val="both"/>
              <w:rPr>
                <w:rFonts w:ascii="Times New Roman" w:hAnsi="Times New Roman" w:cs="Times New Roman"/>
              </w:rPr>
            </w:pPr>
            <w:r w:rsidRPr="009E686F">
              <w:rPr>
                <w:rFonts w:ascii="Times New Roman" w:hAnsi="Times New Roman" w:cs="Times New Roman"/>
              </w:rPr>
              <w:t>Compatibil</w:t>
            </w:r>
          </w:p>
          <w:p w14:paraId="0DADD438" w14:textId="2EC99F14" w:rsidR="00265766" w:rsidRPr="009E686F" w:rsidRDefault="00265766" w:rsidP="00265766">
            <w:pPr>
              <w:jc w:val="both"/>
              <w:rPr>
                <w:rFonts w:ascii="Times New Roman" w:hAnsi="Times New Roman" w:cs="Times New Roman"/>
              </w:rPr>
            </w:pPr>
          </w:p>
        </w:tc>
        <w:tc>
          <w:tcPr>
            <w:tcW w:w="806" w:type="pct"/>
            <w:tcBorders>
              <w:top w:val="single" w:sz="4" w:space="0" w:color="auto"/>
              <w:left w:val="single" w:sz="4" w:space="0" w:color="auto"/>
              <w:bottom w:val="single" w:sz="4" w:space="0" w:color="auto"/>
              <w:right w:val="single" w:sz="4" w:space="0" w:color="auto"/>
            </w:tcBorders>
          </w:tcPr>
          <w:p w14:paraId="777EE599" w14:textId="1E9F51C2" w:rsidR="00265766" w:rsidRPr="009E686F" w:rsidRDefault="00247A35" w:rsidP="00265766">
            <w:pPr>
              <w:spacing w:after="0"/>
              <w:jc w:val="both"/>
              <w:rPr>
                <w:rFonts w:ascii="Times New Roman" w:hAnsi="Times New Roman" w:cs="Times New Roman"/>
                <w:lang w:val="it-CH"/>
              </w:rPr>
            </w:pPr>
            <w:r w:rsidRPr="009E686F">
              <w:rPr>
                <w:rFonts w:ascii="Times New Roman" w:hAnsi="Times New Roman" w:cs="Times New Roman"/>
                <w:lang w:val="ro-MD"/>
              </w:rPr>
              <w:t>Modificările referitoare la activitatea sucursalelor instituțiilor de credit înființate în state membre – în vigoare în termen de 5 ani de la data aderării.</w:t>
            </w:r>
          </w:p>
        </w:tc>
      </w:tr>
      <w:tr w:rsidR="00265766" w:rsidRPr="009E686F" w14:paraId="10FBB2DD" w14:textId="77777777" w:rsidTr="00960C23">
        <w:tc>
          <w:tcPr>
            <w:tcW w:w="1890" w:type="pct"/>
            <w:tcBorders>
              <w:top w:val="single" w:sz="4" w:space="0" w:color="auto"/>
              <w:left w:val="single" w:sz="4" w:space="0" w:color="auto"/>
              <w:bottom w:val="single" w:sz="4" w:space="0" w:color="auto"/>
              <w:right w:val="single" w:sz="4" w:space="0" w:color="auto"/>
            </w:tcBorders>
          </w:tcPr>
          <w:p w14:paraId="2DB059A1" w14:textId="5451160F"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(c) dimensiunea și importanța sucursalei, din punctul de vedere al numărului de clienți, în contextul sistemului bancar sau financiar al statului membru gazdă.</w:t>
            </w:r>
          </w:p>
        </w:tc>
        <w:tc>
          <w:tcPr>
            <w:tcW w:w="1834" w:type="pct"/>
            <w:tcBorders>
              <w:top w:val="single" w:sz="4" w:space="0" w:color="auto"/>
              <w:left w:val="single" w:sz="4" w:space="0" w:color="auto"/>
              <w:bottom w:val="single" w:sz="4" w:space="0" w:color="auto"/>
              <w:right w:val="single" w:sz="4" w:space="0" w:color="auto"/>
            </w:tcBorders>
          </w:tcPr>
          <w:p w14:paraId="6D649476" w14:textId="62D88258" w:rsidR="00265766" w:rsidRPr="009E686F" w:rsidRDefault="00265766" w:rsidP="00265766">
            <w:pPr>
              <w:spacing w:after="0"/>
              <w:jc w:val="both"/>
              <w:rPr>
                <w:rFonts w:ascii="Times New Roman" w:hAnsi="Times New Roman" w:cs="Times New Roman"/>
                <w:b/>
                <w:i/>
                <w:lang w:val="it-CH"/>
              </w:rPr>
            </w:pPr>
            <w:r w:rsidRPr="009E686F">
              <w:rPr>
                <w:rFonts w:ascii="Times New Roman" w:eastAsia="Aptos" w:hAnsi="Times New Roman" w:cs="Times New Roman"/>
                <w:i/>
                <w:iCs/>
                <w:kern w:val="2"/>
                <w:lang w:val="ro-MD"/>
              </w:rPr>
              <w:t>c) dimensiunea și importanţa respectivei sucursale, din punct de vedere al numărului de clienţi, în contextul sistemului bancar sau financiar al Republicii Moldova.</w:t>
            </w:r>
          </w:p>
        </w:tc>
        <w:tc>
          <w:tcPr>
            <w:tcW w:w="470" w:type="pct"/>
            <w:tcBorders>
              <w:top w:val="single" w:sz="4" w:space="0" w:color="auto"/>
              <w:left w:val="single" w:sz="4" w:space="0" w:color="auto"/>
              <w:bottom w:val="single" w:sz="4" w:space="0" w:color="auto"/>
              <w:right w:val="single" w:sz="4" w:space="0" w:color="auto"/>
            </w:tcBorders>
          </w:tcPr>
          <w:p w14:paraId="297CF564" w14:textId="586CBC39" w:rsidR="00265766" w:rsidRPr="009E686F" w:rsidRDefault="00265766" w:rsidP="00265766">
            <w:pPr>
              <w:jc w:val="both"/>
              <w:rPr>
                <w:rFonts w:ascii="Times New Roman" w:hAnsi="Times New Roman" w:cs="Times New Roman"/>
              </w:rPr>
            </w:pPr>
            <w:r w:rsidRPr="009E686F">
              <w:rPr>
                <w:rFonts w:ascii="Times New Roman" w:hAnsi="Times New Roman" w:cs="Times New Roman"/>
              </w:rPr>
              <w:t>Compatibil</w:t>
            </w:r>
          </w:p>
          <w:p w14:paraId="54DCDAD4" w14:textId="029FE1ED" w:rsidR="00265766" w:rsidRPr="009E686F" w:rsidRDefault="00265766" w:rsidP="00265766">
            <w:pPr>
              <w:jc w:val="both"/>
              <w:rPr>
                <w:rFonts w:ascii="Times New Roman" w:hAnsi="Times New Roman" w:cs="Times New Roman"/>
              </w:rPr>
            </w:pPr>
          </w:p>
        </w:tc>
        <w:tc>
          <w:tcPr>
            <w:tcW w:w="806" w:type="pct"/>
            <w:tcBorders>
              <w:top w:val="single" w:sz="4" w:space="0" w:color="auto"/>
              <w:left w:val="single" w:sz="4" w:space="0" w:color="auto"/>
              <w:bottom w:val="single" w:sz="4" w:space="0" w:color="auto"/>
              <w:right w:val="single" w:sz="4" w:space="0" w:color="auto"/>
            </w:tcBorders>
          </w:tcPr>
          <w:p w14:paraId="27EDE438" w14:textId="029207CB" w:rsidR="00265766" w:rsidRPr="009E686F" w:rsidRDefault="00247A35" w:rsidP="00265766">
            <w:pPr>
              <w:spacing w:after="0"/>
              <w:jc w:val="both"/>
              <w:rPr>
                <w:rFonts w:ascii="Times New Roman" w:hAnsi="Times New Roman" w:cs="Times New Roman"/>
                <w:b/>
                <w:bCs/>
                <w:lang w:val="it-CH"/>
              </w:rPr>
            </w:pPr>
            <w:r w:rsidRPr="009E686F">
              <w:rPr>
                <w:rFonts w:ascii="Times New Roman" w:hAnsi="Times New Roman" w:cs="Times New Roman"/>
                <w:lang w:val="ro-MD"/>
              </w:rPr>
              <w:t>Modificările referitoare la activitatea sucursalelor instituțiilor de credit înființate în state membre – în vigoare în termen de 5 ani de la data aderării.</w:t>
            </w:r>
          </w:p>
        </w:tc>
      </w:tr>
      <w:tr w:rsidR="00265766" w:rsidRPr="009E686F" w14:paraId="55F43991" w14:textId="77777777" w:rsidTr="00960C23">
        <w:tc>
          <w:tcPr>
            <w:tcW w:w="1890" w:type="pct"/>
            <w:tcBorders>
              <w:top w:val="single" w:sz="4" w:space="0" w:color="auto"/>
              <w:left w:val="single" w:sz="4" w:space="0" w:color="auto"/>
              <w:bottom w:val="single" w:sz="4" w:space="0" w:color="auto"/>
              <w:right w:val="single" w:sz="4" w:space="0" w:color="auto"/>
            </w:tcBorders>
          </w:tcPr>
          <w:p w14:paraId="3E1A16CC" w14:textId="77777777"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Autoritățile competente ale statelor membre de origine și ale statelor membre gazdă și, în cazul în care se aplică articolul 112 alineatul (1), autoritatea responsabilă cu supravegherea consolidată depun toate eforturile posibile pentru a ajunge la o decizie comună cu privire la desemnarea unei sucursale ca fiind semnificativă.</w:t>
            </w:r>
          </w:p>
        </w:tc>
        <w:tc>
          <w:tcPr>
            <w:tcW w:w="1834" w:type="pct"/>
            <w:tcBorders>
              <w:top w:val="single" w:sz="4" w:space="0" w:color="auto"/>
              <w:left w:val="single" w:sz="4" w:space="0" w:color="auto"/>
              <w:bottom w:val="single" w:sz="4" w:space="0" w:color="auto"/>
              <w:right w:val="single" w:sz="4" w:space="0" w:color="auto"/>
            </w:tcBorders>
          </w:tcPr>
          <w:p w14:paraId="584CC7FA" w14:textId="50770168" w:rsidR="00265766" w:rsidRPr="009E686F" w:rsidRDefault="00265766" w:rsidP="00265766">
            <w:pPr>
              <w:spacing w:after="0"/>
              <w:jc w:val="both"/>
              <w:rPr>
                <w:rFonts w:ascii="Times New Roman" w:eastAsia="Aptos" w:hAnsi="Times New Roman" w:cs="Times New Roman"/>
                <w:b/>
                <w:bCs/>
                <w:kern w:val="2"/>
                <w:lang w:val="ro-MD"/>
              </w:rPr>
            </w:pPr>
            <w:r w:rsidRPr="009E686F">
              <w:rPr>
                <w:rFonts w:ascii="Times New Roman" w:eastAsia="Aptos" w:hAnsi="Times New Roman" w:cs="Times New Roman"/>
                <w:b/>
                <w:bCs/>
                <w:kern w:val="2"/>
                <w:lang w:val="ro-MD"/>
              </w:rPr>
              <w:t>Articolul 107</w:t>
            </w:r>
            <w:r w:rsidRPr="009E686F">
              <w:rPr>
                <w:rFonts w:ascii="Times New Roman" w:eastAsia="Aptos" w:hAnsi="Times New Roman" w:cs="Times New Roman"/>
                <w:b/>
                <w:bCs/>
                <w:kern w:val="2"/>
                <w:vertAlign w:val="superscript"/>
                <w:lang w:val="ro-MD"/>
              </w:rPr>
              <w:t>1</w:t>
            </w:r>
            <w:r w:rsidRPr="009E686F">
              <w:rPr>
                <w:rFonts w:ascii="Times New Roman" w:eastAsia="Aptos" w:hAnsi="Times New Roman" w:cs="Times New Roman"/>
                <w:b/>
                <w:bCs/>
                <w:kern w:val="2"/>
                <w:lang w:val="ro-MD"/>
              </w:rPr>
              <w:t xml:space="preserve"> </w:t>
            </w:r>
            <w:r w:rsidR="00FB5B73" w:rsidRPr="009E686F">
              <w:rPr>
                <w:rFonts w:ascii="Times New Roman" w:eastAsia="Aptos" w:hAnsi="Times New Roman" w:cs="Times New Roman"/>
                <w:b/>
                <w:bCs/>
                <w:kern w:val="2"/>
                <w:lang w:val="ro-MD"/>
              </w:rPr>
              <w:t>alin. (3)-(4)</w:t>
            </w:r>
          </w:p>
          <w:p w14:paraId="590892AA" w14:textId="45BF373D" w:rsidR="00265766" w:rsidRPr="009E686F" w:rsidRDefault="00265766" w:rsidP="00265766">
            <w:pPr>
              <w:spacing w:after="0"/>
              <w:jc w:val="both"/>
              <w:rPr>
                <w:rFonts w:ascii="Times New Roman" w:hAnsi="Times New Roman" w:cs="Times New Roman"/>
                <w:b/>
                <w:i/>
                <w:iCs/>
                <w:lang w:val="it-CH"/>
              </w:rPr>
            </w:pPr>
            <w:r w:rsidRPr="009E686F">
              <w:rPr>
                <w:rFonts w:ascii="Times New Roman" w:eastAsia="Aptos" w:hAnsi="Times New Roman" w:cs="Times New Roman"/>
                <w:i/>
                <w:iCs/>
                <w:kern w:val="2"/>
                <w:lang w:val="ro-MD"/>
              </w:rPr>
              <w:t>(</w:t>
            </w:r>
            <w:r w:rsidR="00FB5B73" w:rsidRPr="009E686F">
              <w:rPr>
                <w:rFonts w:ascii="Times New Roman" w:eastAsia="Aptos" w:hAnsi="Times New Roman" w:cs="Times New Roman"/>
                <w:i/>
                <w:iCs/>
                <w:kern w:val="2"/>
                <w:lang w:val="ro-MD"/>
              </w:rPr>
              <w:t>3</w:t>
            </w:r>
            <w:r w:rsidRPr="009E686F">
              <w:rPr>
                <w:rFonts w:ascii="Times New Roman" w:eastAsia="Aptos" w:hAnsi="Times New Roman" w:cs="Times New Roman"/>
                <w:i/>
                <w:iCs/>
                <w:kern w:val="2"/>
                <w:lang w:val="ro-MD"/>
              </w:rPr>
              <w:t xml:space="preserve">) Banca Națională a Moldovei, în calitate de autoritate competentă din statul membru gazdă, </w:t>
            </w:r>
            <w:bookmarkStart w:id="14" w:name="_Hlk228443001"/>
            <w:r w:rsidRPr="009E686F">
              <w:rPr>
                <w:rFonts w:ascii="Times New Roman" w:eastAsia="Aptos" w:hAnsi="Times New Roman" w:cs="Times New Roman"/>
                <w:i/>
                <w:iCs/>
                <w:kern w:val="2"/>
                <w:lang w:val="ro-MD"/>
              </w:rPr>
              <w:t xml:space="preserve">sau după caz, cu autoritatea competentă cu supravegherea consolidată  </w:t>
            </w:r>
            <w:bookmarkEnd w:id="14"/>
            <w:r w:rsidRPr="009E686F">
              <w:rPr>
                <w:rFonts w:ascii="Times New Roman" w:eastAsia="Aptos" w:hAnsi="Times New Roman" w:cs="Times New Roman"/>
                <w:i/>
                <w:iCs/>
                <w:kern w:val="2"/>
                <w:lang w:val="ro-MD"/>
              </w:rPr>
              <w:t>depune toate diligențele pentru a ajunge la o decizie comună cu autoritatea competentă din statul membru origine sau, după caz, cu autoritatea competentă cu supravegherea consolidată  în ceea ce privește o sucursală care se consideră a fi semnificativă conform alin. (</w:t>
            </w:r>
            <w:r w:rsidR="00FB5B73" w:rsidRPr="009E686F">
              <w:rPr>
                <w:rFonts w:ascii="Times New Roman" w:eastAsia="Aptos" w:hAnsi="Times New Roman" w:cs="Times New Roman"/>
                <w:i/>
                <w:iCs/>
                <w:kern w:val="2"/>
                <w:lang w:val="ro-MD"/>
              </w:rPr>
              <w:t>1</w:t>
            </w:r>
            <w:r w:rsidRPr="009E686F">
              <w:rPr>
                <w:rFonts w:ascii="Times New Roman" w:eastAsia="Aptos" w:hAnsi="Times New Roman" w:cs="Times New Roman"/>
                <w:i/>
                <w:iCs/>
                <w:kern w:val="2"/>
                <w:lang w:val="ro-MD"/>
              </w:rPr>
              <w:t>)-(</w:t>
            </w:r>
            <w:r w:rsidR="00FB5B73" w:rsidRPr="009E686F">
              <w:rPr>
                <w:rFonts w:ascii="Times New Roman" w:eastAsia="Aptos" w:hAnsi="Times New Roman" w:cs="Times New Roman"/>
                <w:i/>
                <w:iCs/>
                <w:kern w:val="2"/>
                <w:lang w:val="ro-MD"/>
              </w:rPr>
              <w:t>2</w:t>
            </w:r>
            <w:r w:rsidRPr="009E686F">
              <w:rPr>
                <w:rFonts w:ascii="Times New Roman" w:eastAsia="Aptos" w:hAnsi="Times New Roman" w:cs="Times New Roman"/>
                <w:i/>
                <w:iCs/>
                <w:kern w:val="2"/>
                <w:lang w:val="ro-MD"/>
              </w:rPr>
              <w:t>).</w:t>
            </w:r>
          </w:p>
        </w:tc>
        <w:tc>
          <w:tcPr>
            <w:tcW w:w="470" w:type="pct"/>
            <w:tcBorders>
              <w:top w:val="single" w:sz="4" w:space="0" w:color="auto"/>
              <w:left w:val="single" w:sz="4" w:space="0" w:color="auto"/>
              <w:bottom w:val="single" w:sz="4" w:space="0" w:color="auto"/>
              <w:right w:val="single" w:sz="4" w:space="0" w:color="auto"/>
            </w:tcBorders>
          </w:tcPr>
          <w:p w14:paraId="3E5AD146" w14:textId="77777777" w:rsidR="00265766" w:rsidRPr="009E686F" w:rsidRDefault="00265766" w:rsidP="00265766">
            <w:pPr>
              <w:jc w:val="both"/>
              <w:rPr>
                <w:rFonts w:ascii="Times New Roman" w:hAnsi="Times New Roman" w:cs="Times New Roman"/>
              </w:rPr>
            </w:pPr>
            <w:r w:rsidRPr="009E686F">
              <w:rPr>
                <w:rFonts w:ascii="Times New Roman" w:hAnsi="Times New Roman" w:cs="Times New Roman"/>
              </w:rPr>
              <w:t>Compatibil</w:t>
            </w:r>
          </w:p>
          <w:p w14:paraId="6DF3D5F2" w14:textId="24441F5C" w:rsidR="00265766" w:rsidRPr="009E686F" w:rsidRDefault="00265766" w:rsidP="00265766">
            <w:pPr>
              <w:jc w:val="both"/>
              <w:rPr>
                <w:rFonts w:ascii="Times New Roman" w:hAnsi="Times New Roman" w:cs="Times New Roman"/>
              </w:rPr>
            </w:pPr>
          </w:p>
        </w:tc>
        <w:tc>
          <w:tcPr>
            <w:tcW w:w="806" w:type="pct"/>
            <w:tcBorders>
              <w:top w:val="single" w:sz="4" w:space="0" w:color="auto"/>
              <w:left w:val="single" w:sz="4" w:space="0" w:color="auto"/>
              <w:bottom w:val="single" w:sz="4" w:space="0" w:color="auto"/>
              <w:right w:val="single" w:sz="4" w:space="0" w:color="auto"/>
            </w:tcBorders>
          </w:tcPr>
          <w:p w14:paraId="2C52B255" w14:textId="719C54EC" w:rsidR="00265766" w:rsidRPr="009E686F" w:rsidRDefault="00247A35" w:rsidP="00265766">
            <w:pPr>
              <w:spacing w:after="0"/>
              <w:jc w:val="both"/>
              <w:rPr>
                <w:rFonts w:ascii="Times New Roman" w:hAnsi="Times New Roman" w:cs="Times New Roman"/>
                <w:lang w:val="it-CH"/>
              </w:rPr>
            </w:pPr>
            <w:r w:rsidRPr="009E686F">
              <w:rPr>
                <w:rFonts w:ascii="Times New Roman" w:hAnsi="Times New Roman" w:cs="Times New Roman"/>
                <w:lang w:val="ro-MD"/>
              </w:rPr>
              <w:t>Modificările referitoare la activitatea sucursalelor instituțiilor de credit înființate în state membre – în vigoare în termen de 5 ani de la data aderării.</w:t>
            </w:r>
          </w:p>
        </w:tc>
      </w:tr>
      <w:tr w:rsidR="00265766" w:rsidRPr="009E686F" w14:paraId="6932E06F" w14:textId="77777777" w:rsidTr="00960C23">
        <w:tc>
          <w:tcPr>
            <w:tcW w:w="1890" w:type="pct"/>
            <w:tcBorders>
              <w:top w:val="single" w:sz="4" w:space="0" w:color="auto"/>
              <w:left w:val="single" w:sz="4" w:space="0" w:color="auto"/>
              <w:bottom w:val="single" w:sz="4" w:space="0" w:color="auto"/>
              <w:right w:val="single" w:sz="4" w:space="0" w:color="auto"/>
            </w:tcBorders>
          </w:tcPr>
          <w:p w14:paraId="4AB545B4" w14:textId="77777777"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În cazul în care nu se ajunge la o decizie comună în termen de două luni de la primirea unei cereri în temeiul primului paragraf, autoritățile competente din statul membru gazdă iau propria decizie în termen de alte două luni cu privire la desemnarea sucursalei ca fiind semnificativă.</w:t>
            </w:r>
          </w:p>
          <w:p w14:paraId="273FF444" w14:textId="77777777"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La luarea deciziei, autoritățile competente din statul membru gazdă iau în considerare orice opinii și rezerve ale autorității responsabile cu supravegherea consolidată sau ale autorităților competente din statul membru de origine.</w:t>
            </w:r>
          </w:p>
          <w:p w14:paraId="047648E9" w14:textId="5B8AA16E"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lastRenderedPageBreak/>
              <w:t>Deciziile menționate la al treilea și al patrulea paragraf se includ într-un document care cuprinde motivarea completă, se transmit autorităților competente în cauză și se consideră ca fiind determinante și aplicate de autoritățile competente din statele membre în cauză.</w:t>
            </w:r>
          </w:p>
        </w:tc>
        <w:tc>
          <w:tcPr>
            <w:tcW w:w="1834" w:type="pct"/>
            <w:tcBorders>
              <w:top w:val="single" w:sz="4" w:space="0" w:color="auto"/>
              <w:left w:val="single" w:sz="4" w:space="0" w:color="auto"/>
              <w:bottom w:val="single" w:sz="4" w:space="0" w:color="auto"/>
              <w:right w:val="single" w:sz="4" w:space="0" w:color="auto"/>
            </w:tcBorders>
          </w:tcPr>
          <w:p w14:paraId="48D7B57D" w14:textId="3A2C4CB8" w:rsidR="00265766" w:rsidRPr="009E686F" w:rsidRDefault="00265766" w:rsidP="00265766">
            <w:pPr>
              <w:spacing w:after="0"/>
              <w:jc w:val="both"/>
              <w:rPr>
                <w:rFonts w:ascii="Times New Roman" w:eastAsia="Aptos" w:hAnsi="Times New Roman" w:cs="Times New Roman"/>
                <w:b/>
                <w:bCs/>
                <w:kern w:val="2"/>
                <w:lang w:val="ro-MD"/>
              </w:rPr>
            </w:pPr>
            <w:r w:rsidRPr="009E686F">
              <w:rPr>
                <w:rFonts w:ascii="Times New Roman" w:eastAsia="Aptos" w:hAnsi="Times New Roman" w:cs="Times New Roman"/>
                <w:i/>
                <w:iCs/>
                <w:kern w:val="2"/>
                <w:lang w:val="ro-MD"/>
              </w:rPr>
              <w:lastRenderedPageBreak/>
              <w:t>(</w:t>
            </w:r>
            <w:r w:rsidR="00FB5B73" w:rsidRPr="009E686F">
              <w:rPr>
                <w:rFonts w:ascii="Times New Roman" w:eastAsia="Aptos" w:hAnsi="Times New Roman" w:cs="Times New Roman"/>
                <w:i/>
                <w:iCs/>
                <w:kern w:val="2"/>
                <w:lang w:val="ro-MD"/>
              </w:rPr>
              <w:t>4</w:t>
            </w:r>
            <w:r w:rsidRPr="009E686F">
              <w:rPr>
                <w:rFonts w:ascii="Times New Roman" w:eastAsia="Aptos" w:hAnsi="Times New Roman" w:cs="Times New Roman"/>
                <w:i/>
                <w:iCs/>
                <w:kern w:val="2"/>
                <w:lang w:val="ro-MD"/>
              </w:rPr>
              <w:t>) În cazul în care nu se ajunge la decizia comună prevăzută la alin. (</w:t>
            </w:r>
            <w:r w:rsidR="00FB5B73" w:rsidRPr="009E686F">
              <w:rPr>
                <w:rFonts w:ascii="Times New Roman" w:eastAsia="Aptos" w:hAnsi="Times New Roman" w:cs="Times New Roman"/>
                <w:i/>
                <w:iCs/>
                <w:kern w:val="2"/>
                <w:lang w:val="ro-MD"/>
              </w:rPr>
              <w:t>3</w:t>
            </w:r>
            <w:r w:rsidRPr="009E686F">
              <w:rPr>
                <w:rFonts w:ascii="Times New Roman" w:eastAsia="Aptos" w:hAnsi="Times New Roman" w:cs="Times New Roman"/>
                <w:i/>
                <w:iCs/>
                <w:kern w:val="2"/>
                <w:lang w:val="ro-MD"/>
              </w:rPr>
              <w:t>) în termen de 2 luni de la solicitarea prevăzută de la alin. (</w:t>
            </w:r>
            <w:r w:rsidR="00FB5B73" w:rsidRPr="009E686F">
              <w:rPr>
                <w:rFonts w:ascii="Times New Roman" w:eastAsia="Aptos" w:hAnsi="Times New Roman" w:cs="Times New Roman"/>
                <w:i/>
                <w:iCs/>
                <w:kern w:val="2"/>
                <w:lang w:val="ro-MD"/>
              </w:rPr>
              <w:t>10</w:t>
            </w:r>
            <w:r w:rsidRPr="009E686F">
              <w:rPr>
                <w:rFonts w:ascii="Times New Roman" w:eastAsia="Aptos" w:hAnsi="Times New Roman" w:cs="Times New Roman"/>
                <w:i/>
                <w:iCs/>
                <w:kern w:val="2"/>
                <w:lang w:val="ro-MD"/>
              </w:rPr>
              <w:t xml:space="preserve">), Banca Națională a Moldovei ia propria decizie în termen de alte 2 luni cu privire la desemnarea sucursalei ca fiind semnificativă, cu luarea în considerare a oricăror opinii și rezerve ale autorității competente din statul membru de origine sau, după caz, ale autorității responsabile cu supravegherea consolidată. Decizia Băncii Naționale a Moldovei trebuie să indice motivele care au stat la baza </w:t>
            </w:r>
            <w:r w:rsidRPr="009E686F">
              <w:rPr>
                <w:rFonts w:ascii="Times New Roman" w:eastAsia="Aptos" w:hAnsi="Times New Roman" w:cs="Times New Roman"/>
                <w:i/>
                <w:iCs/>
                <w:kern w:val="2"/>
                <w:lang w:val="ro-MD"/>
              </w:rPr>
              <w:lastRenderedPageBreak/>
              <w:t>acesteia, este definitivă de la data emiterii şi opozabilă autorității competente din statul de origine</w:t>
            </w:r>
          </w:p>
        </w:tc>
        <w:tc>
          <w:tcPr>
            <w:tcW w:w="470" w:type="pct"/>
            <w:tcBorders>
              <w:top w:val="single" w:sz="4" w:space="0" w:color="auto"/>
              <w:left w:val="single" w:sz="4" w:space="0" w:color="auto"/>
              <w:bottom w:val="single" w:sz="4" w:space="0" w:color="auto"/>
              <w:right w:val="single" w:sz="4" w:space="0" w:color="auto"/>
            </w:tcBorders>
          </w:tcPr>
          <w:p w14:paraId="70264108" w14:textId="77777777" w:rsidR="00265766" w:rsidRPr="009E686F" w:rsidRDefault="00265766" w:rsidP="00265766">
            <w:pPr>
              <w:jc w:val="both"/>
              <w:rPr>
                <w:rFonts w:ascii="Times New Roman" w:hAnsi="Times New Roman" w:cs="Times New Roman"/>
              </w:rPr>
            </w:pPr>
            <w:r w:rsidRPr="009E686F">
              <w:rPr>
                <w:rFonts w:ascii="Times New Roman" w:hAnsi="Times New Roman" w:cs="Times New Roman"/>
              </w:rPr>
              <w:lastRenderedPageBreak/>
              <w:t>Compatibil</w:t>
            </w:r>
          </w:p>
          <w:p w14:paraId="165A58A4" w14:textId="77777777" w:rsidR="00265766" w:rsidRPr="009E686F" w:rsidRDefault="00265766" w:rsidP="00265766">
            <w:pPr>
              <w:jc w:val="both"/>
              <w:rPr>
                <w:rFonts w:ascii="Times New Roman" w:hAnsi="Times New Roman" w:cs="Times New Roman"/>
                <w:lang w:val="ro-MD"/>
              </w:rPr>
            </w:pPr>
          </w:p>
        </w:tc>
        <w:tc>
          <w:tcPr>
            <w:tcW w:w="806" w:type="pct"/>
            <w:tcBorders>
              <w:top w:val="single" w:sz="4" w:space="0" w:color="auto"/>
              <w:left w:val="single" w:sz="4" w:space="0" w:color="auto"/>
              <w:bottom w:val="single" w:sz="4" w:space="0" w:color="auto"/>
              <w:right w:val="single" w:sz="4" w:space="0" w:color="auto"/>
            </w:tcBorders>
          </w:tcPr>
          <w:p w14:paraId="230746C6" w14:textId="00D9C012" w:rsidR="00265766" w:rsidRPr="009E686F" w:rsidRDefault="00247A35" w:rsidP="00265766">
            <w:pPr>
              <w:spacing w:after="0"/>
              <w:jc w:val="both"/>
              <w:rPr>
                <w:rFonts w:ascii="Times New Roman" w:hAnsi="Times New Roman" w:cs="Times New Roman"/>
                <w:lang w:val="ro-MD"/>
              </w:rPr>
            </w:pPr>
            <w:r w:rsidRPr="009E686F">
              <w:rPr>
                <w:rFonts w:ascii="Times New Roman" w:hAnsi="Times New Roman" w:cs="Times New Roman"/>
                <w:lang w:val="ro-MD"/>
              </w:rPr>
              <w:t>Modificările referitoare la activitatea sucursalelor instituțiilor de credit înființate în state membre – în vigoare în termen de 5 ani de la data aderării.</w:t>
            </w:r>
          </w:p>
        </w:tc>
      </w:tr>
      <w:tr w:rsidR="00265766" w:rsidRPr="009E686F" w14:paraId="159A7F3B" w14:textId="77777777" w:rsidTr="00960C23">
        <w:tc>
          <w:tcPr>
            <w:tcW w:w="1890" w:type="pct"/>
            <w:tcBorders>
              <w:top w:val="single" w:sz="4" w:space="0" w:color="auto"/>
              <w:left w:val="single" w:sz="4" w:space="0" w:color="auto"/>
              <w:bottom w:val="single" w:sz="4" w:space="0" w:color="auto"/>
              <w:right w:val="single" w:sz="4" w:space="0" w:color="auto"/>
            </w:tcBorders>
          </w:tcPr>
          <w:p w14:paraId="394CE8C0" w14:textId="77777777"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Desemnarea unei sucursale drept semnificativă nu aduce atingere drepturilor și responsabilităților autorităților competente prevăzute în prezenta directivă.</w:t>
            </w:r>
          </w:p>
        </w:tc>
        <w:tc>
          <w:tcPr>
            <w:tcW w:w="1834" w:type="pct"/>
            <w:tcBorders>
              <w:top w:val="single" w:sz="4" w:space="0" w:color="auto"/>
              <w:left w:val="single" w:sz="4" w:space="0" w:color="auto"/>
              <w:bottom w:val="single" w:sz="4" w:space="0" w:color="auto"/>
              <w:right w:val="single" w:sz="4" w:space="0" w:color="auto"/>
            </w:tcBorders>
          </w:tcPr>
          <w:p w14:paraId="03D6D9E9" w14:textId="5087F354" w:rsidR="00265766" w:rsidRPr="009E686F" w:rsidRDefault="00265766" w:rsidP="00265766">
            <w:pPr>
              <w:spacing w:after="0"/>
              <w:jc w:val="both"/>
              <w:rPr>
                <w:rFonts w:ascii="Times New Roman" w:hAnsi="Times New Roman" w:cs="Times New Roman"/>
                <w:b/>
                <w:i/>
                <w:iCs/>
                <w:lang w:val="it-CH"/>
              </w:rPr>
            </w:pPr>
            <w:r w:rsidRPr="009E686F">
              <w:rPr>
                <w:rFonts w:ascii="Times New Roman" w:eastAsia="Aptos" w:hAnsi="Times New Roman" w:cs="Times New Roman"/>
                <w:i/>
                <w:iCs/>
                <w:kern w:val="2"/>
                <w:lang w:val="ro-MD"/>
              </w:rPr>
              <w:t>(</w:t>
            </w:r>
            <w:r w:rsidR="00FB5B73" w:rsidRPr="009E686F">
              <w:rPr>
                <w:rFonts w:ascii="Times New Roman" w:eastAsia="Aptos" w:hAnsi="Times New Roman" w:cs="Times New Roman"/>
                <w:i/>
                <w:iCs/>
                <w:kern w:val="2"/>
                <w:lang w:val="ro-MD"/>
              </w:rPr>
              <w:t>5</w:t>
            </w:r>
            <w:r w:rsidRPr="009E686F">
              <w:rPr>
                <w:rFonts w:ascii="Times New Roman" w:eastAsia="Aptos" w:hAnsi="Times New Roman" w:cs="Times New Roman"/>
                <w:i/>
                <w:iCs/>
                <w:kern w:val="2"/>
                <w:lang w:val="ro-MD"/>
              </w:rPr>
              <w:t>) Desemnarea unei sucursale ca fiind semnificativă nu aduce atingere drepturilor şi responsabilităţilor autorităţilor competente prevăzute de prezenta lege și actele normative ale Băncii Naționale a Moldovei.</w:t>
            </w:r>
          </w:p>
        </w:tc>
        <w:tc>
          <w:tcPr>
            <w:tcW w:w="470" w:type="pct"/>
            <w:tcBorders>
              <w:top w:val="single" w:sz="4" w:space="0" w:color="auto"/>
              <w:left w:val="single" w:sz="4" w:space="0" w:color="auto"/>
              <w:bottom w:val="single" w:sz="4" w:space="0" w:color="auto"/>
              <w:right w:val="single" w:sz="4" w:space="0" w:color="auto"/>
            </w:tcBorders>
          </w:tcPr>
          <w:p w14:paraId="2382688C" w14:textId="77777777" w:rsidR="00265766" w:rsidRPr="009E686F" w:rsidRDefault="00265766" w:rsidP="00265766">
            <w:pPr>
              <w:jc w:val="both"/>
              <w:rPr>
                <w:rFonts w:ascii="Times New Roman" w:hAnsi="Times New Roman" w:cs="Times New Roman"/>
              </w:rPr>
            </w:pPr>
            <w:r w:rsidRPr="009E686F">
              <w:rPr>
                <w:rFonts w:ascii="Times New Roman" w:hAnsi="Times New Roman" w:cs="Times New Roman"/>
              </w:rPr>
              <w:t>Compatibil</w:t>
            </w:r>
          </w:p>
          <w:p w14:paraId="32AD94DB" w14:textId="67780C6C" w:rsidR="00265766" w:rsidRPr="009E686F" w:rsidRDefault="00265766" w:rsidP="00265766">
            <w:pPr>
              <w:jc w:val="both"/>
              <w:rPr>
                <w:rFonts w:ascii="Times New Roman" w:hAnsi="Times New Roman" w:cs="Times New Roman"/>
              </w:rPr>
            </w:pPr>
          </w:p>
        </w:tc>
        <w:tc>
          <w:tcPr>
            <w:tcW w:w="806" w:type="pct"/>
            <w:tcBorders>
              <w:top w:val="single" w:sz="4" w:space="0" w:color="auto"/>
              <w:left w:val="single" w:sz="4" w:space="0" w:color="auto"/>
              <w:bottom w:val="single" w:sz="4" w:space="0" w:color="auto"/>
              <w:right w:val="single" w:sz="4" w:space="0" w:color="auto"/>
            </w:tcBorders>
          </w:tcPr>
          <w:p w14:paraId="511ECC15" w14:textId="15C0A744" w:rsidR="00265766" w:rsidRPr="009E686F" w:rsidRDefault="00247A35" w:rsidP="00265766">
            <w:pPr>
              <w:spacing w:after="0"/>
              <w:jc w:val="both"/>
              <w:rPr>
                <w:rFonts w:ascii="Times New Roman" w:hAnsi="Times New Roman" w:cs="Times New Roman"/>
                <w:lang w:val="it-CH"/>
              </w:rPr>
            </w:pPr>
            <w:r w:rsidRPr="009E686F">
              <w:rPr>
                <w:rFonts w:ascii="Times New Roman" w:hAnsi="Times New Roman" w:cs="Times New Roman"/>
                <w:lang w:val="ro-MD"/>
              </w:rPr>
              <w:t>Modificările referitoare la activitatea sucursalelor instituțiilor de credit înființate în state membre – în vigoare în termen de 5 ani de la data aderării.</w:t>
            </w:r>
          </w:p>
        </w:tc>
      </w:tr>
      <w:tr w:rsidR="00265766" w:rsidRPr="009E686F" w14:paraId="6F03D89B" w14:textId="77777777" w:rsidTr="00960C23">
        <w:tc>
          <w:tcPr>
            <w:tcW w:w="1890" w:type="pct"/>
            <w:tcBorders>
              <w:top w:val="single" w:sz="4" w:space="0" w:color="auto"/>
              <w:left w:val="single" w:sz="4" w:space="0" w:color="auto"/>
              <w:bottom w:val="single" w:sz="4" w:space="0" w:color="auto"/>
              <w:right w:val="single" w:sz="4" w:space="0" w:color="auto"/>
            </w:tcBorders>
          </w:tcPr>
          <w:p w14:paraId="6BEB912D" w14:textId="0CCF4B09"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(2) Autoritățile competente din statul membru de origine comunică autorităților competente dintr-un stat membru gazdă în care este stabilită o sucursală semnificativă informațiile menționate la articolul 117 alineatul (1) literele (c) și (d) și îndeplinesc sarcinile menționate la articolul 112 alineatul (1) litera (c) în cooperare cu autoritățile competente din statul membru gazdă.</w:t>
            </w:r>
          </w:p>
        </w:tc>
        <w:tc>
          <w:tcPr>
            <w:tcW w:w="1834" w:type="pct"/>
            <w:tcBorders>
              <w:top w:val="single" w:sz="4" w:space="0" w:color="auto"/>
              <w:left w:val="single" w:sz="4" w:space="0" w:color="auto"/>
              <w:bottom w:val="single" w:sz="4" w:space="0" w:color="auto"/>
              <w:right w:val="single" w:sz="4" w:space="0" w:color="auto"/>
            </w:tcBorders>
          </w:tcPr>
          <w:p w14:paraId="31EEAFB7" w14:textId="0A8EB81C" w:rsidR="00265766" w:rsidRPr="009E686F" w:rsidRDefault="00265766" w:rsidP="00265766">
            <w:pPr>
              <w:spacing w:after="0"/>
              <w:jc w:val="both"/>
              <w:rPr>
                <w:rFonts w:ascii="Times New Roman" w:hAnsi="Times New Roman" w:cs="Times New Roman"/>
                <w:b/>
                <w:i/>
                <w:iCs/>
                <w:lang w:val="it-IT"/>
              </w:rPr>
            </w:pPr>
            <w:r w:rsidRPr="009E686F">
              <w:rPr>
                <w:rFonts w:ascii="Times New Roman" w:eastAsia="Aptos" w:hAnsi="Times New Roman" w:cs="Times New Roman"/>
                <w:i/>
                <w:iCs/>
                <w:kern w:val="2"/>
                <w:lang w:val="ro-MD"/>
              </w:rPr>
              <w:t>(</w:t>
            </w:r>
            <w:r w:rsidR="00FB5B73" w:rsidRPr="009E686F">
              <w:rPr>
                <w:rFonts w:ascii="Times New Roman" w:eastAsia="Aptos" w:hAnsi="Times New Roman" w:cs="Times New Roman"/>
                <w:i/>
                <w:iCs/>
                <w:kern w:val="2"/>
                <w:lang w:val="ro-MD"/>
              </w:rPr>
              <w:t>6</w:t>
            </w:r>
            <w:r w:rsidRPr="009E686F">
              <w:rPr>
                <w:rFonts w:ascii="Times New Roman" w:eastAsia="Aptos" w:hAnsi="Times New Roman" w:cs="Times New Roman"/>
                <w:i/>
                <w:iCs/>
                <w:kern w:val="2"/>
                <w:lang w:val="ro-MD"/>
              </w:rPr>
              <w:t xml:space="preserve">) Banca Națională a Moldovei, în calitate de autoritate competentă din statul membru de origine, comunică autorităților din statul membru gazdă în care instituția de credit, persoană juridică din Republica Moldova, are o sucursală semnificativă, informațiile prevăzute la art. 113 alin. (3) lit. c)-d) și îndeplinește atribuțiile prevăzute la art. 110 </w:t>
            </w:r>
            <w:r w:rsidR="00FB5B73" w:rsidRPr="009E686F">
              <w:rPr>
                <w:rFonts w:ascii="Times New Roman" w:eastAsia="Aptos" w:hAnsi="Times New Roman" w:cs="Times New Roman"/>
                <w:i/>
                <w:iCs/>
                <w:kern w:val="2"/>
                <w:lang w:val="ro-MD"/>
              </w:rPr>
              <w:t xml:space="preserve">alin. (1) </w:t>
            </w:r>
            <w:r w:rsidRPr="009E686F">
              <w:rPr>
                <w:rFonts w:ascii="Times New Roman" w:eastAsia="Aptos" w:hAnsi="Times New Roman" w:cs="Times New Roman"/>
                <w:i/>
                <w:iCs/>
                <w:kern w:val="2"/>
                <w:lang w:val="ro-MD"/>
              </w:rPr>
              <w:t>lit. c) în cooperare  cu autoritățile competente din statul membru gazdă.</w:t>
            </w:r>
          </w:p>
        </w:tc>
        <w:tc>
          <w:tcPr>
            <w:tcW w:w="470" w:type="pct"/>
            <w:tcBorders>
              <w:top w:val="single" w:sz="4" w:space="0" w:color="auto"/>
              <w:left w:val="single" w:sz="4" w:space="0" w:color="auto"/>
              <w:bottom w:val="single" w:sz="4" w:space="0" w:color="auto"/>
              <w:right w:val="single" w:sz="4" w:space="0" w:color="auto"/>
            </w:tcBorders>
          </w:tcPr>
          <w:p w14:paraId="5C98FB5E" w14:textId="77777777" w:rsidR="00265766" w:rsidRPr="009E686F" w:rsidRDefault="00265766" w:rsidP="00265766">
            <w:pPr>
              <w:jc w:val="both"/>
              <w:rPr>
                <w:rFonts w:ascii="Times New Roman" w:hAnsi="Times New Roman" w:cs="Times New Roman"/>
              </w:rPr>
            </w:pPr>
            <w:r w:rsidRPr="009E686F">
              <w:rPr>
                <w:rFonts w:ascii="Times New Roman" w:hAnsi="Times New Roman" w:cs="Times New Roman"/>
              </w:rPr>
              <w:t>Compatibil</w:t>
            </w:r>
          </w:p>
          <w:p w14:paraId="1FAAE1D5" w14:textId="0E2BAF1F" w:rsidR="00265766" w:rsidRPr="009E686F" w:rsidRDefault="00265766" w:rsidP="00265766">
            <w:pPr>
              <w:jc w:val="both"/>
              <w:rPr>
                <w:rFonts w:ascii="Times New Roman" w:hAnsi="Times New Roman" w:cs="Times New Roman"/>
              </w:rPr>
            </w:pPr>
          </w:p>
        </w:tc>
        <w:tc>
          <w:tcPr>
            <w:tcW w:w="806" w:type="pct"/>
            <w:tcBorders>
              <w:top w:val="single" w:sz="4" w:space="0" w:color="auto"/>
              <w:left w:val="single" w:sz="4" w:space="0" w:color="auto"/>
              <w:bottom w:val="single" w:sz="4" w:space="0" w:color="auto"/>
              <w:right w:val="single" w:sz="4" w:space="0" w:color="auto"/>
            </w:tcBorders>
          </w:tcPr>
          <w:p w14:paraId="71649E55" w14:textId="03A81EBF" w:rsidR="00265766" w:rsidRPr="009E686F" w:rsidRDefault="00247A35" w:rsidP="00265766">
            <w:pPr>
              <w:spacing w:after="0"/>
              <w:jc w:val="both"/>
              <w:rPr>
                <w:rFonts w:ascii="Times New Roman" w:hAnsi="Times New Roman" w:cs="Times New Roman"/>
                <w:lang w:val="it-CH"/>
              </w:rPr>
            </w:pPr>
            <w:r w:rsidRPr="009E686F">
              <w:rPr>
                <w:rFonts w:ascii="Times New Roman" w:hAnsi="Times New Roman" w:cs="Times New Roman"/>
                <w:lang w:val="ro-MD"/>
              </w:rPr>
              <w:t>Modificările referitoare la activitatea sucursalelor instituțiilor de credit înființate în state membre – în vigoare în termen de 5 ani de la data aderării.</w:t>
            </w:r>
          </w:p>
        </w:tc>
      </w:tr>
      <w:tr w:rsidR="00265766" w:rsidRPr="009E686F" w14:paraId="597A02D2" w14:textId="77777777" w:rsidTr="00960C23">
        <w:tc>
          <w:tcPr>
            <w:tcW w:w="1890" w:type="pct"/>
            <w:tcBorders>
              <w:top w:val="single" w:sz="4" w:space="0" w:color="auto"/>
              <w:left w:val="single" w:sz="4" w:space="0" w:color="auto"/>
              <w:bottom w:val="single" w:sz="4" w:space="0" w:color="auto"/>
              <w:right w:val="single" w:sz="4" w:space="0" w:color="auto"/>
            </w:tcBorders>
          </w:tcPr>
          <w:p w14:paraId="7EFACD93" w14:textId="77777777"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În cazul în care o autoritate competentă dintr-un stat membru de origine constată prezența unei situații de urgență, astfel cum se menționează la articolul 114 alineatul (1), aceasta alertează fără întârziere autoritățile menționate la articolul 58 alineatul (4) și la articolul 59 alineatul (1).</w:t>
            </w:r>
          </w:p>
        </w:tc>
        <w:tc>
          <w:tcPr>
            <w:tcW w:w="1834" w:type="pct"/>
            <w:tcBorders>
              <w:top w:val="single" w:sz="4" w:space="0" w:color="auto"/>
              <w:left w:val="single" w:sz="4" w:space="0" w:color="auto"/>
              <w:bottom w:val="single" w:sz="4" w:space="0" w:color="auto"/>
              <w:right w:val="single" w:sz="4" w:space="0" w:color="auto"/>
            </w:tcBorders>
          </w:tcPr>
          <w:p w14:paraId="77E6C621" w14:textId="5FE5D53A" w:rsidR="00265766" w:rsidRPr="009E686F" w:rsidRDefault="00265766" w:rsidP="00265766">
            <w:pPr>
              <w:spacing w:after="0"/>
              <w:jc w:val="both"/>
              <w:rPr>
                <w:rFonts w:ascii="Times New Roman" w:hAnsi="Times New Roman" w:cs="Times New Roman"/>
                <w:b/>
                <w:i/>
                <w:iCs/>
                <w:lang w:val="it-CH"/>
              </w:rPr>
            </w:pPr>
            <w:r w:rsidRPr="009E686F">
              <w:rPr>
                <w:rFonts w:ascii="Times New Roman" w:eastAsia="Aptos" w:hAnsi="Times New Roman" w:cs="Times New Roman"/>
                <w:i/>
                <w:iCs/>
                <w:kern w:val="2"/>
                <w:lang w:val="ro-MD"/>
              </w:rPr>
              <w:t>(</w:t>
            </w:r>
            <w:r w:rsidR="00FB5B73" w:rsidRPr="009E686F">
              <w:rPr>
                <w:rFonts w:ascii="Times New Roman" w:eastAsia="Aptos" w:hAnsi="Times New Roman" w:cs="Times New Roman"/>
                <w:i/>
                <w:iCs/>
                <w:kern w:val="2"/>
                <w:lang w:val="ro-MD"/>
              </w:rPr>
              <w:t>7</w:t>
            </w:r>
            <w:r w:rsidRPr="009E686F">
              <w:rPr>
                <w:rFonts w:ascii="Times New Roman" w:eastAsia="Aptos" w:hAnsi="Times New Roman" w:cs="Times New Roman"/>
                <w:i/>
                <w:iCs/>
                <w:kern w:val="2"/>
                <w:lang w:val="ro-MD"/>
              </w:rPr>
              <w:t xml:space="preserve">) </w:t>
            </w:r>
            <w:r w:rsidRPr="009E686F">
              <w:rPr>
                <w:rFonts w:ascii="Times New Roman" w:eastAsia="Aptos" w:hAnsi="Times New Roman" w:cs="Times New Roman"/>
                <w:i/>
                <w:iCs/>
                <w:kern w:val="2"/>
                <w:lang w:val="ro-RO"/>
              </w:rPr>
              <w:t>Banca Națională a Moldovei</w:t>
            </w:r>
            <w:bookmarkStart w:id="15" w:name="_Hlk228015867"/>
            <w:r w:rsidRPr="009E686F">
              <w:rPr>
                <w:rFonts w:ascii="Times New Roman" w:eastAsia="Aptos" w:hAnsi="Times New Roman" w:cs="Times New Roman"/>
                <w:i/>
                <w:iCs/>
                <w:kern w:val="2"/>
                <w:lang w:val="ro-RO"/>
              </w:rPr>
              <w:t>, în calitate de autoritate competentă din statul membru de origine,</w:t>
            </w:r>
            <w:bookmarkEnd w:id="15"/>
            <w:r w:rsidRPr="009E686F">
              <w:rPr>
                <w:rFonts w:ascii="Times New Roman" w:eastAsia="Aptos" w:hAnsi="Times New Roman" w:cs="Times New Roman"/>
                <w:i/>
                <w:iCs/>
                <w:kern w:val="2"/>
                <w:lang w:val="ro-RO"/>
              </w:rPr>
              <w:t xml:space="preserve"> avertizează, cât mai curând posibil, autoritățile competente </w:t>
            </w:r>
            <w:r w:rsidRPr="009E686F">
              <w:rPr>
                <w:rFonts w:ascii="Times New Roman" w:eastAsia="Aptos" w:hAnsi="Times New Roman" w:cs="Times New Roman"/>
                <w:i/>
                <w:iCs/>
                <w:kern w:val="2"/>
                <w:lang w:val="ro-MD"/>
              </w:rPr>
              <w:t xml:space="preserve">cu exercitarea supravegherii pe bază consolidată a instituțiilor de credit şi Autoritatea Bancară Europeană, </w:t>
            </w:r>
            <w:r w:rsidRPr="009E686F">
              <w:rPr>
                <w:rFonts w:ascii="Times New Roman" w:eastAsia="Aptos" w:hAnsi="Times New Roman" w:cs="Times New Roman"/>
                <w:i/>
                <w:iCs/>
                <w:kern w:val="2"/>
                <w:lang w:val="ro-RO"/>
              </w:rPr>
              <w:t>în cazul în care constată prezența unei situații de urgență descrise la art. 110 alin. (</w:t>
            </w:r>
            <w:r w:rsidR="00FB5B73" w:rsidRPr="009E686F">
              <w:rPr>
                <w:rFonts w:ascii="Times New Roman" w:eastAsia="Aptos" w:hAnsi="Times New Roman" w:cs="Times New Roman"/>
                <w:i/>
                <w:iCs/>
                <w:kern w:val="2"/>
                <w:lang w:val="ro-RO"/>
              </w:rPr>
              <w:t>4</w:t>
            </w:r>
            <w:r w:rsidRPr="009E686F">
              <w:rPr>
                <w:rFonts w:ascii="Times New Roman" w:eastAsia="Aptos" w:hAnsi="Times New Roman" w:cs="Times New Roman"/>
                <w:i/>
                <w:iCs/>
                <w:kern w:val="2"/>
                <w:lang w:val="ro-RO"/>
              </w:rPr>
              <w:t>).</w:t>
            </w:r>
          </w:p>
        </w:tc>
        <w:tc>
          <w:tcPr>
            <w:tcW w:w="470" w:type="pct"/>
            <w:tcBorders>
              <w:top w:val="single" w:sz="4" w:space="0" w:color="auto"/>
              <w:left w:val="single" w:sz="4" w:space="0" w:color="auto"/>
              <w:bottom w:val="single" w:sz="4" w:space="0" w:color="auto"/>
              <w:right w:val="single" w:sz="4" w:space="0" w:color="auto"/>
            </w:tcBorders>
          </w:tcPr>
          <w:p w14:paraId="74A3DED6" w14:textId="77777777" w:rsidR="00265766" w:rsidRPr="009E686F" w:rsidRDefault="00265766" w:rsidP="00265766">
            <w:pPr>
              <w:jc w:val="both"/>
              <w:rPr>
                <w:rFonts w:ascii="Times New Roman" w:hAnsi="Times New Roman" w:cs="Times New Roman"/>
              </w:rPr>
            </w:pPr>
            <w:r w:rsidRPr="009E686F">
              <w:rPr>
                <w:rFonts w:ascii="Times New Roman" w:hAnsi="Times New Roman" w:cs="Times New Roman"/>
              </w:rPr>
              <w:t>Compatibil</w:t>
            </w:r>
          </w:p>
          <w:p w14:paraId="7EB9EB3E" w14:textId="7DCE1333" w:rsidR="00265766" w:rsidRPr="009E686F" w:rsidRDefault="00265766" w:rsidP="00265766">
            <w:pPr>
              <w:jc w:val="both"/>
              <w:rPr>
                <w:rFonts w:ascii="Times New Roman" w:hAnsi="Times New Roman" w:cs="Times New Roman"/>
              </w:rPr>
            </w:pPr>
          </w:p>
        </w:tc>
        <w:tc>
          <w:tcPr>
            <w:tcW w:w="806" w:type="pct"/>
            <w:tcBorders>
              <w:top w:val="single" w:sz="4" w:space="0" w:color="auto"/>
              <w:left w:val="single" w:sz="4" w:space="0" w:color="auto"/>
              <w:bottom w:val="single" w:sz="4" w:space="0" w:color="auto"/>
              <w:right w:val="single" w:sz="4" w:space="0" w:color="auto"/>
            </w:tcBorders>
          </w:tcPr>
          <w:p w14:paraId="766E81C6" w14:textId="5CE55109" w:rsidR="00265766" w:rsidRPr="009E686F" w:rsidRDefault="00247A35" w:rsidP="00265766">
            <w:pPr>
              <w:spacing w:after="0"/>
              <w:jc w:val="both"/>
              <w:rPr>
                <w:rFonts w:ascii="Times New Roman" w:hAnsi="Times New Roman" w:cs="Times New Roman"/>
                <w:lang w:val="it-CH"/>
              </w:rPr>
            </w:pPr>
            <w:r w:rsidRPr="009E686F">
              <w:rPr>
                <w:rFonts w:ascii="Times New Roman" w:hAnsi="Times New Roman" w:cs="Times New Roman"/>
                <w:lang w:val="ro-MD"/>
              </w:rPr>
              <w:t>Modificările referitoare la activitatea sucursalelor instituțiilor de credit înființate în state membre – în vigoare în termen de 5 ani de la data aderării.</w:t>
            </w:r>
          </w:p>
        </w:tc>
      </w:tr>
      <w:tr w:rsidR="00265766" w:rsidRPr="009E686F" w14:paraId="0582D391" w14:textId="77777777" w:rsidTr="00960C23">
        <w:tc>
          <w:tcPr>
            <w:tcW w:w="1890" w:type="pct"/>
            <w:tcBorders>
              <w:top w:val="single" w:sz="4" w:space="0" w:color="auto"/>
              <w:left w:val="single" w:sz="4" w:space="0" w:color="auto"/>
              <w:bottom w:val="single" w:sz="4" w:space="0" w:color="auto"/>
              <w:right w:val="single" w:sz="4" w:space="0" w:color="auto"/>
            </w:tcBorders>
          </w:tcPr>
          <w:p w14:paraId="63FB78DC" w14:textId="77777777"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 xml:space="preserve">Autoritățile competente din statul membru de origine comunică autorităților competente din statul membru gazdă în care sunt situate sucursale semnificative rezultatele evaluărilor riscurilor vizând instituțiile cu astfel de sucursale, menționate la articolul 97, și, după caz, articolul 113 alineatul (2). Acestea comunică, de asemenea, deciziile adoptate în temeiul </w:t>
            </w:r>
            <w:r w:rsidRPr="009E686F">
              <w:rPr>
                <w:rFonts w:ascii="Times New Roman" w:hAnsi="Times New Roman" w:cs="Times New Roman"/>
                <w:lang w:val="it-CH"/>
              </w:rPr>
              <w:lastRenderedPageBreak/>
              <w:t>articolelor 104 și 105 în măsura în care aceste evaluări și decizii sunt relevante pentru sucursalele în cauză.</w:t>
            </w:r>
          </w:p>
        </w:tc>
        <w:tc>
          <w:tcPr>
            <w:tcW w:w="1834" w:type="pct"/>
            <w:tcBorders>
              <w:top w:val="single" w:sz="4" w:space="0" w:color="auto"/>
              <w:left w:val="single" w:sz="4" w:space="0" w:color="auto"/>
              <w:bottom w:val="single" w:sz="4" w:space="0" w:color="auto"/>
              <w:right w:val="single" w:sz="4" w:space="0" w:color="auto"/>
            </w:tcBorders>
          </w:tcPr>
          <w:p w14:paraId="7C3F3D12" w14:textId="00FB2552" w:rsidR="00265766" w:rsidRPr="009E686F" w:rsidRDefault="00265766" w:rsidP="00265766">
            <w:pPr>
              <w:spacing w:after="0"/>
              <w:jc w:val="both"/>
              <w:rPr>
                <w:rFonts w:ascii="Times New Roman" w:hAnsi="Times New Roman" w:cs="Times New Roman"/>
                <w:b/>
                <w:i/>
                <w:lang w:val="it-CH"/>
              </w:rPr>
            </w:pPr>
            <w:r w:rsidRPr="009E686F">
              <w:rPr>
                <w:rFonts w:ascii="Times New Roman" w:eastAsia="Aptos" w:hAnsi="Times New Roman" w:cs="Times New Roman"/>
                <w:i/>
                <w:iCs/>
                <w:kern w:val="2"/>
                <w:lang w:val="ro-MD"/>
              </w:rPr>
              <w:lastRenderedPageBreak/>
              <w:t>(</w:t>
            </w:r>
            <w:r w:rsidR="003F0BB0" w:rsidRPr="009E686F">
              <w:rPr>
                <w:rFonts w:ascii="Times New Roman" w:eastAsia="Aptos" w:hAnsi="Times New Roman" w:cs="Times New Roman"/>
                <w:i/>
                <w:iCs/>
                <w:kern w:val="2"/>
                <w:lang w:val="ro-MD"/>
              </w:rPr>
              <w:t>8</w:t>
            </w:r>
            <w:r w:rsidRPr="009E686F">
              <w:rPr>
                <w:rFonts w:ascii="Times New Roman" w:eastAsia="Aptos" w:hAnsi="Times New Roman" w:cs="Times New Roman"/>
                <w:i/>
                <w:iCs/>
                <w:kern w:val="2"/>
                <w:lang w:val="ro-MD"/>
              </w:rPr>
              <w:t xml:space="preserve">) Banca Națională a Moldovei, în calitate de autoritate competentă din statul membru de origine, comunică autorităţilor competente din statul membru gazdă în care sunt situate sucursale semnificative ale instituțiilor de credit persoane juridice din Republica Moldova rezultatele evaluărilor riscurilor cu privire la instituțiile de credit cu astfel de sucursale, astfel cum sunt prevăzute la articolul </w:t>
            </w:r>
            <w:r w:rsidRPr="009E686F">
              <w:rPr>
                <w:rFonts w:ascii="Times New Roman" w:eastAsia="Aptos" w:hAnsi="Times New Roman" w:cs="Times New Roman"/>
                <w:i/>
                <w:iCs/>
                <w:kern w:val="2"/>
                <w:lang w:val="ro-MD"/>
              </w:rPr>
              <w:lastRenderedPageBreak/>
              <w:t xml:space="preserve">100, și, după caz, </w:t>
            </w:r>
            <w:r w:rsidR="003F0BB0" w:rsidRPr="009E686F">
              <w:rPr>
                <w:rFonts w:ascii="Times New Roman" w:eastAsia="Aptos" w:hAnsi="Times New Roman" w:cs="Times New Roman"/>
                <w:i/>
                <w:iCs/>
                <w:kern w:val="2"/>
                <w:lang w:val="ro-MD"/>
              </w:rPr>
              <w:t xml:space="preserve">art. </w:t>
            </w:r>
            <w:r w:rsidRPr="009E686F">
              <w:rPr>
                <w:rFonts w:ascii="Times New Roman" w:eastAsia="Aptos" w:hAnsi="Times New Roman" w:cs="Times New Roman"/>
                <w:i/>
                <w:iCs/>
                <w:kern w:val="2"/>
                <w:lang w:val="ro-MD"/>
              </w:rPr>
              <w:t xml:space="preserve">111, precum și deciziile adoptate în temeiul </w:t>
            </w:r>
            <w:r w:rsidR="003F0BB0" w:rsidRPr="009E686F">
              <w:rPr>
                <w:rFonts w:ascii="Times New Roman" w:eastAsia="Aptos" w:hAnsi="Times New Roman" w:cs="Times New Roman"/>
                <w:i/>
                <w:iCs/>
                <w:kern w:val="2"/>
                <w:lang w:val="ro-MD"/>
              </w:rPr>
              <w:t xml:space="preserve">art. </w:t>
            </w:r>
            <w:r w:rsidRPr="009E686F">
              <w:rPr>
                <w:rFonts w:ascii="Times New Roman" w:eastAsia="Aptos" w:hAnsi="Times New Roman" w:cs="Times New Roman"/>
                <w:i/>
                <w:iCs/>
                <w:kern w:val="2"/>
                <w:lang w:val="ro-MD"/>
              </w:rPr>
              <w:t>139, în măsura în care aceste evaluări și decizii sunt relevante pentru sucursalele respective.</w:t>
            </w:r>
          </w:p>
        </w:tc>
        <w:tc>
          <w:tcPr>
            <w:tcW w:w="470" w:type="pct"/>
            <w:tcBorders>
              <w:top w:val="single" w:sz="4" w:space="0" w:color="auto"/>
              <w:left w:val="single" w:sz="4" w:space="0" w:color="auto"/>
              <w:bottom w:val="single" w:sz="4" w:space="0" w:color="auto"/>
              <w:right w:val="single" w:sz="4" w:space="0" w:color="auto"/>
            </w:tcBorders>
          </w:tcPr>
          <w:p w14:paraId="37C0CE4E" w14:textId="77777777" w:rsidR="00265766" w:rsidRPr="009E686F" w:rsidRDefault="00265766" w:rsidP="00265766">
            <w:pPr>
              <w:jc w:val="both"/>
              <w:rPr>
                <w:rFonts w:ascii="Times New Roman" w:hAnsi="Times New Roman" w:cs="Times New Roman"/>
              </w:rPr>
            </w:pPr>
            <w:r w:rsidRPr="009E686F">
              <w:rPr>
                <w:rFonts w:ascii="Times New Roman" w:hAnsi="Times New Roman" w:cs="Times New Roman"/>
              </w:rPr>
              <w:lastRenderedPageBreak/>
              <w:t>Compatibil</w:t>
            </w:r>
          </w:p>
          <w:p w14:paraId="59CA09E7" w14:textId="0372F87D" w:rsidR="00265766" w:rsidRPr="009E686F" w:rsidRDefault="00265766" w:rsidP="00265766">
            <w:pPr>
              <w:jc w:val="both"/>
              <w:rPr>
                <w:rFonts w:ascii="Times New Roman" w:hAnsi="Times New Roman" w:cs="Times New Roman"/>
              </w:rPr>
            </w:pPr>
          </w:p>
        </w:tc>
        <w:tc>
          <w:tcPr>
            <w:tcW w:w="806" w:type="pct"/>
            <w:tcBorders>
              <w:top w:val="single" w:sz="4" w:space="0" w:color="auto"/>
              <w:left w:val="single" w:sz="4" w:space="0" w:color="auto"/>
              <w:bottom w:val="single" w:sz="4" w:space="0" w:color="auto"/>
              <w:right w:val="single" w:sz="4" w:space="0" w:color="auto"/>
            </w:tcBorders>
          </w:tcPr>
          <w:p w14:paraId="1BFBBE7D" w14:textId="0B8CB37B" w:rsidR="00265766" w:rsidRPr="009E686F" w:rsidRDefault="00247A35" w:rsidP="00265766">
            <w:pPr>
              <w:spacing w:after="0"/>
              <w:jc w:val="both"/>
              <w:rPr>
                <w:rFonts w:ascii="Times New Roman" w:hAnsi="Times New Roman" w:cs="Times New Roman"/>
                <w:lang w:val="it-CH"/>
              </w:rPr>
            </w:pPr>
            <w:r w:rsidRPr="009E686F">
              <w:rPr>
                <w:rFonts w:ascii="Times New Roman" w:hAnsi="Times New Roman" w:cs="Times New Roman"/>
                <w:lang w:val="ro-MD"/>
              </w:rPr>
              <w:t>Modificările referitoare la activitatea sucursalelor instituțiilor de credit înființate în state membre – în vigoare în termen de 5 ani de la data aderării.</w:t>
            </w:r>
          </w:p>
        </w:tc>
      </w:tr>
      <w:tr w:rsidR="00265766" w:rsidRPr="009E686F" w14:paraId="79A5029A" w14:textId="77777777" w:rsidTr="00960C23">
        <w:tc>
          <w:tcPr>
            <w:tcW w:w="1890" w:type="pct"/>
            <w:tcBorders>
              <w:top w:val="single" w:sz="4" w:space="0" w:color="auto"/>
              <w:left w:val="single" w:sz="4" w:space="0" w:color="auto"/>
              <w:bottom w:val="single" w:sz="4" w:space="0" w:color="auto"/>
              <w:right w:val="single" w:sz="4" w:space="0" w:color="auto"/>
            </w:tcBorders>
          </w:tcPr>
          <w:p w14:paraId="697B69EF" w14:textId="77777777"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Autoritățile competente din statele membre de origine consultă autoritățile competente din statele membre gazdă în care sunt stabilite sucursale semnificative cu privire la etapele operaționale prevăzute la articolul 86 alineatul (11), în cazul în care prezintă relevanță pentru riscurile de lichiditate în moneda statului membru gazdă.</w:t>
            </w:r>
          </w:p>
        </w:tc>
        <w:tc>
          <w:tcPr>
            <w:tcW w:w="1834" w:type="pct"/>
            <w:tcBorders>
              <w:top w:val="single" w:sz="4" w:space="0" w:color="auto"/>
              <w:left w:val="single" w:sz="4" w:space="0" w:color="auto"/>
              <w:bottom w:val="single" w:sz="4" w:space="0" w:color="auto"/>
              <w:right w:val="single" w:sz="4" w:space="0" w:color="auto"/>
            </w:tcBorders>
          </w:tcPr>
          <w:p w14:paraId="7BD64EC7" w14:textId="3DD361AD" w:rsidR="00265766" w:rsidRPr="009E686F" w:rsidRDefault="00265766" w:rsidP="00265766">
            <w:pPr>
              <w:spacing w:after="0"/>
              <w:jc w:val="both"/>
              <w:rPr>
                <w:rFonts w:ascii="Times New Roman" w:hAnsi="Times New Roman" w:cs="Times New Roman"/>
                <w:b/>
                <w:lang w:val="it-CH"/>
              </w:rPr>
            </w:pPr>
            <w:r w:rsidRPr="009E686F">
              <w:rPr>
                <w:rFonts w:ascii="Times New Roman" w:eastAsia="Aptos" w:hAnsi="Times New Roman" w:cs="Times New Roman"/>
                <w:i/>
                <w:iCs/>
                <w:kern w:val="2"/>
                <w:lang w:val="ro-MD"/>
              </w:rPr>
              <w:t>(</w:t>
            </w:r>
            <w:r w:rsidR="003F0BB0" w:rsidRPr="009E686F">
              <w:rPr>
                <w:rFonts w:ascii="Times New Roman" w:eastAsia="Aptos" w:hAnsi="Times New Roman" w:cs="Times New Roman"/>
                <w:i/>
                <w:iCs/>
                <w:kern w:val="2"/>
                <w:lang w:val="ro-MD"/>
              </w:rPr>
              <w:t>9</w:t>
            </w:r>
            <w:r w:rsidRPr="009E686F">
              <w:rPr>
                <w:rFonts w:ascii="Times New Roman" w:eastAsia="Aptos" w:hAnsi="Times New Roman" w:cs="Times New Roman"/>
                <w:i/>
                <w:iCs/>
                <w:kern w:val="2"/>
                <w:lang w:val="ro-MD"/>
              </w:rPr>
              <w:t>) Banca Națională a Moldovei, în calitate de autoritate competentă din statul membru de origine poate consulta autorităţile competente din statele membre gazdă în care sunt stabilite sucursale semnificative cu privire la etapele operaţionale pentru asigurarea punerii în aplicare a planurilor de redresare privind lichiditatea, astfel cum este prevăzut în actele normative ale Băncii Naționale a Moldovei, în cazul în care prezintă relevanţă pentru riscurile de lichiditate în moneda statului membru gazdă</w:t>
            </w:r>
            <w:r w:rsidRPr="009E686F">
              <w:rPr>
                <w:rFonts w:ascii="Times New Roman" w:eastAsia="Aptos" w:hAnsi="Times New Roman" w:cs="Times New Roman"/>
                <w:kern w:val="2"/>
                <w:lang w:val="ro-MD"/>
              </w:rPr>
              <w:t>.</w:t>
            </w:r>
          </w:p>
        </w:tc>
        <w:tc>
          <w:tcPr>
            <w:tcW w:w="470" w:type="pct"/>
            <w:tcBorders>
              <w:top w:val="single" w:sz="4" w:space="0" w:color="auto"/>
              <w:left w:val="single" w:sz="4" w:space="0" w:color="auto"/>
              <w:bottom w:val="single" w:sz="4" w:space="0" w:color="auto"/>
              <w:right w:val="single" w:sz="4" w:space="0" w:color="auto"/>
            </w:tcBorders>
          </w:tcPr>
          <w:p w14:paraId="4A8638FA" w14:textId="77777777" w:rsidR="00265766" w:rsidRPr="009E686F" w:rsidRDefault="00265766" w:rsidP="00265766">
            <w:pPr>
              <w:jc w:val="both"/>
              <w:rPr>
                <w:rFonts w:ascii="Times New Roman" w:hAnsi="Times New Roman" w:cs="Times New Roman"/>
              </w:rPr>
            </w:pPr>
            <w:r w:rsidRPr="009E686F">
              <w:rPr>
                <w:rFonts w:ascii="Times New Roman" w:hAnsi="Times New Roman" w:cs="Times New Roman"/>
              </w:rPr>
              <w:t>Compatibil</w:t>
            </w:r>
          </w:p>
          <w:p w14:paraId="65865996" w14:textId="63A1C8F8" w:rsidR="00265766" w:rsidRPr="009E686F" w:rsidRDefault="00265766" w:rsidP="00265766">
            <w:pPr>
              <w:jc w:val="both"/>
              <w:rPr>
                <w:rFonts w:ascii="Times New Roman" w:hAnsi="Times New Roman" w:cs="Times New Roman"/>
              </w:rPr>
            </w:pPr>
          </w:p>
        </w:tc>
        <w:tc>
          <w:tcPr>
            <w:tcW w:w="806" w:type="pct"/>
            <w:tcBorders>
              <w:top w:val="single" w:sz="4" w:space="0" w:color="auto"/>
              <w:left w:val="single" w:sz="4" w:space="0" w:color="auto"/>
              <w:bottom w:val="single" w:sz="4" w:space="0" w:color="auto"/>
              <w:right w:val="single" w:sz="4" w:space="0" w:color="auto"/>
            </w:tcBorders>
          </w:tcPr>
          <w:p w14:paraId="383A7EDA" w14:textId="2AD03EFA" w:rsidR="00265766" w:rsidRPr="009E686F" w:rsidRDefault="00247A35" w:rsidP="00265766">
            <w:pPr>
              <w:spacing w:after="0"/>
              <w:jc w:val="both"/>
              <w:rPr>
                <w:rFonts w:ascii="Times New Roman" w:hAnsi="Times New Roman" w:cs="Times New Roman"/>
                <w:lang w:val="it-CH"/>
              </w:rPr>
            </w:pPr>
            <w:r w:rsidRPr="009E686F">
              <w:rPr>
                <w:rFonts w:ascii="Times New Roman" w:hAnsi="Times New Roman" w:cs="Times New Roman"/>
                <w:lang w:val="ro-MD"/>
              </w:rPr>
              <w:t>Modificările referitoare la activitatea sucursalelor instituțiilor de credit înființate în state membre – în vigoare în termen de 5 ani de la data aderării.</w:t>
            </w:r>
          </w:p>
        </w:tc>
      </w:tr>
      <w:tr w:rsidR="00265766" w:rsidRPr="009E686F" w14:paraId="3F9F5F20" w14:textId="77777777" w:rsidTr="00960C23">
        <w:tc>
          <w:tcPr>
            <w:tcW w:w="1890" w:type="pct"/>
            <w:tcBorders>
              <w:top w:val="single" w:sz="4" w:space="0" w:color="auto"/>
              <w:left w:val="single" w:sz="4" w:space="0" w:color="auto"/>
              <w:bottom w:val="single" w:sz="4" w:space="0" w:color="auto"/>
              <w:right w:val="single" w:sz="4" w:space="0" w:color="auto"/>
            </w:tcBorders>
          </w:tcPr>
          <w:p w14:paraId="248A8100" w14:textId="77777777"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În cazul în care autoritățile competente din statul membru de origine nu au consultat autoritățile competente din statul membru gazdă sau în cazul în care, în urma unei astfel de consultării, autoritățile competente din statul membru gazdă consideră că etapele operaționale cerute la articolul 86 alineatul (11) nu sunt adecvate, autoritățile competente din statul membru gazdă pot să sesizeze ABE și să îi solicite asistența în conformitate cu articolul 19 din Regulamentul (UE) nr. 1093/2010.</w:t>
            </w:r>
          </w:p>
        </w:tc>
        <w:tc>
          <w:tcPr>
            <w:tcW w:w="1834" w:type="pct"/>
            <w:tcBorders>
              <w:top w:val="single" w:sz="4" w:space="0" w:color="auto"/>
              <w:left w:val="single" w:sz="4" w:space="0" w:color="auto"/>
              <w:bottom w:val="single" w:sz="4" w:space="0" w:color="auto"/>
              <w:right w:val="single" w:sz="4" w:space="0" w:color="auto"/>
            </w:tcBorders>
          </w:tcPr>
          <w:p w14:paraId="0504EA92" w14:textId="71570E1A" w:rsidR="00265766" w:rsidRPr="009E686F" w:rsidRDefault="00265766" w:rsidP="00265766">
            <w:pPr>
              <w:spacing w:after="0"/>
              <w:jc w:val="both"/>
              <w:rPr>
                <w:rFonts w:ascii="Times New Roman" w:hAnsi="Times New Roman" w:cs="Times New Roman"/>
                <w:b/>
                <w:i/>
                <w:lang w:val="it-CH"/>
              </w:rPr>
            </w:pPr>
            <w:r w:rsidRPr="009E686F">
              <w:rPr>
                <w:rFonts w:ascii="Times New Roman" w:eastAsia="Aptos" w:hAnsi="Times New Roman" w:cs="Times New Roman"/>
                <w:i/>
                <w:iCs/>
                <w:kern w:val="2"/>
                <w:lang w:val="ro-MD"/>
              </w:rPr>
              <w:t>(</w:t>
            </w:r>
            <w:r w:rsidR="003F0BB0" w:rsidRPr="009E686F">
              <w:rPr>
                <w:rFonts w:ascii="Times New Roman" w:eastAsia="Aptos" w:hAnsi="Times New Roman" w:cs="Times New Roman"/>
                <w:i/>
                <w:iCs/>
                <w:kern w:val="2"/>
                <w:lang w:val="ro-MD"/>
              </w:rPr>
              <w:t>10</w:t>
            </w:r>
            <w:r w:rsidRPr="009E686F">
              <w:rPr>
                <w:rFonts w:ascii="Times New Roman" w:eastAsia="Aptos" w:hAnsi="Times New Roman" w:cs="Times New Roman"/>
                <w:i/>
                <w:iCs/>
                <w:kern w:val="2"/>
                <w:lang w:val="ro-MD"/>
              </w:rPr>
              <w:t>) În cazul în care Banca Națională a Moldovei, în calitate de autoritate competentă din statul membru gazdă nu a fost consultată de autorităţile competente din statul membru de origine sau în cazul în care, în urma unei astfel de consultării, consideră că etapele operaţionale pentru asigurarea punerii în aplicare a planurilor de redresare privind lichiditatea, astfel cum este prevăzut în actele normative emise în aplicarea prezentei legi, nu sunt adecvate, Banca Națională a Moldovei poate să sesizeze Autoritatea Bancară Europeană și să îi solicite asistenţa.</w:t>
            </w:r>
          </w:p>
        </w:tc>
        <w:tc>
          <w:tcPr>
            <w:tcW w:w="470" w:type="pct"/>
            <w:tcBorders>
              <w:top w:val="single" w:sz="4" w:space="0" w:color="auto"/>
              <w:left w:val="single" w:sz="4" w:space="0" w:color="auto"/>
              <w:bottom w:val="single" w:sz="4" w:space="0" w:color="auto"/>
              <w:right w:val="single" w:sz="4" w:space="0" w:color="auto"/>
            </w:tcBorders>
          </w:tcPr>
          <w:p w14:paraId="19E0A86E" w14:textId="77777777" w:rsidR="00265766" w:rsidRPr="009E686F" w:rsidRDefault="00265766" w:rsidP="00265766">
            <w:pPr>
              <w:jc w:val="both"/>
              <w:rPr>
                <w:rFonts w:ascii="Times New Roman" w:hAnsi="Times New Roman" w:cs="Times New Roman"/>
              </w:rPr>
            </w:pPr>
            <w:r w:rsidRPr="009E686F">
              <w:rPr>
                <w:rFonts w:ascii="Times New Roman" w:hAnsi="Times New Roman" w:cs="Times New Roman"/>
              </w:rPr>
              <w:t>Compatibil</w:t>
            </w:r>
          </w:p>
          <w:p w14:paraId="075D9C97" w14:textId="317BDBD3" w:rsidR="00265766" w:rsidRPr="009E686F" w:rsidRDefault="00265766" w:rsidP="00265766">
            <w:pPr>
              <w:jc w:val="both"/>
              <w:rPr>
                <w:rFonts w:ascii="Times New Roman" w:hAnsi="Times New Roman" w:cs="Times New Roman"/>
              </w:rPr>
            </w:pPr>
          </w:p>
        </w:tc>
        <w:tc>
          <w:tcPr>
            <w:tcW w:w="806" w:type="pct"/>
            <w:tcBorders>
              <w:top w:val="single" w:sz="4" w:space="0" w:color="auto"/>
              <w:left w:val="single" w:sz="4" w:space="0" w:color="auto"/>
              <w:bottom w:val="single" w:sz="4" w:space="0" w:color="auto"/>
              <w:right w:val="single" w:sz="4" w:space="0" w:color="auto"/>
            </w:tcBorders>
          </w:tcPr>
          <w:p w14:paraId="0F62F6D2" w14:textId="49FEC0D9" w:rsidR="00265766" w:rsidRPr="009E686F" w:rsidRDefault="00247A35" w:rsidP="00265766">
            <w:pPr>
              <w:spacing w:after="0"/>
              <w:jc w:val="both"/>
              <w:rPr>
                <w:rFonts w:ascii="Times New Roman" w:hAnsi="Times New Roman" w:cs="Times New Roman"/>
                <w:lang w:val="it-CH"/>
              </w:rPr>
            </w:pPr>
            <w:r w:rsidRPr="009E686F">
              <w:rPr>
                <w:rFonts w:ascii="Times New Roman" w:hAnsi="Times New Roman" w:cs="Times New Roman"/>
                <w:lang w:val="ro-MD"/>
              </w:rPr>
              <w:t>Modificările referitoare la activitatea sucursalelor instituțiilor de credit înființate în state membre – în vigoare în termen de 5 ani de la data aderării.</w:t>
            </w:r>
          </w:p>
        </w:tc>
      </w:tr>
      <w:tr w:rsidR="00265766" w:rsidRPr="009E686F" w14:paraId="16774973" w14:textId="77777777" w:rsidTr="00960C23">
        <w:tc>
          <w:tcPr>
            <w:tcW w:w="1890" w:type="pct"/>
            <w:tcBorders>
              <w:top w:val="single" w:sz="4" w:space="0" w:color="auto"/>
              <w:left w:val="single" w:sz="4" w:space="0" w:color="auto"/>
              <w:bottom w:val="single" w:sz="4" w:space="0" w:color="auto"/>
              <w:right w:val="single" w:sz="4" w:space="0" w:color="auto"/>
            </w:tcBorders>
          </w:tcPr>
          <w:p w14:paraId="0E8C206C" w14:textId="706A7E34"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 xml:space="preserve">(3) În cazul în care nu se aplică articolul 116, autoritățile competente care supraveghează o instituție având sucursale semnificative în alte state membre înființează și prezidează un colegiu de supraveghetori pentru a facilita cooperarea în temeiul alineatului (2) de la prezentul articol și al articolului 50. </w:t>
            </w:r>
          </w:p>
          <w:p w14:paraId="30C48110" w14:textId="77777777"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 xml:space="preserve">Înființarea și funcționarea colegiului se bazează pe dispoziții scrise care urmează să fie stabilite de către autoritatea competentă din statul membru de origine în urma consultării cu autoritățile competente în cauză. </w:t>
            </w:r>
          </w:p>
          <w:p w14:paraId="7D9814A1" w14:textId="77777777"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lastRenderedPageBreak/>
              <w:t>Autoritatea competentă din statul membru de origine decide care autorități competente participă la o reuniune sau la o activitate a colegiului.</w:t>
            </w:r>
          </w:p>
        </w:tc>
        <w:tc>
          <w:tcPr>
            <w:tcW w:w="1834" w:type="pct"/>
            <w:tcBorders>
              <w:top w:val="single" w:sz="4" w:space="0" w:color="auto"/>
              <w:left w:val="single" w:sz="4" w:space="0" w:color="auto"/>
              <w:bottom w:val="single" w:sz="4" w:space="0" w:color="auto"/>
              <w:right w:val="single" w:sz="4" w:space="0" w:color="auto"/>
            </w:tcBorders>
          </w:tcPr>
          <w:p w14:paraId="3AE8BB50" w14:textId="33C4E219" w:rsidR="00265766" w:rsidRPr="009E686F" w:rsidRDefault="00265766" w:rsidP="00265766">
            <w:pPr>
              <w:spacing w:after="0"/>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RO"/>
              </w:rPr>
              <w:lastRenderedPageBreak/>
              <w:t>(</w:t>
            </w:r>
            <w:r w:rsidR="003F0BB0" w:rsidRPr="009E686F">
              <w:rPr>
                <w:rFonts w:ascii="Times New Roman" w:eastAsia="Aptos" w:hAnsi="Times New Roman" w:cs="Times New Roman"/>
                <w:i/>
                <w:iCs/>
                <w:kern w:val="2"/>
                <w:lang w:val="ro-RO"/>
              </w:rPr>
              <w:t>11</w:t>
            </w:r>
            <w:r w:rsidRPr="009E686F">
              <w:rPr>
                <w:rFonts w:ascii="Times New Roman" w:eastAsia="Aptos" w:hAnsi="Times New Roman" w:cs="Times New Roman"/>
                <w:i/>
                <w:iCs/>
                <w:kern w:val="2"/>
                <w:lang w:val="ro-RO"/>
              </w:rPr>
              <w:t>)</w:t>
            </w:r>
            <w:r w:rsidRPr="009E686F">
              <w:rPr>
                <w:rFonts w:ascii="Times New Roman" w:eastAsia="Aptos" w:hAnsi="Times New Roman" w:cs="Times New Roman"/>
                <w:i/>
                <w:iCs/>
                <w:kern w:val="2"/>
                <w:lang w:val="ro-MD"/>
              </w:rPr>
              <w:t xml:space="preserve"> </w:t>
            </w:r>
            <w:bookmarkStart w:id="16" w:name="_Hlk228016211"/>
            <w:r w:rsidRPr="009E686F">
              <w:rPr>
                <w:rFonts w:ascii="Times New Roman" w:eastAsia="Aptos" w:hAnsi="Times New Roman" w:cs="Times New Roman"/>
                <w:i/>
                <w:iCs/>
                <w:kern w:val="2"/>
                <w:lang w:val="ro-MD"/>
              </w:rPr>
              <w:t xml:space="preserve">În cazul în care nu se aplică art. 112, </w:t>
            </w:r>
            <w:bookmarkEnd w:id="16"/>
            <w:r w:rsidRPr="009E686F">
              <w:rPr>
                <w:rFonts w:ascii="Times New Roman" w:eastAsia="Aptos" w:hAnsi="Times New Roman" w:cs="Times New Roman"/>
                <w:i/>
                <w:iCs/>
                <w:kern w:val="2"/>
                <w:lang w:val="ro-MD"/>
              </w:rPr>
              <w:t>Banca Națională a Moldovei, în calitate de autoritate competentă care supraveghează o instituție de credit care are sucursale semnificative în alte state membre înființează și conduce un colegiu de supraveghetori pentru a facilita cooperarea astfel cum este prevăzută la prezentul articol și al art. 107.</w:t>
            </w:r>
          </w:p>
          <w:p w14:paraId="4B9514C5" w14:textId="045C633D" w:rsidR="00265766" w:rsidRPr="009E686F" w:rsidRDefault="00265766" w:rsidP="00265766">
            <w:pPr>
              <w:spacing w:after="0"/>
              <w:jc w:val="both"/>
              <w:rPr>
                <w:rFonts w:ascii="Times New Roman" w:hAnsi="Times New Roman" w:cs="Times New Roman"/>
                <w:b/>
                <w:i/>
                <w:iCs/>
                <w:lang w:val="it-CH"/>
              </w:rPr>
            </w:pPr>
            <w:r w:rsidRPr="009E686F">
              <w:rPr>
                <w:rFonts w:ascii="Times New Roman" w:eastAsia="Aptos" w:hAnsi="Times New Roman" w:cs="Times New Roman"/>
                <w:i/>
                <w:iCs/>
                <w:kern w:val="2"/>
                <w:lang w:val="ro-MD"/>
              </w:rPr>
              <w:t>(1</w:t>
            </w:r>
            <w:r w:rsidR="003F0BB0" w:rsidRPr="009E686F">
              <w:rPr>
                <w:rFonts w:ascii="Times New Roman" w:eastAsia="Aptos" w:hAnsi="Times New Roman" w:cs="Times New Roman"/>
                <w:i/>
                <w:iCs/>
                <w:kern w:val="2"/>
                <w:lang w:val="ro-MD"/>
              </w:rPr>
              <w:t>2</w:t>
            </w:r>
            <w:r w:rsidRPr="009E686F">
              <w:rPr>
                <w:rFonts w:ascii="Times New Roman" w:eastAsia="Aptos" w:hAnsi="Times New Roman" w:cs="Times New Roman"/>
                <w:i/>
                <w:iCs/>
                <w:kern w:val="2"/>
                <w:lang w:val="ro-MD"/>
              </w:rPr>
              <w:t xml:space="preserve">) Banca Națională a Moldovei, în calitate de autoritate competentă din statul membru de origine, în urma consultării autorităților competente implicate, stabilește conținutul acordurilor scrise care să constituie temei pentru </w:t>
            </w:r>
            <w:r w:rsidRPr="009E686F">
              <w:rPr>
                <w:rFonts w:ascii="Times New Roman" w:eastAsia="Aptos" w:hAnsi="Times New Roman" w:cs="Times New Roman"/>
                <w:i/>
                <w:iCs/>
                <w:kern w:val="2"/>
                <w:lang w:val="ro-MD"/>
              </w:rPr>
              <w:lastRenderedPageBreak/>
              <w:t>înfiinţarea și funcţionarea colegiului de supraveghetori menționat la alin. (</w:t>
            </w:r>
            <w:r w:rsidR="003F0BB0" w:rsidRPr="009E686F">
              <w:rPr>
                <w:rFonts w:ascii="Times New Roman" w:eastAsia="Aptos" w:hAnsi="Times New Roman" w:cs="Times New Roman"/>
                <w:i/>
                <w:iCs/>
                <w:kern w:val="2"/>
                <w:lang w:val="ro-MD"/>
              </w:rPr>
              <w:t>11</w:t>
            </w:r>
            <w:r w:rsidRPr="009E686F">
              <w:rPr>
                <w:rFonts w:ascii="Times New Roman" w:eastAsia="Aptos" w:hAnsi="Times New Roman" w:cs="Times New Roman"/>
                <w:i/>
                <w:iCs/>
                <w:kern w:val="2"/>
                <w:lang w:val="ro-MD"/>
              </w:rPr>
              <w:t>), precum și decide autoritățile competente participante sau activitățile colegiului respectiv.</w:t>
            </w:r>
          </w:p>
        </w:tc>
        <w:tc>
          <w:tcPr>
            <w:tcW w:w="470" w:type="pct"/>
            <w:tcBorders>
              <w:top w:val="single" w:sz="4" w:space="0" w:color="auto"/>
              <w:left w:val="single" w:sz="4" w:space="0" w:color="auto"/>
              <w:bottom w:val="single" w:sz="4" w:space="0" w:color="auto"/>
              <w:right w:val="single" w:sz="4" w:space="0" w:color="auto"/>
            </w:tcBorders>
          </w:tcPr>
          <w:p w14:paraId="0AFD3815" w14:textId="77777777" w:rsidR="00265766" w:rsidRPr="009E686F" w:rsidRDefault="00265766" w:rsidP="00265766">
            <w:pPr>
              <w:jc w:val="both"/>
              <w:rPr>
                <w:rFonts w:ascii="Times New Roman" w:hAnsi="Times New Roman" w:cs="Times New Roman"/>
              </w:rPr>
            </w:pPr>
            <w:r w:rsidRPr="009E686F">
              <w:rPr>
                <w:rFonts w:ascii="Times New Roman" w:hAnsi="Times New Roman" w:cs="Times New Roman"/>
              </w:rPr>
              <w:lastRenderedPageBreak/>
              <w:t>Compatibil</w:t>
            </w:r>
          </w:p>
          <w:p w14:paraId="0000F850" w14:textId="6ADDEA94" w:rsidR="00265766" w:rsidRPr="009E686F" w:rsidRDefault="00265766" w:rsidP="00265766">
            <w:pPr>
              <w:jc w:val="both"/>
              <w:rPr>
                <w:rFonts w:ascii="Times New Roman" w:hAnsi="Times New Roman" w:cs="Times New Roman"/>
              </w:rPr>
            </w:pPr>
          </w:p>
        </w:tc>
        <w:tc>
          <w:tcPr>
            <w:tcW w:w="806" w:type="pct"/>
            <w:tcBorders>
              <w:top w:val="single" w:sz="4" w:space="0" w:color="auto"/>
              <w:left w:val="single" w:sz="4" w:space="0" w:color="auto"/>
              <w:bottom w:val="single" w:sz="4" w:space="0" w:color="auto"/>
              <w:right w:val="single" w:sz="4" w:space="0" w:color="auto"/>
            </w:tcBorders>
          </w:tcPr>
          <w:p w14:paraId="386D046B" w14:textId="07FE973E" w:rsidR="00265766" w:rsidRPr="009E686F" w:rsidRDefault="00247A35" w:rsidP="00265766">
            <w:pPr>
              <w:spacing w:after="0"/>
              <w:jc w:val="both"/>
              <w:rPr>
                <w:rFonts w:ascii="Times New Roman" w:hAnsi="Times New Roman" w:cs="Times New Roman"/>
                <w:lang w:val="it-CH"/>
              </w:rPr>
            </w:pPr>
            <w:r w:rsidRPr="009E686F">
              <w:rPr>
                <w:rFonts w:ascii="Times New Roman" w:hAnsi="Times New Roman" w:cs="Times New Roman"/>
                <w:lang w:val="ro-MD"/>
              </w:rPr>
              <w:t>Modificările referitoare la activitatea sucursalelor instituțiilor de credit înființate în state membre – în vigoare în termen de 5 ani de la data aderării.</w:t>
            </w:r>
          </w:p>
        </w:tc>
      </w:tr>
      <w:tr w:rsidR="00265766" w:rsidRPr="009E686F" w14:paraId="609492AD" w14:textId="77777777" w:rsidTr="00960C23">
        <w:tc>
          <w:tcPr>
            <w:tcW w:w="1890" w:type="pct"/>
            <w:tcBorders>
              <w:top w:val="single" w:sz="4" w:space="0" w:color="auto"/>
              <w:left w:val="single" w:sz="4" w:space="0" w:color="auto"/>
              <w:bottom w:val="single" w:sz="4" w:space="0" w:color="auto"/>
              <w:right w:val="single" w:sz="4" w:space="0" w:color="auto"/>
            </w:tcBorders>
          </w:tcPr>
          <w:p w14:paraId="12AD0B66" w14:textId="77777777"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Decizia autorității competente din statul membru de origine ține seama de relevanța activității de supraveghere care urmează să fie planificată sau coordonată pentru aceste autorități, în special de impactul potențial asupra stabilității sistemului financiar din statele membre vizate, menționat la articolul 7, și de obligațiile menționate la alineatul (2) din prezentul articol.</w:t>
            </w:r>
          </w:p>
        </w:tc>
        <w:tc>
          <w:tcPr>
            <w:tcW w:w="1834" w:type="pct"/>
            <w:tcBorders>
              <w:top w:val="single" w:sz="4" w:space="0" w:color="auto"/>
              <w:left w:val="single" w:sz="4" w:space="0" w:color="auto"/>
              <w:bottom w:val="single" w:sz="4" w:space="0" w:color="auto"/>
              <w:right w:val="single" w:sz="4" w:space="0" w:color="auto"/>
            </w:tcBorders>
          </w:tcPr>
          <w:p w14:paraId="3E34451C" w14:textId="69ED0C99" w:rsidR="00265766" w:rsidRPr="009E686F" w:rsidRDefault="00265766" w:rsidP="00265766">
            <w:pPr>
              <w:spacing w:after="0"/>
              <w:jc w:val="both"/>
              <w:rPr>
                <w:rFonts w:ascii="Times New Roman" w:hAnsi="Times New Roman" w:cs="Times New Roman"/>
                <w:b/>
                <w:i/>
                <w:iCs/>
                <w:lang w:val="ro-MD"/>
              </w:rPr>
            </w:pPr>
            <w:r w:rsidRPr="009E686F">
              <w:rPr>
                <w:rFonts w:ascii="Times New Roman" w:eastAsia="Aptos" w:hAnsi="Times New Roman" w:cs="Times New Roman"/>
                <w:i/>
                <w:iCs/>
                <w:kern w:val="2"/>
                <w:lang w:val="ro-MD"/>
              </w:rPr>
              <w:t>(1</w:t>
            </w:r>
            <w:r w:rsidR="003F0BB0" w:rsidRPr="009E686F">
              <w:rPr>
                <w:rFonts w:ascii="Times New Roman" w:eastAsia="Aptos" w:hAnsi="Times New Roman" w:cs="Times New Roman"/>
                <w:i/>
                <w:iCs/>
                <w:kern w:val="2"/>
                <w:lang w:val="ro-MD"/>
              </w:rPr>
              <w:t>3</w:t>
            </w:r>
            <w:r w:rsidRPr="009E686F">
              <w:rPr>
                <w:rFonts w:ascii="Times New Roman" w:eastAsia="Aptos" w:hAnsi="Times New Roman" w:cs="Times New Roman"/>
                <w:i/>
                <w:iCs/>
                <w:kern w:val="2"/>
                <w:lang w:val="ro-MD"/>
              </w:rPr>
              <w:t>) În aplicarea alin. (1</w:t>
            </w:r>
            <w:r w:rsidR="003F0BB0" w:rsidRPr="009E686F">
              <w:rPr>
                <w:rFonts w:ascii="Times New Roman" w:eastAsia="Aptos" w:hAnsi="Times New Roman" w:cs="Times New Roman"/>
                <w:i/>
                <w:iCs/>
                <w:kern w:val="2"/>
                <w:lang w:val="ro-MD"/>
              </w:rPr>
              <w:t>2</w:t>
            </w:r>
            <w:r w:rsidRPr="009E686F">
              <w:rPr>
                <w:rFonts w:ascii="Times New Roman" w:eastAsia="Aptos" w:hAnsi="Times New Roman" w:cs="Times New Roman"/>
                <w:i/>
                <w:iCs/>
                <w:kern w:val="2"/>
                <w:lang w:val="ro-MD"/>
              </w:rPr>
              <w:t>), Banca Națională a Moldovei trebuie să ia în considerare relevanţa activităţii de supraveghere care urmează să fie planificată sau coordonată pentru aceste autorităţi, în special de impactul potenţial asupra stabilităţii sistemului financiar din statele membre vizate, menţionat la art.5 alin. (7) și de obligaţiile menţionate la alin. (</w:t>
            </w:r>
            <w:r w:rsidR="003F0BB0" w:rsidRPr="009E686F">
              <w:rPr>
                <w:rFonts w:ascii="Times New Roman" w:eastAsia="Aptos" w:hAnsi="Times New Roman" w:cs="Times New Roman"/>
                <w:i/>
                <w:iCs/>
                <w:kern w:val="2"/>
                <w:lang w:val="ro-MD"/>
              </w:rPr>
              <w:t>8</w:t>
            </w:r>
            <w:r w:rsidRPr="009E686F">
              <w:rPr>
                <w:rFonts w:ascii="Times New Roman" w:eastAsia="Aptos" w:hAnsi="Times New Roman" w:cs="Times New Roman"/>
                <w:i/>
                <w:iCs/>
                <w:kern w:val="2"/>
                <w:lang w:val="ro-MD"/>
              </w:rPr>
              <w:t>) – (1</w:t>
            </w:r>
            <w:r w:rsidR="003F0BB0" w:rsidRPr="009E686F">
              <w:rPr>
                <w:rFonts w:ascii="Times New Roman" w:eastAsia="Aptos" w:hAnsi="Times New Roman" w:cs="Times New Roman"/>
                <w:i/>
                <w:iCs/>
                <w:kern w:val="2"/>
                <w:lang w:val="ro-MD"/>
              </w:rPr>
              <w:t>2</w:t>
            </w:r>
            <w:r w:rsidRPr="009E686F">
              <w:rPr>
                <w:rFonts w:ascii="Times New Roman" w:eastAsia="Aptos" w:hAnsi="Times New Roman" w:cs="Times New Roman"/>
                <w:i/>
                <w:iCs/>
                <w:kern w:val="2"/>
                <w:lang w:val="ro-MD"/>
              </w:rPr>
              <w:t>).</w:t>
            </w:r>
          </w:p>
        </w:tc>
        <w:tc>
          <w:tcPr>
            <w:tcW w:w="470" w:type="pct"/>
            <w:tcBorders>
              <w:top w:val="single" w:sz="4" w:space="0" w:color="auto"/>
              <w:left w:val="single" w:sz="4" w:space="0" w:color="auto"/>
              <w:bottom w:val="single" w:sz="4" w:space="0" w:color="auto"/>
              <w:right w:val="single" w:sz="4" w:space="0" w:color="auto"/>
            </w:tcBorders>
          </w:tcPr>
          <w:p w14:paraId="2626B533" w14:textId="08026483" w:rsidR="00265766" w:rsidRPr="009E686F" w:rsidRDefault="00265766" w:rsidP="00265766">
            <w:pPr>
              <w:jc w:val="both"/>
              <w:rPr>
                <w:rFonts w:ascii="Times New Roman" w:hAnsi="Times New Roman" w:cs="Times New Roman"/>
              </w:rPr>
            </w:pPr>
            <w:r w:rsidRPr="009E686F">
              <w:rPr>
                <w:rFonts w:ascii="Times New Roman" w:hAnsi="Times New Roman" w:cs="Times New Roman"/>
              </w:rPr>
              <w:t>Compatibil</w:t>
            </w:r>
          </w:p>
          <w:p w14:paraId="5A458823" w14:textId="2B006CB6" w:rsidR="00265766" w:rsidRPr="009E686F" w:rsidRDefault="00265766" w:rsidP="00265766">
            <w:pPr>
              <w:jc w:val="both"/>
              <w:rPr>
                <w:rFonts w:ascii="Times New Roman" w:hAnsi="Times New Roman" w:cs="Times New Roman"/>
              </w:rPr>
            </w:pPr>
          </w:p>
        </w:tc>
        <w:tc>
          <w:tcPr>
            <w:tcW w:w="806" w:type="pct"/>
            <w:tcBorders>
              <w:top w:val="single" w:sz="4" w:space="0" w:color="auto"/>
              <w:left w:val="single" w:sz="4" w:space="0" w:color="auto"/>
              <w:bottom w:val="single" w:sz="4" w:space="0" w:color="auto"/>
              <w:right w:val="single" w:sz="4" w:space="0" w:color="auto"/>
            </w:tcBorders>
          </w:tcPr>
          <w:p w14:paraId="00CA57CE" w14:textId="53812957" w:rsidR="00265766" w:rsidRPr="009E686F" w:rsidRDefault="00247A35" w:rsidP="00265766">
            <w:pPr>
              <w:spacing w:after="0"/>
              <w:jc w:val="both"/>
              <w:rPr>
                <w:rFonts w:ascii="Times New Roman" w:hAnsi="Times New Roman" w:cs="Times New Roman"/>
                <w:lang w:val="it-CH"/>
              </w:rPr>
            </w:pPr>
            <w:r w:rsidRPr="009E686F">
              <w:rPr>
                <w:rFonts w:ascii="Times New Roman" w:hAnsi="Times New Roman" w:cs="Times New Roman"/>
                <w:lang w:val="ro-MD"/>
              </w:rPr>
              <w:t>Modificările referitoare la activitatea sucursalelor instituțiilor de credit înființate în state membre – în vigoare în termen de 5 ani de la data aderării.</w:t>
            </w:r>
          </w:p>
        </w:tc>
      </w:tr>
      <w:tr w:rsidR="00265766" w:rsidRPr="009E686F" w14:paraId="634ED093" w14:textId="77777777" w:rsidTr="00960C23">
        <w:tc>
          <w:tcPr>
            <w:tcW w:w="1890" w:type="pct"/>
            <w:tcBorders>
              <w:top w:val="single" w:sz="4" w:space="0" w:color="auto"/>
              <w:left w:val="single" w:sz="4" w:space="0" w:color="auto"/>
              <w:bottom w:val="single" w:sz="4" w:space="0" w:color="auto"/>
              <w:right w:val="single" w:sz="4" w:space="0" w:color="auto"/>
            </w:tcBorders>
          </w:tcPr>
          <w:p w14:paraId="2C793CF5" w14:textId="77777777"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În prealabil, autoritatea competentă din statul membru de origine îi informează pe deplin pe toți membrii colegiului în legătură cu organizarea unor astfel de reuniuni, principalele aspecte care urmează să fie discutate, precum și în legătură cu activitățile care urmează să fie examinate. Autoritatea competentă din statul membru de origine îi informează, de asemenea, pe deplin și în timp util, pe toți membrii colegiului în legătură cu măsurile adoptate în cadrul respectivelor reuniuni și acțiunile întreprinse.</w:t>
            </w:r>
          </w:p>
        </w:tc>
        <w:tc>
          <w:tcPr>
            <w:tcW w:w="1834" w:type="pct"/>
            <w:tcBorders>
              <w:top w:val="single" w:sz="4" w:space="0" w:color="auto"/>
              <w:left w:val="single" w:sz="4" w:space="0" w:color="auto"/>
              <w:bottom w:val="single" w:sz="4" w:space="0" w:color="auto"/>
              <w:right w:val="single" w:sz="4" w:space="0" w:color="auto"/>
            </w:tcBorders>
          </w:tcPr>
          <w:p w14:paraId="33355854" w14:textId="4609358E" w:rsidR="00265766" w:rsidRPr="009E686F" w:rsidRDefault="00265766" w:rsidP="00265766">
            <w:pPr>
              <w:spacing w:after="0"/>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(1</w:t>
            </w:r>
            <w:r w:rsidR="003F0BB0" w:rsidRPr="009E686F">
              <w:rPr>
                <w:rFonts w:ascii="Times New Roman" w:eastAsia="Aptos" w:hAnsi="Times New Roman" w:cs="Times New Roman"/>
                <w:i/>
                <w:iCs/>
                <w:kern w:val="2"/>
                <w:lang w:val="ro-MD"/>
              </w:rPr>
              <w:t>4</w:t>
            </w:r>
            <w:r w:rsidRPr="009E686F">
              <w:rPr>
                <w:rFonts w:ascii="Times New Roman" w:eastAsia="Aptos" w:hAnsi="Times New Roman" w:cs="Times New Roman"/>
                <w:i/>
                <w:iCs/>
                <w:kern w:val="2"/>
                <w:lang w:val="ro-MD"/>
              </w:rPr>
              <w:t xml:space="preserve">) Banca Națională a Moldovei îi informează pe deplin, în prealabil, pe toţi membrii colegiului cu privire la organizarea reuniunilor, la aspectele principale de discutat şi la activităţile ce urmează a fi analizate. </w:t>
            </w:r>
          </w:p>
          <w:p w14:paraId="02FD1657" w14:textId="7DB027A5" w:rsidR="00265766" w:rsidRPr="009E686F" w:rsidRDefault="00265766" w:rsidP="00265766">
            <w:pPr>
              <w:spacing w:after="0"/>
              <w:jc w:val="both"/>
              <w:rPr>
                <w:rFonts w:ascii="Times New Roman" w:hAnsi="Times New Roman" w:cs="Times New Roman"/>
                <w:b/>
                <w:lang w:val="ro-MD"/>
              </w:rPr>
            </w:pPr>
            <w:r w:rsidRPr="009E686F">
              <w:rPr>
                <w:rFonts w:ascii="Times New Roman" w:eastAsia="Aptos" w:hAnsi="Times New Roman" w:cs="Times New Roman"/>
                <w:i/>
                <w:iCs/>
                <w:kern w:val="2"/>
                <w:lang w:val="ro-MD"/>
              </w:rPr>
              <w:t>De asemenea, Banca Naţională a Moldovei îi informează pe deplin şi în timp util pe toţi membrii colegiului în legătură cu măsurile şi acţiunile întreprinse în cadrul respectivelor reuniuni.</w:t>
            </w:r>
          </w:p>
        </w:tc>
        <w:tc>
          <w:tcPr>
            <w:tcW w:w="470" w:type="pct"/>
            <w:tcBorders>
              <w:top w:val="single" w:sz="4" w:space="0" w:color="auto"/>
              <w:left w:val="single" w:sz="4" w:space="0" w:color="auto"/>
              <w:bottom w:val="single" w:sz="4" w:space="0" w:color="auto"/>
              <w:right w:val="single" w:sz="4" w:space="0" w:color="auto"/>
            </w:tcBorders>
          </w:tcPr>
          <w:p w14:paraId="3113E5C1" w14:textId="6E53F62E" w:rsidR="00265766" w:rsidRPr="009E686F" w:rsidRDefault="00265766" w:rsidP="00265766">
            <w:pPr>
              <w:jc w:val="both"/>
              <w:rPr>
                <w:rFonts w:ascii="Times New Roman" w:hAnsi="Times New Roman" w:cs="Times New Roman"/>
              </w:rPr>
            </w:pPr>
            <w:r w:rsidRPr="009E686F">
              <w:rPr>
                <w:rFonts w:ascii="Times New Roman" w:hAnsi="Times New Roman" w:cs="Times New Roman"/>
              </w:rPr>
              <w:t>Compatibil</w:t>
            </w:r>
          </w:p>
          <w:p w14:paraId="5205B578" w14:textId="77777777" w:rsidR="00265766" w:rsidRPr="009E686F" w:rsidRDefault="00265766" w:rsidP="00265766">
            <w:pPr>
              <w:jc w:val="both"/>
              <w:rPr>
                <w:rFonts w:ascii="Times New Roman" w:hAnsi="Times New Roman" w:cs="Times New Roman"/>
              </w:rPr>
            </w:pPr>
          </w:p>
          <w:p w14:paraId="4F726BAE" w14:textId="6D395997" w:rsidR="00265766" w:rsidRPr="009E686F" w:rsidRDefault="00265766" w:rsidP="00265766">
            <w:pPr>
              <w:jc w:val="center"/>
              <w:rPr>
                <w:rFonts w:ascii="Times New Roman" w:hAnsi="Times New Roman" w:cs="Times New Roman"/>
              </w:rPr>
            </w:pPr>
          </w:p>
        </w:tc>
        <w:tc>
          <w:tcPr>
            <w:tcW w:w="806" w:type="pct"/>
            <w:tcBorders>
              <w:top w:val="single" w:sz="4" w:space="0" w:color="auto"/>
              <w:left w:val="single" w:sz="4" w:space="0" w:color="auto"/>
              <w:bottom w:val="single" w:sz="4" w:space="0" w:color="auto"/>
              <w:right w:val="single" w:sz="4" w:space="0" w:color="auto"/>
            </w:tcBorders>
          </w:tcPr>
          <w:p w14:paraId="5D13B7D4" w14:textId="0D4CD173" w:rsidR="00265766" w:rsidRPr="009E686F" w:rsidRDefault="00247A35" w:rsidP="00265766">
            <w:pPr>
              <w:spacing w:after="0"/>
              <w:jc w:val="both"/>
              <w:rPr>
                <w:rFonts w:ascii="Times New Roman" w:hAnsi="Times New Roman" w:cs="Times New Roman"/>
                <w:lang w:val="it-CH"/>
              </w:rPr>
            </w:pPr>
            <w:r w:rsidRPr="009E686F">
              <w:rPr>
                <w:rFonts w:ascii="Times New Roman" w:hAnsi="Times New Roman" w:cs="Times New Roman"/>
                <w:lang w:val="ro-MD"/>
              </w:rPr>
              <w:t>Modificările referitoare la activitatea sucursalelor instituțiilor de credit înființate în state membre – în vigoare în termen de 5 ani de la data aderării.</w:t>
            </w:r>
          </w:p>
        </w:tc>
      </w:tr>
      <w:tr w:rsidR="00265766" w:rsidRPr="009E686F" w14:paraId="70E3B434" w14:textId="77777777" w:rsidTr="00960C23">
        <w:tc>
          <w:tcPr>
            <w:tcW w:w="1890" w:type="pct"/>
            <w:tcBorders>
              <w:top w:val="single" w:sz="4" w:space="0" w:color="auto"/>
              <w:left w:val="single" w:sz="4" w:space="0" w:color="auto"/>
              <w:bottom w:val="single" w:sz="4" w:space="0" w:color="auto"/>
              <w:right w:val="single" w:sz="4" w:space="0" w:color="auto"/>
            </w:tcBorders>
          </w:tcPr>
          <w:p w14:paraId="7FB5655E" w14:textId="1B32F598"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(4) ABE elaborează proiecte de standarde tehnice de reglementare pentru a preciza condițiile generale de funcționare a colegiilor de supraveghetori.</w:t>
            </w:r>
          </w:p>
          <w:p w14:paraId="5A3FC812" w14:textId="77777777"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Se deleagă Comisiei competența de a adopta standardele tehnice de reglementare menționate la primul paragraf în conformitate cu articolele 10-14 din Regulamentul (UE) nr. 1093/2010.</w:t>
            </w:r>
          </w:p>
          <w:p w14:paraId="5BEB4F33" w14:textId="77777777"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(5) ABE elaborează proiecte de standarde tehnice de punere în aplicare pentru a stabili funcționarea operațională a colegiilor de supraveghetori.</w:t>
            </w:r>
          </w:p>
          <w:p w14:paraId="18C8A934" w14:textId="77777777"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 xml:space="preserve">Se conferă Comisiei competența de a adopta standardele tehnice de punere în aplicare menționate la primul paragraf în </w:t>
            </w:r>
            <w:r w:rsidRPr="009E686F">
              <w:rPr>
                <w:rFonts w:ascii="Times New Roman" w:hAnsi="Times New Roman" w:cs="Times New Roman"/>
                <w:lang w:val="it-CH"/>
              </w:rPr>
              <w:lastRenderedPageBreak/>
              <w:t>conformitate cu articolul 15 din Regulamentul (UE) nr. 1093/2010.</w:t>
            </w:r>
          </w:p>
          <w:p w14:paraId="6CFED044" w14:textId="650FFD37"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(6) ABE înaintează Comisiei proiectele de standarde tehnice menționate la alineatele (4) și (5) până la 31 decembrie 2014.</w:t>
            </w:r>
          </w:p>
        </w:tc>
        <w:tc>
          <w:tcPr>
            <w:tcW w:w="1834" w:type="pct"/>
            <w:tcBorders>
              <w:top w:val="single" w:sz="4" w:space="0" w:color="auto"/>
              <w:left w:val="single" w:sz="4" w:space="0" w:color="auto"/>
              <w:bottom w:val="single" w:sz="4" w:space="0" w:color="auto"/>
              <w:right w:val="single" w:sz="4" w:space="0" w:color="auto"/>
            </w:tcBorders>
          </w:tcPr>
          <w:p w14:paraId="43F37D58" w14:textId="4F2EDE61" w:rsidR="00265766" w:rsidRPr="009E686F" w:rsidRDefault="00265766" w:rsidP="00265766">
            <w:pPr>
              <w:spacing w:after="0"/>
              <w:jc w:val="both"/>
              <w:rPr>
                <w:rFonts w:ascii="Times New Roman" w:hAnsi="Times New Roman" w:cs="Times New Roman"/>
                <w:b/>
                <w:lang w:val="ro-MD"/>
              </w:rPr>
            </w:pPr>
          </w:p>
        </w:tc>
        <w:tc>
          <w:tcPr>
            <w:tcW w:w="470" w:type="pct"/>
            <w:tcBorders>
              <w:top w:val="single" w:sz="4" w:space="0" w:color="auto"/>
              <w:left w:val="single" w:sz="4" w:space="0" w:color="auto"/>
              <w:bottom w:val="single" w:sz="4" w:space="0" w:color="auto"/>
              <w:right w:val="single" w:sz="4" w:space="0" w:color="auto"/>
            </w:tcBorders>
          </w:tcPr>
          <w:p w14:paraId="6C7341B8" w14:textId="27C6A03E" w:rsidR="00265766" w:rsidRPr="009E686F" w:rsidRDefault="00265766" w:rsidP="00265766">
            <w:pPr>
              <w:jc w:val="both"/>
              <w:rPr>
                <w:rFonts w:ascii="Times New Roman" w:hAnsi="Times New Roman" w:cs="Times New Roman"/>
              </w:rPr>
            </w:pPr>
            <w:r w:rsidRPr="009E686F">
              <w:rPr>
                <w:rFonts w:ascii="Times New Roman" w:hAnsi="Times New Roman" w:cs="Times New Roman"/>
              </w:rPr>
              <w:t>Norme UE neaplicabile</w:t>
            </w:r>
          </w:p>
          <w:p w14:paraId="6C8993A9" w14:textId="77777777" w:rsidR="00265766" w:rsidRPr="009E686F" w:rsidRDefault="00265766" w:rsidP="00265766">
            <w:pPr>
              <w:jc w:val="both"/>
              <w:rPr>
                <w:rFonts w:ascii="Times New Roman" w:hAnsi="Times New Roman" w:cs="Times New Roman"/>
              </w:rPr>
            </w:pPr>
          </w:p>
        </w:tc>
        <w:tc>
          <w:tcPr>
            <w:tcW w:w="806" w:type="pct"/>
            <w:tcBorders>
              <w:top w:val="single" w:sz="4" w:space="0" w:color="auto"/>
              <w:left w:val="single" w:sz="4" w:space="0" w:color="auto"/>
              <w:bottom w:val="single" w:sz="4" w:space="0" w:color="auto"/>
              <w:right w:val="single" w:sz="4" w:space="0" w:color="auto"/>
            </w:tcBorders>
          </w:tcPr>
          <w:p w14:paraId="45DFB30F" w14:textId="69E1F681"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Se referă la competențele ABE</w:t>
            </w:r>
          </w:p>
        </w:tc>
      </w:tr>
      <w:tr w:rsidR="00265766" w:rsidRPr="009E686F" w14:paraId="193C4744" w14:textId="77777777" w:rsidTr="00960C23">
        <w:tc>
          <w:tcPr>
            <w:tcW w:w="1890" w:type="pct"/>
            <w:tcBorders>
              <w:top w:val="single" w:sz="4" w:space="0" w:color="auto"/>
              <w:left w:val="single" w:sz="4" w:space="0" w:color="auto"/>
              <w:bottom w:val="single" w:sz="4" w:space="0" w:color="auto"/>
              <w:right w:val="single" w:sz="4" w:space="0" w:color="auto"/>
            </w:tcBorders>
          </w:tcPr>
          <w:p w14:paraId="53FAA545" w14:textId="77777777" w:rsidR="00265766" w:rsidRPr="009E686F" w:rsidRDefault="00265766" w:rsidP="00265766">
            <w:pPr>
              <w:spacing w:after="0"/>
              <w:jc w:val="both"/>
              <w:rPr>
                <w:rFonts w:ascii="Times New Roman" w:hAnsi="Times New Roman" w:cs="Times New Roman"/>
                <w:i/>
                <w:lang w:val="it-CH"/>
              </w:rPr>
            </w:pPr>
            <w:r w:rsidRPr="009E686F">
              <w:rPr>
                <w:rFonts w:ascii="Times New Roman" w:hAnsi="Times New Roman" w:cs="Times New Roman"/>
                <w:i/>
                <w:lang w:val="it-CH"/>
              </w:rPr>
              <w:t xml:space="preserve">Articolul 52 </w:t>
            </w:r>
          </w:p>
          <w:p w14:paraId="5DC6FF1A" w14:textId="77777777"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Verificări la fața locului și inspecții ale sucursalelor înființate în alt stat membru</w:t>
            </w:r>
          </w:p>
          <w:p w14:paraId="36357A7D" w14:textId="77777777" w:rsidR="00265766" w:rsidRPr="009E686F" w:rsidRDefault="00265766" w:rsidP="00265766">
            <w:pPr>
              <w:spacing w:after="0"/>
              <w:jc w:val="both"/>
              <w:rPr>
                <w:rFonts w:ascii="Times New Roman" w:hAnsi="Times New Roman" w:cs="Times New Roman"/>
                <w:lang w:val="it-CH"/>
              </w:rPr>
            </w:pPr>
          </w:p>
          <w:p w14:paraId="6136F6B8" w14:textId="77777777"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(1) Statele membre gazdă adoptă dispoziții care prevăd că, în cazul în care o instituție autorizată în alt stat membru își desfășoară activitatea prin intermediul unei sucursale, autoritățile competente din statul membru de origine pot desfășura ele însele sau prin intermediul unor persoane pe care le numesc în acest scop, după ce au informat autoritățile competente din statul membru gazdă, verificări la fața locului ale informațiilor prevăzute la articolul 50 și inspecții ale unor astfel de sucursale.</w:t>
            </w:r>
          </w:p>
          <w:p w14:paraId="79FD263E" w14:textId="75F68E2A"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(2) Autoritățile competente din statul membru de origine pot să recurgă, de asemenea, pentru inspecția sucursalelor, la una dintre celelalte proceduri prevăzute la articolul 118.</w:t>
            </w:r>
          </w:p>
        </w:tc>
        <w:tc>
          <w:tcPr>
            <w:tcW w:w="1834" w:type="pct"/>
            <w:tcBorders>
              <w:top w:val="single" w:sz="4" w:space="0" w:color="auto"/>
              <w:left w:val="single" w:sz="4" w:space="0" w:color="auto"/>
              <w:bottom w:val="single" w:sz="4" w:space="0" w:color="auto"/>
              <w:right w:val="single" w:sz="4" w:space="0" w:color="auto"/>
            </w:tcBorders>
          </w:tcPr>
          <w:p w14:paraId="5CB056A7" w14:textId="6297B5D7" w:rsidR="00265766" w:rsidRPr="009E686F" w:rsidRDefault="00265766" w:rsidP="00265766">
            <w:pPr>
              <w:spacing w:after="0"/>
              <w:jc w:val="both"/>
              <w:rPr>
                <w:rFonts w:ascii="Times New Roman" w:hAnsi="Times New Roman" w:cs="Times New Roman"/>
                <w:b/>
                <w:lang w:val="it-CH"/>
              </w:rPr>
            </w:pPr>
            <w:r w:rsidRPr="009E686F">
              <w:rPr>
                <w:rFonts w:ascii="Times New Roman" w:hAnsi="Times New Roman" w:cs="Times New Roman"/>
                <w:b/>
                <w:lang w:val="it-CH"/>
              </w:rPr>
              <w:t>Articolul 108</w:t>
            </w:r>
            <w:r w:rsidRPr="009E686F">
              <w:rPr>
                <w:rFonts w:ascii="Times New Roman" w:hAnsi="Times New Roman" w:cs="Times New Roman"/>
                <w:b/>
                <w:vertAlign w:val="superscript"/>
                <w:lang w:val="it-CH"/>
              </w:rPr>
              <w:t>1</w:t>
            </w:r>
            <w:r w:rsidRPr="009E686F">
              <w:rPr>
                <w:rFonts w:ascii="Times New Roman" w:hAnsi="Times New Roman" w:cs="Times New Roman"/>
                <w:b/>
                <w:lang w:val="it-CH"/>
              </w:rPr>
              <w:t xml:space="preserve"> </w:t>
            </w:r>
          </w:p>
          <w:p w14:paraId="390B5FD3" w14:textId="77777777" w:rsidR="00265766" w:rsidRPr="009E686F" w:rsidRDefault="00265766" w:rsidP="00265766">
            <w:pPr>
              <w:spacing w:after="0"/>
              <w:jc w:val="both"/>
              <w:rPr>
                <w:rFonts w:ascii="Times New Roman" w:hAnsi="Times New Roman" w:cs="Times New Roman"/>
                <w:i/>
                <w:iCs/>
                <w:lang w:val="it-CH"/>
              </w:rPr>
            </w:pPr>
            <w:r w:rsidRPr="009E686F">
              <w:rPr>
                <w:rFonts w:ascii="Times New Roman" w:hAnsi="Times New Roman" w:cs="Times New Roman"/>
                <w:i/>
                <w:iCs/>
                <w:lang w:val="it-CH"/>
              </w:rPr>
              <w:t xml:space="preserve">(1) Pentru verificarea activităţii sucursalelor deschise în alte state membre de către instituţiile de credit, persoane juridice din Republica Moldova, Banca Naţională a Moldovei, în calitate de autoritate competentă din statul membru de origine, poate efectua controale și inspecții pe teren la sediul acestor sucursale, direct sau prin intermediul unor persoane împuternicite în acest scop, cu informarea prealabilă a autorităţilor competente din statele membre gazdă, sau poate solicita efectuarea controalelor și inspecțiilor pe teren de către aceste autorităţi, situaţie în care poate participa la efectuarea controalelor și inspecțiilor pe teren, dacă consideră necesar. </w:t>
            </w:r>
          </w:p>
          <w:p w14:paraId="7FB11520" w14:textId="434D4936" w:rsidR="00265766" w:rsidRPr="009E686F" w:rsidRDefault="00265766" w:rsidP="00265766">
            <w:pPr>
              <w:spacing w:after="0"/>
              <w:jc w:val="both"/>
              <w:rPr>
                <w:rFonts w:ascii="Times New Roman" w:hAnsi="Times New Roman" w:cs="Times New Roman"/>
                <w:i/>
                <w:iCs/>
                <w:lang w:val="it-CH"/>
              </w:rPr>
            </w:pPr>
            <w:r w:rsidRPr="009E686F">
              <w:rPr>
                <w:rFonts w:ascii="Times New Roman" w:hAnsi="Times New Roman" w:cs="Times New Roman"/>
                <w:i/>
                <w:iCs/>
                <w:lang w:val="it-CH"/>
              </w:rPr>
              <w:t>(5) Pentru verificarea activităţii sucursalelor deschise pe teritoriul Republicii Moldove de către instituţiile de credit, persoane juridice din alte state membre, autoritatea competentă din statul membru de origine poate efectua controale și inspecții pe teren la sediul acestor sucursale, direct sau prin intermediul unor persoane împuternicite în acest scop, cu informarea prealabilă a Băncii Naționale a Moldovei, sau poate solicita efectuarea controalelor și inspecțiilor pe teren de către aceasta, situaţie în care Banca Națională a Moldovei poate participa la efectuarea controalelor și inspecțiilor pe teren, dacă consideră necesar.</w:t>
            </w:r>
          </w:p>
        </w:tc>
        <w:tc>
          <w:tcPr>
            <w:tcW w:w="470" w:type="pct"/>
            <w:tcBorders>
              <w:top w:val="single" w:sz="4" w:space="0" w:color="auto"/>
              <w:left w:val="single" w:sz="4" w:space="0" w:color="auto"/>
              <w:bottom w:val="single" w:sz="4" w:space="0" w:color="auto"/>
              <w:right w:val="single" w:sz="4" w:space="0" w:color="auto"/>
            </w:tcBorders>
          </w:tcPr>
          <w:p w14:paraId="015DE9C8" w14:textId="77777777" w:rsidR="00265766" w:rsidRPr="009E686F" w:rsidRDefault="00265766" w:rsidP="00265766">
            <w:pPr>
              <w:jc w:val="both"/>
              <w:rPr>
                <w:rFonts w:ascii="Times New Roman" w:hAnsi="Times New Roman" w:cs="Times New Roman"/>
              </w:rPr>
            </w:pPr>
            <w:r w:rsidRPr="009E686F">
              <w:rPr>
                <w:rFonts w:ascii="Times New Roman" w:hAnsi="Times New Roman" w:cs="Times New Roman"/>
              </w:rPr>
              <w:t>Compatibil</w:t>
            </w:r>
          </w:p>
          <w:p w14:paraId="47846F86" w14:textId="77777777" w:rsidR="00265766" w:rsidRPr="009E686F" w:rsidRDefault="00265766" w:rsidP="00265766">
            <w:pPr>
              <w:jc w:val="both"/>
              <w:rPr>
                <w:rFonts w:ascii="Times New Roman" w:hAnsi="Times New Roman" w:cs="Times New Roman"/>
                <w:lang w:val="it-CH"/>
              </w:rPr>
            </w:pPr>
          </w:p>
        </w:tc>
        <w:tc>
          <w:tcPr>
            <w:tcW w:w="806" w:type="pct"/>
            <w:tcBorders>
              <w:top w:val="single" w:sz="4" w:space="0" w:color="auto"/>
              <w:left w:val="single" w:sz="4" w:space="0" w:color="auto"/>
              <w:bottom w:val="single" w:sz="4" w:space="0" w:color="auto"/>
              <w:right w:val="single" w:sz="4" w:space="0" w:color="auto"/>
            </w:tcBorders>
          </w:tcPr>
          <w:p w14:paraId="3EB74E1B" w14:textId="121C48A8" w:rsidR="00265766" w:rsidRPr="009E686F" w:rsidRDefault="00247A35" w:rsidP="00265766">
            <w:pPr>
              <w:spacing w:after="0"/>
              <w:jc w:val="both"/>
              <w:rPr>
                <w:rFonts w:ascii="Times New Roman" w:hAnsi="Times New Roman" w:cs="Times New Roman"/>
                <w:lang w:val="it-CH"/>
              </w:rPr>
            </w:pPr>
            <w:r w:rsidRPr="009E686F">
              <w:rPr>
                <w:rFonts w:ascii="Times New Roman" w:hAnsi="Times New Roman" w:cs="Times New Roman"/>
                <w:lang w:val="ro-MD"/>
              </w:rPr>
              <w:t>Modificările referitoare la activitatea sucursalelor instituțiilor de credit înființate în state membre – în vigoare în termen de 5 ani de la data aderării.</w:t>
            </w:r>
          </w:p>
        </w:tc>
      </w:tr>
      <w:tr w:rsidR="00265766" w:rsidRPr="009E686F" w14:paraId="1B044F0E" w14:textId="77777777" w:rsidTr="00960C23">
        <w:tc>
          <w:tcPr>
            <w:tcW w:w="1890" w:type="pct"/>
            <w:tcBorders>
              <w:top w:val="single" w:sz="4" w:space="0" w:color="auto"/>
              <w:left w:val="single" w:sz="4" w:space="0" w:color="auto"/>
              <w:bottom w:val="single" w:sz="4" w:space="0" w:color="auto"/>
              <w:right w:val="single" w:sz="4" w:space="0" w:color="auto"/>
            </w:tcBorders>
          </w:tcPr>
          <w:p w14:paraId="2D73158B" w14:textId="77777777"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 xml:space="preserve">(3) Autoritățile competente din statul membru gazdă au competența de a efectua, de la caz la caz, verificări la fața locului și inspecții vizând activitățile desfășurate de sucursalele instituțiilor pe teritoriul lor și de a solicita unei sucursale </w:t>
            </w:r>
            <w:r w:rsidRPr="009E686F">
              <w:rPr>
                <w:rFonts w:ascii="Times New Roman" w:hAnsi="Times New Roman" w:cs="Times New Roman"/>
                <w:lang w:val="it-CH"/>
              </w:rPr>
              <w:lastRenderedPageBreak/>
              <w:t xml:space="preserve">informații cu privire la activitățile sale, în scopul supravegherii, în cazul în care consideră că acest lucru este relevant din motive de stabilitate a sistemului financiar în statul membru gazdă. Înainte de desfășurarea unor asemenea verificări și inspecții, autoritățile competente ale statului gazdă consultă autoritățile competente ale statului membru de origine. </w:t>
            </w:r>
          </w:p>
          <w:p w14:paraId="2577B102" w14:textId="77777777" w:rsidR="00265766" w:rsidRPr="009E686F" w:rsidRDefault="00265766" w:rsidP="00265766">
            <w:pPr>
              <w:spacing w:after="0"/>
              <w:jc w:val="both"/>
              <w:rPr>
                <w:rFonts w:ascii="Times New Roman" w:hAnsi="Times New Roman" w:cs="Times New Roman"/>
                <w:lang w:val="it-CH"/>
              </w:rPr>
            </w:pPr>
          </w:p>
        </w:tc>
        <w:tc>
          <w:tcPr>
            <w:tcW w:w="1834" w:type="pct"/>
            <w:tcBorders>
              <w:top w:val="single" w:sz="4" w:space="0" w:color="auto"/>
              <w:left w:val="single" w:sz="4" w:space="0" w:color="auto"/>
              <w:bottom w:val="single" w:sz="4" w:space="0" w:color="auto"/>
              <w:right w:val="single" w:sz="4" w:space="0" w:color="auto"/>
            </w:tcBorders>
          </w:tcPr>
          <w:p w14:paraId="030AEF58" w14:textId="5597EF04" w:rsidR="00265766" w:rsidRPr="009E686F" w:rsidRDefault="00265766" w:rsidP="00265766">
            <w:pPr>
              <w:spacing w:after="0"/>
              <w:jc w:val="both"/>
              <w:rPr>
                <w:rFonts w:ascii="Times New Roman" w:hAnsi="Times New Roman" w:cs="Times New Roman"/>
                <w:i/>
                <w:lang w:val="it-CH"/>
              </w:rPr>
            </w:pPr>
            <w:r w:rsidRPr="009E686F">
              <w:rPr>
                <w:rFonts w:ascii="Times New Roman" w:hAnsi="Times New Roman" w:cs="Times New Roman"/>
                <w:i/>
                <w:lang w:val="it-CH"/>
              </w:rPr>
              <w:lastRenderedPageBreak/>
              <w:t xml:space="preserve">(2) Autoritatea competentă din statul membru gazdă poate efectua, de la caz la caz, după consultarea Băncii Naţionale a Moldovei, controale și inspecții pe teren la sediul sucursalelor deschise pe teritoriul statului membru respectiv </w:t>
            </w:r>
            <w:r w:rsidRPr="009E686F">
              <w:rPr>
                <w:rFonts w:ascii="Times New Roman" w:hAnsi="Times New Roman" w:cs="Times New Roman"/>
                <w:i/>
                <w:lang w:val="it-CH"/>
              </w:rPr>
              <w:lastRenderedPageBreak/>
              <w:t xml:space="preserve">de instituţiile de credit, persoane juridice din Republica Moldova, şi poate solicita respectivelor sucursale, în scop de supraveghere, informaţii despre activităţile acesteia, pe care le consideră relevante din considerente de stabilitate a sistemului financiar din statul membru gazdă. </w:t>
            </w:r>
          </w:p>
          <w:p w14:paraId="7BCE53A5" w14:textId="446E8319" w:rsidR="00265766" w:rsidRPr="009E686F" w:rsidRDefault="00265766" w:rsidP="00265766">
            <w:pPr>
              <w:spacing w:after="0"/>
              <w:jc w:val="both"/>
              <w:rPr>
                <w:rFonts w:ascii="Times New Roman" w:hAnsi="Times New Roman" w:cs="Times New Roman"/>
                <w:i/>
                <w:lang w:val="it-CH"/>
              </w:rPr>
            </w:pPr>
            <w:r w:rsidRPr="009E686F">
              <w:rPr>
                <w:rFonts w:ascii="Times New Roman" w:hAnsi="Times New Roman" w:cs="Times New Roman"/>
                <w:i/>
                <w:lang w:val="it-CH"/>
              </w:rPr>
              <w:t>(6) Banca Naţională a Moldovei, în calitate de autoritate competentă din statul membru gazdă,  poate efectua, de la caz la caz, după consultarea autorităţii competente din statul membru de origine, controale și inspecții pe teren la sediul sucursalelor deschise pe teritoriul Republicii Moldova de instituţiile de credit din alte state membre şi poate solicita respectivelor sucursale informaţii despre activităţile acesteia şi în scop de supraveghere, pe care le consideră relevante din considerente de stabilitate a sistemului financiar din Republica Moldova.</w:t>
            </w:r>
          </w:p>
        </w:tc>
        <w:tc>
          <w:tcPr>
            <w:tcW w:w="470" w:type="pct"/>
            <w:tcBorders>
              <w:top w:val="single" w:sz="4" w:space="0" w:color="auto"/>
              <w:left w:val="single" w:sz="4" w:space="0" w:color="auto"/>
              <w:bottom w:val="single" w:sz="4" w:space="0" w:color="auto"/>
              <w:right w:val="single" w:sz="4" w:space="0" w:color="auto"/>
            </w:tcBorders>
          </w:tcPr>
          <w:p w14:paraId="1689940E" w14:textId="77777777" w:rsidR="00265766" w:rsidRPr="009E686F" w:rsidRDefault="00265766" w:rsidP="00265766">
            <w:pPr>
              <w:jc w:val="both"/>
              <w:rPr>
                <w:rFonts w:ascii="Times New Roman" w:hAnsi="Times New Roman" w:cs="Times New Roman"/>
              </w:rPr>
            </w:pPr>
            <w:r w:rsidRPr="009E686F">
              <w:rPr>
                <w:rFonts w:ascii="Times New Roman" w:hAnsi="Times New Roman" w:cs="Times New Roman"/>
              </w:rPr>
              <w:lastRenderedPageBreak/>
              <w:t xml:space="preserve">Compatibil </w:t>
            </w:r>
          </w:p>
          <w:p w14:paraId="356BCA71" w14:textId="77777777" w:rsidR="00265766" w:rsidRPr="009E686F" w:rsidRDefault="00265766" w:rsidP="00265766">
            <w:pPr>
              <w:jc w:val="both"/>
              <w:rPr>
                <w:rFonts w:ascii="Times New Roman" w:hAnsi="Times New Roman" w:cs="Times New Roman"/>
                <w:lang w:val="it-CH"/>
              </w:rPr>
            </w:pPr>
          </w:p>
        </w:tc>
        <w:tc>
          <w:tcPr>
            <w:tcW w:w="806" w:type="pct"/>
            <w:tcBorders>
              <w:top w:val="single" w:sz="4" w:space="0" w:color="auto"/>
              <w:left w:val="single" w:sz="4" w:space="0" w:color="auto"/>
              <w:bottom w:val="single" w:sz="4" w:space="0" w:color="auto"/>
              <w:right w:val="single" w:sz="4" w:space="0" w:color="auto"/>
            </w:tcBorders>
          </w:tcPr>
          <w:p w14:paraId="0342214E" w14:textId="3BAB96F7" w:rsidR="00265766" w:rsidRPr="009E686F" w:rsidRDefault="000E0E8F" w:rsidP="00265766">
            <w:pPr>
              <w:spacing w:after="0"/>
              <w:jc w:val="both"/>
              <w:rPr>
                <w:rFonts w:ascii="Times New Roman" w:hAnsi="Times New Roman" w:cs="Times New Roman"/>
                <w:lang w:val="it-CH"/>
              </w:rPr>
            </w:pPr>
            <w:r w:rsidRPr="009E686F">
              <w:rPr>
                <w:rFonts w:ascii="Times New Roman" w:hAnsi="Times New Roman" w:cs="Times New Roman"/>
                <w:lang w:val="ro-MD"/>
              </w:rPr>
              <w:t xml:space="preserve">Modificările referitoare la activitatea sucursalelor instituțiilor de credit înființate în state membre </w:t>
            </w:r>
            <w:r w:rsidRPr="009E686F">
              <w:rPr>
                <w:rFonts w:ascii="Times New Roman" w:hAnsi="Times New Roman" w:cs="Times New Roman"/>
                <w:lang w:val="ro-MD"/>
              </w:rPr>
              <w:lastRenderedPageBreak/>
              <w:t>– în vigoare în termen de 5 ani de la data aderării.</w:t>
            </w:r>
          </w:p>
        </w:tc>
      </w:tr>
      <w:tr w:rsidR="00265766" w:rsidRPr="009E686F" w14:paraId="3C5AB9A3" w14:textId="77777777" w:rsidTr="00960C23">
        <w:tc>
          <w:tcPr>
            <w:tcW w:w="1890" w:type="pct"/>
            <w:tcBorders>
              <w:top w:val="single" w:sz="4" w:space="0" w:color="auto"/>
              <w:left w:val="single" w:sz="4" w:space="0" w:color="auto"/>
              <w:bottom w:val="single" w:sz="4" w:space="0" w:color="auto"/>
              <w:right w:val="single" w:sz="4" w:space="0" w:color="auto"/>
            </w:tcBorders>
          </w:tcPr>
          <w:p w14:paraId="7B67F54E" w14:textId="210A99E4"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lastRenderedPageBreak/>
              <w:t>După astfel de verificări și inspecții, autoritățile competente din statul membru gazdă comunică autorităților competente din statul membru de origine informațiile obținute și constatările care sunt relevante pentru evaluarea riscurilor legate de instituție sau pentru stabilitatea sistemului financiar din statul membru gazdă.</w:t>
            </w:r>
          </w:p>
          <w:p w14:paraId="640A3AFD" w14:textId="7785E003"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Autoritățile competente ale statului membru de origine iau în considerare în mod corespunzător informațiile și constatările respective la stabilirea programului de supraveghere prudențială menționat la articolul 99, având în vedere, de asemenea, stabilitatea sistemului financiar din statul membru gazdă.</w:t>
            </w:r>
          </w:p>
          <w:p w14:paraId="727C68FD" w14:textId="77777777" w:rsidR="00265766" w:rsidRPr="009E686F" w:rsidRDefault="00265766" w:rsidP="00265766">
            <w:pPr>
              <w:spacing w:after="0"/>
              <w:jc w:val="both"/>
              <w:rPr>
                <w:rFonts w:ascii="Times New Roman" w:hAnsi="Times New Roman" w:cs="Times New Roman"/>
                <w:lang w:val="it-CH"/>
              </w:rPr>
            </w:pPr>
          </w:p>
          <w:p w14:paraId="659A4B2B" w14:textId="77777777" w:rsidR="00265766" w:rsidRPr="009E686F" w:rsidRDefault="00265766" w:rsidP="00265766">
            <w:pPr>
              <w:spacing w:after="0"/>
              <w:jc w:val="both"/>
              <w:rPr>
                <w:rFonts w:ascii="Times New Roman" w:hAnsi="Times New Roman" w:cs="Times New Roman"/>
                <w:lang w:val="it-CH"/>
              </w:rPr>
            </w:pPr>
          </w:p>
          <w:p w14:paraId="380691C9" w14:textId="3F616292"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 xml:space="preserve"> </w:t>
            </w:r>
          </w:p>
        </w:tc>
        <w:tc>
          <w:tcPr>
            <w:tcW w:w="1834" w:type="pct"/>
            <w:tcBorders>
              <w:top w:val="single" w:sz="4" w:space="0" w:color="auto"/>
              <w:left w:val="single" w:sz="4" w:space="0" w:color="auto"/>
              <w:bottom w:val="single" w:sz="4" w:space="0" w:color="auto"/>
              <w:right w:val="single" w:sz="4" w:space="0" w:color="auto"/>
            </w:tcBorders>
          </w:tcPr>
          <w:p w14:paraId="6495F156" w14:textId="77777777" w:rsidR="00265766" w:rsidRPr="009E686F" w:rsidRDefault="00265766" w:rsidP="00265766">
            <w:pPr>
              <w:spacing w:after="0"/>
              <w:jc w:val="both"/>
              <w:rPr>
                <w:rFonts w:ascii="Times New Roman" w:hAnsi="Times New Roman" w:cs="Times New Roman"/>
                <w:i/>
                <w:lang w:val="it-CH"/>
              </w:rPr>
            </w:pPr>
            <w:r w:rsidRPr="009E686F">
              <w:rPr>
                <w:rFonts w:ascii="Times New Roman" w:hAnsi="Times New Roman" w:cs="Times New Roman"/>
                <w:i/>
                <w:lang w:val="it-CH"/>
              </w:rPr>
              <w:t xml:space="preserve">(3) Informaţiile şi constatările relevante pentru evaluarea riscurilor instituţiei de credit sau pentru stabilitatea sistemului financiar din statul membru gazdă, comunicate Băncii Naţionale a Moldvei de către autoritatea competentă din statul membru gazdă în urma controalelor și inspecțiilor pe teren efectuate potrivit prevederilor alin. (2), sunt avute în vedere de Banca Naţională a Moldovei în mod corespunzător la stabilirea programului de supraveghere prudenţială prevăzut la art. 106, cu luarea în considerare şi a stabilităţii sistemului financiar din statul membru gazdă. </w:t>
            </w:r>
          </w:p>
          <w:p w14:paraId="6027D695" w14:textId="68B96CC8" w:rsidR="00265766" w:rsidRPr="009E686F" w:rsidRDefault="00265766" w:rsidP="00265766">
            <w:pPr>
              <w:spacing w:after="0"/>
              <w:jc w:val="both"/>
              <w:rPr>
                <w:rFonts w:ascii="Times New Roman" w:hAnsi="Times New Roman" w:cs="Times New Roman"/>
                <w:i/>
                <w:iCs/>
                <w:lang w:val="it-CH"/>
              </w:rPr>
            </w:pPr>
            <w:r w:rsidRPr="009E686F">
              <w:rPr>
                <w:rFonts w:ascii="Times New Roman" w:hAnsi="Times New Roman" w:cs="Times New Roman"/>
                <w:i/>
                <w:lang w:val="it-CH"/>
              </w:rPr>
              <w:t xml:space="preserve">(7) Banca Naţională a Moldovei comunică autorităţii competente din statul membru de origine informaţiile obţinute şi constatările rezultate în urma controalelor și inspecțiilor pe teren efectuate potrivit alin. </w:t>
            </w:r>
            <w:r w:rsidRPr="009E686F">
              <w:rPr>
                <w:rFonts w:ascii="Times New Roman" w:hAnsi="Times New Roman" w:cs="Times New Roman"/>
                <w:i/>
                <w:iCs/>
                <w:lang w:val="it-CH"/>
              </w:rPr>
              <w:t>(6), care sunt relevante pentru evaluarea riscurilor instituţiei de credit sau pentru stabilitatea sistemului financiar din Republica Moldova.</w:t>
            </w:r>
          </w:p>
        </w:tc>
        <w:tc>
          <w:tcPr>
            <w:tcW w:w="470" w:type="pct"/>
            <w:tcBorders>
              <w:top w:val="single" w:sz="4" w:space="0" w:color="auto"/>
              <w:left w:val="single" w:sz="4" w:space="0" w:color="auto"/>
              <w:bottom w:val="single" w:sz="4" w:space="0" w:color="auto"/>
              <w:right w:val="single" w:sz="4" w:space="0" w:color="auto"/>
            </w:tcBorders>
          </w:tcPr>
          <w:p w14:paraId="3CA40363" w14:textId="6B1AA008" w:rsidR="00265766" w:rsidRPr="009E686F" w:rsidRDefault="00265766" w:rsidP="00265766">
            <w:pPr>
              <w:jc w:val="both"/>
              <w:rPr>
                <w:rFonts w:ascii="Times New Roman" w:hAnsi="Times New Roman" w:cs="Times New Roman"/>
              </w:rPr>
            </w:pPr>
            <w:r w:rsidRPr="009E686F">
              <w:rPr>
                <w:rFonts w:ascii="Times New Roman" w:hAnsi="Times New Roman" w:cs="Times New Roman"/>
              </w:rPr>
              <w:t xml:space="preserve">Compatibil </w:t>
            </w:r>
          </w:p>
          <w:p w14:paraId="04759951" w14:textId="77777777" w:rsidR="00265766" w:rsidRPr="009E686F" w:rsidRDefault="00265766" w:rsidP="00265766">
            <w:pPr>
              <w:jc w:val="both"/>
              <w:rPr>
                <w:rFonts w:ascii="Times New Roman" w:hAnsi="Times New Roman" w:cs="Times New Roman"/>
              </w:rPr>
            </w:pPr>
          </w:p>
        </w:tc>
        <w:tc>
          <w:tcPr>
            <w:tcW w:w="806" w:type="pct"/>
            <w:tcBorders>
              <w:top w:val="single" w:sz="4" w:space="0" w:color="auto"/>
              <w:left w:val="single" w:sz="4" w:space="0" w:color="auto"/>
              <w:bottom w:val="single" w:sz="4" w:space="0" w:color="auto"/>
              <w:right w:val="single" w:sz="4" w:space="0" w:color="auto"/>
            </w:tcBorders>
          </w:tcPr>
          <w:p w14:paraId="0A464C54" w14:textId="326728DA" w:rsidR="00265766" w:rsidRPr="009E686F" w:rsidRDefault="000E0E8F" w:rsidP="00265766">
            <w:pPr>
              <w:spacing w:after="0"/>
              <w:jc w:val="both"/>
              <w:rPr>
                <w:rFonts w:ascii="Times New Roman" w:hAnsi="Times New Roman" w:cs="Times New Roman"/>
                <w:lang w:val="it-CH"/>
              </w:rPr>
            </w:pPr>
            <w:r w:rsidRPr="009E686F">
              <w:rPr>
                <w:rFonts w:ascii="Times New Roman" w:hAnsi="Times New Roman" w:cs="Times New Roman"/>
                <w:lang w:val="ro-MD"/>
              </w:rPr>
              <w:t>Modificările referitoare la activitatea sucursalelor instituțiilor de credit înființate în state membre – în vigoare în termen de 5 ani de la data aderării.</w:t>
            </w:r>
          </w:p>
        </w:tc>
      </w:tr>
      <w:tr w:rsidR="00265766" w:rsidRPr="009E686F" w14:paraId="2C8C9CD4" w14:textId="77777777" w:rsidTr="00960C23">
        <w:tc>
          <w:tcPr>
            <w:tcW w:w="1890" w:type="pct"/>
            <w:tcBorders>
              <w:top w:val="single" w:sz="4" w:space="0" w:color="auto"/>
              <w:left w:val="single" w:sz="4" w:space="0" w:color="auto"/>
              <w:bottom w:val="single" w:sz="4" w:space="0" w:color="auto"/>
              <w:right w:val="single" w:sz="4" w:space="0" w:color="auto"/>
            </w:tcBorders>
          </w:tcPr>
          <w:p w14:paraId="64F116E3" w14:textId="6F86A84A"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lastRenderedPageBreak/>
              <w:t>(4) Verificările la fața locului și inspecțiile sucursalelor se desfășoară în conformitate cu dreptul statului membru în care are loc verificarea sau inspecția.</w:t>
            </w:r>
          </w:p>
        </w:tc>
        <w:tc>
          <w:tcPr>
            <w:tcW w:w="1834" w:type="pct"/>
            <w:tcBorders>
              <w:top w:val="single" w:sz="4" w:space="0" w:color="auto"/>
              <w:left w:val="single" w:sz="4" w:space="0" w:color="auto"/>
              <w:bottom w:val="single" w:sz="4" w:space="0" w:color="auto"/>
              <w:right w:val="single" w:sz="4" w:space="0" w:color="auto"/>
            </w:tcBorders>
          </w:tcPr>
          <w:p w14:paraId="192B278B" w14:textId="39E2354C" w:rsidR="00265766" w:rsidRPr="009E686F" w:rsidRDefault="00265766" w:rsidP="00265766">
            <w:pPr>
              <w:spacing w:after="0"/>
              <w:jc w:val="both"/>
              <w:rPr>
                <w:rFonts w:ascii="Times New Roman" w:hAnsi="Times New Roman" w:cs="Times New Roman"/>
                <w:i/>
                <w:lang w:val="it-CH"/>
              </w:rPr>
            </w:pPr>
            <w:r w:rsidRPr="009E686F">
              <w:rPr>
                <w:rFonts w:ascii="Times New Roman" w:hAnsi="Times New Roman" w:cs="Times New Roman"/>
                <w:i/>
                <w:lang w:val="it-CH"/>
              </w:rPr>
              <w:t>(4)  Controalele și inspecțiile pe teren la sediul sucursalelor deschise în alte state membre de instituţiile de credit, persoane juridice din Republica Moldova, se desfăşoară în conformitate cu legislaţia statelor membre în care se efectuează controlul sau inspecţia..</w:t>
            </w:r>
          </w:p>
        </w:tc>
        <w:tc>
          <w:tcPr>
            <w:tcW w:w="470" w:type="pct"/>
            <w:tcBorders>
              <w:top w:val="single" w:sz="4" w:space="0" w:color="auto"/>
              <w:left w:val="single" w:sz="4" w:space="0" w:color="auto"/>
              <w:bottom w:val="single" w:sz="4" w:space="0" w:color="auto"/>
              <w:right w:val="single" w:sz="4" w:space="0" w:color="auto"/>
            </w:tcBorders>
          </w:tcPr>
          <w:p w14:paraId="1A046875" w14:textId="5C67B1FB" w:rsidR="00265766" w:rsidRPr="009E686F" w:rsidRDefault="00265766" w:rsidP="00265766">
            <w:pPr>
              <w:jc w:val="both"/>
              <w:rPr>
                <w:rFonts w:ascii="Times New Roman" w:hAnsi="Times New Roman" w:cs="Times New Roman"/>
              </w:rPr>
            </w:pPr>
            <w:r w:rsidRPr="009E686F">
              <w:rPr>
                <w:rFonts w:ascii="Times New Roman" w:hAnsi="Times New Roman" w:cs="Times New Roman"/>
              </w:rPr>
              <w:t>Compatibil</w:t>
            </w:r>
            <w:r w:rsidRPr="009E686F" w:rsidDel="00417438">
              <w:rPr>
                <w:rFonts w:ascii="Times New Roman" w:hAnsi="Times New Roman" w:cs="Times New Roman"/>
              </w:rPr>
              <w:t xml:space="preserve"> </w:t>
            </w:r>
          </w:p>
        </w:tc>
        <w:tc>
          <w:tcPr>
            <w:tcW w:w="806" w:type="pct"/>
            <w:tcBorders>
              <w:top w:val="single" w:sz="4" w:space="0" w:color="auto"/>
              <w:left w:val="single" w:sz="4" w:space="0" w:color="auto"/>
              <w:bottom w:val="single" w:sz="4" w:space="0" w:color="auto"/>
              <w:right w:val="single" w:sz="4" w:space="0" w:color="auto"/>
            </w:tcBorders>
          </w:tcPr>
          <w:p w14:paraId="5DE82591" w14:textId="2E875CEB" w:rsidR="00265766" w:rsidRPr="009E686F" w:rsidRDefault="00265766" w:rsidP="00265766">
            <w:pPr>
              <w:spacing w:after="0"/>
              <w:jc w:val="both"/>
              <w:rPr>
                <w:rFonts w:ascii="Times New Roman" w:hAnsi="Times New Roman" w:cs="Times New Roman"/>
              </w:rPr>
            </w:pPr>
          </w:p>
        </w:tc>
      </w:tr>
      <w:tr w:rsidR="00265766" w:rsidRPr="009E686F" w14:paraId="4DB4F67D" w14:textId="77777777" w:rsidTr="00960C23">
        <w:tc>
          <w:tcPr>
            <w:tcW w:w="1890" w:type="pct"/>
            <w:tcBorders>
              <w:top w:val="single" w:sz="4" w:space="0" w:color="auto"/>
              <w:left w:val="single" w:sz="4" w:space="0" w:color="auto"/>
              <w:bottom w:val="single" w:sz="4" w:space="0" w:color="auto"/>
              <w:right w:val="single" w:sz="4" w:space="0" w:color="auto"/>
            </w:tcBorders>
          </w:tcPr>
          <w:p w14:paraId="462A7396" w14:textId="77777777" w:rsidR="00265766" w:rsidRPr="009E686F" w:rsidRDefault="00265766" w:rsidP="00265766">
            <w:pPr>
              <w:spacing w:after="0"/>
              <w:jc w:val="both"/>
              <w:rPr>
                <w:rFonts w:ascii="Times New Roman" w:hAnsi="Times New Roman" w:cs="Times New Roman"/>
                <w:bCs/>
                <w:lang w:val="it-CH"/>
              </w:rPr>
            </w:pPr>
            <w:r w:rsidRPr="009E686F">
              <w:rPr>
                <w:rFonts w:ascii="Times New Roman" w:hAnsi="Times New Roman" w:cs="Times New Roman"/>
                <w:bCs/>
                <w:lang w:val="it-CH"/>
              </w:rPr>
              <w:t>Secțiunea II</w:t>
            </w:r>
          </w:p>
          <w:p w14:paraId="65A117F5" w14:textId="77777777"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b/>
                <w:lang w:val="it-CH"/>
              </w:rPr>
              <w:t>Schimbul de informații și secretul profesional</w:t>
            </w:r>
          </w:p>
        </w:tc>
        <w:tc>
          <w:tcPr>
            <w:tcW w:w="1834" w:type="pct"/>
            <w:tcBorders>
              <w:top w:val="single" w:sz="4" w:space="0" w:color="auto"/>
              <w:left w:val="single" w:sz="4" w:space="0" w:color="auto"/>
              <w:bottom w:val="single" w:sz="4" w:space="0" w:color="auto"/>
              <w:right w:val="single" w:sz="4" w:space="0" w:color="auto"/>
            </w:tcBorders>
          </w:tcPr>
          <w:p w14:paraId="311E6E3D" w14:textId="77777777" w:rsidR="00265766" w:rsidRPr="009E686F" w:rsidRDefault="00265766" w:rsidP="00265766">
            <w:pPr>
              <w:spacing w:after="0"/>
              <w:jc w:val="both"/>
              <w:rPr>
                <w:rFonts w:ascii="Times New Roman" w:hAnsi="Times New Roman" w:cs="Times New Roman"/>
                <w:b/>
                <w:lang w:val="it-CH"/>
              </w:rPr>
            </w:pPr>
            <w:r w:rsidRPr="009E686F">
              <w:rPr>
                <w:rFonts w:ascii="Times New Roman" w:hAnsi="Times New Roman" w:cs="Times New Roman"/>
                <w:b/>
                <w:lang w:val="it-CH"/>
              </w:rPr>
              <w:t>Capitolul 3</w:t>
            </w:r>
          </w:p>
          <w:p w14:paraId="7777E8E8" w14:textId="77777777" w:rsidR="00265766" w:rsidRPr="009E686F" w:rsidRDefault="00265766" w:rsidP="00265766">
            <w:pPr>
              <w:spacing w:after="0"/>
              <w:jc w:val="both"/>
              <w:rPr>
                <w:rFonts w:ascii="Times New Roman" w:hAnsi="Times New Roman" w:cs="Times New Roman"/>
                <w:b/>
                <w:lang w:val="it-CH"/>
              </w:rPr>
            </w:pPr>
            <w:r w:rsidRPr="009E686F">
              <w:rPr>
                <w:rFonts w:ascii="Times New Roman" w:hAnsi="Times New Roman" w:cs="Times New Roman"/>
                <w:b/>
                <w:lang w:val="it-CH"/>
              </w:rPr>
              <w:t>SCHIMBUL DE INFORMAŢII CU ALTE AUTORITĂŢI COMPETENTE ŞI</w:t>
            </w:r>
          </w:p>
          <w:p w14:paraId="4E2F08D0" w14:textId="77777777" w:rsidR="00265766" w:rsidRPr="009E686F" w:rsidRDefault="00265766" w:rsidP="00265766">
            <w:pPr>
              <w:spacing w:after="0"/>
              <w:jc w:val="both"/>
              <w:rPr>
                <w:rFonts w:ascii="Times New Roman" w:hAnsi="Times New Roman" w:cs="Times New Roman"/>
                <w:b/>
                <w:lang w:val="pt-BR"/>
              </w:rPr>
            </w:pPr>
            <w:r w:rsidRPr="009E686F">
              <w:rPr>
                <w:rFonts w:ascii="Times New Roman" w:hAnsi="Times New Roman" w:cs="Times New Roman"/>
                <w:b/>
                <w:lang w:val="pt-BR"/>
              </w:rPr>
              <w:t>ASIGURAREA CONFIDENŢIALITĂŢII ÎN PROCESUL DE EXERCITARE</w:t>
            </w:r>
          </w:p>
          <w:p w14:paraId="3D8B2688" w14:textId="7D71E934" w:rsidR="00265766" w:rsidRPr="009E686F" w:rsidRDefault="00265766" w:rsidP="00265766">
            <w:pPr>
              <w:spacing w:after="0"/>
              <w:jc w:val="both"/>
              <w:rPr>
                <w:rFonts w:ascii="Times New Roman" w:hAnsi="Times New Roman" w:cs="Times New Roman"/>
                <w:b/>
                <w:lang w:val="it-CH"/>
              </w:rPr>
            </w:pPr>
            <w:r w:rsidRPr="009E686F">
              <w:rPr>
                <w:rFonts w:ascii="Times New Roman" w:hAnsi="Times New Roman" w:cs="Times New Roman"/>
                <w:b/>
                <w:lang w:val="it-CH"/>
              </w:rPr>
              <w:t>A ATRIBUŢIILOR DE SUPRAVEGHERE</w:t>
            </w:r>
          </w:p>
        </w:tc>
        <w:tc>
          <w:tcPr>
            <w:tcW w:w="470" w:type="pct"/>
            <w:tcBorders>
              <w:top w:val="single" w:sz="4" w:space="0" w:color="auto"/>
              <w:left w:val="single" w:sz="4" w:space="0" w:color="auto"/>
              <w:bottom w:val="single" w:sz="4" w:space="0" w:color="auto"/>
              <w:right w:val="single" w:sz="4" w:space="0" w:color="auto"/>
            </w:tcBorders>
          </w:tcPr>
          <w:p w14:paraId="3AE5268F" w14:textId="77777777" w:rsidR="00265766" w:rsidRPr="009E686F" w:rsidRDefault="00265766" w:rsidP="00265766">
            <w:pPr>
              <w:jc w:val="both"/>
              <w:rPr>
                <w:rFonts w:ascii="Times New Roman" w:hAnsi="Times New Roman" w:cs="Times New Roman"/>
                <w:lang w:val="it-CH"/>
              </w:rPr>
            </w:pPr>
          </w:p>
        </w:tc>
        <w:tc>
          <w:tcPr>
            <w:tcW w:w="806" w:type="pct"/>
            <w:tcBorders>
              <w:top w:val="single" w:sz="4" w:space="0" w:color="auto"/>
              <w:left w:val="single" w:sz="4" w:space="0" w:color="auto"/>
              <w:bottom w:val="single" w:sz="4" w:space="0" w:color="auto"/>
              <w:right w:val="single" w:sz="4" w:space="0" w:color="auto"/>
            </w:tcBorders>
          </w:tcPr>
          <w:p w14:paraId="54DF0C5D" w14:textId="3628161D" w:rsidR="00265766" w:rsidRPr="009E686F" w:rsidRDefault="00265766" w:rsidP="00265766">
            <w:pPr>
              <w:spacing w:after="0"/>
              <w:jc w:val="both"/>
              <w:rPr>
                <w:rFonts w:ascii="Times New Roman" w:hAnsi="Times New Roman" w:cs="Times New Roman"/>
                <w:lang w:val="it-CH"/>
              </w:rPr>
            </w:pPr>
          </w:p>
        </w:tc>
      </w:tr>
      <w:tr w:rsidR="00265766" w:rsidRPr="009E686F" w14:paraId="12204A2B" w14:textId="77777777" w:rsidTr="00960C23">
        <w:tc>
          <w:tcPr>
            <w:tcW w:w="1890" w:type="pct"/>
            <w:tcBorders>
              <w:top w:val="single" w:sz="4" w:space="0" w:color="auto"/>
              <w:left w:val="single" w:sz="4" w:space="0" w:color="auto"/>
              <w:bottom w:val="single" w:sz="4" w:space="0" w:color="auto"/>
              <w:right w:val="single" w:sz="4" w:space="0" w:color="auto"/>
            </w:tcBorders>
          </w:tcPr>
          <w:p w14:paraId="3D0D79F6" w14:textId="77777777" w:rsidR="00265766" w:rsidRPr="009E686F" w:rsidRDefault="00265766" w:rsidP="00265766">
            <w:pPr>
              <w:spacing w:after="0"/>
              <w:jc w:val="both"/>
              <w:rPr>
                <w:rFonts w:ascii="Times New Roman" w:hAnsi="Times New Roman" w:cs="Times New Roman"/>
                <w:i/>
                <w:iCs/>
              </w:rPr>
            </w:pPr>
            <w:r w:rsidRPr="009E686F">
              <w:rPr>
                <w:rFonts w:ascii="Times New Roman" w:hAnsi="Times New Roman" w:cs="Times New Roman"/>
                <w:i/>
                <w:iCs/>
              </w:rPr>
              <w:t>Articolul 53</w:t>
            </w:r>
          </w:p>
          <w:p w14:paraId="4B46FC98" w14:textId="490CB918" w:rsidR="00265766" w:rsidRPr="009E686F" w:rsidRDefault="00265766" w:rsidP="00265766">
            <w:pPr>
              <w:spacing w:after="0"/>
              <w:jc w:val="both"/>
              <w:rPr>
                <w:rFonts w:ascii="Times New Roman" w:hAnsi="Times New Roman" w:cs="Times New Roman"/>
                <w:i/>
                <w:iCs/>
              </w:rPr>
            </w:pPr>
            <w:r w:rsidRPr="009E686F">
              <w:rPr>
                <w:rFonts w:ascii="Times New Roman" w:hAnsi="Times New Roman" w:cs="Times New Roman"/>
              </w:rPr>
              <w:t>Secretul profesional</w:t>
            </w:r>
          </w:p>
        </w:tc>
        <w:tc>
          <w:tcPr>
            <w:tcW w:w="1834" w:type="pct"/>
            <w:tcBorders>
              <w:top w:val="single" w:sz="4" w:space="0" w:color="auto"/>
              <w:left w:val="single" w:sz="4" w:space="0" w:color="auto"/>
              <w:bottom w:val="single" w:sz="4" w:space="0" w:color="auto"/>
              <w:right w:val="single" w:sz="4" w:space="0" w:color="auto"/>
            </w:tcBorders>
          </w:tcPr>
          <w:p w14:paraId="4AA547FB" w14:textId="7EA98575"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b/>
                <w:bCs/>
                <w:lang w:val="it-CH"/>
              </w:rPr>
              <w:t>Articolul 126.</w:t>
            </w:r>
            <w:r w:rsidRPr="009E686F">
              <w:rPr>
                <w:rFonts w:ascii="Times New Roman" w:hAnsi="Times New Roman" w:cs="Times New Roman"/>
                <w:lang w:val="it-CH"/>
              </w:rPr>
              <w:t xml:space="preserve"> Secretul profesional al Băncii Naționale a Moldovei</w:t>
            </w:r>
          </w:p>
        </w:tc>
        <w:tc>
          <w:tcPr>
            <w:tcW w:w="470" w:type="pct"/>
            <w:tcBorders>
              <w:top w:val="single" w:sz="4" w:space="0" w:color="auto"/>
              <w:left w:val="single" w:sz="4" w:space="0" w:color="auto"/>
              <w:bottom w:val="single" w:sz="4" w:space="0" w:color="auto"/>
              <w:right w:val="single" w:sz="4" w:space="0" w:color="auto"/>
            </w:tcBorders>
          </w:tcPr>
          <w:p w14:paraId="52163892" w14:textId="010491F0" w:rsidR="00265766" w:rsidRPr="009E686F" w:rsidRDefault="00265766" w:rsidP="00265766">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2FD7C6A0" w14:textId="0405157E" w:rsidR="00265766" w:rsidRPr="009E686F" w:rsidRDefault="00265766" w:rsidP="00265766">
            <w:pPr>
              <w:spacing w:after="0"/>
              <w:jc w:val="both"/>
              <w:rPr>
                <w:rFonts w:ascii="Times New Roman" w:hAnsi="Times New Roman" w:cs="Times New Roman"/>
              </w:rPr>
            </w:pPr>
          </w:p>
        </w:tc>
      </w:tr>
      <w:tr w:rsidR="00265766" w:rsidRPr="009E686F" w14:paraId="162B3419" w14:textId="77777777" w:rsidTr="007179CB">
        <w:tc>
          <w:tcPr>
            <w:tcW w:w="1890" w:type="pct"/>
            <w:vMerge w:val="restart"/>
            <w:tcBorders>
              <w:top w:val="single" w:sz="4" w:space="0" w:color="auto"/>
              <w:left w:val="single" w:sz="4" w:space="0" w:color="auto"/>
              <w:right w:val="single" w:sz="4" w:space="0" w:color="auto"/>
            </w:tcBorders>
          </w:tcPr>
          <w:p w14:paraId="118D4F9A" w14:textId="0A92F6D7" w:rsidR="00265766" w:rsidRPr="009E686F" w:rsidRDefault="00265766" w:rsidP="00265766">
            <w:pPr>
              <w:spacing w:after="0"/>
              <w:jc w:val="both"/>
              <w:rPr>
                <w:rFonts w:ascii="Times New Roman" w:hAnsi="Times New Roman" w:cs="Times New Roman"/>
              </w:rPr>
            </w:pPr>
            <w:r w:rsidRPr="009E686F">
              <w:rPr>
                <w:rFonts w:ascii="Times New Roman" w:hAnsi="Times New Roman" w:cs="Times New Roman"/>
              </w:rPr>
              <w:t>(1) Statele membre adoptă dispoziții care prevăd că toate persoanele care lucrează sau au lucrat pentru autoritățile competente, precum și auditorii sau experții care au acționat în numele autorităților competente, sunt obligate să respecte secretul profesional.</w:t>
            </w:r>
          </w:p>
        </w:tc>
        <w:tc>
          <w:tcPr>
            <w:tcW w:w="1834" w:type="pct"/>
            <w:tcBorders>
              <w:top w:val="single" w:sz="4" w:space="0" w:color="auto"/>
              <w:left w:val="single" w:sz="4" w:space="0" w:color="auto"/>
              <w:bottom w:val="single" w:sz="4" w:space="0" w:color="auto"/>
              <w:right w:val="single" w:sz="4" w:space="0" w:color="auto"/>
            </w:tcBorders>
          </w:tcPr>
          <w:p w14:paraId="524B5A26" w14:textId="350FBB6A" w:rsidR="00265766" w:rsidRPr="009E686F" w:rsidRDefault="00265766" w:rsidP="00265766">
            <w:pPr>
              <w:spacing w:after="0"/>
              <w:jc w:val="both"/>
              <w:rPr>
                <w:rFonts w:ascii="Times New Roman" w:hAnsi="Times New Roman" w:cs="Times New Roman"/>
                <w:lang w:val="ro-MD"/>
              </w:rPr>
            </w:pPr>
            <w:r w:rsidRPr="009E686F">
              <w:rPr>
                <w:rFonts w:ascii="Times New Roman" w:eastAsia="Aptos" w:hAnsi="Times New Roman" w:cs="Times New Roman"/>
                <w:kern w:val="2"/>
                <w:lang w:val="ro-MD"/>
              </w:rPr>
              <w:t xml:space="preserve">(1) Membrii organelor de conducere şi salariaţii Băncii Naţionale a Moldovei, precum şi salariaţii entităţilor de audit sau experţii numiţi de Banca Naţională a Moldovei pentru efectuarea de verificări, potrivit prevederilor art.106 alin.(5), sînt obligaţi să păstreze secretul profesional asupra oricărei informaţii confidenţiale de care iau cunoştinţă în cursul exercitării atribuţiilor lor în aplicarea prezentei legi. Membrii organelor de conducere şi salariaţii Băncii Naţionale a Moldovei sînt obligaţi să păstreze secretul profesional şi după încetarea activităţii în cadrul </w:t>
            </w:r>
            <w:r w:rsidRPr="009E686F">
              <w:rPr>
                <w:rFonts w:ascii="Times New Roman" w:eastAsia="Aptos" w:hAnsi="Times New Roman" w:cs="Times New Roman"/>
                <w:i/>
                <w:iCs/>
                <w:kern w:val="2"/>
                <w:lang w:val="ro-MD"/>
              </w:rPr>
              <w:t>instituției de credit</w:t>
            </w:r>
            <w:r w:rsidRPr="009E686F">
              <w:rPr>
                <w:rFonts w:ascii="Times New Roman" w:eastAsia="Aptos" w:hAnsi="Times New Roman" w:cs="Times New Roman"/>
                <w:kern w:val="2"/>
                <w:lang w:val="ro-MD"/>
              </w:rPr>
              <w:t>.</w:t>
            </w:r>
          </w:p>
        </w:tc>
        <w:tc>
          <w:tcPr>
            <w:tcW w:w="470" w:type="pct"/>
            <w:tcBorders>
              <w:top w:val="single" w:sz="4" w:space="0" w:color="auto"/>
              <w:left w:val="single" w:sz="4" w:space="0" w:color="auto"/>
              <w:bottom w:val="single" w:sz="4" w:space="0" w:color="auto"/>
              <w:right w:val="single" w:sz="4" w:space="0" w:color="auto"/>
            </w:tcBorders>
          </w:tcPr>
          <w:p w14:paraId="439937BC" w14:textId="1547FA0D" w:rsidR="00265766" w:rsidRPr="009E686F" w:rsidRDefault="00265766" w:rsidP="00265766">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075D2852" w14:textId="398522EA" w:rsidR="00265766" w:rsidRPr="009E686F" w:rsidRDefault="00265766" w:rsidP="00265766">
            <w:pPr>
              <w:spacing w:after="0"/>
              <w:jc w:val="both"/>
              <w:rPr>
                <w:rFonts w:ascii="Times New Roman" w:hAnsi="Times New Roman" w:cs="Times New Roman"/>
              </w:rPr>
            </w:pPr>
          </w:p>
        </w:tc>
      </w:tr>
      <w:tr w:rsidR="00265766" w:rsidRPr="009E686F" w14:paraId="5B417817" w14:textId="77777777" w:rsidTr="007179CB">
        <w:tc>
          <w:tcPr>
            <w:tcW w:w="1890" w:type="pct"/>
            <w:vMerge/>
            <w:tcBorders>
              <w:left w:val="single" w:sz="4" w:space="0" w:color="auto"/>
              <w:bottom w:val="single" w:sz="4" w:space="0" w:color="auto"/>
              <w:right w:val="single" w:sz="4" w:space="0" w:color="auto"/>
            </w:tcBorders>
          </w:tcPr>
          <w:p w14:paraId="758AA200" w14:textId="77777777" w:rsidR="00265766" w:rsidRPr="009E686F" w:rsidRDefault="00265766" w:rsidP="00265766">
            <w:pPr>
              <w:spacing w:after="0"/>
              <w:jc w:val="both"/>
              <w:rPr>
                <w:rFonts w:ascii="Times New Roman" w:hAnsi="Times New Roman" w:cs="Times New Roman"/>
              </w:rPr>
            </w:pPr>
          </w:p>
        </w:tc>
        <w:tc>
          <w:tcPr>
            <w:tcW w:w="1834" w:type="pct"/>
            <w:tcBorders>
              <w:top w:val="single" w:sz="4" w:space="0" w:color="auto"/>
              <w:left w:val="single" w:sz="4" w:space="0" w:color="auto"/>
              <w:bottom w:val="single" w:sz="4" w:space="0" w:color="auto"/>
              <w:right w:val="single" w:sz="4" w:space="0" w:color="auto"/>
            </w:tcBorders>
          </w:tcPr>
          <w:p w14:paraId="092CBFBB" w14:textId="77777777" w:rsidR="00265766" w:rsidRPr="009E686F" w:rsidRDefault="00265766" w:rsidP="00265766">
            <w:pPr>
              <w:spacing w:after="0"/>
              <w:jc w:val="both"/>
              <w:rPr>
                <w:rFonts w:ascii="Times New Roman" w:hAnsi="Times New Roman" w:cs="Times New Roman"/>
                <w:b/>
                <w:bCs/>
              </w:rPr>
            </w:pPr>
            <w:r w:rsidRPr="009E686F">
              <w:rPr>
                <w:rFonts w:ascii="Times New Roman" w:hAnsi="Times New Roman" w:cs="Times New Roman"/>
                <w:b/>
                <w:bCs/>
              </w:rPr>
              <w:t>Art. 126 alin. (6)</w:t>
            </w:r>
          </w:p>
          <w:p w14:paraId="10390156" w14:textId="41AF9D27" w:rsidR="00265766" w:rsidRPr="009E686F" w:rsidRDefault="00265766" w:rsidP="00265766">
            <w:pPr>
              <w:spacing w:after="0"/>
              <w:jc w:val="both"/>
              <w:rPr>
                <w:rFonts w:ascii="Times New Roman" w:hAnsi="Times New Roman" w:cs="Times New Roman"/>
              </w:rPr>
            </w:pPr>
            <w:r w:rsidRPr="009E686F">
              <w:rPr>
                <w:rFonts w:ascii="Times New Roman" w:hAnsi="Times New Roman" w:cs="Times New Roman"/>
              </w:rPr>
              <w:t>(6) În sensul prezentului capitol, informaţiile confidenţiale înseamnă orice informaţii ce reprezintă secret bancar, comercial, fiscal şi alt secret ocrotit de lege, precum şi informaţiile create de către Banca Naţională a Moldovei în scopul ori în legătură cu exercitarea atribuţiilor ei, a căror divulgare ar putea dăuna interesului sau prestigiului persoanei la care se referă.</w:t>
            </w:r>
          </w:p>
          <w:p w14:paraId="6275E238" w14:textId="77777777" w:rsidR="00265766" w:rsidRPr="009E686F" w:rsidRDefault="00265766" w:rsidP="00265766">
            <w:pPr>
              <w:spacing w:after="0"/>
              <w:jc w:val="both"/>
              <w:rPr>
                <w:rFonts w:ascii="Times New Roman" w:eastAsia="Aptos" w:hAnsi="Times New Roman" w:cs="Times New Roman"/>
                <w:kern w:val="2"/>
              </w:rPr>
            </w:pPr>
          </w:p>
        </w:tc>
        <w:tc>
          <w:tcPr>
            <w:tcW w:w="470" w:type="pct"/>
            <w:tcBorders>
              <w:top w:val="single" w:sz="4" w:space="0" w:color="auto"/>
              <w:left w:val="single" w:sz="4" w:space="0" w:color="auto"/>
              <w:bottom w:val="single" w:sz="4" w:space="0" w:color="auto"/>
              <w:right w:val="single" w:sz="4" w:space="0" w:color="auto"/>
            </w:tcBorders>
          </w:tcPr>
          <w:p w14:paraId="5F7460DF" w14:textId="17F04E46" w:rsidR="00265766" w:rsidRPr="009E686F" w:rsidRDefault="00265766" w:rsidP="00265766">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0EB545BF" w14:textId="454114CF" w:rsidR="00265766" w:rsidRPr="009E686F" w:rsidRDefault="00265766" w:rsidP="00265766">
            <w:pPr>
              <w:spacing w:after="0"/>
              <w:jc w:val="both"/>
              <w:rPr>
                <w:rFonts w:ascii="Times New Roman" w:hAnsi="Times New Roman" w:cs="Times New Roman"/>
              </w:rPr>
            </w:pPr>
            <w:r w:rsidRPr="009E686F">
              <w:rPr>
                <w:rFonts w:ascii="Times New Roman" w:hAnsi="Times New Roman" w:cs="Times New Roman"/>
              </w:rPr>
              <w:t>Norme cu specific national de implementare din Legea nr. 202/2017 care detaliază elementele secretului professional.</w:t>
            </w:r>
          </w:p>
        </w:tc>
      </w:tr>
      <w:tr w:rsidR="00265766" w:rsidRPr="009E686F" w14:paraId="50DFB40D" w14:textId="77777777" w:rsidTr="00960C23">
        <w:tc>
          <w:tcPr>
            <w:tcW w:w="1890" w:type="pct"/>
            <w:tcBorders>
              <w:top w:val="single" w:sz="4" w:space="0" w:color="auto"/>
              <w:left w:val="single" w:sz="4" w:space="0" w:color="auto"/>
              <w:bottom w:val="single" w:sz="4" w:space="0" w:color="auto"/>
              <w:right w:val="single" w:sz="4" w:space="0" w:color="auto"/>
            </w:tcBorders>
          </w:tcPr>
          <w:p w14:paraId="3817EF70" w14:textId="50AF2A02" w:rsidR="00265766" w:rsidRPr="009E686F" w:rsidRDefault="00265766" w:rsidP="00265766">
            <w:pPr>
              <w:spacing w:after="0"/>
              <w:jc w:val="both"/>
              <w:rPr>
                <w:rFonts w:ascii="Times New Roman" w:hAnsi="Times New Roman" w:cs="Times New Roman"/>
              </w:rPr>
            </w:pPr>
            <w:r w:rsidRPr="009E686F">
              <w:rPr>
                <w:rFonts w:ascii="Times New Roman" w:hAnsi="Times New Roman" w:cs="Times New Roman"/>
              </w:rPr>
              <w:lastRenderedPageBreak/>
              <w:t>Informațiile confidențiale pe care astfel de persoane, auditori sau experți le obțin în cursul îndeplinirii atribuțiilor lor pot fi divulgate numai sub formă de rezumat sau în formă agregată, astfel încât să nu se poată identifica instituțiile de credit individuale, fără a aduce însă atingere situațiilor care fac obiectul dreptului penal sau fiscal.</w:t>
            </w:r>
          </w:p>
          <w:p w14:paraId="7D8D98A1" w14:textId="2D3D9BD4" w:rsidR="00265766" w:rsidRPr="009E686F" w:rsidRDefault="00265766" w:rsidP="00265766">
            <w:pPr>
              <w:spacing w:after="0"/>
              <w:jc w:val="both"/>
              <w:rPr>
                <w:rFonts w:ascii="Times New Roman" w:hAnsi="Times New Roman" w:cs="Times New Roman"/>
              </w:rPr>
            </w:pPr>
          </w:p>
        </w:tc>
        <w:tc>
          <w:tcPr>
            <w:tcW w:w="1834" w:type="pct"/>
            <w:tcBorders>
              <w:top w:val="single" w:sz="4" w:space="0" w:color="auto"/>
              <w:left w:val="single" w:sz="4" w:space="0" w:color="auto"/>
              <w:bottom w:val="single" w:sz="4" w:space="0" w:color="auto"/>
              <w:right w:val="single" w:sz="4" w:space="0" w:color="auto"/>
            </w:tcBorders>
          </w:tcPr>
          <w:p w14:paraId="581BFDD9" w14:textId="3DC2D904" w:rsidR="00265766" w:rsidRPr="009E686F" w:rsidRDefault="00265766" w:rsidP="00265766">
            <w:pPr>
              <w:spacing w:after="0"/>
              <w:jc w:val="both"/>
              <w:rPr>
                <w:rFonts w:ascii="Times New Roman" w:hAnsi="Times New Roman" w:cs="Times New Roman"/>
                <w:b/>
              </w:rPr>
            </w:pPr>
            <w:r w:rsidRPr="009E686F">
              <w:rPr>
                <w:rFonts w:ascii="Times New Roman" w:eastAsia="Aptos" w:hAnsi="Times New Roman" w:cs="Times New Roman"/>
                <w:kern w:val="2"/>
                <w:lang w:val="ro-MD"/>
              </w:rPr>
              <w:t xml:space="preserve">(2) Persoanele prevăzute la alin.(1) nu pot divulga informaţii confidenţiale niciunei persoane sau autorităţi, cu excepţia furnizării acestor informaţii în formă sumară sau agregată, astfel încît </w:t>
            </w:r>
            <w:r w:rsidRPr="009E686F">
              <w:rPr>
                <w:rFonts w:ascii="Times New Roman" w:eastAsia="Aptos" w:hAnsi="Times New Roman" w:cs="Times New Roman"/>
                <w:i/>
                <w:iCs/>
                <w:kern w:val="2"/>
                <w:lang w:val="ro-MD"/>
              </w:rPr>
              <w:t>instituția de credit</w:t>
            </w:r>
            <w:r w:rsidRPr="009E686F">
              <w:rPr>
                <w:rFonts w:ascii="Times New Roman" w:eastAsia="Aptos" w:hAnsi="Times New Roman" w:cs="Times New Roman"/>
                <w:kern w:val="2"/>
                <w:lang w:val="ro-RO"/>
              </w:rPr>
              <w:t xml:space="preserve"> </w:t>
            </w:r>
            <w:r w:rsidRPr="009E686F">
              <w:rPr>
                <w:rFonts w:ascii="Times New Roman" w:eastAsia="Aptos" w:hAnsi="Times New Roman" w:cs="Times New Roman"/>
                <w:kern w:val="2"/>
                <w:lang w:val="ro-MD"/>
              </w:rPr>
              <w:t xml:space="preserve">sau altă persoană la care se referă informaţiile confidenţiale să nu poată fi identificată, </w:t>
            </w:r>
            <w:r w:rsidRPr="009E686F">
              <w:rPr>
                <w:rFonts w:ascii="Times New Roman" w:eastAsia="Aptos" w:hAnsi="Times New Roman" w:cs="Times New Roman"/>
                <w:i/>
                <w:iCs/>
                <w:kern w:val="2"/>
                <w:lang w:val="ro-MD"/>
              </w:rPr>
              <w:t>fără a aduce atingere situațiilor care fac obiectul legislației penale sau fiscale</w:t>
            </w:r>
            <w:r w:rsidRPr="009E686F">
              <w:rPr>
                <w:rFonts w:ascii="Times New Roman" w:eastAsia="Aptos" w:hAnsi="Times New Roman" w:cs="Times New Roman"/>
                <w:kern w:val="2"/>
                <w:lang w:val="ro-MD"/>
              </w:rPr>
              <w:t>.</w:t>
            </w:r>
            <w:r w:rsidRPr="009E686F">
              <w:rPr>
                <w:rFonts w:ascii="Times New Roman" w:eastAsia="Aptos" w:hAnsi="Times New Roman" w:cs="Times New Roman"/>
                <w:color w:val="FF0000"/>
                <w:kern w:val="2"/>
                <w:lang w:val="ro-MD"/>
              </w:rPr>
              <w:t xml:space="preserve"> </w:t>
            </w:r>
          </w:p>
        </w:tc>
        <w:tc>
          <w:tcPr>
            <w:tcW w:w="470" w:type="pct"/>
            <w:tcBorders>
              <w:top w:val="single" w:sz="4" w:space="0" w:color="auto"/>
              <w:left w:val="single" w:sz="4" w:space="0" w:color="auto"/>
              <w:bottom w:val="single" w:sz="4" w:space="0" w:color="auto"/>
              <w:right w:val="single" w:sz="4" w:space="0" w:color="auto"/>
            </w:tcBorders>
          </w:tcPr>
          <w:p w14:paraId="49C46D63" w14:textId="4871DF7A" w:rsidR="00265766" w:rsidRPr="009E686F" w:rsidRDefault="00265766" w:rsidP="00265766">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0D266D3E" w14:textId="67FC0122" w:rsidR="00265766" w:rsidRPr="009E686F" w:rsidRDefault="00265766" w:rsidP="00265766">
            <w:pPr>
              <w:spacing w:after="0"/>
              <w:jc w:val="both"/>
              <w:rPr>
                <w:rFonts w:ascii="Times New Roman" w:hAnsi="Times New Roman" w:cs="Times New Roman"/>
              </w:rPr>
            </w:pPr>
          </w:p>
        </w:tc>
      </w:tr>
      <w:tr w:rsidR="00265766" w:rsidRPr="009E686F" w14:paraId="2B439D53" w14:textId="77777777" w:rsidTr="00960C23">
        <w:tc>
          <w:tcPr>
            <w:tcW w:w="1890" w:type="pct"/>
            <w:tcBorders>
              <w:top w:val="single" w:sz="4" w:space="0" w:color="auto"/>
              <w:left w:val="single" w:sz="4" w:space="0" w:color="auto"/>
              <w:bottom w:val="single" w:sz="4" w:space="0" w:color="auto"/>
              <w:right w:val="single" w:sz="4" w:space="0" w:color="auto"/>
            </w:tcBorders>
          </w:tcPr>
          <w:p w14:paraId="16FF22B8" w14:textId="02D892A6" w:rsidR="00265766" w:rsidRPr="009E686F" w:rsidRDefault="00265766" w:rsidP="00265766">
            <w:pPr>
              <w:spacing w:after="0"/>
              <w:jc w:val="both"/>
              <w:rPr>
                <w:rFonts w:ascii="Times New Roman" w:hAnsi="Times New Roman" w:cs="Times New Roman"/>
              </w:rPr>
            </w:pPr>
            <w:r w:rsidRPr="009E686F">
              <w:rPr>
                <w:rFonts w:ascii="Times New Roman" w:hAnsi="Times New Roman" w:cs="Times New Roman"/>
              </w:rPr>
              <w:t>Cu toate acestea, în cazul în care o instituție a fost declarată în faliment sau se află în executare silită, informațiile confidențiale care nu se referă la părți terțe implicate în eforturile de salvare a instituției de credit respective pot fi divulgate în cursul unor acțiuni în instanțe civile sau comerciale.</w:t>
            </w:r>
          </w:p>
        </w:tc>
        <w:tc>
          <w:tcPr>
            <w:tcW w:w="1834" w:type="pct"/>
            <w:tcBorders>
              <w:top w:val="single" w:sz="4" w:space="0" w:color="auto"/>
              <w:left w:val="single" w:sz="4" w:space="0" w:color="auto"/>
              <w:bottom w:val="single" w:sz="4" w:space="0" w:color="auto"/>
              <w:right w:val="single" w:sz="4" w:space="0" w:color="auto"/>
            </w:tcBorders>
          </w:tcPr>
          <w:p w14:paraId="5299480E" w14:textId="77777777" w:rsidR="00265766" w:rsidRPr="009E686F" w:rsidRDefault="00265766" w:rsidP="00265766">
            <w:pPr>
              <w:spacing w:after="0"/>
              <w:jc w:val="both"/>
              <w:rPr>
                <w:rFonts w:ascii="Times New Roman" w:eastAsia="Aptos" w:hAnsi="Times New Roman" w:cs="Times New Roman"/>
                <w:color w:val="FF0000"/>
                <w:kern w:val="2"/>
                <w:lang w:val="ro-MD"/>
              </w:rPr>
            </w:pPr>
            <w:r w:rsidRPr="009E686F">
              <w:rPr>
                <w:rFonts w:ascii="Times New Roman" w:eastAsia="Aptos" w:hAnsi="Times New Roman" w:cs="Times New Roman"/>
                <w:kern w:val="2"/>
                <w:lang w:val="ro-MD"/>
              </w:rPr>
              <w:t xml:space="preserve">(3) Dacă o </w:t>
            </w:r>
            <w:r w:rsidRPr="009E686F">
              <w:rPr>
                <w:rFonts w:ascii="Times New Roman" w:eastAsia="Aptos" w:hAnsi="Times New Roman" w:cs="Times New Roman"/>
                <w:i/>
                <w:iCs/>
                <w:kern w:val="2"/>
                <w:lang w:val="ro-MD"/>
              </w:rPr>
              <w:t>instituție de credit</w:t>
            </w:r>
            <w:r w:rsidRPr="009E686F">
              <w:rPr>
                <w:rFonts w:ascii="Times New Roman" w:eastAsia="Aptos" w:hAnsi="Times New Roman" w:cs="Times New Roman"/>
                <w:kern w:val="2"/>
                <w:lang w:val="ro-MD"/>
              </w:rPr>
              <w:t xml:space="preserve">  a fost sau este supusă lichidării silite, informaţiile confidenţiale care nu se referă la terţii implicaţi în acţiuni legate de lichidarea </w:t>
            </w:r>
            <w:r w:rsidRPr="009E686F">
              <w:rPr>
                <w:rFonts w:ascii="Times New Roman" w:eastAsia="Aptos" w:hAnsi="Times New Roman" w:cs="Times New Roman"/>
                <w:i/>
                <w:iCs/>
                <w:kern w:val="2"/>
                <w:lang w:val="ro-MD"/>
              </w:rPr>
              <w:t>instituției de credit</w:t>
            </w:r>
            <w:r w:rsidRPr="009E686F">
              <w:rPr>
                <w:rFonts w:ascii="Times New Roman" w:eastAsia="Aptos" w:hAnsi="Times New Roman" w:cs="Times New Roman"/>
                <w:kern w:val="2"/>
                <w:lang w:val="ro-MD"/>
              </w:rPr>
              <w:t xml:space="preserve"> pot fi divulgate în cadrul procedurilor civile.</w:t>
            </w:r>
            <w:r w:rsidRPr="009E686F">
              <w:rPr>
                <w:rFonts w:ascii="Times New Roman" w:eastAsia="Aptos" w:hAnsi="Times New Roman" w:cs="Times New Roman"/>
                <w:color w:val="FF0000"/>
                <w:kern w:val="2"/>
                <w:lang w:val="ro-MD"/>
              </w:rPr>
              <w:t xml:space="preserve"> </w:t>
            </w:r>
          </w:p>
          <w:p w14:paraId="609E3E3D" w14:textId="12188B00"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(5) Dispoziţiile alin. (1)-(3) nu aduc în niciun fel atingere prevederilor legislaţiei potrivit cărora se poate impune divulgarea de informaţii confidenţiale în anumite situaţii.</w:t>
            </w:r>
          </w:p>
        </w:tc>
        <w:tc>
          <w:tcPr>
            <w:tcW w:w="470" w:type="pct"/>
            <w:tcBorders>
              <w:top w:val="single" w:sz="4" w:space="0" w:color="auto"/>
              <w:left w:val="single" w:sz="4" w:space="0" w:color="auto"/>
              <w:bottom w:val="single" w:sz="4" w:space="0" w:color="auto"/>
              <w:right w:val="single" w:sz="4" w:space="0" w:color="auto"/>
            </w:tcBorders>
          </w:tcPr>
          <w:p w14:paraId="52D59948" w14:textId="53971C77" w:rsidR="00265766" w:rsidRPr="009E686F" w:rsidRDefault="00265766" w:rsidP="00265766">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3D1A4D60" w14:textId="0FA5485C" w:rsidR="00265766" w:rsidRPr="009E686F" w:rsidRDefault="00265766" w:rsidP="00265766">
            <w:pPr>
              <w:spacing w:after="0"/>
              <w:jc w:val="both"/>
              <w:rPr>
                <w:rFonts w:ascii="Times New Roman" w:hAnsi="Times New Roman" w:cs="Times New Roman"/>
              </w:rPr>
            </w:pPr>
          </w:p>
        </w:tc>
      </w:tr>
      <w:tr w:rsidR="00265766" w:rsidRPr="009E686F" w14:paraId="2D0FC16A" w14:textId="77777777" w:rsidTr="00960C23">
        <w:tc>
          <w:tcPr>
            <w:tcW w:w="1890" w:type="pct"/>
            <w:tcBorders>
              <w:top w:val="single" w:sz="4" w:space="0" w:color="auto"/>
              <w:left w:val="single" w:sz="4" w:space="0" w:color="auto"/>
              <w:bottom w:val="single" w:sz="4" w:space="0" w:color="auto"/>
              <w:right w:val="single" w:sz="4" w:space="0" w:color="auto"/>
            </w:tcBorders>
          </w:tcPr>
          <w:p w14:paraId="372F8EDD" w14:textId="6424CFFB" w:rsidR="00265766" w:rsidRPr="009E686F" w:rsidRDefault="00265766" w:rsidP="00265766">
            <w:pPr>
              <w:spacing w:after="0"/>
              <w:jc w:val="both"/>
              <w:rPr>
                <w:rFonts w:ascii="Times New Roman" w:hAnsi="Times New Roman" w:cs="Times New Roman"/>
              </w:rPr>
            </w:pPr>
            <w:r w:rsidRPr="009E686F">
              <w:rPr>
                <w:rFonts w:ascii="Times New Roman" w:hAnsi="Times New Roman" w:cs="Times New Roman"/>
                <w:lang w:val="it-CH"/>
              </w:rPr>
              <w:t xml:space="preserve">(2) Dispozițiile de la alineatul (1) nu împiedică autoritățile competente să facă schimb de informații sau să transmită informații către CERS, ABE și Autoritatea europeană de supraveghere (Autoritatea Europeană pentru Valori Mobiliare și Piețe, ESM) instituită prin Regulamentul (UE) nr. 1095/2010 al Parlamentului European și al Consiliului în conformitate cu prezenta directivă, cu Regulamentul (UE) nr. 575/2013, cu Regulamentul (UE) 2019/2033 al Parlamentului European și al Consiliului, cu articolul 15 din Regulamentul (UE) nr. 1092/2010, cu articolele 31, 35 și 36 din Regulamentul (UE) nr. 1093/2010 și cu articolele 31 și 36 din Regulamentul (UE) nr. 1095/2010, cu Directiva (UE) 2019/2034 a Parlamentului European și a Consiliului și cu alte directive aplicabile instituțiilor de credit. </w:t>
            </w:r>
            <w:r w:rsidRPr="009E686F">
              <w:rPr>
                <w:rFonts w:ascii="Times New Roman" w:hAnsi="Times New Roman" w:cs="Times New Roman"/>
              </w:rPr>
              <w:t>Informațiile respective fac obiectul alineatului (1).</w:t>
            </w:r>
          </w:p>
        </w:tc>
        <w:tc>
          <w:tcPr>
            <w:tcW w:w="1834" w:type="pct"/>
            <w:tcBorders>
              <w:top w:val="single" w:sz="4" w:space="0" w:color="auto"/>
              <w:left w:val="single" w:sz="4" w:space="0" w:color="auto"/>
              <w:bottom w:val="single" w:sz="4" w:space="0" w:color="auto"/>
              <w:right w:val="single" w:sz="4" w:space="0" w:color="auto"/>
            </w:tcBorders>
          </w:tcPr>
          <w:p w14:paraId="2FB5B3D1" w14:textId="7770A334" w:rsidR="00265766" w:rsidRPr="009E686F" w:rsidRDefault="00265766" w:rsidP="00265766">
            <w:pPr>
              <w:spacing w:after="0"/>
              <w:jc w:val="both"/>
              <w:rPr>
                <w:rFonts w:ascii="Times New Roman" w:hAnsi="Times New Roman" w:cs="Times New Roman"/>
                <w:b/>
                <w:i/>
                <w:iCs/>
                <w:lang w:val="it-CH"/>
              </w:rPr>
            </w:pPr>
            <w:r w:rsidRPr="009E686F">
              <w:rPr>
                <w:rFonts w:ascii="Times New Roman" w:eastAsia="Aptos" w:hAnsi="Times New Roman" w:cs="Times New Roman"/>
                <w:i/>
                <w:iCs/>
                <w:kern w:val="2"/>
                <w:lang w:val="ro-MD"/>
              </w:rPr>
              <w:t>(4</w:t>
            </w:r>
            <w:r w:rsidRPr="009E686F">
              <w:rPr>
                <w:rFonts w:ascii="Times New Roman" w:eastAsia="Aptos" w:hAnsi="Times New Roman" w:cs="Times New Roman"/>
                <w:i/>
                <w:iCs/>
                <w:kern w:val="2"/>
                <w:vertAlign w:val="superscript"/>
                <w:lang w:val="ro-MD"/>
              </w:rPr>
              <w:t>1</w:t>
            </w:r>
            <w:r w:rsidRPr="009E686F">
              <w:rPr>
                <w:rFonts w:ascii="Times New Roman" w:eastAsia="Aptos" w:hAnsi="Times New Roman" w:cs="Times New Roman"/>
                <w:i/>
                <w:iCs/>
                <w:kern w:val="2"/>
                <w:lang w:val="ro-MD"/>
              </w:rPr>
              <w:t xml:space="preserve">) Schimbul de informații sau transmiterea informațiilor de către Banca Națională a Moldovei către Comitetul European pentru Risc Sistemic, Autoritatea Bancară Europeană și Autoritatea europeană de supraveghere (Autoritatea europeană pentru valori mobiliare și pieţe) în conformitate cu prezenta lege și actele normative emise în aplicarea acesteia nu constituie încălcare a obligației menționate la alin. (1).  </w:t>
            </w:r>
          </w:p>
        </w:tc>
        <w:tc>
          <w:tcPr>
            <w:tcW w:w="470" w:type="pct"/>
            <w:tcBorders>
              <w:top w:val="single" w:sz="4" w:space="0" w:color="auto"/>
              <w:left w:val="single" w:sz="4" w:space="0" w:color="auto"/>
              <w:bottom w:val="single" w:sz="4" w:space="0" w:color="auto"/>
              <w:right w:val="single" w:sz="4" w:space="0" w:color="auto"/>
            </w:tcBorders>
          </w:tcPr>
          <w:p w14:paraId="5B48B668" w14:textId="69C93789" w:rsidR="00265766" w:rsidRPr="009E686F" w:rsidRDefault="00265766" w:rsidP="00265766">
            <w:pPr>
              <w:jc w:val="both"/>
              <w:rPr>
                <w:rFonts w:ascii="Times New Roman" w:hAnsi="Times New Roman" w:cs="Times New Roman"/>
              </w:rPr>
            </w:pPr>
            <w:r w:rsidRPr="009E686F">
              <w:rPr>
                <w:rFonts w:ascii="Times New Roman" w:hAnsi="Times New Roman" w:cs="Times New Roman"/>
              </w:rPr>
              <w:t xml:space="preserve">Compatibil </w:t>
            </w:r>
          </w:p>
        </w:tc>
        <w:tc>
          <w:tcPr>
            <w:tcW w:w="806" w:type="pct"/>
            <w:tcBorders>
              <w:top w:val="single" w:sz="4" w:space="0" w:color="auto"/>
              <w:left w:val="single" w:sz="4" w:space="0" w:color="auto"/>
              <w:bottom w:val="single" w:sz="4" w:space="0" w:color="auto"/>
              <w:right w:val="single" w:sz="4" w:space="0" w:color="auto"/>
            </w:tcBorders>
          </w:tcPr>
          <w:p w14:paraId="5668FFAB" w14:textId="63DDAB7F" w:rsidR="00265766" w:rsidRPr="009E686F" w:rsidRDefault="000E0E8F" w:rsidP="00265766">
            <w:pPr>
              <w:spacing w:after="0"/>
              <w:jc w:val="both"/>
              <w:rPr>
                <w:rFonts w:ascii="Times New Roman" w:hAnsi="Times New Roman" w:cs="Times New Roman"/>
                <w:lang w:val="it-CH"/>
              </w:rPr>
            </w:pPr>
            <w:r w:rsidRPr="009E686F">
              <w:rPr>
                <w:rFonts w:ascii="Times New Roman" w:hAnsi="Times New Roman" w:cs="Times New Roman"/>
                <w:lang w:val="ro-MD"/>
              </w:rPr>
              <w:t>În vigoare – data aderării.</w:t>
            </w:r>
          </w:p>
        </w:tc>
      </w:tr>
      <w:tr w:rsidR="00265766" w:rsidRPr="009E686F" w14:paraId="51439823" w14:textId="77777777" w:rsidTr="00960C23">
        <w:tc>
          <w:tcPr>
            <w:tcW w:w="1890" w:type="pct"/>
            <w:tcBorders>
              <w:top w:val="single" w:sz="4" w:space="0" w:color="auto"/>
              <w:left w:val="single" w:sz="4" w:space="0" w:color="auto"/>
              <w:bottom w:val="single" w:sz="4" w:space="0" w:color="auto"/>
              <w:right w:val="single" w:sz="4" w:space="0" w:color="auto"/>
            </w:tcBorders>
          </w:tcPr>
          <w:p w14:paraId="7E20C0F3" w14:textId="77777777"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 xml:space="preserve">(3) Alineatul (1) nu împiedică autoritățile competente să publice rezultatele simulărilor de criză efectuate în </w:t>
            </w:r>
            <w:r w:rsidRPr="009E686F">
              <w:rPr>
                <w:rFonts w:ascii="Times New Roman" w:hAnsi="Times New Roman" w:cs="Times New Roman"/>
                <w:lang w:val="it-CH"/>
              </w:rPr>
              <w:lastRenderedPageBreak/>
              <w:t xml:space="preserve">conformitate cu articolul 100 din prezenta directivă sau cu articolul 32 din Regulamentul (UE) nr. 1093/2010 </w:t>
            </w:r>
          </w:p>
          <w:p w14:paraId="5CEFE8C0" w14:textId="4B93BF5A" w:rsidR="00265766" w:rsidRPr="009E686F" w:rsidRDefault="00265766" w:rsidP="00265766">
            <w:pPr>
              <w:spacing w:after="0"/>
              <w:jc w:val="both"/>
              <w:rPr>
                <w:rFonts w:ascii="Times New Roman" w:hAnsi="Times New Roman" w:cs="Times New Roman"/>
                <w:lang w:val="pt-BR"/>
              </w:rPr>
            </w:pPr>
            <w:r w:rsidRPr="009E686F">
              <w:rPr>
                <w:rFonts w:ascii="Times New Roman" w:hAnsi="Times New Roman" w:cs="Times New Roman"/>
                <w:lang w:val="pt-BR"/>
              </w:rPr>
              <w:t>sau să transmită ABE aceste rezultate în scopul publicării de către ABE a rezultatelor simulărilor de criză efectuate la nivelul Uniunii.</w:t>
            </w:r>
          </w:p>
        </w:tc>
        <w:tc>
          <w:tcPr>
            <w:tcW w:w="1834" w:type="pct"/>
            <w:tcBorders>
              <w:top w:val="single" w:sz="4" w:space="0" w:color="auto"/>
              <w:left w:val="single" w:sz="4" w:space="0" w:color="auto"/>
              <w:bottom w:val="single" w:sz="4" w:space="0" w:color="auto"/>
              <w:right w:val="single" w:sz="4" w:space="0" w:color="auto"/>
            </w:tcBorders>
          </w:tcPr>
          <w:p w14:paraId="59838F5B" w14:textId="543EEBB8" w:rsidR="00265766" w:rsidRPr="009E686F" w:rsidRDefault="00265766" w:rsidP="00265766">
            <w:pPr>
              <w:spacing w:after="0"/>
              <w:jc w:val="both"/>
              <w:rPr>
                <w:rFonts w:ascii="Times New Roman" w:hAnsi="Times New Roman" w:cs="Times New Roman"/>
                <w:lang w:val="pt-BR"/>
              </w:rPr>
            </w:pPr>
            <w:r w:rsidRPr="009E686F">
              <w:rPr>
                <w:rFonts w:ascii="Times New Roman" w:eastAsia="Aptos" w:hAnsi="Times New Roman" w:cs="Times New Roman"/>
                <w:kern w:val="2"/>
                <w:lang w:val="ro-MD"/>
              </w:rPr>
              <w:lastRenderedPageBreak/>
              <w:t xml:space="preserve">(4) Publicarea de către Banca Naţională a Moldovei a rezultatelor simulărilor de criză în conformitate cu art.100 alin.(5) </w:t>
            </w:r>
            <w:r w:rsidRPr="009E686F">
              <w:rPr>
                <w:rFonts w:ascii="Times New Roman" w:eastAsia="Aptos" w:hAnsi="Times New Roman" w:cs="Times New Roman"/>
                <w:i/>
                <w:iCs/>
                <w:kern w:val="2"/>
                <w:lang w:val="ro-MD"/>
              </w:rPr>
              <w:t xml:space="preserve">sau transmiterea acestor rezultate Autorității </w:t>
            </w:r>
            <w:r w:rsidRPr="009E686F">
              <w:rPr>
                <w:rFonts w:ascii="Times New Roman" w:eastAsia="Aptos" w:hAnsi="Times New Roman" w:cs="Times New Roman"/>
                <w:i/>
                <w:iCs/>
                <w:kern w:val="2"/>
                <w:lang w:val="ro-MD"/>
              </w:rPr>
              <w:lastRenderedPageBreak/>
              <w:t>Bancare Europene pentru scopul efectuării simulărilor de criză la nivelul Uniunii Europene și publicării rezultatelor acestor simulări</w:t>
            </w:r>
            <w:r w:rsidRPr="009E686F">
              <w:rPr>
                <w:rFonts w:ascii="Times New Roman" w:eastAsia="Aptos" w:hAnsi="Times New Roman" w:cs="Times New Roman"/>
                <w:kern w:val="2"/>
                <w:lang w:val="ro-MD"/>
              </w:rPr>
              <w:t xml:space="preserve"> nu constituie încălcare a obligaţiei menţionate la alin.(1).</w:t>
            </w:r>
          </w:p>
        </w:tc>
        <w:tc>
          <w:tcPr>
            <w:tcW w:w="470" w:type="pct"/>
            <w:tcBorders>
              <w:top w:val="single" w:sz="4" w:space="0" w:color="auto"/>
              <w:left w:val="single" w:sz="4" w:space="0" w:color="auto"/>
              <w:bottom w:val="single" w:sz="4" w:space="0" w:color="auto"/>
              <w:right w:val="single" w:sz="4" w:space="0" w:color="auto"/>
            </w:tcBorders>
          </w:tcPr>
          <w:p w14:paraId="14976742" w14:textId="77777777" w:rsidR="00265766" w:rsidRPr="009E686F" w:rsidRDefault="00265766" w:rsidP="00265766">
            <w:pPr>
              <w:jc w:val="both"/>
              <w:rPr>
                <w:rFonts w:ascii="Times New Roman" w:hAnsi="Times New Roman" w:cs="Times New Roman"/>
              </w:rPr>
            </w:pPr>
            <w:r w:rsidRPr="009E686F">
              <w:rPr>
                <w:rFonts w:ascii="Times New Roman" w:hAnsi="Times New Roman" w:cs="Times New Roman"/>
              </w:rPr>
              <w:lastRenderedPageBreak/>
              <w:t xml:space="preserve">Compatibil </w:t>
            </w:r>
          </w:p>
          <w:p w14:paraId="195CDA28" w14:textId="77777777" w:rsidR="00265766" w:rsidRPr="009E686F" w:rsidRDefault="00265766" w:rsidP="00265766">
            <w:pPr>
              <w:jc w:val="both"/>
              <w:rPr>
                <w:rFonts w:ascii="Times New Roman" w:hAnsi="Times New Roman" w:cs="Times New Roman"/>
              </w:rPr>
            </w:pPr>
          </w:p>
          <w:p w14:paraId="57E886AF" w14:textId="77777777" w:rsidR="00265766" w:rsidRPr="009E686F" w:rsidRDefault="00265766" w:rsidP="00265766">
            <w:pPr>
              <w:jc w:val="both"/>
              <w:rPr>
                <w:rFonts w:ascii="Times New Roman" w:hAnsi="Times New Roman" w:cs="Times New Roman"/>
              </w:rPr>
            </w:pPr>
          </w:p>
          <w:p w14:paraId="52761247" w14:textId="1FB8F343" w:rsidR="00265766" w:rsidRPr="009E686F" w:rsidRDefault="00265766" w:rsidP="00265766">
            <w:pPr>
              <w:jc w:val="both"/>
              <w:rPr>
                <w:rFonts w:ascii="Times New Roman" w:hAnsi="Times New Roman" w:cs="Times New Roman"/>
              </w:rPr>
            </w:pPr>
          </w:p>
        </w:tc>
        <w:tc>
          <w:tcPr>
            <w:tcW w:w="806" w:type="pct"/>
            <w:tcBorders>
              <w:top w:val="single" w:sz="4" w:space="0" w:color="auto"/>
              <w:left w:val="single" w:sz="4" w:space="0" w:color="auto"/>
              <w:bottom w:val="single" w:sz="4" w:space="0" w:color="auto"/>
              <w:right w:val="single" w:sz="4" w:space="0" w:color="auto"/>
            </w:tcBorders>
          </w:tcPr>
          <w:p w14:paraId="4E3BFF5D" w14:textId="4C32196F" w:rsidR="00265766" w:rsidRPr="009E686F" w:rsidRDefault="00036730" w:rsidP="00265766">
            <w:pPr>
              <w:spacing w:after="0"/>
              <w:jc w:val="both"/>
              <w:rPr>
                <w:rFonts w:ascii="Times New Roman" w:hAnsi="Times New Roman" w:cs="Times New Roman"/>
              </w:rPr>
            </w:pPr>
            <w:r w:rsidRPr="009E686F">
              <w:rPr>
                <w:rFonts w:ascii="Times New Roman" w:hAnsi="Times New Roman" w:cs="Times New Roman"/>
                <w:lang w:val="ro-MD"/>
              </w:rPr>
              <w:lastRenderedPageBreak/>
              <w:t>În vigoare – data aderării.</w:t>
            </w:r>
          </w:p>
        </w:tc>
      </w:tr>
      <w:tr w:rsidR="00265766" w:rsidRPr="009E686F" w14:paraId="59F33260" w14:textId="77777777" w:rsidTr="00960C23">
        <w:tc>
          <w:tcPr>
            <w:tcW w:w="1890" w:type="pct"/>
            <w:tcBorders>
              <w:top w:val="single" w:sz="4" w:space="0" w:color="auto"/>
              <w:left w:val="single" w:sz="4" w:space="0" w:color="auto"/>
              <w:bottom w:val="single" w:sz="4" w:space="0" w:color="auto"/>
              <w:right w:val="single" w:sz="4" w:space="0" w:color="auto"/>
            </w:tcBorders>
          </w:tcPr>
          <w:p w14:paraId="1380EFC3" w14:textId="77777777" w:rsidR="00265766" w:rsidRPr="009E686F" w:rsidRDefault="00265766" w:rsidP="00265766">
            <w:pPr>
              <w:spacing w:after="0"/>
              <w:jc w:val="both"/>
              <w:rPr>
                <w:rFonts w:ascii="Times New Roman" w:hAnsi="Times New Roman" w:cs="Times New Roman"/>
                <w:i/>
                <w:iCs/>
              </w:rPr>
            </w:pPr>
            <w:r w:rsidRPr="009E686F">
              <w:rPr>
                <w:rFonts w:ascii="Times New Roman" w:hAnsi="Times New Roman" w:cs="Times New Roman"/>
                <w:i/>
                <w:iCs/>
              </w:rPr>
              <w:t xml:space="preserve">Articolul 54 </w:t>
            </w:r>
          </w:p>
          <w:p w14:paraId="233152BC" w14:textId="31793F5F" w:rsidR="00265766" w:rsidRPr="009E686F" w:rsidRDefault="00265766" w:rsidP="00265766">
            <w:pPr>
              <w:spacing w:after="0"/>
              <w:jc w:val="both"/>
              <w:rPr>
                <w:rFonts w:ascii="Times New Roman" w:hAnsi="Times New Roman" w:cs="Times New Roman"/>
              </w:rPr>
            </w:pPr>
            <w:r w:rsidRPr="009E686F">
              <w:rPr>
                <w:rFonts w:ascii="Times New Roman" w:hAnsi="Times New Roman" w:cs="Times New Roman"/>
              </w:rPr>
              <w:t>Utilizarea informațiilor confidențiale</w:t>
            </w:r>
          </w:p>
        </w:tc>
        <w:tc>
          <w:tcPr>
            <w:tcW w:w="1834" w:type="pct"/>
            <w:tcBorders>
              <w:top w:val="single" w:sz="4" w:space="0" w:color="auto"/>
              <w:left w:val="single" w:sz="4" w:space="0" w:color="auto"/>
              <w:bottom w:val="single" w:sz="4" w:space="0" w:color="auto"/>
              <w:right w:val="single" w:sz="4" w:space="0" w:color="auto"/>
            </w:tcBorders>
          </w:tcPr>
          <w:p w14:paraId="44F6305E" w14:textId="4A06E33C" w:rsidR="00265766" w:rsidRPr="009E686F" w:rsidRDefault="00265766" w:rsidP="00265766">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b/>
                <w:bCs/>
                <w:kern w:val="2"/>
                <w:lang w:val="ro-MD"/>
              </w:rPr>
              <w:t>Articolul 127.</w:t>
            </w:r>
            <w:r w:rsidRPr="009E686F">
              <w:rPr>
                <w:rFonts w:ascii="Times New Roman" w:eastAsia="Aptos" w:hAnsi="Times New Roman" w:cs="Times New Roman"/>
                <w:kern w:val="2"/>
                <w:lang w:val="ro-MD"/>
              </w:rPr>
              <w:t xml:space="preserve"> Utilizarea informaţiilor confidenţiale</w:t>
            </w:r>
          </w:p>
        </w:tc>
        <w:tc>
          <w:tcPr>
            <w:tcW w:w="470" w:type="pct"/>
            <w:tcBorders>
              <w:top w:val="single" w:sz="4" w:space="0" w:color="auto"/>
              <w:left w:val="single" w:sz="4" w:space="0" w:color="auto"/>
              <w:bottom w:val="single" w:sz="4" w:space="0" w:color="auto"/>
              <w:right w:val="single" w:sz="4" w:space="0" w:color="auto"/>
            </w:tcBorders>
          </w:tcPr>
          <w:p w14:paraId="33AA59EB" w14:textId="77777777" w:rsidR="00265766" w:rsidRPr="009E686F" w:rsidRDefault="00265766" w:rsidP="00265766">
            <w:pPr>
              <w:jc w:val="both"/>
              <w:rPr>
                <w:rFonts w:ascii="Times New Roman" w:hAnsi="Times New Roman" w:cs="Times New Roman"/>
              </w:rPr>
            </w:pPr>
          </w:p>
        </w:tc>
        <w:tc>
          <w:tcPr>
            <w:tcW w:w="806" w:type="pct"/>
            <w:tcBorders>
              <w:top w:val="single" w:sz="4" w:space="0" w:color="auto"/>
              <w:left w:val="single" w:sz="4" w:space="0" w:color="auto"/>
              <w:bottom w:val="single" w:sz="4" w:space="0" w:color="auto"/>
              <w:right w:val="single" w:sz="4" w:space="0" w:color="auto"/>
            </w:tcBorders>
          </w:tcPr>
          <w:p w14:paraId="2948690F" w14:textId="77777777" w:rsidR="00265766" w:rsidRPr="009E686F" w:rsidRDefault="00265766" w:rsidP="00265766">
            <w:pPr>
              <w:spacing w:after="0"/>
              <w:jc w:val="both"/>
              <w:rPr>
                <w:rFonts w:ascii="Times New Roman" w:hAnsi="Times New Roman" w:cs="Times New Roman"/>
              </w:rPr>
            </w:pPr>
          </w:p>
        </w:tc>
      </w:tr>
      <w:tr w:rsidR="00265766" w:rsidRPr="009E686F" w14:paraId="7B974A18" w14:textId="77777777" w:rsidTr="00960C23">
        <w:tc>
          <w:tcPr>
            <w:tcW w:w="1890" w:type="pct"/>
            <w:tcBorders>
              <w:top w:val="single" w:sz="4" w:space="0" w:color="auto"/>
              <w:left w:val="single" w:sz="4" w:space="0" w:color="auto"/>
              <w:bottom w:val="single" w:sz="4" w:space="0" w:color="auto"/>
              <w:right w:val="single" w:sz="4" w:space="0" w:color="auto"/>
            </w:tcBorders>
          </w:tcPr>
          <w:p w14:paraId="4F9CE4AB" w14:textId="77777777" w:rsidR="00265766" w:rsidRPr="009E686F" w:rsidRDefault="00265766" w:rsidP="00265766">
            <w:pPr>
              <w:spacing w:after="0"/>
              <w:jc w:val="both"/>
              <w:rPr>
                <w:rFonts w:ascii="Times New Roman" w:hAnsi="Times New Roman" w:cs="Times New Roman"/>
              </w:rPr>
            </w:pPr>
            <w:r w:rsidRPr="009E686F">
              <w:rPr>
                <w:rFonts w:ascii="Times New Roman" w:hAnsi="Times New Roman" w:cs="Times New Roman"/>
              </w:rPr>
              <w:t>Autoritățile competente care primesc informații confidențiale în temeiul articolului 53 le utilizează numai în cursul exercitării atribuțiilor lor și numai în oricare dintre următoarele scopuri:</w:t>
            </w:r>
          </w:p>
        </w:tc>
        <w:tc>
          <w:tcPr>
            <w:tcW w:w="1834" w:type="pct"/>
            <w:tcBorders>
              <w:top w:val="single" w:sz="4" w:space="0" w:color="auto"/>
              <w:left w:val="single" w:sz="4" w:space="0" w:color="auto"/>
              <w:bottom w:val="single" w:sz="4" w:space="0" w:color="auto"/>
              <w:right w:val="single" w:sz="4" w:space="0" w:color="auto"/>
            </w:tcBorders>
          </w:tcPr>
          <w:p w14:paraId="0F28FE12" w14:textId="3978B1D6" w:rsidR="00265766" w:rsidRPr="009E686F" w:rsidRDefault="00265766" w:rsidP="00265766">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 xml:space="preserve">(1) Prin derogare de la art.36 din Legea nr.548/1995, Banca Naţională a Moldovei poate utiliza informaţiile primite potrivit art.126 doar în exercitarea atribuţiilor sale de supraveghere a </w:t>
            </w:r>
            <w:r w:rsidRPr="009E686F">
              <w:rPr>
                <w:rFonts w:ascii="Times New Roman" w:eastAsia="Aptos" w:hAnsi="Times New Roman" w:cs="Times New Roman"/>
                <w:i/>
                <w:iCs/>
                <w:kern w:val="2"/>
                <w:lang w:val="ro-MD"/>
              </w:rPr>
              <w:t>instituțiilor de credit</w:t>
            </w:r>
            <w:r w:rsidRPr="009E686F">
              <w:rPr>
                <w:rFonts w:ascii="Times New Roman" w:eastAsia="Aptos" w:hAnsi="Times New Roman" w:cs="Times New Roman"/>
                <w:kern w:val="2"/>
                <w:lang w:val="ro-MD"/>
              </w:rPr>
              <w:t xml:space="preserve">  şi numai în următoarele situaţii:</w:t>
            </w:r>
          </w:p>
          <w:p w14:paraId="667096A3" w14:textId="77777777" w:rsidR="00265766" w:rsidRPr="009E686F" w:rsidRDefault="00265766" w:rsidP="00265766">
            <w:pPr>
              <w:spacing w:after="0"/>
              <w:ind w:left="720"/>
              <w:jc w:val="both"/>
              <w:rPr>
                <w:rFonts w:ascii="Times New Roman" w:hAnsi="Times New Roman" w:cs="Times New Roman"/>
              </w:rPr>
            </w:pPr>
          </w:p>
        </w:tc>
        <w:tc>
          <w:tcPr>
            <w:tcW w:w="470" w:type="pct"/>
            <w:tcBorders>
              <w:top w:val="single" w:sz="4" w:space="0" w:color="auto"/>
              <w:left w:val="single" w:sz="4" w:space="0" w:color="auto"/>
              <w:bottom w:val="single" w:sz="4" w:space="0" w:color="auto"/>
              <w:right w:val="single" w:sz="4" w:space="0" w:color="auto"/>
            </w:tcBorders>
          </w:tcPr>
          <w:p w14:paraId="4698AAC4" w14:textId="48B53978" w:rsidR="00265766" w:rsidRPr="009E686F" w:rsidRDefault="00265766" w:rsidP="00265766">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671407CB" w14:textId="16A80370" w:rsidR="00265766" w:rsidRPr="009E686F" w:rsidRDefault="00265766" w:rsidP="00265766">
            <w:pPr>
              <w:spacing w:after="0"/>
              <w:jc w:val="both"/>
              <w:rPr>
                <w:rFonts w:ascii="Times New Roman" w:hAnsi="Times New Roman" w:cs="Times New Roman"/>
              </w:rPr>
            </w:pPr>
          </w:p>
        </w:tc>
      </w:tr>
      <w:tr w:rsidR="00265766" w:rsidRPr="009E686F" w14:paraId="0CBB339A" w14:textId="77777777" w:rsidTr="00960C23">
        <w:tc>
          <w:tcPr>
            <w:tcW w:w="1890" w:type="pct"/>
            <w:tcBorders>
              <w:top w:val="single" w:sz="4" w:space="0" w:color="auto"/>
              <w:left w:val="single" w:sz="4" w:space="0" w:color="auto"/>
              <w:bottom w:val="single" w:sz="4" w:space="0" w:color="auto"/>
              <w:right w:val="single" w:sz="4" w:space="0" w:color="auto"/>
            </w:tcBorders>
          </w:tcPr>
          <w:p w14:paraId="56B152CF" w14:textId="6AE9AA49" w:rsidR="00265766" w:rsidRPr="009E686F" w:rsidRDefault="00265766" w:rsidP="00265766">
            <w:pPr>
              <w:spacing w:after="0"/>
              <w:jc w:val="both"/>
              <w:rPr>
                <w:rFonts w:ascii="Times New Roman" w:hAnsi="Times New Roman" w:cs="Times New Roman"/>
              </w:rPr>
            </w:pPr>
            <w:r w:rsidRPr="009E686F">
              <w:rPr>
                <w:rFonts w:ascii="Times New Roman" w:hAnsi="Times New Roman" w:cs="Times New Roman"/>
              </w:rPr>
              <w:t>(a) verificarea îndeplinirii condițiilor care reglementează accesul la activitatea instituțiilor de credit, precum și facilitarea supravegherii, pe bază consolidată sau neconsolidată, a desfășurării activității respective, în special în ceea ce privește supravegherea lichidității, a solvabilității, a expunerilor mari și a procedurilor contabile și administrative, precum și a mecanismelor interne de control;</w:t>
            </w:r>
          </w:p>
        </w:tc>
        <w:tc>
          <w:tcPr>
            <w:tcW w:w="1834" w:type="pct"/>
            <w:tcBorders>
              <w:top w:val="single" w:sz="4" w:space="0" w:color="auto"/>
              <w:left w:val="single" w:sz="4" w:space="0" w:color="auto"/>
              <w:bottom w:val="single" w:sz="4" w:space="0" w:color="auto"/>
              <w:right w:val="single" w:sz="4" w:space="0" w:color="auto"/>
            </w:tcBorders>
          </w:tcPr>
          <w:p w14:paraId="38070344" w14:textId="6A58589B" w:rsidR="00265766" w:rsidRPr="009E686F" w:rsidRDefault="00265766" w:rsidP="00265766">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 xml:space="preserve">a) examinarea îndeplinirii condiţiilor de </w:t>
            </w:r>
            <w:r w:rsidR="00036730" w:rsidRPr="009E686F">
              <w:rPr>
                <w:rFonts w:ascii="Times New Roman" w:eastAsia="Aptos" w:hAnsi="Times New Roman" w:cs="Times New Roman"/>
                <w:i/>
                <w:iCs/>
                <w:kern w:val="2"/>
                <w:lang w:val="ro-RO"/>
              </w:rPr>
              <w:t xml:space="preserve">autorizare </w:t>
            </w:r>
            <w:r w:rsidRPr="009E686F">
              <w:rPr>
                <w:rFonts w:ascii="Times New Roman" w:eastAsia="Aptos" w:hAnsi="Times New Roman" w:cs="Times New Roman"/>
                <w:kern w:val="2"/>
                <w:lang w:val="ro-MD"/>
              </w:rPr>
              <w:t xml:space="preserve">a </w:t>
            </w:r>
            <w:r w:rsidRPr="009E686F">
              <w:rPr>
                <w:rFonts w:ascii="Times New Roman" w:eastAsia="Aptos" w:hAnsi="Times New Roman" w:cs="Times New Roman"/>
                <w:i/>
                <w:iCs/>
                <w:kern w:val="2"/>
                <w:lang w:val="ro-MD"/>
              </w:rPr>
              <w:t>instituțiilor de credit</w:t>
            </w:r>
            <w:r w:rsidRPr="009E686F">
              <w:rPr>
                <w:rFonts w:ascii="Times New Roman" w:eastAsia="Aptos" w:hAnsi="Times New Roman" w:cs="Times New Roman"/>
                <w:kern w:val="2"/>
                <w:lang w:val="ro-MD"/>
              </w:rPr>
              <w:t xml:space="preserve">, precum şi facilitarea supravegherii, pe bază individuală şi/sau consolidată, a condiţiilor de desfăşurare a activităţii </w:t>
            </w:r>
            <w:r w:rsidRPr="009E686F">
              <w:rPr>
                <w:rFonts w:ascii="Times New Roman" w:eastAsia="Aptos" w:hAnsi="Times New Roman" w:cs="Times New Roman"/>
                <w:i/>
                <w:iCs/>
                <w:kern w:val="2"/>
                <w:lang w:val="ro-MD"/>
              </w:rPr>
              <w:t>instituțiilor de credit</w:t>
            </w:r>
            <w:r w:rsidRPr="009E686F">
              <w:rPr>
                <w:rFonts w:ascii="Times New Roman" w:eastAsia="Aptos" w:hAnsi="Times New Roman" w:cs="Times New Roman"/>
                <w:kern w:val="2"/>
                <w:lang w:val="ro-MD"/>
              </w:rPr>
              <w:t>, în special cu privire la lichiditate, solvabilitate, expunerile mari, procedurile administrative şi contabile şi la mecanismele de control intern;</w:t>
            </w:r>
          </w:p>
          <w:p w14:paraId="291D50CD" w14:textId="7F9F7326" w:rsidR="00265766" w:rsidRPr="009E686F" w:rsidRDefault="00265766" w:rsidP="00265766">
            <w:pPr>
              <w:spacing w:after="0"/>
              <w:jc w:val="both"/>
              <w:rPr>
                <w:rFonts w:ascii="Times New Roman" w:hAnsi="Times New Roman" w:cs="Times New Roman"/>
                <w:b/>
                <w:lang w:val="it-CH"/>
              </w:rPr>
            </w:pPr>
          </w:p>
        </w:tc>
        <w:tc>
          <w:tcPr>
            <w:tcW w:w="470" w:type="pct"/>
            <w:tcBorders>
              <w:top w:val="single" w:sz="4" w:space="0" w:color="auto"/>
              <w:left w:val="single" w:sz="4" w:space="0" w:color="auto"/>
              <w:bottom w:val="single" w:sz="4" w:space="0" w:color="auto"/>
              <w:right w:val="single" w:sz="4" w:space="0" w:color="auto"/>
            </w:tcBorders>
          </w:tcPr>
          <w:p w14:paraId="37406669" w14:textId="6B6A918C" w:rsidR="00265766" w:rsidRPr="009E686F" w:rsidRDefault="00265766" w:rsidP="00265766">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5CB21A77" w14:textId="69DBFB31" w:rsidR="00265766" w:rsidRPr="009E686F" w:rsidRDefault="00265766" w:rsidP="00265766">
            <w:pPr>
              <w:spacing w:after="0"/>
              <w:jc w:val="both"/>
              <w:rPr>
                <w:rFonts w:ascii="Times New Roman" w:hAnsi="Times New Roman" w:cs="Times New Roman"/>
              </w:rPr>
            </w:pPr>
          </w:p>
        </w:tc>
      </w:tr>
      <w:tr w:rsidR="00265766" w:rsidRPr="009E686F" w14:paraId="4209F1B8" w14:textId="77777777" w:rsidTr="00960C23">
        <w:tc>
          <w:tcPr>
            <w:tcW w:w="1890" w:type="pct"/>
            <w:tcBorders>
              <w:top w:val="single" w:sz="4" w:space="0" w:color="auto"/>
              <w:left w:val="single" w:sz="4" w:space="0" w:color="auto"/>
              <w:bottom w:val="single" w:sz="4" w:space="0" w:color="auto"/>
              <w:right w:val="single" w:sz="4" w:space="0" w:color="auto"/>
            </w:tcBorders>
          </w:tcPr>
          <w:p w14:paraId="07599622" w14:textId="07B99F82" w:rsidR="00265766" w:rsidRPr="009E686F" w:rsidRDefault="00265766" w:rsidP="00265766">
            <w:pPr>
              <w:spacing w:after="0"/>
              <w:jc w:val="both"/>
              <w:rPr>
                <w:rFonts w:ascii="Times New Roman" w:hAnsi="Times New Roman" w:cs="Times New Roman"/>
              </w:rPr>
            </w:pPr>
            <w:r w:rsidRPr="009E686F">
              <w:rPr>
                <w:rFonts w:ascii="Times New Roman" w:hAnsi="Times New Roman" w:cs="Times New Roman"/>
              </w:rPr>
              <w:t>(b) aplicarea de sancțiuni;</w:t>
            </w:r>
          </w:p>
        </w:tc>
        <w:tc>
          <w:tcPr>
            <w:tcW w:w="1834" w:type="pct"/>
            <w:tcBorders>
              <w:top w:val="single" w:sz="4" w:space="0" w:color="auto"/>
              <w:left w:val="single" w:sz="4" w:space="0" w:color="auto"/>
              <w:bottom w:val="single" w:sz="4" w:space="0" w:color="auto"/>
              <w:right w:val="single" w:sz="4" w:space="0" w:color="auto"/>
            </w:tcBorders>
          </w:tcPr>
          <w:p w14:paraId="05CDD516" w14:textId="7BCDADE2" w:rsidR="00265766" w:rsidRPr="009E686F" w:rsidRDefault="00265766" w:rsidP="00265766">
            <w:pPr>
              <w:spacing w:after="0"/>
              <w:jc w:val="both"/>
              <w:rPr>
                <w:rFonts w:ascii="Times New Roman" w:hAnsi="Times New Roman" w:cs="Times New Roman"/>
              </w:rPr>
            </w:pPr>
            <w:r w:rsidRPr="009E686F">
              <w:rPr>
                <w:rFonts w:ascii="Times New Roman" w:hAnsi="Times New Roman" w:cs="Times New Roman"/>
              </w:rPr>
              <w:t xml:space="preserve">b) aplicarea de sancţiuni; </w:t>
            </w:r>
          </w:p>
        </w:tc>
        <w:tc>
          <w:tcPr>
            <w:tcW w:w="470" w:type="pct"/>
            <w:tcBorders>
              <w:top w:val="single" w:sz="4" w:space="0" w:color="auto"/>
              <w:left w:val="single" w:sz="4" w:space="0" w:color="auto"/>
              <w:bottom w:val="single" w:sz="4" w:space="0" w:color="auto"/>
              <w:right w:val="single" w:sz="4" w:space="0" w:color="auto"/>
            </w:tcBorders>
          </w:tcPr>
          <w:p w14:paraId="38435B39" w14:textId="725EA9B5" w:rsidR="00265766" w:rsidRPr="009E686F" w:rsidRDefault="00265766" w:rsidP="00265766">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309EA589" w14:textId="3CA59B4B" w:rsidR="00265766" w:rsidRPr="009E686F" w:rsidRDefault="00265766" w:rsidP="00265766">
            <w:pPr>
              <w:spacing w:after="0"/>
              <w:jc w:val="both"/>
              <w:rPr>
                <w:rFonts w:ascii="Times New Roman" w:hAnsi="Times New Roman" w:cs="Times New Roman"/>
              </w:rPr>
            </w:pPr>
          </w:p>
        </w:tc>
      </w:tr>
      <w:tr w:rsidR="00265766" w:rsidRPr="009E686F" w14:paraId="03A9A293" w14:textId="77777777" w:rsidTr="00960C23">
        <w:tc>
          <w:tcPr>
            <w:tcW w:w="1890" w:type="pct"/>
            <w:tcBorders>
              <w:top w:val="single" w:sz="4" w:space="0" w:color="auto"/>
              <w:left w:val="single" w:sz="4" w:space="0" w:color="auto"/>
              <w:bottom w:val="single" w:sz="4" w:space="0" w:color="auto"/>
              <w:right w:val="single" w:sz="4" w:space="0" w:color="auto"/>
            </w:tcBorders>
          </w:tcPr>
          <w:p w14:paraId="79379921" w14:textId="747A6BEE"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(c) într-un apel împotriva unei decizii a autorității competente, inclusiv acțiuni în instanță în temeiul articolului 72;</w:t>
            </w:r>
          </w:p>
        </w:tc>
        <w:tc>
          <w:tcPr>
            <w:tcW w:w="1834" w:type="pct"/>
            <w:tcBorders>
              <w:top w:val="single" w:sz="4" w:space="0" w:color="auto"/>
              <w:left w:val="single" w:sz="4" w:space="0" w:color="auto"/>
              <w:bottom w:val="single" w:sz="4" w:space="0" w:color="auto"/>
              <w:right w:val="single" w:sz="4" w:space="0" w:color="auto"/>
            </w:tcBorders>
          </w:tcPr>
          <w:p w14:paraId="7A970F2B" w14:textId="77777777" w:rsidR="00265766" w:rsidRPr="009E686F" w:rsidRDefault="00265766" w:rsidP="00265766">
            <w:pPr>
              <w:spacing w:after="0"/>
              <w:jc w:val="both"/>
              <w:rPr>
                <w:rFonts w:ascii="Times New Roman" w:hAnsi="Times New Roman" w:cs="Times New Roman"/>
                <w:lang w:val="pt-BR"/>
              </w:rPr>
            </w:pPr>
            <w:r w:rsidRPr="009E686F">
              <w:rPr>
                <w:rFonts w:ascii="Times New Roman" w:hAnsi="Times New Roman" w:cs="Times New Roman"/>
                <w:lang w:val="pt-BR"/>
              </w:rPr>
              <w:t>c) contestarea actelor emise de Banca Naţională a Moldovei;</w:t>
            </w:r>
          </w:p>
          <w:p w14:paraId="102DD4DE" w14:textId="77777777" w:rsidR="00265766" w:rsidRPr="009E686F" w:rsidRDefault="00265766" w:rsidP="00265766">
            <w:pPr>
              <w:spacing w:after="0"/>
              <w:jc w:val="both"/>
              <w:rPr>
                <w:rFonts w:ascii="Times New Roman" w:hAnsi="Times New Roman" w:cs="Times New Roman"/>
                <w:b/>
                <w:lang w:val="pt-BR"/>
              </w:rPr>
            </w:pPr>
          </w:p>
        </w:tc>
        <w:tc>
          <w:tcPr>
            <w:tcW w:w="470" w:type="pct"/>
            <w:tcBorders>
              <w:top w:val="single" w:sz="4" w:space="0" w:color="auto"/>
              <w:left w:val="single" w:sz="4" w:space="0" w:color="auto"/>
              <w:bottom w:val="single" w:sz="4" w:space="0" w:color="auto"/>
              <w:right w:val="single" w:sz="4" w:space="0" w:color="auto"/>
            </w:tcBorders>
          </w:tcPr>
          <w:p w14:paraId="67A5F800" w14:textId="34A17CB7" w:rsidR="00265766" w:rsidRPr="009E686F" w:rsidRDefault="00265766" w:rsidP="00265766">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520AFC58" w14:textId="0B0F5E6B" w:rsidR="00265766" w:rsidRPr="009E686F" w:rsidRDefault="00265766" w:rsidP="00265766">
            <w:pPr>
              <w:spacing w:after="0"/>
              <w:jc w:val="both"/>
              <w:rPr>
                <w:rFonts w:ascii="Times New Roman" w:hAnsi="Times New Roman" w:cs="Times New Roman"/>
              </w:rPr>
            </w:pPr>
          </w:p>
        </w:tc>
      </w:tr>
      <w:tr w:rsidR="00265766" w:rsidRPr="009E686F" w14:paraId="7A1AD5D1" w14:textId="77777777" w:rsidTr="00960C23">
        <w:tc>
          <w:tcPr>
            <w:tcW w:w="1890" w:type="pct"/>
            <w:tcBorders>
              <w:top w:val="single" w:sz="4" w:space="0" w:color="auto"/>
              <w:left w:val="single" w:sz="4" w:space="0" w:color="auto"/>
              <w:bottom w:val="single" w:sz="4" w:space="0" w:color="auto"/>
              <w:right w:val="single" w:sz="4" w:space="0" w:color="auto"/>
            </w:tcBorders>
          </w:tcPr>
          <w:p w14:paraId="1B8272C6" w14:textId="45A24673" w:rsidR="00265766" w:rsidRPr="009E686F" w:rsidRDefault="00265766" w:rsidP="00265766">
            <w:pPr>
              <w:spacing w:after="0"/>
              <w:jc w:val="both"/>
              <w:rPr>
                <w:rFonts w:ascii="Times New Roman" w:hAnsi="Times New Roman" w:cs="Times New Roman"/>
              </w:rPr>
            </w:pPr>
            <w:r w:rsidRPr="009E686F">
              <w:rPr>
                <w:rFonts w:ascii="Times New Roman" w:hAnsi="Times New Roman" w:cs="Times New Roman"/>
              </w:rPr>
              <w:t>(d) în acțiuni în instanță deschise în temeiul unor dispoziții speciale prevăzute de legislația Uniunii adoptată în domeniul instituțiilor de credit.</w:t>
            </w:r>
          </w:p>
        </w:tc>
        <w:tc>
          <w:tcPr>
            <w:tcW w:w="1834" w:type="pct"/>
            <w:tcBorders>
              <w:top w:val="single" w:sz="4" w:space="0" w:color="auto"/>
              <w:left w:val="single" w:sz="4" w:space="0" w:color="auto"/>
              <w:bottom w:val="single" w:sz="4" w:space="0" w:color="auto"/>
              <w:right w:val="single" w:sz="4" w:space="0" w:color="auto"/>
            </w:tcBorders>
          </w:tcPr>
          <w:p w14:paraId="0DEFAF8E" w14:textId="6532D9F7"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 xml:space="preserve">d) în cadrul unor proceduri judiciare iniţiate împotriva unei decizii a Băncii Naționale a Moldovei sau a prevederilor altor legi aplicabile </w:t>
            </w:r>
            <w:r w:rsidRPr="009E686F">
              <w:rPr>
                <w:rFonts w:ascii="Times New Roman" w:hAnsi="Times New Roman" w:cs="Times New Roman"/>
                <w:i/>
                <w:lang w:val="it-CH"/>
              </w:rPr>
              <w:t>instituțiilor de credit</w:t>
            </w:r>
            <w:r w:rsidRPr="009E686F">
              <w:rPr>
                <w:rFonts w:ascii="Times New Roman" w:hAnsi="Times New Roman" w:cs="Times New Roman"/>
                <w:lang w:val="it-CH"/>
              </w:rPr>
              <w:t xml:space="preserve">. </w:t>
            </w:r>
          </w:p>
        </w:tc>
        <w:tc>
          <w:tcPr>
            <w:tcW w:w="470" w:type="pct"/>
            <w:tcBorders>
              <w:top w:val="single" w:sz="4" w:space="0" w:color="auto"/>
              <w:left w:val="single" w:sz="4" w:space="0" w:color="auto"/>
              <w:bottom w:val="single" w:sz="4" w:space="0" w:color="auto"/>
              <w:right w:val="single" w:sz="4" w:space="0" w:color="auto"/>
            </w:tcBorders>
          </w:tcPr>
          <w:p w14:paraId="4A138427" w14:textId="323A4AFA" w:rsidR="00265766" w:rsidRPr="009E686F" w:rsidRDefault="00265766" w:rsidP="00265766">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5B91B8A5" w14:textId="6527FCA0" w:rsidR="00265766" w:rsidRPr="009E686F" w:rsidRDefault="00265766" w:rsidP="00265766">
            <w:pPr>
              <w:spacing w:after="0"/>
              <w:jc w:val="both"/>
              <w:rPr>
                <w:rFonts w:ascii="Times New Roman" w:hAnsi="Times New Roman" w:cs="Times New Roman"/>
              </w:rPr>
            </w:pPr>
          </w:p>
        </w:tc>
      </w:tr>
      <w:tr w:rsidR="00265766" w:rsidRPr="009E686F" w14:paraId="17F1C11B" w14:textId="77777777" w:rsidTr="00960C23">
        <w:tc>
          <w:tcPr>
            <w:tcW w:w="1890" w:type="pct"/>
            <w:tcBorders>
              <w:top w:val="single" w:sz="4" w:space="0" w:color="auto"/>
              <w:left w:val="single" w:sz="4" w:space="0" w:color="auto"/>
              <w:bottom w:val="single" w:sz="4" w:space="0" w:color="auto"/>
              <w:right w:val="single" w:sz="4" w:space="0" w:color="auto"/>
            </w:tcBorders>
          </w:tcPr>
          <w:p w14:paraId="44A80088" w14:textId="77777777" w:rsidR="00265766" w:rsidRPr="009E686F" w:rsidRDefault="00265766" w:rsidP="00265766">
            <w:pPr>
              <w:spacing w:after="0"/>
              <w:jc w:val="both"/>
              <w:rPr>
                <w:rFonts w:ascii="Times New Roman" w:hAnsi="Times New Roman" w:cs="Times New Roman"/>
              </w:rPr>
            </w:pPr>
          </w:p>
        </w:tc>
        <w:tc>
          <w:tcPr>
            <w:tcW w:w="1834" w:type="pct"/>
            <w:tcBorders>
              <w:top w:val="single" w:sz="4" w:space="0" w:color="auto"/>
              <w:left w:val="single" w:sz="4" w:space="0" w:color="auto"/>
              <w:bottom w:val="single" w:sz="4" w:space="0" w:color="auto"/>
              <w:right w:val="single" w:sz="4" w:space="0" w:color="auto"/>
            </w:tcBorders>
          </w:tcPr>
          <w:p w14:paraId="15EDFD47" w14:textId="77777777"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 xml:space="preserve">(2) Prevederile art.36 din Legea nr.548/1995 cu privire la Banca Naţională a Moldovei nu se aplică în cazul schimbului de informaţii şi al obligaţiei de păstrare a secretului </w:t>
            </w:r>
            <w:r w:rsidRPr="009E686F">
              <w:rPr>
                <w:rFonts w:ascii="Times New Roman" w:hAnsi="Times New Roman" w:cs="Times New Roman"/>
                <w:lang w:val="it-CH"/>
              </w:rPr>
              <w:lastRenderedPageBreak/>
              <w:t>profesional în exercitarea competenţelor de supraveghere prudenţială, potrivit prezentei legi, de către Banca Naţională a Moldovei.</w:t>
            </w:r>
          </w:p>
          <w:p w14:paraId="7C293D31" w14:textId="77777777" w:rsidR="00265766" w:rsidRPr="009E686F" w:rsidRDefault="00265766" w:rsidP="00265766">
            <w:pPr>
              <w:spacing w:after="0"/>
              <w:jc w:val="both"/>
              <w:rPr>
                <w:rFonts w:ascii="Times New Roman" w:hAnsi="Times New Roman" w:cs="Times New Roman"/>
                <w:lang w:val="it-CH"/>
              </w:rPr>
            </w:pPr>
          </w:p>
        </w:tc>
        <w:tc>
          <w:tcPr>
            <w:tcW w:w="470" w:type="pct"/>
            <w:tcBorders>
              <w:top w:val="single" w:sz="4" w:space="0" w:color="auto"/>
              <w:left w:val="single" w:sz="4" w:space="0" w:color="auto"/>
              <w:bottom w:val="single" w:sz="4" w:space="0" w:color="auto"/>
              <w:right w:val="single" w:sz="4" w:space="0" w:color="auto"/>
            </w:tcBorders>
          </w:tcPr>
          <w:p w14:paraId="551D6E32" w14:textId="21FDB120" w:rsidR="00265766" w:rsidRPr="009E686F" w:rsidRDefault="00265766" w:rsidP="00265766">
            <w:pPr>
              <w:jc w:val="both"/>
              <w:rPr>
                <w:rFonts w:ascii="Times New Roman" w:hAnsi="Times New Roman" w:cs="Times New Roman"/>
                <w:lang w:val="it-CH"/>
              </w:rPr>
            </w:pPr>
            <w:r w:rsidRPr="009E686F">
              <w:rPr>
                <w:rFonts w:ascii="Times New Roman" w:hAnsi="Times New Roman" w:cs="Times New Roman"/>
                <w:lang w:val="it-CH"/>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6519557E" w14:textId="3889FCEA" w:rsidR="00265766" w:rsidRPr="009E686F" w:rsidRDefault="00265766" w:rsidP="00265766">
            <w:pPr>
              <w:spacing w:after="0"/>
              <w:jc w:val="both"/>
              <w:rPr>
                <w:rFonts w:ascii="Times New Roman" w:hAnsi="Times New Roman" w:cs="Times New Roman"/>
                <w:lang w:val="pt-BR"/>
              </w:rPr>
            </w:pPr>
            <w:r w:rsidRPr="009E686F">
              <w:rPr>
                <w:rFonts w:ascii="Times New Roman" w:hAnsi="Times New Roman" w:cs="Times New Roman"/>
                <w:lang w:val="pt-BR"/>
              </w:rPr>
              <w:t>Norme cu specific național de implementare.</w:t>
            </w:r>
          </w:p>
        </w:tc>
      </w:tr>
      <w:tr w:rsidR="00265766" w:rsidRPr="009E686F" w14:paraId="65EBE137" w14:textId="77777777" w:rsidTr="00960C23">
        <w:tc>
          <w:tcPr>
            <w:tcW w:w="1890" w:type="pct"/>
            <w:tcBorders>
              <w:top w:val="single" w:sz="4" w:space="0" w:color="auto"/>
              <w:left w:val="single" w:sz="4" w:space="0" w:color="auto"/>
              <w:bottom w:val="single" w:sz="4" w:space="0" w:color="auto"/>
              <w:right w:val="single" w:sz="4" w:space="0" w:color="auto"/>
            </w:tcBorders>
          </w:tcPr>
          <w:p w14:paraId="302995D2" w14:textId="77777777" w:rsidR="00265766" w:rsidRPr="009E686F" w:rsidRDefault="00265766" w:rsidP="00265766">
            <w:pPr>
              <w:spacing w:after="0"/>
              <w:jc w:val="both"/>
              <w:rPr>
                <w:rFonts w:ascii="Times New Roman" w:hAnsi="Times New Roman" w:cs="Times New Roman"/>
                <w:i/>
                <w:iCs/>
                <w:lang w:val="it-IT"/>
              </w:rPr>
            </w:pPr>
            <w:r w:rsidRPr="009E686F">
              <w:rPr>
                <w:rFonts w:ascii="Times New Roman" w:hAnsi="Times New Roman" w:cs="Times New Roman"/>
                <w:i/>
                <w:iCs/>
                <w:lang w:val="it-IT"/>
              </w:rPr>
              <w:t>Articolul 54a</w:t>
            </w:r>
          </w:p>
          <w:p w14:paraId="1263BEF3" w14:textId="46656484" w:rsidR="00265766" w:rsidRPr="009E686F" w:rsidRDefault="00265766" w:rsidP="00265766">
            <w:pPr>
              <w:spacing w:after="0"/>
              <w:jc w:val="both"/>
              <w:rPr>
                <w:rFonts w:ascii="Times New Roman" w:hAnsi="Times New Roman" w:cs="Times New Roman"/>
                <w:b/>
                <w:bCs/>
                <w:lang w:val="it-IT"/>
              </w:rPr>
            </w:pPr>
            <w:r w:rsidRPr="009E686F">
              <w:rPr>
                <w:rFonts w:ascii="Times New Roman" w:hAnsi="Times New Roman" w:cs="Times New Roman"/>
                <w:lang w:val="it-IT"/>
              </w:rPr>
              <w:t>Articolele 53 și 54 nu aduc atingere competențelor de investigare conferite Parlamentului European prin articolul 226 TFUE.</w:t>
            </w:r>
          </w:p>
        </w:tc>
        <w:tc>
          <w:tcPr>
            <w:tcW w:w="1834" w:type="pct"/>
            <w:tcBorders>
              <w:top w:val="single" w:sz="4" w:space="0" w:color="auto"/>
              <w:left w:val="single" w:sz="4" w:space="0" w:color="auto"/>
              <w:bottom w:val="single" w:sz="4" w:space="0" w:color="auto"/>
              <w:right w:val="single" w:sz="4" w:space="0" w:color="auto"/>
            </w:tcBorders>
          </w:tcPr>
          <w:p w14:paraId="1BFC73C1" w14:textId="77777777" w:rsidR="00265766" w:rsidRPr="009E686F" w:rsidRDefault="00265766" w:rsidP="00265766">
            <w:pPr>
              <w:spacing w:after="0"/>
              <w:jc w:val="both"/>
              <w:rPr>
                <w:rFonts w:ascii="Times New Roman" w:hAnsi="Times New Roman" w:cs="Times New Roman"/>
                <w:lang w:val="it-CH"/>
              </w:rPr>
            </w:pPr>
          </w:p>
        </w:tc>
        <w:tc>
          <w:tcPr>
            <w:tcW w:w="470" w:type="pct"/>
            <w:tcBorders>
              <w:top w:val="single" w:sz="4" w:space="0" w:color="auto"/>
              <w:left w:val="single" w:sz="4" w:space="0" w:color="auto"/>
              <w:bottom w:val="single" w:sz="4" w:space="0" w:color="auto"/>
              <w:right w:val="single" w:sz="4" w:space="0" w:color="auto"/>
            </w:tcBorders>
          </w:tcPr>
          <w:p w14:paraId="3EF16B89" w14:textId="5F599841" w:rsidR="00265766" w:rsidRPr="009E686F" w:rsidRDefault="00265766" w:rsidP="00265766">
            <w:pPr>
              <w:jc w:val="both"/>
              <w:rPr>
                <w:rFonts w:ascii="Times New Roman" w:hAnsi="Times New Roman" w:cs="Times New Roman"/>
                <w:lang w:val="it-IT"/>
              </w:rPr>
            </w:pPr>
            <w:r w:rsidRPr="009E686F">
              <w:rPr>
                <w:rFonts w:ascii="Times New Roman" w:hAnsi="Times New Roman" w:cs="Times New Roman"/>
                <w:lang w:val="it-IT"/>
              </w:rPr>
              <w:t>Norme UE neaplicabile</w:t>
            </w:r>
          </w:p>
        </w:tc>
        <w:tc>
          <w:tcPr>
            <w:tcW w:w="806" w:type="pct"/>
            <w:tcBorders>
              <w:top w:val="single" w:sz="4" w:space="0" w:color="auto"/>
              <w:left w:val="single" w:sz="4" w:space="0" w:color="auto"/>
              <w:bottom w:val="single" w:sz="4" w:space="0" w:color="auto"/>
              <w:right w:val="single" w:sz="4" w:space="0" w:color="auto"/>
            </w:tcBorders>
          </w:tcPr>
          <w:p w14:paraId="4EB737FE" w14:textId="3A96C95B" w:rsidR="00265766" w:rsidRPr="009E686F" w:rsidRDefault="00265766" w:rsidP="00265766">
            <w:pPr>
              <w:spacing w:after="0"/>
              <w:jc w:val="both"/>
              <w:rPr>
                <w:rFonts w:ascii="Times New Roman" w:hAnsi="Times New Roman" w:cs="Times New Roman"/>
                <w:lang w:val="it-IT"/>
              </w:rPr>
            </w:pPr>
            <w:r w:rsidRPr="009E686F">
              <w:rPr>
                <w:rFonts w:ascii="Times New Roman" w:hAnsi="Times New Roman" w:cs="Times New Roman"/>
                <w:lang w:val="it-IT"/>
              </w:rPr>
              <w:t>Se referă la competențele Parlamentului European.</w:t>
            </w:r>
          </w:p>
        </w:tc>
      </w:tr>
      <w:tr w:rsidR="00265766" w:rsidRPr="009E686F" w14:paraId="7DE031AC" w14:textId="77777777" w:rsidTr="00960C23">
        <w:tc>
          <w:tcPr>
            <w:tcW w:w="1890" w:type="pct"/>
            <w:tcBorders>
              <w:top w:val="single" w:sz="4" w:space="0" w:color="auto"/>
              <w:left w:val="single" w:sz="4" w:space="0" w:color="auto"/>
              <w:bottom w:val="single" w:sz="4" w:space="0" w:color="auto"/>
              <w:right w:val="single" w:sz="4" w:space="0" w:color="auto"/>
            </w:tcBorders>
          </w:tcPr>
          <w:p w14:paraId="5EFCA2B9" w14:textId="77777777" w:rsidR="00265766" w:rsidRPr="009E686F" w:rsidRDefault="00265766" w:rsidP="00265766">
            <w:pPr>
              <w:spacing w:after="0"/>
              <w:jc w:val="both"/>
              <w:rPr>
                <w:rFonts w:ascii="Times New Roman" w:hAnsi="Times New Roman" w:cs="Times New Roman"/>
                <w:i/>
                <w:iCs/>
                <w:lang w:val="it-IT"/>
              </w:rPr>
            </w:pPr>
            <w:r w:rsidRPr="009E686F">
              <w:rPr>
                <w:rFonts w:ascii="Times New Roman" w:hAnsi="Times New Roman" w:cs="Times New Roman"/>
                <w:i/>
                <w:iCs/>
                <w:lang w:val="it-IT"/>
              </w:rPr>
              <w:t xml:space="preserve">Articolul 55 </w:t>
            </w:r>
          </w:p>
          <w:p w14:paraId="6D258021" w14:textId="524C94FE" w:rsidR="00265766" w:rsidRPr="009E686F" w:rsidRDefault="00265766" w:rsidP="00265766">
            <w:pPr>
              <w:spacing w:after="0"/>
              <w:jc w:val="both"/>
              <w:rPr>
                <w:rFonts w:ascii="Times New Roman" w:hAnsi="Times New Roman" w:cs="Times New Roman"/>
                <w:lang w:val="it-IT"/>
              </w:rPr>
            </w:pPr>
            <w:r w:rsidRPr="009E686F">
              <w:rPr>
                <w:rFonts w:ascii="Times New Roman" w:hAnsi="Times New Roman" w:cs="Times New Roman"/>
                <w:lang w:val="it-IT"/>
              </w:rPr>
              <w:t>Acorduri de cooperare</w:t>
            </w:r>
          </w:p>
        </w:tc>
        <w:tc>
          <w:tcPr>
            <w:tcW w:w="1834" w:type="pct"/>
            <w:tcBorders>
              <w:top w:val="single" w:sz="4" w:space="0" w:color="auto"/>
              <w:left w:val="single" w:sz="4" w:space="0" w:color="auto"/>
              <w:bottom w:val="single" w:sz="4" w:space="0" w:color="auto"/>
              <w:right w:val="single" w:sz="4" w:space="0" w:color="auto"/>
            </w:tcBorders>
          </w:tcPr>
          <w:p w14:paraId="7B2642C0" w14:textId="1E65FB73" w:rsidR="00265766" w:rsidRPr="009E686F" w:rsidRDefault="00265766" w:rsidP="00265766">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b/>
                <w:bCs/>
                <w:kern w:val="2"/>
                <w:lang w:val="ro-MD"/>
              </w:rPr>
              <w:t>Articolul 128.</w:t>
            </w:r>
            <w:r w:rsidRPr="009E686F">
              <w:rPr>
                <w:rFonts w:ascii="Times New Roman" w:eastAsia="Aptos" w:hAnsi="Times New Roman" w:cs="Times New Roman"/>
                <w:kern w:val="2"/>
                <w:lang w:val="ro-MD"/>
              </w:rPr>
              <w:t xml:space="preserve"> Acorduri de cooperare </w:t>
            </w:r>
            <w:bookmarkStart w:id="17" w:name="_Hlk215571620"/>
            <w:r w:rsidRPr="009E686F">
              <w:rPr>
                <w:rFonts w:ascii="Times New Roman" w:eastAsia="Aptos" w:hAnsi="Times New Roman" w:cs="Times New Roman"/>
                <w:kern w:val="2"/>
                <w:lang w:val="ro-MD"/>
              </w:rPr>
              <w:t>și consultarea bazelor de date</w:t>
            </w:r>
            <w:bookmarkEnd w:id="17"/>
          </w:p>
        </w:tc>
        <w:tc>
          <w:tcPr>
            <w:tcW w:w="470" w:type="pct"/>
            <w:tcBorders>
              <w:top w:val="single" w:sz="4" w:space="0" w:color="auto"/>
              <w:left w:val="single" w:sz="4" w:space="0" w:color="auto"/>
              <w:bottom w:val="single" w:sz="4" w:space="0" w:color="auto"/>
              <w:right w:val="single" w:sz="4" w:space="0" w:color="auto"/>
            </w:tcBorders>
          </w:tcPr>
          <w:p w14:paraId="05DBBCE2" w14:textId="77777777" w:rsidR="00265766" w:rsidRPr="009E686F" w:rsidRDefault="00265766" w:rsidP="00265766">
            <w:pPr>
              <w:jc w:val="both"/>
              <w:rPr>
                <w:rFonts w:ascii="Times New Roman" w:hAnsi="Times New Roman" w:cs="Times New Roman"/>
                <w:lang w:val="pt-BR"/>
              </w:rPr>
            </w:pPr>
          </w:p>
        </w:tc>
        <w:tc>
          <w:tcPr>
            <w:tcW w:w="806" w:type="pct"/>
            <w:tcBorders>
              <w:top w:val="single" w:sz="4" w:space="0" w:color="auto"/>
              <w:left w:val="single" w:sz="4" w:space="0" w:color="auto"/>
              <w:bottom w:val="single" w:sz="4" w:space="0" w:color="auto"/>
              <w:right w:val="single" w:sz="4" w:space="0" w:color="auto"/>
            </w:tcBorders>
          </w:tcPr>
          <w:p w14:paraId="59E9EAC3" w14:textId="77777777" w:rsidR="00265766" w:rsidRPr="009E686F" w:rsidRDefault="00265766" w:rsidP="00265766">
            <w:pPr>
              <w:spacing w:after="0"/>
              <w:jc w:val="both"/>
              <w:rPr>
                <w:rFonts w:ascii="Times New Roman" w:hAnsi="Times New Roman" w:cs="Times New Roman"/>
                <w:lang w:val="pt-BR"/>
              </w:rPr>
            </w:pPr>
          </w:p>
        </w:tc>
      </w:tr>
      <w:tr w:rsidR="00265766" w:rsidRPr="009E686F" w14:paraId="4247AAB1" w14:textId="77777777" w:rsidTr="00960C23">
        <w:tc>
          <w:tcPr>
            <w:tcW w:w="1890" w:type="pct"/>
            <w:tcBorders>
              <w:top w:val="single" w:sz="4" w:space="0" w:color="auto"/>
              <w:left w:val="single" w:sz="4" w:space="0" w:color="auto"/>
              <w:bottom w:val="single" w:sz="4" w:space="0" w:color="auto"/>
              <w:right w:val="single" w:sz="4" w:space="0" w:color="auto"/>
            </w:tcBorders>
          </w:tcPr>
          <w:p w14:paraId="7778AE5C" w14:textId="77777777" w:rsidR="00265766" w:rsidRPr="009E686F" w:rsidRDefault="00265766" w:rsidP="00265766">
            <w:pPr>
              <w:spacing w:after="0"/>
              <w:jc w:val="both"/>
              <w:rPr>
                <w:rFonts w:ascii="Times New Roman" w:hAnsi="Times New Roman" w:cs="Times New Roman"/>
              </w:rPr>
            </w:pPr>
            <w:r w:rsidRPr="009E686F">
              <w:rPr>
                <w:rFonts w:ascii="Times New Roman" w:hAnsi="Times New Roman" w:cs="Times New Roman"/>
                <w:lang w:val="pt-BR"/>
              </w:rPr>
              <w:t xml:space="preserve">În conformitate cu articolul 33 din Regulamentul (UE) nr. 1093/2010, statele membre și ABE pot încheia acorduri de cooperare care să prevadă schimburi de informații cu autoritățile de supraveghere ale țărilor terțe sau cu autorități sau organisme ale țărilor terțe, în conformitate cu articolul 56 și articolul 57 alineatul (1) din prezenta directivă, doar cu condiția ca informațiile furnizate să facă obiectul unei garanții de respectare a cerințelor privind secretul profesional care să fie cel puțin echivalente cu cele prevăzute la articolul 53 alineatul (1) din prezenta directivă. </w:t>
            </w:r>
            <w:r w:rsidRPr="009E686F">
              <w:rPr>
                <w:rFonts w:ascii="Times New Roman" w:hAnsi="Times New Roman" w:cs="Times New Roman"/>
              </w:rPr>
              <w:t>Un astfel de schimb de informații are drept scop îndeplinirea sarcinilor de supraveghere ale acestor autorități sau organisme.</w:t>
            </w:r>
          </w:p>
        </w:tc>
        <w:tc>
          <w:tcPr>
            <w:tcW w:w="1834" w:type="pct"/>
            <w:tcBorders>
              <w:top w:val="single" w:sz="4" w:space="0" w:color="auto"/>
              <w:left w:val="single" w:sz="4" w:space="0" w:color="auto"/>
              <w:bottom w:val="single" w:sz="4" w:space="0" w:color="auto"/>
              <w:right w:val="single" w:sz="4" w:space="0" w:color="auto"/>
            </w:tcBorders>
          </w:tcPr>
          <w:p w14:paraId="2A1F71AB" w14:textId="5819D9B9" w:rsidR="00265766" w:rsidRPr="009E686F" w:rsidRDefault="00265766" w:rsidP="00265766">
            <w:pPr>
              <w:spacing w:after="0"/>
              <w:jc w:val="both"/>
              <w:rPr>
                <w:rFonts w:ascii="Times New Roman" w:hAnsi="Times New Roman" w:cs="Times New Roman"/>
                <w:lang w:val="ro-MD"/>
              </w:rPr>
            </w:pPr>
            <w:r w:rsidRPr="009E686F">
              <w:rPr>
                <w:rFonts w:ascii="Times New Roman" w:eastAsia="Aptos" w:hAnsi="Times New Roman" w:cs="Times New Roman"/>
                <w:kern w:val="2"/>
                <w:lang w:val="ro-MD"/>
              </w:rPr>
              <w:t>(1) Banca Naţională a Moldovei poate încheia acorduri de cooperare referitoare la schimbul de informaţii cu autorităţile competente din alte state membre sau cu alte autorităţi ori organisme din alte state prevăzute la art.129 şi art.130, în condiţiile în care informaţiile furnizate sînt supuse unor cerinţe de păstrare a secretului profesional cel puţin echivalente celor prevăzute la art.126. Schimbul de informaţii trebuie să fie circumscris scopului îndeplinirii atribuţiilor de supraveghere ale autorităţilor sau organismelor menţionate.</w:t>
            </w:r>
          </w:p>
        </w:tc>
        <w:tc>
          <w:tcPr>
            <w:tcW w:w="470" w:type="pct"/>
            <w:tcBorders>
              <w:top w:val="single" w:sz="4" w:space="0" w:color="auto"/>
              <w:left w:val="single" w:sz="4" w:space="0" w:color="auto"/>
              <w:bottom w:val="single" w:sz="4" w:space="0" w:color="auto"/>
              <w:right w:val="single" w:sz="4" w:space="0" w:color="auto"/>
            </w:tcBorders>
          </w:tcPr>
          <w:p w14:paraId="480709FF" w14:textId="015B3224" w:rsidR="00265766" w:rsidRPr="009E686F" w:rsidRDefault="00265766" w:rsidP="00265766">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5187FF6D" w14:textId="69C1B9F0" w:rsidR="00265766" w:rsidRPr="009E686F" w:rsidRDefault="00265766" w:rsidP="00265766">
            <w:pPr>
              <w:spacing w:after="0"/>
              <w:jc w:val="both"/>
              <w:rPr>
                <w:rFonts w:ascii="Times New Roman" w:hAnsi="Times New Roman" w:cs="Times New Roman"/>
              </w:rPr>
            </w:pPr>
          </w:p>
        </w:tc>
      </w:tr>
      <w:tr w:rsidR="00265766" w:rsidRPr="009E686F" w14:paraId="68045693" w14:textId="77777777" w:rsidTr="00960C23">
        <w:tc>
          <w:tcPr>
            <w:tcW w:w="1890" w:type="pct"/>
            <w:tcBorders>
              <w:top w:val="single" w:sz="4" w:space="0" w:color="auto"/>
              <w:left w:val="single" w:sz="4" w:space="0" w:color="auto"/>
              <w:bottom w:val="single" w:sz="4" w:space="0" w:color="auto"/>
              <w:right w:val="single" w:sz="4" w:space="0" w:color="auto"/>
            </w:tcBorders>
          </w:tcPr>
          <w:p w14:paraId="18DF76D5" w14:textId="77777777" w:rsidR="00265766" w:rsidRPr="009E686F" w:rsidRDefault="00265766" w:rsidP="00265766">
            <w:pPr>
              <w:spacing w:after="0"/>
              <w:jc w:val="both"/>
              <w:rPr>
                <w:rFonts w:ascii="Times New Roman" w:hAnsi="Times New Roman" w:cs="Times New Roman"/>
              </w:rPr>
            </w:pPr>
            <w:r w:rsidRPr="009E686F">
              <w:rPr>
                <w:rFonts w:ascii="Times New Roman" w:hAnsi="Times New Roman" w:cs="Times New Roman"/>
              </w:rPr>
              <w:t>În cazul în care informațiile provin dintr-un alt stat membru, acestea se divulgă doar cu acordul expres al autorităților care le-au transmis și, după caz, doar în scopurile pentru care autoritățile în cauză și-au dat acordul.</w:t>
            </w:r>
          </w:p>
        </w:tc>
        <w:tc>
          <w:tcPr>
            <w:tcW w:w="1834" w:type="pct"/>
            <w:tcBorders>
              <w:top w:val="single" w:sz="4" w:space="0" w:color="auto"/>
              <w:left w:val="single" w:sz="4" w:space="0" w:color="auto"/>
              <w:bottom w:val="single" w:sz="4" w:space="0" w:color="auto"/>
              <w:right w:val="single" w:sz="4" w:space="0" w:color="auto"/>
            </w:tcBorders>
          </w:tcPr>
          <w:p w14:paraId="6B511FBE" w14:textId="27778206" w:rsidR="00265766" w:rsidRPr="009E686F" w:rsidRDefault="00265766" w:rsidP="00265766">
            <w:pPr>
              <w:spacing w:after="0"/>
              <w:jc w:val="both"/>
              <w:rPr>
                <w:rFonts w:ascii="Times New Roman" w:hAnsi="Times New Roman" w:cs="Times New Roman"/>
                <w:b/>
              </w:rPr>
            </w:pPr>
            <w:r w:rsidRPr="009E686F">
              <w:rPr>
                <w:rFonts w:ascii="Times New Roman" w:hAnsi="Times New Roman" w:cs="Times New Roman"/>
              </w:rPr>
              <w:t xml:space="preserve">(2) În cazul în care informațiile primite de Banca Națională a Moldovei provin dintr-un alt stat </w:t>
            </w:r>
            <w:r w:rsidRPr="009E686F">
              <w:rPr>
                <w:rFonts w:ascii="Times New Roman" w:hAnsi="Times New Roman" w:cs="Times New Roman"/>
                <w:i/>
                <w:iCs/>
              </w:rPr>
              <w:t>membru</w:t>
            </w:r>
            <w:r w:rsidRPr="009E686F">
              <w:rPr>
                <w:rFonts w:ascii="Times New Roman" w:hAnsi="Times New Roman" w:cs="Times New Roman"/>
              </w:rPr>
              <w:t>, acestea se divulgă doar cu acordul expres al autorităților care le-au transmis iar în unele cazuri, doar în scopurile pentru care autoritățile în cauză și-au dat acordul.</w:t>
            </w:r>
          </w:p>
        </w:tc>
        <w:tc>
          <w:tcPr>
            <w:tcW w:w="470" w:type="pct"/>
            <w:tcBorders>
              <w:top w:val="single" w:sz="4" w:space="0" w:color="auto"/>
              <w:left w:val="single" w:sz="4" w:space="0" w:color="auto"/>
              <w:bottom w:val="single" w:sz="4" w:space="0" w:color="auto"/>
              <w:right w:val="single" w:sz="4" w:space="0" w:color="auto"/>
            </w:tcBorders>
          </w:tcPr>
          <w:p w14:paraId="09985F94" w14:textId="229F2FF9" w:rsidR="00265766" w:rsidRPr="009E686F" w:rsidRDefault="00265766" w:rsidP="00265766">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76CA2696" w14:textId="5117655C" w:rsidR="00265766" w:rsidRPr="009E686F" w:rsidRDefault="00265766" w:rsidP="00265766">
            <w:pPr>
              <w:spacing w:after="0"/>
              <w:jc w:val="both"/>
              <w:rPr>
                <w:rFonts w:ascii="Times New Roman" w:hAnsi="Times New Roman" w:cs="Times New Roman"/>
              </w:rPr>
            </w:pPr>
          </w:p>
        </w:tc>
      </w:tr>
      <w:tr w:rsidR="00265766" w:rsidRPr="009E686F" w14:paraId="12AB52B7" w14:textId="77777777" w:rsidTr="00960C23">
        <w:tc>
          <w:tcPr>
            <w:tcW w:w="1890" w:type="pct"/>
            <w:tcBorders>
              <w:top w:val="single" w:sz="4" w:space="0" w:color="auto"/>
              <w:left w:val="single" w:sz="4" w:space="0" w:color="auto"/>
              <w:bottom w:val="single" w:sz="4" w:space="0" w:color="auto"/>
              <w:right w:val="single" w:sz="4" w:space="0" w:color="auto"/>
            </w:tcBorders>
          </w:tcPr>
          <w:p w14:paraId="2FC00B32" w14:textId="77777777" w:rsidR="00265766" w:rsidRPr="009E686F" w:rsidRDefault="00265766" w:rsidP="00265766">
            <w:pPr>
              <w:spacing w:after="0"/>
              <w:jc w:val="both"/>
              <w:rPr>
                <w:rFonts w:ascii="Times New Roman" w:hAnsi="Times New Roman" w:cs="Times New Roman"/>
                <w:i/>
                <w:iCs/>
                <w:lang w:val="it-CH"/>
              </w:rPr>
            </w:pPr>
            <w:r w:rsidRPr="009E686F">
              <w:rPr>
                <w:rFonts w:ascii="Times New Roman" w:hAnsi="Times New Roman" w:cs="Times New Roman"/>
                <w:i/>
                <w:iCs/>
                <w:lang w:val="it-CH"/>
              </w:rPr>
              <w:t xml:space="preserve">Articolul 56 </w:t>
            </w:r>
          </w:p>
          <w:p w14:paraId="3EA5B053" w14:textId="1F76E871"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Schimbul de informații între autorități</w:t>
            </w:r>
          </w:p>
        </w:tc>
        <w:tc>
          <w:tcPr>
            <w:tcW w:w="1834" w:type="pct"/>
            <w:tcBorders>
              <w:top w:val="single" w:sz="4" w:space="0" w:color="auto"/>
              <w:left w:val="single" w:sz="4" w:space="0" w:color="auto"/>
              <w:bottom w:val="single" w:sz="4" w:space="0" w:color="auto"/>
              <w:right w:val="single" w:sz="4" w:space="0" w:color="auto"/>
            </w:tcBorders>
          </w:tcPr>
          <w:p w14:paraId="0681DF7C" w14:textId="5C247CDF" w:rsidR="00265766" w:rsidRPr="009E686F" w:rsidRDefault="00265766" w:rsidP="00265766">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b/>
                <w:bCs/>
                <w:kern w:val="2"/>
                <w:lang w:val="ro-MD"/>
              </w:rPr>
              <w:t>Articolul 129.</w:t>
            </w:r>
            <w:r w:rsidRPr="009E686F">
              <w:rPr>
                <w:rFonts w:ascii="Times New Roman" w:eastAsia="Aptos" w:hAnsi="Times New Roman" w:cs="Times New Roman"/>
                <w:kern w:val="2"/>
                <w:lang w:val="ro-MD"/>
              </w:rPr>
              <w:t xml:space="preserve"> Schimbul de informaţii cu alte  autorităţi competente şi entităţi</w:t>
            </w:r>
          </w:p>
        </w:tc>
        <w:tc>
          <w:tcPr>
            <w:tcW w:w="470" w:type="pct"/>
            <w:tcBorders>
              <w:top w:val="single" w:sz="4" w:space="0" w:color="auto"/>
              <w:left w:val="single" w:sz="4" w:space="0" w:color="auto"/>
              <w:bottom w:val="single" w:sz="4" w:space="0" w:color="auto"/>
              <w:right w:val="single" w:sz="4" w:space="0" w:color="auto"/>
            </w:tcBorders>
          </w:tcPr>
          <w:p w14:paraId="3F674E85" w14:textId="77777777" w:rsidR="00265766" w:rsidRPr="009E686F" w:rsidRDefault="00265766" w:rsidP="00265766">
            <w:pPr>
              <w:jc w:val="both"/>
              <w:rPr>
                <w:rFonts w:ascii="Times New Roman" w:hAnsi="Times New Roman" w:cs="Times New Roman"/>
                <w:lang w:val="it-IT"/>
              </w:rPr>
            </w:pPr>
          </w:p>
        </w:tc>
        <w:tc>
          <w:tcPr>
            <w:tcW w:w="806" w:type="pct"/>
            <w:tcBorders>
              <w:top w:val="single" w:sz="4" w:space="0" w:color="auto"/>
              <w:left w:val="single" w:sz="4" w:space="0" w:color="auto"/>
              <w:bottom w:val="single" w:sz="4" w:space="0" w:color="auto"/>
              <w:right w:val="single" w:sz="4" w:space="0" w:color="auto"/>
            </w:tcBorders>
          </w:tcPr>
          <w:p w14:paraId="793C202D" w14:textId="77777777" w:rsidR="00265766" w:rsidRPr="009E686F" w:rsidRDefault="00265766" w:rsidP="00265766">
            <w:pPr>
              <w:spacing w:after="0"/>
              <w:jc w:val="both"/>
              <w:rPr>
                <w:rFonts w:ascii="Times New Roman" w:hAnsi="Times New Roman" w:cs="Times New Roman"/>
                <w:lang w:val="it-IT"/>
              </w:rPr>
            </w:pPr>
          </w:p>
        </w:tc>
      </w:tr>
      <w:tr w:rsidR="00265766" w:rsidRPr="009E686F" w14:paraId="3557E6A0" w14:textId="77777777" w:rsidTr="00960C23">
        <w:tc>
          <w:tcPr>
            <w:tcW w:w="1890" w:type="pct"/>
            <w:tcBorders>
              <w:top w:val="single" w:sz="4" w:space="0" w:color="auto"/>
              <w:left w:val="single" w:sz="4" w:space="0" w:color="auto"/>
              <w:bottom w:val="single" w:sz="4" w:space="0" w:color="auto"/>
              <w:right w:val="single" w:sz="4" w:space="0" w:color="auto"/>
            </w:tcBorders>
          </w:tcPr>
          <w:p w14:paraId="25AE261D" w14:textId="77777777"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 xml:space="preserve">Articolul 53 alineatul (1) și articolul 54 nu împiedică schimbul de informații între autoritățile competente din cadrul unui stat </w:t>
            </w:r>
            <w:r w:rsidRPr="009E686F">
              <w:rPr>
                <w:rFonts w:ascii="Times New Roman" w:hAnsi="Times New Roman" w:cs="Times New Roman"/>
                <w:lang w:val="it-CH"/>
              </w:rPr>
              <w:lastRenderedPageBreak/>
              <w:t>membru sau între autoritățile competente din state membre diferite sau între autoritățile competente și entitățile de mai jos, în exercitarea funcției lor de supraveghere:</w:t>
            </w:r>
          </w:p>
        </w:tc>
        <w:tc>
          <w:tcPr>
            <w:tcW w:w="1834" w:type="pct"/>
            <w:tcBorders>
              <w:top w:val="single" w:sz="4" w:space="0" w:color="auto"/>
              <w:left w:val="single" w:sz="4" w:space="0" w:color="auto"/>
              <w:bottom w:val="single" w:sz="4" w:space="0" w:color="auto"/>
              <w:right w:val="single" w:sz="4" w:space="0" w:color="auto"/>
            </w:tcBorders>
          </w:tcPr>
          <w:p w14:paraId="67E0E607" w14:textId="2AE446C5" w:rsidR="00265766" w:rsidRPr="009E686F" w:rsidRDefault="00265766" w:rsidP="00265766">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lastRenderedPageBreak/>
              <w:t xml:space="preserve">(1) În exercitarea atribuţiilor de supraveghere, prevederile art.126 şi 127 nu împiedică schimbul de informaţii dintre </w:t>
            </w:r>
            <w:r w:rsidRPr="009E686F">
              <w:rPr>
                <w:rFonts w:ascii="Times New Roman" w:eastAsia="Aptos" w:hAnsi="Times New Roman" w:cs="Times New Roman"/>
                <w:kern w:val="2"/>
                <w:lang w:val="ro-MD"/>
              </w:rPr>
              <w:lastRenderedPageBreak/>
              <w:t xml:space="preserve">Banca Naţională a Moldovei şi autorităţile competente din Republica Moldova ori din alte state </w:t>
            </w:r>
            <w:r w:rsidRPr="009E686F">
              <w:rPr>
                <w:rFonts w:ascii="Times New Roman" w:eastAsia="Aptos" w:hAnsi="Times New Roman" w:cs="Times New Roman"/>
                <w:i/>
                <w:iCs/>
                <w:kern w:val="2"/>
                <w:lang w:val="ro-MD"/>
              </w:rPr>
              <w:t>membre</w:t>
            </w:r>
            <w:r w:rsidRPr="009E686F">
              <w:rPr>
                <w:rFonts w:ascii="Times New Roman" w:eastAsia="Aptos" w:hAnsi="Times New Roman" w:cs="Times New Roman"/>
                <w:kern w:val="2"/>
                <w:lang w:val="ro-MD"/>
              </w:rPr>
              <w:t xml:space="preserve"> sau dintre Banca Naţională a Moldovei şi următoarele entităţi din Republica Moldova sau din alte state </w:t>
            </w:r>
            <w:r w:rsidRPr="009E686F">
              <w:rPr>
                <w:rFonts w:ascii="Times New Roman" w:eastAsia="Aptos" w:hAnsi="Times New Roman" w:cs="Times New Roman"/>
                <w:i/>
                <w:iCs/>
                <w:kern w:val="2"/>
                <w:lang w:val="ro-MD"/>
              </w:rPr>
              <w:t>membre</w:t>
            </w:r>
            <w:r w:rsidRPr="009E686F">
              <w:rPr>
                <w:rFonts w:ascii="Times New Roman" w:eastAsia="Aptos" w:hAnsi="Times New Roman" w:cs="Times New Roman"/>
                <w:kern w:val="2"/>
                <w:lang w:val="ro-MD"/>
              </w:rPr>
              <w:t>:</w:t>
            </w:r>
          </w:p>
        </w:tc>
        <w:tc>
          <w:tcPr>
            <w:tcW w:w="470" w:type="pct"/>
            <w:tcBorders>
              <w:top w:val="single" w:sz="4" w:space="0" w:color="auto"/>
              <w:left w:val="single" w:sz="4" w:space="0" w:color="auto"/>
              <w:bottom w:val="single" w:sz="4" w:space="0" w:color="auto"/>
              <w:right w:val="single" w:sz="4" w:space="0" w:color="auto"/>
            </w:tcBorders>
          </w:tcPr>
          <w:p w14:paraId="0D29A1F9" w14:textId="50003355" w:rsidR="00265766" w:rsidRPr="009E686F" w:rsidRDefault="00265766" w:rsidP="00265766">
            <w:pPr>
              <w:jc w:val="both"/>
              <w:rPr>
                <w:rFonts w:ascii="Times New Roman" w:hAnsi="Times New Roman" w:cs="Times New Roman"/>
              </w:rPr>
            </w:pPr>
            <w:r w:rsidRPr="009E686F">
              <w:rPr>
                <w:rFonts w:ascii="Times New Roman" w:hAnsi="Times New Roman" w:cs="Times New Roman"/>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1693B5EF" w14:textId="35976C7C" w:rsidR="00265766" w:rsidRPr="009E686F" w:rsidRDefault="00265766" w:rsidP="00265766">
            <w:pPr>
              <w:spacing w:after="0"/>
              <w:jc w:val="both"/>
              <w:rPr>
                <w:rFonts w:ascii="Times New Roman" w:hAnsi="Times New Roman" w:cs="Times New Roman"/>
              </w:rPr>
            </w:pPr>
          </w:p>
        </w:tc>
      </w:tr>
      <w:tr w:rsidR="00265766" w:rsidRPr="009E686F" w14:paraId="53A423E2" w14:textId="77777777" w:rsidTr="00960C23">
        <w:tc>
          <w:tcPr>
            <w:tcW w:w="1890" w:type="pct"/>
            <w:tcBorders>
              <w:top w:val="single" w:sz="4" w:space="0" w:color="auto"/>
              <w:left w:val="single" w:sz="4" w:space="0" w:color="auto"/>
              <w:bottom w:val="single" w:sz="4" w:space="0" w:color="auto"/>
              <w:right w:val="single" w:sz="4" w:space="0" w:color="auto"/>
            </w:tcBorders>
          </w:tcPr>
          <w:p w14:paraId="4D015192" w14:textId="2321ECF8"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(a) autoritățile care au sarcina publică de a supraveghea alte entități din sectorul financiar și autoritățile responsabile cu supravegherea piețelor financiare;</w:t>
            </w:r>
          </w:p>
        </w:tc>
        <w:tc>
          <w:tcPr>
            <w:tcW w:w="1834" w:type="pct"/>
            <w:tcBorders>
              <w:top w:val="single" w:sz="4" w:space="0" w:color="auto"/>
              <w:left w:val="single" w:sz="4" w:space="0" w:color="auto"/>
              <w:bottom w:val="single" w:sz="4" w:space="0" w:color="auto"/>
              <w:right w:val="single" w:sz="4" w:space="0" w:color="auto"/>
            </w:tcBorders>
          </w:tcPr>
          <w:p w14:paraId="42EAEA6C" w14:textId="1A7CA612"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a) autorităţile responsabile cu supravegherea altor entităţi din sectorul financiar și autoritățile responsabile cu supravegherea piețelor financiare;</w:t>
            </w:r>
          </w:p>
        </w:tc>
        <w:tc>
          <w:tcPr>
            <w:tcW w:w="470" w:type="pct"/>
            <w:tcBorders>
              <w:top w:val="single" w:sz="4" w:space="0" w:color="auto"/>
              <w:left w:val="single" w:sz="4" w:space="0" w:color="auto"/>
              <w:bottom w:val="single" w:sz="4" w:space="0" w:color="auto"/>
              <w:right w:val="single" w:sz="4" w:space="0" w:color="auto"/>
            </w:tcBorders>
          </w:tcPr>
          <w:p w14:paraId="1A57171E" w14:textId="32BE1AFC" w:rsidR="00265766" w:rsidRPr="009E686F" w:rsidRDefault="00265766" w:rsidP="00265766">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014388A4" w14:textId="11378788" w:rsidR="00265766" w:rsidRPr="009E686F" w:rsidRDefault="00265766" w:rsidP="00265766">
            <w:pPr>
              <w:spacing w:after="0"/>
              <w:jc w:val="both"/>
              <w:rPr>
                <w:rFonts w:ascii="Times New Roman" w:hAnsi="Times New Roman" w:cs="Times New Roman"/>
              </w:rPr>
            </w:pPr>
          </w:p>
        </w:tc>
      </w:tr>
      <w:tr w:rsidR="00265766" w:rsidRPr="009E686F" w14:paraId="552C427A" w14:textId="77777777" w:rsidTr="00960C23">
        <w:tc>
          <w:tcPr>
            <w:tcW w:w="1890" w:type="pct"/>
            <w:tcBorders>
              <w:top w:val="single" w:sz="4" w:space="0" w:color="auto"/>
              <w:left w:val="single" w:sz="4" w:space="0" w:color="auto"/>
              <w:bottom w:val="single" w:sz="4" w:space="0" w:color="auto"/>
              <w:right w:val="single" w:sz="4" w:space="0" w:color="auto"/>
            </w:tcBorders>
          </w:tcPr>
          <w:p w14:paraId="628B13E4" w14:textId="7BD9583B"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(b) autoritățile sau organismele care au responsabilitatea de a menține stabilitatea sistemului financiar în statele membre prin utilizarea reglementărilor macroprudențiale;</w:t>
            </w:r>
          </w:p>
        </w:tc>
        <w:tc>
          <w:tcPr>
            <w:tcW w:w="1834" w:type="pct"/>
            <w:tcBorders>
              <w:top w:val="single" w:sz="4" w:space="0" w:color="auto"/>
              <w:left w:val="single" w:sz="4" w:space="0" w:color="auto"/>
              <w:bottom w:val="single" w:sz="4" w:space="0" w:color="auto"/>
              <w:right w:val="single" w:sz="4" w:space="0" w:color="auto"/>
            </w:tcBorders>
          </w:tcPr>
          <w:p w14:paraId="66F393E5" w14:textId="3E2B52E1"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 xml:space="preserve">b) autorităţile sau organismele responsabile cu menţinerea stabilităţii sistemului financiar, prin utilizarea reglementărilor/instrumentelor macroprudenţiale; </w:t>
            </w:r>
          </w:p>
        </w:tc>
        <w:tc>
          <w:tcPr>
            <w:tcW w:w="470" w:type="pct"/>
            <w:tcBorders>
              <w:top w:val="single" w:sz="4" w:space="0" w:color="auto"/>
              <w:left w:val="single" w:sz="4" w:space="0" w:color="auto"/>
              <w:bottom w:val="single" w:sz="4" w:space="0" w:color="auto"/>
              <w:right w:val="single" w:sz="4" w:space="0" w:color="auto"/>
            </w:tcBorders>
          </w:tcPr>
          <w:p w14:paraId="24360A1D" w14:textId="421E0246" w:rsidR="00265766" w:rsidRPr="009E686F" w:rsidRDefault="00265766" w:rsidP="00265766">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4F9A7464" w14:textId="1A1EA1E8" w:rsidR="00265766" w:rsidRPr="009E686F" w:rsidRDefault="00265766" w:rsidP="00265766">
            <w:pPr>
              <w:spacing w:after="0"/>
              <w:jc w:val="both"/>
              <w:rPr>
                <w:rFonts w:ascii="Times New Roman" w:hAnsi="Times New Roman" w:cs="Times New Roman"/>
              </w:rPr>
            </w:pPr>
          </w:p>
        </w:tc>
      </w:tr>
      <w:tr w:rsidR="00265766" w:rsidRPr="009E686F" w14:paraId="492EF6D7" w14:textId="77777777" w:rsidTr="00A8066C">
        <w:tc>
          <w:tcPr>
            <w:tcW w:w="1890" w:type="pct"/>
            <w:vMerge w:val="restart"/>
            <w:tcBorders>
              <w:top w:val="single" w:sz="4" w:space="0" w:color="auto"/>
              <w:left w:val="single" w:sz="4" w:space="0" w:color="auto"/>
              <w:right w:val="single" w:sz="4" w:space="0" w:color="auto"/>
            </w:tcBorders>
          </w:tcPr>
          <w:p w14:paraId="60F62AE6" w14:textId="2DB0F369"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(c) organisme sau autorități de reorganizare care au ca scop protejarea stabilității sistemului financiar;</w:t>
            </w:r>
          </w:p>
        </w:tc>
        <w:tc>
          <w:tcPr>
            <w:tcW w:w="1834" w:type="pct"/>
            <w:tcBorders>
              <w:top w:val="single" w:sz="4" w:space="0" w:color="auto"/>
              <w:left w:val="single" w:sz="4" w:space="0" w:color="auto"/>
              <w:bottom w:val="single" w:sz="4" w:space="0" w:color="auto"/>
              <w:right w:val="single" w:sz="4" w:space="0" w:color="auto"/>
            </w:tcBorders>
          </w:tcPr>
          <w:p w14:paraId="37812582" w14:textId="01551B44"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c)</w:t>
            </w:r>
            <w:r w:rsidRPr="009E686F">
              <w:rPr>
                <w:rFonts w:ascii="Times New Roman" w:hAnsi="Times New Roman" w:cs="Times New Roman"/>
                <w:lang w:val="it-CH"/>
              </w:rPr>
              <w:tab/>
              <w:t xml:space="preserve">organismele sau autoritățile împuternicite să aplice măsuri de </w:t>
            </w:r>
            <w:r w:rsidRPr="009E686F">
              <w:rPr>
                <w:rFonts w:ascii="Times New Roman" w:hAnsi="Times New Roman" w:cs="Times New Roman"/>
                <w:i/>
                <w:iCs/>
                <w:lang w:val="it-CH"/>
              </w:rPr>
              <w:t>reorganizare</w:t>
            </w:r>
            <w:r w:rsidRPr="009E686F">
              <w:rPr>
                <w:rFonts w:ascii="Times New Roman" w:hAnsi="Times New Roman" w:cs="Times New Roman"/>
                <w:lang w:val="it-CH"/>
              </w:rPr>
              <w:t xml:space="preserve"> care au ca scop protejarea stabilității sistemului financiar;</w:t>
            </w:r>
          </w:p>
        </w:tc>
        <w:tc>
          <w:tcPr>
            <w:tcW w:w="470" w:type="pct"/>
            <w:tcBorders>
              <w:top w:val="single" w:sz="4" w:space="0" w:color="auto"/>
              <w:left w:val="single" w:sz="4" w:space="0" w:color="auto"/>
              <w:bottom w:val="single" w:sz="4" w:space="0" w:color="auto"/>
              <w:right w:val="single" w:sz="4" w:space="0" w:color="auto"/>
            </w:tcBorders>
          </w:tcPr>
          <w:p w14:paraId="4506D608" w14:textId="144A1146" w:rsidR="00265766" w:rsidRPr="009E686F" w:rsidRDefault="00265766" w:rsidP="00265766">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2A5CFF81" w14:textId="482EC34A" w:rsidR="00265766" w:rsidRPr="009E686F" w:rsidRDefault="00265766" w:rsidP="00265766">
            <w:pPr>
              <w:spacing w:after="0"/>
              <w:jc w:val="both"/>
              <w:rPr>
                <w:rFonts w:ascii="Times New Roman" w:hAnsi="Times New Roman" w:cs="Times New Roman"/>
              </w:rPr>
            </w:pPr>
          </w:p>
        </w:tc>
      </w:tr>
      <w:tr w:rsidR="00265766" w:rsidRPr="009E686F" w14:paraId="3D0D967A" w14:textId="77777777" w:rsidTr="00A8066C">
        <w:tc>
          <w:tcPr>
            <w:tcW w:w="1890" w:type="pct"/>
            <w:vMerge/>
            <w:tcBorders>
              <w:left w:val="single" w:sz="4" w:space="0" w:color="auto"/>
              <w:bottom w:val="single" w:sz="4" w:space="0" w:color="auto"/>
              <w:right w:val="single" w:sz="4" w:space="0" w:color="auto"/>
            </w:tcBorders>
          </w:tcPr>
          <w:p w14:paraId="2A4F9F9B" w14:textId="77777777" w:rsidR="00265766" w:rsidRPr="009E686F" w:rsidRDefault="00265766" w:rsidP="00265766">
            <w:pPr>
              <w:spacing w:after="0"/>
              <w:jc w:val="both"/>
              <w:rPr>
                <w:rFonts w:ascii="Times New Roman" w:hAnsi="Times New Roman" w:cs="Times New Roman"/>
                <w:lang w:val="it-CH"/>
              </w:rPr>
            </w:pPr>
          </w:p>
        </w:tc>
        <w:tc>
          <w:tcPr>
            <w:tcW w:w="1834" w:type="pct"/>
            <w:tcBorders>
              <w:top w:val="single" w:sz="4" w:space="0" w:color="auto"/>
              <w:left w:val="single" w:sz="4" w:space="0" w:color="auto"/>
              <w:bottom w:val="single" w:sz="4" w:space="0" w:color="auto"/>
              <w:right w:val="single" w:sz="4" w:space="0" w:color="auto"/>
            </w:tcBorders>
          </w:tcPr>
          <w:p w14:paraId="54424191" w14:textId="77777777" w:rsidR="00265766" w:rsidRPr="009E686F" w:rsidRDefault="00265766" w:rsidP="00265766">
            <w:pPr>
              <w:spacing w:after="0"/>
              <w:jc w:val="both"/>
              <w:rPr>
                <w:rFonts w:ascii="Times New Roman" w:hAnsi="Times New Roman" w:cs="Times New Roman"/>
                <w:b/>
                <w:bCs/>
                <w:lang w:val="it-CH"/>
              </w:rPr>
            </w:pPr>
            <w:r w:rsidRPr="009E686F">
              <w:rPr>
                <w:rFonts w:ascii="Times New Roman" w:hAnsi="Times New Roman" w:cs="Times New Roman"/>
                <w:b/>
                <w:bCs/>
                <w:lang w:val="it-CH"/>
              </w:rPr>
              <w:t>Art. 129 alin. (2)</w:t>
            </w:r>
          </w:p>
          <w:p w14:paraId="4BAAB641" w14:textId="0296452C"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 xml:space="preserve">(2) În sensul alin.(1) lit.c), măsuri de </w:t>
            </w:r>
            <w:r w:rsidRPr="009E686F">
              <w:rPr>
                <w:rFonts w:ascii="Times New Roman" w:hAnsi="Times New Roman" w:cs="Times New Roman"/>
                <w:i/>
                <w:iCs/>
                <w:lang w:val="it-CH"/>
              </w:rPr>
              <w:t>reorganizare</w:t>
            </w:r>
            <w:r w:rsidRPr="009E686F">
              <w:rPr>
                <w:rFonts w:ascii="Times New Roman" w:hAnsi="Times New Roman" w:cs="Times New Roman"/>
                <w:lang w:val="it-CH"/>
              </w:rPr>
              <w:t xml:space="preserve"> reprezintă măsurile destinate menţinerii sau restabilirii situaţiei financiare a unei </w:t>
            </w:r>
            <w:r w:rsidRPr="009E686F">
              <w:rPr>
                <w:rFonts w:ascii="Times New Roman" w:hAnsi="Times New Roman" w:cs="Times New Roman"/>
                <w:i/>
                <w:iCs/>
                <w:lang w:val="it-CH"/>
              </w:rPr>
              <w:t>instituții de credit</w:t>
            </w:r>
            <w:r w:rsidRPr="009E686F">
              <w:rPr>
                <w:rFonts w:ascii="Times New Roman" w:hAnsi="Times New Roman" w:cs="Times New Roman"/>
                <w:lang w:val="it-CH"/>
              </w:rPr>
              <w:t xml:space="preserve"> şi care ar putea afecta drepturile preexistente ale unor terţi, inclusiv măsurile care implică posibilitatea unei suspendări a plăţilor, a măsurilor de executare sau a unei reduceri a creanţelor; aceste măsuri includ aplicarea instrumentelor de rezoluţie şi exercitarea competenţelor de rezoluţie.</w:t>
            </w:r>
          </w:p>
        </w:tc>
        <w:tc>
          <w:tcPr>
            <w:tcW w:w="470" w:type="pct"/>
            <w:tcBorders>
              <w:top w:val="single" w:sz="4" w:space="0" w:color="auto"/>
              <w:left w:val="single" w:sz="4" w:space="0" w:color="auto"/>
              <w:bottom w:val="single" w:sz="4" w:space="0" w:color="auto"/>
              <w:right w:val="single" w:sz="4" w:space="0" w:color="auto"/>
            </w:tcBorders>
          </w:tcPr>
          <w:p w14:paraId="6F1EB73F" w14:textId="341BE05A" w:rsidR="00265766" w:rsidRPr="009E686F" w:rsidRDefault="00265766" w:rsidP="00265766">
            <w:pPr>
              <w:jc w:val="both"/>
              <w:rPr>
                <w:rFonts w:ascii="Times New Roman" w:hAnsi="Times New Roman" w:cs="Times New Roman"/>
                <w:lang w:val="it-CH"/>
              </w:rPr>
            </w:pPr>
            <w:r w:rsidRPr="009E686F">
              <w:rPr>
                <w:rFonts w:ascii="Times New Roman" w:hAnsi="Times New Roman" w:cs="Times New Roman"/>
                <w:lang w:val="it-CH"/>
              </w:rPr>
              <w:t>Compatibil</w:t>
            </w:r>
          </w:p>
        </w:tc>
        <w:tc>
          <w:tcPr>
            <w:tcW w:w="806" w:type="pct"/>
            <w:tcBorders>
              <w:top w:val="single" w:sz="4" w:space="0" w:color="auto"/>
              <w:left w:val="single" w:sz="4" w:space="0" w:color="auto"/>
              <w:bottom w:val="single" w:sz="4" w:space="0" w:color="auto"/>
              <w:right w:val="single" w:sz="4" w:space="0" w:color="auto"/>
            </w:tcBorders>
          </w:tcPr>
          <w:p w14:paraId="0868F1B6" w14:textId="2C372E08"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Norme cu specific național de implementare din Legea nr. 202/2017.</w:t>
            </w:r>
          </w:p>
        </w:tc>
      </w:tr>
      <w:tr w:rsidR="00265766" w:rsidRPr="009E686F" w14:paraId="67F9843E" w14:textId="77777777" w:rsidTr="00960C23">
        <w:tc>
          <w:tcPr>
            <w:tcW w:w="1890" w:type="pct"/>
            <w:tcBorders>
              <w:top w:val="single" w:sz="4" w:space="0" w:color="auto"/>
              <w:left w:val="single" w:sz="4" w:space="0" w:color="auto"/>
              <w:bottom w:val="single" w:sz="4" w:space="0" w:color="auto"/>
              <w:right w:val="single" w:sz="4" w:space="0" w:color="auto"/>
            </w:tcBorders>
          </w:tcPr>
          <w:p w14:paraId="5745A091" w14:textId="36FA85D8" w:rsidR="00265766" w:rsidRPr="009E686F" w:rsidRDefault="00265766" w:rsidP="00265766">
            <w:pPr>
              <w:spacing w:after="0"/>
              <w:jc w:val="both"/>
              <w:rPr>
                <w:rFonts w:ascii="Times New Roman" w:hAnsi="Times New Roman" w:cs="Times New Roman"/>
              </w:rPr>
            </w:pPr>
            <w:r w:rsidRPr="009E686F">
              <w:rPr>
                <w:rFonts w:ascii="Times New Roman" w:hAnsi="Times New Roman" w:cs="Times New Roman"/>
              </w:rPr>
              <w:t>(d) sistemele de protecție contractuală sau instituțională astfel cum sunt menționate la articolul 113 alineatul (7) din Regulamentul (UE) nr. 575/2013;</w:t>
            </w:r>
          </w:p>
        </w:tc>
        <w:tc>
          <w:tcPr>
            <w:tcW w:w="1834" w:type="pct"/>
            <w:tcBorders>
              <w:top w:val="single" w:sz="4" w:space="0" w:color="auto"/>
              <w:left w:val="single" w:sz="4" w:space="0" w:color="auto"/>
              <w:bottom w:val="single" w:sz="4" w:space="0" w:color="auto"/>
              <w:right w:val="single" w:sz="4" w:space="0" w:color="auto"/>
            </w:tcBorders>
          </w:tcPr>
          <w:p w14:paraId="6755E7E5" w14:textId="1D20A74B" w:rsidR="00265766" w:rsidRPr="009E686F" w:rsidRDefault="00265766" w:rsidP="00265766">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 xml:space="preserve">d) sistemele de protecţie contractuală sau instituţională care constau într-un acord de stabilire contractuală sau legală a responsabilităţilor care protejează </w:t>
            </w:r>
            <w:r w:rsidRPr="009E686F">
              <w:rPr>
                <w:rFonts w:ascii="Times New Roman" w:eastAsia="Aptos" w:hAnsi="Times New Roman" w:cs="Times New Roman"/>
                <w:i/>
                <w:iCs/>
                <w:kern w:val="2"/>
                <w:lang w:val="ro-MD"/>
              </w:rPr>
              <w:t>instituțiile de credit</w:t>
            </w:r>
            <w:r w:rsidRPr="009E686F">
              <w:rPr>
                <w:rFonts w:ascii="Times New Roman" w:eastAsia="Aptos" w:hAnsi="Times New Roman" w:cs="Times New Roman"/>
                <w:kern w:val="2"/>
                <w:lang w:val="ro-MD"/>
              </w:rPr>
              <w:t xml:space="preserve"> şi le asigură, în special, lichiditatea şi solvabilitatea pentru a evita falimentul, în cazul în care este necesar </w:t>
            </w:r>
            <w:r w:rsidRPr="009E686F">
              <w:rPr>
                <w:rFonts w:ascii="Times New Roman" w:eastAsia="Aptos" w:hAnsi="Times New Roman" w:cs="Times New Roman"/>
                <w:i/>
                <w:iCs/>
                <w:kern w:val="2"/>
                <w:lang w:val="ro-MD"/>
              </w:rPr>
              <w:t>instituțiilor de credit</w:t>
            </w:r>
            <w:r w:rsidRPr="009E686F">
              <w:rPr>
                <w:rFonts w:ascii="Times New Roman" w:eastAsia="Aptos" w:hAnsi="Times New Roman" w:cs="Times New Roman"/>
                <w:kern w:val="2"/>
                <w:lang w:val="ro-MD"/>
              </w:rPr>
              <w:t>;</w:t>
            </w:r>
          </w:p>
        </w:tc>
        <w:tc>
          <w:tcPr>
            <w:tcW w:w="470" w:type="pct"/>
            <w:tcBorders>
              <w:top w:val="single" w:sz="4" w:space="0" w:color="auto"/>
              <w:left w:val="single" w:sz="4" w:space="0" w:color="auto"/>
              <w:bottom w:val="single" w:sz="4" w:space="0" w:color="auto"/>
              <w:right w:val="single" w:sz="4" w:space="0" w:color="auto"/>
            </w:tcBorders>
          </w:tcPr>
          <w:p w14:paraId="702AF33E" w14:textId="788555BC" w:rsidR="00265766" w:rsidRPr="009E686F" w:rsidRDefault="00265766" w:rsidP="00265766">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63E07284" w14:textId="324DDD2E" w:rsidR="00265766" w:rsidRPr="009E686F" w:rsidRDefault="00265766" w:rsidP="00265766">
            <w:pPr>
              <w:spacing w:after="0"/>
              <w:jc w:val="both"/>
              <w:rPr>
                <w:rFonts w:ascii="Times New Roman" w:hAnsi="Times New Roman" w:cs="Times New Roman"/>
              </w:rPr>
            </w:pPr>
          </w:p>
        </w:tc>
      </w:tr>
      <w:tr w:rsidR="00265766" w:rsidRPr="009E686F" w14:paraId="09880900" w14:textId="77777777" w:rsidTr="00960C23">
        <w:tc>
          <w:tcPr>
            <w:tcW w:w="1890" w:type="pct"/>
            <w:tcBorders>
              <w:top w:val="single" w:sz="4" w:space="0" w:color="auto"/>
              <w:left w:val="single" w:sz="4" w:space="0" w:color="auto"/>
              <w:bottom w:val="single" w:sz="4" w:space="0" w:color="auto"/>
              <w:right w:val="single" w:sz="4" w:space="0" w:color="auto"/>
            </w:tcBorders>
          </w:tcPr>
          <w:p w14:paraId="1210EB7E" w14:textId="61159CCA"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(e) organismele implicate în lichidarea și procedurile de faliment ale instituțiilor, precum și în alte proceduri similare;</w:t>
            </w:r>
          </w:p>
        </w:tc>
        <w:tc>
          <w:tcPr>
            <w:tcW w:w="1834" w:type="pct"/>
            <w:tcBorders>
              <w:top w:val="single" w:sz="4" w:space="0" w:color="auto"/>
              <w:left w:val="single" w:sz="4" w:space="0" w:color="auto"/>
              <w:bottom w:val="single" w:sz="4" w:space="0" w:color="auto"/>
              <w:right w:val="single" w:sz="4" w:space="0" w:color="auto"/>
            </w:tcBorders>
          </w:tcPr>
          <w:p w14:paraId="29AE3351" w14:textId="5868AA15" w:rsidR="00265766" w:rsidRPr="009E686F" w:rsidRDefault="00265766" w:rsidP="00265766">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 xml:space="preserve">e) organismele implicate în falimentul şi în lichidarea </w:t>
            </w:r>
            <w:r w:rsidRPr="009E686F">
              <w:rPr>
                <w:rFonts w:ascii="Times New Roman" w:eastAsia="Aptos" w:hAnsi="Times New Roman" w:cs="Times New Roman"/>
                <w:i/>
                <w:iCs/>
                <w:kern w:val="2"/>
                <w:lang w:val="ro-MD"/>
              </w:rPr>
              <w:t>instituției de credit</w:t>
            </w:r>
            <w:r w:rsidRPr="009E686F">
              <w:rPr>
                <w:rFonts w:ascii="Times New Roman" w:eastAsia="Aptos" w:hAnsi="Times New Roman" w:cs="Times New Roman"/>
                <w:kern w:val="2"/>
                <w:lang w:val="ro-MD"/>
              </w:rPr>
              <w:t>, precum şi în alte proceduri similare;</w:t>
            </w:r>
          </w:p>
        </w:tc>
        <w:tc>
          <w:tcPr>
            <w:tcW w:w="470" w:type="pct"/>
            <w:tcBorders>
              <w:top w:val="single" w:sz="4" w:space="0" w:color="auto"/>
              <w:left w:val="single" w:sz="4" w:space="0" w:color="auto"/>
              <w:bottom w:val="single" w:sz="4" w:space="0" w:color="auto"/>
              <w:right w:val="single" w:sz="4" w:space="0" w:color="auto"/>
            </w:tcBorders>
          </w:tcPr>
          <w:p w14:paraId="52D97B49" w14:textId="2E370D0D" w:rsidR="00265766" w:rsidRPr="009E686F" w:rsidRDefault="00265766" w:rsidP="00265766">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7E6E5876" w14:textId="3AC280F1" w:rsidR="00265766" w:rsidRPr="009E686F" w:rsidRDefault="00265766" w:rsidP="00265766">
            <w:pPr>
              <w:spacing w:after="0"/>
              <w:jc w:val="both"/>
              <w:rPr>
                <w:rFonts w:ascii="Times New Roman" w:hAnsi="Times New Roman" w:cs="Times New Roman"/>
              </w:rPr>
            </w:pPr>
          </w:p>
        </w:tc>
      </w:tr>
      <w:tr w:rsidR="00265766" w:rsidRPr="009E686F" w14:paraId="713307D1" w14:textId="77777777" w:rsidTr="00960C23">
        <w:tc>
          <w:tcPr>
            <w:tcW w:w="1890" w:type="pct"/>
            <w:tcBorders>
              <w:top w:val="single" w:sz="4" w:space="0" w:color="auto"/>
              <w:left w:val="single" w:sz="4" w:space="0" w:color="auto"/>
              <w:bottom w:val="single" w:sz="4" w:space="0" w:color="auto"/>
              <w:right w:val="single" w:sz="4" w:space="0" w:color="auto"/>
            </w:tcBorders>
          </w:tcPr>
          <w:p w14:paraId="7562D3BA" w14:textId="0EA833EA" w:rsidR="00265766" w:rsidRPr="009E686F" w:rsidRDefault="00265766" w:rsidP="00265766">
            <w:pPr>
              <w:spacing w:after="0"/>
              <w:jc w:val="both"/>
              <w:rPr>
                <w:rFonts w:ascii="Times New Roman" w:hAnsi="Times New Roman" w:cs="Times New Roman"/>
                <w:lang w:val="pt-BR"/>
              </w:rPr>
            </w:pPr>
            <w:r w:rsidRPr="009E686F">
              <w:rPr>
                <w:rFonts w:ascii="Times New Roman" w:hAnsi="Times New Roman" w:cs="Times New Roman"/>
                <w:lang w:val="pt-BR"/>
              </w:rPr>
              <w:lastRenderedPageBreak/>
              <w:t>(f) persoanele responsabile cu auditarea legală a conturilor instituțiilor, ale întreprinderilor de asigurare și ale instituțiilor financiare.</w:t>
            </w:r>
          </w:p>
        </w:tc>
        <w:tc>
          <w:tcPr>
            <w:tcW w:w="1834" w:type="pct"/>
            <w:tcBorders>
              <w:top w:val="single" w:sz="4" w:space="0" w:color="auto"/>
              <w:left w:val="single" w:sz="4" w:space="0" w:color="auto"/>
              <w:bottom w:val="single" w:sz="4" w:space="0" w:color="auto"/>
              <w:right w:val="single" w:sz="4" w:space="0" w:color="auto"/>
            </w:tcBorders>
          </w:tcPr>
          <w:p w14:paraId="16A1B582" w14:textId="33AB3486" w:rsidR="00265766" w:rsidRPr="009E686F" w:rsidRDefault="00265766" w:rsidP="00265766">
            <w:pPr>
              <w:spacing w:after="0"/>
              <w:jc w:val="both"/>
              <w:rPr>
                <w:rFonts w:ascii="Times New Roman" w:hAnsi="Times New Roman" w:cs="Times New Roman"/>
                <w:lang w:val="pt-BR"/>
              </w:rPr>
            </w:pPr>
            <w:r w:rsidRPr="009E686F">
              <w:rPr>
                <w:rFonts w:ascii="Times New Roman" w:eastAsia="Aptos" w:hAnsi="Times New Roman" w:cs="Times New Roman"/>
                <w:kern w:val="2"/>
                <w:lang w:val="ro-MD"/>
              </w:rPr>
              <w:t xml:space="preserve">f) entităţile de audit ale </w:t>
            </w:r>
            <w:r w:rsidRPr="009E686F">
              <w:rPr>
                <w:rFonts w:ascii="Times New Roman" w:eastAsia="Aptos" w:hAnsi="Times New Roman" w:cs="Times New Roman"/>
                <w:i/>
                <w:iCs/>
                <w:kern w:val="2"/>
                <w:lang w:val="ro-MD"/>
              </w:rPr>
              <w:t>instituțiilor de credit</w:t>
            </w:r>
            <w:r w:rsidRPr="009E686F">
              <w:rPr>
                <w:rFonts w:ascii="Times New Roman" w:eastAsia="Aptos" w:hAnsi="Times New Roman" w:cs="Times New Roman"/>
                <w:kern w:val="2"/>
                <w:lang w:val="ro-MD"/>
              </w:rPr>
              <w:t xml:space="preserve">, societăţilor de investiţii, asigurătorilor, precum şi ale altor </w:t>
            </w:r>
            <w:r w:rsidRPr="009E686F">
              <w:rPr>
                <w:rFonts w:ascii="Times New Roman" w:eastAsia="Aptos" w:hAnsi="Times New Roman" w:cs="Times New Roman"/>
                <w:i/>
                <w:iCs/>
                <w:kern w:val="2"/>
                <w:lang w:val="ro-MD"/>
              </w:rPr>
              <w:t>instituții financiare</w:t>
            </w:r>
            <w:r w:rsidRPr="009E686F">
              <w:rPr>
                <w:rFonts w:ascii="Times New Roman" w:eastAsia="Aptos" w:hAnsi="Times New Roman" w:cs="Times New Roman"/>
                <w:kern w:val="2"/>
                <w:lang w:val="ro-MD"/>
              </w:rPr>
              <w:t>;</w:t>
            </w:r>
          </w:p>
        </w:tc>
        <w:tc>
          <w:tcPr>
            <w:tcW w:w="470" w:type="pct"/>
            <w:tcBorders>
              <w:top w:val="single" w:sz="4" w:space="0" w:color="auto"/>
              <w:left w:val="single" w:sz="4" w:space="0" w:color="auto"/>
              <w:bottom w:val="single" w:sz="4" w:space="0" w:color="auto"/>
              <w:right w:val="single" w:sz="4" w:space="0" w:color="auto"/>
            </w:tcBorders>
          </w:tcPr>
          <w:p w14:paraId="5DA1A0B4" w14:textId="10FC7A07" w:rsidR="00265766" w:rsidRPr="009E686F" w:rsidRDefault="00265766" w:rsidP="00265766">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67822702" w14:textId="7C5B8246" w:rsidR="00265766" w:rsidRPr="009E686F" w:rsidRDefault="00265766" w:rsidP="00265766">
            <w:pPr>
              <w:spacing w:after="0"/>
              <w:jc w:val="both"/>
              <w:rPr>
                <w:rFonts w:ascii="Times New Roman" w:hAnsi="Times New Roman" w:cs="Times New Roman"/>
              </w:rPr>
            </w:pPr>
          </w:p>
        </w:tc>
      </w:tr>
      <w:tr w:rsidR="00265766" w:rsidRPr="009E686F" w14:paraId="6A263E13" w14:textId="77777777" w:rsidTr="00960C23">
        <w:tc>
          <w:tcPr>
            <w:tcW w:w="1890" w:type="pct"/>
            <w:tcBorders>
              <w:top w:val="single" w:sz="4" w:space="0" w:color="auto"/>
              <w:left w:val="single" w:sz="4" w:space="0" w:color="auto"/>
              <w:bottom w:val="single" w:sz="4" w:space="0" w:color="auto"/>
              <w:right w:val="single" w:sz="4" w:space="0" w:color="auto"/>
            </w:tcBorders>
          </w:tcPr>
          <w:p w14:paraId="1438AC1F" w14:textId="19FA9FE0"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(g) autoritățile responsabile cu supravegherea entităților obligate enumerate la articolul 2 alineatul (1) punctele 1 și 2 din Directiva (UE) 2015/849 a Parlamentului European și a Consiliului pentru a asigura respectarea directivei respective, precum și unitățile de informații financiare;</w:t>
            </w:r>
          </w:p>
        </w:tc>
        <w:tc>
          <w:tcPr>
            <w:tcW w:w="1834" w:type="pct"/>
            <w:tcBorders>
              <w:top w:val="single" w:sz="4" w:space="0" w:color="auto"/>
              <w:left w:val="single" w:sz="4" w:space="0" w:color="auto"/>
              <w:bottom w:val="single" w:sz="4" w:space="0" w:color="auto"/>
              <w:right w:val="single" w:sz="4" w:space="0" w:color="auto"/>
            </w:tcBorders>
          </w:tcPr>
          <w:p w14:paraId="1298FEF3" w14:textId="59E84F59" w:rsidR="00265766" w:rsidRPr="009E686F" w:rsidRDefault="00265766" w:rsidP="00265766">
            <w:pPr>
              <w:spacing w:after="0"/>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g) autorităţi sau organisme din Republica Moldova sau din alte state responsabile, în temeiul legii, de depistarea şi investigarea încălcărilor legislaţiei privind societăţile pe acţiuni şi/sau responsabile cu supravegherea instituțiilor de credit, în calitate de entități raportoare, pentru a asigura respectarea Legii nr. 308/2017, precum și unitățile de informații financiare.</w:t>
            </w:r>
          </w:p>
        </w:tc>
        <w:tc>
          <w:tcPr>
            <w:tcW w:w="470" w:type="pct"/>
            <w:tcBorders>
              <w:top w:val="single" w:sz="4" w:space="0" w:color="auto"/>
              <w:left w:val="single" w:sz="4" w:space="0" w:color="auto"/>
              <w:bottom w:val="single" w:sz="4" w:space="0" w:color="auto"/>
              <w:right w:val="single" w:sz="4" w:space="0" w:color="auto"/>
            </w:tcBorders>
          </w:tcPr>
          <w:p w14:paraId="12797B49" w14:textId="1D02FBEE" w:rsidR="00265766" w:rsidRPr="009E686F" w:rsidRDefault="00265766" w:rsidP="00265766">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597B4C2D" w14:textId="02556EA7" w:rsidR="00265766" w:rsidRPr="009E686F" w:rsidRDefault="00265766" w:rsidP="00265766">
            <w:pPr>
              <w:spacing w:after="0"/>
              <w:jc w:val="both"/>
              <w:rPr>
                <w:rFonts w:ascii="Times New Roman" w:hAnsi="Times New Roman" w:cs="Times New Roman"/>
                <w:lang w:val="ro-MD"/>
              </w:rPr>
            </w:pPr>
          </w:p>
        </w:tc>
      </w:tr>
      <w:tr w:rsidR="00265766" w:rsidRPr="009E686F" w14:paraId="699505B3" w14:textId="77777777" w:rsidTr="00960C23">
        <w:tc>
          <w:tcPr>
            <w:tcW w:w="1890" w:type="pct"/>
            <w:tcBorders>
              <w:top w:val="single" w:sz="4" w:space="0" w:color="auto"/>
              <w:left w:val="single" w:sz="4" w:space="0" w:color="auto"/>
              <w:bottom w:val="single" w:sz="4" w:space="0" w:color="auto"/>
              <w:right w:val="single" w:sz="4" w:space="0" w:color="auto"/>
            </w:tcBorders>
          </w:tcPr>
          <w:p w14:paraId="59FDF9E9" w14:textId="2AD83C6D"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(h) autoritățile competente sau organismele responsabile cu aplicarea normelor privind separarea structurală în cadrul unui grup bancar.</w:t>
            </w:r>
          </w:p>
        </w:tc>
        <w:tc>
          <w:tcPr>
            <w:tcW w:w="1834" w:type="pct"/>
            <w:tcBorders>
              <w:top w:val="single" w:sz="4" w:space="0" w:color="auto"/>
              <w:left w:val="single" w:sz="4" w:space="0" w:color="auto"/>
              <w:bottom w:val="single" w:sz="4" w:space="0" w:color="auto"/>
              <w:right w:val="single" w:sz="4" w:space="0" w:color="auto"/>
            </w:tcBorders>
          </w:tcPr>
          <w:p w14:paraId="059ADB85" w14:textId="73DAB804" w:rsidR="00265766" w:rsidRPr="009E686F" w:rsidRDefault="00265766" w:rsidP="00265766">
            <w:pPr>
              <w:spacing w:after="0"/>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i) autoritățile responsabile de aplicarea privind separarea structurală în cadrul unui grup bancar;</w:t>
            </w:r>
          </w:p>
        </w:tc>
        <w:tc>
          <w:tcPr>
            <w:tcW w:w="470" w:type="pct"/>
            <w:tcBorders>
              <w:top w:val="single" w:sz="4" w:space="0" w:color="auto"/>
              <w:left w:val="single" w:sz="4" w:space="0" w:color="auto"/>
              <w:bottom w:val="single" w:sz="4" w:space="0" w:color="auto"/>
              <w:right w:val="single" w:sz="4" w:space="0" w:color="auto"/>
            </w:tcBorders>
          </w:tcPr>
          <w:p w14:paraId="20E43A16" w14:textId="5A597309" w:rsidR="00265766" w:rsidRPr="009E686F" w:rsidRDefault="00265766" w:rsidP="00265766">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6E951D61" w14:textId="77777777" w:rsidR="00265766" w:rsidRPr="009E686F" w:rsidRDefault="00265766" w:rsidP="00265766">
            <w:pPr>
              <w:spacing w:after="0"/>
              <w:jc w:val="both"/>
              <w:rPr>
                <w:rFonts w:ascii="Times New Roman" w:hAnsi="Times New Roman" w:cs="Times New Roman"/>
              </w:rPr>
            </w:pPr>
          </w:p>
        </w:tc>
      </w:tr>
      <w:tr w:rsidR="00265766" w:rsidRPr="009E686F" w14:paraId="3E94492F" w14:textId="77777777" w:rsidTr="00960C23">
        <w:tc>
          <w:tcPr>
            <w:tcW w:w="1890" w:type="pct"/>
            <w:tcBorders>
              <w:top w:val="single" w:sz="4" w:space="0" w:color="auto"/>
              <w:left w:val="single" w:sz="4" w:space="0" w:color="auto"/>
              <w:bottom w:val="single" w:sz="4" w:space="0" w:color="auto"/>
              <w:right w:val="single" w:sz="4" w:space="0" w:color="auto"/>
            </w:tcBorders>
          </w:tcPr>
          <w:p w14:paraId="51C46D11" w14:textId="77777777"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 xml:space="preserve">Articolul 53 alineatul (1) și articolul 54 nu împiedică furnizarea, către organismele responsabile cu administrarea sistemelor de garantare a depozitelor și a sistemelor de compensații pentru investitori, a informațiilor necesare pentru exercitarea funcției lor. </w:t>
            </w:r>
          </w:p>
        </w:tc>
        <w:tc>
          <w:tcPr>
            <w:tcW w:w="1834" w:type="pct"/>
            <w:tcBorders>
              <w:top w:val="single" w:sz="4" w:space="0" w:color="auto"/>
              <w:left w:val="single" w:sz="4" w:space="0" w:color="auto"/>
              <w:bottom w:val="single" w:sz="4" w:space="0" w:color="auto"/>
              <w:right w:val="single" w:sz="4" w:space="0" w:color="auto"/>
            </w:tcBorders>
          </w:tcPr>
          <w:p w14:paraId="43A16C72" w14:textId="328F253B"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(3) Prevederile art. 126 și 127 nu împiedică furnizarea către  organismele care administrează scheme de garantare a depozitelor sau scheme de compensare a investitorilor a informaţiilor necesare exercitării funcţiilor acestora.</w:t>
            </w:r>
          </w:p>
        </w:tc>
        <w:tc>
          <w:tcPr>
            <w:tcW w:w="470" w:type="pct"/>
            <w:tcBorders>
              <w:top w:val="single" w:sz="4" w:space="0" w:color="auto"/>
              <w:left w:val="single" w:sz="4" w:space="0" w:color="auto"/>
              <w:bottom w:val="single" w:sz="4" w:space="0" w:color="auto"/>
              <w:right w:val="single" w:sz="4" w:space="0" w:color="auto"/>
            </w:tcBorders>
          </w:tcPr>
          <w:p w14:paraId="1A16A266" w14:textId="40E20AE7" w:rsidR="00265766" w:rsidRPr="009E686F" w:rsidRDefault="00265766" w:rsidP="00265766">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593B05D1" w14:textId="1C9EFB2D" w:rsidR="00265766" w:rsidRPr="009E686F" w:rsidRDefault="00265766" w:rsidP="00265766">
            <w:pPr>
              <w:spacing w:after="0"/>
              <w:jc w:val="both"/>
              <w:rPr>
                <w:rFonts w:ascii="Times New Roman" w:hAnsi="Times New Roman" w:cs="Times New Roman"/>
              </w:rPr>
            </w:pPr>
          </w:p>
        </w:tc>
      </w:tr>
      <w:tr w:rsidR="00265766" w:rsidRPr="009E686F" w14:paraId="04196A90" w14:textId="77777777" w:rsidTr="00960C23">
        <w:tc>
          <w:tcPr>
            <w:tcW w:w="1890" w:type="pct"/>
            <w:tcBorders>
              <w:top w:val="single" w:sz="4" w:space="0" w:color="auto"/>
              <w:left w:val="single" w:sz="4" w:space="0" w:color="auto"/>
              <w:bottom w:val="single" w:sz="4" w:space="0" w:color="auto"/>
              <w:right w:val="single" w:sz="4" w:space="0" w:color="auto"/>
            </w:tcBorders>
          </w:tcPr>
          <w:p w14:paraId="7A7CB1B1" w14:textId="77777777"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În orice caz, informațiile primite fac obiectul cerințelor privind secretul profesional cel puțin echivalente cu cele menționate la articolul 53 alineatul (1).</w:t>
            </w:r>
          </w:p>
        </w:tc>
        <w:tc>
          <w:tcPr>
            <w:tcW w:w="1834" w:type="pct"/>
            <w:tcBorders>
              <w:top w:val="single" w:sz="4" w:space="0" w:color="auto"/>
              <w:left w:val="single" w:sz="4" w:space="0" w:color="auto"/>
              <w:bottom w:val="single" w:sz="4" w:space="0" w:color="auto"/>
              <w:right w:val="single" w:sz="4" w:space="0" w:color="auto"/>
            </w:tcBorders>
          </w:tcPr>
          <w:p w14:paraId="1E615FB8" w14:textId="4E1202EB"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(4) Informaţiile primite de autorităţile, organismele şi entitățile de audit din Republica Moldova potrivit prevederilor alin. (1) sunt supuse cerinţelor referitoare la secretul profesional prevăzute la art. 126.</w:t>
            </w:r>
          </w:p>
          <w:p w14:paraId="18A1D157" w14:textId="36BF64FC"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 xml:space="preserve">(5) Banca Naţională a Moldovei schimbă informaţii cu autorităţile, organismele şi entitățile  de audit din alte state </w:t>
            </w:r>
            <w:r w:rsidRPr="009E686F">
              <w:rPr>
                <w:rFonts w:ascii="Times New Roman" w:hAnsi="Times New Roman" w:cs="Times New Roman"/>
                <w:i/>
                <w:iCs/>
                <w:lang w:val="it-CH"/>
              </w:rPr>
              <w:t>membre</w:t>
            </w:r>
            <w:r w:rsidRPr="009E686F">
              <w:rPr>
                <w:rFonts w:ascii="Times New Roman" w:hAnsi="Times New Roman" w:cs="Times New Roman"/>
                <w:lang w:val="it-CH"/>
              </w:rPr>
              <w:t>, potrivit prevederilor alin. (1) numai dacă informaţiile primite de respectivele autorităţi, organisme sau de entități  de audit sunt supuse unor cerinţe de păstrare a secretului profesional cel puțin echivalente celor prevăzute la art. 126.</w:t>
            </w:r>
          </w:p>
        </w:tc>
        <w:tc>
          <w:tcPr>
            <w:tcW w:w="470" w:type="pct"/>
            <w:tcBorders>
              <w:top w:val="single" w:sz="4" w:space="0" w:color="auto"/>
              <w:left w:val="single" w:sz="4" w:space="0" w:color="auto"/>
              <w:bottom w:val="single" w:sz="4" w:space="0" w:color="auto"/>
              <w:right w:val="single" w:sz="4" w:space="0" w:color="auto"/>
            </w:tcBorders>
          </w:tcPr>
          <w:p w14:paraId="2E88493F" w14:textId="3AC907C6" w:rsidR="00265766" w:rsidRPr="009E686F" w:rsidRDefault="00265766" w:rsidP="00265766">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6A096A0C" w14:textId="7160ED9B" w:rsidR="00265766" w:rsidRPr="009E686F" w:rsidRDefault="00265766" w:rsidP="00265766">
            <w:pPr>
              <w:spacing w:after="0"/>
              <w:jc w:val="both"/>
              <w:rPr>
                <w:rFonts w:ascii="Times New Roman" w:hAnsi="Times New Roman" w:cs="Times New Roman"/>
              </w:rPr>
            </w:pPr>
          </w:p>
        </w:tc>
      </w:tr>
      <w:tr w:rsidR="00265766" w:rsidRPr="009E686F" w14:paraId="02338837" w14:textId="77777777" w:rsidTr="00960C23">
        <w:tc>
          <w:tcPr>
            <w:tcW w:w="1890" w:type="pct"/>
            <w:tcBorders>
              <w:top w:val="single" w:sz="4" w:space="0" w:color="auto"/>
              <w:left w:val="single" w:sz="4" w:space="0" w:color="auto"/>
              <w:bottom w:val="single" w:sz="4" w:space="0" w:color="auto"/>
              <w:right w:val="single" w:sz="4" w:space="0" w:color="auto"/>
            </w:tcBorders>
          </w:tcPr>
          <w:p w14:paraId="4EB23CCE" w14:textId="5A38361B"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 xml:space="preserve">Articolul 53 alineatul (1) și articolul 54 nu împiedică schimbul de informații între autoritățile competente și autoritățile fiscale din același stat membru în conformitate cu dreptul intern. În </w:t>
            </w:r>
            <w:r w:rsidRPr="009E686F">
              <w:rPr>
                <w:rFonts w:ascii="Times New Roman" w:hAnsi="Times New Roman" w:cs="Times New Roman"/>
                <w:lang w:val="it-CH"/>
              </w:rPr>
              <w:lastRenderedPageBreak/>
              <w:t>cazul în care informațiile provin dintr-un alt stat membru, schimbul acestora se efectuează astfel cum se menționează la prima teză a prezentului paragraf numai cu acordul expres al autorităților competente care le-au divulgat.</w:t>
            </w:r>
          </w:p>
        </w:tc>
        <w:tc>
          <w:tcPr>
            <w:tcW w:w="1834" w:type="pct"/>
            <w:tcBorders>
              <w:top w:val="single" w:sz="4" w:space="0" w:color="auto"/>
              <w:left w:val="single" w:sz="4" w:space="0" w:color="auto"/>
              <w:bottom w:val="single" w:sz="4" w:space="0" w:color="auto"/>
              <w:right w:val="single" w:sz="4" w:space="0" w:color="auto"/>
            </w:tcBorders>
          </w:tcPr>
          <w:p w14:paraId="1BC69053" w14:textId="7742B921" w:rsidR="00265766" w:rsidRPr="009E686F" w:rsidRDefault="00265766" w:rsidP="00265766">
            <w:pPr>
              <w:spacing w:after="0"/>
              <w:jc w:val="both"/>
              <w:rPr>
                <w:rFonts w:ascii="Times New Roman" w:hAnsi="Times New Roman" w:cs="Times New Roman"/>
                <w:i/>
                <w:iCs/>
                <w:lang w:val="ro-MD"/>
              </w:rPr>
            </w:pPr>
            <w:r w:rsidRPr="009E686F">
              <w:rPr>
                <w:rFonts w:ascii="Times New Roman" w:eastAsia="Aptos" w:hAnsi="Times New Roman" w:cs="Times New Roman"/>
                <w:i/>
                <w:iCs/>
                <w:kern w:val="2"/>
                <w:lang w:val="ro-MD"/>
              </w:rPr>
              <w:lastRenderedPageBreak/>
              <w:t>(4</w:t>
            </w:r>
            <w:r w:rsidRPr="009E686F">
              <w:rPr>
                <w:rFonts w:ascii="Times New Roman" w:eastAsia="Aptos" w:hAnsi="Times New Roman" w:cs="Times New Roman"/>
                <w:i/>
                <w:iCs/>
                <w:kern w:val="2"/>
                <w:vertAlign w:val="superscript"/>
                <w:lang w:val="ro-MD"/>
              </w:rPr>
              <w:t>1</w:t>
            </w:r>
            <w:r w:rsidRPr="009E686F">
              <w:rPr>
                <w:rFonts w:ascii="Times New Roman" w:eastAsia="Aptos" w:hAnsi="Times New Roman" w:cs="Times New Roman"/>
                <w:i/>
                <w:iCs/>
                <w:kern w:val="2"/>
                <w:lang w:val="ro-MD"/>
              </w:rPr>
              <w:t xml:space="preserve">) Prevederile art.126 şi 127 nu împiedică schimbul de informații între autoritățile competente și autoritățile fiscale din Republica Moldova potrivit legislației în vigoare. În </w:t>
            </w:r>
            <w:r w:rsidRPr="009E686F">
              <w:rPr>
                <w:rFonts w:ascii="Times New Roman" w:eastAsia="Aptos" w:hAnsi="Times New Roman" w:cs="Times New Roman"/>
                <w:i/>
                <w:iCs/>
                <w:kern w:val="2"/>
                <w:lang w:val="ro-MD"/>
              </w:rPr>
              <w:lastRenderedPageBreak/>
              <w:t>cazul în care informațiile provin dintr-un alt stat membru, schimbul acestora se efectuează potrivit prezentului alienat numai cu acordul expres al autorităților competente care le-au divulgat.</w:t>
            </w:r>
          </w:p>
        </w:tc>
        <w:tc>
          <w:tcPr>
            <w:tcW w:w="470" w:type="pct"/>
            <w:tcBorders>
              <w:top w:val="single" w:sz="4" w:space="0" w:color="auto"/>
              <w:left w:val="single" w:sz="4" w:space="0" w:color="auto"/>
              <w:bottom w:val="single" w:sz="4" w:space="0" w:color="auto"/>
              <w:right w:val="single" w:sz="4" w:space="0" w:color="auto"/>
            </w:tcBorders>
          </w:tcPr>
          <w:p w14:paraId="2B9B79D9" w14:textId="47717795" w:rsidR="00265766" w:rsidRPr="009E686F" w:rsidRDefault="00265766" w:rsidP="00265766">
            <w:pPr>
              <w:jc w:val="both"/>
              <w:rPr>
                <w:rFonts w:ascii="Times New Roman" w:hAnsi="Times New Roman" w:cs="Times New Roman"/>
                <w:lang w:val="ro-MD"/>
              </w:rPr>
            </w:pPr>
            <w:r w:rsidRPr="009E686F">
              <w:rPr>
                <w:rFonts w:ascii="Times New Roman" w:hAnsi="Times New Roman" w:cs="Times New Roman"/>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069E4E6E" w14:textId="77777777" w:rsidR="00265766" w:rsidRPr="009E686F" w:rsidRDefault="00265766" w:rsidP="00265766">
            <w:pPr>
              <w:spacing w:after="0"/>
              <w:jc w:val="both"/>
              <w:rPr>
                <w:rFonts w:ascii="Times New Roman" w:hAnsi="Times New Roman" w:cs="Times New Roman"/>
                <w:lang w:val="ro-MD"/>
              </w:rPr>
            </w:pPr>
          </w:p>
        </w:tc>
      </w:tr>
      <w:tr w:rsidR="00265766" w:rsidRPr="009E686F" w14:paraId="07FD9D5E" w14:textId="77777777" w:rsidTr="00960C23">
        <w:tc>
          <w:tcPr>
            <w:tcW w:w="1890" w:type="pct"/>
            <w:tcBorders>
              <w:top w:val="single" w:sz="4" w:space="0" w:color="auto"/>
              <w:left w:val="single" w:sz="4" w:space="0" w:color="auto"/>
              <w:bottom w:val="single" w:sz="4" w:space="0" w:color="auto"/>
              <w:right w:val="single" w:sz="4" w:space="0" w:color="auto"/>
            </w:tcBorders>
          </w:tcPr>
          <w:p w14:paraId="3E28ECB2" w14:textId="77777777" w:rsidR="00265766" w:rsidRPr="009E686F" w:rsidRDefault="00265766" w:rsidP="00265766">
            <w:pPr>
              <w:spacing w:after="0"/>
              <w:jc w:val="both"/>
              <w:rPr>
                <w:rFonts w:ascii="Times New Roman" w:hAnsi="Times New Roman" w:cs="Times New Roman"/>
                <w:i/>
                <w:iCs/>
                <w:lang w:val="pt-BR"/>
              </w:rPr>
            </w:pPr>
            <w:r w:rsidRPr="009E686F">
              <w:rPr>
                <w:rFonts w:ascii="Times New Roman" w:hAnsi="Times New Roman" w:cs="Times New Roman"/>
                <w:i/>
                <w:iCs/>
                <w:lang w:val="pt-BR"/>
              </w:rPr>
              <w:t xml:space="preserve">Articolul 57 </w:t>
            </w:r>
          </w:p>
          <w:p w14:paraId="1CE3AD21" w14:textId="55A53682" w:rsidR="00265766" w:rsidRPr="009E686F" w:rsidRDefault="00265766" w:rsidP="00265766">
            <w:pPr>
              <w:spacing w:after="0"/>
              <w:jc w:val="both"/>
              <w:rPr>
                <w:rFonts w:ascii="Times New Roman" w:hAnsi="Times New Roman" w:cs="Times New Roman"/>
                <w:lang w:val="pt-BR"/>
              </w:rPr>
            </w:pPr>
            <w:r w:rsidRPr="009E686F">
              <w:rPr>
                <w:rFonts w:ascii="Times New Roman" w:hAnsi="Times New Roman" w:cs="Times New Roman"/>
                <w:lang w:val="pt-BR"/>
              </w:rPr>
              <w:t>Schimbul de informații cu organismele de supraveghere</w:t>
            </w:r>
          </w:p>
        </w:tc>
        <w:tc>
          <w:tcPr>
            <w:tcW w:w="1834" w:type="pct"/>
            <w:tcBorders>
              <w:top w:val="single" w:sz="4" w:space="0" w:color="auto"/>
              <w:left w:val="single" w:sz="4" w:space="0" w:color="auto"/>
              <w:bottom w:val="single" w:sz="4" w:space="0" w:color="auto"/>
              <w:right w:val="single" w:sz="4" w:space="0" w:color="auto"/>
            </w:tcBorders>
          </w:tcPr>
          <w:p w14:paraId="74B9776B" w14:textId="77777777" w:rsidR="00265766" w:rsidRPr="009E686F" w:rsidRDefault="00265766" w:rsidP="00265766">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b/>
                <w:bCs/>
                <w:kern w:val="2"/>
                <w:lang w:val="ro-MD"/>
              </w:rPr>
              <w:t>Articolul 130.</w:t>
            </w:r>
            <w:r w:rsidRPr="009E686F">
              <w:rPr>
                <w:rFonts w:ascii="Times New Roman" w:eastAsia="Aptos" w:hAnsi="Times New Roman" w:cs="Times New Roman"/>
                <w:kern w:val="2"/>
                <w:lang w:val="ro-MD"/>
              </w:rPr>
              <w:t xml:space="preserve"> Schimbul de informaţii cu alte autorităţi</w:t>
            </w:r>
          </w:p>
          <w:p w14:paraId="6878A1C7" w14:textId="77777777" w:rsidR="00265766" w:rsidRPr="009E686F" w:rsidRDefault="00265766" w:rsidP="00265766">
            <w:pPr>
              <w:spacing w:after="0"/>
              <w:jc w:val="both"/>
              <w:rPr>
                <w:rFonts w:ascii="Times New Roman" w:hAnsi="Times New Roman" w:cs="Times New Roman"/>
                <w:b/>
                <w:lang w:val="ro-MD"/>
              </w:rPr>
            </w:pPr>
          </w:p>
        </w:tc>
        <w:tc>
          <w:tcPr>
            <w:tcW w:w="470" w:type="pct"/>
            <w:tcBorders>
              <w:top w:val="single" w:sz="4" w:space="0" w:color="auto"/>
              <w:left w:val="single" w:sz="4" w:space="0" w:color="auto"/>
              <w:bottom w:val="single" w:sz="4" w:space="0" w:color="auto"/>
              <w:right w:val="single" w:sz="4" w:space="0" w:color="auto"/>
            </w:tcBorders>
          </w:tcPr>
          <w:p w14:paraId="5E99EA73" w14:textId="77777777" w:rsidR="00265766" w:rsidRPr="009E686F" w:rsidRDefault="00265766" w:rsidP="00265766">
            <w:pPr>
              <w:jc w:val="both"/>
              <w:rPr>
                <w:rFonts w:ascii="Times New Roman" w:hAnsi="Times New Roman" w:cs="Times New Roman"/>
                <w:lang w:val="it-IT"/>
              </w:rPr>
            </w:pPr>
          </w:p>
        </w:tc>
        <w:tc>
          <w:tcPr>
            <w:tcW w:w="806" w:type="pct"/>
            <w:tcBorders>
              <w:top w:val="single" w:sz="4" w:space="0" w:color="auto"/>
              <w:left w:val="single" w:sz="4" w:space="0" w:color="auto"/>
              <w:bottom w:val="single" w:sz="4" w:space="0" w:color="auto"/>
              <w:right w:val="single" w:sz="4" w:space="0" w:color="auto"/>
            </w:tcBorders>
          </w:tcPr>
          <w:p w14:paraId="6B206B1D" w14:textId="3D6ECC21" w:rsidR="00265766" w:rsidRPr="009E686F" w:rsidRDefault="00265766" w:rsidP="00265766">
            <w:pPr>
              <w:spacing w:after="0"/>
              <w:jc w:val="both"/>
              <w:rPr>
                <w:rFonts w:ascii="Times New Roman" w:hAnsi="Times New Roman" w:cs="Times New Roman"/>
                <w:lang w:val="it-IT"/>
              </w:rPr>
            </w:pPr>
          </w:p>
        </w:tc>
      </w:tr>
      <w:tr w:rsidR="00265766" w:rsidRPr="009E686F" w14:paraId="49F3656D" w14:textId="77777777" w:rsidTr="00960C23">
        <w:tc>
          <w:tcPr>
            <w:tcW w:w="1890" w:type="pct"/>
            <w:tcBorders>
              <w:top w:val="single" w:sz="4" w:space="0" w:color="auto"/>
              <w:left w:val="single" w:sz="4" w:space="0" w:color="auto"/>
              <w:bottom w:val="single" w:sz="4" w:space="0" w:color="auto"/>
              <w:right w:val="single" w:sz="4" w:space="0" w:color="auto"/>
            </w:tcBorders>
          </w:tcPr>
          <w:p w14:paraId="1243A6DF" w14:textId="62F4EB02"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(1) În pofida articolelor 53, 54 și 55, statele membre se asigură că poate avea loc un schimb de informații între autoritățile competente și autoritățile responsabile cu supravegherea:</w:t>
            </w:r>
          </w:p>
        </w:tc>
        <w:tc>
          <w:tcPr>
            <w:tcW w:w="1834" w:type="pct"/>
            <w:tcBorders>
              <w:top w:val="single" w:sz="4" w:space="0" w:color="auto"/>
              <w:left w:val="single" w:sz="4" w:space="0" w:color="auto"/>
              <w:bottom w:val="single" w:sz="4" w:space="0" w:color="auto"/>
              <w:right w:val="single" w:sz="4" w:space="0" w:color="auto"/>
            </w:tcBorders>
          </w:tcPr>
          <w:p w14:paraId="7C79969D" w14:textId="5EB306BE"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 xml:space="preserve">(1) Fără a aduce atingere prevederilor art.126-128 Banca Naţională a Moldovei poate schimba informaţii cu autorităţi din Republica Moldova sau din alte state </w:t>
            </w:r>
            <w:r w:rsidRPr="009E686F">
              <w:rPr>
                <w:rFonts w:ascii="Times New Roman" w:hAnsi="Times New Roman" w:cs="Times New Roman"/>
                <w:i/>
                <w:iCs/>
                <w:lang w:val="it-CH"/>
              </w:rPr>
              <w:t>membre</w:t>
            </w:r>
            <w:r w:rsidRPr="009E686F">
              <w:rPr>
                <w:rFonts w:ascii="Times New Roman" w:hAnsi="Times New Roman" w:cs="Times New Roman"/>
                <w:lang w:val="it-CH"/>
              </w:rPr>
              <w:t xml:space="preserve">, responsabile cu monitorizarea : </w:t>
            </w:r>
          </w:p>
        </w:tc>
        <w:tc>
          <w:tcPr>
            <w:tcW w:w="470" w:type="pct"/>
            <w:tcBorders>
              <w:top w:val="single" w:sz="4" w:space="0" w:color="auto"/>
              <w:left w:val="single" w:sz="4" w:space="0" w:color="auto"/>
              <w:bottom w:val="single" w:sz="4" w:space="0" w:color="auto"/>
              <w:right w:val="single" w:sz="4" w:space="0" w:color="auto"/>
            </w:tcBorders>
          </w:tcPr>
          <w:p w14:paraId="6B9F907F" w14:textId="4D3C1830" w:rsidR="00265766" w:rsidRPr="009E686F" w:rsidRDefault="00265766" w:rsidP="00265766">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616C9CB0" w14:textId="51C41D29" w:rsidR="00265766" w:rsidRPr="009E686F" w:rsidRDefault="00265766" w:rsidP="00265766">
            <w:pPr>
              <w:spacing w:after="0"/>
              <w:jc w:val="both"/>
              <w:rPr>
                <w:rFonts w:ascii="Times New Roman" w:hAnsi="Times New Roman" w:cs="Times New Roman"/>
              </w:rPr>
            </w:pPr>
          </w:p>
        </w:tc>
      </w:tr>
      <w:tr w:rsidR="00265766" w:rsidRPr="009E686F" w14:paraId="0AD3C4B7" w14:textId="77777777" w:rsidTr="00960C23">
        <w:tc>
          <w:tcPr>
            <w:tcW w:w="1890" w:type="pct"/>
            <w:tcBorders>
              <w:top w:val="single" w:sz="4" w:space="0" w:color="auto"/>
              <w:left w:val="single" w:sz="4" w:space="0" w:color="auto"/>
              <w:bottom w:val="single" w:sz="4" w:space="0" w:color="auto"/>
              <w:right w:val="single" w:sz="4" w:space="0" w:color="auto"/>
            </w:tcBorders>
          </w:tcPr>
          <w:p w14:paraId="695C77D4" w14:textId="1781699E"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(a) organismelor implicate în lichidarea și procedurile de faliment ale instituțiilor, precum și în alte proceduri similare;</w:t>
            </w:r>
          </w:p>
        </w:tc>
        <w:tc>
          <w:tcPr>
            <w:tcW w:w="1834" w:type="pct"/>
            <w:tcBorders>
              <w:top w:val="single" w:sz="4" w:space="0" w:color="auto"/>
              <w:left w:val="single" w:sz="4" w:space="0" w:color="auto"/>
              <w:bottom w:val="single" w:sz="4" w:space="0" w:color="auto"/>
              <w:right w:val="single" w:sz="4" w:space="0" w:color="auto"/>
            </w:tcBorders>
          </w:tcPr>
          <w:p w14:paraId="620EC3ED" w14:textId="25A4E3C6" w:rsidR="00265766" w:rsidRPr="009E686F" w:rsidRDefault="00265766" w:rsidP="00265766">
            <w:pPr>
              <w:spacing w:after="0"/>
              <w:jc w:val="both"/>
              <w:rPr>
                <w:rFonts w:ascii="Times New Roman" w:hAnsi="Times New Roman" w:cs="Times New Roman"/>
                <w:b/>
                <w:lang w:val="it-CH"/>
              </w:rPr>
            </w:pPr>
            <w:r w:rsidRPr="009E686F">
              <w:rPr>
                <w:rFonts w:ascii="Times New Roman" w:hAnsi="Times New Roman" w:cs="Times New Roman"/>
                <w:lang w:val="it-CH"/>
              </w:rPr>
              <w:t xml:space="preserve">a) organisme implicate în falimentul şi lichidarea  </w:t>
            </w:r>
            <w:r w:rsidRPr="009E686F">
              <w:rPr>
                <w:rFonts w:ascii="Times New Roman" w:hAnsi="Times New Roman" w:cs="Times New Roman"/>
                <w:i/>
                <w:iCs/>
                <w:lang w:val="it-CH"/>
              </w:rPr>
              <w:t>instituțiilor de credit</w:t>
            </w:r>
            <w:r w:rsidRPr="009E686F">
              <w:rPr>
                <w:rFonts w:ascii="Times New Roman" w:hAnsi="Times New Roman" w:cs="Times New Roman"/>
                <w:lang w:val="it-CH"/>
              </w:rPr>
              <w:t xml:space="preserve">, precum şi în alte proceduri similare; </w:t>
            </w:r>
          </w:p>
        </w:tc>
        <w:tc>
          <w:tcPr>
            <w:tcW w:w="470" w:type="pct"/>
            <w:tcBorders>
              <w:top w:val="single" w:sz="4" w:space="0" w:color="auto"/>
              <w:left w:val="single" w:sz="4" w:space="0" w:color="auto"/>
              <w:bottom w:val="single" w:sz="4" w:space="0" w:color="auto"/>
              <w:right w:val="single" w:sz="4" w:space="0" w:color="auto"/>
            </w:tcBorders>
          </w:tcPr>
          <w:p w14:paraId="74BE50C3" w14:textId="1578BA70" w:rsidR="00265766" w:rsidRPr="009E686F" w:rsidRDefault="00265766" w:rsidP="00265766">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5E77DC43" w14:textId="637759D6" w:rsidR="00265766" w:rsidRPr="009E686F" w:rsidRDefault="00265766" w:rsidP="00265766">
            <w:pPr>
              <w:spacing w:after="0"/>
              <w:jc w:val="both"/>
              <w:rPr>
                <w:rFonts w:ascii="Times New Roman" w:hAnsi="Times New Roman" w:cs="Times New Roman"/>
              </w:rPr>
            </w:pPr>
          </w:p>
        </w:tc>
      </w:tr>
      <w:tr w:rsidR="00265766" w:rsidRPr="009E686F" w14:paraId="0D87D937" w14:textId="77777777" w:rsidTr="00960C23">
        <w:tc>
          <w:tcPr>
            <w:tcW w:w="1890" w:type="pct"/>
            <w:tcBorders>
              <w:top w:val="single" w:sz="4" w:space="0" w:color="auto"/>
              <w:left w:val="single" w:sz="4" w:space="0" w:color="auto"/>
              <w:bottom w:val="single" w:sz="4" w:space="0" w:color="auto"/>
              <w:right w:val="single" w:sz="4" w:space="0" w:color="auto"/>
            </w:tcBorders>
          </w:tcPr>
          <w:p w14:paraId="029F60F0" w14:textId="502E02FC" w:rsidR="00265766" w:rsidRPr="009E686F" w:rsidRDefault="00265766" w:rsidP="00265766">
            <w:pPr>
              <w:spacing w:after="0"/>
              <w:jc w:val="both"/>
              <w:rPr>
                <w:rFonts w:ascii="Times New Roman" w:hAnsi="Times New Roman" w:cs="Times New Roman"/>
                <w:lang w:val="pt-BR"/>
              </w:rPr>
            </w:pPr>
            <w:r w:rsidRPr="009E686F">
              <w:rPr>
                <w:rFonts w:ascii="Times New Roman" w:hAnsi="Times New Roman" w:cs="Times New Roman"/>
                <w:lang w:val="pt-BR"/>
              </w:rPr>
              <w:t>(b) sistemelor de protecție contractuală sau instituțională astfel cum sunt menționate la articolul 113 alineatul (7) din Regulamentul (UE) nr. 575/2013;</w:t>
            </w:r>
          </w:p>
        </w:tc>
        <w:tc>
          <w:tcPr>
            <w:tcW w:w="1834" w:type="pct"/>
            <w:tcBorders>
              <w:top w:val="single" w:sz="4" w:space="0" w:color="auto"/>
              <w:left w:val="single" w:sz="4" w:space="0" w:color="auto"/>
              <w:bottom w:val="single" w:sz="4" w:space="0" w:color="auto"/>
              <w:right w:val="single" w:sz="4" w:space="0" w:color="auto"/>
            </w:tcBorders>
          </w:tcPr>
          <w:p w14:paraId="17AE6BCA" w14:textId="41BD8F88" w:rsidR="00265766" w:rsidRPr="009E686F" w:rsidRDefault="00265766" w:rsidP="00265766">
            <w:pPr>
              <w:spacing w:after="0"/>
              <w:jc w:val="both"/>
              <w:rPr>
                <w:rFonts w:ascii="Times New Roman" w:hAnsi="Times New Roman" w:cs="Times New Roman"/>
              </w:rPr>
            </w:pPr>
            <w:r w:rsidRPr="009E686F">
              <w:rPr>
                <w:rFonts w:ascii="Times New Roman" w:hAnsi="Times New Roman" w:cs="Times New Roman"/>
                <w:lang w:val="pt-BR"/>
              </w:rPr>
              <w:t xml:space="preserve">b) sistemele de protecţie contractuală sau instituţională, astfel cum sunt prevăzute la art. 129, alin. </w:t>
            </w:r>
            <w:r w:rsidRPr="009E686F">
              <w:rPr>
                <w:rFonts w:ascii="Times New Roman" w:hAnsi="Times New Roman" w:cs="Times New Roman"/>
              </w:rPr>
              <w:t>(1) lit. d);</w:t>
            </w:r>
          </w:p>
        </w:tc>
        <w:tc>
          <w:tcPr>
            <w:tcW w:w="470" w:type="pct"/>
            <w:tcBorders>
              <w:top w:val="single" w:sz="4" w:space="0" w:color="auto"/>
              <w:left w:val="single" w:sz="4" w:space="0" w:color="auto"/>
              <w:bottom w:val="single" w:sz="4" w:space="0" w:color="auto"/>
              <w:right w:val="single" w:sz="4" w:space="0" w:color="auto"/>
            </w:tcBorders>
          </w:tcPr>
          <w:p w14:paraId="18779B66" w14:textId="53951BB9" w:rsidR="00265766" w:rsidRPr="009E686F" w:rsidRDefault="00265766" w:rsidP="00265766">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28790738" w14:textId="442D49DE" w:rsidR="00265766" w:rsidRPr="009E686F" w:rsidRDefault="00265766" w:rsidP="00265766">
            <w:pPr>
              <w:spacing w:after="0"/>
              <w:jc w:val="both"/>
              <w:rPr>
                <w:rFonts w:ascii="Times New Roman" w:hAnsi="Times New Roman" w:cs="Times New Roman"/>
              </w:rPr>
            </w:pPr>
          </w:p>
        </w:tc>
      </w:tr>
      <w:tr w:rsidR="00265766" w:rsidRPr="009E686F" w14:paraId="109F37B0" w14:textId="77777777" w:rsidTr="00960C23">
        <w:tc>
          <w:tcPr>
            <w:tcW w:w="1890" w:type="pct"/>
            <w:tcBorders>
              <w:top w:val="single" w:sz="4" w:space="0" w:color="auto"/>
              <w:left w:val="single" w:sz="4" w:space="0" w:color="auto"/>
              <w:bottom w:val="single" w:sz="4" w:space="0" w:color="auto"/>
              <w:right w:val="single" w:sz="4" w:space="0" w:color="auto"/>
            </w:tcBorders>
          </w:tcPr>
          <w:p w14:paraId="6271E4BD" w14:textId="0F0579A1" w:rsidR="00265766" w:rsidRPr="009E686F" w:rsidRDefault="00265766" w:rsidP="00265766">
            <w:pPr>
              <w:spacing w:after="0"/>
              <w:jc w:val="both"/>
              <w:rPr>
                <w:rFonts w:ascii="Times New Roman" w:hAnsi="Times New Roman" w:cs="Times New Roman"/>
                <w:lang w:val="pt-BR"/>
              </w:rPr>
            </w:pPr>
            <w:r w:rsidRPr="009E686F">
              <w:rPr>
                <w:rFonts w:ascii="Times New Roman" w:hAnsi="Times New Roman" w:cs="Times New Roman"/>
                <w:lang w:val="pt-BR"/>
              </w:rPr>
              <w:t>(c) persoanelor însărcinate cu efectuarea auditării legale a conturilor instituțiilor, ale întreprinderilor de asigurare și ale instituțiilor financiare.</w:t>
            </w:r>
          </w:p>
        </w:tc>
        <w:tc>
          <w:tcPr>
            <w:tcW w:w="1834" w:type="pct"/>
            <w:tcBorders>
              <w:top w:val="single" w:sz="4" w:space="0" w:color="auto"/>
              <w:left w:val="single" w:sz="4" w:space="0" w:color="auto"/>
              <w:bottom w:val="single" w:sz="4" w:space="0" w:color="auto"/>
              <w:right w:val="single" w:sz="4" w:space="0" w:color="auto"/>
            </w:tcBorders>
          </w:tcPr>
          <w:p w14:paraId="158D5B72" w14:textId="600F46EA" w:rsidR="00265766" w:rsidRPr="009E686F" w:rsidRDefault="00265766" w:rsidP="00265766">
            <w:pPr>
              <w:spacing w:after="0"/>
              <w:jc w:val="both"/>
              <w:rPr>
                <w:rFonts w:ascii="Times New Roman" w:eastAsia="Aptos" w:hAnsi="Times New Roman" w:cs="Times New Roman"/>
                <w:i/>
                <w:iCs/>
                <w:color w:val="0F9ED5"/>
                <w:kern w:val="2"/>
                <w:lang w:val="ro-MD"/>
              </w:rPr>
            </w:pPr>
            <w:r w:rsidRPr="009E686F">
              <w:rPr>
                <w:rFonts w:ascii="Times New Roman" w:eastAsia="Aptos" w:hAnsi="Times New Roman" w:cs="Times New Roman"/>
                <w:kern w:val="2"/>
                <w:lang w:val="ro-MD"/>
              </w:rPr>
              <w:t xml:space="preserve">c) entităţilor de audit ale </w:t>
            </w:r>
            <w:r w:rsidRPr="009E686F">
              <w:rPr>
                <w:rFonts w:ascii="Times New Roman" w:eastAsia="Aptos" w:hAnsi="Times New Roman" w:cs="Times New Roman"/>
                <w:i/>
                <w:iCs/>
                <w:kern w:val="2"/>
                <w:lang w:val="ro-MD"/>
              </w:rPr>
              <w:t>instituțiilor de credit</w:t>
            </w:r>
            <w:r w:rsidRPr="009E686F">
              <w:rPr>
                <w:rFonts w:ascii="Times New Roman" w:eastAsia="Aptos" w:hAnsi="Times New Roman" w:cs="Times New Roman"/>
                <w:kern w:val="2"/>
                <w:lang w:val="ro-MD"/>
              </w:rPr>
              <w:t xml:space="preserve">, societăţilor de investiţii, asigurătorilor, precum şi ale altor </w:t>
            </w:r>
            <w:r w:rsidRPr="009E686F">
              <w:rPr>
                <w:rFonts w:ascii="Times New Roman" w:eastAsia="Aptos" w:hAnsi="Times New Roman" w:cs="Times New Roman"/>
                <w:i/>
                <w:iCs/>
                <w:kern w:val="2"/>
                <w:lang w:val="ro-MD"/>
              </w:rPr>
              <w:t>instituții financiare</w:t>
            </w:r>
            <w:r w:rsidRPr="009E686F">
              <w:rPr>
                <w:rFonts w:ascii="Times New Roman" w:eastAsia="Aptos" w:hAnsi="Times New Roman" w:cs="Times New Roman"/>
                <w:i/>
                <w:iCs/>
                <w:color w:val="0F9ED5"/>
                <w:kern w:val="2"/>
                <w:lang w:val="ro-MD"/>
              </w:rPr>
              <w:t>.</w:t>
            </w:r>
          </w:p>
        </w:tc>
        <w:tc>
          <w:tcPr>
            <w:tcW w:w="470" w:type="pct"/>
            <w:tcBorders>
              <w:top w:val="single" w:sz="4" w:space="0" w:color="auto"/>
              <w:left w:val="single" w:sz="4" w:space="0" w:color="auto"/>
              <w:bottom w:val="single" w:sz="4" w:space="0" w:color="auto"/>
              <w:right w:val="single" w:sz="4" w:space="0" w:color="auto"/>
            </w:tcBorders>
          </w:tcPr>
          <w:p w14:paraId="450586D4" w14:textId="1A557B86" w:rsidR="00265766" w:rsidRPr="009E686F" w:rsidRDefault="00265766" w:rsidP="00265766">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6E03BD5D" w14:textId="3F91520D" w:rsidR="00265766" w:rsidRPr="009E686F" w:rsidRDefault="00265766" w:rsidP="00265766">
            <w:pPr>
              <w:spacing w:after="0"/>
              <w:jc w:val="both"/>
              <w:rPr>
                <w:rFonts w:ascii="Times New Roman" w:hAnsi="Times New Roman" w:cs="Times New Roman"/>
              </w:rPr>
            </w:pPr>
          </w:p>
        </w:tc>
      </w:tr>
      <w:tr w:rsidR="00265766" w:rsidRPr="009E686F" w14:paraId="511E6A31" w14:textId="77777777" w:rsidTr="00960C23">
        <w:tc>
          <w:tcPr>
            <w:tcW w:w="1890" w:type="pct"/>
            <w:tcBorders>
              <w:top w:val="single" w:sz="4" w:space="0" w:color="auto"/>
              <w:left w:val="single" w:sz="4" w:space="0" w:color="auto"/>
              <w:bottom w:val="single" w:sz="4" w:space="0" w:color="auto"/>
              <w:right w:val="single" w:sz="4" w:space="0" w:color="auto"/>
            </w:tcBorders>
          </w:tcPr>
          <w:p w14:paraId="69F9A4EE" w14:textId="54E96C15"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(2) În cazurile menționate la alineatul (1), statele membre cer îndeplinirea cel puțin a următoarelor condiții:</w:t>
            </w:r>
          </w:p>
        </w:tc>
        <w:tc>
          <w:tcPr>
            <w:tcW w:w="1834" w:type="pct"/>
            <w:tcBorders>
              <w:top w:val="single" w:sz="4" w:space="0" w:color="auto"/>
              <w:left w:val="single" w:sz="4" w:space="0" w:color="auto"/>
              <w:bottom w:val="single" w:sz="4" w:space="0" w:color="auto"/>
              <w:right w:val="single" w:sz="4" w:space="0" w:color="auto"/>
            </w:tcBorders>
          </w:tcPr>
          <w:p w14:paraId="14708E12" w14:textId="77777777" w:rsidR="00265766" w:rsidRPr="009E686F" w:rsidRDefault="00265766" w:rsidP="00265766">
            <w:pPr>
              <w:spacing w:after="0"/>
              <w:jc w:val="both"/>
              <w:rPr>
                <w:rFonts w:ascii="Times New Roman" w:hAnsi="Times New Roman" w:cs="Times New Roman"/>
                <w:lang w:val="pt-BR"/>
              </w:rPr>
            </w:pPr>
            <w:r w:rsidRPr="009E686F">
              <w:rPr>
                <w:rFonts w:ascii="Times New Roman" w:hAnsi="Times New Roman" w:cs="Times New Roman"/>
                <w:lang w:val="pt-BR"/>
              </w:rPr>
              <w:t xml:space="preserve">(2) Schimbul de informaţii prevăzut la alin. (1) se realizează cu respectarea următoarelor condiţii: </w:t>
            </w:r>
          </w:p>
        </w:tc>
        <w:tc>
          <w:tcPr>
            <w:tcW w:w="470" w:type="pct"/>
            <w:tcBorders>
              <w:top w:val="single" w:sz="4" w:space="0" w:color="auto"/>
              <w:left w:val="single" w:sz="4" w:space="0" w:color="auto"/>
              <w:bottom w:val="single" w:sz="4" w:space="0" w:color="auto"/>
              <w:right w:val="single" w:sz="4" w:space="0" w:color="auto"/>
            </w:tcBorders>
          </w:tcPr>
          <w:p w14:paraId="570D36E5" w14:textId="5C708C0F" w:rsidR="00265766" w:rsidRPr="009E686F" w:rsidRDefault="00265766" w:rsidP="00265766">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171C740C" w14:textId="00123F26" w:rsidR="00265766" w:rsidRPr="009E686F" w:rsidRDefault="00265766" w:rsidP="00265766">
            <w:pPr>
              <w:spacing w:after="0"/>
              <w:jc w:val="both"/>
              <w:rPr>
                <w:rFonts w:ascii="Times New Roman" w:hAnsi="Times New Roman" w:cs="Times New Roman"/>
              </w:rPr>
            </w:pPr>
          </w:p>
        </w:tc>
      </w:tr>
      <w:tr w:rsidR="00265766" w:rsidRPr="009E686F" w14:paraId="51C066B9" w14:textId="77777777" w:rsidTr="00960C23">
        <w:tc>
          <w:tcPr>
            <w:tcW w:w="1890" w:type="pct"/>
            <w:tcBorders>
              <w:top w:val="single" w:sz="4" w:space="0" w:color="auto"/>
              <w:left w:val="single" w:sz="4" w:space="0" w:color="auto"/>
              <w:bottom w:val="single" w:sz="4" w:space="0" w:color="auto"/>
              <w:right w:val="single" w:sz="4" w:space="0" w:color="auto"/>
            </w:tcBorders>
          </w:tcPr>
          <w:p w14:paraId="2D4E9BF5" w14:textId="6E568E7E"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(a) informațiile sunt schimbate în scopul îndeplinirii sarcinii menționate la alineatul (1);</w:t>
            </w:r>
          </w:p>
        </w:tc>
        <w:tc>
          <w:tcPr>
            <w:tcW w:w="1834" w:type="pct"/>
            <w:tcBorders>
              <w:top w:val="single" w:sz="4" w:space="0" w:color="auto"/>
              <w:left w:val="single" w:sz="4" w:space="0" w:color="auto"/>
              <w:bottom w:val="single" w:sz="4" w:space="0" w:color="auto"/>
              <w:right w:val="single" w:sz="4" w:space="0" w:color="auto"/>
            </w:tcBorders>
          </w:tcPr>
          <w:p w14:paraId="0073F416" w14:textId="74C7B519" w:rsidR="00265766" w:rsidRPr="009E686F" w:rsidRDefault="00265766" w:rsidP="00265766">
            <w:pPr>
              <w:spacing w:after="0"/>
              <w:jc w:val="both"/>
              <w:rPr>
                <w:rFonts w:ascii="Times New Roman" w:hAnsi="Times New Roman" w:cs="Times New Roman"/>
              </w:rPr>
            </w:pPr>
            <w:r w:rsidRPr="009E686F">
              <w:rPr>
                <w:rFonts w:ascii="Times New Roman" w:hAnsi="Times New Roman" w:cs="Times New Roman"/>
                <w:lang w:val="it-CH"/>
              </w:rPr>
              <w:t xml:space="preserve">a) informaţiile trebuie să fie destinate îndeplinirii atribuţiilor de monitorizare prevăzute la alin. </w:t>
            </w:r>
            <w:r w:rsidRPr="009E686F">
              <w:rPr>
                <w:rFonts w:ascii="Times New Roman" w:hAnsi="Times New Roman" w:cs="Times New Roman"/>
              </w:rPr>
              <w:t>(1);</w:t>
            </w:r>
          </w:p>
        </w:tc>
        <w:tc>
          <w:tcPr>
            <w:tcW w:w="470" w:type="pct"/>
            <w:tcBorders>
              <w:top w:val="single" w:sz="4" w:space="0" w:color="auto"/>
              <w:left w:val="single" w:sz="4" w:space="0" w:color="auto"/>
              <w:bottom w:val="single" w:sz="4" w:space="0" w:color="auto"/>
              <w:right w:val="single" w:sz="4" w:space="0" w:color="auto"/>
            </w:tcBorders>
          </w:tcPr>
          <w:p w14:paraId="63878C68" w14:textId="64BA071F" w:rsidR="00265766" w:rsidRPr="009E686F" w:rsidRDefault="00265766" w:rsidP="00265766">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48FE3DA6" w14:textId="30FFE1D6" w:rsidR="00265766" w:rsidRPr="009E686F" w:rsidRDefault="00265766" w:rsidP="00265766">
            <w:pPr>
              <w:spacing w:after="0"/>
              <w:jc w:val="both"/>
              <w:rPr>
                <w:rFonts w:ascii="Times New Roman" w:hAnsi="Times New Roman" w:cs="Times New Roman"/>
              </w:rPr>
            </w:pPr>
          </w:p>
        </w:tc>
      </w:tr>
      <w:tr w:rsidR="00265766" w:rsidRPr="009E686F" w14:paraId="0F8BFC8D" w14:textId="77777777" w:rsidTr="00960C23">
        <w:tc>
          <w:tcPr>
            <w:tcW w:w="1890" w:type="pct"/>
            <w:tcBorders>
              <w:top w:val="single" w:sz="4" w:space="0" w:color="auto"/>
              <w:left w:val="single" w:sz="4" w:space="0" w:color="auto"/>
              <w:bottom w:val="single" w:sz="4" w:space="0" w:color="auto"/>
              <w:right w:val="single" w:sz="4" w:space="0" w:color="auto"/>
            </w:tcBorders>
          </w:tcPr>
          <w:p w14:paraId="55E4C50B" w14:textId="1F43AD02"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(b) informațiile primite fac obiectul cerințelor privind secretul profesional cel puțin echivalente cu cele menționate la articolul 53 alineatul (1);</w:t>
            </w:r>
          </w:p>
        </w:tc>
        <w:tc>
          <w:tcPr>
            <w:tcW w:w="1834" w:type="pct"/>
            <w:tcBorders>
              <w:top w:val="single" w:sz="4" w:space="0" w:color="auto"/>
              <w:left w:val="single" w:sz="4" w:space="0" w:color="auto"/>
              <w:bottom w:val="single" w:sz="4" w:space="0" w:color="auto"/>
              <w:right w:val="single" w:sz="4" w:space="0" w:color="auto"/>
            </w:tcBorders>
          </w:tcPr>
          <w:p w14:paraId="5BF3A239" w14:textId="5F896759"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 xml:space="preserve">b) informaţiile primite de către autoritățile prevăzute la alin. (1), din Republica Moldova sau din alte state sunt </w:t>
            </w:r>
            <w:r w:rsidRPr="009E686F">
              <w:rPr>
                <w:rFonts w:ascii="Times New Roman" w:hAnsi="Times New Roman" w:cs="Times New Roman"/>
                <w:i/>
                <w:iCs/>
                <w:lang w:val="it-CH"/>
              </w:rPr>
              <w:t>membre</w:t>
            </w:r>
            <w:r w:rsidRPr="009E686F">
              <w:rPr>
                <w:rFonts w:ascii="Times New Roman" w:hAnsi="Times New Roman" w:cs="Times New Roman"/>
                <w:lang w:val="it-CH"/>
              </w:rPr>
              <w:t xml:space="preserve"> supuse, unor cerinţe de păstrare a</w:t>
            </w:r>
            <w:r w:rsidRPr="009E686F" w:rsidDel="00F50045">
              <w:rPr>
                <w:rFonts w:ascii="Times New Roman" w:hAnsi="Times New Roman" w:cs="Times New Roman"/>
                <w:lang w:val="it-CH"/>
              </w:rPr>
              <w:t xml:space="preserve"> </w:t>
            </w:r>
            <w:r w:rsidRPr="009E686F">
              <w:rPr>
                <w:rFonts w:ascii="Times New Roman" w:hAnsi="Times New Roman" w:cs="Times New Roman"/>
                <w:lang w:val="it-CH"/>
              </w:rPr>
              <w:t>secretului profesional, prevăzute de legislația națională, cel puțin echivalente celor prevăzute la art. 126;</w:t>
            </w:r>
          </w:p>
        </w:tc>
        <w:tc>
          <w:tcPr>
            <w:tcW w:w="470" w:type="pct"/>
            <w:tcBorders>
              <w:top w:val="single" w:sz="4" w:space="0" w:color="auto"/>
              <w:left w:val="single" w:sz="4" w:space="0" w:color="auto"/>
              <w:bottom w:val="single" w:sz="4" w:space="0" w:color="auto"/>
              <w:right w:val="single" w:sz="4" w:space="0" w:color="auto"/>
            </w:tcBorders>
          </w:tcPr>
          <w:p w14:paraId="5B8D63F9" w14:textId="4FB00AC6" w:rsidR="00265766" w:rsidRPr="009E686F" w:rsidRDefault="00265766" w:rsidP="00265766">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1529C9B7" w14:textId="62225E6D" w:rsidR="00265766" w:rsidRPr="009E686F" w:rsidRDefault="00265766" w:rsidP="00265766">
            <w:pPr>
              <w:spacing w:after="0"/>
              <w:jc w:val="both"/>
              <w:rPr>
                <w:rFonts w:ascii="Times New Roman" w:hAnsi="Times New Roman" w:cs="Times New Roman"/>
              </w:rPr>
            </w:pPr>
          </w:p>
        </w:tc>
      </w:tr>
      <w:tr w:rsidR="00265766" w:rsidRPr="009E686F" w14:paraId="1DD7D441" w14:textId="77777777" w:rsidTr="00960C23">
        <w:tc>
          <w:tcPr>
            <w:tcW w:w="1890" w:type="pct"/>
            <w:tcBorders>
              <w:top w:val="single" w:sz="4" w:space="0" w:color="auto"/>
              <w:left w:val="single" w:sz="4" w:space="0" w:color="auto"/>
              <w:bottom w:val="single" w:sz="4" w:space="0" w:color="auto"/>
              <w:right w:val="single" w:sz="4" w:space="0" w:color="auto"/>
            </w:tcBorders>
          </w:tcPr>
          <w:p w14:paraId="0C4C16CF" w14:textId="485725AE" w:rsidR="00265766" w:rsidRPr="009E686F" w:rsidRDefault="00265766" w:rsidP="00265766">
            <w:pPr>
              <w:spacing w:after="0"/>
              <w:jc w:val="both"/>
              <w:rPr>
                <w:rFonts w:ascii="Times New Roman" w:hAnsi="Times New Roman" w:cs="Times New Roman"/>
              </w:rPr>
            </w:pPr>
            <w:r w:rsidRPr="009E686F">
              <w:rPr>
                <w:rFonts w:ascii="Times New Roman" w:hAnsi="Times New Roman" w:cs="Times New Roman"/>
              </w:rPr>
              <w:t>(c) în cazul în care informațiile provin dintr-un alt stat membru, acestea nu sunt divulgate fără acordul expres al autorităților competente care le-au furnizat și, după caz, doar în scopul pentru care autoritățile în cauză și-au dat acordul.</w:t>
            </w:r>
          </w:p>
        </w:tc>
        <w:tc>
          <w:tcPr>
            <w:tcW w:w="1834" w:type="pct"/>
            <w:tcBorders>
              <w:top w:val="single" w:sz="4" w:space="0" w:color="auto"/>
              <w:left w:val="single" w:sz="4" w:space="0" w:color="auto"/>
              <w:bottom w:val="single" w:sz="4" w:space="0" w:color="auto"/>
              <w:right w:val="single" w:sz="4" w:space="0" w:color="auto"/>
            </w:tcBorders>
          </w:tcPr>
          <w:p w14:paraId="75197E2C" w14:textId="72CFFA18" w:rsidR="00265766" w:rsidRPr="009E686F" w:rsidRDefault="00265766" w:rsidP="00265766">
            <w:pPr>
              <w:spacing w:after="0"/>
              <w:jc w:val="both"/>
              <w:rPr>
                <w:rFonts w:ascii="Times New Roman" w:hAnsi="Times New Roman" w:cs="Times New Roman"/>
              </w:rPr>
            </w:pPr>
            <w:r w:rsidRPr="009E686F">
              <w:rPr>
                <w:rFonts w:ascii="Times New Roman" w:hAnsi="Times New Roman" w:cs="Times New Roman"/>
              </w:rPr>
              <w:t xml:space="preserve">c) în cazul în care informaţiile provin dintr-un alt stat </w:t>
            </w:r>
            <w:r w:rsidRPr="009E686F">
              <w:rPr>
                <w:rFonts w:ascii="Times New Roman" w:hAnsi="Times New Roman" w:cs="Times New Roman"/>
                <w:i/>
                <w:iCs/>
              </w:rPr>
              <w:t>membru</w:t>
            </w:r>
            <w:r w:rsidRPr="009E686F">
              <w:rPr>
                <w:rFonts w:ascii="Times New Roman" w:hAnsi="Times New Roman" w:cs="Times New Roman"/>
              </w:rPr>
              <w:t xml:space="preserve">, acestea nu sunt divulgate fără acordul expres al autorității competente care le-a furnizat,iar în unele cazuri, </w:t>
            </w:r>
            <w:r w:rsidRPr="009E686F">
              <w:rPr>
                <w:rFonts w:ascii="Times New Roman" w:hAnsi="Times New Roman" w:cs="Times New Roman"/>
              </w:rPr>
              <w:lastRenderedPageBreak/>
              <w:t xml:space="preserve">doar în scopurile pentru care autoritatea în cauză și-a dat acordul. </w:t>
            </w:r>
          </w:p>
        </w:tc>
        <w:tc>
          <w:tcPr>
            <w:tcW w:w="470" w:type="pct"/>
            <w:tcBorders>
              <w:top w:val="single" w:sz="4" w:space="0" w:color="auto"/>
              <w:left w:val="single" w:sz="4" w:space="0" w:color="auto"/>
              <w:bottom w:val="single" w:sz="4" w:space="0" w:color="auto"/>
              <w:right w:val="single" w:sz="4" w:space="0" w:color="auto"/>
            </w:tcBorders>
          </w:tcPr>
          <w:p w14:paraId="0FCC909A" w14:textId="159E8FF0" w:rsidR="00265766" w:rsidRPr="009E686F" w:rsidRDefault="00265766" w:rsidP="00265766">
            <w:pPr>
              <w:jc w:val="both"/>
              <w:rPr>
                <w:rFonts w:ascii="Times New Roman" w:hAnsi="Times New Roman" w:cs="Times New Roman"/>
              </w:rPr>
            </w:pPr>
            <w:r w:rsidRPr="009E686F">
              <w:rPr>
                <w:rFonts w:ascii="Times New Roman" w:hAnsi="Times New Roman" w:cs="Times New Roman"/>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5B284176" w14:textId="5A412245" w:rsidR="00265766" w:rsidRPr="009E686F" w:rsidRDefault="00265766" w:rsidP="00265766">
            <w:pPr>
              <w:spacing w:after="0"/>
              <w:jc w:val="both"/>
              <w:rPr>
                <w:rFonts w:ascii="Times New Roman" w:hAnsi="Times New Roman" w:cs="Times New Roman"/>
              </w:rPr>
            </w:pPr>
          </w:p>
        </w:tc>
      </w:tr>
      <w:tr w:rsidR="00265766" w:rsidRPr="009E686F" w14:paraId="34CEB080" w14:textId="77777777" w:rsidTr="00960C23">
        <w:tc>
          <w:tcPr>
            <w:tcW w:w="1890" w:type="pct"/>
            <w:tcBorders>
              <w:top w:val="single" w:sz="4" w:space="0" w:color="auto"/>
              <w:left w:val="single" w:sz="4" w:space="0" w:color="auto"/>
              <w:bottom w:val="single" w:sz="4" w:space="0" w:color="auto"/>
              <w:right w:val="single" w:sz="4" w:space="0" w:color="auto"/>
            </w:tcBorders>
          </w:tcPr>
          <w:p w14:paraId="3BBFA4F5" w14:textId="161989F1"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(3) Fără a aduce atingere dispozițiilor articolelor 53, 54 și 55, statele membre pot autoriza, cu scopul de a consolida stabilitatea și integritatea sistemului financiar, schimbul de informații între autoritățile competente și autoritățile sau organismele responsabile în temeiul legii cu depistarea și investigarea încălcării legislației privind societățile comerciale.</w:t>
            </w:r>
          </w:p>
        </w:tc>
        <w:tc>
          <w:tcPr>
            <w:tcW w:w="1834" w:type="pct"/>
            <w:tcBorders>
              <w:top w:val="single" w:sz="4" w:space="0" w:color="auto"/>
              <w:left w:val="single" w:sz="4" w:space="0" w:color="auto"/>
              <w:bottom w:val="single" w:sz="4" w:space="0" w:color="auto"/>
              <w:right w:val="single" w:sz="4" w:space="0" w:color="auto"/>
            </w:tcBorders>
          </w:tcPr>
          <w:p w14:paraId="155FEF14" w14:textId="74486C7A"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(3) Fără a aduce atingere prevederilor art. 126 - 128 cu scopul de a consolida stabilitatea și integritatea sistemului financiar, Banca Naţională a Moldovei poate schimba informaţii cu autorităţi sau organisme din Republica Moldova sau din alte state responsabile în temeiul legii, de  depistarea şi investigarea încălcărilor legislaţiei privind societăţile pe acțiuni și/sau privind prevenirea și combaterea spălării banilor și finanțării terorismului</w:t>
            </w:r>
          </w:p>
        </w:tc>
        <w:tc>
          <w:tcPr>
            <w:tcW w:w="470" w:type="pct"/>
            <w:tcBorders>
              <w:top w:val="single" w:sz="4" w:space="0" w:color="auto"/>
              <w:left w:val="single" w:sz="4" w:space="0" w:color="auto"/>
              <w:bottom w:val="single" w:sz="4" w:space="0" w:color="auto"/>
              <w:right w:val="single" w:sz="4" w:space="0" w:color="auto"/>
            </w:tcBorders>
          </w:tcPr>
          <w:p w14:paraId="27FA54B9" w14:textId="7F04963E" w:rsidR="00265766" w:rsidRPr="009E686F" w:rsidRDefault="00265766" w:rsidP="00265766">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46D3A4C1" w14:textId="35D42E20" w:rsidR="00265766" w:rsidRPr="009E686F" w:rsidRDefault="00265766" w:rsidP="00265766">
            <w:pPr>
              <w:spacing w:after="0"/>
              <w:jc w:val="both"/>
              <w:rPr>
                <w:rFonts w:ascii="Times New Roman" w:hAnsi="Times New Roman" w:cs="Times New Roman"/>
              </w:rPr>
            </w:pPr>
          </w:p>
        </w:tc>
      </w:tr>
      <w:tr w:rsidR="00265766" w:rsidRPr="009E686F" w14:paraId="18FDB022" w14:textId="77777777" w:rsidTr="00960C23">
        <w:tc>
          <w:tcPr>
            <w:tcW w:w="1890" w:type="pct"/>
            <w:tcBorders>
              <w:top w:val="single" w:sz="4" w:space="0" w:color="auto"/>
              <w:left w:val="single" w:sz="4" w:space="0" w:color="auto"/>
              <w:bottom w:val="single" w:sz="4" w:space="0" w:color="auto"/>
              <w:right w:val="single" w:sz="4" w:space="0" w:color="auto"/>
            </w:tcBorders>
          </w:tcPr>
          <w:p w14:paraId="15C5EC0A" w14:textId="77777777"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În astfel de cazuri, statele membre cer îndeplinirea cel puțin a următoarelor condiții:</w:t>
            </w:r>
          </w:p>
        </w:tc>
        <w:tc>
          <w:tcPr>
            <w:tcW w:w="1834" w:type="pct"/>
            <w:tcBorders>
              <w:top w:val="single" w:sz="4" w:space="0" w:color="auto"/>
              <w:left w:val="single" w:sz="4" w:space="0" w:color="auto"/>
              <w:bottom w:val="single" w:sz="4" w:space="0" w:color="auto"/>
              <w:right w:val="single" w:sz="4" w:space="0" w:color="auto"/>
            </w:tcBorders>
          </w:tcPr>
          <w:p w14:paraId="564B5865" w14:textId="77777777" w:rsidR="00265766" w:rsidRPr="009E686F" w:rsidRDefault="00265766" w:rsidP="00265766">
            <w:pPr>
              <w:spacing w:after="0"/>
              <w:jc w:val="both"/>
              <w:rPr>
                <w:rFonts w:ascii="Times New Roman" w:hAnsi="Times New Roman" w:cs="Times New Roman"/>
                <w:lang w:val="pt-BR"/>
              </w:rPr>
            </w:pPr>
            <w:r w:rsidRPr="009E686F">
              <w:rPr>
                <w:rFonts w:ascii="Times New Roman" w:hAnsi="Times New Roman" w:cs="Times New Roman"/>
                <w:lang w:val="pt-BR"/>
              </w:rPr>
              <w:t xml:space="preserve">(4) Schimbul de informaţii prevăzut la alin. (3) se realizează cu respectarea următoarelor condiţii: </w:t>
            </w:r>
          </w:p>
          <w:p w14:paraId="238AFF2C" w14:textId="77777777" w:rsidR="00265766" w:rsidRPr="009E686F" w:rsidRDefault="00265766" w:rsidP="00265766">
            <w:pPr>
              <w:spacing w:after="0"/>
              <w:jc w:val="both"/>
              <w:rPr>
                <w:rFonts w:ascii="Times New Roman" w:hAnsi="Times New Roman" w:cs="Times New Roman"/>
                <w:lang w:val="pt-BR"/>
              </w:rPr>
            </w:pPr>
          </w:p>
        </w:tc>
        <w:tc>
          <w:tcPr>
            <w:tcW w:w="470" w:type="pct"/>
            <w:tcBorders>
              <w:top w:val="single" w:sz="4" w:space="0" w:color="auto"/>
              <w:left w:val="single" w:sz="4" w:space="0" w:color="auto"/>
              <w:bottom w:val="single" w:sz="4" w:space="0" w:color="auto"/>
              <w:right w:val="single" w:sz="4" w:space="0" w:color="auto"/>
            </w:tcBorders>
          </w:tcPr>
          <w:p w14:paraId="5AF4FE25" w14:textId="6E04C13B" w:rsidR="00265766" w:rsidRPr="009E686F" w:rsidRDefault="00265766" w:rsidP="00265766">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6468BC7C" w14:textId="4991018B" w:rsidR="00265766" w:rsidRPr="009E686F" w:rsidRDefault="00265766" w:rsidP="00265766">
            <w:pPr>
              <w:spacing w:after="0"/>
              <w:jc w:val="both"/>
              <w:rPr>
                <w:rFonts w:ascii="Times New Roman" w:hAnsi="Times New Roman" w:cs="Times New Roman"/>
              </w:rPr>
            </w:pPr>
          </w:p>
        </w:tc>
      </w:tr>
      <w:tr w:rsidR="00265766" w:rsidRPr="009E686F" w14:paraId="1DEBE698" w14:textId="77777777" w:rsidTr="00960C23">
        <w:tc>
          <w:tcPr>
            <w:tcW w:w="1890" w:type="pct"/>
            <w:tcBorders>
              <w:top w:val="single" w:sz="4" w:space="0" w:color="auto"/>
              <w:left w:val="single" w:sz="4" w:space="0" w:color="auto"/>
              <w:bottom w:val="single" w:sz="4" w:space="0" w:color="auto"/>
              <w:right w:val="single" w:sz="4" w:space="0" w:color="auto"/>
            </w:tcBorders>
          </w:tcPr>
          <w:p w14:paraId="4F602020" w14:textId="5A3E59C3" w:rsidR="00265766" w:rsidRPr="009E686F" w:rsidRDefault="00265766" w:rsidP="00265766">
            <w:pPr>
              <w:spacing w:after="0"/>
              <w:jc w:val="both"/>
              <w:rPr>
                <w:rFonts w:ascii="Times New Roman" w:hAnsi="Times New Roman" w:cs="Times New Roman"/>
              </w:rPr>
            </w:pPr>
            <w:r w:rsidRPr="009E686F">
              <w:rPr>
                <w:rFonts w:ascii="Times New Roman" w:hAnsi="Times New Roman" w:cs="Times New Roman"/>
              </w:rPr>
              <w:t>(a) informațiile respective sunt schimbate în scopul îndeplinirii sarcinilor de detectare și investigare a încălcărilor aduse dreptului societăților comerciale;</w:t>
            </w:r>
          </w:p>
        </w:tc>
        <w:tc>
          <w:tcPr>
            <w:tcW w:w="1834" w:type="pct"/>
            <w:tcBorders>
              <w:top w:val="single" w:sz="4" w:space="0" w:color="auto"/>
              <w:left w:val="single" w:sz="4" w:space="0" w:color="auto"/>
              <w:bottom w:val="single" w:sz="4" w:space="0" w:color="auto"/>
              <w:right w:val="single" w:sz="4" w:space="0" w:color="auto"/>
            </w:tcBorders>
          </w:tcPr>
          <w:p w14:paraId="547E1FA4" w14:textId="06DE6CB9"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 xml:space="preserve">a) informațiile respective sunt schimbate în scopul îndeplinirii sarcinilor de depistare și investigare a încălcărilor aduse dreptului societăților comerciale; </w:t>
            </w:r>
          </w:p>
        </w:tc>
        <w:tc>
          <w:tcPr>
            <w:tcW w:w="470" w:type="pct"/>
            <w:tcBorders>
              <w:top w:val="single" w:sz="4" w:space="0" w:color="auto"/>
              <w:left w:val="single" w:sz="4" w:space="0" w:color="auto"/>
              <w:bottom w:val="single" w:sz="4" w:space="0" w:color="auto"/>
              <w:right w:val="single" w:sz="4" w:space="0" w:color="auto"/>
            </w:tcBorders>
          </w:tcPr>
          <w:p w14:paraId="7C5A24A3" w14:textId="4775E640" w:rsidR="00265766" w:rsidRPr="009E686F" w:rsidRDefault="00265766" w:rsidP="00265766">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0E991542" w14:textId="03C6CAAE" w:rsidR="00265766" w:rsidRPr="009E686F" w:rsidRDefault="00265766" w:rsidP="00265766">
            <w:pPr>
              <w:spacing w:after="0"/>
              <w:jc w:val="both"/>
              <w:rPr>
                <w:rFonts w:ascii="Times New Roman" w:hAnsi="Times New Roman" w:cs="Times New Roman"/>
              </w:rPr>
            </w:pPr>
          </w:p>
        </w:tc>
      </w:tr>
      <w:tr w:rsidR="00265766" w:rsidRPr="009E686F" w14:paraId="528C4A32" w14:textId="77777777" w:rsidTr="00960C23">
        <w:tc>
          <w:tcPr>
            <w:tcW w:w="1890" w:type="pct"/>
            <w:tcBorders>
              <w:top w:val="single" w:sz="4" w:space="0" w:color="auto"/>
              <w:left w:val="single" w:sz="4" w:space="0" w:color="auto"/>
              <w:bottom w:val="single" w:sz="4" w:space="0" w:color="auto"/>
              <w:right w:val="single" w:sz="4" w:space="0" w:color="auto"/>
            </w:tcBorders>
          </w:tcPr>
          <w:p w14:paraId="7CE45E0E" w14:textId="3465098F"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(b) informațiile primite fac obiectul cerințelor privind secretul profesional cel puțin echivalente cu cele menționate la articolul 53 alineatul (1);</w:t>
            </w:r>
          </w:p>
        </w:tc>
        <w:tc>
          <w:tcPr>
            <w:tcW w:w="1834" w:type="pct"/>
            <w:tcBorders>
              <w:top w:val="single" w:sz="4" w:space="0" w:color="auto"/>
              <w:left w:val="single" w:sz="4" w:space="0" w:color="auto"/>
              <w:bottom w:val="single" w:sz="4" w:space="0" w:color="auto"/>
              <w:right w:val="single" w:sz="4" w:space="0" w:color="auto"/>
            </w:tcBorders>
          </w:tcPr>
          <w:p w14:paraId="78AA43DE" w14:textId="730EEA10"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b) informaţiile primite de autoritățile sau organismele, prevăzute la alin. (3), din Republica Moldova sau din alte state membre, sunt supuse unor cerinţe de păstrare a secretului profesional, prevăzute de legislația națională, cel puțin echivalente celor prevăzute la art. 126;</w:t>
            </w:r>
          </w:p>
          <w:p w14:paraId="36FA9149" w14:textId="77777777" w:rsidR="00265766" w:rsidRPr="009E686F" w:rsidRDefault="00265766" w:rsidP="00265766">
            <w:pPr>
              <w:spacing w:after="0"/>
              <w:jc w:val="both"/>
              <w:rPr>
                <w:rFonts w:ascii="Times New Roman" w:hAnsi="Times New Roman" w:cs="Times New Roman"/>
                <w:lang w:val="it-CH"/>
              </w:rPr>
            </w:pPr>
          </w:p>
        </w:tc>
        <w:tc>
          <w:tcPr>
            <w:tcW w:w="470" w:type="pct"/>
            <w:tcBorders>
              <w:top w:val="single" w:sz="4" w:space="0" w:color="auto"/>
              <w:left w:val="single" w:sz="4" w:space="0" w:color="auto"/>
              <w:bottom w:val="single" w:sz="4" w:space="0" w:color="auto"/>
              <w:right w:val="single" w:sz="4" w:space="0" w:color="auto"/>
            </w:tcBorders>
          </w:tcPr>
          <w:p w14:paraId="111E18F8" w14:textId="1DFD9DBF" w:rsidR="00265766" w:rsidRPr="009E686F" w:rsidRDefault="00265766" w:rsidP="00265766">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742FF7A3" w14:textId="293C8098" w:rsidR="00265766" w:rsidRPr="009E686F" w:rsidRDefault="00265766" w:rsidP="00265766">
            <w:pPr>
              <w:spacing w:after="0"/>
              <w:jc w:val="both"/>
              <w:rPr>
                <w:rFonts w:ascii="Times New Roman" w:hAnsi="Times New Roman" w:cs="Times New Roman"/>
              </w:rPr>
            </w:pPr>
          </w:p>
        </w:tc>
      </w:tr>
      <w:tr w:rsidR="00265766" w:rsidRPr="009E686F" w14:paraId="638E0AAF" w14:textId="77777777" w:rsidTr="00960C23">
        <w:tc>
          <w:tcPr>
            <w:tcW w:w="1890" w:type="pct"/>
            <w:tcBorders>
              <w:top w:val="single" w:sz="4" w:space="0" w:color="auto"/>
              <w:left w:val="single" w:sz="4" w:space="0" w:color="auto"/>
              <w:bottom w:val="single" w:sz="4" w:space="0" w:color="auto"/>
              <w:right w:val="single" w:sz="4" w:space="0" w:color="auto"/>
            </w:tcBorders>
          </w:tcPr>
          <w:p w14:paraId="0FE4430E" w14:textId="1209924E" w:rsidR="00265766" w:rsidRPr="009E686F" w:rsidRDefault="00265766" w:rsidP="00265766">
            <w:pPr>
              <w:spacing w:after="0"/>
              <w:jc w:val="both"/>
              <w:rPr>
                <w:rFonts w:ascii="Times New Roman" w:hAnsi="Times New Roman" w:cs="Times New Roman"/>
              </w:rPr>
            </w:pPr>
            <w:r w:rsidRPr="009E686F">
              <w:rPr>
                <w:rFonts w:ascii="Times New Roman" w:hAnsi="Times New Roman" w:cs="Times New Roman"/>
              </w:rPr>
              <w:t>(c) în cazul în care informațiile provin dintr-un alt stat membru, acestea nu sunt divulgate fără acordul expres al autorităților competente care le-au furnizat și, după caz, doar în scopul pentru care autoritățile în cauză și-au dat acordul.</w:t>
            </w:r>
          </w:p>
        </w:tc>
        <w:tc>
          <w:tcPr>
            <w:tcW w:w="1834" w:type="pct"/>
            <w:tcBorders>
              <w:top w:val="single" w:sz="4" w:space="0" w:color="auto"/>
              <w:left w:val="single" w:sz="4" w:space="0" w:color="auto"/>
              <w:bottom w:val="single" w:sz="4" w:space="0" w:color="auto"/>
              <w:right w:val="single" w:sz="4" w:space="0" w:color="auto"/>
            </w:tcBorders>
          </w:tcPr>
          <w:p w14:paraId="1F8E1092" w14:textId="1976692D" w:rsidR="00265766" w:rsidRPr="009E686F" w:rsidRDefault="00265766" w:rsidP="00265766">
            <w:pPr>
              <w:spacing w:after="0"/>
              <w:jc w:val="both"/>
              <w:rPr>
                <w:rFonts w:ascii="Times New Roman" w:hAnsi="Times New Roman" w:cs="Times New Roman"/>
              </w:rPr>
            </w:pPr>
            <w:r w:rsidRPr="009E686F">
              <w:rPr>
                <w:rFonts w:ascii="Times New Roman" w:hAnsi="Times New Roman" w:cs="Times New Roman"/>
              </w:rPr>
              <w:t xml:space="preserve">c) în cazul în care informaţiile provin dintr-un alt stat </w:t>
            </w:r>
            <w:r w:rsidRPr="009E686F">
              <w:rPr>
                <w:rFonts w:ascii="Times New Roman" w:hAnsi="Times New Roman" w:cs="Times New Roman"/>
                <w:i/>
                <w:iCs/>
              </w:rPr>
              <w:t>membru</w:t>
            </w:r>
            <w:r w:rsidRPr="009E686F">
              <w:rPr>
                <w:rFonts w:ascii="Times New Roman" w:hAnsi="Times New Roman" w:cs="Times New Roman"/>
              </w:rPr>
              <w:t>, acestea nu sunt divulgate fără acordul expres al autorității competente care le-a furnizat, iar în unele cazuri,  doar în scopurile pentru care autoritatea în cauză și-a dat acordul.</w:t>
            </w:r>
          </w:p>
          <w:p w14:paraId="281E7E71" w14:textId="77777777" w:rsidR="00265766" w:rsidRPr="009E686F" w:rsidRDefault="00265766" w:rsidP="00265766">
            <w:pPr>
              <w:spacing w:after="0"/>
              <w:jc w:val="both"/>
              <w:rPr>
                <w:rFonts w:ascii="Times New Roman" w:hAnsi="Times New Roman" w:cs="Times New Roman"/>
              </w:rPr>
            </w:pPr>
          </w:p>
        </w:tc>
        <w:tc>
          <w:tcPr>
            <w:tcW w:w="470" w:type="pct"/>
            <w:tcBorders>
              <w:top w:val="single" w:sz="4" w:space="0" w:color="auto"/>
              <w:left w:val="single" w:sz="4" w:space="0" w:color="auto"/>
              <w:bottom w:val="single" w:sz="4" w:space="0" w:color="auto"/>
              <w:right w:val="single" w:sz="4" w:space="0" w:color="auto"/>
            </w:tcBorders>
          </w:tcPr>
          <w:p w14:paraId="7460E875" w14:textId="25996621" w:rsidR="00265766" w:rsidRPr="009E686F" w:rsidRDefault="00265766" w:rsidP="00265766">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6D7AD592" w14:textId="4AB09C17" w:rsidR="00265766" w:rsidRPr="009E686F" w:rsidRDefault="00265766" w:rsidP="00265766">
            <w:pPr>
              <w:spacing w:after="0"/>
              <w:jc w:val="both"/>
              <w:rPr>
                <w:rFonts w:ascii="Times New Roman" w:hAnsi="Times New Roman" w:cs="Times New Roman"/>
              </w:rPr>
            </w:pPr>
          </w:p>
        </w:tc>
      </w:tr>
      <w:tr w:rsidR="00265766" w:rsidRPr="009E686F" w14:paraId="296A087C" w14:textId="77777777" w:rsidTr="00960C23">
        <w:tc>
          <w:tcPr>
            <w:tcW w:w="1890" w:type="pct"/>
            <w:tcBorders>
              <w:top w:val="single" w:sz="4" w:space="0" w:color="auto"/>
              <w:left w:val="single" w:sz="4" w:space="0" w:color="auto"/>
              <w:bottom w:val="single" w:sz="4" w:space="0" w:color="auto"/>
              <w:right w:val="single" w:sz="4" w:space="0" w:color="auto"/>
            </w:tcBorders>
          </w:tcPr>
          <w:p w14:paraId="43789023" w14:textId="18BFCE08" w:rsidR="00265766" w:rsidRPr="009E686F" w:rsidRDefault="00265766" w:rsidP="00265766">
            <w:pPr>
              <w:spacing w:after="0"/>
              <w:jc w:val="both"/>
              <w:rPr>
                <w:rFonts w:ascii="Times New Roman" w:hAnsi="Times New Roman" w:cs="Times New Roman"/>
              </w:rPr>
            </w:pPr>
            <w:r w:rsidRPr="009E686F">
              <w:rPr>
                <w:rFonts w:ascii="Times New Roman" w:hAnsi="Times New Roman" w:cs="Times New Roman"/>
              </w:rPr>
              <w:t xml:space="preserve">(4) În cazul în care autoritățile sau organismele menționate la alineatul (1) își îndeplinesc sarcina de depistare sau investigare cu ajutorul unor persoane, date fiind competențele specifice ale acestora, care sunt numite în acest scop și care nu sunt angajate </w:t>
            </w:r>
            <w:r w:rsidRPr="009E686F">
              <w:rPr>
                <w:rFonts w:ascii="Times New Roman" w:hAnsi="Times New Roman" w:cs="Times New Roman"/>
              </w:rPr>
              <w:lastRenderedPageBreak/>
              <w:t>în sectorul public, un stat membru poate extinde posibilitatea de a efectua schimburile de informații prevăzute la alineatul (3) primul paragraf și asupra unor asemenea persoane, în condițiile prevăzute la alineatul (3) al doilea paragraf.</w:t>
            </w:r>
          </w:p>
        </w:tc>
        <w:tc>
          <w:tcPr>
            <w:tcW w:w="1834" w:type="pct"/>
            <w:tcBorders>
              <w:top w:val="single" w:sz="4" w:space="0" w:color="auto"/>
              <w:left w:val="single" w:sz="4" w:space="0" w:color="auto"/>
              <w:bottom w:val="single" w:sz="4" w:space="0" w:color="auto"/>
              <w:right w:val="single" w:sz="4" w:space="0" w:color="auto"/>
            </w:tcBorders>
          </w:tcPr>
          <w:p w14:paraId="0B15CE95" w14:textId="3A90136C" w:rsidR="00265766" w:rsidRPr="009E686F" w:rsidRDefault="00265766" w:rsidP="00265766">
            <w:pPr>
              <w:spacing w:after="0"/>
              <w:jc w:val="both"/>
              <w:rPr>
                <w:rFonts w:ascii="Times New Roman" w:hAnsi="Times New Roman" w:cs="Times New Roman"/>
                <w:b/>
                <w:lang w:val="it-CH"/>
              </w:rPr>
            </w:pPr>
            <w:r w:rsidRPr="009E686F">
              <w:rPr>
                <w:rFonts w:ascii="Times New Roman" w:hAnsi="Times New Roman" w:cs="Times New Roman"/>
                <w:lang w:val="it-CH"/>
              </w:rPr>
              <w:lastRenderedPageBreak/>
              <w:t xml:space="preserve">(5) Autorităţile sau organismele din Republica Moldova având competenţele prevăzute la alin. (3) pot schimba informaţii cu autorităţile competente din alte state </w:t>
            </w:r>
            <w:r w:rsidRPr="009E686F">
              <w:rPr>
                <w:rFonts w:ascii="Times New Roman" w:hAnsi="Times New Roman" w:cs="Times New Roman"/>
                <w:i/>
                <w:iCs/>
                <w:lang w:val="it-CH"/>
              </w:rPr>
              <w:t>membre</w:t>
            </w:r>
            <w:r w:rsidRPr="009E686F">
              <w:rPr>
                <w:rFonts w:ascii="Times New Roman" w:hAnsi="Times New Roman" w:cs="Times New Roman"/>
                <w:lang w:val="it-CH"/>
              </w:rPr>
              <w:t xml:space="preserve">, cu respectarea condiţiilor prevăzute la alin. (4), inclusiv în </w:t>
            </w:r>
            <w:r w:rsidRPr="009E686F">
              <w:rPr>
                <w:rFonts w:ascii="Times New Roman" w:hAnsi="Times New Roman" w:cs="Times New Roman"/>
                <w:lang w:val="it-CH"/>
              </w:rPr>
              <w:lastRenderedPageBreak/>
              <w:t>situaţia în care aceste autorităţi sau organisme desfăşoară activitatea de detectare şi investigare cu ajutorul unor persoane anume desemnate în acest scop, care  nu sunt funcționari publici.</w:t>
            </w:r>
          </w:p>
        </w:tc>
        <w:tc>
          <w:tcPr>
            <w:tcW w:w="470" w:type="pct"/>
            <w:tcBorders>
              <w:top w:val="single" w:sz="4" w:space="0" w:color="auto"/>
              <w:left w:val="single" w:sz="4" w:space="0" w:color="auto"/>
              <w:bottom w:val="single" w:sz="4" w:space="0" w:color="auto"/>
              <w:right w:val="single" w:sz="4" w:space="0" w:color="auto"/>
            </w:tcBorders>
          </w:tcPr>
          <w:p w14:paraId="7EBF7917" w14:textId="08EFCD3E" w:rsidR="00265766" w:rsidRPr="009E686F" w:rsidRDefault="00265766" w:rsidP="00265766">
            <w:pPr>
              <w:jc w:val="both"/>
              <w:rPr>
                <w:rFonts w:ascii="Times New Roman" w:hAnsi="Times New Roman" w:cs="Times New Roman"/>
              </w:rPr>
            </w:pPr>
            <w:r w:rsidRPr="009E686F">
              <w:rPr>
                <w:rFonts w:ascii="Times New Roman" w:hAnsi="Times New Roman" w:cs="Times New Roman"/>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30F477A3" w14:textId="44C2C2FF" w:rsidR="00265766" w:rsidRPr="009E686F" w:rsidRDefault="00265766" w:rsidP="00265766">
            <w:pPr>
              <w:spacing w:after="0"/>
              <w:jc w:val="both"/>
              <w:rPr>
                <w:rFonts w:ascii="Times New Roman" w:hAnsi="Times New Roman" w:cs="Times New Roman"/>
              </w:rPr>
            </w:pPr>
          </w:p>
        </w:tc>
      </w:tr>
      <w:tr w:rsidR="00265766" w:rsidRPr="009E686F" w14:paraId="3A2FEB5B" w14:textId="77777777" w:rsidTr="00960C23">
        <w:tc>
          <w:tcPr>
            <w:tcW w:w="1890" w:type="pct"/>
            <w:tcBorders>
              <w:top w:val="single" w:sz="4" w:space="0" w:color="auto"/>
              <w:left w:val="single" w:sz="4" w:space="0" w:color="auto"/>
              <w:bottom w:val="single" w:sz="4" w:space="0" w:color="auto"/>
              <w:right w:val="single" w:sz="4" w:space="0" w:color="auto"/>
            </w:tcBorders>
          </w:tcPr>
          <w:p w14:paraId="60F13859" w14:textId="768DA8F0"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(5) Autoritățile competente comunică ABE denumirile autorităților sau ale organismelor care pot primi informații în temeiul prezentului articol.</w:t>
            </w:r>
          </w:p>
        </w:tc>
        <w:tc>
          <w:tcPr>
            <w:tcW w:w="1834" w:type="pct"/>
            <w:tcBorders>
              <w:top w:val="single" w:sz="4" w:space="0" w:color="auto"/>
              <w:left w:val="single" w:sz="4" w:space="0" w:color="auto"/>
              <w:bottom w:val="single" w:sz="4" w:space="0" w:color="auto"/>
              <w:right w:val="single" w:sz="4" w:space="0" w:color="auto"/>
            </w:tcBorders>
          </w:tcPr>
          <w:p w14:paraId="52D58D42" w14:textId="48051D04" w:rsidR="00265766" w:rsidRPr="009E686F" w:rsidRDefault="00265766" w:rsidP="00265766">
            <w:pPr>
              <w:spacing w:after="0"/>
              <w:jc w:val="both"/>
              <w:rPr>
                <w:rFonts w:ascii="Times New Roman" w:hAnsi="Times New Roman" w:cs="Times New Roman"/>
                <w:b/>
                <w:i/>
                <w:iCs/>
                <w:lang w:val="it-CH"/>
              </w:rPr>
            </w:pPr>
            <w:r w:rsidRPr="009E686F">
              <w:rPr>
                <w:rFonts w:ascii="Times New Roman" w:eastAsia="Aptos" w:hAnsi="Times New Roman" w:cs="Times New Roman"/>
                <w:i/>
                <w:iCs/>
                <w:kern w:val="2"/>
                <w:lang w:val="ro-MD"/>
              </w:rPr>
              <w:t>(7) Banca Națională a Moldova comunică Autorității Bancare Europene denumirile autorităților sau ale organismelor care pot primi informațiile conform prezentului articol.</w:t>
            </w:r>
          </w:p>
        </w:tc>
        <w:tc>
          <w:tcPr>
            <w:tcW w:w="470" w:type="pct"/>
            <w:tcBorders>
              <w:top w:val="single" w:sz="4" w:space="0" w:color="auto"/>
              <w:left w:val="single" w:sz="4" w:space="0" w:color="auto"/>
              <w:bottom w:val="single" w:sz="4" w:space="0" w:color="auto"/>
              <w:right w:val="single" w:sz="4" w:space="0" w:color="auto"/>
            </w:tcBorders>
          </w:tcPr>
          <w:p w14:paraId="06AA622F" w14:textId="44E39910" w:rsidR="00265766" w:rsidRPr="009E686F" w:rsidRDefault="00233F04" w:rsidP="00265766">
            <w:pPr>
              <w:jc w:val="both"/>
              <w:rPr>
                <w:rFonts w:ascii="Times New Roman" w:hAnsi="Times New Roman" w:cs="Times New Roman"/>
                <w:lang w:val="it-IT"/>
              </w:rPr>
            </w:pPr>
            <w:r w:rsidRPr="009E686F">
              <w:rPr>
                <w:rFonts w:ascii="Times New Roman" w:hAnsi="Times New Roman" w:cs="Times New Roman"/>
                <w:lang w:val="it-IT"/>
              </w:rPr>
              <w:t>Compatibil</w:t>
            </w:r>
          </w:p>
        </w:tc>
        <w:tc>
          <w:tcPr>
            <w:tcW w:w="806" w:type="pct"/>
            <w:tcBorders>
              <w:top w:val="single" w:sz="4" w:space="0" w:color="auto"/>
              <w:left w:val="single" w:sz="4" w:space="0" w:color="auto"/>
              <w:bottom w:val="single" w:sz="4" w:space="0" w:color="auto"/>
              <w:right w:val="single" w:sz="4" w:space="0" w:color="auto"/>
            </w:tcBorders>
          </w:tcPr>
          <w:p w14:paraId="34468C64" w14:textId="5E249767" w:rsidR="00265766" w:rsidRPr="009E686F" w:rsidRDefault="00233F04" w:rsidP="00265766">
            <w:pPr>
              <w:spacing w:after="0"/>
              <w:jc w:val="both"/>
              <w:rPr>
                <w:rFonts w:ascii="Times New Roman" w:hAnsi="Times New Roman" w:cs="Times New Roman"/>
                <w:lang w:val="it-IT"/>
              </w:rPr>
            </w:pPr>
            <w:r w:rsidRPr="009E686F">
              <w:rPr>
                <w:rFonts w:ascii="Times New Roman" w:hAnsi="Times New Roman" w:cs="Times New Roman"/>
                <w:lang w:val="ro-MD"/>
              </w:rPr>
              <w:t>În vigoare – data aderării.</w:t>
            </w:r>
          </w:p>
        </w:tc>
      </w:tr>
      <w:tr w:rsidR="00265766" w:rsidRPr="009E686F" w14:paraId="33B4DA11" w14:textId="77777777" w:rsidTr="00960C23">
        <w:tc>
          <w:tcPr>
            <w:tcW w:w="1890" w:type="pct"/>
            <w:tcBorders>
              <w:top w:val="single" w:sz="4" w:space="0" w:color="auto"/>
              <w:left w:val="single" w:sz="4" w:space="0" w:color="auto"/>
              <w:bottom w:val="single" w:sz="4" w:space="0" w:color="auto"/>
              <w:right w:val="single" w:sz="4" w:space="0" w:color="auto"/>
            </w:tcBorders>
          </w:tcPr>
          <w:p w14:paraId="4486388F" w14:textId="5F16B533" w:rsidR="00265766" w:rsidRPr="009E686F" w:rsidRDefault="00265766" w:rsidP="00265766">
            <w:pPr>
              <w:spacing w:after="0"/>
              <w:jc w:val="both"/>
              <w:rPr>
                <w:rFonts w:ascii="Times New Roman" w:hAnsi="Times New Roman" w:cs="Times New Roman"/>
              </w:rPr>
            </w:pPr>
            <w:r w:rsidRPr="009E686F">
              <w:rPr>
                <w:rFonts w:ascii="Times New Roman" w:hAnsi="Times New Roman" w:cs="Times New Roman"/>
              </w:rPr>
              <w:t>(6) Pentru a pune în aplicare dispozițiile alineatului (4), autoritățile sau organismele menționate la alineatul (3) comunică autorităților competente care au furnizat informațiile, numele și responsabilitățile exacte ale persoanelor cărora urmează să le fie trimise informațiile respective.</w:t>
            </w:r>
          </w:p>
        </w:tc>
        <w:tc>
          <w:tcPr>
            <w:tcW w:w="1834" w:type="pct"/>
            <w:tcBorders>
              <w:top w:val="single" w:sz="4" w:space="0" w:color="auto"/>
              <w:left w:val="single" w:sz="4" w:space="0" w:color="auto"/>
              <w:bottom w:val="single" w:sz="4" w:space="0" w:color="auto"/>
              <w:right w:val="single" w:sz="4" w:space="0" w:color="auto"/>
            </w:tcBorders>
          </w:tcPr>
          <w:p w14:paraId="38FCE467" w14:textId="77777777" w:rsidR="00265766" w:rsidRPr="009E686F" w:rsidRDefault="00265766" w:rsidP="00265766">
            <w:pPr>
              <w:spacing w:after="0"/>
              <w:jc w:val="both"/>
              <w:rPr>
                <w:rFonts w:ascii="Times New Roman" w:hAnsi="Times New Roman" w:cs="Times New Roman"/>
                <w:b/>
                <w:lang w:val="it-CH"/>
              </w:rPr>
            </w:pPr>
            <w:r w:rsidRPr="009E686F">
              <w:rPr>
                <w:rFonts w:ascii="Times New Roman" w:hAnsi="Times New Roman" w:cs="Times New Roman"/>
                <w:lang w:val="it-CH"/>
              </w:rPr>
              <w:t>(6) Autorităţile sau organismele din Republica Moldova, prevăzute la alin. (3) comunică autorităţilor competente care le furnizează informaţii, numele şi responsabilităţile precis determinate ale persoanelor cărora li se transmit respectivele informaţii.</w:t>
            </w:r>
          </w:p>
        </w:tc>
        <w:tc>
          <w:tcPr>
            <w:tcW w:w="470" w:type="pct"/>
            <w:tcBorders>
              <w:top w:val="single" w:sz="4" w:space="0" w:color="auto"/>
              <w:left w:val="single" w:sz="4" w:space="0" w:color="auto"/>
              <w:bottom w:val="single" w:sz="4" w:space="0" w:color="auto"/>
              <w:right w:val="single" w:sz="4" w:space="0" w:color="auto"/>
            </w:tcBorders>
          </w:tcPr>
          <w:p w14:paraId="0275187A" w14:textId="4A6C98EE" w:rsidR="00265766" w:rsidRPr="009E686F" w:rsidRDefault="00265766" w:rsidP="00265766">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26D439EA" w14:textId="518550AF" w:rsidR="00265766" w:rsidRPr="009E686F" w:rsidRDefault="00265766" w:rsidP="00265766">
            <w:pPr>
              <w:spacing w:after="0"/>
              <w:jc w:val="both"/>
              <w:rPr>
                <w:rFonts w:ascii="Times New Roman" w:hAnsi="Times New Roman" w:cs="Times New Roman"/>
              </w:rPr>
            </w:pPr>
          </w:p>
        </w:tc>
      </w:tr>
      <w:tr w:rsidR="00265766" w:rsidRPr="009E686F" w14:paraId="41942803" w14:textId="77777777" w:rsidTr="00960C23">
        <w:tc>
          <w:tcPr>
            <w:tcW w:w="1890" w:type="pct"/>
            <w:tcBorders>
              <w:top w:val="single" w:sz="4" w:space="0" w:color="auto"/>
              <w:left w:val="single" w:sz="4" w:space="0" w:color="auto"/>
              <w:bottom w:val="single" w:sz="4" w:space="0" w:color="auto"/>
              <w:right w:val="single" w:sz="4" w:space="0" w:color="auto"/>
            </w:tcBorders>
          </w:tcPr>
          <w:p w14:paraId="1D59F4D9" w14:textId="77777777" w:rsidR="00265766" w:rsidRPr="009E686F" w:rsidRDefault="00265766" w:rsidP="00265766">
            <w:pPr>
              <w:spacing w:after="0"/>
              <w:jc w:val="both"/>
              <w:rPr>
                <w:rFonts w:ascii="Times New Roman" w:hAnsi="Times New Roman" w:cs="Times New Roman"/>
                <w:i/>
                <w:iCs/>
                <w:lang w:val="pt-BR"/>
              </w:rPr>
            </w:pPr>
            <w:r w:rsidRPr="009E686F">
              <w:rPr>
                <w:rFonts w:ascii="Times New Roman" w:hAnsi="Times New Roman" w:cs="Times New Roman"/>
                <w:i/>
                <w:iCs/>
                <w:lang w:val="pt-BR"/>
              </w:rPr>
              <w:t xml:space="preserve">Articolul 58 </w:t>
            </w:r>
          </w:p>
          <w:p w14:paraId="7B5BF2E6" w14:textId="2FBA68F9" w:rsidR="00265766" w:rsidRPr="009E686F" w:rsidRDefault="00265766" w:rsidP="00265766">
            <w:pPr>
              <w:spacing w:after="0"/>
              <w:jc w:val="both"/>
              <w:rPr>
                <w:rFonts w:ascii="Times New Roman" w:hAnsi="Times New Roman" w:cs="Times New Roman"/>
                <w:lang w:val="pt-BR"/>
              </w:rPr>
            </w:pPr>
            <w:r w:rsidRPr="009E686F">
              <w:rPr>
                <w:rFonts w:ascii="Times New Roman" w:hAnsi="Times New Roman" w:cs="Times New Roman"/>
                <w:lang w:val="pt-BR"/>
              </w:rPr>
              <w:t>Transmiterea de informații privind aspectele monetare, protecția depozitelor, aspectele sistemice și aspectele legate de plăți</w:t>
            </w:r>
          </w:p>
        </w:tc>
        <w:tc>
          <w:tcPr>
            <w:tcW w:w="1834" w:type="pct"/>
            <w:tcBorders>
              <w:top w:val="single" w:sz="4" w:space="0" w:color="auto"/>
              <w:left w:val="single" w:sz="4" w:space="0" w:color="auto"/>
              <w:bottom w:val="single" w:sz="4" w:space="0" w:color="auto"/>
              <w:right w:val="single" w:sz="4" w:space="0" w:color="auto"/>
            </w:tcBorders>
          </w:tcPr>
          <w:p w14:paraId="1F70F983" w14:textId="77777777" w:rsidR="00265766" w:rsidRPr="009E686F" w:rsidRDefault="00265766" w:rsidP="00265766">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b/>
                <w:bCs/>
                <w:kern w:val="2"/>
                <w:lang w:val="ro-MD"/>
              </w:rPr>
              <w:t>Articolul 131.</w:t>
            </w:r>
            <w:r w:rsidRPr="009E686F">
              <w:rPr>
                <w:rFonts w:ascii="Times New Roman" w:eastAsia="Aptos" w:hAnsi="Times New Roman" w:cs="Times New Roman"/>
                <w:kern w:val="2"/>
                <w:lang w:val="ro-MD"/>
              </w:rPr>
              <w:t xml:space="preserve"> Transmiterea de informaţii relevante sub aspect monetar, al protecţiei depozitelor, al riscului sistemic sau al supravegherii plăţilor</w:t>
            </w:r>
          </w:p>
          <w:p w14:paraId="52771B04" w14:textId="1073B890" w:rsidR="00265766" w:rsidRPr="009E686F" w:rsidRDefault="00265766" w:rsidP="00265766">
            <w:pPr>
              <w:spacing w:after="0"/>
              <w:jc w:val="both"/>
              <w:rPr>
                <w:rFonts w:ascii="Times New Roman" w:hAnsi="Times New Roman" w:cs="Times New Roman"/>
                <w:lang w:val="it-CH"/>
              </w:rPr>
            </w:pPr>
          </w:p>
        </w:tc>
        <w:tc>
          <w:tcPr>
            <w:tcW w:w="470" w:type="pct"/>
            <w:tcBorders>
              <w:top w:val="single" w:sz="4" w:space="0" w:color="auto"/>
              <w:left w:val="single" w:sz="4" w:space="0" w:color="auto"/>
              <w:bottom w:val="single" w:sz="4" w:space="0" w:color="auto"/>
              <w:right w:val="single" w:sz="4" w:space="0" w:color="auto"/>
            </w:tcBorders>
          </w:tcPr>
          <w:p w14:paraId="58E03911" w14:textId="4CA65DD4" w:rsidR="00265766" w:rsidRPr="009E686F" w:rsidRDefault="00265766" w:rsidP="00265766">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448F387C" w14:textId="6138BE0F" w:rsidR="00265766" w:rsidRPr="009E686F" w:rsidRDefault="00265766" w:rsidP="00265766">
            <w:pPr>
              <w:spacing w:after="0"/>
              <w:jc w:val="both"/>
              <w:rPr>
                <w:rFonts w:ascii="Times New Roman" w:hAnsi="Times New Roman" w:cs="Times New Roman"/>
              </w:rPr>
            </w:pPr>
          </w:p>
        </w:tc>
      </w:tr>
      <w:tr w:rsidR="00265766" w:rsidRPr="009E686F" w14:paraId="3088CD39" w14:textId="77777777" w:rsidTr="00960C23">
        <w:tc>
          <w:tcPr>
            <w:tcW w:w="1890" w:type="pct"/>
            <w:tcBorders>
              <w:top w:val="single" w:sz="4" w:space="0" w:color="auto"/>
              <w:left w:val="single" w:sz="4" w:space="0" w:color="auto"/>
              <w:bottom w:val="single" w:sz="4" w:space="0" w:color="auto"/>
              <w:right w:val="single" w:sz="4" w:space="0" w:color="auto"/>
            </w:tcBorders>
          </w:tcPr>
          <w:p w14:paraId="2084507D" w14:textId="37C46764"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(1) Nicio dispoziție din prezentul capitolul nu împiedică, o autoritate competentă să transmită entităților de mai jos informațiile de care acestea au nevoie în îndeplinirea responsabilităților lor:</w:t>
            </w:r>
          </w:p>
        </w:tc>
        <w:tc>
          <w:tcPr>
            <w:tcW w:w="1834" w:type="pct"/>
            <w:tcBorders>
              <w:top w:val="single" w:sz="4" w:space="0" w:color="auto"/>
              <w:left w:val="single" w:sz="4" w:space="0" w:color="auto"/>
              <w:bottom w:val="single" w:sz="4" w:space="0" w:color="auto"/>
              <w:right w:val="single" w:sz="4" w:space="0" w:color="auto"/>
            </w:tcBorders>
          </w:tcPr>
          <w:p w14:paraId="06D51CA8" w14:textId="427C2ABA"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(1) Prevederile prezentului capitolul nu împiedică Banca Națională a Moldovei, în calitate de autoritate competentă, să transmită, autorităților competente și organismelor de mai jos informațiile destinate îndeplinirii atribuţiilor acestora:</w:t>
            </w:r>
          </w:p>
        </w:tc>
        <w:tc>
          <w:tcPr>
            <w:tcW w:w="470" w:type="pct"/>
            <w:tcBorders>
              <w:top w:val="single" w:sz="4" w:space="0" w:color="auto"/>
              <w:left w:val="single" w:sz="4" w:space="0" w:color="auto"/>
              <w:bottom w:val="single" w:sz="4" w:space="0" w:color="auto"/>
              <w:right w:val="single" w:sz="4" w:space="0" w:color="auto"/>
            </w:tcBorders>
          </w:tcPr>
          <w:p w14:paraId="112D82AA" w14:textId="3DFBE079" w:rsidR="00265766" w:rsidRPr="009E686F" w:rsidRDefault="00265766" w:rsidP="00265766">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7A765017" w14:textId="2CFA1612" w:rsidR="00265766" w:rsidRPr="009E686F" w:rsidRDefault="00265766" w:rsidP="00265766">
            <w:pPr>
              <w:spacing w:after="0"/>
              <w:jc w:val="both"/>
              <w:rPr>
                <w:rFonts w:ascii="Times New Roman" w:hAnsi="Times New Roman" w:cs="Times New Roman"/>
              </w:rPr>
            </w:pPr>
          </w:p>
        </w:tc>
      </w:tr>
      <w:tr w:rsidR="00265766" w:rsidRPr="009E686F" w14:paraId="6E14DF9D" w14:textId="77777777" w:rsidTr="00960C23">
        <w:tc>
          <w:tcPr>
            <w:tcW w:w="1890" w:type="pct"/>
            <w:tcBorders>
              <w:top w:val="single" w:sz="4" w:space="0" w:color="auto"/>
              <w:left w:val="single" w:sz="4" w:space="0" w:color="auto"/>
              <w:bottom w:val="single" w:sz="4" w:space="0" w:color="auto"/>
              <w:right w:val="single" w:sz="4" w:space="0" w:color="auto"/>
            </w:tcBorders>
          </w:tcPr>
          <w:p w14:paraId="2C811588" w14:textId="3160FE06"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(a) băncile centrale din cadrul SEBC și alte organisme cu o funcție similară, în calitatea lor de autorități monetare, în cazul în care aceste informații sunt relevante pentru exercitarea sarcinilor statutare care le revin, inclusiv coordonarea politicii monetare și furnizarea de lichidități aferente acestei politici, supravegherea sistemelor de plată, de compensare și de decontare și menținerea stabilității sistemului financiar;</w:t>
            </w:r>
          </w:p>
        </w:tc>
        <w:tc>
          <w:tcPr>
            <w:tcW w:w="1834" w:type="pct"/>
            <w:tcBorders>
              <w:top w:val="single" w:sz="4" w:space="0" w:color="auto"/>
              <w:left w:val="single" w:sz="4" w:space="0" w:color="auto"/>
              <w:bottom w:val="single" w:sz="4" w:space="0" w:color="auto"/>
              <w:right w:val="single" w:sz="4" w:space="0" w:color="auto"/>
            </w:tcBorders>
          </w:tcPr>
          <w:p w14:paraId="49F53CDB" w14:textId="083036ED" w:rsidR="00265766" w:rsidRPr="009E686F" w:rsidRDefault="00265766" w:rsidP="00265766">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 xml:space="preserve">a) băncilor centrale ale altor state, </w:t>
            </w:r>
            <w:r w:rsidRPr="009E686F">
              <w:rPr>
                <w:rFonts w:ascii="Times New Roman" w:eastAsia="Aptos" w:hAnsi="Times New Roman" w:cs="Times New Roman"/>
                <w:i/>
                <w:iCs/>
                <w:kern w:val="2"/>
                <w:lang w:val="ro-MD"/>
              </w:rPr>
              <w:t>inclusiv din cadrul SEBC</w:t>
            </w:r>
            <w:r w:rsidRPr="009E686F">
              <w:rPr>
                <w:rFonts w:ascii="Times New Roman" w:eastAsia="Aptos" w:hAnsi="Times New Roman" w:cs="Times New Roman"/>
                <w:kern w:val="2"/>
                <w:lang w:val="ro-MD"/>
              </w:rPr>
              <w:t xml:space="preserve"> şi altor organisme cu funcţii similare, în calitate de autorităţi monetare, dacă aceste informaţii sînt relevante pentru exercitarea atribuţiilor statutare care le revin, inclusiv coordonarea politicii monetare şi furnizarea de lichidităţi, supravegherea sistemelor de plăţi, a sistemelor de clearing şi decontare şi menţinerea stabilităţii sistemului financiar;</w:t>
            </w:r>
          </w:p>
          <w:p w14:paraId="4DB3EF56" w14:textId="3AA00883" w:rsidR="00265766" w:rsidRPr="009E686F" w:rsidRDefault="00265766" w:rsidP="00265766">
            <w:pPr>
              <w:spacing w:after="0"/>
              <w:jc w:val="both"/>
              <w:rPr>
                <w:rFonts w:ascii="Times New Roman" w:hAnsi="Times New Roman" w:cs="Times New Roman"/>
                <w:lang w:val="it-CH"/>
              </w:rPr>
            </w:pPr>
          </w:p>
        </w:tc>
        <w:tc>
          <w:tcPr>
            <w:tcW w:w="470" w:type="pct"/>
            <w:tcBorders>
              <w:top w:val="single" w:sz="4" w:space="0" w:color="auto"/>
              <w:left w:val="single" w:sz="4" w:space="0" w:color="auto"/>
              <w:bottom w:val="single" w:sz="4" w:space="0" w:color="auto"/>
              <w:right w:val="single" w:sz="4" w:space="0" w:color="auto"/>
            </w:tcBorders>
          </w:tcPr>
          <w:p w14:paraId="36CA354C" w14:textId="02DF52CF" w:rsidR="00265766" w:rsidRPr="009E686F" w:rsidRDefault="00265766" w:rsidP="00265766">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0D2E0577" w14:textId="6C9690A2" w:rsidR="00265766" w:rsidRPr="009E686F" w:rsidRDefault="00233F04" w:rsidP="00265766">
            <w:pPr>
              <w:spacing w:after="0"/>
              <w:jc w:val="both"/>
              <w:rPr>
                <w:rFonts w:ascii="Times New Roman" w:hAnsi="Times New Roman" w:cs="Times New Roman"/>
              </w:rPr>
            </w:pPr>
            <w:r w:rsidRPr="009E686F">
              <w:rPr>
                <w:rFonts w:ascii="Times New Roman" w:hAnsi="Times New Roman" w:cs="Times New Roman"/>
                <w:lang w:val="ro-MD"/>
              </w:rPr>
              <w:t>În vigoare – data aderării.</w:t>
            </w:r>
          </w:p>
        </w:tc>
      </w:tr>
      <w:tr w:rsidR="00265766" w:rsidRPr="009E686F" w14:paraId="19D5541B" w14:textId="77777777" w:rsidTr="00960C23">
        <w:tc>
          <w:tcPr>
            <w:tcW w:w="1890" w:type="pct"/>
            <w:tcBorders>
              <w:top w:val="single" w:sz="4" w:space="0" w:color="auto"/>
              <w:left w:val="single" w:sz="4" w:space="0" w:color="auto"/>
              <w:bottom w:val="single" w:sz="4" w:space="0" w:color="auto"/>
              <w:right w:val="single" w:sz="4" w:space="0" w:color="auto"/>
            </w:tcBorders>
          </w:tcPr>
          <w:p w14:paraId="16B98DF8" w14:textId="11337FA1" w:rsidR="00265766" w:rsidRPr="009E686F" w:rsidRDefault="00265766" w:rsidP="00265766">
            <w:pPr>
              <w:spacing w:after="0"/>
              <w:jc w:val="both"/>
              <w:rPr>
                <w:rFonts w:ascii="Times New Roman" w:hAnsi="Times New Roman" w:cs="Times New Roman"/>
              </w:rPr>
            </w:pPr>
            <w:r w:rsidRPr="009E686F">
              <w:rPr>
                <w:rFonts w:ascii="Times New Roman" w:hAnsi="Times New Roman" w:cs="Times New Roman"/>
              </w:rPr>
              <w:lastRenderedPageBreak/>
              <w:t>(b) sistemele de protecție contractuală sau instituțională astfel cum sunt menționate la articolul 113 alineatul (7) din Regulamentul (UE) nr. 575/2013;</w:t>
            </w:r>
          </w:p>
        </w:tc>
        <w:tc>
          <w:tcPr>
            <w:tcW w:w="1834" w:type="pct"/>
            <w:tcBorders>
              <w:top w:val="single" w:sz="4" w:space="0" w:color="auto"/>
              <w:left w:val="single" w:sz="4" w:space="0" w:color="auto"/>
              <w:bottom w:val="single" w:sz="4" w:space="0" w:color="auto"/>
              <w:right w:val="single" w:sz="4" w:space="0" w:color="auto"/>
            </w:tcBorders>
          </w:tcPr>
          <w:p w14:paraId="6B410BEC" w14:textId="77777777" w:rsidR="00265766" w:rsidRPr="009E686F" w:rsidRDefault="00265766" w:rsidP="00265766">
            <w:pPr>
              <w:spacing w:after="0"/>
              <w:jc w:val="both"/>
              <w:rPr>
                <w:rFonts w:ascii="Times New Roman" w:hAnsi="Times New Roman" w:cs="Times New Roman"/>
              </w:rPr>
            </w:pPr>
            <w:r w:rsidRPr="009E686F">
              <w:rPr>
                <w:rFonts w:ascii="Times New Roman" w:hAnsi="Times New Roman" w:cs="Times New Roman"/>
                <w:lang w:val="pt-BR"/>
              </w:rPr>
              <w:t xml:space="preserve">b) sistemelor de protecţie contractuală sau instituţională, astfel cum sunt prevăzute la art. 129 alin. </w:t>
            </w:r>
            <w:r w:rsidRPr="009E686F">
              <w:rPr>
                <w:rFonts w:ascii="Times New Roman" w:hAnsi="Times New Roman" w:cs="Times New Roman"/>
              </w:rPr>
              <w:t>(1) lit. d);</w:t>
            </w:r>
          </w:p>
        </w:tc>
        <w:tc>
          <w:tcPr>
            <w:tcW w:w="470" w:type="pct"/>
            <w:tcBorders>
              <w:top w:val="single" w:sz="4" w:space="0" w:color="auto"/>
              <w:left w:val="single" w:sz="4" w:space="0" w:color="auto"/>
              <w:bottom w:val="single" w:sz="4" w:space="0" w:color="auto"/>
              <w:right w:val="single" w:sz="4" w:space="0" w:color="auto"/>
            </w:tcBorders>
          </w:tcPr>
          <w:p w14:paraId="6318A7E1" w14:textId="568641E6" w:rsidR="00265766" w:rsidRPr="009E686F" w:rsidRDefault="00265766" w:rsidP="00265766">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0D954BA9" w14:textId="066B729D" w:rsidR="00265766" w:rsidRPr="009E686F" w:rsidRDefault="00265766" w:rsidP="00265766">
            <w:pPr>
              <w:spacing w:after="0"/>
              <w:jc w:val="both"/>
              <w:rPr>
                <w:rFonts w:ascii="Times New Roman" w:hAnsi="Times New Roman" w:cs="Times New Roman"/>
              </w:rPr>
            </w:pPr>
          </w:p>
        </w:tc>
      </w:tr>
      <w:tr w:rsidR="00265766" w:rsidRPr="009E686F" w14:paraId="15AC17DE" w14:textId="77777777" w:rsidTr="00960C23">
        <w:tc>
          <w:tcPr>
            <w:tcW w:w="1890" w:type="pct"/>
            <w:tcBorders>
              <w:top w:val="single" w:sz="4" w:space="0" w:color="auto"/>
              <w:left w:val="single" w:sz="4" w:space="0" w:color="auto"/>
              <w:bottom w:val="single" w:sz="4" w:space="0" w:color="auto"/>
              <w:right w:val="single" w:sz="4" w:space="0" w:color="auto"/>
            </w:tcBorders>
          </w:tcPr>
          <w:p w14:paraId="637C917D" w14:textId="4E874610" w:rsidR="00265766" w:rsidRPr="009E686F" w:rsidRDefault="00265766" w:rsidP="00265766">
            <w:pPr>
              <w:spacing w:after="0"/>
              <w:jc w:val="both"/>
              <w:rPr>
                <w:rFonts w:ascii="Times New Roman" w:hAnsi="Times New Roman" w:cs="Times New Roman"/>
                <w:lang w:val="pt-BR"/>
              </w:rPr>
            </w:pPr>
            <w:r w:rsidRPr="009E686F">
              <w:rPr>
                <w:rFonts w:ascii="Times New Roman" w:hAnsi="Times New Roman" w:cs="Times New Roman"/>
                <w:lang w:val="pt-BR"/>
              </w:rPr>
              <w:t>(c) după caz, alte autorități publice responsabile cu supravegherea sistemelor de plată;</w:t>
            </w:r>
          </w:p>
        </w:tc>
        <w:tc>
          <w:tcPr>
            <w:tcW w:w="1834" w:type="pct"/>
            <w:tcBorders>
              <w:top w:val="single" w:sz="4" w:space="0" w:color="auto"/>
              <w:left w:val="single" w:sz="4" w:space="0" w:color="auto"/>
              <w:bottom w:val="single" w:sz="4" w:space="0" w:color="auto"/>
              <w:right w:val="single" w:sz="4" w:space="0" w:color="auto"/>
            </w:tcBorders>
          </w:tcPr>
          <w:p w14:paraId="32C7EA23" w14:textId="77777777" w:rsidR="00265766" w:rsidRPr="009E686F" w:rsidRDefault="00265766" w:rsidP="00265766">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c) altor autorităţi publice responsabile de supravegherea sistemelor de plăţi, dacă este cazul;</w:t>
            </w:r>
          </w:p>
          <w:p w14:paraId="6896C246" w14:textId="28736827" w:rsidR="00265766" w:rsidRPr="009E686F" w:rsidRDefault="00265766" w:rsidP="00265766">
            <w:pPr>
              <w:spacing w:after="0"/>
              <w:jc w:val="both"/>
              <w:rPr>
                <w:rFonts w:ascii="Times New Roman" w:hAnsi="Times New Roman" w:cs="Times New Roman"/>
                <w:lang w:val="pt-BR"/>
              </w:rPr>
            </w:pPr>
          </w:p>
        </w:tc>
        <w:tc>
          <w:tcPr>
            <w:tcW w:w="470" w:type="pct"/>
            <w:tcBorders>
              <w:top w:val="single" w:sz="4" w:space="0" w:color="auto"/>
              <w:left w:val="single" w:sz="4" w:space="0" w:color="auto"/>
              <w:bottom w:val="single" w:sz="4" w:space="0" w:color="auto"/>
              <w:right w:val="single" w:sz="4" w:space="0" w:color="auto"/>
            </w:tcBorders>
          </w:tcPr>
          <w:p w14:paraId="04C00BD0" w14:textId="779AF416" w:rsidR="00265766" w:rsidRPr="009E686F" w:rsidRDefault="00265766" w:rsidP="00265766">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730C3E1B" w14:textId="43ED6171" w:rsidR="00265766" w:rsidRPr="009E686F" w:rsidRDefault="00265766" w:rsidP="00265766">
            <w:pPr>
              <w:spacing w:after="0"/>
              <w:jc w:val="both"/>
              <w:rPr>
                <w:rFonts w:ascii="Times New Roman" w:hAnsi="Times New Roman" w:cs="Times New Roman"/>
              </w:rPr>
            </w:pPr>
          </w:p>
        </w:tc>
      </w:tr>
      <w:tr w:rsidR="00265766" w:rsidRPr="009E686F" w14:paraId="572250C7" w14:textId="77777777" w:rsidTr="00960C23">
        <w:tc>
          <w:tcPr>
            <w:tcW w:w="1890" w:type="pct"/>
            <w:tcBorders>
              <w:top w:val="single" w:sz="4" w:space="0" w:color="auto"/>
              <w:left w:val="single" w:sz="4" w:space="0" w:color="auto"/>
              <w:bottom w:val="single" w:sz="4" w:space="0" w:color="auto"/>
              <w:right w:val="single" w:sz="4" w:space="0" w:color="auto"/>
            </w:tcBorders>
          </w:tcPr>
          <w:p w14:paraId="191FEF36" w14:textId="77777777" w:rsidR="00265766" w:rsidRPr="009E686F" w:rsidRDefault="00265766" w:rsidP="00265766">
            <w:pPr>
              <w:spacing w:after="0"/>
              <w:jc w:val="both"/>
              <w:rPr>
                <w:rFonts w:ascii="Times New Roman" w:hAnsi="Times New Roman" w:cs="Times New Roman"/>
                <w:lang w:val="pt-BR"/>
              </w:rPr>
            </w:pPr>
          </w:p>
        </w:tc>
        <w:tc>
          <w:tcPr>
            <w:tcW w:w="1834" w:type="pct"/>
            <w:tcBorders>
              <w:top w:val="single" w:sz="4" w:space="0" w:color="auto"/>
              <w:left w:val="single" w:sz="4" w:space="0" w:color="auto"/>
              <w:bottom w:val="single" w:sz="4" w:space="0" w:color="auto"/>
              <w:right w:val="single" w:sz="4" w:space="0" w:color="auto"/>
            </w:tcBorders>
          </w:tcPr>
          <w:p w14:paraId="7928AF66" w14:textId="20F05F3F" w:rsidR="00265766" w:rsidRPr="009E686F" w:rsidRDefault="00265766" w:rsidP="00265766">
            <w:pPr>
              <w:spacing w:after="0" w:line="278" w:lineRule="auto"/>
              <w:jc w:val="both"/>
              <w:rPr>
                <w:rFonts w:ascii="Times New Roman" w:eastAsia="Aptos" w:hAnsi="Times New Roman" w:cs="Times New Roman"/>
                <w:kern w:val="2"/>
                <w:lang w:val="ro-MD"/>
              </w:rPr>
            </w:pPr>
            <w:r w:rsidRPr="009E686F">
              <w:rPr>
                <w:rFonts w:ascii="Times New Roman" w:hAnsi="Times New Roman" w:cs="Times New Roman"/>
                <w:lang w:val="pt-BR"/>
              </w:rPr>
              <w:t>(4) Informaţiile furnizate de Banca Naţională a Moldovei în conformitate cu alin.(1) trebuie să fie supuse unor cerinţe de păstrare a secretului profesional, prevăzute de legislaţia naţională, cel puţin echivalente celor de la art.126</w:t>
            </w:r>
          </w:p>
        </w:tc>
        <w:tc>
          <w:tcPr>
            <w:tcW w:w="470" w:type="pct"/>
            <w:tcBorders>
              <w:top w:val="single" w:sz="4" w:space="0" w:color="auto"/>
              <w:left w:val="single" w:sz="4" w:space="0" w:color="auto"/>
              <w:bottom w:val="single" w:sz="4" w:space="0" w:color="auto"/>
              <w:right w:val="single" w:sz="4" w:space="0" w:color="auto"/>
            </w:tcBorders>
          </w:tcPr>
          <w:p w14:paraId="28DDD285" w14:textId="5C4E81CA" w:rsidR="00265766" w:rsidRPr="009E686F" w:rsidRDefault="00265766" w:rsidP="00265766">
            <w:pPr>
              <w:jc w:val="both"/>
              <w:rPr>
                <w:rFonts w:ascii="Times New Roman" w:hAnsi="Times New Roman" w:cs="Times New Roman"/>
                <w:lang w:val="it-CH"/>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60E1F289" w14:textId="13A77807"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Norme cu specific național de implementare din Legea nr. 202/2017</w:t>
            </w:r>
          </w:p>
        </w:tc>
      </w:tr>
      <w:tr w:rsidR="00265766" w:rsidRPr="009E686F" w14:paraId="6659AEF3" w14:textId="77777777" w:rsidTr="00960C23">
        <w:tc>
          <w:tcPr>
            <w:tcW w:w="1890" w:type="pct"/>
            <w:tcBorders>
              <w:top w:val="single" w:sz="4" w:space="0" w:color="auto"/>
              <w:left w:val="single" w:sz="4" w:space="0" w:color="auto"/>
              <w:bottom w:val="single" w:sz="4" w:space="0" w:color="auto"/>
              <w:right w:val="single" w:sz="4" w:space="0" w:color="auto"/>
            </w:tcBorders>
          </w:tcPr>
          <w:p w14:paraId="08B078A9" w14:textId="2D6BFD10" w:rsidR="00265766" w:rsidRPr="009E686F" w:rsidRDefault="00265766" w:rsidP="00265766">
            <w:pPr>
              <w:spacing w:after="0"/>
              <w:jc w:val="both"/>
              <w:rPr>
                <w:rFonts w:ascii="Times New Roman" w:hAnsi="Times New Roman" w:cs="Times New Roman"/>
              </w:rPr>
            </w:pPr>
            <w:r w:rsidRPr="009E686F">
              <w:rPr>
                <w:rFonts w:ascii="Times New Roman" w:hAnsi="Times New Roman" w:cs="Times New Roman"/>
              </w:rPr>
              <w:t>(d) CERS, Autoritatea europeană de supraveghere (Autoritatea europeană de asigurări și pensii ocupaționale) (AEAPO) instituită prin Regulamentul (UE) nr. 1094/2010 al Parlamentului European și al Consiliului și AEVMP, în cazul în care aceste informații sunt relevante pentru exercitarea atribuțiilor lor în temeiul Regulamentelor (UE) nr. 1092/2010, (UE) nr. 1094/2010 sau (UE) nr. 1095/2010.</w:t>
            </w:r>
          </w:p>
        </w:tc>
        <w:tc>
          <w:tcPr>
            <w:tcW w:w="1834" w:type="pct"/>
            <w:tcBorders>
              <w:top w:val="single" w:sz="4" w:space="0" w:color="auto"/>
              <w:left w:val="single" w:sz="4" w:space="0" w:color="auto"/>
              <w:bottom w:val="single" w:sz="4" w:space="0" w:color="auto"/>
              <w:right w:val="single" w:sz="4" w:space="0" w:color="auto"/>
            </w:tcBorders>
          </w:tcPr>
          <w:p w14:paraId="41E00D79" w14:textId="6E6F5C7C" w:rsidR="00265766" w:rsidRPr="009E686F" w:rsidRDefault="00265766" w:rsidP="00265766">
            <w:pPr>
              <w:spacing w:after="0"/>
              <w:jc w:val="both"/>
              <w:rPr>
                <w:rFonts w:ascii="Times New Roman" w:hAnsi="Times New Roman" w:cs="Times New Roman"/>
                <w:lang w:val="it-CH"/>
              </w:rPr>
            </w:pPr>
            <w:r w:rsidRPr="009E686F">
              <w:rPr>
                <w:rFonts w:ascii="Times New Roman" w:eastAsia="Aptos" w:hAnsi="Times New Roman" w:cs="Times New Roman"/>
                <w:kern w:val="2"/>
                <w:lang w:val="ro-MD"/>
              </w:rPr>
              <w:t xml:space="preserve">d) autorităţilor responsabile de stabilitatea financiară şi riscul sistemic, </w:t>
            </w:r>
            <w:r w:rsidRPr="009E686F">
              <w:rPr>
                <w:rFonts w:ascii="Times New Roman" w:eastAsia="Aptos" w:hAnsi="Times New Roman" w:cs="Times New Roman"/>
                <w:i/>
                <w:iCs/>
                <w:kern w:val="2"/>
                <w:lang w:val="ro-MD"/>
              </w:rPr>
              <w:t>inclusiv Comitetul European pentru Risc Sistemic, Autoritatea europeană de asigurări și pensii ocupațional și Autoritatea Europeană pentru Valori Mobiliare și Piețe</w:t>
            </w:r>
            <w:r w:rsidRPr="009E686F">
              <w:rPr>
                <w:rFonts w:ascii="Times New Roman" w:eastAsia="Aptos" w:hAnsi="Times New Roman" w:cs="Times New Roman"/>
                <w:kern w:val="2"/>
                <w:lang w:val="ro-MD"/>
              </w:rPr>
              <w:t>.</w:t>
            </w:r>
          </w:p>
        </w:tc>
        <w:tc>
          <w:tcPr>
            <w:tcW w:w="470" w:type="pct"/>
            <w:tcBorders>
              <w:top w:val="single" w:sz="4" w:space="0" w:color="auto"/>
              <w:left w:val="single" w:sz="4" w:space="0" w:color="auto"/>
              <w:bottom w:val="single" w:sz="4" w:space="0" w:color="auto"/>
              <w:right w:val="single" w:sz="4" w:space="0" w:color="auto"/>
            </w:tcBorders>
          </w:tcPr>
          <w:p w14:paraId="35C92E41" w14:textId="7494EAC3" w:rsidR="00265766" w:rsidRPr="009E686F" w:rsidRDefault="00265766" w:rsidP="00265766">
            <w:pPr>
              <w:jc w:val="both"/>
              <w:rPr>
                <w:rFonts w:ascii="Times New Roman" w:hAnsi="Times New Roman" w:cs="Times New Roman"/>
                <w:lang w:val="it-CH"/>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164A075B" w14:textId="2E8995C6" w:rsidR="00265766" w:rsidRPr="009E686F" w:rsidRDefault="00233F04" w:rsidP="00265766">
            <w:pPr>
              <w:spacing w:after="0"/>
              <w:jc w:val="both"/>
              <w:rPr>
                <w:rFonts w:ascii="Times New Roman" w:hAnsi="Times New Roman" w:cs="Times New Roman"/>
                <w:lang w:val="it-CH"/>
              </w:rPr>
            </w:pPr>
            <w:r w:rsidRPr="009E686F">
              <w:rPr>
                <w:rFonts w:ascii="Times New Roman" w:hAnsi="Times New Roman" w:cs="Times New Roman"/>
                <w:lang w:val="ro-MD"/>
              </w:rPr>
              <w:t>În vigoare – data aderării.</w:t>
            </w:r>
          </w:p>
        </w:tc>
      </w:tr>
      <w:tr w:rsidR="00265766" w:rsidRPr="009E686F" w14:paraId="25B1F1E8" w14:textId="77777777" w:rsidTr="00960C23">
        <w:tc>
          <w:tcPr>
            <w:tcW w:w="1890" w:type="pct"/>
            <w:tcBorders>
              <w:top w:val="single" w:sz="4" w:space="0" w:color="auto"/>
              <w:left w:val="single" w:sz="4" w:space="0" w:color="auto"/>
              <w:bottom w:val="single" w:sz="4" w:space="0" w:color="auto"/>
              <w:right w:val="single" w:sz="4" w:space="0" w:color="auto"/>
            </w:tcBorders>
          </w:tcPr>
          <w:p w14:paraId="10088418" w14:textId="77777777"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Statele membre iau măsurile adecvate pentru a elimina obstacolele care împiedică autoritățile competente să transmită informații în conformitate cu primul paragraf.</w:t>
            </w:r>
          </w:p>
        </w:tc>
        <w:tc>
          <w:tcPr>
            <w:tcW w:w="1834" w:type="pct"/>
            <w:tcBorders>
              <w:top w:val="single" w:sz="4" w:space="0" w:color="auto"/>
              <w:left w:val="single" w:sz="4" w:space="0" w:color="auto"/>
              <w:bottom w:val="single" w:sz="4" w:space="0" w:color="auto"/>
              <w:right w:val="single" w:sz="4" w:space="0" w:color="auto"/>
            </w:tcBorders>
          </w:tcPr>
          <w:p w14:paraId="3A5F8DD3" w14:textId="4038E32C" w:rsidR="00265766" w:rsidRPr="009E686F" w:rsidRDefault="00265766" w:rsidP="00265766">
            <w:pPr>
              <w:spacing w:after="0" w:line="278" w:lineRule="auto"/>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(1</w:t>
            </w:r>
            <w:r w:rsidRPr="009E686F">
              <w:rPr>
                <w:rFonts w:ascii="Times New Roman" w:eastAsia="Aptos" w:hAnsi="Times New Roman" w:cs="Times New Roman"/>
                <w:i/>
                <w:iCs/>
                <w:kern w:val="2"/>
                <w:vertAlign w:val="superscript"/>
                <w:lang w:val="ro-MD"/>
              </w:rPr>
              <w:t>1</w:t>
            </w:r>
            <w:r w:rsidRPr="009E686F">
              <w:rPr>
                <w:rFonts w:ascii="Times New Roman" w:eastAsia="Aptos" w:hAnsi="Times New Roman" w:cs="Times New Roman"/>
                <w:i/>
                <w:iCs/>
                <w:kern w:val="2"/>
                <w:lang w:val="ro-MD"/>
              </w:rPr>
              <w:t xml:space="preserve">) Banca Națională a Moldovei are dreptul de a transmite informațiile prevăzute la alin. (1) fără a fi supusă unor </w:t>
            </w:r>
            <w:r w:rsidR="00AC2F7F" w:rsidRPr="009E686F">
              <w:rPr>
                <w:rFonts w:ascii="Times New Roman" w:eastAsia="Aptos" w:hAnsi="Times New Roman" w:cs="Times New Roman"/>
                <w:i/>
                <w:iCs/>
                <w:kern w:val="2"/>
                <w:lang w:val="ro-MD"/>
              </w:rPr>
              <w:t>impedimente</w:t>
            </w:r>
            <w:r w:rsidRPr="009E686F">
              <w:rPr>
                <w:rFonts w:ascii="Times New Roman" w:eastAsia="Aptos" w:hAnsi="Times New Roman" w:cs="Times New Roman"/>
                <w:i/>
                <w:iCs/>
                <w:kern w:val="2"/>
                <w:lang w:val="ro-MD"/>
              </w:rPr>
              <w:t>.</w:t>
            </w:r>
          </w:p>
        </w:tc>
        <w:tc>
          <w:tcPr>
            <w:tcW w:w="470" w:type="pct"/>
            <w:tcBorders>
              <w:top w:val="single" w:sz="4" w:space="0" w:color="auto"/>
              <w:left w:val="single" w:sz="4" w:space="0" w:color="auto"/>
              <w:bottom w:val="single" w:sz="4" w:space="0" w:color="auto"/>
              <w:right w:val="single" w:sz="4" w:space="0" w:color="auto"/>
            </w:tcBorders>
          </w:tcPr>
          <w:p w14:paraId="5D9A4FFD" w14:textId="4C72DBA6" w:rsidR="00265766" w:rsidRPr="009E686F" w:rsidRDefault="00265766" w:rsidP="00265766">
            <w:pPr>
              <w:jc w:val="both"/>
              <w:rPr>
                <w:rFonts w:ascii="Times New Roman" w:hAnsi="Times New Roman" w:cs="Times New Roman"/>
              </w:rPr>
            </w:pPr>
            <w:r w:rsidRPr="009E686F">
              <w:rPr>
                <w:rFonts w:ascii="Times New Roman" w:hAnsi="Times New Roman" w:cs="Times New Roman"/>
              </w:rPr>
              <w:t xml:space="preserve">Compatibil </w:t>
            </w:r>
          </w:p>
        </w:tc>
        <w:tc>
          <w:tcPr>
            <w:tcW w:w="806" w:type="pct"/>
            <w:tcBorders>
              <w:top w:val="single" w:sz="4" w:space="0" w:color="auto"/>
              <w:left w:val="single" w:sz="4" w:space="0" w:color="auto"/>
              <w:bottom w:val="single" w:sz="4" w:space="0" w:color="auto"/>
              <w:right w:val="single" w:sz="4" w:space="0" w:color="auto"/>
            </w:tcBorders>
          </w:tcPr>
          <w:p w14:paraId="40840B1E" w14:textId="02003913" w:rsidR="00265766" w:rsidRPr="009E686F" w:rsidRDefault="00265766" w:rsidP="00265766">
            <w:pPr>
              <w:spacing w:after="0"/>
              <w:jc w:val="both"/>
              <w:rPr>
                <w:rFonts w:ascii="Times New Roman" w:hAnsi="Times New Roman" w:cs="Times New Roman"/>
              </w:rPr>
            </w:pPr>
          </w:p>
        </w:tc>
      </w:tr>
      <w:tr w:rsidR="00265766" w:rsidRPr="009E686F" w14:paraId="47F6B11B" w14:textId="77777777" w:rsidTr="00B3765F">
        <w:tc>
          <w:tcPr>
            <w:tcW w:w="1890" w:type="pct"/>
            <w:vMerge w:val="restart"/>
            <w:tcBorders>
              <w:top w:val="single" w:sz="4" w:space="0" w:color="auto"/>
              <w:left w:val="single" w:sz="4" w:space="0" w:color="auto"/>
              <w:right w:val="single" w:sz="4" w:space="0" w:color="auto"/>
            </w:tcBorders>
          </w:tcPr>
          <w:p w14:paraId="5089B78F" w14:textId="351FF570"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(2) Nicio prevedere din prezentul capitol nu împiedică autoritățile sau organismele menționate la alineatul (1) să comunice autorităților competente informațiile de care autoritățile competente au nevoie în sensul articolului 54.</w:t>
            </w:r>
          </w:p>
        </w:tc>
        <w:tc>
          <w:tcPr>
            <w:tcW w:w="1834" w:type="pct"/>
            <w:tcBorders>
              <w:top w:val="single" w:sz="4" w:space="0" w:color="auto"/>
              <w:left w:val="single" w:sz="4" w:space="0" w:color="auto"/>
              <w:bottom w:val="single" w:sz="4" w:space="0" w:color="auto"/>
              <w:right w:val="single" w:sz="4" w:space="0" w:color="auto"/>
            </w:tcBorders>
          </w:tcPr>
          <w:p w14:paraId="7DEBD67C" w14:textId="77777777"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(2) Prevederile prezentului capitol nu împiedică autoritățile sau organismele menționate la alin. (1) să comunice Băncii Naționale a Moldovei informațiile în măsura în care îi sunt necesare în situaţiile prevăzute la art.127.</w:t>
            </w:r>
          </w:p>
        </w:tc>
        <w:tc>
          <w:tcPr>
            <w:tcW w:w="470" w:type="pct"/>
            <w:tcBorders>
              <w:top w:val="single" w:sz="4" w:space="0" w:color="auto"/>
              <w:left w:val="single" w:sz="4" w:space="0" w:color="auto"/>
              <w:bottom w:val="single" w:sz="4" w:space="0" w:color="auto"/>
              <w:right w:val="single" w:sz="4" w:space="0" w:color="auto"/>
            </w:tcBorders>
          </w:tcPr>
          <w:p w14:paraId="62383EB7" w14:textId="1EB551F0" w:rsidR="00265766" w:rsidRPr="009E686F" w:rsidRDefault="00265766" w:rsidP="00265766">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5C549F34" w14:textId="03FB7EB3" w:rsidR="00265766" w:rsidRPr="009E686F" w:rsidRDefault="00265766" w:rsidP="00265766">
            <w:pPr>
              <w:spacing w:after="0"/>
              <w:jc w:val="both"/>
              <w:rPr>
                <w:rFonts w:ascii="Times New Roman" w:hAnsi="Times New Roman" w:cs="Times New Roman"/>
              </w:rPr>
            </w:pPr>
          </w:p>
        </w:tc>
      </w:tr>
      <w:tr w:rsidR="00265766" w:rsidRPr="009E686F" w14:paraId="66845E38" w14:textId="77777777" w:rsidTr="00B3765F">
        <w:tc>
          <w:tcPr>
            <w:tcW w:w="1890" w:type="pct"/>
            <w:vMerge/>
            <w:tcBorders>
              <w:left w:val="single" w:sz="4" w:space="0" w:color="auto"/>
              <w:bottom w:val="single" w:sz="4" w:space="0" w:color="auto"/>
              <w:right w:val="single" w:sz="4" w:space="0" w:color="auto"/>
            </w:tcBorders>
          </w:tcPr>
          <w:p w14:paraId="10D9C9AB" w14:textId="77777777" w:rsidR="00265766" w:rsidRPr="009E686F" w:rsidRDefault="00265766" w:rsidP="00265766">
            <w:pPr>
              <w:spacing w:after="0"/>
              <w:jc w:val="both"/>
              <w:rPr>
                <w:rFonts w:ascii="Times New Roman" w:hAnsi="Times New Roman" w:cs="Times New Roman"/>
                <w:lang w:val="it-CH"/>
              </w:rPr>
            </w:pPr>
          </w:p>
        </w:tc>
        <w:tc>
          <w:tcPr>
            <w:tcW w:w="1834" w:type="pct"/>
            <w:tcBorders>
              <w:top w:val="single" w:sz="4" w:space="0" w:color="auto"/>
              <w:left w:val="single" w:sz="4" w:space="0" w:color="auto"/>
              <w:bottom w:val="single" w:sz="4" w:space="0" w:color="auto"/>
              <w:right w:val="single" w:sz="4" w:space="0" w:color="auto"/>
            </w:tcBorders>
          </w:tcPr>
          <w:p w14:paraId="0E1A644A" w14:textId="0068FB69"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(3) Informaţiile primite de Banca Naţională a Moldovei în conformitate cu alin.(2) sînt supuse cerinţelor prevăzute la art.126 referitoare la secretul profesional..</w:t>
            </w:r>
          </w:p>
        </w:tc>
        <w:tc>
          <w:tcPr>
            <w:tcW w:w="470" w:type="pct"/>
            <w:tcBorders>
              <w:top w:val="single" w:sz="4" w:space="0" w:color="auto"/>
              <w:left w:val="single" w:sz="4" w:space="0" w:color="auto"/>
              <w:bottom w:val="single" w:sz="4" w:space="0" w:color="auto"/>
              <w:right w:val="single" w:sz="4" w:space="0" w:color="auto"/>
            </w:tcBorders>
          </w:tcPr>
          <w:p w14:paraId="25862315" w14:textId="64104469" w:rsidR="00265766" w:rsidRPr="009E686F" w:rsidRDefault="00265766" w:rsidP="00265766">
            <w:pPr>
              <w:jc w:val="both"/>
              <w:rPr>
                <w:rFonts w:ascii="Times New Roman" w:hAnsi="Times New Roman" w:cs="Times New Roman"/>
                <w:lang w:val="it-CH"/>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25FC98F3" w14:textId="32996E87"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Norme cu specific național de implementare din Legea nr. 202/2017</w:t>
            </w:r>
          </w:p>
        </w:tc>
      </w:tr>
      <w:tr w:rsidR="00265766" w:rsidRPr="009E686F" w14:paraId="6977005A" w14:textId="77777777" w:rsidTr="00960C23">
        <w:tc>
          <w:tcPr>
            <w:tcW w:w="1890" w:type="pct"/>
            <w:tcBorders>
              <w:top w:val="single" w:sz="4" w:space="0" w:color="auto"/>
              <w:left w:val="single" w:sz="4" w:space="0" w:color="auto"/>
              <w:bottom w:val="single" w:sz="4" w:space="0" w:color="auto"/>
              <w:right w:val="single" w:sz="4" w:space="0" w:color="auto"/>
            </w:tcBorders>
          </w:tcPr>
          <w:p w14:paraId="20BF11D6" w14:textId="45A23EBB"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(3) Informațiile primite în conformitate cu alineatele (1) și (2) fac obiectul cerințelor privind secretul profesional cel puțin echivalente cu cele menționate la articolul 53 alineatul (1).</w:t>
            </w:r>
          </w:p>
        </w:tc>
        <w:tc>
          <w:tcPr>
            <w:tcW w:w="1834" w:type="pct"/>
            <w:tcBorders>
              <w:top w:val="single" w:sz="4" w:space="0" w:color="auto"/>
              <w:left w:val="single" w:sz="4" w:space="0" w:color="auto"/>
              <w:bottom w:val="single" w:sz="4" w:space="0" w:color="auto"/>
              <w:right w:val="single" w:sz="4" w:space="0" w:color="auto"/>
            </w:tcBorders>
          </w:tcPr>
          <w:p w14:paraId="388DE771" w14:textId="77777777" w:rsidR="00265766" w:rsidRPr="009E686F" w:rsidRDefault="00265766" w:rsidP="00265766">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(3) Informaţiile primite de Banca Naţională a Moldovei în conformitate cu alin.(2) sînt supuse cerinţelor prevăzute la art.126 referitoare la secretul profesional.</w:t>
            </w:r>
          </w:p>
          <w:p w14:paraId="547544DC" w14:textId="77777777" w:rsidR="00265766" w:rsidRPr="009E686F" w:rsidRDefault="00265766" w:rsidP="00265766">
            <w:pPr>
              <w:spacing w:after="0"/>
              <w:jc w:val="both"/>
              <w:rPr>
                <w:rFonts w:ascii="Times New Roman" w:hAnsi="Times New Roman" w:cs="Times New Roman"/>
                <w:lang w:val="ro-MD"/>
              </w:rPr>
            </w:pPr>
            <w:r w:rsidRPr="009E686F">
              <w:rPr>
                <w:rFonts w:ascii="Times New Roman" w:hAnsi="Times New Roman" w:cs="Times New Roman"/>
                <w:lang w:val="ro-MD"/>
              </w:rPr>
              <w:lastRenderedPageBreak/>
              <w:t>(4) Informațiile furnizate de Banca Națională a Moldovei în conformitate cu alin. (1) trebuie să fie supuse unor cerințe de păstrare a secretului profesional, prevăzute de legislația națională, cel puțin echivalente celor prevăzute la art. 126.</w:t>
            </w:r>
          </w:p>
        </w:tc>
        <w:tc>
          <w:tcPr>
            <w:tcW w:w="470" w:type="pct"/>
            <w:tcBorders>
              <w:top w:val="single" w:sz="4" w:space="0" w:color="auto"/>
              <w:left w:val="single" w:sz="4" w:space="0" w:color="auto"/>
              <w:bottom w:val="single" w:sz="4" w:space="0" w:color="auto"/>
              <w:right w:val="single" w:sz="4" w:space="0" w:color="auto"/>
            </w:tcBorders>
          </w:tcPr>
          <w:p w14:paraId="5B26BF47" w14:textId="2D1532F0" w:rsidR="00265766" w:rsidRPr="009E686F" w:rsidRDefault="00265766" w:rsidP="00265766">
            <w:pPr>
              <w:jc w:val="both"/>
              <w:rPr>
                <w:rFonts w:ascii="Times New Roman" w:hAnsi="Times New Roman" w:cs="Times New Roman"/>
              </w:rPr>
            </w:pPr>
            <w:r w:rsidRPr="009E686F">
              <w:rPr>
                <w:rFonts w:ascii="Times New Roman" w:hAnsi="Times New Roman" w:cs="Times New Roman"/>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1A24EA7F" w14:textId="22CADA55" w:rsidR="00265766" w:rsidRPr="009E686F" w:rsidRDefault="00265766" w:rsidP="00265766">
            <w:pPr>
              <w:spacing w:after="0"/>
              <w:jc w:val="both"/>
              <w:rPr>
                <w:rFonts w:ascii="Times New Roman" w:hAnsi="Times New Roman" w:cs="Times New Roman"/>
              </w:rPr>
            </w:pPr>
          </w:p>
        </w:tc>
      </w:tr>
      <w:tr w:rsidR="00265766" w:rsidRPr="009E686F" w14:paraId="1AE92D42" w14:textId="77777777" w:rsidTr="00960C23">
        <w:tc>
          <w:tcPr>
            <w:tcW w:w="1890" w:type="pct"/>
            <w:tcBorders>
              <w:top w:val="single" w:sz="4" w:space="0" w:color="auto"/>
              <w:left w:val="single" w:sz="4" w:space="0" w:color="auto"/>
              <w:bottom w:val="single" w:sz="4" w:space="0" w:color="auto"/>
              <w:right w:val="single" w:sz="4" w:space="0" w:color="auto"/>
            </w:tcBorders>
          </w:tcPr>
          <w:p w14:paraId="085DFAFE" w14:textId="31682C92"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(4) Statele membre iau măsurile necesare pentru a se asigura că, într-o situație de urgență, astfel cum se menționează la articolul 114 alineatul (1), autoritățile competente comunică fără întârziere informații băncilor centrale din cadrul SEBC atunci când aceste informații sunt relevante pentru exercitarea sarcinilor statutare care le revin, inclusiv coordonarea politicii monetare și furnizarea de lichidități aferente acestei politici, supravegherea sistemelor de plată, de compensare și de decontare și menținerea stabilității sistemului financiar, precum și Comitetului european pentru risc sistemic (CERS), atunci când aceste informații sunt relevante pentru exercitarea sarcinilor statutare care îi revin.</w:t>
            </w:r>
          </w:p>
        </w:tc>
        <w:tc>
          <w:tcPr>
            <w:tcW w:w="1834" w:type="pct"/>
            <w:tcBorders>
              <w:top w:val="single" w:sz="4" w:space="0" w:color="auto"/>
              <w:left w:val="single" w:sz="4" w:space="0" w:color="auto"/>
              <w:bottom w:val="single" w:sz="4" w:space="0" w:color="auto"/>
              <w:right w:val="single" w:sz="4" w:space="0" w:color="auto"/>
            </w:tcBorders>
          </w:tcPr>
          <w:p w14:paraId="00F2E0E4" w14:textId="39408C39" w:rsidR="00265766" w:rsidRPr="009E686F" w:rsidRDefault="00265766" w:rsidP="00265766">
            <w:pPr>
              <w:spacing w:after="0"/>
              <w:jc w:val="both"/>
              <w:rPr>
                <w:rFonts w:ascii="Times New Roman" w:hAnsi="Times New Roman" w:cs="Times New Roman"/>
                <w:b/>
                <w:i/>
                <w:lang w:val="it-CH"/>
              </w:rPr>
            </w:pPr>
            <w:r w:rsidRPr="009E686F">
              <w:rPr>
                <w:rFonts w:ascii="Times New Roman" w:eastAsia="Aptos" w:hAnsi="Times New Roman" w:cs="Times New Roman"/>
                <w:i/>
                <w:iCs/>
                <w:kern w:val="2"/>
                <w:lang w:val="ro-MD"/>
              </w:rPr>
              <w:t>(5) Banca Națională a Moldovei, în situații de urgență, comunică, în cel mai scurt timp posibil, băncilor centrale din cadrul Sistemul European al Băncilor Centrale informații relevante pentru exercitarea sarcinilor statutare care le revin, inclusiv coordonarea politicii monetare și furnizarea de lichidităţi aferente acestei politici, supravegherea sistemelor de plată, de compensare și de decontare și menţinerea stabilităţii sistemului financiar, precum și Comitetului european pentru risc sistemic, atunci când aceste informaţii sunt relevante pentru exercitarea sarcinilor statutare care îi revin.</w:t>
            </w:r>
          </w:p>
        </w:tc>
        <w:tc>
          <w:tcPr>
            <w:tcW w:w="470" w:type="pct"/>
            <w:tcBorders>
              <w:top w:val="single" w:sz="4" w:space="0" w:color="auto"/>
              <w:left w:val="single" w:sz="4" w:space="0" w:color="auto"/>
              <w:bottom w:val="single" w:sz="4" w:space="0" w:color="auto"/>
              <w:right w:val="single" w:sz="4" w:space="0" w:color="auto"/>
            </w:tcBorders>
          </w:tcPr>
          <w:p w14:paraId="1C17DF1F" w14:textId="1A6A490B" w:rsidR="00265766" w:rsidRPr="009E686F" w:rsidRDefault="00265766" w:rsidP="00265766">
            <w:pPr>
              <w:jc w:val="both"/>
              <w:rPr>
                <w:rFonts w:ascii="Times New Roman" w:hAnsi="Times New Roman" w:cs="Times New Roman"/>
                <w:lang w:val="it-CH"/>
              </w:rPr>
            </w:pPr>
            <w:r w:rsidRPr="009E686F">
              <w:rPr>
                <w:rFonts w:ascii="Times New Roman" w:hAnsi="Times New Roman" w:cs="Times New Roman"/>
                <w:lang w:val="it-CH"/>
              </w:rPr>
              <w:t>Compatibil</w:t>
            </w:r>
          </w:p>
        </w:tc>
        <w:tc>
          <w:tcPr>
            <w:tcW w:w="806" w:type="pct"/>
            <w:tcBorders>
              <w:top w:val="single" w:sz="4" w:space="0" w:color="auto"/>
              <w:left w:val="single" w:sz="4" w:space="0" w:color="auto"/>
              <w:bottom w:val="single" w:sz="4" w:space="0" w:color="auto"/>
              <w:right w:val="single" w:sz="4" w:space="0" w:color="auto"/>
            </w:tcBorders>
          </w:tcPr>
          <w:p w14:paraId="0C473DE3" w14:textId="73821213" w:rsidR="00265766" w:rsidRPr="009E686F" w:rsidRDefault="00233F04" w:rsidP="00265766">
            <w:pPr>
              <w:spacing w:after="0"/>
              <w:jc w:val="both"/>
              <w:rPr>
                <w:rFonts w:ascii="Times New Roman" w:hAnsi="Times New Roman" w:cs="Times New Roman"/>
                <w:lang w:val="it-CH"/>
              </w:rPr>
            </w:pPr>
            <w:r w:rsidRPr="009E686F">
              <w:rPr>
                <w:rFonts w:ascii="Times New Roman" w:hAnsi="Times New Roman" w:cs="Times New Roman"/>
                <w:lang w:val="ro-MD"/>
              </w:rPr>
              <w:t>În vigoare – data aderării.</w:t>
            </w:r>
          </w:p>
        </w:tc>
      </w:tr>
      <w:tr w:rsidR="00265766" w:rsidRPr="009E686F" w14:paraId="77934C63" w14:textId="77777777" w:rsidTr="00960C23">
        <w:tc>
          <w:tcPr>
            <w:tcW w:w="1890" w:type="pct"/>
            <w:tcBorders>
              <w:top w:val="single" w:sz="4" w:space="0" w:color="auto"/>
              <w:left w:val="single" w:sz="4" w:space="0" w:color="auto"/>
              <w:bottom w:val="single" w:sz="4" w:space="0" w:color="auto"/>
              <w:right w:val="single" w:sz="4" w:space="0" w:color="auto"/>
            </w:tcBorders>
          </w:tcPr>
          <w:p w14:paraId="5D3108A4" w14:textId="77777777" w:rsidR="00265766" w:rsidRPr="009E686F" w:rsidRDefault="00265766" w:rsidP="00265766">
            <w:pPr>
              <w:spacing w:after="0"/>
              <w:jc w:val="both"/>
              <w:rPr>
                <w:rFonts w:ascii="Times New Roman" w:hAnsi="Times New Roman" w:cs="Times New Roman"/>
                <w:i/>
                <w:iCs/>
                <w:lang w:val="it-CH"/>
              </w:rPr>
            </w:pPr>
            <w:r w:rsidRPr="009E686F">
              <w:rPr>
                <w:rFonts w:ascii="Times New Roman" w:hAnsi="Times New Roman" w:cs="Times New Roman"/>
                <w:i/>
                <w:iCs/>
                <w:lang w:val="it-CH"/>
              </w:rPr>
              <w:t xml:space="preserve">Articolul 58a </w:t>
            </w:r>
          </w:p>
          <w:p w14:paraId="4283C1D2" w14:textId="4AE15516"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Transmiterea informațiilor către organisme internaționale</w:t>
            </w:r>
          </w:p>
        </w:tc>
        <w:tc>
          <w:tcPr>
            <w:tcW w:w="1834" w:type="pct"/>
            <w:tcBorders>
              <w:top w:val="single" w:sz="4" w:space="0" w:color="auto"/>
              <w:left w:val="single" w:sz="4" w:space="0" w:color="auto"/>
              <w:bottom w:val="single" w:sz="4" w:space="0" w:color="auto"/>
              <w:right w:val="single" w:sz="4" w:space="0" w:color="auto"/>
            </w:tcBorders>
          </w:tcPr>
          <w:p w14:paraId="0E9CFBC4" w14:textId="38E85536" w:rsidR="00265766" w:rsidRPr="009E686F" w:rsidRDefault="00265766" w:rsidP="00265766">
            <w:pPr>
              <w:spacing w:after="0" w:line="278" w:lineRule="auto"/>
              <w:jc w:val="both"/>
              <w:rPr>
                <w:rFonts w:ascii="Times New Roman" w:eastAsia="Aptos" w:hAnsi="Times New Roman" w:cs="Times New Roman"/>
                <w:i/>
                <w:iCs/>
                <w:kern w:val="2"/>
                <w:lang w:val="ro-MD"/>
              </w:rPr>
            </w:pPr>
            <w:bookmarkStart w:id="18" w:name="_Hlk215571682"/>
            <w:r w:rsidRPr="009E686F">
              <w:rPr>
                <w:rFonts w:ascii="Times New Roman" w:eastAsia="Aptos" w:hAnsi="Times New Roman" w:cs="Times New Roman"/>
                <w:b/>
                <w:bCs/>
                <w:i/>
                <w:iCs/>
                <w:kern w:val="2"/>
                <w:lang w:val="ro-MD"/>
              </w:rPr>
              <w:t>Articolul 131</w:t>
            </w:r>
            <w:r w:rsidRPr="009E686F">
              <w:rPr>
                <w:rFonts w:ascii="Times New Roman" w:eastAsia="Aptos" w:hAnsi="Times New Roman" w:cs="Times New Roman"/>
                <w:b/>
                <w:bCs/>
                <w:i/>
                <w:iCs/>
                <w:kern w:val="2"/>
                <w:vertAlign w:val="superscript"/>
                <w:lang w:val="ro-MD"/>
              </w:rPr>
              <w:t>1</w:t>
            </w:r>
            <w:r w:rsidRPr="009E686F">
              <w:rPr>
                <w:rFonts w:ascii="Times New Roman" w:eastAsia="Aptos" w:hAnsi="Times New Roman" w:cs="Times New Roman"/>
                <w:b/>
                <w:bCs/>
                <w:i/>
                <w:iCs/>
                <w:kern w:val="2"/>
                <w:lang w:val="ro-MD"/>
              </w:rPr>
              <w:t>.</w:t>
            </w:r>
            <w:r w:rsidRPr="009E686F">
              <w:rPr>
                <w:rFonts w:ascii="Times New Roman" w:eastAsia="Aptos" w:hAnsi="Times New Roman" w:cs="Times New Roman"/>
                <w:i/>
                <w:iCs/>
                <w:kern w:val="2"/>
                <w:lang w:val="ro-MD"/>
              </w:rPr>
              <w:t xml:space="preserve"> Transmiterea informaţiilor către organisme internaționale</w:t>
            </w:r>
            <w:bookmarkEnd w:id="18"/>
          </w:p>
        </w:tc>
        <w:tc>
          <w:tcPr>
            <w:tcW w:w="470" w:type="pct"/>
            <w:tcBorders>
              <w:top w:val="single" w:sz="4" w:space="0" w:color="auto"/>
              <w:left w:val="single" w:sz="4" w:space="0" w:color="auto"/>
              <w:bottom w:val="single" w:sz="4" w:space="0" w:color="auto"/>
              <w:right w:val="single" w:sz="4" w:space="0" w:color="auto"/>
            </w:tcBorders>
          </w:tcPr>
          <w:p w14:paraId="3773340B" w14:textId="5665CCAF" w:rsidR="00265766" w:rsidRPr="009E686F" w:rsidDel="00775D98" w:rsidRDefault="00265766" w:rsidP="00265766">
            <w:pPr>
              <w:jc w:val="both"/>
              <w:rPr>
                <w:rFonts w:ascii="Times New Roman" w:hAnsi="Times New Roman" w:cs="Times New Roman"/>
                <w:lang w:val="it-CH"/>
              </w:rPr>
            </w:pPr>
            <w:r w:rsidRPr="009E686F">
              <w:rPr>
                <w:rFonts w:ascii="Times New Roman" w:hAnsi="Times New Roman" w:cs="Times New Roman"/>
                <w:lang w:val="it-CH"/>
              </w:rPr>
              <w:t>Compatibil</w:t>
            </w:r>
          </w:p>
        </w:tc>
        <w:tc>
          <w:tcPr>
            <w:tcW w:w="806" w:type="pct"/>
            <w:tcBorders>
              <w:top w:val="single" w:sz="4" w:space="0" w:color="auto"/>
              <w:left w:val="single" w:sz="4" w:space="0" w:color="auto"/>
              <w:bottom w:val="single" w:sz="4" w:space="0" w:color="auto"/>
              <w:right w:val="single" w:sz="4" w:space="0" w:color="auto"/>
            </w:tcBorders>
          </w:tcPr>
          <w:p w14:paraId="59A0596B" w14:textId="77777777" w:rsidR="00265766" w:rsidRPr="009E686F" w:rsidRDefault="00265766" w:rsidP="00265766">
            <w:pPr>
              <w:spacing w:after="0"/>
              <w:jc w:val="both"/>
              <w:rPr>
                <w:rFonts w:ascii="Times New Roman" w:hAnsi="Times New Roman" w:cs="Times New Roman"/>
                <w:lang w:val="it-CH"/>
              </w:rPr>
            </w:pPr>
          </w:p>
        </w:tc>
      </w:tr>
      <w:tr w:rsidR="00265766" w:rsidRPr="009E686F" w14:paraId="3C2E2812" w14:textId="77777777" w:rsidTr="00960C23">
        <w:tc>
          <w:tcPr>
            <w:tcW w:w="1890" w:type="pct"/>
            <w:tcBorders>
              <w:top w:val="single" w:sz="4" w:space="0" w:color="auto"/>
              <w:left w:val="single" w:sz="4" w:space="0" w:color="auto"/>
              <w:bottom w:val="single" w:sz="4" w:space="0" w:color="auto"/>
              <w:right w:val="single" w:sz="4" w:space="0" w:color="auto"/>
            </w:tcBorders>
          </w:tcPr>
          <w:p w14:paraId="7539F31C" w14:textId="26963C1B" w:rsidR="00265766" w:rsidRPr="009E686F" w:rsidRDefault="00265766" w:rsidP="00265766">
            <w:pPr>
              <w:spacing w:after="0"/>
              <w:jc w:val="both"/>
              <w:rPr>
                <w:rFonts w:ascii="Times New Roman" w:hAnsi="Times New Roman" w:cs="Times New Roman"/>
              </w:rPr>
            </w:pPr>
            <w:r w:rsidRPr="009E686F">
              <w:rPr>
                <w:rFonts w:ascii="Times New Roman" w:hAnsi="Times New Roman" w:cs="Times New Roman"/>
              </w:rPr>
              <w:t>(1)   În pofida articolului 53 alineatul (1) și a articolului 54, autoritățile competente pot, sub rezerva condițiilor prevăzute la alineatele (2), (3) și (4) de la prezentul articol, să transmită sau să împărtășească anumite informații următoarelor instituții:</w:t>
            </w:r>
          </w:p>
        </w:tc>
        <w:tc>
          <w:tcPr>
            <w:tcW w:w="1834" w:type="pct"/>
            <w:tcBorders>
              <w:top w:val="single" w:sz="4" w:space="0" w:color="auto"/>
              <w:left w:val="single" w:sz="4" w:space="0" w:color="auto"/>
              <w:bottom w:val="single" w:sz="4" w:space="0" w:color="auto"/>
              <w:right w:val="single" w:sz="4" w:space="0" w:color="auto"/>
            </w:tcBorders>
          </w:tcPr>
          <w:p w14:paraId="1E7C2BDA" w14:textId="616FF7A8" w:rsidR="00265766" w:rsidRPr="009E686F" w:rsidRDefault="00265766" w:rsidP="00265766">
            <w:pPr>
              <w:spacing w:after="0" w:line="278" w:lineRule="auto"/>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(1) Fără a aduce atingere prevederilor art. 126 alin. (1) și 127, Banca Națională a Moldovei poate să furnizeze informații organismelor de mai jos, sub rezerva condițiilor prevăzute la alin.(2) din prezentul articol:</w:t>
            </w:r>
          </w:p>
        </w:tc>
        <w:tc>
          <w:tcPr>
            <w:tcW w:w="470" w:type="pct"/>
            <w:tcBorders>
              <w:top w:val="single" w:sz="4" w:space="0" w:color="auto"/>
              <w:left w:val="single" w:sz="4" w:space="0" w:color="auto"/>
              <w:bottom w:val="single" w:sz="4" w:space="0" w:color="auto"/>
              <w:right w:val="single" w:sz="4" w:space="0" w:color="auto"/>
            </w:tcBorders>
          </w:tcPr>
          <w:p w14:paraId="1CAB0D55" w14:textId="008055BC" w:rsidR="00265766" w:rsidRPr="009E686F" w:rsidRDefault="00265766" w:rsidP="00265766">
            <w:pPr>
              <w:jc w:val="both"/>
              <w:rPr>
                <w:rFonts w:ascii="Times New Roman" w:hAnsi="Times New Roman" w:cs="Times New Roman"/>
                <w:lang w:val="it-CH"/>
              </w:rPr>
            </w:pPr>
            <w:r w:rsidRPr="009E686F">
              <w:rPr>
                <w:rFonts w:ascii="Times New Roman" w:hAnsi="Times New Roman" w:cs="Times New Roman"/>
                <w:lang w:val="it-CH"/>
              </w:rPr>
              <w:t>Compatibil</w:t>
            </w:r>
          </w:p>
        </w:tc>
        <w:tc>
          <w:tcPr>
            <w:tcW w:w="806" w:type="pct"/>
            <w:tcBorders>
              <w:top w:val="single" w:sz="4" w:space="0" w:color="auto"/>
              <w:left w:val="single" w:sz="4" w:space="0" w:color="auto"/>
              <w:bottom w:val="single" w:sz="4" w:space="0" w:color="auto"/>
              <w:right w:val="single" w:sz="4" w:space="0" w:color="auto"/>
            </w:tcBorders>
          </w:tcPr>
          <w:p w14:paraId="692B4620" w14:textId="77777777" w:rsidR="00265766" w:rsidRPr="009E686F" w:rsidRDefault="00265766" w:rsidP="00265766">
            <w:pPr>
              <w:spacing w:after="0"/>
              <w:jc w:val="both"/>
              <w:rPr>
                <w:rFonts w:ascii="Times New Roman" w:hAnsi="Times New Roman" w:cs="Times New Roman"/>
                <w:lang w:val="it-CH"/>
              </w:rPr>
            </w:pPr>
          </w:p>
        </w:tc>
      </w:tr>
      <w:tr w:rsidR="00265766" w:rsidRPr="009E686F" w14:paraId="225DBA62" w14:textId="77777777" w:rsidTr="00960C23">
        <w:tc>
          <w:tcPr>
            <w:tcW w:w="1890" w:type="pct"/>
            <w:tcBorders>
              <w:top w:val="single" w:sz="4" w:space="0" w:color="auto"/>
              <w:left w:val="single" w:sz="4" w:space="0" w:color="auto"/>
              <w:bottom w:val="single" w:sz="4" w:space="0" w:color="auto"/>
              <w:right w:val="single" w:sz="4" w:space="0" w:color="auto"/>
            </w:tcBorders>
          </w:tcPr>
          <w:p w14:paraId="293634C0" w14:textId="13AC0DFF"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(a) Fondului Monetar Internațional și Băncii Mondiale, în scopul evaluărilor pentru Programul de evaluare a sectorului financiar;</w:t>
            </w:r>
          </w:p>
        </w:tc>
        <w:tc>
          <w:tcPr>
            <w:tcW w:w="1834" w:type="pct"/>
            <w:tcBorders>
              <w:top w:val="single" w:sz="4" w:space="0" w:color="auto"/>
              <w:left w:val="single" w:sz="4" w:space="0" w:color="auto"/>
              <w:bottom w:val="single" w:sz="4" w:space="0" w:color="auto"/>
              <w:right w:val="single" w:sz="4" w:space="0" w:color="auto"/>
            </w:tcBorders>
          </w:tcPr>
          <w:p w14:paraId="5105FE17" w14:textId="608B1A77" w:rsidR="00265766" w:rsidRPr="009E686F" w:rsidRDefault="00265766" w:rsidP="00265766">
            <w:pPr>
              <w:spacing w:after="0" w:line="278" w:lineRule="auto"/>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a)  Fondului Monetar Internaţional și Băncii Mondiale, în scopul evaluărilor pentru Programul de evaluare a sectorului financiar;</w:t>
            </w:r>
          </w:p>
        </w:tc>
        <w:tc>
          <w:tcPr>
            <w:tcW w:w="470" w:type="pct"/>
            <w:tcBorders>
              <w:top w:val="single" w:sz="4" w:space="0" w:color="auto"/>
              <w:left w:val="single" w:sz="4" w:space="0" w:color="auto"/>
              <w:bottom w:val="single" w:sz="4" w:space="0" w:color="auto"/>
              <w:right w:val="single" w:sz="4" w:space="0" w:color="auto"/>
            </w:tcBorders>
          </w:tcPr>
          <w:p w14:paraId="6DF194D1" w14:textId="15B5568A" w:rsidR="00265766" w:rsidRPr="009E686F" w:rsidRDefault="00265766" w:rsidP="00265766">
            <w:pPr>
              <w:jc w:val="both"/>
              <w:rPr>
                <w:rFonts w:ascii="Times New Roman" w:hAnsi="Times New Roman" w:cs="Times New Roman"/>
                <w:lang w:val="it-CH"/>
              </w:rPr>
            </w:pPr>
            <w:r w:rsidRPr="009E686F">
              <w:rPr>
                <w:rFonts w:ascii="Times New Roman" w:hAnsi="Times New Roman" w:cs="Times New Roman"/>
                <w:lang w:val="it-CH"/>
              </w:rPr>
              <w:t>Compatibil</w:t>
            </w:r>
          </w:p>
        </w:tc>
        <w:tc>
          <w:tcPr>
            <w:tcW w:w="806" w:type="pct"/>
            <w:tcBorders>
              <w:top w:val="single" w:sz="4" w:space="0" w:color="auto"/>
              <w:left w:val="single" w:sz="4" w:space="0" w:color="auto"/>
              <w:bottom w:val="single" w:sz="4" w:space="0" w:color="auto"/>
              <w:right w:val="single" w:sz="4" w:space="0" w:color="auto"/>
            </w:tcBorders>
          </w:tcPr>
          <w:p w14:paraId="67E6F54F" w14:textId="77777777" w:rsidR="00265766" w:rsidRPr="009E686F" w:rsidRDefault="00265766" w:rsidP="00265766">
            <w:pPr>
              <w:spacing w:after="0"/>
              <w:jc w:val="both"/>
              <w:rPr>
                <w:rFonts w:ascii="Times New Roman" w:hAnsi="Times New Roman" w:cs="Times New Roman"/>
                <w:lang w:val="it-CH"/>
              </w:rPr>
            </w:pPr>
          </w:p>
        </w:tc>
      </w:tr>
      <w:tr w:rsidR="00265766" w:rsidRPr="009E686F" w14:paraId="370E624B" w14:textId="77777777" w:rsidTr="00960C23">
        <w:tc>
          <w:tcPr>
            <w:tcW w:w="1890" w:type="pct"/>
            <w:tcBorders>
              <w:top w:val="single" w:sz="4" w:space="0" w:color="auto"/>
              <w:left w:val="single" w:sz="4" w:space="0" w:color="auto"/>
              <w:bottom w:val="single" w:sz="4" w:space="0" w:color="auto"/>
              <w:right w:val="single" w:sz="4" w:space="0" w:color="auto"/>
            </w:tcBorders>
          </w:tcPr>
          <w:p w14:paraId="3EB61742" w14:textId="38B2CED9" w:rsidR="00265766" w:rsidRPr="009E686F" w:rsidRDefault="00265766" w:rsidP="00265766">
            <w:pPr>
              <w:spacing w:after="0"/>
              <w:jc w:val="both"/>
              <w:rPr>
                <w:rFonts w:ascii="Times New Roman" w:hAnsi="Times New Roman" w:cs="Times New Roman"/>
              </w:rPr>
            </w:pPr>
            <w:r w:rsidRPr="009E686F">
              <w:rPr>
                <w:rFonts w:ascii="Times New Roman" w:hAnsi="Times New Roman" w:cs="Times New Roman"/>
              </w:rPr>
              <w:t>(b) Băncii Reglementelor Internaționale, în scopul studiilor cantitative de impact;</w:t>
            </w:r>
          </w:p>
        </w:tc>
        <w:tc>
          <w:tcPr>
            <w:tcW w:w="1834" w:type="pct"/>
            <w:tcBorders>
              <w:top w:val="single" w:sz="4" w:space="0" w:color="auto"/>
              <w:left w:val="single" w:sz="4" w:space="0" w:color="auto"/>
              <w:bottom w:val="single" w:sz="4" w:space="0" w:color="auto"/>
              <w:right w:val="single" w:sz="4" w:space="0" w:color="auto"/>
            </w:tcBorders>
          </w:tcPr>
          <w:p w14:paraId="24B27B28" w14:textId="743A1954" w:rsidR="00265766" w:rsidRPr="009E686F" w:rsidRDefault="00265766" w:rsidP="00265766">
            <w:pPr>
              <w:spacing w:after="0" w:line="278" w:lineRule="auto"/>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b) Băncii Reglementelor Internaţionale, în scopul studiilor cantitative de impact;</w:t>
            </w:r>
          </w:p>
        </w:tc>
        <w:tc>
          <w:tcPr>
            <w:tcW w:w="470" w:type="pct"/>
            <w:tcBorders>
              <w:top w:val="single" w:sz="4" w:space="0" w:color="auto"/>
              <w:left w:val="single" w:sz="4" w:space="0" w:color="auto"/>
              <w:bottom w:val="single" w:sz="4" w:space="0" w:color="auto"/>
              <w:right w:val="single" w:sz="4" w:space="0" w:color="auto"/>
            </w:tcBorders>
          </w:tcPr>
          <w:p w14:paraId="6E2B68A6" w14:textId="68C59F62" w:rsidR="00265766" w:rsidRPr="009E686F" w:rsidRDefault="00265766" w:rsidP="00265766">
            <w:pPr>
              <w:jc w:val="both"/>
              <w:rPr>
                <w:rFonts w:ascii="Times New Roman" w:hAnsi="Times New Roman" w:cs="Times New Roman"/>
              </w:rPr>
            </w:pPr>
            <w:r w:rsidRPr="009E686F">
              <w:rPr>
                <w:rFonts w:ascii="Times New Roman" w:hAnsi="Times New Roman" w:cs="Times New Roman"/>
                <w:lang w:val="it-CH"/>
              </w:rPr>
              <w:t>Compatibil</w:t>
            </w:r>
          </w:p>
        </w:tc>
        <w:tc>
          <w:tcPr>
            <w:tcW w:w="806" w:type="pct"/>
            <w:tcBorders>
              <w:top w:val="single" w:sz="4" w:space="0" w:color="auto"/>
              <w:left w:val="single" w:sz="4" w:space="0" w:color="auto"/>
              <w:bottom w:val="single" w:sz="4" w:space="0" w:color="auto"/>
              <w:right w:val="single" w:sz="4" w:space="0" w:color="auto"/>
            </w:tcBorders>
          </w:tcPr>
          <w:p w14:paraId="125A8E36" w14:textId="77777777" w:rsidR="00265766" w:rsidRPr="009E686F" w:rsidRDefault="00265766" w:rsidP="00265766">
            <w:pPr>
              <w:spacing w:after="0"/>
              <w:jc w:val="both"/>
              <w:rPr>
                <w:rFonts w:ascii="Times New Roman" w:hAnsi="Times New Roman" w:cs="Times New Roman"/>
              </w:rPr>
            </w:pPr>
          </w:p>
        </w:tc>
      </w:tr>
      <w:tr w:rsidR="00265766" w:rsidRPr="009E686F" w14:paraId="6F3E7AC8" w14:textId="77777777" w:rsidTr="00960C23">
        <w:tc>
          <w:tcPr>
            <w:tcW w:w="1890" w:type="pct"/>
            <w:tcBorders>
              <w:top w:val="single" w:sz="4" w:space="0" w:color="auto"/>
              <w:left w:val="single" w:sz="4" w:space="0" w:color="auto"/>
              <w:bottom w:val="single" w:sz="4" w:space="0" w:color="auto"/>
              <w:right w:val="single" w:sz="4" w:space="0" w:color="auto"/>
            </w:tcBorders>
          </w:tcPr>
          <w:p w14:paraId="6A3CD53C" w14:textId="724B6948"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(c) Consiliului pentru Stabilitate Financiară, în scopul funcției sale de supraveghere.</w:t>
            </w:r>
          </w:p>
        </w:tc>
        <w:tc>
          <w:tcPr>
            <w:tcW w:w="1834" w:type="pct"/>
            <w:tcBorders>
              <w:top w:val="single" w:sz="4" w:space="0" w:color="auto"/>
              <w:left w:val="single" w:sz="4" w:space="0" w:color="auto"/>
              <w:bottom w:val="single" w:sz="4" w:space="0" w:color="auto"/>
              <w:right w:val="single" w:sz="4" w:space="0" w:color="auto"/>
            </w:tcBorders>
          </w:tcPr>
          <w:p w14:paraId="6EAF0F20" w14:textId="5009DAFB" w:rsidR="00265766" w:rsidRPr="009E686F" w:rsidRDefault="00265766" w:rsidP="00265766">
            <w:pPr>
              <w:spacing w:after="0"/>
              <w:jc w:val="both"/>
              <w:rPr>
                <w:rFonts w:ascii="Times New Roman" w:hAnsi="Times New Roman" w:cs="Times New Roman"/>
                <w:b/>
                <w:i/>
                <w:iCs/>
                <w:lang w:val="it-CH"/>
              </w:rPr>
            </w:pPr>
            <w:r w:rsidRPr="009E686F">
              <w:rPr>
                <w:rFonts w:ascii="Times New Roman" w:eastAsia="Aptos" w:hAnsi="Times New Roman" w:cs="Times New Roman"/>
                <w:i/>
                <w:iCs/>
                <w:kern w:val="2"/>
                <w:lang w:val="ro-MD"/>
              </w:rPr>
              <w:t>c) Consiliului pentru Stabilitate Financiară, în scopul funcţiei sale de supraveghere.</w:t>
            </w:r>
          </w:p>
        </w:tc>
        <w:tc>
          <w:tcPr>
            <w:tcW w:w="470" w:type="pct"/>
            <w:tcBorders>
              <w:top w:val="single" w:sz="4" w:space="0" w:color="auto"/>
              <w:left w:val="single" w:sz="4" w:space="0" w:color="auto"/>
              <w:bottom w:val="single" w:sz="4" w:space="0" w:color="auto"/>
              <w:right w:val="single" w:sz="4" w:space="0" w:color="auto"/>
            </w:tcBorders>
          </w:tcPr>
          <w:p w14:paraId="4CE42D4B" w14:textId="6BDCD22F" w:rsidR="00265766" w:rsidRPr="009E686F" w:rsidRDefault="00265766" w:rsidP="00265766">
            <w:pPr>
              <w:jc w:val="both"/>
              <w:rPr>
                <w:rFonts w:ascii="Times New Roman" w:hAnsi="Times New Roman" w:cs="Times New Roman"/>
                <w:lang w:val="it-IT"/>
              </w:rPr>
            </w:pPr>
          </w:p>
        </w:tc>
        <w:tc>
          <w:tcPr>
            <w:tcW w:w="806" w:type="pct"/>
            <w:tcBorders>
              <w:top w:val="single" w:sz="4" w:space="0" w:color="auto"/>
              <w:left w:val="single" w:sz="4" w:space="0" w:color="auto"/>
              <w:bottom w:val="single" w:sz="4" w:space="0" w:color="auto"/>
              <w:right w:val="single" w:sz="4" w:space="0" w:color="auto"/>
            </w:tcBorders>
          </w:tcPr>
          <w:p w14:paraId="68AA7B06" w14:textId="77777777" w:rsidR="00265766" w:rsidRPr="009E686F" w:rsidRDefault="00265766" w:rsidP="00265766">
            <w:pPr>
              <w:spacing w:after="0"/>
              <w:jc w:val="both"/>
              <w:rPr>
                <w:rFonts w:ascii="Times New Roman" w:hAnsi="Times New Roman" w:cs="Times New Roman"/>
                <w:lang w:val="it-IT"/>
              </w:rPr>
            </w:pPr>
          </w:p>
        </w:tc>
      </w:tr>
      <w:tr w:rsidR="00265766" w:rsidRPr="009E686F" w14:paraId="5ED523A6" w14:textId="77777777" w:rsidTr="00960C23">
        <w:tc>
          <w:tcPr>
            <w:tcW w:w="1890" w:type="pct"/>
            <w:tcBorders>
              <w:top w:val="single" w:sz="4" w:space="0" w:color="auto"/>
              <w:left w:val="single" w:sz="4" w:space="0" w:color="auto"/>
              <w:bottom w:val="single" w:sz="4" w:space="0" w:color="auto"/>
              <w:right w:val="single" w:sz="4" w:space="0" w:color="auto"/>
            </w:tcBorders>
          </w:tcPr>
          <w:p w14:paraId="54BA59B5" w14:textId="79772E3F"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 xml:space="preserve">(2) Autoritățile competente nu pot împărtăși informații confidențiale decât în urma unei solicitări explicite din partea </w:t>
            </w:r>
            <w:r w:rsidRPr="009E686F">
              <w:rPr>
                <w:rFonts w:ascii="Times New Roman" w:hAnsi="Times New Roman" w:cs="Times New Roman"/>
                <w:lang w:val="it-CH"/>
              </w:rPr>
              <w:lastRenderedPageBreak/>
              <w:t>organismului relevant, în cazul în care sunt îndeplinite cel puțin condițiile următoare:</w:t>
            </w:r>
          </w:p>
        </w:tc>
        <w:tc>
          <w:tcPr>
            <w:tcW w:w="1834" w:type="pct"/>
            <w:tcBorders>
              <w:top w:val="single" w:sz="4" w:space="0" w:color="auto"/>
              <w:left w:val="single" w:sz="4" w:space="0" w:color="auto"/>
              <w:bottom w:val="single" w:sz="4" w:space="0" w:color="auto"/>
              <w:right w:val="single" w:sz="4" w:space="0" w:color="auto"/>
            </w:tcBorders>
          </w:tcPr>
          <w:p w14:paraId="6B02739A" w14:textId="42311A80" w:rsidR="00265766" w:rsidRPr="009E686F" w:rsidRDefault="00265766" w:rsidP="00265766">
            <w:pPr>
              <w:spacing w:after="0" w:line="278" w:lineRule="auto"/>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lastRenderedPageBreak/>
              <w:t xml:space="preserve">(2) Banca Națională a Moldovei nu poate furniza informaţii confidenţiale organismului relevant, decât în urma unei </w:t>
            </w:r>
            <w:r w:rsidRPr="009E686F">
              <w:rPr>
                <w:rFonts w:ascii="Times New Roman" w:eastAsia="Aptos" w:hAnsi="Times New Roman" w:cs="Times New Roman"/>
                <w:i/>
                <w:iCs/>
                <w:kern w:val="2"/>
                <w:lang w:val="ro-MD"/>
              </w:rPr>
              <w:lastRenderedPageBreak/>
              <w:t xml:space="preserve">solicitări explicite din partea acestuia și în cazul în care sunt îndeplinite cel puţin următoarele condiţii: </w:t>
            </w:r>
          </w:p>
        </w:tc>
        <w:tc>
          <w:tcPr>
            <w:tcW w:w="470" w:type="pct"/>
            <w:tcBorders>
              <w:top w:val="single" w:sz="4" w:space="0" w:color="auto"/>
              <w:left w:val="single" w:sz="4" w:space="0" w:color="auto"/>
              <w:bottom w:val="single" w:sz="4" w:space="0" w:color="auto"/>
              <w:right w:val="single" w:sz="4" w:space="0" w:color="auto"/>
            </w:tcBorders>
          </w:tcPr>
          <w:p w14:paraId="5819C125" w14:textId="34B4C34E" w:rsidR="00265766" w:rsidRPr="009E686F" w:rsidRDefault="00265766" w:rsidP="00265766">
            <w:pPr>
              <w:jc w:val="both"/>
              <w:rPr>
                <w:rFonts w:ascii="Times New Roman" w:hAnsi="Times New Roman" w:cs="Times New Roman"/>
                <w:lang w:val="it-CH"/>
              </w:rPr>
            </w:pPr>
            <w:r w:rsidRPr="009E686F">
              <w:rPr>
                <w:rFonts w:ascii="Times New Roman" w:hAnsi="Times New Roman" w:cs="Times New Roman"/>
                <w:lang w:val="it-CH"/>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6F139F5A" w14:textId="77777777" w:rsidR="00265766" w:rsidRPr="009E686F" w:rsidRDefault="00265766" w:rsidP="00265766">
            <w:pPr>
              <w:spacing w:after="0"/>
              <w:jc w:val="both"/>
              <w:rPr>
                <w:rFonts w:ascii="Times New Roman" w:hAnsi="Times New Roman" w:cs="Times New Roman"/>
                <w:lang w:val="it-CH"/>
              </w:rPr>
            </w:pPr>
          </w:p>
        </w:tc>
      </w:tr>
      <w:tr w:rsidR="00265766" w:rsidRPr="009E686F" w14:paraId="5A09A894" w14:textId="77777777" w:rsidTr="00960C23">
        <w:tc>
          <w:tcPr>
            <w:tcW w:w="1890" w:type="pct"/>
            <w:tcBorders>
              <w:top w:val="single" w:sz="4" w:space="0" w:color="auto"/>
              <w:left w:val="single" w:sz="4" w:space="0" w:color="auto"/>
              <w:bottom w:val="single" w:sz="4" w:space="0" w:color="auto"/>
              <w:right w:val="single" w:sz="4" w:space="0" w:color="auto"/>
            </w:tcBorders>
          </w:tcPr>
          <w:p w14:paraId="005E556D" w14:textId="7F9A4200"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(a) solicitarea este pe deplin justificată prin prisma sarcinilor specifice efectuate de organismul solicitant în conformitate cu mandatul statutar al acestuia;</w:t>
            </w:r>
          </w:p>
        </w:tc>
        <w:tc>
          <w:tcPr>
            <w:tcW w:w="1834" w:type="pct"/>
            <w:tcBorders>
              <w:top w:val="single" w:sz="4" w:space="0" w:color="auto"/>
              <w:left w:val="single" w:sz="4" w:space="0" w:color="auto"/>
              <w:bottom w:val="single" w:sz="4" w:space="0" w:color="auto"/>
              <w:right w:val="single" w:sz="4" w:space="0" w:color="auto"/>
            </w:tcBorders>
          </w:tcPr>
          <w:p w14:paraId="1C9E79C5" w14:textId="289115D3" w:rsidR="00265766" w:rsidRPr="009E686F" w:rsidRDefault="00265766" w:rsidP="00265766">
            <w:pPr>
              <w:spacing w:after="0" w:line="278" w:lineRule="auto"/>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 xml:space="preserve">a) solicitarea este pe deplin justificată prin prisma atribuțiilor specifice efectuate de organismul solicitant ce îi revin conform competențelor legale; </w:t>
            </w:r>
          </w:p>
        </w:tc>
        <w:tc>
          <w:tcPr>
            <w:tcW w:w="470" w:type="pct"/>
            <w:tcBorders>
              <w:top w:val="single" w:sz="4" w:space="0" w:color="auto"/>
              <w:left w:val="single" w:sz="4" w:space="0" w:color="auto"/>
              <w:bottom w:val="single" w:sz="4" w:space="0" w:color="auto"/>
              <w:right w:val="single" w:sz="4" w:space="0" w:color="auto"/>
            </w:tcBorders>
          </w:tcPr>
          <w:p w14:paraId="06B23A56" w14:textId="506150FF" w:rsidR="00265766" w:rsidRPr="009E686F" w:rsidRDefault="00265766" w:rsidP="00265766">
            <w:pPr>
              <w:jc w:val="both"/>
              <w:rPr>
                <w:rFonts w:ascii="Times New Roman" w:hAnsi="Times New Roman" w:cs="Times New Roman"/>
                <w:lang w:val="it-CH"/>
              </w:rPr>
            </w:pPr>
            <w:r w:rsidRPr="009E686F">
              <w:rPr>
                <w:rFonts w:ascii="Times New Roman" w:hAnsi="Times New Roman" w:cs="Times New Roman"/>
                <w:lang w:val="it-CH"/>
              </w:rPr>
              <w:t>Compatibil</w:t>
            </w:r>
          </w:p>
        </w:tc>
        <w:tc>
          <w:tcPr>
            <w:tcW w:w="806" w:type="pct"/>
            <w:tcBorders>
              <w:top w:val="single" w:sz="4" w:space="0" w:color="auto"/>
              <w:left w:val="single" w:sz="4" w:space="0" w:color="auto"/>
              <w:bottom w:val="single" w:sz="4" w:space="0" w:color="auto"/>
              <w:right w:val="single" w:sz="4" w:space="0" w:color="auto"/>
            </w:tcBorders>
          </w:tcPr>
          <w:p w14:paraId="7E749874" w14:textId="77777777" w:rsidR="00265766" w:rsidRPr="009E686F" w:rsidRDefault="00265766" w:rsidP="00265766">
            <w:pPr>
              <w:spacing w:after="0"/>
              <w:jc w:val="both"/>
              <w:rPr>
                <w:rFonts w:ascii="Times New Roman" w:hAnsi="Times New Roman" w:cs="Times New Roman"/>
                <w:lang w:val="it-CH"/>
              </w:rPr>
            </w:pPr>
          </w:p>
        </w:tc>
      </w:tr>
      <w:tr w:rsidR="00265766" w:rsidRPr="009E686F" w14:paraId="31960213" w14:textId="77777777" w:rsidTr="00960C23">
        <w:tc>
          <w:tcPr>
            <w:tcW w:w="1890" w:type="pct"/>
            <w:tcBorders>
              <w:top w:val="single" w:sz="4" w:space="0" w:color="auto"/>
              <w:left w:val="single" w:sz="4" w:space="0" w:color="auto"/>
              <w:bottom w:val="single" w:sz="4" w:space="0" w:color="auto"/>
              <w:right w:val="single" w:sz="4" w:space="0" w:color="auto"/>
            </w:tcBorders>
          </w:tcPr>
          <w:p w14:paraId="23922B89" w14:textId="620695B1" w:rsidR="00265766" w:rsidRPr="009E686F" w:rsidRDefault="00265766" w:rsidP="00265766">
            <w:pPr>
              <w:spacing w:after="0"/>
              <w:jc w:val="both"/>
              <w:rPr>
                <w:rFonts w:ascii="Times New Roman" w:hAnsi="Times New Roman" w:cs="Times New Roman"/>
                <w:lang w:val="pt-BR"/>
              </w:rPr>
            </w:pPr>
            <w:r w:rsidRPr="009E686F">
              <w:rPr>
                <w:rFonts w:ascii="Times New Roman" w:hAnsi="Times New Roman" w:cs="Times New Roman"/>
                <w:lang w:val="pt-BR"/>
              </w:rPr>
              <w:t>(b) solicitarea este suficient de precisă în ceea ce privește natura, sfera de cuprindere și formatul informațiilor solicitate, precum și mijloacele de publicare sau transmitere a acestora;</w:t>
            </w:r>
          </w:p>
        </w:tc>
        <w:tc>
          <w:tcPr>
            <w:tcW w:w="1834" w:type="pct"/>
            <w:tcBorders>
              <w:top w:val="single" w:sz="4" w:space="0" w:color="auto"/>
              <w:left w:val="single" w:sz="4" w:space="0" w:color="auto"/>
              <w:bottom w:val="single" w:sz="4" w:space="0" w:color="auto"/>
              <w:right w:val="single" w:sz="4" w:space="0" w:color="auto"/>
            </w:tcBorders>
          </w:tcPr>
          <w:p w14:paraId="1CA72207" w14:textId="77777777" w:rsidR="00265766" w:rsidRPr="009E686F" w:rsidRDefault="00265766" w:rsidP="00265766">
            <w:pPr>
              <w:spacing w:after="0" w:line="278" w:lineRule="auto"/>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 xml:space="preserve">b) solicitarea este suficient de clară în ceea ce privește natura, sfera de cuprindere și formatul informaţiilor solicitate, precum și mijloacele de publicare sau transmitere a acestora; </w:t>
            </w:r>
          </w:p>
          <w:p w14:paraId="51E90EFF" w14:textId="77777777" w:rsidR="00265766" w:rsidRPr="009E686F" w:rsidRDefault="00265766" w:rsidP="00265766">
            <w:pPr>
              <w:spacing w:after="0"/>
              <w:jc w:val="both"/>
              <w:rPr>
                <w:rFonts w:ascii="Times New Roman" w:hAnsi="Times New Roman" w:cs="Times New Roman"/>
                <w:b/>
                <w:lang w:val="pt-BR"/>
              </w:rPr>
            </w:pPr>
          </w:p>
        </w:tc>
        <w:tc>
          <w:tcPr>
            <w:tcW w:w="470" w:type="pct"/>
            <w:tcBorders>
              <w:top w:val="single" w:sz="4" w:space="0" w:color="auto"/>
              <w:left w:val="single" w:sz="4" w:space="0" w:color="auto"/>
              <w:bottom w:val="single" w:sz="4" w:space="0" w:color="auto"/>
              <w:right w:val="single" w:sz="4" w:space="0" w:color="auto"/>
            </w:tcBorders>
          </w:tcPr>
          <w:p w14:paraId="74F134A2" w14:textId="3E144BEC" w:rsidR="00265766" w:rsidRPr="009E686F" w:rsidRDefault="00265766" w:rsidP="00265766">
            <w:pPr>
              <w:jc w:val="both"/>
              <w:rPr>
                <w:rFonts w:ascii="Times New Roman" w:hAnsi="Times New Roman" w:cs="Times New Roman"/>
              </w:rPr>
            </w:pPr>
            <w:r w:rsidRPr="009E686F">
              <w:rPr>
                <w:rFonts w:ascii="Times New Roman" w:hAnsi="Times New Roman" w:cs="Times New Roman"/>
                <w:lang w:val="it-CH"/>
              </w:rPr>
              <w:t>Compatibil</w:t>
            </w:r>
          </w:p>
        </w:tc>
        <w:tc>
          <w:tcPr>
            <w:tcW w:w="806" w:type="pct"/>
            <w:tcBorders>
              <w:top w:val="single" w:sz="4" w:space="0" w:color="auto"/>
              <w:left w:val="single" w:sz="4" w:space="0" w:color="auto"/>
              <w:bottom w:val="single" w:sz="4" w:space="0" w:color="auto"/>
              <w:right w:val="single" w:sz="4" w:space="0" w:color="auto"/>
            </w:tcBorders>
          </w:tcPr>
          <w:p w14:paraId="647D2F8C" w14:textId="77777777" w:rsidR="00265766" w:rsidRPr="009E686F" w:rsidRDefault="00265766" w:rsidP="00265766">
            <w:pPr>
              <w:spacing w:after="0"/>
              <w:jc w:val="both"/>
              <w:rPr>
                <w:rFonts w:ascii="Times New Roman" w:hAnsi="Times New Roman" w:cs="Times New Roman"/>
              </w:rPr>
            </w:pPr>
          </w:p>
        </w:tc>
      </w:tr>
      <w:tr w:rsidR="00265766" w:rsidRPr="009E686F" w14:paraId="27E8A960" w14:textId="77777777" w:rsidTr="00960C23">
        <w:tc>
          <w:tcPr>
            <w:tcW w:w="1890" w:type="pct"/>
            <w:tcBorders>
              <w:top w:val="single" w:sz="4" w:space="0" w:color="auto"/>
              <w:left w:val="single" w:sz="4" w:space="0" w:color="auto"/>
              <w:bottom w:val="single" w:sz="4" w:space="0" w:color="auto"/>
              <w:right w:val="single" w:sz="4" w:space="0" w:color="auto"/>
            </w:tcBorders>
          </w:tcPr>
          <w:p w14:paraId="1BEC36E1" w14:textId="3BD43C95"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(c) informațiile solicitate sunt necesare strict pentru îndeplinirea sarcinilor specifice ale organismului solicitant și nu depășesc sarcinile statutare atribuite organismului solicitant</w:t>
            </w:r>
          </w:p>
        </w:tc>
        <w:tc>
          <w:tcPr>
            <w:tcW w:w="1834" w:type="pct"/>
            <w:tcBorders>
              <w:top w:val="single" w:sz="4" w:space="0" w:color="auto"/>
              <w:left w:val="single" w:sz="4" w:space="0" w:color="auto"/>
              <w:bottom w:val="single" w:sz="4" w:space="0" w:color="auto"/>
              <w:right w:val="single" w:sz="4" w:space="0" w:color="auto"/>
            </w:tcBorders>
          </w:tcPr>
          <w:p w14:paraId="79CC2D47" w14:textId="70549076" w:rsidR="00265766" w:rsidRPr="009E686F" w:rsidRDefault="00265766" w:rsidP="00265766">
            <w:pPr>
              <w:spacing w:after="0" w:line="278" w:lineRule="auto"/>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 xml:space="preserve">c) informaţiile solicitate sunt strict necesare pentru îndeplinirea atribuțiilor sarcinilor specifice ale organismului solicitant și nu depășesc competențele legale ale acestuia; </w:t>
            </w:r>
          </w:p>
        </w:tc>
        <w:tc>
          <w:tcPr>
            <w:tcW w:w="470" w:type="pct"/>
            <w:tcBorders>
              <w:top w:val="single" w:sz="4" w:space="0" w:color="auto"/>
              <w:left w:val="single" w:sz="4" w:space="0" w:color="auto"/>
              <w:bottom w:val="single" w:sz="4" w:space="0" w:color="auto"/>
              <w:right w:val="single" w:sz="4" w:space="0" w:color="auto"/>
            </w:tcBorders>
          </w:tcPr>
          <w:p w14:paraId="28F1F7D4" w14:textId="4FD45175" w:rsidR="00265766" w:rsidRPr="009E686F" w:rsidRDefault="00265766" w:rsidP="00265766">
            <w:pPr>
              <w:jc w:val="both"/>
              <w:rPr>
                <w:rFonts w:ascii="Times New Roman" w:hAnsi="Times New Roman" w:cs="Times New Roman"/>
              </w:rPr>
            </w:pPr>
            <w:r w:rsidRPr="009E686F">
              <w:rPr>
                <w:rFonts w:ascii="Times New Roman" w:hAnsi="Times New Roman" w:cs="Times New Roman"/>
                <w:lang w:val="it-CH"/>
              </w:rPr>
              <w:t>Compatibil</w:t>
            </w:r>
          </w:p>
        </w:tc>
        <w:tc>
          <w:tcPr>
            <w:tcW w:w="806" w:type="pct"/>
            <w:tcBorders>
              <w:top w:val="single" w:sz="4" w:space="0" w:color="auto"/>
              <w:left w:val="single" w:sz="4" w:space="0" w:color="auto"/>
              <w:bottom w:val="single" w:sz="4" w:space="0" w:color="auto"/>
              <w:right w:val="single" w:sz="4" w:space="0" w:color="auto"/>
            </w:tcBorders>
          </w:tcPr>
          <w:p w14:paraId="65BD3D61" w14:textId="77777777" w:rsidR="00265766" w:rsidRPr="009E686F" w:rsidRDefault="00265766" w:rsidP="00265766">
            <w:pPr>
              <w:spacing w:after="0"/>
              <w:jc w:val="both"/>
              <w:rPr>
                <w:rFonts w:ascii="Times New Roman" w:hAnsi="Times New Roman" w:cs="Times New Roman"/>
              </w:rPr>
            </w:pPr>
          </w:p>
        </w:tc>
      </w:tr>
      <w:tr w:rsidR="00265766" w:rsidRPr="009E686F" w14:paraId="71DC14E0" w14:textId="77777777" w:rsidTr="00960C23">
        <w:tc>
          <w:tcPr>
            <w:tcW w:w="1890" w:type="pct"/>
            <w:tcBorders>
              <w:top w:val="single" w:sz="4" w:space="0" w:color="auto"/>
              <w:left w:val="single" w:sz="4" w:space="0" w:color="auto"/>
              <w:bottom w:val="single" w:sz="4" w:space="0" w:color="auto"/>
              <w:right w:val="single" w:sz="4" w:space="0" w:color="auto"/>
            </w:tcBorders>
          </w:tcPr>
          <w:p w14:paraId="3C8BC7A7" w14:textId="5923E827" w:rsidR="00265766" w:rsidRPr="009E686F" w:rsidRDefault="00265766" w:rsidP="00265766">
            <w:pPr>
              <w:spacing w:after="0"/>
              <w:jc w:val="both"/>
              <w:rPr>
                <w:rFonts w:ascii="Times New Roman" w:hAnsi="Times New Roman" w:cs="Times New Roman"/>
              </w:rPr>
            </w:pPr>
            <w:r w:rsidRPr="009E686F">
              <w:rPr>
                <w:rFonts w:ascii="Times New Roman" w:hAnsi="Times New Roman" w:cs="Times New Roman"/>
              </w:rPr>
              <w:t>(d) informațiile sunt transmise sau divulgate strict persoanelor direct implicate în efectuarea sarcinii respective;</w:t>
            </w:r>
          </w:p>
        </w:tc>
        <w:tc>
          <w:tcPr>
            <w:tcW w:w="1834" w:type="pct"/>
            <w:tcBorders>
              <w:top w:val="single" w:sz="4" w:space="0" w:color="auto"/>
              <w:left w:val="single" w:sz="4" w:space="0" w:color="auto"/>
              <w:bottom w:val="single" w:sz="4" w:space="0" w:color="auto"/>
              <w:right w:val="single" w:sz="4" w:space="0" w:color="auto"/>
            </w:tcBorders>
          </w:tcPr>
          <w:p w14:paraId="499C651E" w14:textId="40C6401E" w:rsidR="00265766" w:rsidRPr="009E686F" w:rsidRDefault="00265766" w:rsidP="00265766">
            <w:pPr>
              <w:spacing w:after="0" w:line="278" w:lineRule="auto"/>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 xml:space="preserve">d) informaţiile sunt transmise sau divulgate doar persoanelor direct implicate în îndeplinirea atribuțiilor specifice; </w:t>
            </w:r>
          </w:p>
        </w:tc>
        <w:tc>
          <w:tcPr>
            <w:tcW w:w="470" w:type="pct"/>
            <w:tcBorders>
              <w:top w:val="single" w:sz="4" w:space="0" w:color="auto"/>
              <w:left w:val="single" w:sz="4" w:space="0" w:color="auto"/>
              <w:bottom w:val="single" w:sz="4" w:space="0" w:color="auto"/>
              <w:right w:val="single" w:sz="4" w:space="0" w:color="auto"/>
            </w:tcBorders>
          </w:tcPr>
          <w:p w14:paraId="0FE00745" w14:textId="53A07B1B" w:rsidR="00265766" w:rsidRPr="009E686F" w:rsidRDefault="00265766" w:rsidP="00265766">
            <w:pPr>
              <w:jc w:val="both"/>
              <w:rPr>
                <w:rFonts w:ascii="Times New Roman" w:hAnsi="Times New Roman" w:cs="Times New Roman"/>
              </w:rPr>
            </w:pPr>
            <w:r w:rsidRPr="009E686F">
              <w:rPr>
                <w:rFonts w:ascii="Times New Roman" w:hAnsi="Times New Roman" w:cs="Times New Roman"/>
                <w:lang w:val="it-CH"/>
              </w:rPr>
              <w:t>Compatibil</w:t>
            </w:r>
          </w:p>
        </w:tc>
        <w:tc>
          <w:tcPr>
            <w:tcW w:w="806" w:type="pct"/>
            <w:tcBorders>
              <w:top w:val="single" w:sz="4" w:space="0" w:color="auto"/>
              <w:left w:val="single" w:sz="4" w:space="0" w:color="auto"/>
              <w:bottom w:val="single" w:sz="4" w:space="0" w:color="auto"/>
              <w:right w:val="single" w:sz="4" w:space="0" w:color="auto"/>
            </w:tcBorders>
          </w:tcPr>
          <w:p w14:paraId="20838D9A" w14:textId="77777777" w:rsidR="00265766" w:rsidRPr="009E686F" w:rsidRDefault="00265766" w:rsidP="00265766">
            <w:pPr>
              <w:spacing w:after="0"/>
              <w:jc w:val="both"/>
              <w:rPr>
                <w:rFonts w:ascii="Times New Roman" w:hAnsi="Times New Roman" w:cs="Times New Roman"/>
              </w:rPr>
            </w:pPr>
          </w:p>
        </w:tc>
      </w:tr>
      <w:tr w:rsidR="00265766" w:rsidRPr="009E686F" w14:paraId="1B08BFC1" w14:textId="77777777" w:rsidTr="00960C23">
        <w:tc>
          <w:tcPr>
            <w:tcW w:w="1890" w:type="pct"/>
            <w:tcBorders>
              <w:top w:val="single" w:sz="4" w:space="0" w:color="auto"/>
              <w:left w:val="single" w:sz="4" w:space="0" w:color="auto"/>
              <w:bottom w:val="single" w:sz="4" w:space="0" w:color="auto"/>
              <w:right w:val="single" w:sz="4" w:space="0" w:color="auto"/>
            </w:tcBorders>
          </w:tcPr>
          <w:p w14:paraId="627B6E9E" w14:textId="3F4CD2DD"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(e) persoanele care au acces la informații sunt supuse unor cerințe privind secretul profesional cel puțin echivalente cu cele menționate la articolul 53 alineatul (1).</w:t>
            </w:r>
          </w:p>
        </w:tc>
        <w:tc>
          <w:tcPr>
            <w:tcW w:w="1834" w:type="pct"/>
            <w:tcBorders>
              <w:top w:val="single" w:sz="4" w:space="0" w:color="auto"/>
              <w:left w:val="single" w:sz="4" w:space="0" w:color="auto"/>
              <w:bottom w:val="single" w:sz="4" w:space="0" w:color="auto"/>
              <w:right w:val="single" w:sz="4" w:space="0" w:color="auto"/>
            </w:tcBorders>
          </w:tcPr>
          <w:p w14:paraId="6A61895D" w14:textId="33F6FA05" w:rsidR="00265766" w:rsidRPr="009E686F" w:rsidRDefault="00265766" w:rsidP="00265766">
            <w:pPr>
              <w:spacing w:after="0"/>
              <w:jc w:val="both"/>
              <w:rPr>
                <w:rFonts w:ascii="Times New Roman" w:hAnsi="Times New Roman" w:cs="Times New Roman"/>
                <w:b/>
                <w:i/>
                <w:iCs/>
                <w:lang w:val="it-CH"/>
              </w:rPr>
            </w:pPr>
            <w:r w:rsidRPr="009E686F">
              <w:rPr>
                <w:rFonts w:ascii="Times New Roman" w:eastAsia="Aptos" w:hAnsi="Times New Roman" w:cs="Times New Roman"/>
                <w:i/>
                <w:iCs/>
                <w:kern w:val="2"/>
                <w:lang w:val="ro-MD"/>
              </w:rPr>
              <w:t>e) persoanele care au acces la informaţii sunt supuse unor cerințe de păstrare a secretului profesional, cel puţin echivalente celor de la art.126.</w:t>
            </w:r>
          </w:p>
        </w:tc>
        <w:tc>
          <w:tcPr>
            <w:tcW w:w="470" w:type="pct"/>
            <w:tcBorders>
              <w:top w:val="single" w:sz="4" w:space="0" w:color="auto"/>
              <w:left w:val="single" w:sz="4" w:space="0" w:color="auto"/>
              <w:bottom w:val="single" w:sz="4" w:space="0" w:color="auto"/>
              <w:right w:val="single" w:sz="4" w:space="0" w:color="auto"/>
            </w:tcBorders>
          </w:tcPr>
          <w:p w14:paraId="3ADF949E" w14:textId="5D275E2E" w:rsidR="00265766" w:rsidRPr="009E686F" w:rsidRDefault="00265766" w:rsidP="00265766">
            <w:pPr>
              <w:jc w:val="both"/>
              <w:rPr>
                <w:rFonts w:ascii="Times New Roman" w:hAnsi="Times New Roman" w:cs="Times New Roman"/>
              </w:rPr>
            </w:pPr>
            <w:r w:rsidRPr="009E686F">
              <w:rPr>
                <w:rFonts w:ascii="Times New Roman" w:hAnsi="Times New Roman" w:cs="Times New Roman"/>
                <w:lang w:val="it-CH"/>
              </w:rPr>
              <w:t>Compatibil</w:t>
            </w:r>
          </w:p>
        </w:tc>
        <w:tc>
          <w:tcPr>
            <w:tcW w:w="806" w:type="pct"/>
            <w:tcBorders>
              <w:top w:val="single" w:sz="4" w:space="0" w:color="auto"/>
              <w:left w:val="single" w:sz="4" w:space="0" w:color="auto"/>
              <w:bottom w:val="single" w:sz="4" w:space="0" w:color="auto"/>
              <w:right w:val="single" w:sz="4" w:space="0" w:color="auto"/>
            </w:tcBorders>
          </w:tcPr>
          <w:p w14:paraId="2E555774" w14:textId="77777777" w:rsidR="00265766" w:rsidRPr="009E686F" w:rsidRDefault="00265766" w:rsidP="00265766">
            <w:pPr>
              <w:spacing w:after="0"/>
              <w:jc w:val="both"/>
              <w:rPr>
                <w:rFonts w:ascii="Times New Roman" w:hAnsi="Times New Roman" w:cs="Times New Roman"/>
              </w:rPr>
            </w:pPr>
          </w:p>
        </w:tc>
      </w:tr>
      <w:tr w:rsidR="00265766" w:rsidRPr="009E686F" w14:paraId="117E1319" w14:textId="77777777" w:rsidTr="00960C23">
        <w:tc>
          <w:tcPr>
            <w:tcW w:w="1890" w:type="pct"/>
            <w:tcBorders>
              <w:top w:val="single" w:sz="4" w:space="0" w:color="auto"/>
              <w:left w:val="single" w:sz="4" w:space="0" w:color="auto"/>
              <w:bottom w:val="single" w:sz="4" w:space="0" w:color="auto"/>
              <w:right w:val="single" w:sz="4" w:space="0" w:color="auto"/>
            </w:tcBorders>
          </w:tcPr>
          <w:p w14:paraId="6DF01F3D" w14:textId="2253666A"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(3) În cazul în care solicitarea este efectuată de oricare dintre entitățile menționate la alineatul (1), autoritățile competente nu pot transmite decât informații agregate sau anonimizate și nu pot împărtăși alte informații decât la sediul autorității competente.</w:t>
            </w:r>
          </w:p>
        </w:tc>
        <w:tc>
          <w:tcPr>
            <w:tcW w:w="1834" w:type="pct"/>
            <w:tcBorders>
              <w:top w:val="single" w:sz="4" w:space="0" w:color="auto"/>
              <w:left w:val="single" w:sz="4" w:space="0" w:color="auto"/>
              <w:bottom w:val="single" w:sz="4" w:space="0" w:color="auto"/>
              <w:right w:val="single" w:sz="4" w:space="0" w:color="auto"/>
            </w:tcBorders>
          </w:tcPr>
          <w:p w14:paraId="73F1F7A7" w14:textId="5A6CBFCC" w:rsidR="00265766" w:rsidRPr="009E686F" w:rsidRDefault="00265766" w:rsidP="00265766">
            <w:pPr>
              <w:spacing w:after="0"/>
              <w:jc w:val="both"/>
              <w:rPr>
                <w:rFonts w:ascii="Times New Roman" w:hAnsi="Times New Roman" w:cs="Times New Roman"/>
                <w:b/>
                <w:i/>
                <w:lang w:val="it-CH"/>
              </w:rPr>
            </w:pPr>
            <w:r w:rsidRPr="009E686F">
              <w:rPr>
                <w:rFonts w:ascii="Times New Roman" w:eastAsia="Aptos" w:hAnsi="Times New Roman" w:cs="Times New Roman"/>
                <w:i/>
                <w:iCs/>
                <w:kern w:val="2"/>
                <w:lang w:val="ro-MD"/>
              </w:rPr>
              <w:t xml:space="preserve">(3) În cazul în care solicitarea este efectuată de oricare dintre organismele menţionate la alin. (1), Banca Națională a Moldovei nu poate transmite decât informaţii agregate   sau anonimizate, iar alte informaţii le poate împărtăși doar la sediul acesteia.     </w:t>
            </w:r>
          </w:p>
        </w:tc>
        <w:tc>
          <w:tcPr>
            <w:tcW w:w="470" w:type="pct"/>
            <w:tcBorders>
              <w:top w:val="single" w:sz="4" w:space="0" w:color="auto"/>
              <w:left w:val="single" w:sz="4" w:space="0" w:color="auto"/>
              <w:bottom w:val="single" w:sz="4" w:space="0" w:color="auto"/>
              <w:right w:val="single" w:sz="4" w:space="0" w:color="auto"/>
            </w:tcBorders>
          </w:tcPr>
          <w:p w14:paraId="24B6AB2B" w14:textId="081F146C" w:rsidR="00265766" w:rsidRPr="009E686F" w:rsidRDefault="00265766" w:rsidP="00265766">
            <w:pPr>
              <w:jc w:val="both"/>
              <w:rPr>
                <w:rFonts w:ascii="Times New Roman" w:hAnsi="Times New Roman" w:cs="Times New Roman"/>
              </w:rPr>
            </w:pPr>
            <w:r w:rsidRPr="009E686F">
              <w:rPr>
                <w:rFonts w:ascii="Times New Roman" w:hAnsi="Times New Roman" w:cs="Times New Roman"/>
                <w:lang w:val="it-CH"/>
              </w:rPr>
              <w:t>Compatibil</w:t>
            </w:r>
          </w:p>
        </w:tc>
        <w:tc>
          <w:tcPr>
            <w:tcW w:w="806" w:type="pct"/>
            <w:tcBorders>
              <w:top w:val="single" w:sz="4" w:space="0" w:color="auto"/>
              <w:left w:val="single" w:sz="4" w:space="0" w:color="auto"/>
              <w:bottom w:val="single" w:sz="4" w:space="0" w:color="auto"/>
              <w:right w:val="single" w:sz="4" w:space="0" w:color="auto"/>
            </w:tcBorders>
          </w:tcPr>
          <w:p w14:paraId="0ED160DF" w14:textId="77777777" w:rsidR="00265766" w:rsidRPr="009E686F" w:rsidRDefault="00265766" w:rsidP="00265766">
            <w:pPr>
              <w:spacing w:after="0"/>
              <w:jc w:val="both"/>
              <w:rPr>
                <w:rFonts w:ascii="Times New Roman" w:hAnsi="Times New Roman" w:cs="Times New Roman"/>
              </w:rPr>
            </w:pPr>
          </w:p>
        </w:tc>
      </w:tr>
      <w:tr w:rsidR="00265766" w:rsidRPr="009E686F" w14:paraId="73354479" w14:textId="77777777" w:rsidTr="00960C23">
        <w:tc>
          <w:tcPr>
            <w:tcW w:w="1890" w:type="pct"/>
            <w:tcBorders>
              <w:top w:val="single" w:sz="4" w:space="0" w:color="auto"/>
              <w:left w:val="single" w:sz="4" w:space="0" w:color="auto"/>
              <w:bottom w:val="single" w:sz="4" w:space="0" w:color="auto"/>
              <w:right w:val="single" w:sz="4" w:space="0" w:color="auto"/>
            </w:tcBorders>
          </w:tcPr>
          <w:p w14:paraId="717FC3C3" w14:textId="797D8762" w:rsidR="00265766" w:rsidRPr="009E686F" w:rsidRDefault="00265766" w:rsidP="00265766">
            <w:pPr>
              <w:spacing w:after="0"/>
              <w:jc w:val="both"/>
              <w:rPr>
                <w:rFonts w:ascii="Times New Roman" w:hAnsi="Times New Roman" w:cs="Times New Roman"/>
              </w:rPr>
            </w:pPr>
            <w:r w:rsidRPr="009E686F">
              <w:rPr>
                <w:rFonts w:ascii="Times New Roman" w:hAnsi="Times New Roman" w:cs="Times New Roman"/>
              </w:rPr>
              <w:t>(4) În măsura în care publicarea informațiilor implică prelucrarea de date cu caracter personal, orice prelucrare de date cu caracter personal efectuată de organismul solicitant respectă cerințele prevăzute în Regulamentul (UE) 2016/679 al Parlamentului European și al Consiliului.</w:t>
            </w:r>
          </w:p>
        </w:tc>
        <w:tc>
          <w:tcPr>
            <w:tcW w:w="1834" w:type="pct"/>
            <w:tcBorders>
              <w:top w:val="single" w:sz="4" w:space="0" w:color="auto"/>
              <w:left w:val="single" w:sz="4" w:space="0" w:color="auto"/>
              <w:bottom w:val="single" w:sz="4" w:space="0" w:color="auto"/>
              <w:right w:val="single" w:sz="4" w:space="0" w:color="auto"/>
            </w:tcBorders>
          </w:tcPr>
          <w:p w14:paraId="2B9262C7" w14:textId="724A9B75" w:rsidR="00265766" w:rsidRPr="009E686F" w:rsidRDefault="00265766" w:rsidP="00265766">
            <w:pPr>
              <w:spacing w:after="0"/>
              <w:jc w:val="both"/>
              <w:rPr>
                <w:rFonts w:ascii="Times New Roman" w:hAnsi="Times New Roman" w:cs="Times New Roman"/>
                <w:b/>
                <w:i/>
                <w:iCs/>
              </w:rPr>
            </w:pPr>
            <w:r w:rsidRPr="009E686F">
              <w:rPr>
                <w:rFonts w:ascii="Times New Roman" w:eastAsia="Aptos" w:hAnsi="Times New Roman" w:cs="Times New Roman"/>
                <w:i/>
                <w:iCs/>
                <w:kern w:val="2"/>
                <w:lang w:val="ro-MD"/>
              </w:rPr>
              <w:t xml:space="preserve">(4) În măsura în care furnizarea de informaţii potrivit prezentului articol implică prelucrarea de date cu caracter personal, trebuie respectate prevederile Legii nr.195/2024 privind protecţia datelor cu caracter personal.   </w:t>
            </w:r>
          </w:p>
        </w:tc>
        <w:tc>
          <w:tcPr>
            <w:tcW w:w="470" w:type="pct"/>
            <w:tcBorders>
              <w:top w:val="single" w:sz="4" w:space="0" w:color="auto"/>
              <w:left w:val="single" w:sz="4" w:space="0" w:color="auto"/>
              <w:bottom w:val="single" w:sz="4" w:space="0" w:color="auto"/>
              <w:right w:val="single" w:sz="4" w:space="0" w:color="auto"/>
            </w:tcBorders>
          </w:tcPr>
          <w:p w14:paraId="29E425FD" w14:textId="7CCA20DF" w:rsidR="00265766" w:rsidRPr="009E686F" w:rsidRDefault="00265766" w:rsidP="00265766">
            <w:pPr>
              <w:jc w:val="both"/>
              <w:rPr>
                <w:rFonts w:ascii="Times New Roman" w:hAnsi="Times New Roman" w:cs="Times New Roman"/>
              </w:rPr>
            </w:pPr>
            <w:r w:rsidRPr="009E686F">
              <w:rPr>
                <w:rFonts w:ascii="Times New Roman" w:hAnsi="Times New Roman" w:cs="Times New Roman"/>
                <w:lang w:val="it-CH"/>
              </w:rPr>
              <w:t>Compatibil</w:t>
            </w:r>
          </w:p>
        </w:tc>
        <w:tc>
          <w:tcPr>
            <w:tcW w:w="806" w:type="pct"/>
            <w:tcBorders>
              <w:top w:val="single" w:sz="4" w:space="0" w:color="auto"/>
              <w:left w:val="single" w:sz="4" w:space="0" w:color="auto"/>
              <w:bottom w:val="single" w:sz="4" w:space="0" w:color="auto"/>
              <w:right w:val="single" w:sz="4" w:space="0" w:color="auto"/>
            </w:tcBorders>
          </w:tcPr>
          <w:p w14:paraId="30922F81" w14:textId="77777777" w:rsidR="00265766" w:rsidRPr="009E686F" w:rsidRDefault="00265766" w:rsidP="00265766">
            <w:pPr>
              <w:spacing w:after="0"/>
              <w:jc w:val="both"/>
              <w:rPr>
                <w:rFonts w:ascii="Times New Roman" w:hAnsi="Times New Roman" w:cs="Times New Roman"/>
              </w:rPr>
            </w:pPr>
          </w:p>
        </w:tc>
      </w:tr>
      <w:tr w:rsidR="00265766" w:rsidRPr="009E686F" w14:paraId="5FE0221C" w14:textId="77777777" w:rsidTr="00960C23">
        <w:tc>
          <w:tcPr>
            <w:tcW w:w="1890" w:type="pct"/>
            <w:tcBorders>
              <w:top w:val="single" w:sz="4" w:space="0" w:color="auto"/>
              <w:left w:val="single" w:sz="4" w:space="0" w:color="auto"/>
              <w:bottom w:val="single" w:sz="4" w:space="0" w:color="auto"/>
              <w:right w:val="single" w:sz="4" w:space="0" w:color="auto"/>
            </w:tcBorders>
          </w:tcPr>
          <w:p w14:paraId="13F84675" w14:textId="77777777" w:rsidR="00265766" w:rsidRPr="009E686F" w:rsidRDefault="00265766" w:rsidP="00265766">
            <w:pPr>
              <w:spacing w:after="0"/>
              <w:jc w:val="both"/>
              <w:rPr>
                <w:rFonts w:ascii="Times New Roman" w:hAnsi="Times New Roman" w:cs="Times New Roman"/>
                <w:i/>
                <w:iCs/>
                <w:lang w:val="it-CH"/>
              </w:rPr>
            </w:pPr>
            <w:r w:rsidRPr="009E686F">
              <w:rPr>
                <w:rFonts w:ascii="Times New Roman" w:hAnsi="Times New Roman" w:cs="Times New Roman"/>
                <w:i/>
                <w:iCs/>
                <w:lang w:val="it-CH"/>
              </w:rPr>
              <w:lastRenderedPageBreak/>
              <w:t xml:space="preserve">Articolul 59 </w:t>
            </w:r>
          </w:p>
          <w:p w14:paraId="28564DE0" w14:textId="7736FF97"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Transmiterea informațiilor către alte entități</w:t>
            </w:r>
          </w:p>
        </w:tc>
        <w:tc>
          <w:tcPr>
            <w:tcW w:w="1834" w:type="pct"/>
            <w:tcBorders>
              <w:top w:val="single" w:sz="4" w:space="0" w:color="auto"/>
              <w:left w:val="single" w:sz="4" w:space="0" w:color="auto"/>
              <w:bottom w:val="single" w:sz="4" w:space="0" w:color="auto"/>
              <w:right w:val="single" w:sz="4" w:space="0" w:color="auto"/>
            </w:tcBorders>
          </w:tcPr>
          <w:p w14:paraId="308710A9" w14:textId="0DAA671F" w:rsidR="00265766" w:rsidRPr="009E686F" w:rsidRDefault="00265766" w:rsidP="00265766">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b/>
                <w:bCs/>
                <w:kern w:val="2"/>
                <w:lang w:val="ro-MD"/>
              </w:rPr>
              <w:t>Articolul 132.</w:t>
            </w:r>
            <w:r w:rsidRPr="009E686F">
              <w:rPr>
                <w:rFonts w:ascii="Times New Roman" w:eastAsia="Aptos" w:hAnsi="Times New Roman" w:cs="Times New Roman"/>
                <w:kern w:val="2"/>
                <w:lang w:val="ro-MD"/>
              </w:rPr>
              <w:t xml:space="preserve"> Transmiterea informaţiilor către alte entităţi</w:t>
            </w:r>
          </w:p>
        </w:tc>
        <w:tc>
          <w:tcPr>
            <w:tcW w:w="470" w:type="pct"/>
            <w:tcBorders>
              <w:top w:val="single" w:sz="4" w:space="0" w:color="auto"/>
              <w:left w:val="single" w:sz="4" w:space="0" w:color="auto"/>
              <w:bottom w:val="single" w:sz="4" w:space="0" w:color="auto"/>
              <w:right w:val="single" w:sz="4" w:space="0" w:color="auto"/>
            </w:tcBorders>
          </w:tcPr>
          <w:p w14:paraId="1599144C" w14:textId="085086C5" w:rsidR="00265766" w:rsidRPr="009E686F" w:rsidRDefault="00265766" w:rsidP="00265766">
            <w:pPr>
              <w:jc w:val="both"/>
              <w:rPr>
                <w:rFonts w:ascii="Times New Roman" w:hAnsi="Times New Roman" w:cs="Times New Roman"/>
                <w:lang w:val="it-CH"/>
              </w:rPr>
            </w:pPr>
            <w:r w:rsidRPr="009E686F">
              <w:rPr>
                <w:rFonts w:ascii="Times New Roman" w:hAnsi="Times New Roman" w:cs="Times New Roman"/>
                <w:lang w:val="it-CH"/>
              </w:rPr>
              <w:t>Compatibil</w:t>
            </w:r>
          </w:p>
        </w:tc>
        <w:tc>
          <w:tcPr>
            <w:tcW w:w="806" w:type="pct"/>
            <w:tcBorders>
              <w:top w:val="single" w:sz="4" w:space="0" w:color="auto"/>
              <w:left w:val="single" w:sz="4" w:space="0" w:color="auto"/>
              <w:bottom w:val="single" w:sz="4" w:space="0" w:color="auto"/>
              <w:right w:val="single" w:sz="4" w:space="0" w:color="auto"/>
            </w:tcBorders>
          </w:tcPr>
          <w:p w14:paraId="2AA15FD6" w14:textId="0D20D76D" w:rsidR="00265766" w:rsidRPr="009E686F" w:rsidRDefault="00265766" w:rsidP="00265766">
            <w:pPr>
              <w:spacing w:after="0"/>
              <w:rPr>
                <w:rFonts w:ascii="Times New Roman" w:hAnsi="Times New Roman" w:cs="Times New Roman"/>
                <w:lang w:val="it-CH"/>
              </w:rPr>
            </w:pPr>
          </w:p>
        </w:tc>
      </w:tr>
      <w:tr w:rsidR="00265766" w:rsidRPr="009E686F" w14:paraId="23AD9C43" w14:textId="77777777" w:rsidTr="00960C23">
        <w:tc>
          <w:tcPr>
            <w:tcW w:w="1890" w:type="pct"/>
            <w:tcBorders>
              <w:top w:val="single" w:sz="4" w:space="0" w:color="auto"/>
              <w:left w:val="single" w:sz="4" w:space="0" w:color="auto"/>
              <w:bottom w:val="single" w:sz="4" w:space="0" w:color="auto"/>
              <w:right w:val="single" w:sz="4" w:space="0" w:color="auto"/>
            </w:tcBorders>
          </w:tcPr>
          <w:p w14:paraId="196E2C7C" w14:textId="219C87F7" w:rsidR="00265766" w:rsidRPr="009E686F" w:rsidRDefault="00265766" w:rsidP="00265766">
            <w:pPr>
              <w:spacing w:after="0"/>
              <w:jc w:val="both"/>
              <w:rPr>
                <w:rFonts w:ascii="Times New Roman" w:hAnsi="Times New Roman" w:cs="Times New Roman"/>
              </w:rPr>
            </w:pPr>
            <w:r w:rsidRPr="009E686F">
              <w:rPr>
                <w:rFonts w:ascii="Times New Roman" w:hAnsi="Times New Roman" w:cs="Times New Roman"/>
              </w:rPr>
              <w:t>(1)Fără a aduce atingere articolului 53 alineatul (1) și articolului 54, statele membre pot autoriza, în temeiul dispozițiilor din dreptul intern, comunicarea anumitor informații altor departamente ale administrațiilor centrale de stat care răspund de legislația privind supravegherea instituțiilor, a instituțiilor financiare și a întreprinderilor de asigurare, precum și inspectorilor care acționează în numele departamentelor respective.</w:t>
            </w:r>
          </w:p>
        </w:tc>
        <w:tc>
          <w:tcPr>
            <w:tcW w:w="1834" w:type="pct"/>
            <w:tcBorders>
              <w:top w:val="single" w:sz="4" w:space="0" w:color="auto"/>
              <w:left w:val="single" w:sz="4" w:space="0" w:color="auto"/>
              <w:bottom w:val="single" w:sz="4" w:space="0" w:color="auto"/>
              <w:right w:val="single" w:sz="4" w:space="0" w:color="auto"/>
            </w:tcBorders>
          </w:tcPr>
          <w:p w14:paraId="3D444DAE" w14:textId="77777777" w:rsidR="00265766" w:rsidRPr="009E686F" w:rsidRDefault="00265766" w:rsidP="00265766">
            <w:pPr>
              <w:spacing w:after="0"/>
              <w:jc w:val="both"/>
              <w:rPr>
                <w:rFonts w:ascii="Times New Roman" w:hAnsi="Times New Roman" w:cs="Times New Roman"/>
                <w:b/>
              </w:rPr>
            </w:pPr>
          </w:p>
        </w:tc>
        <w:tc>
          <w:tcPr>
            <w:tcW w:w="470" w:type="pct"/>
            <w:tcBorders>
              <w:top w:val="single" w:sz="4" w:space="0" w:color="auto"/>
              <w:left w:val="single" w:sz="4" w:space="0" w:color="auto"/>
              <w:bottom w:val="single" w:sz="4" w:space="0" w:color="auto"/>
              <w:right w:val="single" w:sz="4" w:space="0" w:color="auto"/>
            </w:tcBorders>
          </w:tcPr>
          <w:p w14:paraId="1DE217F8" w14:textId="493F6484" w:rsidR="00265766" w:rsidRPr="009E686F" w:rsidRDefault="00265766" w:rsidP="00265766">
            <w:pPr>
              <w:jc w:val="both"/>
              <w:rPr>
                <w:rFonts w:ascii="Times New Roman" w:hAnsi="Times New Roman" w:cs="Times New Roman"/>
              </w:rPr>
            </w:pPr>
            <w:r w:rsidRPr="009E686F">
              <w:rPr>
                <w:rFonts w:ascii="Times New Roman" w:hAnsi="Times New Roman" w:cs="Times New Roman"/>
              </w:rPr>
              <w:t>Norme UE netranspuse</w:t>
            </w:r>
          </w:p>
          <w:p w14:paraId="6C5FDEF4" w14:textId="4FD3C30A" w:rsidR="00265766" w:rsidRPr="009E686F" w:rsidRDefault="00265766" w:rsidP="00265766">
            <w:pPr>
              <w:jc w:val="both"/>
              <w:rPr>
                <w:rFonts w:ascii="Times New Roman" w:hAnsi="Times New Roman" w:cs="Times New Roman"/>
              </w:rPr>
            </w:pPr>
          </w:p>
        </w:tc>
        <w:tc>
          <w:tcPr>
            <w:tcW w:w="806" w:type="pct"/>
            <w:tcBorders>
              <w:top w:val="single" w:sz="4" w:space="0" w:color="auto"/>
              <w:left w:val="single" w:sz="4" w:space="0" w:color="auto"/>
              <w:bottom w:val="single" w:sz="4" w:space="0" w:color="auto"/>
              <w:right w:val="single" w:sz="4" w:space="0" w:color="auto"/>
            </w:tcBorders>
          </w:tcPr>
          <w:p w14:paraId="1D9B3070" w14:textId="158F3775" w:rsidR="00265766" w:rsidRPr="009E686F" w:rsidRDefault="00265766" w:rsidP="00265766">
            <w:pPr>
              <w:spacing w:after="0"/>
              <w:jc w:val="both"/>
              <w:rPr>
                <w:rFonts w:ascii="Times New Roman" w:hAnsi="Times New Roman" w:cs="Times New Roman"/>
                <w:lang w:val="pt-BR"/>
              </w:rPr>
            </w:pPr>
            <w:r w:rsidRPr="009E686F">
              <w:rPr>
                <w:rFonts w:ascii="Times New Roman" w:hAnsi="Times New Roman" w:cs="Times New Roman"/>
                <w:lang w:val="pt-BR"/>
              </w:rPr>
              <w:t xml:space="preserve">Nu s-a exercitat optiunea </w:t>
            </w:r>
          </w:p>
        </w:tc>
      </w:tr>
      <w:tr w:rsidR="00265766" w:rsidRPr="009E686F" w14:paraId="65A9D86F" w14:textId="77777777" w:rsidTr="00960C23">
        <w:tc>
          <w:tcPr>
            <w:tcW w:w="1890" w:type="pct"/>
            <w:tcBorders>
              <w:top w:val="single" w:sz="4" w:space="0" w:color="auto"/>
              <w:left w:val="single" w:sz="4" w:space="0" w:color="auto"/>
              <w:bottom w:val="single" w:sz="4" w:space="0" w:color="auto"/>
              <w:right w:val="single" w:sz="4" w:space="0" w:color="auto"/>
            </w:tcBorders>
          </w:tcPr>
          <w:p w14:paraId="68230FA3" w14:textId="77777777"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rPr>
              <w:t xml:space="preserve">Cu toate acestea, o astfel de comunicare nu poate avea loc decât în cazul în care este necesară din motive de supraveghere prudențială, prevenție și rezoluție a instituțiilor aflate în dificultate. </w:t>
            </w:r>
            <w:r w:rsidRPr="009E686F">
              <w:rPr>
                <w:rFonts w:ascii="Times New Roman" w:hAnsi="Times New Roman" w:cs="Times New Roman"/>
                <w:lang w:val="it-CH"/>
              </w:rPr>
              <w:t>Fără a aduce atingere alineatului (2) de la prezentul articol, persoanele care au acces la informații fac obiectul unor cerințe privind secretul profesional cel puțin echivalente cu cele prevăzute la articolul 53 alineatul (1).</w:t>
            </w:r>
          </w:p>
        </w:tc>
        <w:tc>
          <w:tcPr>
            <w:tcW w:w="1834" w:type="pct"/>
            <w:tcBorders>
              <w:top w:val="single" w:sz="4" w:space="0" w:color="auto"/>
              <w:left w:val="single" w:sz="4" w:space="0" w:color="auto"/>
              <w:bottom w:val="single" w:sz="4" w:space="0" w:color="auto"/>
              <w:right w:val="single" w:sz="4" w:space="0" w:color="auto"/>
            </w:tcBorders>
          </w:tcPr>
          <w:p w14:paraId="58360BD1" w14:textId="77777777" w:rsidR="00265766" w:rsidRPr="009E686F" w:rsidRDefault="00265766" w:rsidP="00265766">
            <w:pPr>
              <w:spacing w:after="0"/>
              <w:jc w:val="both"/>
              <w:rPr>
                <w:rFonts w:ascii="Times New Roman" w:hAnsi="Times New Roman" w:cs="Times New Roman"/>
                <w:b/>
                <w:lang w:val="it-CH"/>
              </w:rPr>
            </w:pPr>
          </w:p>
        </w:tc>
        <w:tc>
          <w:tcPr>
            <w:tcW w:w="470" w:type="pct"/>
            <w:tcBorders>
              <w:top w:val="single" w:sz="4" w:space="0" w:color="auto"/>
              <w:left w:val="single" w:sz="4" w:space="0" w:color="auto"/>
              <w:bottom w:val="single" w:sz="4" w:space="0" w:color="auto"/>
              <w:right w:val="single" w:sz="4" w:space="0" w:color="auto"/>
            </w:tcBorders>
          </w:tcPr>
          <w:p w14:paraId="3473CC69" w14:textId="6345D199" w:rsidR="00265766" w:rsidRPr="009E686F" w:rsidRDefault="00265766" w:rsidP="00265766">
            <w:pPr>
              <w:jc w:val="both"/>
              <w:rPr>
                <w:rFonts w:ascii="Times New Roman" w:hAnsi="Times New Roman" w:cs="Times New Roman"/>
              </w:rPr>
            </w:pPr>
            <w:r w:rsidRPr="009E686F">
              <w:rPr>
                <w:rFonts w:ascii="Times New Roman" w:hAnsi="Times New Roman" w:cs="Times New Roman"/>
              </w:rPr>
              <w:t>Norme UE netranspuse</w:t>
            </w:r>
          </w:p>
          <w:p w14:paraId="556F6899" w14:textId="09EE2563" w:rsidR="00265766" w:rsidRPr="009E686F" w:rsidRDefault="00265766" w:rsidP="00265766">
            <w:pPr>
              <w:jc w:val="both"/>
              <w:rPr>
                <w:rFonts w:ascii="Times New Roman" w:hAnsi="Times New Roman" w:cs="Times New Roman"/>
              </w:rPr>
            </w:pPr>
          </w:p>
        </w:tc>
        <w:tc>
          <w:tcPr>
            <w:tcW w:w="806" w:type="pct"/>
            <w:tcBorders>
              <w:top w:val="single" w:sz="4" w:space="0" w:color="auto"/>
              <w:left w:val="single" w:sz="4" w:space="0" w:color="auto"/>
              <w:bottom w:val="single" w:sz="4" w:space="0" w:color="auto"/>
              <w:right w:val="single" w:sz="4" w:space="0" w:color="auto"/>
            </w:tcBorders>
          </w:tcPr>
          <w:p w14:paraId="7A8D49FB" w14:textId="324F3C4D" w:rsidR="00265766" w:rsidRPr="009E686F" w:rsidRDefault="00265766" w:rsidP="00265766">
            <w:pPr>
              <w:spacing w:after="0"/>
              <w:jc w:val="both"/>
              <w:rPr>
                <w:rFonts w:ascii="Times New Roman" w:hAnsi="Times New Roman" w:cs="Times New Roman"/>
                <w:lang w:val="pt-BR"/>
              </w:rPr>
            </w:pPr>
            <w:r w:rsidRPr="009E686F">
              <w:rPr>
                <w:rFonts w:ascii="Times New Roman" w:hAnsi="Times New Roman" w:cs="Times New Roman"/>
                <w:lang w:val="pt-BR"/>
              </w:rPr>
              <w:t xml:space="preserve">Nu s-a exercitat optiunea </w:t>
            </w:r>
          </w:p>
        </w:tc>
      </w:tr>
      <w:tr w:rsidR="00265766" w:rsidRPr="009E686F" w14:paraId="46B41FCA" w14:textId="77777777" w:rsidTr="00960C23">
        <w:tc>
          <w:tcPr>
            <w:tcW w:w="1890" w:type="pct"/>
            <w:tcBorders>
              <w:top w:val="single" w:sz="4" w:space="0" w:color="auto"/>
              <w:left w:val="single" w:sz="4" w:space="0" w:color="auto"/>
              <w:bottom w:val="single" w:sz="4" w:space="0" w:color="auto"/>
              <w:right w:val="single" w:sz="4" w:space="0" w:color="auto"/>
            </w:tcBorders>
          </w:tcPr>
          <w:p w14:paraId="3781B8B6" w14:textId="77777777" w:rsidR="00265766" w:rsidRPr="009E686F" w:rsidRDefault="00265766" w:rsidP="00265766">
            <w:pPr>
              <w:spacing w:after="0"/>
              <w:jc w:val="both"/>
              <w:rPr>
                <w:rFonts w:ascii="Times New Roman" w:hAnsi="Times New Roman" w:cs="Times New Roman"/>
                <w:lang w:val="pt-BR"/>
              </w:rPr>
            </w:pPr>
            <w:r w:rsidRPr="009E686F">
              <w:rPr>
                <w:rFonts w:ascii="Times New Roman" w:hAnsi="Times New Roman" w:cs="Times New Roman"/>
                <w:lang w:val="pt-BR"/>
              </w:rPr>
              <w:t>Într-o situație de urgență, astfel cum se menționează la articolul 114 alineatul (1), statele membre permit autorităților competente să divulge informații relevante departamentelor menționate la primul paragraf de la prezentul alineat, în toate statele membre vizate.</w:t>
            </w:r>
          </w:p>
        </w:tc>
        <w:tc>
          <w:tcPr>
            <w:tcW w:w="1834" w:type="pct"/>
            <w:tcBorders>
              <w:top w:val="single" w:sz="4" w:space="0" w:color="auto"/>
              <w:left w:val="single" w:sz="4" w:space="0" w:color="auto"/>
              <w:bottom w:val="single" w:sz="4" w:space="0" w:color="auto"/>
              <w:right w:val="single" w:sz="4" w:space="0" w:color="auto"/>
            </w:tcBorders>
          </w:tcPr>
          <w:p w14:paraId="0CA63F7C" w14:textId="77777777" w:rsidR="00265766" w:rsidRPr="009E686F" w:rsidRDefault="00265766" w:rsidP="00265766">
            <w:pPr>
              <w:spacing w:after="0"/>
              <w:jc w:val="both"/>
              <w:rPr>
                <w:rFonts w:ascii="Times New Roman" w:hAnsi="Times New Roman" w:cs="Times New Roman"/>
                <w:b/>
                <w:lang w:val="pt-BR"/>
              </w:rPr>
            </w:pPr>
          </w:p>
        </w:tc>
        <w:tc>
          <w:tcPr>
            <w:tcW w:w="470" w:type="pct"/>
            <w:tcBorders>
              <w:top w:val="single" w:sz="4" w:space="0" w:color="auto"/>
              <w:left w:val="single" w:sz="4" w:space="0" w:color="auto"/>
              <w:bottom w:val="single" w:sz="4" w:space="0" w:color="auto"/>
              <w:right w:val="single" w:sz="4" w:space="0" w:color="auto"/>
            </w:tcBorders>
          </w:tcPr>
          <w:p w14:paraId="7B112D00" w14:textId="3608DF46" w:rsidR="00265766" w:rsidRPr="009E686F" w:rsidRDefault="00265766" w:rsidP="00265766">
            <w:pPr>
              <w:jc w:val="both"/>
              <w:rPr>
                <w:rFonts w:ascii="Times New Roman" w:hAnsi="Times New Roman" w:cs="Times New Roman"/>
              </w:rPr>
            </w:pPr>
            <w:r w:rsidRPr="009E686F">
              <w:rPr>
                <w:rFonts w:ascii="Times New Roman" w:hAnsi="Times New Roman" w:cs="Times New Roman"/>
              </w:rPr>
              <w:t xml:space="preserve">Norme UE netranspuse </w:t>
            </w:r>
          </w:p>
          <w:p w14:paraId="33628E59" w14:textId="4233B90F" w:rsidR="00265766" w:rsidRPr="009E686F" w:rsidRDefault="00265766" w:rsidP="00265766">
            <w:pPr>
              <w:jc w:val="both"/>
              <w:rPr>
                <w:rFonts w:ascii="Times New Roman" w:hAnsi="Times New Roman" w:cs="Times New Roman"/>
              </w:rPr>
            </w:pPr>
          </w:p>
        </w:tc>
        <w:tc>
          <w:tcPr>
            <w:tcW w:w="806" w:type="pct"/>
            <w:tcBorders>
              <w:top w:val="single" w:sz="4" w:space="0" w:color="auto"/>
              <w:left w:val="single" w:sz="4" w:space="0" w:color="auto"/>
              <w:bottom w:val="single" w:sz="4" w:space="0" w:color="auto"/>
              <w:right w:val="single" w:sz="4" w:space="0" w:color="auto"/>
            </w:tcBorders>
          </w:tcPr>
          <w:p w14:paraId="7E976205" w14:textId="33B8A4E6" w:rsidR="00265766" w:rsidRPr="009E686F" w:rsidRDefault="00265766" w:rsidP="00265766">
            <w:pPr>
              <w:spacing w:after="0"/>
              <w:jc w:val="both"/>
              <w:rPr>
                <w:rFonts w:ascii="Times New Roman" w:hAnsi="Times New Roman" w:cs="Times New Roman"/>
                <w:lang w:val="pt-BR"/>
              </w:rPr>
            </w:pPr>
            <w:r w:rsidRPr="009E686F">
              <w:rPr>
                <w:rFonts w:ascii="Times New Roman" w:hAnsi="Times New Roman" w:cs="Times New Roman"/>
                <w:lang w:val="pt-BR"/>
              </w:rPr>
              <w:t>BNM este unica autoritate responsabila de supravegherea bancară și supravegherea activității societăților de asigurare/reasigurare.</w:t>
            </w:r>
          </w:p>
        </w:tc>
      </w:tr>
      <w:tr w:rsidR="00265766" w:rsidRPr="009E686F" w14:paraId="33AC9D77" w14:textId="77777777" w:rsidTr="00960C23">
        <w:tc>
          <w:tcPr>
            <w:tcW w:w="1890" w:type="pct"/>
            <w:tcBorders>
              <w:top w:val="single" w:sz="4" w:space="0" w:color="auto"/>
              <w:left w:val="single" w:sz="4" w:space="0" w:color="auto"/>
              <w:bottom w:val="single" w:sz="4" w:space="0" w:color="auto"/>
              <w:right w:val="single" w:sz="4" w:space="0" w:color="auto"/>
            </w:tcBorders>
          </w:tcPr>
          <w:p w14:paraId="01C83DF1" w14:textId="2F64F3A1" w:rsidR="00265766" w:rsidRPr="009E686F" w:rsidRDefault="00265766" w:rsidP="00265766">
            <w:pPr>
              <w:spacing w:after="0"/>
              <w:jc w:val="both"/>
              <w:rPr>
                <w:rFonts w:ascii="Times New Roman" w:hAnsi="Times New Roman" w:cs="Times New Roman"/>
                <w:lang w:val="pt-BR"/>
              </w:rPr>
            </w:pPr>
            <w:r w:rsidRPr="009E686F">
              <w:rPr>
                <w:rFonts w:ascii="Times New Roman" w:hAnsi="Times New Roman" w:cs="Times New Roman"/>
                <w:lang w:val="pt-BR"/>
              </w:rPr>
              <w:t>(2) Statele membre pot autoriza divulgarea anumitor informații referitoare la supravegherea prudențială a instituțiilor către comisii parlamentare de anchetă din statul membru respectiv, curți de conturi din statul membru respectiv și alte entități cu atribuții de anchetare din statul membru respectiv, în următoarele condiții:</w:t>
            </w:r>
          </w:p>
        </w:tc>
        <w:tc>
          <w:tcPr>
            <w:tcW w:w="1834" w:type="pct"/>
            <w:tcBorders>
              <w:top w:val="single" w:sz="4" w:space="0" w:color="auto"/>
              <w:left w:val="single" w:sz="4" w:space="0" w:color="auto"/>
              <w:bottom w:val="single" w:sz="4" w:space="0" w:color="auto"/>
              <w:right w:val="single" w:sz="4" w:space="0" w:color="auto"/>
            </w:tcBorders>
          </w:tcPr>
          <w:p w14:paraId="7741E509" w14:textId="01987AF6" w:rsidR="00265766" w:rsidRPr="009E686F" w:rsidRDefault="00265766" w:rsidP="00265766">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 xml:space="preserve">(1) Banca Naţională a Moldovei poate furniza anumite informaţii referitoare la supravegherea prudenţială a </w:t>
            </w:r>
            <w:r w:rsidRPr="009E686F">
              <w:rPr>
                <w:rFonts w:ascii="Times New Roman" w:eastAsia="Aptos" w:hAnsi="Times New Roman" w:cs="Times New Roman"/>
                <w:i/>
                <w:iCs/>
                <w:kern w:val="2"/>
                <w:lang w:val="ro-MD"/>
              </w:rPr>
              <w:t>instituțiilor de credit</w:t>
            </w:r>
            <w:r w:rsidRPr="009E686F">
              <w:rPr>
                <w:rFonts w:ascii="Times New Roman" w:eastAsia="Aptos" w:hAnsi="Times New Roman" w:cs="Times New Roman"/>
                <w:kern w:val="2"/>
                <w:lang w:val="ro-MD"/>
              </w:rPr>
              <w:t xml:space="preserve">  comisiilor de anchetă ale Parlamentului, Curţii de Conturi şi altor </w:t>
            </w:r>
            <w:r w:rsidRPr="009E686F">
              <w:rPr>
                <w:rFonts w:ascii="Times New Roman" w:eastAsia="Aptos" w:hAnsi="Times New Roman" w:cs="Times New Roman"/>
                <w:i/>
                <w:iCs/>
                <w:kern w:val="2"/>
                <w:lang w:val="ro-MD"/>
              </w:rPr>
              <w:t>autorități</w:t>
            </w:r>
            <w:r w:rsidRPr="009E686F">
              <w:rPr>
                <w:rFonts w:ascii="Times New Roman" w:eastAsia="Aptos" w:hAnsi="Times New Roman" w:cs="Times New Roman"/>
                <w:kern w:val="2"/>
                <w:lang w:val="ro-MD"/>
              </w:rPr>
              <w:t xml:space="preserve"> din Republica Moldova cu competenţe de anchetă în următoarele condiţii:</w:t>
            </w:r>
          </w:p>
        </w:tc>
        <w:tc>
          <w:tcPr>
            <w:tcW w:w="470" w:type="pct"/>
            <w:tcBorders>
              <w:top w:val="single" w:sz="4" w:space="0" w:color="auto"/>
              <w:left w:val="single" w:sz="4" w:space="0" w:color="auto"/>
              <w:bottom w:val="single" w:sz="4" w:space="0" w:color="auto"/>
              <w:right w:val="single" w:sz="4" w:space="0" w:color="auto"/>
            </w:tcBorders>
          </w:tcPr>
          <w:p w14:paraId="604DE16D" w14:textId="19CCF076" w:rsidR="00265766" w:rsidRPr="009E686F" w:rsidRDefault="00265766" w:rsidP="00265766">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418B4F13" w14:textId="66FBADF8" w:rsidR="00265766" w:rsidRPr="009E686F" w:rsidRDefault="00265766" w:rsidP="00265766">
            <w:pPr>
              <w:spacing w:after="0"/>
              <w:jc w:val="both"/>
              <w:rPr>
                <w:rFonts w:ascii="Times New Roman" w:hAnsi="Times New Roman" w:cs="Times New Roman"/>
              </w:rPr>
            </w:pPr>
          </w:p>
        </w:tc>
      </w:tr>
      <w:tr w:rsidR="00265766" w:rsidRPr="009E686F" w14:paraId="6C1A841B" w14:textId="77777777" w:rsidTr="00960C23">
        <w:tc>
          <w:tcPr>
            <w:tcW w:w="1890" w:type="pct"/>
            <w:tcBorders>
              <w:top w:val="single" w:sz="4" w:space="0" w:color="auto"/>
              <w:left w:val="single" w:sz="4" w:space="0" w:color="auto"/>
              <w:bottom w:val="single" w:sz="4" w:space="0" w:color="auto"/>
              <w:right w:val="single" w:sz="4" w:space="0" w:color="auto"/>
            </w:tcBorders>
          </w:tcPr>
          <w:p w14:paraId="266915B1" w14:textId="173A9857" w:rsidR="00265766" w:rsidRPr="009E686F" w:rsidRDefault="00265766" w:rsidP="00265766">
            <w:pPr>
              <w:spacing w:after="0"/>
              <w:jc w:val="both"/>
              <w:rPr>
                <w:rFonts w:ascii="Times New Roman" w:hAnsi="Times New Roman" w:cs="Times New Roman"/>
              </w:rPr>
            </w:pPr>
            <w:r w:rsidRPr="009E686F">
              <w:rPr>
                <w:rFonts w:ascii="Times New Roman" w:hAnsi="Times New Roman" w:cs="Times New Roman"/>
              </w:rPr>
              <w:t xml:space="preserve">(a)entitățile au un mandat precis, în temeiul dreptului intern, de a cerceta sau examina acțiunile autorităților responsabile cu </w:t>
            </w:r>
            <w:r w:rsidRPr="009E686F">
              <w:rPr>
                <w:rFonts w:ascii="Times New Roman" w:hAnsi="Times New Roman" w:cs="Times New Roman"/>
              </w:rPr>
              <w:lastRenderedPageBreak/>
              <w:t>supravegherea instituțiilor sau cu legislația privind supravegherea;</w:t>
            </w:r>
          </w:p>
        </w:tc>
        <w:tc>
          <w:tcPr>
            <w:tcW w:w="1834" w:type="pct"/>
            <w:tcBorders>
              <w:top w:val="single" w:sz="4" w:space="0" w:color="auto"/>
              <w:left w:val="single" w:sz="4" w:space="0" w:color="auto"/>
              <w:bottom w:val="single" w:sz="4" w:space="0" w:color="auto"/>
              <w:right w:val="single" w:sz="4" w:space="0" w:color="auto"/>
            </w:tcBorders>
          </w:tcPr>
          <w:p w14:paraId="33C03A65" w14:textId="615D365C" w:rsidR="00265766" w:rsidRPr="009E686F" w:rsidRDefault="00265766" w:rsidP="00265766">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lastRenderedPageBreak/>
              <w:t xml:space="preserve">a) aceste autorități au un mandat legal special de investigare sau examinare a activităţii Băncii Naţionale a Moldovei de </w:t>
            </w:r>
            <w:r w:rsidRPr="009E686F">
              <w:rPr>
                <w:rFonts w:ascii="Times New Roman" w:eastAsia="Aptos" w:hAnsi="Times New Roman" w:cs="Times New Roman"/>
                <w:kern w:val="2"/>
                <w:lang w:val="ro-MD"/>
              </w:rPr>
              <w:lastRenderedPageBreak/>
              <w:t xml:space="preserve">supraveghere şi reglementare prudenţială a </w:t>
            </w:r>
            <w:r w:rsidRPr="009E686F">
              <w:rPr>
                <w:rFonts w:ascii="Times New Roman" w:eastAsia="Aptos" w:hAnsi="Times New Roman" w:cs="Times New Roman"/>
                <w:i/>
                <w:iCs/>
                <w:kern w:val="2"/>
                <w:lang w:val="ro-MD"/>
              </w:rPr>
              <w:t>instituțiilor de credit</w:t>
            </w:r>
            <w:r w:rsidRPr="009E686F">
              <w:rPr>
                <w:rFonts w:ascii="Times New Roman" w:eastAsia="Aptos" w:hAnsi="Times New Roman" w:cs="Times New Roman"/>
                <w:kern w:val="2"/>
                <w:lang w:val="ro-MD"/>
              </w:rPr>
              <w:t>;</w:t>
            </w:r>
          </w:p>
        </w:tc>
        <w:tc>
          <w:tcPr>
            <w:tcW w:w="470" w:type="pct"/>
            <w:tcBorders>
              <w:top w:val="single" w:sz="4" w:space="0" w:color="auto"/>
              <w:left w:val="single" w:sz="4" w:space="0" w:color="auto"/>
              <w:bottom w:val="single" w:sz="4" w:space="0" w:color="auto"/>
              <w:right w:val="single" w:sz="4" w:space="0" w:color="auto"/>
            </w:tcBorders>
          </w:tcPr>
          <w:p w14:paraId="48E548F7" w14:textId="6631A765" w:rsidR="00265766" w:rsidRPr="009E686F" w:rsidRDefault="00265766" w:rsidP="00265766">
            <w:pPr>
              <w:jc w:val="both"/>
              <w:rPr>
                <w:rFonts w:ascii="Times New Roman" w:hAnsi="Times New Roman" w:cs="Times New Roman"/>
              </w:rPr>
            </w:pPr>
            <w:r w:rsidRPr="009E686F">
              <w:rPr>
                <w:rFonts w:ascii="Times New Roman" w:hAnsi="Times New Roman" w:cs="Times New Roman"/>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068C89B9" w14:textId="26CE06BD" w:rsidR="00265766" w:rsidRPr="009E686F" w:rsidRDefault="00265766" w:rsidP="00265766">
            <w:pPr>
              <w:spacing w:after="0"/>
              <w:jc w:val="both"/>
              <w:rPr>
                <w:rFonts w:ascii="Times New Roman" w:hAnsi="Times New Roman" w:cs="Times New Roman"/>
              </w:rPr>
            </w:pPr>
          </w:p>
        </w:tc>
      </w:tr>
      <w:tr w:rsidR="00265766" w:rsidRPr="009E686F" w14:paraId="1FEF0F46" w14:textId="77777777" w:rsidTr="00960C23">
        <w:tc>
          <w:tcPr>
            <w:tcW w:w="1890" w:type="pct"/>
            <w:tcBorders>
              <w:top w:val="single" w:sz="4" w:space="0" w:color="auto"/>
              <w:left w:val="single" w:sz="4" w:space="0" w:color="auto"/>
              <w:bottom w:val="single" w:sz="4" w:space="0" w:color="auto"/>
              <w:right w:val="single" w:sz="4" w:space="0" w:color="auto"/>
            </w:tcBorders>
          </w:tcPr>
          <w:p w14:paraId="651629D2" w14:textId="79562BB3"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(b) informațiile sunt strict necesare pentru îndeplinirea mandatului menționat la litera (a);</w:t>
            </w:r>
          </w:p>
        </w:tc>
        <w:tc>
          <w:tcPr>
            <w:tcW w:w="1834" w:type="pct"/>
            <w:tcBorders>
              <w:top w:val="single" w:sz="4" w:space="0" w:color="auto"/>
              <w:left w:val="single" w:sz="4" w:space="0" w:color="auto"/>
              <w:bottom w:val="single" w:sz="4" w:space="0" w:color="auto"/>
              <w:right w:val="single" w:sz="4" w:space="0" w:color="auto"/>
            </w:tcBorders>
          </w:tcPr>
          <w:p w14:paraId="400C3AD1" w14:textId="408E4E40"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 xml:space="preserve">b) informaţiile sunt necesare strict pentru îndeplinirea mandatului prevăzut la lit. a); </w:t>
            </w:r>
          </w:p>
        </w:tc>
        <w:tc>
          <w:tcPr>
            <w:tcW w:w="470" w:type="pct"/>
            <w:tcBorders>
              <w:top w:val="single" w:sz="4" w:space="0" w:color="auto"/>
              <w:left w:val="single" w:sz="4" w:space="0" w:color="auto"/>
              <w:bottom w:val="single" w:sz="4" w:space="0" w:color="auto"/>
              <w:right w:val="single" w:sz="4" w:space="0" w:color="auto"/>
            </w:tcBorders>
          </w:tcPr>
          <w:p w14:paraId="1EDC50F6" w14:textId="19EFC74D" w:rsidR="00265766" w:rsidRPr="009E686F" w:rsidRDefault="00265766" w:rsidP="00265766">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15AE3480" w14:textId="1F2D1070" w:rsidR="00265766" w:rsidRPr="009E686F" w:rsidRDefault="00265766" w:rsidP="00265766">
            <w:pPr>
              <w:spacing w:after="0"/>
              <w:jc w:val="both"/>
              <w:rPr>
                <w:rFonts w:ascii="Times New Roman" w:hAnsi="Times New Roman" w:cs="Times New Roman"/>
              </w:rPr>
            </w:pPr>
          </w:p>
        </w:tc>
      </w:tr>
      <w:tr w:rsidR="00265766" w:rsidRPr="009E686F" w14:paraId="49B71E41" w14:textId="77777777" w:rsidTr="00960C23">
        <w:tc>
          <w:tcPr>
            <w:tcW w:w="1890" w:type="pct"/>
            <w:tcBorders>
              <w:top w:val="single" w:sz="4" w:space="0" w:color="auto"/>
              <w:left w:val="single" w:sz="4" w:space="0" w:color="auto"/>
              <w:bottom w:val="single" w:sz="4" w:space="0" w:color="auto"/>
              <w:right w:val="single" w:sz="4" w:space="0" w:color="auto"/>
            </w:tcBorders>
          </w:tcPr>
          <w:p w14:paraId="268A410F" w14:textId="6FE96FF1" w:rsidR="00265766" w:rsidRPr="009E686F" w:rsidRDefault="00265766" w:rsidP="00265766">
            <w:pPr>
              <w:spacing w:after="0"/>
              <w:jc w:val="both"/>
              <w:rPr>
                <w:rFonts w:ascii="Times New Roman" w:hAnsi="Times New Roman" w:cs="Times New Roman"/>
              </w:rPr>
            </w:pPr>
            <w:r w:rsidRPr="009E686F">
              <w:rPr>
                <w:rFonts w:ascii="Times New Roman" w:hAnsi="Times New Roman" w:cs="Times New Roman"/>
              </w:rPr>
              <w:t>(c) persoanele care au acces la informații sunt supuse cerințelor privind secretul profesional prevăzute de dreptul intern, cel puțin echivalente cu cele menționate la articolul 53 alineatul (1);</w:t>
            </w:r>
          </w:p>
        </w:tc>
        <w:tc>
          <w:tcPr>
            <w:tcW w:w="1834" w:type="pct"/>
            <w:tcBorders>
              <w:top w:val="single" w:sz="4" w:space="0" w:color="auto"/>
              <w:left w:val="single" w:sz="4" w:space="0" w:color="auto"/>
              <w:bottom w:val="single" w:sz="4" w:space="0" w:color="auto"/>
              <w:right w:val="single" w:sz="4" w:space="0" w:color="auto"/>
            </w:tcBorders>
          </w:tcPr>
          <w:p w14:paraId="7BAF81C8" w14:textId="77777777"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 xml:space="preserve">c) persoanele care au acces la informaţii sunt supuse unor cerinţe de păstrare a secretului profesional, prevăzute de legislația națională, cel puțin echivalente celor prevăzute la art. 126; </w:t>
            </w:r>
          </w:p>
        </w:tc>
        <w:tc>
          <w:tcPr>
            <w:tcW w:w="470" w:type="pct"/>
            <w:tcBorders>
              <w:top w:val="single" w:sz="4" w:space="0" w:color="auto"/>
              <w:left w:val="single" w:sz="4" w:space="0" w:color="auto"/>
              <w:bottom w:val="single" w:sz="4" w:space="0" w:color="auto"/>
              <w:right w:val="single" w:sz="4" w:space="0" w:color="auto"/>
            </w:tcBorders>
          </w:tcPr>
          <w:p w14:paraId="6BF7D4DA" w14:textId="1EBDA73F" w:rsidR="00265766" w:rsidRPr="009E686F" w:rsidRDefault="00265766" w:rsidP="00265766">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1E9D01E7" w14:textId="051AB0A8" w:rsidR="00265766" w:rsidRPr="009E686F" w:rsidRDefault="00265766" w:rsidP="00265766">
            <w:pPr>
              <w:spacing w:after="0"/>
              <w:jc w:val="both"/>
              <w:rPr>
                <w:rFonts w:ascii="Times New Roman" w:hAnsi="Times New Roman" w:cs="Times New Roman"/>
              </w:rPr>
            </w:pPr>
          </w:p>
        </w:tc>
      </w:tr>
      <w:tr w:rsidR="00265766" w:rsidRPr="009E686F" w14:paraId="59703560" w14:textId="77777777" w:rsidTr="00960C23">
        <w:tc>
          <w:tcPr>
            <w:tcW w:w="1890" w:type="pct"/>
            <w:tcBorders>
              <w:top w:val="single" w:sz="4" w:space="0" w:color="auto"/>
              <w:left w:val="single" w:sz="4" w:space="0" w:color="auto"/>
              <w:bottom w:val="single" w:sz="4" w:space="0" w:color="auto"/>
              <w:right w:val="single" w:sz="4" w:space="0" w:color="auto"/>
            </w:tcBorders>
          </w:tcPr>
          <w:p w14:paraId="3FD7C641" w14:textId="3FF3844A" w:rsidR="00265766" w:rsidRPr="009E686F" w:rsidRDefault="00265766" w:rsidP="00265766">
            <w:pPr>
              <w:spacing w:after="0"/>
              <w:jc w:val="both"/>
              <w:rPr>
                <w:rFonts w:ascii="Times New Roman" w:hAnsi="Times New Roman" w:cs="Times New Roman"/>
              </w:rPr>
            </w:pPr>
            <w:r w:rsidRPr="009E686F">
              <w:rPr>
                <w:rFonts w:ascii="Times New Roman" w:hAnsi="Times New Roman" w:cs="Times New Roman"/>
              </w:rPr>
              <w:t>(d) atunci când informațiile provin de la un alt stat membru, acestea nu se divulgată fără acordul expres al autorităților competente care le-au transmis și exclusiv în scopurile pentru care respectivele autorități și-au dat acordul.</w:t>
            </w:r>
          </w:p>
        </w:tc>
        <w:tc>
          <w:tcPr>
            <w:tcW w:w="1834" w:type="pct"/>
            <w:tcBorders>
              <w:top w:val="single" w:sz="4" w:space="0" w:color="auto"/>
              <w:left w:val="single" w:sz="4" w:space="0" w:color="auto"/>
              <w:bottom w:val="single" w:sz="4" w:space="0" w:color="auto"/>
              <w:right w:val="single" w:sz="4" w:space="0" w:color="auto"/>
            </w:tcBorders>
          </w:tcPr>
          <w:p w14:paraId="735B7010" w14:textId="63BB939E" w:rsidR="00265766" w:rsidRPr="009E686F" w:rsidRDefault="00265766" w:rsidP="00265766">
            <w:pPr>
              <w:spacing w:after="0"/>
              <w:jc w:val="both"/>
              <w:rPr>
                <w:rFonts w:ascii="Times New Roman" w:hAnsi="Times New Roman" w:cs="Times New Roman"/>
              </w:rPr>
            </w:pPr>
            <w:r w:rsidRPr="009E686F">
              <w:rPr>
                <w:rFonts w:ascii="Times New Roman" w:eastAsia="Aptos" w:hAnsi="Times New Roman" w:cs="Times New Roman"/>
                <w:kern w:val="2"/>
                <w:lang w:val="ro-MD"/>
              </w:rPr>
              <w:t xml:space="preserve">d) dacă informaţiile provin de la autorităţi competente dintr-un alt stat </w:t>
            </w:r>
            <w:r w:rsidRPr="009E686F">
              <w:rPr>
                <w:rFonts w:ascii="Times New Roman" w:eastAsia="Aptos" w:hAnsi="Times New Roman" w:cs="Times New Roman"/>
                <w:i/>
                <w:iCs/>
                <w:kern w:val="2"/>
                <w:lang w:val="ro-MD"/>
              </w:rPr>
              <w:t>membru</w:t>
            </w:r>
            <w:r w:rsidRPr="009E686F">
              <w:rPr>
                <w:rFonts w:ascii="Times New Roman" w:eastAsia="Aptos" w:hAnsi="Times New Roman" w:cs="Times New Roman"/>
                <w:kern w:val="2"/>
                <w:lang w:val="ro-MD"/>
              </w:rPr>
              <w:t>, acestea nu se divulgă fără acordul expres al autorităţilor respective care le-au transmis, decît în scopurile pentru care respectivele autorităţi şi-au dat acordul.</w:t>
            </w:r>
          </w:p>
        </w:tc>
        <w:tc>
          <w:tcPr>
            <w:tcW w:w="470" w:type="pct"/>
            <w:tcBorders>
              <w:top w:val="single" w:sz="4" w:space="0" w:color="auto"/>
              <w:left w:val="single" w:sz="4" w:space="0" w:color="auto"/>
              <w:bottom w:val="single" w:sz="4" w:space="0" w:color="auto"/>
              <w:right w:val="single" w:sz="4" w:space="0" w:color="auto"/>
            </w:tcBorders>
          </w:tcPr>
          <w:p w14:paraId="27493A9B" w14:textId="6CC5E04B" w:rsidR="00265766" w:rsidRPr="009E686F" w:rsidRDefault="00265766" w:rsidP="00265766">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332A0C4E" w14:textId="1DAD9566" w:rsidR="00265766" w:rsidRPr="009E686F" w:rsidRDefault="00265766" w:rsidP="00265766">
            <w:pPr>
              <w:spacing w:after="0"/>
              <w:jc w:val="both"/>
              <w:rPr>
                <w:rFonts w:ascii="Times New Roman" w:hAnsi="Times New Roman" w:cs="Times New Roman"/>
              </w:rPr>
            </w:pPr>
          </w:p>
        </w:tc>
      </w:tr>
      <w:tr w:rsidR="00265766" w:rsidRPr="009E686F" w14:paraId="74BDFD77" w14:textId="77777777" w:rsidTr="00960C23">
        <w:tc>
          <w:tcPr>
            <w:tcW w:w="1890" w:type="pct"/>
            <w:tcBorders>
              <w:top w:val="single" w:sz="4" w:space="0" w:color="auto"/>
              <w:left w:val="single" w:sz="4" w:space="0" w:color="auto"/>
              <w:bottom w:val="single" w:sz="4" w:space="0" w:color="auto"/>
              <w:right w:val="single" w:sz="4" w:space="0" w:color="auto"/>
            </w:tcBorders>
          </w:tcPr>
          <w:p w14:paraId="50B2A38A" w14:textId="77777777"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În măsura în care divulgarea informațiilor legate de supravegherea prudențială implică prelucrarea de date cu caracter personal, orice prelucrare efectuată de entitățile menționate la primul paragraf respectă legile naționale aplicabile transpunere a Directivei 95/46/CE.</w:t>
            </w:r>
          </w:p>
        </w:tc>
        <w:tc>
          <w:tcPr>
            <w:tcW w:w="1834" w:type="pct"/>
            <w:tcBorders>
              <w:top w:val="single" w:sz="4" w:space="0" w:color="auto"/>
              <w:left w:val="single" w:sz="4" w:space="0" w:color="auto"/>
              <w:bottom w:val="single" w:sz="4" w:space="0" w:color="auto"/>
              <w:right w:val="single" w:sz="4" w:space="0" w:color="auto"/>
            </w:tcBorders>
          </w:tcPr>
          <w:p w14:paraId="4F83FFC7" w14:textId="684DCBC5"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 xml:space="preserve">(2) În măsura în care furnizarea de informaţii potrivit alin. (1) implică prelucrarea de date cu caracter personal, trebuie respectate prevederile Legii </w:t>
            </w:r>
            <w:r w:rsidRPr="009E686F">
              <w:rPr>
                <w:rFonts w:ascii="Times New Roman" w:eastAsia="Aptos" w:hAnsi="Times New Roman" w:cs="Times New Roman"/>
                <w:kern w:val="2"/>
                <w:lang w:val="ro-MD"/>
              </w:rPr>
              <w:t xml:space="preserve">nr. </w:t>
            </w:r>
            <w:r w:rsidRPr="009E686F">
              <w:rPr>
                <w:rFonts w:ascii="Times New Roman" w:eastAsia="Aptos" w:hAnsi="Times New Roman" w:cs="Times New Roman"/>
                <w:i/>
                <w:iCs/>
                <w:kern w:val="2"/>
                <w:lang w:val="ro-MD"/>
              </w:rPr>
              <w:t>195/2024</w:t>
            </w:r>
            <w:r w:rsidRPr="009E686F">
              <w:rPr>
                <w:rFonts w:ascii="Times New Roman" w:eastAsia="Aptos" w:hAnsi="Times New Roman" w:cs="Times New Roman"/>
                <w:kern w:val="2"/>
                <w:lang w:val="ro-MD"/>
              </w:rPr>
              <w:t xml:space="preserve"> privind</w:t>
            </w:r>
            <w:r w:rsidRPr="009E686F">
              <w:rPr>
                <w:rFonts w:ascii="Times New Roman" w:hAnsi="Times New Roman" w:cs="Times New Roman"/>
                <w:lang w:val="it-CH"/>
              </w:rPr>
              <w:t xml:space="preserve"> protecţia datelor cu caracter personal.</w:t>
            </w:r>
          </w:p>
        </w:tc>
        <w:tc>
          <w:tcPr>
            <w:tcW w:w="470" w:type="pct"/>
            <w:tcBorders>
              <w:top w:val="single" w:sz="4" w:space="0" w:color="auto"/>
              <w:left w:val="single" w:sz="4" w:space="0" w:color="auto"/>
              <w:bottom w:val="single" w:sz="4" w:space="0" w:color="auto"/>
              <w:right w:val="single" w:sz="4" w:space="0" w:color="auto"/>
            </w:tcBorders>
          </w:tcPr>
          <w:p w14:paraId="7C3AA23B" w14:textId="7E3A973A" w:rsidR="00265766" w:rsidRPr="009E686F" w:rsidRDefault="00265766" w:rsidP="00265766">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400BD888" w14:textId="3F5A09E6" w:rsidR="00265766" w:rsidRPr="009E686F" w:rsidRDefault="00265766" w:rsidP="00265766">
            <w:pPr>
              <w:spacing w:after="0"/>
              <w:jc w:val="both"/>
              <w:rPr>
                <w:rFonts w:ascii="Times New Roman" w:hAnsi="Times New Roman" w:cs="Times New Roman"/>
              </w:rPr>
            </w:pPr>
          </w:p>
        </w:tc>
      </w:tr>
      <w:tr w:rsidR="00265766" w:rsidRPr="009E686F" w14:paraId="5202EC46" w14:textId="77777777" w:rsidTr="00960C23">
        <w:tc>
          <w:tcPr>
            <w:tcW w:w="1890" w:type="pct"/>
            <w:tcBorders>
              <w:top w:val="single" w:sz="4" w:space="0" w:color="auto"/>
              <w:left w:val="single" w:sz="4" w:space="0" w:color="auto"/>
              <w:bottom w:val="single" w:sz="4" w:space="0" w:color="auto"/>
              <w:right w:val="single" w:sz="4" w:space="0" w:color="auto"/>
            </w:tcBorders>
          </w:tcPr>
          <w:p w14:paraId="379BC8D1" w14:textId="204791CD" w:rsidR="00265766" w:rsidRPr="009E686F" w:rsidRDefault="00265766" w:rsidP="00265766">
            <w:pPr>
              <w:spacing w:after="0"/>
              <w:jc w:val="both"/>
              <w:rPr>
                <w:rFonts w:ascii="Times New Roman" w:hAnsi="Times New Roman" w:cs="Times New Roman"/>
                <w:b/>
                <w:lang w:val="it-CH"/>
              </w:rPr>
            </w:pPr>
            <w:r w:rsidRPr="009E686F">
              <w:rPr>
                <w:rFonts w:ascii="Times New Roman" w:hAnsi="Times New Roman" w:cs="Times New Roman"/>
                <w:lang w:val="it-CH"/>
              </w:rPr>
              <w:t xml:space="preserve">Articolul 60 </w:t>
            </w:r>
            <w:r w:rsidRPr="009E686F">
              <w:rPr>
                <w:rFonts w:ascii="Times New Roman" w:hAnsi="Times New Roman" w:cs="Times New Roman"/>
                <w:b/>
                <w:lang w:val="it-CH"/>
              </w:rPr>
              <w:t>Divulgarea informațiilor obținute prin verificări și inspecții la fața locului</w:t>
            </w:r>
          </w:p>
          <w:p w14:paraId="6E73BD5C" w14:textId="77777777"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Statele membre asigură că informațiile primite în conformitate cu articolul 52 alineatul (3), articolul 53 alineatul (2) și articolul 56, precum și informațiile obținute prin intermediul verificărilor la fața locului sau inspecții menționate la articolul 52 alineatele (1) și (2) nu se divulgă în temeiul articolului 59 decât cu acordul expres al autorităților competente care au furnizat informațiile respective sau al autorităților competente din statul membru în care s-a desfășurat o astfel de verificarea la fața locului sau inspecție.</w:t>
            </w:r>
          </w:p>
        </w:tc>
        <w:tc>
          <w:tcPr>
            <w:tcW w:w="1834" w:type="pct"/>
            <w:tcBorders>
              <w:top w:val="single" w:sz="4" w:space="0" w:color="auto"/>
              <w:left w:val="single" w:sz="4" w:space="0" w:color="auto"/>
              <w:bottom w:val="single" w:sz="4" w:space="0" w:color="auto"/>
              <w:right w:val="single" w:sz="4" w:space="0" w:color="auto"/>
            </w:tcBorders>
          </w:tcPr>
          <w:p w14:paraId="5359FA94" w14:textId="77777777" w:rsidR="00265766" w:rsidRPr="009E686F" w:rsidRDefault="00265766" w:rsidP="00265766">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b/>
                <w:bCs/>
                <w:kern w:val="2"/>
                <w:lang w:val="ro-MD"/>
              </w:rPr>
              <w:t>Articolul 133.</w:t>
            </w:r>
            <w:r w:rsidRPr="009E686F">
              <w:rPr>
                <w:rFonts w:ascii="Times New Roman" w:eastAsia="Aptos" w:hAnsi="Times New Roman" w:cs="Times New Roman"/>
                <w:kern w:val="2"/>
                <w:lang w:val="ro-MD"/>
              </w:rPr>
              <w:t xml:space="preserve"> Divulgarea informaţiilor obţinute în cadrul controalelor</w:t>
            </w:r>
          </w:p>
          <w:p w14:paraId="114981B5" w14:textId="0381ED35" w:rsidR="00265766" w:rsidRPr="009E686F" w:rsidRDefault="00265766" w:rsidP="00265766">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În situaţiile prevăzute la art.132, informaţiile primite de Banca Naţională a Moldovei potrivit art.130 şi cele obţinute ca urmare a verificărilor din cadrul controalelor efectuate în condiţiile art.108</w:t>
            </w:r>
            <w:r w:rsidRPr="009E686F">
              <w:rPr>
                <w:rFonts w:ascii="Times New Roman" w:eastAsia="Aptos" w:hAnsi="Times New Roman" w:cs="Times New Roman"/>
                <w:i/>
                <w:iCs/>
                <w:kern w:val="2"/>
                <w:lang w:val="ro-MD"/>
              </w:rPr>
              <w:t>-108</w:t>
            </w:r>
            <w:r w:rsidRPr="009E686F">
              <w:rPr>
                <w:rFonts w:ascii="Times New Roman" w:eastAsia="Aptos" w:hAnsi="Times New Roman" w:cs="Times New Roman"/>
                <w:i/>
                <w:iCs/>
                <w:kern w:val="2"/>
                <w:vertAlign w:val="superscript"/>
                <w:lang w:val="ro-MD"/>
              </w:rPr>
              <w:t>1</w:t>
            </w:r>
            <w:r w:rsidRPr="009E686F">
              <w:rPr>
                <w:rFonts w:ascii="Times New Roman" w:eastAsia="Aptos" w:hAnsi="Times New Roman" w:cs="Times New Roman"/>
                <w:kern w:val="2"/>
                <w:lang w:val="ro-MD"/>
              </w:rPr>
              <w:t xml:space="preserve"> nu se divulgă de către aceasta fără acordul expres al autorităţii competente de la care au fost primite informaţiile, respectiv al autorităţii competente din alt stat </w:t>
            </w:r>
            <w:r w:rsidRPr="009E686F">
              <w:rPr>
                <w:rFonts w:ascii="Times New Roman" w:eastAsia="Aptos" w:hAnsi="Times New Roman" w:cs="Times New Roman"/>
                <w:i/>
                <w:iCs/>
                <w:kern w:val="2"/>
                <w:lang w:val="ro-MD"/>
              </w:rPr>
              <w:t>membru</w:t>
            </w:r>
            <w:r w:rsidRPr="009E686F">
              <w:rPr>
                <w:rFonts w:ascii="Times New Roman" w:eastAsia="Aptos" w:hAnsi="Times New Roman" w:cs="Times New Roman"/>
                <w:kern w:val="2"/>
                <w:lang w:val="ro-MD"/>
              </w:rPr>
              <w:t xml:space="preserve"> în care a fost efectuată o astfel de verificare în cadrul controalelor.</w:t>
            </w:r>
          </w:p>
          <w:p w14:paraId="191BD889" w14:textId="018A703B" w:rsidR="00265766" w:rsidRPr="009E686F" w:rsidRDefault="00265766" w:rsidP="00265766">
            <w:pPr>
              <w:spacing w:after="0"/>
              <w:jc w:val="both"/>
              <w:rPr>
                <w:rFonts w:ascii="Times New Roman" w:hAnsi="Times New Roman" w:cs="Times New Roman"/>
                <w:lang w:val="ro-MD"/>
              </w:rPr>
            </w:pPr>
          </w:p>
        </w:tc>
        <w:tc>
          <w:tcPr>
            <w:tcW w:w="470" w:type="pct"/>
            <w:tcBorders>
              <w:top w:val="single" w:sz="4" w:space="0" w:color="auto"/>
              <w:left w:val="single" w:sz="4" w:space="0" w:color="auto"/>
              <w:bottom w:val="single" w:sz="4" w:space="0" w:color="auto"/>
              <w:right w:val="single" w:sz="4" w:space="0" w:color="auto"/>
            </w:tcBorders>
          </w:tcPr>
          <w:p w14:paraId="5EAD8DE6" w14:textId="28C8812F" w:rsidR="00265766" w:rsidRPr="009E686F" w:rsidRDefault="00265766" w:rsidP="00265766">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14C088C9" w14:textId="706E9DED" w:rsidR="00265766" w:rsidRPr="009E686F" w:rsidRDefault="00265766" w:rsidP="00265766">
            <w:pPr>
              <w:spacing w:after="0"/>
              <w:jc w:val="both"/>
              <w:rPr>
                <w:rFonts w:ascii="Times New Roman" w:hAnsi="Times New Roman" w:cs="Times New Roman"/>
              </w:rPr>
            </w:pPr>
          </w:p>
        </w:tc>
      </w:tr>
      <w:tr w:rsidR="00265766" w:rsidRPr="009E686F" w14:paraId="43EC2331" w14:textId="77777777" w:rsidTr="00960C23">
        <w:tc>
          <w:tcPr>
            <w:tcW w:w="1890" w:type="pct"/>
            <w:tcBorders>
              <w:top w:val="single" w:sz="4" w:space="0" w:color="auto"/>
              <w:left w:val="single" w:sz="4" w:space="0" w:color="auto"/>
              <w:bottom w:val="single" w:sz="4" w:space="0" w:color="auto"/>
              <w:right w:val="single" w:sz="4" w:space="0" w:color="auto"/>
            </w:tcBorders>
          </w:tcPr>
          <w:p w14:paraId="67BA800B" w14:textId="573F798A" w:rsidR="00265766" w:rsidRPr="009E686F" w:rsidRDefault="00265766" w:rsidP="00265766">
            <w:pPr>
              <w:spacing w:after="0"/>
              <w:jc w:val="both"/>
              <w:rPr>
                <w:rFonts w:ascii="Times New Roman" w:hAnsi="Times New Roman" w:cs="Times New Roman"/>
                <w:i/>
                <w:iCs/>
                <w:lang w:val="it-CH"/>
              </w:rPr>
            </w:pPr>
            <w:r w:rsidRPr="009E686F">
              <w:rPr>
                <w:rFonts w:ascii="Times New Roman" w:hAnsi="Times New Roman" w:cs="Times New Roman"/>
                <w:i/>
                <w:iCs/>
                <w:lang w:val="it-CH"/>
              </w:rPr>
              <w:t xml:space="preserve">Articolul 61 </w:t>
            </w:r>
          </w:p>
          <w:p w14:paraId="0B6A5F93" w14:textId="5D42D38C"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Divulgarea informațiilor privind serviciile de compensare și decontare</w:t>
            </w:r>
          </w:p>
        </w:tc>
        <w:tc>
          <w:tcPr>
            <w:tcW w:w="1834" w:type="pct"/>
            <w:tcBorders>
              <w:top w:val="single" w:sz="4" w:space="0" w:color="auto"/>
              <w:left w:val="single" w:sz="4" w:space="0" w:color="auto"/>
              <w:bottom w:val="single" w:sz="4" w:space="0" w:color="auto"/>
              <w:right w:val="single" w:sz="4" w:space="0" w:color="auto"/>
            </w:tcBorders>
          </w:tcPr>
          <w:p w14:paraId="3A4D0D96" w14:textId="77777777" w:rsidR="00265766" w:rsidRPr="009E686F" w:rsidRDefault="00265766" w:rsidP="00265766">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b/>
                <w:bCs/>
                <w:kern w:val="2"/>
                <w:lang w:val="ro-MD"/>
              </w:rPr>
              <w:t>Articolul 134.</w:t>
            </w:r>
            <w:r w:rsidRPr="009E686F">
              <w:rPr>
                <w:rFonts w:ascii="Times New Roman" w:eastAsia="Aptos" w:hAnsi="Times New Roman" w:cs="Times New Roman"/>
                <w:kern w:val="2"/>
                <w:lang w:val="ro-MD"/>
              </w:rPr>
              <w:t xml:space="preserve"> Divulgarea informaţiilor privind serviciile de clearing şi decontare</w:t>
            </w:r>
          </w:p>
          <w:p w14:paraId="0148AD4C" w14:textId="77777777" w:rsidR="00265766" w:rsidRPr="009E686F" w:rsidRDefault="00265766" w:rsidP="00265766">
            <w:pPr>
              <w:spacing w:after="0"/>
              <w:jc w:val="both"/>
              <w:rPr>
                <w:rFonts w:ascii="Times New Roman" w:hAnsi="Times New Roman" w:cs="Times New Roman"/>
                <w:b/>
                <w:lang w:val="it-CH"/>
              </w:rPr>
            </w:pPr>
          </w:p>
        </w:tc>
        <w:tc>
          <w:tcPr>
            <w:tcW w:w="470" w:type="pct"/>
            <w:tcBorders>
              <w:top w:val="single" w:sz="4" w:space="0" w:color="auto"/>
              <w:left w:val="single" w:sz="4" w:space="0" w:color="auto"/>
              <w:bottom w:val="single" w:sz="4" w:space="0" w:color="auto"/>
              <w:right w:val="single" w:sz="4" w:space="0" w:color="auto"/>
            </w:tcBorders>
          </w:tcPr>
          <w:p w14:paraId="2D138654" w14:textId="77777777" w:rsidR="00265766" w:rsidRPr="009E686F" w:rsidRDefault="00265766" w:rsidP="00265766">
            <w:pPr>
              <w:jc w:val="both"/>
              <w:rPr>
                <w:rFonts w:ascii="Times New Roman" w:hAnsi="Times New Roman" w:cs="Times New Roman"/>
                <w:lang w:val="it-CH"/>
              </w:rPr>
            </w:pPr>
          </w:p>
        </w:tc>
        <w:tc>
          <w:tcPr>
            <w:tcW w:w="806" w:type="pct"/>
            <w:tcBorders>
              <w:top w:val="single" w:sz="4" w:space="0" w:color="auto"/>
              <w:left w:val="single" w:sz="4" w:space="0" w:color="auto"/>
              <w:bottom w:val="single" w:sz="4" w:space="0" w:color="auto"/>
              <w:right w:val="single" w:sz="4" w:space="0" w:color="auto"/>
            </w:tcBorders>
          </w:tcPr>
          <w:p w14:paraId="3E66D50C" w14:textId="432993AF" w:rsidR="00265766" w:rsidRPr="009E686F" w:rsidRDefault="00265766" w:rsidP="00265766">
            <w:pPr>
              <w:spacing w:after="0"/>
              <w:jc w:val="both"/>
              <w:rPr>
                <w:rFonts w:ascii="Times New Roman" w:hAnsi="Times New Roman" w:cs="Times New Roman"/>
                <w:lang w:val="it-CH"/>
              </w:rPr>
            </w:pPr>
          </w:p>
        </w:tc>
      </w:tr>
      <w:tr w:rsidR="00265766" w:rsidRPr="009E686F" w14:paraId="2AA0209F" w14:textId="77777777" w:rsidTr="00960C23">
        <w:tc>
          <w:tcPr>
            <w:tcW w:w="1890" w:type="pct"/>
            <w:tcBorders>
              <w:top w:val="single" w:sz="4" w:space="0" w:color="auto"/>
              <w:left w:val="single" w:sz="4" w:space="0" w:color="auto"/>
              <w:bottom w:val="single" w:sz="4" w:space="0" w:color="auto"/>
              <w:right w:val="single" w:sz="4" w:space="0" w:color="auto"/>
            </w:tcBorders>
          </w:tcPr>
          <w:p w14:paraId="359E48AB" w14:textId="0D6D98A9"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lastRenderedPageBreak/>
              <w:t xml:space="preserve">(1)Nicio prevedere din prezentul capitol nu împiedică autoritățile competente dintr-un stat membru să comunice informațiile prevăzute la articolele 53 – 55 unei case de compensare sau unui alt organism similar recunoscut de legislația internă pentru asigurarea de servicii de compensare și decontare pe una dintre piețele lor naționale, în cazul în care autoritățile respective consideră necesară comunicarea informațiilor pentru a asigura funcționarea adecvată a organismelor respective în caz de neplată sau de neplată potențială de către participanții pe piață. </w:t>
            </w:r>
          </w:p>
          <w:p w14:paraId="145698D2" w14:textId="77777777" w:rsidR="00265766" w:rsidRPr="009E686F" w:rsidRDefault="00265766" w:rsidP="00265766">
            <w:pPr>
              <w:spacing w:after="0"/>
              <w:jc w:val="both"/>
              <w:rPr>
                <w:rFonts w:ascii="Times New Roman" w:hAnsi="Times New Roman" w:cs="Times New Roman"/>
                <w:lang w:val="it-CH"/>
              </w:rPr>
            </w:pPr>
          </w:p>
          <w:p w14:paraId="59317BD1" w14:textId="77777777"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Informațiile primite fac obiectul cerințelor privind secretul profesional cel puțin echivalente cu cele menționate în articolul 53 alineatul (1).</w:t>
            </w:r>
          </w:p>
        </w:tc>
        <w:tc>
          <w:tcPr>
            <w:tcW w:w="1834" w:type="pct"/>
            <w:tcBorders>
              <w:top w:val="single" w:sz="4" w:space="0" w:color="auto"/>
              <w:left w:val="single" w:sz="4" w:space="0" w:color="auto"/>
              <w:bottom w:val="single" w:sz="4" w:space="0" w:color="auto"/>
              <w:right w:val="single" w:sz="4" w:space="0" w:color="auto"/>
            </w:tcBorders>
          </w:tcPr>
          <w:p w14:paraId="2D5E3F57" w14:textId="77777777" w:rsidR="00265766" w:rsidRPr="009E686F" w:rsidRDefault="00265766" w:rsidP="00265766">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(1) Prevederile prezentului capitol nu împiedică Banca Naţională a Moldovei să furnizeze informaţiile la care se referă prevederile art.126–128 sistemelor de clearing şi decontare sau altor structuri similare constituite, în conformitate cu prevederile legii, în vederea asigurării serviciilor de clearing şi decontare pentru orice piaţă din Republica Moldova, în cazul în care consideră că este necesar să comunice aceste informaţii în scopul asigurării funcţionării corespunzătoare a respectivelor structuri, avînd în vedere riscurile ca participanţii pe piaţă să nu-şi îndeplinească obligaţiile de plată.</w:t>
            </w:r>
          </w:p>
          <w:p w14:paraId="65E0FCE8" w14:textId="77777777"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(2) Informaţiile primite potrivit prevederilor alin. (1) sunt supuse unor cerinţe referitoare la secretul profesional prevăzute de legislația națională, cel puțin echivalente celor prevăzute la art. 126.</w:t>
            </w:r>
          </w:p>
        </w:tc>
        <w:tc>
          <w:tcPr>
            <w:tcW w:w="470" w:type="pct"/>
            <w:tcBorders>
              <w:top w:val="single" w:sz="4" w:space="0" w:color="auto"/>
              <w:left w:val="single" w:sz="4" w:space="0" w:color="auto"/>
              <w:bottom w:val="single" w:sz="4" w:space="0" w:color="auto"/>
              <w:right w:val="single" w:sz="4" w:space="0" w:color="auto"/>
            </w:tcBorders>
          </w:tcPr>
          <w:p w14:paraId="226D6746" w14:textId="77777777" w:rsidR="00265766" w:rsidRPr="009E686F" w:rsidRDefault="00265766" w:rsidP="00265766">
            <w:pPr>
              <w:jc w:val="both"/>
              <w:rPr>
                <w:rFonts w:ascii="Times New Roman" w:hAnsi="Times New Roman" w:cs="Times New Roman"/>
              </w:rPr>
            </w:pPr>
            <w:r w:rsidRPr="009E686F">
              <w:rPr>
                <w:rFonts w:ascii="Times New Roman" w:hAnsi="Times New Roman" w:cs="Times New Roman"/>
              </w:rPr>
              <w:t>Compatibil</w:t>
            </w:r>
          </w:p>
          <w:p w14:paraId="0A2E3F23" w14:textId="77777777" w:rsidR="00265766" w:rsidRPr="009E686F" w:rsidRDefault="00265766" w:rsidP="00265766">
            <w:pPr>
              <w:jc w:val="both"/>
              <w:rPr>
                <w:rFonts w:ascii="Times New Roman" w:hAnsi="Times New Roman" w:cs="Times New Roman"/>
              </w:rPr>
            </w:pPr>
          </w:p>
          <w:p w14:paraId="3F3AA042" w14:textId="77777777" w:rsidR="00265766" w:rsidRPr="009E686F" w:rsidRDefault="00265766" w:rsidP="00265766">
            <w:pPr>
              <w:jc w:val="both"/>
              <w:rPr>
                <w:rFonts w:ascii="Times New Roman" w:hAnsi="Times New Roman" w:cs="Times New Roman"/>
              </w:rPr>
            </w:pPr>
          </w:p>
          <w:p w14:paraId="1CC76D94" w14:textId="77777777" w:rsidR="00265766" w:rsidRPr="009E686F" w:rsidRDefault="00265766" w:rsidP="00265766">
            <w:pPr>
              <w:jc w:val="both"/>
              <w:rPr>
                <w:rFonts w:ascii="Times New Roman" w:hAnsi="Times New Roman" w:cs="Times New Roman"/>
              </w:rPr>
            </w:pPr>
          </w:p>
          <w:p w14:paraId="4D65F4FA" w14:textId="77777777" w:rsidR="00265766" w:rsidRPr="009E686F" w:rsidRDefault="00265766" w:rsidP="00265766">
            <w:pPr>
              <w:jc w:val="both"/>
              <w:rPr>
                <w:rFonts w:ascii="Times New Roman" w:hAnsi="Times New Roman" w:cs="Times New Roman"/>
              </w:rPr>
            </w:pPr>
          </w:p>
          <w:p w14:paraId="0ABA265B" w14:textId="77777777" w:rsidR="00265766" w:rsidRPr="009E686F" w:rsidRDefault="00265766" w:rsidP="00265766">
            <w:pPr>
              <w:jc w:val="both"/>
              <w:rPr>
                <w:rFonts w:ascii="Times New Roman" w:hAnsi="Times New Roman" w:cs="Times New Roman"/>
              </w:rPr>
            </w:pPr>
          </w:p>
          <w:p w14:paraId="0F229F2A" w14:textId="77777777" w:rsidR="00265766" w:rsidRPr="009E686F" w:rsidRDefault="00265766" w:rsidP="00265766">
            <w:pPr>
              <w:jc w:val="both"/>
              <w:rPr>
                <w:rFonts w:ascii="Times New Roman" w:hAnsi="Times New Roman" w:cs="Times New Roman"/>
              </w:rPr>
            </w:pPr>
          </w:p>
          <w:p w14:paraId="53A30E7F" w14:textId="77777777" w:rsidR="00265766" w:rsidRPr="009E686F" w:rsidRDefault="00265766" w:rsidP="00265766">
            <w:pPr>
              <w:jc w:val="both"/>
              <w:rPr>
                <w:rFonts w:ascii="Times New Roman" w:hAnsi="Times New Roman" w:cs="Times New Roman"/>
              </w:rPr>
            </w:pPr>
          </w:p>
          <w:p w14:paraId="0051B0B8" w14:textId="4E8A6C4E" w:rsidR="00265766" w:rsidRPr="009E686F" w:rsidRDefault="00265766" w:rsidP="00265766">
            <w:pPr>
              <w:jc w:val="both"/>
              <w:rPr>
                <w:rFonts w:ascii="Times New Roman" w:hAnsi="Times New Roman" w:cs="Times New Roman"/>
              </w:rPr>
            </w:pPr>
          </w:p>
        </w:tc>
        <w:tc>
          <w:tcPr>
            <w:tcW w:w="806" w:type="pct"/>
            <w:tcBorders>
              <w:top w:val="single" w:sz="4" w:space="0" w:color="auto"/>
              <w:left w:val="single" w:sz="4" w:space="0" w:color="auto"/>
              <w:bottom w:val="single" w:sz="4" w:space="0" w:color="auto"/>
              <w:right w:val="single" w:sz="4" w:space="0" w:color="auto"/>
            </w:tcBorders>
          </w:tcPr>
          <w:p w14:paraId="7181BBC4" w14:textId="6115119D" w:rsidR="00265766" w:rsidRPr="009E686F" w:rsidRDefault="00265766" w:rsidP="00265766">
            <w:pPr>
              <w:spacing w:after="0"/>
              <w:jc w:val="both"/>
              <w:rPr>
                <w:rFonts w:ascii="Times New Roman" w:hAnsi="Times New Roman" w:cs="Times New Roman"/>
              </w:rPr>
            </w:pPr>
          </w:p>
        </w:tc>
      </w:tr>
      <w:tr w:rsidR="00265766" w:rsidRPr="009E686F" w14:paraId="3F344AB5" w14:textId="77777777" w:rsidTr="00960C23">
        <w:tc>
          <w:tcPr>
            <w:tcW w:w="1890" w:type="pct"/>
            <w:tcBorders>
              <w:top w:val="single" w:sz="4" w:space="0" w:color="auto"/>
              <w:left w:val="single" w:sz="4" w:space="0" w:color="auto"/>
              <w:bottom w:val="single" w:sz="4" w:space="0" w:color="auto"/>
              <w:right w:val="single" w:sz="4" w:space="0" w:color="auto"/>
            </w:tcBorders>
          </w:tcPr>
          <w:p w14:paraId="774D4353" w14:textId="45C86B39" w:rsidR="00265766" w:rsidRPr="009E686F" w:rsidRDefault="00265766" w:rsidP="00265766">
            <w:pPr>
              <w:spacing w:after="0"/>
              <w:jc w:val="both"/>
              <w:rPr>
                <w:rFonts w:ascii="Times New Roman" w:hAnsi="Times New Roman" w:cs="Times New Roman"/>
              </w:rPr>
            </w:pPr>
            <w:r w:rsidRPr="009E686F">
              <w:rPr>
                <w:rFonts w:ascii="Times New Roman" w:hAnsi="Times New Roman" w:cs="Times New Roman"/>
              </w:rPr>
              <w:t>(2) Cu toate acestea, statele membre se asigură că informațiile primite în conformitate cu articolul 53 alineatul (2) nu se comunică în situațiile menționate la alineatul (1) fără acordul expres al autorităților competente care au furnizat informațiile respective.</w:t>
            </w:r>
          </w:p>
        </w:tc>
        <w:tc>
          <w:tcPr>
            <w:tcW w:w="1834" w:type="pct"/>
            <w:tcBorders>
              <w:top w:val="single" w:sz="4" w:space="0" w:color="auto"/>
              <w:left w:val="single" w:sz="4" w:space="0" w:color="auto"/>
              <w:bottom w:val="single" w:sz="4" w:space="0" w:color="auto"/>
              <w:right w:val="single" w:sz="4" w:space="0" w:color="auto"/>
            </w:tcBorders>
          </w:tcPr>
          <w:p w14:paraId="6DE4D6B2" w14:textId="77777777" w:rsidR="00265766" w:rsidRPr="009E686F" w:rsidRDefault="00265766" w:rsidP="00265766">
            <w:pPr>
              <w:spacing w:after="0"/>
              <w:jc w:val="both"/>
              <w:rPr>
                <w:rFonts w:ascii="Times New Roman" w:hAnsi="Times New Roman" w:cs="Times New Roman"/>
                <w:lang w:val="it-CH"/>
              </w:rPr>
            </w:pPr>
            <w:r w:rsidRPr="009E686F">
              <w:rPr>
                <w:rFonts w:ascii="Times New Roman" w:hAnsi="Times New Roman" w:cs="Times New Roman"/>
                <w:lang w:val="it-CH"/>
              </w:rPr>
              <w:t>(3) În situaţiile prevăzute la alin. (1), informaţiile primite de la alte autorități competente conform prezentului capitol nu se divulgă de Banca Naţională a Moldovei fără acordul expres al autorităţii competente care a furnizat informațiile respective.</w:t>
            </w:r>
          </w:p>
        </w:tc>
        <w:tc>
          <w:tcPr>
            <w:tcW w:w="470" w:type="pct"/>
            <w:tcBorders>
              <w:top w:val="single" w:sz="4" w:space="0" w:color="auto"/>
              <w:left w:val="single" w:sz="4" w:space="0" w:color="auto"/>
              <w:bottom w:val="single" w:sz="4" w:space="0" w:color="auto"/>
              <w:right w:val="single" w:sz="4" w:space="0" w:color="auto"/>
            </w:tcBorders>
          </w:tcPr>
          <w:p w14:paraId="53A1A8E8" w14:textId="77CBB02F" w:rsidR="00265766" w:rsidRPr="009E686F" w:rsidRDefault="00265766" w:rsidP="00265766">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2B836030" w14:textId="58F53FE9" w:rsidR="00265766" w:rsidRPr="009E686F" w:rsidRDefault="00265766" w:rsidP="00265766">
            <w:pPr>
              <w:spacing w:after="0"/>
              <w:jc w:val="both"/>
              <w:rPr>
                <w:rFonts w:ascii="Times New Roman" w:hAnsi="Times New Roman" w:cs="Times New Roman"/>
              </w:rPr>
            </w:pPr>
          </w:p>
        </w:tc>
      </w:tr>
      <w:tr w:rsidR="00265766" w:rsidRPr="009E686F" w14:paraId="56DDD28C" w14:textId="77777777" w:rsidTr="00960C23">
        <w:trPr>
          <w:trHeight w:val="801"/>
        </w:trPr>
        <w:tc>
          <w:tcPr>
            <w:tcW w:w="1890" w:type="pct"/>
            <w:tcBorders>
              <w:top w:val="single" w:sz="4" w:space="0" w:color="auto"/>
              <w:left w:val="single" w:sz="4" w:space="0" w:color="auto"/>
              <w:bottom w:val="single" w:sz="4" w:space="0" w:color="auto"/>
              <w:right w:val="single" w:sz="4" w:space="0" w:color="auto"/>
            </w:tcBorders>
          </w:tcPr>
          <w:p w14:paraId="0BD72569" w14:textId="77777777" w:rsidR="00265766" w:rsidRPr="009E686F" w:rsidRDefault="00265766" w:rsidP="00265766">
            <w:pPr>
              <w:spacing w:after="0"/>
              <w:jc w:val="both"/>
              <w:rPr>
                <w:rFonts w:ascii="Times New Roman" w:hAnsi="Times New Roman" w:cs="Times New Roman"/>
                <w:i/>
                <w:iCs/>
                <w:lang w:val="pt-BR"/>
              </w:rPr>
            </w:pPr>
            <w:r w:rsidRPr="009E686F">
              <w:rPr>
                <w:rFonts w:ascii="Times New Roman" w:hAnsi="Times New Roman" w:cs="Times New Roman"/>
                <w:i/>
                <w:iCs/>
                <w:lang w:val="pt-BR"/>
              </w:rPr>
              <w:t xml:space="preserve">Articolul 62 </w:t>
            </w:r>
          </w:p>
          <w:p w14:paraId="556F48FF" w14:textId="23A1A8D8" w:rsidR="00265766" w:rsidRPr="009E686F" w:rsidRDefault="00265766" w:rsidP="00265766">
            <w:pPr>
              <w:spacing w:after="0"/>
              <w:jc w:val="both"/>
              <w:rPr>
                <w:rFonts w:ascii="Times New Roman" w:hAnsi="Times New Roman" w:cs="Times New Roman"/>
                <w:lang w:val="pt-BR"/>
              </w:rPr>
            </w:pPr>
            <w:r w:rsidRPr="009E686F">
              <w:rPr>
                <w:rFonts w:ascii="Times New Roman" w:hAnsi="Times New Roman" w:cs="Times New Roman"/>
                <w:lang w:val="pt-BR"/>
              </w:rPr>
              <w:t>Prelucrarea datelor cu caracter personal</w:t>
            </w:r>
          </w:p>
          <w:p w14:paraId="6D82DF27" w14:textId="77777777" w:rsidR="00265766" w:rsidRPr="009E686F" w:rsidRDefault="00265766" w:rsidP="00265766">
            <w:pPr>
              <w:spacing w:after="0"/>
              <w:jc w:val="both"/>
              <w:rPr>
                <w:rFonts w:ascii="Times New Roman" w:hAnsi="Times New Roman" w:cs="Times New Roman"/>
                <w:lang w:val="pt-BR"/>
              </w:rPr>
            </w:pPr>
          </w:p>
          <w:p w14:paraId="29504B36" w14:textId="77777777" w:rsidR="00265766" w:rsidRPr="009E686F" w:rsidRDefault="00265766" w:rsidP="00265766">
            <w:pPr>
              <w:spacing w:after="0"/>
              <w:jc w:val="both"/>
              <w:rPr>
                <w:rFonts w:ascii="Times New Roman" w:hAnsi="Times New Roman" w:cs="Times New Roman"/>
                <w:lang w:val="pt-BR"/>
              </w:rPr>
            </w:pPr>
            <w:r w:rsidRPr="009E686F">
              <w:rPr>
                <w:rFonts w:ascii="Times New Roman" w:hAnsi="Times New Roman" w:cs="Times New Roman"/>
                <w:lang w:val="pt-BR"/>
              </w:rPr>
              <w:t>Prelucrarea datelor cu caracter personal în sensul prezentei directive se efectuează în conformitate cu Directiva 95/46/CE și, după caz, cu Regulamentul (CE) nr. 45/2001.</w:t>
            </w:r>
          </w:p>
        </w:tc>
        <w:tc>
          <w:tcPr>
            <w:tcW w:w="1834" w:type="pct"/>
            <w:tcBorders>
              <w:top w:val="single" w:sz="4" w:space="0" w:color="auto"/>
              <w:left w:val="single" w:sz="4" w:space="0" w:color="auto"/>
              <w:bottom w:val="single" w:sz="4" w:space="0" w:color="auto"/>
              <w:right w:val="single" w:sz="4" w:space="0" w:color="auto"/>
            </w:tcBorders>
          </w:tcPr>
          <w:p w14:paraId="012AF794" w14:textId="13D0F6FB" w:rsidR="00265766" w:rsidRPr="009E686F" w:rsidRDefault="00265766" w:rsidP="00265766">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b/>
                <w:bCs/>
                <w:kern w:val="2"/>
                <w:lang w:val="ro-MD"/>
              </w:rPr>
              <w:t>Articolul 135.</w:t>
            </w:r>
            <w:r w:rsidRPr="009E686F">
              <w:rPr>
                <w:rFonts w:ascii="Times New Roman" w:eastAsia="Aptos" w:hAnsi="Times New Roman" w:cs="Times New Roman"/>
                <w:kern w:val="2"/>
                <w:lang w:val="ro-MD"/>
              </w:rPr>
              <w:t xml:space="preserve"> Prelucrarea datelor cu caracter personal</w:t>
            </w:r>
          </w:p>
          <w:p w14:paraId="39048435" w14:textId="77777777" w:rsidR="00265766" w:rsidRPr="009E686F" w:rsidRDefault="00265766" w:rsidP="00265766">
            <w:pPr>
              <w:spacing w:after="0" w:line="278" w:lineRule="auto"/>
              <w:jc w:val="both"/>
              <w:rPr>
                <w:rFonts w:ascii="Times New Roman" w:eastAsia="Aptos" w:hAnsi="Times New Roman" w:cs="Times New Roman"/>
                <w:kern w:val="2"/>
                <w:lang w:val="ro-MD"/>
              </w:rPr>
            </w:pPr>
          </w:p>
          <w:p w14:paraId="109DA3EF" w14:textId="7F87A20C" w:rsidR="00265766" w:rsidRPr="009E686F" w:rsidRDefault="00265766" w:rsidP="00265766">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 xml:space="preserve">Prelucrarea datelor cu caracter personal în sensul prezentei legi se efectuează în conformitate cu prevederile Legii nr. </w:t>
            </w:r>
            <w:r w:rsidRPr="009E686F">
              <w:rPr>
                <w:rFonts w:ascii="Times New Roman" w:eastAsia="Aptos" w:hAnsi="Times New Roman" w:cs="Times New Roman"/>
                <w:i/>
                <w:iCs/>
                <w:kern w:val="2"/>
                <w:lang w:val="ro-MD"/>
              </w:rPr>
              <w:t>195/2024</w:t>
            </w:r>
            <w:r w:rsidRPr="009E686F">
              <w:rPr>
                <w:rFonts w:ascii="Times New Roman" w:eastAsia="Aptos" w:hAnsi="Times New Roman" w:cs="Times New Roman"/>
                <w:kern w:val="2"/>
                <w:lang w:val="ro-MD"/>
              </w:rPr>
              <w:t xml:space="preserve"> privind protecţia datelor cu caracter personal.</w:t>
            </w:r>
          </w:p>
          <w:p w14:paraId="354C5F54" w14:textId="58BF19C8" w:rsidR="00265766" w:rsidRPr="009E686F" w:rsidRDefault="00265766" w:rsidP="00265766">
            <w:pPr>
              <w:spacing w:after="0"/>
              <w:jc w:val="both"/>
              <w:rPr>
                <w:rFonts w:ascii="Times New Roman" w:hAnsi="Times New Roman" w:cs="Times New Roman"/>
                <w:lang w:val="ro-MD"/>
              </w:rPr>
            </w:pPr>
          </w:p>
        </w:tc>
        <w:tc>
          <w:tcPr>
            <w:tcW w:w="470" w:type="pct"/>
            <w:tcBorders>
              <w:top w:val="single" w:sz="4" w:space="0" w:color="auto"/>
              <w:left w:val="single" w:sz="4" w:space="0" w:color="auto"/>
              <w:bottom w:val="single" w:sz="4" w:space="0" w:color="auto"/>
              <w:right w:val="single" w:sz="4" w:space="0" w:color="auto"/>
            </w:tcBorders>
          </w:tcPr>
          <w:p w14:paraId="6B4D5C53" w14:textId="5C32F1AF" w:rsidR="00265766" w:rsidRPr="009E686F" w:rsidRDefault="00265766" w:rsidP="00265766">
            <w:pPr>
              <w:jc w:val="both"/>
              <w:rPr>
                <w:rFonts w:ascii="Times New Roman" w:hAnsi="Times New Roman" w:cs="Times New Roman"/>
              </w:rPr>
            </w:pPr>
            <w:r w:rsidRPr="009E686F">
              <w:rPr>
                <w:rFonts w:ascii="Times New Roman" w:hAnsi="Times New Roman" w:cs="Times New Roman"/>
              </w:rPr>
              <w:t>Compatibil</w:t>
            </w:r>
          </w:p>
        </w:tc>
        <w:tc>
          <w:tcPr>
            <w:tcW w:w="806" w:type="pct"/>
            <w:tcBorders>
              <w:top w:val="single" w:sz="4" w:space="0" w:color="auto"/>
              <w:left w:val="single" w:sz="4" w:space="0" w:color="auto"/>
              <w:bottom w:val="single" w:sz="4" w:space="0" w:color="auto"/>
              <w:right w:val="single" w:sz="4" w:space="0" w:color="auto"/>
            </w:tcBorders>
          </w:tcPr>
          <w:p w14:paraId="32CB772F" w14:textId="7BD9BDA5" w:rsidR="00265766" w:rsidRPr="009E686F" w:rsidRDefault="00265766" w:rsidP="00265766">
            <w:pPr>
              <w:spacing w:after="0"/>
              <w:jc w:val="both"/>
              <w:rPr>
                <w:rFonts w:ascii="Times New Roman" w:hAnsi="Times New Roman" w:cs="Times New Roman"/>
              </w:rPr>
            </w:pPr>
          </w:p>
        </w:tc>
      </w:tr>
    </w:tbl>
    <w:p w14:paraId="594F1F39" w14:textId="4B39DB14" w:rsidR="00790559" w:rsidRPr="009E686F" w:rsidRDefault="00790559" w:rsidP="003756D1">
      <w:pPr>
        <w:rPr>
          <w:rFonts w:ascii="Times New Roman" w:hAnsi="Times New Roman" w:cs="Times New Roman"/>
        </w:rPr>
      </w:pPr>
    </w:p>
    <w:tbl>
      <w:tblPr>
        <w:tblW w:w="5177"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82"/>
        <w:gridCol w:w="1134"/>
        <w:gridCol w:w="3543"/>
        <w:gridCol w:w="1420"/>
        <w:gridCol w:w="850"/>
        <w:gridCol w:w="1417"/>
        <w:gridCol w:w="2430"/>
      </w:tblGrid>
      <w:tr w:rsidR="00C8360A" w:rsidRPr="009E686F" w14:paraId="576E756F" w14:textId="61806653" w:rsidTr="00774F3E">
        <w:tc>
          <w:tcPr>
            <w:tcW w:w="1796" w:type="pct"/>
            <w:gridSpan w:val="2"/>
            <w:tcBorders>
              <w:top w:val="single" w:sz="4" w:space="0" w:color="auto"/>
              <w:left w:val="single" w:sz="4" w:space="0" w:color="auto"/>
              <w:bottom w:val="single" w:sz="4" w:space="0" w:color="auto"/>
              <w:right w:val="single" w:sz="4" w:space="0" w:color="auto"/>
            </w:tcBorders>
          </w:tcPr>
          <w:p w14:paraId="4C47A29C" w14:textId="77777777" w:rsidR="00C27552" w:rsidRPr="009E686F" w:rsidRDefault="00C27552" w:rsidP="00566889">
            <w:pPr>
              <w:spacing w:after="0"/>
              <w:jc w:val="both"/>
              <w:rPr>
                <w:rFonts w:ascii="Times New Roman" w:hAnsi="Times New Roman" w:cs="Times New Roman"/>
                <w:bCs/>
                <w:lang w:val="ro-RO"/>
              </w:rPr>
            </w:pPr>
            <w:r w:rsidRPr="009E686F">
              <w:rPr>
                <w:rFonts w:ascii="Times New Roman" w:hAnsi="Times New Roman" w:cs="Times New Roman"/>
                <w:bCs/>
                <w:lang w:val="ro-RO"/>
              </w:rPr>
              <w:t>Secțiunea III</w:t>
            </w:r>
          </w:p>
          <w:p w14:paraId="73360719" w14:textId="77777777" w:rsidR="00C27552" w:rsidRPr="009E686F" w:rsidRDefault="00C27552" w:rsidP="00566889">
            <w:pPr>
              <w:spacing w:after="0"/>
              <w:jc w:val="both"/>
              <w:rPr>
                <w:rFonts w:ascii="Times New Roman" w:hAnsi="Times New Roman" w:cs="Times New Roman"/>
                <w:lang w:val="ro-RO"/>
              </w:rPr>
            </w:pPr>
            <w:r w:rsidRPr="009E686F">
              <w:rPr>
                <w:rFonts w:ascii="Times New Roman" w:hAnsi="Times New Roman" w:cs="Times New Roman"/>
                <w:b/>
                <w:lang w:val="ro-RO"/>
              </w:rPr>
              <w:t>Obligațiile persoanelor responsabile cu controlul legal al conturilor anuale și consolidate</w:t>
            </w:r>
          </w:p>
        </w:tc>
        <w:tc>
          <w:tcPr>
            <w:tcW w:w="1928" w:type="pct"/>
            <w:gridSpan w:val="3"/>
            <w:tcBorders>
              <w:top w:val="single" w:sz="4" w:space="0" w:color="auto"/>
              <w:left w:val="single" w:sz="4" w:space="0" w:color="auto"/>
              <w:bottom w:val="single" w:sz="4" w:space="0" w:color="auto"/>
              <w:right w:val="single" w:sz="4" w:space="0" w:color="auto"/>
            </w:tcBorders>
          </w:tcPr>
          <w:p w14:paraId="79F0545F" w14:textId="77777777" w:rsidR="00C27552" w:rsidRPr="009E686F" w:rsidRDefault="00C27552" w:rsidP="00566889">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13E1C5D0" w14:textId="77777777" w:rsidR="00C27552" w:rsidRPr="009E686F" w:rsidRDefault="00C27552" w:rsidP="00883827">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31D56C3B" w14:textId="77777777" w:rsidR="00C27552" w:rsidRPr="009E686F" w:rsidRDefault="00C27552" w:rsidP="00883827">
            <w:pPr>
              <w:jc w:val="both"/>
              <w:rPr>
                <w:rFonts w:ascii="Times New Roman" w:hAnsi="Times New Roman" w:cs="Times New Roman"/>
                <w:lang w:val="ro-RO"/>
              </w:rPr>
            </w:pPr>
          </w:p>
        </w:tc>
      </w:tr>
      <w:tr w:rsidR="00C8360A" w:rsidRPr="009E686F" w14:paraId="3BAC2458" w14:textId="27D4F742" w:rsidTr="00774F3E">
        <w:tc>
          <w:tcPr>
            <w:tcW w:w="1796" w:type="pct"/>
            <w:gridSpan w:val="2"/>
            <w:tcBorders>
              <w:top w:val="single" w:sz="4" w:space="0" w:color="auto"/>
              <w:left w:val="single" w:sz="4" w:space="0" w:color="auto"/>
              <w:bottom w:val="single" w:sz="4" w:space="0" w:color="auto"/>
              <w:right w:val="single" w:sz="4" w:space="0" w:color="auto"/>
            </w:tcBorders>
          </w:tcPr>
          <w:p w14:paraId="744C719C" w14:textId="77777777" w:rsidR="00C27552" w:rsidRPr="009E686F" w:rsidRDefault="00C27552" w:rsidP="00566889">
            <w:pPr>
              <w:spacing w:after="0"/>
              <w:jc w:val="both"/>
              <w:rPr>
                <w:rFonts w:ascii="Times New Roman" w:hAnsi="Times New Roman" w:cs="Times New Roman"/>
                <w:i/>
                <w:iCs/>
                <w:lang w:val="ro-RO"/>
              </w:rPr>
            </w:pPr>
            <w:r w:rsidRPr="009E686F">
              <w:rPr>
                <w:rFonts w:ascii="Times New Roman" w:hAnsi="Times New Roman" w:cs="Times New Roman"/>
                <w:i/>
                <w:iCs/>
                <w:lang w:val="ro-RO"/>
              </w:rPr>
              <w:lastRenderedPageBreak/>
              <w:t xml:space="preserve">Articolul 63 </w:t>
            </w:r>
          </w:p>
          <w:p w14:paraId="5185AEDA" w14:textId="1F21F1F8" w:rsidR="00C27552" w:rsidRPr="009E686F" w:rsidRDefault="00C27552" w:rsidP="00566889">
            <w:pPr>
              <w:spacing w:after="0"/>
              <w:jc w:val="both"/>
              <w:rPr>
                <w:rFonts w:ascii="Times New Roman" w:hAnsi="Times New Roman" w:cs="Times New Roman"/>
                <w:lang w:val="ro-RO"/>
              </w:rPr>
            </w:pPr>
            <w:r w:rsidRPr="009E686F">
              <w:rPr>
                <w:rFonts w:ascii="Times New Roman" w:hAnsi="Times New Roman" w:cs="Times New Roman"/>
                <w:lang w:val="ro-RO"/>
              </w:rPr>
              <w:t>Obligațiile persoanelor responsabile cu controlul legal al conturilor anuale și consolidate</w:t>
            </w:r>
          </w:p>
        </w:tc>
        <w:tc>
          <w:tcPr>
            <w:tcW w:w="1928" w:type="pct"/>
            <w:gridSpan w:val="3"/>
            <w:tcBorders>
              <w:top w:val="single" w:sz="4" w:space="0" w:color="auto"/>
              <w:left w:val="single" w:sz="4" w:space="0" w:color="auto"/>
              <w:bottom w:val="single" w:sz="4" w:space="0" w:color="auto"/>
              <w:right w:val="single" w:sz="4" w:space="0" w:color="auto"/>
            </w:tcBorders>
          </w:tcPr>
          <w:p w14:paraId="1193E72C" w14:textId="77777777" w:rsidR="00C27552" w:rsidRPr="009E686F" w:rsidRDefault="00C27552" w:rsidP="00566889">
            <w:pPr>
              <w:spacing w:after="0"/>
              <w:jc w:val="both"/>
              <w:rPr>
                <w:rFonts w:ascii="Times New Roman" w:hAnsi="Times New Roman" w:cs="Times New Roman"/>
                <w:lang w:val="it-CH"/>
              </w:rPr>
            </w:pPr>
            <w:r w:rsidRPr="009E686F">
              <w:rPr>
                <w:rFonts w:ascii="Times New Roman" w:hAnsi="Times New Roman" w:cs="Times New Roman"/>
                <w:b/>
                <w:bCs/>
                <w:lang w:val="it-CH"/>
              </w:rPr>
              <w:t>Articolul 89.</w:t>
            </w:r>
            <w:r w:rsidRPr="009E686F">
              <w:rPr>
                <w:rFonts w:ascii="Times New Roman" w:hAnsi="Times New Roman" w:cs="Times New Roman"/>
                <w:lang w:val="it-CH"/>
              </w:rPr>
              <w:t xml:space="preserve"> Obligaţiile entităţii de audit de informare şi comunicare cu Banca Naţională a Moldovei</w:t>
            </w:r>
          </w:p>
          <w:p w14:paraId="440E5F6E" w14:textId="77777777" w:rsidR="00C27552" w:rsidRPr="009E686F" w:rsidRDefault="00C27552" w:rsidP="00566889">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766FD786" w14:textId="77777777" w:rsidR="00C27552" w:rsidRPr="009E686F" w:rsidRDefault="00C27552" w:rsidP="00883827">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7080BD1B" w14:textId="77777777" w:rsidR="00C27552" w:rsidRPr="009E686F" w:rsidRDefault="00C27552" w:rsidP="00883827">
            <w:pPr>
              <w:jc w:val="both"/>
              <w:rPr>
                <w:rFonts w:ascii="Times New Roman" w:hAnsi="Times New Roman" w:cs="Times New Roman"/>
                <w:lang w:val="ro-RO"/>
              </w:rPr>
            </w:pPr>
          </w:p>
        </w:tc>
      </w:tr>
      <w:tr w:rsidR="00C8360A" w:rsidRPr="009E686F" w14:paraId="587D92F1" w14:textId="17CF2C7C" w:rsidTr="00774F3E">
        <w:tc>
          <w:tcPr>
            <w:tcW w:w="1796" w:type="pct"/>
            <w:gridSpan w:val="2"/>
            <w:tcBorders>
              <w:top w:val="single" w:sz="4" w:space="0" w:color="auto"/>
              <w:left w:val="single" w:sz="4" w:space="0" w:color="auto"/>
              <w:bottom w:val="single" w:sz="4" w:space="0" w:color="auto"/>
              <w:right w:val="single" w:sz="4" w:space="0" w:color="auto"/>
            </w:tcBorders>
          </w:tcPr>
          <w:p w14:paraId="1CA52C08" w14:textId="3D4F6409" w:rsidR="00C27552" w:rsidRPr="009E686F" w:rsidRDefault="00C27552" w:rsidP="00566889">
            <w:pPr>
              <w:spacing w:after="0"/>
              <w:jc w:val="both"/>
              <w:rPr>
                <w:rFonts w:ascii="Times New Roman" w:hAnsi="Times New Roman" w:cs="Times New Roman"/>
                <w:lang w:val="ro-RO"/>
              </w:rPr>
            </w:pPr>
            <w:r w:rsidRPr="009E686F">
              <w:rPr>
                <w:rFonts w:ascii="Times New Roman" w:hAnsi="Times New Roman" w:cs="Times New Roman"/>
                <w:lang w:val="ro-RO"/>
              </w:rPr>
              <w:t>(1)Statele membre adoptă dispoziții care prevăd că orice persoană autorizată în conformitate cu Directiva 2006/43/CEE a Parlamentului European a Consiliului din 17 mai 2006 privind auditul legal al conturilor anuale și al conturilor consolidate și care îndeplinește în cadrul unei instituții sarcinile prevăzute la articolul 51 din Directiva 78/660/CEE a Consiliului din 25 iulie 1978 privind conturile anuale ale anumitor forme de societăți comerciale, la articolul 37 din Directiva 83/349/CEE a Consiliului din 13 iunie 1983 privind conturile consolidate sau la articolul 73 din Directiva 2009/65/CE, sau orice altă sarcină statutară, are cel puțin obligația de a informa cu promptitudine autoritățile competente în legătură cu orice fapt sau decizie cu privire la o anumită instituție care ajunge la cunoștința sa în exercitarea sarcinilor sale și care este de natură:</w:t>
            </w:r>
          </w:p>
        </w:tc>
        <w:tc>
          <w:tcPr>
            <w:tcW w:w="1928" w:type="pct"/>
            <w:gridSpan w:val="3"/>
            <w:tcBorders>
              <w:top w:val="single" w:sz="4" w:space="0" w:color="auto"/>
              <w:left w:val="single" w:sz="4" w:space="0" w:color="auto"/>
              <w:bottom w:val="single" w:sz="4" w:space="0" w:color="auto"/>
              <w:right w:val="single" w:sz="4" w:space="0" w:color="auto"/>
            </w:tcBorders>
          </w:tcPr>
          <w:p w14:paraId="07AE2897" w14:textId="77777777" w:rsidR="00561830" w:rsidRPr="009E686F" w:rsidRDefault="00561830" w:rsidP="00566889">
            <w:pPr>
              <w:spacing w:after="0"/>
              <w:jc w:val="both"/>
              <w:rPr>
                <w:rFonts w:ascii="Times New Roman" w:hAnsi="Times New Roman" w:cs="Times New Roman"/>
                <w:lang w:val="ro-RO"/>
              </w:rPr>
            </w:pPr>
            <w:r w:rsidRPr="009E686F">
              <w:rPr>
                <w:rFonts w:ascii="Times New Roman" w:hAnsi="Times New Roman" w:cs="Times New Roman"/>
                <w:lang w:val="ro-RO"/>
              </w:rPr>
              <w:t xml:space="preserve">(1) Entitatea de audit trebuie să informeze Banca Naţională a Moldovei de îndată ce, în exercitarea atribuţiilor sale, a luat cunoştinţă despre orice fapt sau decizie în legătură cu instituția </w:t>
            </w:r>
            <w:r w:rsidRPr="009E686F">
              <w:rPr>
                <w:rFonts w:ascii="Times New Roman" w:hAnsi="Times New Roman" w:cs="Times New Roman"/>
                <w:i/>
                <w:iCs/>
                <w:lang w:val="ro-RO"/>
              </w:rPr>
              <w:t>de credit</w:t>
            </w:r>
            <w:r w:rsidRPr="009E686F">
              <w:rPr>
                <w:rFonts w:ascii="Times New Roman" w:hAnsi="Times New Roman" w:cs="Times New Roman"/>
                <w:lang w:val="ro-RO"/>
              </w:rPr>
              <w:t xml:space="preserve"> auditată, care:</w:t>
            </w:r>
          </w:p>
          <w:p w14:paraId="75A6D901" w14:textId="77777777" w:rsidR="00C27552" w:rsidRPr="009E686F" w:rsidRDefault="00C27552" w:rsidP="00566889">
            <w:pPr>
              <w:spacing w:after="0"/>
              <w:jc w:val="both"/>
              <w:rPr>
                <w:rFonts w:ascii="Times New Roman" w:hAnsi="Times New Roman" w:cs="Times New Roman"/>
                <w:lang w:val="ro-RO"/>
              </w:rPr>
            </w:pPr>
          </w:p>
        </w:tc>
        <w:tc>
          <w:tcPr>
            <w:tcW w:w="470" w:type="pct"/>
            <w:tcBorders>
              <w:top w:val="single" w:sz="4" w:space="0" w:color="auto"/>
              <w:left w:val="single" w:sz="4" w:space="0" w:color="auto"/>
              <w:bottom w:val="single" w:sz="4" w:space="0" w:color="auto"/>
              <w:right w:val="single" w:sz="4" w:space="0" w:color="auto"/>
            </w:tcBorders>
          </w:tcPr>
          <w:p w14:paraId="1CE00070" w14:textId="433C2FA3" w:rsidR="00C27552" w:rsidRPr="009E686F" w:rsidRDefault="00C27552" w:rsidP="00883827">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5AD22F5A" w14:textId="77777777" w:rsidR="00C27552" w:rsidRPr="009E686F" w:rsidRDefault="00C27552" w:rsidP="00883827">
            <w:pPr>
              <w:jc w:val="both"/>
              <w:rPr>
                <w:rFonts w:ascii="Times New Roman" w:hAnsi="Times New Roman" w:cs="Times New Roman"/>
                <w:lang w:val="ro-RO"/>
              </w:rPr>
            </w:pPr>
          </w:p>
        </w:tc>
      </w:tr>
      <w:tr w:rsidR="00C8360A" w:rsidRPr="009E686F" w14:paraId="676C774D" w14:textId="16BD730A" w:rsidTr="00774F3E">
        <w:tc>
          <w:tcPr>
            <w:tcW w:w="1796" w:type="pct"/>
            <w:gridSpan w:val="2"/>
            <w:tcBorders>
              <w:top w:val="single" w:sz="4" w:space="0" w:color="auto"/>
              <w:left w:val="single" w:sz="4" w:space="0" w:color="auto"/>
              <w:bottom w:val="single" w:sz="4" w:space="0" w:color="auto"/>
              <w:right w:val="single" w:sz="4" w:space="0" w:color="auto"/>
            </w:tcBorders>
          </w:tcPr>
          <w:p w14:paraId="5DF9CA9C" w14:textId="1970E64A" w:rsidR="00C27552" w:rsidRPr="009E686F" w:rsidRDefault="00C27552" w:rsidP="00566889">
            <w:pPr>
              <w:spacing w:after="0"/>
              <w:jc w:val="both"/>
              <w:rPr>
                <w:rFonts w:ascii="Times New Roman" w:hAnsi="Times New Roman" w:cs="Times New Roman"/>
                <w:lang w:val="ro-RO"/>
              </w:rPr>
            </w:pPr>
            <w:r w:rsidRPr="009E686F">
              <w:rPr>
                <w:rFonts w:ascii="Times New Roman" w:hAnsi="Times New Roman" w:cs="Times New Roman"/>
                <w:lang w:val="ro-RO"/>
              </w:rPr>
              <w:t>(a)să constituie o încălcare serioasă a actelor cu putere de lege sau a actelor administrative care reglementează condițiile de autorizare sau care reglementează activitățile instituțiilor;</w:t>
            </w:r>
          </w:p>
        </w:tc>
        <w:tc>
          <w:tcPr>
            <w:tcW w:w="1928" w:type="pct"/>
            <w:gridSpan w:val="3"/>
            <w:tcBorders>
              <w:top w:val="single" w:sz="4" w:space="0" w:color="auto"/>
              <w:left w:val="single" w:sz="4" w:space="0" w:color="auto"/>
              <w:bottom w:val="single" w:sz="4" w:space="0" w:color="auto"/>
              <w:right w:val="single" w:sz="4" w:space="0" w:color="auto"/>
            </w:tcBorders>
          </w:tcPr>
          <w:p w14:paraId="44FB5329" w14:textId="0ABCB0E7" w:rsidR="00C27552" w:rsidRPr="009E686F" w:rsidRDefault="00C27552" w:rsidP="00566889">
            <w:pPr>
              <w:spacing w:after="0"/>
              <w:jc w:val="both"/>
              <w:rPr>
                <w:rFonts w:ascii="Times New Roman" w:hAnsi="Times New Roman" w:cs="Times New Roman"/>
                <w:lang w:val="ro-RO"/>
              </w:rPr>
            </w:pPr>
            <w:r w:rsidRPr="009E686F">
              <w:rPr>
                <w:rFonts w:ascii="Times New Roman" w:hAnsi="Times New Roman" w:cs="Times New Roman"/>
                <w:lang w:val="ro-RO"/>
              </w:rPr>
              <w:t xml:space="preserve">a) </w:t>
            </w:r>
            <w:r w:rsidR="006F3AD9" w:rsidRPr="009E686F">
              <w:rPr>
                <w:rFonts w:ascii="Times New Roman" w:hAnsi="Times New Roman" w:cs="Times New Roman"/>
                <w:lang w:val="ro-RO"/>
              </w:rPr>
              <w:t xml:space="preserve">reprezintă o încălcare a prezentei legi ori altor acte normative emise în aplicarea acesteia, prin care sînt stabilite condiţiile de autorizare a </w:t>
            </w:r>
            <w:r w:rsidR="006F3AD9" w:rsidRPr="009E686F">
              <w:rPr>
                <w:rFonts w:ascii="Times New Roman" w:hAnsi="Times New Roman" w:cs="Times New Roman"/>
                <w:i/>
                <w:iCs/>
                <w:lang w:val="ro-RO"/>
              </w:rPr>
              <w:t>instituțiilor de</w:t>
            </w:r>
            <w:r w:rsidR="006F3AD9" w:rsidRPr="009E686F">
              <w:rPr>
                <w:rFonts w:ascii="Times New Roman" w:hAnsi="Times New Roman" w:cs="Times New Roman"/>
                <w:lang w:val="ro-RO"/>
              </w:rPr>
              <w:t xml:space="preserve"> credit  sau cerinţele privind desfăşurarea activităţii acestora;</w:t>
            </w:r>
          </w:p>
        </w:tc>
        <w:tc>
          <w:tcPr>
            <w:tcW w:w="470" w:type="pct"/>
            <w:tcBorders>
              <w:top w:val="single" w:sz="4" w:space="0" w:color="auto"/>
              <w:left w:val="single" w:sz="4" w:space="0" w:color="auto"/>
              <w:bottom w:val="single" w:sz="4" w:space="0" w:color="auto"/>
              <w:right w:val="single" w:sz="4" w:space="0" w:color="auto"/>
            </w:tcBorders>
          </w:tcPr>
          <w:p w14:paraId="78B23371" w14:textId="3A69B06B" w:rsidR="00C27552" w:rsidRPr="009E686F" w:rsidRDefault="00C27552" w:rsidP="00883827">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6A4D11A3" w14:textId="77777777" w:rsidR="00C27552" w:rsidRPr="009E686F" w:rsidRDefault="00C27552" w:rsidP="00883827">
            <w:pPr>
              <w:jc w:val="both"/>
              <w:rPr>
                <w:rFonts w:ascii="Times New Roman" w:hAnsi="Times New Roman" w:cs="Times New Roman"/>
                <w:lang w:val="ro-RO"/>
              </w:rPr>
            </w:pPr>
          </w:p>
        </w:tc>
      </w:tr>
      <w:tr w:rsidR="00C8360A" w:rsidRPr="009E686F" w14:paraId="24CD29AA" w14:textId="125A96DD" w:rsidTr="00774F3E">
        <w:tc>
          <w:tcPr>
            <w:tcW w:w="1796" w:type="pct"/>
            <w:gridSpan w:val="2"/>
            <w:tcBorders>
              <w:top w:val="single" w:sz="4" w:space="0" w:color="auto"/>
              <w:left w:val="single" w:sz="4" w:space="0" w:color="auto"/>
              <w:bottom w:val="single" w:sz="4" w:space="0" w:color="auto"/>
              <w:right w:val="single" w:sz="4" w:space="0" w:color="auto"/>
            </w:tcBorders>
          </w:tcPr>
          <w:p w14:paraId="24A70D40" w14:textId="15909239" w:rsidR="00C27552" w:rsidRPr="009E686F" w:rsidRDefault="00C27552" w:rsidP="00566889">
            <w:pPr>
              <w:spacing w:after="0"/>
              <w:jc w:val="both"/>
              <w:rPr>
                <w:rFonts w:ascii="Times New Roman" w:hAnsi="Times New Roman" w:cs="Times New Roman"/>
                <w:lang w:val="ro-RO"/>
              </w:rPr>
            </w:pPr>
            <w:r w:rsidRPr="009E686F">
              <w:rPr>
                <w:rFonts w:ascii="Times New Roman" w:hAnsi="Times New Roman" w:cs="Times New Roman"/>
                <w:lang w:val="ro-RO"/>
              </w:rPr>
              <w:t>(b) să afecteze continuitatea activității instituției;</w:t>
            </w:r>
          </w:p>
        </w:tc>
        <w:tc>
          <w:tcPr>
            <w:tcW w:w="1928" w:type="pct"/>
            <w:gridSpan w:val="3"/>
            <w:tcBorders>
              <w:top w:val="single" w:sz="4" w:space="0" w:color="auto"/>
              <w:left w:val="single" w:sz="4" w:space="0" w:color="auto"/>
              <w:bottom w:val="single" w:sz="4" w:space="0" w:color="auto"/>
              <w:right w:val="single" w:sz="4" w:space="0" w:color="auto"/>
            </w:tcBorders>
          </w:tcPr>
          <w:p w14:paraId="142D1823" w14:textId="5E1F4DD3" w:rsidR="00C27552" w:rsidRPr="009E686F" w:rsidRDefault="00C27552" w:rsidP="00566889">
            <w:pPr>
              <w:spacing w:after="0"/>
              <w:jc w:val="both"/>
              <w:rPr>
                <w:rFonts w:ascii="Times New Roman" w:hAnsi="Times New Roman" w:cs="Times New Roman"/>
                <w:lang w:val="ro-RO"/>
              </w:rPr>
            </w:pPr>
            <w:r w:rsidRPr="009E686F">
              <w:rPr>
                <w:rFonts w:ascii="Times New Roman" w:hAnsi="Times New Roman" w:cs="Times New Roman"/>
                <w:lang w:val="ro-RO"/>
              </w:rPr>
              <w:t xml:space="preserve">b) este de natură să afecteze capacitatea  </w:t>
            </w:r>
            <w:r w:rsidR="00FA7CAE" w:rsidRPr="009E686F">
              <w:rPr>
                <w:rFonts w:ascii="Times New Roman" w:hAnsi="Times New Roman" w:cs="Times New Roman"/>
                <w:i/>
                <w:iCs/>
                <w:lang w:val="ro-RO"/>
              </w:rPr>
              <w:t>instituției de credit</w:t>
            </w:r>
            <w:r w:rsidR="00FA7CAE" w:rsidRPr="009E686F">
              <w:rPr>
                <w:rFonts w:ascii="Times New Roman" w:hAnsi="Times New Roman" w:cs="Times New Roman"/>
                <w:lang w:val="ro-RO"/>
              </w:rPr>
              <w:t xml:space="preserve"> </w:t>
            </w:r>
            <w:r w:rsidRPr="009E686F">
              <w:rPr>
                <w:rFonts w:ascii="Times New Roman" w:hAnsi="Times New Roman" w:cs="Times New Roman"/>
                <w:lang w:val="ro-RO"/>
              </w:rPr>
              <w:t xml:space="preserve">de a funcţiona în continuare; </w:t>
            </w:r>
          </w:p>
        </w:tc>
        <w:tc>
          <w:tcPr>
            <w:tcW w:w="470" w:type="pct"/>
            <w:tcBorders>
              <w:top w:val="single" w:sz="4" w:space="0" w:color="auto"/>
              <w:left w:val="single" w:sz="4" w:space="0" w:color="auto"/>
              <w:bottom w:val="single" w:sz="4" w:space="0" w:color="auto"/>
              <w:right w:val="single" w:sz="4" w:space="0" w:color="auto"/>
            </w:tcBorders>
          </w:tcPr>
          <w:p w14:paraId="2103AB3E" w14:textId="03A1DB7B" w:rsidR="00C27552" w:rsidRPr="009E686F" w:rsidRDefault="00C27552" w:rsidP="00883827">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0D3B575A" w14:textId="77777777" w:rsidR="00C27552" w:rsidRPr="009E686F" w:rsidRDefault="00C27552" w:rsidP="00883827">
            <w:pPr>
              <w:jc w:val="both"/>
              <w:rPr>
                <w:rFonts w:ascii="Times New Roman" w:hAnsi="Times New Roman" w:cs="Times New Roman"/>
                <w:lang w:val="ro-RO"/>
              </w:rPr>
            </w:pPr>
          </w:p>
        </w:tc>
      </w:tr>
      <w:tr w:rsidR="00C8360A" w:rsidRPr="009E686F" w14:paraId="43B657C1" w14:textId="7E871CEB" w:rsidTr="00774F3E">
        <w:tc>
          <w:tcPr>
            <w:tcW w:w="1796" w:type="pct"/>
            <w:gridSpan w:val="2"/>
            <w:tcBorders>
              <w:top w:val="single" w:sz="4" w:space="0" w:color="auto"/>
              <w:left w:val="single" w:sz="4" w:space="0" w:color="auto"/>
              <w:bottom w:val="single" w:sz="4" w:space="0" w:color="auto"/>
              <w:right w:val="single" w:sz="4" w:space="0" w:color="auto"/>
            </w:tcBorders>
          </w:tcPr>
          <w:p w14:paraId="18C53966" w14:textId="149FC140" w:rsidR="00C27552" w:rsidRPr="009E686F" w:rsidRDefault="00C27552" w:rsidP="00566889">
            <w:pPr>
              <w:spacing w:after="0"/>
              <w:jc w:val="both"/>
              <w:rPr>
                <w:rFonts w:ascii="Times New Roman" w:hAnsi="Times New Roman" w:cs="Times New Roman"/>
                <w:lang w:val="ro-RO"/>
              </w:rPr>
            </w:pPr>
            <w:r w:rsidRPr="009E686F">
              <w:rPr>
                <w:rFonts w:ascii="Times New Roman" w:hAnsi="Times New Roman" w:cs="Times New Roman"/>
                <w:lang w:val="ro-RO"/>
              </w:rPr>
              <w:t>(c) să conducă la refuzul certificării conturilor sau la formularea anumitor rezerve.</w:t>
            </w:r>
          </w:p>
        </w:tc>
        <w:tc>
          <w:tcPr>
            <w:tcW w:w="1928" w:type="pct"/>
            <w:gridSpan w:val="3"/>
            <w:tcBorders>
              <w:top w:val="single" w:sz="4" w:space="0" w:color="auto"/>
              <w:left w:val="single" w:sz="4" w:space="0" w:color="auto"/>
              <w:bottom w:val="single" w:sz="4" w:space="0" w:color="auto"/>
              <w:right w:val="single" w:sz="4" w:space="0" w:color="auto"/>
            </w:tcBorders>
          </w:tcPr>
          <w:p w14:paraId="32A7E8CD" w14:textId="424B7479" w:rsidR="00C27552" w:rsidRPr="009E686F" w:rsidRDefault="00C27552" w:rsidP="00566889">
            <w:pPr>
              <w:spacing w:after="0"/>
              <w:jc w:val="both"/>
              <w:rPr>
                <w:rFonts w:ascii="Times New Roman" w:hAnsi="Times New Roman" w:cs="Times New Roman"/>
                <w:lang w:val="ro-RO"/>
              </w:rPr>
            </w:pPr>
            <w:r w:rsidRPr="009E686F">
              <w:rPr>
                <w:rFonts w:ascii="Times New Roman" w:hAnsi="Times New Roman" w:cs="Times New Roman"/>
                <w:lang w:val="ro-RO"/>
              </w:rPr>
              <w:t xml:space="preserve">c) poate conduce la un refuz din partea </w:t>
            </w:r>
            <w:r w:rsidR="006F3AD9" w:rsidRPr="009E686F">
              <w:rPr>
                <w:rFonts w:ascii="Times New Roman" w:hAnsi="Times New Roman" w:cs="Times New Roman"/>
                <w:lang w:val="ro-RO"/>
              </w:rPr>
              <w:t xml:space="preserve">entității </w:t>
            </w:r>
            <w:r w:rsidRPr="009E686F">
              <w:rPr>
                <w:rFonts w:ascii="Times New Roman" w:hAnsi="Times New Roman" w:cs="Times New Roman"/>
                <w:lang w:val="ro-RO"/>
              </w:rPr>
              <w:t xml:space="preserve">de audit de a-şi exprima opinia asupra situaţiilor financiare sau la exprimarea de către acesta a unei opinii cu rezerve. </w:t>
            </w:r>
          </w:p>
        </w:tc>
        <w:tc>
          <w:tcPr>
            <w:tcW w:w="470" w:type="pct"/>
            <w:tcBorders>
              <w:top w:val="single" w:sz="4" w:space="0" w:color="auto"/>
              <w:left w:val="single" w:sz="4" w:space="0" w:color="auto"/>
              <w:bottom w:val="single" w:sz="4" w:space="0" w:color="auto"/>
              <w:right w:val="single" w:sz="4" w:space="0" w:color="auto"/>
            </w:tcBorders>
          </w:tcPr>
          <w:p w14:paraId="6E9ACCF9" w14:textId="736DB2A8" w:rsidR="00C27552" w:rsidRPr="009E686F" w:rsidRDefault="00C27552" w:rsidP="00883827">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75AB2492" w14:textId="77777777" w:rsidR="00C27552" w:rsidRPr="009E686F" w:rsidRDefault="00C27552" w:rsidP="00883827">
            <w:pPr>
              <w:jc w:val="both"/>
              <w:rPr>
                <w:rFonts w:ascii="Times New Roman" w:hAnsi="Times New Roman" w:cs="Times New Roman"/>
                <w:lang w:val="ro-RO"/>
              </w:rPr>
            </w:pPr>
          </w:p>
        </w:tc>
      </w:tr>
      <w:tr w:rsidR="00C8360A" w:rsidRPr="009E686F" w14:paraId="1FF64131" w14:textId="1F191595" w:rsidTr="00774F3E">
        <w:tc>
          <w:tcPr>
            <w:tcW w:w="1796" w:type="pct"/>
            <w:gridSpan w:val="2"/>
            <w:tcBorders>
              <w:top w:val="single" w:sz="4" w:space="0" w:color="auto"/>
              <w:left w:val="single" w:sz="4" w:space="0" w:color="auto"/>
              <w:bottom w:val="single" w:sz="4" w:space="0" w:color="auto"/>
              <w:right w:val="single" w:sz="4" w:space="0" w:color="auto"/>
            </w:tcBorders>
          </w:tcPr>
          <w:p w14:paraId="10C0FA55" w14:textId="77777777" w:rsidR="00C27552" w:rsidRPr="009E686F" w:rsidRDefault="00C27552" w:rsidP="00566889">
            <w:pPr>
              <w:spacing w:after="0"/>
              <w:jc w:val="both"/>
              <w:rPr>
                <w:rFonts w:ascii="Times New Roman" w:hAnsi="Times New Roman" w:cs="Times New Roman"/>
                <w:lang w:val="ro-RO"/>
              </w:rPr>
            </w:pPr>
            <w:r w:rsidRPr="009E686F">
              <w:rPr>
                <w:rFonts w:ascii="Times New Roman" w:hAnsi="Times New Roman" w:cs="Times New Roman"/>
                <w:lang w:val="ro-RO"/>
              </w:rPr>
              <w:t xml:space="preserve">Statele membre dispun cel puțin că o persoană menționată la primul paragraf are, de asemenea, obligația de a semnala orice fapt sau decizie care ajunge la cunoștința persoanei respective în exercitarea sarcinilor care îi revin, astfel cum </w:t>
            </w:r>
            <w:r w:rsidRPr="009E686F">
              <w:rPr>
                <w:rFonts w:ascii="Times New Roman" w:hAnsi="Times New Roman" w:cs="Times New Roman"/>
                <w:lang w:val="ro-RO"/>
              </w:rPr>
              <w:lastRenderedPageBreak/>
              <w:t>se descrie la primul paragraf, în cadrul unei întreprinderi care are legături strânse ce rezultă dintr-o relație de control cu instituția în cadrul căreia persoana îndeplinește sarcina respectivă.</w:t>
            </w:r>
          </w:p>
        </w:tc>
        <w:tc>
          <w:tcPr>
            <w:tcW w:w="1928" w:type="pct"/>
            <w:gridSpan w:val="3"/>
            <w:tcBorders>
              <w:top w:val="single" w:sz="4" w:space="0" w:color="auto"/>
              <w:left w:val="single" w:sz="4" w:space="0" w:color="auto"/>
              <w:bottom w:val="single" w:sz="4" w:space="0" w:color="auto"/>
              <w:right w:val="single" w:sz="4" w:space="0" w:color="auto"/>
            </w:tcBorders>
          </w:tcPr>
          <w:p w14:paraId="6175BE90" w14:textId="7567A8DF" w:rsidR="00C27552" w:rsidRPr="009E686F" w:rsidRDefault="00C27552" w:rsidP="00566889">
            <w:pPr>
              <w:spacing w:after="0"/>
              <w:jc w:val="both"/>
              <w:rPr>
                <w:rFonts w:ascii="Times New Roman" w:hAnsi="Times New Roman" w:cs="Times New Roman"/>
                <w:lang w:val="ro-RO"/>
              </w:rPr>
            </w:pPr>
            <w:r w:rsidRPr="009E686F">
              <w:rPr>
                <w:rFonts w:ascii="Times New Roman" w:hAnsi="Times New Roman" w:cs="Times New Roman"/>
                <w:lang w:val="ro-RO"/>
              </w:rPr>
              <w:lastRenderedPageBreak/>
              <w:t xml:space="preserve">(3) Obligaţiile prevăzute la alin. (1) şi (2) revin </w:t>
            </w:r>
            <w:r w:rsidR="006F3AD9" w:rsidRPr="009E686F">
              <w:rPr>
                <w:rFonts w:ascii="Times New Roman" w:hAnsi="Times New Roman" w:cs="Times New Roman"/>
                <w:lang w:val="ro-RO"/>
              </w:rPr>
              <w:t xml:space="preserve">entității </w:t>
            </w:r>
            <w:r w:rsidRPr="009E686F">
              <w:rPr>
                <w:rFonts w:ascii="Times New Roman" w:hAnsi="Times New Roman" w:cs="Times New Roman"/>
                <w:lang w:val="ro-RO"/>
              </w:rPr>
              <w:t xml:space="preserve">de audit a  </w:t>
            </w:r>
            <w:r w:rsidR="00FA7CAE" w:rsidRPr="009E686F">
              <w:rPr>
                <w:rFonts w:ascii="Times New Roman" w:hAnsi="Times New Roman" w:cs="Times New Roman"/>
                <w:i/>
                <w:iCs/>
                <w:lang w:val="ro-RO"/>
              </w:rPr>
              <w:t>instituției de credit</w:t>
            </w:r>
            <w:r w:rsidRPr="009E686F">
              <w:rPr>
                <w:rFonts w:ascii="Times New Roman" w:hAnsi="Times New Roman" w:cs="Times New Roman"/>
                <w:lang w:val="ro-RO"/>
              </w:rPr>
              <w:t xml:space="preserve"> şi în situaţia în care exercită sarcini specifice într-o entitate care are legături strânse decurgând dintr-o relaţie de control cu </w:t>
            </w:r>
            <w:r w:rsidR="00FA7CAE" w:rsidRPr="009E686F">
              <w:rPr>
                <w:rFonts w:ascii="Times New Roman" w:hAnsi="Times New Roman" w:cs="Times New Roman"/>
                <w:i/>
                <w:iCs/>
                <w:lang w:val="ro-RO"/>
              </w:rPr>
              <w:t>instituția de credit</w:t>
            </w:r>
            <w:r w:rsidR="006F3AD9" w:rsidRPr="009E686F">
              <w:rPr>
                <w:rFonts w:ascii="Times New Roman" w:hAnsi="Times New Roman" w:cs="Times New Roman"/>
                <w:lang w:val="ro-RO"/>
              </w:rPr>
              <w:t xml:space="preserve"> auditată</w:t>
            </w:r>
            <w:r w:rsidRPr="009E686F">
              <w:rPr>
                <w:rFonts w:ascii="Times New Roman" w:hAnsi="Times New Roman" w:cs="Times New Roman"/>
                <w:lang w:val="ro-RO"/>
              </w:rPr>
              <w:t xml:space="preserve">. </w:t>
            </w:r>
          </w:p>
          <w:p w14:paraId="7D1C89A7" w14:textId="77777777" w:rsidR="00C27552" w:rsidRPr="009E686F" w:rsidRDefault="00C27552" w:rsidP="00566889">
            <w:pPr>
              <w:spacing w:after="0"/>
              <w:jc w:val="both"/>
              <w:rPr>
                <w:rFonts w:ascii="Times New Roman" w:hAnsi="Times New Roman" w:cs="Times New Roman"/>
                <w:lang w:val="ro-RO"/>
              </w:rPr>
            </w:pPr>
          </w:p>
        </w:tc>
        <w:tc>
          <w:tcPr>
            <w:tcW w:w="470" w:type="pct"/>
            <w:tcBorders>
              <w:top w:val="single" w:sz="4" w:space="0" w:color="auto"/>
              <w:left w:val="single" w:sz="4" w:space="0" w:color="auto"/>
              <w:bottom w:val="single" w:sz="4" w:space="0" w:color="auto"/>
              <w:right w:val="single" w:sz="4" w:space="0" w:color="auto"/>
            </w:tcBorders>
          </w:tcPr>
          <w:p w14:paraId="4AD9C8B9" w14:textId="526BC0FB" w:rsidR="00C27552" w:rsidRPr="009E686F" w:rsidRDefault="00C27552" w:rsidP="00883827">
            <w:pPr>
              <w:jc w:val="both"/>
              <w:rPr>
                <w:rFonts w:ascii="Times New Roman" w:hAnsi="Times New Roman" w:cs="Times New Roman"/>
                <w:lang w:val="ro-RO"/>
              </w:rPr>
            </w:pPr>
            <w:r w:rsidRPr="009E686F">
              <w:rPr>
                <w:rFonts w:ascii="Times New Roman" w:hAnsi="Times New Roman" w:cs="Times New Roman"/>
                <w:lang w:val="ro-RO"/>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3D34FC08" w14:textId="77777777" w:rsidR="00C27552" w:rsidRPr="009E686F" w:rsidRDefault="00C27552" w:rsidP="00883827">
            <w:pPr>
              <w:jc w:val="both"/>
              <w:rPr>
                <w:rFonts w:ascii="Times New Roman" w:hAnsi="Times New Roman" w:cs="Times New Roman"/>
                <w:lang w:val="ro-RO"/>
              </w:rPr>
            </w:pPr>
          </w:p>
        </w:tc>
      </w:tr>
      <w:tr w:rsidR="00C8360A" w:rsidRPr="009E686F" w14:paraId="0F3AFE0A"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40EBD7AF" w14:textId="573FF1B6" w:rsidR="00C27552" w:rsidRPr="009E686F" w:rsidRDefault="00C27552" w:rsidP="00566889">
            <w:pPr>
              <w:spacing w:after="0"/>
              <w:jc w:val="both"/>
              <w:rPr>
                <w:rFonts w:ascii="Times New Roman" w:hAnsi="Times New Roman" w:cs="Times New Roman"/>
                <w:lang w:val="ro-RO"/>
              </w:rPr>
            </w:pPr>
            <w:r w:rsidRPr="009E686F">
              <w:rPr>
                <w:rFonts w:ascii="Times New Roman" w:hAnsi="Times New Roman" w:cs="Times New Roman"/>
                <w:lang w:val="ro-RO"/>
              </w:rPr>
              <w:t>Statele membre prevăd că autoritățile competente pot solicita înlocuirea unei persoane menționate la primul paragraf în cazul în care aceasta încalcă obligațiile care îi revin în temeiul primului paragraf.</w:t>
            </w:r>
          </w:p>
        </w:tc>
        <w:tc>
          <w:tcPr>
            <w:tcW w:w="1928" w:type="pct"/>
            <w:gridSpan w:val="3"/>
            <w:tcBorders>
              <w:top w:val="single" w:sz="4" w:space="0" w:color="auto"/>
              <w:left w:val="single" w:sz="4" w:space="0" w:color="auto"/>
              <w:bottom w:val="single" w:sz="4" w:space="0" w:color="auto"/>
              <w:right w:val="single" w:sz="4" w:space="0" w:color="auto"/>
            </w:tcBorders>
          </w:tcPr>
          <w:p w14:paraId="34D66870" w14:textId="1DD3F198" w:rsidR="00C27552" w:rsidRPr="009E686F" w:rsidRDefault="00C27552" w:rsidP="00566889">
            <w:pPr>
              <w:spacing w:after="0"/>
              <w:jc w:val="both"/>
              <w:rPr>
                <w:rFonts w:ascii="Times New Roman" w:hAnsi="Times New Roman" w:cs="Times New Roman"/>
                <w:lang w:val="ro-RO"/>
              </w:rPr>
            </w:pPr>
            <w:r w:rsidRPr="009E686F">
              <w:rPr>
                <w:rFonts w:ascii="Times New Roman" w:hAnsi="Times New Roman" w:cs="Times New Roman"/>
                <w:b/>
                <w:bCs/>
                <w:lang w:val="ro-RO"/>
              </w:rPr>
              <w:t>Articolul 90.</w:t>
            </w:r>
            <w:r w:rsidRPr="009E686F">
              <w:rPr>
                <w:rFonts w:ascii="Times New Roman" w:hAnsi="Times New Roman" w:cs="Times New Roman"/>
                <w:lang w:val="ro-RO"/>
              </w:rPr>
              <w:t xml:space="preserve"> Retragerea aprobării entităţii de audit</w:t>
            </w:r>
          </w:p>
          <w:p w14:paraId="46017EEE" w14:textId="3A78AF12" w:rsidR="00C27552" w:rsidRPr="009E686F" w:rsidRDefault="00C27552" w:rsidP="00566889">
            <w:pPr>
              <w:spacing w:after="0"/>
              <w:jc w:val="both"/>
              <w:rPr>
                <w:rFonts w:ascii="Times New Roman" w:hAnsi="Times New Roman" w:cs="Times New Roman"/>
                <w:lang w:val="ro-RO"/>
              </w:rPr>
            </w:pPr>
            <w:r w:rsidRPr="009E686F">
              <w:rPr>
                <w:rFonts w:ascii="Times New Roman" w:hAnsi="Times New Roman" w:cs="Times New Roman"/>
                <w:lang w:val="ro-RO"/>
              </w:rPr>
              <w:t xml:space="preserve">Banca Naţională a Moldovei poate retrage aprobarea acordată unei </w:t>
            </w:r>
            <w:r w:rsidR="006F3AD9" w:rsidRPr="009E686F">
              <w:rPr>
                <w:rFonts w:ascii="Times New Roman" w:hAnsi="Times New Roman" w:cs="Times New Roman"/>
                <w:lang w:val="ro-RO"/>
              </w:rPr>
              <w:t>entități</w:t>
            </w:r>
            <w:r w:rsidRPr="009E686F">
              <w:rPr>
                <w:rFonts w:ascii="Times New Roman" w:hAnsi="Times New Roman" w:cs="Times New Roman"/>
                <w:lang w:val="ro-RO"/>
              </w:rPr>
              <w:t xml:space="preserve"> de audit în temeiul art.88 în situaţia în care aceasta nu îşi îndeplineşte în mod corespunzător atribuţiile prevăzute de prezenta lege sau nu respectă cerinţele de conduită etică şi profesională specifice.</w:t>
            </w:r>
          </w:p>
        </w:tc>
        <w:tc>
          <w:tcPr>
            <w:tcW w:w="470" w:type="pct"/>
            <w:tcBorders>
              <w:top w:val="single" w:sz="4" w:space="0" w:color="auto"/>
              <w:left w:val="single" w:sz="4" w:space="0" w:color="auto"/>
              <w:bottom w:val="single" w:sz="4" w:space="0" w:color="auto"/>
              <w:right w:val="single" w:sz="4" w:space="0" w:color="auto"/>
            </w:tcBorders>
          </w:tcPr>
          <w:p w14:paraId="426F3C97" w14:textId="43C8DDF7" w:rsidR="00C27552" w:rsidRPr="009E686F" w:rsidRDefault="00561830" w:rsidP="00883827">
            <w:pPr>
              <w:jc w:val="both"/>
              <w:rPr>
                <w:rFonts w:ascii="Times New Roman" w:hAnsi="Times New Roman" w:cs="Times New Roman"/>
                <w:lang w:val="ro-RO"/>
              </w:rPr>
            </w:pPr>
            <w:r w:rsidRPr="009E686F">
              <w:rPr>
                <w:rFonts w:ascii="Times New Roman" w:hAnsi="Times New Roman" w:cs="Times New Roman"/>
                <w:lang w:val="ro-RO"/>
              </w:rPr>
              <w:t>C</w:t>
            </w:r>
            <w:r w:rsidR="00C27552" w:rsidRPr="009E686F">
              <w:rPr>
                <w:rFonts w:ascii="Times New Roman" w:hAnsi="Times New Roman" w:cs="Times New Roman"/>
                <w:lang w:val="ro-RO"/>
              </w:rPr>
              <w:t>ompatibil</w:t>
            </w:r>
          </w:p>
        </w:tc>
        <w:tc>
          <w:tcPr>
            <w:tcW w:w="806" w:type="pct"/>
            <w:tcBorders>
              <w:top w:val="single" w:sz="4" w:space="0" w:color="auto"/>
              <w:left w:val="single" w:sz="4" w:space="0" w:color="auto"/>
              <w:bottom w:val="single" w:sz="4" w:space="0" w:color="auto"/>
              <w:right w:val="single" w:sz="4" w:space="0" w:color="auto"/>
            </w:tcBorders>
          </w:tcPr>
          <w:p w14:paraId="40743550" w14:textId="77777777" w:rsidR="00C27552" w:rsidRPr="009E686F" w:rsidRDefault="00C27552" w:rsidP="00883827">
            <w:pPr>
              <w:jc w:val="both"/>
              <w:rPr>
                <w:rFonts w:ascii="Times New Roman" w:hAnsi="Times New Roman" w:cs="Times New Roman"/>
                <w:lang w:val="ro-RO"/>
              </w:rPr>
            </w:pPr>
          </w:p>
        </w:tc>
      </w:tr>
      <w:tr w:rsidR="00C8360A" w:rsidRPr="009E686F" w14:paraId="045975FF" w14:textId="480546D8" w:rsidTr="00774F3E">
        <w:tc>
          <w:tcPr>
            <w:tcW w:w="1796" w:type="pct"/>
            <w:gridSpan w:val="2"/>
            <w:tcBorders>
              <w:top w:val="single" w:sz="4" w:space="0" w:color="auto"/>
              <w:left w:val="single" w:sz="4" w:space="0" w:color="auto"/>
              <w:bottom w:val="single" w:sz="4" w:space="0" w:color="auto"/>
              <w:right w:val="single" w:sz="4" w:space="0" w:color="auto"/>
            </w:tcBorders>
          </w:tcPr>
          <w:p w14:paraId="5442B054" w14:textId="5055B318" w:rsidR="00C27552" w:rsidRPr="009E686F" w:rsidRDefault="00C27552" w:rsidP="00566889">
            <w:pPr>
              <w:spacing w:after="0"/>
              <w:jc w:val="both"/>
              <w:rPr>
                <w:rFonts w:ascii="Times New Roman" w:hAnsi="Times New Roman" w:cs="Times New Roman"/>
                <w:lang w:val="ro-RO"/>
              </w:rPr>
            </w:pPr>
            <w:r w:rsidRPr="009E686F">
              <w:rPr>
                <w:rFonts w:ascii="Times New Roman" w:hAnsi="Times New Roman" w:cs="Times New Roman"/>
                <w:lang w:val="ro-RO"/>
              </w:rPr>
              <w:t xml:space="preserve">(2) Comunicarea cu bună credință către autoritățile competente, de către persoanele autorizate în sensul Directivei 2006/43/CE, a oricărui fapt sau decizie menționată la alineatul (1) nu constituie o încălcare a niciunei restricții privind dezvăluirea informațiilor, impuse prin contract sau în temeiul unor acte cu putere de lege sau acte administrative, și nu implică niciun fel de răspundere a persoanelor respective. </w:t>
            </w:r>
          </w:p>
          <w:p w14:paraId="1D737377" w14:textId="77777777" w:rsidR="00C27552" w:rsidRPr="009E686F" w:rsidRDefault="00C27552" w:rsidP="00566889">
            <w:pPr>
              <w:spacing w:after="0"/>
              <w:jc w:val="both"/>
              <w:rPr>
                <w:rFonts w:ascii="Times New Roman" w:hAnsi="Times New Roman" w:cs="Times New Roman"/>
                <w:lang w:val="ro-RO"/>
              </w:rPr>
            </w:pPr>
            <w:r w:rsidRPr="009E686F">
              <w:rPr>
                <w:rFonts w:ascii="Times New Roman" w:hAnsi="Times New Roman" w:cs="Times New Roman"/>
                <w:lang w:val="ro-RO"/>
              </w:rPr>
              <w:t>O astfel de dezvăluire se face simultan și organului de conducere al instituției, cu excepția cazului în care există motive solide de a nu proceda astfel.</w:t>
            </w:r>
          </w:p>
        </w:tc>
        <w:tc>
          <w:tcPr>
            <w:tcW w:w="1928" w:type="pct"/>
            <w:gridSpan w:val="3"/>
            <w:tcBorders>
              <w:top w:val="single" w:sz="4" w:space="0" w:color="auto"/>
              <w:left w:val="single" w:sz="4" w:space="0" w:color="auto"/>
              <w:bottom w:val="single" w:sz="4" w:space="0" w:color="auto"/>
              <w:right w:val="single" w:sz="4" w:space="0" w:color="auto"/>
            </w:tcBorders>
          </w:tcPr>
          <w:p w14:paraId="678D0BA1" w14:textId="7495E619" w:rsidR="00C27552" w:rsidRPr="009E686F" w:rsidRDefault="00C27552" w:rsidP="00566889">
            <w:pPr>
              <w:spacing w:after="0"/>
              <w:jc w:val="both"/>
              <w:rPr>
                <w:rFonts w:ascii="Times New Roman" w:hAnsi="Times New Roman" w:cs="Times New Roman"/>
                <w:b/>
                <w:bCs/>
                <w:lang w:val="ro-RO"/>
              </w:rPr>
            </w:pPr>
            <w:r w:rsidRPr="009E686F">
              <w:rPr>
                <w:rFonts w:ascii="Times New Roman" w:hAnsi="Times New Roman" w:cs="Times New Roman"/>
                <w:b/>
                <w:bCs/>
                <w:lang w:val="ro-RO"/>
              </w:rPr>
              <w:t>Articolul 89 alin. (4)</w:t>
            </w:r>
          </w:p>
          <w:p w14:paraId="7753C897" w14:textId="3F08C506" w:rsidR="00C27552" w:rsidRPr="009E686F" w:rsidRDefault="006F3AD9" w:rsidP="00566889">
            <w:pPr>
              <w:spacing w:after="0"/>
              <w:jc w:val="both"/>
              <w:rPr>
                <w:rFonts w:ascii="Times New Roman" w:hAnsi="Times New Roman" w:cs="Times New Roman"/>
                <w:lang w:val="ro-RO"/>
              </w:rPr>
            </w:pPr>
            <w:r w:rsidRPr="009E686F">
              <w:rPr>
                <w:rFonts w:ascii="Times New Roman" w:hAnsi="Times New Roman" w:cs="Times New Roman"/>
                <w:lang w:val="ro-RO"/>
              </w:rPr>
              <w:t xml:space="preserve">(4) Îndeplinirea cu bună-credinţă de către entitatea de audit a obligaţiei de a informa Banca Naţională a Moldovei conform alin.(1)–(3) nu constituie o încălcare a obligaţiei de păstrare a secretului profesional, care revine acesteia potrivit legii sau clauzelor contractuale, şi nu poate atrage răspunderea de orice natură a acesteia. O astfel de informare se face simultan şi organului de conducere al </w:t>
            </w:r>
            <w:r w:rsidRPr="009E686F">
              <w:rPr>
                <w:rFonts w:ascii="Times New Roman" w:hAnsi="Times New Roman" w:cs="Times New Roman"/>
                <w:i/>
                <w:iCs/>
                <w:lang w:val="ro-RO"/>
              </w:rPr>
              <w:t>instituției de credit</w:t>
            </w:r>
            <w:r w:rsidRPr="009E686F">
              <w:rPr>
                <w:rFonts w:ascii="Times New Roman" w:hAnsi="Times New Roman" w:cs="Times New Roman"/>
                <w:lang w:val="ro-RO"/>
              </w:rPr>
              <w:t>, cu excepţia cazului în care există motive rezonabile de a nu proceda astfel.</w:t>
            </w:r>
          </w:p>
        </w:tc>
        <w:tc>
          <w:tcPr>
            <w:tcW w:w="470" w:type="pct"/>
            <w:tcBorders>
              <w:top w:val="single" w:sz="4" w:space="0" w:color="auto"/>
              <w:left w:val="single" w:sz="4" w:space="0" w:color="auto"/>
              <w:bottom w:val="single" w:sz="4" w:space="0" w:color="auto"/>
              <w:right w:val="single" w:sz="4" w:space="0" w:color="auto"/>
            </w:tcBorders>
          </w:tcPr>
          <w:p w14:paraId="71E71754" w14:textId="77777777" w:rsidR="00C27552" w:rsidRPr="009E686F" w:rsidRDefault="00C27552" w:rsidP="00883827">
            <w:pPr>
              <w:jc w:val="both"/>
              <w:rPr>
                <w:rFonts w:ascii="Times New Roman" w:hAnsi="Times New Roman" w:cs="Times New Roman"/>
                <w:lang w:val="ro-RO"/>
              </w:rPr>
            </w:pPr>
            <w:r w:rsidRPr="009E686F">
              <w:rPr>
                <w:rFonts w:ascii="Times New Roman" w:hAnsi="Times New Roman" w:cs="Times New Roman"/>
                <w:lang w:val="ro-RO"/>
              </w:rPr>
              <w:t>Compatibil</w:t>
            </w:r>
          </w:p>
          <w:p w14:paraId="72AB3705" w14:textId="77777777" w:rsidR="00C27552" w:rsidRPr="009E686F" w:rsidRDefault="00C27552" w:rsidP="00883827">
            <w:pPr>
              <w:jc w:val="both"/>
              <w:rPr>
                <w:rFonts w:ascii="Times New Roman" w:hAnsi="Times New Roman" w:cs="Times New Roman"/>
                <w:lang w:val="ro-RO"/>
              </w:rPr>
            </w:pPr>
          </w:p>
          <w:p w14:paraId="70C0F591" w14:textId="77777777" w:rsidR="00C27552" w:rsidRPr="009E686F" w:rsidRDefault="00C27552" w:rsidP="00883827">
            <w:pPr>
              <w:jc w:val="both"/>
              <w:rPr>
                <w:rFonts w:ascii="Times New Roman" w:hAnsi="Times New Roman" w:cs="Times New Roman"/>
                <w:lang w:val="ro-RO"/>
              </w:rPr>
            </w:pPr>
          </w:p>
          <w:p w14:paraId="62E6B9CB" w14:textId="77777777" w:rsidR="00C27552" w:rsidRPr="009E686F" w:rsidRDefault="00C27552" w:rsidP="00883827">
            <w:pPr>
              <w:jc w:val="both"/>
              <w:rPr>
                <w:rFonts w:ascii="Times New Roman" w:hAnsi="Times New Roman" w:cs="Times New Roman"/>
                <w:lang w:val="ro-RO"/>
              </w:rPr>
            </w:pPr>
          </w:p>
          <w:p w14:paraId="7058FEAA" w14:textId="77777777" w:rsidR="00C27552" w:rsidRPr="009E686F" w:rsidRDefault="00C27552" w:rsidP="00883827">
            <w:pPr>
              <w:jc w:val="both"/>
              <w:rPr>
                <w:rFonts w:ascii="Times New Roman" w:hAnsi="Times New Roman" w:cs="Times New Roman"/>
                <w:lang w:val="ro-RO"/>
              </w:rPr>
            </w:pPr>
          </w:p>
          <w:p w14:paraId="152EA417" w14:textId="77777777" w:rsidR="00C27552" w:rsidRPr="009E686F" w:rsidRDefault="00C27552" w:rsidP="00883827">
            <w:pPr>
              <w:jc w:val="both"/>
              <w:rPr>
                <w:rFonts w:ascii="Times New Roman" w:hAnsi="Times New Roman" w:cs="Times New Roman"/>
                <w:lang w:val="ro-RO"/>
              </w:rPr>
            </w:pPr>
          </w:p>
          <w:p w14:paraId="64434921" w14:textId="3959CF56" w:rsidR="00C27552" w:rsidRPr="009E686F" w:rsidRDefault="00C27552" w:rsidP="00883827">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35D147A3" w14:textId="77777777" w:rsidR="00C27552" w:rsidRPr="009E686F" w:rsidRDefault="00C27552" w:rsidP="00883827">
            <w:pPr>
              <w:jc w:val="both"/>
              <w:rPr>
                <w:rFonts w:ascii="Times New Roman" w:hAnsi="Times New Roman" w:cs="Times New Roman"/>
                <w:lang w:val="ro-RO"/>
              </w:rPr>
            </w:pPr>
          </w:p>
        </w:tc>
      </w:tr>
      <w:tr w:rsidR="00C8360A" w:rsidRPr="009E686F" w14:paraId="7A82C180" w14:textId="43A616D9" w:rsidTr="00774F3E">
        <w:tc>
          <w:tcPr>
            <w:tcW w:w="1796" w:type="pct"/>
            <w:gridSpan w:val="2"/>
            <w:tcBorders>
              <w:top w:val="single" w:sz="4" w:space="0" w:color="auto"/>
              <w:left w:val="single" w:sz="4" w:space="0" w:color="auto"/>
              <w:bottom w:val="single" w:sz="4" w:space="0" w:color="auto"/>
              <w:right w:val="single" w:sz="4" w:space="0" w:color="auto"/>
            </w:tcBorders>
          </w:tcPr>
          <w:p w14:paraId="2A7C92EE" w14:textId="77777777" w:rsidR="00D108BE" w:rsidRPr="009E686F" w:rsidRDefault="00D108BE" w:rsidP="00566889">
            <w:pPr>
              <w:spacing w:after="0"/>
              <w:jc w:val="both"/>
              <w:rPr>
                <w:rFonts w:ascii="Times New Roman" w:hAnsi="Times New Roman" w:cs="Times New Roman"/>
                <w:bCs/>
                <w:lang w:val="ro-RO"/>
              </w:rPr>
            </w:pPr>
            <w:r w:rsidRPr="009E686F">
              <w:rPr>
                <w:rFonts w:ascii="Times New Roman" w:hAnsi="Times New Roman" w:cs="Times New Roman"/>
                <w:bCs/>
                <w:lang w:val="ro-RO"/>
              </w:rPr>
              <w:t>Secțiunea IV</w:t>
            </w:r>
          </w:p>
          <w:p w14:paraId="1B4A160F" w14:textId="77777777" w:rsidR="00D108BE" w:rsidRPr="009E686F" w:rsidRDefault="00D108BE" w:rsidP="00566889">
            <w:pPr>
              <w:spacing w:after="0"/>
              <w:jc w:val="both"/>
              <w:rPr>
                <w:rFonts w:ascii="Times New Roman" w:hAnsi="Times New Roman" w:cs="Times New Roman"/>
                <w:i/>
                <w:iCs/>
                <w:lang w:val="ro-RO"/>
              </w:rPr>
            </w:pPr>
            <w:r w:rsidRPr="009E686F">
              <w:rPr>
                <w:rFonts w:ascii="Times New Roman" w:hAnsi="Times New Roman" w:cs="Times New Roman"/>
                <w:b/>
                <w:lang w:val="ro-RO"/>
              </w:rPr>
              <w:t>Competențele de supraveghere, competența de sancționare și dreptul la o cale de atac</w:t>
            </w:r>
            <w:r w:rsidRPr="009E686F">
              <w:rPr>
                <w:rFonts w:ascii="Times New Roman" w:hAnsi="Times New Roman" w:cs="Times New Roman"/>
                <w:i/>
                <w:iCs/>
                <w:lang w:val="ro-RO"/>
              </w:rPr>
              <w:t xml:space="preserve"> </w:t>
            </w:r>
          </w:p>
          <w:p w14:paraId="4BDD44F4" w14:textId="577AC0FA" w:rsidR="00FA7CAE" w:rsidRPr="009E686F" w:rsidRDefault="00C27552" w:rsidP="00566889">
            <w:pPr>
              <w:spacing w:after="0"/>
              <w:jc w:val="both"/>
              <w:rPr>
                <w:rFonts w:ascii="Times New Roman" w:hAnsi="Times New Roman" w:cs="Times New Roman"/>
                <w:i/>
                <w:iCs/>
                <w:lang w:val="ro-RO"/>
              </w:rPr>
            </w:pPr>
            <w:r w:rsidRPr="009E686F">
              <w:rPr>
                <w:rFonts w:ascii="Times New Roman" w:hAnsi="Times New Roman" w:cs="Times New Roman"/>
                <w:i/>
                <w:iCs/>
                <w:lang w:val="ro-RO"/>
              </w:rPr>
              <w:t>Articolul 64</w:t>
            </w:r>
          </w:p>
          <w:p w14:paraId="73526BEE" w14:textId="02AB1C89" w:rsidR="00C27552" w:rsidRPr="009E686F" w:rsidRDefault="00C27552" w:rsidP="00566889">
            <w:pPr>
              <w:spacing w:after="0"/>
              <w:jc w:val="both"/>
              <w:rPr>
                <w:rFonts w:ascii="Times New Roman" w:hAnsi="Times New Roman" w:cs="Times New Roman"/>
                <w:lang w:val="ro-RO"/>
              </w:rPr>
            </w:pPr>
            <w:r w:rsidRPr="009E686F">
              <w:rPr>
                <w:rFonts w:ascii="Times New Roman" w:hAnsi="Times New Roman" w:cs="Times New Roman"/>
                <w:lang w:val="ro-RO"/>
              </w:rPr>
              <w:t>Competențe de supraveghere și de sancționare</w:t>
            </w:r>
          </w:p>
        </w:tc>
        <w:tc>
          <w:tcPr>
            <w:tcW w:w="1928" w:type="pct"/>
            <w:gridSpan w:val="3"/>
            <w:tcBorders>
              <w:top w:val="single" w:sz="4" w:space="0" w:color="auto"/>
              <w:left w:val="single" w:sz="4" w:space="0" w:color="auto"/>
              <w:bottom w:val="single" w:sz="4" w:space="0" w:color="auto"/>
              <w:right w:val="single" w:sz="4" w:space="0" w:color="auto"/>
            </w:tcBorders>
          </w:tcPr>
          <w:p w14:paraId="6AA61FE4" w14:textId="0827C4BA" w:rsidR="00C27552" w:rsidRPr="009E686F" w:rsidRDefault="00C27552" w:rsidP="00566889">
            <w:pPr>
              <w:spacing w:after="0"/>
              <w:jc w:val="both"/>
              <w:rPr>
                <w:rFonts w:ascii="Times New Roman" w:hAnsi="Times New Roman" w:cs="Times New Roman"/>
                <w:lang w:val="ro-RO"/>
              </w:rPr>
            </w:pPr>
            <w:r w:rsidRPr="009E686F">
              <w:rPr>
                <w:rFonts w:ascii="Times New Roman" w:hAnsi="Times New Roman" w:cs="Times New Roman"/>
                <w:lang w:val="ro-RO"/>
              </w:rPr>
              <w:t xml:space="preserve">Articolul 138. Competențe de supraveghere și de sancționare </w:t>
            </w:r>
          </w:p>
        </w:tc>
        <w:tc>
          <w:tcPr>
            <w:tcW w:w="470" w:type="pct"/>
            <w:tcBorders>
              <w:top w:val="single" w:sz="4" w:space="0" w:color="auto"/>
              <w:left w:val="single" w:sz="4" w:space="0" w:color="auto"/>
              <w:bottom w:val="single" w:sz="4" w:space="0" w:color="auto"/>
              <w:right w:val="single" w:sz="4" w:space="0" w:color="auto"/>
            </w:tcBorders>
          </w:tcPr>
          <w:p w14:paraId="0222577B" w14:textId="1455BA96" w:rsidR="00C27552" w:rsidRPr="009E686F" w:rsidRDefault="00D108BE" w:rsidP="00883827">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72DD81CC" w14:textId="77777777" w:rsidR="00C27552" w:rsidRPr="009E686F" w:rsidRDefault="00C27552" w:rsidP="00883827">
            <w:pPr>
              <w:jc w:val="both"/>
              <w:rPr>
                <w:rFonts w:ascii="Times New Roman" w:hAnsi="Times New Roman" w:cs="Times New Roman"/>
                <w:lang w:val="ro-RO"/>
              </w:rPr>
            </w:pPr>
          </w:p>
        </w:tc>
      </w:tr>
      <w:tr w:rsidR="00C8360A" w:rsidRPr="009E686F" w14:paraId="075C2B97" w14:textId="5D859548" w:rsidTr="00774F3E">
        <w:tc>
          <w:tcPr>
            <w:tcW w:w="1796" w:type="pct"/>
            <w:gridSpan w:val="2"/>
            <w:tcBorders>
              <w:top w:val="single" w:sz="4" w:space="0" w:color="auto"/>
              <w:left w:val="single" w:sz="4" w:space="0" w:color="auto"/>
              <w:bottom w:val="single" w:sz="4" w:space="0" w:color="auto"/>
              <w:right w:val="single" w:sz="4" w:space="0" w:color="auto"/>
            </w:tcBorders>
          </w:tcPr>
          <w:p w14:paraId="76AD6BCC" w14:textId="18E681D6" w:rsidR="00C27552" w:rsidRPr="009E686F" w:rsidRDefault="00C27552" w:rsidP="00566889">
            <w:pPr>
              <w:spacing w:after="0"/>
              <w:jc w:val="both"/>
              <w:rPr>
                <w:rFonts w:ascii="Times New Roman" w:hAnsi="Times New Roman" w:cs="Times New Roman"/>
                <w:lang w:val="ro-RO"/>
              </w:rPr>
            </w:pPr>
            <w:r w:rsidRPr="009E686F">
              <w:rPr>
                <w:rFonts w:ascii="Times New Roman" w:hAnsi="Times New Roman" w:cs="Times New Roman"/>
                <w:lang w:val="ro-RO"/>
              </w:rPr>
              <w:t xml:space="preserve">Autoritățile competente sunt învestite cu toate competențele de supraveghere necesare pentru a interveni în activitatea instituțiilor, a societăților financiare holding și a societăților financiare holding mixte,  în scopul exercitării funcției lor, inclusiv, în special, dreptul de a retrage o autorizație în conformitate cu articolul 18, competențele menționate la </w:t>
            </w:r>
            <w:r w:rsidRPr="009E686F">
              <w:rPr>
                <w:rFonts w:ascii="Times New Roman" w:hAnsi="Times New Roman" w:cs="Times New Roman"/>
                <w:lang w:val="ro-RO"/>
              </w:rPr>
              <w:lastRenderedPageBreak/>
              <w:t>articolele 18, 102, 104 și 105, precum și competențele de a lua măsurile menționate la articolul 21a alineatul (6).</w:t>
            </w:r>
          </w:p>
        </w:tc>
        <w:tc>
          <w:tcPr>
            <w:tcW w:w="1928" w:type="pct"/>
            <w:gridSpan w:val="3"/>
            <w:tcBorders>
              <w:top w:val="single" w:sz="4" w:space="0" w:color="auto"/>
              <w:left w:val="single" w:sz="4" w:space="0" w:color="auto"/>
              <w:bottom w:val="single" w:sz="4" w:space="0" w:color="auto"/>
              <w:right w:val="single" w:sz="4" w:space="0" w:color="auto"/>
            </w:tcBorders>
          </w:tcPr>
          <w:p w14:paraId="7DF46E0B" w14:textId="1F7CDEB8" w:rsidR="00C27552" w:rsidRPr="009E686F" w:rsidRDefault="00D108BE" w:rsidP="00566889">
            <w:pPr>
              <w:spacing w:after="0"/>
              <w:jc w:val="both"/>
              <w:rPr>
                <w:rFonts w:ascii="Times New Roman" w:hAnsi="Times New Roman" w:cs="Times New Roman"/>
                <w:lang w:val="ro-RO"/>
              </w:rPr>
            </w:pPr>
            <w:r w:rsidRPr="009E686F">
              <w:rPr>
                <w:rFonts w:ascii="Times New Roman" w:hAnsi="Times New Roman" w:cs="Times New Roman"/>
                <w:lang w:val="ro-RO"/>
              </w:rPr>
              <w:lastRenderedPageBreak/>
              <w:t xml:space="preserve">(1) În exercitarea funcţiilor sale, Banca Naţională a Moldovei deţine competenţa să dispună, faţă de o </w:t>
            </w:r>
            <w:r w:rsidRPr="009E686F">
              <w:rPr>
                <w:rFonts w:ascii="Times New Roman" w:hAnsi="Times New Roman" w:cs="Times New Roman"/>
                <w:i/>
                <w:iCs/>
                <w:lang w:val="ro-RO"/>
              </w:rPr>
              <w:t>instituție de credit, față de societățile financiare holding și față de societățile financiare holding mixte,</w:t>
            </w:r>
            <w:r w:rsidRPr="009E686F">
              <w:rPr>
                <w:rFonts w:ascii="Times New Roman" w:hAnsi="Times New Roman" w:cs="Times New Roman"/>
                <w:lang w:val="ro-RO"/>
              </w:rPr>
              <w:t xml:space="preserve"> faţă de acţionarii acesteia, faţă de membrii organului de conducere al </w:t>
            </w:r>
            <w:r w:rsidRPr="009E686F">
              <w:rPr>
                <w:rFonts w:ascii="Times New Roman" w:hAnsi="Times New Roman" w:cs="Times New Roman"/>
                <w:i/>
                <w:iCs/>
                <w:lang w:val="ro-RO"/>
              </w:rPr>
              <w:t xml:space="preserve">instituției de credit, </w:t>
            </w:r>
            <w:r w:rsidR="004B0B65" w:rsidRPr="009E686F">
              <w:rPr>
                <w:rFonts w:ascii="Times New Roman" w:hAnsi="Times New Roman" w:cs="Times New Roman"/>
                <w:i/>
                <w:iCs/>
                <w:lang w:val="ro-RO"/>
              </w:rPr>
              <w:t>față de persoanele care reprezintă conducerea superioară</w:t>
            </w:r>
            <w:r w:rsidRPr="009E686F">
              <w:rPr>
                <w:rFonts w:ascii="Times New Roman" w:hAnsi="Times New Roman" w:cs="Times New Roman"/>
                <w:lang w:val="ro-RO"/>
              </w:rPr>
              <w:t xml:space="preserve">, faţă de </w:t>
            </w:r>
            <w:r w:rsidRPr="009E686F">
              <w:rPr>
                <w:rFonts w:ascii="Times New Roman" w:hAnsi="Times New Roman" w:cs="Times New Roman"/>
                <w:lang w:val="ro-RO"/>
              </w:rPr>
              <w:lastRenderedPageBreak/>
              <w:t xml:space="preserve">persoanele care deţin funcţii-cheie în cadrul </w:t>
            </w:r>
            <w:r w:rsidRPr="009E686F">
              <w:rPr>
                <w:rFonts w:ascii="Times New Roman" w:hAnsi="Times New Roman" w:cs="Times New Roman"/>
                <w:i/>
                <w:iCs/>
                <w:lang w:val="ro-RO"/>
              </w:rPr>
              <w:t>instituției de credit, alți membri ai personalului ale căror activități profesionale au un impact semnificativ asupra profilului de risc al instituției de credit, precum și față de alte persoane fizice</w:t>
            </w:r>
            <w:r w:rsidRPr="009E686F">
              <w:rPr>
                <w:rFonts w:ascii="Times New Roman" w:hAnsi="Times New Roman" w:cs="Times New Roman"/>
                <w:lang w:val="ro-RO"/>
              </w:rPr>
              <w:t xml:space="preserve">, care încalcă dispoziţiile prezentei legi, ale actelor normative sau ale altor acte emise în aplicarea acesteia, referitoare la supraveghere sau la condiţiile de desfăşurare a activităţii, măsuri potrivit prevederilor </w:t>
            </w:r>
            <w:r w:rsidR="004B0B65" w:rsidRPr="009E686F">
              <w:rPr>
                <w:rFonts w:ascii="Times New Roman" w:hAnsi="Times New Roman" w:cs="Times New Roman"/>
                <w:i/>
                <w:iCs/>
                <w:lang w:val="ro-RO"/>
              </w:rPr>
              <w:t>art. 116</w:t>
            </w:r>
            <w:r w:rsidR="004B0B65" w:rsidRPr="009E686F">
              <w:rPr>
                <w:rFonts w:ascii="Times New Roman" w:hAnsi="Times New Roman" w:cs="Times New Roman"/>
                <w:i/>
                <w:iCs/>
                <w:vertAlign w:val="superscript"/>
                <w:lang w:val="ro-RO"/>
              </w:rPr>
              <w:t>5</w:t>
            </w:r>
            <w:r w:rsidRPr="009E686F">
              <w:rPr>
                <w:rFonts w:ascii="Times New Roman" w:hAnsi="Times New Roman" w:cs="Times New Roman"/>
                <w:lang w:val="ro-RO"/>
              </w:rPr>
              <w:t xml:space="preserve">, 139 şi/sau să aplice sancţiuni, </w:t>
            </w:r>
            <w:r w:rsidRPr="009E686F">
              <w:rPr>
                <w:rFonts w:ascii="Times New Roman" w:hAnsi="Times New Roman" w:cs="Times New Roman"/>
                <w:i/>
                <w:iCs/>
                <w:lang w:val="ro-RO"/>
              </w:rPr>
              <w:t>penalități cu titlu cominatoriu</w:t>
            </w:r>
            <w:r w:rsidRPr="009E686F">
              <w:rPr>
                <w:rFonts w:ascii="Times New Roman" w:hAnsi="Times New Roman" w:cs="Times New Roman"/>
                <w:lang w:val="ro-RO"/>
              </w:rPr>
              <w:t xml:space="preserve"> şi măsuri sancţionatoare potrivit prevederilor art.141.</w:t>
            </w:r>
          </w:p>
        </w:tc>
        <w:tc>
          <w:tcPr>
            <w:tcW w:w="470" w:type="pct"/>
            <w:tcBorders>
              <w:top w:val="single" w:sz="4" w:space="0" w:color="auto"/>
              <w:left w:val="single" w:sz="4" w:space="0" w:color="auto"/>
              <w:bottom w:val="single" w:sz="4" w:space="0" w:color="auto"/>
              <w:right w:val="single" w:sz="4" w:space="0" w:color="auto"/>
            </w:tcBorders>
          </w:tcPr>
          <w:p w14:paraId="252E96CE" w14:textId="0B2F9C1E" w:rsidR="00C27552" w:rsidRPr="009E686F" w:rsidRDefault="00D108BE" w:rsidP="00883827">
            <w:pPr>
              <w:jc w:val="both"/>
              <w:rPr>
                <w:rFonts w:ascii="Times New Roman" w:hAnsi="Times New Roman" w:cs="Times New Roman"/>
                <w:lang w:val="ro-RO"/>
              </w:rPr>
            </w:pPr>
            <w:r w:rsidRPr="009E686F">
              <w:rPr>
                <w:rFonts w:ascii="Times New Roman" w:hAnsi="Times New Roman" w:cs="Times New Roman"/>
                <w:lang w:val="ro-RO"/>
              </w:rPr>
              <w:lastRenderedPageBreak/>
              <w:t>C</w:t>
            </w:r>
            <w:r w:rsidR="00C27552" w:rsidRPr="009E686F">
              <w:rPr>
                <w:rFonts w:ascii="Times New Roman" w:hAnsi="Times New Roman" w:cs="Times New Roman"/>
                <w:lang w:val="ro-RO"/>
              </w:rPr>
              <w:t>ompatibil</w:t>
            </w:r>
          </w:p>
        </w:tc>
        <w:tc>
          <w:tcPr>
            <w:tcW w:w="806" w:type="pct"/>
            <w:tcBorders>
              <w:top w:val="single" w:sz="4" w:space="0" w:color="auto"/>
              <w:left w:val="single" w:sz="4" w:space="0" w:color="auto"/>
              <w:bottom w:val="single" w:sz="4" w:space="0" w:color="auto"/>
              <w:right w:val="single" w:sz="4" w:space="0" w:color="auto"/>
            </w:tcBorders>
          </w:tcPr>
          <w:p w14:paraId="6725143A" w14:textId="77777777" w:rsidR="00C27552" w:rsidRPr="009E686F" w:rsidRDefault="00C27552" w:rsidP="00883827">
            <w:pPr>
              <w:jc w:val="both"/>
              <w:rPr>
                <w:rFonts w:ascii="Times New Roman" w:hAnsi="Times New Roman" w:cs="Times New Roman"/>
                <w:lang w:val="ro-RO"/>
              </w:rPr>
            </w:pPr>
          </w:p>
        </w:tc>
      </w:tr>
      <w:tr w:rsidR="00C8360A" w:rsidRPr="009E686F" w14:paraId="6F6F287B" w14:textId="30847247" w:rsidTr="00774F3E">
        <w:tc>
          <w:tcPr>
            <w:tcW w:w="1796" w:type="pct"/>
            <w:gridSpan w:val="2"/>
            <w:tcBorders>
              <w:top w:val="single" w:sz="4" w:space="0" w:color="auto"/>
              <w:left w:val="single" w:sz="4" w:space="0" w:color="auto"/>
              <w:bottom w:val="single" w:sz="4" w:space="0" w:color="auto"/>
              <w:right w:val="single" w:sz="4" w:space="0" w:color="auto"/>
            </w:tcBorders>
          </w:tcPr>
          <w:p w14:paraId="1CF6FBE4" w14:textId="439AE3C5" w:rsidR="00C27552" w:rsidRPr="009E686F" w:rsidRDefault="00C27552" w:rsidP="00566889">
            <w:pPr>
              <w:spacing w:after="0"/>
              <w:jc w:val="both"/>
              <w:rPr>
                <w:rFonts w:ascii="Times New Roman" w:hAnsi="Times New Roman" w:cs="Times New Roman"/>
                <w:lang w:val="ro-RO"/>
              </w:rPr>
            </w:pPr>
            <w:r w:rsidRPr="009E686F">
              <w:rPr>
                <w:rFonts w:ascii="Times New Roman" w:hAnsi="Times New Roman" w:cs="Times New Roman"/>
                <w:lang w:val="ro-RO"/>
              </w:rPr>
              <w:t>(2)Autoritățile competente își exercită competențele de supraveghere și de sancționare în conformitate cu prezenta directivă și cu dreptul intern, în oricare dintre următoarele moduri:</w:t>
            </w:r>
          </w:p>
        </w:tc>
        <w:tc>
          <w:tcPr>
            <w:tcW w:w="1928" w:type="pct"/>
            <w:gridSpan w:val="3"/>
            <w:tcBorders>
              <w:top w:val="single" w:sz="4" w:space="0" w:color="auto"/>
              <w:left w:val="single" w:sz="4" w:space="0" w:color="auto"/>
              <w:bottom w:val="single" w:sz="4" w:space="0" w:color="auto"/>
              <w:right w:val="single" w:sz="4" w:space="0" w:color="auto"/>
            </w:tcBorders>
          </w:tcPr>
          <w:p w14:paraId="4BC2EA32" w14:textId="77777777" w:rsidR="00C27552" w:rsidRPr="009E686F" w:rsidRDefault="00C27552" w:rsidP="00566889">
            <w:pPr>
              <w:spacing w:after="0"/>
              <w:jc w:val="both"/>
              <w:rPr>
                <w:rFonts w:ascii="Times New Roman" w:hAnsi="Times New Roman" w:cs="Times New Roman"/>
                <w:lang w:val="ro-RO"/>
              </w:rPr>
            </w:pPr>
            <w:r w:rsidRPr="009E686F">
              <w:rPr>
                <w:rFonts w:ascii="Times New Roman" w:hAnsi="Times New Roman" w:cs="Times New Roman"/>
                <w:lang w:val="ro-RO"/>
              </w:rPr>
              <w:t>(2) Banca Naţională a Moldovei îşi exercită competenţele de supraveghere şi de aplicare a măsurilor, sancţiunilor şi măsurilor sancţionatoare, potrivit prevederilor prezentei legi, în oricare din următoarele modalităţi:</w:t>
            </w:r>
          </w:p>
        </w:tc>
        <w:tc>
          <w:tcPr>
            <w:tcW w:w="470" w:type="pct"/>
            <w:tcBorders>
              <w:top w:val="single" w:sz="4" w:space="0" w:color="auto"/>
              <w:left w:val="single" w:sz="4" w:space="0" w:color="auto"/>
              <w:bottom w:val="single" w:sz="4" w:space="0" w:color="auto"/>
              <w:right w:val="single" w:sz="4" w:space="0" w:color="auto"/>
            </w:tcBorders>
          </w:tcPr>
          <w:p w14:paraId="0F9F5AE8" w14:textId="2A445DD7" w:rsidR="00C27552" w:rsidRPr="009E686F" w:rsidRDefault="00C27552" w:rsidP="00883827">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6E621B2A" w14:textId="77777777" w:rsidR="00C27552" w:rsidRPr="009E686F" w:rsidRDefault="00C27552" w:rsidP="00883827">
            <w:pPr>
              <w:jc w:val="both"/>
              <w:rPr>
                <w:rFonts w:ascii="Times New Roman" w:hAnsi="Times New Roman" w:cs="Times New Roman"/>
                <w:lang w:val="ro-RO"/>
              </w:rPr>
            </w:pPr>
          </w:p>
        </w:tc>
      </w:tr>
      <w:tr w:rsidR="00C8360A" w:rsidRPr="009E686F" w14:paraId="03A5D0F0" w14:textId="5DD31E7A" w:rsidTr="00774F3E">
        <w:tc>
          <w:tcPr>
            <w:tcW w:w="1796" w:type="pct"/>
            <w:gridSpan w:val="2"/>
            <w:tcBorders>
              <w:top w:val="single" w:sz="4" w:space="0" w:color="auto"/>
              <w:left w:val="single" w:sz="4" w:space="0" w:color="auto"/>
              <w:bottom w:val="single" w:sz="4" w:space="0" w:color="auto"/>
              <w:right w:val="single" w:sz="4" w:space="0" w:color="auto"/>
            </w:tcBorders>
          </w:tcPr>
          <w:p w14:paraId="05018822" w14:textId="77777777" w:rsidR="00C27552" w:rsidRPr="009E686F" w:rsidRDefault="00C27552" w:rsidP="00566889">
            <w:pPr>
              <w:spacing w:after="0"/>
              <w:jc w:val="both"/>
              <w:rPr>
                <w:rFonts w:ascii="Times New Roman" w:hAnsi="Times New Roman" w:cs="Times New Roman"/>
                <w:lang w:val="ro-RO"/>
              </w:rPr>
            </w:pPr>
            <w:r w:rsidRPr="009E686F">
              <w:rPr>
                <w:rFonts w:ascii="Times New Roman" w:hAnsi="Times New Roman" w:cs="Times New Roman"/>
                <w:lang w:val="ro-RO"/>
              </w:rPr>
              <w:t>în mod direct;</w:t>
            </w:r>
          </w:p>
        </w:tc>
        <w:tc>
          <w:tcPr>
            <w:tcW w:w="1928" w:type="pct"/>
            <w:gridSpan w:val="3"/>
            <w:tcBorders>
              <w:top w:val="single" w:sz="4" w:space="0" w:color="auto"/>
              <w:left w:val="single" w:sz="4" w:space="0" w:color="auto"/>
              <w:bottom w:val="single" w:sz="4" w:space="0" w:color="auto"/>
              <w:right w:val="single" w:sz="4" w:space="0" w:color="auto"/>
            </w:tcBorders>
          </w:tcPr>
          <w:p w14:paraId="1ABA90B3" w14:textId="77777777" w:rsidR="00C27552" w:rsidRPr="009E686F" w:rsidRDefault="00C27552" w:rsidP="00566889">
            <w:pPr>
              <w:spacing w:after="0"/>
              <w:jc w:val="both"/>
              <w:rPr>
                <w:rFonts w:ascii="Times New Roman" w:hAnsi="Times New Roman" w:cs="Times New Roman"/>
                <w:lang w:val="ro-RO"/>
              </w:rPr>
            </w:pPr>
            <w:r w:rsidRPr="009E686F">
              <w:rPr>
                <w:rFonts w:ascii="Times New Roman" w:hAnsi="Times New Roman" w:cs="Times New Roman"/>
                <w:lang w:val="ro-RO"/>
              </w:rPr>
              <w:t>a) în mod direct;</w:t>
            </w:r>
          </w:p>
        </w:tc>
        <w:tc>
          <w:tcPr>
            <w:tcW w:w="470" w:type="pct"/>
            <w:tcBorders>
              <w:top w:val="single" w:sz="4" w:space="0" w:color="auto"/>
              <w:left w:val="single" w:sz="4" w:space="0" w:color="auto"/>
              <w:bottom w:val="single" w:sz="4" w:space="0" w:color="auto"/>
              <w:right w:val="single" w:sz="4" w:space="0" w:color="auto"/>
            </w:tcBorders>
          </w:tcPr>
          <w:p w14:paraId="024DF467" w14:textId="1BD0BDF3" w:rsidR="00C27552" w:rsidRPr="009E686F" w:rsidRDefault="00C27552" w:rsidP="00883827">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0AD76273" w14:textId="77777777" w:rsidR="00C27552" w:rsidRPr="009E686F" w:rsidRDefault="00C27552" w:rsidP="00883827">
            <w:pPr>
              <w:jc w:val="both"/>
              <w:rPr>
                <w:rFonts w:ascii="Times New Roman" w:hAnsi="Times New Roman" w:cs="Times New Roman"/>
                <w:lang w:val="ro-RO"/>
              </w:rPr>
            </w:pPr>
          </w:p>
        </w:tc>
      </w:tr>
      <w:tr w:rsidR="00C8360A" w:rsidRPr="009E686F" w14:paraId="164A11E8" w14:textId="02EE89AD" w:rsidTr="00774F3E">
        <w:tc>
          <w:tcPr>
            <w:tcW w:w="1796" w:type="pct"/>
            <w:gridSpan w:val="2"/>
            <w:tcBorders>
              <w:top w:val="single" w:sz="4" w:space="0" w:color="auto"/>
              <w:left w:val="single" w:sz="4" w:space="0" w:color="auto"/>
              <w:bottom w:val="single" w:sz="4" w:space="0" w:color="auto"/>
              <w:right w:val="single" w:sz="4" w:space="0" w:color="auto"/>
            </w:tcBorders>
          </w:tcPr>
          <w:p w14:paraId="2D8B4C05" w14:textId="77777777" w:rsidR="00C27552" w:rsidRPr="009E686F" w:rsidRDefault="00C27552" w:rsidP="00566889">
            <w:pPr>
              <w:spacing w:after="0"/>
              <w:jc w:val="both"/>
              <w:rPr>
                <w:rFonts w:ascii="Times New Roman" w:hAnsi="Times New Roman" w:cs="Times New Roman"/>
                <w:lang w:val="ro-RO"/>
              </w:rPr>
            </w:pPr>
            <w:r w:rsidRPr="009E686F">
              <w:rPr>
                <w:rFonts w:ascii="Times New Roman" w:hAnsi="Times New Roman" w:cs="Times New Roman"/>
                <w:lang w:val="ro-RO"/>
              </w:rPr>
              <w:t>în colaborare cu alte autorități;</w:t>
            </w:r>
          </w:p>
        </w:tc>
        <w:tc>
          <w:tcPr>
            <w:tcW w:w="1928" w:type="pct"/>
            <w:gridSpan w:val="3"/>
            <w:tcBorders>
              <w:top w:val="single" w:sz="4" w:space="0" w:color="auto"/>
              <w:left w:val="single" w:sz="4" w:space="0" w:color="auto"/>
              <w:bottom w:val="single" w:sz="4" w:space="0" w:color="auto"/>
              <w:right w:val="single" w:sz="4" w:space="0" w:color="auto"/>
            </w:tcBorders>
          </w:tcPr>
          <w:p w14:paraId="3DAABD4F" w14:textId="77777777" w:rsidR="00C27552" w:rsidRPr="009E686F" w:rsidRDefault="00C27552" w:rsidP="00566889">
            <w:pPr>
              <w:spacing w:after="0"/>
              <w:jc w:val="both"/>
              <w:rPr>
                <w:rFonts w:ascii="Times New Roman" w:hAnsi="Times New Roman" w:cs="Times New Roman"/>
                <w:lang w:val="ro-RO"/>
              </w:rPr>
            </w:pPr>
            <w:r w:rsidRPr="009E686F">
              <w:rPr>
                <w:rFonts w:ascii="Times New Roman" w:hAnsi="Times New Roman" w:cs="Times New Roman"/>
                <w:lang w:val="ro-RO"/>
              </w:rPr>
              <w:t xml:space="preserve">b) în colaborare cu alte autorităţi; </w:t>
            </w:r>
          </w:p>
        </w:tc>
        <w:tc>
          <w:tcPr>
            <w:tcW w:w="470" w:type="pct"/>
            <w:tcBorders>
              <w:top w:val="single" w:sz="4" w:space="0" w:color="auto"/>
              <w:left w:val="single" w:sz="4" w:space="0" w:color="auto"/>
              <w:bottom w:val="single" w:sz="4" w:space="0" w:color="auto"/>
              <w:right w:val="single" w:sz="4" w:space="0" w:color="auto"/>
            </w:tcBorders>
          </w:tcPr>
          <w:p w14:paraId="5A2D48AE" w14:textId="6008D877" w:rsidR="00C27552" w:rsidRPr="009E686F" w:rsidRDefault="00C27552" w:rsidP="00883827">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0C0E66F8" w14:textId="77777777" w:rsidR="00C27552" w:rsidRPr="009E686F" w:rsidRDefault="00C27552" w:rsidP="00883827">
            <w:pPr>
              <w:jc w:val="both"/>
              <w:rPr>
                <w:rFonts w:ascii="Times New Roman" w:hAnsi="Times New Roman" w:cs="Times New Roman"/>
                <w:lang w:val="ro-RO"/>
              </w:rPr>
            </w:pPr>
          </w:p>
        </w:tc>
      </w:tr>
      <w:tr w:rsidR="00C8360A" w:rsidRPr="009E686F" w14:paraId="24832008" w14:textId="539D8F55" w:rsidTr="00774F3E">
        <w:tc>
          <w:tcPr>
            <w:tcW w:w="1796" w:type="pct"/>
            <w:gridSpan w:val="2"/>
            <w:tcBorders>
              <w:top w:val="single" w:sz="4" w:space="0" w:color="auto"/>
              <w:left w:val="single" w:sz="4" w:space="0" w:color="auto"/>
              <w:bottom w:val="single" w:sz="4" w:space="0" w:color="auto"/>
              <w:right w:val="single" w:sz="4" w:space="0" w:color="auto"/>
            </w:tcBorders>
          </w:tcPr>
          <w:p w14:paraId="65AF4DAC" w14:textId="77777777" w:rsidR="00C27552" w:rsidRPr="009E686F" w:rsidRDefault="00C27552" w:rsidP="00566889">
            <w:pPr>
              <w:spacing w:after="0"/>
              <w:jc w:val="both"/>
              <w:rPr>
                <w:rFonts w:ascii="Times New Roman" w:hAnsi="Times New Roman" w:cs="Times New Roman"/>
                <w:lang w:val="ro-RO"/>
              </w:rPr>
            </w:pPr>
            <w:r w:rsidRPr="009E686F">
              <w:rPr>
                <w:rFonts w:ascii="Times New Roman" w:hAnsi="Times New Roman" w:cs="Times New Roman"/>
                <w:lang w:val="ro-RO"/>
              </w:rPr>
              <w:t>sub responsabilitatea lor, prin delegare către astfel de autorități;</w:t>
            </w:r>
          </w:p>
        </w:tc>
        <w:tc>
          <w:tcPr>
            <w:tcW w:w="1928" w:type="pct"/>
            <w:gridSpan w:val="3"/>
            <w:tcBorders>
              <w:top w:val="single" w:sz="4" w:space="0" w:color="auto"/>
              <w:left w:val="single" w:sz="4" w:space="0" w:color="auto"/>
              <w:bottom w:val="single" w:sz="4" w:space="0" w:color="auto"/>
              <w:right w:val="single" w:sz="4" w:space="0" w:color="auto"/>
            </w:tcBorders>
          </w:tcPr>
          <w:p w14:paraId="6B0463D0" w14:textId="77777777" w:rsidR="00C27552" w:rsidRPr="009E686F" w:rsidRDefault="00C27552" w:rsidP="00566889">
            <w:pPr>
              <w:spacing w:after="0"/>
              <w:jc w:val="both"/>
              <w:rPr>
                <w:rFonts w:ascii="Times New Roman" w:hAnsi="Times New Roman" w:cs="Times New Roman"/>
                <w:lang w:val="ro-RO"/>
              </w:rPr>
            </w:pPr>
            <w:r w:rsidRPr="009E686F">
              <w:rPr>
                <w:rFonts w:ascii="Times New Roman" w:hAnsi="Times New Roman" w:cs="Times New Roman"/>
                <w:lang w:val="ro-RO"/>
              </w:rPr>
              <w:t xml:space="preserve">c) prin delegarea competenţelor sale către alte autorităţi, cu păstrarea responsabilităţii pentru competenţele delegate; </w:t>
            </w:r>
          </w:p>
        </w:tc>
        <w:tc>
          <w:tcPr>
            <w:tcW w:w="470" w:type="pct"/>
            <w:tcBorders>
              <w:top w:val="single" w:sz="4" w:space="0" w:color="auto"/>
              <w:left w:val="single" w:sz="4" w:space="0" w:color="auto"/>
              <w:bottom w:val="single" w:sz="4" w:space="0" w:color="auto"/>
              <w:right w:val="single" w:sz="4" w:space="0" w:color="auto"/>
            </w:tcBorders>
          </w:tcPr>
          <w:p w14:paraId="227603F9" w14:textId="4E653A40" w:rsidR="00C27552" w:rsidRPr="009E686F" w:rsidRDefault="00C27552" w:rsidP="00883827">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1539F6C2" w14:textId="77777777" w:rsidR="00C27552" w:rsidRPr="009E686F" w:rsidRDefault="00C27552" w:rsidP="00883827">
            <w:pPr>
              <w:jc w:val="both"/>
              <w:rPr>
                <w:rFonts w:ascii="Times New Roman" w:hAnsi="Times New Roman" w:cs="Times New Roman"/>
                <w:lang w:val="ro-RO"/>
              </w:rPr>
            </w:pPr>
          </w:p>
        </w:tc>
      </w:tr>
      <w:tr w:rsidR="00C8360A" w:rsidRPr="009E686F" w14:paraId="6630E416" w14:textId="6DF3FBFE" w:rsidTr="00774F3E">
        <w:tc>
          <w:tcPr>
            <w:tcW w:w="1796" w:type="pct"/>
            <w:gridSpan w:val="2"/>
            <w:tcBorders>
              <w:top w:val="single" w:sz="4" w:space="0" w:color="auto"/>
              <w:left w:val="single" w:sz="4" w:space="0" w:color="auto"/>
              <w:bottom w:val="single" w:sz="4" w:space="0" w:color="auto"/>
              <w:right w:val="single" w:sz="4" w:space="0" w:color="auto"/>
            </w:tcBorders>
          </w:tcPr>
          <w:p w14:paraId="59AC4617" w14:textId="77777777" w:rsidR="00C27552" w:rsidRPr="009E686F" w:rsidRDefault="00C27552" w:rsidP="00566889">
            <w:pPr>
              <w:spacing w:after="0"/>
              <w:jc w:val="both"/>
              <w:rPr>
                <w:rFonts w:ascii="Times New Roman" w:hAnsi="Times New Roman" w:cs="Times New Roman"/>
                <w:lang w:val="ro-RO"/>
              </w:rPr>
            </w:pPr>
            <w:r w:rsidRPr="009E686F">
              <w:rPr>
                <w:rFonts w:ascii="Times New Roman" w:hAnsi="Times New Roman" w:cs="Times New Roman"/>
                <w:lang w:val="ro-RO"/>
              </w:rPr>
              <w:t>prin sesizarea autorităților judiciare competente.</w:t>
            </w:r>
          </w:p>
        </w:tc>
        <w:tc>
          <w:tcPr>
            <w:tcW w:w="1928" w:type="pct"/>
            <w:gridSpan w:val="3"/>
            <w:tcBorders>
              <w:top w:val="single" w:sz="4" w:space="0" w:color="auto"/>
              <w:left w:val="single" w:sz="4" w:space="0" w:color="auto"/>
              <w:bottom w:val="single" w:sz="4" w:space="0" w:color="auto"/>
              <w:right w:val="single" w:sz="4" w:space="0" w:color="auto"/>
            </w:tcBorders>
          </w:tcPr>
          <w:p w14:paraId="2F4CA9E9" w14:textId="77777777" w:rsidR="00C27552" w:rsidRPr="009E686F" w:rsidRDefault="00C27552" w:rsidP="00566889">
            <w:pPr>
              <w:spacing w:after="0"/>
              <w:jc w:val="both"/>
              <w:rPr>
                <w:rFonts w:ascii="Times New Roman" w:hAnsi="Times New Roman" w:cs="Times New Roman"/>
                <w:lang w:val="ro-RO"/>
              </w:rPr>
            </w:pPr>
            <w:r w:rsidRPr="009E686F">
              <w:rPr>
                <w:rFonts w:ascii="Times New Roman" w:hAnsi="Times New Roman" w:cs="Times New Roman"/>
                <w:b/>
                <w:bCs/>
                <w:lang w:val="ro-RO"/>
              </w:rPr>
              <w:t> </w:t>
            </w:r>
            <w:r w:rsidRPr="009E686F">
              <w:rPr>
                <w:rFonts w:ascii="Times New Roman" w:hAnsi="Times New Roman" w:cs="Times New Roman"/>
                <w:lang w:val="ro-RO"/>
              </w:rPr>
              <w:t>d) prin sesizarea autorităţilor judiciare competente.</w:t>
            </w:r>
          </w:p>
        </w:tc>
        <w:tc>
          <w:tcPr>
            <w:tcW w:w="470" w:type="pct"/>
            <w:tcBorders>
              <w:top w:val="single" w:sz="4" w:space="0" w:color="auto"/>
              <w:left w:val="single" w:sz="4" w:space="0" w:color="auto"/>
              <w:bottom w:val="single" w:sz="4" w:space="0" w:color="auto"/>
              <w:right w:val="single" w:sz="4" w:space="0" w:color="auto"/>
            </w:tcBorders>
          </w:tcPr>
          <w:p w14:paraId="2B1F2DE8" w14:textId="1C788E1B" w:rsidR="00C27552" w:rsidRPr="009E686F" w:rsidRDefault="00C27552" w:rsidP="00883827">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2CC1AD8C" w14:textId="77777777" w:rsidR="00C27552" w:rsidRPr="009E686F" w:rsidRDefault="00C27552" w:rsidP="00883827">
            <w:pPr>
              <w:jc w:val="both"/>
              <w:rPr>
                <w:rFonts w:ascii="Times New Roman" w:hAnsi="Times New Roman" w:cs="Times New Roman"/>
                <w:lang w:val="ro-RO"/>
              </w:rPr>
            </w:pPr>
          </w:p>
        </w:tc>
      </w:tr>
      <w:tr w:rsidR="00C8360A" w:rsidRPr="009E686F" w14:paraId="53C0349C"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3AEB6F8F" w14:textId="6983B0DC" w:rsidR="00C27552" w:rsidRPr="009E686F" w:rsidRDefault="00C27552" w:rsidP="00566889">
            <w:pPr>
              <w:spacing w:after="0"/>
              <w:jc w:val="both"/>
              <w:rPr>
                <w:rFonts w:ascii="Times New Roman" w:hAnsi="Times New Roman" w:cs="Times New Roman"/>
                <w:lang w:val="ro-RO"/>
              </w:rPr>
            </w:pPr>
            <w:r w:rsidRPr="009E686F">
              <w:rPr>
                <w:rFonts w:ascii="Times New Roman" w:hAnsi="Times New Roman" w:cs="Times New Roman"/>
                <w:lang w:val="ro-RO"/>
              </w:rPr>
              <w:t>(3)  Deciziile luate de autoritățile competente în cursul exercitării competențelor lor de supraveghere și a celor de sancționare precizează motivele pe care se bazează aceste decizii.</w:t>
            </w:r>
          </w:p>
        </w:tc>
        <w:tc>
          <w:tcPr>
            <w:tcW w:w="1928" w:type="pct"/>
            <w:gridSpan w:val="3"/>
            <w:tcBorders>
              <w:top w:val="single" w:sz="4" w:space="0" w:color="auto"/>
              <w:left w:val="single" w:sz="4" w:space="0" w:color="auto"/>
              <w:bottom w:val="single" w:sz="4" w:space="0" w:color="auto"/>
              <w:right w:val="single" w:sz="4" w:space="0" w:color="auto"/>
            </w:tcBorders>
          </w:tcPr>
          <w:p w14:paraId="726F56F4" w14:textId="639DD855" w:rsidR="00C27552" w:rsidRPr="009E686F" w:rsidRDefault="00C27552" w:rsidP="00566889">
            <w:pPr>
              <w:spacing w:after="0"/>
              <w:jc w:val="both"/>
              <w:rPr>
                <w:rFonts w:ascii="Times New Roman" w:eastAsia="Aptos" w:hAnsi="Times New Roman" w:cs="Times New Roman"/>
                <w:b/>
                <w:bCs/>
                <w:kern w:val="2"/>
                <w:lang w:val="ro-MD"/>
              </w:rPr>
            </w:pPr>
            <w:r w:rsidRPr="009E686F">
              <w:rPr>
                <w:rFonts w:ascii="Times New Roman" w:eastAsia="Aptos" w:hAnsi="Times New Roman" w:cs="Times New Roman"/>
                <w:b/>
                <w:bCs/>
                <w:kern w:val="2"/>
                <w:lang w:val="ro-MD"/>
              </w:rPr>
              <w:t>Articolul 139</w:t>
            </w:r>
            <w:r w:rsidR="00FA7CAE" w:rsidRPr="009E686F">
              <w:rPr>
                <w:rFonts w:ascii="Times New Roman" w:eastAsia="Aptos" w:hAnsi="Times New Roman" w:cs="Times New Roman"/>
                <w:b/>
                <w:bCs/>
                <w:kern w:val="2"/>
                <w:lang w:val="ro-MD"/>
              </w:rPr>
              <w:t xml:space="preserve"> alin. </w:t>
            </w:r>
            <w:r w:rsidRPr="009E686F">
              <w:rPr>
                <w:rFonts w:ascii="Times New Roman" w:eastAsia="Aptos" w:hAnsi="Times New Roman" w:cs="Times New Roman"/>
                <w:b/>
                <w:bCs/>
                <w:kern w:val="2"/>
                <w:lang w:val="ro-MD"/>
              </w:rPr>
              <w:t>(9</w:t>
            </w:r>
            <w:r w:rsidRPr="009E686F">
              <w:rPr>
                <w:rFonts w:ascii="Times New Roman" w:eastAsia="Aptos" w:hAnsi="Times New Roman" w:cs="Times New Roman"/>
                <w:b/>
                <w:bCs/>
                <w:kern w:val="2"/>
                <w:vertAlign w:val="superscript"/>
                <w:lang w:val="ro-MD"/>
              </w:rPr>
              <w:t>1</w:t>
            </w:r>
            <w:r w:rsidRPr="009E686F">
              <w:rPr>
                <w:rFonts w:ascii="Times New Roman" w:eastAsia="Aptos" w:hAnsi="Times New Roman" w:cs="Times New Roman"/>
                <w:b/>
                <w:bCs/>
                <w:kern w:val="2"/>
                <w:lang w:val="ro-MD"/>
              </w:rPr>
              <w:t>)</w:t>
            </w:r>
          </w:p>
          <w:p w14:paraId="36C7B51A" w14:textId="77777777" w:rsidR="00C27552" w:rsidRPr="009E686F" w:rsidRDefault="00C27552" w:rsidP="00566889">
            <w:pPr>
              <w:spacing w:after="0"/>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(9</w:t>
            </w:r>
            <w:r w:rsidRPr="009E686F">
              <w:rPr>
                <w:rFonts w:ascii="Times New Roman" w:eastAsia="Aptos" w:hAnsi="Times New Roman" w:cs="Times New Roman"/>
                <w:i/>
                <w:iCs/>
                <w:kern w:val="2"/>
                <w:vertAlign w:val="superscript"/>
                <w:lang w:val="ro-MD"/>
              </w:rPr>
              <w:t>1</w:t>
            </w:r>
            <w:r w:rsidRPr="009E686F">
              <w:rPr>
                <w:rFonts w:ascii="Times New Roman" w:eastAsia="Aptos" w:hAnsi="Times New Roman" w:cs="Times New Roman"/>
                <w:i/>
                <w:iCs/>
                <w:kern w:val="2"/>
                <w:lang w:val="ro-MD"/>
              </w:rPr>
              <w:t>) Hotărârea Băncii Naţionale a Moldovei de aplicare a măsurilor de supraveghere prevăzute de prezentul articol va cuprinde motivele care au stat la baza acesteia.</w:t>
            </w:r>
          </w:p>
          <w:p w14:paraId="2B56F698" w14:textId="242C58C7" w:rsidR="00C27552" w:rsidRPr="009E686F" w:rsidRDefault="00C27552" w:rsidP="00566889">
            <w:pPr>
              <w:spacing w:after="0"/>
              <w:jc w:val="both"/>
              <w:rPr>
                <w:rFonts w:ascii="Times New Roman" w:eastAsia="Aptos" w:hAnsi="Times New Roman" w:cs="Times New Roman"/>
                <w:b/>
                <w:bCs/>
                <w:kern w:val="2"/>
                <w:lang w:val="ro-MD"/>
              </w:rPr>
            </w:pPr>
            <w:r w:rsidRPr="009E686F">
              <w:rPr>
                <w:rFonts w:ascii="Times New Roman" w:eastAsia="Aptos" w:hAnsi="Times New Roman" w:cs="Times New Roman"/>
                <w:b/>
                <w:bCs/>
                <w:kern w:val="2"/>
                <w:lang w:val="ro-MD"/>
              </w:rPr>
              <w:t>Articolul 142</w:t>
            </w:r>
            <w:r w:rsidR="00FA7CAE" w:rsidRPr="009E686F">
              <w:rPr>
                <w:rFonts w:ascii="Times New Roman" w:eastAsia="Aptos" w:hAnsi="Times New Roman" w:cs="Times New Roman"/>
                <w:b/>
                <w:bCs/>
                <w:kern w:val="2"/>
                <w:lang w:val="ro-MD"/>
              </w:rPr>
              <w:t xml:space="preserve"> alin.</w:t>
            </w:r>
            <w:r w:rsidRPr="009E686F">
              <w:rPr>
                <w:rFonts w:ascii="Times New Roman" w:eastAsia="Aptos" w:hAnsi="Times New Roman" w:cs="Times New Roman"/>
                <w:b/>
                <w:bCs/>
                <w:kern w:val="2"/>
                <w:lang w:val="ro-MD"/>
              </w:rPr>
              <w:t xml:space="preserve"> (1</w:t>
            </w:r>
            <w:r w:rsidRPr="009E686F">
              <w:rPr>
                <w:rFonts w:ascii="Times New Roman" w:eastAsia="Aptos" w:hAnsi="Times New Roman" w:cs="Times New Roman"/>
                <w:b/>
                <w:bCs/>
                <w:kern w:val="2"/>
                <w:vertAlign w:val="superscript"/>
                <w:lang w:val="ro-MD"/>
              </w:rPr>
              <w:t>1</w:t>
            </w:r>
            <w:r w:rsidRPr="009E686F">
              <w:rPr>
                <w:rFonts w:ascii="Times New Roman" w:eastAsia="Aptos" w:hAnsi="Times New Roman" w:cs="Times New Roman"/>
                <w:b/>
                <w:bCs/>
                <w:kern w:val="2"/>
                <w:lang w:val="ro-MD"/>
              </w:rPr>
              <w:t>)</w:t>
            </w:r>
          </w:p>
          <w:p w14:paraId="6F722605" w14:textId="3600CDAB" w:rsidR="00C27552" w:rsidRPr="009E686F" w:rsidRDefault="00C27552" w:rsidP="00566889">
            <w:pPr>
              <w:spacing w:after="0"/>
              <w:jc w:val="both"/>
              <w:rPr>
                <w:rFonts w:ascii="Times New Roman" w:hAnsi="Times New Roman" w:cs="Times New Roman"/>
                <w:b/>
                <w:bCs/>
                <w:lang w:val="ro-RO"/>
              </w:rPr>
            </w:pPr>
            <w:r w:rsidRPr="009E686F">
              <w:rPr>
                <w:rFonts w:ascii="Times New Roman" w:eastAsia="Aptos" w:hAnsi="Times New Roman" w:cs="Times New Roman"/>
                <w:kern w:val="2"/>
                <w:lang w:val="ro-MD"/>
              </w:rPr>
              <w:t>(1</w:t>
            </w:r>
            <w:r w:rsidRPr="009E686F">
              <w:rPr>
                <w:rFonts w:ascii="Times New Roman" w:eastAsia="Aptos" w:hAnsi="Times New Roman" w:cs="Times New Roman"/>
                <w:kern w:val="2"/>
                <w:vertAlign w:val="superscript"/>
                <w:lang w:val="ro-MD"/>
              </w:rPr>
              <w:t>1</w:t>
            </w:r>
            <w:r w:rsidRPr="009E686F">
              <w:rPr>
                <w:rFonts w:ascii="Times New Roman" w:eastAsia="Aptos" w:hAnsi="Times New Roman" w:cs="Times New Roman"/>
                <w:kern w:val="2"/>
                <w:lang w:val="ro-MD"/>
              </w:rPr>
              <w:t>) Hotărârea Băncii Naţionale a Moldovei de aplicare a sancțiunilor și măsurilor sancționatoare prevăzute de art. 141 va cuprinde motivele care au stat la baza acesteia.</w:t>
            </w:r>
          </w:p>
        </w:tc>
        <w:tc>
          <w:tcPr>
            <w:tcW w:w="470" w:type="pct"/>
            <w:tcBorders>
              <w:top w:val="single" w:sz="4" w:space="0" w:color="auto"/>
              <w:left w:val="single" w:sz="4" w:space="0" w:color="auto"/>
              <w:bottom w:val="single" w:sz="4" w:space="0" w:color="auto"/>
              <w:right w:val="single" w:sz="4" w:space="0" w:color="auto"/>
            </w:tcBorders>
          </w:tcPr>
          <w:p w14:paraId="0929901F" w14:textId="32B53B28" w:rsidR="00C27552" w:rsidRPr="009E686F" w:rsidRDefault="00FA7CAE" w:rsidP="00883827">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1A8AA3F2" w14:textId="77777777" w:rsidR="00C27552" w:rsidRPr="009E686F" w:rsidRDefault="00C27552" w:rsidP="00883827">
            <w:pPr>
              <w:jc w:val="both"/>
              <w:rPr>
                <w:rFonts w:ascii="Times New Roman" w:hAnsi="Times New Roman" w:cs="Times New Roman"/>
                <w:lang w:val="ro-RO"/>
              </w:rPr>
            </w:pPr>
          </w:p>
        </w:tc>
      </w:tr>
      <w:tr w:rsidR="00C8360A" w:rsidRPr="009E686F" w14:paraId="6B3AC2FC" w14:textId="462DF3A4" w:rsidTr="00774F3E">
        <w:tc>
          <w:tcPr>
            <w:tcW w:w="1796" w:type="pct"/>
            <w:gridSpan w:val="2"/>
            <w:tcBorders>
              <w:top w:val="single" w:sz="4" w:space="0" w:color="auto"/>
              <w:left w:val="single" w:sz="4" w:space="0" w:color="auto"/>
              <w:bottom w:val="single" w:sz="4" w:space="0" w:color="auto"/>
              <w:right w:val="single" w:sz="4" w:space="0" w:color="auto"/>
            </w:tcBorders>
          </w:tcPr>
          <w:p w14:paraId="5C03BA08" w14:textId="77777777" w:rsidR="00FA7CAE" w:rsidRPr="009E686F" w:rsidRDefault="00C27552" w:rsidP="00566889">
            <w:pPr>
              <w:spacing w:after="0"/>
              <w:jc w:val="both"/>
              <w:rPr>
                <w:rFonts w:ascii="Times New Roman" w:hAnsi="Times New Roman" w:cs="Times New Roman"/>
                <w:i/>
                <w:iCs/>
                <w:lang w:val="ro-RO"/>
              </w:rPr>
            </w:pPr>
            <w:r w:rsidRPr="009E686F">
              <w:rPr>
                <w:rFonts w:ascii="Times New Roman" w:hAnsi="Times New Roman" w:cs="Times New Roman"/>
                <w:i/>
                <w:iCs/>
                <w:lang w:val="ro-RO"/>
              </w:rPr>
              <w:t xml:space="preserve">Articolul 65 </w:t>
            </w:r>
          </w:p>
          <w:p w14:paraId="49FC66FC" w14:textId="7535E176" w:rsidR="00C27552" w:rsidRPr="009E686F" w:rsidRDefault="00C27552" w:rsidP="00793783">
            <w:pPr>
              <w:spacing w:after="0"/>
              <w:jc w:val="both"/>
              <w:rPr>
                <w:rFonts w:ascii="Times New Roman" w:hAnsi="Times New Roman" w:cs="Times New Roman"/>
                <w:lang w:val="ro-RO"/>
              </w:rPr>
            </w:pPr>
            <w:r w:rsidRPr="009E686F">
              <w:rPr>
                <w:rFonts w:ascii="Times New Roman" w:hAnsi="Times New Roman" w:cs="Times New Roman"/>
                <w:lang w:val="ro-RO"/>
              </w:rPr>
              <w:t>Sancțiuni administrative, penalități cu titlu cominatoriu și alte măsuri administrative</w:t>
            </w:r>
          </w:p>
        </w:tc>
        <w:tc>
          <w:tcPr>
            <w:tcW w:w="1928" w:type="pct"/>
            <w:gridSpan w:val="3"/>
            <w:tcBorders>
              <w:top w:val="single" w:sz="4" w:space="0" w:color="auto"/>
              <w:left w:val="single" w:sz="4" w:space="0" w:color="auto"/>
              <w:bottom w:val="single" w:sz="4" w:space="0" w:color="auto"/>
              <w:right w:val="single" w:sz="4" w:space="0" w:color="auto"/>
            </w:tcBorders>
          </w:tcPr>
          <w:p w14:paraId="7DC7F546" w14:textId="77777777" w:rsidR="00C27552" w:rsidRPr="009E686F" w:rsidRDefault="00C27552" w:rsidP="00566889">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b/>
                <w:bCs/>
                <w:kern w:val="2"/>
                <w:lang w:val="ro-MD"/>
              </w:rPr>
              <w:t>Articolul 138.</w:t>
            </w:r>
            <w:r w:rsidRPr="009E686F">
              <w:rPr>
                <w:rFonts w:ascii="Times New Roman" w:eastAsia="Aptos" w:hAnsi="Times New Roman" w:cs="Times New Roman"/>
                <w:kern w:val="2"/>
                <w:lang w:val="ro-MD"/>
              </w:rPr>
              <w:t xml:space="preserve"> Competenţe de supraveghere şi de sancţionare</w:t>
            </w:r>
          </w:p>
          <w:p w14:paraId="0988B828" w14:textId="77777777" w:rsidR="00C27552" w:rsidRPr="009E686F" w:rsidRDefault="00C27552" w:rsidP="00566889">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6799F3B1" w14:textId="77777777" w:rsidR="00566889" w:rsidRPr="009E686F" w:rsidRDefault="00566889" w:rsidP="00566889">
            <w:pPr>
              <w:jc w:val="both"/>
              <w:rPr>
                <w:rFonts w:ascii="Times New Roman" w:hAnsi="Times New Roman" w:cs="Times New Roman"/>
                <w:lang w:val="ro-RO"/>
              </w:rPr>
            </w:pPr>
            <w:r w:rsidRPr="009E686F">
              <w:rPr>
                <w:rFonts w:ascii="Times New Roman" w:hAnsi="Times New Roman" w:cs="Times New Roman"/>
                <w:lang w:val="ro-RO"/>
              </w:rPr>
              <w:t>Compatibil</w:t>
            </w:r>
          </w:p>
          <w:p w14:paraId="5D0D8882" w14:textId="3CD342DC" w:rsidR="00C27552" w:rsidRPr="009E686F" w:rsidRDefault="00C27552" w:rsidP="00883827">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2B2FF1B1" w14:textId="77777777" w:rsidR="00C27552" w:rsidRPr="009E686F" w:rsidRDefault="00C27552" w:rsidP="00883827">
            <w:pPr>
              <w:jc w:val="both"/>
              <w:rPr>
                <w:rFonts w:ascii="Times New Roman" w:hAnsi="Times New Roman" w:cs="Times New Roman"/>
                <w:lang w:val="ro-RO"/>
              </w:rPr>
            </w:pPr>
          </w:p>
        </w:tc>
      </w:tr>
      <w:tr w:rsidR="005E26C0" w:rsidRPr="009E686F" w14:paraId="42CABF61" w14:textId="77777777" w:rsidTr="0069517B">
        <w:tc>
          <w:tcPr>
            <w:tcW w:w="1796" w:type="pct"/>
            <w:gridSpan w:val="2"/>
            <w:vMerge w:val="restart"/>
            <w:tcBorders>
              <w:top w:val="single" w:sz="4" w:space="0" w:color="auto"/>
              <w:left w:val="single" w:sz="4" w:space="0" w:color="auto"/>
              <w:right w:val="single" w:sz="4" w:space="0" w:color="auto"/>
            </w:tcBorders>
          </w:tcPr>
          <w:p w14:paraId="6BBF8742" w14:textId="77777777" w:rsidR="005E26C0" w:rsidRPr="009E686F" w:rsidRDefault="005E26C0" w:rsidP="00566889">
            <w:pPr>
              <w:spacing w:after="0"/>
              <w:jc w:val="both"/>
              <w:rPr>
                <w:rFonts w:ascii="Times New Roman" w:hAnsi="Times New Roman" w:cs="Times New Roman"/>
                <w:lang w:val="ro-RO"/>
              </w:rPr>
            </w:pPr>
            <w:r w:rsidRPr="009E686F">
              <w:rPr>
                <w:rFonts w:ascii="Times New Roman" w:hAnsi="Times New Roman" w:cs="Times New Roman"/>
                <w:lang w:val="ro-RO"/>
              </w:rPr>
              <w:lastRenderedPageBreak/>
              <w:t xml:space="preserve">(1) Fără a aduce atingere competențelor de supraveghere ale autorităților competente menționate la articolul 64 din prezenta directivă, nici dreptului statelor membre de a prevedea și impune sancțiuni penale, statele membre stabilesc norme privind sancțiunile administrative, penalitățile cu titlu cominatoriu și alte măsuri administrative cu privire la încălcări ale dispozițiilor naționale de transpunere a prezentei directive, ale Regulamentului (UE) nr. 575/2013 și ale deciziilor adoptate de o autoritate competentă pe baza dispozițiilor respective sau a regulamentului menționat și iau toate măsurile necesare pentru a se asigura că acestea sunt puse în aplicare.  </w:t>
            </w:r>
          </w:p>
          <w:p w14:paraId="521B248D" w14:textId="77777777" w:rsidR="005E26C0" w:rsidRPr="009E686F" w:rsidRDefault="005E26C0" w:rsidP="00566889">
            <w:pPr>
              <w:spacing w:after="0"/>
              <w:jc w:val="both"/>
              <w:rPr>
                <w:rFonts w:ascii="Times New Roman" w:hAnsi="Times New Roman" w:cs="Times New Roman"/>
                <w:lang w:val="ro-RO"/>
              </w:rPr>
            </w:pPr>
          </w:p>
          <w:p w14:paraId="3EA52488" w14:textId="77777777" w:rsidR="005E26C0" w:rsidRPr="009E686F" w:rsidRDefault="005E26C0" w:rsidP="00566889">
            <w:pPr>
              <w:spacing w:after="0"/>
              <w:jc w:val="both"/>
              <w:rPr>
                <w:rFonts w:ascii="Times New Roman" w:hAnsi="Times New Roman" w:cs="Times New Roman"/>
                <w:lang w:val="ro-RO"/>
              </w:rPr>
            </w:pPr>
          </w:p>
          <w:p w14:paraId="5D1F2A6F" w14:textId="77777777" w:rsidR="005E26C0" w:rsidRPr="009E686F" w:rsidRDefault="005E26C0" w:rsidP="00566889">
            <w:pPr>
              <w:spacing w:after="0"/>
              <w:jc w:val="both"/>
              <w:rPr>
                <w:rFonts w:ascii="Times New Roman" w:hAnsi="Times New Roman" w:cs="Times New Roman"/>
                <w:lang w:val="ro-RO"/>
              </w:rPr>
            </w:pPr>
          </w:p>
          <w:p w14:paraId="02F2360A" w14:textId="77777777" w:rsidR="005E26C0" w:rsidRPr="009E686F" w:rsidRDefault="005E26C0" w:rsidP="00566889">
            <w:pPr>
              <w:spacing w:after="0"/>
              <w:jc w:val="both"/>
              <w:rPr>
                <w:rFonts w:ascii="Times New Roman" w:hAnsi="Times New Roman" w:cs="Times New Roman"/>
                <w:lang w:val="ro-RO"/>
              </w:rPr>
            </w:pPr>
          </w:p>
          <w:p w14:paraId="765603D2" w14:textId="210FD588" w:rsidR="005E26C0" w:rsidRPr="009E686F" w:rsidRDefault="005E26C0" w:rsidP="00566889">
            <w:pPr>
              <w:spacing w:after="0"/>
              <w:jc w:val="both"/>
              <w:rPr>
                <w:rFonts w:ascii="Times New Roman" w:hAnsi="Times New Roman" w:cs="Times New Roman"/>
                <w:lang w:val="ro-RO"/>
              </w:rPr>
            </w:pPr>
            <w:r w:rsidRPr="009E686F">
              <w:rPr>
                <w:rFonts w:ascii="Times New Roman" w:hAnsi="Times New Roman" w:cs="Times New Roman"/>
                <w:lang w:val="ro-RO"/>
              </w:rPr>
              <w:t>Sancțiunile administrative, penalitățile cu titlu cominatoriu și alte măsuri administrative sunt efective, proporționale și disuasive.</w:t>
            </w:r>
          </w:p>
          <w:p w14:paraId="26914BCC" w14:textId="77777777" w:rsidR="005E26C0" w:rsidRPr="009E686F" w:rsidRDefault="005E26C0" w:rsidP="00566889">
            <w:pPr>
              <w:spacing w:after="0"/>
              <w:jc w:val="both"/>
              <w:rPr>
                <w:rFonts w:ascii="Times New Roman" w:hAnsi="Times New Roman" w:cs="Times New Roman"/>
                <w:lang w:val="ro-RO"/>
              </w:rPr>
            </w:pPr>
          </w:p>
        </w:tc>
        <w:tc>
          <w:tcPr>
            <w:tcW w:w="1928" w:type="pct"/>
            <w:gridSpan w:val="3"/>
            <w:tcBorders>
              <w:top w:val="single" w:sz="4" w:space="0" w:color="auto"/>
              <w:left w:val="single" w:sz="4" w:space="0" w:color="auto"/>
              <w:bottom w:val="single" w:sz="4" w:space="0" w:color="auto"/>
              <w:right w:val="single" w:sz="4" w:space="0" w:color="auto"/>
            </w:tcBorders>
          </w:tcPr>
          <w:p w14:paraId="6BF4F024" w14:textId="45FBACBA" w:rsidR="005E26C0" w:rsidRPr="009E686F" w:rsidRDefault="005E26C0" w:rsidP="00566889">
            <w:pPr>
              <w:spacing w:after="0"/>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 xml:space="preserve">(1) În exercitarea funcţiilor sale, Banca Naţională a Moldovei deţine competenţa să dispună, faţă de o </w:t>
            </w:r>
            <w:r w:rsidRPr="009E686F">
              <w:rPr>
                <w:rFonts w:ascii="Times New Roman" w:eastAsia="Aptos" w:hAnsi="Times New Roman" w:cs="Times New Roman"/>
                <w:i/>
                <w:iCs/>
                <w:kern w:val="2"/>
                <w:lang w:val="ro-MD"/>
              </w:rPr>
              <w:t>instituție de credit</w:t>
            </w:r>
            <w:r w:rsidRPr="009E686F">
              <w:rPr>
                <w:rFonts w:ascii="Times New Roman" w:eastAsia="Aptos" w:hAnsi="Times New Roman" w:cs="Times New Roman"/>
                <w:kern w:val="2"/>
                <w:lang w:val="ro-MD"/>
              </w:rPr>
              <w:t xml:space="preserve">, față de societățile financiare holding și față de societățile financiare holding mixte, faţă de acţionarii acesteia, faţă de membrii organului de conducere al </w:t>
            </w:r>
            <w:r w:rsidRPr="009E686F">
              <w:rPr>
                <w:rFonts w:ascii="Times New Roman" w:eastAsia="Aptos" w:hAnsi="Times New Roman" w:cs="Times New Roman"/>
                <w:i/>
                <w:iCs/>
                <w:kern w:val="2"/>
                <w:lang w:val="ro-MD"/>
              </w:rPr>
              <w:t>instituției de credit</w:t>
            </w:r>
            <w:r w:rsidRPr="009E686F">
              <w:rPr>
                <w:rFonts w:ascii="Times New Roman" w:eastAsia="Aptos" w:hAnsi="Times New Roman" w:cs="Times New Roman"/>
                <w:kern w:val="2"/>
                <w:lang w:val="ro-MD"/>
              </w:rPr>
              <w:t xml:space="preserve">, faţă de persoanele care deţin funcţii-cheie în cadrul </w:t>
            </w:r>
            <w:r w:rsidRPr="009E686F">
              <w:rPr>
                <w:rFonts w:ascii="Times New Roman" w:eastAsia="Aptos" w:hAnsi="Times New Roman" w:cs="Times New Roman"/>
                <w:i/>
                <w:iCs/>
                <w:kern w:val="2"/>
                <w:lang w:val="ro-MD"/>
              </w:rPr>
              <w:t>instituției de credit</w:t>
            </w:r>
            <w:r w:rsidRPr="009E686F">
              <w:rPr>
                <w:rFonts w:ascii="Times New Roman" w:eastAsia="Aptos" w:hAnsi="Times New Roman" w:cs="Times New Roman"/>
                <w:kern w:val="2"/>
                <w:lang w:val="ro-MD"/>
              </w:rPr>
              <w:t xml:space="preserve">, alți membri ai personalului ale căror activități profesionale au un impact semnificativ asupra profilului de risc al </w:t>
            </w:r>
            <w:r w:rsidRPr="009E686F">
              <w:rPr>
                <w:rFonts w:ascii="Times New Roman" w:eastAsia="Aptos" w:hAnsi="Times New Roman" w:cs="Times New Roman"/>
                <w:i/>
                <w:iCs/>
                <w:kern w:val="2"/>
                <w:lang w:val="ro-MD"/>
              </w:rPr>
              <w:t>instituției de credit</w:t>
            </w:r>
            <w:r w:rsidRPr="009E686F">
              <w:rPr>
                <w:rFonts w:ascii="Times New Roman" w:eastAsia="Aptos" w:hAnsi="Times New Roman" w:cs="Times New Roman"/>
                <w:kern w:val="2"/>
                <w:lang w:val="ro-MD"/>
              </w:rPr>
              <w:t>, precum și față de alte persoane fizice, care încalcă dispoziţiile prezentei legi, ale actelor normative sau ale altor acte emise în aplicarea acesteia, referitoare la supraveghere sau la condiţiile de desfăşurare a activităţii, măsuri potrivit prevederilor art. 22, art. 23</w:t>
            </w:r>
            <w:r w:rsidRPr="009E686F">
              <w:rPr>
                <w:rFonts w:ascii="Times New Roman" w:eastAsia="Aptos" w:hAnsi="Times New Roman" w:cs="Times New Roman"/>
                <w:kern w:val="2"/>
                <w:vertAlign w:val="superscript"/>
                <w:lang w:val="ro-MD"/>
              </w:rPr>
              <w:t>5</w:t>
            </w:r>
            <w:r w:rsidRPr="009E686F">
              <w:rPr>
                <w:rFonts w:ascii="Times New Roman" w:eastAsia="Aptos" w:hAnsi="Times New Roman" w:cs="Times New Roman"/>
                <w:kern w:val="2"/>
                <w:lang w:val="ro-MD"/>
              </w:rPr>
              <w:t xml:space="preserve">, art.139 şi/sau să aplice sancţiuni, penalități cu titlu cominatoriu şi măsuri sancţionatoare potrivit prevederilor art.141. </w:t>
            </w:r>
          </w:p>
          <w:p w14:paraId="6311350B" w14:textId="1E5D1433" w:rsidR="005E26C0" w:rsidRPr="009E686F" w:rsidRDefault="005E26C0" w:rsidP="00566889">
            <w:pPr>
              <w:spacing w:after="0"/>
              <w:jc w:val="both"/>
              <w:rPr>
                <w:rFonts w:ascii="Times New Roman" w:eastAsia="Aptos" w:hAnsi="Times New Roman" w:cs="Times New Roman"/>
                <w:b/>
                <w:bCs/>
                <w:kern w:val="2"/>
                <w:lang w:val="ro-MD"/>
              </w:rPr>
            </w:pPr>
            <w:r w:rsidRPr="009E686F">
              <w:rPr>
                <w:rFonts w:ascii="Times New Roman" w:eastAsia="Aptos" w:hAnsi="Times New Roman" w:cs="Times New Roman"/>
                <w:b/>
                <w:bCs/>
                <w:kern w:val="2"/>
                <w:lang w:val="ro-MD"/>
              </w:rPr>
              <w:t>Articolul 142 alin. (1)</w:t>
            </w:r>
          </w:p>
          <w:p w14:paraId="2F15A0FC" w14:textId="4EC2A6CA" w:rsidR="005E26C0" w:rsidRPr="009E686F" w:rsidRDefault="005E26C0" w:rsidP="00EF2E7B">
            <w:pPr>
              <w:spacing w:after="0"/>
              <w:jc w:val="both"/>
              <w:rPr>
                <w:rFonts w:ascii="Times New Roman" w:hAnsi="Times New Roman" w:cs="Times New Roman"/>
                <w:lang w:val="ro-RO"/>
              </w:rPr>
            </w:pPr>
            <w:r w:rsidRPr="009E686F">
              <w:rPr>
                <w:rFonts w:ascii="Times New Roman" w:eastAsia="Aptos" w:hAnsi="Times New Roman" w:cs="Times New Roman"/>
                <w:kern w:val="2"/>
                <w:lang w:val="ro-MD"/>
              </w:rPr>
              <w:t>(1) Sancţiunile, penalitățile cu titlu cominatoriu şi măsurile sancţionatoare aplicate potrivit art.141 trebuie să fie eficace şi proporţionale cu faptele şi deficienţele constatate şi să fie de natură a avea un efect descurajant.</w:t>
            </w:r>
          </w:p>
        </w:tc>
        <w:tc>
          <w:tcPr>
            <w:tcW w:w="470" w:type="pct"/>
            <w:tcBorders>
              <w:top w:val="single" w:sz="4" w:space="0" w:color="auto"/>
              <w:left w:val="single" w:sz="4" w:space="0" w:color="auto"/>
              <w:bottom w:val="single" w:sz="4" w:space="0" w:color="auto"/>
              <w:right w:val="single" w:sz="4" w:space="0" w:color="auto"/>
            </w:tcBorders>
          </w:tcPr>
          <w:p w14:paraId="4B2EBAB7" w14:textId="77777777" w:rsidR="005E26C0" w:rsidRPr="009E686F" w:rsidRDefault="005E26C0" w:rsidP="00566889">
            <w:pPr>
              <w:jc w:val="both"/>
              <w:rPr>
                <w:rFonts w:ascii="Times New Roman" w:hAnsi="Times New Roman" w:cs="Times New Roman"/>
                <w:lang w:val="ro-RO"/>
              </w:rPr>
            </w:pPr>
            <w:r w:rsidRPr="009E686F">
              <w:rPr>
                <w:rFonts w:ascii="Times New Roman" w:hAnsi="Times New Roman" w:cs="Times New Roman"/>
                <w:lang w:val="ro-RO"/>
              </w:rPr>
              <w:t>Compatibil</w:t>
            </w:r>
          </w:p>
          <w:p w14:paraId="6BCDAF26" w14:textId="77777777" w:rsidR="005E26C0" w:rsidRPr="009E686F" w:rsidRDefault="005E26C0" w:rsidP="00566889">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4CC52935" w14:textId="77777777" w:rsidR="005E26C0" w:rsidRPr="009E686F" w:rsidRDefault="005E26C0" w:rsidP="00566889">
            <w:pPr>
              <w:jc w:val="both"/>
              <w:rPr>
                <w:rFonts w:ascii="Times New Roman" w:hAnsi="Times New Roman" w:cs="Times New Roman"/>
                <w:lang w:val="ro-RO"/>
              </w:rPr>
            </w:pPr>
          </w:p>
        </w:tc>
      </w:tr>
      <w:tr w:rsidR="002F47A0" w:rsidRPr="009E686F" w14:paraId="135CEAC3" w14:textId="77777777" w:rsidTr="0069517B">
        <w:tc>
          <w:tcPr>
            <w:tcW w:w="1796" w:type="pct"/>
            <w:gridSpan w:val="2"/>
            <w:vMerge/>
            <w:tcBorders>
              <w:left w:val="single" w:sz="4" w:space="0" w:color="auto"/>
              <w:bottom w:val="single" w:sz="4" w:space="0" w:color="auto"/>
              <w:right w:val="single" w:sz="4" w:space="0" w:color="auto"/>
            </w:tcBorders>
          </w:tcPr>
          <w:p w14:paraId="366FB085" w14:textId="77777777" w:rsidR="002F47A0" w:rsidRPr="009E686F" w:rsidRDefault="002F47A0" w:rsidP="002F47A0">
            <w:pPr>
              <w:spacing w:after="0"/>
              <w:jc w:val="both"/>
              <w:rPr>
                <w:rFonts w:ascii="Times New Roman" w:hAnsi="Times New Roman" w:cs="Times New Roman"/>
                <w:lang w:val="ro-RO"/>
              </w:rPr>
            </w:pPr>
          </w:p>
        </w:tc>
        <w:tc>
          <w:tcPr>
            <w:tcW w:w="1928" w:type="pct"/>
            <w:gridSpan w:val="3"/>
            <w:tcBorders>
              <w:top w:val="single" w:sz="4" w:space="0" w:color="auto"/>
              <w:left w:val="single" w:sz="4" w:space="0" w:color="auto"/>
              <w:bottom w:val="single" w:sz="4" w:space="0" w:color="auto"/>
              <w:right w:val="single" w:sz="4" w:space="0" w:color="auto"/>
            </w:tcBorders>
          </w:tcPr>
          <w:p w14:paraId="62BDD76B" w14:textId="7CD272BA" w:rsidR="002F47A0" w:rsidRPr="009E686F" w:rsidRDefault="002F47A0" w:rsidP="002F47A0">
            <w:pPr>
              <w:spacing w:after="0"/>
              <w:jc w:val="both"/>
              <w:rPr>
                <w:rFonts w:ascii="Times New Roman" w:eastAsia="Aptos" w:hAnsi="Times New Roman" w:cs="Times New Roman"/>
                <w:b/>
                <w:bCs/>
                <w:kern w:val="2"/>
                <w:lang w:val="ro-MD"/>
              </w:rPr>
            </w:pPr>
            <w:r w:rsidRPr="009E686F">
              <w:rPr>
                <w:rFonts w:ascii="Times New Roman" w:eastAsia="Aptos" w:hAnsi="Times New Roman" w:cs="Times New Roman"/>
                <w:b/>
                <w:bCs/>
                <w:kern w:val="2"/>
                <w:lang w:val="ro-MD"/>
              </w:rPr>
              <w:t>Articolul 142 alin. (3)-(5)</w:t>
            </w:r>
          </w:p>
          <w:p w14:paraId="3CCC93C6" w14:textId="25D38CAF"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(3) Aplicarea sancţiunilor</w:t>
            </w:r>
            <w:r w:rsidR="00BE3AA6" w:rsidRPr="009E686F">
              <w:rPr>
                <w:rFonts w:ascii="Times New Roman" w:hAnsi="Times New Roman" w:cs="Times New Roman"/>
                <w:lang w:val="ro-RO"/>
              </w:rPr>
              <w:t xml:space="preserve">, </w:t>
            </w:r>
            <w:r w:rsidR="00BE3AA6" w:rsidRPr="009E686F">
              <w:rPr>
                <w:rFonts w:ascii="Times New Roman" w:hAnsi="Times New Roman" w:cs="Times New Roman"/>
                <w:i/>
                <w:iCs/>
                <w:lang w:val="ro-RO"/>
              </w:rPr>
              <w:t>penalităților cu titlu cominatoriu</w:t>
            </w:r>
            <w:r w:rsidRPr="009E686F">
              <w:rPr>
                <w:rFonts w:ascii="Times New Roman" w:hAnsi="Times New Roman" w:cs="Times New Roman"/>
                <w:lang w:val="ro-RO"/>
              </w:rPr>
              <w:t xml:space="preserve"> se prescrie în termen de 3 ani de la data comiterii încălcării. În cazul încălcării continue, termenul de 3 ani începe să curgă de la data încetării încălcării. Curgerea termenului de 3 ani se suspendă pe perioada suspendării procedurii de control.</w:t>
            </w:r>
          </w:p>
          <w:p w14:paraId="0F4DE3B5" w14:textId="12222E61"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(4) La aplicarea sancţiunilor</w:t>
            </w:r>
            <w:r w:rsidR="004A6616" w:rsidRPr="009E686F">
              <w:rPr>
                <w:rFonts w:ascii="Times New Roman" w:hAnsi="Times New Roman" w:cs="Times New Roman"/>
                <w:lang w:val="ro-RO"/>
              </w:rPr>
              <w:t xml:space="preserve">, </w:t>
            </w:r>
            <w:r w:rsidR="004A6616" w:rsidRPr="009E686F">
              <w:rPr>
                <w:rFonts w:ascii="Times New Roman" w:hAnsi="Times New Roman" w:cs="Times New Roman"/>
                <w:i/>
                <w:iCs/>
                <w:lang w:val="ro-RO"/>
              </w:rPr>
              <w:t>penalităților cominatoriu</w:t>
            </w:r>
            <w:r w:rsidRPr="009E686F">
              <w:rPr>
                <w:rFonts w:ascii="Times New Roman" w:hAnsi="Times New Roman" w:cs="Times New Roman"/>
                <w:lang w:val="ro-RO"/>
              </w:rPr>
              <w:t xml:space="preserve"> şi a măsurilor sancţionatoare potrivit prezentei legi, sînt aplicabile, în mod corespunzător, prevederile art.75</w:t>
            </w:r>
            <w:r w:rsidRPr="009E686F">
              <w:rPr>
                <w:rFonts w:ascii="Times New Roman" w:hAnsi="Times New Roman" w:cs="Times New Roman"/>
                <w:vertAlign w:val="superscript"/>
                <w:lang w:val="ro-RO"/>
              </w:rPr>
              <w:t>2</w:t>
            </w:r>
            <w:r w:rsidRPr="009E686F">
              <w:rPr>
                <w:rFonts w:ascii="Times New Roman" w:hAnsi="Times New Roman" w:cs="Times New Roman"/>
                <w:lang w:val="ro-RO"/>
              </w:rPr>
              <w:t xml:space="preserve"> alin.(5) referitoare la încălcarea repetată, ale alin.(6) şi ale alin.(10)–(15) din Legea nr.548/1995 cu privire la Banca Naţională a Moldovei. Notificarea actelor privind aplicarea sancţiunilor</w:t>
            </w:r>
            <w:r w:rsidR="004A6616" w:rsidRPr="009E686F">
              <w:rPr>
                <w:rFonts w:ascii="Times New Roman" w:hAnsi="Times New Roman" w:cs="Times New Roman"/>
                <w:lang w:val="ro-RO"/>
              </w:rPr>
              <w:t xml:space="preserve">, </w:t>
            </w:r>
            <w:r w:rsidR="004A6616" w:rsidRPr="009E686F">
              <w:rPr>
                <w:rFonts w:ascii="Times New Roman" w:hAnsi="Times New Roman" w:cs="Times New Roman"/>
                <w:i/>
                <w:iCs/>
                <w:lang w:val="ro-RO"/>
              </w:rPr>
              <w:t xml:space="preserve">penalităților </w:t>
            </w:r>
            <w:r w:rsidR="004A6616" w:rsidRPr="009E686F">
              <w:rPr>
                <w:rFonts w:ascii="Times New Roman" w:hAnsi="Times New Roman" w:cs="Times New Roman"/>
                <w:i/>
                <w:iCs/>
                <w:lang w:val="ro-RO"/>
              </w:rPr>
              <w:lastRenderedPageBreak/>
              <w:t>cu titlu cominatoriu</w:t>
            </w:r>
            <w:r w:rsidR="004A6616" w:rsidRPr="009E686F">
              <w:rPr>
                <w:rFonts w:ascii="Times New Roman" w:hAnsi="Times New Roman" w:cs="Times New Roman"/>
                <w:lang w:val="ro-RO"/>
              </w:rPr>
              <w:t xml:space="preserve"> </w:t>
            </w:r>
            <w:r w:rsidRPr="009E686F">
              <w:rPr>
                <w:rFonts w:ascii="Times New Roman" w:hAnsi="Times New Roman" w:cs="Times New Roman"/>
                <w:lang w:val="ro-RO"/>
              </w:rPr>
              <w:t>şi a măsurilor sancţionatoare se efectuează în condiţiile prevăzute la art.11</w:t>
            </w:r>
            <w:r w:rsidRPr="009E686F">
              <w:rPr>
                <w:rFonts w:ascii="Times New Roman" w:hAnsi="Times New Roman" w:cs="Times New Roman"/>
                <w:vertAlign w:val="superscript"/>
                <w:lang w:val="ro-RO"/>
              </w:rPr>
              <w:t>2</w:t>
            </w:r>
            <w:r w:rsidRPr="009E686F">
              <w:rPr>
                <w:rFonts w:ascii="Times New Roman" w:hAnsi="Times New Roman" w:cs="Times New Roman"/>
                <w:lang w:val="ro-RO"/>
              </w:rPr>
              <w:t xml:space="preserve"> din legea menţionată.</w:t>
            </w:r>
          </w:p>
          <w:p w14:paraId="75D3A8DE" w14:textId="31FD19FE"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(5) Aplicarea sancţiunilor</w:t>
            </w:r>
            <w:r w:rsidR="00C9295B" w:rsidRPr="009E686F">
              <w:rPr>
                <w:rFonts w:ascii="Times New Roman" w:hAnsi="Times New Roman" w:cs="Times New Roman"/>
                <w:lang w:val="ro-RO"/>
              </w:rPr>
              <w:t xml:space="preserve">, </w:t>
            </w:r>
            <w:r w:rsidR="00C9295B" w:rsidRPr="009E686F">
              <w:rPr>
                <w:rFonts w:ascii="Times New Roman" w:hAnsi="Times New Roman" w:cs="Times New Roman"/>
                <w:i/>
                <w:iCs/>
                <w:lang w:val="ro-RO"/>
              </w:rPr>
              <w:t>penalităților cu titlu cominatoriu</w:t>
            </w:r>
            <w:r w:rsidRPr="009E686F">
              <w:rPr>
                <w:rFonts w:ascii="Times New Roman" w:hAnsi="Times New Roman" w:cs="Times New Roman"/>
                <w:lang w:val="ro-RO"/>
              </w:rPr>
              <w:t xml:space="preserve"> şi a măsurilor sancţionatoare potrivit prezentei legi nu înlătură răspunderea materială, civilă sau penală, după caz.</w:t>
            </w:r>
          </w:p>
        </w:tc>
        <w:tc>
          <w:tcPr>
            <w:tcW w:w="470" w:type="pct"/>
            <w:tcBorders>
              <w:top w:val="single" w:sz="4" w:space="0" w:color="auto"/>
              <w:left w:val="single" w:sz="4" w:space="0" w:color="auto"/>
              <w:bottom w:val="single" w:sz="4" w:space="0" w:color="auto"/>
              <w:right w:val="single" w:sz="4" w:space="0" w:color="auto"/>
            </w:tcBorders>
          </w:tcPr>
          <w:p w14:paraId="54024296" w14:textId="0DE52956"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75C14ABB" w14:textId="6CCF982E"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Norme cu specific  național din Legea nr. 202/2017 privind modul de aplicare a sancțiunilor prevăzute de lege.</w:t>
            </w:r>
          </w:p>
        </w:tc>
      </w:tr>
      <w:tr w:rsidR="002F47A0" w:rsidRPr="009E686F" w14:paraId="4382A74A" w14:textId="77777777" w:rsidTr="0069517B">
        <w:tc>
          <w:tcPr>
            <w:tcW w:w="1796" w:type="pct"/>
            <w:gridSpan w:val="2"/>
            <w:vMerge/>
            <w:tcBorders>
              <w:left w:val="single" w:sz="4" w:space="0" w:color="auto"/>
              <w:bottom w:val="single" w:sz="4" w:space="0" w:color="auto"/>
              <w:right w:val="single" w:sz="4" w:space="0" w:color="auto"/>
            </w:tcBorders>
          </w:tcPr>
          <w:p w14:paraId="7FAFFAA0" w14:textId="77777777" w:rsidR="002F47A0" w:rsidRPr="009E686F" w:rsidRDefault="002F47A0" w:rsidP="002F47A0">
            <w:pPr>
              <w:spacing w:after="0"/>
              <w:jc w:val="both"/>
              <w:rPr>
                <w:rFonts w:ascii="Times New Roman" w:hAnsi="Times New Roman" w:cs="Times New Roman"/>
                <w:lang w:val="ro-RO"/>
              </w:rPr>
            </w:pPr>
          </w:p>
        </w:tc>
        <w:tc>
          <w:tcPr>
            <w:tcW w:w="1928" w:type="pct"/>
            <w:gridSpan w:val="3"/>
            <w:tcBorders>
              <w:top w:val="single" w:sz="4" w:space="0" w:color="auto"/>
              <w:left w:val="single" w:sz="4" w:space="0" w:color="auto"/>
              <w:bottom w:val="single" w:sz="4" w:space="0" w:color="auto"/>
              <w:right w:val="single" w:sz="4" w:space="0" w:color="auto"/>
            </w:tcBorders>
          </w:tcPr>
          <w:p w14:paraId="3836AEB8"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b/>
                <w:lang w:val="ro-RO"/>
              </w:rPr>
              <w:t>Articolul 143.</w:t>
            </w:r>
            <w:r w:rsidRPr="009E686F">
              <w:rPr>
                <w:rFonts w:ascii="Times New Roman" w:hAnsi="Times New Roman" w:cs="Times New Roman"/>
                <w:lang w:val="ro-RO"/>
              </w:rPr>
              <w:t xml:space="preserve"> Constatarea faptelor şi emiterea deciziilor</w:t>
            </w:r>
          </w:p>
          <w:p w14:paraId="24D98A7C"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 xml:space="preserve">(1) Constatarea faptelor descrise în prezentul capitol, care constituie încălcări ale prezentei legi sau actelor normative emise în aplicarea acesteia, se face de către personalul Băncii Naţionale a Moldovei, împuternicit în acest sens, pe baza raportărilor efectuate de către </w:t>
            </w:r>
            <w:r w:rsidRPr="009E686F">
              <w:rPr>
                <w:rFonts w:ascii="Times New Roman" w:hAnsi="Times New Roman" w:cs="Times New Roman"/>
                <w:i/>
                <w:lang w:val="ro-RO"/>
              </w:rPr>
              <w:t>instituția de credit</w:t>
            </w:r>
            <w:r w:rsidRPr="009E686F">
              <w:rPr>
                <w:rFonts w:ascii="Times New Roman" w:hAnsi="Times New Roman" w:cs="Times New Roman"/>
                <w:lang w:val="ro-RO"/>
              </w:rPr>
              <w:t xml:space="preserve">  potrivit legislaţiei sau la solicitarea expresă a Băncii Naţionale a Moldovei ori în cadrul inspecţiilor pe teren desfăşurate la sediile acesteia, conform prevederilor Legii nr.548/1995 cu privire la Banca Naţională a Moldovei, dacă prezenta lege nu prevede altfel.</w:t>
            </w:r>
          </w:p>
          <w:p w14:paraId="48A26F05"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 xml:space="preserve">(2) Dispoziţiile prezentului capitol se aplică în mod corespunzător şi sucursalelor din Republica Moldova ale </w:t>
            </w:r>
            <w:r w:rsidRPr="009E686F">
              <w:rPr>
                <w:rFonts w:ascii="Times New Roman" w:hAnsi="Times New Roman" w:cs="Times New Roman"/>
                <w:i/>
                <w:lang w:val="ro-RO"/>
              </w:rPr>
              <w:t>instituțiilor de credit  din state terțe</w:t>
            </w:r>
            <w:r w:rsidRPr="009E686F">
              <w:rPr>
                <w:rFonts w:ascii="Times New Roman" w:hAnsi="Times New Roman" w:cs="Times New Roman"/>
                <w:lang w:val="ro-RO"/>
              </w:rPr>
              <w:t>.</w:t>
            </w:r>
          </w:p>
          <w:p w14:paraId="1A89E098"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 xml:space="preserve">(3) Actele cu privire la o </w:t>
            </w:r>
            <w:r w:rsidRPr="009E686F">
              <w:rPr>
                <w:rFonts w:ascii="Times New Roman" w:hAnsi="Times New Roman" w:cs="Times New Roman"/>
                <w:i/>
                <w:lang w:val="ro-RO"/>
              </w:rPr>
              <w:t>instituție de credit</w:t>
            </w:r>
            <w:r w:rsidRPr="009E686F">
              <w:rPr>
                <w:rFonts w:ascii="Times New Roman" w:hAnsi="Times New Roman" w:cs="Times New Roman"/>
                <w:lang w:val="ro-RO"/>
              </w:rPr>
              <w:t xml:space="preserve">  prin care sînt dispuse măsuri sau sînt aplicate sancţiuni şi măsuri sancţionatoare potrivit prezentului capitol se emit de către Comitetul executiv al Băncii Naţionale a Moldovei. Sancţiunile şi măsurile sancţionatoare prevăzute la art.141 alin.(1) lit.a) şi b) şi alin.(2) lit.a) pot fi aplicate de către guvernatorul, prim-viceguvernatorul sau viceguvernatorii Băncii Naţionale a Moldovei.</w:t>
            </w:r>
          </w:p>
          <w:p w14:paraId="3679EF87" w14:textId="77777777" w:rsidR="002F47A0" w:rsidRPr="009E686F" w:rsidRDefault="002F47A0" w:rsidP="002F47A0">
            <w:pPr>
              <w:spacing w:after="0"/>
              <w:jc w:val="both"/>
              <w:rPr>
                <w:rFonts w:ascii="Times New Roman" w:hAnsi="Times New Roman" w:cs="Times New Roman"/>
                <w:lang w:val="it-CH"/>
              </w:rPr>
            </w:pPr>
            <w:r w:rsidRPr="009E686F">
              <w:rPr>
                <w:rFonts w:ascii="Times New Roman" w:hAnsi="Times New Roman" w:cs="Times New Roman"/>
                <w:lang w:val="it-CH"/>
              </w:rPr>
              <w:t>(4) În sensul prezentului capitol, se aplică, în mod corespunzător, prevederile art.75</w:t>
            </w:r>
            <w:r w:rsidRPr="009E686F">
              <w:rPr>
                <w:rFonts w:ascii="Times New Roman" w:hAnsi="Times New Roman" w:cs="Times New Roman"/>
                <w:vertAlign w:val="superscript"/>
                <w:lang w:val="it-CH"/>
              </w:rPr>
              <w:t>1</w:t>
            </w:r>
            <w:r w:rsidRPr="009E686F">
              <w:rPr>
                <w:rFonts w:ascii="Times New Roman" w:hAnsi="Times New Roman" w:cs="Times New Roman"/>
                <w:lang w:val="it-CH"/>
              </w:rPr>
              <w:t xml:space="preserve"> din Legea nr.548/1995 cu privire la Banca Naţională a Moldovei.</w:t>
            </w:r>
          </w:p>
          <w:p w14:paraId="1D2EB879" w14:textId="7EE6CC61" w:rsidR="002F47A0" w:rsidRPr="009E686F" w:rsidRDefault="002F47A0" w:rsidP="002F47A0">
            <w:pPr>
              <w:spacing w:after="0"/>
              <w:jc w:val="both"/>
              <w:rPr>
                <w:rFonts w:ascii="Times New Roman" w:hAnsi="Times New Roman" w:cs="Times New Roman"/>
                <w:b/>
                <w:bCs/>
                <w:lang w:val="ro-RO"/>
              </w:rPr>
            </w:pPr>
            <w:r w:rsidRPr="009E686F">
              <w:rPr>
                <w:rFonts w:ascii="Times New Roman" w:hAnsi="Times New Roman" w:cs="Times New Roman"/>
                <w:lang w:val="it-CH"/>
              </w:rPr>
              <w:lastRenderedPageBreak/>
              <w:t xml:space="preserve">(5) Prevederile art.144 alin.(6) şi ale art.146 alin.(3) din Codul administrativ nr.116/2018 nu se aplică în cazul retragerii </w:t>
            </w:r>
            <w:r w:rsidRPr="009E686F">
              <w:rPr>
                <w:rFonts w:ascii="Times New Roman" w:hAnsi="Times New Roman" w:cs="Times New Roman"/>
                <w:i/>
                <w:iCs/>
                <w:lang w:val="it-CH"/>
              </w:rPr>
              <w:t>autorizației</w:t>
            </w:r>
            <w:r w:rsidRPr="009E686F">
              <w:rPr>
                <w:rFonts w:ascii="Times New Roman" w:hAnsi="Times New Roman" w:cs="Times New Roman"/>
                <w:lang w:val="it-CH"/>
              </w:rPr>
              <w:t xml:space="preserve"> </w:t>
            </w:r>
            <w:r w:rsidRPr="009E686F">
              <w:rPr>
                <w:rFonts w:ascii="Times New Roman" w:hAnsi="Times New Roman" w:cs="Times New Roman"/>
                <w:i/>
                <w:iCs/>
                <w:lang w:val="it-CH"/>
              </w:rPr>
              <w:t>instituției de credit</w:t>
            </w:r>
            <w:r w:rsidRPr="009E686F">
              <w:rPr>
                <w:rFonts w:ascii="Times New Roman" w:hAnsi="Times New Roman" w:cs="Times New Roman"/>
                <w:lang w:val="it-CH"/>
              </w:rPr>
              <w:t>.</w:t>
            </w:r>
          </w:p>
        </w:tc>
        <w:tc>
          <w:tcPr>
            <w:tcW w:w="470" w:type="pct"/>
            <w:tcBorders>
              <w:top w:val="single" w:sz="4" w:space="0" w:color="auto"/>
              <w:left w:val="single" w:sz="4" w:space="0" w:color="auto"/>
              <w:bottom w:val="single" w:sz="4" w:space="0" w:color="auto"/>
              <w:right w:val="single" w:sz="4" w:space="0" w:color="auto"/>
            </w:tcBorders>
          </w:tcPr>
          <w:p w14:paraId="2467C69C" w14:textId="773BAA3C"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3C3B218B" w14:textId="16B71CDE"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Norme cu specific  național din Legea nr. 202/2017 care descriu mecanismul prin care BNM constată încălcările și adoptă măsurile sancționatoare și aplică sancțiunile prevăzute de lege.</w:t>
            </w:r>
          </w:p>
        </w:tc>
      </w:tr>
      <w:tr w:rsidR="002F47A0" w:rsidRPr="009E686F" w14:paraId="1E55D997" w14:textId="77777777" w:rsidTr="0069517B">
        <w:tc>
          <w:tcPr>
            <w:tcW w:w="1796" w:type="pct"/>
            <w:gridSpan w:val="2"/>
            <w:vMerge/>
            <w:tcBorders>
              <w:left w:val="single" w:sz="4" w:space="0" w:color="auto"/>
              <w:bottom w:val="single" w:sz="4" w:space="0" w:color="auto"/>
              <w:right w:val="single" w:sz="4" w:space="0" w:color="auto"/>
            </w:tcBorders>
          </w:tcPr>
          <w:p w14:paraId="25DF9878" w14:textId="77777777" w:rsidR="002F47A0" w:rsidRPr="009E686F" w:rsidRDefault="002F47A0" w:rsidP="002F47A0">
            <w:pPr>
              <w:spacing w:after="0"/>
              <w:jc w:val="both"/>
              <w:rPr>
                <w:rFonts w:ascii="Times New Roman" w:hAnsi="Times New Roman" w:cs="Times New Roman"/>
                <w:lang w:val="ro-RO"/>
              </w:rPr>
            </w:pPr>
          </w:p>
        </w:tc>
        <w:tc>
          <w:tcPr>
            <w:tcW w:w="1928" w:type="pct"/>
            <w:gridSpan w:val="3"/>
            <w:tcBorders>
              <w:top w:val="single" w:sz="4" w:space="0" w:color="auto"/>
              <w:left w:val="single" w:sz="4" w:space="0" w:color="auto"/>
              <w:bottom w:val="single" w:sz="4" w:space="0" w:color="auto"/>
              <w:right w:val="single" w:sz="4" w:space="0" w:color="auto"/>
            </w:tcBorders>
          </w:tcPr>
          <w:p w14:paraId="53A4CB6D"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b/>
                <w:lang w:val="ro-RO"/>
              </w:rPr>
              <w:t>Articolul 144.</w:t>
            </w:r>
            <w:r w:rsidRPr="009E686F">
              <w:rPr>
                <w:rFonts w:ascii="Times New Roman" w:hAnsi="Times New Roman" w:cs="Times New Roman"/>
                <w:lang w:val="ro-RO"/>
              </w:rPr>
              <w:t xml:space="preserve"> Contestarea actelor Băncii Naţionale a Moldovei</w:t>
            </w:r>
          </w:p>
          <w:p w14:paraId="741D05F6" w14:textId="12E405E3"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(1) Actele Băncii Naţionale a Moldovei prin care sînt dispuse măsuri sau sînt aplicate sancţiuni ori măsuri sancţionatoare potrivit prezentei legi pot fi atacate în instanţa de contencios administrativ competentă, cu respectarea prezentului articol şi a art.11 şi 11</w:t>
            </w:r>
            <w:r w:rsidRPr="009E686F">
              <w:rPr>
                <w:rFonts w:ascii="Times New Roman" w:hAnsi="Times New Roman" w:cs="Times New Roman"/>
                <w:vertAlign w:val="superscript"/>
                <w:lang w:val="ro-RO"/>
              </w:rPr>
              <w:t>1</w:t>
            </w:r>
            <w:r w:rsidRPr="009E686F">
              <w:rPr>
                <w:rFonts w:ascii="Times New Roman" w:hAnsi="Times New Roman" w:cs="Times New Roman"/>
                <w:lang w:val="ro-RO"/>
              </w:rPr>
              <w:t xml:space="preserve"> din Legea nr.548/1995 cu privire la Banca Naţională a Moldovei.</w:t>
            </w:r>
          </w:p>
          <w:p w14:paraId="187AA7C1" w14:textId="5846502A"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 xml:space="preserve">(2) Prin derogare de la prevederile legislaţiei cu privire la contenciosul administrativ, în cazul retragerii </w:t>
            </w:r>
            <w:r w:rsidRPr="009E686F">
              <w:rPr>
                <w:rFonts w:ascii="Times New Roman" w:hAnsi="Times New Roman" w:cs="Times New Roman"/>
                <w:i/>
                <w:lang w:val="ro-RO"/>
              </w:rPr>
              <w:t>autorizației</w:t>
            </w:r>
            <w:r w:rsidRPr="009E686F">
              <w:rPr>
                <w:rFonts w:ascii="Times New Roman" w:hAnsi="Times New Roman" w:cs="Times New Roman"/>
                <w:lang w:val="ro-RO"/>
              </w:rPr>
              <w:t xml:space="preserve"> potrivit art.22 alin.(2), numai acţionarii </w:t>
            </w:r>
            <w:r w:rsidRPr="009E686F">
              <w:rPr>
                <w:rFonts w:ascii="Times New Roman" w:hAnsi="Times New Roman" w:cs="Times New Roman"/>
                <w:i/>
                <w:lang w:val="ro-RO"/>
              </w:rPr>
              <w:t>instituției de credit</w:t>
            </w:r>
            <w:r w:rsidRPr="009E686F">
              <w:rPr>
                <w:rFonts w:ascii="Times New Roman" w:hAnsi="Times New Roman" w:cs="Times New Roman"/>
                <w:lang w:val="ro-RO"/>
              </w:rPr>
              <w:t xml:space="preserve"> care deţin în total cel puţin 25 la sută din acţiunile cu drept de vot, deponenţii care deţin cel puţin 1/4 din suma depozitelor sau alţi creditori care deţin cel puţin 1/4 din valoarea totală a creanţelor, cu excepţia depozitelor, pot ataca în instanţa de judecată competentă decizia Băncii Naţionale a Moldovei, în decursul a 30 de zile de la data retragerii </w:t>
            </w:r>
            <w:r w:rsidRPr="009E686F">
              <w:rPr>
                <w:rFonts w:ascii="Times New Roman" w:hAnsi="Times New Roman" w:cs="Times New Roman"/>
                <w:i/>
                <w:lang w:val="ro-RO"/>
              </w:rPr>
              <w:t>autorizației,</w:t>
            </w:r>
            <w:r w:rsidRPr="009E686F">
              <w:rPr>
                <w:rFonts w:ascii="Times New Roman" w:hAnsi="Times New Roman" w:cs="Times New Roman"/>
                <w:lang w:val="ro-RO"/>
              </w:rPr>
              <w:t xml:space="preserve"> indicînd motive argumentate care să probeze că </w:t>
            </w:r>
            <w:r w:rsidRPr="009E686F">
              <w:rPr>
                <w:rFonts w:ascii="Times New Roman" w:hAnsi="Times New Roman" w:cs="Times New Roman"/>
                <w:i/>
                <w:lang w:val="ro-RO"/>
              </w:rPr>
              <w:t>instituția de credit</w:t>
            </w:r>
            <w:r w:rsidRPr="009E686F">
              <w:rPr>
                <w:rFonts w:ascii="Times New Roman" w:hAnsi="Times New Roman" w:cs="Times New Roman"/>
                <w:lang w:val="ro-RO"/>
              </w:rPr>
              <w:t xml:space="preserve"> nu se află în vreuna din situaţiile prevăzute la art.22 alin.(2) pentru care s-a decis retragerea </w:t>
            </w:r>
            <w:r w:rsidRPr="009E686F">
              <w:rPr>
                <w:rFonts w:ascii="Times New Roman" w:hAnsi="Times New Roman" w:cs="Times New Roman"/>
                <w:i/>
                <w:lang w:val="ro-RO"/>
              </w:rPr>
              <w:t>autorizației</w:t>
            </w:r>
            <w:r w:rsidRPr="009E686F">
              <w:rPr>
                <w:rFonts w:ascii="Times New Roman" w:hAnsi="Times New Roman" w:cs="Times New Roman"/>
                <w:lang w:val="ro-RO"/>
              </w:rPr>
              <w:t>.</w:t>
            </w:r>
          </w:p>
          <w:p w14:paraId="3482547B"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(3) Banca Naţională a Moldovei este singura autoritate în măsură să se pronunţe asupra considerentelor de oportunitate, a evaluărilor şi analizelor calitative care stau la baza emiterii actelor sale privind aplicarea sancţiunilor, măsurilor sancţionatoare şi a altor măsuri.</w:t>
            </w:r>
          </w:p>
          <w:p w14:paraId="06EFC376"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(4) Măsurile şi sancţiunile aplicate de Banca Naţională a Moldovei pot fi atacate în instanţa de judecată competentă. În procesul de judecată intentat Băncii Naţionale a Moldovei în legătură cu aplicarea prevederilor prezentei legi se vor respecta următoarele condiţii:</w:t>
            </w:r>
          </w:p>
          <w:p w14:paraId="372A3200" w14:textId="1AD738F9"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lastRenderedPageBreak/>
              <w:t xml:space="preserve">a) în cazul în care instanţa de judecată recunoaşte că acţiunile Băncii Naţionale a Moldovei faţă de </w:t>
            </w:r>
            <w:r w:rsidRPr="009E686F">
              <w:rPr>
                <w:rFonts w:ascii="Times New Roman" w:hAnsi="Times New Roman" w:cs="Times New Roman"/>
                <w:i/>
                <w:lang w:val="ro-RO"/>
              </w:rPr>
              <w:t>instituția de credit</w:t>
            </w:r>
            <w:r w:rsidRPr="009E686F">
              <w:rPr>
                <w:rFonts w:ascii="Times New Roman" w:hAnsi="Times New Roman" w:cs="Times New Roman"/>
                <w:lang w:val="ro-RO"/>
              </w:rPr>
              <w:t xml:space="preserve"> şi/sau persoane/acţionari sînt ilegale, Banca Naţională a Moldovei va repara prejudiciile materiale, menţinîndu-se toate efectele produse în baza actului anulat al Băncii Naţionale a Moldovei, care a fost emis în vederea punerii în aplicare a art.45, 46 şi 52, şi a oricărui act şi a oricărei operaţiuni subsecvente de punere în aplicare a acestui act anulat, inclusiv retragerea </w:t>
            </w:r>
            <w:r w:rsidRPr="009E686F">
              <w:rPr>
                <w:rFonts w:ascii="Times New Roman" w:hAnsi="Times New Roman" w:cs="Times New Roman"/>
                <w:i/>
                <w:lang w:val="ro-RO"/>
              </w:rPr>
              <w:t>autorizației</w:t>
            </w:r>
            <w:r w:rsidRPr="009E686F">
              <w:rPr>
                <w:rFonts w:ascii="Times New Roman" w:hAnsi="Times New Roman" w:cs="Times New Roman"/>
                <w:lang w:val="ro-RO"/>
              </w:rPr>
              <w:t xml:space="preserve"> rămînînd în vigoare;</w:t>
            </w:r>
          </w:p>
          <w:p w14:paraId="68CD0350" w14:textId="77777777" w:rsidR="002F47A0" w:rsidRPr="009E686F" w:rsidRDefault="002F47A0" w:rsidP="002F47A0">
            <w:pPr>
              <w:spacing w:after="0"/>
              <w:jc w:val="both"/>
              <w:rPr>
                <w:rFonts w:ascii="Times New Roman" w:hAnsi="Times New Roman" w:cs="Times New Roman"/>
                <w:lang w:val="pt-BR"/>
              </w:rPr>
            </w:pPr>
            <w:r w:rsidRPr="009E686F">
              <w:rPr>
                <w:rFonts w:ascii="Times New Roman" w:hAnsi="Times New Roman" w:cs="Times New Roman"/>
                <w:lang w:val="pt-BR"/>
              </w:rPr>
              <w:t>b) contestarea sau acţiunea în justiţie nu va influenţa asupra procesului de lichidare şi nu va suspenda executarea actelor impuse de Banca Naţională a Moldovei;</w:t>
            </w:r>
          </w:p>
          <w:p w14:paraId="1C0501AF" w14:textId="77777777" w:rsidR="002F47A0" w:rsidRPr="009E686F" w:rsidRDefault="002F47A0" w:rsidP="002F47A0">
            <w:pPr>
              <w:spacing w:after="0"/>
              <w:jc w:val="both"/>
              <w:rPr>
                <w:rFonts w:ascii="Times New Roman" w:hAnsi="Times New Roman" w:cs="Times New Roman"/>
                <w:lang w:val="pt-BR"/>
              </w:rPr>
            </w:pPr>
            <w:r w:rsidRPr="009E686F">
              <w:rPr>
                <w:rFonts w:ascii="Times New Roman" w:hAnsi="Times New Roman" w:cs="Times New Roman"/>
                <w:lang w:val="pt-BR"/>
              </w:rPr>
              <w:t>c) instanţa de judecată constată legalitatea acţiunilor întreprinse în scopul executării prezentei legi şi decide numai asupra faptului dacă au fost făcute cu sau fără intenţie;</w:t>
            </w:r>
          </w:p>
          <w:p w14:paraId="0DE90891" w14:textId="764750D6" w:rsidR="002F47A0" w:rsidRPr="009E686F" w:rsidRDefault="002F47A0" w:rsidP="002F47A0">
            <w:pPr>
              <w:spacing w:after="0"/>
              <w:jc w:val="both"/>
              <w:rPr>
                <w:rFonts w:ascii="Times New Roman" w:hAnsi="Times New Roman" w:cs="Times New Roman"/>
                <w:lang w:val="pt-BR"/>
              </w:rPr>
            </w:pPr>
            <w:r w:rsidRPr="009E686F">
              <w:rPr>
                <w:rFonts w:ascii="Times New Roman" w:hAnsi="Times New Roman" w:cs="Times New Roman"/>
                <w:lang w:val="pt-BR"/>
              </w:rPr>
              <w:t xml:space="preserve">d) </w:t>
            </w:r>
            <w:r w:rsidRPr="009E686F">
              <w:rPr>
                <w:rFonts w:ascii="Times New Roman" w:hAnsi="Times New Roman" w:cs="Times New Roman"/>
                <w:i/>
                <w:lang w:val="pt-BR"/>
              </w:rPr>
              <w:t>salariații</w:t>
            </w:r>
            <w:r w:rsidRPr="009E686F">
              <w:rPr>
                <w:rFonts w:ascii="Times New Roman" w:hAnsi="Times New Roman" w:cs="Times New Roman"/>
                <w:lang w:val="pt-BR"/>
              </w:rPr>
              <w:t xml:space="preserve"> Băncii Naţionale a Moldovei, membrii Consiliului de supraveghere sau ai Comitetului executiv al Băncii Naţionale a Moldovei, administratorul special, lichidatorul şi persoanele </w:t>
            </w:r>
            <w:r w:rsidR="000613E1" w:rsidRPr="009E686F">
              <w:rPr>
                <w:rFonts w:ascii="Times New Roman" w:hAnsi="Times New Roman" w:cs="Times New Roman"/>
                <w:iCs/>
                <w:lang w:val="pt-BR"/>
              </w:rPr>
              <w:t>angajate</w:t>
            </w:r>
            <w:r w:rsidR="000613E1" w:rsidRPr="009E686F">
              <w:rPr>
                <w:rFonts w:ascii="Times New Roman" w:hAnsi="Times New Roman" w:cs="Times New Roman"/>
                <w:i/>
                <w:lang w:val="pt-BR"/>
              </w:rPr>
              <w:t xml:space="preserve"> </w:t>
            </w:r>
            <w:r w:rsidRPr="009E686F">
              <w:rPr>
                <w:rFonts w:ascii="Times New Roman" w:hAnsi="Times New Roman" w:cs="Times New Roman"/>
                <w:lang w:val="pt-BR"/>
              </w:rPr>
              <w:t>pentru acordarea asistenţei acestora nu răspund pentru prejudiciile, acţiunile sau omisiunile care au avut loc în exercitarea atribuţiilor lor, decît conform art.35 din Legea nr.548/1995 cu privire la Banca Naţională a Moldovei.</w:t>
            </w:r>
          </w:p>
        </w:tc>
        <w:tc>
          <w:tcPr>
            <w:tcW w:w="470" w:type="pct"/>
            <w:tcBorders>
              <w:top w:val="single" w:sz="4" w:space="0" w:color="auto"/>
              <w:left w:val="single" w:sz="4" w:space="0" w:color="auto"/>
              <w:bottom w:val="single" w:sz="4" w:space="0" w:color="auto"/>
              <w:right w:val="single" w:sz="4" w:space="0" w:color="auto"/>
            </w:tcBorders>
          </w:tcPr>
          <w:p w14:paraId="3FFA5567" w14:textId="7314367E"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01AB2923" w14:textId="75DBA5C8"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Norme procedurale cu specific național din Legea nr. 202/2017 pentru asigurarea aplicării măsurilor sancționatoare și sancțiunilor prevăzute de lege.</w:t>
            </w:r>
          </w:p>
        </w:tc>
      </w:tr>
      <w:tr w:rsidR="002F47A0" w:rsidRPr="009E686F" w14:paraId="6DD75FDC" w14:textId="77777777" w:rsidTr="0069517B">
        <w:tc>
          <w:tcPr>
            <w:tcW w:w="1796" w:type="pct"/>
            <w:gridSpan w:val="2"/>
            <w:vMerge/>
            <w:tcBorders>
              <w:left w:val="single" w:sz="4" w:space="0" w:color="auto"/>
              <w:bottom w:val="single" w:sz="4" w:space="0" w:color="auto"/>
              <w:right w:val="single" w:sz="4" w:space="0" w:color="auto"/>
            </w:tcBorders>
          </w:tcPr>
          <w:p w14:paraId="229D6AF2" w14:textId="77777777" w:rsidR="002F47A0" w:rsidRPr="009E686F" w:rsidRDefault="002F47A0" w:rsidP="002F47A0">
            <w:pPr>
              <w:spacing w:after="0"/>
              <w:jc w:val="both"/>
              <w:rPr>
                <w:rFonts w:ascii="Times New Roman" w:hAnsi="Times New Roman" w:cs="Times New Roman"/>
                <w:lang w:val="ro-RO"/>
              </w:rPr>
            </w:pPr>
          </w:p>
        </w:tc>
        <w:tc>
          <w:tcPr>
            <w:tcW w:w="1928" w:type="pct"/>
            <w:gridSpan w:val="3"/>
            <w:tcBorders>
              <w:top w:val="single" w:sz="4" w:space="0" w:color="auto"/>
              <w:left w:val="single" w:sz="4" w:space="0" w:color="auto"/>
              <w:bottom w:val="single" w:sz="4" w:space="0" w:color="auto"/>
              <w:right w:val="single" w:sz="4" w:space="0" w:color="auto"/>
            </w:tcBorders>
          </w:tcPr>
          <w:p w14:paraId="2FE96643" w14:textId="77777777" w:rsidR="002F47A0" w:rsidRPr="009E686F" w:rsidRDefault="002F47A0" w:rsidP="002F47A0">
            <w:pPr>
              <w:spacing w:after="0"/>
              <w:jc w:val="both"/>
              <w:rPr>
                <w:rFonts w:ascii="Times New Roman" w:hAnsi="Times New Roman" w:cs="Times New Roman"/>
                <w:b/>
                <w:bCs/>
                <w:i/>
                <w:iCs/>
                <w:lang w:val="ro-RO"/>
              </w:rPr>
            </w:pPr>
            <w:r w:rsidRPr="009E686F">
              <w:rPr>
                <w:rFonts w:ascii="Times New Roman" w:hAnsi="Times New Roman" w:cs="Times New Roman"/>
                <w:b/>
                <w:bCs/>
                <w:i/>
                <w:iCs/>
                <w:lang w:val="ro-RO"/>
              </w:rPr>
              <w:t>Art. 43</w:t>
            </w:r>
            <w:r w:rsidRPr="009E686F">
              <w:rPr>
                <w:rFonts w:ascii="Times New Roman" w:hAnsi="Times New Roman" w:cs="Times New Roman"/>
                <w:b/>
                <w:bCs/>
                <w:i/>
                <w:iCs/>
                <w:vertAlign w:val="superscript"/>
                <w:lang w:val="ro-RO"/>
              </w:rPr>
              <w:t>1</w:t>
            </w:r>
            <w:r w:rsidRPr="009E686F">
              <w:rPr>
                <w:rFonts w:ascii="Times New Roman" w:hAnsi="Times New Roman" w:cs="Times New Roman"/>
                <w:b/>
                <w:bCs/>
                <w:i/>
                <w:iCs/>
                <w:lang w:val="ro-RO"/>
              </w:rPr>
              <w:t xml:space="preserve"> alin. (16)</w:t>
            </w:r>
          </w:p>
          <w:p w14:paraId="0C1C872E" w14:textId="36FEA889" w:rsidR="002F47A0" w:rsidRPr="009E686F" w:rsidRDefault="002F47A0" w:rsidP="002F47A0">
            <w:pPr>
              <w:spacing w:after="0"/>
              <w:jc w:val="both"/>
              <w:rPr>
                <w:rFonts w:ascii="Times New Roman" w:eastAsia="Aptos" w:hAnsi="Times New Roman" w:cs="Times New Roman"/>
                <w:i/>
                <w:iCs/>
                <w:kern w:val="2"/>
                <w:lang w:val="ro-RO"/>
              </w:rPr>
            </w:pPr>
            <w:r w:rsidRPr="009E686F">
              <w:rPr>
                <w:rFonts w:ascii="Times New Roman" w:hAnsi="Times New Roman" w:cs="Times New Roman"/>
                <w:i/>
                <w:iCs/>
                <w:lang w:val="ro-RO"/>
              </w:rPr>
              <w:t xml:space="preserve"> (16) Entitatea trebuie să includă în contractele individuale de muncă încheiate cu membrii organului executiv sau cu persoanele care reprezintă </w:t>
            </w:r>
            <w:r w:rsidRPr="009E686F">
              <w:rPr>
                <w:rFonts w:ascii="Times New Roman" w:eastAsia="Times New Roman" w:hAnsi="Times New Roman" w:cs="Times New Roman"/>
                <w:i/>
                <w:iCs/>
                <w:lang w:val="ro-RO" w:eastAsia="ro-MD"/>
              </w:rPr>
              <w:t>conducerea superioară</w:t>
            </w:r>
            <w:r w:rsidRPr="009E686F">
              <w:rPr>
                <w:rFonts w:ascii="Times New Roman" w:hAnsi="Times New Roman" w:cs="Times New Roman"/>
                <w:i/>
                <w:iCs/>
                <w:lang w:val="ro-RO"/>
              </w:rPr>
              <w:t xml:space="preserve"> clauze care să asigure posibilitatea respectării de către entitate a </w:t>
            </w:r>
            <w:r w:rsidR="00D21482" w:rsidRPr="009E686F">
              <w:rPr>
                <w:rFonts w:ascii="Times New Roman" w:hAnsi="Times New Roman" w:cs="Times New Roman"/>
                <w:i/>
                <w:iCs/>
                <w:lang w:val="ro-RO"/>
              </w:rPr>
              <w:t>măsurilor, sancţiunilor, penalităților cu titlu cominatoriu şi măsurilor sancţionatorii</w:t>
            </w:r>
            <w:r w:rsidRPr="009E686F">
              <w:rPr>
                <w:rFonts w:ascii="Times New Roman" w:hAnsi="Times New Roman" w:cs="Times New Roman"/>
                <w:i/>
                <w:iCs/>
                <w:lang w:val="ro-RO"/>
              </w:rPr>
              <w:t xml:space="preserve"> prevăzute la art.139 şi 141, inclusiv fără </w:t>
            </w:r>
            <w:r w:rsidR="004D2081" w:rsidRPr="009E686F">
              <w:rPr>
                <w:rFonts w:ascii="Times New Roman" w:hAnsi="Times New Roman" w:cs="Times New Roman"/>
                <w:i/>
                <w:iCs/>
                <w:lang w:val="ro-RO"/>
              </w:rPr>
              <w:t xml:space="preserve">asigurarea plății </w:t>
            </w:r>
            <w:r w:rsidRPr="009E686F">
              <w:rPr>
                <w:rFonts w:ascii="Times New Roman" w:hAnsi="Times New Roman" w:cs="Times New Roman"/>
                <w:i/>
                <w:iCs/>
                <w:lang w:val="ro-RO"/>
              </w:rPr>
              <w:t>salariului suplimentar şi altor plăţi de stimulare şi compensare în astfel de cazuri</w:t>
            </w:r>
            <w:r w:rsidR="004D2081" w:rsidRPr="009E686F">
              <w:rPr>
                <w:rFonts w:ascii="Times New Roman" w:hAnsi="Times New Roman" w:cs="Times New Roman"/>
                <w:i/>
                <w:iCs/>
                <w:lang w:val="ro-RO"/>
              </w:rPr>
              <w:t xml:space="preserve"> respectivelor persoane</w:t>
            </w:r>
            <w:r w:rsidRPr="009E686F">
              <w:rPr>
                <w:rFonts w:ascii="Times New Roman" w:hAnsi="Times New Roman" w:cs="Times New Roman"/>
                <w:i/>
                <w:iCs/>
                <w:lang w:val="ro-RO"/>
              </w:rPr>
              <w:t>.</w:t>
            </w:r>
          </w:p>
        </w:tc>
        <w:tc>
          <w:tcPr>
            <w:tcW w:w="470" w:type="pct"/>
            <w:tcBorders>
              <w:top w:val="single" w:sz="4" w:space="0" w:color="auto"/>
              <w:left w:val="single" w:sz="4" w:space="0" w:color="auto"/>
              <w:bottom w:val="single" w:sz="4" w:space="0" w:color="auto"/>
              <w:right w:val="single" w:sz="4" w:space="0" w:color="auto"/>
            </w:tcBorders>
          </w:tcPr>
          <w:p w14:paraId="3D7AAB34" w14:textId="37A8B9E6"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2606CC46" w14:textId="152CB3DF"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Norme cu specific național de implementare a competențelor de sancționare a BNM în calitate de autoritate de supraveghere.</w:t>
            </w:r>
          </w:p>
        </w:tc>
      </w:tr>
      <w:tr w:rsidR="002F47A0" w:rsidRPr="009E686F" w14:paraId="5D8AF8CB" w14:textId="7F56DB53" w:rsidTr="00774F3E">
        <w:tc>
          <w:tcPr>
            <w:tcW w:w="1796" w:type="pct"/>
            <w:gridSpan w:val="2"/>
            <w:tcBorders>
              <w:top w:val="single" w:sz="4" w:space="0" w:color="auto"/>
              <w:left w:val="single" w:sz="4" w:space="0" w:color="auto"/>
              <w:bottom w:val="single" w:sz="4" w:space="0" w:color="auto"/>
              <w:right w:val="single" w:sz="4" w:space="0" w:color="auto"/>
            </w:tcBorders>
          </w:tcPr>
          <w:p w14:paraId="2694611B"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lastRenderedPageBreak/>
              <w:t>(2) Statele membre se asigură că, în cazul în care obligațiile menționate la alineatul (1) de la prezentul articol se aplică instituțiilor, societăților financiare holding și societăților financiare holding mixte, autoritățile competente pot aplica, în eventualitatea unei încălcări a dispozițiilor naționale de transpunere a prezentei directive, a Regulamentului (UE) nr. 575/2013 sau a deciziilor emise de o autoritate competentă pe baza dispozițiilor respective sau a regulamentului menționat, sancțiuni administrative, penalități cu titlu cominatoriu și alte măsuri administrative, membrilor organului de conducere, conducerii superioare, persoanelor care dețin funcții-cheie, altor membri ai personalului ale căror activități profesionale au un impact semnificativ asupra profilului de risc al instituției, astfel cum se menționează la articolul 92 alineatul (3) din prezenta directivă, precum și altor persoane fizice, cu condiția ca aceste persoane și acești membri să fie responsabile (responsabili) de încălcare în temeiul dreptului intern.</w:t>
            </w:r>
          </w:p>
          <w:p w14:paraId="65F01D0C" w14:textId="065AB225" w:rsidR="002F47A0" w:rsidRPr="009E686F" w:rsidRDefault="002F47A0" w:rsidP="002F47A0">
            <w:pPr>
              <w:spacing w:after="0"/>
              <w:jc w:val="both"/>
              <w:rPr>
                <w:rFonts w:ascii="Times New Roman" w:hAnsi="Times New Roman" w:cs="Times New Roman"/>
                <w:lang w:val="ro-RO"/>
              </w:rPr>
            </w:pPr>
          </w:p>
        </w:tc>
        <w:tc>
          <w:tcPr>
            <w:tcW w:w="1928" w:type="pct"/>
            <w:gridSpan w:val="3"/>
            <w:tcBorders>
              <w:top w:val="single" w:sz="4" w:space="0" w:color="auto"/>
              <w:left w:val="single" w:sz="4" w:space="0" w:color="auto"/>
              <w:bottom w:val="single" w:sz="4" w:space="0" w:color="auto"/>
              <w:right w:val="single" w:sz="4" w:space="0" w:color="auto"/>
            </w:tcBorders>
          </w:tcPr>
          <w:p w14:paraId="3DACAE5A" w14:textId="07517B0E" w:rsidR="002F47A0" w:rsidRPr="009E686F" w:rsidRDefault="002F47A0" w:rsidP="002F47A0">
            <w:pPr>
              <w:spacing w:after="0" w:line="240" w:lineRule="auto"/>
              <w:jc w:val="both"/>
              <w:rPr>
                <w:rFonts w:ascii="Times New Roman" w:hAnsi="Times New Roman" w:cs="Times New Roman"/>
                <w:b/>
                <w:bCs/>
                <w:lang w:val="ro-RO"/>
              </w:rPr>
            </w:pPr>
            <w:r w:rsidRPr="009E686F">
              <w:rPr>
                <w:rFonts w:ascii="Times New Roman" w:hAnsi="Times New Roman" w:cs="Times New Roman"/>
                <w:b/>
                <w:bCs/>
                <w:lang w:val="ro-RO"/>
              </w:rPr>
              <w:t>Articolul 124 alin. (1)</w:t>
            </w:r>
          </w:p>
          <w:p w14:paraId="0E39C65B" w14:textId="5B53B88A" w:rsidR="002F47A0" w:rsidRPr="009E686F" w:rsidRDefault="002F47A0" w:rsidP="002F47A0">
            <w:pPr>
              <w:spacing w:after="0" w:line="240" w:lineRule="auto"/>
              <w:jc w:val="both"/>
              <w:rPr>
                <w:rFonts w:ascii="Times New Roman" w:hAnsi="Times New Roman" w:cs="Times New Roman"/>
                <w:lang w:val="ro-RO"/>
              </w:rPr>
            </w:pPr>
            <w:r w:rsidRPr="009E686F">
              <w:rPr>
                <w:rFonts w:ascii="Times New Roman" w:hAnsi="Times New Roman" w:cs="Times New Roman"/>
                <w:lang w:val="ro-RO"/>
              </w:rPr>
              <w:t>(1) În cazul în care o societate financiară holding, o societate financiară holding mixtă, o societate holding cu activitate mixtă sau membrii organelor de conducere ale acestora nu se conformează dispoziţiilor art. 138 – 147 şi ale actelor normative sau măsurilor adoptate în aplicarea prezentei legi, Banca Naţională a Moldovei, în calitate de autoritate competentă responsabilă cu supravegherea pe bază consolidată, poate dispune, în ceea ce priveşte respectiva societate, următoarele măsuri, prevăzute la lit. a)-c), sau sancţiuni, prevăzute la lit. d)-h): [...]</w:t>
            </w:r>
          </w:p>
          <w:p w14:paraId="5751037B" w14:textId="6669411F" w:rsidR="002F47A0" w:rsidRPr="009E686F" w:rsidRDefault="002F47A0" w:rsidP="002F47A0">
            <w:pPr>
              <w:spacing w:after="0" w:line="240" w:lineRule="auto"/>
              <w:jc w:val="both"/>
              <w:rPr>
                <w:rFonts w:ascii="Times New Roman" w:hAnsi="Times New Roman" w:cs="Times New Roman"/>
                <w:b/>
                <w:bCs/>
                <w:lang w:val="ro-RO"/>
              </w:rPr>
            </w:pPr>
            <w:r w:rsidRPr="009E686F">
              <w:rPr>
                <w:rFonts w:ascii="Times New Roman" w:hAnsi="Times New Roman" w:cs="Times New Roman"/>
                <w:b/>
                <w:bCs/>
                <w:lang w:val="ro-RO"/>
              </w:rPr>
              <w:t>Articolul 138 alin. (1)</w:t>
            </w:r>
          </w:p>
          <w:p w14:paraId="597B5C83" w14:textId="0238E2E5" w:rsidR="002F47A0" w:rsidRPr="009E686F" w:rsidRDefault="002F47A0" w:rsidP="002F47A0">
            <w:pPr>
              <w:spacing w:after="0" w:line="240" w:lineRule="auto"/>
              <w:jc w:val="both"/>
              <w:rPr>
                <w:rFonts w:ascii="Times New Roman" w:hAnsi="Times New Roman" w:cs="Times New Roman"/>
                <w:lang w:val="ro-RO"/>
              </w:rPr>
            </w:pPr>
            <w:r w:rsidRPr="009E686F">
              <w:rPr>
                <w:rFonts w:ascii="Times New Roman" w:eastAsia="Aptos" w:hAnsi="Times New Roman" w:cs="Times New Roman"/>
                <w:kern w:val="2"/>
                <w:lang w:val="ro-MD"/>
              </w:rPr>
              <w:t xml:space="preserve">(1) În exercitarea funcţiilor sale, Banca Naţională a Moldovei deţine competenţa să dispună, faţă de o </w:t>
            </w:r>
            <w:r w:rsidRPr="009E686F">
              <w:rPr>
                <w:rFonts w:ascii="Times New Roman" w:eastAsia="Aptos" w:hAnsi="Times New Roman" w:cs="Times New Roman"/>
                <w:i/>
                <w:iCs/>
                <w:kern w:val="2"/>
                <w:lang w:val="ro-MD"/>
              </w:rPr>
              <w:t>instituție de credit</w:t>
            </w:r>
            <w:r w:rsidRPr="009E686F">
              <w:rPr>
                <w:rFonts w:ascii="Times New Roman" w:eastAsia="Aptos" w:hAnsi="Times New Roman" w:cs="Times New Roman"/>
                <w:kern w:val="2"/>
                <w:lang w:val="ro-MD"/>
              </w:rPr>
              <w:t xml:space="preserve">, față de societățile financiare holding și față de societățile financiare holding mixte, faţă de acţionarii acesteia, faţă de membrii organului de conducere al </w:t>
            </w:r>
            <w:r w:rsidRPr="009E686F">
              <w:rPr>
                <w:rFonts w:ascii="Times New Roman" w:eastAsia="Aptos" w:hAnsi="Times New Roman" w:cs="Times New Roman"/>
                <w:i/>
                <w:iCs/>
                <w:kern w:val="2"/>
                <w:lang w:val="ro-MD"/>
              </w:rPr>
              <w:t>instituției de credit</w:t>
            </w:r>
            <w:r w:rsidRPr="009E686F">
              <w:rPr>
                <w:rFonts w:ascii="Times New Roman" w:eastAsia="Aptos" w:hAnsi="Times New Roman" w:cs="Times New Roman"/>
                <w:kern w:val="2"/>
                <w:lang w:val="ro-MD"/>
              </w:rPr>
              <w:t xml:space="preserve">, faţă de persoanele care deţin funcţii-cheie în cadrul </w:t>
            </w:r>
            <w:r w:rsidRPr="009E686F">
              <w:rPr>
                <w:rFonts w:ascii="Times New Roman" w:eastAsia="Aptos" w:hAnsi="Times New Roman" w:cs="Times New Roman"/>
                <w:i/>
                <w:iCs/>
                <w:kern w:val="2"/>
                <w:lang w:val="ro-MD"/>
              </w:rPr>
              <w:t>instituției de credit</w:t>
            </w:r>
            <w:r w:rsidRPr="009E686F">
              <w:rPr>
                <w:rFonts w:ascii="Times New Roman" w:eastAsia="Aptos" w:hAnsi="Times New Roman" w:cs="Times New Roman"/>
                <w:kern w:val="2"/>
                <w:lang w:val="ro-MD"/>
              </w:rPr>
              <w:t xml:space="preserve">, alți membri ai personalului ale căror activități profesionale au un impact semnificativ asupra profilului de risc al </w:t>
            </w:r>
            <w:r w:rsidRPr="009E686F">
              <w:rPr>
                <w:rFonts w:ascii="Times New Roman" w:eastAsia="Aptos" w:hAnsi="Times New Roman" w:cs="Times New Roman"/>
                <w:i/>
                <w:iCs/>
                <w:kern w:val="2"/>
                <w:lang w:val="ro-MD"/>
              </w:rPr>
              <w:t>instituției de credit</w:t>
            </w:r>
            <w:r w:rsidRPr="009E686F">
              <w:rPr>
                <w:rFonts w:ascii="Times New Roman" w:eastAsia="Aptos" w:hAnsi="Times New Roman" w:cs="Times New Roman"/>
                <w:kern w:val="2"/>
                <w:lang w:val="ro-MD"/>
              </w:rPr>
              <w:t>, precum și față de alte persoane fizice, care încalcă dispoziţiile prezentei legi, ale actelor normative sau ale altor acte emise în aplicarea acesteia, referitoare la supraveghere sau la condiţiile de desfăşurare a activităţii, măsuri potrivit prevederilor art. 22, art. 23</w:t>
            </w:r>
            <w:r w:rsidRPr="009E686F">
              <w:rPr>
                <w:rFonts w:ascii="Times New Roman" w:eastAsia="Aptos" w:hAnsi="Times New Roman" w:cs="Times New Roman"/>
                <w:kern w:val="2"/>
                <w:vertAlign w:val="superscript"/>
                <w:lang w:val="ro-MD"/>
              </w:rPr>
              <w:t>5</w:t>
            </w:r>
            <w:r w:rsidRPr="009E686F">
              <w:rPr>
                <w:rFonts w:ascii="Times New Roman" w:eastAsia="Aptos" w:hAnsi="Times New Roman" w:cs="Times New Roman"/>
                <w:kern w:val="2"/>
                <w:lang w:val="ro-MD"/>
              </w:rPr>
              <w:t>, art.139 şi/sau să aplice sancţiuni, penalități cu titlu cominatoriu şi măsuri sancţionatoare potrivit prevederilor art.141.</w:t>
            </w:r>
          </w:p>
        </w:tc>
        <w:tc>
          <w:tcPr>
            <w:tcW w:w="470" w:type="pct"/>
            <w:tcBorders>
              <w:top w:val="single" w:sz="4" w:space="0" w:color="auto"/>
              <w:left w:val="single" w:sz="4" w:space="0" w:color="auto"/>
              <w:bottom w:val="single" w:sz="4" w:space="0" w:color="auto"/>
              <w:right w:val="single" w:sz="4" w:space="0" w:color="auto"/>
            </w:tcBorders>
          </w:tcPr>
          <w:p w14:paraId="4071DE74" w14:textId="3C8CA08C"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p w14:paraId="6B6FDB3C" w14:textId="77777777" w:rsidR="002F47A0" w:rsidRPr="009E686F" w:rsidRDefault="002F47A0" w:rsidP="002F47A0">
            <w:pPr>
              <w:jc w:val="both"/>
              <w:rPr>
                <w:rFonts w:ascii="Times New Roman" w:hAnsi="Times New Roman" w:cs="Times New Roman"/>
                <w:lang w:val="ro-RO"/>
              </w:rPr>
            </w:pPr>
          </w:p>
          <w:p w14:paraId="3D3A777F" w14:textId="77777777" w:rsidR="002F47A0" w:rsidRPr="009E686F" w:rsidRDefault="002F47A0" w:rsidP="002F47A0">
            <w:pPr>
              <w:jc w:val="both"/>
              <w:rPr>
                <w:rFonts w:ascii="Times New Roman" w:hAnsi="Times New Roman" w:cs="Times New Roman"/>
                <w:lang w:val="ro-RO"/>
              </w:rPr>
            </w:pPr>
          </w:p>
          <w:p w14:paraId="07070FCB" w14:textId="77777777" w:rsidR="002F47A0" w:rsidRPr="009E686F" w:rsidRDefault="002F47A0" w:rsidP="002F47A0">
            <w:pPr>
              <w:jc w:val="both"/>
              <w:rPr>
                <w:rFonts w:ascii="Times New Roman" w:hAnsi="Times New Roman" w:cs="Times New Roman"/>
                <w:lang w:val="ro-RO"/>
              </w:rPr>
            </w:pPr>
          </w:p>
          <w:p w14:paraId="34F58B41" w14:textId="77777777" w:rsidR="002F47A0" w:rsidRPr="009E686F" w:rsidRDefault="002F47A0" w:rsidP="002F47A0">
            <w:pPr>
              <w:jc w:val="both"/>
              <w:rPr>
                <w:rFonts w:ascii="Times New Roman" w:hAnsi="Times New Roman" w:cs="Times New Roman"/>
                <w:lang w:val="ro-RO"/>
              </w:rPr>
            </w:pPr>
          </w:p>
          <w:p w14:paraId="4AEC1268" w14:textId="77777777" w:rsidR="002F47A0" w:rsidRPr="009E686F" w:rsidRDefault="002F47A0" w:rsidP="002F47A0">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245E55F7" w14:textId="77777777" w:rsidR="002F47A0" w:rsidRPr="009E686F" w:rsidRDefault="002F47A0" w:rsidP="002F47A0">
            <w:pPr>
              <w:jc w:val="both"/>
              <w:rPr>
                <w:rFonts w:ascii="Times New Roman" w:hAnsi="Times New Roman" w:cs="Times New Roman"/>
                <w:lang w:val="ro-RO"/>
              </w:rPr>
            </w:pPr>
          </w:p>
        </w:tc>
      </w:tr>
      <w:tr w:rsidR="002F47A0" w:rsidRPr="009E686F" w14:paraId="048B363E"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66F546E1" w14:textId="62E0F928"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(3) Aplicarea penalităților cu titlu cominatoriu nu împiedică autoritățile competente să impună sancțiuni administrative sau alte măsuri administrative pentru aceeași încălcare.</w:t>
            </w:r>
          </w:p>
        </w:tc>
        <w:tc>
          <w:tcPr>
            <w:tcW w:w="1928" w:type="pct"/>
            <w:gridSpan w:val="3"/>
            <w:tcBorders>
              <w:top w:val="single" w:sz="4" w:space="0" w:color="auto"/>
              <w:left w:val="single" w:sz="4" w:space="0" w:color="auto"/>
              <w:bottom w:val="single" w:sz="4" w:space="0" w:color="auto"/>
              <w:right w:val="single" w:sz="4" w:space="0" w:color="auto"/>
            </w:tcBorders>
          </w:tcPr>
          <w:p w14:paraId="35980837" w14:textId="510FC32A" w:rsidR="002F47A0" w:rsidRPr="009E686F" w:rsidRDefault="002F47A0" w:rsidP="002F47A0">
            <w:pPr>
              <w:spacing w:after="0" w:line="240" w:lineRule="auto"/>
              <w:jc w:val="both"/>
              <w:rPr>
                <w:rFonts w:ascii="Times New Roman" w:eastAsia="Aptos" w:hAnsi="Times New Roman" w:cs="Times New Roman"/>
                <w:b/>
                <w:bCs/>
                <w:kern w:val="2"/>
                <w:lang w:val="ro-MD"/>
              </w:rPr>
            </w:pPr>
            <w:r w:rsidRPr="009E686F">
              <w:rPr>
                <w:rFonts w:ascii="Times New Roman" w:eastAsia="Aptos" w:hAnsi="Times New Roman" w:cs="Times New Roman"/>
                <w:b/>
                <w:bCs/>
                <w:kern w:val="2"/>
                <w:lang w:val="ro-MD"/>
              </w:rPr>
              <w:t>Articolul 138 alin. (1</w:t>
            </w:r>
            <w:r w:rsidRPr="009E686F">
              <w:rPr>
                <w:rFonts w:ascii="Times New Roman" w:eastAsia="Aptos" w:hAnsi="Times New Roman" w:cs="Times New Roman"/>
                <w:b/>
                <w:bCs/>
                <w:kern w:val="2"/>
                <w:vertAlign w:val="superscript"/>
                <w:lang w:val="ro-MD"/>
              </w:rPr>
              <w:t>1</w:t>
            </w:r>
            <w:r w:rsidRPr="009E686F">
              <w:rPr>
                <w:rFonts w:ascii="Times New Roman" w:eastAsia="Aptos" w:hAnsi="Times New Roman" w:cs="Times New Roman"/>
                <w:b/>
                <w:bCs/>
                <w:kern w:val="2"/>
                <w:lang w:val="ro-MD"/>
              </w:rPr>
              <w:t>)</w:t>
            </w:r>
          </w:p>
          <w:p w14:paraId="0C79240D" w14:textId="034E6850" w:rsidR="002F47A0" w:rsidRPr="009E686F" w:rsidRDefault="002F47A0" w:rsidP="002F47A0">
            <w:pPr>
              <w:spacing w:after="0" w:line="240" w:lineRule="auto"/>
              <w:jc w:val="both"/>
              <w:rPr>
                <w:rFonts w:ascii="Times New Roman" w:hAnsi="Times New Roman" w:cs="Times New Roman"/>
                <w:i/>
                <w:iCs/>
                <w:lang w:val="ro-RO"/>
              </w:rPr>
            </w:pPr>
            <w:r w:rsidRPr="009E686F">
              <w:rPr>
                <w:rFonts w:ascii="Times New Roman" w:eastAsia="Aptos" w:hAnsi="Times New Roman" w:cs="Times New Roman"/>
                <w:i/>
                <w:iCs/>
                <w:kern w:val="2"/>
                <w:lang w:val="ro-MD"/>
              </w:rPr>
              <w:t>(1</w:t>
            </w:r>
            <w:r w:rsidRPr="009E686F">
              <w:rPr>
                <w:rFonts w:ascii="Times New Roman" w:eastAsia="Aptos" w:hAnsi="Times New Roman" w:cs="Times New Roman"/>
                <w:i/>
                <w:iCs/>
                <w:kern w:val="2"/>
                <w:vertAlign w:val="superscript"/>
                <w:lang w:val="ro-MD"/>
              </w:rPr>
              <w:t>1</w:t>
            </w:r>
            <w:r w:rsidRPr="009E686F">
              <w:rPr>
                <w:rFonts w:ascii="Times New Roman" w:eastAsia="Aptos" w:hAnsi="Times New Roman" w:cs="Times New Roman"/>
                <w:i/>
                <w:iCs/>
                <w:kern w:val="2"/>
                <w:lang w:val="ro-MD"/>
              </w:rPr>
              <w:t>) Aplicarea penalităților cu titlu cominatoriu nu împiedică Banca Națională a Moldovei să dispună măsuri sancționatoare potrivit art. 141 alin. (2) sau să aplice sancțiuni potrivit art. 141 alin. (1) pentru aceeași încălcare.</w:t>
            </w:r>
          </w:p>
        </w:tc>
        <w:tc>
          <w:tcPr>
            <w:tcW w:w="470" w:type="pct"/>
            <w:tcBorders>
              <w:top w:val="single" w:sz="4" w:space="0" w:color="auto"/>
              <w:left w:val="single" w:sz="4" w:space="0" w:color="auto"/>
              <w:bottom w:val="single" w:sz="4" w:space="0" w:color="auto"/>
              <w:right w:val="single" w:sz="4" w:space="0" w:color="auto"/>
            </w:tcBorders>
          </w:tcPr>
          <w:p w14:paraId="1E68B063" w14:textId="77777777" w:rsidR="002F47A0" w:rsidRPr="009E686F" w:rsidRDefault="002F47A0" w:rsidP="002F47A0">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31437924" w14:textId="77777777" w:rsidR="002F47A0" w:rsidRPr="009E686F" w:rsidRDefault="002F47A0" w:rsidP="002F47A0">
            <w:pPr>
              <w:jc w:val="both"/>
              <w:rPr>
                <w:rFonts w:ascii="Times New Roman" w:hAnsi="Times New Roman" w:cs="Times New Roman"/>
                <w:lang w:val="ro-RO"/>
              </w:rPr>
            </w:pPr>
          </w:p>
        </w:tc>
      </w:tr>
      <w:tr w:rsidR="002F47A0" w:rsidRPr="009E686F" w14:paraId="7014B40F" w14:textId="386EE81A" w:rsidTr="00774F3E">
        <w:tc>
          <w:tcPr>
            <w:tcW w:w="1796" w:type="pct"/>
            <w:gridSpan w:val="2"/>
            <w:tcBorders>
              <w:top w:val="single" w:sz="4" w:space="0" w:color="auto"/>
              <w:left w:val="single" w:sz="4" w:space="0" w:color="auto"/>
              <w:bottom w:val="single" w:sz="4" w:space="0" w:color="auto"/>
              <w:right w:val="single" w:sz="4" w:space="0" w:color="auto"/>
            </w:tcBorders>
          </w:tcPr>
          <w:p w14:paraId="1B4B00A1"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lastRenderedPageBreak/>
              <w:t>(4) Autoritățile competente au toate competențele de colectare a informațiilor și de investigare necesare pentru exercitarea funcțiilor lor. Respectivele competențe includ:</w:t>
            </w:r>
          </w:p>
          <w:p w14:paraId="0BAFD187" w14:textId="02045D45" w:rsidR="002F47A0" w:rsidRPr="009E686F" w:rsidRDefault="002F47A0" w:rsidP="002F47A0">
            <w:pPr>
              <w:spacing w:after="0"/>
              <w:jc w:val="both"/>
              <w:rPr>
                <w:rFonts w:ascii="Times New Roman" w:hAnsi="Times New Roman" w:cs="Times New Roman"/>
                <w:lang w:val="ro-RO"/>
              </w:rPr>
            </w:pPr>
          </w:p>
        </w:tc>
        <w:tc>
          <w:tcPr>
            <w:tcW w:w="1928" w:type="pct"/>
            <w:gridSpan w:val="3"/>
            <w:tcBorders>
              <w:top w:val="single" w:sz="4" w:space="0" w:color="auto"/>
              <w:left w:val="single" w:sz="4" w:space="0" w:color="auto"/>
              <w:bottom w:val="single" w:sz="4" w:space="0" w:color="auto"/>
              <w:right w:val="single" w:sz="4" w:space="0" w:color="auto"/>
            </w:tcBorders>
          </w:tcPr>
          <w:p w14:paraId="34CD39ED" w14:textId="12538A5A" w:rsidR="002F47A0" w:rsidRPr="009E686F" w:rsidRDefault="002F47A0" w:rsidP="002F47A0">
            <w:pPr>
              <w:spacing w:after="0" w:line="240" w:lineRule="auto"/>
              <w:jc w:val="both"/>
              <w:rPr>
                <w:rFonts w:ascii="Times New Roman" w:hAnsi="Times New Roman" w:cs="Times New Roman"/>
                <w:b/>
                <w:bCs/>
                <w:lang w:val="ro-RO"/>
              </w:rPr>
            </w:pPr>
            <w:r w:rsidRPr="009E686F">
              <w:rPr>
                <w:rFonts w:ascii="Times New Roman" w:hAnsi="Times New Roman" w:cs="Times New Roman"/>
                <w:b/>
                <w:bCs/>
                <w:lang w:val="ro-RO"/>
              </w:rPr>
              <w:t xml:space="preserve">Articolul 138 </w:t>
            </w:r>
            <w:r w:rsidRPr="009E686F">
              <w:rPr>
                <w:rFonts w:ascii="Times New Roman" w:eastAsia="Aptos" w:hAnsi="Times New Roman" w:cs="Times New Roman"/>
                <w:b/>
                <w:bCs/>
                <w:kern w:val="2"/>
                <w:lang w:val="ro-MD"/>
              </w:rPr>
              <w:t xml:space="preserve">alin. </w:t>
            </w:r>
            <w:r w:rsidRPr="009E686F">
              <w:rPr>
                <w:rFonts w:ascii="Times New Roman" w:hAnsi="Times New Roman" w:cs="Times New Roman"/>
                <w:b/>
                <w:bCs/>
                <w:lang w:val="ro-RO"/>
              </w:rPr>
              <w:t xml:space="preserve"> (3) și (4)</w:t>
            </w:r>
          </w:p>
          <w:p w14:paraId="63808307" w14:textId="7E561541"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(3) Banca Naţională a Moldovei are competenţa de a colecta toate informaţiile necesare şi de a efectua toate cercetările necesare în exercitarea funcţiilor sale.</w:t>
            </w:r>
          </w:p>
          <w:p w14:paraId="40C3DDEA"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(4) Fără a se aduce atingere prevederilor prezentei legi şi ale actelor normative emise în aplicarea acesteia, competenţa prevăzută la alin. (3) include:</w:t>
            </w:r>
          </w:p>
        </w:tc>
        <w:tc>
          <w:tcPr>
            <w:tcW w:w="470" w:type="pct"/>
            <w:tcBorders>
              <w:top w:val="single" w:sz="4" w:space="0" w:color="auto"/>
              <w:left w:val="single" w:sz="4" w:space="0" w:color="auto"/>
              <w:bottom w:val="single" w:sz="4" w:space="0" w:color="auto"/>
              <w:right w:val="single" w:sz="4" w:space="0" w:color="auto"/>
            </w:tcBorders>
          </w:tcPr>
          <w:p w14:paraId="5DC7923E" w14:textId="77777777"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p w14:paraId="25EA6A11" w14:textId="77777777" w:rsidR="002F47A0" w:rsidRPr="009E686F" w:rsidRDefault="002F47A0" w:rsidP="002F47A0">
            <w:pPr>
              <w:jc w:val="both"/>
              <w:rPr>
                <w:rFonts w:ascii="Times New Roman" w:hAnsi="Times New Roman" w:cs="Times New Roman"/>
                <w:lang w:val="ro-RO"/>
              </w:rPr>
            </w:pPr>
          </w:p>
          <w:p w14:paraId="1FF9C297" w14:textId="77777777" w:rsidR="002F47A0" w:rsidRPr="009E686F" w:rsidRDefault="002F47A0" w:rsidP="002F47A0">
            <w:pPr>
              <w:jc w:val="both"/>
              <w:rPr>
                <w:rFonts w:ascii="Times New Roman" w:hAnsi="Times New Roman" w:cs="Times New Roman"/>
                <w:lang w:val="ro-RO"/>
              </w:rPr>
            </w:pPr>
          </w:p>
          <w:p w14:paraId="7518E943" w14:textId="77777777" w:rsidR="002F47A0" w:rsidRPr="009E686F" w:rsidRDefault="002F47A0" w:rsidP="002F47A0">
            <w:pPr>
              <w:jc w:val="both"/>
              <w:rPr>
                <w:rFonts w:ascii="Times New Roman" w:hAnsi="Times New Roman" w:cs="Times New Roman"/>
                <w:lang w:val="ro-RO"/>
              </w:rPr>
            </w:pPr>
          </w:p>
          <w:p w14:paraId="35253951" w14:textId="57B9958A"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7E5BD5AD" w14:textId="77777777" w:rsidR="002F47A0" w:rsidRPr="009E686F" w:rsidRDefault="002F47A0" w:rsidP="002F47A0">
            <w:pPr>
              <w:jc w:val="both"/>
              <w:rPr>
                <w:rFonts w:ascii="Times New Roman" w:hAnsi="Times New Roman" w:cs="Times New Roman"/>
                <w:lang w:val="ro-RO"/>
              </w:rPr>
            </w:pPr>
          </w:p>
        </w:tc>
      </w:tr>
      <w:tr w:rsidR="002F47A0" w:rsidRPr="009E686F" w14:paraId="60E7B44B" w14:textId="333140B8" w:rsidTr="00774F3E">
        <w:tc>
          <w:tcPr>
            <w:tcW w:w="1796" w:type="pct"/>
            <w:gridSpan w:val="2"/>
            <w:tcBorders>
              <w:top w:val="single" w:sz="4" w:space="0" w:color="auto"/>
              <w:left w:val="single" w:sz="4" w:space="0" w:color="auto"/>
              <w:bottom w:val="single" w:sz="4" w:space="0" w:color="auto"/>
              <w:right w:val="single" w:sz="4" w:space="0" w:color="auto"/>
            </w:tcBorders>
          </w:tcPr>
          <w:p w14:paraId="170EF6D8"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(a) competența de a solicita furnizarea tuturor informațiilor necesare pentru îndeplinirea atribuțiilor care le revin autorităților competente, inclusiv a informațiilor care trebuie furnizate la intervale repetate și în formate specificate în scopuri de supraveghere și în scopuri statistice aferente, de la următoarele persoane fizice sau juridice:</w:t>
            </w:r>
          </w:p>
          <w:p w14:paraId="4906A5CA" w14:textId="76F7FDC9" w:rsidR="002F47A0" w:rsidRPr="009E686F" w:rsidRDefault="002F47A0" w:rsidP="002F47A0">
            <w:pPr>
              <w:spacing w:after="0"/>
              <w:jc w:val="both"/>
              <w:rPr>
                <w:rFonts w:ascii="Times New Roman" w:hAnsi="Times New Roman" w:cs="Times New Roman"/>
                <w:lang w:val="ro-RO"/>
              </w:rPr>
            </w:pPr>
          </w:p>
        </w:tc>
        <w:tc>
          <w:tcPr>
            <w:tcW w:w="1928" w:type="pct"/>
            <w:gridSpan w:val="3"/>
            <w:tcBorders>
              <w:top w:val="single" w:sz="4" w:space="0" w:color="auto"/>
              <w:left w:val="single" w:sz="4" w:space="0" w:color="auto"/>
              <w:bottom w:val="single" w:sz="4" w:space="0" w:color="auto"/>
              <w:right w:val="single" w:sz="4" w:space="0" w:color="auto"/>
            </w:tcBorders>
          </w:tcPr>
          <w:p w14:paraId="53A082C7" w14:textId="4DEF1C2A" w:rsidR="002F47A0" w:rsidRPr="009E686F" w:rsidRDefault="002F47A0" w:rsidP="002F47A0">
            <w:pPr>
              <w:spacing w:after="0" w:line="240" w:lineRule="auto"/>
              <w:jc w:val="both"/>
              <w:rPr>
                <w:rFonts w:ascii="Times New Roman" w:hAnsi="Times New Roman" w:cs="Times New Roman"/>
                <w:b/>
                <w:bCs/>
                <w:lang w:val="ro-RO"/>
              </w:rPr>
            </w:pPr>
            <w:r w:rsidRPr="009E686F">
              <w:rPr>
                <w:rFonts w:ascii="Times New Roman" w:hAnsi="Times New Roman" w:cs="Times New Roman"/>
                <w:b/>
                <w:bCs/>
                <w:lang w:val="ro-RO"/>
              </w:rPr>
              <w:t xml:space="preserve">Articolul 138 </w:t>
            </w:r>
            <w:r w:rsidRPr="009E686F">
              <w:rPr>
                <w:rFonts w:ascii="Times New Roman" w:eastAsia="Aptos" w:hAnsi="Times New Roman" w:cs="Times New Roman"/>
                <w:b/>
                <w:bCs/>
                <w:kern w:val="2"/>
                <w:lang w:val="ro-MD"/>
              </w:rPr>
              <w:t xml:space="preserve">alin. </w:t>
            </w:r>
            <w:r w:rsidRPr="009E686F">
              <w:rPr>
                <w:rFonts w:ascii="Times New Roman" w:hAnsi="Times New Roman" w:cs="Times New Roman"/>
                <w:b/>
                <w:bCs/>
                <w:lang w:val="ro-RO"/>
              </w:rPr>
              <w:t>(4), lit. a)</w:t>
            </w:r>
          </w:p>
          <w:p w14:paraId="24B84523" w14:textId="6B365D21"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a) competenţa de a solicita furnizarea tuturor informaţiilor necesare de la orice persoană fizică sau juridică prevăzută la alin. (5), pentru îndeplinirea atribuţiilor care revin Băncii Naţionale a Moldovei, inclusiv a informaţiilor care trebuie furnizate, în scopuri de supraveghere şi în scopuri statistice, la intervale regulate şi în formatele specificate;</w:t>
            </w:r>
          </w:p>
          <w:p w14:paraId="4C411878"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(5) În sensul prevederilor alin. (4) sunt supuse obligaţiei de a furniza informaţii:</w:t>
            </w:r>
          </w:p>
        </w:tc>
        <w:tc>
          <w:tcPr>
            <w:tcW w:w="470" w:type="pct"/>
            <w:tcBorders>
              <w:top w:val="single" w:sz="4" w:space="0" w:color="auto"/>
              <w:left w:val="single" w:sz="4" w:space="0" w:color="auto"/>
              <w:bottom w:val="single" w:sz="4" w:space="0" w:color="auto"/>
              <w:right w:val="single" w:sz="4" w:space="0" w:color="auto"/>
            </w:tcBorders>
          </w:tcPr>
          <w:p w14:paraId="78549BBE" w14:textId="05AAC60C"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2D06D71C" w14:textId="77777777" w:rsidR="002F47A0" w:rsidRPr="009E686F" w:rsidRDefault="002F47A0" w:rsidP="002F47A0">
            <w:pPr>
              <w:jc w:val="both"/>
              <w:rPr>
                <w:rFonts w:ascii="Times New Roman" w:hAnsi="Times New Roman" w:cs="Times New Roman"/>
                <w:lang w:val="ro-RO"/>
              </w:rPr>
            </w:pPr>
          </w:p>
        </w:tc>
      </w:tr>
      <w:tr w:rsidR="002F47A0" w:rsidRPr="009E686F" w14:paraId="1C1275D5"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01681625"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(i) instituții cu sediul în statul membru în cauză;</w:t>
            </w:r>
          </w:p>
          <w:p w14:paraId="11264AC8"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(ii) societăți financiare holding cu sediul în statul membru în cauză;</w:t>
            </w:r>
          </w:p>
          <w:p w14:paraId="050F9D1F"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(iii) societățili financiare holding mixte cu sediul în statul membru în cauză;</w:t>
            </w:r>
          </w:p>
          <w:p w14:paraId="430B71A9"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(iv) societăți holding cu activitate mixtă cu sediul în statul membru în cauză;</w:t>
            </w:r>
          </w:p>
          <w:p w14:paraId="291435DA"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(v) persoane care aparțin entităților menționate la punctele (i)-(iv);</w:t>
            </w:r>
          </w:p>
          <w:p w14:paraId="0762B913"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(vi) părți terțe către care entitățile menționate la punctele (i)-(iv) de la prezenta literă au externalizat anumite funcții sau activități, inclusiv furnizorii terți de servicii TIC menționați la capitolul V din Regulamentul (UE) 2022/2554 al Parlamentului European și al Consiliului (*);</w:t>
            </w:r>
          </w:p>
          <w:p w14:paraId="2FC2869D" w14:textId="77777777" w:rsidR="002F47A0" w:rsidRPr="009E686F" w:rsidRDefault="002F47A0" w:rsidP="002F47A0">
            <w:pPr>
              <w:spacing w:after="0"/>
              <w:jc w:val="both"/>
              <w:rPr>
                <w:rFonts w:ascii="Times New Roman" w:hAnsi="Times New Roman" w:cs="Times New Roman"/>
                <w:lang w:val="ro-RO"/>
              </w:rPr>
            </w:pPr>
          </w:p>
        </w:tc>
        <w:tc>
          <w:tcPr>
            <w:tcW w:w="1928" w:type="pct"/>
            <w:gridSpan w:val="3"/>
            <w:tcBorders>
              <w:top w:val="single" w:sz="4" w:space="0" w:color="auto"/>
              <w:left w:val="single" w:sz="4" w:space="0" w:color="auto"/>
              <w:bottom w:val="single" w:sz="4" w:space="0" w:color="auto"/>
              <w:right w:val="single" w:sz="4" w:space="0" w:color="auto"/>
            </w:tcBorders>
          </w:tcPr>
          <w:p w14:paraId="05EE73BC"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eastAsia="Aptos" w:hAnsi="Times New Roman" w:cs="Times New Roman"/>
                <w:b/>
                <w:bCs/>
                <w:kern w:val="2"/>
                <w:lang w:val="ro-MD"/>
              </w:rPr>
              <w:t>Articolul 138 alin. (5)</w:t>
            </w:r>
            <w:r w:rsidRPr="009E686F">
              <w:rPr>
                <w:rFonts w:ascii="Times New Roman" w:hAnsi="Times New Roman" w:cs="Times New Roman"/>
                <w:lang w:val="ro-RO"/>
              </w:rPr>
              <w:t xml:space="preserve"> </w:t>
            </w:r>
          </w:p>
          <w:p w14:paraId="27DAA99F" w14:textId="77777777" w:rsidR="002F47A0" w:rsidRPr="009E686F" w:rsidRDefault="002F47A0" w:rsidP="002F47A0">
            <w:pPr>
              <w:spacing w:after="0"/>
              <w:jc w:val="both"/>
              <w:rPr>
                <w:rFonts w:ascii="Times New Roman" w:eastAsia="Aptos" w:hAnsi="Times New Roman" w:cs="Times New Roman"/>
                <w:b/>
                <w:bCs/>
                <w:kern w:val="2"/>
                <w:lang w:val="ro-MD"/>
              </w:rPr>
            </w:pPr>
            <w:r w:rsidRPr="009E686F">
              <w:rPr>
                <w:rFonts w:ascii="Times New Roman" w:hAnsi="Times New Roman" w:cs="Times New Roman"/>
                <w:lang w:val="ro-RO"/>
              </w:rPr>
              <w:t>(5) În sensul prevederilor alin. (4) sunt supuse obligaţiei de a furniza informaţii:</w:t>
            </w:r>
          </w:p>
          <w:p w14:paraId="0AAA06B1" w14:textId="77777777" w:rsidR="002F47A0" w:rsidRPr="009E686F" w:rsidRDefault="002F47A0" w:rsidP="002F47A0">
            <w:pPr>
              <w:spacing w:after="0"/>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 xml:space="preserve">a) </w:t>
            </w:r>
            <w:r w:rsidRPr="009E686F">
              <w:rPr>
                <w:rFonts w:ascii="Times New Roman" w:eastAsia="Aptos" w:hAnsi="Times New Roman" w:cs="Times New Roman"/>
                <w:i/>
                <w:iCs/>
                <w:kern w:val="2"/>
                <w:lang w:val="ro-MD"/>
              </w:rPr>
              <w:t>instituțiile de credit</w:t>
            </w:r>
            <w:r w:rsidRPr="009E686F">
              <w:rPr>
                <w:rFonts w:ascii="Times New Roman" w:eastAsia="Aptos" w:hAnsi="Times New Roman" w:cs="Times New Roman"/>
                <w:kern w:val="2"/>
                <w:lang w:val="ro-MD"/>
              </w:rPr>
              <w:t xml:space="preserve"> cu sediul în Republica Moldova şi sucursalele </w:t>
            </w:r>
            <w:r w:rsidRPr="009E686F">
              <w:rPr>
                <w:rFonts w:ascii="Times New Roman" w:eastAsia="Aptos" w:hAnsi="Times New Roman" w:cs="Times New Roman"/>
                <w:i/>
                <w:iCs/>
                <w:kern w:val="2"/>
                <w:lang w:val="ro-MD"/>
              </w:rPr>
              <w:t>instituțiilor de credit</w:t>
            </w:r>
            <w:r w:rsidRPr="009E686F">
              <w:rPr>
                <w:rFonts w:ascii="Times New Roman" w:eastAsia="Aptos" w:hAnsi="Times New Roman" w:cs="Times New Roman"/>
                <w:kern w:val="2"/>
                <w:lang w:val="ro-MD"/>
              </w:rPr>
              <w:t xml:space="preserve"> </w:t>
            </w:r>
            <w:r w:rsidRPr="009E686F">
              <w:rPr>
                <w:rFonts w:ascii="Times New Roman" w:eastAsia="Aptos" w:hAnsi="Times New Roman" w:cs="Times New Roman"/>
                <w:i/>
                <w:iCs/>
                <w:kern w:val="2"/>
                <w:lang w:val="ro-MD"/>
              </w:rPr>
              <w:t>din alte state</w:t>
            </w:r>
            <w:r w:rsidRPr="009E686F">
              <w:rPr>
                <w:rFonts w:ascii="Times New Roman" w:eastAsia="Aptos" w:hAnsi="Times New Roman" w:cs="Times New Roman"/>
                <w:kern w:val="2"/>
                <w:lang w:val="ro-MD"/>
              </w:rPr>
              <w:t>;</w:t>
            </w:r>
          </w:p>
          <w:p w14:paraId="37CF642E"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b) societăţile financiare holding cu sediul  în Republica Moldova;</w:t>
            </w:r>
          </w:p>
          <w:p w14:paraId="2A43152D"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c) societăţile financiare holding mixte cu sediul  în Republica Moldova;</w:t>
            </w:r>
          </w:p>
          <w:p w14:paraId="6A90185E"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d)</w:t>
            </w:r>
            <w:r w:rsidRPr="009E686F">
              <w:rPr>
                <w:rFonts w:ascii="Times New Roman" w:eastAsia="Times New Roman" w:hAnsi="Times New Roman" w:cs="Times New Roman"/>
                <w:lang w:val="ro-RO"/>
              </w:rPr>
              <w:t xml:space="preserve"> </w:t>
            </w:r>
            <w:r w:rsidRPr="009E686F">
              <w:rPr>
                <w:rFonts w:ascii="Times New Roman" w:hAnsi="Times New Roman" w:cs="Times New Roman"/>
                <w:lang w:val="ro-RO"/>
              </w:rPr>
              <w:t>societăţile financiare holding cu activitate mixtă cu sediul  în Republica Moldova;</w:t>
            </w:r>
          </w:p>
          <w:p w14:paraId="3503B0C1"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e)</w:t>
            </w:r>
            <w:r w:rsidRPr="009E686F">
              <w:rPr>
                <w:rFonts w:ascii="Times New Roman" w:eastAsia="Times New Roman" w:hAnsi="Times New Roman" w:cs="Times New Roman"/>
                <w:lang w:val="ro-RO"/>
              </w:rPr>
              <w:t xml:space="preserve"> </w:t>
            </w:r>
            <w:r w:rsidRPr="009E686F">
              <w:rPr>
                <w:rFonts w:ascii="Times New Roman" w:hAnsi="Times New Roman" w:cs="Times New Roman"/>
                <w:lang w:val="ro-RO"/>
              </w:rPr>
              <w:t>persoanele fizice care sunt persoane afiliate societăților menţionate la lit. a) - d);</w:t>
            </w:r>
          </w:p>
          <w:p w14:paraId="69A0B773"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eastAsia="Aptos" w:hAnsi="Times New Roman" w:cs="Times New Roman"/>
                <w:kern w:val="2"/>
                <w:lang w:val="ro-MD"/>
              </w:rPr>
              <w:lastRenderedPageBreak/>
              <w:t xml:space="preserve">f) persoanele terţe către care societăţile menţionate la lit.a)–d) au externalizat anumite funcţii operaţionale sau activităţi, </w:t>
            </w:r>
            <w:r w:rsidRPr="009E686F">
              <w:rPr>
                <w:rFonts w:ascii="Times New Roman" w:eastAsia="Aptos" w:hAnsi="Times New Roman" w:cs="Times New Roman"/>
                <w:i/>
                <w:iCs/>
                <w:kern w:val="2"/>
                <w:lang w:val="ro-MD"/>
              </w:rPr>
              <w:t>inclusiv furnizorii terți de servicii TIC.</w:t>
            </w:r>
          </w:p>
          <w:p w14:paraId="54B308E1" w14:textId="77777777" w:rsidR="002F47A0" w:rsidRPr="009E686F" w:rsidRDefault="002F47A0" w:rsidP="002F47A0">
            <w:pPr>
              <w:spacing w:after="0" w:line="240" w:lineRule="auto"/>
              <w:jc w:val="both"/>
              <w:rPr>
                <w:rFonts w:ascii="Times New Roman" w:hAnsi="Times New Roman" w:cs="Times New Roman"/>
                <w:b/>
                <w:bCs/>
                <w:lang w:val="ro-RO"/>
              </w:rPr>
            </w:pPr>
          </w:p>
        </w:tc>
        <w:tc>
          <w:tcPr>
            <w:tcW w:w="470" w:type="pct"/>
            <w:tcBorders>
              <w:top w:val="single" w:sz="4" w:space="0" w:color="auto"/>
              <w:left w:val="single" w:sz="4" w:space="0" w:color="auto"/>
              <w:bottom w:val="single" w:sz="4" w:space="0" w:color="auto"/>
              <w:right w:val="single" w:sz="4" w:space="0" w:color="auto"/>
            </w:tcBorders>
          </w:tcPr>
          <w:p w14:paraId="73688364" w14:textId="4473CC3E"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0B858380" w14:textId="77777777" w:rsidR="002F47A0" w:rsidRPr="009E686F" w:rsidRDefault="002F47A0" w:rsidP="002F47A0">
            <w:pPr>
              <w:jc w:val="both"/>
              <w:rPr>
                <w:rFonts w:ascii="Times New Roman" w:hAnsi="Times New Roman" w:cs="Times New Roman"/>
                <w:lang w:val="ro-RO"/>
              </w:rPr>
            </w:pPr>
          </w:p>
        </w:tc>
      </w:tr>
      <w:tr w:rsidR="002F47A0" w:rsidRPr="009E686F" w14:paraId="3940CC89"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33A1FFC7"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(b) competența de a efectua toate investigațiile necesare în legătură cu orice persoană menționată la litera (a) punctele (i)-(vi) care e stabilită sau care se află în statul membru în cauză, atunci când acest lucru este necesar pentru îndeplinirea atribuțiilor autorităților competente, inclusiv competența:</w:t>
            </w:r>
          </w:p>
          <w:p w14:paraId="17C8774A" w14:textId="77777777" w:rsidR="002F47A0" w:rsidRPr="009E686F" w:rsidRDefault="002F47A0" w:rsidP="002F47A0">
            <w:pPr>
              <w:spacing w:after="0"/>
              <w:jc w:val="both"/>
              <w:rPr>
                <w:rFonts w:ascii="Times New Roman" w:hAnsi="Times New Roman" w:cs="Times New Roman"/>
                <w:lang w:val="ro-RO"/>
              </w:rPr>
            </w:pPr>
          </w:p>
        </w:tc>
        <w:tc>
          <w:tcPr>
            <w:tcW w:w="1928" w:type="pct"/>
            <w:gridSpan w:val="3"/>
            <w:tcBorders>
              <w:top w:val="single" w:sz="4" w:space="0" w:color="auto"/>
              <w:left w:val="single" w:sz="4" w:space="0" w:color="auto"/>
              <w:bottom w:val="single" w:sz="4" w:space="0" w:color="auto"/>
              <w:right w:val="single" w:sz="4" w:space="0" w:color="auto"/>
            </w:tcBorders>
          </w:tcPr>
          <w:p w14:paraId="0060FA99" w14:textId="77777777" w:rsidR="002F47A0" w:rsidRPr="009E686F" w:rsidRDefault="002F47A0" w:rsidP="002F47A0">
            <w:pPr>
              <w:spacing w:after="0" w:line="240" w:lineRule="auto"/>
              <w:jc w:val="both"/>
              <w:rPr>
                <w:rFonts w:ascii="Times New Roman" w:hAnsi="Times New Roman" w:cs="Times New Roman"/>
                <w:b/>
                <w:bCs/>
                <w:lang w:val="ro-RO"/>
              </w:rPr>
            </w:pPr>
            <w:r w:rsidRPr="009E686F">
              <w:rPr>
                <w:rFonts w:ascii="Times New Roman" w:hAnsi="Times New Roman" w:cs="Times New Roman"/>
                <w:b/>
                <w:bCs/>
                <w:lang w:val="ro-RO"/>
              </w:rPr>
              <w:t xml:space="preserve">Articolul 138 </w:t>
            </w:r>
            <w:r w:rsidRPr="009E686F">
              <w:rPr>
                <w:rFonts w:ascii="Times New Roman" w:eastAsia="Aptos" w:hAnsi="Times New Roman" w:cs="Times New Roman"/>
                <w:b/>
                <w:bCs/>
                <w:kern w:val="2"/>
                <w:lang w:val="ro-MD"/>
              </w:rPr>
              <w:t>alin.</w:t>
            </w:r>
            <w:r w:rsidRPr="009E686F">
              <w:rPr>
                <w:rFonts w:ascii="Times New Roman" w:hAnsi="Times New Roman" w:cs="Times New Roman"/>
                <w:b/>
                <w:bCs/>
                <w:lang w:val="ro-RO"/>
              </w:rPr>
              <w:t xml:space="preserve">  (4) lit. b)</w:t>
            </w:r>
          </w:p>
          <w:p w14:paraId="237A7276"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 xml:space="preserve">b) competenţa de a efectua toate cercetările necesare pentru îndeplinirea atribuţiilor care revin Băncii Naţionale a Moldovei, în legătură cu orice persoană fizică sau juridică prevăzută la alin. (5); </w:t>
            </w:r>
          </w:p>
          <w:p w14:paraId="2B85D929" w14:textId="77777777" w:rsidR="002F47A0" w:rsidRPr="009E686F" w:rsidRDefault="002F47A0" w:rsidP="002F47A0">
            <w:pPr>
              <w:spacing w:after="0" w:line="240" w:lineRule="auto"/>
              <w:jc w:val="both"/>
              <w:rPr>
                <w:rFonts w:ascii="Times New Roman" w:hAnsi="Times New Roman" w:cs="Times New Roman"/>
                <w:b/>
                <w:bCs/>
                <w:lang w:val="ro-RO"/>
              </w:rPr>
            </w:pPr>
          </w:p>
          <w:p w14:paraId="48E8B5E9" w14:textId="77777777" w:rsidR="002F47A0" w:rsidRPr="009E686F" w:rsidRDefault="002F47A0" w:rsidP="002F47A0">
            <w:pPr>
              <w:spacing w:after="0" w:line="240" w:lineRule="auto"/>
              <w:jc w:val="both"/>
              <w:rPr>
                <w:rFonts w:ascii="Times New Roman" w:hAnsi="Times New Roman" w:cs="Times New Roman"/>
                <w:b/>
                <w:bCs/>
                <w:lang w:val="ro-RO"/>
              </w:rPr>
            </w:pPr>
            <w:r w:rsidRPr="009E686F">
              <w:rPr>
                <w:rFonts w:ascii="Times New Roman" w:hAnsi="Times New Roman" w:cs="Times New Roman"/>
                <w:b/>
                <w:bCs/>
                <w:lang w:val="ro-RO"/>
              </w:rPr>
              <w:t xml:space="preserve">Articolul 138 </w:t>
            </w:r>
            <w:r w:rsidRPr="009E686F">
              <w:rPr>
                <w:rFonts w:ascii="Times New Roman" w:eastAsia="Aptos" w:hAnsi="Times New Roman" w:cs="Times New Roman"/>
                <w:b/>
                <w:bCs/>
                <w:kern w:val="2"/>
                <w:lang w:val="ro-MD"/>
              </w:rPr>
              <w:t>alin.</w:t>
            </w:r>
            <w:r w:rsidRPr="009E686F">
              <w:rPr>
                <w:rFonts w:ascii="Times New Roman" w:hAnsi="Times New Roman" w:cs="Times New Roman"/>
                <w:b/>
                <w:bCs/>
                <w:lang w:val="ro-RO"/>
              </w:rPr>
              <w:t xml:space="preserve"> (6)</w:t>
            </w:r>
          </w:p>
          <w:p w14:paraId="00951B04" w14:textId="22979871" w:rsidR="002F47A0" w:rsidRPr="009E686F" w:rsidRDefault="002F47A0" w:rsidP="002F47A0">
            <w:pPr>
              <w:spacing w:after="0"/>
              <w:jc w:val="both"/>
              <w:rPr>
                <w:rFonts w:ascii="Times New Roman" w:eastAsia="Aptos" w:hAnsi="Times New Roman" w:cs="Times New Roman"/>
                <w:b/>
                <w:bCs/>
                <w:kern w:val="2"/>
                <w:lang w:val="ro-MD"/>
              </w:rPr>
            </w:pPr>
            <w:r w:rsidRPr="009E686F">
              <w:rPr>
                <w:rFonts w:ascii="Times New Roman" w:hAnsi="Times New Roman" w:cs="Times New Roman"/>
                <w:lang w:val="ro-RO"/>
              </w:rPr>
              <w:t>(6) Competenţa prevăzută la alin. (4) lit. b) include dreptul:</w:t>
            </w:r>
          </w:p>
        </w:tc>
        <w:tc>
          <w:tcPr>
            <w:tcW w:w="470" w:type="pct"/>
            <w:tcBorders>
              <w:top w:val="single" w:sz="4" w:space="0" w:color="auto"/>
              <w:left w:val="single" w:sz="4" w:space="0" w:color="auto"/>
              <w:bottom w:val="single" w:sz="4" w:space="0" w:color="auto"/>
              <w:right w:val="single" w:sz="4" w:space="0" w:color="auto"/>
            </w:tcBorders>
          </w:tcPr>
          <w:p w14:paraId="733A26B7" w14:textId="7B0AFA52"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18EC3884" w14:textId="77777777" w:rsidR="002F47A0" w:rsidRPr="009E686F" w:rsidRDefault="002F47A0" w:rsidP="002F47A0">
            <w:pPr>
              <w:jc w:val="both"/>
              <w:rPr>
                <w:rFonts w:ascii="Times New Roman" w:hAnsi="Times New Roman" w:cs="Times New Roman"/>
                <w:lang w:val="ro-RO"/>
              </w:rPr>
            </w:pPr>
          </w:p>
        </w:tc>
      </w:tr>
      <w:tr w:rsidR="002F47A0" w:rsidRPr="009E686F" w14:paraId="6EF83BB1"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3DDDE0AF"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(i) de a solicita prezentarea de documente;</w:t>
            </w:r>
          </w:p>
          <w:p w14:paraId="04017FEE"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(ii) de a examina registrele și evidențele persoanelor menționate la litera (a) punctele (i)-(vi) și de a ridica copii sau extrase ale acestor registre și evidențe;</w:t>
            </w:r>
          </w:p>
          <w:p w14:paraId="48958595"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(iii) de a obține explicații scrise sau orale de la orice persoană menționată la litera (a) punctele (i)-(vi) sau de la reprezentanții ori personalul acesteia;</w:t>
            </w:r>
          </w:p>
          <w:p w14:paraId="2B3280D8"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(iv) de a chestiona orice altă persoană care își dă acordul în acest sens, în scopul colectării de informații referitoare la obiectul unei investigații; și</w:t>
            </w:r>
          </w:p>
          <w:p w14:paraId="4B859E88"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(v) sub rezerva altor condiții prevăzute de dreptul Uniunii, de a efectua toate inspecțiile necesare la sediile comerciale ale persoanelor juridice menționate la litera (a) punctele (i)-(vi) și la sediul oricărei alte întreprinderi incluse în supravegherea consolidată pentru care o autoritate competentă este supraveghetorul consolidant, sub rezerva notificării prealabile a autorităților competente în cauză; în cazul în care inspecția necesită o autorizare din partea unei autorități judiciare în conformitate cu dreptul intern, se solicită o astfel autorizare.</w:t>
            </w:r>
          </w:p>
          <w:p w14:paraId="2DE428C5" w14:textId="77777777" w:rsidR="002F47A0" w:rsidRPr="009E686F" w:rsidRDefault="002F47A0" w:rsidP="002F47A0">
            <w:pPr>
              <w:spacing w:after="0"/>
              <w:jc w:val="both"/>
              <w:rPr>
                <w:rFonts w:ascii="Times New Roman" w:hAnsi="Times New Roman" w:cs="Times New Roman"/>
                <w:lang w:val="ro-RO"/>
              </w:rPr>
            </w:pPr>
          </w:p>
        </w:tc>
        <w:tc>
          <w:tcPr>
            <w:tcW w:w="1928" w:type="pct"/>
            <w:gridSpan w:val="3"/>
            <w:tcBorders>
              <w:top w:val="single" w:sz="4" w:space="0" w:color="auto"/>
              <w:left w:val="single" w:sz="4" w:space="0" w:color="auto"/>
              <w:bottom w:val="single" w:sz="4" w:space="0" w:color="auto"/>
              <w:right w:val="single" w:sz="4" w:space="0" w:color="auto"/>
            </w:tcBorders>
          </w:tcPr>
          <w:p w14:paraId="273BF399"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lastRenderedPageBreak/>
              <w:t>a)</w:t>
            </w:r>
            <w:r w:rsidRPr="009E686F">
              <w:rPr>
                <w:rFonts w:ascii="Times New Roman" w:eastAsia="Times New Roman" w:hAnsi="Times New Roman" w:cs="Times New Roman"/>
                <w:lang w:val="ro-RO"/>
              </w:rPr>
              <w:t xml:space="preserve"> </w:t>
            </w:r>
            <w:r w:rsidRPr="009E686F">
              <w:rPr>
                <w:rFonts w:ascii="Times New Roman" w:hAnsi="Times New Roman" w:cs="Times New Roman"/>
                <w:lang w:val="ro-RO"/>
              </w:rPr>
              <w:t>de a solicita prezentarea de documente;</w:t>
            </w:r>
          </w:p>
          <w:p w14:paraId="41FCED01"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eastAsia="Aptos" w:hAnsi="Times New Roman" w:cs="Times New Roman"/>
                <w:kern w:val="2"/>
                <w:lang w:val="ro-MD"/>
              </w:rPr>
              <w:t>b) de a examina evidenţele şi registrele persoanelor menţionate la alin.(5) şi de a ridica copii sau extrase ale acestor evidenţe şi registre;</w:t>
            </w:r>
          </w:p>
          <w:p w14:paraId="1F1D1096"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c)</w:t>
            </w:r>
            <w:r w:rsidRPr="009E686F">
              <w:rPr>
                <w:rFonts w:ascii="Times New Roman" w:eastAsia="Times New Roman" w:hAnsi="Times New Roman" w:cs="Times New Roman"/>
                <w:lang w:val="ro-RO"/>
              </w:rPr>
              <w:t xml:space="preserve"> </w:t>
            </w:r>
            <w:r w:rsidRPr="009E686F">
              <w:rPr>
                <w:rFonts w:ascii="Times New Roman" w:hAnsi="Times New Roman" w:cs="Times New Roman"/>
                <w:lang w:val="ro-RO"/>
              </w:rPr>
              <w:t>de a obţine explicaţii scrise sau verbale de la orice persoană prevăzută la alin. (5) sau de la reprezentanţii ori personalul acesteia;</w:t>
            </w:r>
          </w:p>
          <w:p w14:paraId="39122070"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d)</w:t>
            </w:r>
            <w:r w:rsidRPr="009E686F">
              <w:rPr>
                <w:rFonts w:ascii="Times New Roman" w:eastAsia="Times New Roman" w:hAnsi="Times New Roman" w:cs="Times New Roman"/>
                <w:lang w:val="ro-RO"/>
              </w:rPr>
              <w:t xml:space="preserve"> </w:t>
            </w:r>
            <w:r w:rsidRPr="009E686F">
              <w:rPr>
                <w:rFonts w:ascii="Times New Roman" w:hAnsi="Times New Roman" w:cs="Times New Roman"/>
                <w:lang w:val="ro-RO"/>
              </w:rPr>
              <w:t>de a intervieva orice altă persoană, cu consimţământul acesteia, în scopul colectării de informaţii referitoare la obiectul unei cercetări.</w:t>
            </w:r>
          </w:p>
          <w:p w14:paraId="7245329A"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e) de a avea acces la sistemele informaţionale şi de a solicita prezentarea de informaţii din bazele de date aferente.</w:t>
            </w:r>
          </w:p>
          <w:p w14:paraId="631A02FB" w14:textId="2CD182F3" w:rsidR="002F47A0" w:rsidRPr="009E686F" w:rsidRDefault="002F47A0" w:rsidP="002F47A0">
            <w:pPr>
              <w:spacing w:after="0"/>
              <w:jc w:val="both"/>
              <w:rPr>
                <w:rFonts w:ascii="Times New Roman" w:eastAsia="Aptos" w:hAnsi="Times New Roman" w:cs="Times New Roman"/>
                <w:b/>
                <w:bCs/>
                <w:kern w:val="2"/>
                <w:lang w:val="ro-MD"/>
              </w:rPr>
            </w:pPr>
            <w:r w:rsidRPr="009E686F">
              <w:rPr>
                <w:rFonts w:ascii="Times New Roman" w:eastAsia="Aptos" w:hAnsi="Times New Roman" w:cs="Times New Roman"/>
                <w:b/>
                <w:bCs/>
                <w:kern w:val="2"/>
                <w:lang w:val="ro-MD"/>
              </w:rPr>
              <w:t>Art. 138 alin. (4) lit. c)</w:t>
            </w:r>
          </w:p>
          <w:p w14:paraId="07732948" w14:textId="45EE5404" w:rsidR="002F47A0" w:rsidRPr="009E686F" w:rsidRDefault="002F47A0" w:rsidP="002F47A0">
            <w:pPr>
              <w:spacing w:after="0"/>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c) competenţa de a efectua toate inspecţiile necesare la sediile persoanelor juridice menţionate la alin.(5) şi la sediul oricărei alte societăţi incluse în supravegherea consolidată pentru care Banca Naţională a Moldovei este supraveghetor consolidant, cu condiţia acordului prealabil al autorităţilor competente implicate și altor autorități relevante.</w:t>
            </w:r>
          </w:p>
          <w:p w14:paraId="752FE4E1" w14:textId="77777777" w:rsidR="002F47A0" w:rsidRPr="009E686F" w:rsidRDefault="002F47A0" w:rsidP="002F47A0">
            <w:pPr>
              <w:spacing w:after="0"/>
              <w:jc w:val="both"/>
              <w:rPr>
                <w:rFonts w:ascii="Times New Roman" w:eastAsia="Aptos" w:hAnsi="Times New Roman" w:cs="Times New Roman"/>
                <w:kern w:val="2"/>
                <w:lang w:val="ro-RO"/>
              </w:rPr>
            </w:pPr>
          </w:p>
          <w:p w14:paraId="24FCD890" w14:textId="77777777" w:rsidR="002F47A0" w:rsidRPr="009E686F" w:rsidRDefault="002F47A0" w:rsidP="002F47A0">
            <w:pPr>
              <w:spacing w:after="0" w:line="240" w:lineRule="auto"/>
              <w:jc w:val="both"/>
              <w:rPr>
                <w:rFonts w:ascii="Times New Roman" w:hAnsi="Times New Roman" w:cs="Times New Roman"/>
                <w:b/>
                <w:bCs/>
                <w:lang w:val="ro-MD"/>
              </w:rPr>
            </w:pPr>
          </w:p>
        </w:tc>
        <w:tc>
          <w:tcPr>
            <w:tcW w:w="470" w:type="pct"/>
            <w:tcBorders>
              <w:top w:val="single" w:sz="4" w:space="0" w:color="auto"/>
              <w:left w:val="single" w:sz="4" w:space="0" w:color="auto"/>
              <w:bottom w:val="single" w:sz="4" w:space="0" w:color="auto"/>
              <w:right w:val="single" w:sz="4" w:space="0" w:color="auto"/>
            </w:tcBorders>
          </w:tcPr>
          <w:p w14:paraId="130CD017" w14:textId="62790EB7"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6D97ADEC" w14:textId="77777777" w:rsidR="002F47A0" w:rsidRPr="009E686F" w:rsidRDefault="002F47A0" w:rsidP="002F47A0">
            <w:pPr>
              <w:jc w:val="both"/>
              <w:rPr>
                <w:rFonts w:ascii="Times New Roman" w:hAnsi="Times New Roman" w:cs="Times New Roman"/>
                <w:lang w:val="ro-RO"/>
              </w:rPr>
            </w:pPr>
          </w:p>
        </w:tc>
      </w:tr>
      <w:tr w:rsidR="002F47A0" w:rsidRPr="009E686F" w14:paraId="4144D2A1" w14:textId="0864F9FC" w:rsidTr="00774F3E">
        <w:trPr>
          <w:trHeight w:val="470"/>
        </w:trPr>
        <w:tc>
          <w:tcPr>
            <w:tcW w:w="1796" w:type="pct"/>
            <w:gridSpan w:val="2"/>
            <w:tcBorders>
              <w:top w:val="single" w:sz="4" w:space="0" w:color="auto"/>
              <w:left w:val="single" w:sz="4" w:space="0" w:color="auto"/>
              <w:bottom w:val="single" w:sz="4" w:space="0" w:color="auto"/>
              <w:right w:val="single" w:sz="4" w:space="0" w:color="auto"/>
            </w:tcBorders>
          </w:tcPr>
          <w:p w14:paraId="5177A580" w14:textId="06126C69"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(5) Prin derogare de la alineatul (1), în cazul în care sistemul juridic al unui stat membru nu prevede sancțiuni administrative, prezentul articol se poate aplica astfel încât sancțiunea să fie inițiată de autoritatea competentă și impusă de o autoritate judiciară, garantându-se, în același timp, faptul că aceste mijloace juridice sunt eficiente și au un efect echivalent cu cel al sancțiunilor administrative impuse de autoritățile competente. În orice caz, sancțiunile impuse trebuie să fie efective, proporționale și disuasive.</w:t>
            </w:r>
          </w:p>
          <w:p w14:paraId="132910A4" w14:textId="29701EFF"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Comisiei îi sunt comunicate de către statele membre menționate la primul paragraf dispozițiile de drept intern pe care le adoptă în temeiul prezentului alineat până la 10 ianuarie 2026 și, fără întârziere, orice modificare ulterioară a acestora.</w:t>
            </w:r>
          </w:p>
          <w:p w14:paraId="43F7B9F7" w14:textId="0BD5A5EE" w:rsidR="002F47A0" w:rsidRPr="009E686F" w:rsidRDefault="002F47A0" w:rsidP="002F47A0">
            <w:pPr>
              <w:spacing w:after="0"/>
              <w:jc w:val="both"/>
              <w:rPr>
                <w:rFonts w:ascii="Times New Roman" w:hAnsi="Times New Roman" w:cs="Times New Roman"/>
                <w:lang w:val="ro-RO"/>
              </w:rPr>
            </w:pPr>
          </w:p>
        </w:tc>
        <w:tc>
          <w:tcPr>
            <w:tcW w:w="1928" w:type="pct"/>
            <w:gridSpan w:val="3"/>
            <w:tcBorders>
              <w:top w:val="single" w:sz="4" w:space="0" w:color="auto"/>
              <w:left w:val="single" w:sz="4" w:space="0" w:color="auto"/>
              <w:bottom w:val="single" w:sz="4" w:space="0" w:color="auto"/>
              <w:right w:val="single" w:sz="4" w:space="0" w:color="auto"/>
            </w:tcBorders>
          </w:tcPr>
          <w:p w14:paraId="2D7921D0" w14:textId="77777777" w:rsidR="002F47A0" w:rsidRPr="009E686F" w:rsidRDefault="002F47A0" w:rsidP="002F47A0">
            <w:pPr>
              <w:spacing w:after="0"/>
              <w:jc w:val="both"/>
              <w:rPr>
                <w:rFonts w:ascii="Times New Roman" w:hAnsi="Times New Roman" w:cs="Times New Roman"/>
                <w:lang w:val="ro-RO"/>
              </w:rPr>
            </w:pPr>
          </w:p>
        </w:tc>
        <w:tc>
          <w:tcPr>
            <w:tcW w:w="470" w:type="pct"/>
            <w:tcBorders>
              <w:top w:val="single" w:sz="4" w:space="0" w:color="auto"/>
              <w:left w:val="single" w:sz="4" w:space="0" w:color="auto"/>
              <w:bottom w:val="single" w:sz="4" w:space="0" w:color="auto"/>
              <w:right w:val="single" w:sz="4" w:space="0" w:color="auto"/>
            </w:tcBorders>
          </w:tcPr>
          <w:p w14:paraId="32275748" w14:textId="737BDEE3"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Norme UE netranspuse</w:t>
            </w:r>
          </w:p>
          <w:p w14:paraId="1B12F4C4" w14:textId="27D826BC" w:rsidR="002F47A0" w:rsidRPr="009E686F" w:rsidRDefault="002F47A0" w:rsidP="002F47A0">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24B59C5B" w14:textId="7AFFE3C0"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BNM exercit</w:t>
            </w:r>
            <w:r w:rsidRPr="009E686F">
              <w:rPr>
                <w:rFonts w:ascii="Times New Roman" w:hAnsi="Times New Roman" w:cs="Times New Roman"/>
                <w:lang w:val="ro-MD"/>
              </w:rPr>
              <w:t>ă</w:t>
            </w:r>
            <w:r w:rsidRPr="009E686F">
              <w:rPr>
                <w:rFonts w:ascii="Times New Roman" w:hAnsi="Times New Roman" w:cs="Times New Roman"/>
                <w:lang w:val="ro-RO"/>
              </w:rPr>
              <w:t xml:space="preserve"> în exclusivitate funcția de supraveghere</w:t>
            </w:r>
          </w:p>
        </w:tc>
      </w:tr>
      <w:tr w:rsidR="002F47A0" w:rsidRPr="009E686F" w14:paraId="459838DA" w14:textId="61D94E7E" w:rsidTr="00774F3E">
        <w:tc>
          <w:tcPr>
            <w:tcW w:w="1796" w:type="pct"/>
            <w:gridSpan w:val="2"/>
            <w:tcBorders>
              <w:top w:val="single" w:sz="4" w:space="0" w:color="auto"/>
              <w:left w:val="single" w:sz="4" w:space="0" w:color="auto"/>
              <w:bottom w:val="single" w:sz="4" w:space="0" w:color="auto"/>
              <w:right w:val="single" w:sz="4" w:space="0" w:color="auto"/>
            </w:tcBorders>
          </w:tcPr>
          <w:p w14:paraId="38D0013F" w14:textId="77777777" w:rsidR="002F47A0" w:rsidRPr="009E686F" w:rsidRDefault="002F47A0" w:rsidP="002F47A0">
            <w:pPr>
              <w:spacing w:after="0"/>
              <w:jc w:val="both"/>
              <w:rPr>
                <w:rFonts w:ascii="Times New Roman" w:hAnsi="Times New Roman" w:cs="Times New Roman"/>
                <w:i/>
                <w:iCs/>
                <w:lang w:val="ro-RO"/>
              </w:rPr>
            </w:pPr>
            <w:r w:rsidRPr="009E686F">
              <w:rPr>
                <w:rFonts w:ascii="Times New Roman" w:hAnsi="Times New Roman" w:cs="Times New Roman"/>
                <w:i/>
                <w:iCs/>
                <w:lang w:val="ro-RO"/>
              </w:rPr>
              <w:t xml:space="preserve">Articolul 66 </w:t>
            </w:r>
          </w:p>
          <w:p w14:paraId="2E10BAB6" w14:textId="4314BD5B"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Sancțiuni administrative, penalități cu titlu cominatoriu și alte măsuri administrative pentru încălcarea cerințelor de autorizare și a cerințelor privind achiziționarea sau cesionarea de dețineri semnificative, transferurile semnificative de active și pasive, fuziunile sau divizările</w:t>
            </w:r>
          </w:p>
        </w:tc>
        <w:tc>
          <w:tcPr>
            <w:tcW w:w="1928" w:type="pct"/>
            <w:gridSpan w:val="3"/>
            <w:tcBorders>
              <w:top w:val="single" w:sz="4" w:space="0" w:color="auto"/>
              <w:left w:val="single" w:sz="4" w:space="0" w:color="auto"/>
              <w:bottom w:val="single" w:sz="4" w:space="0" w:color="auto"/>
              <w:right w:val="single" w:sz="4" w:space="0" w:color="auto"/>
            </w:tcBorders>
          </w:tcPr>
          <w:p w14:paraId="2EC22839" w14:textId="77777777" w:rsidR="002F47A0" w:rsidRPr="009E686F" w:rsidRDefault="002F47A0" w:rsidP="002F47A0">
            <w:pPr>
              <w:spacing w:after="0"/>
              <w:rPr>
                <w:rFonts w:ascii="Times New Roman" w:hAnsi="Times New Roman" w:cs="Times New Roman"/>
                <w:lang w:val="ro-RO"/>
              </w:rPr>
            </w:pPr>
            <w:r w:rsidRPr="009E686F">
              <w:rPr>
                <w:rFonts w:ascii="Times New Roman" w:hAnsi="Times New Roman" w:cs="Times New Roman"/>
                <w:b/>
                <w:bCs/>
                <w:lang w:val="ro-RO"/>
              </w:rPr>
              <w:t xml:space="preserve">Articolul 140. </w:t>
            </w:r>
            <w:r w:rsidRPr="009E686F">
              <w:rPr>
                <w:rFonts w:ascii="Times New Roman" w:hAnsi="Times New Roman" w:cs="Times New Roman"/>
                <w:lang w:val="ro-RO"/>
              </w:rPr>
              <w:t xml:space="preserve"> Faptele sancționabile </w:t>
            </w:r>
          </w:p>
          <w:p w14:paraId="47C2BF71" w14:textId="77777777" w:rsidR="002F47A0" w:rsidRPr="009E686F" w:rsidRDefault="002F47A0" w:rsidP="002F47A0">
            <w:pPr>
              <w:spacing w:after="0"/>
              <w:jc w:val="both"/>
              <w:rPr>
                <w:rFonts w:ascii="Times New Roman" w:hAnsi="Times New Roman" w:cs="Times New Roman"/>
                <w:lang w:val="it-CH"/>
              </w:rPr>
            </w:pPr>
            <w:r w:rsidRPr="009E686F">
              <w:rPr>
                <w:rFonts w:ascii="Times New Roman" w:hAnsi="Times New Roman" w:cs="Times New Roman"/>
                <w:b/>
                <w:bCs/>
                <w:lang w:val="it-CH"/>
              </w:rPr>
              <w:t>Articolul 141.</w:t>
            </w:r>
            <w:r w:rsidRPr="009E686F">
              <w:rPr>
                <w:rFonts w:ascii="Times New Roman" w:hAnsi="Times New Roman" w:cs="Times New Roman"/>
                <w:lang w:val="it-CH"/>
              </w:rPr>
              <w:t xml:space="preserve"> Sancţiunile, </w:t>
            </w:r>
            <w:r w:rsidRPr="009E686F">
              <w:rPr>
                <w:rFonts w:ascii="Times New Roman" w:hAnsi="Times New Roman" w:cs="Times New Roman"/>
                <w:i/>
                <w:iCs/>
                <w:lang w:val="it-CH"/>
              </w:rPr>
              <w:t>penalitățile cu titlu cominatoriu</w:t>
            </w:r>
            <w:r w:rsidRPr="009E686F">
              <w:rPr>
                <w:rFonts w:ascii="Times New Roman" w:hAnsi="Times New Roman" w:cs="Times New Roman"/>
                <w:lang w:val="it-CH"/>
              </w:rPr>
              <w:t xml:space="preserve"> şi măsurile sancţionatoare aplicabile</w:t>
            </w:r>
          </w:p>
          <w:p w14:paraId="34074164" w14:textId="77777777" w:rsidR="002F47A0" w:rsidRPr="009E686F" w:rsidRDefault="002F47A0" w:rsidP="002F47A0">
            <w:pPr>
              <w:spacing w:after="0"/>
              <w:jc w:val="both"/>
              <w:rPr>
                <w:rFonts w:ascii="Times New Roman" w:hAnsi="Times New Roman" w:cs="Times New Roman"/>
                <w:b/>
                <w:lang w:val="it-CH"/>
              </w:rPr>
            </w:pPr>
          </w:p>
        </w:tc>
        <w:tc>
          <w:tcPr>
            <w:tcW w:w="470" w:type="pct"/>
            <w:tcBorders>
              <w:top w:val="single" w:sz="4" w:space="0" w:color="auto"/>
              <w:left w:val="single" w:sz="4" w:space="0" w:color="auto"/>
              <w:bottom w:val="single" w:sz="4" w:space="0" w:color="auto"/>
              <w:right w:val="single" w:sz="4" w:space="0" w:color="auto"/>
            </w:tcBorders>
          </w:tcPr>
          <w:p w14:paraId="15645832" w14:textId="274A17E6"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2AFA2840" w14:textId="77777777" w:rsidR="002F47A0" w:rsidRPr="009E686F" w:rsidRDefault="002F47A0" w:rsidP="002F47A0">
            <w:pPr>
              <w:jc w:val="both"/>
              <w:rPr>
                <w:rFonts w:ascii="Times New Roman" w:hAnsi="Times New Roman" w:cs="Times New Roman"/>
                <w:lang w:val="ro-RO"/>
              </w:rPr>
            </w:pPr>
          </w:p>
        </w:tc>
      </w:tr>
      <w:tr w:rsidR="002F47A0" w:rsidRPr="009E686F" w14:paraId="052CB89F" w14:textId="204DFDF3" w:rsidTr="00774F3E">
        <w:tc>
          <w:tcPr>
            <w:tcW w:w="1796" w:type="pct"/>
            <w:gridSpan w:val="2"/>
            <w:tcBorders>
              <w:top w:val="single" w:sz="4" w:space="0" w:color="auto"/>
              <w:left w:val="single" w:sz="4" w:space="0" w:color="auto"/>
              <w:bottom w:val="single" w:sz="4" w:space="0" w:color="auto"/>
              <w:right w:val="single" w:sz="4" w:space="0" w:color="auto"/>
            </w:tcBorders>
          </w:tcPr>
          <w:p w14:paraId="577711CE"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(1) Statele membre se asigură că actele cu putere de lege și actele administrative naționale prevăd sancțiuni administrative, penalități cu titlu cominatoriu și alte măsuri administrative cel puțin în cazul în care:</w:t>
            </w:r>
          </w:p>
          <w:p w14:paraId="083D4A73" w14:textId="75727476" w:rsidR="002F47A0" w:rsidRPr="009E686F" w:rsidRDefault="002F47A0" w:rsidP="002F47A0">
            <w:pPr>
              <w:spacing w:after="0"/>
              <w:jc w:val="both"/>
              <w:rPr>
                <w:rFonts w:ascii="Times New Roman" w:hAnsi="Times New Roman" w:cs="Times New Roman"/>
                <w:lang w:val="ro-RO"/>
              </w:rPr>
            </w:pPr>
          </w:p>
        </w:tc>
        <w:tc>
          <w:tcPr>
            <w:tcW w:w="1928" w:type="pct"/>
            <w:gridSpan w:val="3"/>
            <w:tcBorders>
              <w:top w:val="single" w:sz="4" w:space="0" w:color="auto"/>
              <w:left w:val="single" w:sz="4" w:space="0" w:color="auto"/>
              <w:bottom w:val="single" w:sz="4" w:space="0" w:color="auto"/>
              <w:right w:val="single" w:sz="4" w:space="0" w:color="auto"/>
            </w:tcBorders>
          </w:tcPr>
          <w:p w14:paraId="51A2BC50" w14:textId="1F57ABD8" w:rsidR="002F47A0" w:rsidRPr="009E686F" w:rsidRDefault="002F47A0" w:rsidP="002F47A0">
            <w:pPr>
              <w:spacing w:after="0"/>
              <w:jc w:val="both"/>
              <w:rPr>
                <w:rFonts w:ascii="Times New Roman" w:hAnsi="Times New Roman" w:cs="Times New Roman"/>
                <w:b/>
                <w:bCs/>
                <w:lang w:val="ro-RO"/>
              </w:rPr>
            </w:pPr>
            <w:r w:rsidRPr="009E686F">
              <w:rPr>
                <w:rFonts w:ascii="Times New Roman" w:hAnsi="Times New Roman" w:cs="Times New Roman"/>
                <w:b/>
                <w:bCs/>
                <w:lang w:val="ro-RO"/>
              </w:rPr>
              <w:t xml:space="preserve">Articolul 140 </w:t>
            </w:r>
            <w:r w:rsidRPr="009E686F">
              <w:rPr>
                <w:rFonts w:ascii="Times New Roman" w:eastAsia="Aptos" w:hAnsi="Times New Roman" w:cs="Times New Roman"/>
                <w:b/>
                <w:bCs/>
                <w:kern w:val="2"/>
                <w:lang w:val="ro-MD"/>
              </w:rPr>
              <w:t>alin.</w:t>
            </w:r>
            <w:r w:rsidRPr="009E686F">
              <w:rPr>
                <w:rFonts w:ascii="Times New Roman" w:hAnsi="Times New Roman" w:cs="Times New Roman"/>
                <w:b/>
                <w:bCs/>
                <w:lang w:val="ro-RO"/>
              </w:rPr>
              <w:t xml:space="preserve"> (2)</w:t>
            </w:r>
          </w:p>
          <w:p w14:paraId="525A117E" w14:textId="56F20823" w:rsidR="002F47A0" w:rsidRPr="009E686F" w:rsidRDefault="002F47A0" w:rsidP="002F47A0">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 xml:space="preserve">(2) Banca Naţională a Moldovei are competenţa de a aplica sancţiunile, </w:t>
            </w:r>
            <w:r w:rsidRPr="009E686F">
              <w:rPr>
                <w:rFonts w:ascii="Times New Roman" w:eastAsia="Aptos" w:hAnsi="Times New Roman" w:cs="Times New Roman"/>
                <w:i/>
                <w:iCs/>
                <w:kern w:val="2"/>
                <w:lang w:val="ro-MD"/>
              </w:rPr>
              <w:t>penalitățile cu titlu cominatoriu</w:t>
            </w:r>
            <w:r w:rsidRPr="009E686F">
              <w:rPr>
                <w:rFonts w:ascii="Times New Roman" w:eastAsia="Aptos" w:hAnsi="Times New Roman" w:cs="Times New Roman"/>
                <w:kern w:val="2"/>
                <w:lang w:val="ro-MD"/>
              </w:rPr>
              <w:t xml:space="preserve"> şi măsurile sancţionatoare prevăzute la art.141 şi în cazurile în care constată că orice persoană se face vinovată de următoarele fapte:</w:t>
            </w:r>
          </w:p>
        </w:tc>
        <w:tc>
          <w:tcPr>
            <w:tcW w:w="470" w:type="pct"/>
            <w:tcBorders>
              <w:top w:val="single" w:sz="4" w:space="0" w:color="auto"/>
              <w:left w:val="single" w:sz="4" w:space="0" w:color="auto"/>
              <w:bottom w:val="single" w:sz="4" w:space="0" w:color="auto"/>
              <w:right w:val="single" w:sz="4" w:space="0" w:color="auto"/>
            </w:tcBorders>
          </w:tcPr>
          <w:p w14:paraId="645DFFD7" w14:textId="3226C228"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07CFF401" w14:textId="77777777" w:rsidR="002F47A0" w:rsidRPr="009E686F" w:rsidRDefault="002F47A0" w:rsidP="002F47A0">
            <w:pPr>
              <w:jc w:val="both"/>
              <w:rPr>
                <w:rFonts w:ascii="Times New Roman" w:hAnsi="Times New Roman" w:cs="Times New Roman"/>
                <w:lang w:val="ro-RO"/>
              </w:rPr>
            </w:pPr>
          </w:p>
        </w:tc>
      </w:tr>
      <w:tr w:rsidR="002F47A0" w:rsidRPr="009E686F" w14:paraId="1A16D7D1"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3237A0C9"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 xml:space="preserve">(a) s-a început desfășurarea de activități specifice unei </w:t>
            </w:r>
            <w:r w:rsidRPr="009E686F">
              <w:rPr>
                <w:rFonts w:ascii="Times New Roman" w:hAnsi="Times New Roman" w:cs="Times New Roman"/>
                <w:i/>
                <w:iCs/>
                <w:lang w:val="ro-RO"/>
              </w:rPr>
              <w:t>instituții de credit</w:t>
            </w:r>
            <w:r w:rsidRPr="009E686F">
              <w:rPr>
                <w:rFonts w:ascii="Times New Roman" w:hAnsi="Times New Roman" w:cs="Times New Roman"/>
                <w:lang w:val="ro-RO"/>
              </w:rPr>
              <w:t xml:space="preserve"> fără să se fi obținut în prealabil o autorizație, cu încălcarea articolului 8 din prezenta directivă;</w:t>
            </w:r>
          </w:p>
          <w:p w14:paraId="1B1FFCD7"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lastRenderedPageBreak/>
              <w:t xml:space="preserve">(b) cel puțin una dintre activitățile menționate la articolul 4 alineatul (1) punctul 1 litera (b) din Regulamentul (UE) nr. 575/2013 este desfășurată de către o entitate care atinge pragul indicat la litera respectivă și care nu a obținut o autorizație pentru a funcționa ca </w:t>
            </w:r>
            <w:r w:rsidRPr="009E686F">
              <w:rPr>
                <w:rFonts w:ascii="Times New Roman" w:hAnsi="Times New Roman" w:cs="Times New Roman"/>
                <w:i/>
                <w:iCs/>
                <w:lang w:val="ro-RO"/>
              </w:rPr>
              <w:t>instituție de credit</w:t>
            </w:r>
            <w:r w:rsidRPr="009E686F">
              <w:rPr>
                <w:rFonts w:ascii="Times New Roman" w:hAnsi="Times New Roman" w:cs="Times New Roman"/>
                <w:lang w:val="ro-RO"/>
              </w:rPr>
              <w:t>, cu excepția entităților care solicită derogarea în temeiul articolului 8a din prezenta directivă;</w:t>
            </w:r>
            <w:r w:rsidRPr="009E686F" w:rsidDel="0074265F">
              <w:rPr>
                <w:rFonts w:ascii="Times New Roman" w:hAnsi="Times New Roman" w:cs="Times New Roman"/>
                <w:lang w:val="ro-RO"/>
              </w:rPr>
              <w:t xml:space="preserve"> </w:t>
            </w:r>
          </w:p>
          <w:p w14:paraId="09740A33" w14:textId="4C8FF6FB"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 xml:space="preserve">(c) activitatea de preluare de depozite sau de alte fonduri rambursabile de la populație se desfășoară fără să se fi obținut o autorizație pentru a funcționa ca </w:t>
            </w:r>
            <w:r w:rsidRPr="009E686F">
              <w:rPr>
                <w:rFonts w:ascii="Times New Roman" w:hAnsi="Times New Roman" w:cs="Times New Roman"/>
                <w:i/>
                <w:iCs/>
                <w:lang w:val="ro-RO"/>
              </w:rPr>
              <w:t>instituție de credit</w:t>
            </w:r>
            <w:r w:rsidRPr="009E686F">
              <w:rPr>
                <w:rFonts w:ascii="Times New Roman" w:hAnsi="Times New Roman" w:cs="Times New Roman"/>
                <w:lang w:val="ro-RO"/>
              </w:rPr>
              <w:t>, cu încălcarea articolului 9 din prezenta directivă;</w:t>
            </w:r>
          </w:p>
        </w:tc>
        <w:tc>
          <w:tcPr>
            <w:tcW w:w="1928" w:type="pct"/>
            <w:gridSpan w:val="3"/>
            <w:tcBorders>
              <w:top w:val="single" w:sz="4" w:space="0" w:color="auto"/>
              <w:left w:val="single" w:sz="4" w:space="0" w:color="auto"/>
              <w:bottom w:val="single" w:sz="4" w:space="0" w:color="auto"/>
              <w:right w:val="single" w:sz="4" w:space="0" w:color="auto"/>
            </w:tcBorders>
          </w:tcPr>
          <w:p w14:paraId="2F7E26B2" w14:textId="2D2BF717" w:rsidR="00A7194F" w:rsidRPr="009E686F" w:rsidRDefault="002B6C4F" w:rsidP="00A7194F">
            <w:pPr>
              <w:spacing w:after="0"/>
              <w:jc w:val="both"/>
              <w:rPr>
                <w:rFonts w:ascii="Times New Roman" w:hAnsi="Times New Roman" w:cs="Times New Roman"/>
                <w:lang w:val="ro-MD"/>
              </w:rPr>
            </w:pPr>
            <w:r w:rsidRPr="009E686F">
              <w:rPr>
                <w:rFonts w:ascii="Times New Roman" w:hAnsi="Times New Roman" w:cs="Times New Roman"/>
                <w:b/>
                <w:bCs/>
                <w:lang w:val="ro-MD"/>
              </w:rPr>
              <w:lastRenderedPageBreak/>
              <w:t xml:space="preserve">Codul penal al Republicii Moldova nr. 985-XV  din  18.04.2002 - </w:t>
            </w:r>
            <w:r w:rsidR="00A7194F" w:rsidRPr="009E686F">
              <w:rPr>
                <w:rFonts w:ascii="Times New Roman" w:hAnsi="Times New Roman" w:cs="Times New Roman"/>
                <w:b/>
                <w:bCs/>
                <w:lang w:val="ro-MD"/>
              </w:rPr>
              <w:t>Articolul 241</w:t>
            </w:r>
            <w:r w:rsidR="00A7194F" w:rsidRPr="009E686F">
              <w:rPr>
                <w:rFonts w:ascii="Times New Roman" w:hAnsi="Times New Roman" w:cs="Times New Roman"/>
                <w:b/>
                <w:bCs/>
                <w:vertAlign w:val="superscript"/>
                <w:lang w:val="ro-MD"/>
              </w:rPr>
              <w:t>1</w:t>
            </w:r>
            <w:r w:rsidR="00A7194F" w:rsidRPr="009E686F">
              <w:rPr>
                <w:rFonts w:ascii="Times New Roman" w:hAnsi="Times New Roman" w:cs="Times New Roman"/>
                <w:b/>
                <w:bCs/>
                <w:lang w:val="ro-MD"/>
              </w:rPr>
              <w:t>.</w:t>
            </w:r>
            <w:r w:rsidR="00A7194F" w:rsidRPr="009E686F">
              <w:rPr>
                <w:rFonts w:ascii="Times New Roman" w:hAnsi="Times New Roman" w:cs="Times New Roman"/>
                <w:lang w:val="ro-MD"/>
              </w:rPr>
              <w:t xml:space="preserve"> Practicarea ilegală a activităţii financiare</w:t>
            </w:r>
          </w:p>
          <w:p w14:paraId="159F4CB7" w14:textId="77777777" w:rsidR="00A7194F" w:rsidRPr="009E686F" w:rsidRDefault="00A7194F" w:rsidP="00A7194F">
            <w:pPr>
              <w:spacing w:after="0"/>
              <w:jc w:val="both"/>
              <w:rPr>
                <w:rFonts w:ascii="Times New Roman" w:hAnsi="Times New Roman" w:cs="Times New Roman"/>
                <w:lang w:val="ro-MD"/>
              </w:rPr>
            </w:pPr>
            <w:r w:rsidRPr="009E686F">
              <w:rPr>
                <w:rFonts w:ascii="Times New Roman" w:hAnsi="Times New Roman" w:cs="Times New Roman"/>
                <w:lang w:val="ro-MD"/>
              </w:rPr>
              <w:lastRenderedPageBreak/>
              <w:t>(1) Practicarea activităţii financiare fără înregistrare şi/sau fără autorizare (licenţiere), în modul prevăzut de legislaţie, dacă aceasta a cauzat daune în proporţii mari</w:t>
            </w:r>
          </w:p>
          <w:p w14:paraId="1B4EB7FD" w14:textId="77777777" w:rsidR="00A7194F" w:rsidRPr="009E686F" w:rsidRDefault="00A7194F" w:rsidP="00A7194F">
            <w:pPr>
              <w:spacing w:after="0"/>
              <w:jc w:val="both"/>
              <w:rPr>
                <w:rFonts w:ascii="Times New Roman" w:hAnsi="Times New Roman" w:cs="Times New Roman"/>
                <w:lang w:val="ro-MD"/>
              </w:rPr>
            </w:pPr>
            <w:r w:rsidRPr="009E686F">
              <w:rPr>
                <w:rFonts w:ascii="Times New Roman" w:hAnsi="Times New Roman" w:cs="Times New Roman"/>
                <w:lang w:val="ro-MD"/>
              </w:rPr>
              <w:t>se pedepseşte cu amendă în mărime de la 1000 la 1500 de unităţi convenţionale.</w:t>
            </w:r>
          </w:p>
          <w:p w14:paraId="17A11509" w14:textId="37C42CE1" w:rsidR="00A7194F" w:rsidRPr="009E686F" w:rsidRDefault="00A7194F" w:rsidP="00A7194F">
            <w:pPr>
              <w:spacing w:after="0"/>
              <w:jc w:val="both"/>
              <w:rPr>
                <w:rFonts w:ascii="Times New Roman" w:hAnsi="Times New Roman" w:cs="Times New Roman"/>
                <w:lang w:val="ro-MD"/>
              </w:rPr>
            </w:pPr>
            <w:r w:rsidRPr="009E686F">
              <w:rPr>
                <w:rFonts w:ascii="Times New Roman" w:hAnsi="Times New Roman" w:cs="Times New Roman"/>
                <w:lang w:val="ro-MD"/>
              </w:rPr>
              <w:t>(2) Aceeaşi acţiune care a cauzat daune în proporţii deosebit de mari</w:t>
            </w:r>
            <w:r w:rsidR="00B124A1" w:rsidRPr="009E686F">
              <w:rPr>
                <w:rFonts w:ascii="Times New Roman" w:hAnsi="Times New Roman" w:cs="Times New Roman"/>
                <w:lang w:val="ro-MD"/>
              </w:rPr>
              <w:t xml:space="preserve"> </w:t>
            </w:r>
            <w:r w:rsidRPr="009E686F">
              <w:rPr>
                <w:rFonts w:ascii="Times New Roman" w:hAnsi="Times New Roman" w:cs="Times New Roman"/>
                <w:lang w:val="ro-MD"/>
              </w:rPr>
              <w:t>se pedepseşte cu amendă în mărime de la 1700 la 2700 de unităţi convenţionale sau cu închisoare de la 2 pînă la 5 ani.</w:t>
            </w:r>
          </w:p>
          <w:p w14:paraId="43B7EEFD" w14:textId="5F6BE770" w:rsidR="002F47A0" w:rsidRPr="009E686F" w:rsidRDefault="00A7194F" w:rsidP="00A7194F">
            <w:pPr>
              <w:spacing w:after="0"/>
              <w:jc w:val="both"/>
              <w:rPr>
                <w:rFonts w:ascii="Times New Roman" w:hAnsi="Times New Roman" w:cs="Times New Roman"/>
                <w:lang w:val="ro-RO"/>
              </w:rPr>
            </w:pPr>
            <w:r w:rsidRPr="009E686F">
              <w:rPr>
                <w:rFonts w:ascii="Times New Roman" w:hAnsi="Times New Roman" w:cs="Times New Roman"/>
                <w:lang w:val="ro-MD"/>
              </w:rPr>
              <w:br/>
            </w:r>
          </w:p>
        </w:tc>
        <w:tc>
          <w:tcPr>
            <w:tcW w:w="470" w:type="pct"/>
            <w:tcBorders>
              <w:top w:val="single" w:sz="4" w:space="0" w:color="auto"/>
              <w:left w:val="single" w:sz="4" w:space="0" w:color="auto"/>
              <w:bottom w:val="single" w:sz="4" w:space="0" w:color="auto"/>
              <w:right w:val="single" w:sz="4" w:space="0" w:color="auto"/>
            </w:tcBorders>
          </w:tcPr>
          <w:p w14:paraId="78A17B96" w14:textId="147907E5" w:rsidR="002F47A0" w:rsidRPr="009E686F" w:rsidRDefault="005A420A" w:rsidP="002F47A0">
            <w:pPr>
              <w:jc w:val="both"/>
              <w:rPr>
                <w:rFonts w:ascii="Times New Roman" w:hAnsi="Times New Roman" w:cs="Times New Roman"/>
                <w:lang w:val="ro-RO"/>
              </w:rPr>
            </w:pPr>
            <w:r w:rsidRPr="009E686F">
              <w:rPr>
                <w:rFonts w:ascii="Times New Roman" w:hAnsi="Times New Roman" w:cs="Times New Roman"/>
                <w:lang w:val="ro-RO"/>
              </w:rPr>
              <w:lastRenderedPageBreak/>
              <w:t>Compatibil</w:t>
            </w:r>
          </w:p>
          <w:p w14:paraId="02583D0D" w14:textId="77777777" w:rsidR="002F47A0" w:rsidRPr="009E686F" w:rsidRDefault="002F47A0" w:rsidP="002F47A0">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660F18FC" w14:textId="0230A7E0" w:rsidR="002F47A0" w:rsidRPr="009E686F" w:rsidRDefault="00A7194F" w:rsidP="002F47A0">
            <w:pPr>
              <w:jc w:val="both"/>
              <w:rPr>
                <w:rFonts w:ascii="Times New Roman" w:hAnsi="Times New Roman" w:cs="Times New Roman"/>
                <w:lang w:val="ro-RO"/>
              </w:rPr>
            </w:pPr>
            <w:r w:rsidRPr="009E686F">
              <w:rPr>
                <w:rFonts w:ascii="Times New Roman" w:hAnsi="Times New Roman" w:cs="Times New Roman"/>
                <w:lang w:val="ro-RO"/>
              </w:rPr>
              <w:t xml:space="preserve">Se regăsesc în Codul penal al Republicii Moldova </w:t>
            </w:r>
            <w:r w:rsidR="00146DBD" w:rsidRPr="009E686F">
              <w:rPr>
                <w:rFonts w:ascii="Times New Roman" w:hAnsi="Times New Roman" w:cs="Times New Roman"/>
                <w:lang w:val="ro-RO"/>
              </w:rPr>
              <w:t xml:space="preserve">nr. 985-XV  din  18.04.2002 </w:t>
            </w:r>
            <w:r w:rsidRPr="009E686F">
              <w:rPr>
                <w:rFonts w:ascii="Times New Roman" w:hAnsi="Times New Roman" w:cs="Times New Roman"/>
                <w:lang w:val="ro-RO"/>
              </w:rPr>
              <w:t>(</w:t>
            </w:r>
            <w:r w:rsidR="00146DBD" w:rsidRPr="009E686F">
              <w:rPr>
                <w:rFonts w:ascii="Times New Roman" w:hAnsi="Times New Roman" w:cs="Times New Roman"/>
                <w:lang w:val="ro-RO"/>
              </w:rPr>
              <w:t xml:space="preserve">Republicat </w:t>
            </w:r>
            <w:r w:rsidR="00146DBD" w:rsidRPr="009E686F">
              <w:rPr>
                <w:rFonts w:ascii="Times New Roman" w:hAnsi="Times New Roman" w:cs="Times New Roman"/>
                <w:lang w:val="ro-RO"/>
              </w:rPr>
              <w:lastRenderedPageBreak/>
              <w:t>în Monitorul Oficial al R. Moldova nr. 72-74, art. 195</w:t>
            </w:r>
            <w:r w:rsidRPr="009E686F">
              <w:rPr>
                <w:rFonts w:ascii="Times New Roman" w:hAnsi="Times New Roman" w:cs="Times New Roman"/>
                <w:lang w:val="ro-RO"/>
              </w:rPr>
              <w:t>)</w:t>
            </w:r>
          </w:p>
          <w:p w14:paraId="0E2AC6BC" w14:textId="77777777" w:rsidR="002F47A0" w:rsidRPr="009E686F" w:rsidRDefault="002F47A0" w:rsidP="002F47A0">
            <w:pPr>
              <w:jc w:val="both"/>
              <w:rPr>
                <w:rFonts w:ascii="Times New Roman" w:hAnsi="Times New Roman" w:cs="Times New Roman"/>
                <w:lang w:val="ro-RO"/>
              </w:rPr>
            </w:pPr>
          </w:p>
        </w:tc>
      </w:tr>
      <w:tr w:rsidR="002F47A0" w:rsidRPr="009E686F" w14:paraId="703C695E"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32A0D63F" w14:textId="3D51E019"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lastRenderedPageBreak/>
              <w:t xml:space="preserve">(d) o deținere calificată într-o </w:t>
            </w:r>
            <w:r w:rsidRPr="009E686F">
              <w:rPr>
                <w:rFonts w:ascii="Times New Roman" w:hAnsi="Times New Roman" w:cs="Times New Roman"/>
                <w:i/>
                <w:iCs/>
                <w:lang w:val="ro-RO"/>
              </w:rPr>
              <w:t>instituție de credit</w:t>
            </w:r>
            <w:r w:rsidRPr="009E686F">
              <w:rPr>
                <w:rFonts w:ascii="Times New Roman" w:hAnsi="Times New Roman" w:cs="Times New Roman"/>
                <w:lang w:val="ro-RO"/>
              </w:rPr>
              <w:t xml:space="preserve"> este achiziționată, în mod direct sau indirect, sau majorată, în mod direct sau indirect, astfel încât proporția drepturilor de vot sau a capitalului deținut să atingă sau să depășească pragurile menționate la articolul 22 alineatul (1) din prezenta directivă sau astfel încât </w:t>
            </w:r>
            <w:r w:rsidRPr="009E686F">
              <w:rPr>
                <w:rFonts w:ascii="Times New Roman" w:hAnsi="Times New Roman" w:cs="Times New Roman"/>
                <w:i/>
                <w:iCs/>
                <w:lang w:val="ro-RO"/>
              </w:rPr>
              <w:t>instituția de credit</w:t>
            </w:r>
            <w:r w:rsidRPr="009E686F">
              <w:rPr>
                <w:rFonts w:ascii="Times New Roman" w:hAnsi="Times New Roman" w:cs="Times New Roman"/>
                <w:lang w:val="ro-RO"/>
              </w:rPr>
              <w:t xml:space="preserve"> să devină filiala achizitorului, fără notificarea în scris a autorităților competente ale </w:t>
            </w:r>
            <w:r w:rsidRPr="009E686F">
              <w:rPr>
                <w:rFonts w:ascii="Times New Roman" w:hAnsi="Times New Roman" w:cs="Times New Roman"/>
                <w:i/>
                <w:iCs/>
                <w:lang w:val="ro-RO"/>
              </w:rPr>
              <w:t>instituției de credit</w:t>
            </w:r>
            <w:r w:rsidRPr="009E686F">
              <w:rPr>
                <w:rFonts w:ascii="Times New Roman" w:hAnsi="Times New Roman" w:cs="Times New Roman"/>
                <w:lang w:val="ro-RO"/>
              </w:rPr>
              <w:t xml:space="preserve"> în cadrul căreia achizitorul intenționează să achiziționeze ori să majoreze deținerea calificată, în cursul termenului de evaluare sau în pofida opoziției autorităților competente, cu încălcarea articolului menționat;</w:t>
            </w:r>
          </w:p>
        </w:tc>
        <w:tc>
          <w:tcPr>
            <w:tcW w:w="1928" w:type="pct"/>
            <w:gridSpan w:val="3"/>
            <w:tcBorders>
              <w:top w:val="single" w:sz="4" w:space="0" w:color="auto"/>
              <w:left w:val="single" w:sz="4" w:space="0" w:color="auto"/>
              <w:bottom w:val="single" w:sz="4" w:space="0" w:color="auto"/>
              <w:right w:val="single" w:sz="4" w:space="0" w:color="auto"/>
            </w:tcBorders>
          </w:tcPr>
          <w:p w14:paraId="5F47EBF4" w14:textId="1FA4DB06" w:rsidR="002F47A0" w:rsidRPr="009E686F" w:rsidRDefault="002F47A0" w:rsidP="002F47A0">
            <w:pPr>
              <w:spacing w:after="0"/>
              <w:jc w:val="both"/>
              <w:rPr>
                <w:rFonts w:ascii="Times New Roman" w:hAnsi="Times New Roman" w:cs="Times New Roman"/>
                <w:lang w:val="ro-RO"/>
              </w:rPr>
            </w:pPr>
            <w:r w:rsidRPr="009E686F">
              <w:rPr>
                <w:rFonts w:ascii="Times New Roman" w:eastAsia="Aptos" w:hAnsi="Times New Roman" w:cs="Times New Roman"/>
                <w:kern w:val="2"/>
                <w:lang w:val="ro-MD"/>
              </w:rPr>
              <w:t xml:space="preserve">a) achiziţionarea, direct sau indirect, inclusiv în calitate de beneficiar </w:t>
            </w:r>
            <w:r w:rsidR="005A420A" w:rsidRPr="009E686F">
              <w:rPr>
                <w:rFonts w:ascii="Times New Roman" w:hAnsi="Times New Roman" w:cs="Times New Roman"/>
                <w:lang w:val="ro-MD"/>
              </w:rPr>
              <w:t>real al deținerii</w:t>
            </w:r>
            <w:r w:rsidRPr="009E686F">
              <w:rPr>
                <w:rFonts w:ascii="Times New Roman" w:eastAsia="Aptos" w:hAnsi="Times New Roman" w:cs="Times New Roman"/>
                <w:kern w:val="2"/>
                <w:lang w:val="ro-MD"/>
              </w:rPr>
              <w:t xml:space="preserve">, a unei deţineri calificate într-o </w:t>
            </w:r>
            <w:r w:rsidRPr="009E686F">
              <w:rPr>
                <w:rFonts w:ascii="Times New Roman" w:eastAsia="Aptos" w:hAnsi="Times New Roman" w:cs="Times New Roman"/>
                <w:i/>
                <w:iCs/>
                <w:kern w:val="2"/>
                <w:lang w:val="ro-MD"/>
              </w:rPr>
              <w:t>instituție de credit</w:t>
            </w:r>
            <w:r w:rsidRPr="009E686F">
              <w:rPr>
                <w:rFonts w:ascii="Times New Roman" w:eastAsia="Aptos" w:hAnsi="Times New Roman" w:cs="Times New Roman"/>
                <w:kern w:val="2"/>
                <w:lang w:val="ro-MD"/>
              </w:rPr>
              <w:t xml:space="preserve"> sau, după caz, majorarea, direct sau indirect, a unei deţineri calificate, astfel încît proporţia drepturilor de vot sau a deţinerii în capitalul social se situează sau depăşeşte nivelurile de 10%, 20%, 33% ori de 50% sau astfel încît </w:t>
            </w:r>
            <w:r w:rsidRPr="009E686F">
              <w:rPr>
                <w:rFonts w:ascii="Times New Roman" w:eastAsia="Aptos" w:hAnsi="Times New Roman" w:cs="Times New Roman"/>
                <w:i/>
                <w:iCs/>
                <w:kern w:val="2"/>
                <w:lang w:val="ro-MD"/>
              </w:rPr>
              <w:t>instituția de credit</w:t>
            </w:r>
            <w:r w:rsidRPr="009E686F">
              <w:rPr>
                <w:rFonts w:ascii="Times New Roman" w:eastAsia="Aptos" w:hAnsi="Times New Roman" w:cs="Times New Roman"/>
                <w:kern w:val="2"/>
                <w:lang w:val="ro-MD"/>
              </w:rPr>
              <w:t xml:space="preserve"> devine o filială, cu nerespectarea cerinţei de </w:t>
            </w:r>
            <w:r w:rsidRPr="009E686F">
              <w:rPr>
                <w:rFonts w:ascii="Times New Roman" w:eastAsia="Aptos" w:hAnsi="Times New Roman" w:cs="Times New Roman"/>
                <w:i/>
                <w:iCs/>
                <w:kern w:val="2"/>
                <w:lang w:val="ro-MD"/>
              </w:rPr>
              <w:t>notificare</w:t>
            </w:r>
            <w:r w:rsidRPr="009E686F">
              <w:rPr>
                <w:rFonts w:ascii="Times New Roman" w:eastAsia="Aptos" w:hAnsi="Times New Roman" w:cs="Times New Roman"/>
                <w:kern w:val="2"/>
                <w:lang w:val="ro-MD"/>
              </w:rPr>
              <w:t xml:space="preserve"> a Băncii Naţionale a Moldovei, potrivit art.45 alin.(1) lit.a), sau fără a ţine seama de refuzul formulat de Banca Naţională a Moldovei;</w:t>
            </w:r>
          </w:p>
        </w:tc>
        <w:tc>
          <w:tcPr>
            <w:tcW w:w="470" w:type="pct"/>
            <w:tcBorders>
              <w:top w:val="single" w:sz="4" w:space="0" w:color="auto"/>
              <w:left w:val="single" w:sz="4" w:space="0" w:color="auto"/>
              <w:bottom w:val="single" w:sz="4" w:space="0" w:color="auto"/>
              <w:right w:val="single" w:sz="4" w:space="0" w:color="auto"/>
            </w:tcBorders>
          </w:tcPr>
          <w:p w14:paraId="1B374CB5" w14:textId="77777777"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p w14:paraId="6533CAE7" w14:textId="0D8AB083" w:rsidR="002F47A0" w:rsidRPr="009E686F" w:rsidRDefault="002F47A0" w:rsidP="002F47A0">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0EFBE2E7" w14:textId="71AE3C0D" w:rsidR="002F47A0" w:rsidRPr="009E686F" w:rsidRDefault="0035798E" w:rsidP="002F47A0">
            <w:pPr>
              <w:jc w:val="both"/>
              <w:rPr>
                <w:rFonts w:ascii="Times New Roman" w:hAnsi="Times New Roman" w:cs="Times New Roman"/>
                <w:lang w:val="ro-RO"/>
              </w:rPr>
            </w:pPr>
            <w:r w:rsidRPr="009E686F">
              <w:rPr>
                <w:rFonts w:ascii="Times New Roman" w:hAnsi="Times New Roman" w:cs="Times New Roman"/>
                <w:lang w:val="ro-RO"/>
              </w:rPr>
              <w:t>Modificările relevante în contextul pragului de 10% a deținerii calificate și procedurii de notificare – în vigoare la data aderării.</w:t>
            </w:r>
          </w:p>
        </w:tc>
      </w:tr>
      <w:tr w:rsidR="002F47A0" w:rsidRPr="009E686F" w14:paraId="3C18DBA2"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2B04BFAF" w14:textId="6DC56088"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 xml:space="preserve">(e) o deținere calificată într-o </w:t>
            </w:r>
            <w:r w:rsidRPr="009E686F">
              <w:rPr>
                <w:rFonts w:ascii="Times New Roman" w:hAnsi="Times New Roman" w:cs="Times New Roman"/>
                <w:i/>
                <w:iCs/>
                <w:lang w:val="ro-RO"/>
              </w:rPr>
              <w:t>instituție de credit</w:t>
            </w:r>
            <w:r w:rsidRPr="009E686F">
              <w:rPr>
                <w:rFonts w:ascii="Times New Roman" w:hAnsi="Times New Roman" w:cs="Times New Roman"/>
                <w:lang w:val="ro-RO"/>
              </w:rPr>
              <w:t xml:space="preserve"> este cedată, în mod direct sau indirect, sau redusă și, drept urmare, proporția drepturilor de vot sau a capitalului deținut ar scădea sub pragurile menționate la articolul 25 din prezenta directivă sau </w:t>
            </w:r>
            <w:r w:rsidRPr="009E686F">
              <w:rPr>
                <w:rFonts w:ascii="Times New Roman" w:hAnsi="Times New Roman" w:cs="Times New Roman"/>
                <w:i/>
                <w:iCs/>
                <w:lang w:val="ro-RO"/>
              </w:rPr>
              <w:t>instituția de credit</w:t>
            </w:r>
            <w:r w:rsidRPr="009E686F">
              <w:rPr>
                <w:rFonts w:ascii="Times New Roman" w:hAnsi="Times New Roman" w:cs="Times New Roman"/>
                <w:lang w:val="ro-RO"/>
              </w:rPr>
              <w:t xml:space="preserve"> ar înceta să mai fie o filială a persoanei juridice care cedează deținerea calificată, fără notificarea în scris a autorităților competente, cu încălcarea articolului menționat;</w:t>
            </w:r>
          </w:p>
        </w:tc>
        <w:tc>
          <w:tcPr>
            <w:tcW w:w="1928" w:type="pct"/>
            <w:gridSpan w:val="3"/>
            <w:tcBorders>
              <w:top w:val="single" w:sz="4" w:space="0" w:color="auto"/>
              <w:left w:val="single" w:sz="4" w:space="0" w:color="auto"/>
              <w:bottom w:val="single" w:sz="4" w:space="0" w:color="auto"/>
              <w:right w:val="single" w:sz="4" w:space="0" w:color="auto"/>
            </w:tcBorders>
          </w:tcPr>
          <w:p w14:paraId="703A6A92" w14:textId="753A41D9" w:rsidR="002F47A0" w:rsidRPr="009E686F" w:rsidRDefault="002F47A0" w:rsidP="002F47A0">
            <w:pPr>
              <w:spacing w:after="0"/>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 xml:space="preserve">b) cedarea, direct sau indirect, a unei deţineri calificate într-o </w:t>
            </w:r>
            <w:r w:rsidRPr="009E686F">
              <w:rPr>
                <w:rFonts w:ascii="Times New Roman" w:eastAsia="Aptos" w:hAnsi="Times New Roman" w:cs="Times New Roman"/>
                <w:i/>
                <w:iCs/>
                <w:kern w:val="2"/>
                <w:lang w:val="ro-MD"/>
              </w:rPr>
              <w:t>instituția de credit</w:t>
            </w:r>
            <w:r w:rsidRPr="009E686F">
              <w:rPr>
                <w:rFonts w:ascii="Times New Roman" w:eastAsia="Aptos" w:hAnsi="Times New Roman" w:cs="Times New Roman"/>
                <w:kern w:val="2"/>
                <w:lang w:val="ro-MD"/>
              </w:rPr>
              <w:t xml:space="preserve">  ori reducerea acesteia, astfel încît proporţia drepturilor de vot sau a deţinerii la capitalul social se situează sub nivelurile de 10%, 20%, 33% ori de 50% sau astfel încît </w:t>
            </w:r>
            <w:r w:rsidRPr="009E686F">
              <w:rPr>
                <w:rFonts w:ascii="Times New Roman" w:eastAsia="Aptos" w:hAnsi="Times New Roman" w:cs="Times New Roman"/>
                <w:i/>
                <w:iCs/>
                <w:kern w:val="2"/>
                <w:lang w:val="ro-MD"/>
              </w:rPr>
              <w:t>instituția de credit</w:t>
            </w:r>
            <w:r w:rsidRPr="009E686F">
              <w:rPr>
                <w:rFonts w:ascii="Times New Roman" w:eastAsia="Aptos" w:hAnsi="Times New Roman" w:cs="Times New Roman"/>
                <w:kern w:val="2"/>
                <w:lang w:val="ro-MD"/>
              </w:rPr>
              <w:t xml:space="preserve"> încetează să mai fie o filială, cu nerespectarea obligaţiei de notificare a Băncii Naţionale a Moldovei prevăzute la art.50;</w:t>
            </w:r>
          </w:p>
        </w:tc>
        <w:tc>
          <w:tcPr>
            <w:tcW w:w="470" w:type="pct"/>
            <w:tcBorders>
              <w:top w:val="single" w:sz="4" w:space="0" w:color="auto"/>
              <w:left w:val="single" w:sz="4" w:space="0" w:color="auto"/>
              <w:bottom w:val="single" w:sz="4" w:space="0" w:color="auto"/>
              <w:right w:val="single" w:sz="4" w:space="0" w:color="auto"/>
            </w:tcBorders>
          </w:tcPr>
          <w:p w14:paraId="56FD1765" w14:textId="77777777"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p w14:paraId="0C17669E" w14:textId="77777777" w:rsidR="002F47A0" w:rsidRPr="009E686F" w:rsidRDefault="002F47A0" w:rsidP="002F47A0">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78C86D5F" w14:textId="53A3AF73" w:rsidR="002F47A0" w:rsidRPr="009E686F" w:rsidRDefault="00890F67" w:rsidP="002F47A0">
            <w:pPr>
              <w:jc w:val="both"/>
              <w:rPr>
                <w:rFonts w:ascii="Times New Roman" w:hAnsi="Times New Roman" w:cs="Times New Roman"/>
                <w:lang w:val="ro-RO"/>
              </w:rPr>
            </w:pPr>
            <w:r w:rsidRPr="009E686F">
              <w:rPr>
                <w:rFonts w:ascii="Times New Roman" w:hAnsi="Times New Roman" w:cs="Times New Roman"/>
                <w:lang w:val="ro-RO"/>
              </w:rPr>
              <w:t>Modificările relevante în contextul pragului de 10% a deținerii calificate și procedurii de notificare – în vigoare la data aderării.</w:t>
            </w:r>
          </w:p>
        </w:tc>
      </w:tr>
      <w:tr w:rsidR="002F47A0" w:rsidRPr="009E686F" w14:paraId="29578892"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7C224D03" w14:textId="58E445DA"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lastRenderedPageBreak/>
              <w:t>(f) o societate financiară holding sau o societate financiară holding mixtă care intră în domeniul de aplicare al articolului 21a alineatul (1) din prezenta directivă nu solicită aprobarea, cu încălcarea articolului respectiv sau a oricăror alte cerințe prevăzute la articolul respectiv;</w:t>
            </w:r>
          </w:p>
        </w:tc>
        <w:tc>
          <w:tcPr>
            <w:tcW w:w="1928" w:type="pct"/>
            <w:gridSpan w:val="3"/>
            <w:tcBorders>
              <w:top w:val="single" w:sz="4" w:space="0" w:color="auto"/>
              <w:left w:val="single" w:sz="4" w:space="0" w:color="auto"/>
              <w:bottom w:val="single" w:sz="4" w:space="0" w:color="auto"/>
              <w:right w:val="single" w:sz="4" w:space="0" w:color="auto"/>
            </w:tcBorders>
          </w:tcPr>
          <w:p w14:paraId="1FE42614" w14:textId="77777777" w:rsidR="002F47A0" w:rsidRPr="009E686F" w:rsidRDefault="002F47A0" w:rsidP="002F47A0">
            <w:pPr>
              <w:spacing w:after="0"/>
              <w:jc w:val="both"/>
              <w:rPr>
                <w:rFonts w:ascii="Times New Roman" w:hAnsi="Times New Roman" w:cs="Times New Roman"/>
                <w:i/>
                <w:iCs/>
                <w:lang w:val="ro-RO"/>
              </w:rPr>
            </w:pPr>
            <w:r w:rsidRPr="009E686F">
              <w:rPr>
                <w:rFonts w:ascii="Times New Roman" w:eastAsia="Aptos" w:hAnsi="Times New Roman" w:cs="Times New Roman"/>
                <w:i/>
                <w:iCs/>
                <w:kern w:val="2"/>
                <w:lang w:val="ro-MD"/>
              </w:rPr>
              <w:t>d) nesolicitarea aprobării și nerespectarea altor cerințe prevăzute la art. 116</w:t>
            </w:r>
            <w:r w:rsidRPr="009E686F">
              <w:rPr>
                <w:rFonts w:ascii="Times New Roman" w:eastAsia="Aptos" w:hAnsi="Times New Roman" w:cs="Times New Roman"/>
                <w:i/>
                <w:iCs/>
                <w:kern w:val="2"/>
                <w:vertAlign w:val="superscript"/>
                <w:lang w:val="ro-MD"/>
              </w:rPr>
              <w:t>1</w:t>
            </w:r>
            <w:r w:rsidRPr="009E686F">
              <w:rPr>
                <w:rFonts w:ascii="Times New Roman" w:eastAsia="Aptos" w:hAnsi="Times New Roman" w:cs="Times New Roman"/>
                <w:i/>
                <w:iCs/>
                <w:kern w:val="2"/>
                <w:lang w:val="ro-MD"/>
              </w:rPr>
              <w:t xml:space="preserve"> de către o societate financiară holding sau o societate financiară holding mixtă căreia i se aplică articolul respectiv;</w:t>
            </w:r>
          </w:p>
          <w:p w14:paraId="4AF16F10" w14:textId="77777777" w:rsidR="002F47A0" w:rsidRPr="009E686F" w:rsidRDefault="002F47A0" w:rsidP="002F47A0">
            <w:pPr>
              <w:spacing w:after="0"/>
              <w:jc w:val="both"/>
              <w:rPr>
                <w:rFonts w:ascii="Times New Roman" w:eastAsia="Aptos" w:hAnsi="Times New Roman" w:cs="Times New Roman"/>
                <w:i/>
                <w:iCs/>
                <w:kern w:val="2"/>
                <w:lang w:val="ro-RO"/>
              </w:rPr>
            </w:pPr>
          </w:p>
        </w:tc>
        <w:tc>
          <w:tcPr>
            <w:tcW w:w="470" w:type="pct"/>
            <w:tcBorders>
              <w:top w:val="single" w:sz="4" w:space="0" w:color="auto"/>
              <w:left w:val="single" w:sz="4" w:space="0" w:color="auto"/>
              <w:bottom w:val="single" w:sz="4" w:space="0" w:color="auto"/>
              <w:right w:val="single" w:sz="4" w:space="0" w:color="auto"/>
            </w:tcBorders>
          </w:tcPr>
          <w:p w14:paraId="2B3EA622" w14:textId="4858A5FE"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1D7840B8" w14:textId="77777777" w:rsidR="002F47A0" w:rsidRPr="009E686F" w:rsidRDefault="002F47A0" w:rsidP="002F47A0">
            <w:pPr>
              <w:jc w:val="both"/>
              <w:rPr>
                <w:rFonts w:ascii="Times New Roman" w:hAnsi="Times New Roman" w:cs="Times New Roman"/>
                <w:lang w:val="ro-RO"/>
              </w:rPr>
            </w:pPr>
          </w:p>
        </w:tc>
      </w:tr>
      <w:tr w:rsidR="002F47A0" w:rsidRPr="009E686F" w14:paraId="6EABE9F9"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06222559" w14:textId="28A74E82"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(g) un potențial achizitor, în sensul articolului 27a alineatul (1) din prezenta directivă, nu notifică autorității competente relevante o achiziție directă sau indirectă a unei dețineri semnificative, cu încălcarea articolului respectiv;</w:t>
            </w:r>
          </w:p>
        </w:tc>
        <w:tc>
          <w:tcPr>
            <w:tcW w:w="1928" w:type="pct"/>
            <w:gridSpan w:val="3"/>
            <w:tcBorders>
              <w:top w:val="single" w:sz="4" w:space="0" w:color="auto"/>
              <w:left w:val="single" w:sz="4" w:space="0" w:color="auto"/>
              <w:bottom w:val="single" w:sz="4" w:space="0" w:color="auto"/>
              <w:right w:val="single" w:sz="4" w:space="0" w:color="auto"/>
            </w:tcBorders>
          </w:tcPr>
          <w:p w14:paraId="66FF8CA3" w14:textId="27099ACA" w:rsidR="002F47A0" w:rsidRPr="009E686F" w:rsidRDefault="002F47A0" w:rsidP="002F47A0">
            <w:pPr>
              <w:spacing w:after="0"/>
              <w:jc w:val="both"/>
              <w:rPr>
                <w:rFonts w:ascii="Times New Roman" w:hAnsi="Times New Roman" w:cs="Times New Roman"/>
                <w:i/>
                <w:iCs/>
                <w:lang w:val="ro-RO"/>
              </w:rPr>
            </w:pPr>
            <w:r w:rsidRPr="009E686F">
              <w:rPr>
                <w:rFonts w:ascii="Times New Roman" w:eastAsia="Aptos" w:hAnsi="Times New Roman" w:cs="Times New Roman"/>
                <w:i/>
                <w:iCs/>
                <w:kern w:val="2"/>
                <w:lang w:val="ro-MD"/>
              </w:rPr>
              <w:t>e) achiziționarea, direct sau indirect, a unei dețineri semnificative cu nerespectarea cerinței de notificare a Băncii Naționale a Moldovei potrivit art. 5</w:t>
            </w:r>
            <w:r w:rsidR="00653692" w:rsidRPr="009E686F">
              <w:rPr>
                <w:rFonts w:ascii="Times New Roman" w:eastAsia="Aptos" w:hAnsi="Times New Roman" w:cs="Times New Roman"/>
                <w:i/>
                <w:iCs/>
                <w:kern w:val="2"/>
                <w:lang w:val="ro-MD"/>
              </w:rPr>
              <w:t>7</w:t>
            </w:r>
            <w:r w:rsidR="00653692" w:rsidRPr="009E686F">
              <w:rPr>
                <w:rFonts w:ascii="Times New Roman" w:eastAsia="Aptos" w:hAnsi="Times New Roman" w:cs="Times New Roman"/>
                <w:i/>
                <w:iCs/>
                <w:kern w:val="2"/>
                <w:vertAlign w:val="superscript"/>
                <w:lang w:val="ro-MD"/>
              </w:rPr>
              <w:t>2</w:t>
            </w:r>
            <w:r w:rsidRPr="009E686F">
              <w:rPr>
                <w:rFonts w:ascii="Times New Roman" w:eastAsia="Aptos" w:hAnsi="Times New Roman" w:cs="Times New Roman"/>
                <w:i/>
                <w:iCs/>
                <w:kern w:val="2"/>
                <w:vertAlign w:val="superscript"/>
                <w:lang w:val="ro-MD"/>
              </w:rPr>
              <w:t xml:space="preserve"> </w:t>
            </w:r>
            <w:r w:rsidRPr="009E686F">
              <w:rPr>
                <w:rFonts w:ascii="Times New Roman" w:eastAsia="Aptos" w:hAnsi="Times New Roman" w:cs="Times New Roman"/>
                <w:i/>
                <w:iCs/>
                <w:kern w:val="2"/>
                <w:lang w:val="ro-MD"/>
              </w:rPr>
              <w:t xml:space="preserve">și </w:t>
            </w:r>
            <w:r w:rsidR="00575880" w:rsidRPr="009E686F">
              <w:rPr>
                <w:rFonts w:ascii="Times New Roman" w:eastAsia="Aptos" w:hAnsi="Times New Roman" w:cs="Times New Roman"/>
                <w:i/>
                <w:iCs/>
                <w:kern w:val="2"/>
                <w:lang w:val="ro-MD"/>
              </w:rPr>
              <w:t>a altor ceințe prevăzute la art. 57</w:t>
            </w:r>
            <w:r w:rsidR="00575880" w:rsidRPr="009E686F">
              <w:rPr>
                <w:rFonts w:ascii="Times New Roman" w:eastAsia="Aptos" w:hAnsi="Times New Roman" w:cs="Times New Roman"/>
                <w:i/>
                <w:iCs/>
                <w:kern w:val="2"/>
                <w:vertAlign w:val="superscript"/>
                <w:lang w:val="ro-MD"/>
              </w:rPr>
              <w:t>1</w:t>
            </w:r>
            <w:r w:rsidRPr="009E686F">
              <w:rPr>
                <w:rFonts w:ascii="Times New Roman" w:eastAsia="Aptos" w:hAnsi="Times New Roman" w:cs="Times New Roman"/>
                <w:i/>
                <w:iCs/>
                <w:kern w:val="2"/>
                <w:lang w:val="ro-MD"/>
              </w:rPr>
              <w:t>;</w:t>
            </w:r>
          </w:p>
        </w:tc>
        <w:tc>
          <w:tcPr>
            <w:tcW w:w="470" w:type="pct"/>
            <w:tcBorders>
              <w:top w:val="single" w:sz="4" w:space="0" w:color="auto"/>
              <w:left w:val="single" w:sz="4" w:space="0" w:color="auto"/>
              <w:bottom w:val="single" w:sz="4" w:space="0" w:color="auto"/>
              <w:right w:val="single" w:sz="4" w:space="0" w:color="auto"/>
            </w:tcBorders>
          </w:tcPr>
          <w:p w14:paraId="74C34A17" w14:textId="2CADB7E3"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02FE3E62" w14:textId="77777777" w:rsidR="002F47A0" w:rsidRPr="009E686F" w:rsidRDefault="002F47A0" w:rsidP="002F47A0">
            <w:pPr>
              <w:jc w:val="both"/>
              <w:rPr>
                <w:rFonts w:ascii="Times New Roman" w:hAnsi="Times New Roman" w:cs="Times New Roman"/>
                <w:lang w:val="ro-RO"/>
              </w:rPr>
            </w:pPr>
          </w:p>
        </w:tc>
      </w:tr>
      <w:tr w:rsidR="002F47A0" w:rsidRPr="009E686F" w14:paraId="5E9B3758"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7E704FC4"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(h) oricare dintre entitățile menționate la articolul 27d din prezenta directivă nu notifică autorității competente relevante o cedare directă sau indirectă a unei dețineri semnificative care depășește 15 % din capitalul eligibil al entității respective;</w:t>
            </w:r>
          </w:p>
          <w:p w14:paraId="5421B47F" w14:textId="77777777" w:rsidR="002F47A0" w:rsidRPr="009E686F" w:rsidRDefault="002F47A0" w:rsidP="002F47A0">
            <w:pPr>
              <w:spacing w:after="0"/>
              <w:jc w:val="both"/>
              <w:rPr>
                <w:rFonts w:ascii="Times New Roman" w:hAnsi="Times New Roman" w:cs="Times New Roman"/>
                <w:lang w:val="ro-RO"/>
              </w:rPr>
            </w:pPr>
          </w:p>
        </w:tc>
        <w:tc>
          <w:tcPr>
            <w:tcW w:w="1928" w:type="pct"/>
            <w:gridSpan w:val="3"/>
            <w:tcBorders>
              <w:top w:val="single" w:sz="4" w:space="0" w:color="auto"/>
              <w:left w:val="single" w:sz="4" w:space="0" w:color="auto"/>
              <w:bottom w:val="single" w:sz="4" w:space="0" w:color="auto"/>
              <w:right w:val="single" w:sz="4" w:space="0" w:color="auto"/>
            </w:tcBorders>
          </w:tcPr>
          <w:p w14:paraId="6E8B1DD5" w14:textId="7ED5A015" w:rsidR="002F47A0" w:rsidRPr="009E686F" w:rsidRDefault="002F47A0" w:rsidP="002F47A0">
            <w:pPr>
              <w:spacing w:after="0"/>
              <w:jc w:val="both"/>
              <w:rPr>
                <w:rFonts w:ascii="Times New Roman" w:hAnsi="Times New Roman" w:cs="Times New Roman"/>
                <w:i/>
                <w:iCs/>
                <w:lang w:val="ro-RO"/>
              </w:rPr>
            </w:pPr>
            <w:r w:rsidRPr="009E686F">
              <w:rPr>
                <w:rFonts w:ascii="Times New Roman" w:eastAsia="Aptos" w:hAnsi="Times New Roman" w:cs="Times New Roman"/>
                <w:i/>
                <w:iCs/>
                <w:kern w:val="2"/>
                <w:lang w:val="ro-MD"/>
              </w:rPr>
              <w:t>f) cedarea, direct sau indirect, a unei dețineri semnificative care depășește 15 % din capitalul eligibil al oricărei dintre entitățile menționate la art. 5</w:t>
            </w:r>
            <w:r w:rsidR="00653692" w:rsidRPr="009E686F">
              <w:rPr>
                <w:rFonts w:ascii="Times New Roman" w:eastAsia="Aptos" w:hAnsi="Times New Roman" w:cs="Times New Roman"/>
                <w:i/>
                <w:iCs/>
                <w:kern w:val="2"/>
                <w:lang w:val="ro-MD"/>
              </w:rPr>
              <w:t>7</w:t>
            </w:r>
            <w:r w:rsidR="00653692" w:rsidRPr="009E686F">
              <w:rPr>
                <w:rFonts w:ascii="Times New Roman" w:eastAsia="Aptos" w:hAnsi="Times New Roman" w:cs="Times New Roman"/>
                <w:i/>
                <w:iCs/>
                <w:kern w:val="2"/>
                <w:vertAlign w:val="superscript"/>
                <w:lang w:val="ro-MD"/>
              </w:rPr>
              <w:t>5</w:t>
            </w:r>
            <w:r w:rsidRPr="009E686F">
              <w:rPr>
                <w:rFonts w:ascii="Times New Roman" w:eastAsia="Aptos" w:hAnsi="Times New Roman" w:cs="Times New Roman"/>
                <w:i/>
                <w:iCs/>
                <w:kern w:val="2"/>
                <w:vertAlign w:val="superscript"/>
                <w:lang w:val="ro-MD"/>
              </w:rPr>
              <w:t xml:space="preserve"> </w:t>
            </w:r>
            <w:r w:rsidRPr="009E686F">
              <w:rPr>
                <w:rFonts w:ascii="Times New Roman" w:eastAsia="Aptos" w:hAnsi="Times New Roman" w:cs="Times New Roman"/>
                <w:i/>
                <w:iCs/>
                <w:kern w:val="2"/>
                <w:lang w:val="ro-MD"/>
              </w:rPr>
              <w:t>cu nerespectarea cerinței de notificare a Băncii Naționale a Moldovei potrivit articolului respectiv;</w:t>
            </w:r>
          </w:p>
          <w:p w14:paraId="2C164B13" w14:textId="77777777" w:rsidR="002F47A0" w:rsidRPr="009E686F" w:rsidRDefault="002F47A0" w:rsidP="002F47A0">
            <w:pPr>
              <w:spacing w:after="0"/>
              <w:jc w:val="both"/>
              <w:rPr>
                <w:rFonts w:ascii="Times New Roman" w:eastAsia="Aptos" w:hAnsi="Times New Roman" w:cs="Times New Roman"/>
                <w:i/>
                <w:iCs/>
                <w:kern w:val="2"/>
                <w:lang w:val="ro-RO"/>
              </w:rPr>
            </w:pPr>
          </w:p>
        </w:tc>
        <w:tc>
          <w:tcPr>
            <w:tcW w:w="470" w:type="pct"/>
            <w:tcBorders>
              <w:top w:val="single" w:sz="4" w:space="0" w:color="auto"/>
              <w:left w:val="single" w:sz="4" w:space="0" w:color="auto"/>
              <w:bottom w:val="single" w:sz="4" w:space="0" w:color="auto"/>
              <w:right w:val="single" w:sz="4" w:space="0" w:color="auto"/>
            </w:tcBorders>
          </w:tcPr>
          <w:p w14:paraId="6E4AD0B2" w14:textId="1D003995"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473530BA" w14:textId="77777777" w:rsidR="002F47A0" w:rsidRPr="009E686F" w:rsidRDefault="002F47A0" w:rsidP="002F47A0">
            <w:pPr>
              <w:jc w:val="both"/>
              <w:rPr>
                <w:rFonts w:ascii="Times New Roman" w:hAnsi="Times New Roman" w:cs="Times New Roman"/>
                <w:lang w:val="ro-RO"/>
              </w:rPr>
            </w:pPr>
          </w:p>
        </w:tc>
      </w:tr>
      <w:tr w:rsidR="002F47A0" w:rsidRPr="009E686F" w14:paraId="456D755F"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4E1503CF" w14:textId="5F9A7916"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(i) oricare dintre entitățile menționate la articolul 27f alineatul (1) din prezenta directivă realizează un transfer semnificativ de active și pasive fără a notifica autoritățile competente, cu încălcarea articolului respectiv;</w:t>
            </w:r>
          </w:p>
        </w:tc>
        <w:tc>
          <w:tcPr>
            <w:tcW w:w="1928" w:type="pct"/>
            <w:gridSpan w:val="3"/>
            <w:tcBorders>
              <w:top w:val="single" w:sz="4" w:space="0" w:color="auto"/>
              <w:left w:val="single" w:sz="4" w:space="0" w:color="auto"/>
              <w:bottom w:val="single" w:sz="4" w:space="0" w:color="auto"/>
              <w:right w:val="single" w:sz="4" w:space="0" w:color="auto"/>
            </w:tcBorders>
          </w:tcPr>
          <w:p w14:paraId="1740003B" w14:textId="7F189417" w:rsidR="002F47A0" w:rsidRPr="009E686F" w:rsidRDefault="002F47A0" w:rsidP="002F47A0">
            <w:pPr>
              <w:spacing w:after="0"/>
              <w:jc w:val="both"/>
              <w:rPr>
                <w:rFonts w:ascii="Times New Roman" w:hAnsi="Times New Roman" w:cs="Times New Roman"/>
                <w:i/>
                <w:iCs/>
                <w:lang w:val="ro-RO"/>
              </w:rPr>
            </w:pPr>
            <w:r w:rsidRPr="009E686F">
              <w:rPr>
                <w:rFonts w:ascii="Times New Roman" w:eastAsia="Aptos" w:hAnsi="Times New Roman" w:cs="Times New Roman"/>
                <w:i/>
                <w:iCs/>
                <w:kern w:val="2"/>
                <w:lang w:val="ro-MD"/>
              </w:rPr>
              <w:t>g) realizarea unui transfer semnificativ de active și pasive de către oricare dintre entitățile menționate la art. 34</w:t>
            </w:r>
            <w:r w:rsidRPr="009E686F">
              <w:rPr>
                <w:rFonts w:ascii="Times New Roman" w:eastAsia="Aptos" w:hAnsi="Times New Roman" w:cs="Times New Roman"/>
                <w:i/>
                <w:iCs/>
                <w:kern w:val="2"/>
                <w:vertAlign w:val="superscript"/>
                <w:lang w:val="ro-MD"/>
              </w:rPr>
              <w:t>1</w:t>
            </w:r>
            <w:r w:rsidRPr="009E686F">
              <w:rPr>
                <w:rFonts w:ascii="Times New Roman" w:eastAsia="Aptos" w:hAnsi="Times New Roman" w:cs="Times New Roman"/>
                <w:i/>
                <w:iCs/>
                <w:kern w:val="2"/>
                <w:lang w:val="ro-MD"/>
              </w:rPr>
              <w:t xml:space="preserve"> cu nerespectarea cerinței de notificare a Băncii Naționale a Moldovei, </w:t>
            </w:r>
            <w:r w:rsidR="00575880" w:rsidRPr="009E686F">
              <w:rPr>
                <w:rFonts w:ascii="Times New Roman" w:eastAsia="Aptos" w:hAnsi="Times New Roman" w:cs="Times New Roman"/>
                <w:i/>
                <w:iCs/>
                <w:kern w:val="2"/>
                <w:lang w:val="ro-MD"/>
              </w:rPr>
              <w:t xml:space="preserve">în conformitate cu </w:t>
            </w:r>
            <w:r w:rsidRPr="009E686F">
              <w:rPr>
                <w:rFonts w:ascii="Times New Roman" w:eastAsia="Aptos" w:hAnsi="Times New Roman" w:cs="Times New Roman"/>
                <w:i/>
                <w:iCs/>
                <w:kern w:val="2"/>
                <w:lang w:val="ro-MD"/>
              </w:rPr>
              <w:t>articolul respectiv;</w:t>
            </w:r>
          </w:p>
        </w:tc>
        <w:tc>
          <w:tcPr>
            <w:tcW w:w="470" w:type="pct"/>
            <w:tcBorders>
              <w:top w:val="single" w:sz="4" w:space="0" w:color="auto"/>
              <w:left w:val="single" w:sz="4" w:space="0" w:color="auto"/>
              <w:bottom w:val="single" w:sz="4" w:space="0" w:color="auto"/>
              <w:right w:val="single" w:sz="4" w:space="0" w:color="auto"/>
            </w:tcBorders>
          </w:tcPr>
          <w:p w14:paraId="0D559DB8" w14:textId="005C683B"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28905DDB" w14:textId="77777777" w:rsidR="002F47A0" w:rsidRPr="009E686F" w:rsidRDefault="002F47A0" w:rsidP="002F47A0">
            <w:pPr>
              <w:jc w:val="both"/>
              <w:rPr>
                <w:rFonts w:ascii="Times New Roman" w:hAnsi="Times New Roman" w:cs="Times New Roman"/>
                <w:lang w:val="ro-RO"/>
              </w:rPr>
            </w:pPr>
          </w:p>
        </w:tc>
      </w:tr>
      <w:tr w:rsidR="002F47A0" w:rsidRPr="009E686F" w14:paraId="4B9F14EA"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62851D65" w14:textId="6E4F0DAE"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(j) oricare dintre entitățile menționate la articolul 27i alineatul (1) din prezenta directivă participă la un proces de fuziune sau de divizare, cu încălcarea articolului respectiv.</w:t>
            </w:r>
          </w:p>
        </w:tc>
        <w:tc>
          <w:tcPr>
            <w:tcW w:w="1928" w:type="pct"/>
            <w:gridSpan w:val="3"/>
            <w:tcBorders>
              <w:top w:val="single" w:sz="4" w:space="0" w:color="auto"/>
              <w:left w:val="single" w:sz="4" w:space="0" w:color="auto"/>
              <w:bottom w:val="single" w:sz="4" w:space="0" w:color="auto"/>
              <w:right w:val="single" w:sz="4" w:space="0" w:color="auto"/>
            </w:tcBorders>
          </w:tcPr>
          <w:p w14:paraId="27C5A23B" w14:textId="6CF62FE3" w:rsidR="002F47A0" w:rsidRPr="009E686F" w:rsidRDefault="002F47A0" w:rsidP="002F47A0">
            <w:pPr>
              <w:spacing w:after="0"/>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h) participarea oricăreia dintre entitățile menționate la art. 34 alin. (</w:t>
            </w:r>
            <w:r w:rsidR="00163198" w:rsidRPr="009E686F">
              <w:rPr>
                <w:rFonts w:ascii="Times New Roman" w:eastAsia="Aptos" w:hAnsi="Times New Roman" w:cs="Times New Roman"/>
                <w:i/>
                <w:iCs/>
                <w:kern w:val="2"/>
                <w:lang w:val="ro-MD"/>
              </w:rPr>
              <w:t>1</w:t>
            </w:r>
            <w:r w:rsidRPr="009E686F">
              <w:rPr>
                <w:rFonts w:ascii="Times New Roman" w:eastAsia="Aptos" w:hAnsi="Times New Roman" w:cs="Times New Roman"/>
                <w:i/>
                <w:iCs/>
                <w:kern w:val="2"/>
                <w:lang w:val="ro-MD"/>
              </w:rPr>
              <w:t>) la un proces de fuziune sau dezmembrare, cu nerespectarea art. 34.</w:t>
            </w:r>
          </w:p>
        </w:tc>
        <w:tc>
          <w:tcPr>
            <w:tcW w:w="470" w:type="pct"/>
            <w:tcBorders>
              <w:top w:val="single" w:sz="4" w:space="0" w:color="auto"/>
              <w:left w:val="single" w:sz="4" w:space="0" w:color="auto"/>
              <w:bottom w:val="single" w:sz="4" w:space="0" w:color="auto"/>
              <w:right w:val="single" w:sz="4" w:space="0" w:color="auto"/>
            </w:tcBorders>
          </w:tcPr>
          <w:p w14:paraId="63ED728B" w14:textId="2FE50779"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275038C8" w14:textId="77777777" w:rsidR="002F47A0" w:rsidRPr="009E686F" w:rsidRDefault="002F47A0" w:rsidP="002F47A0">
            <w:pPr>
              <w:jc w:val="both"/>
              <w:rPr>
                <w:rFonts w:ascii="Times New Roman" w:hAnsi="Times New Roman" w:cs="Times New Roman"/>
                <w:lang w:val="ro-RO"/>
              </w:rPr>
            </w:pPr>
          </w:p>
        </w:tc>
      </w:tr>
      <w:tr w:rsidR="002F47A0" w:rsidRPr="009E686F" w14:paraId="6E0283C9" w14:textId="1AB8053C" w:rsidTr="00774F3E">
        <w:tc>
          <w:tcPr>
            <w:tcW w:w="1796" w:type="pct"/>
            <w:gridSpan w:val="2"/>
            <w:tcBorders>
              <w:top w:val="single" w:sz="4" w:space="0" w:color="auto"/>
              <w:left w:val="single" w:sz="4" w:space="0" w:color="auto"/>
              <w:bottom w:val="single" w:sz="4" w:space="0" w:color="auto"/>
              <w:right w:val="single" w:sz="4" w:space="0" w:color="auto"/>
            </w:tcBorders>
          </w:tcPr>
          <w:p w14:paraId="58C8C273"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(2) Statele membre se asigură că, în cazurile menționate la alineatul (1), măsurile care se pot aplica includ cel puțin următoarele:</w:t>
            </w:r>
          </w:p>
          <w:p w14:paraId="4E11067A" w14:textId="575567CC" w:rsidR="002F47A0" w:rsidRPr="009E686F" w:rsidRDefault="002F47A0" w:rsidP="002F47A0">
            <w:pPr>
              <w:spacing w:after="0"/>
              <w:jc w:val="both"/>
              <w:rPr>
                <w:rFonts w:ascii="Times New Roman" w:hAnsi="Times New Roman" w:cs="Times New Roman"/>
                <w:lang w:val="ro-RO"/>
              </w:rPr>
            </w:pPr>
          </w:p>
        </w:tc>
        <w:tc>
          <w:tcPr>
            <w:tcW w:w="1928" w:type="pct"/>
            <w:gridSpan w:val="3"/>
            <w:tcBorders>
              <w:top w:val="single" w:sz="4" w:space="0" w:color="auto"/>
              <w:left w:val="single" w:sz="4" w:space="0" w:color="auto"/>
              <w:bottom w:val="single" w:sz="4" w:space="0" w:color="auto"/>
              <w:right w:val="single" w:sz="4" w:space="0" w:color="auto"/>
            </w:tcBorders>
          </w:tcPr>
          <w:p w14:paraId="28FF8C11" w14:textId="3C0271D5" w:rsidR="002F47A0" w:rsidRPr="009E686F" w:rsidRDefault="002F47A0" w:rsidP="002F47A0">
            <w:pPr>
              <w:spacing w:after="0"/>
              <w:jc w:val="both"/>
              <w:rPr>
                <w:rFonts w:ascii="Times New Roman" w:eastAsia="Aptos" w:hAnsi="Times New Roman" w:cs="Times New Roman"/>
                <w:kern w:val="2"/>
                <w:lang w:val="ro-MD"/>
              </w:rPr>
            </w:pPr>
            <w:r w:rsidRPr="009E686F">
              <w:rPr>
                <w:rFonts w:ascii="Times New Roman" w:eastAsia="Aptos" w:hAnsi="Times New Roman" w:cs="Times New Roman"/>
                <w:b/>
                <w:bCs/>
                <w:kern w:val="2"/>
                <w:lang w:val="ro-MD"/>
              </w:rPr>
              <w:t>Articolul 141 alin. (2)</w:t>
            </w:r>
          </w:p>
          <w:p w14:paraId="768FB1EE" w14:textId="18458837" w:rsidR="002F47A0" w:rsidRPr="009E686F" w:rsidRDefault="002F47A0" w:rsidP="002F47A0">
            <w:pPr>
              <w:spacing w:after="0"/>
              <w:jc w:val="both"/>
              <w:rPr>
                <w:rFonts w:ascii="Times New Roman" w:hAnsi="Times New Roman" w:cs="Times New Roman"/>
                <w:lang w:val="ro-MD"/>
              </w:rPr>
            </w:pPr>
            <w:r w:rsidRPr="009E686F">
              <w:rPr>
                <w:rFonts w:ascii="Times New Roman" w:eastAsia="Aptos" w:hAnsi="Times New Roman" w:cs="Times New Roman"/>
                <w:kern w:val="2"/>
                <w:lang w:val="ro-MD"/>
              </w:rPr>
              <w:t>(2) Măsurile sancţionatoare potrivit prezentei legi sînt:</w:t>
            </w:r>
          </w:p>
        </w:tc>
        <w:tc>
          <w:tcPr>
            <w:tcW w:w="470" w:type="pct"/>
            <w:tcBorders>
              <w:top w:val="single" w:sz="4" w:space="0" w:color="auto"/>
              <w:left w:val="single" w:sz="4" w:space="0" w:color="auto"/>
              <w:bottom w:val="single" w:sz="4" w:space="0" w:color="auto"/>
              <w:right w:val="single" w:sz="4" w:space="0" w:color="auto"/>
            </w:tcBorders>
          </w:tcPr>
          <w:p w14:paraId="01A9E6A9" w14:textId="4BF2B0E6"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34E7C5D1" w14:textId="77777777" w:rsidR="002F47A0" w:rsidRPr="009E686F" w:rsidRDefault="002F47A0" w:rsidP="002F47A0">
            <w:pPr>
              <w:jc w:val="both"/>
              <w:rPr>
                <w:rFonts w:ascii="Times New Roman" w:hAnsi="Times New Roman" w:cs="Times New Roman"/>
                <w:lang w:val="ro-RO"/>
              </w:rPr>
            </w:pPr>
          </w:p>
        </w:tc>
      </w:tr>
      <w:tr w:rsidR="002F47A0" w:rsidRPr="009E686F" w14:paraId="70767DD5" w14:textId="3E9EC43E" w:rsidTr="00774F3E">
        <w:tc>
          <w:tcPr>
            <w:tcW w:w="1796" w:type="pct"/>
            <w:gridSpan w:val="2"/>
            <w:tcBorders>
              <w:top w:val="single" w:sz="4" w:space="0" w:color="auto"/>
              <w:left w:val="single" w:sz="4" w:space="0" w:color="auto"/>
              <w:bottom w:val="single" w:sz="4" w:space="0" w:color="auto"/>
              <w:right w:val="single" w:sz="4" w:space="0" w:color="auto"/>
            </w:tcBorders>
          </w:tcPr>
          <w:p w14:paraId="4F212751" w14:textId="7BB31FBF"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(a) sancțiuni administrative:</w:t>
            </w:r>
          </w:p>
          <w:p w14:paraId="77B8A0BE" w14:textId="77777777" w:rsidR="002F47A0" w:rsidRPr="009E686F" w:rsidRDefault="002F47A0" w:rsidP="002F47A0">
            <w:pPr>
              <w:spacing w:after="0"/>
              <w:jc w:val="both"/>
              <w:rPr>
                <w:rFonts w:ascii="Times New Roman" w:hAnsi="Times New Roman" w:cs="Times New Roman"/>
                <w:lang w:val="ro-RO"/>
              </w:rPr>
            </w:pPr>
          </w:p>
          <w:p w14:paraId="45EE3155"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(i) în cazul unei persoane juridice, sancțiuni administrative pecuniare de până la 10 % din valoarea totală anuală netă a cifrei de afaceri a întreprinderii;</w:t>
            </w:r>
          </w:p>
          <w:p w14:paraId="5DE75ABA"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lastRenderedPageBreak/>
              <w:t>(ii) în cazul unei persoane fizice, sancțiuni administrative pecuniare de până la 5 milioane EUR sau, în statele membre a căror monedă nu este euro, valoarea echivalentă în moneda națională la 17 iulie 2013;</w:t>
            </w:r>
          </w:p>
          <w:p w14:paraId="5282E796"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(iii) sancțiuni administrative pecuniare egale cu până la de două ori cuantumul profiturilor obținute sau al pierderilor evitate ca urmare a încălcării, în cazul în care respectivele profituri sau pierderi pot fi stabilite;</w:t>
            </w:r>
          </w:p>
          <w:p w14:paraId="546ECF6E" w14:textId="35E92BBF" w:rsidR="002F47A0" w:rsidRPr="009E686F" w:rsidRDefault="002F47A0" w:rsidP="002F47A0">
            <w:pPr>
              <w:spacing w:after="0"/>
              <w:jc w:val="both"/>
              <w:rPr>
                <w:rFonts w:ascii="Times New Roman" w:hAnsi="Times New Roman" w:cs="Times New Roman"/>
                <w:lang w:val="ro-RO"/>
              </w:rPr>
            </w:pPr>
          </w:p>
        </w:tc>
        <w:tc>
          <w:tcPr>
            <w:tcW w:w="1928" w:type="pct"/>
            <w:gridSpan w:val="3"/>
            <w:tcBorders>
              <w:top w:val="single" w:sz="4" w:space="0" w:color="auto"/>
              <w:left w:val="single" w:sz="4" w:space="0" w:color="auto"/>
              <w:bottom w:val="single" w:sz="4" w:space="0" w:color="auto"/>
              <w:right w:val="single" w:sz="4" w:space="0" w:color="auto"/>
            </w:tcBorders>
          </w:tcPr>
          <w:p w14:paraId="5DAFE205" w14:textId="77777777" w:rsidR="002F47A0" w:rsidRPr="009E686F" w:rsidRDefault="002F47A0" w:rsidP="002F47A0">
            <w:pPr>
              <w:spacing w:after="0"/>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lastRenderedPageBreak/>
              <w:t xml:space="preserve">d) amendă aplicabilă persoanei juridice, de pînă la 10% din valoarea totală netă a cifrei de afaceri realizată în exerciţiul financiar precedent, care include </w:t>
            </w:r>
            <w:r w:rsidRPr="009E686F">
              <w:rPr>
                <w:rFonts w:ascii="Times New Roman" w:eastAsia="Aptos" w:hAnsi="Times New Roman" w:cs="Times New Roman"/>
                <w:i/>
                <w:iCs/>
                <w:kern w:val="2"/>
                <w:lang w:val="ro-MD"/>
              </w:rPr>
              <w:t>elementele prevăzute la alin. (2</w:t>
            </w:r>
            <w:r w:rsidRPr="009E686F">
              <w:rPr>
                <w:rFonts w:ascii="Times New Roman" w:eastAsia="Aptos" w:hAnsi="Times New Roman" w:cs="Times New Roman"/>
                <w:i/>
                <w:iCs/>
                <w:kern w:val="2"/>
                <w:vertAlign w:val="superscript"/>
                <w:lang w:val="ro-MD"/>
              </w:rPr>
              <w:t>3</w:t>
            </w:r>
            <w:r w:rsidRPr="009E686F">
              <w:rPr>
                <w:rFonts w:ascii="Times New Roman" w:eastAsia="Aptos" w:hAnsi="Times New Roman" w:cs="Times New Roman"/>
                <w:kern w:val="2"/>
                <w:lang w:val="ro-MD"/>
              </w:rPr>
              <w:t>);</w:t>
            </w:r>
          </w:p>
          <w:p w14:paraId="545D899A" w14:textId="77777777" w:rsidR="002F47A0" w:rsidRPr="009E686F" w:rsidRDefault="002F47A0" w:rsidP="002F47A0">
            <w:pPr>
              <w:spacing w:after="0"/>
              <w:jc w:val="both"/>
              <w:rPr>
                <w:rFonts w:ascii="Times New Roman" w:hAnsi="Times New Roman" w:cs="Times New Roman"/>
                <w:lang w:val="ro-MD"/>
              </w:rPr>
            </w:pPr>
            <w:r w:rsidRPr="009E686F">
              <w:rPr>
                <w:rFonts w:ascii="Times New Roman" w:hAnsi="Times New Roman" w:cs="Times New Roman"/>
                <w:lang w:val="ro-MD"/>
              </w:rPr>
              <w:t>f) amendă aplicabilă persoanei fizice, alta decît cea menţionată la lit.e), de la 5000 de lei pînă la 100 de milioane de lei;</w:t>
            </w:r>
          </w:p>
          <w:p w14:paraId="5CD454A8" w14:textId="118BBFEE" w:rsidR="002F47A0" w:rsidRPr="009E686F" w:rsidRDefault="002F47A0" w:rsidP="002F47A0">
            <w:pPr>
              <w:spacing w:after="0"/>
              <w:jc w:val="both"/>
              <w:rPr>
                <w:rFonts w:ascii="Times New Roman" w:hAnsi="Times New Roman" w:cs="Times New Roman"/>
                <w:b/>
                <w:lang w:val="ro-MD"/>
              </w:rPr>
            </w:pPr>
            <w:r w:rsidRPr="009E686F">
              <w:rPr>
                <w:rFonts w:ascii="Times New Roman" w:hAnsi="Times New Roman" w:cs="Times New Roman"/>
                <w:lang w:val="ro-MD"/>
              </w:rPr>
              <w:lastRenderedPageBreak/>
              <w:t>h) amendă egală cu până la valoarea dublă a profitului obţinut sau a pierderilor evitate ca urmare a încălcării, dacă acestea pot fi determinate.</w:t>
            </w:r>
          </w:p>
        </w:tc>
        <w:tc>
          <w:tcPr>
            <w:tcW w:w="470" w:type="pct"/>
            <w:tcBorders>
              <w:top w:val="single" w:sz="4" w:space="0" w:color="auto"/>
              <w:left w:val="single" w:sz="4" w:space="0" w:color="auto"/>
              <w:bottom w:val="single" w:sz="4" w:space="0" w:color="auto"/>
              <w:right w:val="single" w:sz="4" w:space="0" w:color="auto"/>
            </w:tcBorders>
          </w:tcPr>
          <w:p w14:paraId="58C09DE7" w14:textId="622A191B"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29080C27" w14:textId="77777777" w:rsidR="002F47A0" w:rsidRPr="009E686F" w:rsidRDefault="002F47A0" w:rsidP="002F47A0">
            <w:pPr>
              <w:jc w:val="both"/>
              <w:rPr>
                <w:rFonts w:ascii="Times New Roman" w:hAnsi="Times New Roman" w:cs="Times New Roman"/>
                <w:lang w:val="ro-RO"/>
              </w:rPr>
            </w:pPr>
          </w:p>
        </w:tc>
      </w:tr>
      <w:tr w:rsidR="002F47A0" w:rsidRPr="009E686F" w14:paraId="3344CC8A" w14:textId="5AFEC0C1" w:rsidTr="00774F3E">
        <w:tc>
          <w:tcPr>
            <w:tcW w:w="1796" w:type="pct"/>
            <w:gridSpan w:val="2"/>
            <w:tcBorders>
              <w:top w:val="single" w:sz="4" w:space="0" w:color="auto"/>
              <w:left w:val="single" w:sz="4" w:space="0" w:color="auto"/>
              <w:bottom w:val="single" w:sz="4" w:space="0" w:color="auto"/>
              <w:right w:val="single" w:sz="4" w:space="0" w:color="auto"/>
            </w:tcBorders>
          </w:tcPr>
          <w:p w14:paraId="03675EDB"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(b) penalități cu titlu cominatoriu:</w:t>
            </w:r>
          </w:p>
          <w:p w14:paraId="2FAEB899"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(i) în cazul unei persoane juridice, penalități cu titlu cominatoriu de până la 5 % din valoarea netă zilnică medie a cifrei de afaceri pe care, în cazul unei încălcări continue, persoana juridică este obligată să le plătească pentru fiecare zi de încălcare până la restabilirea situației de respectare a unei obligații; penalitățile cu titlu cominatoriu pot fi impuse pe o perioadă de până la șase luni de la data prevăzută în decizia autorității competente prin care se solicită încetarea încălcării și prin care se impun penalitățile cu titlu cominatoriu;</w:t>
            </w:r>
          </w:p>
          <w:p w14:paraId="2DF2BD89" w14:textId="4C981109"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(ii) în cazul unei persoane fizice, penalități cu titlu cominatoriu de până la 50 000 EUR sau, în statele membre a căror monedă nu este euro, valoarea echivalentă în moneda națională la 9 iulie 2024, pe care, în cazul unei încălcări continue, persoana fizică este obligată să le plătească pentru fiecare zi de încălcare până la restabilirea situației de respectare a unei obligații; penalitățile cu titlu cominatoriu pot fi impuse pe o perioadă de până la șase luni de la data prevăzută în decizia autorității competente prin care se solicită încetarea încălcării și prin care se impun penalitățile cu titlu cominatoriu;</w:t>
            </w:r>
          </w:p>
        </w:tc>
        <w:tc>
          <w:tcPr>
            <w:tcW w:w="1928" w:type="pct"/>
            <w:gridSpan w:val="3"/>
            <w:tcBorders>
              <w:top w:val="single" w:sz="4" w:space="0" w:color="auto"/>
              <w:left w:val="single" w:sz="4" w:space="0" w:color="auto"/>
              <w:bottom w:val="single" w:sz="4" w:space="0" w:color="auto"/>
              <w:right w:val="single" w:sz="4" w:space="0" w:color="auto"/>
            </w:tcBorders>
          </w:tcPr>
          <w:p w14:paraId="71A23C0E" w14:textId="057766A7" w:rsidR="002F47A0" w:rsidRPr="009E686F" w:rsidRDefault="002F47A0" w:rsidP="002F47A0">
            <w:pPr>
              <w:spacing w:after="0"/>
              <w:jc w:val="both"/>
              <w:rPr>
                <w:rFonts w:ascii="Times New Roman" w:eastAsia="Aptos" w:hAnsi="Times New Roman" w:cs="Times New Roman"/>
                <w:kern w:val="2"/>
                <w:lang w:val="ro-MD"/>
              </w:rPr>
            </w:pPr>
            <w:r w:rsidRPr="009E686F">
              <w:rPr>
                <w:rFonts w:ascii="Times New Roman" w:eastAsia="Aptos" w:hAnsi="Times New Roman" w:cs="Times New Roman"/>
                <w:b/>
                <w:bCs/>
                <w:kern w:val="2"/>
                <w:lang w:val="ro-MD"/>
              </w:rPr>
              <w:t>Articolul 141 alin. (2</w:t>
            </w:r>
            <w:r w:rsidRPr="009E686F">
              <w:rPr>
                <w:rFonts w:ascii="Times New Roman" w:eastAsia="Aptos" w:hAnsi="Times New Roman" w:cs="Times New Roman"/>
                <w:b/>
                <w:bCs/>
                <w:kern w:val="2"/>
                <w:vertAlign w:val="superscript"/>
                <w:lang w:val="ro-MD"/>
              </w:rPr>
              <w:t>1</w:t>
            </w:r>
            <w:r w:rsidRPr="009E686F">
              <w:rPr>
                <w:rFonts w:ascii="Times New Roman" w:eastAsia="Aptos" w:hAnsi="Times New Roman" w:cs="Times New Roman"/>
                <w:b/>
                <w:bCs/>
                <w:kern w:val="2"/>
                <w:lang w:val="ro-MD"/>
              </w:rPr>
              <w:t>)</w:t>
            </w:r>
          </w:p>
          <w:p w14:paraId="3C09AD28" w14:textId="3E875B41" w:rsidR="002F47A0" w:rsidRPr="009E686F" w:rsidRDefault="002F47A0" w:rsidP="002F47A0">
            <w:pPr>
              <w:spacing w:after="0" w:line="278" w:lineRule="auto"/>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(2</w:t>
            </w:r>
            <w:r w:rsidRPr="009E686F">
              <w:rPr>
                <w:rFonts w:ascii="Times New Roman" w:eastAsia="Aptos" w:hAnsi="Times New Roman" w:cs="Times New Roman"/>
                <w:i/>
                <w:iCs/>
                <w:kern w:val="2"/>
                <w:vertAlign w:val="superscript"/>
                <w:lang w:val="ro-MD"/>
              </w:rPr>
              <w:t>1</w:t>
            </w:r>
            <w:r w:rsidRPr="009E686F">
              <w:rPr>
                <w:rFonts w:ascii="Times New Roman" w:eastAsia="Aptos" w:hAnsi="Times New Roman" w:cs="Times New Roman"/>
                <w:i/>
                <w:iCs/>
                <w:kern w:val="2"/>
                <w:lang w:val="ro-MD"/>
              </w:rPr>
              <w:t>) Penalitățile cu titlu cominatoriu potrivit prezentei legi sunt:</w:t>
            </w:r>
          </w:p>
          <w:p w14:paraId="5A44AD3F" w14:textId="3B980948" w:rsidR="002F47A0" w:rsidRPr="009E686F" w:rsidRDefault="002F47A0" w:rsidP="002F47A0">
            <w:pPr>
              <w:spacing w:after="0" w:line="278" w:lineRule="auto"/>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 xml:space="preserve">a) penalități cu titlu cominatoriu aplicabile unei persoane juridice, de până la 5 % din valoarea netă zilnică medie a cifrei de afaceri pe care, în cazul unei încălcări continue, persoana juridică este obligată să le plătească pentru fiecare zi de încălcare până la restabilirea situației de respectare a unei obligații; </w:t>
            </w:r>
          </w:p>
          <w:p w14:paraId="33E71595" w14:textId="52A8E5B3" w:rsidR="002F47A0" w:rsidRPr="009E686F" w:rsidRDefault="002F47A0" w:rsidP="002F47A0">
            <w:pPr>
              <w:spacing w:after="0" w:line="278" w:lineRule="auto"/>
              <w:jc w:val="both"/>
              <w:rPr>
                <w:rFonts w:ascii="Times New Roman" w:hAnsi="Times New Roman" w:cs="Times New Roman"/>
                <w:b/>
                <w:lang w:val="ro-RO"/>
              </w:rPr>
            </w:pPr>
            <w:r w:rsidRPr="009E686F">
              <w:rPr>
                <w:rFonts w:ascii="Times New Roman" w:eastAsia="Aptos" w:hAnsi="Times New Roman" w:cs="Times New Roman"/>
                <w:i/>
                <w:iCs/>
                <w:kern w:val="2"/>
                <w:lang w:val="ro-MD"/>
              </w:rPr>
              <w:t xml:space="preserve">b) penalități cu titlu cominatoriu aplicabile unei persoane fizice, </w:t>
            </w:r>
            <w:r w:rsidR="00AD5383" w:rsidRPr="009E686F">
              <w:rPr>
                <w:rFonts w:ascii="Times New Roman" w:eastAsia="Aptos" w:hAnsi="Times New Roman" w:cs="Times New Roman"/>
                <w:i/>
                <w:iCs/>
                <w:kern w:val="2"/>
                <w:lang w:val="ro-MD"/>
              </w:rPr>
              <w:t>ce nu depășesc echivalentul în lei moldovenești a 50 000 euro</w:t>
            </w:r>
            <w:r w:rsidRPr="009E686F">
              <w:rPr>
                <w:rFonts w:ascii="Times New Roman" w:eastAsia="Aptos" w:hAnsi="Times New Roman" w:cs="Times New Roman"/>
                <w:i/>
                <w:iCs/>
                <w:kern w:val="2"/>
                <w:lang w:val="ro-MD"/>
              </w:rPr>
              <w:t xml:space="preserve">, pe care, în cazul unei încălcări continue, persoana fizică este obligată să le plătească pentru fiecare zi de încălcare până la restabilirea situației de respectare a unei obligații. </w:t>
            </w:r>
          </w:p>
        </w:tc>
        <w:tc>
          <w:tcPr>
            <w:tcW w:w="470" w:type="pct"/>
            <w:tcBorders>
              <w:top w:val="single" w:sz="4" w:space="0" w:color="auto"/>
              <w:left w:val="single" w:sz="4" w:space="0" w:color="auto"/>
              <w:bottom w:val="single" w:sz="4" w:space="0" w:color="auto"/>
              <w:right w:val="single" w:sz="4" w:space="0" w:color="auto"/>
            </w:tcBorders>
          </w:tcPr>
          <w:p w14:paraId="4333BF75" w14:textId="0412164D"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52B09D10" w14:textId="77777777" w:rsidR="002F47A0" w:rsidRPr="009E686F" w:rsidRDefault="002F47A0" w:rsidP="002F47A0">
            <w:pPr>
              <w:jc w:val="both"/>
              <w:rPr>
                <w:rFonts w:ascii="Times New Roman" w:hAnsi="Times New Roman" w:cs="Times New Roman"/>
                <w:lang w:val="ro-RO"/>
              </w:rPr>
            </w:pPr>
          </w:p>
        </w:tc>
      </w:tr>
      <w:tr w:rsidR="002F47A0" w:rsidRPr="009E686F" w14:paraId="5FAE2CDE" w14:textId="75185403" w:rsidTr="00620A93">
        <w:trPr>
          <w:trHeight w:val="6167"/>
        </w:trPr>
        <w:tc>
          <w:tcPr>
            <w:tcW w:w="1796" w:type="pct"/>
            <w:gridSpan w:val="2"/>
            <w:tcBorders>
              <w:top w:val="single" w:sz="4" w:space="0" w:color="auto"/>
              <w:left w:val="single" w:sz="4" w:space="0" w:color="auto"/>
              <w:bottom w:val="single" w:sz="4" w:space="0" w:color="auto"/>
              <w:right w:val="single" w:sz="4" w:space="0" w:color="auto"/>
            </w:tcBorders>
          </w:tcPr>
          <w:p w14:paraId="42772009"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lastRenderedPageBreak/>
              <w:t>(c) alte măsuri administrative:</w:t>
            </w:r>
          </w:p>
          <w:p w14:paraId="6F14C5C5"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(i) o declarație publică în care se indică persoana fizică, instituția, societatea financiară holding, societatea financiară holding mixtă sau întreprinderea-mamă din UE intermediară responsabilă și natura încălcării;</w:t>
            </w:r>
          </w:p>
          <w:p w14:paraId="22935722" w14:textId="77777777" w:rsidR="002F47A0" w:rsidRPr="009E686F" w:rsidRDefault="002F47A0" w:rsidP="002F47A0">
            <w:pPr>
              <w:spacing w:after="0"/>
              <w:jc w:val="both"/>
              <w:rPr>
                <w:rFonts w:ascii="Times New Roman" w:hAnsi="Times New Roman" w:cs="Times New Roman"/>
                <w:lang w:val="ro-RO"/>
              </w:rPr>
            </w:pPr>
          </w:p>
          <w:p w14:paraId="0AF401DE"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(ii) un ordin prin care i se cere persoanei fizice sau juridice responsabile să înceteze comportamentul respectiv și să se abțină de la repetarea comportamentului respectiv;</w:t>
            </w:r>
          </w:p>
          <w:p w14:paraId="6C5BF16A" w14:textId="77777777" w:rsidR="002F47A0" w:rsidRPr="009E686F" w:rsidRDefault="002F47A0" w:rsidP="002F47A0">
            <w:pPr>
              <w:spacing w:after="0"/>
              <w:jc w:val="both"/>
              <w:rPr>
                <w:rFonts w:ascii="Times New Roman" w:hAnsi="Times New Roman" w:cs="Times New Roman"/>
                <w:lang w:val="ro-RO"/>
              </w:rPr>
            </w:pPr>
          </w:p>
          <w:p w14:paraId="4DF85952"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(iii) suspendarea drepturilor de vot ale acționarului sau acționarilor considerat (considerați) responsabil(i) de încălcările menționate la alineatul (1);</w:t>
            </w:r>
          </w:p>
          <w:p w14:paraId="02358C1B" w14:textId="77777777" w:rsidR="002F47A0" w:rsidRPr="009E686F" w:rsidRDefault="002F47A0" w:rsidP="002F47A0">
            <w:pPr>
              <w:spacing w:after="0"/>
              <w:jc w:val="both"/>
              <w:rPr>
                <w:rFonts w:ascii="Times New Roman" w:hAnsi="Times New Roman" w:cs="Times New Roman"/>
                <w:lang w:val="ro-RO"/>
              </w:rPr>
            </w:pPr>
          </w:p>
          <w:p w14:paraId="2B952C79" w14:textId="6ED69D3A"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(iv) sub rezerva articolului 65 alineatul (2), sancționarea unui membru al organului de conducere sau a oricărei alte persoane fizice considerate responsabile de încălcare prin interzicerea temporară a exercitării de funcții în cadrul instituțiilor.</w:t>
            </w:r>
          </w:p>
        </w:tc>
        <w:tc>
          <w:tcPr>
            <w:tcW w:w="1928" w:type="pct"/>
            <w:gridSpan w:val="3"/>
            <w:tcBorders>
              <w:top w:val="single" w:sz="4" w:space="0" w:color="auto"/>
              <w:left w:val="single" w:sz="4" w:space="0" w:color="auto"/>
              <w:bottom w:val="single" w:sz="4" w:space="0" w:color="auto"/>
              <w:right w:val="single" w:sz="4" w:space="0" w:color="auto"/>
            </w:tcBorders>
          </w:tcPr>
          <w:p w14:paraId="035C7B53" w14:textId="0E6D3DE7" w:rsidR="002F47A0" w:rsidRPr="009E686F" w:rsidRDefault="002F47A0" w:rsidP="002F47A0">
            <w:pPr>
              <w:spacing w:after="0" w:line="278" w:lineRule="auto"/>
              <w:jc w:val="both"/>
              <w:rPr>
                <w:rFonts w:ascii="Times New Roman" w:eastAsia="Aptos" w:hAnsi="Times New Roman" w:cs="Times New Roman"/>
                <w:b/>
                <w:bCs/>
                <w:kern w:val="2"/>
                <w:lang w:val="ro-MD"/>
              </w:rPr>
            </w:pPr>
            <w:r w:rsidRPr="009E686F">
              <w:rPr>
                <w:rFonts w:ascii="Times New Roman" w:eastAsia="Aptos" w:hAnsi="Times New Roman" w:cs="Times New Roman"/>
                <w:b/>
                <w:bCs/>
                <w:kern w:val="2"/>
                <w:lang w:val="ro-MD"/>
              </w:rPr>
              <w:t>Articolul 141 alin. (1), lit. b)</w:t>
            </w:r>
          </w:p>
          <w:p w14:paraId="6A285D51" w14:textId="70A0CDD3" w:rsidR="002F47A0" w:rsidRPr="009E686F" w:rsidRDefault="002F47A0" w:rsidP="002F47A0">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 xml:space="preserve">b) avertisment public   prin care se indică persoana fizică, persoana juridică, inclusiv </w:t>
            </w:r>
            <w:r w:rsidRPr="009E686F">
              <w:rPr>
                <w:rFonts w:ascii="Times New Roman" w:eastAsia="Aptos" w:hAnsi="Times New Roman" w:cs="Times New Roman"/>
                <w:i/>
                <w:iCs/>
                <w:kern w:val="2"/>
                <w:lang w:val="ro-MD"/>
              </w:rPr>
              <w:t>instituția de credit, societatea financiară holding, societatea financiară holding mixtă sau întreprinderea-mamă din UE intermediară responsabilă</w:t>
            </w:r>
            <w:r w:rsidRPr="009E686F">
              <w:rPr>
                <w:rFonts w:ascii="Times New Roman" w:eastAsia="Aptos" w:hAnsi="Times New Roman" w:cs="Times New Roman"/>
                <w:kern w:val="2"/>
                <w:lang w:val="ro-MD"/>
              </w:rPr>
              <w:t xml:space="preserve"> şi natura încălcării;</w:t>
            </w:r>
          </w:p>
          <w:p w14:paraId="52F42E02" w14:textId="6313E23E" w:rsidR="002F47A0" w:rsidRPr="009E686F" w:rsidRDefault="002F47A0" w:rsidP="002F47A0">
            <w:pPr>
              <w:spacing w:after="0" w:line="278" w:lineRule="auto"/>
              <w:jc w:val="both"/>
              <w:rPr>
                <w:rFonts w:ascii="Times New Roman" w:eastAsia="Aptos" w:hAnsi="Times New Roman" w:cs="Times New Roman"/>
                <w:b/>
                <w:bCs/>
                <w:kern w:val="2"/>
                <w:lang w:val="ro-MD"/>
              </w:rPr>
            </w:pPr>
            <w:r w:rsidRPr="009E686F">
              <w:rPr>
                <w:rFonts w:ascii="Times New Roman" w:eastAsia="Aptos" w:hAnsi="Times New Roman" w:cs="Times New Roman"/>
                <w:b/>
                <w:bCs/>
                <w:kern w:val="2"/>
                <w:lang w:val="ro-MD"/>
              </w:rPr>
              <w:t>Articolul 141 alin. (2), lit. a), d) și e)</w:t>
            </w:r>
          </w:p>
          <w:p w14:paraId="0685B818" w14:textId="77777777" w:rsidR="002F47A0" w:rsidRPr="009E686F" w:rsidRDefault="002F47A0" w:rsidP="002F47A0">
            <w:pPr>
              <w:spacing w:after="0"/>
              <w:jc w:val="both"/>
              <w:rPr>
                <w:rFonts w:ascii="Times New Roman" w:hAnsi="Times New Roman" w:cs="Times New Roman"/>
                <w:lang w:val="ro-MD"/>
              </w:rPr>
            </w:pPr>
          </w:p>
          <w:p w14:paraId="4E875C5E" w14:textId="650E6FDB" w:rsidR="002F47A0" w:rsidRPr="009E686F" w:rsidRDefault="002F47A0" w:rsidP="002F47A0">
            <w:pPr>
              <w:spacing w:after="0"/>
              <w:jc w:val="both"/>
              <w:rPr>
                <w:rFonts w:ascii="Times New Roman" w:hAnsi="Times New Roman" w:cs="Times New Roman"/>
                <w:lang w:val="ro-MD"/>
              </w:rPr>
            </w:pPr>
            <w:r w:rsidRPr="009E686F">
              <w:rPr>
                <w:rFonts w:ascii="Times New Roman" w:hAnsi="Times New Roman" w:cs="Times New Roman"/>
                <w:lang w:val="ro-MD"/>
              </w:rPr>
              <w:t>(2) Măsurile sancţionatoare potrivit prezentei legi sînt:</w:t>
            </w:r>
          </w:p>
          <w:p w14:paraId="000EB020" w14:textId="608D6B14" w:rsidR="002F47A0" w:rsidRPr="009E686F" w:rsidRDefault="002F47A0" w:rsidP="002F47A0">
            <w:pPr>
              <w:spacing w:after="0" w:line="278" w:lineRule="auto"/>
              <w:jc w:val="both"/>
              <w:rPr>
                <w:rFonts w:ascii="Times New Roman" w:hAnsi="Times New Roman" w:cs="Times New Roman"/>
                <w:lang w:val="ro-MD"/>
              </w:rPr>
            </w:pPr>
            <w:r w:rsidRPr="009E686F">
              <w:rPr>
                <w:rFonts w:ascii="Times New Roman" w:hAnsi="Times New Roman" w:cs="Times New Roman"/>
                <w:lang w:val="ro-MD"/>
              </w:rPr>
              <w:t>a) ordin de încetare a conduitei ilicite a persoanei şi de abţinere de la repetarea acesteia;</w:t>
            </w:r>
          </w:p>
          <w:p w14:paraId="1B0A4DF8" w14:textId="119AF626" w:rsidR="002F47A0" w:rsidRPr="009E686F" w:rsidRDefault="002F47A0" w:rsidP="002F47A0">
            <w:pPr>
              <w:spacing w:after="0"/>
              <w:jc w:val="both"/>
              <w:rPr>
                <w:rFonts w:ascii="Times New Roman" w:hAnsi="Times New Roman" w:cs="Times New Roman"/>
                <w:lang w:val="pt-BR"/>
              </w:rPr>
            </w:pPr>
            <w:r w:rsidRPr="009E686F">
              <w:rPr>
                <w:rFonts w:ascii="Times New Roman" w:hAnsi="Times New Roman" w:cs="Times New Roman"/>
                <w:lang w:val="pt-BR"/>
              </w:rPr>
              <w:t>d) suspendarea exercitării drepturilor de vot ale acţionarului sau acţionarilor responsabili;</w:t>
            </w:r>
          </w:p>
          <w:p w14:paraId="3A3376D6" w14:textId="30738121" w:rsidR="002F47A0" w:rsidRPr="009E686F" w:rsidRDefault="002F47A0" w:rsidP="002F47A0">
            <w:pPr>
              <w:spacing w:after="0"/>
              <w:jc w:val="both"/>
              <w:rPr>
                <w:rFonts w:ascii="Times New Roman" w:hAnsi="Times New Roman" w:cs="Times New Roman"/>
                <w:b/>
                <w:lang w:val="ro-RO"/>
              </w:rPr>
            </w:pPr>
            <w:r w:rsidRPr="009E686F">
              <w:rPr>
                <w:rFonts w:ascii="Times New Roman" w:hAnsi="Times New Roman" w:cs="Times New Roman"/>
                <w:i/>
                <w:lang w:val="pt-BR"/>
              </w:rPr>
              <w:t>e)</w:t>
            </w:r>
            <w:r w:rsidRPr="009E686F">
              <w:rPr>
                <w:rFonts w:ascii="Times New Roman" w:hAnsi="Times New Roman" w:cs="Times New Roman"/>
                <w:lang w:val="pt-BR"/>
              </w:rPr>
              <w:t xml:space="preserve"> </w:t>
            </w:r>
            <w:r w:rsidRPr="009E686F">
              <w:rPr>
                <w:rFonts w:ascii="Times New Roman" w:hAnsi="Times New Roman" w:cs="Times New Roman"/>
                <w:i/>
                <w:lang w:val="pt-BR"/>
              </w:rPr>
              <w:t>sub rezerva art. 138 alin. (1), sancționarea unui membru al organului de conducere sau a oricărei alte persoane fizice considerate responsabile de încălcare prin interzicerea temporară a exercitării de funcții în cadrul instituțiilor de credit.</w:t>
            </w:r>
          </w:p>
        </w:tc>
        <w:tc>
          <w:tcPr>
            <w:tcW w:w="470" w:type="pct"/>
            <w:tcBorders>
              <w:top w:val="single" w:sz="4" w:space="0" w:color="auto"/>
              <w:left w:val="single" w:sz="4" w:space="0" w:color="auto"/>
              <w:bottom w:val="single" w:sz="4" w:space="0" w:color="auto"/>
              <w:right w:val="single" w:sz="4" w:space="0" w:color="auto"/>
            </w:tcBorders>
          </w:tcPr>
          <w:p w14:paraId="6362C861" w14:textId="44EE3441"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27AF140E" w14:textId="77777777" w:rsidR="002F47A0" w:rsidRPr="009E686F" w:rsidRDefault="002F47A0" w:rsidP="002F47A0">
            <w:pPr>
              <w:jc w:val="both"/>
              <w:rPr>
                <w:rFonts w:ascii="Times New Roman" w:hAnsi="Times New Roman" w:cs="Times New Roman"/>
                <w:lang w:val="ro-RO"/>
              </w:rPr>
            </w:pPr>
          </w:p>
        </w:tc>
      </w:tr>
      <w:tr w:rsidR="002F47A0" w:rsidRPr="009E686F" w14:paraId="3E53A422"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1561556E"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În sensul literei (b) de la primul paragraf, statele membre pot stabili un cuantum maxim mai mare pentru penalitățile cu titlu cominatoriu care trebuie aplicate pentru fiecare zi de încălcare.</w:t>
            </w:r>
          </w:p>
          <w:p w14:paraId="0B317E11" w14:textId="521710F6" w:rsidR="002F47A0" w:rsidRPr="009E686F" w:rsidDel="00C25163"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 xml:space="preserve">Prin derogare de la litera (b) a primului paragraf, statele membre pot aplica penalități cu titlu cominatoriu pe bază săptămânală sau lunară. În acest caz, cuantumul maxim al penalităților cu titlu cominatoriu care trebuie aplicat pentru perioada săptămânală sau lunară relevantă în care are loc o </w:t>
            </w:r>
            <w:r w:rsidRPr="009E686F">
              <w:rPr>
                <w:rFonts w:ascii="Times New Roman" w:hAnsi="Times New Roman" w:cs="Times New Roman"/>
                <w:lang w:val="ro-RO"/>
              </w:rPr>
              <w:lastRenderedPageBreak/>
              <w:t>încălcare nu depășește cuantumul maxim al penalităților cu titlu cominatoriu care s-ar aplica zilnic în conformitate cu litera respectivă pentru perioada relevantă.</w:t>
            </w:r>
          </w:p>
        </w:tc>
        <w:tc>
          <w:tcPr>
            <w:tcW w:w="1928" w:type="pct"/>
            <w:gridSpan w:val="3"/>
            <w:tcBorders>
              <w:top w:val="single" w:sz="4" w:space="0" w:color="auto"/>
              <w:left w:val="single" w:sz="4" w:space="0" w:color="auto"/>
              <w:bottom w:val="single" w:sz="4" w:space="0" w:color="auto"/>
              <w:right w:val="single" w:sz="4" w:space="0" w:color="auto"/>
            </w:tcBorders>
          </w:tcPr>
          <w:p w14:paraId="0BC8A85D" w14:textId="77777777" w:rsidR="002F47A0" w:rsidRPr="009E686F" w:rsidRDefault="002F47A0" w:rsidP="002F47A0">
            <w:pPr>
              <w:spacing w:after="0"/>
              <w:jc w:val="both"/>
              <w:rPr>
                <w:rFonts w:ascii="Times New Roman" w:hAnsi="Times New Roman" w:cs="Times New Roman"/>
                <w:lang w:val="ro-RO"/>
              </w:rPr>
            </w:pPr>
          </w:p>
        </w:tc>
        <w:tc>
          <w:tcPr>
            <w:tcW w:w="470" w:type="pct"/>
            <w:tcBorders>
              <w:top w:val="single" w:sz="4" w:space="0" w:color="auto"/>
              <w:left w:val="single" w:sz="4" w:space="0" w:color="auto"/>
              <w:bottom w:val="single" w:sz="4" w:space="0" w:color="auto"/>
              <w:right w:val="single" w:sz="4" w:space="0" w:color="auto"/>
            </w:tcBorders>
          </w:tcPr>
          <w:p w14:paraId="2BEFC21E" w14:textId="2FEEB0B8"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Norme UE netranspuse</w:t>
            </w:r>
          </w:p>
        </w:tc>
        <w:tc>
          <w:tcPr>
            <w:tcW w:w="806" w:type="pct"/>
            <w:tcBorders>
              <w:top w:val="single" w:sz="4" w:space="0" w:color="auto"/>
              <w:left w:val="single" w:sz="4" w:space="0" w:color="auto"/>
              <w:bottom w:val="single" w:sz="4" w:space="0" w:color="auto"/>
              <w:right w:val="single" w:sz="4" w:space="0" w:color="auto"/>
            </w:tcBorders>
          </w:tcPr>
          <w:p w14:paraId="27F6B392" w14:textId="72FE3E69"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Opțiunea neexercitată</w:t>
            </w:r>
          </w:p>
        </w:tc>
      </w:tr>
      <w:tr w:rsidR="002F47A0" w:rsidRPr="009E686F" w14:paraId="7A73C752"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7D276875" w14:textId="2355858E"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Penalitățile cu titlu cominatoriu pot fi impuse la o anumită dată și pot începe să se aplice la o dată ulterioară.</w:t>
            </w:r>
          </w:p>
        </w:tc>
        <w:tc>
          <w:tcPr>
            <w:tcW w:w="1928" w:type="pct"/>
            <w:gridSpan w:val="3"/>
            <w:tcBorders>
              <w:top w:val="single" w:sz="4" w:space="0" w:color="auto"/>
              <w:left w:val="single" w:sz="4" w:space="0" w:color="auto"/>
              <w:bottom w:val="single" w:sz="4" w:space="0" w:color="auto"/>
              <w:right w:val="single" w:sz="4" w:space="0" w:color="auto"/>
            </w:tcBorders>
          </w:tcPr>
          <w:p w14:paraId="0F311542" w14:textId="23091EFD" w:rsidR="002F47A0" w:rsidRPr="009E686F" w:rsidRDefault="002F47A0" w:rsidP="002F47A0">
            <w:pPr>
              <w:spacing w:after="0"/>
              <w:jc w:val="both"/>
              <w:rPr>
                <w:rFonts w:ascii="Times New Roman" w:eastAsia="Aptos" w:hAnsi="Times New Roman" w:cs="Times New Roman"/>
                <w:kern w:val="2"/>
                <w:lang w:val="ro-MD"/>
              </w:rPr>
            </w:pPr>
            <w:r w:rsidRPr="009E686F">
              <w:rPr>
                <w:rFonts w:ascii="Times New Roman" w:eastAsia="Aptos" w:hAnsi="Times New Roman" w:cs="Times New Roman"/>
                <w:b/>
                <w:bCs/>
                <w:kern w:val="2"/>
                <w:lang w:val="ro-MD"/>
              </w:rPr>
              <w:t>Articolul 141 alin. (2</w:t>
            </w:r>
            <w:r w:rsidRPr="009E686F">
              <w:rPr>
                <w:rFonts w:ascii="Times New Roman" w:eastAsia="Aptos" w:hAnsi="Times New Roman" w:cs="Times New Roman"/>
                <w:b/>
                <w:bCs/>
                <w:kern w:val="2"/>
                <w:vertAlign w:val="superscript"/>
                <w:lang w:val="ro-MD"/>
              </w:rPr>
              <w:t>2</w:t>
            </w:r>
            <w:r w:rsidRPr="009E686F">
              <w:rPr>
                <w:rFonts w:ascii="Times New Roman" w:eastAsia="Aptos" w:hAnsi="Times New Roman" w:cs="Times New Roman"/>
                <w:b/>
                <w:bCs/>
                <w:kern w:val="2"/>
                <w:lang w:val="ro-MD"/>
              </w:rPr>
              <w:t>)</w:t>
            </w:r>
          </w:p>
          <w:p w14:paraId="6F05DA12" w14:textId="7B0EEAC8" w:rsidR="002F47A0" w:rsidRPr="009E686F" w:rsidRDefault="002F47A0" w:rsidP="002F47A0">
            <w:pPr>
              <w:spacing w:after="0"/>
              <w:jc w:val="both"/>
              <w:rPr>
                <w:rFonts w:ascii="Times New Roman" w:hAnsi="Times New Roman" w:cs="Times New Roman"/>
                <w:i/>
                <w:iCs/>
                <w:lang w:val="ro-RO"/>
              </w:rPr>
            </w:pPr>
            <w:r w:rsidRPr="009E686F">
              <w:rPr>
                <w:rFonts w:ascii="Times New Roman" w:eastAsia="Aptos" w:hAnsi="Times New Roman" w:cs="Times New Roman"/>
                <w:i/>
                <w:iCs/>
                <w:kern w:val="2"/>
                <w:lang w:val="ro-MD"/>
              </w:rPr>
              <w:t>(2</w:t>
            </w:r>
            <w:r w:rsidRPr="009E686F">
              <w:rPr>
                <w:rFonts w:ascii="Times New Roman" w:eastAsia="Aptos" w:hAnsi="Times New Roman" w:cs="Times New Roman"/>
                <w:i/>
                <w:iCs/>
                <w:kern w:val="2"/>
                <w:vertAlign w:val="superscript"/>
                <w:lang w:val="ro-MD"/>
              </w:rPr>
              <w:t>2</w:t>
            </w:r>
            <w:r w:rsidRPr="009E686F">
              <w:rPr>
                <w:rFonts w:ascii="Times New Roman" w:eastAsia="Aptos" w:hAnsi="Times New Roman" w:cs="Times New Roman"/>
                <w:i/>
                <w:iCs/>
                <w:kern w:val="2"/>
                <w:lang w:val="ro-MD"/>
              </w:rPr>
              <w:t>) Penalitățile cu titlu cominatoriu prevăzute la alin. (2</w:t>
            </w:r>
            <w:r w:rsidRPr="009E686F">
              <w:rPr>
                <w:rFonts w:ascii="Times New Roman" w:eastAsia="Aptos" w:hAnsi="Times New Roman" w:cs="Times New Roman"/>
                <w:i/>
                <w:iCs/>
                <w:kern w:val="2"/>
                <w:vertAlign w:val="superscript"/>
                <w:lang w:val="ro-MD"/>
              </w:rPr>
              <w:t>1</w:t>
            </w:r>
            <w:r w:rsidRPr="009E686F">
              <w:rPr>
                <w:rFonts w:ascii="Times New Roman" w:eastAsia="Aptos" w:hAnsi="Times New Roman" w:cs="Times New Roman"/>
                <w:i/>
                <w:iCs/>
                <w:kern w:val="2"/>
                <w:lang w:val="ro-MD"/>
              </w:rPr>
              <w:t>) pot fi impuse pe o perioadă de până la 6 luni de la data prevăzută în decizia Băncii Naționale a Moldovei prin care se solicită încetarea încălcării și prin care se impun penalitățile cu titlu cominatoriu. Penalitățile cu titlu cominatoriu pot fi impuse la o anumită dată și pot începe să se aplice la o dată ulterioară.</w:t>
            </w:r>
          </w:p>
        </w:tc>
        <w:tc>
          <w:tcPr>
            <w:tcW w:w="470" w:type="pct"/>
            <w:tcBorders>
              <w:top w:val="single" w:sz="4" w:space="0" w:color="auto"/>
              <w:left w:val="single" w:sz="4" w:space="0" w:color="auto"/>
              <w:bottom w:val="single" w:sz="4" w:space="0" w:color="auto"/>
              <w:right w:val="single" w:sz="4" w:space="0" w:color="auto"/>
            </w:tcBorders>
          </w:tcPr>
          <w:p w14:paraId="4E8BD4B5" w14:textId="620B2469"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656BFA72" w14:textId="77777777" w:rsidR="002F47A0" w:rsidRPr="009E686F" w:rsidRDefault="002F47A0" w:rsidP="002F47A0">
            <w:pPr>
              <w:jc w:val="both"/>
              <w:rPr>
                <w:rFonts w:ascii="Times New Roman" w:hAnsi="Times New Roman" w:cs="Times New Roman"/>
                <w:lang w:val="ro-RO"/>
              </w:rPr>
            </w:pPr>
          </w:p>
        </w:tc>
      </w:tr>
      <w:tr w:rsidR="002F47A0" w:rsidRPr="009E686F" w14:paraId="4C565282"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6063706B"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(3) Valoarea totală anuală netă a cifrei de afaceri menționată la alineatul (2) litera (a) punctul (i) de la prezentul articol este suma următoarelor elemente, determinate în conformitate cu anexele III și IV la Regulamentul de punere în aplicare (UE) 2021/451 al Comisiei (**):</w:t>
            </w:r>
          </w:p>
          <w:p w14:paraId="61DCA85D"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(a) venituri din dobânzi;</w:t>
            </w:r>
          </w:p>
          <w:p w14:paraId="6933DC69"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(b) cheltuieli cu dobânzile;</w:t>
            </w:r>
          </w:p>
          <w:p w14:paraId="059BA62E"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(c) cheltuieli cu capitalul social rambursabil la cerere;</w:t>
            </w:r>
          </w:p>
          <w:p w14:paraId="3F42D3C1"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(d) venituri din dividende;</w:t>
            </w:r>
          </w:p>
          <w:p w14:paraId="01C270ED"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(e) venituri din onorarii și comisioane;</w:t>
            </w:r>
          </w:p>
          <w:p w14:paraId="1B72F776"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(f) cheltuieli cu onorarii și comisioane;</w:t>
            </w:r>
          </w:p>
          <w:p w14:paraId="248C28A9"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(g) câștiguri sau pierderi aferente activelor și datoriilor financiare deținute în vederea tranzacționării – net;</w:t>
            </w:r>
          </w:p>
          <w:p w14:paraId="3000AE1E"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(h) câștiguri sau pierderi aferente activelor și datoriilor financiare desemnate la valoarea justă prin profit sau pierdere – net;</w:t>
            </w:r>
          </w:p>
          <w:p w14:paraId="25247CC2"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(i) câștiguri sau pierderi din contabilitatea de acoperire împotriva riscurilor – net;</w:t>
            </w:r>
          </w:p>
          <w:p w14:paraId="03D2D960"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(j) diferențe de curs de schimb (câștig sau pierdere) – net;</w:t>
            </w:r>
          </w:p>
          <w:p w14:paraId="4AE9E282"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(k) alte venituri din exploatare;</w:t>
            </w:r>
          </w:p>
          <w:p w14:paraId="7424DEFF" w14:textId="09A37CA2" w:rsidR="002F47A0" w:rsidRPr="009E686F" w:rsidDel="00BF0544"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(l) alte cheltuieli de exploatare.</w:t>
            </w:r>
          </w:p>
        </w:tc>
        <w:tc>
          <w:tcPr>
            <w:tcW w:w="1928" w:type="pct"/>
            <w:gridSpan w:val="3"/>
            <w:tcBorders>
              <w:top w:val="single" w:sz="4" w:space="0" w:color="auto"/>
              <w:left w:val="single" w:sz="4" w:space="0" w:color="auto"/>
              <w:bottom w:val="single" w:sz="4" w:space="0" w:color="auto"/>
              <w:right w:val="single" w:sz="4" w:space="0" w:color="auto"/>
            </w:tcBorders>
          </w:tcPr>
          <w:p w14:paraId="7C1564CF" w14:textId="2B3D71FD" w:rsidR="002F47A0" w:rsidRPr="009E686F" w:rsidRDefault="002F47A0" w:rsidP="002F47A0">
            <w:pPr>
              <w:spacing w:after="0"/>
              <w:jc w:val="both"/>
              <w:rPr>
                <w:rFonts w:ascii="Times New Roman" w:hAnsi="Times New Roman" w:cs="Times New Roman"/>
                <w:b/>
                <w:bCs/>
                <w:lang w:val="ro-RO"/>
              </w:rPr>
            </w:pPr>
            <w:r w:rsidRPr="009E686F">
              <w:rPr>
                <w:rFonts w:ascii="Times New Roman" w:hAnsi="Times New Roman" w:cs="Times New Roman"/>
                <w:b/>
                <w:bCs/>
                <w:lang w:val="ro-RO"/>
              </w:rPr>
              <w:t xml:space="preserve">Articolul 141 </w:t>
            </w:r>
            <w:r w:rsidRPr="009E686F">
              <w:rPr>
                <w:rFonts w:ascii="Times New Roman" w:eastAsia="Aptos" w:hAnsi="Times New Roman" w:cs="Times New Roman"/>
                <w:b/>
                <w:bCs/>
                <w:kern w:val="2"/>
                <w:lang w:val="ro-MD"/>
              </w:rPr>
              <w:t>alin.</w:t>
            </w:r>
            <w:r w:rsidRPr="009E686F">
              <w:rPr>
                <w:rFonts w:ascii="Times New Roman" w:hAnsi="Times New Roman" w:cs="Times New Roman"/>
                <w:b/>
                <w:bCs/>
                <w:lang w:val="ro-RO"/>
              </w:rPr>
              <w:t xml:space="preserve"> (2</w:t>
            </w:r>
            <w:r w:rsidRPr="009E686F">
              <w:rPr>
                <w:rFonts w:ascii="Times New Roman" w:hAnsi="Times New Roman" w:cs="Times New Roman"/>
                <w:b/>
                <w:bCs/>
                <w:vertAlign w:val="superscript"/>
                <w:lang w:val="ro-RO"/>
              </w:rPr>
              <w:t>3</w:t>
            </w:r>
            <w:r w:rsidRPr="009E686F">
              <w:rPr>
                <w:rFonts w:ascii="Times New Roman" w:hAnsi="Times New Roman" w:cs="Times New Roman"/>
                <w:b/>
                <w:bCs/>
                <w:lang w:val="ro-RO"/>
              </w:rPr>
              <w:t>)</w:t>
            </w:r>
          </w:p>
          <w:p w14:paraId="6DA5CE45" w14:textId="713330AD" w:rsidR="002F47A0" w:rsidRPr="009E686F" w:rsidRDefault="002F47A0" w:rsidP="002F47A0">
            <w:pPr>
              <w:spacing w:after="0" w:line="278" w:lineRule="auto"/>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w:t>
            </w:r>
            <w:r w:rsidRPr="009E686F">
              <w:rPr>
                <w:rFonts w:ascii="Times New Roman" w:hAnsi="Times New Roman" w:cs="Times New Roman"/>
                <w:i/>
                <w:iCs/>
                <w:lang w:val="ro-RO"/>
              </w:rPr>
              <w:t>2</w:t>
            </w:r>
            <w:r w:rsidRPr="009E686F">
              <w:rPr>
                <w:rFonts w:ascii="Times New Roman" w:hAnsi="Times New Roman" w:cs="Times New Roman"/>
                <w:i/>
                <w:iCs/>
                <w:vertAlign w:val="superscript"/>
                <w:lang w:val="ro-RO"/>
              </w:rPr>
              <w:t>3</w:t>
            </w:r>
            <w:r w:rsidRPr="009E686F">
              <w:rPr>
                <w:rFonts w:ascii="Times New Roman" w:eastAsia="Aptos" w:hAnsi="Times New Roman" w:cs="Times New Roman"/>
                <w:i/>
                <w:iCs/>
                <w:kern w:val="2"/>
                <w:lang w:val="ro-MD"/>
              </w:rPr>
              <w:t>) În sensul alin. (1) lit. a), valoarea totală anuală netă a cifrei de afaceri este suma următoarelor elemente;</w:t>
            </w:r>
          </w:p>
          <w:p w14:paraId="0CE711A0" w14:textId="77777777" w:rsidR="002F47A0" w:rsidRPr="009E686F" w:rsidRDefault="002F47A0" w:rsidP="002F47A0">
            <w:pPr>
              <w:spacing w:after="0" w:line="278" w:lineRule="auto"/>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a) venituri din dobânzi;</w:t>
            </w:r>
          </w:p>
          <w:p w14:paraId="179BD19D" w14:textId="77777777" w:rsidR="002F47A0" w:rsidRPr="009E686F" w:rsidRDefault="002F47A0" w:rsidP="002F47A0">
            <w:pPr>
              <w:spacing w:after="0" w:line="278" w:lineRule="auto"/>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b) cheltuieli cu dobânzile;</w:t>
            </w:r>
          </w:p>
          <w:p w14:paraId="4FC52723" w14:textId="77777777" w:rsidR="002F47A0" w:rsidRPr="009E686F" w:rsidRDefault="002F47A0" w:rsidP="002F47A0">
            <w:pPr>
              <w:spacing w:after="0" w:line="278" w:lineRule="auto"/>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c) cheltuieli cu capitalul social rambursabil la cerere;</w:t>
            </w:r>
          </w:p>
          <w:p w14:paraId="597B3EE8" w14:textId="77777777" w:rsidR="002F47A0" w:rsidRPr="009E686F" w:rsidRDefault="002F47A0" w:rsidP="002F47A0">
            <w:pPr>
              <w:spacing w:after="0" w:line="278" w:lineRule="auto"/>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d) venituri din dividende;</w:t>
            </w:r>
          </w:p>
          <w:p w14:paraId="68293846" w14:textId="77777777" w:rsidR="002F47A0" w:rsidRPr="009E686F" w:rsidRDefault="002F47A0" w:rsidP="002F47A0">
            <w:pPr>
              <w:spacing w:after="0" w:line="278" w:lineRule="auto"/>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 xml:space="preserve">e) venituri din onorarii și comisioane; </w:t>
            </w:r>
          </w:p>
          <w:p w14:paraId="1060C826" w14:textId="77777777" w:rsidR="002F47A0" w:rsidRPr="009E686F" w:rsidRDefault="002F47A0" w:rsidP="002F47A0">
            <w:pPr>
              <w:spacing w:after="0" w:line="278" w:lineRule="auto"/>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 xml:space="preserve">f) cheltuieli cu onorarii și comisioane; </w:t>
            </w:r>
          </w:p>
          <w:p w14:paraId="6BEB10CD" w14:textId="77777777" w:rsidR="002F47A0" w:rsidRPr="009E686F" w:rsidRDefault="002F47A0" w:rsidP="002F47A0">
            <w:pPr>
              <w:spacing w:after="0" w:line="278" w:lineRule="auto"/>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 xml:space="preserve">g) câștiguri sau pierderi aferente activelor și datoriilor financiare deținute în vederea tranzacționării – net; </w:t>
            </w:r>
          </w:p>
          <w:p w14:paraId="33F06EC0" w14:textId="77777777" w:rsidR="002F47A0" w:rsidRPr="009E686F" w:rsidRDefault="002F47A0" w:rsidP="002F47A0">
            <w:pPr>
              <w:spacing w:after="0" w:line="278" w:lineRule="auto"/>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 xml:space="preserve">h) câștiguri sau pierderi aferente activelor și datoriilor financiare desemnate la valoarea justă prin profit sau pierdere – net; </w:t>
            </w:r>
          </w:p>
          <w:p w14:paraId="6BE571D5" w14:textId="77777777" w:rsidR="00CB6C0B" w:rsidRPr="009E686F" w:rsidRDefault="002F47A0" w:rsidP="002F47A0">
            <w:pPr>
              <w:spacing w:after="0" w:line="278" w:lineRule="auto"/>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 xml:space="preserve">i) câștiguri sau pierderi din contabilitatea de acoperire împotriva riscurilor – net; </w:t>
            </w:r>
          </w:p>
          <w:p w14:paraId="29D59358" w14:textId="3C46317E" w:rsidR="002F47A0" w:rsidRPr="009E686F" w:rsidRDefault="002F47A0" w:rsidP="002F47A0">
            <w:pPr>
              <w:spacing w:after="0" w:line="278" w:lineRule="auto"/>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 xml:space="preserve">(j) diferențe de curs de schimb (câștig sau pierdere) – net; </w:t>
            </w:r>
          </w:p>
          <w:p w14:paraId="01825769" w14:textId="77777777" w:rsidR="002F47A0" w:rsidRPr="009E686F" w:rsidRDefault="002F47A0" w:rsidP="002F47A0">
            <w:pPr>
              <w:spacing w:after="0" w:line="278" w:lineRule="auto"/>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 xml:space="preserve">k) alte venituri din exploatare; </w:t>
            </w:r>
          </w:p>
          <w:p w14:paraId="201747B4" w14:textId="006012B7" w:rsidR="002F47A0" w:rsidRPr="009E686F" w:rsidRDefault="002F47A0" w:rsidP="002F47A0">
            <w:pPr>
              <w:spacing w:after="0"/>
              <w:jc w:val="both"/>
              <w:rPr>
                <w:rFonts w:ascii="Times New Roman" w:hAnsi="Times New Roman" w:cs="Times New Roman"/>
                <w:b/>
                <w:bCs/>
                <w:i/>
                <w:iCs/>
                <w:lang w:val="ro-RO"/>
              </w:rPr>
            </w:pPr>
            <w:r w:rsidRPr="009E686F">
              <w:rPr>
                <w:rFonts w:ascii="Times New Roman" w:eastAsia="Aptos" w:hAnsi="Times New Roman" w:cs="Times New Roman"/>
                <w:i/>
                <w:iCs/>
                <w:kern w:val="2"/>
                <w:lang w:val="ro-MD"/>
              </w:rPr>
              <w:t>l) alte cheltuieli de exploatare.</w:t>
            </w:r>
          </w:p>
        </w:tc>
        <w:tc>
          <w:tcPr>
            <w:tcW w:w="470" w:type="pct"/>
            <w:tcBorders>
              <w:top w:val="single" w:sz="4" w:space="0" w:color="auto"/>
              <w:left w:val="single" w:sz="4" w:space="0" w:color="auto"/>
              <w:bottom w:val="single" w:sz="4" w:space="0" w:color="auto"/>
              <w:right w:val="single" w:sz="4" w:space="0" w:color="auto"/>
            </w:tcBorders>
          </w:tcPr>
          <w:p w14:paraId="382677A4" w14:textId="67A5E33A"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36C8B1B6" w14:textId="77777777" w:rsidR="002F47A0" w:rsidRPr="009E686F" w:rsidRDefault="002F47A0" w:rsidP="002F47A0">
            <w:pPr>
              <w:jc w:val="both"/>
              <w:rPr>
                <w:rFonts w:ascii="Times New Roman" w:hAnsi="Times New Roman" w:cs="Times New Roman"/>
                <w:lang w:val="ro-RO"/>
              </w:rPr>
            </w:pPr>
          </w:p>
        </w:tc>
      </w:tr>
      <w:tr w:rsidR="002F47A0" w:rsidRPr="009E686F" w14:paraId="3889CC22"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0865D173" w14:textId="291A26CF" w:rsidR="002F47A0" w:rsidRPr="009E686F" w:rsidDel="00BF0544"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lastRenderedPageBreak/>
              <w:t>În sensul prezentului articol, baza de calcul o reprezintă cele mai recente informații financiare anuale în materie de supraveghere care generează un indicator mai mare decât zero. În cazul în care persoana juridică menționată la alineatul (2) de la prezentul articol nu intră sub incidența Regulamentului de punere în aplicare (UE) 2021/451, valoarea totală anuală netă relevantă a cifrei de afaceri este valoarea totală anuală netă a cifrei de afaceri sau tipul de venit corespunzător în conformitate cu cadrul contabil aplicabil. În cazul în care întreprinderea în cauză face parte dintr-un grup, valoarea totală anuală netă relevantă a cifrei de afaceri este valoarea totală anuală netă a cifrei de afaceri care rezultă din conturile consolidate ale întreprinderii-mamă de cel mai înalt rang.</w:t>
            </w:r>
          </w:p>
        </w:tc>
        <w:tc>
          <w:tcPr>
            <w:tcW w:w="1928" w:type="pct"/>
            <w:gridSpan w:val="3"/>
            <w:tcBorders>
              <w:top w:val="single" w:sz="4" w:space="0" w:color="auto"/>
              <w:left w:val="single" w:sz="4" w:space="0" w:color="auto"/>
              <w:bottom w:val="single" w:sz="4" w:space="0" w:color="auto"/>
              <w:right w:val="single" w:sz="4" w:space="0" w:color="auto"/>
            </w:tcBorders>
          </w:tcPr>
          <w:p w14:paraId="4FBAB2B1" w14:textId="66B7D57D" w:rsidR="002F47A0" w:rsidRPr="009E686F" w:rsidRDefault="002F47A0" w:rsidP="002F47A0">
            <w:pPr>
              <w:spacing w:after="0"/>
              <w:jc w:val="both"/>
              <w:rPr>
                <w:rFonts w:ascii="Times New Roman" w:hAnsi="Times New Roman" w:cs="Times New Roman"/>
                <w:b/>
                <w:bCs/>
                <w:lang w:val="ro-RO"/>
              </w:rPr>
            </w:pPr>
            <w:r w:rsidRPr="009E686F">
              <w:rPr>
                <w:rFonts w:ascii="Times New Roman" w:hAnsi="Times New Roman" w:cs="Times New Roman"/>
                <w:b/>
                <w:bCs/>
                <w:lang w:val="ro-RO"/>
              </w:rPr>
              <w:t xml:space="preserve">Articolul 141 </w:t>
            </w:r>
            <w:r w:rsidRPr="009E686F">
              <w:rPr>
                <w:rFonts w:ascii="Times New Roman" w:eastAsia="Aptos" w:hAnsi="Times New Roman" w:cs="Times New Roman"/>
                <w:b/>
                <w:bCs/>
                <w:kern w:val="2"/>
                <w:lang w:val="ro-MD"/>
              </w:rPr>
              <w:t>alin.</w:t>
            </w:r>
            <w:r w:rsidRPr="009E686F">
              <w:rPr>
                <w:rFonts w:ascii="Times New Roman" w:hAnsi="Times New Roman" w:cs="Times New Roman"/>
                <w:b/>
                <w:bCs/>
                <w:lang w:val="ro-RO"/>
              </w:rPr>
              <w:t xml:space="preserve"> (2</w:t>
            </w:r>
            <w:r w:rsidRPr="009E686F">
              <w:rPr>
                <w:rFonts w:ascii="Times New Roman" w:hAnsi="Times New Roman" w:cs="Times New Roman"/>
                <w:b/>
                <w:bCs/>
                <w:vertAlign w:val="superscript"/>
                <w:lang w:val="ro-RO"/>
              </w:rPr>
              <w:t>4</w:t>
            </w:r>
            <w:r w:rsidRPr="009E686F">
              <w:rPr>
                <w:rFonts w:ascii="Times New Roman" w:hAnsi="Times New Roman" w:cs="Times New Roman"/>
                <w:b/>
                <w:bCs/>
                <w:lang w:val="ro-RO"/>
              </w:rPr>
              <w:t>)</w:t>
            </w:r>
          </w:p>
          <w:p w14:paraId="1697D358" w14:textId="148AF281" w:rsidR="002F47A0" w:rsidRPr="009E686F" w:rsidRDefault="002F47A0" w:rsidP="002F47A0">
            <w:pPr>
              <w:spacing w:after="0"/>
              <w:jc w:val="both"/>
              <w:rPr>
                <w:rFonts w:ascii="Times New Roman" w:hAnsi="Times New Roman" w:cs="Times New Roman"/>
                <w:i/>
                <w:iCs/>
                <w:lang w:val="ro-RO"/>
              </w:rPr>
            </w:pPr>
            <w:r w:rsidRPr="009E686F">
              <w:rPr>
                <w:rFonts w:ascii="Times New Roman" w:eastAsia="Aptos" w:hAnsi="Times New Roman" w:cs="Times New Roman"/>
                <w:i/>
                <w:iCs/>
                <w:kern w:val="2"/>
                <w:lang w:val="ro-MD"/>
              </w:rPr>
              <w:t>(</w:t>
            </w:r>
            <w:r w:rsidRPr="009E686F">
              <w:rPr>
                <w:rFonts w:ascii="Times New Roman" w:hAnsi="Times New Roman" w:cs="Times New Roman"/>
                <w:i/>
                <w:iCs/>
                <w:lang w:val="ro-RO"/>
              </w:rPr>
              <w:t>2</w:t>
            </w:r>
            <w:r w:rsidRPr="009E686F">
              <w:rPr>
                <w:rFonts w:ascii="Times New Roman" w:hAnsi="Times New Roman" w:cs="Times New Roman"/>
                <w:i/>
                <w:iCs/>
                <w:vertAlign w:val="superscript"/>
                <w:lang w:val="ro-RO"/>
              </w:rPr>
              <w:t>4</w:t>
            </w:r>
            <w:r w:rsidRPr="009E686F">
              <w:rPr>
                <w:rFonts w:ascii="Times New Roman" w:eastAsia="Aptos" w:hAnsi="Times New Roman" w:cs="Times New Roman"/>
                <w:i/>
                <w:iCs/>
                <w:kern w:val="2"/>
                <w:lang w:val="ro-MD"/>
              </w:rPr>
              <w:t xml:space="preserve">) În sensul prezentului articol, baza de calcul o reprezintă cele mai recente informații financiare anuale în materie de supraveghere care generează un indicator mai mare decât zero. În cazul în care persoana juridică </w:t>
            </w:r>
            <w:r w:rsidR="005A2DC0" w:rsidRPr="009E686F">
              <w:rPr>
                <w:rFonts w:ascii="Times New Roman" w:eastAsia="Aptos" w:hAnsi="Times New Roman" w:cs="Times New Roman"/>
                <w:i/>
                <w:iCs/>
                <w:kern w:val="2"/>
                <w:lang w:val="ro-MD"/>
              </w:rPr>
              <w:t>căreia i se aplică sancțiunile sau, după caz, penalitățile cu titlu cominatoriuprevăzute la alin. (1) și, respectiv,</w:t>
            </w:r>
            <w:r w:rsidRPr="009E686F">
              <w:rPr>
                <w:rFonts w:ascii="Times New Roman" w:eastAsia="Aptos" w:hAnsi="Times New Roman" w:cs="Times New Roman"/>
                <w:i/>
                <w:iCs/>
                <w:kern w:val="2"/>
                <w:lang w:val="ro-MD"/>
              </w:rPr>
              <w:t xml:space="preserve"> alin. (2</w:t>
            </w:r>
            <w:r w:rsidR="005A2DC0" w:rsidRPr="009E686F">
              <w:rPr>
                <w:rFonts w:ascii="Times New Roman" w:eastAsia="Aptos" w:hAnsi="Times New Roman" w:cs="Times New Roman"/>
                <w:i/>
                <w:iCs/>
                <w:kern w:val="2"/>
                <w:vertAlign w:val="superscript"/>
                <w:lang w:val="ro-MD"/>
              </w:rPr>
              <w:t>1</w:t>
            </w:r>
            <w:r w:rsidRPr="009E686F">
              <w:rPr>
                <w:rFonts w:ascii="Times New Roman" w:eastAsia="Aptos" w:hAnsi="Times New Roman" w:cs="Times New Roman"/>
                <w:i/>
                <w:iCs/>
                <w:kern w:val="2"/>
                <w:lang w:val="ro-MD"/>
              </w:rPr>
              <w:t>) nu intră sub incidența actelor normative ale Băncii Naționale a Moldovei care stabilesc cerințe de raportare în scopuri de supraveghere, valoarea totală netă relevantă a cifrei de afaceri este valoarea totală netă a cifrei de afaceri sau tipul de venit corespunzător în conformitate cu cadrul contabil aplicabil. În cazul în care întreprinderea în cauză face parte dintr-un grup, valoarea totală anuală netă relevantă a cifrei de afaceri este valoarea totală netă a cifrei de afaceri care rezultă din conturile consolidate ale întreprinderii-mamă de cel mai înalt rang.</w:t>
            </w:r>
          </w:p>
        </w:tc>
        <w:tc>
          <w:tcPr>
            <w:tcW w:w="470" w:type="pct"/>
            <w:tcBorders>
              <w:top w:val="single" w:sz="4" w:space="0" w:color="auto"/>
              <w:left w:val="single" w:sz="4" w:space="0" w:color="auto"/>
              <w:bottom w:val="single" w:sz="4" w:space="0" w:color="auto"/>
              <w:right w:val="single" w:sz="4" w:space="0" w:color="auto"/>
            </w:tcBorders>
          </w:tcPr>
          <w:p w14:paraId="5993893F" w14:textId="033B116D"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0C050B29" w14:textId="77777777" w:rsidR="002F47A0" w:rsidRPr="009E686F" w:rsidRDefault="002F47A0" w:rsidP="002F47A0">
            <w:pPr>
              <w:jc w:val="both"/>
              <w:rPr>
                <w:rFonts w:ascii="Times New Roman" w:hAnsi="Times New Roman" w:cs="Times New Roman"/>
                <w:lang w:val="ro-RO"/>
              </w:rPr>
            </w:pPr>
          </w:p>
        </w:tc>
      </w:tr>
      <w:tr w:rsidR="002F47A0" w:rsidRPr="009E686F" w14:paraId="2071A9E8"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0EB82FA7" w14:textId="0FAD0216" w:rsidR="002F47A0" w:rsidRPr="009E686F" w:rsidDel="00BF0544"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(4) Valoarea netă zilnică medie a cifrei de afaceri menționată la alineatul (2) litera (b) punctul (i) este valoarea totală anuală netă a cifrei de afaceri menționată la alineatul (3) împărțită la 365.</w:t>
            </w:r>
          </w:p>
        </w:tc>
        <w:tc>
          <w:tcPr>
            <w:tcW w:w="1928" w:type="pct"/>
            <w:gridSpan w:val="3"/>
            <w:tcBorders>
              <w:top w:val="single" w:sz="4" w:space="0" w:color="auto"/>
              <w:left w:val="single" w:sz="4" w:space="0" w:color="auto"/>
              <w:bottom w:val="single" w:sz="4" w:space="0" w:color="auto"/>
              <w:right w:val="single" w:sz="4" w:space="0" w:color="auto"/>
            </w:tcBorders>
          </w:tcPr>
          <w:p w14:paraId="3B13C15C" w14:textId="421A94B7" w:rsidR="002F47A0" w:rsidRPr="009E686F" w:rsidRDefault="002F47A0" w:rsidP="002F47A0">
            <w:pPr>
              <w:spacing w:after="0"/>
              <w:jc w:val="both"/>
              <w:rPr>
                <w:rFonts w:ascii="Times New Roman" w:hAnsi="Times New Roman" w:cs="Times New Roman"/>
                <w:b/>
                <w:bCs/>
                <w:lang w:val="ro-RO"/>
              </w:rPr>
            </w:pPr>
            <w:r w:rsidRPr="009E686F">
              <w:rPr>
                <w:rFonts w:ascii="Times New Roman" w:hAnsi="Times New Roman" w:cs="Times New Roman"/>
                <w:b/>
                <w:bCs/>
                <w:lang w:val="ro-RO"/>
              </w:rPr>
              <w:t xml:space="preserve">Articolul 141 </w:t>
            </w:r>
            <w:r w:rsidRPr="009E686F">
              <w:rPr>
                <w:rFonts w:ascii="Times New Roman" w:eastAsia="Aptos" w:hAnsi="Times New Roman" w:cs="Times New Roman"/>
                <w:b/>
                <w:bCs/>
                <w:kern w:val="2"/>
                <w:lang w:val="ro-MD"/>
              </w:rPr>
              <w:t>alin.</w:t>
            </w:r>
            <w:r w:rsidRPr="009E686F">
              <w:rPr>
                <w:rFonts w:ascii="Times New Roman" w:hAnsi="Times New Roman" w:cs="Times New Roman"/>
                <w:b/>
                <w:bCs/>
                <w:lang w:val="ro-RO"/>
              </w:rPr>
              <w:t xml:space="preserve"> (6)</w:t>
            </w:r>
          </w:p>
          <w:p w14:paraId="2EBDD311" w14:textId="28307A5B" w:rsidR="002F47A0" w:rsidRPr="009E686F" w:rsidRDefault="002F47A0" w:rsidP="002F47A0">
            <w:pPr>
              <w:spacing w:after="0"/>
              <w:jc w:val="both"/>
              <w:rPr>
                <w:rFonts w:ascii="Times New Roman" w:hAnsi="Times New Roman" w:cs="Times New Roman"/>
                <w:lang w:val="ro-RO"/>
              </w:rPr>
            </w:pPr>
            <w:r w:rsidRPr="009E686F">
              <w:rPr>
                <w:rFonts w:ascii="Times New Roman" w:eastAsia="Aptos" w:hAnsi="Times New Roman" w:cs="Times New Roman"/>
                <w:kern w:val="2"/>
                <w:lang w:val="ro-MD"/>
              </w:rPr>
              <w:t>(6) În sensul alin. (2) lit. d), valoarea netă zilnică medie a cifrei de afaceri este valoarea totală anuală netă a cifrei de afaceri menționată la alin. (4) împărțită la 365.</w:t>
            </w:r>
          </w:p>
        </w:tc>
        <w:tc>
          <w:tcPr>
            <w:tcW w:w="470" w:type="pct"/>
            <w:tcBorders>
              <w:top w:val="single" w:sz="4" w:space="0" w:color="auto"/>
              <w:left w:val="single" w:sz="4" w:space="0" w:color="auto"/>
              <w:bottom w:val="single" w:sz="4" w:space="0" w:color="auto"/>
              <w:right w:val="single" w:sz="4" w:space="0" w:color="auto"/>
            </w:tcBorders>
          </w:tcPr>
          <w:p w14:paraId="4357084B" w14:textId="77777777" w:rsidR="002F47A0" w:rsidRPr="009E686F" w:rsidRDefault="002F47A0" w:rsidP="002F47A0">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7CE60C45" w14:textId="77777777" w:rsidR="002F47A0" w:rsidRPr="009E686F" w:rsidRDefault="002F47A0" w:rsidP="002F47A0">
            <w:pPr>
              <w:jc w:val="both"/>
              <w:rPr>
                <w:rFonts w:ascii="Times New Roman" w:hAnsi="Times New Roman" w:cs="Times New Roman"/>
                <w:lang w:val="ro-RO"/>
              </w:rPr>
            </w:pPr>
          </w:p>
        </w:tc>
      </w:tr>
      <w:tr w:rsidR="002F47A0" w:rsidRPr="009E686F" w14:paraId="162AE785" w14:textId="45863853" w:rsidTr="00774F3E">
        <w:tc>
          <w:tcPr>
            <w:tcW w:w="1796" w:type="pct"/>
            <w:gridSpan w:val="2"/>
            <w:tcBorders>
              <w:top w:val="single" w:sz="4" w:space="0" w:color="auto"/>
              <w:left w:val="single" w:sz="4" w:space="0" w:color="auto"/>
              <w:bottom w:val="single" w:sz="4" w:space="0" w:color="auto"/>
              <w:right w:val="single" w:sz="4" w:space="0" w:color="auto"/>
            </w:tcBorders>
          </w:tcPr>
          <w:p w14:paraId="5DA06B43" w14:textId="71B2B1A9"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 xml:space="preserve">Articolul 67 </w:t>
            </w:r>
            <w:r w:rsidRPr="009E686F">
              <w:rPr>
                <w:rFonts w:ascii="Times New Roman" w:hAnsi="Times New Roman" w:cs="Times New Roman"/>
                <w:b/>
                <w:bCs/>
                <w:lang w:val="ro-RO"/>
              </w:rPr>
              <w:t>Alte dispoziții</w:t>
            </w:r>
          </w:p>
        </w:tc>
        <w:tc>
          <w:tcPr>
            <w:tcW w:w="1928" w:type="pct"/>
            <w:gridSpan w:val="3"/>
            <w:tcBorders>
              <w:top w:val="single" w:sz="4" w:space="0" w:color="auto"/>
              <w:left w:val="single" w:sz="4" w:space="0" w:color="auto"/>
              <w:bottom w:val="single" w:sz="4" w:space="0" w:color="auto"/>
              <w:right w:val="single" w:sz="4" w:space="0" w:color="auto"/>
            </w:tcBorders>
          </w:tcPr>
          <w:p w14:paraId="1EF8EFD8" w14:textId="29E98210" w:rsidR="002F47A0" w:rsidRPr="009E686F" w:rsidRDefault="002F47A0" w:rsidP="002F47A0">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b/>
                <w:bCs/>
                <w:kern w:val="2"/>
                <w:lang w:val="ro-MD"/>
              </w:rPr>
              <w:t>Articolul 140.</w:t>
            </w:r>
            <w:r w:rsidRPr="009E686F">
              <w:rPr>
                <w:rFonts w:ascii="Times New Roman" w:eastAsia="Aptos" w:hAnsi="Times New Roman" w:cs="Times New Roman"/>
                <w:kern w:val="2"/>
                <w:lang w:val="ro-MD"/>
              </w:rPr>
              <w:t xml:space="preserve"> Faptele sancţionabile </w:t>
            </w:r>
          </w:p>
        </w:tc>
        <w:tc>
          <w:tcPr>
            <w:tcW w:w="470" w:type="pct"/>
            <w:tcBorders>
              <w:top w:val="single" w:sz="4" w:space="0" w:color="auto"/>
              <w:left w:val="single" w:sz="4" w:space="0" w:color="auto"/>
              <w:bottom w:val="single" w:sz="4" w:space="0" w:color="auto"/>
              <w:right w:val="single" w:sz="4" w:space="0" w:color="auto"/>
            </w:tcBorders>
          </w:tcPr>
          <w:p w14:paraId="4F15E625" w14:textId="77777777" w:rsidR="002F47A0" w:rsidRPr="009E686F" w:rsidRDefault="002F47A0" w:rsidP="002F47A0">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679838FB" w14:textId="77777777" w:rsidR="002F47A0" w:rsidRPr="009E686F" w:rsidRDefault="002F47A0" w:rsidP="002F47A0">
            <w:pPr>
              <w:jc w:val="both"/>
              <w:rPr>
                <w:rFonts w:ascii="Times New Roman" w:hAnsi="Times New Roman" w:cs="Times New Roman"/>
                <w:lang w:val="ro-RO"/>
              </w:rPr>
            </w:pPr>
          </w:p>
        </w:tc>
      </w:tr>
      <w:tr w:rsidR="002F47A0" w:rsidRPr="009E686F" w14:paraId="045D7208" w14:textId="28575FD4" w:rsidTr="00774F3E">
        <w:tc>
          <w:tcPr>
            <w:tcW w:w="1796" w:type="pct"/>
            <w:gridSpan w:val="2"/>
            <w:tcBorders>
              <w:top w:val="single" w:sz="4" w:space="0" w:color="auto"/>
              <w:left w:val="single" w:sz="4" w:space="0" w:color="auto"/>
              <w:bottom w:val="single" w:sz="4" w:space="0" w:color="auto"/>
              <w:right w:val="single" w:sz="4" w:space="0" w:color="auto"/>
            </w:tcBorders>
          </w:tcPr>
          <w:p w14:paraId="3CB2C792" w14:textId="5C16AEFA"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(1)Prezentul articol se aplică cel puțin în oricare dintre situațiile următoare:</w:t>
            </w:r>
          </w:p>
        </w:tc>
        <w:tc>
          <w:tcPr>
            <w:tcW w:w="1928" w:type="pct"/>
            <w:gridSpan w:val="3"/>
            <w:tcBorders>
              <w:top w:val="single" w:sz="4" w:space="0" w:color="auto"/>
              <w:left w:val="single" w:sz="4" w:space="0" w:color="auto"/>
              <w:bottom w:val="single" w:sz="4" w:space="0" w:color="auto"/>
              <w:right w:val="single" w:sz="4" w:space="0" w:color="auto"/>
            </w:tcBorders>
          </w:tcPr>
          <w:p w14:paraId="3DA2CF8C" w14:textId="6DB74287" w:rsidR="002F47A0" w:rsidRPr="009E686F" w:rsidRDefault="002F47A0" w:rsidP="002F47A0">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 xml:space="preserve">(1) Banca Naţională a Moldovei are competenţa aplicării sancţiunilor, </w:t>
            </w:r>
            <w:r w:rsidRPr="009E686F">
              <w:rPr>
                <w:rFonts w:ascii="Times New Roman" w:eastAsia="Aptos" w:hAnsi="Times New Roman" w:cs="Times New Roman"/>
                <w:i/>
                <w:iCs/>
                <w:kern w:val="2"/>
                <w:lang w:val="ro-MD"/>
              </w:rPr>
              <w:t>penalităților cu titlu cominatoriu</w:t>
            </w:r>
            <w:r w:rsidRPr="009E686F">
              <w:rPr>
                <w:rFonts w:ascii="Times New Roman" w:eastAsia="Aptos" w:hAnsi="Times New Roman" w:cs="Times New Roman"/>
                <w:kern w:val="2"/>
                <w:lang w:val="ro-MD"/>
              </w:rPr>
              <w:t xml:space="preserve"> şi măsurilor sancţionatorii prevăzute la art.141 în toate cazurile în care constată că o </w:t>
            </w:r>
            <w:r w:rsidRPr="009E686F">
              <w:rPr>
                <w:rFonts w:ascii="Times New Roman" w:eastAsia="Aptos" w:hAnsi="Times New Roman" w:cs="Times New Roman"/>
                <w:i/>
                <w:iCs/>
                <w:kern w:val="2"/>
                <w:lang w:val="ro-MD"/>
              </w:rPr>
              <w:t>instituție de credit</w:t>
            </w:r>
            <w:r w:rsidRPr="009E686F">
              <w:rPr>
                <w:rFonts w:ascii="Times New Roman" w:eastAsia="Aptos" w:hAnsi="Times New Roman" w:cs="Times New Roman"/>
                <w:kern w:val="2"/>
                <w:lang w:val="ro-MD"/>
              </w:rPr>
              <w:t xml:space="preserve">, după caz, o societate financiară holding ori o societate financiară holding mixtă şi/sau oricare dintre persoanele prevăzute la art.43 </w:t>
            </w:r>
            <w:r w:rsidRPr="009E686F">
              <w:rPr>
                <w:rFonts w:ascii="Times New Roman" w:eastAsia="Aptos" w:hAnsi="Times New Roman" w:cs="Times New Roman"/>
                <w:i/>
                <w:iCs/>
                <w:kern w:val="2"/>
                <w:lang w:val="ro-MD"/>
              </w:rPr>
              <w:t>și 44</w:t>
            </w:r>
            <w:r w:rsidRPr="009E686F">
              <w:rPr>
                <w:rFonts w:ascii="Times New Roman" w:eastAsia="Aptos" w:hAnsi="Times New Roman" w:cs="Times New Roman"/>
                <w:i/>
                <w:iCs/>
                <w:kern w:val="2"/>
                <w:vertAlign w:val="superscript"/>
                <w:lang w:val="ro-MD"/>
              </w:rPr>
              <w:t>1</w:t>
            </w:r>
            <w:r w:rsidRPr="009E686F">
              <w:rPr>
                <w:rFonts w:ascii="Times New Roman" w:eastAsia="Aptos" w:hAnsi="Times New Roman" w:cs="Times New Roman"/>
                <w:i/>
                <w:iCs/>
                <w:kern w:val="2"/>
                <w:lang w:val="ro-MD"/>
              </w:rPr>
              <w:t xml:space="preserve"> </w:t>
            </w:r>
            <w:r w:rsidRPr="009E686F">
              <w:rPr>
                <w:rFonts w:ascii="Times New Roman" w:eastAsia="Aptos" w:hAnsi="Times New Roman" w:cs="Times New Roman"/>
                <w:kern w:val="2"/>
                <w:lang w:val="ro-MD"/>
              </w:rPr>
              <w:t>se fac vinovate de următoarele fapte:</w:t>
            </w:r>
          </w:p>
        </w:tc>
        <w:tc>
          <w:tcPr>
            <w:tcW w:w="470" w:type="pct"/>
            <w:tcBorders>
              <w:top w:val="single" w:sz="4" w:space="0" w:color="auto"/>
              <w:left w:val="single" w:sz="4" w:space="0" w:color="auto"/>
              <w:bottom w:val="single" w:sz="4" w:space="0" w:color="auto"/>
              <w:right w:val="single" w:sz="4" w:space="0" w:color="auto"/>
            </w:tcBorders>
          </w:tcPr>
          <w:p w14:paraId="2A01065A" w14:textId="35D99D05"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7C2D90B9" w14:textId="77777777" w:rsidR="002F47A0" w:rsidRPr="009E686F" w:rsidRDefault="002F47A0" w:rsidP="002F47A0">
            <w:pPr>
              <w:jc w:val="both"/>
              <w:rPr>
                <w:rFonts w:ascii="Times New Roman" w:hAnsi="Times New Roman" w:cs="Times New Roman"/>
                <w:lang w:val="ro-RO"/>
              </w:rPr>
            </w:pPr>
          </w:p>
        </w:tc>
      </w:tr>
      <w:tr w:rsidR="002F47A0" w:rsidRPr="009E686F" w14:paraId="49152D3C" w14:textId="241E7393" w:rsidTr="00774F3E">
        <w:tc>
          <w:tcPr>
            <w:tcW w:w="1796" w:type="pct"/>
            <w:gridSpan w:val="2"/>
            <w:tcBorders>
              <w:top w:val="single" w:sz="4" w:space="0" w:color="auto"/>
              <w:left w:val="single" w:sz="4" w:space="0" w:color="auto"/>
              <w:bottom w:val="single" w:sz="4" w:space="0" w:color="auto"/>
              <w:right w:val="single" w:sz="4" w:space="0" w:color="auto"/>
            </w:tcBorders>
          </w:tcPr>
          <w:p w14:paraId="77619672" w14:textId="5D82BF78"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(a)o instituție a obținut autorizația prin declarații false sau prin orice alte mijloace nelegitime;</w:t>
            </w:r>
          </w:p>
        </w:tc>
        <w:tc>
          <w:tcPr>
            <w:tcW w:w="1928" w:type="pct"/>
            <w:gridSpan w:val="3"/>
            <w:tcBorders>
              <w:top w:val="single" w:sz="4" w:space="0" w:color="auto"/>
              <w:left w:val="single" w:sz="4" w:space="0" w:color="auto"/>
              <w:bottom w:val="single" w:sz="4" w:space="0" w:color="auto"/>
              <w:right w:val="single" w:sz="4" w:space="0" w:color="auto"/>
            </w:tcBorders>
          </w:tcPr>
          <w:p w14:paraId="1970D57B" w14:textId="55893590" w:rsidR="002F47A0" w:rsidRPr="009E686F" w:rsidRDefault="002F47A0" w:rsidP="002F47A0">
            <w:pPr>
              <w:spacing w:after="0"/>
              <w:jc w:val="both"/>
              <w:rPr>
                <w:rFonts w:ascii="Times New Roman" w:hAnsi="Times New Roman" w:cs="Times New Roman"/>
                <w:b/>
                <w:lang w:val="ro-RO"/>
              </w:rPr>
            </w:pPr>
            <w:r w:rsidRPr="009E686F">
              <w:rPr>
                <w:rFonts w:ascii="Times New Roman" w:eastAsia="Aptos" w:hAnsi="Times New Roman" w:cs="Times New Roman"/>
                <w:kern w:val="2"/>
                <w:lang w:val="ro-MD"/>
              </w:rPr>
              <w:t xml:space="preserve">a) </w:t>
            </w:r>
            <w:r w:rsidRPr="009E686F">
              <w:rPr>
                <w:rFonts w:ascii="Times New Roman" w:eastAsia="Aptos" w:hAnsi="Times New Roman" w:cs="Times New Roman"/>
                <w:i/>
                <w:iCs/>
                <w:kern w:val="2"/>
                <w:lang w:val="ro-MD"/>
              </w:rPr>
              <w:t>instituția de credit</w:t>
            </w:r>
            <w:r w:rsidRPr="009E686F">
              <w:rPr>
                <w:rFonts w:ascii="Times New Roman" w:eastAsia="Aptos" w:hAnsi="Times New Roman" w:cs="Times New Roman"/>
                <w:kern w:val="2"/>
                <w:lang w:val="ro-MD"/>
              </w:rPr>
              <w:t xml:space="preserve"> a obţinut </w:t>
            </w:r>
            <w:r w:rsidRPr="009E686F">
              <w:rPr>
                <w:rFonts w:ascii="Times New Roman" w:eastAsia="Aptos" w:hAnsi="Times New Roman" w:cs="Times New Roman"/>
                <w:i/>
                <w:iCs/>
                <w:kern w:val="2"/>
                <w:lang w:val="ro-MD"/>
              </w:rPr>
              <w:t>autorizația</w:t>
            </w:r>
            <w:r w:rsidRPr="009E686F">
              <w:rPr>
                <w:rFonts w:ascii="Times New Roman" w:eastAsia="Aptos" w:hAnsi="Times New Roman" w:cs="Times New Roman"/>
                <w:kern w:val="2"/>
                <w:lang w:val="ro-MD"/>
              </w:rPr>
              <w:t xml:space="preserve"> pe baza unor informaţii false sau prin orice alt mijloc ilegal;</w:t>
            </w:r>
          </w:p>
        </w:tc>
        <w:tc>
          <w:tcPr>
            <w:tcW w:w="470" w:type="pct"/>
            <w:tcBorders>
              <w:top w:val="single" w:sz="4" w:space="0" w:color="auto"/>
              <w:left w:val="single" w:sz="4" w:space="0" w:color="auto"/>
              <w:bottom w:val="single" w:sz="4" w:space="0" w:color="auto"/>
              <w:right w:val="single" w:sz="4" w:space="0" w:color="auto"/>
            </w:tcBorders>
          </w:tcPr>
          <w:p w14:paraId="18BA95E5" w14:textId="78699637"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191D3FC1" w14:textId="77777777" w:rsidR="002F47A0" w:rsidRPr="009E686F" w:rsidRDefault="002F47A0" w:rsidP="002F47A0">
            <w:pPr>
              <w:jc w:val="both"/>
              <w:rPr>
                <w:rFonts w:ascii="Times New Roman" w:hAnsi="Times New Roman" w:cs="Times New Roman"/>
                <w:lang w:val="ro-RO"/>
              </w:rPr>
            </w:pPr>
          </w:p>
        </w:tc>
      </w:tr>
      <w:tr w:rsidR="002F47A0" w:rsidRPr="009E686F" w14:paraId="6285759E" w14:textId="45DD9C61" w:rsidTr="00774F3E">
        <w:tc>
          <w:tcPr>
            <w:tcW w:w="1796" w:type="pct"/>
            <w:gridSpan w:val="2"/>
            <w:tcBorders>
              <w:top w:val="single" w:sz="4" w:space="0" w:color="auto"/>
              <w:left w:val="single" w:sz="4" w:space="0" w:color="auto"/>
              <w:bottom w:val="single" w:sz="4" w:space="0" w:color="auto"/>
              <w:right w:val="single" w:sz="4" w:space="0" w:color="auto"/>
            </w:tcBorders>
          </w:tcPr>
          <w:p w14:paraId="479B2618" w14:textId="6034F190"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lastRenderedPageBreak/>
              <w:t>(b) o instituție, după ce dobândește informații cu privire la achiziții sau cedări de participații la capitalul lor care fac ca participațiile să depășească sau să scadă sub pragurile menționate la articolul 22 alineatul (1) sau la articolul 25, nu informează autoritățile competente cu privire la respectivele achiziții sau cedări, încălcând articolul 26 alineatul (1) primul paragraf;</w:t>
            </w:r>
          </w:p>
        </w:tc>
        <w:tc>
          <w:tcPr>
            <w:tcW w:w="1928" w:type="pct"/>
            <w:gridSpan w:val="3"/>
            <w:tcBorders>
              <w:top w:val="single" w:sz="4" w:space="0" w:color="auto"/>
              <w:left w:val="single" w:sz="4" w:space="0" w:color="auto"/>
              <w:bottom w:val="single" w:sz="4" w:space="0" w:color="auto"/>
              <w:right w:val="single" w:sz="4" w:space="0" w:color="auto"/>
            </w:tcBorders>
          </w:tcPr>
          <w:p w14:paraId="6F42AA8A" w14:textId="1D9F9A64" w:rsidR="002F47A0" w:rsidRPr="009E686F" w:rsidRDefault="002F47A0" w:rsidP="002F47A0">
            <w:pPr>
              <w:spacing w:after="0"/>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 xml:space="preserve">b) </w:t>
            </w:r>
            <w:r w:rsidRPr="009E686F">
              <w:rPr>
                <w:rFonts w:ascii="Times New Roman" w:eastAsia="Aptos" w:hAnsi="Times New Roman" w:cs="Times New Roman"/>
                <w:i/>
                <w:iCs/>
                <w:kern w:val="2"/>
                <w:lang w:val="ro-MD"/>
              </w:rPr>
              <w:t>instituția de credit</w:t>
            </w:r>
            <w:r w:rsidRPr="009E686F">
              <w:rPr>
                <w:rFonts w:ascii="Times New Roman" w:eastAsia="Aptos" w:hAnsi="Times New Roman" w:cs="Times New Roman"/>
                <w:kern w:val="2"/>
                <w:lang w:val="ro-MD"/>
              </w:rPr>
              <w:t xml:space="preserve"> nu informează Banca Naţională a Moldovei cu privire la orice achiziţii sau cesiuni de deţineri în capitalul respectivei </w:t>
            </w:r>
            <w:r w:rsidRPr="009E686F">
              <w:rPr>
                <w:rFonts w:ascii="Times New Roman" w:eastAsia="Aptos" w:hAnsi="Times New Roman" w:cs="Times New Roman"/>
                <w:i/>
                <w:iCs/>
                <w:kern w:val="2"/>
                <w:lang w:val="ro-MD"/>
              </w:rPr>
              <w:t>instituții de credit</w:t>
            </w:r>
            <w:r w:rsidRPr="009E686F">
              <w:rPr>
                <w:rFonts w:ascii="Times New Roman" w:eastAsia="Aptos" w:hAnsi="Times New Roman" w:cs="Times New Roman"/>
                <w:kern w:val="2"/>
                <w:lang w:val="ro-MD"/>
              </w:rPr>
              <w:t xml:space="preserve"> care depăşeşte nivelurile prevăzute la art.45, respectiv se situează sub nivelurile prevăzute la art.50, de care a luat cunoştinţă, încălcînd prevederile art.51 alin.(1);</w:t>
            </w:r>
          </w:p>
          <w:p w14:paraId="7D14D492" w14:textId="5D1112B9" w:rsidR="002F47A0" w:rsidRPr="009E686F" w:rsidRDefault="002F47A0" w:rsidP="002F47A0">
            <w:pPr>
              <w:spacing w:after="0"/>
              <w:jc w:val="both"/>
              <w:rPr>
                <w:rFonts w:ascii="Times New Roman" w:hAnsi="Times New Roman" w:cs="Times New Roman"/>
                <w:lang w:val="ro-RO"/>
              </w:rPr>
            </w:pPr>
          </w:p>
        </w:tc>
        <w:tc>
          <w:tcPr>
            <w:tcW w:w="470" w:type="pct"/>
            <w:tcBorders>
              <w:top w:val="single" w:sz="4" w:space="0" w:color="auto"/>
              <w:left w:val="single" w:sz="4" w:space="0" w:color="auto"/>
              <w:bottom w:val="single" w:sz="4" w:space="0" w:color="auto"/>
              <w:right w:val="single" w:sz="4" w:space="0" w:color="auto"/>
            </w:tcBorders>
          </w:tcPr>
          <w:p w14:paraId="232BCDDE" w14:textId="05B4AE2D"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78E81A6B" w14:textId="77777777" w:rsidR="002F47A0" w:rsidRPr="009E686F" w:rsidRDefault="002F47A0" w:rsidP="002F47A0">
            <w:pPr>
              <w:jc w:val="both"/>
              <w:rPr>
                <w:rFonts w:ascii="Times New Roman" w:hAnsi="Times New Roman" w:cs="Times New Roman"/>
                <w:lang w:val="ro-RO"/>
              </w:rPr>
            </w:pPr>
          </w:p>
        </w:tc>
      </w:tr>
      <w:tr w:rsidR="002F47A0" w:rsidRPr="009E686F" w14:paraId="55421DA3" w14:textId="60505EE4" w:rsidTr="00774F3E">
        <w:tc>
          <w:tcPr>
            <w:tcW w:w="1796" w:type="pct"/>
            <w:gridSpan w:val="2"/>
            <w:tcBorders>
              <w:top w:val="single" w:sz="4" w:space="0" w:color="auto"/>
              <w:left w:val="single" w:sz="4" w:space="0" w:color="auto"/>
              <w:bottom w:val="single" w:sz="4" w:space="0" w:color="auto"/>
              <w:right w:val="single" w:sz="4" w:space="0" w:color="auto"/>
            </w:tcBorders>
          </w:tcPr>
          <w:p w14:paraId="147FD071" w14:textId="624183A1"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(c) o instituție cotată pe o piață reglementată inclusă în lista care urmează să fie publicată de AEVMP în conformitate cu articolul 47 din Directiva 2004/39/CE nu informează autoritățile competente, cel puțin anual, cu privire la numele acționarilor și asociaților care dețin participații calificate, precum și la mărimea respectivelor participații, încălcând articolul 26 alineatul (1) al doilea paragraf din prezenta directivă;</w:t>
            </w:r>
          </w:p>
        </w:tc>
        <w:tc>
          <w:tcPr>
            <w:tcW w:w="1928" w:type="pct"/>
            <w:gridSpan w:val="3"/>
            <w:tcBorders>
              <w:top w:val="single" w:sz="4" w:space="0" w:color="auto"/>
              <w:left w:val="single" w:sz="4" w:space="0" w:color="auto"/>
              <w:bottom w:val="single" w:sz="4" w:space="0" w:color="auto"/>
              <w:right w:val="single" w:sz="4" w:space="0" w:color="auto"/>
            </w:tcBorders>
          </w:tcPr>
          <w:p w14:paraId="301520D2" w14:textId="7C5236D3" w:rsidR="002F47A0" w:rsidRPr="009E686F" w:rsidRDefault="002F47A0" w:rsidP="002F47A0">
            <w:pPr>
              <w:spacing w:after="0"/>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 xml:space="preserve">c) </w:t>
            </w:r>
            <w:r w:rsidRPr="009E686F">
              <w:rPr>
                <w:rFonts w:ascii="Times New Roman" w:eastAsia="Aptos" w:hAnsi="Times New Roman" w:cs="Times New Roman"/>
                <w:i/>
                <w:iCs/>
                <w:kern w:val="2"/>
                <w:lang w:val="ro-MD"/>
              </w:rPr>
              <w:t>instituția de credit</w:t>
            </w:r>
            <w:r w:rsidRPr="009E686F">
              <w:rPr>
                <w:rFonts w:ascii="Times New Roman" w:eastAsia="Aptos" w:hAnsi="Times New Roman" w:cs="Times New Roman"/>
                <w:kern w:val="2"/>
                <w:lang w:val="ro-MD"/>
              </w:rPr>
              <w:t xml:space="preserve"> listată pe o piaţă reglementată nu informează Banca Naţională a Moldovei, cel puţin anual, cu privire la identitatea persoanelor care au deţineri calificate şi cu privire la nivelul acestor deţineri, încălcînd prevederile art.54;</w:t>
            </w:r>
          </w:p>
          <w:p w14:paraId="017C03F7" w14:textId="1DEC91E1" w:rsidR="002F47A0" w:rsidRPr="009E686F" w:rsidRDefault="002F47A0" w:rsidP="002F47A0">
            <w:pPr>
              <w:spacing w:after="0"/>
              <w:jc w:val="both"/>
              <w:rPr>
                <w:rFonts w:ascii="Times New Roman" w:hAnsi="Times New Roman" w:cs="Times New Roman"/>
                <w:lang w:val="ro-RO"/>
              </w:rPr>
            </w:pPr>
          </w:p>
        </w:tc>
        <w:tc>
          <w:tcPr>
            <w:tcW w:w="470" w:type="pct"/>
            <w:tcBorders>
              <w:top w:val="single" w:sz="4" w:space="0" w:color="auto"/>
              <w:left w:val="single" w:sz="4" w:space="0" w:color="auto"/>
              <w:bottom w:val="single" w:sz="4" w:space="0" w:color="auto"/>
              <w:right w:val="single" w:sz="4" w:space="0" w:color="auto"/>
            </w:tcBorders>
          </w:tcPr>
          <w:p w14:paraId="0DB0DE05" w14:textId="7F8AA0ED"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73159D02" w14:textId="77777777" w:rsidR="002F47A0" w:rsidRPr="009E686F" w:rsidRDefault="002F47A0" w:rsidP="002F47A0">
            <w:pPr>
              <w:jc w:val="both"/>
              <w:rPr>
                <w:rFonts w:ascii="Times New Roman" w:hAnsi="Times New Roman" w:cs="Times New Roman"/>
                <w:lang w:val="ro-RO"/>
              </w:rPr>
            </w:pPr>
          </w:p>
        </w:tc>
      </w:tr>
      <w:tr w:rsidR="002F47A0" w:rsidRPr="009E686F" w14:paraId="647FABFB" w14:textId="10EA5EE7" w:rsidTr="00774F3E">
        <w:tc>
          <w:tcPr>
            <w:tcW w:w="1796" w:type="pct"/>
            <w:gridSpan w:val="2"/>
            <w:tcBorders>
              <w:top w:val="single" w:sz="4" w:space="0" w:color="auto"/>
              <w:left w:val="single" w:sz="4" w:space="0" w:color="auto"/>
              <w:bottom w:val="single" w:sz="4" w:space="0" w:color="auto"/>
              <w:right w:val="single" w:sz="4" w:space="0" w:color="auto"/>
            </w:tcBorders>
          </w:tcPr>
          <w:p w14:paraId="7FFD9D6A"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(d) o instituție nu dispune de un cadru de administrare a activității și de politici de remunerare neutre din punctul de vedere al genului impuse de autoritățile competente în conformitate cu articolul 74;</w:t>
            </w:r>
          </w:p>
          <w:p w14:paraId="67090187" w14:textId="17A53870" w:rsidR="002F47A0" w:rsidRPr="009E686F" w:rsidRDefault="002F47A0" w:rsidP="002F47A0">
            <w:pPr>
              <w:spacing w:after="0"/>
              <w:jc w:val="both"/>
              <w:rPr>
                <w:rFonts w:ascii="Times New Roman" w:hAnsi="Times New Roman" w:cs="Times New Roman"/>
                <w:lang w:val="ro-RO"/>
              </w:rPr>
            </w:pPr>
          </w:p>
        </w:tc>
        <w:tc>
          <w:tcPr>
            <w:tcW w:w="1928" w:type="pct"/>
            <w:gridSpan w:val="3"/>
            <w:tcBorders>
              <w:top w:val="single" w:sz="4" w:space="0" w:color="auto"/>
              <w:left w:val="single" w:sz="4" w:space="0" w:color="auto"/>
              <w:bottom w:val="single" w:sz="4" w:space="0" w:color="auto"/>
              <w:right w:val="single" w:sz="4" w:space="0" w:color="auto"/>
            </w:tcBorders>
          </w:tcPr>
          <w:p w14:paraId="0C85899D" w14:textId="30C60061" w:rsidR="002F47A0" w:rsidRPr="009E686F" w:rsidRDefault="002F47A0" w:rsidP="002F47A0">
            <w:pPr>
              <w:spacing w:after="0"/>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 xml:space="preserve">d) </w:t>
            </w:r>
            <w:r w:rsidRPr="009E686F">
              <w:rPr>
                <w:rFonts w:ascii="Times New Roman" w:eastAsia="Aptos" w:hAnsi="Times New Roman" w:cs="Times New Roman"/>
                <w:i/>
                <w:iCs/>
                <w:kern w:val="2"/>
                <w:lang w:val="ro-MD"/>
              </w:rPr>
              <w:t>instituția de credit</w:t>
            </w:r>
            <w:r w:rsidRPr="009E686F">
              <w:rPr>
                <w:rFonts w:ascii="Times New Roman" w:eastAsia="Aptos" w:hAnsi="Times New Roman" w:cs="Times New Roman"/>
                <w:kern w:val="2"/>
                <w:lang w:val="ro-MD"/>
              </w:rPr>
              <w:t xml:space="preserve"> nu dispune de cadrul de administrare a activităţii ș</w:t>
            </w:r>
            <w:r w:rsidRPr="009E686F">
              <w:rPr>
                <w:rFonts w:ascii="Times New Roman" w:eastAsia="Aptos" w:hAnsi="Times New Roman" w:cs="Times New Roman"/>
                <w:i/>
                <w:iCs/>
                <w:kern w:val="2"/>
                <w:lang w:val="ro-MD"/>
              </w:rPr>
              <w:t>i de politici neutre din punct de vedere al genului,</w:t>
            </w:r>
            <w:r w:rsidRPr="009E686F">
              <w:rPr>
                <w:rFonts w:ascii="Times New Roman" w:eastAsia="Aptos" w:hAnsi="Times New Roman" w:cs="Times New Roman"/>
                <w:kern w:val="2"/>
                <w:lang w:val="ro-MD"/>
              </w:rPr>
              <w:t xml:space="preserve"> </w:t>
            </w:r>
            <w:r w:rsidRPr="009E686F">
              <w:rPr>
                <w:rFonts w:ascii="Times New Roman" w:eastAsia="Aptos" w:hAnsi="Times New Roman" w:cs="Times New Roman"/>
                <w:i/>
                <w:iCs/>
                <w:kern w:val="2"/>
                <w:lang w:val="ro-MD"/>
              </w:rPr>
              <w:t>impuse</w:t>
            </w:r>
            <w:r w:rsidRPr="009E686F">
              <w:rPr>
                <w:rFonts w:ascii="Times New Roman" w:eastAsia="Aptos" w:hAnsi="Times New Roman" w:cs="Times New Roman"/>
                <w:kern w:val="2"/>
                <w:lang w:val="ro-MD"/>
              </w:rPr>
              <w:t xml:space="preserve"> de Banca Naţională a Moldovei, încălcînd prevederile art.38;</w:t>
            </w:r>
          </w:p>
          <w:p w14:paraId="2DE7CF83" w14:textId="4764F545" w:rsidR="002F47A0" w:rsidRPr="009E686F" w:rsidRDefault="002F47A0" w:rsidP="002F47A0">
            <w:pPr>
              <w:spacing w:after="0"/>
              <w:jc w:val="both"/>
              <w:rPr>
                <w:rFonts w:ascii="Times New Roman" w:hAnsi="Times New Roman" w:cs="Times New Roman"/>
                <w:lang w:val="ro-RO"/>
              </w:rPr>
            </w:pPr>
          </w:p>
        </w:tc>
        <w:tc>
          <w:tcPr>
            <w:tcW w:w="470" w:type="pct"/>
            <w:tcBorders>
              <w:top w:val="single" w:sz="4" w:space="0" w:color="auto"/>
              <w:left w:val="single" w:sz="4" w:space="0" w:color="auto"/>
              <w:bottom w:val="single" w:sz="4" w:space="0" w:color="auto"/>
              <w:right w:val="single" w:sz="4" w:space="0" w:color="auto"/>
            </w:tcBorders>
          </w:tcPr>
          <w:p w14:paraId="3110970D" w14:textId="044CA73A"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5BFA9F89" w14:textId="77777777" w:rsidR="002F47A0" w:rsidRPr="009E686F" w:rsidRDefault="002F47A0" w:rsidP="002F47A0">
            <w:pPr>
              <w:jc w:val="both"/>
              <w:rPr>
                <w:rFonts w:ascii="Times New Roman" w:hAnsi="Times New Roman" w:cs="Times New Roman"/>
                <w:lang w:val="ro-RO"/>
              </w:rPr>
            </w:pPr>
          </w:p>
        </w:tc>
      </w:tr>
      <w:tr w:rsidR="002F47A0" w:rsidRPr="009E686F" w14:paraId="5D8E9690" w14:textId="4BA2B7FB" w:rsidTr="00774F3E">
        <w:tc>
          <w:tcPr>
            <w:tcW w:w="1796" w:type="pct"/>
            <w:gridSpan w:val="2"/>
            <w:tcBorders>
              <w:top w:val="single" w:sz="4" w:space="0" w:color="auto"/>
              <w:left w:val="single" w:sz="4" w:space="0" w:color="auto"/>
              <w:bottom w:val="single" w:sz="4" w:space="0" w:color="auto"/>
              <w:right w:val="single" w:sz="4" w:space="0" w:color="auto"/>
            </w:tcBorders>
          </w:tcPr>
          <w:p w14:paraId="24678F94" w14:textId="3DACA230"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(g) o instituție nu transmite autorităților competente informații sau furnizează informații incomplete sau inexacte privind o expunere mare, încălcând articolul 394 alineatul (1) din Regulamentul (UE) nr. 575/2013;</w:t>
            </w:r>
          </w:p>
        </w:tc>
        <w:tc>
          <w:tcPr>
            <w:tcW w:w="1928" w:type="pct"/>
            <w:gridSpan w:val="3"/>
            <w:tcBorders>
              <w:top w:val="single" w:sz="4" w:space="0" w:color="auto"/>
              <w:left w:val="single" w:sz="4" w:space="0" w:color="auto"/>
              <w:bottom w:val="single" w:sz="4" w:space="0" w:color="auto"/>
              <w:right w:val="single" w:sz="4" w:space="0" w:color="auto"/>
            </w:tcBorders>
          </w:tcPr>
          <w:p w14:paraId="6CCBF51C" w14:textId="0017B658" w:rsidR="002F47A0" w:rsidRPr="009E686F" w:rsidRDefault="002F47A0" w:rsidP="002F47A0">
            <w:pPr>
              <w:spacing w:after="0"/>
              <w:jc w:val="both"/>
              <w:rPr>
                <w:rFonts w:ascii="Times New Roman" w:eastAsia="Aptos" w:hAnsi="Times New Roman" w:cs="Times New Roman"/>
                <w:kern w:val="2"/>
                <w:lang w:val="ro-MD"/>
              </w:rPr>
            </w:pPr>
            <w:r w:rsidRPr="009E686F">
              <w:rPr>
                <w:rFonts w:ascii="Times New Roman" w:eastAsia="Aptos" w:hAnsi="Times New Roman" w:cs="Times New Roman"/>
                <w:i/>
                <w:iCs/>
                <w:kern w:val="2"/>
                <w:lang w:val="ro-RO"/>
              </w:rPr>
              <w:t>f</w:t>
            </w:r>
            <w:r w:rsidRPr="009E686F">
              <w:rPr>
                <w:rFonts w:ascii="Times New Roman" w:eastAsia="Aptos" w:hAnsi="Times New Roman" w:cs="Times New Roman"/>
                <w:i/>
                <w:iCs/>
                <w:kern w:val="2"/>
                <w:lang w:val="ro-MD"/>
              </w:rPr>
              <w:t>)</w:t>
            </w:r>
            <w:r w:rsidRPr="009E686F">
              <w:rPr>
                <w:rFonts w:ascii="Times New Roman" w:eastAsia="Aptos" w:hAnsi="Times New Roman" w:cs="Times New Roman"/>
                <w:kern w:val="2"/>
                <w:lang w:val="ro-MD"/>
              </w:rPr>
              <w:t xml:space="preserve"> </w:t>
            </w:r>
            <w:r w:rsidRPr="009E686F">
              <w:rPr>
                <w:rFonts w:ascii="Times New Roman" w:eastAsia="Aptos" w:hAnsi="Times New Roman" w:cs="Times New Roman"/>
                <w:i/>
                <w:iCs/>
                <w:kern w:val="2"/>
                <w:lang w:val="ro-MD"/>
              </w:rPr>
              <w:t>instituția de credit</w:t>
            </w:r>
            <w:r w:rsidRPr="009E686F">
              <w:rPr>
                <w:rFonts w:ascii="Times New Roman" w:eastAsia="Aptos" w:hAnsi="Times New Roman" w:cs="Times New Roman"/>
                <w:kern w:val="2"/>
                <w:lang w:val="ro-MD"/>
              </w:rPr>
              <w:t xml:space="preserve"> nu raportează sau raportează informaţii incomplete ori inexacte către Banca Naţională a Moldovei cu privire la o expunere mare, încălcînd prevederile art.74;</w:t>
            </w:r>
          </w:p>
          <w:p w14:paraId="62E6F3B5" w14:textId="2170002D" w:rsidR="002F47A0" w:rsidRPr="009E686F" w:rsidRDefault="002F47A0" w:rsidP="002F47A0">
            <w:pPr>
              <w:spacing w:after="0"/>
              <w:jc w:val="both"/>
              <w:rPr>
                <w:rFonts w:ascii="Times New Roman" w:hAnsi="Times New Roman" w:cs="Times New Roman"/>
                <w:lang w:val="ro-RO"/>
              </w:rPr>
            </w:pPr>
          </w:p>
        </w:tc>
        <w:tc>
          <w:tcPr>
            <w:tcW w:w="470" w:type="pct"/>
            <w:tcBorders>
              <w:top w:val="single" w:sz="4" w:space="0" w:color="auto"/>
              <w:left w:val="single" w:sz="4" w:space="0" w:color="auto"/>
              <w:bottom w:val="single" w:sz="4" w:space="0" w:color="auto"/>
              <w:right w:val="single" w:sz="4" w:space="0" w:color="auto"/>
            </w:tcBorders>
          </w:tcPr>
          <w:p w14:paraId="512041F1" w14:textId="30ACA4CB"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27CF4378" w14:textId="77777777" w:rsidR="002F47A0" w:rsidRPr="009E686F" w:rsidRDefault="002F47A0" w:rsidP="002F47A0">
            <w:pPr>
              <w:jc w:val="both"/>
              <w:rPr>
                <w:rFonts w:ascii="Times New Roman" w:hAnsi="Times New Roman" w:cs="Times New Roman"/>
                <w:lang w:val="ro-RO"/>
              </w:rPr>
            </w:pPr>
          </w:p>
        </w:tc>
      </w:tr>
      <w:tr w:rsidR="002F47A0" w:rsidRPr="009E686F" w14:paraId="609E8A7D" w14:textId="09CC609E" w:rsidTr="00774F3E">
        <w:tc>
          <w:tcPr>
            <w:tcW w:w="1796" w:type="pct"/>
            <w:gridSpan w:val="2"/>
            <w:tcBorders>
              <w:top w:val="single" w:sz="4" w:space="0" w:color="auto"/>
              <w:left w:val="single" w:sz="4" w:space="0" w:color="auto"/>
              <w:bottom w:val="single" w:sz="4" w:space="0" w:color="auto"/>
              <w:right w:val="single" w:sz="4" w:space="0" w:color="auto"/>
            </w:tcBorders>
          </w:tcPr>
          <w:p w14:paraId="36EAE238" w14:textId="23B669A9"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(h) o instituție nu transmite autorităților competente informații sau furnizează informații incomplete sau inexacte privind lichiditatea, încălcând articolul 415 alineatele (1) și (2) din Regulamentul (UE) nr. 575/2013;</w:t>
            </w:r>
          </w:p>
        </w:tc>
        <w:tc>
          <w:tcPr>
            <w:tcW w:w="1928" w:type="pct"/>
            <w:gridSpan w:val="3"/>
            <w:tcBorders>
              <w:top w:val="single" w:sz="4" w:space="0" w:color="auto"/>
              <w:left w:val="single" w:sz="4" w:space="0" w:color="auto"/>
              <w:bottom w:val="single" w:sz="4" w:space="0" w:color="auto"/>
              <w:right w:val="single" w:sz="4" w:space="0" w:color="auto"/>
            </w:tcBorders>
          </w:tcPr>
          <w:p w14:paraId="2E4E69AD" w14:textId="25FD2914" w:rsidR="002F47A0" w:rsidRPr="009E686F" w:rsidRDefault="002F47A0" w:rsidP="002F47A0">
            <w:pPr>
              <w:spacing w:after="0"/>
              <w:jc w:val="both"/>
              <w:rPr>
                <w:rFonts w:ascii="Times New Roman" w:eastAsia="Aptos" w:hAnsi="Times New Roman" w:cs="Times New Roman"/>
                <w:kern w:val="2"/>
                <w:lang w:val="ro-MD"/>
              </w:rPr>
            </w:pPr>
            <w:r w:rsidRPr="009E686F">
              <w:rPr>
                <w:rFonts w:ascii="Times New Roman" w:eastAsia="Aptos" w:hAnsi="Times New Roman" w:cs="Times New Roman"/>
                <w:i/>
                <w:iCs/>
                <w:kern w:val="2"/>
                <w:lang w:val="ro-MD"/>
              </w:rPr>
              <w:t>g)</w:t>
            </w:r>
            <w:r w:rsidRPr="009E686F">
              <w:rPr>
                <w:rFonts w:ascii="Times New Roman" w:eastAsia="Aptos" w:hAnsi="Times New Roman" w:cs="Times New Roman"/>
                <w:kern w:val="2"/>
                <w:lang w:val="ro-MD"/>
              </w:rPr>
              <w:t xml:space="preserve"> </w:t>
            </w:r>
            <w:r w:rsidRPr="009E686F">
              <w:rPr>
                <w:rFonts w:ascii="Times New Roman" w:eastAsia="Aptos" w:hAnsi="Times New Roman" w:cs="Times New Roman"/>
                <w:i/>
                <w:iCs/>
                <w:kern w:val="2"/>
                <w:lang w:val="ro-MD"/>
              </w:rPr>
              <w:t>instituția de credit</w:t>
            </w:r>
            <w:r w:rsidRPr="009E686F">
              <w:rPr>
                <w:rFonts w:ascii="Times New Roman" w:eastAsia="Aptos" w:hAnsi="Times New Roman" w:cs="Times New Roman"/>
                <w:kern w:val="2"/>
                <w:lang w:val="ro-MD"/>
              </w:rPr>
              <w:t xml:space="preserve"> nu raportează sau raportează informaţii incomplete ori inexacte către Banca Naţională a Moldovei cu privire la lichiditate, încălcînd prevederile art.76;</w:t>
            </w:r>
          </w:p>
          <w:p w14:paraId="3E28160A" w14:textId="2F95ACC9" w:rsidR="002F47A0" w:rsidRPr="009E686F" w:rsidRDefault="002F47A0" w:rsidP="002F47A0">
            <w:pPr>
              <w:spacing w:after="0"/>
              <w:jc w:val="both"/>
              <w:rPr>
                <w:rFonts w:ascii="Times New Roman" w:hAnsi="Times New Roman" w:cs="Times New Roman"/>
                <w:lang w:val="ro-RO"/>
              </w:rPr>
            </w:pPr>
          </w:p>
        </w:tc>
        <w:tc>
          <w:tcPr>
            <w:tcW w:w="470" w:type="pct"/>
            <w:tcBorders>
              <w:top w:val="single" w:sz="4" w:space="0" w:color="auto"/>
              <w:left w:val="single" w:sz="4" w:space="0" w:color="auto"/>
              <w:bottom w:val="single" w:sz="4" w:space="0" w:color="auto"/>
              <w:right w:val="single" w:sz="4" w:space="0" w:color="auto"/>
            </w:tcBorders>
          </w:tcPr>
          <w:p w14:paraId="22E259DF" w14:textId="6A3ADC5B"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4AD3FEFF" w14:textId="77777777" w:rsidR="002F47A0" w:rsidRPr="009E686F" w:rsidRDefault="002F47A0" w:rsidP="002F47A0">
            <w:pPr>
              <w:jc w:val="both"/>
              <w:rPr>
                <w:rFonts w:ascii="Times New Roman" w:hAnsi="Times New Roman" w:cs="Times New Roman"/>
                <w:lang w:val="ro-RO"/>
              </w:rPr>
            </w:pPr>
          </w:p>
        </w:tc>
      </w:tr>
      <w:tr w:rsidR="002F47A0" w:rsidRPr="009E686F" w14:paraId="3044C37A" w14:textId="5FCDA304" w:rsidTr="00774F3E">
        <w:tc>
          <w:tcPr>
            <w:tcW w:w="1796" w:type="pct"/>
            <w:gridSpan w:val="2"/>
            <w:tcBorders>
              <w:top w:val="single" w:sz="4" w:space="0" w:color="auto"/>
              <w:left w:val="single" w:sz="4" w:space="0" w:color="auto"/>
              <w:bottom w:val="single" w:sz="4" w:space="0" w:color="auto"/>
              <w:right w:val="single" w:sz="4" w:space="0" w:color="auto"/>
            </w:tcBorders>
          </w:tcPr>
          <w:p w14:paraId="08823F6A"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 xml:space="preserve">(j) o instituție nu menține un indicator de finanțare stabilă netă, cu încălcarea articolelor 413 sau 428b din Regulamentul (UE) nr. 575/2013, sau nu dispune, în mod </w:t>
            </w:r>
            <w:r w:rsidRPr="009E686F">
              <w:rPr>
                <w:rFonts w:ascii="Times New Roman" w:hAnsi="Times New Roman" w:cs="Times New Roman"/>
                <w:lang w:val="ro-RO"/>
              </w:rPr>
              <w:lastRenderedPageBreak/>
              <w:t>repetat și persistent, de active lichide, cu încălcarea articolului 412 din regulamentul menționat;</w:t>
            </w:r>
          </w:p>
          <w:p w14:paraId="63FF71F8" w14:textId="4293E233" w:rsidR="002F47A0" w:rsidRPr="009E686F" w:rsidRDefault="002F47A0" w:rsidP="002F47A0">
            <w:pPr>
              <w:spacing w:after="0"/>
              <w:jc w:val="both"/>
              <w:rPr>
                <w:rFonts w:ascii="Times New Roman" w:hAnsi="Times New Roman" w:cs="Times New Roman"/>
                <w:lang w:val="ro-RO"/>
              </w:rPr>
            </w:pPr>
          </w:p>
        </w:tc>
        <w:tc>
          <w:tcPr>
            <w:tcW w:w="1928" w:type="pct"/>
            <w:gridSpan w:val="3"/>
            <w:tcBorders>
              <w:top w:val="single" w:sz="4" w:space="0" w:color="auto"/>
              <w:left w:val="single" w:sz="4" w:space="0" w:color="auto"/>
              <w:bottom w:val="single" w:sz="4" w:space="0" w:color="auto"/>
              <w:right w:val="single" w:sz="4" w:space="0" w:color="auto"/>
            </w:tcBorders>
          </w:tcPr>
          <w:p w14:paraId="15D81043" w14:textId="2B0F0379" w:rsidR="002F47A0" w:rsidRPr="009E686F" w:rsidRDefault="002F47A0" w:rsidP="002F47A0">
            <w:pPr>
              <w:spacing w:after="0"/>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lastRenderedPageBreak/>
              <w:t xml:space="preserve">h) </w:t>
            </w:r>
            <w:r w:rsidRPr="009E686F">
              <w:rPr>
                <w:rFonts w:ascii="Times New Roman" w:eastAsia="Aptos" w:hAnsi="Times New Roman" w:cs="Times New Roman"/>
                <w:i/>
                <w:iCs/>
                <w:kern w:val="2"/>
                <w:lang w:val="ro-MD"/>
              </w:rPr>
              <w:t>instituția de credit</w:t>
            </w:r>
            <w:r w:rsidRPr="009E686F">
              <w:rPr>
                <w:rFonts w:ascii="Times New Roman" w:eastAsia="Aptos" w:hAnsi="Times New Roman" w:cs="Times New Roman"/>
                <w:kern w:val="2"/>
                <w:lang w:val="ro-MD"/>
              </w:rPr>
              <w:t xml:space="preserve"> nu deţine active lichide, încălcînd prevederile art.76 şi prevederile actelor normative ale Băncii Naţionale a Moldovei emise în aplicarea prezentei legi, iar fapta are caracter repetat sau continuu </w:t>
            </w:r>
            <w:r w:rsidRPr="009E686F">
              <w:rPr>
                <w:rFonts w:ascii="Times New Roman" w:eastAsia="Aptos" w:hAnsi="Times New Roman" w:cs="Times New Roman"/>
                <w:i/>
                <w:iCs/>
                <w:kern w:val="2"/>
                <w:lang w:val="ro-MD"/>
              </w:rPr>
              <w:t xml:space="preserve">sau nu menține un indicator de </w:t>
            </w:r>
            <w:r w:rsidRPr="009E686F">
              <w:rPr>
                <w:rFonts w:ascii="Times New Roman" w:eastAsia="Aptos" w:hAnsi="Times New Roman" w:cs="Times New Roman"/>
                <w:i/>
                <w:iCs/>
                <w:kern w:val="2"/>
                <w:lang w:val="ro-MD"/>
              </w:rPr>
              <w:lastRenderedPageBreak/>
              <w:t>finanțare stabilă netă, cu încălcarea actelor normative ale Băncii Naționale a Moldovei emise în aplicarea prezentei legi</w:t>
            </w:r>
            <w:r w:rsidRPr="009E686F">
              <w:rPr>
                <w:rFonts w:ascii="Times New Roman" w:eastAsia="Aptos" w:hAnsi="Times New Roman" w:cs="Times New Roman"/>
                <w:kern w:val="2"/>
                <w:lang w:val="ro-MD"/>
              </w:rPr>
              <w:t>;</w:t>
            </w:r>
          </w:p>
          <w:p w14:paraId="5511CCBB" w14:textId="03ACCC5F" w:rsidR="002F47A0" w:rsidRPr="009E686F" w:rsidRDefault="002F47A0" w:rsidP="002F47A0">
            <w:pPr>
              <w:spacing w:after="0"/>
              <w:jc w:val="both"/>
              <w:rPr>
                <w:rFonts w:ascii="Times New Roman" w:hAnsi="Times New Roman" w:cs="Times New Roman"/>
                <w:lang w:val="ro-RO"/>
              </w:rPr>
            </w:pPr>
          </w:p>
        </w:tc>
        <w:tc>
          <w:tcPr>
            <w:tcW w:w="470" w:type="pct"/>
            <w:tcBorders>
              <w:top w:val="single" w:sz="4" w:space="0" w:color="auto"/>
              <w:left w:val="single" w:sz="4" w:space="0" w:color="auto"/>
              <w:bottom w:val="single" w:sz="4" w:space="0" w:color="auto"/>
              <w:right w:val="single" w:sz="4" w:space="0" w:color="auto"/>
            </w:tcBorders>
          </w:tcPr>
          <w:p w14:paraId="26E8139A" w14:textId="65C46F9A"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286E4A9F" w14:textId="77777777" w:rsidR="002F47A0" w:rsidRPr="009E686F" w:rsidRDefault="002F47A0" w:rsidP="002F47A0">
            <w:pPr>
              <w:jc w:val="both"/>
              <w:rPr>
                <w:rFonts w:ascii="Times New Roman" w:hAnsi="Times New Roman" w:cs="Times New Roman"/>
                <w:lang w:val="ro-RO"/>
              </w:rPr>
            </w:pPr>
          </w:p>
        </w:tc>
      </w:tr>
      <w:tr w:rsidR="002F47A0" w:rsidRPr="009E686F" w14:paraId="0E2E19BD" w14:textId="5EA02F2F" w:rsidTr="00774F3E">
        <w:tc>
          <w:tcPr>
            <w:tcW w:w="1796" w:type="pct"/>
            <w:gridSpan w:val="2"/>
            <w:tcBorders>
              <w:top w:val="single" w:sz="4" w:space="0" w:color="auto"/>
              <w:left w:val="single" w:sz="4" w:space="0" w:color="auto"/>
              <w:bottom w:val="single" w:sz="4" w:space="0" w:color="auto"/>
              <w:right w:val="single" w:sz="4" w:space="0" w:color="auto"/>
            </w:tcBorders>
          </w:tcPr>
          <w:p w14:paraId="4B62DCF3" w14:textId="6D0B6E75"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(m) o instituție nu comunică informații sau furnizează informații incomplete sau inexacte, încălcând articolului 431 alineatele (1), (2) și (3) sau articolul 451 alineatul (1) din Regulamentul (UE) nr. 575/2013;</w:t>
            </w:r>
          </w:p>
        </w:tc>
        <w:tc>
          <w:tcPr>
            <w:tcW w:w="1928" w:type="pct"/>
            <w:gridSpan w:val="3"/>
            <w:tcBorders>
              <w:top w:val="single" w:sz="4" w:space="0" w:color="auto"/>
              <w:left w:val="single" w:sz="4" w:space="0" w:color="auto"/>
              <w:bottom w:val="single" w:sz="4" w:space="0" w:color="auto"/>
              <w:right w:val="single" w:sz="4" w:space="0" w:color="auto"/>
            </w:tcBorders>
          </w:tcPr>
          <w:p w14:paraId="707E2A6F" w14:textId="2F950EF2" w:rsidR="002F47A0" w:rsidRPr="009E686F" w:rsidRDefault="002F47A0" w:rsidP="002F47A0">
            <w:pPr>
              <w:spacing w:after="0"/>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 xml:space="preserve">i) </w:t>
            </w:r>
            <w:r w:rsidRPr="009E686F">
              <w:rPr>
                <w:rFonts w:ascii="Times New Roman" w:eastAsia="Aptos" w:hAnsi="Times New Roman" w:cs="Times New Roman"/>
                <w:i/>
                <w:iCs/>
                <w:kern w:val="2"/>
                <w:lang w:val="ro-MD"/>
              </w:rPr>
              <w:t>instituția de credit</w:t>
            </w:r>
            <w:r w:rsidRPr="009E686F">
              <w:rPr>
                <w:rFonts w:ascii="Times New Roman" w:eastAsia="Aptos" w:hAnsi="Times New Roman" w:cs="Times New Roman"/>
                <w:kern w:val="2"/>
                <w:lang w:val="ro-MD"/>
              </w:rPr>
              <w:t xml:space="preserve"> nu comunică/publică informaţii sau furnizează/publică informaţii incomplete ori inexacte, încălcînd prevederile art.91 şi ale actelor normative ale Băncii Naţionale a Moldovei emise în aplicarea prezentei legi;</w:t>
            </w:r>
          </w:p>
          <w:p w14:paraId="1C142C57" w14:textId="07FF0013" w:rsidR="002F47A0" w:rsidRPr="009E686F" w:rsidRDefault="002F47A0" w:rsidP="002F47A0">
            <w:pPr>
              <w:spacing w:after="0"/>
              <w:jc w:val="both"/>
              <w:rPr>
                <w:rFonts w:ascii="Times New Roman" w:hAnsi="Times New Roman" w:cs="Times New Roman"/>
                <w:lang w:val="ro-RO"/>
              </w:rPr>
            </w:pPr>
          </w:p>
        </w:tc>
        <w:tc>
          <w:tcPr>
            <w:tcW w:w="470" w:type="pct"/>
            <w:tcBorders>
              <w:top w:val="single" w:sz="4" w:space="0" w:color="auto"/>
              <w:left w:val="single" w:sz="4" w:space="0" w:color="auto"/>
              <w:bottom w:val="single" w:sz="4" w:space="0" w:color="auto"/>
              <w:right w:val="single" w:sz="4" w:space="0" w:color="auto"/>
            </w:tcBorders>
          </w:tcPr>
          <w:p w14:paraId="4CF5D661" w14:textId="3AEA0C31"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751AB396" w14:textId="77777777" w:rsidR="002F47A0" w:rsidRPr="009E686F" w:rsidRDefault="002F47A0" w:rsidP="002F47A0">
            <w:pPr>
              <w:jc w:val="both"/>
              <w:rPr>
                <w:rFonts w:ascii="Times New Roman" w:hAnsi="Times New Roman" w:cs="Times New Roman"/>
                <w:lang w:val="ro-RO"/>
              </w:rPr>
            </w:pPr>
          </w:p>
        </w:tc>
      </w:tr>
      <w:tr w:rsidR="002F47A0" w:rsidRPr="009E686F" w14:paraId="0AA6F411" w14:textId="0851744D" w:rsidTr="00774F3E">
        <w:tc>
          <w:tcPr>
            <w:tcW w:w="1796" w:type="pct"/>
            <w:gridSpan w:val="2"/>
            <w:tcBorders>
              <w:top w:val="single" w:sz="4" w:space="0" w:color="auto"/>
              <w:left w:val="single" w:sz="4" w:space="0" w:color="auto"/>
              <w:bottom w:val="single" w:sz="4" w:space="0" w:color="auto"/>
              <w:right w:val="single" w:sz="4" w:space="0" w:color="auto"/>
            </w:tcBorders>
          </w:tcPr>
          <w:p w14:paraId="616FC04A" w14:textId="02792AAC"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(n) o instituție efectuează plăți către deținătorii instrumentelor incluse în fondurile sale proprii fără a respecta dispozițiile articolului 141 din prezenta directivă sau în cazurile în care articolele 28, 51 sau 63 din Regulamentul (UE) nr. 575/2013 interzic astfel de plăți către deținătorii de instrumente incluse în fonduri proprii;</w:t>
            </w:r>
          </w:p>
        </w:tc>
        <w:tc>
          <w:tcPr>
            <w:tcW w:w="1928" w:type="pct"/>
            <w:gridSpan w:val="3"/>
            <w:tcBorders>
              <w:top w:val="single" w:sz="4" w:space="0" w:color="auto"/>
              <w:left w:val="single" w:sz="4" w:space="0" w:color="auto"/>
              <w:bottom w:val="single" w:sz="4" w:space="0" w:color="auto"/>
              <w:right w:val="single" w:sz="4" w:space="0" w:color="auto"/>
            </w:tcBorders>
          </w:tcPr>
          <w:p w14:paraId="4AC8AE62" w14:textId="1F6E07A2" w:rsidR="002F47A0" w:rsidRPr="009E686F" w:rsidRDefault="002F47A0" w:rsidP="002F47A0">
            <w:pPr>
              <w:spacing w:after="0"/>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 xml:space="preserve">j) </w:t>
            </w:r>
            <w:r w:rsidRPr="009E686F">
              <w:rPr>
                <w:rFonts w:ascii="Times New Roman" w:eastAsia="Aptos" w:hAnsi="Times New Roman" w:cs="Times New Roman"/>
                <w:i/>
                <w:iCs/>
                <w:kern w:val="2"/>
                <w:lang w:val="ro-MD"/>
              </w:rPr>
              <w:t>instituția de credit</w:t>
            </w:r>
            <w:r w:rsidRPr="009E686F">
              <w:rPr>
                <w:rFonts w:ascii="Times New Roman" w:eastAsia="Aptos" w:hAnsi="Times New Roman" w:cs="Times New Roman"/>
                <w:kern w:val="2"/>
                <w:lang w:val="ro-MD"/>
              </w:rPr>
              <w:t xml:space="preserve"> efectuează plăţi către deţinătorii de instrumente incluse în fondurile proprii, încălcînd prevederile relevante în materie sau în cazurile în care art.60 şi 62 şi actele normative ale Băncii Naţionale a Moldovei interzic efectuarea unor astfel de plăţi;</w:t>
            </w:r>
          </w:p>
          <w:p w14:paraId="4639E9DD" w14:textId="442E2331" w:rsidR="002F47A0" w:rsidRPr="009E686F" w:rsidRDefault="002F47A0" w:rsidP="002F47A0">
            <w:pPr>
              <w:spacing w:after="0"/>
              <w:jc w:val="both"/>
              <w:rPr>
                <w:rFonts w:ascii="Times New Roman" w:hAnsi="Times New Roman" w:cs="Times New Roman"/>
                <w:lang w:val="ro-RO"/>
              </w:rPr>
            </w:pPr>
          </w:p>
        </w:tc>
        <w:tc>
          <w:tcPr>
            <w:tcW w:w="470" w:type="pct"/>
            <w:tcBorders>
              <w:top w:val="single" w:sz="4" w:space="0" w:color="auto"/>
              <w:left w:val="single" w:sz="4" w:space="0" w:color="auto"/>
              <w:bottom w:val="single" w:sz="4" w:space="0" w:color="auto"/>
              <w:right w:val="single" w:sz="4" w:space="0" w:color="auto"/>
            </w:tcBorders>
          </w:tcPr>
          <w:p w14:paraId="36CDA7B1" w14:textId="3FE28E04"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71415007" w14:textId="77777777" w:rsidR="002F47A0" w:rsidRPr="009E686F" w:rsidRDefault="002F47A0" w:rsidP="002F47A0">
            <w:pPr>
              <w:jc w:val="both"/>
              <w:rPr>
                <w:rFonts w:ascii="Times New Roman" w:hAnsi="Times New Roman" w:cs="Times New Roman"/>
                <w:lang w:val="ro-RO"/>
              </w:rPr>
            </w:pPr>
          </w:p>
        </w:tc>
      </w:tr>
      <w:tr w:rsidR="002F47A0" w:rsidRPr="009E686F" w14:paraId="53F00F0F" w14:textId="4059240E" w:rsidTr="00774F3E">
        <w:tc>
          <w:tcPr>
            <w:tcW w:w="1796" w:type="pct"/>
            <w:gridSpan w:val="2"/>
            <w:tcBorders>
              <w:top w:val="single" w:sz="4" w:space="0" w:color="auto"/>
              <w:left w:val="single" w:sz="4" w:space="0" w:color="auto"/>
              <w:bottom w:val="single" w:sz="4" w:space="0" w:color="auto"/>
              <w:right w:val="single" w:sz="4" w:space="0" w:color="auto"/>
            </w:tcBorders>
          </w:tcPr>
          <w:p w14:paraId="5D5A79D0" w14:textId="1529082C"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(o) o instituție este găsită vinovată de o încălcare gravă a dispozițiilor naționale adoptate în temeiul Directivei 2005/60/CE;</w:t>
            </w:r>
          </w:p>
        </w:tc>
        <w:tc>
          <w:tcPr>
            <w:tcW w:w="1928" w:type="pct"/>
            <w:gridSpan w:val="3"/>
            <w:tcBorders>
              <w:top w:val="single" w:sz="4" w:space="0" w:color="auto"/>
              <w:left w:val="single" w:sz="4" w:space="0" w:color="auto"/>
              <w:bottom w:val="single" w:sz="4" w:space="0" w:color="auto"/>
              <w:right w:val="single" w:sz="4" w:space="0" w:color="auto"/>
            </w:tcBorders>
          </w:tcPr>
          <w:p w14:paraId="652CC570" w14:textId="183821E9" w:rsidR="002F47A0" w:rsidRPr="009E686F" w:rsidRDefault="002F47A0" w:rsidP="002F47A0">
            <w:pPr>
              <w:spacing w:after="0"/>
              <w:jc w:val="both"/>
              <w:rPr>
                <w:rFonts w:ascii="Times New Roman" w:hAnsi="Times New Roman" w:cs="Times New Roman"/>
                <w:i/>
                <w:iCs/>
                <w:lang w:val="ro-RO"/>
              </w:rPr>
            </w:pPr>
            <w:r w:rsidRPr="009E686F">
              <w:rPr>
                <w:rFonts w:ascii="Times New Roman" w:eastAsia="Aptos" w:hAnsi="Times New Roman" w:cs="Times New Roman"/>
                <w:i/>
                <w:iCs/>
                <w:kern w:val="2"/>
                <w:lang w:val="ro-MD"/>
              </w:rPr>
              <w:t>k) instituția de credit este declarată vinovată de o încălcare gravă a prevederilor legale aferente prevenirii utilizării sistemului financiar în scopul spălării banilor și finanțării terorismului;</w:t>
            </w:r>
          </w:p>
        </w:tc>
        <w:tc>
          <w:tcPr>
            <w:tcW w:w="470" w:type="pct"/>
            <w:tcBorders>
              <w:top w:val="single" w:sz="4" w:space="0" w:color="auto"/>
              <w:left w:val="single" w:sz="4" w:space="0" w:color="auto"/>
              <w:bottom w:val="single" w:sz="4" w:space="0" w:color="auto"/>
              <w:right w:val="single" w:sz="4" w:space="0" w:color="auto"/>
            </w:tcBorders>
          </w:tcPr>
          <w:p w14:paraId="019F363A" w14:textId="716EFD9A"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57C2CFF6" w14:textId="77777777" w:rsidR="002F47A0" w:rsidRPr="009E686F" w:rsidRDefault="002F47A0" w:rsidP="002F47A0">
            <w:pPr>
              <w:jc w:val="both"/>
              <w:rPr>
                <w:rFonts w:ascii="Times New Roman" w:hAnsi="Times New Roman" w:cs="Times New Roman"/>
                <w:lang w:val="ro-RO"/>
              </w:rPr>
            </w:pPr>
          </w:p>
        </w:tc>
      </w:tr>
      <w:tr w:rsidR="002F47A0" w:rsidRPr="009E686F" w14:paraId="0572E563" w14:textId="5A96F2B2" w:rsidTr="00774F3E">
        <w:tc>
          <w:tcPr>
            <w:tcW w:w="1796" w:type="pct"/>
            <w:gridSpan w:val="2"/>
            <w:tcBorders>
              <w:top w:val="single" w:sz="4" w:space="0" w:color="auto"/>
              <w:left w:val="single" w:sz="4" w:space="0" w:color="auto"/>
              <w:bottom w:val="single" w:sz="4" w:space="0" w:color="auto"/>
              <w:right w:val="single" w:sz="4" w:space="0" w:color="auto"/>
            </w:tcBorders>
          </w:tcPr>
          <w:p w14:paraId="018B0801" w14:textId="6F4ABF5E"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(p) o instituție permite uneia sau mai multor persoane care nu respectă articolul 91 să devină sau să rămână membri ai organului de conducere;</w:t>
            </w:r>
          </w:p>
        </w:tc>
        <w:tc>
          <w:tcPr>
            <w:tcW w:w="1928" w:type="pct"/>
            <w:gridSpan w:val="3"/>
            <w:tcBorders>
              <w:top w:val="single" w:sz="4" w:space="0" w:color="auto"/>
              <w:left w:val="single" w:sz="4" w:space="0" w:color="auto"/>
              <w:bottom w:val="single" w:sz="4" w:space="0" w:color="auto"/>
              <w:right w:val="single" w:sz="4" w:space="0" w:color="auto"/>
            </w:tcBorders>
          </w:tcPr>
          <w:p w14:paraId="2ACE7EE4" w14:textId="31860273" w:rsidR="002F47A0" w:rsidRPr="009E686F" w:rsidRDefault="002F47A0" w:rsidP="002F47A0">
            <w:pPr>
              <w:spacing w:after="0"/>
              <w:jc w:val="both"/>
              <w:rPr>
                <w:rFonts w:ascii="Times New Roman" w:hAnsi="Times New Roman" w:cs="Times New Roman"/>
                <w:lang w:val="ro-RO"/>
              </w:rPr>
            </w:pPr>
            <w:r w:rsidRPr="009E686F">
              <w:rPr>
                <w:rFonts w:ascii="Times New Roman" w:eastAsia="Aptos" w:hAnsi="Times New Roman" w:cs="Times New Roman"/>
                <w:i/>
                <w:iCs/>
                <w:kern w:val="2"/>
                <w:lang w:val="ro-MD"/>
              </w:rPr>
              <w:t>l)</w:t>
            </w:r>
            <w:r w:rsidRPr="009E686F">
              <w:rPr>
                <w:rFonts w:ascii="Times New Roman" w:eastAsia="Aptos" w:hAnsi="Times New Roman" w:cs="Times New Roman"/>
                <w:kern w:val="2"/>
                <w:lang w:val="ro-MD"/>
              </w:rPr>
              <w:t xml:space="preserve"> </w:t>
            </w:r>
            <w:r w:rsidRPr="009E686F">
              <w:rPr>
                <w:rFonts w:ascii="Times New Roman" w:eastAsia="Aptos" w:hAnsi="Times New Roman" w:cs="Times New Roman"/>
                <w:i/>
                <w:iCs/>
                <w:kern w:val="2"/>
                <w:lang w:val="ro-MD"/>
              </w:rPr>
              <w:t>instituția de credit</w:t>
            </w:r>
            <w:r w:rsidRPr="009E686F">
              <w:rPr>
                <w:rFonts w:ascii="Times New Roman" w:eastAsia="Aptos" w:hAnsi="Times New Roman" w:cs="Times New Roman"/>
                <w:kern w:val="2"/>
                <w:lang w:val="ro-MD"/>
              </w:rPr>
              <w:t xml:space="preserve"> permite uneia sau mai multor persoane care încalcă prevederile</w:t>
            </w:r>
            <w:r w:rsidRPr="009E686F">
              <w:rPr>
                <w:rFonts w:ascii="Times New Roman" w:eastAsia="Aptos" w:hAnsi="Times New Roman" w:cs="Times New Roman"/>
                <w:i/>
                <w:iCs/>
                <w:kern w:val="2"/>
                <w:lang w:val="ro-MD"/>
              </w:rPr>
              <w:t xml:space="preserve"> </w:t>
            </w:r>
            <w:r w:rsidRPr="009E686F">
              <w:rPr>
                <w:rFonts w:ascii="Times New Roman" w:eastAsia="Aptos" w:hAnsi="Times New Roman" w:cs="Times New Roman"/>
                <w:kern w:val="2"/>
                <w:lang w:val="ro-MD"/>
              </w:rPr>
              <w:t>art. 43</w:t>
            </w:r>
            <w:r w:rsidR="00FC2B18" w:rsidRPr="009E686F">
              <w:rPr>
                <w:rFonts w:ascii="Times New Roman" w:eastAsia="Aptos" w:hAnsi="Times New Roman" w:cs="Times New Roman"/>
                <w:i/>
                <w:iCs/>
                <w:kern w:val="2"/>
                <w:lang w:val="ro-MD"/>
              </w:rPr>
              <w:t xml:space="preserve"> și</w:t>
            </w:r>
            <w:r w:rsidRPr="009E686F">
              <w:rPr>
                <w:rFonts w:ascii="Times New Roman" w:eastAsia="Aptos" w:hAnsi="Times New Roman" w:cs="Times New Roman"/>
                <w:i/>
                <w:iCs/>
                <w:kern w:val="2"/>
                <w:lang w:val="ro-MD"/>
              </w:rPr>
              <w:t>43</w:t>
            </w:r>
            <w:r w:rsidRPr="009E686F">
              <w:rPr>
                <w:rFonts w:ascii="Times New Roman" w:hAnsi="Times New Roman" w:cs="Times New Roman"/>
                <w:i/>
                <w:vertAlign w:val="superscript"/>
                <w:lang w:val="ro-RO"/>
              </w:rPr>
              <w:t xml:space="preserve">1 </w:t>
            </w:r>
            <w:r w:rsidRPr="009E686F">
              <w:rPr>
                <w:rFonts w:ascii="Times New Roman" w:hAnsi="Times New Roman" w:cs="Times New Roman"/>
                <w:i/>
                <w:lang w:val="ro-RO"/>
              </w:rPr>
              <w:t>și 44</w:t>
            </w:r>
            <w:r w:rsidRPr="009E686F">
              <w:rPr>
                <w:rFonts w:ascii="Times New Roman" w:hAnsi="Times New Roman" w:cs="Times New Roman"/>
                <w:i/>
                <w:vertAlign w:val="superscript"/>
                <w:lang w:val="ro-RO"/>
              </w:rPr>
              <w:t>1</w:t>
            </w:r>
            <w:r w:rsidRPr="009E686F">
              <w:rPr>
                <w:rFonts w:ascii="Times New Roman" w:eastAsia="Aptos" w:hAnsi="Times New Roman" w:cs="Times New Roman"/>
                <w:kern w:val="2"/>
                <w:lang w:val="ro-MD"/>
              </w:rPr>
              <w:t xml:space="preserve"> şi ale actelor normative emise în aplicarea prezentei legi să devină ori să rămînă membri ai organului de conducere;</w:t>
            </w:r>
          </w:p>
        </w:tc>
        <w:tc>
          <w:tcPr>
            <w:tcW w:w="470" w:type="pct"/>
            <w:tcBorders>
              <w:top w:val="single" w:sz="4" w:space="0" w:color="auto"/>
              <w:left w:val="single" w:sz="4" w:space="0" w:color="auto"/>
              <w:bottom w:val="single" w:sz="4" w:space="0" w:color="auto"/>
              <w:right w:val="single" w:sz="4" w:space="0" w:color="auto"/>
            </w:tcBorders>
          </w:tcPr>
          <w:p w14:paraId="4EE6C07A" w14:textId="55EFA542"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08AE4996" w14:textId="77777777" w:rsidR="002F47A0" w:rsidRPr="009E686F" w:rsidRDefault="002F47A0" w:rsidP="002F47A0">
            <w:pPr>
              <w:jc w:val="both"/>
              <w:rPr>
                <w:rFonts w:ascii="Times New Roman" w:hAnsi="Times New Roman" w:cs="Times New Roman"/>
                <w:lang w:val="ro-RO"/>
              </w:rPr>
            </w:pPr>
          </w:p>
        </w:tc>
      </w:tr>
      <w:tr w:rsidR="002F47A0" w:rsidRPr="009E686F" w14:paraId="0BE80592"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2AC1A15D" w14:textId="27CF5449"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(q) o instituție-mamă, o societate financiară holding-mamă sau o societate financiară holding mixtă-mamă nu ia măsurile care pot fi solicitate pentru asigurarea conformității cu cerințele prudențiale prevăzute în partea a treia, a patra, a șasea sau a șaptea din Regulamentul (UE) nr. 575/2013 sau care se impun în temeiul articolului 104 alineatul (1) litera (a) sau al articolului 105 din prezenta directivă pe bază consolidată sau subconsolidată.</w:t>
            </w:r>
          </w:p>
        </w:tc>
        <w:tc>
          <w:tcPr>
            <w:tcW w:w="1928" w:type="pct"/>
            <w:gridSpan w:val="3"/>
            <w:tcBorders>
              <w:top w:val="single" w:sz="4" w:space="0" w:color="auto"/>
              <w:left w:val="single" w:sz="4" w:space="0" w:color="auto"/>
              <w:bottom w:val="single" w:sz="4" w:space="0" w:color="auto"/>
              <w:right w:val="single" w:sz="4" w:space="0" w:color="auto"/>
            </w:tcBorders>
          </w:tcPr>
          <w:p w14:paraId="1135C9D6" w14:textId="21DB1EEF" w:rsidR="002F47A0" w:rsidRPr="009E686F" w:rsidRDefault="002F47A0" w:rsidP="002F47A0">
            <w:pPr>
              <w:spacing w:after="0"/>
              <w:jc w:val="both"/>
              <w:rPr>
                <w:rFonts w:ascii="Times New Roman" w:hAnsi="Times New Roman" w:cs="Times New Roman"/>
                <w:i/>
                <w:iCs/>
                <w:lang w:val="ro-RO"/>
              </w:rPr>
            </w:pPr>
            <w:r w:rsidRPr="009E686F">
              <w:rPr>
                <w:rFonts w:ascii="Times New Roman" w:eastAsia="Aptos" w:hAnsi="Times New Roman" w:cs="Times New Roman"/>
                <w:i/>
                <w:iCs/>
                <w:kern w:val="2"/>
                <w:lang w:val="ro-MD"/>
              </w:rPr>
              <w:t>m) instituția de credit-mamă, persoană juridică din Republica Moldova, societatea financiară holding-mamă, persoană juridică din Republica Moldova, sau societatea financiară holding mixtă-mamă, persoană juridică din Republica Moldova, nu respectă cerinţele prudenţiale privind fondurile proprii, expunerile mari, lichiditatea sau efectul de levier prevăzute de prezenta lege și actele normative emise în aplicarea acesteia sau măsurile impuse potrivit art. 139 alin. (3) lit. a) sau al art. 139 alin. (6) şi (7) pe bază consolidată sau subconsolidată.</w:t>
            </w:r>
          </w:p>
        </w:tc>
        <w:tc>
          <w:tcPr>
            <w:tcW w:w="470" w:type="pct"/>
            <w:tcBorders>
              <w:top w:val="single" w:sz="4" w:space="0" w:color="auto"/>
              <w:left w:val="single" w:sz="4" w:space="0" w:color="auto"/>
              <w:bottom w:val="single" w:sz="4" w:space="0" w:color="auto"/>
              <w:right w:val="single" w:sz="4" w:space="0" w:color="auto"/>
            </w:tcBorders>
          </w:tcPr>
          <w:p w14:paraId="578CD60E" w14:textId="5C66B3B9"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50FCC395" w14:textId="77777777" w:rsidR="002F47A0" w:rsidRPr="009E686F" w:rsidRDefault="002F47A0" w:rsidP="002F47A0">
            <w:pPr>
              <w:jc w:val="both"/>
              <w:rPr>
                <w:rFonts w:ascii="Times New Roman" w:hAnsi="Times New Roman" w:cs="Times New Roman"/>
                <w:lang w:val="ro-RO"/>
              </w:rPr>
            </w:pPr>
          </w:p>
        </w:tc>
      </w:tr>
      <w:tr w:rsidR="002F47A0" w:rsidRPr="009E686F" w14:paraId="5337A52F"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45F07B76" w14:textId="18E16B6E"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lastRenderedPageBreak/>
              <w:t>(r) o instituție nu îndeplinește cerințele de fonduri proprii prevăzute la articolul 92 alineatul (1) din Regulamentul (UE) nr. 575/2013;</w:t>
            </w:r>
          </w:p>
        </w:tc>
        <w:tc>
          <w:tcPr>
            <w:tcW w:w="1928" w:type="pct"/>
            <w:gridSpan w:val="3"/>
            <w:tcBorders>
              <w:top w:val="single" w:sz="4" w:space="0" w:color="auto"/>
              <w:left w:val="single" w:sz="4" w:space="0" w:color="auto"/>
              <w:bottom w:val="single" w:sz="4" w:space="0" w:color="auto"/>
              <w:right w:val="single" w:sz="4" w:space="0" w:color="auto"/>
            </w:tcBorders>
          </w:tcPr>
          <w:p w14:paraId="38C0F8E6" w14:textId="6AD4CB1D" w:rsidR="002F47A0" w:rsidRPr="009E686F" w:rsidRDefault="002F47A0" w:rsidP="002F47A0">
            <w:pPr>
              <w:spacing w:after="0"/>
              <w:jc w:val="both"/>
              <w:rPr>
                <w:rFonts w:ascii="Times New Roman" w:hAnsi="Times New Roman" w:cs="Times New Roman"/>
                <w:i/>
                <w:iCs/>
                <w:lang w:val="ro-RO"/>
              </w:rPr>
            </w:pPr>
            <w:r w:rsidRPr="009E686F">
              <w:rPr>
                <w:rFonts w:ascii="Times New Roman" w:eastAsia="Aptos" w:hAnsi="Times New Roman" w:cs="Times New Roman"/>
                <w:i/>
                <w:iCs/>
                <w:kern w:val="2"/>
                <w:lang w:val="ro-RO"/>
              </w:rPr>
              <w:t xml:space="preserve">r) </w:t>
            </w:r>
            <w:r w:rsidRPr="009E686F">
              <w:rPr>
                <w:rFonts w:ascii="Times New Roman" w:eastAsia="Aptos" w:hAnsi="Times New Roman" w:cs="Times New Roman"/>
                <w:i/>
                <w:iCs/>
                <w:kern w:val="2"/>
                <w:lang w:val="ro-MD"/>
              </w:rPr>
              <w:t>instituția de credit nu îndeplinește cerințele de fonduri proprii prevăzute în actele normative ale Băncii Naționale a Moldovei;</w:t>
            </w:r>
          </w:p>
        </w:tc>
        <w:tc>
          <w:tcPr>
            <w:tcW w:w="470" w:type="pct"/>
            <w:tcBorders>
              <w:top w:val="single" w:sz="4" w:space="0" w:color="auto"/>
              <w:left w:val="single" w:sz="4" w:space="0" w:color="auto"/>
              <w:bottom w:val="single" w:sz="4" w:space="0" w:color="auto"/>
              <w:right w:val="single" w:sz="4" w:space="0" w:color="auto"/>
            </w:tcBorders>
          </w:tcPr>
          <w:p w14:paraId="5E19607A" w14:textId="77777777" w:rsidR="002F47A0" w:rsidRPr="009E686F" w:rsidRDefault="002F47A0" w:rsidP="002F47A0">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0E9708C2" w14:textId="77777777" w:rsidR="002F47A0" w:rsidRPr="009E686F" w:rsidRDefault="002F47A0" w:rsidP="002F47A0">
            <w:pPr>
              <w:jc w:val="both"/>
              <w:rPr>
                <w:rFonts w:ascii="Times New Roman" w:hAnsi="Times New Roman" w:cs="Times New Roman"/>
                <w:lang w:val="ro-RO"/>
              </w:rPr>
            </w:pPr>
          </w:p>
        </w:tc>
      </w:tr>
      <w:tr w:rsidR="002F47A0" w:rsidRPr="009E686F" w14:paraId="39FE90EF"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238B32C5" w14:textId="7B9C6509"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(s) o instituție sau o persoană fizică nu respectă în mod repetat o decizie impusă de autoritatea competentă în conformitate cu dispozițiile naționale de transpunere a prezentei directive sau în conformitate cu Regulamentul (UE) nr. 575/2013;</w:t>
            </w:r>
          </w:p>
        </w:tc>
        <w:tc>
          <w:tcPr>
            <w:tcW w:w="1928" w:type="pct"/>
            <w:gridSpan w:val="3"/>
            <w:tcBorders>
              <w:top w:val="single" w:sz="4" w:space="0" w:color="auto"/>
              <w:left w:val="single" w:sz="4" w:space="0" w:color="auto"/>
              <w:bottom w:val="single" w:sz="4" w:space="0" w:color="auto"/>
              <w:right w:val="single" w:sz="4" w:space="0" w:color="auto"/>
            </w:tcBorders>
          </w:tcPr>
          <w:p w14:paraId="3C062104" w14:textId="72EE859D" w:rsidR="002F47A0" w:rsidRPr="009E686F" w:rsidRDefault="002F47A0" w:rsidP="002F47A0">
            <w:pPr>
              <w:spacing w:after="0"/>
              <w:jc w:val="both"/>
              <w:rPr>
                <w:rFonts w:ascii="Times New Roman" w:hAnsi="Times New Roman" w:cs="Times New Roman"/>
                <w:i/>
                <w:iCs/>
                <w:lang w:val="ro-RO"/>
              </w:rPr>
            </w:pPr>
            <w:r w:rsidRPr="009E686F">
              <w:rPr>
                <w:rFonts w:ascii="Times New Roman" w:eastAsia="Aptos" w:hAnsi="Times New Roman" w:cs="Times New Roman"/>
                <w:i/>
                <w:iCs/>
                <w:kern w:val="2"/>
                <w:lang w:val="ro-MD"/>
              </w:rPr>
              <w:t>s) instituția de credit sau o persoană fizică nu respectă în mod repetat o decizie impusă de Banca Națională a Moldovei conform prezentei legi;</w:t>
            </w:r>
          </w:p>
        </w:tc>
        <w:tc>
          <w:tcPr>
            <w:tcW w:w="470" w:type="pct"/>
            <w:tcBorders>
              <w:top w:val="single" w:sz="4" w:space="0" w:color="auto"/>
              <w:left w:val="single" w:sz="4" w:space="0" w:color="auto"/>
              <w:bottom w:val="single" w:sz="4" w:space="0" w:color="auto"/>
              <w:right w:val="single" w:sz="4" w:space="0" w:color="auto"/>
            </w:tcBorders>
          </w:tcPr>
          <w:p w14:paraId="522D72EA" w14:textId="77777777" w:rsidR="002F47A0" w:rsidRPr="009E686F" w:rsidRDefault="002F47A0" w:rsidP="002F47A0">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349E5A64" w14:textId="77777777" w:rsidR="002F47A0" w:rsidRPr="009E686F" w:rsidRDefault="002F47A0" w:rsidP="002F47A0">
            <w:pPr>
              <w:jc w:val="both"/>
              <w:rPr>
                <w:rFonts w:ascii="Times New Roman" w:hAnsi="Times New Roman" w:cs="Times New Roman"/>
                <w:lang w:val="ro-RO"/>
              </w:rPr>
            </w:pPr>
          </w:p>
        </w:tc>
      </w:tr>
      <w:tr w:rsidR="002F47A0" w:rsidRPr="009E686F" w14:paraId="4D439087"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629EDAE6" w14:textId="73769DDC"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(t) o instituție nu îndeplinește cerințele de remunerare prevăzute la articolele 92, 94 și 95 din prezenta directivă;</w:t>
            </w:r>
          </w:p>
        </w:tc>
        <w:tc>
          <w:tcPr>
            <w:tcW w:w="1928" w:type="pct"/>
            <w:gridSpan w:val="3"/>
            <w:tcBorders>
              <w:top w:val="single" w:sz="4" w:space="0" w:color="auto"/>
              <w:left w:val="single" w:sz="4" w:space="0" w:color="auto"/>
              <w:bottom w:val="single" w:sz="4" w:space="0" w:color="auto"/>
              <w:right w:val="single" w:sz="4" w:space="0" w:color="auto"/>
            </w:tcBorders>
          </w:tcPr>
          <w:p w14:paraId="6186D71D" w14:textId="6FFCC5FC" w:rsidR="002F47A0" w:rsidRPr="009E686F" w:rsidRDefault="002F47A0" w:rsidP="002F47A0">
            <w:pPr>
              <w:spacing w:after="0"/>
              <w:jc w:val="both"/>
              <w:rPr>
                <w:rFonts w:ascii="Times New Roman" w:hAnsi="Times New Roman" w:cs="Times New Roman"/>
                <w:i/>
                <w:iCs/>
                <w:lang w:val="ro-RO"/>
              </w:rPr>
            </w:pPr>
            <w:r w:rsidRPr="009E686F">
              <w:rPr>
                <w:rFonts w:ascii="Times New Roman" w:eastAsia="Aptos" w:hAnsi="Times New Roman" w:cs="Times New Roman"/>
                <w:i/>
                <w:iCs/>
                <w:kern w:val="2"/>
                <w:lang w:val="ro-MD"/>
              </w:rPr>
              <w:t>t) instituția de credit nu îndeplinește cerințele de remunerare prevăzute de prezenta lege și actele normative emise în aplicarea acesteia;</w:t>
            </w:r>
          </w:p>
        </w:tc>
        <w:tc>
          <w:tcPr>
            <w:tcW w:w="470" w:type="pct"/>
            <w:tcBorders>
              <w:top w:val="single" w:sz="4" w:space="0" w:color="auto"/>
              <w:left w:val="single" w:sz="4" w:space="0" w:color="auto"/>
              <w:bottom w:val="single" w:sz="4" w:space="0" w:color="auto"/>
              <w:right w:val="single" w:sz="4" w:space="0" w:color="auto"/>
            </w:tcBorders>
          </w:tcPr>
          <w:p w14:paraId="0CF76402" w14:textId="77777777" w:rsidR="002F47A0" w:rsidRPr="009E686F" w:rsidRDefault="002F47A0" w:rsidP="002F47A0">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09C45D7F" w14:textId="77777777" w:rsidR="002F47A0" w:rsidRPr="009E686F" w:rsidRDefault="002F47A0" w:rsidP="002F47A0">
            <w:pPr>
              <w:jc w:val="both"/>
              <w:rPr>
                <w:rFonts w:ascii="Times New Roman" w:hAnsi="Times New Roman" w:cs="Times New Roman"/>
                <w:lang w:val="ro-RO"/>
              </w:rPr>
            </w:pPr>
          </w:p>
        </w:tc>
      </w:tr>
      <w:tr w:rsidR="002F47A0" w:rsidRPr="009E686F" w14:paraId="30EDF52A"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6D4C2018" w14:textId="22465062"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(u) o instituție acționează fără a avea permisiunea prealabilă a autorității competente în cazul în care dispozițiile naționale de transpunere a prezentei directive sau Regulamentul (UE) nr. 575/2013 impun instituției să obțină o astfel de permisiune prealabilă sau o instituție a obținut respectiva permisiune în baza unor declarații false sau nu respectă condițiile în care a fost acordată permisiunea;</w:t>
            </w:r>
          </w:p>
        </w:tc>
        <w:tc>
          <w:tcPr>
            <w:tcW w:w="1928" w:type="pct"/>
            <w:gridSpan w:val="3"/>
            <w:tcBorders>
              <w:top w:val="single" w:sz="4" w:space="0" w:color="auto"/>
              <w:left w:val="single" w:sz="4" w:space="0" w:color="auto"/>
              <w:bottom w:val="single" w:sz="4" w:space="0" w:color="auto"/>
              <w:right w:val="single" w:sz="4" w:space="0" w:color="auto"/>
            </w:tcBorders>
          </w:tcPr>
          <w:p w14:paraId="4804CBE5" w14:textId="0B93BA27" w:rsidR="002F47A0" w:rsidRPr="009E686F" w:rsidRDefault="002F47A0" w:rsidP="002F47A0">
            <w:pPr>
              <w:spacing w:after="0"/>
              <w:jc w:val="both"/>
              <w:rPr>
                <w:rFonts w:ascii="Times New Roman" w:hAnsi="Times New Roman" w:cs="Times New Roman"/>
                <w:i/>
                <w:iCs/>
                <w:lang w:val="ro-RO"/>
              </w:rPr>
            </w:pPr>
            <w:r w:rsidRPr="009E686F">
              <w:rPr>
                <w:rFonts w:ascii="Times New Roman" w:eastAsia="Aptos" w:hAnsi="Times New Roman" w:cs="Times New Roman"/>
                <w:i/>
                <w:iCs/>
                <w:kern w:val="2"/>
                <w:lang w:val="ro-MD"/>
              </w:rPr>
              <w:t>u) instituția de credit acționează fără a avea aprobările prealabile ale Băncii Naționale a Moldovei în cazul în care prezenta lege sau actele normative emise în aplicarea acesteia prevăd obligația instituției de credit de a obține o astfel de aprobare prealabilă ori instituția de credit a obținut respectiva aprobare în baza unor declarații false sau nu respectă condițiile în care a fost acordată aprobarea;</w:t>
            </w:r>
          </w:p>
        </w:tc>
        <w:tc>
          <w:tcPr>
            <w:tcW w:w="470" w:type="pct"/>
            <w:tcBorders>
              <w:top w:val="single" w:sz="4" w:space="0" w:color="auto"/>
              <w:left w:val="single" w:sz="4" w:space="0" w:color="auto"/>
              <w:bottom w:val="single" w:sz="4" w:space="0" w:color="auto"/>
              <w:right w:val="single" w:sz="4" w:space="0" w:color="auto"/>
            </w:tcBorders>
          </w:tcPr>
          <w:p w14:paraId="7B0EFEA2" w14:textId="77777777" w:rsidR="002F47A0" w:rsidRPr="009E686F" w:rsidRDefault="002F47A0" w:rsidP="002F47A0">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094B8304" w14:textId="77777777" w:rsidR="002F47A0" w:rsidRPr="009E686F" w:rsidRDefault="002F47A0" w:rsidP="002F47A0">
            <w:pPr>
              <w:jc w:val="both"/>
              <w:rPr>
                <w:rFonts w:ascii="Times New Roman" w:hAnsi="Times New Roman" w:cs="Times New Roman"/>
                <w:lang w:val="ro-RO"/>
              </w:rPr>
            </w:pPr>
          </w:p>
        </w:tc>
      </w:tr>
      <w:tr w:rsidR="002F47A0" w:rsidRPr="009E686F" w14:paraId="715FFB82"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1BB746A8" w14:textId="0EB170AB"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(v) o instituție nu îndeplinește cerințele privind structura, condițiile, ajustările și deducerile legate de fondurile proprii, astfel cum sunt prevăzute în partea a doua din Regulamentul (UE) nr. 575/2013;</w:t>
            </w:r>
          </w:p>
        </w:tc>
        <w:tc>
          <w:tcPr>
            <w:tcW w:w="1928" w:type="pct"/>
            <w:gridSpan w:val="3"/>
            <w:tcBorders>
              <w:top w:val="single" w:sz="4" w:space="0" w:color="auto"/>
              <w:left w:val="single" w:sz="4" w:space="0" w:color="auto"/>
              <w:bottom w:val="single" w:sz="4" w:space="0" w:color="auto"/>
              <w:right w:val="single" w:sz="4" w:space="0" w:color="auto"/>
            </w:tcBorders>
          </w:tcPr>
          <w:p w14:paraId="66DE330C" w14:textId="1FCD295D" w:rsidR="002F47A0" w:rsidRPr="009E686F" w:rsidRDefault="002F47A0" w:rsidP="002F47A0">
            <w:pPr>
              <w:spacing w:after="0"/>
              <w:jc w:val="both"/>
              <w:rPr>
                <w:rFonts w:ascii="Times New Roman" w:hAnsi="Times New Roman" w:cs="Times New Roman"/>
                <w:i/>
                <w:iCs/>
                <w:lang w:val="ro-RO"/>
              </w:rPr>
            </w:pPr>
            <w:r w:rsidRPr="009E686F">
              <w:rPr>
                <w:rFonts w:ascii="Times New Roman" w:eastAsia="Aptos" w:hAnsi="Times New Roman" w:cs="Times New Roman"/>
                <w:i/>
                <w:iCs/>
                <w:kern w:val="2"/>
                <w:lang w:val="ro-MD"/>
              </w:rPr>
              <w:t>v) instituția de credit nu îndeplinește cerințele privind structura, condițiile, ajustările și deducerile legate de fondurile proprii, astfel cum sunt prevăzute în actele normative ale Băncii Naționale a Moldovei;</w:t>
            </w:r>
          </w:p>
        </w:tc>
        <w:tc>
          <w:tcPr>
            <w:tcW w:w="470" w:type="pct"/>
            <w:tcBorders>
              <w:top w:val="single" w:sz="4" w:space="0" w:color="auto"/>
              <w:left w:val="single" w:sz="4" w:space="0" w:color="auto"/>
              <w:bottom w:val="single" w:sz="4" w:space="0" w:color="auto"/>
              <w:right w:val="single" w:sz="4" w:space="0" w:color="auto"/>
            </w:tcBorders>
          </w:tcPr>
          <w:p w14:paraId="7559367D" w14:textId="77777777" w:rsidR="002F47A0" w:rsidRPr="009E686F" w:rsidRDefault="002F47A0" w:rsidP="002F47A0">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7A8C3F29" w14:textId="77777777" w:rsidR="002F47A0" w:rsidRPr="009E686F" w:rsidRDefault="002F47A0" w:rsidP="002F47A0">
            <w:pPr>
              <w:jc w:val="both"/>
              <w:rPr>
                <w:rFonts w:ascii="Times New Roman" w:hAnsi="Times New Roman" w:cs="Times New Roman"/>
                <w:lang w:val="ro-RO"/>
              </w:rPr>
            </w:pPr>
          </w:p>
        </w:tc>
      </w:tr>
      <w:tr w:rsidR="002F47A0" w:rsidRPr="009E686F" w14:paraId="3CD6D109"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66507350" w14:textId="648A65E9"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(w) o instituție nu îndeplinește cerințele privind expunerile mari față de un client sau un grup de clienți aflați în legătură, astfel cum sunt prevăzute în partea a patra din Regulamentul (UE) nr. 575/2013;</w:t>
            </w:r>
          </w:p>
        </w:tc>
        <w:tc>
          <w:tcPr>
            <w:tcW w:w="1928" w:type="pct"/>
            <w:gridSpan w:val="3"/>
            <w:tcBorders>
              <w:top w:val="single" w:sz="4" w:space="0" w:color="auto"/>
              <w:left w:val="single" w:sz="4" w:space="0" w:color="auto"/>
              <w:bottom w:val="single" w:sz="4" w:space="0" w:color="auto"/>
              <w:right w:val="single" w:sz="4" w:space="0" w:color="auto"/>
            </w:tcBorders>
          </w:tcPr>
          <w:p w14:paraId="2D51D2D4" w14:textId="7201F976" w:rsidR="002F47A0" w:rsidRPr="009E686F" w:rsidRDefault="002F47A0" w:rsidP="002F47A0">
            <w:pPr>
              <w:spacing w:after="0"/>
              <w:jc w:val="both"/>
              <w:rPr>
                <w:rFonts w:ascii="Times New Roman" w:hAnsi="Times New Roman" w:cs="Times New Roman"/>
                <w:i/>
                <w:iCs/>
                <w:lang w:val="ro-RO"/>
              </w:rPr>
            </w:pPr>
            <w:r w:rsidRPr="009E686F">
              <w:rPr>
                <w:rFonts w:ascii="Times New Roman" w:eastAsia="Aptos" w:hAnsi="Times New Roman" w:cs="Times New Roman"/>
                <w:i/>
                <w:iCs/>
                <w:kern w:val="2"/>
                <w:lang w:val="ro-MD"/>
              </w:rPr>
              <w:t>w) instituția de credit nu îndeplinește cerințele privind expunerile mari față de un client sau un grup de clienți aflați în legătură, astfel cum sunt prevăzute în actele normative ale Băncii Naționale a Moldovei;</w:t>
            </w:r>
          </w:p>
        </w:tc>
        <w:tc>
          <w:tcPr>
            <w:tcW w:w="470" w:type="pct"/>
            <w:tcBorders>
              <w:top w:val="single" w:sz="4" w:space="0" w:color="auto"/>
              <w:left w:val="single" w:sz="4" w:space="0" w:color="auto"/>
              <w:bottom w:val="single" w:sz="4" w:space="0" w:color="auto"/>
              <w:right w:val="single" w:sz="4" w:space="0" w:color="auto"/>
            </w:tcBorders>
          </w:tcPr>
          <w:p w14:paraId="3711DA52" w14:textId="77777777" w:rsidR="002F47A0" w:rsidRPr="009E686F" w:rsidRDefault="002F47A0" w:rsidP="002F47A0">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42F14452" w14:textId="77777777" w:rsidR="002F47A0" w:rsidRPr="009E686F" w:rsidRDefault="002F47A0" w:rsidP="002F47A0">
            <w:pPr>
              <w:jc w:val="both"/>
              <w:rPr>
                <w:rFonts w:ascii="Times New Roman" w:hAnsi="Times New Roman" w:cs="Times New Roman"/>
                <w:lang w:val="ro-RO"/>
              </w:rPr>
            </w:pPr>
          </w:p>
        </w:tc>
      </w:tr>
      <w:tr w:rsidR="002F47A0" w:rsidRPr="009E686F" w14:paraId="0D0DE6D7"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330A5F69" w14:textId="378FA2D6"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(x) o instituție nu îndeplinește cerințele privind calcularea ratei efectului de levier, inclusiv aplicarea derogărilor, astfel cum sunt prevăzute în partea a șaptea din Regulamentul (UE) nr. 575/2013;</w:t>
            </w:r>
          </w:p>
        </w:tc>
        <w:tc>
          <w:tcPr>
            <w:tcW w:w="1928" w:type="pct"/>
            <w:gridSpan w:val="3"/>
            <w:tcBorders>
              <w:top w:val="single" w:sz="4" w:space="0" w:color="auto"/>
              <w:left w:val="single" w:sz="4" w:space="0" w:color="auto"/>
              <w:bottom w:val="single" w:sz="4" w:space="0" w:color="auto"/>
              <w:right w:val="single" w:sz="4" w:space="0" w:color="auto"/>
            </w:tcBorders>
          </w:tcPr>
          <w:p w14:paraId="4C9608C4" w14:textId="40884FC5" w:rsidR="002F47A0" w:rsidRPr="009E686F" w:rsidRDefault="002F47A0" w:rsidP="002F47A0">
            <w:pPr>
              <w:spacing w:after="0"/>
              <w:jc w:val="both"/>
              <w:rPr>
                <w:rFonts w:ascii="Times New Roman" w:hAnsi="Times New Roman" w:cs="Times New Roman"/>
                <w:i/>
                <w:iCs/>
                <w:lang w:val="ro-RO"/>
              </w:rPr>
            </w:pPr>
            <w:r w:rsidRPr="009E686F">
              <w:rPr>
                <w:rFonts w:ascii="Times New Roman" w:eastAsia="Aptos" w:hAnsi="Times New Roman" w:cs="Times New Roman"/>
                <w:i/>
                <w:iCs/>
                <w:kern w:val="2"/>
                <w:lang w:val="ro-MD"/>
              </w:rPr>
              <w:t>x) instituția de credit nu îndeplinește cerințele privind calcularea ratei efectului de levier, inclusiv aplicarea derogărilor, astfel cum sunt prevăzute în actele normativ ale Băncii Naționale a Moldovei;</w:t>
            </w:r>
          </w:p>
        </w:tc>
        <w:tc>
          <w:tcPr>
            <w:tcW w:w="470" w:type="pct"/>
            <w:tcBorders>
              <w:top w:val="single" w:sz="4" w:space="0" w:color="auto"/>
              <w:left w:val="single" w:sz="4" w:space="0" w:color="auto"/>
              <w:bottom w:val="single" w:sz="4" w:space="0" w:color="auto"/>
              <w:right w:val="single" w:sz="4" w:space="0" w:color="auto"/>
            </w:tcBorders>
          </w:tcPr>
          <w:p w14:paraId="32DB1C06" w14:textId="77777777" w:rsidR="002F47A0" w:rsidRPr="009E686F" w:rsidRDefault="002F47A0" w:rsidP="002F47A0">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1ACEDD56" w14:textId="77777777" w:rsidR="002F47A0" w:rsidRPr="009E686F" w:rsidRDefault="002F47A0" w:rsidP="002F47A0">
            <w:pPr>
              <w:jc w:val="both"/>
              <w:rPr>
                <w:rFonts w:ascii="Times New Roman" w:hAnsi="Times New Roman" w:cs="Times New Roman"/>
                <w:lang w:val="ro-RO"/>
              </w:rPr>
            </w:pPr>
          </w:p>
        </w:tc>
      </w:tr>
      <w:tr w:rsidR="002F47A0" w:rsidRPr="009E686F" w14:paraId="5BD1FD53"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4867EBDC" w14:textId="20F0A1CF"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 xml:space="preserve">(y) o instituție nu transmite informații sau furnizează informații incomplete ori inexacte autorității competente cu </w:t>
            </w:r>
            <w:r w:rsidRPr="009E686F">
              <w:rPr>
                <w:rFonts w:ascii="Times New Roman" w:hAnsi="Times New Roman" w:cs="Times New Roman"/>
                <w:lang w:val="ro-RO"/>
              </w:rPr>
              <w:lastRenderedPageBreak/>
              <w:t>privire la datele menționate la articolul 430 alineatele (1)-(3) și la articolul 430a din Regulamentul (UE) nr. 575/2013;</w:t>
            </w:r>
          </w:p>
        </w:tc>
        <w:tc>
          <w:tcPr>
            <w:tcW w:w="1928" w:type="pct"/>
            <w:gridSpan w:val="3"/>
            <w:tcBorders>
              <w:top w:val="single" w:sz="4" w:space="0" w:color="auto"/>
              <w:left w:val="single" w:sz="4" w:space="0" w:color="auto"/>
              <w:bottom w:val="single" w:sz="4" w:space="0" w:color="auto"/>
              <w:right w:val="single" w:sz="4" w:space="0" w:color="auto"/>
            </w:tcBorders>
          </w:tcPr>
          <w:p w14:paraId="312780C7" w14:textId="4BA15A03" w:rsidR="002F47A0" w:rsidRPr="009E686F" w:rsidRDefault="002F47A0" w:rsidP="002F47A0">
            <w:pPr>
              <w:spacing w:after="0"/>
              <w:jc w:val="both"/>
              <w:rPr>
                <w:rFonts w:ascii="Times New Roman" w:hAnsi="Times New Roman" w:cs="Times New Roman"/>
                <w:i/>
                <w:iCs/>
                <w:lang w:val="ro-RO"/>
              </w:rPr>
            </w:pPr>
            <w:r w:rsidRPr="009E686F">
              <w:rPr>
                <w:rFonts w:ascii="Times New Roman" w:eastAsia="Aptos" w:hAnsi="Times New Roman" w:cs="Times New Roman"/>
                <w:i/>
                <w:iCs/>
                <w:kern w:val="2"/>
                <w:lang w:val="ro-MD"/>
              </w:rPr>
              <w:lastRenderedPageBreak/>
              <w:t xml:space="preserve">y) instituția de credit nu transmite informații sau furnizează informații incomplete ori inexacte Băncii Naționale a Moldovei </w:t>
            </w:r>
            <w:r w:rsidRPr="009E686F">
              <w:rPr>
                <w:rFonts w:ascii="Times New Roman" w:eastAsia="Aptos" w:hAnsi="Times New Roman" w:cs="Times New Roman"/>
                <w:i/>
                <w:iCs/>
                <w:kern w:val="2"/>
                <w:lang w:val="ro-MD"/>
              </w:rPr>
              <w:lastRenderedPageBreak/>
              <w:t>cu privire la datele aferente cerințelor de raportare prevăzute de actele normative emise în aplicarea prezentei legi;</w:t>
            </w:r>
          </w:p>
        </w:tc>
        <w:tc>
          <w:tcPr>
            <w:tcW w:w="470" w:type="pct"/>
            <w:tcBorders>
              <w:top w:val="single" w:sz="4" w:space="0" w:color="auto"/>
              <w:left w:val="single" w:sz="4" w:space="0" w:color="auto"/>
              <w:bottom w:val="single" w:sz="4" w:space="0" w:color="auto"/>
              <w:right w:val="single" w:sz="4" w:space="0" w:color="auto"/>
            </w:tcBorders>
          </w:tcPr>
          <w:p w14:paraId="53841D38" w14:textId="77777777" w:rsidR="002F47A0" w:rsidRPr="009E686F" w:rsidRDefault="002F47A0" w:rsidP="002F47A0">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0E61DFC3" w14:textId="77777777" w:rsidR="002F47A0" w:rsidRPr="009E686F" w:rsidRDefault="002F47A0" w:rsidP="002F47A0">
            <w:pPr>
              <w:jc w:val="both"/>
              <w:rPr>
                <w:rFonts w:ascii="Times New Roman" w:hAnsi="Times New Roman" w:cs="Times New Roman"/>
                <w:lang w:val="ro-RO"/>
              </w:rPr>
            </w:pPr>
          </w:p>
        </w:tc>
      </w:tr>
      <w:tr w:rsidR="002F47A0" w:rsidRPr="009E686F" w14:paraId="5831A753"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7093DD6B" w14:textId="55CF9CBD"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(z) o instituție nu respectă cerințele privind colectarea datelor și guvernanța prevăzute în partea a treia titlul III capitolul 2 din Regulamentul (UE) nr. 575/2013;</w:t>
            </w:r>
          </w:p>
        </w:tc>
        <w:tc>
          <w:tcPr>
            <w:tcW w:w="1928" w:type="pct"/>
            <w:gridSpan w:val="3"/>
            <w:tcBorders>
              <w:top w:val="single" w:sz="4" w:space="0" w:color="auto"/>
              <w:left w:val="single" w:sz="4" w:space="0" w:color="auto"/>
              <w:bottom w:val="single" w:sz="4" w:space="0" w:color="auto"/>
              <w:right w:val="single" w:sz="4" w:space="0" w:color="auto"/>
            </w:tcBorders>
          </w:tcPr>
          <w:p w14:paraId="35A0AFBC" w14:textId="4A9CBA53" w:rsidR="002F47A0" w:rsidRPr="009E686F" w:rsidRDefault="002F47A0" w:rsidP="002F47A0">
            <w:pPr>
              <w:spacing w:after="0"/>
              <w:jc w:val="both"/>
              <w:rPr>
                <w:rFonts w:ascii="Times New Roman" w:hAnsi="Times New Roman" w:cs="Times New Roman"/>
                <w:i/>
                <w:iCs/>
                <w:lang w:val="ro-RO"/>
              </w:rPr>
            </w:pPr>
            <w:r w:rsidRPr="009E686F">
              <w:rPr>
                <w:rFonts w:ascii="Times New Roman" w:eastAsia="Aptos" w:hAnsi="Times New Roman" w:cs="Times New Roman"/>
                <w:i/>
                <w:iCs/>
                <w:kern w:val="2"/>
                <w:lang w:val="ro-MD"/>
              </w:rPr>
              <w:t>z) instituția de credit nu respectă cerințele privind colectarea datelor și guvernanța conform cerințelor de fonduri proprii pentru riscul operațional prevăzute de actele normative ale Băncii Naționale a Moldovei;</w:t>
            </w:r>
          </w:p>
        </w:tc>
        <w:tc>
          <w:tcPr>
            <w:tcW w:w="470" w:type="pct"/>
            <w:tcBorders>
              <w:top w:val="single" w:sz="4" w:space="0" w:color="auto"/>
              <w:left w:val="single" w:sz="4" w:space="0" w:color="auto"/>
              <w:bottom w:val="single" w:sz="4" w:space="0" w:color="auto"/>
              <w:right w:val="single" w:sz="4" w:space="0" w:color="auto"/>
            </w:tcBorders>
          </w:tcPr>
          <w:p w14:paraId="70829C94" w14:textId="77777777" w:rsidR="002F47A0" w:rsidRPr="009E686F" w:rsidRDefault="002F47A0" w:rsidP="002F47A0">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5DBDDF70" w14:textId="77777777" w:rsidR="002F47A0" w:rsidRPr="009E686F" w:rsidRDefault="002F47A0" w:rsidP="002F47A0">
            <w:pPr>
              <w:jc w:val="both"/>
              <w:rPr>
                <w:rFonts w:ascii="Times New Roman" w:hAnsi="Times New Roman" w:cs="Times New Roman"/>
                <w:lang w:val="ro-RO"/>
              </w:rPr>
            </w:pPr>
          </w:p>
        </w:tc>
      </w:tr>
      <w:tr w:rsidR="002F47A0" w:rsidRPr="009E686F" w14:paraId="7669C9F9"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388ED1CE" w14:textId="4725442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(aa) o instituție nu îndeplinește cerințele privind calcularea cuantumurilor ponderate la risc ale expunerilor sau a cerințelor de fonduri proprii ori nu a instituit cadrul de administrare a activității prevăzut în partea a treia titlurile II-VI din Regulamentul (UE) nr. 575/2013;</w:t>
            </w:r>
          </w:p>
        </w:tc>
        <w:tc>
          <w:tcPr>
            <w:tcW w:w="1928" w:type="pct"/>
            <w:gridSpan w:val="3"/>
            <w:tcBorders>
              <w:top w:val="single" w:sz="4" w:space="0" w:color="auto"/>
              <w:left w:val="single" w:sz="4" w:space="0" w:color="auto"/>
              <w:bottom w:val="single" w:sz="4" w:space="0" w:color="auto"/>
              <w:right w:val="single" w:sz="4" w:space="0" w:color="auto"/>
            </w:tcBorders>
          </w:tcPr>
          <w:p w14:paraId="3D889DE0" w14:textId="426ACA09" w:rsidR="002F47A0" w:rsidRPr="009E686F" w:rsidRDefault="002F47A0" w:rsidP="002F47A0">
            <w:pPr>
              <w:spacing w:after="0"/>
              <w:jc w:val="both"/>
              <w:rPr>
                <w:rFonts w:ascii="Times New Roman" w:hAnsi="Times New Roman" w:cs="Times New Roman"/>
                <w:i/>
                <w:iCs/>
                <w:lang w:val="ro-RO"/>
              </w:rPr>
            </w:pPr>
            <w:r w:rsidRPr="009E686F">
              <w:rPr>
                <w:rFonts w:ascii="Times New Roman" w:eastAsia="Aptos" w:hAnsi="Times New Roman" w:cs="Times New Roman"/>
                <w:i/>
                <w:iCs/>
                <w:kern w:val="2"/>
                <w:lang w:val="ro-MD"/>
              </w:rPr>
              <w:t>aa) instituția de credit nu îndeplinește cerințele privind calcularea cuantumurilor ponderate la risc ale expunerilor sau a cerințelor de fonduri proprii ori nu a instituit cadrul de administrare a activității aferente cerințelor pentru acoperirea riscului de credit, riscului operațional, riscului de piață, riscului de decontare și riscul de ajustare a evaluării creditului prevăzute de actele normative ale Băncii Naționale a Moldovei;</w:t>
            </w:r>
          </w:p>
        </w:tc>
        <w:tc>
          <w:tcPr>
            <w:tcW w:w="470" w:type="pct"/>
            <w:tcBorders>
              <w:top w:val="single" w:sz="4" w:space="0" w:color="auto"/>
              <w:left w:val="single" w:sz="4" w:space="0" w:color="auto"/>
              <w:bottom w:val="single" w:sz="4" w:space="0" w:color="auto"/>
              <w:right w:val="single" w:sz="4" w:space="0" w:color="auto"/>
            </w:tcBorders>
          </w:tcPr>
          <w:p w14:paraId="3D1D70D8" w14:textId="77777777" w:rsidR="002F47A0" w:rsidRPr="009E686F" w:rsidRDefault="002F47A0" w:rsidP="002F47A0">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2D7ED979" w14:textId="77777777" w:rsidR="002F47A0" w:rsidRPr="009E686F" w:rsidRDefault="002F47A0" w:rsidP="002F47A0">
            <w:pPr>
              <w:jc w:val="both"/>
              <w:rPr>
                <w:rFonts w:ascii="Times New Roman" w:hAnsi="Times New Roman" w:cs="Times New Roman"/>
                <w:lang w:val="ro-RO"/>
              </w:rPr>
            </w:pPr>
          </w:p>
        </w:tc>
      </w:tr>
      <w:tr w:rsidR="002F47A0" w:rsidRPr="009E686F" w14:paraId="0062FA79"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3683A1B4" w14:textId="159EFE3B"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(ab) o instituție nu îndeplinește cerințele legate de calcularea indicatorului de acoperire a necesarului de lichiditate sau a indicatorului de finanțare stabilă netă, astfel cum se prevede în partea a șasea titlurile I și IV din Regulamentul (UE) nr. 575/2013 și în Regulamentul delegat (UE) 2015/61.</w:t>
            </w:r>
          </w:p>
        </w:tc>
        <w:tc>
          <w:tcPr>
            <w:tcW w:w="1928" w:type="pct"/>
            <w:gridSpan w:val="3"/>
            <w:tcBorders>
              <w:top w:val="single" w:sz="4" w:space="0" w:color="auto"/>
              <w:left w:val="single" w:sz="4" w:space="0" w:color="auto"/>
              <w:bottom w:val="single" w:sz="4" w:space="0" w:color="auto"/>
              <w:right w:val="single" w:sz="4" w:space="0" w:color="auto"/>
            </w:tcBorders>
          </w:tcPr>
          <w:p w14:paraId="7C2CB811" w14:textId="3CC9303A" w:rsidR="002F47A0" w:rsidRPr="009E686F" w:rsidRDefault="002F47A0" w:rsidP="002F47A0">
            <w:pPr>
              <w:spacing w:after="0"/>
              <w:jc w:val="both"/>
              <w:rPr>
                <w:rFonts w:ascii="Times New Roman" w:hAnsi="Times New Roman" w:cs="Times New Roman"/>
                <w:i/>
                <w:iCs/>
                <w:lang w:val="ro-RO"/>
              </w:rPr>
            </w:pPr>
            <w:r w:rsidRPr="009E686F">
              <w:rPr>
                <w:rFonts w:ascii="Times New Roman" w:eastAsia="Aptos" w:hAnsi="Times New Roman" w:cs="Times New Roman"/>
                <w:i/>
                <w:iCs/>
                <w:kern w:val="2"/>
                <w:lang w:val="ro-MD"/>
              </w:rPr>
              <w:t>ab) instituția de credit nu îndeplinește cerințele legate de calcularea indicatorului de acoperire a necesarului de lichiditate sau a indicatorului de finanțare stabilă netă, astfel cum se prevede în actele normative ale Băncii Naționale a Moldovei.</w:t>
            </w:r>
          </w:p>
        </w:tc>
        <w:tc>
          <w:tcPr>
            <w:tcW w:w="470" w:type="pct"/>
            <w:tcBorders>
              <w:top w:val="single" w:sz="4" w:space="0" w:color="auto"/>
              <w:left w:val="single" w:sz="4" w:space="0" w:color="auto"/>
              <w:bottom w:val="single" w:sz="4" w:space="0" w:color="auto"/>
              <w:right w:val="single" w:sz="4" w:space="0" w:color="auto"/>
            </w:tcBorders>
          </w:tcPr>
          <w:p w14:paraId="5A9E6979" w14:textId="77777777" w:rsidR="002F47A0" w:rsidRPr="009E686F" w:rsidRDefault="002F47A0" w:rsidP="002F47A0">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0A412632" w14:textId="77777777" w:rsidR="002F47A0" w:rsidRPr="009E686F" w:rsidRDefault="002F47A0" w:rsidP="002F47A0">
            <w:pPr>
              <w:jc w:val="both"/>
              <w:rPr>
                <w:rFonts w:ascii="Times New Roman" w:hAnsi="Times New Roman" w:cs="Times New Roman"/>
                <w:lang w:val="ro-RO"/>
              </w:rPr>
            </w:pPr>
          </w:p>
        </w:tc>
      </w:tr>
      <w:tr w:rsidR="002F47A0" w:rsidRPr="009E686F" w14:paraId="5353B60B" w14:textId="7A33E0FE" w:rsidTr="00774F3E">
        <w:tc>
          <w:tcPr>
            <w:tcW w:w="1796" w:type="pct"/>
            <w:gridSpan w:val="2"/>
            <w:tcBorders>
              <w:top w:val="single" w:sz="4" w:space="0" w:color="auto"/>
              <w:left w:val="single" w:sz="4" w:space="0" w:color="auto"/>
              <w:bottom w:val="single" w:sz="4" w:space="0" w:color="auto"/>
              <w:right w:val="single" w:sz="4" w:space="0" w:color="auto"/>
            </w:tcBorders>
          </w:tcPr>
          <w:p w14:paraId="7A2D6BB0"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(2) Statele membre se asigură că, în cazurile menționate la alineatul (1), măsurile care se pot aplica includ cel puțin următoarele:</w:t>
            </w:r>
          </w:p>
          <w:p w14:paraId="13B8271F" w14:textId="08EDFBC9" w:rsidR="002F47A0" w:rsidRPr="009E686F" w:rsidRDefault="002F47A0" w:rsidP="002F47A0">
            <w:pPr>
              <w:spacing w:after="0"/>
              <w:jc w:val="both"/>
              <w:rPr>
                <w:rFonts w:ascii="Times New Roman" w:hAnsi="Times New Roman" w:cs="Times New Roman"/>
                <w:lang w:val="ro-RO"/>
              </w:rPr>
            </w:pPr>
          </w:p>
        </w:tc>
        <w:tc>
          <w:tcPr>
            <w:tcW w:w="1928" w:type="pct"/>
            <w:gridSpan w:val="3"/>
            <w:tcBorders>
              <w:top w:val="single" w:sz="4" w:space="0" w:color="auto"/>
              <w:left w:val="single" w:sz="4" w:space="0" w:color="auto"/>
              <w:bottom w:val="single" w:sz="4" w:space="0" w:color="auto"/>
              <w:right w:val="single" w:sz="4" w:space="0" w:color="auto"/>
            </w:tcBorders>
          </w:tcPr>
          <w:p w14:paraId="7E029EF8" w14:textId="3EDCDC55" w:rsidR="002F47A0" w:rsidRPr="009E686F" w:rsidRDefault="002F47A0" w:rsidP="002F47A0">
            <w:pPr>
              <w:spacing w:after="0"/>
              <w:jc w:val="both"/>
              <w:rPr>
                <w:rFonts w:ascii="Times New Roman" w:hAnsi="Times New Roman" w:cs="Times New Roman"/>
                <w:b/>
                <w:bCs/>
                <w:lang w:val="ro-RO"/>
              </w:rPr>
            </w:pPr>
            <w:r w:rsidRPr="009E686F">
              <w:rPr>
                <w:rFonts w:ascii="Times New Roman" w:hAnsi="Times New Roman" w:cs="Times New Roman"/>
                <w:b/>
                <w:bCs/>
                <w:lang w:val="ro-RO"/>
              </w:rPr>
              <w:t xml:space="preserve">Articolul 141 </w:t>
            </w:r>
            <w:r w:rsidRPr="009E686F">
              <w:rPr>
                <w:rFonts w:ascii="Times New Roman" w:eastAsia="Aptos" w:hAnsi="Times New Roman" w:cs="Times New Roman"/>
                <w:b/>
                <w:bCs/>
                <w:kern w:val="2"/>
                <w:lang w:val="ro-MD"/>
              </w:rPr>
              <w:t>alin.</w:t>
            </w:r>
            <w:r w:rsidRPr="009E686F">
              <w:rPr>
                <w:rFonts w:ascii="Times New Roman" w:hAnsi="Times New Roman" w:cs="Times New Roman"/>
                <w:b/>
                <w:bCs/>
                <w:lang w:val="ro-RO"/>
              </w:rPr>
              <w:t xml:space="preserve"> (1)</w:t>
            </w:r>
          </w:p>
          <w:p w14:paraId="0495BDAB" w14:textId="229C77E4" w:rsidR="002F47A0" w:rsidRPr="009E686F" w:rsidRDefault="002F47A0" w:rsidP="002F47A0">
            <w:pPr>
              <w:spacing w:after="0" w:line="278" w:lineRule="auto"/>
              <w:jc w:val="both"/>
              <w:rPr>
                <w:rFonts w:ascii="Times New Roman" w:hAnsi="Times New Roman" w:cs="Times New Roman"/>
                <w:lang w:val="ro-RO"/>
              </w:rPr>
            </w:pPr>
            <w:r w:rsidRPr="009E686F">
              <w:rPr>
                <w:rFonts w:ascii="Times New Roman" w:eastAsia="Aptos" w:hAnsi="Times New Roman" w:cs="Times New Roman"/>
                <w:kern w:val="2"/>
                <w:lang w:val="ro-MD"/>
              </w:rPr>
              <w:t xml:space="preserve">(1) Sancţiunile, </w:t>
            </w:r>
            <w:r w:rsidRPr="009E686F">
              <w:rPr>
                <w:rFonts w:ascii="Times New Roman" w:eastAsia="Aptos" w:hAnsi="Times New Roman" w:cs="Times New Roman"/>
                <w:i/>
                <w:iCs/>
                <w:kern w:val="2"/>
                <w:lang w:val="ro-MD"/>
              </w:rPr>
              <w:t xml:space="preserve">penalitățile cu titlu cominatoriu </w:t>
            </w:r>
            <w:r w:rsidRPr="009E686F">
              <w:rPr>
                <w:rFonts w:ascii="Times New Roman" w:eastAsia="Aptos" w:hAnsi="Times New Roman" w:cs="Times New Roman"/>
                <w:kern w:val="2"/>
                <w:lang w:val="ro-MD"/>
              </w:rPr>
              <w:t xml:space="preserve">și măsurile sancționatoare care pot fi aplicate </w:t>
            </w:r>
            <w:r w:rsidRPr="009E686F">
              <w:rPr>
                <w:rFonts w:ascii="Times New Roman" w:eastAsia="Aptos" w:hAnsi="Times New Roman" w:cs="Times New Roman"/>
                <w:i/>
                <w:iCs/>
                <w:kern w:val="2"/>
                <w:lang w:val="ro-MD"/>
              </w:rPr>
              <w:t xml:space="preserve">în cazurile încălcărilor prevăzute la art. 140 alin. (1) </w:t>
            </w:r>
            <w:r w:rsidRPr="009E686F">
              <w:rPr>
                <w:rFonts w:ascii="Times New Roman" w:eastAsia="Aptos" w:hAnsi="Times New Roman" w:cs="Times New Roman"/>
                <w:kern w:val="2"/>
                <w:lang w:val="ro-MD"/>
              </w:rPr>
              <w:t>potrivit prezentei legi sunt:</w:t>
            </w:r>
          </w:p>
        </w:tc>
        <w:tc>
          <w:tcPr>
            <w:tcW w:w="470" w:type="pct"/>
            <w:tcBorders>
              <w:top w:val="single" w:sz="4" w:space="0" w:color="auto"/>
              <w:left w:val="single" w:sz="4" w:space="0" w:color="auto"/>
              <w:bottom w:val="single" w:sz="4" w:space="0" w:color="auto"/>
              <w:right w:val="single" w:sz="4" w:space="0" w:color="auto"/>
            </w:tcBorders>
          </w:tcPr>
          <w:p w14:paraId="7F9A08E2" w14:textId="65A3ACA4"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228EEF56" w14:textId="77777777" w:rsidR="002F47A0" w:rsidRPr="009E686F" w:rsidRDefault="002F47A0" w:rsidP="002F47A0">
            <w:pPr>
              <w:jc w:val="both"/>
              <w:rPr>
                <w:rFonts w:ascii="Times New Roman" w:hAnsi="Times New Roman" w:cs="Times New Roman"/>
                <w:lang w:val="ro-RO"/>
              </w:rPr>
            </w:pPr>
          </w:p>
        </w:tc>
      </w:tr>
      <w:tr w:rsidR="002F47A0" w:rsidRPr="009E686F" w14:paraId="4ADC6A28" w14:textId="6D5DEA23" w:rsidTr="00774F3E">
        <w:trPr>
          <w:trHeight w:val="1037"/>
        </w:trPr>
        <w:tc>
          <w:tcPr>
            <w:tcW w:w="1796" w:type="pct"/>
            <w:gridSpan w:val="2"/>
            <w:tcBorders>
              <w:top w:val="single" w:sz="4" w:space="0" w:color="auto"/>
              <w:left w:val="single" w:sz="4" w:space="0" w:color="auto"/>
              <w:bottom w:val="single" w:sz="4" w:space="0" w:color="auto"/>
              <w:right w:val="single" w:sz="4" w:space="0" w:color="auto"/>
            </w:tcBorders>
          </w:tcPr>
          <w:p w14:paraId="5E00CD59" w14:textId="77777777" w:rsidR="002F47A0" w:rsidRPr="009E686F" w:rsidRDefault="002F47A0" w:rsidP="002F47A0">
            <w:pPr>
              <w:spacing w:after="0"/>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(a) sancțiuni administrative:</w:t>
            </w:r>
          </w:p>
          <w:p w14:paraId="5FD2A520" w14:textId="77777777" w:rsidR="002F47A0" w:rsidRPr="009E686F" w:rsidRDefault="002F47A0" w:rsidP="002F47A0">
            <w:pPr>
              <w:spacing w:after="0"/>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(i) în cazul unei persoane juridice, sancțiuni administrative pecuniare de până la 10 % din valoarea totală anuală netă a cifrei de afaceri a întreprinderii;</w:t>
            </w:r>
          </w:p>
          <w:p w14:paraId="2F1595A4" w14:textId="77777777" w:rsidR="002F47A0" w:rsidRPr="009E686F" w:rsidRDefault="002F47A0" w:rsidP="002F47A0">
            <w:pPr>
              <w:spacing w:after="0"/>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(ii) în cazul unei persoane fizice, sancțiuni administrative pecuniare de până la 5 milioane EUR sau, în statele membre a căror monedă nu este euro, valoarea echivalentă în moneda națională la 17 iulie 2013;</w:t>
            </w:r>
          </w:p>
          <w:p w14:paraId="1C8AD396" w14:textId="2D4C15DC" w:rsidR="002F47A0" w:rsidRPr="009E686F" w:rsidRDefault="002F47A0" w:rsidP="002F47A0">
            <w:pPr>
              <w:spacing w:after="0"/>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lastRenderedPageBreak/>
              <w:t>(iii) sancțiuni administrative pecuniare egale cu până la de două ori cuantumul profiturilor obținute sau al pierderilor evitate ca urmare a încălcării, în cazul în care respectivele profituri sau pierderi pot fi stabilite;</w:t>
            </w:r>
          </w:p>
        </w:tc>
        <w:tc>
          <w:tcPr>
            <w:tcW w:w="1928" w:type="pct"/>
            <w:gridSpan w:val="3"/>
            <w:tcBorders>
              <w:top w:val="single" w:sz="4" w:space="0" w:color="auto"/>
              <w:left w:val="single" w:sz="4" w:space="0" w:color="auto"/>
              <w:bottom w:val="single" w:sz="4" w:space="0" w:color="auto"/>
              <w:right w:val="single" w:sz="4" w:space="0" w:color="auto"/>
            </w:tcBorders>
          </w:tcPr>
          <w:p w14:paraId="20547C68" w14:textId="2EC9758D" w:rsidR="002F47A0" w:rsidRPr="009E686F" w:rsidRDefault="002F47A0" w:rsidP="002F47A0">
            <w:pPr>
              <w:spacing w:after="0"/>
              <w:jc w:val="both"/>
              <w:rPr>
                <w:rFonts w:ascii="Times New Roman" w:hAnsi="Times New Roman" w:cs="Times New Roman"/>
                <w:b/>
                <w:bCs/>
                <w:lang w:val="ro-RO"/>
              </w:rPr>
            </w:pPr>
            <w:r w:rsidRPr="009E686F">
              <w:rPr>
                <w:rFonts w:ascii="Times New Roman" w:hAnsi="Times New Roman" w:cs="Times New Roman"/>
                <w:b/>
                <w:bCs/>
                <w:lang w:val="ro-RO"/>
              </w:rPr>
              <w:lastRenderedPageBreak/>
              <w:t xml:space="preserve">Articolul 141 alin. (1), lit. d), f), h) </w:t>
            </w:r>
          </w:p>
          <w:p w14:paraId="0B602667" w14:textId="1B98AECC" w:rsidR="002F47A0" w:rsidRPr="009E686F" w:rsidRDefault="002F47A0" w:rsidP="002F47A0">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 xml:space="preserve">d) amendă aplicabilă persoanei juridice, de pînă la 10% din valoarea totală netă a cifrei de afaceri realizată în exerciţiul financiar precedent, care include </w:t>
            </w:r>
            <w:r w:rsidRPr="009E686F">
              <w:rPr>
                <w:rFonts w:ascii="Times New Roman" w:eastAsia="Aptos" w:hAnsi="Times New Roman" w:cs="Times New Roman"/>
                <w:i/>
                <w:iCs/>
                <w:kern w:val="2"/>
                <w:lang w:val="ro-MD"/>
              </w:rPr>
              <w:t>elementele prevăzute la alin. (2</w:t>
            </w:r>
            <w:r w:rsidRPr="009E686F">
              <w:rPr>
                <w:rFonts w:ascii="Times New Roman" w:eastAsia="Aptos" w:hAnsi="Times New Roman" w:cs="Times New Roman"/>
                <w:i/>
                <w:iCs/>
                <w:kern w:val="2"/>
                <w:vertAlign w:val="superscript"/>
                <w:lang w:val="ro-MD"/>
              </w:rPr>
              <w:t>3</w:t>
            </w:r>
            <w:r w:rsidRPr="009E686F">
              <w:rPr>
                <w:rFonts w:ascii="Times New Roman" w:eastAsia="Aptos" w:hAnsi="Times New Roman" w:cs="Times New Roman"/>
                <w:i/>
                <w:iCs/>
                <w:kern w:val="2"/>
                <w:lang w:val="ro-MD"/>
              </w:rPr>
              <w:t>)</w:t>
            </w:r>
            <w:r w:rsidRPr="009E686F">
              <w:rPr>
                <w:rFonts w:ascii="Times New Roman" w:eastAsia="Aptos" w:hAnsi="Times New Roman" w:cs="Times New Roman"/>
                <w:kern w:val="2"/>
                <w:lang w:val="ro-MD"/>
              </w:rPr>
              <w:t xml:space="preserve">; </w:t>
            </w:r>
          </w:p>
          <w:p w14:paraId="6DCF6E3D" w14:textId="7B88C5C2" w:rsidR="002F47A0" w:rsidRPr="009E686F" w:rsidRDefault="002F47A0" w:rsidP="002F47A0">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 xml:space="preserve">f) amendă aplicabilă persoanei fizice, alta decît cea menţionată la lit.e), de la 5000 de lei pînă la 100 de milioane de lei; </w:t>
            </w:r>
          </w:p>
          <w:p w14:paraId="0584A7B7" w14:textId="68ABB191" w:rsidR="002F47A0" w:rsidRPr="009E686F" w:rsidRDefault="002F47A0" w:rsidP="002F47A0">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lastRenderedPageBreak/>
              <w:t xml:space="preserve">h) amendă egală cu până la valoarea dublă a </w:t>
            </w:r>
            <w:r w:rsidRPr="009E686F">
              <w:rPr>
                <w:rFonts w:ascii="Times New Roman" w:eastAsia="Aptos" w:hAnsi="Times New Roman" w:cs="Times New Roman"/>
                <w:i/>
                <w:iCs/>
                <w:kern w:val="2"/>
                <w:lang w:val="ro-MD"/>
              </w:rPr>
              <w:t>profitului</w:t>
            </w:r>
            <w:r w:rsidRPr="009E686F">
              <w:rPr>
                <w:rFonts w:ascii="Times New Roman" w:eastAsia="Aptos" w:hAnsi="Times New Roman" w:cs="Times New Roman"/>
                <w:kern w:val="2"/>
                <w:lang w:val="ro-MD"/>
              </w:rPr>
              <w:t xml:space="preserve"> obţinut </w:t>
            </w:r>
            <w:r w:rsidRPr="009E686F">
              <w:rPr>
                <w:rFonts w:ascii="Times New Roman" w:eastAsia="Aptos" w:hAnsi="Times New Roman" w:cs="Times New Roman"/>
                <w:i/>
                <w:iCs/>
                <w:kern w:val="2"/>
                <w:lang w:val="ro-MD"/>
              </w:rPr>
              <w:t>sau a pierderilor evitate</w:t>
            </w:r>
            <w:r w:rsidRPr="009E686F">
              <w:rPr>
                <w:rFonts w:ascii="Times New Roman" w:eastAsia="Aptos" w:hAnsi="Times New Roman" w:cs="Times New Roman"/>
                <w:kern w:val="2"/>
                <w:lang w:val="ro-MD"/>
              </w:rPr>
              <w:t xml:space="preserve"> ca urmare a încălcării, dacă acestea pot fi determinate;</w:t>
            </w:r>
          </w:p>
        </w:tc>
        <w:tc>
          <w:tcPr>
            <w:tcW w:w="470" w:type="pct"/>
            <w:tcBorders>
              <w:top w:val="single" w:sz="4" w:space="0" w:color="auto"/>
              <w:left w:val="single" w:sz="4" w:space="0" w:color="auto"/>
              <w:bottom w:val="single" w:sz="4" w:space="0" w:color="auto"/>
              <w:right w:val="single" w:sz="4" w:space="0" w:color="auto"/>
            </w:tcBorders>
          </w:tcPr>
          <w:p w14:paraId="4D22CB41" w14:textId="5322FD59"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3EC84B71" w14:textId="77777777" w:rsidR="002F47A0" w:rsidRPr="009E686F" w:rsidRDefault="002F47A0" w:rsidP="002F47A0">
            <w:pPr>
              <w:jc w:val="both"/>
              <w:rPr>
                <w:rFonts w:ascii="Times New Roman" w:hAnsi="Times New Roman" w:cs="Times New Roman"/>
                <w:lang w:val="ro-RO"/>
              </w:rPr>
            </w:pPr>
          </w:p>
        </w:tc>
      </w:tr>
      <w:tr w:rsidR="002F47A0" w:rsidRPr="009E686F" w14:paraId="4E2B2232" w14:textId="6F6C75BC" w:rsidTr="00774F3E">
        <w:tc>
          <w:tcPr>
            <w:tcW w:w="1796" w:type="pct"/>
            <w:gridSpan w:val="2"/>
            <w:tcBorders>
              <w:top w:val="single" w:sz="4" w:space="0" w:color="auto"/>
              <w:left w:val="single" w:sz="4" w:space="0" w:color="auto"/>
              <w:bottom w:val="single" w:sz="4" w:space="0" w:color="auto"/>
              <w:right w:val="single" w:sz="4" w:space="0" w:color="auto"/>
            </w:tcBorders>
          </w:tcPr>
          <w:p w14:paraId="7E9EA2E8"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(b) penalități cu titlu cominatoriu:</w:t>
            </w:r>
          </w:p>
          <w:p w14:paraId="26DC8AEE"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(i) în cazul unei persoane juridice, penalități cu titlu cominatoriu de până la 5 % din valoarea netă zilnică medie a cifrei de afaceri pe care, în cazul unei încălcări continue, persoana juridică este obligată să le plătească pentru fiecare zi de încălcare până la restabilirea situației de respectare a unei obligații; penalitățile cu titlu cominatoriu pot fi impuse pe o perioadă de până la șase luni de la data prevăzută în decizia autorității competente prin care se solicită încetarea încălcării și prin care se impun penalitățile cu titlu cominatoriu;</w:t>
            </w:r>
          </w:p>
          <w:p w14:paraId="360917AD"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(ii) în cazul unei persoane fizice, penalități cu titlu cominatoriu de până la 50 000 EUR sau, în statele membre a căror monedă nu este euro, valoarea echivalentă în moneda națională la 9 iulie 2024, pe care, în cazul unei încălcări continue, persoana fizică este obligată să le plătească pentru fiecare zi de încălcare până la restabilirea situației de respectare a unei obligații; penalitățile cu titlu cominatoriu pot fi impuse pe o perioadă de până la șase luni de la data prevăzută în decizia autorității competente prin care se solicită încetarea încălcării și prin care se impun penalitățile cu titlu cominatoriu;</w:t>
            </w:r>
          </w:p>
          <w:p w14:paraId="578ADB32" w14:textId="1B612EAD" w:rsidR="002F47A0" w:rsidRPr="009E686F" w:rsidRDefault="002F47A0" w:rsidP="002F47A0">
            <w:pPr>
              <w:spacing w:after="0"/>
              <w:jc w:val="both"/>
              <w:rPr>
                <w:rFonts w:ascii="Times New Roman" w:hAnsi="Times New Roman" w:cs="Times New Roman"/>
                <w:lang w:val="ro-RO"/>
              </w:rPr>
            </w:pPr>
          </w:p>
        </w:tc>
        <w:tc>
          <w:tcPr>
            <w:tcW w:w="1928" w:type="pct"/>
            <w:gridSpan w:val="3"/>
            <w:tcBorders>
              <w:top w:val="single" w:sz="4" w:space="0" w:color="auto"/>
              <w:left w:val="single" w:sz="4" w:space="0" w:color="auto"/>
              <w:bottom w:val="single" w:sz="4" w:space="0" w:color="auto"/>
              <w:right w:val="single" w:sz="4" w:space="0" w:color="auto"/>
            </w:tcBorders>
          </w:tcPr>
          <w:p w14:paraId="7728DB24" w14:textId="18286F79" w:rsidR="002F47A0" w:rsidRPr="009E686F" w:rsidRDefault="002F47A0" w:rsidP="002F47A0">
            <w:pPr>
              <w:spacing w:after="0"/>
              <w:jc w:val="both"/>
              <w:rPr>
                <w:rFonts w:ascii="Times New Roman" w:hAnsi="Times New Roman" w:cs="Times New Roman"/>
                <w:b/>
                <w:bCs/>
                <w:lang w:val="ro-RO"/>
              </w:rPr>
            </w:pPr>
            <w:r w:rsidRPr="009E686F">
              <w:rPr>
                <w:rFonts w:ascii="Times New Roman" w:hAnsi="Times New Roman" w:cs="Times New Roman"/>
                <w:b/>
                <w:bCs/>
                <w:lang w:val="ro-RO"/>
              </w:rPr>
              <w:t>Articolul 141 alin. (2</w:t>
            </w:r>
            <w:r w:rsidRPr="009E686F">
              <w:rPr>
                <w:rFonts w:ascii="Times New Roman" w:hAnsi="Times New Roman" w:cs="Times New Roman"/>
                <w:b/>
                <w:bCs/>
                <w:vertAlign w:val="superscript"/>
                <w:lang w:val="ro-RO"/>
              </w:rPr>
              <w:t>1</w:t>
            </w:r>
            <w:r w:rsidRPr="009E686F">
              <w:rPr>
                <w:rFonts w:ascii="Times New Roman" w:hAnsi="Times New Roman" w:cs="Times New Roman"/>
                <w:b/>
                <w:bCs/>
                <w:lang w:val="ro-RO"/>
              </w:rPr>
              <w:t>)-(2</w:t>
            </w:r>
            <w:r w:rsidRPr="009E686F">
              <w:rPr>
                <w:rFonts w:ascii="Times New Roman" w:hAnsi="Times New Roman" w:cs="Times New Roman"/>
                <w:b/>
                <w:bCs/>
                <w:vertAlign w:val="superscript"/>
                <w:lang w:val="ro-RO"/>
              </w:rPr>
              <w:t>2</w:t>
            </w:r>
            <w:r w:rsidRPr="009E686F">
              <w:rPr>
                <w:rFonts w:ascii="Times New Roman" w:hAnsi="Times New Roman" w:cs="Times New Roman"/>
                <w:b/>
                <w:bCs/>
                <w:lang w:val="ro-RO"/>
              </w:rPr>
              <w:t>)</w:t>
            </w:r>
          </w:p>
          <w:p w14:paraId="26FCF466" w14:textId="69C4AC12" w:rsidR="002F47A0" w:rsidRPr="009E686F" w:rsidRDefault="002F47A0" w:rsidP="002F47A0">
            <w:pPr>
              <w:spacing w:after="0"/>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(2</w:t>
            </w:r>
            <w:r w:rsidRPr="009E686F">
              <w:rPr>
                <w:rFonts w:ascii="Times New Roman" w:eastAsia="Aptos" w:hAnsi="Times New Roman" w:cs="Times New Roman"/>
                <w:i/>
                <w:iCs/>
                <w:kern w:val="2"/>
                <w:vertAlign w:val="superscript"/>
                <w:lang w:val="ro-MD"/>
              </w:rPr>
              <w:t>1</w:t>
            </w:r>
            <w:r w:rsidRPr="009E686F">
              <w:rPr>
                <w:rFonts w:ascii="Times New Roman" w:eastAsia="Aptos" w:hAnsi="Times New Roman" w:cs="Times New Roman"/>
                <w:i/>
                <w:iCs/>
                <w:kern w:val="2"/>
                <w:lang w:val="ro-MD"/>
              </w:rPr>
              <w:t>) Penalitățile cu titlu cominatoriu potrivit prezentei legi sunt:</w:t>
            </w:r>
          </w:p>
          <w:p w14:paraId="7447880E" w14:textId="1F9E09BF" w:rsidR="002F47A0" w:rsidRPr="009E686F" w:rsidRDefault="002F47A0" w:rsidP="002F47A0">
            <w:pPr>
              <w:spacing w:after="0"/>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 xml:space="preserve">a) penalități cu titlu cominatoriu aplicabile unei persoane juridice, de până la 5% din valoarea netă zilnică medie a cifrei de afaceri pe care, în cazul unei încălcări continue, persoana juridică este obligată să le plătească pentru fiecare zi de încălcare până la restabilirea situației de respectare a unei obligații; </w:t>
            </w:r>
          </w:p>
          <w:p w14:paraId="05258B10" w14:textId="7D18C978" w:rsidR="002F47A0" w:rsidRPr="009E686F" w:rsidRDefault="002F47A0" w:rsidP="002F47A0">
            <w:pPr>
              <w:spacing w:after="0" w:line="278" w:lineRule="auto"/>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 xml:space="preserve">b) penalități cu titlu cominatoriu aplicabile unei persoane fizice, </w:t>
            </w:r>
            <w:r w:rsidR="00255D49" w:rsidRPr="009E686F">
              <w:rPr>
                <w:rFonts w:ascii="Times New Roman" w:eastAsia="Aptos" w:hAnsi="Times New Roman" w:cs="Times New Roman"/>
                <w:i/>
                <w:iCs/>
                <w:kern w:val="2"/>
                <w:lang w:val="ro-MD"/>
              </w:rPr>
              <w:t>ce nu depășesc echivalentul în lei moldovenești a 50 000 euro1</w:t>
            </w:r>
            <w:r w:rsidRPr="009E686F">
              <w:rPr>
                <w:rFonts w:ascii="Times New Roman" w:eastAsia="Aptos" w:hAnsi="Times New Roman" w:cs="Times New Roman"/>
                <w:i/>
                <w:iCs/>
                <w:kern w:val="2"/>
                <w:lang w:val="ro-MD"/>
              </w:rPr>
              <w:t>, pe care, în cazul unei încălcări continue, persoana fizică este obligată să le plătească pentru fiecare zi de încălcare până la restabilirea situației de respectare a unei obligații.</w:t>
            </w:r>
          </w:p>
          <w:p w14:paraId="1CBCD173" w14:textId="102BCDFB" w:rsidR="002F47A0" w:rsidRPr="009E686F" w:rsidRDefault="002F47A0" w:rsidP="002F47A0">
            <w:pPr>
              <w:spacing w:after="0"/>
              <w:jc w:val="both"/>
              <w:rPr>
                <w:rFonts w:ascii="Times New Roman" w:hAnsi="Times New Roman" w:cs="Times New Roman"/>
                <w:i/>
                <w:iCs/>
                <w:lang w:val="ro-RO"/>
              </w:rPr>
            </w:pPr>
            <w:r w:rsidRPr="009E686F">
              <w:rPr>
                <w:rFonts w:ascii="Times New Roman" w:hAnsi="Times New Roman" w:cs="Times New Roman"/>
                <w:i/>
                <w:iCs/>
                <w:lang w:val="it-CH"/>
              </w:rPr>
              <w:t>(2</w:t>
            </w:r>
            <w:r w:rsidRPr="009E686F">
              <w:rPr>
                <w:rFonts w:ascii="Times New Roman" w:hAnsi="Times New Roman" w:cs="Times New Roman"/>
                <w:i/>
                <w:iCs/>
                <w:vertAlign w:val="superscript"/>
                <w:lang w:val="it-CH"/>
              </w:rPr>
              <w:t>2</w:t>
            </w:r>
            <w:r w:rsidRPr="009E686F">
              <w:rPr>
                <w:rFonts w:ascii="Times New Roman" w:hAnsi="Times New Roman" w:cs="Times New Roman"/>
                <w:i/>
                <w:iCs/>
                <w:lang w:val="it-CH"/>
              </w:rPr>
              <w:t>) Penalitățile cu titlu cominatoriu prevăzute la alin. (2</w:t>
            </w:r>
            <w:r w:rsidRPr="009E686F">
              <w:rPr>
                <w:rFonts w:ascii="Times New Roman" w:hAnsi="Times New Roman" w:cs="Times New Roman"/>
                <w:i/>
                <w:iCs/>
                <w:vertAlign w:val="superscript"/>
                <w:lang w:val="it-CH"/>
              </w:rPr>
              <w:t>1</w:t>
            </w:r>
            <w:r w:rsidRPr="009E686F">
              <w:rPr>
                <w:rFonts w:ascii="Times New Roman" w:hAnsi="Times New Roman" w:cs="Times New Roman"/>
                <w:i/>
                <w:iCs/>
                <w:lang w:val="it-CH"/>
              </w:rPr>
              <w:t xml:space="preserve">) pot fi impuse pe o perioadă de până la 6 luni de la data prevăzută în decizia Băncii Naționale a Moldovei prin care se solicită încetarea încălcării și prin care se impun penalitățile cu titlu cominatoriu. </w:t>
            </w:r>
          </w:p>
        </w:tc>
        <w:tc>
          <w:tcPr>
            <w:tcW w:w="470" w:type="pct"/>
            <w:tcBorders>
              <w:top w:val="single" w:sz="4" w:space="0" w:color="auto"/>
              <w:left w:val="single" w:sz="4" w:space="0" w:color="auto"/>
              <w:bottom w:val="single" w:sz="4" w:space="0" w:color="auto"/>
              <w:right w:val="single" w:sz="4" w:space="0" w:color="auto"/>
            </w:tcBorders>
          </w:tcPr>
          <w:p w14:paraId="12BBEACB" w14:textId="005E1D25"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7D056D85" w14:textId="77777777" w:rsidR="002F47A0" w:rsidRPr="009E686F" w:rsidRDefault="002F47A0" w:rsidP="002F47A0">
            <w:pPr>
              <w:jc w:val="both"/>
              <w:rPr>
                <w:rFonts w:ascii="Times New Roman" w:hAnsi="Times New Roman" w:cs="Times New Roman"/>
                <w:lang w:val="ro-RO"/>
              </w:rPr>
            </w:pPr>
          </w:p>
        </w:tc>
      </w:tr>
      <w:tr w:rsidR="002F47A0" w:rsidRPr="009E686F" w14:paraId="47B258D2" w14:textId="6DD58873" w:rsidTr="00774F3E">
        <w:tc>
          <w:tcPr>
            <w:tcW w:w="1796" w:type="pct"/>
            <w:gridSpan w:val="2"/>
            <w:tcBorders>
              <w:top w:val="single" w:sz="4" w:space="0" w:color="auto"/>
              <w:left w:val="single" w:sz="4" w:space="0" w:color="auto"/>
              <w:bottom w:val="single" w:sz="4" w:space="0" w:color="auto"/>
              <w:right w:val="single" w:sz="4" w:space="0" w:color="auto"/>
            </w:tcBorders>
          </w:tcPr>
          <w:p w14:paraId="627FF396"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(c) alte măsuri administrative:</w:t>
            </w:r>
          </w:p>
          <w:p w14:paraId="61B0A332"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(i) o declarație publică în care se indică persoana fizică, instituția, societatea financiară holding, societatea financiară holding mixtă sau întreprinderea-mamă din UE intermediară responsabilă și natura încălcării;</w:t>
            </w:r>
          </w:p>
          <w:p w14:paraId="5071AFF9"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lastRenderedPageBreak/>
              <w:t>(ii) un ordin prin care i se cere persoanei fizice sau juridice responsabile să înceteze comportamentul respectiv și să se abțină de la repetarea comportamentului respectiv;</w:t>
            </w:r>
          </w:p>
          <w:p w14:paraId="3478B222"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(iii) în cazul unei instituții, retragerea autorizației instituției în conformitate cu articolul 18;</w:t>
            </w:r>
          </w:p>
          <w:p w14:paraId="505413A6"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(iv) sub rezerva articolului 65 alineatul (2), sancționarea unui membru al organului de conducere sau a oricărei alte persoane fizice considerate responsabile de încălcare prin interzicerea temporară a exercitării de funcții în cadrul instituțiilor.</w:t>
            </w:r>
          </w:p>
          <w:p w14:paraId="0D531836" w14:textId="3F117954" w:rsidR="002F47A0" w:rsidRPr="009E686F" w:rsidRDefault="002F47A0" w:rsidP="002F47A0">
            <w:pPr>
              <w:spacing w:after="0"/>
              <w:jc w:val="both"/>
              <w:rPr>
                <w:rFonts w:ascii="Times New Roman" w:hAnsi="Times New Roman" w:cs="Times New Roman"/>
                <w:lang w:val="ro-RO"/>
              </w:rPr>
            </w:pPr>
          </w:p>
        </w:tc>
        <w:tc>
          <w:tcPr>
            <w:tcW w:w="1928" w:type="pct"/>
            <w:gridSpan w:val="3"/>
            <w:tcBorders>
              <w:top w:val="single" w:sz="4" w:space="0" w:color="auto"/>
              <w:left w:val="single" w:sz="4" w:space="0" w:color="auto"/>
              <w:bottom w:val="single" w:sz="4" w:space="0" w:color="auto"/>
              <w:right w:val="single" w:sz="4" w:space="0" w:color="auto"/>
            </w:tcBorders>
          </w:tcPr>
          <w:p w14:paraId="6F1C246A" w14:textId="05597197" w:rsidR="002F47A0" w:rsidRPr="009E686F" w:rsidRDefault="002F47A0" w:rsidP="002F47A0">
            <w:pPr>
              <w:spacing w:after="0"/>
              <w:jc w:val="both"/>
              <w:rPr>
                <w:rFonts w:ascii="Times New Roman" w:hAnsi="Times New Roman" w:cs="Times New Roman"/>
                <w:b/>
                <w:bCs/>
                <w:lang w:val="ro-RO"/>
              </w:rPr>
            </w:pPr>
            <w:r w:rsidRPr="009E686F">
              <w:rPr>
                <w:rFonts w:ascii="Times New Roman" w:hAnsi="Times New Roman" w:cs="Times New Roman"/>
                <w:b/>
                <w:bCs/>
                <w:lang w:val="ro-RO"/>
              </w:rPr>
              <w:lastRenderedPageBreak/>
              <w:t>Articolul 141 alin. (1), lit. b), i)</w:t>
            </w:r>
          </w:p>
          <w:p w14:paraId="1CF0641D" w14:textId="6E91DD0C" w:rsidR="002F47A0" w:rsidRPr="009E686F" w:rsidRDefault="002F47A0" w:rsidP="002F47A0">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 xml:space="preserve">b) avertisment public   prin care se indică persoana fizică, persoana juridică, inclusiv </w:t>
            </w:r>
            <w:r w:rsidRPr="009E686F">
              <w:rPr>
                <w:rFonts w:ascii="Times New Roman" w:eastAsia="Aptos" w:hAnsi="Times New Roman" w:cs="Times New Roman"/>
                <w:i/>
                <w:iCs/>
                <w:kern w:val="2"/>
                <w:lang w:val="ro-MD"/>
              </w:rPr>
              <w:t xml:space="preserve">instituția de credit, societatea financiară holding, societatea financiară holding mixtă sau </w:t>
            </w:r>
            <w:r w:rsidRPr="009E686F">
              <w:rPr>
                <w:rFonts w:ascii="Times New Roman" w:eastAsia="Aptos" w:hAnsi="Times New Roman" w:cs="Times New Roman"/>
                <w:i/>
                <w:iCs/>
                <w:kern w:val="2"/>
                <w:lang w:val="ro-MD"/>
              </w:rPr>
              <w:lastRenderedPageBreak/>
              <w:t>întreprinderea-mamă din UE intermediară responsabilă</w:t>
            </w:r>
            <w:r w:rsidRPr="009E686F">
              <w:rPr>
                <w:rFonts w:ascii="Times New Roman" w:eastAsia="Aptos" w:hAnsi="Times New Roman" w:cs="Times New Roman"/>
                <w:kern w:val="2"/>
                <w:lang w:val="ro-MD"/>
              </w:rPr>
              <w:t xml:space="preserve"> şi natura încălcării;</w:t>
            </w:r>
          </w:p>
          <w:p w14:paraId="3C9272D5" w14:textId="38665623" w:rsidR="002F47A0" w:rsidRPr="009E686F" w:rsidRDefault="002F47A0" w:rsidP="002F47A0">
            <w:pPr>
              <w:spacing w:after="0"/>
              <w:jc w:val="both"/>
              <w:rPr>
                <w:rFonts w:ascii="Times New Roman" w:hAnsi="Times New Roman" w:cs="Times New Roman"/>
                <w:b/>
                <w:bCs/>
                <w:lang w:val="ro-RO"/>
              </w:rPr>
            </w:pPr>
            <w:r w:rsidRPr="009E686F">
              <w:rPr>
                <w:rFonts w:ascii="Times New Roman" w:hAnsi="Times New Roman" w:cs="Times New Roman"/>
                <w:b/>
                <w:bCs/>
                <w:lang w:val="ro-RO"/>
              </w:rPr>
              <w:t>Articolul 141 alin. (2), lit. a), i)</w:t>
            </w:r>
          </w:p>
          <w:p w14:paraId="0BE4345E" w14:textId="390A181D" w:rsidR="002F47A0" w:rsidRPr="009E686F" w:rsidRDefault="002F47A0" w:rsidP="002F47A0">
            <w:pPr>
              <w:spacing w:after="0"/>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(2) Măsurile sancţionatoare potrivit prezentei legi sînt:</w:t>
            </w:r>
          </w:p>
          <w:p w14:paraId="397AA6A1" w14:textId="47827A24" w:rsidR="002F47A0" w:rsidRPr="009E686F" w:rsidRDefault="002F47A0" w:rsidP="002F47A0">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w:t>
            </w:r>
          </w:p>
          <w:p w14:paraId="7B2E146A" w14:textId="5F0BDEDF" w:rsidR="002F47A0" w:rsidRPr="009E686F" w:rsidRDefault="002F47A0" w:rsidP="002F47A0">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 xml:space="preserve">a) ordin de încetare a conduitei ilicite a persoanei şi de abţinere de la repetarea acesteia; </w:t>
            </w:r>
          </w:p>
          <w:p w14:paraId="669F4123" w14:textId="22A50910" w:rsidR="00163198" w:rsidRPr="009E686F" w:rsidRDefault="00163198" w:rsidP="00163198">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 xml:space="preserve"> [...]</w:t>
            </w:r>
          </w:p>
          <w:p w14:paraId="46D0B1E6" w14:textId="706EC3F3" w:rsidR="002F47A0" w:rsidRPr="009E686F" w:rsidRDefault="00163198" w:rsidP="002F47A0">
            <w:pPr>
              <w:spacing w:after="0"/>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b</w:t>
            </w:r>
            <w:r w:rsidR="002F47A0" w:rsidRPr="009E686F">
              <w:rPr>
                <w:rFonts w:ascii="Times New Roman" w:eastAsia="Aptos" w:hAnsi="Times New Roman" w:cs="Times New Roman"/>
                <w:i/>
                <w:iCs/>
                <w:kern w:val="2"/>
                <w:lang w:val="ro-MD"/>
              </w:rPr>
              <w:t>) sub rezerva art. 138 alin. (1), sancționarea unui membru al organului de conducere sau a oricărei alte persoane fizice considerate responsabile de încălcare prin interzicerea temporară a exercitării de funcții în cadrul instituțiilor de credit</w:t>
            </w:r>
            <w:r w:rsidRPr="009E686F">
              <w:rPr>
                <w:rFonts w:ascii="Times New Roman" w:eastAsia="Aptos" w:hAnsi="Times New Roman" w:cs="Times New Roman"/>
                <w:i/>
                <w:iCs/>
                <w:kern w:val="2"/>
                <w:lang w:val="ro-MD"/>
              </w:rPr>
              <w:t>;</w:t>
            </w:r>
          </w:p>
          <w:p w14:paraId="0F854F42" w14:textId="6E7327B9" w:rsidR="00163198" w:rsidRPr="009E686F" w:rsidRDefault="00163198" w:rsidP="00D447E5">
            <w:pPr>
              <w:pStyle w:val="af4"/>
              <w:numPr>
                <w:ilvl w:val="0"/>
                <w:numId w:val="25"/>
              </w:numPr>
              <w:spacing w:after="0" w:line="278" w:lineRule="auto"/>
              <w:ind w:left="319" w:hanging="284"/>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 xml:space="preserve">retragerea autorizației, în cazul unei </w:t>
            </w:r>
            <w:r w:rsidRPr="009E686F">
              <w:rPr>
                <w:rFonts w:ascii="Times New Roman" w:eastAsia="Aptos" w:hAnsi="Times New Roman" w:cs="Times New Roman"/>
                <w:i/>
                <w:iCs/>
                <w:kern w:val="2"/>
                <w:lang w:val="ro-MD"/>
              </w:rPr>
              <w:t>instituții de credit</w:t>
            </w:r>
            <w:r w:rsidRPr="009E686F">
              <w:rPr>
                <w:rFonts w:ascii="Times New Roman" w:eastAsia="Aptos" w:hAnsi="Times New Roman" w:cs="Times New Roman"/>
                <w:kern w:val="2"/>
                <w:lang w:val="ro-MD"/>
              </w:rPr>
              <w:t xml:space="preserve"> astfel cum prevede art. 22;</w:t>
            </w:r>
          </w:p>
          <w:p w14:paraId="5D9011FE" w14:textId="77777777" w:rsidR="00E97A6C" w:rsidRPr="009E686F" w:rsidRDefault="00E97A6C" w:rsidP="00E97A6C">
            <w:pPr>
              <w:spacing w:after="0"/>
              <w:jc w:val="both"/>
              <w:rPr>
                <w:rFonts w:ascii="Times New Roman" w:hAnsi="Times New Roman" w:cs="Times New Roman"/>
                <w:b/>
                <w:bCs/>
                <w:lang w:val="ro-RO"/>
              </w:rPr>
            </w:pPr>
            <w:r w:rsidRPr="009E686F">
              <w:rPr>
                <w:rFonts w:ascii="Times New Roman" w:hAnsi="Times New Roman" w:cs="Times New Roman"/>
                <w:b/>
                <w:bCs/>
                <w:lang w:val="ro-RO"/>
              </w:rPr>
              <w:t>Articolul 141 alin. (4)</w:t>
            </w:r>
          </w:p>
          <w:p w14:paraId="16419EBB" w14:textId="581B1A7E" w:rsidR="00E97A6C" w:rsidRPr="009E686F" w:rsidRDefault="00E97A6C" w:rsidP="00D447E5">
            <w:pPr>
              <w:spacing w:after="0"/>
              <w:jc w:val="both"/>
              <w:rPr>
                <w:rFonts w:ascii="Times New Roman" w:hAnsi="Times New Roman" w:cs="Times New Roman"/>
                <w:lang w:val="ro-MD"/>
              </w:rPr>
            </w:pPr>
            <w:r w:rsidRPr="009E686F">
              <w:rPr>
                <w:rFonts w:ascii="Times New Roman" w:hAnsi="Times New Roman" w:cs="Times New Roman"/>
                <w:lang w:val="ro-MD"/>
              </w:rPr>
              <w:t>(4) Persoanele prevăzute la art.43 și art. 44</w:t>
            </w:r>
            <w:r w:rsidRPr="009E686F">
              <w:rPr>
                <w:rFonts w:ascii="Times New Roman" w:hAnsi="Times New Roman" w:cs="Times New Roman"/>
                <w:vertAlign w:val="superscript"/>
                <w:lang w:val="ro-MD"/>
              </w:rPr>
              <w:t>1</w:t>
            </w:r>
            <w:r w:rsidRPr="009E686F">
              <w:rPr>
                <w:rFonts w:ascii="Times New Roman" w:hAnsi="Times New Roman" w:cs="Times New Roman"/>
                <w:lang w:val="ro-MD"/>
              </w:rPr>
              <w:t xml:space="preserve"> cărora le-a fost retrasă aprobarea Băncii Naţionale a Moldovei sau a unei alte autorităţi competente nu sînt în drept să exercite orice funcţii în cadrul sectorului financiar bancar şi nebancar din Republica Moldova în decurs de 10 ani din data retragerii aprobării.</w:t>
            </w:r>
          </w:p>
          <w:p w14:paraId="3DB34D08" w14:textId="3EEDC63B" w:rsidR="00163198" w:rsidRPr="009E686F" w:rsidRDefault="00163198" w:rsidP="002F47A0">
            <w:pPr>
              <w:spacing w:after="0"/>
              <w:jc w:val="both"/>
              <w:rPr>
                <w:rFonts w:ascii="Times New Roman" w:eastAsia="Aptos" w:hAnsi="Times New Roman" w:cs="Times New Roman"/>
                <w:i/>
                <w:iCs/>
                <w:kern w:val="2"/>
                <w:lang w:val="ro-MD"/>
              </w:rPr>
            </w:pPr>
          </w:p>
        </w:tc>
        <w:tc>
          <w:tcPr>
            <w:tcW w:w="470" w:type="pct"/>
            <w:tcBorders>
              <w:top w:val="single" w:sz="4" w:space="0" w:color="auto"/>
              <w:left w:val="single" w:sz="4" w:space="0" w:color="auto"/>
              <w:bottom w:val="single" w:sz="4" w:space="0" w:color="auto"/>
              <w:right w:val="single" w:sz="4" w:space="0" w:color="auto"/>
            </w:tcBorders>
          </w:tcPr>
          <w:p w14:paraId="229EF88F" w14:textId="3590D7CE"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54AE6784" w14:textId="77777777" w:rsidR="002F47A0" w:rsidRPr="009E686F" w:rsidRDefault="002F47A0" w:rsidP="002F47A0">
            <w:pPr>
              <w:jc w:val="both"/>
              <w:rPr>
                <w:rFonts w:ascii="Times New Roman" w:hAnsi="Times New Roman" w:cs="Times New Roman"/>
                <w:lang w:val="ro-RO"/>
              </w:rPr>
            </w:pPr>
          </w:p>
        </w:tc>
      </w:tr>
      <w:tr w:rsidR="002F47A0" w:rsidRPr="009E686F" w14:paraId="62EEC5B3" w14:textId="77777777" w:rsidTr="00C27E3B">
        <w:trPr>
          <w:trHeight w:val="4170"/>
        </w:trPr>
        <w:tc>
          <w:tcPr>
            <w:tcW w:w="1796" w:type="pct"/>
            <w:gridSpan w:val="2"/>
            <w:tcBorders>
              <w:top w:val="single" w:sz="4" w:space="0" w:color="auto"/>
              <w:left w:val="single" w:sz="4" w:space="0" w:color="auto"/>
              <w:right w:val="single" w:sz="4" w:space="0" w:color="auto"/>
            </w:tcBorders>
          </w:tcPr>
          <w:p w14:paraId="071CE77C"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lastRenderedPageBreak/>
              <w:t>În sensul literei (b) de la primul paragraf, statele membre pot stabili un cuantum maxim mai mare pentru penalitățile cu titlu cominatoriu care trebuie aplicate pentru fiecare zi de încălcare.</w:t>
            </w:r>
          </w:p>
          <w:p w14:paraId="5A71EC87" w14:textId="7AE9304C"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Prin derogare de la litera (b) a primului paragraf, statele membre pot aplica penalități cu titlu cominatoriu pe bază săptămânală sau lunară. În acest caz, cuantumul maxim al penalităților cu titlu cominatoriu care trebuie aplicat pentru perioada săptămânală sau lunară relevantă în care are loc o încălcare nu depășește cuantumul maxim al penalităților cu titlu cominatoriu care s-ar aplica zilnic în conformitate cu litera respectivă pentru perioada relevantă.</w:t>
            </w:r>
          </w:p>
        </w:tc>
        <w:tc>
          <w:tcPr>
            <w:tcW w:w="1928" w:type="pct"/>
            <w:gridSpan w:val="3"/>
            <w:tcBorders>
              <w:top w:val="single" w:sz="4" w:space="0" w:color="auto"/>
              <w:left w:val="single" w:sz="4" w:space="0" w:color="auto"/>
              <w:right w:val="single" w:sz="4" w:space="0" w:color="auto"/>
            </w:tcBorders>
          </w:tcPr>
          <w:p w14:paraId="13436F7B" w14:textId="219DD9D1" w:rsidR="002F47A0" w:rsidRPr="009E686F" w:rsidRDefault="002F47A0" w:rsidP="002F47A0">
            <w:pPr>
              <w:spacing w:after="0"/>
              <w:jc w:val="both"/>
              <w:rPr>
                <w:rFonts w:ascii="Times New Roman" w:hAnsi="Times New Roman" w:cs="Times New Roman"/>
                <w:lang w:val="ro-RO"/>
              </w:rPr>
            </w:pPr>
          </w:p>
        </w:tc>
        <w:tc>
          <w:tcPr>
            <w:tcW w:w="470" w:type="pct"/>
            <w:tcBorders>
              <w:top w:val="single" w:sz="4" w:space="0" w:color="auto"/>
              <w:left w:val="single" w:sz="4" w:space="0" w:color="auto"/>
              <w:right w:val="single" w:sz="4" w:space="0" w:color="auto"/>
            </w:tcBorders>
          </w:tcPr>
          <w:p w14:paraId="1D18868C" w14:textId="1E9AC4E0"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Norme UE netranspuse</w:t>
            </w:r>
          </w:p>
        </w:tc>
        <w:tc>
          <w:tcPr>
            <w:tcW w:w="806" w:type="pct"/>
            <w:tcBorders>
              <w:top w:val="single" w:sz="4" w:space="0" w:color="auto"/>
              <w:left w:val="single" w:sz="4" w:space="0" w:color="auto"/>
              <w:right w:val="single" w:sz="4" w:space="0" w:color="auto"/>
            </w:tcBorders>
          </w:tcPr>
          <w:p w14:paraId="50EE5990" w14:textId="254DE3D1"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Opțiunea neexercitată</w:t>
            </w:r>
          </w:p>
        </w:tc>
      </w:tr>
      <w:tr w:rsidR="002F47A0" w:rsidRPr="009E686F" w14:paraId="03C7FFF7"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36EB090B" w14:textId="3F6550CA"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Penalitățile cu titlu cominatoriu pot fi impuse la o anumită dată și pot începe să se aplice la o dată ulterioară.</w:t>
            </w:r>
          </w:p>
        </w:tc>
        <w:tc>
          <w:tcPr>
            <w:tcW w:w="1928" w:type="pct"/>
            <w:gridSpan w:val="3"/>
            <w:tcBorders>
              <w:top w:val="single" w:sz="4" w:space="0" w:color="auto"/>
              <w:left w:val="single" w:sz="4" w:space="0" w:color="auto"/>
              <w:bottom w:val="single" w:sz="4" w:space="0" w:color="auto"/>
              <w:right w:val="single" w:sz="4" w:space="0" w:color="auto"/>
            </w:tcBorders>
          </w:tcPr>
          <w:p w14:paraId="4F9CF2E1" w14:textId="77777777" w:rsidR="002F47A0" w:rsidRPr="009E686F" w:rsidRDefault="002F47A0" w:rsidP="002F47A0">
            <w:pPr>
              <w:spacing w:after="0"/>
              <w:jc w:val="both"/>
              <w:rPr>
                <w:rFonts w:ascii="Times New Roman" w:hAnsi="Times New Roman" w:cs="Times New Roman"/>
                <w:b/>
                <w:bCs/>
                <w:lang w:val="ro-RO"/>
              </w:rPr>
            </w:pPr>
            <w:r w:rsidRPr="009E686F">
              <w:rPr>
                <w:rFonts w:ascii="Times New Roman" w:hAnsi="Times New Roman" w:cs="Times New Roman"/>
                <w:b/>
                <w:bCs/>
                <w:lang w:val="ro-RO"/>
              </w:rPr>
              <w:t>Articolul 141 alin. (2</w:t>
            </w:r>
            <w:r w:rsidRPr="009E686F">
              <w:rPr>
                <w:rFonts w:ascii="Times New Roman" w:hAnsi="Times New Roman" w:cs="Times New Roman"/>
                <w:b/>
                <w:bCs/>
                <w:vertAlign w:val="superscript"/>
                <w:lang w:val="ro-RO"/>
              </w:rPr>
              <w:t>2</w:t>
            </w:r>
            <w:r w:rsidRPr="009E686F">
              <w:rPr>
                <w:rFonts w:ascii="Times New Roman" w:hAnsi="Times New Roman" w:cs="Times New Roman"/>
                <w:b/>
                <w:bCs/>
                <w:lang w:val="ro-RO"/>
              </w:rPr>
              <w:t>)</w:t>
            </w:r>
          </w:p>
          <w:p w14:paraId="7290EADE" w14:textId="531E8E75"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i/>
                <w:iCs/>
                <w:lang w:val="it-CH"/>
              </w:rPr>
              <w:t>(2</w:t>
            </w:r>
            <w:r w:rsidRPr="009E686F">
              <w:rPr>
                <w:rFonts w:ascii="Times New Roman" w:hAnsi="Times New Roman" w:cs="Times New Roman"/>
                <w:i/>
                <w:iCs/>
                <w:vertAlign w:val="superscript"/>
                <w:lang w:val="it-CH"/>
              </w:rPr>
              <w:t>2</w:t>
            </w:r>
            <w:r w:rsidRPr="009E686F">
              <w:rPr>
                <w:rFonts w:ascii="Times New Roman" w:hAnsi="Times New Roman" w:cs="Times New Roman"/>
                <w:i/>
                <w:iCs/>
                <w:lang w:val="it-CH"/>
              </w:rPr>
              <w:t>) [...] Penalitățile cu titlu cominatoriu pot fi impuse la o anumită dată și pot începe să se aplice la o dată ulterioară.</w:t>
            </w:r>
          </w:p>
        </w:tc>
        <w:tc>
          <w:tcPr>
            <w:tcW w:w="470" w:type="pct"/>
            <w:tcBorders>
              <w:top w:val="single" w:sz="4" w:space="0" w:color="auto"/>
              <w:left w:val="single" w:sz="4" w:space="0" w:color="auto"/>
              <w:bottom w:val="single" w:sz="4" w:space="0" w:color="auto"/>
              <w:right w:val="single" w:sz="4" w:space="0" w:color="auto"/>
            </w:tcBorders>
          </w:tcPr>
          <w:p w14:paraId="3C8F365E" w14:textId="78919EDB"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5D258764" w14:textId="77777777" w:rsidR="002F47A0" w:rsidRPr="009E686F" w:rsidRDefault="002F47A0" w:rsidP="002F47A0">
            <w:pPr>
              <w:jc w:val="both"/>
              <w:rPr>
                <w:rFonts w:ascii="Times New Roman" w:hAnsi="Times New Roman" w:cs="Times New Roman"/>
                <w:lang w:val="ro-RO"/>
              </w:rPr>
            </w:pPr>
          </w:p>
        </w:tc>
      </w:tr>
      <w:tr w:rsidR="002F47A0" w:rsidRPr="009E686F" w14:paraId="53EB2BC2"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69EC80AB"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(3) Valoarea totală anuală netă a cifrei de afaceri menționată la alineatul (2) litera (a) punctul (i) de la prezentul articol este suma următoarelor elemente, determinate în conformitate cu anexele III și IV la Regulamentul de punere în aplicare (UE) 2021/451:</w:t>
            </w:r>
          </w:p>
          <w:p w14:paraId="311121C0"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(a) venituri din dobânzi;</w:t>
            </w:r>
          </w:p>
          <w:p w14:paraId="79487F5D"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(b) cheltuieli cu dobânzile;</w:t>
            </w:r>
          </w:p>
          <w:p w14:paraId="6D4B10F6"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(c) cheltuieli cu capitalul social rambursabil la cerere;</w:t>
            </w:r>
          </w:p>
          <w:p w14:paraId="73D6A912"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(d) venituri din dividende;</w:t>
            </w:r>
          </w:p>
          <w:p w14:paraId="0D21138C"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(e) venituri din onorarii și comisioane;</w:t>
            </w:r>
          </w:p>
          <w:p w14:paraId="48F7AD03"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(f) cheltuieli cu onorarii și comisioane;</w:t>
            </w:r>
          </w:p>
          <w:p w14:paraId="60B52D0C"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(g) câștiguri sau pierderi aferente activelor și datoriilor financiare deținute în vederea tranzacționării – net;</w:t>
            </w:r>
          </w:p>
          <w:p w14:paraId="218E00D9"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lastRenderedPageBreak/>
              <w:t>(h) câștiguri sau pierderi aferente activelor și datoriilor financiare desemnate la valoarea justă prin profit sau pierdere – net;</w:t>
            </w:r>
          </w:p>
          <w:p w14:paraId="5FC3565A"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(i) câștiguri sau pierderi din contabilitatea de acoperire împotriva riscurilor – net;</w:t>
            </w:r>
          </w:p>
          <w:p w14:paraId="63D4AC82"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(j) diferențe de curs de schimb (câștig sau pierdere) – net;</w:t>
            </w:r>
          </w:p>
          <w:p w14:paraId="70EAF40E"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(k) alte venituri din exploatare;</w:t>
            </w:r>
          </w:p>
          <w:p w14:paraId="60187D1E" w14:textId="00A1AE75" w:rsidR="002F47A0" w:rsidRPr="009E686F" w:rsidDel="004E677E"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(l) alte cheltuieli de exploatare.</w:t>
            </w:r>
          </w:p>
        </w:tc>
        <w:tc>
          <w:tcPr>
            <w:tcW w:w="1928" w:type="pct"/>
            <w:gridSpan w:val="3"/>
            <w:tcBorders>
              <w:top w:val="single" w:sz="4" w:space="0" w:color="auto"/>
              <w:left w:val="single" w:sz="4" w:space="0" w:color="auto"/>
              <w:bottom w:val="single" w:sz="4" w:space="0" w:color="auto"/>
              <w:right w:val="single" w:sz="4" w:space="0" w:color="auto"/>
            </w:tcBorders>
          </w:tcPr>
          <w:p w14:paraId="265042A3" w14:textId="7995E441" w:rsidR="002F47A0" w:rsidRPr="009E686F" w:rsidRDefault="002F47A0" w:rsidP="002F47A0">
            <w:pPr>
              <w:spacing w:after="0"/>
              <w:jc w:val="both"/>
              <w:rPr>
                <w:rFonts w:ascii="Times New Roman" w:hAnsi="Times New Roman" w:cs="Times New Roman"/>
                <w:b/>
                <w:bCs/>
                <w:lang w:val="ro-RO"/>
              </w:rPr>
            </w:pPr>
            <w:r w:rsidRPr="009E686F">
              <w:rPr>
                <w:rFonts w:ascii="Times New Roman" w:hAnsi="Times New Roman" w:cs="Times New Roman"/>
                <w:b/>
                <w:bCs/>
                <w:lang w:val="ro-RO"/>
              </w:rPr>
              <w:lastRenderedPageBreak/>
              <w:t>Articolul 141 alin. (2</w:t>
            </w:r>
            <w:r w:rsidRPr="009E686F">
              <w:rPr>
                <w:rFonts w:ascii="Times New Roman" w:hAnsi="Times New Roman" w:cs="Times New Roman"/>
                <w:b/>
                <w:bCs/>
                <w:vertAlign w:val="superscript"/>
                <w:lang w:val="ro-RO"/>
              </w:rPr>
              <w:t>3</w:t>
            </w:r>
            <w:r w:rsidRPr="009E686F">
              <w:rPr>
                <w:rFonts w:ascii="Times New Roman" w:hAnsi="Times New Roman" w:cs="Times New Roman"/>
                <w:b/>
                <w:bCs/>
                <w:lang w:val="ro-RO"/>
              </w:rPr>
              <w:t>)</w:t>
            </w:r>
          </w:p>
          <w:p w14:paraId="701921CE" w14:textId="64602202" w:rsidR="002F47A0" w:rsidRPr="009E686F" w:rsidRDefault="002F47A0" w:rsidP="002F47A0">
            <w:pPr>
              <w:spacing w:after="0" w:line="278" w:lineRule="auto"/>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(2</w:t>
            </w:r>
            <w:r w:rsidRPr="009E686F">
              <w:rPr>
                <w:rFonts w:ascii="Times New Roman" w:eastAsia="Aptos" w:hAnsi="Times New Roman" w:cs="Times New Roman"/>
                <w:i/>
                <w:iCs/>
                <w:kern w:val="2"/>
                <w:vertAlign w:val="superscript"/>
                <w:lang w:val="ro-MD"/>
              </w:rPr>
              <w:t>3</w:t>
            </w:r>
            <w:r w:rsidRPr="009E686F">
              <w:rPr>
                <w:rFonts w:ascii="Times New Roman" w:eastAsia="Aptos" w:hAnsi="Times New Roman" w:cs="Times New Roman"/>
                <w:i/>
                <w:iCs/>
                <w:kern w:val="2"/>
                <w:lang w:val="ro-MD"/>
              </w:rPr>
              <w:t>) În sensul alin. (1) lit. d), valoarea totală netă a cifrei de afaceri este suma următoarelor elemente;</w:t>
            </w:r>
          </w:p>
          <w:p w14:paraId="0F32DDB1" w14:textId="77777777" w:rsidR="002F47A0" w:rsidRPr="009E686F" w:rsidRDefault="002F47A0" w:rsidP="002F47A0">
            <w:pPr>
              <w:spacing w:after="0" w:line="278" w:lineRule="auto"/>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a) venituri din dobânzi;</w:t>
            </w:r>
          </w:p>
          <w:p w14:paraId="2D6F7A89" w14:textId="77777777" w:rsidR="002F47A0" w:rsidRPr="009E686F" w:rsidRDefault="002F47A0" w:rsidP="002F47A0">
            <w:pPr>
              <w:spacing w:after="0" w:line="278" w:lineRule="auto"/>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b) cheltuieli cu dobânzile;</w:t>
            </w:r>
          </w:p>
          <w:p w14:paraId="28BCAC31" w14:textId="77777777" w:rsidR="002F47A0" w:rsidRPr="009E686F" w:rsidRDefault="002F47A0" w:rsidP="002F47A0">
            <w:pPr>
              <w:spacing w:after="0" w:line="278" w:lineRule="auto"/>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c) cheltuieli cu capitalul social rambursabil la cerere;</w:t>
            </w:r>
          </w:p>
          <w:p w14:paraId="6926A625" w14:textId="77777777" w:rsidR="002F47A0" w:rsidRPr="009E686F" w:rsidRDefault="002F47A0" w:rsidP="002F47A0">
            <w:pPr>
              <w:spacing w:after="0" w:line="278" w:lineRule="auto"/>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d) venituri din dividende;</w:t>
            </w:r>
          </w:p>
          <w:p w14:paraId="0AC0CB30" w14:textId="77777777" w:rsidR="002F47A0" w:rsidRPr="009E686F" w:rsidRDefault="002F47A0" w:rsidP="002F47A0">
            <w:pPr>
              <w:spacing w:after="0" w:line="278" w:lineRule="auto"/>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 xml:space="preserve">e) venituri din onorarii și comisioane; </w:t>
            </w:r>
          </w:p>
          <w:p w14:paraId="213F9993" w14:textId="77777777" w:rsidR="002F47A0" w:rsidRPr="009E686F" w:rsidRDefault="002F47A0" w:rsidP="002F47A0">
            <w:pPr>
              <w:spacing w:after="0" w:line="278" w:lineRule="auto"/>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 xml:space="preserve">f) cheltuieli cu onorarii și comisioane; </w:t>
            </w:r>
          </w:p>
          <w:p w14:paraId="1FF36B87" w14:textId="77777777" w:rsidR="002F47A0" w:rsidRPr="009E686F" w:rsidRDefault="002F47A0" w:rsidP="002F47A0">
            <w:pPr>
              <w:spacing w:after="0" w:line="278" w:lineRule="auto"/>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 xml:space="preserve">g) câștiguri sau pierderi aferente activelor și datoriilor financiare deținute în vederea tranzacționării – net; </w:t>
            </w:r>
          </w:p>
          <w:p w14:paraId="5870ECB0" w14:textId="77777777" w:rsidR="002F47A0" w:rsidRPr="009E686F" w:rsidRDefault="002F47A0" w:rsidP="002F47A0">
            <w:pPr>
              <w:spacing w:after="0" w:line="278" w:lineRule="auto"/>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lastRenderedPageBreak/>
              <w:t xml:space="preserve">h) câștiguri sau pierderi aferente activelor și datoriilor financiare desemnate la valoarea justă prin profit sau pierdere – net; </w:t>
            </w:r>
          </w:p>
          <w:p w14:paraId="7F35032F" w14:textId="77777777" w:rsidR="002F47A0" w:rsidRPr="009E686F" w:rsidRDefault="002F47A0" w:rsidP="002F47A0">
            <w:pPr>
              <w:spacing w:after="0" w:line="278" w:lineRule="auto"/>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 xml:space="preserve">i) câștiguri sau pierderi din contabilitatea de acoperire împotriva riscurilor – net; (j) diferențe de curs de schimb (câștig sau pierdere) – net; </w:t>
            </w:r>
          </w:p>
          <w:p w14:paraId="2FC82DD1" w14:textId="77777777" w:rsidR="002F47A0" w:rsidRPr="009E686F" w:rsidRDefault="002F47A0" w:rsidP="002F47A0">
            <w:pPr>
              <w:spacing w:after="0" w:line="278" w:lineRule="auto"/>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 xml:space="preserve">k) alte venituri din exploatare; </w:t>
            </w:r>
          </w:p>
          <w:p w14:paraId="4E7C3C29" w14:textId="2D927BA0" w:rsidR="002F47A0" w:rsidRPr="009E686F" w:rsidRDefault="002F47A0" w:rsidP="002F47A0">
            <w:pPr>
              <w:spacing w:after="0"/>
              <w:jc w:val="both"/>
              <w:rPr>
                <w:rFonts w:ascii="Times New Roman" w:hAnsi="Times New Roman" w:cs="Times New Roman"/>
                <w:lang w:val="ro-RO"/>
              </w:rPr>
            </w:pPr>
            <w:r w:rsidRPr="009E686F">
              <w:rPr>
                <w:rFonts w:ascii="Times New Roman" w:eastAsia="Aptos" w:hAnsi="Times New Roman" w:cs="Times New Roman"/>
                <w:i/>
                <w:iCs/>
                <w:kern w:val="2"/>
                <w:lang w:val="ro-MD"/>
              </w:rPr>
              <w:t>l) alte cheltuieli de exploatare.</w:t>
            </w:r>
          </w:p>
        </w:tc>
        <w:tc>
          <w:tcPr>
            <w:tcW w:w="470" w:type="pct"/>
            <w:tcBorders>
              <w:top w:val="single" w:sz="4" w:space="0" w:color="auto"/>
              <w:left w:val="single" w:sz="4" w:space="0" w:color="auto"/>
              <w:bottom w:val="single" w:sz="4" w:space="0" w:color="auto"/>
              <w:right w:val="single" w:sz="4" w:space="0" w:color="auto"/>
            </w:tcBorders>
          </w:tcPr>
          <w:p w14:paraId="0F1CBEE6" w14:textId="4CAF1EFC"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5CD43467" w14:textId="77777777" w:rsidR="002F47A0" w:rsidRPr="009E686F" w:rsidRDefault="002F47A0" w:rsidP="002F47A0">
            <w:pPr>
              <w:jc w:val="both"/>
              <w:rPr>
                <w:rFonts w:ascii="Times New Roman" w:hAnsi="Times New Roman" w:cs="Times New Roman"/>
                <w:lang w:val="ro-RO"/>
              </w:rPr>
            </w:pPr>
          </w:p>
        </w:tc>
      </w:tr>
      <w:tr w:rsidR="002F47A0" w:rsidRPr="009E686F" w14:paraId="0B454992"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5D55D351" w14:textId="2B79EB4B"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În sensul prezentului articol, baza de calcul o reprezintă cele mai recente informații financiare anuale în materie de supraveghere care generează un indicator mai mare decât zero. În cazul în care persoana juridică menționată la alineatul (2) de la prezentul articol nu intră sub incidența Regulamentului de punere în aplicare (UE) 2021/451, valoarea totală anuală netă relevantă a cifrei de afaceri este valoarea totală anuală netă a cifrei de afaceri sau tipul de venit corespunzător în conformitate cu cadrul contabil aplicabil. În cazul în care întreprinderea în cauză face parte dintr-un grup, valoarea totală anuală netă relevantă a cifrei de afaceri este valoarea totală anuală netă a cifrei de afaceri care rezultă din conturile consolidate ale întreprinderii-mamă de cel mai înalt rang.</w:t>
            </w:r>
          </w:p>
        </w:tc>
        <w:tc>
          <w:tcPr>
            <w:tcW w:w="1928" w:type="pct"/>
            <w:gridSpan w:val="3"/>
            <w:tcBorders>
              <w:top w:val="single" w:sz="4" w:space="0" w:color="auto"/>
              <w:left w:val="single" w:sz="4" w:space="0" w:color="auto"/>
              <w:bottom w:val="single" w:sz="4" w:space="0" w:color="auto"/>
              <w:right w:val="single" w:sz="4" w:space="0" w:color="auto"/>
            </w:tcBorders>
          </w:tcPr>
          <w:p w14:paraId="13892F55" w14:textId="5381AD1A" w:rsidR="002F47A0" w:rsidRPr="009E686F" w:rsidRDefault="002F47A0" w:rsidP="002F47A0">
            <w:pPr>
              <w:spacing w:after="0"/>
              <w:jc w:val="both"/>
              <w:rPr>
                <w:rFonts w:ascii="Times New Roman" w:hAnsi="Times New Roman" w:cs="Times New Roman"/>
                <w:b/>
                <w:bCs/>
                <w:lang w:val="ro-RO"/>
              </w:rPr>
            </w:pPr>
            <w:r w:rsidRPr="009E686F">
              <w:rPr>
                <w:rFonts w:ascii="Times New Roman" w:hAnsi="Times New Roman" w:cs="Times New Roman"/>
                <w:b/>
                <w:bCs/>
                <w:lang w:val="ro-RO"/>
              </w:rPr>
              <w:t>Articolul 141 alin. (2</w:t>
            </w:r>
            <w:r w:rsidRPr="009E686F">
              <w:rPr>
                <w:rFonts w:ascii="Times New Roman" w:hAnsi="Times New Roman" w:cs="Times New Roman"/>
                <w:b/>
                <w:bCs/>
                <w:vertAlign w:val="superscript"/>
                <w:lang w:val="ro-RO"/>
              </w:rPr>
              <w:t>4</w:t>
            </w:r>
            <w:r w:rsidRPr="009E686F">
              <w:rPr>
                <w:rFonts w:ascii="Times New Roman" w:hAnsi="Times New Roman" w:cs="Times New Roman"/>
                <w:b/>
                <w:bCs/>
                <w:lang w:val="ro-RO"/>
              </w:rPr>
              <w:t>)</w:t>
            </w:r>
          </w:p>
          <w:p w14:paraId="3EAB4ACB" w14:textId="6A4D5DF8" w:rsidR="002F47A0" w:rsidRPr="009E686F" w:rsidRDefault="002F47A0" w:rsidP="002F47A0">
            <w:pPr>
              <w:spacing w:after="0"/>
              <w:jc w:val="both"/>
              <w:rPr>
                <w:rFonts w:ascii="Times New Roman" w:hAnsi="Times New Roman" w:cs="Times New Roman"/>
                <w:i/>
                <w:iCs/>
                <w:lang w:val="it-CH"/>
              </w:rPr>
            </w:pPr>
            <w:r w:rsidRPr="009E686F">
              <w:rPr>
                <w:rFonts w:ascii="Times New Roman" w:hAnsi="Times New Roman" w:cs="Times New Roman"/>
                <w:i/>
                <w:iCs/>
                <w:lang w:val="it-CH"/>
              </w:rPr>
              <w:t>(2</w:t>
            </w:r>
            <w:r w:rsidRPr="009E686F">
              <w:rPr>
                <w:rFonts w:ascii="Times New Roman" w:hAnsi="Times New Roman" w:cs="Times New Roman"/>
                <w:i/>
                <w:iCs/>
                <w:vertAlign w:val="superscript"/>
                <w:lang w:val="it-CH"/>
              </w:rPr>
              <w:t>4</w:t>
            </w:r>
            <w:r w:rsidRPr="009E686F">
              <w:rPr>
                <w:rFonts w:ascii="Times New Roman" w:hAnsi="Times New Roman" w:cs="Times New Roman"/>
                <w:i/>
                <w:iCs/>
                <w:lang w:val="it-CH"/>
              </w:rPr>
              <w:t xml:space="preserve">) În sensul prezentului articol, baza de calcul o reprezintă cele mai recente informații financiare anuale în materie de supraveghere care generează un indicator mai mare decât zero. În cazul în care persoana juridică menționată la alin. (2) de la prezentul articol nu intră sub incidența actelor normative ale Băncii Naționale a Moldovei care stabilesc cerințe de raportare în scopuri de supraveghere, valoarea totală anuală netă relevantă a cifrei de afaceri este valoarea totală anuală netă a cifrei de afaceri sau tipul de venit corespunzător în conformitate cu cadrul contabil aplicabil. În cazul în care întreprinderea în cauză face parte dintr-un grup, valoarea totală anuală netă relevantă a cifrei de afaceri este valoarea totală anuală netă a cifrei de afaceri care rezultă din conturile consolidate ale întreprinderii-mamă de cel mai înalt rang. </w:t>
            </w:r>
          </w:p>
        </w:tc>
        <w:tc>
          <w:tcPr>
            <w:tcW w:w="470" w:type="pct"/>
            <w:tcBorders>
              <w:top w:val="single" w:sz="4" w:space="0" w:color="auto"/>
              <w:left w:val="single" w:sz="4" w:space="0" w:color="auto"/>
              <w:bottom w:val="single" w:sz="4" w:space="0" w:color="auto"/>
              <w:right w:val="single" w:sz="4" w:space="0" w:color="auto"/>
            </w:tcBorders>
          </w:tcPr>
          <w:p w14:paraId="4C611F6B" w14:textId="754488C7"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44FF2543" w14:textId="77777777" w:rsidR="002F47A0" w:rsidRPr="009E686F" w:rsidRDefault="002F47A0" w:rsidP="002F47A0">
            <w:pPr>
              <w:jc w:val="both"/>
              <w:rPr>
                <w:rFonts w:ascii="Times New Roman" w:hAnsi="Times New Roman" w:cs="Times New Roman"/>
                <w:lang w:val="ro-RO"/>
              </w:rPr>
            </w:pPr>
          </w:p>
        </w:tc>
      </w:tr>
      <w:tr w:rsidR="002F47A0" w:rsidRPr="009E686F" w14:paraId="19457787"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11A8CADF" w14:textId="2AE0F99B"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(4) Valoarea netă zilnică medie a cifrei de afaceri menționată la alineatul (2) litera (b) punctul (i) este valoarea totală anuală netă a cifrei de afaceri menționată la alineatul (3) împărțită la 365.</w:t>
            </w:r>
          </w:p>
        </w:tc>
        <w:tc>
          <w:tcPr>
            <w:tcW w:w="1928" w:type="pct"/>
            <w:gridSpan w:val="3"/>
            <w:tcBorders>
              <w:top w:val="single" w:sz="4" w:space="0" w:color="auto"/>
              <w:left w:val="single" w:sz="4" w:space="0" w:color="auto"/>
              <w:bottom w:val="single" w:sz="4" w:space="0" w:color="auto"/>
              <w:right w:val="single" w:sz="4" w:space="0" w:color="auto"/>
            </w:tcBorders>
          </w:tcPr>
          <w:p w14:paraId="53C87338" w14:textId="2C00A579" w:rsidR="002F47A0" w:rsidRPr="009E686F" w:rsidRDefault="002F47A0" w:rsidP="002F47A0">
            <w:pPr>
              <w:spacing w:after="0"/>
              <w:jc w:val="both"/>
              <w:rPr>
                <w:rFonts w:ascii="Times New Roman" w:hAnsi="Times New Roman" w:cs="Times New Roman"/>
                <w:b/>
                <w:bCs/>
                <w:lang w:val="ro-RO"/>
              </w:rPr>
            </w:pPr>
            <w:r w:rsidRPr="009E686F">
              <w:rPr>
                <w:rFonts w:ascii="Times New Roman" w:hAnsi="Times New Roman" w:cs="Times New Roman"/>
                <w:b/>
                <w:bCs/>
                <w:lang w:val="ro-RO"/>
              </w:rPr>
              <w:t>Articolul 141 alin. (2</w:t>
            </w:r>
            <w:r w:rsidRPr="009E686F">
              <w:rPr>
                <w:rFonts w:ascii="Times New Roman" w:hAnsi="Times New Roman" w:cs="Times New Roman"/>
                <w:b/>
                <w:bCs/>
                <w:vertAlign w:val="superscript"/>
                <w:lang w:val="ro-RO"/>
              </w:rPr>
              <w:t>5</w:t>
            </w:r>
            <w:r w:rsidRPr="009E686F">
              <w:rPr>
                <w:rFonts w:ascii="Times New Roman" w:hAnsi="Times New Roman" w:cs="Times New Roman"/>
                <w:b/>
                <w:bCs/>
                <w:lang w:val="ro-RO"/>
              </w:rPr>
              <w:t>)</w:t>
            </w:r>
          </w:p>
          <w:p w14:paraId="03B53052" w14:textId="570593BF" w:rsidR="002F47A0" w:rsidRPr="009E686F" w:rsidRDefault="002F47A0" w:rsidP="002F47A0">
            <w:pPr>
              <w:spacing w:after="0"/>
              <w:jc w:val="both"/>
              <w:rPr>
                <w:rFonts w:ascii="Times New Roman" w:hAnsi="Times New Roman" w:cs="Times New Roman"/>
                <w:i/>
                <w:iCs/>
                <w:lang w:val="ro-RO"/>
              </w:rPr>
            </w:pPr>
            <w:r w:rsidRPr="009E686F">
              <w:rPr>
                <w:rFonts w:ascii="Times New Roman" w:hAnsi="Times New Roman" w:cs="Times New Roman"/>
                <w:i/>
                <w:lang w:val="ro-RO"/>
              </w:rPr>
              <w:t>(2</w:t>
            </w:r>
            <w:r w:rsidRPr="009E686F">
              <w:rPr>
                <w:rFonts w:ascii="Times New Roman" w:hAnsi="Times New Roman" w:cs="Times New Roman"/>
                <w:i/>
                <w:vertAlign w:val="superscript"/>
                <w:lang w:val="ro-RO"/>
              </w:rPr>
              <w:t>5</w:t>
            </w:r>
            <w:r w:rsidRPr="009E686F">
              <w:rPr>
                <w:rFonts w:ascii="Times New Roman" w:hAnsi="Times New Roman" w:cs="Times New Roman"/>
                <w:i/>
                <w:lang w:val="ro-RO"/>
              </w:rPr>
              <w:t>) În sensul alin. (2</w:t>
            </w:r>
            <w:r w:rsidRPr="009E686F">
              <w:rPr>
                <w:rFonts w:ascii="Times New Roman" w:hAnsi="Times New Roman" w:cs="Times New Roman"/>
                <w:i/>
                <w:vertAlign w:val="superscript"/>
                <w:lang w:val="ro-RO"/>
              </w:rPr>
              <w:t>1</w:t>
            </w:r>
            <w:r w:rsidRPr="009E686F">
              <w:rPr>
                <w:rFonts w:ascii="Times New Roman" w:hAnsi="Times New Roman" w:cs="Times New Roman"/>
                <w:i/>
                <w:lang w:val="ro-RO"/>
              </w:rPr>
              <w:t xml:space="preserve">) lit. a), valoarea netă zilnică medie a cifrei de afaceri este valoarea totală netă a cifrei de afaceri menționată la alin. </w:t>
            </w:r>
            <w:r w:rsidRPr="009E686F">
              <w:rPr>
                <w:rFonts w:ascii="Times New Roman" w:hAnsi="Times New Roman" w:cs="Times New Roman"/>
                <w:i/>
                <w:iCs/>
              </w:rPr>
              <w:t>(2</w:t>
            </w:r>
            <w:r w:rsidRPr="009E686F">
              <w:rPr>
                <w:rFonts w:ascii="Times New Roman" w:hAnsi="Times New Roman" w:cs="Times New Roman"/>
                <w:i/>
                <w:iCs/>
                <w:vertAlign w:val="superscript"/>
              </w:rPr>
              <w:t>3</w:t>
            </w:r>
            <w:r w:rsidRPr="009E686F">
              <w:rPr>
                <w:rFonts w:ascii="Times New Roman" w:hAnsi="Times New Roman" w:cs="Times New Roman"/>
                <w:i/>
                <w:iCs/>
              </w:rPr>
              <w:t xml:space="preserve">) împărțită la 365. </w:t>
            </w:r>
          </w:p>
        </w:tc>
        <w:tc>
          <w:tcPr>
            <w:tcW w:w="470" w:type="pct"/>
            <w:tcBorders>
              <w:top w:val="single" w:sz="4" w:space="0" w:color="auto"/>
              <w:left w:val="single" w:sz="4" w:space="0" w:color="auto"/>
              <w:bottom w:val="single" w:sz="4" w:space="0" w:color="auto"/>
              <w:right w:val="single" w:sz="4" w:space="0" w:color="auto"/>
            </w:tcBorders>
          </w:tcPr>
          <w:p w14:paraId="590B60C0" w14:textId="2AE81A7F"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248B90F9" w14:textId="77777777" w:rsidR="002F47A0" w:rsidRPr="009E686F" w:rsidRDefault="002F47A0" w:rsidP="002F47A0">
            <w:pPr>
              <w:jc w:val="both"/>
              <w:rPr>
                <w:rFonts w:ascii="Times New Roman" w:hAnsi="Times New Roman" w:cs="Times New Roman"/>
                <w:lang w:val="ro-RO"/>
              </w:rPr>
            </w:pPr>
          </w:p>
        </w:tc>
      </w:tr>
      <w:tr w:rsidR="002F47A0" w:rsidRPr="009E686F" w14:paraId="70CBA3D6" w14:textId="5E7AF04F" w:rsidTr="00774F3E">
        <w:tc>
          <w:tcPr>
            <w:tcW w:w="1796" w:type="pct"/>
            <w:gridSpan w:val="2"/>
            <w:tcBorders>
              <w:top w:val="single" w:sz="4" w:space="0" w:color="auto"/>
              <w:left w:val="single" w:sz="4" w:space="0" w:color="auto"/>
              <w:bottom w:val="single" w:sz="4" w:space="0" w:color="auto"/>
              <w:right w:val="single" w:sz="4" w:space="0" w:color="auto"/>
            </w:tcBorders>
          </w:tcPr>
          <w:p w14:paraId="131E14D6" w14:textId="77777777" w:rsidR="002F47A0" w:rsidRPr="009E686F" w:rsidRDefault="002F47A0" w:rsidP="002F47A0">
            <w:pPr>
              <w:spacing w:after="0"/>
              <w:jc w:val="both"/>
              <w:rPr>
                <w:rFonts w:ascii="Times New Roman" w:hAnsi="Times New Roman" w:cs="Times New Roman"/>
                <w:i/>
                <w:iCs/>
                <w:lang w:val="ro-RO"/>
              </w:rPr>
            </w:pPr>
            <w:r w:rsidRPr="009E686F">
              <w:rPr>
                <w:rFonts w:ascii="Times New Roman" w:hAnsi="Times New Roman" w:cs="Times New Roman"/>
                <w:i/>
                <w:iCs/>
                <w:lang w:val="ro-RO"/>
              </w:rPr>
              <w:t xml:space="preserve">Articolul 68 </w:t>
            </w:r>
          </w:p>
          <w:p w14:paraId="20DCB63D" w14:textId="2FBA24AF"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Publicarea sancțiunilor administrative</w:t>
            </w:r>
          </w:p>
        </w:tc>
        <w:tc>
          <w:tcPr>
            <w:tcW w:w="1928" w:type="pct"/>
            <w:gridSpan w:val="3"/>
            <w:tcBorders>
              <w:top w:val="single" w:sz="4" w:space="0" w:color="auto"/>
              <w:left w:val="single" w:sz="4" w:space="0" w:color="auto"/>
              <w:bottom w:val="single" w:sz="4" w:space="0" w:color="auto"/>
              <w:right w:val="single" w:sz="4" w:space="0" w:color="auto"/>
            </w:tcBorders>
          </w:tcPr>
          <w:p w14:paraId="60FA81D8" w14:textId="77777777" w:rsidR="002F47A0" w:rsidRPr="009E686F" w:rsidRDefault="002F47A0" w:rsidP="002F47A0">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b/>
                <w:bCs/>
                <w:kern w:val="2"/>
                <w:lang w:val="ro-MD"/>
              </w:rPr>
              <w:t>Articolul 146.</w:t>
            </w:r>
            <w:r w:rsidRPr="009E686F">
              <w:rPr>
                <w:rFonts w:ascii="Times New Roman" w:eastAsia="Aptos" w:hAnsi="Times New Roman" w:cs="Times New Roman"/>
                <w:kern w:val="2"/>
                <w:lang w:val="ro-MD"/>
              </w:rPr>
              <w:t xml:space="preserve"> Publicarea sancţiunilor </w:t>
            </w:r>
          </w:p>
          <w:p w14:paraId="39E0BD4D" w14:textId="77777777" w:rsidR="002F47A0" w:rsidRPr="009E686F" w:rsidRDefault="002F47A0" w:rsidP="002F47A0">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7DCB06AA" w14:textId="77777777" w:rsidR="002F47A0" w:rsidRPr="009E686F" w:rsidRDefault="002F47A0" w:rsidP="002F47A0">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3F62FB8E" w14:textId="77777777" w:rsidR="002F47A0" w:rsidRPr="009E686F" w:rsidRDefault="002F47A0" w:rsidP="002F47A0">
            <w:pPr>
              <w:jc w:val="both"/>
              <w:rPr>
                <w:rFonts w:ascii="Times New Roman" w:hAnsi="Times New Roman" w:cs="Times New Roman"/>
                <w:lang w:val="ro-RO"/>
              </w:rPr>
            </w:pPr>
          </w:p>
        </w:tc>
      </w:tr>
      <w:tr w:rsidR="002F47A0" w:rsidRPr="009E686F" w14:paraId="0827DE26" w14:textId="22F4F182" w:rsidTr="00774F3E">
        <w:tc>
          <w:tcPr>
            <w:tcW w:w="1796" w:type="pct"/>
            <w:gridSpan w:val="2"/>
            <w:tcBorders>
              <w:top w:val="single" w:sz="4" w:space="0" w:color="auto"/>
              <w:left w:val="single" w:sz="4" w:space="0" w:color="auto"/>
              <w:bottom w:val="single" w:sz="4" w:space="0" w:color="auto"/>
              <w:right w:val="single" w:sz="4" w:space="0" w:color="auto"/>
            </w:tcBorders>
          </w:tcPr>
          <w:p w14:paraId="2E254B1D" w14:textId="5073C67F"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lastRenderedPageBreak/>
              <w:t>(1)Statele membre asigură faptul că autoritățile competente publică pe site-ul lor internet oficial cel puțin orice sancțiune administrativă împotriva căreia nu există vreo cale de atac și care este aplicată pentru încălcarea dispozițiilor naționale de transpunere a prezentei directive și a Regulamentului (UE) nr. 575/2013, inclusiv informații privind tipul și natura încălcării și identitatea persoanei fizice sau juridice sancționate, fără întârziere după informarea persoanei respective cu privire la sancțiunile respective.</w:t>
            </w:r>
          </w:p>
        </w:tc>
        <w:tc>
          <w:tcPr>
            <w:tcW w:w="1928" w:type="pct"/>
            <w:gridSpan w:val="3"/>
            <w:tcBorders>
              <w:top w:val="single" w:sz="4" w:space="0" w:color="auto"/>
              <w:left w:val="single" w:sz="4" w:space="0" w:color="auto"/>
              <w:bottom w:val="single" w:sz="4" w:space="0" w:color="auto"/>
              <w:right w:val="single" w:sz="4" w:space="0" w:color="auto"/>
            </w:tcBorders>
          </w:tcPr>
          <w:p w14:paraId="1E186CC9" w14:textId="4411E5CB" w:rsidR="002F47A0" w:rsidRPr="009E686F" w:rsidRDefault="002F47A0" w:rsidP="002F47A0">
            <w:pPr>
              <w:spacing w:after="0"/>
              <w:jc w:val="both"/>
              <w:rPr>
                <w:rFonts w:ascii="Times New Roman" w:hAnsi="Times New Roman" w:cs="Times New Roman"/>
                <w:b/>
                <w:bCs/>
                <w:lang w:val="ro-MD"/>
              </w:rPr>
            </w:pPr>
            <w:r w:rsidRPr="009E686F">
              <w:rPr>
                <w:rFonts w:ascii="Times New Roman" w:eastAsia="Aptos" w:hAnsi="Times New Roman" w:cs="Times New Roman"/>
                <w:kern w:val="2"/>
                <w:lang w:val="ro-MD"/>
              </w:rPr>
              <w:t xml:space="preserve">Publicarea sancţiunilor se efectuează în conformitate cu prevederile </w:t>
            </w:r>
            <w:bookmarkStart w:id="19" w:name="_Hlk209083814"/>
            <w:r w:rsidRPr="009E686F">
              <w:rPr>
                <w:rFonts w:ascii="Times New Roman" w:eastAsia="Aptos" w:hAnsi="Times New Roman" w:cs="Times New Roman"/>
                <w:kern w:val="2"/>
                <w:lang w:val="ro-MD"/>
              </w:rPr>
              <w:t>art.75</w:t>
            </w:r>
            <w:r w:rsidRPr="009E686F">
              <w:rPr>
                <w:rFonts w:ascii="Times New Roman" w:eastAsia="Aptos" w:hAnsi="Times New Roman" w:cs="Times New Roman"/>
                <w:kern w:val="2"/>
                <w:vertAlign w:val="superscript"/>
                <w:lang w:val="ro-MD"/>
              </w:rPr>
              <w:t>3</w:t>
            </w:r>
            <w:r w:rsidRPr="009E686F">
              <w:rPr>
                <w:rFonts w:ascii="Times New Roman" w:eastAsia="Aptos" w:hAnsi="Times New Roman" w:cs="Times New Roman"/>
                <w:kern w:val="2"/>
                <w:lang w:val="ro-MD"/>
              </w:rPr>
              <w:t xml:space="preserve"> din </w:t>
            </w:r>
            <w:bookmarkEnd w:id="19"/>
            <w:r w:rsidRPr="009E686F">
              <w:rPr>
                <w:rFonts w:ascii="Times New Roman" w:eastAsia="Aptos" w:hAnsi="Times New Roman" w:cs="Times New Roman"/>
                <w:kern w:val="2"/>
                <w:lang w:val="ro-MD"/>
              </w:rPr>
              <w:t>Legea nr.548/1995 cu privire la Banca Naţională a Moldovei.</w:t>
            </w:r>
          </w:p>
          <w:p w14:paraId="334E33AE" w14:textId="6AC1D503" w:rsidR="002F47A0" w:rsidRPr="009E686F" w:rsidRDefault="002F47A0" w:rsidP="002F47A0">
            <w:pPr>
              <w:spacing w:after="0"/>
              <w:jc w:val="both"/>
              <w:rPr>
                <w:rFonts w:ascii="Times New Roman" w:hAnsi="Times New Roman" w:cs="Times New Roman"/>
                <w:b/>
                <w:bCs/>
                <w:lang w:val="ro-MD"/>
              </w:rPr>
            </w:pPr>
            <w:r w:rsidRPr="009E686F">
              <w:rPr>
                <w:rFonts w:ascii="Times New Roman" w:hAnsi="Times New Roman" w:cs="Times New Roman"/>
                <w:b/>
                <w:bCs/>
                <w:lang w:val="ro-MD"/>
              </w:rPr>
              <w:t>Legea nr. 548/1997 cu privire la Banca Națională a Moldovei</w:t>
            </w:r>
          </w:p>
          <w:p w14:paraId="3CACA105" w14:textId="19B797FB" w:rsidR="002F47A0" w:rsidRPr="009E686F" w:rsidRDefault="002F47A0" w:rsidP="002F47A0">
            <w:pPr>
              <w:spacing w:after="0"/>
              <w:jc w:val="both"/>
              <w:rPr>
                <w:rFonts w:ascii="Times New Roman" w:hAnsi="Times New Roman" w:cs="Times New Roman"/>
                <w:lang w:val="ro-MD"/>
              </w:rPr>
            </w:pPr>
            <w:r w:rsidRPr="009E686F">
              <w:rPr>
                <w:rFonts w:ascii="Times New Roman" w:hAnsi="Times New Roman" w:cs="Times New Roman"/>
                <w:b/>
                <w:bCs/>
                <w:lang w:val="ro-MD"/>
              </w:rPr>
              <w:t>Articolul 75</w:t>
            </w:r>
            <w:r w:rsidRPr="009E686F">
              <w:rPr>
                <w:rFonts w:ascii="Times New Roman" w:hAnsi="Times New Roman" w:cs="Times New Roman"/>
                <w:b/>
                <w:bCs/>
                <w:vertAlign w:val="superscript"/>
                <w:lang w:val="ro-MD"/>
              </w:rPr>
              <w:t>3</w:t>
            </w:r>
            <w:r w:rsidRPr="009E686F">
              <w:rPr>
                <w:rFonts w:ascii="Times New Roman" w:hAnsi="Times New Roman" w:cs="Times New Roman"/>
                <w:b/>
                <w:bCs/>
                <w:lang w:val="ro-MD"/>
              </w:rPr>
              <w:t>.</w:t>
            </w:r>
            <w:r w:rsidRPr="009E686F">
              <w:rPr>
                <w:rFonts w:ascii="Times New Roman" w:hAnsi="Times New Roman" w:cs="Times New Roman"/>
                <w:lang w:val="ro-MD"/>
              </w:rPr>
              <w:t xml:space="preserve"> Publicarea sancţiunilor</w:t>
            </w:r>
          </w:p>
          <w:p w14:paraId="32A48D21" w14:textId="644FDC69"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 xml:space="preserve">(1) Banca Naţională a Moldovei publică, fără întârziere, pe pagina sa web oficială sancţiunile aplicate, precum şi informaţiile privind tipul şi natura încălcării comise şi privind identitatea persoanei fizice sau juridice sancţionate, după notificarea acesteia cu privire la aplicarea sancţiunii. </w:t>
            </w:r>
          </w:p>
        </w:tc>
        <w:tc>
          <w:tcPr>
            <w:tcW w:w="470" w:type="pct"/>
            <w:tcBorders>
              <w:top w:val="single" w:sz="4" w:space="0" w:color="auto"/>
              <w:left w:val="single" w:sz="4" w:space="0" w:color="auto"/>
              <w:bottom w:val="single" w:sz="4" w:space="0" w:color="auto"/>
              <w:right w:val="single" w:sz="4" w:space="0" w:color="auto"/>
            </w:tcBorders>
          </w:tcPr>
          <w:p w14:paraId="6DC70C18" w14:textId="104D25CA"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21BD564F" w14:textId="77777777" w:rsidR="002F47A0" w:rsidRPr="009E686F" w:rsidRDefault="002F47A0" w:rsidP="002F47A0">
            <w:pPr>
              <w:jc w:val="both"/>
              <w:rPr>
                <w:rFonts w:ascii="Times New Roman" w:hAnsi="Times New Roman" w:cs="Times New Roman"/>
                <w:lang w:val="ro-RO"/>
              </w:rPr>
            </w:pPr>
          </w:p>
        </w:tc>
      </w:tr>
      <w:tr w:rsidR="002F47A0" w:rsidRPr="009E686F" w14:paraId="63B067A6" w14:textId="56F896E2" w:rsidTr="00774F3E">
        <w:tc>
          <w:tcPr>
            <w:tcW w:w="1796" w:type="pct"/>
            <w:gridSpan w:val="2"/>
            <w:tcBorders>
              <w:top w:val="single" w:sz="4" w:space="0" w:color="auto"/>
              <w:left w:val="single" w:sz="4" w:space="0" w:color="auto"/>
              <w:bottom w:val="single" w:sz="4" w:space="0" w:color="auto"/>
              <w:right w:val="single" w:sz="4" w:space="0" w:color="auto"/>
            </w:tcBorders>
          </w:tcPr>
          <w:p w14:paraId="217F3748"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În cazul în care statele membre permit publicarea sancțiunilor împotriva cărora există o cale de atac, autoritățile competente publică, de asemenea, fără întârziere, pe site-urile lor internet oficiale, informații privind starea recursului și rezultatul acestuia.</w:t>
            </w:r>
          </w:p>
        </w:tc>
        <w:tc>
          <w:tcPr>
            <w:tcW w:w="1928" w:type="pct"/>
            <w:gridSpan w:val="3"/>
            <w:tcBorders>
              <w:top w:val="single" w:sz="4" w:space="0" w:color="auto"/>
              <w:left w:val="single" w:sz="4" w:space="0" w:color="auto"/>
              <w:bottom w:val="single" w:sz="4" w:space="0" w:color="auto"/>
              <w:right w:val="single" w:sz="4" w:space="0" w:color="auto"/>
            </w:tcBorders>
          </w:tcPr>
          <w:p w14:paraId="34508724" w14:textId="1651FDD6" w:rsidR="002F47A0" w:rsidRPr="009E686F" w:rsidRDefault="002F47A0" w:rsidP="002F47A0">
            <w:pPr>
              <w:spacing w:after="0"/>
              <w:jc w:val="both"/>
              <w:rPr>
                <w:rFonts w:ascii="Times New Roman" w:hAnsi="Times New Roman" w:cs="Times New Roman"/>
                <w:b/>
                <w:lang w:val="ro-RO"/>
              </w:rPr>
            </w:pPr>
            <w:r w:rsidRPr="009E686F">
              <w:rPr>
                <w:rFonts w:ascii="Times New Roman" w:hAnsi="Times New Roman" w:cs="Times New Roman"/>
                <w:lang w:val="ro-RO"/>
              </w:rPr>
              <w:t>În cazul în care sancțiunea aplicată a fost contestată în condițiile legii, Banca Naţională a Moldovei publică, fără întârziere, informațiile privind etapa la care se află contestarea și rezultatul acesteia.</w:t>
            </w:r>
          </w:p>
        </w:tc>
        <w:tc>
          <w:tcPr>
            <w:tcW w:w="470" w:type="pct"/>
            <w:tcBorders>
              <w:top w:val="single" w:sz="4" w:space="0" w:color="auto"/>
              <w:left w:val="single" w:sz="4" w:space="0" w:color="auto"/>
              <w:bottom w:val="single" w:sz="4" w:space="0" w:color="auto"/>
              <w:right w:val="single" w:sz="4" w:space="0" w:color="auto"/>
            </w:tcBorders>
          </w:tcPr>
          <w:p w14:paraId="105D3B16" w14:textId="7AAF7A6A"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0C0CC512" w14:textId="77777777" w:rsidR="002F47A0" w:rsidRPr="009E686F" w:rsidRDefault="002F47A0" w:rsidP="002F47A0">
            <w:pPr>
              <w:jc w:val="both"/>
              <w:rPr>
                <w:rFonts w:ascii="Times New Roman" w:hAnsi="Times New Roman" w:cs="Times New Roman"/>
                <w:lang w:val="ro-RO"/>
              </w:rPr>
            </w:pPr>
          </w:p>
        </w:tc>
      </w:tr>
      <w:tr w:rsidR="002F47A0" w:rsidRPr="009E686F" w14:paraId="4A69211C" w14:textId="28ABBD45" w:rsidTr="00DE6C69">
        <w:trPr>
          <w:trHeight w:val="3933"/>
        </w:trPr>
        <w:tc>
          <w:tcPr>
            <w:tcW w:w="1796" w:type="pct"/>
            <w:gridSpan w:val="2"/>
            <w:tcBorders>
              <w:top w:val="single" w:sz="4" w:space="0" w:color="auto"/>
              <w:left w:val="single" w:sz="4" w:space="0" w:color="auto"/>
              <w:right w:val="single" w:sz="4" w:space="0" w:color="auto"/>
            </w:tcBorders>
          </w:tcPr>
          <w:p w14:paraId="4F52C558"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(2) Autoritățile competente publică sancțiunile fără a indica identitatea entităților implicate, în conformitate cu dreptul intern, în oricare dintre următoarele situații:</w:t>
            </w:r>
          </w:p>
          <w:p w14:paraId="3569A2E7"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(a)atunci când sancțiunea este impusă unei persoane fizice și, în urma unei evaluări anterioare obligatorii, se dovedește că publicarea datelor cu caracter personal este disproporționată;</w:t>
            </w:r>
          </w:p>
          <w:p w14:paraId="309B465F"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(b) atunci când publicarea ar pune în pericol stabilitatea piețelor financiare sau o anchetă penală în curs de desfășurare;</w:t>
            </w:r>
          </w:p>
          <w:p w14:paraId="6D6A3D0A" w14:textId="4FE764CE"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(c) atunci când publicarea ar cauza, în măsura în care se poate stabili acest lucru, daune disproporționate instituțiilor sau persoanelor fizice implicate.</w:t>
            </w:r>
          </w:p>
        </w:tc>
        <w:tc>
          <w:tcPr>
            <w:tcW w:w="1928" w:type="pct"/>
            <w:gridSpan w:val="3"/>
            <w:tcBorders>
              <w:top w:val="single" w:sz="4" w:space="0" w:color="auto"/>
              <w:left w:val="single" w:sz="4" w:space="0" w:color="auto"/>
              <w:right w:val="single" w:sz="4" w:space="0" w:color="auto"/>
            </w:tcBorders>
          </w:tcPr>
          <w:p w14:paraId="2BEF10DD"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(2) Banca Naţională a Moldovei publică sancţiunile fără a indica identitatea persoanelor fizice sau juridice sancționate, în oricare dintre următoarele situații:</w:t>
            </w:r>
          </w:p>
          <w:p w14:paraId="0D66C415"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a) sancţiunea este aplicată unei persoane fizice şi, în urma unei evaluări anterioare obligatorii, s-a constatat că publicarea datelor cu caracter personal este disproporţionată;</w:t>
            </w:r>
          </w:p>
          <w:p w14:paraId="3A7D0C48"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b)publicarea ar pune în pericol stabilitatea pieţelor financiare sau urmărirea penală în curs de desfăşurare;</w:t>
            </w:r>
          </w:p>
          <w:p w14:paraId="6FA443B3" w14:textId="6A4CF7E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c) publicarea ar cauza, în măsura în care se poate stabili acest lucru,  un prejudiciu disproporţionat persoanelor fizice sancționate.</w:t>
            </w:r>
          </w:p>
        </w:tc>
        <w:tc>
          <w:tcPr>
            <w:tcW w:w="470" w:type="pct"/>
            <w:tcBorders>
              <w:top w:val="single" w:sz="4" w:space="0" w:color="auto"/>
              <w:left w:val="single" w:sz="4" w:space="0" w:color="auto"/>
              <w:right w:val="single" w:sz="4" w:space="0" w:color="auto"/>
            </w:tcBorders>
          </w:tcPr>
          <w:p w14:paraId="26CEC7F4" w14:textId="77777777"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p w14:paraId="0BC61D92" w14:textId="70421851" w:rsidR="002F47A0" w:rsidRPr="009E686F" w:rsidRDefault="002F47A0" w:rsidP="002F47A0">
            <w:pPr>
              <w:jc w:val="both"/>
              <w:rPr>
                <w:rFonts w:ascii="Times New Roman" w:hAnsi="Times New Roman" w:cs="Times New Roman"/>
                <w:lang w:val="ro-RO"/>
              </w:rPr>
            </w:pPr>
          </w:p>
        </w:tc>
        <w:tc>
          <w:tcPr>
            <w:tcW w:w="806" w:type="pct"/>
            <w:tcBorders>
              <w:top w:val="single" w:sz="4" w:space="0" w:color="auto"/>
              <w:left w:val="single" w:sz="4" w:space="0" w:color="auto"/>
              <w:right w:val="single" w:sz="4" w:space="0" w:color="auto"/>
            </w:tcBorders>
          </w:tcPr>
          <w:p w14:paraId="1552BC5F" w14:textId="77777777" w:rsidR="002F47A0" w:rsidRPr="009E686F" w:rsidRDefault="002F47A0" w:rsidP="002F47A0">
            <w:pPr>
              <w:jc w:val="both"/>
              <w:rPr>
                <w:rFonts w:ascii="Times New Roman" w:hAnsi="Times New Roman" w:cs="Times New Roman"/>
                <w:lang w:val="ro-RO"/>
              </w:rPr>
            </w:pPr>
          </w:p>
        </w:tc>
      </w:tr>
      <w:tr w:rsidR="002F47A0" w:rsidRPr="009E686F" w14:paraId="0C655896" w14:textId="18E076AB" w:rsidTr="00774F3E">
        <w:tc>
          <w:tcPr>
            <w:tcW w:w="1796" w:type="pct"/>
            <w:gridSpan w:val="2"/>
            <w:tcBorders>
              <w:top w:val="single" w:sz="4" w:space="0" w:color="auto"/>
              <w:left w:val="single" w:sz="4" w:space="0" w:color="auto"/>
              <w:bottom w:val="single" w:sz="4" w:space="0" w:color="auto"/>
              <w:right w:val="single" w:sz="4" w:space="0" w:color="auto"/>
            </w:tcBorders>
          </w:tcPr>
          <w:p w14:paraId="09763E25"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 xml:space="preserve">Alternativ, în cazul în care circumstanțele menționate la primul paragraf ar putea înceta într-un termen rezonabil, </w:t>
            </w:r>
            <w:r w:rsidRPr="009E686F">
              <w:rPr>
                <w:rFonts w:ascii="Times New Roman" w:hAnsi="Times New Roman" w:cs="Times New Roman"/>
                <w:lang w:val="ro-RO"/>
              </w:rPr>
              <w:lastRenderedPageBreak/>
              <w:t>publicarea în temeiul alineatului (1) poate fi amânată pentru un astfel de termen.</w:t>
            </w:r>
          </w:p>
        </w:tc>
        <w:tc>
          <w:tcPr>
            <w:tcW w:w="1928" w:type="pct"/>
            <w:gridSpan w:val="3"/>
            <w:tcBorders>
              <w:top w:val="single" w:sz="4" w:space="0" w:color="auto"/>
              <w:left w:val="single" w:sz="4" w:space="0" w:color="auto"/>
              <w:bottom w:val="single" w:sz="4" w:space="0" w:color="auto"/>
              <w:right w:val="single" w:sz="4" w:space="0" w:color="auto"/>
            </w:tcBorders>
          </w:tcPr>
          <w:p w14:paraId="218769B6" w14:textId="74FE87E6"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lastRenderedPageBreak/>
              <w:t xml:space="preserve">(3) În cazul în care Banca Națională a Moldovei consideră că situașiile prevăzute la alin. (2) pot înceta într-un termen </w:t>
            </w:r>
            <w:r w:rsidRPr="009E686F">
              <w:rPr>
                <w:rFonts w:ascii="Times New Roman" w:hAnsi="Times New Roman" w:cs="Times New Roman"/>
                <w:lang w:val="ro-RO"/>
              </w:rPr>
              <w:lastRenderedPageBreak/>
              <w:t>rezonabil, aceasta poate amâna publicarea sancţiunilor conform alin. (1) pentru un astfel de termen.</w:t>
            </w:r>
          </w:p>
        </w:tc>
        <w:tc>
          <w:tcPr>
            <w:tcW w:w="470" w:type="pct"/>
            <w:tcBorders>
              <w:top w:val="single" w:sz="4" w:space="0" w:color="auto"/>
              <w:left w:val="single" w:sz="4" w:space="0" w:color="auto"/>
              <w:bottom w:val="single" w:sz="4" w:space="0" w:color="auto"/>
              <w:right w:val="single" w:sz="4" w:space="0" w:color="auto"/>
            </w:tcBorders>
          </w:tcPr>
          <w:p w14:paraId="62EF2B84" w14:textId="5B2CF3BD"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42EFEFDC" w14:textId="77777777" w:rsidR="002F47A0" w:rsidRPr="009E686F" w:rsidRDefault="002F47A0" w:rsidP="002F47A0">
            <w:pPr>
              <w:jc w:val="both"/>
              <w:rPr>
                <w:rFonts w:ascii="Times New Roman" w:hAnsi="Times New Roman" w:cs="Times New Roman"/>
                <w:lang w:val="ro-RO"/>
              </w:rPr>
            </w:pPr>
          </w:p>
        </w:tc>
      </w:tr>
      <w:tr w:rsidR="002F47A0" w:rsidRPr="009E686F" w14:paraId="5E41BEB6" w14:textId="709D192F" w:rsidTr="00774F3E">
        <w:tc>
          <w:tcPr>
            <w:tcW w:w="1796" w:type="pct"/>
            <w:gridSpan w:val="2"/>
            <w:tcBorders>
              <w:top w:val="single" w:sz="4" w:space="0" w:color="auto"/>
              <w:left w:val="single" w:sz="4" w:space="0" w:color="auto"/>
              <w:bottom w:val="single" w:sz="4" w:space="0" w:color="auto"/>
              <w:right w:val="single" w:sz="4" w:space="0" w:color="auto"/>
            </w:tcBorders>
          </w:tcPr>
          <w:p w14:paraId="64F50F7B" w14:textId="292EC879"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(3) Autoritățile competente se asigură că informațiile publicată în temeiul alineatului (1) sau (2) rămân pe site-ul lor internet oficial pentru o perioadă de cel puțin cinci ani. Datele cu caracter personal se păstrează pe site-ul internet oficial al autorității competente numai pentru perioada necesară, în conformitate cu normele aplicabile în materie de protecție a datelor.</w:t>
            </w:r>
          </w:p>
        </w:tc>
        <w:tc>
          <w:tcPr>
            <w:tcW w:w="1928" w:type="pct"/>
            <w:gridSpan w:val="3"/>
            <w:tcBorders>
              <w:top w:val="single" w:sz="4" w:space="0" w:color="auto"/>
              <w:left w:val="single" w:sz="4" w:space="0" w:color="auto"/>
              <w:bottom w:val="single" w:sz="4" w:space="0" w:color="auto"/>
              <w:right w:val="single" w:sz="4" w:space="0" w:color="auto"/>
            </w:tcBorders>
          </w:tcPr>
          <w:p w14:paraId="7D11252F" w14:textId="429D13F9"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(4) Informaţiile publicate potrivit alin. (1) sau (2) rămân pe pagina web oficială a Băncii Naționale a Mpoldovei pentru o perioadă de cel puţin 5 ani. Datele cu caracter personal sunt păstrate pe pagina web oficială a Băncii Naţionale a Moldovei doar cât timp este necesar, cu respectarea prevederilor Legii privind protecția datelor cu caracter personal.</w:t>
            </w:r>
          </w:p>
        </w:tc>
        <w:tc>
          <w:tcPr>
            <w:tcW w:w="470" w:type="pct"/>
            <w:tcBorders>
              <w:top w:val="single" w:sz="4" w:space="0" w:color="auto"/>
              <w:left w:val="single" w:sz="4" w:space="0" w:color="auto"/>
              <w:bottom w:val="single" w:sz="4" w:space="0" w:color="auto"/>
              <w:right w:val="single" w:sz="4" w:space="0" w:color="auto"/>
            </w:tcBorders>
          </w:tcPr>
          <w:p w14:paraId="15CC6B6C" w14:textId="668F7D3D"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491DF05C" w14:textId="77777777" w:rsidR="002F47A0" w:rsidRPr="009E686F" w:rsidRDefault="002F47A0" w:rsidP="002F47A0">
            <w:pPr>
              <w:jc w:val="both"/>
              <w:rPr>
                <w:rFonts w:ascii="Times New Roman" w:hAnsi="Times New Roman" w:cs="Times New Roman"/>
                <w:lang w:val="ro-RO"/>
              </w:rPr>
            </w:pPr>
          </w:p>
        </w:tc>
      </w:tr>
      <w:tr w:rsidR="002F47A0" w:rsidRPr="009E686F" w14:paraId="3DF2CCD7" w14:textId="77482720" w:rsidTr="00774F3E">
        <w:tc>
          <w:tcPr>
            <w:tcW w:w="1796" w:type="pct"/>
            <w:gridSpan w:val="2"/>
            <w:tcBorders>
              <w:top w:val="single" w:sz="4" w:space="0" w:color="auto"/>
              <w:left w:val="single" w:sz="4" w:space="0" w:color="auto"/>
              <w:bottom w:val="single" w:sz="4" w:space="0" w:color="auto"/>
              <w:right w:val="single" w:sz="4" w:space="0" w:color="auto"/>
            </w:tcBorders>
          </w:tcPr>
          <w:p w14:paraId="3D427725" w14:textId="561FED69"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(4) Până la 18 iulie 2015, ABE prezintă Comisiei un raport privind publicarea de către statele membre a sancțiunilor, fără a indica identitatea entităților implicate, în conformitate cu alineatul (2), în special atunci când au existat diferențe semnificative între statele membre în această privință. În plus, ABE prezintă un raport Comisiei privind orice diferențe semnificative în ceea ce privește durata publicării sancțiunilor în temeiul dreptului intern.</w:t>
            </w:r>
          </w:p>
        </w:tc>
        <w:tc>
          <w:tcPr>
            <w:tcW w:w="1928" w:type="pct"/>
            <w:gridSpan w:val="3"/>
            <w:tcBorders>
              <w:top w:val="single" w:sz="4" w:space="0" w:color="auto"/>
              <w:left w:val="single" w:sz="4" w:space="0" w:color="auto"/>
              <w:bottom w:val="single" w:sz="4" w:space="0" w:color="auto"/>
              <w:right w:val="single" w:sz="4" w:space="0" w:color="auto"/>
            </w:tcBorders>
          </w:tcPr>
          <w:p w14:paraId="21920787" w14:textId="77777777" w:rsidR="002F47A0" w:rsidRPr="009E686F" w:rsidRDefault="002F47A0" w:rsidP="002F47A0">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188CB591" w14:textId="3FB2F5D1"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Norme UE neaplicabile</w:t>
            </w:r>
          </w:p>
          <w:p w14:paraId="7A377E3C" w14:textId="21A390DA" w:rsidR="002F47A0" w:rsidRPr="009E686F" w:rsidRDefault="002F47A0" w:rsidP="002F47A0">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79938F6C" w14:textId="7AB621DA"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Se referă la competențele ABE.</w:t>
            </w:r>
          </w:p>
        </w:tc>
      </w:tr>
      <w:tr w:rsidR="002F47A0" w:rsidRPr="009E686F" w14:paraId="48C813DA" w14:textId="65F61A9C" w:rsidTr="00774F3E">
        <w:tc>
          <w:tcPr>
            <w:tcW w:w="1796" w:type="pct"/>
            <w:gridSpan w:val="2"/>
            <w:tcBorders>
              <w:top w:val="single" w:sz="4" w:space="0" w:color="auto"/>
              <w:left w:val="single" w:sz="4" w:space="0" w:color="auto"/>
              <w:bottom w:val="single" w:sz="4" w:space="0" w:color="auto"/>
              <w:right w:val="single" w:sz="4" w:space="0" w:color="auto"/>
            </w:tcBorders>
          </w:tcPr>
          <w:p w14:paraId="6B089C4E" w14:textId="77777777" w:rsidR="002F47A0" w:rsidRPr="009E686F" w:rsidRDefault="002F47A0" w:rsidP="002F47A0">
            <w:pPr>
              <w:spacing w:after="0"/>
              <w:jc w:val="both"/>
              <w:rPr>
                <w:rFonts w:ascii="Times New Roman" w:hAnsi="Times New Roman" w:cs="Times New Roman"/>
                <w:i/>
                <w:iCs/>
                <w:lang w:val="ro-RO"/>
              </w:rPr>
            </w:pPr>
            <w:r w:rsidRPr="009E686F">
              <w:rPr>
                <w:rFonts w:ascii="Times New Roman" w:hAnsi="Times New Roman" w:cs="Times New Roman"/>
                <w:i/>
                <w:iCs/>
                <w:lang w:val="ro-RO"/>
              </w:rPr>
              <w:t xml:space="preserve">Articolul 69 </w:t>
            </w:r>
          </w:p>
          <w:p w14:paraId="09B6DC3C"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 xml:space="preserve">Schimbul de informații privind sancțiunile și menținerea de către ABE a unei baze de date centrale </w:t>
            </w:r>
          </w:p>
          <w:p w14:paraId="7000E64C" w14:textId="77777777" w:rsidR="002F47A0" w:rsidRPr="009E686F" w:rsidRDefault="002F47A0" w:rsidP="002F47A0">
            <w:pPr>
              <w:spacing w:after="0"/>
              <w:jc w:val="both"/>
              <w:rPr>
                <w:rFonts w:ascii="Times New Roman" w:hAnsi="Times New Roman" w:cs="Times New Roman"/>
                <w:lang w:val="ro-RO"/>
              </w:rPr>
            </w:pPr>
          </w:p>
          <w:p w14:paraId="51400B62" w14:textId="472BA25F"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 xml:space="preserve">(1) Sub rezerva respectării cerințelor de păstrare a secretului profesional menționate la articolul 53 alineatul (1), autoritățile competente informează ABE cu privire la toate sancțiunile administrative, inclusiv toate interdicțiile permanente, aplicate în temeiul articolelor 65, 66 și 67, inclusiv orice cale de atac și rezultatul acesteia. ABE menține o bază de date centralizată a sancțiunilor administrative care i-au fost aduse la cunoștință, exclusiv în scopul schimburilor de informații dintre autoritățile competente. Baza de date poate fi accesată numai de </w:t>
            </w:r>
            <w:r w:rsidRPr="009E686F">
              <w:rPr>
                <w:rFonts w:ascii="Times New Roman" w:hAnsi="Times New Roman" w:cs="Times New Roman"/>
                <w:lang w:val="ro-RO"/>
              </w:rPr>
              <w:lastRenderedPageBreak/>
              <w:t>autoritățile competente și este actualizată pe baza informațiilor furnizate de acestea.</w:t>
            </w:r>
          </w:p>
        </w:tc>
        <w:tc>
          <w:tcPr>
            <w:tcW w:w="1928" w:type="pct"/>
            <w:gridSpan w:val="3"/>
            <w:tcBorders>
              <w:top w:val="single" w:sz="4" w:space="0" w:color="auto"/>
              <w:left w:val="single" w:sz="4" w:space="0" w:color="auto"/>
              <w:bottom w:val="single" w:sz="4" w:space="0" w:color="auto"/>
              <w:right w:val="single" w:sz="4" w:space="0" w:color="auto"/>
            </w:tcBorders>
          </w:tcPr>
          <w:p w14:paraId="011289DB" w14:textId="77777777" w:rsidR="002F47A0" w:rsidRPr="009E686F" w:rsidRDefault="002F47A0" w:rsidP="002F47A0">
            <w:pPr>
              <w:spacing w:after="0"/>
              <w:jc w:val="both"/>
              <w:rPr>
                <w:rFonts w:ascii="Times New Roman" w:hAnsi="Times New Roman" w:cs="Times New Roman"/>
                <w:b/>
                <w:bCs/>
                <w:lang w:val="ro-MD"/>
              </w:rPr>
            </w:pPr>
            <w:r w:rsidRPr="009E686F">
              <w:rPr>
                <w:rFonts w:ascii="Times New Roman" w:hAnsi="Times New Roman" w:cs="Times New Roman"/>
                <w:b/>
                <w:bCs/>
                <w:lang w:val="ro-MD"/>
              </w:rPr>
              <w:lastRenderedPageBreak/>
              <w:t>Legea nr. 548/1997 cu privire la Banca Națională a Moldovei</w:t>
            </w:r>
          </w:p>
          <w:p w14:paraId="3A8E52FD" w14:textId="77777777" w:rsidR="002F47A0" w:rsidRPr="009E686F" w:rsidRDefault="002F47A0" w:rsidP="002F47A0">
            <w:pPr>
              <w:spacing w:after="0"/>
              <w:jc w:val="both"/>
              <w:rPr>
                <w:rFonts w:ascii="Times New Roman" w:hAnsi="Times New Roman" w:cs="Times New Roman"/>
                <w:b/>
                <w:bCs/>
                <w:i/>
                <w:iCs/>
                <w:lang w:val="ro-MD"/>
              </w:rPr>
            </w:pPr>
          </w:p>
          <w:p w14:paraId="79179656" w14:textId="0D3B6495" w:rsidR="002F47A0" w:rsidRPr="009E686F" w:rsidRDefault="002F47A0" w:rsidP="002F47A0">
            <w:pPr>
              <w:spacing w:after="0"/>
              <w:jc w:val="both"/>
              <w:rPr>
                <w:rFonts w:ascii="Times New Roman" w:hAnsi="Times New Roman" w:cs="Times New Roman"/>
                <w:i/>
                <w:iCs/>
                <w:lang w:val="ro-RO"/>
              </w:rPr>
            </w:pPr>
            <w:r w:rsidRPr="009E686F">
              <w:rPr>
                <w:rFonts w:ascii="Times New Roman" w:hAnsi="Times New Roman" w:cs="Times New Roman"/>
                <w:b/>
                <w:bCs/>
                <w:i/>
                <w:iCs/>
                <w:lang w:val="ro-RO"/>
              </w:rPr>
              <w:t>Articolul 75</w:t>
            </w:r>
            <w:r w:rsidRPr="009E686F">
              <w:rPr>
                <w:rFonts w:ascii="Times New Roman" w:hAnsi="Times New Roman" w:cs="Times New Roman"/>
                <w:b/>
                <w:bCs/>
                <w:i/>
                <w:iCs/>
                <w:vertAlign w:val="superscript"/>
                <w:lang w:val="ro-RO"/>
              </w:rPr>
              <w:t>4</w:t>
            </w:r>
            <w:r w:rsidRPr="009E686F">
              <w:rPr>
                <w:rFonts w:ascii="Times New Roman" w:hAnsi="Times New Roman" w:cs="Times New Roman"/>
                <w:b/>
                <w:bCs/>
                <w:i/>
                <w:iCs/>
                <w:lang w:val="ro-RO"/>
              </w:rPr>
              <w:t>.</w:t>
            </w:r>
            <w:r w:rsidRPr="009E686F">
              <w:rPr>
                <w:rFonts w:ascii="Times New Roman" w:hAnsi="Times New Roman" w:cs="Times New Roman"/>
                <w:i/>
                <w:iCs/>
                <w:lang w:val="ro-RO"/>
              </w:rPr>
              <w:t xml:space="preserve"> Schimbul de informații privind sancțiunile</w:t>
            </w:r>
          </w:p>
          <w:p w14:paraId="641260D9" w14:textId="0C01EB3E" w:rsidR="002F47A0" w:rsidRPr="009E686F" w:rsidRDefault="002F47A0" w:rsidP="002F47A0">
            <w:pPr>
              <w:spacing w:after="0"/>
              <w:jc w:val="both"/>
              <w:rPr>
                <w:rFonts w:ascii="Times New Roman" w:hAnsi="Times New Roman" w:cs="Times New Roman"/>
                <w:i/>
                <w:iCs/>
                <w:lang w:val="ro-RO"/>
              </w:rPr>
            </w:pPr>
            <w:r w:rsidRPr="009E686F">
              <w:rPr>
                <w:rFonts w:ascii="Times New Roman" w:hAnsi="Times New Roman" w:cs="Times New Roman"/>
                <w:i/>
                <w:iCs/>
                <w:lang w:val="ro-RO"/>
              </w:rPr>
              <w:t xml:space="preserve">(1) Banca Națională a Moldovei informează Autoritatea Bancară Europeană cu privire la sancțiunile aplicate în temeiul Legii nr. 202/2017 privind activitatea instituțiilor de credit, inclusiv informaţiile privind contestarea </w:t>
            </w:r>
            <w:r w:rsidR="00AC5410" w:rsidRPr="009E686F">
              <w:rPr>
                <w:rFonts w:ascii="Times New Roman" w:hAnsi="Times New Roman" w:cs="Times New Roman"/>
                <w:i/>
                <w:iCs/>
                <w:lang w:val="ro-RO"/>
              </w:rPr>
              <w:t>actelor Băncii Naționale prin care au fost aplicate</w:t>
            </w:r>
            <w:r w:rsidRPr="009E686F">
              <w:rPr>
                <w:rFonts w:ascii="Times New Roman" w:hAnsi="Times New Roman" w:cs="Times New Roman"/>
                <w:i/>
                <w:iCs/>
                <w:lang w:val="ro-RO"/>
              </w:rPr>
              <w:t xml:space="preserve">, cu condiția respectării prevederilor cu privire la secretul profesional din capitolul 3 al titlului V din Legea nr.202/2017 privind activitatea instituțiilor de credit. </w:t>
            </w:r>
          </w:p>
          <w:p w14:paraId="516C3947" w14:textId="40AA6FBB" w:rsidR="002F47A0" w:rsidRPr="009E686F" w:rsidRDefault="00AC5410" w:rsidP="002F47A0">
            <w:pPr>
              <w:spacing w:after="0"/>
              <w:jc w:val="both"/>
              <w:rPr>
                <w:rFonts w:ascii="Times New Roman" w:hAnsi="Times New Roman" w:cs="Times New Roman"/>
                <w:b/>
                <w:i/>
                <w:iCs/>
                <w:lang w:val="ro-RO"/>
              </w:rPr>
            </w:pPr>
            <w:r w:rsidRPr="009E686F">
              <w:rPr>
                <w:rFonts w:ascii="Times New Roman" w:hAnsi="Times New Roman" w:cs="Times New Roman"/>
                <w:i/>
                <w:iCs/>
                <w:lang w:val="ro-RO"/>
              </w:rPr>
              <w:t xml:space="preserve">(2) În cazul în care, în cadrul procedurii de contestare a actului Băncii Naționale prin care a fost aplicată sancțiunea, au intervenit modificări sau contestația a fost soluţionată în mod definitiv în favoarea persoanei fizice sau juridice sancționate, </w:t>
            </w:r>
            <w:r w:rsidRPr="009E686F">
              <w:rPr>
                <w:rFonts w:ascii="Times New Roman" w:hAnsi="Times New Roman" w:cs="Times New Roman"/>
                <w:i/>
                <w:iCs/>
                <w:lang w:val="ro-RO"/>
              </w:rPr>
              <w:lastRenderedPageBreak/>
              <w:t>Banca Naţională a Moldovei solicită Autorităţii Bancare Europene actualizarea</w:t>
            </w:r>
            <w:r w:rsidRPr="009E686F">
              <w:rPr>
                <w:rFonts w:ascii="Times New Roman" w:eastAsia="Calibri" w:hAnsi="Times New Roman"/>
                <w:bCs/>
                <w:i/>
                <w:iCs/>
                <w:lang w:val="ro-RO"/>
              </w:rPr>
              <w:t xml:space="preserve"> informațiilor comunicate potrivit alin. </w:t>
            </w:r>
            <w:r w:rsidRPr="009E686F">
              <w:rPr>
                <w:rFonts w:ascii="Times New Roman" w:eastAsia="Calibri" w:hAnsi="Times New Roman"/>
                <w:bCs/>
                <w:i/>
                <w:iCs/>
                <w:lang w:val="it-CH"/>
              </w:rPr>
              <w:t>(1) în termen de cel mult 30 de zile de la data rămânerii definitive a hotărârii</w:t>
            </w:r>
            <w:r w:rsidRPr="009E686F">
              <w:rPr>
                <w:rFonts w:ascii="Times New Roman" w:hAnsi="Times New Roman" w:cs="Times New Roman"/>
                <w:i/>
                <w:iCs/>
                <w:lang w:val="it-CH"/>
              </w:rPr>
              <w:t xml:space="preserve"> prin care a fost soluționată contestația sau, după caz, eliminarea din baza de date a informaţiilor comunicate.</w:t>
            </w:r>
          </w:p>
        </w:tc>
        <w:tc>
          <w:tcPr>
            <w:tcW w:w="470" w:type="pct"/>
            <w:tcBorders>
              <w:top w:val="single" w:sz="4" w:space="0" w:color="auto"/>
              <w:left w:val="single" w:sz="4" w:space="0" w:color="auto"/>
              <w:bottom w:val="single" w:sz="4" w:space="0" w:color="auto"/>
              <w:right w:val="single" w:sz="4" w:space="0" w:color="auto"/>
            </w:tcBorders>
          </w:tcPr>
          <w:p w14:paraId="62153A7E" w14:textId="46C2203F"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lastRenderedPageBreak/>
              <w:t>Compatibil</w:t>
            </w:r>
          </w:p>
          <w:p w14:paraId="3FDE2898" w14:textId="2A1F861A" w:rsidR="002F47A0" w:rsidRPr="009E686F" w:rsidRDefault="002F47A0" w:rsidP="002F47A0">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6E4E10E7" w14:textId="658D3A57"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Art. I din proiectul de lege pentru modificarea Legii nr. 202/2017 și altor acte normative</w:t>
            </w:r>
          </w:p>
        </w:tc>
      </w:tr>
      <w:tr w:rsidR="002F47A0" w:rsidRPr="009E686F" w14:paraId="2195CF00" w14:textId="7D774D94" w:rsidTr="00774F3E">
        <w:tc>
          <w:tcPr>
            <w:tcW w:w="1796" w:type="pct"/>
            <w:gridSpan w:val="2"/>
            <w:tcBorders>
              <w:top w:val="single" w:sz="4" w:space="0" w:color="auto"/>
              <w:left w:val="single" w:sz="4" w:space="0" w:color="auto"/>
              <w:bottom w:val="single" w:sz="4" w:space="0" w:color="auto"/>
              <w:right w:val="single" w:sz="4" w:space="0" w:color="auto"/>
            </w:tcBorders>
          </w:tcPr>
          <w:p w14:paraId="46A6CD98" w14:textId="70759EA4"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 xml:space="preserve">(2) Atunci când o autoritate competentă evaluează buna reputație în sensul articolului 13 alineatul (1), al articolului 16 alineatul (3), al articolului 91 alineatul (1) și al articolului 121, aceasta consultă baza de date cu sancțiuni administrative a ABE. </w:t>
            </w:r>
          </w:p>
        </w:tc>
        <w:tc>
          <w:tcPr>
            <w:tcW w:w="1928" w:type="pct"/>
            <w:gridSpan w:val="3"/>
            <w:tcBorders>
              <w:top w:val="single" w:sz="4" w:space="0" w:color="auto"/>
              <w:left w:val="single" w:sz="4" w:space="0" w:color="auto"/>
              <w:bottom w:val="single" w:sz="4" w:space="0" w:color="auto"/>
              <w:right w:val="single" w:sz="4" w:space="0" w:color="auto"/>
            </w:tcBorders>
          </w:tcPr>
          <w:p w14:paraId="1125A87C" w14:textId="3983D305" w:rsidR="002F47A0" w:rsidRPr="009E686F" w:rsidRDefault="002F47A0" w:rsidP="002F47A0">
            <w:pPr>
              <w:spacing w:after="0"/>
              <w:jc w:val="both"/>
              <w:rPr>
                <w:rFonts w:ascii="Times New Roman" w:eastAsia="Aptos" w:hAnsi="Times New Roman" w:cs="Times New Roman"/>
                <w:b/>
                <w:bCs/>
                <w:kern w:val="2"/>
                <w:lang w:val="ro-MD"/>
              </w:rPr>
            </w:pPr>
            <w:r w:rsidRPr="009E686F">
              <w:rPr>
                <w:rFonts w:ascii="Times New Roman" w:eastAsia="Aptos" w:hAnsi="Times New Roman" w:cs="Times New Roman"/>
                <w:b/>
                <w:bCs/>
                <w:kern w:val="2"/>
                <w:lang w:val="ro-MD"/>
              </w:rPr>
              <w:t xml:space="preserve">Articolul 128 </w:t>
            </w:r>
            <w:r w:rsidRPr="009E686F">
              <w:rPr>
                <w:rFonts w:ascii="Times New Roman" w:hAnsi="Times New Roman" w:cs="Times New Roman"/>
                <w:b/>
                <w:bCs/>
                <w:lang w:val="ro-RO"/>
              </w:rPr>
              <w:t>alin.</w:t>
            </w:r>
            <w:r w:rsidRPr="009E686F">
              <w:rPr>
                <w:rFonts w:ascii="Times New Roman" w:eastAsia="Aptos" w:hAnsi="Times New Roman" w:cs="Times New Roman"/>
                <w:b/>
                <w:bCs/>
                <w:kern w:val="2"/>
                <w:lang w:val="ro-MD"/>
              </w:rPr>
              <w:t xml:space="preserve"> (3)</w:t>
            </w:r>
          </w:p>
          <w:p w14:paraId="51D4C784" w14:textId="4143245B" w:rsidR="002F47A0" w:rsidRPr="009E686F" w:rsidRDefault="002F47A0" w:rsidP="002F47A0">
            <w:pPr>
              <w:spacing w:after="0"/>
              <w:jc w:val="both"/>
              <w:rPr>
                <w:rFonts w:ascii="Times New Roman" w:hAnsi="Times New Roman" w:cs="Times New Roman"/>
                <w:i/>
                <w:iCs/>
                <w:lang w:val="ro-RO"/>
              </w:rPr>
            </w:pPr>
            <w:r w:rsidRPr="009E686F">
              <w:rPr>
                <w:rFonts w:ascii="Times New Roman" w:eastAsia="Aptos" w:hAnsi="Times New Roman" w:cs="Times New Roman"/>
                <w:i/>
                <w:iCs/>
                <w:kern w:val="2"/>
                <w:lang w:val="ro-MD"/>
              </w:rPr>
              <w:t>(3) În cazul în care evaluează reputația în sensul art. 11 alin. (2), 18 alin. (3), 43, 44</w:t>
            </w:r>
            <w:r w:rsidRPr="009E686F">
              <w:rPr>
                <w:rFonts w:ascii="Times New Roman" w:eastAsia="Aptos" w:hAnsi="Times New Roman" w:cs="Times New Roman"/>
                <w:i/>
                <w:iCs/>
                <w:kern w:val="2"/>
                <w:vertAlign w:val="superscript"/>
                <w:lang w:val="ro-MD"/>
              </w:rPr>
              <w:t>1</w:t>
            </w:r>
            <w:r w:rsidRPr="009E686F">
              <w:rPr>
                <w:rFonts w:ascii="Times New Roman" w:eastAsia="Aptos" w:hAnsi="Times New Roman" w:cs="Times New Roman"/>
                <w:i/>
                <w:iCs/>
                <w:kern w:val="2"/>
                <w:lang w:val="ro-MD"/>
              </w:rPr>
              <w:t xml:space="preserve"> și 119 alin. (1), Banca Națională a Moldovei consultă baza de date centralizată a sancțiunilor pe care Autoritatea Bancară Europeană o administrează.</w:t>
            </w:r>
          </w:p>
        </w:tc>
        <w:tc>
          <w:tcPr>
            <w:tcW w:w="470" w:type="pct"/>
            <w:tcBorders>
              <w:top w:val="single" w:sz="4" w:space="0" w:color="auto"/>
              <w:left w:val="single" w:sz="4" w:space="0" w:color="auto"/>
              <w:bottom w:val="single" w:sz="4" w:space="0" w:color="auto"/>
              <w:right w:val="single" w:sz="4" w:space="0" w:color="auto"/>
            </w:tcBorders>
          </w:tcPr>
          <w:p w14:paraId="34209373" w14:textId="1C3809FD"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p w14:paraId="6AF7055E" w14:textId="36BE65C5" w:rsidR="002F47A0" w:rsidRPr="009E686F" w:rsidRDefault="002F47A0" w:rsidP="002F47A0">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37152DCE" w14:textId="79AA2E7E" w:rsidR="002F47A0" w:rsidRPr="009E686F" w:rsidRDefault="00890F67" w:rsidP="002F47A0">
            <w:pPr>
              <w:jc w:val="both"/>
              <w:rPr>
                <w:rFonts w:ascii="Times New Roman" w:hAnsi="Times New Roman" w:cs="Times New Roman"/>
                <w:lang w:val="ro-RO"/>
              </w:rPr>
            </w:pPr>
            <w:r w:rsidRPr="009E686F">
              <w:rPr>
                <w:rFonts w:ascii="Times New Roman" w:hAnsi="Times New Roman" w:cs="Times New Roman"/>
                <w:lang w:val="ro-RO"/>
              </w:rPr>
              <w:t>În vigoare – data aderării.</w:t>
            </w:r>
          </w:p>
        </w:tc>
      </w:tr>
      <w:tr w:rsidR="002F47A0" w:rsidRPr="009E686F" w14:paraId="36FFC793"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49984743" w14:textId="100EE42C"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În cazul schimbării situației sau a succesului unei căi de atac, ABE elimină sau actualizează din baza de date informațiile relevante la solicitarea autorităților competente.</w:t>
            </w:r>
          </w:p>
        </w:tc>
        <w:tc>
          <w:tcPr>
            <w:tcW w:w="1928" w:type="pct"/>
            <w:gridSpan w:val="3"/>
            <w:tcBorders>
              <w:top w:val="single" w:sz="4" w:space="0" w:color="auto"/>
              <w:left w:val="single" w:sz="4" w:space="0" w:color="auto"/>
              <w:bottom w:val="single" w:sz="4" w:space="0" w:color="auto"/>
              <w:right w:val="single" w:sz="4" w:space="0" w:color="auto"/>
            </w:tcBorders>
          </w:tcPr>
          <w:p w14:paraId="71F2AF40" w14:textId="77777777" w:rsidR="002F47A0" w:rsidRPr="009E686F" w:rsidRDefault="002F47A0" w:rsidP="002F47A0">
            <w:pPr>
              <w:spacing w:after="0"/>
              <w:jc w:val="both"/>
              <w:rPr>
                <w:rFonts w:ascii="Times New Roman" w:eastAsia="Aptos" w:hAnsi="Times New Roman" w:cs="Times New Roman"/>
                <w:b/>
                <w:bCs/>
                <w:kern w:val="2"/>
                <w:lang w:val="ro-MD"/>
              </w:rPr>
            </w:pPr>
          </w:p>
        </w:tc>
        <w:tc>
          <w:tcPr>
            <w:tcW w:w="470" w:type="pct"/>
            <w:tcBorders>
              <w:top w:val="single" w:sz="4" w:space="0" w:color="auto"/>
              <w:left w:val="single" w:sz="4" w:space="0" w:color="auto"/>
              <w:bottom w:val="single" w:sz="4" w:space="0" w:color="auto"/>
              <w:right w:val="single" w:sz="4" w:space="0" w:color="auto"/>
            </w:tcBorders>
          </w:tcPr>
          <w:p w14:paraId="67083B8B" w14:textId="77777777"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Norme UE neaplicabile</w:t>
            </w:r>
          </w:p>
          <w:p w14:paraId="063A2942" w14:textId="77777777" w:rsidR="002F47A0" w:rsidRPr="009E686F" w:rsidRDefault="002F47A0" w:rsidP="002F47A0">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004D77F6" w14:textId="4AE5416D"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Se referă la competențele ABE.</w:t>
            </w:r>
          </w:p>
        </w:tc>
      </w:tr>
      <w:tr w:rsidR="002F47A0" w:rsidRPr="009E686F" w14:paraId="78A653A6" w14:textId="36D304F2" w:rsidTr="00774F3E">
        <w:tc>
          <w:tcPr>
            <w:tcW w:w="1796" w:type="pct"/>
            <w:gridSpan w:val="2"/>
            <w:tcBorders>
              <w:top w:val="single" w:sz="4" w:space="0" w:color="auto"/>
              <w:left w:val="single" w:sz="4" w:space="0" w:color="auto"/>
              <w:bottom w:val="single" w:sz="4" w:space="0" w:color="auto"/>
              <w:right w:val="single" w:sz="4" w:space="0" w:color="auto"/>
            </w:tcBorders>
          </w:tcPr>
          <w:p w14:paraId="3F1BF5D0" w14:textId="25BC1E6E"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(3) Autoritățile competente verifică, în conformitate cu dreptul intern, existența unei condamnări relevante în cazierul judiciar al persoanei în cauză. În acest sens, informațiile sunt transmise în conformitate cu Decizia 2009/316/JAI a Consiliului și cu Decizia-cadru 2009/315/JAI, astfel cum au fost transpuse în dreptul intern.</w:t>
            </w:r>
          </w:p>
        </w:tc>
        <w:tc>
          <w:tcPr>
            <w:tcW w:w="1928" w:type="pct"/>
            <w:gridSpan w:val="3"/>
            <w:tcBorders>
              <w:top w:val="single" w:sz="4" w:space="0" w:color="auto"/>
              <w:left w:val="single" w:sz="4" w:space="0" w:color="auto"/>
              <w:bottom w:val="single" w:sz="4" w:space="0" w:color="auto"/>
              <w:right w:val="single" w:sz="4" w:space="0" w:color="auto"/>
            </w:tcBorders>
          </w:tcPr>
          <w:p w14:paraId="5333AD26" w14:textId="404E2E6A" w:rsidR="002F47A0" w:rsidRPr="009E686F" w:rsidRDefault="002F47A0" w:rsidP="002F47A0">
            <w:pPr>
              <w:spacing w:after="0"/>
              <w:jc w:val="both"/>
              <w:rPr>
                <w:rFonts w:ascii="Times New Roman" w:eastAsia="Aptos" w:hAnsi="Times New Roman" w:cs="Times New Roman"/>
                <w:b/>
                <w:bCs/>
                <w:kern w:val="2"/>
                <w:lang w:val="ro-MD"/>
              </w:rPr>
            </w:pPr>
            <w:r w:rsidRPr="009E686F">
              <w:rPr>
                <w:rFonts w:ascii="Times New Roman" w:eastAsia="Aptos" w:hAnsi="Times New Roman" w:cs="Times New Roman"/>
                <w:b/>
                <w:bCs/>
                <w:kern w:val="2"/>
                <w:lang w:val="ro-MD"/>
              </w:rPr>
              <w:t xml:space="preserve">Articolul 128 </w:t>
            </w:r>
            <w:r w:rsidRPr="009E686F">
              <w:rPr>
                <w:rFonts w:ascii="Times New Roman" w:hAnsi="Times New Roman" w:cs="Times New Roman"/>
                <w:b/>
                <w:bCs/>
                <w:lang w:val="ro-RO"/>
              </w:rPr>
              <w:t>alin.</w:t>
            </w:r>
            <w:r w:rsidRPr="009E686F">
              <w:rPr>
                <w:rFonts w:ascii="Times New Roman" w:eastAsia="Aptos" w:hAnsi="Times New Roman" w:cs="Times New Roman"/>
                <w:b/>
                <w:bCs/>
                <w:kern w:val="2"/>
                <w:lang w:val="ro-MD"/>
              </w:rPr>
              <w:t xml:space="preserve"> (5)</w:t>
            </w:r>
          </w:p>
          <w:p w14:paraId="00729AA9" w14:textId="0E844D97" w:rsidR="002F47A0" w:rsidRPr="009E686F" w:rsidRDefault="002F47A0" w:rsidP="002F47A0">
            <w:pPr>
              <w:spacing w:after="0"/>
              <w:jc w:val="both"/>
              <w:rPr>
                <w:rFonts w:ascii="Times New Roman" w:hAnsi="Times New Roman" w:cs="Times New Roman"/>
                <w:b/>
                <w:i/>
                <w:iCs/>
                <w:lang w:val="ro-RO"/>
              </w:rPr>
            </w:pPr>
            <w:r w:rsidRPr="009E686F">
              <w:rPr>
                <w:rFonts w:ascii="Times New Roman" w:hAnsi="Times New Roman" w:cs="Times New Roman"/>
                <w:i/>
                <w:lang w:val="ro-RO"/>
              </w:rPr>
              <w:t xml:space="preserve">(5) Banca Națională a Moldovei are dreptul de a verifica existența unei condamnări relevante în cazierul judiciar al persoanelor menționate la alin. </w:t>
            </w:r>
            <w:r w:rsidRPr="009E686F">
              <w:rPr>
                <w:rFonts w:ascii="Times New Roman" w:hAnsi="Times New Roman" w:cs="Times New Roman"/>
                <w:i/>
                <w:iCs/>
                <w:lang w:val="it-CH"/>
              </w:rPr>
              <w:t xml:space="preserve">(4) în </w:t>
            </w:r>
            <w:r w:rsidR="001F4200" w:rsidRPr="009E686F">
              <w:rPr>
                <w:rFonts w:ascii="Times New Roman" w:hAnsi="Times New Roman" w:cs="Times New Roman"/>
                <w:i/>
                <w:iCs/>
                <w:lang w:val="it-CH"/>
              </w:rPr>
              <w:t xml:space="preserve">Registrul informației </w:t>
            </w:r>
            <w:r w:rsidRPr="009E686F">
              <w:rPr>
                <w:rFonts w:ascii="Times New Roman" w:hAnsi="Times New Roman" w:cs="Times New Roman"/>
                <w:i/>
                <w:iCs/>
                <w:lang w:val="it-CH"/>
              </w:rPr>
              <w:t>criminalistice și criminologice stabilit de Guvern</w:t>
            </w:r>
            <w:r w:rsidR="001F4200" w:rsidRPr="009E686F">
              <w:rPr>
                <w:rFonts w:ascii="Times New Roman" w:hAnsi="Times New Roman" w:cs="Times New Roman"/>
                <w:i/>
                <w:iCs/>
                <w:lang w:val="it-CH"/>
              </w:rPr>
              <w:t xml:space="preserve"> și alte registre similare</w:t>
            </w:r>
            <w:r w:rsidRPr="009E686F">
              <w:rPr>
                <w:rFonts w:ascii="Times New Roman" w:hAnsi="Times New Roman" w:cs="Times New Roman"/>
                <w:i/>
                <w:iCs/>
                <w:lang w:val="it-CH"/>
              </w:rPr>
              <w:t>.</w:t>
            </w:r>
          </w:p>
        </w:tc>
        <w:tc>
          <w:tcPr>
            <w:tcW w:w="470" w:type="pct"/>
            <w:tcBorders>
              <w:top w:val="single" w:sz="4" w:space="0" w:color="auto"/>
              <w:left w:val="single" w:sz="4" w:space="0" w:color="auto"/>
              <w:bottom w:val="single" w:sz="4" w:space="0" w:color="auto"/>
              <w:right w:val="single" w:sz="4" w:space="0" w:color="auto"/>
            </w:tcBorders>
          </w:tcPr>
          <w:p w14:paraId="0D95DB9D" w14:textId="17539960"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p w14:paraId="47A3F978" w14:textId="03F50CAA" w:rsidR="002F47A0" w:rsidRPr="009E686F" w:rsidRDefault="002F47A0" w:rsidP="002F47A0">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697D2AAF" w14:textId="77777777" w:rsidR="002F47A0" w:rsidRPr="009E686F" w:rsidRDefault="002F47A0" w:rsidP="002F47A0">
            <w:pPr>
              <w:jc w:val="both"/>
              <w:rPr>
                <w:rFonts w:ascii="Times New Roman" w:hAnsi="Times New Roman" w:cs="Times New Roman"/>
                <w:lang w:val="ro-RO"/>
              </w:rPr>
            </w:pPr>
          </w:p>
        </w:tc>
      </w:tr>
      <w:tr w:rsidR="002F47A0" w:rsidRPr="009E686F" w14:paraId="258D7B82" w14:textId="16CF17DA" w:rsidTr="00774F3E">
        <w:tc>
          <w:tcPr>
            <w:tcW w:w="1796" w:type="pct"/>
            <w:gridSpan w:val="2"/>
            <w:tcBorders>
              <w:top w:val="single" w:sz="4" w:space="0" w:color="auto"/>
              <w:left w:val="single" w:sz="4" w:space="0" w:color="auto"/>
              <w:bottom w:val="single" w:sz="4" w:space="0" w:color="auto"/>
              <w:right w:val="single" w:sz="4" w:space="0" w:color="auto"/>
            </w:tcBorders>
          </w:tcPr>
          <w:p w14:paraId="06B69DF2" w14:textId="690F2F9F"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(4) ABE menține o pagină web cu linkuri către publicarea de către fiecare autoritate competentă a sancțiunilor administrative în temeiul articolului 68 și indică perioada de timp pentru care fiecare stat membru publică sancțiunile administrative.</w:t>
            </w:r>
          </w:p>
        </w:tc>
        <w:tc>
          <w:tcPr>
            <w:tcW w:w="1928" w:type="pct"/>
            <w:gridSpan w:val="3"/>
            <w:tcBorders>
              <w:top w:val="single" w:sz="4" w:space="0" w:color="auto"/>
              <w:left w:val="single" w:sz="4" w:space="0" w:color="auto"/>
              <w:bottom w:val="single" w:sz="4" w:space="0" w:color="auto"/>
              <w:right w:val="single" w:sz="4" w:space="0" w:color="auto"/>
            </w:tcBorders>
          </w:tcPr>
          <w:p w14:paraId="79D9F982" w14:textId="77777777" w:rsidR="002F47A0" w:rsidRPr="009E686F" w:rsidRDefault="002F47A0" w:rsidP="002F47A0">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34654C56" w14:textId="0AFFE68B"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Norme UE neaplicabile</w:t>
            </w:r>
          </w:p>
          <w:p w14:paraId="3A45DF1F" w14:textId="448CA69A" w:rsidR="002F47A0" w:rsidRPr="009E686F" w:rsidRDefault="002F47A0" w:rsidP="002F47A0">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5B733B1C" w14:textId="598EC0C3"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Se referă la competențele ABE.</w:t>
            </w:r>
          </w:p>
        </w:tc>
      </w:tr>
      <w:tr w:rsidR="002F47A0" w:rsidRPr="009E686F" w14:paraId="50BCAF10" w14:textId="2B3B37E4" w:rsidTr="00774F3E">
        <w:tc>
          <w:tcPr>
            <w:tcW w:w="1796" w:type="pct"/>
            <w:gridSpan w:val="2"/>
            <w:tcBorders>
              <w:top w:val="single" w:sz="4" w:space="0" w:color="auto"/>
              <w:left w:val="single" w:sz="4" w:space="0" w:color="auto"/>
              <w:bottom w:val="single" w:sz="4" w:space="0" w:color="auto"/>
              <w:right w:val="single" w:sz="4" w:space="0" w:color="auto"/>
            </w:tcBorders>
          </w:tcPr>
          <w:p w14:paraId="5CC0B6F1" w14:textId="77777777" w:rsidR="002F47A0" w:rsidRPr="009E686F" w:rsidRDefault="002F47A0" w:rsidP="002F47A0">
            <w:pPr>
              <w:spacing w:after="0"/>
              <w:jc w:val="both"/>
              <w:rPr>
                <w:rFonts w:ascii="Times New Roman" w:hAnsi="Times New Roman" w:cs="Times New Roman"/>
                <w:i/>
                <w:iCs/>
                <w:lang w:val="ro-RO"/>
              </w:rPr>
            </w:pPr>
            <w:r w:rsidRPr="009E686F">
              <w:rPr>
                <w:rFonts w:ascii="Times New Roman" w:hAnsi="Times New Roman" w:cs="Times New Roman"/>
                <w:i/>
                <w:iCs/>
                <w:lang w:val="ro-RO"/>
              </w:rPr>
              <w:t xml:space="preserve">Articolul 70 </w:t>
            </w:r>
          </w:p>
          <w:p w14:paraId="762E7EE8" w14:textId="72FF79D9"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Aplicarea efectivă a sancțiunilor administrative și a altor măsuri administrative și exercitarea competențelor de a impune sancțiuni de către autoritățile competente</w:t>
            </w:r>
          </w:p>
        </w:tc>
        <w:tc>
          <w:tcPr>
            <w:tcW w:w="1928" w:type="pct"/>
            <w:gridSpan w:val="3"/>
            <w:tcBorders>
              <w:top w:val="single" w:sz="4" w:space="0" w:color="auto"/>
              <w:left w:val="single" w:sz="4" w:space="0" w:color="auto"/>
              <w:bottom w:val="single" w:sz="4" w:space="0" w:color="auto"/>
              <w:right w:val="single" w:sz="4" w:space="0" w:color="auto"/>
            </w:tcBorders>
          </w:tcPr>
          <w:p w14:paraId="65B4CD39" w14:textId="77777777" w:rsidR="002F47A0" w:rsidRPr="009E686F" w:rsidRDefault="002F47A0" w:rsidP="002F47A0">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b/>
                <w:bCs/>
                <w:kern w:val="2"/>
                <w:lang w:val="ro-MD"/>
              </w:rPr>
              <w:t>Articolul 142.</w:t>
            </w:r>
            <w:r w:rsidRPr="009E686F">
              <w:rPr>
                <w:rFonts w:ascii="Times New Roman" w:eastAsia="Aptos" w:hAnsi="Times New Roman" w:cs="Times New Roman"/>
                <w:kern w:val="2"/>
                <w:lang w:val="ro-MD"/>
              </w:rPr>
              <w:t xml:space="preserve"> Aplicarea sancţiunilor</w:t>
            </w:r>
            <w:bookmarkStart w:id="20" w:name="_Hlk215571828"/>
            <w:r w:rsidRPr="009E686F">
              <w:rPr>
                <w:rFonts w:ascii="Times New Roman" w:eastAsia="Aptos" w:hAnsi="Times New Roman" w:cs="Times New Roman"/>
                <w:kern w:val="2"/>
                <w:lang w:val="ro-MD"/>
              </w:rPr>
              <w:t xml:space="preserve">, penalităților cu titlu cominatoriu </w:t>
            </w:r>
            <w:bookmarkEnd w:id="20"/>
            <w:r w:rsidRPr="009E686F">
              <w:rPr>
                <w:rFonts w:ascii="Times New Roman" w:eastAsia="Aptos" w:hAnsi="Times New Roman" w:cs="Times New Roman"/>
                <w:kern w:val="2"/>
                <w:lang w:val="ro-MD"/>
              </w:rPr>
              <w:t>şi a altor măsuri sancţionatoare</w:t>
            </w:r>
          </w:p>
          <w:p w14:paraId="3129F374" w14:textId="77777777" w:rsidR="002F47A0" w:rsidRPr="009E686F" w:rsidRDefault="002F47A0" w:rsidP="002F47A0">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316D7F62" w14:textId="127B6A8B"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616778B7" w14:textId="77777777" w:rsidR="002F47A0" w:rsidRPr="009E686F" w:rsidRDefault="002F47A0" w:rsidP="002F47A0">
            <w:pPr>
              <w:jc w:val="both"/>
              <w:rPr>
                <w:rFonts w:ascii="Times New Roman" w:hAnsi="Times New Roman" w:cs="Times New Roman"/>
                <w:lang w:val="ro-RO"/>
              </w:rPr>
            </w:pPr>
          </w:p>
        </w:tc>
      </w:tr>
      <w:tr w:rsidR="002F47A0" w:rsidRPr="009E686F" w14:paraId="3F2D5E94" w14:textId="275F3B22" w:rsidTr="00774F3E">
        <w:tc>
          <w:tcPr>
            <w:tcW w:w="1796" w:type="pct"/>
            <w:gridSpan w:val="2"/>
            <w:tcBorders>
              <w:top w:val="single" w:sz="4" w:space="0" w:color="auto"/>
              <w:left w:val="single" w:sz="4" w:space="0" w:color="auto"/>
              <w:bottom w:val="single" w:sz="4" w:space="0" w:color="auto"/>
              <w:right w:val="single" w:sz="4" w:space="0" w:color="auto"/>
            </w:tcBorders>
          </w:tcPr>
          <w:p w14:paraId="7636D8C4" w14:textId="606C9C55"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lastRenderedPageBreak/>
              <w:t>(1)Statele membre se asigură că, atunci când stabilesc tipul sancțiunilor administrative sau al altor măsuri administrative și nivelul sancțiunilor administrative,  autoritățile competente iau în considerare toate circumstanțele relevante, inclusiv, după caz:</w:t>
            </w:r>
          </w:p>
        </w:tc>
        <w:tc>
          <w:tcPr>
            <w:tcW w:w="1928" w:type="pct"/>
            <w:gridSpan w:val="3"/>
            <w:tcBorders>
              <w:top w:val="single" w:sz="4" w:space="0" w:color="auto"/>
              <w:left w:val="single" w:sz="4" w:space="0" w:color="auto"/>
              <w:bottom w:val="single" w:sz="4" w:space="0" w:color="auto"/>
              <w:right w:val="single" w:sz="4" w:space="0" w:color="auto"/>
            </w:tcBorders>
          </w:tcPr>
          <w:p w14:paraId="3A5BFFF1" w14:textId="16C60B23"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(2) La stabilirea tipului sancţiunii sau a măsurii sancţionatoare şi a cuantumului amenzii</w:t>
            </w:r>
            <w:r w:rsidR="00E46644" w:rsidRPr="009E686F">
              <w:rPr>
                <w:rFonts w:ascii="Times New Roman" w:hAnsi="Times New Roman" w:cs="Times New Roman"/>
                <w:lang w:val="ro-RO"/>
              </w:rPr>
              <w:t xml:space="preserve"> </w:t>
            </w:r>
            <w:r w:rsidR="00E46644" w:rsidRPr="009E686F">
              <w:rPr>
                <w:rFonts w:ascii="Times New Roman" w:hAnsi="Times New Roman" w:cs="Times New Roman"/>
                <w:i/>
                <w:iCs/>
                <w:lang w:val="ro-RO"/>
              </w:rPr>
              <w:t>sau penalității cu titlu cominatoriu</w:t>
            </w:r>
            <w:r w:rsidRPr="009E686F">
              <w:rPr>
                <w:rFonts w:ascii="Times New Roman" w:hAnsi="Times New Roman" w:cs="Times New Roman"/>
                <w:lang w:val="ro-RO"/>
              </w:rPr>
              <w:t>, Banca Naţională a Moldovei are în vedere toate circumstanţele relevante ale săvârşirii faptei, inclusiv următoarele aspecte, după caz:</w:t>
            </w:r>
          </w:p>
        </w:tc>
        <w:tc>
          <w:tcPr>
            <w:tcW w:w="470" w:type="pct"/>
            <w:tcBorders>
              <w:top w:val="single" w:sz="4" w:space="0" w:color="auto"/>
              <w:left w:val="single" w:sz="4" w:space="0" w:color="auto"/>
              <w:bottom w:val="single" w:sz="4" w:space="0" w:color="auto"/>
              <w:right w:val="single" w:sz="4" w:space="0" w:color="auto"/>
            </w:tcBorders>
          </w:tcPr>
          <w:p w14:paraId="76769B36" w14:textId="29C4765C"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59FC3590" w14:textId="77777777" w:rsidR="002F47A0" w:rsidRPr="009E686F" w:rsidRDefault="002F47A0" w:rsidP="002F47A0">
            <w:pPr>
              <w:jc w:val="both"/>
              <w:rPr>
                <w:rFonts w:ascii="Times New Roman" w:hAnsi="Times New Roman" w:cs="Times New Roman"/>
                <w:lang w:val="ro-RO"/>
              </w:rPr>
            </w:pPr>
          </w:p>
        </w:tc>
      </w:tr>
      <w:tr w:rsidR="002F47A0" w:rsidRPr="009E686F" w14:paraId="636264AB" w14:textId="538C7801" w:rsidTr="00A54A92">
        <w:trPr>
          <w:trHeight w:val="6913"/>
        </w:trPr>
        <w:tc>
          <w:tcPr>
            <w:tcW w:w="1796" w:type="pct"/>
            <w:gridSpan w:val="2"/>
            <w:tcBorders>
              <w:top w:val="single" w:sz="4" w:space="0" w:color="auto"/>
              <w:left w:val="single" w:sz="4" w:space="0" w:color="auto"/>
              <w:right w:val="single" w:sz="4" w:space="0" w:color="auto"/>
            </w:tcBorders>
          </w:tcPr>
          <w:p w14:paraId="1863C969"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(a)gravitatea și durata încălcării;</w:t>
            </w:r>
          </w:p>
          <w:p w14:paraId="473276F1"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(b) gradul de responsabilitate al persoanei fizice sau juridice responsabile de încălcare;</w:t>
            </w:r>
          </w:p>
          <w:p w14:paraId="7609E56C"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(c) capacitatea financiară a persoanei fizice sau juridice responsabile de încălcare, astfel cum este indicată, printre altele de cifra de afaceri totală a persoanei juridice sau de venitul anual al persoanei fizice;</w:t>
            </w:r>
          </w:p>
          <w:p w14:paraId="74B35352"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(d) volumul profiturilor obținute sau al pierderilor evitate de către persoana fizică sau juridică responsabilă de încălcare, în măsura în care acestea pot fi stabilite;</w:t>
            </w:r>
          </w:p>
          <w:p w14:paraId="2878AF79"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(e) pierderile suferite de terți ca urmare a încălcării, în măsura în care acestea pot fi stabilite;</w:t>
            </w:r>
          </w:p>
          <w:p w14:paraId="38F08DF9"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măsura în care persoana fizică sau juridică responsabilă de încălcare cooperează cu autoritatea competentă;</w:t>
            </w:r>
          </w:p>
          <w:p w14:paraId="7F835B33"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(g) încălcări anterioare comise de persoana fizică sau juridică responsabilă de încălcare;</w:t>
            </w:r>
          </w:p>
          <w:p w14:paraId="6D4EBA3F"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(h) orice posibile consecințe sistemice ale încălcării.</w:t>
            </w:r>
          </w:p>
          <w:p w14:paraId="63D2B1A7" w14:textId="004BF382"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(i) sancțiuni penale aplicate anterior pentru aceeași încălcare persoanei fizice sau juridice responsabile de încălcarea respectivă.</w:t>
            </w:r>
          </w:p>
        </w:tc>
        <w:tc>
          <w:tcPr>
            <w:tcW w:w="1928" w:type="pct"/>
            <w:gridSpan w:val="3"/>
            <w:tcBorders>
              <w:top w:val="single" w:sz="4" w:space="0" w:color="auto"/>
              <w:left w:val="single" w:sz="4" w:space="0" w:color="auto"/>
              <w:right w:val="single" w:sz="4" w:space="0" w:color="auto"/>
            </w:tcBorders>
          </w:tcPr>
          <w:p w14:paraId="4529619D"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a) gravitatea şi durata faptei;</w:t>
            </w:r>
          </w:p>
          <w:p w14:paraId="5F92ACDC"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b) gradul de vinovăţie a persoanei fizice sau juridice responsabile;</w:t>
            </w:r>
          </w:p>
          <w:p w14:paraId="18FE522F"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c) capacitatea financiară a persoanei fizice sau juridice responsabile de încălcare, astfel cum rezultă, de exemplu, din venitul anual al persoanei fizice responsabile sau din cifra de afaceri totală a persoanei juridice responsabile;</w:t>
            </w:r>
          </w:p>
          <w:p w14:paraId="41011F3E"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d) importanţa și volumul profiturilor realizate sau a pierderilor evitate de către persoana fizică sau juridică responsabilă, în beneficiul acesteia, în măsura în care acestea pot fi determinate;</w:t>
            </w:r>
          </w:p>
          <w:p w14:paraId="63186291"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e) prejudiciile cauzate terţilor, în măsura în care pot fi determinate;</w:t>
            </w:r>
          </w:p>
          <w:p w14:paraId="398A34BC"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f) gradul de cooperare a persoanei fizice sau juridice responsabile cu Banca Naţională a Moldovei;</w:t>
            </w:r>
          </w:p>
          <w:p w14:paraId="0615E4E5"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g) încălcările săvârşite anterior de persoana fizică sau juridică responsabilă;</w:t>
            </w:r>
          </w:p>
          <w:p w14:paraId="10FADB71"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h) orice posibile consecinţe sistemice ale faptei săvârşite.</w:t>
            </w:r>
          </w:p>
          <w:p w14:paraId="163383C2" w14:textId="02C14503" w:rsidR="002F47A0" w:rsidRPr="009E686F" w:rsidRDefault="002F47A0" w:rsidP="002F47A0">
            <w:pPr>
              <w:spacing w:after="0"/>
              <w:jc w:val="both"/>
              <w:rPr>
                <w:rFonts w:ascii="Times New Roman" w:hAnsi="Times New Roman" w:cs="Times New Roman"/>
                <w:lang w:val="ro-RO"/>
              </w:rPr>
            </w:pPr>
            <w:r w:rsidRPr="009E686F">
              <w:rPr>
                <w:rFonts w:ascii="Times New Roman" w:eastAsia="Aptos" w:hAnsi="Times New Roman" w:cs="Times New Roman"/>
                <w:i/>
                <w:iCs/>
                <w:kern w:val="2"/>
                <w:lang w:val="ro-MD"/>
              </w:rPr>
              <w:t>i) sancțiuni penale aplicate anterior pentru aceeași încălcare persoanei fizice sau juridice responsabile de încălcarea respectivă.</w:t>
            </w:r>
          </w:p>
        </w:tc>
        <w:tc>
          <w:tcPr>
            <w:tcW w:w="470" w:type="pct"/>
            <w:tcBorders>
              <w:top w:val="single" w:sz="4" w:space="0" w:color="auto"/>
              <w:left w:val="single" w:sz="4" w:space="0" w:color="auto"/>
              <w:right w:val="single" w:sz="4" w:space="0" w:color="auto"/>
            </w:tcBorders>
          </w:tcPr>
          <w:p w14:paraId="365F4155" w14:textId="77777777"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p w14:paraId="486CCD3E" w14:textId="49FD93B3" w:rsidR="002F47A0" w:rsidRPr="009E686F" w:rsidRDefault="002F47A0" w:rsidP="002F47A0">
            <w:pPr>
              <w:jc w:val="both"/>
              <w:rPr>
                <w:rFonts w:ascii="Times New Roman" w:hAnsi="Times New Roman" w:cs="Times New Roman"/>
                <w:lang w:val="ro-RO"/>
              </w:rPr>
            </w:pPr>
          </w:p>
          <w:p w14:paraId="51527514" w14:textId="230DB3BE" w:rsidR="002F47A0" w:rsidRPr="009E686F" w:rsidRDefault="002F47A0" w:rsidP="002F47A0">
            <w:pPr>
              <w:jc w:val="both"/>
              <w:rPr>
                <w:rFonts w:ascii="Times New Roman" w:hAnsi="Times New Roman" w:cs="Times New Roman"/>
                <w:lang w:val="ro-RO"/>
              </w:rPr>
            </w:pPr>
          </w:p>
        </w:tc>
        <w:tc>
          <w:tcPr>
            <w:tcW w:w="806" w:type="pct"/>
            <w:tcBorders>
              <w:top w:val="single" w:sz="4" w:space="0" w:color="auto"/>
              <w:left w:val="single" w:sz="4" w:space="0" w:color="auto"/>
              <w:right w:val="single" w:sz="4" w:space="0" w:color="auto"/>
            </w:tcBorders>
          </w:tcPr>
          <w:p w14:paraId="78AA75DA" w14:textId="77777777" w:rsidR="002F47A0" w:rsidRPr="009E686F" w:rsidRDefault="002F47A0" w:rsidP="002F47A0">
            <w:pPr>
              <w:jc w:val="both"/>
              <w:rPr>
                <w:rFonts w:ascii="Times New Roman" w:hAnsi="Times New Roman" w:cs="Times New Roman"/>
                <w:lang w:val="ro-RO"/>
              </w:rPr>
            </w:pPr>
          </w:p>
        </w:tc>
      </w:tr>
      <w:tr w:rsidR="002F47A0" w:rsidRPr="009E686F" w14:paraId="6A659A3B"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715FBCE8" w14:textId="0B91A0DC"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lastRenderedPageBreak/>
              <w:t>(2) În exercitarea competențelor lor de a impune sancțiuni administrative și alte măsuri administrative, autoritățile competente cooperează îndeaproape pentru a se asigura că sancțiunile și măsurile respective produc rezultatele urmărite de prezenta directivă. Autoritățile competente își coordonează, de asemenea, acțiunile pentru a preveni acumularea și suprapunerea sancțiunilor administrative și ale altor măsuri administrative pe care le aplică în cazuri transfrontaliere.</w:t>
            </w:r>
          </w:p>
        </w:tc>
        <w:tc>
          <w:tcPr>
            <w:tcW w:w="1928" w:type="pct"/>
            <w:gridSpan w:val="3"/>
            <w:tcBorders>
              <w:top w:val="single" w:sz="4" w:space="0" w:color="auto"/>
              <w:left w:val="single" w:sz="4" w:space="0" w:color="auto"/>
              <w:bottom w:val="single" w:sz="4" w:space="0" w:color="auto"/>
              <w:right w:val="single" w:sz="4" w:space="0" w:color="auto"/>
            </w:tcBorders>
          </w:tcPr>
          <w:p w14:paraId="0990AAE6" w14:textId="3CF7F258" w:rsidR="002F47A0" w:rsidRPr="009E686F" w:rsidRDefault="002F47A0" w:rsidP="002F47A0">
            <w:pPr>
              <w:spacing w:after="0"/>
              <w:jc w:val="both"/>
              <w:rPr>
                <w:rFonts w:ascii="Times New Roman" w:hAnsi="Times New Roman" w:cs="Times New Roman"/>
                <w:i/>
                <w:iCs/>
                <w:lang w:val="ro-RO"/>
              </w:rPr>
            </w:pPr>
            <w:r w:rsidRPr="009E686F">
              <w:rPr>
                <w:rFonts w:ascii="Times New Roman" w:eastAsia="Aptos" w:hAnsi="Times New Roman" w:cs="Times New Roman"/>
                <w:i/>
                <w:iCs/>
                <w:kern w:val="2"/>
                <w:lang w:val="ro-MD"/>
              </w:rPr>
              <w:t xml:space="preserve">(6) În exercitarea competențelor Băncii Naționale a Moldovei de a </w:t>
            </w:r>
            <w:r w:rsidR="00736131" w:rsidRPr="009E686F">
              <w:rPr>
                <w:rFonts w:ascii="Times New Roman" w:eastAsia="Aptos" w:hAnsi="Times New Roman" w:cs="Times New Roman"/>
                <w:i/>
                <w:iCs/>
                <w:kern w:val="2"/>
                <w:lang w:val="ro-MD"/>
              </w:rPr>
              <w:t xml:space="preserve">aplica </w:t>
            </w:r>
            <w:r w:rsidRPr="009E686F">
              <w:rPr>
                <w:rFonts w:ascii="Times New Roman" w:eastAsia="Aptos" w:hAnsi="Times New Roman" w:cs="Times New Roman"/>
                <w:i/>
                <w:iCs/>
                <w:kern w:val="2"/>
                <w:lang w:val="ro-MD"/>
              </w:rPr>
              <w:t>sancțiuni</w:t>
            </w:r>
            <w:r w:rsidR="00736131" w:rsidRPr="009E686F">
              <w:rPr>
                <w:rFonts w:ascii="Times New Roman" w:eastAsia="Aptos" w:hAnsi="Times New Roman" w:cs="Times New Roman"/>
                <w:i/>
                <w:iCs/>
                <w:kern w:val="2"/>
                <w:lang w:val="ro-MD"/>
              </w:rPr>
              <w:t>, penalități cu titlu cominatoriu</w:t>
            </w:r>
            <w:r w:rsidRPr="009E686F">
              <w:rPr>
                <w:rFonts w:ascii="Times New Roman" w:eastAsia="Aptos" w:hAnsi="Times New Roman" w:cs="Times New Roman"/>
                <w:i/>
                <w:iCs/>
                <w:kern w:val="2"/>
                <w:lang w:val="ro-MD"/>
              </w:rPr>
              <w:t xml:space="preserve"> sau măsuri sancționatoare conform prezentei legi, Banca Națională a Moldovei cooperează îndeaproape cu alte autorități competente pentru a se asigura că sancțiunile și măsurile respective produc rezultatele urmărite de prezenta lege. Bana Națională a Moldovei își coordonează, de asemenea, acțiunile pentru a preveni acumularea și suprapunerea măsurilor și sancțiunilor pe care le aplică în cazuri transfrontaliere.</w:t>
            </w:r>
          </w:p>
        </w:tc>
        <w:tc>
          <w:tcPr>
            <w:tcW w:w="470" w:type="pct"/>
            <w:tcBorders>
              <w:top w:val="single" w:sz="4" w:space="0" w:color="auto"/>
              <w:left w:val="single" w:sz="4" w:space="0" w:color="auto"/>
              <w:bottom w:val="single" w:sz="4" w:space="0" w:color="auto"/>
              <w:right w:val="single" w:sz="4" w:space="0" w:color="auto"/>
            </w:tcBorders>
          </w:tcPr>
          <w:p w14:paraId="7B4E1915" w14:textId="77777777"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p w14:paraId="0DF8F80D" w14:textId="77777777" w:rsidR="002F47A0" w:rsidRPr="009E686F" w:rsidRDefault="002F47A0" w:rsidP="002F47A0">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2350B612" w14:textId="77777777" w:rsidR="002F47A0" w:rsidRPr="009E686F" w:rsidRDefault="002F47A0" w:rsidP="002F47A0">
            <w:pPr>
              <w:jc w:val="both"/>
              <w:rPr>
                <w:rFonts w:ascii="Times New Roman" w:hAnsi="Times New Roman" w:cs="Times New Roman"/>
                <w:lang w:val="ro-RO"/>
              </w:rPr>
            </w:pPr>
          </w:p>
        </w:tc>
      </w:tr>
      <w:tr w:rsidR="002F47A0" w:rsidRPr="009E686F" w14:paraId="69EDFDC8"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2E9256EF" w14:textId="4E1ADA61"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(3) Autoritățile competente pot aplica sancțiuni unei persoane fizice sau juridice responsabile de aceleași fapte sau omisiuni în cazul cumulării unor proceduri administrative și penale referitoare la aceeași încălcare. Cu toate acestea, o astfel de cumulare de proceduri și de sancțiuni este strict necesară și proporțională pentru a se urmări obiective de interes general diferite și complementare.</w:t>
            </w:r>
          </w:p>
        </w:tc>
        <w:tc>
          <w:tcPr>
            <w:tcW w:w="1928" w:type="pct"/>
            <w:gridSpan w:val="3"/>
            <w:tcBorders>
              <w:top w:val="single" w:sz="4" w:space="0" w:color="auto"/>
              <w:left w:val="single" w:sz="4" w:space="0" w:color="auto"/>
              <w:bottom w:val="single" w:sz="4" w:space="0" w:color="auto"/>
              <w:right w:val="single" w:sz="4" w:space="0" w:color="auto"/>
            </w:tcBorders>
          </w:tcPr>
          <w:p w14:paraId="7A0BEC92" w14:textId="7EFACC0F" w:rsidR="002F47A0" w:rsidRPr="009E686F" w:rsidRDefault="002F47A0" w:rsidP="002F47A0">
            <w:pPr>
              <w:spacing w:after="0"/>
              <w:jc w:val="both"/>
              <w:rPr>
                <w:rFonts w:ascii="Times New Roman" w:hAnsi="Times New Roman" w:cs="Times New Roman"/>
                <w:i/>
                <w:iCs/>
                <w:lang w:val="ro-RO"/>
              </w:rPr>
            </w:pPr>
            <w:r w:rsidRPr="009E686F">
              <w:rPr>
                <w:rFonts w:ascii="Times New Roman" w:eastAsia="Aptos" w:hAnsi="Times New Roman" w:cs="Times New Roman"/>
                <w:i/>
                <w:iCs/>
                <w:kern w:val="2"/>
                <w:lang w:val="ro-MD"/>
              </w:rPr>
              <w:t xml:space="preserve">(7) Banca Națională a Moldovei poate aplica sancțiuni unei persoane fizice sau juridice responsabile de aceleași fapte sau omisiuni în cazul cumulării unor proceduri administrative și penale referitoare la aceeași încălcare. Cu toate acestea, o astfel de cumulare de proceduri și de sancțiuni </w:t>
            </w:r>
            <w:r w:rsidR="00C41F5D" w:rsidRPr="009E686F">
              <w:rPr>
                <w:rFonts w:ascii="Times New Roman" w:eastAsia="Aptos" w:hAnsi="Times New Roman" w:cs="Times New Roman"/>
                <w:i/>
                <w:iCs/>
                <w:kern w:val="2"/>
                <w:lang w:val="ro-MD"/>
              </w:rPr>
              <w:t xml:space="preserve">se aplică în cazul în care </w:t>
            </w:r>
            <w:r w:rsidRPr="009E686F">
              <w:rPr>
                <w:rFonts w:ascii="Times New Roman" w:eastAsia="Aptos" w:hAnsi="Times New Roman" w:cs="Times New Roman"/>
                <w:i/>
                <w:iCs/>
                <w:kern w:val="2"/>
                <w:lang w:val="ro-MD"/>
              </w:rPr>
              <w:t>este strict necesară și proporțională pentru a se urmări obiective de interes general diferite și complementare.</w:t>
            </w:r>
          </w:p>
        </w:tc>
        <w:tc>
          <w:tcPr>
            <w:tcW w:w="470" w:type="pct"/>
            <w:tcBorders>
              <w:top w:val="single" w:sz="4" w:space="0" w:color="auto"/>
              <w:left w:val="single" w:sz="4" w:space="0" w:color="auto"/>
              <w:bottom w:val="single" w:sz="4" w:space="0" w:color="auto"/>
              <w:right w:val="single" w:sz="4" w:space="0" w:color="auto"/>
            </w:tcBorders>
          </w:tcPr>
          <w:p w14:paraId="7E2527F2" w14:textId="77777777"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p w14:paraId="367FA88E" w14:textId="77777777" w:rsidR="002F47A0" w:rsidRPr="009E686F" w:rsidRDefault="002F47A0" w:rsidP="002F47A0">
            <w:pPr>
              <w:jc w:val="both"/>
              <w:rPr>
                <w:rFonts w:ascii="Times New Roman" w:hAnsi="Times New Roman" w:cs="Times New Roman"/>
                <w:b/>
                <w:bCs/>
                <w:lang w:val="ro-RO"/>
              </w:rPr>
            </w:pPr>
          </w:p>
        </w:tc>
        <w:tc>
          <w:tcPr>
            <w:tcW w:w="806" w:type="pct"/>
            <w:tcBorders>
              <w:top w:val="single" w:sz="4" w:space="0" w:color="auto"/>
              <w:left w:val="single" w:sz="4" w:space="0" w:color="auto"/>
              <w:bottom w:val="single" w:sz="4" w:space="0" w:color="auto"/>
              <w:right w:val="single" w:sz="4" w:space="0" w:color="auto"/>
            </w:tcBorders>
          </w:tcPr>
          <w:p w14:paraId="5A7231D1" w14:textId="77777777" w:rsidR="002F47A0" w:rsidRPr="009E686F" w:rsidRDefault="002F47A0" w:rsidP="002F47A0">
            <w:pPr>
              <w:jc w:val="both"/>
              <w:rPr>
                <w:rFonts w:ascii="Times New Roman" w:hAnsi="Times New Roman" w:cs="Times New Roman"/>
                <w:lang w:val="ro-RO"/>
              </w:rPr>
            </w:pPr>
          </w:p>
        </w:tc>
      </w:tr>
      <w:tr w:rsidR="002F47A0" w:rsidRPr="009E686F" w14:paraId="77E6F30D"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25D5BCDB" w14:textId="6B011F4E"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(4) Statele membre dispun de mecanisme adecvate pentru a se asigura că autoritățile competente și autoritățile judiciare sunt informate în mod corespunzător, în timp util, în cazul în care sunt inițiate proceduri administrative și penale împotriva unei persoane fizice sau juridice care poate fi considerată responsabilă de același comportament în cadrul ambelor proceduri.</w:t>
            </w:r>
          </w:p>
        </w:tc>
        <w:tc>
          <w:tcPr>
            <w:tcW w:w="1928" w:type="pct"/>
            <w:gridSpan w:val="3"/>
            <w:tcBorders>
              <w:top w:val="single" w:sz="4" w:space="0" w:color="auto"/>
              <w:left w:val="single" w:sz="4" w:space="0" w:color="auto"/>
              <w:bottom w:val="single" w:sz="4" w:space="0" w:color="auto"/>
              <w:right w:val="single" w:sz="4" w:space="0" w:color="auto"/>
            </w:tcBorders>
          </w:tcPr>
          <w:p w14:paraId="01A1700E" w14:textId="65ACF02B" w:rsidR="002F47A0" w:rsidRPr="009E686F" w:rsidRDefault="002F47A0" w:rsidP="002F47A0">
            <w:pPr>
              <w:spacing w:after="0"/>
              <w:jc w:val="both"/>
              <w:rPr>
                <w:rFonts w:ascii="Times New Roman" w:hAnsi="Times New Roman" w:cs="Times New Roman"/>
                <w:i/>
                <w:iCs/>
                <w:lang w:val="ro-RO"/>
              </w:rPr>
            </w:pPr>
            <w:r w:rsidRPr="009E686F">
              <w:rPr>
                <w:rFonts w:ascii="Times New Roman" w:eastAsia="Aptos" w:hAnsi="Times New Roman" w:cs="Times New Roman"/>
                <w:i/>
                <w:iCs/>
                <w:kern w:val="2"/>
                <w:lang w:val="ro-MD"/>
              </w:rPr>
              <w:t>(8) Banca Națională a Moldovei utilizează toate mecanismele necesare pentru a se asigura că este informată în mod corespunzător, în timp util, în cazul în care sunt inițiate proceduri administrative și penale împotriva unei persoane fizice sau juridice care poate fi considerată responsabilă de același comportament în cadrul ambelor proceduri.</w:t>
            </w:r>
          </w:p>
        </w:tc>
        <w:tc>
          <w:tcPr>
            <w:tcW w:w="470" w:type="pct"/>
            <w:tcBorders>
              <w:top w:val="single" w:sz="4" w:space="0" w:color="auto"/>
              <w:left w:val="single" w:sz="4" w:space="0" w:color="auto"/>
              <w:bottom w:val="single" w:sz="4" w:space="0" w:color="auto"/>
              <w:right w:val="single" w:sz="4" w:space="0" w:color="auto"/>
            </w:tcBorders>
          </w:tcPr>
          <w:p w14:paraId="727A6FB7" w14:textId="77777777"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p w14:paraId="29548D46" w14:textId="77777777" w:rsidR="002F47A0" w:rsidRPr="009E686F" w:rsidRDefault="002F47A0" w:rsidP="002F47A0">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2BBC7526" w14:textId="77777777" w:rsidR="002F47A0" w:rsidRPr="009E686F" w:rsidRDefault="002F47A0" w:rsidP="002F47A0">
            <w:pPr>
              <w:jc w:val="both"/>
              <w:rPr>
                <w:rFonts w:ascii="Times New Roman" w:hAnsi="Times New Roman" w:cs="Times New Roman"/>
                <w:lang w:val="ro-RO"/>
              </w:rPr>
            </w:pPr>
          </w:p>
        </w:tc>
      </w:tr>
      <w:tr w:rsidR="002F47A0" w:rsidRPr="009E686F" w14:paraId="5C8C21FE" w14:textId="77777777" w:rsidTr="00774F3E">
        <w:trPr>
          <w:trHeight w:val="2629"/>
        </w:trPr>
        <w:tc>
          <w:tcPr>
            <w:tcW w:w="1796" w:type="pct"/>
            <w:gridSpan w:val="2"/>
            <w:vMerge w:val="restart"/>
            <w:tcBorders>
              <w:top w:val="single" w:sz="4" w:space="0" w:color="auto"/>
              <w:left w:val="single" w:sz="4" w:space="0" w:color="auto"/>
              <w:right w:val="single" w:sz="4" w:space="0" w:color="auto"/>
            </w:tcBorders>
          </w:tcPr>
          <w:p w14:paraId="1012D865"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lastRenderedPageBreak/>
              <w:t>(5) Până la 18 iulie 2029, ABE înaintează Comisiei un raport privind cooperarea dintre autoritățile competente în contextul aplicării sancțiunilor administrative, a penalităților cu titlu cominatoriu și a altor măsuri administrative. În plus, ABE evaluează eventualele diferențe în aplicarea sancțiunilor administrative între autoritățile competente în acest sens. În special, ABE evaluează:</w:t>
            </w:r>
          </w:p>
          <w:p w14:paraId="3E0448C6"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(a) nivelul de cooperare dintre autoritățile competente în contextul sancțiunilor aplicabile în cazurile transfrontaliere sau în cazul cumulării procedurilor administrative și penale;</w:t>
            </w:r>
          </w:p>
          <w:p w14:paraId="4568A29B"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(b) schimbul de informații între autoritățile competente atunci când se ocupă de cazuri transfrontaliere;</w:t>
            </w:r>
          </w:p>
          <w:p w14:paraId="5A32E382"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(c) bunele practici în domeniul sancțiunilor administrative, al penalităților cu titlu cominatoriu și al altor măsuri administrative, elaborate de orice autoritate competentă, care ar putea fi benefice pentru alte autorități competente;</w:t>
            </w:r>
          </w:p>
          <w:p w14:paraId="27AABF94" w14:textId="6D4ECBD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(d) eficacitatea și gradul de convergență atins în ceea ce privește asigurarea respectării dispozițiilor naționale de transpunere a prezentei directive și a Regulamentului (UE) nr. 575/2013, inclusiv a sancțiunilor administrative, a penalităților cu titlu cominatoriu și a altor măsuri administrative impuse persoanelor fizice sau juridice identificate ca fiind responsabile de încălcare în temeiul dreptului intern.</w:t>
            </w:r>
          </w:p>
        </w:tc>
        <w:tc>
          <w:tcPr>
            <w:tcW w:w="1928" w:type="pct"/>
            <w:gridSpan w:val="3"/>
            <w:vMerge w:val="restart"/>
            <w:tcBorders>
              <w:top w:val="single" w:sz="4" w:space="0" w:color="auto"/>
              <w:left w:val="single" w:sz="4" w:space="0" w:color="auto"/>
              <w:right w:val="single" w:sz="4" w:space="0" w:color="auto"/>
            </w:tcBorders>
          </w:tcPr>
          <w:p w14:paraId="5EE0AF25" w14:textId="77777777" w:rsidR="002F47A0" w:rsidRPr="009E686F" w:rsidRDefault="002F47A0" w:rsidP="002F47A0">
            <w:pPr>
              <w:spacing w:after="0"/>
              <w:jc w:val="both"/>
              <w:rPr>
                <w:rFonts w:ascii="Times New Roman" w:hAnsi="Times New Roman" w:cs="Times New Roman"/>
                <w:lang w:val="ro-RO"/>
              </w:rPr>
            </w:pPr>
          </w:p>
        </w:tc>
        <w:tc>
          <w:tcPr>
            <w:tcW w:w="470" w:type="pct"/>
            <w:vMerge w:val="restart"/>
            <w:tcBorders>
              <w:top w:val="single" w:sz="4" w:space="0" w:color="auto"/>
              <w:left w:val="single" w:sz="4" w:space="0" w:color="auto"/>
              <w:right w:val="single" w:sz="4" w:space="0" w:color="auto"/>
            </w:tcBorders>
          </w:tcPr>
          <w:p w14:paraId="5E1CA29C" w14:textId="15C539C1"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Norme UE neaplicabile</w:t>
            </w:r>
          </w:p>
          <w:p w14:paraId="6CABF68E" w14:textId="77777777" w:rsidR="002F47A0" w:rsidRPr="009E686F" w:rsidRDefault="002F47A0" w:rsidP="002F47A0">
            <w:pPr>
              <w:jc w:val="both"/>
              <w:rPr>
                <w:rFonts w:ascii="Times New Roman" w:hAnsi="Times New Roman" w:cs="Times New Roman"/>
                <w:lang w:val="ro-RO"/>
              </w:rPr>
            </w:pPr>
          </w:p>
        </w:tc>
        <w:tc>
          <w:tcPr>
            <w:tcW w:w="806" w:type="pct"/>
            <w:tcBorders>
              <w:top w:val="single" w:sz="4" w:space="0" w:color="auto"/>
              <w:left w:val="single" w:sz="4" w:space="0" w:color="auto"/>
              <w:right w:val="single" w:sz="4" w:space="0" w:color="auto"/>
            </w:tcBorders>
          </w:tcPr>
          <w:p w14:paraId="1C1E96CE" w14:textId="3EF940BE"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Se referă la competențele ABE.</w:t>
            </w:r>
          </w:p>
        </w:tc>
      </w:tr>
      <w:tr w:rsidR="002F47A0" w:rsidRPr="009E686F" w14:paraId="250F6A6D" w14:textId="77777777" w:rsidTr="00774F3E">
        <w:tc>
          <w:tcPr>
            <w:tcW w:w="1796" w:type="pct"/>
            <w:gridSpan w:val="2"/>
            <w:vMerge/>
            <w:tcBorders>
              <w:left w:val="single" w:sz="4" w:space="0" w:color="auto"/>
              <w:bottom w:val="single" w:sz="4" w:space="0" w:color="auto"/>
              <w:right w:val="single" w:sz="4" w:space="0" w:color="auto"/>
            </w:tcBorders>
          </w:tcPr>
          <w:p w14:paraId="18889121" w14:textId="7EACEC78" w:rsidR="002F47A0" w:rsidRPr="009E686F" w:rsidRDefault="002F47A0" w:rsidP="002F47A0">
            <w:pPr>
              <w:spacing w:after="0"/>
              <w:jc w:val="both"/>
              <w:rPr>
                <w:rFonts w:ascii="Times New Roman" w:hAnsi="Times New Roman" w:cs="Times New Roman"/>
                <w:lang w:val="ro-RO"/>
              </w:rPr>
            </w:pPr>
          </w:p>
        </w:tc>
        <w:tc>
          <w:tcPr>
            <w:tcW w:w="1928" w:type="pct"/>
            <w:gridSpan w:val="3"/>
            <w:vMerge/>
            <w:tcBorders>
              <w:left w:val="single" w:sz="4" w:space="0" w:color="auto"/>
              <w:bottom w:val="single" w:sz="4" w:space="0" w:color="auto"/>
              <w:right w:val="single" w:sz="4" w:space="0" w:color="auto"/>
            </w:tcBorders>
          </w:tcPr>
          <w:p w14:paraId="5429F274" w14:textId="77777777" w:rsidR="002F47A0" w:rsidRPr="009E686F" w:rsidRDefault="002F47A0" w:rsidP="002F47A0">
            <w:pPr>
              <w:spacing w:after="0"/>
              <w:jc w:val="both"/>
              <w:rPr>
                <w:rFonts w:ascii="Times New Roman" w:hAnsi="Times New Roman" w:cs="Times New Roman"/>
                <w:lang w:val="ro-RO"/>
              </w:rPr>
            </w:pPr>
          </w:p>
        </w:tc>
        <w:tc>
          <w:tcPr>
            <w:tcW w:w="470" w:type="pct"/>
            <w:vMerge/>
            <w:tcBorders>
              <w:left w:val="single" w:sz="4" w:space="0" w:color="auto"/>
              <w:bottom w:val="single" w:sz="4" w:space="0" w:color="auto"/>
              <w:right w:val="single" w:sz="4" w:space="0" w:color="auto"/>
            </w:tcBorders>
          </w:tcPr>
          <w:p w14:paraId="6847309E" w14:textId="77777777" w:rsidR="002F47A0" w:rsidRPr="009E686F" w:rsidRDefault="002F47A0" w:rsidP="002F47A0">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0E210D7F" w14:textId="77777777" w:rsidR="002F47A0" w:rsidRPr="009E686F" w:rsidRDefault="002F47A0" w:rsidP="002F47A0">
            <w:pPr>
              <w:jc w:val="both"/>
              <w:rPr>
                <w:rFonts w:ascii="Times New Roman" w:hAnsi="Times New Roman" w:cs="Times New Roman"/>
                <w:lang w:val="ro-RO"/>
              </w:rPr>
            </w:pPr>
          </w:p>
        </w:tc>
      </w:tr>
      <w:tr w:rsidR="002F47A0" w:rsidRPr="009E686F" w14:paraId="569DC891" w14:textId="2A5FB9FA" w:rsidTr="00774F3E">
        <w:tc>
          <w:tcPr>
            <w:tcW w:w="1796" w:type="pct"/>
            <w:gridSpan w:val="2"/>
            <w:tcBorders>
              <w:top w:val="single" w:sz="4" w:space="0" w:color="auto"/>
              <w:left w:val="single" w:sz="4" w:space="0" w:color="auto"/>
              <w:bottom w:val="single" w:sz="4" w:space="0" w:color="auto"/>
              <w:right w:val="single" w:sz="4" w:space="0" w:color="auto"/>
            </w:tcBorders>
          </w:tcPr>
          <w:p w14:paraId="479F7FD3" w14:textId="77777777" w:rsidR="002F47A0" w:rsidRPr="009E686F" w:rsidRDefault="002F47A0" w:rsidP="002F47A0">
            <w:pPr>
              <w:spacing w:after="0"/>
              <w:jc w:val="both"/>
              <w:rPr>
                <w:rFonts w:ascii="Times New Roman" w:hAnsi="Times New Roman" w:cs="Times New Roman"/>
                <w:i/>
                <w:iCs/>
                <w:lang w:val="ro-RO"/>
              </w:rPr>
            </w:pPr>
            <w:r w:rsidRPr="009E686F">
              <w:rPr>
                <w:rFonts w:ascii="Times New Roman" w:hAnsi="Times New Roman" w:cs="Times New Roman"/>
                <w:i/>
                <w:iCs/>
                <w:lang w:val="ro-RO"/>
              </w:rPr>
              <w:t xml:space="preserve">Articolul 71 </w:t>
            </w:r>
          </w:p>
          <w:p w14:paraId="36A71B5D" w14:textId="15C52816"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Raportarea încălcărilor</w:t>
            </w:r>
          </w:p>
        </w:tc>
        <w:tc>
          <w:tcPr>
            <w:tcW w:w="1928" w:type="pct"/>
            <w:gridSpan w:val="3"/>
            <w:tcBorders>
              <w:top w:val="single" w:sz="4" w:space="0" w:color="auto"/>
              <w:left w:val="single" w:sz="4" w:space="0" w:color="auto"/>
              <w:bottom w:val="single" w:sz="4" w:space="0" w:color="auto"/>
              <w:right w:val="single" w:sz="4" w:space="0" w:color="auto"/>
            </w:tcBorders>
          </w:tcPr>
          <w:p w14:paraId="5BD5F86A" w14:textId="0DD90727" w:rsidR="002F47A0" w:rsidRPr="009E686F" w:rsidRDefault="002F47A0" w:rsidP="002F47A0">
            <w:pPr>
              <w:spacing w:after="0"/>
              <w:rPr>
                <w:rFonts w:ascii="Times New Roman" w:hAnsi="Times New Roman" w:cs="Times New Roman"/>
                <w:lang w:val="ro-RO"/>
              </w:rPr>
            </w:pPr>
            <w:r w:rsidRPr="009E686F">
              <w:rPr>
                <w:rFonts w:ascii="Times New Roman" w:hAnsi="Times New Roman" w:cs="Times New Roman"/>
                <w:b/>
                <w:bCs/>
                <w:lang w:val="ro-RO"/>
              </w:rPr>
              <w:t>Articolul 147.</w:t>
            </w:r>
            <w:r w:rsidRPr="009E686F">
              <w:rPr>
                <w:rFonts w:ascii="Times New Roman" w:hAnsi="Times New Roman" w:cs="Times New Roman"/>
                <w:lang w:val="ro-RO"/>
              </w:rPr>
              <w:t xml:space="preserve"> Raportarea încălcărilor</w:t>
            </w:r>
          </w:p>
        </w:tc>
        <w:tc>
          <w:tcPr>
            <w:tcW w:w="470" w:type="pct"/>
            <w:tcBorders>
              <w:top w:val="single" w:sz="4" w:space="0" w:color="auto"/>
              <w:left w:val="single" w:sz="4" w:space="0" w:color="auto"/>
              <w:bottom w:val="single" w:sz="4" w:space="0" w:color="auto"/>
              <w:right w:val="single" w:sz="4" w:space="0" w:color="auto"/>
            </w:tcBorders>
          </w:tcPr>
          <w:p w14:paraId="3AA7E8E1" w14:textId="39C76645"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4C9B0B9A" w14:textId="77777777" w:rsidR="002F47A0" w:rsidRPr="009E686F" w:rsidRDefault="002F47A0" w:rsidP="002F47A0">
            <w:pPr>
              <w:jc w:val="both"/>
              <w:rPr>
                <w:rFonts w:ascii="Times New Roman" w:hAnsi="Times New Roman" w:cs="Times New Roman"/>
                <w:lang w:val="ro-RO"/>
              </w:rPr>
            </w:pPr>
          </w:p>
        </w:tc>
      </w:tr>
      <w:tr w:rsidR="002F47A0" w:rsidRPr="009E686F" w14:paraId="3F1BC50B" w14:textId="6BCB4469" w:rsidTr="00774F3E">
        <w:tc>
          <w:tcPr>
            <w:tcW w:w="1796" w:type="pct"/>
            <w:gridSpan w:val="2"/>
            <w:tcBorders>
              <w:top w:val="single" w:sz="4" w:space="0" w:color="auto"/>
              <w:left w:val="single" w:sz="4" w:space="0" w:color="auto"/>
              <w:bottom w:val="single" w:sz="4" w:space="0" w:color="auto"/>
              <w:right w:val="single" w:sz="4" w:space="0" w:color="auto"/>
            </w:tcBorders>
          </w:tcPr>
          <w:p w14:paraId="5262C0E5" w14:textId="64232C42"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 xml:space="preserve">(1) Statele membre se asigură că autoritățile competente stabilesc mecanisme eficiente și fiabile pentru a încuraja raportarea la autoritățile competente a încălcărilor potențiale sau reale ale dispozițiilor naționale de </w:t>
            </w:r>
            <w:r w:rsidRPr="009E686F">
              <w:rPr>
                <w:rFonts w:ascii="Times New Roman" w:hAnsi="Times New Roman" w:cs="Times New Roman"/>
                <w:lang w:val="ro-RO"/>
              </w:rPr>
              <w:lastRenderedPageBreak/>
              <w:t>transpunere a prezentei directive și a Regulamentului (UE) nr. 575/2013.</w:t>
            </w:r>
          </w:p>
        </w:tc>
        <w:tc>
          <w:tcPr>
            <w:tcW w:w="1928" w:type="pct"/>
            <w:gridSpan w:val="3"/>
            <w:tcBorders>
              <w:top w:val="single" w:sz="4" w:space="0" w:color="auto"/>
              <w:left w:val="single" w:sz="4" w:space="0" w:color="auto"/>
              <w:bottom w:val="single" w:sz="4" w:space="0" w:color="auto"/>
              <w:right w:val="single" w:sz="4" w:space="0" w:color="auto"/>
            </w:tcBorders>
          </w:tcPr>
          <w:p w14:paraId="55A44381" w14:textId="48390E8B"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lastRenderedPageBreak/>
              <w:t>(1) Banca Naţională a Moldovei stabileşte mecanisme eficiente şi credibile pentru încurajarea raportării încălcărilor, actuale sau potenţiale, ale prevederilor prezentei legi şi ale actelor normative emise în aplicarea acesteia.</w:t>
            </w:r>
          </w:p>
        </w:tc>
        <w:tc>
          <w:tcPr>
            <w:tcW w:w="470" w:type="pct"/>
            <w:tcBorders>
              <w:top w:val="single" w:sz="4" w:space="0" w:color="auto"/>
              <w:left w:val="single" w:sz="4" w:space="0" w:color="auto"/>
              <w:bottom w:val="single" w:sz="4" w:space="0" w:color="auto"/>
              <w:right w:val="single" w:sz="4" w:space="0" w:color="auto"/>
            </w:tcBorders>
          </w:tcPr>
          <w:p w14:paraId="19BE930B" w14:textId="59F4118C"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213A816D" w14:textId="77777777" w:rsidR="002F47A0" w:rsidRPr="009E686F" w:rsidRDefault="002F47A0" w:rsidP="002F47A0">
            <w:pPr>
              <w:jc w:val="both"/>
              <w:rPr>
                <w:rFonts w:ascii="Times New Roman" w:hAnsi="Times New Roman" w:cs="Times New Roman"/>
                <w:lang w:val="ro-RO"/>
              </w:rPr>
            </w:pPr>
          </w:p>
        </w:tc>
      </w:tr>
      <w:tr w:rsidR="002F47A0" w:rsidRPr="009E686F" w14:paraId="20B9ED7C" w14:textId="26B509E0" w:rsidTr="00774F3E">
        <w:tc>
          <w:tcPr>
            <w:tcW w:w="1796" w:type="pct"/>
            <w:gridSpan w:val="2"/>
            <w:tcBorders>
              <w:top w:val="single" w:sz="4" w:space="0" w:color="auto"/>
              <w:left w:val="single" w:sz="4" w:space="0" w:color="auto"/>
              <w:bottom w:val="single" w:sz="4" w:space="0" w:color="auto"/>
              <w:right w:val="single" w:sz="4" w:space="0" w:color="auto"/>
            </w:tcBorders>
          </w:tcPr>
          <w:p w14:paraId="1DC63C36" w14:textId="1C46E77C"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(2) Mecanismele menționate la alineatul (1) cuprind cel puțin:</w:t>
            </w:r>
          </w:p>
        </w:tc>
        <w:tc>
          <w:tcPr>
            <w:tcW w:w="1928" w:type="pct"/>
            <w:gridSpan w:val="3"/>
            <w:tcBorders>
              <w:top w:val="single" w:sz="4" w:space="0" w:color="auto"/>
              <w:left w:val="single" w:sz="4" w:space="0" w:color="auto"/>
              <w:bottom w:val="single" w:sz="4" w:space="0" w:color="auto"/>
              <w:right w:val="single" w:sz="4" w:space="0" w:color="auto"/>
            </w:tcBorders>
          </w:tcPr>
          <w:p w14:paraId="086071FF"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(2) Mecanismele prevăzute la alin. (1) includ cel puţin:</w:t>
            </w:r>
          </w:p>
        </w:tc>
        <w:tc>
          <w:tcPr>
            <w:tcW w:w="470" w:type="pct"/>
            <w:tcBorders>
              <w:top w:val="single" w:sz="4" w:space="0" w:color="auto"/>
              <w:left w:val="single" w:sz="4" w:space="0" w:color="auto"/>
              <w:bottom w:val="single" w:sz="4" w:space="0" w:color="auto"/>
              <w:right w:val="single" w:sz="4" w:space="0" w:color="auto"/>
            </w:tcBorders>
          </w:tcPr>
          <w:p w14:paraId="7701F250" w14:textId="221E1065"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4CC7A56F" w14:textId="77777777" w:rsidR="002F47A0" w:rsidRPr="009E686F" w:rsidRDefault="002F47A0" w:rsidP="002F47A0">
            <w:pPr>
              <w:jc w:val="both"/>
              <w:rPr>
                <w:rFonts w:ascii="Times New Roman" w:hAnsi="Times New Roman" w:cs="Times New Roman"/>
                <w:lang w:val="ro-RO"/>
              </w:rPr>
            </w:pPr>
          </w:p>
        </w:tc>
      </w:tr>
      <w:tr w:rsidR="002F47A0" w:rsidRPr="009E686F" w14:paraId="38BCB085" w14:textId="1C44BD37" w:rsidTr="00774F3E">
        <w:tc>
          <w:tcPr>
            <w:tcW w:w="1796" w:type="pct"/>
            <w:gridSpan w:val="2"/>
            <w:tcBorders>
              <w:top w:val="single" w:sz="4" w:space="0" w:color="auto"/>
              <w:left w:val="single" w:sz="4" w:space="0" w:color="auto"/>
              <w:bottom w:val="single" w:sz="4" w:space="0" w:color="auto"/>
              <w:right w:val="single" w:sz="4" w:space="0" w:color="auto"/>
            </w:tcBorders>
          </w:tcPr>
          <w:p w14:paraId="681E69EE" w14:textId="027ADFC4"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(a) proceduri specifice pentru primirea rapoartelor privind încălcările și luarea de măsuri ulterioare;</w:t>
            </w:r>
          </w:p>
        </w:tc>
        <w:tc>
          <w:tcPr>
            <w:tcW w:w="1928" w:type="pct"/>
            <w:gridSpan w:val="3"/>
            <w:tcBorders>
              <w:top w:val="single" w:sz="4" w:space="0" w:color="auto"/>
              <w:left w:val="single" w:sz="4" w:space="0" w:color="auto"/>
              <w:bottom w:val="single" w:sz="4" w:space="0" w:color="auto"/>
              <w:right w:val="single" w:sz="4" w:space="0" w:color="auto"/>
            </w:tcBorders>
          </w:tcPr>
          <w:p w14:paraId="3B64ED3F"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a) proceduri specifice pentru primirea raportărilor privind încălcările, inclusiv cele potenţiale, și luarea de măsuri ulterioare;</w:t>
            </w:r>
          </w:p>
        </w:tc>
        <w:tc>
          <w:tcPr>
            <w:tcW w:w="470" w:type="pct"/>
            <w:tcBorders>
              <w:top w:val="single" w:sz="4" w:space="0" w:color="auto"/>
              <w:left w:val="single" w:sz="4" w:space="0" w:color="auto"/>
              <w:bottom w:val="single" w:sz="4" w:space="0" w:color="auto"/>
              <w:right w:val="single" w:sz="4" w:space="0" w:color="auto"/>
            </w:tcBorders>
          </w:tcPr>
          <w:p w14:paraId="29EE5EEF" w14:textId="7667AA49"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1E46EFFC" w14:textId="77777777" w:rsidR="002F47A0" w:rsidRPr="009E686F" w:rsidRDefault="002F47A0" w:rsidP="002F47A0">
            <w:pPr>
              <w:jc w:val="both"/>
              <w:rPr>
                <w:rFonts w:ascii="Times New Roman" w:hAnsi="Times New Roman" w:cs="Times New Roman"/>
                <w:lang w:val="ro-RO"/>
              </w:rPr>
            </w:pPr>
          </w:p>
        </w:tc>
      </w:tr>
      <w:tr w:rsidR="002F47A0" w:rsidRPr="009E686F" w14:paraId="2C9FF07A" w14:textId="02B38429" w:rsidTr="00774F3E">
        <w:tc>
          <w:tcPr>
            <w:tcW w:w="1796" w:type="pct"/>
            <w:gridSpan w:val="2"/>
            <w:tcBorders>
              <w:top w:val="single" w:sz="4" w:space="0" w:color="auto"/>
              <w:left w:val="single" w:sz="4" w:space="0" w:color="auto"/>
              <w:bottom w:val="single" w:sz="4" w:space="0" w:color="auto"/>
              <w:right w:val="single" w:sz="4" w:space="0" w:color="auto"/>
            </w:tcBorders>
          </w:tcPr>
          <w:p w14:paraId="7CF87141" w14:textId="3CD50E46"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(b) protecție adecvată pentru angajații instituțiilor care raportează încălcări comise în cadrul instituției, împotriva represaliilor, discriminării sau altor tipuri de tratament inechitabil;</w:t>
            </w:r>
          </w:p>
        </w:tc>
        <w:tc>
          <w:tcPr>
            <w:tcW w:w="1928" w:type="pct"/>
            <w:gridSpan w:val="3"/>
            <w:tcBorders>
              <w:top w:val="single" w:sz="4" w:space="0" w:color="auto"/>
              <w:left w:val="single" w:sz="4" w:space="0" w:color="auto"/>
              <w:bottom w:val="single" w:sz="4" w:space="0" w:color="auto"/>
              <w:right w:val="single" w:sz="4" w:space="0" w:color="auto"/>
            </w:tcBorders>
          </w:tcPr>
          <w:p w14:paraId="29262644" w14:textId="04BA7E08" w:rsidR="002F47A0" w:rsidRPr="009E686F" w:rsidRDefault="002F47A0" w:rsidP="002F47A0">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 xml:space="preserve">b) protecţia corespunzătoare pentru </w:t>
            </w:r>
            <w:r w:rsidRPr="009E686F">
              <w:rPr>
                <w:rFonts w:ascii="Times New Roman" w:eastAsia="Aptos" w:hAnsi="Times New Roman" w:cs="Times New Roman"/>
                <w:i/>
                <w:iCs/>
                <w:kern w:val="2"/>
                <w:lang w:val="ro-MD"/>
              </w:rPr>
              <w:t>salariații</w:t>
            </w:r>
            <w:r w:rsidRPr="009E686F">
              <w:rPr>
                <w:rFonts w:ascii="Times New Roman" w:eastAsia="Aptos" w:hAnsi="Times New Roman" w:cs="Times New Roman"/>
                <w:kern w:val="2"/>
                <w:lang w:val="ro-MD"/>
              </w:rPr>
              <w:t xml:space="preserve"> </w:t>
            </w:r>
            <w:r w:rsidRPr="009E686F">
              <w:rPr>
                <w:rFonts w:ascii="Times New Roman" w:eastAsia="Aptos" w:hAnsi="Times New Roman" w:cs="Times New Roman"/>
                <w:i/>
                <w:iCs/>
                <w:kern w:val="2"/>
                <w:lang w:val="ro-MD"/>
              </w:rPr>
              <w:t>instituțiilor de credit</w:t>
            </w:r>
            <w:r w:rsidRPr="009E686F">
              <w:rPr>
                <w:rFonts w:ascii="Times New Roman" w:eastAsia="Aptos" w:hAnsi="Times New Roman" w:cs="Times New Roman"/>
                <w:kern w:val="2"/>
                <w:lang w:val="ro-MD"/>
              </w:rPr>
              <w:t xml:space="preserve"> care raportează încălcările din cadrul acestor </w:t>
            </w:r>
            <w:r w:rsidRPr="009E686F">
              <w:rPr>
                <w:rFonts w:ascii="Times New Roman" w:eastAsia="Aptos" w:hAnsi="Times New Roman" w:cs="Times New Roman"/>
                <w:i/>
                <w:iCs/>
                <w:kern w:val="2"/>
                <w:lang w:val="ro-MD"/>
              </w:rPr>
              <w:t>instituții de credit</w:t>
            </w:r>
            <w:r w:rsidRPr="009E686F">
              <w:rPr>
                <w:rFonts w:ascii="Times New Roman" w:eastAsia="Aptos" w:hAnsi="Times New Roman" w:cs="Times New Roman"/>
                <w:kern w:val="2"/>
                <w:lang w:val="ro-MD"/>
              </w:rPr>
              <w:t>, cel puţin împotriva represaliilor, discriminării sau a oricărui alt tip de tratament inechitabil, aplicate ca urmare a raportării;</w:t>
            </w:r>
          </w:p>
        </w:tc>
        <w:tc>
          <w:tcPr>
            <w:tcW w:w="470" w:type="pct"/>
            <w:tcBorders>
              <w:top w:val="single" w:sz="4" w:space="0" w:color="auto"/>
              <w:left w:val="single" w:sz="4" w:space="0" w:color="auto"/>
              <w:bottom w:val="single" w:sz="4" w:space="0" w:color="auto"/>
              <w:right w:val="single" w:sz="4" w:space="0" w:color="auto"/>
            </w:tcBorders>
          </w:tcPr>
          <w:p w14:paraId="3796BB65" w14:textId="01FCAA2F"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6F7696BF" w14:textId="77777777" w:rsidR="002F47A0" w:rsidRPr="009E686F" w:rsidRDefault="002F47A0" w:rsidP="002F47A0">
            <w:pPr>
              <w:jc w:val="both"/>
              <w:rPr>
                <w:rFonts w:ascii="Times New Roman" w:hAnsi="Times New Roman" w:cs="Times New Roman"/>
                <w:lang w:val="ro-RO"/>
              </w:rPr>
            </w:pPr>
          </w:p>
        </w:tc>
      </w:tr>
      <w:tr w:rsidR="002F47A0" w:rsidRPr="009E686F" w14:paraId="6FD12060" w14:textId="624D1475" w:rsidTr="00774F3E">
        <w:tc>
          <w:tcPr>
            <w:tcW w:w="1796" w:type="pct"/>
            <w:gridSpan w:val="2"/>
            <w:tcBorders>
              <w:top w:val="single" w:sz="4" w:space="0" w:color="auto"/>
              <w:left w:val="single" w:sz="4" w:space="0" w:color="auto"/>
              <w:bottom w:val="single" w:sz="4" w:space="0" w:color="auto"/>
              <w:right w:val="single" w:sz="4" w:space="0" w:color="auto"/>
            </w:tcBorders>
          </w:tcPr>
          <w:p w14:paraId="40E72F70" w14:textId="6C2A298C"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(c) protecția datelor cu caracter personal ale persoanei care raportează încălcarea, precum și ale persoanei fizice suspectate că este responsabilă de încălcare, în conformitate cu Directiva 95/46/CE.</w:t>
            </w:r>
          </w:p>
        </w:tc>
        <w:tc>
          <w:tcPr>
            <w:tcW w:w="1928" w:type="pct"/>
            <w:gridSpan w:val="3"/>
            <w:tcBorders>
              <w:top w:val="single" w:sz="4" w:space="0" w:color="auto"/>
              <w:left w:val="single" w:sz="4" w:space="0" w:color="auto"/>
              <w:bottom w:val="single" w:sz="4" w:space="0" w:color="auto"/>
              <w:right w:val="single" w:sz="4" w:space="0" w:color="auto"/>
            </w:tcBorders>
          </w:tcPr>
          <w:p w14:paraId="111ED716" w14:textId="52E7209E"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 xml:space="preserve">c) protecţia datelor cu caracter personal atât în privinţa persoanelor care raportează încălcarea, cât şi a celor pretins vinovate de respectiva încălcare, în conformitate cu prevederile Legii </w:t>
            </w:r>
            <w:r w:rsidRPr="009E686F">
              <w:rPr>
                <w:rFonts w:ascii="Times New Roman" w:eastAsia="Aptos" w:hAnsi="Times New Roman" w:cs="Times New Roman"/>
                <w:kern w:val="2"/>
                <w:lang w:val="ro-MD"/>
              </w:rPr>
              <w:t xml:space="preserve">nr.133/2011 </w:t>
            </w:r>
            <w:r w:rsidRPr="009E686F">
              <w:rPr>
                <w:rFonts w:ascii="Times New Roman" w:hAnsi="Times New Roman" w:cs="Times New Roman"/>
                <w:lang w:val="ro-RO"/>
              </w:rPr>
              <w:t>privind protecția datelor cu caracter personal;</w:t>
            </w:r>
          </w:p>
        </w:tc>
        <w:tc>
          <w:tcPr>
            <w:tcW w:w="470" w:type="pct"/>
            <w:tcBorders>
              <w:top w:val="single" w:sz="4" w:space="0" w:color="auto"/>
              <w:left w:val="single" w:sz="4" w:space="0" w:color="auto"/>
              <w:bottom w:val="single" w:sz="4" w:space="0" w:color="auto"/>
              <w:right w:val="single" w:sz="4" w:space="0" w:color="auto"/>
            </w:tcBorders>
          </w:tcPr>
          <w:p w14:paraId="672E21BC" w14:textId="551983B2"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1E51E2A9" w14:textId="77777777" w:rsidR="002F47A0" w:rsidRPr="009E686F" w:rsidRDefault="002F47A0" w:rsidP="002F47A0">
            <w:pPr>
              <w:jc w:val="both"/>
              <w:rPr>
                <w:rFonts w:ascii="Times New Roman" w:hAnsi="Times New Roman" w:cs="Times New Roman"/>
                <w:lang w:val="ro-RO"/>
              </w:rPr>
            </w:pPr>
          </w:p>
        </w:tc>
      </w:tr>
      <w:tr w:rsidR="002F47A0" w:rsidRPr="009E686F" w14:paraId="43E0F995" w14:textId="7D148BD0" w:rsidTr="00774F3E">
        <w:tc>
          <w:tcPr>
            <w:tcW w:w="1796" w:type="pct"/>
            <w:gridSpan w:val="2"/>
            <w:tcBorders>
              <w:top w:val="single" w:sz="4" w:space="0" w:color="auto"/>
              <w:left w:val="single" w:sz="4" w:space="0" w:color="auto"/>
              <w:bottom w:val="single" w:sz="4" w:space="0" w:color="auto"/>
              <w:right w:val="single" w:sz="4" w:space="0" w:color="auto"/>
            </w:tcBorders>
          </w:tcPr>
          <w:p w14:paraId="11340E4C" w14:textId="55C7D169"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(d) norme clare care asigură faptul că este garantată confidențialitatea în toate cazurile față de persoana care raportează încălcările comise în cadrul instituției, cu excepția cazului în care dreptul intern impune dezvăluirea în contextul unor anchete suplimentare sau al unor proceduri judiciare ulterioare.</w:t>
            </w:r>
          </w:p>
        </w:tc>
        <w:tc>
          <w:tcPr>
            <w:tcW w:w="1928" w:type="pct"/>
            <w:gridSpan w:val="3"/>
            <w:tcBorders>
              <w:top w:val="single" w:sz="4" w:space="0" w:color="auto"/>
              <w:left w:val="single" w:sz="4" w:space="0" w:color="auto"/>
              <w:bottom w:val="single" w:sz="4" w:space="0" w:color="auto"/>
              <w:right w:val="single" w:sz="4" w:space="0" w:color="auto"/>
            </w:tcBorders>
          </w:tcPr>
          <w:p w14:paraId="0BC95B08" w14:textId="56EFFB11" w:rsidR="002F47A0" w:rsidRPr="009E686F" w:rsidRDefault="002F47A0" w:rsidP="002F47A0">
            <w:pPr>
              <w:spacing w:after="0"/>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 xml:space="preserve">d) prevederi clare în scopul garantării confidenţialităţii pentru persoana care raportează încălcările din cadrul </w:t>
            </w:r>
            <w:r w:rsidRPr="009E686F">
              <w:rPr>
                <w:rFonts w:ascii="Times New Roman" w:eastAsia="Aptos" w:hAnsi="Times New Roman" w:cs="Times New Roman"/>
                <w:i/>
                <w:iCs/>
                <w:kern w:val="2"/>
                <w:lang w:val="ro-MD"/>
              </w:rPr>
              <w:t>instituției de credit</w:t>
            </w:r>
            <w:r w:rsidRPr="009E686F">
              <w:rPr>
                <w:rFonts w:ascii="Times New Roman" w:eastAsia="Aptos" w:hAnsi="Times New Roman" w:cs="Times New Roman"/>
                <w:kern w:val="2"/>
                <w:lang w:val="ro-MD"/>
              </w:rPr>
              <w:t>, cu excepţia cazului în care dezvăluirea are loc în contextul unor anchete suplimentare sau al unor proceduri judiciare ulterioare.</w:t>
            </w:r>
          </w:p>
          <w:p w14:paraId="683E98DC" w14:textId="771620E9" w:rsidR="002F47A0" w:rsidRPr="009E686F" w:rsidRDefault="002F47A0" w:rsidP="002F47A0">
            <w:pPr>
              <w:spacing w:after="0"/>
              <w:jc w:val="both"/>
              <w:rPr>
                <w:rFonts w:ascii="Times New Roman" w:hAnsi="Times New Roman" w:cs="Times New Roman"/>
                <w:lang w:val="ro-RO"/>
              </w:rPr>
            </w:pPr>
          </w:p>
        </w:tc>
        <w:tc>
          <w:tcPr>
            <w:tcW w:w="470" w:type="pct"/>
            <w:tcBorders>
              <w:top w:val="single" w:sz="4" w:space="0" w:color="auto"/>
              <w:left w:val="single" w:sz="4" w:space="0" w:color="auto"/>
              <w:bottom w:val="single" w:sz="4" w:space="0" w:color="auto"/>
              <w:right w:val="single" w:sz="4" w:space="0" w:color="auto"/>
            </w:tcBorders>
          </w:tcPr>
          <w:p w14:paraId="447B2902" w14:textId="4EDE2D77"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008A9435" w14:textId="77777777" w:rsidR="002F47A0" w:rsidRPr="009E686F" w:rsidRDefault="002F47A0" w:rsidP="002F47A0">
            <w:pPr>
              <w:jc w:val="both"/>
              <w:rPr>
                <w:rFonts w:ascii="Times New Roman" w:hAnsi="Times New Roman" w:cs="Times New Roman"/>
                <w:lang w:val="ro-RO"/>
              </w:rPr>
            </w:pPr>
          </w:p>
        </w:tc>
      </w:tr>
      <w:tr w:rsidR="002F47A0" w:rsidRPr="009E686F" w14:paraId="5113D456" w14:textId="1EAE03A3" w:rsidTr="00774F3E">
        <w:tc>
          <w:tcPr>
            <w:tcW w:w="1796" w:type="pct"/>
            <w:gridSpan w:val="2"/>
            <w:tcBorders>
              <w:top w:val="single" w:sz="4" w:space="0" w:color="auto"/>
              <w:left w:val="single" w:sz="4" w:space="0" w:color="auto"/>
              <w:bottom w:val="single" w:sz="4" w:space="0" w:color="auto"/>
              <w:right w:val="single" w:sz="4" w:space="0" w:color="auto"/>
            </w:tcBorders>
          </w:tcPr>
          <w:p w14:paraId="5B3C68F6" w14:textId="1CF25A03"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(3) Statele membre cer instituțiilor să dispună de proceduri adecvate privind raportarea de către angajați a încălcărilor, la nivel intern, prin intermediul unui canal specific, independent și autonom.</w:t>
            </w:r>
          </w:p>
        </w:tc>
        <w:tc>
          <w:tcPr>
            <w:tcW w:w="1928" w:type="pct"/>
            <w:gridSpan w:val="3"/>
            <w:tcBorders>
              <w:top w:val="single" w:sz="4" w:space="0" w:color="auto"/>
              <w:left w:val="single" w:sz="4" w:space="0" w:color="auto"/>
              <w:bottom w:val="single" w:sz="4" w:space="0" w:color="auto"/>
              <w:right w:val="single" w:sz="4" w:space="0" w:color="auto"/>
            </w:tcBorders>
          </w:tcPr>
          <w:p w14:paraId="328C2E85" w14:textId="23E4D1BB" w:rsidR="002F47A0" w:rsidRPr="009E686F" w:rsidRDefault="002F47A0" w:rsidP="002F47A0">
            <w:pPr>
              <w:spacing w:after="0"/>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 xml:space="preserve">(3) </w:t>
            </w:r>
            <w:r w:rsidRPr="009E686F">
              <w:rPr>
                <w:rFonts w:ascii="Times New Roman" w:eastAsia="Aptos" w:hAnsi="Times New Roman" w:cs="Times New Roman"/>
                <w:i/>
                <w:iCs/>
                <w:kern w:val="2"/>
                <w:lang w:val="ro-MD"/>
              </w:rPr>
              <w:t>Instituțiile de credit</w:t>
            </w:r>
            <w:r w:rsidRPr="009E686F">
              <w:rPr>
                <w:rFonts w:ascii="Times New Roman" w:eastAsia="Aptos" w:hAnsi="Times New Roman" w:cs="Times New Roman"/>
                <w:kern w:val="2"/>
                <w:lang w:val="ro-MD"/>
              </w:rPr>
              <w:t xml:space="preserve"> trebuie să dispună de proceduri adecvate pentru raportarea internă de către</w:t>
            </w:r>
            <w:r w:rsidR="005A6D05" w:rsidRPr="009E686F">
              <w:rPr>
                <w:rFonts w:ascii="Times New Roman" w:eastAsia="Aptos" w:hAnsi="Times New Roman" w:cs="Times New Roman"/>
                <w:kern w:val="2"/>
                <w:lang w:val="ro-MD"/>
              </w:rPr>
              <w:t xml:space="preserve"> </w:t>
            </w:r>
            <w:r w:rsidRPr="009E686F">
              <w:rPr>
                <w:rFonts w:ascii="Times New Roman" w:eastAsia="Aptos" w:hAnsi="Times New Roman" w:cs="Times New Roman"/>
                <w:kern w:val="2"/>
                <w:lang w:val="ro-MD"/>
              </w:rPr>
              <w:t xml:space="preserve">salariați a încălcărilor prevederilor prezentei legi şi ale actelor normative emise în aplicarea acesteia, prin intermediul unui canal specific, independent şi autonom, </w:t>
            </w:r>
            <w:r w:rsidRPr="009E686F">
              <w:rPr>
                <w:rFonts w:ascii="Times New Roman" w:eastAsia="Aptos" w:hAnsi="Times New Roman" w:cs="Times New Roman"/>
                <w:i/>
                <w:iCs/>
                <w:kern w:val="2"/>
                <w:lang w:val="ro-MD"/>
              </w:rPr>
              <w:t>inclusiv, dacă există, prin canalul furnizat de reprezentantul salariaților, cu condiția respectării măsurilor de protecție prevăzute la alin. (2) lit. b)-d).</w:t>
            </w:r>
          </w:p>
        </w:tc>
        <w:tc>
          <w:tcPr>
            <w:tcW w:w="470" w:type="pct"/>
            <w:tcBorders>
              <w:top w:val="single" w:sz="4" w:space="0" w:color="auto"/>
              <w:left w:val="single" w:sz="4" w:space="0" w:color="auto"/>
              <w:bottom w:val="single" w:sz="4" w:space="0" w:color="auto"/>
              <w:right w:val="single" w:sz="4" w:space="0" w:color="auto"/>
            </w:tcBorders>
          </w:tcPr>
          <w:p w14:paraId="46E16CB2" w14:textId="3C830AFE"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2C2C276D" w14:textId="77777777" w:rsidR="002F47A0" w:rsidRPr="009E686F" w:rsidRDefault="002F47A0" w:rsidP="002F47A0">
            <w:pPr>
              <w:jc w:val="both"/>
              <w:rPr>
                <w:rFonts w:ascii="Times New Roman" w:hAnsi="Times New Roman" w:cs="Times New Roman"/>
                <w:lang w:val="ro-RO"/>
              </w:rPr>
            </w:pPr>
          </w:p>
        </w:tc>
      </w:tr>
      <w:tr w:rsidR="002F47A0" w:rsidRPr="009E686F" w14:paraId="532EC4E0" w14:textId="497FCD57" w:rsidTr="00774F3E">
        <w:tc>
          <w:tcPr>
            <w:tcW w:w="1796" w:type="pct"/>
            <w:gridSpan w:val="2"/>
            <w:tcBorders>
              <w:top w:val="single" w:sz="4" w:space="0" w:color="auto"/>
              <w:left w:val="single" w:sz="4" w:space="0" w:color="auto"/>
              <w:bottom w:val="single" w:sz="4" w:space="0" w:color="auto"/>
              <w:right w:val="single" w:sz="4" w:space="0" w:color="auto"/>
            </w:tcBorders>
          </w:tcPr>
          <w:p w14:paraId="3DA6F323"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lastRenderedPageBreak/>
              <w:t>Un astfel de canal poate fi furnizat și prin dispoziții prevăzute de partenerii sociali. Se aplică măsurile de protecție menționate la alineatul (2) literele (b), (c) și (d).</w:t>
            </w:r>
          </w:p>
        </w:tc>
        <w:tc>
          <w:tcPr>
            <w:tcW w:w="1928" w:type="pct"/>
            <w:gridSpan w:val="3"/>
            <w:tcBorders>
              <w:top w:val="single" w:sz="4" w:space="0" w:color="auto"/>
              <w:left w:val="single" w:sz="4" w:space="0" w:color="auto"/>
              <w:bottom w:val="single" w:sz="4" w:space="0" w:color="auto"/>
              <w:right w:val="single" w:sz="4" w:space="0" w:color="auto"/>
            </w:tcBorders>
          </w:tcPr>
          <w:p w14:paraId="16E0464D" w14:textId="77777777" w:rsidR="002F47A0" w:rsidRPr="009E686F" w:rsidRDefault="002F47A0" w:rsidP="002F47A0">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5A69B0C4" w14:textId="4799438B"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Norme UE neaplicabile</w:t>
            </w:r>
          </w:p>
          <w:p w14:paraId="34F5C261" w14:textId="3E917E27" w:rsidR="002F47A0" w:rsidRPr="009E686F" w:rsidRDefault="002F47A0" w:rsidP="002F47A0">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258CC163" w14:textId="6291FDDE"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Opțiunea neexercitată.</w:t>
            </w:r>
          </w:p>
        </w:tc>
      </w:tr>
      <w:tr w:rsidR="002F47A0" w:rsidRPr="009E686F" w14:paraId="0276A27B" w14:textId="4C58C510" w:rsidTr="00774F3E">
        <w:tc>
          <w:tcPr>
            <w:tcW w:w="1796" w:type="pct"/>
            <w:gridSpan w:val="2"/>
            <w:tcBorders>
              <w:top w:val="single" w:sz="4" w:space="0" w:color="auto"/>
              <w:left w:val="single" w:sz="4" w:space="0" w:color="auto"/>
              <w:bottom w:val="single" w:sz="4" w:space="0" w:color="auto"/>
              <w:right w:val="single" w:sz="4" w:space="0" w:color="auto"/>
            </w:tcBorders>
          </w:tcPr>
          <w:p w14:paraId="5393513E" w14:textId="77777777" w:rsidR="002F47A0" w:rsidRPr="009E686F" w:rsidRDefault="002F47A0" w:rsidP="002F47A0">
            <w:pPr>
              <w:spacing w:after="0"/>
              <w:jc w:val="both"/>
              <w:rPr>
                <w:rFonts w:ascii="Times New Roman" w:hAnsi="Times New Roman" w:cs="Times New Roman"/>
                <w:i/>
                <w:iCs/>
                <w:lang w:val="ro-RO"/>
              </w:rPr>
            </w:pPr>
            <w:r w:rsidRPr="009E686F">
              <w:rPr>
                <w:rFonts w:ascii="Times New Roman" w:hAnsi="Times New Roman" w:cs="Times New Roman"/>
                <w:i/>
                <w:iCs/>
                <w:lang w:val="ro-RO"/>
              </w:rPr>
              <w:t xml:space="preserve">Articolul 72 </w:t>
            </w:r>
          </w:p>
          <w:p w14:paraId="71EC4AE4" w14:textId="0FFD6008"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Dreptul la o cale de atac</w:t>
            </w:r>
          </w:p>
          <w:p w14:paraId="3F8C3336" w14:textId="77777777" w:rsidR="002F47A0" w:rsidRPr="009E686F" w:rsidRDefault="002F47A0" w:rsidP="002F47A0">
            <w:pPr>
              <w:spacing w:after="0"/>
              <w:jc w:val="both"/>
              <w:rPr>
                <w:rFonts w:ascii="Times New Roman" w:hAnsi="Times New Roman" w:cs="Times New Roman"/>
                <w:lang w:val="ro-RO"/>
              </w:rPr>
            </w:pPr>
          </w:p>
          <w:p w14:paraId="1101FB80"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Statele membre se asigură că deciziile și măsurile luate în temeiul actelor cu putere de lege și actelor administrative adoptate în conformitate cu prezenta directivă sau cu Regulamentul (UE) nr. 575/2013 pot face obiectul unei căi de atac.</w:t>
            </w:r>
          </w:p>
          <w:p w14:paraId="48ADC59C"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Statele membre se asigură de asemenea că situația în care nu se ia nicio decizie în termen de șase luni de la prezentarea cererii de autorizare care conține toate informațiile necesare potrivit dispozițiilor naționale de transpunere a prezentei directive, face obiectul dreptului la o cale de atac.</w:t>
            </w:r>
          </w:p>
        </w:tc>
        <w:tc>
          <w:tcPr>
            <w:tcW w:w="1928" w:type="pct"/>
            <w:gridSpan w:val="3"/>
            <w:tcBorders>
              <w:top w:val="single" w:sz="4" w:space="0" w:color="auto"/>
              <w:left w:val="single" w:sz="4" w:space="0" w:color="auto"/>
              <w:bottom w:val="single" w:sz="4" w:space="0" w:color="auto"/>
              <w:right w:val="single" w:sz="4" w:space="0" w:color="auto"/>
            </w:tcBorders>
          </w:tcPr>
          <w:p w14:paraId="64489FFC" w14:textId="03126BE9" w:rsidR="002F47A0" w:rsidRPr="009E686F" w:rsidRDefault="002F47A0" w:rsidP="002F47A0">
            <w:pPr>
              <w:spacing w:after="0"/>
              <w:jc w:val="both"/>
              <w:rPr>
                <w:rFonts w:ascii="Times New Roman" w:hAnsi="Times New Roman" w:cs="Times New Roman"/>
                <w:b/>
                <w:bCs/>
                <w:lang w:val="ro-RO"/>
              </w:rPr>
            </w:pPr>
            <w:r w:rsidRPr="009E686F">
              <w:rPr>
                <w:rFonts w:ascii="Times New Roman" w:hAnsi="Times New Roman" w:cs="Times New Roman"/>
                <w:b/>
                <w:bCs/>
                <w:lang w:val="ro-RO"/>
              </w:rPr>
              <w:t>Articolul 144. Contestarea actelor Băncii Naţionale a Moldovei</w:t>
            </w:r>
          </w:p>
          <w:p w14:paraId="3B5A7D7D" w14:textId="353C45A5"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(1) Actele Băncii Naţionale a Moldovei prin care sunt dispuse măsuri sau sunt aplicate sancţiuni ori măsuri sancţionatoare potrivit prezentei legi pot fi atacate în instanţa de contencios administrativ competentă, cu respectarea prezentului articol și art. 11 și 11</w:t>
            </w:r>
            <w:r w:rsidRPr="009E686F">
              <w:rPr>
                <w:rFonts w:ascii="Times New Roman" w:hAnsi="Times New Roman" w:cs="Times New Roman"/>
                <w:vertAlign w:val="superscript"/>
                <w:lang w:val="ro-RO"/>
              </w:rPr>
              <w:t>1</w:t>
            </w:r>
            <w:r w:rsidRPr="009E686F">
              <w:rPr>
                <w:rFonts w:ascii="Times New Roman" w:hAnsi="Times New Roman" w:cs="Times New Roman"/>
                <w:lang w:val="ro-RO"/>
              </w:rPr>
              <w:t xml:space="preserve"> din Legea cu privire la Banca Naţională a Moldovei nr. 548 – XIII din 21.07.1995</w:t>
            </w:r>
          </w:p>
          <w:p w14:paraId="3B385523" w14:textId="77777777" w:rsidR="002F47A0" w:rsidRPr="009E686F" w:rsidRDefault="002F47A0" w:rsidP="002F47A0">
            <w:pPr>
              <w:spacing w:after="0"/>
              <w:jc w:val="both"/>
              <w:rPr>
                <w:rFonts w:ascii="Times New Roman" w:hAnsi="Times New Roman" w:cs="Times New Roman"/>
                <w:lang w:val="ro-RO"/>
              </w:rPr>
            </w:pPr>
          </w:p>
          <w:p w14:paraId="3ED7BBC6" w14:textId="65CCFC37" w:rsidR="002F47A0" w:rsidRPr="009E686F" w:rsidRDefault="002F47A0" w:rsidP="002F47A0">
            <w:pPr>
              <w:spacing w:after="0"/>
              <w:rPr>
                <w:rFonts w:ascii="Times New Roman" w:hAnsi="Times New Roman" w:cs="Times New Roman"/>
                <w:b/>
                <w:bCs/>
                <w:lang w:val="ro-RO"/>
              </w:rPr>
            </w:pPr>
            <w:r w:rsidRPr="009E686F">
              <w:rPr>
                <w:rFonts w:ascii="Times New Roman" w:hAnsi="Times New Roman" w:cs="Times New Roman"/>
                <w:b/>
                <w:bCs/>
                <w:lang w:val="ro-RO"/>
              </w:rPr>
              <w:t>Codul administrativ al Republicii oldova</w:t>
            </w:r>
          </w:p>
          <w:p w14:paraId="754B74C4" w14:textId="77777777" w:rsidR="002F47A0" w:rsidRPr="009E686F" w:rsidRDefault="002F47A0" w:rsidP="002F47A0">
            <w:pPr>
              <w:spacing w:after="0"/>
              <w:rPr>
                <w:rFonts w:ascii="Times New Roman" w:hAnsi="Times New Roman" w:cs="Times New Roman"/>
                <w:lang w:val="ro-RO"/>
              </w:rPr>
            </w:pPr>
            <w:r w:rsidRPr="009E686F">
              <w:rPr>
                <w:rFonts w:ascii="Times New Roman" w:hAnsi="Times New Roman" w:cs="Times New Roman"/>
                <w:lang w:val="ro-RO"/>
              </w:rPr>
              <w:t>Articolul 189. Înaintarea acţiunii în contencios administrativ</w:t>
            </w:r>
          </w:p>
          <w:p w14:paraId="6ACB7B3C" w14:textId="77777777" w:rsidR="002F47A0" w:rsidRPr="009E686F" w:rsidRDefault="002F47A0" w:rsidP="002F47A0">
            <w:pPr>
              <w:spacing w:after="0"/>
              <w:rPr>
                <w:rFonts w:ascii="Times New Roman" w:hAnsi="Times New Roman" w:cs="Times New Roman"/>
                <w:lang w:val="ro-RO"/>
              </w:rPr>
            </w:pPr>
            <w:r w:rsidRPr="009E686F">
              <w:rPr>
                <w:rFonts w:ascii="Times New Roman" w:hAnsi="Times New Roman" w:cs="Times New Roman"/>
                <w:lang w:val="ro-RO"/>
              </w:rPr>
              <w:t>(1) Orice persoană care revendică încălcarea unui drept al său prin activitatea administrativă a unei autorităţi publice poate înainta o acţiune în contencios administrativ.</w:t>
            </w:r>
          </w:p>
          <w:p w14:paraId="2F869E17" w14:textId="1B43ACB4" w:rsidR="002F47A0" w:rsidRPr="009E686F" w:rsidRDefault="002F47A0" w:rsidP="002F47A0">
            <w:pPr>
              <w:spacing w:after="0"/>
              <w:rPr>
                <w:rFonts w:ascii="Times New Roman" w:hAnsi="Times New Roman" w:cs="Times New Roman"/>
                <w:lang w:val="ro-RO"/>
              </w:rPr>
            </w:pPr>
            <w:r w:rsidRPr="009E686F">
              <w:rPr>
                <w:rFonts w:ascii="Times New Roman" w:hAnsi="Times New Roman" w:cs="Times New Roman"/>
                <w:lang w:val="ro-RO"/>
              </w:rPr>
              <w:t>(2) O acţiune în contencios administrativ poate fi înaintată şi atunci cînd autoritatea publică nu a soluţionat în termen legal o cerere.</w:t>
            </w:r>
          </w:p>
        </w:tc>
        <w:tc>
          <w:tcPr>
            <w:tcW w:w="470" w:type="pct"/>
            <w:tcBorders>
              <w:top w:val="single" w:sz="4" w:space="0" w:color="auto"/>
              <w:left w:val="single" w:sz="4" w:space="0" w:color="auto"/>
              <w:bottom w:val="single" w:sz="4" w:space="0" w:color="auto"/>
              <w:right w:val="single" w:sz="4" w:space="0" w:color="auto"/>
            </w:tcBorders>
          </w:tcPr>
          <w:p w14:paraId="5A6B94AC" w14:textId="0A49872C"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p w14:paraId="6C336CCA" w14:textId="77777777" w:rsidR="002F47A0" w:rsidRPr="009E686F" w:rsidRDefault="002F47A0" w:rsidP="002F47A0">
            <w:pPr>
              <w:jc w:val="both"/>
              <w:rPr>
                <w:rFonts w:ascii="Times New Roman" w:hAnsi="Times New Roman" w:cs="Times New Roman"/>
                <w:lang w:val="ro-RO"/>
              </w:rPr>
            </w:pPr>
          </w:p>
          <w:p w14:paraId="0BE16737" w14:textId="77777777" w:rsidR="002F47A0" w:rsidRPr="009E686F" w:rsidRDefault="002F47A0" w:rsidP="002F47A0">
            <w:pPr>
              <w:jc w:val="both"/>
              <w:rPr>
                <w:rFonts w:ascii="Times New Roman" w:hAnsi="Times New Roman" w:cs="Times New Roman"/>
                <w:lang w:val="ro-RO"/>
              </w:rPr>
            </w:pPr>
          </w:p>
          <w:p w14:paraId="3267D705" w14:textId="77777777" w:rsidR="002F47A0" w:rsidRPr="009E686F" w:rsidRDefault="002F47A0" w:rsidP="002F47A0">
            <w:pPr>
              <w:jc w:val="both"/>
              <w:rPr>
                <w:rFonts w:ascii="Times New Roman" w:hAnsi="Times New Roman" w:cs="Times New Roman"/>
                <w:lang w:val="ro-RO"/>
              </w:rPr>
            </w:pPr>
          </w:p>
          <w:p w14:paraId="1A939CC2" w14:textId="77777777" w:rsidR="002F47A0" w:rsidRPr="009E686F" w:rsidRDefault="002F47A0" w:rsidP="002F47A0">
            <w:pPr>
              <w:jc w:val="both"/>
              <w:rPr>
                <w:rFonts w:ascii="Times New Roman" w:hAnsi="Times New Roman" w:cs="Times New Roman"/>
                <w:lang w:val="ro-RO"/>
              </w:rPr>
            </w:pPr>
          </w:p>
          <w:p w14:paraId="68F26C35" w14:textId="77777777" w:rsidR="002F47A0" w:rsidRPr="009E686F" w:rsidRDefault="002F47A0" w:rsidP="002F47A0">
            <w:pPr>
              <w:jc w:val="both"/>
              <w:rPr>
                <w:rFonts w:ascii="Times New Roman" w:hAnsi="Times New Roman" w:cs="Times New Roman"/>
                <w:lang w:val="ro-RO"/>
              </w:rPr>
            </w:pPr>
          </w:p>
          <w:p w14:paraId="7ACC160B" w14:textId="244E20D8" w:rsidR="002F47A0" w:rsidRPr="009E686F" w:rsidRDefault="002F47A0" w:rsidP="002F47A0">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6FA30CA7" w14:textId="77777777" w:rsidR="002F47A0" w:rsidRPr="009E686F" w:rsidRDefault="002F47A0" w:rsidP="002F47A0">
            <w:pPr>
              <w:jc w:val="both"/>
              <w:rPr>
                <w:rFonts w:ascii="Times New Roman" w:hAnsi="Times New Roman" w:cs="Times New Roman"/>
                <w:lang w:val="ro-RO"/>
              </w:rPr>
            </w:pPr>
          </w:p>
        </w:tc>
      </w:tr>
      <w:tr w:rsidR="002F47A0" w:rsidRPr="009E686F" w14:paraId="250A5BCA" w14:textId="28B78DA5" w:rsidTr="00DB54EA">
        <w:tc>
          <w:tcPr>
            <w:tcW w:w="5000" w:type="pct"/>
            <w:gridSpan w:val="7"/>
            <w:tcBorders>
              <w:top w:val="single" w:sz="4" w:space="0" w:color="auto"/>
              <w:left w:val="single" w:sz="4" w:space="0" w:color="auto"/>
              <w:bottom w:val="single" w:sz="4" w:space="0" w:color="auto"/>
              <w:right w:val="single" w:sz="4" w:space="0" w:color="auto"/>
            </w:tcBorders>
          </w:tcPr>
          <w:p w14:paraId="086D583C" w14:textId="77777777" w:rsidR="002F47A0" w:rsidRPr="009E686F" w:rsidRDefault="002F47A0" w:rsidP="002F47A0">
            <w:pPr>
              <w:spacing w:after="0"/>
              <w:jc w:val="both"/>
              <w:rPr>
                <w:rFonts w:ascii="Times New Roman" w:hAnsi="Times New Roman" w:cs="Times New Roman"/>
                <w:bCs/>
                <w:lang w:val="ro-RO"/>
              </w:rPr>
            </w:pPr>
            <w:r w:rsidRPr="009E686F">
              <w:rPr>
                <w:rFonts w:ascii="Times New Roman" w:hAnsi="Times New Roman" w:cs="Times New Roman"/>
                <w:bCs/>
                <w:lang w:val="ro-RO"/>
              </w:rPr>
              <w:t>CAPITOLUL 2</w:t>
            </w:r>
          </w:p>
          <w:p w14:paraId="138FC721" w14:textId="1B1EE9D9"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b/>
                <w:lang w:val="ro-RO"/>
              </w:rPr>
              <w:t>Procese de control</w:t>
            </w:r>
          </w:p>
        </w:tc>
      </w:tr>
      <w:tr w:rsidR="002F47A0" w:rsidRPr="009E686F" w14:paraId="751D626E" w14:textId="365BEE8D" w:rsidTr="00774F3E">
        <w:tc>
          <w:tcPr>
            <w:tcW w:w="1796" w:type="pct"/>
            <w:gridSpan w:val="2"/>
            <w:tcBorders>
              <w:top w:val="single" w:sz="4" w:space="0" w:color="auto"/>
              <w:left w:val="single" w:sz="4" w:space="0" w:color="auto"/>
              <w:bottom w:val="single" w:sz="4" w:space="0" w:color="auto"/>
              <w:right w:val="single" w:sz="4" w:space="0" w:color="auto"/>
            </w:tcBorders>
          </w:tcPr>
          <w:p w14:paraId="7E60F12F" w14:textId="77777777" w:rsidR="002F47A0" w:rsidRPr="009E686F" w:rsidRDefault="002F47A0" w:rsidP="002F47A0">
            <w:pPr>
              <w:spacing w:after="0"/>
              <w:jc w:val="both"/>
              <w:rPr>
                <w:rFonts w:ascii="Times New Roman" w:hAnsi="Times New Roman" w:cs="Times New Roman"/>
                <w:bCs/>
                <w:lang w:val="ro-RO"/>
              </w:rPr>
            </w:pPr>
            <w:r w:rsidRPr="009E686F">
              <w:rPr>
                <w:rFonts w:ascii="Times New Roman" w:hAnsi="Times New Roman" w:cs="Times New Roman"/>
                <w:bCs/>
                <w:lang w:val="ro-RO"/>
              </w:rPr>
              <w:t>Secțiunea I</w:t>
            </w:r>
          </w:p>
          <w:p w14:paraId="68119025" w14:textId="77777777" w:rsidR="002F47A0" w:rsidRPr="009E686F" w:rsidRDefault="002F47A0" w:rsidP="002F47A0">
            <w:pPr>
              <w:spacing w:after="0"/>
              <w:jc w:val="both"/>
              <w:rPr>
                <w:rFonts w:ascii="Times New Roman" w:hAnsi="Times New Roman" w:cs="Times New Roman"/>
                <w:b/>
                <w:lang w:val="ro-RO"/>
              </w:rPr>
            </w:pPr>
            <w:r w:rsidRPr="009E686F">
              <w:rPr>
                <w:rFonts w:ascii="Times New Roman" w:hAnsi="Times New Roman" w:cs="Times New Roman"/>
                <w:b/>
                <w:lang w:val="ro-RO"/>
              </w:rPr>
              <w:t>Procesul de evaluare a adecvării capitalului intern</w:t>
            </w:r>
          </w:p>
        </w:tc>
        <w:tc>
          <w:tcPr>
            <w:tcW w:w="1928" w:type="pct"/>
            <w:gridSpan w:val="3"/>
            <w:tcBorders>
              <w:top w:val="single" w:sz="4" w:space="0" w:color="auto"/>
              <w:left w:val="single" w:sz="4" w:space="0" w:color="auto"/>
              <w:bottom w:val="single" w:sz="4" w:space="0" w:color="auto"/>
              <w:right w:val="single" w:sz="4" w:space="0" w:color="auto"/>
            </w:tcBorders>
          </w:tcPr>
          <w:p w14:paraId="50B64CA7" w14:textId="77777777" w:rsidR="002F47A0" w:rsidRPr="009E686F" w:rsidRDefault="002F47A0" w:rsidP="002F47A0">
            <w:pPr>
              <w:spacing w:after="0"/>
              <w:jc w:val="both"/>
              <w:rPr>
                <w:rFonts w:ascii="Times New Roman" w:hAnsi="Times New Roman" w:cs="Times New Roman"/>
                <w:b/>
                <w:lang w:val="ro-RO"/>
              </w:rPr>
            </w:pPr>
            <w:r w:rsidRPr="009E686F">
              <w:rPr>
                <w:rFonts w:ascii="Times New Roman" w:hAnsi="Times New Roman" w:cs="Times New Roman"/>
                <w:b/>
                <w:lang w:val="ro-RO"/>
              </w:rPr>
              <w:t>Articolul 78.  Procesul de evaluare a adecvării capitalului la riscuri</w:t>
            </w:r>
          </w:p>
          <w:p w14:paraId="4C36F64A" w14:textId="77777777" w:rsidR="002F47A0" w:rsidRPr="009E686F" w:rsidRDefault="002F47A0" w:rsidP="002F47A0">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73934DD2" w14:textId="1BEC3EF9"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0BD0A004" w14:textId="77777777" w:rsidR="002F47A0" w:rsidRPr="009E686F" w:rsidRDefault="002F47A0" w:rsidP="002F47A0">
            <w:pPr>
              <w:jc w:val="both"/>
              <w:rPr>
                <w:rFonts w:ascii="Times New Roman" w:hAnsi="Times New Roman" w:cs="Times New Roman"/>
                <w:lang w:val="ro-RO"/>
              </w:rPr>
            </w:pPr>
          </w:p>
        </w:tc>
      </w:tr>
      <w:tr w:rsidR="002F47A0" w:rsidRPr="009E686F" w14:paraId="1463214E" w14:textId="1D150C73" w:rsidTr="00774F3E">
        <w:tc>
          <w:tcPr>
            <w:tcW w:w="1796" w:type="pct"/>
            <w:gridSpan w:val="2"/>
            <w:tcBorders>
              <w:top w:val="single" w:sz="4" w:space="0" w:color="auto"/>
              <w:left w:val="single" w:sz="4" w:space="0" w:color="auto"/>
              <w:bottom w:val="single" w:sz="4" w:space="0" w:color="auto"/>
              <w:right w:val="single" w:sz="4" w:space="0" w:color="auto"/>
            </w:tcBorders>
          </w:tcPr>
          <w:p w14:paraId="7F60A783" w14:textId="77777777" w:rsidR="002F47A0" w:rsidRPr="009E686F" w:rsidRDefault="002F47A0" w:rsidP="002F47A0">
            <w:pPr>
              <w:spacing w:after="0"/>
              <w:jc w:val="both"/>
              <w:rPr>
                <w:rFonts w:ascii="Times New Roman" w:hAnsi="Times New Roman" w:cs="Times New Roman"/>
                <w:i/>
                <w:iCs/>
                <w:lang w:val="ro-RO"/>
              </w:rPr>
            </w:pPr>
            <w:r w:rsidRPr="009E686F">
              <w:rPr>
                <w:rFonts w:ascii="Times New Roman" w:hAnsi="Times New Roman" w:cs="Times New Roman"/>
                <w:i/>
                <w:iCs/>
                <w:lang w:val="ro-RO"/>
              </w:rPr>
              <w:t xml:space="preserve">Articolul 73 </w:t>
            </w:r>
          </w:p>
          <w:p w14:paraId="147B4A99" w14:textId="00956C19"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Capital intern</w:t>
            </w:r>
          </w:p>
          <w:p w14:paraId="437357F8" w14:textId="77777777" w:rsidR="002F47A0" w:rsidRPr="009E686F" w:rsidRDefault="002F47A0" w:rsidP="002F47A0">
            <w:pPr>
              <w:spacing w:after="0"/>
              <w:jc w:val="both"/>
              <w:rPr>
                <w:rFonts w:ascii="Times New Roman" w:hAnsi="Times New Roman" w:cs="Times New Roman"/>
                <w:lang w:val="ro-RO"/>
              </w:rPr>
            </w:pPr>
          </w:p>
          <w:p w14:paraId="58E99DF5" w14:textId="4E55A5D0"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 xml:space="preserve">Instituțiile dispun de strategii și proceduri solide, eficace și cuprinzătoare pentru a evalua și menține în mod constant </w:t>
            </w:r>
            <w:r w:rsidRPr="009E686F">
              <w:rPr>
                <w:rFonts w:ascii="Times New Roman" w:hAnsi="Times New Roman" w:cs="Times New Roman"/>
                <w:lang w:val="ro-RO"/>
              </w:rPr>
              <w:lastRenderedPageBreak/>
              <w:t xml:space="preserve">cuantumurile, tipurile și repartizarea capitalului intern pe care le consideră adecvate pentru a acoperi natura și nivelul riscurilor la care sunt expuse sau ar putea fi expuse. </w:t>
            </w:r>
            <w:r w:rsidRPr="009E686F">
              <w:rPr>
                <w:rFonts w:ascii="Times New Roman" w:hAnsi="Times New Roman" w:cs="Times New Roman"/>
              </w:rPr>
              <w:t>Instituțiile țin seama în mod explicit de acoperirea riscurilor ESG pe termen scurt, mediu și lung.</w:t>
            </w:r>
          </w:p>
        </w:tc>
        <w:tc>
          <w:tcPr>
            <w:tcW w:w="1928" w:type="pct"/>
            <w:gridSpan w:val="3"/>
            <w:tcBorders>
              <w:top w:val="single" w:sz="4" w:space="0" w:color="auto"/>
              <w:left w:val="single" w:sz="4" w:space="0" w:color="auto"/>
              <w:bottom w:val="single" w:sz="4" w:space="0" w:color="auto"/>
              <w:right w:val="single" w:sz="4" w:space="0" w:color="auto"/>
            </w:tcBorders>
          </w:tcPr>
          <w:p w14:paraId="63D49643" w14:textId="77777777" w:rsidR="002F47A0" w:rsidRPr="009E686F" w:rsidRDefault="002F47A0" w:rsidP="002F47A0">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b/>
                <w:bCs/>
                <w:kern w:val="2"/>
                <w:lang w:val="ro-MD"/>
              </w:rPr>
              <w:lastRenderedPageBreak/>
              <w:t>Articolul 78.</w:t>
            </w:r>
            <w:r w:rsidRPr="009E686F">
              <w:rPr>
                <w:rFonts w:ascii="Times New Roman" w:eastAsia="Aptos" w:hAnsi="Times New Roman" w:cs="Times New Roman"/>
                <w:kern w:val="2"/>
                <w:lang w:val="ro-MD"/>
              </w:rPr>
              <w:t xml:space="preserve"> Procesul de evaluare a adecvării capitalului la riscuri</w:t>
            </w:r>
          </w:p>
          <w:p w14:paraId="5A81FBAF" w14:textId="5A4B9C9B" w:rsidR="002F47A0" w:rsidRPr="009E686F" w:rsidRDefault="002F47A0" w:rsidP="002F47A0">
            <w:pPr>
              <w:spacing w:after="0"/>
              <w:jc w:val="both"/>
              <w:rPr>
                <w:rFonts w:ascii="Times New Roman" w:hAnsi="Times New Roman" w:cs="Times New Roman"/>
                <w:lang w:val="ro-RO"/>
              </w:rPr>
            </w:pPr>
            <w:r w:rsidRPr="009E686F">
              <w:rPr>
                <w:rFonts w:ascii="Times New Roman" w:eastAsia="Aptos" w:hAnsi="Times New Roman" w:cs="Times New Roman"/>
                <w:kern w:val="2"/>
                <w:lang w:val="ro-MD"/>
              </w:rPr>
              <w:t xml:space="preserve">(1) Fiecare </w:t>
            </w:r>
            <w:r w:rsidRPr="009E686F">
              <w:rPr>
                <w:rFonts w:ascii="Times New Roman" w:eastAsia="Aptos" w:hAnsi="Times New Roman" w:cs="Times New Roman"/>
                <w:i/>
                <w:iCs/>
                <w:kern w:val="2"/>
                <w:lang w:val="ro-MD"/>
              </w:rPr>
              <w:t>instituție de credit</w:t>
            </w:r>
            <w:r w:rsidRPr="009E686F">
              <w:rPr>
                <w:rFonts w:ascii="Times New Roman" w:eastAsia="Aptos" w:hAnsi="Times New Roman" w:cs="Times New Roman"/>
                <w:kern w:val="2"/>
                <w:lang w:val="ro-MD"/>
              </w:rPr>
              <w:t xml:space="preserve">  trebuie să dispună de strategii şi procese interne formalizate, solide, eficace şi complete de evaluare şi menţinere în mod constant  cuantumurile tipurile şi </w:t>
            </w:r>
            <w:r w:rsidRPr="009E686F">
              <w:rPr>
                <w:rFonts w:ascii="Times New Roman" w:eastAsia="Aptos" w:hAnsi="Times New Roman" w:cs="Times New Roman"/>
                <w:kern w:val="2"/>
                <w:lang w:val="ro-MD"/>
              </w:rPr>
              <w:lastRenderedPageBreak/>
              <w:t xml:space="preserve">distribuţia capitalului intern, care, din perspectiva </w:t>
            </w:r>
            <w:r w:rsidRPr="009E686F">
              <w:rPr>
                <w:rFonts w:ascii="Times New Roman" w:eastAsia="Aptos" w:hAnsi="Times New Roman" w:cs="Times New Roman"/>
                <w:i/>
                <w:iCs/>
                <w:kern w:val="2"/>
                <w:lang w:val="ro-MD"/>
              </w:rPr>
              <w:t>instituției de credit</w:t>
            </w:r>
            <w:r w:rsidRPr="009E686F">
              <w:rPr>
                <w:rFonts w:ascii="Times New Roman" w:eastAsia="Aptos" w:hAnsi="Times New Roman" w:cs="Times New Roman"/>
                <w:kern w:val="2"/>
                <w:lang w:val="ro-MD"/>
              </w:rPr>
              <w:t xml:space="preserve">, sînt considerate adecvate pentru acoperirea tuturor riscurilor la care aceasta este sau poate fi expusă, într-un mod corespunzător naturii şi nivelului acestor riscuri. În acest sens, </w:t>
            </w:r>
            <w:r w:rsidRPr="009E686F">
              <w:rPr>
                <w:rFonts w:ascii="Times New Roman" w:eastAsia="Aptos" w:hAnsi="Times New Roman" w:cs="Times New Roman"/>
                <w:i/>
                <w:iCs/>
                <w:kern w:val="2"/>
                <w:lang w:val="ro-MD"/>
              </w:rPr>
              <w:t>instituția de credit</w:t>
            </w:r>
            <w:r w:rsidRPr="009E686F">
              <w:rPr>
                <w:rFonts w:ascii="Times New Roman" w:eastAsia="Aptos" w:hAnsi="Times New Roman" w:cs="Times New Roman"/>
                <w:kern w:val="2"/>
                <w:lang w:val="ro-MD"/>
              </w:rPr>
              <w:t xml:space="preserve"> trebuie să aibă în vedere, pe lîngă riscurile prevăzute la art.60 alin.(4) din prezenta lege, orice alte riscuri aferente activităţii desfăşurate, precum şi cele generate de factori externi acesteia. </w:t>
            </w:r>
            <w:r w:rsidRPr="009E686F">
              <w:rPr>
                <w:rFonts w:ascii="Times New Roman" w:eastAsia="Aptos" w:hAnsi="Times New Roman" w:cs="Times New Roman"/>
                <w:i/>
                <w:iCs/>
                <w:kern w:val="2"/>
                <w:lang w:val="ro-MD"/>
              </w:rPr>
              <w:t>Instituțiile de credit</w:t>
            </w:r>
            <w:r w:rsidRPr="009E686F">
              <w:rPr>
                <w:rFonts w:ascii="Times New Roman" w:eastAsia="Aptos" w:hAnsi="Times New Roman" w:cs="Times New Roman"/>
                <w:kern w:val="2"/>
                <w:lang w:val="ro-MD"/>
              </w:rPr>
              <w:t xml:space="preserve"> </w:t>
            </w:r>
            <w:r w:rsidRPr="009E686F">
              <w:rPr>
                <w:rFonts w:ascii="Times New Roman" w:eastAsia="Aptos" w:hAnsi="Times New Roman" w:cs="Times New Roman"/>
                <w:i/>
                <w:iCs/>
                <w:kern w:val="2"/>
                <w:lang w:val="ro-MD"/>
              </w:rPr>
              <w:t>trebuie să ia în considerare,</w:t>
            </w:r>
            <w:r w:rsidRPr="009E686F">
              <w:rPr>
                <w:rFonts w:ascii="Times New Roman" w:eastAsia="Aptos" w:hAnsi="Times New Roman" w:cs="Times New Roman"/>
                <w:kern w:val="2"/>
                <w:lang w:val="ro-MD"/>
              </w:rPr>
              <w:t xml:space="preserve"> </w:t>
            </w:r>
            <w:r w:rsidRPr="009E686F">
              <w:rPr>
                <w:rFonts w:ascii="Times New Roman" w:eastAsia="Aptos" w:hAnsi="Times New Roman" w:cs="Times New Roman"/>
                <w:i/>
                <w:iCs/>
                <w:kern w:val="2"/>
                <w:lang w:val="ro-MD"/>
              </w:rPr>
              <w:t>în mod explicit, acoperirea riscurilor de mediu, sociale și de guvernanță pe termen scurt, mediu și lung.</w:t>
            </w:r>
          </w:p>
        </w:tc>
        <w:tc>
          <w:tcPr>
            <w:tcW w:w="470" w:type="pct"/>
            <w:tcBorders>
              <w:top w:val="single" w:sz="4" w:space="0" w:color="auto"/>
              <w:left w:val="single" w:sz="4" w:space="0" w:color="auto"/>
              <w:bottom w:val="single" w:sz="4" w:space="0" w:color="auto"/>
              <w:right w:val="single" w:sz="4" w:space="0" w:color="auto"/>
            </w:tcBorders>
          </w:tcPr>
          <w:p w14:paraId="47A15C6A" w14:textId="372E16D4"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151559D1" w14:textId="4CA83290" w:rsidR="002F47A0" w:rsidRPr="009E686F" w:rsidRDefault="008916FB" w:rsidP="002F47A0">
            <w:pPr>
              <w:jc w:val="both"/>
              <w:rPr>
                <w:rFonts w:ascii="Times New Roman" w:hAnsi="Times New Roman" w:cs="Times New Roman"/>
                <w:lang w:val="ro-RO"/>
              </w:rPr>
            </w:pPr>
            <w:r w:rsidRPr="009E686F">
              <w:rPr>
                <w:rFonts w:ascii="Times New Roman" w:hAnsi="Times New Roman" w:cs="Times New Roman"/>
                <w:lang w:val="ro-RO"/>
              </w:rPr>
              <w:t xml:space="preserve">Ultima teză (referitoare la riscurile ESG) – în vigoare în termen de 4 luni de la data publicării </w:t>
            </w:r>
            <w:r w:rsidRPr="009E686F">
              <w:rPr>
                <w:rFonts w:ascii="Times New Roman" w:hAnsi="Times New Roman" w:cs="Times New Roman"/>
                <w:lang w:val="ro-RO"/>
              </w:rPr>
              <w:lastRenderedPageBreak/>
              <w:t>în Monitorul Oficial al Republicii Moldova.</w:t>
            </w:r>
          </w:p>
        </w:tc>
      </w:tr>
      <w:tr w:rsidR="002F47A0" w:rsidRPr="009E686F" w14:paraId="6B8ADED3" w14:textId="3AE10221" w:rsidTr="00774F3E">
        <w:tc>
          <w:tcPr>
            <w:tcW w:w="1796" w:type="pct"/>
            <w:gridSpan w:val="2"/>
            <w:tcBorders>
              <w:top w:val="single" w:sz="4" w:space="0" w:color="auto"/>
              <w:left w:val="single" w:sz="4" w:space="0" w:color="auto"/>
              <w:bottom w:val="single" w:sz="4" w:space="0" w:color="auto"/>
              <w:right w:val="single" w:sz="4" w:space="0" w:color="auto"/>
            </w:tcBorders>
          </w:tcPr>
          <w:p w14:paraId="66050E07"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lastRenderedPageBreak/>
              <w:t>Strategiile și procedurile respective fac obiectul unui control intern periodic pentru a garanta că rămân complete și adaptate naturii, amplorii și complexității activităților instituției în cauză.</w:t>
            </w:r>
          </w:p>
        </w:tc>
        <w:tc>
          <w:tcPr>
            <w:tcW w:w="1928" w:type="pct"/>
            <w:gridSpan w:val="3"/>
            <w:tcBorders>
              <w:top w:val="single" w:sz="4" w:space="0" w:color="auto"/>
              <w:left w:val="single" w:sz="4" w:space="0" w:color="auto"/>
              <w:bottom w:val="single" w:sz="4" w:space="0" w:color="auto"/>
              <w:right w:val="single" w:sz="4" w:space="0" w:color="auto"/>
            </w:tcBorders>
          </w:tcPr>
          <w:p w14:paraId="5BA80156" w14:textId="60945F8C" w:rsidR="002F47A0" w:rsidRPr="009E686F" w:rsidRDefault="002F47A0" w:rsidP="002F47A0">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 xml:space="preserve">(2) Procesele şi strategiile prevăzute la alin.(1) trebuie să fie supuse unor revizuiri interne regulate de către </w:t>
            </w:r>
            <w:r w:rsidRPr="009E686F">
              <w:rPr>
                <w:rFonts w:ascii="Times New Roman" w:eastAsia="Aptos" w:hAnsi="Times New Roman" w:cs="Times New Roman"/>
                <w:i/>
                <w:iCs/>
                <w:kern w:val="2"/>
                <w:lang w:val="ro-MD"/>
              </w:rPr>
              <w:t>instituția de credit</w:t>
            </w:r>
            <w:r w:rsidRPr="009E686F">
              <w:rPr>
                <w:rFonts w:ascii="Times New Roman" w:eastAsia="Aptos" w:hAnsi="Times New Roman" w:cs="Times New Roman"/>
                <w:kern w:val="2"/>
                <w:lang w:val="ro-MD"/>
              </w:rPr>
              <w:t xml:space="preserve">, astfel încît să se asigure că ele rămîn în permanenţă complete şi proporţionale în raport cu natura, amploarea şi complexitatea activităţilor desfăşurate de respectiva </w:t>
            </w:r>
            <w:r w:rsidRPr="009E686F">
              <w:rPr>
                <w:rFonts w:ascii="Times New Roman" w:eastAsia="Aptos" w:hAnsi="Times New Roman" w:cs="Times New Roman"/>
                <w:i/>
                <w:iCs/>
                <w:kern w:val="2"/>
                <w:lang w:val="ro-MD"/>
              </w:rPr>
              <w:t>instituție de credit</w:t>
            </w:r>
            <w:r w:rsidRPr="009E686F">
              <w:rPr>
                <w:rFonts w:ascii="Times New Roman" w:eastAsia="Aptos" w:hAnsi="Times New Roman" w:cs="Times New Roman"/>
                <w:kern w:val="2"/>
                <w:lang w:val="ro-MD"/>
              </w:rPr>
              <w:t>.</w:t>
            </w:r>
          </w:p>
          <w:p w14:paraId="7EBB1A44" w14:textId="1A8959F8" w:rsidR="002F47A0" w:rsidRPr="009E686F" w:rsidRDefault="002F47A0" w:rsidP="002F47A0">
            <w:pPr>
              <w:spacing w:after="0" w:line="278" w:lineRule="auto"/>
              <w:jc w:val="both"/>
              <w:rPr>
                <w:rFonts w:ascii="Times New Roman" w:hAnsi="Times New Roman" w:cs="Times New Roman"/>
                <w:lang w:val="ro-RO"/>
              </w:rPr>
            </w:pPr>
            <w:r w:rsidRPr="009E686F">
              <w:rPr>
                <w:rFonts w:ascii="Times New Roman" w:eastAsia="Aptos" w:hAnsi="Times New Roman" w:cs="Times New Roman"/>
                <w:kern w:val="2"/>
                <w:lang w:val="ro-MD"/>
              </w:rPr>
              <w:t xml:space="preserve">(3) </w:t>
            </w:r>
            <w:r w:rsidRPr="009E686F">
              <w:rPr>
                <w:rFonts w:ascii="Times New Roman" w:eastAsia="Aptos" w:hAnsi="Times New Roman" w:cs="Times New Roman"/>
                <w:i/>
                <w:iCs/>
                <w:kern w:val="2"/>
                <w:lang w:val="ro-MD"/>
              </w:rPr>
              <w:t>Instituțiile de credit</w:t>
            </w:r>
            <w:r w:rsidRPr="009E686F">
              <w:rPr>
                <w:rFonts w:ascii="Times New Roman" w:eastAsia="Aptos" w:hAnsi="Times New Roman" w:cs="Times New Roman"/>
                <w:kern w:val="2"/>
                <w:lang w:val="ro-MD"/>
              </w:rPr>
              <w:t xml:space="preserve"> sînt responsabile pentru procesul intern de evaluare a adecvării capitalului la propriul profil de risc</w:t>
            </w:r>
          </w:p>
        </w:tc>
        <w:tc>
          <w:tcPr>
            <w:tcW w:w="470" w:type="pct"/>
            <w:tcBorders>
              <w:top w:val="single" w:sz="4" w:space="0" w:color="auto"/>
              <w:left w:val="single" w:sz="4" w:space="0" w:color="auto"/>
              <w:bottom w:val="single" w:sz="4" w:space="0" w:color="auto"/>
              <w:right w:val="single" w:sz="4" w:space="0" w:color="auto"/>
            </w:tcBorders>
          </w:tcPr>
          <w:p w14:paraId="6AEB9A49" w14:textId="7E2E9A3B"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3C86399D" w14:textId="77777777" w:rsidR="002F47A0" w:rsidRPr="009E686F" w:rsidRDefault="002F47A0" w:rsidP="002F47A0">
            <w:pPr>
              <w:jc w:val="both"/>
              <w:rPr>
                <w:rFonts w:ascii="Times New Roman" w:hAnsi="Times New Roman" w:cs="Times New Roman"/>
                <w:lang w:val="ro-RO"/>
              </w:rPr>
            </w:pPr>
          </w:p>
        </w:tc>
      </w:tr>
      <w:tr w:rsidR="002F47A0" w:rsidRPr="009E686F" w14:paraId="0A17C0A5" w14:textId="6B48EEED" w:rsidTr="00DB54EA">
        <w:trPr>
          <w:trHeight w:val="1201"/>
        </w:trPr>
        <w:tc>
          <w:tcPr>
            <w:tcW w:w="5000" w:type="pct"/>
            <w:gridSpan w:val="7"/>
            <w:tcBorders>
              <w:top w:val="single" w:sz="4" w:space="0" w:color="auto"/>
              <w:left w:val="single" w:sz="4" w:space="0" w:color="auto"/>
              <w:right w:val="single" w:sz="4" w:space="0" w:color="auto"/>
            </w:tcBorders>
          </w:tcPr>
          <w:p w14:paraId="4DD25316" w14:textId="77777777" w:rsidR="002F47A0" w:rsidRPr="009E686F" w:rsidRDefault="002F47A0" w:rsidP="002F47A0">
            <w:pPr>
              <w:spacing w:after="0"/>
              <w:jc w:val="both"/>
              <w:rPr>
                <w:rFonts w:ascii="Times New Roman" w:hAnsi="Times New Roman" w:cs="Times New Roman"/>
                <w:bCs/>
                <w:lang w:val="ro-RO"/>
              </w:rPr>
            </w:pPr>
            <w:r w:rsidRPr="009E686F">
              <w:rPr>
                <w:rFonts w:ascii="Times New Roman" w:hAnsi="Times New Roman" w:cs="Times New Roman"/>
                <w:bCs/>
                <w:lang w:val="ro-RO"/>
              </w:rPr>
              <w:t>Secțiunea II</w:t>
            </w:r>
          </w:p>
          <w:p w14:paraId="0233A3DC" w14:textId="77777777" w:rsidR="002F47A0" w:rsidRPr="009E686F" w:rsidRDefault="002F47A0" w:rsidP="002F47A0">
            <w:pPr>
              <w:spacing w:after="0"/>
              <w:jc w:val="both"/>
              <w:rPr>
                <w:rFonts w:ascii="Times New Roman" w:hAnsi="Times New Roman" w:cs="Times New Roman"/>
                <w:b/>
                <w:lang w:val="ro-RO"/>
              </w:rPr>
            </w:pPr>
            <w:r w:rsidRPr="009E686F">
              <w:rPr>
                <w:rFonts w:ascii="Times New Roman" w:hAnsi="Times New Roman" w:cs="Times New Roman"/>
                <w:b/>
                <w:lang w:val="ro-RO"/>
              </w:rPr>
              <w:t>Dispozițiile, procesele și mecanismele instituțiilor</w:t>
            </w:r>
          </w:p>
          <w:p w14:paraId="1221EA7E" w14:textId="77777777" w:rsidR="002F47A0" w:rsidRPr="009E686F" w:rsidRDefault="002F47A0" w:rsidP="002F47A0">
            <w:pPr>
              <w:spacing w:after="0"/>
              <w:jc w:val="both"/>
              <w:rPr>
                <w:rFonts w:ascii="Times New Roman" w:hAnsi="Times New Roman" w:cs="Times New Roman"/>
                <w:bCs/>
                <w:lang w:val="ro-RO"/>
              </w:rPr>
            </w:pPr>
            <w:r w:rsidRPr="009E686F">
              <w:rPr>
                <w:rFonts w:ascii="Times New Roman" w:hAnsi="Times New Roman" w:cs="Times New Roman"/>
                <w:bCs/>
                <w:lang w:val="ro-RO"/>
              </w:rPr>
              <w:t>Subsecțiunea 1</w:t>
            </w:r>
          </w:p>
          <w:p w14:paraId="01200F6F" w14:textId="3A2DA6C3"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b/>
                <w:lang w:val="ro-RO"/>
              </w:rPr>
              <w:t>Principii generale</w:t>
            </w:r>
          </w:p>
        </w:tc>
      </w:tr>
      <w:tr w:rsidR="002F47A0" w:rsidRPr="009E686F" w14:paraId="2AD81A83" w14:textId="101E5167" w:rsidTr="00774F3E">
        <w:tc>
          <w:tcPr>
            <w:tcW w:w="1796" w:type="pct"/>
            <w:gridSpan w:val="2"/>
            <w:tcBorders>
              <w:top w:val="single" w:sz="4" w:space="0" w:color="auto"/>
              <w:left w:val="single" w:sz="4" w:space="0" w:color="auto"/>
              <w:bottom w:val="single" w:sz="4" w:space="0" w:color="auto"/>
              <w:right w:val="single" w:sz="4" w:space="0" w:color="auto"/>
            </w:tcBorders>
          </w:tcPr>
          <w:p w14:paraId="6D2AF8EB" w14:textId="77777777" w:rsidR="002F47A0" w:rsidRPr="009E686F" w:rsidRDefault="002F47A0" w:rsidP="002F47A0">
            <w:pPr>
              <w:spacing w:after="0"/>
              <w:jc w:val="both"/>
              <w:rPr>
                <w:rFonts w:ascii="Times New Roman" w:hAnsi="Times New Roman" w:cs="Times New Roman"/>
                <w:i/>
                <w:iCs/>
                <w:lang w:val="ro-RO"/>
              </w:rPr>
            </w:pPr>
            <w:r w:rsidRPr="009E686F">
              <w:rPr>
                <w:rFonts w:ascii="Times New Roman" w:hAnsi="Times New Roman" w:cs="Times New Roman"/>
                <w:i/>
                <w:iCs/>
                <w:lang w:val="ro-RO"/>
              </w:rPr>
              <w:t xml:space="preserve"> Articolul 74 </w:t>
            </w:r>
          </w:p>
          <w:p w14:paraId="3433DA51" w14:textId="3B02956B"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Cadrul de administrare a activității și planuri de redresare și rezoluție</w:t>
            </w:r>
          </w:p>
        </w:tc>
        <w:tc>
          <w:tcPr>
            <w:tcW w:w="1928" w:type="pct"/>
            <w:gridSpan w:val="3"/>
            <w:tcBorders>
              <w:top w:val="single" w:sz="4" w:space="0" w:color="auto"/>
              <w:left w:val="single" w:sz="4" w:space="0" w:color="auto"/>
              <w:bottom w:val="single" w:sz="4" w:space="0" w:color="auto"/>
              <w:right w:val="single" w:sz="4" w:space="0" w:color="auto"/>
            </w:tcBorders>
          </w:tcPr>
          <w:p w14:paraId="6FFC5B05" w14:textId="77777777" w:rsidR="002F47A0" w:rsidRPr="009E686F" w:rsidRDefault="002F47A0" w:rsidP="002F47A0">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b/>
                <w:bCs/>
                <w:kern w:val="2"/>
                <w:lang w:val="ro-MD"/>
              </w:rPr>
              <w:t>Articolul 38.</w:t>
            </w:r>
            <w:r w:rsidRPr="009E686F">
              <w:rPr>
                <w:rFonts w:ascii="Times New Roman" w:eastAsia="Aptos" w:hAnsi="Times New Roman" w:cs="Times New Roman"/>
                <w:kern w:val="2"/>
                <w:lang w:val="ro-MD"/>
              </w:rPr>
              <w:t xml:space="preserve"> Cadrul de administrare a activităţii </w:t>
            </w:r>
          </w:p>
          <w:p w14:paraId="10DD3259" w14:textId="77777777" w:rsidR="002F47A0" w:rsidRPr="009E686F" w:rsidRDefault="002F47A0" w:rsidP="002F47A0">
            <w:pPr>
              <w:spacing w:after="0"/>
              <w:jc w:val="both"/>
              <w:rPr>
                <w:rFonts w:ascii="Times New Roman" w:hAnsi="Times New Roman" w:cs="Times New Roman"/>
                <w:b/>
                <w:lang w:val="ro-MD"/>
              </w:rPr>
            </w:pPr>
          </w:p>
        </w:tc>
        <w:tc>
          <w:tcPr>
            <w:tcW w:w="470" w:type="pct"/>
            <w:tcBorders>
              <w:top w:val="single" w:sz="4" w:space="0" w:color="auto"/>
              <w:left w:val="single" w:sz="4" w:space="0" w:color="auto"/>
              <w:bottom w:val="single" w:sz="4" w:space="0" w:color="auto"/>
              <w:right w:val="single" w:sz="4" w:space="0" w:color="auto"/>
            </w:tcBorders>
          </w:tcPr>
          <w:p w14:paraId="10E135C2" w14:textId="77777777" w:rsidR="002F47A0" w:rsidRPr="009E686F" w:rsidRDefault="002F47A0" w:rsidP="002F47A0">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206A81D4" w14:textId="77777777" w:rsidR="002F47A0" w:rsidRPr="009E686F" w:rsidRDefault="002F47A0" w:rsidP="002F47A0">
            <w:pPr>
              <w:jc w:val="both"/>
              <w:rPr>
                <w:rFonts w:ascii="Times New Roman" w:hAnsi="Times New Roman" w:cs="Times New Roman"/>
                <w:lang w:val="ro-RO"/>
              </w:rPr>
            </w:pPr>
          </w:p>
        </w:tc>
      </w:tr>
      <w:tr w:rsidR="002F47A0" w:rsidRPr="009E686F" w14:paraId="697DDE76" w14:textId="1CB19779" w:rsidTr="004862E3">
        <w:tc>
          <w:tcPr>
            <w:tcW w:w="1796" w:type="pct"/>
            <w:gridSpan w:val="2"/>
            <w:vMerge w:val="restart"/>
            <w:tcBorders>
              <w:top w:val="single" w:sz="4" w:space="0" w:color="auto"/>
              <w:left w:val="single" w:sz="4" w:space="0" w:color="auto"/>
              <w:right w:val="single" w:sz="4" w:space="0" w:color="auto"/>
            </w:tcBorders>
          </w:tcPr>
          <w:p w14:paraId="6C870B46" w14:textId="73E69F76"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(1)Instituțiile dispun de un cadru solid de administrare a activității, care include:</w:t>
            </w:r>
          </w:p>
          <w:p w14:paraId="44707435"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(a) o structură organizatorică clară cu linii de responsabilitate bine definite, transparente și coerente;</w:t>
            </w:r>
          </w:p>
          <w:p w14:paraId="7CC6CF2F" w14:textId="7180681A"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lastRenderedPageBreak/>
              <w:t>(b) procese eficace de identificare, administrare, monitorizare și raportare a riscurilor la care sunt sau pot fi expuse, inclusiv a riscurilor ESG pe termen scurt, mediu și lung;</w:t>
            </w:r>
          </w:p>
          <w:p w14:paraId="491D254B" w14:textId="66269F8F"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 xml:space="preserve">(c) mecanisme adecvate de control intern, inclusiv proceduri administrative și contabile riguroase, </w:t>
            </w:r>
          </w:p>
          <w:p w14:paraId="3BEC7C1B" w14:textId="72C4235D"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 xml:space="preserve">(d)rețele și sisteme informatice instituite și gestionate </w:t>
            </w:r>
            <w:bookmarkStart w:id="21" w:name="_Hlk209113497"/>
            <w:r w:rsidRPr="009E686F">
              <w:rPr>
                <w:rFonts w:ascii="Times New Roman" w:hAnsi="Times New Roman" w:cs="Times New Roman"/>
                <w:lang w:val="ro-RO"/>
              </w:rPr>
              <w:t>în conformitate cu Regulamentul (UE) 2022/2554;</w:t>
            </w:r>
            <w:bookmarkEnd w:id="21"/>
          </w:p>
          <w:p w14:paraId="5C9C4BF4" w14:textId="698D8EA2"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(e) politici și practici de remunerare care să promoveze și să fie în concordanță cu o administrare sănătoasă și eficace a riscurilor, inclusiv prin luarea în considerare a apetitului pentru risc al instituțiilor în ceea ce privește riscurile ESG.</w:t>
            </w:r>
          </w:p>
          <w:p w14:paraId="586A1BEA" w14:textId="6E38C678" w:rsidR="002F47A0" w:rsidRPr="009E686F" w:rsidRDefault="002F47A0" w:rsidP="002F47A0">
            <w:pPr>
              <w:shd w:val="clear" w:color="auto" w:fill="FFFFFF"/>
              <w:spacing w:before="120" w:after="0" w:line="240" w:lineRule="auto"/>
              <w:jc w:val="both"/>
              <w:rPr>
                <w:rFonts w:ascii="Times New Roman" w:eastAsia="Times New Roman" w:hAnsi="Times New Roman" w:cs="Times New Roman"/>
                <w:color w:val="000000"/>
                <w:lang w:val="it-CH" w:eastAsia="ro-MD"/>
              </w:rPr>
            </w:pPr>
            <w:r w:rsidRPr="009E686F">
              <w:rPr>
                <w:rFonts w:ascii="Times New Roman" w:eastAsia="Times New Roman" w:hAnsi="Times New Roman" w:cs="Times New Roman"/>
                <w:color w:val="000000"/>
                <w:lang w:val="it-CH" w:eastAsia="ro-MD"/>
              </w:rPr>
              <w:t>Politicile și practicile de remunerare menționate la primul paragraf sunt neutre din punctul de vedere al genului.</w:t>
            </w:r>
          </w:p>
        </w:tc>
        <w:tc>
          <w:tcPr>
            <w:tcW w:w="1928" w:type="pct"/>
            <w:gridSpan w:val="3"/>
            <w:tcBorders>
              <w:top w:val="single" w:sz="4" w:space="0" w:color="auto"/>
              <w:left w:val="single" w:sz="4" w:space="0" w:color="auto"/>
              <w:bottom w:val="single" w:sz="4" w:space="0" w:color="auto"/>
              <w:right w:val="single" w:sz="4" w:space="0" w:color="auto"/>
            </w:tcBorders>
          </w:tcPr>
          <w:p w14:paraId="1D72D775" w14:textId="15C0C1F5" w:rsidR="002F47A0" w:rsidRPr="009E686F" w:rsidRDefault="002F47A0" w:rsidP="002F47A0">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lastRenderedPageBreak/>
              <w:t xml:space="preserve">(1) Fiecare </w:t>
            </w:r>
            <w:r w:rsidRPr="009E686F">
              <w:rPr>
                <w:rFonts w:ascii="Times New Roman" w:eastAsia="Aptos" w:hAnsi="Times New Roman" w:cs="Times New Roman"/>
                <w:i/>
                <w:iCs/>
                <w:kern w:val="2"/>
                <w:lang w:val="ro-MD"/>
              </w:rPr>
              <w:t>instituție de credit</w:t>
            </w:r>
            <w:r w:rsidRPr="009E686F">
              <w:rPr>
                <w:rFonts w:ascii="Times New Roman" w:eastAsia="Aptos" w:hAnsi="Times New Roman" w:cs="Times New Roman"/>
                <w:kern w:val="2"/>
                <w:lang w:val="ro-MD"/>
              </w:rPr>
              <w:t xml:space="preserve">  trebuie să dispună de un cadru solid de administrare a activităţii, care să includă:</w:t>
            </w:r>
          </w:p>
          <w:p w14:paraId="59C056FA" w14:textId="77777777" w:rsidR="002F47A0" w:rsidRPr="009E686F" w:rsidRDefault="002F47A0" w:rsidP="002F47A0">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a) o structură organizatorică clară, cu linii de responsabilitate bine definite, transparente şi coerente;</w:t>
            </w:r>
          </w:p>
          <w:p w14:paraId="1A5526F3" w14:textId="001AB03C" w:rsidR="002F47A0" w:rsidRPr="009E686F" w:rsidRDefault="002F47A0" w:rsidP="002F47A0">
            <w:pPr>
              <w:spacing w:after="0" w:line="278" w:lineRule="auto"/>
              <w:jc w:val="both"/>
              <w:rPr>
                <w:rFonts w:ascii="Times New Roman" w:eastAsia="Aptos" w:hAnsi="Times New Roman" w:cs="Times New Roman"/>
                <w:kern w:val="2"/>
                <w:lang w:val="ro-RO"/>
              </w:rPr>
            </w:pPr>
            <w:r w:rsidRPr="009E686F">
              <w:rPr>
                <w:rFonts w:ascii="Times New Roman" w:eastAsia="Aptos" w:hAnsi="Times New Roman" w:cs="Times New Roman"/>
                <w:kern w:val="2"/>
                <w:lang w:val="ro-MD"/>
              </w:rPr>
              <w:lastRenderedPageBreak/>
              <w:t xml:space="preserve">b) procese eficace de identificare, administrare, monitorizare şi raportare a riscurilor la care este sau ar putea fi expusă, </w:t>
            </w:r>
            <w:r w:rsidRPr="009E686F">
              <w:rPr>
                <w:rFonts w:ascii="Times New Roman" w:eastAsia="Aptos" w:hAnsi="Times New Roman" w:cs="Times New Roman"/>
                <w:i/>
                <w:iCs/>
                <w:kern w:val="2"/>
                <w:lang w:val="ro-MD"/>
              </w:rPr>
              <w:t xml:space="preserve">inclusiv a riscurilor pe termen scurt, mediu și lung, de mediu, sociale și de guvernanță, precum și a </w:t>
            </w:r>
            <w:r w:rsidRPr="009E686F">
              <w:rPr>
                <w:rFonts w:ascii="Times New Roman" w:eastAsia="Aptos" w:hAnsi="Times New Roman" w:cs="Times New Roman"/>
                <w:i/>
                <w:iCs/>
                <w:kern w:val="2"/>
                <w:lang w:val="ro-RO"/>
              </w:rPr>
              <w:t>riscului de concentrare rezultat din expunerile față de contrapărți centrale</w:t>
            </w:r>
            <w:r w:rsidRPr="009E686F">
              <w:rPr>
                <w:rFonts w:ascii="Times New Roman" w:eastAsia="Aptos" w:hAnsi="Times New Roman" w:cs="Times New Roman"/>
                <w:kern w:val="2"/>
                <w:lang w:val="ro-RO"/>
              </w:rPr>
              <w:t>;</w:t>
            </w:r>
          </w:p>
          <w:p w14:paraId="4FC40680" w14:textId="431FEC3C" w:rsidR="002F47A0" w:rsidRPr="009E686F" w:rsidRDefault="002F47A0" w:rsidP="002F47A0">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kern w:val="2"/>
                <w:lang w:val="ro-RO"/>
              </w:rPr>
              <w:t>c)</w:t>
            </w:r>
            <w:r w:rsidRPr="009E686F">
              <w:rPr>
                <w:rFonts w:ascii="Times New Roman" w:eastAsia="Aptos" w:hAnsi="Times New Roman" w:cs="Times New Roman"/>
                <w:kern w:val="2"/>
                <w:lang w:val="ro-MD"/>
              </w:rPr>
              <w:t xml:space="preserve"> procesele de evaluare a adecvării capitalului la riscuri </w:t>
            </w:r>
            <w:r w:rsidRPr="009E686F">
              <w:rPr>
                <w:rFonts w:ascii="Times New Roman" w:eastAsia="Aptos" w:hAnsi="Times New Roman" w:cs="Times New Roman"/>
                <w:kern w:val="2"/>
                <w:lang w:val="ro-RO"/>
              </w:rPr>
              <w:t xml:space="preserve">și </w:t>
            </w:r>
            <w:r w:rsidRPr="009E686F">
              <w:rPr>
                <w:rFonts w:ascii="Times New Roman" w:eastAsia="Aptos" w:hAnsi="Times New Roman" w:cs="Times New Roman"/>
                <w:kern w:val="2"/>
                <w:lang w:val="ro-MD"/>
              </w:rPr>
              <w:t xml:space="preserve">de evaluare a adecvării lichidităţii, </w:t>
            </w:r>
          </w:p>
          <w:p w14:paraId="0DE6CF61" w14:textId="0C53794F" w:rsidR="002F47A0" w:rsidRPr="009E686F" w:rsidRDefault="002F47A0" w:rsidP="002F47A0">
            <w:pPr>
              <w:spacing w:after="0" w:line="278" w:lineRule="auto"/>
              <w:jc w:val="both"/>
              <w:rPr>
                <w:rFonts w:ascii="Times New Roman" w:eastAsia="Aptos" w:hAnsi="Times New Roman" w:cs="Times New Roman"/>
                <w:i/>
                <w:iCs/>
                <w:kern w:val="2"/>
                <w:lang w:val="ro-MD"/>
              </w:rPr>
            </w:pPr>
            <w:r w:rsidRPr="009E686F">
              <w:rPr>
                <w:rFonts w:ascii="Times New Roman" w:eastAsia="Aptos" w:hAnsi="Times New Roman" w:cs="Times New Roman"/>
                <w:kern w:val="2"/>
                <w:lang w:val="ro-MD"/>
              </w:rPr>
              <w:t xml:space="preserve">d) mecanisme adecvate de control intern, inclusiv proceduri administrative şi contabile riguroase, </w:t>
            </w:r>
            <w:r w:rsidRPr="009E686F">
              <w:rPr>
                <w:rFonts w:ascii="Times New Roman" w:eastAsia="Aptos" w:hAnsi="Times New Roman" w:cs="Times New Roman"/>
                <w:i/>
                <w:iCs/>
                <w:kern w:val="2"/>
                <w:lang w:val="ro-MD"/>
              </w:rPr>
              <w:t xml:space="preserve">rețele și sisteme informatice instituite și gestionate în conformitate actele normative privind reziliența operațională digitală a sectorului financiar; </w:t>
            </w:r>
          </w:p>
          <w:p w14:paraId="7FF9BB35" w14:textId="7FA6C728" w:rsidR="002F47A0" w:rsidRPr="009E686F" w:rsidRDefault="002F47A0" w:rsidP="002F47A0">
            <w:pPr>
              <w:spacing w:after="0"/>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 xml:space="preserve">e) politici şi practici de remunerare neutre din punctul de vedere al genului, care să promoveze şi să fie în concordanţă cu o administrare sănătoasă şi eficace a riscurilor, </w:t>
            </w:r>
            <w:r w:rsidRPr="009E686F">
              <w:rPr>
                <w:rFonts w:ascii="Times New Roman" w:eastAsia="Aptos" w:hAnsi="Times New Roman" w:cs="Times New Roman"/>
                <w:i/>
                <w:iCs/>
                <w:kern w:val="2"/>
                <w:lang w:val="ro-MD"/>
              </w:rPr>
              <w:t>inclusiv prin luarea în considerare a apetitului pentru risc al instituțiilor de credit în ceea ce privește riscurile de mediu, sociale și de guvernanță</w:t>
            </w:r>
            <w:r w:rsidRPr="009E686F">
              <w:rPr>
                <w:rFonts w:ascii="Times New Roman" w:eastAsia="Aptos" w:hAnsi="Times New Roman" w:cs="Times New Roman"/>
                <w:kern w:val="2"/>
                <w:lang w:val="ro-MD"/>
              </w:rPr>
              <w:t>.</w:t>
            </w:r>
          </w:p>
        </w:tc>
        <w:tc>
          <w:tcPr>
            <w:tcW w:w="470" w:type="pct"/>
            <w:tcBorders>
              <w:top w:val="single" w:sz="4" w:space="0" w:color="auto"/>
              <w:left w:val="single" w:sz="4" w:space="0" w:color="auto"/>
              <w:bottom w:val="single" w:sz="4" w:space="0" w:color="auto"/>
              <w:right w:val="single" w:sz="4" w:space="0" w:color="auto"/>
            </w:tcBorders>
          </w:tcPr>
          <w:p w14:paraId="2A8FCB7A" w14:textId="51388762"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6A8B9692" w14:textId="7C97C359" w:rsidR="002F47A0" w:rsidRPr="009E686F" w:rsidRDefault="008E70FF" w:rsidP="002F47A0">
            <w:pPr>
              <w:jc w:val="both"/>
              <w:rPr>
                <w:rFonts w:ascii="Times New Roman" w:hAnsi="Times New Roman" w:cs="Times New Roman"/>
                <w:lang w:val="ro-RO"/>
              </w:rPr>
            </w:pPr>
            <w:bookmarkStart w:id="22" w:name="_Hlk237356975"/>
            <w:r w:rsidRPr="009E686F">
              <w:rPr>
                <w:rFonts w:ascii="Times New Roman" w:hAnsi="Times New Roman" w:cs="Times New Roman"/>
                <w:lang w:val="ro-RO"/>
              </w:rPr>
              <w:t xml:space="preserve">Lit. e) în partea care se referă la riscurile ESG – în vigoare în termen de 4 luni de la data publicării </w:t>
            </w:r>
            <w:r w:rsidRPr="009E686F">
              <w:rPr>
                <w:rFonts w:ascii="Times New Roman" w:hAnsi="Times New Roman" w:cs="Times New Roman"/>
                <w:lang w:val="ro-RO"/>
              </w:rPr>
              <w:lastRenderedPageBreak/>
              <w:t>legii în Monitorul Oficial al Republicii Moldova.</w:t>
            </w:r>
            <w:bookmarkEnd w:id="22"/>
          </w:p>
        </w:tc>
      </w:tr>
      <w:tr w:rsidR="002F47A0" w:rsidRPr="009E686F" w14:paraId="427D2C41" w14:textId="77777777" w:rsidTr="00B01436">
        <w:tc>
          <w:tcPr>
            <w:tcW w:w="1796" w:type="pct"/>
            <w:gridSpan w:val="2"/>
            <w:vMerge/>
            <w:tcBorders>
              <w:left w:val="single" w:sz="4" w:space="0" w:color="auto"/>
              <w:right w:val="single" w:sz="4" w:space="0" w:color="auto"/>
            </w:tcBorders>
          </w:tcPr>
          <w:p w14:paraId="06BEDADE" w14:textId="77777777" w:rsidR="002F47A0" w:rsidRPr="009E686F" w:rsidRDefault="002F47A0" w:rsidP="002F47A0">
            <w:pPr>
              <w:spacing w:after="0"/>
              <w:jc w:val="both"/>
              <w:rPr>
                <w:rFonts w:ascii="Times New Roman" w:hAnsi="Times New Roman" w:cs="Times New Roman"/>
                <w:lang w:val="ro-RO"/>
              </w:rPr>
            </w:pPr>
          </w:p>
        </w:tc>
        <w:tc>
          <w:tcPr>
            <w:tcW w:w="1928" w:type="pct"/>
            <w:gridSpan w:val="3"/>
            <w:tcBorders>
              <w:top w:val="single" w:sz="4" w:space="0" w:color="auto"/>
              <w:left w:val="single" w:sz="4" w:space="0" w:color="auto"/>
              <w:bottom w:val="single" w:sz="4" w:space="0" w:color="auto"/>
              <w:right w:val="single" w:sz="4" w:space="0" w:color="auto"/>
            </w:tcBorders>
          </w:tcPr>
          <w:p w14:paraId="202684D4" w14:textId="54882B11"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b/>
                <w:lang w:val="ro-RO"/>
              </w:rPr>
              <w:t>Articolul 32.</w:t>
            </w:r>
            <w:r w:rsidRPr="009E686F">
              <w:rPr>
                <w:rFonts w:ascii="Times New Roman" w:hAnsi="Times New Roman" w:cs="Times New Roman"/>
                <w:lang w:val="ro-RO"/>
              </w:rPr>
              <w:t xml:space="preserve"> Deschiderea de sucursale </w:t>
            </w:r>
          </w:p>
          <w:p w14:paraId="00C28BBE" w14:textId="2DD61983"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 xml:space="preserve">(1) </w:t>
            </w:r>
            <w:r w:rsidRPr="009E686F">
              <w:rPr>
                <w:rFonts w:ascii="Times New Roman" w:hAnsi="Times New Roman" w:cs="Times New Roman"/>
                <w:i/>
                <w:lang w:val="ro-RO"/>
              </w:rPr>
              <w:t>Instituțiile de credit</w:t>
            </w:r>
            <w:r w:rsidRPr="009E686F">
              <w:rPr>
                <w:rFonts w:ascii="Times New Roman" w:hAnsi="Times New Roman" w:cs="Times New Roman"/>
                <w:lang w:val="ro-RO"/>
              </w:rPr>
              <w:t xml:space="preserve"> persoane juridice din Republica Moldova deschid sucursale pe teritoriul Republicii Moldova cu notificarea ulterioară a Băncii Naţionale a Moldovei în termen de 2 zile lucrătoare şi în condiţiile stabilite de actele normative emise de aceasta.</w:t>
            </w:r>
          </w:p>
          <w:p w14:paraId="42779984" w14:textId="2F38BC7A"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 xml:space="preserve">(2) Sucursala </w:t>
            </w:r>
            <w:r w:rsidRPr="009E686F">
              <w:rPr>
                <w:rFonts w:ascii="Times New Roman" w:hAnsi="Times New Roman" w:cs="Times New Roman"/>
                <w:i/>
                <w:lang w:val="ro-RO"/>
              </w:rPr>
              <w:t>instituției de credit</w:t>
            </w:r>
            <w:r w:rsidRPr="009E686F">
              <w:rPr>
                <w:rFonts w:ascii="Times New Roman" w:hAnsi="Times New Roman" w:cs="Times New Roman"/>
                <w:lang w:val="ro-RO"/>
              </w:rPr>
              <w:t xml:space="preserve"> desfăşoară în numele ei toate sau unele dintre activităţile prevăzute de autorizația eliberată </w:t>
            </w:r>
            <w:r w:rsidRPr="009E686F">
              <w:rPr>
                <w:rFonts w:ascii="Times New Roman" w:hAnsi="Times New Roman" w:cs="Times New Roman"/>
                <w:i/>
                <w:lang w:val="ro-RO"/>
              </w:rPr>
              <w:t>instituției de credit</w:t>
            </w:r>
            <w:r w:rsidRPr="009E686F">
              <w:rPr>
                <w:rFonts w:ascii="Times New Roman" w:hAnsi="Times New Roman" w:cs="Times New Roman"/>
                <w:lang w:val="ro-RO"/>
              </w:rPr>
              <w:t xml:space="preserve"> şi acţionează în limitele împuternicirilor acordate de aceasta. </w:t>
            </w:r>
          </w:p>
          <w:p w14:paraId="01493E37" w14:textId="7B05FE59"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 xml:space="preserve">(3) Denumirea sucursalei trebuie să includă indicarea faptului că este sucursala </w:t>
            </w:r>
            <w:r w:rsidRPr="009E686F">
              <w:rPr>
                <w:rFonts w:ascii="Times New Roman" w:hAnsi="Times New Roman" w:cs="Times New Roman"/>
                <w:i/>
                <w:lang w:val="ro-RO"/>
              </w:rPr>
              <w:t>instituției de credit</w:t>
            </w:r>
            <w:r w:rsidRPr="009E686F">
              <w:rPr>
                <w:rFonts w:ascii="Times New Roman" w:hAnsi="Times New Roman" w:cs="Times New Roman"/>
                <w:lang w:val="ro-RO"/>
              </w:rPr>
              <w:t xml:space="preserve"> care а deschis-o.</w:t>
            </w:r>
          </w:p>
          <w:p w14:paraId="71E47A13" w14:textId="6C6D8DAF"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lastRenderedPageBreak/>
              <w:t xml:space="preserve">(4) Înregistrarea sucursalei la organul înregistrării de stat se efectuează la prezentarea deciziei respective a organului de conducere al </w:t>
            </w:r>
            <w:r w:rsidRPr="009E686F">
              <w:rPr>
                <w:rFonts w:ascii="Times New Roman" w:hAnsi="Times New Roman" w:cs="Times New Roman"/>
                <w:i/>
                <w:lang w:val="ro-RO"/>
              </w:rPr>
              <w:t>instituției de credit</w:t>
            </w:r>
            <w:r w:rsidRPr="009E686F">
              <w:rPr>
                <w:rFonts w:ascii="Times New Roman" w:hAnsi="Times New Roman" w:cs="Times New Roman"/>
                <w:lang w:val="ro-RO"/>
              </w:rPr>
              <w:t xml:space="preserve"> cu privire la deschiderea sucursalei.</w:t>
            </w:r>
          </w:p>
          <w:p w14:paraId="652C30A6" w14:textId="2613F58F"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 xml:space="preserve">(5) Sucursalele </w:t>
            </w:r>
            <w:r w:rsidRPr="009E686F">
              <w:rPr>
                <w:rFonts w:ascii="Times New Roman" w:hAnsi="Times New Roman" w:cs="Times New Roman"/>
                <w:i/>
                <w:lang w:val="ro-RO"/>
              </w:rPr>
              <w:t>instituției de credit</w:t>
            </w:r>
            <w:r w:rsidRPr="009E686F">
              <w:rPr>
                <w:rFonts w:ascii="Times New Roman" w:hAnsi="Times New Roman" w:cs="Times New Roman"/>
                <w:lang w:val="ro-RO"/>
              </w:rPr>
              <w:t xml:space="preserve"> pot avea subdiviziuni structurale (agenţii, birouri de schimb valutar) situate în afara sediului lor, care nu au bilanţ separat (în continuare – </w:t>
            </w:r>
            <w:r w:rsidRPr="009E686F">
              <w:rPr>
                <w:rFonts w:ascii="Times New Roman" w:hAnsi="Times New Roman" w:cs="Times New Roman"/>
                <w:i/>
                <w:lang w:val="ro-RO"/>
              </w:rPr>
              <w:t>oficii secundare</w:t>
            </w:r>
            <w:r w:rsidRPr="009E686F">
              <w:rPr>
                <w:rFonts w:ascii="Times New Roman" w:hAnsi="Times New Roman" w:cs="Times New Roman"/>
                <w:lang w:val="ro-RO"/>
              </w:rPr>
              <w:t>). Denumirea oficiului secundar va conţine indicarea tipului acestuia şi apartenenţei la sucursala concretă în cadrul căreia a fost deschis. Oficiul secundar se indică în regulamentul sucursalei.</w:t>
            </w:r>
          </w:p>
          <w:p w14:paraId="6B533E86" w14:textId="58B7614B"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 xml:space="preserve">(6) Agenţia poate desfăşura activităţi (inclusiv cele ale biroului de schimb valutar) determinate de </w:t>
            </w:r>
            <w:r w:rsidRPr="009E686F">
              <w:rPr>
                <w:rFonts w:ascii="Times New Roman" w:hAnsi="Times New Roman" w:cs="Times New Roman"/>
                <w:i/>
                <w:lang w:val="ro-RO"/>
              </w:rPr>
              <w:t>instituția de credit</w:t>
            </w:r>
            <w:r w:rsidRPr="009E686F">
              <w:rPr>
                <w:rFonts w:ascii="Times New Roman" w:hAnsi="Times New Roman" w:cs="Times New Roman"/>
                <w:lang w:val="ro-RO"/>
              </w:rPr>
              <w:t xml:space="preserve">  în conformitate cu lista activităţilor prevăzute de </w:t>
            </w:r>
            <w:r w:rsidRPr="009E686F">
              <w:rPr>
                <w:rFonts w:ascii="Times New Roman" w:hAnsi="Times New Roman" w:cs="Times New Roman"/>
                <w:i/>
                <w:lang w:val="ro-RO"/>
              </w:rPr>
              <w:t>autorizația</w:t>
            </w:r>
            <w:r w:rsidRPr="009E686F">
              <w:rPr>
                <w:rFonts w:ascii="Times New Roman" w:hAnsi="Times New Roman" w:cs="Times New Roman"/>
                <w:lang w:val="ro-RO"/>
              </w:rPr>
              <w:t xml:space="preserve"> deţinută, stabilite în actele normative ale Băncii Naţionale a Moldovei. Biroul de schimb valutar îşi desfăşoară activitatea în conformitate cu Legea nr.62/2008 privind reglementarea valutară.</w:t>
            </w:r>
          </w:p>
          <w:p w14:paraId="73927BEF" w14:textId="5905583C"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 xml:space="preserve">(7) În cazul luării unei hotărîri privind închiderea sucursalei (oficiului secundar), </w:t>
            </w:r>
            <w:r w:rsidRPr="009E686F">
              <w:rPr>
                <w:rFonts w:ascii="Times New Roman" w:hAnsi="Times New Roman" w:cs="Times New Roman"/>
                <w:i/>
                <w:lang w:val="ro-RO"/>
              </w:rPr>
              <w:t>instituția de credit</w:t>
            </w:r>
            <w:r w:rsidRPr="009E686F">
              <w:rPr>
                <w:rFonts w:ascii="Times New Roman" w:hAnsi="Times New Roman" w:cs="Times New Roman"/>
                <w:lang w:val="ro-RO"/>
              </w:rPr>
              <w:t xml:space="preserve"> (sucursala), în termen de 10 zile, este obligată să notifice clienţii deserviţi de sucursala respectivă (oficiul secundar respectiv) şi să ia măsuri privind executarea obligaţiilor faţă de aceştia.</w:t>
            </w:r>
          </w:p>
          <w:p w14:paraId="1D59BF21"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 xml:space="preserve">(8) Despre închiderea sucursalei, deschiderea şi închiderea oficiului secundar, </w:t>
            </w:r>
            <w:r w:rsidRPr="009E686F">
              <w:rPr>
                <w:rFonts w:ascii="Times New Roman" w:hAnsi="Times New Roman" w:cs="Times New Roman"/>
                <w:i/>
                <w:lang w:val="ro-RO"/>
              </w:rPr>
              <w:t>instituția de credit</w:t>
            </w:r>
            <w:r w:rsidRPr="009E686F">
              <w:rPr>
                <w:rFonts w:ascii="Times New Roman" w:hAnsi="Times New Roman" w:cs="Times New Roman"/>
                <w:lang w:val="ro-RO"/>
              </w:rPr>
              <w:t xml:space="preserve"> notifică Banca Naţională a Moldovei în termen de 2 zile lucrătoare şi în condiţiile stabilite în actele normative emise de către aceasta.</w:t>
            </w:r>
          </w:p>
          <w:p w14:paraId="49D45315" w14:textId="18158BB8"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b/>
                <w:lang w:val="ro-RO"/>
              </w:rPr>
              <w:t>Articolul 35.</w:t>
            </w:r>
            <w:r w:rsidRPr="009E686F">
              <w:rPr>
                <w:rFonts w:ascii="Times New Roman" w:hAnsi="Times New Roman" w:cs="Times New Roman"/>
                <w:lang w:val="ro-RO"/>
              </w:rPr>
              <w:t xml:space="preserve"> Modificări în situaţiile </w:t>
            </w:r>
            <w:r w:rsidRPr="009E686F">
              <w:rPr>
                <w:rFonts w:ascii="Times New Roman" w:hAnsi="Times New Roman" w:cs="Times New Roman"/>
                <w:i/>
                <w:lang w:val="ro-RO"/>
              </w:rPr>
              <w:t>instituțiilor de credit</w:t>
            </w:r>
            <w:r w:rsidRPr="009E686F">
              <w:rPr>
                <w:rFonts w:ascii="Times New Roman" w:hAnsi="Times New Roman" w:cs="Times New Roman"/>
                <w:lang w:val="ro-RO"/>
              </w:rPr>
              <w:t xml:space="preserve"> </w:t>
            </w:r>
          </w:p>
          <w:p w14:paraId="7184268A" w14:textId="38A2D1DA"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 xml:space="preserve">(1) Fără a aduce atingere cerinţelor art.32–34 şi altor prevederi din prezenta lege, următoarele modificări operate la nivelul </w:t>
            </w:r>
            <w:r w:rsidRPr="009E686F">
              <w:rPr>
                <w:rFonts w:ascii="Times New Roman" w:hAnsi="Times New Roman" w:cs="Times New Roman"/>
                <w:i/>
                <w:lang w:val="ro-RO"/>
              </w:rPr>
              <w:t>instituțiilor de credit</w:t>
            </w:r>
            <w:r w:rsidRPr="009E686F">
              <w:rPr>
                <w:rFonts w:ascii="Times New Roman" w:hAnsi="Times New Roman" w:cs="Times New Roman"/>
                <w:lang w:val="ro-RO"/>
              </w:rPr>
              <w:t xml:space="preserve">  ulterior </w:t>
            </w:r>
            <w:r w:rsidRPr="009E686F">
              <w:rPr>
                <w:rFonts w:ascii="Times New Roman" w:hAnsi="Times New Roman" w:cs="Times New Roman"/>
                <w:i/>
                <w:lang w:val="ro-RO"/>
              </w:rPr>
              <w:t>autorizării</w:t>
            </w:r>
            <w:r w:rsidRPr="009E686F">
              <w:rPr>
                <w:rFonts w:ascii="Times New Roman" w:hAnsi="Times New Roman" w:cs="Times New Roman"/>
                <w:lang w:val="ro-RO"/>
              </w:rPr>
              <w:t xml:space="preserve"> acestora sînt supuse aprobării prealabile de către Banca Naţională a Moldovei, după </w:t>
            </w:r>
            <w:r w:rsidRPr="009E686F">
              <w:rPr>
                <w:rFonts w:ascii="Times New Roman" w:hAnsi="Times New Roman" w:cs="Times New Roman"/>
                <w:lang w:val="ro-RO"/>
              </w:rPr>
              <w:lastRenderedPageBreak/>
              <w:t>caz, notificării Băncii Naţionale a Moldovei, conform actelor normative emise de către aceasta:</w:t>
            </w:r>
          </w:p>
          <w:p w14:paraId="75C77B22" w14:textId="590AD3D4" w:rsidR="002F47A0" w:rsidRPr="009E686F" w:rsidRDefault="002F47A0" w:rsidP="002F47A0">
            <w:pPr>
              <w:spacing w:after="0"/>
              <w:jc w:val="both"/>
              <w:rPr>
                <w:rFonts w:ascii="Times New Roman" w:hAnsi="Times New Roman" w:cs="Times New Roman"/>
                <w:lang w:val="pt-BR"/>
              </w:rPr>
            </w:pPr>
            <w:r w:rsidRPr="009E686F">
              <w:rPr>
                <w:rFonts w:ascii="Times New Roman" w:hAnsi="Times New Roman" w:cs="Times New Roman"/>
                <w:lang w:val="pt-BR"/>
              </w:rPr>
              <w:t xml:space="preserve">a) modificări în statutul </w:t>
            </w:r>
            <w:r w:rsidRPr="009E686F">
              <w:rPr>
                <w:rFonts w:ascii="Times New Roman" w:hAnsi="Times New Roman" w:cs="Times New Roman"/>
                <w:i/>
                <w:lang w:val="pt-BR"/>
              </w:rPr>
              <w:t>instituției de credit</w:t>
            </w:r>
            <w:r w:rsidRPr="009E686F">
              <w:rPr>
                <w:rFonts w:ascii="Times New Roman" w:hAnsi="Times New Roman" w:cs="Times New Roman"/>
                <w:lang w:val="pt-BR"/>
              </w:rPr>
              <w:t>;</w:t>
            </w:r>
          </w:p>
          <w:p w14:paraId="00CBC310" w14:textId="4E19763B" w:rsidR="002F47A0" w:rsidRPr="009E686F" w:rsidRDefault="002F47A0" w:rsidP="002F47A0">
            <w:pPr>
              <w:spacing w:after="0"/>
              <w:jc w:val="both"/>
              <w:rPr>
                <w:rFonts w:ascii="Times New Roman" w:hAnsi="Times New Roman" w:cs="Times New Roman"/>
                <w:lang w:val="pt-BR"/>
              </w:rPr>
            </w:pPr>
            <w:r w:rsidRPr="009E686F">
              <w:rPr>
                <w:rFonts w:ascii="Times New Roman" w:hAnsi="Times New Roman" w:cs="Times New Roman"/>
                <w:lang w:val="pt-BR"/>
              </w:rPr>
              <w:t xml:space="preserve">b) completarea şi/sau modificarea obiectului de activitate în contextul activităţilor permise </w:t>
            </w:r>
            <w:r w:rsidRPr="009E686F">
              <w:rPr>
                <w:rFonts w:ascii="Times New Roman" w:hAnsi="Times New Roman" w:cs="Times New Roman"/>
                <w:i/>
                <w:iCs/>
                <w:lang w:val="pt-BR"/>
              </w:rPr>
              <w:t>instituției de credit</w:t>
            </w:r>
            <w:r w:rsidRPr="009E686F">
              <w:rPr>
                <w:rFonts w:ascii="Times New Roman" w:hAnsi="Times New Roman" w:cs="Times New Roman"/>
                <w:lang w:val="pt-BR"/>
              </w:rPr>
              <w:t xml:space="preserve"> conform art.14 alin.(1);</w:t>
            </w:r>
          </w:p>
          <w:p w14:paraId="2406EC18" w14:textId="5EBC6003" w:rsidR="002F47A0" w:rsidRPr="009E686F" w:rsidRDefault="002F47A0" w:rsidP="002F47A0">
            <w:pPr>
              <w:spacing w:after="0"/>
              <w:jc w:val="both"/>
              <w:rPr>
                <w:rFonts w:ascii="Times New Roman" w:hAnsi="Times New Roman" w:cs="Times New Roman"/>
                <w:lang w:val="pt-BR"/>
              </w:rPr>
            </w:pPr>
            <w:r w:rsidRPr="009E686F">
              <w:rPr>
                <w:rFonts w:ascii="Times New Roman" w:hAnsi="Times New Roman" w:cs="Times New Roman"/>
                <w:lang w:val="pt-BR"/>
              </w:rPr>
              <w:t xml:space="preserve">c) dobîndirea de deţineri într-o </w:t>
            </w:r>
            <w:r w:rsidRPr="009E686F">
              <w:rPr>
                <w:rFonts w:ascii="Times New Roman" w:hAnsi="Times New Roman" w:cs="Times New Roman"/>
                <w:i/>
                <w:iCs/>
                <w:lang w:val="pt-BR"/>
              </w:rPr>
              <w:t>instituție de credit</w:t>
            </w:r>
            <w:r w:rsidRPr="009E686F">
              <w:rPr>
                <w:rFonts w:ascii="Times New Roman" w:hAnsi="Times New Roman" w:cs="Times New Roman"/>
                <w:lang w:val="pt-BR"/>
              </w:rPr>
              <w:t xml:space="preserve"> conform art.45;</w:t>
            </w:r>
          </w:p>
          <w:p w14:paraId="389C1FCD" w14:textId="77777777" w:rsidR="002F47A0" w:rsidRPr="009E686F" w:rsidRDefault="002F47A0" w:rsidP="002F47A0">
            <w:pPr>
              <w:spacing w:after="0"/>
              <w:jc w:val="both"/>
              <w:rPr>
                <w:rFonts w:ascii="Times New Roman" w:hAnsi="Times New Roman" w:cs="Times New Roman"/>
                <w:lang w:val="pt-BR"/>
              </w:rPr>
            </w:pPr>
            <w:r w:rsidRPr="009E686F">
              <w:rPr>
                <w:rFonts w:ascii="Times New Roman" w:hAnsi="Times New Roman" w:cs="Times New Roman"/>
                <w:lang w:val="pt-BR"/>
              </w:rPr>
              <w:t>d) numirea persoanelor noi în organele de conducere conform art.43;</w:t>
            </w:r>
          </w:p>
          <w:p w14:paraId="587CBA99" w14:textId="6FF478E6" w:rsidR="002F47A0" w:rsidRPr="009E686F" w:rsidRDefault="002F47A0" w:rsidP="002F47A0">
            <w:pPr>
              <w:spacing w:after="0"/>
              <w:jc w:val="both"/>
              <w:rPr>
                <w:rFonts w:ascii="Times New Roman" w:hAnsi="Times New Roman" w:cs="Times New Roman"/>
                <w:lang w:val="pt-BR"/>
              </w:rPr>
            </w:pPr>
            <w:r w:rsidRPr="009E686F">
              <w:rPr>
                <w:rFonts w:ascii="Times New Roman" w:hAnsi="Times New Roman" w:cs="Times New Roman"/>
                <w:lang w:val="pt-BR"/>
              </w:rPr>
              <w:t xml:space="preserve">e) numirea persoanelor care deţin funcţii-cheie conform </w:t>
            </w:r>
            <w:r w:rsidRPr="009E686F">
              <w:rPr>
                <w:rFonts w:ascii="Times New Roman" w:hAnsi="Times New Roman" w:cs="Times New Roman"/>
                <w:i/>
                <w:lang w:val="pt-BR"/>
              </w:rPr>
              <w:t>art. 44</w:t>
            </w:r>
            <w:r w:rsidRPr="009E686F">
              <w:rPr>
                <w:rFonts w:ascii="Times New Roman" w:hAnsi="Times New Roman" w:cs="Times New Roman"/>
                <w:i/>
                <w:vertAlign w:val="superscript"/>
                <w:lang w:val="pt-BR"/>
              </w:rPr>
              <w:t>1</w:t>
            </w:r>
            <w:r w:rsidRPr="009E686F">
              <w:rPr>
                <w:rFonts w:ascii="Times New Roman" w:hAnsi="Times New Roman" w:cs="Times New Roman"/>
                <w:lang w:val="pt-BR"/>
              </w:rPr>
              <w:t>;</w:t>
            </w:r>
          </w:p>
          <w:p w14:paraId="440F6DE0" w14:textId="77777777" w:rsidR="002F47A0" w:rsidRPr="009E686F" w:rsidRDefault="002F47A0" w:rsidP="002F47A0">
            <w:pPr>
              <w:spacing w:after="0"/>
              <w:jc w:val="both"/>
              <w:rPr>
                <w:rFonts w:ascii="Times New Roman" w:hAnsi="Times New Roman" w:cs="Times New Roman"/>
                <w:lang w:val="pt-BR"/>
              </w:rPr>
            </w:pPr>
            <w:r w:rsidRPr="009E686F">
              <w:rPr>
                <w:rFonts w:ascii="Times New Roman" w:hAnsi="Times New Roman" w:cs="Times New Roman"/>
                <w:lang w:val="pt-BR"/>
              </w:rPr>
              <w:t>f) schimbarea entităţii de audit care va presta serviciile de audit conform art.88.</w:t>
            </w:r>
          </w:p>
          <w:p w14:paraId="1EF7129A" w14:textId="738CB73F" w:rsidR="002F47A0" w:rsidRPr="009E686F" w:rsidRDefault="002F47A0" w:rsidP="002F47A0">
            <w:pPr>
              <w:spacing w:after="0"/>
              <w:jc w:val="both"/>
              <w:rPr>
                <w:rFonts w:ascii="Times New Roman" w:hAnsi="Times New Roman" w:cs="Times New Roman"/>
                <w:lang w:val="pt-BR"/>
              </w:rPr>
            </w:pPr>
            <w:r w:rsidRPr="009E686F">
              <w:rPr>
                <w:rFonts w:ascii="Times New Roman" w:hAnsi="Times New Roman" w:cs="Times New Roman"/>
                <w:lang w:val="pt-BR"/>
              </w:rPr>
              <w:t xml:space="preserve">(2) Prevederile art.18 se aplică şi în privinţa solicitării de informaţii referitoare la persoanele sau entităţile implicate ori avînd legătură cu modificările care se vor opera în situaţia </w:t>
            </w:r>
            <w:r w:rsidRPr="009E686F">
              <w:rPr>
                <w:rFonts w:ascii="Times New Roman" w:hAnsi="Times New Roman" w:cs="Times New Roman"/>
                <w:i/>
                <w:lang w:val="pt-BR"/>
              </w:rPr>
              <w:t>instituției de credit</w:t>
            </w:r>
            <w:r w:rsidRPr="009E686F">
              <w:rPr>
                <w:rFonts w:ascii="Times New Roman" w:hAnsi="Times New Roman" w:cs="Times New Roman"/>
                <w:lang w:val="pt-BR"/>
              </w:rPr>
              <w:t xml:space="preserve"> ulterior autorizării.</w:t>
            </w:r>
          </w:p>
          <w:p w14:paraId="07916AD3" w14:textId="77777777" w:rsidR="002F47A0" w:rsidRPr="009E686F" w:rsidRDefault="002F47A0" w:rsidP="002F47A0">
            <w:pPr>
              <w:spacing w:after="0"/>
              <w:jc w:val="both"/>
              <w:rPr>
                <w:rFonts w:ascii="Times New Roman" w:hAnsi="Times New Roman" w:cs="Times New Roman"/>
                <w:lang w:val="pt-BR"/>
              </w:rPr>
            </w:pPr>
            <w:r w:rsidRPr="009E686F">
              <w:rPr>
                <w:rFonts w:ascii="Times New Roman" w:hAnsi="Times New Roman" w:cs="Times New Roman"/>
                <w:lang w:val="pt-BR"/>
              </w:rPr>
              <w:t>(3) Înregistrarea la organul înregistrării de stat a modificărilor corespunzătoare, conform alin.(1), se efectuează, după caz, cu prezentarea aprobării prealabile respective.</w:t>
            </w:r>
          </w:p>
          <w:p w14:paraId="62DF3B22" w14:textId="13FFC9E7" w:rsidR="002F47A0" w:rsidRPr="009E686F" w:rsidRDefault="002F47A0" w:rsidP="002F47A0">
            <w:pPr>
              <w:spacing w:after="0"/>
              <w:jc w:val="both"/>
              <w:rPr>
                <w:rFonts w:ascii="Times New Roman" w:hAnsi="Times New Roman" w:cs="Times New Roman"/>
                <w:lang w:val="pt-BR"/>
              </w:rPr>
            </w:pPr>
            <w:r w:rsidRPr="009E686F">
              <w:rPr>
                <w:rFonts w:ascii="Times New Roman" w:hAnsi="Times New Roman" w:cs="Times New Roman"/>
                <w:lang w:val="pt-BR"/>
              </w:rPr>
              <w:t xml:space="preserve">(4) Termenul de finalizare a procedurii de soluţionare a cererii privind aprobarea prealabilă înaintată în situaţiile prevăzute la alin.(1) lit.a), b) şi f) este de 30 de zile lucrătoare, calculat de la data depunerii cererii însoţite de toate documentele care trebuie prezentate Băncii Naţionale a Moldovei. Dacă este necesară o examinare suplimentară sau este nevoie de mai mult timp pentru prelucrarea informaţiilor şi documentelor, termenul prevăzut de prezentul alineat poate fi prelungit cu cel mult 30 de zile lucrătoare, cu notificarea </w:t>
            </w:r>
            <w:r w:rsidRPr="009E686F">
              <w:rPr>
                <w:rFonts w:ascii="Times New Roman" w:hAnsi="Times New Roman" w:cs="Times New Roman"/>
                <w:i/>
                <w:lang w:val="pt-BR"/>
              </w:rPr>
              <w:t>instituției de credit</w:t>
            </w:r>
            <w:r w:rsidRPr="009E686F">
              <w:rPr>
                <w:rFonts w:ascii="Times New Roman" w:hAnsi="Times New Roman" w:cs="Times New Roman"/>
                <w:lang w:val="pt-BR"/>
              </w:rPr>
              <w:t>.</w:t>
            </w:r>
          </w:p>
        </w:tc>
        <w:tc>
          <w:tcPr>
            <w:tcW w:w="470" w:type="pct"/>
            <w:tcBorders>
              <w:top w:val="single" w:sz="4" w:space="0" w:color="auto"/>
              <w:left w:val="single" w:sz="4" w:space="0" w:color="auto"/>
              <w:bottom w:val="single" w:sz="4" w:space="0" w:color="auto"/>
              <w:right w:val="single" w:sz="4" w:space="0" w:color="auto"/>
            </w:tcBorders>
          </w:tcPr>
          <w:p w14:paraId="28EC61F1" w14:textId="3A77643B"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0F76252F" w14:textId="2EA35D74"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Norme cu specific național care permite BNM să exercite supravegherea instituției de credit luând în considerare structura sa organizatorică care include și sucursalele /agențiil</w:t>
            </w:r>
            <w:r w:rsidR="002B6C4F" w:rsidRPr="009E686F">
              <w:rPr>
                <w:rFonts w:ascii="Times New Roman" w:hAnsi="Times New Roman" w:cs="Times New Roman"/>
                <w:lang w:val="ro-RO"/>
              </w:rPr>
              <w:t>e</w:t>
            </w:r>
            <w:r w:rsidRPr="009E686F">
              <w:rPr>
                <w:rFonts w:ascii="Times New Roman" w:hAnsi="Times New Roman" w:cs="Times New Roman"/>
                <w:lang w:val="ro-RO"/>
              </w:rPr>
              <w:t xml:space="preserve"> sale, precum și modificările în situația acestei instituții de credit.</w:t>
            </w:r>
          </w:p>
        </w:tc>
      </w:tr>
      <w:tr w:rsidR="002F47A0" w:rsidRPr="009E686F" w14:paraId="42392CCB" w14:textId="77777777" w:rsidTr="00751441">
        <w:tc>
          <w:tcPr>
            <w:tcW w:w="1796" w:type="pct"/>
            <w:gridSpan w:val="2"/>
            <w:vMerge/>
            <w:tcBorders>
              <w:left w:val="single" w:sz="4" w:space="0" w:color="auto"/>
              <w:right w:val="single" w:sz="4" w:space="0" w:color="auto"/>
            </w:tcBorders>
          </w:tcPr>
          <w:p w14:paraId="6047FBDE" w14:textId="77777777" w:rsidR="002F47A0" w:rsidRPr="009E686F" w:rsidRDefault="002F47A0" w:rsidP="002F47A0">
            <w:pPr>
              <w:spacing w:after="0"/>
              <w:jc w:val="both"/>
              <w:rPr>
                <w:rFonts w:ascii="Times New Roman" w:hAnsi="Times New Roman" w:cs="Times New Roman"/>
                <w:lang w:val="ro-RO"/>
              </w:rPr>
            </w:pPr>
          </w:p>
        </w:tc>
        <w:tc>
          <w:tcPr>
            <w:tcW w:w="1928" w:type="pct"/>
            <w:gridSpan w:val="3"/>
            <w:tcBorders>
              <w:top w:val="single" w:sz="4" w:space="0" w:color="auto"/>
              <w:left w:val="single" w:sz="4" w:space="0" w:color="auto"/>
              <w:bottom w:val="single" w:sz="4" w:space="0" w:color="auto"/>
              <w:right w:val="single" w:sz="4" w:space="0" w:color="auto"/>
            </w:tcBorders>
          </w:tcPr>
          <w:p w14:paraId="79DCFA36" w14:textId="47886891"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b/>
                <w:bCs/>
                <w:lang w:val="ro-RO"/>
              </w:rPr>
              <w:t>Articolul 36.</w:t>
            </w:r>
            <w:r w:rsidRPr="009E686F">
              <w:rPr>
                <w:rFonts w:ascii="Times New Roman" w:hAnsi="Times New Roman" w:cs="Times New Roman"/>
                <w:lang w:val="ro-RO"/>
              </w:rPr>
              <w:t xml:space="preserve"> Organizarea </w:t>
            </w:r>
            <w:r w:rsidRPr="009E686F">
              <w:rPr>
                <w:rFonts w:ascii="Times New Roman" w:hAnsi="Times New Roman" w:cs="Times New Roman"/>
                <w:i/>
                <w:iCs/>
                <w:lang w:val="ro-RO"/>
              </w:rPr>
              <w:t>instituțiilor de credit</w:t>
            </w:r>
            <w:r w:rsidRPr="009E686F">
              <w:rPr>
                <w:rFonts w:ascii="Times New Roman" w:hAnsi="Times New Roman" w:cs="Times New Roman"/>
                <w:lang w:val="ro-RO"/>
              </w:rPr>
              <w:t xml:space="preserve"> </w:t>
            </w:r>
          </w:p>
          <w:p w14:paraId="2D77D657" w14:textId="03FC0568"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 xml:space="preserve">(1) </w:t>
            </w:r>
            <w:r w:rsidRPr="009E686F">
              <w:rPr>
                <w:rFonts w:ascii="Times New Roman" w:hAnsi="Times New Roman" w:cs="Times New Roman"/>
                <w:i/>
                <w:iCs/>
                <w:lang w:val="ro-RO"/>
              </w:rPr>
              <w:t>Instituțiile de credit</w:t>
            </w:r>
            <w:r w:rsidRPr="009E686F">
              <w:rPr>
                <w:rFonts w:ascii="Times New Roman" w:hAnsi="Times New Roman" w:cs="Times New Roman"/>
                <w:lang w:val="ro-RO"/>
              </w:rPr>
              <w:t xml:space="preserve"> se constituie şi funcţionează în condiţiile prevăzute de legislaţia aplicabilă societăţilor pe acţiuni şi cu </w:t>
            </w:r>
            <w:r w:rsidRPr="009E686F">
              <w:rPr>
                <w:rFonts w:ascii="Times New Roman" w:hAnsi="Times New Roman" w:cs="Times New Roman"/>
                <w:lang w:val="ro-RO"/>
              </w:rPr>
              <w:lastRenderedPageBreak/>
              <w:t>respectarea prezentei legi şi actelor normative emise în aplicarea acesteia.</w:t>
            </w:r>
          </w:p>
          <w:p w14:paraId="696690A9" w14:textId="4925FB40"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 xml:space="preserve">(2) În sensul alin.(1), următoarele prevederi din Legea nr.1134/1997 privind societăţile pe acţiuni nu sînt aplicabile în cazul </w:t>
            </w:r>
            <w:r w:rsidRPr="009E686F">
              <w:rPr>
                <w:rFonts w:ascii="Times New Roman" w:hAnsi="Times New Roman" w:cs="Times New Roman"/>
                <w:i/>
                <w:iCs/>
                <w:lang w:val="ro-RO"/>
              </w:rPr>
              <w:t>instituțiilor de credit</w:t>
            </w:r>
            <w:r w:rsidRPr="009E686F">
              <w:rPr>
                <w:rFonts w:ascii="Times New Roman" w:hAnsi="Times New Roman" w:cs="Times New Roman"/>
                <w:lang w:val="ro-RO"/>
              </w:rPr>
              <w:t>:</w:t>
            </w:r>
          </w:p>
          <w:p w14:paraId="1EC8810F" w14:textId="77777777" w:rsidR="002F47A0" w:rsidRPr="009E686F" w:rsidRDefault="002F47A0" w:rsidP="002F47A0">
            <w:pPr>
              <w:spacing w:after="0"/>
              <w:jc w:val="both"/>
              <w:rPr>
                <w:rFonts w:ascii="Times New Roman" w:hAnsi="Times New Roman" w:cs="Times New Roman"/>
                <w:lang w:val="it-CH"/>
              </w:rPr>
            </w:pPr>
            <w:r w:rsidRPr="009E686F">
              <w:rPr>
                <w:rFonts w:ascii="Times New Roman" w:hAnsi="Times New Roman" w:cs="Times New Roman"/>
                <w:lang w:val="it-CH"/>
              </w:rPr>
              <w:t>a) art.8 alin.(1) lit.a) şi lit.d) şi alin.(2) cu referire la adunarea generală a acţionarilor;</w:t>
            </w:r>
          </w:p>
          <w:p w14:paraId="0D0BD1E0" w14:textId="77777777" w:rsidR="002F47A0" w:rsidRPr="009E686F" w:rsidRDefault="002F47A0" w:rsidP="002F47A0">
            <w:pPr>
              <w:spacing w:after="0"/>
              <w:jc w:val="both"/>
              <w:rPr>
                <w:rFonts w:ascii="Times New Roman" w:hAnsi="Times New Roman" w:cs="Times New Roman"/>
                <w:lang w:val="it-CH"/>
              </w:rPr>
            </w:pPr>
            <w:r w:rsidRPr="009E686F">
              <w:rPr>
                <w:rFonts w:ascii="Times New Roman" w:hAnsi="Times New Roman" w:cs="Times New Roman"/>
                <w:lang w:val="it-CH"/>
              </w:rPr>
              <w:t>b) art.11 alin.(4)–(6) cu referire la societatea dominantă şi dependentă;</w:t>
            </w:r>
          </w:p>
          <w:p w14:paraId="197F4569" w14:textId="77777777" w:rsidR="002F47A0" w:rsidRPr="009E686F" w:rsidRDefault="002F47A0" w:rsidP="002F47A0">
            <w:pPr>
              <w:spacing w:after="0"/>
              <w:jc w:val="both"/>
              <w:rPr>
                <w:rFonts w:ascii="Times New Roman" w:hAnsi="Times New Roman" w:cs="Times New Roman"/>
                <w:lang w:val="it-CH"/>
              </w:rPr>
            </w:pPr>
            <w:r w:rsidRPr="009E686F">
              <w:rPr>
                <w:rFonts w:ascii="Times New Roman" w:hAnsi="Times New Roman" w:cs="Times New Roman"/>
              </w:rPr>
              <w:t xml:space="preserve">c) art.48 alin.(3) lit.b) şi lit.f), alin. </w:t>
            </w:r>
            <w:r w:rsidRPr="009E686F">
              <w:rPr>
                <w:rFonts w:ascii="Times New Roman" w:hAnsi="Times New Roman" w:cs="Times New Roman"/>
                <w:lang w:val="it-CH"/>
              </w:rPr>
              <w:t>(3</w:t>
            </w:r>
            <w:r w:rsidRPr="009E686F">
              <w:rPr>
                <w:rFonts w:ascii="Times New Roman" w:hAnsi="Times New Roman" w:cs="Times New Roman"/>
                <w:vertAlign w:val="superscript"/>
                <w:lang w:val="it-CH"/>
              </w:rPr>
              <w:t>1</w:t>
            </w:r>
            <w:r w:rsidRPr="009E686F">
              <w:rPr>
                <w:rFonts w:ascii="Times New Roman" w:hAnsi="Times New Roman" w:cs="Times New Roman"/>
                <w:lang w:val="it-CH"/>
              </w:rPr>
              <w:t xml:space="preserve">), (4), (6) şi (7), </w:t>
            </w:r>
            <w:r w:rsidRPr="009E686F">
              <w:rPr>
                <w:rFonts w:ascii="Times New Roman" w:hAnsi="Times New Roman" w:cs="Times New Roman"/>
                <w:i/>
                <w:iCs/>
                <w:lang w:val="it-CH"/>
              </w:rPr>
              <w:t>(8</w:t>
            </w:r>
            <w:r w:rsidRPr="009E686F">
              <w:rPr>
                <w:rFonts w:ascii="Times New Roman" w:hAnsi="Times New Roman" w:cs="Times New Roman"/>
                <w:i/>
                <w:iCs/>
                <w:vertAlign w:val="superscript"/>
                <w:lang w:val="it-CH"/>
              </w:rPr>
              <w:t>1</w:t>
            </w:r>
            <w:r w:rsidRPr="009E686F">
              <w:rPr>
                <w:rFonts w:ascii="Times New Roman" w:hAnsi="Times New Roman" w:cs="Times New Roman"/>
                <w:i/>
                <w:iCs/>
                <w:lang w:val="it-CH"/>
              </w:rPr>
              <w:t>)</w:t>
            </w:r>
            <w:r w:rsidRPr="009E686F">
              <w:rPr>
                <w:rFonts w:ascii="Times New Roman" w:hAnsi="Times New Roman" w:cs="Times New Roman"/>
                <w:lang w:val="it-CH"/>
              </w:rPr>
              <w:t xml:space="preserve"> cu referire la atribuţiile adunării generale a acţionarilor;</w:t>
            </w:r>
          </w:p>
          <w:p w14:paraId="4296881D" w14:textId="36B8160F" w:rsidR="002F47A0" w:rsidRPr="009E686F" w:rsidRDefault="002F47A0" w:rsidP="002F47A0">
            <w:pPr>
              <w:spacing w:after="0"/>
              <w:jc w:val="both"/>
              <w:rPr>
                <w:rFonts w:ascii="Times New Roman" w:hAnsi="Times New Roman" w:cs="Times New Roman"/>
                <w:lang w:val="it-CH"/>
              </w:rPr>
            </w:pPr>
            <w:r w:rsidRPr="009E686F">
              <w:rPr>
                <w:rFonts w:ascii="Times New Roman" w:hAnsi="Times New Roman" w:cs="Times New Roman"/>
                <w:lang w:val="it-CH"/>
              </w:rPr>
              <w:t>d) art.64 alin.(4) şi (8) cu referire la atribuţiile consiliului;</w:t>
            </w:r>
          </w:p>
          <w:p w14:paraId="23F09881" w14:textId="77777777" w:rsidR="002F47A0" w:rsidRPr="009E686F" w:rsidRDefault="002F47A0" w:rsidP="002F47A0">
            <w:pPr>
              <w:spacing w:after="0"/>
              <w:jc w:val="both"/>
              <w:rPr>
                <w:rFonts w:ascii="Times New Roman" w:hAnsi="Times New Roman" w:cs="Times New Roman"/>
                <w:lang w:val="it-CH"/>
              </w:rPr>
            </w:pPr>
            <w:r w:rsidRPr="009E686F">
              <w:rPr>
                <w:rFonts w:ascii="Times New Roman" w:hAnsi="Times New Roman" w:cs="Times New Roman"/>
                <w:lang w:val="it-CH"/>
              </w:rPr>
              <w:t>e) art.65 alin.(5) în ceea ce priveşte numărul de mandate de membru al consiliului;</w:t>
            </w:r>
          </w:p>
          <w:p w14:paraId="601749C7" w14:textId="77777777" w:rsidR="002F47A0" w:rsidRPr="009E686F" w:rsidRDefault="002F47A0" w:rsidP="002F47A0">
            <w:pPr>
              <w:spacing w:after="0"/>
              <w:jc w:val="both"/>
              <w:rPr>
                <w:rFonts w:ascii="Times New Roman" w:hAnsi="Times New Roman" w:cs="Times New Roman"/>
                <w:lang w:val="it-CH"/>
              </w:rPr>
            </w:pPr>
            <w:r w:rsidRPr="009E686F">
              <w:rPr>
                <w:rFonts w:ascii="Times New Roman" w:hAnsi="Times New Roman" w:cs="Times New Roman"/>
                <w:lang w:val="it-CH"/>
              </w:rPr>
              <w:t>f) art.68 alin.(2) lit.b) şi alin.(5) cu referire la organul executiv;</w:t>
            </w:r>
          </w:p>
          <w:p w14:paraId="78764AFB" w14:textId="77777777" w:rsidR="002F47A0" w:rsidRPr="009E686F" w:rsidRDefault="002F47A0" w:rsidP="002F47A0">
            <w:pPr>
              <w:spacing w:after="0"/>
              <w:jc w:val="both"/>
              <w:rPr>
                <w:rFonts w:ascii="Times New Roman" w:hAnsi="Times New Roman" w:cs="Times New Roman"/>
                <w:lang w:val="it-CH"/>
              </w:rPr>
            </w:pPr>
            <w:r w:rsidRPr="009E686F">
              <w:rPr>
                <w:rFonts w:ascii="Times New Roman" w:hAnsi="Times New Roman" w:cs="Times New Roman"/>
                <w:lang w:val="it-CH"/>
              </w:rPr>
              <w:t>g) art.69 alin.(6)–(8) cu referire la organizaţia gestionară;</w:t>
            </w:r>
          </w:p>
          <w:p w14:paraId="6D276A67" w14:textId="77777777" w:rsidR="002F47A0" w:rsidRPr="009E686F" w:rsidRDefault="002F47A0" w:rsidP="002F47A0">
            <w:pPr>
              <w:spacing w:after="0"/>
              <w:jc w:val="both"/>
              <w:rPr>
                <w:rFonts w:ascii="Times New Roman" w:hAnsi="Times New Roman" w:cs="Times New Roman"/>
                <w:lang w:val="it-CH"/>
              </w:rPr>
            </w:pPr>
            <w:r w:rsidRPr="009E686F">
              <w:rPr>
                <w:rFonts w:ascii="Times New Roman" w:hAnsi="Times New Roman" w:cs="Times New Roman"/>
                <w:lang w:val="it-CH"/>
              </w:rPr>
              <w:t>h) art.70 şi 71 şi orice alte prevederi care, direct sau indirect, se referă la comisia de cenzori;</w:t>
            </w:r>
          </w:p>
          <w:p w14:paraId="1C29EEED" w14:textId="77777777" w:rsidR="002F47A0" w:rsidRPr="009E686F" w:rsidRDefault="002F47A0" w:rsidP="002F47A0">
            <w:pPr>
              <w:spacing w:after="0"/>
              <w:jc w:val="both"/>
              <w:rPr>
                <w:rFonts w:ascii="Times New Roman" w:hAnsi="Times New Roman" w:cs="Times New Roman"/>
                <w:lang w:val="it-CH"/>
              </w:rPr>
            </w:pPr>
            <w:r w:rsidRPr="009E686F">
              <w:rPr>
                <w:rFonts w:ascii="Times New Roman" w:hAnsi="Times New Roman" w:cs="Times New Roman"/>
              </w:rPr>
              <w:t xml:space="preserve">i) art.72 alin.(6) și alin. </w:t>
            </w:r>
            <w:r w:rsidRPr="009E686F">
              <w:rPr>
                <w:rFonts w:ascii="Times New Roman" w:hAnsi="Times New Roman" w:cs="Times New Roman"/>
                <w:lang w:val="it-CH"/>
              </w:rPr>
              <w:t>(8</w:t>
            </w:r>
            <w:r w:rsidRPr="009E686F">
              <w:rPr>
                <w:rFonts w:ascii="Times New Roman" w:hAnsi="Times New Roman" w:cs="Times New Roman"/>
                <w:vertAlign w:val="superscript"/>
                <w:lang w:val="it-CH"/>
              </w:rPr>
              <w:t>1</w:t>
            </w:r>
            <w:r w:rsidRPr="009E686F">
              <w:rPr>
                <w:rFonts w:ascii="Times New Roman" w:hAnsi="Times New Roman" w:cs="Times New Roman"/>
                <w:lang w:val="it-CH"/>
              </w:rPr>
              <w:t>)cu referire la acordarea de împrumuturi persoanelor sale cu funcţii de răspundere.</w:t>
            </w:r>
          </w:p>
          <w:p w14:paraId="0FBFB72B" w14:textId="5C3F9D2A" w:rsidR="002F47A0" w:rsidRPr="009E686F" w:rsidRDefault="002F47A0" w:rsidP="002F47A0">
            <w:pPr>
              <w:spacing w:after="0"/>
              <w:jc w:val="both"/>
              <w:rPr>
                <w:rFonts w:ascii="Times New Roman" w:hAnsi="Times New Roman" w:cs="Times New Roman"/>
                <w:lang w:val="it-CH"/>
              </w:rPr>
            </w:pPr>
            <w:r w:rsidRPr="009E686F">
              <w:rPr>
                <w:rFonts w:ascii="Times New Roman" w:hAnsi="Times New Roman" w:cs="Times New Roman"/>
                <w:lang w:val="it-CH"/>
              </w:rPr>
              <w:t xml:space="preserve">(3) </w:t>
            </w:r>
            <w:r w:rsidRPr="009E686F">
              <w:rPr>
                <w:rFonts w:ascii="Times New Roman" w:hAnsi="Times New Roman" w:cs="Times New Roman"/>
                <w:i/>
                <w:lang w:val="it-CH"/>
              </w:rPr>
              <w:t>Instituțiile de credit</w:t>
            </w:r>
            <w:r w:rsidRPr="009E686F">
              <w:rPr>
                <w:rFonts w:ascii="Times New Roman" w:hAnsi="Times New Roman" w:cs="Times New Roman"/>
                <w:lang w:val="it-CH"/>
              </w:rPr>
              <w:t xml:space="preserve"> dispun de independenţă juridică, operaţională, financiară şi administrativă faţă de orice persoană, inclusiv faţă de Banca Naţională a Moldovei, Guvern şi de alte autorităţi ale administraţiei publice, dacă legislaţia nu prevede altfel. Nicio persoană nu poate îngrădi independenţa </w:t>
            </w:r>
            <w:r w:rsidRPr="009E686F">
              <w:rPr>
                <w:rFonts w:ascii="Times New Roman" w:hAnsi="Times New Roman" w:cs="Times New Roman"/>
                <w:i/>
                <w:lang w:val="it-CH"/>
              </w:rPr>
              <w:t>instituțiilor de credit</w:t>
            </w:r>
            <w:r w:rsidRPr="009E686F">
              <w:rPr>
                <w:rFonts w:ascii="Times New Roman" w:hAnsi="Times New Roman" w:cs="Times New Roman"/>
                <w:lang w:val="it-CH"/>
              </w:rPr>
              <w:t xml:space="preserve">, nu poate influenţa organele de conducere în exercitarea funcţiilor, nu poate interveni în activitatea vreunei </w:t>
            </w:r>
            <w:r w:rsidRPr="009E686F">
              <w:rPr>
                <w:rFonts w:ascii="Times New Roman" w:hAnsi="Times New Roman" w:cs="Times New Roman"/>
                <w:i/>
                <w:lang w:val="it-CH"/>
              </w:rPr>
              <w:t>instituții de credit</w:t>
            </w:r>
            <w:r w:rsidRPr="009E686F">
              <w:rPr>
                <w:rFonts w:ascii="Times New Roman" w:hAnsi="Times New Roman" w:cs="Times New Roman"/>
                <w:lang w:val="it-CH"/>
              </w:rPr>
              <w:t>, cu excepţia executării unor obligaţii sau împuterniciri specifice prevăzute de legislaţie.</w:t>
            </w:r>
          </w:p>
          <w:p w14:paraId="48E2A185" w14:textId="10A117F2" w:rsidR="002F47A0" w:rsidRPr="009E686F" w:rsidRDefault="002F47A0" w:rsidP="002F47A0">
            <w:pPr>
              <w:spacing w:after="0"/>
              <w:jc w:val="both"/>
              <w:rPr>
                <w:rFonts w:ascii="Times New Roman" w:hAnsi="Times New Roman" w:cs="Times New Roman"/>
                <w:lang w:val="it-CH"/>
              </w:rPr>
            </w:pPr>
            <w:r w:rsidRPr="009E686F">
              <w:rPr>
                <w:rFonts w:ascii="Times New Roman" w:hAnsi="Times New Roman" w:cs="Times New Roman"/>
                <w:lang w:val="it-CH"/>
              </w:rPr>
              <w:t xml:space="preserve">(4) </w:t>
            </w:r>
            <w:r w:rsidRPr="009E686F">
              <w:rPr>
                <w:rFonts w:ascii="Times New Roman" w:hAnsi="Times New Roman" w:cs="Times New Roman"/>
                <w:i/>
                <w:lang w:val="it-CH"/>
              </w:rPr>
              <w:t>Instituțiile de credit</w:t>
            </w:r>
            <w:r w:rsidRPr="009E686F">
              <w:rPr>
                <w:rFonts w:ascii="Times New Roman" w:hAnsi="Times New Roman" w:cs="Times New Roman"/>
                <w:lang w:val="it-CH"/>
              </w:rPr>
              <w:t xml:space="preserve"> trebuie să îşi organizeze întreaga activitate în conformitate cu regulile unei practici bancare </w:t>
            </w:r>
            <w:r w:rsidRPr="009E686F">
              <w:rPr>
                <w:rFonts w:ascii="Times New Roman" w:hAnsi="Times New Roman" w:cs="Times New Roman"/>
                <w:lang w:val="it-CH"/>
              </w:rPr>
              <w:lastRenderedPageBreak/>
              <w:t>prudente şi sănătoase, cu cerinţele prezentei legi şi ale actelor normative emise în aplicarea acesteia.</w:t>
            </w:r>
          </w:p>
          <w:p w14:paraId="395B4E4C" w14:textId="685451D2" w:rsidR="002F47A0" w:rsidRPr="009E686F" w:rsidRDefault="002F47A0" w:rsidP="002F47A0">
            <w:pPr>
              <w:spacing w:after="0"/>
              <w:jc w:val="both"/>
              <w:rPr>
                <w:rFonts w:ascii="Times New Roman" w:hAnsi="Times New Roman" w:cs="Times New Roman"/>
                <w:lang w:val="it-CH"/>
              </w:rPr>
            </w:pPr>
            <w:r w:rsidRPr="009E686F">
              <w:rPr>
                <w:rFonts w:ascii="Times New Roman" w:hAnsi="Times New Roman" w:cs="Times New Roman"/>
                <w:lang w:val="it-CH"/>
              </w:rPr>
              <w:t xml:space="preserve">(5) </w:t>
            </w:r>
            <w:r w:rsidRPr="009E686F">
              <w:rPr>
                <w:rFonts w:ascii="Times New Roman" w:hAnsi="Times New Roman" w:cs="Times New Roman"/>
                <w:i/>
                <w:lang w:val="it-CH"/>
              </w:rPr>
              <w:t>Instituțiile de credit</w:t>
            </w:r>
            <w:r w:rsidRPr="009E686F">
              <w:rPr>
                <w:rFonts w:ascii="Times New Roman" w:hAnsi="Times New Roman" w:cs="Times New Roman"/>
                <w:lang w:val="it-CH"/>
              </w:rPr>
              <w:t xml:space="preserve"> evaluează şi califică, pe baza criteriilor stabilite în actele normative ale Băncii Naţionale a Moldovei, dacă sînt semnificative din perspectiva dimensiunii, organizării interne şi a naturii, amplorii şi complexităţii activităţilor desfăşurate.</w:t>
            </w:r>
          </w:p>
          <w:p w14:paraId="3D112D6C" w14:textId="77777777" w:rsidR="00A85358" w:rsidRPr="009E686F" w:rsidRDefault="00A85358" w:rsidP="00A85358">
            <w:pPr>
              <w:spacing w:after="0"/>
              <w:jc w:val="both"/>
              <w:rPr>
                <w:rFonts w:ascii="Times New Roman" w:hAnsi="Times New Roman" w:cs="Times New Roman"/>
                <w:lang w:val="it-CH"/>
              </w:rPr>
            </w:pPr>
            <w:r w:rsidRPr="009E686F">
              <w:rPr>
                <w:rFonts w:ascii="Times New Roman" w:hAnsi="Times New Roman" w:cs="Times New Roman"/>
                <w:b/>
                <w:bCs/>
                <w:lang w:val="it-CH"/>
              </w:rPr>
              <w:t>Articolul 36.</w:t>
            </w:r>
            <w:r w:rsidRPr="009E686F">
              <w:rPr>
                <w:rFonts w:ascii="Times New Roman" w:hAnsi="Times New Roman" w:cs="Times New Roman"/>
                <w:lang w:val="it-CH"/>
              </w:rPr>
              <w:t xml:space="preserve"> Organizarea </w:t>
            </w:r>
            <w:r w:rsidRPr="009E686F">
              <w:rPr>
                <w:rFonts w:ascii="Times New Roman" w:hAnsi="Times New Roman" w:cs="Times New Roman"/>
                <w:i/>
                <w:iCs/>
                <w:lang w:val="it-CH"/>
              </w:rPr>
              <w:t>instituțiilor de credit</w:t>
            </w:r>
            <w:r w:rsidRPr="009E686F">
              <w:rPr>
                <w:rFonts w:ascii="Times New Roman" w:hAnsi="Times New Roman" w:cs="Times New Roman"/>
                <w:lang w:val="it-CH"/>
              </w:rPr>
              <w:t xml:space="preserve"> </w:t>
            </w:r>
          </w:p>
          <w:p w14:paraId="5708514A" w14:textId="77777777" w:rsidR="00A85358" w:rsidRPr="009E686F" w:rsidRDefault="00A85358" w:rsidP="00A85358">
            <w:pPr>
              <w:spacing w:after="0"/>
              <w:jc w:val="both"/>
              <w:rPr>
                <w:rFonts w:ascii="Times New Roman" w:hAnsi="Times New Roman" w:cs="Times New Roman"/>
                <w:lang w:val="it-CH"/>
              </w:rPr>
            </w:pPr>
            <w:r w:rsidRPr="009E686F">
              <w:rPr>
                <w:rFonts w:ascii="Times New Roman" w:hAnsi="Times New Roman" w:cs="Times New Roman"/>
                <w:lang w:val="it-CH"/>
              </w:rPr>
              <w:t xml:space="preserve">(1) </w:t>
            </w:r>
            <w:r w:rsidRPr="009E686F">
              <w:rPr>
                <w:rFonts w:ascii="Times New Roman" w:hAnsi="Times New Roman" w:cs="Times New Roman"/>
                <w:i/>
                <w:iCs/>
                <w:lang w:val="it-CH"/>
              </w:rPr>
              <w:t>Instituțiile de credit</w:t>
            </w:r>
            <w:r w:rsidRPr="009E686F">
              <w:rPr>
                <w:rFonts w:ascii="Times New Roman" w:hAnsi="Times New Roman" w:cs="Times New Roman"/>
                <w:lang w:val="it-CH"/>
              </w:rPr>
              <w:t xml:space="preserve"> se constituie şi funcţionează în condiţiile prevăzute de legislaţia aplicabilă societăţilor pe acţiuni şi cu respectarea prezentei legi şi actelor normative emise în aplicarea acesteia.</w:t>
            </w:r>
          </w:p>
          <w:p w14:paraId="7523618A" w14:textId="2C6B94EA" w:rsidR="00A85358" w:rsidRPr="009E686F" w:rsidRDefault="00A85358" w:rsidP="00A85358">
            <w:pPr>
              <w:spacing w:after="0"/>
              <w:jc w:val="both"/>
              <w:rPr>
                <w:rFonts w:ascii="Times New Roman" w:hAnsi="Times New Roman" w:cs="Times New Roman"/>
                <w:lang w:val="it-CH"/>
              </w:rPr>
            </w:pPr>
            <w:r w:rsidRPr="009E686F">
              <w:rPr>
                <w:rFonts w:ascii="Times New Roman" w:hAnsi="Times New Roman" w:cs="Times New Roman"/>
                <w:lang w:val="it-CH"/>
              </w:rPr>
              <w:t xml:space="preserve">(2) În sensul alin.(1), următoarele prevederi din Legea nr.1134/1997 privind societăţile pe acţiuni nu sînt aplicabile în cazul </w:t>
            </w:r>
            <w:r w:rsidRPr="009E686F">
              <w:rPr>
                <w:rFonts w:ascii="Times New Roman" w:hAnsi="Times New Roman" w:cs="Times New Roman"/>
                <w:i/>
                <w:iCs/>
                <w:lang w:val="it-CH"/>
              </w:rPr>
              <w:t>instituțiilor de credit</w:t>
            </w:r>
            <w:r w:rsidRPr="009E686F">
              <w:rPr>
                <w:rFonts w:ascii="Times New Roman" w:hAnsi="Times New Roman" w:cs="Times New Roman"/>
                <w:lang w:val="it-CH"/>
              </w:rPr>
              <w:t>:</w:t>
            </w:r>
          </w:p>
          <w:p w14:paraId="6961ED48" w14:textId="77777777" w:rsidR="00A85358" w:rsidRPr="009E686F" w:rsidRDefault="00A85358" w:rsidP="00A85358">
            <w:pPr>
              <w:spacing w:after="0"/>
              <w:jc w:val="both"/>
              <w:rPr>
                <w:rFonts w:ascii="Times New Roman" w:hAnsi="Times New Roman" w:cs="Times New Roman"/>
                <w:lang w:val="it-CH"/>
              </w:rPr>
            </w:pPr>
            <w:r w:rsidRPr="009E686F">
              <w:rPr>
                <w:rFonts w:ascii="Times New Roman" w:hAnsi="Times New Roman" w:cs="Times New Roman"/>
                <w:lang w:val="it-CH"/>
              </w:rPr>
              <w:t>a) art.8 alin.(1) lit.a) şi lit.d) şi alin.(2) cu referire la adunarea generală a acţionarilor;</w:t>
            </w:r>
          </w:p>
          <w:p w14:paraId="6CD8D0A0" w14:textId="77777777" w:rsidR="00A85358" w:rsidRPr="009E686F" w:rsidRDefault="00A85358" w:rsidP="00A85358">
            <w:pPr>
              <w:spacing w:after="0"/>
              <w:jc w:val="both"/>
              <w:rPr>
                <w:rFonts w:ascii="Times New Roman" w:hAnsi="Times New Roman" w:cs="Times New Roman"/>
                <w:lang w:val="it-CH"/>
              </w:rPr>
            </w:pPr>
            <w:r w:rsidRPr="009E686F">
              <w:rPr>
                <w:rFonts w:ascii="Times New Roman" w:hAnsi="Times New Roman" w:cs="Times New Roman"/>
                <w:lang w:val="it-CH"/>
              </w:rPr>
              <w:t>b) art.11 alin.(4)–(6) cu referire la societatea dominantă şi dependentă;</w:t>
            </w:r>
          </w:p>
          <w:p w14:paraId="54C8726D" w14:textId="77777777" w:rsidR="00A85358" w:rsidRPr="009E686F" w:rsidRDefault="00A85358" w:rsidP="00A85358">
            <w:pPr>
              <w:spacing w:after="0"/>
              <w:jc w:val="both"/>
              <w:rPr>
                <w:rFonts w:ascii="Times New Roman" w:hAnsi="Times New Roman" w:cs="Times New Roman"/>
                <w:lang w:val="it-CH"/>
              </w:rPr>
            </w:pPr>
            <w:r w:rsidRPr="009E686F">
              <w:rPr>
                <w:rFonts w:ascii="Times New Roman" w:hAnsi="Times New Roman" w:cs="Times New Roman"/>
              </w:rPr>
              <w:t xml:space="preserve">c) art.48 alin.(3) lit.b) şi lit.f), alin. </w:t>
            </w:r>
            <w:r w:rsidRPr="009E686F">
              <w:rPr>
                <w:rFonts w:ascii="Times New Roman" w:hAnsi="Times New Roman" w:cs="Times New Roman"/>
                <w:lang w:val="it-CH"/>
              </w:rPr>
              <w:t>(3</w:t>
            </w:r>
            <w:r w:rsidRPr="009E686F">
              <w:rPr>
                <w:rFonts w:ascii="Times New Roman" w:hAnsi="Times New Roman" w:cs="Times New Roman"/>
                <w:vertAlign w:val="superscript"/>
                <w:lang w:val="it-CH"/>
              </w:rPr>
              <w:t>1</w:t>
            </w:r>
            <w:r w:rsidRPr="009E686F">
              <w:rPr>
                <w:rFonts w:ascii="Times New Roman" w:hAnsi="Times New Roman" w:cs="Times New Roman"/>
                <w:lang w:val="it-CH"/>
              </w:rPr>
              <w:t>), (4), (6) şi (7) cu referire la atribuţiile adunării generale a acţionarilor;</w:t>
            </w:r>
          </w:p>
          <w:p w14:paraId="28DA9372" w14:textId="77777777" w:rsidR="00A85358" w:rsidRPr="009E686F" w:rsidRDefault="00A85358" w:rsidP="00A85358">
            <w:pPr>
              <w:spacing w:after="0"/>
              <w:jc w:val="both"/>
              <w:rPr>
                <w:rFonts w:ascii="Times New Roman" w:hAnsi="Times New Roman" w:cs="Times New Roman"/>
                <w:lang w:val="it-CH"/>
              </w:rPr>
            </w:pPr>
            <w:r w:rsidRPr="009E686F">
              <w:rPr>
                <w:rFonts w:ascii="Times New Roman" w:hAnsi="Times New Roman" w:cs="Times New Roman"/>
                <w:lang w:val="it-CH"/>
              </w:rPr>
              <w:t>d) art.64 alin.(4) şi (8) cu referire la atribuţiile consiliului;</w:t>
            </w:r>
          </w:p>
          <w:p w14:paraId="645739B4" w14:textId="77777777" w:rsidR="00A85358" w:rsidRPr="009E686F" w:rsidRDefault="00A85358" w:rsidP="00A85358">
            <w:pPr>
              <w:spacing w:after="0"/>
              <w:jc w:val="both"/>
              <w:rPr>
                <w:rFonts w:ascii="Times New Roman" w:hAnsi="Times New Roman" w:cs="Times New Roman"/>
                <w:lang w:val="it-CH"/>
              </w:rPr>
            </w:pPr>
            <w:r w:rsidRPr="009E686F">
              <w:rPr>
                <w:rFonts w:ascii="Times New Roman" w:hAnsi="Times New Roman" w:cs="Times New Roman"/>
                <w:lang w:val="it-CH"/>
              </w:rPr>
              <w:t>e) art.65 alin.(5) în ceea ce priveşte numărul de mandate de membru al consiliului;</w:t>
            </w:r>
          </w:p>
          <w:p w14:paraId="014D9E90" w14:textId="77777777" w:rsidR="00A85358" w:rsidRPr="009E686F" w:rsidRDefault="00A85358" w:rsidP="00A85358">
            <w:pPr>
              <w:spacing w:after="0"/>
              <w:jc w:val="both"/>
              <w:rPr>
                <w:rFonts w:ascii="Times New Roman" w:hAnsi="Times New Roman" w:cs="Times New Roman"/>
                <w:lang w:val="it-CH"/>
              </w:rPr>
            </w:pPr>
            <w:r w:rsidRPr="009E686F">
              <w:rPr>
                <w:rFonts w:ascii="Times New Roman" w:hAnsi="Times New Roman" w:cs="Times New Roman"/>
                <w:lang w:val="it-CH"/>
              </w:rPr>
              <w:t>f) art.68 alin.(2) lit.b) şi alin.(5) cu referire la organul executiv;</w:t>
            </w:r>
          </w:p>
          <w:p w14:paraId="19C8AA92" w14:textId="77777777" w:rsidR="00A85358" w:rsidRPr="009E686F" w:rsidRDefault="00A85358" w:rsidP="00A85358">
            <w:pPr>
              <w:spacing w:after="0"/>
              <w:jc w:val="both"/>
              <w:rPr>
                <w:rFonts w:ascii="Times New Roman" w:hAnsi="Times New Roman" w:cs="Times New Roman"/>
                <w:lang w:val="it-CH"/>
              </w:rPr>
            </w:pPr>
            <w:r w:rsidRPr="009E686F">
              <w:rPr>
                <w:rFonts w:ascii="Times New Roman" w:hAnsi="Times New Roman" w:cs="Times New Roman"/>
                <w:lang w:val="it-CH"/>
              </w:rPr>
              <w:t>g) art.69 alin.(6)–(8) cu referire la organizaţia gestionară;</w:t>
            </w:r>
          </w:p>
          <w:p w14:paraId="4244559E" w14:textId="77777777" w:rsidR="00A85358" w:rsidRPr="009E686F" w:rsidRDefault="00A85358" w:rsidP="00A85358">
            <w:pPr>
              <w:spacing w:after="0"/>
              <w:jc w:val="both"/>
              <w:rPr>
                <w:rFonts w:ascii="Times New Roman" w:hAnsi="Times New Roman" w:cs="Times New Roman"/>
                <w:lang w:val="it-CH"/>
              </w:rPr>
            </w:pPr>
            <w:r w:rsidRPr="009E686F">
              <w:rPr>
                <w:rFonts w:ascii="Times New Roman" w:hAnsi="Times New Roman" w:cs="Times New Roman"/>
                <w:lang w:val="it-CH"/>
              </w:rPr>
              <w:t>h) art.70 şi 71 şi orice alte prevederi care, direct sau indirect, se referă la comisia de cenzori;</w:t>
            </w:r>
          </w:p>
          <w:p w14:paraId="529564AD" w14:textId="77777777" w:rsidR="00A85358" w:rsidRPr="009E686F" w:rsidRDefault="00A85358" w:rsidP="00A85358">
            <w:pPr>
              <w:spacing w:after="0"/>
              <w:jc w:val="both"/>
              <w:rPr>
                <w:rFonts w:ascii="Times New Roman" w:hAnsi="Times New Roman" w:cs="Times New Roman"/>
                <w:lang w:val="it-CH"/>
              </w:rPr>
            </w:pPr>
            <w:r w:rsidRPr="009E686F">
              <w:rPr>
                <w:rFonts w:ascii="Times New Roman" w:hAnsi="Times New Roman" w:cs="Times New Roman"/>
              </w:rPr>
              <w:t xml:space="preserve">i) art.72 alin.(6) și </w:t>
            </w:r>
            <w:r w:rsidRPr="009E686F">
              <w:rPr>
                <w:rFonts w:ascii="Times New Roman" w:hAnsi="Times New Roman" w:cs="Times New Roman"/>
                <w:i/>
                <w:iCs/>
              </w:rPr>
              <w:t xml:space="preserve">alin. </w:t>
            </w:r>
            <w:r w:rsidRPr="009E686F">
              <w:rPr>
                <w:rFonts w:ascii="Times New Roman" w:hAnsi="Times New Roman" w:cs="Times New Roman"/>
                <w:i/>
                <w:iCs/>
                <w:lang w:val="it-CH"/>
              </w:rPr>
              <w:t>(8</w:t>
            </w:r>
            <w:r w:rsidRPr="009E686F">
              <w:rPr>
                <w:rFonts w:ascii="Times New Roman" w:hAnsi="Times New Roman" w:cs="Times New Roman"/>
                <w:i/>
                <w:iCs/>
                <w:vertAlign w:val="superscript"/>
                <w:lang w:val="it-CH"/>
              </w:rPr>
              <w:t>1</w:t>
            </w:r>
            <w:r w:rsidRPr="009E686F">
              <w:rPr>
                <w:rFonts w:ascii="Times New Roman" w:hAnsi="Times New Roman" w:cs="Times New Roman"/>
                <w:i/>
                <w:iCs/>
                <w:lang w:val="it-CH"/>
              </w:rPr>
              <w:t>)</w:t>
            </w:r>
            <w:r w:rsidRPr="009E686F">
              <w:rPr>
                <w:rFonts w:ascii="Times New Roman" w:hAnsi="Times New Roman" w:cs="Times New Roman"/>
                <w:lang w:val="it-CH"/>
              </w:rPr>
              <w:t xml:space="preserve"> cu referire la acordarea de împrumuturi persoanelor sale cu funcţii de răspundere.</w:t>
            </w:r>
          </w:p>
          <w:p w14:paraId="484433F0" w14:textId="77777777" w:rsidR="00A85358" w:rsidRPr="009E686F" w:rsidRDefault="00A85358" w:rsidP="00A85358">
            <w:pPr>
              <w:spacing w:after="0"/>
              <w:jc w:val="both"/>
              <w:rPr>
                <w:rFonts w:ascii="Times New Roman" w:hAnsi="Times New Roman" w:cs="Times New Roman"/>
                <w:lang w:val="it-CH"/>
              </w:rPr>
            </w:pPr>
            <w:r w:rsidRPr="009E686F">
              <w:rPr>
                <w:rFonts w:ascii="Times New Roman" w:hAnsi="Times New Roman" w:cs="Times New Roman"/>
                <w:lang w:val="it-CH"/>
              </w:rPr>
              <w:t xml:space="preserve">(3) </w:t>
            </w:r>
            <w:r w:rsidRPr="009E686F">
              <w:rPr>
                <w:rFonts w:ascii="Times New Roman" w:hAnsi="Times New Roman" w:cs="Times New Roman"/>
                <w:i/>
                <w:iCs/>
                <w:lang w:val="it-CH"/>
              </w:rPr>
              <w:t>Instituțiile de credit</w:t>
            </w:r>
            <w:r w:rsidRPr="009E686F">
              <w:rPr>
                <w:rFonts w:ascii="Times New Roman" w:hAnsi="Times New Roman" w:cs="Times New Roman"/>
                <w:lang w:val="it-CH"/>
              </w:rPr>
              <w:t xml:space="preserve"> dispun de independenţă juridică, operaţională, financiară şi administrativă faţă de orice persoană, </w:t>
            </w:r>
            <w:r w:rsidRPr="009E686F">
              <w:rPr>
                <w:rFonts w:ascii="Times New Roman" w:hAnsi="Times New Roman" w:cs="Times New Roman"/>
                <w:lang w:val="it-CH"/>
              </w:rPr>
              <w:lastRenderedPageBreak/>
              <w:t xml:space="preserve">inclusiv faţă de Banca Naţională a Moldovei, Guvern şi de alte autorităţi ale administraţiei publice, dacă legislaţia nu prevede altfel. Nicio persoană nu poate îngrădi independenţa </w:t>
            </w:r>
            <w:r w:rsidRPr="009E686F">
              <w:rPr>
                <w:rFonts w:ascii="Times New Roman" w:hAnsi="Times New Roman" w:cs="Times New Roman"/>
                <w:i/>
                <w:iCs/>
                <w:lang w:val="it-CH"/>
              </w:rPr>
              <w:t>instituțiilor de credit</w:t>
            </w:r>
            <w:r w:rsidRPr="009E686F">
              <w:rPr>
                <w:rFonts w:ascii="Times New Roman" w:hAnsi="Times New Roman" w:cs="Times New Roman"/>
                <w:lang w:val="it-CH"/>
              </w:rPr>
              <w:t>, nu poate influenţa organele de conducere în exercitarea funcţiilor, nu poate interveni în activitatea vreunei instituții de credit, cu excepţia executării unor obligaţii sau împuterniciri specifice prevăzute de legislaţie.</w:t>
            </w:r>
          </w:p>
          <w:p w14:paraId="7B895806" w14:textId="77777777" w:rsidR="00A85358" w:rsidRPr="009E686F" w:rsidRDefault="00A85358" w:rsidP="00A85358">
            <w:pPr>
              <w:spacing w:after="0"/>
              <w:jc w:val="both"/>
              <w:rPr>
                <w:rFonts w:ascii="Times New Roman" w:hAnsi="Times New Roman" w:cs="Times New Roman"/>
                <w:lang w:val="it-CH"/>
              </w:rPr>
            </w:pPr>
            <w:r w:rsidRPr="009E686F">
              <w:rPr>
                <w:rFonts w:ascii="Times New Roman" w:hAnsi="Times New Roman" w:cs="Times New Roman"/>
                <w:lang w:val="it-CH"/>
              </w:rPr>
              <w:t xml:space="preserve">(4) </w:t>
            </w:r>
            <w:r w:rsidRPr="009E686F">
              <w:rPr>
                <w:rFonts w:ascii="Times New Roman" w:hAnsi="Times New Roman" w:cs="Times New Roman"/>
                <w:i/>
                <w:iCs/>
                <w:lang w:val="it-CH"/>
              </w:rPr>
              <w:t>Instituțiile de credit</w:t>
            </w:r>
            <w:r w:rsidRPr="009E686F">
              <w:rPr>
                <w:rFonts w:ascii="Times New Roman" w:hAnsi="Times New Roman" w:cs="Times New Roman"/>
                <w:lang w:val="it-CH"/>
              </w:rPr>
              <w:t xml:space="preserve"> trebuie să îşi organizeze întreaga activitate în conformitate cu regulile unei practici bancare prudente şi sănătoase, cu cerinţele prezentei legi şi ale actelor normative emise în aplicarea acesteia.</w:t>
            </w:r>
          </w:p>
          <w:p w14:paraId="5F02D637" w14:textId="77777777" w:rsidR="00A85358" w:rsidRPr="009E686F" w:rsidRDefault="00A85358" w:rsidP="00A85358">
            <w:pPr>
              <w:spacing w:after="0"/>
              <w:jc w:val="both"/>
              <w:rPr>
                <w:rFonts w:ascii="Times New Roman" w:hAnsi="Times New Roman" w:cs="Times New Roman"/>
                <w:lang w:val="it-CH"/>
              </w:rPr>
            </w:pPr>
            <w:r w:rsidRPr="009E686F">
              <w:rPr>
                <w:rFonts w:ascii="Times New Roman" w:hAnsi="Times New Roman" w:cs="Times New Roman"/>
                <w:lang w:val="it-CH"/>
              </w:rPr>
              <w:t xml:space="preserve">(5) </w:t>
            </w:r>
            <w:r w:rsidRPr="009E686F">
              <w:rPr>
                <w:rFonts w:ascii="Times New Roman" w:hAnsi="Times New Roman" w:cs="Times New Roman"/>
                <w:i/>
                <w:iCs/>
                <w:lang w:val="it-CH"/>
              </w:rPr>
              <w:t>Instituțiile de credit</w:t>
            </w:r>
            <w:r w:rsidRPr="009E686F">
              <w:rPr>
                <w:rFonts w:ascii="Times New Roman" w:hAnsi="Times New Roman" w:cs="Times New Roman"/>
                <w:lang w:val="it-CH"/>
              </w:rPr>
              <w:t xml:space="preserve"> evaluează şi califică, pe baza criteriilor stabilite în actele normative ale Băncii Naţionale a Moldovei, dacă sînt semnificative din perspectiva dimensiunii, organizării interne şi a naturii, </w:t>
            </w:r>
            <w:r w:rsidRPr="009E686F">
              <w:rPr>
                <w:rFonts w:ascii="Times New Roman" w:hAnsi="Times New Roman" w:cs="Times New Roman"/>
                <w:i/>
                <w:iCs/>
                <w:lang w:val="it-CH"/>
              </w:rPr>
              <w:t xml:space="preserve">amplorii </w:t>
            </w:r>
            <w:r w:rsidRPr="009E686F">
              <w:rPr>
                <w:rFonts w:ascii="Times New Roman" w:hAnsi="Times New Roman" w:cs="Times New Roman"/>
                <w:lang w:val="it-CH"/>
              </w:rPr>
              <w:t>şi complexităţii activităţilor desfăşurate.</w:t>
            </w:r>
          </w:p>
          <w:p w14:paraId="7ED7916C" w14:textId="21663386" w:rsidR="002F47A0" w:rsidRPr="009E686F" w:rsidRDefault="002F47A0" w:rsidP="002F47A0">
            <w:pPr>
              <w:spacing w:after="0"/>
              <w:jc w:val="both"/>
              <w:rPr>
                <w:rFonts w:ascii="Times New Roman" w:hAnsi="Times New Roman" w:cs="Times New Roman"/>
                <w:lang w:val="it-CH"/>
              </w:rPr>
            </w:pPr>
          </w:p>
          <w:p w14:paraId="2EF2D7F1" w14:textId="77777777" w:rsidR="002F47A0" w:rsidRPr="009E686F" w:rsidRDefault="002F47A0" w:rsidP="002F47A0">
            <w:pPr>
              <w:spacing w:after="0"/>
              <w:jc w:val="both"/>
              <w:rPr>
                <w:rFonts w:ascii="Times New Roman" w:hAnsi="Times New Roman" w:cs="Times New Roman"/>
                <w:lang w:val="it-CH"/>
              </w:rPr>
            </w:pPr>
            <w:r w:rsidRPr="009E686F">
              <w:rPr>
                <w:rFonts w:ascii="Times New Roman" w:hAnsi="Times New Roman" w:cs="Times New Roman"/>
                <w:b/>
                <w:lang w:val="it-CH"/>
              </w:rPr>
              <w:t>Articolul 37.</w:t>
            </w:r>
            <w:r w:rsidRPr="009E686F">
              <w:rPr>
                <w:rFonts w:ascii="Times New Roman" w:hAnsi="Times New Roman" w:cs="Times New Roman"/>
                <w:lang w:val="it-CH"/>
              </w:rPr>
              <w:t xml:space="preserve"> Statutul şi reglementările interne</w:t>
            </w:r>
          </w:p>
          <w:p w14:paraId="35530E32" w14:textId="12F64B78" w:rsidR="002F47A0" w:rsidRPr="009E686F" w:rsidRDefault="002F47A0" w:rsidP="002F47A0">
            <w:pPr>
              <w:spacing w:after="0"/>
              <w:jc w:val="both"/>
              <w:rPr>
                <w:rFonts w:ascii="Times New Roman" w:hAnsi="Times New Roman" w:cs="Times New Roman"/>
                <w:lang w:val="it-CH"/>
              </w:rPr>
            </w:pPr>
            <w:r w:rsidRPr="009E686F">
              <w:rPr>
                <w:rFonts w:ascii="Times New Roman" w:hAnsi="Times New Roman" w:cs="Times New Roman"/>
                <w:lang w:val="it-CH"/>
              </w:rPr>
              <w:t xml:space="preserve">(1) Cadrul de administrare a activităţii unei </w:t>
            </w:r>
            <w:r w:rsidRPr="009E686F">
              <w:rPr>
                <w:rFonts w:ascii="Times New Roman" w:hAnsi="Times New Roman" w:cs="Times New Roman"/>
                <w:i/>
                <w:lang w:val="it-CH"/>
              </w:rPr>
              <w:t>instituții de credit</w:t>
            </w:r>
            <w:r w:rsidRPr="009E686F">
              <w:rPr>
                <w:rFonts w:ascii="Times New Roman" w:hAnsi="Times New Roman" w:cs="Times New Roman"/>
                <w:lang w:val="it-CH"/>
              </w:rPr>
              <w:t>, procesele de identificare, administrare, monitorizare şi raportare a riscurilor, mecanismele de control intern, precum şi politicile şi practicile de remunerare a membrilor organului de conducere se stabilesc prin statut şi reglementări interne, în conformitate cu legislaţia aplicabilă societăţilor pe acţiuni, cu respectarea dispoziţiilor prezentei legi şi ale actelor normative ale Băncii Naţionale a Moldovei emise în aplicarea acesteia.</w:t>
            </w:r>
          </w:p>
          <w:p w14:paraId="4E545F3E" w14:textId="5121D644" w:rsidR="002F47A0" w:rsidRPr="009E686F" w:rsidRDefault="002F47A0" w:rsidP="002F47A0">
            <w:pPr>
              <w:spacing w:after="0"/>
              <w:jc w:val="both"/>
              <w:rPr>
                <w:rFonts w:ascii="Times New Roman" w:hAnsi="Times New Roman" w:cs="Times New Roman"/>
                <w:lang w:val="it-CH"/>
              </w:rPr>
            </w:pPr>
            <w:r w:rsidRPr="009E686F">
              <w:rPr>
                <w:rFonts w:ascii="Times New Roman" w:hAnsi="Times New Roman" w:cs="Times New Roman"/>
                <w:lang w:val="it-CH"/>
              </w:rPr>
              <w:t xml:space="preserve">(2) Statutul </w:t>
            </w:r>
            <w:r w:rsidRPr="009E686F">
              <w:rPr>
                <w:rFonts w:ascii="Times New Roman" w:hAnsi="Times New Roman" w:cs="Times New Roman"/>
                <w:i/>
                <w:lang w:val="it-CH"/>
              </w:rPr>
              <w:t>instituției de credit</w:t>
            </w:r>
            <w:r w:rsidRPr="009E686F">
              <w:rPr>
                <w:rFonts w:ascii="Times New Roman" w:hAnsi="Times New Roman" w:cs="Times New Roman"/>
                <w:lang w:val="it-CH"/>
              </w:rPr>
              <w:t xml:space="preserve"> trebuie să specifice denumirea, adresa, obiectul activităţii, atribuţiile organului de conducere, cuantumul capitalului social, tipul, numărul, valoarea nominală a acţiunilor şi drepturile de vot legate de ele, obligativitatea deţinătorilor direcţi, indirecţi şi a </w:t>
            </w:r>
            <w:r w:rsidRPr="009E686F">
              <w:rPr>
                <w:rFonts w:ascii="Times New Roman" w:hAnsi="Times New Roman" w:cs="Times New Roman"/>
                <w:i/>
                <w:iCs/>
                <w:lang w:val="it-CH"/>
              </w:rPr>
              <w:t xml:space="preserve">beneficiarilor </w:t>
            </w:r>
            <w:r w:rsidR="00190937" w:rsidRPr="009E686F">
              <w:rPr>
                <w:rFonts w:ascii="Times New Roman" w:hAnsi="Times New Roman" w:cs="Times New Roman"/>
                <w:i/>
                <w:iCs/>
                <w:lang w:val="it-CH"/>
              </w:rPr>
              <w:t>reali ai deținerii</w:t>
            </w:r>
            <w:r w:rsidRPr="009E686F">
              <w:rPr>
                <w:rFonts w:ascii="Times New Roman" w:hAnsi="Times New Roman" w:cs="Times New Roman"/>
                <w:lang w:val="it-CH"/>
              </w:rPr>
              <w:t xml:space="preserve"> de a prezenta informaţia solicitată de către </w:t>
            </w:r>
            <w:r w:rsidRPr="009E686F">
              <w:rPr>
                <w:rFonts w:ascii="Times New Roman" w:hAnsi="Times New Roman" w:cs="Times New Roman"/>
                <w:i/>
                <w:lang w:val="it-CH"/>
              </w:rPr>
              <w:t>instituția de credit</w:t>
            </w:r>
            <w:r w:rsidRPr="009E686F">
              <w:rPr>
                <w:rFonts w:ascii="Times New Roman" w:hAnsi="Times New Roman" w:cs="Times New Roman"/>
                <w:lang w:val="it-CH"/>
              </w:rPr>
              <w:t xml:space="preserve">  </w:t>
            </w:r>
            <w:r w:rsidRPr="009E686F">
              <w:rPr>
                <w:rFonts w:ascii="Times New Roman" w:hAnsi="Times New Roman" w:cs="Times New Roman"/>
                <w:lang w:val="it-CH"/>
              </w:rPr>
              <w:lastRenderedPageBreak/>
              <w:t>pentru asigurarea conformării acesteia prevederilor prezentei legi.</w:t>
            </w:r>
          </w:p>
          <w:p w14:paraId="44966743" w14:textId="4CCF773A" w:rsidR="002F47A0" w:rsidRPr="009E686F" w:rsidRDefault="002F47A0" w:rsidP="002F47A0">
            <w:pPr>
              <w:spacing w:after="0"/>
              <w:jc w:val="both"/>
              <w:rPr>
                <w:rFonts w:ascii="Times New Roman" w:hAnsi="Times New Roman" w:cs="Times New Roman"/>
                <w:lang w:val="it-CH"/>
              </w:rPr>
            </w:pPr>
            <w:r w:rsidRPr="009E686F">
              <w:rPr>
                <w:rFonts w:ascii="Times New Roman" w:hAnsi="Times New Roman" w:cs="Times New Roman"/>
                <w:lang w:val="it-CH"/>
              </w:rPr>
              <w:t xml:space="preserve">(3) Statutul şi reglementările interne ale </w:t>
            </w:r>
            <w:r w:rsidRPr="009E686F">
              <w:rPr>
                <w:rFonts w:ascii="Times New Roman" w:hAnsi="Times New Roman" w:cs="Times New Roman"/>
                <w:i/>
                <w:lang w:val="it-CH"/>
              </w:rPr>
              <w:t>instituției de credit</w:t>
            </w:r>
            <w:r w:rsidRPr="009E686F">
              <w:rPr>
                <w:rFonts w:ascii="Times New Roman" w:hAnsi="Times New Roman" w:cs="Times New Roman"/>
                <w:lang w:val="it-CH"/>
              </w:rPr>
              <w:t xml:space="preserve"> se transmit Băncii Naţionale a Moldovei în condiţiile prevăzute în actele normative emise de către aceasta.</w:t>
            </w:r>
          </w:p>
        </w:tc>
        <w:tc>
          <w:tcPr>
            <w:tcW w:w="470" w:type="pct"/>
            <w:tcBorders>
              <w:top w:val="single" w:sz="4" w:space="0" w:color="auto"/>
              <w:left w:val="single" w:sz="4" w:space="0" w:color="auto"/>
              <w:bottom w:val="single" w:sz="4" w:space="0" w:color="auto"/>
              <w:right w:val="single" w:sz="4" w:space="0" w:color="auto"/>
            </w:tcBorders>
          </w:tcPr>
          <w:p w14:paraId="59045998" w14:textId="5F161C15"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16EDF769" w14:textId="40847028"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 xml:space="preserve">Norme cu specific național care reprezintă dezvoltări ale principiilor </w:t>
            </w:r>
            <w:r w:rsidRPr="009E686F">
              <w:rPr>
                <w:rFonts w:ascii="Times New Roman" w:hAnsi="Times New Roman" w:cs="Times New Roman"/>
                <w:lang w:val="ro-RO"/>
              </w:rPr>
              <w:lastRenderedPageBreak/>
              <w:t xml:space="preserve">de guvernanță, precum și norme naționale de implementare. </w:t>
            </w:r>
          </w:p>
        </w:tc>
      </w:tr>
      <w:tr w:rsidR="002F47A0" w:rsidRPr="009E686F" w14:paraId="2FC262D0" w14:textId="77777777" w:rsidTr="00CD74DC">
        <w:tc>
          <w:tcPr>
            <w:tcW w:w="1796" w:type="pct"/>
            <w:gridSpan w:val="2"/>
            <w:vMerge/>
            <w:tcBorders>
              <w:left w:val="single" w:sz="4" w:space="0" w:color="auto"/>
              <w:right w:val="single" w:sz="4" w:space="0" w:color="auto"/>
            </w:tcBorders>
          </w:tcPr>
          <w:p w14:paraId="126AFFA1" w14:textId="77777777" w:rsidR="002F47A0" w:rsidRPr="009E686F" w:rsidRDefault="002F47A0" w:rsidP="002F47A0">
            <w:pPr>
              <w:spacing w:after="0"/>
              <w:jc w:val="both"/>
              <w:rPr>
                <w:rFonts w:ascii="Times New Roman" w:hAnsi="Times New Roman" w:cs="Times New Roman"/>
                <w:lang w:val="ro-RO"/>
              </w:rPr>
            </w:pPr>
          </w:p>
        </w:tc>
        <w:tc>
          <w:tcPr>
            <w:tcW w:w="1928" w:type="pct"/>
            <w:gridSpan w:val="3"/>
            <w:tcBorders>
              <w:top w:val="single" w:sz="4" w:space="0" w:color="auto"/>
              <w:left w:val="single" w:sz="4" w:space="0" w:color="auto"/>
              <w:bottom w:val="single" w:sz="4" w:space="0" w:color="auto"/>
              <w:right w:val="single" w:sz="4" w:space="0" w:color="auto"/>
            </w:tcBorders>
          </w:tcPr>
          <w:p w14:paraId="40DC4E35"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b/>
                <w:lang w:val="ro-RO"/>
              </w:rPr>
              <w:t>Articolul 38</w:t>
            </w:r>
            <w:r w:rsidRPr="009E686F">
              <w:rPr>
                <w:rFonts w:ascii="Times New Roman" w:hAnsi="Times New Roman" w:cs="Times New Roman"/>
                <w:b/>
                <w:vertAlign w:val="superscript"/>
                <w:lang w:val="ro-RO"/>
              </w:rPr>
              <w:t>2</w:t>
            </w:r>
            <w:r w:rsidRPr="009E686F">
              <w:rPr>
                <w:rFonts w:ascii="Times New Roman" w:hAnsi="Times New Roman" w:cs="Times New Roman"/>
                <w:b/>
                <w:lang w:val="ro-RO"/>
              </w:rPr>
              <w:t>.</w:t>
            </w:r>
            <w:r w:rsidRPr="009E686F">
              <w:rPr>
                <w:rFonts w:ascii="Times New Roman" w:hAnsi="Times New Roman" w:cs="Times New Roman"/>
                <w:lang w:val="ro-RO"/>
              </w:rPr>
              <w:t xml:space="preserve"> Gestionarea riscurilor aferente tehnologiei informaţiei şi comunicaţiilor, securităţii informaţiei şi continuităţii activităţii</w:t>
            </w:r>
          </w:p>
          <w:p w14:paraId="5EB11986"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 xml:space="preserve">(1) Fiecare </w:t>
            </w:r>
            <w:r w:rsidRPr="009E686F">
              <w:rPr>
                <w:rFonts w:ascii="Times New Roman" w:hAnsi="Times New Roman" w:cs="Times New Roman"/>
                <w:i/>
                <w:lang w:val="ro-RO"/>
              </w:rPr>
              <w:t>instituție de credit</w:t>
            </w:r>
            <w:r w:rsidRPr="009E686F">
              <w:rPr>
                <w:rFonts w:ascii="Times New Roman" w:hAnsi="Times New Roman" w:cs="Times New Roman"/>
                <w:lang w:val="ro-RO"/>
              </w:rPr>
              <w:t xml:space="preserve">  trebuie să dispună de personal, de sisteme şi de servicii eficiente în domeniul tehnologiei informaţiei şi comunicaţiilor (în continuare – </w:t>
            </w:r>
            <w:r w:rsidRPr="009E686F">
              <w:rPr>
                <w:rFonts w:ascii="Times New Roman" w:hAnsi="Times New Roman" w:cs="Times New Roman"/>
                <w:i/>
                <w:lang w:val="ro-RO"/>
              </w:rPr>
              <w:t>TIC</w:t>
            </w:r>
            <w:r w:rsidRPr="009E686F">
              <w:rPr>
                <w:rFonts w:ascii="Times New Roman" w:hAnsi="Times New Roman" w:cs="Times New Roman"/>
                <w:lang w:val="ro-RO"/>
              </w:rPr>
              <w:t xml:space="preserve">) care să asigure desfăşurarea activităţii acesteia proporţional cu natura, amploarea şi complexitatea riscurilor inerente modelului de afaceri şi activităţilor desfăşurate de </w:t>
            </w:r>
            <w:r w:rsidRPr="009E686F">
              <w:rPr>
                <w:rFonts w:ascii="Times New Roman" w:hAnsi="Times New Roman" w:cs="Times New Roman"/>
                <w:i/>
                <w:lang w:val="ro-RO"/>
              </w:rPr>
              <w:t>instituția de credit</w:t>
            </w:r>
            <w:r w:rsidRPr="009E686F">
              <w:rPr>
                <w:rFonts w:ascii="Times New Roman" w:hAnsi="Times New Roman" w:cs="Times New Roman"/>
                <w:lang w:val="ro-RO"/>
              </w:rPr>
              <w:t xml:space="preserve">. În acest scop, </w:t>
            </w:r>
            <w:r w:rsidRPr="009E686F">
              <w:rPr>
                <w:rFonts w:ascii="Times New Roman" w:hAnsi="Times New Roman" w:cs="Times New Roman"/>
                <w:i/>
                <w:lang w:val="ro-RO"/>
              </w:rPr>
              <w:t>instituția de credit</w:t>
            </w:r>
            <w:r w:rsidRPr="009E686F">
              <w:rPr>
                <w:rFonts w:ascii="Times New Roman" w:hAnsi="Times New Roman" w:cs="Times New Roman"/>
                <w:lang w:val="ro-RO"/>
              </w:rPr>
              <w:t xml:space="preserve"> stabileşte competenţe şi responsabilităţi, aprobă şi pune în aplicare o strategie privind TIC şi securitatea informaţiei, precum şi planuri de acţiuni în vederea atingerii obiectivelor strategiei respective.</w:t>
            </w:r>
          </w:p>
          <w:p w14:paraId="4B2D1474"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 xml:space="preserve">(2) </w:t>
            </w:r>
            <w:r w:rsidRPr="009E686F">
              <w:rPr>
                <w:rFonts w:ascii="Times New Roman" w:hAnsi="Times New Roman" w:cs="Times New Roman"/>
                <w:i/>
                <w:lang w:val="ro-RO"/>
              </w:rPr>
              <w:t>Instituția de credit</w:t>
            </w:r>
            <w:r w:rsidRPr="009E686F">
              <w:rPr>
                <w:rFonts w:ascii="Times New Roman" w:hAnsi="Times New Roman" w:cs="Times New Roman"/>
                <w:lang w:val="ro-RO"/>
              </w:rPr>
              <w:t xml:space="preserve"> trebuie să instituie un cadru de administrare a continuităţii activităţii, în măsură să asigure capacitatea de funcţionare în mod continuu, cu asigurarea protejării tuturor informaţiilor, inclusiv în vederea limitării pierderilor de informaţii în cazul întreruperii severe a activităţii. În acest scop, </w:t>
            </w:r>
            <w:r w:rsidRPr="009E686F">
              <w:rPr>
                <w:rFonts w:ascii="Times New Roman" w:hAnsi="Times New Roman" w:cs="Times New Roman"/>
                <w:i/>
                <w:lang w:val="ro-RO"/>
              </w:rPr>
              <w:t>instituția de credit</w:t>
            </w:r>
            <w:r w:rsidRPr="009E686F">
              <w:rPr>
                <w:rFonts w:ascii="Times New Roman" w:hAnsi="Times New Roman" w:cs="Times New Roman"/>
                <w:lang w:val="ro-RO"/>
              </w:rPr>
              <w:t xml:space="preserve"> identifică riscurile aferente continuităţii activităţii la care este expusă şi aprobă şi pune în aplicare planuri de asigurare a continuităţii activităţii.</w:t>
            </w:r>
          </w:p>
          <w:p w14:paraId="1B7679C3"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 xml:space="preserve">(3) </w:t>
            </w:r>
            <w:r w:rsidRPr="009E686F">
              <w:rPr>
                <w:rFonts w:ascii="Times New Roman" w:hAnsi="Times New Roman" w:cs="Times New Roman"/>
                <w:i/>
                <w:lang w:val="ro-RO"/>
              </w:rPr>
              <w:t>Instituția de credit</w:t>
            </w:r>
            <w:r w:rsidRPr="009E686F">
              <w:rPr>
                <w:rFonts w:ascii="Times New Roman" w:hAnsi="Times New Roman" w:cs="Times New Roman"/>
                <w:lang w:val="ro-RO"/>
              </w:rPr>
              <w:t xml:space="preserve"> trebuie să dispună de un cadru de administrare a riscurilor aferente TIC şi securităţii informaţiei, care să conţină procese şi proceduri pentru a asigura identificarea, analizarea, evaluarea, diminuarea, monitorizarea, raportarea şi menţinerea riscurilor în limitele toleranţei la risc a </w:t>
            </w:r>
            <w:r w:rsidRPr="009E686F">
              <w:rPr>
                <w:rFonts w:ascii="Times New Roman" w:hAnsi="Times New Roman" w:cs="Times New Roman"/>
                <w:i/>
                <w:lang w:val="ro-RO"/>
              </w:rPr>
              <w:t>instituției de credit.</w:t>
            </w:r>
          </w:p>
          <w:p w14:paraId="2B29FC97"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lastRenderedPageBreak/>
              <w:t xml:space="preserve">(4) </w:t>
            </w:r>
            <w:r w:rsidRPr="009E686F">
              <w:rPr>
                <w:rFonts w:ascii="Times New Roman" w:hAnsi="Times New Roman" w:cs="Times New Roman"/>
                <w:i/>
                <w:lang w:val="ro-RO"/>
              </w:rPr>
              <w:t xml:space="preserve">Instituția de credit </w:t>
            </w:r>
            <w:r w:rsidRPr="009E686F">
              <w:rPr>
                <w:rFonts w:ascii="Times New Roman" w:hAnsi="Times New Roman" w:cs="Times New Roman"/>
                <w:lang w:val="ro-RO"/>
              </w:rPr>
              <w:t xml:space="preserve">trebuie să dispună de un cadru de administrare a securităţii informaţiei care să definească principiile, normele şi modalităţile de protejare a confidenţialităţii, integrităţii şi disponibilităţii datelor şi informaţiilor </w:t>
            </w:r>
            <w:r w:rsidRPr="009E686F">
              <w:rPr>
                <w:rFonts w:ascii="Times New Roman" w:hAnsi="Times New Roman" w:cs="Times New Roman"/>
                <w:i/>
                <w:lang w:val="ro-RO"/>
              </w:rPr>
              <w:t xml:space="preserve">instituției de credit </w:t>
            </w:r>
            <w:r w:rsidRPr="009E686F">
              <w:rPr>
                <w:rFonts w:ascii="Times New Roman" w:hAnsi="Times New Roman" w:cs="Times New Roman"/>
                <w:lang w:val="ro-RO"/>
              </w:rPr>
              <w:t>şi ale clienţilor acesteia, instituind, în baza cadrului respectiv, măsuri pentru diminuarea nivelurilor riscurilor aferente TIC şi securităţii informaţiei la care este expusă.</w:t>
            </w:r>
          </w:p>
          <w:p w14:paraId="04CC0307"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 xml:space="preserve">(5) </w:t>
            </w:r>
            <w:r w:rsidRPr="009E686F">
              <w:rPr>
                <w:rFonts w:ascii="Times New Roman" w:hAnsi="Times New Roman" w:cs="Times New Roman"/>
                <w:i/>
                <w:lang w:val="ro-RO"/>
              </w:rPr>
              <w:t>Instituția de credit</w:t>
            </w:r>
            <w:r w:rsidRPr="009E686F">
              <w:rPr>
                <w:rFonts w:ascii="Times New Roman" w:hAnsi="Times New Roman" w:cs="Times New Roman"/>
                <w:lang w:val="ro-RO"/>
              </w:rPr>
              <w:t xml:space="preserve"> trebuie să stabilească procese de revizuire a riscurilor, procese de testare a securităţii informaţiei şi continuităţii activităţii care să valideze eficacitatea măsurilor de control şi aplicabilitatea planurilor de asigurare a continuităţii activităţii.</w:t>
            </w:r>
          </w:p>
          <w:p w14:paraId="2DDD8175" w14:textId="219CD2AD" w:rsidR="002F47A0" w:rsidRPr="009E686F" w:rsidRDefault="002F47A0" w:rsidP="002F47A0">
            <w:pPr>
              <w:spacing w:after="0"/>
              <w:jc w:val="both"/>
              <w:rPr>
                <w:rFonts w:ascii="Times New Roman" w:hAnsi="Times New Roman" w:cs="Times New Roman"/>
                <w:b/>
                <w:bCs/>
                <w:lang w:val="it-CH"/>
              </w:rPr>
            </w:pPr>
            <w:r w:rsidRPr="009E686F">
              <w:rPr>
                <w:rFonts w:ascii="Times New Roman" w:hAnsi="Times New Roman" w:cs="Times New Roman"/>
                <w:lang w:val="it-CH"/>
              </w:rPr>
              <w:t>(6) Banca Naţională a Moldovei stabileşte în actele sale normative cerinţele specifice privind punerea în aplicare a prevederilor alin.(1)–(5).</w:t>
            </w:r>
          </w:p>
        </w:tc>
        <w:tc>
          <w:tcPr>
            <w:tcW w:w="470" w:type="pct"/>
            <w:tcBorders>
              <w:top w:val="single" w:sz="4" w:space="0" w:color="auto"/>
              <w:left w:val="single" w:sz="4" w:space="0" w:color="auto"/>
              <w:bottom w:val="single" w:sz="4" w:space="0" w:color="auto"/>
              <w:right w:val="single" w:sz="4" w:space="0" w:color="auto"/>
            </w:tcBorders>
          </w:tcPr>
          <w:p w14:paraId="25BC214C" w14:textId="0B2BFEE2"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3D563880" w14:textId="31DDE0DF"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Norme cu specific național de implementare a cerințelor privind cadrul de administrare în ceea ce privește riscurile TIC, inclusiv cerințele aferente rețelelor și sitemelor informatice pentru asigurarea securității informației.</w:t>
            </w:r>
          </w:p>
        </w:tc>
      </w:tr>
      <w:tr w:rsidR="002F47A0" w:rsidRPr="009E686F" w14:paraId="21E68AED" w14:textId="77777777" w:rsidTr="00CD74DC">
        <w:tc>
          <w:tcPr>
            <w:tcW w:w="1796" w:type="pct"/>
            <w:gridSpan w:val="2"/>
            <w:vMerge/>
            <w:tcBorders>
              <w:left w:val="single" w:sz="4" w:space="0" w:color="auto"/>
              <w:right w:val="single" w:sz="4" w:space="0" w:color="auto"/>
            </w:tcBorders>
          </w:tcPr>
          <w:p w14:paraId="1A62C3D4" w14:textId="77777777" w:rsidR="002F47A0" w:rsidRPr="009E686F" w:rsidRDefault="002F47A0" w:rsidP="002F47A0">
            <w:pPr>
              <w:spacing w:after="0"/>
              <w:jc w:val="both"/>
              <w:rPr>
                <w:rFonts w:ascii="Times New Roman" w:hAnsi="Times New Roman" w:cs="Times New Roman"/>
                <w:lang w:val="ro-RO"/>
              </w:rPr>
            </w:pPr>
          </w:p>
        </w:tc>
        <w:tc>
          <w:tcPr>
            <w:tcW w:w="1928" w:type="pct"/>
            <w:gridSpan w:val="3"/>
            <w:tcBorders>
              <w:top w:val="single" w:sz="4" w:space="0" w:color="auto"/>
              <w:left w:val="single" w:sz="4" w:space="0" w:color="auto"/>
              <w:bottom w:val="single" w:sz="4" w:space="0" w:color="auto"/>
              <w:right w:val="single" w:sz="4" w:space="0" w:color="auto"/>
            </w:tcBorders>
          </w:tcPr>
          <w:p w14:paraId="5AA0DA51" w14:textId="77777777" w:rsidR="002F47A0" w:rsidRPr="009E686F" w:rsidRDefault="002F47A0" w:rsidP="002F47A0">
            <w:pPr>
              <w:spacing w:after="0"/>
              <w:jc w:val="both"/>
              <w:rPr>
                <w:rFonts w:ascii="Times New Roman" w:hAnsi="Times New Roman" w:cs="Times New Roman"/>
                <w:lang w:val="pt-BR"/>
              </w:rPr>
            </w:pPr>
            <w:r w:rsidRPr="009E686F">
              <w:rPr>
                <w:rFonts w:ascii="Times New Roman" w:hAnsi="Times New Roman" w:cs="Times New Roman"/>
                <w:b/>
                <w:lang w:val="pt-BR"/>
              </w:rPr>
              <w:t>Articolul 82.</w:t>
            </w:r>
            <w:r w:rsidRPr="009E686F">
              <w:rPr>
                <w:rFonts w:ascii="Times New Roman" w:hAnsi="Times New Roman" w:cs="Times New Roman"/>
                <w:lang w:val="pt-BR"/>
              </w:rPr>
              <w:t xml:space="preserve"> Externalizarea</w:t>
            </w:r>
          </w:p>
          <w:p w14:paraId="67E4328F" w14:textId="21EEF9F8" w:rsidR="002F47A0" w:rsidRPr="009E686F" w:rsidRDefault="002F47A0" w:rsidP="002F47A0">
            <w:pPr>
              <w:spacing w:after="0"/>
              <w:jc w:val="both"/>
              <w:rPr>
                <w:rFonts w:ascii="Times New Roman" w:hAnsi="Times New Roman" w:cs="Times New Roman"/>
                <w:lang w:val="pt-BR"/>
              </w:rPr>
            </w:pPr>
            <w:r w:rsidRPr="009E686F">
              <w:rPr>
                <w:rFonts w:ascii="Times New Roman" w:hAnsi="Times New Roman" w:cs="Times New Roman"/>
                <w:lang w:val="pt-BR"/>
              </w:rPr>
              <w:t xml:space="preserve">(1) </w:t>
            </w:r>
            <w:r w:rsidRPr="009E686F">
              <w:rPr>
                <w:rFonts w:ascii="Times New Roman" w:hAnsi="Times New Roman" w:cs="Times New Roman"/>
                <w:i/>
                <w:lang w:val="pt-BR"/>
              </w:rPr>
              <w:t>Instituția de credit</w:t>
            </w:r>
            <w:r w:rsidRPr="009E686F">
              <w:rPr>
                <w:rFonts w:ascii="Times New Roman" w:hAnsi="Times New Roman" w:cs="Times New Roman"/>
                <w:lang w:val="pt-BR"/>
              </w:rPr>
              <w:t xml:space="preserve"> are dreptul de a externaliza activităţile de importanţă materială după obţinerea aprobării prealabile a Băncii Naţionale a Moldovei conform cerinţelor stabilite de actele normative emise de aceasta. Termenul de finalizare a procedurii de soluţionare a cererii privind aprobarea prealabilă este de 60 de zile lucrătoare, calculat de la data depunerii cererii însoţite de toate documentele care trebuie prezentate Băncii Naţionale a Moldovei. Dacă este necesară o examinare suplimentară sau este nevoie de mai mult timp pentru prelucrarea informaţiilor şi documentelor, termenul prevăzut de prezentul alineat poate fi prelungit cu cel mult 30 de zile lucrătoare, cu notificarea </w:t>
            </w:r>
            <w:r w:rsidRPr="009E686F">
              <w:rPr>
                <w:rFonts w:ascii="Times New Roman" w:hAnsi="Times New Roman" w:cs="Times New Roman"/>
                <w:i/>
                <w:lang w:val="pt-BR"/>
              </w:rPr>
              <w:t>instituției de credit</w:t>
            </w:r>
            <w:r w:rsidRPr="009E686F">
              <w:rPr>
                <w:rFonts w:ascii="Times New Roman" w:hAnsi="Times New Roman" w:cs="Times New Roman"/>
                <w:lang w:val="pt-BR"/>
              </w:rPr>
              <w:t>.</w:t>
            </w:r>
          </w:p>
          <w:p w14:paraId="38748FAF" w14:textId="34959A64" w:rsidR="002F47A0" w:rsidRPr="009E686F" w:rsidRDefault="002F47A0" w:rsidP="002F47A0">
            <w:pPr>
              <w:spacing w:after="0"/>
              <w:jc w:val="both"/>
              <w:rPr>
                <w:rFonts w:ascii="Times New Roman" w:hAnsi="Times New Roman" w:cs="Times New Roman"/>
                <w:lang w:val="pt-BR"/>
              </w:rPr>
            </w:pPr>
            <w:r w:rsidRPr="009E686F">
              <w:rPr>
                <w:rFonts w:ascii="Times New Roman" w:hAnsi="Times New Roman" w:cs="Times New Roman"/>
                <w:lang w:val="pt-BR"/>
              </w:rPr>
              <w:t xml:space="preserve">(2) Externalizarea serviciilor sau operaţiunilor privind activitatea de atragere de depozite ori de acordare de credite poate avea loc doar către o </w:t>
            </w:r>
            <w:r w:rsidRPr="009E686F">
              <w:rPr>
                <w:rFonts w:ascii="Times New Roman" w:hAnsi="Times New Roman" w:cs="Times New Roman"/>
                <w:i/>
                <w:lang w:val="pt-BR"/>
              </w:rPr>
              <w:t>instituție de credit</w:t>
            </w:r>
            <w:r w:rsidRPr="009E686F">
              <w:rPr>
                <w:rFonts w:ascii="Times New Roman" w:hAnsi="Times New Roman" w:cs="Times New Roman"/>
                <w:lang w:val="pt-BR"/>
              </w:rPr>
              <w:t xml:space="preserve"> /sucursală a </w:t>
            </w:r>
            <w:r w:rsidRPr="009E686F">
              <w:rPr>
                <w:rFonts w:ascii="Times New Roman" w:hAnsi="Times New Roman" w:cs="Times New Roman"/>
                <w:i/>
                <w:lang w:val="pt-BR"/>
              </w:rPr>
              <w:lastRenderedPageBreak/>
              <w:t>instituției de credit</w:t>
            </w:r>
            <w:r w:rsidRPr="009E686F">
              <w:rPr>
                <w:rFonts w:ascii="Times New Roman" w:hAnsi="Times New Roman" w:cs="Times New Roman"/>
                <w:lang w:val="pt-BR"/>
              </w:rPr>
              <w:t xml:space="preserve"> străine din Republica Moldova sau către o altă persoană juridică care deţine licenţa/autorizația valabilă pentru activitatea respectivă.</w:t>
            </w:r>
          </w:p>
          <w:p w14:paraId="6AB91074" w14:textId="77777777" w:rsidR="002F47A0" w:rsidRPr="009E686F" w:rsidRDefault="002F47A0" w:rsidP="002F47A0">
            <w:pPr>
              <w:spacing w:after="0"/>
              <w:jc w:val="both"/>
              <w:rPr>
                <w:rFonts w:ascii="Times New Roman" w:hAnsi="Times New Roman" w:cs="Times New Roman"/>
                <w:lang w:val="pt-BR"/>
              </w:rPr>
            </w:pPr>
            <w:r w:rsidRPr="009E686F">
              <w:rPr>
                <w:rFonts w:ascii="Times New Roman" w:hAnsi="Times New Roman" w:cs="Times New Roman"/>
                <w:lang w:val="pt-BR"/>
              </w:rPr>
              <w:t>(3) În sensul prezentului articol, activităţi de importanţă materială reprezintă:</w:t>
            </w:r>
          </w:p>
          <w:p w14:paraId="58B910D9" w14:textId="367ECC6B" w:rsidR="002F47A0" w:rsidRPr="009E686F" w:rsidRDefault="002F47A0" w:rsidP="002F47A0">
            <w:pPr>
              <w:spacing w:after="0"/>
              <w:jc w:val="both"/>
              <w:rPr>
                <w:rFonts w:ascii="Times New Roman" w:hAnsi="Times New Roman" w:cs="Times New Roman"/>
                <w:lang w:val="pt-BR"/>
              </w:rPr>
            </w:pPr>
            <w:r w:rsidRPr="009E686F">
              <w:rPr>
                <w:rFonts w:ascii="Times New Roman" w:hAnsi="Times New Roman" w:cs="Times New Roman"/>
                <w:lang w:val="pt-BR"/>
              </w:rPr>
              <w:t xml:space="preserve">a) activităţi care prezintă o asemenea importanţă încît orice dificultate sau eşec în desfăşurarea acestora ar putea avea un efect negativ semnificativ în ceea ce priveşte abilitatea </w:t>
            </w:r>
            <w:r w:rsidRPr="009E686F">
              <w:rPr>
                <w:rFonts w:ascii="Times New Roman" w:hAnsi="Times New Roman" w:cs="Times New Roman"/>
                <w:i/>
                <w:lang w:val="pt-BR"/>
              </w:rPr>
              <w:t>instituției de credit</w:t>
            </w:r>
            <w:r w:rsidRPr="009E686F">
              <w:rPr>
                <w:rFonts w:ascii="Times New Roman" w:hAnsi="Times New Roman" w:cs="Times New Roman"/>
                <w:lang w:val="pt-BR"/>
              </w:rPr>
              <w:t xml:space="preserve"> de a-</w:t>
            </w:r>
            <w:r w:rsidRPr="009E686F">
              <w:rPr>
                <w:rFonts w:ascii="Times New Roman" w:hAnsi="Times New Roman" w:cs="Times New Roman"/>
                <w:lang w:val="pt-BR"/>
              </w:rPr>
              <w:softHyphen/>
              <w:t>şi îndeplini obligaţiile prevăzute de cadrul de reglementare şi/ori de a-şi continua activitatea;</w:t>
            </w:r>
          </w:p>
          <w:p w14:paraId="4EC84573" w14:textId="77777777" w:rsidR="002F47A0" w:rsidRPr="009E686F" w:rsidRDefault="002F47A0" w:rsidP="002F47A0">
            <w:pPr>
              <w:spacing w:after="0"/>
              <w:jc w:val="both"/>
              <w:rPr>
                <w:rFonts w:ascii="Times New Roman" w:hAnsi="Times New Roman" w:cs="Times New Roman"/>
                <w:lang w:val="pt-BR"/>
              </w:rPr>
            </w:pPr>
            <w:r w:rsidRPr="009E686F">
              <w:rPr>
                <w:rFonts w:ascii="Times New Roman" w:hAnsi="Times New Roman" w:cs="Times New Roman"/>
                <w:lang w:val="pt-BR"/>
              </w:rPr>
              <w:t>b) orice alte activităţi care necesită o licenţă sau o autorizaţie din partea autorităţilor competente;</w:t>
            </w:r>
          </w:p>
          <w:p w14:paraId="741D26D7" w14:textId="77777777" w:rsidR="002F47A0" w:rsidRPr="009E686F" w:rsidRDefault="002F47A0" w:rsidP="002F47A0">
            <w:pPr>
              <w:spacing w:after="0"/>
              <w:jc w:val="both"/>
              <w:rPr>
                <w:rFonts w:ascii="Times New Roman" w:hAnsi="Times New Roman" w:cs="Times New Roman"/>
                <w:lang w:val="pt-BR"/>
              </w:rPr>
            </w:pPr>
            <w:r w:rsidRPr="009E686F">
              <w:rPr>
                <w:rFonts w:ascii="Times New Roman" w:hAnsi="Times New Roman" w:cs="Times New Roman"/>
                <w:lang w:val="pt-BR"/>
              </w:rPr>
              <w:t>c) orice activităţi care au un impact semnificativ din perspectiva administrării riscurilor.</w:t>
            </w:r>
          </w:p>
          <w:p w14:paraId="1D67ECAF" w14:textId="77777777" w:rsidR="002F47A0" w:rsidRPr="009E686F" w:rsidRDefault="002F47A0" w:rsidP="002F47A0">
            <w:pPr>
              <w:spacing w:after="0"/>
              <w:jc w:val="both"/>
              <w:rPr>
                <w:rFonts w:ascii="Times New Roman" w:hAnsi="Times New Roman" w:cs="Times New Roman"/>
                <w:lang w:val="pt-BR"/>
              </w:rPr>
            </w:pPr>
            <w:r w:rsidRPr="009E686F">
              <w:rPr>
                <w:rFonts w:ascii="Times New Roman" w:hAnsi="Times New Roman" w:cs="Times New Roman"/>
                <w:lang w:val="pt-BR"/>
              </w:rPr>
              <w:t>(4) Subcontractarea activităţilor de importanţă materială externalizate (externalizare în lanţ) nu se permite.</w:t>
            </w:r>
          </w:p>
          <w:p w14:paraId="36EFC2AD" w14:textId="44D133FD" w:rsidR="002F47A0" w:rsidRPr="009E686F" w:rsidRDefault="002F47A0" w:rsidP="002F47A0">
            <w:pPr>
              <w:spacing w:after="0"/>
              <w:jc w:val="both"/>
              <w:rPr>
                <w:rFonts w:ascii="Times New Roman" w:hAnsi="Times New Roman" w:cs="Times New Roman"/>
                <w:lang w:val="pt-BR"/>
              </w:rPr>
            </w:pPr>
            <w:r w:rsidRPr="009E686F">
              <w:rPr>
                <w:rFonts w:ascii="Times New Roman" w:hAnsi="Times New Roman" w:cs="Times New Roman"/>
                <w:lang w:val="pt-BR"/>
              </w:rPr>
              <w:t xml:space="preserve">(5) </w:t>
            </w:r>
            <w:r w:rsidRPr="009E686F">
              <w:rPr>
                <w:rFonts w:ascii="Times New Roman" w:hAnsi="Times New Roman" w:cs="Times New Roman"/>
                <w:i/>
                <w:lang w:val="pt-BR"/>
              </w:rPr>
              <w:t>Instituției de credit</w:t>
            </w:r>
            <w:r w:rsidRPr="009E686F">
              <w:rPr>
                <w:rFonts w:ascii="Times New Roman" w:hAnsi="Times New Roman" w:cs="Times New Roman"/>
                <w:lang w:val="pt-BR"/>
              </w:rPr>
              <w:t xml:space="preserve"> îi revine responsabilitatea finală pentru administrarea corespunzătoare a riscurilor asociate activităţilor/operaţiunilor externalizate.</w:t>
            </w:r>
          </w:p>
          <w:p w14:paraId="270C3D2B" w14:textId="3C5FDE1D" w:rsidR="002F47A0" w:rsidRPr="009E686F" w:rsidRDefault="002F47A0" w:rsidP="002F47A0">
            <w:pPr>
              <w:spacing w:after="0"/>
              <w:jc w:val="both"/>
              <w:rPr>
                <w:rFonts w:ascii="Times New Roman" w:hAnsi="Times New Roman" w:cs="Times New Roman"/>
                <w:lang w:val="pt-BR"/>
              </w:rPr>
            </w:pPr>
            <w:r w:rsidRPr="009E686F">
              <w:rPr>
                <w:rFonts w:ascii="Times New Roman" w:hAnsi="Times New Roman" w:cs="Times New Roman"/>
                <w:lang w:val="pt-BR"/>
              </w:rPr>
              <w:t xml:space="preserve">(6) În cazul externalizării, </w:t>
            </w:r>
            <w:r w:rsidRPr="009E686F">
              <w:rPr>
                <w:rFonts w:ascii="Times New Roman" w:hAnsi="Times New Roman" w:cs="Times New Roman"/>
                <w:i/>
                <w:lang w:val="pt-BR"/>
              </w:rPr>
              <w:t>instituția de credit</w:t>
            </w:r>
            <w:r w:rsidRPr="009E686F">
              <w:rPr>
                <w:rFonts w:ascii="Times New Roman" w:hAnsi="Times New Roman" w:cs="Times New Roman"/>
                <w:lang w:val="pt-BR"/>
              </w:rPr>
              <w:t xml:space="preserve"> va respecta următoarele condiţii minime:</w:t>
            </w:r>
          </w:p>
          <w:p w14:paraId="1B9357B1" w14:textId="77777777" w:rsidR="002F47A0" w:rsidRPr="009E686F" w:rsidRDefault="002F47A0" w:rsidP="002F47A0">
            <w:pPr>
              <w:spacing w:after="0"/>
              <w:jc w:val="both"/>
              <w:rPr>
                <w:rFonts w:ascii="Times New Roman" w:hAnsi="Times New Roman" w:cs="Times New Roman"/>
                <w:lang w:val="pt-BR"/>
              </w:rPr>
            </w:pPr>
            <w:r w:rsidRPr="009E686F">
              <w:rPr>
                <w:rFonts w:ascii="Times New Roman" w:hAnsi="Times New Roman" w:cs="Times New Roman"/>
                <w:lang w:val="pt-BR"/>
              </w:rPr>
              <w:t>a) va dispune de politici şi proceduri interne adecvate privind evaluarea, gestionarea, controlul activităţilor/operaţiunilor externalizate, iar cadrul de administrare a activităţii va fi adaptat la specificul acestor activităţi/operaţiuni;</w:t>
            </w:r>
          </w:p>
          <w:p w14:paraId="7E97D632" w14:textId="77777777" w:rsidR="002F47A0" w:rsidRPr="009E686F" w:rsidRDefault="002F47A0" w:rsidP="002F47A0">
            <w:pPr>
              <w:spacing w:after="0"/>
              <w:jc w:val="both"/>
              <w:rPr>
                <w:rFonts w:ascii="Times New Roman" w:hAnsi="Times New Roman" w:cs="Times New Roman"/>
                <w:lang w:val="pt-BR"/>
              </w:rPr>
            </w:pPr>
            <w:r w:rsidRPr="009E686F">
              <w:rPr>
                <w:rFonts w:ascii="Times New Roman" w:hAnsi="Times New Roman" w:cs="Times New Roman"/>
                <w:lang w:val="pt-BR"/>
              </w:rPr>
              <w:t>b) externalizarea nu va avea ca efect:</w:t>
            </w:r>
          </w:p>
          <w:p w14:paraId="22014583" w14:textId="13537D19" w:rsidR="002F47A0" w:rsidRPr="009E686F" w:rsidRDefault="002F47A0" w:rsidP="002F47A0">
            <w:pPr>
              <w:spacing w:after="0"/>
              <w:jc w:val="both"/>
              <w:rPr>
                <w:rFonts w:ascii="Times New Roman" w:hAnsi="Times New Roman" w:cs="Times New Roman"/>
                <w:lang w:val="pt-BR"/>
              </w:rPr>
            </w:pPr>
            <w:r w:rsidRPr="009E686F">
              <w:rPr>
                <w:rFonts w:ascii="Times New Roman" w:hAnsi="Times New Roman" w:cs="Times New Roman"/>
                <w:lang w:val="pt-BR"/>
              </w:rPr>
              <w:t xml:space="preserve">- delegarea către furnizor a responsabilităţii organului de conducere al </w:t>
            </w:r>
            <w:r w:rsidRPr="009E686F">
              <w:rPr>
                <w:rFonts w:ascii="Times New Roman" w:hAnsi="Times New Roman" w:cs="Times New Roman"/>
                <w:i/>
                <w:lang w:val="pt-BR"/>
              </w:rPr>
              <w:t>instituției de credit</w:t>
            </w:r>
            <w:r w:rsidRPr="009E686F">
              <w:rPr>
                <w:rFonts w:ascii="Times New Roman" w:hAnsi="Times New Roman" w:cs="Times New Roman"/>
                <w:lang w:val="pt-BR"/>
              </w:rPr>
              <w:t>;</w:t>
            </w:r>
          </w:p>
          <w:p w14:paraId="25D4641F" w14:textId="185340D6" w:rsidR="002F47A0" w:rsidRPr="009E686F" w:rsidRDefault="002F47A0" w:rsidP="002F47A0">
            <w:pPr>
              <w:spacing w:after="0"/>
              <w:jc w:val="both"/>
              <w:rPr>
                <w:rFonts w:ascii="Times New Roman" w:hAnsi="Times New Roman" w:cs="Times New Roman"/>
                <w:lang w:val="pt-BR"/>
              </w:rPr>
            </w:pPr>
            <w:r w:rsidRPr="009E686F">
              <w:rPr>
                <w:rFonts w:ascii="Times New Roman" w:hAnsi="Times New Roman" w:cs="Times New Roman"/>
                <w:lang w:val="pt-BR"/>
              </w:rPr>
              <w:t xml:space="preserve">- reducerea capacităţii </w:t>
            </w:r>
            <w:r w:rsidRPr="009E686F">
              <w:rPr>
                <w:rFonts w:ascii="Times New Roman" w:hAnsi="Times New Roman" w:cs="Times New Roman"/>
                <w:i/>
                <w:lang w:val="pt-BR"/>
              </w:rPr>
              <w:t>instituției de credit</w:t>
            </w:r>
            <w:r w:rsidRPr="009E686F">
              <w:rPr>
                <w:rFonts w:ascii="Times New Roman" w:hAnsi="Times New Roman" w:cs="Times New Roman"/>
                <w:lang w:val="pt-BR"/>
              </w:rPr>
              <w:t xml:space="preserve"> de a-şi executa obligaţiile sau lezarea în alt mod a intereselor legitime ale clienţilor, reducerea capacităţii de a-şi îndeplini sarcinile </w:t>
            </w:r>
            <w:r w:rsidRPr="009E686F">
              <w:rPr>
                <w:rFonts w:ascii="Times New Roman" w:hAnsi="Times New Roman" w:cs="Times New Roman"/>
                <w:lang w:val="pt-BR"/>
              </w:rPr>
              <w:lastRenderedPageBreak/>
              <w:t xml:space="preserve">prevăzute în statutul, regulamentele sau strategiile de dezvoltare pe termen lung şi mediu ale </w:t>
            </w:r>
            <w:r w:rsidRPr="009E686F">
              <w:rPr>
                <w:rFonts w:ascii="Times New Roman" w:hAnsi="Times New Roman" w:cs="Times New Roman"/>
                <w:i/>
                <w:lang w:val="pt-BR"/>
              </w:rPr>
              <w:t>instituției de credit</w:t>
            </w:r>
            <w:r w:rsidRPr="009E686F">
              <w:rPr>
                <w:rFonts w:ascii="Times New Roman" w:hAnsi="Times New Roman" w:cs="Times New Roman"/>
                <w:lang w:val="pt-BR"/>
              </w:rPr>
              <w:t>;</w:t>
            </w:r>
          </w:p>
          <w:p w14:paraId="6011AF35" w14:textId="77777777" w:rsidR="002F47A0" w:rsidRPr="009E686F" w:rsidRDefault="002F47A0" w:rsidP="002F47A0">
            <w:pPr>
              <w:spacing w:after="0"/>
              <w:jc w:val="both"/>
              <w:rPr>
                <w:rFonts w:ascii="Times New Roman" w:hAnsi="Times New Roman" w:cs="Times New Roman"/>
                <w:lang w:val="pt-BR"/>
              </w:rPr>
            </w:pPr>
            <w:r w:rsidRPr="009E686F">
              <w:rPr>
                <w:rFonts w:ascii="Times New Roman" w:hAnsi="Times New Roman" w:cs="Times New Roman"/>
                <w:lang w:val="pt-BR"/>
              </w:rPr>
              <w:t>- limitarea, împiedicarea sau imposibilitatea exercitării atribuţiilor de supraveghere ale Băncii Naţionale a Moldovei, precum şi a atribuţiilor organelor de control abilitate;</w:t>
            </w:r>
          </w:p>
          <w:p w14:paraId="217B7C11" w14:textId="77777777" w:rsidR="002F47A0" w:rsidRPr="009E686F" w:rsidRDefault="002F47A0" w:rsidP="002F47A0">
            <w:pPr>
              <w:spacing w:after="0"/>
              <w:jc w:val="both"/>
              <w:rPr>
                <w:rFonts w:ascii="Times New Roman" w:hAnsi="Times New Roman" w:cs="Times New Roman"/>
                <w:lang w:val="pt-BR"/>
              </w:rPr>
            </w:pPr>
            <w:r w:rsidRPr="009E686F">
              <w:rPr>
                <w:rFonts w:ascii="Times New Roman" w:hAnsi="Times New Roman" w:cs="Times New Roman"/>
                <w:lang w:val="pt-BR"/>
              </w:rPr>
              <w:t>c) va lua măsuri pentru a asigura continuitatea desfăşurării activităţilor de importanţă materială în cazul unor situaţii excepţionale, precum şi pentru respectarea prezentei legi în relaţiile cu furnizorul;</w:t>
            </w:r>
          </w:p>
          <w:p w14:paraId="19535CAA" w14:textId="2E53D262" w:rsidR="002F47A0" w:rsidRPr="009E686F" w:rsidRDefault="002F47A0" w:rsidP="002F47A0">
            <w:pPr>
              <w:spacing w:after="0"/>
              <w:jc w:val="both"/>
              <w:rPr>
                <w:rFonts w:ascii="Times New Roman" w:hAnsi="Times New Roman" w:cs="Times New Roman"/>
                <w:lang w:val="pt-BR"/>
              </w:rPr>
            </w:pPr>
            <w:r w:rsidRPr="009E686F">
              <w:rPr>
                <w:rFonts w:ascii="Times New Roman" w:hAnsi="Times New Roman" w:cs="Times New Roman"/>
                <w:lang w:val="pt-BR"/>
              </w:rPr>
              <w:t xml:space="preserve">d) va raporta Băncii Naţionale a Moldovei, fără întîrziere, orice incident sau schimbare de risc, inclusiv schimbarea furnizorului, ce ar putea afecta semnificativ capacitatea de administrare eficientă a </w:t>
            </w:r>
            <w:r w:rsidRPr="009E686F">
              <w:rPr>
                <w:rFonts w:ascii="Times New Roman" w:hAnsi="Times New Roman" w:cs="Times New Roman"/>
                <w:i/>
                <w:lang w:val="pt-BR"/>
              </w:rPr>
              <w:t>instituției de credit</w:t>
            </w:r>
            <w:r w:rsidRPr="009E686F">
              <w:rPr>
                <w:rFonts w:ascii="Times New Roman" w:hAnsi="Times New Roman" w:cs="Times New Roman"/>
                <w:lang w:val="pt-BR"/>
              </w:rPr>
              <w:t>, stabilitatea, performanţele şi continuitatea activităţii acesteia;</w:t>
            </w:r>
          </w:p>
          <w:p w14:paraId="2E1699FC" w14:textId="77777777" w:rsidR="002F47A0" w:rsidRPr="009E686F" w:rsidRDefault="002F47A0" w:rsidP="002F47A0">
            <w:pPr>
              <w:spacing w:after="0"/>
              <w:jc w:val="both"/>
              <w:rPr>
                <w:rFonts w:ascii="Times New Roman" w:hAnsi="Times New Roman" w:cs="Times New Roman"/>
                <w:lang w:val="pt-BR"/>
              </w:rPr>
            </w:pPr>
            <w:r w:rsidRPr="009E686F">
              <w:rPr>
                <w:rFonts w:ascii="Times New Roman" w:hAnsi="Times New Roman" w:cs="Times New Roman"/>
                <w:lang w:val="pt-BR"/>
              </w:rPr>
              <w:t>e) va respecta orice alte cerinţe aferente externalizării, stabilite de Banca Naţională a Moldovei în actele sale normative.</w:t>
            </w:r>
          </w:p>
          <w:p w14:paraId="341E232D" w14:textId="40D37424" w:rsidR="002F47A0" w:rsidRPr="009E686F" w:rsidRDefault="002F47A0" w:rsidP="002F47A0">
            <w:pPr>
              <w:spacing w:after="0"/>
              <w:jc w:val="both"/>
              <w:rPr>
                <w:rFonts w:ascii="Times New Roman" w:hAnsi="Times New Roman" w:cs="Times New Roman"/>
                <w:lang w:val="pt-BR"/>
              </w:rPr>
            </w:pPr>
            <w:r w:rsidRPr="009E686F">
              <w:rPr>
                <w:rFonts w:ascii="Times New Roman" w:hAnsi="Times New Roman" w:cs="Times New Roman"/>
                <w:lang w:val="pt-BR"/>
              </w:rPr>
              <w:t xml:space="preserve">(7) </w:t>
            </w:r>
            <w:r w:rsidRPr="009E686F">
              <w:rPr>
                <w:rFonts w:ascii="Times New Roman" w:hAnsi="Times New Roman" w:cs="Times New Roman"/>
                <w:i/>
                <w:lang w:val="pt-BR"/>
              </w:rPr>
              <w:t>Instituțiile de credit</w:t>
            </w:r>
            <w:r w:rsidRPr="009E686F">
              <w:rPr>
                <w:rFonts w:ascii="Times New Roman" w:hAnsi="Times New Roman" w:cs="Times New Roman"/>
                <w:lang w:val="pt-BR"/>
              </w:rPr>
              <w:t xml:space="preserve"> efectuează, anual sau la cererea Băncii Naţionale a Moldovei, auditul extern al activităţilor/operaţiunilor externalizate, prin intermediul unei entităţi de audit agreată de Banca Naţională a Moldovei, conform cerinţelor stabilite în actele normative ale Băncii Naţionale a Moldovei.</w:t>
            </w:r>
          </w:p>
          <w:p w14:paraId="03384BE5" w14:textId="73022803" w:rsidR="002F47A0" w:rsidRPr="009E686F" w:rsidRDefault="002F47A0" w:rsidP="002F47A0">
            <w:pPr>
              <w:spacing w:after="0"/>
              <w:jc w:val="both"/>
              <w:rPr>
                <w:rFonts w:ascii="Times New Roman" w:hAnsi="Times New Roman" w:cs="Times New Roman"/>
                <w:lang w:val="pt-BR"/>
              </w:rPr>
            </w:pPr>
            <w:r w:rsidRPr="009E686F">
              <w:rPr>
                <w:rFonts w:ascii="Times New Roman" w:hAnsi="Times New Roman" w:cs="Times New Roman"/>
                <w:lang w:val="pt-BR"/>
              </w:rPr>
              <w:t xml:space="preserve">(8) În cazul externalizării activităţilor de importanţă materială, Banca Naţională a Moldovei poate impune anumite condiţii, ţinînd seama de factori cum ar fi: mărimea </w:t>
            </w:r>
            <w:r w:rsidRPr="009E686F">
              <w:rPr>
                <w:rFonts w:ascii="Times New Roman" w:hAnsi="Times New Roman" w:cs="Times New Roman"/>
                <w:i/>
                <w:lang w:val="pt-BR"/>
              </w:rPr>
              <w:t>instituției de credit</w:t>
            </w:r>
            <w:r w:rsidRPr="009E686F">
              <w:rPr>
                <w:rFonts w:ascii="Times New Roman" w:hAnsi="Times New Roman" w:cs="Times New Roman"/>
                <w:lang w:val="pt-BR"/>
              </w:rPr>
              <w:t>, natura, amploarea şi complexitatea activităţii care se intenţionează a fi externalizată, caracteristicile şi poziţia de piaţă ale furnizorului extern, durata contractului, conflictele de interese ce ar putea fi generate de externalizare.</w:t>
            </w:r>
          </w:p>
          <w:p w14:paraId="21C43BCD" w14:textId="77777777" w:rsidR="002F47A0" w:rsidRPr="009E686F" w:rsidRDefault="002F47A0" w:rsidP="002F47A0">
            <w:pPr>
              <w:spacing w:after="0"/>
              <w:jc w:val="both"/>
              <w:rPr>
                <w:rFonts w:ascii="Times New Roman" w:hAnsi="Times New Roman" w:cs="Times New Roman"/>
                <w:lang w:val="pt-BR"/>
              </w:rPr>
            </w:pPr>
            <w:r w:rsidRPr="009E686F">
              <w:rPr>
                <w:rFonts w:ascii="Times New Roman" w:hAnsi="Times New Roman" w:cs="Times New Roman"/>
                <w:lang w:val="pt-BR"/>
              </w:rPr>
              <w:t>(9) Banca Naţională a Moldovei are dreptul să prescrie rezilierea contractului de externalizare dacă constată că:</w:t>
            </w:r>
          </w:p>
          <w:p w14:paraId="0036F661" w14:textId="6399560C" w:rsidR="002F47A0" w:rsidRPr="009E686F" w:rsidRDefault="002F47A0" w:rsidP="002F47A0">
            <w:pPr>
              <w:spacing w:after="0"/>
              <w:jc w:val="both"/>
              <w:rPr>
                <w:rFonts w:ascii="Times New Roman" w:hAnsi="Times New Roman" w:cs="Times New Roman"/>
                <w:lang w:val="pt-BR"/>
              </w:rPr>
            </w:pPr>
            <w:r w:rsidRPr="009E686F">
              <w:rPr>
                <w:rFonts w:ascii="Times New Roman" w:hAnsi="Times New Roman" w:cs="Times New Roman"/>
                <w:lang w:val="pt-BR"/>
              </w:rPr>
              <w:lastRenderedPageBreak/>
              <w:t xml:space="preserve">a) </w:t>
            </w:r>
            <w:r w:rsidRPr="009E686F">
              <w:rPr>
                <w:rFonts w:ascii="Times New Roman" w:hAnsi="Times New Roman" w:cs="Times New Roman"/>
                <w:i/>
                <w:lang w:val="pt-BR"/>
              </w:rPr>
              <w:t>instituția de credit</w:t>
            </w:r>
            <w:r w:rsidRPr="009E686F">
              <w:rPr>
                <w:rFonts w:ascii="Times New Roman" w:hAnsi="Times New Roman" w:cs="Times New Roman"/>
                <w:lang w:val="pt-BR"/>
              </w:rPr>
              <w:t xml:space="preserve"> nu efectuează controlul continuu asupra activităţilor/operaţiunilor externalizate sau gestionarea riscurilor asociate acestora ori o face neregulat şi inadecvat;</w:t>
            </w:r>
          </w:p>
          <w:p w14:paraId="59FF5C01" w14:textId="73D15C8D" w:rsidR="002F47A0" w:rsidRPr="009E686F" w:rsidRDefault="002F47A0" w:rsidP="002F47A0">
            <w:pPr>
              <w:spacing w:after="0"/>
              <w:jc w:val="both"/>
              <w:rPr>
                <w:rFonts w:ascii="Times New Roman" w:eastAsia="Aptos" w:hAnsi="Times New Roman" w:cs="Times New Roman"/>
                <w:kern w:val="2"/>
                <w:lang w:val="pt-BR"/>
              </w:rPr>
            </w:pPr>
            <w:r w:rsidRPr="009E686F">
              <w:rPr>
                <w:rFonts w:ascii="Times New Roman" w:hAnsi="Times New Roman" w:cs="Times New Roman"/>
                <w:lang w:val="pt-BR"/>
              </w:rPr>
              <w:t xml:space="preserve">b) activitatea furnizorului activităţilor/operaţiunilor externalizate are deficienţe semnificative care ameninţă sau pot ameninţa capacitatea </w:t>
            </w:r>
            <w:r w:rsidRPr="009E686F">
              <w:rPr>
                <w:rFonts w:ascii="Times New Roman" w:hAnsi="Times New Roman" w:cs="Times New Roman"/>
                <w:i/>
                <w:lang w:val="pt-BR"/>
              </w:rPr>
              <w:t>instituției de credit</w:t>
            </w:r>
            <w:r w:rsidRPr="009E686F">
              <w:rPr>
                <w:rFonts w:ascii="Times New Roman" w:hAnsi="Times New Roman" w:cs="Times New Roman"/>
                <w:lang w:val="pt-BR"/>
              </w:rPr>
              <w:t xml:space="preserve"> de a-şi îndeplini obligaţiile.</w:t>
            </w:r>
          </w:p>
        </w:tc>
        <w:tc>
          <w:tcPr>
            <w:tcW w:w="470" w:type="pct"/>
            <w:tcBorders>
              <w:top w:val="single" w:sz="4" w:space="0" w:color="auto"/>
              <w:left w:val="single" w:sz="4" w:space="0" w:color="auto"/>
              <w:bottom w:val="single" w:sz="4" w:space="0" w:color="auto"/>
              <w:right w:val="single" w:sz="4" w:space="0" w:color="auto"/>
            </w:tcBorders>
          </w:tcPr>
          <w:p w14:paraId="347970D9" w14:textId="0464FD6A"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31EB108C" w14:textId="0BE3481F"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 xml:space="preserve">Norme cu specific național care de implementare privind cadrul de administrare a activității, sistemele de control intern și administrarea riscurilor în cazul externalizării activităților de importanță materială. Normele detaliază condițiile în care instituțiile de credit pot externaliza astfel de activități, stabilește responsabilitatea </w:t>
            </w:r>
            <w:r w:rsidRPr="009E686F">
              <w:rPr>
                <w:rFonts w:ascii="Times New Roman" w:hAnsi="Times New Roman" w:cs="Times New Roman"/>
                <w:lang w:val="ro-RO"/>
              </w:rPr>
              <w:lastRenderedPageBreak/>
              <w:t>permanentă a organului de conducere și a instituției de credit pentru activitățile externalizate, instituie cerințe privind politicile și procedurile interne, continuitatea activității, raportarea către BNM, supravegherea și controlul activităților externalizate.</w:t>
            </w:r>
          </w:p>
        </w:tc>
      </w:tr>
      <w:tr w:rsidR="002F47A0" w:rsidRPr="009E686F" w14:paraId="057085D7" w14:textId="77777777" w:rsidTr="00751441">
        <w:tc>
          <w:tcPr>
            <w:tcW w:w="1796" w:type="pct"/>
            <w:gridSpan w:val="2"/>
            <w:vMerge/>
            <w:tcBorders>
              <w:left w:val="single" w:sz="4" w:space="0" w:color="auto"/>
              <w:bottom w:val="single" w:sz="4" w:space="0" w:color="auto"/>
              <w:right w:val="single" w:sz="4" w:space="0" w:color="auto"/>
            </w:tcBorders>
          </w:tcPr>
          <w:p w14:paraId="4AC01BB9" w14:textId="77777777" w:rsidR="002F47A0" w:rsidRPr="009E686F" w:rsidRDefault="002F47A0" w:rsidP="002F47A0">
            <w:pPr>
              <w:spacing w:after="0"/>
              <w:jc w:val="both"/>
              <w:rPr>
                <w:rFonts w:ascii="Times New Roman" w:hAnsi="Times New Roman" w:cs="Times New Roman"/>
                <w:lang w:val="ro-RO"/>
              </w:rPr>
            </w:pPr>
          </w:p>
        </w:tc>
        <w:tc>
          <w:tcPr>
            <w:tcW w:w="1928" w:type="pct"/>
            <w:gridSpan w:val="3"/>
            <w:tcBorders>
              <w:top w:val="single" w:sz="4" w:space="0" w:color="auto"/>
              <w:left w:val="single" w:sz="4" w:space="0" w:color="auto"/>
              <w:bottom w:val="single" w:sz="4" w:space="0" w:color="auto"/>
              <w:right w:val="single" w:sz="4" w:space="0" w:color="auto"/>
            </w:tcBorders>
          </w:tcPr>
          <w:p w14:paraId="075D6E99" w14:textId="49AA7488" w:rsidR="002F47A0" w:rsidRPr="009E686F" w:rsidRDefault="002F47A0" w:rsidP="002F47A0">
            <w:pPr>
              <w:spacing w:after="0"/>
              <w:jc w:val="both"/>
              <w:rPr>
                <w:rFonts w:ascii="Times New Roman" w:hAnsi="Times New Roman" w:cs="Times New Roman"/>
                <w:b/>
                <w:lang w:val="ro-RO"/>
              </w:rPr>
            </w:pPr>
            <w:r w:rsidRPr="009E686F">
              <w:rPr>
                <w:rFonts w:ascii="Times New Roman" w:hAnsi="Times New Roman" w:cs="Times New Roman"/>
                <w:b/>
                <w:lang w:val="ro-RO"/>
              </w:rPr>
              <w:t>Art. 99 alin. (3)-(4)</w:t>
            </w:r>
          </w:p>
          <w:p w14:paraId="1B951BB9" w14:textId="320599EA" w:rsidR="002F47A0" w:rsidRPr="009E686F" w:rsidRDefault="002F47A0" w:rsidP="002F47A0">
            <w:pPr>
              <w:spacing w:after="0"/>
              <w:jc w:val="both"/>
              <w:rPr>
                <w:rFonts w:ascii="Times New Roman" w:hAnsi="Times New Roman" w:cs="Times New Roman"/>
                <w:lang w:val="it-CH"/>
              </w:rPr>
            </w:pPr>
            <w:r w:rsidRPr="009E686F">
              <w:rPr>
                <w:rFonts w:ascii="Times New Roman" w:hAnsi="Times New Roman" w:cs="Times New Roman"/>
                <w:lang w:val="ro-RO"/>
              </w:rPr>
              <w:t xml:space="preserve">(3) </w:t>
            </w:r>
            <w:r w:rsidRPr="009E686F">
              <w:rPr>
                <w:rFonts w:ascii="Times New Roman" w:hAnsi="Times New Roman" w:cs="Times New Roman"/>
                <w:i/>
                <w:lang w:val="ro-RO"/>
              </w:rPr>
              <w:t>Instituțiile de credit</w:t>
            </w:r>
            <w:r w:rsidRPr="009E686F">
              <w:rPr>
                <w:rFonts w:ascii="Times New Roman" w:hAnsi="Times New Roman" w:cs="Times New Roman"/>
                <w:lang w:val="ro-RO"/>
              </w:rPr>
              <w:t xml:space="preserve"> trebuie să furnizeze Băncii Naţionale a Moldovei orice informaţie necesară pentru evaluarea conformării lor la cerinţele prudenţiale prevăzute de prezenta lege şi de actele normative emise în aplicarea acesteia. </w:t>
            </w:r>
            <w:r w:rsidRPr="009E686F">
              <w:rPr>
                <w:rFonts w:ascii="Times New Roman" w:hAnsi="Times New Roman" w:cs="Times New Roman"/>
                <w:lang w:val="it-CH"/>
              </w:rPr>
              <w:t xml:space="preserve">Mecanismele de control intern şi procedurile contabile şi administrative ale </w:t>
            </w:r>
            <w:r w:rsidRPr="009E686F">
              <w:rPr>
                <w:rFonts w:ascii="Times New Roman" w:hAnsi="Times New Roman" w:cs="Times New Roman"/>
                <w:i/>
                <w:iCs/>
                <w:lang w:val="it-CH"/>
              </w:rPr>
              <w:t>instituțiilor de credit</w:t>
            </w:r>
            <w:r w:rsidRPr="009E686F">
              <w:rPr>
                <w:rFonts w:ascii="Times New Roman" w:hAnsi="Times New Roman" w:cs="Times New Roman"/>
                <w:lang w:val="it-CH"/>
              </w:rPr>
              <w:t xml:space="preserve">  trebuie să permită verificarea, în orice moment, a conformării la cerinţele prudenţiale.</w:t>
            </w:r>
          </w:p>
          <w:p w14:paraId="46F4620C" w14:textId="40D9DB8B" w:rsidR="002F47A0" w:rsidRPr="009E686F" w:rsidRDefault="002F47A0" w:rsidP="002F47A0">
            <w:pPr>
              <w:spacing w:after="0"/>
              <w:jc w:val="both"/>
              <w:rPr>
                <w:rFonts w:ascii="Times New Roman" w:hAnsi="Times New Roman" w:cs="Times New Roman"/>
                <w:b/>
                <w:bCs/>
                <w:lang w:val="it-CH"/>
              </w:rPr>
            </w:pPr>
            <w:r w:rsidRPr="009E686F">
              <w:rPr>
                <w:rFonts w:ascii="Times New Roman" w:hAnsi="Times New Roman" w:cs="Times New Roman"/>
                <w:lang w:val="it-CH"/>
              </w:rPr>
              <w:t xml:space="preserve">(4) </w:t>
            </w:r>
            <w:r w:rsidRPr="009E686F">
              <w:rPr>
                <w:rFonts w:ascii="Times New Roman" w:hAnsi="Times New Roman" w:cs="Times New Roman"/>
                <w:i/>
                <w:iCs/>
                <w:lang w:val="it-CH"/>
              </w:rPr>
              <w:t>Instituțiile de credit</w:t>
            </w:r>
            <w:r w:rsidRPr="009E686F">
              <w:rPr>
                <w:rFonts w:ascii="Times New Roman" w:hAnsi="Times New Roman" w:cs="Times New Roman"/>
                <w:lang w:val="it-CH"/>
              </w:rPr>
              <w:t xml:space="preserve"> înregistrează toate tranzacţiile şi formalizează toate sistemele şi procesele, prevăzute de prezenta lege şi de actele normative emise în aplicarea acesteia, astfel încît Banca Naţională a Moldovei să poată realiza verificarea, în orice moment, a conformării cu respectivele cerinţe prudenţiale.</w:t>
            </w:r>
          </w:p>
        </w:tc>
        <w:tc>
          <w:tcPr>
            <w:tcW w:w="470" w:type="pct"/>
            <w:tcBorders>
              <w:top w:val="single" w:sz="4" w:space="0" w:color="auto"/>
              <w:left w:val="single" w:sz="4" w:space="0" w:color="auto"/>
              <w:bottom w:val="single" w:sz="4" w:space="0" w:color="auto"/>
              <w:right w:val="single" w:sz="4" w:space="0" w:color="auto"/>
            </w:tcBorders>
          </w:tcPr>
          <w:p w14:paraId="28623808" w14:textId="6BB56599"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 xml:space="preserve">Compatibil </w:t>
            </w:r>
          </w:p>
        </w:tc>
        <w:tc>
          <w:tcPr>
            <w:tcW w:w="806" w:type="pct"/>
            <w:tcBorders>
              <w:top w:val="single" w:sz="4" w:space="0" w:color="auto"/>
              <w:left w:val="single" w:sz="4" w:space="0" w:color="auto"/>
              <w:bottom w:val="single" w:sz="4" w:space="0" w:color="auto"/>
              <w:right w:val="single" w:sz="4" w:space="0" w:color="auto"/>
            </w:tcBorders>
          </w:tcPr>
          <w:p w14:paraId="5B0C644B" w14:textId="35CB1414"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Norme cu specific național din Legea nr. 202/2017, prin instituirea obligației instituțiilor de credit de a dispune de mecanisme de control intern, proceduri administrative și contabile și sisteme de evidență adecvate, care să permită BNM verificarea permanentă a respectării cerințelor prudențiale.</w:t>
            </w:r>
          </w:p>
        </w:tc>
      </w:tr>
      <w:tr w:rsidR="002F47A0" w:rsidRPr="009E686F" w14:paraId="710AFB89" w14:textId="5A237298" w:rsidTr="00774F3E">
        <w:tc>
          <w:tcPr>
            <w:tcW w:w="1796" w:type="pct"/>
            <w:gridSpan w:val="2"/>
            <w:tcBorders>
              <w:top w:val="single" w:sz="4" w:space="0" w:color="auto"/>
              <w:left w:val="single" w:sz="4" w:space="0" w:color="auto"/>
              <w:bottom w:val="single" w:sz="4" w:space="0" w:color="auto"/>
              <w:right w:val="single" w:sz="4" w:space="0" w:color="auto"/>
            </w:tcBorders>
          </w:tcPr>
          <w:p w14:paraId="6195B700" w14:textId="3EC19AA6"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(2) Cadrul de administrare, procesele și mecanismele menționate la alineatul (1) din prezentul articol sunt cuprinzătoare și proporționale cu natura, amploarea și complexitatea riscurilor inerente modelului de afaceri și activităților instituției. Criteriile tehnice stabilite la articolele 76-95 sunt luate în considerare.</w:t>
            </w:r>
          </w:p>
        </w:tc>
        <w:tc>
          <w:tcPr>
            <w:tcW w:w="1928" w:type="pct"/>
            <w:gridSpan w:val="3"/>
            <w:tcBorders>
              <w:top w:val="single" w:sz="4" w:space="0" w:color="auto"/>
              <w:left w:val="single" w:sz="4" w:space="0" w:color="auto"/>
              <w:bottom w:val="single" w:sz="4" w:space="0" w:color="auto"/>
              <w:right w:val="single" w:sz="4" w:space="0" w:color="auto"/>
            </w:tcBorders>
          </w:tcPr>
          <w:p w14:paraId="1384090E" w14:textId="2838AC93" w:rsidR="002F47A0" w:rsidRPr="009E686F" w:rsidRDefault="002F47A0" w:rsidP="002F47A0">
            <w:pPr>
              <w:spacing w:after="0"/>
              <w:jc w:val="both"/>
              <w:rPr>
                <w:rFonts w:ascii="Times New Roman" w:eastAsia="Aptos" w:hAnsi="Times New Roman" w:cs="Times New Roman"/>
                <w:color w:val="FF0000"/>
                <w:kern w:val="2"/>
                <w:lang w:val="ro-RO"/>
              </w:rPr>
            </w:pPr>
            <w:r w:rsidRPr="009E686F">
              <w:rPr>
                <w:rFonts w:ascii="Times New Roman" w:eastAsia="Aptos" w:hAnsi="Times New Roman" w:cs="Times New Roman"/>
                <w:kern w:val="2"/>
                <w:lang w:val="ro-MD"/>
              </w:rPr>
              <w:t xml:space="preserve">(2) Cadrul de administrare a activităţii, procesele şi mecanismele prevăzute la alin.(1) trebuie să fie cuprinzătoare şi </w:t>
            </w:r>
            <w:r w:rsidRPr="009E686F">
              <w:rPr>
                <w:rFonts w:ascii="Times New Roman" w:eastAsia="Aptos" w:hAnsi="Times New Roman" w:cs="Times New Roman"/>
                <w:i/>
                <w:iCs/>
                <w:kern w:val="2"/>
                <w:lang w:val="ro-MD"/>
              </w:rPr>
              <w:t>proporționale cu</w:t>
            </w:r>
            <w:r w:rsidRPr="009E686F">
              <w:rPr>
                <w:rFonts w:ascii="Times New Roman" w:eastAsia="Aptos" w:hAnsi="Times New Roman" w:cs="Times New Roman"/>
                <w:kern w:val="2"/>
                <w:lang w:val="ro-MD"/>
              </w:rPr>
              <w:t xml:space="preserve"> natura, amploarea şi complexitatea riscurilor inerente modelului de afaceri şi activităţilor desfăşurate de </w:t>
            </w:r>
            <w:r w:rsidRPr="009E686F">
              <w:rPr>
                <w:rFonts w:ascii="Times New Roman" w:eastAsia="Aptos" w:hAnsi="Times New Roman" w:cs="Times New Roman"/>
                <w:i/>
                <w:iCs/>
                <w:kern w:val="2"/>
                <w:lang w:val="ro-MD"/>
              </w:rPr>
              <w:t>instituția de credit</w:t>
            </w:r>
            <w:r w:rsidRPr="009E686F">
              <w:rPr>
                <w:rFonts w:ascii="Times New Roman" w:eastAsia="Aptos" w:hAnsi="Times New Roman" w:cs="Times New Roman"/>
                <w:kern w:val="2"/>
                <w:lang w:val="ro-MD"/>
              </w:rPr>
              <w:t>. Mecanismele de control intern trebuie să asigure cel puţin organizarea funcţiilor de administrare a riscurilor, de asigurare a conformităţii şi de audit intern.</w:t>
            </w:r>
            <w:r w:rsidRPr="009E686F">
              <w:rPr>
                <w:rFonts w:ascii="Times New Roman" w:eastAsia="Aptos" w:hAnsi="Times New Roman" w:cs="Times New Roman"/>
                <w:color w:val="FF0000"/>
                <w:kern w:val="2"/>
                <w:lang w:val="ro-RO"/>
              </w:rPr>
              <w:t xml:space="preserve"> </w:t>
            </w:r>
          </w:p>
          <w:p w14:paraId="3CBC1B55" w14:textId="45BF8D2F" w:rsidR="002F47A0" w:rsidRPr="009E686F" w:rsidRDefault="002F47A0" w:rsidP="002F47A0">
            <w:pPr>
              <w:spacing w:after="0"/>
              <w:jc w:val="both"/>
              <w:rPr>
                <w:rFonts w:ascii="Times New Roman" w:hAnsi="Times New Roman" w:cs="Times New Roman"/>
                <w:b/>
                <w:lang w:val="ro-RO"/>
              </w:rPr>
            </w:pPr>
            <w:r w:rsidRPr="009E686F">
              <w:rPr>
                <w:rFonts w:ascii="Times New Roman" w:hAnsi="Times New Roman" w:cs="Times New Roman"/>
                <w:lang w:val="it-CH"/>
              </w:rPr>
              <w:t xml:space="preserve">(3) Principiile, criteriile tehnice şi alte elemente aferente cerinţelor specificate la alin.(1) şi (2) care trebuie avute în </w:t>
            </w:r>
            <w:r w:rsidRPr="009E686F">
              <w:rPr>
                <w:rFonts w:ascii="Times New Roman" w:hAnsi="Times New Roman" w:cs="Times New Roman"/>
                <w:lang w:val="it-CH"/>
              </w:rPr>
              <w:lastRenderedPageBreak/>
              <w:t>vedere de către instituțiile de credit se stabilesc prin actele normative emise în aplicarea prezentei legi.</w:t>
            </w:r>
          </w:p>
        </w:tc>
        <w:tc>
          <w:tcPr>
            <w:tcW w:w="470" w:type="pct"/>
            <w:tcBorders>
              <w:top w:val="single" w:sz="4" w:space="0" w:color="auto"/>
              <w:left w:val="single" w:sz="4" w:space="0" w:color="auto"/>
              <w:bottom w:val="single" w:sz="4" w:space="0" w:color="auto"/>
              <w:right w:val="single" w:sz="4" w:space="0" w:color="auto"/>
            </w:tcBorders>
          </w:tcPr>
          <w:p w14:paraId="17714FB1" w14:textId="00AEABE6"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3EBEB5E7" w14:textId="77777777" w:rsidR="002F47A0" w:rsidRPr="009E686F" w:rsidRDefault="002F47A0" w:rsidP="002F47A0">
            <w:pPr>
              <w:jc w:val="both"/>
              <w:rPr>
                <w:rFonts w:ascii="Times New Roman" w:hAnsi="Times New Roman" w:cs="Times New Roman"/>
                <w:lang w:val="ro-RO"/>
              </w:rPr>
            </w:pPr>
          </w:p>
        </w:tc>
      </w:tr>
      <w:tr w:rsidR="002F47A0" w:rsidRPr="009E686F" w14:paraId="019D19FD"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7E356E9A"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(3) ABE emite orientări în conformitate cu articolul 16 din Regulamentul (UE) nr. 1093/2010 referitoare la cadruld e administrare, procesele și mecanismele menționate la alineatul (1)din prezentul articol, ținând seama de alineatul (2).</w:t>
            </w:r>
          </w:p>
          <w:p w14:paraId="62E11071"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ABE emite orientări, în conformitate cu articolul 16 din Regulamentul (UE) nr. 1093/2010, referitoare la politica de remunerare neutră din punctul de vedere al genului, adresate instituțiilor.</w:t>
            </w:r>
          </w:p>
          <w:p w14:paraId="3CCB1C38" w14:textId="6F409AAF"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În termen de doi ani de la data publicării orientărilor menționate la al doilea paragraf, pe baza informațiilor colectate de autoritățile competente, ABE publică un raport privind aplicarea politicilor de remunerare neutre din punctul de vedere al genului de către instituții.</w:t>
            </w:r>
          </w:p>
        </w:tc>
        <w:tc>
          <w:tcPr>
            <w:tcW w:w="1928" w:type="pct"/>
            <w:gridSpan w:val="3"/>
            <w:tcBorders>
              <w:top w:val="single" w:sz="4" w:space="0" w:color="auto"/>
              <w:left w:val="single" w:sz="4" w:space="0" w:color="auto"/>
              <w:bottom w:val="single" w:sz="4" w:space="0" w:color="auto"/>
              <w:right w:val="single" w:sz="4" w:space="0" w:color="auto"/>
            </w:tcBorders>
          </w:tcPr>
          <w:p w14:paraId="57067160" w14:textId="77777777" w:rsidR="002F47A0" w:rsidRPr="009E686F" w:rsidRDefault="002F47A0" w:rsidP="002F47A0">
            <w:pPr>
              <w:spacing w:after="0"/>
              <w:jc w:val="both"/>
              <w:rPr>
                <w:rFonts w:ascii="Times New Roman" w:eastAsia="Aptos" w:hAnsi="Times New Roman" w:cs="Times New Roman"/>
                <w:kern w:val="2"/>
                <w:lang w:val="ro-MD"/>
              </w:rPr>
            </w:pPr>
          </w:p>
        </w:tc>
        <w:tc>
          <w:tcPr>
            <w:tcW w:w="470" w:type="pct"/>
            <w:tcBorders>
              <w:top w:val="single" w:sz="4" w:space="0" w:color="auto"/>
              <w:left w:val="single" w:sz="4" w:space="0" w:color="auto"/>
              <w:bottom w:val="single" w:sz="4" w:space="0" w:color="auto"/>
              <w:right w:val="single" w:sz="4" w:space="0" w:color="auto"/>
            </w:tcBorders>
          </w:tcPr>
          <w:p w14:paraId="2D385255" w14:textId="57B0647A"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Norme UE neaplicabile</w:t>
            </w:r>
          </w:p>
        </w:tc>
        <w:tc>
          <w:tcPr>
            <w:tcW w:w="806" w:type="pct"/>
            <w:tcBorders>
              <w:top w:val="single" w:sz="4" w:space="0" w:color="auto"/>
              <w:left w:val="single" w:sz="4" w:space="0" w:color="auto"/>
              <w:bottom w:val="single" w:sz="4" w:space="0" w:color="auto"/>
              <w:right w:val="single" w:sz="4" w:space="0" w:color="auto"/>
            </w:tcBorders>
          </w:tcPr>
          <w:p w14:paraId="64BB5447" w14:textId="7FFB6665"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Se referă la competențele ABE.</w:t>
            </w:r>
          </w:p>
        </w:tc>
      </w:tr>
      <w:tr w:rsidR="002F47A0" w:rsidRPr="009E686F" w14:paraId="570F45F1" w14:textId="2058EA86" w:rsidTr="00774F3E">
        <w:tc>
          <w:tcPr>
            <w:tcW w:w="1796" w:type="pct"/>
            <w:gridSpan w:val="2"/>
            <w:tcBorders>
              <w:top w:val="single" w:sz="4" w:space="0" w:color="auto"/>
              <w:left w:val="single" w:sz="4" w:space="0" w:color="auto"/>
              <w:bottom w:val="single" w:sz="4" w:space="0" w:color="auto"/>
              <w:right w:val="single" w:sz="4" w:space="0" w:color="auto"/>
            </w:tcBorders>
          </w:tcPr>
          <w:p w14:paraId="198644AB" w14:textId="77777777" w:rsidR="002F47A0" w:rsidRPr="009E686F" w:rsidRDefault="002F47A0" w:rsidP="002F47A0">
            <w:pPr>
              <w:spacing w:after="0"/>
              <w:jc w:val="both"/>
              <w:rPr>
                <w:rFonts w:ascii="Times New Roman" w:hAnsi="Times New Roman" w:cs="Times New Roman"/>
                <w:i/>
                <w:iCs/>
                <w:lang w:val="ro-RO"/>
              </w:rPr>
            </w:pPr>
            <w:r w:rsidRPr="009E686F">
              <w:rPr>
                <w:rFonts w:ascii="Times New Roman" w:hAnsi="Times New Roman" w:cs="Times New Roman"/>
                <w:i/>
                <w:iCs/>
                <w:lang w:val="ro-RO"/>
              </w:rPr>
              <w:t xml:space="preserve">Articolul 75 </w:t>
            </w:r>
          </w:p>
          <w:p w14:paraId="02034F1B" w14:textId="249C416A"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Supravegherea politicilor de remunerare</w:t>
            </w:r>
          </w:p>
        </w:tc>
        <w:tc>
          <w:tcPr>
            <w:tcW w:w="1928" w:type="pct"/>
            <w:gridSpan w:val="3"/>
            <w:tcBorders>
              <w:top w:val="single" w:sz="4" w:space="0" w:color="auto"/>
              <w:left w:val="single" w:sz="4" w:space="0" w:color="auto"/>
              <w:bottom w:val="single" w:sz="4" w:space="0" w:color="auto"/>
              <w:right w:val="single" w:sz="4" w:space="0" w:color="auto"/>
            </w:tcBorders>
          </w:tcPr>
          <w:p w14:paraId="652538AA" w14:textId="77777777" w:rsidR="002F47A0" w:rsidRPr="009E686F" w:rsidRDefault="002F47A0" w:rsidP="002F47A0">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5FFBB9AF" w14:textId="77777777" w:rsidR="002F47A0" w:rsidRPr="009E686F" w:rsidRDefault="002F47A0" w:rsidP="002F47A0">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1080C8DB" w14:textId="77777777" w:rsidR="002F47A0" w:rsidRPr="009E686F" w:rsidRDefault="002F47A0" w:rsidP="002F47A0">
            <w:pPr>
              <w:jc w:val="both"/>
              <w:rPr>
                <w:rFonts w:ascii="Times New Roman" w:hAnsi="Times New Roman" w:cs="Times New Roman"/>
                <w:lang w:val="ro-RO"/>
              </w:rPr>
            </w:pPr>
          </w:p>
        </w:tc>
      </w:tr>
      <w:tr w:rsidR="00694E61" w:rsidRPr="009E686F" w14:paraId="1E5F663D" w14:textId="785C22BD" w:rsidTr="00B22B0B">
        <w:tc>
          <w:tcPr>
            <w:tcW w:w="1796" w:type="pct"/>
            <w:gridSpan w:val="2"/>
            <w:vMerge w:val="restart"/>
            <w:tcBorders>
              <w:top w:val="single" w:sz="4" w:space="0" w:color="auto"/>
              <w:left w:val="single" w:sz="4" w:space="0" w:color="auto"/>
              <w:right w:val="single" w:sz="4" w:space="0" w:color="auto"/>
            </w:tcBorders>
          </w:tcPr>
          <w:p w14:paraId="02D7FA7A" w14:textId="77777777" w:rsidR="00694E61" w:rsidRPr="009E686F" w:rsidRDefault="00694E61" w:rsidP="002F47A0">
            <w:pPr>
              <w:spacing w:after="0"/>
              <w:jc w:val="both"/>
              <w:rPr>
                <w:rFonts w:ascii="Times New Roman" w:hAnsi="Times New Roman" w:cs="Times New Roman"/>
                <w:i/>
                <w:iCs/>
                <w:lang w:val="ro-RO"/>
              </w:rPr>
            </w:pPr>
            <w:r w:rsidRPr="009E686F">
              <w:rPr>
                <w:rFonts w:ascii="Times New Roman" w:hAnsi="Times New Roman" w:cs="Times New Roman"/>
                <w:i/>
                <w:iCs/>
                <w:lang w:val="ro-RO"/>
              </w:rPr>
              <w:t xml:space="preserve">Articolul 75 </w:t>
            </w:r>
          </w:p>
          <w:p w14:paraId="6EC28CC5" w14:textId="77777777" w:rsidR="00694E61" w:rsidRPr="009E686F" w:rsidRDefault="00694E61" w:rsidP="002F47A0">
            <w:pPr>
              <w:spacing w:after="0"/>
              <w:jc w:val="both"/>
              <w:rPr>
                <w:rFonts w:ascii="Times New Roman" w:hAnsi="Times New Roman" w:cs="Times New Roman"/>
                <w:lang w:val="ro-RO"/>
              </w:rPr>
            </w:pPr>
            <w:r w:rsidRPr="009E686F">
              <w:rPr>
                <w:rFonts w:ascii="Times New Roman" w:hAnsi="Times New Roman" w:cs="Times New Roman"/>
                <w:lang w:val="ro-RO"/>
              </w:rPr>
              <w:t>Supravegherea politicilor de remunerare</w:t>
            </w:r>
          </w:p>
          <w:p w14:paraId="4D86E2A8" w14:textId="77777777" w:rsidR="00694E61" w:rsidRPr="009E686F" w:rsidRDefault="00694E61" w:rsidP="002F47A0">
            <w:pPr>
              <w:spacing w:after="0"/>
              <w:jc w:val="both"/>
              <w:rPr>
                <w:rFonts w:ascii="Times New Roman" w:hAnsi="Times New Roman" w:cs="Times New Roman"/>
                <w:lang w:val="ro-RO"/>
              </w:rPr>
            </w:pPr>
          </w:p>
          <w:p w14:paraId="31755010" w14:textId="520CBBA1" w:rsidR="00694E61" w:rsidRPr="009E686F" w:rsidRDefault="00694E61" w:rsidP="002F47A0">
            <w:pPr>
              <w:spacing w:after="0"/>
              <w:jc w:val="both"/>
              <w:rPr>
                <w:rFonts w:ascii="Times New Roman" w:hAnsi="Times New Roman" w:cs="Times New Roman"/>
                <w:lang w:val="ro-RO"/>
              </w:rPr>
            </w:pPr>
            <w:r w:rsidRPr="009E686F">
              <w:rPr>
                <w:rFonts w:ascii="Times New Roman" w:hAnsi="Times New Roman" w:cs="Times New Roman"/>
                <w:lang w:val="ro-RO"/>
              </w:rPr>
              <w:t xml:space="preserve">(1)Autoritățile competente colectează informațiile făcute publice în conformitate cu criteriile de publicare stabilite la articolul 450 alineatul (1) literele (g), (h), (i) și (k) din Regulamentul (UE) nr. 575/2013, precum și informațiile furnizate de instituții cu privire la diferențele de remunerare între femei și bărbați și utilizează informațiile respective pentru a compara tendințele și practicile în materie de remunerare. </w:t>
            </w:r>
          </w:p>
          <w:p w14:paraId="7C8D3739" w14:textId="24CC58FF" w:rsidR="00694E61" w:rsidRPr="009E686F" w:rsidRDefault="00694E61" w:rsidP="002F47A0">
            <w:pPr>
              <w:spacing w:after="0"/>
              <w:jc w:val="both"/>
              <w:rPr>
                <w:rFonts w:ascii="Times New Roman" w:hAnsi="Times New Roman" w:cs="Times New Roman"/>
                <w:lang w:val="ro-RO"/>
              </w:rPr>
            </w:pPr>
            <w:r w:rsidRPr="009E686F">
              <w:rPr>
                <w:rFonts w:ascii="Times New Roman" w:hAnsi="Times New Roman" w:cs="Times New Roman"/>
                <w:lang w:val="ro-RO"/>
              </w:rPr>
              <w:t>Autoritățile competente furnizează ABE aceste informații.</w:t>
            </w:r>
          </w:p>
        </w:tc>
        <w:tc>
          <w:tcPr>
            <w:tcW w:w="1928" w:type="pct"/>
            <w:gridSpan w:val="3"/>
            <w:tcBorders>
              <w:top w:val="single" w:sz="4" w:space="0" w:color="auto"/>
              <w:left w:val="single" w:sz="4" w:space="0" w:color="auto"/>
              <w:bottom w:val="single" w:sz="4" w:space="0" w:color="auto"/>
              <w:right w:val="single" w:sz="4" w:space="0" w:color="auto"/>
            </w:tcBorders>
          </w:tcPr>
          <w:p w14:paraId="257E7363" w14:textId="68218A01" w:rsidR="00694E61" w:rsidRPr="009E686F" w:rsidRDefault="00694E61" w:rsidP="002F47A0">
            <w:pPr>
              <w:spacing w:after="0"/>
              <w:jc w:val="both"/>
              <w:rPr>
                <w:rFonts w:ascii="Times New Roman" w:hAnsi="Times New Roman" w:cs="Times New Roman"/>
                <w:b/>
                <w:bCs/>
                <w:lang w:val="ro-RO"/>
              </w:rPr>
            </w:pPr>
            <w:r w:rsidRPr="009E686F">
              <w:rPr>
                <w:rFonts w:ascii="Times New Roman" w:hAnsi="Times New Roman" w:cs="Times New Roman"/>
                <w:b/>
                <w:bCs/>
                <w:lang w:val="ro-RO"/>
              </w:rPr>
              <w:t>Articolul 39 alin. (5)</w:t>
            </w:r>
          </w:p>
          <w:p w14:paraId="378489A4" w14:textId="609821E2" w:rsidR="00694E61" w:rsidRPr="009E686F" w:rsidRDefault="00694E61" w:rsidP="002F47A0">
            <w:pPr>
              <w:spacing w:after="0"/>
              <w:jc w:val="both"/>
              <w:rPr>
                <w:rFonts w:ascii="Times New Roman" w:eastAsia="Times New Roman" w:hAnsi="Times New Roman" w:cs="Times New Roman"/>
                <w:lang w:val="ro-MD" w:eastAsia="ro-MD"/>
              </w:rPr>
            </w:pPr>
            <w:r w:rsidRPr="009E686F">
              <w:rPr>
                <w:rFonts w:ascii="Times New Roman" w:eastAsia="Times New Roman" w:hAnsi="Times New Roman" w:cs="Times New Roman"/>
                <w:lang w:val="ro-MD" w:eastAsia="ro-MD"/>
              </w:rPr>
              <w:t xml:space="preserve">(5) Banca Naţională a Moldovei colectează informaţiile cantitative agregate cu privire la remunerare, publicate potrivit criteriilor de transparenţă şi de publicare prevăzute în actele normative ale Băncii Naţionale a Moldovei, </w:t>
            </w:r>
            <w:r w:rsidRPr="009E686F">
              <w:rPr>
                <w:rFonts w:ascii="Times New Roman" w:eastAsia="Times New Roman" w:hAnsi="Times New Roman" w:cs="Times New Roman"/>
                <w:i/>
                <w:iCs/>
                <w:lang w:val="ro-MD" w:eastAsia="ro-MD"/>
              </w:rPr>
              <w:t>precum și informațiile furnizate de către instituții de credit privind diferențele de remunerație între membrii personalului de gen masculin și membrii personalului de gen feminin</w:t>
            </w:r>
            <w:r w:rsidRPr="009E686F">
              <w:rPr>
                <w:rFonts w:ascii="Times New Roman" w:eastAsia="Times New Roman" w:hAnsi="Times New Roman" w:cs="Times New Roman"/>
                <w:lang w:val="ro-MD" w:eastAsia="ro-MD"/>
              </w:rPr>
              <w:t xml:space="preserve"> şi le utilizează pentru a determina tendinţele şi practicile în materie de remunerare la nivelul sistemului bancar din Republica Moldova. </w:t>
            </w:r>
          </w:p>
        </w:tc>
        <w:tc>
          <w:tcPr>
            <w:tcW w:w="470" w:type="pct"/>
            <w:tcBorders>
              <w:top w:val="single" w:sz="4" w:space="0" w:color="auto"/>
              <w:left w:val="single" w:sz="4" w:space="0" w:color="auto"/>
              <w:bottom w:val="single" w:sz="4" w:space="0" w:color="auto"/>
              <w:right w:val="single" w:sz="4" w:space="0" w:color="auto"/>
            </w:tcBorders>
          </w:tcPr>
          <w:p w14:paraId="72A11FC2" w14:textId="48053C3E" w:rsidR="00694E61" w:rsidRPr="009E686F" w:rsidRDefault="00694E61" w:rsidP="002F47A0">
            <w:pPr>
              <w:jc w:val="both"/>
              <w:rPr>
                <w:rFonts w:ascii="Times New Roman" w:hAnsi="Times New Roman" w:cs="Times New Roman"/>
                <w:lang w:val="ro-RO"/>
              </w:rPr>
            </w:pPr>
            <w:r w:rsidRPr="009E686F">
              <w:rPr>
                <w:rFonts w:ascii="Times New Roman" w:hAnsi="Times New Roman" w:cs="Times New Roman"/>
                <w:lang w:val="ro-RO"/>
              </w:rPr>
              <w:t>Compatibil</w:t>
            </w:r>
          </w:p>
          <w:p w14:paraId="2A4C44BF" w14:textId="77777777" w:rsidR="00694E61" w:rsidRPr="009E686F" w:rsidRDefault="00694E61" w:rsidP="002F47A0">
            <w:pPr>
              <w:jc w:val="both"/>
              <w:rPr>
                <w:rFonts w:ascii="Times New Roman" w:hAnsi="Times New Roman" w:cs="Times New Roman"/>
                <w:lang w:val="ro-RO"/>
              </w:rPr>
            </w:pPr>
          </w:p>
          <w:p w14:paraId="4AF6232F" w14:textId="77777777" w:rsidR="00694E61" w:rsidRPr="009E686F" w:rsidRDefault="00694E61" w:rsidP="002F47A0">
            <w:pPr>
              <w:jc w:val="both"/>
              <w:rPr>
                <w:rFonts w:ascii="Times New Roman" w:hAnsi="Times New Roman" w:cs="Times New Roman"/>
                <w:lang w:val="ro-RO"/>
              </w:rPr>
            </w:pPr>
          </w:p>
          <w:p w14:paraId="5FB0AD12" w14:textId="77777777" w:rsidR="00694E61" w:rsidRPr="009E686F" w:rsidRDefault="00694E61" w:rsidP="002F47A0">
            <w:pPr>
              <w:jc w:val="both"/>
              <w:rPr>
                <w:rFonts w:ascii="Times New Roman" w:hAnsi="Times New Roman" w:cs="Times New Roman"/>
                <w:lang w:val="ro-RO"/>
              </w:rPr>
            </w:pPr>
          </w:p>
          <w:p w14:paraId="1B178AD8" w14:textId="77777777" w:rsidR="00694E61" w:rsidRPr="009E686F" w:rsidRDefault="00694E61" w:rsidP="002F47A0">
            <w:pPr>
              <w:jc w:val="both"/>
              <w:rPr>
                <w:rFonts w:ascii="Times New Roman" w:hAnsi="Times New Roman" w:cs="Times New Roman"/>
                <w:lang w:val="ro-RO"/>
              </w:rPr>
            </w:pPr>
          </w:p>
          <w:p w14:paraId="3ADCD653" w14:textId="77777777" w:rsidR="00694E61" w:rsidRPr="009E686F" w:rsidRDefault="00694E61" w:rsidP="002F47A0">
            <w:pPr>
              <w:jc w:val="both"/>
              <w:rPr>
                <w:rFonts w:ascii="Times New Roman" w:hAnsi="Times New Roman" w:cs="Times New Roman"/>
                <w:lang w:val="ro-RO"/>
              </w:rPr>
            </w:pPr>
          </w:p>
          <w:p w14:paraId="15A78399" w14:textId="77777777" w:rsidR="00694E61" w:rsidRPr="009E686F" w:rsidRDefault="00694E61" w:rsidP="002F47A0">
            <w:pPr>
              <w:jc w:val="both"/>
              <w:rPr>
                <w:rFonts w:ascii="Times New Roman" w:hAnsi="Times New Roman" w:cs="Times New Roman"/>
                <w:lang w:val="ro-RO"/>
              </w:rPr>
            </w:pPr>
          </w:p>
          <w:p w14:paraId="1B90D59B" w14:textId="5C0C079F" w:rsidR="00694E61" w:rsidRPr="009E686F" w:rsidRDefault="00694E61" w:rsidP="002F47A0">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7BB3341B" w14:textId="77777777" w:rsidR="00694E61" w:rsidRPr="009E686F" w:rsidRDefault="00694E61" w:rsidP="002F47A0">
            <w:pPr>
              <w:jc w:val="both"/>
              <w:rPr>
                <w:rFonts w:ascii="Times New Roman" w:hAnsi="Times New Roman" w:cs="Times New Roman"/>
                <w:lang w:val="ro-RO"/>
              </w:rPr>
            </w:pPr>
          </w:p>
        </w:tc>
      </w:tr>
      <w:tr w:rsidR="00694E61" w:rsidRPr="009E686F" w14:paraId="33A2612C" w14:textId="77777777" w:rsidTr="00B22B0B">
        <w:tc>
          <w:tcPr>
            <w:tcW w:w="1796" w:type="pct"/>
            <w:gridSpan w:val="2"/>
            <w:vMerge/>
            <w:tcBorders>
              <w:left w:val="single" w:sz="4" w:space="0" w:color="auto"/>
              <w:bottom w:val="single" w:sz="4" w:space="0" w:color="auto"/>
              <w:right w:val="single" w:sz="4" w:space="0" w:color="auto"/>
            </w:tcBorders>
          </w:tcPr>
          <w:p w14:paraId="0B654DC4" w14:textId="77777777" w:rsidR="00694E61" w:rsidRPr="009E686F" w:rsidRDefault="00694E61" w:rsidP="002F47A0">
            <w:pPr>
              <w:spacing w:after="0"/>
              <w:jc w:val="both"/>
              <w:rPr>
                <w:rFonts w:ascii="Times New Roman" w:hAnsi="Times New Roman" w:cs="Times New Roman"/>
                <w:i/>
                <w:iCs/>
                <w:lang w:val="ro-RO"/>
              </w:rPr>
            </w:pPr>
          </w:p>
        </w:tc>
        <w:tc>
          <w:tcPr>
            <w:tcW w:w="1928" w:type="pct"/>
            <w:gridSpan w:val="3"/>
            <w:tcBorders>
              <w:top w:val="single" w:sz="4" w:space="0" w:color="auto"/>
              <w:left w:val="single" w:sz="4" w:space="0" w:color="auto"/>
              <w:bottom w:val="single" w:sz="4" w:space="0" w:color="auto"/>
              <w:right w:val="single" w:sz="4" w:space="0" w:color="auto"/>
            </w:tcBorders>
          </w:tcPr>
          <w:p w14:paraId="486515B8" w14:textId="3102DEA9" w:rsidR="00694E61" w:rsidRPr="009E686F" w:rsidRDefault="00694E61" w:rsidP="002F47A0">
            <w:pPr>
              <w:spacing w:after="0"/>
              <w:jc w:val="both"/>
              <w:rPr>
                <w:rFonts w:ascii="Times New Roman" w:hAnsi="Times New Roman" w:cs="Times New Roman"/>
                <w:b/>
                <w:bCs/>
                <w:lang w:val="ro-RO"/>
              </w:rPr>
            </w:pPr>
            <w:r w:rsidRPr="009E686F">
              <w:rPr>
                <w:rFonts w:ascii="Times New Roman" w:eastAsia="Times New Roman" w:hAnsi="Times New Roman" w:cs="Times New Roman"/>
                <w:i/>
                <w:iCs/>
                <w:lang w:val="ro-MD" w:eastAsia="ro-MD"/>
              </w:rPr>
              <w:t>Banca Națională a Moldovei comunică aceste informații Autorității Bancare Europene.</w:t>
            </w:r>
          </w:p>
        </w:tc>
        <w:tc>
          <w:tcPr>
            <w:tcW w:w="470" w:type="pct"/>
            <w:tcBorders>
              <w:top w:val="single" w:sz="4" w:space="0" w:color="auto"/>
              <w:left w:val="single" w:sz="4" w:space="0" w:color="auto"/>
              <w:bottom w:val="single" w:sz="4" w:space="0" w:color="auto"/>
              <w:right w:val="single" w:sz="4" w:space="0" w:color="auto"/>
            </w:tcBorders>
          </w:tcPr>
          <w:p w14:paraId="68FF128D" w14:textId="6CD9CAA1" w:rsidR="00694E61" w:rsidRPr="009E686F" w:rsidRDefault="00694E61" w:rsidP="002F47A0">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1C779BD8" w14:textId="026EC94E" w:rsidR="00694E61" w:rsidRPr="009E686F" w:rsidRDefault="00694E61" w:rsidP="00694E61">
            <w:r w:rsidRPr="009E686F">
              <w:rPr>
                <w:rFonts w:ascii="Times New Roman" w:hAnsi="Times New Roman" w:cs="Times New Roman"/>
                <w:lang w:val="ro-RO"/>
              </w:rPr>
              <w:t>În vigoare – data aderării.</w:t>
            </w:r>
          </w:p>
        </w:tc>
      </w:tr>
      <w:tr w:rsidR="002F47A0" w:rsidRPr="009E686F" w14:paraId="29F0FA4C" w14:textId="7C4C68CB" w:rsidTr="00774F3E">
        <w:tc>
          <w:tcPr>
            <w:tcW w:w="1796" w:type="pct"/>
            <w:gridSpan w:val="2"/>
            <w:tcBorders>
              <w:top w:val="single" w:sz="4" w:space="0" w:color="auto"/>
              <w:left w:val="single" w:sz="4" w:space="0" w:color="auto"/>
              <w:bottom w:val="single" w:sz="4" w:space="0" w:color="auto"/>
              <w:right w:val="single" w:sz="4" w:space="0" w:color="auto"/>
            </w:tcBorders>
          </w:tcPr>
          <w:p w14:paraId="14E24579" w14:textId="52F2899B"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 xml:space="preserve">(2) ABE emite orientări cu privire la politicile de remunerare viabile care sunt conforme cu principiile prevăzute la articolele 92-95. Aceste orientări trebuie să țină seama de principiile privind politicile de remunerare viabile din Recomandarea 2009/384/CE a Comisiei din 30 aprilie 2009 privind politicile de remunerare în sectorul serviciilor financiare. </w:t>
            </w:r>
          </w:p>
        </w:tc>
        <w:tc>
          <w:tcPr>
            <w:tcW w:w="1928" w:type="pct"/>
            <w:gridSpan w:val="3"/>
            <w:tcBorders>
              <w:top w:val="single" w:sz="4" w:space="0" w:color="auto"/>
              <w:left w:val="single" w:sz="4" w:space="0" w:color="auto"/>
              <w:bottom w:val="single" w:sz="4" w:space="0" w:color="auto"/>
              <w:right w:val="single" w:sz="4" w:space="0" w:color="auto"/>
            </w:tcBorders>
          </w:tcPr>
          <w:p w14:paraId="751DD24A" w14:textId="0D021BD7" w:rsidR="002F47A0" w:rsidRPr="009E686F" w:rsidRDefault="002F47A0" w:rsidP="002F47A0">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3C454532" w14:textId="67BE44A5"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Norme UE neaplicabile</w:t>
            </w:r>
          </w:p>
          <w:p w14:paraId="14194ECE" w14:textId="72C9F24A" w:rsidR="002F47A0" w:rsidRPr="009E686F" w:rsidRDefault="002F47A0" w:rsidP="002F47A0">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2DC2FB6E" w14:textId="441FFC20" w:rsidR="002F47A0" w:rsidRPr="009E686F" w:rsidRDefault="002F47A0" w:rsidP="002F47A0">
            <w:pPr>
              <w:jc w:val="both"/>
              <w:rPr>
                <w:lang w:val="it-CH"/>
              </w:rPr>
            </w:pPr>
            <w:r w:rsidRPr="009E686F">
              <w:rPr>
                <w:rFonts w:ascii="Times New Roman" w:hAnsi="Times New Roman" w:cs="Times New Roman"/>
                <w:lang w:val="ro-RO"/>
              </w:rPr>
              <w:t>Se referă la competențele ABE.</w:t>
            </w:r>
          </w:p>
        </w:tc>
      </w:tr>
      <w:tr w:rsidR="002F47A0" w:rsidRPr="009E686F" w14:paraId="561EDD20" w14:textId="044B7DC8" w:rsidTr="00774F3E">
        <w:tc>
          <w:tcPr>
            <w:tcW w:w="1796" w:type="pct"/>
            <w:gridSpan w:val="2"/>
            <w:tcBorders>
              <w:top w:val="single" w:sz="4" w:space="0" w:color="auto"/>
              <w:left w:val="single" w:sz="4" w:space="0" w:color="auto"/>
              <w:bottom w:val="single" w:sz="4" w:space="0" w:color="auto"/>
              <w:right w:val="single" w:sz="4" w:space="0" w:color="auto"/>
            </w:tcBorders>
          </w:tcPr>
          <w:p w14:paraId="1821D722"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AEVMP colaborează strâns cu ABE pentru a elabora orientări cu privire la politicile de remunerare pentru categoriile de personal implicate în furnizarea de servicii și activități de investiții în sensul punctului 2 de la articolul 4 alineatul (1) din Directiva 2004/39/CE.</w:t>
            </w:r>
          </w:p>
          <w:p w14:paraId="65314972" w14:textId="6546E6AD"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ABE utilizează informațiile primite de la autoritățile competente în conformitate cu alineatul (1) pentru a compara tendințele și practicile de remunerare la nivelul Uniunii.</w:t>
            </w:r>
          </w:p>
        </w:tc>
        <w:tc>
          <w:tcPr>
            <w:tcW w:w="1928" w:type="pct"/>
            <w:gridSpan w:val="3"/>
            <w:tcBorders>
              <w:top w:val="single" w:sz="4" w:space="0" w:color="auto"/>
              <w:left w:val="single" w:sz="4" w:space="0" w:color="auto"/>
              <w:bottom w:val="single" w:sz="4" w:space="0" w:color="auto"/>
              <w:right w:val="single" w:sz="4" w:space="0" w:color="auto"/>
            </w:tcBorders>
          </w:tcPr>
          <w:p w14:paraId="34441092" w14:textId="77777777" w:rsidR="002F47A0" w:rsidRPr="009E686F" w:rsidRDefault="002F47A0" w:rsidP="002F47A0">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41B4EA1B" w14:textId="76E5A23F"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Norme UE neaplicabile</w:t>
            </w:r>
          </w:p>
          <w:p w14:paraId="323C809D" w14:textId="0225B19B" w:rsidR="002F47A0" w:rsidRPr="009E686F" w:rsidRDefault="002F47A0" w:rsidP="002F47A0">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76759707" w14:textId="46D358C2"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Se referă la competențele ABE.</w:t>
            </w:r>
          </w:p>
        </w:tc>
      </w:tr>
      <w:tr w:rsidR="00F206DC" w:rsidRPr="009E686F" w14:paraId="7B0F1C6E" w14:textId="7FE30A54" w:rsidTr="006F1281">
        <w:tc>
          <w:tcPr>
            <w:tcW w:w="1796" w:type="pct"/>
            <w:gridSpan w:val="2"/>
            <w:vMerge w:val="restart"/>
            <w:tcBorders>
              <w:top w:val="single" w:sz="4" w:space="0" w:color="auto"/>
              <w:left w:val="single" w:sz="4" w:space="0" w:color="auto"/>
              <w:right w:val="single" w:sz="4" w:space="0" w:color="auto"/>
            </w:tcBorders>
          </w:tcPr>
          <w:p w14:paraId="5D2FB3D2" w14:textId="77777777" w:rsidR="00F206DC" w:rsidRPr="009E686F" w:rsidRDefault="00F206DC" w:rsidP="002F47A0">
            <w:pPr>
              <w:spacing w:after="0"/>
              <w:jc w:val="both"/>
              <w:rPr>
                <w:rFonts w:ascii="Times New Roman" w:hAnsi="Times New Roman" w:cs="Times New Roman"/>
                <w:lang w:val="ro-RO"/>
              </w:rPr>
            </w:pPr>
            <w:r w:rsidRPr="009E686F">
              <w:rPr>
                <w:rFonts w:ascii="Times New Roman" w:hAnsi="Times New Roman" w:cs="Times New Roman"/>
                <w:lang w:val="ro-RO"/>
              </w:rPr>
              <w:t xml:space="preserve">(3) Autoritățile competente colectează informații privind numărul persoanelor fizice de la nivelul unei instituții a căror remunerație este de 1 milion de euro sau mai mult pentru un exercițiu financiar, incluzând responsabilitățile de serviciu, sectorul operațional în cauză, principalele elemente ale salariului, primele, indemnizațiile pe termen lung și contribuția la pensie. </w:t>
            </w:r>
          </w:p>
          <w:p w14:paraId="23F3F125" w14:textId="77777777" w:rsidR="00F206DC" w:rsidRPr="009E686F" w:rsidRDefault="00F206DC" w:rsidP="002F47A0">
            <w:pPr>
              <w:spacing w:after="0"/>
              <w:jc w:val="both"/>
              <w:rPr>
                <w:rFonts w:ascii="Times New Roman" w:hAnsi="Times New Roman" w:cs="Times New Roman"/>
                <w:lang w:val="ro-RO"/>
              </w:rPr>
            </w:pPr>
          </w:p>
          <w:p w14:paraId="75AB12B5" w14:textId="0C1886B1" w:rsidR="00F206DC" w:rsidRPr="009E686F" w:rsidRDefault="00F206DC" w:rsidP="002F47A0">
            <w:pPr>
              <w:spacing w:after="0"/>
              <w:jc w:val="both"/>
              <w:rPr>
                <w:rFonts w:ascii="Times New Roman" w:hAnsi="Times New Roman" w:cs="Times New Roman"/>
                <w:lang w:val="ro-RO"/>
              </w:rPr>
            </w:pPr>
            <w:r w:rsidRPr="009E686F">
              <w:rPr>
                <w:rFonts w:ascii="Times New Roman" w:hAnsi="Times New Roman" w:cs="Times New Roman"/>
                <w:lang w:val="ro-RO"/>
              </w:rPr>
              <w:t xml:space="preserve">Aceste informații se transmit la ABE, care le publică la nivel agregat pentru fiecare stat membru de origine, într-un format de raportare comun. ABE poate elabora linii </w:t>
            </w:r>
            <w:r w:rsidRPr="009E686F">
              <w:rPr>
                <w:rFonts w:ascii="Times New Roman" w:hAnsi="Times New Roman" w:cs="Times New Roman"/>
                <w:lang w:val="ro-RO"/>
              </w:rPr>
              <w:lastRenderedPageBreak/>
              <w:t>directoare pentru a facilita punerea în aplicare a acestui paragraf și a asigura consecvența informațiilor colectate.</w:t>
            </w:r>
          </w:p>
        </w:tc>
        <w:tc>
          <w:tcPr>
            <w:tcW w:w="1928" w:type="pct"/>
            <w:gridSpan w:val="3"/>
            <w:tcBorders>
              <w:top w:val="single" w:sz="4" w:space="0" w:color="auto"/>
              <w:left w:val="single" w:sz="4" w:space="0" w:color="auto"/>
              <w:bottom w:val="single" w:sz="4" w:space="0" w:color="auto"/>
              <w:right w:val="single" w:sz="4" w:space="0" w:color="auto"/>
            </w:tcBorders>
          </w:tcPr>
          <w:p w14:paraId="787B9C29" w14:textId="77777777" w:rsidR="00F206DC" w:rsidRPr="009E686F" w:rsidRDefault="00F206DC" w:rsidP="002F47A0">
            <w:pPr>
              <w:spacing w:after="0"/>
              <w:jc w:val="both"/>
              <w:rPr>
                <w:rFonts w:ascii="Times New Roman" w:hAnsi="Times New Roman" w:cs="Times New Roman"/>
                <w:b/>
                <w:bCs/>
                <w:lang w:val="ro-RO"/>
              </w:rPr>
            </w:pPr>
            <w:r w:rsidRPr="009E686F">
              <w:rPr>
                <w:rFonts w:ascii="Times New Roman" w:hAnsi="Times New Roman" w:cs="Times New Roman"/>
                <w:b/>
                <w:bCs/>
                <w:lang w:val="ro-RO"/>
              </w:rPr>
              <w:lastRenderedPageBreak/>
              <w:t>Articolul 39 alin. (4)</w:t>
            </w:r>
          </w:p>
          <w:p w14:paraId="08E065DD" w14:textId="321A774B" w:rsidR="00F206DC" w:rsidRPr="009E686F" w:rsidRDefault="00F206DC" w:rsidP="002F47A0">
            <w:pPr>
              <w:spacing w:after="0"/>
              <w:jc w:val="both"/>
              <w:rPr>
                <w:rFonts w:ascii="Times New Roman" w:hAnsi="Times New Roman" w:cs="Times New Roman"/>
                <w:lang w:val="ro-RO"/>
              </w:rPr>
            </w:pPr>
            <w:r w:rsidRPr="009E686F">
              <w:rPr>
                <w:rFonts w:ascii="Times New Roman" w:eastAsia="Times New Roman" w:hAnsi="Times New Roman" w:cs="Times New Roman"/>
                <w:lang w:val="ro-RO" w:eastAsia="ro-MD"/>
              </w:rPr>
              <w:t xml:space="preserve">(4) Banca Naţională a Moldovei colectează informaţii cu privire la numărul persoanelor în fiecare </w:t>
            </w:r>
            <w:r w:rsidRPr="009E686F">
              <w:rPr>
                <w:rFonts w:ascii="Times New Roman" w:eastAsia="Times New Roman" w:hAnsi="Times New Roman" w:cs="Times New Roman"/>
                <w:i/>
                <w:lang w:val="ro-RO" w:eastAsia="ro-MD"/>
              </w:rPr>
              <w:t>instituție de credit</w:t>
            </w:r>
            <w:r w:rsidRPr="009E686F">
              <w:rPr>
                <w:rFonts w:ascii="Times New Roman" w:eastAsia="Times New Roman" w:hAnsi="Times New Roman" w:cs="Times New Roman"/>
                <w:lang w:val="ro-RO" w:eastAsia="ro-MD"/>
              </w:rPr>
              <w:t xml:space="preserve">  care sunt remunerate </w:t>
            </w:r>
            <w:r w:rsidRPr="009E686F">
              <w:rPr>
                <w:rFonts w:ascii="Times New Roman" w:eastAsia="Times New Roman" w:hAnsi="Times New Roman" w:cs="Times New Roman"/>
                <w:i/>
                <w:lang w:val="ro-RO" w:eastAsia="ro-MD"/>
              </w:rPr>
              <w:t>cu echivalentul în lei moldovenești a cel puţin 1 milion de  euro</w:t>
            </w:r>
            <w:r w:rsidRPr="009E686F">
              <w:rPr>
                <w:rFonts w:ascii="Times New Roman" w:eastAsia="Times New Roman" w:hAnsi="Times New Roman" w:cs="Times New Roman"/>
                <w:lang w:val="ro-RO" w:eastAsia="ro-MD"/>
              </w:rPr>
              <w:t xml:space="preserve"> într-o perioadă de gestiune, </w:t>
            </w:r>
            <w:r w:rsidRPr="009E686F">
              <w:rPr>
                <w:rFonts w:ascii="Times New Roman" w:eastAsia="Times New Roman" w:hAnsi="Times New Roman" w:cs="Times New Roman"/>
                <w:i/>
                <w:lang w:val="ro-RO" w:eastAsia="ro-MD"/>
              </w:rPr>
              <w:t>defalcate pe intervale valorice echivalente în lei moldovenești a 1 milion euro</w:t>
            </w:r>
            <w:r w:rsidRPr="009E686F">
              <w:rPr>
                <w:rFonts w:ascii="Times New Roman" w:eastAsia="Times New Roman" w:hAnsi="Times New Roman" w:cs="Times New Roman"/>
                <w:lang w:val="ro-RO" w:eastAsia="ro-MD"/>
              </w:rPr>
              <w:t xml:space="preserve">, inclusiv informaţii cu privire la responsabilităţile şi domeniul de activitate în care sunt implicate aceste persoane şi la principalele elemente ale remuneraţiei, incluzînd salarii, bonusuri, compensaţii pe termen lung şi contribuţii la pensii, fără a se limita la acestea. </w:t>
            </w:r>
          </w:p>
        </w:tc>
        <w:tc>
          <w:tcPr>
            <w:tcW w:w="470" w:type="pct"/>
            <w:tcBorders>
              <w:top w:val="single" w:sz="4" w:space="0" w:color="auto"/>
              <w:left w:val="single" w:sz="4" w:space="0" w:color="auto"/>
              <w:bottom w:val="single" w:sz="4" w:space="0" w:color="auto"/>
              <w:right w:val="single" w:sz="4" w:space="0" w:color="auto"/>
            </w:tcBorders>
          </w:tcPr>
          <w:p w14:paraId="23B085AF" w14:textId="0BE4FE61" w:rsidR="00F206DC" w:rsidRPr="009E686F" w:rsidRDefault="00F206DC" w:rsidP="002F47A0">
            <w:pPr>
              <w:jc w:val="both"/>
              <w:rPr>
                <w:rFonts w:ascii="Times New Roman" w:hAnsi="Times New Roman" w:cs="Times New Roman"/>
                <w:lang w:val="ro-RO"/>
              </w:rPr>
            </w:pPr>
            <w:r w:rsidRPr="009E686F">
              <w:rPr>
                <w:rFonts w:ascii="Times New Roman" w:hAnsi="Times New Roman" w:cs="Times New Roman"/>
                <w:lang w:val="ro-RO"/>
              </w:rPr>
              <w:t>Compatibil</w:t>
            </w:r>
          </w:p>
          <w:p w14:paraId="46055F78" w14:textId="77777777" w:rsidR="00F206DC" w:rsidRPr="009E686F" w:rsidRDefault="00F206DC" w:rsidP="002F47A0">
            <w:pPr>
              <w:jc w:val="both"/>
              <w:rPr>
                <w:rFonts w:ascii="Times New Roman" w:hAnsi="Times New Roman" w:cs="Times New Roman"/>
                <w:lang w:val="ro-RO"/>
              </w:rPr>
            </w:pPr>
          </w:p>
          <w:p w14:paraId="572C50B7" w14:textId="77777777" w:rsidR="00F206DC" w:rsidRPr="009E686F" w:rsidRDefault="00F206DC" w:rsidP="002F47A0">
            <w:pPr>
              <w:jc w:val="both"/>
              <w:rPr>
                <w:rFonts w:ascii="Times New Roman" w:hAnsi="Times New Roman" w:cs="Times New Roman"/>
                <w:lang w:val="ro-RO"/>
              </w:rPr>
            </w:pPr>
          </w:p>
          <w:p w14:paraId="5A215951" w14:textId="77777777" w:rsidR="00F206DC" w:rsidRPr="009E686F" w:rsidRDefault="00F206DC" w:rsidP="002F47A0">
            <w:pPr>
              <w:jc w:val="both"/>
              <w:rPr>
                <w:rFonts w:ascii="Times New Roman" w:hAnsi="Times New Roman" w:cs="Times New Roman"/>
                <w:lang w:val="ro-RO"/>
              </w:rPr>
            </w:pPr>
          </w:p>
          <w:p w14:paraId="4C6C544A" w14:textId="77777777" w:rsidR="00F206DC" w:rsidRPr="009E686F" w:rsidRDefault="00F206DC" w:rsidP="002F47A0">
            <w:pPr>
              <w:jc w:val="both"/>
              <w:rPr>
                <w:rFonts w:ascii="Times New Roman" w:hAnsi="Times New Roman" w:cs="Times New Roman"/>
                <w:lang w:val="ro-RO"/>
              </w:rPr>
            </w:pPr>
          </w:p>
          <w:p w14:paraId="72EA68E1" w14:textId="77777777" w:rsidR="00F206DC" w:rsidRPr="009E686F" w:rsidRDefault="00F206DC" w:rsidP="002F47A0">
            <w:pPr>
              <w:jc w:val="both"/>
              <w:rPr>
                <w:rFonts w:ascii="Times New Roman" w:hAnsi="Times New Roman" w:cs="Times New Roman"/>
                <w:lang w:val="ro-RO"/>
              </w:rPr>
            </w:pPr>
          </w:p>
          <w:p w14:paraId="25C68350" w14:textId="77777777" w:rsidR="00F206DC" w:rsidRPr="009E686F" w:rsidRDefault="00F206DC" w:rsidP="002F47A0">
            <w:pPr>
              <w:jc w:val="both"/>
              <w:rPr>
                <w:rFonts w:ascii="Times New Roman" w:hAnsi="Times New Roman" w:cs="Times New Roman"/>
                <w:lang w:val="ro-RO"/>
              </w:rPr>
            </w:pPr>
          </w:p>
          <w:p w14:paraId="17538B2E" w14:textId="12F72BCA" w:rsidR="00F206DC" w:rsidRPr="009E686F" w:rsidRDefault="00F206DC" w:rsidP="002F47A0">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39CFD2A5" w14:textId="77777777" w:rsidR="00F206DC" w:rsidRPr="009E686F" w:rsidRDefault="00F206DC" w:rsidP="002F47A0">
            <w:pPr>
              <w:jc w:val="both"/>
              <w:rPr>
                <w:rFonts w:ascii="Times New Roman" w:hAnsi="Times New Roman" w:cs="Times New Roman"/>
                <w:lang w:val="ro-RO"/>
              </w:rPr>
            </w:pPr>
          </w:p>
        </w:tc>
      </w:tr>
      <w:tr w:rsidR="00F206DC" w:rsidRPr="009E686F" w14:paraId="5A7CA36E" w14:textId="77777777" w:rsidTr="006F1281">
        <w:tc>
          <w:tcPr>
            <w:tcW w:w="1796" w:type="pct"/>
            <w:gridSpan w:val="2"/>
            <w:vMerge/>
            <w:tcBorders>
              <w:left w:val="single" w:sz="4" w:space="0" w:color="auto"/>
              <w:bottom w:val="single" w:sz="4" w:space="0" w:color="auto"/>
              <w:right w:val="single" w:sz="4" w:space="0" w:color="auto"/>
            </w:tcBorders>
          </w:tcPr>
          <w:p w14:paraId="386496B6" w14:textId="77777777" w:rsidR="00F206DC" w:rsidRPr="009E686F" w:rsidRDefault="00F206DC" w:rsidP="002F47A0">
            <w:pPr>
              <w:spacing w:after="0"/>
              <w:jc w:val="both"/>
              <w:rPr>
                <w:rFonts w:ascii="Times New Roman" w:hAnsi="Times New Roman" w:cs="Times New Roman"/>
                <w:lang w:val="ro-RO"/>
              </w:rPr>
            </w:pPr>
          </w:p>
        </w:tc>
        <w:tc>
          <w:tcPr>
            <w:tcW w:w="1928" w:type="pct"/>
            <w:gridSpan w:val="3"/>
            <w:tcBorders>
              <w:top w:val="single" w:sz="4" w:space="0" w:color="auto"/>
              <w:left w:val="single" w:sz="4" w:space="0" w:color="auto"/>
              <w:bottom w:val="single" w:sz="4" w:space="0" w:color="auto"/>
              <w:right w:val="single" w:sz="4" w:space="0" w:color="auto"/>
            </w:tcBorders>
          </w:tcPr>
          <w:p w14:paraId="05F6841C" w14:textId="21B1ABA8" w:rsidR="00F206DC" w:rsidRPr="009E686F" w:rsidRDefault="00F206DC" w:rsidP="002F47A0">
            <w:pPr>
              <w:spacing w:after="0"/>
              <w:jc w:val="both"/>
              <w:rPr>
                <w:rFonts w:ascii="Times New Roman" w:hAnsi="Times New Roman" w:cs="Times New Roman"/>
                <w:b/>
                <w:bCs/>
                <w:lang w:val="ro-RO"/>
              </w:rPr>
            </w:pPr>
            <w:r w:rsidRPr="009E686F">
              <w:rPr>
                <w:rFonts w:ascii="Times New Roman" w:eastAsia="Times New Roman" w:hAnsi="Times New Roman" w:cs="Times New Roman"/>
                <w:i/>
                <w:iCs/>
                <w:lang w:val="it-CH" w:eastAsia="ro-MD"/>
              </w:rPr>
              <w:t>Banca Națională a Moldovei comunică aceste informații Autorității Bancare Europene</w:t>
            </w:r>
            <w:r w:rsidRPr="009E686F">
              <w:rPr>
                <w:rFonts w:ascii="Times New Roman" w:eastAsia="Times New Roman" w:hAnsi="Times New Roman" w:cs="Times New Roman"/>
                <w:lang w:val="it-CH" w:eastAsia="ro-MD"/>
              </w:rPr>
              <w:t>.</w:t>
            </w:r>
          </w:p>
        </w:tc>
        <w:tc>
          <w:tcPr>
            <w:tcW w:w="470" w:type="pct"/>
            <w:tcBorders>
              <w:top w:val="single" w:sz="4" w:space="0" w:color="auto"/>
              <w:left w:val="single" w:sz="4" w:space="0" w:color="auto"/>
              <w:bottom w:val="single" w:sz="4" w:space="0" w:color="auto"/>
              <w:right w:val="single" w:sz="4" w:space="0" w:color="auto"/>
            </w:tcBorders>
          </w:tcPr>
          <w:p w14:paraId="5D36DE4B" w14:textId="78E5C0C4" w:rsidR="00F206DC" w:rsidRPr="009E686F" w:rsidRDefault="00F206DC" w:rsidP="002F47A0">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1CFABEF6" w14:textId="472CCED5" w:rsidR="00F206DC" w:rsidRPr="009E686F" w:rsidRDefault="00F206DC" w:rsidP="00F206DC">
            <w:r w:rsidRPr="009E686F">
              <w:rPr>
                <w:rFonts w:ascii="Times New Roman" w:hAnsi="Times New Roman" w:cs="Times New Roman"/>
                <w:lang w:val="ro-RO"/>
              </w:rPr>
              <w:t>În vigoare – data aderării.</w:t>
            </w:r>
          </w:p>
        </w:tc>
      </w:tr>
      <w:tr w:rsidR="002F47A0" w:rsidRPr="009E686F" w14:paraId="6F3C8D1B" w14:textId="3F4E0625" w:rsidTr="003C1648">
        <w:tc>
          <w:tcPr>
            <w:tcW w:w="5000" w:type="pct"/>
            <w:gridSpan w:val="7"/>
            <w:tcBorders>
              <w:top w:val="single" w:sz="4" w:space="0" w:color="auto"/>
              <w:left w:val="single" w:sz="4" w:space="0" w:color="auto"/>
              <w:bottom w:val="single" w:sz="4" w:space="0" w:color="auto"/>
              <w:right w:val="single" w:sz="4" w:space="0" w:color="auto"/>
            </w:tcBorders>
          </w:tcPr>
          <w:p w14:paraId="02102C66" w14:textId="77777777" w:rsidR="002F47A0" w:rsidRPr="009E686F" w:rsidRDefault="002F47A0" w:rsidP="002F47A0">
            <w:pPr>
              <w:spacing w:after="0"/>
              <w:jc w:val="both"/>
              <w:rPr>
                <w:rFonts w:ascii="Times New Roman" w:hAnsi="Times New Roman" w:cs="Times New Roman"/>
                <w:bCs/>
                <w:lang w:val="ro-RO"/>
              </w:rPr>
            </w:pPr>
            <w:r w:rsidRPr="009E686F">
              <w:rPr>
                <w:rFonts w:ascii="Times New Roman" w:hAnsi="Times New Roman" w:cs="Times New Roman"/>
                <w:bCs/>
                <w:lang w:val="ro-RO"/>
              </w:rPr>
              <w:t>Subsecțiunea 2</w:t>
            </w:r>
          </w:p>
          <w:p w14:paraId="0CD607F3" w14:textId="4C0FD882"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b/>
                <w:lang w:val="ro-RO"/>
              </w:rPr>
              <w:t>Criterii tehnice privind organizarea și tratarea riscurilor</w:t>
            </w:r>
          </w:p>
        </w:tc>
      </w:tr>
      <w:tr w:rsidR="002F47A0" w:rsidRPr="009E686F" w14:paraId="7EE14FEF" w14:textId="71084A45" w:rsidTr="00774F3E">
        <w:tc>
          <w:tcPr>
            <w:tcW w:w="1796" w:type="pct"/>
            <w:gridSpan w:val="2"/>
            <w:tcBorders>
              <w:top w:val="single" w:sz="4" w:space="0" w:color="auto"/>
              <w:left w:val="single" w:sz="4" w:space="0" w:color="auto"/>
              <w:bottom w:val="single" w:sz="4" w:space="0" w:color="auto"/>
              <w:right w:val="single" w:sz="4" w:space="0" w:color="auto"/>
            </w:tcBorders>
          </w:tcPr>
          <w:p w14:paraId="053A4F79" w14:textId="77777777" w:rsidR="002F47A0" w:rsidRPr="009E686F" w:rsidRDefault="002F47A0" w:rsidP="002F47A0">
            <w:pPr>
              <w:spacing w:after="0"/>
              <w:jc w:val="both"/>
              <w:rPr>
                <w:rFonts w:ascii="Times New Roman" w:hAnsi="Times New Roman" w:cs="Times New Roman"/>
                <w:i/>
                <w:iCs/>
                <w:lang w:val="ro-RO"/>
              </w:rPr>
            </w:pPr>
            <w:r w:rsidRPr="009E686F">
              <w:rPr>
                <w:rFonts w:ascii="Times New Roman" w:hAnsi="Times New Roman" w:cs="Times New Roman"/>
                <w:i/>
                <w:iCs/>
                <w:lang w:val="ro-RO"/>
              </w:rPr>
              <w:t xml:space="preserve">Articolul 76 </w:t>
            </w:r>
          </w:p>
          <w:p w14:paraId="32D036B0" w14:textId="5982AD2C"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Tratarea riscurilor</w:t>
            </w:r>
          </w:p>
        </w:tc>
        <w:tc>
          <w:tcPr>
            <w:tcW w:w="1928" w:type="pct"/>
            <w:gridSpan w:val="3"/>
            <w:tcBorders>
              <w:top w:val="single" w:sz="4" w:space="0" w:color="auto"/>
              <w:left w:val="single" w:sz="4" w:space="0" w:color="auto"/>
              <w:bottom w:val="single" w:sz="4" w:space="0" w:color="auto"/>
              <w:right w:val="single" w:sz="4" w:space="0" w:color="auto"/>
            </w:tcBorders>
          </w:tcPr>
          <w:p w14:paraId="2F16CE8D" w14:textId="77777777" w:rsidR="002F47A0" w:rsidRPr="009E686F" w:rsidRDefault="002F47A0" w:rsidP="002F47A0">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18FEB7E3" w14:textId="77777777" w:rsidR="002F47A0" w:rsidRPr="009E686F" w:rsidRDefault="002F47A0" w:rsidP="002F47A0">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199F2218" w14:textId="77777777" w:rsidR="002F47A0" w:rsidRPr="009E686F" w:rsidRDefault="002F47A0" w:rsidP="002F47A0">
            <w:pPr>
              <w:jc w:val="both"/>
              <w:rPr>
                <w:rFonts w:ascii="Times New Roman" w:hAnsi="Times New Roman" w:cs="Times New Roman"/>
                <w:lang w:val="ro-RO"/>
              </w:rPr>
            </w:pPr>
          </w:p>
        </w:tc>
      </w:tr>
      <w:tr w:rsidR="002F47A0" w:rsidRPr="009E686F" w14:paraId="70F729C6" w14:textId="7C32CE29" w:rsidTr="00774F3E">
        <w:tc>
          <w:tcPr>
            <w:tcW w:w="1796" w:type="pct"/>
            <w:gridSpan w:val="2"/>
            <w:tcBorders>
              <w:top w:val="single" w:sz="4" w:space="0" w:color="auto"/>
              <w:left w:val="single" w:sz="4" w:space="0" w:color="auto"/>
              <w:bottom w:val="single" w:sz="4" w:space="0" w:color="auto"/>
              <w:right w:val="single" w:sz="4" w:space="0" w:color="auto"/>
            </w:tcBorders>
          </w:tcPr>
          <w:p w14:paraId="22828CDC" w14:textId="32AB9542" w:rsidR="002F47A0" w:rsidRPr="009E686F" w:rsidRDefault="002F47A0" w:rsidP="002F47A0">
            <w:pPr>
              <w:spacing w:after="0"/>
              <w:jc w:val="both"/>
              <w:rPr>
                <w:rFonts w:ascii="Times New Roman" w:hAnsi="Times New Roman" w:cs="Times New Roman"/>
                <w:lang w:val="ro-RO"/>
              </w:rPr>
            </w:pPr>
            <w:bookmarkStart w:id="23" w:name="_Hlk206679718"/>
            <w:r w:rsidRPr="009E686F">
              <w:rPr>
                <w:rFonts w:ascii="Times New Roman" w:hAnsi="Times New Roman" w:cs="Times New Roman"/>
                <w:lang w:val="ro-RO"/>
              </w:rPr>
              <w:t>(1)Statele membre se asigură că organul de conducere aprobă și, cel puțin o dată la doi ani, examinează strategiile și politicile de asumare, gestionare, monitorizare și diminuare a riscurilor la care instituția este expusă sau ar putea fi expusă, inclusiv a riscurilor determinate de mediul macroeconomic în care instituția respectivă își desfășoară activitatea, ținând cont de stadiul ciclului economic și a riscurilor care rezultă din impactul actual și pe termen scurt, mediu și lung al factorilor de mediu, sociali și de guvernanță (ESG).</w:t>
            </w:r>
          </w:p>
          <w:bookmarkEnd w:id="23"/>
          <w:p w14:paraId="7E56FFC1" w14:textId="77777777" w:rsidR="002F47A0" w:rsidRPr="009E686F" w:rsidRDefault="002F47A0" w:rsidP="002F47A0">
            <w:pPr>
              <w:spacing w:after="0"/>
              <w:jc w:val="both"/>
              <w:rPr>
                <w:rFonts w:ascii="Times New Roman" w:hAnsi="Times New Roman" w:cs="Times New Roman"/>
                <w:lang w:val="ro-RO"/>
              </w:rPr>
            </w:pPr>
          </w:p>
          <w:p w14:paraId="33B9DA25" w14:textId="30207B6D"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Statele membre, ținând seama de principiul proporționalității, pot să permită organelor de conducere ale instituțiilor mici și cu un grad redus de complexitate să examineze strategiile și politicile menționate la primul paragraf o dată la doi ani.</w:t>
            </w:r>
          </w:p>
        </w:tc>
        <w:tc>
          <w:tcPr>
            <w:tcW w:w="1928" w:type="pct"/>
            <w:gridSpan w:val="3"/>
            <w:tcBorders>
              <w:top w:val="single" w:sz="4" w:space="0" w:color="auto"/>
              <w:left w:val="single" w:sz="4" w:space="0" w:color="auto"/>
              <w:bottom w:val="single" w:sz="4" w:space="0" w:color="auto"/>
              <w:right w:val="single" w:sz="4" w:space="0" w:color="auto"/>
            </w:tcBorders>
          </w:tcPr>
          <w:p w14:paraId="05858BC4" w14:textId="271B4F06" w:rsidR="002F47A0" w:rsidRPr="009E686F" w:rsidRDefault="002F47A0" w:rsidP="002F47A0">
            <w:pPr>
              <w:spacing w:after="0"/>
              <w:jc w:val="both"/>
              <w:rPr>
                <w:rFonts w:ascii="Times New Roman" w:hAnsi="Times New Roman" w:cs="Times New Roman"/>
                <w:b/>
                <w:lang w:val="ro-RO"/>
              </w:rPr>
            </w:pPr>
            <w:r w:rsidRPr="009E686F">
              <w:rPr>
                <w:rFonts w:ascii="Times New Roman" w:hAnsi="Times New Roman" w:cs="Times New Roman"/>
                <w:b/>
                <w:lang w:val="ro-RO"/>
              </w:rPr>
              <w:t>Articolul 41 alin. (3), i</w:t>
            </w:r>
            <w:r w:rsidRPr="009E686F">
              <w:rPr>
                <w:rFonts w:ascii="Times New Roman" w:hAnsi="Times New Roman" w:cs="Times New Roman"/>
                <w:b/>
                <w:vertAlign w:val="superscript"/>
                <w:lang w:val="ro-RO"/>
              </w:rPr>
              <w:t>1</w:t>
            </w:r>
            <w:r w:rsidRPr="009E686F">
              <w:rPr>
                <w:rFonts w:ascii="Times New Roman" w:hAnsi="Times New Roman" w:cs="Times New Roman"/>
                <w:b/>
                <w:lang w:val="ro-RO"/>
              </w:rPr>
              <w:t>)</w:t>
            </w:r>
          </w:p>
          <w:p w14:paraId="1605254F" w14:textId="72A7928A" w:rsidR="002F47A0" w:rsidRPr="009E686F" w:rsidRDefault="002F47A0" w:rsidP="002F47A0">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 xml:space="preserve">(3) Consiliul </w:t>
            </w:r>
            <w:r w:rsidRPr="009E686F">
              <w:rPr>
                <w:rFonts w:ascii="Times New Roman" w:eastAsia="Aptos" w:hAnsi="Times New Roman" w:cs="Times New Roman"/>
                <w:i/>
                <w:iCs/>
                <w:kern w:val="2"/>
                <w:lang w:val="ro-MD"/>
              </w:rPr>
              <w:t>instituției de credit</w:t>
            </w:r>
            <w:r w:rsidRPr="009E686F">
              <w:rPr>
                <w:rFonts w:ascii="Times New Roman" w:eastAsia="Aptos" w:hAnsi="Times New Roman" w:cs="Times New Roman"/>
                <w:kern w:val="2"/>
                <w:lang w:val="ro-MD"/>
              </w:rPr>
              <w:t xml:space="preserve"> are următoarele atribuţii principale:</w:t>
            </w:r>
          </w:p>
          <w:p w14:paraId="69B8E9B9" w14:textId="77777777" w:rsidR="002F47A0" w:rsidRPr="009E686F" w:rsidRDefault="002F47A0" w:rsidP="002F47A0">
            <w:pPr>
              <w:spacing w:after="0"/>
              <w:jc w:val="both"/>
              <w:rPr>
                <w:rFonts w:ascii="Times New Roman" w:hAnsi="Times New Roman" w:cs="Times New Roman"/>
                <w:i/>
                <w:iCs/>
                <w:lang w:val="ro-MD"/>
              </w:rPr>
            </w:pPr>
            <w:r w:rsidRPr="009E686F">
              <w:rPr>
                <w:rFonts w:ascii="Times New Roman" w:hAnsi="Times New Roman" w:cs="Times New Roman"/>
                <w:i/>
                <w:iCs/>
                <w:lang w:val="ro-MD"/>
              </w:rPr>
              <w:t>i</w:t>
            </w:r>
            <w:r w:rsidRPr="009E686F">
              <w:rPr>
                <w:rFonts w:ascii="Times New Roman" w:hAnsi="Times New Roman" w:cs="Times New Roman"/>
                <w:i/>
                <w:iCs/>
                <w:vertAlign w:val="superscript"/>
                <w:lang w:val="ro-MD"/>
              </w:rPr>
              <w:t>1</w:t>
            </w:r>
            <w:r w:rsidRPr="009E686F">
              <w:rPr>
                <w:rFonts w:ascii="Times New Roman" w:hAnsi="Times New Roman" w:cs="Times New Roman"/>
                <w:i/>
                <w:iCs/>
                <w:lang w:val="ro-MD"/>
              </w:rPr>
              <w:t xml:space="preserve">) aprobă și revizuiește, cel puțin, anual, iar în cazul instituțiilor mici și cu grad redus de complexitate, o dată la 2 ani, strategiile și politicile de asumare, gestionare, monitorizare și diminuare a riscurilor la care instituția este expusă sau ar putea fi expusă, inclusiv a riscurilor determinate de mediul macroeconomic în care instituția respectivă își desfășoară activitatea, ținând cont de stadiul ciclului economic, și a riscurilor care rezultă din impactul actual și pe termen scurt, mediu și lung al factorilor de mediu, sociali și de guvernanță. </w:t>
            </w:r>
          </w:p>
          <w:p w14:paraId="236924ED" w14:textId="32172959" w:rsidR="002F47A0" w:rsidRPr="009E686F" w:rsidRDefault="002F47A0" w:rsidP="002F47A0">
            <w:pPr>
              <w:spacing w:after="0"/>
              <w:jc w:val="both"/>
              <w:rPr>
                <w:rFonts w:ascii="Times New Roman" w:hAnsi="Times New Roman" w:cs="Times New Roman"/>
                <w:lang w:val="ro-RO"/>
              </w:rPr>
            </w:pPr>
          </w:p>
        </w:tc>
        <w:tc>
          <w:tcPr>
            <w:tcW w:w="470" w:type="pct"/>
            <w:tcBorders>
              <w:top w:val="single" w:sz="4" w:space="0" w:color="auto"/>
              <w:left w:val="single" w:sz="4" w:space="0" w:color="auto"/>
              <w:bottom w:val="single" w:sz="4" w:space="0" w:color="auto"/>
              <w:right w:val="single" w:sz="4" w:space="0" w:color="auto"/>
            </w:tcBorders>
          </w:tcPr>
          <w:p w14:paraId="32537B8C" w14:textId="04DC1611"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p w14:paraId="13BA6667" w14:textId="27E219D6" w:rsidR="002F47A0" w:rsidRPr="009E686F" w:rsidRDefault="002F47A0" w:rsidP="002F47A0">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5547C755" w14:textId="77777777" w:rsidR="002F47A0" w:rsidRPr="009E686F" w:rsidRDefault="002F47A0" w:rsidP="002F47A0">
            <w:pPr>
              <w:jc w:val="both"/>
              <w:rPr>
                <w:rFonts w:ascii="Times New Roman" w:hAnsi="Times New Roman" w:cs="Times New Roman"/>
                <w:lang w:val="ro-RO"/>
              </w:rPr>
            </w:pPr>
          </w:p>
        </w:tc>
      </w:tr>
      <w:tr w:rsidR="002F47A0" w:rsidRPr="009E686F" w14:paraId="3728E83D" w14:textId="7E5D7858" w:rsidTr="00774F3E">
        <w:tc>
          <w:tcPr>
            <w:tcW w:w="1796" w:type="pct"/>
            <w:gridSpan w:val="2"/>
            <w:tcBorders>
              <w:top w:val="single" w:sz="4" w:space="0" w:color="auto"/>
              <w:left w:val="single" w:sz="4" w:space="0" w:color="auto"/>
              <w:bottom w:val="single" w:sz="4" w:space="0" w:color="auto"/>
              <w:right w:val="single" w:sz="4" w:space="0" w:color="auto"/>
            </w:tcBorders>
          </w:tcPr>
          <w:p w14:paraId="0EBCB624" w14:textId="07815272"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 xml:space="preserve">(2)Statele membre se asigură că organul de conducere dedică suficient timp pentru examinarea problemelor legate de risc. </w:t>
            </w:r>
          </w:p>
          <w:p w14:paraId="45951906" w14:textId="3BDF7670"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 xml:space="preserve">Organul de conducere se implică activ și asigură alocarea unor resurse adecvate în vederea administrării tuturor riscurilor semnificative abordate în cuprinsul prezentei directive și în Regulamentul (UE) nr. 575/2013, precum și în vederea evaluării activelor, a utilizării ratingurilor </w:t>
            </w:r>
            <w:r w:rsidRPr="009E686F">
              <w:rPr>
                <w:rFonts w:ascii="Times New Roman" w:hAnsi="Times New Roman" w:cs="Times New Roman"/>
                <w:lang w:val="ro-RO"/>
              </w:rPr>
              <w:lastRenderedPageBreak/>
              <w:t xml:space="preserve">externe și a modelelor interne referitoare la riscurile respective. </w:t>
            </w:r>
          </w:p>
          <w:p w14:paraId="124C8A51" w14:textId="77777777" w:rsidR="002F47A0" w:rsidRPr="009E686F" w:rsidRDefault="002F47A0" w:rsidP="002F47A0">
            <w:pPr>
              <w:spacing w:after="0"/>
              <w:jc w:val="both"/>
              <w:rPr>
                <w:rFonts w:ascii="Times New Roman" w:hAnsi="Times New Roman" w:cs="Times New Roman"/>
                <w:lang w:val="ro-RO"/>
              </w:rPr>
            </w:pPr>
          </w:p>
          <w:p w14:paraId="489A472D" w14:textId="24FE29C4"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Instituția stabilește linii de raportare către organul de conducere care să acopere toate riscurile semnificative, politicile de gestionare a riscurilor, precum și modificările aduse acestora.</w:t>
            </w:r>
          </w:p>
        </w:tc>
        <w:tc>
          <w:tcPr>
            <w:tcW w:w="1928" w:type="pct"/>
            <w:gridSpan w:val="3"/>
            <w:tcBorders>
              <w:top w:val="single" w:sz="4" w:space="0" w:color="auto"/>
              <w:left w:val="single" w:sz="4" w:space="0" w:color="auto"/>
              <w:bottom w:val="single" w:sz="4" w:space="0" w:color="auto"/>
              <w:right w:val="single" w:sz="4" w:space="0" w:color="auto"/>
            </w:tcBorders>
          </w:tcPr>
          <w:p w14:paraId="43255BAA" w14:textId="44ED9A63" w:rsidR="002F47A0" w:rsidRPr="009E686F" w:rsidRDefault="002F47A0" w:rsidP="002F47A0">
            <w:pPr>
              <w:spacing w:after="0" w:line="240" w:lineRule="auto"/>
              <w:jc w:val="both"/>
              <w:rPr>
                <w:rFonts w:ascii="Times New Roman" w:hAnsi="Times New Roman" w:cs="Times New Roman"/>
                <w:b/>
                <w:bCs/>
                <w:lang w:val="pt-BR"/>
              </w:rPr>
            </w:pPr>
            <w:r w:rsidRPr="009E686F">
              <w:rPr>
                <w:rFonts w:ascii="Times New Roman" w:hAnsi="Times New Roman" w:cs="Times New Roman"/>
                <w:b/>
                <w:bCs/>
                <w:lang w:val="pt-BR"/>
              </w:rPr>
              <w:lastRenderedPageBreak/>
              <w:t>Pct. 231 Regulamentul privind cadrul de administrare a activităţii băncilor, aprobat prin HCE nr. 322  din  20.12.2018</w:t>
            </w:r>
          </w:p>
          <w:p w14:paraId="3F9353C7" w14:textId="41AA73B2" w:rsidR="002F47A0" w:rsidRPr="009E686F" w:rsidRDefault="002F47A0" w:rsidP="002F47A0">
            <w:pPr>
              <w:spacing w:after="0" w:line="240" w:lineRule="auto"/>
              <w:jc w:val="both"/>
              <w:rPr>
                <w:rFonts w:ascii="Times New Roman" w:hAnsi="Times New Roman" w:cs="Times New Roman"/>
                <w:bCs/>
                <w:lang w:val="ro-RO"/>
              </w:rPr>
            </w:pPr>
            <w:r w:rsidRPr="009E686F">
              <w:rPr>
                <w:rFonts w:ascii="Times New Roman" w:hAnsi="Times New Roman" w:cs="Times New Roman"/>
                <w:bCs/>
                <w:lang w:val="ro-RO"/>
              </w:rPr>
              <w:t>231. Organul de conducere trebuie să dedice timp suficient pentru examinarea problemelor legate de administrarea riscurilor.</w:t>
            </w:r>
          </w:p>
          <w:p w14:paraId="0FB5FEC4" w14:textId="77777777" w:rsidR="002F47A0" w:rsidRPr="009E686F" w:rsidRDefault="002F47A0" w:rsidP="002F47A0">
            <w:pPr>
              <w:spacing w:after="0"/>
              <w:jc w:val="both"/>
              <w:rPr>
                <w:rFonts w:ascii="Times New Roman" w:hAnsi="Times New Roman" w:cs="Times New Roman"/>
                <w:bCs/>
                <w:lang w:val="ro-RO"/>
              </w:rPr>
            </w:pPr>
          </w:p>
          <w:p w14:paraId="666C2213" w14:textId="739E01BF" w:rsidR="002F47A0" w:rsidRPr="009E686F" w:rsidRDefault="002F47A0" w:rsidP="002F47A0">
            <w:pPr>
              <w:spacing w:after="0"/>
              <w:jc w:val="both"/>
              <w:rPr>
                <w:rFonts w:ascii="Times New Roman" w:hAnsi="Times New Roman" w:cs="Times New Roman"/>
                <w:bCs/>
                <w:lang w:val="ro-RO"/>
              </w:rPr>
            </w:pPr>
            <w:r w:rsidRPr="009E686F">
              <w:rPr>
                <w:rFonts w:ascii="Times New Roman" w:hAnsi="Times New Roman" w:cs="Times New Roman"/>
                <w:bCs/>
                <w:lang w:val="ro-RO"/>
              </w:rPr>
              <w:t xml:space="preserve">13. Membrii consiliului trebuie să exercite atribuţiile lor cu onestitate, integritate, obiectivitate şi loialitate, să dedice </w:t>
            </w:r>
            <w:r w:rsidRPr="009E686F">
              <w:rPr>
                <w:rFonts w:ascii="Times New Roman" w:hAnsi="Times New Roman" w:cs="Times New Roman"/>
                <w:bCs/>
                <w:lang w:val="ro-RO"/>
              </w:rPr>
              <w:lastRenderedPageBreak/>
              <w:t>suficient timp şi prudenţă în exercitarea acestora, precum şi în strictă conformitate cu prevederile legale şi cadrul normativ.</w:t>
            </w:r>
          </w:p>
          <w:p w14:paraId="70E18DB4" w14:textId="6E2D1ABE" w:rsidR="002F47A0" w:rsidRPr="009E686F" w:rsidRDefault="002F47A0" w:rsidP="002F47A0">
            <w:pPr>
              <w:spacing w:after="0"/>
              <w:jc w:val="both"/>
              <w:rPr>
                <w:rFonts w:ascii="Times New Roman" w:hAnsi="Times New Roman" w:cs="Times New Roman"/>
                <w:bCs/>
                <w:lang w:val="ro-RO"/>
              </w:rPr>
            </w:pPr>
            <w:r w:rsidRPr="009E686F">
              <w:rPr>
                <w:rFonts w:ascii="Times New Roman" w:hAnsi="Times New Roman" w:cs="Times New Roman"/>
                <w:bCs/>
                <w:lang w:val="ro-RO"/>
              </w:rPr>
              <w:t>14. Membrii consiliului trebuie să participe în mod activ în activitatea băncii [...]</w:t>
            </w:r>
          </w:p>
          <w:p w14:paraId="39469465" w14:textId="4EF63615" w:rsidR="002F47A0" w:rsidRPr="009E686F" w:rsidRDefault="002F47A0" w:rsidP="002F47A0">
            <w:pPr>
              <w:spacing w:after="0" w:line="240" w:lineRule="auto"/>
              <w:jc w:val="both"/>
              <w:rPr>
                <w:rFonts w:ascii="Times New Roman" w:hAnsi="Times New Roman" w:cs="Times New Roman"/>
                <w:bCs/>
                <w:lang w:val="ro-RO"/>
              </w:rPr>
            </w:pPr>
            <w:r w:rsidRPr="009E686F">
              <w:rPr>
                <w:rFonts w:ascii="Times New Roman" w:hAnsi="Times New Roman" w:cs="Times New Roman"/>
                <w:bCs/>
                <w:lang w:val="ro-RO"/>
              </w:rPr>
              <w:t>71. Liniile de raportare şi alocarea responsabilităţilor şi competenţelor în cadrul băncii trebuie să fie clare, bine definite, coerente, implementate efectiv şi documentate corespunzător.</w:t>
            </w:r>
          </w:p>
        </w:tc>
        <w:tc>
          <w:tcPr>
            <w:tcW w:w="470" w:type="pct"/>
            <w:tcBorders>
              <w:top w:val="single" w:sz="4" w:space="0" w:color="auto"/>
              <w:left w:val="single" w:sz="4" w:space="0" w:color="auto"/>
              <w:bottom w:val="single" w:sz="4" w:space="0" w:color="auto"/>
              <w:right w:val="single" w:sz="4" w:space="0" w:color="auto"/>
            </w:tcBorders>
          </w:tcPr>
          <w:p w14:paraId="755D641C" w14:textId="616EE862"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lastRenderedPageBreak/>
              <w:t>Parțial compatibil</w:t>
            </w:r>
          </w:p>
          <w:p w14:paraId="2A77208F" w14:textId="62AD8216" w:rsidR="002F47A0" w:rsidRPr="009E686F" w:rsidRDefault="002F47A0" w:rsidP="002F47A0">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07CBAA4D" w14:textId="77777777" w:rsidR="005A2844" w:rsidRPr="009E686F" w:rsidRDefault="002F47A0" w:rsidP="005A2844">
            <w:pPr>
              <w:rPr>
                <w:rFonts w:ascii="Times New Roman" w:eastAsia="Times New Roman" w:hAnsi="Times New Roman" w:cs="Times New Roman"/>
                <w:bCs/>
                <w:lang w:val="it-CH" w:eastAsia="ru-RU"/>
              </w:rPr>
            </w:pPr>
            <w:r w:rsidRPr="009E686F">
              <w:rPr>
                <w:rFonts w:ascii="Times New Roman" w:hAnsi="Times New Roman" w:cs="Times New Roman"/>
                <w:lang w:val="ro-RO"/>
              </w:rPr>
              <w:t>Transpunerea totală se va asigura prin proiectul de modificare a Regulamentului nr. 322/2018</w:t>
            </w:r>
            <w:r w:rsidR="005A2844" w:rsidRPr="009E686F">
              <w:rPr>
                <w:rFonts w:ascii="Times New Roman" w:hAnsi="Times New Roman" w:cs="Times New Roman"/>
                <w:lang w:val="ro-RO"/>
              </w:rPr>
              <w:t xml:space="preserve"> (</w:t>
            </w:r>
            <w:r w:rsidR="005A2844" w:rsidRPr="009E686F">
              <w:rPr>
                <w:rFonts w:ascii="Times New Roman" w:eastAsia="Times New Roman" w:hAnsi="Times New Roman" w:cs="Times New Roman"/>
                <w:bCs/>
                <w:lang w:val="it-CH" w:eastAsia="ru-RU"/>
              </w:rPr>
              <w:t xml:space="preserve">acțiunea normativă nr. 2 din Anexa A din PNA 2025-2029 aferentă Capitolului 9 “Servicii </w:t>
            </w:r>
            <w:r w:rsidR="005A2844" w:rsidRPr="009E686F">
              <w:rPr>
                <w:rFonts w:ascii="Times New Roman" w:eastAsia="Times New Roman" w:hAnsi="Times New Roman" w:cs="Times New Roman"/>
                <w:bCs/>
                <w:lang w:val="it-CH" w:eastAsia="ru-RU"/>
              </w:rPr>
              <w:lastRenderedPageBreak/>
              <w:t>financiare” în legătură cu transpunerea Directivei 2013/36/UE).</w:t>
            </w:r>
          </w:p>
          <w:p w14:paraId="2DB30DDC" w14:textId="2B510F43" w:rsidR="002F47A0" w:rsidRPr="009E686F" w:rsidRDefault="002F47A0" w:rsidP="002F47A0">
            <w:pPr>
              <w:jc w:val="both"/>
              <w:rPr>
                <w:rFonts w:ascii="Times New Roman" w:hAnsi="Times New Roman" w:cs="Times New Roman"/>
                <w:lang w:val="it-CH"/>
              </w:rPr>
            </w:pPr>
          </w:p>
        </w:tc>
      </w:tr>
      <w:tr w:rsidR="002F47A0" w:rsidRPr="009E686F" w14:paraId="4B121B3A"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4E546751" w14:textId="7DABBF9A"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lastRenderedPageBreak/>
              <w:t>Statele membre se asigură că organul de conducere elaborează planuri specifice și obiective cuantificabile în conformitate cu cerinţele stabilite în articolul 7a din Regulamentul (UE) nr. 648/2012 pentru a monitoriza și a aborda riscul de concentrare rezultat din expunerile faţă de contrapărţile centrale care oferă servicii de importanţă sistemică semnificativă pentru Uniune sau pentru unul ori mai multe dintre statele membre ale acesteia.</w:t>
            </w:r>
          </w:p>
        </w:tc>
        <w:tc>
          <w:tcPr>
            <w:tcW w:w="1928" w:type="pct"/>
            <w:gridSpan w:val="3"/>
            <w:tcBorders>
              <w:top w:val="single" w:sz="4" w:space="0" w:color="auto"/>
              <w:left w:val="single" w:sz="4" w:space="0" w:color="auto"/>
              <w:bottom w:val="single" w:sz="4" w:space="0" w:color="auto"/>
              <w:right w:val="single" w:sz="4" w:space="0" w:color="auto"/>
            </w:tcBorders>
          </w:tcPr>
          <w:p w14:paraId="21CD3AE8" w14:textId="77AB0A53" w:rsidR="002F47A0" w:rsidRPr="009E686F" w:rsidRDefault="002F47A0" w:rsidP="002F47A0">
            <w:pPr>
              <w:spacing w:after="0"/>
              <w:jc w:val="both"/>
              <w:rPr>
                <w:rFonts w:ascii="Times New Roman" w:hAnsi="Times New Roman" w:cs="Times New Roman"/>
                <w:b/>
                <w:lang w:val="ro-RO"/>
              </w:rPr>
            </w:pPr>
            <w:r w:rsidRPr="009E686F">
              <w:rPr>
                <w:rFonts w:ascii="Times New Roman" w:hAnsi="Times New Roman" w:cs="Times New Roman"/>
                <w:b/>
                <w:lang w:val="ro-RO"/>
              </w:rPr>
              <w:t>Articolul 41 alin. (3), i</w:t>
            </w:r>
            <w:r w:rsidRPr="009E686F">
              <w:rPr>
                <w:rFonts w:ascii="Times New Roman" w:hAnsi="Times New Roman" w:cs="Times New Roman"/>
                <w:b/>
                <w:vertAlign w:val="superscript"/>
                <w:lang w:val="ro-RO"/>
              </w:rPr>
              <w:t>3</w:t>
            </w:r>
            <w:r w:rsidRPr="009E686F">
              <w:rPr>
                <w:rFonts w:ascii="Times New Roman" w:hAnsi="Times New Roman" w:cs="Times New Roman"/>
                <w:b/>
                <w:lang w:val="ro-RO"/>
              </w:rPr>
              <w:t>)</w:t>
            </w:r>
          </w:p>
          <w:p w14:paraId="595996DE" w14:textId="1E12E92F" w:rsidR="002F47A0" w:rsidRPr="009E686F" w:rsidRDefault="002F47A0" w:rsidP="002F47A0">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 xml:space="preserve">(3) Consiliul </w:t>
            </w:r>
            <w:r w:rsidRPr="009E686F">
              <w:rPr>
                <w:rFonts w:ascii="Times New Roman" w:eastAsia="Aptos" w:hAnsi="Times New Roman" w:cs="Times New Roman"/>
                <w:i/>
                <w:iCs/>
                <w:kern w:val="2"/>
                <w:lang w:val="ro-MD"/>
              </w:rPr>
              <w:t>instituției de credit</w:t>
            </w:r>
            <w:r w:rsidRPr="009E686F">
              <w:rPr>
                <w:rFonts w:ascii="Times New Roman" w:eastAsia="Aptos" w:hAnsi="Times New Roman" w:cs="Times New Roman"/>
                <w:kern w:val="2"/>
                <w:lang w:val="ro-MD"/>
              </w:rPr>
              <w:t xml:space="preserve"> are următoarele atribuţii principale:.....</w:t>
            </w:r>
          </w:p>
          <w:p w14:paraId="514DF2C8" w14:textId="3C5F58AE" w:rsidR="002F47A0" w:rsidRPr="009E686F" w:rsidRDefault="002F47A0" w:rsidP="002F47A0">
            <w:pPr>
              <w:spacing w:after="0"/>
              <w:jc w:val="both"/>
              <w:rPr>
                <w:rFonts w:ascii="Times New Roman" w:hAnsi="Times New Roman" w:cs="Times New Roman"/>
                <w:bCs/>
                <w:i/>
                <w:iCs/>
                <w:lang w:val="ro-RO"/>
              </w:rPr>
            </w:pPr>
            <w:r w:rsidRPr="009E686F">
              <w:rPr>
                <w:rFonts w:ascii="Times New Roman" w:eastAsia="Aptos" w:hAnsi="Times New Roman" w:cs="Times New Roman"/>
                <w:i/>
                <w:iCs/>
                <w:kern w:val="2"/>
                <w:lang w:val="ro-MD"/>
              </w:rPr>
              <w:t>i</w:t>
            </w:r>
            <w:r w:rsidRPr="009E686F">
              <w:rPr>
                <w:rFonts w:ascii="Times New Roman" w:eastAsia="Aptos" w:hAnsi="Times New Roman" w:cs="Times New Roman"/>
                <w:i/>
                <w:iCs/>
                <w:kern w:val="2"/>
                <w:vertAlign w:val="superscript"/>
                <w:lang w:val="ro-MD"/>
              </w:rPr>
              <w:t>3</w:t>
            </w:r>
            <w:r w:rsidRPr="009E686F">
              <w:rPr>
                <w:rFonts w:ascii="Times New Roman" w:eastAsia="Aptos" w:hAnsi="Times New Roman" w:cs="Times New Roman"/>
                <w:i/>
                <w:iCs/>
                <w:kern w:val="2"/>
                <w:lang w:val="ro-MD"/>
              </w:rPr>
              <w:t>) aprobă planuri specifice și obiective cuantificabile în conformitate cu</w:t>
            </w:r>
            <w:r w:rsidRPr="009E686F" w:rsidDel="00395A58">
              <w:rPr>
                <w:rFonts w:ascii="Times New Roman" w:eastAsia="Aptos" w:hAnsi="Times New Roman" w:cs="Times New Roman"/>
                <w:i/>
                <w:iCs/>
                <w:kern w:val="2"/>
                <w:lang w:val="ro-MD"/>
              </w:rPr>
              <w:t xml:space="preserve"> </w:t>
            </w:r>
            <w:r w:rsidR="002B4839" w:rsidRPr="009E686F">
              <w:rPr>
                <w:rFonts w:ascii="Times New Roman" w:eastAsia="Aptos" w:hAnsi="Times New Roman" w:cs="Times New Roman"/>
                <w:i/>
                <w:iCs/>
                <w:kern w:val="2"/>
                <w:lang w:val="ro-MD"/>
              </w:rPr>
              <w:t xml:space="preserve">legislația privind instrumentele financiare derivate extrabursiere, contrapărțile centrale și registrele centrale de tranzacții </w:t>
            </w:r>
            <w:r w:rsidRPr="009E686F">
              <w:rPr>
                <w:rFonts w:ascii="Times New Roman" w:eastAsia="Aptos" w:hAnsi="Times New Roman" w:cs="Times New Roman"/>
                <w:i/>
                <w:iCs/>
                <w:kern w:val="2"/>
                <w:lang w:val="ro-MD"/>
              </w:rPr>
              <w:t>pentru a monitoriza și a aborda riscul de concentrare rezultat din expunerile faţă de contrapărţile centrale care oferă servicii de importanţă sistemică semnificativă pentru Uniunea Europeană sau pentru unul ori mai multe dintre statele membre;</w:t>
            </w:r>
          </w:p>
        </w:tc>
        <w:tc>
          <w:tcPr>
            <w:tcW w:w="470" w:type="pct"/>
            <w:tcBorders>
              <w:top w:val="single" w:sz="4" w:space="0" w:color="auto"/>
              <w:left w:val="single" w:sz="4" w:space="0" w:color="auto"/>
              <w:bottom w:val="single" w:sz="4" w:space="0" w:color="auto"/>
              <w:right w:val="single" w:sz="4" w:space="0" w:color="auto"/>
            </w:tcBorders>
          </w:tcPr>
          <w:p w14:paraId="3667BB5F" w14:textId="286F98BB"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448C07C0" w14:textId="77777777" w:rsidR="002F47A0" w:rsidRPr="009E686F" w:rsidRDefault="002F47A0" w:rsidP="002F47A0">
            <w:pPr>
              <w:jc w:val="both"/>
              <w:rPr>
                <w:rFonts w:ascii="Times New Roman" w:hAnsi="Times New Roman" w:cs="Times New Roman"/>
                <w:lang w:val="ro-RO"/>
              </w:rPr>
            </w:pPr>
          </w:p>
        </w:tc>
      </w:tr>
      <w:tr w:rsidR="002F47A0" w:rsidRPr="009E686F" w14:paraId="0A6627A9"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00BB5EDA" w14:textId="0A7C5088"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Statele membre se asigură că organul de conducere elaborează și monitorizează implementarea unor planuri specifice, care includ ținte cuantificabile și procese pentru a monitoriza și a aborda riscurile financiare care decurg pe termen scurt, mediu și lung din factorii ESG, inclusiv cele care decurg din procesul de ajustare și din tendințele de tranziție în contextul obiectivelor de reglementare și al actelor juridice relevante ale statelor membre și ale Uniunii în ceea ce privește factorii ESG, în special obiectivul de a realiza neutralitatea climatică, precum și, dacă acest lucru este relevant pentru instituțiile active pe plan internațional, în contextul obiectivelor juridice și de reglementare ale țărilor terțe.</w:t>
            </w:r>
          </w:p>
          <w:p w14:paraId="7C5C29FF" w14:textId="29993242"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lastRenderedPageBreak/>
              <w:t xml:space="preserve">Țintele cuantificabile și procesele pentru abordarea riscurilor ESG incluse în planurile menționate la al doilea paragraf de la prezentul alineat iau în considerare cele mai recente rapoarte și măsuri prevăzute de Consiliul științific consultativ european privind schimbările climatice, în special în ceea ce privește îndeplinirea obiectivelor climatice ale Uniunii. </w:t>
            </w:r>
          </w:p>
        </w:tc>
        <w:tc>
          <w:tcPr>
            <w:tcW w:w="1928" w:type="pct"/>
            <w:gridSpan w:val="3"/>
            <w:tcBorders>
              <w:top w:val="single" w:sz="4" w:space="0" w:color="auto"/>
              <w:left w:val="single" w:sz="4" w:space="0" w:color="auto"/>
              <w:bottom w:val="single" w:sz="4" w:space="0" w:color="auto"/>
              <w:right w:val="single" w:sz="4" w:space="0" w:color="auto"/>
            </w:tcBorders>
          </w:tcPr>
          <w:p w14:paraId="56C37E58" w14:textId="21FE72C7" w:rsidR="002F47A0" w:rsidRPr="009E686F" w:rsidRDefault="002F47A0" w:rsidP="002F47A0">
            <w:pPr>
              <w:spacing w:after="0"/>
              <w:jc w:val="both"/>
              <w:rPr>
                <w:rFonts w:ascii="Times New Roman" w:hAnsi="Times New Roman" w:cs="Times New Roman"/>
                <w:b/>
                <w:lang w:val="ro-RO"/>
              </w:rPr>
            </w:pPr>
            <w:r w:rsidRPr="009E686F">
              <w:rPr>
                <w:rFonts w:ascii="Times New Roman" w:hAnsi="Times New Roman" w:cs="Times New Roman"/>
                <w:b/>
                <w:lang w:val="ro-RO"/>
              </w:rPr>
              <w:lastRenderedPageBreak/>
              <w:t>Articolul 41 alin. (3), lit. i</w:t>
            </w:r>
            <w:r w:rsidRPr="009E686F">
              <w:rPr>
                <w:rFonts w:ascii="Times New Roman" w:hAnsi="Times New Roman" w:cs="Times New Roman"/>
                <w:b/>
                <w:vertAlign w:val="superscript"/>
                <w:lang w:val="ro-RO"/>
              </w:rPr>
              <w:t>2</w:t>
            </w:r>
            <w:r w:rsidRPr="009E686F">
              <w:rPr>
                <w:rFonts w:ascii="Times New Roman" w:hAnsi="Times New Roman" w:cs="Times New Roman"/>
                <w:b/>
                <w:lang w:val="ro-RO"/>
              </w:rPr>
              <w:t>)</w:t>
            </w:r>
          </w:p>
          <w:p w14:paraId="35B53CD1" w14:textId="12C1A38B" w:rsidR="002F47A0" w:rsidRPr="009E686F" w:rsidRDefault="002F47A0" w:rsidP="002F47A0">
            <w:pPr>
              <w:spacing w:after="0" w:line="278" w:lineRule="auto"/>
              <w:jc w:val="both"/>
              <w:rPr>
                <w:rFonts w:ascii="Times New Roman" w:eastAsia="Aptos" w:hAnsi="Times New Roman" w:cs="Times New Roman"/>
                <w:kern w:val="2"/>
                <w:lang w:val="ro-RO"/>
              </w:rPr>
            </w:pPr>
            <w:r w:rsidRPr="009E686F">
              <w:rPr>
                <w:rFonts w:ascii="Times New Roman" w:eastAsia="Aptos" w:hAnsi="Times New Roman" w:cs="Times New Roman"/>
                <w:kern w:val="2"/>
                <w:lang w:val="ro-MD"/>
              </w:rPr>
              <w:t xml:space="preserve">(3) Consiliul </w:t>
            </w:r>
            <w:r w:rsidRPr="009E686F">
              <w:rPr>
                <w:rFonts w:ascii="Times New Roman" w:eastAsia="Aptos" w:hAnsi="Times New Roman" w:cs="Times New Roman"/>
                <w:i/>
                <w:iCs/>
                <w:kern w:val="2"/>
                <w:lang w:val="ro-MD"/>
              </w:rPr>
              <w:t>instituției de credit</w:t>
            </w:r>
            <w:r w:rsidRPr="009E686F">
              <w:rPr>
                <w:rFonts w:ascii="Times New Roman" w:eastAsia="Aptos" w:hAnsi="Times New Roman" w:cs="Times New Roman"/>
                <w:kern w:val="2"/>
                <w:lang w:val="ro-MD"/>
              </w:rPr>
              <w:t xml:space="preserve"> are următoarele atribuţii principale: </w:t>
            </w:r>
            <w:r w:rsidRPr="009E686F">
              <w:rPr>
                <w:rFonts w:ascii="Times New Roman" w:eastAsia="Aptos" w:hAnsi="Times New Roman" w:cs="Times New Roman"/>
                <w:kern w:val="2"/>
                <w:lang w:val="ro-RO"/>
              </w:rPr>
              <w:t>[...]</w:t>
            </w:r>
          </w:p>
          <w:p w14:paraId="5BCBE018" w14:textId="030DD93C" w:rsidR="002F47A0" w:rsidRPr="009E686F" w:rsidRDefault="002F47A0" w:rsidP="002F47A0">
            <w:pPr>
              <w:spacing w:after="0"/>
              <w:jc w:val="both"/>
              <w:rPr>
                <w:rFonts w:ascii="Times New Roman" w:hAnsi="Times New Roman" w:cs="Times New Roman"/>
                <w:b/>
                <w:i/>
                <w:iCs/>
                <w:lang w:val="ro-RO"/>
              </w:rPr>
            </w:pPr>
            <w:r w:rsidRPr="009E686F">
              <w:rPr>
                <w:rFonts w:ascii="Times New Roman" w:eastAsia="Aptos" w:hAnsi="Times New Roman" w:cs="Times New Roman"/>
                <w:i/>
                <w:iCs/>
                <w:kern w:val="2"/>
                <w:lang w:val="ro-MD"/>
              </w:rPr>
              <w:t>i</w:t>
            </w:r>
            <w:r w:rsidRPr="009E686F">
              <w:rPr>
                <w:rFonts w:ascii="Times New Roman" w:eastAsia="Aptos" w:hAnsi="Times New Roman" w:cs="Times New Roman"/>
                <w:i/>
                <w:iCs/>
                <w:kern w:val="2"/>
                <w:vertAlign w:val="superscript"/>
                <w:lang w:val="ro-MD"/>
              </w:rPr>
              <w:t>2</w:t>
            </w:r>
            <w:r w:rsidRPr="009E686F">
              <w:rPr>
                <w:rFonts w:ascii="Times New Roman" w:eastAsia="Aptos" w:hAnsi="Times New Roman" w:cs="Times New Roman"/>
                <w:i/>
                <w:iCs/>
                <w:kern w:val="2"/>
                <w:lang w:val="ro-MD"/>
              </w:rPr>
              <w:t xml:space="preserve">) </w:t>
            </w:r>
            <w:r w:rsidRPr="009E686F">
              <w:rPr>
                <w:rFonts w:ascii="Times New Roman" w:hAnsi="Times New Roman" w:cs="Times New Roman"/>
                <w:i/>
                <w:lang w:val="ro-RO"/>
              </w:rPr>
              <w:t xml:space="preserve">aprobă și monitorizează implementarea unor planuri specifice aferente monitorizării riscurilor de mediu, sociale și guvernanță elaborate de organul executiv al instituției de credit, inclusiv cele care decurg din procesul de ajustare și din tendințele de tranziție în contextul obiectivelor de reglementare și al actelor juridice relevante în ceea ce privește factorii de mediu, sociale și guvernanță. Obiectivele și procesele cuantificabile pentru abordarea riscurilor de mediu, sociale și de guvernanță incluse în planurile specifice trebuie să ia în considerare </w:t>
            </w:r>
            <w:r w:rsidRPr="009E686F">
              <w:rPr>
                <w:rFonts w:ascii="Times New Roman" w:hAnsi="Times New Roman"/>
                <w:i/>
                <w:lang w:val="ro-RO"/>
              </w:rPr>
              <w:t xml:space="preserve">cadrul național de politici de mediu și climă, actele </w:t>
            </w:r>
            <w:r w:rsidRPr="009E686F">
              <w:rPr>
                <w:rFonts w:ascii="Times New Roman" w:hAnsi="Times New Roman"/>
                <w:i/>
                <w:lang w:val="ro-RO"/>
              </w:rPr>
              <w:lastRenderedPageBreak/>
              <w:t xml:space="preserve">normative aplicabile, precum și acordurile internaționale la care Republica Moldova este parte. În măsura relevanței, </w:t>
            </w:r>
            <w:r w:rsidR="00871125" w:rsidRPr="009E686F">
              <w:rPr>
                <w:rFonts w:ascii="Times New Roman" w:hAnsi="Times New Roman"/>
                <w:i/>
                <w:lang w:val="ro-RO"/>
              </w:rPr>
              <w:t xml:space="preserve">se vor lua </w:t>
            </w:r>
            <w:r w:rsidRPr="009E686F">
              <w:rPr>
                <w:rFonts w:ascii="Times New Roman" w:hAnsi="Times New Roman"/>
                <w:i/>
                <w:lang w:val="ro-RO"/>
              </w:rPr>
              <w:t xml:space="preserve">în considerare </w:t>
            </w:r>
            <w:r w:rsidRPr="009E686F">
              <w:rPr>
                <w:rFonts w:ascii="Times New Roman" w:hAnsi="Times New Roman" w:cs="Times New Roman"/>
                <w:i/>
                <w:lang w:val="ro-RO"/>
              </w:rPr>
              <w:t>cele mai recente rapoarte și măsuri prescrise de Consiliul consultativ științific european privind schimbările climatice, în special în ceea ce privește atingerea obiectivelor climatice ale Uniunii Europene</w:t>
            </w:r>
            <w:r w:rsidRPr="009E686F">
              <w:rPr>
                <w:rFonts w:ascii="Times New Roman" w:eastAsia="Aptos" w:hAnsi="Times New Roman" w:cs="Times New Roman"/>
                <w:i/>
                <w:iCs/>
                <w:kern w:val="2"/>
                <w:lang w:val="ro-MD"/>
              </w:rPr>
              <w:t>;</w:t>
            </w:r>
          </w:p>
        </w:tc>
        <w:tc>
          <w:tcPr>
            <w:tcW w:w="470" w:type="pct"/>
            <w:tcBorders>
              <w:top w:val="single" w:sz="4" w:space="0" w:color="auto"/>
              <w:left w:val="single" w:sz="4" w:space="0" w:color="auto"/>
              <w:bottom w:val="single" w:sz="4" w:space="0" w:color="auto"/>
              <w:right w:val="single" w:sz="4" w:space="0" w:color="auto"/>
            </w:tcBorders>
          </w:tcPr>
          <w:p w14:paraId="3760D9C0" w14:textId="7DFF8A2B"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lastRenderedPageBreak/>
              <w:t>Parțial compatibil</w:t>
            </w:r>
          </w:p>
        </w:tc>
        <w:tc>
          <w:tcPr>
            <w:tcW w:w="806" w:type="pct"/>
            <w:tcBorders>
              <w:top w:val="single" w:sz="4" w:space="0" w:color="auto"/>
              <w:left w:val="single" w:sz="4" w:space="0" w:color="auto"/>
              <w:bottom w:val="single" w:sz="4" w:space="0" w:color="auto"/>
              <w:right w:val="single" w:sz="4" w:space="0" w:color="auto"/>
            </w:tcBorders>
          </w:tcPr>
          <w:p w14:paraId="2BF87BC3" w14:textId="77777777" w:rsidR="005A2844" w:rsidRPr="009E686F" w:rsidRDefault="002F47A0" w:rsidP="005A2844">
            <w:pPr>
              <w:rPr>
                <w:rFonts w:ascii="Times New Roman" w:eastAsia="Times New Roman" w:hAnsi="Times New Roman" w:cs="Times New Roman"/>
                <w:bCs/>
                <w:lang w:val="it-CH" w:eastAsia="ru-RU"/>
              </w:rPr>
            </w:pPr>
            <w:r w:rsidRPr="009E686F">
              <w:rPr>
                <w:rFonts w:ascii="Times New Roman" w:hAnsi="Times New Roman" w:cs="Times New Roman"/>
                <w:lang w:val="ro-RO"/>
              </w:rPr>
              <w:t>Transpunerea totală se va asigura prin proiectul de modificare a Regulamentului nr. 322/2018</w:t>
            </w:r>
            <w:r w:rsidR="005A2844" w:rsidRPr="009E686F">
              <w:rPr>
                <w:rFonts w:ascii="Times New Roman" w:hAnsi="Times New Roman" w:cs="Times New Roman"/>
                <w:lang w:val="ro-RO"/>
              </w:rPr>
              <w:t xml:space="preserve"> (</w:t>
            </w:r>
            <w:r w:rsidR="005A2844" w:rsidRPr="009E686F">
              <w:rPr>
                <w:rFonts w:ascii="Times New Roman" w:eastAsia="Times New Roman" w:hAnsi="Times New Roman" w:cs="Times New Roman"/>
                <w:bCs/>
                <w:lang w:val="it-CH" w:eastAsia="ru-RU"/>
              </w:rPr>
              <w:t>acțiunea normativă nr. 2 din Anexa A din PNA 2025-2029 aferentă Capitolului 9 “Servicii financiare” în legătură cu transpunerea Directivei 2013/36/UE).</w:t>
            </w:r>
          </w:p>
          <w:p w14:paraId="205F0A3D" w14:textId="360142BF" w:rsidR="00FB29C1" w:rsidRPr="009E686F" w:rsidRDefault="00FB29C1" w:rsidP="00FB29C1">
            <w:pPr>
              <w:rPr>
                <w:lang w:val="it-CH"/>
              </w:rPr>
            </w:pPr>
            <w:r w:rsidRPr="009E686F">
              <w:rPr>
                <w:rFonts w:ascii="Times New Roman" w:hAnsi="Times New Roman" w:cs="Times New Roman"/>
                <w:lang w:val="ro-RO"/>
              </w:rPr>
              <w:lastRenderedPageBreak/>
              <w:t>Ultima teză – în vigoare de la data aderării.</w:t>
            </w:r>
          </w:p>
          <w:p w14:paraId="198E7D35" w14:textId="79188A6B" w:rsidR="00FB29C1" w:rsidRPr="009E686F" w:rsidRDefault="00FB29C1" w:rsidP="002F47A0">
            <w:pPr>
              <w:jc w:val="both"/>
              <w:rPr>
                <w:rFonts w:ascii="Times New Roman" w:hAnsi="Times New Roman" w:cs="Times New Roman"/>
                <w:lang w:val="it-CH"/>
              </w:rPr>
            </w:pPr>
          </w:p>
        </w:tc>
      </w:tr>
      <w:tr w:rsidR="002F47A0" w:rsidRPr="009E686F" w14:paraId="4D6D03E4"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17628205" w14:textId="6A3B1752"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lastRenderedPageBreak/>
              <w:t>În cazul în care instituția publică informații privind aspecte ESG în conformitate cu Directiva 2013/34/UE a Parlamentului European și a Consiliului (*), planurile menționate la al doilea paragraf de la prezentul alineat sunt în concordanță cu planurile menționate la articolul 19a sau 29a din directiva respectivă și includ, în special, acțiuni cu privire la modelul de afaceri și strategia instituției care sunt coerente în cadrul ambelor planuri.</w:t>
            </w:r>
          </w:p>
        </w:tc>
        <w:tc>
          <w:tcPr>
            <w:tcW w:w="1928" w:type="pct"/>
            <w:gridSpan w:val="3"/>
            <w:tcBorders>
              <w:top w:val="single" w:sz="4" w:space="0" w:color="auto"/>
              <w:left w:val="single" w:sz="4" w:space="0" w:color="auto"/>
              <w:bottom w:val="single" w:sz="4" w:space="0" w:color="auto"/>
              <w:right w:val="single" w:sz="4" w:space="0" w:color="auto"/>
            </w:tcBorders>
          </w:tcPr>
          <w:p w14:paraId="3922BE3A" w14:textId="77777777" w:rsidR="002F47A0" w:rsidRPr="009E686F" w:rsidRDefault="002F47A0" w:rsidP="002F47A0">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04E88AB2" w14:textId="06F8744F"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Norme UE netranspuse</w:t>
            </w:r>
          </w:p>
        </w:tc>
        <w:tc>
          <w:tcPr>
            <w:tcW w:w="806" w:type="pct"/>
            <w:tcBorders>
              <w:top w:val="single" w:sz="4" w:space="0" w:color="auto"/>
              <w:left w:val="single" w:sz="4" w:space="0" w:color="auto"/>
              <w:bottom w:val="single" w:sz="4" w:space="0" w:color="auto"/>
              <w:right w:val="single" w:sz="4" w:space="0" w:color="auto"/>
            </w:tcBorders>
          </w:tcPr>
          <w:p w14:paraId="681D770C" w14:textId="1DE59240"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Se va regăsi în proiectul de modificare a Regulamentului nr. 158/2020 cu privire la cerințele de publicare</w:t>
            </w:r>
            <w:r w:rsidR="005A2844" w:rsidRPr="009E686F">
              <w:rPr>
                <w:rFonts w:ascii="Times New Roman" w:hAnsi="Times New Roman" w:cs="Times New Roman"/>
                <w:lang w:val="ro-RO"/>
              </w:rPr>
              <w:t>.</w:t>
            </w:r>
          </w:p>
        </w:tc>
      </w:tr>
      <w:tr w:rsidR="002F47A0" w:rsidRPr="009E686F" w14:paraId="09175A85"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101C0B06" w14:textId="2215D0BE"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Statele membre asigură aplicarea proporțională a celui de al doilea și al treilea paragraf pentru organele de conducere ale instituțiilor mici și cu un grad redus de complexitate, indicând domeniile în care se poate aplica o derogare sau o procedură simplificată.</w:t>
            </w:r>
          </w:p>
        </w:tc>
        <w:tc>
          <w:tcPr>
            <w:tcW w:w="1928" w:type="pct"/>
            <w:gridSpan w:val="3"/>
            <w:tcBorders>
              <w:top w:val="single" w:sz="4" w:space="0" w:color="auto"/>
              <w:left w:val="single" w:sz="4" w:space="0" w:color="auto"/>
              <w:bottom w:val="single" w:sz="4" w:space="0" w:color="auto"/>
              <w:right w:val="single" w:sz="4" w:space="0" w:color="auto"/>
            </w:tcBorders>
          </w:tcPr>
          <w:p w14:paraId="1EDF9416" w14:textId="30D9DC49" w:rsidR="002F47A0" w:rsidRPr="009E686F" w:rsidRDefault="002F47A0" w:rsidP="002F47A0">
            <w:pPr>
              <w:spacing w:after="0"/>
              <w:jc w:val="both"/>
              <w:rPr>
                <w:rFonts w:ascii="Times New Roman" w:hAnsi="Times New Roman" w:cs="Times New Roman"/>
                <w:b/>
                <w:i/>
                <w:lang w:val="ro-RO"/>
              </w:rPr>
            </w:pPr>
            <w:r w:rsidRPr="009E686F">
              <w:rPr>
                <w:rFonts w:ascii="Times New Roman" w:hAnsi="Times New Roman" w:cs="Times New Roman"/>
                <w:i/>
                <w:lang w:val="ro-RO"/>
              </w:rPr>
              <w:t>(</w:t>
            </w:r>
            <w:r w:rsidR="0096386D" w:rsidRPr="009E686F">
              <w:rPr>
                <w:rFonts w:ascii="Times New Roman" w:hAnsi="Times New Roman" w:cs="Times New Roman"/>
                <w:iCs/>
                <w:lang w:val="ro-RO"/>
              </w:rPr>
              <w:t>3</w:t>
            </w:r>
            <w:r w:rsidR="0096386D" w:rsidRPr="009E686F">
              <w:rPr>
                <w:rFonts w:ascii="Times New Roman" w:hAnsi="Times New Roman" w:cs="Times New Roman"/>
                <w:i/>
                <w:vertAlign w:val="superscript"/>
                <w:lang w:val="ro-RO"/>
              </w:rPr>
              <w:t>1</w:t>
            </w:r>
            <w:r w:rsidRPr="009E686F">
              <w:rPr>
                <w:rFonts w:ascii="Times New Roman" w:hAnsi="Times New Roman" w:cs="Times New Roman"/>
                <w:i/>
                <w:lang w:val="ro-RO"/>
              </w:rPr>
              <w:t>) În aplicarea alin. (3) lit. i</w:t>
            </w:r>
            <w:r w:rsidRPr="009E686F">
              <w:rPr>
                <w:rFonts w:ascii="Times New Roman" w:hAnsi="Times New Roman" w:cs="Times New Roman"/>
                <w:i/>
                <w:vertAlign w:val="superscript"/>
                <w:lang w:val="ro-RO"/>
              </w:rPr>
              <w:t>2</w:t>
            </w:r>
            <w:r w:rsidRPr="009E686F">
              <w:rPr>
                <w:rFonts w:ascii="Times New Roman" w:hAnsi="Times New Roman" w:cs="Times New Roman"/>
                <w:i/>
                <w:lang w:val="ro-RO"/>
              </w:rPr>
              <w:t>), ţinând cont de principiul proporţionalităţii, în cazul instituțiilor mici și de complexitate redusă, Banca Națională a Moldovei poate acorda o derogare sau o procedură simplificată cu privire la planurile specifice aferente monitorizării riscurilor de mediu, sociale și guvernanță, astfel cum este prevăzut în actele normative emise în aplicarea prezentei legi.</w:t>
            </w:r>
          </w:p>
        </w:tc>
        <w:tc>
          <w:tcPr>
            <w:tcW w:w="470" w:type="pct"/>
            <w:tcBorders>
              <w:top w:val="single" w:sz="4" w:space="0" w:color="auto"/>
              <w:left w:val="single" w:sz="4" w:space="0" w:color="auto"/>
              <w:bottom w:val="single" w:sz="4" w:space="0" w:color="auto"/>
              <w:right w:val="single" w:sz="4" w:space="0" w:color="auto"/>
            </w:tcBorders>
          </w:tcPr>
          <w:p w14:paraId="0240DE99" w14:textId="43C2386B"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0DA83574" w14:textId="77777777" w:rsidR="002F47A0" w:rsidRPr="009E686F" w:rsidRDefault="002F47A0" w:rsidP="002F47A0">
            <w:pPr>
              <w:jc w:val="both"/>
              <w:rPr>
                <w:rFonts w:ascii="Times New Roman" w:hAnsi="Times New Roman" w:cs="Times New Roman"/>
                <w:lang w:val="ro-RO"/>
              </w:rPr>
            </w:pPr>
          </w:p>
        </w:tc>
      </w:tr>
      <w:tr w:rsidR="002F47A0" w:rsidRPr="009E686F" w14:paraId="11F7C1EE" w14:textId="77777777" w:rsidTr="005165EC">
        <w:tc>
          <w:tcPr>
            <w:tcW w:w="1796" w:type="pct"/>
            <w:gridSpan w:val="2"/>
            <w:vMerge w:val="restart"/>
            <w:tcBorders>
              <w:top w:val="single" w:sz="4" w:space="0" w:color="auto"/>
              <w:left w:val="single" w:sz="4" w:space="0" w:color="auto"/>
              <w:right w:val="single" w:sz="4" w:space="0" w:color="auto"/>
            </w:tcBorders>
          </w:tcPr>
          <w:p w14:paraId="2B26E924"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 xml:space="preserve">(3) Statele membre se asigură că instituțiile semnificative din punctul de vedere al dimensiunii acestora, al organizării interne și al naturii, amplorii și complexității activităților lor înființează un comitet de risc compus din membri ai organului de conducere care nu îndeplinesc nicio funcție executivă în instituția respectivă. </w:t>
            </w:r>
          </w:p>
          <w:p w14:paraId="00C588CC" w14:textId="0ECADF0D"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 xml:space="preserve">Membrii comitetului de risc trebuie să dispună de nivelul necesar de cunoștințe, competențe și experiență pentru a </w:t>
            </w:r>
            <w:r w:rsidRPr="009E686F">
              <w:rPr>
                <w:rFonts w:ascii="Times New Roman" w:hAnsi="Times New Roman" w:cs="Times New Roman"/>
                <w:lang w:val="ro-RO"/>
              </w:rPr>
              <w:lastRenderedPageBreak/>
              <w:t>înțelege pe deplin și a monitoriza strategia de risc și apetitul pentru risc al instituției.</w:t>
            </w:r>
          </w:p>
        </w:tc>
        <w:tc>
          <w:tcPr>
            <w:tcW w:w="1928" w:type="pct"/>
            <w:gridSpan w:val="3"/>
            <w:tcBorders>
              <w:top w:val="single" w:sz="4" w:space="0" w:color="auto"/>
              <w:left w:val="single" w:sz="4" w:space="0" w:color="auto"/>
              <w:bottom w:val="single" w:sz="4" w:space="0" w:color="auto"/>
              <w:right w:val="single" w:sz="4" w:space="0" w:color="auto"/>
            </w:tcBorders>
          </w:tcPr>
          <w:p w14:paraId="68EB3234" w14:textId="77777777" w:rsidR="002F47A0" w:rsidRPr="009E686F" w:rsidRDefault="002F47A0" w:rsidP="002F47A0">
            <w:pPr>
              <w:spacing w:after="0" w:line="278" w:lineRule="auto"/>
              <w:jc w:val="both"/>
              <w:rPr>
                <w:rFonts w:ascii="Times New Roman" w:hAnsi="Times New Roman" w:cs="Times New Roman"/>
                <w:b/>
                <w:lang w:val="ro-RO"/>
              </w:rPr>
            </w:pPr>
            <w:r w:rsidRPr="009E686F">
              <w:rPr>
                <w:rFonts w:ascii="Times New Roman" w:hAnsi="Times New Roman" w:cs="Times New Roman"/>
                <w:b/>
                <w:lang w:val="ro-RO"/>
              </w:rPr>
              <w:lastRenderedPageBreak/>
              <w:t>Art. 41 alin. (3) lit. h)</w:t>
            </w:r>
          </w:p>
          <w:p w14:paraId="21F1F40C" w14:textId="77777777" w:rsidR="002F47A0" w:rsidRPr="009E686F" w:rsidRDefault="002F47A0" w:rsidP="002F47A0">
            <w:pPr>
              <w:spacing w:after="0" w:line="278" w:lineRule="auto"/>
              <w:jc w:val="both"/>
              <w:rPr>
                <w:rFonts w:ascii="Times New Roman" w:hAnsi="Times New Roman" w:cs="Times New Roman"/>
                <w:lang w:val="ro-RO"/>
              </w:rPr>
            </w:pPr>
            <w:r w:rsidRPr="009E686F">
              <w:rPr>
                <w:rFonts w:ascii="Times New Roman" w:hAnsi="Times New Roman" w:cs="Times New Roman"/>
                <w:lang w:val="ro-RO"/>
              </w:rPr>
              <w:t xml:space="preserve">(3) Consiliul </w:t>
            </w:r>
            <w:r w:rsidRPr="009E686F">
              <w:rPr>
                <w:rFonts w:ascii="Times New Roman" w:hAnsi="Times New Roman" w:cs="Times New Roman"/>
                <w:i/>
                <w:lang w:val="ro-RO"/>
              </w:rPr>
              <w:t>instituției de credit</w:t>
            </w:r>
            <w:r w:rsidRPr="009E686F">
              <w:rPr>
                <w:rFonts w:ascii="Times New Roman" w:hAnsi="Times New Roman" w:cs="Times New Roman"/>
                <w:lang w:val="ro-RO"/>
              </w:rPr>
              <w:t xml:space="preserve"> are următoarele atribuţii principale:</w:t>
            </w:r>
          </w:p>
          <w:p w14:paraId="351DAFE9" w14:textId="17D959F7" w:rsidR="002F47A0" w:rsidRPr="009E686F" w:rsidRDefault="002F47A0" w:rsidP="002F47A0">
            <w:pPr>
              <w:spacing w:after="0"/>
              <w:jc w:val="both"/>
              <w:rPr>
                <w:rFonts w:ascii="Times New Roman" w:hAnsi="Times New Roman" w:cs="Times New Roman"/>
                <w:b/>
                <w:bCs/>
                <w:lang w:val="ro-RO"/>
              </w:rPr>
            </w:pPr>
            <w:r w:rsidRPr="009E686F">
              <w:rPr>
                <w:rFonts w:ascii="Times New Roman" w:hAnsi="Times New Roman" w:cs="Times New Roman"/>
                <w:lang w:val="ro-RO"/>
              </w:rPr>
              <w:t>h) decide cu privire la stabilirea unor comitete specializate prevăzute la art.44, inclusiv numirea membrilor consiliului în componenţa acestora, funcţionarea şi atribuţiile cărora sînt prevăzute de prezenta lege şi actele normative ale Băncii Naţionale a Moldovei;</w:t>
            </w:r>
          </w:p>
        </w:tc>
        <w:tc>
          <w:tcPr>
            <w:tcW w:w="470" w:type="pct"/>
            <w:tcBorders>
              <w:top w:val="single" w:sz="4" w:space="0" w:color="auto"/>
              <w:left w:val="single" w:sz="4" w:space="0" w:color="auto"/>
              <w:bottom w:val="single" w:sz="4" w:space="0" w:color="auto"/>
              <w:right w:val="single" w:sz="4" w:space="0" w:color="auto"/>
            </w:tcBorders>
          </w:tcPr>
          <w:p w14:paraId="4EF24128" w14:textId="6BCDD66C"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3EBA73C2" w14:textId="51E86C9A"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Norme specifice de implementare</w:t>
            </w:r>
          </w:p>
        </w:tc>
      </w:tr>
      <w:tr w:rsidR="002F47A0" w:rsidRPr="009E686F" w14:paraId="7E817AE6" w14:textId="15B548B3" w:rsidTr="005165EC">
        <w:tc>
          <w:tcPr>
            <w:tcW w:w="1796" w:type="pct"/>
            <w:gridSpan w:val="2"/>
            <w:vMerge/>
            <w:tcBorders>
              <w:left w:val="single" w:sz="4" w:space="0" w:color="auto"/>
              <w:bottom w:val="single" w:sz="4" w:space="0" w:color="auto"/>
              <w:right w:val="single" w:sz="4" w:space="0" w:color="auto"/>
            </w:tcBorders>
          </w:tcPr>
          <w:p w14:paraId="4F6F27D2" w14:textId="7F89FCF4" w:rsidR="002F47A0" w:rsidRPr="009E686F" w:rsidRDefault="002F47A0" w:rsidP="002F47A0">
            <w:pPr>
              <w:spacing w:after="0"/>
              <w:jc w:val="both"/>
              <w:rPr>
                <w:rFonts w:ascii="Times New Roman" w:hAnsi="Times New Roman" w:cs="Times New Roman"/>
                <w:lang w:val="ro-RO"/>
              </w:rPr>
            </w:pPr>
          </w:p>
        </w:tc>
        <w:tc>
          <w:tcPr>
            <w:tcW w:w="1928" w:type="pct"/>
            <w:gridSpan w:val="3"/>
            <w:tcBorders>
              <w:top w:val="single" w:sz="4" w:space="0" w:color="auto"/>
              <w:left w:val="single" w:sz="4" w:space="0" w:color="auto"/>
              <w:bottom w:val="single" w:sz="4" w:space="0" w:color="auto"/>
              <w:right w:val="single" w:sz="4" w:space="0" w:color="auto"/>
            </w:tcBorders>
          </w:tcPr>
          <w:p w14:paraId="37EB04D3" w14:textId="5C106B9E" w:rsidR="002F47A0" w:rsidRPr="009E686F" w:rsidRDefault="002F47A0" w:rsidP="002F47A0">
            <w:pPr>
              <w:spacing w:after="0"/>
              <w:jc w:val="both"/>
              <w:rPr>
                <w:rFonts w:ascii="Times New Roman" w:hAnsi="Times New Roman" w:cs="Times New Roman"/>
                <w:b/>
                <w:bCs/>
                <w:lang w:val="ro-RO"/>
              </w:rPr>
            </w:pPr>
            <w:r w:rsidRPr="009E686F">
              <w:rPr>
                <w:rFonts w:ascii="Times New Roman" w:hAnsi="Times New Roman" w:cs="Times New Roman"/>
                <w:b/>
                <w:bCs/>
                <w:lang w:val="ro-RO"/>
              </w:rPr>
              <w:t xml:space="preserve">Articolul 44 </w:t>
            </w:r>
            <w:r w:rsidRPr="009E686F">
              <w:rPr>
                <w:rFonts w:ascii="Times New Roman" w:hAnsi="Times New Roman" w:cs="Times New Roman"/>
                <w:b/>
                <w:lang w:val="ro-RO"/>
              </w:rPr>
              <w:t>alin.</w:t>
            </w:r>
            <w:r w:rsidRPr="009E686F">
              <w:rPr>
                <w:rFonts w:ascii="Times New Roman" w:hAnsi="Times New Roman" w:cs="Times New Roman"/>
                <w:b/>
                <w:bCs/>
                <w:lang w:val="ro-RO"/>
              </w:rPr>
              <w:t xml:space="preserve"> (1), (2), (3), (6)</w:t>
            </w:r>
          </w:p>
          <w:p w14:paraId="61FA3FB1" w14:textId="03662528" w:rsidR="002F47A0" w:rsidRPr="009E686F" w:rsidRDefault="002F47A0" w:rsidP="002F47A0">
            <w:pPr>
              <w:spacing w:after="0" w:line="278" w:lineRule="auto"/>
              <w:jc w:val="both"/>
              <w:rPr>
                <w:rFonts w:ascii="Times New Roman" w:eastAsia="Aptos" w:hAnsi="Times New Roman" w:cs="Times New Roman"/>
                <w:color w:val="0F9ED5"/>
                <w:kern w:val="2"/>
                <w:lang w:val="ro-MD"/>
              </w:rPr>
            </w:pPr>
            <w:r w:rsidRPr="009E686F">
              <w:rPr>
                <w:rFonts w:ascii="Times New Roman" w:eastAsia="Aptos" w:hAnsi="Times New Roman" w:cs="Times New Roman"/>
                <w:kern w:val="2"/>
                <w:lang w:val="ro-MD"/>
              </w:rPr>
              <w:t xml:space="preserve">(1) Entitatea trebuie să înfiinţeze şi să dispună de un comitet de audit şi un comitet de administrare a riscurilor stabilite de consiliul </w:t>
            </w:r>
            <w:r w:rsidRPr="009E686F">
              <w:rPr>
                <w:rFonts w:ascii="Times New Roman" w:eastAsia="Aptos" w:hAnsi="Times New Roman" w:cs="Times New Roman"/>
                <w:i/>
                <w:iCs/>
                <w:kern w:val="2"/>
                <w:lang w:val="ro-MD"/>
              </w:rPr>
              <w:t>instituției de credit</w:t>
            </w:r>
            <w:r w:rsidRPr="009E686F">
              <w:rPr>
                <w:rFonts w:ascii="Times New Roman" w:eastAsia="Aptos" w:hAnsi="Times New Roman" w:cs="Times New Roman"/>
                <w:kern w:val="2"/>
                <w:lang w:val="ro-MD"/>
              </w:rPr>
              <w:t>.</w:t>
            </w:r>
            <w:r w:rsidRPr="009E686F">
              <w:rPr>
                <w:rFonts w:ascii="Times New Roman" w:eastAsia="Aptos" w:hAnsi="Times New Roman" w:cs="Times New Roman"/>
                <w:color w:val="FF0000"/>
                <w:kern w:val="2"/>
                <w:lang w:val="ro-MD"/>
              </w:rPr>
              <w:t xml:space="preserve"> </w:t>
            </w:r>
          </w:p>
          <w:p w14:paraId="586A66A8" w14:textId="30B42668" w:rsidR="002F47A0" w:rsidRPr="009E686F" w:rsidRDefault="002F47A0" w:rsidP="002F47A0">
            <w:pPr>
              <w:spacing w:after="0" w:line="278" w:lineRule="auto"/>
              <w:jc w:val="both"/>
              <w:rPr>
                <w:rFonts w:ascii="Times New Roman" w:eastAsia="Aptos" w:hAnsi="Times New Roman" w:cs="Times New Roman"/>
                <w:color w:val="FF0000"/>
                <w:kern w:val="2"/>
                <w:lang w:val="ro-MD"/>
              </w:rPr>
            </w:pPr>
            <w:r w:rsidRPr="009E686F">
              <w:rPr>
                <w:rFonts w:ascii="Times New Roman" w:eastAsia="Aptos" w:hAnsi="Times New Roman" w:cs="Times New Roman"/>
                <w:kern w:val="2"/>
                <w:lang w:val="ro-MD"/>
              </w:rPr>
              <w:t xml:space="preserve">(2) În </w:t>
            </w:r>
            <w:r w:rsidRPr="009E686F">
              <w:rPr>
                <w:rFonts w:ascii="Times New Roman" w:eastAsia="Aptos" w:hAnsi="Times New Roman" w:cs="Times New Roman"/>
                <w:i/>
                <w:iCs/>
                <w:kern w:val="2"/>
                <w:lang w:val="ro-MD"/>
              </w:rPr>
              <w:t>instituțiile de credit</w:t>
            </w:r>
            <w:r w:rsidRPr="009E686F">
              <w:rPr>
                <w:rFonts w:ascii="Times New Roman" w:eastAsia="Aptos" w:hAnsi="Times New Roman" w:cs="Times New Roman"/>
                <w:kern w:val="2"/>
                <w:lang w:val="ro-MD"/>
              </w:rPr>
              <w:t xml:space="preserve">  semnificative din punctul de vedere al dimensiunii, organizării interne şi naturii, amplorii şi complexităţii activităţilor acestora, consiliul </w:t>
            </w:r>
            <w:r w:rsidRPr="009E686F">
              <w:rPr>
                <w:rFonts w:ascii="Times New Roman" w:eastAsia="Aptos" w:hAnsi="Times New Roman" w:cs="Times New Roman"/>
                <w:i/>
                <w:iCs/>
                <w:kern w:val="2"/>
                <w:lang w:val="ro-MD"/>
              </w:rPr>
              <w:t>instituției de credit</w:t>
            </w:r>
            <w:r w:rsidRPr="009E686F">
              <w:rPr>
                <w:rFonts w:ascii="Times New Roman" w:eastAsia="Aptos" w:hAnsi="Times New Roman" w:cs="Times New Roman"/>
                <w:kern w:val="2"/>
                <w:lang w:val="ro-MD"/>
              </w:rPr>
              <w:t>, suplimentar la comitetele prevăzute la alin.(1), înfiinţează comitetul de numire şi comitetul de remunerare.</w:t>
            </w:r>
          </w:p>
          <w:p w14:paraId="370BFA0C" w14:textId="0F411683" w:rsidR="002F47A0" w:rsidRPr="009E686F" w:rsidRDefault="002F47A0" w:rsidP="002F47A0">
            <w:pPr>
              <w:spacing w:after="0"/>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 xml:space="preserve">(3) Comitetele specializate menţionate la alin.(1) şi (2) trebuie să fie formate exclusiv din membri ai consiliului </w:t>
            </w:r>
            <w:r w:rsidRPr="009E686F">
              <w:rPr>
                <w:rFonts w:ascii="Times New Roman" w:eastAsia="Aptos" w:hAnsi="Times New Roman" w:cs="Times New Roman"/>
                <w:i/>
                <w:iCs/>
                <w:kern w:val="2"/>
                <w:lang w:val="ro-MD"/>
              </w:rPr>
              <w:t>instituției de credit</w:t>
            </w:r>
            <w:r w:rsidRPr="009E686F">
              <w:rPr>
                <w:rFonts w:ascii="Times New Roman" w:eastAsia="Aptos" w:hAnsi="Times New Roman" w:cs="Times New Roman"/>
                <w:kern w:val="2"/>
                <w:lang w:val="ro-MD"/>
              </w:rPr>
              <w:t xml:space="preserve"> şi cel puţin 1/3 din membrii acestora trebuie să fie independenţi conform art.41 alin.(5). Comitetele specializate prevăzute la prezentul articol raportează direct consiliului </w:t>
            </w:r>
            <w:r w:rsidRPr="009E686F">
              <w:rPr>
                <w:rFonts w:ascii="Times New Roman" w:eastAsia="Aptos" w:hAnsi="Times New Roman" w:cs="Times New Roman"/>
                <w:i/>
                <w:iCs/>
                <w:kern w:val="2"/>
                <w:lang w:val="ro-MD"/>
              </w:rPr>
              <w:t>instituției de credit</w:t>
            </w:r>
            <w:r w:rsidRPr="009E686F">
              <w:rPr>
                <w:rFonts w:ascii="Times New Roman" w:eastAsia="Aptos" w:hAnsi="Times New Roman" w:cs="Times New Roman"/>
                <w:kern w:val="2"/>
                <w:lang w:val="ro-MD"/>
              </w:rPr>
              <w:t>.</w:t>
            </w:r>
          </w:p>
          <w:p w14:paraId="391AC21F" w14:textId="77777777" w:rsidR="002F47A0" w:rsidRPr="009E686F" w:rsidRDefault="002F47A0" w:rsidP="002F47A0">
            <w:pPr>
              <w:spacing w:after="0"/>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 xml:space="preserve">(6) </w:t>
            </w:r>
            <w:r w:rsidRPr="009E686F">
              <w:rPr>
                <w:rFonts w:ascii="Times New Roman" w:eastAsia="Aptos" w:hAnsi="Times New Roman" w:cs="Times New Roman"/>
                <w:i/>
                <w:iCs/>
                <w:kern w:val="2"/>
                <w:lang w:val="ro-MD"/>
              </w:rPr>
              <w:t>Instituțiile de credit</w:t>
            </w:r>
            <w:r w:rsidRPr="009E686F">
              <w:rPr>
                <w:rFonts w:ascii="Times New Roman" w:eastAsia="Aptos" w:hAnsi="Times New Roman" w:cs="Times New Roman"/>
                <w:kern w:val="2"/>
                <w:lang w:val="ro-MD"/>
              </w:rPr>
              <w:t xml:space="preserve"> care nu sunt considerate semnificative au dreptul să reunească comitetul de audit şi comitetul de administrare a riscurilor, iar </w:t>
            </w:r>
            <w:r w:rsidRPr="009E686F">
              <w:rPr>
                <w:rFonts w:ascii="Times New Roman" w:eastAsia="Aptos" w:hAnsi="Times New Roman" w:cs="Times New Roman"/>
                <w:i/>
                <w:iCs/>
                <w:kern w:val="2"/>
                <w:lang w:val="ro-MD"/>
              </w:rPr>
              <w:t>instituțiile de credit</w:t>
            </w:r>
            <w:r w:rsidRPr="009E686F">
              <w:rPr>
                <w:rFonts w:ascii="Times New Roman" w:eastAsia="Aptos" w:hAnsi="Times New Roman" w:cs="Times New Roman"/>
                <w:kern w:val="2"/>
                <w:lang w:val="ro-MD"/>
              </w:rPr>
              <w:t xml:space="preserve"> considerate semnificative au dreptul să reunească comitetul de numire şi comitetul de remunerare. Decizia argumentată de reunire a comitetelor, în ambele cazuri, este notificată Băncii Naţionale a Moldovei în termen de 10 zile de la aprobarea hotărârii respective de către consiliul entității. Membrii comitetelor astfel reunite trebuie să dispună de cunoştinţele, aptitudinile şi experienţa necesare pentru asigurarea bunei funcţionări a acestora. Neîndeplinirea cerinţelor privind calitatea membrilor din comitetele reunite acordă Băncii Naţionale a Moldovei dreptul de a se opune deciziei de reunire a comitetelor, inclusiv de a solicita entității întreprinderea măsurilor necesare în vederea remedierii deficienţelor.</w:t>
            </w:r>
          </w:p>
          <w:p w14:paraId="26C6669A" w14:textId="706F7559" w:rsidR="002F47A0" w:rsidRPr="009E686F" w:rsidRDefault="002F47A0" w:rsidP="002F47A0">
            <w:pPr>
              <w:spacing w:after="0"/>
              <w:jc w:val="both"/>
              <w:rPr>
                <w:rFonts w:ascii="Times New Roman" w:eastAsia="Aptos" w:hAnsi="Times New Roman" w:cs="Times New Roman"/>
                <w:b/>
                <w:bCs/>
                <w:kern w:val="2"/>
                <w:lang w:val="ro-MD"/>
              </w:rPr>
            </w:pPr>
            <w:r w:rsidRPr="009E686F">
              <w:rPr>
                <w:rFonts w:ascii="Times New Roman" w:eastAsia="Aptos" w:hAnsi="Times New Roman" w:cs="Times New Roman"/>
                <w:b/>
                <w:bCs/>
                <w:kern w:val="2"/>
                <w:lang w:val="ro-MD"/>
              </w:rPr>
              <w:lastRenderedPageBreak/>
              <w:t>Pct. 45 din Regulamentul privind cadrul de administrare a activităţii băncilor, aprobat prin HCE nr. 322  din  20.12.2018</w:t>
            </w:r>
          </w:p>
          <w:p w14:paraId="233ADC02" w14:textId="35DAD266" w:rsidR="002F47A0" w:rsidRPr="009E686F" w:rsidRDefault="002F47A0" w:rsidP="002F47A0">
            <w:pPr>
              <w:spacing w:after="0"/>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45. Cel puţin unul din membrii comitetului de administrare a riscurilor trebuie să aibă experienţă relevantă domeniului de administrare şi/sau control al riscurilor.</w:t>
            </w:r>
          </w:p>
        </w:tc>
        <w:tc>
          <w:tcPr>
            <w:tcW w:w="470" w:type="pct"/>
            <w:tcBorders>
              <w:top w:val="single" w:sz="4" w:space="0" w:color="auto"/>
              <w:left w:val="single" w:sz="4" w:space="0" w:color="auto"/>
              <w:bottom w:val="single" w:sz="4" w:space="0" w:color="auto"/>
              <w:right w:val="single" w:sz="4" w:space="0" w:color="auto"/>
            </w:tcBorders>
          </w:tcPr>
          <w:p w14:paraId="2416F0DA" w14:textId="70C255D1"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lastRenderedPageBreak/>
              <w:t>Parțial compatibil</w:t>
            </w:r>
          </w:p>
          <w:p w14:paraId="1F22908C" w14:textId="77777777" w:rsidR="002F47A0" w:rsidRPr="009E686F" w:rsidRDefault="002F47A0" w:rsidP="002F47A0">
            <w:pPr>
              <w:jc w:val="both"/>
              <w:rPr>
                <w:rFonts w:ascii="Times New Roman" w:hAnsi="Times New Roman" w:cs="Times New Roman"/>
                <w:lang w:val="ro-RO"/>
              </w:rPr>
            </w:pPr>
          </w:p>
          <w:p w14:paraId="0C100AED" w14:textId="77777777" w:rsidR="002F47A0" w:rsidRPr="009E686F" w:rsidRDefault="002F47A0" w:rsidP="002F47A0">
            <w:pPr>
              <w:jc w:val="both"/>
              <w:rPr>
                <w:rFonts w:ascii="Times New Roman" w:hAnsi="Times New Roman" w:cs="Times New Roman"/>
                <w:lang w:val="ro-RO"/>
              </w:rPr>
            </w:pPr>
          </w:p>
          <w:p w14:paraId="5E7FE530" w14:textId="77777777" w:rsidR="002F47A0" w:rsidRPr="009E686F" w:rsidRDefault="002F47A0" w:rsidP="002F47A0">
            <w:pPr>
              <w:jc w:val="both"/>
              <w:rPr>
                <w:rFonts w:ascii="Times New Roman" w:hAnsi="Times New Roman" w:cs="Times New Roman"/>
                <w:lang w:val="ro-RO"/>
              </w:rPr>
            </w:pPr>
          </w:p>
          <w:p w14:paraId="6B883A07" w14:textId="77777777" w:rsidR="002F47A0" w:rsidRPr="009E686F" w:rsidRDefault="002F47A0" w:rsidP="002F47A0">
            <w:pPr>
              <w:jc w:val="both"/>
              <w:rPr>
                <w:rFonts w:ascii="Times New Roman" w:hAnsi="Times New Roman" w:cs="Times New Roman"/>
                <w:lang w:val="ro-RO"/>
              </w:rPr>
            </w:pPr>
          </w:p>
          <w:p w14:paraId="64270558" w14:textId="77777777" w:rsidR="002F47A0" w:rsidRPr="009E686F" w:rsidRDefault="002F47A0" w:rsidP="002F47A0">
            <w:pPr>
              <w:jc w:val="both"/>
              <w:rPr>
                <w:rFonts w:ascii="Times New Roman" w:hAnsi="Times New Roman" w:cs="Times New Roman"/>
                <w:lang w:val="ro-RO"/>
              </w:rPr>
            </w:pPr>
          </w:p>
          <w:p w14:paraId="4804E2E6" w14:textId="77777777" w:rsidR="002F47A0" w:rsidRPr="009E686F" w:rsidRDefault="002F47A0" w:rsidP="002F47A0">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45B9D3D2" w14:textId="173BBA0F" w:rsidR="002F47A0" w:rsidRPr="009E686F" w:rsidRDefault="002F47A0" w:rsidP="005A2844">
            <w:pPr>
              <w:jc w:val="both"/>
              <w:rPr>
                <w:rFonts w:ascii="Times New Roman" w:hAnsi="Times New Roman" w:cs="Times New Roman"/>
                <w:lang w:val="ro-RO"/>
              </w:rPr>
            </w:pPr>
            <w:r w:rsidRPr="009E686F">
              <w:rPr>
                <w:rFonts w:ascii="Times New Roman" w:hAnsi="Times New Roman" w:cs="Times New Roman"/>
                <w:lang w:val="ro-RO"/>
              </w:rPr>
              <w:t xml:space="preserve">În cazul R.Moldova se dorește ca fiecare instituție de credit să dispună de un comitet de risc, ținând cont de specificul și problemele sistemului bancar. </w:t>
            </w:r>
          </w:p>
          <w:p w14:paraId="5E7499F1" w14:textId="30E4A487" w:rsidR="005A2844" w:rsidRPr="009E686F" w:rsidRDefault="002F47A0" w:rsidP="005A2844">
            <w:pPr>
              <w:jc w:val="both"/>
              <w:rPr>
                <w:rFonts w:ascii="Times New Roman" w:eastAsia="Times New Roman" w:hAnsi="Times New Roman" w:cs="Times New Roman"/>
                <w:bCs/>
                <w:lang w:val="it-CH" w:eastAsia="ru-RU"/>
              </w:rPr>
            </w:pPr>
            <w:r w:rsidRPr="009E686F">
              <w:rPr>
                <w:rFonts w:ascii="Times New Roman" w:hAnsi="Times New Roman" w:cs="Times New Roman"/>
                <w:lang w:val="ro-RO"/>
              </w:rPr>
              <w:t xml:space="preserve">Totodată, </w:t>
            </w:r>
            <w:r w:rsidR="005A2844" w:rsidRPr="009E686F">
              <w:rPr>
                <w:rFonts w:ascii="Times New Roman" w:hAnsi="Times New Roman" w:cs="Times New Roman"/>
                <w:lang w:val="ro-RO"/>
              </w:rPr>
              <w:t>t</w:t>
            </w:r>
            <w:r w:rsidRPr="009E686F">
              <w:rPr>
                <w:rFonts w:ascii="Times New Roman" w:hAnsi="Times New Roman" w:cs="Times New Roman"/>
                <w:lang w:val="ro-RO"/>
              </w:rPr>
              <w:t>ranspunerea totală se va asigura prin proiectul de modificare a Regulamentului nr. 322/2018</w:t>
            </w:r>
            <w:r w:rsidR="005A2844" w:rsidRPr="009E686F">
              <w:rPr>
                <w:rFonts w:ascii="Times New Roman" w:hAnsi="Times New Roman" w:cs="Times New Roman"/>
                <w:lang w:val="ro-RO"/>
              </w:rPr>
              <w:t xml:space="preserve"> (</w:t>
            </w:r>
            <w:r w:rsidR="005A2844" w:rsidRPr="009E686F">
              <w:rPr>
                <w:rFonts w:ascii="Times New Roman" w:eastAsia="Times New Roman" w:hAnsi="Times New Roman" w:cs="Times New Roman"/>
                <w:bCs/>
                <w:lang w:val="it-CH" w:eastAsia="ru-RU"/>
              </w:rPr>
              <w:t>acțiunea normativă nr. 2 din Anexa A din PNA 2025-2029 aferentă Capitolului 9 “Servicii financiare” în legătură cu transpunerea Directivei 2013/36/UE).</w:t>
            </w:r>
          </w:p>
          <w:p w14:paraId="313FE9BC" w14:textId="3A42A9FD" w:rsidR="002F47A0" w:rsidRPr="009E686F" w:rsidRDefault="002F47A0" w:rsidP="005A2844">
            <w:pPr>
              <w:jc w:val="both"/>
              <w:rPr>
                <w:rFonts w:ascii="Times New Roman" w:hAnsi="Times New Roman" w:cs="Times New Roman"/>
                <w:lang w:val="it-CH"/>
              </w:rPr>
            </w:pPr>
          </w:p>
          <w:p w14:paraId="7B928AED" w14:textId="77777777" w:rsidR="002F47A0" w:rsidRPr="009E686F" w:rsidRDefault="002F47A0" w:rsidP="005A2844">
            <w:pPr>
              <w:jc w:val="both"/>
              <w:rPr>
                <w:rFonts w:ascii="Times New Roman" w:hAnsi="Times New Roman" w:cs="Times New Roman"/>
                <w:lang w:val="ro-RO"/>
              </w:rPr>
            </w:pPr>
          </w:p>
          <w:p w14:paraId="0B0F0305" w14:textId="17342C56" w:rsidR="002F47A0" w:rsidRPr="009E686F" w:rsidRDefault="002F47A0" w:rsidP="005A2844">
            <w:pPr>
              <w:jc w:val="both"/>
              <w:rPr>
                <w:rFonts w:ascii="Times New Roman" w:hAnsi="Times New Roman" w:cs="Times New Roman"/>
                <w:lang w:val="ro-RO"/>
              </w:rPr>
            </w:pPr>
          </w:p>
        </w:tc>
      </w:tr>
      <w:tr w:rsidR="002F47A0" w:rsidRPr="009E686F" w14:paraId="54E21260"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23093390" w14:textId="641CDEB9"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lastRenderedPageBreak/>
              <w:t>Comitetul de risc consiliază organul de conducere cu privire la apetitul pentru risc și strategia de risc globale actuale și viitoare ale instituției și sprijină organul de conducere în monitorizarea punerii în aplicare a acestei strategii de către conducerea superioară. Responsabilitatea generală în privința riscurilor îi revine în continuare organului de conducere.</w:t>
            </w:r>
          </w:p>
        </w:tc>
        <w:tc>
          <w:tcPr>
            <w:tcW w:w="1928" w:type="pct"/>
            <w:gridSpan w:val="3"/>
            <w:tcBorders>
              <w:top w:val="single" w:sz="4" w:space="0" w:color="auto"/>
              <w:left w:val="single" w:sz="4" w:space="0" w:color="auto"/>
              <w:bottom w:val="single" w:sz="4" w:space="0" w:color="auto"/>
              <w:right w:val="single" w:sz="4" w:space="0" w:color="auto"/>
            </w:tcBorders>
          </w:tcPr>
          <w:p w14:paraId="122F4EA7" w14:textId="77777777" w:rsidR="002F47A0" w:rsidRPr="009E686F" w:rsidRDefault="002F47A0" w:rsidP="002F47A0">
            <w:pPr>
              <w:spacing w:after="0"/>
              <w:jc w:val="both"/>
              <w:rPr>
                <w:rFonts w:ascii="Times New Roman" w:hAnsi="Times New Roman" w:cs="Times New Roman"/>
                <w:b/>
                <w:bCs/>
                <w:lang w:val="pt-BR"/>
              </w:rPr>
            </w:pPr>
            <w:r w:rsidRPr="009E686F">
              <w:rPr>
                <w:rFonts w:ascii="Times New Roman" w:hAnsi="Times New Roman" w:cs="Times New Roman"/>
                <w:b/>
                <w:bCs/>
                <w:lang w:val="pt-BR"/>
              </w:rPr>
              <w:t>Pct. 39 din Regulamentul privind cadrul de administrare a activităţii băncilor, aprobat prin HCE nr. 322  din  20.12.2018</w:t>
            </w:r>
          </w:p>
          <w:p w14:paraId="330BE545" w14:textId="55CC4F35"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39. Comitetul de administrare a riscurilor oferă suport consiliului cu privire la apetitul la risc şi la strategia de risc actuale şi viitoare ale băncii şi sprijină consiliul în monitorizarea aplicării acestei strategii de către organul executiv. Responsabilitatea generală privind riscurile îi revine în continuare consiliului băncii.</w:t>
            </w:r>
          </w:p>
        </w:tc>
        <w:tc>
          <w:tcPr>
            <w:tcW w:w="470" w:type="pct"/>
            <w:tcBorders>
              <w:top w:val="single" w:sz="4" w:space="0" w:color="auto"/>
              <w:left w:val="single" w:sz="4" w:space="0" w:color="auto"/>
              <w:bottom w:val="single" w:sz="4" w:space="0" w:color="auto"/>
              <w:right w:val="single" w:sz="4" w:space="0" w:color="auto"/>
            </w:tcBorders>
          </w:tcPr>
          <w:p w14:paraId="413E57BC" w14:textId="77777777"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p w14:paraId="6A674641" w14:textId="77777777" w:rsidR="002F47A0" w:rsidRPr="009E686F" w:rsidRDefault="002F47A0" w:rsidP="002F47A0">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16FF22AD" w14:textId="77777777" w:rsidR="002F47A0" w:rsidRPr="009E686F" w:rsidRDefault="002F47A0" w:rsidP="002F47A0">
            <w:pPr>
              <w:jc w:val="both"/>
              <w:rPr>
                <w:rFonts w:ascii="Times New Roman" w:hAnsi="Times New Roman" w:cs="Times New Roman"/>
                <w:lang w:val="ro-RO"/>
              </w:rPr>
            </w:pPr>
          </w:p>
        </w:tc>
      </w:tr>
      <w:tr w:rsidR="002F47A0" w:rsidRPr="009E686F" w14:paraId="66A5BF3F" w14:textId="1D422754" w:rsidTr="00774F3E">
        <w:tc>
          <w:tcPr>
            <w:tcW w:w="1796" w:type="pct"/>
            <w:gridSpan w:val="2"/>
            <w:tcBorders>
              <w:top w:val="single" w:sz="4" w:space="0" w:color="auto"/>
              <w:left w:val="single" w:sz="4" w:space="0" w:color="auto"/>
              <w:bottom w:val="single" w:sz="4" w:space="0" w:color="auto"/>
              <w:right w:val="single" w:sz="4" w:space="0" w:color="auto"/>
            </w:tcBorders>
          </w:tcPr>
          <w:p w14:paraId="3AF4CBD3"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Comitetul de risc verifică dacă prețurile activelor și pasivelor oferite clienților țin seama pe deplin de modelul de afaceri și strategia de risc ale instituției. În cazul în care prețurile nu reflectă riscurile în mod adecvat în conformitate cu modelul de afaceri și cu strategia de risc, comitetul de risc prezintă organului de conducere un plan de remediere a situației.</w:t>
            </w:r>
          </w:p>
        </w:tc>
        <w:tc>
          <w:tcPr>
            <w:tcW w:w="1928" w:type="pct"/>
            <w:gridSpan w:val="3"/>
            <w:tcBorders>
              <w:top w:val="single" w:sz="4" w:space="0" w:color="auto"/>
              <w:left w:val="single" w:sz="4" w:space="0" w:color="auto"/>
              <w:bottom w:val="single" w:sz="4" w:space="0" w:color="auto"/>
              <w:right w:val="single" w:sz="4" w:space="0" w:color="auto"/>
            </w:tcBorders>
          </w:tcPr>
          <w:p w14:paraId="45BBA068" w14:textId="75D66473" w:rsidR="002F47A0" w:rsidRPr="009E686F" w:rsidRDefault="002F47A0" w:rsidP="002F47A0">
            <w:pPr>
              <w:spacing w:after="0"/>
              <w:jc w:val="both"/>
              <w:rPr>
                <w:rFonts w:ascii="Times New Roman" w:hAnsi="Times New Roman" w:cs="Times New Roman"/>
                <w:b/>
                <w:bCs/>
                <w:lang w:val="pt-BR"/>
              </w:rPr>
            </w:pPr>
            <w:r w:rsidRPr="009E686F">
              <w:rPr>
                <w:rFonts w:ascii="Times New Roman" w:hAnsi="Times New Roman" w:cs="Times New Roman"/>
                <w:b/>
                <w:bCs/>
                <w:lang w:val="pt-BR"/>
              </w:rPr>
              <w:t>Pct. 43 din Regulamentul privind cadrul de administrare a activităţii băncilor, aprobat prin HCE nr. 322  din  20.12.2018</w:t>
            </w:r>
          </w:p>
          <w:p w14:paraId="4F875140" w14:textId="7196EAD3"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43. Fără a aduce atingere responsabilităţilor atribuite membrilor consiliului băncii, comitetul de administrare a riscurilor are, cel puţin, următoarele responsabilităţi:</w:t>
            </w:r>
          </w:p>
          <w:p w14:paraId="02F2E9FB"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3) supraveghează alinierea între toate produsele şi serviciile financiare oferite clienţilor şi modelul de afaceri şi strategia de risc a băncii, evaluează riscurile asociate produselor şi serviciilor financiare oferite şi ţine cont de alinierea dintre preţurile atribuite şi profiturile obţinute din aceste produse şi servicii;</w:t>
            </w:r>
          </w:p>
          <w:p w14:paraId="0A04D2A9" w14:textId="3CA3BA8C" w:rsidR="002F47A0" w:rsidRPr="009E686F" w:rsidRDefault="002F47A0" w:rsidP="002F47A0">
            <w:pPr>
              <w:spacing w:after="0"/>
              <w:jc w:val="both"/>
              <w:rPr>
                <w:rFonts w:ascii="Times New Roman" w:hAnsi="Times New Roman" w:cs="Times New Roman"/>
                <w:lang w:val="it-CH"/>
              </w:rPr>
            </w:pPr>
            <w:r w:rsidRPr="009E686F">
              <w:rPr>
                <w:rFonts w:ascii="Times New Roman" w:hAnsi="Times New Roman" w:cs="Times New Roman"/>
                <w:lang w:val="ro-RO"/>
              </w:rPr>
              <w:t xml:space="preserve">4) prezintă consiliului băncii recomandări privind ajustările necesare ale strategiei de risc </w:t>
            </w:r>
            <w:r w:rsidRPr="009E686F">
              <w:rPr>
                <w:rFonts w:ascii="Times New Roman" w:hAnsi="Times New Roman" w:cs="Times New Roman"/>
                <w:lang w:val="it-CH"/>
              </w:rPr>
              <w:t>[…]</w:t>
            </w:r>
          </w:p>
        </w:tc>
        <w:tc>
          <w:tcPr>
            <w:tcW w:w="470" w:type="pct"/>
            <w:tcBorders>
              <w:top w:val="single" w:sz="4" w:space="0" w:color="auto"/>
              <w:left w:val="single" w:sz="4" w:space="0" w:color="auto"/>
              <w:bottom w:val="single" w:sz="4" w:space="0" w:color="auto"/>
              <w:right w:val="single" w:sz="4" w:space="0" w:color="auto"/>
            </w:tcBorders>
          </w:tcPr>
          <w:p w14:paraId="03C15FCB" w14:textId="328981BA"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p w14:paraId="3817084A" w14:textId="5C8AD18C" w:rsidR="002F47A0" w:rsidRPr="009E686F" w:rsidRDefault="002F47A0" w:rsidP="002F47A0">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3EE725E3" w14:textId="77777777" w:rsidR="002F47A0" w:rsidRPr="009E686F" w:rsidRDefault="002F47A0" w:rsidP="002F47A0">
            <w:pPr>
              <w:jc w:val="both"/>
              <w:rPr>
                <w:rFonts w:ascii="Times New Roman" w:hAnsi="Times New Roman" w:cs="Times New Roman"/>
                <w:lang w:val="ro-RO"/>
              </w:rPr>
            </w:pPr>
          </w:p>
        </w:tc>
      </w:tr>
      <w:tr w:rsidR="002F47A0" w:rsidRPr="009E686F" w14:paraId="46BB3918" w14:textId="1E1EF87F" w:rsidTr="00774F3E">
        <w:tc>
          <w:tcPr>
            <w:tcW w:w="1796" w:type="pct"/>
            <w:gridSpan w:val="2"/>
            <w:tcBorders>
              <w:top w:val="single" w:sz="4" w:space="0" w:color="auto"/>
              <w:left w:val="single" w:sz="4" w:space="0" w:color="auto"/>
              <w:bottom w:val="single" w:sz="4" w:space="0" w:color="auto"/>
              <w:right w:val="single" w:sz="4" w:space="0" w:color="auto"/>
            </w:tcBorders>
          </w:tcPr>
          <w:p w14:paraId="388EA84E"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 xml:space="preserve">Autoritățile competente pot permite unei instituții, care nu este considerată semnificativă în sensul primului paragraf, să unifice comitetul de risc și comitetul de audit astfel cum </w:t>
            </w:r>
            <w:r w:rsidRPr="009E686F">
              <w:rPr>
                <w:rFonts w:ascii="Times New Roman" w:hAnsi="Times New Roman" w:cs="Times New Roman"/>
                <w:lang w:val="ro-RO"/>
              </w:rPr>
              <w:lastRenderedPageBreak/>
              <w:t>este menționat la articolul 41 din Directiva 2006/43/CE. Membrii comitetului mixt au cunoștințele, competențele și experiența necesare atât pentru comitetul de risc, cât și pentru cel de audit.</w:t>
            </w:r>
          </w:p>
        </w:tc>
        <w:tc>
          <w:tcPr>
            <w:tcW w:w="1928" w:type="pct"/>
            <w:gridSpan w:val="3"/>
            <w:tcBorders>
              <w:top w:val="single" w:sz="4" w:space="0" w:color="auto"/>
              <w:left w:val="single" w:sz="4" w:space="0" w:color="auto"/>
              <w:bottom w:val="single" w:sz="4" w:space="0" w:color="auto"/>
              <w:right w:val="single" w:sz="4" w:space="0" w:color="auto"/>
            </w:tcBorders>
          </w:tcPr>
          <w:p w14:paraId="460DB55C"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b/>
                <w:bCs/>
                <w:lang w:val="ro-RO"/>
              </w:rPr>
              <w:lastRenderedPageBreak/>
              <w:t>Articolul 44 alin. (6)</w:t>
            </w:r>
            <w:r w:rsidRPr="009E686F">
              <w:rPr>
                <w:rFonts w:ascii="Times New Roman" w:hAnsi="Times New Roman" w:cs="Times New Roman"/>
                <w:lang w:val="ro-RO"/>
              </w:rPr>
              <w:t xml:space="preserve">  </w:t>
            </w:r>
          </w:p>
          <w:p w14:paraId="3D4101FA" w14:textId="74218C3B"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 xml:space="preserve">Banca Națională a Moldovei poate permite unei  </w:t>
            </w:r>
            <w:r w:rsidRPr="009E686F">
              <w:rPr>
                <w:rFonts w:ascii="Times New Roman" w:hAnsi="Times New Roman" w:cs="Times New Roman"/>
                <w:i/>
                <w:iCs/>
                <w:lang w:val="ro-RO"/>
              </w:rPr>
              <w:t>instituții de credit</w:t>
            </w:r>
            <w:r w:rsidRPr="009E686F">
              <w:rPr>
                <w:rFonts w:ascii="Times New Roman" w:hAnsi="Times New Roman" w:cs="Times New Roman"/>
                <w:lang w:val="ro-RO"/>
              </w:rPr>
              <w:t xml:space="preserve">, care nu este considerată semnificativă, să reunească </w:t>
            </w:r>
            <w:r w:rsidRPr="009E686F">
              <w:rPr>
                <w:rFonts w:ascii="Times New Roman" w:hAnsi="Times New Roman" w:cs="Times New Roman"/>
                <w:lang w:val="ro-RO"/>
              </w:rPr>
              <w:lastRenderedPageBreak/>
              <w:t>comitetul de administrare a riscurilor şi comitetul de audit. Membrii comitetului astfel reunit trebuie să dispună de cunoștințele, competențele şi expertiza necesară atât pentru comitetul de administrare a riscurilor, cât şi pentru comitetul de audit.</w:t>
            </w:r>
          </w:p>
        </w:tc>
        <w:tc>
          <w:tcPr>
            <w:tcW w:w="470" w:type="pct"/>
            <w:tcBorders>
              <w:top w:val="single" w:sz="4" w:space="0" w:color="auto"/>
              <w:left w:val="single" w:sz="4" w:space="0" w:color="auto"/>
              <w:bottom w:val="single" w:sz="4" w:space="0" w:color="auto"/>
              <w:right w:val="single" w:sz="4" w:space="0" w:color="auto"/>
            </w:tcBorders>
          </w:tcPr>
          <w:p w14:paraId="01F59E01" w14:textId="133CCAC1"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141F9DAD" w14:textId="77777777" w:rsidR="002F47A0" w:rsidRPr="009E686F" w:rsidRDefault="002F47A0" w:rsidP="002F47A0">
            <w:pPr>
              <w:jc w:val="both"/>
              <w:rPr>
                <w:rFonts w:ascii="Times New Roman" w:hAnsi="Times New Roman" w:cs="Times New Roman"/>
                <w:lang w:val="ro-RO"/>
              </w:rPr>
            </w:pPr>
          </w:p>
        </w:tc>
      </w:tr>
      <w:tr w:rsidR="002F47A0" w:rsidRPr="009E686F" w14:paraId="399F343E" w14:textId="3B8789A6" w:rsidTr="00774F3E">
        <w:tc>
          <w:tcPr>
            <w:tcW w:w="1796" w:type="pct"/>
            <w:gridSpan w:val="2"/>
            <w:tcBorders>
              <w:top w:val="single" w:sz="4" w:space="0" w:color="auto"/>
              <w:left w:val="single" w:sz="4" w:space="0" w:color="auto"/>
              <w:bottom w:val="single" w:sz="4" w:space="0" w:color="auto"/>
              <w:right w:val="single" w:sz="4" w:space="0" w:color="auto"/>
            </w:tcBorders>
          </w:tcPr>
          <w:p w14:paraId="2CA34487" w14:textId="4A69E43B"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(4) Statele membre se asigură că organul de conducere, în funcția sa de supraveghere, precum și comitetul de risc, în cazul în care s-a înființat un astfel de comitet, au accesul corespunzător la informații privind profilul de risc al instituției și, dacă este necesar și adecvat, la funcția de gestionare a riscurilor și la consultanță de specialitate externă.</w:t>
            </w:r>
          </w:p>
        </w:tc>
        <w:tc>
          <w:tcPr>
            <w:tcW w:w="1928" w:type="pct"/>
            <w:gridSpan w:val="3"/>
            <w:tcBorders>
              <w:top w:val="single" w:sz="4" w:space="0" w:color="auto"/>
              <w:left w:val="single" w:sz="4" w:space="0" w:color="auto"/>
              <w:bottom w:val="single" w:sz="4" w:space="0" w:color="auto"/>
              <w:right w:val="single" w:sz="4" w:space="0" w:color="auto"/>
            </w:tcBorders>
          </w:tcPr>
          <w:p w14:paraId="3BCB8F6D" w14:textId="1596ED7B" w:rsidR="002F47A0" w:rsidRPr="009E686F" w:rsidRDefault="002F47A0" w:rsidP="002F47A0">
            <w:pPr>
              <w:spacing w:after="0"/>
              <w:jc w:val="both"/>
              <w:rPr>
                <w:rFonts w:ascii="Times New Roman" w:hAnsi="Times New Roman" w:cs="Times New Roman"/>
                <w:b/>
                <w:bCs/>
                <w:lang w:val="pt-BR"/>
              </w:rPr>
            </w:pPr>
            <w:r w:rsidRPr="009E686F">
              <w:rPr>
                <w:rFonts w:ascii="Times New Roman" w:hAnsi="Times New Roman" w:cs="Times New Roman"/>
                <w:b/>
                <w:bCs/>
                <w:lang w:val="pt-BR"/>
              </w:rPr>
              <w:t>Pct. 42 din Regulamentul privind cadrul de administrare a activităţii băncilor, aprobat prin HCE nr. 322  din  20.12.2018</w:t>
            </w:r>
          </w:p>
          <w:p w14:paraId="7F2B2F14" w14:textId="36BA0A14" w:rsidR="002F47A0" w:rsidRPr="009E686F" w:rsidRDefault="002F47A0" w:rsidP="002F47A0">
            <w:pPr>
              <w:spacing w:after="0"/>
              <w:jc w:val="both"/>
              <w:rPr>
                <w:rFonts w:ascii="Times New Roman" w:hAnsi="Times New Roman" w:cs="Times New Roman"/>
                <w:i/>
                <w:iCs/>
                <w:lang w:val="ro-MD"/>
              </w:rPr>
            </w:pPr>
            <w:r w:rsidRPr="009E686F">
              <w:rPr>
                <w:rFonts w:ascii="Times New Roman" w:hAnsi="Times New Roman" w:cs="Times New Roman"/>
                <w:b/>
                <w:bCs/>
                <w:lang w:val="ro-MD"/>
              </w:rPr>
              <w:t>42.</w:t>
            </w:r>
            <w:r w:rsidRPr="009E686F">
              <w:rPr>
                <w:rFonts w:ascii="Times New Roman" w:hAnsi="Times New Roman" w:cs="Times New Roman"/>
                <w:lang w:val="ro-MD"/>
              </w:rPr>
              <w:t xml:space="preserve"> Comitetul de administrare a riscurilor are cel puţin accesul corespunzător la informaţiile importante şi datele necesare pentru a-şi îndeplini atribuţiile, inclusiv la informaţii şi date primite de la funcţii de control şi alte funcţii relevante (de exemplu, funcţia juridică, financiară, de resurse umane, tehnologii informaţionale), inclusiv informaţii privind respectarea cerinţelor în materie de prevenire şi combatere a spălării banilor şi a finanţării terorismului şi informaţii agregate referitoare la rapoartele privind tranzacţiile suspecte şi factorii de risc asociaţi spălării banilor şi finanţării terorismului.</w:t>
            </w:r>
            <w:r w:rsidRPr="009E686F">
              <w:rPr>
                <w:rFonts w:ascii="Times New Roman" w:hAnsi="Times New Roman" w:cs="Times New Roman"/>
                <w:lang w:val="ro-MD"/>
              </w:rPr>
              <w:br/>
            </w:r>
          </w:p>
          <w:p w14:paraId="2E283373" w14:textId="007B2ACB" w:rsidR="002F47A0" w:rsidRPr="009E686F" w:rsidRDefault="002F47A0" w:rsidP="002F47A0">
            <w:pPr>
              <w:spacing w:after="0"/>
              <w:jc w:val="both"/>
              <w:rPr>
                <w:rFonts w:ascii="Times New Roman" w:hAnsi="Times New Roman" w:cs="Times New Roman"/>
                <w:lang w:val="ro-MD"/>
              </w:rPr>
            </w:pPr>
            <w:r w:rsidRPr="009E686F">
              <w:rPr>
                <w:rFonts w:ascii="Times New Roman" w:hAnsi="Times New Roman" w:cs="Times New Roman"/>
                <w:b/>
                <w:bCs/>
                <w:lang w:val="ro-MD"/>
              </w:rPr>
              <w:t>42</w:t>
            </w:r>
            <w:r w:rsidRPr="009E686F">
              <w:rPr>
                <w:rFonts w:ascii="Times New Roman" w:hAnsi="Times New Roman" w:cs="Times New Roman"/>
                <w:b/>
                <w:bCs/>
                <w:vertAlign w:val="superscript"/>
                <w:lang w:val="ro-MD"/>
              </w:rPr>
              <w:t>1</w:t>
            </w:r>
            <w:r w:rsidRPr="009E686F">
              <w:rPr>
                <w:rFonts w:ascii="Times New Roman" w:hAnsi="Times New Roman" w:cs="Times New Roman"/>
                <w:lang w:val="ro-MD"/>
              </w:rPr>
              <w:t>. Comitetul de administrare a riscurilor, după caz, trebuie să asigure implicarea corespunzătoare a funcţiilor de control intern şi a altor funcţii relevante (de resurse umane, juridică, financiară, altele, după caz) în domeniile lor specifice de expertiză şi/sau să solicite consultanţă de specialitate externă.</w:t>
            </w:r>
          </w:p>
        </w:tc>
        <w:tc>
          <w:tcPr>
            <w:tcW w:w="470" w:type="pct"/>
            <w:tcBorders>
              <w:top w:val="single" w:sz="4" w:space="0" w:color="auto"/>
              <w:left w:val="single" w:sz="4" w:space="0" w:color="auto"/>
              <w:bottom w:val="single" w:sz="4" w:space="0" w:color="auto"/>
              <w:right w:val="single" w:sz="4" w:space="0" w:color="auto"/>
            </w:tcBorders>
          </w:tcPr>
          <w:p w14:paraId="6444AC9F" w14:textId="1BAE4589"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5B1FD204" w14:textId="14067402"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 xml:space="preserve">În cazul R.Moldova se dorește ca fiecare instituție de credit să dispună de un comitet de risc, ținând cont de specificul și problemele sistemului bancar. </w:t>
            </w:r>
          </w:p>
          <w:p w14:paraId="7BADBA89" w14:textId="77777777" w:rsidR="002F47A0" w:rsidRPr="009E686F" w:rsidRDefault="002F47A0" w:rsidP="002F47A0">
            <w:pPr>
              <w:jc w:val="both"/>
              <w:rPr>
                <w:rFonts w:ascii="Times New Roman" w:hAnsi="Times New Roman" w:cs="Times New Roman"/>
                <w:lang w:val="ro-RO"/>
              </w:rPr>
            </w:pPr>
          </w:p>
        </w:tc>
      </w:tr>
      <w:tr w:rsidR="002F47A0" w:rsidRPr="009E686F" w14:paraId="430EC202" w14:textId="1670FA6D" w:rsidTr="00774F3E">
        <w:tc>
          <w:tcPr>
            <w:tcW w:w="1796" w:type="pct"/>
            <w:gridSpan w:val="2"/>
            <w:tcBorders>
              <w:top w:val="single" w:sz="4" w:space="0" w:color="auto"/>
              <w:left w:val="single" w:sz="4" w:space="0" w:color="auto"/>
              <w:bottom w:val="single" w:sz="4" w:space="0" w:color="auto"/>
              <w:right w:val="single" w:sz="4" w:space="0" w:color="auto"/>
            </w:tcBorders>
          </w:tcPr>
          <w:p w14:paraId="4C77A543"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 xml:space="preserve">Organul de conducere, în funcția sa de supraveghere, precum și comitetul de risc, în cazul în care s-a înființat un astfel de comitet, stabilesc natura, cantitatea, formatul și frecvența informațiilor privind riscurile pe care urmează să le primească. </w:t>
            </w:r>
          </w:p>
          <w:p w14:paraId="5279B1D2" w14:textId="5D97350B" w:rsidR="002F47A0" w:rsidRPr="009E686F" w:rsidRDefault="002F47A0" w:rsidP="002F47A0">
            <w:pPr>
              <w:spacing w:after="0"/>
              <w:jc w:val="both"/>
              <w:rPr>
                <w:rFonts w:ascii="Times New Roman" w:hAnsi="Times New Roman" w:cs="Times New Roman"/>
                <w:lang w:val="ro-RO"/>
              </w:rPr>
            </w:pPr>
          </w:p>
        </w:tc>
        <w:tc>
          <w:tcPr>
            <w:tcW w:w="1928" w:type="pct"/>
            <w:gridSpan w:val="3"/>
            <w:tcBorders>
              <w:top w:val="single" w:sz="4" w:space="0" w:color="auto"/>
              <w:left w:val="single" w:sz="4" w:space="0" w:color="auto"/>
              <w:bottom w:val="single" w:sz="4" w:space="0" w:color="auto"/>
              <w:right w:val="single" w:sz="4" w:space="0" w:color="auto"/>
            </w:tcBorders>
          </w:tcPr>
          <w:p w14:paraId="0DB55DDD" w14:textId="27487032" w:rsidR="002F47A0" w:rsidRPr="009E686F" w:rsidRDefault="002F47A0" w:rsidP="002F47A0">
            <w:pPr>
              <w:spacing w:after="0"/>
              <w:jc w:val="both"/>
              <w:rPr>
                <w:rFonts w:ascii="Times New Roman" w:hAnsi="Times New Roman" w:cs="Times New Roman"/>
                <w:b/>
                <w:bCs/>
                <w:lang w:val="pt-BR"/>
              </w:rPr>
            </w:pPr>
            <w:r w:rsidRPr="009E686F">
              <w:rPr>
                <w:rFonts w:ascii="Times New Roman" w:hAnsi="Times New Roman" w:cs="Times New Roman"/>
                <w:b/>
                <w:bCs/>
                <w:lang w:val="pt-BR"/>
              </w:rPr>
              <w:t>Pct. 40 și 41 din Regulamentul privind cadrul de administrare a activităţii băncilor, aprobat prin HCE nr. 322  din  20.12.2018</w:t>
            </w:r>
          </w:p>
          <w:p w14:paraId="38AFCE38" w14:textId="09A21665" w:rsidR="002F47A0" w:rsidRPr="009E686F" w:rsidRDefault="002F47A0" w:rsidP="002F47A0">
            <w:pPr>
              <w:spacing w:after="0"/>
              <w:jc w:val="both"/>
              <w:rPr>
                <w:rFonts w:ascii="Times New Roman" w:hAnsi="Times New Roman" w:cs="Times New Roman"/>
                <w:bCs/>
                <w:lang w:val="ro-RO"/>
              </w:rPr>
            </w:pPr>
            <w:r w:rsidRPr="009E686F">
              <w:rPr>
                <w:rFonts w:ascii="Times New Roman" w:hAnsi="Times New Roman" w:cs="Times New Roman"/>
                <w:bCs/>
                <w:lang w:val="ro-RO"/>
              </w:rPr>
              <w:t>40. Comitetul de administrare a riscurilor acordă suport consiliului în stabilirea naturii, volumului, formatului şi frecvenţei informaţiilor privind riscurile.</w:t>
            </w:r>
          </w:p>
        </w:tc>
        <w:tc>
          <w:tcPr>
            <w:tcW w:w="470" w:type="pct"/>
            <w:tcBorders>
              <w:top w:val="single" w:sz="4" w:space="0" w:color="auto"/>
              <w:left w:val="single" w:sz="4" w:space="0" w:color="auto"/>
              <w:bottom w:val="single" w:sz="4" w:space="0" w:color="auto"/>
              <w:right w:val="single" w:sz="4" w:space="0" w:color="auto"/>
            </w:tcBorders>
          </w:tcPr>
          <w:p w14:paraId="02FF2EB4" w14:textId="7E73B833"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p w14:paraId="1AE0F474" w14:textId="76733209"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 xml:space="preserve"> </w:t>
            </w:r>
          </w:p>
        </w:tc>
        <w:tc>
          <w:tcPr>
            <w:tcW w:w="806" w:type="pct"/>
            <w:tcBorders>
              <w:top w:val="single" w:sz="4" w:space="0" w:color="auto"/>
              <w:left w:val="single" w:sz="4" w:space="0" w:color="auto"/>
              <w:bottom w:val="single" w:sz="4" w:space="0" w:color="auto"/>
              <w:right w:val="single" w:sz="4" w:space="0" w:color="auto"/>
            </w:tcBorders>
          </w:tcPr>
          <w:p w14:paraId="12E4257D" w14:textId="386E6B6C" w:rsidR="002F47A0" w:rsidRPr="009E686F" w:rsidRDefault="002F47A0" w:rsidP="002F47A0">
            <w:pPr>
              <w:jc w:val="both"/>
              <w:rPr>
                <w:rFonts w:ascii="Times New Roman" w:hAnsi="Times New Roman" w:cs="Times New Roman"/>
                <w:lang w:val="ro-RO"/>
              </w:rPr>
            </w:pPr>
          </w:p>
        </w:tc>
      </w:tr>
      <w:tr w:rsidR="002F47A0" w:rsidRPr="009E686F" w14:paraId="124C1A79"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5040BE1E" w14:textId="2C65031D"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lastRenderedPageBreak/>
              <w:t>Pentru a contribui la instituirea unor politici și practici de remunerare solide, comitetul de risc examinează, fără a aduce atingere sarcinilor comitetului de remunerare, dacă stimulentele oferite de sistemul de remunerare țin seama de riscuri,</w:t>
            </w:r>
            <w:r w:rsidRPr="009E686F">
              <w:rPr>
                <w:rFonts w:ascii="Times New Roman" w:hAnsi="Times New Roman" w:cs="Times New Roman"/>
                <w:lang w:val="pt-BR"/>
              </w:rPr>
              <w:t xml:space="preserve"> inclusiv de cele care rezultă din impactul factorilor ESG,</w:t>
            </w:r>
            <w:r w:rsidRPr="009E686F">
              <w:rPr>
                <w:rFonts w:ascii="Times New Roman" w:hAnsi="Times New Roman" w:cs="Times New Roman"/>
                <w:lang w:val="ro-RO"/>
              </w:rPr>
              <w:t xml:space="preserve"> de capital, de lichiditate, precum și de probabilitatea și calendarul câștigurilor.</w:t>
            </w:r>
          </w:p>
        </w:tc>
        <w:tc>
          <w:tcPr>
            <w:tcW w:w="1928" w:type="pct"/>
            <w:gridSpan w:val="3"/>
            <w:tcBorders>
              <w:top w:val="single" w:sz="4" w:space="0" w:color="auto"/>
              <w:left w:val="single" w:sz="4" w:space="0" w:color="auto"/>
              <w:bottom w:val="single" w:sz="4" w:space="0" w:color="auto"/>
              <w:right w:val="single" w:sz="4" w:space="0" w:color="auto"/>
            </w:tcBorders>
          </w:tcPr>
          <w:p w14:paraId="5ECA639B" w14:textId="3A3541CF" w:rsidR="002F47A0" w:rsidRPr="009E686F" w:rsidRDefault="002F47A0" w:rsidP="002F47A0">
            <w:pPr>
              <w:spacing w:after="0"/>
              <w:jc w:val="both"/>
              <w:rPr>
                <w:rFonts w:ascii="Times New Roman" w:hAnsi="Times New Roman" w:cs="Times New Roman"/>
                <w:b/>
                <w:lang w:val="ro-RO"/>
              </w:rPr>
            </w:pPr>
            <w:r w:rsidRPr="009E686F">
              <w:rPr>
                <w:rFonts w:ascii="Times New Roman" w:hAnsi="Times New Roman" w:cs="Times New Roman"/>
                <w:bCs/>
                <w:lang w:val="ro-RO"/>
              </w:rPr>
              <w:t>41. Pentru a sprijini crearea unor politici şi practici de remunerare fiabile, comitetul de administrare a riscurilor verifică, fără a aduce atingere sarcinilor comitetului de remunerare, dacă stimulentele oferite de sistemul de remunerare ţin seama de riscuri, capital, lichidităţi, precum şi de probabilitatea şi prognoza câştigurilor</w:t>
            </w:r>
          </w:p>
        </w:tc>
        <w:tc>
          <w:tcPr>
            <w:tcW w:w="470" w:type="pct"/>
            <w:tcBorders>
              <w:top w:val="single" w:sz="4" w:space="0" w:color="auto"/>
              <w:left w:val="single" w:sz="4" w:space="0" w:color="auto"/>
              <w:bottom w:val="single" w:sz="4" w:space="0" w:color="auto"/>
              <w:right w:val="single" w:sz="4" w:space="0" w:color="auto"/>
            </w:tcBorders>
          </w:tcPr>
          <w:p w14:paraId="282A669C" w14:textId="77777777"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Parțial compatibil</w:t>
            </w:r>
          </w:p>
          <w:p w14:paraId="155C21EE" w14:textId="77777777" w:rsidR="002F47A0" w:rsidRPr="009E686F" w:rsidRDefault="002F47A0" w:rsidP="002F47A0">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0A8E5B2A" w14:textId="33B0CE36"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Transpunerea totală se va asigura prin proiectul de modificare a Regulamentului nr. 322/2018</w:t>
            </w:r>
            <w:r w:rsidR="005A2844" w:rsidRPr="009E686F">
              <w:rPr>
                <w:rFonts w:ascii="Times New Roman" w:hAnsi="Times New Roman" w:cs="Times New Roman"/>
                <w:lang w:val="ro-RO"/>
              </w:rPr>
              <w:t xml:space="preserve"> (acțiunea normativă nr. 2 din Anexa A din PNA 2025-2029 aferentă Capitolului 9 “Servicii financiare” în legătură cu transpunerea Directivei 2013/36/UE).</w:t>
            </w:r>
          </w:p>
        </w:tc>
      </w:tr>
      <w:tr w:rsidR="002F47A0" w:rsidRPr="009E686F" w14:paraId="478F3AA5" w14:textId="52B9683E" w:rsidTr="00774F3E">
        <w:tc>
          <w:tcPr>
            <w:tcW w:w="1796" w:type="pct"/>
            <w:gridSpan w:val="2"/>
            <w:tcBorders>
              <w:top w:val="single" w:sz="4" w:space="0" w:color="auto"/>
              <w:left w:val="single" w:sz="4" w:space="0" w:color="auto"/>
              <w:bottom w:val="single" w:sz="4" w:space="0" w:color="auto"/>
              <w:right w:val="single" w:sz="4" w:space="0" w:color="auto"/>
            </w:tcBorders>
          </w:tcPr>
          <w:p w14:paraId="2D1E43AF" w14:textId="3169A73E"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(5) În conformitate cu cerința privind proporționalitatea prevăzută la articolul 7 alineatul (2) din Directiva 2006/73/CE a Comisiei</w:t>
            </w:r>
            <w:hyperlink r:id="rId16" w:anchor="ntr*17-L_202401619RO.000101-E0036" w:history="1">
              <w:r w:rsidRPr="009E686F">
                <w:rPr>
                  <w:rFonts w:ascii="Times New Roman" w:hAnsi="Times New Roman" w:cs="Times New Roman"/>
                  <w:lang w:val="ro-RO"/>
                </w:rPr>
                <w:t> (*17)</w:t>
              </w:r>
            </w:hyperlink>
            <w:r w:rsidRPr="009E686F">
              <w:rPr>
                <w:rFonts w:ascii="Times New Roman" w:hAnsi="Times New Roman" w:cs="Times New Roman"/>
                <w:lang w:val="ro-RO"/>
              </w:rPr>
              <w:t>, statele membre se asigură că instituțiile au funcții de control intern independente de funcțiile operaționale și cu suficientă autoritate, importanță, resurse și acces la organul de conducere.</w:t>
            </w:r>
          </w:p>
        </w:tc>
        <w:tc>
          <w:tcPr>
            <w:tcW w:w="1928" w:type="pct"/>
            <w:gridSpan w:val="3"/>
            <w:tcBorders>
              <w:top w:val="single" w:sz="4" w:space="0" w:color="auto"/>
              <w:left w:val="single" w:sz="4" w:space="0" w:color="auto"/>
              <w:bottom w:val="single" w:sz="4" w:space="0" w:color="auto"/>
              <w:right w:val="single" w:sz="4" w:space="0" w:color="auto"/>
            </w:tcBorders>
          </w:tcPr>
          <w:p w14:paraId="589B308A" w14:textId="66B01A7B" w:rsidR="002F47A0" w:rsidRPr="009E686F" w:rsidRDefault="002F47A0" w:rsidP="002F47A0">
            <w:pPr>
              <w:spacing w:after="0"/>
              <w:jc w:val="both"/>
              <w:rPr>
                <w:rFonts w:ascii="Times New Roman" w:eastAsia="Aptos" w:hAnsi="Times New Roman" w:cs="Times New Roman"/>
                <w:b/>
                <w:bCs/>
                <w:kern w:val="2"/>
                <w:lang w:val="ro-MD"/>
              </w:rPr>
            </w:pPr>
            <w:r w:rsidRPr="009E686F">
              <w:rPr>
                <w:rFonts w:ascii="Times New Roman" w:eastAsia="Aptos" w:hAnsi="Times New Roman" w:cs="Times New Roman"/>
                <w:b/>
                <w:bCs/>
                <w:kern w:val="2"/>
                <w:lang w:val="ro-MD"/>
              </w:rPr>
              <w:t>Articolul 44</w:t>
            </w:r>
            <w:r w:rsidRPr="009E686F">
              <w:rPr>
                <w:rFonts w:ascii="Times New Roman" w:eastAsia="Aptos" w:hAnsi="Times New Roman" w:cs="Times New Roman"/>
                <w:b/>
                <w:bCs/>
                <w:kern w:val="2"/>
                <w:vertAlign w:val="superscript"/>
                <w:lang w:val="ro-MD"/>
              </w:rPr>
              <w:t xml:space="preserve">2  </w:t>
            </w:r>
            <w:r w:rsidRPr="009E686F">
              <w:rPr>
                <w:rFonts w:ascii="Times New Roman" w:eastAsia="Aptos" w:hAnsi="Times New Roman" w:cs="Times New Roman"/>
                <w:b/>
                <w:bCs/>
                <w:kern w:val="2"/>
                <w:lang w:val="ro-MD"/>
              </w:rPr>
              <w:t>alin.</w:t>
            </w:r>
            <w:r w:rsidRPr="009E686F">
              <w:rPr>
                <w:rFonts w:ascii="Times New Roman" w:eastAsia="Aptos" w:hAnsi="Times New Roman" w:cs="Times New Roman"/>
                <w:b/>
                <w:bCs/>
                <w:kern w:val="2"/>
                <w:vertAlign w:val="superscript"/>
                <w:lang w:val="ro-MD"/>
              </w:rPr>
              <w:t xml:space="preserve"> </w:t>
            </w:r>
            <w:r w:rsidRPr="009E686F">
              <w:rPr>
                <w:rFonts w:ascii="Times New Roman" w:eastAsia="Aptos" w:hAnsi="Times New Roman" w:cs="Times New Roman"/>
                <w:b/>
                <w:bCs/>
                <w:kern w:val="2"/>
                <w:lang w:val="ro-MD"/>
              </w:rPr>
              <w:t>(1)</w:t>
            </w:r>
          </w:p>
          <w:p w14:paraId="4CDCCDC1" w14:textId="688D1050" w:rsidR="002F47A0" w:rsidRPr="009E686F" w:rsidRDefault="002F47A0" w:rsidP="002F47A0">
            <w:pPr>
              <w:spacing w:after="0"/>
              <w:jc w:val="both"/>
              <w:rPr>
                <w:rFonts w:ascii="Times New Roman" w:hAnsi="Times New Roman" w:cs="Times New Roman"/>
                <w:i/>
                <w:iCs/>
                <w:lang w:val="ro-RO"/>
              </w:rPr>
            </w:pPr>
            <w:r w:rsidRPr="009E686F">
              <w:rPr>
                <w:rFonts w:ascii="Times New Roman" w:eastAsia="Aptos" w:hAnsi="Times New Roman" w:cs="Times New Roman"/>
                <w:i/>
                <w:iCs/>
                <w:kern w:val="2"/>
                <w:lang w:val="ro-MD"/>
              </w:rPr>
              <w:t>(1) Instituțiile de credit trebuie să aibă funcții de control intern independente de funcțiile operaționale și cu suficientă autoritate, importanță, resurse și acces la organul de conducere.</w:t>
            </w:r>
          </w:p>
          <w:p w14:paraId="7EB06D05" w14:textId="77777777" w:rsidR="002F47A0" w:rsidRPr="009E686F" w:rsidRDefault="002F47A0" w:rsidP="002F47A0">
            <w:pPr>
              <w:spacing w:after="0"/>
              <w:jc w:val="both"/>
              <w:rPr>
                <w:rFonts w:ascii="Times New Roman" w:hAnsi="Times New Roman" w:cs="Times New Roman"/>
                <w:lang w:val="ro-RO"/>
              </w:rPr>
            </w:pPr>
          </w:p>
          <w:p w14:paraId="0526A405" w14:textId="34D1A0E9" w:rsidR="002F47A0" w:rsidRPr="009E686F" w:rsidRDefault="002F47A0" w:rsidP="002F47A0">
            <w:pPr>
              <w:spacing w:after="0"/>
              <w:jc w:val="both"/>
              <w:rPr>
                <w:rFonts w:ascii="Times New Roman" w:hAnsi="Times New Roman" w:cs="Times New Roman"/>
                <w:lang w:val="ro-RO"/>
              </w:rPr>
            </w:pPr>
          </w:p>
        </w:tc>
        <w:tc>
          <w:tcPr>
            <w:tcW w:w="470" w:type="pct"/>
            <w:tcBorders>
              <w:top w:val="single" w:sz="4" w:space="0" w:color="auto"/>
              <w:left w:val="single" w:sz="4" w:space="0" w:color="auto"/>
              <w:bottom w:val="single" w:sz="4" w:space="0" w:color="auto"/>
              <w:right w:val="single" w:sz="4" w:space="0" w:color="auto"/>
            </w:tcBorders>
          </w:tcPr>
          <w:p w14:paraId="5F4079D8" w14:textId="74E85413"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 xml:space="preserve">Compatibil </w:t>
            </w:r>
          </w:p>
        </w:tc>
        <w:tc>
          <w:tcPr>
            <w:tcW w:w="806" w:type="pct"/>
            <w:tcBorders>
              <w:top w:val="single" w:sz="4" w:space="0" w:color="auto"/>
              <w:left w:val="single" w:sz="4" w:space="0" w:color="auto"/>
              <w:bottom w:val="single" w:sz="4" w:space="0" w:color="auto"/>
              <w:right w:val="single" w:sz="4" w:space="0" w:color="auto"/>
            </w:tcBorders>
          </w:tcPr>
          <w:p w14:paraId="7EDE7EF4" w14:textId="77777777" w:rsidR="002F47A0" w:rsidRPr="009E686F" w:rsidRDefault="002F47A0" w:rsidP="002F47A0">
            <w:pPr>
              <w:jc w:val="both"/>
              <w:rPr>
                <w:rFonts w:ascii="Times New Roman" w:hAnsi="Times New Roman" w:cs="Times New Roman"/>
                <w:lang w:val="ro-RO"/>
              </w:rPr>
            </w:pPr>
          </w:p>
        </w:tc>
      </w:tr>
      <w:tr w:rsidR="002F47A0" w:rsidRPr="009E686F" w14:paraId="70F54D15" w14:textId="2C425625" w:rsidTr="00774F3E">
        <w:tc>
          <w:tcPr>
            <w:tcW w:w="1796" w:type="pct"/>
            <w:gridSpan w:val="2"/>
            <w:tcBorders>
              <w:top w:val="single" w:sz="4" w:space="0" w:color="auto"/>
              <w:left w:val="single" w:sz="4" w:space="0" w:color="auto"/>
              <w:bottom w:val="single" w:sz="4" w:space="0" w:color="auto"/>
              <w:right w:val="single" w:sz="4" w:space="0" w:color="auto"/>
            </w:tcBorders>
          </w:tcPr>
          <w:p w14:paraId="6ED979CF" w14:textId="77777777" w:rsidR="002F47A0" w:rsidRPr="009E686F" w:rsidRDefault="002F47A0" w:rsidP="002F47A0">
            <w:pPr>
              <w:shd w:val="clear" w:color="auto" w:fill="FFFFFF"/>
              <w:spacing w:after="0" w:line="276" w:lineRule="auto"/>
              <w:jc w:val="both"/>
              <w:rPr>
                <w:rFonts w:ascii="Times New Roman" w:hAnsi="Times New Roman" w:cs="Times New Roman"/>
                <w:lang w:val="ro-RO"/>
              </w:rPr>
            </w:pPr>
            <w:r w:rsidRPr="009E686F">
              <w:rPr>
                <w:rFonts w:ascii="Times New Roman" w:hAnsi="Times New Roman" w:cs="Times New Roman"/>
                <w:lang w:val="ro-RO"/>
              </w:rPr>
              <w:t>Statele membre se asigură că:</w:t>
            </w:r>
          </w:p>
          <w:tbl>
            <w:tblPr>
              <w:tblW w:w="5000" w:type="pct"/>
              <w:tblLayout w:type="fixed"/>
              <w:tblCellMar>
                <w:left w:w="0" w:type="dxa"/>
                <w:right w:w="0" w:type="dxa"/>
              </w:tblCellMar>
              <w:tblLook w:val="04A0" w:firstRow="1" w:lastRow="0" w:firstColumn="1" w:lastColumn="0" w:noHBand="0" w:noVBand="1"/>
            </w:tblPr>
            <w:tblGrid>
              <w:gridCol w:w="403"/>
              <w:gridCol w:w="198"/>
              <w:gridCol w:w="4599"/>
            </w:tblGrid>
            <w:tr w:rsidR="002F47A0" w:rsidRPr="009E686F" w14:paraId="02270F99" w14:textId="77777777" w:rsidTr="00DA62E7">
              <w:tc>
                <w:tcPr>
                  <w:tcW w:w="601" w:type="dxa"/>
                  <w:gridSpan w:val="2"/>
                  <w:shd w:val="clear" w:color="auto" w:fill="auto"/>
                  <w:hideMark/>
                </w:tcPr>
                <w:p w14:paraId="2822F588" w14:textId="77777777" w:rsidR="002F47A0" w:rsidRPr="009E686F" w:rsidRDefault="002F47A0" w:rsidP="002F47A0">
                  <w:pPr>
                    <w:spacing w:after="0" w:line="276" w:lineRule="auto"/>
                    <w:jc w:val="both"/>
                    <w:rPr>
                      <w:rFonts w:ascii="Times New Roman" w:hAnsi="Times New Roman" w:cs="Times New Roman"/>
                      <w:lang w:val="ro-RO"/>
                    </w:rPr>
                  </w:pPr>
                  <w:r w:rsidRPr="009E686F">
                    <w:rPr>
                      <w:rFonts w:ascii="Times New Roman" w:hAnsi="Times New Roman" w:cs="Times New Roman"/>
                      <w:lang w:val="ro-RO"/>
                    </w:rPr>
                    <w:t>(a)</w:t>
                  </w:r>
                </w:p>
              </w:tc>
              <w:tc>
                <w:tcPr>
                  <w:tcW w:w="4599" w:type="dxa"/>
                  <w:shd w:val="clear" w:color="auto" w:fill="auto"/>
                  <w:hideMark/>
                </w:tcPr>
                <w:p w14:paraId="60323BA5" w14:textId="77777777" w:rsidR="002F47A0" w:rsidRPr="009E686F" w:rsidRDefault="002F47A0" w:rsidP="002F47A0">
                  <w:pPr>
                    <w:spacing w:after="0" w:line="276" w:lineRule="auto"/>
                    <w:jc w:val="both"/>
                    <w:rPr>
                      <w:rFonts w:ascii="Times New Roman" w:hAnsi="Times New Roman" w:cs="Times New Roman"/>
                      <w:lang w:val="ro-RO"/>
                    </w:rPr>
                  </w:pPr>
                  <w:r w:rsidRPr="009E686F">
                    <w:rPr>
                      <w:rFonts w:ascii="Times New Roman" w:hAnsi="Times New Roman" w:cs="Times New Roman"/>
                      <w:lang w:val="ro-RO"/>
                    </w:rPr>
                    <w:t>funcțiile de control intern se asigură că toate riscurile semnificative sunt identificate, evaluate și raportate în mod corespunzător;</w:t>
                  </w:r>
                </w:p>
              </w:tc>
            </w:tr>
            <w:tr w:rsidR="002F47A0" w:rsidRPr="009E686F" w14:paraId="022E6087" w14:textId="77777777" w:rsidTr="00DA62E7">
              <w:tc>
                <w:tcPr>
                  <w:tcW w:w="403" w:type="dxa"/>
                  <w:shd w:val="clear" w:color="auto" w:fill="auto"/>
                  <w:hideMark/>
                </w:tcPr>
                <w:p w14:paraId="77C41F35" w14:textId="77777777" w:rsidR="002F47A0" w:rsidRPr="009E686F" w:rsidRDefault="002F47A0" w:rsidP="002F47A0">
                  <w:pPr>
                    <w:spacing w:after="0" w:line="276" w:lineRule="auto"/>
                    <w:jc w:val="both"/>
                    <w:rPr>
                      <w:rFonts w:ascii="Times New Roman" w:hAnsi="Times New Roman" w:cs="Times New Roman"/>
                      <w:lang w:val="ro-RO"/>
                    </w:rPr>
                  </w:pPr>
                  <w:r w:rsidRPr="009E686F">
                    <w:rPr>
                      <w:rFonts w:ascii="Times New Roman" w:hAnsi="Times New Roman" w:cs="Times New Roman"/>
                      <w:lang w:val="ro-RO"/>
                    </w:rPr>
                    <w:t>(b)</w:t>
                  </w:r>
                </w:p>
              </w:tc>
              <w:tc>
                <w:tcPr>
                  <w:tcW w:w="4797" w:type="dxa"/>
                  <w:gridSpan w:val="2"/>
                  <w:shd w:val="clear" w:color="auto" w:fill="auto"/>
                  <w:hideMark/>
                </w:tcPr>
                <w:p w14:paraId="39EE332F" w14:textId="77777777" w:rsidR="002F47A0" w:rsidRPr="009E686F" w:rsidRDefault="002F47A0" w:rsidP="002F47A0">
                  <w:pPr>
                    <w:spacing w:after="0" w:line="276" w:lineRule="auto"/>
                    <w:jc w:val="both"/>
                    <w:rPr>
                      <w:rFonts w:ascii="Times New Roman" w:hAnsi="Times New Roman" w:cs="Times New Roman"/>
                      <w:lang w:val="ro-RO"/>
                    </w:rPr>
                  </w:pPr>
                  <w:r w:rsidRPr="009E686F">
                    <w:rPr>
                      <w:rFonts w:ascii="Times New Roman" w:hAnsi="Times New Roman" w:cs="Times New Roman"/>
                      <w:lang w:val="ro-RO"/>
                    </w:rPr>
                    <w:t>funcțiile de control intern oferă o imagine completă asupra întregii game de riscuri la care este expusă instituția;</w:t>
                  </w:r>
                </w:p>
              </w:tc>
            </w:tr>
            <w:tr w:rsidR="002F47A0" w:rsidRPr="009E686F" w14:paraId="0BD82706" w14:textId="77777777" w:rsidTr="00DA62E7">
              <w:tc>
                <w:tcPr>
                  <w:tcW w:w="403" w:type="dxa"/>
                  <w:shd w:val="clear" w:color="auto" w:fill="auto"/>
                  <w:hideMark/>
                </w:tcPr>
                <w:p w14:paraId="6DBA2A38" w14:textId="77777777" w:rsidR="002F47A0" w:rsidRPr="009E686F" w:rsidRDefault="002F47A0" w:rsidP="002F47A0">
                  <w:pPr>
                    <w:spacing w:after="0" w:line="276" w:lineRule="auto"/>
                    <w:jc w:val="both"/>
                    <w:rPr>
                      <w:rFonts w:ascii="Times New Roman" w:hAnsi="Times New Roman" w:cs="Times New Roman"/>
                      <w:lang w:val="ro-RO"/>
                    </w:rPr>
                  </w:pPr>
                  <w:r w:rsidRPr="009E686F">
                    <w:rPr>
                      <w:rFonts w:ascii="Times New Roman" w:hAnsi="Times New Roman" w:cs="Times New Roman"/>
                      <w:lang w:val="ro-RO"/>
                    </w:rPr>
                    <w:t>(c)</w:t>
                  </w:r>
                </w:p>
              </w:tc>
              <w:tc>
                <w:tcPr>
                  <w:tcW w:w="4797" w:type="dxa"/>
                  <w:gridSpan w:val="2"/>
                  <w:shd w:val="clear" w:color="auto" w:fill="auto"/>
                  <w:hideMark/>
                </w:tcPr>
                <w:p w14:paraId="19F29F5B" w14:textId="77777777" w:rsidR="002F47A0" w:rsidRPr="009E686F" w:rsidRDefault="002F47A0" w:rsidP="002F47A0">
                  <w:pPr>
                    <w:spacing w:after="0" w:line="276" w:lineRule="auto"/>
                    <w:jc w:val="both"/>
                    <w:rPr>
                      <w:rFonts w:ascii="Times New Roman" w:hAnsi="Times New Roman" w:cs="Times New Roman"/>
                      <w:lang w:val="ro-RO"/>
                    </w:rPr>
                  </w:pPr>
                  <w:r w:rsidRPr="009E686F">
                    <w:rPr>
                      <w:rFonts w:ascii="Times New Roman" w:hAnsi="Times New Roman" w:cs="Times New Roman"/>
                      <w:lang w:val="ro-RO"/>
                    </w:rPr>
                    <w:t>funcția de administrare a riscurilor este implicată în mod activ în elaborarea strategiei de risc a instituției și în toate deciziile sale referitoare la administrarea riscurilor semnificative și deține controlul asupra punerii în aplicare efective a strategiei de risc;</w:t>
                  </w:r>
                </w:p>
              </w:tc>
            </w:tr>
          </w:tbl>
          <w:p w14:paraId="7E5DD729" w14:textId="77777777" w:rsidR="002F47A0" w:rsidRPr="009E686F" w:rsidRDefault="002F47A0" w:rsidP="002F47A0">
            <w:pPr>
              <w:shd w:val="clear" w:color="auto" w:fill="FFFFFF"/>
              <w:spacing w:after="0" w:line="276" w:lineRule="auto"/>
              <w:rPr>
                <w:rFonts w:ascii="Times New Roman" w:eastAsia="Times New Roman" w:hAnsi="Times New Roman" w:cs="Times New Roman"/>
                <w:vanish/>
                <w:color w:val="333333"/>
                <w:lang w:eastAsia="ro-MD"/>
              </w:rPr>
            </w:pPr>
          </w:p>
          <w:tbl>
            <w:tblPr>
              <w:tblW w:w="5000" w:type="pct"/>
              <w:tblLayout w:type="fixed"/>
              <w:tblCellMar>
                <w:left w:w="0" w:type="dxa"/>
                <w:right w:w="0" w:type="dxa"/>
              </w:tblCellMar>
              <w:tblLook w:val="04A0" w:firstRow="1" w:lastRow="0" w:firstColumn="1" w:lastColumn="0" w:noHBand="0" w:noVBand="1"/>
            </w:tblPr>
            <w:tblGrid>
              <w:gridCol w:w="601"/>
              <w:gridCol w:w="4599"/>
            </w:tblGrid>
            <w:tr w:rsidR="002F47A0" w:rsidRPr="009E686F" w14:paraId="34C194E9" w14:textId="77777777" w:rsidTr="00D40F44">
              <w:tc>
                <w:tcPr>
                  <w:tcW w:w="601" w:type="dxa"/>
                  <w:shd w:val="clear" w:color="auto" w:fill="auto"/>
                  <w:hideMark/>
                </w:tcPr>
                <w:p w14:paraId="711432C2" w14:textId="77777777" w:rsidR="002F47A0" w:rsidRPr="009E686F" w:rsidRDefault="002F47A0" w:rsidP="002F47A0">
                  <w:pPr>
                    <w:spacing w:before="120" w:after="0" w:line="276" w:lineRule="auto"/>
                    <w:jc w:val="both"/>
                    <w:rPr>
                      <w:rFonts w:ascii="Times New Roman" w:hAnsi="Times New Roman" w:cs="Times New Roman"/>
                      <w:lang w:val="ro-RO"/>
                    </w:rPr>
                  </w:pPr>
                  <w:r w:rsidRPr="009E686F">
                    <w:rPr>
                      <w:rFonts w:ascii="Times New Roman" w:hAnsi="Times New Roman" w:cs="Times New Roman"/>
                      <w:lang w:val="ro-RO"/>
                    </w:rPr>
                    <w:lastRenderedPageBreak/>
                    <w:t>(d)</w:t>
                  </w:r>
                </w:p>
              </w:tc>
              <w:tc>
                <w:tcPr>
                  <w:tcW w:w="4599" w:type="dxa"/>
                  <w:shd w:val="clear" w:color="auto" w:fill="auto"/>
                  <w:hideMark/>
                </w:tcPr>
                <w:p w14:paraId="2EEC27DA" w14:textId="77777777" w:rsidR="002F47A0" w:rsidRPr="009E686F" w:rsidRDefault="002F47A0" w:rsidP="002F47A0">
                  <w:pPr>
                    <w:spacing w:before="120" w:after="0" w:line="276" w:lineRule="auto"/>
                    <w:jc w:val="both"/>
                    <w:rPr>
                      <w:rFonts w:ascii="Times New Roman" w:hAnsi="Times New Roman" w:cs="Times New Roman"/>
                      <w:lang w:val="ro-RO"/>
                    </w:rPr>
                  </w:pPr>
                  <w:r w:rsidRPr="009E686F">
                    <w:rPr>
                      <w:rFonts w:ascii="Times New Roman" w:hAnsi="Times New Roman" w:cs="Times New Roman"/>
                      <w:lang w:val="ro-RO"/>
                    </w:rPr>
                    <w:t>funcția de audit intern efectuează o examinare independentă a punerii în aplicare efective a strategiei de risc a instituției;</w:t>
                  </w:r>
                </w:p>
              </w:tc>
            </w:tr>
            <w:tr w:rsidR="002F47A0" w:rsidRPr="009E686F" w14:paraId="1E7824EF" w14:textId="77777777" w:rsidTr="00D40F44">
              <w:tc>
                <w:tcPr>
                  <w:tcW w:w="601" w:type="dxa"/>
                  <w:shd w:val="clear" w:color="auto" w:fill="auto"/>
                  <w:hideMark/>
                </w:tcPr>
                <w:p w14:paraId="5503AC85" w14:textId="77777777" w:rsidR="002F47A0" w:rsidRPr="009E686F" w:rsidRDefault="002F47A0" w:rsidP="002F47A0">
                  <w:pPr>
                    <w:spacing w:before="120" w:after="0" w:line="276" w:lineRule="auto"/>
                    <w:jc w:val="both"/>
                    <w:rPr>
                      <w:rFonts w:ascii="Times New Roman" w:hAnsi="Times New Roman" w:cs="Times New Roman"/>
                      <w:lang w:val="ro-RO"/>
                    </w:rPr>
                  </w:pPr>
                  <w:bookmarkStart w:id="24" w:name="_Hlk206689544"/>
                  <w:r w:rsidRPr="009E686F">
                    <w:rPr>
                      <w:rFonts w:ascii="Times New Roman" w:hAnsi="Times New Roman" w:cs="Times New Roman"/>
                      <w:lang w:val="ro-RO"/>
                    </w:rPr>
                    <w:t>(e)</w:t>
                  </w:r>
                </w:p>
              </w:tc>
              <w:tc>
                <w:tcPr>
                  <w:tcW w:w="4599" w:type="dxa"/>
                  <w:shd w:val="clear" w:color="auto" w:fill="auto"/>
                  <w:hideMark/>
                </w:tcPr>
                <w:p w14:paraId="08FE4A61" w14:textId="77777777" w:rsidR="002F47A0" w:rsidRPr="009E686F" w:rsidRDefault="002F47A0" w:rsidP="002F47A0">
                  <w:pPr>
                    <w:spacing w:before="120" w:after="0" w:line="276" w:lineRule="auto"/>
                    <w:jc w:val="both"/>
                    <w:rPr>
                      <w:rFonts w:ascii="Times New Roman" w:hAnsi="Times New Roman" w:cs="Times New Roman"/>
                      <w:lang w:val="ro-RO"/>
                    </w:rPr>
                  </w:pPr>
                  <w:r w:rsidRPr="009E686F">
                    <w:rPr>
                      <w:rFonts w:ascii="Times New Roman" w:hAnsi="Times New Roman" w:cs="Times New Roman"/>
                      <w:lang w:val="ro-RO"/>
                    </w:rPr>
                    <w:t>funcția de conformitate evaluează și reduce riscul de conformitate și se asigură că strategia de risc a instituției ia în considerare riscul de conformitate și că riscul de conformitate este luat în considerare în mod adecvat în toate deciziile referitoare la administrarea riscurilor semnificative.</w:t>
                  </w:r>
                </w:p>
              </w:tc>
            </w:tr>
            <w:bookmarkEnd w:id="24"/>
          </w:tbl>
          <w:p w14:paraId="6E8B9A3C" w14:textId="4A013EFA" w:rsidR="002F47A0" w:rsidRPr="009E686F" w:rsidRDefault="002F47A0" w:rsidP="002F47A0">
            <w:pPr>
              <w:spacing w:after="0"/>
              <w:jc w:val="both"/>
              <w:rPr>
                <w:rFonts w:ascii="Times New Roman" w:hAnsi="Times New Roman" w:cs="Times New Roman"/>
                <w:lang w:val="ro-RO"/>
              </w:rPr>
            </w:pPr>
          </w:p>
        </w:tc>
        <w:tc>
          <w:tcPr>
            <w:tcW w:w="1928" w:type="pct"/>
            <w:gridSpan w:val="3"/>
            <w:tcBorders>
              <w:top w:val="single" w:sz="4" w:space="0" w:color="auto"/>
              <w:left w:val="single" w:sz="4" w:space="0" w:color="auto"/>
              <w:bottom w:val="single" w:sz="4" w:space="0" w:color="auto"/>
              <w:right w:val="single" w:sz="4" w:space="0" w:color="auto"/>
            </w:tcBorders>
          </w:tcPr>
          <w:p w14:paraId="72EC45E0" w14:textId="5BACEB87" w:rsidR="002F47A0" w:rsidRPr="009E686F" w:rsidRDefault="002F47A0" w:rsidP="002F47A0">
            <w:pPr>
              <w:spacing w:after="0"/>
              <w:jc w:val="both"/>
              <w:rPr>
                <w:rFonts w:ascii="Times New Roman" w:eastAsia="Aptos" w:hAnsi="Times New Roman" w:cs="Times New Roman"/>
                <w:b/>
                <w:bCs/>
                <w:kern w:val="2"/>
                <w:lang w:val="ro-MD"/>
              </w:rPr>
            </w:pPr>
            <w:r w:rsidRPr="009E686F">
              <w:rPr>
                <w:rFonts w:ascii="Times New Roman" w:eastAsia="Aptos" w:hAnsi="Times New Roman" w:cs="Times New Roman"/>
                <w:b/>
                <w:bCs/>
                <w:kern w:val="2"/>
                <w:lang w:val="ro-MD"/>
              </w:rPr>
              <w:lastRenderedPageBreak/>
              <w:t>Articolul 44</w:t>
            </w:r>
            <w:r w:rsidRPr="009E686F">
              <w:rPr>
                <w:rFonts w:ascii="Times New Roman" w:eastAsia="Aptos" w:hAnsi="Times New Roman" w:cs="Times New Roman"/>
                <w:b/>
                <w:bCs/>
                <w:kern w:val="2"/>
                <w:vertAlign w:val="superscript"/>
                <w:lang w:val="ro-MD"/>
              </w:rPr>
              <w:t xml:space="preserve">2  </w:t>
            </w:r>
            <w:r w:rsidRPr="009E686F">
              <w:rPr>
                <w:rFonts w:ascii="Times New Roman" w:eastAsia="Aptos" w:hAnsi="Times New Roman" w:cs="Times New Roman"/>
                <w:b/>
                <w:bCs/>
                <w:kern w:val="2"/>
                <w:lang w:val="ro-MD"/>
              </w:rPr>
              <w:t>alin. (3)</w:t>
            </w:r>
          </w:p>
          <w:p w14:paraId="44D3E488" w14:textId="350B284C" w:rsidR="002F47A0" w:rsidRPr="009E686F" w:rsidRDefault="002F47A0" w:rsidP="002F47A0">
            <w:pPr>
              <w:spacing w:after="0" w:line="278" w:lineRule="auto"/>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(3) Instituțiile de credit instituie funcțiile de control intern, astfel încât să respecte următoarele:</w:t>
            </w:r>
          </w:p>
          <w:p w14:paraId="0FF31AA3" w14:textId="77777777" w:rsidR="002F47A0" w:rsidRPr="009E686F" w:rsidRDefault="002F47A0" w:rsidP="002F47A0">
            <w:pPr>
              <w:spacing w:after="0" w:line="278" w:lineRule="auto"/>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a) funcțiile de control intern se asigură că toate riscurile semnificative sunt identificate, evaluate și raportate în mod corespunzător;</w:t>
            </w:r>
          </w:p>
          <w:p w14:paraId="7C51A1E6" w14:textId="77777777" w:rsidR="002F47A0" w:rsidRPr="009E686F" w:rsidRDefault="002F47A0" w:rsidP="002F47A0">
            <w:pPr>
              <w:spacing w:after="0" w:line="278" w:lineRule="auto"/>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b) funcțiile de control intern oferă o imagine completă asupra întregii game de riscuri la care este expusă instituția de credit;</w:t>
            </w:r>
          </w:p>
          <w:p w14:paraId="62BCE7B8" w14:textId="356A68BA" w:rsidR="002F47A0" w:rsidRPr="009E686F" w:rsidRDefault="002F47A0" w:rsidP="002F47A0">
            <w:pPr>
              <w:spacing w:after="0" w:line="278" w:lineRule="auto"/>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 xml:space="preserve">c) funcția de administrare a riscurilor este implicată în mod activ în elaborarea strategiei privind administrarea riscurilor instituției de credit și în toate deciziile sale referitoare la administrarea riscurilor semnificative și deține controlul asupra </w:t>
            </w:r>
            <w:r w:rsidRPr="009E686F">
              <w:rPr>
                <w:rFonts w:ascii="Times New Roman" w:eastAsia="Aptos" w:hAnsi="Times New Roman" w:cs="Times New Roman"/>
                <w:i/>
                <w:iCs/>
                <w:kern w:val="2"/>
                <w:lang w:val="ro-MD"/>
              </w:rPr>
              <w:lastRenderedPageBreak/>
              <w:t>punerii în aplicare efective a strategiei privind administrarea riscurilor   ;</w:t>
            </w:r>
          </w:p>
          <w:p w14:paraId="04125EBB" w14:textId="77777777" w:rsidR="002F47A0" w:rsidRPr="009E686F" w:rsidRDefault="002F47A0" w:rsidP="002F47A0">
            <w:pPr>
              <w:spacing w:after="0" w:line="278" w:lineRule="auto"/>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 xml:space="preserve">d) funcția de audit intern efectuează o examinare independentă a punerii în aplicare efective a strategiei privind administrarea riscurilor   instituției de credit;  </w:t>
            </w:r>
          </w:p>
          <w:p w14:paraId="73FB708F" w14:textId="05FE1B24" w:rsidR="002F47A0" w:rsidRPr="009E686F" w:rsidRDefault="002F47A0" w:rsidP="002F47A0">
            <w:pPr>
              <w:spacing w:after="0"/>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e) funcția de conformitate evaluează și diminuează riscul de conformitate și se asigură că strategia privind administrarea riscului instituției de credit ia în considerare riscul de conformitate și că acesta este luat în considerare în mod adecvat în toate deciziile referitoare la administrarea riscurilor semnificative.</w:t>
            </w:r>
          </w:p>
        </w:tc>
        <w:tc>
          <w:tcPr>
            <w:tcW w:w="470" w:type="pct"/>
            <w:tcBorders>
              <w:top w:val="single" w:sz="4" w:space="0" w:color="auto"/>
              <w:left w:val="single" w:sz="4" w:space="0" w:color="auto"/>
              <w:bottom w:val="single" w:sz="4" w:space="0" w:color="auto"/>
              <w:right w:val="single" w:sz="4" w:space="0" w:color="auto"/>
            </w:tcBorders>
          </w:tcPr>
          <w:p w14:paraId="7094585D" w14:textId="77777777"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lastRenderedPageBreak/>
              <w:t>Compatibil</w:t>
            </w:r>
          </w:p>
          <w:p w14:paraId="5559CC09" w14:textId="6EC16096" w:rsidR="002F47A0" w:rsidRPr="009E686F" w:rsidRDefault="002F47A0" w:rsidP="002F47A0">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383FD9E9" w14:textId="77777777" w:rsidR="002F47A0" w:rsidRPr="009E686F" w:rsidRDefault="002F47A0" w:rsidP="002F47A0">
            <w:pPr>
              <w:jc w:val="both"/>
              <w:rPr>
                <w:rFonts w:ascii="Times New Roman" w:hAnsi="Times New Roman" w:cs="Times New Roman"/>
                <w:lang w:val="ro-RO"/>
              </w:rPr>
            </w:pPr>
          </w:p>
        </w:tc>
      </w:tr>
      <w:tr w:rsidR="002F47A0" w:rsidRPr="009E686F" w14:paraId="5AEA2EB5"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217DB6D8" w14:textId="4645DA76" w:rsidR="002F47A0" w:rsidRPr="009E686F" w:rsidRDefault="002F47A0" w:rsidP="002F47A0">
            <w:pPr>
              <w:shd w:val="clear" w:color="auto" w:fill="FFFFFF"/>
              <w:spacing w:before="120" w:after="0" w:line="276" w:lineRule="auto"/>
              <w:jc w:val="both"/>
              <w:rPr>
                <w:rFonts w:ascii="Times New Roman" w:hAnsi="Times New Roman" w:cs="Times New Roman"/>
                <w:lang w:val="ro-RO"/>
              </w:rPr>
            </w:pPr>
            <w:r w:rsidRPr="009E686F">
              <w:rPr>
                <w:rFonts w:ascii="Times New Roman" w:hAnsi="Times New Roman" w:cs="Times New Roman"/>
                <w:lang w:val="ro-RO"/>
              </w:rPr>
              <w:t>(6) Statele membre se asigură că funcțiile de control intern au acces direct la organul de conducere în funcția sa de supraveghere și îi pot raporta direct acestuia.</w:t>
            </w:r>
          </w:p>
          <w:p w14:paraId="6EDC3749" w14:textId="77777777" w:rsidR="002F47A0" w:rsidRPr="009E686F" w:rsidRDefault="002F47A0" w:rsidP="002F47A0">
            <w:pPr>
              <w:shd w:val="clear" w:color="auto" w:fill="FFFFFF"/>
              <w:spacing w:before="120" w:after="0" w:line="276" w:lineRule="auto"/>
              <w:jc w:val="both"/>
              <w:rPr>
                <w:rFonts w:ascii="Times New Roman" w:eastAsia="Times New Roman" w:hAnsi="Times New Roman" w:cs="Times New Roman"/>
                <w:color w:val="333333"/>
                <w:lang w:val="ro-RO" w:eastAsia="ro-MD"/>
              </w:rPr>
            </w:pPr>
            <w:r w:rsidRPr="009E686F">
              <w:rPr>
                <w:rFonts w:ascii="Times New Roman" w:hAnsi="Times New Roman" w:cs="Times New Roman"/>
                <w:lang w:val="ro-RO"/>
              </w:rPr>
              <w:t xml:space="preserve">În acest scop, funcțiile de control intern sunt independente de membrii organului de conducere în funcția sa de conducere și de conducerea superioară și, în special, pot face sesizări și pot avertiza organul de conducere în funcția sa de supraveghere, atunci când este cazul sau </w:t>
            </w:r>
            <w:bookmarkStart w:id="25" w:name="_Hlk206749335"/>
            <w:r w:rsidRPr="009E686F">
              <w:rPr>
                <w:rFonts w:ascii="Times New Roman" w:hAnsi="Times New Roman" w:cs="Times New Roman"/>
                <w:lang w:val="ro-RO"/>
              </w:rPr>
              <w:t>dacă au loc evoluții specifice ale riscurilor care afectează sau pot să afecteze instituția, fără a aduce atingere responsabilităților pe care le are organul de conducere în conformitate cu prezenta directivă și cu Regulamentul (UE) nr. 575/2013.</w:t>
            </w:r>
          </w:p>
          <w:bookmarkEnd w:id="25"/>
          <w:p w14:paraId="5E6A373F" w14:textId="77777777" w:rsidR="002F47A0" w:rsidRPr="009E686F" w:rsidDel="00124257" w:rsidRDefault="002F47A0" w:rsidP="002F47A0">
            <w:pPr>
              <w:spacing w:after="0"/>
              <w:jc w:val="both"/>
              <w:rPr>
                <w:rFonts w:ascii="Times New Roman" w:hAnsi="Times New Roman" w:cs="Times New Roman"/>
                <w:lang w:val="ro-RO"/>
              </w:rPr>
            </w:pPr>
          </w:p>
        </w:tc>
        <w:tc>
          <w:tcPr>
            <w:tcW w:w="1928" w:type="pct"/>
            <w:gridSpan w:val="3"/>
            <w:tcBorders>
              <w:top w:val="single" w:sz="4" w:space="0" w:color="auto"/>
              <w:left w:val="single" w:sz="4" w:space="0" w:color="auto"/>
              <w:bottom w:val="single" w:sz="4" w:space="0" w:color="auto"/>
              <w:right w:val="single" w:sz="4" w:space="0" w:color="auto"/>
            </w:tcBorders>
          </w:tcPr>
          <w:p w14:paraId="52915805" w14:textId="3D24412D" w:rsidR="002F47A0" w:rsidRPr="009E686F" w:rsidRDefault="002F47A0" w:rsidP="002F47A0">
            <w:pPr>
              <w:spacing w:after="0"/>
              <w:jc w:val="both"/>
              <w:rPr>
                <w:rFonts w:ascii="Times New Roman" w:eastAsia="Aptos" w:hAnsi="Times New Roman" w:cs="Times New Roman"/>
                <w:b/>
                <w:bCs/>
                <w:kern w:val="2"/>
                <w:lang w:val="ro-MD"/>
              </w:rPr>
            </w:pPr>
            <w:r w:rsidRPr="009E686F">
              <w:rPr>
                <w:rFonts w:ascii="Times New Roman" w:eastAsia="Aptos" w:hAnsi="Times New Roman" w:cs="Times New Roman"/>
                <w:b/>
                <w:bCs/>
                <w:kern w:val="2"/>
                <w:lang w:val="ro-MD"/>
              </w:rPr>
              <w:t>Articolul 44</w:t>
            </w:r>
            <w:r w:rsidRPr="009E686F">
              <w:rPr>
                <w:rFonts w:ascii="Times New Roman" w:eastAsia="Aptos" w:hAnsi="Times New Roman" w:cs="Times New Roman"/>
                <w:b/>
                <w:bCs/>
                <w:kern w:val="2"/>
                <w:vertAlign w:val="superscript"/>
                <w:lang w:val="ro-MD"/>
              </w:rPr>
              <w:t xml:space="preserve">2 </w:t>
            </w:r>
            <w:r w:rsidRPr="009E686F">
              <w:rPr>
                <w:rFonts w:ascii="Times New Roman" w:eastAsia="Aptos" w:hAnsi="Times New Roman" w:cs="Times New Roman"/>
                <w:b/>
                <w:bCs/>
                <w:kern w:val="2"/>
                <w:lang w:val="ro-MD"/>
              </w:rPr>
              <w:t>alin. (4)</w:t>
            </w:r>
          </w:p>
          <w:p w14:paraId="0D2FDC3C" w14:textId="167A2472" w:rsidR="002F47A0" w:rsidRPr="009E686F" w:rsidRDefault="002F47A0" w:rsidP="002F47A0">
            <w:pPr>
              <w:spacing w:after="0" w:line="276" w:lineRule="auto"/>
              <w:jc w:val="both"/>
              <w:rPr>
                <w:rFonts w:ascii="Times New Roman" w:hAnsi="Times New Roman" w:cs="Times New Roman"/>
                <w:i/>
                <w:iCs/>
                <w:lang w:val="ro-RO"/>
              </w:rPr>
            </w:pPr>
            <w:r w:rsidRPr="009E686F">
              <w:rPr>
                <w:rFonts w:ascii="Times New Roman" w:eastAsia="Aptos" w:hAnsi="Times New Roman" w:cs="Times New Roman"/>
                <w:i/>
                <w:iCs/>
                <w:kern w:val="2"/>
                <w:lang w:val="ro-MD"/>
              </w:rPr>
              <w:t>(4) Funcțiile de control intern trebuie să dispună de acces direct la consiliu și raportează   direct acestuia. În acest scop, funcțiile de control intern sunt independente de  membrii organului executiv</w:t>
            </w:r>
            <w:r w:rsidRPr="009E686F">
              <w:rPr>
                <w:lang w:val="ro-MD"/>
              </w:rPr>
              <w:t xml:space="preserve"> </w:t>
            </w:r>
            <w:r w:rsidRPr="009E686F">
              <w:rPr>
                <w:rFonts w:ascii="Times New Roman" w:eastAsia="Aptos" w:hAnsi="Times New Roman" w:cs="Times New Roman"/>
                <w:i/>
                <w:iCs/>
                <w:kern w:val="2"/>
                <w:lang w:val="ro-MD"/>
              </w:rPr>
              <w:t>și de persoanele care reprezintă conducerea superioară,  pot face sesizări și pot avertiza consiliul, atunci când este cazul sau dacă au loc evoluții specifice ale riscurilor care afectează sau pot să afecteze instituția de credit, fără a aduce atingere responsabilităților pe care le are organul de conducere   în conformitate cu prezenta lege și actele normative ale Băncii Naționale a  Moldovei emise în aplicarea acesteia.</w:t>
            </w:r>
          </w:p>
          <w:p w14:paraId="5982DF34" w14:textId="77777777" w:rsidR="002F47A0" w:rsidRPr="009E686F" w:rsidRDefault="002F47A0" w:rsidP="002F47A0">
            <w:pPr>
              <w:spacing w:after="0" w:line="240" w:lineRule="auto"/>
              <w:jc w:val="both"/>
              <w:rPr>
                <w:rFonts w:ascii="Times New Roman" w:hAnsi="Times New Roman" w:cs="Times New Roman"/>
                <w:lang w:val="ro-RO"/>
              </w:rPr>
            </w:pPr>
          </w:p>
          <w:p w14:paraId="5848EAB4" w14:textId="7C3C12ED" w:rsidR="002F47A0" w:rsidRPr="009E686F" w:rsidRDefault="002F47A0" w:rsidP="002F47A0">
            <w:pPr>
              <w:tabs>
                <w:tab w:val="left" w:pos="1048"/>
              </w:tabs>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48E45653" w14:textId="77777777"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p w14:paraId="0060E605" w14:textId="77777777" w:rsidR="002F47A0" w:rsidRPr="009E686F" w:rsidDel="00124257" w:rsidRDefault="002F47A0" w:rsidP="002F47A0">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2064ED24" w14:textId="77777777" w:rsidR="002F47A0" w:rsidRPr="009E686F" w:rsidRDefault="002F47A0" w:rsidP="002F47A0">
            <w:pPr>
              <w:jc w:val="both"/>
              <w:rPr>
                <w:rFonts w:ascii="Times New Roman" w:hAnsi="Times New Roman" w:cs="Times New Roman"/>
                <w:color w:val="FF0000"/>
                <w:lang w:val="ro-RO"/>
              </w:rPr>
            </w:pPr>
          </w:p>
        </w:tc>
      </w:tr>
      <w:tr w:rsidR="002F47A0" w:rsidRPr="009E686F" w14:paraId="33ED4D36"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19AC3ED6" w14:textId="77777777" w:rsidR="002F47A0" w:rsidRPr="009E686F" w:rsidRDefault="002F47A0" w:rsidP="002F47A0">
            <w:pPr>
              <w:shd w:val="clear" w:color="auto" w:fill="FFFFFF"/>
              <w:spacing w:after="0" w:line="276" w:lineRule="auto"/>
              <w:jc w:val="both"/>
              <w:rPr>
                <w:rFonts w:ascii="Times New Roman" w:hAnsi="Times New Roman" w:cs="Times New Roman"/>
                <w:lang w:val="ro-RO"/>
              </w:rPr>
            </w:pPr>
            <w:r w:rsidRPr="009E686F">
              <w:rPr>
                <w:rFonts w:ascii="Times New Roman" w:hAnsi="Times New Roman" w:cs="Times New Roman"/>
                <w:lang w:val="ro-RO"/>
              </w:rPr>
              <w:t xml:space="preserve">Coordonatorii funcțiilor de control intern sunt cadre de conducere de nivel superior independente, cu responsabilități distincte pentru funcțiile de administrare a riscurilor, de conformitate și de audit intern. În cazul în care natura, amploarea și complexitatea activităților </w:t>
            </w:r>
            <w:r w:rsidRPr="009E686F">
              <w:rPr>
                <w:rFonts w:ascii="Times New Roman" w:hAnsi="Times New Roman" w:cs="Times New Roman"/>
                <w:lang w:val="ro-RO"/>
              </w:rPr>
              <w:lastRenderedPageBreak/>
              <w:t>instituției nu justifică numirea unei anumite persoane pentru funcția de administrare a riscurilor sau pentru funcția de asigurare a conformității, o altă persoană de rang superior care îndeplinește alte sarcini în cadrul instituției poate îndeplini responsabilitățile pentru funcțiile de conformitate sau de administrare a riscurilor, cu condiția să nu existe niciun conflict de interese și ca persoana responsabilă de funcția de administrare a riscurilor și de funcția de conformitate:</w:t>
            </w:r>
          </w:p>
          <w:p w14:paraId="7FF35E65" w14:textId="77777777" w:rsidR="002F47A0" w:rsidRPr="009E686F" w:rsidRDefault="002F47A0" w:rsidP="002F47A0">
            <w:pPr>
              <w:shd w:val="clear" w:color="auto" w:fill="FFFFFF"/>
              <w:spacing w:after="0" w:line="276" w:lineRule="auto"/>
              <w:jc w:val="both"/>
              <w:rPr>
                <w:rFonts w:ascii="Times New Roman" w:hAnsi="Times New Roman" w:cs="Times New Roman"/>
                <w:lang w:val="ro-RO"/>
              </w:rPr>
            </w:pPr>
            <w:r w:rsidRPr="009E686F">
              <w:rPr>
                <w:rFonts w:ascii="Times New Roman" w:hAnsi="Times New Roman" w:cs="Times New Roman"/>
                <w:lang w:val="ro-RO"/>
              </w:rPr>
              <w:t>(a)</w:t>
            </w:r>
            <w:r w:rsidRPr="009E686F">
              <w:rPr>
                <w:rFonts w:ascii="Times New Roman" w:hAnsi="Times New Roman" w:cs="Times New Roman"/>
                <w:lang w:val="ro-RO"/>
              </w:rPr>
              <w:tab/>
              <w:t>să îndeplinească criteriile de adecvare și cerințele în materie de cunoștințe, competențe și experiență care sunt necesare pentru diferitele domenii vizate; și</w:t>
            </w:r>
          </w:p>
          <w:p w14:paraId="367953E9" w14:textId="77777777" w:rsidR="002F47A0" w:rsidRPr="009E686F" w:rsidRDefault="002F47A0" w:rsidP="002F47A0">
            <w:pPr>
              <w:shd w:val="clear" w:color="auto" w:fill="FFFFFF"/>
              <w:spacing w:after="0" w:line="276" w:lineRule="auto"/>
              <w:jc w:val="both"/>
              <w:rPr>
                <w:rFonts w:ascii="Times New Roman" w:hAnsi="Times New Roman" w:cs="Times New Roman"/>
                <w:lang w:val="ro-RO"/>
              </w:rPr>
            </w:pPr>
            <w:r w:rsidRPr="009E686F">
              <w:rPr>
                <w:rFonts w:ascii="Times New Roman" w:hAnsi="Times New Roman" w:cs="Times New Roman"/>
                <w:lang w:val="ro-RO"/>
              </w:rPr>
              <w:t>(b)</w:t>
            </w:r>
            <w:r w:rsidRPr="009E686F">
              <w:rPr>
                <w:rFonts w:ascii="Times New Roman" w:hAnsi="Times New Roman" w:cs="Times New Roman"/>
                <w:lang w:val="ro-RO"/>
              </w:rPr>
              <w:tab/>
              <w:t>să aibă timp suficient pentru a îndeplini în mod corect ambele funcții de control.</w:t>
            </w:r>
          </w:p>
          <w:p w14:paraId="6794D800" w14:textId="77777777" w:rsidR="002F47A0" w:rsidRPr="009E686F" w:rsidRDefault="002F47A0" w:rsidP="002F47A0">
            <w:pPr>
              <w:shd w:val="clear" w:color="auto" w:fill="FFFFFF"/>
              <w:spacing w:after="0" w:line="276" w:lineRule="auto"/>
              <w:jc w:val="both"/>
              <w:rPr>
                <w:rFonts w:ascii="Times New Roman" w:hAnsi="Times New Roman" w:cs="Times New Roman"/>
                <w:lang w:val="ro-RO"/>
              </w:rPr>
            </w:pPr>
            <w:r w:rsidRPr="009E686F">
              <w:rPr>
                <w:rFonts w:ascii="Times New Roman" w:hAnsi="Times New Roman" w:cs="Times New Roman"/>
                <w:lang w:val="ro-RO"/>
              </w:rPr>
              <w:t>Funcția de audit intern nu se combină cu nicio altă linie de activitate sau funcție de control a instituției.</w:t>
            </w:r>
          </w:p>
          <w:p w14:paraId="761424E8" w14:textId="542F6758" w:rsidR="002F47A0" w:rsidRPr="009E686F" w:rsidRDefault="002F47A0" w:rsidP="002F47A0">
            <w:pPr>
              <w:shd w:val="clear" w:color="auto" w:fill="FFFFFF"/>
              <w:spacing w:after="0" w:line="276" w:lineRule="auto"/>
              <w:jc w:val="both"/>
              <w:rPr>
                <w:rFonts w:ascii="Times New Roman" w:hAnsi="Times New Roman" w:cs="Times New Roman"/>
                <w:lang w:val="ro-RO"/>
              </w:rPr>
            </w:pPr>
            <w:r w:rsidRPr="009E686F">
              <w:rPr>
                <w:rFonts w:ascii="Times New Roman" w:hAnsi="Times New Roman" w:cs="Times New Roman"/>
                <w:lang w:val="ro-RO"/>
              </w:rPr>
              <w:t>Coordonatorii funcțiilor de control intern nu se demit fără aprobarea prealabilă a organului de conducere în funcției sa de supraveghere.”</w:t>
            </w:r>
          </w:p>
        </w:tc>
        <w:tc>
          <w:tcPr>
            <w:tcW w:w="1928" w:type="pct"/>
            <w:gridSpan w:val="3"/>
            <w:tcBorders>
              <w:top w:val="single" w:sz="4" w:space="0" w:color="auto"/>
              <w:left w:val="single" w:sz="4" w:space="0" w:color="auto"/>
              <w:bottom w:val="single" w:sz="4" w:space="0" w:color="auto"/>
              <w:right w:val="single" w:sz="4" w:space="0" w:color="auto"/>
            </w:tcBorders>
          </w:tcPr>
          <w:p w14:paraId="0344BF40" w14:textId="3D346408" w:rsidR="002F47A0" w:rsidRPr="009E686F" w:rsidRDefault="002F47A0" w:rsidP="002F47A0">
            <w:pPr>
              <w:spacing w:after="0"/>
              <w:jc w:val="both"/>
              <w:rPr>
                <w:rFonts w:ascii="Times New Roman" w:eastAsia="Aptos" w:hAnsi="Times New Roman" w:cs="Times New Roman"/>
                <w:b/>
                <w:bCs/>
                <w:kern w:val="2"/>
                <w:lang w:val="ro-MD"/>
              </w:rPr>
            </w:pPr>
            <w:r w:rsidRPr="009E686F">
              <w:rPr>
                <w:rFonts w:ascii="Times New Roman" w:eastAsia="Aptos" w:hAnsi="Times New Roman" w:cs="Times New Roman"/>
                <w:b/>
                <w:bCs/>
                <w:kern w:val="2"/>
                <w:lang w:val="ro-MD"/>
              </w:rPr>
              <w:lastRenderedPageBreak/>
              <w:t>Articolul 44</w:t>
            </w:r>
            <w:r w:rsidRPr="009E686F">
              <w:rPr>
                <w:rFonts w:ascii="Times New Roman" w:eastAsia="Aptos" w:hAnsi="Times New Roman" w:cs="Times New Roman"/>
                <w:b/>
                <w:bCs/>
                <w:kern w:val="2"/>
                <w:vertAlign w:val="superscript"/>
                <w:lang w:val="ro-MD"/>
              </w:rPr>
              <w:t xml:space="preserve">2 </w:t>
            </w:r>
            <w:r w:rsidRPr="009E686F">
              <w:rPr>
                <w:rFonts w:ascii="Times New Roman" w:eastAsia="Aptos" w:hAnsi="Times New Roman" w:cs="Times New Roman"/>
                <w:b/>
                <w:bCs/>
                <w:kern w:val="2"/>
                <w:lang w:val="ro-MD"/>
              </w:rPr>
              <w:t>alin.</w:t>
            </w:r>
            <w:r w:rsidRPr="009E686F">
              <w:rPr>
                <w:rFonts w:ascii="Times New Roman" w:eastAsia="Aptos" w:hAnsi="Times New Roman" w:cs="Times New Roman"/>
                <w:b/>
                <w:bCs/>
                <w:kern w:val="2"/>
                <w:vertAlign w:val="superscript"/>
                <w:lang w:val="ro-MD"/>
              </w:rPr>
              <w:t xml:space="preserve"> </w:t>
            </w:r>
            <w:r w:rsidRPr="009E686F">
              <w:rPr>
                <w:rFonts w:ascii="Times New Roman" w:eastAsia="Aptos" w:hAnsi="Times New Roman" w:cs="Times New Roman"/>
                <w:b/>
                <w:bCs/>
                <w:kern w:val="2"/>
                <w:lang w:val="ro-MD"/>
              </w:rPr>
              <w:t>(5), (6), (7)</w:t>
            </w:r>
          </w:p>
          <w:p w14:paraId="22925F5D" w14:textId="7E496245" w:rsidR="002F47A0" w:rsidRPr="009E686F" w:rsidRDefault="002F47A0" w:rsidP="002F47A0">
            <w:pPr>
              <w:spacing w:after="0" w:line="278" w:lineRule="auto"/>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 xml:space="preserve">(5) Coordonatorii funcțiilor de control intern sunt cadre de conducere de nivel superior independente, cu responsabilități distincte pentru funcțiile de administrare a riscurilor, de conformitate și de audit intern. În cazul în care natura, </w:t>
            </w:r>
            <w:r w:rsidRPr="009E686F">
              <w:rPr>
                <w:rFonts w:ascii="Times New Roman" w:eastAsia="Aptos" w:hAnsi="Times New Roman" w:cs="Times New Roman"/>
                <w:i/>
                <w:iCs/>
                <w:kern w:val="2"/>
                <w:lang w:val="ro-MD"/>
              </w:rPr>
              <w:lastRenderedPageBreak/>
              <w:t>amploarea și complexitatea activităților instituției de credit nu justifică numirea unei anumite persoane pentru funcția de administrare a riscurilor sau pentru funcția de conformitate, o altă persoană de rang superior care îndeplinește alte sarcini în cadrul entității poate îndeplini responsabilitățile pentru funcțiile de conformitate sau de administrare a riscurilor, cu condiția să nu existe niciun conflict de interese și ca persoana responsabilă de funcția de administrare a riscurilor și de funcția de conformitate:</w:t>
            </w:r>
          </w:p>
          <w:p w14:paraId="64613312" w14:textId="77777777" w:rsidR="002F47A0" w:rsidRPr="009E686F" w:rsidRDefault="002F47A0" w:rsidP="002F47A0">
            <w:pPr>
              <w:spacing w:after="0" w:line="278" w:lineRule="auto"/>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a) să îndeplinească criteriile de adecvare și cerințele în materie de cunoștințe, competențe și experiență care sunt necesare pentru diferitele domenii vizate; și</w:t>
            </w:r>
          </w:p>
          <w:p w14:paraId="134ED4DA" w14:textId="7FF133E5" w:rsidR="002F47A0" w:rsidRPr="009E686F" w:rsidRDefault="002F47A0" w:rsidP="002F47A0">
            <w:pPr>
              <w:spacing w:after="0" w:line="240" w:lineRule="auto"/>
              <w:jc w:val="both"/>
              <w:rPr>
                <w:rFonts w:ascii="Times New Roman" w:hAnsi="Times New Roman" w:cs="Times New Roman"/>
                <w:i/>
                <w:iCs/>
                <w:lang w:val="ro-RO"/>
              </w:rPr>
            </w:pPr>
            <w:r w:rsidRPr="009E686F">
              <w:rPr>
                <w:rFonts w:ascii="Times New Roman" w:eastAsia="Aptos" w:hAnsi="Times New Roman" w:cs="Times New Roman"/>
                <w:i/>
                <w:iCs/>
                <w:kern w:val="2"/>
                <w:lang w:val="ro-MD"/>
              </w:rPr>
              <w:t>b) să aibă timp suficient pentru a îndeplini în mod corect ambele funcții de control.</w:t>
            </w:r>
          </w:p>
          <w:p w14:paraId="2A6A15A9" w14:textId="21F55CFC" w:rsidR="002F47A0" w:rsidRPr="009E686F" w:rsidRDefault="002F47A0" w:rsidP="002F47A0">
            <w:pPr>
              <w:spacing w:after="0" w:line="278" w:lineRule="auto"/>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(6) Funcția de audit intern nu poate fi combinată cu nicio altă linie de activitate sau funcție de control a entității.</w:t>
            </w:r>
          </w:p>
          <w:p w14:paraId="404897C6" w14:textId="66D4F278" w:rsidR="002F47A0" w:rsidRPr="009E686F" w:rsidRDefault="002F47A0" w:rsidP="002F47A0">
            <w:pPr>
              <w:spacing w:after="0" w:line="240" w:lineRule="auto"/>
              <w:jc w:val="both"/>
              <w:rPr>
                <w:rFonts w:ascii="Times New Roman" w:hAnsi="Times New Roman" w:cs="Times New Roman"/>
                <w:i/>
                <w:iCs/>
                <w:lang w:val="ro-RO"/>
              </w:rPr>
            </w:pPr>
            <w:r w:rsidRPr="009E686F">
              <w:rPr>
                <w:rFonts w:ascii="Times New Roman" w:eastAsia="Aptos" w:hAnsi="Times New Roman" w:cs="Times New Roman"/>
                <w:i/>
                <w:iCs/>
                <w:kern w:val="2"/>
                <w:lang w:val="ro-MD"/>
              </w:rPr>
              <w:t>(7) Coordonatorii funcțiilor de control intern nu pot fi demiși fără aprobarea prealabilă a consiliului.</w:t>
            </w:r>
          </w:p>
          <w:p w14:paraId="0004C0AE" w14:textId="4B7EE00F" w:rsidR="002F47A0" w:rsidRPr="009E686F" w:rsidRDefault="002F47A0" w:rsidP="002F47A0">
            <w:pPr>
              <w:spacing w:after="0"/>
              <w:jc w:val="both"/>
              <w:rPr>
                <w:rFonts w:ascii="Times New Roman" w:hAnsi="Times New Roman" w:cs="Times New Roman"/>
                <w:b/>
                <w:lang w:val="ro-RO"/>
              </w:rPr>
            </w:pPr>
            <w:r w:rsidRPr="009E686F">
              <w:rPr>
                <w:rFonts w:ascii="Times New Roman" w:eastAsia="Times New Roman" w:hAnsi="Times New Roman" w:cs="Times New Roman"/>
                <w:lang w:val="ro-MD" w:eastAsia="ro-MD"/>
              </w:rPr>
              <w:br/>
            </w:r>
          </w:p>
        </w:tc>
        <w:tc>
          <w:tcPr>
            <w:tcW w:w="470" w:type="pct"/>
            <w:tcBorders>
              <w:top w:val="single" w:sz="4" w:space="0" w:color="auto"/>
              <w:left w:val="single" w:sz="4" w:space="0" w:color="auto"/>
              <w:bottom w:val="single" w:sz="4" w:space="0" w:color="auto"/>
              <w:right w:val="single" w:sz="4" w:space="0" w:color="auto"/>
            </w:tcBorders>
          </w:tcPr>
          <w:p w14:paraId="33DEBE40" w14:textId="77777777"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lastRenderedPageBreak/>
              <w:t>Compatibil</w:t>
            </w:r>
          </w:p>
          <w:p w14:paraId="516092D3" w14:textId="77777777" w:rsidR="002F47A0" w:rsidRPr="009E686F" w:rsidDel="00124257" w:rsidRDefault="002F47A0" w:rsidP="002F47A0">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00ED8AAA" w14:textId="77777777" w:rsidR="002F47A0" w:rsidRPr="009E686F" w:rsidRDefault="002F47A0" w:rsidP="002F47A0">
            <w:pPr>
              <w:jc w:val="both"/>
              <w:rPr>
                <w:rFonts w:ascii="Times New Roman" w:hAnsi="Times New Roman" w:cs="Times New Roman"/>
                <w:color w:val="FF0000"/>
                <w:lang w:val="ro-RO"/>
              </w:rPr>
            </w:pPr>
          </w:p>
        </w:tc>
      </w:tr>
      <w:tr w:rsidR="002F47A0" w:rsidRPr="009E686F" w14:paraId="63B6F686" w14:textId="718E63FB" w:rsidTr="00D40F44">
        <w:tc>
          <w:tcPr>
            <w:tcW w:w="5000" w:type="pct"/>
            <w:gridSpan w:val="7"/>
            <w:tcBorders>
              <w:top w:val="single" w:sz="4" w:space="0" w:color="auto"/>
              <w:left w:val="single" w:sz="4" w:space="0" w:color="auto"/>
              <w:bottom w:val="single" w:sz="4" w:space="0" w:color="auto"/>
              <w:right w:val="single" w:sz="4" w:space="0" w:color="auto"/>
            </w:tcBorders>
          </w:tcPr>
          <w:p w14:paraId="32ADE020" w14:textId="77777777" w:rsidR="002F47A0" w:rsidRPr="009E686F" w:rsidRDefault="002F47A0" w:rsidP="002F47A0">
            <w:pPr>
              <w:spacing w:after="0"/>
              <w:jc w:val="both"/>
              <w:rPr>
                <w:rFonts w:ascii="Times New Roman" w:hAnsi="Times New Roman" w:cs="Times New Roman"/>
                <w:b/>
                <w:bCs/>
                <w:lang w:val="ro-RO"/>
              </w:rPr>
            </w:pPr>
            <w:r w:rsidRPr="009E686F">
              <w:rPr>
                <w:rFonts w:ascii="Times New Roman" w:hAnsi="Times New Roman" w:cs="Times New Roman"/>
                <w:i/>
                <w:iCs/>
                <w:lang w:val="ro-RO"/>
              </w:rPr>
              <w:t>Articolul 77</w:t>
            </w:r>
            <w:r w:rsidRPr="009E686F">
              <w:rPr>
                <w:rFonts w:ascii="Times New Roman" w:hAnsi="Times New Roman" w:cs="Times New Roman"/>
                <w:lang w:val="ro-RO"/>
              </w:rPr>
              <w:t xml:space="preserve"> </w:t>
            </w:r>
          </w:p>
          <w:p w14:paraId="4DB640B3" w14:textId="6E37C74F"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Abordări interne pentru calcularea cerințelor de fonduri proprii</w:t>
            </w:r>
          </w:p>
        </w:tc>
      </w:tr>
      <w:tr w:rsidR="002F47A0" w:rsidRPr="009E686F" w14:paraId="048C9C38" w14:textId="22AFC2BC" w:rsidTr="00774F3E">
        <w:tc>
          <w:tcPr>
            <w:tcW w:w="1796" w:type="pct"/>
            <w:gridSpan w:val="2"/>
            <w:tcBorders>
              <w:top w:val="single" w:sz="4" w:space="0" w:color="auto"/>
              <w:left w:val="single" w:sz="4" w:space="0" w:color="auto"/>
              <w:bottom w:val="single" w:sz="4" w:space="0" w:color="auto"/>
              <w:right w:val="single" w:sz="4" w:space="0" w:color="auto"/>
            </w:tcBorders>
          </w:tcPr>
          <w:p w14:paraId="43BE6452" w14:textId="49C63C9C"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 xml:space="preserve">(1) Autoritățile competente încurajează instituțiile care sunt semnificative ținând seama de dimensiunea, organizarea internă și natura, amploarea și complexitatea activităților lor să dezvolte o capacitate internă de evaluare a riscului de credit și să utilizeze mai frecvent abordarea bazată pe modele interne de rating pentru calcularea cerințelor de fonduri proprii pentru riscul de credit, în cazul în care expunerile lor sunt semnificative în termeni absoluți și în cazul în care au, în același timp, un număr mare de </w:t>
            </w:r>
            <w:r w:rsidRPr="009E686F">
              <w:rPr>
                <w:rFonts w:ascii="Times New Roman" w:hAnsi="Times New Roman" w:cs="Times New Roman"/>
                <w:lang w:val="ro-RO"/>
              </w:rPr>
              <w:lastRenderedPageBreak/>
              <w:t>contrapartide semnificative. Prezentul articol nu aduc atingere îndeplinirii criteriilor prevăzute în partea a treia titlul I capitolul 3 secțiunea 1 din Regulamentul (UE) nr. 575/2013.</w:t>
            </w:r>
          </w:p>
        </w:tc>
        <w:tc>
          <w:tcPr>
            <w:tcW w:w="1928" w:type="pct"/>
            <w:gridSpan w:val="3"/>
            <w:tcBorders>
              <w:top w:val="single" w:sz="4" w:space="0" w:color="auto"/>
              <w:left w:val="single" w:sz="4" w:space="0" w:color="auto"/>
              <w:bottom w:val="single" w:sz="4" w:space="0" w:color="auto"/>
              <w:right w:val="single" w:sz="4" w:space="0" w:color="auto"/>
            </w:tcBorders>
          </w:tcPr>
          <w:p w14:paraId="16D5FD8D" w14:textId="6A032A01" w:rsidR="002F47A0" w:rsidRPr="009E686F" w:rsidRDefault="002F47A0" w:rsidP="002F47A0">
            <w:pPr>
              <w:spacing w:after="0"/>
              <w:jc w:val="both"/>
              <w:rPr>
                <w:rFonts w:ascii="Times New Roman" w:eastAsia="Aptos" w:hAnsi="Times New Roman" w:cs="Times New Roman"/>
                <w:b/>
                <w:bCs/>
                <w:kern w:val="2"/>
                <w:lang w:val="ro-MD"/>
              </w:rPr>
            </w:pPr>
            <w:r w:rsidRPr="009E686F">
              <w:rPr>
                <w:rFonts w:ascii="Times New Roman" w:eastAsia="Aptos" w:hAnsi="Times New Roman" w:cs="Times New Roman"/>
                <w:b/>
                <w:bCs/>
                <w:kern w:val="2"/>
                <w:lang w:val="ro-MD"/>
              </w:rPr>
              <w:lastRenderedPageBreak/>
              <w:t>Articolul 102 alin. (7)</w:t>
            </w:r>
          </w:p>
          <w:p w14:paraId="0CB1D72E" w14:textId="2315C367" w:rsidR="002F47A0" w:rsidRPr="009E686F" w:rsidRDefault="002F47A0" w:rsidP="002F47A0">
            <w:pPr>
              <w:spacing w:after="0" w:line="276" w:lineRule="auto"/>
              <w:jc w:val="both"/>
              <w:rPr>
                <w:rFonts w:ascii="Times New Roman" w:hAnsi="Times New Roman" w:cs="Times New Roman"/>
                <w:b/>
                <w:i/>
                <w:iCs/>
                <w:lang w:val="ro-RO"/>
              </w:rPr>
            </w:pPr>
            <w:r w:rsidRPr="009E686F">
              <w:rPr>
                <w:rFonts w:ascii="Times New Roman" w:eastAsia="Aptos" w:hAnsi="Times New Roman" w:cs="Times New Roman"/>
                <w:i/>
                <w:iCs/>
                <w:kern w:val="2"/>
                <w:lang w:val="ro-MD"/>
              </w:rPr>
              <w:t xml:space="preserve">(7) Banca Națională a Moldovei recomandă instituțiilor de credit care sunt semnificative din perspectiva dimensiunii, organizării interne și naturii, amplorii și complexității activităţilor lor să dezvolte o capacitate internă de evaluare a riscului de credit și să utilizeze mai frecvent abordarea bazată pe modele interne de rating pentru calcularea cerinţelor de fonduri proprii pentru riscul de credit, în cazul în care expunerile lor sunt semnificative în termeni absoluţi și în cazul </w:t>
            </w:r>
            <w:r w:rsidRPr="009E686F">
              <w:rPr>
                <w:rFonts w:ascii="Times New Roman" w:eastAsia="Aptos" w:hAnsi="Times New Roman" w:cs="Times New Roman"/>
                <w:i/>
                <w:iCs/>
                <w:kern w:val="2"/>
                <w:lang w:val="ro-MD"/>
              </w:rPr>
              <w:lastRenderedPageBreak/>
              <w:t>în care au, în același timp, un număr mare de contrapartide semnificative.</w:t>
            </w:r>
          </w:p>
        </w:tc>
        <w:tc>
          <w:tcPr>
            <w:tcW w:w="470" w:type="pct"/>
            <w:tcBorders>
              <w:left w:val="single" w:sz="4" w:space="0" w:color="auto"/>
              <w:bottom w:val="single" w:sz="4" w:space="0" w:color="auto"/>
              <w:right w:val="single" w:sz="4" w:space="0" w:color="auto"/>
            </w:tcBorders>
          </w:tcPr>
          <w:p w14:paraId="7D0957A3" w14:textId="56B2176E"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lastRenderedPageBreak/>
              <w:t>Compatibil</w:t>
            </w:r>
          </w:p>
          <w:p w14:paraId="6A7401BF" w14:textId="77777777" w:rsidR="002F47A0" w:rsidRPr="009E686F" w:rsidRDefault="002F47A0" w:rsidP="002F47A0">
            <w:pPr>
              <w:jc w:val="both"/>
              <w:rPr>
                <w:rFonts w:ascii="Times New Roman" w:hAnsi="Times New Roman" w:cs="Times New Roman"/>
                <w:lang w:val="ro-RO"/>
              </w:rPr>
            </w:pPr>
          </w:p>
          <w:p w14:paraId="1D98A8B3" w14:textId="786BB558" w:rsidR="002F47A0" w:rsidRPr="009E686F" w:rsidRDefault="002F47A0" w:rsidP="002F47A0">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2BAEC6E2" w14:textId="77777777" w:rsidR="002F47A0" w:rsidRPr="009E686F" w:rsidRDefault="002F47A0" w:rsidP="002F47A0">
            <w:pPr>
              <w:jc w:val="both"/>
              <w:rPr>
                <w:rFonts w:ascii="Times New Roman" w:hAnsi="Times New Roman" w:cs="Times New Roman"/>
                <w:lang w:val="ro-RO"/>
              </w:rPr>
            </w:pPr>
          </w:p>
        </w:tc>
      </w:tr>
      <w:tr w:rsidR="002F47A0" w:rsidRPr="009E686F" w14:paraId="22301F1C" w14:textId="4805FF34" w:rsidTr="00774F3E">
        <w:tc>
          <w:tcPr>
            <w:tcW w:w="1796" w:type="pct"/>
            <w:gridSpan w:val="2"/>
            <w:tcBorders>
              <w:top w:val="single" w:sz="4" w:space="0" w:color="auto"/>
              <w:left w:val="single" w:sz="4" w:space="0" w:color="auto"/>
              <w:bottom w:val="single" w:sz="4" w:space="0" w:color="auto"/>
              <w:right w:val="single" w:sz="4" w:space="0" w:color="auto"/>
            </w:tcBorders>
          </w:tcPr>
          <w:p w14:paraId="58FA5F26" w14:textId="318C4950"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(2) Autoritățile competente monitorizează, ținând cont de natura, amploarea și complexitatea activităților unei instituții, faptul că aceasta nu se bazează în mod exclusiv sau automat pe ratinguri de credit externe pentru evaluarea bonității unei entități sau a unui instrument financiar.</w:t>
            </w:r>
          </w:p>
        </w:tc>
        <w:tc>
          <w:tcPr>
            <w:tcW w:w="1928" w:type="pct"/>
            <w:gridSpan w:val="3"/>
            <w:tcBorders>
              <w:top w:val="single" w:sz="4" w:space="0" w:color="auto"/>
              <w:left w:val="single" w:sz="4" w:space="0" w:color="auto"/>
              <w:bottom w:val="single" w:sz="4" w:space="0" w:color="auto"/>
              <w:right w:val="single" w:sz="4" w:space="0" w:color="auto"/>
            </w:tcBorders>
          </w:tcPr>
          <w:p w14:paraId="1AB2D874" w14:textId="4750DEFD" w:rsidR="002F47A0" w:rsidRPr="009E686F" w:rsidRDefault="002F47A0" w:rsidP="002F47A0">
            <w:pPr>
              <w:spacing w:after="0"/>
              <w:jc w:val="both"/>
              <w:rPr>
                <w:rFonts w:ascii="Times New Roman" w:eastAsia="Aptos" w:hAnsi="Times New Roman" w:cs="Times New Roman"/>
                <w:b/>
                <w:bCs/>
                <w:kern w:val="2"/>
                <w:lang w:val="ro-MD"/>
              </w:rPr>
            </w:pPr>
            <w:r w:rsidRPr="009E686F">
              <w:rPr>
                <w:rFonts w:ascii="Times New Roman" w:eastAsia="Aptos" w:hAnsi="Times New Roman" w:cs="Times New Roman"/>
                <w:b/>
                <w:bCs/>
                <w:kern w:val="2"/>
                <w:lang w:val="ro-MD"/>
              </w:rPr>
              <w:t>Articolul 102 alin. (8)</w:t>
            </w:r>
          </w:p>
          <w:p w14:paraId="4A04818A" w14:textId="5612C75E" w:rsidR="002F47A0" w:rsidRPr="009E686F" w:rsidRDefault="002F47A0" w:rsidP="002F47A0">
            <w:pPr>
              <w:spacing w:after="0"/>
              <w:jc w:val="both"/>
              <w:rPr>
                <w:rFonts w:ascii="Times New Roman" w:hAnsi="Times New Roman" w:cs="Times New Roman"/>
                <w:b/>
                <w:i/>
                <w:iCs/>
                <w:lang w:val="ro-RO"/>
              </w:rPr>
            </w:pPr>
            <w:r w:rsidRPr="009E686F">
              <w:rPr>
                <w:rFonts w:ascii="Times New Roman" w:eastAsia="Aptos" w:hAnsi="Times New Roman" w:cs="Times New Roman"/>
                <w:i/>
                <w:iCs/>
                <w:kern w:val="2"/>
                <w:lang w:val="ro-MD"/>
              </w:rPr>
              <w:t>(8) Banca Națională a Moldovei monitorizează, ţinând cont de natura, amploarea și complexitatea activităţilor unei instituții de credit, faptul că aceasta nu se bazează în mod exclusiv sau automat pe ratinguri de credit externe pentru evaluarea bonităţii unei entităţi sau a unui instrument financiar.</w:t>
            </w:r>
          </w:p>
        </w:tc>
        <w:tc>
          <w:tcPr>
            <w:tcW w:w="470" w:type="pct"/>
            <w:tcBorders>
              <w:top w:val="single" w:sz="4" w:space="0" w:color="auto"/>
              <w:left w:val="single" w:sz="4" w:space="0" w:color="auto"/>
              <w:bottom w:val="single" w:sz="4" w:space="0" w:color="auto"/>
              <w:right w:val="single" w:sz="4" w:space="0" w:color="auto"/>
            </w:tcBorders>
          </w:tcPr>
          <w:p w14:paraId="1CE0897F" w14:textId="2EA9E5BB"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p w14:paraId="29EA7250" w14:textId="74E4A389" w:rsidR="002F47A0" w:rsidRPr="009E686F" w:rsidRDefault="002F47A0" w:rsidP="002F47A0">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791F7BB1" w14:textId="77777777" w:rsidR="002F47A0" w:rsidRPr="009E686F" w:rsidRDefault="002F47A0" w:rsidP="002F47A0">
            <w:pPr>
              <w:jc w:val="both"/>
              <w:rPr>
                <w:rFonts w:ascii="Times New Roman" w:hAnsi="Times New Roman" w:cs="Times New Roman"/>
                <w:lang w:val="ro-RO"/>
              </w:rPr>
            </w:pPr>
          </w:p>
        </w:tc>
      </w:tr>
      <w:tr w:rsidR="002F47A0" w:rsidRPr="009E686F" w14:paraId="451B753D" w14:textId="3C40AAE2" w:rsidTr="00774F3E">
        <w:tc>
          <w:tcPr>
            <w:tcW w:w="1796" w:type="pct"/>
            <w:gridSpan w:val="2"/>
            <w:tcBorders>
              <w:top w:val="single" w:sz="4" w:space="0" w:color="auto"/>
              <w:left w:val="single" w:sz="4" w:space="0" w:color="auto"/>
              <w:bottom w:val="single" w:sz="4" w:space="0" w:color="auto"/>
              <w:right w:val="single" w:sz="4" w:space="0" w:color="auto"/>
            </w:tcBorders>
          </w:tcPr>
          <w:p w14:paraId="53179F0B" w14:textId="77777777" w:rsidR="002F47A0" w:rsidRPr="009E686F" w:rsidRDefault="002F47A0" w:rsidP="002F47A0">
            <w:pPr>
              <w:shd w:val="clear" w:color="auto" w:fill="FFFFFF"/>
              <w:spacing w:before="120" w:after="0" w:line="276" w:lineRule="auto"/>
              <w:jc w:val="both"/>
              <w:rPr>
                <w:rFonts w:ascii="Times New Roman" w:hAnsi="Times New Roman" w:cs="Times New Roman"/>
                <w:lang w:val="ro-RO"/>
              </w:rPr>
            </w:pPr>
            <w:r w:rsidRPr="009E686F">
              <w:rPr>
                <w:rFonts w:ascii="Times New Roman" w:hAnsi="Times New Roman" w:cs="Times New Roman"/>
                <w:lang w:val="ro-RO"/>
              </w:rPr>
              <w:t>(3)   Autoritățile competente încurajează instituțiile, ținând seama de dimensiunea lor și de organizarea lor internă, precum și de natura, amploarea și complexitatea activităților acestora să dezvolte o capacitate internă de evaluare a riscului de piață și să utilizeze mai frecvent modele interne de calculare a cerințelor de fonduri proprii pentru portofoliile cuprinzând pozițiile din portofoliul de tranzacționare, împreună cu modele interne de calculare a cerințelor de fonduri proprii pentru riscul de nerambursare în cazul în care expunerile acestora față de riscul de nerambursare sunt semnificative în termeni absoluți și în cazul în care au un număr mare de poziții semnificative pe instrumente de datorie sau de capital tranzacționate ale unor emitenți diferiți.</w:t>
            </w:r>
          </w:p>
          <w:p w14:paraId="4C3D563E" w14:textId="099C2E98" w:rsidR="002F47A0" w:rsidRPr="009E686F" w:rsidRDefault="002F47A0" w:rsidP="002F47A0">
            <w:pPr>
              <w:shd w:val="clear" w:color="auto" w:fill="FFFFFF"/>
              <w:spacing w:before="120" w:after="0" w:line="276" w:lineRule="auto"/>
              <w:jc w:val="both"/>
              <w:rPr>
                <w:rFonts w:ascii="Times New Roman" w:hAnsi="Times New Roman" w:cs="Times New Roman"/>
                <w:lang w:val="ro-RO"/>
              </w:rPr>
            </w:pPr>
            <w:r w:rsidRPr="009E686F">
              <w:rPr>
                <w:rFonts w:ascii="Times New Roman" w:hAnsi="Times New Roman" w:cs="Times New Roman"/>
                <w:lang w:val="ro-RO"/>
              </w:rPr>
              <w:t>Prezentul articol nu aduce atingere îndeplinirii criteriilor prevăzute în partea a treia titlul IV capitolul 1b din Regulamentul (UE) nr. 575/2013.</w:t>
            </w:r>
          </w:p>
          <w:p w14:paraId="36C6ACAA" w14:textId="34BA5619" w:rsidR="002F47A0" w:rsidRPr="009E686F" w:rsidRDefault="002F47A0" w:rsidP="002F47A0">
            <w:pPr>
              <w:spacing w:after="0"/>
              <w:jc w:val="both"/>
              <w:rPr>
                <w:rFonts w:ascii="Times New Roman" w:hAnsi="Times New Roman" w:cs="Times New Roman"/>
                <w:lang w:val="ro-RO"/>
              </w:rPr>
            </w:pPr>
          </w:p>
        </w:tc>
        <w:tc>
          <w:tcPr>
            <w:tcW w:w="1928" w:type="pct"/>
            <w:gridSpan w:val="3"/>
            <w:tcBorders>
              <w:top w:val="single" w:sz="4" w:space="0" w:color="auto"/>
              <w:left w:val="single" w:sz="4" w:space="0" w:color="auto"/>
              <w:bottom w:val="single" w:sz="4" w:space="0" w:color="auto"/>
              <w:right w:val="single" w:sz="4" w:space="0" w:color="auto"/>
            </w:tcBorders>
          </w:tcPr>
          <w:p w14:paraId="5BB72BBF" w14:textId="24FDA0FA" w:rsidR="002F47A0" w:rsidRPr="009E686F" w:rsidRDefault="002F47A0" w:rsidP="002F47A0">
            <w:pPr>
              <w:spacing w:after="0"/>
              <w:jc w:val="both"/>
              <w:rPr>
                <w:rFonts w:ascii="Times New Roman" w:eastAsia="Aptos" w:hAnsi="Times New Roman" w:cs="Times New Roman"/>
                <w:b/>
                <w:bCs/>
                <w:kern w:val="2"/>
                <w:lang w:val="ro-MD"/>
              </w:rPr>
            </w:pPr>
            <w:r w:rsidRPr="009E686F">
              <w:rPr>
                <w:rFonts w:ascii="Times New Roman" w:eastAsia="Aptos" w:hAnsi="Times New Roman" w:cs="Times New Roman"/>
                <w:b/>
                <w:bCs/>
                <w:kern w:val="2"/>
                <w:lang w:val="ro-MD"/>
              </w:rPr>
              <w:t>Articolul 102 alin. (9)</w:t>
            </w:r>
          </w:p>
          <w:p w14:paraId="2B8EAFED" w14:textId="1266D1A0" w:rsidR="002F47A0" w:rsidRPr="009E686F" w:rsidRDefault="002F47A0" w:rsidP="002F47A0">
            <w:pPr>
              <w:spacing w:after="0" w:line="276" w:lineRule="auto"/>
              <w:jc w:val="both"/>
              <w:rPr>
                <w:rFonts w:ascii="Times New Roman" w:hAnsi="Times New Roman" w:cs="Times New Roman"/>
                <w:b/>
                <w:i/>
                <w:iCs/>
                <w:lang w:val="ro-RO"/>
              </w:rPr>
            </w:pPr>
            <w:r w:rsidRPr="009E686F">
              <w:rPr>
                <w:rFonts w:ascii="Times New Roman" w:eastAsia="Aptos" w:hAnsi="Times New Roman" w:cs="Times New Roman"/>
                <w:i/>
                <w:iCs/>
                <w:kern w:val="2"/>
                <w:lang w:val="ro-MD"/>
              </w:rPr>
              <w:t>(9) Banca Națională a Moldovei recomandă instituțiilor de credit, ţinând cont de dimensiunea și organizarea lor internă și de natura, amploarea și complexitatea activităţilor acestora, să dezvolte o capacitate internă de evaluare a riscului de pia</w:t>
            </w:r>
            <w:r w:rsidRPr="009E686F">
              <w:rPr>
                <w:rFonts w:ascii="Times New Roman" w:eastAsia="Aptos" w:hAnsi="Times New Roman" w:cs="Times New Roman"/>
                <w:i/>
                <w:iCs/>
                <w:kern w:val="2"/>
                <w:lang w:val="ro-RO"/>
              </w:rPr>
              <w:t xml:space="preserve">ță </w:t>
            </w:r>
            <w:r w:rsidRPr="009E686F">
              <w:rPr>
                <w:rFonts w:ascii="Times New Roman" w:eastAsia="Aptos" w:hAnsi="Times New Roman" w:cs="Times New Roman"/>
                <w:i/>
                <w:iCs/>
                <w:kern w:val="2"/>
                <w:lang w:val="ro-MD"/>
              </w:rPr>
              <w:t>și să utilizeze mai frecvent modele interne de calculare a cerinţelor de fonduri proprii pentru riscul specific al titlurilor de creanţă din portofoliul de tranzacţionare, împreună cu modele interne de calculare a cerinţelor de fonduri proprii pentru riscul de nerambursare și de migrare în cazul în care expunerile faţă de riscuri specifice sunt semnificative în termeni absoluţi și în cazul în care au un număr mare de poziţii semnificative pe titluri de creanţă ale unor emitenţi diferiţi.</w:t>
            </w:r>
          </w:p>
        </w:tc>
        <w:tc>
          <w:tcPr>
            <w:tcW w:w="470" w:type="pct"/>
            <w:tcBorders>
              <w:top w:val="single" w:sz="4" w:space="0" w:color="auto"/>
              <w:left w:val="single" w:sz="4" w:space="0" w:color="auto"/>
              <w:bottom w:val="single" w:sz="4" w:space="0" w:color="auto"/>
              <w:right w:val="single" w:sz="4" w:space="0" w:color="auto"/>
            </w:tcBorders>
          </w:tcPr>
          <w:p w14:paraId="618F5CAA" w14:textId="77777777"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p w14:paraId="1BFFF30A" w14:textId="02D9DDAB" w:rsidR="002F47A0" w:rsidRPr="009E686F" w:rsidRDefault="002F47A0" w:rsidP="002F47A0">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74399859" w14:textId="77777777" w:rsidR="002F47A0" w:rsidRPr="009E686F" w:rsidRDefault="002F47A0" w:rsidP="002F47A0">
            <w:pPr>
              <w:jc w:val="both"/>
              <w:rPr>
                <w:rFonts w:ascii="Times New Roman" w:hAnsi="Times New Roman" w:cs="Times New Roman"/>
                <w:lang w:val="ro-RO"/>
              </w:rPr>
            </w:pPr>
          </w:p>
        </w:tc>
      </w:tr>
      <w:tr w:rsidR="002F47A0" w:rsidRPr="009E686F" w14:paraId="7AE4EDB3" w14:textId="4BD1AD46" w:rsidTr="00774F3E">
        <w:tc>
          <w:tcPr>
            <w:tcW w:w="1796" w:type="pct"/>
            <w:gridSpan w:val="2"/>
            <w:tcBorders>
              <w:top w:val="single" w:sz="4" w:space="0" w:color="auto"/>
              <w:left w:val="single" w:sz="4" w:space="0" w:color="auto"/>
              <w:bottom w:val="single" w:sz="4" w:space="0" w:color="auto"/>
              <w:right w:val="single" w:sz="4" w:space="0" w:color="auto"/>
            </w:tcBorders>
          </w:tcPr>
          <w:p w14:paraId="4F91DC69" w14:textId="2C1DAB8B" w:rsidR="002F47A0" w:rsidRPr="009E686F" w:rsidRDefault="002F47A0" w:rsidP="002F47A0">
            <w:pPr>
              <w:shd w:val="clear" w:color="auto" w:fill="FFFFFF"/>
              <w:spacing w:before="120" w:after="0" w:line="276" w:lineRule="auto"/>
              <w:jc w:val="both"/>
              <w:rPr>
                <w:rFonts w:ascii="Times New Roman" w:hAnsi="Times New Roman" w:cs="Times New Roman"/>
                <w:lang w:val="ro-RO"/>
              </w:rPr>
            </w:pPr>
            <w:r w:rsidRPr="009E686F">
              <w:rPr>
                <w:rFonts w:ascii="Times New Roman" w:hAnsi="Times New Roman" w:cs="Times New Roman"/>
                <w:lang w:val="ro-RO"/>
              </w:rPr>
              <w:lastRenderedPageBreak/>
              <w:t>(4) ABE elaborează proiecte de standarde tehnice de reglementare pentru a defini conceptul de «expuneri față de riscul de nerambursare care sunt semnificative în termeni absoluți», menționat la alineatul (3) primul paragraf, și pragurile pentru numerele mari de contrapărți semnificative și poziții pe instrumente de datorie sau de capital tranzacționate ale unor emitenți diferiți.</w:t>
            </w:r>
          </w:p>
          <w:p w14:paraId="45D020F8" w14:textId="2FE304C7" w:rsidR="002F47A0" w:rsidRPr="009E686F" w:rsidRDefault="002F47A0" w:rsidP="002F47A0">
            <w:pPr>
              <w:spacing w:after="0"/>
              <w:jc w:val="both"/>
              <w:rPr>
                <w:rFonts w:ascii="Times New Roman" w:hAnsi="Times New Roman" w:cs="Times New Roman"/>
                <w:lang w:val="ro-RO"/>
              </w:rPr>
            </w:pPr>
          </w:p>
        </w:tc>
        <w:tc>
          <w:tcPr>
            <w:tcW w:w="1928" w:type="pct"/>
            <w:gridSpan w:val="3"/>
            <w:tcBorders>
              <w:top w:val="single" w:sz="4" w:space="0" w:color="auto"/>
              <w:left w:val="single" w:sz="4" w:space="0" w:color="auto"/>
              <w:bottom w:val="single" w:sz="4" w:space="0" w:color="auto"/>
              <w:right w:val="single" w:sz="4" w:space="0" w:color="auto"/>
            </w:tcBorders>
          </w:tcPr>
          <w:p w14:paraId="3E899402" w14:textId="77777777" w:rsidR="002F47A0" w:rsidRPr="009E686F" w:rsidRDefault="002F47A0" w:rsidP="002F47A0">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21F14757" w14:textId="3A48F49C"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Norme UE neaplicabile</w:t>
            </w:r>
          </w:p>
          <w:p w14:paraId="3EFFEAF1" w14:textId="659E60CB" w:rsidR="002F47A0" w:rsidRPr="009E686F" w:rsidRDefault="002F47A0" w:rsidP="002F47A0">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07FE70F1" w14:textId="75636A76"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Se referă la competențele ABE.</w:t>
            </w:r>
          </w:p>
        </w:tc>
      </w:tr>
      <w:tr w:rsidR="002F47A0" w:rsidRPr="009E686F" w14:paraId="15BC7005"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0C778A22" w14:textId="43E30A61" w:rsidR="002F47A0" w:rsidRPr="009E686F" w:rsidRDefault="002F47A0" w:rsidP="002F47A0">
            <w:pPr>
              <w:shd w:val="clear" w:color="auto" w:fill="FFFFFF"/>
              <w:spacing w:before="120" w:after="0" w:line="276" w:lineRule="auto"/>
              <w:jc w:val="both"/>
              <w:rPr>
                <w:rFonts w:ascii="Times New Roman" w:hAnsi="Times New Roman" w:cs="Times New Roman"/>
                <w:lang w:val="ro-RO"/>
              </w:rPr>
            </w:pPr>
            <w:r w:rsidRPr="009E686F">
              <w:rPr>
                <w:rFonts w:ascii="Times New Roman" w:hAnsi="Times New Roman" w:cs="Times New Roman"/>
                <w:lang w:val="ro-RO"/>
              </w:rPr>
              <w:t>Se deleagă Comisiei competența de a adopta standardele tehnice de reglementare menționate la primul paragraf, în conformitate cu procedura prevăzută la articolele 10-14 din Regulamentul (UE) nr. 1093/2010.</w:t>
            </w:r>
          </w:p>
        </w:tc>
        <w:tc>
          <w:tcPr>
            <w:tcW w:w="1928" w:type="pct"/>
            <w:gridSpan w:val="3"/>
            <w:tcBorders>
              <w:top w:val="single" w:sz="4" w:space="0" w:color="auto"/>
              <w:left w:val="single" w:sz="4" w:space="0" w:color="auto"/>
              <w:bottom w:val="single" w:sz="4" w:space="0" w:color="auto"/>
              <w:right w:val="single" w:sz="4" w:space="0" w:color="auto"/>
            </w:tcBorders>
          </w:tcPr>
          <w:p w14:paraId="17293CAE" w14:textId="77777777" w:rsidR="002F47A0" w:rsidRPr="009E686F" w:rsidRDefault="002F47A0" w:rsidP="002F47A0">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27DBA42B" w14:textId="77777777"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Norme UE neaplicabile</w:t>
            </w:r>
          </w:p>
          <w:p w14:paraId="24099A42" w14:textId="77777777" w:rsidR="002F47A0" w:rsidRPr="009E686F" w:rsidRDefault="002F47A0" w:rsidP="002F47A0">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1F6F8E8D" w14:textId="1E94AF47"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Se referă la competențele Comisie Europene.</w:t>
            </w:r>
          </w:p>
        </w:tc>
      </w:tr>
      <w:tr w:rsidR="002F47A0" w:rsidRPr="009E686F" w14:paraId="046139A8" w14:textId="53C0F71D" w:rsidTr="00774F3E">
        <w:tc>
          <w:tcPr>
            <w:tcW w:w="1796" w:type="pct"/>
            <w:gridSpan w:val="2"/>
            <w:tcBorders>
              <w:top w:val="single" w:sz="4" w:space="0" w:color="auto"/>
              <w:left w:val="single" w:sz="4" w:space="0" w:color="auto"/>
              <w:bottom w:val="single" w:sz="4" w:space="0" w:color="auto"/>
              <w:right w:val="single" w:sz="4" w:space="0" w:color="auto"/>
            </w:tcBorders>
          </w:tcPr>
          <w:p w14:paraId="4499D1A6" w14:textId="4C840C22" w:rsidR="002F47A0" w:rsidRPr="009E686F" w:rsidRDefault="002F47A0" w:rsidP="002F47A0">
            <w:pPr>
              <w:spacing w:after="0"/>
              <w:jc w:val="both"/>
              <w:rPr>
                <w:rFonts w:ascii="Times New Roman" w:hAnsi="Times New Roman" w:cs="Times New Roman"/>
                <w:i/>
                <w:iCs/>
                <w:lang w:val="ro-RO"/>
              </w:rPr>
            </w:pPr>
            <w:r w:rsidRPr="009E686F">
              <w:rPr>
                <w:rFonts w:ascii="Times New Roman" w:hAnsi="Times New Roman" w:cs="Times New Roman"/>
                <w:lang w:val="ro-RO"/>
              </w:rPr>
              <w:t xml:space="preserve"> </w:t>
            </w:r>
            <w:r w:rsidRPr="009E686F">
              <w:rPr>
                <w:rFonts w:ascii="Times New Roman" w:hAnsi="Times New Roman" w:cs="Times New Roman"/>
                <w:i/>
                <w:iCs/>
                <w:lang w:val="ro-RO"/>
              </w:rPr>
              <w:t xml:space="preserve">Articolul 78 </w:t>
            </w:r>
          </w:p>
          <w:p w14:paraId="326EA999" w14:textId="4914F8CE"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Analiza comparativă în scopuri de supraveghere a abordărilor privind calcularea cerințelor de fonduri proprii</w:t>
            </w:r>
          </w:p>
        </w:tc>
        <w:tc>
          <w:tcPr>
            <w:tcW w:w="1928" w:type="pct"/>
            <w:gridSpan w:val="3"/>
            <w:tcBorders>
              <w:top w:val="single" w:sz="4" w:space="0" w:color="auto"/>
              <w:left w:val="single" w:sz="4" w:space="0" w:color="auto"/>
              <w:bottom w:val="single" w:sz="4" w:space="0" w:color="auto"/>
              <w:right w:val="single" w:sz="4" w:space="0" w:color="auto"/>
            </w:tcBorders>
          </w:tcPr>
          <w:p w14:paraId="26A4BB8F" w14:textId="2F781186" w:rsidR="002F47A0" w:rsidRPr="009E686F" w:rsidRDefault="002F47A0" w:rsidP="002F47A0">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b/>
                <w:bCs/>
                <w:kern w:val="2"/>
                <w:lang w:val="ro-MD"/>
              </w:rPr>
              <w:t>Articolul 104.</w:t>
            </w:r>
            <w:r w:rsidRPr="009E686F">
              <w:rPr>
                <w:rFonts w:ascii="Times New Roman" w:eastAsia="Aptos" w:hAnsi="Times New Roman" w:cs="Times New Roman"/>
                <w:kern w:val="2"/>
                <w:lang w:val="ro-MD"/>
              </w:rPr>
              <w:t xml:space="preserve"> Analiza comparativă a abordărilor pentru calcularea valorilor expunerilor</w:t>
            </w:r>
          </w:p>
        </w:tc>
        <w:tc>
          <w:tcPr>
            <w:tcW w:w="470" w:type="pct"/>
            <w:tcBorders>
              <w:top w:val="single" w:sz="4" w:space="0" w:color="auto"/>
              <w:left w:val="single" w:sz="4" w:space="0" w:color="auto"/>
              <w:bottom w:val="single" w:sz="4" w:space="0" w:color="auto"/>
              <w:right w:val="single" w:sz="4" w:space="0" w:color="auto"/>
            </w:tcBorders>
          </w:tcPr>
          <w:p w14:paraId="18BC2196" w14:textId="77777777" w:rsidR="002F47A0" w:rsidRPr="009E686F" w:rsidRDefault="002F47A0" w:rsidP="002F47A0">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692EE7C2" w14:textId="77777777" w:rsidR="002F47A0" w:rsidRPr="009E686F" w:rsidRDefault="002F47A0" w:rsidP="002F47A0">
            <w:pPr>
              <w:jc w:val="both"/>
              <w:rPr>
                <w:rFonts w:ascii="Times New Roman" w:hAnsi="Times New Roman" w:cs="Times New Roman"/>
                <w:lang w:val="ro-RO"/>
              </w:rPr>
            </w:pPr>
          </w:p>
        </w:tc>
      </w:tr>
      <w:tr w:rsidR="002F47A0" w:rsidRPr="009E686F" w14:paraId="19054673"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498FEEF4" w14:textId="77777777" w:rsidR="002F47A0" w:rsidRPr="009E686F" w:rsidDel="00F925A5"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(1) Autoritățile competente se asigură de toate elementele următoare:</w:t>
            </w:r>
          </w:p>
          <w:p w14:paraId="31CEF310" w14:textId="77777777" w:rsidR="002F47A0" w:rsidRPr="009E686F" w:rsidDel="00F925A5"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(a) că instituțiile cărora li se permite să utilizeze abordări interne pentru calcularea cuantumurilor ponderate la risc ale expunerilor sau a cerințelor de fonduri proprii transmit rezultatele calculelor pentru expunerile sau pozițiile lor care sunt incluse în portofoliile de referință;</w:t>
            </w:r>
          </w:p>
          <w:p w14:paraId="6B4F8048"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 xml:space="preserve">(b) că instituțiile care utilizează abordarea standardizată alternativă prevăzută în partea a treia titlul IV capitolul 1a din Regulamentul (UE) nr. 575/2013 transmit rezultatele calculelor pentru expunerile sau pozițiile lor care sunt incluse în portofoliile de referință, cu condiția ca dimensiunea operațiunilor bilanțiere și extrabilanțiere care prezintă un risc de piață ale instituțiilor să fie mai mare sau </w:t>
            </w:r>
            <w:r w:rsidRPr="009E686F">
              <w:rPr>
                <w:rFonts w:ascii="Times New Roman" w:hAnsi="Times New Roman" w:cs="Times New Roman"/>
                <w:lang w:val="ro-RO"/>
              </w:rPr>
              <w:lastRenderedPageBreak/>
              <w:t>egală cu 500 de milioane EUR în conformitate cu articolul 325a alineatul (1) litera (b) din respectivul regulament;</w:t>
            </w:r>
          </w:p>
          <w:p w14:paraId="63F93155"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(c) că instituțiile cărora li se permite să utilizeze abordări interne în conformitate cu partea a treia titlul II capitolul 3 din Regulamentul (UE) nr. 575/2013, precum și instituțiile relevante care aplică abordarea standardizată în conformitate cu partea a treia titlul II capitolul 2 din regulamentul respectiv transmit rezultatele calculelor abordărilor utilizate în scopul determinării cuantumului pierderilor de credit așteptate pentru expunerile sau pozițiile lor care sunt incluse în portofoliile de referință în cazul în care este îndeplinită oricare dintre următoarele condiții:</w:t>
            </w:r>
          </w:p>
          <w:p w14:paraId="69E6685C"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(i) instituțiile își întocmesc conturile conform standardelor internaționale de contabilitate, astfel cum sunt aplicate în conformitate cu Regulamentul (CE) nr. 1606/2002;</w:t>
            </w:r>
          </w:p>
          <w:p w14:paraId="473E937F"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(ii) instituțiile efectuează evaluarea activelor și a elementelor extrabilanțiere și determinarea fondurilor lor proprii conform standardelor internaționale de contabilitate în temeiul articolului 24 alineatul (2) din Regulamentul (UE) nr. 575/2013;</w:t>
            </w:r>
          </w:p>
          <w:p w14:paraId="6E9291DA" w14:textId="46AD5590"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(iii) instituțiile efectuează evaluarea activelor și a elementelor extrabilanțiere în conformitate cu standarde de contabilitate în temeiul Directivei 86/635/CEE a Consiliului (*) și utilizează un model pentru pierderile de credite așteptate identic cu cel utilizat în standardele internaționale de contabilitate astfel cum sunt aplicate în conformitate cu Regulamentul (CE) nr. 1606/2002.</w:t>
            </w:r>
          </w:p>
        </w:tc>
        <w:tc>
          <w:tcPr>
            <w:tcW w:w="1928" w:type="pct"/>
            <w:gridSpan w:val="3"/>
            <w:tcBorders>
              <w:top w:val="single" w:sz="4" w:space="0" w:color="auto"/>
              <w:left w:val="single" w:sz="4" w:space="0" w:color="auto"/>
              <w:bottom w:val="single" w:sz="4" w:space="0" w:color="auto"/>
              <w:right w:val="single" w:sz="4" w:space="0" w:color="auto"/>
            </w:tcBorders>
          </w:tcPr>
          <w:p w14:paraId="75F87EAD" w14:textId="77777777" w:rsidR="002F47A0" w:rsidRPr="009E686F" w:rsidRDefault="002F47A0" w:rsidP="002F47A0">
            <w:pPr>
              <w:spacing w:after="0"/>
              <w:jc w:val="both"/>
              <w:rPr>
                <w:rFonts w:ascii="Times New Roman" w:hAnsi="Times New Roman" w:cs="Times New Roman"/>
                <w:i/>
                <w:iCs/>
                <w:lang w:val="ro-RO"/>
              </w:rPr>
            </w:pPr>
            <w:r w:rsidRPr="009E686F">
              <w:rPr>
                <w:rFonts w:ascii="Times New Roman" w:hAnsi="Times New Roman" w:cs="Times New Roman"/>
                <w:i/>
                <w:iCs/>
                <w:lang w:val="ro-RO"/>
              </w:rPr>
              <w:lastRenderedPageBreak/>
              <w:t>(1) Instituțiile de credit care au obţinut aprobarea Băncii Naţionale a Moldovei pentru a utiliza abordări interne pentru calcularea valorii expunerilor ponderate la risc sau a cerinţelor de fonduri proprii transmit Băncii Naţionale a Moldovei rezultatele calculelor pentru expunerile sau pozițiile lor care sunt incluse în portofoliile de referință.</w:t>
            </w:r>
          </w:p>
          <w:p w14:paraId="7C0BCDD5" w14:textId="77777777" w:rsidR="002F47A0" w:rsidRPr="009E686F" w:rsidRDefault="002F47A0" w:rsidP="002F47A0">
            <w:pPr>
              <w:spacing w:after="0"/>
              <w:jc w:val="both"/>
              <w:rPr>
                <w:rFonts w:ascii="Times New Roman" w:hAnsi="Times New Roman" w:cs="Times New Roman"/>
                <w:i/>
                <w:iCs/>
                <w:lang w:val="ro-RO"/>
              </w:rPr>
            </w:pPr>
          </w:p>
          <w:p w14:paraId="0D2BB4D6" w14:textId="33EC6EF4" w:rsidR="002F47A0" w:rsidRPr="009E686F" w:rsidRDefault="002F47A0" w:rsidP="002F47A0">
            <w:pPr>
              <w:spacing w:after="0"/>
              <w:jc w:val="both"/>
              <w:rPr>
                <w:rFonts w:ascii="Times New Roman" w:hAnsi="Times New Roman" w:cs="Times New Roman"/>
                <w:i/>
                <w:iCs/>
                <w:lang w:val="ro-RO"/>
              </w:rPr>
            </w:pPr>
            <w:r w:rsidRPr="009E686F">
              <w:rPr>
                <w:rFonts w:ascii="Times New Roman" w:hAnsi="Times New Roman" w:cs="Times New Roman"/>
                <w:i/>
                <w:iCs/>
                <w:lang w:val="ro-RO"/>
              </w:rPr>
              <w:t>(1</w:t>
            </w:r>
            <w:r w:rsidRPr="009E686F">
              <w:rPr>
                <w:rFonts w:ascii="Times New Roman" w:hAnsi="Times New Roman" w:cs="Times New Roman"/>
                <w:i/>
                <w:iCs/>
                <w:vertAlign w:val="superscript"/>
                <w:lang w:val="ro-RO"/>
              </w:rPr>
              <w:t>1</w:t>
            </w:r>
            <w:r w:rsidRPr="009E686F">
              <w:rPr>
                <w:rFonts w:ascii="Times New Roman" w:hAnsi="Times New Roman" w:cs="Times New Roman"/>
                <w:i/>
                <w:iCs/>
                <w:lang w:val="ro-RO"/>
              </w:rPr>
              <w:t xml:space="preserve">) Instituțiile de credit care utilizează abordarea standardizată alternativă pentru calcularea cerințelor de fonduri proprii pentru riscul de piață, transmit Băncii Naţionale a Moldovei rezultatele calculelor pentru expunerile sau pozițiile care sunt incluse în portofoliile de referință, cu condiția ca dimensiunea operațiunilor bilanțiere și extrabilanțiere care prezintă un risc de piață ale instituțiilor de credit să fie mai </w:t>
            </w:r>
            <w:r w:rsidRPr="009E686F">
              <w:rPr>
                <w:rFonts w:ascii="Times New Roman" w:hAnsi="Times New Roman" w:cs="Times New Roman"/>
                <w:i/>
                <w:iCs/>
                <w:lang w:val="ro-RO"/>
              </w:rPr>
              <w:lastRenderedPageBreak/>
              <w:t xml:space="preserve">mare sau egală cu echivalentul în </w:t>
            </w:r>
            <w:r w:rsidR="00BB7F47" w:rsidRPr="009E686F">
              <w:rPr>
                <w:rFonts w:ascii="Times New Roman" w:hAnsi="Times New Roman" w:cs="Times New Roman"/>
                <w:i/>
                <w:iCs/>
                <w:lang w:val="ro-RO"/>
              </w:rPr>
              <w:t xml:space="preserve">lei moldovenești </w:t>
            </w:r>
            <w:r w:rsidRPr="009E686F">
              <w:rPr>
                <w:rFonts w:ascii="Times New Roman" w:hAnsi="Times New Roman" w:cs="Times New Roman"/>
                <w:i/>
                <w:iCs/>
                <w:lang w:val="ro-RO"/>
              </w:rPr>
              <w:t xml:space="preserve">a 500 milioane </w:t>
            </w:r>
            <w:r w:rsidR="00BB7F47" w:rsidRPr="009E686F">
              <w:rPr>
                <w:rFonts w:ascii="Times New Roman" w:hAnsi="Times New Roman" w:cs="Times New Roman"/>
                <w:i/>
                <w:iCs/>
                <w:lang w:val="ro-RO"/>
              </w:rPr>
              <w:t>euro</w:t>
            </w:r>
            <w:r w:rsidRPr="009E686F">
              <w:rPr>
                <w:rFonts w:ascii="Times New Roman" w:hAnsi="Times New Roman" w:cs="Times New Roman"/>
                <w:i/>
                <w:iCs/>
                <w:lang w:val="ro-RO"/>
              </w:rPr>
              <w:t>.</w:t>
            </w:r>
          </w:p>
          <w:p w14:paraId="07F24B70" w14:textId="5764E154" w:rsidR="002F47A0" w:rsidRPr="009E686F" w:rsidRDefault="002F47A0" w:rsidP="002F47A0">
            <w:pPr>
              <w:spacing w:after="0" w:line="278" w:lineRule="auto"/>
              <w:jc w:val="both"/>
              <w:rPr>
                <w:rFonts w:ascii="Times New Roman" w:eastAsia="Aptos" w:hAnsi="Times New Roman" w:cs="Times New Roman"/>
                <w:b/>
                <w:bCs/>
                <w:kern w:val="2"/>
                <w:lang w:val="ro-RO"/>
              </w:rPr>
            </w:pPr>
            <w:r w:rsidRPr="009E686F">
              <w:rPr>
                <w:rFonts w:ascii="Times New Roman" w:hAnsi="Times New Roman" w:cs="Times New Roman"/>
                <w:i/>
                <w:iCs/>
                <w:lang w:val="ro-RO"/>
              </w:rPr>
              <w:t>(1</w:t>
            </w:r>
            <w:r w:rsidRPr="009E686F">
              <w:rPr>
                <w:rFonts w:ascii="Times New Roman" w:hAnsi="Times New Roman" w:cs="Times New Roman"/>
                <w:i/>
                <w:iCs/>
                <w:vertAlign w:val="superscript"/>
                <w:lang w:val="ro-RO"/>
              </w:rPr>
              <w:t>2</w:t>
            </w:r>
            <w:r w:rsidRPr="009E686F">
              <w:rPr>
                <w:rFonts w:ascii="Times New Roman" w:hAnsi="Times New Roman" w:cs="Times New Roman"/>
                <w:i/>
                <w:iCs/>
                <w:lang w:val="ro-RO"/>
              </w:rPr>
              <w:t>) Instituțiile de credit care au obţinut aprobarea Băncii Naţionale a Moldovei pentru a utiliza abordări interne pentru calcularea cerinţelor de fonduri proprii pentru riscul de credit, precum și, dacă este cazul, instituțiile de credit relevante care utilizează abordarea standardizată în conformitate cu actele normative emise în aplicarea prezentei legi transmit Băncii Naţionale a Moldovei rezultatele calculelor abordărilor utilizate în scopul determinării cuantumurilor pierderilor de credit așteptate pentru expunerile sau pozițiile lor care sunt incluse în portofoliile de referință.</w:t>
            </w:r>
          </w:p>
        </w:tc>
        <w:tc>
          <w:tcPr>
            <w:tcW w:w="470" w:type="pct"/>
            <w:tcBorders>
              <w:top w:val="single" w:sz="4" w:space="0" w:color="auto"/>
              <w:left w:val="single" w:sz="4" w:space="0" w:color="auto"/>
              <w:bottom w:val="single" w:sz="4" w:space="0" w:color="auto"/>
              <w:right w:val="single" w:sz="4" w:space="0" w:color="auto"/>
            </w:tcBorders>
          </w:tcPr>
          <w:p w14:paraId="7544C93F" w14:textId="57E07E12"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6AE9739D" w14:textId="77777777" w:rsidR="002F47A0" w:rsidRPr="009E686F" w:rsidRDefault="002F47A0" w:rsidP="002F47A0">
            <w:pPr>
              <w:jc w:val="both"/>
              <w:rPr>
                <w:rFonts w:ascii="Times New Roman" w:hAnsi="Times New Roman" w:cs="Times New Roman"/>
                <w:lang w:val="ro-RO"/>
              </w:rPr>
            </w:pPr>
          </w:p>
        </w:tc>
      </w:tr>
      <w:tr w:rsidR="002F47A0" w:rsidRPr="009E686F" w14:paraId="37C9D909"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4CCD50FD" w14:textId="4DF2B289" w:rsidR="002F47A0" w:rsidRPr="009E686F" w:rsidDel="00F925A5"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 xml:space="preserve">Instituțiile transmit rezultatele calculelor lor menționate la primul paragraf, împreună cu o explicație a metodologiilor utilizate pentru a produce aceste rezultate și orice informații calitative, astfel cum sunt solicitate de ABE, care pot explica impactul acestor calcule asupra cerințelor de </w:t>
            </w:r>
            <w:r w:rsidRPr="009E686F">
              <w:rPr>
                <w:rFonts w:ascii="Times New Roman" w:hAnsi="Times New Roman" w:cs="Times New Roman"/>
                <w:lang w:val="ro-RO"/>
              </w:rPr>
              <w:lastRenderedPageBreak/>
              <w:t xml:space="preserve">fonduri proprii. Respectivele rezultate se transmit autorităților competente cel puțin o dată pe an. </w:t>
            </w:r>
          </w:p>
        </w:tc>
        <w:tc>
          <w:tcPr>
            <w:tcW w:w="1928" w:type="pct"/>
            <w:gridSpan w:val="3"/>
            <w:tcBorders>
              <w:top w:val="single" w:sz="4" w:space="0" w:color="auto"/>
              <w:left w:val="single" w:sz="4" w:space="0" w:color="auto"/>
              <w:bottom w:val="single" w:sz="4" w:space="0" w:color="auto"/>
              <w:right w:val="single" w:sz="4" w:space="0" w:color="auto"/>
            </w:tcBorders>
          </w:tcPr>
          <w:p w14:paraId="181DAF6C" w14:textId="18BF683A" w:rsidR="002F47A0" w:rsidRPr="009E686F" w:rsidRDefault="002F47A0" w:rsidP="002F47A0">
            <w:pPr>
              <w:spacing w:after="0"/>
              <w:jc w:val="both"/>
              <w:rPr>
                <w:rFonts w:ascii="Times New Roman" w:hAnsi="Times New Roman" w:cs="Times New Roman"/>
                <w:b/>
                <w:i/>
                <w:iCs/>
                <w:lang w:val="ro-RO"/>
              </w:rPr>
            </w:pPr>
            <w:r w:rsidRPr="009E686F">
              <w:rPr>
                <w:rFonts w:ascii="Times New Roman" w:hAnsi="Times New Roman" w:cs="Times New Roman"/>
                <w:i/>
                <w:iCs/>
                <w:lang w:val="ro-RO"/>
              </w:rPr>
              <w:lastRenderedPageBreak/>
              <w:t>(1</w:t>
            </w:r>
            <w:r w:rsidRPr="009E686F">
              <w:rPr>
                <w:rFonts w:ascii="Times New Roman" w:hAnsi="Times New Roman" w:cs="Times New Roman"/>
                <w:i/>
                <w:iCs/>
                <w:vertAlign w:val="superscript"/>
                <w:lang w:val="ro-RO"/>
              </w:rPr>
              <w:t>3</w:t>
            </w:r>
            <w:r w:rsidRPr="009E686F">
              <w:rPr>
                <w:rFonts w:ascii="Times New Roman" w:hAnsi="Times New Roman" w:cs="Times New Roman"/>
                <w:i/>
                <w:iCs/>
                <w:lang w:val="ro-RO"/>
              </w:rPr>
              <w:t xml:space="preserve">) Instituțiile de credit transmit Băncii Naţionale a Moldovei, conform actelor normative  rezultatele calculelor lor, împreună cu o explicaţie a metodologiilor utilizate pentru a produce aceste rezultate și orice informații calitative care pot explica </w:t>
            </w:r>
            <w:r w:rsidRPr="009E686F">
              <w:rPr>
                <w:rFonts w:ascii="Times New Roman" w:hAnsi="Times New Roman" w:cs="Times New Roman"/>
                <w:i/>
                <w:iCs/>
                <w:lang w:val="ro-RO"/>
              </w:rPr>
              <w:lastRenderedPageBreak/>
              <w:t>impactul acestor calcule asupra cerințelor de fonduri proprii, cel puţin o dată pe an.</w:t>
            </w:r>
          </w:p>
        </w:tc>
        <w:tc>
          <w:tcPr>
            <w:tcW w:w="470" w:type="pct"/>
            <w:tcBorders>
              <w:top w:val="single" w:sz="4" w:space="0" w:color="auto"/>
              <w:left w:val="single" w:sz="4" w:space="0" w:color="auto"/>
              <w:bottom w:val="single" w:sz="4" w:space="0" w:color="auto"/>
              <w:right w:val="single" w:sz="4" w:space="0" w:color="auto"/>
            </w:tcBorders>
          </w:tcPr>
          <w:p w14:paraId="45DF8A17" w14:textId="25996356"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2BC1759D" w14:textId="77777777" w:rsidR="002F47A0" w:rsidRPr="009E686F" w:rsidRDefault="002F47A0" w:rsidP="002F47A0">
            <w:pPr>
              <w:jc w:val="both"/>
              <w:rPr>
                <w:rFonts w:ascii="Times New Roman" w:hAnsi="Times New Roman" w:cs="Times New Roman"/>
                <w:lang w:val="ro-RO"/>
              </w:rPr>
            </w:pPr>
          </w:p>
        </w:tc>
      </w:tr>
      <w:tr w:rsidR="002F47A0" w:rsidRPr="009E686F" w14:paraId="27C2DB16"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030D3477" w14:textId="795B98E1"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ABE poate desfășura un exercițiu de analiză comparativă în scopuri de supraveghere o dată la doi ani pentru fiecare abordare menționată la primul paragraf după ce exercițiul respectiv a fost derulat de cinci ori pentru fiecare abordare în parte.</w:t>
            </w:r>
          </w:p>
        </w:tc>
        <w:tc>
          <w:tcPr>
            <w:tcW w:w="1928" w:type="pct"/>
            <w:gridSpan w:val="3"/>
            <w:tcBorders>
              <w:top w:val="single" w:sz="4" w:space="0" w:color="auto"/>
              <w:left w:val="single" w:sz="4" w:space="0" w:color="auto"/>
              <w:bottom w:val="single" w:sz="4" w:space="0" w:color="auto"/>
              <w:right w:val="single" w:sz="4" w:space="0" w:color="auto"/>
            </w:tcBorders>
          </w:tcPr>
          <w:p w14:paraId="2CA266A3" w14:textId="77777777" w:rsidR="002F47A0" w:rsidRPr="009E686F" w:rsidRDefault="002F47A0" w:rsidP="002F47A0">
            <w:pPr>
              <w:spacing w:after="0"/>
              <w:jc w:val="both"/>
              <w:rPr>
                <w:rFonts w:ascii="Times New Roman" w:hAnsi="Times New Roman" w:cs="Times New Roman"/>
                <w:i/>
                <w:iCs/>
                <w:lang w:val="ro-RO"/>
              </w:rPr>
            </w:pPr>
          </w:p>
        </w:tc>
        <w:tc>
          <w:tcPr>
            <w:tcW w:w="470" w:type="pct"/>
            <w:tcBorders>
              <w:top w:val="single" w:sz="4" w:space="0" w:color="auto"/>
              <w:left w:val="single" w:sz="4" w:space="0" w:color="auto"/>
              <w:bottom w:val="single" w:sz="4" w:space="0" w:color="auto"/>
              <w:right w:val="single" w:sz="4" w:space="0" w:color="auto"/>
            </w:tcBorders>
          </w:tcPr>
          <w:p w14:paraId="6D4857E7" w14:textId="3E84E6D0"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Norme UE neaplicabile</w:t>
            </w:r>
          </w:p>
        </w:tc>
        <w:tc>
          <w:tcPr>
            <w:tcW w:w="806" w:type="pct"/>
            <w:tcBorders>
              <w:top w:val="single" w:sz="4" w:space="0" w:color="auto"/>
              <w:left w:val="single" w:sz="4" w:space="0" w:color="auto"/>
              <w:bottom w:val="single" w:sz="4" w:space="0" w:color="auto"/>
              <w:right w:val="single" w:sz="4" w:space="0" w:color="auto"/>
            </w:tcBorders>
          </w:tcPr>
          <w:p w14:paraId="0B611DDA" w14:textId="1DB1B9DE"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Se referă la competențele ABE.</w:t>
            </w:r>
          </w:p>
        </w:tc>
      </w:tr>
      <w:tr w:rsidR="002F47A0" w:rsidRPr="009E686F" w14:paraId="2E369CF2" w14:textId="18DA44A3" w:rsidTr="00774F3E">
        <w:tc>
          <w:tcPr>
            <w:tcW w:w="1796" w:type="pct"/>
            <w:gridSpan w:val="2"/>
            <w:tcBorders>
              <w:top w:val="single" w:sz="4" w:space="0" w:color="auto"/>
              <w:left w:val="single" w:sz="4" w:space="0" w:color="auto"/>
              <w:bottom w:val="single" w:sz="4" w:space="0" w:color="auto"/>
              <w:right w:val="single" w:sz="4" w:space="0" w:color="auto"/>
            </w:tcBorders>
          </w:tcPr>
          <w:p w14:paraId="489CBD5B" w14:textId="7FCA5914"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 xml:space="preserve">(2) Autoritățile competente asigură faptul că </w:t>
            </w:r>
            <w:bookmarkStart w:id="26" w:name="_Hlk209531452"/>
            <w:r w:rsidRPr="009E686F">
              <w:rPr>
                <w:rFonts w:ascii="Times New Roman" w:hAnsi="Times New Roman" w:cs="Times New Roman"/>
                <w:lang w:val="ro-RO"/>
              </w:rPr>
              <w:t xml:space="preserve">instituțiile transmit autorităților competente și ABE rezultatele calculelor menționate la alineatul (1) în conformitate cu modelul dezvoltat de ABE în conformitate cu alineatul (8). </w:t>
            </w:r>
          </w:p>
          <w:p w14:paraId="4019267F"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În cazul în care autoritățile competente aleg să dezvolte portofolii specifice, acest lucru are loc în consultare cu ABE și se asigură faptul că instituțiile raportează rezultatele calculelor separat de rezultatele calculelor pentru portofoliile ABE</w:t>
            </w:r>
            <w:bookmarkEnd w:id="26"/>
            <w:r w:rsidRPr="009E686F">
              <w:rPr>
                <w:rFonts w:ascii="Times New Roman" w:hAnsi="Times New Roman" w:cs="Times New Roman"/>
                <w:lang w:val="ro-RO"/>
              </w:rPr>
              <w:t>.</w:t>
            </w:r>
          </w:p>
        </w:tc>
        <w:tc>
          <w:tcPr>
            <w:tcW w:w="1928" w:type="pct"/>
            <w:gridSpan w:val="3"/>
            <w:tcBorders>
              <w:top w:val="single" w:sz="4" w:space="0" w:color="auto"/>
              <w:left w:val="single" w:sz="4" w:space="0" w:color="auto"/>
              <w:bottom w:val="single" w:sz="4" w:space="0" w:color="auto"/>
              <w:right w:val="single" w:sz="4" w:space="0" w:color="auto"/>
            </w:tcBorders>
          </w:tcPr>
          <w:p w14:paraId="21A7F280" w14:textId="38D28829" w:rsidR="002F47A0" w:rsidRPr="009E686F" w:rsidRDefault="002F47A0" w:rsidP="002F47A0">
            <w:pPr>
              <w:spacing w:after="0"/>
              <w:jc w:val="both"/>
              <w:rPr>
                <w:rFonts w:ascii="Times New Roman" w:hAnsi="Times New Roman" w:cs="Times New Roman"/>
                <w:bCs/>
                <w:lang w:val="ro-RO"/>
              </w:rPr>
            </w:pPr>
            <w:r w:rsidRPr="009E686F">
              <w:rPr>
                <w:rFonts w:ascii="Times New Roman" w:eastAsia="Aptos" w:hAnsi="Times New Roman" w:cs="Times New Roman"/>
                <w:b/>
                <w:bCs/>
                <w:kern w:val="2"/>
                <w:lang w:val="ro-MD"/>
              </w:rPr>
              <w:t>Articolul 104 alin. (1</w:t>
            </w:r>
            <w:r w:rsidRPr="009E686F">
              <w:rPr>
                <w:rFonts w:ascii="Times New Roman" w:eastAsia="Aptos" w:hAnsi="Times New Roman" w:cs="Times New Roman"/>
                <w:b/>
                <w:bCs/>
                <w:kern w:val="2"/>
                <w:vertAlign w:val="superscript"/>
                <w:lang w:val="ro-MD"/>
              </w:rPr>
              <w:t>3</w:t>
            </w:r>
            <w:r w:rsidRPr="009E686F">
              <w:rPr>
                <w:rFonts w:ascii="Times New Roman" w:eastAsia="Aptos" w:hAnsi="Times New Roman" w:cs="Times New Roman"/>
                <w:b/>
                <w:bCs/>
                <w:kern w:val="2"/>
                <w:lang w:val="ro-MD"/>
              </w:rPr>
              <w:t>)</w:t>
            </w:r>
          </w:p>
          <w:p w14:paraId="715B6B95" w14:textId="5647E2F2" w:rsidR="002F47A0" w:rsidRPr="009E686F" w:rsidRDefault="002F47A0" w:rsidP="002F47A0">
            <w:pPr>
              <w:spacing w:after="0"/>
              <w:jc w:val="both"/>
              <w:rPr>
                <w:rFonts w:ascii="Times New Roman" w:hAnsi="Times New Roman" w:cs="Times New Roman"/>
                <w:bCs/>
                <w:i/>
                <w:iCs/>
                <w:lang w:val="ro-RO"/>
              </w:rPr>
            </w:pPr>
            <w:r w:rsidRPr="009E686F">
              <w:rPr>
                <w:rFonts w:ascii="Times New Roman" w:hAnsi="Times New Roman" w:cs="Times New Roman"/>
                <w:bCs/>
                <w:i/>
                <w:iCs/>
                <w:lang w:val="ro-RO"/>
              </w:rPr>
              <w:t>(1</w:t>
            </w:r>
            <w:r w:rsidRPr="009E686F">
              <w:rPr>
                <w:rFonts w:ascii="Times New Roman" w:hAnsi="Times New Roman" w:cs="Times New Roman"/>
                <w:bCs/>
                <w:i/>
                <w:iCs/>
                <w:vertAlign w:val="superscript"/>
                <w:lang w:val="ro-RO"/>
              </w:rPr>
              <w:t>4</w:t>
            </w:r>
            <w:r w:rsidRPr="009E686F">
              <w:rPr>
                <w:rFonts w:ascii="Times New Roman" w:hAnsi="Times New Roman" w:cs="Times New Roman"/>
                <w:bCs/>
                <w:i/>
                <w:iCs/>
                <w:lang w:val="ro-RO"/>
              </w:rPr>
              <w:t>) Instituțiile de credit transmit Băncii Națională a Moldovei și Autorității Bancare Europene rezultatele calculelor menționate la alineatul (1) în conformitate cu modelul  dezvoltat de Autoritatea Bancară Europeană</w:t>
            </w:r>
          </w:p>
        </w:tc>
        <w:tc>
          <w:tcPr>
            <w:tcW w:w="470" w:type="pct"/>
            <w:tcBorders>
              <w:top w:val="single" w:sz="4" w:space="0" w:color="auto"/>
              <w:left w:val="single" w:sz="4" w:space="0" w:color="auto"/>
              <w:bottom w:val="single" w:sz="4" w:space="0" w:color="auto"/>
              <w:right w:val="single" w:sz="4" w:space="0" w:color="auto"/>
            </w:tcBorders>
          </w:tcPr>
          <w:p w14:paraId="3FC21167" w14:textId="4F599F8D"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p w14:paraId="17FF0A30" w14:textId="658EBAEE" w:rsidR="002F47A0" w:rsidRPr="009E686F" w:rsidRDefault="002F47A0" w:rsidP="002F47A0">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00EA3291" w14:textId="77777777" w:rsidR="002F47A0" w:rsidRPr="009E686F" w:rsidRDefault="002F47A0" w:rsidP="002F47A0">
            <w:pPr>
              <w:jc w:val="both"/>
              <w:rPr>
                <w:rFonts w:ascii="Times New Roman" w:hAnsi="Times New Roman" w:cs="Times New Roman"/>
                <w:lang w:val="ro-RO"/>
              </w:rPr>
            </w:pPr>
          </w:p>
        </w:tc>
      </w:tr>
      <w:tr w:rsidR="002F47A0" w:rsidRPr="009E686F" w14:paraId="1AFA6D84" w14:textId="5E5077F6" w:rsidTr="00774F3E">
        <w:tc>
          <w:tcPr>
            <w:tcW w:w="1796" w:type="pct"/>
            <w:gridSpan w:val="2"/>
            <w:tcBorders>
              <w:top w:val="single" w:sz="4" w:space="0" w:color="auto"/>
              <w:left w:val="single" w:sz="4" w:space="0" w:color="auto"/>
              <w:bottom w:val="single" w:sz="4" w:space="0" w:color="auto"/>
              <w:right w:val="single" w:sz="4" w:space="0" w:color="auto"/>
            </w:tcBorders>
          </w:tcPr>
          <w:p w14:paraId="3FB2D875" w14:textId="4F6C7963"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(3) Autoritățile competente monitorizează, pe baza informațiilor transmise de instituții în conformitate cu alineatul (1), diferitele valori ale expunerilor ponderate la risc sau ale cerințelor de fonduri proprii, după caz, pentru expunerile sau tranzacțiile din portofoliul de referință care rezultă din abordările instituțiilor respective. Autoritățile competente realizează o evaluare a calității abordărilor respective, cel puțin cu aceeași frecvență ca cea a exercițiului ABE menționat la alineatul (1) al doilea paragraf, acordând o atenție deosebită:</w:t>
            </w:r>
          </w:p>
        </w:tc>
        <w:tc>
          <w:tcPr>
            <w:tcW w:w="1928" w:type="pct"/>
            <w:gridSpan w:val="3"/>
            <w:tcBorders>
              <w:top w:val="single" w:sz="4" w:space="0" w:color="auto"/>
              <w:left w:val="single" w:sz="4" w:space="0" w:color="auto"/>
              <w:bottom w:val="single" w:sz="4" w:space="0" w:color="auto"/>
              <w:right w:val="single" w:sz="4" w:space="0" w:color="auto"/>
            </w:tcBorders>
          </w:tcPr>
          <w:p w14:paraId="67E41F9D" w14:textId="2FD19B08" w:rsidR="002F47A0" w:rsidRPr="009E686F" w:rsidRDefault="002F47A0" w:rsidP="002F47A0">
            <w:pPr>
              <w:spacing w:after="0"/>
              <w:jc w:val="both"/>
              <w:rPr>
                <w:rFonts w:ascii="Times New Roman" w:hAnsi="Times New Roman" w:cs="Times New Roman"/>
                <w:bCs/>
                <w:lang w:val="ro-RO"/>
              </w:rPr>
            </w:pPr>
            <w:r w:rsidRPr="009E686F">
              <w:rPr>
                <w:rFonts w:ascii="Times New Roman" w:eastAsia="Aptos" w:hAnsi="Times New Roman" w:cs="Times New Roman"/>
                <w:b/>
                <w:bCs/>
                <w:kern w:val="2"/>
                <w:lang w:val="ro-MD"/>
              </w:rPr>
              <w:t>Articolul 104 alin. (2)</w:t>
            </w:r>
          </w:p>
          <w:p w14:paraId="2A17FE9C" w14:textId="6AFC5E83" w:rsidR="002F47A0" w:rsidRPr="009E686F" w:rsidRDefault="002F47A0" w:rsidP="002F47A0">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 xml:space="preserve">(2) Banca Naţională a Moldovei monitorizează, pe baza informaţiilor transmise de </w:t>
            </w:r>
            <w:r w:rsidRPr="009E686F">
              <w:rPr>
                <w:rFonts w:ascii="Times New Roman" w:eastAsia="Aptos" w:hAnsi="Times New Roman" w:cs="Times New Roman"/>
                <w:i/>
                <w:iCs/>
                <w:kern w:val="2"/>
                <w:lang w:val="ro-MD"/>
              </w:rPr>
              <w:t>instituțiile de credit</w:t>
            </w:r>
            <w:r w:rsidRPr="009E686F">
              <w:rPr>
                <w:rFonts w:ascii="Times New Roman" w:eastAsia="Aptos" w:hAnsi="Times New Roman" w:cs="Times New Roman"/>
                <w:kern w:val="2"/>
                <w:lang w:val="ro-MD"/>
              </w:rPr>
              <w:t xml:space="preserve"> în conformitate cu alin.(1), diferitele valori ale expunerilor ponderate la risc sau diferitele cerinţe de fonduri proprii, după caz, pentru expunerile sau tranzacţiile din portofoliul de referinţă, care </w:t>
            </w:r>
            <w:r w:rsidRPr="009E686F">
              <w:rPr>
                <w:rFonts w:ascii="Times New Roman" w:eastAsia="Aptos" w:hAnsi="Times New Roman" w:cs="Times New Roman"/>
                <w:i/>
                <w:iCs/>
                <w:kern w:val="2"/>
                <w:lang w:val="ro-MD"/>
              </w:rPr>
              <w:t>rezultă din</w:t>
            </w:r>
            <w:r w:rsidRPr="009E686F">
              <w:rPr>
                <w:rFonts w:ascii="Times New Roman" w:eastAsia="Aptos" w:hAnsi="Times New Roman" w:cs="Times New Roman"/>
                <w:kern w:val="2"/>
                <w:lang w:val="ro-MD"/>
              </w:rPr>
              <w:t xml:space="preserve"> abordările  </w:t>
            </w:r>
            <w:r w:rsidRPr="009E686F">
              <w:rPr>
                <w:rFonts w:ascii="Times New Roman" w:eastAsia="Aptos" w:hAnsi="Times New Roman" w:cs="Times New Roman"/>
                <w:i/>
                <w:iCs/>
                <w:kern w:val="2"/>
                <w:lang w:val="ro-MD"/>
              </w:rPr>
              <w:t>instituțiilor de credit</w:t>
            </w:r>
            <w:r w:rsidRPr="009E686F">
              <w:rPr>
                <w:rFonts w:ascii="Times New Roman" w:eastAsia="Aptos" w:hAnsi="Times New Roman" w:cs="Times New Roman"/>
                <w:kern w:val="2"/>
                <w:lang w:val="ro-MD"/>
              </w:rPr>
              <w:t xml:space="preserve">  respective. Cel puţin o dată pe an, Banca Naţională a Moldovei realizează o evaluare a calităţii abordărilor respective, acordînd o atenţie deosebită:</w:t>
            </w:r>
          </w:p>
        </w:tc>
        <w:tc>
          <w:tcPr>
            <w:tcW w:w="470" w:type="pct"/>
            <w:tcBorders>
              <w:top w:val="single" w:sz="4" w:space="0" w:color="auto"/>
              <w:left w:val="single" w:sz="4" w:space="0" w:color="auto"/>
              <w:bottom w:val="single" w:sz="4" w:space="0" w:color="auto"/>
              <w:right w:val="single" w:sz="4" w:space="0" w:color="auto"/>
            </w:tcBorders>
          </w:tcPr>
          <w:p w14:paraId="758F714C" w14:textId="6C7D05FE"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7C866670" w14:textId="77777777" w:rsidR="002F47A0" w:rsidRPr="009E686F" w:rsidRDefault="002F47A0" w:rsidP="002F47A0">
            <w:pPr>
              <w:jc w:val="both"/>
              <w:rPr>
                <w:rFonts w:ascii="Times New Roman" w:hAnsi="Times New Roman" w:cs="Times New Roman"/>
                <w:lang w:val="ro-RO"/>
              </w:rPr>
            </w:pPr>
          </w:p>
        </w:tc>
      </w:tr>
      <w:tr w:rsidR="002F47A0" w:rsidRPr="009E686F" w14:paraId="46D648AB" w14:textId="1F1F6158" w:rsidTr="00774F3E">
        <w:tc>
          <w:tcPr>
            <w:tcW w:w="1796" w:type="pct"/>
            <w:gridSpan w:val="2"/>
            <w:tcBorders>
              <w:top w:val="single" w:sz="4" w:space="0" w:color="auto"/>
              <w:left w:val="single" w:sz="4" w:space="0" w:color="auto"/>
              <w:bottom w:val="single" w:sz="4" w:space="0" w:color="auto"/>
              <w:right w:val="single" w:sz="4" w:space="0" w:color="auto"/>
            </w:tcBorders>
          </w:tcPr>
          <w:p w14:paraId="30D95CDE" w14:textId="4641ABB2"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(a)metodelor care afișează diferențe semnificative în ceea ce privește cerințele de fonduri proprii pentru aceeași expunere;</w:t>
            </w:r>
          </w:p>
        </w:tc>
        <w:tc>
          <w:tcPr>
            <w:tcW w:w="1928" w:type="pct"/>
            <w:gridSpan w:val="3"/>
            <w:tcBorders>
              <w:top w:val="single" w:sz="4" w:space="0" w:color="auto"/>
              <w:left w:val="single" w:sz="4" w:space="0" w:color="auto"/>
              <w:bottom w:val="single" w:sz="4" w:space="0" w:color="auto"/>
              <w:right w:val="single" w:sz="4" w:space="0" w:color="auto"/>
            </w:tcBorders>
          </w:tcPr>
          <w:p w14:paraId="79FBA39B" w14:textId="77777777" w:rsidR="002F47A0" w:rsidRPr="009E686F" w:rsidRDefault="002F47A0" w:rsidP="002F47A0">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a) abordărilor care evidenţiază diferenţe semnificative în ceea ce priveşte cerinţele de fonduri proprii pentru aceeaşi expunere;</w:t>
            </w:r>
          </w:p>
          <w:p w14:paraId="4BD5647A" w14:textId="0C8C400C" w:rsidR="002F47A0" w:rsidRPr="009E686F" w:rsidRDefault="002F47A0" w:rsidP="002F47A0">
            <w:pPr>
              <w:spacing w:after="0"/>
              <w:jc w:val="both"/>
              <w:rPr>
                <w:rFonts w:ascii="Times New Roman" w:hAnsi="Times New Roman" w:cs="Times New Roman"/>
                <w:lang w:val="ro-RO"/>
              </w:rPr>
            </w:pPr>
          </w:p>
        </w:tc>
        <w:tc>
          <w:tcPr>
            <w:tcW w:w="470" w:type="pct"/>
            <w:tcBorders>
              <w:top w:val="single" w:sz="4" w:space="0" w:color="auto"/>
              <w:left w:val="single" w:sz="4" w:space="0" w:color="auto"/>
              <w:bottom w:val="single" w:sz="4" w:space="0" w:color="auto"/>
              <w:right w:val="single" w:sz="4" w:space="0" w:color="auto"/>
            </w:tcBorders>
          </w:tcPr>
          <w:p w14:paraId="547C7D0D" w14:textId="75EB2ABF"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77BA3F29" w14:textId="77777777" w:rsidR="002F47A0" w:rsidRPr="009E686F" w:rsidRDefault="002F47A0" w:rsidP="002F47A0">
            <w:pPr>
              <w:jc w:val="both"/>
              <w:rPr>
                <w:rFonts w:ascii="Times New Roman" w:hAnsi="Times New Roman" w:cs="Times New Roman"/>
                <w:lang w:val="ro-RO"/>
              </w:rPr>
            </w:pPr>
          </w:p>
        </w:tc>
      </w:tr>
      <w:tr w:rsidR="002F47A0" w:rsidRPr="009E686F" w14:paraId="4FBEAAB2" w14:textId="48FDF2F8" w:rsidTr="007C0E91">
        <w:trPr>
          <w:trHeight w:val="1244"/>
        </w:trPr>
        <w:tc>
          <w:tcPr>
            <w:tcW w:w="1796" w:type="pct"/>
            <w:gridSpan w:val="2"/>
            <w:tcBorders>
              <w:top w:val="single" w:sz="4" w:space="0" w:color="auto"/>
              <w:left w:val="single" w:sz="4" w:space="0" w:color="auto"/>
              <w:bottom w:val="single" w:sz="4" w:space="0" w:color="auto"/>
              <w:right w:val="single" w:sz="4" w:space="0" w:color="auto"/>
            </w:tcBorders>
          </w:tcPr>
          <w:p w14:paraId="3823650E" w14:textId="5E9CD48F"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lastRenderedPageBreak/>
              <w:t>(b) abordărilor în cazul cărora variabilitatea este deosebit de mare sau mică, precum și în cazul cărora subestimarea cerințelor de fonduri proprii este semnificativă și sistematică.</w:t>
            </w:r>
          </w:p>
        </w:tc>
        <w:tc>
          <w:tcPr>
            <w:tcW w:w="1928" w:type="pct"/>
            <w:gridSpan w:val="3"/>
            <w:tcBorders>
              <w:top w:val="single" w:sz="4" w:space="0" w:color="auto"/>
              <w:left w:val="single" w:sz="4" w:space="0" w:color="auto"/>
              <w:bottom w:val="single" w:sz="4" w:space="0" w:color="auto"/>
              <w:right w:val="single" w:sz="4" w:space="0" w:color="auto"/>
            </w:tcBorders>
          </w:tcPr>
          <w:p w14:paraId="38F9805B" w14:textId="7AB1E2E8" w:rsidR="002F47A0" w:rsidRPr="009E686F" w:rsidRDefault="002F47A0" w:rsidP="002F47A0">
            <w:pPr>
              <w:spacing w:after="0"/>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 xml:space="preserve">b) abordărilor în cazul cărora </w:t>
            </w:r>
            <w:r w:rsidRPr="009E686F">
              <w:rPr>
                <w:rFonts w:ascii="Times New Roman" w:eastAsia="Aptos" w:hAnsi="Times New Roman" w:cs="Times New Roman"/>
                <w:i/>
                <w:iCs/>
                <w:kern w:val="2"/>
                <w:lang w:val="ro-MD"/>
              </w:rPr>
              <w:t>variabilitatea</w:t>
            </w:r>
            <w:r w:rsidRPr="009E686F">
              <w:rPr>
                <w:rFonts w:ascii="Times New Roman" w:eastAsia="Aptos" w:hAnsi="Times New Roman" w:cs="Times New Roman"/>
                <w:kern w:val="2"/>
                <w:lang w:val="ro-MD"/>
              </w:rPr>
              <w:t xml:space="preserve"> este deosebit de mare sau mică, precum şi în cazul cărora subestimarea cerinţelor de fonduri proprii este semnificativă şi sistematică;</w:t>
            </w:r>
          </w:p>
        </w:tc>
        <w:tc>
          <w:tcPr>
            <w:tcW w:w="470" w:type="pct"/>
            <w:tcBorders>
              <w:top w:val="single" w:sz="4" w:space="0" w:color="auto"/>
              <w:left w:val="single" w:sz="4" w:space="0" w:color="auto"/>
              <w:bottom w:val="single" w:sz="4" w:space="0" w:color="auto"/>
              <w:right w:val="single" w:sz="4" w:space="0" w:color="auto"/>
            </w:tcBorders>
          </w:tcPr>
          <w:p w14:paraId="56BDF075" w14:textId="59D3CE55"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4C7ACAA8" w14:textId="77777777" w:rsidR="002F47A0" w:rsidRPr="009E686F" w:rsidRDefault="002F47A0" w:rsidP="002F47A0">
            <w:pPr>
              <w:jc w:val="both"/>
              <w:rPr>
                <w:rFonts w:ascii="Times New Roman" w:hAnsi="Times New Roman" w:cs="Times New Roman"/>
                <w:lang w:val="ro-RO"/>
              </w:rPr>
            </w:pPr>
          </w:p>
        </w:tc>
      </w:tr>
      <w:tr w:rsidR="002F47A0" w:rsidRPr="009E686F" w14:paraId="3566C50A" w14:textId="401D2F8B" w:rsidTr="007C0E91">
        <w:trPr>
          <w:trHeight w:val="838"/>
        </w:trPr>
        <w:tc>
          <w:tcPr>
            <w:tcW w:w="1796" w:type="pct"/>
            <w:gridSpan w:val="2"/>
            <w:tcBorders>
              <w:top w:val="single" w:sz="4" w:space="0" w:color="auto"/>
              <w:left w:val="single" w:sz="4" w:space="0" w:color="auto"/>
              <w:bottom w:val="single" w:sz="4" w:space="0" w:color="auto"/>
              <w:right w:val="single" w:sz="4" w:space="0" w:color="auto"/>
            </w:tcBorders>
          </w:tcPr>
          <w:p w14:paraId="0B8CDA70" w14:textId="59393848"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ABE produce un raport pentru a sprijini autoritățile competente în evaluarea calității abordărilor pe baza informațiilor menționate la alineatul (2).</w:t>
            </w:r>
          </w:p>
        </w:tc>
        <w:tc>
          <w:tcPr>
            <w:tcW w:w="1928" w:type="pct"/>
            <w:gridSpan w:val="3"/>
            <w:tcBorders>
              <w:top w:val="single" w:sz="4" w:space="0" w:color="auto"/>
              <w:left w:val="single" w:sz="4" w:space="0" w:color="auto"/>
              <w:bottom w:val="single" w:sz="4" w:space="0" w:color="auto"/>
              <w:right w:val="single" w:sz="4" w:space="0" w:color="auto"/>
            </w:tcBorders>
          </w:tcPr>
          <w:p w14:paraId="08FC9B78" w14:textId="77777777" w:rsidR="002F47A0" w:rsidRPr="009E686F" w:rsidRDefault="002F47A0" w:rsidP="002F47A0">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7DF6EBC7" w14:textId="601D1B99"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Norme UE neaplicabile</w:t>
            </w:r>
          </w:p>
          <w:p w14:paraId="5DE50111" w14:textId="64198533" w:rsidR="002F47A0" w:rsidRPr="009E686F" w:rsidRDefault="002F47A0" w:rsidP="002F47A0">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08081232" w14:textId="6FB94543"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Se referă la competențele ABE.</w:t>
            </w:r>
          </w:p>
        </w:tc>
      </w:tr>
      <w:tr w:rsidR="002F47A0" w:rsidRPr="009E686F" w14:paraId="5D99578C" w14:textId="67B309D6" w:rsidTr="00774F3E">
        <w:tc>
          <w:tcPr>
            <w:tcW w:w="1796" w:type="pct"/>
            <w:gridSpan w:val="2"/>
            <w:tcBorders>
              <w:top w:val="single" w:sz="4" w:space="0" w:color="auto"/>
              <w:left w:val="single" w:sz="4" w:space="0" w:color="auto"/>
              <w:bottom w:val="single" w:sz="4" w:space="0" w:color="auto"/>
              <w:right w:val="single" w:sz="4" w:space="0" w:color="auto"/>
            </w:tcBorders>
          </w:tcPr>
          <w:p w14:paraId="56E6CA10" w14:textId="5BAAD190"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(4) În cazul în care anumite instituții prezintă discrepanțe semnificative față de majoritatea instituțiilor omoloage sau în cazul în care există puține elemente comune în metodele utilizate, ceea ce conduce la rezultate foarte variate, autoritățile competente investighează motivele acestui fapt și, dacă se poate stabili în mod clar că metoda unei instituții duce la o subestimare a cerințelor de fonduri proprii care nu poate fi atribuită diferențelor în materie de riscuri ale expunerilor sau pozițiilor aferente, adoptă măsurile corective necesare.</w:t>
            </w:r>
          </w:p>
        </w:tc>
        <w:tc>
          <w:tcPr>
            <w:tcW w:w="1928" w:type="pct"/>
            <w:gridSpan w:val="3"/>
            <w:tcBorders>
              <w:top w:val="single" w:sz="4" w:space="0" w:color="auto"/>
              <w:left w:val="single" w:sz="4" w:space="0" w:color="auto"/>
              <w:bottom w:val="single" w:sz="4" w:space="0" w:color="auto"/>
              <w:right w:val="single" w:sz="4" w:space="0" w:color="auto"/>
            </w:tcBorders>
          </w:tcPr>
          <w:p w14:paraId="1BA372D5" w14:textId="7A85FCB3" w:rsidR="002F47A0" w:rsidRPr="009E686F" w:rsidRDefault="002F47A0" w:rsidP="002F47A0">
            <w:pPr>
              <w:spacing w:after="0"/>
              <w:jc w:val="both"/>
              <w:rPr>
                <w:rFonts w:ascii="Times New Roman" w:eastAsia="Aptos" w:hAnsi="Times New Roman" w:cs="Times New Roman"/>
                <w:b/>
                <w:bCs/>
                <w:kern w:val="2"/>
                <w:lang w:val="ro-MD"/>
              </w:rPr>
            </w:pPr>
            <w:r w:rsidRPr="009E686F">
              <w:rPr>
                <w:rFonts w:ascii="Times New Roman" w:eastAsia="Aptos" w:hAnsi="Times New Roman" w:cs="Times New Roman"/>
                <w:b/>
                <w:bCs/>
                <w:kern w:val="2"/>
                <w:lang w:val="ro-MD"/>
              </w:rPr>
              <w:t>Articolul 104 alin. (3)</w:t>
            </w:r>
          </w:p>
          <w:p w14:paraId="4025401B" w14:textId="3593F856" w:rsidR="002F47A0" w:rsidRPr="009E686F" w:rsidRDefault="002F47A0" w:rsidP="002F47A0">
            <w:pPr>
              <w:spacing w:after="0"/>
              <w:jc w:val="both"/>
              <w:rPr>
                <w:rFonts w:ascii="Times New Roman" w:hAnsi="Times New Roman" w:cs="Times New Roman"/>
                <w:bCs/>
                <w:lang w:val="ro-RO"/>
              </w:rPr>
            </w:pPr>
            <w:r w:rsidRPr="009E686F">
              <w:rPr>
                <w:rFonts w:ascii="Times New Roman" w:eastAsia="Aptos" w:hAnsi="Times New Roman" w:cs="Times New Roman"/>
                <w:kern w:val="2"/>
                <w:lang w:val="ro-MD"/>
              </w:rPr>
              <w:t xml:space="preserve">(3) În situaţia în care anumite </w:t>
            </w:r>
            <w:r w:rsidRPr="009E686F">
              <w:rPr>
                <w:rFonts w:ascii="Times New Roman" w:eastAsia="Aptos" w:hAnsi="Times New Roman" w:cs="Times New Roman"/>
                <w:i/>
                <w:iCs/>
                <w:kern w:val="2"/>
                <w:lang w:val="ro-MD"/>
              </w:rPr>
              <w:t>instituții de credit</w:t>
            </w:r>
            <w:r w:rsidRPr="009E686F">
              <w:rPr>
                <w:rFonts w:ascii="Times New Roman" w:eastAsia="Aptos" w:hAnsi="Times New Roman" w:cs="Times New Roman"/>
                <w:kern w:val="2"/>
                <w:lang w:val="ro-MD"/>
              </w:rPr>
              <w:t xml:space="preserve"> prezintă discrepanţe semnificative faţă de majoritatea </w:t>
            </w:r>
            <w:r w:rsidRPr="009E686F">
              <w:rPr>
                <w:rFonts w:ascii="Times New Roman" w:eastAsia="Aptos" w:hAnsi="Times New Roman" w:cs="Times New Roman"/>
                <w:i/>
                <w:iCs/>
                <w:kern w:val="2"/>
                <w:lang w:val="ro-MD"/>
              </w:rPr>
              <w:t>instituțiilor de credit</w:t>
            </w:r>
            <w:r w:rsidRPr="009E686F">
              <w:rPr>
                <w:rFonts w:ascii="Times New Roman" w:eastAsia="Aptos" w:hAnsi="Times New Roman" w:cs="Times New Roman"/>
                <w:kern w:val="2"/>
                <w:lang w:val="ro-MD"/>
              </w:rPr>
              <w:t xml:space="preserve"> similare sau în cazul în care există puţine elemente comune în abordările utilizate, ceea ce conduce la rezultate foarte variate, Banca Naţională a Moldovei investighează motivele acestui fapt şi, dacă se poate stabili în mod clar că abordarea unei </w:t>
            </w:r>
            <w:r w:rsidRPr="009E686F">
              <w:rPr>
                <w:rFonts w:ascii="Times New Roman" w:eastAsia="Aptos" w:hAnsi="Times New Roman" w:cs="Times New Roman"/>
                <w:i/>
                <w:iCs/>
                <w:kern w:val="2"/>
                <w:lang w:val="ro-MD"/>
              </w:rPr>
              <w:t>instituții de credit</w:t>
            </w:r>
            <w:r w:rsidRPr="009E686F">
              <w:rPr>
                <w:rFonts w:ascii="Times New Roman" w:eastAsia="Aptos" w:hAnsi="Times New Roman" w:cs="Times New Roman"/>
                <w:kern w:val="2"/>
                <w:lang w:val="ro-MD"/>
              </w:rPr>
              <w:t xml:space="preserve"> duce la o subestimare a cerinţelor de fonduri proprii care nu poate fi atribuită diferenţelor în materie de riscuri ale expunerilor sau poziţiilor aferente, adoptă măsurile corective necesare.</w:t>
            </w:r>
          </w:p>
          <w:p w14:paraId="0726D7EE" w14:textId="27D5691F" w:rsidR="002F47A0" w:rsidRPr="009E686F" w:rsidRDefault="002F47A0" w:rsidP="002F47A0">
            <w:pPr>
              <w:spacing w:after="0"/>
              <w:jc w:val="both"/>
              <w:rPr>
                <w:rFonts w:ascii="Times New Roman" w:hAnsi="Times New Roman" w:cs="Times New Roman"/>
                <w:lang w:val="ro-RO"/>
              </w:rPr>
            </w:pPr>
          </w:p>
        </w:tc>
        <w:tc>
          <w:tcPr>
            <w:tcW w:w="470" w:type="pct"/>
            <w:tcBorders>
              <w:top w:val="single" w:sz="4" w:space="0" w:color="auto"/>
              <w:left w:val="single" w:sz="4" w:space="0" w:color="auto"/>
              <w:bottom w:val="single" w:sz="4" w:space="0" w:color="auto"/>
              <w:right w:val="single" w:sz="4" w:space="0" w:color="auto"/>
            </w:tcBorders>
          </w:tcPr>
          <w:p w14:paraId="78367E54" w14:textId="2D9F70EA"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203C4CF4" w14:textId="77777777" w:rsidR="002F47A0" w:rsidRPr="009E686F" w:rsidRDefault="002F47A0" w:rsidP="002F47A0">
            <w:pPr>
              <w:jc w:val="both"/>
              <w:rPr>
                <w:rFonts w:ascii="Times New Roman" w:hAnsi="Times New Roman" w:cs="Times New Roman"/>
                <w:lang w:val="ro-RO"/>
              </w:rPr>
            </w:pPr>
          </w:p>
        </w:tc>
      </w:tr>
      <w:tr w:rsidR="002F47A0" w:rsidRPr="009E686F" w14:paraId="1AEF515F" w14:textId="7A813CC4" w:rsidTr="00774F3E">
        <w:tc>
          <w:tcPr>
            <w:tcW w:w="1796" w:type="pct"/>
            <w:gridSpan w:val="2"/>
            <w:tcBorders>
              <w:top w:val="single" w:sz="4" w:space="0" w:color="auto"/>
              <w:left w:val="single" w:sz="4" w:space="0" w:color="auto"/>
              <w:bottom w:val="single" w:sz="4" w:space="0" w:color="auto"/>
              <w:right w:val="single" w:sz="4" w:space="0" w:color="auto"/>
            </w:tcBorders>
          </w:tcPr>
          <w:p w14:paraId="2A129654" w14:textId="50D6FF9B"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(5) Autoritățile competente se asigură de faptul că deciziile lor privind caracterul adecvat al măsurilor corective menționate la alineatul (4) respectă principiul conform căruia aceste măsuri trebuie să mențină obiectivele abordărilor care intră în domeniul de aplicare a prezentului articol și, prin urmare:</w:t>
            </w:r>
          </w:p>
          <w:p w14:paraId="2E6742A6" w14:textId="412EA29A" w:rsidR="002F47A0" w:rsidRPr="009E686F" w:rsidRDefault="002F47A0" w:rsidP="002F47A0">
            <w:pPr>
              <w:spacing w:after="0"/>
              <w:jc w:val="both"/>
              <w:rPr>
                <w:rFonts w:ascii="Times New Roman" w:hAnsi="Times New Roman" w:cs="Times New Roman"/>
                <w:lang w:val="ro-RO"/>
              </w:rPr>
            </w:pPr>
          </w:p>
          <w:p w14:paraId="59F151C3"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(a)nu conduc la standardizare sau metode preferate;</w:t>
            </w:r>
          </w:p>
          <w:p w14:paraId="19DA9423"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(b) nu creează stimulente incorecte; sau</w:t>
            </w:r>
          </w:p>
          <w:p w14:paraId="190566A2" w14:textId="7171C493"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(c) nu cauzează un comportament gregar.</w:t>
            </w:r>
          </w:p>
        </w:tc>
        <w:tc>
          <w:tcPr>
            <w:tcW w:w="1928" w:type="pct"/>
            <w:gridSpan w:val="3"/>
            <w:tcBorders>
              <w:top w:val="single" w:sz="4" w:space="0" w:color="auto"/>
              <w:left w:val="single" w:sz="4" w:space="0" w:color="auto"/>
              <w:bottom w:val="single" w:sz="4" w:space="0" w:color="auto"/>
              <w:right w:val="single" w:sz="4" w:space="0" w:color="auto"/>
            </w:tcBorders>
          </w:tcPr>
          <w:p w14:paraId="2EE71CB1" w14:textId="3EF49FDF" w:rsidR="002F47A0" w:rsidRPr="009E686F" w:rsidRDefault="002F47A0" w:rsidP="002F47A0">
            <w:pPr>
              <w:spacing w:after="0"/>
              <w:jc w:val="both"/>
              <w:rPr>
                <w:rFonts w:ascii="Times New Roman" w:eastAsia="Aptos" w:hAnsi="Times New Roman" w:cs="Times New Roman"/>
                <w:b/>
                <w:bCs/>
                <w:kern w:val="2"/>
                <w:lang w:val="ro-MD"/>
              </w:rPr>
            </w:pPr>
            <w:r w:rsidRPr="009E686F">
              <w:rPr>
                <w:rFonts w:ascii="Times New Roman" w:eastAsia="Aptos" w:hAnsi="Times New Roman" w:cs="Times New Roman"/>
                <w:b/>
                <w:bCs/>
                <w:kern w:val="2"/>
                <w:lang w:val="ro-MD"/>
              </w:rPr>
              <w:t>Articolul 104 alin. (4)</w:t>
            </w:r>
          </w:p>
          <w:p w14:paraId="2521EB41" w14:textId="3520CDB4" w:rsidR="002F47A0" w:rsidRPr="009E686F" w:rsidRDefault="002F47A0" w:rsidP="002F47A0">
            <w:pPr>
              <w:spacing w:after="0"/>
              <w:jc w:val="both"/>
              <w:rPr>
                <w:rFonts w:ascii="Times New Roman" w:eastAsia="Aptos" w:hAnsi="Times New Roman" w:cs="Times New Roman"/>
                <w:b/>
                <w:bCs/>
                <w:kern w:val="2"/>
                <w:lang w:val="ro-MD"/>
              </w:rPr>
            </w:pPr>
            <w:r w:rsidRPr="009E686F">
              <w:rPr>
                <w:rFonts w:ascii="Times New Roman" w:eastAsia="Aptos" w:hAnsi="Times New Roman" w:cs="Times New Roman"/>
                <w:kern w:val="2"/>
                <w:lang w:val="ro-MD"/>
              </w:rPr>
              <w:t xml:space="preserve">(4) În scopul asigurării unui caracter adecvat al măsurilor corective prevăzute la alin.(3), deciziile Băncii Naţionale a Moldovei privind adoptarea unor astfel de măsuri trebuie să respecte principiul conform căruia măsurile trebuie să susţină obiectivele </w:t>
            </w:r>
            <w:r w:rsidRPr="009E686F">
              <w:rPr>
                <w:rFonts w:ascii="Times New Roman" w:eastAsia="Aptos" w:hAnsi="Times New Roman" w:cs="Times New Roman"/>
                <w:i/>
                <w:iCs/>
                <w:kern w:val="2"/>
                <w:lang w:val="ro-MD"/>
              </w:rPr>
              <w:t>abordărilor care intră în domeniul prezentului articol</w:t>
            </w:r>
            <w:r w:rsidRPr="009E686F">
              <w:rPr>
                <w:rFonts w:ascii="Times New Roman" w:eastAsia="Aptos" w:hAnsi="Times New Roman" w:cs="Times New Roman"/>
                <w:kern w:val="2"/>
                <w:lang w:val="ro-MD"/>
              </w:rPr>
              <w:t xml:space="preserve"> şi, prin urmare, nu trebuie să conducă la standardizare sau metode preferate, să creeze stimulente incorecte ori să cauzeze un comportament lipsit de iniţiativă</w:t>
            </w:r>
            <w:r w:rsidRPr="009E686F">
              <w:rPr>
                <w:rFonts w:ascii="Times New Roman" w:eastAsia="Aptos" w:hAnsi="Times New Roman" w:cs="Times New Roman"/>
                <w:i/>
                <w:iCs/>
                <w:color w:val="0F9ED5"/>
                <w:kern w:val="2"/>
                <w:lang w:val="ro-MD"/>
              </w:rPr>
              <w:t>.</w:t>
            </w:r>
          </w:p>
          <w:p w14:paraId="2F159CDD" w14:textId="46805179" w:rsidR="002F47A0" w:rsidRPr="009E686F" w:rsidRDefault="002F47A0" w:rsidP="002F47A0">
            <w:pPr>
              <w:spacing w:after="0"/>
              <w:jc w:val="both"/>
              <w:rPr>
                <w:rFonts w:ascii="Times New Roman" w:hAnsi="Times New Roman" w:cs="Times New Roman"/>
                <w:lang w:val="ro-RO"/>
              </w:rPr>
            </w:pPr>
          </w:p>
        </w:tc>
        <w:tc>
          <w:tcPr>
            <w:tcW w:w="470" w:type="pct"/>
            <w:tcBorders>
              <w:top w:val="single" w:sz="4" w:space="0" w:color="auto"/>
              <w:left w:val="single" w:sz="4" w:space="0" w:color="auto"/>
              <w:bottom w:val="single" w:sz="4" w:space="0" w:color="auto"/>
              <w:right w:val="single" w:sz="4" w:space="0" w:color="auto"/>
            </w:tcBorders>
          </w:tcPr>
          <w:p w14:paraId="6B2F918A" w14:textId="58BB9946"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566B2F13" w14:textId="77777777" w:rsidR="002F47A0" w:rsidRPr="009E686F" w:rsidRDefault="002F47A0" w:rsidP="002F47A0">
            <w:pPr>
              <w:jc w:val="both"/>
              <w:rPr>
                <w:rFonts w:ascii="Times New Roman" w:hAnsi="Times New Roman" w:cs="Times New Roman"/>
                <w:lang w:val="ro-RO"/>
              </w:rPr>
            </w:pPr>
          </w:p>
        </w:tc>
      </w:tr>
      <w:tr w:rsidR="002F47A0" w:rsidRPr="009E686F" w14:paraId="7F870604" w14:textId="28DB4365" w:rsidTr="00774F3E">
        <w:tc>
          <w:tcPr>
            <w:tcW w:w="1796" w:type="pct"/>
            <w:gridSpan w:val="2"/>
            <w:tcBorders>
              <w:top w:val="single" w:sz="4" w:space="0" w:color="auto"/>
              <w:left w:val="single" w:sz="4" w:space="0" w:color="auto"/>
              <w:bottom w:val="single" w:sz="4" w:space="0" w:color="auto"/>
              <w:right w:val="single" w:sz="4" w:space="0" w:color="auto"/>
            </w:tcBorders>
          </w:tcPr>
          <w:p w14:paraId="31CDDFC1"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lastRenderedPageBreak/>
              <w:t>(6) ABE poate emite ghiduri și recomandări în conformitate cu articolul 16 din Regulamentul (UE) nr. 1093/2010 atunci când consideră că sunt necesare, pe baza informațiilor și evaluărilor menționate la alineatele (2) și (3) de la prezentul articol, pentru a îmbunătăți practicile de supraveghere sau practicile instituțiilor în ceea ce privește abordările care intră în sfera analizei comparative în scopuri de supraveghere.</w:t>
            </w:r>
          </w:p>
          <w:p w14:paraId="7612C3B1"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(7) ABE elaborează proiecte de standarde tehnice de reglementare pentru a preciza:</w:t>
            </w:r>
          </w:p>
          <w:p w14:paraId="48EA50D7"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(a)procedurile pentru transmiterea reciprocă a evaluărilor efectuate în conformitate cu alineatul (3) între autoritățile competente și cu ABE;</w:t>
            </w:r>
          </w:p>
          <w:p w14:paraId="28105118" w14:textId="66CDA58D"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(b) standardele pentru evaluarea efectuată de autoritățile competente menționate la alineatul (3).</w:t>
            </w:r>
            <w:r w:rsidRPr="009E686F">
              <w:rPr>
                <w:rFonts w:ascii="Times New Roman" w:hAnsi="Times New Roman" w:cs="Times New Roman"/>
                <w:lang w:val="ro-RO"/>
              </w:rPr>
              <w:br/>
              <w:t>ABE înaintează aceste proiecte de standarde tehnice de reglementare Comisiei până la 1 ianuarie 2014.</w:t>
            </w:r>
          </w:p>
        </w:tc>
        <w:tc>
          <w:tcPr>
            <w:tcW w:w="1928" w:type="pct"/>
            <w:gridSpan w:val="3"/>
            <w:tcBorders>
              <w:top w:val="single" w:sz="4" w:space="0" w:color="auto"/>
              <w:left w:val="single" w:sz="4" w:space="0" w:color="auto"/>
              <w:bottom w:val="single" w:sz="4" w:space="0" w:color="auto"/>
              <w:right w:val="single" w:sz="4" w:space="0" w:color="auto"/>
            </w:tcBorders>
          </w:tcPr>
          <w:p w14:paraId="4F203414" w14:textId="77777777" w:rsidR="002F47A0" w:rsidRPr="009E686F" w:rsidRDefault="002F47A0" w:rsidP="002F47A0">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07B3DDEE" w14:textId="617D873D"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Norme UE neaplicabile</w:t>
            </w:r>
          </w:p>
          <w:p w14:paraId="217ACFEA" w14:textId="6AD84E9C" w:rsidR="002F47A0" w:rsidRPr="009E686F" w:rsidRDefault="002F47A0" w:rsidP="002F47A0">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4564FE69" w14:textId="1B3EB7F3"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Se referă la competențele ABE.</w:t>
            </w:r>
          </w:p>
        </w:tc>
      </w:tr>
      <w:tr w:rsidR="002F47A0" w:rsidRPr="009E686F" w14:paraId="5EC59FF5"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24BDFAC9" w14:textId="0A0E80D9"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Se deleagă Comisiei competența de a adopta standardele tehnice de reglementare menționate la primul paragraf, în conformitate cu articolele 10-14 din Regulamentul (UE) nr. 1093/2010.</w:t>
            </w:r>
          </w:p>
        </w:tc>
        <w:tc>
          <w:tcPr>
            <w:tcW w:w="1928" w:type="pct"/>
            <w:gridSpan w:val="3"/>
            <w:tcBorders>
              <w:top w:val="single" w:sz="4" w:space="0" w:color="auto"/>
              <w:left w:val="single" w:sz="4" w:space="0" w:color="auto"/>
              <w:bottom w:val="single" w:sz="4" w:space="0" w:color="auto"/>
              <w:right w:val="single" w:sz="4" w:space="0" w:color="auto"/>
            </w:tcBorders>
          </w:tcPr>
          <w:p w14:paraId="7710DCBC" w14:textId="77777777" w:rsidR="002F47A0" w:rsidRPr="009E686F" w:rsidRDefault="002F47A0" w:rsidP="002F47A0">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5CF11128" w14:textId="77777777" w:rsidR="002F47A0" w:rsidRPr="009E686F" w:rsidRDefault="002F47A0" w:rsidP="002F47A0">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272C04EC" w14:textId="5122B8F3"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Se referă la competențele Comisiei Europene.</w:t>
            </w:r>
          </w:p>
        </w:tc>
      </w:tr>
      <w:tr w:rsidR="002F47A0" w:rsidRPr="009E686F" w14:paraId="2D455233" w14:textId="311E0CBD" w:rsidTr="00550C94">
        <w:trPr>
          <w:trHeight w:val="3574"/>
        </w:trPr>
        <w:tc>
          <w:tcPr>
            <w:tcW w:w="1796" w:type="pct"/>
            <w:gridSpan w:val="2"/>
            <w:tcBorders>
              <w:top w:val="single" w:sz="4" w:space="0" w:color="auto"/>
              <w:left w:val="single" w:sz="4" w:space="0" w:color="auto"/>
              <w:right w:val="single" w:sz="4" w:space="0" w:color="auto"/>
            </w:tcBorders>
          </w:tcPr>
          <w:p w14:paraId="5DDD02D1"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lastRenderedPageBreak/>
              <w:t>(8) ABE elaborează proiecte de standarde tehnice de punere în aplicare pentru a preciza:</w:t>
            </w:r>
          </w:p>
          <w:p w14:paraId="4D49952B"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(a)modelul, definițiile și soluțiile informatice care trebuie aplicate în Uniune pentru raportarea menționată la alineatul (2);</w:t>
            </w:r>
          </w:p>
          <w:p w14:paraId="1AEC63EC"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(b) portofoliul sau portofoliile de referință menționate la alineatul (1).</w:t>
            </w:r>
          </w:p>
          <w:p w14:paraId="79C20B47"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(c) lista instituțiilor relevante menționate la alineatul (1) litera (c).</w:t>
            </w:r>
          </w:p>
          <w:p w14:paraId="10557C8F" w14:textId="2437ABFD"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În sensul literei (c), atunci când stabilește lista instituțiilor relevante, ABE ține seama de aspectele legate de proporționalitate.</w:t>
            </w:r>
          </w:p>
        </w:tc>
        <w:tc>
          <w:tcPr>
            <w:tcW w:w="1928" w:type="pct"/>
            <w:gridSpan w:val="3"/>
            <w:tcBorders>
              <w:top w:val="single" w:sz="4" w:space="0" w:color="auto"/>
              <w:left w:val="single" w:sz="4" w:space="0" w:color="auto"/>
              <w:right w:val="single" w:sz="4" w:space="0" w:color="auto"/>
            </w:tcBorders>
          </w:tcPr>
          <w:p w14:paraId="7D7AA497" w14:textId="77777777" w:rsidR="002F47A0" w:rsidRPr="009E686F" w:rsidRDefault="002F47A0" w:rsidP="002F47A0">
            <w:pPr>
              <w:spacing w:after="0"/>
              <w:jc w:val="both"/>
              <w:rPr>
                <w:rFonts w:ascii="Times New Roman" w:hAnsi="Times New Roman" w:cs="Times New Roman"/>
                <w:b/>
                <w:lang w:val="ro-RO"/>
              </w:rPr>
            </w:pPr>
          </w:p>
        </w:tc>
        <w:tc>
          <w:tcPr>
            <w:tcW w:w="470" w:type="pct"/>
            <w:tcBorders>
              <w:top w:val="single" w:sz="4" w:space="0" w:color="auto"/>
              <w:left w:val="single" w:sz="4" w:space="0" w:color="auto"/>
              <w:right w:val="single" w:sz="4" w:space="0" w:color="auto"/>
            </w:tcBorders>
          </w:tcPr>
          <w:p w14:paraId="274E9C7E" w14:textId="5866B605"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Norme UE neaplicabile</w:t>
            </w:r>
          </w:p>
          <w:p w14:paraId="6509350E" w14:textId="4CE1A6A1" w:rsidR="002F47A0" w:rsidRPr="009E686F" w:rsidRDefault="002F47A0" w:rsidP="002F47A0">
            <w:pPr>
              <w:jc w:val="both"/>
              <w:rPr>
                <w:rFonts w:ascii="Times New Roman" w:hAnsi="Times New Roman" w:cs="Times New Roman"/>
                <w:lang w:val="ro-RO"/>
              </w:rPr>
            </w:pPr>
          </w:p>
        </w:tc>
        <w:tc>
          <w:tcPr>
            <w:tcW w:w="806" w:type="pct"/>
            <w:tcBorders>
              <w:top w:val="single" w:sz="4" w:space="0" w:color="auto"/>
              <w:left w:val="single" w:sz="4" w:space="0" w:color="auto"/>
              <w:right w:val="single" w:sz="4" w:space="0" w:color="auto"/>
            </w:tcBorders>
          </w:tcPr>
          <w:p w14:paraId="5B624E5B" w14:textId="732AFB04"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Se referă la competențele ABE.</w:t>
            </w:r>
          </w:p>
        </w:tc>
      </w:tr>
      <w:tr w:rsidR="002F47A0" w:rsidRPr="009E686F" w14:paraId="3827EB48" w14:textId="5646997E" w:rsidTr="00774F3E">
        <w:tc>
          <w:tcPr>
            <w:tcW w:w="1796" w:type="pct"/>
            <w:gridSpan w:val="2"/>
            <w:tcBorders>
              <w:top w:val="single" w:sz="4" w:space="0" w:color="auto"/>
              <w:left w:val="single" w:sz="4" w:space="0" w:color="auto"/>
              <w:bottom w:val="single" w:sz="4" w:space="0" w:color="auto"/>
              <w:right w:val="single" w:sz="4" w:space="0" w:color="auto"/>
            </w:tcBorders>
          </w:tcPr>
          <w:p w14:paraId="69ABFE74"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ABE înaintează aceste proiecte de standarde tehnice de punere în aplicare Comisiei până la 1 ianuarie 2014.</w:t>
            </w:r>
          </w:p>
          <w:p w14:paraId="3B1F7B00"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Se conferă Comisiei competența de a adopta standardele tehnice de punere în aplicare menționate la primul paragraf, în conformitate cu articolul 15 din Regulamentul (UE) nr. 1093/2010.</w:t>
            </w:r>
          </w:p>
          <w:p w14:paraId="6A8012B2" w14:textId="41BE9188"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(9) Până la 1 aprilie 2015 și după consultarea ABE, Comisia prezintă Parlamentului European și Consiliului un raport referitor la funcționarea evaluării comparative a metodelor interne, inclusiv la domeniul de aplicare al modelului. Dacă este cazul raportul este însoțit de o propunere legislativă.</w:t>
            </w:r>
          </w:p>
        </w:tc>
        <w:tc>
          <w:tcPr>
            <w:tcW w:w="1928" w:type="pct"/>
            <w:gridSpan w:val="3"/>
            <w:tcBorders>
              <w:top w:val="single" w:sz="4" w:space="0" w:color="auto"/>
              <w:left w:val="single" w:sz="4" w:space="0" w:color="auto"/>
              <w:bottom w:val="single" w:sz="4" w:space="0" w:color="auto"/>
              <w:right w:val="single" w:sz="4" w:space="0" w:color="auto"/>
            </w:tcBorders>
          </w:tcPr>
          <w:p w14:paraId="7162E915" w14:textId="77777777" w:rsidR="002F47A0" w:rsidRPr="009E686F" w:rsidRDefault="002F47A0" w:rsidP="002F47A0">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262337E6" w14:textId="7585EC0A"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Norme UE neaplicabile</w:t>
            </w:r>
          </w:p>
          <w:p w14:paraId="7A94C3C9" w14:textId="37181047" w:rsidR="002F47A0" w:rsidRPr="009E686F" w:rsidRDefault="002F47A0" w:rsidP="002F47A0">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47C7B66B" w14:textId="4CE759A4"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Se referă la competențele ABE și ale Comisiei Europene.</w:t>
            </w:r>
          </w:p>
        </w:tc>
      </w:tr>
      <w:tr w:rsidR="002F47A0" w:rsidRPr="009E686F" w14:paraId="2BF49D44" w14:textId="00E8DCC1" w:rsidTr="00774F3E">
        <w:tc>
          <w:tcPr>
            <w:tcW w:w="1796" w:type="pct"/>
            <w:gridSpan w:val="2"/>
            <w:tcBorders>
              <w:top w:val="single" w:sz="4" w:space="0" w:color="auto"/>
              <w:left w:val="single" w:sz="4" w:space="0" w:color="auto"/>
              <w:bottom w:val="single" w:sz="4" w:space="0" w:color="auto"/>
              <w:right w:val="single" w:sz="4" w:space="0" w:color="auto"/>
            </w:tcBorders>
          </w:tcPr>
          <w:p w14:paraId="6B0FF5AE" w14:textId="77777777" w:rsidR="002F47A0" w:rsidRPr="009E686F" w:rsidRDefault="002F47A0" w:rsidP="002F47A0">
            <w:pPr>
              <w:spacing w:after="0"/>
              <w:jc w:val="both"/>
              <w:rPr>
                <w:rFonts w:ascii="Times New Roman" w:hAnsi="Times New Roman" w:cs="Times New Roman"/>
                <w:i/>
                <w:iCs/>
                <w:lang w:val="ro-RO"/>
              </w:rPr>
            </w:pPr>
            <w:r w:rsidRPr="009E686F">
              <w:rPr>
                <w:rFonts w:ascii="Times New Roman" w:hAnsi="Times New Roman" w:cs="Times New Roman"/>
                <w:i/>
                <w:iCs/>
                <w:lang w:val="ro-RO"/>
              </w:rPr>
              <w:t xml:space="preserve">Articolul 79 </w:t>
            </w:r>
          </w:p>
          <w:p w14:paraId="5DD254B6" w14:textId="6FC81D11"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Riscul de credit și riscul de contrapartidă</w:t>
            </w:r>
          </w:p>
          <w:p w14:paraId="6908AEE5" w14:textId="77777777" w:rsidR="002F47A0" w:rsidRPr="009E686F" w:rsidRDefault="002F47A0" w:rsidP="002F47A0">
            <w:pPr>
              <w:spacing w:after="0"/>
              <w:jc w:val="both"/>
              <w:rPr>
                <w:rFonts w:ascii="Times New Roman" w:hAnsi="Times New Roman" w:cs="Times New Roman"/>
                <w:lang w:val="ro-RO"/>
              </w:rPr>
            </w:pPr>
          </w:p>
          <w:p w14:paraId="0D2A6CCC" w14:textId="77777777" w:rsidR="002F47A0" w:rsidRPr="009E686F" w:rsidRDefault="002F47A0" w:rsidP="002F47A0">
            <w:pPr>
              <w:spacing w:after="0"/>
              <w:jc w:val="both"/>
              <w:rPr>
                <w:rFonts w:ascii="Times New Roman" w:hAnsi="Times New Roman" w:cs="Times New Roman"/>
                <w:lang w:val="ro-RO"/>
              </w:rPr>
            </w:pPr>
          </w:p>
          <w:p w14:paraId="2F9C8D46" w14:textId="77777777" w:rsidR="002F47A0" w:rsidRPr="009E686F" w:rsidRDefault="002F47A0" w:rsidP="002F47A0">
            <w:pPr>
              <w:spacing w:after="0"/>
              <w:jc w:val="both"/>
              <w:rPr>
                <w:rFonts w:ascii="Times New Roman" w:hAnsi="Times New Roman" w:cs="Times New Roman"/>
                <w:lang w:val="ro-RO"/>
              </w:rPr>
            </w:pPr>
          </w:p>
          <w:p w14:paraId="23E494FE" w14:textId="77777777" w:rsidR="002F47A0" w:rsidRPr="009E686F" w:rsidRDefault="002F47A0" w:rsidP="002F47A0">
            <w:pPr>
              <w:spacing w:after="0"/>
              <w:jc w:val="both"/>
              <w:rPr>
                <w:rFonts w:ascii="Times New Roman" w:hAnsi="Times New Roman" w:cs="Times New Roman"/>
                <w:lang w:val="ro-RO"/>
              </w:rPr>
            </w:pPr>
          </w:p>
          <w:p w14:paraId="13349098" w14:textId="7781F304"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Autoritățile competente se asigură că:</w:t>
            </w:r>
          </w:p>
        </w:tc>
        <w:tc>
          <w:tcPr>
            <w:tcW w:w="1928" w:type="pct"/>
            <w:gridSpan w:val="3"/>
            <w:tcBorders>
              <w:top w:val="single" w:sz="4" w:space="0" w:color="auto"/>
              <w:left w:val="single" w:sz="4" w:space="0" w:color="auto"/>
              <w:bottom w:val="single" w:sz="4" w:space="0" w:color="auto"/>
              <w:right w:val="single" w:sz="4" w:space="0" w:color="auto"/>
            </w:tcBorders>
          </w:tcPr>
          <w:p w14:paraId="76703A81" w14:textId="77777777" w:rsidR="002F47A0" w:rsidRPr="009E686F" w:rsidRDefault="002F47A0" w:rsidP="002F47A0">
            <w:pPr>
              <w:spacing w:after="0"/>
              <w:jc w:val="both"/>
              <w:rPr>
                <w:rFonts w:ascii="Times New Roman" w:eastAsia="Aptos" w:hAnsi="Times New Roman" w:cs="Times New Roman"/>
                <w:b/>
                <w:bCs/>
                <w:kern w:val="2"/>
                <w:lang w:val="ro-MD"/>
              </w:rPr>
            </w:pPr>
            <w:r w:rsidRPr="009E686F">
              <w:rPr>
                <w:rFonts w:ascii="Times New Roman" w:eastAsia="Aptos" w:hAnsi="Times New Roman" w:cs="Times New Roman"/>
                <w:b/>
                <w:bCs/>
                <w:kern w:val="2"/>
                <w:lang w:val="ro-MD"/>
              </w:rPr>
              <w:t xml:space="preserve">Articolul 38 alin. (4) </w:t>
            </w:r>
          </w:p>
          <w:p w14:paraId="6A32B42B" w14:textId="44547097" w:rsidR="002F47A0" w:rsidRPr="009E686F" w:rsidRDefault="002F47A0" w:rsidP="002F47A0">
            <w:pPr>
              <w:spacing w:after="0"/>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 xml:space="preserve">(4) În sensul alin.(1)–(3) sînt avute în vedere riscuri precum: riscul de credit şi al contrapărţii, riscul rezidual, riscul de concentrare, riscul de securitizare, riscul de piaţă, riscul de rată a dobînzii din activităţi în afara portofoliului de tranzacţionare, riscul operaţional, care include şi riscul denaturării securităţii şi integrităţii sistemelor informaţionale, riscul de lichiditate şi riscul efectului de levier excesiv, riscurile de mediu, sociale și </w:t>
            </w:r>
            <w:r w:rsidRPr="009E686F">
              <w:rPr>
                <w:rFonts w:ascii="Times New Roman" w:eastAsia="Aptos" w:hAnsi="Times New Roman" w:cs="Times New Roman"/>
                <w:kern w:val="2"/>
                <w:lang w:val="ro-MD"/>
              </w:rPr>
              <w:lastRenderedPageBreak/>
              <w:t>de guvernanță precum şi, după caz, subcategorii ale acestor riscuri.</w:t>
            </w:r>
          </w:p>
          <w:p w14:paraId="0F00B1BA" w14:textId="1A79EAA8" w:rsidR="002F47A0" w:rsidRPr="009E686F" w:rsidRDefault="002F47A0" w:rsidP="002F47A0">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28AEDA47" w14:textId="21395E1C"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lastRenderedPageBreak/>
              <w:t>Compatibil</w:t>
            </w:r>
          </w:p>
          <w:p w14:paraId="2E337BB6" w14:textId="77777777" w:rsidR="002F47A0" w:rsidRPr="009E686F" w:rsidRDefault="002F47A0" w:rsidP="002F47A0">
            <w:pPr>
              <w:jc w:val="both"/>
              <w:rPr>
                <w:rFonts w:ascii="Times New Roman" w:hAnsi="Times New Roman" w:cs="Times New Roman"/>
                <w:lang w:val="ro-RO"/>
              </w:rPr>
            </w:pPr>
          </w:p>
          <w:p w14:paraId="01301079" w14:textId="55018207" w:rsidR="002F47A0" w:rsidRPr="009E686F" w:rsidRDefault="002F47A0" w:rsidP="002F47A0">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20BA8035" w14:textId="77777777" w:rsidR="002F47A0" w:rsidRPr="009E686F" w:rsidRDefault="002F47A0" w:rsidP="002F47A0">
            <w:pPr>
              <w:jc w:val="both"/>
              <w:rPr>
                <w:rFonts w:ascii="Times New Roman" w:hAnsi="Times New Roman" w:cs="Times New Roman"/>
                <w:lang w:val="ro-RO"/>
              </w:rPr>
            </w:pPr>
          </w:p>
        </w:tc>
      </w:tr>
      <w:tr w:rsidR="002F47A0" w:rsidRPr="009E686F" w14:paraId="73C46A28" w14:textId="6B707949" w:rsidTr="00774F3E">
        <w:tc>
          <w:tcPr>
            <w:tcW w:w="1796" w:type="pct"/>
            <w:gridSpan w:val="2"/>
            <w:tcBorders>
              <w:top w:val="single" w:sz="4" w:space="0" w:color="auto"/>
              <w:left w:val="single" w:sz="4" w:space="0" w:color="auto"/>
              <w:bottom w:val="single" w:sz="4" w:space="0" w:color="auto"/>
              <w:right w:val="single" w:sz="4" w:space="0" w:color="auto"/>
            </w:tcBorders>
          </w:tcPr>
          <w:p w14:paraId="1BE35973" w14:textId="5271CC98"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(a)acordarea de credite se face pe baza unor criterii solide și bine definite și că procesul de aprobare, modificare, reînnoire și refinanțare a creditelor se stabilește cu claritate;</w:t>
            </w:r>
          </w:p>
        </w:tc>
        <w:tc>
          <w:tcPr>
            <w:tcW w:w="1928" w:type="pct"/>
            <w:gridSpan w:val="3"/>
            <w:tcBorders>
              <w:top w:val="single" w:sz="4" w:space="0" w:color="auto"/>
              <w:left w:val="single" w:sz="4" w:space="0" w:color="auto"/>
              <w:bottom w:val="single" w:sz="4" w:space="0" w:color="auto"/>
              <w:right w:val="single" w:sz="4" w:space="0" w:color="auto"/>
            </w:tcBorders>
          </w:tcPr>
          <w:p w14:paraId="6868496A" w14:textId="77777777" w:rsidR="002F47A0" w:rsidRPr="009E686F" w:rsidRDefault="002F47A0" w:rsidP="002F47A0">
            <w:pPr>
              <w:spacing w:after="0"/>
              <w:jc w:val="both"/>
              <w:rPr>
                <w:rFonts w:ascii="Times New Roman" w:hAnsi="Times New Roman" w:cs="Times New Roman"/>
                <w:b/>
                <w:bCs/>
                <w:lang w:val="pt-BR"/>
              </w:rPr>
            </w:pPr>
            <w:r w:rsidRPr="009E686F">
              <w:rPr>
                <w:rFonts w:ascii="Times New Roman" w:hAnsi="Times New Roman" w:cs="Times New Roman"/>
                <w:b/>
                <w:bCs/>
                <w:lang w:val="pt-BR"/>
              </w:rPr>
              <w:t>Pct. 241 din Regulamentul privind cadrul de administrare a activităţii băncilor, aprobat prin HCE nr. 322  din  20.12.2018</w:t>
            </w:r>
          </w:p>
          <w:p w14:paraId="3C505413" w14:textId="5C529D45" w:rsidR="002F47A0" w:rsidRPr="009E686F" w:rsidRDefault="002F47A0" w:rsidP="002F47A0">
            <w:pPr>
              <w:spacing w:after="0"/>
              <w:jc w:val="both"/>
              <w:rPr>
                <w:rFonts w:ascii="Times New Roman" w:hAnsi="Times New Roman" w:cs="Times New Roman"/>
                <w:bCs/>
                <w:lang w:val="ro-RO"/>
              </w:rPr>
            </w:pPr>
            <w:r w:rsidRPr="009E686F">
              <w:rPr>
                <w:rFonts w:ascii="Times New Roman" w:hAnsi="Times New Roman" w:cs="Times New Roman"/>
                <w:bCs/>
                <w:lang w:val="ro-RO"/>
              </w:rPr>
              <w:t xml:space="preserve">241. Politica privind riscul de credit trebuie să se refere la toate activităţile de creditare a băncii </w:t>
            </w:r>
            <w:r w:rsidRPr="009E686F">
              <w:rPr>
                <w:rFonts w:ascii="Times New Roman" w:hAnsi="Times New Roman" w:cs="Times New Roman"/>
                <w:bCs/>
                <w:lang w:val="it-CH"/>
              </w:rPr>
              <w:t xml:space="preserve">[…] </w:t>
            </w:r>
            <w:r w:rsidRPr="009E686F">
              <w:rPr>
                <w:rFonts w:ascii="Times New Roman" w:hAnsi="Times New Roman" w:cs="Times New Roman"/>
                <w:bCs/>
                <w:lang w:val="ro-RO"/>
              </w:rPr>
              <w:t>va prevedea, cel puţin, cerinţe privind:</w:t>
            </w:r>
          </w:p>
          <w:p w14:paraId="1184C4C5" w14:textId="2B2B3E14" w:rsidR="002F47A0" w:rsidRPr="009E686F" w:rsidRDefault="002F47A0" w:rsidP="002F47A0">
            <w:pPr>
              <w:spacing w:after="0"/>
              <w:jc w:val="both"/>
              <w:rPr>
                <w:rFonts w:ascii="Times New Roman" w:hAnsi="Times New Roman" w:cs="Times New Roman"/>
                <w:bCs/>
                <w:lang w:val="ro-RO"/>
              </w:rPr>
            </w:pPr>
            <w:r w:rsidRPr="009E686F">
              <w:rPr>
                <w:rFonts w:ascii="Times New Roman" w:hAnsi="Times New Roman" w:cs="Times New Roman"/>
                <w:bCs/>
                <w:lang w:val="ro-RO"/>
              </w:rPr>
              <w:t>1) procedurile de derulare a procesului de creditare,[…]</w:t>
            </w:r>
          </w:p>
          <w:p w14:paraId="21FA5D66" w14:textId="77777777" w:rsidR="002F47A0" w:rsidRPr="009E686F" w:rsidRDefault="002F47A0" w:rsidP="002F47A0">
            <w:pPr>
              <w:spacing w:after="0"/>
              <w:jc w:val="both"/>
              <w:rPr>
                <w:rFonts w:ascii="Times New Roman" w:hAnsi="Times New Roman" w:cs="Times New Roman"/>
                <w:bCs/>
                <w:lang w:val="ro-RO"/>
              </w:rPr>
            </w:pPr>
            <w:r w:rsidRPr="009E686F">
              <w:rPr>
                <w:rFonts w:ascii="Times New Roman" w:hAnsi="Times New Roman" w:cs="Times New Roman"/>
                <w:bCs/>
                <w:lang w:val="ro-RO"/>
              </w:rPr>
              <w:t>7) criteriile de definire şi modalităţile de aprobare a activelor şi angajamentelor condiţionale noi, precum şi a activelor cu termenul prelungit şi renegociat;</w:t>
            </w:r>
          </w:p>
          <w:p w14:paraId="0BBA6262" w14:textId="360EC899" w:rsidR="002F47A0" w:rsidRPr="009E686F" w:rsidRDefault="002F47A0" w:rsidP="002F47A0">
            <w:pPr>
              <w:spacing w:after="0"/>
              <w:jc w:val="both"/>
              <w:rPr>
                <w:rFonts w:ascii="Times New Roman" w:hAnsi="Times New Roman" w:cs="Times New Roman"/>
                <w:bCs/>
                <w:lang w:val="ro-RO"/>
              </w:rPr>
            </w:pPr>
          </w:p>
        </w:tc>
        <w:tc>
          <w:tcPr>
            <w:tcW w:w="470" w:type="pct"/>
            <w:tcBorders>
              <w:top w:val="single" w:sz="4" w:space="0" w:color="auto"/>
              <w:left w:val="single" w:sz="4" w:space="0" w:color="auto"/>
              <w:bottom w:val="single" w:sz="4" w:space="0" w:color="auto"/>
              <w:right w:val="single" w:sz="4" w:space="0" w:color="auto"/>
            </w:tcBorders>
          </w:tcPr>
          <w:p w14:paraId="3ED2B56D" w14:textId="72016BC2"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p w14:paraId="085D0639" w14:textId="522BE9C6" w:rsidR="002F47A0" w:rsidRPr="009E686F" w:rsidRDefault="002F47A0" w:rsidP="002F47A0">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68C8DF3F" w14:textId="77777777" w:rsidR="002F47A0" w:rsidRPr="009E686F" w:rsidRDefault="002F47A0" w:rsidP="002F47A0">
            <w:pPr>
              <w:jc w:val="both"/>
              <w:rPr>
                <w:rFonts w:ascii="Times New Roman" w:hAnsi="Times New Roman" w:cs="Times New Roman"/>
                <w:lang w:val="ro-RO"/>
              </w:rPr>
            </w:pPr>
          </w:p>
        </w:tc>
      </w:tr>
      <w:tr w:rsidR="002F47A0" w:rsidRPr="009E686F" w14:paraId="5EF3F9D6"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28ADCA56"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 xml:space="preserve">(b) instituțiile au metodologii interne care le permit să evalueze riscul de credit al expunerilor față de debitori individuali, titluri de valoare sau pozițiile din securitizare, precum și riscul de credit la nivelul portofoliului. </w:t>
            </w:r>
          </w:p>
          <w:p w14:paraId="38B59F56" w14:textId="2E38132B"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În special, metodologiile interne nu trebuie să se bazeze exclusiv sau în mod mecanic pe ratinguri de credit externe. În cazul în care cerințele de fonduri proprii se bazează pe o evaluare a unei instituții externe de evaluare a creditului (ECAI, External Credit Assessment Institution) sau pe faptul că o expunere este neevaluată, acest lucru nu scutește instituțiile de a lua în considerare și alte informații relevante pentru a își evalua modul de repartizare a capitalului intern;</w:t>
            </w:r>
          </w:p>
        </w:tc>
        <w:tc>
          <w:tcPr>
            <w:tcW w:w="1928" w:type="pct"/>
            <w:gridSpan w:val="3"/>
            <w:tcBorders>
              <w:top w:val="single" w:sz="4" w:space="0" w:color="auto"/>
              <w:left w:val="single" w:sz="4" w:space="0" w:color="auto"/>
              <w:bottom w:val="single" w:sz="4" w:space="0" w:color="auto"/>
              <w:right w:val="single" w:sz="4" w:space="0" w:color="auto"/>
            </w:tcBorders>
          </w:tcPr>
          <w:p w14:paraId="2AAE707F" w14:textId="77777777" w:rsidR="002F47A0" w:rsidRPr="009E686F" w:rsidRDefault="002F47A0" w:rsidP="002F47A0">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5BE69952" w14:textId="77777777"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Norme UE netranspuse</w:t>
            </w:r>
          </w:p>
          <w:p w14:paraId="011E9234" w14:textId="77777777" w:rsidR="002F47A0" w:rsidRPr="009E686F" w:rsidRDefault="002F47A0" w:rsidP="002F47A0">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589B9542" w14:textId="77777777" w:rsidR="005A2844" w:rsidRPr="009E686F" w:rsidRDefault="002F47A0" w:rsidP="005A2844">
            <w:pPr>
              <w:spacing w:line="240" w:lineRule="auto"/>
              <w:jc w:val="both"/>
              <w:rPr>
                <w:lang w:val="it-CH"/>
              </w:rPr>
            </w:pPr>
            <w:r w:rsidRPr="009E686F">
              <w:rPr>
                <w:rFonts w:ascii="Times New Roman" w:hAnsi="Times New Roman" w:cs="Times New Roman"/>
                <w:lang w:val="ro-RO"/>
              </w:rPr>
              <w:t>Se vor regăsi în proiectul de modificare a Regulamentului nr. 322/2018</w:t>
            </w:r>
            <w:r w:rsidR="005A2844" w:rsidRPr="009E686F">
              <w:rPr>
                <w:rFonts w:ascii="Times New Roman" w:hAnsi="Times New Roman" w:cs="Times New Roman"/>
                <w:lang w:val="ro-RO"/>
              </w:rPr>
              <w:t xml:space="preserve"> (</w:t>
            </w:r>
            <w:r w:rsidR="005A2844" w:rsidRPr="009E686F">
              <w:rPr>
                <w:rFonts w:ascii="Times New Roman" w:eastAsia="Times New Roman" w:hAnsi="Times New Roman" w:cs="Times New Roman"/>
                <w:bCs/>
                <w:lang w:val="it-CH" w:eastAsia="ru-RU"/>
              </w:rPr>
              <w:t>acțiunea normativă nr. 2 din Anexa A din PNA 2025-2029 aferentă Capitolului 9 “Servicii financiare” în legătură cu transpunerea Directivei 2013/36/UE).</w:t>
            </w:r>
          </w:p>
          <w:p w14:paraId="0CDB951C" w14:textId="63B9D945" w:rsidR="002F47A0" w:rsidRPr="009E686F" w:rsidRDefault="002F47A0" w:rsidP="002F47A0">
            <w:pPr>
              <w:jc w:val="both"/>
              <w:rPr>
                <w:rFonts w:ascii="Times New Roman" w:hAnsi="Times New Roman" w:cs="Times New Roman"/>
                <w:lang w:val="it-CH"/>
              </w:rPr>
            </w:pPr>
          </w:p>
        </w:tc>
      </w:tr>
      <w:tr w:rsidR="002F47A0" w:rsidRPr="009E686F" w14:paraId="0B3C57B6" w14:textId="12A76CE5" w:rsidTr="00774F3E">
        <w:tc>
          <w:tcPr>
            <w:tcW w:w="1796" w:type="pct"/>
            <w:gridSpan w:val="2"/>
            <w:tcBorders>
              <w:top w:val="single" w:sz="4" w:space="0" w:color="auto"/>
              <w:left w:val="single" w:sz="4" w:space="0" w:color="auto"/>
              <w:bottom w:val="single" w:sz="4" w:space="0" w:color="auto"/>
              <w:right w:val="single" w:sz="4" w:space="0" w:color="auto"/>
            </w:tcBorders>
          </w:tcPr>
          <w:p w14:paraId="5D0CB7F9" w14:textId="43219500"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 xml:space="preserve">(c) gestionarea și monitorizarea permanentă a diferitelor portofolii purtătoare de risc de credit și a diferitelor expuneri ale instituțiilor, inclusiv pentru identificarea și gestionarea creditelor problematice și pentru efectuarea </w:t>
            </w:r>
            <w:r w:rsidRPr="009E686F">
              <w:rPr>
                <w:rFonts w:ascii="Times New Roman" w:hAnsi="Times New Roman" w:cs="Times New Roman"/>
                <w:lang w:val="ro-RO"/>
              </w:rPr>
              <w:lastRenderedPageBreak/>
              <w:t>ajustărilor de valoare și constituirea unor provizioane adecvate, se fac prin sisteme eficiente;</w:t>
            </w:r>
          </w:p>
        </w:tc>
        <w:tc>
          <w:tcPr>
            <w:tcW w:w="1928" w:type="pct"/>
            <w:gridSpan w:val="3"/>
            <w:tcBorders>
              <w:top w:val="single" w:sz="4" w:space="0" w:color="auto"/>
              <w:left w:val="single" w:sz="4" w:space="0" w:color="auto"/>
              <w:bottom w:val="single" w:sz="4" w:space="0" w:color="auto"/>
              <w:right w:val="single" w:sz="4" w:space="0" w:color="auto"/>
            </w:tcBorders>
          </w:tcPr>
          <w:p w14:paraId="5252B337" w14:textId="20A70293" w:rsidR="002F47A0" w:rsidRPr="009E686F" w:rsidRDefault="002F47A0" w:rsidP="002F47A0">
            <w:pPr>
              <w:spacing w:after="0"/>
              <w:jc w:val="both"/>
              <w:rPr>
                <w:rFonts w:ascii="Times New Roman" w:hAnsi="Times New Roman" w:cs="Times New Roman"/>
                <w:b/>
                <w:bCs/>
                <w:lang w:val="ro-RO"/>
              </w:rPr>
            </w:pPr>
            <w:r w:rsidRPr="009E686F">
              <w:rPr>
                <w:rFonts w:ascii="Times New Roman" w:hAnsi="Times New Roman" w:cs="Times New Roman"/>
                <w:b/>
                <w:lang w:val="ro-RO"/>
              </w:rPr>
              <w:lastRenderedPageBreak/>
              <w:t>Pct. 241 subpct. 5)-7) din Regulamentul privind cadrul de administrare a activităţii băncilor, aprobat prin HCE nr. 322  din  20.12.2018</w:t>
            </w:r>
          </w:p>
          <w:p w14:paraId="37047DB2" w14:textId="5732C8EB" w:rsidR="002F47A0" w:rsidRPr="009E686F" w:rsidRDefault="002F47A0" w:rsidP="002F47A0">
            <w:pPr>
              <w:spacing w:after="0"/>
              <w:jc w:val="both"/>
              <w:rPr>
                <w:rFonts w:ascii="Times New Roman" w:hAnsi="Times New Roman" w:cs="Times New Roman"/>
                <w:bCs/>
                <w:lang w:val="ro-RO"/>
              </w:rPr>
            </w:pPr>
            <w:r w:rsidRPr="009E686F">
              <w:rPr>
                <w:rFonts w:ascii="Times New Roman" w:hAnsi="Times New Roman" w:cs="Times New Roman"/>
                <w:bCs/>
                <w:lang w:val="ro-RO"/>
              </w:rPr>
              <w:t xml:space="preserve">5) procedurile de administrare efectivă a creditului, inclusiv analiza utilizării creditului conform destinaţiei, analiza continuă </w:t>
            </w:r>
            <w:r w:rsidRPr="009E686F">
              <w:rPr>
                <w:rFonts w:ascii="Times New Roman" w:hAnsi="Times New Roman" w:cs="Times New Roman"/>
                <w:bCs/>
                <w:lang w:val="ro-RO"/>
              </w:rPr>
              <w:lastRenderedPageBreak/>
              <w:t>a capacităţii debitorului de a achita plăţile conform contractului, ţinând cont şi de nivelul riscului valutar la care este expus acesta şi determinarea nivelului de îndatorare a debitorului; examinarea permanentă a documentaţiei aferente creditului (contractul de credit, de garanţii reale şi personale şi alte garanţii, documente ce atestă situaţia financiară a contrapărţii etc.); evaluarea sistemului de clasificare, care se bazează pe esenţa economică a tranzacţiei şi mai puţin pe forma juridică, pentru ca acesta să corespundă cu specificul, mărimea şi complexitatea activităţilor băncii;</w:t>
            </w:r>
          </w:p>
          <w:p w14:paraId="4256EBFB" w14:textId="77777777" w:rsidR="002F47A0" w:rsidRPr="009E686F" w:rsidRDefault="002F47A0" w:rsidP="002F47A0">
            <w:pPr>
              <w:spacing w:after="0"/>
              <w:jc w:val="both"/>
              <w:rPr>
                <w:rFonts w:ascii="Times New Roman" w:hAnsi="Times New Roman" w:cs="Times New Roman"/>
                <w:bCs/>
                <w:lang w:val="ro-RO"/>
              </w:rPr>
            </w:pPr>
            <w:r w:rsidRPr="009E686F">
              <w:rPr>
                <w:rFonts w:ascii="Times New Roman" w:hAnsi="Times New Roman" w:cs="Times New Roman"/>
                <w:bCs/>
                <w:lang w:val="ro-RO"/>
              </w:rPr>
              <w:t>6) procedurile de identificare, administrare şi monitorizare a activelor şi angajamentelor condiţionale neperformante în vederea menţinerii unor standarde sănătoase de creditare şi conformării cu limitele stabilite privind asumarea riscului de credit;</w:t>
            </w:r>
          </w:p>
          <w:p w14:paraId="69BB253F" w14:textId="68065D36" w:rsidR="002F47A0" w:rsidRPr="009E686F" w:rsidRDefault="002F47A0" w:rsidP="002F47A0">
            <w:pPr>
              <w:spacing w:after="0"/>
              <w:jc w:val="both"/>
              <w:rPr>
                <w:rFonts w:ascii="Times New Roman" w:hAnsi="Times New Roman" w:cs="Times New Roman"/>
                <w:bCs/>
                <w:lang w:val="ro-RO"/>
              </w:rPr>
            </w:pPr>
            <w:r w:rsidRPr="009E686F">
              <w:rPr>
                <w:rFonts w:ascii="Times New Roman" w:hAnsi="Times New Roman" w:cs="Times New Roman"/>
                <w:bCs/>
                <w:lang w:val="ro-RO"/>
              </w:rPr>
              <w:t>7) criteriile de definire şi modalităţile de aprobare a activelor şi angajamentelor condiţionale noi, precum şi a activelor cu termenul prelungit şi renegociat;</w:t>
            </w:r>
          </w:p>
        </w:tc>
        <w:tc>
          <w:tcPr>
            <w:tcW w:w="470" w:type="pct"/>
            <w:tcBorders>
              <w:top w:val="single" w:sz="4" w:space="0" w:color="auto"/>
              <w:left w:val="single" w:sz="4" w:space="0" w:color="auto"/>
              <w:bottom w:val="single" w:sz="4" w:space="0" w:color="auto"/>
              <w:right w:val="single" w:sz="4" w:space="0" w:color="auto"/>
            </w:tcBorders>
          </w:tcPr>
          <w:p w14:paraId="4B90C0AC" w14:textId="776D9D29"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lastRenderedPageBreak/>
              <w:t>Parțial compatibil</w:t>
            </w:r>
          </w:p>
        </w:tc>
        <w:tc>
          <w:tcPr>
            <w:tcW w:w="806" w:type="pct"/>
            <w:tcBorders>
              <w:top w:val="single" w:sz="4" w:space="0" w:color="auto"/>
              <w:left w:val="single" w:sz="4" w:space="0" w:color="auto"/>
              <w:bottom w:val="single" w:sz="4" w:space="0" w:color="auto"/>
              <w:right w:val="single" w:sz="4" w:space="0" w:color="auto"/>
            </w:tcBorders>
          </w:tcPr>
          <w:p w14:paraId="3B87361E" w14:textId="77777777" w:rsidR="005A2844" w:rsidRPr="009E686F" w:rsidRDefault="002F47A0" w:rsidP="005A2844">
            <w:pPr>
              <w:spacing w:line="240" w:lineRule="auto"/>
              <w:jc w:val="both"/>
              <w:rPr>
                <w:lang w:val="it-CH"/>
              </w:rPr>
            </w:pPr>
            <w:r w:rsidRPr="009E686F">
              <w:rPr>
                <w:rFonts w:ascii="Times New Roman" w:hAnsi="Times New Roman" w:cs="Times New Roman"/>
                <w:lang w:val="ro-RO"/>
              </w:rPr>
              <w:t>Transpunerea totală se va asigura prin proiectul de modificare a Regulamentului nr. 322/2018</w:t>
            </w:r>
            <w:r w:rsidR="005A2844" w:rsidRPr="009E686F">
              <w:rPr>
                <w:rFonts w:ascii="Times New Roman" w:hAnsi="Times New Roman" w:cs="Times New Roman"/>
                <w:lang w:val="ro-RO"/>
              </w:rPr>
              <w:t xml:space="preserve"> (</w:t>
            </w:r>
            <w:r w:rsidR="005A2844" w:rsidRPr="009E686F">
              <w:rPr>
                <w:rFonts w:ascii="Times New Roman" w:eastAsia="Times New Roman" w:hAnsi="Times New Roman" w:cs="Times New Roman"/>
                <w:bCs/>
                <w:lang w:val="it-CH" w:eastAsia="ru-RU"/>
              </w:rPr>
              <w:t xml:space="preserve">acțiunea normativă nr. 2 din </w:t>
            </w:r>
            <w:r w:rsidR="005A2844" w:rsidRPr="009E686F">
              <w:rPr>
                <w:rFonts w:ascii="Times New Roman" w:eastAsia="Times New Roman" w:hAnsi="Times New Roman" w:cs="Times New Roman"/>
                <w:bCs/>
                <w:lang w:val="it-CH" w:eastAsia="ru-RU"/>
              </w:rPr>
              <w:lastRenderedPageBreak/>
              <w:t>Anexa A din PNA 2025-2029 aferentă Capitolului 9 “Servicii financiare” în legătură cu transpunerea Directivei 2013/36/UE).</w:t>
            </w:r>
          </w:p>
          <w:p w14:paraId="45C8CEE8" w14:textId="4D33F3BD" w:rsidR="002F47A0" w:rsidRPr="009E686F" w:rsidRDefault="002F47A0" w:rsidP="002F47A0">
            <w:pPr>
              <w:jc w:val="both"/>
              <w:rPr>
                <w:rFonts w:ascii="Times New Roman" w:hAnsi="Times New Roman" w:cs="Times New Roman"/>
                <w:lang w:val="it-CH"/>
              </w:rPr>
            </w:pPr>
          </w:p>
        </w:tc>
      </w:tr>
      <w:tr w:rsidR="002F47A0" w:rsidRPr="009E686F" w14:paraId="37C88E97" w14:textId="4D1EEDF8" w:rsidTr="00774F3E">
        <w:tc>
          <w:tcPr>
            <w:tcW w:w="1796" w:type="pct"/>
            <w:gridSpan w:val="2"/>
            <w:tcBorders>
              <w:top w:val="single" w:sz="4" w:space="0" w:color="auto"/>
              <w:left w:val="single" w:sz="4" w:space="0" w:color="auto"/>
              <w:bottom w:val="single" w:sz="4" w:space="0" w:color="auto"/>
              <w:right w:val="single" w:sz="4" w:space="0" w:color="auto"/>
            </w:tcBorders>
          </w:tcPr>
          <w:p w14:paraId="2EA4E39E" w14:textId="4330417D"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lastRenderedPageBreak/>
              <w:t>(d) diversitatea portofoliilor de credite trebuie să fie adecvată în funcție de piețele țintă și strategiile globale de creditare ale instituției.</w:t>
            </w:r>
          </w:p>
        </w:tc>
        <w:tc>
          <w:tcPr>
            <w:tcW w:w="1928" w:type="pct"/>
            <w:gridSpan w:val="3"/>
            <w:tcBorders>
              <w:top w:val="single" w:sz="4" w:space="0" w:color="auto"/>
              <w:left w:val="single" w:sz="4" w:space="0" w:color="auto"/>
              <w:bottom w:val="single" w:sz="4" w:space="0" w:color="auto"/>
              <w:right w:val="single" w:sz="4" w:space="0" w:color="auto"/>
            </w:tcBorders>
          </w:tcPr>
          <w:p w14:paraId="6DFAFEFC" w14:textId="09E43C35" w:rsidR="002F47A0" w:rsidRPr="009E686F" w:rsidRDefault="002F47A0" w:rsidP="002F47A0">
            <w:pPr>
              <w:spacing w:after="0"/>
              <w:jc w:val="both"/>
              <w:rPr>
                <w:rFonts w:ascii="Times New Roman" w:hAnsi="Times New Roman" w:cs="Times New Roman"/>
                <w:b/>
                <w:lang w:val="ro-RO"/>
              </w:rPr>
            </w:pPr>
            <w:r w:rsidRPr="009E686F">
              <w:rPr>
                <w:rFonts w:ascii="Times New Roman" w:hAnsi="Times New Roman" w:cs="Times New Roman"/>
                <w:b/>
                <w:lang w:val="ro-RO"/>
              </w:rPr>
              <w:t>Pct. 241 subpct. 3 din  din Regulamentul privind cadrul de administrare a activităţii băncilor, aprobat prin HCE nr. 322  din  20.12.2018</w:t>
            </w:r>
          </w:p>
          <w:p w14:paraId="19337CD5" w14:textId="36F4F22A" w:rsidR="002F47A0" w:rsidRPr="009E686F" w:rsidRDefault="002F47A0" w:rsidP="002F47A0">
            <w:pPr>
              <w:spacing w:after="0"/>
              <w:jc w:val="both"/>
              <w:rPr>
                <w:rFonts w:ascii="Times New Roman" w:hAnsi="Times New Roman" w:cs="Times New Roman"/>
                <w:bCs/>
                <w:lang w:val="ro-RO"/>
              </w:rPr>
            </w:pPr>
            <w:r w:rsidRPr="009E686F">
              <w:rPr>
                <w:rFonts w:ascii="Times New Roman" w:hAnsi="Times New Roman" w:cs="Times New Roman"/>
                <w:bCs/>
                <w:lang w:val="ro-RO"/>
              </w:rPr>
              <w:t>241. Politica privind riscul de credit va prevedea, cel puţin, cerinţe privind:</w:t>
            </w:r>
          </w:p>
          <w:p w14:paraId="7AC74411" w14:textId="77777777" w:rsidR="002F47A0" w:rsidRPr="009E686F" w:rsidRDefault="002F47A0" w:rsidP="002F47A0">
            <w:pPr>
              <w:spacing w:after="0"/>
              <w:jc w:val="both"/>
              <w:rPr>
                <w:rFonts w:ascii="Times New Roman" w:hAnsi="Times New Roman" w:cs="Times New Roman"/>
                <w:bCs/>
                <w:lang w:val="ro-RO"/>
              </w:rPr>
            </w:pPr>
            <w:r w:rsidRPr="009E686F">
              <w:rPr>
                <w:rFonts w:ascii="Times New Roman" w:hAnsi="Times New Roman" w:cs="Times New Roman"/>
                <w:bCs/>
                <w:lang w:val="ro-RO"/>
              </w:rPr>
              <w:t>3) procedurile de identificare a pieţelor pe care banca intenţionează să activeze, determinarea caracteristicilor portofoliului de credite (inclusiv gradul de diversificare şi gradul de concentrare) şi evaluarea noilor oportunităţi de afaceri în cadrul activităţilor de creditare;</w:t>
            </w:r>
          </w:p>
          <w:p w14:paraId="18FF9807" w14:textId="5DDEF043" w:rsidR="002F47A0" w:rsidRPr="009E686F" w:rsidRDefault="002F47A0" w:rsidP="002F47A0">
            <w:pPr>
              <w:spacing w:after="0"/>
              <w:jc w:val="both"/>
              <w:rPr>
                <w:rFonts w:ascii="Times New Roman" w:hAnsi="Times New Roman" w:cs="Times New Roman"/>
                <w:bCs/>
                <w:lang w:val="ro-RO"/>
              </w:rPr>
            </w:pPr>
          </w:p>
        </w:tc>
        <w:tc>
          <w:tcPr>
            <w:tcW w:w="470" w:type="pct"/>
            <w:tcBorders>
              <w:top w:val="single" w:sz="4" w:space="0" w:color="auto"/>
              <w:left w:val="single" w:sz="4" w:space="0" w:color="auto"/>
              <w:bottom w:val="single" w:sz="4" w:space="0" w:color="auto"/>
              <w:right w:val="single" w:sz="4" w:space="0" w:color="auto"/>
            </w:tcBorders>
          </w:tcPr>
          <w:p w14:paraId="71FD947A" w14:textId="77777777"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p w14:paraId="2078079B" w14:textId="79B43A5A" w:rsidR="002F47A0" w:rsidRPr="009E686F" w:rsidRDefault="002F47A0" w:rsidP="002F47A0">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488EE693" w14:textId="77777777" w:rsidR="002F47A0" w:rsidRPr="009E686F" w:rsidRDefault="002F47A0" w:rsidP="002F47A0">
            <w:pPr>
              <w:jc w:val="both"/>
              <w:rPr>
                <w:rFonts w:ascii="Times New Roman" w:hAnsi="Times New Roman" w:cs="Times New Roman"/>
                <w:lang w:val="ro-RO"/>
              </w:rPr>
            </w:pPr>
          </w:p>
        </w:tc>
      </w:tr>
      <w:tr w:rsidR="002F47A0" w:rsidRPr="009E686F" w14:paraId="35824179"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3A69E4EB" w14:textId="13E6692A"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 xml:space="preserve">(e) instituțiile efectuează o evaluare ex ante a oricărei expuneri la criptoactive pe care intenționează să și-o asume și a caracterului adecvat al proceselor și procedurilor </w:t>
            </w:r>
            <w:r w:rsidRPr="009E686F">
              <w:rPr>
                <w:rFonts w:ascii="Times New Roman" w:hAnsi="Times New Roman" w:cs="Times New Roman"/>
                <w:lang w:val="ro-RO"/>
              </w:rPr>
              <w:lastRenderedPageBreak/>
              <w:t>existente pentru gestionarea riscului de contraparte și raportează autorității lor competente cu privire la aceste evaluări.”</w:t>
            </w:r>
          </w:p>
        </w:tc>
        <w:tc>
          <w:tcPr>
            <w:tcW w:w="1928" w:type="pct"/>
            <w:gridSpan w:val="3"/>
            <w:tcBorders>
              <w:top w:val="single" w:sz="4" w:space="0" w:color="auto"/>
              <w:left w:val="single" w:sz="4" w:space="0" w:color="auto"/>
              <w:bottom w:val="single" w:sz="4" w:space="0" w:color="auto"/>
              <w:right w:val="single" w:sz="4" w:space="0" w:color="auto"/>
            </w:tcBorders>
          </w:tcPr>
          <w:p w14:paraId="428C512E" w14:textId="77777777" w:rsidR="002F47A0" w:rsidRPr="009E686F" w:rsidRDefault="002F47A0" w:rsidP="002F47A0">
            <w:pPr>
              <w:spacing w:after="0"/>
              <w:jc w:val="both"/>
              <w:rPr>
                <w:rFonts w:ascii="Times New Roman" w:hAnsi="Times New Roman" w:cs="Times New Roman"/>
                <w:lang w:val="ro-RO"/>
              </w:rPr>
            </w:pPr>
          </w:p>
        </w:tc>
        <w:tc>
          <w:tcPr>
            <w:tcW w:w="470" w:type="pct"/>
            <w:tcBorders>
              <w:top w:val="single" w:sz="4" w:space="0" w:color="auto"/>
              <w:left w:val="single" w:sz="4" w:space="0" w:color="auto"/>
              <w:bottom w:val="single" w:sz="4" w:space="0" w:color="auto"/>
              <w:right w:val="single" w:sz="4" w:space="0" w:color="auto"/>
            </w:tcBorders>
          </w:tcPr>
          <w:p w14:paraId="1C132BA1" w14:textId="768EDCB8"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 xml:space="preserve">Norme UE netranspuse </w:t>
            </w:r>
          </w:p>
        </w:tc>
        <w:tc>
          <w:tcPr>
            <w:tcW w:w="806" w:type="pct"/>
            <w:tcBorders>
              <w:top w:val="single" w:sz="4" w:space="0" w:color="auto"/>
              <w:left w:val="single" w:sz="4" w:space="0" w:color="auto"/>
              <w:bottom w:val="single" w:sz="4" w:space="0" w:color="auto"/>
              <w:right w:val="single" w:sz="4" w:space="0" w:color="auto"/>
            </w:tcBorders>
          </w:tcPr>
          <w:p w14:paraId="5BF90487" w14:textId="2BB85EFE" w:rsidR="005A2844" w:rsidRPr="009E686F" w:rsidRDefault="002F47A0" w:rsidP="005A2844">
            <w:pPr>
              <w:spacing w:line="240" w:lineRule="auto"/>
              <w:jc w:val="both"/>
              <w:rPr>
                <w:lang w:val="it-CH"/>
              </w:rPr>
            </w:pPr>
            <w:r w:rsidRPr="009E686F">
              <w:rPr>
                <w:rFonts w:ascii="Times New Roman" w:hAnsi="Times New Roman" w:cs="Times New Roman"/>
                <w:lang w:val="ro-RO"/>
              </w:rPr>
              <w:t xml:space="preserve">Se vor regăsi în proiectul de modificare a Regulamentului nr. </w:t>
            </w:r>
            <w:r w:rsidRPr="009E686F">
              <w:rPr>
                <w:rFonts w:ascii="Times New Roman" w:hAnsi="Times New Roman" w:cs="Times New Roman"/>
                <w:lang w:val="ro-RO"/>
              </w:rPr>
              <w:lastRenderedPageBreak/>
              <w:t>322/2018</w:t>
            </w:r>
            <w:r w:rsidR="005A2844" w:rsidRPr="009E686F">
              <w:rPr>
                <w:rFonts w:ascii="Times New Roman" w:hAnsi="Times New Roman" w:cs="Times New Roman"/>
                <w:lang w:val="ro-RO"/>
              </w:rPr>
              <w:t xml:space="preserve"> (</w:t>
            </w:r>
            <w:r w:rsidR="005A2844" w:rsidRPr="009E686F">
              <w:rPr>
                <w:rFonts w:ascii="Times New Roman" w:eastAsia="Times New Roman" w:hAnsi="Times New Roman" w:cs="Times New Roman"/>
                <w:bCs/>
                <w:lang w:val="it-CH" w:eastAsia="ru-RU"/>
              </w:rPr>
              <w:t>acțiunea normativă nr. 2 din Anexa A din PNA 2025-2029 aferentă Capitolului 9 “Servicii financiare” în legătură cu transpunerea Directivei 2013/36/UE).</w:t>
            </w:r>
          </w:p>
          <w:p w14:paraId="267D71C4" w14:textId="7B2F97B7" w:rsidR="002F47A0" w:rsidRPr="009E686F" w:rsidRDefault="002F47A0" w:rsidP="002F47A0">
            <w:pPr>
              <w:jc w:val="both"/>
              <w:rPr>
                <w:rFonts w:ascii="Times New Roman" w:hAnsi="Times New Roman" w:cs="Times New Roman"/>
                <w:lang w:val="ro-RO"/>
              </w:rPr>
            </w:pPr>
          </w:p>
        </w:tc>
      </w:tr>
      <w:tr w:rsidR="002F47A0" w:rsidRPr="009E686F" w14:paraId="61202A33" w14:textId="1F64DF1C" w:rsidTr="00774F3E">
        <w:tc>
          <w:tcPr>
            <w:tcW w:w="1796" w:type="pct"/>
            <w:gridSpan w:val="2"/>
            <w:tcBorders>
              <w:top w:val="single" w:sz="4" w:space="0" w:color="auto"/>
              <w:left w:val="single" w:sz="4" w:space="0" w:color="auto"/>
              <w:bottom w:val="single" w:sz="4" w:space="0" w:color="auto"/>
              <w:right w:val="single" w:sz="4" w:space="0" w:color="auto"/>
            </w:tcBorders>
          </w:tcPr>
          <w:p w14:paraId="5FFDF7C7" w14:textId="77777777" w:rsidR="002F47A0" w:rsidRPr="009E686F" w:rsidRDefault="002F47A0" w:rsidP="002F47A0">
            <w:pPr>
              <w:spacing w:after="0"/>
              <w:jc w:val="both"/>
              <w:rPr>
                <w:rFonts w:ascii="Times New Roman" w:hAnsi="Times New Roman" w:cs="Times New Roman"/>
                <w:i/>
                <w:iCs/>
                <w:lang w:val="ro-RO"/>
              </w:rPr>
            </w:pPr>
            <w:r w:rsidRPr="009E686F">
              <w:rPr>
                <w:rFonts w:ascii="Times New Roman" w:hAnsi="Times New Roman" w:cs="Times New Roman"/>
                <w:i/>
                <w:iCs/>
                <w:lang w:val="ro-RO"/>
              </w:rPr>
              <w:lastRenderedPageBreak/>
              <w:t xml:space="preserve">Articolul 80 </w:t>
            </w:r>
          </w:p>
          <w:p w14:paraId="086925E0" w14:textId="78513F80"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Riscul rezidual</w:t>
            </w:r>
          </w:p>
          <w:p w14:paraId="32F9AD85"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Autoritățile competente se asigură că riscul ca tehnicile recunoscute de diminuare a riscului de credit utilizate de instituții să se dovedească mai puțin eficace decât previziunile este abordat și controlat, inclusiv prin intermediul unor politici și proceduri scrise.</w:t>
            </w:r>
          </w:p>
        </w:tc>
        <w:tc>
          <w:tcPr>
            <w:tcW w:w="1928" w:type="pct"/>
            <w:gridSpan w:val="3"/>
            <w:tcBorders>
              <w:top w:val="single" w:sz="4" w:space="0" w:color="auto"/>
              <w:left w:val="single" w:sz="4" w:space="0" w:color="auto"/>
              <w:bottom w:val="single" w:sz="4" w:space="0" w:color="auto"/>
              <w:right w:val="single" w:sz="4" w:space="0" w:color="auto"/>
            </w:tcBorders>
          </w:tcPr>
          <w:p w14:paraId="4DF38214"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(4) În sensul alin. (1)-(3), sunt avute în vedere riscuri precum: riscul de credit şi al contrapărții, riscul rezidual, riscul de concentrare, riscul de securitizare, riscul de piață, riscul de rată a dobânzii din activități în afara portofoliului de tranzacționare, riscul operațional, care include și riscul denaturării securității și integrității sistemelor  informaționale, riscul de lichiditate şi riscul efectului de levier excesiv, precum și, după caz, subcategorii ale acestor riscuri</w:t>
            </w:r>
          </w:p>
          <w:p w14:paraId="421EDF6A" w14:textId="61047B64" w:rsidR="002F47A0" w:rsidRPr="009E686F" w:rsidRDefault="002F47A0" w:rsidP="002F47A0">
            <w:pPr>
              <w:spacing w:after="0"/>
              <w:jc w:val="both"/>
              <w:rPr>
                <w:rFonts w:ascii="Times New Roman" w:hAnsi="Times New Roman" w:cs="Times New Roman"/>
                <w:b/>
                <w:bCs/>
                <w:lang w:val="pt-BR"/>
              </w:rPr>
            </w:pPr>
            <w:r w:rsidRPr="009E686F">
              <w:rPr>
                <w:rFonts w:ascii="Times New Roman" w:hAnsi="Times New Roman" w:cs="Times New Roman"/>
                <w:b/>
                <w:bCs/>
                <w:lang w:val="pt-BR"/>
              </w:rPr>
              <w:t>Pct. 354 din Regulamentul privind cadrul de administrare a activităţii băncilor, aprobat prin HCE nr. 322  din  20.12.2018</w:t>
            </w:r>
          </w:p>
          <w:p w14:paraId="41DDB3DF" w14:textId="4F5D1C98"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354. banca trebuie să identifice şi să evalueze toate riscurile semnificative la care este sau poate fi expusă, incluzând:</w:t>
            </w:r>
          </w:p>
          <w:p w14:paraId="3DF5152A" w14:textId="0457B392"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5) riscul rezidual aferent tehnicilor de diminuare a riscului de credit;</w:t>
            </w:r>
          </w:p>
        </w:tc>
        <w:tc>
          <w:tcPr>
            <w:tcW w:w="470" w:type="pct"/>
            <w:tcBorders>
              <w:top w:val="single" w:sz="4" w:space="0" w:color="auto"/>
              <w:left w:val="single" w:sz="4" w:space="0" w:color="auto"/>
              <w:bottom w:val="single" w:sz="4" w:space="0" w:color="auto"/>
              <w:right w:val="single" w:sz="4" w:space="0" w:color="auto"/>
            </w:tcBorders>
          </w:tcPr>
          <w:p w14:paraId="7E39CD10" w14:textId="6808B923"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Parțial compatibil</w:t>
            </w:r>
          </w:p>
          <w:p w14:paraId="0A7CD2BB" w14:textId="77777777" w:rsidR="002F47A0" w:rsidRPr="009E686F" w:rsidRDefault="002F47A0" w:rsidP="002F47A0">
            <w:pPr>
              <w:jc w:val="both"/>
              <w:rPr>
                <w:rFonts w:ascii="Times New Roman" w:hAnsi="Times New Roman" w:cs="Times New Roman"/>
                <w:lang w:val="ro-RO"/>
              </w:rPr>
            </w:pPr>
          </w:p>
          <w:p w14:paraId="71AD0368" w14:textId="77777777" w:rsidR="002F47A0" w:rsidRPr="009E686F" w:rsidRDefault="002F47A0" w:rsidP="002F47A0">
            <w:pPr>
              <w:jc w:val="both"/>
              <w:rPr>
                <w:rFonts w:ascii="Times New Roman" w:hAnsi="Times New Roman" w:cs="Times New Roman"/>
                <w:lang w:val="ro-RO"/>
              </w:rPr>
            </w:pPr>
          </w:p>
          <w:p w14:paraId="1568A4D2" w14:textId="7DB20602" w:rsidR="002F47A0" w:rsidRPr="009E686F" w:rsidRDefault="002F47A0" w:rsidP="002F47A0">
            <w:pPr>
              <w:jc w:val="both"/>
              <w:rPr>
                <w:rFonts w:ascii="Times New Roman" w:hAnsi="Times New Roman" w:cs="Times New Roman"/>
                <w:lang w:val="ro-RO"/>
              </w:rPr>
            </w:pPr>
          </w:p>
          <w:p w14:paraId="4FF90BA6" w14:textId="2040B9BF" w:rsidR="002F47A0" w:rsidRPr="009E686F" w:rsidRDefault="002F47A0" w:rsidP="002F47A0">
            <w:pPr>
              <w:jc w:val="both"/>
              <w:rPr>
                <w:rFonts w:ascii="Times New Roman" w:hAnsi="Times New Roman" w:cs="Times New Roman"/>
                <w:lang w:val="ro-RO"/>
              </w:rPr>
            </w:pPr>
          </w:p>
          <w:p w14:paraId="2A5806BC" w14:textId="77777777" w:rsidR="002F47A0" w:rsidRPr="009E686F" w:rsidRDefault="002F47A0" w:rsidP="002F47A0">
            <w:pPr>
              <w:jc w:val="both"/>
              <w:rPr>
                <w:rFonts w:ascii="Times New Roman" w:hAnsi="Times New Roman" w:cs="Times New Roman"/>
                <w:lang w:val="ro-RO"/>
              </w:rPr>
            </w:pPr>
          </w:p>
          <w:p w14:paraId="43096FAD" w14:textId="77777777" w:rsidR="002F47A0" w:rsidRPr="009E686F" w:rsidRDefault="002F47A0" w:rsidP="002F47A0">
            <w:pPr>
              <w:jc w:val="both"/>
              <w:rPr>
                <w:rFonts w:ascii="Times New Roman" w:hAnsi="Times New Roman" w:cs="Times New Roman"/>
                <w:lang w:val="ro-RO"/>
              </w:rPr>
            </w:pPr>
          </w:p>
          <w:p w14:paraId="6A87BF76" w14:textId="2C89F7EA" w:rsidR="002F47A0" w:rsidRPr="009E686F" w:rsidRDefault="002F47A0" w:rsidP="002F47A0">
            <w:pPr>
              <w:jc w:val="both"/>
              <w:rPr>
                <w:rFonts w:ascii="Times New Roman" w:hAnsi="Times New Roman" w:cs="Times New Roman"/>
                <w:lang w:val="ro-RO"/>
              </w:rPr>
            </w:pPr>
          </w:p>
          <w:p w14:paraId="74C91464" w14:textId="1CF646F0" w:rsidR="002F47A0" w:rsidRPr="009E686F" w:rsidRDefault="002F47A0" w:rsidP="002F47A0">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7F9BDA1A" w14:textId="77777777" w:rsidR="005A2844" w:rsidRPr="009E686F" w:rsidRDefault="002F47A0" w:rsidP="005A2844">
            <w:pPr>
              <w:spacing w:line="240" w:lineRule="auto"/>
              <w:jc w:val="both"/>
              <w:rPr>
                <w:lang w:val="it-CH"/>
              </w:rPr>
            </w:pPr>
            <w:r w:rsidRPr="009E686F">
              <w:rPr>
                <w:rFonts w:ascii="Times New Roman" w:hAnsi="Times New Roman" w:cs="Times New Roman"/>
                <w:lang w:val="ro-RO"/>
              </w:rPr>
              <w:t>Transpunerea totală se va asigura prin proiectul de modificare a Regulamentului nr. 322/2018</w:t>
            </w:r>
            <w:r w:rsidR="005A2844" w:rsidRPr="009E686F">
              <w:rPr>
                <w:rFonts w:ascii="Times New Roman" w:hAnsi="Times New Roman" w:cs="Times New Roman"/>
                <w:lang w:val="ro-RO"/>
              </w:rPr>
              <w:t xml:space="preserve"> (</w:t>
            </w:r>
            <w:r w:rsidR="005A2844" w:rsidRPr="009E686F">
              <w:rPr>
                <w:rFonts w:ascii="Times New Roman" w:eastAsia="Times New Roman" w:hAnsi="Times New Roman" w:cs="Times New Roman"/>
                <w:bCs/>
                <w:lang w:val="it-CH" w:eastAsia="ru-RU"/>
              </w:rPr>
              <w:t>acțiunea normativă nr. 2 din Anexa A din PNA 2025-2029 aferentă Capitolului 9 “Servicii financiare” în legătură cu transpunerea Directivei 2013/36/UE).</w:t>
            </w:r>
          </w:p>
          <w:p w14:paraId="342E85F5" w14:textId="190B1B2C" w:rsidR="002F47A0" w:rsidRPr="009E686F" w:rsidRDefault="002F47A0" w:rsidP="002F47A0">
            <w:pPr>
              <w:jc w:val="both"/>
              <w:rPr>
                <w:rFonts w:ascii="Times New Roman" w:hAnsi="Times New Roman" w:cs="Times New Roman"/>
                <w:lang w:val="ro-RO"/>
              </w:rPr>
            </w:pPr>
          </w:p>
        </w:tc>
      </w:tr>
      <w:tr w:rsidR="002F47A0" w:rsidRPr="009E686F" w14:paraId="2FE34518" w14:textId="734ACC65" w:rsidTr="00774F3E">
        <w:tc>
          <w:tcPr>
            <w:tcW w:w="1796" w:type="pct"/>
            <w:gridSpan w:val="2"/>
            <w:tcBorders>
              <w:top w:val="single" w:sz="4" w:space="0" w:color="auto"/>
              <w:left w:val="single" w:sz="4" w:space="0" w:color="auto"/>
              <w:bottom w:val="single" w:sz="4" w:space="0" w:color="auto"/>
              <w:right w:val="single" w:sz="4" w:space="0" w:color="auto"/>
            </w:tcBorders>
          </w:tcPr>
          <w:p w14:paraId="5AA2E21D" w14:textId="77777777" w:rsidR="002F47A0" w:rsidRPr="009E686F" w:rsidRDefault="002F47A0" w:rsidP="002F47A0">
            <w:pPr>
              <w:spacing w:after="0"/>
              <w:jc w:val="both"/>
              <w:rPr>
                <w:rFonts w:ascii="Times New Roman" w:hAnsi="Times New Roman" w:cs="Times New Roman"/>
                <w:i/>
                <w:iCs/>
                <w:lang w:val="ro-RO"/>
              </w:rPr>
            </w:pPr>
            <w:r w:rsidRPr="009E686F">
              <w:rPr>
                <w:rFonts w:ascii="Times New Roman" w:hAnsi="Times New Roman" w:cs="Times New Roman"/>
                <w:i/>
                <w:iCs/>
                <w:lang w:val="ro-RO"/>
              </w:rPr>
              <w:t xml:space="preserve">Articolul 81 </w:t>
            </w:r>
          </w:p>
          <w:p w14:paraId="574F3C1B" w14:textId="03FEA23E"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Riscul de concentrare</w:t>
            </w:r>
          </w:p>
          <w:p w14:paraId="0849FC1E" w14:textId="77777777" w:rsidR="002F47A0" w:rsidRPr="009E686F" w:rsidRDefault="002F47A0" w:rsidP="002F47A0">
            <w:pPr>
              <w:spacing w:after="0"/>
              <w:jc w:val="both"/>
              <w:rPr>
                <w:rFonts w:ascii="Times New Roman" w:hAnsi="Times New Roman" w:cs="Times New Roman"/>
                <w:lang w:val="ro-RO"/>
              </w:rPr>
            </w:pPr>
          </w:p>
          <w:p w14:paraId="6C54E5A1" w14:textId="6BF38062"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 xml:space="preserve">Autoritățile competente se asigură că riscul de concentrare care rezultă din expunerile față de fiecare contraparte, inclusiv față de contrapărțile centrale, grupurile de contrapărți aflate în legătură și contrapărțile din același </w:t>
            </w:r>
            <w:r w:rsidRPr="009E686F">
              <w:rPr>
                <w:rFonts w:ascii="Times New Roman" w:hAnsi="Times New Roman" w:cs="Times New Roman"/>
                <w:lang w:val="ro-RO"/>
              </w:rPr>
              <w:lastRenderedPageBreak/>
              <w:t>sector economic, aceeași regiune geografică sau care desfășoară aceeași activitate sau furnizează aceeași marfă, ori care rezultă din aplicarea tehnicilor de diminuare a riscului de credit, inclusiv, în special, riscurile aferente expunerilor indirecte mari din credite, de exemplu, față de un singur emitent de garanții reale, este abordat și controlat, inclusiv prin intermediul unor politici și proceduri scrise. În cazul criptoactivelor fără un emitent identificabil, riscul de concentrare este evaluat din perspectiva expunerii la criptoactive cu caracteristici similare.</w:t>
            </w:r>
          </w:p>
        </w:tc>
        <w:tc>
          <w:tcPr>
            <w:tcW w:w="1928" w:type="pct"/>
            <w:gridSpan w:val="3"/>
            <w:tcBorders>
              <w:top w:val="single" w:sz="4" w:space="0" w:color="auto"/>
              <w:left w:val="single" w:sz="4" w:space="0" w:color="auto"/>
              <w:bottom w:val="single" w:sz="4" w:space="0" w:color="auto"/>
              <w:right w:val="single" w:sz="4" w:space="0" w:color="auto"/>
            </w:tcBorders>
          </w:tcPr>
          <w:p w14:paraId="3E7842ED"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lastRenderedPageBreak/>
              <w:t>(4) În sensul alin. (1)-(3), sunt avute în vedere riscuri precum: riscul de credit şi al contrapărții,</w:t>
            </w:r>
            <w:r w:rsidRPr="009E686F">
              <w:rPr>
                <w:rFonts w:ascii="Times New Roman" w:hAnsi="Times New Roman" w:cs="Times New Roman"/>
                <w:b/>
                <w:lang w:val="ro-RO"/>
              </w:rPr>
              <w:t xml:space="preserve"> </w:t>
            </w:r>
            <w:r w:rsidRPr="009E686F">
              <w:rPr>
                <w:rFonts w:ascii="Times New Roman" w:hAnsi="Times New Roman" w:cs="Times New Roman"/>
                <w:lang w:val="ro-RO"/>
              </w:rPr>
              <w:t xml:space="preserve">riscul rezidual, </w:t>
            </w:r>
            <w:r w:rsidRPr="009E686F">
              <w:rPr>
                <w:rFonts w:ascii="Times New Roman" w:hAnsi="Times New Roman" w:cs="Times New Roman"/>
                <w:b/>
                <w:lang w:val="ro-RO"/>
              </w:rPr>
              <w:t>riscul de concentrare</w:t>
            </w:r>
            <w:r w:rsidRPr="009E686F">
              <w:rPr>
                <w:rFonts w:ascii="Times New Roman" w:hAnsi="Times New Roman" w:cs="Times New Roman"/>
                <w:lang w:val="ro-RO"/>
              </w:rPr>
              <w:t xml:space="preserve">, riscul de securitizare, riscul de piață, riscul de rată a dobânzii din activități în afara portofoliului de tranzacționare, riscul operațional, care include și riscul denaturării securității și integrității sistemelor informaționale, riscul de lichiditate şi </w:t>
            </w:r>
            <w:r w:rsidRPr="009E686F">
              <w:rPr>
                <w:rFonts w:ascii="Times New Roman" w:hAnsi="Times New Roman" w:cs="Times New Roman"/>
                <w:lang w:val="ro-RO"/>
              </w:rPr>
              <w:lastRenderedPageBreak/>
              <w:t>riscul efectului de levier excesiv, precum și, după caz, subcategorii ale acestor riscuri.</w:t>
            </w:r>
          </w:p>
          <w:p w14:paraId="2AB6E511" w14:textId="2CCD2521" w:rsidR="002F47A0" w:rsidRPr="009E686F" w:rsidRDefault="002F47A0" w:rsidP="002F47A0">
            <w:pPr>
              <w:spacing w:after="0"/>
              <w:jc w:val="both"/>
              <w:rPr>
                <w:rFonts w:ascii="Times New Roman" w:hAnsi="Times New Roman" w:cs="Times New Roman"/>
                <w:b/>
                <w:bCs/>
                <w:lang w:val="ro-RO"/>
              </w:rPr>
            </w:pPr>
            <w:r w:rsidRPr="009E686F">
              <w:rPr>
                <w:rFonts w:ascii="Times New Roman" w:hAnsi="Times New Roman" w:cs="Times New Roman"/>
                <w:b/>
                <w:bCs/>
                <w:lang w:val="pt-BR"/>
              </w:rPr>
              <w:t>Pct. 310 din Regulamentul privind cadrul de administrare a activităţii băncilor, aprobat prin HCE nr. 322  din  20.12.2018</w:t>
            </w:r>
          </w:p>
          <w:p w14:paraId="277C18B2" w14:textId="498CEAA3"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310. Banca trebuie să dispună de procese interne adecvate care să corespundă naturii, dimensiunii şi complexităţii activităţii desfăşurate pentru raportarea riscului de concentrare rezultat din:</w:t>
            </w:r>
          </w:p>
          <w:p w14:paraId="5ECC1E82"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1) expunerile individuale faţă de clienţi sau faţă de grupuri de clienţi aflaţi în legătură;</w:t>
            </w:r>
          </w:p>
          <w:p w14:paraId="57BB4F42"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2) expunerile faţă de contrapărţile din acelaşi sector economic sau regiune geografică;</w:t>
            </w:r>
          </w:p>
          <w:p w14:paraId="0F87775C" w14:textId="47DC7A08"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3) expunerile de credit indirecte, rezultate în urma aplicării tehnicilor de diminuare a riscului de credit.</w:t>
            </w:r>
          </w:p>
        </w:tc>
        <w:tc>
          <w:tcPr>
            <w:tcW w:w="470" w:type="pct"/>
            <w:tcBorders>
              <w:top w:val="single" w:sz="4" w:space="0" w:color="auto"/>
              <w:left w:val="single" w:sz="4" w:space="0" w:color="auto"/>
              <w:bottom w:val="single" w:sz="4" w:space="0" w:color="auto"/>
              <w:right w:val="single" w:sz="4" w:space="0" w:color="auto"/>
            </w:tcBorders>
          </w:tcPr>
          <w:p w14:paraId="5AFACB01" w14:textId="56CB934C"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lastRenderedPageBreak/>
              <w:t>Parțial compatibil</w:t>
            </w:r>
          </w:p>
          <w:p w14:paraId="624AC33F" w14:textId="77777777" w:rsidR="002F47A0" w:rsidRPr="009E686F" w:rsidRDefault="002F47A0" w:rsidP="002F47A0">
            <w:pPr>
              <w:jc w:val="both"/>
              <w:rPr>
                <w:rFonts w:ascii="Times New Roman" w:hAnsi="Times New Roman" w:cs="Times New Roman"/>
                <w:lang w:val="ro-RO"/>
              </w:rPr>
            </w:pPr>
          </w:p>
          <w:p w14:paraId="69313894" w14:textId="77777777" w:rsidR="002F47A0" w:rsidRPr="009E686F" w:rsidRDefault="002F47A0" w:rsidP="002F47A0">
            <w:pPr>
              <w:jc w:val="both"/>
              <w:rPr>
                <w:rFonts w:ascii="Times New Roman" w:hAnsi="Times New Roman" w:cs="Times New Roman"/>
                <w:lang w:val="ro-RO"/>
              </w:rPr>
            </w:pPr>
          </w:p>
          <w:p w14:paraId="205466CD" w14:textId="77777777" w:rsidR="002F47A0" w:rsidRPr="009E686F" w:rsidRDefault="002F47A0" w:rsidP="002F47A0">
            <w:pPr>
              <w:jc w:val="both"/>
              <w:rPr>
                <w:rFonts w:ascii="Times New Roman" w:hAnsi="Times New Roman" w:cs="Times New Roman"/>
                <w:lang w:val="ro-RO"/>
              </w:rPr>
            </w:pPr>
          </w:p>
          <w:p w14:paraId="38B5C214" w14:textId="620A5C4F" w:rsidR="002F47A0" w:rsidRPr="009E686F" w:rsidRDefault="002F47A0" w:rsidP="002F47A0">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27E8555D" w14:textId="77777777" w:rsidR="005A2844" w:rsidRPr="009E686F" w:rsidRDefault="002F47A0" w:rsidP="005A2844">
            <w:pPr>
              <w:spacing w:line="240" w:lineRule="auto"/>
              <w:jc w:val="both"/>
              <w:rPr>
                <w:lang w:val="it-CH"/>
              </w:rPr>
            </w:pPr>
            <w:r w:rsidRPr="009E686F">
              <w:rPr>
                <w:rFonts w:ascii="Times New Roman" w:hAnsi="Times New Roman" w:cs="Times New Roman"/>
                <w:lang w:val="ro-RO"/>
              </w:rPr>
              <w:lastRenderedPageBreak/>
              <w:t>Transpunerea totală se va asigura prin proiectul de modificare a Regulamentului nr. 322/2018</w:t>
            </w:r>
            <w:r w:rsidR="005A2844" w:rsidRPr="009E686F">
              <w:rPr>
                <w:rFonts w:ascii="Times New Roman" w:hAnsi="Times New Roman" w:cs="Times New Roman"/>
                <w:lang w:val="ro-RO"/>
              </w:rPr>
              <w:t xml:space="preserve"> (</w:t>
            </w:r>
            <w:r w:rsidR="005A2844" w:rsidRPr="009E686F">
              <w:rPr>
                <w:rFonts w:ascii="Times New Roman" w:eastAsia="Times New Roman" w:hAnsi="Times New Roman" w:cs="Times New Roman"/>
                <w:bCs/>
                <w:lang w:val="it-CH" w:eastAsia="ru-RU"/>
              </w:rPr>
              <w:t xml:space="preserve">acțiunea normativă nr. 2 din Anexa A din PNA 2025-2029 aferentă </w:t>
            </w:r>
            <w:r w:rsidR="005A2844" w:rsidRPr="009E686F">
              <w:rPr>
                <w:rFonts w:ascii="Times New Roman" w:eastAsia="Times New Roman" w:hAnsi="Times New Roman" w:cs="Times New Roman"/>
                <w:bCs/>
                <w:lang w:val="it-CH" w:eastAsia="ru-RU"/>
              </w:rPr>
              <w:lastRenderedPageBreak/>
              <w:t>Capitolului 9 “Servicii financiare” în legătură cu transpunerea Directivei 2013/36/UE).</w:t>
            </w:r>
          </w:p>
          <w:p w14:paraId="62AAB41F" w14:textId="171F9BF1" w:rsidR="002F47A0" w:rsidRPr="009E686F" w:rsidRDefault="002F47A0" w:rsidP="002F47A0">
            <w:pPr>
              <w:jc w:val="both"/>
              <w:rPr>
                <w:rFonts w:ascii="Times New Roman" w:hAnsi="Times New Roman" w:cs="Times New Roman"/>
                <w:lang w:val="it-CH"/>
              </w:rPr>
            </w:pPr>
          </w:p>
        </w:tc>
      </w:tr>
      <w:tr w:rsidR="002F47A0" w:rsidRPr="009E686F" w14:paraId="7AFC4AD4" w14:textId="160869F5" w:rsidTr="00774F3E">
        <w:tc>
          <w:tcPr>
            <w:tcW w:w="1796" w:type="pct"/>
            <w:gridSpan w:val="2"/>
            <w:tcBorders>
              <w:top w:val="single" w:sz="4" w:space="0" w:color="auto"/>
              <w:left w:val="single" w:sz="4" w:space="0" w:color="auto"/>
              <w:bottom w:val="single" w:sz="4" w:space="0" w:color="auto"/>
              <w:right w:val="single" w:sz="4" w:space="0" w:color="auto"/>
            </w:tcBorders>
          </w:tcPr>
          <w:p w14:paraId="4EEA2150" w14:textId="77777777" w:rsidR="002F47A0" w:rsidRPr="009E686F" w:rsidRDefault="002F47A0" w:rsidP="002F47A0">
            <w:pPr>
              <w:spacing w:after="0"/>
              <w:jc w:val="both"/>
              <w:rPr>
                <w:rFonts w:ascii="Times New Roman" w:hAnsi="Times New Roman" w:cs="Times New Roman"/>
                <w:i/>
                <w:iCs/>
                <w:lang w:val="ro-RO"/>
              </w:rPr>
            </w:pPr>
            <w:r w:rsidRPr="009E686F">
              <w:rPr>
                <w:rFonts w:ascii="Times New Roman" w:hAnsi="Times New Roman" w:cs="Times New Roman"/>
                <w:i/>
                <w:iCs/>
                <w:lang w:val="ro-RO"/>
              </w:rPr>
              <w:lastRenderedPageBreak/>
              <w:t xml:space="preserve">Articolul 82 </w:t>
            </w:r>
          </w:p>
          <w:p w14:paraId="548083BD"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 xml:space="preserve">Riscul din securitizare </w:t>
            </w:r>
          </w:p>
          <w:p w14:paraId="0D4BEAE4" w14:textId="77777777" w:rsidR="002F47A0" w:rsidRPr="009E686F" w:rsidRDefault="002F47A0" w:rsidP="002F47A0">
            <w:pPr>
              <w:spacing w:after="0"/>
              <w:jc w:val="both"/>
              <w:rPr>
                <w:rFonts w:ascii="Times New Roman" w:hAnsi="Times New Roman" w:cs="Times New Roman"/>
                <w:lang w:val="ro-RO"/>
              </w:rPr>
            </w:pPr>
          </w:p>
          <w:p w14:paraId="37A7F436" w14:textId="614ACA9E"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 xml:space="preserve">(1) Autoritățile competente se asigură că riscurile care decurg din tranzacții de securitizare în care </w:t>
            </w:r>
            <w:r w:rsidRPr="009E686F">
              <w:rPr>
                <w:rFonts w:ascii="Times New Roman" w:hAnsi="Times New Roman" w:cs="Times New Roman"/>
                <w:i/>
                <w:iCs/>
                <w:lang w:val="ro-RO"/>
              </w:rPr>
              <w:t>instituțiile de credit</w:t>
            </w:r>
            <w:r w:rsidRPr="009E686F">
              <w:rPr>
                <w:rFonts w:ascii="Times New Roman" w:hAnsi="Times New Roman" w:cs="Times New Roman"/>
                <w:lang w:val="ro-RO"/>
              </w:rPr>
              <w:t xml:space="preserve"> au calitatea de investitor, inițiator sau sponsor, inclusiv riscurile reputaționale (care apar în cazul structurilor sau produselor complexe), sunt evaluate și abordate pe baza unor politici și proceduri adecvate pentru a garanta că structura economică a tranzacției este integral reflectată în deciziile de evaluare și gestionare a riscurilor.</w:t>
            </w:r>
          </w:p>
        </w:tc>
        <w:tc>
          <w:tcPr>
            <w:tcW w:w="1928" w:type="pct"/>
            <w:gridSpan w:val="3"/>
            <w:tcBorders>
              <w:top w:val="single" w:sz="4" w:space="0" w:color="auto"/>
              <w:left w:val="single" w:sz="4" w:space="0" w:color="auto"/>
              <w:bottom w:val="single" w:sz="4" w:space="0" w:color="auto"/>
              <w:right w:val="single" w:sz="4" w:space="0" w:color="auto"/>
            </w:tcBorders>
          </w:tcPr>
          <w:p w14:paraId="528BB15B"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(4) În sensul alin. (1)-(3), sunt avute în vedere riscuri precum: riscul de credit şi al contrapărții,</w:t>
            </w:r>
            <w:r w:rsidRPr="009E686F">
              <w:rPr>
                <w:rFonts w:ascii="Times New Roman" w:hAnsi="Times New Roman" w:cs="Times New Roman"/>
                <w:b/>
                <w:lang w:val="ro-RO"/>
              </w:rPr>
              <w:t xml:space="preserve"> </w:t>
            </w:r>
            <w:r w:rsidRPr="009E686F">
              <w:rPr>
                <w:rFonts w:ascii="Times New Roman" w:hAnsi="Times New Roman" w:cs="Times New Roman"/>
                <w:lang w:val="ro-RO"/>
              </w:rPr>
              <w:t xml:space="preserve">riscul rezidual, </w:t>
            </w:r>
            <w:r w:rsidRPr="009E686F">
              <w:rPr>
                <w:rFonts w:ascii="Times New Roman" w:hAnsi="Times New Roman" w:cs="Times New Roman"/>
                <w:bCs/>
                <w:lang w:val="ro-RO"/>
              </w:rPr>
              <w:t>riscul de concentrare,</w:t>
            </w:r>
            <w:r w:rsidRPr="009E686F">
              <w:rPr>
                <w:rFonts w:ascii="Times New Roman" w:hAnsi="Times New Roman" w:cs="Times New Roman"/>
                <w:lang w:val="ro-RO"/>
              </w:rPr>
              <w:t xml:space="preserve"> </w:t>
            </w:r>
            <w:r w:rsidRPr="009E686F">
              <w:rPr>
                <w:rFonts w:ascii="Times New Roman" w:hAnsi="Times New Roman" w:cs="Times New Roman"/>
                <w:b/>
                <w:bCs/>
                <w:lang w:val="ro-RO"/>
              </w:rPr>
              <w:t>riscul de securitizare,</w:t>
            </w:r>
            <w:r w:rsidRPr="009E686F">
              <w:rPr>
                <w:rFonts w:ascii="Times New Roman" w:hAnsi="Times New Roman" w:cs="Times New Roman"/>
                <w:lang w:val="ro-RO"/>
              </w:rPr>
              <w:t xml:space="preserve"> riscul de piață, riscul de rată a dobânzii din activități în afara portofoliului de tranzacționare, riscul operațional, care include și riscul denaturării securității și integrității sistemelor informaționale, riscul de lichiditate şi riscul efectului de levier excesiv, precum și, după caz, subcategorii ale acestor riscuri.</w:t>
            </w:r>
          </w:p>
          <w:p w14:paraId="4B48FDC3" w14:textId="77777777" w:rsidR="002F47A0" w:rsidRPr="009E686F" w:rsidRDefault="002F47A0" w:rsidP="002F47A0">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509D2D45" w14:textId="11AAE904"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Parțial compatibil</w:t>
            </w:r>
          </w:p>
          <w:p w14:paraId="4A3C00EC" w14:textId="10FFD43D" w:rsidR="002F47A0" w:rsidRPr="009E686F" w:rsidRDefault="002F47A0" w:rsidP="002F47A0">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467E2739" w14:textId="77777777" w:rsidR="005A2844" w:rsidRPr="009E686F" w:rsidRDefault="002F47A0" w:rsidP="005A2844">
            <w:pPr>
              <w:spacing w:line="240" w:lineRule="auto"/>
              <w:jc w:val="both"/>
              <w:rPr>
                <w:lang w:val="it-CH"/>
              </w:rPr>
            </w:pPr>
            <w:r w:rsidRPr="009E686F">
              <w:rPr>
                <w:rFonts w:ascii="Times New Roman" w:hAnsi="Times New Roman" w:cs="Times New Roman"/>
                <w:lang w:val="ro-RO"/>
              </w:rPr>
              <w:t>Se vor regăsi în proiectul de modificare a Regulamentului nr. 322/2018</w:t>
            </w:r>
            <w:r w:rsidR="005A2844" w:rsidRPr="009E686F">
              <w:rPr>
                <w:rFonts w:ascii="Times New Roman" w:hAnsi="Times New Roman" w:cs="Times New Roman"/>
                <w:lang w:val="ro-RO"/>
              </w:rPr>
              <w:t xml:space="preserve"> (</w:t>
            </w:r>
            <w:r w:rsidR="005A2844" w:rsidRPr="009E686F">
              <w:rPr>
                <w:rFonts w:ascii="Times New Roman" w:eastAsia="Times New Roman" w:hAnsi="Times New Roman" w:cs="Times New Roman"/>
                <w:bCs/>
                <w:lang w:val="it-CH" w:eastAsia="ru-RU"/>
              </w:rPr>
              <w:t>acțiunea normativă nr. 2 din Anexa A din PNA 2025-2029 aferentă Capitolului 9 “Servicii financiare” în legătură cu transpunerea Directivei 2013/36/UE).</w:t>
            </w:r>
          </w:p>
          <w:p w14:paraId="73768D06" w14:textId="70B39FA7" w:rsidR="002F47A0" w:rsidRPr="009E686F" w:rsidRDefault="002F47A0" w:rsidP="002F47A0">
            <w:pPr>
              <w:jc w:val="both"/>
              <w:rPr>
                <w:rFonts w:ascii="Times New Roman" w:hAnsi="Times New Roman" w:cs="Times New Roman"/>
                <w:lang w:val="ro-RO"/>
              </w:rPr>
            </w:pPr>
          </w:p>
        </w:tc>
      </w:tr>
      <w:tr w:rsidR="002F47A0" w:rsidRPr="009E686F" w14:paraId="3570A4AB" w14:textId="2C416419" w:rsidTr="00774F3E">
        <w:tc>
          <w:tcPr>
            <w:tcW w:w="1796" w:type="pct"/>
            <w:gridSpan w:val="2"/>
            <w:tcBorders>
              <w:top w:val="single" w:sz="4" w:space="0" w:color="auto"/>
              <w:left w:val="single" w:sz="4" w:space="0" w:color="auto"/>
              <w:bottom w:val="single" w:sz="4" w:space="0" w:color="auto"/>
              <w:right w:val="single" w:sz="4" w:space="0" w:color="auto"/>
            </w:tcBorders>
          </w:tcPr>
          <w:p w14:paraId="25410445" w14:textId="659BA864"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 xml:space="preserve">(2) Autoritățile competente se asigură că instituțiile care sunt inițiatoare de tranzacții de securitizare care se reînnoiesc și au clauze de rambursare anticipată dispun de </w:t>
            </w:r>
            <w:r w:rsidRPr="009E686F">
              <w:rPr>
                <w:rFonts w:ascii="Times New Roman" w:hAnsi="Times New Roman" w:cs="Times New Roman"/>
                <w:lang w:val="ro-RO"/>
              </w:rPr>
              <w:lastRenderedPageBreak/>
              <w:t>programe de lichidități privind atât rambursarea planificată, cât și rambursarea anticipată.</w:t>
            </w:r>
          </w:p>
        </w:tc>
        <w:tc>
          <w:tcPr>
            <w:tcW w:w="1928" w:type="pct"/>
            <w:gridSpan w:val="3"/>
            <w:tcBorders>
              <w:top w:val="single" w:sz="4" w:space="0" w:color="auto"/>
              <w:left w:val="single" w:sz="4" w:space="0" w:color="auto"/>
              <w:bottom w:val="single" w:sz="4" w:space="0" w:color="auto"/>
              <w:right w:val="single" w:sz="4" w:space="0" w:color="auto"/>
            </w:tcBorders>
          </w:tcPr>
          <w:p w14:paraId="1C38726F" w14:textId="77777777" w:rsidR="002F47A0" w:rsidRPr="009E686F" w:rsidRDefault="002F47A0" w:rsidP="002F47A0">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6556BBA4" w14:textId="3C4B0014"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Norme UE netranspuse</w:t>
            </w:r>
          </w:p>
          <w:p w14:paraId="3C8AD741" w14:textId="15E728E3" w:rsidR="002F47A0" w:rsidRPr="009E686F" w:rsidRDefault="002F47A0" w:rsidP="002F47A0">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74CE0F4D" w14:textId="77777777" w:rsidR="005A2844" w:rsidRPr="009E686F" w:rsidRDefault="002F47A0" w:rsidP="005A2844">
            <w:pPr>
              <w:spacing w:line="240" w:lineRule="auto"/>
              <w:jc w:val="both"/>
              <w:rPr>
                <w:lang w:val="it-CH"/>
              </w:rPr>
            </w:pPr>
            <w:r w:rsidRPr="009E686F">
              <w:rPr>
                <w:rFonts w:ascii="Times New Roman" w:hAnsi="Times New Roman" w:cs="Times New Roman"/>
                <w:lang w:val="ro-RO"/>
              </w:rPr>
              <w:t>Se vor regăsi în proiectul de modificare a Regulamentului nr. 322/2018</w:t>
            </w:r>
            <w:r w:rsidR="005A2844" w:rsidRPr="009E686F">
              <w:rPr>
                <w:rFonts w:ascii="Times New Roman" w:hAnsi="Times New Roman" w:cs="Times New Roman"/>
                <w:lang w:val="ro-RO"/>
              </w:rPr>
              <w:t xml:space="preserve"> (</w:t>
            </w:r>
            <w:r w:rsidR="005A2844" w:rsidRPr="009E686F">
              <w:rPr>
                <w:rFonts w:ascii="Times New Roman" w:eastAsia="Times New Roman" w:hAnsi="Times New Roman" w:cs="Times New Roman"/>
                <w:bCs/>
                <w:lang w:val="it-CH" w:eastAsia="ru-RU"/>
              </w:rPr>
              <w:t xml:space="preserve">acțiunea normativă nr. 2 din </w:t>
            </w:r>
            <w:r w:rsidR="005A2844" w:rsidRPr="009E686F">
              <w:rPr>
                <w:rFonts w:ascii="Times New Roman" w:eastAsia="Times New Roman" w:hAnsi="Times New Roman" w:cs="Times New Roman"/>
                <w:bCs/>
                <w:lang w:val="it-CH" w:eastAsia="ru-RU"/>
              </w:rPr>
              <w:lastRenderedPageBreak/>
              <w:t>Anexa A din PNA 2025-2029 aferentă Capitolului 9 “Servicii financiare” în legătură cu transpunerea Directivei 2013/36/UE).</w:t>
            </w:r>
          </w:p>
          <w:p w14:paraId="5DDEE25A" w14:textId="202DFA1B" w:rsidR="002F47A0" w:rsidRPr="009E686F" w:rsidRDefault="002F47A0" w:rsidP="002F47A0">
            <w:pPr>
              <w:jc w:val="both"/>
              <w:rPr>
                <w:rFonts w:ascii="Times New Roman" w:hAnsi="Times New Roman" w:cs="Times New Roman"/>
                <w:lang w:val="it-CH"/>
              </w:rPr>
            </w:pPr>
          </w:p>
        </w:tc>
      </w:tr>
      <w:tr w:rsidR="002F47A0" w:rsidRPr="009E686F" w14:paraId="242C9928" w14:textId="04FF18EF" w:rsidTr="00774F3E">
        <w:tc>
          <w:tcPr>
            <w:tcW w:w="1796" w:type="pct"/>
            <w:gridSpan w:val="2"/>
            <w:tcBorders>
              <w:top w:val="single" w:sz="4" w:space="0" w:color="auto"/>
              <w:left w:val="single" w:sz="4" w:space="0" w:color="auto"/>
              <w:bottom w:val="single" w:sz="4" w:space="0" w:color="auto"/>
              <w:right w:val="single" w:sz="4" w:space="0" w:color="auto"/>
            </w:tcBorders>
          </w:tcPr>
          <w:p w14:paraId="0055B8B2" w14:textId="77777777" w:rsidR="002F47A0" w:rsidRPr="009E686F" w:rsidRDefault="002F47A0" w:rsidP="002F47A0">
            <w:pPr>
              <w:spacing w:after="0"/>
              <w:jc w:val="both"/>
              <w:rPr>
                <w:rFonts w:ascii="Times New Roman" w:hAnsi="Times New Roman" w:cs="Times New Roman"/>
                <w:i/>
                <w:iCs/>
                <w:lang w:val="ro-RO"/>
              </w:rPr>
            </w:pPr>
            <w:r w:rsidRPr="009E686F">
              <w:rPr>
                <w:rFonts w:ascii="Times New Roman" w:hAnsi="Times New Roman" w:cs="Times New Roman"/>
                <w:i/>
                <w:iCs/>
                <w:lang w:val="ro-RO"/>
              </w:rPr>
              <w:lastRenderedPageBreak/>
              <w:t xml:space="preserve">Articolul 83 </w:t>
            </w:r>
          </w:p>
          <w:p w14:paraId="25003212" w14:textId="07270E21"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Riscul de piață</w:t>
            </w:r>
          </w:p>
        </w:tc>
        <w:tc>
          <w:tcPr>
            <w:tcW w:w="1928" w:type="pct"/>
            <w:gridSpan w:val="3"/>
            <w:tcBorders>
              <w:top w:val="single" w:sz="4" w:space="0" w:color="auto"/>
              <w:left w:val="single" w:sz="4" w:space="0" w:color="auto"/>
              <w:bottom w:val="single" w:sz="4" w:space="0" w:color="auto"/>
              <w:right w:val="single" w:sz="4" w:space="0" w:color="auto"/>
            </w:tcBorders>
          </w:tcPr>
          <w:p w14:paraId="3E07DF82"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(4) În sensul alin. (1)-(3), sunt avute în vedere riscuri precum: riscul de credit şi al contrapărții,</w:t>
            </w:r>
            <w:r w:rsidRPr="009E686F">
              <w:rPr>
                <w:rFonts w:ascii="Times New Roman" w:hAnsi="Times New Roman" w:cs="Times New Roman"/>
                <w:b/>
                <w:lang w:val="ro-RO"/>
              </w:rPr>
              <w:t xml:space="preserve"> </w:t>
            </w:r>
            <w:r w:rsidRPr="009E686F">
              <w:rPr>
                <w:rFonts w:ascii="Times New Roman" w:hAnsi="Times New Roman" w:cs="Times New Roman"/>
                <w:lang w:val="ro-RO"/>
              </w:rPr>
              <w:t xml:space="preserve">riscul rezidual, riscul de concentrare, riscul de securitizare, </w:t>
            </w:r>
            <w:r w:rsidRPr="009E686F">
              <w:rPr>
                <w:rFonts w:ascii="Times New Roman" w:hAnsi="Times New Roman" w:cs="Times New Roman"/>
                <w:b/>
                <w:lang w:val="ro-RO"/>
              </w:rPr>
              <w:t>riscul de piață</w:t>
            </w:r>
            <w:r w:rsidRPr="009E686F">
              <w:rPr>
                <w:rFonts w:ascii="Times New Roman" w:hAnsi="Times New Roman" w:cs="Times New Roman"/>
                <w:lang w:val="ro-RO"/>
              </w:rPr>
              <w:t>, riscul de rată a dobânzii din activități în afara portofoliului de tranzacționare, riscul operațional, care include și riscul denaturării securității și integrității sistemelor informaționale, riscul de lichiditate şi riscul efectului de levier excesiv, precum și, după caz, subcategorii ale acestor riscuri.</w:t>
            </w:r>
          </w:p>
        </w:tc>
        <w:tc>
          <w:tcPr>
            <w:tcW w:w="470" w:type="pct"/>
            <w:tcBorders>
              <w:top w:val="single" w:sz="4" w:space="0" w:color="auto"/>
              <w:left w:val="single" w:sz="4" w:space="0" w:color="auto"/>
              <w:bottom w:val="single" w:sz="4" w:space="0" w:color="auto"/>
              <w:right w:val="single" w:sz="4" w:space="0" w:color="auto"/>
            </w:tcBorders>
          </w:tcPr>
          <w:p w14:paraId="4F16439C" w14:textId="2818AD00"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3BD7235D" w14:textId="77777777" w:rsidR="002F47A0" w:rsidRPr="009E686F" w:rsidRDefault="002F47A0" w:rsidP="002F47A0">
            <w:pPr>
              <w:jc w:val="both"/>
              <w:rPr>
                <w:rFonts w:ascii="Times New Roman" w:hAnsi="Times New Roman" w:cs="Times New Roman"/>
                <w:lang w:val="ro-RO"/>
              </w:rPr>
            </w:pPr>
          </w:p>
        </w:tc>
      </w:tr>
      <w:tr w:rsidR="002F47A0" w:rsidRPr="009E686F" w14:paraId="71BB3DCA" w14:textId="572CF4D6" w:rsidTr="00774F3E">
        <w:tc>
          <w:tcPr>
            <w:tcW w:w="1796" w:type="pct"/>
            <w:gridSpan w:val="2"/>
            <w:tcBorders>
              <w:top w:val="single" w:sz="4" w:space="0" w:color="auto"/>
              <w:left w:val="single" w:sz="4" w:space="0" w:color="auto"/>
              <w:bottom w:val="single" w:sz="4" w:space="0" w:color="auto"/>
              <w:right w:val="single" w:sz="4" w:space="0" w:color="auto"/>
            </w:tcBorders>
          </w:tcPr>
          <w:p w14:paraId="340BB494" w14:textId="7E40C940"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(1)Autoritățile competente se asigură că se pun în aplicare politici și procese pentru identificarea, măsurarea și administrarea tuturor surselor și efectelor semnificative ale riscurilor de piață.</w:t>
            </w:r>
          </w:p>
        </w:tc>
        <w:tc>
          <w:tcPr>
            <w:tcW w:w="1928" w:type="pct"/>
            <w:gridSpan w:val="3"/>
            <w:tcBorders>
              <w:top w:val="single" w:sz="4" w:space="0" w:color="auto"/>
              <w:left w:val="single" w:sz="4" w:space="0" w:color="auto"/>
              <w:bottom w:val="single" w:sz="4" w:space="0" w:color="auto"/>
              <w:right w:val="single" w:sz="4" w:space="0" w:color="auto"/>
            </w:tcBorders>
          </w:tcPr>
          <w:p w14:paraId="024FA5CC" w14:textId="5AD5D1B8" w:rsidR="002F47A0" w:rsidRPr="009E686F" w:rsidRDefault="002F47A0" w:rsidP="002F47A0">
            <w:pPr>
              <w:spacing w:after="0"/>
              <w:jc w:val="both"/>
              <w:rPr>
                <w:rFonts w:ascii="Times New Roman" w:hAnsi="Times New Roman" w:cs="Times New Roman"/>
                <w:b/>
                <w:bCs/>
                <w:lang w:val="ro-RO"/>
              </w:rPr>
            </w:pPr>
            <w:r w:rsidRPr="009E686F">
              <w:rPr>
                <w:rFonts w:ascii="Times New Roman" w:hAnsi="Times New Roman" w:cs="Times New Roman"/>
                <w:b/>
                <w:bCs/>
                <w:lang w:val="pt-BR"/>
              </w:rPr>
              <w:t>Pct. 248 din Regulamentul privind cadrul de administrare a activităţii băncilor, aprobat prin HCE nr. 322  din  20.12.2018</w:t>
            </w:r>
          </w:p>
          <w:p w14:paraId="0688C6D0" w14:textId="4408025E" w:rsidR="002F47A0" w:rsidRPr="009E686F" w:rsidRDefault="002F47A0" w:rsidP="002F47A0">
            <w:pPr>
              <w:spacing w:after="0"/>
              <w:jc w:val="both"/>
              <w:rPr>
                <w:rFonts w:ascii="Times New Roman" w:hAnsi="Times New Roman" w:cs="Times New Roman"/>
                <w:bCs/>
                <w:lang w:val="ro-RO"/>
              </w:rPr>
            </w:pPr>
            <w:r w:rsidRPr="009E686F">
              <w:rPr>
                <w:rFonts w:ascii="Times New Roman" w:hAnsi="Times New Roman" w:cs="Times New Roman"/>
                <w:bCs/>
                <w:lang w:val="ro-RO"/>
              </w:rPr>
              <w:t>248. Banca va dispune de politici adecvate care să descrie în mod clar rolurile şi responsabilităţile legate de identificarea, evaluarea, monitorizarea şi controlul riscului de piaţă.</w:t>
            </w:r>
          </w:p>
          <w:p w14:paraId="75389F48" w14:textId="6F5C53CE" w:rsidR="002F47A0" w:rsidRPr="009E686F" w:rsidRDefault="002F47A0" w:rsidP="002F47A0">
            <w:pPr>
              <w:spacing w:after="0"/>
              <w:jc w:val="both"/>
              <w:rPr>
                <w:rFonts w:ascii="Times New Roman" w:hAnsi="Times New Roman" w:cs="Times New Roman"/>
                <w:bCs/>
                <w:lang w:val="ro-RO"/>
              </w:rPr>
            </w:pPr>
          </w:p>
        </w:tc>
        <w:tc>
          <w:tcPr>
            <w:tcW w:w="470" w:type="pct"/>
            <w:tcBorders>
              <w:top w:val="single" w:sz="4" w:space="0" w:color="auto"/>
              <w:left w:val="single" w:sz="4" w:space="0" w:color="auto"/>
              <w:bottom w:val="single" w:sz="4" w:space="0" w:color="auto"/>
              <w:right w:val="single" w:sz="4" w:space="0" w:color="auto"/>
            </w:tcBorders>
          </w:tcPr>
          <w:p w14:paraId="096564F6" w14:textId="2691FE92"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p w14:paraId="184387BE" w14:textId="18C582B3" w:rsidR="002F47A0" w:rsidRPr="009E686F" w:rsidRDefault="002F47A0" w:rsidP="002F47A0">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5B1E2FCE" w14:textId="77777777" w:rsidR="002F47A0" w:rsidRPr="009E686F" w:rsidRDefault="002F47A0" w:rsidP="002F47A0">
            <w:pPr>
              <w:jc w:val="both"/>
              <w:rPr>
                <w:rFonts w:ascii="Times New Roman" w:hAnsi="Times New Roman" w:cs="Times New Roman"/>
                <w:lang w:val="ro-RO"/>
              </w:rPr>
            </w:pPr>
          </w:p>
        </w:tc>
      </w:tr>
      <w:tr w:rsidR="002F47A0" w:rsidRPr="009E686F" w14:paraId="0651033E" w14:textId="53759C6C" w:rsidTr="00774F3E">
        <w:tc>
          <w:tcPr>
            <w:tcW w:w="1796" w:type="pct"/>
            <w:gridSpan w:val="2"/>
            <w:tcBorders>
              <w:top w:val="single" w:sz="4" w:space="0" w:color="auto"/>
              <w:left w:val="single" w:sz="4" w:space="0" w:color="auto"/>
              <w:bottom w:val="single" w:sz="4" w:space="0" w:color="auto"/>
              <w:right w:val="single" w:sz="4" w:space="0" w:color="auto"/>
            </w:tcBorders>
          </w:tcPr>
          <w:p w14:paraId="71675F56" w14:textId="257FEE03"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(2) Autoritățile competente se asigură că, atunci când poziția scurtă devine scadentă înaintea poziției lungi, instituțiile iau de asemenea măsuri împotriva riscului de lipsă de lichidități.</w:t>
            </w:r>
          </w:p>
        </w:tc>
        <w:tc>
          <w:tcPr>
            <w:tcW w:w="1928" w:type="pct"/>
            <w:gridSpan w:val="3"/>
            <w:tcBorders>
              <w:top w:val="single" w:sz="4" w:space="0" w:color="auto"/>
              <w:left w:val="single" w:sz="4" w:space="0" w:color="auto"/>
              <w:bottom w:val="single" w:sz="4" w:space="0" w:color="auto"/>
              <w:right w:val="single" w:sz="4" w:space="0" w:color="auto"/>
            </w:tcBorders>
          </w:tcPr>
          <w:p w14:paraId="69ADA3C6" w14:textId="78B81CF7" w:rsidR="002F47A0" w:rsidRPr="009E686F" w:rsidRDefault="002F47A0" w:rsidP="002F47A0">
            <w:pPr>
              <w:spacing w:after="0"/>
              <w:jc w:val="both"/>
              <w:rPr>
                <w:rFonts w:ascii="Times New Roman" w:hAnsi="Times New Roman" w:cs="Times New Roman"/>
                <w:b/>
                <w:bCs/>
                <w:lang w:val="ro-RO"/>
              </w:rPr>
            </w:pPr>
            <w:r w:rsidRPr="009E686F">
              <w:rPr>
                <w:rFonts w:ascii="Times New Roman" w:hAnsi="Times New Roman" w:cs="Times New Roman"/>
                <w:b/>
                <w:bCs/>
                <w:lang w:val="pt-BR"/>
              </w:rPr>
              <w:t>Pct. 293 și 295 din Regulamentul privind cadrul de administrare a activităţii băncilor, aprobat prin HCE nr. 322  din  20.12.2018</w:t>
            </w:r>
          </w:p>
          <w:p w14:paraId="0A53EDB7" w14:textId="3160CD38" w:rsidR="002F47A0" w:rsidRPr="009E686F" w:rsidRDefault="002F47A0" w:rsidP="002F47A0">
            <w:pPr>
              <w:spacing w:after="0"/>
              <w:jc w:val="both"/>
              <w:rPr>
                <w:rFonts w:ascii="Times New Roman" w:hAnsi="Times New Roman" w:cs="Times New Roman"/>
                <w:bCs/>
                <w:lang w:val="ro-RO"/>
              </w:rPr>
            </w:pPr>
            <w:r w:rsidRPr="009E686F">
              <w:rPr>
                <w:rFonts w:ascii="Times New Roman" w:hAnsi="Times New Roman" w:cs="Times New Roman"/>
                <w:bCs/>
                <w:lang w:val="ro-RO"/>
              </w:rPr>
              <w:t>293. Riscul de lichiditate va fi administrat de către bancă pentru toate activele şi pasivele în moneda naţională şi în valută, inclusiv cele ataşate la cursul valutei, din bilanţul contabil şi din afara bilanţului contabil, precum şi luând în calcul toate riscurile complementare (care derivă).</w:t>
            </w:r>
          </w:p>
          <w:p w14:paraId="2E3BAFB1"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bCs/>
                <w:lang w:val="ro-RO"/>
              </w:rPr>
              <w:lastRenderedPageBreak/>
              <w:t>295. Politica băncii privind riscul de lichiditate va include, cel puţin, cerinţe privind:</w:t>
            </w:r>
            <w:r w:rsidRPr="009E686F">
              <w:rPr>
                <w:rFonts w:ascii="Times New Roman" w:hAnsi="Times New Roman" w:cs="Times New Roman"/>
                <w:lang w:val="ro-RO"/>
              </w:rPr>
              <w:t xml:space="preserve"> </w:t>
            </w:r>
          </w:p>
          <w:p w14:paraId="6908F1ED" w14:textId="77777777" w:rsidR="002F47A0" w:rsidRPr="009E686F" w:rsidRDefault="002F47A0" w:rsidP="002F47A0">
            <w:pPr>
              <w:spacing w:after="0"/>
              <w:jc w:val="both"/>
              <w:rPr>
                <w:rFonts w:ascii="Times New Roman" w:hAnsi="Times New Roman" w:cs="Times New Roman"/>
                <w:lang w:val="it-CH"/>
              </w:rPr>
            </w:pPr>
            <w:r w:rsidRPr="009E686F">
              <w:rPr>
                <w:rFonts w:ascii="Times New Roman" w:hAnsi="Times New Roman" w:cs="Times New Roman"/>
                <w:lang w:val="it-CH"/>
              </w:rPr>
              <w:t>[...]</w:t>
            </w:r>
          </w:p>
          <w:p w14:paraId="6E227994" w14:textId="2F1F90F6" w:rsidR="002F47A0" w:rsidRPr="009E686F" w:rsidRDefault="002F47A0" w:rsidP="002F47A0">
            <w:pPr>
              <w:spacing w:after="0"/>
              <w:jc w:val="both"/>
              <w:rPr>
                <w:rFonts w:ascii="Times New Roman" w:hAnsi="Times New Roman" w:cs="Times New Roman"/>
                <w:bCs/>
                <w:lang w:val="ro-RO"/>
              </w:rPr>
            </w:pPr>
            <w:r w:rsidRPr="009E686F">
              <w:rPr>
                <w:rFonts w:ascii="Times New Roman" w:hAnsi="Times New Roman" w:cs="Times New Roman"/>
                <w:bCs/>
                <w:lang w:val="ro-RO"/>
              </w:rPr>
              <w:t>2) procedurile pentru identificarea, evaluarea şi monitorizarea poziţiilor de lichiditate, inclusiv ţinând cont de limitele stabilite.</w:t>
            </w:r>
          </w:p>
          <w:p w14:paraId="06D49D21" w14:textId="18207CCF" w:rsidR="002F47A0" w:rsidRPr="009E686F" w:rsidRDefault="002F47A0" w:rsidP="002F47A0">
            <w:pPr>
              <w:spacing w:after="0"/>
              <w:jc w:val="both"/>
              <w:rPr>
                <w:rFonts w:ascii="Times New Roman" w:hAnsi="Times New Roman" w:cs="Times New Roman"/>
                <w:bCs/>
                <w:lang w:val="ro-RO"/>
              </w:rPr>
            </w:pPr>
          </w:p>
        </w:tc>
        <w:tc>
          <w:tcPr>
            <w:tcW w:w="470" w:type="pct"/>
            <w:tcBorders>
              <w:top w:val="single" w:sz="4" w:space="0" w:color="auto"/>
              <w:left w:val="single" w:sz="4" w:space="0" w:color="auto"/>
              <w:bottom w:val="single" w:sz="4" w:space="0" w:color="auto"/>
              <w:right w:val="single" w:sz="4" w:space="0" w:color="auto"/>
            </w:tcBorders>
          </w:tcPr>
          <w:p w14:paraId="4F930E0A" w14:textId="24E1CEA0"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lastRenderedPageBreak/>
              <w:t xml:space="preserve">Parțial compatibil </w:t>
            </w:r>
          </w:p>
          <w:p w14:paraId="259CAACB" w14:textId="39B3D28F" w:rsidR="002F47A0" w:rsidRPr="009E686F" w:rsidRDefault="002F47A0" w:rsidP="002F47A0">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22D2ED0A" w14:textId="77777777" w:rsidR="005A2844" w:rsidRPr="009E686F" w:rsidRDefault="002F47A0" w:rsidP="005A2844">
            <w:pPr>
              <w:spacing w:line="240" w:lineRule="auto"/>
              <w:jc w:val="both"/>
              <w:rPr>
                <w:lang w:val="it-CH"/>
              </w:rPr>
            </w:pPr>
            <w:r w:rsidRPr="009E686F">
              <w:rPr>
                <w:rFonts w:ascii="Times New Roman" w:hAnsi="Times New Roman" w:cs="Times New Roman"/>
                <w:lang w:val="ro-RO"/>
              </w:rPr>
              <w:t>Transpunerea totală se va asigura prin proiectul de modificare a Regulamentului nr. 322/2018</w:t>
            </w:r>
            <w:r w:rsidR="005A2844" w:rsidRPr="009E686F">
              <w:rPr>
                <w:rFonts w:ascii="Times New Roman" w:hAnsi="Times New Roman" w:cs="Times New Roman"/>
                <w:lang w:val="ro-RO"/>
              </w:rPr>
              <w:t xml:space="preserve"> (</w:t>
            </w:r>
            <w:r w:rsidR="005A2844" w:rsidRPr="009E686F">
              <w:rPr>
                <w:rFonts w:ascii="Times New Roman" w:eastAsia="Times New Roman" w:hAnsi="Times New Roman" w:cs="Times New Roman"/>
                <w:bCs/>
                <w:lang w:val="it-CH" w:eastAsia="ru-RU"/>
              </w:rPr>
              <w:t xml:space="preserve">acțiunea normativă nr. 2 din Anexa A din PNA 2025-2029 aferentă Capitolului 9 “Servicii financiare” în legătură cu </w:t>
            </w:r>
            <w:r w:rsidR="005A2844" w:rsidRPr="009E686F">
              <w:rPr>
                <w:rFonts w:ascii="Times New Roman" w:eastAsia="Times New Roman" w:hAnsi="Times New Roman" w:cs="Times New Roman"/>
                <w:bCs/>
                <w:lang w:val="it-CH" w:eastAsia="ru-RU"/>
              </w:rPr>
              <w:lastRenderedPageBreak/>
              <w:t>transpunerea Directivei 2013/36/UE).</w:t>
            </w:r>
          </w:p>
          <w:p w14:paraId="5D930870" w14:textId="10DC53E8" w:rsidR="002F47A0" w:rsidRPr="009E686F" w:rsidRDefault="002F47A0" w:rsidP="002F47A0">
            <w:pPr>
              <w:jc w:val="both"/>
              <w:rPr>
                <w:rFonts w:ascii="Times New Roman" w:hAnsi="Times New Roman" w:cs="Times New Roman"/>
                <w:lang w:val="ro-RO"/>
              </w:rPr>
            </w:pPr>
          </w:p>
        </w:tc>
      </w:tr>
      <w:tr w:rsidR="002F47A0" w:rsidRPr="009E686F" w14:paraId="3600C08A" w14:textId="03756B94" w:rsidTr="00774F3E">
        <w:tc>
          <w:tcPr>
            <w:tcW w:w="1796" w:type="pct"/>
            <w:gridSpan w:val="2"/>
            <w:tcBorders>
              <w:top w:val="single" w:sz="4" w:space="0" w:color="auto"/>
              <w:left w:val="single" w:sz="4" w:space="0" w:color="auto"/>
              <w:bottom w:val="single" w:sz="4" w:space="0" w:color="auto"/>
              <w:right w:val="single" w:sz="4" w:space="0" w:color="auto"/>
            </w:tcBorders>
          </w:tcPr>
          <w:p w14:paraId="4D0765D8" w14:textId="3D0CD5EC"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lastRenderedPageBreak/>
              <w:t>(3) Capitalul intern trebuie să fie adecvat la riscurile de piață importante care nu sunt supuse unei cerințe de fonduri proprii.</w:t>
            </w:r>
          </w:p>
        </w:tc>
        <w:tc>
          <w:tcPr>
            <w:tcW w:w="1928" w:type="pct"/>
            <w:gridSpan w:val="3"/>
            <w:tcBorders>
              <w:top w:val="single" w:sz="4" w:space="0" w:color="auto"/>
              <w:left w:val="single" w:sz="4" w:space="0" w:color="auto"/>
              <w:bottom w:val="single" w:sz="4" w:space="0" w:color="auto"/>
              <w:right w:val="single" w:sz="4" w:space="0" w:color="auto"/>
            </w:tcBorders>
          </w:tcPr>
          <w:p w14:paraId="59F307D7" w14:textId="40766617" w:rsidR="002F47A0" w:rsidRPr="009E686F" w:rsidRDefault="002F47A0" w:rsidP="002F47A0">
            <w:pPr>
              <w:spacing w:after="0"/>
              <w:jc w:val="both"/>
              <w:rPr>
                <w:rFonts w:ascii="Times New Roman" w:hAnsi="Times New Roman" w:cs="Times New Roman"/>
                <w:b/>
                <w:bCs/>
                <w:lang w:val="pt-BR"/>
              </w:rPr>
            </w:pPr>
            <w:r w:rsidRPr="009E686F">
              <w:rPr>
                <w:rFonts w:ascii="Times New Roman" w:hAnsi="Times New Roman" w:cs="Times New Roman"/>
                <w:b/>
                <w:bCs/>
                <w:lang w:val="pt-BR"/>
              </w:rPr>
              <w:t>Pct. 359 din Regulamentul privind cadrul de administrare a activităţii băncilor, aprobat prin HCE nr. 322  din  20.12.2018</w:t>
            </w:r>
          </w:p>
          <w:p w14:paraId="7D01642F" w14:textId="5224FBDD" w:rsidR="002F47A0" w:rsidRPr="009E686F" w:rsidRDefault="002F47A0" w:rsidP="002F47A0">
            <w:pPr>
              <w:spacing w:after="0"/>
              <w:jc w:val="both"/>
              <w:rPr>
                <w:rFonts w:ascii="Times New Roman" w:hAnsi="Times New Roman" w:cs="Times New Roman"/>
                <w:bCs/>
                <w:lang w:val="ro-RO"/>
              </w:rPr>
            </w:pPr>
            <w:r w:rsidRPr="009E686F">
              <w:rPr>
                <w:rFonts w:ascii="Times New Roman" w:hAnsi="Times New Roman" w:cs="Times New Roman"/>
                <w:bCs/>
                <w:lang w:val="ro-RO"/>
              </w:rPr>
              <w:t>359. Banca trebuie să stabilească, în mod clar, în cadrul procesului de evaluare a adecvării capitalului intern la riscuri, tipurile de riscuri, pentru care utilizează o abordare cantitativă în ceea ce priveşte evaluarea, administrarea şi diminuarea acestora şi cele pentru care utilizează o abordare calitativă a acestor aspecte.</w:t>
            </w:r>
          </w:p>
        </w:tc>
        <w:tc>
          <w:tcPr>
            <w:tcW w:w="470" w:type="pct"/>
            <w:tcBorders>
              <w:top w:val="single" w:sz="4" w:space="0" w:color="auto"/>
              <w:left w:val="single" w:sz="4" w:space="0" w:color="auto"/>
              <w:bottom w:val="single" w:sz="4" w:space="0" w:color="auto"/>
              <w:right w:val="single" w:sz="4" w:space="0" w:color="auto"/>
            </w:tcBorders>
          </w:tcPr>
          <w:p w14:paraId="415B03E7" w14:textId="67AF3BFB"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Parțial compatibil</w:t>
            </w:r>
          </w:p>
          <w:p w14:paraId="0622C03F" w14:textId="77777777" w:rsidR="002F47A0" w:rsidRPr="009E686F" w:rsidRDefault="002F47A0" w:rsidP="002F47A0">
            <w:pPr>
              <w:jc w:val="both"/>
              <w:rPr>
                <w:rFonts w:ascii="Times New Roman" w:hAnsi="Times New Roman" w:cs="Times New Roman"/>
                <w:lang w:val="ro-RO"/>
              </w:rPr>
            </w:pPr>
          </w:p>
          <w:p w14:paraId="396D6D24" w14:textId="6E922153" w:rsidR="002F47A0" w:rsidRPr="009E686F" w:rsidRDefault="002F47A0" w:rsidP="002F47A0">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0D0108B2" w14:textId="77777777" w:rsidR="005A2844" w:rsidRPr="009E686F" w:rsidRDefault="002F47A0" w:rsidP="005A2844">
            <w:pPr>
              <w:spacing w:line="240" w:lineRule="auto"/>
              <w:jc w:val="both"/>
              <w:rPr>
                <w:lang w:val="it-CH"/>
              </w:rPr>
            </w:pPr>
            <w:r w:rsidRPr="009E686F">
              <w:rPr>
                <w:rFonts w:ascii="Times New Roman" w:hAnsi="Times New Roman" w:cs="Times New Roman"/>
                <w:lang w:val="ro-RO"/>
              </w:rPr>
              <w:t>Transpunerea totală se va asigura prin proiectul de modificare a Regulamentului nr. 322/2018</w:t>
            </w:r>
            <w:r w:rsidR="005A2844" w:rsidRPr="009E686F">
              <w:rPr>
                <w:rFonts w:ascii="Times New Roman" w:hAnsi="Times New Roman" w:cs="Times New Roman"/>
                <w:lang w:val="ro-RO"/>
              </w:rPr>
              <w:t xml:space="preserve"> (</w:t>
            </w:r>
            <w:r w:rsidR="005A2844" w:rsidRPr="009E686F">
              <w:rPr>
                <w:rFonts w:ascii="Times New Roman" w:eastAsia="Times New Roman" w:hAnsi="Times New Roman" w:cs="Times New Roman"/>
                <w:bCs/>
                <w:lang w:val="it-CH" w:eastAsia="ru-RU"/>
              </w:rPr>
              <w:t>acțiunea normativă nr. 2 din Anexa A din PNA 2025-2029 aferentă Capitolului 9 “Servicii financiare” în legătură cu transpunerea Directivei 2013/36/UE).</w:t>
            </w:r>
          </w:p>
          <w:p w14:paraId="5B0A6F07" w14:textId="7BB755B3" w:rsidR="002F47A0" w:rsidRPr="009E686F" w:rsidRDefault="002F47A0" w:rsidP="002F47A0">
            <w:pPr>
              <w:jc w:val="both"/>
              <w:rPr>
                <w:rFonts w:ascii="Times New Roman" w:hAnsi="Times New Roman" w:cs="Times New Roman"/>
                <w:lang w:val="it-CH"/>
              </w:rPr>
            </w:pPr>
          </w:p>
        </w:tc>
      </w:tr>
      <w:tr w:rsidR="002F47A0" w:rsidRPr="009E686F" w14:paraId="2B7E00D8" w14:textId="60469CF8" w:rsidTr="00774F3E">
        <w:tc>
          <w:tcPr>
            <w:tcW w:w="1796" w:type="pct"/>
            <w:gridSpan w:val="2"/>
            <w:tcBorders>
              <w:top w:val="single" w:sz="4" w:space="0" w:color="auto"/>
              <w:left w:val="single" w:sz="4" w:space="0" w:color="auto"/>
              <w:bottom w:val="single" w:sz="4" w:space="0" w:color="auto"/>
              <w:right w:val="single" w:sz="4" w:space="0" w:color="auto"/>
            </w:tcBorders>
          </w:tcPr>
          <w:p w14:paraId="097BD4E7"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 xml:space="preserve">Instituțiile care, la calcularea cerințelor de fonduri proprii pentru riscul de poziție în conformitate cu partea a treia titlul IV capitolul 2 din Regulamentul (UE) nr. 575/2013, și-au compensat pozițiile pe una sau mai multe dintre acțiunile care compun un indice bursier cu una sau mai multe poziții pe contractul futures pe indici bursieri sau un alt instrument derivat bazat pe indici bursieri au un capital intern adecvat pentru a acoperi riscul de bază de pierderi cauzate de faptul că valoarea contractului futures sau a unui alt instrument derivat nu evoluează în deplină concordanță cu valoarea acțiunilor constituente; </w:t>
            </w:r>
          </w:p>
          <w:p w14:paraId="0AA1248E" w14:textId="60DFEC5F"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lastRenderedPageBreak/>
              <w:t>de asemenea, instituțiile dețin un astfel de capital intern corespunzător atunci când dețin poziții opuse pe contracte futures privind indici bursieri care nu sunt identice în ceea ce privește fie scadența ori structura lor, fie ambele.</w:t>
            </w:r>
          </w:p>
          <w:p w14:paraId="02904BEE" w14:textId="63040F36"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În cazul în care utilizează tratamentul prevăzut la articolul 345 din Regulamentul (UE) nr. 575/2013, instituțiile trebuie să se asigure că dețin un capital intern suficient pentru acoperirea riscului de pierdere care există între momentul angajamentului inițial și următoarea zi lucrătoare.</w:t>
            </w:r>
          </w:p>
        </w:tc>
        <w:tc>
          <w:tcPr>
            <w:tcW w:w="1928" w:type="pct"/>
            <w:gridSpan w:val="3"/>
            <w:tcBorders>
              <w:top w:val="single" w:sz="4" w:space="0" w:color="auto"/>
              <w:left w:val="single" w:sz="4" w:space="0" w:color="auto"/>
              <w:bottom w:val="single" w:sz="4" w:space="0" w:color="auto"/>
              <w:right w:val="single" w:sz="4" w:space="0" w:color="auto"/>
            </w:tcBorders>
          </w:tcPr>
          <w:p w14:paraId="2ACCE2C2" w14:textId="7A11AC15" w:rsidR="002F47A0" w:rsidRPr="009E686F" w:rsidRDefault="002F47A0" w:rsidP="002F47A0">
            <w:pPr>
              <w:spacing w:after="0"/>
              <w:jc w:val="both"/>
              <w:rPr>
                <w:rFonts w:ascii="Times New Roman" w:hAnsi="Times New Roman" w:cs="Times New Roman"/>
                <w:i/>
                <w:iCs/>
                <w:lang w:val="ro-RO"/>
              </w:rPr>
            </w:pPr>
          </w:p>
        </w:tc>
        <w:tc>
          <w:tcPr>
            <w:tcW w:w="470" w:type="pct"/>
            <w:tcBorders>
              <w:top w:val="single" w:sz="4" w:space="0" w:color="auto"/>
              <w:left w:val="single" w:sz="4" w:space="0" w:color="auto"/>
              <w:bottom w:val="single" w:sz="4" w:space="0" w:color="auto"/>
              <w:right w:val="single" w:sz="4" w:space="0" w:color="auto"/>
            </w:tcBorders>
          </w:tcPr>
          <w:p w14:paraId="35144ACA" w14:textId="06A52BFA"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Norme UE netranspuse</w:t>
            </w:r>
          </w:p>
          <w:p w14:paraId="1123F516" w14:textId="09002BEE" w:rsidR="002F47A0" w:rsidRPr="009E686F" w:rsidRDefault="002F47A0" w:rsidP="002F47A0">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5ED0FEE6" w14:textId="77777777" w:rsidR="005A2844" w:rsidRPr="009E686F" w:rsidRDefault="002F47A0" w:rsidP="005A2844">
            <w:pPr>
              <w:spacing w:line="240" w:lineRule="auto"/>
              <w:jc w:val="both"/>
              <w:rPr>
                <w:lang w:val="it-CH"/>
              </w:rPr>
            </w:pPr>
            <w:r w:rsidRPr="009E686F">
              <w:rPr>
                <w:rFonts w:ascii="Times New Roman" w:hAnsi="Times New Roman" w:cs="Times New Roman"/>
                <w:lang w:val="ro-RO"/>
              </w:rPr>
              <w:t>Se vor regăsi în proiectul de modificare a Regulamentului nr. 322/2018</w:t>
            </w:r>
            <w:r w:rsidR="005A2844" w:rsidRPr="009E686F">
              <w:rPr>
                <w:rFonts w:ascii="Times New Roman" w:hAnsi="Times New Roman" w:cs="Times New Roman"/>
                <w:lang w:val="ro-RO"/>
              </w:rPr>
              <w:t xml:space="preserve"> (</w:t>
            </w:r>
            <w:r w:rsidR="005A2844" w:rsidRPr="009E686F">
              <w:rPr>
                <w:rFonts w:ascii="Times New Roman" w:eastAsia="Times New Roman" w:hAnsi="Times New Roman" w:cs="Times New Roman"/>
                <w:bCs/>
                <w:lang w:val="it-CH" w:eastAsia="ru-RU"/>
              </w:rPr>
              <w:t>acțiunea normativă nr. 2 din Anexa A din PNA 2025-2029 aferentă Capitolului 9 “Servicii financiare” în legătură cu transpunerea Directivei 2013/36/UE).</w:t>
            </w:r>
          </w:p>
          <w:p w14:paraId="034D09CA" w14:textId="12CFA230" w:rsidR="002F47A0" w:rsidRPr="009E686F" w:rsidRDefault="002F47A0" w:rsidP="002F47A0">
            <w:pPr>
              <w:jc w:val="both"/>
              <w:rPr>
                <w:rFonts w:ascii="Times New Roman" w:hAnsi="Times New Roman" w:cs="Times New Roman"/>
                <w:lang w:val="it-CH"/>
              </w:rPr>
            </w:pPr>
          </w:p>
        </w:tc>
      </w:tr>
      <w:tr w:rsidR="002F47A0" w:rsidRPr="009E686F" w14:paraId="2E7D26AC" w14:textId="77777777" w:rsidTr="00453A27">
        <w:tc>
          <w:tcPr>
            <w:tcW w:w="5000" w:type="pct"/>
            <w:gridSpan w:val="7"/>
            <w:tcBorders>
              <w:top w:val="single" w:sz="4" w:space="0" w:color="auto"/>
              <w:left w:val="single" w:sz="4" w:space="0" w:color="auto"/>
              <w:bottom w:val="single" w:sz="4" w:space="0" w:color="auto"/>
              <w:right w:val="single" w:sz="4" w:space="0" w:color="auto"/>
            </w:tcBorders>
          </w:tcPr>
          <w:p w14:paraId="3A7DB921" w14:textId="77777777" w:rsidR="002F47A0" w:rsidRPr="009E686F" w:rsidRDefault="002F47A0" w:rsidP="002F47A0">
            <w:pPr>
              <w:tabs>
                <w:tab w:val="left" w:pos="13244"/>
              </w:tabs>
              <w:spacing w:after="0"/>
              <w:jc w:val="both"/>
              <w:rPr>
                <w:rFonts w:ascii="Times New Roman" w:hAnsi="Times New Roman" w:cs="Times New Roman"/>
                <w:i/>
                <w:iCs/>
                <w:lang w:val="ro-RO"/>
              </w:rPr>
            </w:pPr>
            <w:r w:rsidRPr="009E686F">
              <w:rPr>
                <w:rFonts w:ascii="Times New Roman" w:hAnsi="Times New Roman" w:cs="Times New Roman"/>
                <w:i/>
                <w:iCs/>
                <w:lang w:val="ro-RO"/>
              </w:rPr>
              <w:t xml:space="preserve">Articolul 84 </w:t>
            </w:r>
          </w:p>
          <w:p w14:paraId="4BC70E51" w14:textId="63243503" w:rsidR="002F47A0" w:rsidRPr="009E686F" w:rsidRDefault="002F47A0" w:rsidP="002F47A0">
            <w:pPr>
              <w:tabs>
                <w:tab w:val="left" w:pos="13244"/>
              </w:tabs>
              <w:jc w:val="both"/>
              <w:rPr>
                <w:rFonts w:ascii="Times New Roman" w:hAnsi="Times New Roman" w:cs="Times New Roman"/>
                <w:lang w:val="ro-RO"/>
              </w:rPr>
            </w:pPr>
            <w:r w:rsidRPr="009E686F">
              <w:rPr>
                <w:rFonts w:ascii="Times New Roman" w:hAnsi="Times New Roman" w:cs="Times New Roman"/>
                <w:lang w:val="ro-RO"/>
              </w:rPr>
              <w:t>Riscul de rată a dobânzii rezultat din activități din afara portofoliului de tranzacționare</w:t>
            </w:r>
          </w:p>
        </w:tc>
      </w:tr>
      <w:tr w:rsidR="002F47A0" w:rsidRPr="009E686F" w14:paraId="42010A3E" w14:textId="141106F5" w:rsidTr="00774F3E">
        <w:tc>
          <w:tcPr>
            <w:tcW w:w="1796" w:type="pct"/>
            <w:gridSpan w:val="2"/>
            <w:tcBorders>
              <w:top w:val="single" w:sz="4" w:space="0" w:color="auto"/>
              <w:left w:val="single" w:sz="4" w:space="0" w:color="auto"/>
              <w:bottom w:val="single" w:sz="4" w:space="0" w:color="auto"/>
              <w:right w:val="single" w:sz="4" w:space="0" w:color="auto"/>
            </w:tcBorders>
          </w:tcPr>
          <w:p w14:paraId="6A0DC288" w14:textId="18064588"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(1) Autoritățile competente se asigură că instituțiile pun în aplicare sisteme interne, utilizează metodologia standardizată sau metodologia standardizată simplificată pentru a identifica, a evalua, a gestiona e și a reduce riscurile care decurg din variațiile potențiale ale ratelor dobânzii care afectează atât valoarea economică a capitalului propriu, cât și veniturile nete din dobânzi aferente activităților din afara portofoliului de tranzacționare ale unei instituții.</w:t>
            </w:r>
          </w:p>
        </w:tc>
        <w:tc>
          <w:tcPr>
            <w:tcW w:w="1928" w:type="pct"/>
            <w:gridSpan w:val="3"/>
            <w:tcBorders>
              <w:top w:val="single" w:sz="4" w:space="0" w:color="auto"/>
              <w:left w:val="single" w:sz="4" w:space="0" w:color="auto"/>
              <w:bottom w:val="single" w:sz="4" w:space="0" w:color="auto"/>
              <w:right w:val="single" w:sz="4" w:space="0" w:color="auto"/>
            </w:tcBorders>
          </w:tcPr>
          <w:p w14:paraId="7F3ECB92"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(4) În sensul alin. (1)-(3), sunt avute în vedere riscuri precum: riscul de credit şi al contrapărții,</w:t>
            </w:r>
            <w:r w:rsidRPr="009E686F">
              <w:rPr>
                <w:rFonts w:ascii="Times New Roman" w:hAnsi="Times New Roman" w:cs="Times New Roman"/>
                <w:b/>
                <w:lang w:val="ro-RO"/>
              </w:rPr>
              <w:t xml:space="preserve"> </w:t>
            </w:r>
            <w:r w:rsidRPr="009E686F">
              <w:rPr>
                <w:rFonts w:ascii="Times New Roman" w:hAnsi="Times New Roman" w:cs="Times New Roman"/>
                <w:lang w:val="ro-RO"/>
              </w:rPr>
              <w:t xml:space="preserve">riscul rezidual, riscul de concentrare, riscul de securitizare, riscul de piață, </w:t>
            </w:r>
            <w:r w:rsidRPr="009E686F">
              <w:rPr>
                <w:rFonts w:ascii="Times New Roman" w:hAnsi="Times New Roman" w:cs="Times New Roman"/>
                <w:b/>
                <w:lang w:val="ro-RO"/>
              </w:rPr>
              <w:t>riscul de rată a dobânzii din activități în afara portofoliului de tranzacționare</w:t>
            </w:r>
            <w:r w:rsidRPr="009E686F">
              <w:rPr>
                <w:rFonts w:ascii="Times New Roman" w:hAnsi="Times New Roman" w:cs="Times New Roman"/>
                <w:lang w:val="ro-RO"/>
              </w:rPr>
              <w:t>, riscul operațional, care include și riscul denaturării securității și integrității sistemelor informaționale, riscul de lichiditate şi riscul efectului de levier excesiv, precum și, după caz, subcategorii ale acestor riscuri.</w:t>
            </w:r>
          </w:p>
          <w:p w14:paraId="2339FD0D" w14:textId="252BBEB5"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i/>
                <w:iCs/>
                <w:lang w:val="pt-BR"/>
              </w:rPr>
              <w:t>Pct. 273 din Regulamentul privind cadrul de administrare a activităţii băncilor, aprobat prin HCE nr. 322  din  20.12.2018</w:t>
            </w:r>
          </w:p>
          <w:p w14:paraId="141993B6" w14:textId="05E4525C"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273. Banca va implementa sisteme de identificare, evaluare şi administrare a riscului rezultat din variaţiile potenţiale ale ratelor dobânzii care afectează activităţile băncii care sunt în afara portofoliului de tranzacţionare.</w:t>
            </w:r>
          </w:p>
        </w:tc>
        <w:tc>
          <w:tcPr>
            <w:tcW w:w="470" w:type="pct"/>
            <w:tcBorders>
              <w:top w:val="single" w:sz="4" w:space="0" w:color="auto"/>
              <w:left w:val="single" w:sz="4" w:space="0" w:color="auto"/>
              <w:bottom w:val="single" w:sz="4" w:space="0" w:color="auto"/>
              <w:right w:val="single" w:sz="4" w:space="0" w:color="auto"/>
            </w:tcBorders>
          </w:tcPr>
          <w:p w14:paraId="344469E3" w14:textId="3DCAA34D"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Parțial compatibil</w:t>
            </w:r>
          </w:p>
          <w:p w14:paraId="3F9EE8DB" w14:textId="77777777" w:rsidR="002F47A0" w:rsidRPr="009E686F" w:rsidRDefault="002F47A0" w:rsidP="002F47A0">
            <w:pPr>
              <w:jc w:val="both"/>
              <w:rPr>
                <w:rFonts w:ascii="Times New Roman" w:hAnsi="Times New Roman" w:cs="Times New Roman"/>
                <w:lang w:val="ro-RO"/>
              </w:rPr>
            </w:pPr>
          </w:p>
          <w:p w14:paraId="4E57E6A9" w14:textId="77777777" w:rsidR="002F47A0" w:rsidRPr="009E686F" w:rsidRDefault="002F47A0" w:rsidP="002F47A0">
            <w:pPr>
              <w:jc w:val="both"/>
              <w:rPr>
                <w:rFonts w:ascii="Times New Roman" w:hAnsi="Times New Roman" w:cs="Times New Roman"/>
                <w:lang w:val="ro-RO"/>
              </w:rPr>
            </w:pPr>
          </w:p>
          <w:p w14:paraId="1D38B7B7" w14:textId="77777777" w:rsidR="002F47A0" w:rsidRPr="009E686F" w:rsidRDefault="002F47A0" w:rsidP="002F47A0">
            <w:pPr>
              <w:jc w:val="both"/>
              <w:rPr>
                <w:rFonts w:ascii="Times New Roman" w:hAnsi="Times New Roman" w:cs="Times New Roman"/>
                <w:lang w:val="ro-RO"/>
              </w:rPr>
            </w:pPr>
          </w:p>
          <w:p w14:paraId="48716A1F" w14:textId="310A3D12" w:rsidR="002F47A0" w:rsidRPr="009E686F" w:rsidRDefault="002F47A0" w:rsidP="002F47A0">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6094C8B7" w14:textId="77777777" w:rsidR="005A2844" w:rsidRPr="009E686F" w:rsidRDefault="002F47A0" w:rsidP="005A2844">
            <w:pPr>
              <w:spacing w:line="240" w:lineRule="auto"/>
              <w:jc w:val="both"/>
              <w:rPr>
                <w:lang w:val="it-CH"/>
              </w:rPr>
            </w:pPr>
            <w:r w:rsidRPr="009E686F">
              <w:rPr>
                <w:rFonts w:ascii="Times New Roman" w:hAnsi="Times New Roman" w:cs="Times New Roman"/>
                <w:lang w:val="ro-RO"/>
              </w:rPr>
              <w:t>Transpunerea totală se va asigura prin proiectul de modificare a Regulamentului nr. 322/2018</w:t>
            </w:r>
            <w:r w:rsidR="005A2844" w:rsidRPr="009E686F">
              <w:rPr>
                <w:rFonts w:ascii="Times New Roman" w:hAnsi="Times New Roman" w:cs="Times New Roman"/>
                <w:lang w:val="ro-RO"/>
              </w:rPr>
              <w:t xml:space="preserve"> (</w:t>
            </w:r>
            <w:r w:rsidR="005A2844" w:rsidRPr="009E686F">
              <w:rPr>
                <w:rFonts w:ascii="Times New Roman" w:eastAsia="Times New Roman" w:hAnsi="Times New Roman" w:cs="Times New Roman"/>
                <w:bCs/>
                <w:lang w:val="it-CH" w:eastAsia="ru-RU"/>
              </w:rPr>
              <w:t>acțiunea normativă nr. 2 din Anexa A din PNA 2025-2029 aferentă Capitolului 9 “Servicii financiare” în legătură cu transpunerea Directivei 2013/36/UE).</w:t>
            </w:r>
          </w:p>
          <w:p w14:paraId="36F8AC3E" w14:textId="46E50F83" w:rsidR="002F47A0" w:rsidRPr="009E686F" w:rsidRDefault="002F47A0" w:rsidP="002F47A0">
            <w:pPr>
              <w:jc w:val="both"/>
              <w:rPr>
                <w:rFonts w:ascii="Times New Roman" w:hAnsi="Times New Roman" w:cs="Times New Roman"/>
                <w:lang w:val="it-CH"/>
              </w:rPr>
            </w:pPr>
          </w:p>
        </w:tc>
      </w:tr>
      <w:tr w:rsidR="002F47A0" w:rsidRPr="009E686F" w14:paraId="662541A1"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1A25872B" w14:textId="211C837E"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 xml:space="preserve">(2)   Autoritățile competente se asigură că instituțiile pun în aplicare sisteme pentru a evalua și a monitoriza riscurile care decurg din variațiile potențiale ale marjelor de credit care afectează atât valoarea economică a capitalului propriu, cât și veniturile nete din dobânzi aferente </w:t>
            </w:r>
            <w:r w:rsidRPr="009E686F">
              <w:rPr>
                <w:rFonts w:ascii="Times New Roman" w:hAnsi="Times New Roman" w:cs="Times New Roman"/>
                <w:lang w:val="ro-RO"/>
              </w:rPr>
              <w:lastRenderedPageBreak/>
              <w:t>activităților din afara portofoliului de tranzacționare ale unei instituții.</w:t>
            </w:r>
          </w:p>
        </w:tc>
        <w:tc>
          <w:tcPr>
            <w:tcW w:w="1928" w:type="pct"/>
            <w:gridSpan w:val="3"/>
            <w:tcBorders>
              <w:top w:val="single" w:sz="4" w:space="0" w:color="auto"/>
              <w:left w:val="single" w:sz="4" w:space="0" w:color="auto"/>
              <w:bottom w:val="single" w:sz="4" w:space="0" w:color="auto"/>
              <w:right w:val="single" w:sz="4" w:space="0" w:color="auto"/>
            </w:tcBorders>
          </w:tcPr>
          <w:p w14:paraId="40A47E39" w14:textId="77777777" w:rsidR="002F47A0" w:rsidRPr="009E686F" w:rsidRDefault="002F47A0" w:rsidP="002F47A0">
            <w:pPr>
              <w:spacing w:after="0"/>
              <w:jc w:val="both"/>
              <w:rPr>
                <w:rFonts w:ascii="Times New Roman" w:hAnsi="Times New Roman" w:cs="Times New Roman"/>
                <w:lang w:val="ro-RO"/>
              </w:rPr>
            </w:pPr>
          </w:p>
        </w:tc>
        <w:tc>
          <w:tcPr>
            <w:tcW w:w="470" w:type="pct"/>
            <w:tcBorders>
              <w:top w:val="single" w:sz="4" w:space="0" w:color="auto"/>
              <w:left w:val="single" w:sz="4" w:space="0" w:color="auto"/>
              <w:bottom w:val="single" w:sz="4" w:space="0" w:color="auto"/>
              <w:right w:val="single" w:sz="4" w:space="0" w:color="auto"/>
            </w:tcBorders>
          </w:tcPr>
          <w:p w14:paraId="018B3650" w14:textId="00C628A8"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Norme UE netranspuse</w:t>
            </w:r>
          </w:p>
        </w:tc>
        <w:tc>
          <w:tcPr>
            <w:tcW w:w="806" w:type="pct"/>
            <w:tcBorders>
              <w:top w:val="single" w:sz="4" w:space="0" w:color="auto"/>
              <w:left w:val="single" w:sz="4" w:space="0" w:color="auto"/>
              <w:bottom w:val="single" w:sz="4" w:space="0" w:color="auto"/>
              <w:right w:val="single" w:sz="4" w:space="0" w:color="auto"/>
            </w:tcBorders>
          </w:tcPr>
          <w:p w14:paraId="7256223D" w14:textId="6DD0D334" w:rsidR="00E30119" w:rsidRPr="009E686F" w:rsidRDefault="002F47A0" w:rsidP="00E30119">
            <w:pPr>
              <w:spacing w:line="240" w:lineRule="auto"/>
              <w:jc w:val="both"/>
              <w:rPr>
                <w:lang w:val="it-CH"/>
              </w:rPr>
            </w:pPr>
            <w:r w:rsidRPr="009E686F">
              <w:rPr>
                <w:rFonts w:ascii="Times New Roman" w:hAnsi="Times New Roman" w:cs="Times New Roman"/>
                <w:lang w:val="ro-RO"/>
              </w:rPr>
              <w:t>Se vor regăsi în proiectul de modificare a Regulamentului nr. 322/2018</w:t>
            </w:r>
            <w:r w:rsidR="005A2844" w:rsidRPr="009E686F">
              <w:rPr>
                <w:rFonts w:ascii="Times New Roman" w:hAnsi="Times New Roman" w:cs="Times New Roman"/>
                <w:lang w:val="ro-RO"/>
              </w:rPr>
              <w:t xml:space="preserve"> </w:t>
            </w:r>
            <w:r w:rsidR="00E30119" w:rsidRPr="009E686F">
              <w:rPr>
                <w:rFonts w:ascii="Times New Roman" w:hAnsi="Times New Roman" w:cs="Times New Roman"/>
                <w:lang w:val="ro-RO"/>
              </w:rPr>
              <w:t>(</w:t>
            </w:r>
            <w:r w:rsidR="00E30119" w:rsidRPr="009E686F">
              <w:rPr>
                <w:rFonts w:ascii="Times New Roman" w:eastAsia="Times New Roman" w:hAnsi="Times New Roman" w:cs="Times New Roman"/>
                <w:bCs/>
                <w:lang w:val="it-CH" w:eastAsia="ru-RU"/>
              </w:rPr>
              <w:t>acțiunea normativă nr. 2 din Anexa A din PNA 2025-</w:t>
            </w:r>
            <w:r w:rsidR="00E30119" w:rsidRPr="009E686F">
              <w:rPr>
                <w:rFonts w:ascii="Times New Roman" w:eastAsia="Times New Roman" w:hAnsi="Times New Roman" w:cs="Times New Roman"/>
                <w:bCs/>
                <w:lang w:val="it-CH" w:eastAsia="ru-RU"/>
              </w:rPr>
              <w:lastRenderedPageBreak/>
              <w:t>2029 aferentă Capitolului 9 “Servicii financiare” în legătură cu transpunerea Directivei 2013/36/UE).</w:t>
            </w:r>
          </w:p>
          <w:p w14:paraId="54AF5A3A" w14:textId="6D6C7957" w:rsidR="002F47A0" w:rsidRPr="009E686F" w:rsidRDefault="002F47A0" w:rsidP="002F47A0">
            <w:pPr>
              <w:jc w:val="both"/>
              <w:rPr>
                <w:rFonts w:ascii="Times New Roman" w:hAnsi="Times New Roman" w:cs="Times New Roman"/>
                <w:lang w:val="it-CH"/>
              </w:rPr>
            </w:pPr>
          </w:p>
        </w:tc>
      </w:tr>
      <w:tr w:rsidR="002F47A0" w:rsidRPr="009E686F" w14:paraId="7BB24961"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2F4C4B5E" w14:textId="5B87422E"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lastRenderedPageBreak/>
              <w:t>(3)  O autoritate competentă poate impune unei instituții obligația de a utiliza metodologia standardizată menționată la alineatul (1) atunci când sistemele interne puse în aplicare de către acea instituție pentru a evalua riscurile menționate la respectivul alineat nu sunt satisfăcătoare.</w:t>
            </w:r>
          </w:p>
        </w:tc>
        <w:tc>
          <w:tcPr>
            <w:tcW w:w="1928" w:type="pct"/>
            <w:gridSpan w:val="3"/>
            <w:tcBorders>
              <w:top w:val="single" w:sz="4" w:space="0" w:color="auto"/>
              <w:left w:val="single" w:sz="4" w:space="0" w:color="auto"/>
              <w:bottom w:val="single" w:sz="4" w:space="0" w:color="auto"/>
              <w:right w:val="single" w:sz="4" w:space="0" w:color="auto"/>
            </w:tcBorders>
          </w:tcPr>
          <w:p w14:paraId="5E3FD724" w14:textId="77777777" w:rsidR="002F47A0" w:rsidRPr="009E686F" w:rsidRDefault="002F47A0" w:rsidP="002F47A0">
            <w:pPr>
              <w:spacing w:after="0"/>
              <w:jc w:val="both"/>
              <w:rPr>
                <w:rFonts w:ascii="Times New Roman" w:hAnsi="Times New Roman" w:cs="Times New Roman"/>
                <w:lang w:val="ro-RO"/>
              </w:rPr>
            </w:pPr>
          </w:p>
        </w:tc>
        <w:tc>
          <w:tcPr>
            <w:tcW w:w="470" w:type="pct"/>
            <w:tcBorders>
              <w:top w:val="single" w:sz="4" w:space="0" w:color="auto"/>
              <w:left w:val="single" w:sz="4" w:space="0" w:color="auto"/>
              <w:bottom w:val="single" w:sz="4" w:space="0" w:color="auto"/>
              <w:right w:val="single" w:sz="4" w:space="0" w:color="auto"/>
            </w:tcBorders>
          </w:tcPr>
          <w:p w14:paraId="522D7138" w14:textId="553D608A"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Norme UE netranspuse</w:t>
            </w:r>
          </w:p>
        </w:tc>
        <w:tc>
          <w:tcPr>
            <w:tcW w:w="806" w:type="pct"/>
            <w:tcBorders>
              <w:top w:val="single" w:sz="4" w:space="0" w:color="auto"/>
              <w:left w:val="single" w:sz="4" w:space="0" w:color="auto"/>
              <w:bottom w:val="single" w:sz="4" w:space="0" w:color="auto"/>
              <w:right w:val="single" w:sz="4" w:space="0" w:color="auto"/>
            </w:tcBorders>
          </w:tcPr>
          <w:p w14:paraId="3299AC74" w14:textId="77777777" w:rsidR="00E30119" w:rsidRPr="009E686F" w:rsidRDefault="002F47A0" w:rsidP="00E30119">
            <w:pPr>
              <w:spacing w:line="240" w:lineRule="auto"/>
              <w:jc w:val="both"/>
              <w:rPr>
                <w:lang w:val="it-CH"/>
              </w:rPr>
            </w:pPr>
            <w:r w:rsidRPr="009E686F">
              <w:rPr>
                <w:rFonts w:ascii="Times New Roman" w:hAnsi="Times New Roman" w:cs="Times New Roman"/>
                <w:lang w:val="ro-RO"/>
              </w:rPr>
              <w:t>Se vor regăsi în proiectul de modificare a Regulamentului nr. 322/2018</w:t>
            </w:r>
            <w:r w:rsidR="00E30119" w:rsidRPr="009E686F">
              <w:rPr>
                <w:rFonts w:ascii="Times New Roman" w:hAnsi="Times New Roman" w:cs="Times New Roman"/>
                <w:lang w:val="ro-RO"/>
              </w:rPr>
              <w:t xml:space="preserve"> (</w:t>
            </w:r>
            <w:r w:rsidR="00E30119" w:rsidRPr="009E686F">
              <w:rPr>
                <w:rFonts w:ascii="Times New Roman" w:eastAsia="Times New Roman" w:hAnsi="Times New Roman" w:cs="Times New Roman"/>
                <w:bCs/>
                <w:lang w:val="it-CH" w:eastAsia="ru-RU"/>
              </w:rPr>
              <w:t>acțiunea normativă nr. 2 din Anexa A din PNA 2025-2029 aferentă Capitolului 9 “Servicii financiare” în legătură cu transpunerea Directivei 2013/36/UE).</w:t>
            </w:r>
          </w:p>
          <w:p w14:paraId="345D55D3" w14:textId="4C79A47F" w:rsidR="002F47A0" w:rsidRPr="009E686F" w:rsidRDefault="002F47A0" w:rsidP="002F47A0">
            <w:pPr>
              <w:jc w:val="both"/>
              <w:rPr>
                <w:rFonts w:ascii="Times New Roman" w:hAnsi="Times New Roman" w:cs="Times New Roman"/>
                <w:lang w:val="it-CH"/>
              </w:rPr>
            </w:pPr>
          </w:p>
        </w:tc>
      </w:tr>
      <w:tr w:rsidR="002F47A0" w:rsidRPr="009E686F" w14:paraId="1DDEE1E6"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608331AC" w14:textId="6FDE7D7E"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4)  O autoritate competentă poate solicita unei instituții mici și de complexitate redusă, astfel cum este definită la articolul 4 alineatul (1) punctul 145 din Regulamentul (UE) nr. 575/2013, să utilizeze metodologia standardizată atunci când consideră că metodologia standardizată simplificată nu este adecvată pentru a capta riscul de rată a dobânzii care rezultă din activitățile din afara portofoliului de tranzacționare ale unei instituțiiinstituției în cauză.</w:t>
            </w:r>
          </w:p>
        </w:tc>
        <w:tc>
          <w:tcPr>
            <w:tcW w:w="1928" w:type="pct"/>
            <w:gridSpan w:val="3"/>
            <w:tcBorders>
              <w:top w:val="single" w:sz="4" w:space="0" w:color="auto"/>
              <w:left w:val="single" w:sz="4" w:space="0" w:color="auto"/>
              <w:bottom w:val="single" w:sz="4" w:space="0" w:color="auto"/>
              <w:right w:val="single" w:sz="4" w:space="0" w:color="auto"/>
            </w:tcBorders>
          </w:tcPr>
          <w:p w14:paraId="65A56B1A" w14:textId="77777777" w:rsidR="002F47A0" w:rsidRPr="009E686F" w:rsidRDefault="002F47A0" w:rsidP="002F47A0">
            <w:pPr>
              <w:spacing w:after="0"/>
              <w:jc w:val="both"/>
              <w:rPr>
                <w:rFonts w:ascii="Times New Roman" w:hAnsi="Times New Roman" w:cs="Times New Roman"/>
                <w:lang w:val="ro-RO"/>
              </w:rPr>
            </w:pPr>
          </w:p>
        </w:tc>
        <w:tc>
          <w:tcPr>
            <w:tcW w:w="470" w:type="pct"/>
            <w:tcBorders>
              <w:top w:val="single" w:sz="4" w:space="0" w:color="auto"/>
              <w:left w:val="single" w:sz="4" w:space="0" w:color="auto"/>
              <w:bottom w:val="single" w:sz="4" w:space="0" w:color="auto"/>
              <w:right w:val="single" w:sz="4" w:space="0" w:color="auto"/>
            </w:tcBorders>
          </w:tcPr>
          <w:p w14:paraId="160AA4A8" w14:textId="4D38701A"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Norme UE netranspuse</w:t>
            </w:r>
          </w:p>
        </w:tc>
        <w:tc>
          <w:tcPr>
            <w:tcW w:w="806" w:type="pct"/>
            <w:tcBorders>
              <w:top w:val="single" w:sz="4" w:space="0" w:color="auto"/>
              <w:left w:val="single" w:sz="4" w:space="0" w:color="auto"/>
              <w:bottom w:val="single" w:sz="4" w:space="0" w:color="auto"/>
              <w:right w:val="single" w:sz="4" w:space="0" w:color="auto"/>
            </w:tcBorders>
          </w:tcPr>
          <w:p w14:paraId="55D69C5E" w14:textId="07E5F3F8" w:rsidR="00E30119" w:rsidRPr="009E686F" w:rsidRDefault="002F47A0" w:rsidP="00E30119">
            <w:pPr>
              <w:spacing w:line="240" w:lineRule="auto"/>
              <w:rPr>
                <w:lang w:val="it-CH"/>
              </w:rPr>
            </w:pPr>
            <w:r w:rsidRPr="009E686F">
              <w:rPr>
                <w:rFonts w:ascii="Times New Roman" w:hAnsi="Times New Roman" w:cs="Times New Roman"/>
                <w:lang w:val="ro-RO"/>
              </w:rPr>
              <w:t>Se vor regăsi în proiectul de modificare a Regulamentului nr. 322/2018</w:t>
            </w:r>
            <w:r w:rsidR="00E30119" w:rsidRPr="009E686F">
              <w:rPr>
                <w:rFonts w:ascii="Times New Roman" w:hAnsi="Times New Roman" w:cs="Times New Roman"/>
                <w:lang w:val="ro-RO"/>
              </w:rPr>
              <w:t xml:space="preserve"> (</w:t>
            </w:r>
            <w:r w:rsidR="00E30119" w:rsidRPr="009E686F">
              <w:rPr>
                <w:rFonts w:ascii="Times New Roman" w:eastAsia="Times New Roman" w:hAnsi="Times New Roman" w:cs="Times New Roman"/>
                <w:bCs/>
                <w:lang w:val="it-CH" w:eastAsia="ru-RU"/>
              </w:rPr>
              <w:t>acțiunea normativă nr. 2 din Anexa A din PNA 2025-2029 aferentă Capitolului 9 “Servicii financiare” în legătură cu transpunerea Directivei 2013/36/UE).</w:t>
            </w:r>
          </w:p>
          <w:p w14:paraId="315B7D33" w14:textId="253995EC" w:rsidR="002F47A0" w:rsidRPr="009E686F" w:rsidRDefault="002F47A0" w:rsidP="00E30119">
            <w:pPr>
              <w:spacing w:line="240" w:lineRule="auto"/>
              <w:jc w:val="both"/>
              <w:rPr>
                <w:rFonts w:ascii="Times New Roman" w:hAnsi="Times New Roman" w:cs="Times New Roman"/>
                <w:lang w:val="it-CH"/>
              </w:rPr>
            </w:pPr>
          </w:p>
        </w:tc>
      </w:tr>
      <w:tr w:rsidR="002F47A0" w:rsidRPr="009E686F" w14:paraId="147CBFF5"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7707C8AC" w14:textId="64BC2E0A"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lastRenderedPageBreak/>
              <w:t>(5)   ABE elaborează proiecte de standarde tehnice de reglementare pentru a specifica, în sensul prezentului articol, o metodologie standardizată pe care instituțiile o pot utiliza în vederea evaluării riscurilor menționate la alineatul (1) din prezentul articol, inclusiv o metodologie standardizată simplificată pentru instituțiile mici și de complexitate redusă, astfel cum sunt definite la articolul 4 alineatul (1) punctul 145 din Regulamentul (UE) nr. 575/2013, care să fie cel puțin la fel de conservatoare ca metodologia standardizată.</w:t>
            </w:r>
          </w:p>
          <w:p w14:paraId="00AA5F08"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ABE înaintează Comisiei aceste proiecte de standarde tehnice de reglementare până la 28 iunie 2020.</w:t>
            </w:r>
          </w:p>
          <w:p w14:paraId="005449E6" w14:textId="230C62CA"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Se deleagă Comisiei competența de a completa prezenta directivă prin adoptarea standardelor tehnice de reglementare menționate la primul paragraf în conformitate cu articolele 10-14 din Regulamentul (UE) nr. 1093/2010.</w:t>
            </w:r>
          </w:p>
        </w:tc>
        <w:tc>
          <w:tcPr>
            <w:tcW w:w="1928" w:type="pct"/>
            <w:gridSpan w:val="3"/>
            <w:tcBorders>
              <w:top w:val="single" w:sz="4" w:space="0" w:color="auto"/>
              <w:left w:val="single" w:sz="4" w:space="0" w:color="auto"/>
              <w:bottom w:val="single" w:sz="4" w:space="0" w:color="auto"/>
              <w:right w:val="single" w:sz="4" w:space="0" w:color="auto"/>
            </w:tcBorders>
          </w:tcPr>
          <w:p w14:paraId="6BA856FA" w14:textId="77777777" w:rsidR="002F47A0" w:rsidRPr="009E686F" w:rsidRDefault="002F47A0" w:rsidP="002F47A0">
            <w:pPr>
              <w:spacing w:after="0"/>
              <w:jc w:val="both"/>
              <w:rPr>
                <w:rFonts w:ascii="Times New Roman" w:hAnsi="Times New Roman" w:cs="Times New Roman"/>
                <w:lang w:val="ro-RO"/>
              </w:rPr>
            </w:pPr>
          </w:p>
        </w:tc>
        <w:tc>
          <w:tcPr>
            <w:tcW w:w="470" w:type="pct"/>
            <w:tcBorders>
              <w:top w:val="single" w:sz="4" w:space="0" w:color="auto"/>
              <w:left w:val="single" w:sz="4" w:space="0" w:color="auto"/>
              <w:bottom w:val="single" w:sz="4" w:space="0" w:color="auto"/>
              <w:right w:val="single" w:sz="4" w:space="0" w:color="auto"/>
            </w:tcBorders>
          </w:tcPr>
          <w:p w14:paraId="341DB2A0" w14:textId="02D28C3D"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Norme UE neaplicabile</w:t>
            </w:r>
          </w:p>
        </w:tc>
        <w:tc>
          <w:tcPr>
            <w:tcW w:w="806" w:type="pct"/>
            <w:tcBorders>
              <w:top w:val="single" w:sz="4" w:space="0" w:color="auto"/>
              <w:left w:val="single" w:sz="4" w:space="0" w:color="auto"/>
              <w:bottom w:val="single" w:sz="4" w:space="0" w:color="auto"/>
              <w:right w:val="single" w:sz="4" w:space="0" w:color="auto"/>
            </w:tcBorders>
          </w:tcPr>
          <w:p w14:paraId="725A7D10" w14:textId="07CA03F6"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Se referă la competențele ABE și ale Comisiei Europene.</w:t>
            </w:r>
          </w:p>
        </w:tc>
      </w:tr>
      <w:tr w:rsidR="002F47A0" w:rsidRPr="009E686F" w14:paraId="38EA1F80"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7063272A"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ABE emite orientări pentru a preciza criteriile pentru:</w:t>
            </w:r>
          </w:p>
          <w:p w14:paraId="584665DB" w14:textId="26B4580D"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(a) evaluarea de către sistemul intern al unei instituții a riscurilor menționate la alineatul (1);</w:t>
            </w:r>
          </w:p>
          <w:p w14:paraId="65FC9A70" w14:textId="535E28E5"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(b) identificarea, gestionarea și reducerea de către instituții a riscurilor menționate la alineatul (1);</w:t>
            </w:r>
          </w:p>
          <w:p w14:paraId="56787CDB" w14:textId="48C81F86"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(c) evaluarea și monitorizarea de către instituții a riscurilor menționate la alineatul (2);</w:t>
            </w:r>
          </w:p>
          <w:p w14:paraId="1DB93B8C" w14:textId="7E5D33A8"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(d) identificarea în rândul sistemelor interne puse în aplicare de către instituții în sensul alineatului (1) a acelora care nu sunt satisfăcătoare, astfel cum se menționează la alineatul (3).</w:t>
            </w:r>
          </w:p>
          <w:p w14:paraId="0361A6BD" w14:textId="662E3CE1"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ABE emite orientările respective până la 28 iunie 2020.</w:t>
            </w:r>
          </w:p>
        </w:tc>
        <w:tc>
          <w:tcPr>
            <w:tcW w:w="1928" w:type="pct"/>
            <w:gridSpan w:val="3"/>
            <w:tcBorders>
              <w:top w:val="single" w:sz="4" w:space="0" w:color="auto"/>
              <w:left w:val="single" w:sz="4" w:space="0" w:color="auto"/>
              <w:bottom w:val="single" w:sz="4" w:space="0" w:color="auto"/>
              <w:right w:val="single" w:sz="4" w:space="0" w:color="auto"/>
            </w:tcBorders>
          </w:tcPr>
          <w:p w14:paraId="26537434" w14:textId="77777777" w:rsidR="002F47A0" w:rsidRPr="009E686F" w:rsidRDefault="002F47A0" w:rsidP="002F47A0">
            <w:pPr>
              <w:spacing w:after="0"/>
              <w:jc w:val="both"/>
              <w:rPr>
                <w:rFonts w:ascii="Times New Roman" w:hAnsi="Times New Roman" w:cs="Times New Roman"/>
                <w:lang w:val="ro-RO"/>
              </w:rPr>
            </w:pPr>
          </w:p>
        </w:tc>
        <w:tc>
          <w:tcPr>
            <w:tcW w:w="470" w:type="pct"/>
            <w:tcBorders>
              <w:top w:val="single" w:sz="4" w:space="0" w:color="auto"/>
              <w:left w:val="single" w:sz="4" w:space="0" w:color="auto"/>
              <w:bottom w:val="single" w:sz="4" w:space="0" w:color="auto"/>
              <w:right w:val="single" w:sz="4" w:space="0" w:color="auto"/>
            </w:tcBorders>
          </w:tcPr>
          <w:p w14:paraId="6A9DB240" w14:textId="4A5D5A17"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Norme UE neaplicabile</w:t>
            </w:r>
          </w:p>
        </w:tc>
        <w:tc>
          <w:tcPr>
            <w:tcW w:w="806" w:type="pct"/>
            <w:tcBorders>
              <w:top w:val="single" w:sz="4" w:space="0" w:color="auto"/>
              <w:left w:val="single" w:sz="4" w:space="0" w:color="auto"/>
              <w:bottom w:val="single" w:sz="4" w:space="0" w:color="auto"/>
              <w:right w:val="single" w:sz="4" w:space="0" w:color="auto"/>
            </w:tcBorders>
          </w:tcPr>
          <w:p w14:paraId="3ECC2667" w14:textId="35DB3277"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Se referă la competențele ABE.</w:t>
            </w:r>
          </w:p>
        </w:tc>
      </w:tr>
      <w:tr w:rsidR="002F47A0" w:rsidRPr="009E686F" w14:paraId="6136D6A0" w14:textId="1EA03819" w:rsidTr="00774F3E">
        <w:tc>
          <w:tcPr>
            <w:tcW w:w="1796" w:type="pct"/>
            <w:gridSpan w:val="2"/>
            <w:tcBorders>
              <w:top w:val="single" w:sz="4" w:space="0" w:color="auto"/>
              <w:left w:val="single" w:sz="4" w:space="0" w:color="auto"/>
              <w:bottom w:val="single" w:sz="4" w:space="0" w:color="auto"/>
              <w:right w:val="single" w:sz="4" w:space="0" w:color="auto"/>
            </w:tcBorders>
          </w:tcPr>
          <w:p w14:paraId="3E9F02D7" w14:textId="77777777" w:rsidR="002F47A0" w:rsidRPr="009E686F" w:rsidRDefault="002F47A0" w:rsidP="002F47A0">
            <w:pPr>
              <w:spacing w:after="0"/>
              <w:jc w:val="both"/>
              <w:rPr>
                <w:rFonts w:ascii="Times New Roman" w:hAnsi="Times New Roman" w:cs="Times New Roman"/>
                <w:i/>
                <w:iCs/>
                <w:lang w:val="ro-RO"/>
              </w:rPr>
            </w:pPr>
            <w:r w:rsidRPr="009E686F">
              <w:rPr>
                <w:rFonts w:ascii="Times New Roman" w:hAnsi="Times New Roman" w:cs="Times New Roman"/>
                <w:i/>
                <w:iCs/>
                <w:lang w:val="ro-RO"/>
              </w:rPr>
              <w:t xml:space="preserve">Articolul 85 </w:t>
            </w:r>
          </w:p>
          <w:p w14:paraId="486312F3" w14:textId="233836E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Riscul operațional</w:t>
            </w:r>
          </w:p>
        </w:tc>
        <w:tc>
          <w:tcPr>
            <w:tcW w:w="1928" w:type="pct"/>
            <w:gridSpan w:val="3"/>
            <w:tcBorders>
              <w:top w:val="single" w:sz="4" w:space="0" w:color="auto"/>
              <w:left w:val="single" w:sz="4" w:space="0" w:color="auto"/>
              <w:bottom w:val="single" w:sz="4" w:space="0" w:color="auto"/>
              <w:right w:val="single" w:sz="4" w:space="0" w:color="auto"/>
            </w:tcBorders>
          </w:tcPr>
          <w:p w14:paraId="337E4DF1" w14:textId="77777777" w:rsidR="002F47A0" w:rsidRPr="009E686F" w:rsidRDefault="002F47A0" w:rsidP="002F47A0">
            <w:pPr>
              <w:spacing w:after="0"/>
              <w:jc w:val="both"/>
              <w:rPr>
                <w:rFonts w:ascii="Times New Roman" w:hAnsi="Times New Roman" w:cs="Times New Roman"/>
                <w:b/>
                <w:lang w:val="ro-RO"/>
              </w:rPr>
            </w:pPr>
            <w:r w:rsidRPr="009E686F">
              <w:rPr>
                <w:rFonts w:ascii="Times New Roman" w:hAnsi="Times New Roman" w:cs="Times New Roman"/>
                <w:lang w:val="ro-RO"/>
              </w:rPr>
              <w:t>(4) În sensul alin. (1)-(3), sunt avute în vedere riscuri precum: riscul de credit şi al contrapărții,</w:t>
            </w:r>
            <w:r w:rsidRPr="009E686F">
              <w:rPr>
                <w:rFonts w:ascii="Times New Roman" w:hAnsi="Times New Roman" w:cs="Times New Roman"/>
                <w:b/>
                <w:lang w:val="ro-RO"/>
              </w:rPr>
              <w:t xml:space="preserve"> </w:t>
            </w:r>
            <w:r w:rsidRPr="009E686F">
              <w:rPr>
                <w:rFonts w:ascii="Times New Roman" w:hAnsi="Times New Roman" w:cs="Times New Roman"/>
                <w:lang w:val="ro-RO"/>
              </w:rPr>
              <w:t xml:space="preserve">riscul rezidual, riscul de concentrare, riscul de securitizare, riscul de piață, riscul de rată a dobânzii din activități în afara portofoliului de tranzacționare, </w:t>
            </w:r>
            <w:r w:rsidRPr="009E686F">
              <w:rPr>
                <w:rFonts w:ascii="Times New Roman" w:hAnsi="Times New Roman" w:cs="Times New Roman"/>
                <w:b/>
                <w:lang w:val="ro-RO"/>
              </w:rPr>
              <w:lastRenderedPageBreak/>
              <w:t>riscul operațional</w:t>
            </w:r>
            <w:r w:rsidRPr="009E686F">
              <w:rPr>
                <w:rFonts w:ascii="Times New Roman" w:hAnsi="Times New Roman" w:cs="Times New Roman"/>
                <w:lang w:val="ro-RO"/>
              </w:rPr>
              <w:t>, care include și riscul denaturării securității și integrității sistemelor informaționale, riscul de lichiditate şi riscul efectului de levier excesiv, precum și, după caz, subcategorii ale acestor riscuri.</w:t>
            </w:r>
          </w:p>
        </w:tc>
        <w:tc>
          <w:tcPr>
            <w:tcW w:w="470" w:type="pct"/>
            <w:tcBorders>
              <w:top w:val="single" w:sz="4" w:space="0" w:color="auto"/>
              <w:left w:val="single" w:sz="4" w:space="0" w:color="auto"/>
              <w:bottom w:val="single" w:sz="4" w:space="0" w:color="auto"/>
              <w:right w:val="single" w:sz="4" w:space="0" w:color="auto"/>
            </w:tcBorders>
          </w:tcPr>
          <w:p w14:paraId="0F80F4AA" w14:textId="02F1FF92"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4F098958" w14:textId="77777777" w:rsidR="002F47A0" w:rsidRPr="009E686F" w:rsidRDefault="002F47A0" w:rsidP="002F47A0">
            <w:pPr>
              <w:jc w:val="both"/>
              <w:rPr>
                <w:rFonts w:ascii="Times New Roman" w:hAnsi="Times New Roman" w:cs="Times New Roman"/>
                <w:lang w:val="ro-RO"/>
              </w:rPr>
            </w:pPr>
          </w:p>
        </w:tc>
      </w:tr>
      <w:tr w:rsidR="002F47A0" w:rsidRPr="009E686F" w14:paraId="2A7E4B53" w14:textId="029DEE69" w:rsidTr="00774F3E">
        <w:tc>
          <w:tcPr>
            <w:tcW w:w="1796" w:type="pct"/>
            <w:gridSpan w:val="2"/>
            <w:tcBorders>
              <w:top w:val="single" w:sz="4" w:space="0" w:color="auto"/>
              <w:left w:val="single" w:sz="4" w:space="0" w:color="auto"/>
              <w:bottom w:val="single" w:sz="4" w:space="0" w:color="auto"/>
              <w:right w:val="single" w:sz="4" w:space="0" w:color="auto"/>
            </w:tcBorders>
          </w:tcPr>
          <w:p w14:paraId="5858687B" w14:textId="47DA5563"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(1) Autoritățile competente se asigură că instituțiile pun în aplicare politici și proceduri pentru evaluarea și gestionarea expunerilor la riscul operațional, inclusiv la riscurile care decurg din acordurile de externalizare și din expunerile directe și indirecte la criptoactive și la prestatorii de servicii de criptoactive, precum și pentru acoperirea evenimentelor cu frecvență redusă, dar extrem de grave.</w:t>
            </w:r>
          </w:p>
          <w:p w14:paraId="4F00D740" w14:textId="3A70E66F"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Instituțiile stabilesc ce anume constituie risc operațional în sensul politicilor și procedurilor respective.</w:t>
            </w:r>
          </w:p>
        </w:tc>
        <w:tc>
          <w:tcPr>
            <w:tcW w:w="1928" w:type="pct"/>
            <w:gridSpan w:val="3"/>
            <w:tcBorders>
              <w:top w:val="single" w:sz="4" w:space="0" w:color="auto"/>
              <w:left w:val="single" w:sz="4" w:space="0" w:color="auto"/>
              <w:bottom w:val="single" w:sz="4" w:space="0" w:color="auto"/>
              <w:right w:val="single" w:sz="4" w:space="0" w:color="auto"/>
            </w:tcBorders>
          </w:tcPr>
          <w:p w14:paraId="11044A82" w14:textId="25A10DED" w:rsidR="002F47A0" w:rsidRPr="009E686F" w:rsidRDefault="002F47A0" w:rsidP="002F47A0">
            <w:pPr>
              <w:spacing w:after="0"/>
              <w:jc w:val="both"/>
              <w:rPr>
                <w:rFonts w:ascii="Times New Roman" w:hAnsi="Times New Roman" w:cs="Times New Roman"/>
                <w:b/>
                <w:bCs/>
                <w:lang w:val="pt-BR"/>
              </w:rPr>
            </w:pPr>
            <w:r w:rsidRPr="009E686F">
              <w:rPr>
                <w:rFonts w:ascii="Times New Roman" w:hAnsi="Times New Roman" w:cs="Times New Roman"/>
                <w:b/>
                <w:bCs/>
                <w:lang w:val="pt-BR"/>
              </w:rPr>
              <w:t>Pct. 4 și 259 din Regulamentul privind cadrul de administrare a activităţii băncilor, aprobat prin HCE nr. 322  din  20.12.2018</w:t>
            </w:r>
          </w:p>
          <w:p w14:paraId="38273DFD" w14:textId="77777777" w:rsidR="002F47A0" w:rsidRPr="009E686F" w:rsidRDefault="002F47A0" w:rsidP="002F47A0">
            <w:pPr>
              <w:spacing w:after="0"/>
              <w:rPr>
                <w:rFonts w:ascii="Times New Roman" w:eastAsia="Times New Roman" w:hAnsi="Times New Roman" w:cs="Times New Roman"/>
                <w:bCs/>
                <w:lang w:val="ro-RO"/>
              </w:rPr>
            </w:pPr>
          </w:p>
          <w:p w14:paraId="2522A99B" w14:textId="4A216A0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4. În sensul prezentului regulament, termenii şi expresiile de mai jos au următoarele semnificaţii:</w:t>
            </w:r>
          </w:p>
          <w:p w14:paraId="4B9A6985" w14:textId="77777777" w:rsidR="002F47A0" w:rsidRPr="009E686F" w:rsidRDefault="002F47A0" w:rsidP="002F47A0">
            <w:pPr>
              <w:pStyle w:val="a8"/>
              <w:spacing w:before="0" w:after="0"/>
              <w:ind w:left="0" w:right="30"/>
              <w:jc w:val="both"/>
              <w:rPr>
                <w:sz w:val="22"/>
                <w:szCs w:val="22"/>
                <w:lang w:val="ro-RO"/>
              </w:rPr>
            </w:pPr>
            <w:r w:rsidRPr="009E686F">
              <w:rPr>
                <w:sz w:val="22"/>
                <w:szCs w:val="22"/>
                <w:lang w:val="ro-RO"/>
              </w:rPr>
              <w:t>risc operaţional – riscul actual sau viitor de afectare a profiturilor şi a capitalului care rezultă din procese sau sisteme interne inadecvate sau eşuate şi/sau în urma acţiunii unor persoane sau evenimente externe;</w:t>
            </w:r>
          </w:p>
          <w:p w14:paraId="73F4126E" w14:textId="2EA002DB" w:rsidR="002F47A0" w:rsidRPr="009E686F" w:rsidRDefault="002F47A0" w:rsidP="002F47A0">
            <w:pPr>
              <w:pStyle w:val="a8"/>
              <w:spacing w:before="0" w:after="0"/>
              <w:ind w:left="0" w:right="30"/>
              <w:jc w:val="both"/>
              <w:rPr>
                <w:bCs/>
                <w:sz w:val="22"/>
                <w:szCs w:val="22"/>
                <w:lang w:val="ro-RO"/>
              </w:rPr>
            </w:pPr>
            <w:r w:rsidRPr="009E686F">
              <w:rPr>
                <w:bCs/>
                <w:sz w:val="22"/>
                <w:szCs w:val="22"/>
                <w:lang w:val="ro-RO"/>
              </w:rPr>
              <w:t xml:space="preserve"> </w:t>
            </w:r>
          </w:p>
          <w:p w14:paraId="5630423A" w14:textId="7FE021BE" w:rsidR="002F47A0" w:rsidRPr="009E686F" w:rsidRDefault="002F47A0" w:rsidP="002F47A0">
            <w:pPr>
              <w:pStyle w:val="a8"/>
              <w:spacing w:before="0" w:after="0"/>
              <w:ind w:left="0" w:right="30"/>
              <w:jc w:val="both"/>
              <w:rPr>
                <w:bCs/>
                <w:sz w:val="22"/>
                <w:szCs w:val="22"/>
                <w:lang w:val="ro-RO"/>
              </w:rPr>
            </w:pPr>
            <w:r w:rsidRPr="009E686F">
              <w:rPr>
                <w:bCs/>
                <w:sz w:val="22"/>
                <w:szCs w:val="22"/>
                <w:lang w:val="ro-RO"/>
              </w:rPr>
              <w:t>259. Banca va dispune de politici de administrare a riscului operaţional care să ia în considerare competenţele şi comportamentele (individuale şi corporative) ce determină angajamentul şi stilul de administrare de către bancă a riscurilor asociate riscului operaţional.</w:t>
            </w:r>
          </w:p>
        </w:tc>
        <w:tc>
          <w:tcPr>
            <w:tcW w:w="470" w:type="pct"/>
            <w:tcBorders>
              <w:top w:val="single" w:sz="4" w:space="0" w:color="auto"/>
              <w:left w:val="single" w:sz="4" w:space="0" w:color="auto"/>
              <w:bottom w:val="single" w:sz="4" w:space="0" w:color="auto"/>
              <w:right w:val="single" w:sz="4" w:space="0" w:color="auto"/>
            </w:tcBorders>
          </w:tcPr>
          <w:p w14:paraId="6864A65D" w14:textId="3F6A0CDB"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Parțial compatibil</w:t>
            </w:r>
          </w:p>
          <w:p w14:paraId="39847B63" w14:textId="3A3061F1"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 xml:space="preserve"> </w:t>
            </w:r>
          </w:p>
        </w:tc>
        <w:tc>
          <w:tcPr>
            <w:tcW w:w="806" w:type="pct"/>
            <w:tcBorders>
              <w:top w:val="single" w:sz="4" w:space="0" w:color="auto"/>
              <w:left w:val="single" w:sz="4" w:space="0" w:color="auto"/>
              <w:bottom w:val="single" w:sz="4" w:space="0" w:color="auto"/>
              <w:right w:val="single" w:sz="4" w:space="0" w:color="auto"/>
            </w:tcBorders>
          </w:tcPr>
          <w:p w14:paraId="5BC4D680" w14:textId="2F467C51" w:rsidR="00E30119" w:rsidRPr="009E686F" w:rsidRDefault="002F47A0" w:rsidP="005A2844">
            <w:pPr>
              <w:spacing w:line="240" w:lineRule="auto"/>
              <w:jc w:val="both"/>
              <w:rPr>
                <w:lang w:val="it-CH"/>
              </w:rPr>
            </w:pPr>
            <w:r w:rsidRPr="009E686F">
              <w:rPr>
                <w:rFonts w:ascii="Times New Roman" w:hAnsi="Times New Roman" w:cs="Times New Roman"/>
                <w:lang w:val="ro-RO"/>
              </w:rPr>
              <w:t>Transpunerea totală se va asigura prin proiectul de modificare a Regulamentului nr. 322/2018</w:t>
            </w:r>
            <w:r w:rsidR="00E30119" w:rsidRPr="009E686F">
              <w:rPr>
                <w:rFonts w:ascii="Times New Roman" w:hAnsi="Times New Roman" w:cs="Times New Roman"/>
                <w:lang w:val="ro-RO"/>
              </w:rPr>
              <w:t xml:space="preserve"> (</w:t>
            </w:r>
            <w:r w:rsidR="00E30119" w:rsidRPr="009E686F">
              <w:rPr>
                <w:rFonts w:ascii="Times New Roman" w:eastAsia="Times New Roman" w:hAnsi="Times New Roman" w:cs="Times New Roman"/>
                <w:bCs/>
                <w:lang w:val="it-CH" w:eastAsia="ru-RU"/>
              </w:rPr>
              <w:t>acțiunea normativă nr. 2 din Anexa A din PNA 2025-2029 aferentă Capitolului 9 “Servicii financiare” în legătură cu transpunerea Directivei 2013/36/UE).</w:t>
            </w:r>
          </w:p>
          <w:p w14:paraId="23B7C8EC" w14:textId="2965DE9E" w:rsidR="002F47A0" w:rsidRPr="009E686F" w:rsidRDefault="002F47A0" w:rsidP="005A2844">
            <w:pPr>
              <w:spacing w:line="240" w:lineRule="auto"/>
              <w:jc w:val="both"/>
              <w:rPr>
                <w:rFonts w:ascii="Times New Roman" w:hAnsi="Times New Roman" w:cs="Times New Roman"/>
                <w:lang w:val="ro-RO"/>
              </w:rPr>
            </w:pPr>
          </w:p>
        </w:tc>
      </w:tr>
      <w:tr w:rsidR="002F47A0" w:rsidRPr="009E686F" w14:paraId="6724825A" w14:textId="683DF8B0" w:rsidTr="00774F3E">
        <w:tc>
          <w:tcPr>
            <w:tcW w:w="1796" w:type="pct"/>
            <w:gridSpan w:val="2"/>
            <w:tcBorders>
              <w:top w:val="single" w:sz="4" w:space="0" w:color="auto"/>
              <w:left w:val="single" w:sz="4" w:space="0" w:color="auto"/>
              <w:bottom w:val="single" w:sz="4" w:space="0" w:color="auto"/>
              <w:right w:val="single" w:sz="4" w:space="0" w:color="auto"/>
            </w:tcBorders>
          </w:tcPr>
          <w:p w14:paraId="2A95912B" w14:textId="67B09BA2"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(2) Autoritățile competente se asigură că instituțiile dispun de politici și planuri adecvate de intervenție și de continuitate a activității, inclusiv de politici și planuri de continuitate a activității TIC și de planuri de răspuns și de recuperare în domeniul TIC pentru tehnologia pe care o utilizează pentru comunicarea informațiilor și că aceste planuri sunt elaborate, gestionate și testate în conformitate cu articolul 11 din Regulamentul (UE) 2022/2554, pentru a le permite instituțiilor să își continue activitatea în caz de întrerupere gravă a activității și să limiteze pierderile suportate ca urmare a unei astfel de întreruperi.</w:t>
            </w:r>
          </w:p>
          <w:p w14:paraId="4139870B" w14:textId="2A958B17" w:rsidR="002F47A0" w:rsidRPr="009E686F" w:rsidRDefault="002F47A0" w:rsidP="002F47A0">
            <w:pPr>
              <w:spacing w:after="0"/>
              <w:jc w:val="both"/>
              <w:rPr>
                <w:rFonts w:ascii="Times New Roman" w:hAnsi="Times New Roman" w:cs="Times New Roman"/>
                <w:lang w:val="ro-RO"/>
              </w:rPr>
            </w:pPr>
          </w:p>
        </w:tc>
        <w:tc>
          <w:tcPr>
            <w:tcW w:w="1928" w:type="pct"/>
            <w:gridSpan w:val="3"/>
            <w:tcBorders>
              <w:top w:val="single" w:sz="4" w:space="0" w:color="auto"/>
              <w:left w:val="single" w:sz="4" w:space="0" w:color="auto"/>
              <w:bottom w:val="single" w:sz="4" w:space="0" w:color="auto"/>
              <w:right w:val="single" w:sz="4" w:space="0" w:color="auto"/>
            </w:tcBorders>
          </w:tcPr>
          <w:p w14:paraId="7F09DAEF" w14:textId="3E867532" w:rsidR="002F47A0" w:rsidRPr="009E686F" w:rsidRDefault="002F47A0" w:rsidP="002F47A0">
            <w:pPr>
              <w:spacing w:after="0"/>
              <w:jc w:val="both"/>
              <w:rPr>
                <w:rFonts w:ascii="Times New Roman" w:hAnsi="Times New Roman" w:cs="Times New Roman"/>
                <w:bCs/>
                <w:lang w:val="ro-RO"/>
              </w:rPr>
            </w:pPr>
          </w:p>
        </w:tc>
        <w:tc>
          <w:tcPr>
            <w:tcW w:w="470" w:type="pct"/>
            <w:tcBorders>
              <w:top w:val="single" w:sz="4" w:space="0" w:color="auto"/>
              <w:left w:val="single" w:sz="4" w:space="0" w:color="auto"/>
              <w:bottom w:val="single" w:sz="4" w:space="0" w:color="auto"/>
              <w:right w:val="single" w:sz="4" w:space="0" w:color="auto"/>
            </w:tcBorders>
          </w:tcPr>
          <w:p w14:paraId="545636AF" w14:textId="1CBA8907"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 xml:space="preserve">Norme UE netranspuse </w:t>
            </w:r>
          </w:p>
          <w:p w14:paraId="38210E0B" w14:textId="1D9B74A6" w:rsidR="002F47A0" w:rsidRPr="009E686F" w:rsidRDefault="002F47A0" w:rsidP="002F47A0">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032E7141" w14:textId="12C2F914" w:rsidR="00E30119" w:rsidRPr="009E686F" w:rsidRDefault="002F47A0" w:rsidP="005A2844">
            <w:pPr>
              <w:spacing w:line="240" w:lineRule="auto"/>
              <w:jc w:val="both"/>
              <w:rPr>
                <w:lang w:val="it-CH"/>
              </w:rPr>
            </w:pPr>
            <w:r w:rsidRPr="009E686F">
              <w:rPr>
                <w:rFonts w:ascii="Times New Roman" w:hAnsi="Times New Roman" w:cs="Times New Roman"/>
                <w:lang w:val="ro-RO"/>
              </w:rPr>
              <w:t>Se vor regăsi în proiectul de modificare a Regulamentului nr. 322/2018</w:t>
            </w:r>
            <w:r w:rsidR="00E30119" w:rsidRPr="009E686F">
              <w:rPr>
                <w:rFonts w:ascii="Times New Roman" w:hAnsi="Times New Roman" w:cs="Times New Roman"/>
                <w:lang w:val="ro-RO"/>
              </w:rPr>
              <w:t xml:space="preserve"> (</w:t>
            </w:r>
            <w:r w:rsidR="00E30119" w:rsidRPr="009E686F">
              <w:rPr>
                <w:rFonts w:ascii="Times New Roman" w:eastAsia="Times New Roman" w:hAnsi="Times New Roman" w:cs="Times New Roman"/>
                <w:bCs/>
                <w:sz w:val="20"/>
                <w:szCs w:val="20"/>
                <w:lang w:val="it-CH" w:eastAsia="ru-RU"/>
              </w:rPr>
              <w:t>acțiunea normativă nr. 2 din Anexa A din PNA 2025-2029 aferentă Capitolului 9 “Servicii financiare” în legătură cu transpunerea Directivei 2013/36/UE).</w:t>
            </w:r>
          </w:p>
          <w:p w14:paraId="10BD1604" w14:textId="27BB8CDA" w:rsidR="002F47A0" w:rsidRPr="009E686F" w:rsidRDefault="002F47A0" w:rsidP="005A2844">
            <w:pPr>
              <w:spacing w:line="240" w:lineRule="auto"/>
              <w:jc w:val="both"/>
              <w:rPr>
                <w:rFonts w:ascii="Times New Roman" w:hAnsi="Times New Roman" w:cs="Times New Roman"/>
                <w:b/>
                <w:bCs/>
                <w:lang w:val="it-CH"/>
              </w:rPr>
            </w:pPr>
          </w:p>
        </w:tc>
      </w:tr>
      <w:tr w:rsidR="002F47A0" w:rsidRPr="009E686F" w14:paraId="5A8AB230" w14:textId="70B35682" w:rsidTr="00774F3E">
        <w:tc>
          <w:tcPr>
            <w:tcW w:w="1796" w:type="pct"/>
            <w:gridSpan w:val="2"/>
            <w:tcBorders>
              <w:top w:val="single" w:sz="4" w:space="0" w:color="auto"/>
              <w:left w:val="single" w:sz="4" w:space="0" w:color="auto"/>
              <w:bottom w:val="single" w:sz="4" w:space="0" w:color="auto"/>
              <w:right w:val="single" w:sz="4" w:space="0" w:color="auto"/>
            </w:tcBorders>
          </w:tcPr>
          <w:p w14:paraId="4D53A453" w14:textId="7E12CD02"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lastRenderedPageBreak/>
              <w:t xml:space="preserve">Articolul 86  </w:t>
            </w:r>
            <w:r w:rsidRPr="009E686F">
              <w:rPr>
                <w:rFonts w:ascii="Times New Roman" w:hAnsi="Times New Roman" w:cs="Times New Roman"/>
                <w:b/>
                <w:bCs/>
                <w:lang w:val="ro-RO"/>
              </w:rPr>
              <w:t>Riscul de lichiditate</w:t>
            </w:r>
          </w:p>
        </w:tc>
        <w:tc>
          <w:tcPr>
            <w:tcW w:w="1928" w:type="pct"/>
            <w:gridSpan w:val="3"/>
            <w:tcBorders>
              <w:top w:val="single" w:sz="4" w:space="0" w:color="auto"/>
              <w:left w:val="single" w:sz="4" w:space="0" w:color="auto"/>
              <w:bottom w:val="single" w:sz="4" w:space="0" w:color="auto"/>
              <w:right w:val="single" w:sz="4" w:space="0" w:color="auto"/>
            </w:tcBorders>
          </w:tcPr>
          <w:p w14:paraId="07E3E058" w14:textId="77777777" w:rsidR="002F47A0" w:rsidRPr="009E686F" w:rsidRDefault="002F47A0" w:rsidP="002F47A0">
            <w:pPr>
              <w:spacing w:after="0"/>
              <w:jc w:val="both"/>
              <w:rPr>
                <w:rFonts w:ascii="Times New Roman" w:hAnsi="Times New Roman" w:cs="Times New Roman"/>
                <w:b/>
                <w:lang w:val="ro-RO"/>
              </w:rPr>
            </w:pPr>
            <w:r w:rsidRPr="009E686F">
              <w:rPr>
                <w:rFonts w:ascii="Times New Roman" w:hAnsi="Times New Roman" w:cs="Times New Roman"/>
                <w:lang w:val="ro-RO"/>
              </w:rPr>
              <w:t>(4) În sensul alin. (1)-(3), sunt avute în vedere riscuri precum: riscul de credit şi al contrapărții,</w:t>
            </w:r>
            <w:r w:rsidRPr="009E686F">
              <w:rPr>
                <w:rFonts w:ascii="Times New Roman" w:hAnsi="Times New Roman" w:cs="Times New Roman"/>
                <w:b/>
                <w:lang w:val="ro-RO"/>
              </w:rPr>
              <w:t xml:space="preserve"> </w:t>
            </w:r>
            <w:r w:rsidRPr="009E686F">
              <w:rPr>
                <w:rFonts w:ascii="Times New Roman" w:hAnsi="Times New Roman" w:cs="Times New Roman"/>
                <w:lang w:val="ro-RO"/>
              </w:rPr>
              <w:t xml:space="preserve">riscul rezidual, riscul de concentrare, riscul de securitizare, riscul de piață, riscul de rată a dobânzii din activități în afara portofoliului de tranzacționare, riscul operațional, care include și riscul denaturării securității și integrității sistemelor informaționale, </w:t>
            </w:r>
            <w:r w:rsidRPr="009E686F">
              <w:rPr>
                <w:rFonts w:ascii="Times New Roman" w:hAnsi="Times New Roman" w:cs="Times New Roman"/>
                <w:b/>
                <w:lang w:val="ro-RO"/>
              </w:rPr>
              <w:t>riscul de lichiditate</w:t>
            </w:r>
            <w:r w:rsidRPr="009E686F">
              <w:rPr>
                <w:rFonts w:ascii="Times New Roman" w:hAnsi="Times New Roman" w:cs="Times New Roman"/>
                <w:lang w:val="ro-RO"/>
              </w:rPr>
              <w:t xml:space="preserve"> şi riscul efectului de levier excesiv, care include și riscul denaturării securității și integrității informaționale,</w:t>
            </w:r>
          </w:p>
        </w:tc>
        <w:tc>
          <w:tcPr>
            <w:tcW w:w="470" w:type="pct"/>
            <w:tcBorders>
              <w:top w:val="single" w:sz="4" w:space="0" w:color="auto"/>
              <w:left w:val="single" w:sz="4" w:space="0" w:color="auto"/>
              <w:bottom w:val="single" w:sz="4" w:space="0" w:color="auto"/>
              <w:right w:val="single" w:sz="4" w:space="0" w:color="auto"/>
            </w:tcBorders>
          </w:tcPr>
          <w:p w14:paraId="4C224A56" w14:textId="6D204E19"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10A816A3" w14:textId="77777777" w:rsidR="002F47A0" w:rsidRPr="009E686F" w:rsidRDefault="002F47A0" w:rsidP="002F47A0">
            <w:pPr>
              <w:jc w:val="both"/>
              <w:rPr>
                <w:rFonts w:ascii="Times New Roman" w:hAnsi="Times New Roman" w:cs="Times New Roman"/>
                <w:lang w:val="ro-RO"/>
              </w:rPr>
            </w:pPr>
          </w:p>
        </w:tc>
      </w:tr>
      <w:tr w:rsidR="002F47A0" w:rsidRPr="009E686F" w14:paraId="30B1B029" w14:textId="5236E836" w:rsidTr="00774F3E">
        <w:tc>
          <w:tcPr>
            <w:tcW w:w="1796" w:type="pct"/>
            <w:gridSpan w:val="2"/>
            <w:tcBorders>
              <w:top w:val="single" w:sz="4" w:space="0" w:color="auto"/>
              <w:left w:val="single" w:sz="4" w:space="0" w:color="auto"/>
              <w:bottom w:val="single" w:sz="4" w:space="0" w:color="auto"/>
              <w:right w:val="single" w:sz="4" w:space="0" w:color="auto"/>
            </w:tcBorders>
          </w:tcPr>
          <w:p w14:paraId="4A7DA2B7" w14:textId="63DA47C3"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 xml:space="preserve">(1) Autoritățile competente se asigură că instituțiile au strategii, politici, procese și sisteme robuste de identificare, măsurare, gestionare și monitorizare a riscului de lichiditate în cadrul unui număr corespunzător de termene, inclusiv pe parcursul zilei (intra-day), astfel încât să se asigure că instituțiile mențin rate adecvate de amortizoare de lichidități. </w:t>
            </w:r>
          </w:p>
          <w:p w14:paraId="3AB0554A" w14:textId="77777777" w:rsidR="002F47A0" w:rsidRPr="009E686F" w:rsidRDefault="002F47A0" w:rsidP="002F47A0">
            <w:pPr>
              <w:spacing w:after="0"/>
              <w:jc w:val="both"/>
              <w:rPr>
                <w:rFonts w:ascii="Times New Roman" w:hAnsi="Times New Roman" w:cs="Times New Roman"/>
                <w:lang w:val="ro-RO"/>
              </w:rPr>
            </w:pPr>
          </w:p>
          <w:p w14:paraId="50D828EF" w14:textId="7C7F4CC0"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Respectivele strategii, politici, procese și sisteme sunt ajustate în funcție de liniile de activitate, monede, sucursale și entități juridice și includ mecanisme corespunzătoare de alocare pentru costurile de lichiditate, beneficii și riscuri.</w:t>
            </w:r>
          </w:p>
        </w:tc>
        <w:tc>
          <w:tcPr>
            <w:tcW w:w="1928" w:type="pct"/>
            <w:gridSpan w:val="3"/>
            <w:tcBorders>
              <w:top w:val="single" w:sz="4" w:space="0" w:color="auto"/>
              <w:left w:val="single" w:sz="4" w:space="0" w:color="auto"/>
              <w:bottom w:val="single" w:sz="4" w:space="0" w:color="auto"/>
              <w:right w:val="single" w:sz="4" w:space="0" w:color="auto"/>
            </w:tcBorders>
          </w:tcPr>
          <w:p w14:paraId="6FC8F683" w14:textId="2F9183F0" w:rsidR="002F47A0" w:rsidRPr="009E686F" w:rsidRDefault="002F47A0" w:rsidP="002F47A0">
            <w:pPr>
              <w:spacing w:after="0"/>
              <w:jc w:val="both"/>
              <w:rPr>
                <w:rFonts w:ascii="Times New Roman" w:hAnsi="Times New Roman" w:cs="Times New Roman"/>
                <w:b/>
                <w:lang w:val="ro-RO"/>
              </w:rPr>
            </w:pPr>
            <w:r w:rsidRPr="009E686F">
              <w:rPr>
                <w:rFonts w:ascii="Times New Roman" w:hAnsi="Times New Roman" w:cs="Times New Roman"/>
                <w:b/>
                <w:lang w:val="ro-RO"/>
              </w:rPr>
              <w:t>Articolul 79. Procesul de evaluare a adecvării lichidității</w:t>
            </w:r>
          </w:p>
          <w:p w14:paraId="39BB3E2E" w14:textId="66A24DF8" w:rsidR="002F47A0" w:rsidRPr="009E686F" w:rsidRDefault="002F47A0" w:rsidP="002F47A0">
            <w:pPr>
              <w:spacing w:after="0"/>
              <w:jc w:val="both"/>
              <w:rPr>
                <w:rFonts w:ascii="Times New Roman" w:hAnsi="Times New Roman" w:cs="Times New Roman"/>
                <w:bCs/>
                <w:lang w:val="ro-RO"/>
              </w:rPr>
            </w:pPr>
            <w:r w:rsidRPr="009E686F">
              <w:rPr>
                <w:rFonts w:ascii="Times New Roman" w:hAnsi="Times New Roman" w:cs="Times New Roman"/>
                <w:bCs/>
                <w:lang w:val="ro-RO"/>
              </w:rPr>
              <w:t xml:space="preserve">(1) </w:t>
            </w:r>
            <w:r w:rsidRPr="009E686F">
              <w:rPr>
                <w:rFonts w:ascii="Times New Roman" w:hAnsi="Times New Roman" w:cs="Times New Roman"/>
                <w:bCs/>
                <w:i/>
                <w:iCs/>
                <w:lang w:val="ro-RO"/>
              </w:rPr>
              <w:t>Instituțiile de credit</w:t>
            </w:r>
            <w:r w:rsidRPr="009E686F">
              <w:rPr>
                <w:rFonts w:ascii="Times New Roman" w:hAnsi="Times New Roman" w:cs="Times New Roman"/>
                <w:bCs/>
                <w:lang w:val="ro-RO"/>
              </w:rPr>
              <w:t xml:space="preserve"> trebuie să menţină niveluri adecvate ale rezervelor de lichiditate.</w:t>
            </w:r>
          </w:p>
          <w:p w14:paraId="5F4D2E38" w14:textId="33EA2CDF" w:rsidR="002F47A0" w:rsidRPr="009E686F" w:rsidRDefault="002F47A0" w:rsidP="002F47A0">
            <w:pPr>
              <w:spacing w:after="0"/>
              <w:jc w:val="both"/>
              <w:rPr>
                <w:rFonts w:ascii="Times New Roman" w:hAnsi="Times New Roman" w:cs="Times New Roman"/>
                <w:bCs/>
                <w:lang w:val="ro-RO"/>
              </w:rPr>
            </w:pPr>
            <w:r w:rsidRPr="009E686F">
              <w:rPr>
                <w:rFonts w:ascii="Times New Roman" w:hAnsi="Times New Roman" w:cs="Times New Roman"/>
                <w:bCs/>
                <w:lang w:val="ro-RO"/>
              </w:rPr>
              <w:t xml:space="preserve">(2) În sensul alin.(1), </w:t>
            </w:r>
            <w:r w:rsidRPr="009E686F">
              <w:rPr>
                <w:rFonts w:ascii="Times New Roman" w:hAnsi="Times New Roman" w:cs="Times New Roman"/>
                <w:bCs/>
                <w:i/>
                <w:iCs/>
                <w:lang w:val="ro-RO"/>
              </w:rPr>
              <w:t>instituțiile de credit</w:t>
            </w:r>
            <w:r w:rsidRPr="009E686F">
              <w:rPr>
                <w:rFonts w:ascii="Times New Roman" w:hAnsi="Times New Roman" w:cs="Times New Roman"/>
                <w:bCs/>
                <w:lang w:val="ro-RO"/>
              </w:rPr>
              <w:t xml:space="preserve"> trebuie să dispună de strategii, politici, procese şi sisteme robuste pentru identificarea, măsurarea, administrarea şi monitorizarea riscului de lichiditate de-a lungul unei serii corespunzătoare de orizonturi de timp, inclusiv pe parcursul zilei.</w:t>
            </w:r>
          </w:p>
          <w:p w14:paraId="2069A9C1" w14:textId="7FC97E8B" w:rsidR="002F47A0" w:rsidRPr="009E686F" w:rsidRDefault="002F47A0" w:rsidP="002F47A0">
            <w:pPr>
              <w:spacing w:after="0"/>
              <w:jc w:val="both"/>
              <w:rPr>
                <w:rFonts w:ascii="Times New Roman" w:hAnsi="Times New Roman" w:cs="Times New Roman"/>
                <w:b/>
                <w:bCs/>
                <w:lang w:val="pt-BR"/>
              </w:rPr>
            </w:pPr>
            <w:r w:rsidRPr="009E686F">
              <w:rPr>
                <w:rFonts w:ascii="Times New Roman" w:hAnsi="Times New Roman" w:cs="Times New Roman"/>
                <w:b/>
                <w:bCs/>
                <w:lang w:val="pt-BR"/>
              </w:rPr>
              <w:t>Pct. 387</w:t>
            </w:r>
            <w:r w:rsidRPr="009E686F">
              <w:rPr>
                <w:rFonts w:ascii="Times New Roman" w:hAnsi="Times New Roman" w:cs="Times New Roman"/>
                <w:b/>
                <w:bCs/>
                <w:vertAlign w:val="superscript"/>
                <w:lang w:val="pt-BR"/>
              </w:rPr>
              <w:t>3</w:t>
            </w:r>
            <w:r w:rsidRPr="009E686F">
              <w:rPr>
                <w:rFonts w:ascii="Times New Roman" w:hAnsi="Times New Roman" w:cs="Times New Roman"/>
                <w:b/>
                <w:bCs/>
                <w:lang w:val="pt-BR"/>
              </w:rPr>
              <w:t xml:space="preserve"> din Regulamentul privind cadrul de administrare a activităţii băncilor, aprobat prin HCE nr. 322  din  20.12.2018</w:t>
            </w:r>
          </w:p>
          <w:p w14:paraId="4FBFCDED" w14:textId="77777777" w:rsidR="002F47A0" w:rsidRPr="009E686F" w:rsidRDefault="002F47A0" w:rsidP="002F47A0">
            <w:pPr>
              <w:spacing w:after="0"/>
              <w:jc w:val="both"/>
              <w:rPr>
                <w:rFonts w:ascii="Times New Roman" w:hAnsi="Times New Roman" w:cs="Times New Roman"/>
                <w:b/>
                <w:bCs/>
                <w:lang w:val="ro-RO"/>
              </w:rPr>
            </w:pPr>
          </w:p>
          <w:p w14:paraId="203208AF" w14:textId="3A67A58A"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b/>
                <w:lang w:val="ro-RO"/>
              </w:rPr>
              <w:t>387</w:t>
            </w:r>
            <w:r w:rsidRPr="009E686F">
              <w:rPr>
                <w:rFonts w:ascii="Times New Roman" w:hAnsi="Times New Roman" w:cs="Times New Roman"/>
                <w:b/>
                <w:vertAlign w:val="superscript"/>
                <w:lang w:val="ro-RO"/>
              </w:rPr>
              <w:t>3</w:t>
            </w:r>
            <w:r w:rsidRPr="009E686F">
              <w:rPr>
                <w:rFonts w:ascii="Times New Roman" w:hAnsi="Times New Roman" w:cs="Times New Roman"/>
                <w:b/>
                <w:lang w:val="ro-RO"/>
              </w:rPr>
              <w:t xml:space="preserve"> </w:t>
            </w:r>
            <w:r w:rsidRPr="009E686F">
              <w:rPr>
                <w:rFonts w:ascii="Times New Roman" w:hAnsi="Times New Roman" w:cs="Times New Roman"/>
                <w:lang w:val="ro-RO"/>
              </w:rPr>
              <w:t>Strategiile, politicile, procesele şi sistemele băncii menţionate la art.79 alin.(3) din Legea nr.202/2017 se ajustează în funcţie de liniile de activitate, monede, sucursale şi entităţi şi includ mecanisme corespunzătoare de alocare pentru costurile de lichiditate, beneficii şi riscuri.</w:t>
            </w:r>
          </w:p>
        </w:tc>
        <w:tc>
          <w:tcPr>
            <w:tcW w:w="470" w:type="pct"/>
            <w:tcBorders>
              <w:top w:val="single" w:sz="4" w:space="0" w:color="auto"/>
              <w:left w:val="single" w:sz="4" w:space="0" w:color="auto"/>
              <w:bottom w:val="single" w:sz="4" w:space="0" w:color="auto"/>
              <w:right w:val="single" w:sz="4" w:space="0" w:color="auto"/>
            </w:tcBorders>
          </w:tcPr>
          <w:p w14:paraId="4176EDDC" w14:textId="06D72F58"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p w14:paraId="37DC4231" w14:textId="77777777" w:rsidR="002F47A0" w:rsidRPr="009E686F" w:rsidRDefault="002F47A0" w:rsidP="002F47A0">
            <w:pPr>
              <w:jc w:val="both"/>
              <w:rPr>
                <w:rFonts w:ascii="Times New Roman" w:hAnsi="Times New Roman" w:cs="Times New Roman"/>
                <w:lang w:val="ro-RO"/>
              </w:rPr>
            </w:pPr>
          </w:p>
          <w:p w14:paraId="181D2218" w14:textId="36313A06" w:rsidR="002F47A0" w:rsidRPr="009E686F" w:rsidRDefault="002F47A0" w:rsidP="002F47A0">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0F36CE03" w14:textId="77777777" w:rsidR="002F47A0" w:rsidRPr="009E686F" w:rsidRDefault="002F47A0" w:rsidP="002F47A0">
            <w:pPr>
              <w:jc w:val="both"/>
              <w:rPr>
                <w:rFonts w:ascii="Times New Roman" w:hAnsi="Times New Roman" w:cs="Times New Roman"/>
                <w:lang w:val="ro-RO"/>
              </w:rPr>
            </w:pPr>
          </w:p>
        </w:tc>
      </w:tr>
      <w:tr w:rsidR="002F47A0" w:rsidRPr="009E686F" w14:paraId="543D2190" w14:textId="3DBE59D6" w:rsidTr="00774F3E">
        <w:tc>
          <w:tcPr>
            <w:tcW w:w="1796" w:type="pct"/>
            <w:gridSpan w:val="2"/>
            <w:tcBorders>
              <w:top w:val="single" w:sz="4" w:space="0" w:color="auto"/>
              <w:left w:val="single" w:sz="4" w:space="0" w:color="auto"/>
              <w:bottom w:val="single" w:sz="4" w:space="0" w:color="auto"/>
              <w:right w:val="single" w:sz="4" w:space="0" w:color="auto"/>
            </w:tcBorders>
          </w:tcPr>
          <w:p w14:paraId="7CE5F796" w14:textId="15011230"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(2) Strategiile, politicile, procesele și sistemele menționate la alineatul (1) trebuie să fie proporționale cu complexitatea, profilul de risc, sfera activității instituțiilor și toleranța la risc stabilite de organul de conducere și să reflecte importanța instituției în fiecare stat membru în care aceasta își desfășoară activitatea. Instituțiile comunică toleranța la risc tuturor liniilor de activitate relevante.</w:t>
            </w:r>
          </w:p>
        </w:tc>
        <w:tc>
          <w:tcPr>
            <w:tcW w:w="1928" w:type="pct"/>
            <w:gridSpan w:val="3"/>
            <w:tcBorders>
              <w:top w:val="single" w:sz="4" w:space="0" w:color="auto"/>
              <w:left w:val="single" w:sz="4" w:space="0" w:color="auto"/>
              <w:bottom w:val="single" w:sz="4" w:space="0" w:color="auto"/>
              <w:right w:val="single" w:sz="4" w:space="0" w:color="auto"/>
            </w:tcBorders>
          </w:tcPr>
          <w:p w14:paraId="73D75F88" w14:textId="442D6190" w:rsidR="002F47A0" w:rsidRPr="009E686F" w:rsidRDefault="002F47A0" w:rsidP="002F47A0">
            <w:pPr>
              <w:spacing w:after="0"/>
              <w:jc w:val="both"/>
              <w:rPr>
                <w:rFonts w:ascii="Times New Roman" w:hAnsi="Times New Roman" w:cs="Times New Roman"/>
                <w:b/>
                <w:lang w:val="ro-RO"/>
              </w:rPr>
            </w:pPr>
            <w:r w:rsidRPr="009E686F">
              <w:rPr>
                <w:rFonts w:ascii="Times New Roman" w:hAnsi="Times New Roman" w:cs="Times New Roman"/>
                <w:b/>
                <w:lang w:val="ro-RO"/>
              </w:rPr>
              <w:t>Articolul 79 alin. (3)</w:t>
            </w:r>
          </w:p>
          <w:p w14:paraId="279201AE" w14:textId="77777777" w:rsidR="002F47A0" w:rsidRPr="009E686F" w:rsidRDefault="002F47A0" w:rsidP="002F47A0">
            <w:pPr>
              <w:spacing w:after="0"/>
              <w:jc w:val="both"/>
              <w:rPr>
                <w:rFonts w:ascii="Times New Roman" w:hAnsi="Times New Roman" w:cs="Times New Roman"/>
                <w:i/>
                <w:iCs/>
                <w:lang w:val="ro-RO"/>
              </w:rPr>
            </w:pPr>
          </w:p>
          <w:p w14:paraId="355954CB" w14:textId="0FC2A7A3" w:rsidR="002F47A0" w:rsidRPr="009E686F" w:rsidRDefault="002F47A0" w:rsidP="002F47A0">
            <w:pPr>
              <w:spacing w:after="0"/>
              <w:jc w:val="both"/>
              <w:rPr>
                <w:rFonts w:ascii="Times New Roman" w:hAnsi="Times New Roman" w:cs="Times New Roman"/>
                <w:bCs/>
                <w:lang w:val="ro-RO"/>
              </w:rPr>
            </w:pPr>
            <w:r w:rsidRPr="009E686F">
              <w:rPr>
                <w:rFonts w:ascii="Times New Roman" w:hAnsi="Times New Roman" w:cs="Times New Roman"/>
                <w:bCs/>
                <w:lang w:val="ro-RO"/>
              </w:rPr>
              <w:t>(3) Strategiile, politicile, procesele şi sistemele prevăzute la alin.(2) trebuie să fie proporţionale cu complexitatea, profilul de risc, obiectul de activitate al băncilor şi toleranţa la risc stabilite de organul de conducere</w:t>
            </w:r>
            <w:r w:rsidRPr="009E686F">
              <w:rPr>
                <w:rFonts w:ascii="Times New Roman" w:hAnsi="Times New Roman" w:cs="Times New Roman"/>
                <w:i/>
                <w:lang w:val="ro-RO"/>
              </w:rPr>
              <w:t xml:space="preserve"> și să reflecte importanța instituției de </w:t>
            </w:r>
            <w:r w:rsidRPr="009E686F">
              <w:rPr>
                <w:rFonts w:ascii="Times New Roman" w:hAnsi="Times New Roman" w:cs="Times New Roman"/>
                <w:i/>
                <w:lang w:val="ro-RO"/>
              </w:rPr>
              <w:lastRenderedPageBreak/>
              <w:t>credit în fiecare stat membru în care aceasta își desfășoară activitatea</w:t>
            </w:r>
            <w:r w:rsidRPr="009E686F">
              <w:rPr>
                <w:rFonts w:ascii="Times New Roman" w:hAnsi="Times New Roman" w:cs="Times New Roman"/>
                <w:bCs/>
                <w:lang w:val="ro-RO"/>
              </w:rPr>
              <w:t>.</w:t>
            </w:r>
          </w:p>
          <w:p w14:paraId="5C0AFFAB" w14:textId="27EAA7D7" w:rsidR="002F47A0" w:rsidRPr="009E686F" w:rsidRDefault="002F47A0" w:rsidP="002F47A0">
            <w:pPr>
              <w:spacing w:after="0"/>
              <w:jc w:val="both"/>
              <w:rPr>
                <w:rFonts w:ascii="Times New Roman" w:hAnsi="Times New Roman" w:cs="Times New Roman"/>
                <w:lang w:val="ro-RO"/>
              </w:rPr>
            </w:pPr>
          </w:p>
        </w:tc>
        <w:tc>
          <w:tcPr>
            <w:tcW w:w="470" w:type="pct"/>
            <w:tcBorders>
              <w:top w:val="single" w:sz="4" w:space="0" w:color="auto"/>
              <w:left w:val="single" w:sz="4" w:space="0" w:color="auto"/>
              <w:bottom w:val="single" w:sz="4" w:space="0" w:color="auto"/>
              <w:right w:val="single" w:sz="4" w:space="0" w:color="auto"/>
            </w:tcBorders>
          </w:tcPr>
          <w:p w14:paraId="211DEDCB" w14:textId="6B733280"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lastRenderedPageBreak/>
              <w:t>Parțial compatibil</w:t>
            </w:r>
          </w:p>
          <w:p w14:paraId="2CFF2BB9" w14:textId="4CB7015D" w:rsidR="002F47A0" w:rsidRPr="009E686F" w:rsidRDefault="002F47A0" w:rsidP="002F47A0">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7E7143E9" w14:textId="2D049E07" w:rsidR="002F47A0" w:rsidRPr="009E686F" w:rsidRDefault="002F47A0" w:rsidP="005A2844">
            <w:pPr>
              <w:spacing w:line="240" w:lineRule="auto"/>
              <w:jc w:val="both"/>
              <w:rPr>
                <w:rFonts w:ascii="Times New Roman" w:hAnsi="Times New Roman" w:cs="Times New Roman"/>
                <w:lang w:val="ro-RO"/>
              </w:rPr>
            </w:pPr>
            <w:r w:rsidRPr="009E686F">
              <w:rPr>
                <w:rFonts w:ascii="Times New Roman" w:hAnsi="Times New Roman" w:cs="Times New Roman"/>
                <w:lang w:val="ro-RO"/>
              </w:rPr>
              <w:t>Transpunerea totală se va asigura prin proiectul de modificare a Regulamentului nr. 322/2018</w:t>
            </w:r>
            <w:r w:rsidR="0060434B" w:rsidRPr="009E686F">
              <w:rPr>
                <w:rFonts w:ascii="Times New Roman" w:hAnsi="Times New Roman" w:cs="Times New Roman"/>
                <w:lang w:val="ro-RO"/>
              </w:rPr>
              <w:t xml:space="preserve"> (</w:t>
            </w:r>
            <w:r w:rsidR="0060434B" w:rsidRPr="009E686F">
              <w:rPr>
                <w:rFonts w:ascii="Times New Roman" w:eastAsia="Times New Roman" w:hAnsi="Times New Roman" w:cs="Times New Roman"/>
                <w:bCs/>
                <w:lang w:val="it-CH" w:eastAsia="ru-RU"/>
              </w:rPr>
              <w:t>acțiunea normativă nr. 2 din Anexa A din PNA 2025-</w:t>
            </w:r>
            <w:r w:rsidR="0060434B" w:rsidRPr="009E686F">
              <w:rPr>
                <w:rFonts w:ascii="Times New Roman" w:eastAsia="Times New Roman" w:hAnsi="Times New Roman" w:cs="Times New Roman"/>
                <w:bCs/>
                <w:lang w:val="it-CH" w:eastAsia="ru-RU"/>
              </w:rPr>
              <w:lastRenderedPageBreak/>
              <w:t>2029 aferentă Capitolului 9 “Servicii financiare” în legătură cu transpunerea Directivei 2013/36/UE)</w:t>
            </w:r>
            <w:r w:rsidR="006B7EBA" w:rsidRPr="009E686F">
              <w:rPr>
                <w:rFonts w:ascii="Times New Roman" w:eastAsia="Times New Roman" w:hAnsi="Times New Roman" w:cs="Times New Roman"/>
                <w:bCs/>
                <w:lang w:val="it-CH" w:eastAsia="ru-RU"/>
              </w:rPr>
              <w:t>.</w:t>
            </w:r>
          </w:p>
        </w:tc>
      </w:tr>
      <w:tr w:rsidR="002F47A0" w:rsidRPr="009E686F" w14:paraId="68DD896F" w14:textId="10037458" w:rsidTr="00774F3E">
        <w:tc>
          <w:tcPr>
            <w:tcW w:w="1796" w:type="pct"/>
            <w:gridSpan w:val="2"/>
            <w:tcBorders>
              <w:top w:val="single" w:sz="4" w:space="0" w:color="auto"/>
              <w:left w:val="single" w:sz="4" w:space="0" w:color="auto"/>
              <w:bottom w:val="single" w:sz="4" w:space="0" w:color="auto"/>
              <w:right w:val="single" w:sz="4" w:space="0" w:color="auto"/>
            </w:tcBorders>
          </w:tcPr>
          <w:p w14:paraId="7644B459" w14:textId="4D8C2DF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lastRenderedPageBreak/>
              <w:t>(3) Autoritățile competente se asigură că instituțiile, ținând seama de natura, amploarea și complexitatea activităților acestora, dispun de profiluri de risc de lichiditate care respectă și nu depășesc nivelul stabilit pentru un sistem robust și care funcționează adecvat.</w:t>
            </w:r>
          </w:p>
        </w:tc>
        <w:tc>
          <w:tcPr>
            <w:tcW w:w="1928" w:type="pct"/>
            <w:gridSpan w:val="3"/>
            <w:tcBorders>
              <w:top w:val="single" w:sz="4" w:space="0" w:color="auto"/>
              <w:left w:val="single" w:sz="4" w:space="0" w:color="auto"/>
              <w:bottom w:val="single" w:sz="4" w:space="0" w:color="auto"/>
              <w:right w:val="single" w:sz="4" w:space="0" w:color="auto"/>
            </w:tcBorders>
          </w:tcPr>
          <w:p w14:paraId="58EBBBBE" w14:textId="57BE95EB" w:rsidR="002F47A0" w:rsidRPr="009E686F" w:rsidRDefault="002F47A0" w:rsidP="002F47A0">
            <w:pPr>
              <w:spacing w:after="0"/>
              <w:jc w:val="both"/>
              <w:rPr>
                <w:rFonts w:ascii="Times New Roman" w:hAnsi="Times New Roman" w:cs="Times New Roman"/>
                <w:b/>
                <w:lang w:val="ro-RO"/>
              </w:rPr>
            </w:pPr>
            <w:r w:rsidRPr="009E686F">
              <w:rPr>
                <w:rFonts w:ascii="Times New Roman" w:hAnsi="Times New Roman" w:cs="Times New Roman"/>
                <w:b/>
                <w:lang w:val="ro-RO"/>
              </w:rPr>
              <w:t>Articolul 79 alin. (4)-(5)</w:t>
            </w:r>
          </w:p>
          <w:p w14:paraId="75891F27"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 xml:space="preserve">(4) </w:t>
            </w:r>
            <w:r w:rsidRPr="009E686F">
              <w:rPr>
                <w:rFonts w:ascii="Times New Roman" w:hAnsi="Times New Roman" w:cs="Times New Roman"/>
                <w:i/>
                <w:lang w:val="ro-RO"/>
              </w:rPr>
              <w:t>Instituțiile de credit</w:t>
            </w:r>
            <w:r w:rsidRPr="009E686F">
              <w:rPr>
                <w:rFonts w:ascii="Times New Roman" w:hAnsi="Times New Roman" w:cs="Times New Roman"/>
                <w:lang w:val="ro-RO"/>
              </w:rPr>
              <w:t xml:space="preserve"> trebuie să dispună de profiluri de risc de lichiditate care respectă şi nu depăşesc nivelul stabilit pentru un sistem robust şi care funcţionează adecvat.</w:t>
            </w:r>
          </w:p>
          <w:p w14:paraId="3AB3E951" w14:textId="1CBC36E5" w:rsidR="002F47A0" w:rsidRPr="009E686F" w:rsidRDefault="002F47A0" w:rsidP="002F47A0">
            <w:pPr>
              <w:spacing w:after="0"/>
              <w:jc w:val="both"/>
              <w:rPr>
                <w:rFonts w:ascii="Times New Roman" w:hAnsi="Times New Roman" w:cs="Times New Roman"/>
                <w:lang w:val="it-CH"/>
              </w:rPr>
            </w:pPr>
            <w:r w:rsidRPr="009E686F">
              <w:rPr>
                <w:rFonts w:ascii="Times New Roman" w:hAnsi="Times New Roman" w:cs="Times New Roman"/>
                <w:lang w:val="it-CH"/>
              </w:rPr>
              <w:t xml:space="preserve">(5) În scopul alin.(4), </w:t>
            </w:r>
            <w:r w:rsidRPr="009E686F">
              <w:rPr>
                <w:rFonts w:ascii="Times New Roman" w:hAnsi="Times New Roman" w:cs="Times New Roman"/>
                <w:i/>
                <w:iCs/>
                <w:lang w:val="it-CH"/>
              </w:rPr>
              <w:t>instituțiile de credit</w:t>
            </w:r>
            <w:r w:rsidRPr="009E686F">
              <w:rPr>
                <w:rFonts w:ascii="Times New Roman" w:hAnsi="Times New Roman" w:cs="Times New Roman"/>
                <w:lang w:val="it-CH"/>
              </w:rPr>
              <w:t xml:space="preserve"> vor lua în considerare natura, amploarea şi complexitatea activităţilor acestora.</w:t>
            </w:r>
          </w:p>
        </w:tc>
        <w:tc>
          <w:tcPr>
            <w:tcW w:w="470" w:type="pct"/>
            <w:tcBorders>
              <w:top w:val="single" w:sz="4" w:space="0" w:color="auto"/>
              <w:left w:val="single" w:sz="4" w:space="0" w:color="auto"/>
              <w:bottom w:val="single" w:sz="4" w:space="0" w:color="auto"/>
              <w:right w:val="single" w:sz="4" w:space="0" w:color="auto"/>
            </w:tcBorders>
          </w:tcPr>
          <w:p w14:paraId="242EB4B1" w14:textId="77777777"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p w14:paraId="230A9AB3" w14:textId="72FC7AA5" w:rsidR="002F47A0" w:rsidRPr="009E686F" w:rsidRDefault="002F47A0" w:rsidP="002F47A0">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7ACCF28A" w14:textId="77777777" w:rsidR="002F47A0" w:rsidRPr="009E686F" w:rsidRDefault="002F47A0" w:rsidP="002F47A0">
            <w:pPr>
              <w:jc w:val="both"/>
              <w:rPr>
                <w:rFonts w:ascii="Times New Roman" w:hAnsi="Times New Roman" w:cs="Times New Roman"/>
                <w:lang w:val="ro-RO"/>
              </w:rPr>
            </w:pPr>
          </w:p>
        </w:tc>
      </w:tr>
      <w:tr w:rsidR="002F47A0" w:rsidRPr="009E686F" w14:paraId="003A2805" w14:textId="795D31E1" w:rsidTr="00774F3E">
        <w:tc>
          <w:tcPr>
            <w:tcW w:w="1796" w:type="pct"/>
            <w:gridSpan w:val="2"/>
            <w:tcBorders>
              <w:top w:val="single" w:sz="4" w:space="0" w:color="auto"/>
              <w:left w:val="single" w:sz="4" w:space="0" w:color="auto"/>
              <w:bottom w:val="single" w:sz="4" w:space="0" w:color="auto"/>
              <w:right w:val="single" w:sz="4" w:space="0" w:color="auto"/>
            </w:tcBorders>
          </w:tcPr>
          <w:p w14:paraId="7517E272"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Autoritățile competente monitorizează evoluțiile înregistrate în legătură cu profilurile de risc de lichiditate, de exemplu caracteristicile și volumurile unui produs, administrarea riscurilor, politicile de finanțare și concentrările de fonduri.</w:t>
            </w:r>
          </w:p>
        </w:tc>
        <w:tc>
          <w:tcPr>
            <w:tcW w:w="1928" w:type="pct"/>
            <w:gridSpan w:val="3"/>
            <w:tcBorders>
              <w:top w:val="single" w:sz="4" w:space="0" w:color="auto"/>
              <w:left w:val="single" w:sz="4" w:space="0" w:color="auto"/>
              <w:bottom w:val="single" w:sz="4" w:space="0" w:color="auto"/>
              <w:right w:val="single" w:sz="4" w:space="0" w:color="auto"/>
            </w:tcBorders>
          </w:tcPr>
          <w:p w14:paraId="4ABAFDFA" w14:textId="1AA6EC20" w:rsidR="002F47A0" w:rsidRPr="009E686F" w:rsidRDefault="002F47A0" w:rsidP="002F47A0">
            <w:pPr>
              <w:spacing w:after="0"/>
              <w:jc w:val="both"/>
              <w:rPr>
                <w:rFonts w:ascii="Times New Roman" w:hAnsi="Times New Roman" w:cs="Times New Roman"/>
                <w:b/>
                <w:lang w:val="ro-RO"/>
              </w:rPr>
            </w:pPr>
            <w:r w:rsidRPr="009E686F">
              <w:rPr>
                <w:rFonts w:ascii="Times New Roman" w:hAnsi="Times New Roman" w:cs="Times New Roman"/>
                <w:b/>
                <w:lang w:val="ro-RO"/>
              </w:rPr>
              <w:t>Articolul 105 alin. (1)</w:t>
            </w:r>
          </w:p>
          <w:p w14:paraId="29DE1107" w14:textId="34A6CA0C" w:rsidR="002F47A0" w:rsidRPr="009E686F" w:rsidRDefault="002F47A0" w:rsidP="002F47A0">
            <w:pPr>
              <w:spacing w:after="0"/>
              <w:jc w:val="both"/>
              <w:rPr>
                <w:rFonts w:ascii="Times New Roman" w:eastAsia="Aptos" w:hAnsi="Times New Roman" w:cs="Times New Roman"/>
                <w:color w:val="FF0000"/>
                <w:kern w:val="2"/>
                <w:lang w:val="ro-MD"/>
              </w:rPr>
            </w:pPr>
            <w:r w:rsidRPr="009E686F">
              <w:rPr>
                <w:rFonts w:ascii="Times New Roman" w:eastAsia="Aptos" w:hAnsi="Times New Roman" w:cs="Times New Roman"/>
                <w:kern w:val="2"/>
                <w:lang w:val="ro-MD"/>
              </w:rPr>
              <w:t>(1) Banca Naţională a Moldovei monitorizează evoluţiile înregistrate în legătură cu profilurile de risc de lichiditate, cum ar fi cele privind caracteristicile şi volumul aferente unui produs, administrarea riscului, politicile de finanţare şi concentrările finanţării în modul prevăzut de art.79.</w:t>
            </w:r>
            <w:r w:rsidRPr="009E686F">
              <w:rPr>
                <w:rFonts w:ascii="Times New Roman" w:eastAsia="Aptos" w:hAnsi="Times New Roman" w:cs="Times New Roman"/>
                <w:color w:val="FF0000"/>
                <w:kern w:val="2"/>
                <w:lang w:val="ro-MD"/>
              </w:rPr>
              <w:t xml:space="preserve"> </w:t>
            </w:r>
          </w:p>
        </w:tc>
        <w:tc>
          <w:tcPr>
            <w:tcW w:w="470" w:type="pct"/>
            <w:tcBorders>
              <w:top w:val="single" w:sz="4" w:space="0" w:color="auto"/>
              <w:left w:val="single" w:sz="4" w:space="0" w:color="auto"/>
              <w:bottom w:val="single" w:sz="4" w:space="0" w:color="auto"/>
              <w:right w:val="single" w:sz="4" w:space="0" w:color="auto"/>
            </w:tcBorders>
          </w:tcPr>
          <w:p w14:paraId="47401388" w14:textId="68753797"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3F86F880" w14:textId="77777777" w:rsidR="002F47A0" w:rsidRPr="009E686F" w:rsidRDefault="002F47A0" w:rsidP="002F47A0">
            <w:pPr>
              <w:jc w:val="both"/>
              <w:rPr>
                <w:rFonts w:ascii="Times New Roman" w:hAnsi="Times New Roman" w:cs="Times New Roman"/>
                <w:lang w:val="ro-RO"/>
              </w:rPr>
            </w:pPr>
          </w:p>
        </w:tc>
      </w:tr>
      <w:tr w:rsidR="002F47A0" w:rsidRPr="009E686F" w14:paraId="6A888338" w14:textId="12105344" w:rsidTr="00774F3E">
        <w:tc>
          <w:tcPr>
            <w:tcW w:w="1796" w:type="pct"/>
            <w:gridSpan w:val="2"/>
            <w:tcBorders>
              <w:top w:val="single" w:sz="4" w:space="0" w:color="auto"/>
              <w:left w:val="single" w:sz="4" w:space="0" w:color="auto"/>
              <w:bottom w:val="single" w:sz="4" w:space="0" w:color="auto"/>
              <w:right w:val="single" w:sz="4" w:space="0" w:color="auto"/>
            </w:tcBorders>
          </w:tcPr>
          <w:p w14:paraId="61F0CCEB"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Autoritățile competente adoptă măsuri eficace în cazul în care evoluțiile menționate la al doilea paragraf pot conduce la instabilitatea sistemică sau a unor instituții individuale.</w:t>
            </w:r>
          </w:p>
        </w:tc>
        <w:tc>
          <w:tcPr>
            <w:tcW w:w="1928" w:type="pct"/>
            <w:gridSpan w:val="3"/>
            <w:tcBorders>
              <w:top w:val="single" w:sz="4" w:space="0" w:color="auto"/>
              <w:left w:val="single" w:sz="4" w:space="0" w:color="auto"/>
              <w:bottom w:val="single" w:sz="4" w:space="0" w:color="auto"/>
              <w:right w:val="single" w:sz="4" w:space="0" w:color="auto"/>
            </w:tcBorders>
          </w:tcPr>
          <w:p w14:paraId="738B8211" w14:textId="5ED2A6EF" w:rsidR="002F47A0" w:rsidRPr="009E686F" w:rsidRDefault="002F47A0" w:rsidP="002F47A0">
            <w:pPr>
              <w:spacing w:after="0"/>
              <w:jc w:val="both"/>
              <w:rPr>
                <w:rFonts w:ascii="Times New Roman" w:hAnsi="Times New Roman" w:cs="Times New Roman"/>
                <w:b/>
                <w:lang w:val="ro-RO"/>
              </w:rPr>
            </w:pPr>
            <w:r w:rsidRPr="009E686F">
              <w:rPr>
                <w:rFonts w:ascii="Times New Roman" w:hAnsi="Times New Roman" w:cs="Times New Roman"/>
                <w:b/>
                <w:lang w:val="ro-RO"/>
              </w:rPr>
              <w:t>Articolul 105 alin.  (2)</w:t>
            </w:r>
          </w:p>
          <w:p w14:paraId="037A4BB8" w14:textId="6911139F" w:rsidR="002F47A0" w:rsidRPr="009E686F" w:rsidRDefault="002F47A0" w:rsidP="002F47A0">
            <w:pPr>
              <w:spacing w:after="0"/>
              <w:jc w:val="both"/>
              <w:rPr>
                <w:rFonts w:ascii="Times New Roman" w:hAnsi="Times New Roman" w:cs="Times New Roman"/>
                <w:lang w:val="ro-RO"/>
              </w:rPr>
            </w:pPr>
            <w:r w:rsidRPr="009E686F">
              <w:rPr>
                <w:rFonts w:ascii="Times New Roman" w:eastAsia="Aptos" w:hAnsi="Times New Roman" w:cs="Times New Roman"/>
                <w:kern w:val="2"/>
                <w:lang w:val="ro-MD"/>
              </w:rPr>
              <w:t xml:space="preserve">(2) Banca Naţională a Moldovei adoptă măsuri necesare în cazul în care evoluţiile menţionate la alin.(1) pot conduce la instabilitatea </w:t>
            </w:r>
            <w:r w:rsidRPr="009E686F">
              <w:rPr>
                <w:rFonts w:ascii="Times New Roman" w:eastAsia="Aptos" w:hAnsi="Times New Roman" w:cs="Times New Roman"/>
                <w:i/>
                <w:iCs/>
                <w:kern w:val="2"/>
                <w:lang w:val="ro-MD"/>
              </w:rPr>
              <w:t>instituției de credit</w:t>
            </w:r>
            <w:r w:rsidRPr="009E686F">
              <w:rPr>
                <w:rFonts w:ascii="Times New Roman" w:eastAsia="Aptos" w:hAnsi="Times New Roman" w:cs="Times New Roman"/>
                <w:kern w:val="2"/>
                <w:lang w:val="ro-MD"/>
              </w:rPr>
              <w:t xml:space="preserve"> la nivel individual sau la instabilitate sistemică.</w:t>
            </w:r>
          </w:p>
        </w:tc>
        <w:tc>
          <w:tcPr>
            <w:tcW w:w="470" w:type="pct"/>
            <w:tcBorders>
              <w:top w:val="single" w:sz="4" w:space="0" w:color="auto"/>
              <w:left w:val="single" w:sz="4" w:space="0" w:color="auto"/>
              <w:bottom w:val="single" w:sz="4" w:space="0" w:color="auto"/>
              <w:right w:val="single" w:sz="4" w:space="0" w:color="auto"/>
            </w:tcBorders>
          </w:tcPr>
          <w:p w14:paraId="05B77823" w14:textId="5C88F802"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468D094D" w14:textId="77777777" w:rsidR="002F47A0" w:rsidRPr="009E686F" w:rsidRDefault="002F47A0" w:rsidP="002F47A0">
            <w:pPr>
              <w:jc w:val="both"/>
              <w:rPr>
                <w:rFonts w:ascii="Times New Roman" w:hAnsi="Times New Roman" w:cs="Times New Roman"/>
                <w:lang w:val="ro-RO"/>
              </w:rPr>
            </w:pPr>
          </w:p>
        </w:tc>
      </w:tr>
      <w:tr w:rsidR="002F47A0" w:rsidRPr="009E686F" w14:paraId="245B88AB" w14:textId="00775F58" w:rsidTr="00774F3E">
        <w:tc>
          <w:tcPr>
            <w:tcW w:w="1796" w:type="pct"/>
            <w:gridSpan w:val="2"/>
            <w:tcBorders>
              <w:top w:val="single" w:sz="4" w:space="0" w:color="auto"/>
              <w:left w:val="single" w:sz="4" w:space="0" w:color="auto"/>
              <w:bottom w:val="single" w:sz="4" w:space="0" w:color="auto"/>
              <w:right w:val="single" w:sz="4" w:space="0" w:color="auto"/>
            </w:tcBorders>
          </w:tcPr>
          <w:p w14:paraId="4909C284"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Autoritățile competente informează ABE cu privire la eventualele măsuri aplicate în conformitate cu al treilea paragraf.</w:t>
            </w:r>
          </w:p>
        </w:tc>
        <w:tc>
          <w:tcPr>
            <w:tcW w:w="1928" w:type="pct"/>
            <w:gridSpan w:val="3"/>
            <w:tcBorders>
              <w:top w:val="single" w:sz="4" w:space="0" w:color="auto"/>
              <w:left w:val="single" w:sz="4" w:space="0" w:color="auto"/>
              <w:bottom w:val="single" w:sz="4" w:space="0" w:color="auto"/>
              <w:right w:val="single" w:sz="4" w:space="0" w:color="auto"/>
            </w:tcBorders>
          </w:tcPr>
          <w:p w14:paraId="4E6300EF" w14:textId="6B9BB3C8" w:rsidR="002F47A0" w:rsidRPr="009E686F" w:rsidRDefault="002F47A0" w:rsidP="002F47A0">
            <w:pPr>
              <w:spacing w:after="0"/>
              <w:jc w:val="both"/>
              <w:rPr>
                <w:rFonts w:ascii="Times New Roman" w:hAnsi="Times New Roman" w:cs="Times New Roman"/>
                <w:b/>
                <w:lang w:val="ro-RO"/>
              </w:rPr>
            </w:pPr>
            <w:r w:rsidRPr="009E686F">
              <w:rPr>
                <w:rFonts w:ascii="Times New Roman" w:hAnsi="Times New Roman" w:cs="Times New Roman"/>
                <w:b/>
                <w:lang w:val="ro-RO"/>
              </w:rPr>
              <w:t>Articolul 105 alin.  (3)</w:t>
            </w:r>
          </w:p>
          <w:p w14:paraId="17989A63" w14:textId="6155330E" w:rsidR="002F47A0" w:rsidRPr="009E686F" w:rsidRDefault="002F47A0" w:rsidP="002F47A0">
            <w:pPr>
              <w:spacing w:after="0"/>
              <w:jc w:val="both"/>
              <w:rPr>
                <w:rFonts w:ascii="Times New Roman" w:hAnsi="Times New Roman" w:cs="Times New Roman"/>
                <w:bCs/>
                <w:i/>
                <w:iCs/>
                <w:lang w:val="ro-RO"/>
              </w:rPr>
            </w:pPr>
            <w:r w:rsidRPr="009E686F">
              <w:rPr>
                <w:rFonts w:ascii="Times New Roman" w:hAnsi="Times New Roman" w:cs="Times New Roman"/>
                <w:bCs/>
                <w:i/>
                <w:iCs/>
                <w:lang w:val="ro-RO"/>
              </w:rPr>
              <w:t>(3) Banca Națională a Moldovei informează Autoritatea Bancară Europeană cu privire la eventualele măsuri aplicate în conformitate cu alin. (2).</w:t>
            </w:r>
          </w:p>
        </w:tc>
        <w:tc>
          <w:tcPr>
            <w:tcW w:w="470" w:type="pct"/>
            <w:tcBorders>
              <w:top w:val="single" w:sz="4" w:space="0" w:color="auto"/>
              <w:left w:val="single" w:sz="4" w:space="0" w:color="auto"/>
              <w:bottom w:val="single" w:sz="4" w:space="0" w:color="auto"/>
              <w:right w:val="single" w:sz="4" w:space="0" w:color="auto"/>
            </w:tcBorders>
          </w:tcPr>
          <w:p w14:paraId="3FBBB25A" w14:textId="59EBCC7A"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p w14:paraId="54679211" w14:textId="477E4BA2" w:rsidR="002F47A0" w:rsidRPr="009E686F" w:rsidRDefault="002F47A0" w:rsidP="002F47A0">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4D6E617C" w14:textId="0DE4831A" w:rsidR="002F47A0" w:rsidRPr="009E686F" w:rsidRDefault="00525E9E" w:rsidP="002F47A0">
            <w:pPr>
              <w:jc w:val="both"/>
              <w:rPr>
                <w:rFonts w:ascii="Times New Roman" w:hAnsi="Times New Roman" w:cs="Times New Roman"/>
                <w:lang w:val="ro-RO"/>
              </w:rPr>
            </w:pPr>
            <w:r w:rsidRPr="009E686F">
              <w:rPr>
                <w:rFonts w:ascii="Times New Roman" w:hAnsi="Times New Roman" w:cs="Times New Roman"/>
                <w:lang w:val="ro-RO"/>
              </w:rPr>
              <w:t>În vigoare – data aderării.</w:t>
            </w:r>
          </w:p>
        </w:tc>
      </w:tr>
      <w:tr w:rsidR="002F47A0" w:rsidRPr="009E686F" w14:paraId="4A3DC89B"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295998A0" w14:textId="66C3AE51"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ABE adresează recomandări atunci când este necesar, în conformitate cu Regulamentul (UE) nr. 1093/2010.</w:t>
            </w:r>
          </w:p>
        </w:tc>
        <w:tc>
          <w:tcPr>
            <w:tcW w:w="1928" w:type="pct"/>
            <w:gridSpan w:val="3"/>
            <w:tcBorders>
              <w:top w:val="single" w:sz="4" w:space="0" w:color="auto"/>
              <w:left w:val="single" w:sz="4" w:space="0" w:color="auto"/>
              <w:bottom w:val="single" w:sz="4" w:space="0" w:color="auto"/>
              <w:right w:val="single" w:sz="4" w:space="0" w:color="auto"/>
            </w:tcBorders>
          </w:tcPr>
          <w:p w14:paraId="6D41096A" w14:textId="77777777" w:rsidR="002F47A0" w:rsidRPr="009E686F" w:rsidRDefault="002F47A0" w:rsidP="002F47A0">
            <w:pPr>
              <w:spacing w:after="0"/>
              <w:jc w:val="both"/>
              <w:rPr>
                <w:rFonts w:ascii="Times New Roman" w:hAnsi="Times New Roman" w:cs="Times New Roman"/>
                <w:i/>
                <w:iCs/>
                <w:lang w:val="pt-BR"/>
              </w:rPr>
            </w:pPr>
          </w:p>
        </w:tc>
        <w:tc>
          <w:tcPr>
            <w:tcW w:w="470" w:type="pct"/>
            <w:tcBorders>
              <w:top w:val="single" w:sz="4" w:space="0" w:color="auto"/>
              <w:left w:val="single" w:sz="4" w:space="0" w:color="auto"/>
              <w:bottom w:val="single" w:sz="4" w:space="0" w:color="auto"/>
              <w:right w:val="single" w:sz="4" w:space="0" w:color="auto"/>
            </w:tcBorders>
          </w:tcPr>
          <w:p w14:paraId="731318CC" w14:textId="0CC5AD07"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Norme UE neaplicabile</w:t>
            </w:r>
          </w:p>
        </w:tc>
        <w:tc>
          <w:tcPr>
            <w:tcW w:w="806" w:type="pct"/>
            <w:tcBorders>
              <w:top w:val="single" w:sz="4" w:space="0" w:color="auto"/>
              <w:left w:val="single" w:sz="4" w:space="0" w:color="auto"/>
              <w:bottom w:val="single" w:sz="4" w:space="0" w:color="auto"/>
              <w:right w:val="single" w:sz="4" w:space="0" w:color="auto"/>
            </w:tcBorders>
          </w:tcPr>
          <w:p w14:paraId="3EAB3C86" w14:textId="683FDFD7"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Se referă la competențele ABE.</w:t>
            </w:r>
          </w:p>
        </w:tc>
      </w:tr>
      <w:tr w:rsidR="002F47A0" w:rsidRPr="009E686F" w14:paraId="5F81ECFB" w14:textId="676682BF" w:rsidTr="00774F3E">
        <w:tc>
          <w:tcPr>
            <w:tcW w:w="1796" w:type="pct"/>
            <w:gridSpan w:val="2"/>
            <w:tcBorders>
              <w:top w:val="single" w:sz="4" w:space="0" w:color="auto"/>
              <w:left w:val="single" w:sz="4" w:space="0" w:color="auto"/>
              <w:bottom w:val="single" w:sz="4" w:space="0" w:color="auto"/>
              <w:right w:val="single" w:sz="4" w:space="0" w:color="auto"/>
            </w:tcBorders>
          </w:tcPr>
          <w:p w14:paraId="30FED199" w14:textId="5DA232A4"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 xml:space="preserve">(4) Autoritățile competente se asigură că instituțiile elaborează metodologii pentru identificarea, măsurarea, gestionarea și monitorizarea pozițiilor de finanțare. </w:t>
            </w:r>
          </w:p>
          <w:p w14:paraId="3ABB9A0C"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lastRenderedPageBreak/>
              <w:t>Metodologiile respective includ fluxurile de numerar semnificative prezente și preconizate către și din active, datorii, elemente extrabilanțiere, inclusiv din datorii contingente și posibilul impact al riscului reputațional.</w:t>
            </w:r>
          </w:p>
        </w:tc>
        <w:tc>
          <w:tcPr>
            <w:tcW w:w="1928" w:type="pct"/>
            <w:gridSpan w:val="3"/>
            <w:tcBorders>
              <w:top w:val="single" w:sz="4" w:space="0" w:color="auto"/>
              <w:left w:val="single" w:sz="4" w:space="0" w:color="auto"/>
              <w:bottom w:val="single" w:sz="4" w:space="0" w:color="auto"/>
              <w:right w:val="single" w:sz="4" w:space="0" w:color="auto"/>
            </w:tcBorders>
          </w:tcPr>
          <w:p w14:paraId="6FCE9655" w14:textId="39C196FD" w:rsidR="002F47A0" w:rsidRPr="009E686F" w:rsidRDefault="002F47A0" w:rsidP="002F47A0">
            <w:pPr>
              <w:spacing w:after="0"/>
              <w:jc w:val="both"/>
              <w:rPr>
                <w:rFonts w:ascii="Times New Roman" w:hAnsi="Times New Roman" w:cs="Times New Roman"/>
                <w:b/>
                <w:bCs/>
                <w:lang w:val="ro-RO"/>
              </w:rPr>
            </w:pPr>
            <w:r w:rsidRPr="009E686F">
              <w:rPr>
                <w:rFonts w:ascii="Times New Roman" w:hAnsi="Times New Roman" w:cs="Times New Roman"/>
                <w:b/>
                <w:bCs/>
                <w:lang w:val="pt-BR"/>
              </w:rPr>
              <w:lastRenderedPageBreak/>
              <w:t>Pct. 387</w:t>
            </w:r>
            <w:r w:rsidRPr="009E686F">
              <w:rPr>
                <w:rFonts w:ascii="Times New Roman" w:hAnsi="Times New Roman" w:cs="Times New Roman"/>
                <w:b/>
                <w:bCs/>
                <w:vertAlign w:val="superscript"/>
                <w:lang w:val="pt-BR"/>
              </w:rPr>
              <w:t>4</w:t>
            </w:r>
            <w:r w:rsidRPr="009E686F">
              <w:rPr>
                <w:rFonts w:ascii="Times New Roman" w:hAnsi="Times New Roman" w:cs="Times New Roman"/>
                <w:b/>
                <w:bCs/>
                <w:lang w:val="pt-BR"/>
              </w:rPr>
              <w:t xml:space="preserve"> din Regulamentul privind cadrul de administrare a activităţii băncilor, aprobat prin HCE nr. 322  din  20.12.2018</w:t>
            </w:r>
          </w:p>
          <w:p w14:paraId="1F2B5829" w14:textId="3F8516F5" w:rsidR="002F47A0" w:rsidRPr="009E686F" w:rsidRDefault="002F47A0" w:rsidP="002F47A0">
            <w:pPr>
              <w:spacing w:after="0"/>
              <w:jc w:val="both"/>
              <w:rPr>
                <w:rFonts w:ascii="Times New Roman" w:hAnsi="Times New Roman" w:cs="Times New Roman"/>
                <w:bCs/>
                <w:lang w:val="ro-RO"/>
              </w:rPr>
            </w:pPr>
            <w:r w:rsidRPr="009E686F">
              <w:rPr>
                <w:rFonts w:ascii="Times New Roman" w:hAnsi="Times New Roman" w:cs="Times New Roman"/>
                <w:bCs/>
                <w:lang w:val="ro-RO"/>
              </w:rPr>
              <w:lastRenderedPageBreak/>
              <w:t>387</w:t>
            </w:r>
            <w:r w:rsidRPr="009E686F">
              <w:rPr>
                <w:rFonts w:ascii="Times New Roman" w:hAnsi="Times New Roman" w:cs="Times New Roman"/>
                <w:bCs/>
                <w:vertAlign w:val="superscript"/>
                <w:lang w:val="ro-RO"/>
              </w:rPr>
              <w:t>4</w:t>
            </w:r>
            <w:r w:rsidRPr="009E686F">
              <w:rPr>
                <w:rFonts w:ascii="Times New Roman" w:hAnsi="Times New Roman" w:cs="Times New Roman"/>
                <w:bCs/>
                <w:lang w:val="ro-RO"/>
              </w:rPr>
              <w:t>. Banca trebuie să elaboreze metodologii pentru identificarea, măsurarea, gestionarea şi monitorizarea surselor de finanţare, care trebuie să se axeze pe fluxurile de numerar semnificative prezente şi preconizate din active, datorii, elemente extrabilanţiere, inclusiv din datorii contingente şi posibilul impact al riscului reputaţional.</w:t>
            </w:r>
          </w:p>
        </w:tc>
        <w:tc>
          <w:tcPr>
            <w:tcW w:w="470" w:type="pct"/>
            <w:tcBorders>
              <w:top w:val="single" w:sz="4" w:space="0" w:color="auto"/>
              <w:left w:val="single" w:sz="4" w:space="0" w:color="auto"/>
              <w:bottom w:val="single" w:sz="4" w:space="0" w:color="auto"/>
              <w:right w:val="single" w:sz="4" w:space="0" w:color="auto"/>
            </w:tcBorders>
          </w:tcPr>
          <w:p w14:paraId="2C876265" w14:textId="77777777"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lastRenderedPageBreak/>
              <w:t xml:space="preserve">Compatibil </w:t>
            </w:r>
          </w:p>
          <w:p w14:paraId="5CE1DA56" w14:textId="1D839D55" w:rsidR="002F47A0" w:rsidRPr="009E686F" w:rsidRDefault="002F47A0" w:rsidP="002F47A0">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5F4891DA" w14:textId="77777777" w:rsidR="002F47A0" w:rsidRPr="009E686F" w:rsidRDefault="002F47A0" w:rsidP="002F47A0">
            <w:pPr>
              <w:jc w:val="both"/>
              <w:rPr>
                <w:rFonts w:ascii="Times New Roman" w:hAnsi="Times New Roman" w:cs="Times New Roman"/>
                <w:lang w:val="ro-RO"/>
              </w:rPr>
            </w:pPr>
          </w:p>
        </w:tc>
      </w:tr>
      <w:tr w:rsidR="002F47A0" w:rsidRPr="009E686F" w14:paraId="7A295B47" w14:textId="0104ED89" w:rsidTr="00774F3E">
        <w:tc>
          <w:tcPr>
            <w:tcW w:w="1796" w:type="pct"/>
            <w:gridSpan w:val="2"/>
            <w:tcBorders>
              <w:top w:val="single" w:sz="4" w:space="0" w:color="auto"/>
              <w:left w:val="single" w:sz="4" w:space="0" w:color="auto"/>
              <w:bottom w:val="single" w:sz="4" w:space="0" w:color="auto"/>
              <w:right w:val="single" w:sz="4" w:space="0" w:color="auto"/>
            </w:tcBorders>
          </w:tcPr>
          <w:p w14:paraId="7A53306C" w14:textId="7EF558A2"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 xml:space="preserve">(5) Autoritățile competente se asigură că instituțiile fac distincție între activele gajate și cele negrevate disponibile în orice moment, în special în situații de urgență. </w:t>
            </w:r>
          </w:p>
          <w:p w14:paraId="64758955"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De asemenea, acestea se asigură că instituțiile iau în considerare entitatea juridică în care se află activele, țara în care activele sunt înregistrate legal fie într-un registru, fie într-un cont, precum și eligibilitatea acestora și monitorizează modul în care activele pot fi mobilizate prompt.</w:t>
            </w:r>
          </w:p>
        </w:tc>
        <w:tc>
          <w:tcPr>
            <w:tcW w:w="1928" w:type="pct"/>
            <w:gridSpan w:val="3"/>
            <w:tcBorders>
              <w:top w:val="single" w:sz="4" w:space="0" w:color="auto"/>
              <w:left w:val="single" w:sz="4" w:space="0" w:color="auto"/>
              <w:bottom w:val="single" w:sz="4" w:space="0" w:color="auto"/>
              <w:right w:val="single" w:sz="4" w:space="0" w:color="auto"/>
            </w:tcBorders>
          </w:tcPr>
          <w:p w14:paraId="23CC6E77" w14:textId="4E030816" w:rsidR="002F47A0" w:rsidRPr="009E686F" w:rsidRDefault="002F47A0" w:rsidP="002F47A0">
            <w:pPr>
              <w:spacing w:after="0"/>
              <w:jc w:val="both"/>
              <w:rPr>
                <w:rFonts w:ascii="Times New Roman" w:hAnsi="Times New Roman" w:cs="Times New Roman"/>
                <w:b/>
                <w:bCs/>
                <w:lang w:val="ro-RO"/>
              </w:rPr>
            </w:pPr>
            <w:r w:rsidRPr="009E686F">
              <w:rPr>
                <w:rFonts w:ascii="Times New Roman" w:hAnsi="Times New Roman" w:cs="Times New Roman"/>
                <w:b/>
                <w:bCs/>
                <w:lang w:val="pt-BR"/>
              </w:rPr>
              <w:t>Pct. 387</w:t>
            </w:r>
            <w:r w:rsidRPr="009E686F">
              <w:rPr>
                <w:rFonts w:ascii="Times New Roman" w:hAnsi="Times New Roman" w:cs="Times New Roman"/>
                <w:b/>
                <w:bCs/>
                <w:vertAlign w:val="superscript"/>
                <w:lang w:val="pt-BR"/>
              </w:rPr>
              <w:t>5</w:t>
            </w:r>
            <w:r w:rsidRPr="009E686F">
              <w:rPr>
                <w:rFonts w:ascii="Times New Roman" w:hAnsi="Times New Roman" w:cs="Times New Roman"/>
                <w:b/>
                <w:bCs/>
                <w:lang w:val="pt-BR"/>
              </w:rPr>
              <w:t xml:space="preserve"> din Regulamentul privind cadrul de administrare a activităţii băncilor, aprobat prin HCE nr. 322  din  20.12.2018</w:t>
            </w:r>
          </w:p>
          <w:p w14:paraId="1E506611" w14:textId="6AD0E719" w:rsidR="002F47A0" w:rsidRPr="009E686F" w:rsidRDefault="002F47A0" w:rsidP="002F47A0">
            <w:pPr>
              <w:spacing w:after="0"/>
              <w:jc w:val="both"/>
              <w:rPr>
                <w:rFonts w:ascii="Times New Roman" w:hAnsi="Times New Roman" w:cs="Times New Roman"/>
                <w:bCs/>
                <w:lang w:val="ro-RO"/>
              </w:rPr>
            </w:pPr>
            <w:r w:rsidRPr="009E686F">
              <w:rPr>
                <w:rFonts w:ascii="Times New Roman" w:hAnsi="Times New Roman" w:cs="Times New Roman"/>
                <w:bCs/>
                <w:lang w:val="ro-RO"/>
              </w:rPr>
              <w:t>387</w:t>
            </w:r>
            <w:r w:rsidRPr="009E686F">
              <w:rPr>
                <w:rFonts w:ascii="Times New Roman" w:hAnsi="Times New Roman" w:cs="Times New Roman"/>
                <w:bCs/>
                <w:vertAlign w:val="superscript"/>
                <w:lang w:val="ro-RO"/>
              </w:rPr>
              <w:t>5</w:t>
            </w:r>
            <w:r w:rsidRPr="009E686F">
              <w:rPr>
                <w:rFonts w:ascii="Times New Roman" w:hAnsi="Times New Roman" w:cs="Times New Roman"/>
                <w:bCs/>
                <w:lang w:val="ro-RO"/>
              </w:rPr>
              <w:t>. Banca trebuie să facă distincţie dintre activele grevate şi activele disponibile în orice moment, în special în situaţii de urgenţă. De asemenea, trebuie să se ia în considerare entitatea juridică în care se află activele, ţara în care activele sunt înregistrate legal fie într-un registru, fie într-un cont, precum şi eligibilitatea acestora şi să se monitorizeze modul în care activele pot fi mobilizate prompt.</w:t>
            </w:r>
          </w:p>
        </w:tc>
        <w:tc>
          <w:tcPr>
            <w:tcW w:w="470" w:type="pct"/>
            <w:tcBorders>
              <w:top w:val="single" w:sz="4" w:space="0" w:color="auto"/>
              <w:left w:val="single" w:sz="4" w:space="0" w:color="auto"/>
              <w:bottom w:val="single" w:sz="4" w:space="0" w:color="auto"/>
              <w:right w:val="single" w:sz="4" w:space="0" w:color="auto"/>
            </w:tcBorders>
          </w:tcPr>
          <w:p w14:paraId="0B5DA327" w14:textId="77777777"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 xml:space="preserve">Compatibil </w:t>
            </w:r>
          </w:p>
          <w:p w14:paraId="0D686CFA" w14:textId="63107689" w:rsidR="002F47A0" w:rsidRPr="009E686F" w:rsidRDefault="002F47A0" w:rsidP="002F47A0">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51CECD3D" w14:textId="77777777" w:rsidR="002F47A0" w:rsidRPr="009E686F" w:rsidRDefault="002F47A0" w:rsidP="002F47A0">
            <w:pPr>
              <w:jc w:val="both"/>
              <w:rPr>
                <w:rFonts w:ascii="Times New Roman" w:hAnsi="Times New Roman" w:cs="Times New Roman"/>
                <w:lang w:val="ro-RO"/>
              </w:rPr>
            </w:pPr>
          </w:p>
        </w:tc>
      </w:tr>
      <w:tr w:rsidR="002F47A0" w:rsidRPr="009E686F" w14:paraId="4C2E4655" w14:textId="28FB1877" w:rsidTr="00774F3E">
        <w:tc>
          <w:tcPr>
            <w:tcW w:w="1796" w:type="pct"/>
            <w:gridSpan w:val="2"/>
            <w:tcBorders>
              <w:top w:val="single" w:sz="4" w:space="0" w:color="auto"/>
              <w:left w:val="single" w:sz="4" w:space="0" w:color="auto"/>
              <w:bottom w:val="single" w:sz="4" w:space="0" w:color="auto"/>
              <w:right w:val="single" w:sz="4" w:space="0" w:color="auto"/>
            </w:tcBorders>
          </w:tcPr>
          <w:p w14:paraId="4D212CB1" w14:textId="01C57B80"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(6) Autoritățile competente se asigură că instituțiile au în vedere și limitele juridice, de reglementare și operaționale existente, impuse potențialelor transferuri de lichidități și active negrevate dintre entități, atât în interiorul Spațiului Economic European, cât și în afara acestuia.</w:t>
            </w:r>
          </w:p>
        </w:tc>
        <w:tc>
          <w:tcPr>
            <w:tcW w:w="1928" w:type="pct"/>
            <w:gridSpan w:val="3"/>
            <w:tcBorders>
              <w:top w:val="single" w:sz="4" w:space="0" w:color="auto"/>
              <w:left w:val="single" w:sz="4" w:space="0" w:color="auto"/>
              <w:bottom w:val="single" w:sz="4" w:space="0" w:color="auto"/>
              <w:right w:val="single" w:sz="4" w:space="0" w:color="auto"/>
            </w:tcBorders>
          </w:tcPr>
          <w:p w14:paraId="1239F972" w14:textId="6D114356" w:rsidR="002F47A0" w:rsidRPr="009E686F" w:rsidRDefault="002F47A0" w:rsidP="002F47A0">
            <w:pPr>
              <w:spacing w:after="0"/>
              <w:jc w:val="both"/>
              <w:rPr>
                <w:rFonts w:ascii="Times New Roman" w:hAnsi="Times New Roman" w:cs="Times New Roman"/>
                <w:b/>
                <w:bCs/>
                <w:lang w:val="ro-RO"/>
              </w:rPr>
            </w:pPr>
            <w:r w:rsidRPr="009E686F">
              <w:rPr>
                <w:rFonts w:ascii="Times New Roman" w:hAnsi="Times New Roman" w:cs="Times New Roman"/>
                <w:b/>
                <w:bCs/>
                <w:lang w:val="pt-BR"/>
              </w:rPr>
              <w:t>Pct. 387</w:t>
            </w:r>
            <w:r w:rsidRPr="009E686F">
              <w:rPr>
                <w:rFonts w:ascii="Times New Roman" w:hAnsi="Times New Roman" w:cs="Times New Roman"/>
                <w:b/>
                <w:bCs/>
                <w:vertAlign w:val="superscript"/>
                <w:lang w:val="pt-BR"/>
              </w:rPr>
              <w:t>6</w:t>
            </w:r>
            <w:r w:rsidRPr="009E686F">
              <w:rPr>
                <w:rFonts w:ascii="Times New Roman" w:hAnsi="Times New Roman" w:cs="Times New Roman"/>
                <w:b/>
                <w:bCs/>
                <w:lang w:val="pt-BR"/>
              </w:rPr>
              <w:t xml:space="preserve"> din Regulamentul privind cadrul de administrare a activităţii băncilor, aprobat prin HCE nr. 322  din  20.12.2018</w:t>
            </w:r>
          </w:p>
          <w:p w14:paraId="33B42565" w14:textId="321E59B0" w:rsidR="002F47A0" w:rsidRPr="009E686F" w:rsidRDefault="002F47A0" w:rsidP="002F47A0">
            <w:pPr>
              <w:spacing w:after="0"/>
              <w:jc w:val="both"/>
              <w:rPr>
                <w:rFonts w:ascii="Times New Roman" w:hAnsi="Times New Roman" w:cs="Times New Roman"/>
                <w:bCs/>
                <w:lang w:val="ro-RO"/>
              </w:rPr>
            </w:pPr>
            <w:r w:rsidRPr="009E686F">
              <w:rPr>
                <w:rFonts w:ascii="Times New Roman" w:hAnsi="Times New Roman" w:cs="Times New Roman"/>
                <w:bCs/>
                <w:lang w:val="ro-RO"/>
              </w:rPr>
              <w:t>387</w:t>
            </w:r>
            <w:r w:rsidRPr="009E686F">
              <w:rPr>
                <w:rFonts w:ascii="Times New Roman" w:hAnsi="Times New Roman" w:cs="Times New Roman"/>
                <w:bCs/>
                <w:vertAlign w:val="superscript"/>
                <w:lang w:val="ro-RO"/>
              </w:rPr>
              <w:t>6</w:t>
            </w:r>
            <w:r w:rsidRPr="009E686F">
              <w:rPr>
                <w:rFonts w:ascii="Times New Roman" w:hAnsi="Times New Roman" w:cs="Times New Roman"/>
                <w:bCs/>
                <w:lang w:val="ro-RO"/>
              </w:rPr>
              <w:t>. Banca trebuie să ia în considerare şi limitele juridice, de reglementare şi operaţionale existente, impuse potenţialelor transferuri de lichidităţi şi active negrevate dintre entităţi, din Republica Moldova şi din alt stat.</w:t>
            </w:r>
          </w:p>
        </w:tc>
        <w:tc>
          <w:tcPr>
            <w:tcW w:w="470" w:type="pct"/>
            <w:tcBorders>
              <w:top w:val="single" w:sz="4" w:space="0" w:color="auto"/>
              <w:left w:val="single" w:sz="4" w:space="0" w:color="auto"/>
              <w:bottom w:val="single" w:sz="4" w:space="0" w:color="auto"/>
              <w:right w:val="single" w:sz="4" w:space="0" w:color="auto"/>
            </w:tcBorders>
          </w:tcPr>
          <w:p w14:paraId="6FCC8A0F" w14:textId="77777777"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 xml:space="preserve">Compatibil </w:t>
            </w:r>
          </w:p>
          <w:p w14:paraId="210B5E52" w14:textId="013C0BC2" w:rsidR="002F47A0" w:rsidRPr="009E686F" w:rsidRDefault="002F47A0" w:rsidP="002F47A0">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11874BE6" w14:textId="77777777" w:rsidR="002F47A0" w:rsidRPr="009E686F" w:rsidRDefault="002F47A0" w:rsidP="002F47A0">
            <w:pPr>
              <w:jc w:val="both"/>
              <w:rPr>
                <w:rFonts w:ascii="Times New Roman" w:hAnsi="Times New Roman" w:cs="Times New Roman"/>
                <w:lang w:val="ro-RO"/>
              </w:rPr>
            </w:pPr>
          </w:p>
        </w:tc>
      </w:tr>
      <w:tr w:rsidR="002F47A0" w:rsidRPr="009E686F" w14:paraId="1D3F022D" w14:textId="76A17B14" w:rsidTr="00774F3E">
        <w:tc>
          <w:tcPr>
            <w:tcW w:w="1796" w:type="pct"/>
            <w:gridSpan w:val="2"/>
            <w:tcBorders>
              <w:top w:val="single" w:sz="4" w:space="0" w:color="auto"/>
              <w:left w:val="single" w:sz="4" w:space="0" w:color="auto"/>
              <w:bottom w:val="single" w:sz="4" w:space="0" w:color="auto"/>
              <w:right w:val="single" w:sz="4" w:space="0" w:color="auto"/>
            </w:tcBorders>
          </w:tcPr>
          <w:p w14:paraId="728D0618" w14:textId="29F3BC8D"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(7) Autoritățile competente se asigură că instituțiile iau în considerare diferite instrumente de diminuare a riscului de lichiditate, inclusiv un sistem de limite și rezerve de lichidități, pentru a putea face față diferitelor situații de criză, precum și o structură de finanțare și un acces la sursele de finanțare diversificate într-un mod corespunzător. Dispozițiile respective se reexaminează cu regularitate.</w:t>
            </w:r>
          </w:p>
        </w:tc>
        <w:tc>
          <w:tcPr>
            <w:tcW w:w="1928" w:type="pct"/>
            <w:gridSpan w:val="3"/>
            <w:tcBorders>
              <w:top w:val="single" w:sz="4" w:space="0" w:color="auto"/>
              <w:left w:val="single" w:sz="4" w:space="0" w:color="auto"/>
              <w:bottom w:val="single" w:sz="4" w:space="0" w:color="auto"/>
              <w:right w:val="single" w:sz="4" w:space="0" w:color="auto"/>
            </w:tcBorders>
          </w:tcPr>
          <w:p w14:paraId="72FBFEE0" w14:textId="153E6BA0" w:rsidR="002F47A0" w:rsidRPr="009E686F" w:rsidRDefault="002F47A0" w:rsidP="002F47A0">
            <w:pPr>
              <w:spacing w:after="0"/>
              <w:jc w:val="both"/>
              <w:rPr>
                <w:rFonts w:ascii="Times New Roman" w:hAnsi="Times New Roman" w:cs="Times New Roman"/>
                <w:b/>
                <w:bCs/>
                <w:lang w:val="ro-RO"/>
              </w:rPr>
            </w:pPr>
            <w:r w:rsidRPr="009E686F">
              <w:rPr>
                <w:rFonts w:ascii="Times New Roman" w:hAnsi="Times New Roman" w:cs="Times New Roman"/>
                <w:b/>
                <w:bCs/>
                <w:lang w:val="pt-BR"/>
              </w:rPr>
              <w:t>Pct. 387</w:t>
            </w:r>
            <w:r w:rsidRPr="009E686F">
              <w:rPr>
                <w:rFonts w:ascii="Times New Roman" w:hAnsi="Times New Roman" w:cs="Times New Roman"/>
                <w:b/>
                <w:bCs/>
                <w:vertAlign w:val="superscript"/>
                <w:lang w:val="pt-BR"/>
              </w:rPr>
              <w:t>7</w:t>
            </w:r>
            <w:r w:rsidRPr="009E686F">
              <w:rPr>
                <w:rFonts w:ascii="Times New Roman" w:hAnsi="Times New Roman" w:cs="Times New Roman"/>
                <w:b/>
                <w:bCs/>
                <w:lang w:val="pt-BR"/>
              </w:rPr>
              <w:t xml:space="preserve"> din Regulamentul privind cadrul de administrare a activităţii băncilor, aprobat prin HCE nr. 322  din  20.12.2018</w:t>
            </w:r>
          </w:p>
          <w:p w14:paraId="6AB92DE7" w14:textId="34AFE22F" w:rsidR="002F47A0" w:rsidRPr="009E686F" w:rsidRDefault="002F47A0" w:rsidP="002F47A0">
            <w:pPr>
              <w:spacing w:after="0"/>
              <w:jc w:val="both"/>
              <w:rPr>
                <w:rFonts w:ascii="Times New Roman" w:hAnsi="Times New Roman" w:cs="Times New Roman"/>
                <w:bCs/>
                <w:lang w:val="ro-RO"/>
              </w:rPr>
            </w:pPr>
            <w:r w:rsidRPr="009E686F">
              <w:rPr>
                <w:rFonts w:ascii="Times New Roman" w:hAnsi="Times New Roman" w:cs="Times New Roman"/>
                <w:bCs/>
                <w:lang w:val="ro-RO"/>
              </w:rPr>
              <w:t>387</w:t>
            </w:r>
            <w:r w:rsidRPr="009E686F">
              <w:rPr>
                <w:rFonts w:ascii="Times New Roman" w:hAnsi="Times New Roman" w:cs="Times New Roman"/>
                <w:bCs/>
                <w:vertAlign w:val="superscript"/>
                <w:lang w:val="ro-RO"/>
              </w:rPr>
              <w:t>7</w:t>
            </w:r>
            <w:r w:rsidRPr="009E686F">
              <w:rPr>
                <w:rFonts w:ascii="Times New Roman" w:hAnsi="Times New Roman" w:cs="Times New Roman"/>
                <w:bCs/>
                <w:lang w:val="ro-RO"/>
              </w:rPr>
              <w:t>. Banca trebuie să deţină diferite instrumente de diminuare a riscului de lichiditate, inclusiv un sistem de limite şi rezerve de lichidităţi, pentru a putea face faţă diferitelor situaţii de criză, precum şi o structură de finanţare şi un acces la sursele de finanţare diversificate într-un mod corespunzător. Dispoziţiile respective se reexaminează cu regularitate de către bancă.</w:t>
            </w:r>
          </w:p>
        </w:tc>
        <w:tc>
          <w:tcPr>
            <w:tcW w:w="470" w:type="pct"/>
            <w:tcBorders>
              <w:top w:val="single" w:sz="4" w:space="0" w:color="auto"/>
              <w:left w:val="single" w:sz="4" w:space="0" w:color="auto"/>
              <w:bottom w:val="single" w:sz="4" w:space="0" w:color="auto"/>
              <w:right w:val="single" w:sz="4" w:space="0" w:color="auto"/>
            </w:tcBorders>
          </w:tcPr>
          <w:p w14:paraId="63A23B05" w14:textId="77777777"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 xml:space="preserve">Compatibil </w:t>
            </w:r>
          </w:p>
          <w:p w14:paraId="5D22DB2C" w14:textId="397FCC13" w:rsidR="002F47A0" w:rsidRPr="009E686F" w:rsidRDefault="002F47A0" w:rsidP="002F47A0">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18256FD2" w14:textId="77777777" w:rsidR="002F47A0" w:rsidRPr="009E686F" w:rsidRDefault="002F47A0" w:rsidP="002F47A0">
            <w:pPr>
              <w:jc w:val="both"/>
              <w:rPr>
                <w:rFonts w:ascii="Times New Roman" w:hAnsi="Times New Roman" w:cs="Times New Roman"/>
                <w:lang w:val="ro-RO"/>
              </w:rPr>
            </w:pPr>
          </w:p>
        </w:tc>
      </w:tr>
      <w:tr w:rsidR="002F47A0" w:rsidRPr="009E686F" w14:paraId="3D339C57" w14:textId="6F4D3B57" w:rsidTr="00774F3E">
        <w:tc>
          <w:tcPr>
            <w:tcW w:w="1796" w:type="pct"/>
            <w:gridSpan w:val="2"/>
            <w:tcBorders>
              <w:top w:val="single" w:sz="4" w:space="0" w:color="auto"/>
              <w:left w:val="single" w:sz="4" w:space="0" w:color="auto"/>
              <w:bottom w:val="single" w:sz="4" w:space="0" w:color="auto"/>
              <w:right w:val="single" w:sz="4" w:space="0" w:color="auto"/>
            </w:tcBorders>
          </w:tcPr>
          <w:p w14:paraId="6E53BB5E" w14:textId="588792C6"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lastRenderedPageBreak/>
              <w:t>(8) Autoritățile competente se asigură că instituțiile au în vedere scenarii alternative privind pozițiile de lichiditate și factorii de diminuare a riscurilor și că reexaminează ipotezele care stau la baza deciziilor privind poziția de finanțare cel puțin o dată pe an.</w:t>
            </w:r>
          </w:p>
          <w:p w14:paraId="1D48049B"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În acest sens, scenariile alternative trebuie să vizeze în special elementele extrabilanțiere și alte datorii contingente, inclusiv cele ale entităților special constituite în scopul securitizării (SSPE, Securitisation Special Purpose Entities) sau ale altor entități speciale, menționate în Regulamentul (UE) nr. 575/2013, în raport cu care instituția acționează ca sponsor sau oferă un sprijin semnificativ sub formă de lichidități.</w:t>
            </w:r>
          </w:p>
        </w:tc>
        <w:tc>
          <w:tcPr>
            <w:tcW w:w="1928" w:type="pct"/>
            <w:gridSpan w:val="3"/>
            <w:tcBorders>
              <w:top w:val="single" w:sz="4" w:space="0" w:color="auto"/>
              <w:left w:val="single" w:sz="4" w:space="0" w:color="auto"/>
              <w:bottom w:val="single" w:sz="4" w:space="0" w:color="auto"/>
              <w:right w:val="single" w:sz="4" w:space="0" w:color="auto"/>
            </w:tcBorders>
          </w:tcPr>
          <w:p w14:paraId="3C84798D" w14:textId="16ABADE6" w:rsidR="002F47A0" w:rsidRPr="009E686F" w:rsidRDefault="002F47A0" w:rsidP="002F47A0">
            <w:pPr>
              <w:spacing w:after="0"/>
              <w:jc w:val="both"/>
              <w:rPr>
                <w:rFonts w:ascii="Times New Roman" w:hAnsi="Times New Roman" w:cs="Times New Roman"/>
                <w:b/>
                <w:bCs/>
                <w:lang w:val="ro-RO"/>
              </w:rPr>
            </w:pPr>
            <w:r w:rsidRPr="009E686F">
              <w:rPr>
                <w:rFonts w:ascii="Times New Roman" w:hAnsi="Times New Roman" w:cs="Times New Roman"/>
                <w:b/>
                <w:bCs/>
                <w:lang w:val="pt-BR"/>
              </w:rPr>
              <w:t>Pct. 387</w:t>
            </w:r>
            <w:r w:rsidRPr="009E686F">
              <w:rPr>
                <w:rFonts w:ascii="Times New Roman" w:hAnsi="Times New Roman" w:cs="Times New Roman"/>
                <w:b/>
                <w:bCs/>
                <w:vertAlign w:val="superscript"/>
                <w:lang w:val="pt-BR"/>
              </w:rPr>
              <w:t>8</w:t>
            </w:r>
            <w:r w:rsidRPr="009E686F">
              <w:rPr>
                <w:rFonts w:ascii="Times New Roman" w:hAnsi="Times New Roman" w:cs="Times New Roman"/>
                <w:b/>
                <w:bCs/>
                <w:lang w:val="pt-BR"/>
              </w:rPr>
              <w:t xml:space="preserve"> din Regulamentul privind cadrul de administrare a activităţii băncilor, aprobat prin HCE nr. 322  din  20.12.2018</w:t>
            </w:r>
          </w:p>
          <w:p w14:paraId="27919B99" w14:textId="77777777" w:rsidR="002F47A0" w:rsidRPr="009E686F" w:rsidRDefault="002F47A0" w:rsidP="002F47A0">
            <w:pPr>
              <w:spacing w:after="0"/>
              <w:jc w:val="both"/>
              <w:rPr>
                <w:rFonts w:ascii="Times New Roman" w:hAnsi="Times New Roman" w:cs="Times New Roman"/>
                <w:bCs/>
                <w:lang w:val="ro-RO"/>
              </w:rPr>
            </w:pPr>
            <w:r w:rsidRPr="009E686F">
              <w:rPr>
                <w:rFonts w:ascii="Times New Roman" w:hAnsi="Times New Roman" w:cs="Times New Roman"/>
                <w:bCs/>
                <w:lang w:val="ro-RO"/>
              </w:rPr>
              <w:t>387</w:t>
            </w:r>
            <w:r w:rsidRPr="009E686F">
              <w:rPr>
                <w:rFonts w:ascii="Times New Roman" w:hAnsi="Times New Roman" w:cs="Times New Roman"/>
                <w:bCs/>
                <w:vertAlign w:val="superscript"/>
                <w:lang w:val="ro-RO"/>
              </w:rPr>
              <w:t>8</w:t>
            </w:r>
            <w:r w:rsidRPr="009E686F">
              <w:rPr>
                <w:rFonts w:ascii="Times New Roman" w:hAnsi="Times New Roman" w:cs="Times New Roman"/>
                <w:bCs/>
                <w:lang w:val="ro-RO"/>
              </w:rPr>
              <w:t>. Banca trebuie să aibă în vedere scenariile alternative de lichiditate şi factorii de diminuare a riscurilor şi că reexaminează ipotezele care stau la baza deciziilor privind poziţia de finanţare, cel puţin, o dată pe an. În acest sens, scenariile alternative trebuie să vizeze în special elementele extrabilanţiere şi alte datorii contingente, inclusiv cele ale entităţilor constituite în scop special, în raport cu care banca acţionează ca sponsor sau oferă un sprijin semnificativ sub formă de lichidităţi.</w:t>
            </w:r>
          </w:p>
          <w:p w14:paraId="70BCEF80" w14:textId="5A8507AE" w:rsidR="002F47A0" w:rsidRPr="009E686F" w:rsidRDefault="002F47A0" w:rsidP="002F47A0">
            <w:pPr>
              <w:spacing w:after="0"/>
              <w:jc w:val="both"/>
              <w:rPr>
                <w:rFonts w:ascii="Times New Roman" w:hAnsi="Times New Roman" w:cs="Times New Roman"/>
                <w:bCs/>
                <w:lang w:val="ro-RO"/>
              </w:rPr>
            </w:pPr>
          </w:p>
        </w:tc>
        <w:tc>
          <w:tcPr>
            <w:tcW w:w="470" w:type="pct"/>
            <w:tcBorders>
              <w:top w:val="single" w:sz="4" w:space="0" w:color="auto"/>
              <w:left w:val="single" w:sz="4" w:space="0" w:color="auto"/>
              <w:bottom w:val="single" w:sz="4" w:space="0" w:color="auto"/>
              <w:right w:val="single" w:sz="4" w:space="0" w:color="auto"/>
            </w:tcBorders>
          </w:tcPr>
          <w:p w14:paraId="268DB680" w14:textId="77777777"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 xml:space="preserve">Compatibil </w:t>
            </w:r>
          </w:p>
          <w:p w14:paraId="2143B2EB" w14:textId="553A7546" w:rsidR="002F47A0" w:rsidRPr="009E686F" w:rsidRDefault="002F47A0" w:rsidP="002F47A0">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7267B171" w14:textId="77777777" w:rsidR="002F47A0" w:rsidRPr="009E686F" w:rsidRDefault="002F47A0" w:rsidP="002F47A0">
            <w:pPr>
              <w:jc w:val="both"/>
              <w:rPr>
                <w:rFonts w:ascii="Times New Roman" w:hAnsi="Times New Roman" w:cs="Times New Roman"/>
                <w:lang w:val="ro-RO"/>
              </w:rPr>
            </w:pPr>
          </w:p>
        </w:tc>
      </w:tr>
      <w:tr w:rsidR="002F47A0" w:rsidRPr="009E686F" w14:paraId="35939470" w14:textId="39B4425D" w:rsidTr="00774F3E">
        <w:tc>
          <w:tcPr>
            <w:tcW w:w="1796" w:type="pct"/>
            <w:gridSpan w:val="2"/>
            <w:tcBorders>
              <w:top w:val="single" w:sz="4" w:space="0" w:color="auto"/>
              <w:left w:val="single" w:sz="4" w:space="0" w:color="auto"/>
              <w:bottom w:val="single" w:sz="4" w:space="0" w:color="auto"/>
              <w:right w:val="single" w:sz="4" w:space="0" w:color="auto"/>
            </w:tcBorders>
          </w:tcPr>
          <w:p w14:paraId="56A0FD51" w14:textId="4767BCA2"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 xml:space="preserve">(9) Autoritățile competente se asigură că instituțiile iau în considerare potențialul impact al scenariilor alternative privind anumite instituții, al scenariilor la nivel de piață și al scenariilor alternative combinate. </w:t>
            </w:r>
          </w:p>
          <w:p w14:paraId="7923001D" w14:textId="77777777" w:rsidR="002F47A0" w:rsidRPr="009E686F" w:rsidRDefault="002F47A0" w:rsidP="002F47A0">
            <w:pPr>
              <w:spacing w:after="0"/>
              <w:jc w:val="both"/>
              <w:rPr>
                <w:rFonts w:ascii="Times New Roman" w:hAnsi="Times New Roman" w:cs="Times New Roman"/>
                <w:lang w:val="ro-RO"/>
              </w:rPr>
            </w:pPr>
          </w:p>
          <w:p w14:paraId="4EC8519E"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Trebuie avute în vedere diferite perioade de timp și diferite grade ale condițiilor de criză.</w:t>
            </w:r>
          </w:p>
        </w:tc>
        <w:tc>
          <w:tcPr>
            <w:tcW w:w="1928" w:type="pct"/>
            <w:gridSpan w:val="3"/>
            <w:tcBorders>
              <w:top w:val="single" w:sz="4" w:space="0" w:color="auto"/>
              <w:left w:val="single" w:sz="4" w:space="0" w:color="auto"/>
              <w:bottom w:val="single" w:sz="4" w:space="0" w:color="auto"/>
              <w:right w:val="single" w:sz="4" w:space="0" w:color="auto"/>
            </w:tcBorders>
          </w:tcPr>
          <w:p w14:paraId="7EFFF236" w14:textId="77777777" w:rsidR="002F47A0" w:rsidRPr="009E686F" w:rsidRDefault="002F47A0" w:rsidP="002F47A0">
            <w:pPr>
              <w:spacing w:after="0"/>
              <w:jc w:val="both"/>
              <w:rPr>
                <w:rFonts w:ascii="Times New Roman" w:hAnsi="Times New Roman" w:cs="Times New Roman"/>
                <w:b/>
                <w:bCs/>
                <w:lang w:val="pt-BR"/>
              </w:rPr>
            </w:pPr>
            <w:r w:rsidRPr="009E686F">
              <w:rPr>
                <w:rFonts w:ascii="Times New Roman" w:hAnsi="Times New Roman" w:cs="Times New Roman"/>
                <w:b/>
                <w:bCs/>
                <w:lang w:val="pt-BR"/>
              </w:rPr>
              <w:t>Regulamentul privind cadrul de administrare a activităţii băncilor, aprobat prin HCE nr. 322  din  20.12.2018</w:t>
            </w:r>
          </w:p>
          <w:p w14:paraId="51A8A707" w14:textId="34676E51" w:rsidR="002F47A0" w:rsidRPr="009E686F" w:rsidRDefault="002F47A0" w:rsidP="002F47A0">
            <w:pPr>
              <w:spacing w:after="0"/>
              <w:jc w:val="both"/>
              <w:rPr>
                <w:rFonts w:ascii="Times New Roman" w:hAnsi="Times New Roman" w:cs="Times New Roman"/>
                <w:bCs/>
                <w:lang w:val="ro-RO"/>
              </w:rPr>
            </w:pPr>
            <w:r w:rsidRPr="009E686F">
              <w:rPr>
                <w:rFonts w:ascii="Times New Roman" w:hAnsi="Times New Roman" w:cs="Times New Roman"/>
                <w:bCs/>
                <w:lang w:val="ro-RO"/>
              </w:rPr>
              <w:t>Anexa nr.3</w:t>
            </w:r>
          </w:p>
          <w:p w14:paraId="7E5AA807" w14:textId="4A6CF966" w:rsidR="002F47A0" w:rsidRPr="009E686F" w:rsidRDefault="002F47A0" w:rsidP="002F47A0">
            <w:pPr>
              <w:spacing w:after="0"/>
              <w:jc w:val="both"/>
              <w:rPr>
                <w:rFonts w:ascii="Times New Roman" w:hAnsi="Times New Roman" w:cs="Times New Roman"/>
                <w:bCs/>
                <w:lang w:val="ro-RO"/>
              </w:rPr>
            </w:pPr>
            <w:r w:rsidRPr="009E686F">
              <w:rPr>
                <w:rFonts w:ascii="Times New Roman" w:hAnsi="Times New Roman" w:cs="Times New Roman"/>
                <w:bCs/>
                <w:lang w:val="ro-RO"/>
              </w:rPr>
              <w:t>19. Cu privire la punerea pe deplin în aplicare a simulărilor de criză şi a rezultatelor acestora, banca transmite Băncii Naţionale a Moldovei informaţii cu privire la următoarele:</w:t>
            </w:r>
          </w:p>
          <w:p w14:paraId="148776A9" w14:textId="2A938BF0" w:rsidR="002F47A0" w:rsidRPr="009E686F" w:rsidRDefault="002F47A0" w:rsidP="002F47A0">
            <w:pPr>
              <w:spacing w:after="0"/>
              <w:jc w:val="both"/>
              <w:rPr>
                <w:rFonts w:ascii="Times New Roman" w:hAnsi="Times New Roman" w:cs="Times New Roman"/>
                <w:bCs/>
                <w:lang w:val="ro-RO"/>
              </w:rPr>
            </w:pPr>
            <w:r w:rsidRPr="009E686F">
              <w:rPr>
                <w:rFonts w:ascii="Times New Roman" w:hAnsi="Times New Roman" w:cs="Times New Roman"/>
                <w:bCs/>
                <w:lang w:val="ro-RO"/>
              </w:rPr>
              <w:t>a) rezultatul cantitativ al scenariilor analizate şi impactul asupra măsurilor cantitative cheie, inclusiv contul de profit şi pierdere, fonduri proprii interne şi reglementate, precum şi indicatori prudenţiali şi, în cadrul abordărilor integrate, impactul asupra poziţiei lichidităţii;</w:t>
            </w:r>
          </w:p>
        </w:tc>
        <w:tc>
          <w:tcPr>
            <w:tcW w:w="470" w:type="pct"/>
            <w:tcBorders>
              <w:top w:val="single" w:sz="4" w:space="0" w:color="auto"/>
              <w:left w:val="single" w:sz="4" w:space="0" w:color="auto"/>
              <w:bottom w:val="single" w:sz="4" w:space="0" w:color="auto"/>
              <w:right w:val="single" w:sz="4" w:space="0" w:color="auto"/>
            </w:tcBorders>
          </w:tcPr>
          <w:p w14:paraId="41D98F2D" w14:textId="46BEDD48"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 xml:space="preserve">Parțial compatibil </w:t>
            </w:r>
          </w:p>
          <w:p w14:paraId="3A10E7A6" w14:textId="428638F7" w:rsidR="002F47A0" w:rsidRPr="009E686F" w:rsidRDefault="002F47A0" w:rsidP="002F47A0">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5384FE05" w14:textId="4B13D13D" w:rsidR="002F47A0" w:rsidRPr="009E686F" w:rsidRDefault="002F47A0" w:rsidP="00A12862">
            <w:pPr>
              <w:spacing w:line="240" w:lineRule="auto"/>
              <w:jc w:val="both"/>
              <w:rPr>
                <w:rFonts w:ascii="Times New Roman" w:hAnsi="Times New Roman" w:cs="Times New Roman"/>
                <w:lang w:val="ro-RO"/>
              </w:rPr>
            </w:pPr>
            <w:r w:rsidRPr="009E686F">
              <w:rPr>
                <w:rFonts w:ascii="Times New Roman" w:hAnsi="Times New Roman" w:cs="Times New Roman"/>
                <w:lang w:val="ro-RO"/>
              </w:rPr>
              <w:t>Transpunerea totală se va asigura prin proiectul de modificare a Regulamentului nr. 322/2018</w:t>
            </w:r>
            <w:r w:rsidR="006B7EBA" w:rsidRPr="009E686F">
              <w:rPr>
                <w:rFonts w:ascii="Times New Roman" w:hAnsi="Times New Roman" w:cs="Times New Roman"/>
                <w:lang w:val="ro-RO"/>
              </w:rPr>
              <w:t xml:space="preserve"> (</w:t>
            </w:r>
            <w:r w:rsidR="006B7EBA" w:rsidRPr="009E686F">
              <w:rPr>
                <w:rFonts w:ascii="Times New Roman" w:eastAsia="Times New Roman" w:hAnsi="Times New Roman" w:cs="Times New Roman"/>
                <w:bCs/>
                <w:lang w:val="it-CH" w:eastAsia="ru-RU"/>
              </w:rPr>
              <w:t>acțiunea normativă nr. 2 din Anexa A din PNA 2025-2029 aferentă Capitolului 9 “Servicii financiare” în legătură cu transpunerea Directivei 2013/36/UE).</w:t>
            </w:r>
          </w:p>
        </w:tc>
      </w:tr>
      <w:tr w:rsidR="002F47A0" w:rsidRPr="009E686F" w14:paraId="752A76D1" w14:textId="0EF4CE65" w:rsidTr="00774F3E">
        <w:tc>
          <w:tcPr>
            <w:tcW w:w="1796" w:type="pct"/>
            <w:gridSpan w:val="2"/>
            <w:tcBorders>
              <w:top w:val="single" w:sz="4" w:space="0" w:color="auto"/>
              <w:left w:val="single" w:sz="4" w:space="0" w:color="auto"/>
              <w:bottom w:val="single" w:sz="4" w:space="0" w:color="auto"/>
              <w:right w:val="single" w:sz="4" w:space="0" w:color="auto"/>
            </w:tcBorders>
          </w:tcPr>
          <w:p w14:paraId="47F24A4E" w14:textId="4A52CE54"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(10) Autoritățile competente se asigură că instituțiile își ajustează strategiile, politicile interne și limitele cu privire la riscul de lichiditate și elaborează planuri de urgență eficiente, având în vedere rezultatul scenariilor alternative menționate la alineatul (7).</w:t>
            </w:r>
          </w:p>
        </w:tc>
        <w:tc>
          <w:tcPr>
            <w:tcW w:w="1928" w:type="pct"/>
            <w:gridSpan w:val="3"/>
            <w:tcBorders>
              <w:top w:val="single" w:sz="4" w:space="0" w:color="auto"/>
              <w:left w:val="single" w:sz="4" w:space="0" w:color="auto"/>
              <w:bottom w:val="single" w:sz="4" w:space="0" w:color="auto"/>
              <w:right w:val="single" w:sz="4" w:space="0" w:color="auto"/>
            </w:tcBorders>
          </w:tcPr>
          <w:p w14:paraId="5FAA87B9" w14:textId="1D502BDB" w:rsidR="002F47A0" w:rsidRPr="009E686F" w:rsidRDefault="002F47A0" w:rsidP="002F47A0">
            <w:pPr>
              <w:spacing w:after="0"/>
              <w:jc w:val="both"/>
              <w:rPr>
                <w:rFonts w:ascii="Times New Roman" w:hAnsi="Times New Roman" w:cs="Times New Roman"/>
                <w:b/>
                <w:bCs/>
                <w:lang w:val="pt-BR"/>
              </w:rPr>
            </w:pPr>
            <w:r w:rsidRPr="009E686F">
              <w:rPr>
                <w:rFonts w:ascii="Times New Roman" w:hAnsi="Times New Roman" w:cs="Times New Roman"/>
                <w:b/>
                <w:bCs/>
                <w:lang w:val="pt-BR"/>
              </w:rPr>
              <w:t>Pct. 387</w:t>
            </w:r>
            <w:r w:rsidRPr="009E686F">
              <w:rPr>
                <w:rFonts w:ascii="Times New Roman" w:hAnsi="Times New Roman" w:cs="Times New Roman"/>
                <w:b/>
                <w:bCs/>
                <w:vertAlign w:val="superscript"/>
                <w:lang w:val="pt-BR"/>
              </w:rPr>
              <w:t>9</w:t>
            </w:r>
            <w:r w:rsidRPr="009E686F">
              <w:rPr>
                <w:rFonts w:ascii="Times New Roman" w:hAnsi="Times New Roman" w:cs="Times New Roman"/>
                <w:b/>
                <w:bCs/>
                <w:lang w:val="pt-BR"/>
              </w:rPr>
              <w:t xml:space="preserve"> din Regulamentul privind cadrul de administrare a activităţii băncilor, aprobat prin HCE nr. 322  din  20.12.2018</w:t>
            </w:r>
          </w:p>
          <w:p w14:paraId="2E5A295D" w14:textId="64EC0C53" w:rsidR="002F47A0" w:rsidRPr="009E686F" w:rsidRDefault="002F47A0" w:rsidP="002F47A0">
            <w:pPr>
              <w:spacing w:after="0"/>
              <w:jc w:val="both"/>
              <w:rPr>
                <w:rFonts w:ascii="Times New Roman" w:hAnsi="Times New Roman" w:cs="Times New Roman"/>
                <w:bCs/>
                <w:lang w:val="ro-RO"/>
              </w:rPr>
            </w:pPr>
            <w:r w:rsidRPr="009E686F">
              <w:rPr>
                <w:rFonts w:ascii="Times New Roman" w:hAnsi="Times New Roman" w:cs="Times New Roman"/>
                <w:bCs/>
                <w:lang w:val="ro-RO"/>
              </w:rPr>
              <w:t>387</w:t>
            </w:r>
            <w:r w:rsidRPr="009E686F">
              <w:rPr>
                <w:rFonts w:ascii="Times New Roman" w:hAnsi="Times New Roman" w:cs="Times New Roman"/>
                <w:bCs/>
                <w:vertAlign w:val="superscript"/>
                <w:lang w:val="ro-RO"/>
              </w:rPr>
              <w:t>9</w:t>
            </w:r>
            <w:r w:rsidRPr="009E686F">
              <w:rPr>
                <w:rFonts w:ascii="Times New Roman" w:hAnsi="Times New Roman" w:cs="Times New Roman"/>
                <w:bCs/>
                <w:lang w:val="ro-RO"/>
              </w:rPr>
              <w:t>. Banca trebuie să ajusteze strategiile, politicile interne şi limitele cu privire la riscul de lichiditate şi să elaboreze planuri de urgenţă eficiente, având în vedere rezultatul scenariilor alternative menţionate la pct.387</w:t>
            </w:r>
            <w:r w:rsidRPr="009E686F">
              <w:rPr>
                <w:rFonts w:ascii="Times New Roman" w:hAnsi="Times New Roman" w:cs="Times New Roman"/>
                <w:bCs/>
                <w:vertAlign w:val="superscript"/>
                <w:lang w:val="ro-RO"/>
              </w:rPr>
              <w:t>8</w:t>
            </w:r>
            <w:r w:rsidRPr="009E686F">
              <w:rPr>
                <w:rFonts w:ascii="Times New Roman" w:hAnsi="Times New Roman" w:cs="Times New Roman"/>
                <w:bCs/>
                <w:lang w:val="ro-RO"/>
              </w:rPr>
              <w:t>.</w:t>
            </w:r>
          </w:p>
        </w:tc>
        <w:tc>
          <w:tcPr>
            <w:tcW w:w="470" w:type="pct"/>
            <w:tcBorders>
              <w:top w:val="single" w:sz="4" w:space="0" w:color="auto"/>
              <w:left w:val="single" w:sz="4" w:space="0" w:color="auto"/>
              <w:bottom w:val="single" w:sz="4" w:space="0" w:color="auto"/>
              <w:right w:val="single" w:sz="4" w:space="0" w:color="auto"/>
            </w:tcBorders>
          </w:tcPr>
          <w:p w14:paraId="77F69DF9" w14:textId="77777777"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 xml:space="preserve">Compatibil </w:t>
            </w:r>
          </w:p>
          <w:p w14:paraId="53F18FE7" w14:textId="06131055" w:rsidR="002F47A0" w:rsidRPr="009E686F" w:rsidRDefault="002F47A0" w:rsidP="002F47A0">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3881A46B" w14:textId="77777777" w:rsidR="002F47A0" w:rsidRPr="009E686F" w:rsidRDefault="002F47A0" w:rsidP="00A12862">
            <w:pPr>
              <w:spacing w:line="240" w:lineRule="auto"/>
              <w:jc w:val="both"/>
              <w:rPr>
                <w:rFonts w:ascii="Times New Roman" w:hAnsi="Times New Roman" w:cs="Times New Roman"/>
                <w:lang w:val="ro-RO"/>
              </w:rPr>
            </w:pPr>
          </w:p>
        </w:tc>
      </w:tr>
      <w:tr w:rsidR="002F47A0" w:rsidRPr="009E686F" w14:paraId="69D94EFF" w14:textId="419906CB" w:rsidTr="00774F3E">
        <w:tc>
          <w:tcPr>
            <w:tcW w:w="1796" w:type="pct"/>
            <w:gridSpan w:val="2"/>
            <w:tcBorders>
              <w:top w:val="single" w:sz="4" w:space="0" w:color="auto"/>
              <w:left w:val="single" w:sz="4" w:space="0" w:color="auto"/>
              <w:bottom w:val="single" w:sz="4" w:space="0" w:color="auto"/>
              <w:right w:val="single" w:sz="4" w:space="0" w:color="auto"/>
            </w:tcBorders>
          </w:tcPr>
          <w:p w14:paraId="6C5031FA" w14:textId="55A0ABB5"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lastRenderedPageBreak/>
              <w:t xml:space="preserve">(11) Autoritățile competente se asigură că instituțiile dispun de planuri de redresare privind lichiditatea care stabilesc strategii adecvate și măsuri de punere în aplicare corespunzătoare pentru a rezolva problema eventualei lipse de lichidități, inclusiv în ceea ce privește sucursalele stabilite într-un alt stat membru. </w:t>
            </w:r>
          </w:p>
          <w:p w14:paraId="47C8F095" w14:textId="12BD76E5"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 xml:space="preserve">Autoritățile competente se asigură că planurile respective sunt testate de instituții cel puțin o dată pe an, actualizate pe baza rezultatelor scenariilor alternative menționate la alineatul (8), raportate conducerii superioare și aprobate de aceasta, astfel încât politicile și procesele interne să poată fi ajustate în consecință. </w:t>
            </w:r>
          </w:p>
          <w:p w14:paraId="75D2624E" w14:textId="2E0E9F76"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 xml:space="preserve">Instituțiile iau măsurile operaționale necesare în avans pentru a se asigura că planurile de redresare privind lichiditatea pot fi puse în aplicare imediat. </w:t>
            </w:r>
          </w:p>
          <w:p w14:paraId="23124885" w14:textId="4476267F"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 xml:space="preserve">Printre aceste măsuri operaționale se numără asigurarea disponibilității imediate a garanțiilor pentru finanțare de la banca centrală. </w:t>
            </w:r>
          </w:p>
          <w:p w14:paraId="0F74DC61" w14:textId="03AFA57D"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Aceasta include asigurarea disponibilității garanției în moneda unui alt stat membru, dacă este cazul, sau în moneda unei țări terțe față de care instituția are expuneri și, dacă este necesar din punct de vedere operațional, pe teritoriul unui stat membru gazdă sau al unei țări terțe față de moneda căreia are expuneri.</w:t>
            </w:r>
          </w:p>
        </w:tc>
        <w:tc>
          <w:tcPr>
            <w:tcW w:w="1928" w:type="pct"/>
            <w:gridSpan w:val="3"/>
            <w:tcBorders>
              <w:top w:val="single" w:sz="4" w:space="0" w:color="auto"/>
              <w:left w:val="single" w:sz="4" w:space="0" w:color="auto"/>
              <w:bottom w:val="single" w:sz="4" w:space="0" w:color="auto"/>
              <w:right w:val="single" w:sz="4" w:space="0" w:color="auto"/>
            </w:tcBorders>
          </w:tcPr>
          <w:p w14:paraId="27AF4288" w14:textId="1AA94C43" w:rsidR="002F47A0" w:rsidRPr="009E686F" w:rsidRDefault="002F47A0" w:rsidP="002F47A0">
            <w:pPr>
              <w:spacing w:after="0"/>
              <w:jc w:val="both"/>
              <w:rPr>
                <w:rFonts w:ascii="Times New Roman" w:hAnsi="Times New Roman" w:cs="Times New Roman"/>
                <w:b/>
                <w:bCs/>
                <w:lang w:val="pt-BR"/>
              </w:rPr>
            </w:pPr>
            <w:r w:rsidRPr="009E686F">
              <w:rPr>
                <w:rFonts w:ascii="Times New Roman" w:hAnsi="Times New Roman" w:cs="Times New Roman"/>
                <w:b/>
                <w:bCs/>
                <w:lang w:val="pt-BR"/>
              </w:rPr>
              <w:t>Pct. 387</w:t>
            </w:r>
            <w:r w:rsidRPr="009E686F">
              <w:rPr>
                <w:rFonts w:ascii="Times New Roman" w:hAnsi="Times New Roman" w:cs="Times New Roman"/>
                <w:b/>
                <w:bCs/>
                <w:vertAlign w:val="superscript"/>
                <w:lang w:val="pt-BR"/>
              </w:rPr>
              <w:t>10</w:t>
            </w:r>
            <w:r w:rsidRPr="009E686F">
              <w:rPr>
                <w:rFonts w:ascii="Times New Roman" w:hAnsi="Times New Roman" w:cs="Times New Roman"/>
                <w:b/>
                <w:bCs/>
                <w:lang w:val="pt-BR"/>
              </w:rPr>
              <w:t>-387</w:t>
            </w:r>
            <w:r w:rsidRPr="009E686F">
              <w:rPr>
                <w:rFonts w:ascii="Times New Roman" w:hAnsi="Times New Roman" w:cs="Times New Roman"/>
                <w:b/>
                <w:bCs/>
                <w:vertAlign w:val="superscript"/>
                <w:lang w:val="pt-BR"/>
              </w:rPr>
              <w:t>11</w:t>
            </w:r>
            <w:r w:rsidRPr="009E686F">
              <w:rPr>
                <w:rFonts w:ascii="Times New Roman" w:hAnsi="Times New Roman" w:cs="Times New Roman"/>
                <w:b/>
                <w:bCs/>
                <w:lang w:val="pt-BR"/>
              </w:rPr>
              <w:t xml:space="preserve"> din Regulamentul privind cadrul de administrare a activităţii băncilor, aprobat prin HCE nr. 322  din  20.12.2018</w:t>
            </w:r>
          </w:p>
          <w:p w14:paraId="2B2402D4" w14:textId="77777777" w:rsidR="002F47A0" w:rsidRPr="009E686F" w:rsidRDefault="002F47A0" w:rsidP="002F47A0">
            <w:pPr>
              <w:spacing w:after="0"/>
              <w:jc w:val="both"/>
              <w:rPr>
                <w:rFonts w:ascii="Times New Roman" w:hAnsi="Times New Roman" w:cs="Times New Roman"/>
                <w:bCs/>
                <w:lang w:val="ro-RO"/>
              </w:rPr>
            </w:pPr>
            <w:r w:rsidRPr="009E686F">
              <w:rPr>
                <w:rFonts w:ascii="Times New Roman" w:hAnsi="Times New Roman" w:cs="Times New Roman"/>
                <w:bCs/>
                <w:lang w:val="ro-RO"/>
              </w:rPr>
              <w:t>387</w:t>
            </w:r>
            <w:r w:rsidRPr="009E686F">
              <w:rPr>
                <w:rFonts w:ascii="Times New Roman" w:hAnsi="Times New Roman" w:cs="Times New Roman"/>
                <w:bCs/>
                <w:vertAlign w:val="superscript"/>
                <w:lang w:val="ro-RO"/>
              </w:rPr>
              <w:t>10</w:t>
            </w:r>
            <w:r w:rsidRPr="009E686F">
              <w:rPr>
                <w:rFonts w:ascii="Times New Roman" w:hAnsi="Times New Roman" w:cs="Times New Roman"/>
                <w:bCs/>
                <w:lang w:val="ro-RO"/>
              </w:rPr>
              <w:t>. Planurile de urgenţă privind lichiditatea trebuie să stabilească strategii adecvate şi măsuri de punere în aplicare corespunzătoare pentru a rezolva problema eventualei lipse de lichidităţi, inclusiv în ceea ce priveşte sucursalele stabilite într-un alt stat.</w:t>
            </w:r>
          </w:p>
          <w:p w14:paraId="6B54BF9F" w14:textId="083C8C43" w:rsidR="002F47A0" w:rsidRPr="009E686F" w:rsidRDefault="002F47A0" w:rsidP="002F47A0">
            <w:pPr>
              <w:spacing w:after="0"/>
              <w:jc w:val="both"/>
              <w:rPr>
                <w:rFonts w:ascii="Times New Roman" w:hAnsi="Times New Roman" w:cs="Times New Roman"/>
                <w:bCs/>
                <w:lang w:val="ro-RO"/>
              </w:rPr>
            </w:pPr>
            <w:r w:rsidRPr="009E686F">
              <w:rPr>
                <w:rFonts w:ascii="Times New Roman" w:hAnsi="Times New Roman" w:cs="Times New Roman"/>
                <w:bCs/>
                <w:lang w:val="ro-RO"/>
              </w:rPr>
              <w:t>387</w:t>
            </w:r>
            <w:r w:rsidRPr="009E686F">
              <w:rPr>
                <w:rFonts w:ascii="Times New Roman" w:hAnsi="Times New Roman" w:cs="Times New Roman"/>
                <w:bCs/>
                <w:vertAlign w:val="superscript"/>
                <w:lang w:val="ro-RO"/>
              </w:rPr>
              <w:t>11</w:t>
            </w:r>
            <w:r w:rsidRPr="009E686F">
              <w:rPr>
                <w:rFonts w:ascii="Times New Roman" w:hAnsi="Times New Roman" w:cs="Times New Roman"/>
                <w:bCs/>
                <w:lang w:val="ro-RO"/>
              </w:rPr>
              <w:t>. Planurile de urgenţă privind lichiditatea trebuie să fie testate de către bancă, cel puţin, o dată pe an, actualizate pe baza rezultatelor scenariilor alternative menţionate la pct.387</w:t>
            </w:r>
            <w:r w:rsidRPr="009E686F">
              <w:rPr>
                <w:rFonts w:ascii="Times New Roman" w:hAnsi="Times New Roman" w:cs="Times New Roman"/>
                <w:bCs/>
                <w:vertAlign w:val="superscript"/>
                <w:lang w:val="ro-RO"/>
              </w:rPr>
              <w:t>8</w:t>
            </w:r>
            <w:r w:rsidRPr="009E686F">
              <w:rPr>
                <w:rFonts w:ascii="Times New Roman" w:hAnsi="Times New Roman" w:cs="Times New Roman"/>
                <w:bCs/>
                <w:lang w:val="ro-RO"/>
              </w:rPr>
              <w:t>, raportate organului de conducere corespunzător şi aprobate de acesta, astfel încât politicile şi procesele interne să poată fi ajustate în consecinţă.</w:t>
            </w:r>
            <w:r w:rsidRPr="009E686F">
              <w:rPr>
                <w:rFonts w:ascii="Times New Roman" w:eastAsia="Times New Roman" w:hAnsi="Times New Roman" w:cs="Times New Roman"/>
                <w:lang w:val="ro-RO" w:eastAsia="ro-MD"/>
              </w:rPr>
              <w:t xml:space="preserve"> </w:t>
            </w:r>
            <w:r w:rsidRPr="009E686F">
              <w:rPr>
                <w:rFonts w:ascii="Times New Roman" w:hAnsi="Times New Roman" w:cs="Times New Roman"/>
                <w:bCs/>
                <w:lang w:val="ro-RO"/>
              </w:rPr>
              <w:t>Banca trebuie să ia măsurile operaționale necesare în avans pentru a se asigura că planurile de redresare privind lichiditatea pot fi puse în aplicare imediat.</w:t>
            </w:r>
          </w:p>
          <w:p w14:paraId="0B2D7126" w14:textId="1284C887" w:rsidR="002F47A0" w:rsidRPr="009E686F" w:rsidRDefault="002F47A0" w:rsidP="002F47A0">
            <w:pPr>
              <w:spacing w:after="0"/>
              <w:jc w:val="both"/>
              <w:rPr>
                <w:rFonts w:ascii="Times New Roman" w:hAnsi="Times New Roman" w:cs="Times New Roman"/>
                <w:bCs/>
                <w:lang w:val="ro-RO"/>
              </w:rPr>
            </w:pPr>
          </w:p>
        </w:tc>
        <w:tc>
          <w:tcPr>
            <w:tcW w:w="470" w:type="pct"/>
            <w:tcBorders>
              <w:top w:val="single" w:sz="4" w:space="0" w:color="auto"/>
              <w:left w:val="single" w:sz="4" w:space="0" w:color="auto"/>
              <w:bottom w:val="single" w:sz="4" w:space="0" w:color="auto"/>
              <w:right w:val="single" w:sz="4" w:space="0" w:color="auto"/>
            </w:tcBorders>
          </w:tcPr>
          <w:p w14:paraId="5406397D" w14:textId="667D436E"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 xml:space="preserve">Parțial compatibil </w:t>
            </w:r>
          </w:p>
          <w:p w14:paraId="238CC11E" w14:textId="4BB3A63E" w:rsidR="002F47A0" w:rsidRPr="009E686F" w:rsidRDefault="002F47A0" w:rsidP="002F47A0">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36FEAA2A" w14:textId="77777777" w:rsidR="00E30119" w:rsidRPr="009E686F" w:rsidRDefault="002F47A0" w:rsidP="00A12862">
            <w:pPr>
              <w:spacing w:line="240" w:lineRule="auto"/>
              <w:rPr>
                <w:lang w:val="it-CH"/>
              </w:rPr>
            </w:pPr>
            <w:r w:rsidRPr="009E686F">
              <w:rPr>
                <w:rFonts w:ascii="Times New Roman" w:hAnsi="Times New Roman" w:cs="Times New Roman"/>
                <w:lang w:val="ro-RO"/>
              </w:rPr>
              <w:t>Transpunerea totală se va asigura prin proiectul de modificare a Regulamentului nr. 322/2018</w:t>
            </w:r>
            <w:r w:rsidR="00E30119" w:rsidRPr="009E686F">
              <w:rPr>
                <w:rFonts w:ascii="Times New Roman" w:hAnsi="Times New Roman" w:cs="Times New Roman"/>
                <w:lang w:val="ro-RO"/>
              </w:rPr>
              <w:t xml:space="preserve"> (</w:t>
            </w:r>
            <w:r w:rsidR="00E30119" w:rsidRPr="009E686F">
              <w:rPr>
                <w:rFonts w:ascii="Times New Roman" w:eastAsia="Times New Roman" w:hAnsi="Times New Roman" w:cs="Times New Roman"/>
                <w:bCs/>
                <w:lang w:val="it-CH" w:eastAsia="ru-RU"/>
              </w:rPr>
              <w:t>acțiunea normativă nr. 2 din Anexa A din PNA 2025-2029 aferentă Capitolului 9 “Servicii financiare” în legătură cu transpunerea Directivei 2013/36/UE).</w:t>
            </w:r>
          </w:p>
          <w:p w14:paraId="4FB0E86A" w14:textId="62D2EB24" w:rsidR="00E30119" w:rsidRPr="009E686F" w:rsidRDefault="00E30119" w:rsidP="00A12862">
            <w:pPr>
              <w:spacing w:line="240" w:lineRule="auto"/>
              <w:rPr>
                <w:lang w:val="it-CH"/>
              </w:rPr>
            </w:pPr>
          </w:p>
          <w:p w14:paraId="2F7745A0" w14:textId="50D10ED6" w:rsidR="002F47A0" w:rsidRPr="009E686F" w:rsidRDefault="002F47A0" w:rsidP="00A12862">
            <w:pPr>
              <w:spacing w:line="240" w:lineRule="auto"/>
              <w:jc w:val="both"/>
              <w:rPr>
                <w:rFonts w:ascii="Times New Roman" w:hAnsi="Times New Roman" w:cs="Times New Roman"/>
                <w:lang w:val="it-CH"/>
              </w:rPr>
            </w:pPr>
          </w:p>
        </w:tc>
      </w:tr>
      <w:tr w:rsidR="002F47A0" w:rsidRPr="009E686F" w14:paraId="680207EC" w14:textId="5BEF04AE" w:rsidTr="00774F3E">
        <w:tc>
          <w:tcPr>
            <w:tcW w:w="1796" w:type="pct"/>
            <w:gridSpan w:val="2"/>
            <w:tcBorders>
              <w:top w:val="single" w:sz="4" w:space="0" w:color="auto"/>
              <w:left w:val="single" w:sz="4" w:space="0" w:color="auto"/>
              <w:bottom w:val="single" w:sz="4" w:space="0" w:color="auto"/>
              <w:right w:val="single" w:sz="4" w:space="0" w:color="auto"/>
            </w:tcBorders>
          </w:tcPr>
          <w:p w14:paraId="7417796D" w14:textId="77777777" w:rsidR="002F47A0" w:rsidRPr="009E686F" w:rsidRDefault="002F47A0" w:rsidP="002F47A0">
            <w:pPr>
              <w:spacing w:after="0"/>
              <w:jc w:val="both"/>
              <w:rPr>
                <w:rFonts w:ascii="Times New Roman" w:hAnsi="Times New Roman" w:cs="Times New Roman"/>
                <w:i/>
                <w:iCs/>
                <w:lang w:val="ro-RO"/>
              </w:rPr>
            </w:pPr>
            <w:r w:rsidRPr="009E686F">
              <w:rPr>
                <w:rFonts w:ascii="Times New Roman" w:hAnsi="Times New Roman" w:cs="Times New Roman"/>
                <w:i/>
                <w:iCs/>
                <w:lang w:val="ro-RO"/>
              </w:rPr>
              <w:t xml:space="preserve">Articolul 87 </w:t>
            </w:r>
          </w:p>
          <w:p w14:paraId="524DADCB" w14:textId="15DDABE0"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Riscul efectului de levier excesiv</w:t>
            </w:r>
          </w:p>
        </w:tc>
        <w:tc>
          <w:tcPr>
            <w:tcW w:w="1928" w:type="pct"/>
            <w:gridSpan w:val="3"/>
            <w:tcBorders>
              <w:top w:val="single" w:sz="4" w:space="0" w:color="auto"/>
              <w:left w:val="single" w:sz="4" w:space="0" w:color="auto"/>
              <w:bottom w:val="single" w:sz="4" w:space="0" w:color="auto"/>
              <w:right w:val="single" w:sz="4" w:space="0" w:color="auto"/>
            </w:tcBorders>
          </w:tcPr>
          <w:p w14:paraId="7489873A" w14:textId="77777777" w:rsidR="002F47A0" w:rsidRPr="009E686F" w:rsidRDefault="002F47A0" w:rsidP="002F47A0">
            <w:pPr>
              <w:spacing w:after="0"/>
              <w:jc w:val="both"/>
              <w:rPr>
                <w:rFonts w:ascii="Times New Roman" w:hAnsi="Times New Roman" w:cs="Times New Roman"/>
                <w:b/>
                <w:lang w:val="ro-RO"/>
              </w:rPr>
            </w:pPr>
            <w:r w:rsidRPr="009E686F">
              <w:rPr>
                <w:rFonts w:ascii="Times New Roman" w:hAnsi="Times New Roman" w:cs="Times New Roman"/>
                <w:lang w:val="ro-RO"/>
              </w:rPr>
              <w:t>(4) În sensul alin. (1)-(3), sunt avute în vedere riscuri precum: riscul de credit şi al contrapărții,</w:t>
            </w:r>
            <w:r w:rsidRPr="009E686F">
              <w:rPr>
                <w:rFonts w:ascii="Times New Roman" w:hAnsi="Times New Roman" w:cs="Times New Roman"/>
                <w:b/>
                <w:lang w:val="ro-RO"/>
              </w:rPr>
              <w:t xml:space="preserve"> </w:t>
            </w:r>
            <w:r w:rsidRPr="009E686F">
              <w:rPr>
                <w:rFonts w:ascii="Times New Roman" w:hAnsi="Times New Roman" w:cs="Times New Roman"/>
                <w:lang w:val="ro-RO"/>
              </w:rPr>
              <w:t xml:space="preserve">riscul rezidual, riscul de concentrare, riscul de securitizare, riscul de piață, riscul de rată a dobânzii din activități în afara portofoliului de tranzacționare, riscul operațional, care include și riscul denaturării securității și integrității sistemelor  informaționale, riscul de lichiditate şi </w:t>
            </w:r>
            <w:r w:rsidRPr="009E686F">
              <w:rPr>
                <w:rFonts w:ascii="Times New Roman" w:hAnsi="Times New Roman" w:cs="Times New Roman"/>
                <w:b/>
                <w:lang w:val="ro-RO"/>
              </w:rPr>
              <w:t xml:space="preserve">riscul efectului de levier excesiv, </w:t>
            </w:r>
            <w:r w:rsidRPr="009E686F">
              <w:rPr>
                <w:rFonts w:ascii="Times New Roman" w:hAnsi="Times New Roman" w:cs="Times New Roman"/>
                <w:lang w:val="ro-RO"/>
              </w:rPr>
              <w:t>care include și riscul denaturării securității și integrității informaționale.</w:t>
            </w:r>
          </w:p>
        </w:tc>
        <w:tc>
          <w:tcPr>
            <w:tcW w:w="470" w:type="pct"/>
            <w:tcBorders>
              <w:top w:val="single" w:sz="4" w:space="0" w:color="auto"/>
              <w:left w:val="single" w:sz="4" w:space="0" w:color="auto"/>
              <w:bottom w:val="single" w:sz="4" w:space="0" w:color="auto"/>
              <w:right w:val="single" w:sz="4" w:space="0" w:color="auto"/>
            </w:tcBorders>
          </w:tcPr>
          <w:p w14:paraId="5B15A259" w14:textId="2402E194"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39F3E680" w14:textId="77777777" w:rsidR="002F47A0" w:rsidRPr="009E686F" w:rsidRDefault="002F47A0" w:rsidP="002F47A0">
            <w:pPr>
              <w:jc w:val="both"/>
              <w:rPr>
                <w:rFonts w:ascii="Times New Roman" w:hAnsi="Times New Roman" w:cs="Times New Roman"/>
                <w:lang w:val="ro-RO"/>
              </w:rPr>
            </w:pPr>
          </w:p>
        </w:tc>
      </w:tr>
      <w:tr w:rsidR="002F47A0" w:rsidRPr="009E686F" w14:paraId="68B741E8" w14:textId="5FBFC43D" w:rsidTr="00774F3E">
        <w:tc>
          <w:tcPr>
            <w:tcW w:w="1796" w:type="pct"/>
            <w:gridSpan w:val="2"/>
            <w:tcBorders>
              <w:top w:val="single" w:sz="4" w:space="0" w:color="auto"/>
              <w:left w:val="single" w:sz="4" w:space="0" w:color="auto"/>
              <w:bottom w:val="single" w:sz="4" w:space="0" w:color="auto"/>
              <w:right w:val="single" w:sz="4" w:space="0" w:color="auto"/>
            </w:tcBorders>
          </w:tcPr>
          <w:p w14:paraId="07849CB4" w14:textId="3FE7BA52"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lastRenderedPageBreak/>
              <w:t>(1)Autoritățile competente se asigură că instituțiile dispun de politici și procese pentru identificarea, gestionarea și monitorizarea riscului asociat folosirii excesive a efectului de levier. Indicatorii riscului asociat folosirii excesive a efectului de levier trebuie să includă rata efectului de levier stabilită în conformitate cu articolul 429 din Regulamentul (UE) nr. 575/2013 și neconcordanțele dintre active și obligații.</w:t>
            </w:r>
          </w:p>
        </w:tc>
        <w:tc>
          <w:tcPr>
            <w:tcW w:w="1928" w:type="pct"/>
            <w:gridSpan w:val="3"/>
            <w:tcBorders>
              <w:top w:val="single" w:sz="4" w:space="0" w:color="auto"/>
              <w:left w:val="single" w:sz="4" w:space="0" w:color="auto"/>
              <w:bottom w:val="single" w:sz="4" w:space="0" w:color="auto"/>
              <w:right w:val="single" w:sz="4" w:space="0" w:color="auto"/>
            </w:tcBorders>
          </w:tcPr>
          <w:p w14:paraId="1608FF61" w14:textId="71B308F7" w:rsidR="002F47A0" w:rsidRPr="009E686F" w:rsidRDefault="002F47A0" w:rsidP="002F47A0">
            <w:pPr>
              <w:spacing w:after="0"/>
              <w:jc w:val="both"/>
              <w:rPr>
                <w:rFonts w:ascii="Times New Roman" w:hAnsi="Times New Roman" w:cs="Times New Roman"/>
                <w:b/>
                <w:bCs/>
                <w:vertAlign w:val="superscript"/>
                <w:lang w:val="pt-BR"/>
              </w:rPr>
            </w:pPr>
            <w:r w:rsidRPr="009E686F">
              <w:rPr>
                <w:rFonts w:ascii="Times New Roman" w:hAnsi="Times New Roman" w:cs="Times New Roman"/>
                <w:b/>
                <w:bCs/>
                <w:lang w:val="pt-BR"/>
              </w:rPr>
              <w:t>Pct. 324</w:t>
            </w:r>
            <w:r w:rsidRPr="009E686F">
              <w:rPr>
                <w:rFonts w:ascii="Times New Roman" w:hAnsi="Times New Roman" w:cs="Times New Roman"/>
                <w:b/>
                <w:bCs/>
                <w:vertAlign w:val="superscript"/>
                <w:lang w:val="pt-BR"/>
              </w:rPr>
              <w:t>1</w:t>
            </w:r>
            <w:r w:rsidRPr="009E686F">
              <w:rPr>
                <w:rFonts w:ascii="Times New Roman" w:hAnsi="Times New Roman" w:cs="Times New Roman"/>
                <w:b/>
                <w:bCs/>
                <w:lang w:val="pt-BR"/>
              </w:rPr>
              <w:t xml:space="preserve"> din Regulamentul privind cadrul de administrare a activităţii băncilor, aprobat prin HCE nr. 322  din  20.12.2018</w:t>
            </w:r>
          </w:p>
          <w:p w14:paraId="10BD138E" w14:textId="73DE3C7F" w:rsidR="002F47A0" w:rsidRPr="009E686F" w:rsidRDefault="002F47A0" w:rsidP="002F47A0">
            <w:pPr>
              <w:spacing w:after="0"/>
              <w:jc w:val="both"/>
              <w:rPr>
                <w:rFonts w:ascii="Times New Roman" w:hAnsi="Times New Roman" w:cs="Times New Roman"/>
                <w:bCs/>
                <w:lang w:val="ro-RO"/>
              </w:rPr>
            </w:pPr>
            <w:r w:rsidRPr="009E686F">
              <w:rPr>
                <w:rFonts w:ascii="Times New Roman" w:hAnsi="Times New Roman" w:cs="Times New Roman"/>
                <w:bCs/>
                <w:lang w:val="ro-RO"/>
              </w:rPr>
              <w:t>324</w:t>
            </w:r>
            <w:r w:rsidRPr="009E686F">
              <w:rPr>
                <w:rFonts w:ascii="Times New Roman" w:hAnsi="Times New Roman" w:cs="Times New Roman"/>
                <w:bCs/>
                <w:vertAlign w:val="superscript"/>
                <w:lang w:val="ro-RO"/>
              </w:rPr>
              <w:t>1</w:t>
            </w:r>
            <w:r w:rsidRPr="009E686F">
              <w:rPr>
                <w:rFonts w:ascii="Times New Roman" w:hAnsi="Times New Roman" w:cs="Times New Roman"/>
                <w:bCs/>
                <w:lang w:val="ro-RO"/>
              </w:rPr>
              <w:t>. Băncile trebuie să dispună de politici şi procese pentru identificarea, gestionarea şi monitorizarea riscului asociat folosirii excesive a efectului de levier. Indicatorii riscului asociat folosirii excesive a efectului de levier trebuie să includă indicatorul efectului de levier stabilit în conformitate cu Regulamentul nr.274/2020 privind efectul de levier pentru bănci şi neconcordanţele dintre active şi obligaţii.</w:t>
            </w:r>
          </w:p>
        </w:tc>
        <w:tc>
          <w:tcPr>
            <w:tcW w:w="470" w:type="pct"/>
            <w:tcBorders>
              <w:top w:val="single" w:sz="4" w:space="0" w:color="auto"/>
              <w:left w:val="single" w:sz="4" w:space="0" w:color="auto"/>
              <w:bottom w:val="single" w:sz="4" w:space="0" w:color="auto"/>
              <w:right w:val="single" w:sz="4" w:space="0" w:color="auto"/>
            </w:tcBorders>
          </w:tcPr>
          <w:p w14:paraId="66D6A460" w14:textId="77777777"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 xml:space="preserve">Compatibil </w:t>
            </w:r>
          </w:p>
          <w:p w14:paraId="40A3D88C" w14:textId="0D311DDD" w:rsidR="002F47A0" w:rsidRPr="009E686F" w:rsidRDefault="002F47A0" w:rsidP="002F47A0">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63232ECD" w14:textId="77777777" w:rsidR="002F47A0" w:rsidRPr="009E686F" w:rsidRDefault="002F47A0" w:rsidP="002F47A0">
            <w:pPr>
              <w:jc w:val="both"/>
              <w:rPr>
                <w:rFonts w:ascii="Times New Roman" w:hAnsi="Times New Roman" w:cs="Times New Roman"/>
                <w:lang w:val="ro-RO"/>
              </w:rPr>
            </w:pPr>
          </w:p>
        </w:tc>
      </w:tr>
      <w:tr w:rsidR="002F47A0" w:rsidRPr="009E686F" w14:paraId="155DDF7D" w14:textId="35086465" w:rsidTr="00774F3E">
        <w:tc>
          <w:tcPr>
            <w:tcW w:w="1796" w:type="pct"/>
            <w:gridSpan w:val="2"/>
            <w:tcBorders>
              <w:top w:val="single" w:sz="4" w:space="0" w:color="auto"/>
              <w:left w:val="single" w:sz="4" w:space="0" w:color="auto"/>
              <w:bottom w:val="single" w:sz="4" w:space="0" w:color="auto"/>
              <w:right w:val="single" w:sz="4" w:space="0" w:color="auto"/>
            </w:tcBorders>
          </w:tcPr>
          <w:p w14:paraId="12515C2A" w14:textId="113D0326"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(2) Autoritățile competente se asigură că instituțiile tratează cu precauție problema riscului asociat folosirii excesive a efectului de levier, ținând cont de creșterile potențiale ale riscului asociat folosirii excesive a efectului de levier cauzate de reducerea fondurilor proprii ale instituției prin pierderi anticipate sau realizate, în funcție de normele contabile aplicabile. În acest scop, instituțiile trebuie să poată face față la diferite situații de criză din punctul de vedere al riscului asociat folosirii excesive a efectului de levier.</w:t>
            </w:r>
          </w:p>
        </w:tc>
        <w:tc>
          <w:tcPr>
            <w:tcW w:w="1928" w:type="pct"/>
            <w:gridSpan w:val="3"/>
            <w:tcBorders>
              <w:top w:val="single" w:sz="4" w:space="0" w:color="auto"/>
              <w:left w:val="single" w:sz="4" w:space="0" w:color="auto"/>
              <w:bottom w:val="single" w:sz="4" w:space="0" w:color="auto"/>
              <w:right w:val="single" w:sz="4" w:space="0" w:color="auto"/>
            </w:tcBorders>
          </w:tcPr>
          <w:p w14:paraId="040DA6C9" w14:textId="6FF48741" w:rsidR="002F47A0" w:rsidRPr="009E686F" w:rsidRDefault="002F47A0" w:rsidP="002F47A0">
            <w:pPr>
              <w:spacing w:after="0"/>
              <w:jc w:val="both"/>
              <w:rPr>
                <w:rFonts w:ascii="Times New Roman" w:hAnsi="Times New Roman" w:cs="Times New Roman"/>
                <w:b/>
                <w:bCs/>
                <w:vertAlign w:val="superscript"/>
                <w:lang w:val="pt-BR"/>
              </w:rPr>
            </w:pPr>
            <w:r w:rsidRPr="009E686F">
              <w:rPr>
                <w:rFonts w:ascii="Times New Roman" w:hAnsi="Times New Roman" w:cs="Times New Roman"/>
                <w:b/>
                <w:bCs/>
                <w:lang w:val="pt-BR"/>
              </w:rPr>
              <w:t>Pct. 324</w:t>
            </w:r>
            <w:r w:rsidRPr="009E686F">
              <w:rPr>
                <w:rFonts w:ascii="Times New Roman" w:hAnsi="Times New Roman" w:cs="Times New Roman"/>
                <w:b/>
                <w:bCs/>
                <w:vertAlign w:val="superscript"/>
                <w:lang w:val="pt-BR"/>
              </w:rPr>
              <w:t>2</w:t>
            </w:r>
            <w:r w:rsidRPr="009E686F">
              <w:rPr>
                <w:rFonts w:ascii="Times New Roman" w:hAnsi="Times New Roman" w:cs="Times New Roman"/>
                <w:b/>
                <w:bCs/>
                <w:lang w:val="pt-BR"/>
              </w:rPr>
              <w:t xml:space="preserve"> din Regulamentul privind cadrul de administrare a activităţii băncilor, aprobat prin HCE nr. 322  din  20.12.2018</w:t>
            </w:r>
          </w:p>
          <w:p w14:paraId="5B3CCCB3" w14:textId="699150E0" w:rsidR="002F47A0" w:rsidRPr="009E686F" w:rsidRDefault="002F47A0" w:rsidP="002F47A0">
            <w:pPr>
              <w:spacing w:after="0"/>
              <w:jc w:val="both"/>
              <w:rPr>
                <w:rFonts w:ascii="Times New Roman" w:hAnsi="Times New Roman" w:cs="Times New Roman"/>
                <w:bCs/>
                <w:lang w:val="ro-RO"/>
              </w:rPr>
            </w:pPr>
            <w:r w:rsidRPr="009E686F">
              <w:rPr>
                <w:rFonts w:ascii="Times New Roman" w:hAnsi="Times New Roman" w:cs="Times New Roman"/>
                <w:bCs/>
                <w:lang w:val="ro-RO"/>
              </w:rPr>
              <w:t>324</w:t>
            </w:r>
            <w:r w:rsidRPr="009E686F">
              <w:rPr>
                <w:rFonts w:ascii="Times New Roman" w:hAnsi="Times New Roman" w:cs="Times New Roman"/>
                <w:bCs/>
                <w:vertAlign w:val="superscript"/>
                <w:lang w:val="ro-RO"/>
              </w:rPr>
              <w:t>2</w:t>
            </w:r>
            <w:r w:rsidRPr="009E686F">
              <w:rPr>
                <w:rFonts w:ascii="Times New Roman" w:hAnsi="Times New Roman" w:cs="Times New Roman"/>
                <w:bCs/>
                <w:lang w:val="ro-RO"/>
              </w:rPr>
              <w:t>. Băncile trebuie să trateze cu precauţie problema riscului asociat folosirii excesive a efectului de levier, ţinând cont de creşterile potenţiale ale acestui risc cauzate de reducerea fondurilor proprii ale băncii prin pierderi aşteptate sau realizate, conform reglementărilor contabile aplicabile. În acest scop, băncile trebuie să facă faţă diferitelor situaţii de criză din punctul de vedere al riscului asociat folosirii excesive a efectului de levier.</w:t>
            </w:r>
          </w:p>
        </w:tc>
        <w:tc>
          <w:tcPr>
            <w:tcW w:w="470" w:type="pct"/>
            <w:tcBorders>
              <w:top w:val="single" w:sz="4" w:space="0" w:color="auto"/>
              <w:left w:val="single" w:sz="4" w:space="0" w:color="auto"/>
              <w:bottom w:val="single" w:sz="4" w:space="0" w:color="auto"/>
              <w:right w:val="single" w:sz="4" w:space="0" w:color="auto"/>
            </w:tcBorders>
          </w:tcPr>
          <w:p w14:paraId="67F0CCAA" w14:textId="77777777"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 xml:space="preserve">Compatibil </w:t>
            </w:r>
          </w:p>
          <w:p w14:paraId="4685C831" w14:textId="1DA7F545" w:rsidR="002F47A0" w:rsidRPr="009E686F" w:rsidRDefault="002F47A0" w:rsidP="002F47A0">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14D483BA" w14:textId="77777777" w:rsidR="002F47A0" w:rsidRPr="009E686F" w:rsidRDefault="002F47A0" w:rsidP="002F47A0">
            <w:pPr>
              <w:jc w:val="both"/>
              <w:rPr>
                <w:rFonts w:ascii="Times New Roman" w:hAnsi="Times New Roman" w:cs="Times New Roman"/>
                <w:lang w:val="ro-RO"/>
              </w:rPr>
            </w:pPr>
          </w:p>
        </w:tc>
      </w:tr>
      <w:tr w:rsidR="002F47A0" w:rsidRPr="009E686F" w14:paraId="652867E8"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3C3AA4CA" w14:textId="77777777" w:rsidR="002F47A0" w:rsidRPr="009E686F" w:rsidRDefault="002F47A0" w:rsidP="002F47A0">
            <w:pPr>
              <w:spacing w:after="0"/>
              <w:jc w:val="both"/>
              <w:rPr>
                <w:rFonts w:ascii="Times New Roman" w:hAnsi="Times New Roman" w:cs="Times New Roman"/>
                <w:bCs/>
                <w:i/>
                <w:iCs/>
                <w:lang w:val="pt-BR"/>
              </w:rPr>
            </w:pPr>
            <w:r w:rsidRPr="009E686F">
              <w:rPr>
                <w:rFonts w:ascii="Times New Roman" w:hAnsi="Times New Roman" w:cs="Times New Roman"/>
                <w:bCs/>
                <w:i/>
                <w:iCs/>
                <w:lang w:val="pt-BR"/>
              </w:rPr>
              <w:t xml:space="preserve">Articolul 87a </w:t>
            </w:r>
          </w:p>
          <w:p w14:paraId="4F064C65" w14:textId="06D88A34" w:rsidR="002F47A0" w:rsidRPr="009E686F" w:rsidRDefault="002F47A0" w:rsidP="002F47A0">
            <w:pPr>
              <w:spacing w:after="0"/>
              <w:jc w:val="both"/>
              <w:rPr>
                <w:rFonts w:ascii="Times New Roman" w:hAnsi="Times New Roman" w:cs="Times New Roman"/>
                <w:bCs/>
                <w:lang w:val="ro-RO"/>
              </w:rPr>
            </w:pPr>
            <w:r w:rsidRPr="009E686F">
              <w:rPr>
                <w:rFonts w:ascii="Times New Roman" w:hAnsi="Times New Roman" w:cs="Times New Roman"/>
                <w:bCs/>
                <w:lang w:val="pt-BR"/>
              </w:rPr>
              <w:t>Riscuri de mediu, sociale și de guvernanță</w:t>
            </w:r>
          </w:p>
        </w:tc>
        <w:tc>
          <w:tcPr>
            <w:tcW w:w="1928" w:type="pct"/>
            <w:gridSpan w:val="3"/>
            <w:tcBorders>
              <w:top w:val="single" w:sz="4" w:space="0" w:color="auto"/>
              <w:left w:val="single" w:sz="4" w:space="0" w:color="auto"/>
              <w:bottom w:val="single" w:sz="4" w:space="0" w:color="auto"/>
              <w:right w:val="single" w:sz="4" w:space="0" w:color="auto"/>
            </w:tcBorders>
          </w:tcPr>
          <w:p w14:paraId="022046D0" w14:textId="58F242ED" w:rsidR="002F47A0" w:rsidRPr="009E686F" w:rsidRDefault="002F47A0" w:rsidP="002F47A0">
            <w:pPr>
              <w:spacing w:after="0" w:line="278" w:lineRule="auto"/>
              <w:jc w:val="both"/>
              <w:rPr>
                <w:rFonts w:ascii="Times New Roman" w:eastAsia="Aptos" w:hAnsi="Times New Roman" w:cs="Times New Roman"/>
                <w:kern w:val="2"/>
                <w:lang w:val="ro-MD"/>
              </w:rPr>
            </w:pPr>
            <w:bookmarkStart w:id="27" w:name="_Hlk215557920"/>
            <w:r w:rsidRPr="009E686F">
              <w:rPr>
                <w:rFonts w:ascii="Times New Roman" w:eastAsia="Aptos" w:hAnsi="Times New Roman" w:cs="Times New Roman"/>
                <w:b/>
                <w:bCs/>
                <w:kern w:val="2"/>
                <w:lang w:val="ro-MD"/>
              </w:rPr>
              <w:t>Articolul 38</w:t>
            </w:r>
            <w:r w:rsidRPr="009E686F">
              <w:rPr>
                <w:rFonts w:ascii="Times New Roman" w:eastAsia="Aptos" w:hAnsi="Times New Roman" w:cs="Times New Roman"/>
                <w:b/>
                <w:bCs/>
                <w:kern w:val="2"/>
                <w:vertAlign w:val="superscript"/>
                <w:lang w:val="ro-MD"/>
              </w:rPr>
              <w:t>3</w:t>
            </w:r>
            <w:r w:rsidRPr="009E686F">
              <w:rPr>
                <w:rFonts w:ascii="Times New Roman" w:eastAsia="Aptos" w:hAnsi="Times New Roman" w:cs="Times New Roman"/>
                <w:b/>
                <w:bCs/>
                <w:kern w:val="2"/>
                <w:lang w:val="ro-MD"/>
              </w:rPr>
              <w:t>.</w:t>
            </w:r>
            <w:r w:rsidRPr="009E686F">
              <w:rPr>
                <w:rFonts w:ascii="Times New Roman" w:eastAsia="Aptos" w:hAnsi="Times New Roman" w:cs="Times New Roman"/>
                <w:kern w:val="2"/>
                <w:lang w:val="ro-MD"/>
              </w:rPr>
              <w:t xml:space="preserve"> </w:t>
            </w:r>
            <w:r w:rsidRPr="009E686F">
              <w:rPr>
                <w:rFonts w:ascii="Times New Roman" w:eastAsia="Aptos" w:hAnsi="Times New Roman" w:cs="Times New Roman"/>
                <w:i/>
                <w:iCs/>
                <w:kern w:val="2"/>
                <w:lang w:val="ro-MD"/>
              </w:rPr>
              <w:t>Gestionarea riscurilor de mediu, sociale și de guvernanță</w:t>
            </w:r>
            <w:bookmarkEnd w:id="27"/>
          </w:p>
        </w:tc>
        <w:tc>
          <w:tcPr>
            <w:tcW w:w="470" w:type="pct"/>
            <w:tcBorders>
              <w:top w:val="single" w:sz="4" w:space="0" w:color="auto"/>
              <w:left w:val="single" w:sz="4" w:space="0" w:color="auto"/>
              <w:bottom w:val="single" w:sz="4" w:space="0" w:color="auto"/>
              <w:right w:val="single" w:sz="4" w:space="0" w:color="auto"/>
            </w:tcBorders>
          </w:tcPr>
          <w:p w14:paraId="2B495E0C" w14:textId="76F12552"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38A9CCF3" w14:textId="77777777" w:rsidR="002F47A0" w:rsidRPr="009E686F" w:rsidRDefault="002F47A0" w:rsidP="002F47A0">
            <w:pPr>
              <w:jc w:val="both"/>
              <w:rPr>
                <w:rFonts w:ascii="Times New Roman" w:hAnsi="Times New Roman" w:cs="Times New Roman"/>
                <w:lang w:val="ro-RO"/>
              </w:rPr>
            </w:pPr>
          </w:p>
        </w:tc>
      </w:tr>
      <w:tr w:rsidR="002F47A0" w:rsidRPr="009E686F" w14:paraId="4617B9EC"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649791F9" w14:textId="092A8AEE" w:rsidR="002F47A0" w:rsidRPr="009E686F" w:rsidRDefault="002F47A0" w:rsidP="002F47A0">
            <w:pPr>
              <w:spacing w:after="0"/>
              <w:jc w:val="both"/>
              <w:rPr>
                <w:rFonts w:ascii="Times New Roman" w:hAnsi="Times New Roman" w:cs="Times New Roman"/>
                <w:bCs/>
                <w:lang w:val="ro-RO"/>
              </w:rPr>
            </w:pPr>
            <w:r w:rsidRPr="009E686F">
              <w:rPr>
                <w:rFonts w:ascii="Times New Roman" w:hAnsi="Times New Roman" w:cs="Times New Roman"/>
                <w:bCs/>
                <w:lang w:val="ro-RO"/>
              </w:rPr>
              <w:t>(1) Autoritățile competente se asigură că instituțiile dispun, ca parte a cadrului lor de administrare a activității, inclusiv a cadrului de administrare a riscurilor prevăzut la articolul 74 alineatul (1), de strategii, politici, procese și sisteme robuste de identificare, măsurare, gestionare și monitorizare a riscurilor ESG pe termen scurt, mediu și lung.</w:t>
            </w:r>
          </w:p>
        </w:tc>
        <w:tc>
          <w:tcPr>
            <w:tcW w:w="1928" w:type="pct"/>
            <w:gridSpan w:val="3"/>
            <w:tcBorders>
              <w:top w:val="single" w:sz="4" w:space="0" w:color="auto"/>
              <w:left w:val="single" w:sz="4" w:space="0" w:color="auto"/>
              <w:bottom w:val="single" w:sz="4" w:space="0" w:color="auto"/>
              <w:right w:val="single" w:sz="4" w:space="0" w:color="auto"/>
            </w:tcBorders>
          </w:tcPr>
          <w:p w14:paraId="041EB0C9" w14:textId="687279FD" w:rsidR="002F47A0" w:rsidRPr="009E686F" w:rsidRDefault="002F47A0" w:rsidP="002F47A0">
            <w:pPr>
              <w:spacing w:after="0"/>
              <w:jc w:val="both"/>
              <w:rPr>
                <w:rFonts w:ascii="Times New Roman" w:hAnsi="Times New Roman" w:cs="Times New Roman"/>
                <w:bCs/>
                <w:i/>
                <w:iCs/>
                <w:lang w:val="ro-RO"/>
              </w:rPr>
            </w:pPr>
            <w:r w:rsidRPr="009E686F">
              <w:rPr>
                <w:rFonts w:ascii="Times New Roman" w:hAnsi="Times New Roman" w:cs="Times New Roman"/>
                <w:bCs/>
                <w:i/>
                <w:iCs/>
                <w:lang w:val="ro-RO"/>
              </w:rPr>
              <w:t>(1) Fiecare instituție de credit trebuie să dispună, ca parte a cadrului lor de administrare a activității, inclusiv a cadrului de administrare a riscurilor prevăzut la art. 38 alin. (1), de strategii, politici, procese și sisteme robuste de identificare, administrare monitorizare și raportare  a riscurilor de mediu, sociale și de guvernanță pe termen scurt, mediu și lung.</w:t>
            </w:r>
          </w:p>
        </w:tc>
        <w:tc>
          <w:tcPr>
            <w:tcW w:w="470" w:type="pct"/>
            <w:tcBorders>
              <w:top w:val="single" w:sz="4" w:space="0" w:color="auto"/>
              <w:left w:val="single" w:sz="4" w:space="0" w:color="auto"/>
              <w:bottom w:val="single" w:sz="4" w:space="0" w:color="auto"/>
              <w:right w:val="single" w:sz="4" w:space="0" w:color="auto"/>
            </w:tcBorders>
          </w:tcPr>
          <w:p w14:paraId="2870CBDD" w14:textId="388426DB"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0A49A3A5" w14:textId="77777777" w:rsidR="002F47A0" w:rsidRPr="009E686F" w:rsidRDefault="002F47A0" w:rsidP="002F47A0">
            <w:pPr>
              <w:jc w:val="both"/>
              <w:rPr>
                <w:rFonts w:ascii="Times New Roman" w:hAnsi="Times New Roman" w:cs="Times New Roman"/>
                <w:lang w:val="ro-RO"/>
              </w:rPr>
            </w:pPr>
          </w:p>
        </w:tc>
      </w:tr>
      <w:tr w:rsidR="002F47A0" w:rsidRPr="009E686F" w14:paraId="5BCF4D10"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5DB71871" w14:textId="56942CD1" w:rsidR="002F47A0" w:rsidRPr="009E686F" w:rsidRDefault="002F47A0" w:rsidP="002F47A0">
            <w:pPr>
              <w:spacing w:after="0"/>
              <w:jc w:val="both"/>
              <w:rPr>
                <w:rFonts w:ascii="Times New Roman" w:hAnsi="Times New Roman" w:cs="Times New Roman"/>
                <w:bCs/>
                <w:lang w:val="ro-RO"/>
              </w:rPr>
            </w:pPr>
            <w:r w:rsidRPr="009E686F">
              <w:rPr>
                <w:rFonts w:ascii="Times New Roman" w:hAnsi="Times New Roman" w:cs="Times New Roman"/>
                <w:bCs/>
                <w:lang w:val="ro-RO"/>
              </w:rPr>
              <w:t xml:space="preserve">(2) Strategiile, politicile, procesele și sistemele menționate la alineatul (1) sunt proporționale cu amploarea, natura și complexitatea riscurilor ESG ale modelului de afaceri și cu </w:t>
            </w:r>
            <w:r w:rsidRPr="009E686F">
              <w:rPr>
                <w:rFonts w:ascii="Times New Roman" w:hAnsi="Times New Roman" w:cs="Times New Roman"/>
                <w:bCs/>
                <w:lang w:val="ro-RO"/>
              </w:rPr>
              <w:lastRenderedPageBreak/>
              <w:t>sfera activităților instituției și iau în considerare un interval de timp scurt și mediu și un orizont de timp lung de cel puțin 10 ani.</w:t>
            </w:r>
          </w:p>
        </w:tc>
        <w:tc>
          <w:tcPr>
            <w:tcW w:w="1928" w:type="pct"/>
            <w:gridSpan w:val="3"/>
            <w:tcBorders>
              <w:top w:val="single" w:sz="4" w:space="0" w:color="auto"/>
              <w:left w:val="single" w:sz="4" w:space="0" w:color="auto"/>
              <w:bottom w:val="single" w:sz="4" w:space="0" w:color="auto"/>
              <w:right w:val="single" w:sz="4" w:space="0" w:color="auto"/>
            </w:tcBorders>
          </w:tcPr>
          <w:p w14:paraId="0A725945" w14:textId="1EDAC824" w:rsidR="002F47A0" w:rsidRPr="009E686F" w:rsidRDefault="002F47A0" w:rsidP="002F47A0">
            <w:pPr>
              <w:spacing w:after="0"/>
              <w:jc w:val="both"/>
              <w:rPr>
                <w:rFonts w:ascii="Times New Roman" w:hAnsi="Times New Roman" w:cs="Times New Roman"/>
                <w:bCs/>
                <w:i/>
                <w:iCs/>
                <w:lang w:val="ro-RO"/>
              </w:rPr>
            </w:pPr>
            <w:r w:rsidRPr="009E686F">
              <w:rPr>
                <w:rFonts w:ascii="Times New Roman" w:eastAsia="Aptos" w:hAnsi="Times New Roman" w:cs="Times New Roman"/>
                <w:i/>
                <w:iCs/>
                <w:kern w:val="2"/>
                <w:lang w:val="ro-MD"/>
              </w:rPr>
              <w:lastRenderedPageBreak/>
              <w:t xml:space="preserve">(2) Strategiile, politicile, procesele și sistemele menționate la alineatul (1) trebuie să respecte prevederile art. 38 alin. (2) și </w:t>
            </w:r>
            <w:r w:rsidRPr="009E686F">
              <w:rPr>
                <w:rFonts w:ascii="Times New Roman" w:eastAsia="Aptos" w:hAnsi="Times New Roman" w:cs="Times New Roman"/>
                <w:i/>
                <w:iCs/>
                <w:kern w:val="2"/>
                <w:lang w:val="ro-MD"/>
              </w:rPr>
              <w:lastRenderedPageBreak/>
              <w:t>să ia în considerare un interval de timp scurt și mediu și un orizont de timp lung de cel puțin 10 ani.</w:t>
            </w:r>
          </w:p>
        </w:tc>
        <w:tc>
          <w:tcPr>
            <w:tcW w:w="470" w:type="pct"/>
            <w:tcBorders>
              <w:top w:val="single" w:sz="4" w:space="0" w:color="auto"/>
              <w:left w:val="single" w:sz="4" w:space="0" w:color="auto"/>
              <w:bottom w:val="single" w:sz="4" w:space="0" w:color="auto"/>
              <w:right w:val="single" w:sz="4" w:space="0" w:color="auto"/>
            </w:tcBorders>
          </w:tcPr>
          <w:p w14:paraId="5FD76B28" w14:textId="40D3628B"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6636B51F" w14:textId="77777777" w:rsidR="002F47A0" w:rsidRPr="009E686F" w:rsidRDefault="002F47A0" w:rsidP="002F47A0">
            <w:pPr>
              <w:jc w:val="both"/>
              <w:rPr>
                <w:rFonts w:ascii="Times New Roman" w:hAnsi="Times New Roman" w:cs="Times New Roman"/>
                <w:lang w:val="ro-RO"/>
              </w:rPr>
            </w:pPr>
          </w:p>
        </w:tc>
      </w:tr>
      <w:tr w:rsidR="002F47A0" w:rsidRPr="009E686F" w14:paraId="6D40049F"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0A3831A3" w14:textId="4BC788CB" w:rsidR="002F47A0" w:rsidRPr="009E686F" w:rsidRDefault="002F47A0" w:rsidP="002F47A0">
            <w:pPr>
              <w:spacing w:after="0"/>
              <w:jc w:val="both"/>
              <w:rPr>
                <w:rFonts w:ascii="Times New Roman" w:hAnsi="Times New Roman" w:cs="Times New Roman"/>
                <w:bCs/>
                <w:lang w:val="it-CH"/>
              </w:rPr>
            </w:pPr>
            <w:r w:rsidRPr="009E686F">
              <w:rPr>
                <w:rFonts w:ascii="Times New Roman" w:hAnsi="Times New Roman" w:cs="Times New Roman"/>
                <w:bCs/>
                <w:lang w:val="ro-RO"/>
              </w:rPr>
              <w:t xml:space="preserve">(3) Autoritățile competente se asigură că instituțiile își testează reziliența la efectele negative pe termen lung ale factorilor ESG, atât în cadrul scenariului de referință, cât și al scenariilor nefavorabile într-un interval de timp dat, începând cu factorii legați de climă. În ceea ce privește o astfel de testare a rezilienței, autoritățile competente se asigură că instituțiile includ o serie de scenarii ESG care să reflecte impactul potențial al schimbărilor de mediu și sociale și al politicilor publice conexe asupra mediului de afaceri pe termen lung. </w:t>
            </w:r>
            <w:r w:rsidRPr="009E686F">
              <w:rPr>
                <w:rFonts w:ascii="Times New Roman" w:hAnsi="Times New Roman" w:cs="Times New Roman"/>
                <w:bCs/>
                <w:lang w:val="it-CH"/>
              </w:rPr>
              <w:t>Autoritățile competente se asigură că, în procesul de testare a rezilienței, instituțiile utilizează scenarii credibile, bazate pe scenariile elaborate de organizațiile internaționale.</w:t>
            </w:r>
          </w:p>
        </w:tc>
        <w:tc>
          <w:tcPr>
            <w:tcW w:w="1928" w:type="pct"/>
            <w:gridSpan w:val="3"/>
            <w:tcBorders>
              <w:top w:val="single" w:sz="4" w:space="0" w:color="auto"/>
              <w:left w:val="single" w:sz="4" w:space="0" w:color="auto"/>
              <w:bottom w:val="single" w:sz="4" w:space="0" w:color="auto"/>
              <w:right w:val="single" w:sz="4" w:space="0" w:color="auto"/>
            </w:tcBorders>
          </w:tcPr>
          <w:p w14:paraId="0AA9DCBF" w14:textId="6CCA0DDA" w:rsidR="002F47A0" w:rsidRPr="009E686F" w:rsidRDefault="002F47A0" w:rsidP="002F47A0">
            <w:pPr>
              <w:spacing w:after="0"/>
              <w:jc w:val="both"/>
              <w:rPr>
                <w:rFonts w:ascii="Times New Roman" w:hAnsi="Times New Roman" w:cs="Times New Roman"/>
                <w:bCs/>
                <w:lang w:val="ro-RO"/>
              </w:rPr>
            </w:pPr>
            <w:r w:rsidRPr="009E686F">
              <w:rPr>
                <w:rFonts w:ascii="Times New Roman" w:hAnsi="Times New Roman" w:cs="Times New Roman"/>
                <w:bCs/>
                <w:lang w:val="ro-RO"/>
              </w:rPr>
              <w:t xml:space="preserve">(3) </w:t>
            </w:r>
            <w:r w:rsidRPr="009E686F">
              <w:rPr>
                <w:rFonts w:ascii="Times New Roman" w:hAnsi="Times New Roman" w:cs="Times New Roman"/>
                <w:bCs/>
                <w:i/>
                <w:iCs/>
                <w:lang w:val="ro-RO"/>
              </w:rPr>
              <w:t>Instituțiile de credit</w:t>
            </w:r>
            <w:r w:rsidRPr="009E686F">
              <w:rPr>
                <w:rFonts w:ascii="Times New Roman" w:hAnsi="Times New Roman" w:cs="Times New Roman"/>
                <w:bCs/>
                <w:lang w:val="ro-RO"/>
              </w:rPr>
              <w:t xml:space="preserve"> </w:t>
            </w:r>
            <w:r w:rsidRPr="009E686F">
              <w:rPr>
                <w:rFonts w:ascii="Times New Roman" w:hAnsi="Times New Roman" w:cs="Times New Roman"/>
                <w:bCs/>
                <w:i/>
                <w:iCs/>
                <w:lang w:val="ro-RO"/>
              </w:rPr>
              <w:t>trebuie să își testeze reziliența la efectele negative pe termen lung ale factorilor de mediu, sociale și de guvernanță, atât în cadrul scenariului de referință, cât și al scenariilor nefavorabile într-un interval de timp dat, începând cu factorii legați de climă, în condițiile prevăzute de actele normative ale Băncii Naționale a Moldovei</w:t>
            </w:r>
            <w:r w:rsidR="00F30507" w:rsidRPr="009E686F">
              <w:rPr>
                <w:lang w:val="it-CH"/>
              </w:rPr>
              <w:t xml:space="preserve"> </w:t>
            </w:r>
            <w:r w:rsidR="00F30507" w:rsidRPr="009E686F">
              <w:rPr>
                <w:rFonts w:ascii="Times New Roman" w:hAnsi="Times New Roman" w:cs="Times New Roman"/>
                <w:bCs/>
                <w:i/>
                <w:iCs/>
                <w:lang w:val="ro-RO"/>
              </w:rPr>
              <w:t>emise în aplicarea prezentei legi</w:t>
            </w:r>
            <w:r w:rsidRPr="009E686F">
              <w:rPr>
                <w:rFonts w:ascii="Times New Roman" w:hAnsi="Times New Roman" w:cs="Times New Roman"/>
                <w:bCs/>
                <w:i/>
                <w:iCs/>
                <w:lang w:val="ro-RO"/>
              </w:rPr>
              <w:t>.</w:t>
            </w:r>
          </w:p>
        </w:tc>
        <w:tc>
          <w:tcPr>
            <w:tcW w:w="470" w:type="pct"/>
            <w:tcBorders>
              <w:top w:val="single" w:sz="4" w:space="0" w:color="auto"/>
              <w:left w:val="single" w:sz="4" w:space="0" w:color="auto"/>
              <w:bottom w:val="single" w:sz="4" w:space="0" w:color="auto"/>
              <w:right w:val="single" w:sz="4" w:space="0" w:color="auto"/>
            </w:tcBorders>
          </w:tcPr>
          <w:p w14:paraId="318635CC" w14:textId="6FE8D729"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Parțial compatibil</w:t>
            </w:r>
          </w:p>
        </w:tc>
        <w:tc>
          <w:tcPr>
            <w:tcW w:w="806" w:type="pct"/>
            <w:tcBorders>
              <w:top w:val="single" w:sz="4" w:space="0" w:color="auto"/>
              <w:left w:val="single" w:sz="4" w:space="0" w:color="auto"/>
              <w:bottom w:val="single" w:sz="4" w:space="0" w:color="auto"/>
              <w:right w:val="single" w:sz="4" w:space="0" w:color="auto"/>
            </w:tcBorders>
          </w:tcPr>
          <w:p w14:paraId="04CAA59C" w14:textId="42D854B6" w:rsidR="002F47A0" w:rsidRPr="009E686F" w:rsidRDefault="002F47A0" w:rsidP="00A12862">
            <w:pPr>
              <w:spacing w:line="240" w:lineRule="auto"/>
              <w:jc w:val="both"/>
              <w:rPr>
                <w:rFonts w:ascii="Times New Roman" w:hAnsi="Times New Roman" w:cs="Times New Roman"/>
                <w:lang w:val="ro-RO"/>
              </w:rPr>
            </w:pPr>
            <w:r w:rsidRPr="009E686F">
              <w:rPr>
                <w:rFonts w:ascii="Times New Roman" w:hAnsi="Times New Roman" w:cs="Times New Roman"/>
                <w:lang w:val="ro-RO"/>
              </w:rPr>
              <w:t>Transpunerea totală se va asigura prin proiectul de modificare a Regulamentului nr. 322/2018</w:t>
            </w:r>
            <w:r w:rsidR="00A12862" w:rsidRPr="009E686F">
              <w:rPr>
                <w:rFonts w:ascii="Times New Roman" w:hAnsi="Times New Roman" w:cs="Times New Roman"/>
                <w:lang w:val="ro-RO"/>
              </w:rPr>
              <w:t xml:space="preserve"> (acțiunea normativă nr. 2 din Anexa A din PNA 2025-2029 aferentă Capitolului 9 “Servicii financiare” în legătură cu transpunerea Directivei 2013/36/UE).</w:t>
            </w:r>
          </w:p>
        </w:tc>
      </w:tr>
      <w:tr w:rsidR="002F47A0" w:rsidRPr="009E686F" w14:paraId="16EE4F63"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4EE6E59D" w14:textId="77777777" w:rsidR="002F47A0" w:rsidRPr="009E686F" w:rsidRDefault="002F47A0" w:rsidP="002F47A0">
            <w:pPr>
              <w:spacing w:after="0"/>
              <w:jc w:val="both"/>
              <w:rPr>
                <w:rFonts w:ascii="Times New Roman" w:hAnsi="Times New Roman" w:cs="Times New Roman"/>
                <w:bCs/>
                <w:lang w:val="pt-BR"/>
              </w:rPr>
            </w:pPr>
            <w:r w:rsidRPr="009E686F">
              <w:rPr>
                <w:rFonts w:ascii="Times New Roman" w:hAnsi="Times New Roman" w:cs="Times New Roman"/>
                <w:bCs/>
                <w:lang w:val="ro-RO"/>
              </w:rPr>
              <w:t xml:space="preserve">(4) Autoritățile competente evaluează și monitorizează evoluția practicilor instituțiilor în ceea ce privește strategiile lor de ESG și administrarea riscurilor, inclusiv planurile care cuprind ținte cuantificabile și procese pentru monitorizarea și abordarea riscurilor ESG apărute pe termen scurt, mediu și lung, planuri care urmează să fie elaborate în conformitate cu articolul 76 alineatul (2). </w:t>
            </w:r>
            <w:r w:rsidRPr="009E686F">
              <w:rPr>
                <w:rFonts w:ascii="Times New Roman" w:hAnsi="Times New Roman" w:cs="Times New Roman"/>
                <w:bCs/>
                <w:lang w:val="pt-BR"/>
              </w:rPr>
              <w:t xml:space="preserve">Respectiva evaluare ține seama de oferta de produse legate de durabilitate a instituțiilor, de politicile lor de finanțare a tranziției, de politicile conexe de inițiere a împrumuturilor și de țintele și limitele legate de ESG. Autoritățile competente evaluează soliditatea planurilor respective în cadrul procesului de supraveghere și evaluare. </w:t>
            </w:r>
          </w:p>
          <w:p w14:paraId="5BCEFA5D" w14:textId="47C44063" w:rsidR="002F47A0" w:rsidRPr="009E686F" w:rsidRDefault="002F47A0" w:rsidP="002F47A0">
            <w:pPr>
              <w:spacing w:after="0"/>
              <w:jc w:val="both"/>
              <w:rPr>
                <w:rFonts w:ascii="Times New Roman" w:hAnsi="Times New Roman" w:cs="Times New Roman"/>
                <w:bCs/>
                <w:lang w:val="pt-BR"/>
              </w:rPr>
            </w:pPr>
            <w:r w:rsidRPr="009E686F">
              <w:rPr>
                <w:rFonts w:ascii="Times New Roman" w:hAnsi="Times New Roman" w:cs="Times New Roman"/>
                <w:bCs/>
                <w:lang w:val="pt-BR"/>
              </w:rPr>
              <w:t xml:space="preserve">Dacă este cazul, pentru evaluarea menționată la primul paragraf, autoritățile competente pot coopera cu autoritățile </w:t>
            </w:r>
            <w:r w:rsidRPr="009E686F">
              <w:rPr>
                <w:rFonts w:ascii="Times New Roman" w:hAnsi="Times New Roman" w:cs="Times New Roman"/>
                <w:bCs/>
                <w:lang w:val="pt-BR"/>
              </w:rPr>
              <w:lastRenderedPageBreak/>
              <w:t>sau cu organismele publice responsabile cu supravegherea schimbărilor climatice și a mediului.</w:t>
            </w:r>
          </w:p>
        </w:tc>
        <w:tc>
          <w:tcPr>
            <w:tcW w:w="1928" w:type="pct"/>
            <w:gridSpan w:val="3"/>
            <w:tcBorders>
              <w:top w:val="single" w:sz="4" w:space="0" w:color="auto"/>
              <w:left w:val="single" w:sz="4" w:space="0" w:color="auto"/>
              <w:bottom w:val="single" w:sz="4" w:space="0" w:color="auto"/>
              <w:right w:val="single" w:sz="4" w:space="0" w:color="auto"/>
            </w:tcBorders>
          </w:tcPr>
          <w:p w14:paraId="293D5BED" w14:textId="43BF2218" w:rsidR="002F47A0" w:rsidRPr="009E686F" w:rsidRDefault="002F47A0" w:rsidP="002F47A0">
            <w:pPr>
              <w:spacing w:after="0"/>
              <w:jc w:val="both"/>
              <w:rPr>
                <w:rFonts w:ascii="Times New Roman" w:eastAsia="Aptos" w:hAnsi="Times New Roman" w:cs="Times New Roman"/>
                <w:b/>
                <w:bCs/>
                <w:kern w:val="2"/>
                <w:lang w:val="ro-MD"/>
              </w:rPr>
            </w:pPr>
            <w:r w:rsidRPr="009E686F">
              <w:rPr>
                <w:rFonts w:ascii="Times New Roman" w:eastAsia="Aptos" w:hAnsi="Times New Roman" w:cs="Times New Roman"/>
                <w:b/>
                <w:bCs/>
                <w:kern w:val="2"/>
                <w:lang w:val="ro-MD"/>
              </w:rPr>
              <w:lastRenderedPageBreak/>
              <w:t>Articolul 101 alin. (1) litera j)</w:t>
            </w:r>
          </w:p>
          <w:p w14:paraId="5598B1DB" w14:textId="74538997" w:rsidR="002F47A0" w:rsidRPr="009E686F" w:rsidRDefault="002F47A0" w:rsidP="002F47A0">
            <w:pPr>
              <w:spacing w:after="0"/>
              <w:jc w:val="both"/>
              <w:rPr>
                <w:rFonts w:ascii="Times New Roman" w:hAnsi="Times New Roman" w:cs="Times New Roman"/>
                <w:lang w:val="pt-BR"/>
              </w:rPr>
            </w:pPr>
            <w:r w:rsidRPr="009E686F">
              <w:rPr>
                <w:rFonts w:ascii="Times New Roman" w:hAnsi="Times New Roman" w:cs="Times New Roman"/>
                <w:lang w:val="pt-BR"/>
              </w:rPr>
              <w:t>(1) Pe lîngă riscurile de credit, de piaţă şi operaţionale, verificarea şi evaluarea efectuate de Banca Naţională a Moldovei potrivit art.100 includ cel puţin: [...]</w:t>
            </w:r>
          </w:p>
          <w:p w14:paraId="797CAF65" w14:textId="5022DA25" w:rsidR="002F47A0" w:rsidRPr="009E686F" w:rsidRDefault="00925B4E" w:rsidP="002F47A0">
            <w:pPr>
              <w:spacing w:after="0"/>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k</w:t>
            </w:r>
            <w:r w:rsidR="002F47A0" w:rsidRPr="009E686F">
              <w:rPr>
                <w:rFonts w:ascii="Times New Roman" w:eastAsia="Aptos" w:hAnsi="Times New Roman" w:cs="Times New Roman"/>
                <w:i/>
                <w:iCs/>
                <w:kern w:val="2"/>
                <w:lang w:val="ro-MD"/>
              </w:rPr>
              <w:t>) evoluția practicilor instituțiilor de credit în ceea ce privește strategiile lor aferente riscurilor de mediu, sociale și de guvernanță, inclusiv planurile specifice prevăzute la art. 41 alin. (3) lit. i</w:t>
            </w:r>
            <w:r w:rsidR="002F47A0" w:rsidRPr="009E686F">
              <w:rPr>
                <w:rFonts w:ascii="Times New Roman" w:eastAsia="Aptos" w:hAnsi="Times New Roman" w:cs="Times New Roman"/>
                <w:i/>
                <w:iCs/>
                <w:kern w:val="2"/>
                <w:vertAlign w:val="superscript"/>
                <w:lang w:val="ro-MD"/>
              </w:rPr>
              <w:t>2</w:t>
            </w:r>
            <w:r w:rsidR="002F47A0" w:rsidRPr="009E686F">
              <w:rPr>
                <w:rFonts w:ascii="Times New Roman" w:eastAsia="Aptos" w:hAnsi="Times New Roman" w:cs="Times New Roman"/>
                <w:i/>
                <w:iCs/>
                <w:kern w:val="2"/>
                <w:lang w:val="ro-MD"/>
              </w:rPr>
              <w:t xml:space="preserve">), care cuprind ținte cuantificabile și procese pentru monitorizarea și abordarea riscurilor respective apărute pe termen scurt, mediu și lung, precum și soliditatea acestor planuri. Pe lângă țintele și obiectivele legate de riscurile de mediu, sociale și de guvernanță, se va lua în considerare și oferta de produse legate de durabilitatea instituției de credit, politica sa de finanțare a tranziției și politica aferentă de acordare a creditelor.  </w:t>
            </w:r>
          </w:p>
          <w:p w14:paraId="1F026C9A" w14:textId="40EB0E36" w:rsidR="002F47A0" w:rsidRPr="009E686F" w:rsidRDefault="002F47A0" w:rsidP="002F47A0">
            <w:pPr>
              <w:spacing w:after="0"/>
              <w:jc w:val="both"/>
              <w:rPr>
                <w:rFonts w:ascii="Times New Roman" w:eastAsia="Aptos" w:hAnsi="Times New Roman" w:cs="Times New Roman"/>
                <w:b/>
                <w:bCs/>
                <w:kern w:val="2"/>
                <w:lang w:val="ro-MD"/>
              </w:rPr>
            </w:pPr>
            <w:r w:rsidRPr="009E686F">
              <w:rPr>
                <w:rFonts w:ascii="Times New Roman" w:eastAsia="Aptos" w:hAnsi="Times New Roman" w:cs="Times New Roman"/>
                <w:b/>
                <w:bCs/>
                <w:kern w:val="2"/>
                <w:lang w:val="ro-MD"/>
              </w:rPr>
              <w:t>Articolul 129 alin. (1) litera j)</w:t>
            </w:r>
          </w:p>
          <w:p w14:paraId="5A034130" w14:textId="0AC92BEB" w:rsidR="002F47A0" w:rsidRPr="009E686F" w:rsidRDefault="002F47A0" w:rsidP="002F47A0">
            <w:pPr>
              <w:spacing w:after="0"/>
              <w:jc w:val="both"/>
              <w:rPr>
                <w:rFonts w:ascii="Times New Roman" w:hAnsi="Times New Roman" w:cs="Times New Roman"/>
                <w:b/>
                <w:i/>
                <w:iCs/>
                <w:lang w:val="ro-RO"/>
              </w:rPr>
            </w:pPr>
            <w:r w:rsidRPr="009E686F">
              <w:rPr>
                <w:rFonts w:ascii="Times New Roman" w:eastAsia="Aptos" w:hAnsi="Times New Roman" w:cs="Times New Roman"/>
                <w:i/>
                <w:iCs/>
                <w:kern w:val="2"/>
                <w:lang w:val="ro-MD"/>
              </w:rPr>
              <w:lastRenderedPageBreak/>
              <w:t>j) autoritățile sau organismele publice responsabile cu supravegherea schimbărilor climatice și a mediului</w:t>
            </w:r>
            <w:r w:rsidRPr="009E686F">
              <w:rPr>
                <w:rFonts w:ascii="Times New Roman" w:eastAsia="Aptos" w:hAnsi="Times New Roman" w:cs="Times New Roman"/>
                <w:i/>
                <w:iCs/>
                <w:color w:val="FF0000"/>
                <w:kern w:val="2"/>
                <w:lang w:val="ro-MD"/>
              </w:rPr>
              <w:t>;</w:t>
            </w:r>
          </w:p>
        </w:tc>
        <w:tc>
          <w:tcPr>
            <w:tcW w:w="470" w:type="pct"/>
            <w:tcBorders>
              <w:top w:val="single" w:sz="4" w:space="0" w:color="auto"/>
              <w:left w:val="single" w:sz="4" w:space="0" w:color="auto"/>
              <w:bottom w:val="single" w:sz="4" w:space="0" w:color="auto"/>
              <w:right w:val="single" w:sz="4" w:space="0" w:color="auto"/>
            </w:tcBorders>
          </w:tcPr>
          <w:p w14:paraId="49E8C3DA" w14:textId="601D5EDD"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01AE4DE1" w14:textId="77777777" w:rsidR="002F47A0" w:rsidRPr="009E686F" w:rsidRDefault="002F47A0" w:rsidP="002F47A0">
            <w:pPr>
              <w:jc w:val="both"/>
              <w:rPr>
                <w:rFonts w:ascii="Times New Roman" w:hAnsi="Times New Roman" w:cs="Times New Roman"/>
                <w:lang w:val="ro-RO"/>
              </w:rPr>
            </w:pPr>
          </w:p>
        </w:tc>
      </w:tr>
      <w:tr w:rsidR="002F47A0" w:rsidRPr="009E686F" w14:paraId="0D1616D3"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1165AEE9" w14:textId="77777777" w:rsidR="002F47A0" w:rsidRPr="009E686F" w:rsidRDefault="002F47A0" w:rsidP="002F47A0">
            <w:pPr>
              <w:spacing w:after="0"/>
              <w:jc w:val="both"/>
              <w:rPr>
                <w:rFonts w:ascii="Times New Roman" w:hAnsi="Times New Roman" w:cs="Times New Roman"/>
                <w:bCs/>
                <w:lang w:val="ro-RO"/>
              </w:rPr>
            </w:pPr>
            <w:r w:rsidRPr="009E686F">
              <w:rPr>
                <w:rFonts w:ascii="Times New Roman" w:hAnsi="Times New Roman" w:cs="Times New Roman"/>
                <w:bCs/>
                <w:lang w:val="ro-RO"/>
              </w:rPr>
              <w:t xml:space="preserve">(5) Până la 10 ianuarie 2026, ABE emite ghiduri în conformitate cu articolul 16 din Regulamentul (UE) nr. 1093/2010 pentru a preciza: </w:t>
            </w:r>
          </w:p>
          <w:p w14:paraId="7017E16B" w14:textId="77777777" w:rsidR="002F47A0" w:rsidRPr="009E686F" w:rsidRDefault="002F47A0" w:rsidP="002F47A0">
            <w:pPr>
              <w:spacing w:after="0"/>
              <w:jc w:val="both"/>
              <w:rPr>
                <w:rFonts w:ascii="Times New Roman" w:hAnsi="Times New Roman" w:cs="Times New Roman"/>
                <w:bCs/>
                <w:lang w:val="ro-RO"/>
              </w:rPr>
            </w:pPr>
            <w:r w:rsidRPr="009E686F">
              <w:rPr>
                <w:rFonts w:ascii="Times New Roman" w:hAnsi="Times New Roman" w:cs="Times New Roman"/>
                <w:bCs/>
                <w:lang w:val="ro-RO"/>
              </w:rPr>
              <w:t xml:space="preserve">(a) standardele minime și metodologiile de referință pentru identificarea, evaluarea, gestionarea și monitorizarea riscurilor ESG; </w:t>
            </w:r>
          </w:p>
          <w:p w14:paraId="4CC77F78" w14:textId="77777777" w:rsidR="002F47A0" w:rsidRPr="009E686F" w:rsidRDefault="002F47A0" w:rsidP="002F47A0">
            <w:pPr>
              <w:spacing w:after="0"/>
              <w:jc w:val="both"/>
              <w:rPr>
                <w:rFonts w:ascii="Times New Roman" w:hAnsi="Times New Roman" w:cs="Times New Roman"/>
                <w:bCs/>
                <w:lang w:val="ro-RO"/>
              </w:rPr>
            </w:pPr>
            <w:r w:rsidRPr="009E686F">
              <w:rPr>
                <w:rFonts w:ascii="Times New Roman" w:hAnsi="Times New Roman" w:cs="Times New Roman"/>
                <w:bCs/>
                <w:lang w:val="ro-RO"/>
              </w:rPr>
              <w:t xml:space="preserve">(b) conținutul planurilor care urmează să fie elaborate în conformitate cu articolul 76 alineatul (2), care include termene specifice și ținte și obiective intermediare cuantificabile pentru a monitoriza și a aborda riscurile financiare care decurg din factorii ESG, inclusiv cele care decurg din procesul de ajustare și tendințele de tranziție în contextul obiectivelor de reglementare și al actelor juridice relevante ale Uniunii și ale statelor membre în ceea ce privește factorii ESG, în special obiectivul de a realiza neutralitatea climatică, precum și, acolo unde este relevant pentru instituțiile active la nivel internațional, obiectivele juridice și de reglementare ale țărilor terțe; </w:t>
            </w:r>
          </w:p>
          <w:p w14:paraId="413FD8DB" w14:textId="77777777" w:rsidR="002F47A0" w:rsidRPr="009E686F" w:rsidRDefault="002F47A0" w:rsidP="002F47A0">
            <w:pPr>
              <w:spacing w:after="0"/>
              <w:jc w:val="both"/>
              <w:rPr>
                <w:rFonts w:ascii="Times New Roman" w:hAnsi="Times New Roman" w:cs="Times New Roman"/>
                <w:bCs/>
                <w:lang w:val="ro-RO"/>
              </w:rPr>
            </w:pPr>
            <w:r w:rsidRPr="009E686F">
              <w:rPr>
                <w:rFonts w:ascii="Times New Roman" w:hAnsi="Times New Roman" w:cs="Times New Roman"/>
                <w:bCs/>
                <w:lang w:val="ro-RO"/>
              </w:rPr>
              <w:t>(c) criteriile calitative și cantitative pentru evaluarea impactului riscurilor ESG asupra profilului de risc și solvabilității instituțiilor pe termen scurt, mediu și lung;</w:t>
            </w:r>
          </w:p>
          <w:p w14:paraId="1E8C4B2D" w14:textId="77777777" w:rsidR="002F47A0" w:rsidRPr="009E686F" w:rsidRDefault="002F47A0" w:rsidP="002F47A0">
            <w:pPr>
              <w:spacing w:after="0"/>
              <w:jc w:val="both"/>
              <w:rPr>
                <w:rFonts w:ascii="Times New Roman" w:hAnsi="Times New Roman" w:cs="Times New Roman"/>
                <w:bCs/>
                <w:lang w:val="ro-RO"/>
              </w:rPr>
            </w:pPr>
            <w:r w:rsidRPr="009E686F">
              <w:rPr>
                <w:rFonts w:ascii="Times New Roman" w:hAnsi="Times New Roman" w:cs="Times New Roman"/>
                <w:bCs/>
                <w:lang w:val="ro-RO"/>
              </w:rPr>
              <w:t xml:space="preserve"> (d) criteriile de stabilire a scenariilor menționate la alineatul (3), inclusiv parametrii și ipotezele care trebuie utilizate în fiecare dintre scenarii, riscurile specifice și intervalele de timp. </w:t>
            </w:r>
          </w:p>
          <w:p w14:paraId="07D45C10" w14:textId="1610D371" w:rsidR="002F47A0" w:rsidRPr="009E686F" w:rsidRDefault="002F47A0" w:rsidP="002F47A0">
            <w:pPr>
              <w:spacing w:after="0"/>
              <w:jc w:val="both"/>
              <w:rPr>
                <w:rFonts w:ascii="Times New Roman" w:hAnsi="Times New Roman" w:cs="Times New Roman"/>
                <w:bCs/>
                <w:lang w:val="ro-RO"/>
              </w:rPr>
            </w:pPr>
            <w:r w:rsidRPr="009E686F">
              <w:rPr>
                <w:rFonts w:ascii="Times New Roman" w:hAnsi="Times New Roman" w:cs="Times New Roman"/>
                <w:bCs/>
                <w:lang w:val="ro-RO"/>
              </w:rPr>
              <w:t xml:space="preserve">Dacă este cazul, metodologiile și ipotezele care stau la baza țintelor, angajamentelor și deciziilor strategice comunicate public prin intermediul conținutului planurilor menționate la articolul 19a sau 29a din Directiva 2013/34/UE sau al altor cadre relevante de comunicare publică și de diligență </w:t>
            </w:r>
            <w:r w:rsidRPr="009E686F">
              <w:rPr>
                <w:rFonts w:ascii="Times New Roman" w:hAnsi="Times New Roman" w:cs="Times New Roman"/>
                <w:bCs/>
                <w:lang w:val="ro-RO"/>
              </w:rPr>
              <w:lastRenderedPageBreak/>
              <w:t>necesară sunt în concordanță cu criteriile, metodologiile și țintele menționate la primul paragraf de la prezentul alineat, precum și cu ipotezele și angajamentele incluse în planurile respective.</w:t>
            </w:r>
          </w:p>
          <w:p w14:paraId="6C464AD7" w14:textId="2A47811F" w:rsidR="002F47A0" w:rsidRPr="009E686F" w:rsidRDefault="002F47A0" w:rsidP="002F47A0">
            <w:pPr>
              <w:spacing w:after="0"/>
              <w:jc w:val="both"/>
              <w:rPr>
                <w:rFonts w:ascii="Times New Roman" w:hAnsi="Times New Roman" w:cs="Times New Roman"/>
                <w:bCs/>
                <w:lang w:val="ro-RO"/>
              </w:rPr>
            </w:pPr>
            <w:r w:rsidRPr="009E686F">
              <w:rPr>
                <w:rFonts w:ascii="Times New Roman" w:hAnsi="Times New Roman" w:cs="Times New Roman"/>
                <w:bCs/>
                <w:lang w:val="ro-RO"/>
              </w:rPr>
              <w:t>ABE actualizează periodic ghidurile menționate în primul paragraf pentru a reflecta progresele înregistrate în măsurarea și gestionarea riscurilor ESG, precum și evoluțiile obiectivelor de reglementare ale Uniunii în materie de durabilitate.</w:t>
            </w:r>
          </w:p>
        </w:tc>
        <w:tc>
          <w:tcPr>
            <w:tcW w:w="1928" w:type="pct"/>
            <w:gridSpan w:val="3"/>
            <w:tcBorders>
              <w:top w:val="single" w:sz="4" w:space="0" w:color="auto"/>
              <w:left w:val="single" w:sz="4" w:space="0" w:color="auto"/>
              <w:bottom w:val="single" w:sz="4" w:space="0" w:color="auto"/>
              <w:right w:val="single" w:sz="4" w:space="0" w:color="auto"/>
            </w:tcBorders>
          </w:tcPr>
          <w:p w14:paraId="4A722ADE" w14:textId="77777777" w:rsidR="002F47A0" w:rsidRPr="009E686F" w:rsidRDefault="002F47A0" w:rsidP="002F47A0">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18E36AE8" w14:textId="768996A8"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Norma UE neaplicabile</w:t>
            </w:r>
          </w:p>
        </w:tc>
        <w:tc>
          <w:tcPr>
            <w:tcW w:w="806" w:type="pct"/>
            <w:tcBorders>
              <w:top w:val="single" w:sz="4" w:space="0" w:color="auto"/>
              <w:left w:val="single" w:sz="4" w:space="0" w:color="auto"/>
              <w:bottom w:val="single" w:sz="4" w:space="0" w:color="auto"/>
              <w:right w:val="single" w:sz="4" w:space="0" w:color="auto"/>
            </w:tcBorders>
          </w:tcPr>
          <w:p w14:paraId="6788FB1B" w14:textId="444B60C6"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Se referă la competențele ABE</w:t>
            </w:r>
          </w:p>
        </w:tc>
      </w:tr>
      <w:tr w:rsidR="002F47A0" w:rsidRPr="009E686F" w14:paraId="059353DD" w14:textId="0B1E9A1A" w:rsidTr="00DE1BC2">
        <w:tc>
          <w:tcPr>
            <w:tcW w:w="5000" w:type="pct"/>
            <w:gridSpan w:val="7"/>
            <w:tcBorders>
              <w:top w:val="single" w:sz="4" w:space="0" w:color="auto"/>
              <w:left w:val="single" w:sz="4" w:space="0" w:color="auto"/>
              <w:bottom w:val="single" w:sz="4" w:space="0" w:color="auto"/>
              <w:right w:val="single" w:sz="4" w:space="0" w:color="auto"/>
            </w:tcBorders>
          </w:tcPr>
          <w:p w14:paraId="4C746ACA" w14:textId="77777777" w:rsidR="002F47A0" w:rsidRPr="009E686F" w:rsidRDefault="002F47A0" w:rsidP="002F47A0">
            <w:pPr>
              <w:spacing w:after="0"/>
              <w:jc w:val="both"/>
              <w:rPr>
                <w:rFonts w:ascii="Times New Roman" w:hAnsi="Times New Roman" w:cs="Times New Roman"/>
                <w:bCs/>
                <w:lang w:val="ro-RO"/>
              </w:rPr>
            </w:pPr>
            <w:r w:rsidRPr="009E686F">
              <w:rPr>
                <w:rFonts w:ascii="Times New Roman" w:hAnsi="Times New Roman" w:cs="Times New Roman"/>
                <w:bCs/>
                <w:lang w:val="ro-RO"/>
              </w:rPr>
              <w:t>Subsecțiunea 3</w:t>
            </w:r>
          </w:p>
          <w:p w14:paraId="7C5232F7" w14:textId="2EB8A634"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b/>
                <w:lang w:val="ro-RO"/>
              </w:rPr>
              <w:t>Guvernanța</w:t>
            </w:r>
          </w:p>
        </w:tc>
      </w:tr>
      <w:tr w:rsidR="002F47A0" w:rsidRPr="009E686F" w14:paraId="568DE948" w14:textId="20214A2B" w:rsidTr="00774F3E">
        <w:tc>
          <w:tcPr>
            <w:tcW w:w="1796" w:type="pct"/>
            <w:gridSpan w:val="2"/>
            <w:tcBorders>
              <w:top w:val="single" w:sz="4" w:space="0" w:color="auto"/>
              <w:left w:val="single" w:sz="4" w:space="0" w:color="auto"/>
              <w:bottom w:val="single" w:sz="4" w:space="0" w:color="auto"/>
              <w:right w:val="single" w:sz="4" w:space="0" w:color="auto"/>
            </w:tcBorders>
          </w:tcPr>
          <w:p w14:paraId="304632C5" w14:textId="77777777" w:rsidR="002F47A0" w:rsidRPr="009E686F" w:rsidRDefault="002F47A0" w:rsidP="002F47A0">
            <w:pPr>
              <w:spacing w:after="0"/>
              <w:jc w:val="both"/>
              <w:rPr>
                <w:rFonts w:ascii="Times New Roman" w:hAnsi="Times New Roman" w:cs="Times New Roman"/>
                <w:i/>
                <w:iCs/>
                <w:lang w:val="ro-RO"/>
              </w:rPr>
            </w:pPr>
            <w:r w:rsidRPr="009E686F">
              <w:rPr>
                <w:rFonts w:ascii="Times New Roman" w:hAnsi="Times New Roman" w:cs="Times New Roman"/>
                <w:i/>
                <w:iCs/>
                <w:lang w:val="ro-RO"/>
              </w:rPr>
              <w:t xml:space="preserve">Articolul 88 </w:t>
            </w:r>
          </w:p>
          <w:p w14:paraId="5C2F46D6" w14:textId="1ACC7236"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Principii de guvernanță</w:t>
            </w:r>
          </w:p>
        </w:tc>
        <w:tc>
          <w:tcPr>
            <w:tcW w:w="1928" w:type="pct"/>
            <w:gridSpan w:val="3"/>
            <w:tcBorders>
              <w:top w:val="single" w:sz="4" w:space="0" w:color="auto"/>
              <w:left w:val="single" w:sz="4" w:space="0" w:color="auto"/>
              <w:bottom w:val="single" w:sz="4" w:space="0" w:color="auto"/>
              <w:right w:val="single" w:sz="4" w:space="0" w:color="auto"/>
            </w:tcBorders>
          </w:tcPr>
          <w:p w14:paraId="272288AA" w14:textId="4F9B9234"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b/>
                <w:bCs/>
                <w:lang w:val="ro-RO"/>
              </w:rPr>
              <w:t>Articolul 43.</w:t>
            </w:r>
            <w:r w:rsidRPr="009E686F">
              <w:rPr>
                <w:rFonts w:ascii="Times New Roman" w:hAnsi="Times New Roman" w:cs="Times New Roman"/>
                <w:lang w:val="ro-RO"/>
              </w:rPr>
              <w:t xml:space="preserve"> Aplicarea principiilor de guvernanță</w:t>
            </w:r>
          </w:p>
        </w:tc>
        <w:tc>
          <w:tcPr>
            <w:tcW w:w="470" w:type="pct"/>
            <w:tcBorders>
              <w:top w:val="single" w:sz="4" w:space="0" w:color="auto"/>
              <w:left w:val="single" w:sz="4" w:space="0" w:color="auto"/>
              <w:bottom w:val="single" w:sz="4" w:space="0" w:color="auto"/>
              <w:right w:val="single" w:sz="4" w:space="0" w:color="auto"/>
            </w:tcBorders>
          </w:tcPr>
          <w:p w14:paraId="72E1ABEF" w14:textId="05F3E07E"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030D1278" w14:textId="77777777" w:rsidR="002F47A0" w:rsidRPr="009E686F" w:rsidRDefault="002F47A0" w:rsidP="002F47A0">
            <w:pPr>
              <w:jc w:val="both"/>
              <w:rPr>
                <w:rFonts w:ascii="Times New Roman" w:hAnsi="Times New Roman" w:cs="Times New Roman"/>
                <w:lang w:val="ro-RO"/>
              </w:rPr>
            </w:pPr>
          </w:p>
        </w:tc>
      </w:tr>
      <w:tr w:rsidR="002F47A0" w:rsidRPr="009E686F" w14:paraId="3B4C31B3" w14:textId="4C1FDD90" w:rsidTr="007575CC">
        <w:tc>
          <w:tcPr>
            <w:tcW w:w="1796" w:type="pct"/>
            <w:gridSpan w:val="2"/>
            <w:vMerge w:val="restart"/>
            <w:tcBorders>
              <w:top w:val="single" w:sz="4" w:space="0" w:color="auto"/>
              <w:left w:val="single" w:sz="4" w:space="0" w:color="auto"/>
              <w:right w:val="single" w:sz="4" w:space="0" w:color="auto"/>
            </w:tcBorders>
          </w:tcPr>
          <w:p w14:paraId="78ADA45E" w14:textId="402E9560"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(1) Statele membre se asigură că organul de conducere definește, supraveghează și este responsabil pentru punerea în aplicare a unor principii de guvernanță care să asigure administrarea eficientă și prudentă a instituției, inclusiv separarea responsabilităților în cadrul organizației și prevenirea conflictelor de interese.</w:t>
            </w:r>
          </w:p>
          <w:p w14:paraId="3887AF99" w14:textId="77777777" w:rsidR="002F47A0" w:rsidRPr="009E686F" w:rsidRDefault="002F47A0" w:rsidP="002F47A0">
            <w:pPr>
              <w:spacing w:after="0"/>
              <w:jc w:val="both"/>
              <w:rPr>
                <w:rFonts w:ascii="Times New Roman" w:hAnsi="Times New Roman" w:cs="Times New Roman"/>
                <w:lang w:val="ro-RO"/>
              </w:rPr>
            </w:pPr>
          </w:p>
          <w:p w14:paraId="48684764" w14:textId="77777777" w:rsidR="002F47A0" w:rsidRPr="009E686F" w:rsidRDefault="002F47A0" w:rsidP="002F47A0">
            <w:pPr>
              <w:spacing w:after="0"/>
              <w:jc w:val="both"/>
              <w:rPr>
                <w:rFonts w:ascii="Times New Roman" w:hAnsi="Times New Roman" w:cs="Times New Roman"/>
                <w:lang w:val="ro-RO"/>
              </w:rPr>
            </w:pPr>
          </w:p>
          <w:p w14:paraId="2BFD6731" w14:textId="77777777" w:rsidR="002F47A0" w:rsidRPr="009E686F" w:rsidRDefault="002F47A0" w:rsidP="002F47A0">
            <w:pPr>
              <w:spacing w:after="0"/>
              <w:jc w:val="both"/>
              <w:rPr>
                <w:rFonts w:ascii="Times New Roman" w:hAnsi="Times New Roman" w:cs="Times New Roman"/>
                <w:lang w:val="ro-RO"/>
              </w:rPr>
            </w:pPr>
          </w:p>
          <w:p w14:paraId="65D6B2DF" w14:textId="77777777" w:rsidR="002F47A0" w:rsidRPr="009E686F" w:rsidRDefault="002F47A0" w:rsidP="002F47A0">
            <w:pPr>
              <w:spacing w:after="0"/>
              <w:jc w:val="both"/>
              <w:rPr>
                <w:rFonts w:ascii="Times New Roman" w:hAnsi="Times New Roman" w:cs="Times New Roman"/>
                <w:lang w:val="ro-RO"/>
              </w:rPr>
            </w:pPr>
          </w:p>
          <w:p w14:paraId="704402D9" w14:textId="77777777" w:rsidR="002F47A0" w:rsidRPr="009E686F" w:rsidRDefault="002F47A0" w:rsidP="002F47A0">
            <w:pPr>
              <w:spacing w:after="0"/>
              <w:jc w:val="both"/>
              <w:rPr>
                <w:rFonts w:ascii="Times New Roman" w:hAnsi="Times New Roman" w:cs="Times New Roman"/>
                <w:lang w:val="ro-RO"/>
              </w:rPr>
            </w:pPr>
          </w:p>
          <w:p w14:paraId="638793C1" w14:textId="4FCC740F" w:rsidR="002F47A0" w:rsidRPr="009E686F" w:rsidRDefault="002F47A0" w:rsidP="002F47A0">
            <w:pPr>
              <w:spacing w:after="0"/>
              <w:jc w:val="both"/>
              <w:rPr>
                <w:rFonts w:ascii="Times New Roman" w:hAnsi="Times New Roman" w:cs="Times New Roman"/>
                <w:lang w:val="ro-RO"/>
              </w:rPr>
            </w:pPr>
          </w:p>
        </w:tc>
        <w:tc>
          <w:tcPr>
            <w:tcW w:w="1928" w:type="pct"/>
            <w:gridSpan w:val="3"/>
            <w:tcBorders>
              <w:top w:val="single" w:sz="4" w:space="0" w:color="auto"/>
              <w:left w:val="single" w:sz="4" w:space="0" w:color="auto"/>
              <w:bottom w:val="single" w:sz="4" w:space="0" w:color="auto"/>
              <w:right w:val="single" w:sz="4" w:space="0" w:color="auto"/>
            </w:tcBorders>
          </w:tcPr>
          <w:p w14:paraId="703E2716" w14:textId="73B07E92"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b/>
                <w:bCs/>
                <w:lang w:val="ro-RO"/>
              </w:rPr>
              <w:t>Articolul 41 alin. (2)</w:t>
            </w:r>
          </w:p>
          <w:p w14:paraId="1D914EC9" w14:textId="77777777" w:rsidR="002F47A0" w:rsidRPr="009E686F" w:rsidRDefault="002F47A0" w:rsidP="002F47A0">
            <w:pPr>
              <w:spacing w:after="0" w:line="278" w:lineRule="auto"/>
              <w:jc w:val="both"/>
              <w:rPr>
                <w:rFonts w:ascii="Times New Roman" w:eastAsia="Aptos" w:hAnsi="Times New Roman" w:cs="Times New Roman"/>
                <w:i/>
                <w:iCs/>
                <w:color w:val="0F9ED5"/>
                <w:kern w:val="2"/>
                <w:lang w:val="ro-RO"/>
              </w:rPr>
            </w:pPr>
            <w:r w:rsidRPr="009E686F">
              <w:rPr>
                <w:rFonts w:ascii="Times New Roman" w:eastAsia="Aptos" w:hAnsi="Times New Roman" w:cs="Times New Roman"/>
                <w:kern w:val="2"/>
                <w:lang w:val="ro-MD"/>
              </w:rPr>
              <w:t xml:space="preserve">(2) Consiliul </w:t>
            </w:r>
            <w:r w:rsidRPr="009E686F">
              <w:rPr>
                <w:rFonts w:ascii="Times New Roman" w:eastAsia="Aptos" w:hAnsi="Times New Roman" w:cs="Times New Roman"/>
                <w:i/>
                <w:iCs/>
                <w:kern w:val="2"/>
                <w:lang w:val="ro-MD"/>
              </w:rPr>
              <w:t>instituției de credit</w:t>
            </w:r>
            <w:r w:rsidRPr="009E686F">
              <w:rPr>
                <w:rFonts w:ascii="Times New Roman" w:eastAsia="Aptos" w:hAnsi="Times New Roman" w:cs="Times New Roman"/>
                <w:kern w:val="2"/>
                <w:lang w:val="ro-MD"/>
              </w:rPr>
              <w:t xml:space="preserve"> trebuie să definească şi să supravegheze implementarea unui cadru de administrare a activităţii care să asigure administrarea efectivă şi prudentă a </w:t>
            </w:r>
            <w:r w:rsidRPr="009E686F">
              <w:rPr>
                <w:rFonts w:ascii="Times New Roman" w:eastAsia="Aptos" w:hAnsi="Times New Roman" w:cs="Times New Roman"/>
                <w:i/>
                <w:iCs/>
                <w:kern w:val="2"/>
                <w:lang w:val="ro-MD"/>
              </w:rPr>
              <w:t>instituției de credit</w:t>
            </w:r>
            <w:r w:rsidRPr="009E686F">
              <w:rPr>
                <w:rFonts w:ascii="Times New Roman" w:eastAsia="Aptos" w:hAnsi="Times New Roman" w:cs="Times New Roman"/>
                <w:kern w:val="2"/>
                <w:lang w:val="ro-MD"/>
              </w:rPr>
              <w:t>, inclusiv separarea responsabilităţilor în cadrul organizaţiei şi prevenirea conflictelor de interese.</w:t>
            </w:r>
            <w:r w:rsidRPr="009E686F">
              <w:rPr>
                <w:rFonts w:ascii="Times New Roman" w:eastAsia="Aptos" w:hAnsi="Times New Roman" w:cs="Times New Roman"/>
                <w:color w:val="FF0000"/>
                <w:kern w:val="2"/>
                <w:lang w:val="ro-RO"/>
              </w:rPr>
              <w:t xml:space="preserve"> </w:t>
            </w:r>
          </w:p>
          <w:p w14:paraId="4933B283" w14:textId="5D9E1478" w:rsidR="002F47A0" w:rsidRPr="009E686F" w:rsidRDefault="002F47A0" w:rsidP="002F47A0">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 xml:space="preserve">Membrii consiliului contribuie la o guvernanţă corporativă sănătoasă în cadrul </w:t>
            </w:r>
            <w:r w:rsidRPr="009E686F">
              <w:rPr>
                <w:rFonts w:ascii="Times New Roman" w:eastAsia="Aptos" w:hAnsi="Times New Roman" w:cs="Times New Roman"/>
                <w:i/>
                <w:iCs/>
                <w:kern w:val="2"/>
                <w:lang w:val="ro-MD"/>
              </w:rPr>
              <w:t>instituției de credit</w:t>
            </w:r>
            <w:r w:rsidRPr="009E686F">
              <w:rPr>
                <w:rFonts w:ascii="Times New Roman" w:eastAsia="Aptos" w:hAnsi="Times New Roman" w:cs="Times New Roman"/>
                <w:kern w:val="2"/>
                <w:lang w:val="ro-MD"/>
              </w:rPr>
              <w:t xml:space="preserve">, inclusiv prin comportamentul personal, şi, în realizarea atribuţiilor lor, trebuie să ţină cont de interesele legale ale </w:t>
            </w:r>
            <w:r w:rsidRPr="009E686F">
              <w:rPr>
                <w:rFonts w:ascii="Times New Roman" w:eastAsia="Aptos" w:hAnsi="Times New Roman" w:cs="Times New Roman"/>
                <w:i/>
                <w:iCs/>
                <w:kern w:val="2"/>
                <w:lang w:val="ro-MD"/>
              </w:rPr>
              <w:t>instituției de credit</w:t>
            </w:r>
            <w:r w:rsidRPr="009E686F">
              <w:rPr>
                <w:rFonts w:ascii="Times New Roman" w:eastAsia="Aptos" w:hAnsi="Times New Roman" w:cs="Times New Roman"/>
                <w:kern w:val="2"/>
                <w:lang w:val="ro-MD"/>
              </w:rPr>
              <w:t xml:space="preserve"> şi ale deponenţilor şi acţionarilor acesteia. Consiliul trebuie să asigure colaborarea eficientă a </w:t>
            </w:r>
            <w:r w:rsidRPr="009E686F">
              <w:rPr>
                <w:rFonts w:ascii="Times New Roman" w:eastAsia="Aptos" w:hAnsi="Times New Roman" w:cs="Times New Roman"/>
                <w:i/>
                <w:iCs/>
                <w:kern w:val="2"/>
                <w:lang w:val="ro-MD"/>
              </w:rPr>
              <w:t>instituției de credit</w:t>
            </w:r>
            <w:r w:rsidRPr="009E686F">
              <w:rPr>
                <w:rFonts w:ascii="Times New Roman" w:eastAsia="Aptos" w:hAnsi="Times New Roman" w:cs="Times New Roman"/>
                <w:kern w:val="2"/>
                <w:lang w:val="ro-MD"/>
              </w:rPr>
              <w:t xml:space="preserve"> cu Banca Naţională a Moldovei.</w:t>
            </w:r>
          </w:p>
        </w:tc>
        <w:tc>
          <w:tcPr>
            <w:tcW w:w="470" w:type="pct"/>
            <w:tcBorders>
              <w:top w:val="single" w:sz="4" w:space="0" w:color="auto"/>
              <w:left w:val="single" w:sz="4" w:space="0" w:color="auto"/>
              <w:bottom w:val="single" w:sz="4" w:space="0" w:color="auto"/>
              <w:right w:val="single" w:sz="4" w:space="0" w:color="auto"/>
            </w:tcBorders>
          </w:tcPr>
          <w:p w14:paraId="17F26EC1" w14:textId="77777777"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p w14:paraId="022E0ABD" w14:textId="77777777" w:rsidR="002F47A0" w:rsidRPr="009E686F" w:rsidRDefault="002F47A0" w:rsidP="002F47A0">
            <w:pPr>
              <w:jc w:val="both"/>
              <w:rPr>
                <w:rFonts w:ascii="Times New Roman" w:hAnsi="Times New Roman" w:cs="Times New Roman"/>
                <w:lang w:val="ro-RO"/>
              </w:rPr>
            </w:pPr>
          </w:p>
          <w:p w14:paraId="37936D57" w14:textId="77777777" w:rsidR="002F47A0" w:rsidRPr="009E686F" w:rsidRDefault="002F47A0" w:rsidP="002F47A0">
            <w:pPr>
              <w:jc w:val="both"/>
              <w:rPr>
                <w:rFonts w:ascii="Times New Roman" w:hAnsi="Times New Roman" w:cs="Times New Roman"/>
                <w:lang w:val="ro-RO"/>
              </w:rPr>
            </w:pPr>
          </w:p>
          <w:p w14:paraId="186293BC" w14:textId="77777777" w:rsidR="002F47A0" w:rsidRPr="009E686F" w:rsidRDefault="002F47A0" w:rsidP="002F47A0">
            <w:pPr>
              <w:jc w:val="both"/>
              <w:rPr>
                <w:rFonts w:ascii="Times New Roman" w:hAnsi="Times New Roman" w:cs="Times New Roman"/>
                <w:lang w:val="ro-RO"/>
              </w:rPr>
            </w:pPr>
          </w:p>
          <w:p w14:paraId="260F28D1" w14:textId="77777777" w:rsidR="002F47A0" w:rsidRPr="009E686F" w:rsidRDefault="002F47A0" w:rsidP="002F47A0">
            <w:pPr>
              <w:jc w:val="both"/>
              <w:rPr>
                <w:rFonts w:ascii="Times New Roman" w:hAnsi="Times New Roman" w:cs="Times New Roman"/>
                <w:lang w:val="ro-RO"/>
              </w:rPr>
            </w:pPr>
          </w:p>
          <w:p w14:paraId="6DCD9402" w14:textId="77777777" w:rsidR="002F47A0" w:rsidRPr="009E686F" w:rsidRDefault="002F47A0" w:rsidP="002F47A0">
            <w:pPr>
              <w:jc w:val="both"/>
              <w:rPr>
                <w:rFonts w:ascii="Times New Roman" w:hAnsi="Times New Roman" w:cs="Times New Roman"/>
                <w:lang w:val="ro-RO"/>
              </w:rPr>
            </w:pPr>
          </w:p>
          <w:p w14:paraId="47CB3E7C" w14:textId="391A8A1A" w:rsidR="002F47A0" w:rsidRPr="009E686F" w:rsidRDefault="002F47A0" w:rsidP="002F47A0">
            <w:pPr>
              <w:jc w:val="both"/>
              <w:rPr>
                <w:rFonts w:ascii="Times New Roman" w:hAnsi="Times New Roman" w:cs="Times New Roman"/>
                <w:lang w:val="ro-RO"/>
              </w:rPr>
            </w:pPr>
          </w:p>
          <w:p w14:paraId="5F542CEC" w14:textId="02B40E9C" w:rsidR="002F47A0" w:rsidRPr="009E686F" w:rsidRDefault="002F47A0" w:rsidP="002F47A0">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7B29CB51" w14:textId="77777777" w:rsidR="002F47A0" w:rsidRPr="009E686F" w:rsidRDefault="002F47A0" w:rsidP="002F47A0">
            <w:pPr>
              <w:jc w:val="both"/>
              <w:rPr>
                <w:rFonts w:ascii="Times New Roman" w:hAnsi="Times New Roman" w:cs="Times New Roman"/>
                <w:lang w:val="ro-RO"/>
              </w:rPr>
            </w:pPr>
          </w:p>
        </w:tc>
      </w:tr>
      <w:tr w:rsidR="002F47A0" w:rsidRPr="009E686F" w14:paraId="4EE45C66" w14:textId="77777777" w:rsidTr="007575CC">
        <w:tc>
          <w:tcPr>
            <w:tcW w:w="1796" w:type="pct"/>
            <w:gridSpan w:val="2"/>
            <w:vMerge/>
            <w:tcBorders>
              <w:left w:val="single" w:sz="4" w:space="0" w:color="auto"/>
              <w:right w:val="single" w:sz="4" w:space="0" w:color="auto"/>
            </w:tcBorders>
          </w:tcPr>
          <w:p w14:paraId="3350689F" w14:textId="77777777" w:rsidR="002F47A0" w:rsidRPr="009E686F" w:rsidRDefault="002F47A0" w:rsidP="002F47A0">
            <w:pPr>
              <w:spacing w:after="0"/>
              <w:jc w:val="both"/>
              <w:rPr>
                <w:rFonts w:ascii="Times New Roman" w:hAnsi="Times New Roman" w:cs="Times New Roman"/>
                <w:lang w:val="ro-RO"/>
              </w:rPr>
            </w:pPr>
          </w:p>
        </w:tc>
        <w:tc>
          <w:tcPr>
            <w:tcW w:w="1928" w:type="pct"/>
            <w:gridSpan w:val="3"/>
            <w:tcBorders>
              <w:top w:val="single" w:sz="4" w:space="0" w:color="auto"/>
              <w:left w:val="single" w:sz="4" w:space="0" w:color="auto"/>
              <w:bottom w:val="single" w:sz="4" w:space="0" w:color="auto"/>
              <w:right w:val="single" w:sz="4" w:space="0" w:color="auto"/>
            </w:tcBorders>
          </w:tcPr>
          <w:p w14:paraId="74E41CE7" w14:textId="7971B580" w:rsidR="002F47A0" w:rsidRPr="009E686F" w:rsidRDefault="002F47A0" w:rsidP="002F47A0">
            <w:pPr>
              <w:spacing w:after="0"/>
              <w:jc w:val="both"/>
              <w:rPr>
                <w:rFonts w:ascii="Times New Roman" w:hAnsi="Times New Roman" w:cs="Times New Roman"/>
                <w:lang w:val="it-CH"/>
              </w:rPr>
            </w:pPr>
            <w:r w:rsidRPr="009E686F">
              <w:rPr>
                <w:rFonts w:ascii="Times New Roman" w:hAnsi="Times New Roman" w:cs="Times New Roman"/>
                <w:lang w:val="ro-RO"/>
              </w:rPr>
              <w:t xml:space="preserve">(2) Consiliul </w:t>
            </w:r>
            <w:r w:rsidRPr="009E686F">
              <w:rPr>
                <w:rFonts w:ascii="Times New Roman" w:hAnsi="Times New Roman" w:cs="Times New Roman"/>
                <w:i/>
                <w:lang w:val="ro-RO"/>
              </w:rPr>
              <w:t xml:space="preserve">instituției de credit </w:t>
            </w:r>
            <w:r w:rsidRPr="009E686F">
              <w:rPr>
                <w:rFonts w:ascii="Times New Roman" w:hAnsi="Times New Roman" w:cs="Times New Roman"/>
                <w:lang w:val="ro-RO"/>
              </w:rPr>
              <w:t xml:space="preserve">este format dintr-un număr impar de membri persoane fizice, dar nu mai puţin de trei. </w:t>
            </w:r>
            <w:r w:rsidRPr="009E686F">
              <w:rPr>
                <w:rFonts w:ascii="Times New Roman" w:hAnsi="Times New Roman" w:cs="Times New Roman"/>
                <w:lang w:val="it-CH"/>
              </w:rPr>
              <w:t xml:space="preserve">Membrii consiliului sînt aleşi de adunarea generală a </w:t>
            </w:r>
            <w:r w:rsidRPr="009E686F">
              <w:rPr>
                <w:rFonts w:ascii="Times New Roman" w:hAnsi="Times New Roman" w:cs="Times New Roman"/>
                <w:lang w:val="it-CH"/>
              </w:rPr>
              <w:lastRenderedPageBreak/>
              <w:t xml:space="preserve">acţionarilor </w:t>
            </w:r>
            <w:r w:rsidRPr="009E686F">
              <w:rPr>
                <w:rFonts w:ascii="Times New Roman" w:hAnsi="Times New Roman" w:cs="Times New Roman"/>
                <w:i/>
                <w:iCs/>
                <w:lang w:val="it-CH"/>
              </w:rPr>
              <w:t>instituției de credit</w:t>
            </w:r>
            <w:r w:rsidRPr="009E686F">
              <w:rPr>
                <w:rFonts w:ascii="Times New Roman" w:hAnsi="Times New Roman" w:cs="Times New Roman"/>
                <w:lang w:val="it-CH"/>
              </w:rPr>
              <w:t xml:space="preserve"> pentru un termen de pînă la 4 ani. Membrii consiliului pot fi realeşi pentru un nou termen.</w:t>
            </w:r>
          </w:p>
          <w:p w14:paraId="6E35C10D" w14:textId="4956D21B" w:rsidR="002F47A0" w:rsidRPr="009E686F" w:rsidRDefault="002F47A0" w:rsidP="002F47A0">
            <w:pPr>
              <w:spacing w:after="0"/>
              <w:jc w:val="both"/>
              <w:rPr>
                <w:rFonts w:ascii="Times New Roman" w:hAnsi="Times New Roman" w:cs="Times New Roman"/>
                <w:lang w:val="it-CH"/>
              </w:rPr>
            </w:pPr>
            <w:r w:rsidRPr="009E686F">
              <w:rPr>
                <w:rFonts w:ascii="Times New Roman" w:hAnsi="Times New Roman" w:cs="Times New Roman"/>
                <w:lang w:val="it-CH"/>
              </w:rPr>
              <w:t xml:space="preserve">(3) Organul executiv este format din cel puţin 3 membri persoane fizice, numiţi de către consiliul </w:t>
            </w:r>
            <w:r w:rsidRPr="009E686F">
              <w:rPr>
                <w:rFonts w:ascii="Times New Roman" w:hAnsi="Times New Roman" w:cs="Times New Roman"/>
                <w:i/>
                <w:iCs/>
                <w:lang w:val="it-CH"/>
              </w:rPr>
              <w:t>instituției de credit</w:t>
            </w:r>
            <w:r w:rsidRPr="009E686F">
              <w:rPr>
                <w:rFonts w:ascii="Times New Roman" w:hAnsi="Times New Roman" w:cs="Times New Roman"/>
                <w:lang w:val="it-CH"/>
              </w:rPr>
              <w:t xml:space="preserve"> pe un termen stabilit de statutul </w:t>
            </w:r>
            <w:r w:rsidRPr="009E686F">
              <w:rPr>
                <w:rFonts w:ascii="Times New Roman" w:hAnsi="Times New Roman" w:cs="Times New Roman"/>
                <w:i/>
                <w:iCs/>
                <w:lang w:val="it-CH"/>
              </w:rPr>
              <w:t>instituției de credit</w:t>
            </w:r>
            <w:r w:rsidRPr="009E686F">
              <w:rPr>
                <w:rFonts w:ascii="Times New Roman" w:hAnsi="Times New Roman" w:cs="Times New Roman"/>
                <w:lang w:val="it-CH"/>
              </w:rPr>
              <w:t>. Membrii organului executiv pot fi realeşi pentru un nou termen.</w:t>
            </w:r>
          </w:p>
          <w:p w14:paraId="1F3C08BC" w14:textId="36E6A323" w:rsidR="002F47A0" w:rsidRPr="009E686F" w:rsidRDefault="002F47A0" w:rsidP="002F47A0">
            <w:pPr>
              <w:spacing w:after="0"/>
              <w:jc w:val="both"/>
              <w:rPr>
                <w:rFonts w:ascii="Times New Roman" w:hAnsi="Times New Roman" w:cs="Times New Roman"/>
                <w:lang w:val="it-CH"/>
              </w:rPr>
            </w:pPr>
            <w:r w:rsidRPr="009E686F">
              <w:rPr>
                <w:rFonts w:ascii="Times New Roman" w:hAnsi="Times New Roman" w:cs="Times New Roman"/>
                <w:lang w:val="it-CH"/>
              </w:rPr>
              <w:t xml:space="preserve">(4) Atribuţiile consiliului şi organului executiv se stabilesc în reglementările interne ale </w:t>
            </w:r>
            <w:r w:rsidRPr="009E686F">
              <w:rPr>
                <w:rFonts w:ascii="Times New Roman" w:hAnsi="Times New Roman" w:cs="Times New Roman"/>
                <w:i/>
                <w:iCs/>
                <w:lang w:val="it-CH"/>
              </w:rPr>
              <w:t>instituției de credit</w:t>
            </w:r>
            <w:r w:rsidRPr="009E686F">
              <w:rPr>
                <w:rFonts w:ascii="Times New Roman" w:hAnsi="Times New Roman" w:cs="Times New Roman"/>
                <w:lang w:val="it-CH"/>
              </w:rPr>
              <w:t>, cu respectarea prevederilor prezentei legi şi ale actelor normative ale Băncii Naţionale a Moldovei emise în aplicarea acesteia, şi nu pot fi delegate altor persoane.</w:t>
            </w:r>
          </w:p>
          <w:p w14:paraId="0FEC5D35" w14:textId="3182A584" w:rsidR="002F47A0" w:rsidRPr="009E686F" w:rsidRDefault="002F47A0" w:rsidP="002F47A0">
            <w:pPr>
              <w:spacing w:after="0"/>
              <w:jc w:val="both"/>
              <w:rPr>
                <w:rFonts w:ascii="Times New Roman" w:hAnsi="Times New Roman" w:cs="Times New Roman"/>
                <w:lang w:val="it-CH"/>
              </w:rPr>
            </w:pPr>
            <w:r w:rsidRPr="009E686F">
              <w:rPr>
                <w:rFonts w:ascii="Times New Roman" w:hAnsi="Times New Roman" w:cs="Times New Roman"/>
                <w:lang w:val="it-CH"/>
              </w:rPr>
              <w:t xml:space="preserve">(5) Membrii consiliului şi ai organului executiv sînt responsabili de conformarea </w:t>
            </w:r>
            <w:r w:rsidRPr="009E686F">
              <w:rPr>
                <w:rFonts w:ascii="Times New Roman" w:hAnsi="Times New Roman" w:cs="Times New Roman"/>
                <w:i/>
                <w:iCs/>
                <w:lang w:val="it-CH"/>
              </w:rPr>
              <w:t>instituției de credit</w:t>
            </w:r>
            <w:r w:rsidRPr="009E686F">
              <w:rPr>
                <w:rFonts w:ascii="Times New Roman" w:hAnsi="Times New Roman" w:cs="Times New Roman"/>
                <w:lang w:val="it-CH"/>
              </w:rPr>
              <w:t xml:space="preserve"> cu legislaţia în vigoare şi de îndeplinirea tuturor cerinţelor prevăzute de prezenta lege şi de actele normative emise în aplicarea acesteia, conform atribuţiilor încredinţate potrivit alin.(4).</w:t>
            </w:r>
          </w:p>
          <w:p w14:paraId="68CDD31E" w14:textId="77777777" w:rsidR="002F47A0" w:rsidRPr="009E686F" w:rsidRDefault="002F47A0" w:rsidP="002F47A0">
            <w:pPr>
              <w:spacing w:after="0"/>
              <w:jc w:val="both"/>
              <w:rPr>
                <w:rFonts w:ascii="Times New Roman" w:hAnsi="Times New Roman" w:cs="Times New Roman"/>
                <w:lang w:val="it-CH"/>
              </w:rPr>
            </w:pPr>
          </w:p>
          <w:p w14:paraId="54450204" w14:textId="122CB130" w:rsidR="002F47A0" w:rsidRPr="009E686F" w:rsidRDefault="002F47A0" w:rsidP="002F47A0">
            <w:pPr>
              <w:spacing w:after="0"/>
              <w:jc w:val="both"/>
              <w:rPr>
                <w:rFonts w:ascii="Times New Roman" w:hAnsi="Times New Roman" w:cs="Times New Roman"/>
                <w:b/>
                <w:bCs/>
              </w:rPr>
            </w:pPr>
            <w:r w:rsidRPr="009E686F">
              <w:rPr>
                <w:rFonts w:ascii="Times New Roman" w:hAnsi="Times New Roman" w:cs="Times New Roman"/>
                <w:b/>
                <w:bCs/>
              </w:rPr>
              <w:t>Art. 41 alin. (3) lit. k)-l)</w:t>
            </w:r>
          </w:p>
          <w:p w14:paraId="766B2353" w14:textId="77777777" w:rsidR="002F47A0" w:rsidRPr="009E686F" w:rsidRDefault="002F47A0" w:rsidP="002F47A0">
            <w:pPr>
              <w:spacing w:after="0"/>
              <w:jc w:val="both"/>
              <w:rPr>
                <w:rFonts w:ascii="Times New Roman" w:hAnsi="Times New Roman" w:cs="Times New Roman"/>
              </w:rPr>
            </w:pPr>
            <w:r w:rsidRPr="009E686F">
              <w:rPr>
                <w:rFonts w:ascii="Times New Roman" w:hAnsi="Times New Roman" w:cs="Times New Roman"/>
              </w:rPr>
              <w:t>k) fără a aduce atingere prevederilor art.36 alin.(2), îndeplineşte atribuţiile prevăzute de art.48 alin.(4) şi art.64 din Legea nr.1134/1997 privind societăţile pe acţiuni;</w:t>
            </w:r>
          </w:p>
          <w:p w14:paraId="2ECA5FB9" w14:textId="3EC482B9" w:rsidR="002F47A0" w:rsidRPr="009E686F" w:rsidRDefault="002F47A0" w:rsidP="002F47A0">
            <w:pPr>
              <w:spacing w:after="0"/>
              <w:jc w:val="both"/>
              <w:rPr>
                <w:rFonts w:ascii="Times New Roman" w:hAnsi="Times New Roman" w:cs="Times New Roman"/>
              </w:rPr>
            </w:pPr>
            <w:r w:rsidRPr="009E686F">
              <w:rPr>
                <w:rFonts w:ascii="Times New Roman" w:hAnsi="Times New Roman" w:cs="Times New Roman"/>
              </w:rPr>
              <w:t xml:space="preserve">l) îndeplineşte orice alte atribuţii care decurg din prezenta lege sau din actele normative emise în aplicarea acesteia. </w:t>
            </w:r>
          </w:p>
        </w:tc>
        <w:tc>
          <w:tcPr>
            <w:tcW w:w="470" w:type="pct"/>
            <w:tcBorders>
              <w:top w:val="single" w:sz="4" w:space="0" w:color="auto"/>
              <w:left w:val="single" w:sz="4" w:space="0" w:color="auto"/>
              <w:bottom w:val="single" w:sz="4" w:space="0" w:color="auto"/>
              <w:right w:val="single" w:sz="4" w:space="0" w:color="auto"/>
            </w:tcBorders>
          </w:tcPr>
          <w:p w14:paraId="24C70C62" w14:textId="44668740"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0332CCB8" w14:textId="5FC13387"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 xml:space="preserve">Norme cu specific național privind organizarea organului de conducre și de </w:t>
            </w:r>
            <w:r w:rsidRPr="009E686F">
              <w:rPr>
                <w:rFonts w:ascii="Times New Roman" w:hAnsi="Times New Roman" w:cs="Times New Roman"/>
                <w:lang w:val="ro-RO"/>
              </w:rPr>
              <w:lastRenderedPageBreak/>
              <w:t>implementare a responsabilităților stabilite de art. 88 alin. (1) din Directivă.</w:t>
            </w:r>
          </w:p>
        </w:tc>
      </w:tr>
      <w:tr w:rsidR="002F47A0" w:rsidRPr="009E686F" w14:paraId="6F681133" w14:textId="77777777" w:rsidTr="007575CC">
        <w:tc>
          <w:tcPr>
            <w:tcW w:w="1796" w:type="pct"/>
            <w:gridSpan w:val="2"/>
            <w:vMerge/>
            <w:tcBorders>
              <w:left w:val="single" w:sz="4" w:space="0" w:color="auto"/>
              <w:bottom w:val="single" w:sz="4" w:space="0" w:color="auto"/>
              <w:right w:val="single" w:sz="4" w:space="0" w:color="auto"/>
            </w:tcBorders>
          </w:tcPr>
          <w:p w14:paraId="2E5CA141" w14:textId="77777777" w:rsidR="002F47A0" w:rsidRPr="009E686F" w:rsidRDefault="002F47A0" w:rsidP="002F47A0">
            <w:pPr>
              <w:spacing w:after="0"/>
              <w:jc w:val="both"/>
              <w:rPr>
                <w:rFonts w:ascii="Times New Roman" w:hAnsi="Times New Roman" w:cs="Times New Roman"/>
                <w:lang w:val="ro-RO"/>
              </w:rPr>
            </w:pPr>
          </w:p>
        </w:tc>
        <w:tc>
          <w:tcPr>
            <w:tcW w:w="1928" w:type="pct"/>
            <w:gridSpan w:val="3"/>
            <w:tcBorders>
              <w:top w:val="single" w:sz="4" w:space="0" w:color="auto"/>
              <w:left w:val="single" w:sz="4" w:space="0" w:color="auto"/>
              <w:bottom w:val="single" w:sz="4" w:space="0" w:color="auto"/>
              <w:right w:val="single" w:sz="4" w:space="0" w:color="auto"/>
            </w:tcBorders>
          </w:tcPr>
          <w:p w14:paraId="3505FF9C" w14:textId="77777777" w:rsidR="002F47A0" w:rsidRPr="009E686F" w:rsidRDefault="002F47A0" w:rsidP="002F47A0">
            <w:pPr>
              <w:spacing w:after="0"/>
              <w:jc w:val="both"/>
              <w:rPr>
                <w:rFonts w:ascii="Times New Roman" w:hAnsi="Times New Roman" w:cs="Times New Roman"/>
                <w:b/>
                <w:lang w:val="ro-RO"/>
              </w:rPr>
            </w:pPr>
            <w:r w:rsidRPr="009E686F">
              <w:rPr>
                <w:rFonts w:ascii="Times New Roman" w:hAnsi="Times New Roman" w:cs="Times New Roman"/>
                <w:b/>
                <w:lang w:val="ro-RO"/>
              </w:rPr>
              <w:t>Art. 41 alin. (2)</w:t>
            </w:r>
          </w:p>
          <w:p w14:paraId="58233871" w14:textId="4192F24D"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 xml:space="preserve">(2) Organul executiv al </w:t>
            </w:r>
            <w:r w:rsidRPr="009E686F">
              <w:rPr>
                <w:rFonts w:ascii="Times New Roman" w:hAnsi="Times New Roman" w:cs="Times New Roman"/>
                <w:i/>
                <w:lang w:val="ro-RO"/>
              </w:rPr>
              <w:t>instituției de credit</w:t>
            </w:r>
            <w:r w:rsidRPr="009E686F">
              <w:rPr>
                <w:rFonts w:ascii="Times New Roman" w:hAnsi="Times New Roman" w:cs="Times New Roman"/>
                <w:lang w:val="ro-RO"/>
              </w:rPr>
              <w:t xml:space="preserve"> are următoarele atribuţii principale:</w:t>
            </w:r>
          </w:p>
          <w:p w14:paraId="5A3939B1" w14:textId="6417B04E"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 xml:space="preserve">a) implementează obiectivele strategice, strategia privind administrarea riscurilor, cadrul de administrare a activităţii și a guvernanței interne a </w:t>
            </w:r>
            <w:r w:rsidRPr="009E686F">
              <w:rPr>
                <w:rFonts w:ascii="Times New Roman" w:hAnsi="Times New Roman" w:cs="Times New Roman"/>
                <w:i/>
                <w:lang w:val="ro-RO"/>
              </w:rPr>
              <w:t>instituției de credit</w:t>
            </w:r>
            <w:r w:rsidRPr="009E686F">
              <w:rPr>
                <w:rFonts w:ascii="Times New Roman" w:hAnsi="Times New Roman" w:cs="Times New Roman"/>
                <w:lang w:val="ro-RO"/>
              </w:rPr>
              <w:t>, inclusiv codul de guvernanţă corporativă,</w:t>
            </w:r>
            <w:r w:rsidRPr="009E686F">
              <w:rPr>
                <w:lang w:val="ro-RO"/>
              </w:rPr>
              <w:t xml:space="preserve"> </w:t>
            </w:r>
            <w:r w:rsidRPr="009E686F">
              <w:rPr>
                <w:rFonts w:ascii="Times New Roman" w:hAnsi="Times New Roman" w:cs="Times New Roman"/>
                <w:lang w:val="ro-RO"/>
              </w:rPr>
              <w:t xml:space="preserve"> strategii, politici și planuri specifice legate de riscurile de mediu, sociale și de guvernanță aprobate de consiliul </w:t>
            </w:r>
            <w:r w:rsidRPr="009E686F">
              <w:rPr>
                <w:rFonts w:ascii="Times New Roman" w:hAnsi="Times New Roman" w:cs="Times New Roman"/>
                <w:i/>
                <w:lang w:val="ro-RO"/>
              </w:rPr>
              <w:t>instituției de credit</w:t>
            </w:r>
            <w:r w:rsidRPr="009E686F">
              <w:rPr>
                <w:rFonts w:ascii="Times New Roman" w:hAnsi="Times New Roman" w:cs="Times New Roman"/>
                <w:lang w:val="ro-RO"/>
              </w:rPr>
              <w:t>;</w:t>
            </w:r>
          </w:p>
          <w:p w14:paraId="606711B1" w14:textId="34307D2A" w:rsidR="002F47A0" w:rsidRPr="009E686F" w:rsidRDefault="002F47A0" w:rsidP="002F47A0">
            <w:pPr>
              <w:spacing w:after="0"/>
              <w:jc w:val="both"/>
              <w:rPr>
                <w:rFonts w:ascii="Times New Roman" w:hAnsi="Times New Roman" w:cs="Times New Roman"/>
                <w:lang w:val="pt-BR"/>
              </w:rPr>
            </w:pPr>
            <w:r w:rsidRPr="009E686F">
              <w:rPr>
                <w:rFonts w:ascii="Times New Roman" w:hAnsi="Times New Roman" w:cs="Times New Roman"/>
                <w:lang w:val="pt-BR"/>
              </w:rPr>
              <w:lastRenderedPageBreak/>
              <w:t xml:space="preserve">b) asigură o structură organizatorică adecvată şi transparentă pentru </w:t>
            </w:r>
            <w:r w:rsidRPr="009E686F">
              <w:rPr>
                <w:rFonts w:ascii="Times New Roman" w:hAnsi="Times New Roman" w:cs="Times New Roman"/>
                <w:i/>
                <w:lang w:val="pt-BR"/>
              </w:rPr>
              <w:t>instituția de credit</w:t>
            </w:r>
            <w:r w:rsidRPr="009E686F">
              <w:rPr>
                <w:rFonts w:ascii="Times New Roman" w:hAnsi="Times New Roman" w:cs="Times New Roman"/>
                <w:lang w:val="pt-BR"/>
              </w:rPr>
              <w:t xml:space="preserve"> , inclusiv separarea responsabilităţilor în cadrul acesteia;</w:t>
            </w:r>
          </w:p>
          <w:p w14:paraId="6D1E9DB2" w14:textId="77777777" w:rsidR="002F47A0" w:rsidRPr="009E686F" w:rsidRDefault="002F47A0" w:rsidP="002F47A0">
            <w:pPr>
              <w:spacing w:after="0"/>
              <w:jc w:val="both"/>
              <w:rPr>
                <w:rFonts w:ascii="Times New Roman" w:hAnsi="Times New Roman" w:cs="Times New Roman"/>
                <w:lang w:val="it-CH"/>
              </w:rPr>
            </w:pPr>
            <w:r w:rsidRPr="009E686F">
              <w:rPr>
                <w:rFonts w:ascii="Times New Roman" w:hAnsi="Times New Roman" w:cs="Times New Roman"/>
                <w:lang w:val="it-CH"/>
              </w:rPr>
              <w:t>c) realizează monitorizarea adecvată a personalului din subordine;</w:t>
            </w:r>
          </w:p>
          <w:p w14:paraId="4A94B32B" w14:textId="4CE8DCC7" w:rsidR="002F47A0" w:rsidRPr="009E686F" w:rsidRDefault="002F47A0" w:rsidP="002F47A0">
            <w:pPr>
              <w:spacing w:after="0"/>
              <w:jc w:val="both"/>
              <w:rPr>
                <w:rFonts w:ascii="Times New Roman" w:hAnsi="Times New Roman" w:cs="Times New Roman"/>
                <w:lang w:val="it-CH"/>
              </w:rPr>
            </w:pPr>
            <w:r w:rsidRPr="009E686F">
              <w:rPr>
                <w:rFonts w:ascii="Times New Roman" w:hAnsi="Times New Roman" w:cs="Times New Roman"/>
                <w:lang w:val="it-CH"/>
              </w:rPr>
              <w:t xml:space="preserve">d) asigură repartizarea sarcinilor şi responsabilităţilor ce revin personalului </w:t>
            </w:r>
            <w:r w:rsidRPr="009E686F">
              <w:rPr>
                <w:rFonts w:ascii="Times New Roman" w:hAnsi="Times New Roman" w:cs="Times New Roman"/>
                <w:i/>
                <w:iCs/>
                <w:lang w:val="it-CH"/>
              </w:rPr>
              <w:t>instituției de credit</w:t>
            </w:r>
            <w:r w:rsidRPr="009E686F">
              <w:rPr>
                <w:rFonts w:ascii="Times New Roman" w:hAnsi="Times New Roman" w:cs="Times New Roman"/>
                <w:lang w:val="it-CH"/>
              </w:rPr>
              <w:t xml:space="preserve"> şi stabileşte o structură de gestionare care promovează în cadrul </w:t>
            </w:r>
            <w:r w:rsidRPr="009E686F">
              <w:rPr>
                <w:rFonts w:ascii="Times New Roman" w:hAnsi="Times New Roman" w:cs="Times New Roman"/>
                <w:i/>
                <w:iCs/>
                <w:lang w:val="it-CH"/>
              </w:rPr>
              <w:t>instituției de credit</w:t>
            </w:r>
            <w:r w:rsidRPr="009E686F">
              <w:rPr>
                <w:rFonts w:ascii="Times New Roman" w:hAnsi="Times New Roman" w:cs="Times New Roman"/>
                <w:lang w:val="it-CH"/>
              </w:rPr>
              <w:t xml:space="preserve"> o activitate responsabilă şi transparentă;</w:t>
            </w:r>
          </w:p>
          <w:p w14:paraId="45AA5C0D" w14:textId="77777777" w:rsidR="002F47A0" w:rsidRPr="009E686F" w:rsidRDefault="002F47A0" w:rsidP="002F47A0">
            <w:pPr>
              <w:spacing w:after="0"/>
              <w:jc w:val="both"/>
              <w:rPr>
                <w:rFonts w:ascii="Times New Roman" w:hAnsi="Times New Roman" w:cs="Times New Roman"/>
                <w:lang w:val="it-CH"/>
              </w:rPr>
            </w:pPr>
            <w:r w:rsidRPr="009E686F">
              <w:rPr>
                <w:rFonts w:ascii="Times New Roman" w:hAnsi="Times New Roman" w:cs="Times New Roman"/>
                <w:lang w:val="it-CH"/>
              </w:rPr>
              <w:t>e) fără a aduce atingere prevederilor art.36 alin.(2), îndeplineşte atribuţiile prevăzute de art.68 şi 69 din Legea nr.1134/1997 privind societăţile pe acţiuni;</w:t>
            </w:r>
          </w:p>
          <w:p w14:paraId="339A39FD" w14:textId="77777777" w:rsidR="002F47A0" w:rsidRPr="009E686F" w:rsidRDefault="002F47A0" w:rsidP="002F47A0">
            <w:pPr>
              <w:spacing w:after="0"/>
              <w:jc w:val="both"/>
              <w:rPr>
                <w:rFonts w:ascii="Times New Roman" w:hAnsi="Times New Roman" w:cs="Times New Roman"/>
                <w:lang w:val="it-CH"/>
              </w:rPr>
            </w:pPr>
            <w:r w:rsidRPr="009E686F">
              <w:rPr>
                <w:rFonts w:ascii="Times New Roman" w:hAnsi="Times New Roman" w:cs="Times New Roman"/>
                <w:lang w:val="it-CH"/>
              </w:rPr>
              <w:t>e</w:t>
            </w:r>
            <w:r w:rsidRPr="009E686F">
              <w:rPr>
                <w:rFonts w:ascii="Times New Roman" w:hAnsi="Times New Roman" w:cs="Times New Roman"/>
                <w:vertAlign w:val="superscript"/>
                <w:lang w:val="it-CH"/>
              </w:rPr>
              <w:t>1</w:t>
            </w:r>
            <w:r w:rsidRPr="009E686F">
              <w:rPr>
                <w:rFonts w:ascii="Times New Roman" w:hAnsi="Times New Roman" w:cs="Times New Roman"/>
                <w:lang w:val="it-CH"/>
              </w:rPr>
              <w:t>) decide privind anularea, emiterea, vînzarea, răscumpărarea şi convertirea acţiunilor nou-emise în condiţiile art.52</w:t>
            </w:r>
            <w:r w:rsidRPr="009E686F">
              <w:rPr>
                <w:rFonts w:ascii="Times New Roman" w:hAnsi="Times New Roman" w:cs="Times New Roman"/>
                <w:vertAlign w:val="superscript"/>
                <w:lang w:val="it-CH"/>
              </w:rPr>
              <w:t>1</w:t>
            </w:r>
            <w:r w:rsidRPr="009E686F">
              <w:rPr>
                <w:rFonts w:ascii="Times New Roman" w:hAnsi="Times New Roman" w:cs="Times New Roman"/>
                <w:lang w:val="it-CH"/>
              </w:rPr>
              <w:t>;</w:t>
            </w:r>
          </w:p>
          <w:p w14:paraId="3EAF5B87" w14:textId="77777777" w:rsidR="002F47A0" w:rsidRPr="009E686F" w:rsidRDefault="002F47A0" w:rsidP="002F47A0">
            <w:pPr>
              <w:spacing w:after="0"/>
              <w:jc w:val="both"/>
              <w:rPr>
                <w:rFonts w:ascii="Times New Roman" w:hAnsi="Times New Roman" w:cs="Times New Roman"/>
                <w:lang w:val="it-CH"/>
              </w:rPr>
            </w:pPr>
            <w:r w:rsidRPr="009E686F">
              <w:rPr>
                <w:rFonts w:ascii="Times New Roman" w:hAnsi="Times New Roman" w:cs="Times New Roman"/>
                <w:lang w:val="it-CH"/>
              </w:rPr>
              <w:t>f) îndeplineşte orice alte atribuţii ce decurg din prezenta lege sau din actele normative emise în aplicarea acesteia.</w:t>
            </w:r>
          </w:p>
          <w:p w14:paraId="685721DB" w14:textId="77777777" w:rsidR="002F47A0" w:rsidRPr="009E686F" w:rsidRDefault="002F47A0" w:rsidP="002F47A0">
            <w:pPr>
              <w:spacing w:after="0"/>
              <w:jc w:val="both"/>
              <w:rPr>
                <w:rFonts w:ascii="Times New Roman" w:hAnsi="Times New Roman" w:cs="Times New Roman"/>
                <w:lang w:val="pt-BR"/>
              </w:rPr>
            </w:pPr>
            <w:r w:rsidRPr="009E686F">
              <w:rPr>
                <w:rFonts w:ascii="Times New Roman" w:hAnsi="Times New Roman" w:cs="Times New Roman"/>
                <w:lang w:val="pt-BR"/>
              </w:rPr>
              <w:t>(3) Organul executiv este obligat să informeze regulat consiliul, cel puţin, despre:</w:t>
            </w:r>
          </w:p>
          <w:p w14:paraId="71BACA43" w14:textId="360461BD" w:rsidR="002F47A0" w:rsidRPr="009E686F" w:rsidRDefault="002F47A0" w:rsidP="002F47A0">
            <w:pPr>
              <w:spacing w:after="0"/>
              <w:jc w:val="both"/>
              <w:rPr>
                <w:rFonts w:ascii="Times New Roman" w:hAnsi="Times New Roman" w:cs="Times New Roman"/>
                <w:lang w:val="pt-BR"/>
              </w:rPr>
            </w:pPr>
            <w:r w:rsidRPr="009E686F">
              <w:rPr>
                <w:rFonts w:ascii="Times New Roman" w:hAnsi="Times New Roman" w:cs="Times New Roman"/>
                <w:lang w:val="pt-BR"/>
              </w:rPr>
              <w:t xml:space="preserve">a) situaţiile care pot influenţa strategia şi/sau cadrul de administrare a activităţii </w:t>
            </w:r>
            <w:r w:rsidRPr="009E686F">
              <w:rPr>
                <w:rFonts w:ascii="Times New Roman" w:hAnsi="Times New Roman" w:cs="Times New Roman"/>
                <w:i/>
                <w:lang w:val="pt-BR"/>
              </w:rPr>
              <w:t>instituției de credit</w:t>
            </w:r>
            <w:r w:rsidRPr="009E686F">
              <w:rPr>
                <w:rFonts w:ascii="Times New Roman" w:hAnsi="Times New Roman" w:cs="Times New Roman"/>
                <w:lang w:val="pt-BR"/>
              </w:rPr>
              <w:t>;</w:t>
            </w:r>
          </w:p>
          <w:p w14:paraId="25EE6846" w14:textId="7F4195F9" w:rsidR="002F47A0" w:rsidRPr="009E686F" w:rsidRDefault="002F47A0" w:rsidP="002F47A0">
            <w:pPr>
              <w:spacing w:after="0"/>
              <w:jc w:val="both"/>
              <w:rPr>
                <w:rFonts w:ascii="Times New Roman" w:hAnsi="Times New Roman" w:cs="Times New Roman"/>
                <w:lang w:val="pt-BR"/>
              </w:rPr>
            </w:pPr>
            <w:r w:rsidRPr="009E686F">
              <w:rPr>
                <w:rFonts w:ascii="Times New Roman" w:hAnsi="Times New Roman" w:cs="Times New Roman"/>
                <w:lang w:val="pt-BR"/>
              </w:rPr>
              <w:t xml:space="preserve">b) performanţa financiară a </w:t>
            </w:r>
            <w:r w:rsidRPr="009E686F">
              <w:rPr>
                <w:rFonts w:ascii="Times New Roman" w:hAnsi="Times New Roman" w:cs="Times New Roman"/>
                <w:i/>
                <w:lang w:val="pt-BR"/>
              </w:rPr>
              <w:t>instituției de credit</w:t>
            </w:r>
            <w:r w:rsidRPr="009E686F">
              <w:rPr>
                <w:rFonts w:ascii="Times New Roman" w:hAnsi="Times New Roman" w:cs="Times New Roman"/>
                <w:lang w:val="pt-BR"/>
              </w:rPr>
              <w:t>;</w:t>
            </w:r>
          </w:p>
          <w:p w14:paraId="462309B0" w14:textId="77777777" w:rsidR="002F47A0" w:rsidRPr="009E686F" w:rsidRDefault="002F47A0" w:rsidP="002F47A0">
            <w:pPr>
              <w:spacing w:after="0"/>
              <w:jc w:val="both"/>
              <w:rPr>
                <w:rFonts w:ascii="Times New Roman" w:hAnsi="Times New Roman" w:cs="Times New Roman"/>
                <w:lang w:val="pt-BR"/>
              </w:rPr>
            </w:pPr>
            <w:r w:rsidRPr="009E686F">
              <w:rPr>
                <w:rFonts w:ascii="Times New Roman" w:hAnsi="Times New Roman" w:cs="Times New Roman"/>
                <w:lang w:val="pt-BR"/>
              </w:rPr>
              <w:t>c) încălcarea unor limite aferente riscurilor sau regulilor de conformare;</w:t>
            </w:r>
          </w:p>
          <w:p w14:paraId="493790FC" w14:textId="77777777" w:rsidR="002F47A0" w:rsidRPr="009E686F" w:rsidRDefault="002F47A0" w:rsidP="002F47A0">
            <w:pPr>
              <w:spacing w:after="0"/>
              <w:jc w:val="both"/>
              <w:rPr>
                <w:rFonts w:ascii="Times New Roman" w:hAnsi="Times New Roman" w:cs="Times New Roman"/>
                <w:lang w:val="pt-BR"/>
              </w:rPr>
            </w:pPr>
            <w:r w:rsidRPr="009E686F">
              <w:rPr>
                <w:rFonts w:ascii="Times New Roman" w:hAnsi="Times New Roman" w:cs="Times New Roman"/>
                <w:lang w:val="pt-BR"/>
              </w:rPr>
              <w:t>d) deficienţele sistemului de control intern.</w:t>
            </w:r>
          </w:p>
          <w:p w14:paraId="32A30278" w14:textId="1C6827A2" w:rsidR="002F47A0" w:rsidRPr="009E686F" w:rsidRDefault="002F47A0" w:rsidP="002F47A0">
            <w:pPr>
              <w:spacing w:after="0"/>
              <w:jc w:val="both"/>
              <w:rPr>
                <w:rFonts w:ascii="Times New Roman" w:hAnsi="Times New Roman" w:cs="Times New Roman"/>
                <w:i/>
                <w:lang w:val="pt-BR"/>
              </w:rPr>
            </w:pPr>
            <w:r w:rsidRPr="009E686F">
              <w:rPr>
                <w:rFonts w:ascii="Times New Roman" w:hAnsi="Times New Roman" w:cs="Times New Roman"/>
                <w:lang w:val="pt-BR"/>
              </w:rPr>
              <w:t xml:space="preserve">(4) În exercitarea atribuţiilor conferite, membrii organului executiv pot acţiona împreună sau separat, astfel cum este prevăzut în reglementările interne ale </w:t>
            </w:r>
            <w:r w:rsidRPr="009E686F">
              <w:rPr>
                <w:rFonts w:ascii="Times New Roman" w:hAnsi="Times New Roman" w:cs="Times New Roman"/>
                <w:i/>
                <w:lang w:val="pt-BR"/>
              </w:rPr>
              <w:t>instituției de credit.</w:t>
            </w:r>
          </w:p>
        </w:tc>
        <w:tc>
          <w:tcPr>
            <w:tcW w:w="470" w:type="pct"/>
            <w:tcBorders>
              <w:top w:val="single" w:sz="4" w:space="0" w:color="auto"/>
              <w:left w:val="single" w:sz="4" w:space="0" w:color="auto"/>
              <w:bottom w:val="single" w:sz="4" w:space="0" w:color="auto"/>
              <w:right w:val="single" w:sz="4" w:space="0" w:color="auto"/>
            </w:tcBorders>
          </w:tcPr>
          <w:p w14:paraId="32A296DA" w14:textId="6A7FB4FD"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lastRenderedPageBreak/>
              <w:t xml:space="preserve">Compatibil </w:t>
            </w:r>
          </w:p>
        </w:tc>
        <w:tc>
          <w:tcPr>
            <w:tcW w:w="806" w:type="pct"/>
            <w:tcBorders>
              <w:top w:val="single" w:sz="4" w:space="0" w:color="auto"/>
              <w:left w:val="single" w:sz="4" w:space="0" w:color="auto"/>
              <w:bottom w:val="single" w:sz="4" w:space="0" w:color="auto"/>
              <w:right w:val="single" w:sz="4" w:space="0" w:color="auto"/>
            </w:tcBorders>
          </w:tcPr>
          <w:p w14:paraId="2281FA32" w14:textId="5D362595"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 xml:space="preserve">Norme cu specific național  care decurg din responsabilităile organului de  conducere al instituției de credit, care dezvoltă repartizarea acestor reponsabilități, inclusiv obligația de raportare în </w:t>
            </w:r>
            <w:r w:rsidRPr="009E686F">
              <w:rPr>
                <w:rFonts w:ascii="Times New Roman" w:hAnsi="Times New Roman" w:cs="Times New Roman"/>
                <w:lang w:val="ro-RO"/>
              </w:rPr>
              <w:lastRenderedPageBreak/>
              <w:t>cadrul organului de conducere și reglementează modul de exercitare a atribuțiilor organului executiv.</w:t>
            </w:r>
          </w:p>
        </w:tc>
      </w:tr>
      <w:tr w:rsidR="002F47A0" w:rsidRPr="009E686F" w14:paraId="4A83BDBD" w14:textId="43EA8440" w:rsidTr="0058620D">
        <w:tc>
          <w:tcPr>
            <w:tcW w:w="1796" w:type="pct"/>
            <w:gridSpan w:val="2"/>
            <w:vMerge w:val="restart"/>
            <w:tcBorders>
              <w:top w:val="single" w:sz="4" w:space="0" w:color="auto"/>
              <w:left w:val="single" w:sz="4" w:space="0" w:color="auto"/>
              <w:right w:val="single" w:sz="4" w:space="0" w:color="auto"/>
            </w:tcBorders>
          </w:tcPr>
          <w:p w14:paraId="1B23E12E"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lastRenderedPageBreak/>
              <w:t xml:space="preserve">Aceste principii trebuie să includă următoarele principii: </w:t>
            </w:r>
          </w:p>
          <w:p w14:paraId="3B893B07" w14:textId="5C5099A9"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(a)organul de conducere trebuie să aibă responsabilitate generală în ceea ce privește instituția și aprobă și supraveghează punerea în aplicare a obiectivelor strategice, a strategiei de risc și a guvernanței interne a instituției;</w:t>
            </w:r>
          </w:p>
        </w:tc>
        <w:tc>
          <w:tcPr>
            <w:tcW w:w="1928" w:type="pct"/>
            <w:gridSpan w:val="3"/>
            <w:tcBorders>
              <w:top w:val="single" w:sz="4" w:space="0" w:color="auto"/>
              <w:left w:val="single" w:sz="4" w:space="0" w:color="auto"/>
              <w:bottom w:val="single" w:sz="4" w:space="0" w:color="auto"/>
              <w:right w:val="single" w:sz="4" w:space="0" w:color="auto"/>
            </w:tcBorders>
          </w:tcPr>
          <w:p w14:paraId="756BACD1" w14:textId="6F199991"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b/>
                <w:bCs/>
                <w:lang w:val="ro-RO"/>
              </w:rPr>
              <w:t>Articolul 41 alin. (3)</w:t>
            </w:r>
          </w:p>
          <w:p w14:paraId="45DE1F83" w14:textId="63AD23F8" w:rsidR="002F47A0" w:rsidRPr="009E686F" w:rsidRDefault="002F47A0" w:rsidP="002F47A0">
            <w:pPr>
              <w:spacing w:after="0"/>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 xml:space="preserve">(3) Consiliul </w:t>
            </w:r>
            <w:r w:rsidRPr="009E686F">
              <w:rPr>
                <w:rFonts w:ascii="Times New Roman" w:eastAsia="Aptos" w:hAnsi="Times New Roman" w:cs="Times New Roman"/>
                <w:i/>
                <w:iCs/>
                <w:kern w:val="2"/>
                <w:lang w:val="ro-MD"/>
              </w:rPr>
              <w:t>instituției de credit</w:t>
            </w:r>
            <w:r w:rsidRPr="009E686F">
              <w:rPr>
                <w:rFonts w:ascii="Times New Roman" w:eastAsia="Aptos" w:hAnsi="Times New Roman" w:cs="Times New Roman"/>
                <w:kern w:val="2"/>
                <w:lang w:val="ro-MD"/>
              </w:rPr>
              <w:t xml:space="preserve"> are următoarele atribuţii principale:</w:t>
            </w:r>
          </w:p>
          <w:p w14:paraId="1075867D" w14:textId="61583A24" w:rsidR="002F47A0" w:rsidRPr="009E686F" w:rsidRDefault="002F47A0" w:rsidP="002F47A0">
            <w:pPr>
              <w:spacing w:after="0"/>
              <w:jc w:val="both"/>
              <w:rPr>
                <w:rFonts w:ascii="Times New Roman" w:hAnsi="Times New Roman" w:cs="Times New Roman"/>
                <w:lang w:val="ro-RO"/>
              </w:rPr>
            </w:pPr>
            <w:r w:rsidRPr="009E686F">
              <w:rPr>
                <w:rFonts w:ascii="Times New Roman" w:eastAsia="Aptos" w:hAnsi="Times New Roman" w:cs="Times New Roman"/>
                <w:kern w:val="2"/>
                <w:lang w:val="ro-MD"/>
              </w:rPr>
              <w:t xml:space="preserve">a) este responsabil pe deplin în ceea ce priveşte </w:t>
            </w:r>
            <w:r w:rsidRPr="009E686F">
              <w:rPr>
                <w:rFonts w:ascii="Times New Roman" w:eastAsia="Aptos" w:hAnsi="Times New Roman" w:cs="Times New Roman"/>
                <w:i/>
                <w:iCs/>
                <w:kern w:val="2"/>
                <w:lang w:val="ro-MD"/>
              </w:rPr>
              <w:t>instituția de credit</w:t>
            </w:r>
            <w:r w:rsidRPr="009E686F">
              <w:rPr>
                <w:rFonts w:ascii="Times New Roman" w:eastAsia="Aptos" w:hAnsi="Times New Roman" w:cs="Times New Roman"/>
                <w:kern w:val="2"/>
                <w:lang w:val="ro-MD"/>
              </w:rPr>
              <w:t xml:space="preserve">, aprobă şi supraveghează implementarea obiectivelor </w:t>
            </w:r>
            <w:r w:rsidRPr="009E686F">
              <w:rPr>
                <w:rFonts w:ascii="Times New Roman" w:eastAsia="Aptos" w:hAnsi="Times New Roman" w:cs="Times New Roman"/>
                <w:kern w:val="2"/>
                <w:lang w:val="ro-MD"/>
              </w:rPr>
              <w:lastRenderedPageBreak/>
              <w:t xml:space="preserve">strategice, a strategiei privind administrarea riscurilor şi a cadrului de administrare a activităţii </w:t>
            </w:r>
            <w:r w:rsidRPr="009E686F">
              <w:rPr>
                <w:rFonts w:ascii="Times New Roman" w:eastAsia="Aptos" w:hAnsi="Times New Roman" w:cs="Times New Roman"/>
                <w:i/>
                <w:iCs/>
                <w:kern w:val="2"/>
                <w:lang w:val="ro-MD"/>
              </w:rPr>
              <w:t>și a guvernanței interne a</w:t>
            </w:r>
            <w:r w:rsidRPr="009E686F">
              <w:rPr>
                <w:rFonts w:ascii="Times New Roman" w:eastAsia="Aptos" w:hAnsi="Times New Roman" w:cs="Times New Roman"/>
                <w:kern w:val="2"/>
                <w:lang w:val="ro-MD"/>
              </w:rPr>
              <w:t xml:space="preserve"> </w:t>
            </w:r>
            <w:r w:rsidRPr="009E686F">
              <w:rPr>
                <w:rFonts w:ascii="Times New Roman" w:eastAsia="Aptos" w:hAnsi="Times New Roman" w:cs="Times New Roman"/>
                <w:i/>
                <w:iCs/>
                <w:kern w:val="2"/>
                <w:lang w:val="ro-MD"/>
              </w:rPr>
              <w:t>instituției de credit</w:t>
            </w:r>
            <w:r w:rsidRPr="009E686F">
              <w:rPr>
                <w:rFonts w:ascii="Times New Roman" w:eastAsia="Aptos" w:hAnsi="Times New Roman" w:cs="Times New Roman"/>
                <w:kern w:val="2"/>
                <w:lang w:val="ro-MD"/>
              </w:rPr>
              <w:t xml:space="preserve">, inclusiv a codului de guvernanţă corporativă, </w:t>
            </w:r>
            <w:r w:rsidRPr="009E686F">
              <w:rPr>
                <w:rFonts w:ascii="Times New Roman" w:eastAsia="Aptos" w:hAnsi="Times New Roman" w:cs="Times New Roman"/>
                <w:i/>
                <w:iCs/>
                <w:kern w:val="2"/>
                <w:lang w:val="ro-MD"/>
              </w:rPr>
              <w:t>şi se asigură că</w:t>
            </w:r>
            <w:r w:rsidRPr="009E686F">
              <w:rPr>
                <w:rFonts w:ascii="Times New Roman" w:eastAsia="Aptos" w:hAnsi="Times New Roman" w:cs="Times New Roman"/>
                <w:kern w:val="2"/>
                <w:lang w:val="ro-MD"/>
              </w:rPr>
              <w:t xml:space="preserve"> standardele de performanţă sînt menţinute în conformitate cu interesele financiare pe termen lung şi cu respectarea cerinţei de capital a acesteia;</w:t>
            </w:r>
          </w:p>
        </w:tc>
        <w:tc>
          <w:tcPr>
            <w:tcW w:w="470" w:type="pct"/>
            <w:tcBorders>
              <w:top w:val="single" w:sz="4" w:space="0" w:color="auto"/>
              <w:left w:val="single" w:sz="4" w:space="0" w:color="auto"/>
              <w:bottom w:val="single" w:sz="4" w:space="0" w:color="auto"/>
              <w:right w:val="single" w:sz="4" w:space="0" w:color="auto"/>
            </w:tcBorders>
          </w:tcPr>
          <w:p w14:paraId="5B28E9CC" w14:textId="77777777"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lastRenderedPageBreak/>
              <w:t>Compatibil</w:t>
            </w:r>
          </w:p>
          <w:p w14:paraId="07B51F70" w14:textId="77777777" w:rsidR="002F47A0" w:rsidRPr="009E686F" w:rsidRDefault="002F47A0" w:rsidP="002F47A0">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300304DD" w14:textId="77777777" w:rsidR="002F47A0" w:rsidRPr="009E686F" w:rsidRDefault="002F47A0" w:rsidP="002F47A0">
            <w:pPr>
              <w:jc w:val="both"/>
              <w:rPr>
                <w:rFonts w:ascii="Times New Roman" w:hAnsi="Times New Roman" w:cs="Times New Roman"/>
                <w:lang w:val="ro-RO"/>
              </w:rPr>
            </w:pPr>
          </w:p>
        </w:tc>
      </w:tr>
      <w:tr w:rsidR="002F47A0" w:rsidRPr="009E686F" w14:paraId="0AABE284" w14:textId="77777777" w:rsidTr="0058620D">
        <w:tc>
          <w:tcPr>
            <w:tcW w:w="1796" w:type="pct"/>
            <w:gridSpan w:val="2"/>
            <w:vMerge/>
            <w:tcBorders>
              <w:left w:val="single" w:sz="4" w:space="0" w:color="auto"/>
              <w:bottom w:val="single" w:sz="4" w:space="0" w:color="auto"/>
              <w:right w:val="single" w:sz="4" w:space="0" w:color="auto"/>
            </w:tcBorders>
          </w:tcPr>
          <w:p w14:paraId="42C391F1" w14:textId="77777777" w:rsidR="002F47A0" w:rsidRPr="009E686F" w:rsidRDefault="002F47A0" w:rsidP="002F47A0">
            <w:pPr>
              <w:spacing w:after="0"/>
              <w:jc w:val="both"/>
              <w:rPr>
                <w:rFonts w:ascii="Times New Roman" w:hAnsi="Times New Roman" w:cs="Times New Roman"/>
                <w:lang w:val="ro-RO"/>
              </w:rPr>
            </w:pPr>
          </w:p>
        </w:tc>
        <w:tc>
          <w:tcPr>
            <w:tcW w:w="1928" w:type="pct"/>
            <w:gridSpan w:val="3"/>
            <w:tcBorders>
              <w:top w:val="single" w:sz="4" w:space="0" w:color="auto"/>
              <w:left w:val="single" w:sz="4" w:space="0" w:color="auto"/>
              <w:bottom w:val="single" w:sz="4" w:space="0" w:color="auto"/>
              <w:right w:val="single" w:sz="4" w:space="0" w:color="auto"/>
            </w:tcBorders>
          </w:tcPr>
          <w:p w14:paraId="6A8E100A"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b/>
                <w:lang w:val="ro-RO"/>
              </w:rPr>
              <w:t>Art. 44 alin. (4) ultimele 2 teze</w:t>
            </w:r>
            <w:r w:rsidRPr="009E686F">
              <w:rPr>
                <w:rFonts w:ascii="Times New Roman" w:hAnsi="Times New Roman" w:cs="Times New Roman"/>
                <w:lang w:val="ro-RO"/>
              </w:rPr>
              <w:t xml:space="preserve"> </w:t>
            </w:r>
          </w:p>
          <w:p w14:paraId="63C29301" w14:textId="670A3097" w:rsidR="002F47A0" w:rsidRPr="009E686F" w:rsidRDefault="002F47A0" w:rsidP="002F47A0">
            <w:pPr>
              <w:spacing w:after="0"/>
              <w:jc w:val="both"/>
              <w:rPr>
                <w:rFonts w:ascii="Times New Roman" w:hAnsi="Times New Roman" w:cs="Times New Roman"/>
                <w:b/>
                <w:lang w:val="ro-RO"/>
              </w:rPr>
            </w:pPr>
            <w:r w:rsidRPr="009E686F">
              <w:rPr>
                <w:rFonts w:ascii="Times New Roman" w:hAnsi="Times New Roman" w:cs="Times New Roman"/>
                <w:lang w:val="ro-RO"/>
              </w:rPr>
              <w:t>(4) […] În cazul aprobării/alegerii persoanei în cadrul organului de conducere al instituției de credit, consiliul instituției de credit va stabili domeniile de care va fi responsabilă persoana aprobată/aleasă. Termenele şi procedura de selectare a candidaţilor pentru funcţia de membru al consiliului instituției de credit vor fi stabilite în statutul şi/sau reglementările interne ale instituției de credit</w:t>
            </w:r>
          </w:p>
        </w:tc>
        <w:tc>
          <w:tcPr>
            <w:tcW w:w="470" w:type="pct"/>
            <w:tcBorders>
              <w:top w:val="single" w:sz="4" w:space="0" w:color="auto"/>
              <w:left w:val="single" w:sz="4" w:space="0" w:color="auto"/>
              <w:bottom w:val="single" w:sz="4" w:space="0" w:color="auto"/>
              <w:right w:val="single" w:sz="4" w:space="0" w:color="auto"/>
            </w:tcBorders>
          </w:tcPr>
          <w:p w14:paraId="3A8E8001" w14:textId="0CF6EC59"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07D17CC2" w14:textId="77D5BD7D"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Norme cu specific național care reglementează modul de organizare și repartizare a responsabilităților în cadrul organului de conducere.</w:t>
            </w:r>
          </w:p>
        </w:tc>
      </w:tr>
      <w:tr w:rsidR="002F47A0" w:rsidRPr="009E686F" w14:paraId="07987D46" w14:textId="77777777" w:rsidTr="0058620D">
        <w:tc>
          <w:tcPr>
            <w:tcW w:w="1796" w:type="pct"/>
            <w:gridSpan w:val="2"/>
            <w:vMerge/>
            <w:tcBorders>
              <w:left w:val="single" w:sz="4" w:space="0" w:color="auto"/>
              <w:bottom w:val="single" w:sz="4" w:space="0" w:color="auto"/>
              <w:right w:val="single" w:sz="4" w:space="0" w:color="auto"/>
            </w:tcBorders>
          </w:tcPr>
          <w:p w14:paraId="2564E952" w14:textId="77777777" w:rsidR="002F47A0" w:rsidRPr="009E686F" w:rsidRDefault="002F47A0" w:rsidP="002F47A0">
            <w:pPr>
              <w:spacing w:after="0"/>
              <w:jc w:val="both"/>
              <w:rPr>
                <w:rFonts w:ascii="Times New Roman" w:hAnsi="Times New Roman" w:cs="Times New Roman"/>
                <w:lang w:val="ro-RO"/>
              </w:rPr>
            </w:pPr>
          </w:p>
        </w:tc>
        <w:tc>
          <w:tcPr>
            <w:tcW w:w="1928" w:type="pct"/>
            <w:gridSpan w:val="3"/>
            <w:tcBorders>
              <w:top w:val="single" w:sz="4" w:space="0" w:color="auto"/>
              <w:left w:val="single" w:sz="4" w:space="0" w:color="auto"/>
              <w:bottom w:val="single" w:sz="4" w:space="0" w:color="auto"/>
              <w:right w:val="single" w:sz="4" w:space="0" w:color="auto"/>
            </w:tcBorders>
          </w:tcPr>
          <w:p w14:paraId="2B57B659" w14:textId="72180BB4"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(5) Atribuţiile, funcţiile şi responsabilităţile comitetelor specializate menţionate la alin.(1) şi (2), precum şi cerinţele faţă de membrii acestora sunt stabilite în actele normative ale Băncii Naţionale a Moldovei.</w:t>
            </w:r>
          </w:p>
        </w:tc>
        <w:tc>
          <w:tcPr>
            <w:tcW w:w="470" w:type="pct"/>
            <w:tcBorders>
              <w:top w:val="single" w:sz="4" w:space="0" w:color="auto"/>
              <w:left w:val="single" w:sz="4" w:space="0" w:color="auto"/>
              <w:bottom w:val="single" w:sz="4" w:space="0" w:color="auto"/>
              <w:right w:val="single" w:sz="4" w:space="0" w:color="auto"/>
            </w:tcBorders>
          </w:tcPr>
          <w:p w14:paraId="5EFB39B7" w14:textId="1EF8C87B"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66E202F6" w14:textId="5E185581"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Norme cu specific național care reglementează modul de repartizare a responsabilităților în cadrul organului de conducere, în speță a comitetelor specializate ale consiliului.</w:t>
            </w:r>
          </w:p>
        </w:tc>
      </w:tr>
      <w:tr w:rsidR="002F47A0" w:rsidRPr="009E686F" w14:paraId="244A9BE1" w14:textId="391FFA33" w:rsidTr="00774F3E">
        <w:tc>
          <w:tcPr>
            <w:tcW w:w="1796" w:type="pct"/>
            <w:gridSpan w:val="2"/>
            <w:tcBorders>
              <w:top w:val="single" w:sz="4" w:space="0" w:color="auto"/>
              <w:left w:val="single" w:sz="4" w:space="0" w:color="auto"/>
              <w:bottom w:val="single" w:sz="4" w:space="0" w:color="auto"/>
              <w:right w:val="single" w:sz="4" w:space="0" w:color="auto"/>
            </w:tcBorders>
          </w:tcPr>
          <w:p w14:paraId="5E83CAED" w14:textId="06CAABCF"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(b) organul de conducere trebuie să asigure integritatea sistemelor de contabilitate și de raportare financiară, inclusiv controalele financiare și operaționale și respectarea legislației și a standardelor relevante;</w:t>
            </w:r>
          </w:p>
        </w:tc>
        <w:tc>
          <w:tcPr>
            <w:tcW w:w="1928" w:type="pct"/>
            <w:gridSpan w:val="3"/>
            <w:tcBorders>
              <w:top w:val="single" w:sz="4" w:space="0" w:color="auto"/>
              <w:left w:val="single" w:sz="4" w:space="0" w:color="auto"/>
              <w:bottom w:val="single" w:sz="4" w:space="0" w:color="auto"/>
              <w:right w:val="single" w:sz="4" w:space="0" w:color="auto"/>
            </w:tcBorders>
          </w:tcPr>
          <w:p w14:paraId="641D49F9"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g)  aprobă situațiile financiare anuale și asigură integritatea sistemelor contabile şi de raportare financiară, inclusiv controalele financiare şi operaționale şi conformarea cu legislația şi standardele relevante;</w:t>
            </w:r>
          </w:p>
        </w:tc>
        <w:tc>
          <w:tcPr>
            <w:tcW w:w="470" w:type="pct"/>
            <w:tcBorders>
              <w:top w:val="single" w:sz="4" w:space="0" w:color="auto"/>
              <w:left w:val="single" w:sz="4" w:space="0" w:color="auto"/>
              <w:bottom w:val="single" w:sz="4" w:space="0" w:color="auto"/>
              <w:right w:val="single" w:sz="4" w:space="0" w:color="auto"/>
            </w:tcBorders>
          </w:tcPr>
          <w:p w14:paraId="4B9E0D47" w14:textId="77777777"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p w14:paraId="52ABCFAA" w14:textId="77777777" w:rsidR="002F47A0" w:rsidRPr="009E686F" w:rsidRDefault="002F47A0" w:rsidP="002F47A0">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330F9A04" w14:textId="37866822" w:rsidR="002F47A0" w:rsidRPr="009E686F" w:rsidRDefault="002F47A0" w:rsidP="002F47A0">
            <w:pPr>
              <w:jc w:val="both"/>
              <w:rPr>
                <w:rFonts w:ascii="Times New Roman" w:hAnsi="Times New Roman" w:cs="Times New Roman"/>
                <w:lang w:val="ro-RO"/>
              </w:rPr>
            </w:pPr>
          </w:p>
        </w:tc>
      </w:tr>
      <w:tr w:rsidR="002F47A0" w:rsidRPr="009E686F" w14:paraId="28F8A90E" w14:textId="7991A4EF" w:rsidTr="00774F3E">
        <w:tc>
          <w:tcPr>
            <w:tcW w:w="1796" w:type="pct"/>
            <w:gridSpan w:val="2"/>
            <w:tcBorders>
              <w:top w:val="single" w:sz="4" w:space="0" w:color="auto"/>
              <w:left w:val="single" w:sz="4" w:space="0" w:color="auto"/>
              <w:bottom w:val="single" w:sz="4" w:space="0" w:color="auto"/>
              <w:right w:val="single" w:sz="4" w:space="0" w:color="auto"/>
            </w:tcBorders>
          </w:tcPr>
          <w:p w14:paraId="18FBA8F4" w14:textId="548ACC30"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(c) organul de conducere trebuie să supravegheze procesul de publicare a informațiilor și de comunicare;</w:t>
            </w:r>
          </w:p>
        </w:tc>
        <w:tc>
          <w:tcPr>
            <w:tcW w:w="1928" w:type="pct"/>
            <w:gridSpan w:val="3"/>
            <w:tcBorders>
              <w:top w:val="single" w:sz="4" w:space="0" w:color="auto"/>
              <w:left w:val="single" w:sz="4" w:space="0" w:color="auto"/>
              <w:bottom w:val="single" w:sz="4" w:space="0" w:color="auto"/>
              <w:right w:val="single" w:sz="4" w:space="0" w:color="auto"/>
            </w:tcBorders>
          </w:tcPr>
          <w:p w14:paraId="0F62AD68" w14:textId="77777777" w:rsidR="002F47A0" w:rsidRPr="009E686F" w:rsidRDefault="002F47A0" w:rsidP="002F47A0">
            <w:pPr>
              <w:spacing w:after="0"/>
              <w:jc w:val="both"/>
              <w:rPr>
                <w:rFonts w:ascii="Times New Roman" w:hAnsi="Times New Roman" w:cs="Times New Roman"/>
                <w:b/>
                <w:lang w:val="ro-RO"/>
              </w:rPr>
            </w:pPr>
            <w:r w:rsidRPr="009E686F">
              <w:rPr>
                <w:rFonts w:ascii="Times New Roman" w:hAnsi="Times New Roman" w:cs="Times New Roman"/>
                <w:lang w:val="ro-RO"/>
              </w:rPr>
              <w:t>j)  supraveghează procesul de publicare a informațiilor și de comunicare.</w:t>
            </w:r>
          </w:p>
        </w:tc>
        <w:tc>
          <w:tcPr>
            <w:tcW w:w="470" w:type="pct"/>
            <w:tcBorders>
              <w:top w:val="single" w:sz="4" w:space="0" w:color="auto"/>
              <w:left w:val="single" w:sz="4" w:space="0" w:color="auto"/>
              <w:bottom w:val="single" w:sz="4" w:space="0" w:color="auto"/>
              <w:right w:val="single" w:sz="4" w:space="0" w:color="auto"/>
            </w:tcBorders>
          </w:tcPr>
          <w:p w14:paraId="0970324A" w14:textId="77777777"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p w14:paraId="57A32614" w14:textId="77777777" w:rsidR="002F47A0" w:rsidRPr="009E686F" w:rsidRDefault="002F47A0" w:rsidP="002F47A0">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70F5F4CB" w14:textId="77777777" w:rsidR="002F47A0" w:rsidRPr="009E686F" w:rsidRDefault="002F47A0" w:rsidP="002F47A0">
            <w:pPr>
              <w:jc w:val="both"/>
              <w:rPr>
                <w:rFonts w:ascii="Times New Roman" w:hAnsi="Times New Roman" w:cs="Times New Roman"/>
                <w:lang w:val="ro-RO"/>
              </w:rPr>
            </w:pPr>
          </w:p>
        </w:tc>
      </w:tr>
      <w:tr w:rsidR="002F47A0" w:rsidRPr="009E686F" w14:paraId="6590A1AD" w14:textId="11FDFB1E" w:rsidTr="00774F3E">
        <w:tc>
          <w:tcPr>
            <w:tcW w:w="1796" w:type="pct"/>
            <w:gridSpan w:val="2"/>
            <w:tcBorders>
              <w:top w:val="single" w:sz="4" w:space="0" w:color="auto"/>
              <w:left w:val="single" w:sz="4" w:space="0" w:color="auto"/>
              <w:bottom w:val="single" w:sz="4" w:space="0" w:color="auto"/>
              <w:right w:val="single" w:sz="4" w:space="0" w:color="auto"/>
            </w:tcBorders>
          </w:tcPr>
          <w:p w14:paraId="7BBA713A" w14:textId="4AE18FA8"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lastRenderedPageBreak/>
              <w:t>(d) organul de conducere trebuie să fie responsabil pentru asigurarea supravegherii eficiente a conducerii superioare;</w:t>
            </w:r>
          </w:p>
        </w:tc>
        <w:tc>
          <w:tcPr>
            <w:tcW w:w="1928" w:type="pct"/>
            <w:gridSpan w:val="3"/>
            <w:tcBorders>
              <w:top w:val="single" w:sz="4" w:space="0" w:color="auto"/>
              <w:left w:val="single" w:sz="4" w:space="0" w:color="auto"/>
              <w:bottom w:val="single" w:sz="4" w:space="0" w:color="auto"/>
              <w:right w:val="single" w:sz="4" w:space="0" w:color="auto"/>
            </w:tcBorders>
          </w:tcPr>
          <w:p w14:paraId="5599BD77" w14:textId="57596339"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 xml:space="preserve">b) selectează, numeşte şi revocă membrii organului executiv </w:t>
            </w:r>
            <w:r w:rsidRPr="009E686F">
              <w:rPr>
                <w:rFonts w:ascii="Times New Roman" w:hAnsi="Times New Roman" w:cs="Times New Roman"/>
                <w:i/>
                <w:iCs/>
                <w:lang w:val="ro-RO"/>
              </w:rPr>
              <w:t>sau persoanele care reprezintă conducerea superioară</w:t>
            </w:r>
            <w:r w:rsidRPr="009E686F">
              <w:rPr>
                <w:rFonts w:ascii="Times New Roman" w:hAnsi="Times New Roman" w:cs="Times New Roman"/>
                <w:lang w:val="ro-RO"/>
              </w:rPr>
              <w:t xml:space="preserve">  şi stabileşte atribuţiile acestora</w:t>
            </w:r>
          </w:p>
          <w:p w14:paraId="43C6787C" w14:textId="42B93101"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 xml:space="preserve">c) exercita supravegherea efectivă și eficientă a organului executiv </w:t>
            </w:r>
            <w:r w:rsidRPr="009E686F">
              <w:rPr>
                <w:rFonts w:ascii="Times New Roman" w:hAnsi="Times New Roman" w:cs="Times New Roman"/>
                <w:i/>
                <w:iCs/>
                <w:lang w:val="ro-RO"/>
              </w:rPr>
              <w:t>sau conducerii superioare</w:t>
            </w:r>
            <w:r w:rsidRPr="009E686F">
              <w:rPr>
                <w:rFonts w:ascii="Times New Roman" w:hAnsi="Times New Roman" w:cs="Times New Roman"/>
                <w:lang w:val="ro-RO"/>
              </w:rPr>
              <w:t>;</w:t>
            </w:r>
          </w:p>
        </w:tc>
        <w:tc>
          <w:tcPr>
            <w:tcW w:w="470" w:type="pct"/>
            <w:tcBorders>
              <w:top w:val="single" w:sz="4" w:space="0" w:color="auto"/>
              <w:left w:val="single" w:sz="4" w:space="0" w:color="auto"/>
              <w:bottom w:val="single" w:sz="4" w:space="0" w:color="auto"/>
              <w:right w:val="single" w:sz="4" w:space="0" w:color="auto"/>
            </w:tcBorders>
          </w:tcPr>
          <w:p w14:paraId="3045FE07" w14:textId="77777777"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p w14:paraId="30090850" w14:textId="77777777" w:rsidR="002F47A0" w:rsidRPr="009E686F" w:rsidRDefault="002F47A0" w:rsidP="002F47A0">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3CA9BF94" w14:textId="77777777" w:rsidR="002F47A0" w:rsidRPr="009E686F" w:rsidRDefault="002F47A0" w:rsidP="002F47A0">
            <w:pPr>
              <w:jc w:val="both"/>
              <w:rPr>
                <w:rFonts w:ascii="Times New Roman" w:hAnsi="Times New Roman" w:cs="Times New Roman"/>
                <w:lang w:val="ro-RO"/>
              </w:rPr>
            </w:pPr>
          </w:p>
        </w:tc>
      </w:tr>
      <w:tr w:rsidR="002F47A0" w:rsidRPr="009E686F" w14:paraId="75C3F0C4" w14:textId="67DDF642" w:rsidTr="00774F3E">
        <w:trPr>
          <w:trHeight w:val="1531"/>
        </w:trPr>
        <w:tc>
          <w:tcPr>
            <w:tcW w:w="1796" w:type="pct"/>
            <w:gridSpan w:val="2"/>
            <w:tcBorders>
              <w:top w:val="single" w:sz="4" w:space="0" w:color="auto"/>
              <w:left w:val="single" w:sz="4" w:space="0" w:color="auto"/>
              <w:bottom w:val="single" w:sz="4" w:space="0" w:color="auto"/>
              <w:right w:val="single" w:sz="4" w:space="0" w:color="auto"/>
            </w:tcBorders>
          </w:tcPr>
          <w:p w14:paraId="637EA9E2" w14:textId="3AA51F31"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(e) președintele organului de conducere în funcția sa de supraveghere a unei instituții nu exercită simultan și funcția de director executiv în cadrul aceleiași instituții.</w:t>
            </w:r>
          </w:p>
        </w:tc>
        <w:tc>
          <w:tcPr>
            <w:tcW w:w="1928" w:type="pct"/>
            <w:gridSpan w:val="3"/>
            <w:tcBorders>
              <w:top w:val="single" w:sz="4" w:space="0" w:color="auto"/>
              <w:left w:val="single" w:sz="4" w:space="0" w:color="auto"/>
              <w:bottom w:val="single" w:sz="4" w:space="0" w:color="auto"/>
              <w:right w:val="single" w:sz="4" w:space="0" w:color="auto"/>
            </w:tcBorders>
          </w:tcPr>
          <w:p w14:paraId="7A51FECB" w14:textId="48BD8D45" w:rsidR="002F47A0" w:rsidRPr="009E686F" w:rsidRDefault="002F47A0" w:rsidP="002F47A0">
            <w:pPr>
              <w:spacing w:after="0"/>
              <w:jc w:val="both"/>
              <w:rPr>
                <w:rFonts w:ascii="Times New Roman" w:hAnsi="Times New Roman" w:cs="Times New Roman"/>
                <w:b/>
                <w:bCs/>
                <w:lang w:val="ro-RO"/>
              </w:rPr>
            </w:pPr>
            <w:r w:rsidRPr="009E686F">
              <w:rPr>
                <w:rFonts w:ascii="Times New Roman" w:hAnsi="Times New Roman" w:cs="Times New Roman"/>
                <w:b/>
                <w:bCs/>
                <w:lang w:val="ro-RO"/>
              </w:rPr>
              <w:t>Articolul 41 alin.(5)</w:t>
            </w:r>
          </w:p>
          <w:p w14:paraId="2BFA11F5" w14:textId="7BD38BA1" w:rsidR="002F47A0" w:rsidRPr="009E686F" w:rsidRDefault="002F47A0" w:rsidP="002F47A0">
            <w:pPr>
              <w:spacing w:after="0"/>
              <w:jc w:val="both"/>
              <w:rPr>
                <w:rFonts w:ascii="Times New Roman" w:eastAsia="Aptos" w:hAnsi="Times New Roman" w:cs="Times New Roman"/>
                <w:kern w:val="2"/>
                <w:lang w:val="pt-BR"/>
              </w:rPr>
            </w:pPr>
            <w:r w:rsidRPr="009E686F">
              <w:rPr>
                <w:rFonts w:ascii="Times New Roman" w:eastAsia="Aptos" w:hAnsi="Times New Roman" w:cs="Times New Roman"/>
                <w:kern w:val="2"/>
                <w:lang w:val="ro-MD"/>
              </w:rPr>
              <w:t xml:space="preserve">(5) Cel puţin 1/3 din membrii consiliului </w:t>
            </w:r>
            <w:bookmarkStart w:id="28" w:name="_Hlk215052829"/>
            <w:r w:rsidRPr="009E686F">
              <w:rPr>
                <w:rFonts w:ascii="Times New Roman" w:eastAsia="Aptos" w:hAnsi="Times New Roman" w:cs="Times New Roman"/>
                <w:i/>
                <w:iCs/>
                <w:kern w:val="2"/>
                <w:lang w:val="ro-MD"/>
              </w:rPr>
              <w:t>instituției de credit</w:t>
            </w:r>
            <w:r w:rsidRPr="009E686F">
              <w:rPr>
                <w:rFonts w:ascii="Times New Roman" w:eastAsia="Aptos" w:hAnsi="Times New Roman" w:cs="Times New Roman"/>
                <w:kern w:val="2"/>
                <w:lang w:val="ro-MD"/>
              </w:rPr>
              <w:t xml:space="preserve"> </w:t>
            </w:r>
            <w:bookmarkEnd w:id="28"/>
            <w:r w:rsidRPr="009E686F">
              <w:rPr>
                <w:rFonts w:ascii="Times New Roman" w:eastAsia="Aptos" w:hAnsi="Times New Roman" w:cs="Times New Roman"/>
                <w:kern w:val="2"/>
                <w:lang w:val="ro-MD"/>
              </w:rPr>
              <w:t xml:space="preserve">trebuie să fie independenţi. Membrul consiliului </w:t>
            </w:r>
            <w:r w:rsidRPr="009E686F">
              <w:rPr>
                <w:rFonts w:ascii="Times New Roman" w:eastAsia="Aptos" w:hAnsi="Times New Roman" w:cs="Times New Roman"/>
                <w:i/>
                <w:iCs/>
                <w:kern w:val="2"/>
                <w:lang w:val="ro-MD"/>
              </w:rPr>
              <w:t>instituției de credit</w:t>
            </w:r>
            <w:r w:rsidRPr="009E686F">
              <w:rPr>
                <w:rFonts w:ascii="Times New Roman" w:eastAsia="Aptos" w:hAnsi="Times New Roman" w:cs="Times New Roman"/>
                <w:kern w:val="2"/>
                <w:lang w:val="ro-MD"/>
              </w:rPr>
              <w:t xml:space="preserve"> nu poate cumula calitatea de membru în consiliul </w:t>
            </w:r>
            <w:r w:rsidRPr="009E686F">
              <w:rPr>
                <w:rFonts w:ascii="Times New Roman" w:eastAsia="Aptos" w:hAnsi="Times New Roman" w:cs="Times New Roman"/>
                <w:i/>
                <w:iCs/>
                <w:kern w:val="2"/>
                <w:lang w:val="ro-MD"/>
              </w:rPr>
              <w:t>instituției de credit</w:t>
            </w:r>
            <w:r w:rsidRPr="009E686F">
              <w:rPr>
                <w:rFonts w:ascii="Times New Roman" w:eastAsia="Aptos" w:hAnsi="Times New Roman" w:cs="Times New Roman"/>
                <w:kern w:val="2"/>
                <w:lang w:val="ro-MD"/>
              </w:rPr>
              <w:t xml:space="preserve"> cu cea de salariat al </w:t>
            </w:r>
            <w:r w:rsidRPr="009E686F">
              <w:rPr>
                <w:rFonts w:ascii="Times New Roman" w:eastAsia="Aptos" w:hAnsi="Times New Roman" w:cs="Times New Roman"/>
                <w:i/>
                <w:iCs/>
                <w:kern w:val="2"/>
                <w:lang w:val="ro-MD"/>
              </w:rPr>
              <w:t>instituției de credit</w:t>
            </w:r>
            <w:r w:rsidRPr="009E686F">
              <w:rPr>
                <w:rFonts w:ascii="Times New Roman" w:eastAsia="Aptos" w:hAnsi="Times New Roman" w:cs="Times New Roman"/>
                <w:kern w:val="2"/>
                <w:lang w:val="ro-MD"/>
              </w:rPr>
              <w:t xml:space="preserve"> respective, </w:t>
            </w:r>
            <w:r w:rsidRPr="009E686F">
              <w:rPr>
                <w:rFonts w:ascii="Times New Roman" w:eastAsia="Aptos" w:hAnsi="Times New Roman" w:cs="Times New Roman"/>
                <w:i/>
                <w:iCs/>
                <w:kern w:val="2"/>
                <w:lang w:val="ro-MD"/>
              </w:rPr>
              <w:t>inclusiv președintele Consiliului nu poate exercita funcția de conducătorul organului executiv în cadrul</w:t>
            </w:r>
            <w:r w:rsidRPr="009E686F">
              <w:rPr>
                <w:rFonts w:ascii="Times New Roman" w:eastAsia="Aptos" w:hAnsi="Times New Roman" w:cs="Times New Roman"/>
                <w:kern w:val="2"/>
                <w:lang w:val="ro-MD"/>
              </w:rPr>
              <w:t xml:space="preserve"> </w:t>
            </w:r>
            <w:r w:rsidRPr="009E686F">
              <w:rPr>
                <w:rFonts w:ascii="Times New Roman" w:eastAsia="Aptos" w:hAnsi="Times New Roman" w:cs="Times New Roman"/>
                <w:i/>
                <w:iCs/>
                <w:kern w:val="2"/>
                <w:lang w:val="ro-MD"/>
              </w:rPr>
              <w:t>instituției de credit</w:t>
            </w:r>
            <w:r w:rsidRPr="009E686F">
              <w:rPr>
                <w:rFonts w:ascii="Times New Roman" w:eastAsia="Aptos" w:hAnsi="Times New Roman" w:cs="Times New Roman"/>
                <w:kern w:val="2"/>
                <w:lang w:val="ro-MD"/>
              </w:rPr>
              <w:t xml:space="preserve">. </w:t>
            </w:r>
          </w:p>
          <w:p w14:paraId="27A9E040" w14:textId="0CED6583" w:rsidR="002F47A0" w:rsidRPr="009E686F" w:rsidRDefault="002F47A0" w:rsidP="002F47A0">
            <w:pPr>
              <w:spacing w:after="0"/>
              <w:jc w:val="both"/>
              <w:rPr>
                <w:rFonts w:ascii="Times New Roman" w:hAnsi="Times New Roman" w:cs="Times New Roman"/>
                <w:lang w:val="pt-BR"/>
              </w:rPr>
            </w:pPr>
            <w:r w:rsidRPr="009E686F">
              <w:rPr>
                <w:rFonts w:ascii="Times New Roman" w:hAnsi="Times New Roman" w:cs="Times New Roman"/>
                <w:lang w:val="pt-BR"/>
              </w:rPr>
              <w:t xml:space="preserve">În sensul prezentului articol, a fi independent înseamnă că membrul consiliului </w:t>
            </w:r>
            <w:r w:rsidRPr="009E686F">
              <w:rPr>
                <w:rFonts w:ascii="Times New Roman" w:hAnsi="Times New Roman" w:cs="Times New Roman"/>
                <w:i/>
                <w:lang w:val="pt-BR"/>
              </w:rPr>
              <w:t>instituției de credit</w:t>
            </w:r>
            <w:r w:rsidRPr="009E686F">
              <w:rPr>
                <w:rFonts w:ascii="Times New Roman" w:hAnsi="Times New Roman" w:cs="Times New Roman"/>
                <w:lang w:val="pt-BR"/>
              </w:rPr>
              <w:t xml:space="preserve"> nu are nicio relaţie actuală sau anterioară recentă ori legături de orice natură cu </w:t>
            </w:r>
            <w:r w:rsidRPr="009E686F">
              <w:rPr>
                <w:rFonts w:ascii="Times New Roman" w:hAnsi="Times New Roman" w:cs="Times New Roman"/>
                <w:i/>
                <w:lang w:val="pt-BR"/>
              </w:rPr>
              <w:t>instituția de credit</w:t>
            </w:r>
            <w:r w:rsidRPr="009E686F">
              <w:rPr>
                <w:rFonts w:ascii="Times New Roman" w:hAnsi="Times New Roman" w:cs="Times New Roman"/>
                <w:lang w:val="pt-BR"/>
              </w:rPr>
              <w:t xml:space="preserve">, acţionarii, deţinătorii indirecţi sau conducerea </w:t>
            </w:r>
            <w:r w:rsidRPr="009E686F">
              <w:rPr>
                <w:rFonts w:ascii="Times New Roman" w:hAnsi="Times New Roman" w:cs="Times New Roman"/>
                <w:i/>
                <w:lang w:val="pt-BR"/>
              </w:rPr>
              <w:t>instituției de credit</w:t>
            </w:r>
            <w:r w:rsidRPr="009E686F">
              <w:rPr>
                <w:rFonts w:ascii="Times New Roman" w:hAnsi="Times New Roman" w:cs="Times New Roman"/>
                <w:lang w:val="pt-BR"/>
              </w:rPr>
              <w:t xml:space="preserve">, care ar putea să influenţeze obiectivul şi judecata echilibrată ale membrului şi să reducă capacitatea acestuia de a lua decizii în mod independent. Cerinţele care asigură independenţa membrilor consiliului </w:t>
            </w:r>
            <w:r w:rsidRPr="009E686F">
              <w:rPr>
                <w:rFonts w:ascii="Times New Roman" w:hAnsi="Times New Roman" w:cs="Times New Roman"/>
                <w:i/>
                <w:lang w:val="pt-BR"/>
              </w:rPr>
              <w:t>instituției de credit</w:t>
            </w:r>
            <w:r w:rsidRPr="009E686F">
              <w:rPr>
                <w:rFonts w:ascii="Times New Roman" w:hAnsi="Times New Roman" w:cs="Times New Roman"/>
                <w:lang w:val="pt-BR"/>
              </w:rPr>
              <w:t xml:space="preserve"> şi care trebuie respectate de către aceştia sunt stabilite </w:t>
            </w:r>
            <w:r w:rsidRPr="009E686F">
              <w:rPr>
                <w:rFonts w:ascii="Times New Roman" w:hAnsi="Times New Roman" w:cs="Times New Roman"/>
                <w:i/>
                <w:lang w:val="pt-BR"/>
              </w:rPr>
              <w:t>î</w:t>
            </w:r>
            <w:r w:rsidRPr="009E686F">
              <w:rPr>
                <w:rFonts w:ascii="Times New Roman" w:hAnsi="Times New Roman" w:cs="Times New Roman"/>
                <w:lang w:val="pt-BR"/>
              </w:rPr>
              <w:t>n actele normative ale Băncii Naţionale a Moldovei emise în aplicarea prezentei legi.</w:t>
            </w:r>
          </w:p>
        </w:tc>
        <w:tc>
          <w:tcPr>
            <w:tcW w:w="470" w:type="pct"/>
            <w:tcBorders>
              <w:top w:val="single" w:sz="4" w:space="0" w:color="auto"/>
              <w:left w:val="single" w:sz="4" w:space="0" w:color="auto"/>
              <w:bottom w:val="single" w:sz="4" w:space="0" w:color="auto"/>
              <w:right w:val="single" w:sz="4" w:space="0" w:color="auto"/>
            </w:tcBorders>
          </w:tcPr>
          <w:p w14:paraId="6B6F2568" w14:textId="06E14928"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p w14:paraId="3B0CD13D" w14:textId="5D8A165E"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 xml:space="preserve"> </w:t>
            </w:r>
          </w:p>
        </w:tc>
        <w:tc>
          <w:tcPr>
            <w:tcW w:w="806" w:type="pct"/>
            <w:tcBorders>
              <w:top w:val="single" w:sz="4" w:space="0" w:color="auto"/>
              <w:left w:val="single" w:sz="4" w:space="0" w:color="auto"/>
              <w:bottom w:val="single" w:sz="4" w:space="0" w:color="auto"/>
              <w:right w:val="single" w:sz="4" w:space="0" w:color="auto"/>
            </w:tcBorders>
          </w:tcPr>
          <w:p w14:paraId="48DDBC99" w14:textId="77777777" w:rsidR="00171CD3" w:rsidRPr="009E686F" w:rsidRDefault="00171CD3" w:rsidP="002F47A0">
            <w:pPr>
              <w:jc w:val="both"/>
              <w:rPr>
                <w:rFonts w:ascii="Times New Roman" w:hAnsi="Times New Roman" w:cs="Times New Roman"/>
                <w:lang w:val="ro-RO"/>
              </w:rPr>
            </w:pPr>
          </w:p>
          <w:p w14:paraId="60BE4FEE" w14:textId="77777777" w:rsidR="00171CD3" w:rsidRPr="009E686F" w:rsidRDefault="00171CD3" w:rsidP="002F47A0">
            <w:pPr>
              <w:jc w:val="both"/>
              <w:rPr>
                <w:rFonts w:ascii="Times New Roman" w:hAnsi="Times New Roman" w:cs="Times New Roman"/>
                <w:lang w:val="ro-RO"/>
              </w:rPr>
            </w:pPr>
          </w:p>
          <w:p w14:paraId="36C1E290" w14:textId="77777777" w:rsidR="00171CD3" w:rsidRPr="009E686F" w:rsidRDefault="00171CD3" w:rsidP="002F47A0">
            <w:pPr>
              <w:jc w:val="both"/>
              <w:rPr>
                <w:rFonts w:ascii="Times New Roman" w:hAnsi="Times New Roman" w:cs="Times New Roman"/>
                <w:lang w:val="ro-RO"/>
              </w:rPr>
            </w:pPr>
          </w:p>
          <w:p w14:paraId="5F718FF6" w14:textId="77777777" w:rsidR="00171CD3" w:rsidRPr="009E686F" w:rsidRDefault="00171CD3" w:rsidP="002F47A0">
            <w:pPr>
              <w:jc w:val="both"/>
              <w:rPr>
                <w:rFonts w:ascii="Times New Roman" w:hAnsi="Times New Roman" w:cs="Times New Roman"/>
                <w:lang w:val="ro-RO"/>
              </w:rPr>
            </w:pPr>
          </w:p>
          <w:p w14:paraId="0CCFF3FF" w14:textId="77777777" w:rsidR="00171CD3" w:rsidRPr="009E686F" w:rsidRDefault="00171CD3" w:rsidP="002F47A0">
            <w:pPr>
              <w:jc w:val="both"/>
              <w:rPr>
                <w:rFonts w:ascii="Times New Roman" w:hAnsi="Times New Roman" w:cs="Times New Roman"/>
                <w:lang w:val="ro-RO"/>
              </w:rPr>
            </w:pPr>
          </w:p>
          <w:p w14:paraId="1DBBB349" w14:textId="4C1F1B68"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Norme cu specific național pentru implementarea principiilor de guvernanță stabilite de Directivă.</w:t>
            </w:r>
          </w:p>
        </w:tc>
      </w:tr>
      <w:tr w:rsidR="002F47A0" w:rsidRPr="009E686F" w14:paraId="76794ECE" w14:textId="77777777" w:rsidTr="00D46357">
        <w:trPr>
          <w:trHeight w:val="1226"/>
        </w:trPr>
        <w:tc>
          <w:tcPr>
            <w:tcW w:w="1796" w:type="pct"/>
            <w:gridSpan w:val="2"/>
            <w:vMerge w:val="restart"/>
            <w:tcBorders>
              <w:top w:val="single" w:sz="4" w:space="0" w:color="auto"/>
              <w:left w:val="single" w:sz="4" w:space="0" w:color="auto"/>
              <w:right w:val="single" w:sz="4" w:space="0" w:color="auto"/>
            </w:tcBorders>
          </w:tcPr>
          <w:p w14:paraId="0CDE5553" w14:textId="3689435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Statele membre se asigură că datele privind împrumuturile acordate membrilor organului de conducere și părților lor afiliate sunt documentate în mod corespunzător și sunt puse la dispoziția autorităților competente la cerere.</w:t>
            </w:r>
          </w:p>
        </w:tc>
        <w:tc>
          <w:tcPr>
            <w:tcW w:w="1928" w:type="pct"/>
            <w:gridSpan w:val="3"/>
            <w:tcBorders>
              <w:top w:val="single" w:sz="4" w:space="0" w:color="auto"/>
              <w:left w:val="single" w:sz="4" w:space="0" w:color="auto"/>
              <w:bottom w:val="single" w:sz="4" w:space="0" w:color="auto"/>
              <w:right w:val="single" w:sz="4" w:space="0" w:color="auto"/>
            </w:tcBorders>
          </w:tcPr>
          <w:p w14:paraId="67B1DFA5" w14:textId="20D4598A" w:rsidR="002F47A0" w:rsidRPr="009E686F" w:rsidRDefault="002F47A0" w:rsidP="002F47A0">
            <w:pPr>
              <w:spacing w:after="0"/>
              <w:jc w:val="both"/>
              <w:rPr>
                <w:rFonts w:ascii="Times New Roman" w:eastAsia="Aptos" w:hAnsi="Times New Roman" w:cs="Times New Roman"/>
                <w:b/>
                <w:bCs/>
                <w:kern w:val="2"/>
                <w:lang w:val="ro-MD"/>
              </w:rPr>
            </w:pPr>
            <w:r w:rsidRPr="009E686F">
              <w:rPr>
                <w:rFonts w:ascii="Times New Roman" w:eastAsia="Aptos" w:hAnsi="Times New Roman" w:cs="Times New Roman"/>
                <w:b/>
                <w:bCs/>
                <w:kern w:val="2"/>
                <w:lang w:val="ro-MD"/>
              </w:rPr>
              <w:t>Articolul 41 alin. (3), lit. f)</w:t>
            </w:r>
          </w:p>
          <w:p w14:paraId="07372CA2" w14:textId="708F0FB6" w:rsidR="002F47A0" w:rsidRPr="009E686F" w:rsidRDefault="002F47A0" w:rsidP="002F47A0">
            <w:pPr>
              <w:spacing w:after="0"/>
              <w:jc w:val="both"/>
              <w:rPr>
                <w:rFonts w:ascii="Times New Roman" w:hAnsi="Times New Roman" w:cs="Times New Roman"/>
                <w:bCs/>
                <w:lang w:val="ro-RO"/>
              </w:rPr>
            </w:pPr>
            <w:r w:rsidRPr="009E686F">
              <w:rPr>
                <w:rFonts w:ascii="Times New Roman" w:eastAsia="Aptos" w:hAnsi="Times New Roman" w:cs="Times New Roman"/>
                <w:kern w:val="2"/>
                <w:lang w:val="ro-MD"/>
              </w:rPr>
              <w:t xml:space="preserve">f) monitorizează şi evaluează periodic eficacitatea cadrului de administrare a activităţii, inclusiv principiile de guvernanţă ale </w:t>
            </w:r>
            <w:r w:rsidRPr="009E686F">
              <w:rPr>
                <w:rFonts w:ascii="Times New Roman" w:eastAsia="Aptos" w:hAnsi="Times New Roman" w:cs="Times New Roman"/>
                <w:i/>
                <w:iCs/>
                <w:kern w:val="2"/>
                <w:lang w:val="ro-MD"/>
              </w:rPr>
              <w:t>instituției de credit</w:t>
            </w:r>
            <w:r w:rsidRPr="009E686F">
              <w:rPr>
                <w:rFonts w:ascii="Times New Roman" w:eastAsia="Aptos" w:hAnsi="Times New Roman" w:cs="Times New Roman"/>
                <w:kern w:val="2"/>
                <w:lang w:val="ro-MD"/>
              </w:rPr>
              <w:t>, şi adoptă măsurile adecvate pentru remedierea eventualelor deficienţe;</w:t>
            </w:r>
          </w:p>
          <w:p w14:paraId="2CA5DAE2" w14:textId="695407EF" w:rsidR="002F47A0" w:rsidRPr="009E686F" w:rsidRDefault="002F47A0" w:rsidP="002F47A0">
            <w:pPr>
              <w:spacing w:after="0"/>
              <w:jc w:val="both"/>
              <w:rPr>
                <w:rFonts w:ascii="Times New Roman" w:hAnsi="Times New Roman" w:cs="Times New Roman"/>
                <w:b/>
                <w:lang w:val="ro-RO"/>
              </w:rPr>
            </w:pPr>
            <w:r w:rsidRPr="009E686F">
              <w:rPr>
                <w:rFonts w:ascii="Times New Roman" w:hAnsi="Times New Roman" w:cs="Times New Roman"/>
                <w:b/>
                <w:lang w:val="ro-RO"/>
              </w:rPr>
              <w:t>Articolul 80 alin. (2)</w:t>
            </w:r>
          </w:p>
          <w:p w14:paraId="5879E9C8" w14:textId="6A21D662" w:rsidR="002F47A0" w:rsidRPr="009E686F" w:rsidRDefault="002F47A0" w:rsidP="002F47A0">
            <w:pPr>
              <w:spacing w:after="0"/>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 xml:space="preserve">(2) </w:t>
            </w:r>
            <w:r w:rsidRPr="009E686F">
              <w:rPr>
                <w:rFonts w:ascii="Times New Roman" w:eastAsia="Aptos" w:hAnsi="Times New Roman" w:cs="Times New Roman"/>
                <w:i/>
                <w:iCs/>
                <w:kern w:val="2"/>
                <w:lang w:val="ro-MD"/>
              </w:rPr>
              <w:t>Instituția de credit</w:t>
            </w:r>
            <w:r w:rsidRPr="009E686F">
              <w:rPr>
                <w:rFonts w:ascii="Times New Roman" w:eastAsia="Aptos" w:hAnsi="Times New Roman" w:cs="Times New Roman"/>
                <w:kern w:val="2"/>
                <w:lang w:val="ro-MD"/>
              </w:rPr>
              <w:t xml:space="preserve"> este obligată să prezinte Băncii Naţionale a Moldovei, în modul stabilit în actele normative ale acesteia, </w:t>
            </w:r>
            <w:r w:rsidRPr="009E686F">
              <w:rPr>
                <w:rFonts w:ascii="Times New Roman" w:eastAsia="Aptos" w:hAnsi="Times New Roman" w:cs="Times New Roman"/>
                <w:kern w:val="2"/>
                <w:lang w:val="ro-MD"/>
              </w:rPr>
              <w:lastRenderedPageBreak/>
              <w:t xml:space="preserve">informaţii cu privire la persoanele afiliate </w:t>
            </w:r>
            <w:r w:rsidRPr="009E686F">
              <w:rPr>
                <w:rFonts w:ascii="Times New Roman" w:eastAsia="Aptos" w:hAnsi="Times New Roman" w:cs="Times New Roman"/>
                <w:i/>
                <w:iCs/>
                <w:kern w:val="2"/>
                <w:lang w:val="ro-MD"/>
              </w:rPr>
              <w:t>instituției de credit</w:t>
            </w:r>
            <w:r w:rsidRPr="009E686F">
              <w:rPr>
                <w:rFonts w:ascii="Times New Roman" w:eastAsia="Aptos" w:hAnsi="Times New Roman" w:cs="Times New Roman"/>
                <w:kern w:val="2"/>
                <w:lang w:val="ro-MD"/>
              </w:rPr>
              <w:t xml:space="preserve">, creditele acordate de </w:t>
            </w:r>
            <w:r w:rsidRPr="009E686F">
              <w:rPr>
                <w:rFonts w:ascii="Times New Roman" w:eastAsia="Aptos" w:hAnsi="Times New Roman" w:cs="Times New Roman"/>
                <w:i/>
                <w:iCs/>
                <w:kern w:val="2"/>
                <w:lang w:val="ro-MD"/>
              </w:rPr>
              <w:t>instituția de credit</w:t>
            </w:r>
            <w:r w:rsidRPr="009E686F">
              <w:rPr>
                <w:rFonts w:ascii="Times New Roman" w:eastAsia="Aptos" w:hAnsi="Times New Roman" w:cs="Times New Roman"/>
                <w:kern w:val="2"/>
                <w:lang w:val="ro-MD"/>
              </w:rPr>
              <w:t xml:space="preserve">  acestora şi tranzacţiile încheiate de </w:t>
            </w:r>
            <w:r w:rsidRPr="009E686F">
              <w:rPr>
                <w:rFonts w:ascii="Times New Roman" w:eastAsia="Aptos" w:hAnsi="Times New Roman" w:cs="Times New Roman"/>
                <w:i/>
                <w:iCs/>
                <w:kern w:val="2"/>
                <w:lang w:val="ro-MD"/>
              </w:rPr>
              <w:t>instituția de credit</w:t>
            </w:r>
            <w:r w:rsidRPr="009E686F">
              <w:rPr>
                <w:rFonts w:ascii="Times New Roman" w:eastAsia="Aptos" w:hAnsi="Times New Roman" w:cs="Times New Roman"/>
                <w:kern w:val="2"/>
                <w:lang w:val="ro-MD"/>
              </w:rPr>
              <w:t xml:space="preserve"> cu acestea.</w:t>
            </w:r>
          </w:p>
        </w:tc>
        <w:tc>
          <w:tcPr>
            <w:tcW w:w="470" w:type="pct"/>
            <w:tcBorders>
              <w:top w:val="single" w:sz="4" w:space="0" w:color="auto"/>
              <w:left w:val="single" w:sz="4" w:space="0" w:color="auto"/>
              <w:bottom w:val="single" w:sz="4" w:space="0" w:color="auto"/>
              <w:right w:val="single" w:sz="4" w:space="0" w:color="auto"/>
            </w:tcBorders>
          </w:tcPr>
          <w:p w14:paraId="66FFC56C" w14:textId="77777777"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lastRenderedPageBreak/>
              <w:t>Compatibil</w:t>
            </w:r>
          </w:p>
          <w:p w14:paraId="580A7758" w14:textId="77777777" w:rsidR="002F47A0" w:rsidRPr="009E686F" w:rsidRDefault="002F47A0" w:rsidP="002F47A0">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24915512" w14:textId="1BABDDAD" w:rsidR="002F47A0" w:rsidRPr="009E686F" w:rsidRDefault="002F47A0" w:rsidP="002F47A0">
            <w:pPr>
              <w:jc w:val="both"/>
              <w:rPr>
                <w:rFonts w:ascii="Times New Roman" w:hAnsi="Times New Roman" w:cs="Times New Roman"/>
                <w:lang w:val="ro-RO"/>
              </w:rPr>
            </w:pPr>
          </w:p>
        </w:tc>
      </w:tr>
      <w:tr w:rsidR="002F47A0" w:rsidRPr="009E686F" w14:paraId="0C81B55A" w14:textId="77777777" w:rsidTr="00D46357">
        <w:trPr>
          <w:trHeight w:val="1226"/>
        </w:trPr>
        <w:tc>
          <w:tcPr>
            <w:tcW w:w="1796" w:type="pct"/>
            <w:gridSpan w:val="2"/>
            <w:vMerge/>
            <w:tcBorders>
              <w:left w:val="single" w:sz="4" w:space="0" w:color="auto"/>
              <w:bottom w:val="single" w:sz="4" w:space="0" w:color="auto"/>
              <w:right w:val="single" w:sz="4" w:space="0" w:color="auto"/>
            </w:tcBorders>
          </w:tcPr>
          <w:p w14:paraId="07DB2F67" w14:textId="77777777" w:rsidR="002F47A0" w:rsidRPr="009E686F" w:rsidRDefault="002F47A0" w:rsidP="002F47A0">
            <w:pPr>
              <w:spacing w:after="0"/>
              <w:jc w:val="both"/>
              <w:rPr>
                <w:rFonts w:ascii="Times New Roman" w:hAnsi="Times New Roman" w:cs="Times New Roman"/>
                <w:lang w:val="ro-RO"/>
              </w:rPr>
            </w:pPr>
          </w:p>
        </w:tc>
        <w:tc>
          <w:tcPr>
            <w:tcW w:w="1928" w:type="pct"/>
            <w:gridSpan w:val="3"/>
            <w:tcBorders>
              <w:top w:val="single" w:sz="4" w:space="0" w:color="auto"/>
              <w:left w:val="single" w:sz="4" w:space="0" w:color="auto"/>
              <w:bottom w:val="single" w:sz="4" w:space="0" w:color="auto"/>
              <w:right w:val="single" w:sz="4" w:space="0" w:color="auto"/>
            </w:tcBorders>
          </w:tcPr>
          <w:p w14:paraId="06885342"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b/>
                <w:lang w:val="ro-RO"/>
              </w:rPr>
              <w:t>Articolul 80.</w:t>
            </w:r>
            <w:r w:rsidRPr="009E686F">
              <w:rPr>
                <w:rFonts w:ascii="Times New Roman" w:hAnsi="Times New Roman" w:cs="Times New Roman"/>
                <w:lang w:val="ro-RO"/>
              </w:rPr>
              <w:t xml:space="preserve"> Tranzacţii cu persoanele afiliate </w:t>
            </w:r>
            <w:r w:rsidRPr="009E686F">
              <w:rPr>
                <w:rFonts w:ascii="Times New Roman" w:hAnsi="Times New Roman" w:cs="Times New Roman"/>
                <w:i/>
                <w:lang w:val="ro-RO"/>
              </w:rPr>
              <w:t>instituției de credit</w:t>
            </w:r>
          </w:p>
          <w:p w14:paraId="36EEAD5F"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 xml:space="preserve">(1) </w:t>
            </w:r>
            <w:r w:rsidRPr="009E686F">
              <w:rPr>
                <w:rFonts w:ascii="Times New Roman" w:hAnsi="Times New Roman" w:cs="Times New Roman"/>
                <w:i/>
                <w:lang w:val="ro-RO"/>
              </w:rPr>
              <w:t>Instituția de credit</w:t>
            </w:r>
            <w:r w:rsidRPr="009E686F">
              <w:rPr>
                <w:rFonts w:ascii="Times New Roman" w:hAnsi="Times New Roman" w:cs="Times New Roman"/>
                <w:lang w:val="ro-RO"/>
              </w:rPr>
              <w:t xml:space="preserve"> nu poate acorda credite sau efectua tranzacţii cu persoanele afiliate </w:t>
            </w:r>
            <w:r w:rsidRPr="009E686F">
              <w:rPr>
                <w:rFonts w:ascii="Times New Roman" w:hAnsi="Times New Roman" w:cs="Times New Roman"/>
                <w:i/>
                <w:lang w:val="ro-RO"/>
              </w:rPr>
              <w:t>instituției de credit</w:t>
            </w:r>
            <w:r w:rsidRPr="009E686F">
              <w:rPr>
                <w:rFonts w:ascii="Times New Roman" w:hAnsi="Times New Roman" w:cs="Times New Roman"/>
                <w:lang w:val="ro-RO"/>
              </w:rPr>
              <w:t xml:space="preserve"> definite la art.3 dacă astfel de credite se acordă sau astfel de tranzacţii se efectuează în condiţii mai avantajoase decît cele prevăzute pentru persoanele care nu sînt afiliate </w:t>
            </w:r>
            <w:r w:rsidRPr="009E686F">
              <w:rPr>
                <w:rFonts w:ascii="Times New Roman" w:hAnsi="Times New Roman" w:cs="Times New Roman"/>
                <w:i/>
                <w:lang w:val="ro-RO"/>
              </w:rPr>
              <w:t>instituției de credit</w:t>
            </w:r>
            <w:r w:rsidRPr="009E686F">
              <w:rPr>
                <w:rFonts w:ascii="Times New Roman" w:hAnsi="Times New Roman" w:cs="Times New Roman"/>
                <w:lang w:val="ro-RO"/>
              </w:rPr>
              <w:t>.</w:t>
            </w:r>
          </w:p>
          <w:p w14:paraId="7D7DD74C" w14:textId="77777777" w:rsidR="002F47A0" w:rsidRPr="009E686F" w:rsidRDefault="002F47A0" w:rsidP="002F47A0">
            <w:pPr>
              <w:spacing w:after="0"/>
              <w:jc w:val="both"/>
              <w:rPr>
                <w:rFonts w:ascii="Times New Roman" w:hAnsi="Times New Roman" w:cs="Times New Roman"/>
                <w:color w:val="FF0000"/>
                <w:lang w:val="ro-RO"/>
              </w:rPr>
            </w:pPr>
            <w:r w:rsidRPr="009E686F">
              <w:rPr>
                <w:rFonts w:ascii="Times New Roman" w:hAnsi="Times New Roman" w:cs="Times New Roman"/>
                <w:lang w:val="ro-RO"/>
              </w:rPr>
              <w:t xml:space="preserve">(2) </w:t>
            </w:r>
            <w:r w:rsidRPr="009E686F">
              <w:rPr>
                <w:rFonts w:ascii="Times New Roman" w:hAnsi="Times New Roman" w:cs="Times New Roman"/>
                <w:i/>
                <w:lang w:val="ro-RO"/>
              </w:rPr>
              <w:t>Instituția de credit</w:t>
            </w:r>
            <w:r w:rsidRPr="009E686F">
              <w:rPr>
                <w:rFonts w:ascii="Times New Roman" w:hAnsi="Times New Roman" w:cs="Times New Roman"/>
                <w:lang w:val="ro-RO"/>
              </w:rPr>
              <w:t xml:space="preserve"> este obligată să prezinte Băncii Naţionale a Moldovei, în modul stabilit în actele normative ale acesteia, informaţii cu privire la persoanele afiliate </w:t>
            </w:r>
            <w:r w:rsidRPr="009E686F">
              <w:rPr>
                <w:rFonts w:ascii="Times New Roman" w:hAnsi="Times New Roman" w:cs="Times New Roman"/>
                <w:i/>
                <w:lang w:val="ro-RO"/>
              </w:rPr>
              <w:t>instituției de credit</w:t>
            </w:r>
            <w:r w:rsidRPr="009E686F">
              <w:rPr>
                <w:rFonts w:ascii="Times New Roman" w:hAnsi="Times New Roman" w:cs="Times New Roman"/>
                <w:lang w:val="ro-RO"/>
              </w:rPr>
              <w:t xml:space="preserve">, creditele acordate de </w:t>
            </w:r>
            <w:r w:rsidRPr="009E686F">
              <w:rPr>
                <w:rFonts w:ascii="Times New Roman" w:hAnsi="Times New Roman" w:cs="Times New Roman"/>
                <w:i/>
                <w:lang w:val="ro-RO"/>
              </w:rPr>
              <w:t>instituția de credit</w:t>
            </w:r>
            <w:r w:rsidRPr="009E686F">
              <w:rPr>
                <w:rFonts w:ascii="Times New Roman" w:hAnsi="Times New Roman" w:cs="Times New Roman"/>
                <w:lang w:val="ro-RO"/>
              </w:rPr>
              <w:t xml:space="preserve"> acestora şi tranzacţiile încheiate de </w:t>
            </w:r>
            <w:r w:rsidRPr="009E686F">
              <w:rPr>
                <w:rFonts w:ascii="Times New Roman" w:hAnsi="Times New Roman" w:cs="Times New Roman"/>
                <w:i/>
                <w:lang w:val="ro-RO"/>
              </w:rPr>
              <w:t>instituția de credit</w:t>
            </w:r>
            <w:r w:rsidRPr="009E686F">
              <w:rPr>
                <w:rFonts w:ascii="Times New Roman" w:hAnsi="Times New Roman" w:cs="Times New Roman"/>
                <w:lang w:val="ro-RO"/>
              </w:rPr>
              <w:t xml:space="preserve"> cu acestea. </w:t>
            </w:r>
          </w:p>
          <w:p w14:paraId="5FB96AE1"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 xml:space="preserve">(3) Tranzacţiile </w:t>
            </w:r>
            <w:r w:rsidRPr="009E686F">
              <w:rPr>
                <w:rFonts w:ascii="Times New Roman" w:hAnsi="Times New Roman" w:cs="Times New Roman"/>
                <w:i/>
                <w:lang w:val="ro-RO"/>
              </w:rPr>
              <w:t>instituției de credit</w:t>
            </w:r>
            <w:r w:rsidRPr="009E686F">
              <w:rPr>
                <w:rFonts w:ascii="Times New Roman" w:hAnsi="Times New Roman" w:cs="Times New Roman"/>
                <w:lang w:val="ro-RO"/>
              </w:rPr>
              <w:t xml:space="preserve"> cu persoanele afiliate se supun unor condiţii, limite şi restricţii stabilite de Banca Naţională a Moldovei, care pot să includă cerinţe de formare a unor rezerve adiţionale pentru acoperirea eventualelor pierderi la credite şi alte active aferente tranzacţiilor cu persoanele afiliate.</w:t>
            </w:r>
          </w:p>
          <w:p w14:paraId="674625B5"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 xml:space="preserve">(4) </w:t>
            </w:r>
            <w:r w:rsidRPr="009E686F">
              <w:rPr>
                <w:rFonts w:ascii="Times New Roman" w:hAnsi="Times New Roman" w:cs="Times New Roman"/>
                <w:i/>
                <w:lang w:val="ro-RO"/>
              </w:rPr>
              <w:t>Instituția de credit</w:t>
            </w:r>
            <w:r w:rsidRPr="009E686F">
              <w:rPr>
                <w:rFonts w:ascii="Times New Roman" w:hAnsi="Times New Roman" w:cs="Times New Roman"/>
                <w:lang w:val="ro-RO"/>
              </w:rPr>
              <w:t xml:space="preserve"> nu poate acorda credite niciunui salariat al său, decît în limitele şi condiţiile stabilite de Banca Naţională a Moldovei prin actele sale normative.</w:t>
            </w:r>
          </w:p>
          <w:p w14:paraId="09218725"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 xml:space="preserve">(5) Orice tranzacţie cu o persoană afiliată </w:t>
            </w:r>
            <w:r w:rsidRPr="009E686F">
              <w:rPr>
                <w:rFonts w:ascii="Times New Roman" w:hAnsi="Times New Roman" w:cs="Times New Roman"/>
                <w:i/>
                <w:lang w:val="ro-RO"/>
              </w:rPr>
              <w:t>instituției de credit</w:t>
            </w:r>
            <w:r w:rsidRPr="009E686F">
              <w:rPr>
                <w:rFonts w:ascii="Times New Roman" w:hAnsi="Times New Roman" w:cs="Times New Roman"/>
                <w:lang w:val="ro-RO"/>
              </w:rPr>
              <w:t xml:space="preserve"> trebuie să fie aprobată, înaintea încheierii acesteia, cu votul cel puţin al majorităţii membrilor consiliului </w:t>
            </w:r>
            <w:r w:rsidRPr="009E686F">
              <w:rPr>
                <w:rFonts w:ascii="Times New Roman" w:hAnsi="Times New Roman" w:cs="Times New Roman"/>
                <w:i/>
                <w:lang w:val="ro-RO"/>
              </w:rPr>
              <w:t>instituției de credit</w:t>
            </w:r>
            <w:r w:rsidRPr="009E686F">
              <w:rPr>
                <w:rFonts w:ascii="Times New Roman" w:hAnsi="Times New Roman" w:cs="Times New Roman"/>
                <w:lang w:val="ro-RO"/>
              </w:rPr>
              <w:t>, cu excepţia cazurilor prevăzute în reglementările Băncii Naţionale a Moldovei.</w:t>
            </w:r>
          </w:p>
          <w:p w14:paraId="664A499E"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lastRenderedPageBreak/>
              <w:t xml:space="preserve">(6) În cadrul procesului de supraveghere, Banca Naţională a Moldovei poate prezuma persoanele afiliate </w:t>
            </w:r>
            <w:r w:rsidRPr="009E686F">
              <w:rPr>
                <w:rFonts w:ascii="Times New Roman" w:hAnsi="Times New Roman" w:cs="Times New Roman"/>
                <w:i/>
                <w:lang w:val="ro-RO"/>
              </w:rPr>
              <w:t>instituției de credit</w:t>
            </w:r>
            <w:r w:rsidRPr="009E686F">
              <w:rPr>
                <w:rFonts w:ascii="Times New Roman" w:hAnsi="Times New Roman" w:cs="Times New Roman"/>
                <w:lang w:val="ro-RO"/>
              </w:rPr>
              <w:t xml:space="preserve"> dacă aceste persoane întrunesc una sau mai multe dintre caracteristicile prevăzute în actele normative ale Băncii Naţionale a Moldovei, precum şi ţinînd cont de natura relaţiilor, tranzacţiilor şi existenţa altor relaţii cu </w:t>
            </w:r>
            <w:r w:rsidRPr="009E686F">
              <w:rPr>
                <w:rFonts w:ascii="Times New Roman" w:hAnsi="Times New Roman" w:cs="Times New Roman"/>
                <w:i/>
                <w:lang w:val="ro-RO"/>
              </w:rPr>
              <w:t>instituția de credit</w:t>
            </w:r>
            <w:r w:rsidRPr="009E686F">
              <w:rPr>
                <w:rFonts w:ascii="Times New Roman" w:hAnsi="Times New Roman" w:cs="Times New Roman"/>
                <w:lang w:val="ro-RO"/>
              </w:rPr>
              <w:t xml:space="preserve">. Banca Naţională a Moldovei notifică </w:t>
            </w:r>
            <w:r w:rsidRPr="009E686F">
              <w:rPr>
                <w:rFonts w:ascii="Times New Roman" w:hAnsi="Times New Roman" w:cs="Times New Roman"/>
                <w:i/>
                <w:lang w:val="ro-RO"/>
              </w:rPr>
              <w:t>instituția de credit</w:t>
            </w:r>
            <w:r w:rsidRPr="009E686F">
              <w:rPr>
                <w:rFonts w:ascii="Times New Roman" w:hAnsi="Times New Roman" w:cs="Times New Roman"/>
                <w:lang w:val="ro-RO"/>
              </w:rPr>
              <w:t xml:space="preserve"> cu privire la o asemenea decizie cel tîrziu în următoarea zi lucrătoare.</w:t>
            </w:r>
          </w:p>
          <w:p w14:paraId="4AF70E8F"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 xml:space="preserve">(7) Pînă la proba contrară, care urmează a fi prezentată Băncii Naţionale a Moldovei în termen de 15 zile lucrătoare de la data recepţionării notificării prevăzute la alin.(6), persoanele identificate de Banca Naţională a Moldovei conform alin.(6) se prezumă că sînt persoane afiliate </w:t>
            </w:r>
            <w:r w:rsidRPr="009E686F">
              <w:rPr>
                <w:rFonts w:ascii="Times New Roman" w:hAnsi="Times New Roman" w:cs="Times New Roman"/>
                <w:i/>
                <w:lang w:val="ro-RO"/>
              </w:rPr>
              <w:t>instituției de credit</w:t>
            </w:r>
            <w:r w:rsidRPr="009E686F">
              <w:rPr>
                <w:rFonts w:ascii="Times New Roman" w:hAnsi="Times New Roman" w:cs="Times New Roman"/>
                <w:lang w:val="ro-RO"/>
              </w:rPr>
              <w:t xml:space="preserve"> din data tranzacţiei.</w:t>
            </w:r>
          </w:p>
          <w:p w14:paraId="02F66DD4"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 xml:space="preserve">(8) În sensul prezentului articol, cel puţin următoarele condiţii sînt considerate a fi mai avantajoase decît cele prevăzute pentru persoanele care nu sînt afiliate </w:t>
            </w:r>
            <w:r w:rsidRPr="009E686F">
              <w:rPr>
                <w:rFonts w:ascii="Times New Roman" w:hAnsi="Times New Roman" w:cs="Times New Roman"/>
                <w:i/>
                <w:lang w:val="ro-RO"/>
              </w:rPr>
              <w:t>instituției de credit</w:t>
            </w:r>
            <w:r w:rsidRPr="009E686F">
              <w:rPr>
                <w:rFonts w:ascii="Times New Roman" w:hAnsi="Times New Roman" w:cs="Times New Roman"/>
                <w:lang w:val="ro-RO"/>
              </w:rPr>
              <w:t>:</w:t>
            </w:r>
          </w:p>
          <w:p w14:paraId="42E00461" w14:textId="77777777" w:rsidR="002F47A0" w:rsidRPr="009E686F" w:rsidRDefault="002F47A0" w:rsidP="002F47A0">
            <w:pPr>
              <w:spacing w:after="0"/>
              <w:jc w:val="both"/>
              <w:rPr>
                <w:rFonts w:ascii="Times New Roman" w:hAnsi="Times New Roman" w:cs="Times New Roman"/>
                <w:lang w:val="it-CH"/>
              </w:rPr>
            </w:pPr>
            <w:r w:rsidRPr="009E686F">
              <w:rPr>
                <w:rFonts w:ascii="Times New Roman" w:hAnsi="Times New Roman" w:cs="Times New Roman"/>
                <w:lang w:val="it-CH"/>
              </w:rPr>
              <w:t xml:space="preserve">a) acceptarea unui gaj cu o valoare de piaţă mai mică decît un gaj similar solicitat de la alţi clienţi ai </w:t>
            </w:r>
            <w:r w:rsidRPr="009E686F">
              <w:rPr>
                <w:rFonts w:ascii="Times New Roman" w:hAnsi="Times New Roman" w:cs="Times New Roman"/>
                <w:i/>
                <w:iCs/>
                <w:lang w:val="it-CH"/>
              </w:rPr>
              <w:t>instituției de credit</w:t>
            </w:r>
            <w:r w:rsidRPr="009E686F">
              <w:rPr>
                <w:rFonts w:ascii="Times New Roman" w:hAnsi="Times New Roman" w:cs="Times New Roman"/>
                <w:lang w:val="it-CH"/>
              </w:rPr>
              <w:t>;</w:t>
            </w:r>
          </w:p>
          <w:p w14:paraId="2714D715" w14:textId="77777777" w:rsidR="002F47A0" w:rsidRPr="009E686F" w:rsidRDefault="002F47A0" w:rsidP="002F47A0">
            <w:pPr>
              <w:spacing w:after="0"/>
              <w:jc w:val="both"/>
              <w:rPr>
                <w:rFonts w:ascii="Times New Roman" w:hAnsi="Times New Roman" w:cs="Times New Roman"/>
                <w:lang w:val="it-CH"/>
              </w:rPr>
            </w:pPr>
            <w:r w:rsidRPr="009E686F">
              <w:rPr>
                <w:rFonts w:ascii="Times New Roman" w:hAnsi="Times New Roman" w:cs="Times New Roman"/>
                <w:lang w:val="it-CH"/>
              </w:rPr>
              <w:t>b) procurarea unui bun imobil de o calitate scăzută sau la un preţ mai ridicat decît preţul bunurilor imobile similare pe piaţă;</w:t>
            </w:r>
          </w:p>
          <w:p w14:paraId="658C02F0" w14:textId="77777777" w:rsidR="002F47A0" w:rsidRPr="009E686F" w:rsidRDefault="002F47A0" w:rsidP="002F47A0">
            <w:pPr>
              <w:spacing w:after="0"/>
              <w:jc w:val="both"/>
              <w:rPr>
                <w:rFonts w:ascii="Times New Roman" w:hAnsi="Times New Roman" w:cs="Times New Roman"/>
                <w:lang w:val="it-CH"/>
              </w:rPr>
            </w:pPr>
            <w:r w:rsidRPr="009E686F">
              <w:rPr>
                <w:rFonts w:ascii="Times New Roman" w:hAnsi="Times New Roman" w:cs="Times New Roman"/>
                <w:lang w:val="it-CH"/>
              </w:rPr>
              <w:t xml:space="preserve">c) efectuarea unor investiţii în valorile mobiliare ale persoanei afiliate pe care </w:t>
            </w:r>
            <w:r w:rsidRPr="009E686F">
              <w:rPr>
                <w:rFonts w:ascii="Times New Roman" w:hAnsi="Times New Roman" w:cs="Times New Roman"/>
                <w:i/>
                <w:iCs/>
                <w:lang w:val="it-CH"/>
              </w:rPr>
              <w:t>instituția de credit</w:t>
            </w:r>
            <w:r w:rsidRPr="009E686F">
              <w:rPr>
                <w:rFonts w:ascii="Times New Roman" w:hAnsi="Times New Roman" w:cs="Times New Roman"/>
                <w:lang w:val="it-CH"/>
              </w:rPr>
              <w:t xml:space="preserve"> nu le-ar fi efectuat în cazul altor persoane;</w:t>
            </w:r>
          </w:p>
          <w:p w14:paraId="4759A7E0" w14:textId="77777777" w:rsidR="002F47A0" w:rsidRPr="009E686F" w:rsidRDefault="002F47A0" w:rsidP="002F47A0">
            <w:pPr>
              <w:spacing w:after="0"/>
              <w:jc w:val="both"/>
              <w:rPr>
                <w:rFonts w:ascii="Times New Roman" w:hAnsi="Times New Roman" w:cs="Times New Roman"/>
                <w:lang w:val="it-CH"/>
              </w:rPr>
            </w:pPr>
            <w:r w:rsidRPr="009E686F">
              <w:rPr>
                <w:rFonts w:ascii="Times New Roman" w:hAnsi="Times New Roman" w:cs="Times New Roman"/>
                <w:lang w:val="it-CH"/>
              </w:rPr>
              <w:t>d) achitarea bunurilor sau serviciilor procurate de la o persoană afiliată la un preţ mai ridicat decît preţul pentru bunuri şi servicii similare pe piaţă sau în circumstanţe în care aceleaşi bunuri sau servicii nu ar fi fost procurate de la o altă persoană;</w:t>
            </w:r>
          </w:p>
          <w:p w14:paraId="558A0B6C" w14:textId="77777777" w:rsidR="002F47A0" w:rsidRPr="009E686F" w:rsidRDefault="002F47A0" w:rsidP="002F47A0">
            <w:pPr>
              <w:spacing w:after="0"/>
              <w:jc w:val="both"/>
              <w:rPr>
                <w:rFonts w:ascii="Times New Roman" w:hAnsi="Times New Roman" w:cs="Times New Roman"/>
                <w:lang w:val="it-CH"/>
              </w:rPr>
            </w:pPr>
            <w:r w:rsidRPr="009E686F">
              <w:rPr>
                <w:rFonts w:ascii="Times New Roman" w:hAnsi="Times New Roman" w:cs="Times New Roman"/>
                <w:lang w:val="it-CH"/>
              </w:rPr>
              <w:t xml:space="preserve">e) vînzarea către o persoană afiliată </w:t>
            </w:r>
            <w:r w:rsidRPr="009E686F">
              <w:rPr>
                <w:rFonts w:ascii="Times New Roman" w:hAnsi="Times New Roman" w:cs="Times New Roman"/>
                <w:i/>
                <w:iCs/>
                <w:lang w:val="it-CH"/>
              </w:rPr>
              <w:t>instituției de credit</w:t>
            </w:r>
            <w:r w:rsidRPr="009E686F">
              <w:rPr>
                <w:rFonts w:ascii="Times New Roman" w:hAnsi="Times New Roman" w:cs="Times New Roman"/>
                <w:lang w:val="it-CH"/>
              </w:rPr>
              <w:t xml:space="preserve"> a unui activ la un preţ mai scăzut decît cel care ar fi încasat în cazul vînzării activului către o altă persoană;</w:t>
            </w:r>
          </w:p>
          <w:p w14:paraId="2BE52047" w14:textId="77777777" w:rsidR="002F47A0" w:rsidRPr="009E686F" w:rsidRDefault="002F47A0" w:rsidP="002F47A0">
            <w:pPr>
              <w:spacing w:after="0"/>
              <w:jc w:val="both"/>
              <w:rPr>
                <w:rFonts w:ascii="Times New Roman" w:hAnsi="Times New Roman" w:cs="Times New Roman"/>
                <w:lang w:val="it-CH"/>
              </w:rPr>
            </w:pPr>
            <w:r w:rsidRPr="009E686F">
              <w:rPr>
                <w:rFonts w:ascii="Times New Roman" w:hAnsi="Times New Roman" w:cs="Times New Roman"/>
                <w:lang w:val="it-CH"/>
              </w:rPr>
              <w:lastRenderedPageBreak/>
              <w:t>f) stabilirea unei rate a dobînzii/comisionului mai mic pentru serviciul prestat decît dacă acelaşi serviciu era prestat unei alte persoane în condiţii generale;</w:t>
            </w:r>
          </w:p>
          <w:p w14:paraId="101408CE" w14:textId="77777777" w:rsidR="002F47A0" w:rsidRPr="009E686F" w:rsidRDefault="002F47A0" w:rsidP="002F47A0">
            <w:pPr>
              <w:spacing w:after="0"/>
              <w:jc w:val="both"/>
              <w:rPr>
                <w:rFonts w:ascii="Times New Roman" w:hAnsi="Times New Roman" w:cs="Times New Roman"/>
                <w:lang w:val="it-CH"/>
              </w:rPr>
            </w:pPr>
            <w:r w:rsidRPr="009E686F">
              <w:rPr>
                <w:rFonts w:ascii="Times New Roman" w:hAnsi="Times New Roman" w:cs="Times New Roman"/>
                <w:lang w:val="it-CH"/>
              </w:rPr>
              <w:t>g) stabilirea unei rate a dobînzii mai mari pentru depozitul acceptat decît dacă acelaşi depozit era acceptat de la o altă persoană în condiţii generale.</w:t>
            </w:r>
          </w:p>
          <w:p w14:paraId="6BA28579" w14:textId="77777777" w:rsidR="002F47A0" w:rsidRPr="009E686F" w:rsidRDefault="002F47A0" w:rsidP="002F47A0">
            <w:pPr>
              <w:spacing w:after="0"/>
              <w:jc w:val="both"/>
              <w:rPr>
                <w:rFonts w:ascii="Times New Roman" w:hAnsi="Times New Roman" w:cs="Times New Roman"/>
                <w:lang w:val="it-CH"/>
              </w:rPr>
            </w:pPr>
            <w:r w:rsidRPr="009E686F">
              <w:rPr>
                <w:rFonts w:ascii="Times New Roman" w:hAnsi="Times New Roman" w:cs="Times New Roman"/>
                <w:lang w:val="it-CH"/>
              </w:rPr>
              <w:t> </w:t>
            </w:r>
          </w:p>
          <w:p w14:paraId="54E76D77" w14:textId="77777777" w:rsidR="002F47A0" w:rsidRPr="009E686F" w:rsidRDefault="002F47A0" w:rsidP="002F47A0">
            <w:pPr>
              <w:spacing w:after="0"/>
              <w:jc w:val="both"/>
              <w:rPr>
                <w:rFonts w:ascii="Times New Roman" w:hAnsi="Times New Roman" w:cs="Times New Roman"/>
                <w:lang w:val="it-CH"/>
              </w:rPr>
            </w:pPr>
            <w:r w:rsidRPr="009E686F">
              <w:rPr>
                <w:rFonts w:ascii="Times New Roman" w:hAnsi="Times New Roman" w:cs="Times New Roman"/>
                <w:b/>
                <w:bCs/>
                <w:lang w:val="it-CH"/>
              </w:rPr>
              <w:t>Articolul 81.</w:t>
            </w:r>
            <w:r w:rsidRPr="009E686F">
              <w:rPr>
                <w:rFonts w:ascii="Times New Roman" w:hAnsi="Times New Roman" w:cs="Times New Roman"/>
                <w:lang w:val="it-CH"/>
              </w:rPr>
              <w:t xml:space="preserve"> Interzicerea unor operaţiuni cu persoane afiliate </w:t>
            </w:r>
            <w:r w:rsidRPr="009E686F">
              <w:rPr>
                <w:rFonts w:ascii="Times New Roman" w:hAnsi="Times New Roman" w:cs="Times New Roman"/>
                <w:i/>
                <w:iCs/>
                <w:lang w:val="it-CH"/>
              </w:rPr>
              <w:t>instituției de credit</w:t>
            </w:r>
          </w:p>
          <w:p w14:paraId="4D5F4778" w14:textId="77777777" w:rsidR="002F47A0" w:rsidRPr="009E686F" w:rsidRDefault="002F47A0" w:rsidP="002F47A0">
            <w:pPr>
              <w:spacing w:after="0"/>
              <w:jc w:val="both"/>
              <w:rPr>
                <w:rFonts w:ascii="Times New Roman" w:hAnsi="Times New Roman" w:cs="Times New Roman"/>
                <w:lang w:val="pt-BR"/>
              </w:rPr>
            </w:pPr>
            <w:r w:rsidRPr="009E686F">
              <w:rPr>
                <w:rFonts w:ascii="Times New Roman" w:hAnsi="Times New Roman" w:cs="Times New Roman"/>
                <w:lang w:val="pt-BR"/>
              </w:rPr>
              <w:t xml:space="preserve">(1) </w:t>
            </w:r>
            <w:r w:rsidRPr="009E686F">
              <w:rPr>
                <w:rFonts w:ascii="Times New Roman" w:hAnsi="Times New Roman" w:cs="Times New Roman"/>
                <w:i/>
                <w:lang w:val="pt-BR"/>
              </w:rPr>
              <w:t>Instituțiile de credit</w:t>
            </w:r>
            <w:r w:rsidRPr="009E686F">
              <w:rPr>
                <w:rFonts w:ascii="Times New Roman" w:hAnsi="Times New Roman" w:cs="Times New Roman"/>
                <w:lang w:val="pt-BR"/>
              </w:rPr>
              <w:t xml:space="preserve"> nu pot condiţiona acordarea de credite sau furnizarea altor produse/servicii clienţilor de vînzarea ori cumpărarea instrumentelor financiare emise de </w:t>
            </w:r>
            <w:r w:rsidRPr="009E686F">
              <w:rPr>
                <w:rFonts w:ascii="Times New Roman" w:hAnsi="Times New Roman" w:cs="Times New Roman"/>
                <w:i/>
                <w:lang w:val="pt-BR"/>
              </w:rPr>
              <w:t>instituția de credit</w:t>
            </w:r>
            <w:r w:rsidRPr="009E686F">
              <w:rPr>
                <w:rFonts w:ascii="Times New Roman" w:hAnsi="Times New Roman" w:cs="Times New Roman"/>
                <w:lang w:val="pt-BR"/>
              </w:rPr>
              <w:t xml:space="preserve">  ori de o afiliată a sa, inclusiv de o entitate aparţinînd grupului din care face parte </w:t>
            </w:r>
            <w:r w:rsidRPr="009E686F">
              <w:rPr>
                <w:rFonts w:ascii="Times New Roman" w:hAnsi="Times New Roman" w:cs="Times New Roman"/>
                <w:i/>
                <w:lang w:val="pt-BR"/>
              </w:rPr>
              <w:t>instituția de credit</w:t>
            </w:r>
            <w:r w:rsidRPr="009E686F">
              <w:rPr>
                <w:rFonts w:ascii="Times New Roman" w:hAnsi="Times New Roman" w:cs="Times New Roman"/>
                <w:lang w:val="pt-BR"/>
              </w:rPr>
              <w:t xml:space="preserve">, sau de acceptarea de către client a altor produse/servicii oferite de </w:t>
            </w:r>
            <w:r w:rsidRPr="009E686F">
              <w:rPr>
                <w:rFonts w:ascii="Times New Roman" w:hAnsi="Times New Roman" w:cs="Times New Roman"/>
                <w:i/>
                <w:lang w:val="pt-BR"/>
              </w:rPr>
              <w:t>instituția de credit</w:t>
            </w:r>
            <w:r w:rsidRPr="009E686F">
              <w:rPr>
                <w:rFonts w:ascii="Times New Roman" w:hAnsi="Times New Roman" w:cs="Times New Roman"/>
                <w:lang w:val="pt-BR"/>
              </w:rPr>
              <w:t xml:space="preserve">  ori de o afiliată a sa, inclusiv de o entitate aparţinînd grupului din care face parte </w:t>
            </w:r>
            <w:r w:rsidRPr="009E686F">
              <w:rPr>
                <w:rFonts w:ascii="Times New Roman" w:hAnsi="Times New Roman" w:cs="Times New Roman"/>
                <w:i/>
                <w:lang w:val="pt-BR"/>
              </w:rPr>
              <w:t>instituția de credit</w:t>
            </w:r>
            <w:r w:rsidRPr="009E686F">
              <w:rPr>
                <w:rFonts w:ascii="Times New Roman" w:hAnsi="Times New Roman" w:cs="Times New Roman"/>
                <w:lang w:val="pt-BR"/>
              </w:rPr>
              <w:t>, care nu are legătură cu operaţiunea de creditare sau cu produsul/serviciul solicitat.</w:t>
            </w:r>
          </w:p>
          <w:p w14:paraId="5B45AD3F" w14:textId="77777777" w:rsidR="002F47A0" w:rsidRPr="009E686F" w:rsidRDefault="002F47A0" w:rsidP="002F47A0">
            <w:pPr>
              <w:spacing w:after="0"/>
              <w:jc w:val="both"/>
              <w:rPr>
                <w:rFonts w:ascii="Times New Roman" w:hAnsi="Times New Roman" w:cs="Times New Roman"/>
                <w:lang w:val="pt-BR"/>
              </w:rPr>
            </w:pPr>
            <w:r w:rsidRPr="009E686F">
              <w:rPr>
                <w:rFonts w:ascii="Times New Roman" w:hAnsi="Times New Roman" w:cs="Times New Roman"/>
                <w:lang w:val="pt-BR"/>
              </w:rPr>
              <w:t xml:space="preserve">(2) </w:t>
            </w:r>
            <w:r w:rsidRPr="009E686F">
              <w:rPr>
                <w:rFonts w:ascii="Times New Roman" w:hAnsi="Times New Roman" w:cs="Times New Roman"/>
                <w:i/>
                <w:lang w:val="pt-BR"/>
              </w:rPr>
              <w:t>Instituțiile de credit</w:t>
            </w:r>
            <w:r w:rsidRPr="009E686F">
              <w:rPr>
                <w:rFonts w:ascii="Times New Roman" w:hAnsi="Times New Roman" w:cs="Times New Roman"/>
                <w:lang w:val="pt-BR"/>
              </w:rPr>
              <w:t xml:space="preserve"> nu pot:</w:t>
            </w:r>
          </w:p>
          <w:p w14:paraId="1B141DE2" w14:textId="77777777" w:rsidR="002F47A0" w:rsidRPr="009E686F" w:rsidRDefault="002F47A0" w:rsidP="002F47A0">
            <w:pPr>
              <w:spacing w:after="0"/>
              <w:jc w:val="both"/>
              <w:rPr>
                <w:rFonts w:ascii="Times New Roman" w:hAnsi="Times New Roman" w:cs="Times New Roman"/>
                <w:lang w:val="pt-BR"/>
              </w:rPr>
            </w:pPr>
            <w:r w:rsidRPr="009E686F">
              <w:rPr>
                <w:rFonts w:ascii="Times New Roman" w:hAnsi="Times New Roman" w:cs="Times New Roman"/>
                <w:lang w:val="pt-BR"/>
              </w:rPr>
              <w:t xml:space="preserve">a) acorda unei persoane credite sau facilita finanţări din partea unor terţi către această persoană pentru a o ajuta să-şi achite obligaţiile către afiliata </w:t>
            </w:r>
            <w:r w:rsidRPr="009E686F">
              <w:rPr>
                <w:rFonts w:ascii="Times New Roman" w:hAnsi="Times New Roman" w:cs="Times New Roman"/>
                <w:i/>
                <w:lang w:val="pt-BR"/>
              </w:rPr>
              <w:t>instituției de credit</w:t>
            </w:r>
            <w:r w:rsidRPr="009E686F">
              <w:rPr>
                <w:rFonts w:ascii="Times New Roman" w:hAnsi="Times New Roman" w:cs="Times New Roman"/>
                <w:lang w:val="pt-BR"/>
              </w:rPr>
              <w:t>;</w:t>
            </w:r>
          </w:p>
          <w:p w14:paraId="6DCB3254" w14:textId="77777777" w:rsidR="002F47A0" w:rsidRPr="009E686F" w:rsidRDefault="002F47A0" w:rsidP="002F47A0">
            <w:pPr>
              <w:spacing w:after="0"/>
              <w:jc w:val="both"/>
              <w:rPr>
                <w:rFonts w:ascii="Times New Roman" w:hAnsi="Times New Roman" w:cs="Times New Roman"/>
                <w:lang w:val="pt-BR"/>
              </w:rPr>
            </w:pPr>
            <w:r w:rsidRPr="009E686F">
              <w:rPr>
                <w:rFonts w:ascii="Times New Roman" w:hAnsi="Times New Roman" w:cs="Times New Roman"/>
                <w:lang w:val="pt-BR"/>
              </w:rPr>
              <w:t>b) intermedia subscrierea şi/sau plasamentul instrumentelor financiare ale unei persoane şi nu pot acorda totodată credite acestei persoane ca ea să-şi plătească datoria, dobînda sau dividendele la astfel de instrumente financiare.</w:t>
            </w:r>
          </w:p>
          <w:p w14:paraId="7EB625C8" w14:textId="2756A871" w:rsidR="002F47A0" w:rsidRPr="009E686F" w:rsidRDefault="002F47A0" w:rsidP="002F47A0">
            <w:pPr>
              <w:spacing w:after="0"/>
              <w:jc w:val="both"/>
              <w:rPr>
                <w:rFonts w:ascii="Times New Roman" w:eastAsia="Aptos" w:hAnsi="Times New Roman" w:cs="Times New Roman"/>
                <w:b/>
                <w:bCs/>
                <w:kern w:val="2"/>
                <w:lang w:val="ro-MD"/>
              </w:rPr>
            </w:pPr>
            <w:r w:rsidRPr="009E686F">
              <w:rPr>
                <w:rFonts w:ascii="Times New Roman" w:hAnsi="Times New Roman" w:cs="Times New Roman"/>
                <w:lang w:val="pt-BR"/>
              </w:rPr>
              <w:t xml:space="preserve">(3) Nicio </w:t>
            </w:r>
            <w:r w:rsidRPr="009E686F">
              <w:rPr>
                <w:rFonts w:ascii="Times New Roman" w:hAnsi="Times New Roman" w:cs="Times New Roman"/>
                <w:i/>
                <w:lang w:val="pt-BR"/>
              </w:rPr>
              <w:t>instituție de credit</w:t>
            </w:r>
            <w:r w:rsidRPr="009E686F">
              <w:rPr>
                <w:rFonts w:ascii="Times New Roman" w:hAnsi="Times New Roman" w:cs="Times New Roman"/>
                <w:lang w:val="pt-BR"/>
              </w:rPr>
              <w:t xml:space="preserve">  nu poate acorda credite sau facilita primirea de credite pentru cumpărarea unor instrumente financiare, intermedierea subscrierii şi/sau plasamentului cărora este realizată de către o afiliată a sa.</w:t>
            </w:r>
          </w:p>
        </w:tc>
        <w:tc>
          <w:tcPr>
            <w:tcW w:w="470" w:type="pct"/>
            <w:tcBorders>
              <w:top w:val="single" w:sz="4" w:space="0" w:color="auto"/>
              <w:left w:val="single" w:sz="4" w:space="0" w:color="auto"/>
              <w:bottom w:val="single" w:sz="4" w:space="0" w:color="auto"/>
              <w:right w:val="single" w:sz="4" w:space="0" w:color="auto"/>
            </w:tcBorders>
          </w:tcPr>
          <w:p w14:paraId="724717B3" w14:textId="77777777"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lastRenderedPageBreak/>
              <w:t>Compatibil</w:t>
            </w:r>
          </w:p>
          <w:p w14:paraId="2CD45FAB" w14:textId="77777777" w:rsidR="002F47A0" w:rsidRPr="009E686F" w:rsidRDefault="002F47A0" w:rsidP="002F47A0">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5C821B59" w14:textId="04C5B222" w:rsidR="002F47A0" w:rsidRPr="009E686F" w:rsidRDefault="002F47A0" w:rsidP="00A12862">
            <w:pPr>
              <w:jc w:val="both"/>
              <w:rPr>
                <w:rFonts w:ascii="Times New Roman" w:hAnsi="Times New Roman" w:cs="Times New Roman"/>
                <w:lang w:val="ro-RO"/>
              </w:rPr>
            </w:pPr>
            <w:r w:rsidRPr="009E686F">
              <w:rPr>
                <w:rFonts w:ascii="Times New Roman" w:hAnsi="Times New Roman" w:cs="Times New Roman"/>
                <w:lang w:val="ro-RO"/>
              </w:rPr>
              <w:t>Norme cu specific național de implementare a directivei din Legea nr. 202/2017 care se mențin din cadrul legislativ anterior. Aceste norme au ca scop asigurarea că tranzacțiile încheiate de instituția de credit cu persoanele afiliate sunt supuse unor reguli care permit identificarea, documentarea, aprobarea, monitorizarea și transmiterea către BNM a informațiilor privind aceste tranzacții.</w:t>
            </w:r>
          </w:p>
          <w:p w14:paraId="6A670041" w14:textId="218DB16F" w:rsidR="002F47A0" w:rsidRPr="009E686F" w:rsidRDefault="002F47A0" w:rsidP="00A12862">
            <w:pPr>
              <w:jc w:val="both"/>
              <w:rPr>
                <w:rFonts w:ascii="Times New Roman" w:hAnsi="Times New Roman" w:cs="Times New Roman"/>
                <w:lang w:val="ro-RO"/>
              </w:rPr>
            </w:pPr>
            <w:r w:rsidRPr="009E686F">
              <w:rPr>
                <w:rFonts w:ascii="Times New Roman" w:hAnsi="Times New Roman" w:cs="Times New Roman"/>
                <w:lang w:val="ro-RO"/>
              </w:rPr>
              <w:t>În acest sens, în art. 80 din Legea nr. 202/2017 sunt instituite interdicții, condiții și restricții aferene tranzacțiilor cu persoanele afiliate.</w:t>
            </w:r>
          </w:p>
        </w:tc>
      </w:tr>
      <w:tr w:rsidR="002F47A0" w:rsidRPr="009E686F" w14:paraId="1C441865" w14:textId="77777777" w:rsidTr="00F00FB4">
        <w:trPr>
          <w:trHeight w:val="1531"/>
        </w:trPr>
        <w:tc>
          <w:tcPr>
            <w:tcW w:w="1796" w:type="pct"/>
            <w:gridSpan w:val="2"/>
            <w:vMerge w:val="restart"/>
            <w:tcBorders>
              <w:top w:val="single" w:sz="4" w:space="0" w:color="auto"/>
              <w:left w:val="single" w:sz="4" w:space="0" w:color="auto"/>
              <w:right w:val="single" w:sz="4" w:space="0" w:color="auto"/>
            </w:tcBorders>
          </w:tcPr>
          <w:p w14:paraId="128C67DA"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lastRenderedPageBreak/>
              <w:t xml:space="preserve">În sensul prezentului articol, termenul „parte afiliată” înseamnă: </w:t>
            </w:r>
          </w:p>
          <w:p w14:paraId="4D6EF172" w14:textId="40839232"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(a) soțul/soția, partenerul înregistrat în conformitate cu dreptul intern, copilul sau părintele unui membru al organului de conducere;</w:t>
            </w:r>
          </w:p>
        </w:tc>
        <w:tc>
          <w:tcPr>
            <w:tcW w:w="1928" w:type="pct"/>
            <w:gridSpan w:val="3"/>
            <w:tcBorders>
              <w:top w:val="single" w:sz="4" w:space="0" w:color="auto"/>
              <w:left w:val="single" w:sz="4" w:space="0" w:color="auto"/>
              <w:bottom w:val="single" w:sz="4" w:space="0" w:color="auto"/>
              <w:right w:val="single" w:sz="4" w:space="0" w:color="auto"/>
            </w:tcBorders>
          </w:tcPr>
          <w:p w14:paraId="6EDE0586" w14:textId="77777777" w:rsidR="002F47A0" w:rsidRPr="009E686F" w:rsidRDefault="002F47A0" w:rsidP="002F47A0">
            <w:pPr>
              <w:spacing w:after="0"/>
              <w:jc w:val="both"/>
              <w:rPr>
                <w:rFonts w:ascii="Times New Roman" w:hAnsi="Times New Roman" w:cs="Times New Roman"/>
                <w:bCs/>
                <w:lang w:val="ro-MD"/>
              </w:rPr>
            </w:pPr>
            <w:r w:rsidRPr="009E686F">
              <w:rPr>
                <w:rFonts w:ascii="Times New Roman" w:hAnsi="Times New Roman" w:cs="Times New Roman"/>
                <w:bCs/>
                <w:i/>
                <w:iCs/>
                <w:lang w:val="ro-MD"/>
              </w:rPr>
              <w:t>afiliată a unei alte persoane</w:t>
            </w:r>
            <w:r w:rsidRPr="009E686F">
              <w:rPr>
                <w:rFonts w:ascii="Times New Roman" w:hAnsi="Times New Roman" w:cs="Times New Roman"/>
                <w:bCs/>
                <w:lang w:val="ro-MD"/>
              </w:rPr>
              <w:t xml:space="preserve"> se consideră:</w:t>
            </w:r>
          </w:p>
          <w:p w14:paraId="5686C8BC" w14:textId="1CD0697B" w:rsidR="002F47A0" w:rsidRPr="009E686F" w:rsidRDefault="002F47A0" w:rsidP="002F47A0">
            <w:pPr>
              <w:spacing w:after="0"/>
              <w:jc w:val="both"/>
              <w:rPr>
                <w:rFonts w:ascii="Times New Roman" w:hAnsi="Times New Roman" w:cs="Times New Roman"/>
                <w:bCs/>
                <w:lang w:val="ro-MD"/>
              </w:rPr>
            </w:pPr>
            <w:r w:rsidRPr="009E686F">
              <w:rPr>
                <w:rFonts w:ascii="Times New Roman" w:hAnsi="Times New Roman" w:cs="Times New Roman"/>
                <w:bCs/>
                <w:lang w:val="ro-MD"/>
              </w:rPr>
              <w:t>a) membrii organului de conducere,</w:t>
            </w:r>
            <w:r w:rsidR="00DC6D03" w:rsidRPr="009E686F">
              <w:rPr>
                <w:lang w:val="it-CH"/>
              </w:rPr>
              <w:t xml:space="preserve"> </w:t>
            </w:r>
            <w:r w:rsidR="00DC6D03" w:rsidRPr="009E686F">
              <w:rPr>
                <w:rFonts w:ascii="Times New Roman" w:hAnsi="Times New Roman" w:cs="Times New Roman"/>
                <w:bCs/>
                <w:i/>
                <w:iCs/>
                <w:lang w:val="ro-MD"/>
              </w:rPr>
              <w:t>persoanele care reprezintă conducerea superioară</w:t>
            </w:r>
            <w:r w:rsidRPr="009E686F">
              <w:rPr>
                <w:rFonts w:ascii="Times New Roman" w:hAnsi="Times New Roman" w:cs="Times New Roman"/>
                <w:bCs/>
                <w:lang w:val="ro-MD"/>
              </w:rPr>
              <w:t xml:space="preserve"> iar în cazul </w:t>
            </w:r>
            <w:r w:rsidRPr="009E686F">
              <w:rPr>
                <w:rFonts w:ascii="Times New Roman" w:hAnsi="Times New Roman" w:cs="Times New Roman"/>
                <w:bCs/>
                <w:i/>
                <w:iCs/>
                <w:lang w:val="ro-MD"/>
              </w:rPr>
              <w:t>institu</w:t>
            </w:r>
            <w:r w:rsidRPr="009E686F">
              <w:rPr>
                <w:rFonts w:ascii="Times New Roman" w:hAnsi="Times New Roman" w:cs="Times New Roman"/>
                <w:bCs/>
                <w:i/>
                <w:iCs/>
                <w:lang w:val="ro-RO"/>
              </w:rPr>
              <w:t>ției de credit</w:t>
            </w:r>
            <w:r w:rsidRPr="009E686F">
              <w:rPr>
                <w:rFonts w:ascii="Times New Roman" w:hAnsi="Times New Roman" w:cs="Times New Roman"/>
                <w:bCs/>
                <w:lang w:val="ro-MD"/>
              </w:rPr>
              <w:t>, şi unele categorii de persoane care deţin funcţii-cheie astfel cum este prevăzut în actele normative ale Băncii Naţionale a Moldovei;</w:t>
            </w:r>
          </w:p>
          <w:p w14:paraId="0BCFB33C" w14:textId="7DA0A3E2" w:rsidR="002F47A0" w:rsidRPr="009E686F" w:rsidRDefault="002F47A0" w:rsidP="002F47A0">
            <w:pPr>
              <w:spacing w:after="0"/>
              <w:jc w:val="both"/>
              <w:rPr>
                <w:rFonts w:ascii="Times New Roman" w:hAnsi="Times New Roman" w:cs="Times New Roman"/>
                <w:bCs/>
                <w:lang w:val="ro-MD"/>
              </w:rPr>
            </w:pPr>
            <w:r w:rsidRPr="009E686F">
              <w:rPr>
                <w:rFonts w:ascii="Times New Roman" w:hAnsi="Times New Roman" w:cs="Times New Roman"/>
                <w:bCs/>
                <w:lang w:val="ro-MD"/>
              </w:rPr>
              <w:t xml:space="preserve">b) persoanele juridice şi/sau fizice care, direct sau indirect, individual sau concertat, deţin sau controlează </w:t>
            </w:r>
            <w:r w:rsidRPr="009E686F">
              <w:rPr>
                <w:rFonts w:ascii="Times New Roman" w:hAnsi="Times New Roman" w:cs="Times New Roman"/>
                <w:bCs/>
                <w:i/>
                <w:iCs/>
                <w:lang w:val="ro-MD"/>
              </w:rPr>
              <w:t>10%</w:t>
            </w:r>
            <w:r w:rsidRPr="009E686F">
              <w:rPr>
                <w:rFonts w:ascii="Times New Roman" w:hAnsi="Times New Roman" w:cs="Times New Roman"/>
                <w:bCs/>
                <w:lang w:val="ro-MD"/>
              </w:rPr>
              <w:t xml:space="preserve"> şi mai mult din capitalul </w:t>
            </w:r>
            <w:r w:rsidRPr="009E686F">
              <w:rPr>
                <w:rFonts w:ascii="Times New Roman" w:hAnsi="Times New Roman" w:cs="Times New Roman"/>
                <w:bCs/>
                <w:i/>
                <w:iCs/>
                <w:lang w:val="ro-MD"/>
              </w:rPr>
              <w:t>instituției de credit</w:t>
            </w:r>
            <w:r w:rsidRPr="009E686F">
              <w:rPr>
                <w:rFonts w:ascii="Times New Roman" w:hAnsi="Times New Roman" w:cs="Times New Roman"/>
                <w:bCs/>
                <w:lang w:val="ro-MD"/>
              </w:rPr>
              <w:t xml:space="preserve">, inclusiv beneficiarii </w:t>
            </w:r>
            <w:r w:rsidR="00190937" w:rsidRPr="009E686F">
              <w:rPr>
                <w:rFonts w:ascii="Times New Roman" w:hAnsi="Times New Roman" w:cs="Times New Roman"/>
                <w:lang w:val="ro-MD"/>
              </w:rPr>
              <w:t>reali ai deținerii</w:t>
            </w:r>
            <w:r w:rsidRPr="009E686F">
              <w:rPr>
                <w:rFonts w:ascii="Times New Roman" w:hAnsi="Times New Roman" w:cs="Times New Roman"/>
                <w:bCs/>
                <w:lang w:val="ro-MD"/>
              </w:rPr>
              <w:t xml:space="preserve">. Dacă soţul (soţia) unei astfel de persoane sau o rudă de gradul întîi deţine ori controlează o deţinere în capitalul social al </w:t>
            </w:r>
            <w:r w:rsidRPr="009E686F">
              <w:rPr>
                <w:rFonts w:ascii="Times New Roman" w:hAnsi="Times New Roman" w:cs="Times New Roman"/>
                <w:bCs/>
                <w:i/>
                <w:iCs/>
                <w:lang w:val="ro-MD"/>
              </w:rPr>
              <w:t>instituției de credit</w:t>
            </w:r>
            <w:r w:rsidRPr="009E686F">
              <w:rPr>
                <w:rFonts w:ascii="Times New Roman" w:hAnsi="Times New Roman" w:cs="Times New Roman"/>
                <w:bCs/>
                <w:lang w:val="ro-MD"/>
              </w:rPr>
              <w:t>, indiferent de mărimea acesteia, atunci se consideră că respectiva deţinere este deţinută şi controlată de această persoană;</w:t>
            </w:r>
          </w:p>
          <w:p w14:paraId="3A1BBD98" w14:textId="77777777" w:rsidR="002F47A0" w:rsidRPr="009E686F" w:rsidRDefault="002F47A0" w:rsidP="002F47A0">
            <w:pPr>
              <w:spacing w:after="0"/>
              <w:jc w:val="both"/>
              <w:rPr>
                <w:rFonts w:ascii="Times New Roman" w:hAnsi="Times New Roman" w:cs="Times New Roman"/>
                <w:bCs/>
                <w:lang w:val="ro-MD"/>
              </w:rPr>
            </w:pPr>
            <w:r w:rsidRPr="009E686F">
              <w:rPr>
                <w:rFonts w:ascii="Times New Roman" w:hAnsi="Times New Roman" w:cs="Times New Roman"/>
                <w:bCs/>
                <w:lang w:val="ro-MD"/>
              </w:rPr>
              <w:t>c) orice persoană care controlează persoana sau se află sub controlul persoanei, sau împreună cu persoana se află sub controlul unei alte persoane;</w:t>
            </w:r>
          </w:p>
          <w:p w14:paraId="55453DEB" w14:textId="77777777" w:rsidR="002F47A0" w:rsidRPr="009E686F" w:rsidRDefault="002F47A0" w:rsidP="002F47A0">
            <w:pPr>
              <w:spacing w:after="0"/>
              <w:jc w:val="both"/>
              <w:rPr>
                <w:rFonts w:ascii="Times New Roman" w:hAnsi="Times New Roman" w:cs="Times New Roman"/>
                <w:bCs/>
                <w:lang w:val="ro-MD"/>
              </w:rPr>
            </w:pPr>
            <w:r w:rsidRPr="009E686F">
              <w:rPr>
                <w:rFonts w:ascii="Times New Roman" w:hAnsi="Times New Roman" w:cs="Times New Roman"/>
                <w:bCs/>
                <w:lang w:val="ro-MD"/>
              </w:rPr>
              <w:t>d) orice entitate asociată persoanei sau orice entitate parte în asocieri în participaţie, orice entitate asociată sau orice entitate parte în asocieri în participaţie a unui membru al grupului de persoane care acţionează concertat cu persoana sau entităţile şi persoana – părţi în asocieri în participaţie ale unei alte persoane;</w:t>
            </w:r>
          </w:p>
          <w:p w14:paraId="5C654812" w14:textId="77777777" w:rsidR="002F47A0" w:rsidRPr="009E686F" w:rsidRDefault="002F47A0" w:rsidP="002F47A0">
            <w:pPr>
              <w:spacing w:after="0"/>
              <w:jc w:val="both"/>
              <w:rPr>
                <w:rFonts w:ascii="Times New Roman" w:hAnsi="Times New Roman" w:cs="Times New Roman"/>
                <w:b/>
                <w:lang w:val="ro-MD"/>
              </w:rPr>
            </w:pPr>
            <w:r w:rsidRPr="009E686F">
              <w:rPr>
                <w:rFonts w:ascii="Times New Roman" w:hAnsi="Times New Roman" w:cs="Times New Roman"/>
                <w:b/>
                <w:lang w:val="ro-MD"/>
              </w:rPr>
              <w:t>e) persoanele afiliate persoanelor specificate la lit.a)–d);</w:t>
            </w:r>
          </w:p>
          <w:p w14:paraId="348AC35D" w14:textId="77777777" w:rsidR="002F47A0" w:rsidRPr="009E686F" w:rsidRDefault="002F47A0" w:rsidP="002F47A0">
            <w:pPr>
              <w:spacing w:after="0"/>
              <w:jc w:val="both"/>
              <w:rPr>
                <w:rFonts w:ascii="Times New Roman" w:hAnsi="Times New Roman" w:cs="Times New Roman"/>
                <w:bCs/>
                <w:lang w:val="ro-MD"/>
              </w:rPr>
            </w:pPr>
            <w:r w:rsidRPr="009E686F">
              <w:rPr>
                <w:rFonts w:ascii="Times New Roman" w:hAnsi="Times New Roman" w:cs="Times New Roman"/>
                <w:bCs/>
                <w:lang w:val="ro-MD"/>
              </w:rPr>
              <w:t>f</w:t>
            </w:r>
            <w:r w:rsidRPr="009E686F">
              <w:rPr>
                <w:rFonts w:ascii="Times New Roman" w:hAnsi="Times New Roman" w:cs="Times New Roman"/>
                <w:b/>
                <w:lang w:val="ro-MD"/>
              </w:rPr>
              <w:t>) persoana afiliată persoanei fizice – soţii, rudele şi afinii de gradul întîi şi doi ale persoanei fizice, soţii rudelor şi afinelor menţionaţi, precum şi persoana juridică asupra căreia persoana fizică şi/sau persoanele afiliate acesteia deţin controlul</w:t>
            </w:r>
            <w:r w:rsidRPr="009E686F">
              <w:rPr>
                <w:rFonts w:ascii="Times New Roman" w:hAnsi="Times New Roman" w:cs="Times New Roman"/>
                <w:bCs/>
                <w:lang w:val="ro-MD"/>
              </w:rPr>
              <w:t xml:space="preserve"> sau </w:t>
            </w:r>
            <w:r w:rsidRPr="009E686F">
              <w:rPr>
                <w:rFonts w:ascii="Times New Roman" w:hAnsi="Times New Roman" w:cs="Times New Roman"/>
                <w:b/>
                <w:lang w:val="ro-MD"/>
              </w:rPr>
              <w:t>deţin parte în asocieri în participaţie sau exercită influenţă semnificativă sau sînt membri ai organului de conducere;</w:t>
            </w:r>
          </w:p>
          <w:p w14:paraId="668787EE" w14:textId="77777777" w:rsidR="002F47A0" w:rsidRPr="009E686F" w:rsidRDefault="002F47A0" w:rsidP="002F47A0">
            <w:pPr>
              <w:spacing w:after="0"/>
              <w:jc w:val="both"/>
              <w:rPr>
                <w:rFonts w:ascii="Times New Roman" w:hAnsi="Times New Roman" w:cs="Times New Roman"/>
                <w:bCs/>
              </w:rPr>
            </w:pPr>
            <w:r w:rsidRPr="009E686F">
              <w:rPr>
                <w:rFonts w:ascii="Times New Roman" w:hAnsi="Times New Roman" w:cs="Times New Roman"/>
                <w:bCs/>
              </w:rPr>
              <w:t>[…]</w:t>
            </w:r>
          </w:p>
          <w:p w14:paraId="6ADD0B3F" w14:textId="3D64532D" w:rsidR="002F47A0" w:rsidRPr="009E686F" w:rsidRDefault="002F47A0" w:rsidP="002F47A0">
            <w:pPr>
              <w:spacing w:after="0"/>
              <w:jc w:val="both"/>
              <w:rPr>
                <w:rFonts w:ascii="Times New Roman" w:hAnsi="Times New Roman" w:cs="Times New Roman"/>
                <w:bCs/>
              </w:rPr>
            </w:pPr>
          </w:p>
        </w:tc>
        <w:tc>
          <w:tcPr>
            <w:tcW w:w="470" w:type="pct"/>
            <w:tcBorders>
              <w:top w:val="single" w:sz="4" w:space="0" w:color="auto"/>
              <w:left w:val="single" w:sz="4" w:space="0" w:color="auto"/>
              <w:bottom w:val="single" w:sz="4" w:space="0" w:color="auto"/>
              <w:right w:val="single" w:sz="4" w:space="0" w:color="auto"/>
            </w:tcBorders>
          </w:tcPr>
          <w:p w14:paraId="3D05635A" w14:textId="6E816865"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 xml:space="preserve">Compatibil </w:t>
            </w:r>
          </w:p>
        </w:tc>
        <w:tc>
          <w:tcPr>
            <w:tcW w:w="806" w:type="pct"/>
            <w:tcBorders>
              <w:top w:val="single" w:sz="4" w:space="0" w:color="auto"/>
              <w:left w:val="single" w:sz="4" w:space="0" w:color="auto"/>
              <w:bottom w:val="single" w:sz="4" w:space="0" w:color="auto"/>
              <w:right w:val="single" w:sz="4" w:space="0" w:color="auto"/>
            </w:tcBorders>
          </w:tcPr>
          <w:p w14:paraId="12C14A17" w14:textId="3E1C5788"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Include norme cu specific național care extind categoria de persoane afiliate, fiind incluse și alte categorii de persoane a căror relație cu instituția de credit este susceptibilă să genereze conflicte de interese.</w:t>
            </w:r>
          </w:p>
        </w:tc>
      </w:tr>
      <w:tr w:rsidR="002F47A0" w:rsidRPr="009E686F" w14:paraId="758BBB25" w14:textId="77777777" w:rsidTr="00F00FB4">
        <w:trPr>
          <w:trHeight w:val="598"/>
        </w:trPr>
        <w:tc>
          <w:tcPr>
            <w:tcW w:w="1796" w:type="pct"/>
            <w:gridSpan w:val="2"/>
            <w:vMerge/>
            <w:tcBorders>
              <w:left w:val="single" w:sz="4" w:space="0" w:color="auto"/>
              <w:bottom w:val="single" w:sz="4" w:space="0" w:color="auto"/>
              <w:right w:val="single" w:sz="4" w:space="0" w:color="auto"/>
            </w:tcBorders>
          </w:tcPr>
          <w:p w14:paraId="7B9A6A09" w14:textId="77777777" w:rsidR="002F47A0" w:rsidRPr="009E686F" w:rsidRDefault="002F47A0" w:rsidP="002F47A0">
            <w:pPr>
              <w:spacing w:after="0"/>
              <w:jc w:val="both"/>
              <w:rPr>
                <w:rFonts w:ascii="Times New Roman" w:hAnsi="Times New Roman" w:cs="Times New Roman"/>
                <w:lang w:val="ro-RO"/>
              </w:rPr>
            </w:pPr>
          </w:p>
        </w:tc>
        <w:tc>
          <w:tcPr>
            <w:tcW w:w="1928" w:type="pct"/>
            <w:gridSpan w:val="3"/>
            <w:tcBorders>
              <w:top w:val="single" w:sz="4" w:space="0" w:color="auto"/>
              <w:left w:val="single" w:sz="4" w:space="0" w:color="auto"/>
              <w:bottom w:val="single" w:sz="4" w:space="0" w:color="auto"/>
              <w:right w:val="single" w:sz="4" w:space="0" w:color="auto"/>
            </w:tcBorders>
          </w:tcPr>
          <w:p w14:paraId="6DE2D147" w14:textId="55E560D2" w:rsidR="002F47A0" w:rsidRPr="009E686F" w:rsidRDefault="002F47A0" w:rsidP="002F47A0">
            <w:pPr>
              <w:spacing w:after="0"/>
              <w:jc w:val="both"/>
              <w:rPr>
                <w:rFonts w:ascii="Times New Roman" w:hAnsi="Times New Roman" w:cs="Times New Roman"/>
                <w:bCs/>
                <w:i/>
                <w:iCs/>
                <w:lang w:val="ro-RO"/>
              </w:rPr>
            </w:pPr>
            <w:r w:rsidRPr="009E686F">
              <w:rPr>
                <w:rFonts w:ascii="Times New Roman" w:hAnsi="Times New Roman" w:cs="Times New Roman"/>
                <w:i/>
                <w:iCs/>
                <w:lang w:val="ro-RO"/>
              </w:rPr>
              <w:t>asociere în participaţie</w:t>
            </w:r>
            <w:r w:rsidRPr="009E686F">
              <w:rPr>
                <w:rFonts w:ascii="Times New Roman" w:hAnsi="Times New Roman" w:cs="Times New Roman"/>
                <w:lang w:val="ro-RO"/>
              </w:rPr>
              <w:t xml:space="preserve"> – angajament contractual sau alt angajament similar prin care două sau mai multe persoane desfăşoară o activitate economică supusă controlului comun;</w:t>
            </w:r>
          </w:p>
        </w:tc>
        <w:tc>
          <w:tcPr>
            <w:tcW w:w="470" w:type="pct"/>
            <w:tcBorders>
              <w:top w:val="single" w:sz="4" w:space="0" w:color="auto"/>
              <w:left w:val="single" w:sz="4" w:space="0" w:color="auto"/>
              <w:bottom w:val="single" w:sz="4" w:space="0" w:color="auto"/>
              <w:right w:val="single" w:sz="4" w:space="0" w:color="auto"/>
            </w:tcBorders>
          </w:tcPr>
          <w:p w14:paraId="3183944B" w14:textId="439A26DD"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1FDCD2B2" w14:textId="072785D3"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 xml:space="preserve">Normă de intepretare a termenului folosit ăn cadrul noțiunii de afiliată a unei persoane – specific național. </w:t>
            </w:r>
          </w:p>
        </w:tc>
      </w:tr>
      <w:tr w:rsidR="002F47A0" w:rsidRPr="009E686F" w14:paraId="59D1AC4E" w14:textId="77777777" w:rsidTr="00774F3E">
        <w:trPr>
          <w:trHeight w:val="598"/>
        </w:trPr>
        <w:tc>
          <w:tcPr>
            <w:tcW w:w="1796" w:type="pct"/>
            <w:gridSpan w:val="2"/>
            <w:tcBorders>
              <w:top w:val="single" w:sz="4" w:space="0" w:color="auto"/>
              <w:left w:val="single" w:sz="4" w:space="0" w:color="auto"/>
              <w:bottom w:val="single" w:sz="4" w:space="0" w:color="auto"/>
              <w:right w:val="single" w:sz="4" w:space="0" w:color="auto"/>
            </w:tcBorders>
          </w:tcPr>
          <w:p w14:paraId="5116D16D" w14:textId="14BB203E"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(b) o entitate comercială în care un membru al organului de conducere sau membrul său de familie în sens restrâns, astfel cum este menționat la litera (a), are o deținere calificată de 10 % sau mai mult din capital sau din drepturile de vot, sau în care respectivele persoane pot exercita o influență semnificativă, sau în care persoanele respective dețin poziții aferente conducerii superioare sau sunt membre ale organului de conducere.</w:t>
            </w:r>
          </w:p>
        </w:tc>
        <w:tc>
          <w:tcPr>
            <w:tcW w:w="1928" w:type="pct"/>
            <w:gridSpan w:val="3"/>
            <w:tcBorders>
              <w:top w:val="single" w:sz="4" w:space="0" w:color="auto"/>
              <w:left w:val="single" w:sz="4" w:space="0" w:color="auto"/>
              <w:bottom w:val="single" w:sz="4" w:space="0" w:color="auto"/>
              <w:right w:val="single" w:sz="4" w:space="0" w:color="auto"/>
            </w:tcBorders>
          </w:tcPr>
          <w:p w14:paraId="0B8BAFCE" w14:textId="77777777" w:rsidR="002F47A0" w:rsidRPr="009E686F" w:rsidRDefault="002F47A0" w:rsidP="002F47A0">
            <w:pPr>
              <w:spacing w:after="0"/>
              <w:jc w:val="both"/>
              <w:rPr>
                <w:rFonts w:ascii="Times New Roman" w:hAnsi="Times New Roman" w:cs="Times New Roman"/>
                <w:bCs/>
                <w:lang w:val="ro-MD"/>
              </w:rPr>
            </w:pPr>
            <w:r w:rsidRPr="009E686F">
              <w:rPr>
                <w:rFonts w:ascii="Times New Roman" w:hAnsi="Times New Roman" w:cs="Times New Roman"/>
                <w:bCs/>
                <w:i/>
                <w:iCs/>
                <w:lang w:val="ro-MD"/>
              </w:rPr>
              <w:t>afiliată a unei alte persoane</w:t>
            </w:r>
            <w:r w:rsidRPr="009E686F">
              <w:rPr>
                <w:rFonts w:ascii="Times New Roman" w:hAnsi="Times New Roman" w:cs="Times New Roman"/>
                <w:bCs/>
                <w:lang w:val="ro-MD"/>
              </w:rPr>
              <w:t xml:space="preserve"> se consideră:</w:t>
            </w:r>
          </w:p>
          <w:p w14:paraId="3C24935D" w14:textId="16BC13CF" w:rsidR="002F47A0" w:rsidRPr="009E686F" w:rsidRDefault="002F47A0" w:rsidP="002F47A0">
            <w:pPr>
              <w:spacing w:after="0"/>
              <w:jc w:val="both"/>
              <w:rPr>
                <w:rFonts w:ascii="Times New Roman" w:hAnsi="Times New Roman" w:cs="Times New Roman"/>
                <w:bCs/>
                <w:lang w:val="ro-RO"/>
              </w:rPr>
            </w:pPr>
            <w:r w:rsidRPr="009E686F">
              <w:rPr>
                <w:rFonts w:ascii="Times New Roman" w:hAnsi="Times New Roman" w:cs="Times New Roman"/>
                <w:bCs/>
                <w:lang w:val="ro-RO"/>
              </w:rPr>
              <w:t xml:space="preserve">b) persoanele juridice şi/sau fizice care, direct sau indirect, individual sau concertat, deţin sau controlează </w:t>
            </w:r>
            <w:r w:rsidRPr="009E686F">
              <w:rPr>
                <w:rFonts w:ascii="Times New Roman" w:hAnsi="Times New Roman" w:cs="Times New Roman"/>
                <w:bCs/>
                <w:i/>
                <w:iCs/>
                <w:lang w:val="ro-RO"/>
              </w:rPr>
              <w:t>10%</w:t>
            </w:r>
            <w:r w:rsidRPr="009E686F">
              <w:rPr>
                <w:rFonts w:ascii="Times New Roman" w:hAnsi="Times New Roman" w:cs="Times New Roman"/>
                <w:bCs/>
                <w:lang w:val="ro-RO"/>
              </w:rPr>
              <w:t xml:space="preserve"> şi mai mult din capitalul băncii, inclusiv beneficiarii </w:t>
            </w:r>
            <w:r w:rsidR="00190937" w:rsidRPr="009E686F">
              <w:rPr>
                <w:rFonts w:ascii="Times New Roman" w:hAnsi="Times New Roman" w:cs="Times New Roman"/>
                <w:lang w:val="ro-MD"/>
              </w:rPr>
              <w:t>reali ai deținerii</w:t>
            </w:r>
            <w:r w:rsidRPr="009E686F">
              <w:rPr>
                <w:rFonts w:ascii="Times New Roman" w:hAnsi="Times New Roman" w:cs="Times New Roman"/>
                <w:bCs/>
                <w:lang w:val="ro-RO"/>
              </w:rPr>
              <w:t>. Dacă soţul (soţia) unei astfel de persoane sau o rudă de gradul întîi deţine ori controlează o deţinere în capitalul social al băncii, indiferent de mărimea acesteia, atunci se consideră că respectiva deţinere este deţinută şi controlată de această persoană;</w:t>
            </w:r>
          </w:p>
          <w:p w14:paraId="3BA9A035" w14:textId="6604B195" w:rsidR="002F47A0" w:rsidRPr="009E686F" w:rsidRDefault="002F47A0" w:rsidP="002F47A0">
            <w:pPr>
              <w:spacing w:after="0"/>
              <w:jc w:val="both"/>
              <w:rPr>
                <w:rFonts w:ascii="Times New Roman" w:hAnsi="Times New Roman" w:cs="Times New Roman"/>
                <w:bCs/>
                <w:lang w:val="ro-MD"/>
              </w:rPr>
            </w:pPr>
            <w:r w:rsidRPr="009E686F">
              <w:rPr>
                <w:rFonts w:ascii="Times New Roman" w:hAnsi="Times New Roman" w:cs="Times New Roman"/>
                <w:bCs/>
                <w:lang w:val="ro-MD"/>
              </w:rPr>
              <w:t>e) persoanele afiliate persoanelor specificate la lit.a)–d);</w:t>
            </w:r>
          </w:p>
        </w:tc>
        <w:tc>
          <w:tcPr>
            <w:tcW w:w="470" w:type="pct"/>
            <w:tcBorders>
              <w:top w:val="single" w:sz="4" w:space="0" w:color="auto"/>
              <w:left w:val="single" w:sz="4" w:space="0" w:color="auto"/>
              <w:bottom w:val="single" w:sz="4" w:space="0" w:color="auto"/>
              <w:right w:val="single" w:sz="4" w:space="0" w:color="auto"/>
            </w:tcBorders>
          </w:tcPr>
          <w:p w14:paraId="7573EF96" w14:textId="1D9A6153"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 xml:space="preserve">Compatibil </w:t>
            </w:r>
          </w:p>
        </w:tc>
        <w:tc>
          <w:tcPr>
            <w:tcW w:w="806" w:type="pct"/>
            <w:tcBorders>
              <w:top w:val="single" w:sz="4" w:space="0" w:color="auto"/>
              <w:left w:val="single" w:sz="4" w:space="0" w:color="auto"/>
              <w:bottom w:val="single" w:sz="4" w:space="0" w:color="auto"/>
              <w:right w:val="single" w:sz="4" w:space="0" w:color="auto"/>
            </w:tcBorders>
          </w:tcPr>
          <w:p w14:paraId="7BBB41A1" w14:textId="4E5F156B" w:rsidR="002F47A0" w:rsidRPr="009E686F" w:rsidRDefault="00060B4D" w:rsidP="002F47A0">
            <w:pPr>
              <w:jc w:val="both"/>
              <w:rPr>
                <w:rFonts w:ascii="Times New Roman" w:hAnsi="Times New Roman" w:cs="Times New Roman"/>
                <w:lang w:val="ro-RO"/>
              </w:rPr>
            </w:pPr>
            <w:r w:rsidRPr="009E686F">
              <w:rPr>
                <w:rFonts w:ascii="Times New Roman" w:hAnsi="Times New Roman" w:cs="Times New Roman"/>
                <w:lang w:val="it-CH"/>
              </w:rPr>
              <w:t>Modificările aferente pragului de 10% a deținerii calificate intră în vigoare la data aderării.</w:t>
            </w:r>
          </w:p>
        </w:tc>
      </w:tr>
      <w:tr w:rsidR="002F47A0" w:rsidRPr="009E686F" w14:paraId="60FC03DB" w14:textId="5B8CC023" w:rsidTr="00B305D2">
        <w:tc>
          <w:tcPr>
            <w:tcW w:w="1796" w:type="pct"/>
            <w:gridSpan w:val="2"/>
            <w:vMerge w:val="restart"/>
            <w:tcBorders>
              <w:top w:val="single" w:sz="4" w:space="0" w:color="auto"/>
              <w:left w:val="single" w:sz="4" w:space="0" w:color="auto"/>
              <w:right w:val="single" w:sz="4" w:space="0" w:color="auto"/>
            </w:tcBorders>
          </w:tcPr>
          <w:p w14:paraId="1D96884A" w14:textId="67983D9F"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(2) Statele membre se asigură că instituțiile care sunt semnificative din punctul de vedere al dimensiunii și al organizării interne, precum și al naturii, amplorii și complexității activităților lor înființează un comitet de numire compus din membri ai organului de conducere care nu îndeplinesc nicio funcție executivă în instituția respectivă.</w:t>
            </w:r>
          </w:p>
        </w:tc>
        <w:tc>
          <w:tcPr>
            <w:tcW w:w="1928" w:type="pct"/>
            <w:gridSpan w:val="3"/>
            <w:tcBorders>
              <w:top w:val="single" w:sz="4" w:space="0" w:color="auto"/>
              <w:left w:val="single" w:sz="4" w:space="0" w:color="auto"/>
              <w:bottom w:val="single" w:sz="4" w:space="0" w:color="auto"/>
              <w:right w:val="single" w:sz="4" w:space="0" w:color="auto"/>
            </w:tcBorders>
          </w:tcPr>
          <w:p w14:paraId="651B69A3" w14:textId="77777777" w:rsidR="002F47A0" w:rsidRPr="009E686F" w:rsidRDefault="002F47A0" w:rsidP="002F47A0">
            <w:pPr>
              <w:spacing w:after="0"/>
              <w:jc w:val="both"/>
              <w:rPr>
                <w:rFonts w:ascii="Times New Roman" w:hAnsi="Times New Roman" w:cs="Times New Roman"/>
                <w:b/>
                <w:bCs/>
                <w:lang w:val="ro-RO"/>
              </w:rPr>
            </w:pPr>
            <w:r w:rsidRPr="009E686F">
              <w:rPr>
                <w:rFonts w:ascii="Times New Roman" w:hAnsi="Times New Roman" w:cs="Times New Roman"/>
                <w:b/>
                <w:bCs/>
                <w:lang w:val="ro-RO"/>
              </w:rPr>
              <w:t>Articolul 44 alin. (2)-(3)</w:t>
            </w:r>
          </w:p>
          <w:p w14:paraId="5302C62F" w14:textId="44A8658F"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 xml:space="preserve">(2) În </w:t>
            </w:r>
            <w:r w:rsidRPr="009E686F">
              <w:rPr>
                <w:rFonts w:ascii="Times New Roman" w:hAnsi="Times New Roman" w:cs="Times New Roman"/>
                <w:i/>
                <w:iCs/>
                <w:lang w:val="ro-RO"/>
              </w:rPr>
              <w:t>instituțiile de credit</w:t>
            </w:r>
            <w:r w:rsidRPr="009E686F">
              <w:rPr>
                <w:rFonts w:ascii="Times New Roman" w:hAnsi="Times New Roman" w:cs="Times New Roman"/>
                <w:lang w:val="ro-RO"/>
              </w:rPr>
              <w:t xml:space="preserve"> semnificative din punctul de vedere al dimensiunii, organizării interne şi naturii, extinderii </w:t>
            </w:r>
            <w:r w:rsidRPr="009E686F">
              <w:rPr>
                <w:rFonts w:ascii="Times New Roman" w:hAnsi="Times New Roman" w:cs="Times New Roman"/>
                <w:i/>
                <w:iCs/>
                <w:lang w:val="ro-RO"/>
              </w:rPr>
              <w:t>amplorii</w:t>
            </w:r>
            <w:r w:rsidRPr="009E686F">
              <w:rPr>
                <w:rFonts w:ascii="Times New Roman" w:hAnsi="Times New Roman" w:cs="Times New Roman"/>
                <w:lang w:val="ro-RO"/>
              </w:rPr>
              <w:t xml:space="preserve"> şi complexităţii activităţilor acestora, consiliul </w:t>
            </w:r>
            <w:r w:rsidRPr="009E686F">
              <w:rPr>
                <w:rFonts w:ascii="Times New Roman" w:hAnsi="Times New Roman" w:cs="Times New Roman"/>
                <w:i/>
                <w:iCs/>
                <w:lang w:val="ro-RO"/>
              </w:rPr>
              <w:t>instituției de credit</w:t>
            </w:r>
            <w:r w:rsidRPr="009E686F">
              <w:rPr>
                <w:rFonts w:ascii="Times New Roman" w:hAnsi="Times New Roman" w:cs="Times New Roman"/>
                <w:lang w:val="ro-RO"/>
              </w:rPr>
              <w:t xml:space="preserve">, suplimentar la comitetele prevăzute la alin.(1), înfiinţează </w:t>
            </w:r>
            <w:r w:rsidRPr="009E686F">
              <w:rPr>
                <w:rFonts w:ascii="Times New Roman" w:hAnsi="Times New Roman" w:cs="Times New Roman"/>
                <w:b/>
                <w:bCs/>
                <w:lang w:val="ro-RO"/>
              </w:rPr>
              <w:t>comitetul de numire</w:t>
            </w:r>
            <w:r w:rsidRPr="009E686F">
              <w:rPr>
                <w:rFonts w:ascii="Times New Roman" w:hAnsi="Times New Roman" w:cs="Times New Roman"/>
                <w:lang w:val="ro-RO"/>
              </w:rPr>
              <w:t xml:space="preserve"> şi comitetul de remunerare.</w:t>
            </w:r>
          </w:p>
          <w:p w14:paraId="610D1838" w14:textId="3345FAC4" w:rsidR="002F47A0" w:rsidRPr="009E686F" w:rsidRDefault="002F47A0" w:rsidP="002F47A0">
            <w:pPr>
              <w:spacing w:after="0"/>
              <w:jc w:val="both"/>
              <w:rPr>
                <w:rFonts w:ascii="Times New Roman" w:hAnsi="Times New Roman" w:cs="Times New Roman"/>
                <w:lang w:val="it-CH"/>
              </w:rPr>
            </w:pPr>
            <w:r w:rsidRPr="009E686F">
              <w:rPr>
                <w:rFonts w:ascii="Times New Roman" w:hAnsi="Times New Roman" w:cs="Times New Roman"/>
                <w:lang w:val="ro-RO"/>
              </w:rPr>
              <w:t xml:space="preserve">(3)  </w:t>
            </w:r>
            <w:r w:rsidRPr="009E686F">
              <w:rPr>
                <w:rFonts w:ascii="Times New Roman" w:hAnsi="Times New Roman" w:cs="Times New Roman"/>
                <w:lang w:val="it-CH"/>
              </w:rPr>
              <w:t xml:space="preserve">Comitetele specializate menţionate la alin.(1) şi (2) trebuie să fie formate exclusiv din membri ai consiliului </w:t>
            </w:r>
            <w:r w:rsidRPr="009E686F">
              <w:rPr>
                <w:rFonts w:ascii="Times New Roman" w:hAnsi="Times New Roman" w:cs="Times New Roman"/>
                <w:i/>
                <w:iCs/>
                <w:lang w:val="it-CH"/>
              </w:rPr>
              <w:t>instituției de credit</w:t>
            </w:r>
            <w:r w:rsidRPr="009E686F">
              <w:rPr>
                <w:rFonts w:ascii="Times New Roman" w:hAnsi="Times New Roman" w:cs="Times New Roman"/>
                <w:lang w:val="it-CH"/>
              </w:rPr>
              <w:t xml:space="preserve"> şi cel puţin 1/3 din membrii acestora trebuie să fie independenţi conform art.41 alin.(5). Comitetele specializate prevăzute la prezentul articol raportează direct consiliului </w:t>
            </w:r>
            <w:r w:rsidRPr="009E686F">
              <w:rPr>
                <w:rFonts w:ascii="Times New Roman" w:hAnsi="Times New Roman" w:cs="Times New Roman"/>
                <w:i/>
                <w:iCs/>
                <w:lang w:val="it-CH"/>
              </w:rPr>
              <w:t>instituției de credit</w:t>
            </w:r>
            <w:r w:rsidRPr="009E686F">
              <w:rPr>
                <w:rFonts w:ascii="Times New Roman" w:hAnsi="Times New Roman" w:cs="Times New Roman"/>
                <w:lang w:val="it-CH"/>
              </w:rPr>
              <w:t>.</w:t>
            </w:r>
          </w:p>
        </w:tc>
        <w:tc>
          <w:tcPr>
            <w:tcW w:w="470" w:type="pct"/>
            <w:tcBorders>
              <w:top w:val="single" w:sz="4" w:space="0" w:color="auto"/>
              <w:left w:val="single" w:sz="4" w:space="0" w:color="auto"/>
              <w:bottom w:val="single" w:sz="4" w:space="0" w:color="auto"/>
              <w:right w:val="single" w:sz="4" w:space="0" w:color="auto"/>
            </w:tcBorders>
          </w:tcPr>
          <w:p w14:paraId="1048B102" w14:textId="77777777"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p w14:paraId="4E670372" w14:textId="77777777" w:rsidR="002F47A0" w:rsidRPr="009E686F" w:rsidRDefault="002F47A0" w:rsidP="002F47A0">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371CC37D" w14:textId="77777777" w:rsidR="002F47A0" w:rsidRPr="009E686F" w:rsidRDefault="002F47A0" w:rsidP="002F47A0">
            <w:pPr>
              <w:jc w:val="both"/>
              <w:rPr>
                <w:rFonts w:ascii="Times New Roman" w:hAnsi="Times New Roman" w:cs="Times New Roman"/>
                <w:lang w:val="ro-RO"/>
              </w:rPr>
            </w:pPr>
          </w:p>
        </w:tc>
      </w:tr>
      <w:tr w:rsidR="002F47A0" w:rsidRPr="009E686F" w14:paraId="1F3CACDD" w14:textId="77777777" w:rsidTr="00B305D2">
        <w:tc>
          <w:tcPr>
            <w:tcW w:w="1796" w:type="pct"/>
            <w:gridSpan w:val="2"/>
            <w:vMerge/>
            <w:tcBorders>
              <w:left w:val="single" w:sz="4" w:space="0" w:color="auto"/>
              <w:bottom w:val="single" w:sz="4" w:space="0" w:color="auto"/>
              <w:right w:val="single" w:sz="4" w:space="0" w:color="auto"/>
            </w:tcBorders>
          </w:tcPr>
          <w:p w14:paraId="5B610E46" w14:textId="77777777" w:rsidR="002F47A0" w:rsidRPr="009E686F" w:rsidRDefault="002F47A0" w:rsidP="002F47A0">
            <w:pPr>
              <w:spacing w:after="0"/>
              <w:jc w:val="both"/>
              <w:rPr>
                <w:rFonts w:ascii="Times New Roman" w:hAnsi="Times New Roman" w:cs="Times New Roman"/>
                <w:lang w:val="ro-RO"/>
              </w:rPr>
            </w:pPr>
          </w:p>
        </w:tc>
        <w:tc>
          <w:tcPr>
            <w:tcW w:w="1928" w:type="pct"/>
            <w:gridSpan w:val="3"/>
            <w:tcBorders>
              <w:top w:val="single" w:sz="4" w:space="0" w:color="auto"/>
              <w:left w:val="single" w:sz="4" w:space="0" w:color="auto"/>
              <w:bottom w:val="single" w:sz="4" w:space="0" w:color="auto"/>
              <w:right w:val="single" w:sz="4" w:space="0" w:color="auto"/>
            </w:tcBorders>
          </w:tcPr>
          <w:p w14:paraId="113499A9" w14:textId="77777777" w:rsidR="002F47A0" w:rsidRPr="009E686F" w:rsidRDefault="002F47A0" w:rsidP="002F47A0">
            <w:pPr>
              <w:spacing w:after="0" w:line="278" w:lineRule="auto"/>
              <w:jc w:val="both"/>
              <w:rPr>
                <w:rFonts w:ascii="Times New Roman" w:hAnsi="Times New Roman" w:cs="Times New Roman"/>
                <w:b/>
                <w:lang w:val="ro-RO"/>
              </w:rPr>
            </w:pPr>
            <w:r w:rsidRPr="009E686F">
              <w:rPr>
                <w:rFonts w:ascii="Times New Roman" w:hAnsi="Times New Roman" w:cs="Times New Roman"/>
                <w:b/>
                <w:lang w:val="ro-RO"/>
              </w:rPr>
              <w:t>Art. 41 alin. (3) lit. h)</w:t>
            </w:r>
          </w:p>
          <w:p w14:paraId="29F7A22A" w14:textId="0D9D800E" w:rsidR="002F47A0" w:rsidRPr="009E686F" w:rsidRDefault="002F47A0" w:rsidP="002F47A0">
            <w:pPr>
              <w:spacing w:after="0" w:line="278" w:lineRule="auto"/>
              <w:jc w:val="both"/>
              <w:rPr>
                <w:rFonts w:ascii="Times New Roman" w:hAnsi="Times New Roman" w:cs="Times New Roman"/>
                <w:lang w:val="ro-RO"/>
              </w:rPr>
            </w:pPr>
            <w:r w:rsidRPr="009E686F">
              <w:rPr>
                <w:rFonts w:ascii="Times New Roman" w:hAnsi="Times New Roman" w:cs="Times New Roman"/>
                <w:lang w:val="ro-RO"/>
              </w:rPr>
              <w:t xml:space="preserve">(3) Consiliul </w:t>
            </w:r>
            <w:r w:rsidRPr="009E686F">
              <w:rPr>
                <w:rFonts w:ascii="Times New Roman" w:hAnsi="Times New Roman" w:cs="Times New Roman"/>
                <w:i/>
                <w:lang w:val="ro-RO"/>
              </w:rPr>
              <w:t>instituției de credit</w:t>
            </w:r>
            <w:r w:rsidRPr="009E686F">
              <w:rPr>
                <w:rFonts w:ascii="Times New Roman" w:hAnsi="Times New Roman" w:cs="Times New Roman"/>
                <w:lang w:val="ro-RO"/>
              </w:rPr>
              <w:t xml:space="preserve"> are următoarele atribuţii principale:</w:t>
            </w:r>
          </w:p>
          <w:p w14:paraId="356D75BD" w14:textId="1C1500D3" w:rsidR="002F47A0" w:rsidRPr="009E686F" w:rsidRDefault="002F47A0" w:rsidP="002F47A0">
            <w:pPr>
              <w:spacing w:after="0"/>
              <w:jc w:val="both"/>
              <w:rPr>
                <w:rFonts w:ascii="Times New Roman" w:hAnsi="Times New Roman" w:cs="Times New Roman"/>
                <w:b/>
                <w:lang w:val="ro-RO"/>
              </w:rPr>
            </w:pPr>
            <w:r w:rsidRPr="009E686F">
              <w:rPr>
                <w:rFonts w:ascii="Times New Roman" w:hAnsi="Times New Roman" w:cs="Times New Roman"/>
                <w:lang w:val="ro-RO"/>
              </w:rPr>
              <w:t xml:space="preserve">h) decide cu privire la stabilirea unor comitete specializate prevăzute la art.44, inclusiv numirea membrilor consiliului în </w:t>
            </w:r>
            <w:r w:rsidRPr="009E686F">
              <w:rPr>
                <w:rFonts w:ascii="Times New Roman" w:hAnsi="Times New Roman" w:cs="Times New Roman"/>
                <w:lang w:val="ro-RO"/>
              </w:rPr>
              <w:lastRenderedPageBreak/>
              <w:t>componenţa acestora, funcţionarea şi atribuţiile cărora sînt prevăzute de prezenta lege şi actele normative ale Băncii Naţionale a Moldovei;</w:t>
            </w:r>
          </w:p>
        </w:tc>
        <w:tc>
          <w:tcPr>
            <w:tcW w:w="470" w:type="pct"/>
            <w:tcBorders>
              <w:top w:val="single" w:sz="4" w:space="0" w:color="auto"/>
              <w:left w:val="single" w:sz="4" w:space="0" w:color="auto"/>
              <w:bottom w:val="single" w:sz="4" w:space="0" w:color="auto"/>
              <w:right w:val="single" w:sz="4" w:space="0" w:color="auto"/>
            </w:tcBorders>
          </w:tcPr>
          <w:p w14:paraId="434A9320" w14:textId="2AD4D606"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1EFB06B2" w14:textId="6F432B44"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Norme specifice de implementare.</w:t>
            </w:r>
          </w:p>
        </w:tc>
      </w:tr>
      <w:tr w:rsidR="002F47A0" w:rsidRPr="009E686F" w14:paraId="12B16FA7" w14:textId="2E53510F" w:rsidTr="00774F3E">
        <w:tc>
          <w:tcPr>
            <w:tcW w:w="1796" w:type="pct"/>
            <w:gridSpan w:val="2"/>
            <w:tcBorders>
              <w:top w:val="single" w:sz="4" w:space="0" w:color="auto"/>
              <w:left w:val="single" w:sz="4" w:space="0" w:color="auto"/>
              <w:bottom w:val="single" w:sz="4" w:space="0" w:color="auto"/>
              <w:right w:val="single" w:sz="4" w:space="0" w:color="auto"/>
            </w:tcBorders>
          </w:tcPr>
          <w:p w14:paraId="120FD4A1"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Comitetul de numire îndeplinește următoarele sarcini:</w:t>
            </w:r>
          </w:p>
          <w:p w14:paraId="0EDC0F94"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 xml:space="preserve">(a) identifică și recomandă candidați pentru ocuparea pozițiilor libere în cadrul organului de conducere, spre aprobare de către organul de conducere sau de către adunarea generală, evaluează echilibrul de cunoștințe, competențe, diversitate și experiență în cadrul organului de conducere și pregătește o descriere a rolurilor și a capacităților în vederea numirii într-o anumită poziție și evaluează așteptările în ceea ce privește timpul alocat în acest sens; </w:t>
            </w:r>
          </w:p>
          <w:p w14:paraId="7A0B30A0" w14:textId="77777777" w:rsidR="002F47A0" w:rsidRPr="009E686F" w:rsidRDefault="002F47A0" w:rsidP="002F47A0">
            <w:pPr>
              <w:spacing w:after="0"/>
              <w:jc w:val="both"/>
              <w:rPr>
                <w:rFonts w:ascii="Times New Roman" w:hAnsi="Times New Roman" w:cs="Times New Roman"/>
                <w:lang w:val="ro-RO"/>
              </w:rPr>
            </w:pPr>
          </w:p>
          <w:p w14:paraId="16F1512C" w14:textId="77777777" w:rsidR="002F47A0" w:rsidRPr="009E686F" w:rsidRDefault="002F47A0" w:rsidP="002F47A0">
            <w:pPr>
              <w:spacing w:after="0"/>
              <w:jc w:val="both"/>
              <w:rPr>
                <w:rFonts w:ascii="Times New Roman" w:hAnsi="Times New Roman" w:cs="Times New Roman"/>
                <w:lang w:val="ro-RO"/>
              </w:rPr>
            </w:pPr>
          </w:p>
          <w:p w14:paraId="6BDB5DC4" w14:textId="77777777" w:rsidR="002F47A0" w:rsidRPr="009E686F" w:rsidRDefault="002F47A0" w:rsidP="002F47A0">
            <w:pPr>
              <w:spacing w:after="0"/>
              <w:jc w:val="both"/>
              <w:rPr>
                <w:rFonts w:ascii="Times New Roman" w:hAnsi="Times New Roman" w:cs="Times New Roman"/>
                <w:lang w:val="ro-RO"/>
              </w:rPr>
            </w:pPr>
          </w:p>
          <w:p w14:paraId="4812DFE1" w14:textId="77777777" w:rsidR="002F47A0" w:rsidRPr="009E686F" w:rsidRDefault="002F47A0" w:rsidP="002F47A0">
            <w:pPr>
              <w:spacing w:after="0"/>
              <w:jc w:val="both"/>
              <w:rPr>
                <w:rFonts w:ascii="Times New Roman" w:hAnsi="Times New Roman" w:cs="Times New Roman"/>
                <w:lang w:val="ro-RO"/>
              </w:rPr>
            </w:pPr>
          </w:p>
          <w:p w14:paraId="48E87BE1" w14:textId="77777777" w:rsidR="002F47A0" w:rsidRPr="009E686F" w:rsidRDefault="002F47A0" w:rsidP="002F47A0">
            <w:pPr>
              <w:spacing w:after="0"/>
              <w:jc w:val="both"/>
              <w:rPr>
                <w:rFonts w:ascii="Times New Roman" w:hAnsi="Times New Roman" w:cs="Times New Roman"/>
                <w:lang w:val="ro-RO"/>
              </w:rPr>
            </w:pPr>
          </w:p>
          <w:p w14:paraId="0C978C2C" w14:textId="77777777" w:rsidR="002F47A0" w:rsidRPr="009E686F" w:rsidRDefault="002F47A0" w:rsidP="002F47A0">
            <w:pPr>
              <w:spacing w:after="0"/>
              <w:jc w:val="both"/>
              <w:rPr>
                <w:rFonts w:ascii="Times New Roman" w:hAnsi="Times New Roman" w:cs="Times New Roman"/>
                <w:lang w:val="ro-RO"/>
              </w:rPr>
            </w:pPr>
          </w:p>
          <w:p w14:paraId="33053669" w14:textId="4E5A9819" w:rsidR="002F47A0" w:rsidRPr="009E686F" w:rsidRDefault="002F47A0" w:rsidP="002F47A0">
            <w:pPr>
              <w:spacing w:after="0"/>
              <w:jc w:val="both"/>
              <w:rPr>
                <w:rFonts w:ascii="Times New Roman" w:hAnsi="Times New Roman" w:cs="Times New Roman"/>
                <w:lang w:val="ro-RO"/>
              </w:rPr>
            </w:pPr>
          </w:p>
        </w:tc>
        <w:tc>
          <w:tcPr>
            <w:tcW w:w="1928" w:type="pct"/>
            <w:gridSpan w:val="3"/>
            <w:tcBorders>
              <w:top w:val="single" w:sz="4" w:space="0" w:color="auto"/>
              <w:left w:val="single" w:sz="4" w:space="0" w:color="auto"/>
              <w:bottom w:val="single" w:sz="4" w:space="0" w:color="auto"/>
              <w:right w:val="single" w:sz="4" w:space="0" w:color="auto"/>
            </w:tcBorders>
          </w:tcPr>
          <w:p w14:paraId="6AC4C229" w14:textId="3B91C985" w:rsidR="002F47A0" w:rsidRPr="009E686F" w:rsidRDefault="002F47A0" w:rsidP="002F47A0">
            <w:pPr>
              <w:spacing w:after="0"/>
              <w:jc w:val="both"/>
              <w:rPr>
                <w:rFonts w:ascii="Times New Roman" w:hAnsi="Times New Roman" w:cs="Times New Roman"/>
                <w:bCs/>
                <w:lang w:val="ro-RO"/>
              </w:rPr>
            </w:pPr>
            <w:r w:rsidRPr="009E686F">
              <w:rPr>
                <w:rFonts w:ascii="Times New Roman" w:hAnsi="Times New Roman" w:cs="Times New Roman"/>
                <w:b/>
                <w:lang w:val="ro-RO"/>
              </w:rPr>
              <w:t>Articolul 44 alin. (4)</w:t>
            </w:r>
          </w:p>
          <w:p w14:paraId="3E8DA909" w14:textId="2CE4CC2F" w:rsidR="002F47A0" w:rsidRPr="009E686F" w:rsidRDefault="002F47A0" w:rsidP="002F47A0">
            <w:pPr>
              <w:spacing w:after="0"/>
              <w:jc w:val="both"/>
              <w:rPr>
                <w:rFonts w:ascii="Times New Roman" w:eastAsia="Aptos" w:hAnsi="Times New Roman" w:cs="Times New Roman"/>
                <w:kern w:val="2"/>
                <w:lang w:val="pt-BR"/>
              </w:rPr>
            </w:pPr>
            <w:r w:rsidRPr="009E686F">
              <w:rPr>
                <w:rFonts w:ascii="Times New Roman" w:eastAsia="Aptos" w:hAnsi="Times New Roman" w:cs="Times New Roman"/>
                <w:kern w:val="2"/>
                <w:lang w:val="ro-MD"/>
              </w:rPr>
              <w:t xml:space="preserve">(4) Prin derogare de la prevederile art.50 din Legea nr.1134/1997 privind societăţile pe acţiuni, cu referire la termenele şi procedura de selectare a candidaţilor pentru funcţia de membru al consiliului </w:t>
            </w:r>
            <w:r w:rsidRPr="009E686F">
              <w:rPr>
                <w:rFonts w:ascii="Times New Roman" w:eastAsia="Aptos" w:hAnsi="Times New Roman" w:cs="Times New Roman"/>
                <w:i/>
                <w:iCs/>
                <w:kern w:val="2"/>
                <w:lang w:val="ro-MD"/>
              </w:rPr>
              <w:t>instituției de credit</w:t>
            </w:r>
            <w:r w:rsidRPr="009E686F">
              <w:rPr>
                <w:rFonts w:ascii="Times New Roman" w:eastAsia="Aptos" w:hAnsi="Times New Roman" w:cs="Times New Roman"/>
                <w:kern w:val="2"/>
                <w:lang w:val="ro-MD"/>
              </w:rPr>
              <w:t xml:space="preserve">, consiliul </w:t>
            </w:r>
            <w:r w:rsidRPr="009E686F">
              <w:rPr>
                <w:rFonts w:ascii="Times New Roman" w:eastAsia="Aptos" w:hAnsi="Times New Roman" w:cs="Times New Roman"/>
                <w:i/>
                <w:iCs/>
                <w:kern w:val="2"/>
                <w:lang w:val="ro-MD"/>
              </w:rPr>
              <w:t>instituției de credit</w:t>
            </w:r>
            <w:r w:rsidRPr="009E686F">
              <w:rPr>
                <w:rFonts w:ascii="Times New Roman" w:eastAsia="Aptos" w:hAnsi="Times New Roman" w:cs="Times New Roman"/>
                <w:kern w:val="2"/>
                <w:lang w:val="ro-MD"/>
              </w:rPr>
              <w:t xml:space="preserve"> identifică şi recomandă, inclusiv din rândul membrilor propuşi de acţionari, candidaturile pentru a fi supuse procedurii de alegere la adunarea generală a acţionarilor. </w:t>
            </w:r>
            <w:r w:rsidRPr="009E686F">
              <w:rPr>
                <w:rFonts w:ascii="Times New Roman" w:hAnsi="Times New Roman" w:cs="Times New Roman"/>
                <w:lang w:val="pt-BR"/>
              </w:rPr>
              <w:t xml:space="preserve">Pentru </w:t>
            </w:r>
            <w:r w:rsidRPr="009E686F">
              <w:rPr>
                <w:rFonts w:ascii="Times New Roman" w:hAnsi="Times New Roman" w:cs="Times New Roman"/>
                <w:i/>
                <w:lang w:val="pt-BR"/>
              </w:rPr>
              <w:t>instituțiile de credit</w:t>
            </w:r>
            <w:r w:rsidRPr="009E686F">
              <w:rPr>
                <w:rFonts w:ascii="Times New Roman" w:hAnsi="Times New Roman" w:cs="Times New Roman"/>
                <w:lang w:val="pt-BR"/>
              </w:rPr>
              <w:t xml:space="preserve"> semnificative, funcţia de identificare şi recomandare a candidaturilor se exercită de comitetul de numire.</w:t>
            </w:r>
          </w:p>
          <w:p w14:paraId="2CD9493D" w14:textId="63A5F853" w:rsidR="002F47A0" w:rsidRPr="009E686F" w:rsidRDefault="002F47A0" w:rsidP="002F47A0">
            <w:pPr>
              <w:spacing w:after="0"/>
              <w:jc w:val="both"/>
              <w:rPr>
                <w:rFonts w:ascii="Times New Roman" w:hAnsi="Times New Roman" w:cs="Times New Roman"/>
                <w:b/>
                <w:bCs/>
                <w:lang w:val="ro-RO"/>
              </w:rPr>
            </w:pPr>
            <w:r w:rsidRPr="009E686F">
              <w:rPr>
                <w:rFonts w:ascii="Times New Roman" w:eastAsia="Aptos" w:hAnsi="Times New Roman" w:cs="Times New Roman"/>
                <w:b/>
                <w:bCs/>
                <w:kern w:val="2"/>
                <w:lang w:val="ro-MD"/>
              </w:rPr>
              <w:t>Pct. 47 subpct. 1)-3) din Regulamentul privind cadrul de administrare a activităţii băncilor, aprobat prin HCE nr. 322  din  20.12.2018</w:t>
            </w:r>
          </w:p>
          <w:p w14:paraId="5AC3D33F" w14:textId="77777777" w:rsidR="002F47A0" w:rsidRPr="009E686F" w:rsidRDefault="002F47A0" w:rsidP="002F47A0">
            <w:pPr>
              <w:spacing w:after="0"/>
              <w:jc w:val="both"/>
              <w:rPr>
                <w:rFonts w:ascii="Times New Roman" w:hAnsi="Times New Roman" w:cs="Times New Roman"/>
                <w:bCs/>
                <w:lang w:val="ro-RO"/>
              </w:rPr>
            </w:pPr>
            <w:r w:rsidRPr="009E686F">
              <w:rPr>
                <w:rFonts w:ascii="Times New Roman" w:hAnsi="Times New Roman" w:cs="Times New Roman"/>
                <w:bCs/>
                <w:lang w:val="ro-RO"/>
              </w:rPr>
              <w:t>47. Fără a aduce atingere responsabilităţilor atribuite membrilor consiliului băncii, comitetul de numire are, cel puţin, următoarele responsabilităţi:</w:t>
            </w:r>
          </w:p>
          <w:p w14:paraId="258C0429" w14:textId="77777777" w:rsidR="002F47A0" w:rsidRPr="009E686F" w:rsidRDefault="002F47A0" w:rsidP="002F47A0">
            <w:pPr>
              <w:spacing w:after="0"/>
              <w:jc w:val="both"/>
              <w:rPr>
                <w:rFonts w:ascii="Times New Roman" w:hAnsi="Times New Roman" w:cs="Times New Roman"/>
                <w:bCs/>
                <w:lang w:val="ro-RO"/>
              </w:rPr>
            </w:pPr>
            <w:r w:rsidRPr="009E686F">
              <w:rPr>
                <w:rFonts w:ascii="Times New Roman" w:hAnsi="Times New Roman" w:cs="Times New Roman"/>
                <w:bCs/>
                <w:lang w:val="ro-RO"/>
              </w:rPr>
              <w:t>1) identifică şi evaluează de sine stătător şi/sau din lista candidaţilor propuşi de către acţionari candidaţi pentru ocuparea poziţiilor libere în cadrul consiliului şi prezintă consiliului băncii candidaturile acestora, după care candidaţii examinaţi sunt înaintaţi spre aprobare către adunarea generală a acţionarilor;</w:t>
            </w:r>
          </w:p>
          <w:p w14:paraId="07885E6F" w14:textId="77777777" w:rsidR="002F47A0" w:rsidRPr="009E686F" w:rsidRDefault="002F47A0" w:rsidP="002F47A0">
            <w:pPr>
              <w:spacing w:after="0"/>
              <w:jc w:val="both"/>
              <w:rPr>
                <w:rFonts w:ascii="Times New Roman" w:hAnsi="Times New Roman" w:cs="Times New Roman"/>
                <w:bCs/>
                <w:lang w:val="ro-RO"/>
              </w:rPr>
            </w:pPr>
            <w:r w:rsidRPr="009E686F">
              <w:rPr>
                <w:rFonts w:ascii="Times New Roman" w:hAnsi="Times New Roman" w:cs="Times New Roman"/>
                <w:bCs/>
                <w:lang w:val="ro-RO"/>
              </w:rPr>
              <w:t>2) identifică şi evaluează de sine stătător sau din lista candidaţilor propuşi de către consiliu şi/sau organul executiv candidaţi pentru ocuparea poziţiilor libere în cadrul organului executiv şi, după caz, a funcţiilor-cheie şi prezintă spre aprobare consiliului;</w:t>
            </w:r>
          </w:p>
          <w:p w14:paraId="611EA4F4" w14:textId="54CE0C31" w:rsidR="002F47A0" w:rsidRPr="009E686F" w:rsidRDefault="002F47A0" w:rsidP="002F47A0">
            <w:pPr>
              <w:spacing w:after="0"/>
              <w:jc w:val="both"/>
              <w:rPr>
                <w:rFonts w:ascii="Times New Roman" w:hAnsi="Times New Roman" w:cs="Times New Roman"/>
                <w:bCs/>
                <w:lang w:val="ro-RO"/>
              </w:rPr>
            </w:pPr>
            <w:r w:rsidRPr="009E686F">
              <w:rPr>
                <w:rFonts w:ascii="Times New Roman" w:hAnsi="Times New Roman" w:cs="Times New Roman"/>
                <w:bCs/>
                <w:lang w:val="ro-RO"/>
              </w:rPr>
              <w:t xml:space="preserve">3) evaluează echilibrul de cunoştinţe, competenţe, diversitate şi experienţă în cadrul organului de conducere, revizuieşte rolurile </w:t>
            </w:r>
            <w:r w:rsidRPr="009E686F">
              <w:rPr>
                <w:rFonts w:ascii="Times New Roman" w:hAnsi="Times New Roman" w:cs="Times New Roman"/>
                <w:bCs/>
                <w:lang w:val="ro-RO"/>
              </w:rPr>
              <w:lastRenderedPageBreak/>
              <w:t>şi capacităţile în vederea numirii într-o anumită poziţie şi evaluează capacitatea alocării timpului pentru realizarea atribuţiilor;</w:t>
            </w:r>
          </w:p>
        </w:tc>
        <w:tc>
          <w:tcPr>
            <w:tcW w:w="470" w:type="pct"/>
            <w:tcBorders>
              <w:top w:val="single" w:sz="4" w:space="0" w:color="auto"/>
              <w:left w:val="single" w:sz="4" w:space="0" w:color="auto"/>
              <w:bottom w:val="single" w:sz="4" w:space="0" w:color="auto"/>
              <w:right w:val="single" w:sz="4" w:space="0" w:color="auto"/>
            </w:tcBorders>
          </w:tcPr>
          <w:p w14:paraId="6FAB1E2C" w14:textId="226C4201"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lastRenderedPageBreak/>
              <w:t>Parțial compatibil</w:t>
            </w:r>
          </w:p>
        </w:tc>
        <w:tc>
          <w:tcPr>
            <w:tcW w:w="806" w:type="pct"/>
            <w:tcBorders>
              <w:top w:val="single" w:sz="4" w:space="0" w:color="auto"/>
              <w:left w:val="single" w:sz="4" w:space="0" w:color="auto"/>
              <w:bottom w:val="single" w:sz="4" w:space="0" w:color="auto"/>
              <w:right w:val="single" w:sz="4" w:space="0" w:color="auto"/>
            </w:tcBorders>
          </w:tcPr>
          <w:p w14:paraId="219BE30F" w14:textId="526719A1"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Transpunerea totală se va asigura prin proiectul de modificare a Regulamentului nr. 322/2018</w:t>
            </w:r>
            <w:r w:rsidR="00A12862" w:rsidRPr="009E686F">
              <w:rPr>
                <w:rFonts w:ascii="Times New Roman" w:hAnsi="Times New Roman" w:cs="Times New Roman"/>
                <w:lang w:val="ro-RO"/>
              </w:rPr>
              <w:t xml:space="preserve"> (acțiunea normativă nr. 2 din Anexa A din PNA 2025-2029 aferentă Capitolului 9 “Servicii financiare” în legătură cu transpunerea Directivei 2013/36/UE).</w:t>
            </w:r>
          </w:p>
        </w:tc>
      </w:tr>
      <w:tr w:rsidR="002F47A0" w:rsidRPr="009E686F" w14:paraId="54567F9D"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0557B53F" w14:textId="2E0E3F61"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În plus, comitetul de numire decide cu privire la un obiectiv de reprezentare a sexului subreprezentat în cadrul organului de conducere și elaborează o politică privind modul de creștere a reprezentării sexului subreprezentat în cadrul organului de conducere pentru a atinge respectivul obiectiv. Obiectivul, politica și punerea sa în aplicare se publică în conformitate cu articolul 435 alineatul (2) litera (c) din Regulamentul (UE) nr. 575/2013;</w:t>
            </w:r>
          </w:p>
        </w:tc>
        <w:tc>
          <w:tcPr>
            <w:tcW w:w="1928" w:type="pct"/>
            <w:gridSpan w:val="3"/>
            <w:tcBorders>
              <w:top w:val="single" w:sz="4" w:space="0" w:color="auto"/>
              <w:left w:val="single" w:sz="4" w:space="0" w:color="auto"/>
              <w:bottom w:val="single" w:sz="4" w:space="0" w:color="auto"/>
              <w:right w:val="single" w:sz="4" w:space="0" w:color="auto"/>
            </w:tcBorders>
          </w:tcPr>
          <w:p w14:paraId="10D0DFE5" w14:textId="77777777" w:rsidR="002F47A0" w:rsidRPr="009E686F" w:rsidRDefault="002F47A0" w:rsidP="002F47A0">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382A1BE6" w14:textId="6248071F"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 xml:space="preserve">Norme UE netranspuse </w:t>
            </w:r>
          </w:p>
        </w:tc>
        <w:tc>
          <w:tcPr>
            <w:tcW w:w="806" w:type="pct"/>
            <w:tcBorders>
              <w:top w:val="single" w:sz="4" w:space="0" w:color="auto"/>
              <w:left w:val="single" w:sz="4" w:space="0" w:color="auto"/>
              <w:bottom w:val="single" w:sz="4" w:space="0" w:color="auto"/>
              <w:right w:val="single" w:sz="4" w:space="0" w:color="auto"/>
            </w:tcBorders>
          </w:tcPr>
          <w:p w14:paraId="427D19E0" w14:textId="0D74C53A" w:rsidR="002F47A0" w:rsidRPr="009E686F" w:rsidRDefault="002F47A0" w:rsidP="00A12862">
            <w:pPr>
              <w:spacing w:line="240" w:lineRule="auto"/>
              <w:jc w:val="both"/>
              <w:rPr>
                <w:rFonts w:ascii="Times New Roman" w:hAnsi="Times New Roman" w:cs="Times New Roman"/>
                <w:lang w:val="ro-RO"/>
              </w:rPr>
            </w:pPr>
            <w:r w:rsidRPr="009E686F">
              <w:rPr>
                <w:rFonts w:ascii="Times New Roman" w:hAnsi="Times New Roman" w:cs="Times New Roman"/>
                <w:lang w:val="ro-RO"/>
              </w:rPr>
              <w:t>Se vor regăsi în proiectul de modificare a Regulamentului nr. 322/2018</w:t>
            </w:r>
            <w:r w:rsidR="00A12862" w:rsidRPr="009E686F">
              <w:rPr>
                <w:rFonts w:ascii="Times New Roman" w:hAnsi="Times New Roman" w:cs="Times New Roman"/>
                <w:lang w:val="ro-RO"/>
              </w:rPr>
              <w:t xml:space="preserve"> (acțiunea normativă nr. 2 din Anexa A din PNA 2025-2029 aferentă Capitolului 9 “Servicii financiare” în legătură cu transpunerea Directivei 2013/36/UE).</w:t>
            </w:r>
          </w:p>
        </w:tc>
      </w:tr>
      <w:tr w:rsidR="002F47A0" w:rsidRPr="009E686F" w14:paraId="143E65B2"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38D02A17"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(b) evaluează periodic, cel puțin o dată pe an, structura, dimensiunea, compoziția și performanțele organului de conducere și formulează recomandări organului de conducere cu privire la eventuale modificări;</w:t>
            </w:r>
          </w:p>
          <w:p w14:paraId="24EB98B0"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(c) evaluează periodic, cel puțin o dată pe an, cunoștințele, competențele și experiența fiecărui membru al organului de conducere și al organului de conducere în ansamblul său și raportează organului de conducere în mod corespunzător;</w:t>
            </w:r>
          </w:p>
          <w:p w14:paraId="10151FC3" w14:textId="7D4D53BA"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(d)  examinează periodic politica organului de conducere în ceea ce privește selecția și numirea membrilor conducerii superioare și face recomandări organului de conducere.</w:t>
            </w:r>
          </w:p>
        </w:tc>
        <w:tc>
          <w:tcPr>
            <w:tcW w:w="1928" w:type="pct"/>
            <w:gridSpan w:val="3"/>
            <w:tcBorders>
              <w:top w:val="single" w:sz="4" w:space="0" w:color="auto"/>
              <w:left w:val="single" w:sz="4" w:space="0" w:color="auto"/>
              <w:bottom w:val="single" w:sz="4" w:space="0" w:color="auto"/>
              <w:right w:val="single" w:sz="4" w:space="0" w:color="auto"/>
            </w:tcBorders>
          </w:tcPr>
          <w:p w14:paraId="1C798B0D" w14:textId="5DB5A7CE" w:rsidR="002F47A0" w:rsidRPr="009E686F" w:rsidRDefault="002F47A0" w:rsidP="002F47A0">
            <w:pPr>
              <w:spacing w:after="0"/>
              <w:jc w:val="both"/>
              <w:rPr>
                <w:rFonts w:ascii="Times New Roman" w:hAnsi="Times New Roman" w:cs="Times New Roman"/>
                <w:b/>
                <w:bCs/>
                <w:lang w:val="ro-RO"/>
              </w:rPr>
            </w:pPr>
            <w:r w:rsidRPr="009E686F">
              <w:rPr>
                <w:rFonts w:ascii="Times New Roman" w:eastAsia="Aptos" w:hAnsi="Times New Roman" w:cs="Times New Roman"/>
                <w:b/>
                <w:bCs/>
                <w:kern w:val="2"/>
                <w:lang w:val="ro-MD"/>
              </w:rPr>
              <w:t>Pct. 47 subpct. 4)-6) din Regulamentul privind cadrul de administrare a activităţii băncilor, aprobat prin HCE nr. 322  din  20.12.2018</w:t>
            </w:r>
          </w:p>
          <w:p w14:paraId="1ACBEE16" w14:textId="77777777" w:rsidR="002F47A0" w:rsidRPr="009E686F" w:rsidRDefault="002F47A0" w:rsidP="002F47A0">
            <w:pPr>
              <w:spacing w:after="0"/>
              <w:jc w:val="both"/>
              <w:rPr>
                <w:rFonts w:ascii="Times New Roman" w:hAnsi="Times New Roman" w:cs="Times New Roman"/>
                <w:bCs/>
                <w:lang w:val="ro-RO"/>
              </w:rPr>
            </w:pPr>
          </w:p>
          <w:p w14:paraId="0C904D7E" w14:textId="7FB69701" w:rsidR="002F47A0" w:rsidRPr="009E686F" w:rsidRDefault="002F47A0" w:rsidP="002F47A0">
            <w:pPr>
              <w:spacing w:after="0"/>
              <w:jc w:val="both"/>
              <w:rPr>
                <w:rFonts w:ascii="Times New Roman" w:hAnsi="Times New Roman" w:cs="Times New Roman"/>
                <w:bCs/>
                <w:lang w:val="ro-RO"/>
              </w:rPr>
            </w:pPr>
            <w:r w:rsidRPr="009E686F">
              <w:rPr>
                <w:rFonts w:ascii="Times New Roman" w:hAnsi="Times New Roman" w:cs="Times New Roman"/>
                <w:bCs/>
                <w:lang w:val="ro-RO"/>
              </w:rPr>
              <w:t>4) evaluează periodic structura, dimensiunea, componenţa şi performanţele organului de conducere şi formulează recomandări organului de conducere cu privire la eventuale modificări;</w:t>
            </w:r>
          </w:p>
          <w:p w14:paraId="16F999A4" w14:textId="77777777" w:rsidR="002F47A0" w:rsidRPr="009E686F" w:rsidRDefault="002F47A0" w:rsidP="002F47A0">
            <w:pPr>
              <w:spacing w:after="0"/>
              <w:jc w:val="both"/>
              <w:rPr>
                <w:rFonts w:ascii="Times New Roman" w:hAnsi="Times New Roman" w:cs="Times New Roman"/>
                <w:bCs/>
                <w:lang w:val="ro-RO"/>
              </w:rPr>
            </w:pPr>
            <w:r w:rsidRPr="009E686F">
              <w:rPr>
                <w:rFonts w:ascii="Times New Roman" w:hAnsi="Times New Roman" w:cs="Times New Roman"/>
                <w:bCs/>
                <w:lang w:val="ro-RO"/>
              </w:rPr>
              <w:t>5) evaluează periodic cunoştinţele, competenţele şi experienţa fiecărui membru al organului de conducere şi ale organului de conducere în ansamblul său şi ale persoanelor care deţin funcţii-cheie şi raportează consiliului în mod corespunzător;</w:t>
            </w:r>
          </w:p>
          <w:p w14:paraId="15703D2E" w14:textId="0087EB45" w:rsidR="002F47A0" w:rsidRPr="009E686F" w:rsidRDefault="002F47A0" w:rsidP="002F47A0">
            <w:pPr>
              <w:spacing w:after="0"/>
              <w:jc w:val="both"/>
              <w:rPr>
                <w:rFonts w:ascii="Times New Roman" w:hAnsi="Times New Roman" w:cs="Times New Roman"/>
                <w:b/>
                <w:lang w:val="ro-RO"/>
              </w:rPr>
            </w:pPr>
            <w:r w:rsidRPr="009E686F">
              <w:rPr>
                <w:rFonts w:ascii="Times New Roman" w:hAnsi="Times New Roman" w:cs="Times New Roman"/>
                <w:bCs/>
                <w:lang w:val="ro-RO"/>
              </w:rPr>
              <w:t>6) examinează periodic politica organului de conducere în ceea ce priveşte selecţia şi numirea membrilor organului executiv şi a persoanelor care deţin funcţii-cheie şi face recomandări consiliului.</w:t>
            </w:r>
          </w:p>
        </w:tc>
        <w:tc>
          <w:tcPr>
            <w:tcW w:w="470" w:type="pct"/>
            <w:tcBorders>
              <w:top w:val="single" w:sz="4" w:space="0" w:color="auto"/>
              <w:left w:val="single" w:sz="4" w:space="0" w:color="auto"/>
              <w:bottom w:val="single" w:sz="4" w:space="0" w:color="auto"/>
              <w:right w:val="single" w:sz="4" w:space="0" w:color="auto"/>
            </w:tcBorders>
          </w:tcPr>
          <w:p w14:paraId="0DE7D02D" w14:textId="448034AA"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112A063F" w14:textId="77777777" w:rsidR="002F47A0" w:rsidRPr="009E686F" w:rsidRDefault="002F47A0" w:rsidP="002F47A0">
            <w:pPr>
              <w:jc w:val="both"/>
              <w:rPr>
                <w:rFonts w:ascii="Times New Roman" w:hAnsi="Times New Roman" w:cs="Times New Roman"/>
                <w:lang w:val="ro-RO"/>
              </w:rPr>
            </w:pPr>
          </w:p>
        </w:tc>
      </w:tr>
      <w:tr w:rsidR="002F47A0" w:rsidRPr="009E686F" w14:paraId="6DC4A055" w14:textId="2182D09D" w:rsidTr="00774F3E">
        <w:tc>
          <w:tcPr>
            <w:tcW w:w="1796" w:type="pct"/>
            <w:gridSpan w:val="2"/>
            <w:tcBorders>
              <w:top w:val="single" w:sz="4" w:space="0" w:color="auto"/>
              <w:left w:val="single" w:sz="4" w:space="0" w:color="auto"/>
              <w:bottom w:val="single" w:sz="4" w:space="0" w:color="auto"/>
              <w:right w:val="single" w:sz="4" w:space="0" w:color="auto"/>
            </w:tcBorders>
          </w:tcPr>
          <w:p w14:paraId="34821C76"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lastRenderedPageBreak/>
              <w:t>În îndeplinirea sarcinilor sale, comitetul de numire ține cont, în măsura posibilului și în mod permanent, de necesitatea asigurării faptului că procesul decizional al organului de conducere nu este dominat de nicio persoană sau grup mic de persoane într-un mod care este în detrimentul intereselor instituției în ansamblu.</w:t>
            </w:r>
          </w:p>
        </w:tc>
        <w:tc>
          <w:tcPr>
            <w:tcW w:w="1928" w:type="pct"/>
            <w:gridSpan w:val="3"/>
            <w:tcBorders>
              <w:top w:val="single" w:sz="4" w:space="0" w:color="auto"/>
              <w:left w:val="single" w:sz="4" w:space="0" w:color="auto"/>
              <w:bottom w:val="single" w:sz="4" w:space="0" w:color="auto"/>
              <w:right w:val="single" w:sz="4" w:space="0" w:color="auto"/>
            </w:tcBorders>
          </w:tcPr>
          <w:p w14:paraId="5E079F68" w14:textId="2204A664" w:rsidR="002F47A0" w:rsidRPr="009E686F" w:rsidRDefault="002F47A0" w:rsidP="002F47A0">
            <w:pPr>
              <w:spacing w:after="0"/>
              <w:jc w:val="both"/>
              <w:rPr>
                <w:rFonts w:ascii="Times New Roman" w:hAnsi="Times New Roman" w:cs="Times New Roman"/>
                <w:b/>
                <w:bCs/>
                <w:lang w:val="ro-RO"/>
              </w:rPr>
            </w:pPr>
            <w:r w:rsidRPr="009E686F">
              <w:rPr>
                <w:rFonts w:ascii="Times New Roman" w:hAnsi="Times New Roman" w:cs="Times New Roman"/>
                <w:b/>
                <w:bCs/>
                <w:lang w:val="pt-BR"/>
              </w:rPr>
              <w:t>Pct. 48 din Regulamentul privind cadrul de administrare a activităţii băncilor, aprobat prin HCE nr. 322  din  20.12.2018</w:t>
            </w:r>
          </w:p>
          <w:p w14:paraId="78B7F7DB" w14:textId="77777777" w:rsidR="002F47A0" w:rsidRPr="009E686F" w:rsidRDefault="002F47A0" w:rsidP="002F47A0">
            <w:pPr>
              <w:spacing w:after="0"/>
              <w:jc w:val="both"/>
              <w:rPr>
                <w:rFonts w:ascii="Times New Roman" w:hAnsi="Times New Roman" w:cs="Times New Roman"/>
                <w:bCs/>
                <w:lang w:val="ro-RO"/>
              </w:rPr>
            </w:pPr>
            <w:r w:rsidRPr="009E686F">
              <w:rPr>
                <w:rFonts w:ascii="Times New Roman" w:hAnsi="Times New Roman" w:cs="Times New Roman"/>
                <w:bCs/>
                <w:lang w:val="ro-RO"/>
              </w:rPr>
              <w:t>48. În îndeplinirea sarcinilor sale, comitetul de numire ţine cont de necesitatea asigurării faptului că procesul decizional al organului de conducere nu este dominat de nicio persoană sau grup de persoane într-un mod care este în detrimentul intereselor băncii în ansamblu.</w:t>
            </w:r>
          </w:p>
          <w:p w14:paraId="29ADDC27" w14:textId="6A41F0C1" w:rsidR="002F47A0" w:rsidRPr="009E686F" w:rsidRDefault="002F47A0" w:rsidP="002F47A0">
            <w:pPr>
              <w:spacing w:after="0"/>
              <w:jc w:val="both"/>
              <w:rPr>
                <w:rFonts w:ascii="Times New Roman" w:hAnsi="Times New Roman" w:cs="Times New Roman"/>
                <w:bCs/>
                <w:lang w:val="ro-RO"/>
              </w:rPr>
            </w:pPr>
          </w:p>
        </w:tc>
        <w:tc>
          <w:tcPr>
            <w:tcW w:w="470" w:type="pct"/>
            <w:tcBorders>
              <w:top w:val="single" w:sz="4" w:space="0" w:color="auto"/>
              <w:left w:val="single" w:sz="4" w:space="0" w:color="auto"/>
              <w:bottom w:val="single" w:sz="4" w:space="0" w:color="auto"/>
              <w:right w:val="single" w:sz="4" w:space="0" w:color="auto"/>
            </w:tcBorders>
          </w:tcPr>
          <w:p w14:paraId="21BA274C" w14:textId="77777777"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p w14:paraId="0DE38DD3" w14:textId="2DEACDC9" w:rsidR="002F47A0" w:rsidRPr="009E686F" w:rsidRDefault="002F47A0" w:rsidP="002F47A0">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3DDE62C1" w14:textId="77777777" w:rsidR="002F47A0" w:rsidRPr="009E686F" w:rsidRDefault="002F47A0" w:rsidP="002F47A0">
            <w:pPr>
              <w:jc w:val="both"/>
              <w:rPr>
                <w:rFonts w:ascii="Times New Roman" w:hAnsi="Times New Roman" w:cs="Times New Roman"/>
                <w:lang w:val="ro-RO"/>
              </w:rPr>
            </w:pPr>
          </w:p>
        </w:tc>
      </w:tr>
      <w:tr w:rsidR="002F47A0" w:rsidRPr="009E686F" w14:paraId="3FC5B18D" w14:textId="6EEDC9EF" w:rsidTr="00774F3E">
        <w:tc>
          <w:tcPr>
            <w:tcW w:w="1796" w:type="pct"/>
            <w:gridSpan w:val="2"/>
            <w:tcBorders>
              <w:top w:val="single" w:sz="4" w:space="0" w:color="auto"/>
              <w:left w:val="single" w:sz="4" w:space="0" w:color="auto"/>
              <w:bottom w:val="single" w:sz="4" w:space="0" w:color="auto"/>
              <w:right w:val="single" w:sz="4" w:space="0" w:color="auto"/>
            </w:tcBorders>
          </w:tcPr>
          <w:p w14:paraId="7A5335EA" w14:textId="77777777" w:rsidR="002F47A0" w:rsidRPr="009E686F" w:rsidRDefault="002F47A0" w:rsidP="002F47A0">
            <w:pPr>
              <w:spacing w:after="0"/>
              <w:jc w:val="both"/>
              <w:rPr>
                <w:rFonts w:ascii="Times New Roman" w:hAnsi="Times New Roman" w:cs="Times New Roman"/>
                <w:lang w:val="ro-RO"/>
              </w:rPr>
            </w:pPr>
            <w:bookmarkStart w:id="29" w:name="_Hlk207108936"/>
            <w:r w:rsidRPr="009E686F">
              <w:rPr>
                <w:rFonts w:ascii="Times New Roman" w:hAnsi="Times New Roman" w:cs="Times New Roman"/>
                <w:lang w:val="ro-RO"/>
              </w:rPr>
              <w:t>Comitetul de numire poate utiliza orice tip de resurse pe care le consideră adecvate, inclusiv consultanță externă, și beneficiază de finanțare corespunzătoare în acest scop.</w:t>
            </w:r>
          </w:p>
        </w:tc>
        <w:tc>
          <w:tcPr>
            <w:tcW w:w="1928" w:type="pct"/>
            <w:gridSpan w:val="3"/>
            <w:tcBorders>
              <w:top w:val="single" w:sz="4" w:space="0" w:color="auto"/>
              <w:left w:val="single" w:sz="4" w:space="0" w:color="auto"/>
              <w:bottom w:val="single" w:sz="4" w:space="0" w:color="auto"/>
              <w:right w:val="single" w:sz="4" w:space="0" w:color="auto"/>
            </w:tcBorders>
          </w:tcPr>
          <w:p w14:paraId="1615C56F" w14:textId="2929CF2C" w:rsidR="002F47A0" w:rsidRPr="009E686F" w:rsidRDefault="002F47A0" w:rsidP="002F47A0">
            <w:pPr>
              <w:spacing w:after="0"/>
              <w:jc w:val="both"/>
              <w:rPr>
                <w:rFonts w:ascii="Times New Roman" w:hAnsi="Times New Roman" w:cs="Times New Roman"/>
                <w:b/>
                <w:bCs/>
                <w:lang w:val="ro-RO"/>
              </w:rPr>
            </w:pPr>
            <w:r w:rsidRPr="009E686F">
              <w:rPr>
                <w:rFonts w:ascii="Times New Roman" w:hAnsi="Times New Roman" w:cs="Times New Roman"/>
                <w:b/>
                <w:bCs/>
                <w:lang w:val="pt-BR"/>
              </w:rPr>
              <w:t>Pct. 65 din Regulamentul privind cadrul de administrare a activităţii băncilor, aprobat prin HCE nr. 322  din  20.12.2018</w:t>
            </w:r>
          </w:p>
          <w:p w14:paraId="2078AAF5" w14:textId="29456FD8" w:rsidR="002F47A0" w:rsidRPr="009E686F" w:rsidRDefault="002F47A0" w:rsidP="002F47A0">
            <w:pPr>
              <w:spacing w:after="0"/>
              <w:jc w:val="both"/>
              <w:rPr>
                <w:rFonts w:ascii="Times New Roman" w:hAnsi="Times New Roman" w:cs="Times New Roman"/>
                <w:bCs/>
                <w:lang w:val="ro-RO"/>
              </w:rPr>
            </w:pPr>
            <w:r w:rsidRPr="009E686F">
              <w:rPr>
                <w:rFonts w:ascii="Times New Roman" w:hAnsi="Times New Roman" w:cs="Times New Roman"/>
                <w:bCs/>
                <w:lang w:val="ro-RO"/>
              </w:rPr>
              <w:t>65. Banca trebuie să dispună de resurse suficiente pentru asigurarea conformării băncii, inclusiv fiecărei sucursale a sa şi/sau subdiviziunii structurale, cadrului general de desfăşurare a activităţii atât la nivel de bancă, cât şi la nivel individual de fiecare sucursală/subdiviziune structurală.</w:t>
            </w:r>
          </w:p>
        </w:tc>
        <w:tc>
          <w:tcPr>
            <w:tcW w:w="470" w:type="pct"/>
            <w:tcBorders>
              <w:top w:val="single" w:sz="4" w:space="0" w:color="auto"/>
              <w:left w:val="single" w:sz="4" w:space="0" w:color="auto"/>
              <w:bottom w:val="single" w:sz="4" w:space="0" w:color="auto"/>
              <w:right w:val="single" w:sz="4" w:space="0" w:color="auto"/>
            </w:tcBorders>
          </w:tcPr>
          <w:p w14:paraId="2B8F7746" w14:textId="7A869B16"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Parțial compatibil</w:t>
            </w:r>
          </w:p>
          <w:p w14:paraId="50434548" w14:textId="1B1F984E" w:rsidR="002F47A0" w:rsidRPr="009E686F" w:rsidRDefault="002F47A0" w:rsidP="002F47A0">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0DBEB7BD" w14:textId="063A39B3" w:rsidR="002F47A0" w:rsidRPr="009E686F" w:rsidRDefault="002F47A0" w:rsidP="00A12862">
            <w:pPr>
              <w:spacing w:line="240" w:lineRule="auto"/>
              <w:jc w:val="both"/>
              <w:rPr>
                <w:rFonts w:ascii="Times New Roman" w:hAnsi="Times New Roman" w:cs="Times New Roman"/>
                <w:lang w:val="ro-RO"/>
              </w:rPr>
            </w:pPr>
            <w:r w:rsidRPr="009E686F">
              <w:rPr>
                <w:rFonts w:ascii="Times New Roman" w:hAnsi="Times New Roman" w:cs="Times New Roman"/>
                <w:lang w:val="ro-RO"/>
              </w:rPr>
              <w:t>Transpunerea totală se va asigura prin proiectul de modificare a Regulamentului nr. 322/2018</w:t>
            </w:r>
            <w:r w:rsidR="00A12862" w:rsidRPr="009E686F">
              <w:rPr>
                <w:rFonts w:ascii="Times New Roman" w:hAnsi="Times New Roman" w:cs="Times New Roman"/>
                <w:lang w:val="ro-RO"/>
              </w:rPr>
              <w:t xml:space="preserve"> (acțiunea normativă nr. 2 din Anexa A din PNA 2025-2029 aferentă Capitolului 9 “Servicii financiare” în legătură cu transpunerea Directivei 2013/36/UE).</w:t>
            </w:r>
          </w:p>
        </w:tc>
      </w:tr>
      <w:bookmarkEnd w:id="29"/>
      <w:tr w:rsidR="002F47A0" w:rsidRPr="009E686F" w14:paraId="27F15E0B" w14:textId="57EA7C16" w:rsidTr="00774F3E">
        <w:tc>
          <w:tcPr>
            <w:tcW w:w="1796" w:type="pct"/>
            <w:gridSpan w:val="2"/>
            <w:tcBorders>
              <w:top w:val="single" w:sz="4" w:space="0" w:color="auto"/>
              <w:left w:val="single" w:sz="4" w:space="0" w:color="auto"/>
              <w:bottom w:val="single" w:sz="4" w:space="0" w:color="auto"/>
              <w:right w:val="single" w:sz="4" w:space="0" w:color="auto"/>
            </w:tcBorders>
          </w:tcPr>
          <w:p w14:paraId="1349E51F"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În cazul în care, conform dreptului intern, organul de conducere nu are nicio competență în ceea ce privește procesul selectării și numirii niciunuia dintre membrii săi, prezentul alineat nu se aplică.</w:t>
            </w:r>
          </w:p>
        </w:tc>
        <w:tc>
          <w:tcPr>
            <w:tcW w:w="1928" w:type="pct"/>
            <w:gridSpan w:val="3"/>
            <w:tcBorders>
              <w:top w:val="single" w:sz="4" w:space="0" w:color="auto"/>
              <w:left w:val="single" w:sz="4" w:space="0" w:color="auto"/>
              <w:bottom w:val="single" w:sz="4" w:space="0" w:color="auto"/>
              <w:right w:val="single" w:sz="4" w:space="0" w:color="auto"/>
            </w:tcBorders>
          </w:tcPr>
          <w:p w14:paraId="1308F8E9" w14:textId="77777777" w:rsidR="002F47A0" w:rsidRPr="009E686F" w:rsidRDefault="002F47A0" w:rsidP="002F47A0">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280FFF5E" w14:textId="7F2D23F0"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Norme UE neaplicabile</w:t>
            </w:r>
          </w:p>
          <w:p w14:paraId="5A41C362" w14:textId="6D7C0781" w:rsidR="002F47A0" w:rsidRPr="009E686F" w:rsidRDefault="002F47A0" w:rsidP="002F47A0">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2F09A0A8" w14:textId="0B6F457E"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Conform Legii privind societăților pe acțiuni Consiliul are ca atribuție de a  decide cu privire la întocmirea listei candidaţilor pentru alegerea organelor de conducere şi de control ale societăţii.</w:t>
            </w:r>
          </w:p>
        </w:tc>
      </w:tr>
      <w:tr w:rsidR="002F47A0" w:rsidRPr="009E686F" w14:paraId="315E4E0E"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54059FB6"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lastRenderedPageBreak/>
              <w:t xml:space="preserve">(3) Fără a aduce atingere responsabilității colective generale a organului de conducere, statele membre se asigură că instituțiile întocmesc, mențin și actualizează declarații individuale în care sunt prezentate rolurile și atribuțiile tuturor membrilor organului de conducere în funcția sa de conducere, ale conducerii superioare și ale persoanelor care dețin funcții-cheie, precum și un document privind atribuțiile conferite, incluzând detalii privind liniile de raportare, privind liniile de responsabilitate, precum și privind persoanele care fac parte din cadrul de administrare a activității menționat la articolul 74 alineatul (1) și privind atribuțiile acestora. </w:t>
            </w:r>
          </w:p>
          <w:p w14:paraId="6D882C20" w14:textId="340C3979"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it-CH"/>
              </w:rPr>
              <w:t>Statele membre se asigură că declarațiile individuale privind responsabilitățile și documentul privind atribuțiile conferite sunt puse în orice moment la dispoziția autorităților competente și sunt comunicate acestora, inclusiv pentru obținerea autorizației astfel cum se prevede la articolul 8, în timp util, la cerere.</w:t>
            </w:r>
          </w:p>
        </w:tc>
        <w:tc>
          <w:tcPr>
            <w:tcW w:w="1928" w:type="pct"/>
            <w:gridSpan w:val="3"/>
            <w:tcBorders>
              <w:top w:val="single" w:sz="4" w:space="0" w:color="auto"/>
              <w:left w:val="single" w:sz="4" w:space="0" w:color="auto"/>
              <w:bottom w:val="single" w:sz="4" w:space="0" w:color="auto"/>
              <w:right w:val="single" w:sz="4" w:space="0" w:color="auto"/>
            </w:tcBorders>
          </w:tcPr>
          <w:p w14:paraId="6C7D37C4" w14:textId="589AB029" w:rsidR="002F47A0" w:rsidRPr="009E686F" w:rsidRDefault="002F47A0" w:rsidP="002F47A0">
            <w:pPr>
              <w:spacing w:after="0"/>
              <w:jc w:val="both"/>
              <w:rPr>
                <w:rFonts w:ascii="Times New Roman" w:hAnsi="Times New Roman" w:cs="Times New Roman"/>
                <w:b/>
                <w:i/>
                <w:lang w:val="ro-RO"/>
              </w:rPr>
            </w:pPr>
          </w:p>
        </w:tc>
        <w:tc>
          <w:tcPr>
            <w:tcW w:w="470" w:type="pct"/>
            <w:tcBorders>
              <w:top w:val="single" w:sz="4" w:space="0" w:color="auto"/>
              <w:left w:val="single" w:sz="4" w:space="0" w:color="auto"/>
              <w:bottom w:val="single" w:sz="4" w:space="0" w:color="auto"/>
              <w:right w:val="single" w:sz="4" w:space="0" w:color="auto"/>
            </w:tcBorders>
          </w:tcPr>
          <w:p w14:paraId="1AD139AA" w14:textId="7FC6600A"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Norme UE netranspuse</w:t>
            </w:r>
          </w:p>
        </w:tc>
        <w:tc>
          <w:tcPr>
            <w:tcW w:w="806" w:type="pct"/>
            <w:tcBorders>
              <w:top w:val="single" w:sz="4" w:space="0" w:color="auto"/>
              <w:left w:val="single" w:sz="4" w:space="0" w:color="auto"/>
              <w:bottom w:val="single" w:sz="4" w:space="0" w:color="auto"/>
              <w:right w:val="single" w:sz="4" w:space="0" w:color="auto"/>
            </w:tcBorders>
          </w:tcPr>
          <w:p w14:paraId="679DF21E" w14:textId="448A566B"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Se vor regăsi în proiectul de modificare a Regulamentului nr. 322/2018</w:t>
            </w:r>
            <w:r w:rsidR="00A12862" w:rsidRPr="009E686F">
              <w:rPr>
                <w:rFonts w:ascii="Times New Roman" w:hAnsi="Times New Roman" w:cs="Times New Roman"/>
                <w:lang w:val="ro-RO"/>
              </w:rPr>
              <w:t xml:space="preserve"> (acțiunea normativă nr. 2 din Anexa A din PNA 2025-2029 aferentă Capitolului 9 “Servicii financiare” în legătură cu transpunerea Directivei 2013/36/UE).</w:t>
            </w:r>
          </w:p>
        </w:tc>
      </w:tr>
      <w:tr w:rsidR="002F47A0" w:rsidRPr="009E686F" w14:paraId="782A8E8A" w14:textId="7D8031F0" w:rsidTr="00E230B9">
        <w:tc>
          <w:tcPr>
            <w:tcW w:w="5000" w:type="pct"/>
            <w:gridSpan w:val="7"/>
            <w:tcBorders>
              <w:top w:val="single" w:sz="4" w:space="0" w:color="auto"/>
              <w:left w:val="single" w:sz="4" w:space="0" w:color="auto"/>
              <w:bottom w:val="single" w:sz="4" w:space="0" w:color="auto"/>
              <w:right w:val="single" w:sz="4" w:space="0" w:color="auto"/>
            </w:tcBorders>
          </w:tcPr>
          <w:p w14:paraId="07702094" w14:textId="77777777" w:rsidR="002F47A0" w:rsidRPr="009E686F" w:rsidRDefault="002F47A0" w:rsidP="002F47A0">
            <w:pPr>
              <w:spacing w:after="0"/>
              <w:jc w:val="both"/>
              <w:rPr>
                <w:rFonts w:ascii="Times New Roman" w:hAnsi="Times New Roman" w:cs="Times New Roman"/>
                <w:i/>
                <w:iCs/>
                <w:lang w:val="ro-RO"/>
              </w:rPr>
            </w:pPr>
            <w:r w:rsidRPr="009E686F">
              <w:rPr>
                <w:rFonts w:ascii="Times New Roman" w:hAnsi="Times New Roman" w:cs="Times New Roman"/>
                <w:i/>
                <w:iCs/>
                <w:lang w:val="ro-RO"/>
              </w:rPr>
              <w:t xml:space="preserve">Articolul 89 </w:t>
            </w:r>
          </w:p>
          <w:p w14:paraId="06886B13" w14:textId="3BF5E3F5"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Raportarea pentru fiecare țară în parte</w:t>
            </w:r>
          </w:p>
        </w:tc>
      </w:tr>
      <w:tr w:rsidR="002F47A0" w:rsidRPr="009E686F" w14:paraId="09219001" w14:textId="7ABF8063" w:rsidTr="00774F3E">
        <w:tc>
          <w:tcPr>
            <w:tcW w:w="1796" w:type="pct"/>
            <w:gridSpan w:val="2"/>
            <w:tcBorders>
              <w:top w:val="single" w:sz="4" w:space="0" w:color="auto"/>
              <w:left w:val="single" w:sz="4" w:space="0" w:color="auto"/>
              <w:bottom w:val="single" w:sz="4" w:space="0" w:color="auto"/>
              <w:right w:val="single" w:sz="4" w:space="0" w:color="auto"/>
            </w:tcBorders>
          </w:tcPr>
          <w:p w14:paraId="294A4CF1" w14:textId="16BC363B"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(1) De la 1 ianuarie 2015, statele membre solicită fiecărei instituții să comunice anual, defalcat pentru fiecare stat membru și pentru fiecare țară terță în care a înființat o sucursală, următoarele informații pe bază consolidată pentru exercițiul financiar:</w:t>
            </w:r>
          </w:p>
        </w:tc>
        <w:tc>
          <w:tcPr>
            <w:tcW w:w="1928" w:type="pct"/>
            <w:gridSpan w:val="3"/>
            <w:tcBorders>
              <w:top w:val="single" w:sz="4" w:space="0" w:color="auto"/>
              <w:left w:val="single" w:sz="4" w:space="0" w:color="auto"/>
              <w:bottom w:val="single" w:sz="4" w:space="0" w:color="auto"/>
              <w:right w:val="single" w:sz="4" w:space="0" w:color="auto"/>
            </w:tcBorders>
          </w:tcPr>
          <w:p w14:paraId="5EF767DC" w14:textId="78D5D629" w:rsidR="002F47A0" w:rsidRPr="009E686F" w:rsidRDefault="002F47A0" w:rsidP="002F47A0">
            <w:pPr>
              <w:spacing w:after="0"/>
              <w:jc w:val="both"/>
              <w:rPr>
                <w:rFonts w:ascii="Times New Roman" w:eastAsia="Aptos" w:hAnsi="Times New Roman" w:cs="Times New Roman"/>
                <w:b/>
                <w:bCs/>
                <w:kern w:val="2"/>
                <w:lang w:val="ro-MD"/>
              </w:rPr>
            </w:pPr>
            <w:r w:rsidRPr="009E686F">
              <w:rPr>
                <w:rFonts w:ascii="Times New Roman" w:eastAsia="Aptos" w:hAnsi="Times New Roman" w:cs="Times New Roman"/>
                <w:b/>
                <w:bCs/>
                <w:kern w:val="2"/>
                <w:lang w:val="ro-MD"/>
              </w:rPr>
              <w:t>Articolul 91 alin. (3)</w:t>
            </w:r>
          </w:p>
          <w:p w14:paraId="468DF187" w14:textId="03AF8E49" w:rsidR="002F47A0" w:rsidRPr="009E686F" w:rsidRDefault="002F47A0" w:rsidP="002F47A0">
            <w:pPr>
              <w:spacing w:after="0"/>
              <w:jc w:val="both"/>
              <w:rPr>
                <w:rFonts w:ascii="Times New Roman" w:eastAsia="Aptos" w:hAnsi="Times New Roman" w:cs="Times New Roman"/>
                <w:color w:val="FF0000"/>
                <w:kern w:val="2"/>
                <w:lang w:val="ro-MD"/>
              </w:rPr>
            </w:pPr>
            <w:r w:rsidRPr="009E686F">
              <w:rPr>
                <w:rFonts w:ascii="Times New Roman" w:eastAsia="Aptos" w:hAnsi="Times New Roman" w:cs="Times New Roman"/>
                <w:kern w:val="2"/>
                <w:lang w:val="ro-MD"/>
              </w:rPr>
              <w:t xml:space="preserve">(3) </w:t>
            </w:r>
            <w:r w:rsidRPr="009E686F">
              <w:rPr>
                <w:rFonts w:ascii="Times New Roman" w:eastAsia="Aptos" w:hAnsi="Times New Roman" w:cs="Times New Roman"/>
                <w:i/>
                <w:iCs/>
                <w:kern w:val="2"/>
                <w:lang w:val="ro-MD"/>
              </w:rPr>
              <w:t>Instituțiile de credit</w:t>
            </w:r>
            <w:r w:rsidRPr="009E686F">
              <w:rPr>
                <w:rFonts w:ascii="Times New Roman" w:eastAsia="Aptos" w:hAnsi="Times New Roman" w:cs="Times New Roman"/>
                <w:kern w:val="2"/>
                <w:lang w:val="ro-MD"/>
              </w:rPr>
              <w:t xml:space="preserve"> trebuie să publice separat pe fiecare stat în care a înfiinţat o sucursală informaţiile agregate prevăzute în actele normative ale Băncii Naţionale a Moldovei. Informaţiile respective sînt supuse auditului în conformitate cu art.85 şi sînt publicate ca anexă la propriile situaţii financiare anuale individuale şi consolidate ale </w:t>
            </w:r>
            <w:r w:rsidRPr="009E686F">
              <w:rPr>
                <w:rFonts w:ascii="Times New Roman" w:eastAsia="Aptos" w:hAnsi="Times New Roman" w:cs="Times New Roman"/>
                <w:i/>
                <w:iCs/>
                <w:kern w:val="2"/>
                <w:lang w:val="ro-MD"/>
              </w:rPr>
              <w:t>instituției de credit</w:t>
            </w:r>
            <w:r w:rsidRPr="009E686F">
              <w:rPr>
                <w:rFonts w:ascii="Times New Roman" w:eastAsia="Aptos" w:hAnsi="Times New Roman" w:cs="Times New Roman"/>
                <w:kern w:val="2"/>
                <w:lang w:val="ro-MD"/>
              </w:rPr>
              <w:t xml:space="preserve"> respective.</w:t>
            </w:r>
            <w:r w:rsidRPr="009E686F">
              <w:rPr>
                <w:rFonts w:ascii="Times New Roman" w:eastAsia="Aptos" w:hAnsi="Times New Roman" w:cs="Times New Roman"/>
                <w:color w:val="FF0000"/>
                <w:kern w:val="2"/>
                <w:lang w:val="ro-MD"/>
              </w:rPr>
              <w:t xml:space="preserve"> </w:t>
            </w:r>
          </w:p>
          <w:p w14:paraId="40E79A2F" w14:textId="0423CF36" w:rsidR="002F47A0" w:rsidRPr="009E686F" w:rsidRDefault="002F47A0" w:rsidP="002F47A0">
            <w:pPr>
              <w:spacing w:after="0"/>
              <w:jc w:val="both"/>
              <w:rPr>
                <w:rFonts w:ascii="Times New Roman" w:hAnsi="Times New Roman" w:cs="Times New Roman"/>
                <w:b/>
                <w:bCs/>
                <w:lang w:val="ro-RO"/>
              </w:rPr>
            </w:pPr>
            <w:bookmarkStart w:id="30" w:name="_Hlk159430203"/>
            <w:r w:rsidRPr="009E686F">
              <w:rPr>
                <w:rFonts w:ascii="Times New Roman" w:hAnsi="Times New Roman" w:cs="Times New Roman"/>
                <w:b/>
                <w:bCs/>
                <w:lang w:val="ro-RO"/>
              </w:rPr>
              <w:t>Pct. 8 din Regulamentul cu privire la cerinţele de publicare a informaţiilor de către bănci, aprobat prin HCE nr. 158/2020</w:t>
            </w:r>
            <w:bookmarkEnd w:id="30"/>
          </w:p>
          <w:p w14:paraId="3A3212CD" w14:textId="4461B6A3"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lastRenderedPageBreak/>
              <w:t>8. Băncile, care au înfiinţat sucursale în alt stat, vor publica anual, separat pe fiecare stat în care a înfiinţat o sucursală, următoarele informaţii:</w:t>
            </w:r>
          </w:p>
        </w:tc>
        <w:tc>
          <w:tcPr>
            <w:tcW w:w="470" w:type="pct"/>
            <w:tcBorders>
              <w:top w:val="single" w:sz="4" w:space="0" w:color="auto"/>
              <w:left w:val="single" w:sz="4" w:space="0" w:color="auto"/>
              <w:bottom w:val="single" w:sz="4" w:space="0" w:color="auto"/>
              <w:right w:val="single" w:sz="4" w:space="0" w:color="auto"/>
            </w:tcBorders>
          </w:tcPr>
          <w:p w14:paraId="2E082288" w14:textId="2C0E46AE"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lastRenderedPageBreak/>
              <w:t>Compatabil</w:t>
            </w:r>
          </w:p>
        </w:tc>
        <w:tc>
          <w:tcPr>
            <w:tcW w:w="806" w:type="pct"/>
            <w:tcBorders>
              <w:top w:val="single" w:sz="4" w:space="0" w:color="auto"/>
              <w:left w:val="single" w:sz="4" w:space="0" w:color="auto"/>
              <w:bottom w:val="single" w:sz="4" w:space="0" w:color="auto"/>
              <w:right w:val="single" w:sz="4" w:space="0" w:color="auto"/>
            </w:tcBorders>
          </w:tcPr>
          <w:p w14:paraId="6D6D4558" w14:textId="77777777" w:rsidR="002F47A0" w:rsidRPr="009E686F" w:rsidRDefault="002F47A0" w:rsidP="002F47A0">
            <w:pPr>
              <w:jc w:val="both"/>
              <w:rPr>
                <w:rFonts w:ascii="Times New Roman" w:hAnsi="Times New Roman" w:cs="Times New Roman"/>
                <w:lang w:val="ro-RO"/>
              </w:rPr>
            </w:pPr>
          </w:p>
        </w:tc>
      </w:tr>
      <w:tr w:rsidR="002F47A0" w:rsidRPr="009E686F" w14:paraId="707BA94B"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37C8E16D"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(a)numele, natura activităților și localizarea geografică;</w:t>
            </w:r>
          </w:p>
          <w:p w14:paraId="307CE758"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(b) cifra de afaceri;</w:t>
            </w:r>
          </w:p>
          <w:p w14:paraId="42C3DF27"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(c) numărul de angajați în echivalent timp complet;</w:t>
            </w:r>
          </w:p>
          <w:p w14:paraId="6F54C03E"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(d) profit sau pierdere înainte de impozitare;</w:t>
            </w:r>
          </w:p>
          <w:p w14:paraId="21600C00"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(e) impozitul pe profit sau pierdere;</w:t>
            </w:r>
          </w:p>
          <w:p w14:paraId="604A0333" w14:textId="7CB9310A"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(f) subvenții publice primite.</w:t>
            </w:r>
          </w:p>
        </w:tc>
        <w:tc>
          <w:tcPr>
            <w:tcW w:w="1928" w:type="pct"/>
            <w:gridSpan w:val="3"/>
            <w:tcBorders>
              <w:top w:val="single" w:sz="4" w:space="0" w:color="auto"/>
              <w:left w:val="single" w:sz="4" w:space="0" w:color="auto"/>
              <w:bottom w:val="single" w:sz="4" w:space="0" w:color="auto"/>
              <w:right w:val="single" w:sz="4" w:space="0" w:color="auto"/>
            </w:tcBorders>
          </w:tcPr>
          <w:p w14:paraId="43A4F5C2" w14:textId="77777777" w:rsidR="002F47A0" w:rsidRPr="009E686F" w:rsidRDefault="002F47A0" w:rsidP="002F47A0">
            <w:pPr>
              <w:spacing w:after="0"/>
              <w:jc w:val="both"/>
              <w:rPr>
                <w:rFonts w:ascii="Times New Roman" w:hAnsi="Times New Roman" w:cs="Times New Roman"/>
                <w:bCs/>
                <w:lang w:val="ro-RO"/>
              </w:rPr>
            </w:pPr>
            <w:r w:rsidRPr="009E686F">
              <w:rPr>
                <w:rFonts w:ascii="Times New Roman" w:hAnsi="Times New Roman" w:cs="Times New Roman"/>
                <w:bCs/>
                <w:lang w:val="ro-RO"/>
              </w:rPr>
              <w:t>1) numele, natura activităţilor şi localizarea geografică;</w:t>
            </w:r>
          </w:p>
          <w:p w14:paraId="2A74EBF8" w14:textId="77777777" w:rsidR="002F47A0" w:rsidRPr="009E686F" w:rsidRDefault="002F47A0" w:rsidP="002F47A0">
            <w:pPr>
              <w:spacing w:after="0"/>
              <w:jc w:val="both"/>
              <w:rPr>
                <w:rFonts w:ascii="Times New Roman" w:hAnsi="Times New Roman" w:cs="Times New Roman"/>
                <w:bCs/>
                <w:lang w:val="ro-RO"/>
              </w:rPr>
            </w:pPr>
            <w:r w:rsidRPr="009E686F">
              <w:rPr>
                <w:rFonts w:ascii="Times New Roman" w:hAnsi="Times New Roman" w:cs="Times New Roman"/>
                <w:bCs/>
                <w:lang w:val="ro-RO"/>
              </w:rPr>
              <w:t>2) cifra de afaceri;</w:t>
            </w:r>
          </w:p>
          <w:p w14:paraId="628D506C" w14:textId="77777777" w:rsidR="002F47A0" w:rsidRPr="009E686F" w:rsidRDefault="002F47A0" w:rsidP="002F47A0">
            <w:pPr>
              <w:spacing w:after="0"/>
              <w:jc w:val="both"/>
              <w:rPr>
                <w:rFonts w:ascii="Times New Roman" w:hAnsi="Times New Roman" w:cs="Times New Roman"/>
                <w:bCs/>
                <w:lang w:val="ro-RO"/>
              </w:rPr>
            </w:pPr>
            <w:r w:rsidRPr="009E686F">
              <w:rPr>
                <w:rFonts w:ascii="Times New Roman" w:hAnsi="Times New Roman" w:cs="Times New Roman"/>
                <w:bCs/>
                <w:lang w:val="ro-RO"/>
              </w:rPr>
              <w:t>3) numărul total de angajaţi;</w:t>
            </w:r>
          </w:p>
          <w:p w14:paraId="62533C70" w14:textId="77777777" w:rsidR="002F47A0" w:rsidRPr="009E686F" w:rsidRDefault="002F47A0" w:rsidP="002F47A0">
            <w:pPr>
              <w:spacing w:after="0"/>
              <w:jc w:val="both"/>
              <w:rPr>
                <w:rFonts w:ascii="Times New Roman" w:hAnsi="Times New Roman" w:cs="Times New Roman"/>
                <w:bCs/>
                <w:lang w:val="ro-RO"/>
              </w:rPr>
            </w:pPr>
            <w:r w:rsidRPr="009E686F">
              <w:rPr>
                <w:rFonts w:ascii="Times New Roman" w:hAnsi="Times New Roman" w:cs="Times New Roman"/>
                <w:bCs/>
                <w:lang w:val="ro-RO"/>
              </w:rPr>
              <w:t>4) profitul sau pierderea înainte de impozitare;</w:t>
            </w:r>
          </w:p>
          <w:p w14:paraId="2E428289" w14:textId="77777777" w:rsidR="002F47A0" w:rsidRPr="009E686F" w:rsidRDefault="002F47A0" w:rsidP="002F47A0">
            <w:pPr>
              <w:spacing w:after="0"/>
              <w:jc w:val="both"/>
              <w:rPr>
                <w:rFonts w:ascii="Times New Roman" w:hAnsi="Times New Roman" w:cs="Times New Roman"/>
                <w:bCs/>
                <w:lang w:val="ro-RO"/>
              </w:rPr>
            </w:pPr>
            <w:r w:rsidRPr="009E686F">
              <w:rPr>
                <w:rFonts w:ascii="Times New Roman" w:hAnsi="Times New Roman" w:cs="Times New Roman"/>
                <w:bCs/>
                <w:lang w:val="ro-RO"/>
              </w:rPr>
              <w:t>5) impozitul pe profit sau pierdere;</w:t>
            </w:r>
          </w:p>
          <w:p w14:paraId="1269AE05" w14:textId="4896802F" w:rsidR="002F47A0" w:rsidRPr="009E686F" w:rsidRDefault="002F47A0" w:rsidP="002F47A0">
            <w:pPr>
              <w:spacing w:after="0"/>
              <w:jc w:val="both"/>
              <w:rPr>
                <w:rFonts w:ascii="Times New Roman" w:hAnsi="Times New Roman" w:cs="Times New Roman"/>
                <w:b/>
                <w:lang w:val="ro-RO"/>
              </w:rPr>
            </w:pPr>
            <w:r w:rsidRPr="009E686F">
              <w:rPr>
                <w:rFonts w:ascii="Times New Roman" w:hAnsi="Times New Roman" w:cs="Times New Roman"/>
                <w:bCs/>
                <w:lang w:val="ro-RO"/>
              </w:rPr>
              <w:t>6) subvenţii publice primite.</w:t>
            </w:r>
          </w:p>
        </w:tc>
        <w:tc>
          <w:tcPr>
            <w:tcW w:w="470" w:type="pct"/>
            <w:tcBorders>
              <w:top w:val="single" w:sz="4" w:space="0" w:color="auto"/>
              <w:left w:val="single" w:sz="4" w:space="0" w:color="auto"/>
              <w:bottom w:val="single" w:sz="4" w:space="0" w:color="auto"/>
              <w:right w:val="single" w:sz="4" w:space="0" w:color="auto"/>
            </w:tcBorders>
          </w:tcPr>
          <w:p w14:paraId="45297B6F" w14:textId="77777777"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p w14:paraId="7B45BE45" w14:textId="77777777" w:rsidR="002F47A0" w:rsidRPr="009E686F" w:rsidRDefault="002F47A0" w:rsidP="002F47A0">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3DA14FB5" w14:textId="77777777" w:rsidR="002F47A0" w:rsidRPr="009E686F" w:rsidRDefault="002F47A0" w:rsidP="002F47A0">
            <w:pPr>
              <w:jc w:val="both"/>
              <w:rPr>
                <w:rFonts w:ascii="Times New Roman" w:hAnsi="Times New Roman" w:cs="Times New Roman"/>
                <w:lang w:val="ro-RO"/>
              </w:rPr>
            </w:pPr>
          </w:p>
        </w:tc>
      </w:tr>
      <w:tr w:rsidR="002F47A0" w:rsidRPr="009E686F" w14:paraId="7E692A1F" w14:textId="335AC70D" w:rsidTr="00774F3E">
        <w:tc>
          <w:tcPr>
            <w:tcW w:w="1796" w:type="pct"/>
            <w:gridSpan w:val="2"/>
            <w:tcBorders>
              <w:top w:val="single" w:sz="4" w:space="0" w:color="auto"/>
              <w:left w:val="single" w:sz="4" w:space="0" w:color="auto"/>
              <w:bottom w:val="single" w:sz="4" w:space="0" w:color="auto"/>
              <w:right w:val="single" w:sz="4" w:space="0" w:color="auto"/>
            </w:tcBorders>
          </w:tcPr>
          <w:p w14:paraId="7BC243F0"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 xml:space="preserve">(2) Fără a aduce atingere alineatului (1), statele membre solicită instituțiilor să comunice informațiile menționate la alineatul (1) literele (a), (b) și (c) pentru prima dată la 1 iulie 2014. (3) </w:t>
            </w:r>
          </w:p>
          <w:p w14:paraId="3C70C8DE" w14:textId="380FBF0E"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 xml:space="preserve">Până la 1 iulie 2014 toate instituțiile globale de importanță sistemică autorizate în Uniune, astfel cum au fost identificate la nivel internațional, transmit Comisiei informațiile menționate la alineatul (1) literele (d), (e) și (f) pe bază de confidențialitate de către. Comisia, după consultarea ABE, AEAPO și AEVMP, după caz, desfășoară o evaluare generală în legătură cu potențialele consecințe economice negative ale publicării unor astfel de informații, inclusiv impactul asupra competitivității, disponibilitatea investițiilor și a creditelor și stabilitatea sistemului financiar. </w:t>
            </w:r>
          </w:p>
        </w:tc>
        <w:tc>
          <w:tcPr>
            <w:tcW w:w="1928" w:type="pct"/>
            <w:gridSpan w:val="3"/>
            <w:tcBorders>
              <w:top w:val="single" w:sz="4" w:space="0" w:color="auto"/>
              <w:left w:val="single" w:sz="4" w:space="0" w:color="auto"/>
              <w:bottom w:val="single" w:sz="4" w:space="0" w:color="auto"/>
              <w:right w:val="single" w:sz="4" w:space="0" w:color="auto"/>
            </w:tcBorders>
          </w:tcPr>
          <w:p w14:paraId="43DFB734" w14:textId="77777777" w:rsidR="002F47A0" w:rsidRPr="009E686F" w:rsidRDefault="002F47A0" w:rsidP="002F47A0">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4BC00463" w14:textId="6AE3CB53"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Norme neaplicabile</w:t>
            </w:r>
          </w:p>
          <w:p w14:paraId="788416BC" w14:textId="6B5D5F76" w:rsidR="002F47A0" w:rsidRPr="009E686F" w:rsidRDefault="002F47A0" w:rsidP="002F47A0">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2E04D090" w14:textId="3C03F6CB"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Norme care nu se aplică situației Republicii Moldova care nu era stat membru la această dată.</w:t>
            </w:r>
          </w:p>
        </w:tc>
      </w:tr>
      <w:tr w:rsidR="002F47A0" w:rsidRPr="009E686F" w14:paraId="3B25CB28" w14:textId="72889AA5" w:rsidTr="00774F3E">
        <w:tc>
          <w:tcPr>
            <w:tcW w:w="1796" w:type="pct"/>
            <w:gridSpan w:val="2"/>
            <w:tcBorders>
              <w:top w:val="single" w:sz="4" w:space="0" w:color="auto"/>
              <w:left w:val="single" w:sz="4" w:space="0" w:color="auto"/>
              <w:bottom w:val="single" w:sz="4" w:space="0" w:color="auto"/>
              <w:right w:val="single" w:sz="4" w:space="0" w:color="auto"/>
            </w:tcBorders>
          </w:tcPr>
          <w:p w14:paraId="48ED19BD" w14:textId="0D2FAAF6"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 xml:space="preserve">Până la 31 decembrie 2014, Comisia își prezintă raportul Parlamentului European și Consiliului.În cazul în care raportul Comisiei identifică efecte negative semnificative, Comisia va lua în considerare elaborarea unei propuneri legislative adecvate de modificare a obligațiilor de comunicare prevăzute la alineatul (1) și poate, în conformitate cu articolul 145 litera (h), să reporteze </w:t>
            </w:r>
            <w:r w:rsidRPr="009E686F">
              <w:rPr>
                <w:rFonts w:ascii="Times New Roman" w:hAnsi="Times New Roman" w:cs="Times New Roman"/>
                <w:lang w:val="ro-RO"/>
              </w:rPr>
              <w:lastRenderedPageBreak/>
              <w:t>obligațiile respective. Comisia revizuiește anual necesitatea de a extinde respectiva reportare.</w:t>
            </w:r>
          </w:p>
        </w:tc>
        <w:tc>
          <w:tcPr>
            <w:tcW w:w="1928" w:type="pct"/>
            <w:gridSpan w:val="3"/>
            <w:tcBorders>
              <w:top w:val="single" w:sz="4" w:space="0" w:color="auto"/>
              <w:left w:val="single" w:sz="4" w:space="0" w:color="auto"/>
              <w:bottom w:val="single" w:sz="4" w:space="0" w:color="auto"/>
              <w:right w:val="single" w:sz="4" w:space="0" w:color="auto"/>
            </w:tcBorders>
          </w:tcPr>
          <w:p w14:paraId="080456A7" w14:textId="77777777" w:rsidR="002F47A0" w:rsidRPr="009E686F" w:rsidRDefault="002F47A0" w:rsidP="002F47A0">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1E516493" w14:textId="2C491F2B"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Norme UE neaplicabile</w:t>
            </w:r>
          </w:p>
          <w:p w14:paraId="297CFDEA" w14:textId="7ADE8929" w:rsidR="002F47A0" w:rsidRPr="009E686F" w:rsidRDefault="002F47A0" w:rsidP="002F47A0">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6E0A0BD6" w14:textId="2DD71C87"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Se referă la competențele Comisiei Europene.</w:t>
            </w:r>
          </w:p>
        </w:tc>
      </w:tr>
      <w:tr w:rsidR="002F47A0" w:rsidRPr="009E686F" w14:paraId="64FAF685" w14:textId="3CC08B80" w:rsidTr="00774F3E">
        <w:trPr>
          <w:trHeight w:val="2026"/>
        </w:trPr>
        <w:tc>
          <w:tcPr>
            <w:tcW w:w="1796" w:type="pct"/>
            <w:gridSpan w:val="2"/>
            <w:tcBorders>
              <w:top w:val="single" w:sz="4" w:space="0" w:color="auto"/>
              <w:left w:val="single" w:sz="4" w:space="0" w:color="auto"/>
              <w:bottom w:val="single" w:sz="4" w:space="0" w:color="auto"/>
              <w:right w:val="single" w:sz="4" w:space="0" w:color="auto"/>
            </w:tcBorders>
          </w:tcPr>
          <w:p w14:paraId="07EE1BF1" w14:textId="600693E9"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(4) Informațiile prevăzute la alineatul (1) sunt supuse auditului în conformitate cu Directiva 2006/43/CE și sunt publicate, în cazul în care este posibil, ca anexă la propriile declarații financiare anuale sau la declarația financiară consolidată a instituției respective, după caz.</w:t>
            </w:r>
          </w:p>
        </w:tc>
        <w:tc>
          <w:tcPr>
            <w:tcW w:w="1928" w:type="pct"/>
            <w:gridSpan w:val="3"/>
            <w:tcBorders>
              <w:top w:val="single" w:sz="4" w:space="0" w:color="auto"/>
              <w:left w:val="single" w:sz="4" w:space="0" w:color="auto"/>
              <w:bottom w:val="single" w:sz="4" w:space="0" w:color="auto"/>
              <w:right w:val="single" w:sz="4" w:space="0" w:color="auto"/>
            </w:tcBorders>
          </w:tcPr>
          <w:p w14:paraId="18FB466E" w14:textId="77777777" w:rsidR="002F47A0" w:rsidRPr="009E686F" w:rsidRDefault="002F47A0" w:rsidP="002F47A0">
            <w:pPr>
              <w:spacing w:after="0"/>
              <w:jc w:val="both"/>
              <w:rPr>
                <w:rFonts w:ascii="Times New Roman" w:hAnsi="Times New Roman" w:cs="Times New Roman"/>
                <w:b/>
                <w:bCs/>
                <w:lang w:val="ro-RO"/>
              </w:rPr>
            </w:pPr>
            <w:r w:rsidRPr="009E686F">
              <w:rPr>
                <w:rFonts w:ascii="Times New Roman" w:hAnsi="Times New Roman" w:cs="Times New Roman"/>
                <w:b/>
                <w:bCs/>
                <w:lang w:val="ro-RO"/>
              </w:rPr>
              <w:t>Articolul 91 alin. (3)</w:t>
            </w:r>
          </w:p>
          <w:p w14:paraId="6130FB0E" w14:textId="0AC4169D"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 xml:space="preserve">(3) [...] Informațiile respective sunt supuse auditului în conformitate cu art. 85 și sunt publicate ca anexă la propriile situații financiare anuale individuale și consolidate ale </w:t>
            </w:r>
            <w:r w:rsidRPr="009E686F">
              <w:rPr>
                <w:rFonts w:ascii="Times New Roman" w:hAnsi="Times New Roman" w:cs="Times New Roman"/>
                <w:i/>
                <w:iCs/>
                <w:lang w:val="ro-RO"/>
              </w:rPr>
              <w:t>instituției de credit</w:t>
            </w:r>
            <w:r w:rsidRPr="009E686F">
              <w:rPr>
                <w:rFonts w:ascii="Times New Roman" w:hAnsi="Times New Roman" w:cs="Times New Roman"/>
                <w:lang w:val="ro-RO"/>
              </w:rPr>
              <w:t xml:space="preserve">  respective.</w:t>
            </w:r>
          </w:p>
        </w:tc>
        <w:tc>
          <w:tcPr>
            <w:tcW w:w="470" w:type="pct"/>
            <w:tcBorders>
              <w:top w:val="single" w:sz="4" w:space="0" w:color="auto"/>
              <w:left w:val="single" w:sz="4" w:space="0" w:color="auto"/>
              <w:bottom w:val="single" w:sz="4" w:space="0" w:color="auto"/>
              <w:right w:val="single" w:sz="4" w:space="0" w:color="auto"/>
            </w:tcBorders>
          </w:tcPr>
          <w:p w14:paraId="2F1C1FC1" w14:textId="51D6A5F0"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2E19AC95" w14:textId="413C62FA" w:rsidR="002F47A0" w:rsidRPr="009E686F" w:rsidRDefault="002F47A0" w:rsidP="002F47A0">
            <w:pPr>
              <w:jc w:val="both"/>
              <w:rPr>
                <w:rFonts w:ascii="Times New Roman" w:hAnsi="Times New Roman" w:cs="Times New Roman"/>
                <w:lang w:val="ro-RO"/>
              </w:rPr>
            </w:pPr>
          </w:p>
        </w:tc>
      </w:tr>
      <w:tr w:rsidR="002F47A0" w:rsidRPr="009E686F" w14:paraId="2CFD55DC" w14:textId="42D90763" w:rsidTr="00774F3E">
        <w:tc>
          <w:tcPr>
            <w:tcW w:w="1796" w:type="pct"/>
            <w:gridSpan w:val="2"/>
            <w:tcBorders>
              <w:top w:val="single" w:sz="4" w:space="0" w:color="auto"/>
              <w:left w:val="single" w:sz="4" w:space="0" w:color="auto"/>
              <w:bottom w:val="single" w:sz="4" w:space="0" w:color="auto"/>
              <w:right w:val="single" w:sz="4" w:space="0" w:color="auto"/>
            </w:tcBorders>
          </w:tcPr>
          <w:p w14:paraId="6EECF759" w14:textId="0CBDAEE8"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(5) În măsura în care actele legislative viitoare ale Uniunii pentru obligațiile de comunicare depășesc ceea ce este prevăzut la prezentul articol, prezentul articol încetează să se aplice și va fi eliminat în mod corespunzător.</w:t>
            </w:r>
          </w:p>
        </w:tc>
        <w:tc>
          <w:tcPr>
            <w:tcW w:w="1928" w:type="pct"/>
            <w:gridSpan w:val="3"/>
            <w:tcBorders>
              <w:top w:val="single" w:sz="4" w:space="0" w:color="auto"/>
              <w:left w:val="single" w:sz="4" w:space="0" w:color="auto"/>
              <w:bottom w:val="single" w:sz="4" w:space="0" w:color="auto"/>
              <w:right w:val="single" w:sz="4" w:space="0" w:color="auto"/>
            </w:tcBorders>
          </w:tcPr>
          <w:p w14:paraId="2BD1D548" w14:textId="77777777" w:rsidR="002F47A0" w:rsidRPr="009E686F" w:rsidRDefault="002F47A0" w:rsidP="002F47A0">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0B61AB0D" w14:textId="731C4B6A"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Norme UE neaplicabile</w:t>
            </w:r>
          </w:p>
          <w:p w14:paraId="2BEFE3A7" w14:textId="519F39BE" w:rsidR="002F47A0" w:rsidRPr="009E686F" w:rsidRDefault="002F47A0" w:rsidP="002F47A0">
            <w:pPr>
              <w:jc w:val="both"/>
              <w:rPr>
                <w:rFonts w:ascii="Times New Roman" w:hAnsi="Times New Roman" w:cs="Times New Roman"/>
              </w:rPr>
            </w:pPr>
          </w:p>
        </w:tc>
        <w:tc>
          <w:tcPr>
            <w:tcW w:w="806" w:type="pct"/>
            <w:tcBorders>
              <w:top w:val="single" w:sz="4" w:space="0" w:color="auto"/>
              <w:left w:val="single" w:sz="4" w:space="0" w:color="auto"/>
              <w:bottom w:val="single" w:sz="4" w:space="0" w:color="auto"/>
              <w:right w:val="single" w:sz="4" w:space="0" w:color="auto"/>
            </w:tcBorders>
          </w:tcPr>
          <w:p w14:paraId="24E33948" w14:textId="77777777" w:rsidR="002F47A0" w:rsidRPr="009E686F" w:rsidRDefault="002F47A0" w:rsidP="002F47A0">
            <w:pPr>
              <w:jc w:val="both"/>
              <w:rPr>
                <w:rFonts w:ascii="Times New Roman" w:hAnsi="Times New Roman" w:cs="Times New Roman"/>
                <w:lang w:val="ro-RO"/>
              </w:rPr>
            </w:pPr>
          </w:p>
        </w:tc>
      </w:tr>
      <w:tr w:rsidR="002F47A0" w:rsidRPr="009E686F" w14:paraId="684186DA"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3882E78C" w14:textId="4AD9BECD"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(6)   Până la 1 ianuarie 2021, Comisia, după ce se consultă cu ABE, EIOPA și ESMA, analizează dacă informațiile menționate la literele (a)-(f) de la alineatul (1) sunt încă adecvate, ținând seama totodată de evaluările de impact anterioare, de acordurile internaționale și de evoluțiile legislative din Uniune, precum și dacă la alineatul (1) pot fi adăugate alte cereri de informații relevante.</w:t>
            </w:r>
          </w:p>
          <w:p w14:paraId="4695CDD7" w14:textId="10F9B79C"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Până la 30 iunie 2021, pe baza consultărilor cu ABE, EIOPA și ESMA, Comisia transmite Parlamentului European și Consiliului un raport privind analiza menționată la prezentul alineat, însoțit, dacă este cazul, de o propunere legislativă.</w:t>
            </w:r>
          </w:p>
        </w:tc>
        <w:tc>
          <w:tcPr>
            <w:tcW w:w="1928" w:type="pct"/>
            <w:gridSpan w:val="3"/>
            <w:tcBorders>
              <w:top w:val="single" w:sz="4" w:space="0" w:color="auto"/>
              <w:left w:val="single" w:sz="4" w:space="0" w:color="auto"/>
              <w:bottom w:val="single" w:sz="4" w:space="0" w:color="auto"/>
              <w:right w:val="single" w:sz="4" w:space="0" w:color="auto"/>
            </w:tcBorders>
          </w:tcPr>
          <w:p w14:paraId="235AA896" w14:textId="77777777" w:rsidR="002F47A0" w:rsidRPr="009E686F" w:rsidRDefault="002F47A0" w:rsidP="002F47A0">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3E7FA55E" w14:textId="75E24ACB"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Norme UE neaplicabile</w:t>
            </w:r>
          </w:p>
          <w:p w14:paraId="68024A59" w14:textId="77777777" w:rsidR="002F47A0" w:rsidRPr="009E686F" w:rsidRDefault="002F47A0" w:rsidP="002F47A0">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3AEB1997" w14:textId="090F0DF7"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Se referă la competențele Comisiei Europene.</w:t>
            </w:r>
          </w:p>
        </w:tc>
      </w:tr>
      <w:tr w:rsidR="002F47A0" w:rsidRPr="009E686F" w14:paraId="7FE29B66" w14:textId="7CD4A463" w:rsidTr="00774F3E">
        <w:tc>
          <w:tcPr>
            <w:tcW w:w="1796" w:type="pct"/>
            <w:gridSpan w:val="2"/>
            <w:tcBorders>
              <w:top w:val="single" w:sz="4" w:space="0" w:color="auto"/>
              <w:left w:val="single" w:sz="4" w:space="0" w:color="auto"/>
              <w:bottom w:val="single" w:sz="4" w:space="0" w:color="auto"/>
              <w:right w:val="single" w:sz="4" w:space="0" w:color="auto"/>
            </w:tcBorders>
          </w:tcPr>
          <w:p w14:paraId="22806ACD" w14:textId="77777777" w:rsidR="002F47A0" w:rsidRPr="009E686F" w:rsidRDefault="002F47A0" w:rsidP="002F47A0">
            <w:pPr>
              <w:spacing w:after="0"/>
              <w:jc w:val="both"/>
              <w:rPr>
                <w:rFonts w:ascii="Times New Roman" w:hAnsi="Times New Roman" w:cs="Times New Roman"/>
                <w:i/>
                <w:iCs/>
                <w:lang w:val="ro-RO"/>
              </w:rPr>
            </w:pPr>
            <w:r w:rsidRPr="009E686F">
              <w:rPr>
                <w:rFonts w:ascii="Times New Roman" w:hAnsi="Times New Roman" w:cs="Times New Roman"/>
                <w:i/>
                <w:iCs/>
                <w:lang w:val="ro-RO"/>
              </w:rPr>
              <w:t xml:space="preserve">Articolul 90 </w:t>
            </w:r>
          </w:p>
          <w:p w14:paraId="0C4A225A" w14:textId="4166DEDC"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Publicarea rentabilității activelor</w:t>
            </w:r>
          </w:p>
          <w:p w14:paraId="13149CAE"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Printre indicatorii-cheie din rapoartele lor anuale, instituțiile publică rentabilitatea activelor lor, calculată ca profitul net realizat împărțit la valoarea totală a bilanțului.</w:t>
            </w:r>
          </w:p>
        </w:tc>
        <w:tc>
          <w:tcPr>
            <w:tcW w:w="1928" w:type="pct"/>
            <w:gridSpan w:val="3"/>
            <w:tcBorders>
              <w:top w:val="single" w:sz="4" w:space="0" w:color="auto"/>
              <w:left w:val="single" w:sz="4" w:space="0" w:color="auto"/>
              <w:bottom w:val="single" w:sz="4" w:space="0" w:color="auto"/>
              <w:right w:val="single" w:sz="4" w:space="0" w:color="auto"/>
            </w:tcBorders>
          </w:tcPr>
          <w:p w14:paraId="6A7F1AF9" w14:textId="77777777" w:rsidR="002F47A0" w:rsidRPr="009E686F" w:rsidRDefault="002F47A0" w:rsidP="002F47A0">
            <w:pPr>
              <w:spacing w:after="0"/>
              <w:jc w:val="both"/>
              <w:rPr>
                <w:rFonts w:ascii="Times New Roman" w:hAnsi="Times New Roman" w:cs="Times New Roman"/>
                <w:b/>
                <w:bCs/>
                <w:color w:val="000000" w:themeColor="text1"/>
                <w:lang w:val="ro-RO"/>
              </w:rPr>
            </w:pPr>
            <w:r w:rsidRPr="009E686F">
              <w:rPr>
                <w:rFonts w:ascii="Times New Roman" w:hAnsi="Times New Roman" w:cs="Times New Roman"/>
                <w:b/>
                <w:bCs/>
                <w:color w:val="000000" w:themeColor="text1"/>
                <w:lang w:val="ro-RO"/>
              </w:rPr>
              <w:t xml:space="preserve">Pct. 22 din </w:t>
            </w:r>
            <w:r w:rsidRPr="009E686F">
              <w:rPr>
                <w:rFonts w:ascii="Times New Roman" w:hAnsi="Times New Roman" w:cs="Times New Roman"/>
                <w:b/>
                <w:bCs/>
                <w:lang w:val="ro-RO"/>
              </w:rPr>
              <w:t>Regulamentul cu privire la cerinţele de publicare a informaţiilor de către bănci, aprobat prin HCE nr. 158/2020</w:t>
            </w:r>
          </w:p>
          <w:p w14:paraId="529022AD" w14:textId="0A15939E" w:rsidR="002F47A0" w:rsidRPr="009E686F" w:rsidRDefault="002F47A0" w:rsidP="002F47A0">
            <w:pPr>
              <w:spacing w:after="0"/>
              <w:jc w:val="both"/>
              <w:rPr>
                <w:rFonts w:ascii="Times New Roman" w:hAnsi="Times New Roman" w:cs="Times New Roman"/>
                <w:color w:val="000000" w:themeColor="text1"/>
                <w:lang w:val="ro-RO"/>
              </w:rPr>
            </w:pPr>
            <w:r w:rsidRPr="009E686F">
              <w:rPr>
                <w:rFonts w:ascii="Times New Roman" w:hAnsi="Times New Roman" w:cs="Times New Roman"/>
                <w:color w:val="000000" w:themeColor="text1"/>
                <w:lang w:val="ro-RO"/>
              </w:rPr>
              <w:t xml:space="preserve">22. Informaţia publicată pe pagina web a băncii conform capitolelor IV - VII va fi accesibilă la o distanţă de maxim 3 click- uri. Totodată, banca va plasa la nivelul ierarhic superior </w:t>
            </w:r>
            <w:r w:rsidRPr="009E686F">
              <w:rPr>
                <w:rFonts w:ascii="Times New Roman" w:hAnsi="Times New Roman" w:cs="Times New Roman"/>
                <w:color w:val="000000" w:themeColor="text1"/>
                <w:lang w:val="ro-RO"/>
              </w:rPr>
              <w:lastRenderedPageBreak/>
              <w:t>al structurii informaţionale a paginii web (pe pagina principală) compartimentul "Publicarea informaţiei" care va conţine următoarele subcompartimente:</w:t>
            </w:r>
          </w:p>
          <w:p w14:paraId="626BB08B" w14:textId="7E8F1A17" w:rsidR="002F47A0" w:rsidRPr="009E686F" w:rsidRDefault="002F47A0" w:rsidP="002F47A0">
            <w:pPr>
              <w:spacing w:after="0"/>
              <w:jc w:val="both"/>
              <w:rPr>
                <w:rFonts w:ascii="Times New Roman" w:hAnsi="Times New Roman" w:cs="Times New Roman"/>
                <w:color w:val="000000" w:themeColor="text1"/>
                <w:lang w:val="ro-RO"/>
              </w:rPr>
            </w:pPr>
            <w:r w:rsidRPr="009E686F">
              <w:rPr>
                <w:rFonts w:ascii="Times New Roman" w:hAnsi="Times New Roman" w:cs="Times New Roman"/>
                <w:color w:val="000000" w:themeColor="text1"/>
                <w:lang w:val="ro-RO"/>
              </w:rPr>
              <w:t>1) "Informaţia privind activitatea economico-financiară";</w:t>
            </w:r>
          </w:p>
          <w:p w14:paraId="41DDE5FA" w14:textId="1F97BF47" w:rsidR="002F47A0" w:rsidRPr="009E686F" w:rsidRDefault="002F47A0" w:rsidP="002F47A0">
            <w:pPr>
              <w:spacing w:after="0"/>
              <w:jc w:val="both"/>
              <w:rPr>
                <w:rFonts w:ascii="Times New Roman" w:hAnsi="Times New Roman" w:cs="Times New Roman"/>
                <w:color w:val="000000" w:themeColor="text1"/>
                <w:lang w:val="ro-RO"/>
              </w:rPr>
            </w:pPr>
            <w:r w:rsidRPr="009E686F">
              <w:rPr>
                <w:rFonts w:ascii="Times New Roman" w:hAnsi="Times New Roman" w:cs="Times New Roman"/>
                <w:color w:val="000000" w:themeColor="text1"/>
                <w:lang w:val="ro-RO"/>
              </w:rPr>
              <w:t>Anexa nr.1 Informaţie privind activitatea economico-financiară</w:t>
            </w:r>
          </w:p>
          <w:p w14:paraId="0D6ABDA2" w14:textId="147E504E" w:rsidR="002F47A0" w:rsidRPr="009E686F" w:rsidRDefault="002F47A0" w:rsidP="002F47A0">
            <w:pPr>
              <w:spacing w:after="0"/>
              <w:jc w:val="both"/>
              <w:rPr>
                <w:rFonts w:ascii="Times New Roman" w:hAnsi="Times New Roman" w:cs="Times New Roman"/>
                <w:color w:val="000000" w:themeColor="text1"/>
                <w:lang w:val="ro-RO"/>
              </w:rPr>
            </w:pPr>
            <w:r w:rsidRPr="009E686F">
              <w:rPr>
                <w:rFonts w:ascii="Times New Roman" w:hAnsi="Times New Roman" w:cs="Times New Roman"/>
                <w:color w:val="000000" w:themeColor="text1"/>
                <w:lang w:val="ro-RO"/>
              </w:rPr>
              <w:t>3.1Rentabilitatea activelor (ROA).</w:t>
            </w:r>
          </w:p>
        </w:tc>
        <w:tc>
          <w:tcPr>
            <w:tcW w:w="470" w:type="pct"/>
            <w:tcBorders>
              <w:top w:val="single" w:sz="4" w:space="0" w:color="auto"/>
              <w:left w:val="single" w:sz="4" w:space="0" w:color="auto"/>
              <w:bottom w:val="single" w:sz="4" w:space="0" w:color="auto"/>
              <w:right w:val="single" w:sz="4" w:space="0" w:color="auto"/>
            </w:tcBorders>
          </w:tcPr>
          <w:p w14:paraId="3F1AE8F3" w14:textId="77777777"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lastRenderedPageBreak/>
              <w:t>Compatibil</w:t>
            </w:r>
          </w:p>
          <w:p w14:paraId="27263597" w14:textId="4F5C4525" w:rsidR="002F47A0" w:rsidRPr="009E686F" w:rsidRDefault="002F47A0" w:rsidP="002F47A0">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331364D6" w14:textId="77777777" w:rsidR="002F47A0" w:rsidRPr="009E686F" w:rsidRDefault="002F47A0" w:rsidP="002F47A0">
            <w:pPr>
              <w:jc w:val="both"/>
              <w:rPr>
                <w:rFonts w:ascii="Times New Roman" w:hAnsi="Times New Roman" w:cs="Times New Roman"/>
                <w:lang w:val="ro-RO"/>
              </w:rPr>
            </w:pPr>
          </w:p>
        </w:tc>
      </w:tr>
      <w:tr w:rsidR="002F47A0" w:rsidRPr="009E686F" w14:paraId="68330514" w14:textId="72C03C92" w:rsidTr="00774F3E">
        <w:tc>
          <w:tcPr>
            <w:tcW w:w="1796" w:type="pct"/>
            <w:gridSpan w:val="2"/>
            <w:tcBorders>
              <w:top w:val="single" w:sz="4" w:space="0" w:color="auto"/>
              <w:left w:val="single" w:sz="4" w:space="0" w:color="auto"/>
              <w:bottom w:val="single" w:sz="4" w:space="0" w:color="auto"/>
              <w:right w:val="single" w:sz="4" w:space="0" w:color="auto"/>
            </w:tcBorders>
          </w:tcPr>
          <w:p w14:paraId="6904FCE4" w14:textId="0040D93F"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i/>
                <w:iCs/>
                <w:lang w:val="ro-RO"/>
              </w:rPr>
              <w:t>Articolul 91</w:t>
            </w:r>
          </w:p>
          <w:p w14:paraId="7EAE0ED4" w14:textId="22ACD1DF"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Organul de conducere</w:t>
            </w:r>
          </w:p>
        </w:tc>
        <w:tc>
          <w:tcPr>
            <w:tcW w:w="1928" w:type="pct"/>
            <w:gridSpan w:val="3"/>
            <w:tcBorders>
              <w:top w:val="single" w:sz="4" w:space="0" w:color="auto"/>
              <w:left w:val="single" w:sz="4" w:space="0" w:color="auto"/>
              <w:bottom w:val="single" w:sz="4" w:space="0" w:color="auto"/>
              <w:right w:val="single" w:sz="4" w:space="0" w:color="auto"/>
            </w:tcBorders>
          </w:tcPr>
          <w:p w14:paraId="06AFFB06" w14:textId="047F4E72" w:rsidR="002F47A0" w:rsidRPr="009E686F" w:rsidRDefault="002F47A0" w:rsidP="002F47A0">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b/>
                <w:bCs/>
                <w:kern w:val="2"/>
                <w:lang w:val="ro-MD"/>
              </w:rPr>
              <w:t>Articolul 43.</w:t>
            </w:r>
            <w:r w:rsidRPr="009E686F">
              <w:rPr>
                <w:rFonts w:ascii="Times New Roman" w:eastAsia="Aptos" w:hAnsi="Times New Roman" w:cs="Times New Roman"/>
                <w:kern w:val="2"/>
                <w:lang w:val="ro-MD"/>
              </w:rPr>
              <w:t xml:space="preserve"> Membrii organului de conducere, </w:t>
            </w:r>
            <w:r w:rsidRPr="009E686F">
              <w:rPr>
                <w:rFonts w:ascii="Times New Roman" w:eastAsia="Aptos" w:hAnsi="Times New Roman" w:cs="Times New Roman"/>
                <w:i/>
                <w:iCs/>
                <w:kern w:val="2"/>
                <w:lang w:val="ro-MD"/>
              </w:rPr>
              <w:t>conducerea superioară</w:t>
            </w:r>
            <w:r w:rsidRPr="009E686F">
              <w:rPr>
                <w:rFonts w:ascii="Times New Roman" w:eastAsia="Aptos" w:hAnsi="Times New Roman" w:cs="Times New Roman"/>
                <w:kern w:val="2"/>
                <w:lang w:val="ro-MD"/>
              </w:rPr>
              <w:t xml:space="preserve"> și evaluarea adecvării</w:t>
            </w:r>
          </w:p>
        </w:tc>
        <w:tc>
          <w:tcPr>
            <w:tcW w:w="470" w:type="pct"/>
            <w:tcBorders>
              <w:top w:val="single" w:sz="4" w:space="0" w:color="auto"/>
              <w:left w:val="single" w:sz="4" w:space="0" w:color="auto"/>
              <w:bottom w:val="single" w:sz="4" w:space="0" w:color="auto"/>
              <w:right w:val="single" w:sz="4" w:space="0" w:color="auto"/>
            </w:tcBorders>
          </w:tcPr>
          <w:p w14:paraId="283DDC23" w14:textId="7043B731"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2AF1397C" w14:textId="77777777" w:rsidR="002F47A0" w:rsidRPr="009E686F" w:rsidRDefault="002F47A0" w:rsidP="002F47A0">
            <w:pPr>
              <w:jc w:val="both"/>
              <w:rPr>
                <w:rFonts w:ascii="Times New Roman" w:hAnsi="Times New Roman" w:cs="Times New Roman"/>
                <w:lang w:val="ro-RO"/>
              </w:rPr>
            </w:pPr>
          </w:p>
        </w:tc>
      </w:tr>
      <w:tr w:rsidR="002F47A0" w:rsidRPr="009E686F" w14:paraId="0FF897E0" w14:textId="77777777" w:rsidTr="00C379B5">
        <w:tc>
          <w:tcPr>
            <w:tcW w:w="1796" w:type="pct"/>
            <w:gridSpan w:val="2"/>
            <w:tcBorders>
              <w:top w:val="single" w:sz="4" w:space="0" w:color="auto"/>
              <w:left w:val="single" w:sz="4" w:space="0" w:color="auto"/>
              <w:right w:val="single" w:sz="4" w:space="0" w:color="auto"/>
            </w:tcBorders>
          </w:tcPr>
          <w:p w14:paraId="7027400C" w14:textId="5FBCEAED" w:rsidR="002F47A0" w:rsidRPr="009E686F" w:rsidRDefault="002F47A0" w:rsidP="002F47A0">
            <w:pPr>
              <w:spacing w:after="0"/>
              <w:jc w:val="both"/>
              <w:rPr>
                <w:rFonts w:ascii="Times New Roman" w:hAnsi="Times New Roman" w:cs="Times New Roman"/>
                <w:i/>
                <w:iCs/>
                <w:lang w:val="ro-RO"/>
              </w:rPr>
            </w:pPr>
            <w:r w:rsidRPr="009E686F">
              <w:rPr>
                <w:rFonts w:ascii="Times New Roman" w:hAnsi="Times New Roman" w:cs="Times New Roman"/>
                <w:lang w:val="ro-RO"/>
              </w:rPr>
              <w:t xml:space="preserve">(1)Instituțiile, societățile financiare holding și societățile financiare holding mixte cărora li s-a acordat aprobarea în conformitate cu articolul 21a alineatul (1), (denumite în continuare «entitățile») au responsabilitatea principală de a se asigura că membrii organului de conducere au în orice moment o reputație suficient de bună, acționează cu onestitate, integritate și pe baza unei gândiri independente,  posedă suficiente cunoștințe, competențe și experiență pentru a-și exercita atribuțiile și îndeplinesc criteriile și cerințele prevăzute la alineatele (2)-(6) de la prezentul articol, cu excepția administratorilor temporari numiți de autoritățile competente în temeiul articolului 29 alineatul (1) din Directiva 2014/59/UE și a administratorilor speciali numiți de autoritățile de rezoluție în temeiul articolului 35 alineatul (1) din respectiva directivă. Absența unei condamnări penale sau a unei urmăriri penale în curs pentru o infracțiune nu este suficientă în sine pentru a îndeplini cerința de a avea o bună reputație și de a acționa cu onestitate și integritate.  </w:t>
            </w:r>
          </w:p>
        </w:tc>
        <w:tc>
          <w:tcPr>
            <w:tcW w:w="1928" w:type="pct"/>
            <w:gridSpan w:val="3"/>
            <w:tcBorders>
              <w:top w:val="single" w:sz="4" w:space="0" w:color="auto"/>
              <w:left w:val="single" w:sz="4" w:space="0" w:color="auto"/>
              <w:right w:val="single" w:sz="4" w:space="0" w:color="auto"/>
            </w:tcBorders>
          </w:tcPr>
          <w:p w14:paraId="2CD0FE67" w14:textId="6E98B116" w:rsidR="002F47A0" w:rsidRPr="009E686F" w:rsidRDefault="002F47A0" w:rsidP="002F47A0">
            <w:pPr>
              <w:spacing w:after="0"/>
              <w:jc w:val="both"/>
              <w:rPr>
                <w:rFonts w:ascii="Times New Roman" w:hAnsi="Times New Roman" w:cs="Times New Roman"/>
                <w:i/>
                <w:lang w:val="ro-RO"/>
              </w:rPr>
            </w:pPr>
            <w:r w:rsidRPr="009E686F">
              <w:rPr>
                <w:rFonts w:ascii="Times New Roman" w:hAnsi="Times New Roman" w:cs="Times New Roman"/>
                <w:lang w:val="ro-RO"/>
              </w:rPr>
              <w:t>(</w:t>
            </w:r>
            <w:r w:rsidRPr="009E686F">
              <w:rPr>
                <w:rFonts w:ascii="Times New Roman" w:hAnsi="Times New Roman" w:cs="Times New Roman"/>
                <w:i/>
                <w:iCs/>
                <w:lang w:val="ro-RO"/>
              </w:rPr>
              <w:t>1) Instituțiile de credit și societățile financiare holding și societățile financiare holding mixte cărora li s-a acordat aprobarea în conformitate cu art. 116</w:t>
            </w:r>
            <w:r w:rsidRPr="009E686F">
              <w:rPr>
                <w:rFonts w:ascii="Times New Roman" w:hAnsi="Times New Roman" w:cs="Times New Roman"/>
                <w:i/>
                <w:iCs/>
                <w:vertAlign w:val="superscript"/>
                <w:lang w:val="ro-RO"/>
              </w:rPr>
              <w:t>1</w:t>
            </w:r>
            <w:r w:rsidRPr="009E686F">
              <w:rPr>
                <w:rFonts w:ascii="Times New Roman" w:hAnsi="Times New Roman" w:cs="Times New Roman"/>
                <w:i/>
                <w:iCs/>
                <w:lang w:val="ro-RO"/>
              </w:rPr>
              <w:t xml:space="preserve"> alin. (1) și (2), (denumite în continuare “entitățile”) au responsabilitatea principală de a se asigura că membrii organului de conducere</w:t>
            </w:r>
            <w:r w:rsidRPr="009E686F">
              <w:rPr>
                <w:lang w:val="ro-RO"/>
              </w:rPr>
              <w:t xml:space="preserve"> </w:t>
            </w:r>
            <w:r w:rsidRPr="009E686F">
              <w:rPr>
                <w:rFonts w:ascii="Times New Roman" w:hAnsi="Times New Roman" w:cs="Times New Roman"/>
                <w:i/>
                <w:iCs/>
                <w:lang w:val="ro-RO"/>
              </w:rPr>
              <w:t>sau persoanele care reprezintă conducerea superioară dispun, în orice moment de o reputație suficient de bună, acționează cu onestitate, integritate și pe baza unei gândiri independente, posedă suficiente cunoștințe, aptitudini și experiență pentru a-și exercita atribuțiile și îndeplinesc criteriile și cerințele prevăzute la art. 43</w:t>
            </w:r>
            <w:r w:rsidRPr="009E686F">
              <w:rPr>
                <w:rFonts w:ascii="Times New Roman" w:hAnsi="Times New Roman" w:cs="Times New Roman"/>
                <w:i/>
                <w:iCs/>
                <w:vertAlign w:val="superscript"/>
                <w:lang w:val="ro-RO"/>
              </w:rPr>
              <w:t>1</w:t>
            </w:r>
            <w:r w:rsidRPr="009E686F">
              <w:rPr>
                <w:rFonts w:ascii="Times New Roman" w:hAnsi="Times New Roman" w:cs="Times New Roman"/>
                <w:i/>
                <w:iCs/>
                <w:lang w:val="ro-RO"/>
              </w:rPr>
              <w:t xml:space="preserve">, cu excepția administratorilor temporari numiți de Banca Națională a Moldovei în temeiul art. 46 din Legea nr. 232/2016 și a administratorilor speciali numiți de Banca Națională a Moldovei în temeiul art. 66 din legea menționată. </w:t>
            </w:r>
            <w:r w:rsidRPr="009E686F">
              <w:rPr>
                <w:rFonts w:ascii="Times New Roman" w:hAnsi="Times New Roman" w:cs="Times New Roman"/>
                <w:i/>
                <w:lang w:val="ro-RO"/>
              </w:rPr>
              <w:t>Absența unei condamnări penale sau a unei urmăriri penale în curs pentru o infracțiune nu este suficientă în sine pentru a îndeplini cerința de a avea o bună reputație și de a acționa cu onestitate și integritate.</w:t>
            </w:r>
          </w:p>
        </w:tc>
        <w:tc>
          <w:tcPr>
            <w:tcW w:w="470" w:type="pct"/>
            <w:tcBorders>
              <w:top w:val="single" w:sz="4" w:space="0" w:color="auto"/>
              <w:left w:val="single" w:sz="4" w:space="0" w:color="auto"/>
              <w:bottom w:val="single" w:sz="4" w:space="0" w:color="auto"/>
              <w:right w:val="single" w:sz="4" w:space="0" w:color="auto"/>
            </w:tcBorders>
          </w:tcPr>
          <w:p w14:paraId="68BC7A93" w14:textId="610D8C82"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21B74C58" w14:textId="77777777" w:rsidR="002F47A0" w:rsidRPr="009E686F" w:rsidRDefault="002F47A0" w:rsidP="002F47A0">
            <w:pPr>
              <w:jc w:val="both"/>
              <w:rPr>
                <w:rFonts w:ascii="Times New Roman" w:hAnsi="Times New Roman" w:cs="Times New Roman"/>
                <w:lang w:val="ro-RO"/>
              </w:rPr>
            </w:pPr>
          </w:p>
        </w:tc>
      </w:tr>
      <w:tr w:rsidR="002F47A0" w:rsidRPr="009E686F" w14:paraId="30484498"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44C71E21" w14:textId="424777FF"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 xml:space="preserve">(1a)Entitățile se asigură că membrii organului de conducere îndeplinesc în orice moment criteriile și cerințele prevăzute la alineatele (2)-(6) și evaluează adecvarea membrilor organului de conducere ținând seama de așteptările în materie de supraveghere, înainte ca aceștia să-și preia </w:t>
            </w:r>
            <w:r w:rsidRPr="009E686F">
              <w:rPr>
                <w:rFonts w:ascii="Times New Roman" w:hAnsi="Times New Roman" w:cs="Times New Roman"/>
                <w:lang w:val="ro-RO"/>
              </w:rPr>
              <w:lastRenderedPageBreak/>
              <w:t>funcțiile și periodic, astfel cum se prevede în actele cu putere de lege și reglementările aplicabile, în orientările și politicile interne privind adecvarea.</w:t>
            </w:r>
          </w:p>
        </w:tc>
        <w:tc>
          <w:tcPr>
            <w:tcW w:w="1928" w:type="pct"/>
            <w:gridSpan w:val="3"/>
            <w:tcBorders>
              <w:top w:val="single" w:sz="4" w:space="0" w:color="auto"/>
              <w:left w:val="single" w:sz="4" w:space="0" w:color="auto"/>
              <w:bottom w:val="single" w:sz="4" w:space="0" w:color="auto"/>
              <w:right w:val="single" w:sz="4" w:space="0" w:color="auto"/>
            </w:tcBorders>
          </w:tcPr>
          <w:p w14:paraId="6A59E806" w14:textId="4B983E92" w:rsidR="002F47A0" w:rsidRPr="009E686F" w:rsidRDefault="002F47A0" w:rsidP="002F47A0">
            <w:pPr>
              <w:spacing w:after="0" w:line="276" w:lineRule="auto"/>
              <w:jc w:val="both"/>
              <w:rPr>
                <w:rFonts w:ascii="Times New Roman" w:hAnsi="Times New Roman" w:cs="Times New Roman"/>
                <w:b/>
                <w:bCs/>
                <w:i/>
                <w:iCs/>
                <w:lang w:val="ro-RO"/>
              </w:rPr>
            </w:pPr>
            <w:r w:rsidRPr="009E686F">
              <w:rPr>
                <w:rFonts w:ascii="Times New Roman" w:eastAsia="Aptos" w:hAnsi="Times New Roman" w:cs="Times New Roman"/>
                <w:i/>
                <w:iCs/>
                <w:kern w:val="2"/>
                <w:lang w:val="ro-MD"/>
              </w:rPr>
              <w:lastRenderedPageBreak/>
              <w:t xml:space="preserve">(2) </w:t>
            </w:r>
            <w:r w:rsidRPr="009E686F">
              <w:rPr>
                <w:rFonts w:ascii="Times New Roman" w:hAnsi="Times New Roman" w:cs="Times New Roman"/>
                <w:i/>
                <w:iCs/>
                <w:lang w:val="ro-RO"/>
              </w:rPr>
              <w:t>Entitățile se asigură că membrii organului de conducere</w:t>
            </w:r>
            <w:r w:rsidRPr="009E686F">
              <w:rPr>
                <w:lang w:val="ro-RO"/>
              </w:rPr>
              <w:t xml:space="preserve"> </w:t>
            </w:r>
            <w:r w:rsidRPr="009E686F">
              <w:rPr>
                <w:rFonts w:ascii="Times New Roman" w:hAnsi="Times New Roman" w:cs="Times New Roman"/>
                <w:i/>
                <w:iCs/>
                <w:lang w:val="ro-RO"/>
              </w:rPr>
              <w:t>sau persoanele care reprezintă conducerea superioară  îndeplinesc în orice moment criteriile și cerințele prevăzute la art. 43</w:t>
            </w:r>
            <w:r w:rsidRPr="009E686F">
              <w:rPr>
                <w:rFonts w:ascii="Times New Roman" w:hAnsi="Times New Roman" w:cs="Times New Roman"/>
                <w:i/>
                <w:iCs/>
                <w:vertAlign w:val="superscript"/>
                <w:lang w:val="ro-RO"/>
              </w:rPr>
              <w:t>1</w:t>
            </w:r>
            <w:r w:rsidRPr="009E686F">
              <w:rPr>
                <w:rFonts w:ascii="Times New Roman" w:hAnsi="Times New Roman" w:cs="Times New Roman"/>
                <w:i/>
                <w:iCs/>
                <w:lang w:val="ro-RO"/>
              </w:rPr>
              <w:t xml:space="preserve"> și evaluează adecvarea membrilor organului de conducere</w:t>
            </w:r>
            <w:r w:rsidR="000819EE" w:rsidRPr="009E686F">
              <w:rPr>
                <w:rFonts w:ascii="Times New Roman" w:hAnsi="Times New Roman" w:cs="Times New Roman"/>
                <w:i/>
                <w:iCs/>
                <w:lang w:val="ro-RO"/>
              </w:rPr>
              <w:t xml:space="preserve"> și a </w:t>
            </w:r>
            <w:r w:rsidR="000819EE" w:rsidRPr="009E686F">
              <w:rPr>
                <w:rFonts w:ascii="Times New Roman" w:hAnsi="Times New Roman" w:cs="Times New Roman"/>
                <w:i/>
                <w:iCs/>
                <w:lang w:val="ro-RO"/>
              </w:rPr>
              <w:lastRenderedPageBreak/>
              <w:t>conducerii superioare</w:t>
            </w:r>
            <w:r w:rsidRPr="009E686F">
              <w:rPr>
                <w:rFonts w:ascii="Times New Roman" w:hAnsi="Times New Roman" w:cs="Times New Roman"/>
                <w:i/>
                <w:iCs/>
                <w:lang w:val="ro-RO"/>
              </w:rPr>
              <w:t xml:space="preserve"> ținând seama de așteptările în materie de supraveghere, înainte ca aceștia să-și preia funcțiile și periodic, astfel cum se prevede în actele normative ale Băncii Naționale a Moldovei și politicile interne privind adecvarea.</w:t>
            </w:r>
          </w:p>
          <w:p w14:paraId="25DBABD6" w14:textId="77777777" w:rsidR="002F47A0" w:rsidRPr="009E686F" w:rsidRDefault="002F47A0" w:rsidP="002F47A0">
            <w:pPr>
              <w:spacing w:after="0"/>
              <w:jc w:val="both"/>
              <w:rPr>
                <w:rFonts w:ascii="Times New Roman" w:hAnsi="Times New Roman" w:cs="Times New Roman"/>
                <w:lang w:val="ro-RO"/>
              </w:rPr>
            </w:pPr>
          </w:p>
        </w:tc>
        <w:tc>
          <w:tcPr>
            <w:tcW w:w="470" w:type="pct"/>
            <w:tcBorders>
              <w:top w:val="single" w:sz="4" w:space="0" w:color="auto"/>
              <w:left w:val="single" w:sz="4" w:space="0" w:color="auto"/>
              <w:bottom w:val="single" w:sz="4" w:space="0" w:color="auto"/>
              <w:right w:val="single" w:sz="4" w:space="0" w:color="auto"/>
            </w:tcBorders>
          </w:tcPr>
          <w:p w14:paraId="775BEE08" w14:textId="162725C5"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1CC79914" w14:textId="77777777" w:rsidR="002F47A0" w:rsidRPr="009E686F" w:rsidRDefault="002F47A0" w:rsidP="002F47A0">
            <w:pPr>
              <w:jc w:val="both"/>
              <w:rPr>
                <w:rFonts w:ascii="Times New Roman" w:hAnsi="Times New Roman" w:cs="Times New Roman"/>
                <w:lang w:val="ro-RO"/>
              </w:rPr>
            </w:pPr>
          </w:p>
        </w:tc>
      </w:tr>
      <w:tr w:rsidR="002F47A0" w:rsidRPr="009E686F" w14:paraId="170E7571"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0015FE65" w14:textId="4AD3597D"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 xml:space="preserve">Cu toate acestea, în cazul în care majoritatea membrilor organului de conducere urmează să fie înlocuiți în același timp cu membri nou-numiți, iar aplicarea primului paragraf ar conduce la o situație în care evaluarea adecvării noilor membri ar urma să fie efectuată de membrii aflați la sfârșit de mandat, statele membre pot permite ca evaluarea să aibă loc după ce membrii nou-numiți și-au preluat funcțiile. </w:t>
            </w:r>
            <w:r w:rsidRPr="009E686F">
              <w:rPr>
                <w:rFonts w:ascii="Times New Roman" w:hAnsi="Times New Roman" w:cs="Times New Roman"/>
                <w:lang w:val="it-CH"/>
              </w:rPr>
              <w:t>Atunci când depune cererea la autoritatea competentă, în conformitate cu alineatul (1f), entitatea confirmă, de asemenea, existența condițiilor respective.</w:t>
            </w:r>
          </w:p>
        </w:tc>
        <w:tc>
          <w:tcPr>
            <w:tcW w:w="1928" w:type="pct"/>
            <w:gridSpan w:val="3"/>
            <w:tcBorders>
              <w:top w:val="single" w:sz="4" w:space="0" w:color="auto"/>
              <w:left w:val="single" w:sz="4" w:space="0" w:color="auto"/>
              <w:bottom w:val="single" w:sz="4" w:space="0" w:color="auto"/>
              <w:right w:val="single" w:sz="4" w:space="0" w:color="auto"/>
            </w:tcBorders>
          </w:tcPr>
          <w:p w14:paraId="66CD14F9" w14:textId="77777777" w:rsidR="002F47A0" w:rsidRPr="009E686F" w:rsidRDefault="002F47A0" w:rsidP="002F47A0">
            <w:pPr>
              <w:spacing w:after="0" w:line="276" w:lineRule="auto"/>
              <w:jc w:val="both"/>
              <w:rPr>
                <w:rFonts w:ascii="Times New Roman" w:eastAsia="Aptos" w:hAnsi="Times New Roman" w:cs="Times New Roman"/>
                <w:i/>
                <w:iCs/>
                <w:kern w:val="2"/>
                <w:lang w:val="ro-MD"/>
              </w:rPr>
            </w:pPr>
          </w:p>
        </w:tc>
        <w:tc>
          <w:tcPr>
            <w:tcW w:w="470" w:type="pct"/>
            <w:tcBorders>
              <w:top w:val="single" w:sz="4" w:space="0" w:color="auto"/>
              <w:left w:val="single" w:sz="4" w:space="0" w:color="auto"/>
              <w:bottom w:val="single" w:sz="4" w:space="0" w:color="auto"/>
              <w:right w:val="single" w:sz="4" w:space="0" w:color="auto"/>
            </w:tcBorders>
          </w:tcPr>
          <w:p w14:paraId="64AA7BB5" w14:textId="32719879"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Norme UE netranspuse</w:t>
            </w:r>
          </w:p>
        </w:tc>
        <w:tc>
          <w:tcPr>
            <w:tcW w:w="806" w:type="pct"/>
            <w:tcBorders>
              <w:top w:val="single" w:sz="4" w:space="0" w:color="auto"/>
              <w:left w:val="single" w:sz="4" w:space="0" w:color="auto"/>
              <w:bottom w:val="single" w:sz="4" w:space="0" w:color="auto"/>
              <w:right w:val="single" w:sz="4" w:space="0" w:color="auto"/>
            </w:tcBorders>
          </w:tcPr>
          <w:p w14:paraId="7B58C1C4" w14:textId="4B1D3CC1"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Opțiune neexercitată</w:t>
            </w:r>
          </w:p>
        </w:tc>
      </w:tr>
      <w:tr w:rsidR="002F47A0" w:rsidRPr="009E686F" w14:paraId="18B00E9C" w14:textId="77777777" w:rsidTr="00774F3E">
        <w:trPr>
          <w:trHeight w:val="4050"/>
        </w:trPr>
        <w:tc>
          <w:tcPr>
            <w:tcW w:w="1796" w:type="pct"/>
            <w:gridSpan w:val="2"/>
            <w:tcBorders>
              <w:top w:val="single" w:sz="4" w:space="0" w:color="auto"/>
              <w:left w:val="single" w:sz="4" w:space="0" w:color="auto"/>
              <w:bottom w:val="single" w:sz="4" w:space="0" w:color="auto"/>
              <w:right w:val="single" w:sz="4" w:space="0" w:color="auto"/>
            </w:tcBorders>
          </w:tcPr>
          <w:p w14:paraId="07DB9163"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(1b) În cazul în care entitățile conchid, pe baza evaluării interne a adecvării menționate la alineatul (1a), că membrul sau membrul potențial în cauză nu îndeplinește criteriile și cerințele prevăzute la alineatul (1), entitățile:</w:t>
            </w:r>
          </w:p>
          <w:p w14:paraId="4BFF9400"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 xml:space="preserve"> (a) se asigură că membrul potențial în cauză nu preia funcția vizată în cazul în care evaluarea respectivă este finalizată înainte ca membrul potențial să preia funcția respectivă; </w:t>
            </w:r>
          </w:p>
          <w:p w14:paraId="729D11EC"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 xml:space="preserve">(b) demit un astfel de membru din organul de conducere în timp util; sau </w:t>
            </w:r>
          </w:p>
          <w:p w14:paraId="1C6EC5E0" w14:textId="5CACF76E"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(c) iau, în timp util, măsurile suplimentare necesare pentru a se asigura că un astfel de membru este sau devine adecvat pentru funcția în cauză.</w:t>
            </w:r>
          </w:p>
        </w:tc>
        <w:tc>
          <w:tcPr>
            <w:tcW w:w="1928" w:type="pct"/>
            <w:gridSpan w:val="3"/>
            <w:tcBorders>
              <w:top w:val="single" w:sz="4" w:space="0" w:color="auto"/>
              <w:left w:val="single" w:sz="4" w:space="0" w:color="auto"/>
              <w:bottom w:val="single" w:sz="4" w:space="0" w:color="auto"/>
              <w:right w:val="single" w:sz="4" w:space="0" w:color="auto"/>
            </w:tcBorders>
          </w:tcPr>
          <w:p w14:paraId="41CC02FD" w14:textId="626DF865" w:rsidR="002F47A0" w:rsidRPr="009E686F" w:rsidRDefault="002F47A0" w:rsidP="002F47A0">
            <w:pPr>
              <w:spacing w:after="0"/>
              <w:jc w:val="both"/>
              <w:rPr>
                <w:rFonts w:ascii="Times New Roman" w:hAnsi="Times New Roman" w:cs="Times New Roman"/>
                <w:i/>
                <w:iCs/>
                <w:lang w:val="ro-RO"/>
              </w:rPr>
            </w:pPr>
            <w:r w:rsidRPr="009E686F">
              <w:rPr>
                <w:rFonts w:ascii="Times New Roman" w:hAnsi="Times New Roman" w:cs="Times New Roman"/>
                <w:i/>
                <w:iCs/>
                <w:lang w:val="ro-RO"/>
              </w:rPr>
              <w:t>(3) În cazul în care entitățile concluzionează, urmare evaluării adecvării persoanelor înaintate în funcția de membru al organului de conducere sau persoanele care reprezintă conducerea superioară, că aceștia nu îndeplinesc cerințele prevăzute la alin. (1), entitatea:</w:t>
            </w:r>
          </w:p>
          <w:p w14:paraId="4A9B7C40" w14:textId="77777777" w:rsidR="002F47A0" w:rsidRPr="009E686F" w:rsidRDefault="002F47A0" w:rsidP="002F47A0">
            <w:pPr>
              <w:spacing w:after="0"/>
              <w:jc w:val="both"/>
              <w:rPr>
                <w:rFonts w:ascii="Times New Roman" w:hAnsi="Times New Roman" w:cs="Times New Roman"/>
                <w:i/>
                <w:iCs/>
                <w:lang w:val="ro-RO"/>
              </w:rPr>
            </w:pPr>
            <w:r w:rsidRPr="009E686F">
              <w:rPr>
                <w:rFonts w:ascii="Times New Roman" w:hAnsi="Times New Roman" w:cs="Times New Roman"/>
                <w:i/>
                <w:iCs/>
                <w:lang w:val="ro-RO"/>
              </w:rPr>
              <w:t>a) se asigură că membrul potențial/persoana în cauză nu preia funcția vizată în cazul în care evaluarea respectivă este finalizată înainte ca membrul potențial să preia funcția respectivă;</w:t>
            </w:r>
          </w:p>
          <w:p w14:paraId="49FA8302" w14:textId="5A97DBE8" w:rsidR="002F47A0" w:rsidRPr="009E686F" w:rsidRDefault="002F47A0" w:rsidP="002F47A0">
            <w:pPr>
              <w:spacing w:after="0"/>
              <w:jc w:val="both"/>
              <w:rPr>
                <w:rFonts w:ascii="Times New Roman" w:hAnsi="Times New Roman" w:cs="Times New Roman"/>
                <w:i/>
                <w:lang w:val="pt-BR"/>
              </w:rPr>
            </w:pPr>
            <w:r w:rsidRPr="009E686F">
              <w:rPr>
                <w:rFonts w:ascii="Times New Roman" w:hAnsi="Times New Roman" w:cs="Times New Roman"/>
                <w:i/>
                <w:lang w:val="pt-BR"/>
              </w:rPr>
              <w:t>b) revocă un astfel de membru din organul de conducere sau o astfel de persoană în timp util; sau</w:t>
            </w:r>
          </w:p>
          <w:p w14:paraId="70B70442" w14:textId="2A80C2D0" w:rsidR="002F47A0" w:rsidRPr="009E686F" w:rsidRDefault="002F47A0" w:rsidP="002F47A0">
            <w:pPr>
              <w:spacing w:after="0"/>
              <w:jc w:val="both"/>
              <w:rPr>
                <w:rFonts w:ascii="Times New Roman" w:hAnsi="Times New Roman" w:cs="Times New Roman"/>
                <w:i/>
                <w:lang w:val="ro-RO"/>
              </w:rPr>
            </w:pPr>
            <w:r w:rsidRPr="009E686F">
              <w:rPr>
                <w:rFonts w:ascii="Times New Roman" w:hAnsi="Times New Roman" w:cs="Times New Roman"/>
                <w:i/>
                <w:lang w:val="pt-BR"/>
              </w:rPr>
              <w:t>c) ia, în timp util, măsurile suplimentare necesare pentru a se asigura că un astfel de membru este sau devine adecvat pentru funcția în cauză.</w:t>
            </w:r>
          </w:p>
        </w:tc>
        <w:tc>
          <w:tcPr>
            <w:tcW w:w="470" w:type="pct"/>
            <w:tcBorders>
              <w:top w:val="single" w:sz="4" w:space="0" w:color="auto"/>
              <w:left w:val="single" w:sz="4" w:space="0" w:color="auto"/>
              <w:bottom w:val="single" w:sz="4" w:space="0" w:color="auto"/>
              <w:right w:val="single" w:sz="4" w:space="0" w:color="auto"/>
            </w:tcBorders>
          </w:tcPr>
          <w:p w14:paraId="382B4D64" w14:textId="17028B89"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7044C114" w14:textId="77777777" w:rsidR="002F47A0" w:rsidRPr="009E686F" w:rsidRDefault="002F47A0" w:rsidP="002F47A0">
            <w:pPr>
              <w:jc w:val="both"/>
              <w:rPr>
                <w:rFonts w:ascii="Times New Roman" w:hAnsi="Times New Roman" w:cs="Times New Roman"/>
                <w:lang w:val="ro-RO"/>
              </w:rPr>
            </w:pPr>
          </w:p>
        </w:tc>
      </w:tr>
      <w:tr w:rsidR="002F47A0" w:rsidRPr="009E686F" w14:paraId="4E32D63C"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146C83AD" w14:textId="3C74EB42" w:rsidR="002F47A0" w:rsidRPr="009E686F" w:rsidDel="00A2272D"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 xml:space="preserve">(1c) Entitățile se asigură că informațiile privind adecvarea membrilor organului de conducere sunt actualizate. </w:t>
            </w:r>
            <w:r w:rsidRPr="009E686F">
              <w:rPr>
                <w:rFonts w:ascii="Times New Roman" w:hAnsi="Times New Roman" w:cs="Times New Roman"/>
                <w:lang w:val="ro-RO"/>
              </w:rPr>
              <w:lastRenderedPageBreak/>
              <w:t>Entitățile furnizează aceste informații, la cerere, autorității competente prin mijloacele stabilite de respectiva autoritate competentă.</w:t>
            </w:r>
          </w:p>
        </w:tc>
        <w:tc>
          <w:tcPr>
            <w:tcW w:w="1928" w:type="pct"/>
            <w:gridSpan w:val="3"/>
            <w:tcBorders>
              <w:top w:val="single" w:sz="4" w:space="0" w:color="auto"/>
              <w:left w:val="single" w:sz="4" w:space="0" w:color="auto"/>
              <w:bottom w:val="single" w:sz="4" w:space="0" w:color="auto"/>
              <w:right w:val="single" w:sz="4" w:space="0" w:color="auto"/>
            </w:tcBorders>
          </w:tcPr>
          <w:p w14:paraId="1683600F" w14:textId="220F8E2F" w:rsidR="002F47A0" w:rsidRPr="009E686F" w:rsidRDefault="002F47A0" w:rsidP="002F47A0">
            <w:pPr>
              <w:spacing w:after="0"/>
              <w:jc w:val="both"/>
              <w:rPr>
                <w:rFonts w:ascii="Times New Roman" w:hAnsi="Times New Roman" w:cs="Times New Roman"/>
                <w:i/>
                <w:lang w:val="ro-RO"/>
              </w:rPr>
            </w:pPr>
            <w:r w:rsidRPr="009E686F">
              <w:rPr>
                <w:rFonts w:ascii="Times New Roman" w:hAnsi="Times New Roman" w:cs="Times New Roman"/>
                <w:i/>
                <w:lang w:val="ro-RO"/>
              </w:rPr>
              <w:lastRenderedPageBreak/>
              <w:t xml:space="preserve">(4) Entitățile se asigură că informațiile privind adecvarea membrilor organului de conducere sau persoanelor care </w:t>
            </w:r>
            <w:r w:rsidRPr="009E686F">
              <w:rPr>
                <w:rFonts w:ascii="Times New Roman" w:hAnsi="Times New Roman" w:cs="Times New Roman"/>
                <w:i/>
                <w:lang w:val="ro-RO"/>
              </w:rPr>
              <w:lastRenderedPageBreak/>
              <w:t>reprezintă conducerea superioară sunt actualizate și furnizează aceste informații, la cerere, Băncii Naționale a Moldovei, prin mijloacele stabilite de aceasta.</w:t>
            </w:r>
          </w:p>
        </w:tc>
        <w:tc>
          <w:tcPr>
            <w:tcW w:w="470" w:type="pct"/>
            <w:tcBorders>
              <w:top w:val="single" w:sz="4" w:space="0" w:color="auto"/>
              <w:left w:val="single" w:sz="4" w:space="0" w:color="auto"/>
              <w:bottom w:val="single" w:sz="4" w:space="0" w:color="auto"/>
              <w:right w:val="single" w:sz="4" w:space="0" w:color="auto"/>
            </w:tcBorders>
          </w:tcPr>
          <w:p w14:paraId="4908ECC6" w14:textId="7A167017"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76705326" w14:textId="77777777" w:rsidR="002F47A0" w:rsidRPr="009E686F" w:rsidRDefault="002F47A0" w:rsidP="002F47A0">
            <w:pPr>
              <w:jc w:val="both"/>
              <w:rPr>
                <w:rFonts w:ascii="Times New Roman" w:hAnsi="Times New Roman" w:cs="Times New Roman"/>
                <w:lang w:val="ro-RO"/>
              </w:rPr>
            </w:pPr>
          </w:p>
        </w:tc>
      </w:tr>
      <w:tr w:rsidR="002F47A0" w:rsidRPr="009E686F" w14:paraId="4E8E0762"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2725F669"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(1d) Statele membre se asigură că, cel puțin pentru următoarele entități, autoritatea competentă primește o cerere privind adecvarea fără întârzieri nejustificate și de îndată ce există intenția clară de a numi un membru al organului de conducere în funcția sa de conducere sau președintele organului de conducere în funcția sa de supraveghere și, în orice caz, cel târziu cu 30 de zile lucrătoare înainte ca membrii potențiali să își preia funcția:</w:t>
            </w:r>
          </w:p>
          <w:p w14:paraId="2FE2F936"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 xml:space="preserve"> (a) instituțiile-mamă din UE care se califică drept instituții mari; </w:t>
            </w:r>
          </w:p>
          <w:p w14:paraId="2BCB5DA2"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 xml:space="preserve">(b) instituțiile-mamă dintr-un stat membru care se califică drept instituții mari, cu excepția cazului în care sunt afiliate unui organism central; </w:t>
            </w:r>
          </w:p>
          <w:p w14:paraId="0E454FC2"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 xml:space="preserve">(c) organismele centrale care se califică drept instituții mari sau care supraveghează instituții mari afiliate lor; </w:t>
            </w:r>
          </w:p>
          <w:p w14:paraId="30A1E495"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(d) instituțiile de sine stătătoare din Uniune care se califică drept instituții mari; (e) filialele mari, astfel cum sunt definite la articolul 4 alineatul (1) punctul 147 din Regulamentul (UE) nr. 575/2013;</w:t>
            </w:r>
          </w:p>
          <w:p w14:paraId="5A06D698" w14:textId="1DA07B2B" w:rsidR="002F47A0" w:rsidRPr="009E686F" w:rsidDel="00A2272D"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 xml:space="preserve"> (f) societățile financiare holding mamă dintr-un stat membru, societățile financiare holding mixte mamă dintr-un stat membru, societățile financiare holding mamă din UE și societățile financiare holding mixte mamă din UE care au instituții mari în cadrul grupului lor, cu excepția celor care intră sub incidența articolului 21a alineatul (4) din prezenta directivă.</w:t>
            </w:r>
          </w:p>
        </w:tc>
        <w:tc>
          <w:tcPr>
            <w:tcW w:w="1928" w:type="pct"/>
            <w:gridSpan w:val="3"/>
            <w:tcBorders>
              <w:top w:val="single" w:sz="4" w:space="0" w:color="auto"/>
              <w:left w:val="single" w:sz="4" w:space="0" w:color="auto"/>
              <w:bottom w:val="single" w:sz="4" w:space="0" w:color="auto"/>
              <w:right w:val="single" w:sz="4" w:space="0" w:color="auto"/>
            </w:tcBorders>
          </w:tcPr>
          <w:p w14:paraId="269628CF" w14:textId="2E3A3309" w:rsidR="002F47A0" w:rsidRPr="009E686F" w:rsidRDefault="002F47A0" w:rsidP="002F47A0">
            <w:pPr>
              <w:spacing w:after="0"/>
              <w:jc w:val="both"/>
              <w:rPr>
                <w:rFonts w:ascii="Times New Roman" w:hAnsi="Times New Roman" w:cs="Times New Roman"/>
                <w:i/>
                <w:lang w:val="ro-RO"/>
              </w:rPr>
            </w:pPr>
            <w:r w:rsidRPr="009E686F">
              <w:rPr>
                <w:rFonts w:ascii="Times New Roman" w:hAnsi="Times New Roman" w:cs="Times New Roman"/>
                <w:i/>
                <w:lang w:val="ro-RO"/>
              </w:rPr>
              <w:t xml:space="preserve">(7) </w:t>
            </w:r>
            <w:r w:rsidRPr="009E686F">
              <w:rPr>
                <w:rFonts w:ascii="Times New Roman" w:hAnsi="Times New Roman" w:cs="Times New Roman"/>
                <w:i/>
                <w:iCs/>
                <w:lang w:val="ro-RO"/>
              </w:rPr>
              <w:t xml:space="preserve"> În</w:t>
            </w:r>
            <w:r w:rsidRPr="009E686F">
              <w:rPr>
                <w:rFonts w:ascii="Times New Roman" w:hAnsi="Times New Roman" w:cs="Times New Roman"/>
                <w:i/>
                <w:lang w:val="ro-RO"/>
              </w:rPr>
              <w:t xml:space="preserve"> cazul în care următoarele entități au intenția clară de a numi un membru al organului executiv ori o funcţie executivă similară</w:t>
            </w:r>
            <w:r w:rsidRPr="009E686F">
              <w:rPr>
                <w:rFonts w:ascii="Times New Roman" w:hAnsi="Times New Roman" w:cs="Times New Roman"/>
                <w:i/>
                <w:iCs/>
                <w:lang w:val="ro-RO"/>
              </w:rPr>
              <w:t xml:space="preserve"> </w:t>
            </w:r>
            <w:r w:rsidRPr="009E686F">
              <w:rPr>
                <w:rFonts w:ascii="Times New Roman" w:hAnsi="Times New Roman" w:cs="Times New Roman"/>
                <w:i/>
                <w:lang w:val="ro-RO"/>
              </w:rPr>
              <w:t xml:space="preserve">sau președintele Consiliului ori o funcție neexecutivă similară trebuie să solicite aprobarea Băncii Naționale a Moldovei sau, după caz, să notifice Banca Națională a Moldovei </w:t>
            </w:r>
            <w:r w:rsidRPr="009E686F">
              <w:rPr>
                <w:rFonts w:ascii="Times New Roman" w:hAnsi="Times New Roman" w:cs="Times New Roman"/>
                <w:i/>
                <w:iCs/>
                <w:lang w:val="ro-RO"/>
              </w:rPr>
              <w:t>conform art. 119</w:t>
            </w:r>
            <w:r w:rsidRPr="009E686F">
              <w:rPr>
                <w:rFonts w:ascii="Times New Roman" w:hAnsi="Times New Roman" w:cs="Times New Roman"/>
                <w:i/>
                <w:lang w:val="ro-RO"/>
              </w:rPr>
              <w:t xml:space="preserve"> alin. (2), în condițiile prevăzute de actele normative ale Băncii Naționale a Moldovei, cel târziu cu 90 zile lucrătoare înainte ca membrii potențiali să preia funcția:</w:t>
            </w:r>
          </w:p>
          <w:p w14:paraId="69A86011" w14:textId="72CE8ACE" w:rsidR="002F47A0" w:rsidRPr="009E686F" w:rsidRDefault="002F47A0" w:rsidP="002F47A0">
            <w:pPr>
              <w:spacing w:after="0"/>
              <w:jc w:val="both"/>
              <w:rPr>
                <w:rFonts w:ascii="Times New Roman" w:hAnsi="Times New Roman" w:cs="Times New Roman"/>
                <w:i/>
                <w:lang w:val="ro-RO"/>
              </w:rPr>
            </w:pPr>
            <w:r w:rsidRPr="009E686F">
              <w:rPr>
                <w:rFonts w:ascii="Times New Roman" w:hAnsi="Times New Roman" w:cs="Times New Roman"/>
                <w:i/>
                <w:lang w:val="ro-RO"/>
              </w:rPr>
              <w:t xml:space="preserve">a) instituțiile de credit -mamă din </w:t>
            </w:r>
            <w:r w:rsidR="000819EE" w:rsidRPr="009E686F">
              <w:rPr>
                <w:rFonts w:ascii="Times New Roman" w:hAnsi="Times New Roman" w:cs="Times New Roman"/>
                <w:i/>
                <w:lang w:val="ro-RO"/>
              </w:rPr>
              <w:t xml:space="preserve">UE </w:t>
            </w:r>
            <w:r w:rsidRPr="009E686F">
              <w:rPr>
                <w:rFonts w:ascii="Times New Roman" w:hAnsi="Times New Roman" w:cs="Times New Roman"/>
                <w:i/>
                <w:lang w:val="ro-RO"/>
              </w:rPr>
              <w:t xml:space="preserve">care se califică drept instituții mari; </w:t>
            </w:r>
          </w:p>
          <w:p w14:paraId="7B7A6854" w14:textId="77777777" w:rsidR="002F47A0" w:rsidRPr="009E686F" w:rsidRDefault="002F47A0" w:rsidP="002F47A0">
            <w:pPr>
              <w:spacing w:after="0"/>
              <w:jc w:val="both"/>
              <w:rPr>
                <w:rFonts w:ascii="Times New Roman" w:hAnsi="Times New Roman" w:cs="Times New Roman"/>
                <w:i/>
                <w:lang w:val="ro-RO"/>
              </w:rPr>
            </w:pPr>
            <w:r w:rsidRPr="009E686F">
              <w:rPr>
                <w:rFonts w:ascii="Times New Roman" w:hAnsi="Times New Roman" w:cs="Times New Roman"/>
                <w:i/>
                <w:lang w:val="ro-RO"/>
              </w:rPr>
              <w:t xml:space="preserve">b) instituțiile de credit -mamă dintr-un stat membru care se califică drept instituții mari, cu excepția cazului în care sunt afiliate unui organism central; </w:t>
            </w:r>
          </w:p>
          <w:p w14:paraId="22015DE5" w14:textId="77777777" w:rsidR="002F47A0" w:rsidRPr="009E686F" w:rsidRDefault="002F47A0" w:rsidP="002F47A0">
            <w:pPr>
              <w:spacing w:after="0"/>
              <w:jc w:val="both"/>
              <w:rPr>
                <w:rFonts w:ascii="Times New Roman" w:hAnsi="Times New Roman" w:cs="Times New Roman"/>
                <w:i/>
                <w:iCs/>
                <w:lang w:val="it-CH"/>
              </w:rPr>
            </w:pPr>
            <w:r w:rsidRPr="009E686F">
              <w:rPr>
                <w:rFonts w:ascii="Times New Roman" w:hAnsi="Times New Roman" w:cs="Times New Roman"/>
                <w:i/>
                <w:iCs/>
                <w:lang w:val="it-CH"/>
              </w:rPr>
              <w:t xml:space="preserve">c) organismele centrale care se califică drept instituții mari sau care supraveghează instituții mari afiliate lor; </w:t>
            </w:r>
          </w:p>
          <w:p w14:paraId="297BEBF1" w14:textId="78AFFDBD" w:rsidR="002F47A0" w:rsidRPr="009E686F" w:rsidRDefault="002F47A0" w:rsidP="002F47A0">
            <w:pPr>
              <w:spacing w:after="0"/>
              <w:jc w:val="both"/>
              <w:rPr>
                <w:rFonts w:ascii="Times New Roman" w:hAnsi="Times New Roman" w:cs="Times New Roman"/>
                <w:i/>
                <w:iCs/>
                <w:lang w:val="it-CH"/>
              </w:rPr>
            </w:pPr>
            <w:r w:rsidRPr="009E686F">
              <w:rPr>
                <w:rFonts w:ascii="Times New Roman" w:hAnsi="Times New Roman" w:cs="Times New Roman"/>
                <w:i/>
                <w:iCs/>
                <w:lang w:val="it-CH"/>
              </w:rPr>
              <w:t xml:space="preserve">d) instituțiile de credit de sine stătătoare din </w:t>
            </w:r>
            <w:r w:rsidR="000819EE" w:rsidRPr="009E686F">
              <w:rPr>
                <w:rFonts w:ascii="Times New Roman" w:hAnsi="Times New Roman" w:cs="Times New Roman"/>
                <w:i/>
                <w:iCs/>
                <w:lang w:val="it-CH"/>
              </w:rPr>
              <w:t xml:space="preserve">UE </w:t>
            </w:r>
            <w:r w:rsidRPr="009E686F">
              <w:rPr>
                <w:rFonts w:ascii="Times New Roman" w:hAnsi="Times New Roman" w:cs="Times New Roman"/>
                <w:i/>
                <w:iCs/>
                <w:lang w:val="it-CH"/>
              </w:rPr>
              <w:t xml:space="preserve">care se califică drept instituții mari; </w:t>
            </w:r>
          </w:p>
          <w:p w14:paraId="1217368C" w14:textId="77777777" w:rsidR="002F47A0" w:rsidRPr="009E686F" w:rsidRDefault="002F47A0" w:rsidP="002F47A0">
            <w:pPr>
              <w:spacing w:after="0"/>
              <w:jc w:val="both"/>
              <w:rPr>
                <w:rFonts w:ascii="Times New Roman" w:hAnsi="Times New Roman" w:cs="Times New Roman"/>
                <w:i/>
                <w:lang w:val="it-CH"/>
              </w:rPr>
            </w:pPr>
            <w:r w:rsidRPr="009E686F">
              <w:rPr>
                <w:rFonts w:ascii="Times New Roman" w:hAnsi="Times New Roman" w:cs="Times New Roman"/>
                <w:i/>
                <w:lang w:val="it-CH"/>
              </w:rPr>
              <w:t>e) filialele mari;</w:t>
            </w:r>
          </w:p>
          <w:p w14:paraId="269BB01D" w14:textId="71C51905" w:rsidR="002F47A0" w:rsidRPr="009E686F" w:rsidRDefault="002F47A0" w:rsidP="002F47A0">
            <w:pPr>
              <w:spacing w:after="0" w:line="278" w:lineRule="auto"/>
              <w:jc w:val="both"/>
              <w:rPr>
                <w:rFonts w:ascii="Times New Roman" w:hAnsi="Times New Roman" w:cs="Times New Roman"/>
                <w:i/>
                <w:lang w:val="ro-RO"/>
              </w:rPr>
            </w:pPr>
            <w:r w:rsidRPr="009E686F">
              <w:rPr>
                <w:rFonts w:ascii="Times New Roman" w:hAnsi="Times New Roman" w:cs="Times New Roman"/>
                <w:i/>
                <w:lang w:val="it-CH"/>
              </w:rPr>
              <w:t>f) societățile financiare holding mamă dintr-un stat membru, societățile financiare holding mixte mamă dintr-un stat membru, societățile financiare holding mamă din UE și societățile financiare holding mixte mamă din UE care au instituții mari în cadrul grupului lor, cu excepția celor care intră sub incidența art. 116</w:t>
            </w:r>
            <w:r w:rsidRPr="009E686F">
              <w:rPr>
                <w:rFonts w:ascii="Times New Roman" w:hAnsi="Times New Roman" w:cs="Times New Roman"/>
                <w:i/>
                <w:vertAlign w:val="superscript"/>
                <w:lang w:val="it-CH"/>
              </w:rPr>
              <w:t>1</w:t>
            </w:r>
            <w:r w:rsidRPr="009E686F">
              <w:rPr>
                <w:rFonts w:ascii="Times New Roman" w:hAnsi="Times New Roman" w:cs="Times New Roman"/>
                <w:i/>
                <w:lang w:val="it-CH"/>
              </w:rPr>
              <w:t xml:space="preserve"> alin. </w:t>
            </w:r>
            <w:r w:rsidRPr="009E686F">
              <w:rPr>
                <w:rFonts w:ascii="Times New Roman" w:hAnsi="Times New Roman" w:cs="Times New Roman"/>
                <w:i/>
                <w:iCs/>
              </w:rPr>
              <w:t>(7).</w:t>
            </w:r>
          </w:p>
        </w:tc>
        <w:tc>
          <w:tcPr>
            <w:tcW w:w="470" w:type="pct"/>
            <w:tcBorders>
              <w:top w:val="single" w:sz="4" w:space="0" w:color="auto"/>
              <w:left w:val="single" w:sz="4" w:space="0" w:color="auto"/>
              <w:bottom w:val="single" w:sz="4" w:space="0" w:color="auto"/>
              <w:right w:val="single" w:sz="4" w:space="0" w:color="auto"/>
            </w:tcBorders>
          </w:tcPr>
          <w:p w14:paraId="3DC01543" w14:textId="57AFB633"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0CFC852F" w14:textId="77777777" w:rsidR="002F47A0" w:rsidRPr="009E686F" w:rsidRDefault="002F47A0" w:rsidP="002F47A0">
            <w:pPr>
              <w:jc w:val="both"/>
              <w:rPr>
                <w:rFonts w:ascii="Times New Roman" w:hAnsi="Times New Roman" w:cs="Times New Roman"/>
                <w:lang w:val="ro-RO"/>
              </w:rPr>
            </w:pPr>
          </w:p>
        </w:tc>
      </w:tr>
      <w:tr w:rsidR="002F47A0" w:rsidRPr="009E686F" w14:paraId="313740DA"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54B61591"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 xml:space="preserve">(1e) Cererea privind adecvarea menționată la alineatul (1d) este însoțită de: </w:t>
            </w:r>
          </w:p>
          <w:p w14:paraId="72D6794A"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 xml:space="preserve">(a) un chestionar privind adecvarea și un curriculum vitae; </w:t>
            </w:r>
          </w:p>
          <w:p w14:paraId="3859CE8D"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lastRenderedPageBreak/>
              <w:t xml:space="preserve">(b) evaluarea internă a adecvării menționată la alineatul (1a), cu excepția cazului în care se aplică al doilea paragraf al respectivului alineat; </w:t>
            </w:r>
          </w:p>
          <w:p w14:paraId="25634D2B"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 xml:space="preserve">(c) cazierul judiciar, de îndată ce este disponibil; </w:t>
            </w:r>
          </w:p>
          <w:p w14:paraId="4480DDEA"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 xml:space="preserve">(d) orice alte documente necesare în temeiul dreptului intern, de îndată ce sunt disponibile; </w:t>
            </w:r>
          </w:p>
          <w:p w14:paraId="3B6403E8"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 xml:space="preserve">(e) orice alte documente conform listei indicate de autoritatea competentă, de îndată ce sunt disponibile; și </w:t>
            </w:r>
          </w:p>
          <w:p w14:paraId="1A7C0E5B"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 xml:space="preserve">(f) indicarea datei numirii și a datei la care atribuțiile vor fi preluate efectiv. </w:t>
            </w:r>
          </w:p>
          <w:p w14:paraId="522FEB9D" w14:textId="46A03E7D" w:rsidR="002F47A0" w:rsidRPr="009E686F" w:rsidDel="00A2272D"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 xml:space="preserve">Entitățile furnizează cererea privind adecvarea și documentele aferente autorității competente prin mijloacele stabilite de autoritatea competentă. </w:t>
            </w:r>
          </w:p>
        </w:tc>
        <w:tc>
          <w:tcPr>
            <w:tcW w:w="1928" w:type="pct"/>
            <w:gridSpan w:val="3"/>
            <w:tcBorders>
              <w:top w:val="single" w:sz="4" w:space="0" w:color="auto"/>
              <w:left w:val="single" w:sz="4" w:space="0" w:color="auto"/>
              <w:bottom w:val="single" w:sz="4" w:space="0" w:color="auto"/>
              <w:right w:val="single" w:sz="4" w:space="0" w:color="auto"/>
            </w:tcBorders>
          </w:tcPr>
          <w:p w14:paraId="73F16073" w14:textId="3EF5B14C" w:rsidR="002F47A0" w:rsidRPr="009E686F" w:rsidRDefault="002F47A0" w:rsidP="002F47A0">
            <w:pPr>
              <w:spacing w:after="0" w:line="278" w:lineRule="auto"/>
              <w:jc w:val="both"/>
              <w:rPr>
                <w:rFonts w:ascii="Times New Roman" w:eastAsia="Aptos" w:hAnsi="Times New Roman" w:cs="Times New Roman"/>
                <w:i/>
                <w:kern w:val="2"/>
                <w:lang w:val="ro-MD"/>
              </w:rPr>
            </w:pPr>
            <w:r w:rsidRPr="009E686F">
              <w:rPr>
                <w:rFonts w:ascii="Times New Roman" w:eastAsia="Aptos" w:hAnsi="Times New Roman" w:cs="Times New Roman"/>
                <w:i/>
                <w:kern w:val="2"/>
                <w:lang w:val="ro-MD"/>
              </w:rPr>
              <w:lastRenderedPageBreak/>
              <w:t xml:space="preserve">(8) </w:t>
            </w:r>
            <w:r w:rsidRPr="009E686F">
              <w:rPr>
                <w:rFonts w:ascii="Times New Roman" w:eastAsia="Aptos" w:hAnsi="Times New Roman" w:cs="Times New Roman"/>
                <w:i/>
                <w:iCs/>
                <w:kern w:val="2"/>
                <w:lang w:val="ro-MD"/>
              </w:rPr>
              <w:t xml:space="preserve">Entitățile </w:t>
            </w:r>
            <w:r w:rsidRPr="009E686F">
              <w:rPr>
                <w:rFonts w:ascii="Times New Roman" w:eastAsia="Aptos" w:hAnsi="Times New Roman" w:cs="Times New Roman"/>
                <w:i/>
                <w:kern w:val="2"/>
                <w:lang w:val="ro-MD"/>
              </w:rPr>
              <w:t>trebuie să prezinte Băncii Naționale a Moldovei cererea privind adecvarea persoanelor menționate la alin. (</w:t>
            </w:r>
            <w:r w:rsidRPr="009E686F">
              <w:rPr>
                <w:rFonts w:ascii="Times New Roman" w:eastAsia="Aptos" w:hAnsi="Times New Roman" w:cs="Times New Roman"/>
                <w:i/>
                <w:iCs/>
                <w:kern w:val="2"/>
                <w:lang w:val="ro-MD"/>
              </w:rPr>
              <w:t>7</w:t>
            </w:r>
            <w:r w:rsidRPr="009E686F">
              <w:rPr>
                <w:rFonts w:ascii="Times New Roman" w:eastAsia="Aptos" w:hAnsi="Times New Roman" w:cs="Times New Roman"/>
                <w:i/>
                <w:kern w:val="2"/>
                <w:lang w:val="ro-MD"/>
              </w:rPr>
              <w:t xml:space="preserve">), </w:t>
            </w:r>
            <w:r w:rsidRPr="009E686F">
              <w:rPr>
                <w:rFonts w:ascii="Times New Roman" w:eastAsia="Aptos" w:hAnsi="Times New Roman" w:cs="Times New Roman"/>
                <w:i/>
                <w:kern w:val="2"/>
                <w:lang w:val="ro-MD"/>
              </w:rPr>
              <w:lastRenderedPageBreak/>
              <w:t xml:space="preserve">conform actelor normative ale Băncii Naționale a Moldovei, însoțită de următoarele documente și informații: </w:t>
            </w:r>
          </w:p>
          <w:p w14:paraId="0E0E0342" w14:textId="77777777" w:rsidR="002F47A0" w:rsidRPr="009E686F" w:rsidRDefault="002F47A0" w:rsidP="002F47A0">
            <w:pPr>
              <w:spacing w:after="0" w:line="278" w:lineRule="auto"/>
              <w:jc w:val="both"/>
              <w:rPr>
                <w:rFonts w:ascii="Times New Roman" w:eastAsia="Aptos" w:hAnsi="Times New Roman" w:cs="Times New Roman"/>
                <w:i/>
                <w:kern w:val="2"/>
                <w:lang w:val="ro-MD"/>
              </w:rPr>
            </w:pPr>
            <w:r w:rsidRPr="009E686F">
              <w:rPr>
                <w:rFonts w:ascii="Times New Roman" w:eastAsia="Aptos" w:hAnsi="Times New Roman" w:cs="Times New Roman"/>
                <w:i/>
                <w:kern w:val="2"/>
                <w:lang w:val="ro-MD"/>
              </w:rPr>
              <w:t xml:space="preserve">a) chestionarul privind adecvarea și Curriculum Vitae; </w:t>
            </w:r>
          </w:p>
          <w:p w14:paraId="4A9FA89C" w14:textId="77777777" w:rsidR="002F47A0" w:rsidRPr="009E686F" w:rsidRDefault="002F47A0" w:rsidP="002F47A0">
            <w:pPr>
              <w:spacing w:after="0" w:line="278" w:lineRule="auto"/>
              <w:jc w:val="both"/>
              <w:rPr>
                <w:rFonts w:ascii="Times New Roman" w:eastAsia="Aptos" w:hAnsi="Times New Roman" w:cs="Times New Roman"/>
                <w:i/>
                <w:kern w:val="2"/>
                <w:lang w:val="ro-MD"/>
              </w:rPr>
            </w:pPr>
            <w:r w:rsidRPr="009E686F">
              <w:rPr>
                <w:rFonts w:ascii="Times New Roman" w:eastAsia="Aptos" w:hAnsi="Times New Roman" w:cs="Times New Roman"/>
                <w:i/>
                <w:kern w:val="2"/>
                <w:lang w:val="ro-MD"/>
              </w:rPr>
              <w:t xml:space="preserve">b) evaluarea internă a adecvării menționată la alin. (2);, </w:t>
            </w:r>
          </w:p>
          <w:p w14:paraId="6A1433E6" w14:textId="77777777" w:rsidR="002F47A0" w:rsidRPr="009E686F" w:rsidRDefault="002F47A0" w:rsidP="002F47A0">
            <w:pPr>
              <w:spacing w:after="0" w:line="278" w:lineRule="auto"/>
              <w:jc w:val="both"/>
              <w:rPr>
                <w:rFonts w:ascii="Times New Roman" w:eastAsia="Aptos" w:hAnsi="Times New Roman" w:cs="Times New Roman"/>
                <w:i/>
                <w:kern w:val="2"/>
                <w:lang w:val="ro-MD"/>
              </w:rPr>
            </w:pPr>
            <w:r w:rsidRPr="009E686F">
              <w:rPr>
                <w:rFonts w:ascii="Times New Roman" w:eastAsia="Aptos" w:hAnsi="Times New Roman" w:cs="Times New Roman"/>
                <w:i/>
                <w:kern w:val="2"/>
                <w:lang w:val="ro-MD"/>
              </w:rPr>
              <w:t xml:space="preserve">c) cazierul judiciar; </w:t>
            </w:r>
          </w:p>
          <w:p w14:paraId="2417E67B" w14:textId="77777777" w:rsidR="002F47A0" w:rsidRPr="009E686F" w:rsidRDefault="002F47A0" w:rsidP="002F47A0">
            <w:pPr>
              <w:spacing w:after="0" w:line="278" w:lineRule="auto"/>
              <w:jc w:val="both"/>
              <w:rPr>
                <w:rFonts w:ascii="Times New Roman" w:eastAsia="Aptos" w:hAnsi="Times New Roman" w:cs="Times New Roman"/>
                <w:i/>
                <w:kern w:val="2"/>
                <w:lang w:val="ro-MD"/>
              </w:rPr>
            </w:pPr>
            <w:r w:rsidRPr="009E686F">
              <w:rPr>
                <w:rFonts w:ascii="Times New Roman" w:eastAsia="Aptos" w:hAnsi="Times New Roman" w:cs="Times New Roman"/>
                <w:i/>
                <w:kern w:val="2"/>
                <w:lang w:val="ro-MD"/>
              </w:rPr>
              <w:t xml:space="preserve">d) indicarea datei numirii și a datei la care atribuțiile se planifică de a fi preluate efectiv; </w:t>
            </w:r>
          </w:p>
          <w:p w14:paraId="601714C0" w14:textId="77777777" w:rsidR="002F47A0" w:rsidRPr="009E686F" w:rsidRDefault="002F47A0" w:rsidP="002F47A0">
            <w:pPr>
              <w:spacing w:after="0"/>
              <w:jc w:val="both"/>
              <w:rPr>
                <w:rFonts w:ascii="Times New Roman" w:eastAsia="Aptos" w:hAnsi="Times New Roman" w:cs="Times New Roman"/>
                <w:i/>
                <w:kern w:val="2"/>
                <w:lang w:val="ro-MD"/>
              </w:rPr>
            </w:pPr>
            <w:r w:rsidRPr="009E686F">
              <w:rPr>
                <w:rFonts w:ascii="Times New Roman" w:eastAsia="Aptos" w:hAnsi="Times New Roman" w:cs="Times New Roman"/>
                <w:i/>
                <w:kern w:val="2"/>
                <w:lang w:val="ro-MD"/>
              </w:rPr>
              <w:t>e) orice alte documente și informații necesare prevăzute de actele normative ale Băncii Naționale a Moldovei.</w:t>
            </w:r>
          </w:p>
          <w:p w14:paraId="192018EE" w14:textId="6436DE43" w:rsidR="002F47A0" w:rsidRPr="009E686F" w:rsidRDefault="002F47A0" w:rsidP="002F47A0">
            <w:pPr>
              <w:spacing w:after="0"/>
              <w:jc w:val="both"/>
              <w:rPr>
                <w:rFonts w:ascii="Times New Roman" w:hAnsi="Times New Roman" w:cs="Times New Roman"/>
                <w:lang w:val="ro-RO"/>
              </w:rPr>
            </w:pPr>
          </w:p>
        </w:tc>
        <w:tc>
          <w:tcPr>
            <w:tcW w:w="470" w:type="pct"/>
            <w:tcBorders>
              <w:top w:val="single" w:sz="4" w:space="0" w:color="auto"/>
              <w:left w:val="single" w:sz="4" w:space="0" w:color="auto"/>
              <w:bottom w:val="single" w:sz="4" w:space="0" w:color="auto"/>
              <w:right w:val="single" w:sz="4" w:space="0" w:color="auto"/>
            </w:tcBorders>
          </w:tcPr>
          <w:p w14:paraId="7F692FB5" w14:textId="2F827883" w:rsidR="002F47A0" w:rsidRPr="009E686F" w:rsidRDefault="002F47A0" w:rsidP="002F47A0">
            <w:pPr>
              <w:jc w:val="both"/>
              <w:rPr>
                <w:rFonts w:ascii="Times New Roman" w:hAnsi="Times New Roman" w:cs="Times New Roman"/>
                <w:b/>
                <w:lang w:val="ro-RO"/>
              </w:rPr>
            </w:pPr>
            <w:r w:rsidRPr="009E686F">
              <w:rPr>
                <w:rFonts w:ascii="Times New Roman" w:hAnsi="Times New Roman" w:cs="Times New Roman"/>
                <w:lang w:val="ro-RO"/>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65F2A12D" w14:textId="77777777" w:rsidR="008C6586" w:rsidRPr="009E686F" w:rsidRDefault="008C6586" w:rsidP="008C6586">
            <w:r w:rsidRPr="009E686F">
              <w:rPr>
                <w:rFonts w:ascii="Times New Roman" w:hAnsi="Times New Roman" w:cs="Times New Roman"/>
                <w:lang w:val="ro-RO"/>
              </w:rPr>
              <w:t>În vigoare – data aderării.</w:t>
            </w:r>
          </w:p>
          <w:p w14:paraId="01583D60" w14:textId="77777777" w:rsidR="002F47A0" w:rsidRPr="009E686F" w:rsidRDefault="002F47A0" w:rsidP="002F47A0">
            <w:pPr>
              <w:jc w:val="both"/>
              <w:rPr>
                <w:rFonts w:ascii="Times New Roman" w:hAnsi="Times New Roman" w:cs="Times New Roman"/>
                <w:lang w:val="ro-RO"/>
              </w:rPr>
            </w:pPr>
          </w:p>
        </w:tc>
      </w:tr>
      <w:tr w:rsidR="002F47A0" w:rsidRPr="009E686F" w14:paraId="7621D61A"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3DC621D2" w14:textId="7BA72701"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lastRenderedPageBreak/>
              <w:t xml:space="preserve">În cazul în care o autoritate competentă nu deține suficiente informații pentru a efectua evaluarea adecvării, pe baza elementelor menționate la primul paragraf de la prezentul alineat, aceasta poate solicita ca membrul potențial să nu preia funcția înainte de furnizarea informațiilor solicitate, cu excepția cazului în care autoritatea competentă respectivă este convinsă că nu este posibil ca informațiile respective să fie furnizate. </w:t>
            </w:r>
          </w:p>
        </w:tc>
        <w:tc>
          <w:tcPr>
            <w:tcW w:w="1928" w:type="pct"/>
            <w:gridSpan w:val="3"/>
            <w:tcBorders>
              <w:top w:val="single" w:sz="4" w:space="0" w:color="auto"/>
              <w:left w:val="single" w:sz="4" w:space="0" w:color="auto"/>
              <w:bottom w:val="single" w:sz="4" w:space="0" w:color="auto"/>
              <w:right w:val="single" w:sz="4" w:space="0" w:color="auto"/>
            </w:tcBorders>
          </w:tcPr>
          <w:p w14:paraId="750C5798" w14:textId="6C3BB213" w:rsidR="002F47A0" w:rsidRPr="009E686F" w:rsidRDefault="002F47A0" w:rsidP="002F47A0">
            <w:pPr>
              <w:spacing w:after="0" w:line="278" w:lineRule="auto"/>
              <w:jc w:val="both"/>
              <w:rPr>
                <w:rFonts w:ascii="Times New Roman" w:eastAsia="Aptos" w:hAnsi="Times New Roman" w:cs="Times New Roman"/>
                <w:i/>
                <w:iCs/>
                <w:kern w:val="2"/>
                <w:lang w:val="ro-RO"/>
              </w:rPr>
            </w:pPr>
            <w:r w:rsidRPr="009E686F">
              <w:rPr>
                <w:rFonts w:ascii="Times New Roman" w:hAnsi="Times New Roman" w:cs="Times New Roman"/>
                <w:i/>
                <w:iCs/>
                <w:lang w:val="it-CH"/>
              </w:rPr>
              <w:t>(5) Fiecare dintre persoanele prevăzute la alin. (1), precum și persoanele menționate la alin. (7) trebuie să fie aprobată de Banca Naţională a Moldovei înainte de începerea exercitării atribuțiilor sau, după numirea în funcţie, Banca Naţională a Moldovei să fie notificată conform art. 119 alin. (2), în condițiile stabilite de actele normative emise în aplicarea prezentei legi.</w:t>
            </w:r>
          </w:p>
        </w:tc>
        <w:tc>
          <w:tcPr>
            <w:tcW w:w="470" w:type="pct"/>
            <w:tcBorders>
              <w:top w:val="single" w:sz="4" w:space="0" w:color="auto"/>
              <w:left w:val="single" w:sz="4" w:space="0" w:color="auto"/>
              <w:bottom w:val="single" w:sz="4" w:space="0" w:color="auto"/>
              <w:right w:val="single" w:sz="4" w:space="0" w:color="auto"/>
            </w:tcBorders>
          </w:tcPr>
          <w:p w14:paraId="7589480B" w14:textId="5B986F08"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2E9DC881" w14:textId="61EBD574"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 xml:space="preserve">Conform procedurii stabilite de actele normative emise în aplicarea legii, în cazul în care nu se prezintă toate documentele, aprobarea BNM nu se eliberează. </w:t>
            </w:r>
          </w:p>
        </w:tc>
      </w:tr>
      <w:tr w:rsidR="002F47A0" w:rsidRPr="009E686F" w14:paraId="140EBDB2"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2C81DB5B" w14:textId="29E72E9B"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 xml:space="preserve">În cazul în care autoritatea competentă are îndoieli cu privire la îndeplinirea de către membrul potențial a criteriilor și cerințelor prevăzute la alineatele (2)-(6) de la prezentul articol, aceasta se angajează într-un dialog aprofundat cu instituția pentru a aborda preocupările identificate, cu scopul de a se asigura că membrul potențial este sau devine adecvat în momentul preluării funcției. </w:t>
            </w:r>
          </w:p>
        </w:tc>
        <w:tc>
          <w:tcPr>
            <w:tcW w:w="1928" w:type="pct"/>
            <w:gridSpan w:val="3"/>
            <w:tcBorders>
              <w:top w:val="single" w:sz="4" w:space="0" w:color="auto"/>
              <w:left w:val="single" w:sz="4" w:space="0" w:color="auto"/>
              <w:bottom w:val="single" w:sz="4" w:space="0" w:color="auto"/>
              <w:right w:val="single" w:sz="4" w:space="0" w:color="auto"/>
            </w:tcBorders>
          </w:tcPr>
          <w:p w14:paraId="0CC8F0C7" w14:textId="7643D25F" w:rsidR="002F47A0" w:rsidRPr="009E686F" w:rsidRDefault="002F47A0" w:rsidP="002F47A0">
            <w:pPr>
              <w:spacing w:after="0" w:line="278" w:lineRule="auto"/>
              <w:jc w:val="both"/>
              <w:rPr>
                <w:rFonts w:ascii="Times New Roman" w:eastAsia="Aptos" w:hAnsi="Times New Roman" w:cs="Times New Roman"/>
                <w:i/>
                <w:iCs/>
                <w:kern w:val="2"/>
                <w:lang w:val="ro-RO"/>
              </w:rPr>
            </w:pPr>
            <w:r w:rsidRPr="009E686F">
              <w:rPr>
                <w:rFonts w:ascii="Times New Roman" w:hAnsi="Times New Roman" w:cs="Times New Roman"/>
                <w:i/>
                <w:lang w:val="ro-RO"/>
              </w:rPr>
              <w:t>(9) În cazul în care Banca Națională a Moldovei are îndoieli cu privire la îndeplinirea de către membrul potențial sau a persoanelor care reprezintă conducerea superioară, a criteriilor și cerințelor prevăzute la art. 43</w:t>
            </w:r>
            <w:r w:rsidRPr="009E686F">
              <w:rPr>
                <w:rFonts w:ascii="Times New Roman" w:hAnsi="Times New Roman" w:cs="Times New Roman"/>
                <w:i/>
                <w:vertAlign w:val="superscript"/>
                <w:lang w:val="ro-RO"/>
              </w:rPr>
              <w:t>1</w:t>
            </w:r>
            <w:r w:rsidRPr="009E686F">
              <w:rPr>
                <w:rFonts w:ascii="Times New Roman" w:hAnsi="Times New Roman" w:cs="Times New Roman"/>
                <w:i/>
                <w:lang w:val="ro-RO"/>
              </w:rPr>
              <w:t>, aceasta poate iniția un dialog cu instituția de credit pentru a aborda preocupările identificate, cu scopul de a se asigura că membrul potențial sau persoana respectivă este sau va deveni adecvat în momentul preluării funcției.</w:t>
            </w:r>
          </w:p>
        </w:tc>
        <w:tc>
          <w:tcPr>
            <w:tcW w:w="470" w:type="pct"/>
            <w:tcBorders>
              <w:top w:val="single" w:sz="4" w:space="0" w:color="auto"/>
              <w:left w:val="single" w:sz="4" w:space="0" w:color="auto"/>
              <w:bottom w:val="single" w:sz="4" w:space="0" w:color="auto"/>
              <w:right w:val="single" w:sz="4" w:space="0" w:color="auto"/>
            </w:tcBorders>
          </w:tcPr>
          <w:p w14:paraId="13C9B70C" w14:textId="2FF95B8E"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3C7FF60A" w14:textId="77777777" w:rsidR="002F47A0" w:rsidRPr="009E686F" w:rsidRDefault="002F47A0" w:rsidP="002F47A0">
            <w:pPr>
              <w:jc w:val="both"/>
              <w:rPr>
                <w:rFonts w:ascii="Times New Roman" w:hAnsi="Times New Roman" w:cs="Times New Roman"/>
                <w:lang w:val="ro-RO"/>
              </w:rPr>
            </w:pPr>
          </w:p>
        </w:tc>
      </w:tr>
      <w:tr w:rsidR="002F47A0" w:rsidRPr="009E686F" w14:paraId="0CDA5121"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24213D22" w14:textId="6645541F"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 xml:space="preserve">ABE emite ghiduri, în conformitate cu articolul 16 din Regulamentul (UE) nr. 1093/2010, pentru a specifica </w:t>
            </w:r>
            <w:r w:rsidRPr="009E686F">
              <w:rPr>
                <w:rFonts w:ascii="Times New Roman" w:hAnsi="Times New Roman" w:cs="Times New Roman"/>
                <w:lang w:val="ro-RO"/>
              </w:rPr>
              <w:lastRenderedPageBreak/>
              <w:t>modul în care urmează să se desfășoare dialogul aprofundat pentru a se răspunde preocupărilor legate de adecvare.</w:t>
            </w:r>
          </w:p>
        </w:tc>
        <w:tc>
          <w:tcPr>
            <w:tcW w:w="1928" w:type="pct"/>
            <w:gridSpan w:val="3"/>
            <w:tcBorders>
              <w:top w:val="single" w:sz="4" w:space="0" w:color="auto"/>
              <w:left w:val="single" w:sz="4" w:space="0" w:color="auto"/>
              <w:bottom w:val="single" w:sz="4" w:space="0" w:color="auto"/>
              <w:right w:val="single" w:sz="4" w:space="0" w:color="auto"/>
            </w:tcBorders>
          </w:tcPr>
          <w:p w14:paraId="2A32F9C6" w14:textId="77777777" w:rsidR="002F47A0" w:rsidRPr="009E686F" w:rsidRDefault="002F47A0" w:rsidP="002F47A0">
            <w:pPr>
              <w:spacing w:after="0" w:line="278" w:lineRule="auto"/>
              <w:jc w:val="both"/>
              <w:rPr>
                <w:rFonts w:ascii="Times New Roman" w:eastAsia="Aptos" w:hAnsi="Times New Roman" w:cs="Times New Roman"/>
                <w:i/>
                <w:iCs/>
                <w:kern w:val="2"/>
                <w:lang w:val="ro-RO"/>
              </w:rPr>
            </w:pPr>
          </w:p>
        </w:tc>
        <w:tc>
          <w:tcPr>
            <w:tcW w:w="470" w:type="pct"/>
            <w:tcBorders>
              <w:top w:val="single" w:sz="4" w:space="0" w:color="auto"/>
              <w:left w:val="single" w:sz="4" w:space="0" w:color="auto"/>
              <w:bottom w:val="single" w:sz="4" w:space="0" w:color="auto"/>
              <w:right w:val="single" w:sz="4" w:space="0" w:color="auto"/>
            </w:tcBorders>
          </w:tcPr>
          <w:p w14:paraId="00A4F228" w14:textId="133CB84E"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Norme UE neaplicabile</w:t>
            </w:r>
          </w:p>
        </w:tc>
        <w:tc>
          <w:tcPr>
            <w:tcW w:w="806" w:type="pct"/>
            <w:tcBorders>
              <w:top w:val="single" w:sz="4" w:space="0" w:color="auto"/>
              <w:left w:val="single" w:sz="4" w:space="0" w:color="auto"/>
              <w:bottom w:val="single" w:sz="4" w:space="0" w:color="auto"/>
              <w:right w:val="single" w:sz="4" w:space="0" w:color="auto"/>
            </w:tcBorders>
          </w:tcPr>
          <w:p w14:paraId="52EA981C" w14:textId="0DE83442"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Se referă la competențele ABE.</w:t>
            </w:r>
          </w:p>
        </w:tc>
      </w:tr>
      <w:tr w:rsidR="002F47A0" w:rsidRPr="009E686F" w14:paraId="3DC7DDB4"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50A3FB1E" w14:textId="77777777" w:rsidR="002F47A0" w:rsidRPr="009E686F" w:rsidRDefault="002F47A0" w:rsidP="002F47A0">
            <w:pPr>
              <w:spacing w:after="0"/>
              <w:jc w:val="both"/>
              <w:rPr>
                <w:rFonts w:ascii="Times New Roman" w:hAnsi="Times New Roman" w:cs="Times New Roman"/>
                <w:lang w:val="it-CH"/>
              </w:rPr>
            </w:pPr>
            <w:r w:rsidRPr="009E686F">
              <w:rPr>
                <w:rFonts w:ascii="Times New Roman" w:hAnsi="Times New Roman" w:cs="Times New Roman"/>
                <w:lang w:val="it-CH"/>
              </w:rPr>
              <w:t xml:space="preserve">(1f) Statele membre se asigură că autoritățile competente evaluează dacă membrii organului de conducere îndeplinesc în orice moment criteriile și cerințele prevăzute la alineatele (2)-(6). Entitățile furnizează autorității competente, prin mijloacele stabilite de această autoritate, cererea privind adecvarea și orice alte informații necesare pentru evaluarea adecvării membrilor organului lor de conducere. </w:t>
            </w:r>
          </w:p>
          <w:p w14:paraId="3ED045CE" w14:textId="31196334"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it-CH"/>
              </w:rPr>
              <w:t>Autoritățile competente pot solicita informații sau documente suplimentare, inclusiv interviuri sau audieri.</w:t>
            </w:r>
            <w:r w:rsidRPr="009E686F" w:rsidDel="00A2272D">
              <w:rPr>
                <w:rFonts w:ascii="Times New Roman" w:hAnsi="Times New Roman" w:cs="Times New Roman"/>
                <w:lang w:val="ro-RO"/>
              </w:rPr>
              <w:t xml:space="preserve"> </w:t>
            </w:r>
          </w:p>
        </w:tc>
        <w:tc>
          <w:tcPr>
            <w:tcW w:w="1928" w:type="pct"/>
            <w:gridSpan w:val="3"/>
            <w:tcBorders>
              <w:top w:val="single" w:sz="4" w:space="0" w:color="auto"/>
              <w:left w:val="single" w:sz="4" w:space="0" w:color="auto"/>
              <w:bottom w:val="single" w:sz="4" w:space="0" w:color="auto"/>
              <w:right w:val="single" w:sz="4" w:space="0" w:color="auto"/>
            </w:tcBorders>
          </w:tcPr>
          <w:p w14:paraId="086AD108" w14:textId="313E3B65" w:rsidR="002F47A0" w:rsidRPr="009E686F" w:rsidRDefault="002F47A0" w:rsidP="002F47A0">
            <w:pPr>
              <w:spacing w:after="0"/>
              <w:jc w:val="both"/>
              <w:rPr>
                <w:rFonts w:ascii="Times New Roman" w:hAnsi="Times New Roman" w:cs="Times New Roman"/>
                <w:i/>
                <w:lang w:val="ro-RO"/>
              </w:rPr>
            </w:pPr>
            <w:r w:rsidRPr="009E686F">
              <w:rPr>
                <w:rFonts w:ascii="Times New Roman" w:hAnsi="Times New Roman" w:cs="Times New Roman"/>
                <w:i/>
                <w:lang w:val="ro-RO"/>
              </w:rPr>
              <w:t xml:space="preserve">(10) Banca Națională a Moldovei evaluează dacă membrii organului de conducere </w:t>
            </w:r>
            <w:r w:rsidRPr="009E686F">
              <w:rPr>
                <w:rFonts w:ascii="Times New Roman" w:hAnsi="Times New Roman" w:cs="Times New Roman"/>
                <w:i/>
                <w:iCs/>
                <w:lang w:val="ro-RO"/>
              </w:rPr>
              <w:t xml:space="preserve">sau persoanele care reprezintă conducerea superioară </w:t>
            </w:r>
            <w:r w:rsidRPr="009E686F">
              <w:rPr>
                <w:rFonts w:ascii="Times New Roman" w:hAnsi="Times New Roman" w:cs="Times New Roman"/>
                <w:i/>
                <w:lang w:val="ro-RO"/>
              </w:rPr>
              <w:t>îndeplinesc în orice moment criteriile și cerințele prevăzute la art. 43</w:t>
            </w:r>
            <w:r w:rsidRPr="009E686F">
              <w:rPr>
                <w:rFonts w:ascii="Times New Roman" w:hAnsi="Times New Roman" w:cs="Times New Roman"/>
                <w:i/>
                <w:vertAlign w:val="superscript"/>
                <w:lang w:val="ro-RO"/>
              </w:rPr>
              <w:t>1</w:t>
            </w:r>
            <w:r w:rsidRPr="009E686F">
              <w:rPr>
                <w:rFonts w:ascii="Times New Roman" w:hAnsi="Times New Roman" w:cs="Times New Roman"/>
                <w:i/>
                <w:lang w:val="ro-RO"/>
              </w:rPr>
              <w:t xml:space="preserve"> în baza cererii privind adecvarea, documentelor și informațiilor prevăzute în actele normative ale Băncii Naționale a Moldovei și poate solicita entităților informații sau documente suplimentare, inclusiv interviuri sau audieri, în scopul realizării evaluării.</w:t>
            </w:r>
            <w:r w:rsidRPr="009E686F">
              <w:rPr>
                <w:rFonts w:ascii="Times New Roman" w:hAnsi="Times New Roman" w:cs="Times New Roman"/>
                <w:i/>
                <w:iCs/>
                <w:color w:val="8064A2" w:themeColor="accent4"/>
                <w:lang w:val="ro-RO"/>
              </w:rPr>
              <w:t xml:space="preserve"> </w:t>
            </w:r>
          </w:p>
        </w:tc>
        <w:tc>
          <w:tcPr>
            <w:tcW w:w="470" w:type="pct"/>
            <w:tcBorders>
              <w:top w:val="single" w:sz="4" w:space="0" w:color="auto"/>
              <w:left w:val="single" w:sz="4" w:space="0" w:color="auto"/>
              <w:bottom w:val="single" w:sz="4" w:space="0" w:color="auto"/>
              <w:right w:val="single" w:sz="4" w:space="0" w:color="auto"/>
            </w:tcBorders>
          </w:tcPr>
          <w:p w14:paraId="04E1C513" w14:textId="4B2C2198"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645220F9" w14:textId="77777777" w:rsidR="002F47A0" w:rsidRPr="009E686F" w:rsidRDefault="002F47A0" w:rsidP="002F47A0">
            <w:pPr>
              <w:jc w:val="both"/>
              <w:rPr>
                <w:rFonts w:ascii="Times New Roman" w:hAnsi="Times New Roman" w:cs="Times New Roman"/>
                <w:lang w:val="ro-RO"/>
              </w:rPr>
            </w:pPr>
          </w:p>
        </w:tc>
      </w:tr>
      <w:tr w:rsidR="002F47A0" w:rsidRPr="009E686F" w14:paraId="3114113F"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0E99EF46" w14:textId="4C449549" w:rsidR="002F47A0" w:rsidRPr="009E686F" w:rsidDel="00A2272D"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(1g) Autoritățile competente verifică în special dacă sunt îndeplinite în continuare criteriile și cerințele prevăzute la alineatele (2)-(6) de la prezentul articol în cazul în care există motive întemeiate pentru a suspecta că este săvârșită sau a fost săvârșită o faptă ori o tentativă de spălare de bani sau de finanțare a terorismului în sensul articolului 1 din Directiva (UE) 2015/849 sau că există un risc crescut în acest sens în legătură cu entitatea.</w:t>
            </w:r>
          </w:p>
        </w:tc>
        <w:tc>
          <w:tcPr>
            <w:tcW w:w="1928" w:type="pct"/>
            <w:gridSpan w:val="3"/>
            <w:tcBorders>
              <w:top w:val="single" w:sz="4" w:space="0" w:color="auto"/>
              <w:left w:val="single" w:sz="4" w:space="0" w:color="auto"/>
              <w:bottom w:val="single" w:sz="4" w:space="0" w:color="auto"/>
              <w:right w:val="single" w:sz="4" w:space="0" w:color="auto"/>
            </w:tcBorders>
          </w:tcPr>
          <w:p w14:paraId="33697F96" w14:textId="54A809CD" w:rsidR="002F47A0" w:rsidRPr="009E686F" w:rsidRDefault="002F47A0" w:rsidP="002F47A0">
            <w:pPr>
              <w:spacing w:after="0"/>
              <w:jc w:val="both"/>
              <w:rPr>
                <w:rFonts w:ascii="Times New Roman" w:eastAsia="Aptos" w:hAnsi="Times New Roman" w:cs="Times New Roman"/>
                <w:b/>
                <w:bCs/>
                <w:kern w:val="2"/>
                <w:lang w:val="ro-MD"/>
              </w:rPr>
            </w:pPr>
            <w:r w:rsidRPr="009E686F">
              <w:rPr>
                <w:rFonts w:ascii="Times New Roman" w:eastAsia="Aptos" w:hAnsi="Times New Roman" w:cs="Times New Roman"/>
                <w:b/>
                <w:bCs/>
                <w:kern w:val="2"/>
                <w:lang w:val="ro-MD"/>
              </w:rPr>
              <w:t>Articolul 43</w:t>
            </w:r>
            <w:r w:rsidRPr="009E686F">
              <w:rPr>
                <w:rFonts w:ascii="Times New Roman" w:eastAsia="Aptos" w:hAnsi="Times New Roman" w:cs="Times New Roman"/>
                <w:b/>
                <w:bCs/>
                <w:kern w:val="2"/>
                <w:vertAlign w:val="superscript"/>
                <w:lang w:val="ro-MD"/>
              </w:rPr>
              <w:t>1</w:t>
            </w:r>
            <w:r w:rsidRPr="009E686F">
              <w:rPr>
                <w:rFonts w:ascii="Times New Roman" w:hAnsi="Times New Roman" w:cs="Times New Roman"/>
                <w:b/>
                <w:bCs/>
                <w:lang w:val="ro-RO"/>
              </w:rPr>
              <w:t xml:space="preserve"> alin. </w:t>
            </w:r>
            <w:r w:rsidRPr="009E686F">
              <w:rPr>
                <w:rFonts w:ascii="Times New Roman" w:eastAsia="Aptos" w:hAnsi="Times New Roman" w:cs="Times New Roman"/>
                <w:b/>
                <w:bCs/>
                <w:kern w:val="2"/>
                <w:lang w:val="ro-MD"/>
              </w:rPr>
              <w:t xml:space="preserve"> (3)</w:t>
            </w:r>
          </w:p>
          <w:p w14:paraId="546CE606" w14:textId="6DDF67FC" w:rsidR="002F47A0" w:rsidRPr="009E686F" w:rsidRDefault="002F47A0" w:rsidP="002F47A0">
            <w:pPr>
              <w:spacing w:after="0"/>
              <w:jc w:val="both"/>
              <w:rPr>
                <w:rFonts w:ascii="Times New Roman" w:hAnsi="Times New Roman" w:cs="Times New Roman"/>
                <w:i/>
                <w:lang w:val="ro-RO"/>
              </w:rPr>
            </w:pPr>
            <w:r w:rsidRPr="009E686F">
              <w:rPr>
                <w:rFonts w:ascii="Times New Roman" w:eastAsia="Aptos" w:hAnsi="Times New Roman" w:cs="Times New Roman"/>
                <w:i/>
                <w:kern w:val="2"/>
                <w:lang w:val="ro-MD"/>
              </w:rPr>
              <w:t xml:space="preserve">(3) Banca Naţională a Moldovei are autoritatea de a analiza în ce măsură </w:t>
            </w:r>
            <w:r w:rsidRPr="009E686F">
              <w:rPr>
                <w:rFonts w:ascii="Times New Roman" w:eastAsia="Aptos" w:hAnsi="Times New Roman" w:cs="Times New Roman"/>
                <w:i/>
                <w:iCs/>
                <w:kern w:val="2"/>
                <w:lang w:val="ro-MD"/>
              </w:rPr>
              <w:t>sunt</w:t>
            </w:r>
            <w:r w:rsidRPr="009E686F">
              <w:rPr>
                <w:rFonts w:ascii="Times New Roman" w:eastAsia="Aptos" w:hAnsi="Times New Roman" w:cs="Times New Roman"/>
                <w:i/>
                <w:kern w:val="2"/>
                <w:lang w:val="ro-MD"/>
              </w:rPr>
              <w:t xml:space="preserve"> respectate condiţiile minime prevăzute în prezenta lege şi în actele normative emise în aplicarea acesteia, inclusiv în cazul în care există motive întemeiate pentru a suspecta că este săvârșită sau a fost săvârșită o faptă ori o tentativă de spălare de bani sau de finanțare a terorismului în sensul prevederilor legislaţiei în domeniu sau că există un risc crescut în acest sens în legătură cu entitatea, de a evalua toate circumstanţele şi informaţiile legate de activitatea, reputaţia şi de experienţa membrilor organului de conducere şi de a decide dacă, </w:t>
            </w:r>
            <w:r w:rsidRPr="009E686F">
              <w:rPr>
                <w:rFonts w:ascii="Times New Roman" w:eastAsia="Aptos" w:hAnsi="Times New Roman" w:cs="Times New Roman"/>
                <w:i/>
                <w:iCs/>
                <w:kern w:val="2"/>
                <w:lang w:val="ro-MD"/>
              </w:rPr>
              <w:t>atât</w:t>
            </w:r>
            <w:r w:rsidRPr="009E686F">
              <w:rPr>
                <w:rFonts w:ascii="Times New Roman" w:eastAsia="Aptos" w:hAnsi="Times New Roman" w:cs="Times New Roman"/>
                <w:i/>
                <w:kern w:val="2"/>
                <w:lang w:val="ro-MD"/>
              </w:rPr>
              <w:t xml:space="preserve"> la nivel individual, </w:t>
            </w:r>
            <w:r w:rsidRPr="009E686F">
              <w:rPr>
                <w:rFonts w:ascii="Times New Roman" w:eastAsia="Aptos" w:hAnsi="Times New Roman" w:cs="Times New Roman"/>
                <w:i/>
                <w:iCs/>
                <w:kern w:val="2"/>
                <w:lang w:val="ro-MD"/>
              </w:rPr>
              <w:t>cât</w:t>
            </w:r>
            <w:r w:rsidRPr="009E686F">
              <w:rPr>
                <w:rFonts w:ascii="Times New Roman" w:eastAsia="Aptos" w:hAnsi="Times New Roman" w:cs="Times New Roman"/>
                <w:i/>
                <w:kern w:val="2"/>
                <w:lang w:val="ro-MD"/>
              </w:rPr>
              <w:t xml:space="preserve"> şi la nivel colectiv, cerinţele prevăzute </w:t>
            </w:r>
            <w:r w:rsidRPr="009E686F">
              <w:rPr>
                <w:rFonts w:ascii="Times New Roman" w:eastAsia="Aptos" w:hAnsi="Times New Roman" w:cs="Times New Roman"/>
                <w:i/>
                <w:iCs/>
                <w:kern w:val="2"/>
                <w:lang w:val="ro-MD"/>
              </w:rPr>
              <w:t>sunt</w:t>
            </w:r>
            <w:r w:rsidRPr="009E686F">
              <w:rPr>
                <w:rFonts w:ascii="Times New Roman" w:eastAsia="Aptos" w:hAnsi="Times New Roman" w:cs="Times New Roman"/>
                <w:i/>
                <w:kern w:val="2"/>
                <w:lang w:val="ro-MD"/>
              </w:rPr>
              <w:t xml:space="preserve"> îndeplinite.</w:t>
            </w:r>
          </w:p>
        </w:tc>
        <w:tc>
          <w:tcPr>
            <w:tcW w:w="470" w:type="pct"/>
            <w:tcBorders>
              <w:top w:val="single" w:sz="4" w:space="0" w:color="auto"/>
              <w:left w:val="single" w:sz="4" w:space="0" w:color="auto"/>
              <w:bottom w:val="single" w:sz="4" w:space="0" w:color="auto"/>
              <w:right w:val="single" w:sz="4" w:space="0" w:color="auto"/>
            </w:tcBorders>
          </w:tcPr>
          <w:p w14:paraId="70C1671E" w14:textId="3148ACD3"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469DDC2A" w14:textId="77777777" w:rsidR="002F47A0" w:rsidRPr="009E686F" w:rsidRDefault="002F47A0" w:rsidP="002F47A0">
            <w:pPr>
              <w:jc w:val="both"/>
              <w:rPr>
                <w:rFonts w:ascii="Times New Roman" w:hAnsi="Times New Roman" w:cs="Times New Roman"/>
                <w:lang w:val="ro-RO"/>
              </w:rPr>
            </w:pPr>
          </w:p>
        </w:tc>
      </w:tr>
      <w:tr w:rsidR="002F47A0" w:rsidRPr="009E686F" w14:paraId="1B2A0399" w14:textId="77777777" w:rsidTr="00E61522">
        <w:tc>
          <w:tcPr>
            <w:tcW w:w="1796" w:type="pct"/>
            <w:gridSpan w:val="2"/>
            <w:vMerge w:val="restart"/>
            <w:tcBorders>
              <w:top w:val="single" w:sz="4" w:space="0" w:color="auto"/>
              <w:left w:val="single" w:sz="4" w:space="0" w:color="auto"/>
              <w:right w:val="single" w:sz="4" w:space="0" w:color="auto"/>
            </w:tcBorders>
          </w:tcPr>
          <w:p w14:paraId="602D4753"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 xml:space="preserve">(1h) </w:t>
            </w:r>
            <w:r w:rsidRPr="009E686F">
              <w:rPr>
                <w:rFonts w:ascii="Times New Roman" w:hAnsi="Times New Roman" w:cs="Times New Roman"/>
                <w:lang w:val="ro-MD"/>
              </w:rPr>
              <w:t>Î</w:t>
            </w:r>
            <w:r w:rsidRPr="009E686F">
              <w:rPr>
                <w:rFonts w:ascii="Times New Roman" w:hAnsi="Times New Roman" w:cs="Times New Roman"/>
                <w:lang w:val="ro-RO"/>
              </w:rPr>
              <w:t xml:space="preserve">n cazul în care membrii organului de conducere nu îndeplinesc în orice moment criteriile și cerințele prevăzute la alineatele (2)-(6), statele membre se asigură că autoritățile competente dispun de competențele necesare: </w:t>
            </w:r>
          </w:p>
          <w:p w14:paraId="00418D3F"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lastRenderedPageBreak/>
              <w:t xml:space="preserve">(a) în cazul evaluării ex ante, pentru a îi împiedica pe membrii respectivi să facă parte din organul de conducere sau pentru a-i demite din acesta; </w:t>
            </w:r>
          </w:p>
          <w:p w14:paraId="3B2E7A2E"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(b) în cazul evaluării ex post, pentru a-i demite pe membrii respectivi din organul de conducere; sau</w:t>
            </w:r>
          </w:p>
          <w:p w14:paraId="7BBEA7B2"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 xml:space="preserve"> (c) pentru a le impune entităților în cauză să ia măsurile suplimentare necesare pentru a se asigura că membrii respectivi sunt sau devin adecvați pentru funcția în cauză. </w:t>
            </w:r>
          </w:p>
          <w:p w14:paraId="2681F0D3"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 xml:space="preserve">De îndată ce se cunosc orice fapte noi sau alte aspecte care ar putea afecta adecvarea membrilor organului de conducere, entitățile reevaluează adecvarea membrilor respectivi și informează în acest sens, fără întârzieri nejustificate, autoritatea competentă. </w:t>
            </w:r>
          </w:p>
          <w:p w14:paraId="2DD67D50" w14:textId="1675210F"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În cazul în care autoritatea competentă constată că informațiile relevante privind adecvarea membrilor organului de conducere s-au schimbat și că o astfel de modificare ar putea afecta adecvarea membrilor în cauză, autoritatea competentă reevaluează adecvarea lor.</w:t>
            </w:r>
          </w:p>
          <w:p w14:paraId="4BAF592C" w14:textId="0926BABC" w:rsidR="002F47A0" w:rsidRPr="009E686F" w:rsidDel="00A2272D"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 xml:space="preserve"> Autoritățile competente nu au obligația de a reevalua adecvarea membrilor organului de conducere cu ocazia reînnoirii mandatului lor, cu excepția cazului în care s-au modificat anumite informații relevante care sunt cunoscute de autoritățile competente și această modificare poate afecta adecvarea membrului în cauză.</w:t>
            </w:r>
          </w:p>
        </w:tc>
        <w:tc>
          <w:tcPr>
            <w:tcW w:w="1928" w:type="pct"/>
            <w:gridSpan w:val="3"/>
            <w:tcBorders>
              <w:top w:val="single" w:sz="4" w:space="0" w:color="auto"/>
              <w:left w:val="single" w:sz="4" w:space="0" w:color="auto"/>
              <w:bottom w:val="single" w:sz="4" w:space="0" w:color="auto"/>
              <w:right w:val="single" w:sz="4" w:space="0" w:color="auto"/>
            </w:tcBorders>
          </w:tcPr>
          <w:p w14:paraId="601F5F5A" w14:textId="4D745765" w:rsidR="002F47A0" w:rsidRPr="009E686F" w:rsidRDefault="002F47A0" w:rsidP="002F47A0">
            <w:pPr>
              <w:spacing w:after="0"/>
              <w:jc w:val="both"/>
              <w:rPr>
                <w:rFonts w:ascii="Times New Roman" w:hAnsi="Times New Roman" w:cs="Times New Roman"/>
                <w:b/>
                <w:bCs/>
                <w:lang w:val="ro-RO"/>
              </w:rPr>
            </w:pPr>
            <w:r w:rsidRPr="009E686F">
              <w:rPr>
                <w:rFonts w:ascii="Times New Roman" w:hAnsi="Times New Roman" w:cs="Times New Roman"/>
                <w:b/>
                <w:bCs/>
                <w:lang w:val="ro-RO"/>
              </w:rPr>
              <w:lastRenderedPageBreak/>
              <w:t>Articolul 43 alin.  (11)-(14)</w:t>
            </w:r>
          </w:p>
          <w:p w14:paraId="75471BA0" w14:textId="0744917A" w:rsidR="002F47A0" w:rsidRPr="009E686F" w:rsidRDefault="002F47A0" w:rsidP="002F47A0">
            <w:pPr>
              <w:spacing w:after="0"/>
              <w:jc w:val="both"/>
              <w:rPr>
                <w:rFonts w:ascii="Times New Roman" w:hAnsi="Times New Roman" w:cs="Times New Roman"/>
                <w:i/>
                <w:lang w:val="ro-RO"/>
              </w:rPr>
            </w:pPr>
            <w:r w:rsidRPr="009E686F">
              <w:rPr>
                <w:rFonts w:ascii="Times New Roman" w:hAnsi="Times New Roman" w:cs="Times New Roman"/>
                <w:i/>
                <w:lang w:val="ro-RO"/>
              </w:rPr>
              <w:t xml:space="preserve">(11) Banca Națională a Moldovei poate lua următoarele măsuri, în cazul în care membrii organului de conducere </w:t>
            </w:r>
            <w:r w:rsidRPr="009E686F">
              <w:rPr>
                <w:rFonts w:ascii="Times New Roman" w:hAnsi="Times New Roman" w:cs="Times New Roman"/>
                <w:i/>
                <w:iCs/>
                <w:lang w:val="ro-RO"/>
              </w:rPr>
              <w:t xml:space="preserve">sau persoanele care reprezintă conducerea superioară </w:t>
            </w:r>
            <w:r w:rsidRPr="009E686F">
              <w:rPr>
                <w:rFonts w:ascii="Times New Roman" w:hAnsi="Times New Roman" w:cs="Times New Roman"/>
                <w:i/>
                <w:lang w:val="ro-RO"/>
              </w:rPr>
              <w:t>nu îndeplinesc în orice moment criteriile și cerințele prevăzute la art. 43</w:t>
            </w:r>
            <w:r w:rsidRPr="009E686F">
              <w:rPr>
                <w:rFonts w:ascii="Times New Roman" w:hAnsi="Times New Roman" w:cs="Times New Roman"/>
                <w:i/>
                <w:vertAlign w:val="superscript"/>
                <w:lang w:val="ro-RO"/>
              </w:rPr>
              <w:t>1</w:t>
            </w:r>
            <w:r w:rsidRPr="009E686F">
              <w:rPr>
                <w:rFonts w:ascii="Times New Roman" w:hAnsi="Times New Roman" w:cs="Times New Roman"/>
                <w:i/>
                <w:lang w:val="ro-RO"/>
              </w:rPr>
              <w:t xml:space="preserve">:  </w:t>
            </w:r>
          </w:p>
          <w:p w14:paraId="43FBD1DF" w14:textId="77176373" w:rsidR="002F47A0" w:rsidRPr="009E686F" w:rsidRDefault="002F47A0" w:rsidP="002F47A0">
            <w:pPr>
              <w:spacing w:after="0"/>
              <w:jc w:val="both"/>
              <w:rPr>
                <w:rFonts w:ascii="Times New Roman" w:hAnsi="Times New Roman" w:cs="Times New Roman"/>
                <w:i/>
                <w:lang w:val="ro-RO"/>
              </w:rPr>
            </w:pPr>
            <w:r w:rsidRPr="009E686F">
              <w:rPr>
                <w:rFonts w:ascii="Times New Roman" w:hAnsi="Times New Roman" w:cs="Times New Roman"/>
                <w:i/>
                <w:lang w:val="ro-RO"/>
              </w:rPr>
              <w:lastRenderedPageBreak/>
              <w:t xml:space="preserve">a) în cazul evaluării ex ante, împiedică membrii respectivi să facă parte din organul de conducere </w:t>
            </w:r>
            <w:r w:rsidRPr="009E686F">
              <w:rPr>
                <w:rFonts w:ascii="Times New Roman" w:hAnsi="Times New Roman" w:cs="Times New Roman"/>
                <w:i/>
                <w:iCs/>
                <w:lang w:val="ro-RO"/>
              </w:rPr>
              <w:t>sau persoanele care reprezintă conducerea superioară prin refuzul acordării aprobării sau solicită revocarea acestora, ulterior numirii potrivit alin.</w:t>
            </w:r>
            <w:r w:rsidRPr="009E686F">
              <w:rPr>
                <w:rFonts w:ascii="Times New Roman" w:hAnsi="Times New Roman" w:cs="Times New Roman"/>
                <w:i/>
                <w:lang w:val="ro-RO"/>
              </w:rPr>
              <w:t xml:space="preserve"> (5); </w:t>
            </w:r>
          </w:p>
          <w:p w14:paraId="2EAF1E85" w14:textId="00C008DE" w:rsidR="002F47A0" w:rsidRPr="009E686F" w:rsidRDefault="002F47A0" w:rsidP="002F47A0">
            <w:pPr>
              <w:spacing w:after="0"/>
              <w:jc w:val="both"/>
              <w:rPr>
                <w:rFonts w:ascii="Times New Roman" w:hAnsi="Times New Roman" w:cs="Times New Roman"/>
                <w:i/>
                <w:lang w:val="ro-RO"/>
              </w:rPr>
            </w:pPr>
            <w:r w:rsidRPr="009E686F">
              <w:rPr>
                <w:rFonts w:ascii="Times New Roman" w:hAnsi="Times New Roman" w:cs="Times New Roman"/>
                <w:i/>
                <w:lang w:val="ro-RO"/>
              </w:rPr>
              <w:t xml:space="preserve">b) în cazul evaluării ex post, solicită revocarea membrilor respectivi din organul de conducere sau demiterea conducerii superioare, ulterior numirii </w:t>
            </w:r>
            <w:r w:rsidRPr="009E686F">
              <w:rPr>
                <w:rFonts w:ascii="Times New Roman" w:hAnsi="Times New Roman" w:cs="Times New Roman"/>
                <w:i/>
                <w:iCs/>
                <w:lang w:val="ro-RO"/>
              </w:rPr>
              <w:t>î</w:t>
            </w:r>
            <w:r w:rsidRPr="009E686F">
              <w:rPr>
                <w:rFonts w:ascii="Times New Roman" w:hAnsi="Times New Roman" w:cs="Times New Roman"/>
                <w:i/>
                <w:lang w:val="ro-RO"/>
              </w:rPr>
              <w:t xml:space="preserve">n funcție, urmare notificării; sau </w:t>
            </w:r>
          </w:p>
          <w:p w14:paraId="0F32AB3D" w14:textId="35E0256D" w:rsidR="002F47A0" w:rsidRPr="009E686F" w:rsidRDefault="002F47A0" w:rsidP="002F47A0">
            <w:pPr>
              <w:spacing w:after="0"/>
              <w:jc w:val="both"/>
              <w:rPr>
                <w:rFonts w:ascii="Times New Roman" w:hAnsi="Times New Roman" w:cs="Times New Roman"/>
                <w:i/>
                <w:color w:val="8064A2" w:themeColor="accent4"/>
                <w:lang w:val="ro-RO"/>
              </w:rPr>
            </w:pPr>
            <w:r w:rsidRPr="009E686F">
              <w:rPr>
                <w:rFonts w:ascii="Times New Roman" w:hAnsi="Times New Roman" w:cs="Times New Roman"/>
                <w:i/>
                <w:lang w:val="ro-RO"/>
              </w:rPr>
              <w:t>c) impune entităților în cauză luarea măsurilor suplimentare necesare pentru a se asigura că membrii respectivi sunt sau devin adecvați pentru funcția în cauză.</w:t>
            </w:r>
            <w:r w:rsidRPr="009E686F">
              <w:rPr>
                <w:rFonts w:ascii="Times New Roman" w:hAnsi="Times New Roman" w:cs="Times New Roman"/>
                <w:b/>
                <w:i/>
                <w:color w:val="FF0000"/>
                <w:lang w:val="ro-RO"/>
              </w:rPr>
              <w:t xml:space="preserve"> </w:t>
            </w:r>
          </w:p>
          <w:p w14:paraId="25DFEB40" w14:textId="08EE9CCB" w:rsidR="002F47A0" w:rsidRPr="009E686F" w:rsidRDefault="002F47A0" w:rsidP="002F47A0">
            <w:pPr>
              <w:spacing w:after="0"/>
              <w:jc w:val="both"/>
              <w:rPr>
                <w:rFonts w:ascii="Times New Roman" w:hAnsi="Times New Roman" w:cs="Times New Roman"/>
                <w:i/>
                <w:color w:val="8064A2" w:themeColor="accent4"/>
                <w:lang w:val="ro-RO"/>
              </w:rPr>
            </w:pPr>
            <w:r w:rsidRPr="009E686F">
              <w:rPr>
                <w:rFonts w:ascii="Times New Roman" w:hAnsi="Times New Roman" w:cs="Times New Roman"/>
                <w:i/>
                <w:lang w:val="ro-RO"/>
              </w:rPr>
              <w:t>(12) Entitățile reevaluează adecvarea membrilor organului de conducere sau persoanelor care reprezintă conducerea superioară de îndată ce se cunosc orice fapte noi sau alte aspecte care ar putea afecta adecvarea acestora și informează în acest sens Banca Națională a Moldovei, fără întârzieri nejustificate.</w:t>
            </w:r>
            <w:r w:rsidRPr="009E686F">
              <w:rPr>
                <w:rFonts w:ascii="Times New Roman" w:hAnsi="Times New Roman" w:cs="Times New Roman"/>
                <w:b/>
                <w:i/>
                <w:color w:val="FF0000"/>
                <w:lang w:val="ro-RO"/>
              </w:rPr>
              <w:t xml:space="preserve"> </w:t>
            </w:r>
          </w:p>
          <w:p w14:paraId="1A50B08C" w14:textId="2D60CD7D" w:rsidR="002F47A0" w:rsidRPr="009E686F" w:rsidRDefault="002F47A0" w:rsidP="002F47A0">
            <w:pPr>
              <w:spacing w:after="0"/>
              <w:jc w:val="both"/>
              <w:rPr>
                <w:rFonts w:ascii="Times New Roman" w:hAnsi="Times New Roman" w:cs="Times New Roman"/>
                <w:i/>
                <w:color w:val="8064A2" w:themeColor="accent4"/>
                <w:lang w:val="ro-RO"/>
              </w:rPr>
            </w:pPr>
            <w:r w:rsidRPr="009E686F">
              <w:rPr>
                <w:rFonts w:ascii="Times New Roman" w:hAnsi="Times New Roman" w:cs="Times New Roman"/>
                <w:i/>
                <w:lang w:val="ro-RO"/>
              </w:rPr>
              <w:t xml:space="preserve">(13) Banca Națională a Moldovei reevaluează adecvarea membrilor organului de conducere sau persoanelor care reprezintă conducerea superioară în cazul în care constată că informațiile relevante privind adecvarea acestora s-au modificat și că o astfel de modificare ar putea afecta adecvarea membrilor în cauză. </w:t>
            </w:r>
          </w:p>
          <w:p w14:paraId="1D2114F4" w14:textId="77777777" w:rsidR="002F47A0" w:rsidRPr="009E686F" w:rsidRDefault="002F47A0" w:rsidP="002F47A0">
            <w:pPr>
              <w:spacing w:after="0"/>
              <w:jc w:val="both"/>
              <w:rPr>
                <w:rFonts w:ascii="Times New Roman" w:hAnsi="Times New Roman" w:cs="Times New Roman"/>
                <w:i/>
                <w:lang w:val="ro-RO"/>
              </w:rPr>
            </w:pPr>
            <w:r w:rsidRPr="009E686F">
              <w:rPr>
                <w:rFonts w:ascii="Times New Roman" w:hAnsi="Times New Roman" w:cs="Times New Roman"/>
                <w:i/>
                <w:lang w:val="ro-RO"/>
              </w:rPr>
              <w:t>(14) În cazul reînnoirii mandatului membrilor organului de conducere a entității sau a persoanelor care reprezintă conducerea superioară, Banca Națională a Moldovei reevaluează adecvarea acestora, doar în cazul în care s-au modificat anumite informații relevante care sunt cunoscute de Banca Națională a Moldovei și această modificare poate afecta adecvarea membrului respectiv/persoanei respective.</w:t>
            </w:r>
          </w:p>
          <w:p w14:paraId="33F3D69B" w14:textId="77777777" w:rsidR="002F47A0" w:rsidRPr="009E686F" w:rsidRDefault="002F47A0" w:rsidP="002F47A0">
            <w:pPr>
              <w:spacing w:after="0"/>
              <w:jc w:val="both"/>
              <w:rPr>
                <w:rFonts w:ascii="Times New Roman" w:hAnsi="Times New Roman" w:cs="Times New Roman"/>
                <w:b/>
                <w:bCs/>
                <w:lang w:val="ro-RO"/>
              </w:rPr>
            </w:pPr>
            <w:r w:rsidRPr="009E686F">
              <w:rPr>
                <w:rFonts w:ascii="Times New Roman" w:hAnsi="Times New Roman" w:cs="Times New Roman"/>
                <w:b/>
                <w:bCs/>
                <w:lang w:val="ro-RO"/>
              </w:rPr>
              <w:t>Art. 41 alin. (4) lit. b)</w:t>
            </w:r>
          </w:p>
          <w:p w14:paraId="10E02DD0" w14:textId="47236559"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lastRenderedPageBreak/>
              <w:t xml:space="preserve">(4) În afara condiţiilor prevăzute de legislaţia în vigoare, referitoare la membrii consiliului, nu poate fi aleasă membru al consiliului </w:t>
            </w:r>
            <w:r w:rsidRPr="009E686F">
              <w:rPr>
                <w:rFonts w:ascii="Times New Roman" w:hAnsi="Times New Roman" w:cs="Times New Roman"/>
                <w:i/>
                <w:iCs/>
                <w:lang w:val="ro-RO"/>
              </w:rPr>
              <w:t>instituției de credit</w:t>
            </w:r>
            <w:r w:rsidRPr="009E686F">
              <w:rPr>
                <w:rFonts w:ascii="Times New Roman" w:hAnsi="Times New Roman" w:cs="Times New Roman"/>
                <w:lang w:val="ro-RO"/>
              </w:rPr>
              <w:t>, sau dacă a fost aleasă – decade din drepturi, persoana:</w:t>
            </w:r>
          </w:p>
          <w:p w14:paraId="1B700952" w14:textId="30A52556" w:rsidR="002F47A0" w:rsidRPr="009E686F" w:rsidRDefault="002F47A0" w:rsidP="002F47A0">
            <w:pPr>
              <w:spacing w:after="0"/>
              <w:jc w:val="both"/>
              <w:rPr>
                <w:rFonts w:ascii="Times New Roman" w:hAnsi="Times New Roman" w:cs="Times New Roman"/>
                <w:lang w:val="pt-BR"/>
              </w:rPr>
            </w:pPr>
            <w:r w:rsidRPr="009E686F">
              <w:rPr>
                <w:rFonts w:ascii="Times New Roman" w:hAnsi="Times New Roman" w:cs="Times New Roman"/>
                <w:lang w:val="pt-BR"/>
              </w:rPr>
              <w:t>b) căreia i s-a retras aprobarea Băncii Naţionale a Moldovei, acordată conform art.43.</w:t>
            </w:r>
          </w:p>
        </w:tc>
        <w:tc>
          <w:tcPr>
            <w:tcW w:w="470" w:type="pct"/>
            <w:tcBorders>
              <w:top w:val="single" w:sz="4" w:space="0" w:color="auto"/>
              <w:left w:val="single" w:sz="4" w:space="0" w:color="auto"/>
              <w:bottom w:val="single" w:sz="4" w:space="0" w:color="auto"/>
              <w:right w:val="single" w:sz="4" w:space="0" w:color="auto"/>
            </w:tcBorders>
          </w:tcPr>
          <w:p w14:paraId="342246D6" w14:textId="0AD2A3F2"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2204547D" w14:textId="77777777" w:rsidR="002F47A0" w:rsidRPr="009E686F" w:rsidRDefault="002F47A0" w:rsidP="002F47A0">
            <w:pPr>
              <w:jc w:val="both"/>
              <w:rPr>
                <w:rFonts w:ascii="Times New Roman" w:hAnsi="Times New Roman" w:cs="Times New Roman"/>
                <w:lang w:val="ro-RO"/>
              </w:rPr>
            </w:pPr>
          </w:p>
        </w:tc>
      </w:tr>
      <w:tr w:rsidR="002F47A0" w:rsidRPr="009E686F" w14:paraId="248C52D3" w14:textId="77777777" w:rsidTr="00E61522">
        <w:tc>
          <w:tcPr>
            <w:tcW w:w="1796" w:type="pct"/>
            <w:gridSpan w:val="2"/>
            <w:vMerge/>
            <w:tcBorders>
              <w:left w:val="single" w:sz="4" w:space="0" w:color="auto"/>
              <w:bottom w:val="single" w:sz="4" w:space="0" w:color="auto"/>
              <w:right w:val="single" w:sz="4" w:space="0" w:color="auto"/>
            </w:tcBorders>
          </w:tcPr>
          <w:p w14:paraId="6AB6842D" w14:textId="77777777" w:rsidR="002F47A0" w:rsidRPr="009E686F" w:rsidRDefault="002F47A0" w:rsidP="002F47A0">
            <w:pPr>
              <w:spacing w:after="0"/>
              <w:jc w:val="both"/>
              <w:rPr>
                <w:rFonts w:ascii="Times New Roman" w:hAnsi="Times New Roman" w:cs="Times New Roman"/>
                <w:lang w:val="ro-RO"/>
              </w:rPr>
            </w:pPr>
          </w:p>
        </w:tc>
        <w:tc>
          <w:tcPr>
            <w:tcW w:w="1928" w:type="pct"/>
            <w:gridSpan w:val="3"/>
            <w:tcBorders>
              <w:top w:val="single" w:sz="4" w:space="0" w:color="auto"/>
              <w:left w:val="single" w:sz="4" w:space="0" w:color="auto"/>
              <w:bottom w:val="single" w:sz="4" w:space="0" w:color="auto"/>
              <w:right w:val="single" w:sz="4" w:space="0" w:color="auto"/>
            </w:tcBorders>
          </w:tcPr>
          <w:p w14:paraId="76F9A7AF" w14:textId="501813AF"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 xml:space="preserve">(7) Pentru aprobarea de către Banca Naţională a Moldovei a persoanelor alese în calitate de membru al consiliului, </w:t>
            </w:r>
            <w:r w:rsidRPr="009E686F">
              <w:rPr>
                <w:rFonts w:ascii="Times New Roman" w:hAnsi="Times New Roman" w:cs="Times New Roman"/>
                <w:i/>
                <w:lang w:val="ro-RO"/>
              </w:rPr>
              <w:t>instituția de credit</w:t>
            </w:r>
            <w:r w:rsidRPr="009E686F">
              <w:rPr>
                <w:rFonts w:ascii="Times New Roman" w:hAnsi="Times New Roman" w:cs="Times New Roman"/>
                <w:lang w:val="ro-RO"/>
              </w:rPr>
              <w:t xml:space="preserve"> trebuie să înainteze cererea cu setul de documente, conform actelor normative în vigoare, în termen de cel mult 60 de zile lucrătoare de la alegerea acestora, cu posibilitatea prelungirii de către Banca Naţională a Moldovei a termenului dat cu 30 de zile în cazul existenţei condiţiilor obiective, care nu depind de persoana aleasă în calitate de membru al consiliului. În caz contrar, componenţa consiliului se consideră a fi redusă cu persoanele ale căror documente nu au fost prezentate la Banca Naţională a Moldovei în termenul indicat.</w:t>
            </w:r>
          </w:p>
        </w:tc>
        <w:tc>
          <w:tcPr>
            <w:tcW w:w="470" w:type="pct"/>
            <w:tcBorders>
              <w:top w:val="single" w:sz="4" w:space="0" w:color="auto"/>
              <w:left w:val="single" w:sz="4" w:space="0" w:color="auto"/>
              <w:bottom w:val="single" w:sz="4" w:space="0" w:color="auto"/>
              <w:right w:val="single" w:sz="4" w:space="0" w:color="auto"/>
            </w:tcBorders>
          </w:tcPr>
          <w:p w14:paraId="62A2CFA5" w14:textId="0D63E5D7"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1B04DC83" w14:textId="1296CC4C"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Norme procedurale cu specific național pentru evaluarea ex ante a membrilor consiliului.</w:t>
            </w:r>
          </w:p>
        </w:tc>
      </w:tr>
      <w:tr w:rsidR="002F47A0" w:rsidRPr="009E686F" w14:paraId="65720C11" w14:textId="77777777" w:rsidTr="00E61522">
        <w:tc>
          <w:tcPr>
            <w:tcW w:w="1796" w:type="pct"/>
            <w:gridSpan w:val="2"/>
            <w:vMerge/>
            <w:tcBorders>
              <w:left w:val="single" w:sz="4" w:space="0" w:color="auto"/>
              <w:bottom w:val="single" w:sz="4" w:space="0" w:color="auto"/>
              <w:right w:val="single" w:sz="4" w:space="0" w:color="auto"/>
            </w:tcBorders>
          </w:tcPr>
          <w:p w14:paraId="4AFD08D0" w14:textId="77777777" w:rsidR="002F47A0" w:rsidRPr="009E686F" w:rsidRDefault="002F47A0" w:rsidP="002F47A0">
            <w:pPr>
              <w:spacing w:after="0"/>
              <w:jc w:val="both"/>
              <w:rPr>
                <w:rFonts w:ascii="Times New Roman" w:hAnsi="Times New Roman" w:cs="Times New Roman"/>
                <w:lang w:val="ro-RO"/>
              </w:rPr>
            </w:pPr>
          </w:p>
        </w:tc>
        <w:tc>
          <w:tcPr>
            <w:tcW w:w="1928" w:type="pct"/>
            <w:gridSpan w:val="3"/>
            <w:tcBorders>
              <w:top w:val="single" w:sz="4" w:space="0" w:color="auto"/>
              <w:left w:val="single" w:sz="4" w:space="0" w:color="auto"/>
              <w:bottom w:val="single" w:sz="4" w:space="0" w:color="auto"/>
              <w:right w:val="single" w:sz="4" w:space="0" w:color="auto"/>
            </w:tcBorders>
          </w:tcPr>
          <w:p w14:paraId="2EE94644" w14:textId="3D4DF365" w:rsidR="002F47A0" w:rsidRPr="009E686F" w:rsidRDefault="002F47A0" w:rsidP="002F47A0">
            <w:pPr>
              <w:spacing w:after="0"/>
              <w:jc w:val="both"/>
              <w:rPr>
                <w:rFonts w:ascii="Times New Roman" w:hAnsi="Times New Roman" w:cs="Times New Roman"/>
                <w:b/>
                <w:bCs/>
                <w:lang w:val="ro-RO"/>
              </w:rPr>
            </w:pPr>
            <w:r w:rsidRPr="009E686F">
              <w:rPr>
                <w:rFonts w:ascii="Times New Roman" w:hAnsi="Times New Roman" w:cs="Times New Roman"/>
                <w:b/>
                <w:bCs/>
                <w:lang w:val="ro-RO"/>
              </w:rPr>
              <w:t xml:space="preserve">Art. 41 alin. (6) </w:t>
            </w:r>
          </w:p>
          <w:p w14:paraId="6847E981" w14:textId="6A925C9B"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(6) Prin derogare de la prevederile art.65 alin.(11) lit.a) şi c) din Legea nr.1134/1997 privind societăţile pe acţiuni, împuternicirile consiliului încetează din ziua aprobării de către Banca Naţională a Moldovei a noilor membri aleşi de adunarea generală a acţionarilor.</w:t>
            </w:r>
          </w:p>
        </w:tc>
        <w:tc>
          <w:tcPr>
            <w:tcW w:w="470" w:type="pct"/>
            <w:tcBorders>
              <w:top w:val="single" w:sz="4" w:space="0" w:color="auto"/>
              <w:left w:val="single" w:sz="4" w:space="0" w:color="auto"/>
              <w:bottom w:val="single" w:sz="4" w:space="0" w:color="auto"/>
              <w:right w:val="single" w:sz="4" w:space="0" w:color="auto"/>
            </w:tcBorders>
          </w:tcPr>
          <w:p w14:paraId="29D5E0D1" w14:textId="4D8776A1"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0D1E7B6F" w14:textId="7FF5BCC6"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Norma cu specific național de implementare pentru asigurarea continuității administrării activității instituției de credit.</w:t>
            </w:r>
          </w:p>
        </w:tc>
      </w:tr>
      <w:tr w:rsidR="002F47A0" w:rsidRPr="009E686F" w14:paraId="19C1BDA2"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21F3CFE9"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(1i) Autoritățile competente pot solicita autorității responsabile cu supravegherea combaterii spălării banilor sau a finanțării terorismului în conformitate cu Directiva (UE) 2015/849 să consulte, în contextul verificărilor lor și în funcție de riscuri, informațiile relevante referitoare la membrii organului de conducere.</w:t>
            </w:r>
          </w:p>
          <w:p w14:paraId="2B1A29FF" w14:textId="77777777" w:rsidR="002F47A0" w:rsidRPr="009E686F" w:rsidRDefault="002F47A0" w:rsidP="002F47A0">
            <w:pPr>
              <w:spacing w:after="0"/>
              <w:jc w:val="both"/>
              <w:rPr>
                <w:rFonts w:ascii="Times New Roman" w:hAnsi="Times New Roman" w:cs="Times New Roman"/>
                <w:lang w:val="ro-RO"/>
              </w:rPr>
            </w:pPr>
          </w:p>
          <w:p w14:paraId="70B09CA1" w14:textId="217BF2B1" w:rsidR="002F47A0" w:rsidRPr="009E686F" w:rsidDel="00A2272D"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lastRenderedPageBreak/>
              <w:t xml:space="preserve"> </w:t>
            </w:r>
            <w:r w:rsidRPr="009E686F">
              <w:rPr>
                <w:rFonts w:ascii="Times New Roman" w:hAnsi="Times New Roman" w:cs="Times New Roman"/>
                <w:lang w:val="it-CH"/>
              </w:rPr>
              <w:t>Autoritățile competente pot solicita, de asemenea, accesul la baza de date centrală CSB/CFT menționată în Regulamentul (UE) 2024/1620 al Parlamentului European și al Consiliului (*). Autoritatea pentru Combaterea Spălării Banilor și a Finanțării Terorismului instituită prin respectivul regulament (denumită în continuare «Autoritatea pentru Combaterea Spălării Banilor și a Finanțării Terorismului») decide dacă acordă sau nu un astfel de acces.</w:t>
            </w:r>
          </w:p>
        </w:tc>
        <w:tc>
          <w:tcPr>
            <w:tcW w:w="1928" w:type="pct"/>
            <w:gridSpan w:val="3"/>
            <w:tcBorders>
              <w:top w:val="single" w:sz="4" w:space="0" w:color="auto"/>
              <w:left w:val="single" w:sz="4" w:space="0" w:color="auto"/>
              <w:bottom w:val="single" w:sz="4" w:space="0" w:color="auto"/>
              <w:right w:val="single" w:sz="4" w:space="0" w:color="auto"/>
            </w:tcBorders>
          </w:tcPr>
          <w:p w14:paraId="138E24D0" w14:textId="400A6735" w:rsidR="002F47A0" w:rsidRPr="009E686F" w:rsidRDefault="002F47A0" w:rsidP="002F47A0">
            <w:pPr>
              <w:spacing w:after="0"/>
              <w:jc w:val="both"/>
              <w:rPr>
                <w:rFonts w:ascii="Times New Roman" w:hAnsi="Times New Roman" w:cs="Times New Roman"/>
                <w:b/>
                <w:bCs/>
                <w:lang w:val="ro-RO"/>
              </w:rPr>
            </w:pPr>
            <w:r w:rsidRPr="009E686F">
              <w:rPr>
                <w:rFonts w:ascii="Times New Roman" w:hAnsi="Times New Roman" w:cs="Times New Roman"/>
                <w:b/>
                <w:bCs/>
                <w:lang w:val="ro-RO"/>
              </w:rPr>
              <w:lastRenderedPageBreak/>
              <w:t>Articolul 43 alin. (15)</w:t>
            </w:r>
          </w:p>
          <w:p w14:paraId="1D37A6FC" w14:textId="5C9DE3B8" w:rsidR="002F47A0" w:rsidRPr="009E686F" w:rsidRDefault="002F47A0" w:rsidP="002F47A0">
            <w:pPr>
              <w:pStyle w:val="af4"/>
              <w:tabs>
                <w:tab w:val="left" w:pos="426"/>
              </w:tabs>
              <w:spacing w:after="0"/>
              <w:ind w:left="0"/>
              <w:jc w:val="both"/>
              <w:rPr>
                <w:rFonts w:ascii="Times New Roman" w:hAnsi="Times New Roman" w:cs="Times New Roman"/>
                <w:i/>
              </w:rPr>
            </w:pPr>
            <w:r w:rsidRPr="009E686F">
              <w:rPr>
                <w:rFonts w:ascii="Times New Roman" w:hAnsi="Times New Roman" w:cs="Times New Roman"/>
                <w:i/>
              </w:rPr>
              <w:t xml:space="preserve">(15) Banca Națională a Moldovei, în calitate de autoritate competentă, poate solicita </w:t>
            </w:r>
            <w:r w:rsidRPr="009E686F">
              <w:rPr>
                <w:rFonts w:ascii="Times New Roman" w:hAnsi="Times New Roman"/>
                <w:i/>
              </w:rPr>
              <w:t xml:space="preserve">organului cu funcții de supraveghere a combaterii spălării banilor sau a finanțării terorismului în conformitate cu Legea nr. 308/2017 sau în conformitate cu dispozițiile legale adoptate de alte state membre pentru transpunerea Directivei (UE) 2015/849, după caz, </w:t>
            </w:r>
            <w:r w:rsidRPr="009E686F">
              <w:rPr>
                <w:rFonts w:ascii="Times New Roman" w:hAnsi="Times New Roman" w:cs="Times New Roman"/>
                <w:i/>
              </w:rPr>
              <w:t xml:space="preserve">să consulte, în limita verificărilor pe care le realizează și în funcție de </w:t>
            </w:r>
            <w:r w:rsidRPr="009E686F">
              <w:rPr>
                <w:rFonts w:ascii="Times New Roman" w:hAnsi="Times New Roman" w:cs="Times New Roman"/>
                <w:i/>
              </w:rPr>
              <w:lastRenderedPageBreak/>
              <w:t xml:space="preserve">riscuri, informațiile relevante referitoare la membrii organului de conducere sau la persoanele care reprezintă </w:t>
            </w:r>
            <w:r w:rsidRPr="009E686F">
              <w:rPr>
                <w:rFonts w:ascii="Times New Roman" w:eastAsia="Times New Roman" w:hAnsi="Times New Roman" w:cs="Times New Roman"/>
                <w:i/>
                <w:lang w:eastAsia="ro-MD"/>
              </w:rPr>
              <w:t>conducerea superioară</w:t>
            </w:r>
            <w:r w:rsidRPr="009E686F">
              <w:rPr>
                <w:rFonts w:ascii="Times New Roman" w:hAnsi="Times New Roman" w:cs="Times New Roman"/>
                <w:i/>
              </w:rPr>
              <w:t>.</w:t>
            </w:r>
          </w:p>
          <w:p w14:paraId="70936943" w14:textId="7B0DC578" w:rsidR="002F47A0" w:rsidRPr="009E686F" w:rsidRDefault="002F47A0" w:rsidP="002F47A0">
            <w:pPr>
              <w:spacing w:after="0" w:line="278" w:lineRule="auto"/>
              <w:jc w:val="both"/>
              <w:rPr>
                <w:rFonts w:ascii="Times New Roman" w:hAnsi="Times New Roman" w:cs="Times New Roman"/>
                <w:i/>
                <w:color w:val="8064A2" w:themeColor="accent4"/>
                <w:lang w:val="ro-RO"/>
              </w:rPr>
            </w:pPr>
            <w:r w:rsidRPr="009E686F">
              <w:rPr>
                <w:rFonts w:ascii="Times New Roman" w:hAnsi="Times New Roman" w:cs="Times New Roman"/>
                <w:i/>
                <w:lang w:val="ro-RO"/>
              </w:rPr>
              <w:t xml:space="preserve">. </w:t>
            </w:r>
            <w:r w:rsidRPr="009E686F">
              <w:rPr>
                <w:rFonts w:ascii="Times New Roman" w:hAnsi="Times New Roman" w:cs="Times New Roman"/>
                <w:i/>
                <w:color w:val="8064A2" w:themeColor="accent4"/>
                <w:lang w:val="ro-RO"/>
              </w:rPr>
              <w:t xml:space="preserve"> </w:t>
            </w:r>
          </w:p>
          <w:p w14:paraId="0FE2414E" w14:textId="2C755910" w:rsidR="002F47A0" w:rsidRPr="009E686F" w:rsidRDefault="002F47A0" w:rsidP="002F47A0">
            <w:pPr>
              <w:spacing w:after="0" w:line="278" w:lineRule="auto"/>
              <w:jc w:val="both"/>
              <w:rPr>
                <w:rFonts w:ascii="Times New Roman" w:eastAsia="Aptos" w:hAnsi="Times New Roman" w:cs="Times New Roman"/>
                <w:b/>
                <w:bCs/>
                <w:kern w:val="2"/>
                <w:lang w:val="ro-MD"/>
              </w:rPr>
            </w:pPr>
            <w:r w:rsidRPr="009E686F">
              <w:rPr>
                <w:rFonts w:ascii="Times New Roman" w:eastAsia="Aptos" w:hAnsi="Times New Roman" w:cs="Times New Roman"/>
                <w:b/>
                <w:bCs/>
                <w:kern w:val="2"/>
                <w:lang w:val="ro-MD"/>
              </w:rPr>
              <w:t>Articolul 129</w:t>
            </w:r>
            <w:r w:rsidRPr="009E686F">
              <w:rPr>
                <w:rFonts w:ascii="Times New Roman" w:hAnsi="Times New Roman" w:cs="Times New Roman"/>
                <w:b/>
                <w:bCs/>
                <w:lang w:val="ro-RO"/>
              </w:rPr>
              <w:t xml:space="preserve"> alin. </w:t>
            </w:r>
            <w:r w:rsidRPr="009E686F">
              <w:rPr>
                <w:rFonts w:ascii="Times New Roman" w:eastAsia="Aptos" w:hAnsi="Times New Roman" w:cs="Times New Roman"/>
                <w:b/>
                <w:bCs/>
                <w:kern w:val="2"/>
                <w:lang w:val="ro-MD"/>
              </w:rPr>
              <w:t xml:space="preserve"> (1), lit. j)</w:t>
            </w:r>
          </w:p>
          <w:p w14:paraId="311AA81F" w14:textId="707203A2" w:rsidR="002F47A0" w:rsidRPr="009E686F" w:rsidRDefault="002F47A0" w:rsidP="002F47A0">
            <w:pPr>
              <w:spacing w:after="0" w:line="278" w:lineRule="auto"/>
              <w:jc w:val="both"/>
              <w:rPr>
                <w:rFonts w:ascii="Times New Roman" w:eastAsia="Aptos" w:hAnsi="Times New Roman" w:cs="Times New Roman"/>
                <w:kern w:val="2"/>
                <w:lang w:val="ro-RO"/>
              </w:rPr>
            </w:pPr>
            <w:r w:rsidRPr="009E686F">
              <w:rPr>
                <w:rFonts w:ascii="Times New Roman" w:eastAsia="Aptos" w:hAnsi="Times New Roman" w:cs="Times New Roman"/>
                <w:kern w:val="2"/>
                <w:lang w:val="ro-MD"/>
              </w:rPr>
              <w:t xml:space="preserve">(1) În exercitarea atribuţiilor de supraveghere, prevederile art.126 şi 127 nu împiedică schimbul de informaţii dintre Banca Naţională a Moldovei şi autorităţile competente din Republica Moldova ori din alte state </w:t>
            </w:r>
            <w:r w:rsidRPr="009E686F">
              <w:rPr>
                <w:rFonts w:ascii="Times New Roman" w:eastAsia="Aptos" w:hAnsi="Times New Roman" w:cs="Times New Roman"/>
                <w:i/>
                <w:kern w:val="2"/>
                <w:lang w:val="ro-MD"/>
              </w:rPr>
              <w:t>membre</w:t>
            </w:r>
            <w:r w:rsidRPr="009E686F">
              <w:rPr>
                <w:rFonts w:ascii="Times New Roman" w:eastAsia="Aptos" w:hAnsi="Times New Roman" w:cs="Times New Roman"/>
                <w:kern w:val="2"/>
                <w:lang w:val="ro-MD"/>
              </w:rPr>
              <w:t xml:space="preserve"> sau dintre Banca Naţională a Moldovei şi următoarele entităţi din Republica Moldova sau din alte state </w:t>
            </w:r>
            <w:r w:rsidRPr="009E686F">
              <w:rPr>
                <w:rFonts w:ascii="Times New Roman" w:eastAsia="Aptos" w:hAnsi="Times New Roman" w:cs="Times New Roman"/>
                <w:i/>
                <w:kern w:val="2"/>
                <w:lang w:val="ro-MD"/>
              </w:rPr>
              <w:t>membre</w:t>
            </w:r>
            <w:r w:rsidRPr="009E686F">
              <w:rPr>
                <w:rFonts w:ascii="Times New Roman" w:eastAsia="Aptos" w:hAnsi="Times New Roman" w:cs="Times New Roman"/>
                <w:kern w:val="2"/>
                <w:lang w:val="ro-MD"/>
              </w:rPr>
              <w:t xml:space="preserve">: </w:t>
            </w:r>
            <w:r w:rsidRPr="009E686F">
              <w:rPr>
                <w:rFonts w:ascii="Times New Roman" w:eastAsia="Aptos" w:hAnsi="Times New Roman" w:cs="Times New Roman"/>
                <w:kern w:val="2"/>
                <w:lang w:val="ro-RO"/>
              </w:rPr>
              <w:t>[...]</w:t>
            </w:r>
          </w:p>
          <w:p w14:paraId="5C42B856" w14:textId="2E5F7335" w:rsidR="002F47A0" w:rsidRPr="009E686F" w:rsidRDefault="002F47A0" w:rsidP="002F47A0">
            <w:pPr>
              <w:spacing w:after="0"/>
              <w:jc w:val="both"/>
              <w:rPr>
                <w:rFonts w:ascii="Times New Roman" w:eastAsia="Aptos" w:hAnsi="Times New Roman" w:cs="Times New Roman"/>
                <w:i/>
                <w:iCs/>
                <w:color w:val="0F9ED5"/>
                <w:kern w:val="2"/>
                <w:lang w:val="ro-MD"/>
              </w:rPr>
            </w:pPr>
            <w:r w:rsidRPr="009E686F">
              <w:rPr>
                <w:rFonts w:ascii="Times New Roman" w:eastAsia="Aptos" w:hAnsi="Times New Roman" w:cs="Times New Roman"/>
                <w:i/>
                <w:kern w:val="2"/>
                <w:lang w:val="ro-MD"/>
              </w:rPr>
              <w:t>j) autoritățile din Republica Moldova sau din alte state responsabile cu prevenirea şi combaterea spălării banilor şi finanţării terorismului</w:t>
            </w:r>
            <w:r w:rsidRPr="009E686F">
              <w:rPr>
                <w:rFonts w:ascii="Times New Roman" w:eastAsia="Aptos" w:hAnsi="Times New Roman" w:cs="Times New Roman"/>
                <w:b/>
                <w:i/>
                <w:kern w:val="2"/>
                <w:lang w:val="ro-MD"/>
              </w:rPr>
              <w:t xml:space="preserve">. </w:t>
            </w:r>
            <w:r w:rsidRPr="009E686F">
              <w:rPr>
                <w:rFonts w:ascii="Times New Roman" w:eastAsia="Aptos" w:hAnsi="Times New Roman" w:cs="Times New Roman"/>
                <w:i/>
                <w:iCs/>
                <w:color w:val="0F9ED5"/>
                <w:kern w:val="2"/>
                <w:lang w:val="ro-MD"/>
              </w:rPr>
              <w:t xml:space="preserve"> </w:t>
            </w:r>
          </w:p>
          <w:p w14:paraId="3AC3E674" w14:textId="2B6B69C0" w:rsidR="002F47A0" w:rsidRPr="009E686F" w:rsidRDefault="002F47A0" w:rsidP="002F47A0">
            <w:pPr>
              <w:spacing w:after="0"/>
              <w:jc w:val="both"/>
              <w:rPr>
                <w:rFonts w:ascii="Times New Roman" w:eastAsia="Aptos" w:hAnsi="Times New Roman" w:cs="Times New Roman"/>
                <w:b/>
                <w:bCs/>
                <w:kern w:val="2"/>
                <w:lang w:val="ro-MD"/>
              </w:rPr>
            </w:pPr>
            <w:r w:rsidRPr="009E686F">
              <w:rPr>
                <w:rFonts w:ascii="Times New Roman" w:eastAsia="Aptos" w:hAnsi="Times New Roman" w:cs="Times New Roman"/>
                <w:b/>
                <w:bCs/>
                <w:kern w:val="2"/>
                <w:lang w:val="ro-MD"/>
              </w:rPr>
              <w:t>Articolul 128</w:t>
            </w:r>
            <w:r w:rsidRPr="009E686F">
              <w:rPr>
                <w:rFonts w:ascii="Times New Roman" w:hAnsi="Times New Roman" w:cs="Times New Roman"/>
                <w:b/>
                <w:bCs/>
                <w:lang w:val="ro-RO"/>
              </w:rPr>
              <w:t xml:space="preserve"> alin. </w:t>
            </w:r>
            <w:r w:rsidRPr="009E686F">
              <w:rPr>
                <w:rFonts w:ascii="Times New Roman" w:eastAsia="Aptos" w:hAnsi="Times New Roman" w:cs="Times New Roman"/>
                <w:b/>
                <w:bCs/>
                <w:kern w:val="2"/>
                <w:lang w:val="ro-MD"/>
              </w:rPr>
              <w:t xml:space="preserve"> (4)</w:t>
            </w:r>
          </w:p>
          <w:p w14:paraId="3951F578" w14:textId="0C7BA3AD" w:rsidR="002F47A0" w:rsidRPr="009E686F" w:rsidRDefault="002F47A0" w:rsidP="002F47A0">
            <w:pPr>
              <w:spacing w:after="0"/>
              <w:jc w:val="both"/>
              <w:rPr>
                <w:rFonts w:ascii="Times New Roman" w:hAnsi="Times New Roman" w:cs="Times New Roman"/>
                <w:i/>
                <w:lang w:val="ro-RO"/>
              </w:rPr>
            </w:pPr>
            <w:r w:rsidRPr="009E686F">
              <w:rPr>
                <w:rFonts w:ascii="Times New Roman" w:eastAsia="Aptos" w:hAnsi="Times New Roman" w:cs="Times New Roman"/>
                <w:i/>
                <w:kern w:val="2"/>
                <w:lang w:val="ro-MD"/>
              </w:rPr>
              <w:t xml:space="preserve">(4) </w:t>
            </w:r>
            <w:r w:rsidR="001F4200" w:rsidRPr="009E686F">
              <w:rPr>
                <w:rFonts w:ascii="Times New Roman" w:eastAsia="Aptos" w:hAnsi="Times New Roman" w:cs="Times New Roman"/>
                <w:i/>
                <w:kern w:val="2"/>
                <w:lang w:val="ro-MD"/>
              </w:rPr>
              <w:t xml:space="preserve">La evaluarea ăndeplinirii </w:t>
            </w:r>
            <w:r w:rsidRPr="009E686F">
              <w:rPr>
                <w:rFonts w:ascii="Times New Roman" w:eastAsia="Aptos" w:hAnsi="Times New Roman" w:cs="Times New Roman"/>
                <w:i/>
                <w:kern w:val="2"/>
                <w:lang w:val="ro-MD"/>
              </w:rPr>
              <w:t xml:space="preserve">cerințelor prevăzute de art. 43 </w:t>
            </w:r>
            <w:r w:rsidR="001F4200" w:rsidRPr="009E686F">
              <w:rPr>
                <w:rFonts w:ascii="Times New Roman" w:eastAsia="Aptos" w:hAnsi="Times New Roman" w:cs="Times New Roman"/>
                <w:i/>
                <w:kern w:val="2"/>
                <w:lang w:val="ro-MD"/>
              </w:rPr>
              <w:t xml:space="preserve">și </w:t>
            </w:r>
            <w:r w:rsidRPr="009E686F">
              <w:rPr>
                <w:rFonts w:ascii="Times New Roman" w:eastAsia="Aptos" w:hAnsi="Times New Roman" w:cs="Times New Roman"/>
                <w:i/>
                <w:kern w:val="2"/>
                <w:lang w:val="ro-MD"/>
              </w:rPr>
              <w:t xml:space="preserve"> 43</w:t>
            </w:r>
            <w:r w:rsidRPr="009E686F">
              <w:rPr>
                <w:rFonts w:ascii="Times New Roman" w:eastAsia="Aptos" w:hAnsi="Times New Roman" w:cs="Times New Roman"/>
                <w:i/>
                <w:kern w:val="2"/>
                <w:vertAlign w:val="superscript"/>
                <w:lang w:val="ro-MD"/>
              </w:rPr>
              <w:t>1</w:t>
            </w:r>
            <w:r w:rsidRPr="009E686F">
              <w:rPr>
                <w:rFonts w:ascii="Times New Roman" w:eastAsia="Aptos" w:hAnsi="Times New Roman" w:cs="Times New Roman"/>
                <w:i/>
                <w:kern w:val="2"/>
                <w:lang w:val="ro-MD"/>
              </w:rPr>
              <w:t xml:space="preserve"> de către membrii organului de conducere, </w:t>
            </w:r>
            <w:r w:rsidR="001F4200" w:rsidRPr="009E686F">
              <w:rPr>
                <w:rFonts w:ascii="Times New Roman" w:eastAsia="Aptos" w:hAnsi="Times New Roman" w:cs="Times New Roman"/>
                <w:i/>
                <w:kern w:val="2"/>
                <w:lang w:val="ro-MD"/>
              </w:rPr>
              <w:t xml:space="preserve">persoanele care reprezintă conducerea superioară, </w:t>
            </w:r>
            <w:r w:rsidRPr="009E686F">
              <w:rPr>
                <w:rFonts w:ascii="Times New Roman" w:eastAsia="Aptos" w:hAnsi="Times New Roman" w:cs="Times New Roman"/>
                <w:i/>
                <w:kern w:val="2"/>
                <w:lang w:val="ro-MD"/>
              </w:rPr>
              <w:t xml:space="preserve">persoanele </w:t>
            </w:r>
            <w:r w:rsidR="001F4200" w:rsidRPr="009E686F">
              <w:rPr>
                <w:rFonts w:ascii="Times New Roman" w:eastAsia="Aptos" w:hAnsi="Times New Roman" w:cs="Times New Roman"/>
                <w:i/>
                <w:kern w:val="2"/>
                <w:lang w:val="ro-MD"/>
              </w:rPr>
              <w:t xml:space="preserve">care dețin </w:t>
            </w:r>
            <w:r w:rsidRPr="009E686F">
              <w:rPr>
                <w:rFonts w:ascii="Times New Roman" w:eastAsia="Aptos" w:hAnsi="Times New Roman" w:cs="Times New Roman"/>
                <w:i/>
                <w:kern w:val="2"/>
                <w:lang w:val="ro-MD"/>
              </w:rPr>
              <w:t xml:space="preserve">funcții cheie, Banca Națională a Moldovei poate consulta baza de date centrală </w:t>
            </w:r>
            <w:r w:rsidRPr="009E686F">
              <w:rPr>
                <w:rFonts w:ascii="Times New Roman" w:eastAsia="Aptos" w:hAnsi="Times New Roman" w:cs="Times New Roman"/>
                <w:i/>
                <w:iCs/>
                <w:kern w:val="2"/>
                <w:lang w:val="ro-MD"/>
              </w:rPr>
              <w:t>aferent</w:t>
            </w:r>
            <w:r w:rsidRPr="009E686F">
              <w:rPr>
                <w:rFonts w:ascii="Times New Roman" w:eastAsia="Aptos" w:hAnsi="Times New Roman" w:cs="Times New Roman"/>
                <w:i/>
                <w:iCs/>
                <w:kern w:val="2"/>
                <w:lang w:val="ro-RO"/>
              </w:rPr>
              <w:t>ă combaterii spălării banilor şi finanţării terorismului</w:t>
            </w:r>
            <w:r w:rsidRPr="009E686F">
              <w:rPr>
                <w:rFonts w:ascii="Times New Roman" w:eastAsia="Aptos" w:hAnsi="Times New Roman" w:cs="Times New Roman"/>
                <w:i/>
                <w:kern w:val="2"/>
                <w:lang w:val="ro-RO"/>
              </w:rPr>
              <w:t xml:space="preserve"> </w:t>
            </w:r>
            <w:r w:rsidRPr="009E686F">
              <w:rPr>
                <w:rFonts w:ascii="Times New Roman" w:eastAsia="Aptos" w:hAnsi="Times New Roman" w:cs="Times New Roman"/>
                <w:i/>
                <w:kern w:val="2"/>
                <w:lang w:val="ro-MD"/>
              </w:rPr>
              <w:t>instituită de Autoritatea pentru Combaterea Spălării Banilor și a Finanțării Terorismului de la nivelul U</w:t>
            </w:r>
            <w:r w:rsidR="001F4200" w:rsidRPr="009E686F">
              <w:rPr>
                <w:rFonts w:ascii="Times New Roman" w:eastAsia="Aptos" w:hAnsi="Times New Roman" w:cs="Times New Roman"/>
                <w:i/>
                <w:kern w:val="2"/>
                <w:lang w:val="ro-MD"/>
              </w:rPr>
              <w:t xml:space="preserve">niunii </w:t>
            </w:r>
            <w:r w:rsidRPr="009E686F">
              <w:rPr>
                <w:rFonts w:ascii="Times New Roman" w:eastAsia="Aptos" w:hAnsi="Times New Roman" w:cs="Times New Roman"/>
                <w:i/>
                <w:kern w:val="2"/>
                <w:lang w:val="ro-MD"/>
              </w:rPr>
              <w:t>E</w:t>
            </w:r>
            <w:r w:rsidR="001F4200" w:rsidRPr="009E686F">
              <w:rPr>
                <w:rFonts w:ascii="Times New Roman" w:eastAsia="Aptos" w:hAnsi="Times New Roman" w:cs="Times New Roman"/>
                <w:i/>
                <w:kern w:val="2"/>
                <w:lang w:val="ro-MD"/>
              </w:rPr>
              <w:t>uropene</w:t>
            </w:r>
            <w:r w:rsidRPr="009E686F">
              <w:rPr>
                <w:rFonts w:ascii="Times New Roman" w:eastAsia="Aptos" w:hAnsi="Times New Roman" w:cs="Times New Roman"/>
                <w:i/>
                <w:kern w:val="2"/>
                <w:lang w:val="ro-MD"/>
              </w:rPr>
              <w:t>, dacă i s-a acordat acces la aceasta.</w:t>
            </w:r>
          </w:p>
        </w:tc>
        <w:tc>
          <w:tcPr>
            <w:tcW w:w="470" w:type="pct"/>
            <w:tcBorders>
              <w:top w:val="single" w:sz="4" w:space="0" w:color="auto"/>
              <w:left w:val="single" w:sz="4" w:space="0" w:color="auto"/>
              <w:bottom w:val="single" w:sz="4" w:space="0" w:color="auto"/>
              <w:right w:val="single" w:sz="4" w:space="0" w:color="auto"/>
            </w:tcBorders>
          </w:tcPr>
          <w:p w14:paraId="1842CF2B" w14:textId="4C1AF5C4" w:rsidR="002F47A0" w:rsidRPr="009E686F" w:rsidRDefault="002F47A0" w:rsidP="002F47A0">
            <w:pPr>
              <w:jc w:val="both"/>
              <w:rPr>
                <w:rFonts w:ascii="Times New Roman" w:hAnsi="Times New Roman" w:cs="Times New Roman"/>
                <w:b/>
                <w:lang w:val="ro-RO"/>
              </w:rPr>
            </w:pPr>
            <w:r w:rsidRPr="009E686F">
              <w:rPr>
                <w:rFonts w:ascii="Times New Roman" w:hAnsi="Times New Roman" w:cs="Times New Roman"/>
                <w:lang w:val="ro-RO"/>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56125E8A" w14:textId="77777777" w:rsidR="002F47A0" w:rsidRPr="009E686F" w:rsidRDefault="002F47A0" w:rsidP="002F47A0">
            <w:pPr>
              <w:jc w:val="both"/>
              <w:rPr>
                <w:rFonts w:ascii="Times New Roman" w:hAnsi="Times New Roman" w:cs="Times New Roman"/>
                <w:lang w:val="ro-RO"/>
              </w:rPr>
            </w:pPr>
          </w:p>
        </w:tc>
      </w:tr>
      <w:tr w:rsidR="002F47A0" w:rsidRPr="009E686F" w14:paraId="61BDFBD8"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0E0BC717" w14:textId="14BC19B2" w:rsidR="002F47A0" w:rsidRPr="009E686F" w:rsidDel="00A2272D"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(1j) Cel puțin în ceea ce privește numirea membrilor organului de conducere pentru o funcție în cadrul entităților menționate la alineatul (1d), autoritățile competente iau în considerare în mod corespunzător stabilirea unei perioade maxime pentru finalizarea evaluării adecvării. Această perioadă maximă poate fi prelungită, după caz.</w:t>
            </w:r>
          </w:p>
        </w:tc>
        <w:tc>
          <w:tcPr>
            <w:tcW w:w="1928" w:type="pct"/>
            <w:gridSpan w:val="3"/>
            <w:tcBorders>
              <w:top w:val="single" w:sz="4" w:space="0" w:color="auto"/>
              <w:left w:val="single" w:sz="4" w:space="0" w:color="auto"/>
              <w:bottom w:val="single" w:sz="4" w:space="0" w:color="auto"/>
              <w:right w:val="single" w:sz="4" w:space="0" w:color="auto"/>
            </w:tcBorders>
          </w:tcPr>
          <w:p w14:paraId="531AB2CE" w14:textId="77777777" w:rsidR="002F47A0" w:rsidRPr="009E686F" w:rsidRDefault="002F47A0" w:rsidP="002F47A0">
            <w:pPr>
              <w:spacing w:after="0"/>
              <w:jc w:val="both"/>
              <w:rPr>
                <w:rFonts w:ascii="Times New Roman" w:hAnsi="Times New Roman" w:cs="Times New Roman"/>
                <w:b/>
                <w:lang w:val="ro-RO"/>
              </w:rPr>
            </w:pPr>
            <w:r w:rsidRPr="009E686F">
              <w:rPr>
                <w:rFonts w:ascii="Times New Roman" w:hAnsi="Times New Roman" w:cs="Times New Roman"/>
                <w:b/>
                <w:lang w:val="ro-RO"/>
              </w:rPr>
              <w:t>Articolul 43 alin. (5)</w:t>
            </w:r>
          </w:p>
          <w:p w14:paraId="0AAC1DA8" w14:textId="77777777" w:rsidR="002F47A0" w:rsidRPr="009E686F" w:rsidRDefault="002F47A0" w:rsidP="002F47A0">
            <w:pPr>
              <w:spacing w:after="0"/>
              <w:jc w:val="both"/>
              <w:rPr>
                <w:rFonts w:ascii="Times New Roman" w:hAnsi="Times New Roman" w:cs="Times New Roman"/>
                <w:i/>
                <w:lang w:val="ro-RO"/>
              </w:rPr>
            </w:pPr>
            <w:r w:rsidRPr="009E686F">
              <w:rPr>
                <w:rFonts w:ascii="Times New Roman" w:hAnsi="Times New Roman" w:cs="Times New Roman"/>
                <w:i/>
                <w:lang w:val="ro-RO"/>
              </w:rPr>
              <w:t>(5) [...]</w:t>
            </w:r>
            <w:r w:rsidRPr="009E686F">
              <w:rPr>
                <w:rFonts w:ascii="Times New Roman" w:hAnsi="Times New Roman" w:cs="Times New Roman"/>
                <w:b/>
                <w:i/>
                <w:color w:val="FF0000"/>
                <w:lang w:val="ro-RO"/>
              </w:rPr>
              <w:t xml:space="preserve"> </w:t>
            </w:r>
            <w:r w:rsidRPr="009E686F">
              <w:rPr>
                <w:rFonts w:ascii="Times New Roman" w:hAnsi="Times New Roman" w:cs="Times New Roman"/>
                <w:i/>
                <w:lang w:val="ro-RO"/>
              </w:rPr>
              <w:t xml:space="preserve">Termenul de finalizare a procedurii de soluţionare a cererii de aprobare a persoanelor prevăzute la alin. (1) este de 45 de zile lucrătoare, calculat de la data depunerii cererii respective însoţite de toate documentele care trebuie prezentate Băncii Naţionale a Moldovei. Dacă este necesară o examinare suplimentară sau este nevoie de mai mult timp pentru prelucrarea informaţiilor şi documentelor, termenul prevăzut de </w:t>
            </w:r>
            <w:r w:rsidRPr="009E686F">
              <w:rPr>
                <w:rFonts w:ascii="Times New Roman" w:hAnsi="Times New Roman" w:cs="Times New Roman"/>
                <w:i/>
                <w:lang w:val="ro-RO"/>
              </w:rPr>
              <w:lastRenderedPageBreak/>
              <w:t>prezentul alineat poate fi prelungit cu cel mult 30 de zile lucrătoare, cu notificarea entității, Banca Naţională a Moldovei va urmări în permanenţă respectarea de către persoanele prevăzute la alin. (1) a condiţiilor de aprobare.</w:t>
            </w:r>
          </w:p>
          <w:p w14:paraId="0297C0CB" w14:textId="77777777" w:rsidR="002F47A0" w:rsidRPr="009E686F" w:rsidRDefault="002F47A0" w:rsidP="002F47A0">
            <w:pPr>
              <w:spacing w:after="0"/>
              <w:jc w:val="both"/>
              <w:rPr>
                <w:rFonts w:ascii="Times New Roman" w:hAnsi="Times New Roman" w:cs="Times New Roman"/>
                <w:b/>
                <w:lang w:val="ro-RO"/>
              </w:rPr>
            </w:pPr>
          </w:p>
          <w:p w14:paraId="2D552A66" w14:textId="3A7A4E19" w:rsidR="002F47A0" w:rsidRPr="009E686F" w:rsidRDefault="002F47A0" w:rsidP="002F47A0">
            <w:pPr>
              <w:spacing w:after="0"/>
              <w:jc w:val="both"/>
              <w:rPr>
                <w:rFonts w:ascii="Times New Roman" w:hAnsi="Times New Roman" w:cs="Times New Roman"/>
                <w:b/>
                <w:lang w:val="ro-RO"/>
              </w:rPr>
            </w:pPr>
            <w:r w:rsidRPr="009E686F">
              <w:rPr>
                <w:rFonts w:ascii="Times New Roman" w:hAnsi="Times New Roman" w:cs="Times New Roman"/>
                <w:b/>
                <w:lang w:val="ro-RO"/>
              </w:rPr>
              <w:t>Articolul 43 alin. (7)</w:t>
            </w:r>
          </w:p>
          <w:p w14:paraId="08AF61AC" w14:textId="1CD974BD" w:rsidR="002F47A0" w:rsidRPr="009E686F" w:rsidRDefault="005178BB" w:rsidP="002F47A0">
            <w:pPr>
              <w:spacing w:after="0"/>
              <w:jc w:val="both"/>
              <w:rPr>
                <w:rFonts w:ascii="Times New Roman" w:hAnsi="Times New Roman" w:cs="Times New Roman"/>
                <w:i/>
                <w:lang w:val="ro-RO"/>
              </w:rPr>
            </w:pPr>
            <w:r w:rsidRPr="009E686F">
              <w:rPr>
                <w:rFonts w:ascii="Times New Roman" w:hAnsi="Times New Roman" w:cs="Times New Roman"/>
                <w:i/>
                <w:lang w:val="ro-RO"/>
              </w:rPr>
              <w:t>(7) În cazul în care următoarele entități au intenția clară de a numi un membru al organului executiv sau o persoană care reprezintă conducerea superioară, sau președintele Consiliului trebuie să solicite aprobarea prealabilă a Băncii Naționale a Moldovei, în condițiile prevăzute de actele normative ale Băncii Naționale a Moldovei, cel târziu cu 90 de zile lucrătoare înainte ca membrii potențiali să preia funcția:</w:t>
            </w:r>
            <w:r w:rsidRPr="009E686F" w:rsidDel="005178BB">
              <w:rPr>
                <w:rFonts w:ascii="Times New Roman" w:hAnsi="Times New Roman" w:cs="Times New Roman"/>
                <w:i/>
                <w:lang w:val="ro-RO"/>
              </w:rPr>
              <w:t xml:space="preserve"> </w:t>
            </w:r>
            <w:r w:rsidR="002F47A0" w:rsidRPr="009E686F">
              <w:rPr>
                <w:rFonts w:ascii="Times New Roman" w:hAnsi="Times New Roman" w:cs="Times New Roman"/>
                <w:i/>
                <w:lang w:val="ro-RO"/>
              </w:rPr>
              <w:t>[..]</w:t>
            </w:r>
          </w:p>
        </w:tc>
        <w:tc>
          <w:tcPr>
            <w:tcW w:w="470" w:type="pct"/>
            <w:tcBorders>
              <w:top w:val="single" w:sz="4" w:space="0" w:color="auto"/>
              <w:left w:val="single" w:sz="4" w:space="0" w:color="auto"/>
              <w:bottom w:val="single" w:sz="4" w:space="0" w:color="auto"/>
              <w:right w:val="single" w:sz="4" w:space="0" w:color="auto"/>
            </w:tcBorders>
          </w:tcPr>
          <w:p w14:paraId="4B42CBA4" w14:textId="0DC1F0D9"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5177171E" w14:textId="236828F2" w:rsidR="00BF1065" w:rsidRPr="009E686F" w:rsidRDefault="00BF1065" w:rsidP="00A12862">
            <w:pPr>
              <w:jc w:val="both"/>
              <w:rPr>
                <w:lang w:val="it-CH"/>
              </w:rPr>
            </w:pPr>
            <w:r w:rsidRPr="009E686F">
              <w:rPr>
                <w:rFonts w:ascii="Times New Roman" w:hAnsi="Times New Roman" w:cs="Times New Roman"/>
                <w:lang w:val="ro-RO"/>
              </w:rPr>
              <w:t>Art. 43 alin. (</w:t>
            </w:r>
            <w:r w:rsidR="008C6586" w:rsidRPr="009E686F">
              <w:rPr>
                <w:rFonts w:ascii="Times New Roman" w:hAnsi="Times New Roman" w:cs="Times New Roman"/>
                <w:lang w:val="ro-RO"/>
              </w:rPr>
              <w:t>7</w:t>
            </w:r>
            <w:r w:rsidRPr="009E686F">
              <w:rPr>
                <w:rFonts w:ascii="Times New Roman" w:hAnsi="Times New Roman" w:cs="Times New Roman"/>
                <w:lang w:val="ro-RO"/>
              </w:rPr>
              <w:t>) – în vigoare de la data aderării.</w:t>
            </w:r>
          </w:p>
          <w:p w14:paraId="5C8B2958" w14:textId="60BEAFC4" w:rsidR="002F47A0" w:rsidRPr="009E686F" w:rsidRDefault="002F47A0" w:rsidP="002F47A0">
            <w:pPr>
              <w:jc w:val="both"/>
              <w:rPr>
                <w:rFonts w:ascii="Times New Roman" w:hAnsi="Times New Roman" w:cs="Times New Roman"/>
                <w:lang w:val="it-CH"/>
              </w:rPr>
            </w:pPr>
          </w:p>
        </w:tc>
      </w:tr>
      <w:tr w:rsidR="002F47A0" w:rsidRPr="009E686F" w14:paraId="4DFC8BD8" w14:textId="2BFE43C1" w:rsidTr="00774F3E">
        <w:tc>
          <w:tcPr>
            <w:tcW w:w="1796" w:type="pct"/>
            <w:gridSpan w:val="2"/>
            <w:tcBorders>
              <w:top w:val="single" w:sz="4" w:space="0" w:color="auto"/>
              <w:left w:val="single" w:sz="4" w:space="0" w:color="auto"/>
              <w:bottom w:val="single" w:sz="4" w:space="0" w:color="auto"/>
              <w:right w:val="single" w:sz="4" w:space="0" w:color="auto"/>
            </w:tcBorders>
          </w:tcPr>
          <w:p w14:paraId="72A01A59" w14:textId="397F55E2"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(2) Fiecare membru al organului de conducere dedică suficient timp pentru a-și îndeplini atribuțiile în cadrul entităților.</w:t>
            </w:r>
          </w:p>
        </w:tc>
        <w:tc>
          <w:tcPr>
            <w:tcW w:w="1928" w:type="pct"/>
            <w:gridSpan w:val="3"/>
            <w:tcBorders>
              <w:top w:val="single" w:sz="4" w:space="0" w:color="auto"/>
              <w:left w:val="single" w:sz="4" w:space="0" w:color="auto"/>
              <w:bottom w:val="single" w:sz="4" w:space="0" w:color="auto"/>
              <w:right w:val="single" w:sz="4" w:space="0" w:color="auto"/>
            </w:tcBorders>
          </w:tcPr>
          <w:p w14:paraId="5A18B7F3" w14:textId="47ACC31E" w:rsidR="002F47A0" w:rsidRPr="009E686F" w:rsidRDefault="002F47A0" w:rsidP="002F47A0">
            <w:pPr>
              <w:spacing w:after="0"/>
              <w:jc w:val="both"/>
              <w:rPr>
                <w:rFonts w:ascii="Times New Roman" w:hAnsi="Times New Roman" w:cs="Times New Roman"/>
                <w:b/>
                <w:bCs/>
                <w:lang w:val="ro-RO"/>
              </w:rPr>
            </w:pPr>
            <w:r w:rsidRPr="009E686F">
              <w:rPr>
                <w:rFonts w:ascii="Times New Roman" w:hAnsi="Times New Roman" w:cs="Times New Roman"/>
                <w:b/>
                <w:bCs/>
                <w:lang w:val="ro-RO"/>
              </w:rPr>
              <w:t>Articolul 43</w:t>
            </w:r>
            <w:r w:rsidRPr="009E686F">
              <w:rPr>
                <w:rFonts w:ascii="Times New Roman" w:hAnsi="Times New Roman" w:cs="Times New Roman"/>
                <w:b/>
                <w:bCs/>
                <w:vertAlign w:val="superscript"/>
                <w:lang w:val="ro-RO"/>
              </w:rPr>
              <w:t>1</w:t>
            </w:r>
            <w:r w:rsidRPr="009E686F">
              <w:rPr>
                <w:rFonts w:ascii="Times New Roman" w:hAnsi="Times New Roman" w:cs="Times New Roman"/>
                <w:b/>
                <w:bCs/>
                <w:lang w:val="ro-RO"/>
              </w:rPr>
              <w:t xml:space="preserve"> alin.  (4)</w:t>
            </w:r>
          </w:p>
          <w:p w14:paraId="513EFFF3" w14:textId="5E71FE5C" w:rsidR="002F47A0" w:rsidRPr="009E686F" w:rsidRDefault="002F47A0" w:rsidP="002F47A0">
            <w:pPr>
              <w:spacing w:after="0"/>
              <w:jc w:val="both"/>
              <w:rPr>
                <w:rFonts w:ascii="Times New Roman" w:hAnsi="Times New Roman" w:cs="Times New Roman"/>
                <w:i/>
                <w:lang w:val="ro-RO"/>
              </w:rPr>
            </w:pPr>
            <w:r w:rsidRPr="009E686F">
              <w:rPr>
                <w:rFonts w:ascii="Times New Roman" w:eastAsia="Aptos" w:hAnsi="Times New Roman" w:cs="Times New Roman"/>
                <w:i/>
                <w:kern w:val="2"/>
                <w:lang w:val="ro-MD"/>
              </w:rPr>
              <w:t>(4) Membrii organului de conducere și persoanele care reprezintă conducerea superioară trebuie să aloce timp suficient pentru îndeplinirea atribuţiilor ce le revin.</w:t>
            </w:r>
          </w:p>
          <w:p w14:paraId="72749152" w14:textId="0EE96817" w:rsidR="002F47A0" w:rsidRPr="009E686F" w:rsidRDefault="002F47A0" w:rsidP="002F47A0">
            <w:pPr>
              <w:spacing w:after="0"/>
              <w:jc w:val="both"/>
              <w:rPr>
                <w:rFonts w:ascii="Times New Roman" w:hAnsi="Times New Roman" w:cs="Times New Roman"/>
                <w:lang w:val="ro-RO"/>
              </w:rPr>
            </w:pPr>
          </w:p>
        </w:tc>
        <w:tc>
          <w:tcPr>
            <w:tcW w:w="470" w:type="pct"/>
            <w:tcBorders>
              <w:top w:val="single" w:sz="4" w:space="0" w:color="auto"/>
              <w:left w:val="single" w:sz="4" w:space="0" w:color="auto"/>
              <w:bottom w:val="single" w:sz="4" w:space="0" w:color="auto"/>
              <w:right w:val="single" w:sz="4" w:space="0" w:color="auto"/>
            </w:tcBorders>
          </w:tcPr>
          <w:p w14:paraId="7CF7EAED" w14:textId="32F1E6BE"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2DD69E18" w14:textId="77777777" w:rsidR="002F47A0" w:rsidRPr="009E686F" w:rsidRDefault="002F47A0" w:rsidP="002F47A0">
            <w:pPr>
              <w:jc w:val="both"/>
              <w:rPr>
                <w:rFonts w:ascii="Times New Roman" w:hAnsi="Times New Roman" w:cs="Times New Roman"/>
                <w:lang w:val="ro-RO"/>
              </w:rPr>
            </w:pPr>
          </w:p>
        </w:tc>
      </w:tr>
      <w:tr w:rsidR="002F47A0" w:rsidRPr="009E686F" w14:paraId="191F3DA1" w14:textId="77777777" w:rsidTr="004504B4">
        <w:tc>
          <w:tcPr>
            <w:tcW w:w="1796" w:type="pct"/>
            <w:gridSpan w:val="2"/>
            <w:vMerge w:val="restart"/>
            <w:tcBorders>
              <w:top w:val="single" w:sz="4" w:space="0" w:color="auto"/>
              <w:left w:val="single" w:sz="4" w:space="0" w:color="auto"/>
              <w:right w:val="single" w:sz="4" w:space="0" w:color="auto"/>
            </w:tcBorders>
          </w:tcPr>
          <w:p w14:paraId="166B3F5D" w14:textId="4BD29482" w:rsidR="002F47A0" w:rsidRPr="009E686F" w:rsidDel="000E3D7F" w:rsidRDefault="002F47A0" w:rsidP="002F47A0">
            <w:pPr>
              <w:spacing w:after="0"/>
              <w:jc w:val="both"/>
              <w:rPr>
                <w:rFonts w:ascii="Times New Roman" w:hAnsi="Times New Roman" w:cs="Times New Roman"/>
                <w:lang w:val="it-CH"/>
              </w:rPr>
            </w:pPr>
            <w:r w:rsidRPr="009E686F">
              <w:rPr>
                <w:rFonts w:ascii="Times New Roman" w:hAnsi="Times New Roman" w:cs="Times New Roman"/>
                <w:lang w:val="ro-RO"/>
              </w:rPr>
              <w:t xml:space="preserve">(2a) Fiecare membru al organului de conducere are o bună reputație și acționează cu onestitate, integritate și pe baza unei gândiri independente pentru a evalua și contesta în mod eficace deciziile organului de conducere atunci când este necesar și pentru a supraveghea și monitoriza în mod eficace procesul decizional în materie de conducere. </w:t>
            </w:r>
            <w:r w:rsidRPr="009E686F">
              <w:rPr>
                <w:rFonts w:ascii="Times New Roman" w:hAnsi="Times New Roman" w:cs="Times New Roman"/>
                <w:lang w:val="it-CH"/>
              </w:rPr>
              <w:t xml:space="preserve">Calitatea de membru al organului de conducere al unei </w:t>
            </w:r>
            <w:r w:rsidRPr="009E686F">
              <w:rPr>
                <w:rFonts w:ascii="Times New Roman" w:hAnsi="Times New Roman" w:cs="Times New Roman"/>
                <w:i/>
                <w:iCs/>
                <w:lang w:val="it-CH"/>
              </w:rPr>
              <w:t>instituții de credit</w:t>
            </w:r>
            <w:r w:rsidRPr="009E686F">
              <w:rPr>
                <w:rFonts w:ascii="Times New Roman" w:hAnsi="Times New Roman" w:cs="Times New Roman"/>
                <w:lang w:val="it-CH"/>
              </w:rPr>
              <w:t xml:space="preserve"> afiliate în mod permanent unui organism central nu constituie în sine un obstacol în calea acționării pe baza unei gândiri independente.</w:t>
            </w:r>
          </w:p>
        </w:tc>
        <w:tc>
          <w:tcPr>
            <w:tcW w:w="1928" w:type="pct"/>
            <w:gridSpan w:val="3"/>
            <w:tcBorders>
              <w:top w:val="single" w:sz="4" w:space="0" w:color="auto"/>
              <w:left w:val="single" w:sz="4" w:space="0" w:color="auto"/>
              <w:bottom w:val="single" w:sz="4" w:space="0" w:color="auto"/>
              <w:right w:val="single" w:sz="4" w:space="0" w:color="auto"/>
            </w:tcBorders>
          </w:tcPr>
          <w:p w14:paraId="3F72A54F" w14:textId="5429D10C" w:rsidR="002F47A0" w:rsidRPr="009E686F" w:rsidRDefault="002F47A0" w:rsidP="002F47A0">
            <w:pPr>
              <w:spacing w:after="0"/>
              <w:jc w:val="both"/>
              <w:rPr>
                <w:rFonts w:ascii="Times New Roman" w:hAnsi="Times New Roman" w:cs="Times New Roman"/>
                <w:b/>
                <w:bCs/>
                <w:lang w:val="it-CH"/>
              </w:rPr>
            </w:pPr>
            <w:r w:rsidRPr="009E686F">
              <w:rPr>
                <w:rFonts w:ascii="Times New Roman" w:hAnsi="Times New Roman" w:cs="Times New Roman"/>
                <w:b/>
                <w:bCs/>
                <w:lang w:val="ro-RO"/>
              </w:rPr>
              <w:t>Articolul 43</w:t>
            </w:r>
            <w:r w:rsidRPr="009E686F">
              <w:rPr>
                <w:rFonts w:ascii="Times New Roman" w:hAnsi="Times New Roman" w:cs="Times New Roman"/>
                <w:b/>
                <w:bCs/>
                <w:vertAlign w:val="superscript"/>
                <w:lang w:val="ro-RO"/>
              </w:rPr>
              <w:t>1</w:t>
            </w:r>
            <w:r w:rsidRPr="009E686F">
              <w:rPr>
                <w:rFonts w:ascii="Times New Roman" w:hAnsi="Times New Roman" w:cs="Times New Roman"/>
                <w:b/>
                <w:bCs/>
                <w:lang w:val="ro-RO"/>
              </w:rPr>
              <w:t xml:space="preserve">. </w:t>
            </w:r>
            <w:r w:rsidRPr="009E686F">
              <w:rPr>
                <w:rFonts w:ascii="Times New Roman" w:hAnsi="Times New Roman" w:cs="Times New Roman"/>
                <w:i/>
                <w:iCs/>
                <w:lang w:val="it-CH"/>
              </w:rPr>
              <w:t xml:space="preserve">Criterii și cerințe pentru evaluarea adecvării organului de conducere și </w:t>
            </w:r>
            <w:r w:rsidR="000819EE" w:rsidRPr="009E686F">
              <w:rPr>
                <w:rFonts w:ascii="Times New Roman" w:hAnsi="Times New Roman" w:cs="Times New Roman"/>
                <w:i/>
                <w:iCs/>
                <w:lang w:val="it-CH"/>
              </w:rPr>
              <w:t>a persoanelor care reprezintă conducerea superioară</w:t>
            </w:r>
          </w:p>
          <w:p w14:paraId="694449FF" w14:textId="735A233B" w:rsidR="002F47A0" w:rsidRPr="009E686F" w:rsidRDefault="002F47A0" w:rsidP="002F47A0">
            <w:pPr>
              <w:spacing w:after="0"/>
              <w:jc w:val="both"/>
              <w:rPr>
                <w:rFonts w:ascii="Times New Roman" w:hAnsi="Times New Roman" w:cs="Times New Roman"/>
                <w:b/>
                <w:i/>
                <w:lang w:val="ro-RO"/>
              </w:rPr>
            </w:pPr>
            <w:r w:rsidRPr="009E686F">
              <w:rPr>
                <w:rFonts w:ascii="Times New Roman" w:eastAsia="Aptos" w:hAnsi="Times New Roman" w:cs="Times New Roman"/>
                <w:i/>
                <w:kern w:val="2"/>
                <w:lang w:val="ro-MD"/>
              </w:rPr>
              <w:t xml:space="preserve">(1) Fiecare membru al organului de conducere </w:t>
            </w:r>
            <w:r w:rsidRPr="009E686F">
              <w:rPr>
                <w:rFonts w:ascii="Times New Roman" w:eastAsia="Aptos" w:hAnsi="Times New Roman" w:cs="Times New Roman"/>
                <w:i/>
                <w:iCs/>
                <w:kern w:val="2"/>
                <w:lang w:val="ro-RO"/>
              </w:rPr>
              <w:t>și sau persoanele care reprezintă conducerea superioară</w:t>
            </w:r>
            <w:r w:rsidRPr="009E686F">
              <w:rPr>
                <w:rFonts w:ascii="Times New Roman" w:eastAsia="Aptos" w:hAnsi="Times New Roman" w:cs="Times New Roman"/>
                <w:i/>
                <w:iCs/>
                <w:kern w:val="2"/>
                <w:lang w:val="ro-MD"/>
              </w:rPr>
              <w:t xml:space="preserve"> </w:t>
            </w:r>
            <w:r w:rsidRPr="009E686F">
              <w:rPr>
                <w:rFonts w:ascii="Times New Roman" w:eastAsia="Aptos" w:hAnsi="Times New Roman" w:cs="Times New Roman"/>
                <w:i/>
                <w:kern w:val="2"/>
                <w:lang w:val="ro-MD"/>
              </w:rPr>
              <w:t xml:space="preserve">trebuie să aibă o bună reputație și să acționeze cu onestitate, integritate și pe baza unei gândiri independente pentru a evalua şi a contesta, în mod eficace, deciziile luate de către organul de conducere, atunci când este necesar şi pentru a supraveghea şi monitoriza, în mod eficace, procesul de luare a respectivelor decizii. Calitatea de membru al organului de conducere </w:t>
            </w:r>
            <w:r w:rsidRPr="009E686F">
              <w:rPr>
                <w:rFonts w:ascii="Times New Roman" w:eastAsia="Aptos" w:hAnsi="Times New Roman" w:cs="Times New Roman"/>
                <w:i/>
                <w:iCs/>
                <w:kern w:val="2"/>
                <w:lang w:val="ro-MD"/>
              </w:rPr>
              <w:t>sau de persoană care reprezintă conducerea superioară ale</w:t>
            </w:r>
            <w:r w:rsidRPr="009E686F">
              <w:rPr>
                <w:rFonts w:ascii="Times New Roman" w:eastAsia="Aptos" w:hAnsi="Times New Roman" w:cs="Times New Roman"/>
                <w:i/>
                <w:kern w:val="2"/>
                <w:lang w:val="ro-MD"/>
              </w:rPr>
              <w:t xml:space="preserve"> unei </w:t>
            </w:r>
            <w:r w:rsidRPr="009E686F">
              <w:rPr>
                <w:rFonts w:ascii="Times New Roman" w:eastAsia="Aptos" w:hAnsi="Times New Roman" w:cs="Times New Roman"/>
                <w:i/>
                <w:iCs/>
                <w:kern w:val="2"/>
                <w:lang w:val="ro-MD"/>
              </w:rPr>
              <w:t>instituții de credit</w:t>
            </w:r>
            <w:r w:rsidRPr="009E686F">
              <w:rPr>
                <w:rFonts w:ascii="Times New Roman" w:eastAsia="Aptos" w:hAnsi="Times New Roman" w:cs="Times New Roman"/>
                <w:i/>
                <w:kern w:val="2"/>
                <w:lang w:val="ro-MD"/>
              </w:rPr>
              <w:t xml:space="preserve"> afiliate în mod permanent unui organism central nu constituie </w:t>
            </w:r>
            <w:r w:rsidRPr="009E686F">
              <w:rPr>
                <w:rFonts w:ascii="Times New Roman" w:eastAsia="Aptos" w:hAnsi="Times New Roman" w:cs="Times New Roman"/>
                <w:i/>
                <w:kern w:val="2"/>
                <w:lang w:val="ro-MD"/>
              </w:rPr>
              <w:lastRenderedPageBreak/>
              <w:t>în sine un obstacol în calea acționării pe baza unei gândiri independente.</w:t>
            </w:r>
          </w:p>
          <w:p w14:paraId="3003F1A5" w14:textId="77777777" w:rsidR="002F47A0" w:rsidRPr="009E686F" w:rsidRDefault="002F47A0" w:rsidP="002F47A0">
            <w:pPr>
              <w:spacing w:after="0"/>
              <w:jc w:val="both"/>
              <w:rPr>
                <w:rFonts w:ascii="Times New Roman" w:hAnsi="Times New Roman" w:cs="Times New Roman"/>
                <w:lang w:val="ro-MD"/>
              </w:rPr>
            </w:pPr>
          </w:p>
        </w:tc>
        <w:tc>
          <w:tcPr>
            <w:tcW w:w="470" w:type="pct"/>
            <w:tcBorders>
              <w:top w:val="single" w:sz="4" w:space="0" w:color="auto"/>
              <w:left w:val="single" w:sz="4" w:space="0" w:color="auto"/>
              <w:bottom w:val="single" w:sz="4" w:space="0" w:color="auto"/>
              <w:right w:val="single" w:sz="4" w:space="0" w:color="auto"/>
            </w:tcBorders>
          </w:tcPr>
          <w:p w14:paraId="225A06EF" w14:textId="3A61252A"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72C8B6F1" w14:textId="77777777" w:rsidR="002F47A0" w:rsidRPr="009E686F" w:rsidRDefault="002F47A0" w:rsidP="002F47A0">
            <w:pPr>
              <w:jc w:val="both"/>
              <w:rPr>
                <w:rFonts w:ascii="Times New Roman" w:hAnsi="Times New Roman" w:cs="Times New Roman"/>
                <w:lang w:val="ro-RO"/>
              </w:rPr>
            </w:pPr>
          </w:p>
        </w:tc>
      </w:tr>
      <w:tr w:rsidR="002F47A0" w:rsidRPr="009E686F" w14:paraId="0EEE981B" w14:textId="77777777" w:rsidTr="004504B4">
        <w:tc>
          <w:tcPr>
            <w:tcW w:w="1796" w:type="pct"/>
            <w:gridSpan w:val="2"/>
            <w:vMerge/>
            <w:tcBorders>
              <w:left w:val="single" w:sz="4" w:space="0" w:color="auto"/>
              <w:bottom w:val="single" w:sz="4" w:space="0" w:color="auto"/>
              <w:right w:val="single" w:sz="4" w:space="0" w:color="auto"/>
            </w:tcBorders>
          </w:tcPr>
          <w:p w14:paraId="12CE42A7" w14:textId="77777777" w:rsidR="002F47A0" w:rsidRPr="009E686F" w:rsidRDefault="002F47A0" w:rsidP="002F47A0">
            <w:pPr>
              <w:spacing w:after="0"/>
              <w:jc w:val="both"/>
              <w:rPr>
                <w:rFonts w:ascii="Times New Roman" w:hAnsi="Times New Roman" w:cs="Times New Roman"/>
                <w:lang w:val="ro-RO"/>
              </w:rPr>
            </w:pPr>
          </w:p>
        </w:tc>
        <w:tc>
          <w:tcPr>
            <w:tcW w:w="1928" w:type="pct"/>
            <w:gridSpan w:val="3"/>
            <w:tcBorders>
              <w:top w:val="single" w:sz="4" w:space="0" w:color="auto"/>
              <w:left w:val="single" w:sz="4" w:space="0" w:color="auto"/>
              <w:bottom w:val="single" w:sz="4" w:space="0" w:color="auto"/>
              <w:right w:val="single" w:sz="4" w:space="0" w:color="auto"/>
            </w:tcBorders>
          </w:tcPr>
          <w:p w14:paraId="4A3162D9" w14:textId="77777777" w:rsidR="002F47A0" w:rsidRPr="009E686F" w:rsidRDefault="002F47A0" w:rsidP="002F47A0">
            <w:pPr>
              <w:spacing w:after="0"/>
              <w:jc w:val="both"/>
              <w:rPr>
                <w:rFonts w:ascii="Times New Roman" w:hAnsi="Times New Roman" w:cs="Times New Roman"/>
                <w:b/>
                <w:lang w:val="ro-RO"/>
              </w:rPr>
            </w:pPr>
            <w:r w:rsidRPr="009E686F">
              <w:rPr>
                <w:rFonts w:ascii="Times New Roman" w:hAnsi="Times New Roman" w:cs="Times New Roman"/>
                <w:b/>
                <w:lang w:val="ro-RO"/>
              </w:rPr>
              <w:t>Art. 19 alin. (1) lit d)</w:t>
            </w:r>
          </w:p>
          <w:p w14:paraId="13050C70" w14:textId="3490709A"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(1) Banca Naţională a Moldovei respinge o cerere de autorizare dacă:[...]</w:t>
            </w:r>
          </w:p>
          <w:p w14:paraId="0DDFAE27" w14:textId="06E34294" w:rsidR="002F47A0" w:rsidRPr="009E686F" w:rsidRDefault="002F47A0" w:rsidP="002F47A0">
            <w:pPr>
              <w:spacing w:after="0"/>
              <w:jc w:val="both"/>
              <w:rPr>
                <w:rFonts w:ascii="Times New Roman" w:hAnsi="Times New Roman" w:cs="Times New Roman"/>
                <w:b/>
                <w:bCs/>
                <w:lang w:val="ro-RO"/>
              </w:rPr>
            </w:pPr>
            <w:r w:rsidRPr="009E686F">
              <w:rPr>
                <w:rFonts w:ascii="Times New Roman" w:hAnsi="Times New Roman" w:cs="Times New Roman"/>
                <w:lang w:val="ro-RO"/>
              </w:rPr>
              <w:t>d) Banca Naţională a Moldovei nu este satisfăcută de calitatea membrilor organului de conducere al instituției de credit, întrucît reputaţia sau experienţa profesională a acestora nu este adecvată naturii, amplorii şi complexităţii activităţii instituției de credit sau nu corespunde necesităţii asigurării unui management prudent şi sănătos, conform art. 43</w:t>
            </w:r>
            <w:r w:rsidR="00EA0070" w:rsidRPr="009E686F">
              <w:rPr>
                <w:rFonts w:ascii="Times New Roman" w:hAnsi="Times New Roman" w:cs="Times New Roman"/>
                <w:lang w:val="ro-RO"/>
              </w:rPr>
              <w:t xml:space="preserve"> și </w:t>
            </w:r>
            <w:r w:rsidRPr="009E686F">
              <w:rPr>
                <w:rFonts w:ascii="Times New Roman" w:hAnsi="Times New Roman" w:cs="Times New Roman"/>
                <w:lang w:val="ro-RO"/>
              </w:rPr>
              <w:t>43</w:t>
            </w:r>
            <w:r w:rsidRPr="009E686F">
              <w:rPr>
                <w:rFonts w:ascii="Times New Roman" w:hAnsi="Times New Roman" w:cs="Times New Roman"/>
                <w:vertAlign w:val="superscript"/>
                <w:lang w:val="ro-RO"/>
              </w:rPr>
              <w:t>1</w:t>
            </w:r>
            <w:r w:rsidRPr="009E686F">
              <w:rPr>
                <w:rFonts w:ascii="Times New Roman" w:hAnsi="Times New Roman" w:cs="Times New Roman"/>
                <w:lang w:val="ro-RO"/>
              </w:rPr>
              <w:t>;</w:t>
            </w:r>
          </w:p>
        </w:tc>
        <w:tc>
          <w:tcPr>
            <w:tcW w:w="470" w:type="pct"/>
            <w:tcBorders>
              <w:top w:val="single" w:sz="4" w:space="0" w:color="auto"/>
              <w:left w:val="single" w:sz="4" w:space="0" w:color="auto"/>
              <w:bottom w:val="single" w:sz="4" w:space="0" w:color="auto"/>
              <w:right w:val="single" w:sz="4" w:space="0" w:color="auto"/>
            </w:tcBorders>
          </w:tcPr>
          <w:p w14:paraId="5928CB75" w14:textId="480B6F9F"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0D1237AD" w14:textId="77777777" w:rsidR="002F47A0" w:rsidRPr="009E686F" w:rsidRDefault="002F47A0" w:rsidP="002F47A0">
            <w:pPr>
              <w:jc w:val="both"/>
              <w:rPr>
                <w:rFonts w:ascii="Times New Roman" w:hAnsi="Times New Roman" w:cs="Times New Roman"/>
                <w:lang w:val="ro-RO"/>
              </w:rPr>
            </w:pPr>
          </w:p>
        </w:tc>
      </w:tr>
      <w:tr w:rsidR="002F47A0" w:rsidRPr="009E686F" w14:paraId="239F1F0C"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29E96A3B" w14:textId="17D39032"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 xml:space="preserve">(2b) Organul de conducere posedă la nivel colectiv cunoștințe, competențe și experiență adecvate pentru a putea înțelege activitățile entității, precum și riscurile asociate la care este expusă și impactul pe care îl generează pe termen scurt, mediu și lung, ținând seama de factorii ESG. </w:t>
            </w:r>
            <w:bookmarkStart w:id="31" w:name="_Hlk201330544"/>
          </w:p>
          <w:p w14:paraId="64F4785B" w14:textId="7F7AED2A" w:rsidR="002F47A0" w:rsidRPr="009E686F" w:rsidDel="000E3D7F" w:rsidRDefault="002F47A0" w:rsidP="002F47A0">
            <w:pPr>
              <w:spacing w:after="0"/>
              <w:jc w:val="both"/>
              <w:rPr>
                <w:rFonts w:ascii="Times New Roman" w:hAnsi="Times New Roman" w:cs="Times New Roman"/>
                <w:lang w:val="pt-BR"/>
              </w:rPr>
            </w:pPr>
            <w:r w:rsidRPr="009E686F">
              <w:rPr>
                <w:rFonts w:ascii="Times New Roman" w:hAnsi="Times New Roman" w:cs="Times New Roman"/>
                <w:lang w:val="pt-BR"/>
              </w:rPr>
              <w:t>Întreaga componență a organului de conducere este suficient de diversificată încât să reflecte o gamă adecvat de largă de domenii de experiență.</w:t>
            </w:r>
            <w:bookmarkEnd w:id="31"/>
          </w:p>
        </w:tc>
        <w:tc>
          <w:tcPr>
            <w:tcW w:w="1928" w:type="pct"/>
            <w:gridSpan w:val="3"/>
            <w:tcBorders>
              <w:top w:val="single" w:sz="4" w:space="0" w:color="auto"/>
              <w:left w:val="single" w:sz="4" w:space="0" w:color="auto"/>
              <w:bottom w:val="single" w:sz="4" w:space="0" w:color="auto"/>
              <w:right w:val="single" w:sz="4" w:space="0" w:color="auto"/>
            </w:tcBorders>
          </w:tcPr>
          <w:p w14:paraId="0ED773CC" w14:textId="39A5AE17" w:rsidR="002F47A0" w:rsidRPr="009E686F" w:rsidRDefault="002F47A0" w:rsidP="002F47A0">
            <w:pPr>
              <w:spacing w:after="0"/>
              <w:jc w:val="both"/>
              <w:rPr>
                <w:rFonts w:ascii="Times New Roman" w:hAnsi="Times New Roman" w:cs="Times New Roman"/>
                <w:b/>
                <w:bCs/>
                <w:lang w:val="ro-RO"/>
              </w:rPr>
            </w:pPr>
            <w:r w:rsidRPr="009E686F">
              <w:rPr>
                <w:rFonts w:ascii="Times New Roman" w:hAnsi="Times New Roman" w:cs="Times New Roman"/>
                <w:b/>
                <w:bCs/>
                <w:lang w:val="ro-RO"/>
              </w:rPr>
              <w:t>Articolul 43</w:t>
            </w:r>
            <w:r w:rsidRPr="009E686F">
              <w:rPr>
                <w:rFonts w:ascii="Times New Roman" w:hAnsi="Times New Roman" w:cs="Times New Roman"/>
                <w:b/>
                <w:bCs/>
                <w:vertAlign w:val="superscript"/>
                <w:lang w:val="ro-RO"/>
              </w:rPr>
              <w:t>1</w:t>
            </w:r>
            <w:r w:rsidRPr="009E686F">
              <w:rPr>
                <w:rFonts w:ascii="Times New Roman" w:hAnsi="Times New Roman" w:cs="Times New Roman"/>
                <w:b/>
                <w:bCs/>
                <w:lang w:val="ro-RO"/>
              </w:rPr>
              <w:t xml:space="preserve"> alin.  (2)</w:t>
            </w:r>
          </w:p>
          <w:p w14:paraId="2FC2938C" w14:textId="7918966A" w:rsidR="002F47A0" w:rsidRPr="009E686F" w:rsidRDefault="002F47A0" w:rsidP="00A12862">
            <w:pPr>
              <w:spacing w:after="0"/>
              <w:jc w:val="both"/>
              <w:rPr>
                <w:rFonts w:ascii="Times New Roman" w:eastAsia="Aptos" w:hAnsi="Times New Roman" w:cs="Times New Roman"/>
                <w:i/>
                <w:kern w:val="2"/>
                <w:lang w:val="ro-MD"/>
              </w:rPr>
            </w:pPr>
            <w:r w:rsidRPr="009E686F">
              <w:rPr>
                <w:rFonts w:ascii="Times New Roman" w:eastAsia="Aptos" w:hAnsi="Times New Roman" w:cs="Times New Roman"/>
                <w:i/>
                <w:kern w:val="2"/>
                <w:lang w:val="ro-MD"/>
              </w:rPr>
              <w:t>(2) Organul de conducere</w:t>
            </w:r>
            <w:r w:rsidRPr="009E686F">
              <w:rPr>
                <w:rFonts w:ascii="Times New Roman" w:eastAsia="Aptos" w:hAnsi="Times New Roman" w:cs="Times New Roman"/>
                <w:i/>
                <w:iCs/>
                <w:kern w:val="2"/>
                <w:lang w:val="ro-MD"/>
              </w:rPr>
              <w:t xml:space="preserve"> și conducerea superioară</w:t>
            </w:r>
            <w:r w:rsidRPr="009E686F">
              <w:rPr>
                <w:rFonts w:ascii="Times New Roman" w:eastAsia="Aptos" w:hAnsi="Times New Roman" w:cs="Times New Roman"/>
                <w:i/>
                <w:kern w:val="2"/>
                <w:lang w:val="ro-MD"/>
              </w:rPr>
              <w:t xml:space="preserve"> trebuie să dispună, la nivel colectiv, de cunoştinţe, competențe şi experienţă adecvate pentru a fi în măsură să înţeleagă activităţile desfăşurate de entitate, inclusiv  riscurile asociate la care este expusă aceasta și impactul pe care îl generează pe termen scurt, mediu și lung, ținând seama de factorii de mediu, sociali și de guvernanță. Membrii organului de conducere</w:t>
            </w:r>
            <w:r w:rsidRPr="009E686F">
              <w:rPr>
                <w:rFonts w:ascii="Times New Roman" w:eastAsia="Aptos" w:hAnsi="Times New Roman" w:cs="Times New Roman"/>
                <w:i/>
                <w:iCs/>
                <w:kern w:val="2"/>
                <w:lang w:val="ro-MD"/>
              </w:rPr>
              <w:t xml:space="preserve"> și conducerea superioară</w:t>
            </w:r>
            <w:r w:rsidRPr="009E686F">
              <w:rPr>
                <w:rFonts w:ascii="Times New Roman" w:eastAsia="Aptos" w:hAnsi="Times New Roman" w:cs="Times New Roman"/>
                <w:i/>
                <w:kern w:val="2"/>
                <w:lang w:val="ro-MD"/>
              </w:rPr>
              <w:t xml:space="preserve"> trebuie să se pronunţe în deplină cunoştinţă de cauză cu privire la toate aspectele asupra cărora trebuie să decidă potrivit competenţelor lor. Întreaga componență a organului de conducere trebuie să fie suficient de diversificată încât să reflecte o gamă adecvat de largă de domenii de experiență </w:t>
            </w:r>
          </w:p>
        </w:tc>
        <w:tc>
          <w:tcPr>
            <w:tcW w:w="470" w:type="pct"/>
            <w:tcBorders>
              <w:top w:val="single" w:sz="4" w:space="0" w:color="auto"/>
              <w:left w:val="single" w:sz="4" w:space="0" w:color="auto"/>
              <w:bottom w:val="single" w:sz="4" w:space="0" w:color="auto"/>
              <w:right w:val="single" w:sz="4" w:space="0" w:color="auto"/>
            </w:tcBorders>
          </w:tcPr>
          <w:p w14:paraId="56A33EB2" w14:textId="01ED24D4"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4FA90E87" w14:textId="77777777" w:rsidR="002F47A0" w:rsidRPr="009E686F" w:rsidRDefault="002F47A0" w:rsidP="002F47A0">
            <w:pPr>
              <w:jc w:val="both"/>
              <w:rPr>
                <w:rFonts w:ascii="Times New Roman" w:hAnsi="Times New Roman" w:cs="Times New Roman"/>
                <w:lang w:val="ro-RO"/>
              </w:rPr>
            </w:pPr>
          </w:p>
        </w:tc>
      </w:tr>
      <w:tr w:rsidR="002F47A0" w:rsidRPr="009E686F" w14:paraId="30329C71" w14:textId="67F85960" w:rsidTr="00774F3E">
        <w:tc>
          <w:tcPr>
            <w:tcW w:w="1796" w:type="pct"/>
            <w:gridSpan w:val="2"/>
            <w:tcBorders>
              <w:top w:val="single" w:sz="4" w:space="0" w:color="auto"/>
              <w:left w:val="single" w:sz="4" w:space="0" w:color="auto"/>
              <w:bottom w:val="single" w:sz="4" w:space="0" w:color="auto"/>
              <w:right w:val="single" w:sz="4" w:space="0" w:color="auto"/>
            </w:tcBorders>
          </w:tcPr>
          <w:p w14:paraId="1511541D" w14:textId="33098291"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 xml:space="preserve">(3) Numărul de funcții de conducere pe care le poate deține simultan un membru al organului de conducere se stabilește în funcție de circumstanțele specifice și de natura, amploarea și complexitatea activităților entității. </w:t>
            </w:r>
          </w:p>
          <w:p w14:paraId="54D49C00" w14:textId="77777777" w:rsidR="002F47A0" w:rsidRPr="009E686F" w:rsidRDefault="002F47A0" w:rsidP="002F47A0">
            <w:pPr>
              <w:spacing w:after="0"/>
              <w:jc w:val="both"/>
              <w:rPr>
                <w:rFonts w:ascii="Times New Roman" w:hAnsi="Times New Roman" w:cs="Times New Roman"/>
                <w:lang w:val="ro-RO"/>
              </w:rPr>
            </w:pPr>
          </w:p>
          <w:p w14:paraId="7B718011" w14:textId="3C0AB462"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lastRenderedPageBreak/>
              <w:t>Cu excepția cazului în care membrii organului de conducere reprezintă interesele unui stat membru, membrii organului de conducere al unei entități care este semnificativă din punct de vedere al dimensiunii, al organizării interne și al naturii, obiectului și complexității activităților sale dețin simultan, începând cu 1 iulie 2014, cel mult una dintre următoarele combinații de funcții de conducere:</w:t>
            </w:r>
          </w:p>
        </w:tc>
        <w:tc>
          <w:tcPr>
            <w:tcW w:w="1928" w:type="pct"/>
            <w:gridSpan w:val="3"/>
            <w:tcBorders>
              <w:top w:val="single" w:sz="4" w:space="0" w:color="auto"/>
              <w:left w:val="single" w:sz="4" w:space="0" w:color="auto"/>
              <w:bottom w:val="single" w:sz="4" w:space="0" w:color="auto"/>
              <w:right w:val="single" w:sz="4" w:space="0" w:color="auto"/>
            </w:tcBorders>
          </w:tcPr>
          <w:p w14:paraId="3F32D041" w14:textId="5E94FB95" w:rsidR="002F47A0" w:rsidRPr="009E686F" w:rsidRDefault="002F47A0" w:rsidP="002F47A0">
            <w:pPr>
              <w:spacing w:after="0"/>
              <w:jc w:val="both"/>
              <w:rPr>
                <w:rFonts w:ascii="Times New Roman" w:hAnsi="Times New Roman" w:cs="Times New Roman"/>
                <w:b/>
                <w:bCs/>
                <w:lang w:val="ro-RO"/>
              </w:rPr>
            </w:pPr>
            <w:r w:rsidRPr="009E686F">
              <w:rPr>
                <w:rFonts w:ascii="Times New Roman" w:hAnsi="Times New Roman" w:cs="Times New Roman"/>
                <w:b/>
                <w:bCs/>
                <w:lang w:val="ro-RO"/>
              </w:rPr>
              <w:lastRenderedPageBreak/>
              <w:t>Art. 41 alin. (4) lit. a)</w:t>
            </w:r>
          </w:p>
          <w:p w14:paraId="1B6C182B"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 xml:space="preserve">(4) În afara condiţiilor prevăzute de legislaţia în vigoare, referitoare la membrii consiliului, nu poate fi aleasă membru al consiliului </w:t>
            </w:r>
            <w:r w:rsidRPr="009E686F">
              <w:rPr>
                <w:rFonts w:ascii="Times New Roman" w:hAnsi="Times New Roman" w:cs="Times New Roman"/>
                <w:i/>
                <w:iCs/>
                <w:lang w:val="ro-RO"/>
              </w:rPr>
              <w:t>instituției de credit</w:t>
            </w:r>
            <w:r w:rsidRPr="009E686F">
              <w:rPr>
                <w:rFonts w:ascii="Times New Roman" w:hAnsi="Times New Roman" w:cs="Times New Roman"/>
                <w:lang w:val="ro-RO"/>
              </w:rPr>
              <w:t>, sau dacă a fost aleasă – decade din drepturi, persoana:</w:t>
            </w:r>
          </w:p>
          <w:p w14:paraId="4AE8988E" w14:textId="25FE91D5"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lastRenderedPageBreak/>
              <w:t xml:space="preserve">a) care este sau care va deveni membru al consiliului în două sau mai multe </w:t>
            </w:r>
            <w:r w:rsidRPr="009E686F">
              <w:rPr>
                <w:rFonts w:ascii="Times New Roman" w:hAnsi="Times New Roman" w:cs="Times New Roman"/>
                <w:i/>
                <w:lang w:val="ro-RO"/>
              </w:rPr>
              <w:t>instituții de credit</w:t>
            </w:r>
            <w:r w:rsidRPr="009E686F">
              <w:rPr>
                <w:rFonts w:ascii="Times New Roman" w:hAnsi="Times New Roman" w:cs="Times New Roman"/>
                <w:lang w:val="ro-RO"/>
              </w:rPr>
              <w:t xml:space="preserve"> din Republica Moldova, cu excepţia cazurilor în care acestea fac parte din cadrul aceluiaşi grup;</w:t>
            </w:r>
          </w:p>
          <w:p w14:paraId="6128DE03" w14:textId="5BE06752" w:rsidR="002F47A0" w:rsidRPr="009E686F" w:rsidRDefault="002F47A0" w:rsidP="002F47A0">
            <w:pPr>
              <w:spacing w:after="0"/>
              <w:jc w:val="both"/>
              <w:rPr>
                <w:rFonts w:ascii="Times New Roman" w:hAnsi="Times New Roman" w:cs="Times New Roman"/>
                <w:b/>
                <w:bCs/>
                <w:lang w:val="ro-RO"/>
              </w:rPr>
            </w:pPr>
            <w:r w:rsidRPr="009E686F">
              <w:rPr>
                <w:rFonts w:ascii="Times New Roman" w:hAnsi="Times New Roman" w:cs="Times New Roman"/>
                <w:b/>
                <w:bCs/>
                <w:lang w:val="ro-RO"/>
              </w:rPr>
              <w:t>Articolul 43</w:t>
            </w:r>
            <w:r w:rsidRPr="009E686F">
              <w:rPr>
                <w:rFonts w:ascii="Times New Roman" w:hAnsi="Times New Roman" w:cs="Times New Roman"/>
                <w:b/>
                <w:bCs/>
                <w:vertAlign w:val="superscript"/>
                <w:lang w:val="ro-RO"/>
              </w:rPr>
              <w:t>1</w:t>
            </w:r>
            <w:r w:rsidRPr="009E686F">
              <w:rPr>
                <w:rFonts w:ascii="Times New Roman" w:hAnsi="Times New Roman" w:cs="Times New Roman"/>
                <w:b/>
                <w:bCs/>
                <w:lang w:val="ro-RO"/>
              </w:rPr>
              <w:t xml:space="preserve"> alin.  (5)- (6)</w:t>
            </w:r>
          </w:p>
          <w:p w14:paraId="172DF5A5" w14:textId="106A067B" w:rsidR="002F47A0" w:rsidRPr="009E686F" w:rsidRDefault="002F47A0" w:rsidP="002F47A0">
            <w:pPr>
              <w:spacing w:after="0"/>
              <w:jc w:val="both"/>
              <w:rPr>
                <w:rFonts w:ascii="Times New Roman" w:eastAsia="Aptos" w:hAnsi="Times New Roman" w:cs="Times New Roman"/>
                <w:i/>
                <w:kern w:val="2"/>
                <w:lang w:val="ro-MD"/>
              </w:rPr>
            </w:pPr>
            <w:r w:rsidRPr="009E686F">
              <w:rPr>
                <w:rFonts w:ascii="Times New Roman" w:eastAsia="Aptos" w:hAnsi="Times New Roman" w:cs="Times New Roman"/>
                <w:i/>
                <w:kern w:val="2"/>
                <w:lang w:val="ro-MD"/>
              </w:rPr>
              <w:t>(5) În aplicarea alin.(</w:t>
            </w:r>
            <w:r w:rsidRPr="009E686F">
              <w:rPr>
                <w:rFonts w:ascii="Times New Roman" w:eastAsia="Aptos" w:hAnsi="Times New Roman" w:cs="Times New Roman"/>
                <w:i/>
                <w:iCs/>
                <w:kern w:val="2"/>
                <w:lang w:val="ro-MD"/>
              </w:rPr>
              <w:t>4</w:t>
            </w:r>
            <w:r w:rsidRPr="009E686F">
              <w:rPr>
                <w:rFonts w:ascii="Times New Roman" w:eastAsia="Aptos" w:hAnsi="Times New Roman" w:cs="Times New Roman"/>
                <w:i/>
                <w:kern w:val="2"/>
                <w:lang w:val="ro-MD"/>
              </w:rPr>
              <w:t>), numărul funcţiilor pe care o persoană le poate deţine în alte entități şi/sau alte persoane juridice în acelaşi timp se stabileşte în funcţie de circumstanţele individuale, precum şi de natura, amploarea şi complexitatea activităţii entității.</w:t>
            </w:r>
          </w:p>
          <w:p w14:paraId="176F04BD" w14:textId="3FE4567E" w:rsidR="002F47A0" w:rsidRPr="009E686F" w:rsidRDefault="002F47A0" w:rsidP="002F47A0">
            <w:pPr>
              <w:spacing w:after="0"/>
              <w:jc w:val="both"/>
              <w:rPr>
                <w:rFonts w:ascii="Times New Roman" w:hAnsi="Times New Roman" w:cs="Times New Roman"/>
                <w:b/>
                <w:i/>
                <w:lang w:val="ro-RO"/>
              </w:rPr>
            </w:pPr>
            <w:r w:rsidRPr="009E686F">
              <w:rPr>
                <w:rFonts w:ascii="Times New Roman" w:eastAsia="Aptos" w:hAnsi="Times New Roman" w:cs="Times New Roman"/>
                <w:i/>
                <w:kern w:val="2"/>
                <w:lang w:val="ro-MD"/>
              </w:rPr>
              <w:t>(6) În cazul entităților care sînt considerate semnificative din perspectiva dimensiunii, a organizării interne şi a naturii, amplorii şi complexităţii activităţilor desfăşurate, cu excepția cazului în care reprezintă interesele unui stat membru, membrii organului de conducere</w:t>
            </w:r>
            <w:r w:rsidRPr="009E686F">
              <w:rPr>
                <w:rFonts w:ascii="Times New Roman" w:eastAsia="Aptos" w:hAnsi="Times New Roman" w:cs="Times New Roman"/>
                <w:i/>
                <w:iCs/>
                <w:kern w:val="2"/>
                <w:lang w:val="ro-MD"/>
              </w:rPr>
              <w:t xml:space="preserve"> sau persoanele care reprezintă conducerea superioară</w:t>
            </w:r>
            <w:r w:rsidRPr="009E686F">
              <w:rPr>
                <w:rFonts w:ascii="Times New Roman" w:eastAsia="Aptos" w:hAnsi="Times New Roman" w:cs="Times New Roman"/>
                <w:i/>
                <w:kern w:val="2"/>
                <w:lang w:val="ro-MD"/>
              </w:rPr>
              <w:t>, atunci cînd cumulează mai multe funcţii, nu se pot afla în mai mult de una dintre următoarele situaţii:</w:t>
            </w:r>
          </w:p>
          <w:p w14:paraId="113FFA5D" w14:textId="5B0DD27D" w:rsidR="002F47A0" w:rsidRPr="009E686F" w:rsidRDefault="002F47A0" w:rsidP="002F47A0">
            <w:pPr>
              <w:spacing w:after="0"/>
              <w:jc w:val="both"/>
              <w:rPr>
                <w:rFonts w:ascii="Times New Roman" w:hAnsi="Times New Roman" w:cs="Times New Roman"/>
                <w:i/>
                <w:lang w:val="ro-RO"/>
              </w:rPr>
            </w:pPr>
          </w:p>
        </w:tc>
        <w:tc>
          <w:tcPr>
            <w:tcW w:w="470" w:type="pct"/>
            <w:tcBorders>
              <w:top w:val="single" w:sz="4" w:space="0" w:color="auto"/>
              <w:left w:val="single" w:sz="4" w:space="0" w:color="auto"/>
              <w:bottom w:val="single" w:sz="4" w:space="0" w:color="auto"/>
              <w:right w:val="single" w:sz="4" w:space="0" w:color="auto"/>
            </w:tcBorders>
          </w:tcPr>
          <w:p w14:paraId="4541975D" w14:textId="77777777" w:rsidR="00171CD3" w:rsidRPr="009E686F" w:rsidRDefault="00171CD3" w:rsidP="002F47A0">
            <w:pPr>
              <w:jc w:val="both"/>
              <w:rPr>
                <w:rFonts w:ascii="Times New Roman" w:hAnsi="Times New Roman" w:cs="Times New Roman"/>
                <w:lang w:val="ro-RO"/>
              </w:rPr>
            </w:pPr>
          </w:p>
          <w:p w14:paraId="1C8C2FA7" w14:textId="77777777" w:rsidR="00171CD3" w:rsidRPr="009E686F" w:rsidRDefault="00171CD3" w:rsidP="002F47A0">
            <w:pPr>
              <w:jc w:val="both"/>
              <w:rPr>
                <w:rFonts w:ascii="Times New Roman" w:hAnsi="Times New Roman" w:cs="Times New Roman"/>
                <w:lang w:val="ro-RO"/>
              </w:rPr>
            </w:pPr>
          </w:p>
          <w:p w14:paraId="29921C72" w14:textId="77777777" w:rsidR="00171CD3" w:rsidRPr="009E686F" w:rsidRDefault="00171CD3" w:rsidP="002F47A0">
            <w:pPr>
              <w:jc w:val="both"/>
              <w:rPr>
                <w:rFonts w:ascii="Times New Roman" w:hAnsi="Times New Roman" w:cs="Times New Roman"/>
                <w:lang w:val="ro-RO"/>
              </w:rPr>
            </w:pPr>
          </w:p>
          <w:p w14:paraId="2F2A40B4" w14:textId="77777777" w:rsidR="00171CD3" w:rsidRPr="009E686F" w:rsidRDefault="00171CD3" w:rsidP="002F47A0">
            <w:pPr>
              <w:jc w:val="both"/>
              <w:rPr>
                <w:rFonts w:ascii="Times New Roman" w:hAnsi="Times New Roman" w:cs="Times New Roman"/>
                <w:lang w:val="ro-RO"/>
              </w:rPr>
            </w:pPr>
          </w:p>
          <w:p w14:paraId="28F206DF" w14:textId="77777777" w:rsidR="00171CD3" w:rsidRPr="009E686F" w:rsidRDefault="00171CD3" w:rsidP="002F47A0">
            <w:pPr>
              <w:jc w:val="both"/>
              <w:rPr>
                <w:rFonts w:ascii="Times New Roman" w:hAnsi="Times New Roman" w:cs="Times New Roman"/>
                <w:lang w:val="ro-RO"/>
              </w:rPr>
            </w:pPr>
          </w:p>
          <w:p w14:paraId="1C85D6E7" w14:textId="77777777" w:rsidR="00171CD3" w:rsidRPr="009E686F" w:rsidRDefault="00171CD3" w:rsidP="002F47A0">
            <w:pPr>
              <w:jc w:val="both"/>
              <w:rPr>
                <w:rFonts w:ascii="Times New Roman" w:hAnsi="Times New Roman" w:cs="Times New Roman"/>
                <w:lang w:val="ro-RO"/>
              </w:rPr>
            </w:pPr>
          </w:p>
          <w:p w14:paraId="5E7482F9" w14:textId="426B1D07"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p w14:paraId="36D16559" w14:textId="77777777" w:rsidR="002F47A0" w:rsidRPr="009E686F" w:rsidRDefault="002F47A0" w:rsidP="002F47A0">
            <w:pPr>
              <w:jc w:val="both"/>
              <w:rPr>
                <w:rFonts w:ascii="Times New Roman" w:hAnsi="Times New Roman" w:cs="Times New Roman"/>
                <w:lang w:val="ro-RO"/>
              </w:rPr>
            </w:pPr>
          </w:p>
          <w:p w14:paraId="1A29C779" w14:textId="77777777" w:rsidR="002F47A0" w:rsidRPr="009E686F" w:rsidRDefault="002F47A0" w:rsidP="002F47A0">
            <w:pPr>
              <w:jc w:val="both"/>
              <w:rPr>
                <w:rFonts w:ascii="Times New Roman" w:hAnsi="Times New Roman" w:cs="Times New Roman"/>
                <w:lang w:val="ro-RO"/>
              </w:rPr>
            </w:pPr>
          </w:p>
          <w:p w14:paraId="676FF3EC" w14:textId="5E89805B" w:rsidR="002F47A0" w:rsidRPr="009E686F" w:rsidRDefault="002F47A0" w:rsidP="002F47A0">
            <w:pPr>
              <w:jc w:val="both"/>
              <w:rPr>
                <w:rFonts w:ascii="Times New Roman" w:hAnsi="Times New Roman" w:cs="Times New Roman"/>
                <w:lang w:val="ro-RO"/>
              </w:rPr>
            </w:pPr>
          </w:p>
          <w:p w14:paraId="501D480E" w14:textId="77777777" w:rsidR="002F47A0" w:rsidRPr="009E686F" w:rsidRDefault="002F47A0" w:rsidP="002F47A0">
            <w:pPr>
              <w:jc w:val="both"/>
              <w:rPr>
                <w:rFonts w:ascii="Times New Roman" w:hAnsi="Times New Roman" w:cs="Times New Roman"/>
                <w:lang w:val="ro-RO"/>
              </w:rPr>
            </w:pPr>
          </w:p>
          <w:p w14:paraId="0E6215D5" w14:textId="77777777" w:rsidR="002F47A0" w:rsidRPr="009E686F" w:rsidRDefault="002F47A0" w:rsidP="002F47A0">
            <w:pPr>
              <w:jc w:val="both"/>
              <w:rPr>
                <w:rFonts w:ascii="Times New Roman" w:hAnsi="Times New Roman" w:cs="Times New Roman"/>
                <w:lang w:val="ro-RO"/>
              </w:rPr>
            </w:pPr>
          </w:p>
          <w:p w14:paraId="63EC5090" w14:textId="77777777" w:rsidR="002F47A0" w:rsidRPr="009E686F" w:rsidRDefault="002F47A0" w:rsidP="002F47A0">
            <w:pPr>
              <w:jc w:val="both"/>
              <w:rPr>
                <w:rFonts w:ascii="Times New Roman" w:hAnsi="Times New Roman" w:cs="Times New Roman"/>
                <w:lang w:val="ro-RO"/>
              </w:rPr>
            </w:pPr>
          </w:p>
          <w:p w14:paraId="7BDB8963" w14:textId="77777777" w:rsidR="002F47A0" w:rsidRPr="009E686F" w:rsidRDefault="002F47A0" w:rsidP="002F47A0">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3235A2E0" w14:textId="4DA98284"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lastRenderedPageBreak/>
              <w:t xml:space="preserve">Norme cu specific național care a fost preluată din cadrul legislativ existent, cu scopul de a asigura exercitarea efectivă și </w:t>
            </w:r>
            <w:r w:rsidRPr="009E686F">
              <w:rPr>
                <w:rFonts w:ascii="Times New Roman" w:hAnsi="Times New Roman" w:cs="Times New Roman"/>
                <w:lang w:val="ro-RO"/>
              </w:rPr>
              <w:lastRenderedPageBreak/>
              <w:t>eficientă administrării prudente a activității instituțiilor de credit.</w:t>
            </w:r>
          </w:p>
        </w:tc>
      </w:tr>
      <w:tr w:rsidR="002F47A0" w:rsidRPr="009E686F" w14:paraId="7AD82BD4" w14:textId="660618D8" w:rsidTr="00774F3E">
        <w:tc>
          <w:tcPr>
            <w:tcW w:w="1796" w:type="pct"/>
            <w:gridSpan w:val="2"/>
            <w:tcBorders>
              <w:top w:val="single" w:sz="4" w:space="0" w:color="auto"/>
              <w:left w:val="single" w:sz="4" w:space="0" w:color="auto"/>
              <w:bottom w:val="single" w:sz="4" w:space="0" w:color="auto"/>
              <w:right w:val="single" w:sz="4" w:space="0" w:color="auto"/>
            </w:tcBorders>
          </w:tcPr>
          <w:p w14:paraId="78E128C6" w14:textId="058A3141"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lastRenderedPageBreak/>
              <w:t>(a) o funcție de conducere executivă cu două funcții de conducere neexecutive;</w:t>
            </w:r>
          </w:p>
        </w:tc>
        <w:tc>
          <w:tcPr>
            <w:tcW w:w="1928" w:type="pct"/>
            <w:gridSpan w:val="3"/>
            <w:tcBorders>
              <w:top w:val="single" w:sz="4" w:space="0" w:color="auto"/>
              <w:left w:val="single" w:sz="4" w:space="0" w:color="auto"/>
              <w:bottom w:val="single" w:sz="4" w:space="0" w:color="auto"/>
              <w:right w:val="single" w:sz="4" w:space="0" w:color="auto"/>
            </w:tcBorders>
          </w:tcPr>
          <w:p w14:paraId="49A19727" w14:textId="69FF2745" w:rsidR="002F47A0" w:rsidRPr="009E686F" w:rsidRDefault="002F47A0" w:rsidP="002F47A0">
            <w:pPr>
              <w:spacing w:after="0"/>
              <w:jc w:val="both"/>
              <w:rPr>
                <w:rFonts w:ascii="Times New Roman" w:eastAsia="Aptos" w:hAnsi="Times New Roman" w:cs="Times New Roman"/>
                <w:i/>
                <w:kern w:val="2"/>
                <w:lang w:val="ro-MD"/>
              </w:rPr>
            </w:pPr>
            <w:r w:rsidRPr="009E686F">
              <w:rPr>
                <w:rFonts w:ascii="Times New Roman" w:eastAsia="Aptos" w:hAnsi="Times New Roman" w:cs="Times New Roman"/>
                <w:i/>
                <w:kern w:val="2"/>
                <w:lang w:val="ro-MD"/>
              </w:rPr>
              <w:t>a) exercită o funcţie de membru al organului executiv sau altă funcţie de conducere similară concomitent cu două funcţii de membru al consiliului sau alte două funcţii neexecutive similare;</w:t>
            </w:r>
          </w:p>
        </w:tc>
        <w:tc>
          <w:tcPr>
            <w:tcW w:w="470" w:type="pct"/>
            <w:tcBorders>
              <w:top w:val="single" w:sz="4" w:space="0" w:color="auto"/>
              <w:left w:val="single" w:sz="4" w:space="0" w:color="auto"/>
              <w:bottom w:val="single" w:sz="4" w:space="0" w:color="auto"/>
              <w:right w:val="single" w:sz="4" w:space="0" w:color="auto"/>
            </w:tcBorders>
          </w:tcPr>
          <w:p w14:paraId="5730812B" w14:textId="5C0E0DFB"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3DB5ECC1" w14:textId="77777777" w:rsidR="002F47A0" w:rsidRPr="009E686F" w:rsidRDefault="002F47A0" w:rsidP="002F47A0">
            <w:pPr>
              <w:jc w:val="both"/>
              <w:rPr>
                <w:rFonts w:ascii="Times New Roman" w:hAnsi="Times New Roman" w:cs="Times New Roman"/>
                <w:lang w:val="ro-RO"/>
              </w:rPr>
            </w:pPr>
          </w:p>
        </w:tc>
      </w:tr>
      <w:tr w:rsidR="002F47A0" w:rsidRPr="009E686F" w14:paraId="02637A18" w14:textId="347EEB0D" w:rsidTr="00774F3E">
        <w:tc>
          <w:tcPr>
            <w:tcW w:w="1796" w:type="pct"/>
            <w:gridSpan w:val="2"/>
            <w:tcBorders>
              <w:top w:val="single" w:sz="4" w:space="0" w:color="auto"/>
              <w:left w:val="single" w:sz="4" w:space="0" w:color="auto"/>
              <w:bottom w:val="single" w:sz="4" w:space="0" w:color="auto"/>
              <w:right w:val="single" w:sz="4" w:space="0" w:color="auto"/>
            </w:tcBorders>
          </w:tcPr>
          <w:p w14:paraId="3FD60CAD" w14:textId="40D0762D"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(b) patru funcții de conducere neexecutive.</w:t>
            </w:r>
          </w:p>
        </w:tc>
        <w:tc>
          <w:tcPr>
            <w:tcW w:w="1928" w:type="pct"/>
            <w:gridSpan w:val="3"/>
            <w:tcBorders>
              <w:top w:val="single" w:sz="4" w:space="0" w:color="auto"/>
              <w:left w:val="single" w:sz="4" w:space="0" w:color="auto"/>
              <w:bottom w:val="single" w:sz="4" w:space="0" w:color="auto"/>
              <w:right w:val="single" w:sz="4" w:space="0" w:color="auto"/>
            </w:tcBorders>
          </w:tcPr>
          <w:p w14:paraId="55611687" w14:textId="5671AC90" w:rsidR="002F47A0" w:rsidRPr="009E686F" w:rsidRDefault="002F47A0" w:rsidP="002F47A0">
            <w:pPr>
              <w:spacing w:after="0"/>
              <w:jc w:val="both"/>
              <w:rPr>
                <w:rFonts w:ascii="Times New Roman" w:eastAsia="Aptos" w:hAnsi="Times New Roman" w:cs="Times New Roman"/>
                <w:i/>
                <w:kern w:val="2"/>
                <w:lang w:val="ro-MD"/>
              </w:rPr>
            </w:pPr>
            <w:r w:rsidRPr="009E686F">
              <w:rPr>
                <w:rFonts w:ascii="Times New Roman" w:eastAsia="Aptos" w:hAnsi="Times New Roman" w:cs="Times New Roman"/>
                <w:i/>
                <w:kern w:val="2"/>
                <w:lang w:val="ro-MD"/>
              </w:rPr>
              <w:t>b) exercită concomitent patru funcţii de membru al consiliului sau alte patru funcţii neexecutive similare.</w:t>
            </w:r>
          </w:p>
        </w:tc>
        <w:tc>
          <w:tcPr>
            <w:tcW w:w="470" w:type="pct"/>
            <w:tcBorders>
              <w:top w:val="single" w:sz="4" w:space="0" w:color="auto"/>
              <w:left w:val="single" w:sz="4" w:space="0" w:color="auto"/>
              <w:bottom w:val="single" w:sz="4" w:space="0" w:color="auto"/>
              <w:right w:val="single" w:sz="4" w:space="0" w:color="auto"/>
            </w:tcBorders>
          </w:tcPr>
          <w:p w14:paraId="08AA253E" w14:textId="223B37BE"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017DB889" w14:textId="77777777" w:rsidR="002F47A0" w:rsidRPr="009E686F" w:rsidRDefault="002F47A0" w:rsidP="002F47A0">
            <w:pPr>
              <w:jc w:val="both"/>
              <w:rPr>
                <w:rFonts w:ascii="Times New Roman" w:hAnsi="Times New Roman" w:cs="Times New Roman"/>
                <w:lang w:val="ro-RO"/>
              </w:rPr>
            </w:pPr>
          </w:p>
        </w:tc>
      </w:tr>
      <w:tr w:rsidR="002F47A0" w:rsidRPr="009E686F" w14:paraId="7941E418" w14:textId="617FEA07" w:rsidTr="00774F3E">
        <w:tc>
          <w:tcPr>
            <w:tcW w:w="1796" w:type="pct"/>
            <w:gridSpan w:val="2"/>
            <w:tcBorders>
              <w:top w:val="single" w:sz="4" w:space="0" w:color="auto"/>
              <w:left w:val="single" w:sz="4" w:space="0" w:color="auto"/>
              <w:bottom w:val="single" w:sz="4" w:space="0" w:color="auto"/>
              <w:right w:val="single" w:sz="4" w:space="0" w:color="auto"/>
            </w:tcBorders>
          </w:tcPr>
          <w:p w14:paraId="308EEBB2" w14:textId="5C0D1BC8"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(4) În sensul alineatului (3), următoarele sunt considerate ca fiind o singură funcție de conducere:</w:t>
            </w:r>
          </w:p>
        </w:tc>
        <w:tc>
          <w:tcPr>
            <w:tcW w:w="1928" w:type="pct"/>
            <w:gridSpan w:val="3"/>
            <w:tcBorders>
              <w:top w:val="single" w:sz="4" w:space="0" w:color="auto"/>
              <w:left w:val="single" w:sz="4" w:space="0" w:color="auto"/>
              <w:bottom w:val="single" w:sz="4" w:space="0" w:color="auto"/>
              <w:right w:val="single" w:sz="4" w:space="0" w:color="auto"/>
            </w:tcBorders>
          </w:tcPr>
          <w:p w14:paraId="30027C1C" w14:textId="05C51278" w:rsidR="002F47A0" w:rsidRPr="009E686F" w:rsidRDefault="002F47A0" w:rsidP="002F47A0">
            <w:pPr>
              <w:spacing w:after="0"/>
              <w:jc w:val="both"/>
              <w:rPr>
                <w:rFonts w:ascii="Times New Roman" w:hAnsi="Times New Roman" w:cs="Times New Roman"/>
                <w:b/>
                <w:bCs/>
                <w:lang w:val="ro-RO"/>
              </w:rPr>
            </w:pPr>
            <w:r w:rsidRPr="009E686F">
              <w:rPr>
                <w:rFonts w:ascii="Times New Roman" w:hAnsi="Times New Roman" w:cs="Times New Roman"/>
                <w:b/>
                <w:bCs/>
                <w:lang w:val="ro-RO"/>
              </w:rPr>
              <w:t>Articolul 43</w:t>
            </w:r>
            <w:r w:rsidRPr="009E686F">
              <w:rPr>
                <w:rFonts w:ascii="Times New Roman" w:hAnsi="Times New Roman" w:cs="Times New Roman"/>
                <w:b/>
                <w:bCs/>
                <w:vertAlign w:val="superscript"/>
                <w:lang w:val="ro-RO"/>
              </w:rPr>
              <w:t>1</w:t>
            </w:r>
            <w:r w:rsidRPr="009E686F">
              <w:rPr>
                <w:rFonts w:ascii="Times New Roman" w:hAnsi="Times New Roman" w:cs="Times New Roman"/>
                <w:b/>
                <w:bCs/>
                <w:lang w:val="ro-RO"/>
              </w:rPr>
              <w:t xml:space="preserve"> alin.  (7)</w:t>
            </w:r>
          </w:p>
          <w:p w14:paraId="4D99E89B" w14:textId="1B52F37E" w:rsidR="002F47A0" w:rsidRPr="009E686F" w:rsidRDefault="002F47A0" w:rsidP="002F47A0">
            <w:pPr>
              <w:spacing w:after="0"/>
              <w:jc w:val="both"/>
              <w:rPr>
                <w:rFonts w:ascii="Times New Roman" w:eastAsia="Aptos" w:hAnsi="Times New Roman" w:cs="Times New Roman"/>
                <w:i/>
                <w:kern w:val="2"/>
                <w:lang w:val="ro-MD"/>
              </w:rPr>
            </w:pPr>
            <w:r w:rsidRPr="009E686F">
              <w:rPr>
                <w:rFonts w:ascii="Times New Roman" w:eastAsia="Aptos" w:hAnsi="Times New Roman" w:cs="Times New Roman"/>
                <w:i/>
                <w:kern w:val="2"/>
                <w:lang w:val="ro-MD"/>
              </w:rPr>
              <w:t>(7) În scopul aplicării alin.(5), se consideră ca fiind o singură funcţie de conducere.</w:t>
            </w:r>
          </w:p>
        </w:tc>
        <w:tc>
          <w:tcPr>
            <w:tcW w:w="470" w:type="pct"/>
            <w:tcBorders>
              <w:top w:val="single" w:sz="4" w:space="0" w:color="auto"/>
              <w:left w:val="single" w:sz="4" w:space="0" w:color="auto"/>
              <w:bottom w:val="single" w:sz="4" w:space="0" w:color="auto"/>
              <w:right w:val="single" w:sz="4" w:space="0" w:color="auto"/>
            </w:tcBorders>
          </w:tcPr>
          <w:p w14:paraId="247D62BE" w14:textId="54D63A88"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29194DD4" w14:textId="77777777" w:rsidR="002F47A0" w:rsidRPr="009E686F" w:rsidRDefault="002F47A0" w:rsidP="002F47A0">
            <w:pPr>
              <w:jc w:val="both"/>
              <w:rPr>
                <w:rFonts w:ascii="Times New Roman" w:hAnsi="Times New Roman" w:cs="Times New Roman"/>
                <w:lang w:val="ro-RO"/>
              </w:rPr>
            </w:pPr>
          </w:p>
        </w:tc>
      </w:tr>
      <w:tr w:rsidR="002F47A0" w:rsidRPr="009E686F" w14:paraId="78CDE0F4" w14:textId="13825D82" w:rsidTr="00774F3E">
        <w:tc>
          <w:tcPr>
            <w:tcW w:w="1796" w:type="pct"/>
            <w:gridSpan w:val="2"/>
            <w:tcBorders>
              <w:top w:val="single" w:sz="4" w:space="0" w:color="auto"/>
              <w:left w:val="single" w:sz="4" w:space="0" w:color="auto"/>
              <w:bottom w:val="single" w:sz="4" w:space="0" w:color="auto"/>
              <w:right w:val="single" w:sz="4" w:space="0" w:color="auto"/>
            </w:tcBorders>
          </w:tcPr>
          <w:p w14:paraId="5A2B4A42" w14:textId="263358CF"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(a)funcțiile de conducere executive sau neexecutive deținute în cadrul aceluiași grup;</w:t>
            </w:r>
          </w:p>
        </w:tc>
        <w:tc>
          <w:tcPr>
            <w:tcW w:w="1928" w:type="pct"/>
            <w:gridSpan w:val="3"/>
            <w:tcBorders>
              <w:top w:val="single" w:sz="4" w:space="0" w:color="auto"/>
              <w:left w:val="single" w:sz="4" w:space="0" w:color="auto"/>
              <w:bottom w:val="single" w:sz="4" w:space="0" w:color="auto"/>
              <w:right w:val="single" w:sz="4" w:space="0" w:color="auto"/>
            </w:tcBorders>
          </w:tcPr>
          <w:p w14:paraId="7F62AFA3" w14:textId="6D7EB8BA" w:rsidR="002F47A0" w:rsidRPr="009E686F" w:rsidRDefault="002F47A0" w:rsidP="002F47A0">
            <w:pPr>
              <w:spacing w:after="0"/>
              <w:jc w:val="both"/>
              <w:rPr>
                <w:rFonts w:ascii="Times New Roman" w:hAnsi="Times New Roman" w:cs="Times New Roman"/>
                <w:i/>
                <w:lang w:val="ro-RO"/>
              </w:rPr>
            </w:pPr>
            <w:r w:rsidRPr="009E686F">
              <w:rPr>
                <w:rFonts w:ascii="Times New Roman" w:hAnsi="Times New Roman" w:cs="Times New Roman"/>
                <w:i/>
                <w:lang w:val="ro-RO"/>
              </w:rPr>
              <w:t xml:space="preserve">a) toate funcțiile de membru al organului executiv sau de membru al consiliului ori similare acestora, deținute în cadrul aceluiași grup; </w:t>
            </w:r>
          </w:p>
        </w:tc>
        <w:tc>
          <w:tcPr>
            <w:tcW w:w="470" w:type="pct"/>
            <w:tcBorders>
              <w:top w:val="single" w:sz="4" w:space="0" w:color="auto"/>
              <w:left w:val="single" w:sz="4" w:space="0" w:color="auto"/>
              <w:bottom w:val="single" w:sz="4" w:space="0" w:color="auto"/>
              <w:right w:val="single" w:sz="4" w:space="0" w:color="auto"/>
            </w:tcBorders>
          </w:tcPr>
          <w:p w14:paraId="07F90F55" w14:textId="75785EC2"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7E964959" w14:textId="77777777" w:rsidR="002F47A0" w:rsidRPr="009E686F" w:rsidRDefault="002F47A0" w:rsidP="002F47A0">
            <w:pPr>
              <w:jc w:val="both"/>
              <w:rPr>
                <w:rFonts w:ascii="Times New Roman" w:hAnsi="Times New Roman" w:cs="Times New Roman"/>
                <w:lang w:val="ro-RO"/>
              </w:rPr>
            </w:pPr>
          </w:p>
        </w:tc>
      </w:tr>
      <w:tr w:rsidR="002F47A0" w:rsidRPr="009E686F" w14:paraId="3B53D125" w14:textId="30E9EEF8" w:rsidTr="008D0594">
        <w:trPr>
          <w:trHeight w:val="2473"/>
        </w:trPr>
        <w:tc>
          <w:tcPr>
            <w:tcW w:w="1796" w:type="pct"/>
            <w:gridSpan w:val="2"/>
            <w:tcBorders>
              <w:top w:val="single" w:sz="4" w:space="0" w:color="auto"/>
              <w:left w:val="single" w:sz="4" w:space="0" w:color="auto"/>
              <w:right w:val="single" w:sz="4" w:space="0" w:color="auto"/>
            </w:tcBorders>
          </w:tcPr>
          <w:p w14:paraId="5AED4C32"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lastRenderedPageBreak/>
              <w:t>(b) funcțiile de conducere executive sau neexecutive deținute înoricare dintre următoarele:</w:t>
            </w:r>
          </w:p>
          <w:p w14:paraId="4F6E01F9" w14:textId="50620DEF"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(i) entități care sunt membre ale aceluiași sistem instituțional de protecție, dacă sunt îndeplinite condițiile prevăzute la articolul 113 alineatul (7) din Regulamentul (UE) nr. 575/2013 sau entități în cadrul cărora același sistem instituțional de protecție deține o deținere calificată;</w:t>
            </w:r>
          </w:p>
        </w:tc>
        <w:tc>
          <w:tcPr>
            <w:tcW w:w="1928" w:type="pct"/>
            <w:gridSpan w:val="3"/>
            <w:tcBorders>
              <w:top w:val="single" w:sz="4" w:space="0" w:color="auto"/>
              <w:left w:val="single" w:sz="4" w:space="0" w:color="auto"/>
              <w:right w:val="single" w:sz="4" w:space="0" w:color="auto"/>
            </w:tcBorders>
          </w:tcPr>
          <w:p w14:paraId="039887A7" w14:textId="1F3E25FC" w:rsidR="002F47A0" w:rsidRPr="009E686F" w:rsidRDefault="002F47A0" w:rsidP="002F47A0">
            <w:pPr>
              <w:spacing w:after="0"/>
              <w:jc w:val="both"/>
              <w:rPr>
                <w:rFonts w:ascii="Times New Roman" w:hAnsi="Times New Roman" w:cs="Times New Roman"/>
                <w:i/>
                <w:lang w:val="ro-RO"/>
              </w:rPr>
            </w:pPr>
            <w:r w:rsidRPr="009E686F">
              <w:rPr>
                <w:rFonts w:ascii="Times New Roman" w:hAnsi="Times New Roman" w:cs="Times New Roman"/>
                <w:i/>
                <w:iCs/>
                <w:lang w:val="ro-RO"/>
              </w:rPr>
              <w:t xml:space="preserve">b) toate funcțiile de membru al organului executiv sau de membru al consiliului ori similare acestora, deținute în cadrul </w:t>
            </w:r>
            <w:r w:rsidRPr="009E686F">
              <w:rPr>
                <w:rFonts w:ascii="Times New Roman" w:eastAsia="Aptos" w:hAnsi="Times New Roman" w:cs="Times New Roman"/>
                <w:i/>
                <w:iCs/>
                <w:kern w:val="2"/>
                <w:lang w:val="ro-MD"/>
              </w:rPr>
              <w:t>sistemelor de protecţie contractuală sau instituţională care constau într-un acord de stabilire contractuală sau legală a responsabilităţilor care protejează entitățile şi le asigură, în special, lichiditatea şi cerinţa de capital pentru a evita falimentul, în cazul în care este necesar entităților;</w:t>
            </w:r>
          </w:p>
        </w:tc>
        <w:tc>
          <w:tcPr>
            <w:tcW w:w="470" w:type="pct"/>
            <w:tcBorders>
              <w:top w:val="single" w:sz="4" w:space="0" w:color="auto"/>
              <w:left w:val="single" w:sz="4" w:space="0" w:color="auto"/>
              <w:right w:val="single" w:sz="4" w:space="0" w:color="auto"/>
            </w:tcBorders>
          </w:tcPr>
          <w:p w14:paraId="225F1BDF" w14:textId="77777777"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p w14:paraId="0D98D5EE" w14:textId="0976293E" w:rsidR="002F47A0" w:rsidRPr="009E686F" w:rsidRDefault="002F47A0" w:rsidP="002F47A0">
            <w:pPr>
              <w:jc w:val="both"/>
              <w:rPr>
                <w:rFonts w:ascii="Times New Roman" w:hAnsi="Times New Roman" w:cs="Times New Roman"/>
                <w:lang w:val="ro-RO"/>
              </w:rPr>
            </w:pPr>
          </w:p>
        </w:tc>
        <w:tc>
          <w:tcPr>
            <w:tcW w:w="806" w:type="pct"/>
            <w:tcBorders>
              <w:top w:val="single" w:sz="4" w:space="0" w:color="auto"/>
              <w:left w:val="single" w:sz="4" w:space="0" w:color="auto"/>
              <w:right w:val="single" w:sz="4" w:space="0" w:color="auto"/>
            </w:tcBorders>
          </w:tcPr>
          <w:p w14:paraId="2CA85984" w14:textId="77777777" w:rsidR="002F47A0" w:rsidRPr="009E686F" w:rsidRDefault="002F47A0" w:rsidP="002F47A0">
            <w:pPr>
              <w:jc w:val="both"/>
              <w:rPr>
                <w:rFonts w:ascii="Times New Roman" w:hAnsi="Times New Roman" w:cs="Times New Roman"/>
                <w:lang w:val="ro-RO"/>
              </w:rPr>
            </w:pPr>
          </w:p>
        </w:tc>
      </w:tr>
      <w:tr w:rsidR="002F47A0" w:rsidRPr="009E686F" w14:paraId="00D0F04D"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58A81412" w14:textId="6A9F6DE5"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(ii) întreprinderi,inclusiv entități nefinanciare, în cadrul cărora instituția deține o participație calificată.</w:t>
            </w:r>
          </w:p>
        </w:tc>
        <w:tc>
          <w:tcPr>
            <w:tcW w:w="1928" w:type="pct"/>
            <w:gridSpan w:val="3"/>
            <w:tcBorders>
              <w:top w:val="single" w:sz="4" w:space="0" w:color="auto"/>
              <w:left w:val="single" w:sz="4" w:space="0" w:color="auto"/>
              <w:bottom w:val="single" w:sz="4" w:space="0" w:color="auto"/>
              <w:right w:val="single" w:sz="4" w:space="0" w:color="auto"/>
            </w:tcBorders>
          </w:tcPr>
          <w:p w14:paraId="4316E61C" w14:textId="5FC3AA21" w:rsidR="002F47A0" w:rsidRPr="009E686F" w:rsidRDefault="002F47A0" w:rsidP="002F47A0">
            <w:pPr>
              <w:spacing w:after="0"/>
              <w:jc w:val="both"/>
              <w:rPr>
                <w:rFonts w:ascii="Times New Roman" w:eastAsia="Aptos" w:hAnsi="Times New Roman" w:cs="Times New Roman"/>
                <w:i/>
                <w:kern w:val="2"/>
                <w:lang w:val="ro-RO"/>
              </w:rPr>
            </w:pPr>
            <w:r w:rsidRPr="009E686F">
              <w:rPr>
                <w:rFonts w:ascii="Times New Roman" w:hAnsi="Times New Roman" w:cs="Times New Roman"/>
                <w:i/>
                <w:lang w:val="ro-RO"/>
              </w:rPr>
              <w:t>c) toate funcţiile de membru al organului executiv sau de membru al consiliului ori similare acestora, deţinute în cadrul întreprinderilor financiare sau nefinanciare în care entitatea are o deţinere calificată.</w:t>
            </w:r>
          </w:p>
        </w:tc>
        <w:tc>
          <w:tcPr>
            <w:tcW w:w="470" w:type="pct"/>
            <w:tcBorders>
              <w:top w:val="single" w:sz="4" w:space="0" w:color="auto"/>
              <w:left w:val="single" w:sz="4" w:space="0" w:color="auto"/>
              <w:bottom w:val="single" w:sz="4" w:space="0" w:color="auto"/>
              <w:right w:val="single" w:sz="4" w:space="0" w:color="auto"/>
            </w:tcBorders>
          </w:tcPr>
          <w:p w14:paraId="36FB66F1" w14:textId="77777777"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p w14:paraId="60868567" w14:textId="77777777" w:rsidR="002F47A0" w:rsidRPr="009E686F" w:rsidRDefault="002F47A0" w:rsidP="002F47A0">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23B8BA54" w14:textId="77777777" w:rsidR="002F47A0" w:rsidRPr="009E686F" w:rsidRDefault="002F47A0" w:rsidP="002F47A0">
            <w:pPr>
              <w:jc w:val="both"/>
              <w:rPr>
                <w:rFonts w:ascii="Times New Roman" w:hAnsi="Times New Roman" w:cs="Times New Roman"/>
                <w:lang w:val="ro-RO"/>
              </w:rPr>
            </w:pPr>
          </w:p>
        </w:tc>
      </w:tr>
      <w:tr w:rsidR="002F47A0" w:rsidRPr="009E686F" w14:paraId="177F64F2"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0119CCCA" w14:textId="159A1A58"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În sensul literei (a) de la primul paragraf al prezentului alineat, un grup înseamnă un grup de întreprinderi care au legături între ele, astfel cum se descrie la articolul 22 din Directiva 2013/34/UE, sau un grup de întreprinderi care sunt filiale ale aceleiași societăți financiare holding sau ale aceleiași societăți financiare holding mixte.</w:t>
            </w:r>
          </w:p>
        </w:tc>
        <w:tc>
          <w:tcPr>
            <w:tcW w:w="1928" w:type="pct"/>
            <w:gridSpan w:val="3"/>
            <w:tcBorders>
              <w:top w:val="single" w:sz="4" w:space="0" w:color="auto"/>
              <w:left w:val="single" w:sz="4" w:space="0" w:color="auto"/>
              <w:bottom w:val="single" w:sz="4" w:space="0" w:color="auto"/>
              <w:right w:val="single" w:sz="4" w:space="0" w:color="auto"/>
            </w:tcBorders>
          </w:tcPr>
          <w:p w14:paraId="1F5D8938" w14:textId="7B8FB688" w:rsidR="002F47A0" w:rsidRPr="009E686F" w:rsidRDefault="002F47A0" w:rsidP="002F47A0">
            <w:pPr>
              <w:spacing w:after="0"/>
              <w:jc w:val="both"/>
              <w:rPr>
                <w:rFonts w:ascii="Times New Roman" w:hAnsi="Times New Roman" w:cs="Times New Roman"/>
                <w:b/>
                <w:bCs/>
                <w:lang w:val="ro-RO"/>
              </w:rPr>
            </w:pPr>
            <w:r w:rsidRPr="009E686F">
              <w:rPr>
                <w:rFonts w:ascii="Times New Roman" w:hAnsi="Times New Roman" w:cs="Times New Roman"/>
                <w:b/>
                <w:bCs/>
                <w:lang w:val="ro-RO"/>
              </w:rPr>
              <w:t>Articolul 43</w:t>
            </w:r>
            <w:r w:rsidRPr="009E686F">
              <w:rPr>
                <w:rFonts w:ascii="Times New Roman" w:hAnsi="Times New Roman" w:cs="Times New Roman"/>
                <w:b/>
                <w:bCs/>
                <w:vertAlign w:val="superscript"/>
                <w:lang w:val="ro-RO"/>
              </w:rPr>
              <w:t>1</w:t>
            </w:r>
            <w:r w:rsidRPr="009E686F">
              <w:rPr>
                <w:rFonts w:ascii="Times New Roman" w:hAnsi="Times New Roman" w:cs="Times New Roman"/>
                <w:b/>
                <w:bCs/>
                <w:lang w:val="ro-RO"/>
              </w:rPr>
              <w:t xml:space="preserve"> alin.  (8)</w:t>
            </w:r>
          </w:p>
          <w:p w14:paraId="764C1B0B" w14:textId="7E42C9AF" w:rsidR="002F47A0" w:rsidRPr="009E686F" w:rsidRDefault="002F47A0" w:rsidP="002F47A0">
            <w:pPr>
              <w:spacing w:after="0"/>
              <w:jc w:val="both"/>
              <w:rPr>
                <w:rFonts w:ascii="Times New Roman" w:hAnsi="Times New Roman" w:cs="Times New Roman"/>
                <w:i/>
                <w:lang w:val="ro-RO"/>
              </w:rPr>
            </w:pPr>
            <w:r w:rsidRPr="009E686F">
              <w:rPr>
                <w:rFonts w:ascii="Times New Roman" w:eastAsia="Aptos" w:hAnsi="Times New Roman" w:cs="Times New Roman"/>
                <w:i/>
                <w:kern w:val="2"/>
                <w:lang w:val="ro-MD"/>
              </w:rPr>
              <w:t>(8) În sensul alin. (7) lit. a), un grup înseamnă un grup de întreprinderi care au legături între ele, astfel cum este prevăzut în Legea nr. 287/2017, sau un grup de întreprinderi care sunt filiale ale aceleiași societăți financiare holding sau ale aceleiași societăți financiare holding mixte.</w:t>
            </w:r>
          </w:p>
        </w:tc>
        <w:tc>
          <w:tcPr>
            <w:tcW w:w="470" w:type="pct"/>
            <w:tcBorders>
              <w:top w:val="single" w:sz="4" w:space="0" w:color="auto"/>
              <w:left w:val="single" w:sz="4" w:space="0" w:color="auto"/>
              <w:bottom w:val="single" w:sz="4" w:space="0" w:color="auto"/>
              <w:right w:val="single" w:sz="4" w:space="0" w:color="auto"/>
            </w:tcBorders>
          </w:tcPr>
          <w:p w14:paraId="60B66071" w14:textId="77777777" w:rsidR="002F47A0" w:rsidRPr="009E686F" w:rsidRDefault="002F47A0" w:rsidP="002F47A0">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4F9EBB2C" w14:textId="77777777" w:rsidR="002F47A0" w:rsidRPr="009E686F" w:rsidRDefault="002F47A0" w:rsidP="002F47A0">
            <w:pPr>
              <w:jc w:val="both"/>
              <w:rPr>
                <w:rFonts w:ascii="Times New Roman" w:hAnsi="Times New Roman" w:cs="Times New Roman"/>
                <w:lang w:val="ro-RO"/>
              </w:rPr>
            </w:pPr>
          </w:p>
        </w:tc>
      </w:tr>
      <w:tr w:rsidR="002F47A0" w:rsidRPr="009E686F" w14:paraId="554D75FB" w14:textId="58011B48" w:rsidTr="00774F3E">
        <w:tc>
          <w:tcPr>
            <w:tcW w:w="1796" w:type="pct"/>
            <w:gridSpan w:val="2"/>
            <w:tcBorders>
              <w:top w:val="single" w:sz="4" w:space="0" w:color="auto"/>
              <w:left w:val="single" w:sz="4" w:space="0" w:color="auto"/>
              <w:bottom w:val="single" w:sz="4" w:space="0" w:color="auto"/>
              <w:right w:val="single" w:sz="4" w:space="0" w:color="auto"/>
            </w:tcBorders>
          </w:tcPr>
          <w:p w14:paraId="50864770" w14:textId="51478702"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(5) Funcțiile de conducere în organizațiile care nu urmăresc, în mod predominant, obiective comerciale nu sunt avute în vedere în sensul alineatului (3).</w:t>
            </w:r>
          </w:p>
        </w:tc>
        <w:tc>
          <w:tcPr>
            <w:tcW w:w="1928" w:type="pct"/>
            <w:gridSpan w:val="3"/>
            <w:tcBorders>
              <w:top w:val="single" w:sz="4" w:space="0" w:color="auto"/>
              <w:left w:val="single" w:sz="4" w:space="0" w:color="auto"/>
              <w:bottom w:val="single" w:sz="4" w:space="0" w:color="auto"/>
              <w:right w:val="single" w:sz="4" w:space="0" w:color="auto"/>
            </w:tcBorders>
          </w:tcPr>
          <w:p w14:paraId="6F4282CE" w14:textId="70FC9E5C" w:rsidR="002F47A0" w:rsidRPr="009E686F" w:rsidRDefault="002F47A0" w:rsidP="002F47A0">
            <w:pPr>
              <w:spacing w:after="0"/>
              <w:jc w:val="both"/>
              <w:rPr>
                <w:rFonts w:ascii="Times New Roman" w:hAnsi="Times New Roman" w:cs="Times New Roman"/>
                <w:b/>
                <w:bCs/>
                <w:lang w:val="ro-RO"/>
              </w:rPr>
            </w:pPr>
            <w:r w:rsidRPr="009E686F">
              <w:rPr>
                <w:rFonts w:ascii="Times New Roman" w:hAnsi="Times New Roman" w:cs="Times New Roman"/>
                <w:b/>
                <w:bCs/>
                <w:lang w:val="ro-RO"/>
              </w:rPr>
              <w:t>Articolul 43</w:t>
            </w:r>
            <w:r w:rsidRPr="009E686F">
              <w:rPr>
                <w:rFonts w:ascii="Times New Roman" w:hAnsi="Times New Roman" w:cs="Times New Roman"/>
                <w:b/>
                <w:bCs/>
                <w:vertAlign w:val="superscript"/>
                <w:lang w:val="ro-RO"/>
              </w:rPr>
              <w:t>1</w:t>
            </w:r>
            <w:r w:rsidRPr="009E686F">
              <w:rPr>
                <w:rFonts w:ascii="Times New Roman" w:hAnsi="Times New Roman" w:cs="Times New Roman"/>
                <w:b/>
                <w:bCs/>
                <w:lang w:val="ro-RO"/>
              </w:rPr>
              <w:t xml:space="preserve"> alin.  (9)</w:t>
            </w:r>
          </w:p>
          <w:p w14:paraId="2DF23AED" w14:textId="601486D4" w:rsidR="002F47A0" w:rsidRPr="009E686F" w:rsidRDefault="002F47A0" w:rsidP="002F47A0">
            <w:pPr>
              <w:spacing w:after="0"/>
              <w:jc w:val="both"/>
              <w:rPr>
                <w:rFonts w:ascii="Times New Roman" w:hAnsi="Times New Roman" w:cs="Times New Roman"/>
                <w:i/>
                <w:lang w:val="ro-RO"/>
              </w:rPr>
            </w:pPr>
            <w:r w:rsidRPr="009E686F">
              <w:rPr>
                <w:rFonts w:ascii="Times New Roman" w:eastAsia="Aptos" w:hAnsi="Times New Roman" w:cs="Times New Roman"/>
                <w:i/>
                <w:kern w:val="2"/>
                <w:lang w:val="ro-MD"/>
              </w:rPr>
              <w:t>(9) Funcţiile de conducere deţinute în organizaţii sau întreprinderi care nu urmăresc, în mod predominant, obiective comerciale nu trebuie avute în vedere în sensul alin.(</w:t>
            </w:r>
            <w:r w:rsidRPr="009E686F">
              <w:rPr>
                <w:rFonts w:ascii="Times New Roman" w:eastAsia="Aptos" w:hAnsi="Times New Roman" w:cs="Times New Roman"/>
                <w:i/>
                <w:iCs/>
                <w:kern w:val="2"/>
                <w:lang w:val="ro-MD"/>
              </w:rPr>
              <w:t>6</w:t>
            </w:r>
            <w:r w:rsidRPr="009E686F">
              <w:rPr>
                <w:rFonts w:ascii="Times New Roman" w:eastAsia="Aptos" w:hAnsi="Times New Roman" w:cs="Times New Roman"/>
                <w:i/>
                <w:kern w:val="2"/>
                <w:lang w:val="ro-MD"/>
              </w:rPr>
              <w:t>).</w:t>
            </w:r>
          </w:p>
        </w:tc>
        <w:tc>
          <w:tcPr>
            <w:tcW w:w="470" w:type="pct"/>
            <w:tcBorders>
              <w:top w:val="single" w:sz="4" w:space="0" w:color="auto"/>
              <w:left w:val="single" w:sz="4" w:space="0" w:color="auto"/>
              <w:bottom w:val="single" w:sz="4" w:space="0" w:color="auto"/>
              <w:right w:val="single" w:sz="4" w:space="0" w:color="auto"/>
            </w:tcBorders>
          </w:tcPr>
          <w:p w14:paraId="40CB60CD" w14:textId="3F13CE5B"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329B71C0" w14:textId="77777777" w:rsidR="002F47A0" w:rsidRPr="009E686F" w:rsidRDefault="002F47A0" w:rsidP="002F47A0">
            <w:pPr>
              <w:jc w:val="both"/>
              <w:rPr>
                <w:rFonts w:ascii="Times New Roman" w:hAnsi="Times New Roman" w:cs="Times New Roman"/>
                <w:lang w:val="ro-RO"/>
              </w:rPr>
            </w:pPr>
          </w:p>
        </w:tc>
      </w:tr>
      <w:tr w:rsidR="002F47A0" w:rsidRPr="009E686F" w14:paraId="2B30114E"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1B17B0CF" w14:textId="270141DB"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(6) Autoritățile competente pot autoriza membri ai organului de conducere să dețină o funcție neexecutivă suplimentară.</w:t>
            </w:r>
          </w:p>
        </w:tc>
        <w:tc>
          <w:tcPr>
            <w:tcW w:w="1928" w:type="pct"/>
            <w:gridSpan w:val="3"/>
            <w:tcBorders>
              <w:top w:val="single" w:sz="4" w:space="0" w:color="auto"/>
              <w:left w:val="single" w:sz="4" w:space="0" w:color="auto"/>
              <w:bottom w:val="single" w:sz="4" w:space="0" w:color="auto"/>
              <w:right w:val="single" w:sz="4" w:space="0" w:color="auto"/>
            </w:tcBorders>
          </w:tcPr>
          <w:p w14:paraId="4B605846" w14:textId="452FA006" w:rsidR="002F47A0" w:rsidRPr="009E686F" w:rsidRDefault="002F47A0" w:rsidP="002F47A0">
            <w:pPr>
              <w:spacing w:after="0"/>
              <w:jc w:val="both"/>
              <w:rPr>
                <w:rFonts w:ascii="Times New Roman" w:eastAsia="Aptos" w:hAnsi="Times New Roman" w:cs="Times New Roman"/>
                <w:kern w:val="2"/>
                <w:lang w:val="ro-MD"/>
              </w:rPr>
            </w:pPr>
            <w:r w:rsidRPr="009E686F">
              <w:rPr>
                <w:rFonts w:ascii="Times New Roman" w:hAnsi="Times New Roman" w:cs="Times New Roman"/>
                <w:b/>
                <w:bCs/>
                <w:lang w:val="ro-RO"/>
              </w:rPr>
              <w:t>Articolul 43</w:t>
            </w:r>
            <w:r w:rsidRPr="009E686F">
              <w:rPr>
                <w:rFonts w:ascii="Times New Roman" w:hAnsi="Times New Roman" w:cs="Times New Roman"/>
                <w:b/>
                <w:bCs/>
                <w:vertAlign w:val="superscript"/>
                <w:lang w:val="ro-RO"/>
              </w:rPr>
              <w:t>1</w:t>
            </w:r>
            <w:r w:rsidRPr="009E686F">
              <w:rPr>
                <w:rFonts w:ascii="Times New Roman" w:hAnsi="Times New Roman" w:cs="Times New Roman"/>
                <w:b/>
                <w:bCs/>
                <w:lang w:val="ro-RO"/>
              </w:rPr>
              <w:t xml:space="preserve"> alin.  (10)</w:t>
            </w:r>
          </w:p>
          <w:p w14:paraId="76E6AF7E" w14:textId="6340345C" w:rsidR="002F47A0" w:rsidRPr="009E686F" w:rsidRDefault="002F47A0" w:rsidP="002F47A0">
            <w:pPr>
              <w:spacing w:after="0"/>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 xml:space="preserve">(10) Banca Naţională a Moldovei poate aproba deţinerea unei funcţii suplimentare de membru al consiliului sau a unei funcţii neexecutive similare de către membrii organului de conducere al unei </w:t>
            </w:r>
            <w:r w:rsidR="00651F44" w:rsidRPr="009E686F">
              <w:rPr>
                <w:rFonts w:ascii="Times New Roman" w:eastAsia="Aptos" w:hAnsi="Times New Roman" w:cs="Times New Roman"/>
                <w:i/>
                <w:iCs/>
                <w:kern w:val="2"/>
                <w:lang w:val="ro-MD"/>
              </w:rPr>
              <w:t>instituții de credit</w:t>
            </w:r>
            <w:r w:rsidRPr="009E686F">
              <w:rPr>
                <w:rFonts w:ascii="Times New Roman" w:eastAsia="Aptos" w:hAnsi="Times New Roman" w:cs="Times New Roman"/>
                <w:i/>
                <w:iCs/>
                <w:kern w:val="2"/>
                <w:lang w:val="ro-MD"/>
              </w:rPr>
              <w:t>, luînd în considerare complexitatea atribuţiilor conferite de toate funcţiile deţinute de aceste persoane.</w:t>
            </w:r>
          </w:p>
        </w:tc>
        <w:tc>
          <w:tcPr>
            <w:tcW w:w="470" w:type="pct"/>
            <w:tcBorders>
              <w:top w:val="single" w:sz="4" w:space="0" w:color="auto"/>
              <w:left w:val="single" w:sz="4" w:space="0" w:color="auto"/>
              <w:bottom w:val="single" w:sz="4" w:space="0" w:color="auto"/>
              <w:right w:val="single" w:sz="4" w:space="0" w:color="auto"/>
            </w:tcBorders>
          </w:tcPr>
          <w:p w14:paraId="0AE75AC1" w14:textId="4BFE1A74"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689159D4" w14:textId="77777777" w:rsidR="002F47A0" w:rsidRPr="009E686F" w:rsidRDefault="002F47A0" w:rsidP="002F47A0">
            <w:pPr>
              <w:jc w:val="both"/>
              <w:rPr>
                <w:rFonts w:ascii="Times New Roman" w:hAnsi="Times New Roman" w:cs="Times New Roman"/>
                <w:lang w:val="ro-RO"/>
              </w:rPr>
            </w:pPr>
          </w:p>
        </w:tc>
      </w:tr>
      <w:tr w:rsidR="002F47A0" w:rsidRPr="009E686F" w14:paraId="5962283C" w14:textId="05C63035" w:rsidTr="00774F3E">
        <w:tc>
          <w:tcPr>
            <w:tcW w:w="1796" w:type="pct"/>
            <w:gridSpan w:val="2"/>
            <w:tcBorders>
              <w:top w:val="single" w:sz="4" w:space="0" w:color="auto"/>
              <w:left w:val="single" w:sz="4" w:space="0" w:color="auto"/>
              <w:bottom w:val="single" w:sz="4" w:space="0" w:color="auto"/>
              <w:right w:val="single" w:sz="4" w:space="0" w:color="auto"/>
            </w:tcBorders>
          </w:tcPr>
          <w:p w14:paraId="7EB09A91" w14:textId="4959468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 xml:space="preserve">(7) Entitățile alocă resurse umane și financiare adecvate pentru integrarea și formarea membrilor organului de </w:t>
            </w:r>
            <w:r w:rsidRPr="009E686F">
              <w:rPr>
                <w:rFonts w:ascii="Times New Roman" w:hAnsi="Times New Roman" w:cs="Times New Roman"/>
                <w:lang w:val="ro-RO"/>
              </w:rPr>
              <w:lastRenderedPageBreak/>
              <w:t>conducere, inclusiv în ceea ce privește riscurile și impactul ESG și riscurile TIC, astfel cum sunt definite la articolul 4 alineatul (1) punctul 52c din Regulamentul (UE) nr. 575/2013.</w:t>
            </w:r>
          </w:p>
          <w:p w14:paraId="14493374" w14:textId="70DE93F6" w:rsidR="002F47A0" w:rsidRPr="009E686F" w:rsidRDefault="002F47A0" w:rsidP="002F47A0">
            <w:pPr>
              <w:spacing w:after="0"/>
              <w:jc w:val="both"/>
              <w:rPr>
                <w:rFonts w:ascii="Times New Roman" w:hAnsi="Times New Roman" w:cs="Times New Roman"/>
                <w:lang w:val="ro-RO"/>
              </w:rPr>
            </w:pPr>
          </w:p>
        </w:tc>
        <w:tc>
          <w:tcPr>
            <w:tcW w:w="1928" w:type="pct"/>
            <w:gridSpan w:val="3"/>
            <w:tcBorders>
              <w:top w:val="single" w:sz="4" w:space="0" w:color="auto"/>
              <w:left w:val="single" w:sz="4" w:space="0" w:color="auto"/>
              <w:bottom w:val="single" w:sz="4" w:space="0" w:color="auto"/>
              <w:right w:val="single" w:sz="4" w:space="0" w:color="auto"/>
            </w:tcBorders>
          </w:tcPr>
          <w:p w14:paraId="28A7A064" w14:textId="5AEB1246" w:rsidR="002F47A0" w:rsidRPr="009E686F" w:rsidRDefault="002F47A0" w:rsidP="002F47A0">
            <w:pPr>
              <w:spacing w:after="0"/>
              <w:jc w:val="both"/>
              <w:rPr>
                <w:rFonts w:ascii="Times New Roman" w:eastAsia="Aptos" w:hAnsi="Times New Roman" w:cs="Times New Roman"/>
                <w:kern w:val="2"/>
                <w:lang w:val="ro-MD"/>
              </w:rPr>
            </w:pPr>
            <w:r w:rsidRPr="009E686F">
              <w:rPr>
                <w:rFonts w:ascii="Times New Roman" w:hAnsi="Times New Roman" w:cs="Times New Roman"/>
                <w:b/>
                <w:bCs/>
                <w:lang w:val="ro-RO"/>
              </w:rPr>
              <w:lastRenderedPageBreak/>
              <w:t>Articolul 43</w:t>
            </w:r>
            <w:r w:rsidRPr="009E686F">
              <w:rPr>
                <w:rFonts w:ascii="Times New Roman" w:hAnsi="Times New Roman" w:cs="Times New Roman"/>
                <w:b/>
                <w:bCs/>
                <w:vertAlign w:val="superscript"/>
                <w:lang w:val="ro-RO"/>
              </w:rPr>
              <w:t>1</w:t>
            </w:r>
            <w:r w:rsidRPr="009E686F">
              <w:rPr>
                <w:rFonts w:ascii="Times New Roman" w:hAnsi="Times New Roman" w:cs="Times New Roman"/>
                <w:b/>
                <w:bCs/>
                <w:lang w:val="ro-RO"/>
              </w:rPr>
              <w:t xml:space="preserve"> alin.  (11)</w:t>
            </w:r>
          </w:p>
          <w:p w14:paraId="03C388DC" w14:textId="423C9186" w:rsidR="002F47A0" w:rsidRPr="009E686F" w:rsidRDefault="002F47A0" w:rsidP="002F47A0">
            <w:pPr>
              <w:spacing w:after="0"/>
              <w:jc w:val="both"/>
              <w:rPr>
                <w:rFonts w:ascii="Times New Roman" w:hAnsi="Times New Roman" w:cs="Times New Roman"/>
                <w:i/>
                <w:lang w:val="ro-RO"/>
              </w:rPr>
            </w:pPr>
            <w:r w:rsidRPr="009E686F">
              <w:rPr>
                <w:rFonts w:ascii="Times New Roman" w:eastAsia="Aptos" w:hAnsi="Times New Roman" w:cs="Times New Roman"/>
                <w:i/>
                <w:kern w:val="2"/>
                <w:lang w:val="ro-MD"/>
              </w:rPr>
              <w:lastRenderedPageBreak/>
              <w:t>(11) Entitatea trebuie să aloce resurse umane și financiare adecvate pentru integrarea și formarea membrilor organului de conducere, inclusiv în ceea ce privește riscurile și impactul riscurilor de mediu sociale și de guvernanță și riscurile TIC.</w:t>
            </w:r>
          </w:p>
          <w:p w14:paraId="72F0F851" w14:textId="00707123" w:rsidR="002F47A0" w:rsidRPr="009E686F" w:rsidRDefault="002F47A0" w:rsidP="002F47A0">
            <w:pPr>
              <w:spacing w:after="0"/>
              <w:jc w:val="both"/>
              <w:rPr>
                <w:rFonts w:ascii="Times New Roman" w:hAnsi="Times New Roman" w:cs="Times New Roman"/>
                <w:lang w:val="ro-RO"/>
              </w:rPr>
            </w:pPr>
          </w:p>
        </w:tc>
        <w:tc>
          <w:tcPr>
            <w:tcW w:w="470" w:type="pct"/>
            <w:tcBorders>
              <w:top w:val="single" w:sz="4" w:space="0" w:color="auto"/>
              <w:left w:val="single" w:sz="4" w:space="0" w:color="auto"/>
              <w:bottom w:val="single" w:sz="4" w:space="0" w:color="auto"/>
              <w:right w:val="single" w:sz="4" w:space="0" w:color="auto"/>
            </w:tcBorders>
          </w:tcPr>
          <w:p w14:paraId="21732514" w14:textId="39913676"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2B169DF2" w14:textId="77777777" w:rsidR="002F47A0" w:rsidRPr="009E686F" w:rsidRDefault="002F47A0" w:rsidP="002F47A0">
            <w:pPr>
              <w:jc w:val="both"/>
              <w:rPr>
                <w:rFonts w:ascii="Times New Roman" w:hAnsi="Times New Roman" w:cs="Times New Roman"/>
                <w:lang w:val="ro-RO"/>
              </w:rPr>
            </w:pPr>
          </w:p>
        </w:tc>
      </w:tr>
      <w:tr w:rsidR="002F47A0" w:rsidRPr="009E686F" w14:paraId="7605EF11" w14:textId="2BEC7D08" w:rsidTr="00774F3E">
        <w:tc>
          <w:tcPr>
            <w:tcW w:w="1796" w:type="pct"/>
            <w:gridSpan w:val="2"/>
            <w:tcBorders>
              <w:top w:val="single" w:sz="4" w:space="0" w:color="auto"/>
              <w:left w:val="single" w:sz="4" w:space="0" w:color="auto"/>
              <w:bottom w:val="single" w:sz="4" w:space="0" w:color="auto"/>
              <w:right w:val="single" w:sz="4" w:space="0" w:color="auto"/>
            </w:tcBorders>
          </w:tcPr>
          <w:p w14:paraId="3188B47F" w14:textId="182D94B8"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(8) Statele membre sau autoritățile competente impun entităților și comitetelor lor de numire respective, dacă sunt instituite astfel de comitete, să facă apel la o gamă largă de calități și competențe atunci când recrutează membri și să promoveze în mod proporțional diversitatea și echilibrul de gen în cadrul organului de conducere. În acest sens, entitățile pun în aplicare o politică de promovare a diversității în cadrul organului de conducere.</w:t>
            </w:r>
          </w:p>
        </w:tc>
        <w:tc>
          <w:tcPr>
            <w:tcW w:w="1928" w:type="pct"/>
            <w:gridSpan w:val="3"/>
            <w:tcBorders>
              <w:top w:val="single" w:sz="4" w:space="0" w:color="auto"/>
              <w:left w:val="single" w:sz="4" w:space="0" w:color="auto"/>
              <w:bottom w:val="single" w:sz="4" w:space="0" w:color="auto"/>
              <w:right w:val="single" w:sz="4" w:space="0" w:color="auto"/>
            </w:tcBorders>
          </w:tcPr>
          <w:p w14:paraId="125F948B" w14:textId="09376186" w:rsidR="002F47A0" w:rsidRPr="009E686F" w:rsidRDefault="002F47A0" w:rsidP="002F47A0">
            <w:pPr>
              <w:spacing w:after="0"/>
              <w:jc w:val="both"/>
              <w:rPr>
                <w:rFonts w:ascii="Times New Roman" w:eastAsia="Aptos" w:hAnsi="Times New Roman" w:cs="Times New Roman"/>
                <w:kern w:val="2"/>
                <w:lang w:val="ro-MD"/>
              </w:rPr>
            </w:pPr>
            <w:r w:rsidRPr="009E686F">
              <w:rPr>
                <w:rFonts w:ascii="Times New Roman" w:hAnsi="Times New Roman" w:cs="Times New Roman"/>
                <w:b/>
                <w:bCs/>
                <w:lang w:val="ro-RO"/>
              </w:rPr>
              <w:t>Articolul 43</w:t>
            </w:r>
            <w:r w:rsidRPr="009E686F">
              <w:rPr>
                <w:rFonts w:ascii="Times New Roman" w:hAnsi="Times New Roman" w:cs="Times New Roman"/>
                <w:b/>
                <w:bCs/>
                <w:vertAlign w:val="superscript"/>
                <w:lang w:val="ro-RO"/>
              </w:rPr>
              <w:t>1</w:t>
            </w:r>
            <w:r w:rsidRPr="009E686F">
              <w:rPr>
                <w:rFonts w:ascii="Times New Roman" w:hAnsi="Times New Roman" w:cs="Times New Roman"/>
                <w:b/>
                <w:bCs/>
                <w:lang w:val="ro-RO"/>
              </w:rPr>
              <w:t xml:space="preserve"> alin.  (12)</w:t>
            </w:r>
          </w:p>
          <w:p w14:paraId="4A4768F4" w14:textId="31259BF1" w:rsidR="002F47A0" w:rsidRPr="009E686F" w:rsidRDefault="002F47A0" w:rsidP="002F47A0">
            <w:pPr>
              <w:spacing w:after="0"/>
              <w:jc w:val="both"/>
              <w:rPr>
                <w:rFonts w:ascii="Times New Roman" w:hAnsi="Times New Roman" w:cs="Times New Roman"/>
                <w:i/>
                <w:lang w:val="ro-RO"/>
              </w:rPr>
            </w:pPr>
            <w:r w:rsidRPr="009E686F">
              <w:rPr>
                <w:rFonts w:ascii="Times New Roman" w:eastAsia="Aptos" w:hAnsi="Times New Roman" w:cs="Times New Roman"/>
                <w:i/>
                <w:kern w:val="2"/>
                <w:lang w:val="ro-MD"/>
              </w:rPr>
              <w:t xml:space="preserve">(12) Entitățile, prin intermediul comitetului de numire, după caz, la alegerea sau numirea membrilor organului de conducere, trebuie să se asigure că componența </w:t>
            </w:r>
            <w:r w:rsidR="00D21482" w:rsidRPr="009E686F">
              <w:rPr>
                <w:rFonts w:ascii="Times New Roman" w:eastAsia="Aptos" w:hAnsi="Times New Roman" w:cs="Times New Roman"/>
                <w:i/>
                <w:kern w:val="2"/>
                <w:lang w:val="ro-MD"/>
              </w:rPr>
              <w:t>o</w:t>
            </w:r>
            <w:r w:rsidR="00925899" w:rsidRPr="009E686F">
              <w:rPr>
                <w:rFonts w:ascii="Times New Roman" w:eastAsia="Aptos" w:hAnsi="Times New Roman" w:cs="Times New Roman"/>
                <w:i/>
                <w:kern w:val="2"/>
                <w:lang w:val="ro-MD"/>
              </w:rPr>
              <w:t>r</w:t>
            </w:r>
            <w:r w:rsidR="00D21482" w:rsidRPr="009E686F">
              <w:rPr>
                <w:rFonts w:ascii="Times New Roman" w:eastAsia="Aptos" w:hAnsi="Times New Roman" w:cs="Times New Roman"/>
                <w:i/>
                <w:kern w:val="2"/>
                <w:lang w:val="ro-MD"/>
              </w:rPr>
              <w:t xml:space="preserve">ganului de conducere </w:t>
            </w:r>
            <w:r w:rsidRPr="009E686F">
              <w:rPr>
                <w:rFonts w:ascii="Times New Roman" w:eastAsia="Aptos" w:hAnsi="Times New Roman" w:cs="Times New Roman"/>
                <w:i/>
                <w:kern w:val="2"/>
                <w:lang w:val="ro-MD"/>
              </w:rPr>
              <w:t xml:space="preserve">reflectă o gamă largă de calități și competențe și să promoveze în mod proporțional diversitatea și echilibrul de gen. În acest scop, entitățile trebuie să adopte o politică de promovare a diversității în cadrul organului de conducere. </w:t>
            </w:r>
          </w:p>
        </w:tc>
        <w:tc>
          <w:tcPr>
            <w:tcW w:w="470" w:type="pct"/>
            <w:tcBorders>
              <w:top w:val="single" w:sz="4" w:space="0" w:color="auto"/>
              <w:left w:val="single" w:sz="4" w:space="0" w:color="auto"/>
              <w:bottom w:val="single" w:sz="4" w:space="0" w:color="auto"/>
              <w:right w:val="single" w:sz="4" w:space="0" w:color="auto"/>
            </w:tcBorders>
          </w:tcPr>
          <w:p w14:paraId="3092424A" w14:textId="12E31A45"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6B3F623B" w14:textId="77777777" w:rsidR="002F47A0" w:rsidRPr="009E686F" w:rsidRDefault="002F47A0" w:rsidP="002F47A0">
            <w:pPr>
              <w:jc w:val="both"/>
              <w:rPr>
                <w:rFonts w:ascii="Times New Roman" w:hAnsi="Times New Roman" w:cs="Times New Roman"/>
                <w:lang w:val="ro-RO"/>
              </w:rPr>
            </w:pPr>
          </w:p>
        </w:tc>
      </w:tr>
      <w:tr w:rsidR="002F47A0" w:rsidRPr="009E686F" w14:paraId="41EDCD45" w14:textId="583D4905" w:rsidTr="00774F3E">
        <w:tc>
          <w:tcPr>
            <w:tcW w:w="1796" w:type="pct"/>
            <w:gridSpan w:val="2"/>
            <w:tcBorders>
              <w:top w:val="single" w:sz="4" w:space="0" w:color="auto"/>
              <w:left w:val="single" w:sz="4" w:space="0" w:color="auto"/>
              <w:bottom w:val="single" w:sz="4" w:space="0" w:color="auto"/>
              <w:right w:val="single" w:sz="4" w:space="0" w:color="auto"/>
            </w:tcBorders>
          </w:tcPr>
          <w:p w14:paraId="4D214370"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 xml:space="preserve">(9) Autoritățile competente colectează informațiile publicate în conformitate cu articolul 435 alineatul (2) litera (c) din Regulamentul (UE) nr. 575/2013 și utilizează informațiile respective pentru a compara practicile în materie de diversitate. Autoritățile competente transmit ABE aceste informații. </w:t>
            </w:r>
          </w:p>
          <w:p w14:paraId="17BF6ACA" w14:textId="328F26E3" w:rsidR="002F47A0" w:rsidRPr="009E686F" w:rsidRDefault="002F47A0" w:rsidP="002F47A0">
            <w:pPr>
              <w:spacing w:after="0"/>
              <w:jc w:val="both"/>
              <w:rPr>
                <w:rFonts w:ascii="Times New Roman" w:hAnsi="Times New Roman" w:cs="Times New Roman"/>
                <w:lang w:val="ro-RO"/>
              </w:rPr>
            </w:pPr>
          </w:p>
        </w:tc>
        <w:tc>
          <w:tcPr>
            <w:tcW w:w="1928" w:type="pct"/>
            <w:gridSpan w:val="3"/>
            <w:tcBorders>
              <w:top w:val="single" w:sz="4" w:space="0" w:color="auto"/>
              <w:left w:val="single" w:sz="4" w:space="0" w:color="auto"/>
              <w:bottom w:val="single" w:sz="4" w:space="0" w:color="auto"/>
              <w:right w:val="single" w:sz="4" w:space="0" w:color="auto"/>
            </w:tcBorders>
          </w:tcPr>
          <w:p w14:paraId="6DEA002C" w14:textId="26791325" w:rsidR="002F47A0" w:rsidRPr="009E686F" w:rsidRDefault="002F47A0" w:rsidP="002F47A0">
            <w:pPr>
              <w:spacing w:after="0"/>
              <w:jc w:val="both"/>
              <w:rPr>
                <w:rFonts w:ascii="Times New Roman" w:eastAsia="Aptos" w:hAnsi="Times New Roman" w:cs="Times New Roman"/>
                <w:b/>
                <w:bCs/>
                <w:kern w:val="2"/>
                <w:lang w:val="ro-MD"/>
              </w:rPr>
            </w:pPr>
            <w:r w:rsidRPr="009E686F">
              <w:rPr>
                <w:rFonts w:ascii="Times New Roman" w:eastAsia="Aptos" w:hAnsi="Times New Roman" w:cs="Times New Roman"/>
                <w:b/>
                <w:bCs/>
                <w:kern w:val="2"/>
                <w:lang w:val="ro-MD"/>
              </w:rPr>
              <w:t>Articolul 43</w:t>
            </w:r>
            <w:r w:rsidRPr="009E686F">
              <w:rPr>
                <w:rFonts w:ascii="Times New Roman" w:eastAsia="Aptos" w:hAnsi="Times New Roman" w:cs="Times New Roman"/>
                <w:b/>
                <w:bCs/>
                <w:kern w:val="2"/>
                <w:vertAlign w:val="superscript"/>
                <w:lang w:val="ro-MD"/>
              </w:rPr>
              <w:t>1</w:t>
            </w:r>
            <w:r w:rsidRPr="009E686F">
              <w:rPr>
                <w:rFonts w:ascii="Times New Roman" w:hAnsi="Times New Roman" w:cs="Times New Roman"/>
                <w:b/>
                <w:bCs/>
                <w:lang w:val="ro-RO"/>
              </w:rPr>
              <w:t xml:space="preserve"> alin. </w:t>
            </w:r>
            <w:r w:rsidRPr="009E686F">
              <w:rPr>
                <w:rFonts w:ascii="Times New Roman" w:eastAsia="Aptos" w:hAnsi="Times New Roman" w:cs="Times New Roman"/>
                <w:b/>
                <w:bCs/>
                <w:kern w:val="2"/>
                <w:lang w:val="ro-MD"/>
              </w:rPr>
              <w:t xml:space="preserve"> (13)</w:t>
            </w:r>
          </w:p>
          <w:p w14:paraId="68AA2A22" w14:textId="60091031" w:rsidR="002F47A0" w:rsidRPr="009E686F" w:rsidRDefault="002F47A0" w:rsidP="002F47A0">
            <w:pPr>
              <w:spacing w:after="0"/>
              <w:jc w:val="both"/>
              <w:rPr>
                <w:rFonts w:ascii="Times New Roman" w:eastAsia="Aptos" w:hAnsi="Times New Roman" w:cs="Times New Roman"/>
                <w:i/>
                <w:kern w:val="2"/>
                <w:lang w:val="ro-MD"/>
              </w:rPr>
            </w:pPr>
            <w:r w:rsidRPr="009E686F">
              <w:rPr>
                <w:rFonts w:ascii="Times New Roman" w:eastAsia="Aptos" w:hAnsi="Times New Roman" w:cs="Times New Roman"/>
                <w:i/>
                <w:kern w:val="2"/>
                <w:lang w:val="ro-MD"/>
              </w:rPr>
              <w:t>(</w:t>
            </w:r>
            <w:r w:rsidRPr="009E686F">
              <w:rPr>
                <w:rFonts w:ascii="Times New Roman" w:eastAsia="Aptos" w:hAnsi="Times New Roman" w:cs="Times New Roman"/>
                <w:i/>
                <w:iCs/>
                <w:kern w:val="2"/>
                <w:lang w:val="ro-MD"/>
              </w:rPr>
              <w:t>13</w:t>
            </w:r>
            <w:r w:rsidRPr="009E686F">
              <w:rPr>
                <w:rFonts w:ascii="Times New Roman" w:eastAsia="Aptos" w:hAnsi="Times New Roman" w:cs="Times New Roman"/>
                <w:i/>
                <w:kern w:val="2"/>
                <w:lang w:val="ro-MD"/>
              </w:rPr>
              <w:t>) Banca Naţională a Moldovei colectează informaţiile publicate în conformitate cu actele normative emise în aplicarea prezentei legi referitoare la politica privind diversitatea în procesul de selecţie a membrilor organului de conducere al entității, inclusiv obiectivele și orice tințe relevante stabilite în politica respectivă, inclusiv măsura în care au fost atinse obiectivele și țintele respective şi le utilizează pentru a compara practicile în materie de diversitate a selecţiei acestora la nivelul sistemului bancar din Republica Moldova. Banca Națională a Moldovei transmite Autorității Bancare Europene aceste informații pentru compararea practicilor în materie de diversitate la nivelul Uniunii Europene.</w:t>
            </w:r>
            <w:r w:rsidRPr="009E686F">
              <w:rPr>
                <w:rFonts w:ascii="Times New Roman" w:eastAsia="Aptos" w:hAnsi="Times New Roman" w:cs="Times New Roman"/>
                <w:i/>
                <w:iCs/>
                <w:kern w:val="2"/>
                <w:lang w:val="ro-MD"/>
              </w:rPr>
              <w:t xml:space="preserve"> </w:t>
            </w:r>
          </w:p>
        </w:tc>
        <w:tc>
          <w:tcPr>
            <w:tcW w:w="470" w:type="pct"/>
            <w:tcBorders>
              <w:top w:val="single" w:sz="4" w:space="0" w:color="auto"/>
              <w:left w:val="single" w:sz="4" w:space="0" w:color="auto"/>
              <w:bottom w:val="single" w:sz="4" w:space="0" w:color="auto"/>
              <w:right w:val="single" w:sz="4" w:space="0" w:color="auto"/>
            </w:tcBorders>
          </w:tcPr>
          <w:p w14:paraId="75A666C2" w14:textId="77777777"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 xml:space="preserve">Compatibil </w:t>
            </w:r>
          </w:p>
          <w:p w14:paraId="631F46D9" w14:textId="7786B48B" w:rsidR="002F47A0" w:rsidRPr="009E686F" w:rsidRDefault="002F47A0" w:rsidP="002F47A0">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703F6B70" w14:textId="77777777" w:rsidR="008C6586" w:rsidRPr="009E686F" w:rsidRDefault="008C6586" w:rsidP="00502B91">
            <w:pPr>
              <w:jc w:val="both"/>
            </w:pPr>
            <w:r w:rsidRPr="009E686F">
              <w:rPr>
                <w:rFonts w:ascii="Times New Roman" w:hAnsi="Times New Roman" w:cs="Times New Roman"/>
                <w:lang w:val="ro-RO"/>
              </w:rPr>
              <w:t>În vigoare – data aderării.</w:t>
            </w:r>
          </w:p>
          <w:p w14:paraId="4995E001" w14:textId="77777777" w:rsidR="002F47A0" w:rsidRPr="009E686F" w:rsidRDefault="002F47A0" w:rsidP="002F47A0">
            <w:pPr>
              <w:jc w:val="both"/>
              <w:rPr>
                <w:rFonts w:ascii="Times New Roman" w:hAnsi="Times New Roman" w:cs="Times New Roman"/>
                <w:lang w:val="ro-RO"/>
              </w:rPr>
            </w:pPr>
          </w:p>
        </w:tc>
      </w:tr>
      <w:tr w:rsidR="002F47A0" w:rsidRPr="009E686F" w14:paraId="3005ACFD"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42C7C002" w14:textId="1049EEED"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ABE utilizează aceste informații pentru a compara practicile în materie de diversitate la nivelul Uniunii.</w:t>
            </w:r>
          </w:p>
        </w:tc>
        <w:tc>
          <w:tcPr>
            <w:tcW w:w="1928" w:type="pct"/>
            <w:gridSpan w:val="3"/>
            <w:tcBorders>
              <w:top w:val="single" w:sz="4" w:space="0" w:color="auto"/>
              <w:left w:val="single" w:sz="4" w:space="0" w:color="auto"/>
              <w:bottom w:val="single" w:sz="4" w:space="0" w:color="auto"/>
              <w:right w:val="single" w:sz="4" w:space="0" w:color="auto"/>
            </w:tcBorders>
          </w:tcPr>
          <w:p w14:paraId="041DF58E" w14:textId="77777777" w:rsidR="002F47A0" w:rsidRPr="009E686F" w:rsidRDefault="002F47A0" w:rsidP="002F47A0">
            <w:pPr>
              <w:spacing w:after="0"/>
              <w:jc w:val="both"/>
              <w:rPr>
                <w:rFonts w:ascii="Times New Roman" w:eastAsia="Aptos" w:hAnsi="Times New Roman" w:cs="Times New Roman"/>
                <w:b/>
                <w:bCs/>
                <w:kern w:val="2"/>
                <w:lang w:val="ro-MD"/>
              </w:rPr>
            </w:pPr>
          </w:p>
        </w:tc>
        <w:tc>
          <w:tcPr>
            <w:tcW w:w="470" w:type="pct"/>
            <w:tcBorders>
              <w:top w:val="single" w:sz="4" w:space="0" w:color="auto"/>
              <w:left w:val="single" w:sz="4" w:space="0" w:color="auto"/>
              <w:bottom w:val="single" w:sz="4" w:space="0" w:color="auto"/>
              <w:right w:val="single" w:sz="4" w:space="0" w:color="auto"/>
            </w:tcBorders>
          </w:tcPr>
          <w:p w14:paraId="0C62007C" w14:textId="0C9FF094"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Norme UE neaplicabile</w:t>
            </w:r>
          </w:p>
        </w:tc>
        <w:tc>
          <w:tcPr>
            <w:tcW w:w="806" w:type="pct"/>
            <w:tcBorders>
              <w:top w:val="single" w:sz="4" w:space="0" w:color="auto"/>
              <w:left w:val="single" w:sz="4" w:space="0" w:color="auto"/>
              <w:bottom w:val="single" w:sz="4" w:space="0" w:color="auto"/>
              <w:right w:val="single" w:sz="4" w:space="0" w:color="auto"/>
            </w:tcBorders>
          </w:tcPr>
          <w:p w14:paraId="26B95BDB" w14:textId="53AEA566"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Se referă la competențele ABE.</w:t>
            </w:r>
          </w:p>
        </w:tc>
      </w:tr>
      <w:tr w:rsidR="002F47A0" w:rsidRPr="009E686F" w14:paraId="1059C648" w14:textId="75819A27" w:rsidTr="00774F3E">
        <w:tc>
          <w:tcPr>
            <w:tcW w:w="1796" w:type="pct"/>
            <w:gridSpan w:val="2"/>
            <w:tcBorders>
              <w:top w:val="single" w:sz="4" w:space="0" w:color="auto"/>
              <w:left w:val="single" w:sz="4" w:space="0" w:color="auto"/>
              <w:bottom w:val="single" w:sz="4" w:space="0" w:color="auto"/>
              <w:right w:val="single" w:sz="4" w:space="0" w:color="auto"/>
            </w:tcBorders>
          </w:tcPr>
          <w:p w14:paraId="26ADF9D0" w14:textId="1F0BA7C9" w:rsidR="002F47A0" w:rsidRPr="009E686F" w:rsidRDefault="002F47A0" w:rsidP="002F47A0">
            <w:pPr>
              <w:spacing w:after="0"/>
              <w:jc w:val="both"/>
              <w:rPr>
                <w:rFonts w:ascii="Times New Roman" w:hAnsi="Times New Roman" w:cs="Times New Roman"/>
                <w:lang w:val="it-CH"/>
              </w:rPr>
            </w:pPr>
            <w:r w:rsidRPr="009E686F">
              <w:rPr>
                <w:rFonts w:ascii="Times New Roman" w:hAnsi="Times New Roman" w:cs="Times New Roman"/>
                <w:lang w:val="it-CH"/>
              </w:rPr>
              <w:t xml:space="preserve">(10) În sensul prezentului articol și al articolului 91a, ABE elaborează proiecte de standarde tehnice de reglementare pentru entitățile enumerate la alineatul (1d) de la prezentul </w:t>
            </w:r>
            <w:r w:rsidRPr="009E686F">
              <w:rPr>
                <w:rFonts w:ascii="Times New Roman" w:hAnsi="Times New Roman" w:cs="Times New Roman"/>
                <w:lang w:val="it-CH"/>
              </w:rPr>
              <w:lastRenderedPageBreak/>
              <w:t>articol pentru a detalia conținutul minim al chestionarului privind adecvarea, al curricula vitae și al evaluării interne a adecvării care trebuie transmise autorităților competente în vederea efectuării evaluării adecvării menționate la alineatul (1f) de la prezentul articol și la articolul 91a alineatul (5).</w:t>
            </w:r>
          </w:p>
          <w:p w14:paraId="2C2C8B0C" w14:textId="05C93388" w:rsidR="002F47A0" w:rsidRPr="009E686F" w:rsidRDefault="002F47A0" w:rsidP="002F47A0">
            <w:pPr>
              <w:spacing w:after="0"/>
              <w:jc w:val="both"/>
              <w:rPr>
                <w:rFonts w:ascii="Times New Roman" w:hAnsi="Times New Roman" w:cs="Times New Roman"/>
                <w:lang w:val="ro-RO"/>
              </w:rPr>
            </w:pPr>
          </w:p>
        </w:tc>
        <w:tc>
          <w:tcPr>
            <w:tcW w:w="1928" w:type="pct"/>
            <w:gridSpan w:val="3"/>
            <w:tcBorders>
              <w:top w:val="single" w:sz="4" w:space="0" w:color="auto"/>
              <w:left w:val="single" w:sz="4" w:space="0" w:color="auto"/>
              <w:bottom w:val="single" w:sz="4" w:space="0" w:color="auto"/>
              <w:right w:val="single" w:sz="4" w:space="0" w:color="auto"/>
            </w:tcBorders>
          </w:tcPr>
          <w:p w14:paraId="61585612" w14:textId="2995A246" w:rsidR="002F47A0" w:rsidRPr="009E686F" w:rsidRDefault="002F47A0" w:rsidP="002F47A0">
            <w:pPr>
              <w:spacing w:after="0"/>
              <w:jc w:val="both"/>
              <w:rPr>
                <w:rFonts w:ascii="Times New Roman" w:hAnsi="Times New Roman" w:cs="Times New Roman"/>
                <w:bCs/>
                <w:lang w:val="ro-RO"/>
              </w:rPr>
            </w:pPr>
          </w:p>
        </w:tc>
        <w:tc>
          <w:tcPr>
            <w:tcW w:w="470" w:type="pct"/>
            <w:tcBorders>
              <w:top w:val="single" w:sz="4" w:space="0" w:color="auto"/>
              <w:left w:val="single" w:sz="4" w:space="0" w:color="auto"/>
              <w:bottom w:val="single" w:sz="4" w:space="0" w:color="auto"/>
              <w:right w:val="single" w:sz="4" w:space="0" w:color="auto"/>
            </w:tcBorders>
          </w:tcPr>
          <w:p w14:paraId="14EAD77E" w14:textId="66616366"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 xml:space="preserve">Norme UE neaplicabile </w:t>
            </w:r>
          </w:p>
        </w:tc>
        <w:tc>
          <w:tcPr>
            <w:tcW w:w="806" w:type="pct"/>
            <w:tcBorders>
              <w:top w:val="single" w:sz="4" w:space="0" w:color="auto"/>
              <w:left w:val="single" w:sz="4" w:space="0" w:color="auto"/>
              <w:bottom w:val="single" w:sz="4" w:space="0" w:color="auto"/>
              <w:right w:val="single" w:sz="4" w:space="0" w:color="auto"/>
            </w:tcBorders>
          </w:tcPr>
          <w:p w14:paraId="6B7869F0" w14:textId="0180DB38"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Se referă la competențele ABE.</w:t>
            </w:r>
          </w:p>
        </w:tc>
      </w:tr>
      <w:tr w:rsidR="002F47A0" w:rsidRPr="009E686F" w14:paraId="6809CB83" w14:textId="77777777" w:rsidTr="00502E5E">
        <w:trPr>
          <w:trHeight w:val="942"/>
        </w:trPr>
        <w:tc>
          <w:tcPr>
            <w:tcW w:w="1796" w:type="pct"/>
            <w:gridSpan w:val="2"/>
            <w:tcBorders>
              <w:top w:val="single" w:sz="4" w:space="0" w:color="auto"/>
              <w:left w:val="single" w:sz="4" w:space="0" w:color="auto"/>
              <w:bottom w:val="single" w:sz="4" w:space="0" w:color="auto"/>
              <w:right w:val="single" w:sz="4" w:space="0" w:color="auto"/>
            </w:tcBorders>
          </w:tcPr>
          <w:p w14:paraId="499CA8FE" w14:textId="667FD7DB" w:rsidR="002F47A0" w:rsidRPr="009E686F" w:rsidRDefault="002F47A0" w:rsidP="002F47A0">
            <w:pPr>
              <w:spacing w:after="0"/>
              <w:jc w:val="both"/>
              <w:rPr>
                <w:rFonts w:ascii="Times New Roman" w:hAnsi="Times New Roman" w:cs="Times New Roman"/>
                <w:lang w:val="it-CH"/>
              </w:rPr>
            </w:pPr>
            <w:r w:rsidRPr="009E686F">
              <w:rPr>
                <w:rFonts w:ascii="Times New Roman" w:hAnsi="Times New Roman" w:cs="Times New Roman"/>
                <w:lang w:val="it-CH"/>
              </w:rPr>
              <w:t>Statele membre se asigură că sunt elaborate standarde adecvate pentru alte entități decât cele menționate la alineatul (1d) de la prezentul articol.</w:t>
            </w:r>
          </w:p>
        </w:tc>
        <w:tc>
          <w:tcPr>
            <w:tcW w:w="1928" w:type="pct"/>
            <w:gridSpan w:val="3"/>
            <w:tcBorders>
              <w:top w:val="single" w:sz="4" w:space="0" w:color="auto"/>
              <w:left w:val="single" w:sz="4" w:space="0" w:color="auto"/>
              <w:bottom w:val="single" w:sz="4" w:space="0" w:color="auto"/>
              <w:right w:val="single" w:sz="4" w:space="0" w:color="auto"/>
            </w:tcBorders>
          </w:tcPr>
          <w:p w14:paraId="059D19BD" w14:textId="77777777" w:rsidR="002F47A0" w:rsidRPr="009E686F" w:rsidRDefault="002F47A0" w:rsidP="002F47A0">
            <w:pPr>
              <w:spacing w:after="0"/>
              <w:jc w:val="both"/>
              <w:rPr>
                <w:rFonts w:ascii="Times New Roman" w:hAnsi="Times New Roman" w:cs="Times New Roman"/>
                <w:b/>
                <w:bCs/>
                <w:lang w:val="ro-RO"/>
              </w:rPr>
            </w:pPr>
            <w:r w:rsidRPr="009E686F">
              <w:rPr>
                <w:rFonts w:ascii="Times New Roman" w:hAnsi="Times New Roman" w:cs="Times New Roman"/>
                <w:b/>
                <w:bCs/>
                <w:lang w:val="ro-RO"/>
              </w:rPr>
              <w:t>Articolul 43 alin. (5)</w:t>
            </w:r>
          </w:p>
          <w:p w14:paraId="1A0BEB39" w14:textId="76F10867" w:rsidR="002F47A0" w:rsidRPr="009E686F" w:rsidRDefault="002F47A0" w:rsidP="002F47A0">
            <w:pPr>
              <w:spacing w:after="0"/>
              <w:jc w:val="both"/>
              <w:rPr>
                <w:rFonts w:ascii="Times New Roman" w:hAnsi="Times New Roman" w:cs="Times New Roman"/>
                <w:b/>
                <w:bCs/>
                <w:lang w:val="ro-RO"/>
              </w:rPr>
            </w:pPr>
            <w:r w:rsidRPr="009E686F">
              <w:rPr>
                <w:rFonts w:ascii="Times New Roman" w:hAnsi="Times New Roman" w:cs="Times New Roman"/>
                <w:i/>
                <w:iCs/>
                <w:lang w:val="it-CH"/>
              </w:rPr>
              <w:t xml:space="preserve">(5) Fiecare dintre </w:t>
            </w:r>
            <w:r w:rsidRPr="009E686F">
              <w:rPr>
                <w:rFonts w:ascii="Times New Roman" w:hAnsi="Times New Roman" w:cs="Times New Roman"/>
                <w:b/>
                <w:bCs/>
                <w:i/>
                <w:iCs/>
                <w:lang w:val="it-CH"/>
              </w:rPr>
              <w:t>persoanele prevăzute la alin. (1</w:t>
            </w:r>
            <w:r w:rsidRPr="009E686F">
              <w:rPr>
                <w:rFonts w:ascii="Times New Roman" w:hAnsi="Times New Roman" w:cs="Times New Roman"/>
                <w:i/>
                <w:iCs/>
                <w:lang w:val="it-CH"/>
              </w:rPr>
              <w:t>), precum și persoanele menționate la alin. (7) trebuie să fie aprobată de Banca Naţională a Moldovei înainte de începerea exercitării atribuțiilor sau, după numirea în funcţie, Banca Naţională a Moldovei să fie notificată conform art. 119 alin. (2), în condițiile stabilite de actele normative emise în aplicarea prezentei legi.</w:t>
            </w:r>
          </w:p>
        </w:tc>
        <w:tc>
          <w:tcPr>
            <w:tcW w:w="470" w:type="pct"/>
            <w:tcBorders>
              <w:top w:val="single" w:sz="4" w:space="0" w:color="auto"/>
              <w:left w:val="single" w:sz="4" w:space="0" w:color="auto"/>
              <w:bottom w:val="single" w:sz="4" w:space="0" w:color="auto"/>
              <w:right w:val="single" w:sz="4" w:space="0" w:color="auto"/>
            </w:tcBorders>
          </w:tcPr>
          <w:p w14:paraId="05AF3B85" w14:textId="29CE0EDD"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p w14:paraId="564BA01B" w14:textId="77777777" w:rsidR="002F47A0" w:rsidRPr="009E686F" w:rsidRDefault="002F47A0" w:rsidP="002F47A0">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2E4A00B4" w14:textId="77777777" w:rsidR="002F47A0" w:rsidRPr="009E686F" w:rsidRDefault="002F47A0" w:rsidP="002F47A0">
            <w:pPr>
              <w:jc w:val="both"/>
              <w:rPr>
                <w:rFonts w:ascii="Times New Roman" w:hAnsi="Times New Roman" w:cs="Times New Roman"/>
                <w:lang w:val="ro-RO"/>
              </w:rPr>
            </w:pPr>
          </w:p>
        </w:tc>
      </w:tr>
      <w:tr w:rsidR="002F47A0" w:rsidRPr="009E686F" w14:paraId="5A7AD2CD"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02F16BF8" w14:textId="77777777" w:rsidR="002F47A0" w:rsidRPr="009E686F" w:rsidRDefault="002F47A0" w:rsidP="002F47A0">
            <w:pPr>
              <w:spacing w:after="0"/>
              <w:jc w:val="both"/>
              <w:rPr>
                <w:rFonts w:ascii="Times New Roman" w:hAnsi="Times New Roman" w:cs="Times New Roman"/>
                <w:lang w:val="it-CH"/>
              </w:rPr>
            </w:pPr>
            <w:r w:rsidRPr="009E686F">
              <w:rPr>
                <w:rFonts w:ascii="Times New Roman" w:hAnsi="Times New Roman" w:cs="Times New Roman"/>
                <w:lang w:val="it-CH"/>
              </w:rPr>
              <w:t xml:space="preserve">ABE înaintează Comisiei proiectele de standarde tehnice de reglementare menționate la primul paragraf până la 10 iulie 2026. </w:t>
            </w:r>
          </w:p>
          <w:p w14:paraId="6E70FC6F" w14:textId="77777777" w:rsidR="002F47A0" w:rsidRPr="009E686F" w:rsidRDefault="002F47A0" w:rsidP="002F47A0">
            <w:pPr>
              <w:spacing w:after="0"/>
              <w:jc w:val="both"/>
              <w:rPr>
                <w:rFonts w:ascii="Times New Roman" w:hAnsi="Times New Roman" w:cs="Times New Roman"/>
                <w:lang w:val="it-CH"/>
              </w:rPr>
            </w:pPr>
          </w:p>
        </w:tc>
        <w:tc>
          <w:tcPr>
            <w:tcW w:w="1928" w:type="pct"/>
            <w:gridSpan w:val="3"/>
            <w:tcBorders>
              <w:top w:val="single" w:sz="4" w:space="0" w:color="auto"/>
              <w:left w:val="single" w:sz="4" w:space="0" w:color="auto"/>
              <w:bottom w:val="single" w:sz="4" w:space="0" w:color="auto"/>
              <w:right w:val="single" w:sz="4" w:space="0" w:color="auto"/>
            </w:tcBorders>
          </w:tcPr>
          <w:p w14:paraId="7F9130FF" w14:textId="77777777" w:rsidR="002F47A0" w:rsidRPr="009E686F" w:rsidRDefault="002F47A0" w:rsidP="002F47A0">
            <w:pPr>
              <w:spacing w:after="0"/>
              <w:jc w:val="both"/>
              <w:rPr>
                <w:rFonts w:ascii="Times New Roman" w:hAnsi="Times New Roman" w:cs="Times New Roman"/>
                <w:lang w:val="ro-RO"/>
              </w:rPr>
            </w:pPr>
          </w:p>
        </w:tc>
        <w:tc>
          <w:tcPr>
            <w:tcW w:w="470" w:type="pct"/>
            <w:tcBorders>
              <w:top w:val="single" w:sz="4" w:space="0" w:color="auto"/>
              <w:left w:val="single" w:sz="4" w:space="0" w:color="auto"/>
              <w:bottom w:val="single" w:sz="4" w:space="0" w:color="auto"/>
              <w:right w:val="single" w:sz="4" w:space="0" w:color="auto"/>
            </w:tcBorders>
          </w:tcPr>
          <w:p w14:paraId="00119E74" w14:textId="052BA539"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Norme UE neaplicabile</w:t>
            </w:r>
          </w:p>
        </w:tc>
        <w:tc>
          <w:tcPr>
            <w:tcW w:w="806" w:type="pct"/>
            <w:tcBorders>
              <w:top w:val="single" w:sz="4" w:space="0" w:color="auto"/>
              <w:left w:val="single" w:sz="4" w:space="0" w:color="auto"/>
              <w:bottom w:val="single" w:sz="4" w:space="0" w:color="auto"/>
              <w:right w:val="single" w:sz="4" w:space="0" w:color="auto"/>
            </w:tcBorders>
          </w:tcPr>
          <w:p w14:paraId="3EF86656" w14:textId="2C286D9A"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Se referă la competențele ABE.</w:t>
            </w:r>
          </w:p>
        </w:tc>
      </w:tr>
      <w:tr w:rsidR="002F47A0" w:rsidRPr="009E686F" w14:paraId="436A7599"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1AB5BF73" w14:textId="192FC250" w:rsidR="002F47A0" w:rsidRPr="009E686F" w:rsidRDefault="002F47A0" w:rsidP="002F47A0">
            <w:pPr>
              <w:spacing w:after="0"/>
              <w:jc w:val="both"/>
              <w:rPr>
                <w:rFonts w:ascii="Times New Roman" w:hAnsi="Times New Roman" w:cs="Times New Roman"/>
                <w:lang w:val="it-CH"/>
              </w:rPr>
            </w:pPr>
            <w:r w:rsidRPr="009E686F">
              <w:rPr>
                <w:rFonts w:ascii="Times New Roman" w:hAnsi="Times New Roman" w:cs="Times New Roman"/>
                <w:lang w:val="it-CH"/>
              </w:rPr>
              <w:t>Comisiei îi este delegată competența de a completa prezenta directivă prin adoptarea standardelor tehnice de reglementare menționate la primul paragraf de la prezentul alineat în conformitate cu articolele 10-14 din Regulamentul (UE) nr. 1093/2010.</w:t>
            </w:r>
          </w:p>
        </w:tc>
        <w:tc>
          <w:tcPr>
            <w:tcW w:w="1928" w:type="pct"/>
            <w:gridSpan w:val="3"/>
            <w:tcBorders>
              <w:top w:val="single" w:sz="4" w:space="0" w:color="auto"/>
              <w:left w:val="single" w:sz="4" w:space="0" w:color="auto"/>
              <w:bottom w:val="single" w:sz="4" w:space="0" w:color="auto"/>
              <w:right w:val="single" w:sz="4" w:space="0" w:color="auto"/>
            </w:tcBorders>
          </w:tcPr>
          <w:p w14:paraId="497E6090" w14:textId="77777777" w:rsidR="002F47A0" w:rsidRPr="009E686F" w:rsidRDefault="002F47A0" w:rsidP="002F47A0">
            <w:pPr>
              <w:spacing w:after="0"/>
              <w:jc w:val="both"/>
              <w:rPr>
                <w:rFonts w:ascii="Times New Roman" w:hAnsi="Times New Roman" w:cs="Times New Roman"/>
                <w:lang w:val="ro-RO"/>
              </w:rPr>
            </w:pPr>
          </w:p>
        </w:tc>
        <w:tc>
          <w:tcPr>
            <w:tcW w:w="470" w:type="pct"/>
            <w:tcBorders>
              <w:top w:val="single" w:sz="4" w:space="0" w:color="auto"/>
              <w:left w:val="single" w:sz="4" w:space="0" w:color="auto"/>
              <w:bottom w:val="single" w:sz="4" w:space="0" w:color="auto"/>
              <w:right w:val="single" w:sz="4" w:space="0" w:color="auto"/>
            </w:tcBorders>
          </w:tcPr>
          <w:p w14:paraId="104B6096" w14:textId="766E22AB"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Norme UE neaplicabile</w:t>
            </w:r>
          </w:p>
        </w:tc>
        <w:tc>
          <w:tcPr>
            <w:tcW w:w="806" w:type="pct"/>
            <w:tcBorders>
              <w:top w:val="single" w:sz="4" w:space="0" w:color="auto"/>
              <w:left w:val="single" w:sz="4" w:space="0" w:color="auto"/>
              <w:bottom w:val="single" w:sz="4" w:space="0" w:color="auto"/>
              <w:right w:val="single" w:sz="4" w:space="0" w:color="auto"/>
            </w:tcBorders>
          </w:tcPr>
          <w:p w14:paraId="36C52007" w14:textId="0755A984"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Se referă la competențele Comiei Europene.</w:t>
            </w:r>
          </w:p>
        </w:tc>
      </w:tr>
      <w:tr w:rsidR="002F47A0" w:rsidRPr="009E686F" w14:paraId="6215014F" w14:textId="126F27BF" w:rsidTr="00774F3E">
        <w:tc>
          <w:tcPr>
            <w:tcW w:w="1796" w:type="pct"/>
            <w:gridSpan w:val="2"/>
            <w:tcBorders>
              <w:top w:val="single" w:sz="4" w:space="0" w:color="auto"/>
              <w:left w:val="single" w:sz="4" w:space="0" w:color="auto"/>
              <w:bottom w:val="single" w:sz="4" w:space="0" w:color="auto"/>
              <w:right w:val="single" w:sz="4" w:space="0" w:color="auto"/>
            </w:tcBorders>
          </w:tcPr>
          <w:p w14:paraId="328AA755"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(11) Până la 10 iulie 2026, ABE emite ghiduri, în conformitate cu articolul 16 din Regulamentul (UE) nr. 1093/2010, în legătură cu următoarele:</w:t>
            </w:r>
          </w:p>
          <w:p w14:paraId="62C0B9F5"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 xml:space="preserve"> (a) noțiunea de dedicare a unui timp suficient de către un membru al organului de conducere pentru îndeplinirea funcțiilor sale, în raport cu circumstanțele specifice și natura, amploarea și complexitatea activităților entității; </w:t>
            </w:r>
          </w:p>
          <w:p w14:paraId="32210DDF"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lastRenderedPageBreak/>
              <w:t xml:space="preserve">(b) noțiunile de bună reputație, onestitate, integritate și gândire independentă ale unui membru al organului de conducere, astfel cum sunt menționate la alineatul (2a); </w:t>
            </w:r>
          </w:p>
          <w:p w14:paraId="4E868708"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 xml:space="preserve">(c) noțiunea de deținere de către organul de conducere la nivel colectiv de cunoștințe, competențe și experiență adecvate, astfel cum este menționată la alineatul (2b); </w:t>
            </w:r>
          </w:p>
          <w:p w14:paraId="3714AF09"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 xml:space="preserve">(d) noțiunea de alocare de resurse umane și financiare adecvate pentru integrarea și instruirea membrilor organului de conducere, astfel cum este menționată la alineatul (7); </w:t>
            </w:r>
          </w:p>
          <w:p w14:paraId="1D1FB5AB"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 xml:space="preserve">(e) noțiunea de luare în considerare a diversității la selectarea membrilor organului de conducere, astfel cum este menționată la alineatul (8); </w:t>
            </w:r>
          </w:p>
          <w:p w14:paraId="7E2F31FA"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(f) criteriile pentru a stabili dacă există motive întemeiate de a suspecta că se săvârșește sau s-a săvârșit o faptă ori o tentativă de spălare de bani sau de finanțare a terorismului în sensul articolului 1 din Directiva (UE) 2015/849 sau că există un risc crescut în acest sens în legătură cu entitatea.</w:t>
            </w:r>
          </w:p>
          <w:p w14:paraId="542E496E" w14:textId="628EA76C"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 xml:space="preserve"> În sensul primului paragraf litera (f), ABE cooperează îndeaproape cu ESMA și cu Autoritatea pentru Combaterea Spălării Banilor și a Finanțării Terorismului.</w:t>
            </w:r>
            <w:r w:rsidRPr="009E686F" w:rsidDel="00F86394">
              <w:rPr>
                <w:rFonts w:ascii="Times New Roman" w:hAnsi="Times New Roman" w:cs="Times New Roman"/>
                <w:lang w:val="ro-RO"/>
              </w:rPr>
              <w:t xml:space="preserve"> </w:t>
            </w:r>
          </w:p>
        </w:tc>
        <w:tc>
          <w:tcPr>
            <w:tcW w:w="1928" w:type="pct"/>
            <w:gridSpan w:val="3"/>
            <w:tcBorders>
              <w:top w:val="single" w:sz="4" w:space="0" w:color="auto"/>
              <w:left w:val="single" w:sz="4" w:space="0" w:color="auto"/>
              <w:bottom w:val="single" w:sz="4" w:space="0" w:color="auto"/>
              <w:right w:val="single" w:sz="4" w:space="0" w:color="auto"/>
            </w:tcBorders>
          </w:tcPr>
          <w:p w14:paraId="0EDDEBE9" w14:textId="3F0F614D"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lastRenderedPageBreak/>
              <w:t>(4) Banca Naținală a Moldovei colectează informațiile publicate în conformitate cu actele normative emise de aceasta referitoare la  diversitatea calităților și competențelor în procesul de selecție a  membrilor organului  de conducere al</w:t>
            </w:r>
            <w:r w:rsidR="00502B91" w:rsidRPr="009E686F">
              <w:rPr>
                <w:rFonts w:ascii="Times New Roman" w:hAnsi="Times New Roman" w:cs="Times New Roman"/>
                <w:i/>
                <w:iCs/>
                <w:lang w:val="ro-RO"/>
              </w:rPr>
              <w:t>instituții de credit</w:t>
            </w:r>
            <w:r w:rsidRPr="009E686F">
              <w:rPr>
                <w:rFonts w:ascii="Times New Roman" w:hAnsi="Times New Roman" w:cs="Times New Roman"/>
                <w:lang w:val="ro-RO"/>
              </w:rPr>
              <w:t xml:space="preserve">  și le utilizează pentru a compara practicile în materie de diversitate a selecției acestora la nivelul sistemului bancar din Republica Moldova.</w:t>
            </w:r>
          </w:p>
        </w:tc>
        <w:tc>
          <w:tcPr>
            <w:tcW w:w="470" w:type="pct"/>
            <w:tcBorders>
              <w:top w:val="single" w:sz="4" w:space="0" w:color="auto"/>
              <w:left w:val="single" w:sz="4" w:space="0" w:color="auto"/>
              <w:bottom w:val="single" w:sz="4" w:space="0" w:color="auto"/>
              <w:right w:val="single" w:sz="4" w:space="0" w:color="auto"/>
            </w:tcBorders>
          </w:tcPr>
          <w:p w14:paraId="72AFFA0C" w14:textId="438AF5F1"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p w14:paraId="6418853C" w14:textId="77777777" w:rsidR="002F47A0" w:rsidRPr="009E686F" w:rsidRDefault="002F47A0" w:rsidP="002F47A0">
            <w:pPr>
              <w:jc w:val="both"/>
              <w:rPr>
                <w:rFonts w:ascii="Times New Roman" w:hAnsi="Times New Roman" w:cs="Times New Roman"/>
                <w:lang w:val="ro-RO"/>
              </w:rPr>
            </w:pPr>
          </w:p>
          <w:p w14:paraId="1BBC37C6" w14:textId="77777777" w:rsidR="002F47A0" w:rsidRPr="009E686F" w:rsidRDefault="002F47A0" w:rsidP="002F47A0">
            <w:pPr>
              <w:jc w:val="both"/>
              <w:rPr>
                <w:rFonts w:ascii="Times New Roman" w:hAnsi="Times New Roman" w:cs="Times New Roman"/>
                <w:lang w:val="ro-RO"/>
              </w:rPr>
            </w:pPr>
          </w:p>
          <w:p w14:paraId="1EB46CC4" w14:textId="77777777" w:rsidR="002F47A0" w:rsidRPr="009E686F" w:rsidRDefault="002F47A0" w:rsidP="002F47A0">
            <w:pPr>
              <w:jc w:val="both"/>
              <w:rPr>
                <w:rFonts w:ascii="Times New Roman" w:hAnsi="Times New Roman" w:cs="Times New Roman"/>
                <w:lang w:val="ro-RO"/>
              </w:rPr>
            </w:pPr>
          </w:p>
          <w:p w14:paraId="0ABD59C6" w14:textId="77777777" w:rsidR="002F47A0" w:rsidRPr="009E686F" w:rsidRDefault="002F47A0" w:rsidP="002F47A0">
            <w:pPr>
              <w:jc w:val="both"/>
              <w:rPr>
                <w:rFonts w:ascii="Times New Roman" w:hAnsi="Times New Roman" w:cs="Times New Roman"/>
                <w:lang w:val="ro-RO"/>
              </w:rPr>
            </w:pPr>
          </w:p>
          <w:p w14:paraId="0112BE5A" w14:textId="77777777" w:rsidR="002F47A0" w:rsidRPr="009E686F" w:rsidRDefault="002F47A0" w:rsidP="002F47A0">
            <w:pPr>
              <w:jc w:val="both"/>
              <w:rPr>
                <w:rFonts w:ascii="Times New Roman" w:hAnsi="Times New Roman" w:cs="Times New Roman"/>
                <w:lang w:val="ro-RO"/>
              </w:rPr>
            </w:pPr>
          </w:p>
          <w:p w14:paraId="1D29A7BF" w14:textId="281A5B6C" w:rsidR="002F47A0" w:rsidRPr="009E686F" w:rsidRDefault="002F47A0" w:rsidP="002F47A0">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5BDBD9E3" w14:textId="77777777" w:rsidR="002F47A0" w:rsidRPr="009E686F" w:rsidRDefault="002F47A0" w:rsidP="002F47A0">
            <w:pPr>
              <w:jc w:val="both"/>
              <w:rPr>
                <w:rFonts w:ascii="Times New Roman" w:hAnsi="Times New Roman" w:cs="Times New Roman"/>
                <w:lang w:val="ro-RO"/>
              </w:rPr>
            </w:pPr>
          </w:p>
        </w:tc>
      </w:tr>
      <w:tr w:rsidR="002F47A0" w:rsidRPr="009E686F" w14:paraId="30514600" w14:textId="3C3F8689" w:rsidTr="00774F3E">
        <w:tc>
          <w:tcPr>
            <w:tcW w:w="1796" w:type="pct"/>
            <w:gridSpan w:val="2"/>
            <w:tcBorders>
              <w:top w:val="single" w:sz="4" w:space="0" w:color="auto"/>
              <w:left w:val="single" w:sz="4" w:space="0" w:color="auto"/>
              <w:bottom w:val="single" w:sz="4" w:space="0" w:color="auto"/>
              <w:right w:val="single" w:sz="4" w:space="0" w:color="auto"/>
            </w:tcBorders>
          </w:tcPr>
          <w:p w14:paraId="57C8423E" w14:textId="78581180"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(12) Până la 31 decembrie 2029, ABE, în strânsă cooperare cu BCE, examinează aplicarea alineatelor (1d)-(1j) și eficacitatea acestora în asigurarea faptului că respectivul cadru în materie de evaluare a adecvării este adecvat scopului și raportează cu privire la aceste aspecte, ținând seama de principiul proporționalității. ABE transmite raportul respectiv Parlamentului European și Consiliului. Pe baza raportului respectiv, Comisia prezintă o propunere legislativă, dacă este cazul.</w:t>
            </w:r>
          </w:p>
        </w:tc>
        <w:tc>
          <w:tcPr>
            <w:tcW w:w="1928" w:type="pct"/>
            <w:gridSpan w:val="3"/>
            <w:tcBorders>
              <w:top w:val="single" w:sz="4" w:space="0" w:color="auto"/>
              <w:left w:val="single" w:sz="4" w:space="0" w:color="auto"/>
              <w:bottom w:val="single" w:sz="4" w:space="0" w:color="auto"/>
              <w:right w:val="single" w:sz="4" w:space="0" w:color="auto"/>
            </w:tcBorders>
          </w:tcPr>
          <w:p w14:paraId="40CF4C4D" w14:textId="77777777" w:rsidR="002F47A0" w:rsidRPr="009E686F" w:rsidRDefault="002F47A0" w:rsidP="002F47A0">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7109D397" w14:textId="4B6A2261"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Norme UE neaplicabile</w:t>
            </w:r>
          </w:p>
          <w:p w14:paraId="6BAEE9EE" w14:textId="689719A2" w:rsidR="002F47A0" w:rsidRPr="009E686F" w:rsidRDefault="002F47A0" w:rsidP="002F47A0">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49524190" w14:textId="47D8B422"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Se referă la competențele ABE.</w:t>
            </w:r>
          </w:p>
        </w:tc>
      </w:tr>
      <w:tr w:rsidR="002F47A0" w:rsidRPr="009E686F" w14:paraId="0998B6E8"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7366B445" w14:textId="5FF059EC" w:rsidR="002F47A0" w:rsidRPr="009E686F" w:rsidDel="00F86394"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lastRenderedPageBreak/>
              <w:t>(13) Prezentul articol și articolul 91a nu aduc atingere dispozițiilor statelor membre referitoare la reprezentarea angajaților în cadrul organului de conducere.</w:t>
            </w:r>
          </w:p>
        </w:tc>
        <w:tc>
          <w:tcPr>
            <w:tcW w:w="1928" w:type="pct"/>
            <w:gridSpan w:val="3"/>
            <w:tcBorders>
              <w:top w:val="single" w:sz="4" w:space="0" w:color="auto"/>
              <w:left w:val="single" w:sz="4" w:space="0" w:color="auto"/>
              <w:bottom w:val="single" w:sz="4" w:space="0" w:color="auto"/>
              <w:right w:val="single" w:sz="4" w:space="0" w:color="auto"/>
            </w:tcBorders>
          </w:tcPr>
          <w:p w14:paraId="4FF5362A" w14:textId="310EEE33" w:rsidR="002F47A0" w:rsidRPr="009E686F" w:rsidRDefault="002F47A0" w:rsidP="002F47A0">
            <w:pPr>
              <w:spacing w:after="0"/>
              <w:jc w:val="both"/>
              <w:rPr>
                <w:rFonts w:ascii="Times New Roman" w:eastAsia="Aptos" w:hAnsi="Times New Roman" w:cs="Times New Roman"/>
                <w:b/>
                <w:bCs/>
                <w:kern w:val="2"/>
                <w:lang w:val="ro-MD"/>
              </w:rPr>
            </w:pPr>
            <w:r w:rsidRPr="009E686F">
              <w:rPr>
                <w:rFonts w:ascii="Times New Roman" w:eastAsia="Aptos" w:hAnsi="Times New Roman" w:cs="Times New Roman"/>
                <w:b/>
                <w:bCs/>
                <w:kern w:val="2"/>
                <w:lang w:val="ro-MD"/>
              </w:rPr>
              <w:t>Articolul 43</w:t>
            </w:r>
            <w:r w:rsidRPr="009E686F">
              <w:rPr>
                <w:rFonts w:ascii="Times New Roman" w:eastAsia="Aptos" w:hAnsi="Times New Roman" w:cs="Times New Roman"/>
                <w:b/>
                <w:bCs/>
                <w:kern w:val="2"/>
                <w:vertAlign w:val="superscript"/>
                <w:lang w:val="ro-MD"/>
              </w:rPr>
              <w:t>1</w:t>
            </w:r>
            <w:r w:rsidRPr="009E686F">
              <w:rPr>
                <w:rFonts w:ascii="Times New Roman" w:eastAsia="Aptos" w:hAnsi="Times New Roman" w:cs="Times New Roman"/>
                <w:b/>
                <w:bCs/>
                <w:kern w:val="2"/>
                <w:lang w:val="ro-MD"/>
              </w:rPr>
              <w:t xml:space="preserve"> alin. (15)</w:t>
            </w:r>
          </w:p>
          <w:p w14:paraId="62F4FFA8" w14:textId="1556F25D" w:rsidR="002F47A0" w:rsidRPr="009E686F" w:rsidRDefault="002F47A0" w:rsidP="002F47A0">
            <w:pPr>
              <w:spacing w:after="0"/>
              <w:jc w:val="both"/>
              <w:rPr>
                <w:rFonts w:ascii="Times New Roman" w:eastAsia="Aptos" w:hAnsi="Times New Roman" w:cs="Times New Roman"/>
                <w:b/>
                <w:i/>
                <w:kern w:val="2"/>
                <w:lang w:val="ro-MD"/>
              </w:rPr>
            </w:pPr>
            <w:r w:rsidRPr="009E686F">
              <w:rPr>
                <w:rFonts w:ascii="Times New Roman" w:eastAsia="Aptos" w:hAnsi="Times New Roman" w:cs="Times New Roman"/>
                <w:i/>
                <w:kern w:val="2"/>
                <w:lang w:val="ro-MD"/>
              </w:rPr>
              <w:t>(</w:t>
            </w:r>
            <w:r w:rsidRPr="009E686F">
              <w:rPr>
                <w:rFonts w:ascii="Times New Roman" w:eastAsia="Aptos" w:hAnsi="Times New Roman" w:cs="Times New Roman"/>
                <w:i/>
                <w:iCs/>
                <w:kern w:val="2"/>
                <w:lang w:val="ro-MD"/>
              </w:rPr>
              <w:t>15</w:t>
            </w:r>
            <w:r w:rsidRPr="009E686F">
              <w:rPr>
                <w:rFonts w:ascii="Times New Roman" w:eastAsia="Aptos" w:hAnsi="Times New Roman" w:cs="Times New Roman"/>
                <w:i/>
                <w:kern w:val="2"/>
                <w:lang w:val="ro-MD"/>
              </w:rPr>
              <w:t>) Prevederile art. 43</w:t>
            </w:r>
            <w:r w:rsidRPr="009E686F">
              <w:rPr>
                <w:rFonts w:ascii="Times New Roman" w:eastAsia="Aptos" w:hAnsi="Times New Roman" w:cs="Times New Roman"/>
                <w:i/>
                <w:kern w:val="2"/>
                <w:vertAlign w:val="superscript"/>
                <w:lang w:val="ro-MD"/>
              </w:rPr>
              <w:t xml:space="preserve"> </w:t>
            </w:r>
            <w:r w:rsidRPr="009E686F">
              <w:rPr>
                <w:rFonts w:ascii="Times New Roman" w:eastAsia="Aptos" w:hAnsi="Times New Roman" w:cs="Times New Roman"/>
                <w:i/>
                <w:kern w:val="2"/>
                <w:lang w:val="ro-MD"/>
              </w:rPr>
              <w:t>și ale prezentului articol nu aduc atingere prevederilor legislației referitoare la reprezentarea salariaților în cadrul organului de conducere.</w:t>
            </w:r>
          </w:p>
          <w:p w14:paraId="23B29B70" w14:textId="77777777" w:rsidR="002F47A0" w:rsidRPr="009E686F" w:rsidRDefault="002F47A0" w:rsidP="002F47A0">
            <w:pPr>
              <w:spacing w:after="0"/>
              <w:jc w:val="both"/>
              <w:rPr>
                <w:rFonts w:ascii="Times New Roman" w:hAnsi="Times New Roman" w:cs="Times New Roman"/>
                <w:lang w:val="ro-RO"/>
              </w:rPr>
            </w:pPr>
          </w:p>
        </w:tc>
        <w:tc>
          <w:tcPr>
            <w:tcW w:w="470" w:type="pct"/>
            <w:tcBorders>
              <w:top w:val="single" w:sz="4" w:space="0" w:color="auto"/>
              <w:left w:val="single" w:sz="4" w:space="0" w:color="auto"/>
              <w:bottom w:val="single" w:sz="4" w:space="0" w:color="auto"/>
              <w:right w:val="single" w:sz="4" w:space="0" w:color="auto"/>
            </w:tcBorders>
          </w:tcPr>
          <w:p w14:paraId="1601D1FC" w14:textId="02D68049"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5EE17029" w14:textId="77777777" w:rsidR="002F47A0" w:rsidRPr="009E686F" w:rsidRDefault="002F47A0" w:rsidP="002F47A0">
            <w:pPr>
              <w:jc w:val="both"/>
              <w:rPr>
                <w:rFonts w:ascii="Times New Roman" w:hAnsi="Times New Roman" w:cs="Times New Roman"/>
                <w:lang w:val="ro-RO"/>
              </w:rPr>
            </w:pPr>
          </w:p>
        </w:tc>
      </w:tr>
      <w:tr w:rsidR="002F47A0" w:rsidRPr="009E686F" w14:paraId="4C100D9F"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2D2CAE67" w14:textId="6B7995AD"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(14) Prezentul articol și articolul 91a nu aduc atingere dispozițiilor statelor membre privind numirea membrilor organului de conducere în funcția sa de supraveghere de către organele alese la nivel regional sau local sau privind numirile în cazul cărora organul de conducere nu are nicio competență în procesul de selecție și numire a membrilor săi. În aceste cazuri, se instituie garanții adecvate pentru a asigura adecvarea acestor membri ai organului de conducere.</w:t>
            </w:r>
          </w:p>
        </w:tc>
        <w:tc>
          <w:tcPr>
            <w:tcW w:w="1928" w:type="pct"/>
            <w:gridSpan w:val="3"/>
            <w:tcBorders>
              <w:top w:val="single" w:sz="4" w:space="0" w:color="auto"/>
              <w:left w:val="single" w:sz="4" w:space="0" w:color="auto"/>
              <w:bottom w:val="single" w:sz="4" w:space="0" w:color="auto"/>
              <w:right w:val="single" w:sz="4" w:space="0" w:color="auto"/>
            </w:tcBorders>
          </w:tcPr>
          <w:p w14:paraId="6A653F2F" w14:textId="77777777" w:rsidR="002F47A0" w:rsidRPr="009E686F" w:rsidRDefault="002F47A0" w:rsidP="002F47A0">
            <w:pPr>
              <w:spacing w:after="0"/>
              <w:jc w:val="both"/>
              <w:rPr>
                <w:rFonts w:ascii="Times New Roman" w:hAnsi="Times New Roman" w:cs="Times New Roman"/>
                <w:lang w:val="ro-RO"/>
              </w:rPr>
            </w:pPr>
          </w:p>
        </w:tc>
        <w:tc>
          <w:tcPr>
            <w:tcW w:w="470" w:type="pct"/>
            <w:tcBorders>
              <w:top w:val="single" w:sz="4" w:space="0" w:color="auto"/>
              <w:left w:val="single" w:sz="4" w:space="0" w:color="auto"/>
              <w:bottom w:val="single" w:sz="4" w:space="0" w:color="auto"/>
              <w:right w:val="single" w:sz="4" w:space="0" w:color="auto"/>
            </w:tcBorders>
          </w:tcPr>
          <w:p w14:paraId="4935EE47" w14:textId="1BCC39A5"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Norme UE neaplicabile</w:t>
            </w:r>
          </w:p>
        </w:tc>
        <w:tc>
          <w:tcPr>
            <w:tcW w:w="806" w:type="pct"/>
            <w:tcBorders>
              <w:top w:val="single" w:sz="4" w:space="0" w:color="auto"/>
              <w:left w:val="single" w:sz="4" w:space="0" w:color="auto"/>
              <w:bottom w:val="single" w:sz="4" w:space="0" w:color="auto"/>
              <w:right w:val="single" w:sz="4" w:space="0" w:color="auto"/>
            </w:tcBorders>
          </w:tcPr>
          <w:p w14:paraId="3502EB77" w14:textId="5013936B"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Nu este cazul pentru Republica Moldova.</w:t>
            </w:r>
          </w:p>
        </w:tc>
      </w:tr>
      <w:tr w:rsidR="002F47A0" w:rsidRPr="009E686F" w14:paraId="5667A04D"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0057B588" w14:textId="77777777" w:rsidR="002F47A0" w:rsidRPr="009E686F" w:rsidRDefault="002F47A0" w:rsidP="002F47A0">
            <w:pPr>
              <w:spacing w:after="0"/>
              <w:jc w:val="both"/>
              <w:rPr>
                <w:rFonts w:ascii="Times New Roman" w:hAnsi="Times New Roman" w:cs="Times New Roman"/>
                <w:i/>
                <w:iCs/>
                <w:lang w:val="ro-RO"/>
              </w:rPr>
            </w:pPr>
            <w:r w:rsidRPr="009E686F">
              <w:rPr>
                <w:rFonts w:ascii="Times New Roman" w:hAnsi="Times New Roman" w:cs="Times New Roman"/>
                <w:i/>
                <w:lang w:val="ro-RO"/>
              </w:rPr>
              <w:t xml:space="preserve">Articolul 91a </w:t>
            </w:r>
          </w:p>
          <w:p w14:paraId="1A67D627" w14:textId="6C93E226"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Persoane care dețin funcții-cheie și evaluarea adecvării</w:t>
            </w:r>
          </w:p>
        </w:tc>
        <w:tc>
          <w:tcPr>
            <w:tcW w:w="1928" w:type="pct"/>
            <w:gridSpan w:val="3"/>
            <w:tcBorders>
              <w:top w:val="single" w:sz="4" w:space="0" w:color="auto"/>
              <w:left w:val="single" w:sz="4" w:space="0" w:color="auto"/>
              <w:bottom w:val="single" w:sz="4" w:space="0" w:color="auto"/>
              <w:right w:val="single" w:sz="4" w:space="0" w:color="auto"/>
            </w:tcBorders>
          </w:tcPr>
          <w:p w14:paraId="3F0EFBDD" w14:textId="64F5A492" w:rsidR="002F47A0" w:rsidRPr="009E686F" w:rsidRDefault="002F47A0" w:rsidP="002F47A0">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b/>
                <w:bCs/>
                <w:kern w:val="2"/>
                <w:lang w:val="ro-MD"/>
              </w:rPr>
              <w:t>Articolul 44</w:t>
            </w:r>
            <w:r w:rsidRPr="009E686F">
              <w:rPr>
                <w:rFonts w:ascii="Times New Roman" w:eastAsia="Aptos" w:hAnsi="Times New Roman" w:cs="Times New Roman"/>
                <w:b/>
                <w:bCs/>
                <w:kern w:val="2"/>
                <w:vertAlign w:val="superscript"/>
                <w:lang w:val="ro-MD"/>
              </w:rPr>
              <w:t>1</w:t>
            </w:r>
            <w:r w:rsidRPr="009E686F">
              <w:rPr>
                <w:rFonts w:ascii="Times New Roman" w:eastAsia="Aptos" w:hAnsi="Times New Roman" w:cs="Times New Roman"/>
                <w:b/>
                <w:bCs/>
                <w:kern w:val="2"/>
                <w:lang w:val="ro-MD"/>
              </w:rPr>
              <w:t xml:space="preserve">. </w:t>
            </w:r>
            <w:r w:rsidRPr="009E686F">
              <w:rPr>
                <w:rFonts w:ascii="Times New Roman" w:eastAsia="Aptos" w:hAnsi="Times New Roman" w:cs="Times New Roman"/>
                <w:i/>
                <w:kern w:val="2"/>
                <w:lang w:val="ro-MD"/>
              </w:rPr>
              <w:t>Persoanele care dețin funcții-cheie și evaluarea adecvării</w:t>
            </w:r>
          </w:p>
        </w:tc>
        <w:tc>
          <w:tcPr>
            <w:tcW w:w="470" w:type="pct"/>
            <w:tcBorders>
              <w:top w:val="single" w:sz="4" w:space="0" w:color="auto"/>
              <w:left w:val="single" w:sz="4" w:space="0" w:color="auto"/>
              <w:bottom w:val="single" w:sz="4" w:space="0" w:color="auto"/>
              <w:right w:val="single" w:sz="4" w:space="0" w:color="auto"/>
            </w:tcBorders>
          </w:tcPr>
          <w:p w14:paraId="3CE133F0" w14:textId="56FD8A5E"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2692522F" w14:textId="77777777" w:rsidR="002F47A0" w:rsidRPr="009E686F" w:rsidRDefault="002F47A0" w:rsidP="002F47A0">
            <w:pPr>
              <w:jc w:val="both"/>
              <w:rPr>
                <w:rFonts w:ascii="Times New Roman" w:hAnsi="Times New Roman" w:cs="Times New Roman"/>
                <w:lang w:val="ro-RO"/>
              </w:rPr>
            </w:pPr>
          </w:p>
        </w:tc>
      </w:tr>
      <w:tr w:rsidR="002F47A0" w:rsidRPr="009E686F" w14:paraId="15565E15"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142FE210" w14:textId="40A4A6D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(1) Entitățile menționate la articolul 91 alineatul (1) au responsabilitatea principală de a se asigura că persoanele care dețin funcții-cheie au în orice moment o reputație suficient de bună, acționează cu onestitate și integritate și au suficiente cunoștințe, competențe și experiență pentru îndeplinirea sarcinilor lor. Absența unei condamnări penale sau a unei urmăriri penale în curs pentru o infracțiune nu este suficientă în sine pentru a îndeplini cerința de a avea o bună reputație și de a acționa cu onestitate și integritate.</w:t>
            </w:r>
          </w:p>
        </w:tc>
        <w:tc>
          <w:tcPr>
            <w:tcW w:w="1928" w:type="pct"/>
            <w:gridSpan w:val="3"/>
            <w:tcBorders>
              <w:top w:val="single" w:sz="4" w:space="0" w:color="auto"/>
              <w:left w:val="single" w:sz="4" w:space="0" w:color="auto"/>
              <w:bottom w:val="single" w:sz="4" w:space="0" w:color="auto"/>
              <w:right w:val="single" w:sz="4" w:space="0" w:color="auto"/>
            </w:tcBorders>
          </w:tcPr>
          <w:p w14:paraId="7E8E719F" w14:textId="49D495FE" w:rsidR="002F47A0" w:rsidRPr="009E686F" w:rsidRDefault="002F47A0" w:rsidP="002F47A0">
            <w:pPr>
              <w:spacing w:after="0"/>
              <w:jc w:val="both"/>
              <w:rPr>
                <w:rFonts w:ascii="Times New Roman" w:hAnsi="Times New Roman" w:cs="Times New Roman"/>
                <w:i/>
                <w:lang w:val="ro-RO"/>
              </w:rPr>
            </w:pPr>
            <w:r w:rsidRPr="009E686F">
              <w:rPr>
                <w:rFonts w:ascii="Times New Roman" w:eastAsia="Aptos" w:hAnsi="Times New Roman" w:cs="Times New Roman"/>
                <w:i/>
                <w:kern w:val="2"/>
                <w:lang w:val="ro-MD"/>
              </w:rPr>
              <w:t xml:space="preserve">(1) Entitățile menționate la art. 43 alin. </w:t>
            </w:r>
            <w:r w:rsidRPr="009E686F">
              <w:rPr>
                <w:rFonts w:ascii="Times New Roman" w:eastAsia="Aptos" w:hAnsi="Times New Roman" w:cs="Times New Roman"/>
                <w:i/>
                <w:iCs/>
                <w:kern w:val="2"/>
                <w:lang w:val="ro-MD"/>
              </w:rPr>
              <w:t>(1) și (7</w:t>
            </w:r>
            <w:r w:rsidRPr="009E686F">
              <w:rPr>
                <w:rFonts w:ascii="Times New Roman" w:eastAsia="Aptos" w:hAnsi="Times New Roman" w:cs="Times New Roman"/>
                <w:i/>
                <w:kern w:val="2"/>
                <w:lang w:val="ro-MD"/>
              </w:rPr>
              <w:t>) au responsabilitatea principală de a se asigura că persoanele care dețin funcții-cheie au în orice moment o reputație suficient de bună, acționează cu onestitate și integritate și au suficiente cunoștințe, competențe și experiență pentru îndeplinirea sarcinilor lor. Absența unei condamnări penale sau a unei urmăriri penale în curs pentru o infracțiune nu este suficientă în sine pentru a îndeplini cerința de a avea o bună reputație și de a acționa cu onestitate și integritate.</w:t>
            </w:r>
          </w:p>
        </w:tc>
        <w:tc>
          <w:tcPr>
            <w:tcW w:w="470" w:type="pct"/>
            <w:tcBorders>
              <w:top w:val="single" w:sz="4" w:space="0" w:color="auto"/>
              <w:left w:val="single" w:sz="4" w:space="0" w:color="auto"/>
              <w:bottom w:val="single" w:sz="4" w:space="0" w:color="auto"/>
              <w:right w:val="single" w:sz="4" w:space="0" w:color="auto"/>
            </w:tcBorders>
          </w:tcPr>
          <w:p w14:paraId="39A9D5BA" w14:textId="476AAE82"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437908E0" w14:textId="77777777" w:rsidR="002F47A0" w:rsidRPr="009E686F" w:rsidRDefault="002F47A0" w:rsidP="002F47A0">
            <w:pPr>
              <w:jc w:val="both"/>
              <w:rPr>
                <w:rFonts w:ascii="Times New Roman" w:hAnsi="Times New Roman" w:cs="Times New Roman"/>
                <w:lang w:val="ro-RO"/>
              </w:rPr>
            </w:pPr>
          </w:p>
        </w:tc>
      </w:tr>
      <w:tr w:rsidR="002F47A0" w:rsidRPr="009E686F" w14:paraId="009A5903"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7F6C0070" w14:textId="38BECD0D"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 xml:space="preserve">(2) Entitățile se asigură că persoanele care dețin funcții-cheie îndeplinesc în orice moment criteriile și cerințele prevăzute la alineatul (1) și evaluează adecvarea persoanelor care dețin funcții-cheie înainte ca acestea să își preia funcțiile și periodic, ținând seama de așteptările în materie de supraveghere, astfel cum se prevede în actele cu </w:t>
            </w:r>
            <w:r w:rsidRPr="009E686F">
              <w:rPr>
                <w:rFonts w:ascii="Times New Roman" w:hAnsi="Times New Roman" w:cs="Times New Roman"/>
                <w:lang w:val="ro-RO"/>
              </w:rPr>
              <w:lastRenderedPageBreak/>
              <w:t>putere de lege și reglementările aplicabile, în orientările și politicile interne privind adecvarea.</w:t>
            </w:r>
          </w:p>
        </w:tc>
        <w:tc>
          <w:tcPr>
            <w:tcW w:w="1928" w:type="pct"/>
            <w:gridSpan w:val="3"/>
            <w:tcBorders>
              <w:top w:val="single" w:sz="4" w:space="0" w:color="auto"/>
              <w:left w:val="single" w:sz="4" w:space="0" w:color="auto"/>
              <w:bottom w:val="single" w:sz="4" w:space="0" w:color="auto"/>
              <w:right w:val="single" w:sz="4" w:space="0" w:color="auto"/>
            </w:tcBorders>
          </w:tcPr>
          <w:p w14:paraId="27E16B8F" w14:textId="4934ADCA" w:rsidR="002F47A0" w:rsidRPr="009E686F" w:rsidRDefault="002F47A0" w:rsidP="002F47A0">
            <w:pPr>
              <w:spacing w:after="0"/>
              <w:jc w:val="both"/>
              <w:rPr>
                <w:rFonts w:ascii="Times New Roman" w:hAnsi="Times New Roman" w:cs="Times New Roman"/>
                <w:i/>
                <w:lang w:val="ro-RO"/>
              </w:rPr>
            </w:pPr>
            <w:r w:rsidRPr="009E686F">
              <w:rPr>
                <w:rFonts w:ascii="Times New Roman" w:eastAsia="Aptos" w:hAnsi="Times New Roman" w:cs="Times New Roman"/>
                <w:i/>
                <w:kern w:val="2"/>
                <w:lang w:val="ro-MD"/>
              </w:rPr>
              <w:lastRenderedPageBreak/>
              <w:t>(2) Entitățile se asigură că persoanele care dețin funcții-cheie îndeplinesc în orice moment criteriile și cerințele prevăzute la alin. (1) și evaluează adecvarea persoanelor care dețin funcții-cheie înainte ca acestea să își preia funcțiile și periodic, ținând seama de așteptările în materie de supraveghere, astfel cum se prevede în actele normative ale Băncii Naționale a Moldovei și politicile interne privind adecvarea.</w:t>
            </w:r>
          </w:p>
        </w:tc>
        <w:tc>
          <w:tcPr>
            <w:tcW w:w="470" w:type="pct"/>
            <w:tcBorders>
              <w:top w:val="single" w:sz="4" w:space="0" w:color="auto"/>
              <w:left w:val="single" w:sz="4" w:space="0" w:color="auto"/>
              <w:bottom w:val="single" w:sz="4" w:space="0" w:color="auto"/>
              <w:right w:val="single" w:sz="4" w:space="0" w:color="auto"/>
            </w:tcBorders>
          </w:tcPr>
          <w:p w14:paraId="0DE825BE" w14:textId="62B585AB"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1DFCA6DE" w14:textId="77777777" w:rsidR="002F47A0" w:rsidRPr="009E686F" w:rsidRDefault="002F47A0" w:rsidP="002F47A0">
            <w:pPr>
              <w:jc w:val="both"/>
              <w:rPr>
                <w:rFonts w:ascii="Times New Roman" w:hAnsi="Times New Roman" w:cs="Times New Roman"/>
                <w:lang w:val="ro-RO"/>
              </w:rPr>
            </w:pPr>
          </w:p>
        </w:tc>
      </w:tr>
      <w:tr w:rsidR="002F47A0" w:rsidRPr="009E686F" w14:paraId="2DD91DB5"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567E5D44"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(3) În cazul în care entitățile conchid, pe baza evaluării interne a adecvării menționate la alineatul (2), că o persoană nu îndeplinește criteriile și cerințele prevăzute la alineatul (1), entitățile:</w:t>
            </w:r>
          </w:p>
          <w:p w14:paraId="48CCDDF5"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(a) nu numesc persoana respectivă în calitatea de persoană care deține o funcție-cheie, în cazul în care evaluarea respectivă este finalizată înainte ca persoana să preia funcția;</w:t>
            </w:r>
          </w:p>
          <w:p w14:paraId="766BDB30"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(b) demit persoana respectivă din funcția-cheie în timp util; sau</w:t>
            </w:r>
          </w:p>
          <w:p w14:paraId="22C4C2D1"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(c) iau, în timp util, măsurile suplimentare necesare pentru a se asigura că o astfel de persoană este sau devine adecvată pentru funcția în cauză.</w:t>
            </w:r>
          </w:p>
          <w:p w14:paraId="6E732DBC" w14:textId="7172817F"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Entitățile iau toate măsurile necesare pentru a asigura funcționarea adecvată a funcției unei persoane care deține o funcție-cheie, inclusiv înlocuirea persoanei care deține funcția-cheie în cazul în care persoana respectivă nu mai îndeplinește criteriile și cerințele de adecvare.</w:t>
            </w:r>
          </w:p>
        </w:tc>
        <w:tc>
          <w:tcPr>
            <w:tcW w:w="1928" w:type="pct"/>
            <w:gridSpan w:val="3"/>
            <w:tcBorders>
              <w:top w:val="single" w:sz="4" w:space="0" w:color="auto"/>
              <w:left w:val="single" w:sz="4" w:space="0" w:color="auto"/>
              <w:bottom w:val="single" w:sz="4" w:space="0" w:color="auto"/>
              <w:right w:val="single" w:sz="4" w:space="0" w:color="auto"/>
            </w:tcBorders>
          </w:tcPr>
          <w:p w14:paraId="74CDE137" w14:textId="77777777" w:rsidR="002F47A0" w:rsidRPr="009E686F" w:rsidRDefault="002F47A0" w:rsidP="002F47A0">
            <w:pPr>
              <w:spacing w:after="0" w:line="278" w:lineRule="auto"/>
              <w:jc w:val="both"/>
              <w:rPr>
                <w:rFonts w:ascii="Times New Roman" w:eastAsia="Aptos" w:hAnsi="Times New Roman" w:cs="Times New Roman"/>
                <w:i/>
                <w:kern w:val="2"/>
                <w:lang w:val="ro-MD"/>
              </w:rPr>
            </w:pPr>
            <w:r w:rsidRPr="009E686F">
              <w:rPr>
                <w:rFonts w:ascii="Times New Roman" w:eastAsia="Aptos" w:hAnsi="Times New Roman" w:cs="Times New Roman"/>
                <w:i/>
                <w:kern w:val="2"/>
                <w:lang w:val="ro-MD"/>
              </w:rPr>
              <w:t xml:space="preserve">(3) În cazul în care entitățile concluzionează, pe baza evaluării interne a adecvării menționate la alin. (2), că o persoană nu îndeplinește criteriile și cerințele prevăzute la alin. (1), entitățile: </w:t>
            </w:r>
          </w:p>
          <w:p w14:paraId="1945ED79" w14:textId="77777777" w:rsidR="002F47A0" w:rsidRPr="009E686F" w:rsidRDefault="002F47A0" w:rsidP="002F47A0">
            <w:pPr>
              <w:spacing w:after="0" w:line="278" w:lineRule="auto"/>
              <w:jc w:val="both"/>
              <w:rPr>
                <w:rFonts w:ascii="Times New Roman" w:eastAsia="Aptos" w:hAnsi="Times New Roman" w:cs="Times New Roman"/>
                <w:i/>
                <w:kern w:val="2"/>
                <w:lang w:val="ro-MD"/>
              </w:rPr>
            </w:pPr>
            <w:r w:rsidRPr="009E686F">
              <w:rPr>
                <w:rFonts w:ascii="Times New Roman" w:eastAsia="Aptos" w:hAnsi="Times New Roman" w:cs="Times New Roman"/>
                <w:i/>
                <w:kern w:val="2"/>
                <w:lang w:val="ro-MD"/>
              </w:rPr>
              <w:t xml:space="preserve">a) nu numesc persoana respectivă în calitatea de persoană care deține o funcție-cheie, în cazul în care evaluarea respectivă este finalizată înainte ca persoana să preia funcția; </w:t>
            </w:r>
          </w:p>
          <w:p w14:paraId="2AB4036A" w14:textId="77777777" w:rsidR="002F47A0" w:rsidRPr="009E686F" w:rsidRDefault="002F47A0" w:rsidP="002F47A0">
            <w:pPr>
              <w:spacing w:after="0" w:line="278" w:lineRule="auto"/>
              <w:jc w:val="both"/>
              <w:rPr>
                <w:rFonts w:ascii="Times New Roman" w:eastAsia="Aptos" w:hAnsi="Times New Roman" w:cs="Times New Roman"/>
                <w:i/>
                <w:kern w:val="2"/>
                <w:lang w:val="ro-MD"/>
              </w:rPr>
            </w:pPr>
            <w:r w:rsidRPr="009E686F">
              <w:rPr>
                <w:rFonts w:ascii="Times New Roman" w:eastAsia="Aptos" w:hAnsi="Times New Roman" w:cs="Times New Roman"/>
                <w:i/>
                <w:kern w:val="2"/>
                <w:lang w:val="ro-MD"/>
              </w:rPr>
              <w:t xml:space="preserve">b) demit persoana respectivă din funcția-cheie în timp util; sau </w:t>
            </w:r>
          </w:p>
          <w:p w14:paraId="548055F9" w14:textId="77777777" w:rsidR="002F47A0" w:rsidRPr="009E686F" w:rsidRDefault="002F47A0" w:rsidP="002F47A0">
            <w:pPr>
              <w:spacing w:after="0"/>
              <w:jc w:val="both"/>
              <w:rPr>
                <w:rFonts w:ascii="Times New Roman" w:eastAsia="Aptos" w:hAnsi="Times New Roman" w:cs="Times New Roman"/>
                <w:i/>
                <w:kern w:val="2"/>
                <w:lang w:val="ro-MD"/>
              </w:rPr>
            </w:pPr>
            <w:r w:rsidRPr="009E686F">
              <w:rPr>
                <w:rFonts w:ascii="Times New Roman" w:eastAsia="Aptos" w:hAnsi="Times New Roman" w:cs="Times New Roman"/>
                <w:i/>
                <w:kern w:val="2"/>
                <w:lang w:val="ro-MD"/>
              </w:rPr>
              <w:t>c) iau, în timp util, măsurile suplimentare necesare pentru a se asigura că o astfel de persoană este sau devine adecvată pentru funcția în cauză.</w:t>
            </w:r>
          </w:p>
          <w:p w14:paraId="69F3A948" w14:textId="75F1199B" w:rsidR="002F47A0" w:rsidRPr="009E686F" w:rsidRDefault="002F47A0" w:rsidP="002F47A0">
            <w:pPr>
              <w:spacing w:after="0"/>
              <w:jc w:val="both"/>
              <w:rPr>
                <w:rFonts w:ascii="Times New Roman" w:hAnsi="Times New Roman" w:cs="Times New Roman"/>
                <w:i/>
                <w:lang w:val="ro-RO"/>
              </w:rPr>
            </w:pPr>
            <w:r w:rsidRPr="009E686F">
              <w:rPr>
                <w:rFonts w:ascii="Times New Roman" w:eastAsia="Aptos" w:hAnsi="Times New Roman" w:cs="Times New Roman"/>
                <w:i/>
                <w:kern w:val="2"/>
                <w:lang w:val="ro-MD"/>
              </w:rPr>
              <w:t>(4) Entitățile iau toate măsurile necesare pentru a asigura funcționarea adecvată a funcției unei persoane care deține o funcție-cheie, inclusiv înlocuirea persoanei care deține funcția-cheie în cazul în care persoana respectivă nu mai îndeplinește criteriile și cerințele de adecvare.</w:t>
            </w:r>
          </w:p>
        </w:tc>
        <w:tc>
          <w:tcPr>
            <w:tcW w:w="470" w:type="pct"/>
            <w:tcBorders>
              <w:top w:val="single" w:sz="4" w:space="0" w:color="auto"/>
              <w:left w:val="single" w:sz="4" w:space="0" w:color="auto"/>
              <w:bottom w:val="single" w:sz="4" w:space="0" w:color="auto"/>
              <w:right w:val="single" w:sz="4" w:space="0" w:color="auto"/>
            </w:tcBorders>
          </w:tcPr>
          <w:p w14:paraId="43B219B4" w14:textId="1803E37F"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2290F379" w14:textId="77777777" w:rsidR="002F47A0" w:rsidRPr="009E686F" w:rsidRDefault="002F47A0" w:rsidP="002F47A0">
            <w:pPr>
              <w:jc w:val="both"/>
              <w:rPr>
                <w:rFonts w:ascii="Times New Roman" w:hAnsi="Times New Roman" w:cs="Times New Roman"/>
                <w:lang w:val="ro-RO"/>
              </w:rPr>
            </w:pPr>
          </w:p>
        </w:tc>
      </w:tr>
      <w:tr w:rsidR="002F47A0" w:rsidRPr="009E686F" w14:paraId="294BAAE4"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2D6E405F" w14:textId="46E0CD56"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(4) Entitățile se asigură că informațiile privind adecvarea persoanelor care dețin funcții-cheie sunt actualizate. Entitățile furnizează aceste informații, la cerere, autorității competente prin mijloacele stabilite de autoritatea competentă.</w:t>
            </w:r>
          </w:p>
        </w:tc>
        <w:tc>
          <w:tcPr>
            <w:tcW w:w="1928" w:type="pct"/>
            <w:gridSpan w:val="3"/>
            <w:tcBorders>
              <w:top w:val="single" w:sz="4" w:space="0" w:color="auto"/>
              <w:left w:val="single" w:sz="4" w:space="0" w:color="auto"/>
              <w:bottom w:val="single" w:sz="4" w:space="0" w:color="auto"/>
              <w:right w:val="single" w:sz="4" w:space="0" w:color="auto"/>
            </w:tcBorders>
          </w:tcPr>
          <w:p w14:paraId="49A6B0A2" w14:textId="4C14AFDF" w:rsidR="002F47A0" w:rsidRPr="009E686F" w:rsidRDefault="002F47A0" w:rsidP="002F47A0">
            <w:pPr>
              <w:spacing w:after="0"/>
              <w:jc w:val="both"/>
              <w:rPr>
                <w:rFonts w:ascii="Times New Roman" w:hAnsi="Times New Roman" w:cs="Times New Roman"/>
                <w:i/>
                <w:lang w:val="ro-RO"/>
              </w:rPr>
            </w:pPr>
            <w:r w:rsidRPr="009E686F">
              <w:rPr>
                <w:rFonts w:ascii="Times New Roman" w:eastAsia="Aptos" w:hAnsi="Times New Roman" w:cs="Times New Roman"/>
                <w:i/>
                <w:kern w:val="2"/>
                <w:lang w:val="ro-MD"/>
              </w:rPr>
              <w:t>(</w:t>
            </w:r>
            <w:r w:rsidR="00A816E1" w:rsidRPr="009E686F">
              <w:rPr>
                <w:rFonts w:ascii="Times New Roman" w:eastAsia="Aptos" w:hAnsi="Times New Roman" w:cs="Times New Roman"/>
                <w:i/>
                <w:kern w:val="2"/>
                <w:lang w:val="ro-MD"/>
              </w:rPr>
              <w:t>6</w:t>
            </w:r>
            <w:r w:rsidRPr="009E686F">
              <w:rPr>
                <w:rFonts w:ascii="Times New Roman" w:eastAsia="Aptos" w:hAnsi="Times New Roman" w:cs="Times New Roman"/>
                <w:i/>
                <w:kern w:val="2"/>
                <w:lang w:val="ro-MD"/>
              </w:rPr>
              <w:t>) Entitățile se asigură că informațiile privind adecvarea persoanelor care dețin funcții-cheie sunt actualizate și furnizează aceste informații, la cerere, Băncii Naționale a Moldovei, prin mijloacele stabilite de aceasta.</w:t>
            </w:r>
          </w:p>
        </w:tc>
        <w:tc>
          <w:tcPr>
            <w:tcW w:w="470" w:type="pct"/>
            <w:tcBorders>
              <w:top w:val="single" w:sz="4" w:space="0" w:color="auto"/>
              <w:left w:val="single" w:sz="4" w:space="0" w:color="auto"/>
              <w:bottom w:val="single" w:sz="4" w:space="0" w:color="auto"/>
              <w:right w:val="single" w:sz="4" w:space="0" w:color="auto"/>
            </w:tcBorders>
          </w:tcPr>
          <w:p w14:paraId="1AD32539" w14:textId="77777777" w:rsidR="002F47A0" w:rsidRPr="009E686F" w:rsidRDefault="002F47A0" w:rsidP="002F47A0">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3147C48A" w14:textId="77777777" w:rsidR="002F47A0" w:rsidRPr="009E686F" w:rsidRDefault="002F47A0" w:rsidP="002F47A0">
            <w:pPr>
              <w:jc w:val="both"/>
              <w:rPr>
                <w:rFonts w:ascii="Times New Roman" w:hAnsi="Times New Roman" w:cs="Times New Roman"/>
                <w:lang w:val="ro-RO"/>
              </w:rPr>
            </w:pPr>
          </w:p>
        </w:tc>
      </w:tr>
      <w:tr w:rsidR="002F47A0" w:rsidRPr="009E686F" w14:paraId="55C50CD3"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5323FE48"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(5) Statele membre se asigură că autoritățile competente evaluează îndeplinirea în orice moment de către coordonatorii funcțiilor de control intern și directorul financiar a criteriilor și cerințelor prevăzute la alineatul (1) în cazul în care respectivii coordonatori ai funcțiilor de control intern sau respectivul director financiar sunt numiți în funcții cel puțin în următoarele entități:</w:t>
            </w:r>
          </w:p>
          <w:p w14:paraId="26DEFAEE"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lastRenderedPageBreak/>
              <w:t>(a) instituțiile-mamă din UE care se califică drept instituții mari;</w:t>
            </w:r>
          </w:p>
          <w:p w14:paraId="534D5014"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(b) instituțiile-mamă dintr-un stat membru care se califică drept instituții mari, cu excepția cazului în care sunt afiliate unui organism central;</w:t>
            </w:r>
          </w:p>
          <w:p w14:paraId="58060461"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(c) organismele centrale care se califică drept instituții mari sau care supraveghează instituții mari afiliate lor;</w:t>
            </w:r>
          </w:p>
          <w:p w14:paraId="79E2D367"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(d) instituțiile de sine stătătoare din Uniune care se califică drept instituții mari;</w:t>
            </w:r>
          </w:p>
          <w:p w14:paraId="0DD51247"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(e) filialele mari, astfel cum sunt definite la articolul 4 alineatul (1) punctul 147 din Regulamentul (UE) nr. 575/2013;</w:t>
            </w:r>
          </w:p>
          <w:p w14:paraId="783299F5" w14:textId="422AEB02"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(f) societățile financiare holding mamă dintr-un stat membru, societățile financiare holding mixte mamă dintr-un stat membru, societățile financiare holding mamă din UE și societățile financiare holding mixte mamă din UE care au instituții mari în cadrul grupului lor, cu excepția celor care intră sub incidența articolului 21a alineatul (4) din prezenta directivă.</w:t>
            </w:r>
          </w:p>
        </w:tc>
        <w:tc>
          <w:tcPr>
            <w:tcW w:w="1928" w:type="pct"/>
            <w:gridSpan w:val="3"/>
            <w:tcBorders>
              <w:top w:val="single" w:sz="4" w:space="0" w:color="auto"/>
              <w:left w:val="single" w:sz="4" w:space="0" w:color="auto"/>
              <w:bottom w:val="single" w:sz="4" w:space="0" w:color="auto"/>
              <w:right w:val="single" w:sz="4" w:space="0" w:color="auto"/>
            </w:tcBorders>
          </w:tcPr>
          <w:p w14:paraId="3C375EDF" w14:textId="754F3A98" w:rsidR="002F47A0" w:rsidRPr="009E686F" w:rsidRDefault="002F47A0" w:rsidP="002F47A0">
            <w:pPr>
              <w:spacing w:after="0"/>
              <w:jc w:val="both"/>
              <w:rPr>
                <w:rFonts w:ascii="Times New Roman" w:hAnsi="Times New Roman" w:cs="Times New Roman"/>
                <w:i/>
                <w:lang w:val="ro-RO"/>
              </w:rPr>
            </w:pPr>
            <w:r w:rsidRPr="009E686F">
              <w:rPr>
                <w:rFonts w:ascii="Times New Roman" w:hAnsi="Times New Roman" w:cs="Times New Roman"/>
                <w:i/>
                <w:lang w:val="it-CH"/>
              </w:rPr>
              <w:lastRenderedPageBreak/>
              <w:t xml:space="preserve">(8) Banca Națională a Moldovei evaluează îndeplinirea, în orice moment, a criteriilor și cerințelor prevăzute la alin. (1) de către persoanele care sunt numite să dețină funcții-cheie, inclusiv în entitățile menționate la art. 43 alin. </w:t>
            </w:r>
            <w:r w:rsidRPr="009E686F">
              <w:rPr>
                <w:rFonts w:ascii="Times New Roman" w:hAnsi="Times New Roman" w:cs="Times New Roman"/>
                <w:i/>
              </w:rPr>
              <w:t>(7).</w:t>
            </w:r>
          </w:p>
        </w:tc>
        <w:tc>
          <w:tcPr>
            <w:tcW w:w="470" w:type="pct"/>
            <w:tcBorders>
              <w:top w:val="single" w:sz="4" w:space="0" w:color="auto"/>
              <w:left w:val="single" w:sz="4" w:space="0" w:color="auto"/>
              <w:bottom w:val="single" w:sz="4" w:space="0" w:color="auto"/>
              <w:right w:val="single" w:sz="4" w:space="0" w:color="auto"/>
            </w:tcBorders>
          </w:tcPr>
          <w:p w14:paraId="333F587F" w14:textId="265690F0"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2032BE8E" w14:textId="77777777" w:rsidR="002F47A0" w:rsidRPr="009E686F" w:rsidRDefault="002F47A0" w:rsidP="002F47A0">
            <w:pPr>
              <w:jc w:val="both"/>
              <w:rPr>
                <w:rFonts w:ascii="Times New Roman" w:hAnsi="Times New Roman" w:cs="Times New Roman"/>
                <w:lang w:val="ro-RO"/>
              </w:rPr>
            </w:pPr>
          </w:p>
        </w:tc>
      </w:tr>
      <w:tr w:rsidR="002F47A0" w:rsidRPr="009E686F" w14:paraId="7D74E962"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0AD6CA81"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(6) În cazul în care coordonatorii funcțiilor de control intern și directorul financiar nu îndeplinesc în orice moment criteriile și cerințele prevăzute la alineatul (1), statele membre se asigură că autoritățile competente dispun de competențele necesare:</w:t>
            </w:r>
          </w:p>
          <w:p w14:paraId="6D237700"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(a) în cazul evaluării ex ante, pentru a-i împiedica pe coordonatorii funcțiilor de control intern sau pe directorul financiar respectivi să preia funcția sau pentru a-i demite din funcție;</w:t>
            </w:r>
          </w:p>
          <w:p w14:paraId="0499276D"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(b) în cazul evaluării ex post, pentru a-i demite pe coordonatorii funcțiilor de control intern sau pe directorul financiar respectivi sau pentru a-i impune entității să îi demită din funcție;</w:t>
            </w:r>
          </w:p>
          <w:p w14:paraId="2B243DCE" w14:textId="028A2DC9"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lastRenderedPageBreak/>
              <w:t>(c) pentru a le impune entităților în cauză să ia măsurile suplimentare necesare pentru a se asigura că coordonatorii funcțiilor de control intern sau directorul financiar respectivi sunt sau devin adecvați pentru funcția în cauză.</w:t>
            </w:r>
          </w:p>
        </w:tc>
        <w:tc>
          <w:tcPr>
            <w:tcW w:w="1928" w:type="pct"/>
            <w:gridSpan w:val="3"/>
            <w:tcBorders>
              <w:top w:val="single" w:sz="4" w:space="0" w:color="auto"/>
              <w:left w:val="single" w:sz="4" w:space="0" w:color="auto"/>
              <w:bottom w:val="single" w:sz="4" w:space="0" w:color="auto"/>
              <w:right w:val="single" w:sz="4" w:space="0" w:color="auto"/>
            </w:tcBorders>
          </w:tcPr>
          <w:p w14:paraId="669CE08C" w14:textId="77777777" w:rsidR="002F47A0" w:rsidRPr="009E686F" w:rsidRDefault="002F47A0" w:rsidP="002F47A0">
            <w:pPr>
              <w:spacing w:after="0" w:line="278" w:lineRule="auto"/>
              <w:jc w:val="both"/>
              <w:rPr>
                <w:rFonts w:ascii="Times New Roman" w:eastAsia="Aptos" w:hAnsi="Times New Roman" w:cs="Times New Roman"/>
                <w:i/>
                <w:kern w:val="2"/>
                <w:lang w:val="ro-MD"/>
              </w:rPr>
            </w:pPr>
            <w:r w:rsidRPr="009E686F">
              <w:rPr>
                <w:rFonts w:ascii="Times New Roman" w:eastAsia="Aptos" w:hAnsi="Times New Roman" w:cs="Times New Roman"/>
                <w:i/>
                <w:kern w:val="2"/>
                <w:lang w:val="ro-MD"/>
              </w:rPr>
              <w:lastRenderedPageBreak/>
              <w:t>(9) În cazul în care persoanele care sunt numite să dețină funcții-cheie nu îndeplinesc în orice moment criteriile și cerințele prevăzute la alin.  (1), Banca Națională a Moldovei poate:</w:t>
            </w:r>
          </w:p>
          <w:p w14:paraId="2B5F4436" w14:textId="52F799A7" w:rsidR="002F47A0" w:rsidRPr="009E686F" w:rsidRDefault="002F47A0" w:rsidP="002F47A0">
            <w:pPr>
              <w:spacing w:after="0" w:line="278" w:lineRule="auto"/>
              <w:jc w:val="both"/>
              <w:rPr>
                <w:rFonts w:ascii="Times New Roman" w:eastAsia="Aptos" w:hAnsi="Times New Roman" w:cs="Times New Roman"/>
                <w:i/>
                <w:kern w:val="2"/>
                <w:lang w:val="ro-MD"/>
              </w:rPr>
            </w:pPr>
            <w:r w:rsidRPr="009E686F">
              <w:rPr>
                <w:rFonts w:ascii="Times New Roman" w:eastAsia="Aptos" w:hAnsi="Times New Roman" w:cs="Times New Roman"/>
                <w:i/>
                <w:kern w:val="2"/>
                <w:lang w:val="ro-MD"/>
              </w:rPr>
              <w:t xml:space="preserve">a) în cazul evaluării ex ante, să împiedice aceste persoane să preia funcția, refuzând să le acorde aprobarea; </w:t>
            </w:r>
          </w:p>
          <w:p w14:paraId="00C88DEF" w14:textId="7FCE7C19" w:rsidR="002F47A0" w:rsidRPr="009E686F" w:rsidRDefault="002F47A0" w:rsidP="002F47A0">
            <w:pPr>
              <w:spacing w:after="0" w:line="278" w:lineRule="auto"/>
              <w:jc w:val="both"/>
              <w:rPr>
                <w:rFonts w:ascii="Times New Roman" w:eastAsia="Aptos" w:hAnsi="Times New Roman" w:cs="Times New Roman"/>
                <w:i/>
                <w:kern w:val="2"/>
                <w:lang w:val="ro-MD"/>
              </w:rPr>
            </w:pPr>
            <w:r w:rsidRPr="009E686F">
              <w:rPr>
                <w:rFonts w:ascii="Times New Roman" w:eastAsia="Aptos" w:hAnsi="Times New Roman" w:cs="Times New Roman"/>
                <w:i/>
                <w:kern w:val="2"/>
                <w:lang w:val="ro-MD"/>
              </w:rPr>
              <w:t xml:space="preserve">b) în cazul evaluării ex post, să solicite </w:t>
            </w:r>
            <w:r w:rsidRPr="009E686F">
              <w:rPr>
                <w:rFonts w:ascii="Times New Roman" w:eastAsia="Aptos" w:hAnsi="Times New Roman" w:cs="Times New Roman"/>
                <w:i/>
                <w:iCs/>
                <w:kern w:val="2"/>
                <w:lang w:val="ro-MD"/>
              </w:rPr>
              <w:t xml:space="preserve">entității </w:t>
            </w:r>
            <w:r w:rsidRPr="009E686F">
              <w:rPr>
                <w:rFonts w:ascii="Times New Roman" w:eastAsia="Aptos" w:hAnsi="Times New Roman" w:cs="Times New Roman"/>
                <w:i/>
                <w:kern w:val="2"/>
                <w:lang w:val="ro-MD"/>
              </w:rPr>
              <w:t xml:space="preserve">demiterea persoanelor din funcțiile respective; </w:t>
            </w:r>
            <w:r w:rsidRPr="009E686F">
              <w:rPr>
                <w:rFonts w:ascii="Times New Roman" w:eastAsia="Aptos" w:hAnsi="Times New Roman" w:cs="Times New Roman"/>
                <w:i/>
                <w:iCs/>
                <w:kern w:val="2"/>
                <w:lang w:val="ro-MD"/>
              </w:rPr>
              <w:t xml:space="preserve">  </w:t>
            </w:r>
          </w:p>
          <w:p w14:paraId="1640B04A" w14:textId="28F9B3C9" w:rsidR="002F47A0" w:rsidRPr="009E686F" w:rsidRDefault="002F47A0" w:rsidP="002F47A0">
            <w:pPr>
              <w:spacing w:after="0"/>
              <w:jc w:val="both"/>
              <w:rPr>
                <w:rFonts w:ascii="Times New Roman" w:hAnsi="Times New Roman" w:cs="Times New Roman"/>
                <w:lang w:val="ro-RO"/>
              </w:rPr>
            </w:pPr>
            <w:r w:rsidRPr="009E686F">
              <w:rPr>
                <w:rFonts w:ascii="Times New Roman" w:eastAsia="Aptos" w:hAnsi="Times New Roman" w:cs="Times New Roman"/>
                <w:i/>
                <w:kern w:val="2"/>
                <w:lang w:val="ro-MD"/>
              </w:rPr>
              <w:t>c) impune entităților în cauză să ia măsurile suplimentare necesare pentru a se asigura că persoanele respective sunt sau devin adecvate pentru funcția în cauză.</w:t>
            </w:r>
          </w:p>
        </w:tc>
        <w:tc>
          <w:tcPr>
            <w:tcW w:w="470" w:type="pct"/>
            <w:tcBorders>
              <w:top w:val="single" w:sz="4" w:space="0" w:color="auto"/>
              <w:left w:val="single" w:sz="4" w:space="0" w:color="auto"/>
              <w:bottom w:val="single" w:sz="4" w:space="0" w:color="auto"/>
              <w:right w:val="single" w:sz="4" w:space="0" w:color="auto"/>
            </w:tcBorders>
          </w:tcPr>
          <w:p w14:paraId="4AB7B351" w14:textId="77777777" w:rsidR="002F47A0" w:rsidRPr="009E686F" w:rsidRDefault="002F47A0" w:rsidP="002F47A0">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0466F941" w14:textId="77777777" w:rsidR="002F47A0" w:rsidRPr="009E686F" w:rsidRDefault="002F47A0" w:rsidP="002F47A0">
            <w:pPr>
              <w:jc w:val="both"/>
              <w:rPr>
                <w:rFonts w:ascii="Times New Roman" w:hAnsi="Times New Roman" w:cs="Times New Roman"/>
                <w:lang w:val="ro-RO"/>
              </w:rPr>
            </w:pPr>
          </w:p>
        </w:tc>
      </w:tr>
      <w:tr w:rsidR="002F47A0" w:rsidRPr="009E686F" w14:paraId="7F305859"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3F2DED81" w14:textId="2C5F851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De îndată ce se cunosc orice fapte noi sau alte aspecte care ar putea afecta adecvarea coordonatorilor funcțiilor de control intern și a directorului financiar, entitățile menționate la alineatul (5) reevaluează adecvarea coordonatorilor funcțiilor de control intern și a directorului financiar respectivi și informează în acest sens, fără întârzieri nejustificate, autoritatea competentă.</w:t>
            </w:r>
          </w:p>
        </w:tc>
        <w:tc>
          <w:tcPr>
            <w:tcW w:w="1928" w:type="pct"/>
            <w:gridSpan w:val="3"/>
            <w:tcBorders>
              <w:top w:val="single" w:sz="4" w:space="0" w:color="auto"/>
              <w:left w:val="single" w:sz="4" w:space="0" w:color="auto"/>
              <w:bottom w:val="single" w:sz="4" w:space="0" w:color="auto"/>
              <w:right w:val="single" w:sz="4" w:space="0" w:color="auto"/>
            </w:tcBorders>
          </w:tcPr>
          <w:p w14:paraId="10EE6A80" w14:textId="16B5C43C" w:rsidR="002F47A0" w:rsidRPr="009E686F" w:rsidRDefault="0067480D" w:rsidP="002F47A0">
            <w:pPr>
              <w:spacing w:after="0"/>
              <w:jc w:val="both"/>
              <w:rPr>
                <w:rFonts w:ascii="Times New Roman" w:hAnsi="Times New Roman" w:cs="Times New Roman"/>
                <w:lang w:val="ro-RO"/>
              </w:rPr>
            </w:pPr>
            <w:r w:rsidRPr="009E686F">
              <w:rPr>
                <w:rFonts w:ascii="Times New Roman" w:eastAsia="Aptos" w:hAnsi="Times New Roman" w:cs="Times New Roman"/>
                <w:i/>
                <w:kern w:val="2"/>
                <w:lang w:val="ro-MD"/>
              </w:rPr>
              <w:t>(5) Entitățile reevaluează adecvarea persoanelor care dețin funcții-cheie, de îndată ce cunosc orice fapte noi sau alte aspecte care ar putea afecta adecvarea acestora și informează imediatîn termen de 5 zile lucrătoare, în acest sens, Banca Națională a Moldovei.</w:t>
            </w:r>
          </w:p>
        </w:tc>
        <w:tc>
          <w:tcPr>
            <w:tcW w:w="470" w:type="pct"/>
            <w:tcBorders>
              <w:top w:val="single" w:sz="4" w:space="0" w:color="auto"/>
              <w:left w:val="single" w:sz="4" w:space="0" w:color="auto"/>
              <w:bottom w:val="single" w:sz="4" w:space="0" w:color="auto"/>
              <w:right w:val="single" w:sz="4" w:space="0" w:color="auto"/>
            </w:tcBorders>
          </w:tcPr>
          <w:p w14:paraId="2578627B" w14:textId="34F14DE9"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1666C215" w14:textId="77777777" w:rsidR="002F47A0" w:rsidRPr="009E686F" w:rsidRDefault="002F47A0" w:rsidP="002F47A0">
            <w:pPr>
              <w:jc w:val="both"/>
              <w:rPr>
                <w:rFonts w:ascii="Times New Roman" w:hAnsi="Times New Roman" w:cs="Times New Roman"/>
                <w:lang w:val="ro-RO"/>
              </w:rPr>
            </w:pPr>
          </w:p>
        </w:tc>
      </w:tr>
      <w:tr w:rsidR="002F47A0" w:rsidRPr="009E686F" w14:paraId="362F6DDC"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556BF93A"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 xml:space="preserve">În cazul în care autoritatea competentă constată că informațiile relevante privind adecvarea coordonatorilor funcțiilor de control intern și a directorului financiar s-au schimbat și că o astfel de modificare ar putea afecta adecvarea coordonatorilor funcțiilor de control intern sau a directorului financiar în cauză, autoritatea competentă reevaluează adecvarea lor. </w:t>
            </w:r>
          </w:p>
          <w:p w14:paraId="2D4901F2" w14:textId="72D0F5A0"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Autoritățile competente nu au obligația de a reevalua adecvarea coordonatorilor funcțiilor de control intern sau a directorului financiar respectivi cu ocazia reînnoirii sau prelungirii contractului lor, cu excepția cazului în care s-au modificat anumite informații relevante care sunt cunoscute de autoritățile competente și această modificare poate afecta adecvarea coordonatorilor funcțiilor de control intern sau a directorului financiar în cauză.</w:t>
            </w:r>
          </w:p>
        </w:tc>
        <w:tc>
          <w:tcPr>
            <w:tcW w:w="1928" w:type="pct"/>
            <w:gridSpan w:val="3"/>
            <w:tcBorders>
              <w:top w:val="single" w:sz="4" w:space="0" w:color="auto"/>
              <w:left w:val="single" w:sz="4" w:space="0" w:color="auto"/>
              <w:bottom w:val="single" w:sz="4" w:space="0" w:color="auto"/>
              <w:right w:val="single" w:sz="4" w:space="0" w:color="auto"/>
            </w:tcBorders>
          </w:tcPr>
          <w:p w14:paraId="7713AA2A" w14:textId="0500AB3B" w:rsidR="002F47A0" w:rsidRPr="009E686F" w:rsidRDefault="002F47A0" w:rsidP="002F47A0">
            <w:pPr>
              <w:spacing w:after="0"/>
              <w:jc w:val="both"/>
              <w:rPr>
                <w:rFonts w:ascii="Times New Roman" w:hAnsi="Times New Roman" w:cs="Times New Roman"/>
                <w:i/>
                <w:lang w:val="ro-RO"/>
              </w:rPr>
            </w:pPr>
            <w:r w:rsidRPr="009E686F">
              <w:rPr>
                <w:rFonts w:ascii="Times New Roman" w:eastAsia="Aptos" w:hAnsi="Times New Roman" w:cs="Times New Roman"/>
                <w:i/>
                <w:kern w:val="2"/>
                <w:lang w:val="ro-MD"/>
              </w:rPr>
              <w:t>(11) Banca Națională a Moldovei reevaluează adecvarea persoanelor care dețin funcții-cheie, numai în cazul în care s-au modificat anumite informații relevante care îi sunt cunoscute și această modificare poate afecta adecvarea acestora.</w:t>
            </w:r>
          </w:p>
        </w:tc>
        <w:tc>
          <w:tcPr>
            <w:tcW w:w="470" w:type="pct"/>
            <w:tcBorders>
              <w:top w:val="single" w:sz="4" w:space="0" w:color="auto"/>
              <w:left w:val="single" w:sz="4" w:space="0" w:color="auto"/>
              <w:bottom w:val="single" w:sz="4" w:space="0" w:color="auto"/>
              <w:right w:val="single" w:sz="4" w:space="0" w:color="auto"/>
            </w:tcBorders>
          </w:tcPr>
          <w:p w14:paraId="487409B7" w14:textId="77777777" w:rsidR="002F47A0" w:rsidRPr="009E686F" w:rsidRDefault="002F47A0" w:rsidP="002F47A0">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26A58015" w14:textId="77777777" w:rsidR="002F47A0" w:rsidRPr="009E686F" w:rsidRDefault="002F47A0" w:rsidP="002F47A0">
            <w:pPr>
              <w:jc w:val="both"/>
              <w:rPr>
                <w:rFonts w:ascii="Times New Roman" w:hAnsi="Times New Roman" w:cs="Times New Roman"/>
                <w:lang w:val="ro-RO"/>
              </w:rPr>
            </w:pPr>
          </w:p>
        </w:tc>
      </w:tr>
      <w:tr w:rsidR="002F47A0" w:rsidRPr="009E686F" w14:paraId="532FF9CF"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6AC403C0" w14:textId="462076E3"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 xml:space="preserve">Cel puțin în ceea ce privește numirea coordonatorilor funcțiilor de control intern și a directorului financiar respectivi pentru funcții în cadrul entităților menționate la alineatul (5), autoritățile competente iau în considerare în mod corespunzător stabilirea unei perioade maxime pentru </w:t>
            </w:r>
            <w:r w:rsidRPr="009E686F">
              <w:rPr>
                <w:rFonts w:ascii="Times New Roman" w:hAnsi="Times New Roman" w:cs="Times New Roman"/>
                <w:lang w:val="ro-RO"/>
              </w:rPr>
              <w:lastRenderedPageBreak/>
              <w:t>finalizarea evaluării adecvării. Această perioadă maximă poate fi prelungită, după caz.</w:t>
            </w:r>
          </w:p>
        </w:tc>
        <w:tc>
          <w:tcPr>
            <w:tcW w:w="1928" w:type="pct"/>
            <w:gridSpan w:val="3"/>
            <w:tcBorders>
              <w:top w:val="single" w:sz="4" w:space="0" w:color="auto"/>
              <w:left w:val="single" w:sz="4" w:space="0" w:color="auto"/>
              <w:bottom w:val="single" w:sz="4" w:space="0" w:color="auto"/>
              <w:right w:val="single" w:sz="4" w:space="0" w:color="auto"/>
            </w:tcBorders>
          </w:tcPr>
          <w:p w14:paraId="79B69E57" w14:textId="66E4A738" w:rsidR="002F47A0" w:rsidRPr="009E686F" w:rsidRDefault="002F47A0" w:rsidP="002F47A0">
            <w:pPr>
              <w:spacing w:after="0"/>
              <w:jc w:val="both"/>
              <w:rPr>
                <w:rFonts w:ascii="Times New Roman" w:eastAsia="Aptos" w:hAnsi="Times New Roman" w:cs="Times New Roman"/>
                <w:b/>
                <w:bCs/>
                <w:kern w:val="2"/>
                <w:lang w:val="ro-MD"/>
              </w:rPr>
            </w:pPr>
            <w:r w:rsidRPr="009E686F">
              <w:rPr>
                <w:rFonts w:ascii="Times New Roman" w:eastAsia="Aptos" w:hAnsi="Times New Roman" w:cs="Times New Roman"/>
                <w:b/>
                <w:bCs/>
                <w:kern w:val="2"/>
                <w:lang w:val="ro-MD"/>
              </w:rPr>
              <w:lastRenderedPageBreak/>
              <w:t>Articolul 44</w:t>
            </w:r>
            <w:r w:rsidRPr="009E686F">
              <w:rPr>
                <w:rFonts w:ascii="Times New Roman" w:eastAsia="Aptos" w:hAnsi="Times New Roman" w:cs="Times New Roman"/>
                <w:b/>
                <w:bCs/>
                <w:kern w:val="2"/>
                <w:vertAlign w:val="superscript"/>
                <w:lang w:val="ro-MD"/>
              </w:rPr>
              <w:t>1</w:t>
            </w:r>
            <w:r w:rsidRPr="009E686F">
              <w:rPr>
                <w:rFonts w:ascii="Times New Roman" w:eastAsia="Aptos" w:hAnsi="Times New Roman" w:cs="Times New Roman"/>
                <w:b/>
                <w:bCs/>
                <w:kern w:val="2"/>
                <w:lang w:val="ro-MD"/>
              </w:rPr>
              <w:t xml:space="preserve"> alin.  (7)</w:t>
            </w:r>
          </w:p>
          <w:p w14:paraId="70695476" w14:textId="5D23AD43" w:rsidR="002F47A0" w:rsidRPr="009E686F" w:rsidRDefault="002F47A0" w:rsidP="002F47A0">
            <w:pPr>
              <w:spacing w:after="0"/>
              <w:jc w:val="both"/>
              <w:rPr>
                <w:rFonts w:ascii="Times New Roman" w:hAnsi="Times New Roman" w:cs="Times New Roman"/>
                <w:i/>
                <w:lang w:val="ro-RO"/>
              </w:rPr>
            </w:pPr>
            <w:r w:rsidRPr="009E686F">
              <w:rPr>
                <w:rFonts w:ascii="Times New Roman" w:eastAsia="Aptos" w:hAnsi="Times New Roman" w:cs="Times New Roman"/>
                <w:i/>
                <w:kern w:val="2"/>
                <w:lang w:val="ro-MD"/>
              </w:rPr>
              <w:t>(</w:t>
            </w:r>
            <w:r w:rsidRPr="009E686F">
              <w:rPr>
                <w:rFonts w:ascii="Times New Roman" w:eastAsia="Aptos" w:hAnsi="Times New Roman" w:cs="Times New Roman"/>
                <w:i/>
                <w:iCs/>
                <w:kern w:val="2"/>
                <w:lang w:val="ro-MD"/>
              </w:rPr>
              <w:t>7</w:t>
            </w:r>
            <w:r w:rsidRPr="009E686F">
              <w:rPr>
                <w:rFonts w:ascii="Times New Roman" w:eastAsia="Aptos" w:hAnsi="Times New Roman" w:cs="Times New Roman"/>
                <w:i/>
                <w:kern w:val="2"/>
                <w:lang w:val="ro-MD"/>
              </w:rPr>
              <w:t>) Fiecare dintre persoanele care urmează să dețină o funcție-cheie trebuie să fie aprobată de Banca Naţională a Moldovei înainte de începerea exercitării responsabilităţilor potrivit actelor normative emise în aplicarea prezentei legi</w:t>
            </w:r>
            <w:r w:rsidRPr="009E686F">
              <w:rPr>
                <w:rFonts w:ascii="Times New Roman" w:eastAsia="Aptos" w:hAnsi="Times New Roman" w:cs="Times New Roman"/>
                <w:i/>
                <w:iCs/>
                <w:kern w:val="2"/>
                <w:lang w:val="ro-MD"/>
              </w:rPr>
              <w:t xml:space="preserve">  </w:t>
            </w:r>
            <w:r w:rsidRPr="009E686F">
              <w:rPr>
                <w:rFonts w:ascii="Times New Roman" w:eastAsia="Aptos" w:hAnsi="Times New Roman" w:cs="Times New Roman"/>
                <w:i/>
                <w:kern w:val="2"/>
                <w:lang w:val="ro-MD"/>
              </w:rPr>
              <w:t xml:space="preserve">. Termenul de finalizare a procedurii de soluţionare a cererii de aprobare </w:t>
            </w:r>
            <w:r w:rsidRPr="009E686F">
              <w:rPr>
                <w:rFonts w:ascii="Times New Roman" w:eastAsia="Aptos" w:hAnsi="Times New Roman" w:cs="Times New Roman"/>
                <w:i/>
                <w:kern w:val="2"/>
                <w:lang w:val="ro-MD"/>
              </w:rPr>
              <w:lastRenderedPageBreak/>
              <w:t xml:space="preserve">este de 45 de zile lucrătoare, calculat de la data depunerii cererii respective însoţite de toate documentele care trebuie prezentate Băncii Naţionale a Moldovei. Dacă este necesară o examinare suplimentară sau este nevoie de mai mult timp pentru prelucrarea informaţiilor şi documentelor, termenul prevăzut de prezentul alineat poate fi prelungit cu cel mult 30 de zile lucrătoare, cu notificarea </w:t>
            </w:r>
            <w:r w:rsidRPr="009E686F">
              <w:rPr>
                <w:rFonts w:ascii="Times New Roman" w:eastAsia="Aptos" w:hAnsi="Times New Roman" w:cs="Times New Roman"/>
                <w:i/>
                <w:iCs/>
                <w:kern w:val="2"/>
                <w:lang w:val="ro-MD"/>
              </w:rPr>
              <w:t>entității.</w:t>
            </w:r>
            <w:r w:rsidRPr="009E686F">
              <w:rPr>
                <w:rFonts w:ascii="Times New Roman" w:eastAsia="Aptos" w:hAnsi="Times New Roman" w:cs="Times New Roman"/>
                <w:i/>
                <w:kern w:val="2"/>
                <w:lang w:val="ro-MD"/>
              </w:rPr>
              <w:t xml:space="preserve"> Banca Naţională a Moldovei va urmări în permanenţă respectarea de către persoanele care urmează să dețină o funcție-cheie a condiţiilor de aprobare.</w:t>
            </w:r>
          </w:p>
        </w:tc>
        <w:tc>
          <w:tcPr>
            <w:tcW w:w="470" w:type="pct"/>
            <w:tcBorders>
              <w:top w:val="single" w:sz="4" w:space="0" w:color="auto"/>
              <w:left w:val="single" w:sz="4" w:space="0" w:color="auto"/>
              <w:bottom w:val="single" w:sz="4" w:space="0" w:color="auto"/>
              <w:right w:val="single" w:sz="4" w:space="0" w:color="auto"/>
            </w:tcBorders>
          </w:tcPr>
          <w:p w14:paraId="13DA26C9" w14:textId="672ED4EE"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330EA07F" w14:textId="77777777" w:rsidR="002F47A0" w:rsidRPr="009E686F" w:rsidRDefault="002F47A0" w:rsidP="002F47A0">
            <w:pPr>
              <w:jc w:val="both"/>
              <w:rPr>
                <w:rFonts w:ascii="Times New Roman" w:hAnsi="Times New Roman" w:cs="Times New Roman"/>
                <w:lang w:val="ro-RO"/>
              </w:rPr>
            </w:pPr>
          </w:p>
        </w:tc>
      </w:tr>
      <w:tr w:rsidR="002F47A0" w:rsidRPr="009E686F" w14:paraId="39C29FA2"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0F388E42"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 xml:space="preserve">(7) Autoritățile competente pot solicita autorității responsabile cu supravegherea combaterii spălării banilor sau a finanțării terorismului în conformitate cu Directiva (UE) 2015/849 să consulte, în contextul verificărilor lor și în funcție de riscuri, informațiile relevante referitoare la coordonatorii funcțiilor de control intern si la directorul financiar. </w:t>
            </w:r>
          </w:p>
          <w:p w14:paraId="2999EFA4"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 xml:space="preserve">Autoritățile competente pot solicita, de asemenea, accesul la baza de date centrală CSB/CFT menționată în Regulamentul (UE) 2024/1620. </w:t>
            </w:r>
          </w:p>
          <w:p w14:paraId="5C06C792" w14:textId="6FB5B97D"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Autoritatea pentru Combaterea Spălării Banilor și a Finanțării Terorismului decide dacă acordă sau nu un astfel de acces.</w:t>
            </w:r>
          </w:p>
        </w:tc>
        <w:tc>
          <w:tcPr>
            <w:tcW w:w="1928" w:type="pct"/>
            <w:gridSpan w:val="3"/>
            <w:tcBorders>
              <w:top w:val="single" w:sz="4" w:space="0" w:color="auto"/>
              <w:left w:val="single" w:sz="4" w:space="0" w:color="auto"/>
              <w:bottom w:val="single" w:sz="4" w:space="0" w:color="auto"/>
              <w:right w:val="single" w:sz="4" w:space="0" w:color="auto"/>
            </w:tcBorders>
          </w:tcPr>
          <w:p w14:paraId="6615D2C1" w14:textId="5777062D" w:rsidR="002F47A0" w:rsidRPr="009E686F" w:rsidRDefault="002F47A0" w:rsidP="002F47A0">
            <w:pPr>
              <w:spacing w:after="0"/>
              <w:jc w:val="both"/>
              <w:rPr>
                <w:rFonts w:ascii="Times New Roman" w:eastAsia="Aptos" w:hAnsi="Times New Roman" w:cs="Times New Roman"/>
                <w:b/>
                <w:bCs/>
                <w:kern w:val="2"/>
                <w:lang w:val="ro-MD"/>
              </w:rPr>
            </w:pPr>
            <w:r w:rsidRPr="009E686F">
              <w:rPr>
                <w:rFonts w:ascii="Times New Roman" w:eastAsia="Aptos" w:hAnsi="Times New Roman" w:cs="Times New Roman"/>
                <w:b/>
                <w:bCs/>
                <w:kern w:val="2"/>
                <w:lang w:val="ro-MD"/>
              </w:rPr>
              <w:t>Articolul 44</w:t>
            </w:r>
            <w:r w:rsidRPr="009E686F">
              <w:rPr>
                <w:rFonts w:ascii="Times New Roman" w:eastAsia="Aptos" w:hAnsi="Times New Roman" w:cs="Times New Roman"/>
                <w:b/>
                <w:bCs/>
                <w:kern w:val="2"/>
                <w:vertAlign w:val="superscript"/>
                <w:lang w:val="ro-MD"/>
              </w:rPr>
              <w:t>1</w:t>
            </w:r>
            <w:r w:rsidRPr="009E686F">
              <w:rPr>
                <w:rFonts w:ascii="Times New Roman" w:eastAsia="Aptos" w:hAnsi="Times New Roman" w:cs="Times New Roman"/>
                <w:b/>
                <w:bCs/>
                <w:kern w:val="2"/>
                <w:lang w:val="ro-MD"/>
              </w:rPr>
              <w:t xml:space="preserve"> alin.  (12)</w:t>
            </w:r>
          </w:p>
          <w:p w14:paraId="35026AFB" w14:textId="77777777" w:rsidR="002F47A0" w:rsidRPr="009E686F" w:rsidRDefault="002F47A0" w:rsidP="002F47A0">
            <w:pPr>
              <w:spacing w:after="0"/>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 xml:space="preserve">(12) Prevederile art. 43 alin. (15) se aplică în mod corespunzător cu privire la informațiile referitoare la persoanele cu funcții-cheie.  </w:t>
            </w:r>
          </w:p>
          <w:p w14:paraId="5D656F37" w14:textId="6C6AB00D" w:rsidR="00242D0A" w:rsidRPr="009E686F" w:rsidRDefault="00242D0A" w:rsidP="00242D0A">
            <w:pPr>
              <w:spacing w:after="0"/>
              <w:jc w:val="both"/>
              <w:rPr>
                <w:rFonts w:ascii="Times New Roman" w:hAnsi="Times New Roman" w:cs="Times New Roman"/>
                <w:lang w:val="ro-RO"/>
              </w:rPr>
            </w:pPr>
            <w:r w:rsidRPr="009E686F">
              <w:rPr>
                <w:rFonts w:ascii="Times New Roman" w:hAnsi="Times New Roman" w:cs="Times New Roman"/>
                <w:i/>
                <w:iCs/>
                <w:lang w:val="ro-RO"/>
              </w:rPr>
              <w:t>(13) Prevederile art. 43</w:t>
            </w:r>
            <w:r w:rsidR="00C50686" w:rsidRPr="009E686F">
              <w:rPr>
                <w:rFonts w:ascii="Times New Roman" w:hAnsi="Times New Roman" w:cs="Times New Roman"/>
                <w:i/>
                <w:iCs/>
                <w:vertAlign w:val="superscript"/>
                <w:lang w:val="ro-RO"/>
              </w:rPr>
              <w:t>1</w:t>
            </w:r>
            <w:r w:rsidRPr="009E686F">
              <w:rPr>
                <w:rFonts w:ascii="Times New Roman" w:hAnsi="Times New Roman" w:cs="Times New Roman"/>
                <w:i/>
                <w:iCs/>
                <w:lang w:val="ro-RO"/>
              </w:rPr>
              <w:t xml:space="preserve"> alin. (16) se aplică în mod corespunzător cu privire la persoanele cu funcții-cheie.</w:t>
            </w:r>
          </w:p>
        </w:tc>
        <w:tc>
          <w:tcPr>
            <w:tcW w:w="470" w:type="pct"/>
            <w:tcBorders>
              <w:top w:val="single" w:sz="4" w:space="0" w:color="auto"/>
              <w:left w:val="single" w:sz="4" w:space="0" w:color="auto"/>
              <w:bottom w:val="single" w:sz="4" w:space="0" w:color="auto"/>
              <w:right w:val="single" w:sz="4" w:space="0" w:color="auto"/>
            </w:tcBorders>
          </w:tcPr>
          <w:p w14:paraId="17686F05" w14:textId="42C3ADC7"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1C77C4B9" w14:textId="77777777" w:rsidR="002F47A0" w:rsidRPr="009E686F" w:rsidRDefault="002F47A0" w:rsidP="002F47A0">
            <w:pPr>
              <w:jc w:val="both"/>
              <w:rPr>
                <w:rFonts w:ascii="Times New Roman" w:hAnsi="Times New Roman" w:cs="Times New Roman"/>
                <w:lang w:val="ro-RO"/>
              </w:rPr>
            </w:pPr>
          </w:p>
        </w:tc>
      </w:tr>
      <w:tr w:rsidR="002F47A0" w:rsidRPr="009E686F" w14:paraId="27E24B3B"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02E34B31"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(8) Până la 10 iulie 2026, ABE emite ghiduri, în conformitate cu articolul 16 din Regulamentul (UE) nr. 1093/2010, în legătură cu următoarele:</w:t>
            </w:r>
          </w:p>
          <w:p w14:paraId="64C85178"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(a) noțiunile de bună reputație, onestitate și integritate, astfel cum sunt menționate la alineatul (1);</w:t>
            </w:r>
          </w:p>
          <w:p w14:paraId="73EA4B0D" w14:textId="7777777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(b) noțiunea de deținere de cunoștințe, competențe și experiență suficiente, astfel cum este menționată la alineatul (1);</w:t>
            </w:r>
          </w:p>
          <w:p w14:paraId="7D07B2B3" w14:textId="7E4E1620"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 xml:space="preserve">(c) criteriile pentru a stabili dacă există motive întemeiate de a suspecta că se săvârșește sau s-a săvârșit o faptă ori o </w:t>
            </w:r>
            <w:r w:rsidRPr="009E686F">
              <w:rPr>
                <w:rFonts w:ascii="Times New Roman" w:hAnsi="Times New Roman" w:cs="Times New Roman"/>
                <w:lang w:val="ro-RO"/>
              </w:rPr>
              <w:lastRenderedPageBreak/>
              <w:t>tentativă de spălare de bani sau de finanțare a terorismului în sensul articolului 1 din Directiva (UE) 2015/849 sau că există un risc crescut în acest sens în legătură cu entitatea.</w:t>
            </w:r>
          </w:p>
        </w:tc>
        <w:tc>
          <w:tcPr>
            <w:tcW w:w="1928" w:type="pct"/>
            <w:gridSpan w:val="3"/>
            <w:tcBorders>
              <w:top w:val="single" w:sz="4" w:space="0" w:color="auto"/>
              <w:left w:val="single" w:sz="4" w:space="0" w:color="auto"/>
              <w:bottom w:val="single" w:sz="4" w:space="0" w:color="auto"/>
              <w:right w:val="single" w:sz="4" w:space="0" w:color="auto"/>
            </w:tcBorders>
          </w:tcPr>
          <w:p w14:paraId="0A9323E7" w14:textId="77777777" w:rsidR="002F47A0" w:rsidRPr="009E686F" w:rsidRDefault="002F47A0" w:rsidP="002F47A0">
            <w:pPr>
              <w:spacing w:after="0"/>
              <w:jc w:val="both"/>
              <w:rPr>
                <w:rFonts w:ascii="Times New Roman" w:hAnsi="Times New Roman" w:cs="Times New Roman"/>
                <w:lang w:val="ro-RO"/>
              </w:rPr>
            </w:pPr>
          </w:p>
        </w:tc>
        <w:tc>
          <w:tcPr>
            <w:tcW w:w="470" w:type="pct"/>
            <w:tcBorders>
              <w:top w:val="single" w:sz="4" w:space="0" w:color="auto"/>
              <w:left w:val="single" w:sz="4" w:space="0" w:color="auto"/>
              <w:bottom w:val="single" w:sz="4" w:space="0" w:color="auto"/>
              <w:right w:val="single" w:sz="4" w:space="0" w:color="auto"/>
            </w:tcBorders>
          </w:tcPr>
          <w:p w14:paraId="49D518CD" w14:textId="26217F9B"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Norme UE neaplicabile</w:t>
            </w:r>
          </w:p>
        </w:tc>
        <w:tc>
          <w:tcPr>
            <w:tcW w:w="806" w:type="pct"/>
            <w:tcBorders>
              <w:top w:val="single" w:sz="4" w:space="0" w:color="auto"/>
              <w:left w:val="single" w:sz="4" w:space="0" w:color="auto"/>
              <w:bottom w:val="single" w:sz="4" w:space="0" w:color="auto"/>
              <w:right w:val="single" w:sz="4" w:space="0" w:color="auto"/>
            </w:tcBorders>
          </w:tcPr>
          <w:p w14:paraId="0F25600B" w14:textId="2F6BC645"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Se referă la competențele ABE.</w:t>
            </w:r>
          </w:p>
        </w:tc>
      </w:tr>
      <w:tr w:rsidR="002F47A0" w:rsidRPr="009E686F" w14:paraId="34510957"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5D54C24B" w14:textId="4168BD8A"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În sensul primului paragraf litera (c), ABE cooperează îndeaproape cu ESMA și cu Autoritatea pentru Combaterea Spălării Banilor și a Finanțării Terorismului.</w:t>
            </w:r>
          </w:p>
        </w:tc>
        <w:tc>
          <w:tcPr>
            <w:tcW w:w="1928" w:type="pct"/>
            <w:gridSpan w:val="3"/>
            <w:tcBorders>
              <w:top w:val="single" w:sz="4" w:space="0" w:color="auto"/>
              <w:left w:val="single" w:sz="4" w:space="0" w:color="auto"/>
              <w:bottom w:val="single" w:sz="4" w:space="0" w:color="auto"/>
              <w:right w:val="single" w:sz="4" w:space="0" w:color="auto"/>
            </w:tcBorders>
          </w:tcPr>
          <w:p w14:paraId="1EE6EBD5" w14:textId="77777777" w:rsidR="002F47A0" w:rsidRPr="009E686F" w:rsidRDefault="002F47A0" w:rsidP="002F47A0">
            <w:pPr>
              <w:spacing w:after="0"/>
              <w:jc w:val="both"/>
              <w:rPr>
                <w:rFonts w:ascii="Times New Roman" w:hAnsi="Times New Roman" w:cs="Times New Roman"/>
                <w:lang w:val="ro-RO"/>
              </w:rPr>
            </w:pPr>
          </w:p>
        </w:tc>
        <w:tc>
          <w:tcPr>
            <w:tcW w:w="470" w:type="pct"/>
            <w:tcBorders>
              <w:top w:val="single" w:sz="4" w:space="0" w:color="auto"/>
              <w:left w:val="single" w:sz="4" w:space="0" w:color="auto"/>
              <w:bottom w:val="single" w:sz="4" w:space="0" w:color="auto"/>
              <w:right w:val="single" w:sz="4" w:space="0" w:color="auto"/>
            </w:tcBorders>
          </w:tcPr>
          <w:p w14:paraId="1BF1FC22" w14:textId="4DA74143"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Norme UE neaplicabile</w:t>
            </w:r>
          </w:p>
        </w:tc>
        <w:tc>
          <w:tcPr>
            <w:tcW w:w="806" w:type="pct"/>
            <w:tcBorders>
              <w:top w:val="single" w:sz="4" w:space="0" w:color="auto"/>
              <w:left w:val="single" w:sz="4" w:space="0" w:color="auto"/>
              <w:bottom w:val="single" w:sz="4" w:space="0" w:color="auto"/>
              <w:right w:val="single" w:sz="4" w:space="0" w:color="auto"/>
            </w:tcBorders>
          </w:tcPr>
          <w:p w14:paraId="2D626F35" w14:textId="247F7B30"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Se referă la competențele ABE.</w:t>
            </w:r>
          </w:p>
        </w:tc>
      </w:tr>
      <w:tr w:rsidR="002F47A0" w:rsidRPr="009E686F" w14:paraId="52B7353E" w14:textId="11C96F46" w:rsidTr="00774F3E">
        <w:tc>
          <w:tcPr>
            <w:tcW w:w="1796" w:type="pct"/>
            <w:gridSpan w:val="2"/>
            <w:tcBorders>
              <w:top w:val="single" w:sz="4" w:space="0" w:color="auto"/>
              <w:left w:val="single" w:sz="4" w:space="0" w:color="auto"/>
              <w:bottom w:val="single" w:sz="4" w:space="0" w:color="auto"/>
              <w:right w:val="single" w:sz="4" w:space="0" w:color="auto"/>
            </w:tcBorders>
          </w:tcPr>
          <w:p w14:paraId="42C9B156" w14:textId="77777777" w:rsidR="002F47A0" w:rsidRPr="009E686F" w:rsidRDefault="002F47A0" w:rsidP="002F47A0">
            <w:pPr>
              <w:spacing w:after="0"/>
              <w:jc w:val="both"/>
              <w:rPr>
                <w:rFonts w:ascii="Times New Roman" w:hAnsi="Times New Roman" w:cs="Times New Roman"/>
                <w:i/>
                <w:iCs/>
                <w:lang w:val="ro-RO"/>
              </w:rPr>
            </w:pPr>
            <w:r w:rsidRPr="009E686F">
              <w:rPr>
                <w:rFonts w:ascii="Times New Roman" w:hAnsi="Times New Roman" w:cs="Times New Roman"/>
                <w:i/>
                <w:lang w:val="ro-RO"/>
              </w:rPr>
              <w:t xml:space="preserve">Articolul 92 </w:t>
            </w:r>
          </w:p>
          <w:p w14:paraId="407D5594" w14:textId="14BA1BD0"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Politici de remunerare</w:t>
            </w:r>
          </w:p>
        </w:tc>
        <w:tc>
          <w:tcPr>
            <w:tcW w:w="1928" w:type="pct"/>
            <w:gridSpan w:val="3"/>
            <w:tcBorders>
              <w:top w:val="single" w:sz="4" w:space="0" w:color="auto"/>
              <w:left w:val="single" w:sz="4" w:space="0" w:color="auto"/>
              <w:bottom w:val="single" w:sz="4" w:space="0" w:color="auto"/>
              <w:right w:val="single" w:sz="4" w:space="0" w:color="auto"/>
            </w:tcBorders>
          </w:tcPr>
          <w:p w14:paraId="614F0F3A" w14:textId="6BCC392B"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b/>
                <w:bCs/>
                <w:lang w:val="ro-RO"/>
              </w:rPr>
              <w:t>Articolul 39.</w:t>
            </w:r>
            <w:r w:rsidRPr="009E686F">
              <w:rPr>
                <w:rFonts w:ascii="Times New Roman" w:hAnsi="Times New Roman" w:cs="Times New Roman"/>
                <w:lang w:val="ro-RO"/>
              </w:rPr>
              <w:t xml:space="preserve"> Politica de remunerare</w:t>
            </w:r>
          </w:p>
          <w:p w14:paraId="3BE2D895" w14:textId="15A306A7" w:rsidR="002F47A0" w:rsidRPr="009E686F" w:rsidRDefault="002F47A0" w:rsidP="002F47A0">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089B8E85" w14:textId="61AA4F5D"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2F0B7108" w14:textId="77777777" w:rsidR="002F47A0" w:rsidRPr="009E686F" w:rsidRDefault="002F47A0" w:rsidP="002F47A0">
            <w:pPr>
              <w:jc w:val="both"/>
              <w:rPr>
                <w:rFonts w:ascii="Times New Roman" w:hAnsi="Times New Roman" w:cs="Times New Roman"/>
                <w:lang w:val="ro-RO"/>
              </w:rPr>
            </w:pPr>
          </w:p>
        </w:tc>
      </w:tr>
      <w:tr w:rsidR="002F47A0" w:rsidRPr="009E686F" w14:paraId="3ACE08B2" w14:textId="4112B945" w:rsidTr="00774F3E">
        <w:tc>
          <w:tcPr>
            <w:tcW w:w="1796" w:type="pct"/>
            <w:gridSpan w:val="2"/>
            <w:tcBorders>
              <w:top w:val="single" w:sz="4" w:space="0" w:color="auto"/>
              <w:left w:val="single" w:sz="4" w:space="0" w:color="auto"/>
              <w:bottom w:val="single" w:sz="4" w:space="0" w:color="auto"/>
              <w:right w:val="single" w:sz="4" w:space="0" w:color="auto"/>
            </w:tcBorders>
          </w:tcPr>
          <w:p w14:paraId="55D64CB4" w14:textId="7F2B002D"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(2)Statele membre  se asigură că, la stabilirea și aplicarea politicilor privind remunerația totală, inclusiv salariile și beneficiile discreționare de tipul pensiilor, pentru categoriile de personal ale căror activități profesionale au un impact semnificativ asupra profilului  de risc,  al instituției, instituțiile respectă  următoarele cerințe într-un mod adecvat în raport cu dimeniunea și organizarea lor internă, precum și cu natura, amploarea și complexitatea activităților lor:</w:t>
            </w:r>
          </w:p>
        </w:tc>
        <w:tc>
          <w:tcPr>
            <w:tcW w:w="1928" w:type="pct"/>
            <w:gridSpan w:val="3"/>
            <w:tcBorders>
              <w:top w:val="single" w:sz="4" w:space="0" w:color="auto"/>
              <w:left w:val="single" w:sz="4" w:space="0" w:color="auto"/>
              <w:bottom w:val="single" w:sz="4" w:space="0" w:color="auto"/>
              <w:right w:val="single" w:sz="4" w:space="0" w:color="auto"/>
            </w:tcBorders>
          </w:tcPr>
          <w:p w14:paraId="329E8C33" w14:textId="00967EFC" w:rsidR="002F47A0" w:rsidRPr="009E686F" w:rsidRDefault="002F47A0" w:rsidP="002F47A0">
            <w:pPr>
              <w:spacing w:after="0"/>
              <w:jc w:val="both"/>
              <w:rPr>
                <w:rFonts w:ascii="Times New Roman" w:hAnsi="Times New Roman" w:cs="Times New Roman"/>
                <w:bCs/>
                <w:lang w:val="ro-RO"/>
              </w:rPr>
            </w:pPr>
            <w:r w:rsidRPr="009E686F">
              <w:rPr>
                <w:rFonts w:ascii="Times New Roman" w:eastAsia="Times New Roman" w:hAnsi="Times New Roman" w:cs="Times New Roman"/>
                <w:lang w:val="ro-RO" w:eastAsia="ro-MD"/>
              </w:rPr>
              <w:t xml:space="preserve">(1) </w:t>
            </w:r>
            <w:r w:rsidRPr="009E686F">
              <w:rPr>
                <w:rFonts w:ascii="Times New Roman" w:hAnsi="Times New Roman" w:cs="Times New Roman"/>
                <w:i/>
                <w:lang w:val="ro-RO"/>
              </w:rPr>
              <w:t>Instituția de credit</w:t>
            </w:r>
            <w:r w:rsidRPr="009E686F">
              <w:rPr>
                <w:rFonts w:ascii="Times New Roman" w:eastAsia="Times New Roman" w:hAnsi="Times New Roman" w:cs="Times New Roman"/>
                <w:lang w:val="ro-RO" w:eastAsia="ro-MD"/>
              </w:rPr>
              <w:t xml:space="preserve"> este obligată să stabilească şi să aplice politici privind remunerarea </w:t>
            </w:r>
            <w:bookmarkStart w:id="32" w:name="_Hlk207367447"/>
            <w:r w:rsidRPr="009E686F">
              <w:rPr>
                <w:rFonts w:ascii="Times New Roman" w:eastAsia="Times New Roman" w:hAnsi="Times New Roman" w:cs="Times New Roman"/>
                <w:i/>
                <w:lang w:val="ro-RO" w:eastAsia="ro-MD"/>
              </w:rPr>
              <w:t>totală, inclusiv salariile şi beneficiile discreţionare de tipul pensiilor</w:t>
            </w:r>
            <w:r w:rsidRPr="009E686F">
              <w:rPr>
                <w:rFonts w:ascii="Times New Roman" w:eastAsia="Times New Roman" w:hAnsi="Times New Roman" w:cs="Times New Roman"/>
                <w:lang w:val="ro-RO" w:eastAsia="ro-MD"/>
              </w:rPr>
              <w:t>,</w:t>
            </w:r>
            <w:bookmarkEnd w:id="32"/>
            <w:r w:rsidRPr="009E686F">
              <w:rPr>
                <w:rFonts w:ascii="Times New Roman" w:eastAsia="Times New Roman" w:hAnsi="Times New Roman" w:cs="Times New Roman"/>
                <w:lang w:val="ro-RO" w:eastAsia="ro-MD"/>
              </w:rPr>
              <w:t xml:space="preserve"> pentru </w:t>
            </w:r>
            <w:r w:rsidRPr="009E686F">
              <w:rPr>
                <w:rFonts w:ascii="Times New Roman" w:eastAsia="Times New Roman" w:hAnsi="Times New Roman" w:cs="Times New Roman"/>
                <w:i/>
                <w:iCs/>
                <w:lang w:val="ro-RO" w:eastAsia="ro-MD"/>
              </w:rPr>
              <w:t>categoriile</w:t>
            </w:r>
            <w:r w:rsidRPr="009E686F">
              <w:rPr>
                <w:rFonts w:ascii="Times New Roman" w:eastAsia="Times New Roman" w:hAnsi="Times New Roman" w:cs="Times New Roman"/>
                <w:i/>
                <w:lang w:val="ro-RO" w:eastAsia="ro-MD"/>
              </w:rPr>
              <w:t xml:space="preserve"> de </w:t>
            </w:r>
            <w:r w:rsidRPr="009E686F">
              <w:rPr>
                <w:rFonts w:ascii="Times New Roman" w:eastAsia="Times New Roman" w:hAnsi="Times New Roman" w:cs="Times New Roman"/>
                <w:i/>
                <w:iCs/>
                <w:lang w:val="ro-RO" w:eastAsia="ro-MD"/>
              </w:rPr>
              <w:t>personal</w:t>
            </w:r>
            <w:r w:rsidRPr="009E686F">
              <w:rPr>
                <w:rFonts w:ascii="Times New Roman" w:eastAsia="Times New Roman" w:hAnsi="Times New Roman" w:cs="Times New Roman"/>
                <w:i/>
                <w:lang w:val="ro-RO" w:eastAsia="ro-MD"/>
              </w:rPr>
              <w:t xml:space="preserve"> ale căror </w:t>
            </w:r>
            <w:r w:rsidRPr="009E686F">
              <w:rPr>
                <w:rFonts w:ascii="Times New Roman" w:eastAsia="Times New Roman" w:hAnsi="Times New Roman" w:cs="Times New Roman"/>
                <w:i/>
                <w:iCs/>
                <w:lang w:val="ro-RO" w:eastAsia="ro-MD"/>
              </w:rPr>
              <w:t>activități profesionale</w:t>
            </w:r>
            <w:r w:rsidRPr="009E686F">
              <w:rPr>
                <w:rFonts w:ascii="Times New Roman" w:eastAsia="Times New Roman" w:hAnsi="Times New Roman" w:cs="Times New Roman"/>
                <w:i/>
                <w:lang w:val="ro-RO" w:eastAsia="ro-MD"/>
              </w:rPr>
              <w:t xml:space="preserve"> au un impact semnificativ asupra profilului de risc al </w:t>
            </w:r>
            <w:r w:rsidRPr="009E686F">
              <w:rPr>
                <w:rFonts w:ascii="Times New Roman" w:eastAsia="Times New Roman" w:hAnsi="Times New Roman" w:cs="Times New Roman"/>
                <w:i/>
                <w:iCs/>
                <w:lang w:val="ro-RO" w:eastAsia="ro-MD"/>
              </w:rPr>
              <w:t>instituției de credit</w:t>
            </w:r>
            <w:r w:rsidRPr="009E686F">
              <w:rPr>
                <w:rFonts w:ascii="Times New Roman" w:eastAsia="Times New Roman" w:hAnsi="Times New Roman" w:cs="Times New Roman"/>
                <w:i/>
                <w:lang w:val="ro-RO" w:eastAsia="ro-MD"/>
              </w:rPr>
              <w:t xml:space="preserve"> (</w:t>
            </w:r>
            <w:r w:rsidRPr="009E686F">
              <w:rPr>
                <w:rFonts w:ascii="Times New Roman" w:eastAsia="Times New Roman" w:hAnsi="Times New Roman" w:cs="Times New Roman"/>
                <w:i/>
                <w:iCs/>
                <w:lang w:val="ro-RO" w:eastAsia="ro-MD"/>
              </w:rPr>
              <w:t>în continuare</w:t>
            </w:r>
            <w:r w:rsidRPr="009E686F">
              <w:rPr>
                <w:rFonts w:ascii="Times New Roman" w:eastAsia="Times New Roman" w:hAnsi="Times New Roman" w:cs="Times New Roman"/>
                <w:i/>
                <w:lang w:val="ro-RO" w:eastAsia="ro-MD"/>
              </w:rPr>
              <w:t xml:space="preserve"> membrii personalului</w:t>
            </w:r>
            <w:r w:rsidR="00984B34" w:rsidRPr="009E686F">
              <w:rPr>
                <w:rFonts w:ascii="Times New Roman" w:eastAsia="Times New Roman" w:hAnsi="Times New Roman" w:cs="Times New Roman"/>
                <w:i/>
                <w:lang w:val="ro-RO" w:eastAsia="ro-MD"/>
              </w:rPr>
              <w:t xml:space="preserve"> identificat</w:t>
            </w:r>
            <w:r w:rsidRPr="009E686F">
              <w:rPr>
                <w:rFonts w:ascii="Times New Roman" w:eastAsia="Times New Roman" w:hAnsi="Times New Roman" w:cs="Times New Roman"/>
                <w:i/>
                <w:lang w:val="ro-RO" w:eastAsia="ro-MD"/>
              </w:rPr>
              <w:t>),</w:t>
            </w:r>
            <w:r w:rsidRPr="009E686F">
              <w:rPr>
                <w:rFonts w:ascii="Times New Roman" w:eastAsia="Times New Roman" w:hAnsi="Times New Roman" w:cs="Times New Roman"/>
                <w:lang w:val="ro-RO" w:eastAsia="ro-MD"/>
              </w:rPr>
              <w:t xml:space="preserve"> respectând, într-un mod şi într-o măsură adecvată în raport cu mărimea şi organizarea internă a </w:t>
            </w:r>
            <w:r w:rsidRPr="009E686F">
              <w:rPr>
                <w:rFonts w:ascii="Times New Roman" w:eastAsia="Times New Roman" w:hAnsi="Times New Roman" w:cs="Times New Roman"/>
                <w:i/>
                <w:lang w:val="ro-RO" w:eastAsia="ro-MD"/>
              </w:rPr>
              <w:t>instituției de credit</w:t>
            </w:r>
            <w:r w:rsidRPr="009E686F">
              <w:rPr>
                <w:rFonts w:ascii="Times New Roman" w:eastAsia="Times New Roman" w:hAnsi="Times New Roman" w:cs="Times New Roman"/>
                <w:lang w:val="ro-RO" w:eastAsia="ro-MD"/>
              </w:rPr>
              <w:t xml:space="preserve">, cu natura, amploarea şi complexitatea acesteia, următoarele principii: </w:t>
            </w:r>
          </w:p>
        </w:tc>
        <w:tc>
          <w:tcPr>
            <w:tcW w:w="470" w:type="pct"/>
            <w:tcBorders>
              <w:top w:val="single" w:sz="4" w:space="0" w:color="auto"/>
              <w:left w:val="single" w:sz="4" w:space="0" w:color="auto"/>
              <w:bottom w:val="single" w:sz="4" w:space="0" w:color="auto"/>
              <w:right w:val="single" w:sz="4" w:space="0" w:color="auto"/>
            </w:tcBorders>
          </w:tcPr>
          <w:p w14:paraId="3F8DAA2E" w14:textId="7F147971"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 xml:space="preserve">Compatibil </w:t>
            </w:r>
          </w:p>
          <w:p w14:paraId="077551C1" w14:textId="1CAE0B44" w:rsidR="002F47A0" w:rsidRPr="009E686F" w:rsidRDefault="002F47A0" w:rsidP="002F47A0">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004CBE03" w14:textId="77777777" w:rsidR="002F47A0" w:rsidRPr="009E686F" w:rsidRDefault="002F47A0" w:rsidP="002F47A0">
            <w:pPr>
              <w:jc w:val="both"/>
              <w:rPr>
                <w:rFonts w:ascii="Times New Roman" w:hAnsi="Times New Roman" w:cs="Times New Roman"/>
                <w:lang w:val="ro-RO"/>
              </w:rPr>
            </w:pPr>
          </w:p>
        </w:tc>
      </w:tr>
      <w:tr w:rsidR="002F47A0" w:rsidRPr="009E686F" w14:paraId="3268EAF6" w14:textId="554943D9" w:rsidTr="00774F3E">
        <w:tc>
          <w:tcPr>
            <w:tcW w:w="1796" w:type="pct"/>
            <w:gridSpan w:val="2"/>
            <w:tcBorders>
              <w:top w:val="single" w:sz="4" w:space="0" w:color="auto"/>
              <w:left w:val="single" w:sz="4" w:space="0" w:color="auto"/>
              <w:bottom w:val="single" w:sz="4" w:space="0" w:color="auto"/>
              <w:right w:val="single" w:sz="4" w:space="0" w:color="auto"/>
            </w:tcBorders>
          </w:tcPr>
          <w:p w14:paraId="1243681F" w14:textId="5E032DCD"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(a) politica de remunerare promovează și este compatibilă cu o gestionare a riscurilor viabilă și eficace și nu încurajează asumarea unor riscuri care depășesc nivelul de risc tolerat de instituție;</w:t>
            </w:r>
          </w:p>
        </w:tc>
        <w:tc>
          <w:tcPr>
            <w:tcW w:w="1928" w:type="pct"/>
            <w:gridSpan w:val="3"/>
            <w:tcBorders>
              <w:top w:val="single" w:sz="4" w:space="0" w:color="auto"/>
              <w:left w:val="single" w:sz="4" w:space="0" w:color="auto"/>
              <w:bottom w:val="single" w:sz="4" w:space="0" w:color="auto"/>
              <w:right w:val="single" w:sz="4" w:space="0" w:color="auto"/>
            </w:tcBorders>
          </w:tcPr>
          <w:p w14:paraId="375197CA" w14:textId="7F31C67F" w:rsidR="002F47A0" w:rsidRPr="009E686F" w:rsidRDefault="002F47A0" w:rsidP="002F47A0">
            <w:pPr>
              <w:spacing w:after="0"/>
              <w:jc w:val="both"/>
              <w:rPr>
                <w:rFonts w:ascii="Times New Roman" w:eastAsia="Times New Roman" w:hAnsi="Times New Roman" w:cs="Times New Roman"/>
                <w:lang w:val="ro-MD" w:eastAsia="ro-MD"/>
              </w:rPr>
            </w:pPr>
            <w:r w:rsidRPr="009E686F">
              <w:rPr>
                <w:rFonts w:ascii="Times New Roman" w:eastAsia="Times New Roman" w:hAnsi="Times New Roman" w:cs="Times New Roman"/>
                <w:lang w:val="ro-RO" w:eastAsia="ro-MD"/>
              </w:rPr>
              <w:t>a) politica de remunerare trebuie să promoveze şi trebuie să fie compatibilă cu o gestiune viabilă şi eficace a riscurilor,</w:t>
            </w:r>
            <w:r w:rsidRPr="009E686F">
              <w:rPr>
                <w:i/>
                <w:lang w:val="ro-RO"/>
              </w:rPr>
              <w:t xml:space="preserve"> </w:t>
            </w:r>
            <w:r w:rsidRPr="009E686F">
              <w:rPr>
                <w:rFonts w:ascii="Times New Roman" w:eastAsia="Times New Roman" w:hAnsi="Times New Roman" w:cs="Times New Roman"/>
                <w:i/>
                <w:lang w:val="ro-RO" w:eastAsia="ro-MD"/>
              </w:rPr>
              <w:t>inclusiv prin luarea în considerare a apetitului pentru risc al institu</w:t>
            </w:r>
            <w:r w:rsidRPr="009E686F">
              <w:rPr>
                <w:rFonts w:ascii="Times New Roman" w:eastAsia="Times New Roman" w:hAnsi="Times New Roman" w:cs="Times New Roman"/>
                <w:i/>
                <w:iCs/>
                <w:lang w:val="ro-RO" w:eastAsia="ro-MD"/>
              </w:rPr>
              <w:t>ț</w:t>
            </w:r>
            <w:r w:rsidRPr="009E686F">
              <w:rPr>
                <w:rFonts w:ascii="Times New Roman" w:eastAsia="Times New Roman" w:hAnsi="Times New Roman" w:cs="Times New Roman"/>
                <w:i/>
                <w:lang w:val="ro-RO" w:eastAsia="ro-MD"/>
              </w:rPr>
              <w:t>iei de credit în ceea ce privește riscurile de mediu, sociale și de guvernanță</w:t>
            </w:r>
            <w:r w:rsidRPr="009E686F">
              <w:rPr>
                <w:rFonts w:ascii="Times New Roman" w:eastAsia="Times New Roman" w:hAnsi="Times New Roman" w:cs="Times New Roman"/>
                <w:lang w:val="ro-RO" w:eastAsia="ro-MD"/>
              </w:rPr>
              <w:t xml:space="preserve"> şi nu va încuraja asumarea unor riscuri care depăşesc nivelul acceptat de instituția de credit</w:t>
            </w:r>
            <w:r w:rsidRPr="009E686F">
              <w:rPr>
                <w:rFonts w:ascii="Times New Roman" w:eastAsia="Times New Roman" w:hAnsi="Times New Roman" w:cs="Times New Roman"/>
                <w:lang w:val="ro-MD" w:eastAsia="ro-MD"/>
              </w:rPr>
              <w:t>;</w:t>
            </w:r>
          </w:p>
        </w:tc>
        <w:tc>
          <w:tcPr>
            <w:tcW w:w="470" w:type="pct"/>
            <w:tcBorders>
              <w:top w:val="single" w:sz="4" w:space="0" w:color="auto"/>
              <w:left w:val="single" w:sz="4" w:space="0" w:color="auto"/>
              <w:bottom w:val="single" w:sz="4" w:space="0" w:color="auto"/>
              <w:right w:val="single" w:sz="4" w:space="0" w:color="auto"/>
            </w:tcBorders>
          </w:tcPr>
          <w:p w14:paraId="299AFEEB" w14:textId="77777777"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r w:rsidRPr="009E686F" w:rsidDel="00A13865">
              <w:rPr>
                <w:rFonts w:ascii="Times New Roman" w:hAnsi="Times New Roman" w:cs="Times New Roman"/>
                <w:lang w:val="ro-RO"/>
              </w:rPr>
              <w:t xml:space="preserve"> </w:t>
            </w:r>
          </w:p>
          <w:p w14:paraId="5038E9A9" w14:textId="12F3C909" w:rsidR="002F47A0" w:rsidRPr="009E686F" w:rsidRDefault="002F47A0" w:rsidP="002F47A0">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08FAA984" w14:textId="77777777" w:rsidR="002F47A0" w:rsidRPr="009E686F" w:rsidRDefault="002F47A0" w:rsidP="002F47A0">
            <w:pPr>
              <w:jc w:val="both"/>
              <w:rPr>
                <w:rFonts w:ascii="Times New Roman" w:hAnsi="Times New Roman" w:cs="Times New Roman"/>
                <w:lang w:val="ro-RO"/>
              </w:rPr>
            </w:pPr>
          </w:p>
        </w:tc>
      </w:tr>
      <w:tr w:rsidR="002F47A0" w:rsidRPr="009E686F" w14:paraId="049C0CFE"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0A26D819" w14:textId="4F895266"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(aa) politica de remunerare este o politică de remunerare neutră din punctul de vedere al genului;</w:t>
            </w:r>
          </w:p>
        </w:tc>
        <w:tc>
          <w:tcPr>
            <w:tcW w:w="1928" w:type="pct"/>
            <w:gridSpan w:val="3"/>
            <w:tcBorders>
              <w:top w:val="single" w:sz="4" w:space="0" w:color="auto"/>
              <w:left w:val="single" w:sz="4" w:space="0" w:color="auto"/>
              <w:bottom w:val="single" w:sz="4" w:space="0" w:color="auto"/>
              <w:right w:val="single" w:sz="4" w:space="0" w:color="auto"/>
            </w:tcBorders>
          </w:tcPr>
          <w:p w14:paraId="2DE2AE6D" w14:textId="408C5069" w:rsidR="002F47A0" w:rsidRPr="009E686F" w:rsidRDefault="002F47A0" w:rsidP="002F47A0">
            <w:pPr>
              <w:spacing w:after="0"/>
              <w:jc w:val="both"/>
              <w:rPr>
                <w:rFonts w:ascii="Times New Roman" w:hAnsi="Times New Roman" w:cs="Times New Roman"/>
                <w:bCs/>
                <w:lang w:val="ro-RO"/>
              </w:rPr>
            </w:pPr>
            <w:r w:rsidRPr="009E686F">
              <w:rPr>
                <w:rFonts w:ascii="Times New Roman" w:hAnsi="Times New Roman" w:cs="Times New Roman"/>
                <w:i/>
                <w:lang w:val="ro-RO"/>
              </w:rPr>
              <w:t>b</w:t>
            </w:r>
            <w:r w:rsidRPr="009E686F">
              <w:rPr>
                <w:rFonts w:ascii="Times New Roman" w:hAnsi="Times New Roman" w:cs="Times New Roman"/>
                <w:i/>
                <w:vertAlign w:val="superscript"/>
                <w:lang w:val="ro-RO"/>
              </w:rPr>
              <w:t>1</w:t>
            </w:r>
            <w:r w:rsidRPr="009E686F">
              <w:rPr>
                <w:rFonts w:ascii="Times New Roman" w:hAnsi="Times New Roman" w:cs="Times New Roman"/>
                <w:i/>
                <w:lang w:val="ro-RO"/>
              </w:rPr>
              <w:t>)</w:t>
            </w:r>
            <w:r w:rsidRPr="009E686F">
              <w:rPr>
                <w:rFonts w:ascii="Times New Roman" w:hAnsi="Times New Roman" w:cs="Times New Roman"/>
                <w:bCs/>
                <w:lang w:val="ro-RO"/>
              </w:rPr>
              <w:t xml:space="preserve"> </w:t>
            </w:r>
            <w:r w:rsidRPr="009E686F">
              <w:rPr>
                <w:rFonts w:ascii="Times New Roman" w:hAnsi="Times New Roman" w:cs="Times New Roman"/>
                <w:bCs/>
                <w:i/>
                <w:iCs/>
                <w:lang w:val="ro-RO"/>
              </w:rPr>
              <w:t xml:space="preserve">politicile   și practicile </w:t>
            </w:r>
            <w:r w:rsidRPr="009E686F">
              <w:rPr>
                <w:rFonts w:ascii="Times New Roman" w:hAnsi="Times New Roman" w:cs="Times New Roman"/>
                <w:i/>
                <w:lang w:val="ro-RO"/>
              </w:rPr>
              <w:t xml:space="preserve"> de remunerare </w:t>
            </w:r>
            <w:r w:rsidRPr="009E686F">
              <w:rPr>
                <w:rFonts w:ascii="Times New Roman" w:hAnsi="Times New Roman" w:cs="Times New Roman"/>
                <w:bCs/>
                <w:i/>
                <w:iCs/>
                <w:lang w:val="ro-RO"/>
              </w:rPr>
              <w:t>trebuie să fie neutre</w:t>
            </w:r>
            <w:r w:rsidRPr="009E686F">
              <w:rPr>
                <w:rFonts w:ascii="Times New Roman" w:hAnsi="Times New Roman" w:cs="Times New Roman"/>
                <w:i/>
                <w:lang w:val="ro-RO"/>
              </w:rPr>
              <w:t xml:space="preserve"> din punctul de vedere al genului</w:t>
            </w:r>
            <w:r w:rsidRPr="009E686F">
              <w:rPr>
                <w:rFonts w:ascii="Times New Roman" w:hAnsi="Times New Roman" w:cs="Times New Roman"/>
                <w:bCs/>
                <w:lang w:val="ro-RO"/>
              </w:rPr>
              <w:t xml:space="preserve">;  </w:t>
            </w:r>
          </w:p>
        </w:tc>
        <w:tc>
          <w:tcPr>
            <w:tcW w:w="470" w:type="pct"/>
            <w:tcBorders>
              <w:top w:val="single" w:sz="4" w:space="0" w:color="auto"/>
              <w:left w:val="single" w:sz="4" w:space="0" w:color="auto"/>
              <w:bottom w:val="single" w:sz="4" w:space="0" w:color="auto"/>
              <w:right w:val="single" w:sz="4" w:space="0" w:color="auto"/>
            </w:tcBorders>
          </w:tcPr>
          <w:p w14:paraId="6C4A56F9" w14:textId="4E766DEC"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7AF78451" w14:textId="77777777" w:rsidR="002F47A0" w:rsidRPr="009E686F" w:rsidRDefault="002F47A0" w:rsidP="002F47A0">
            <w:pPr>
              <w:jc w:val="both"/>
              <w:rPr>
                <w:rFonts w:ascii="Times New Roman" w:hAnsi="Times New Roman" w:cs="Times New Roman"/>
                <w:lang w:val="ro-RO"/>
              </w:rPr>
            </w:pPr>
          </w:p>
        </w:tc>
      </w:tr>
      <w:tr w:rsidR="002F47A0" w:rsidRPr="009E686F" w14:paraId="665EBD2B" w14:textId="42EDFDFF" w:rsidTr="00774F3E">
        <w:tc>
          <w:tcPr>
            <w:tcW w:w="1796" w:type="pct"/>
            <w:gridSpan w:val="2"/>
            <w:tcBorders>
              <w:top w:val="single" w:sz="4" w:space="0" w:color="auto"/>
              <w:left w:val="single" w:sz="4" w:space="0" w:color="auto"/>
              <w:bottom w:val="single" w:sz="4" w:space="0" w:color="auto"/>
              <w:right w:val="single" w:sz="4" w:space="0" w:color="auto"/>
            </w:tcBorders>
          </w:tcPr>
          <w:p w14:paraId="7AE069E6" w14:textId="25732570"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(b) politica de remunerare este compatibilă cu strategia de afaceri, obiectivele, valorile și interesele pe termen lung ale instituției și cuprinde măsuri pentru evitarea conflictelor de interese;</w:t>
            </w:r>
          </w:p>
        </w:tc>
        <w:tc>
          <w:tcPr>
            <w:tcW w:w="1928" w:type="pct"/>
            <w:gridSpan w:val="3"/>
            <w:tcBorders>
              <w:top w:val="single" w:sz="4" w:space="0" w:color="auto"/>
              <w:left w:val="single" w:sz="4" w:space="0" w:color="auto"/>
              <w:bottom w:val="single" w:sz="4" w:space="0" w:color="auto"/>
              <w:right w:val="single" w:sz="4" w:space="0" w:color="auto"/>
            </w:tcBorders>
          </w:tcPr>
          <w:p w14:paraId="6F9CFCA5" w14:textId="37D9D049" w:rsidR="002F47A0" w:rsidRPr="009E686F" w:rsidRDefault="002F47A0" w:rsidP="002F47A0">
            <w:pPr>
              <w:spacing w:after="0"/>
              <w:jc w:val="both"/>
              <w:rPr>
                <w:rFonts w:ascii="Times New Roman" w:eastAsia="Times New Roman" w:hAnsi="Times New Roman" w:cs="Times New Roman"/>
                <w:bCs/>
                <w:i/>
                <w:iCs/>
                <w:color w:val="0F9ED5"/>
                <w:lang w:val="ro-MD" w:eastAsia="ro-MD"/>
              </w:rPr>
            </w:pPr>
            <w:r w:rsidRPr="009E686F">
              <w:rPr>
                <w:rFonts w:ascii="Times New Roman" w:eastAsia="Times New Roman" w:hAnsi="Times New Roman" w:cs="Times New Roman"/>
                <w:lang w:val="ro-MD" w:eastAsia="ro-MD"/>
              </w:rPr>
              <w:t xml:space="preserve">b) politica de remunerare trebuie să fie compatibilă cu modelul de afaceri al </w:t>
            </w:r>
            <w:r w:rsidRPr="009E686F">
              <w:rPr>
                <w:rFonts w:ascii="Times New Roman" w:eastAsia="Times New Roman" w:hAnsi="Times New Roman" w:cs="Times New Roman"/>
                <w:i/>
                <w:iCs/>
                <w:lang w:val="ro-MD" w:eastAsia="ro-MD"/>
              </w:rPr>
              <w:t>instituției de credit</w:t>
            </w:r>
            <w:r w:rsidRPr="009E686F">
              <w:rPr>
                <w:rFonts w:ascii="Times New Roman" w:eastAsia="Times New Roman" w:hAnsi="Times New Roman" w:cs="Times New Roman"/>
                <w:lang w:val="ro-MD" w:eastAsia="ro-MD"/>
              </w:rPr>
              <w:t xml:space="preserve"> pe termen lung şi să cuprindă măsuri pentru evitarea conflictelor de interese</w:t>
            </w:r>
            <w:r w:rsidR="00C50686" w:rsidRPr="009E686F">
              <w:rPr>
                <w:rFonts w:ascii="Times New Roman" w:eastAsia="Times New Roman" w:hAnsi="Times New Roman" w:cs="Times New Roman"/>
                <w:bCs/>
                <w:i/>
                <w:iCs/>
                <w:lang w:val="ro-MD" w:eastAsia="ro-MD"/>
              </w:rPr>
              <w:t>;</w:t>
            </w:r>
          </w:p>
          <w:p w14:paraId="05569566" w14:textId="0CB1A254" w:rsidR="002F47A0" w:rsidRPr="009E686F" w:rsidRDefault="002F47A0" w:rsidP="002F47A0">
            <w:pPr>
              <w:spacing w:after="0"/>
              <w:jc w:val="both"/>
              <w:rPr>
                <w:rFonts w:ascii="Times New Roman" w:hAnsi="Times New Roman" w:cs="Times New Roman"/>
                <w:bCs/>
                <w:lang w:val="ro-RO"/>
              </w:rPr>
            </w:pPr>
          </w:p>
        </w:tc>
        <w:tc>
          <w:tcPr>
            <w:tcW w:w="470" w:type="pct"/>
            <w:tcBorders>
              <w:top w:val="single" w:sz="4" w:space="0" w:color="auto"/>
              <w:left w:val="single" w:sz="4" w:space="0" w:color="auto"/>
              <w:bottom w:val="single" w:sz="4" w:space="0" w:color="auto"/>
              <w:right w:val="single" w:sz="4" w:space="0" w:color="auto"/>
            </w:tcBorders>
          </w:tcPr>
          <w:p w14:paraId="518ABA82" w14:textId="77777777"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 xml:space="preserve">Compatibil </w:t>
            </w:r>
          </w:p>
          <w:p w14:paraId="65AE2F70" w14:textId="6F516F9A" w:rsidR="002F47A0" w:rsidRPr="009E686F" w:rsidRDefault="002F47A0" w:rsidP="002F47A0">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7CA577C6" w14:textId="77777777" w:rsidR="002F47A0" w:rsidRPr="009E686F" w:rsidRDefault="002F47A0" w:rsidP="002F47A0">
            <w:pPr>
              <w:jc w:val="both"/>
              <w:rPr>
                <w:rFonts w:ascii="Times New Roman" w:hAnsi="Times New Roman" w:cs="Times New Roman"/>
                <w:lang w:val="ro-RO"/>
              </w:rPr>
            </w:pPr>
          </w:p>
        </w:tc>
      </w:tr>
      <w:tr w:rsidR="002F47A0" w:rsidRPr="009E686F" w14:paraId="4478A0A3" w14:textId="1728F28B" w:rsidTr="00774F3E">
        <w:tc>
          <w:tcPr>
            <w:tcW w:w="1796" w:type="pct"/>
            <w:gridSpan w:val="2"/>
            <w:tcBorders>
              <w:top w:val="single" w:sz="4" w:space="0" w:color="auto"/>
              <w:left w:val="single" w:sz="4" w:space="0" w:color="auto"/>
              <w:bottom w:val="single" w:sz="4" w:space="0" w:color="auto"/>
              <w:right w:val="single" w:sz="4" w:space="0" w:color="auto"/>
            </w:tcBorders>
          </w:tcPr>
          <w:p w14:paraId="24FCEFB8" w14:textId="65E3CEAF"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 xml:space="preserve">(c) organul de conducere al instituției, în funcția sa de supraveghere, adoptă și revizuiește periodic principiile </w:t>
            </w:r>
            <w:r w:rsidRPr="009E686F">
              <w:rPr>
                <w:rFonts w:ascii="Times New Roman" w:hAnsi="Times New Roman" w:cs="Times New Roman"/>
                <w:lang w:val="ro-RO"/>
              </w:rPr>
              <w:lastRenderedPageBreak/>
              <w:t>generale ale politicii de remunerare și este responsabil cu supravegherea aplicării acesteia;</w:t>
            </w:r>
          </w:p>
        </w:tc>
        <w:tc>
          <w:tcPr>
            <w:tcW w:w="1928" w:type="pct"/>
            <w:gridSpan w:val="3"/>
            <w:tcBorders>
              <w:top w:val="single" w:sz="4" w:space="0" w:color="auto"/>
              <w:left w:val="single" w:sz="4" w:space="0" w:color="auto"/>
              <w:bottom w:val="single" w:sz="4" w:space="0" w:color="auto"/>
              <w:right w:val="single" w:sz="4" w:space="0" w:color="auto"/>
            </w:tcBorders>
          </w:tcPr>
          <w:p w14:paraId="3F442382" w14:textId="5E374F50" w:rsidR="002F47A0" w:rsidRPr="009E686F" w:rsidRDefault="002F47A0" w:rsidP="002F47A0">
            <w:pPr>
              <w:spacing w:after="0"/>
              <w:jc w:val="both"/>
              <w:rPr>
                <w:rFonts w:ascii="Times New Roman" w:hAnsi="Times New Roman" w:cs="Times New Roman"/>
                <w:b/>
                <w:bCs/>
                <w:lang w:val="ro-RO"/>
              </w:rPr>
            </w:pPr>
            <w:r w:rsidRPr="009E686F">
              <w:rPr>
                <w:rFonts w:ascii="Times New Roman" w:hAnsi="Times New Roman" w:cs="Times New Roman"/>
                <w:b/>
                <w:bCs/>
                <w:lang w:val="ro-RO"/>
              </w:rPr>
              <w:lastRenderedPageBreak/>
              <w:t>Articolul 41 alin. (3)</w:t>
            </w:r>
          </w:p>
          <w:p w14:paraId="0F25A28E" w14:textId="0C321FFA"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 xml:space="preserve">(3) Consiliul  </w:t>
            </w:r>
            <w:r w:rsidRPr="009E686F">
              <w:rPr>
                <w:rFonts w:ascii="Times New Roman" w:hAnsi="Times New Roman" w:cs="Times New Roman"/>
                <w:i/>
                <w:iCs/>
                <w:lang w:val="ro-RO"/>
              </w:rPr>
              <w:t>instituției de credit</w:t>
            </w:r>
            <w:r w:rsidRPr="009E686F">
              <w:rPr>
                <w:rFonts w:ascii="Times New Roman" w:hAnsi="Times New Roman" w:cs="Times New Roman"/>
                <w:lang w:val="ro-RO"/>
              </w:rPr>
              <w:t xml:space="preserve">  are următoarele atribuții principale:[…]</w:t>
            </w:r>
          </w:p>
          <w:p w14:paraId="31D9CF71" w14:textId="59C51CF0"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lastRenderedPageBreak/>
              <w:t>i)  adoptă și revizuiește, cel puțin o dată pe an, principiile generale ale politicii de remunerare și este responsabil cu   supravegherea implement</w:t>
            </w:r>
            <w:r w:rsidRPr="009E686F">
              <w:rPr>
                <w:rFonts w:ascii="Times New Roman" w:hAnsi="Times New Roman" w:cs="Times New Roman"/>
                <w:lang w:val="ro-MD"/>
              </w:rPr>
              <w:t xml:space="preserve">ării </w:t>
            </w:r>
            <w:r w:rsidRPr="009E686F">
              <w:rPr>
                <w:rFonts w:ascii="Times New Roman" w:hAnsi="Times New Roman" w:cs="Times New Roman"/>
                <w:lang w:val="ro-RO"/>
              </w:rPr>
              <w:t>acesteia;</w:t>
            </w:r>
          </w:p>
        </w:tc>
        <w:tc>
          <w:tcPr>
            <w:tcW w:w="470" w:type="pct"/>
            <w:tcBorders>
              <w:top w:val="single" w:sz="4" w:space="0" w:color="auto"/>
              <w:left w:val="single" w:sz="4" w:space="0" w:color="auto"/>
              <w:bottom w:val="single" w:sz="4" w:space="0" w:color="auto"/>
              <w:right w:val="single" w:sz="4" w:space="0" w:color="auto"/>
            </w:tcBorders>
          </w:tcPr>
          <w:p w14:paraId="0BF80230" w14:textId="6475853E"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1DEB802B" w14:textId="77777777" w:rsidR="002F47A0" w:rsidRPr="009E686F" w:rsidRDefault="002F47A0" w:rsidP="002F47A0">
            <w:pPr>
              <w:jc w:val="both"/>
              <w:rPr>
                <w:rFonts w:ascii="Times New Roman" w:hAnsi="Times New Roman" w:cs="Times New Roman"/>
                <w:lang w:val="ro-RO"/>
              </w:rPr>
            </w:pPr>
          </w:p>
        </w:tc>
      </w:tr>
      <w:tr w:rsidR="002F47A0" w:rsidRPr="009E686F" w14:paraId="7327F0A6" w14:textId="6A455797" w:rsidTr="00774F3E">
        <w:tc>
          <w:tcPr>
            <w:tcW w:w="1796" w:type="pct"/>
            <w:gridSpan w:val="2"/>
            <w:tcBorders>
              <w:top w:val="single" w:sz="4" w:space="0" w:color="auto"/>
              <w:left w:val="single" w:sz="4" w:space="0" w:color="auto"/>
              <w:bottom w:val="single" w:sz="4" w:space="0" w:color="auto"/>
              <w:right w:val="single" w:sz="4" w:space="0" w:color="auto"/>
            </w:tcBorders>
          </w:tcPr>
          <w:p w14:paraId="30C59816" w14:textId="12E49461"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(d)  aplicarea politicii de remunerare este supusă, cel puțin o dată pe an, unei evaluări interne centrale și independente a respectării politicilor și procedurilor de remunerare adoptate de organul de conducere în cadrul funcției sale de supraveghere;</w:t>
            </w:r>
          </w:p>
        </w:tc>
        <w:tc>
          <w:tcPr>
            <w:tcW w:w="1928" w:type="pct"/>
            <w:gridSpan w:val="3"/>
            <w:tcBorders>
              <w:top w:val="single" w:sz="4" w:space="0" w:color="auto"/>
              <w:left w:val="single" w:sz="4" w:space="0" w:color="auto"/>
              <w:bottom w:val="single" w:sz="4" w:space="0" w:color="auto"/>
              <w:right w:val="single" w:sz="4" w:space="0" w:color="auto"/>
            </w:tcBorders>
          </w:tcPr>
          <w:p w14:paraId="1DD674E3" w14:textId="77777777" w:rsidR="002F47A0" w:rsidRPr="009E686F" w:rsidRDefault="002F47A0" w:rsidP="002F47A0">
            <w:pPr>
              <w:spacing w:after="0"/>
              <w:jc w:val="both"/>
              <w:rPr>
                <w:rFonts w:ascii="Times New Roman" w:eastAsia="Times New Roman" w:hAnsi="Times New Roman" w:cs="Times New Roman"/>
                <w:b/>
                <w:bCs/>
                <w:lang w:val="ro-MD" w:eastAsia="ro-MD"/>
              </w:rPr>
            </w:pPr>
            <w:r w:rsidRPr="009E686F">
              <w:rPr>
                <w:rFonts w:ascii="Times New Roman" w:eastAsia="Times New Roman" w:hAnsi="Times New Roman" w:cs="Times New Roman"/>
                <w:b/>
                <w:bCs/>
                <w:lang w:val="ro-MD" w:eastAsia="ro-MD"/>
              </w:rPr>
              <w:t>Articolul 39 alin. (1)</w:t>
            </w:r>
          </w:p>
          <w:p w14:paraId="605287D4" w14:textId="207A512C" w:rsidR="002F47A0" w:rsidRPr="009E686F" w:rsidRDefault="002F47A0" w:rsidP="002F47A0">
            <w:pPr>
              <w:spacing w:after="0"/>
              <w:jc w:val="both"/>
              <w:rPr>
                <w:rFonts w:ascii="Times New Roman" w:eastAsia="Times New Roman" w:hAnsi="Times New Roman" w:cs="Times New Roman"/>
                <w:lang w:val="ro-MD" w:eastAsia="ro-MD"/>
              </w:rPr>
            </w:pPr>
            <w:r w:rsidRPr="009E686F">
              <w:rPr>
                <w:rFonts w:ascii="Times New Roman" w:eastAsia="Times New Roman" w:hAnsi="Times New Roman" w:cs="Times New Roman"/>
                <w:lang w:val="ro-MD" w:eastAsia="ro-MD"/>
              </w:rPr>
              <w:t xml:space="preserve">c) implementarea politicii de remunerare face obiectul, cel puţin anual, al unei evaluări interne independente, la nivel centralizat, privind conformitatea cu politicile şi procedurile de remunerare adoptate de consiliul </w:t>
            </w:r>
            <w:r w:rsidRPr="009E686F">
              <w:rPr>
                <w:rFonts w:ascii="Times New Roman" w:eastAsia="Times New Roman" w:hAnsi="Times New Roman" w:cs="Times New Roman"/>
                <w:i/>
                <w:iCs/>
                <w:lang w:val="ro-MD" w:eastAsia="ro-MD"/>
              </w:rPr>
              <w:t>instituției de credit</w:t>
            </w:r>
            <w:r w:rsidRPr="009E686F">
              <w:rPr>
                <w:rFonts w:ascii="Times New Roman" w:eastAsia="Times New Roman" w:hAnsi="Times New Roman" w:cs="Times New Roman"/>
                <w:lang w:val="ro-MD" w:eastAsia="ro-MD"/>
              </w:rPr>
              <w:t xml:space="preserve">; </w:t>
            </w:r>
          </w:p>
          <w:p w14:paraId="69718B39" w14:textId="074F6CD4" w:rsidR="002F47A0" w:rsidRPr="009E686F" w:rsidRDefault="002F47A0" w:rsidP="002F47A0">
            <w:pPr>
              <w:spacing w:after="0"/>
              <w:jc w:val="both"/>
              <w:rPr>
                <w:rFonts w:ascii="Times New Roman" w:hAnsi="Times New Roman" w:cs="Times New Roman"/>
                <w:bCs/>
                <w:lang w:val="ro-RO"/>
              </w:rPr>
            </w:pPr>
          </w:p>
        </w:tc>
        <w:tc>
          <w:tcPr>
            <w:tcW w:w="470" w:type="pct"/>
            <w:tcBorders>
              <w:top w:val="single" w:sz="4" w:space="0" w:color="auto"/>
              <w:left w:val="single" w:sz="4" w:space="0" w:color="auto"/>
              <w:bottom w:val="single" w:sz="4" w:space="0" w:color="auto"/>
              <w:right w:val="single" w:sz="4" w:space="0" w:color="auto"/>
            </w:tcBorders>
          </w:tcPr>
          <w:p w14:paraId="43F6EE7C" w14:textId="58AA37D8"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 xml:space="preserve">Compatibil </w:t>
            </w:r>
          </w:p>
        </w:tc>
        <w:tc>
          <w:tcPr>
            <w:tcW w:w="806" w:type="pct"/>
            <w:tcBorders>
              <w:top w:val="single" w:sz="4" w:space="0" w:color="auto"/>
              <w:left w:val="single" w:sz="4" w:space="0" w:color="auto"/>
              <w:bottom w:val="single" w:sz="4" w:space="0" w:color="auto"/>
              <w:right w:val="single" w:sz="4" w:space="0" w:color="auto"/>
            </w:tcBorders>
          </w:tcPr>
          <w:p w14:paraId="26B361AF" w14:textId="77777777" w:rsidR="002F47A0" w:rsidRPr="009E686F" w:rsidRDefault="002F47A0" w:rsidP="002F47A0">
            <w:pPr>
              <w:jc w:val="both"/>
              <w:rPr>
                <w:rFonts w:ascii="Times New Roman" w:hAnsi="Times New Roman" w:cs="Times New Roman"/>
                <w:lang w:val="ro-RO"/>
              </w:rPr>
            </w:pPr>
          </w:p>
        </w:tc>
      </w:tr>
      <w:tr w:rsidR="002F47A0" w:rsidRPr="009E686F" w14:paraId="24FA8209" w14:textId="4857025E" w:rsidTr="00774F3E">
        <w:tc>
          <w:tcPr>
            <w:tcW w:w="1796" w:type="pct"/>
            <w:gridSpan w:val="2"/>
            <w:tcBorders>
              <w:top w:val="single" w:sz="4" w:space="0" w:color="auto"/>
              <w:left w:val="single" w:sz="4" w:space="0" w:color="auto"/>
              <w:bottom w:val="single" w:sz="4" w:space="0" w:color="auto"/>
              <w:right w:val="single" w:sz="4" w:space="0" w:color="auto"/>
            </w:tcBorders>
          </w:tcPr>
          <w:p w14:paraId="09AECB04" w14:textId="7EAB7E1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(e) membrii personalului care dețin funcții de control intern sunt independenți de unitățile operaționale pe care le supraveghează, dețin autoritatea corespunzătoare și sunt remunerați în funcție de realizarea obiectivelor legate de funcțiile lor, indiferent de performanțele sectoarelor operaționale pe care le controlează;</w:t>
            </w:r>
          </w:p>
        </w:tc>
        <w:tc>
          <w:tcPr>
            <w:tcW w:w="1928" w:type="pct"/>
            <w:gridSpan w:val="3"/>
            <w:tcBorders>
              <w:top w:val="single" w:sz="4" w:space="0" w:color="auto"/>
              <w:left w:val="single" w:sz="4" w:space="0" w:color="auto"/>
              <w:bottom w:val="single" w:sz="4" w:space="0" w:color="auto"/>
              <w:right w:val="single" w:sz="4" w:space="0" w:color="auto"/>
            </w:tcBorders>
          </w:tcPr>
          <w:p w14:paraId="5343013C" w14:textId="0AC5FC4B" w:rsidR="002F47A0" w:rsidRPr="009E686F" w:rsidRDefault="002F47A0" w:rsidP="002F47A0">
            <w:pPr>
              <w:spacing w:after="0"/>
              <w:jc w:val="both"/>
              <w:rPr>
                <w:rFonts w:ascii="Times New Roman" w:hAnsi="Times New Roman" w:cs="Times New Roman"/>
                <w:bCs/>
                <w:lang w:val="ro-RO"/>
              </w:rPr>
            </w:pPr>
            <w:r w:rsidRPr="009E686F">
              <w:rPr>
                <w:rFonts w:ascii="Times New Roman" w:eastAsia="Times New Roman" w:hAnsi="Times New Roman" w:cs="Times New Roman"/>
                <w:lang w:val="ro-MD" w:eastAsia="ro-MD"/>
              </w:rPr>
              <w:t xml:space="preserve">d) </w:t>
            </w:r>
            <w:r w:rsidRPr="009E686F">
              <w:rPr>
                <w:rFonts w:ascii="Times New Roman" w:eastAsia="Times New Roman" w:hAnsi="Times New Roman" w:cs="Times New Roman"/>
                <w:i/>
                <w:lang w:val="ro-MD" w:eastAsia="ro-MD"/>
              </w:rPr>
              <w:t>salariații</w:t>
            </w:r>
            <w:r w:rsidRPr="009E686F">
              <w:rPr>
                <w:rFonts w:ascii="Times New Roman" w:eastAsia="Times New Roman" w:hAnsi="Times New Roman" w:cs="Times New Roman"/>
                <w:lang w:val="ro-MD" w:eastAsia="ro-MD"/>
              </w:rPr>
              <w:t xml:space="preserve"> structurilor cu funcţii de control </w:t>
            </w:r>
            <w:r w:rsidRPr="009E686F">
              <w:rPr>
                <w:rFonts w:ascii="Times New Roman" w:eastAsia="Times New Roman" w:hAnsi="Times New Roman" w:cs="Times New Roman"/>
                <w:i/>
                <w:lang w:val="ro-MD" w:eastAsia="ro-MD"/>
              </w:rPr>
              <w:t>intern</w:t>
            </w:r>
            <w:r w:rsidRPr="009E686F">
              <w:rPr>
                <w:rFonts w:ascii="Times New Roman" w:eastAsia="Times New Roman" w:hAnsi="Times New Roman" w:cs="Times New Roman"/>
                <w:lang w:val="ro-MD" w:eastAsia="ro-MD"/>
              </w:rPr>
              <w:t xml:space="preserve"> trebuie să fie independenţi faţă de unităţile operaţionale ale </w:t>
            </w:r>
            <w:r w:rsidRPr="009E686F">
              <w:rPr>
                <w:rFonts w:ascii="Times New Roman" w:eastAsia="Times New Roman" w:hAnsi="Times New Roman" w:cs="Times New Roman"/>
                <w:i/>
                <w:iCs/>
                <w:lang w:val="ro-MD" w:eastAsia="ro-MD"/>
              </w:rPr>
              <w:t>instituției de credit</w:t>
            </w:r>
            <w:r w:rsidRPr="009E686F">
              <w:rPr>
                <w:rFonts w:ascii="Times New Roman" w:eastAsia="Times New Roman" w:hAnsi="Times New Roman" w:cs="Times New Roman"/>
                <w:lang w:val="ro-MD" w:eastAsia="ro-MD"/>
              </w:rPr>
              <w:t xml:space="preserve"> pe care le verifică, să dispună de autoritatea corespunzătoare şi să fie remuneraţi în funcţie de realizarea obiectivelor funcţiilor pe care le deţin, indiferent de performanţele </w:t>
            </w:r>
            <w:r w:rsidRPr="009E686F">
              <w:rPr>
                <w:rFonts w:ascii="Times New Roman" w:eastAsia="Times New Roman" w:hAnsi="Times New Roman" w:cs="Times New Roman"/>
                <w:i/>
                <w:lang w:val="ro-MD" w:eastAsia="ro-MD"/>
              </w:rPr>
              <w:t>sectoarelor</w:t>
            </w:r>
            <w:r w:rsidRPr="009E686F">
              <w:rPr>
                <w:rFonts w:ascii="Times New Roman" w:eastAsia="Times New Roman" w:hAnsi="Times New Roman" w:cs="Times New Roman"/>
                <w:lang w:val="ro-MD" w:eastAsia="ro-MD"/>
              </w:rPr>
              <w:t xml:space="preserve"> operaţionale pe care le verifică;</w:t>
            </w:r>
          </w:p>
          <w:p w14:paraId="05C7FFD9" w14:textId="29ECFBF4" w:rsidR="002F47A0" w:rsidRPr="009E686F" w:rsidRDefault="002F47A0" w:rsidP="002F47A0">
            <w:pPr>
              <w:spacing w:after="0"/>
              <w:jc w:val="both"/>
              <w:rPr>
                <w:rFonts w:ascii="Times New Roman" w:hAnsi="Times New Roman" w:cs="Times New Roman"/>
                <w:bCs/>
                <w:lang w:val="ro-RO"/>
              </w:rPr>
            </w:pPr>
          </w:p>
        </w:tc>
        <w:tc>
          <w:tcPr>
            <w:tcW w:w="470" w:type="pct"/>
            <w:tcBorders>
              <w:top w:val="single" w:sz="4" w:space="0" w:color="auto"/>
              <w:left w:val="single" w:sz="4" w:space="0" w:color="auto"/>
              <w:bottom w:val="single" w:sz="4" w:space="0" w:color="auto"/>
              <w:right w:val="single" w:sz="4" w:space="0" w:color="auto"/>
            </w:tcBorders>
          </w:tcPr>
          <w:p w14:paraId="60AD570D" w14:textId="77777777"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p w14:paraId="64AEE7AB" w14:textId="50DD6E16" w:rsidR="002F47A0" w:rsidRPr="009E686F" w:rsidRDefault="002F47A0" w:rsidP="002F47A0">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71DA6F1D" w14:textId="77777777" w:rsidR="002F47A0" w:rsidRPr="009E686F" w:rsidRDefault="002F47A0" w:rsidP="002F47A0">
            <w:pPr>
              <w:jc w:val="both"/>
              <w:rPr>
                <w:rFonts w:ascii="Times New Roman" w:hAnsi="Times New Roman" w:cs="Times New Roman"/>
                <w:lang w:val="ro-RO"/>
              </w:rPr>
            </w:pPr>
          </w:p>
        </w:tc>
      </w:tr>
      <w:tr w:rsidR="002F47A0" w:rsidRPr="009E686F" w14:paraId="4192E012" w14:textId="79D2F0F5" w:rsidTr="00774F3E">
        <w:tc>
          <w:tcPr>
            <w:tcW w:w="1796" w:type="pct"/>
            <w:gridSpan w:val="2"/>
            <w:tcBorders>
              <w:top w:val="single" w:sz="4" w:space="0" w:color="auto"/>
              <w:left w:val="single" w:sz="4" w:space="0" w:color="auto"/>
              <w:bottom w:val="single" w:sz="4" w:space="0" w:color="auto"/>
              <w:right w:val="single" w:sz="4" w:space="0" w:color="auto"/>
            </w:tcBorders>
          </w:tcPr>
          <w:p w14:paraId="7F39ED99" w14:textId="16F8D1CF"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(f) remunerarea coordonatorilor funcțiilor de control intern este supravegheată direct de către comitetul de remunerare menționat la articolul 95 sau, în cazul în care nu a fost înființat un astfel de comitet, de către organul de conducere în funcția sa de supraveghere;</w:t>
            </w:r>
          </w:p>
        </w:tc>
        <w:tc>
          <w:tcPr>
            <w:tcW w:w="1928" w:type="pct"/>
            <w:gridSpan w:val="3"/>
            <w:tcBorders>
              <w:top w:val="single" w:sz="4" w:space="0" w:color="auto"/>
              <w:left w:val="single" w:sz="4" w:space="0" w:color="auto"/>
              <w:bottom w:val="single" w:sz="4" w:space="0" w:color="auto"/>
              <w:right w:val="single" w:sz="4" w:space="0" w:color="auto"/>
            </w:tcBorders>
          </w:tcPr>
          <w:p w14:paraId="0D9BE27E" w14:textId="2591F007" w:rsidR="002F47A0" w:rsidRPr="009E686F" w:rsidRDefault="002F47A0" w:rsidP="002F47A0">
            <w:pPr>
              <w:spacing w:after="0"/>
              <w:jc w:val="both"/>
              <w:rPr>
                <w:rFonts w:ascii="Times New Roman" w:hAnsi="Times New Roman" w:cs="Times New Roman"/>
                <w:bCs/>
                <w:lang w:val="ro-RO"/>
              </w:rPr>
            </w:pPr>
            <w:r w:rsidRPr="009E686F">
              <w:rPr>
                <w:rFonts w:ascii="Times New Roman" w:eastAsia="Times New Roman" w:hAnsi="Times New Roman" w:cs="Times New Roman"/>
                <w:lang w:val="ro-MD" w:eastAsia="ro-MD"/>
              </w:rPr>
              <w:t xml:space="preserve">e) remunerarea </w:t>
            </w:r>
            <w:r w:rsidRPr="009E686F">
              <w:rPr>
                <w:rFonts w:ascii="Times New Roman" w:eastAsia="Times New Roman" w:hAnsi="Times New Roman" w:cs="Times New Roman"/>
                <w:i/>
                <w:lang w:val="ro-MD" w:eastAsia="ro-MD"/>
              </w:rPr>
              <w:t>coordonatorilor funcţiilor de control intern</w:t>
            </w:r>
            <w:r w:rsidRPr="009E686F">
              <w:rPr>
                <w:rFonts w:ascii="Times New Roman" w:eastAsia="Times New Roman" w:hAnsi="Times New Roman" w:cs="Times New Roman"/>
                <w:lang w:val="ro-MD" w:eastAsia="ro-MD"/>
              </w:rPr>
              <w:t xml:space="preserve"> trebuie să fie supravegheată direct de către comitetul de remunerare sau, atunci cînd acesta nu există, de către consiliul </w:t>
            </w:r>
            <w:r w:rsidRPr="009E686F">
              <w:rPr>
                <w:rFonts w:ascii="Times New Roman" w:eastAsia="Times New Roman" w:hAnsi="Times New Roman" w:cs="Times New Roman"/>
                <w:i/>
                <w:iCs/>
                <w:lang w:val="ro-MD" w:eastAsia="ro-MD"/>
              </w:rPr>
              <w:t>instituției de credit</w:t>
            </w:r>
            <w:r w:rsidRPr="009E686F">
              <w:rPr>
                <w:rFonts w:ascii="Times New Roman" w:eastAsia="Times New Roman" w:hAnsi="Times New Roman" w:cs="Times New Roman"/>
                <w:lang w:val="ro-MD" w:eastAsia="ro-MD"/>
              </w:rPr>
              <w:t>;</w:t>
            </w:r>
          </w:p>
          <w:p w14:paraId="44E620B4" w14:textId="4F9D3026" w:rsidR="002F47A0" w:rsidRPr="009E686F" w:rsidRDefault="002F47A0" w:rsidP="002F47A0">
            <w:pPr>
              <w:spacing w:after="0"/>
              <w:jc w:val="both"/>
              <w:rPr>
                <w:rFonts w:ascii="Times New Roman" w:hAnsi="Times New Roman" w:cs="Times New Roman"/>
                <w:bCs/>
                <w:lang w:val="pt-BR"/>
              </w:rPr>
            </w:pPr>
          </w:p>
        </w:tc>
        <w:tc>
          <w:tcPr>
            <w:tcW w:w="470" w:type="pct"/>
            <w:tcBorders>
              <w:top w:val="single" w:sz="4" w:space="0" w:color="auto"/>
              <w:left w:val="single" w:sz="4" w:space="0" w:color="auto"/>
              <w:bottom w:val="single" w:sz="4" w:space="0" w:color="auto"/>
              <w:right w:val="single" w:sz="4" w:space="0" w:color="auto"/>
            </w:tcBorders>
          </w:tcPr>
          <w:p w14:paraId="260CEABB" w14:textId="77777777"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p w14:paraId="4B817C85" w14:textId="1E5ABA84" w:rsidR="002F47A0" w:rsidRPr="009E686F" w:rsidRDefault="002F47A0" w:rsidP="002F47A0">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7AFA9A6C" w14:textId="77777777" w:rsidR="002F47A0" w:rsidRPr="009E686F" w:rsidRDefault="002F47A0" w:rsidP="002F47A0">
            <w:pPr>
              <w:jc w:val="both"/>
              <w:rPr>
                <w:rFonts w:ascii="Times New Roman" w:hAnsi="Times New Roman" w:cs="Times New Roman"/>
                <w:lang w:val="ro-RO"/>
              </w:rPr>
            </w:pPr>
          </w:p>
        </w:tc>
      </w:tr>
      <w:tr w:rsidR="002F47A0" w:rsidRPr="009E686F" w14:paraId="6A3598B5" w14:textId="4E50971B" w:rsidTr="00774F3E">
        <w:tc>
          <w:tcPr>
            <w:tcW w:w="1796" w:type="pct"/>
            <w:gridSpan w:val="2"/>
            <w:tcBorders>
              <w:top w:val="single" w:sz="4" w:space="0" w:color="auto"/>
              <w:left w:val="single" w:sz="4" w:space="0" w:color="auto"/>
              <w:bottom w:val="single" w:sz="4" w:space="0" w:color="auto"/>
              <w:right w:val="single" w:sz="4" w:space="0" w:color="auto"/>
            </w:tcBorders>
          </w:tcPr>
          <w:p w14:paraId="7C6CDE3E" w14:textId="17B0CBFE"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(g) politica de remunerare, care ține cont de criteriile naționale de stabilire a salariilor, face o distincție clară între criteriile de stabilire:</w:t>
            </w:r>
          </w:p>
          <w:p w14:paraId="44D871AB" w14:textId="4E886B3D"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(i) a remunerației fixe de bază, care ar trebui să reflecte în primul rând experiența profesională relevantă și responsabilitatea organizațională, astfel cum sunt prevăzute în fișa postului unui angajat, ca parte a termenilor de angajare și</w:t>
            </w:r>
          </w:p>
          <w:p w14:paraId="48526CE5" w14:textId="6286CF49"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 xml:space="preserve">(ii) a remunerației variabile, care ar trebui să reflecte performanțele sustenabile și adaptate la risc, precum și performanțele care depășesc ceea ce este necesar pentru a </w:t>
            </w:r>
            <w:r w:rsidRPr="009E686F">
              <w:rPr>
                <w:rFonts w:ascii="Times New Roman" w:hAnsi="Times New Roman" w:cs="Times New Roman"/>
                <w:lang w:val="ro-RO"/>
              </w:rPr>
              <w:lastRenderedPageBreak/>
              <w:t>îndeplini atribuțiile prevăzute în fișa postului a unui angajat, ca parte a termenilor de angajare.</w:t>
            </w:r>
          </w:p>
        </w:tc>
        <w:tc>
          <w:tcPr>
            <w:tcW w:w="1928" w:type="pct"/>
            <w:gridSpan w:val="3"/>
            <w:tcBorders>
              <w:top w:val="single" w:sz="4" w:space="0" w:color="auto"/>
              <w:left w:val="single" w:sz="4" w:space="0" w:color="auto"/>
              <w:bottom w:val="single" w:sz="4" w:space="0" w:color="auto"/>
              <w:right w:val="single" w:sz="4" w:space="0" w:color="auto"/>
            </w:tcBorders>
          </w:tcPr>
          <w:p w14:paraId="48798976" w14:textId="518B5FE2" w:rsidR="002F47A0" w:rsidRPr="009E686F" w:rsidRDefault="002F47A0" w:rsidP="002F47A0">
            <w:pPr>
              <w:spacing w:after="0"/>
              <w:jc w:val="both"/>
              <w:rPr>
                <w:rFonts w:ascii="Times New Roman" w:eastAsia="Times New Roman" w:hAnsi="Times New Roman" w:cs="Times New Roman"/>
                <w:lang w:val="ro-MD" w:eastAsia="ro-MD"/>
              </w:rPr>
            </w:pPr>
            <w:r w:rsidRPr="009E686F">
              <w:rPr>
                <w:rFonts w:ascii="Times New Roman" w:eastAsia="Times New Roman" w:hAnsi="Times New Roman" w:cs="Times New Roman"/>
                <w:lang w:val="ro-MD" w:eastAsia="ro-MD"/>
              </w:rPr>
              <w:lastRenderedPageBreak/>
              <w:t xml:space="preserve">f) politica de remunerare trebuie să facă o distincţie clară între criteriile de stabilire a remuneraţiei fixe de bază şi a remuneraţiei variabile. Remuneraţia fixă de bază trebuie să reflecte experienţa profesională relevantă şi responsabilitatea </w:t>
            </w:r>
            <w:r w:rsidRPr="009E686F">
              <w:rPr>
                <w:rFonts w:ascii="Times New Roman" w:eastAsia="Times New Roman" w:hAnsi="Times New Roman" w:cs="Times New Roman"/>
                <w:i/>
                <w:lang w:val="ro-MD" w:eastAsia="ro-MD"/>
              </w:rPr>
              <w:t>salariatului</w:t>
            </w:r>
            <w:r w:rsidRPr="009E686F">
              <w:rPr>
                <w:rFonts w:ascii="Times New Roman" w:eastAsia="Times New Roman" w:hAnsi="Times New Roman" w:cs="Times New Roman"/>
                <w:lang w:val="ro-MD" w:eastAsia="ro-MD"/>
              </w:rPr>
              <w:t xml:space="preserve">, după cum este prevăzut de fişa postului, ca parte a contractului de muncă. Remuneraţia variabilă trebuie să reflecte performanţele sustenabile şi adaptate la risc ale </w:t>
            </w:r>
            <w:r w:rsidRPr="009E686F">
              <w:rPr>
                <w:rFonts w:ascii="Times New Roman" w:eastAsia="Times New Roman" w:hAnsi="Times New Roman" w:cs="Times New Roman"/>
                <w:i/>
                <w:lang w:val="ro-MD" w:eastAsia="ro-MD"/>
              </w:rPr>
              <w:t>salariatului</w:t>
            </w:r>
            <w:r w:rsidRPr="009E686F">
              <w:rPr>
                <w:rFonts w:ascii="Times New Roman" w:eastAsia="Times New Roman" w:hAnsi="Times New Roman" w:cs="Times New Roman"/>
                <w:lang w:val="ro-MD" w:eastAsia="ro-MD"/>
              </w:rPr>
              <w:t>, precum şi performanţele care depăşesc ceea ce este necesar pentru a realiza atribuţiile sale prevăzute în fişa postului, ca parte a contractului de muncă;</w:t>
            </w:r>
          </w:p>
          <w:p w14:paraId="33755F07" w14:textId="192CE371" w:rsidR="002F47A0" w:rsidRPr="009E686F" w:rsidRDefault="002F47A0" w:rsidP="002F47A0">
            <w:pPr>
              <w:spacing w:after="0"/>
              <w:jc w:val="both"/>
              <w:rPr>
                <w:rFonts w:ascii="Times New Roman" w:hAnsi="Times New Roman" w:cs="Times New Roman"/>
                <w:bCs/>
                <w:lang w:val="ro-RO"/>
              </w:rPr>
            </w:pPr>
            <w:r w:rsidRPr="009E686F">
              <w:rPr>
                <w:rFonts w:ascii="Times New Roman" w:eastAsia="Times New Roman" w:hAnsi="Times New Roman" w:cs="Times New Roman"/>
                <w:lang w:val="ro-MD" w:eastAsia="ro-MD"/>
              </w:rPr>
              <w:t xml:space="preserve"> </w:t>
            </w:r>
          </w:p>
        </w:tc>
        <w:tc>
          <w:tcPr>
            <w:tcW w:w="470" w:type="pct"/>
            <w:tcBorders>
              <w:top w:val="single" w:sz="4" w:space="0" w:color="auto"/>
              <w:left w:val="single" w:sz="4" w:space="0" w:color="auto"/>
              <w:bottom w:val="single" w:sz="4" w:space="0" w:color="auto"/>
              <w:right w:val="single" w:sz="4" w:space="0" w:color="auto"/>
            </w:tcBorders>
          </w:tcPr>
          <w:p w14:paraId="046043E7" w14:textId="77777777"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p w14:paraId="38CB4C29" w14:textId="0914DF29" w:rsidR="002F47A0" w:rsidRPr="009E686F" w:rsidRDefault="002F47A0" w:rsidP="002F47A0">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43D2E417" w14:textId="77777777" w:rsidR="002F47A0" w:rsidRPr="009E686F" w:rsidRDefault="002F47A0" w:rsidP="002F47A0">
            <w:pPr>
              <w:jc w:val="both"/>
              <w:rPr>
                <w:rFonts w:ascii="Times New Roman" w:hAnsi="Times New Roman" w:cs="Times New Roman"/>
                <w:lang w:val="ro-RO"/>
              </w:rPr>
            </w:pPr>
          </w:p>
        </w:tc>
      </w:tr>
      <w:tr w:rsidR="002F47A0" w:rsidRPr="009E686F" w14:paraId="0C410EFC"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3050F56F" w14:textId="1A4AE43C"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(3) În sensul alineatului (2), categoriile de personal ale căror activități profesionale au un impact semnificativ asupra profilului de risc al instituției includ cel puțin:</w:t>
            </w:r>
          </w:p>
        </w:tc>
        <w:tc>
          <w:tcPr>
            <w:tcW w:w="1928" w:type="pct"/>
            <w:gridSpan w:val="3"/>
            <w:tcBorders>
              <w:top w:val="single" w:sz="4" w:space="0" w:color="auto"/>
              <w:left w:val="single" w:sz="4" w:space="0" w:color="auto"/>
              <w:bottom w:val="single" w:sz="4" w:space="0" w:color="auto"/>
              <w:right w:val="single" w:sz="4" w:space="0" w:color="auto"/>
            </w:tcBorders>
          </w:tcPr>
          <w:p w14:paraId="47596010" w14:textId="5211F2B0" w:rsidR="002F47A0" w:rsidRPr="009E686F" w:rsidRDefault="002F47A0" w:rsidP="002F47A0">
            <w:pPr>
              <w:spacing w:after="0" w:line="276" w:lineRule="auto"/>
              <w:jc w:val="both"/>
              <w:rPr>
                <w:rFonts w:ascii="Times New Roman" w:eastAsia="Times New Roman" w:hAnsi="Times New Roman" w:cs="Times New Roman"/>
                <w:b/>
                <w:bCs/>
                <w:lang w:val="ro-MD" w:eastAsia="ro-MD"/>
              </w:rPr>
            </w:pPr>
            <w:r w:rsidRPr="009E686F">
              <w:rPr>
                <w:rFonts w:ascii="Times New Roman" w:eastAsia="Times New Roman" w:hAnsi="Times New Roman" w:cs="Times New Roman"/>
                <w:b/>
                <w:bCs/>
                <w:lang w:val="ro-MD" w:eastAsia="ro-MD"/>
              </w:rPr>
              <w:t>Articolul 39</w:t>
            </w:r>
            <w:r w:rsidR="00EB0E39" w:rsidRPr="009E686F">
              <w:rPr>
                <w:rFonts w:ascii="Times New Roman" w:eastAsia="Times New Roman" w:hAnsi="Times New Roman" w:cs="Times New Roman"/>
                <w:b/>
                <w:bCs/>
                <w:lang w:val="ro-MD" w:eastAsia="ro-MD"/>
              </w:rPr>
              <w:t xml:space="preserve"> alin. (1</w:t>
            </w:r>
            <w:r w:rsidR="00EB0E39" w:rsidRPr="009E686F">
              <w:rPr>
                <w:rFonts w:ascii="Times New Roman" w:eastAsia="Times New Roman" w:hAnsi="Times New Roman" w:cs="Times New Roman"/>
                <w:b/>
                <w:bCs/>
                <w:vertAlign w:val="superscript"/>
                <w:lang w:val="ro-MD" w:eastAsia="ro-MD"/>
              </w:rPr>
              <w:t>1</w:t>
            </w:r>
            <w:r w:rsidR="00EB0E39" w:rsidRPr="009E686F">
              <w:rPr>
                <w:rFonts w:ascii="Times New Roman" w:eastAsia="Times New Roman" w:hAnsi="Times New Roman" w:cs="Times New Roman"/>
                <w:b/>
                <w:bCs/>
                <w:lang w:val="ro-MD" w:eastAsia="ro-MD"/>
              </w:rPr>
              <w:t>)</w:t>
            </w:r>
          </w:p>
          <w:p w14:paraId="5593FB11" w14:textId="4B608B3E" w:rsidR="002F47A0" w:rsidRPr="009E686F" w:rsidRDefault="002F47A0" w:rsidP="002F47A0">
            <w:pPr>
              <w:spacing w:after="0" w:line="276" w:lineRule="auto"/>
              <w:jc w:val="both"/>
              <w:rPr>
                <w:rFonts w:ascii="Times New Roman" w:eastAsia="Times New Roman" w:hAnsi="Times New Roman" w:cs="Times New Roman"/>
                <w:i/>
                <w:kern w:val="2"/>
                <w:lang w:val="ro-MD" w:eastAsia="ro-MD"/>
              </w:rPr>
            </w:pPr>
            <w:r w:rsidRPr="009E686F">
              <w:rPr>
                <w:rFonts w:ascii="Times New Roman" w:eastAsia="Times New Roman" w:hAnsi="Times New Roman" w:cs="Times New Roman"/>
                <w:i/>
                <w:lang w:val="ro-MD" w:eastAsia="ro-MD"/>
              </w:rPr>
              <w:t>(1</w:t>
            </w:r>
            <w:r w:rsidRPr="009E686F">
              <w:rPr>
                <w:rFonts w:ascii="Times New Roman" w:eastAsia="Times New Roman" w:hAnsi="Times New Roman" w:cs="Times New Roman"/>
                <w:i/>
                <w:vertAlign w:val="superscript"/>
                <w:lang w:val="ro-MD" w:eastAsia="ro-MD"/>
              </w:rPr>
              <w:t>1</w:t>
            </w:r>
            <w:r w:rsidRPr="009E686F">
              <w:rPr>
                <w:rFonts w:ascii="Times New Roman" w:eastAsia="Times New Roman" w:hAnsi="Times New Roman" w:cs="Times New Roman"/>
                <w:i/>
                <w:lang w:val="ro-MD" w:eastAsia="ro-MD"/>
              </w:rPr>
              <w:t xml:space="preserve">) În sensul alin.(1), </w:t>
            </w:r>
            <w:r w:rsidR="00F30507" w:rsidRPr="009E686F">
              <w:rPr>
                <w:rFonts w:ascii="Times New Roman" w:eastAsia="Times New Roman" w:hAnsi="Times New Roman" w:cs="Times New Roman"/>
                <w:i/>
                <w:lang w:val="ro-MD" w:eastAsia="ro-MD"/>
              </w:rPr>
              <w:t xml:space="preserve">membrii personalului identificat </w:t>
            </w:r>
            <w:r w:rsidRPr="009E686F">
              <w:rPr>
                <w:rFonts w:ascii="Times New Roman" w:eastAsia="Times New Roman" w:hAnsi="Times New Roman" w:cs="Times New Roman"/>
                <w:i/>
                <w:lang w:val="ro-MD" w:eastAsia="ro-MD"/>
              </w:rPr>
              <w:t>includ cel puțin:</w:t>
            </w:r>
          </w:p>
        </w:tc>
        <w:tc>
          <w:tcPr>
            <w:tcW w:w="470" w:type="pct"/>
            <w:tcBorders>
              <w:top w:val="single" w:sz="4" w:space="0" w:color="auto"/>
              <w:left w:val="single" w:sz="4" w:space="0" w:color="auto"/>
              <w:bottom w:val="single" w:sz="4" w:space="0" w:color="auto"/>
              <w:right w:val="single" w:sz="4" w:space="0" w:color="auto"/>
            </w:tcBorders>
          </w:tcPr>
          <w:p w14:paraId="291393AB" w14:textId="264A829B"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6F14CE73" w14:textId="77777777" w:rsidR="002F47A0" w:rsidRPr="009E686F" w:rsidRDefault="002F47A0" w:rsidP="002F47A0">
            <w:pPr>
              <w:jc w:val="both"/>
              <w:rPr>
                <w:rFonts w:ascii="Times New Roman" w:hAnsi="Times New Roman" w:cs="Times New Roman"/>
                <w:lang w:val="ro-RO"/>
              </w:rPr>
            </w:pPr>
          </w:p>
        </w:tc>
      </w:tr>
      <w:tr w:rsidR="002F47A0" w:rsidRPr="009E686F" w14:paraId="1CF6EFBB"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34550D28" w14:textId="2805EE03"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(a) toți membrii organului de conducere și ai conducerii superioare;</w:t>
            </w:r>
          </w:p>
        </w:tc>
        <w:tc>
          <w:tcPr>
            <w:tcW w:w="1928" w:type="pct"/>
            <w:gridSpan w:val="3"/>
            <w:tcBorders>
              <w:top w:val="single" w:sz="4" w:space="0" w:color="auto"/>
              <w:left w:val="single" w:sz="4" w:space="0" w:color="auto"/>
              <w:bottom w:val="single" w:sz="4" w:space="0" w:color="auto"/>
              <w:right w:val="single" w:sz="4" w:space="0" w:color="auto"/>
            </w:tcBorders>
          </w:tcPr>
          <w:p w14:paraId="4D3C2B09" w14:textId="64E1845A" w:rsidR="002F47A0" w:rsidRPr="009E686F" w:rsidRDefault="008C6FBE" w:rsidP="002F47A0">
            <w:pPr>
              <w:spacing w:after="0"/>
              <w:jc w:val="both"/>
              <w:rPr>
                <w:rFonts w:ascii="Times New Roman" w:hAnsi="Times New Roman" w:cs="Times New Roman"/>
                <w:b/>
                <w:lang w:val="ro-RO"/>
              </w:rPr>
            </w:pPr>
            <w:r w:rsidRPr="009E686F">
              <w:rPr>
                <w:rFonts w:ascii="Times New Roman" w:eastAsia="Times New Roman" w:hAnsi="Times New Roman" w:cs="Times New Roman"/>
                <w:i/>
                <w:lang w:val="ro-MD" w:eastAsia="ro-MD"/>
              </w:rPr>
              <w:t>1</w:t>
            </w:r>
            <w:r w:rsidR="002F47A0" w:rsidRPr="009E686F">
              <w:rPr>
                <w:rFonts w:ascii="Times New Roman" w:eastAsia="Times New Roman" w:hAnsi="Times New Roman" w:cs="Times New Roman"/>
                <w:i/>
                <w:lang w:val="ro-MD" w:eastAsia="ro-MD"/>
              </w:rPr>
              <w:t>) toți membrii consiliului</w:t>
            </w:r>
            <w:r w:rsidR="002F47A0" w:rsidRPr="009E686F">
              <w:rPr>
                <w:rFonts w:ascii="Times New Roman" w:eastAsia="Times New Roman" w:hAnsi="Times New Roman" w:cs="Times New Roman"/>
                <w:i/>
                <w:iCs/>
                <w:lang w:val="ro-MD" w:eastAsia="ro-MD"/>
              </w:rPr>
              <w:t>,</w:t>
            </w:r>
            <w:r w:rsidR="002F47A0" w:rsidRPr="009E686F">
              <w:rPr>
                <w:rFonts w:ascii="Times New Roman" w:eastAsia="Times New Roman" w:hAnsi="Times New Roman" w:cs="Times New Roman"/>
                <w:i/>
                <w:lang w:val="ro-MD" w:eastAsia="ro-MD"/>
              </w:rPr>
              <w:t xml:space="preserve"> ai </w:t>
            </w:r>
            <w:r w:rsidR="00984B34" w:rsidRPr="009E686F">
              <w:rPr>
                <w:rFonts w:ascii="Times New Roman" w:eastAsia="Times New Roman" w:hAnsi="Times New Roman" w:cs="Times New Roman"/>
                <w:i/>
                <w:lang w:val="ro-MD" w:eastAsia="ro-MD"/>
              </w:rPr>
              <w:t xml:space="preserve">organului </w:t>
            </w:r>
            <w:r w:rsidR="002F47A0" w:rsidRPr="009E686F">
              <w:rPr>
                <w:rFonts w:ascii="Times New Roman" w:eastAsia="Times New Roman" w:hAnsi="Times New Roman" w:cs="Times New Roman"/>
                <w:i/>
                <w:lang w:val="ro-MD" w:eastAsia="ro-MD"/>
              </w:rPr>
              <w:t>executiv</w:t>
            </w:r>
            <w:r w:rsidR="002F47A0" w:rsidRPr="009E686F">
              <w:rPr>
                <w:rFonts w:ascii="Times New Roman" w:eastAsia="Times New Roman" w:hAnsi="Times New Roman" w:cs="Times New Roman"/>
                <w:i/>
                <w:iCs/>
                <w:lang w:val="ro-MD" w:eastAsia="ro-MD"/>
              </w:rPr>
              <w:t xml:space="preserve"> și persoanele care reprezintă conducerea superioară</w:t>
            </w:r>
            <w:r w:rsidR="002F47A0" w:rsidRPr="009E686F">
              <w:rPr>
                <w:rFonts w:ascii="Times New Roman" w:eastAsia="Times New Roman" w:hAnsi="Times New Roman" w:cs="Times New Roman"/>
                <w:lang w:val="ro-MD" w:eastAsia="ro-MD"/>
              </w:rPr>
              <w:t>;</w:t>
            </w:r>
          </w:p>
        </w:tc>
        <w:tc>
          <w:tcPr>
            <w:tcW w:w="470" w:type="pct"/>
            <w:tcBorders>
              <w:top w:val="single" w:sz="4" w:space="0" w:color="auto"/>
              <w:left w:val="single" w:sz="4" w:space="0" w:color="auto"/>
              <w:bottom w:val="single" w:sz="4" w:space="0" w:color="auto"/>
              <w:right w:val="single" w:sz="4" w:space="0" w:color="auto"/>
            </w:tcBorders>
          </w:tcPr>
          <w:p w14:paraId="184BC7EC" w14:textId="205795F5"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2E415F6F" w14:textId="77777777" w:rsidR="002F47A0" w:rsidRPr="009E686F" w:rsidRDefault="002F47A0" w:rsidP="002F47A0">
            <w:pPr>
              <w:jc w:val="both"/>
              <w:rPr>
                <w:rFonts w:ascii="Times New Roman" w:hAnsi="Times New Roman" w:cs="Times New Roman"/>
                <w:lang w:val="ro-RO"/>
              </w:rPr>
            </w:pPr>
          </w:p>
        </w:tc>
      </w:tr>
      <w:tr w:rsidR="002F47A0" w:rsidRPr="009E686F" w14:paraId="22F63A53"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16CD4C51" w14:textId="1D8102F9"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(b) membrii personalului cu responsabilități de conducere asupra funcțiilor de control intern sau a unităților operaționale importante ale instituției;</w:t>
            </w:r>
          </w:p>
          <w:p w14:paraId="2CCF9747" w14:textId="6A1E364C" w:rsidR="002F47A0" w:rsidRPr="009E686F" w:rsidRDefault="002F47A0" w:rsidP="002F47A0">
            <w:pPr>
              <w:spacing w:after="0"/>
              <w:jc w:val="both"/>
              <w:rPr>
                <w:rFonts w:ascii="Times New Roman" w:hAnsi="Times New Roman" w:cs="Times New Roman"/>
                <w:lang w:val="ro-RO"/>
              </w:rPr>
            </w:pPr>
          </w:p>
        </w:tc>
        <w:tc>
          <w:tcPr>
            <w:tcW w:w="1928" w:type="pct"/>
            <w:gridSpan w:val="3"/>
            <w:tcBorders>
              <w:top w:val="single" w:sz="4" w:space="0" w:color="auto"/>
              <w:left w:val="single" w:sz="4" w:space="0" w:color="auto"/>
              <w:bottom w:val="single" w:sz="4" w:space="0" w:color="auto"/>
              <w:right w:val="single" w:sz="4" w:space="0" w:color="auto"/>
            </w:tcBorders>
          </w:tcPr>
          <w:p w14:paraId="04CEDFEB" w14:textId="10FD41C4" w:rsidR="002F47A0" w:rsidRPr="009E686F" w:rsidRDefault="008C6FBE" w:rsidP="002F47A0">
            <w:pPr>
              <w:spacing w:after="0"/>
              <w:jc w:val="both"/>
              <w:rPr>
                <w:rFonts w:ascii="Times New Roman" w:hAnsi="Times New Roman" w:cs="Times New Roman"/>
                <w:b/>
                <w:i/>
                <w:lang w:val="ro-RO"/>
              </w:rPr>
            </w:pPr>
            <w:r w:rsidRPr="009E686F">
              <w:rPr>
                <w:rFonts w:ascii="Times New Roman" w:eastAsia="Times New Roman" w:hAnsi="Times New Roman" w:cs="Times New Roman"/>
                <w:i/>
                <w:iCs/>
                <w:lang w:val="ro-MD" w:eastAsia="ro-MD"/>
              </w:rPr>
              <w:t>2</w:t>
            </w:r>
            <w:r w:rsidR="002F47A0" w:rsidRPr="009E686F">
              <w:rPr>
                <w:rFonts w:ascii="Times New Roman" w:eastAsia="Times New Roman" w:hAnsi="Times New Roman" w:cs="Times New Roman"/>
                <w:i/>
                <w:iCs/>
                <w:lang w:val="ro-MD" w:eastAsia="ro-MD"/>
              </w:rPr>
              <w:t xml:space="preserve">) persoane </w:t>
            </w:r>
            <w:r w:rsidRPr="009E686F">
              <w:rPr>
                <w:rFonts w:ascii="Times New Roman" w:eastAsia="Times New Roman" w:hAnsi="Times New Roman" w:cs="Times New Roman"/>
                <w:i/>
                <w:iCs/>
                <w:lang w:val="ro-MD" w:eastAsia="ro-MD"/>
              </w:rPr>
              <w:t xml:space="preserve">care dețin </w:t>
            </w:r>
            <w:r w:rsidR="002F47A0" w:rsidRPr="009E686F">
              <w:rPr>
                <w:rFonts w:ascii="Times New Roman" w:eastAsia="Times New Roman" w:hAnsi="Times New Roman" w:cs="Times New Roman"/>
                <w:i/>
                <w:iCs/>
                <w:lang w:val="ro-MD" w:eastAsia="ro-MD"/>
              </w:rPr>
              <w:t>func</w:t>
            </w:r>
            <w:r w:rsidR="002F47A0" w:rsidRPr="009E686F">
              <w:rPr>
                <w:rFonts w:ascii="Times New Roman" w:eastAsia="Times New Roman" w:hAnsi="Times New Roman" w:cs="Times New Roman"/>
                <w:i/>
                <w:iCs/>
                <w:lang w:val="ro-RO" w:eastAsia="ro-MD"/>
              </w:rPr>
              <w:t>ț</w:t>
            </w:r>
            <w:r w:rsidR="002F47A0" w:rsidRPr="009E686F">
              <w:rPr>
                <w:rFonts w:ascii="Times New Roman" w:eastAsia="Times New Roman" w:hAnsi="Times New Roman" w:cs="Times New Roman"/>
                <w:i/>
                <w:iCs/>
                <w:lang w:val="ro-MD" w:eastAsia="ro-MD"/>
              </w:rPr>
              <w:t>ii-cheie, inclusiv</w:t>
            </w:r>
            <w:r w:rsidR="002F47A0" w:rsidRPr="009E686F">
              <w:rPr>
                <w:rFonts w:ascii="Times New Roman" w:eastAsia="Times New Roman" w:hAnsi="Times New Roman" w:cs="Times New Roman"/>
                <w:i/>
                <w:lang w:val="ro-MD" w:eastAsia="ro-MD"/>
              </w:rPr>
              <w:t xml:space="preserve"> membrii personalului cu responsabilități de conducere, a funcțiilor de control intern sau a unităților operaționale importante ale </w:t>
            </w:r>
            <w:r w:rsidR="002F47A0" w:rsidRPr="009E686F">
              <w:rPr>
                <w:rFonts w:ascii="Times New Roman" w:eastAsia="Times New Roman" w:hAnsi="Times New Roman" w:cs="Times New Roman"/>
                <w:i/>
                <w:iCs/>
                <w:lang w:val="ro-MD" w:eastAsia="ro-MD"/>
              </w:rPr>
              <w:t>instituției de credit</w:t>
            </w:r>
            <w:r w:rsidR="002F47A0" w:rsidRPr="009E686F">
              <w:rPr>
                <w:rFonts w:ascii="Times New Roman" w:eastAsia="Times New Roman" w:hAnsi="Times New Roman" w:cs="Times New Roman"/>
                <w:i/>
                <w:lang w:val="ro-MD" w:eastAsia="ro-MD"/>
              </w:rPr>
              <w:t>, astfel cum sunt definite în actele normative ale Băncii Naționale a Moldovei</w:t>
            </w:r>
            <w:r w:rsidR="00D00B68" w:rsidRPr="009E686F">
              <w:rPr>
                <w:lang w:val="it-CH"/>
              </w:rPr>
              <w:t xml:space="preserve"> </w:t>
            </w:r>
            <w:r w:rsidR="00D00B68" w:rsidRPr="009E686F">
              <w:rPr>
                <w:rFonts w:ascii="Times New Roman" w:eastAsia="Times New Roman" w:hAnsi="Times New Roman" w:cs="Times New Roman"/>
                <w:i/>
                <w:lang w:val="ro-MD" w:eastAsia="ro-MD"/>
              </w:rPr>
              <w:t>emise în aplicarea prezentei legi</w:t>
            </w:r>
            <w:r w:rsidR="002F47A0" w:rsidRPr="009E686F">
              <w:rPr>
                <w:rFonts w:ascii="Times New Roman" w:eastAsia="Times New Roman" w:hAnsi="Times New Roman" w:cs="Times New Roman"/>
                <w:i/>
                <w:lang w:val="ro-MD" w:eastAsia="ro-MD"/>
              </w:rPr>
              <w:t>;</w:t>
            </w:r>
          </w:p>
        </w:tc>
        <w:tc>
          <w:tcPr>
            <w:tcW w:w="470" w:type="pct"/>
            <w:tcBorders>
              <w:top w:val="single" w:sz="4" w:space="0" w:color="auto"/>
              <w:left w:val="single" w:sz="4" w:space="0" w:color="auto"/>
              <w:bottom w:val="single" w:sz="4" w:space="0" w:color="auto"/>
              <w:right w:val="single" w:sz="4" w:space="0" w:color="auto"/>
            </w:tcBorders>
          </w:tcPr>
          <w:p w14:paraId="0F70DE0A" w14:textId="0D5C9F49"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7802EACA" w14:textId="77777777" w:rsidR="002F47A0" w:rsidRPr="009E686F" w:rsidRDefault="002F47A0" w:rsidP="002F47A0">
            <w:pPr>
              <w:jc w:val="both"/>
              <w:rPr>
                <w:rFonts w:ascii="Times New Roman" w:hAnsi="Times New Roman" w:cs="Times New Roman"/>
                <w:lang w:val="ro-RO"/>
              </w:rPr>
            </w:pPr>
          </w:p>
        </w:tc>
      </w:tr>
      <w:tr w:rsidR="002F47A0" w:rsidRPr="009E686F" w14:paraId="74601996"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4C4931CC" w14:textId="7AF02D9B"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(c) membrii personalului îndreptățiți la remunerații semnificative în exercițiul financiar precedent, cu condiția ca următoarele condiții să fie îndeplinite:</w:t>
            </w:r>
          </w:p>
          <w:p w14:paraId="67F6A589" w14:textId="0A201A27"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(i) remunerația membrului personalului este egală sau mai mare de 500 000 EUR și este egală sau mai mare decât remunerația medie acordată membrilor organului de conducere și ai conducerii superioare menționați la litera (a);</w:t>
            </w:r>
          </w:p>
          <w:p w14:paraId="2C74ACE9" w14:textId="100E4F30" w:rsidR="002F47A0" w:rsidRPr="009E686F" w:rsidRDefault="002F47A0" w:rsidP="002F47A0">
            <w:pPr>
              <w:spacing w:after="0"/>
              <w:jc w:val="both"/>
              <w:rPr>
                <w:rFonts w:ascii="Times New Roman" w:hAnsi="Times New Roman" w:cs="Times New Roman"/>
                <w:lang w:val="ro-RO"/>
              </w:rPr>
            </w:pPr>
            <w:r w:rsidRPr="009E686F">
              <w:rPr>
                <w:rFonts w:ascii="Times New Roman" w:hAnsi="Times New Roman" w:cs="Times New Roman"/>
                <w:lang w:val="ro-RO"/>
              </w:rPr>
              <w:t>(ii) membrul personalului își desfășoară activitatea profesională într-o unitate operațională importantă, iar activitatea are, prin natura sa, un impact semnificativ asupra profilului de risc al unității operaționale în cauză.</w:t>
            </w:r>
          </w:p>
        </w:tc>
        <w:tc>
          <w:tcPr>
            <w:tcW w:w="1928" w:type="pct"/>
            <w:gridSpan w:val="3"/>
            <w:tcBorders>
              <w:top w:val="single" w:sz="4" w:space="0" w:color="auto"/>
              <w:left w:val="single" w:sz="4" w:space="0" w:color="auto"/>
              <w:bottom w:val="single" w:sz="4" w:space="0" w:color="auto"/>
              <w:right w:val="single" w:sz="4" w:space="0" w:color="auto"/>
            </w:tcBorders>
          </w:tcPr>
          <w:p w14:paraId="7B46F4A7" w14:textId="076372B7" w:rsidR="002F47A0" w:rsidRPr="009E686F" w:rsidRDefault="008C6FBE" w:rsidP="002F47A0">
            <w:pPr>
              <w:spacing w:after="0" w:line="276" w:lineRule="auto"/>
              <w:jc w:val="both"/>
              <w:rPr>
                <w:rFonts w:ascii="Times New Roman" w:eastAsia="Times New Roman" w:hAnsi="Times New Roman" w:cs="Times New Roman"/>
                <w:i/>
                <w:kern w:val="2"/>
                <w:lang w:val="ro-MD" w:eastAsia="ro-MD"/>
              </w:rPr>
            </w:pPr>
            <w:r w:rsidRPr="009E686F">
              <w:rPr>
                <w:rFonts w:ascii="Times New Roman" w:eastAsia="Times New Roman" w:hAnsi="Times New Roman" w:cs="Times New Roman"/>
                <w:i/>
                <w:lang w:val="ro-MD" w:eastAsia="ro-MD"/>
              </w:rPr>
              <w:t>3</w:t>
            </w:r>
            <w:r w:rsidR="002F47A0" w:rsidRPr="009E686F">
              <w:rPr>
                <w:rFonts w:ascii="Times New Roman" w:eastAsia="Times New Roman" w:hAnsi="Times New Roman" w:cs="Times New Roman"/>
                <w:i/>
                <w:lang w:val="ro-MD" w:eastAsia="ro-MD"/>
              </w:rPr>
              <w:t>) membrii personalului îndreptățiți la remunerații semnificative în perioada de gestiune precedentă, cu îndeplinirea următoarelor condiții:</w:t>
            </w:r>
            <w:r w:rsidR="002F47A0" w:rsidRPr="009E686F">
              <w:rPr>
                <w:rFonts w:ascii="Times New Roman" w:eastAsia="Times New Roman" w:hAnsi="Times New Roman" w:cs="Times New Roman"/>
                <w:b/>
                <w:i/>
                <w:lang w:val="ro-MD" w:eastAsia="ro-MD"/>
              </w:rPr>
              <w:t xml:space="preserve"> </w:t>
            </w:r>
          </w:p>
          <w:p w14:paraId="63FFAFBD" w14:textId="25446484" w:rsidR="002F47A0" w:rsidRPr="009E686F" w:rsidRDefault="008C6FBE" w:rsidP="002F47A0">
            <w:pPr>
              <w:spacing w:after="0" w:line="276" w:lineRule="auto"/>
              <w:jc w:val="both"/>
              <w:rPr>
                <w:rFonts w:ascii="Times New Roman" w:eastAsia="Times New Roman" w:hAnsi="Times New Roman" w:cs="Times New Roman"/>
                <w:i/>
                <w:lang w:val="ro-MD" w:eastAsia="ro-MD"/>
              </w:rPr>
            </w:pPr>
            <w:r w:rsidRPr="009E686F">
              <w:rPr>
                <w:rFonts w:ascii="Times New Roman" w:eastAsia="Times New Roman" w:hAnsi="Times New Roman" w:cs="Times New Roman"/>
                <w:i/>
                <w:lang w:val="ro-MD" w:eastAsia="ro-MD"/>
              </w:rPr>
              <w:t>a</w:t>
            </w:r>
            <w:r w:rsidR="002F47A0" w:rsidRPr="009E686F">
              <w:rPr>
                <w:rFonts w:ascii="Times New Roman" w:eastAsia="Times New Roman" w:hAnsi="Times New Roman" w:cs="Times New Roman"/>
                <w:i/>
                <w:lang w:val="ro-MD" w:eastAsia="ro-MD"/>
              </w:rPr>
              <w:t xml:space="preserve">) remunerația a membrului personalului este egală cu echivalentul în </w:t>
            </w:r>
            <w:r w:rsidR="00984B34" w:rsidRPr="009E686F">
              <w:rPr>
                <w:rFonts w:ascii="Times New Roman" w:eastAsia="Times New Roman" w:hAnsi="Times New Roman" w:cs="Times New Roman"/>
                <w:i/>
                <w:lang w:val="ro-MD" w:eastAsia="ro-MD"/>
              </w:rPr>
              <w:t>lei moldovenești</w:t>
            </w:r>
            <w:r w:rsidR="002F47A0" w:rsidRPr="009E686F">
              <w:rPr>
                <w:rFonts w:ascii="Times New Roman" w:eastAsia="Times New Roman" w:hAnsi="Times New Roman" w:cs="Times New Roman"/>
                <w:i/>
                <w:lang w:val="ro-MD" w:eastAsia="ro-MD"/>
              </w:rPr>
              <w:t xml:space="preserve"> a cel puțin 500.000 euro și este cel puțin egală cu remunerația medie acordată membrilor organului de conducere; </w:t>
            </w:r>
          </w:p>
          <w:p w14:paraId="71B2A082" w14:textId="4BD0D559" w:rsidR="002F47A0" w:rsidRPr="009E686F" w:rsidRDefault="008C6FBE" w:rsidP="002F47A0">
            <w:pPr>
              <w:spacing w:after="0" w:line="276" w:lineRule="auto"/>
              <w:jc w:val="both"/>
              <w:rPr>
                <w:rFonts w:ascii="Times New Roman" w:hAnsi="Times New Roman" w:cs="Times New Roman"/>
                <w:b/>
                <w:lang w:val="ro-RO"/>
              </w:rPr>
            </w:pPr>
            <w:r w:rsidRPr="009E686F">
              <w:rPr>
                <w:rFonts w:ascii="Times New Roman" w:eastAsia="Times New Roman" w:hAnsi="Times New Roman" w:cs="Times New Roman"/>
                <w:i/>
                <w:lang w:val="ro-MD" w:eastAsia="ro-MD"/>
              </w:rPr>
              <w:t>b</w:t>
            </w:r>
            <w:r w:rsidR="002F47A0" w:rsidRPr="009E686F">
              <w:rPr>
                <w:rFonts w:ascii="Times New Roman" w:eastAsia="Times New Roman" w:hAnsi="Times New Roman" w:cs="Times New Roman"/>
                <w:i/>
                <w:lang w:val="ro-MD" w:eastAsia="ro-MD"/>
              </w:rPr>
              <w:t>) membrul personalului își desfășoară activitatea profesională într-o unitate operațională importantă, iar activitatea are, prin natura sa, un impact semnificativ asupra profilului de risc al unității operaționale în cauză.</w:t>
            </w:r>
          </w:p>
        </w:tc>
        <w:tc>
          <w:tcPr>
            <w:tcW w:w="470" w:type="pct"/>
            <w:tcBorders>
              <w:top w:val="single" w:sz="4" w:space="0" w:color="auto"/>
              <w:left w:val="single" w:sz="4" w:space="0" w:color="auto"/>
              <w:bottom w:val="single" w:sz="4" w:space="0" w:color="auto"/>
              <w:right w:val="single" w:sz="4" w:space="0" w:color="auto"/>
            </w:tcBorders>
          </w:tcPr>
          <w:p w14:paraId="6CC494FC" w14:textId="7716BF49" w:rsidR="002F47A0" w:rsidRPr="009E686F" w:rsidRDefault="002F47A0" w:rsidP="002F47A0">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4C9467D4" w14:textId="77777777" w:rsidR="002F47A0" w:rsidRPr="009E686F" w:rsidRDefault="002F47A0" w:rsidP="002F47A0">
            <w:pPr>
              <w:jc w:val="both"/>
              <w:rPr>
                <w:rFonts w:ascii="Times New Roman" w:hAnsi="Times New Roman" w:cs="Times New Roman"/>
                <w:lang w:val="ro-RO"/>
              </w:rPr>
            </w:pPr>
          </w:p>
        </w:tc>
      </w:tr>
      <w:tr w:rsidR="00984B34" w:rsidRPr="009E686F" w14:paraId="1CA435BF"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059D6B41" w14:textId="77777777" w:rsidR="00984B34" w:rsidRPr="009E686F" w:rsidRDefault="00984B34" w:rsidP="00984B34">
            <w:pPr>
              <w:spacing w:after="0"/>
              <w:jc w:val="both"/>
              <w:rPr>
                <w:rFonts w:ascii="Times New Roman" w:hAnsi="Times New Roman" w:cs="Times New Roman"/>
                <w:lang w:val="ro-RO"/>
              </w:rPr>
            </w:pPr>
          </w:p>
        </w:tc>
        <w:tc>
          <w:tcPr>
            <w:tcW w:w="1928" w:type="pct"/>
            <w:gridSpan w:val="3"/>
            <w:tcBorders>
              <w:top w:val="single" w:sz="4" w:space="0" w:color="auto"/>
              <w:left w:val="single" w:sz="4" w:space="0" w:color="auto"/>
              <w:bottom w:val="single" w:sz="4" w:space="0" w:color="auto"/>
              <w:right w:val="single" w:sz="4" w:space="0" w:color="auto"/>
            </w:tcBorders>
          </w:tcPr>
          <w:p w14:paraId="469A7E41" w14:textId="77777777" w:rsidR="00984B34" w:rsidRPr="009E686F" w:rsidRDefault="00984B34" w:rsidP="00984B34">
            <w:pPr>
              <w:spacing w:after="0" w:line="276" w:lineRule="auto"/>
              <w:jc w:val="both"/>
              <w:rPr>
                <w:rFonts w:ascii="Times New Roman" w:eastAsia="Times New Roman" w:hAnsi="Times New Roman" w:cs="Times New Roman"/>
                <w:b/>
                <w:bCs/>
                <w:lang w:val="ro-RO" w:eastAsia="ro-MD"/>
              </w:rPr>
            </w:pPr>
            <w:r w:rsidRPr="009E686F">
              <w:rPr>
                <w:rFonts w:ascii="Times New Roman" w:eastAsia="Times New Roman" w:hAnsi="Times New Roman" w:cs="Times New Roman"/>
                <w:b/>
                <w:bCs/>
                <w:lang w:val="ro-RO" w:eastAsia="ro-MD"/>
              </w:rPr>
              <w:t>Articolul 39 alin. (7)</w:t>
            </w:r>
          </w:p>
          <w:p w14:paraId="7F591ACC" w14:textId="4BF9BB7D" w:rsidR="00984B34" w:rsidRPr="009E686F" w:rsidRDefault="00984B34" w:rsidP="00984B34">
            <w:pPr>
              <w:spacing w:after="0" w:line="276" w:lineRule="auto"/>
              <w:jc w:val="both"/>
              <w:rPr>
                <w:rFonts w:ascii="Times New Roman" w:eastAsia="Times New Roman" w:hAnsi="Times New Roman" w:cs="Times New Roman"/>
                <w:lang w:val="ro-RO" w:eastAsia="ro-MD"/>
              </w:rPr>
            </w:pPr>
            <w:r w:rsidRPr="009E686F">
              <w:rPr>
                <w:rFonts w:ascii="Times New Roman" w:eastAsia="Times New Roman" w:hAnsi="Times New Roman" w:cs="Times New Roman"/>
                <w:lang w:val="ro-RO" w:eastAsia="ro-MD"/>
              </w:rPr>
              <w:t xml:space="preserve">(7) </w:t>
            </w:r>
            <w:r w:rsidRPr="009E686F">
              <w:rPr>
                <w:rFonts w:ascii="Times New Roman" w:eastAsia="Times New Roman" w:hAnsi="Times New Roman" w:cs="Times New Roman"/>
                <w:i/>
                <w:iCs/>
                <w:lang w:val="ro-RO" w:eastAsia="ro-MD"/>
              </w:rPr>
              <w:t>Instituția de credit</w:t>
            </w:r>
            <w:r w:rsidRPr="009E686F">
              <w:rPr>
                <w:rFonts w:ascii="Times New Roman" w:eastAsia="Times New Roman" w:hAnsi="Times New Roman" w:cs="Times New Roman"/>
                <w:lang w:val="ro-RO" w:eastAsia="ro-MD"/>
              </w:rPr>
              <w:t xml:space="preserve"> trebuie să includă în contractele individuale de muncă încheiate cu persoanele ale căror activităţi profesionale au un impact semnificativ asupra profilului de risc al acesteia clauze care să asigure respectarea cerinţelor în </w:t>
            </w:r>
            <w:r w:rsidRPr="009E686F">
              <w:rPr>
                <w:rFonts w:ascii="Times New Roman" w:eastAsia="Times New Roman" w:hAnsi="Times New Roman" w:cs="Times New Roman"/>
                <w:lang w:val="ro-RO" w:eastAsia="ro-MD"/>
              </w:rPr>
              <w:lastRenderedPageBreak/>
              <w:t>materie de remunerare, astfel cum acestea sînt prevăzute de actele normative ale Băncii Naţionale a Moldovei.</w:t>
            </w:r>
          </w:p>
          <w:p w14:paraId="0328424E" w14:textId="77777777" w:rsidR="00984B34" w:rsidRPr="009E686F" w:rsidRDefault="00984B34" w:rsidP="00984B34">
            <w:pPr>
              <w:spacing w:after="0" w:line="276" w:lineRule="auto"/>
              <w:jc w:val="both"/>
              <w:rPr>
                <w:rFonts w:ascii="Times New Roman" w:eastAsia="Times New Roman" w:hAnsi="Times New Roman" w:cs="Times New Roman"/>
                <w:i/>
                <w:lang w:val="ro-RO" w:eastAsia="ro-MD"/>
              </w:rPr>
            </w:pPr>
          </w:p>
        </w:tc>
        <w:tc>
          <w:tcPr>
            <w:tcW w:w="470" w:type="pct"/>
            <w:tcBorders>
              <w:top w:val="single" w:sz="4" w:space="0" w:color="auto"/>
              <w:left w:val="single" w:sz="4" w:space="0" w:color="auto"/>
              <w:bottom w:val="single" w:sz="4" w:space="0" w:color="auto"/>
              <w:right w:val="single" w:sz="4" w:space="0" w:color="auto"/>
            </w:tcBorders>
          </w:tcPr>
          <w:p w14:paraId="3A846BD3" w14:textId="18D881EB"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05294E0F" w14:textId="297D0AD9"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cu specific național care asigură implementarea art. 92 alin. (2) coroborat cu art. 94 din Directivă.</w:t>
            </w:r>
          </w:p>
        </w:tc>
      </w:tr>
      <w:tr w:rsidR="00984B34" w:rsidRPr="009E686F" w14:paraId="2DEAC0DA" w14:textId="3ADD8A5D" w:rsidTr="00415504">
        <w:trPr>
          <w:trHeight w:val="943"/>
        </w:trPr>
        <w:tc>
          <w:tcPr>
            <w:tcW w:w="1796" w:type="pct"/>
            <w:gridSpan w:val="2"/>
            <w:tcBorders>
              <w:top w:val="single" w:sz="4" w:space="0" w:color="auto"/>
              <w:left w:val="single" w:sz="4" w:space="0" w:color="auto"/>
              <w:bottom w:val="single" w:sz="4" w:space="0" w:color="auto"/>
              <w:right w:val="single" w:sz="4" w:space="0" w:color="auto"/>
            </w:tcBorders>
          </w:tcPr>
          <w:p w14:paraId="088D90D5" w14:textId="77777777" w:rsidR="00984B34" w:rsidRPr="009E686F" w:rsidRDefault="00984B34" w:rsidP="00984B34">
            <w:pPr>
              <w:spacing w:after="0"/>
              <w:jc w:val="both"/>
              <w:rPr>
                <w:rFonts w:ascii="Times New Roman" w:hAnsi="Times New Roman" w:cs="Times New Roman"/>
                <w:i/>
                <w:iCs/>
                <w:lang w:val="ro-RO"/>
              </w:rPr>
            </w:pPr>
            <w:r w:rsidRPr="009E686F">
              <w:rPr>
                <w:rFonts w:ascii="Times New Roman" w:hAnsi="Times New Roman" w:cs="Times New Roman"/>
                <w:i/>
                <w:iCs/>
                <w:lang w:val="ro-RO"/>
              </w:rPr>
              <w:t xml:space="preserve">Articolul 93 </w:t>
            </w:r>
          </w:p>
          <w:p w14:paraId="47576E01" w14:textId="2D49F01F"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Instituțiile care beneficiază de o intervenție guvernamentală</w:t>
            </w:r>
          </w:p>
          <w:p w14:paraId="46A01E76" w14:textId="77777777" w:rsidR="00984B34" w:rsidRPr="009E686F" w:rsidRDefault="00984B34" w:rsidP="00984B34">
            <w:pPr>
              <w:spacing w:after="0"/>
              <w:jc w:val="both"/>
              <w:rPr>
                <w:rFonts w:ascii="Times New Roman" w:hAnsi="Times New Roman" w:cs="Times New Roman"/>
                <w:lang w:val="ro-RO"/>
              </w:rPr>
            </w:pPr>
          </w:p>
          <w:p w14:paraId="3D58C251" w14:textId="690A7406"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În cazul instituțiilor care beneficiază de o intervenție guvernamentală excepțională, pe lângă principiile prevăzute la articolul 92 alineatul (2), se aplică următoarele:</w:t>
            </w:r>
          </w:p>
          <w:p w14:paraId="06AB3B50"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(a) remunerația variabilă este limitată în mod strict ca procent din veniturile nete atunci când aceasta nu este corelată cu menținerea unei baze solide de capital și încetarea în timp util a sprijinului guvernamental;</w:t>
            </w:r>
          </w:p>
          <w:p w14:paraId="01B65E9D"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(b) autoritățile competente relevante cer instituțiilor să restructureze remunerația într-un mod conform cu administrarea viabilă a riscurilor și creșterea viabilă pe termen lung, inclusiv, după caz, stabilirea de limite pentru remunerarea membrilor organului de conducere al instituției;</w:t>
            </w:r>
          </w:p>
          <w:p w14:paraId="758A2325" w14:textId="2127A5F3"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(c) membrilor organului de conducere al instituției nu le este plătită nicio remunerație variabilă, decât în cazul în care acest lucru este justificat.</w:t>
            </w:r>
          </w:p>
        </w:tc>
        <w:tc>
          <w:tcPr>
            <w:tcW w:w="1928" w:type="pct"/>
            <w:gridSpan w:val="3"/>
            <w:tcBorders>
              <w:top w:val="single" w:sz="4" w:space="0" w:color="auto"/>
              <w:left w:val="single" w:sz="4" w:space="0" w:color="auto"/>
              <w:bottom w:val="single" w:sz="4" w:space="0" w:color="auto"/>
              <w:right w:val="single" w:sz="4" w:space="0" w:color="auto"/>
            </w:tcBorders>
          </w:tcPr>
          <w:p w14:paraId="398F16A7" w14:textId="3E80E00A" w:rsidR="00984B34" w:rsidRPr="009E686F" w:rsidRDefault="00984B34" w:rsidP="00984B34">
            <w:pPr>
              <w:spacing w:after="0" w:line="276" w:lineRule="auto"/>
              <w:jc w:val="both"/>
              <w:rPr>
                <w:rFonts w:ascii="Times New Roman" w:eastAsia="Times New Roman" w:hAnsi="Times New Roman" w:cs="Times New Roman"/>
                <w:i/>
                <w:lang w:val="ro-RO" w:eastAsia="ro-MD"/>
              </w:rPr>
            </w:pPr>
            <w:r w:rsidRPr="009E686F">
              <w:rPr>
                <w:rFonts w:ascii="Times New Roman" w:eastAsia="Times New Roman" w:hAnsi="Times New Roman" w:cs="Times New Roman"/>
                <w:i/>
                <w:lang w:val="ro-RO" w:eastAsia="ro-MD"/>
              </w:rPr>
              <w:t>(2</w:t>
            </w:r>
            <w:r w:rsidRPr="009E686F">
              <w:rPr>
                <w:rFonts w:ascii="Times New Roman" w:eastAsia="Times New Roman" w:hAnsi="Times New Roman" w:cs="Times New Roman"/>
                <w:i/>
                <w:vertAlign w:val="superscript"/>
                <w:lang w:val="ro-RO" w:eastAsia="ro-MD"/>
              </w:rPr>
              <w:t>2</w:t>
            </w:r>
            <w:r w:rsidRPr="009E686F">
              <w:rPr>
                <w:rFonts w:ascii="Times New Roman" w:eastAsia="Times New Roman" w:hAnsi="Times New Roman" w:cs="Times New Roman"/>
                <w:i/>
                <w:lang w:val="ro-RO" w:eastAsia="ro-MD"/>
              </w:rPr>
              <w:t>) Instituțiile de credit care beneficiază de sprijin financiar public extraordinar, trebuie să respecte următoarele principii, pe lângă cele prevăzute de alin. (1) și (2):</w:t>
            </w:r>
          </w:p>
          <w:p w14:paraId="4164E567" w14:textId="77777777" w:rsidR="00984B34" w:rsidRPr="009E686F" w:rsidRDefault="00984B34" w:rsidP="00984B34">
            <w:pPr>
              <w:spacing w:after="0" w:line="276" w:lineRule="auto"/>
              <w:jc w:val="both"/>
              <w:rPr>
                <w:rFonts w:ascii="Times New Roman" w:eastAsia="Times New Roman" w:hAnsi="Times New Roman" w:cs="Times New Roman"/>
                <w:i/>
                <w:lang w:val="ro-RO" w:eastAsia="ro-MD"/>
              </w:rPr>
            </w:pPr>
            <w:r w:rsidRPr="009E686F">
              <w:rPr>
                <w:rFonts w:ascii="Times New Roman" w:eastAsia="Times New Roman" w:hAnsi="Times New Roman" w:cs="Times New Roman"/>
                <w:i/>
                <w:lang w:val="ro-RO" w:eastAsia="ro-MD"/>
              </w:rPr>
              <w:t>a) remunerația variabilă trebuie să fie limitată în mod strict ca procent din veniturile nete atunci când aceasta nu este corelată cu menținerea unei baze solide de capital și încetarea în timp util a sprijinului financiar public extraordinar;</w:t>
            </w:r>
          </w:p>
          <w:p w14:paraId="6D56EE2B" w14:textId="77777777" w:rsidR="00984B34" w:rsidRPr="009E686F" w:rsidRDefault="00984B34" w:rsidP="00984B34">
            <w:pPr>
              <w:spacing w:after="0" w:line="276" w:lineRule="auto"/>
              <w:jc w:val="both"/>
              <w:rPr>
                <w:rFonts w:ascii="Times New Roman" w:eastAsia="Times New Roman" w:hAnsi="Times New Roman" w:cs="Times New Roman"/>
                <w:i/>
                <w:lang w:val="ro-RO" w:eastAsia="ro-MD"/>
              </w:rPr>
            </w:pPr>
            <w:r w:rsidRPr="009E686F">
              <w:rPr>
                <w:rFonts w:ascii="Times New Roman" w:eastAsia="Times New Roman" w:hAnsi="Times New Roman" w:cs="Times New Roman"/>
                <w:i/>
                <w:iCs/>
                <w:lang w:val="ro-RO" w:eastAsia="ro-MD"/>
              </w:rPr>
              <w:t xml:space="preserve">b) </w:t>
            </w:r>
            <w:r w:rsidRPr="009E686F">
              <w:rPr>
                <w:rFonts w:ascii="Times New Roman" w:eastAsia="Times New Roman" w:hAnsi="Times New Roman" w:cs="Times New Roman"/>
                <w:i/>
                <w:lang w:val="ro-RO" w:eastAsia="ro-MD"/>
              </w:rPr>
              <w:t xml:space="preserve">remuneraţia trebuie să fie restructurată într-un mod conform cu administrarea viabilă a riscurilor și creșterea viabilă pe termen lung, inclusiv, după caz, stabilirea de limite pentru remunerarea membrilor organului de conducere al instituţiei de credit; </w:t>
            </w:r>
          </w:p>
          <w:p w14:paraId="110D6581" w14:textId="3AFBD7DD" w:rsidR="00984B34" w:rsidRPr="009E686F" w:rsidRDefault="00984B34" w:rsidP="00984B34">
            <w:pPr>
              <w:spacing w:after="0"/>
              <w:jc w:val="both"/>
              <w:rPr>
                <w:rFonts w:ascii="Times New Roman" w:hAnsi="Times New Roman" w:cs="Times New Roman"/>
                <w:b/>
                <w:i/>
                <w:lang w:val="ro-RO"/>
              </w:rPr>
            </w:pPr>
            <w:r w:rsidRPr="009E686F">
              <w:rPr>
                <w:rFonts w:ascii="Times New Roman" w:eastAsia="Times New Roman" w:hAnsi="Times New Roman" w:cs="Times New Roman"/>
                <w:i/>
                <w:lang w:val="pt-BR" w:eastAsia="ro-MD"/>
              </w:rPr>
              <w:t>c) membrilor organului de conducere al instituţiei de credit nu le este plătită nicio remuneraţie variabilă, decât în cazul în care acest lucru este justificat.</w:t>
            </w:r>
          </w:p>
        </w:tc>
        <w:tc>
          <w:tcPr>
            <w:tcW w:w="470" w:type="pct"/>
            <w:tcBorders>
              <w:top w:val="single" w:sz="4" w:space="0" w:color="auto"/>
              <w:left w:val="single" w:sz="4" w:space="0" w:color="auto"/>
              <w:bottom w:val="single" w:sz="4" w:space="0" w:color="auto"/>
              <w:right w:val="single" w:sz="4" w:space="0" w:color="auto"/>
            </w:tcBorders>
          </w:tcPr>
          <w:p w14:paraId="49FBD031" w14:textId="6E0B803A"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p w14:paraId="5C6EC8D5" w14:textId="77777777" w:rsidR="00984B34" w:rsidRPr="009E686F" w:rsidRDefault="00984B34" w:rsidP="00984B34">
            <w:pPr>
              <w:jc w:val="both"/>
              <w:rPr>
                <w:rFonts w:ascii="Times New Roman" w:hAnsi="Times New Roman" w:cs="Times New Roman"/>
                <w:lang w:val="ro-RO"/>
              </w:rPr>
            </w:pPr>
          </w:p>
          <w:p w14:paraId="211B75D6" w14:textId="77777777" w:rsidR="00984B34" w:rsidRPr="009E686F" w:rsidRDefault="00984B34" w:rsidP="00984B34">
            <w:pPr>
              <w:jc w:val="both"/>
              <w:rPr>
                <w:rFonts w:ascii="Times New Roman" w:hAnsi="Times New Roman" w:cs="Times New Roman"/>
                <w:lang w:val="ro-RO"/>
              </w:rPr>
            </w:pPr>
          </w:p>
          <w:p w14:paraId="35846025" w14:textId="77777777" w:rsidR="00984B34" w:rsidRPr="009E686F" w:rsidRDefault="00984B34" w:rsidP="00984B34">
            <w:pPr>
              <w:jc w:val="both"/>
              <w:rPr>
                <w:rFonts w:ascii="Times New Roman" w:hAnsi="Times New Roman" w:cs="Times New Roman"/>
                <w:lang w:val="ro-RO"/>
              </w:rPr>
            </w:pPr>
          </w:p>
          <w:p w14:paraId="3A92BA62" w14:textId="21C93ADF" w:rsidR="00984B34" w:rsidRPr="009E686F" w:rsidRDefault="00984B34" w:rsidP="00984B34">
            <w:pPr>
              <w:jc w:val="both"/>
              <w:rPr>
                <w:rFonts w:ascii="Times New Roman" w:hAnsi="Times New Roman" w:cs="Times New Roman"/>
                <w:lang w:val="ro-RO"/>
              </w:rPr>
            </w:pPr>
          </w:p>
          <w:p w14:paraId="21876963" w14:textId="62E2CA3D" w:rsidR="00984B34" w:rsidRPr="009E686F" w:rsidRDefault="00984B34" w:rsidP="00984B34">
            <w:pPr>
              <w:jc w:val="both"/>
              <w:rPr>
                <w:rFonts w:ascii="Times New Roman" w:hAnsi="Times New Roman" w:cs="Times New Roman"/>
                <w:lang w:val="ro-RO"/>
              </w:rPr>
            </w:pPr>
          </w:p>
          <w:p w14:paraId="12113385" w14:textId="77777777" w:rsidR="00984B34" w:rsidRPr="009E686F" w:rsidRDefault="00984B34" w:rsidP="00984B34">
            <w:pPr>
              <w:jc w:val="both"/>
              <w:rPr>
                <w:rFonts w:ascii="Times New Roman" w:hAnsi="Times New Roman" w:cs="Times New Roman"/>
                <w:lang w:val="ro-RO"/>
              </w:rPr>
            </w:pPr>
          </w:p>
          <w:p w14:paraId="097A2504" w14:textId="34F1F091"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0909726F" w14:textId="77777777" w:rsidR="00984B34" w:rsidRPr="009E686F" w:rsidRDefault="00984B34" w:rsidP="00984B34">
            <w:pPr>
              <w:jc w:val="both"/>
              <w:rPr>
                <w:rFonts w:ascii="Times New Roman" w:hAnsi="Times New Roman" w:cs="Times New Roman"/>
                <w:lang w:val="ro-RO"/>
              </w:rPr>
            </w:pPr>
          </w:p>
        </w:tc>
      </w:tr>
      <w:tr w:rsidR="00984B34" w:rsidRPr="009E686F" w14:paraId="4609BBD9" w14:textId="4B6D9D78" w:rsidTr="00774F3E">
        <w:tc>
          <w:tcPr>
            <w:tcW w:w="5000" w:type="pct"/>
            <w:gridSpan w:val="7"/>
            <w:tcBorders>
              <w:top w:val="single" w:sz="4" w:space="0" w:color="auto"/>
              <w:left w:val="single" w:sz="4" w:space="0" w:color="auto"/>
              <w:bottom w:val="single" w:sz="4" w:space="0" w:color="auto"/>
              <w:right w:val="single" w:sz="4" w:space="0" w:color="auto"/>
            </w:tcBorders>
          </w:tcPr>
          <w:p w14:paraId="1010B21C" w14:textId="77777777" w:rsidR="00984B34" w:rsidRPr="009E686F" w:rsidRDefault="00984B34" w:rsidP="00984B34">
            <w:pPr>
              <w:spacing w:after="0"/>
              <w:jc w:val="both"/>
              <w:rPr>
                <w:rFonts w:ascii="Times New Roman" w:hAnsi="Times New Roman" w:cs="Times New Roman"/>
                <w:i/>
                <w:iCs/>
                <w:lang w:val="ro-RO"/>
              </w:rPr>
            </w:pPr>
            <w:r w:rsidRPr="009E686F">
              <w:rPr>
                <w:rFonts w:ascii="Times New Roman" w:hAnsi="Times New Roman" w:cs="Times New Roman"/>
                <w:i/>
                <w:iCs/>
                <w:lang w:val="ro-RO"/>
              </w:rPr>
              <w:t xml:space="preserve">Articolul 94 </w:t>
            </w:r>
          </w:p>
          <w:p w14:paraId="29A58458" w14:textId="1A679FA5"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Elementele variabile ale remunerației</w:t>
            </w:r>
          </w:p>
        </w:tc>
      </w:tr>
      <w:tr w:rsidR="00984B34" w:rsidRPr="009E686F" w14:paraId="1EB51BEB" w14:textId="52E7EE7C" w:rsidTr="00774F3E">
        <w:tc>
          <w:tcPr>
            <w:tcW w:w="1796" w:type="pct"/>
            <w:gridSpan w:val="2"/>
            <w:tcBorders>
              <w:top w:val="single" w:sz="4" w:space="0" w:color="auto"/>
              <w:left w:val="single" w:sz="4" w:space="0" w:color="auto"/>
              <w:bottom w:val="single" w:sz="4" w:space="0" w:color="auto"/>
              <w:right w:val="single" w:sz="4" w:space="0" w:color="auto"/>
            </w:tcBorders>
          </w:tcPr>
          <w:p w14:paraId="67B8D79F" w14:textId="278F0480"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(1) Pentru elementele variabile ale remunerației, pe lângă principiile prevăzute la articolul 92 alineatul (2) și în aceleași condiții, se aplică următoarele:</w:t>
            </w:r>
          </w:p>
        </w:tc>
        <w:tc>
          <w:tcPr>
            <w:tcW w:w="1928" w:type="pct"/>
            <w:gridSpan w:val="3"/>
            <w:tcBorders>
              <w:top w:val="single" w:sz="4" w:space="0" w:color="auto"/>
              <w:left w:val="single" w:sz="4" w:space="0" w:color="auto"/>
              <w:bottom w:val="single" w:sz="4" w:space="0" w:color="auto"/>
              <w:right w:val="single" w:sz="4" w:space="0" w:color="auto"/>
            </w:tcBorders>
          </w:tcPr>
          <w:p w14:paraId="4B4369A2" w14:textId="4395E0E3"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b/>
                <w:lang w:val="ro-RO"/>
              </w:rPr>
              <w:t>Articolul 39 alin. (2)</w:t>
            </w:r>
          </w:p>
          <w:p w14:paraId="3B1175D2" w14:textId="467313FA" w:rsidR="00984B34" w:rsidRPr="009E686F" w:rsidRDefault="00984B34" w:rsidP="00984B34">
            <w:pPr>
              <w:spacing w:after="0"/>
              <w:jc w:val="both"/>
              <w:rPr>
                <w:rFonts w:ascii="Times New Roman" w:hAnsi="Times New Roman" w:cs="Times New Roman"/>
                <w:bCs/>
                <w:lang w:val="ro-RO"/>
              </w:rPr>
            </w:pPr>
            <w:r w:rsidRPr="009E686F">
              <w:rPr>
                <w:rFonts w:ascii="Times New Roman" w:hAnsi="Times New Roman" w:cs="Times New Roman"/>
                <w:bCs/>
                <w:lang w:val="ro-RO"/>
              </w:rPr>
              <w:t>(2) În cazul remuneraţiei variabile, pe lîngă principiile prevăzute la alin.(1) şi în aceleaşi condiţii, se aplică următoarele principii:</w:t>
            </w:r>
          </w:p>
        </w:tc>
        <w:tc>
          <w:tcPr>
            <w:tcW w:w="470" w:type="pct"/>
            <w:tcBorders>
              <w:top w:val="single" w:sz="4" w:space="0" w:color="auto"/>
              <w:left w:val="single" w:sz="4" w:space="0" w:color="auto"/>
              <w:bottom w:val="single" w:sz="4" w:space="0" w:color="auto"/>
              <w:right w:val="single" w:sz="4" w:space="0" w:color="auto"/>
            </w:tcBorders>
          </w:tcPr>
          <w:p w14:paraId="27E1DBAC" w14:textId="749005C9"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2F7181A0" w14:textId="77777777" w:rsidR="00984B34" w:rsidRPr="009E686F" w:rsidRDefault="00984B34" w:rsidP="00984B34">
            <w:pPr>
              <w:jc w:val="both"/>
              <w:rPr>
                <w:rFonts w:ascii="Times New Roman" w:hAnsi="Times New Roman" w:cs="Times New Roman"/>
                <w:lang w:val="ro-RO"/>
              </w:rPr>
            </w:pPr>
          </w:p>
        </w:tc>
      </w:tr>
      <w:tr w:rsidR="00984B34" w:rsidRPr="009E686F" w14:paraId="1618AF59" w14:textId="07332DD1" w:rsidTr="00774F3E">
        <w:tc>
          <w:tcPr>
            <w:tcW w:w="1796" w:type="pct"/>
            <w:gridSpan w:val="2"/>
            <w:tcBorders>
              <w:top w:val="single" w:sz="4" w:space="0" w:color="auto"/>
              <w:left w:val="single" w:sz="4" w:space="0" w:color="auto"/>
              <w:bottom w:val="single" w:sz="4" w:space="0" w:color="auto"/>
              <w:right w:val="single" w:sz="4" w:space="0" w:color="auto"/>
            </w:tcBorders>
          </w:tcPr>
          <w:p w14:paraId="3A2C9982" w14:textId="74953CD8"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(a) atunci când remunerația este corelată cu performanța, la stabilirea valorii totale a remunerației se iau în considerare performanțele individuale și cele ale unității operaționale în cauză, precum și rezultatele generale ale instituției, iar la </w:t>
            </w:r>
            <w:r w:rsidRPr="009E686F">
              <w:rPr>
                <w:rFonts w:ascii="Times New Roman" w:hAnsi="Times New Roman" w:cs="Times New Roman"/>
                <w:lang w:val="ro-RO"/>
              </w:rPr>
              <w:lastRenderedPageBreak/>
              <w:t>evaluarea performanțelor individuale se ține seama de criterii financiare și nefinanciare, inclusiv de tratarea riscurilor menționate la articolul 76 alineatul (2);</w:t>
            </w:r>
          </w:p>
          <w:p w14:paraId="0DD02C03" w14:textId="2F50D434" w:rsidR="00984B34" w:rsidRPr="009E686F" w:rsidRDefault="00984B34" w:rsidP="00984B34">
            <w:pPr>
              <w:spacing w:after="0"/>
              <w:jc w:val="both"/>
              <w:rPr>
                <w:rFonts w:ascii="Times New Roman" w:hAnsi="Times New Roman" w:cs="Times New Roman"/>
                <w:lang w:val="ro-RO"/>
              </w:rPr>
            </w:pPr>
          </w:p>
          <w:p w14:paraId="12B6DA5D" w14:textId="7A243117" w:rsidR="00984B34" w:rsidRPr="009E686F" w:rsidRDefault="00984B34" w:rsidP="00984B34">
            <w:pPr>
              <w:spacing w:after="0"/>
              <w:jc w:val="both"/>
              <w:rPr>
                <w:rFonts w:ascii="Times New Roman" w:hAnsi="Times New Roman" w:cs="Times New Roman"/>
                <w:lang w:val="ro-RO"/>
              </w:rPr>
            </w:pPr>
          </w:p>
        </w:tc>
        <w:tc>
          <w:tcPr>
            <w:tcW w:w="1928" w:type="pct"/>
            <w:gridSpan w:val="3"/>
            <w:tcBorders>
              <w:top w:val="single" w:sz="4" w:space="0" w:color="auto"/>
              <w:left w:val="single" w:sz="4" w:space="0" w:color="auto"/>
              <w:bottom w:val="single" w:sz="4" w:space="0" w:color="auto"/>
              <w:right w:val="single" w:sz="4" w:space="0" w:color="auto"/>
            </w:tcBorders>
          </w:tcPr>
          <w:p w14:paraId="3F7071E4" w14:textId="234516B1" w:rsidR="00984B34" w:rsidRPr="009E686F" w:rsidRDefault="00984B34" w:rsidP="00984B34">
            <w:pPr>
              <w:spacing w:after="0"/>
              <w:jc w:val="both"/>
              <w:rPr>
                <w:rFonts w:ascii="Times New Roman" w:eastAsia="Times New Roman" w:hAnsi="Times New Roman" w:cs="Times New Roman"/>
                <w:lang w:val="ro-MD" w:eastAsia="ro-MD"/>
              </w:rPr>
            </w:pPr>
            <w:r w:rsidRPr="009E686F">
              <w:rPr>
                <w:rFonts w:ascii="Times New Roman" w:eastAsia="Times New Roman" w:hAnsi="Times New Roman" w:cs="Times New Roman"/>
                <w:lang w:val="ro-MD" w:eastAsia="ro-MD"/>
              </w:rPr>
              <w:lastRenderedPageBreak/>
              <w:t xml:space="preserve">a) în cazul în care remuneraţia este corelată cu performanţa, suma remuneraţiei totale se bazează pe o combinaţie a evaluării performanţei individuale şi a unităţii operaţionale în cauză, precum şi a rezultatelor generale ale </w:t>
            </w:r>
            <w:r w:rsidRPr="009E686F">
              <w:rPr>
                <w:rFonts w:ascii="Times New Roman" w:eastAsia="Times New Roman" w:hAnsi="Times New Roman" w:cs="Times New Roman"/>
                <w:i/>
                <w:iCs/>
                <w:lang w:val="ro-MD" w:eastAsia="ro-MD"/>
              </w:rPr>
              <w:t>instituției de credit</w:t>
            </w:r>
            <w:r w:rsidRPr="009E686F">
              <w:rPr>
                <w:rFonts w:ascii="Times New Roman" w:eastAsia="Times New Roman" w:hAnsi="Times New Roman" w:cs="Times New Roman"/>
                <w:lang w:val="ro-MD" w:eastAsia="ro-MD"/>
              </w:rPr>
              <w:t xml:space="preserve">, iar la </w:t>
            </w:r>
            <w:r w:rsidRPr="009E686F">
              <w:rPr>
                <w:rFonts w:ascii="Times New Roman" w:eastAsia="Times New Roman" w:hAnsi="Times New Roman" w:cs="Times New Roman"/>
                <w:lang w:val="ro-MD" w:eastAsia="ro-MD"/>
              </w:rPr>
              <w:lastRenderedPageBreak/>
              <w:t xml:space="preserve">evaluarea performanţei individuale vor fi luate în considerare </w:t>
            </w:r>
            <w:r w:rsidRPr="009E686F">
              <w:rPr>
                <w:rFonts w:ascii="Times New Roman" w:eastAsia="Times New Roman" w:hAnsi="Times New Roman" w:cs="Times New Roman"/>
                <w:i/>
                <w:lang w:val="ro-MD" w:eastAsia="ro-MD"/>
              </w:rPr>
              <w:t>criterii financiare și nefinanciare, inclusiv tratarea riscurilor semnificative, de concentrare rezultate din expunerile față de contrapărțile centrale care oferă servicii de importanță sistemică semnificativă și riscurilor de mediu, sociale și de guvernanță</w:t>
            </w:r>
            <w:r w:rsidRPr="009E686F">
              <w:rPr>
                <w:rFonts w:ascii="Times New Roman" w:eastAsia="Times New Roman" w:hAnsi="Times New Roman" w:cs="Times New Roman"/>
                <w:lang w:val="ro-MD" w:eastAsia="ro-MD"/>
              </w:rPr>
              <w:t>;</w:t>
            </w:r>
          </w:p>
        </w:tc>
        <w:tc>
          <w:tcPr>
            <w:tcW w:w="470" w:type="pct"/>
            <w:tcBorders>
              <w:top w:val="single" w:sz="4" w:space="0" w:color="auto"/>
              <w:left w:val="single" w:sz="4" w:space="0" w:color="auto"/>
              <w:bottom w:val="single" w:sz="4" w:space="0" w:color="auto"/>
              <w:right w:val="single" w:sz="4" w:space="0" w:color="auto"/>
            </w:tcBorders>
          </w:tcPr>
          <w:p w14:paraId="57CE0813" w14:textId="16F3D106"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3A6523B9" w14:textId="77777777" w:rsidR="00984B34" w:rsidRPr="009E686F" w:rsidRDefault="00984B34" w:rsidP="00984B34">
            <w:pPr>
              <w:jc w:val="both"/>
              <w:rPr>
                <w:rFonts w:ascii="Times New Roman" w:hAnsi="Times New Roman" w:cs="Times New Roman"/>
                <w:lang w:val="ro-RO"/>
              </w:rPr>
            </w:pPr>
          </w:p>
        </w:tc>
      </w:tr>
      <w:tr w:rsidR="00984B34" w:rsidRPr="009E686F" w14:paraId="443E390A" w14:textId="07E8A871" w:rsidTr="00774F3E">
        <w:tc>
          <w:tcPr>
            <w:tcW w:w="1796" w:type="pct"/>
            <w:gridSpan w:val="2"/>
            <w:tcBorders>
              <w:top w:val="single" w:sz="4" w:space="0" w:color="auto"/>
              <w:left w:val="single" w:sz="4" w:space="0" w:color="auto"/>
              <w:bottom w:val="single" w:sz="4" w:space="0" w:color="auto"/>
              <w:right w:val="single" w:sz="4" w:space="0" w:color="auto"/>
            </w:tcBorders>
          </w:tcPr>
          <w:p w14:paraId="78CA11FC" w14:textId="6EF17D5E"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(b) evaluarea performanțelor se realizează într-un cadru multianual pentru a se asigura că procesul de evaluare se bazează pe performanțe pe termen lung și că plata efectivă a componentelor bazate pe performanțe ale remunerației se întinde pe o perioadă care ține cont de ciclul de afaceri al </w:t>
            </w:r>
            <w:r w:rsidRPr="009E686F">
              <w:rPr>
                <w:rFonts w:ascii="Times New Roman" w:hAnsi="Times New Roman" w:cs="Times New Roman"/>
                <w:i/>
                <w:iCs/>
                <w:lang w:val="ro-RO"/>
              </w:rPr>
              <w:t>instituției de credit</w:t>
            </w:r>
            <w:r w:rsidRPr="009E686F">
              <w:rPr>
                <w:rFonts w:ascii="Times New Roman" w:hAnsi="Times New Roman" w:cs="Times New Roman"/>
                <w:lang w:val="ro-RO"/>
              </w:rPr>
              <w:t xml:space="preserve"> și de riscurile specifice activității acesteia;</w:t>
            </w:r>
          </w:p>
        </w:tc>
        <w:tc>
          <w:tcPr>
            <w:tcW w:w="1928" w:type="pct"/>
            <w:gridSpan w:val="3"/>
            <w:tcBorders>
              <w:top w:val="single" w:sz="4" w:space="0" w:color="auto"/>
              <w:left w:val="single" w:sz="4" w:space="0" w:color="auto"/>
              <w:bottom w:val="single" w:sz="4" w:space="0" w:color="auto"/>
              <w:right w:val="single" w:sz="4" w:space="0" w:color="auto"/>
            </w:tcBorders>
          </w:tcPr>
          <w:p w14:paraId="3634705D" w14:textId="2E12B460" w:rsidR="00984B34" w:rsidRPr="009E686F" w:rsidRDefault="00984B34" w:rsidP="00984B34">
            <w:pPr>
              <w:spacing w:after="0"/>
              <w:jc w:val="both"/>
              <w:rPr>
                <w:rFonts w:ascii="Times New Roman" w:eastAsia="Times New Roman" w:hAnsi="Times New Roman" w:cs="Times New Roman"/>
                <w:lang w:val="ro-MD" w:eastAsia="ro-MD"/>
              </w:rPr>
            </w:pPr>
            <w:r w:rsidRPr="009E686F">
              <w:rPr>
                <w:rFonts w:ascii="Times New Roman" w:eastAsia="Times New Roman" w:hAnsi="Times New Roman" w:cs="Times New Roman"/>
                <w:lang w:val="ro-MD" w:eastAsia="ro-MD"/>
              </w:rPr>
              <w:t xml:space="preserve">b) evaluarea performanţei este realizată într-un cadru multianual, pentru a se asigura că procesul de evaluare se bazează pe performanţa pe termen lung şi că plata efectivă a componentelor remuneraţiei bazate pe performanţă se întinde pe o perioadă care ţine cont de ciclul de afaceri al </w:t>
            </w:r>
            <w:r w:rsidRPr="009E686F">
              <w:rPr>
                <w:rFonts w:ascii="Times New Roman" w:eastAsia="Times New Roman" w:hAnsi="Times New Roman" w:cs="Times New Roman"/>
                <w:i/>
                <w:iCs/>
                <w:lang w:val="ro-MD" w:eastAsia="ro-MD"/>
              </w:rPr>
              <w:t>instituției de credit</w:t>
            </w:r>
            <w:r w:rsidRPr="009E686F">
              <w:rPr>
                <w:rFonts w:ascii="Times New Roman" w:eastAsia="Times New Roman" w:hAnsi="Times New Roman" w:cs="Times New Roman"/>
                <w:lang w:val="ro-MD" w:eastAsia="ro-MD"/>
              </w:rPr>
              <w:t xml:space="preserve"> şi de riscurile specifice activităţii acesteia;</w:t>
            </w:r>
          </w:p>
        </w:tc>
        <w:tc>
          <w:tcPr>
            <w:tcW w:w="470" w:type="pct"/>
            <w:tcBorders>
              <w:top w:val="single" w:sz="4" w:space="0" w:color="auto"/>
              <w:left w:val="single" w:sz="4" w:space="0" w:color="auto"/>
              <w:bottom w:val="single" w:sz="4" w:space="0" w:color="auto"/>
              <w:right w:val="single" w:sz="4" w:space="0" w:color="auto"/>
            </w:tcBorders>
          </w:tcPr>
          <w:p w14:paraId="14C77E1F" w14:textId="11B0A786"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1D84BB10" w14:textId="77777777" w:rsidR="00984B34" w:rsidRPr="009E686F" w:rsidRDefault="00984B34" w:rsidP="00984B34">
            <w:pPr>
              <w:jc w:val="both"/>
              <w:rPr>
                <w:rFonts w:ascii="Times New Roman" w:hAnsi="Times New Roman" w:cs="Times New Roman"/>
                <w:lang w:val="ro-RO"/>
              </w:rPr>
            </w:pPr>
          </w:p>
        </w:tc>
      </w:tr>
      <w:tr w:rsidR="00984B34" w:rsidRPr="009E686F" w14:paraId="2487CEA9" w14:textId="2FAFCBAB" w:rsidTr="00774F3E">
        <w:tc>
          <w:tcPr>
            <w:tcW w:w="1796" w:type="pct"/>
            <w:gridSpan w:val="2"/>
            <w:tcBorders>
              <w:top w:val="single" w:sz="4" w:space="0" w:color="auto"/>
              <w:left w:val="single" w:sz="4" w:space="0" w:color="auto"/>
              <w:bottom w:val="single" w:sz="4" w:space="0" w:color="auto"/>
              <w:right w:val="single" w:sz="4" w:space="0" w:color="auto"/>
            </w:tcBorders>
          </w:tcPr>
          <w:p w14:paraId="19DA67E5" w14:textId="520FBFD0"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(c) remunerația variabilă totală nu limitează capacitatea instituției de a-și întări baza de capital;</w:t>
            </w:r>
          </w:p>
        </w:tc>
        <w:tc>
          <w:tcPr>
            <w:tcW w:w="1928" w:type="pct"/>
            <w:gridSpan w:val="3"/>
            <w:tcBorders>
              <w:top w:val="single" w:sz="4" w:space="0" w:color="auto"/>
              <w:left w:val="single" w:sz="4" w:space="0" w:color="auto"/>
              <w:bottom w:val="single" w:sz="4" w:space="0" w:color="auto"/>
              <w:right w:val="single" w:sz="4" w:space="0" w:color="auto"/>
            </w:tcBorders>
          </w:tcPr>
          <w:p w14:paraId="12245A92" w14:textId="078A1739" w:rsidR="00984B34" w:rsidRPr="009E686F" w:rsidRDefault="00984B34" w:rsidP="00984B34">
            <w:pPr>
              <w:spacing w:after="0"/>
              <w:jc w:val="both"/>
              <w:rPr>
                <w:rFonts w:ascii="Times New Roman" w:eastAsia="Times New Roman" w:hAnsi="Times New Roman" w:cs="Times New Roman"/>
                <w:lang w:val="ro-MD" w:eastAsia="ro-MD"/>
              </w:rPr>
            </w:pPr>
            <w:r w:rsidRPr="009E686F">
              <w:rPr>
                <w:rFonts w:ascii="Times New Roman" w:eastAsia="Times New Roman" w:hAnsi="Times New Roman" w:cs="Times New Roman"/>
                <w:lang w:val="ro-MD" w:eastAsia="ro-MD"/>
              </w:rPr>
              <w:t xml:space="preserve">c) remuneraţia variabilă </w:t>
            </w:r>
            <w:r w:rsidRPr="009E686F">
              <w:rPr>
                <w:rFonts w:ascii="Times New Roman" w:eastAsia="Times New Roman" w:hAnsi="Times New Roman" w:cs="Times New Roman"/>
                <w:i/>
                <w:lang w:val="ro-MD" w:eastAsia="ro-MD"/>
              </w:rPr>
              <w:t>totală</w:t>
            </w:r>
            <w:r w:rsidRPr="009E686F">
              <w:rPr>
                <w:rFonts w:ascii="Times New Roman" w:eastAsia="Times New Roman" w:hAnsi="Times New Roman" w:cs="Times New Roman"/>
                <w:lang w:val="ro-MD" w:eastAsia="ro-MD"/>
              </w:rPr>
              <w:t xml:space="preserve"> nu va limita capacitatea </w:t>
            </w:r>
            <w:r w:rsidRPr="009E686F">
              <w:rPr>
                <w:rFonts w:ascii="Times New Roman" w:eastAsia="Times New Roman" w:hAnsi="Times New Roman" w:cs="Times New Roman"/>
                <w:i/>
                <w:iCs/>
                <w:lang w:val="ro-MD" w:eastAsia="ro-MD"/>
              </w:rPr>
              <w:t>instituției de credit</w:t>
            </w:r>
            <w:r w:rsidRPr="009E686F">
              <w:rPr>
                <w:rFonts w:ascii="Times New Roman" w:eastAsia="Times New Roman" w:hAnsi="Times New Roman" w:cs="Times New Roman"/>
                <w:lang w:val="ro-MD" w:eastAsia="ro-MD"/>
              </w:rPr>
              <w:t xml:space="preserve"> de a</w:t>
            </w:r>
            <w:r w:rsidRPr="009E686F">
              <w:rPr>
                <w:rFonts w:ascii="Times New Roman" w:eastAsia="Times New Roman" w:hAnsi="Times New Roman" w:cs="Times New Roman"/>
                <w:lang w:val="ro-MD" w:eastAsia="ro-MD"/>
              </w:rPr>
              <w:softHyphen/>
              <w:t>şi întări baza de capital;</w:t>
            </w:r>
          </w:p>
          <w:p w14:paraId="5A10BC84" w14:textId="6D25C3D6" w:rsidR="00984B34" w:rsidRPr="009E686F" w:rsidRDefault="00984B34" w:rsidP="00984B34">
            <w:pPr>
              <w:spacing w:after="0"/>
              <w:jc w:val="both"/>
              <w:rPr>
                <w:rFonts w:ascii="Times New Roman" w:hAnsi="Times New Roman" w:cs="Times New Roman"/>
                <w:bCs/>
                <w:lang w:val="ro-RO"/>
              </w:rPr>
            </w:pPr>
          </w:p>
        </w:tc>
        <w:tc>
          <w:tcPr>
            <w:tcW w:w="470" w:type="pct"/>
            <w:tcBorders>
              <w:top w:val="single" w:sz="4" w:space="0" w:color="auto"/>
              <w:left w:val="single" w:sz="4" w:space="0" w:color="auto"/>
              <w:bottom w:val="single" w:sz="4" w:space="0" w:color="auto"/>
              <w:right w:val="single" w:sz="4" w:space="0" w:color="auto"/>
            </w:tcBorders>
          </w:tcPr>
          <w:p w14:paraId="4F1CF24A" w14:textId="0EC3EC58"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60169374" w14:textId="77777777" w:rsidR="00984B34" w:rsidRPr="009E686F" w:rsidRDefault="00984B34" w:rsidP="00984B34">
            <w:pPr>
              <w:jc w:val="both"/>
              <w:rPr>
                <w:rFonts w:ascii="Times New Roman" w:hAnsi="Times New Roman" w:cs="Times New Roman"/>
                <w:lang w:val="ro-RO"/>
              </w:rPr>
            </w:pPr>
          </w:p>
        </w:tc>
      </w:tr>
      <w:tr w:rsidR="00984B34" w:rsidRPr="009E686F" w14:paraId="44DDDB85" w14:textId="5C51EF2F" w:rsidTr="00774F3E">
        <w:tc>
          <w:tcPr>
            <w:tcW w:w="1796" w:type="pct"/>
            <w:gridSpan w:val="2"/>
            <w:tcBorders>
              <w:top w:val="single" w:sz="4" w:space="0" w:color="auto"/>
              <w:left w:val="single" w:sz="4" w:space="0" w:color="auto"/>
              <w:bottom w:val="single" w:sz="4" w:space="0" w:color="auto"/>
              <w:right w:val="single" w:sz="4" w:space="0" w:color="auto"/>
            </w:tcBorders>
          </w:tcPr>
          <w:p w14:paraId="43B844BB" w14:textId="07BB5D13"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(d)  remunerația variabilă garantată nu este compatibilă cu administrarea sănătoasă a riscurilor sau cu principiul remunerării în funcție de performanță și nu trebuie să facă parte din planurile de remunerație prospective;</w:t>
            </w:r>
          </w:p>
        </w:tc>
        <w:tc>
          <w:tcPr>
            <w:tcW w:w="1928" w:type="pct"/>
            <w:gridSpan w:val="3"/>
            <w:tcBorders>
              <w:top w:val="single" w:sz="4" w:space="0" w:color="auto"/>
              <w:left w:val="single" w:sz="4" w:space="0" w:color="auto"/>
              <w:bottom w:val="single" w:sz="4" w:space="0" w:color="auto"/>
              <w:right w:val="single" w:sz="4" w:space="0" w:color="auto"/>
            </w:tcBorders>
          </w:tcPr>
          <w:p w14:paraId="383CB0B6" w14:textId="16E26C83" w:rsidR="00984B34" w:rsidRPr="009E686F" w:rsidRDefault="00984B34" w:rsidP="00984B34">
            <w:pPr>
              <w:spacing w:after="0"/>
              <w:jc w:val="both"/>
              <w:rPr>
                <w:rFonts w:ascii="Times New Roman" w:hAnsi="Times New Roman" w:cs="Times New Roman"/>
                <w:bCs/>
                <w:lang w:val="ro-RO"/>
              </w:rPr>
            </w:pPr>
            <w:r w:rsidRPr="009E686F">
              <w:rPr>
                <w:rFonts w:ascii="Times New Roman" w:eastAsia="Times New Roman" w:hAnsi="Times New Roman" w:cs="Times New Roman"/>
                <w:lang w:val="ro-MD" w:eastAsia="ro-MD"/>
              </w:rPr>
              <w:t>d) remuneraţia variabilă garantată nu este compatibilă cu administrarea sănătoasă a riscurilor sau cu principiul remunerării în funcţie de performanţă şi nu trebuie să facă parte din planurile prospective de remunerare;</w:t>
            </w:r>
          </w:p>
          <w:p w14:paraId="7CB6DC52" w14:textId="0769AC6B" w:rsidR="00984B34" w:rsidRPr="009E686F" w:rsidRDefault="00984B34" w:rsidP="00984B34">
            <w:pPr>
              <w:spacing w:after="0"/>
              <w:jc w:val="both"/>
              <w:rPr>
                <w:rFonts w:ascii="Times New Roman" w:hAnsi="Times New Roman" w:cs="Times New Roman"/>
                <w:bCs/>
                <w:lang w:val="ro-RO"/>
              </w:rPr>
            </w:pPr>
          </w:p>
        </w:tc>
        <w:tc>
          <w:tcPr>
            <w:tcW w:w="470" w:type="pct"/>
            <w:tcBorders>
              <w:top w:val="single" w:sz="4" w:space="0" w:color="auto"/>
              <w:left w:val="single" w:sz="4" w:space="0" w:color="auto"/>
              <w:bottom w:val="single" w:sz="4" w:space="0" w:color="auto"/>
              <w:right w:val="single" w:sz="4" w:space="0" w:color="auto"/>
            </w:tcBorders>
          </w:tcPr>
          <w:p w14:paraId="0E2F3A57" w14:textId="06CFCFAA"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3FE4B2AB" w14:textId="77777777" w:rsidR="00984B34" w:rsidRPr="009E686F" w:rsidRDefault="00984B34" w:rsidP="00984B34">
            <w:pPr>
              <w:jc w:val="both"/>
              <w:rPr>
                <w:rFonts w:ascii="Times New Roman" w:hAnsi="Times New Roman" w:cs="Times New Roman"/>
                <w:lang w:val="ro-RO"/>
              </w:rPr>
            </w:pPr>
          </w:p>
        </w:tc>
      </w:tr>
      <w:tr w:rsidR="00984B34" w:rsidRPr="009E686F" w14:paraId="3F1AEAF0" w14:textId="3461CBA2" w:rsidTr="00774F3E">
        <w:tc>
          <w:tcPr>
            <w:tcW w:w="1796" w:type="pct"/>
            <w:gridSpan w:val="2"/>
            <w:tcBorders>
              <w:top w:val="single" w:sz="4" w:space="0" w:color="auto"/>
              <w:left w:val="single" w:sz="4" w:space="0" w:color="auto"/>
              <w:bottom w:val="single" w:sz="4" w:space="0" w:color="auto"/>
              <w:right w:val="single" w:sz="4" w:space="0" w:color="auto"/>
            </w:tcBorders>
          </w:tcPr>
          <w:p w14:paraId="15324F37" w14:textId="63E64A03"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(e) remunerația variabilă garantată este excepțională și apare numai în contextul angajării de personal nou și numai atunci când instituția dispune de o bază de capital solidă și puternică și este limitată la primul an de angajare;</w:t>
            </w:r>
          </w:p>
        </w:tc>
        <w:tc>
          <w:tcPr>
            <w:tcW w:w="1928" w:type="pct"/>
            <w:gridSpan w:val="3"/>
            <w:tcBorders>
              <w:top w:val="single" w:sz="4" w:space="0" w:color="auto"/>
              <w:left w:val="single" w:sz="4" w:space="0" w:color="auto"/>
              <w:bottom w:val="single" w:sz="4" w:space="0" w:color="auto"/>
              <w:right w:val="single" w:sz="4" w:space="0" w:color="auto"/>
            </w:tcBorders>
          </w:tcPr>
          <w:p w14:paraId="49277918" w14:textId="6D01F822" w:rsidR="00984B34" w:rsidRPr="009E686F" w:rsidRDefault="00984B34" w:rsidP="00984B34">
            <w:pPr>
              <w:spacing w:after="0"/>
              <w:jc w:val="both"/>
              <w:rPr>
                <w:rFonts w:ascii="Times New Roman" w:hAnsi="Times New Roman" w:cs="Times New Roman"/>
                <w:bCs/>
                <w:lang w:val="ro-RO"/>
              </w:rPr>
            </w:pPr>
            <w:r w:rsidRPr="009E686F">
              <w:rPr>
                <w:rFonts w:ascii="Times New Roman" w:eastAsia="Times New Roman" w:hAnsi="Times New Roman" w:cs="Times New Roman"/>
                <w:lang w:val="ro-MD" w:eastAsia="ro-MD"/>
              </w:rPr>
              <w:t xml:space="preserve">e) remuneraţia variabilă garantată are caracter excepţional şi apare doar atunci cînd </w:t>
            </w:r>
            <w:r w:rsidRPr="009E686F">
              <w:rPr>
                <w:rFonts w:ascii="Times New Roman" w:eastAsia="Times New Roman" w:hAnsi="Times New Roman" w:cs="Times New Roman"/>
                <w:i/>
                <w:iCs/>
                <w:lang w:val="ro-MD" w:eastAsia="ro-MD"/>
              </w:rPr>
              <w:t>instituția de credit</w:t>
            </w:r>
            <w:r w:rsidRPr="009E686F">
              <w:rPr>
                <w:rFonts w:ascii="Times New Roman" w:eastAsia="Times New Roman" w:hAnsi="Times New Roman" w:cs="Times New Roman"/>
                <w:lang w:val="ro-MD" w:eastAsia="ro-MD"/>
              </w:rPr>
              <w:t xml:space="preserve"> dispune de o bază sănătoasă şi solidă de capital şi este limitată la primul an de angajare;</w:t>
            </w:r>
          </w:p>
        </w:tc>
        <w:tc>
          <w:tcPr>
            <w:tcW w:w="470" w:type="pct"/>
            <w:tcBorders>
              <w:top w:val="single" w:sz="4" w:space="0" w:color="auto"/>
              <w:left w:val="single" w:sz="4" w:space="0" w:color="auto"/>
              <w:bottom w:val="single" w:sz="4" w:space="0" w:color="auto"/>
              <w:right w:val="single" w:sz="4" w:space="0" w:color="auto"/>
            </w:tcBorders>
          </w:tcPr>
          <w:p w14:paraId="0A5D79EB" w14:textId="03FEE18E"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7DFBC775" w14:textId="77777777" w:rsidR="00984B34" w:rsidRPr="009E686F" w:rsidRDefault="00984B34" w:rsidP="00984B34">
            <w:pPr>
              <w:jc w:val="both"/>
              <w:rPr>
                <w:rFonts w:ascii="Times New Roman" w:hAnsi="Times New Roman" w:cs="Times New Roman"/>
                <w:lang w:val="ro-RO"/>
              </w:rPr>
            </w:pPr>
          </w:p>
        </w:tc>
      </w:tr>
      <w:tr w:rsidR="00984B34" w:rsidRPr="009E686F" w14:paraId="0B0F4B4D" w14:textId="3FAFE1A4" w:rsidTr="00774F3E">
        <w:tc>
          <w:tcPr>
            <w:tcW w:w="1796" w:type="pct"/>
            <w:gridSpan w:val="2"/>
            <w:tcBorders>
              <w:top w:val="single" w:sz="4" w:space="0" w:color="auto"/>
              <w:left w:val="single" w:sz="4" w:space="0" w:color="auto"/>
              <w:bottom w:val="single" w:sz="4" w:space="0" w:color="auto"/>
              <w:right w:val="single" w:sz="4" w:space="0" w:color="auto"/>
            </w:tcBorders>
          </w:tcPr>
          <w:p w14:paraId="39CDBB12" w14:textId="58CB88F9"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(f) între componenta fixă și cea variabilă a remunerației totale există un echilibru adecvat și componenta fixă reprezintă o proporție suficient de mare din remunerația totală pentru a permite aplicarea unei politici complet flexibile privind componentele remunerației variabile, care să includă posibilitatea de a nu plăti nicio componentă a remunerației variabile;</w:t>
            </w:r>
          </w:p>
        </w:tc>
        <w:tc>
          <w:tcPr>
            <w:tcW w:w="1928" w:type="pct"/>
            <w:gridSpan w:val="3"/>
            <w:tcBorders>
              <w:top w:val="single" w:sz="4" w:space="0" w:color="auto"/>
              <w:left w:val="single" w:sz="4" w:space="0" w:color="auto"/>
              <w:bottom w:val="single" w:sz="4" w:space="0" w:color="auto"/>
              <w:right w:val="single" w:sz="4" w:space="0" w:color="auto"/>
            </w:tcBorders>
          </w:tcPr>
          <w:p w14:paraId="538AFF8B" w14:textId="67E14126"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b/>
                <w:lang w:val="ro-RO"/>
              </w:rPr>
              <w:t>Articolul 39 alin. (1) lit. g)</w:t>
            </w:r>
          </w:p>
          <w:p w14:paraId="09F1E079" w14:textId="4187F660" w:rsidR="00984B34" w:rsidRPr="009E686F" w:rsidRDefault="00984B34" w:rsidP="00984B34">
            <w:pPr>
              <w:spacing w:after="0"/>
              <w:jc w:val="both"/>
              <w:rPr>
                <w:rFonts w:ascii="Times New Roman" w:hAnsi="Times New Roman" w:cs="Times New Roman"/>
                <w:bCs/>
                <w:lang w:val="ro-RO"/>
              </w:rPr>
            </w:pPr>
            <w:r w:rsidRPr="009E686F">
              <w:rPr>
                <w:rFonts w:ascii="Times New Roman" w:hAnsi="Times New Roman" w:cs="Times New Roman"/>
                <w:bCs/>
                <w:lang w:val="ro-RO"/>
              </w:rPr>
              <w:t>g) componentele fixă şi variabilă ale remuneraţiei totale sînt echilibrate în mod corespunzător şi componenta fixă reprezintă o proporţie suficient de mare din remuneraţia totală, astfel încît să permită aplicarea unei politici complet flexibile privind componentele remuneraţiei variabile, incluzînd posibilitatea de a nu plăti nicio componentă a acesteia;</w:t>
            </w:r>
          </w:p>
        </w:tc>
        <w:tc>
          <w:tcPr>
            <w:tcW w:w="470" w:type="pct"/>
            <w:tcBorders>
              <w:top w:val="single" w:sz="4" w:space="0" w:color="auto"/>
              <w:left w:val="single" w:sz="4" w:space="0" w:color="auto"/>
              <w:bottom w:val="single" w:sz="4" w:space="0" w:color="auto"/>
              <w:right w:val="single" w:sz="4" w:space="0" w:color="auto"/>
            </w:tcBorders>
          </w:tcPr>
          <w:p w14:paraId="1F3D3B0E" w14:textId="3B911EEF"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4403AD53" w14:textId="77777777" w:rsidR="00984B34" w:rsidRPr="009E686F" w:rsidRDefault="00984B34" w:rsidP="00984B34">
            <w:pPr>
              <w:jc w:val="both"/>
              <w:rPr>
                <w:rFonts w:ascii="Times New Roman" w:hAnsi="Times New Roman" w:cs="Times New Roman"/>
                <w:lang w:val="ro-RO"/>
              </w:rPr>
            </w:pPr>
          </w:p>
        </w:tc>
      </w:tr>
      <w:tr w:rsidR="00984B34" w:rsidRPr="009E686F" w14:paraId="26175BEA" w14:textId="3FB6356E" w:rsidTr="00770506">
        <w:trPr>
          <w:trHeight w:val="801"/>
        </w:trPr>
        <w:tc>
          <w:tcPr>
            <w:tcW w:w="1796" w:type="pct"/>
            <w:gridSpan w:val="2"/>
            <w:tcBorders>
              <w:top w:val="single" w:sz="4" w:space="0" w:color="auto"/>
              <w:left w:val="single" w:sz="4" w:space="0" w:color="auto"/>
              <w:bottom w:val="single" w:sz="4" w:space="0" w:color="auto"/>
              <w:right w:val="single" w:sz="4" w:space="0" w:color="auto"/>
            </w:tcBorders>
          </w:tcPr>
          <w:p w14:paraId="1AC6268A" w14:textId="27AC546C"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lastRenderedPageBreak/>
              <w:t>(g) instituțiile stabilesc raporturile adecvate dintre componenta fixă și componenta variabilă ale remunerației totale, pentru care se aplică următoarele principii:</w:t>
            </w:r>
          </w:p>
          <w:p w14:paraId="03083702"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(i) Componenta variabilă nu depășește 100 % din componenta fixă a remunerației totale pentru fiecare persoană. </w:t>
            </w:r>
          </w:p>
          <w:p w14:paraId="79F67DF9" w14:textId="6D3303BE"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Statele membre pot stabili un procentaj maxim mai scăzut;</w:t>
            </w:r>
          </w:p>
        </w:tc>
        <w:tc>
          <w:tcPr>
            <w:tcW w:w="1928" w:type="pct"/>
            <w:gridSpan w:val="3"/>
            <w:tcBorders>
              <w:top w:val="single" w:sz="4" w:space="0" w:color="auto"/>
              <w:left w:val="single" w:sz="4" w:space="0" w:color="auto"/>
              <w:bottom w:val="single" w:sz="4" w:space="0" w:color="auto"/>
              <w:right w:val="single" w:sz="4" w:space="0" w:color="auto"/>
            </w:tcBorders>
          </w:tcPr>
          <w:p w14:paraId="2763C1C9" w14:textId="7108A18D" w:rsidR="00984B34" w:rsidRPr="009E686F" w:rsidRDefault="00984B34" w:rsidP="00984B34">
            <w:pPr>
              <w:spacing w:after="0" w:line="276" w:lineRule="auto"/>
              <w:jc w:val="both"/>
              <w:rPr>
                <w:rFonts w:ascii="Times New Roman" w:eastAsia="Times New Roman" w:hAnsi="Times New Roman" w:cs="Times New Roman"/>
                <w:b/>
                <w:bCs/>
                <w:lang w:val="ro-MD" w:eastAsia="ro-MD"/>
              </w:rPr>
            </w:pPr>
            <w:r w:rsidRPr="009E686F">
              <w:rPr>
                <w:rFonts w:ascii="Times New Roman" w:hAnsi="Times New Roman" w:cs="Times New Roman"/>
                <w:b/>
                <w:lang w:val="ro-RO"/>
              </w:rPr>
              <w:t xml:space="preserve">Articolul 39 alin. (1) lit. </w:t>
            </w:r>
            <w:r w:rsidRPr="009E686F">
              <w:rPr>
                <w:rFonts w:ascii="Times New Roman" w:eastAsia="Times New Roman" w:hAnsi="Times New Roman" w:cs="Times New Roman"/>
                <w:b/>
                <w:bCs/>
                <w:lang w:val="ro-MD" w:eastAsia="ro-MD"/>
              </w:rPr>
              <w:t xml:space="preserve">h) </w:t>
            </w:r>
          </w:p>
          <w:p w14:paraId="72AB8AE6" w14:textId="22C5A4CA" w:rsidR="00984B34" w:rsidRPr="009E686F" w:rsidRDefault="00984B34" w:rsidP="00984B34">
            <w:pPr>
              <w:spacing w:after="0"/>
              <w:jc w:val="both"/>
              <w:rPr>
                <w:rFonts w:ascii="Times New Roman" w:hAnsi="Times New Roman" w:cs="Times New Roman"/>
                <w:i/>
                <w:lang w:val="ro-RO"/>
              </w:rPr>
            </w:pPr>
            <w:r w:rsidRPr="009E686F">
              <w:rPr>
                <w:rFonts w:ascii="Times New Roman" w:eastAsia="Times New Roman" w:hAnsi="Times New Roman" w:cs="Times New Roman"/>
                <w:lang w:val="ro-RO" w:eastAsia="ro-MD"/>
              </w:rPr>
              <w:t xml:space="preserve">h) </w:t>
            </w:r>
            <w:r w:rsidRPr="009E686F">
              <w:rPr>
                <w:rFonts w:ascii="Times New Roman" w:eastAsia="Times New Roman" w:hAnsi="Times New Roman" w:cs="Times New Roman"/>
                <w:i/>
                <w:lang w:val="ro-RO" w:eastAsia="ro-MD"/>
              </w:rPr>
              <w:t>instituția de credit</w:t>
            </w:r>
            <w:r w:rsidRPr="009E686F">
              <w:rPr>
                <w:rFonts w:ascii="Times New Roman" w:eastAsia="Times New Roman" w:hAnsi="Times New Roman" w:cs="Times New Roman"/>
                <w:lang w:val="ro-RO" w:eastAsia="ro-MD"/>
              </w:rPr>
              <w:t xml:space="preserve"> trebuie să stabilească raporturi adecvate între componentele fixă şi variabilă ale remuneraţiei totale, pentru care se aplică principiul potrivit căruia componenta variabilă nu trebuie să depăşească 100% din componenta fixă a remuneraţiei totale pentru fiecare </w:t>
            </w:r>
            <w:r w:rsidRPr="009E686F">
              <w:rPr>
                <w:rFonts w:ascii="Times New Roman" w:eastAsia="Times New Roman" w:hAnsi="Times New Roman" w:cs="Times New Roman"/>
                <w:i/>
                <w:iCs/>
                <w:lang w:val="ro-RO" w:eastAsia="ro-MD"/>
              </w:rPr>
              <w:t>salariat</w:t>
            </w:r>
            <w:r w:rsidRPr="009E686F">
              <w:rPr>
                <w:rFonts w:ascii="Times New Roman" w:eastAsia="Times New Roman" w:hAnsi="Times New Roman" w:cs="Times New Roman"/>
                <w:lang w:val="ro-RO" w:eastAsia="ro-MD"/>
              </w:rPr>
              <w:t>.</w:t>
            </w:r>
            <w:r w:rsidRPr="009E686F">
              <w:rPr>
                <w:rFonts w:ascii="Times New Roman" w:eastAsia="Times New Roman" w:hAnsi="Times New Roman" w:cs="Times New Roman"/>
                <w:i/>
                <w:iCs/>
                <w:color w:val="8064A2" w:themeColor="accent4"/>
                <w:lang w:val="ro-RO" w:eastAsia="ro-MD"/>
              </w:rPr>
              <w:t xml:space="preserve"> </w:t>
            </w:r>
          </w:p>
        </w:tc>
        <w:tc>
          <w:tcPr>
            <w:tcW w:w="470" w:type="pct"/>
            <w:tcBorders>
              <w:top w:val="single" w:sz="4" w:space="0" w:color="auto"/>
              <w:left w:val="single" w:sz="4" w:space="0" w:color="auto"/>
              <w:bottom w:val="single" w:sz="4" w:space="0" w:color="auto"/>
              <w:right w:val="single" w:sz="4" w:space="0" w:color="auto"/>
            </w:tcBorders>
          </w:tcPr>
          <w:p w14:paraId="39FC7B6A" w14:textId="14CB1E02"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64DCDB8E" w14:textId="77777777" w:rsidR="00984B34" w:rsidRPr="009E686F" w:rsidRDefault="00984B34" w:rsidP="00984B34">
            <w:pPr>
              <w:jc w:val="both"/>
              <w:rPr>
                <w:rFonts w:ascii="Times New Roman" w:hAnsi="Times New Roman" w:cs="Times New Roman"/>
                <w:lang w:val="ro-RO"/>
              </w:rPr>
            </w:pPr>
          </w:p>
        </w:tc>
      </w:tr>
      <w:tr w:rsidR="00984B34" w:rsidRPr="009E686F" w14:paraId="11C48AAC" w14:textId="170C2DEC" w:rsidTr="00774F3E">
        <w:tc>
          <w:tcPr>
            <w:tcW w:w="1796" w:type="pct"/>
            <w:gridSpan w:val="2"/>
            <w:tcBorders>
              <w:top w:val="single" w:sz="4" w:space="0" w:color="auto"/>
              <w:left w:val="single" w:sz="4" w:space="0" w:color="auto"/>
              <w:bottom w:val="single" w:sz="4" w:space="0" w:color="auto"/>
              <w:right w:val="single" w:sz="4" w:space="0" w:color="auto"/>
            </w:tcBorders>
          </w:tcPr>
          <w:p w14:paraId="07AA2E14" w14:textId="16F19003"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(ii) Statele membre pot permite acționarilor, proprietarilor sau asociaților instituției să aprobe un nivel maxim mai înalt al raportului dintre componenta fixă și cea variabilă a remunerației cu condiția ca nivelul global al componentei variabile să nu depășească 200 % din componenta fixă a remunerației totale pentru fiecare persoană. Statele membre pot stabili un procentaj maxim mai scăzut.</w:t>
            </w:r>
          </w:p>
          <w:p w14:paraId="26B672DC"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Orice aprobare a unei rate majorate în conformitate cu primul paragraf de la prezentul punct se realizează în conformitate cu următoarea procedură:</w:t>
            </w:r>
          </w:p>
          <w:p w14:paraId="4061213D" w14:textId="77777777" w:rsidR="00984B34" w:rsidRPr="009E686F" w:rsidRDefault="00984B34" w:rsidP="00984B34">
            <w:pPr>
              <w:numPr>
                <w:ilvl w:val="0"/>
                <w:numId w:val="1"/>
              </w:numPr>
              <w:tabs>
                <w:tab w:val="num" w:pos="72"/>
              </w:tabs>
              <w:spacing w:after="0"/>
              <w:jc w:val="both"/>
              <w:rPr>
                <w:rFonts w:ascii="Times New Roman" w:hAnsi="Times New Roman" w:cs="Times New Roman"/>
                <w:lang w:val="ro-RO"/>
              </w:rPr>
            </w:pPr>
            <w:r w:rsidRPr="009E686F">
              <w:rPr>
                <w:rFonts w:ascii="Times New Roman" w:hAnsi="Times New Roman" w:cs="Times New Roman"/>
                <w:lang w:val="ro-RO"/>
              </w:rPr>
              <w:t>acționarii, proprietarii sau asociații instituției acționează conform unei recomandări detaliate din partea instituției care prezintă motivele pentru care se solicită aprobarea și sfera de aplicare a acesteia, inclusiv numărul persoanelor alocate, funcțiile acestora, precum și impactul estimat asupra cerinței de a menține o bază solidă de capital;</w:t>
            </w:r>
          </w:p>
          <w:p w14:paraId="6944E74A"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acționarii, proprietarii sau asociații instituției acționează cu o majoritate de cel puțin 66 %, cu condiția să fie reprezentate cel puțin 50 % din acțiuni sau din drepturile de proprietate echivalente sau, în lipsa îndeplinirii acestei condiții, acționează cu o majoritate de 75 % din drepturile de proprietate reprezentate;</w:t>
            </w:r>
          </w:p>
          <w:p w14:paraId="136A02B0"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 instituția comunică tuturor acționarilor, proprietarilor sau asociaților instituției, acordând un preaviz rezonabil, că se </w:t>
            </w:r>
            <w:r w:rsidRPr="009E686F">
              <w:rPr>
                <w:rFonts w:ascii="Times New Roman" w:hAnsi="Times New Roman" w:cs="Times New Roman"/>
                <w:lang w:val="ro-RO"/>
              </w:rPr>
              <w:lastRenderedPageBreak/>
              <w:t>va solicita aprobarea în conformitate cu primul paragraf de la prezentul punct;</w:t>
            </w:r>
          </w:p>
          <w:p w14:paraId="64F5D6A1"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instituția informează fără întârziere autoritatea competentă în legătură cu recomandarea adresată acționarilor, proprietarilor sau asociaților săi, inclusiv în legătură cu rata maximă majorată propusă și motivele care au stat la baza acesteia și are capacitatea de a demonstra autorității competente că rata majorată propusă nu intră în conflict cu obligațiile instituției în temeiul prezentei directive și al Regulamentului (UE) nr. 575/2013, luând în considerare în special obligațiile privind fondurile proprii ale instituției.</w:t>
            </w:r>
          </w:p>
          <w:p w14:paraId="4637BD46"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instituția informează fără întârziere autoritatea competentă în legătură cu deciziile luate de acționarii, proprietarii sau asociații săi, inclusiv în legătură cu eventuala rată maximă majorată aprobată în conformitate cu primul paragraful de la prezentul punct, iar autoritățile competente utilizează informația primită pentru a compara practicile instituțiilor în această privință. Autoritățile competente transmit ABE informațiile respective, iar ABE le publică la nivel agregat pentru fiecare stat membru de origine, într-un format de raportare comun. ABE poate elabora linii directoare pentru a facilita punerea în aplicare a prezentei liniuțe și pentru a asigura coerența informațiilor colectate.</w:t>
            </w:r>
          </w:p>
          <w:p w14:paraId="6364F7A6"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personalului direct vizat de nivelurile maxime majorate ale remunerației variabile menționate la prezentul punct nu i se permite, după caz, să exercite direct sau indirect niciun drept de vot pe care l-ar putea avea în calitate de acționari, asociați sau membri ai instituției.</w:t>
            </w:r>
          </w:p>
        </w:tc>
        <w:tc>
          <w:tcPr>
            <w:tcW w:w="1928" w:type="pct"/>
            <w:gridSpan w:val="3"/>
            <w:tcBorders>
              <w:top w:val="single" w:sz="4" w:space="0" w:color="auto"/>
              <w:left w:val="single" w:sz="4" w:space="0" w:color="auto"/>
              <w:bottom w:val="single" w:sz="4" w:space="0" w:color="auto"/>
              <w:right w:val="single" w:sz="4" w:space="0" w:color="auto"/>
            </w:tcBorders>
          </w:tcPr>
          <w:p w14:paraId="742E229F"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28F31DA2" w14:textId="11F194D9"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netranspuse</w:t>
            </w:r>
          </w:p>
        </w:tc>
        <w:tc>
          <w:tcPr>
            <w:tcW w:w="806" w:type="pct"/>
            <w:tcBorders>
              <w:top w:val="single" w:sz="4" w:space="0" w:color="auto"/>
              <w:left w:val="single" w:sz="4" w:space="0" w:color="auto"/>
              <w:bottom w:val="single" w:sz="4" w:space="0" w:color="auto"/>
              <w:right w:val="single" w:sz="4" w:space="0" w:color="auto"/>
            </w:tcBorders>
          </w:tcPr>
          <w:p w14:paraId="29DEAAE0" w14:textId="5ACBECDE"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Opțiune neexercitată.</w:t>
            </w:r>
          </w:p>
        </w:tc>
      </w:tr>
      <w:tr w:rsidR="00984B34" w:rsidRPr="009E686F" w14:paraId="02DB1940"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5D43562A" w14:textId="2AB8D925"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(iii) Statele membre pot permite instituțiilor să aplice rata de actualizare menționată la paragraful al doilea de la prezentul punct la cel mult 25 % din remunerația variabilă totală, cu condiția ca aceasta să fie plătită sub formă de </w:t>
            </w:r>
            <w:r w:rsidRPr="009E686F">
              <w:rPr>
                <w:rFonts w:ascii="Times New Roman" w:hAnsi="Times New Roman" w:cs="Times New Roman"/>
                <w:lang w:val="ro-RO"/>
              </w:rPr>
              <w:lastRenderedPageBreak/>
              <w:t>instrumente care sunt reportate pe o perioadă de minimum cinci ani. Statele membre pot stabili un procentaj maxim mai scăzut.</w:t>
            </w:r>
          </w:p>
        </w:tc>
        <w:tc>
          <w:tcPr>
            <w:tcW w:w="1928" w:type="pct"/>
            <w:gridSpan w:val="3"/>
            <w:tcBorders>
              <w:top w:val="single" w:sz="4" w:space="0" w:color="auto"/>
              <w:left w:val="single" w:sz="4" w:space="0" w:color="auto"/>
              <w:bottom w:val="single" w:sz="4" w:space="0" w:color="auto"/>
              <w:right w:val="single" w:sz="4" w:space="0" w:color="auto"/>
            </w:tcBorders>
          </w:tcPr>
          <w:p w14:paraId="67281A9F" w14:textId="77777777"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b/>
                <w:lang w:val="ro-RO"/>
              </w:rPr>
              <w:lastRenderedPageBreak/>
              <w:t>Articolul 39 alin. (3</w:t>
            </w:r>
            <w:r w:rsidRPr="009E686F">
              <w:rPr>
                <w:rFonts w:ascii="Times New Roman" w:hAnsi="Times New Roman" w:cs="Times New Roman"/>
                <w:b/>
                <w:vertAlign w:val="superscript"/>
                <w:lang w:val="ro-RO"/>
              </w:rPr>
              <w:t>1</w:t>
            </w:r>
            <w:r w:rsidRPr="009E686F">
              <w:rPr>
                <w:rFonts w:ascii="Times New Roman" w:hAnsi="Times New Roman" w:cs="Times New Roman"/>
                <w:b/>
                <w:lang w:val="ro-RO"/>
              </w:rPr>
              <w:t>)</w:t>
            </w:r>
          </w:p>
          <w:p w14:paraId="7B4D7D05" w14:textId="08923D93" w:rsidR="00984B34" w:rsidRPr="009E686F" w:rsidRDefault="00984B34" w:rsidP="00984B34">
            <w:pPr>
              <w:spacing w:after="0"/>
              <w:jc w:val="both"/>
              <w:rPr>
                <w:rFonts w:ascii="Times New Roman" w:hAnsi="Times New Roman" w:cs="Times New Roman"/>
                <w:b/>
                <w:lang w:val="ro-RO"/>
              </w:rPr>
            </w:pPr>
            <w:r w:rsidRPr="009E686F">
              <w:rPr>
                <w:rFonts w:ascii="Times New Roman" w:eastAsia="Times New Roman" w:hAnsi="Times New Roman" w:cs="Times New Roman"/>
                <w:i/>
                <w:iCs/>
                <w:lang w:val="ro-MD" w:eastAsia="ro-MD"/>
              </w:rPr>
              <w:t>(3</w:t>
            </w:r>
            <w:r w:rsidRPr="009E686F">
              <w:rPr>
                <w:rFonts w:ascii="Times New Roman" w:eastAsia="Times New Roman" w:hAnsi="Times New Roman" w:cs="Times New Roman"/>
                <w:i/>
                <w:iCs/>
                <w:vertAlign w:val="superscript"/>
                <w:lang w:val="ro-MD" w:eastAsia="ro-MD"/>
              </w:rPr>
              <w:t>1</w:t>
            </w:r>
            <w:r w:rsidRPr="009E686F">
              <w:rPr>
                <w:rFonts w:ascii="Times New Roman" w:eastAsia="Times New Roman" w:hAnsi="Times New Roman" w:cs="Times New Roman"/>
                <w:i/>
                <w:iCs/>
                <w:lang w:val="ro-MD" w:eastAsia="ro-MD"/>
              </w:rPr>
              <w:t xml:space="preserve">) Instituțiile de credit pot să aplice o rată de actualizare la maximum 25% din remunerația variabilă totală, cu condiția ca </w:t>
            </w:r>
            <w:r w:rsidRPr="009E686F">
              <w:rPr>
                <w:rFonts w:ascii="Times New Roman" w:eastAsia="Times New Roman" w:hAnsi="Times New Roman" w:cs="Times New Roman"/>
                <w:i/>
                <w:iCs/>
                <w:lang w:val="ro-MD" w:eastAsia="ro-MD"/>
              </w:rPr>
              <w:lastRenderedPageBreak/>
              <w:t>aceasta să fie plătită sub formă de instrumente care sunt amânate la plată pe o perioadă de cel puțin 5 ani</w:t>
            </w:r>
            <w:r w:rsidRPr="009E686F">
              <w:rPr>
                <w:rFonts w:ascii="Times New Roman" w:eastAsia="Times New Roman" w:hAnsi="Times New Roman" w:cs="Times New Roman"/>
                <w:lang w:val="ro-MD" w:eastAsia="ro-MD"/>
              </w:rPr>
              <w:t>.</w:t>
            </w:r>
          </w:p>
        </w:tc>
        <w:tc>
          <w:tcPr>
            <w:tcW w:w="470" w:type="pct"/>
            <w:tcBorders>
              <w:top w:val="single" w:sz="4" w:space="0" w:color="auto"/>
              <w:left w:val="single" w:sz="4" w:space="0" w:color="auto"/>
              <w:bottom w:val="single" w:sz="4" w:space="0" w:color="auto"/>
              <w:right w:val="single" w:sz="4" w:space="0" w:color="auto"/>
            </w:tcBorders>
          </w:tcPr>
          <w:p w14:paraId="66C21B01" w14:textId="324C4D8F"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3F92EEAC" w14:textId="77777777" w:rsidR="00984B34" w:rsidRPr="009E686F" w:rsidRDefault="00984B34" w:rsidP="00984B34">
            <w:pPr>
              <w:jc w:val="both"/>
              <w:rPr>
                <w:rFonts w:ascii="Times New Roman" w:hAnsi="Times New Roman" w:cs="Times New Roman"/>
                <w:lang w:val="ro-RO"/>
              </w:rPr>
            </w:pPr>
          </w:p>
        </w:tc>
      </w:tr>
      <w:tr w:rsidR="00984B34" w:rsidRPr="009E686F" w14:paraId="0C9B0333"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082CDFCD" w14:textId="31D662CA"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ABE elaborează și emite, până la 31 martie 2014, orientări privind rata națională de actualizare aplicabilă, luând în considerare toți factorii relevanți, inclusiv rata inflației și riscul, care include durata reportării. Orientările ABE privind rata de actualizare iau în considerare în mod concret modul de stimulare a utilizării instrumentelor care sunt reportate pe o perioadă de minimum cinci ani.</w:t>
            </w:r>
          </w:p>
        </w:tc>
        <w:tc>
          <w:tcPr>
            <w:tcW w:w="1928" w:type="pct"/>
            <w:gridSpan w:val="3"/>
            <w:tcBorders>
              <w:top w:val="single" w:sz="4" w:space="0" w:color="auto"/>
              <w:left w:val="single" w:sz="4" w:space="0" w:color="auto"/>
              <w:bottom w:val="single" w:sz="4" w:space="0" w:color="auto"/>
              <w:right w:val="single" w:sz="4" w:space="0" w:color="auto"/>
            </w:tcBorders>
          </w:tcPr>
          <w:p w14:paraId="3C926AD4"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06F85035" w14:textId="77777777"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neaplicabile</w:t>
            </w:r>
          </w:p>
          <w:p w14:paraId="58191910" w14:textId="77777777"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55E350AE" w14:textId="14E37ACB"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Se referă la competențele ABE.</w:t>
            </w:r>
          </w:p>
        </w:tc>
      </w:tr>
      <w:tr w:rsidR="00984B34" w:rsidRPr="009E686F" w14:paraId="3C3A4FEE" w14:textId="1D248112" w:rsidTr="00774F3E">
        <w:tc>
          <w:tcPr>
            <w:tcW w:w="1796" w:type="pct"/>
            <w:gridSpan w:val="2"/>
            <w:tcBorders>
              <w:top w:val="single" w:sz="4" w:space="0" w:color="auto"/>
              <w:left w:val="single" w:sz="4" w:space="0" w:color="auto"/>
              <w:bottom w:val="single" w:sz="4" w:space="0" w:color="auto"/>
              <w:right w:val="single" w:sz="4" w:space="0" w:color="auto"/>
            </w:tcBorders>
          </w:tcPr>
          <w:p w14:paraId="7BD44654" w14:textId="5F7E3CE5"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(h) plățile aferente încetării anticipate a unui contract reflectă performanțele obținute în timp și nu recompensează eșecurile sau conduita neprofesională;</w:t>
            </w:r>
          </w:p>
        </w:tc>
        <w:tc>
          <w:tcPr>
            <w:tcW w:w="1928" w:type="pct"/>
            <w:gridSpan w:val="3"/>
            <w:tcBorders>
              <w:top w:val="single" w:sz="4" w:space="0" w:color="auto"/>
              <w:left w:val="single" w:sz="4" w:space="0" w:color="auto"/>
              <w:bottom w:val="single" w:sz="4" w:space="0" w:color="auto"/>
              <w:right w:val="single" w:sz="4" w:space="0" w:color="auto"/>
            </w:tcBorders>
          </w:tcPr>
          <w:p w14:paraId="50CD5583" w14:textId="310D748B"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b/>
                <w:lang w:val="ro-RO"/>
              </w:rPr>
              <w:t xml:space="preserve">Articolul 39 alin. (2) lit. f) </w:t>
            </w:r>
          </w:p>
          <w:p w14:paraId="69FFC4CD" w14:textId="0F9E0591" w:rsidR="00984B34" w:rsidRPr="009E686F" w:rsidRDefault="00984B34" w:rsidP="00984B34">
            <w:pPr>
              <w:spacing w:after="0"/>
              <w:jc w:val="both"/>
              <w:rPr>
                <w:rFonts w:ascii="Times New Roman" w:eastAsia="Times New Roman" w:hAnsi="Times New Roman" w:cs="Times New Roman"/>
                <w:lang w:val="ro-MD" w:eastAsia="ro-MD"/>
              </w:rPr>
            </w:pPr>
            <w:r w:rsidRPr="009E686F">
              <w:rPr>
                <w:rFonts w:ascii="Times New Roman" w:eastAsia="Times New Roman" w:hAnsi="Times New Roman" w:cs="Times New Roman"/>
                <w:lang w:val="ro-MD" w:eastAsia="ro-MD"/>
              </w:rPr>
              <w:t>f) plăţile legate de încetarea anticipată a unui contract de muncă reflectă performanţa obţinută în timp şi nu recompensează nereuşita sau conduita neprofesională;</w:t>
            </w:r>
          </w:p>
        </w:tc>
        <w:tc>
          <w:tcPr>
            <w:tcW w:w="470" w:type="pct"/>
            <w:tcBorders>
              <w:top w:val="single" w:sz="4" w:space="0" w:color="auto"/>
              <w:left w:val="single" w:sz="4" w:space="0" w:color="auto"/>
              <w:bottom w:val="single" w:sz="4" w:space="0" w:color="auto"/>
              <w:right w:val="single" w:sz="4" w:space="0" w:color="auto"/>
            </w:tcBorders>
          </w:tcPr>
          <w:p w14:paraId="142DCDBC" w14:textId="688F361E"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2E1CA047" w14:textId="77777777" w:rsidR="00984B34" w:rsidRPr="009E686F" w:rsidRDefault="00984B34" w:rsidP="00984B34">
            <w:pPr>
              <w:jc w:val="both"/>
              <w:rPr>
                <w:rFonts w:ascii="Times New Roman" w:hAnsi="Times New Roman" w:cs="Times New Roman"/>
                <w:lang w:val="ro-RO"/>
              </w:rPr>
            </w:pPr>
          </w:p>
        </w:tc>
      </w:tr>
      <w:tr w:rsidR="00984B34" w:rsidRPr="009E686F" w14:paraId="7D80D522" w14:textId="51306E44" w:rsidTr="00774F3E">
        <w:tc>
          <w:tcPr>
            <w:tcW w:w="1796" w:type="pct"/>
            <w:gridSpan w:val="2"/>
            <w:tcBorders>
              <w:top w:val="single" w:sz="4" w:space="0" w:color="auto"/>
              <w:left w:val="single" w:sz="4" w:space="0" w:color="auto"/>
              <w:bottom w:val="single" w:sz="4" w:space="0" w:color="auto"/>
              <w:right w:val="single" w:sz="4" w:space="0" w:color="auto"/>
            </w:tcBorders>
          </w:tcPr>
          <w:p w14:paraId="78739F3C" w14:textId="36E8E636"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(i) pachetele salariale care sunt legate de compensarea sau preluarea drepturilor cuvenite în temeiul contractelor încheiate pentru perioade de angajare precedente trebuie să se alinieze la interesele pe termen lung ale instituției, inclusiv mecanismele privind reținerea, reportarea, performanța și acordurile de tip "clawback";</w:t>
            </w:r>
          </w:p>
        </w:tc>
        <w:tc>
          <w:tcPr>
            <w:tcW w:w="1928" w:type="pct"/>
            <w:gridSpan w:val="3"/>
            <w:tcBorders>
              <w:top w:val="single" w:sz="4" w:space="0" w:color="auto"/>
              <w:left w:val="single" w:sz="4" w:space="0" w:color="auto"/>
              <w:bottom w:val="single" w:sz="4" w:space="0" w:color="auto"/>
              <w:right w:val="single" w:sz="4" w:space="0" w:color="auto"/>
            </w:tcBorders>
          </w:tcPr>
          <w:p w14:paraId="1CCAA13E" w14:textId="3C48581B" w:rsidR="00984B34" w:rsidRPr="009E686F" w:rsidRDefault="00984B34" w:rsidP="00984B34">
            <w:pPr>
              <w:spacing w:after="0"/>
              <w:jc w:val="both"/>
              <w:rPr>
                <w:rFonts w:ascii="Times New Roman" w:hAnsi="Times New Roman" w:cs="Times New Roman"/>
                <w:bCs/>
                <w:lang w:val="ro-RO"/>
              </w:rPr>
            </w:pPr>
            <w:r w:rsidRPr="009E686F">
              <w:rPr>
                <w:rFonts w:ascii="Times New Roman" w:hAnsi="Times New Roman" w:cs="Times New Roman"/>
                <w:b/>
                <w:lang w:val="ro-RO"/>
              </w:rPr>
              <w:t>Articolul 39 alin.  (2) lit. g)</w:t>
            </w:r>
          </w:p>
          <w:p w14:paraId="434B2CF4" w14:textId="5D03BEBC" w:rsidR="00984B34" w:rsidRPr="009E686F" w:rsidRDefault="00984B34" w:rsidP="00984B34">
            <w:pPr>
              <w:spacing w:after="0"/>
              <w:jc w:val="both"/>
              <w:rPr>
                <w:rFonts w:ascii="Times New Roman" w:eastAsia="Times New Roman" w:hAnsi="Times New Roman" w:cs="Times New Roman"/>
                <w:lang w:val="ro-MD" w:eastAsia="ro-MD"/>
              </w:rPr>
            </w:pPr>
            <w:r w:rsidRPr="009E686F">
              <w:rPr>
                <w:rFonts w:ascii="Times New Roman" w:eastAsia="Times New Roman" w:hAnsi="Times New Roman" w:cs="Times New Roman"/>
                <w:lang w:val="ro-MD" w:eastAsia="ro-MD"/>
              </w:rPr>
              <w:t xml:space="preserve">g) pachetele de remuneraţie care sînt legate de compensarea sau preluarea drepturilor cuvenite în temeiul contractelor de muncă încheiate pentru perioadele de angajare precedente trebuie să fie aliniate la interesele pe termen lung ale </w:t>
            </w:r>
            <w:r w:rsidRPr="009E686F">
              <w:rPr>
                <w:rFonts w:ascii="Times New Roman" w:eastAsia="Times New Roman" w:hAnsi="Times New Roman" w:cs="Times New Roman"/>
                <w:i/>
                <w:iCs/>
                <w:lang w:val="ro-MD" w:eastAsia="ro-MD"/>
              </w:rPr>
              <w:t>instituției de credit</w:t>
            </w:r>
            <w:r w:rsidRPr="009E686F">
              <w:rPr>
                <w:rFonts w:ascii="Times New Roman" w:eastAsia="Times New Roman" w:hAnsi="Times New Roman" w:cs="Times New Roman"/>
                <w:lang w:val="ro-MD" w:eastAsia="ro-MD"/>
              </w:rPr>
              <w:t xml:space="preserve">, </w:t>
            </w:r>
            <w:r w:rsidRPr="009E686F">
              <w:rPr>
                <w:rFonts w:ascii="Times New Roman" w:eastAsia="Times New Roman" w:hAnsi="Times New Roman" w:cs="Times New Roman"/>
                <w:i/>
                <w:lang w:val="ro-MD" w:eastAsia="ro-MD"/>
              </w:rPr>
              <w:t>inclusiv mecanismele privind reținerea, amânarea, performanța și acordurile de tip „clawback”;</w:t>
            </w:r>
          </w:p>
        </w:tc>
        <w:tc>
          <w:tcPr>
            <w:tcW w:w="470" w:type="pct"/>
            <w:tcBorders>
              <w:top w:val="single" w:sz="4" w:space="0" w:color="auto"/>
              <w:left w:val="single" w:sz="4" w:space="0" w:color="auto"/>
              <w:bottom w:val="single" w:sz="4" w:space="0" w:color="auto"/>
              <w:right w:val="single" w:sz="4" w:space="0" w:color="auto"/>
            </w:tcBorders>
          </w:tcPr>
          <w:p w14:paraId="36087517" w14:textId="5A51D9D1"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 xml:space="preserve">Compatibil </w:t>
            </w:r>
          </w:p>
        </w:tc>
        <w:tc>
          <w:tcPr>
            <w:tcW w:w="806" w:type="pct"/>
            <w:tcBorders>
              <w:top w:val="single" w:sz="4" w:space="0" w:color="auto"/>
              <w:left w:val="single" w:sz="4" w:space="0" w:color="auto"/>
              <w:bottom w:val="single" w:sz="4" w:space="0" w:color="auto"/>
              <w:right w:val="single" w:sz="4" w:space="0" w:color="auto"/>
            </w:tcBorders>
          </w:tcPr>
          <w:p w14:paraId="22DB63CC" w14:textId="77777777" w:rsidR="00984B34" w:rsidRPr="009E686F" w:rsidRDefault="00984B34" w:rsidP="00984B34">
            <w:pPr>
              <w:jc w:val="both"/>
              <w:rPr>
                <w:rFonts w:ascii="Times New Roman" w:hAnsi="Times New Roman" w:cs="Times New Roman"/>
                <w:lang w:val="ro-RO"/>
              </w:rPr>
            </w:pPr>
          </w:p>
        </w:tc>
      </w:tr>
      <w:tr w:rsidR="00984B34" w:rsidRPr="009E686F" w14:paraId="7DB1427F" w14:textId="6FB74BFC" w:rsidTr="00774F3E">
        <w:tc>
          <w:tcPr>
            <w:tcW w:w="1796" w:type="pct"/>
            <w:gridSpan w:val="2"/>
            <w:tcBorders>
              <w:top w:val="single" w:sz="4" w:space="0" w:color="auto"/>
              <w:left w:val="single" w:sz="4" w:space="0" w:color="auto"/>
              <w:bottom w:val="single" w:sz="4" w:space="0" w:color="auto"/>
              <w:right w:val="single" w:sz="4" w:space="0" w:color="auto"/>
            </w:tcBorders>
          </w:tcPr>
          <w:p w14:paraId="32E96B8B" w14:textId="75BB5C50"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(j) măsurarea performanțelor, utilizate pentru a calcula componentele remunerației variabile sau portofoliile de componente ale remunerației variabile, include o ajustare pentru toate tipurile de riscuri curente și viitoare și ia în calcul costul capitalului și lichiditatea necesară;</w:t>
            </w:r>
          </w:p>
        </w:tc>
        <w:tc>
          <w:tcPr>
            <w:tcW w:w="1928" w:type="pct"/>
            <w:gridSpan w:val="3"/>
            <w:tcBorders>
              <w:top w:val="single" w:sz="4" w:space="0" w:color="auto"/>
              <w:left w:val="single" w:sz="4" w:space="0" w:color="auto"/>
              <w:bottom w:val="single" w:sz="4" w:space="0" w:color="auto"/>
              <w:right w:val="single" w:sz="4" w:space="0" w:color="auto"/>
            </w:tcBorders>
          </w:tcPr>
          <w:p w14:paraId="718945C1" w14:textId="1DF95826" w:rsidR="00984B34" w:rsidRPr="009E686F" w:rsidRDefault="00984B34" w:rsidP="00984B34">
            <w:pPr>
              <w:spacing w:after="0"/>
              <w:jc w:val="both"/>
              <w:rPr>
                <w:rFonts w:ascii="Times New Roman" w:hAnsi="Times New Roman" w:cs="Times New Roman"/>
                <w:bCs/>
                <w:lang w:val="ro-RO"/>
              </w:rPr>
            </w:pPr>
            <w:r w:rsidRPr="009E686F">
              <w:rPr>
                <w:rFonts w:ascii="Times New Roman" w:hAnsi="Times New Roman" w:cs="Times New Roman"/>
                <w:b/>
                <w:lang w:val="ro-RO"/>
              </w:rPr>
              <w:t>Articolul 39 alin. (2) lit. h)</w:t>
            </w:r>
          </w:p>
          <w:p w14:paraId="16E41FA2" w14:textId="16F299E4" w:rsidR="00984B34" w:rsidRPr="009E686F" w:rsidRDefault="00984B34" w:rsidP="00984B34">
            <w:pPr>
              <w:spacing w:after="0"/>
              <w:jc w:val="both"/>
              <w:rPr>
                <w:rFonts w:ascii="Times New Roman" w:eastAsia="Times New Roman" w:hAnsi="Times New Roman" w:cs="Times New Roman"/>
                <w:lang w:val="ro-MD" w:eastAsia="ro-MD"/>
              </w:rPr>
            </w:pPr>
            <w:r w:rsidRPr="009E686F">
              <w:rPr>
                <w:rFonts w:ascii="Times New Roman" w:eastAsia="Times New Roman" w:hAnsi="Times New Roman" w:cs="Times New Roman"/>
                <w:lang w:val="ro-MD" w:eastAsia="ro-MD"/>
              </w:rPr>
              <w:t xml:space="preserve">h) măsurarea performanţei utilizate pentru a calcula componentele remuneraţiei variabile </w:t>
            </w:r>
            <w:r w:rsidRPr="009E686F">
              <w:rPr>
                <w:rFonts w:ascii="Times New Roman" w:eastAsia="Times New Roman" w:hAnsi="Times New Roman" w:cs="Times New Roman"/>
                <w:i/>
                <w:lang w:val="ro-MD" w:eastAsia="ro-MD"/>
              </w:rPr>
              <w:t>sau portofoliile de componente ale remunera</w:t>
            </w:r>
            <w:r w:rsidRPr="009E686F">
              <w:rPr>
                <w:rFonts w:ascii="Times New Roman" w:eastAsia="Times New Roman" w:hAnsi="Times New Roman" w:cs="Times New Roman"/>
                <w:i/>
                <w:lang w:val="ro-RO" w:eastAsia="ro-MD"/>
              </w:rPr>
              <w:t>ției variabile</w:t>
            </w:r>
            <w:r w:rsidRPr="009E686F">
              <w:rPr>
                <w:rFonts w:ascii="Times New Roman" w:eastAsia="Times New Roman" w:hAnsi="Times New Roman" w:cs="Times New Roman"/>
                <w:lang w:val="ro-RO" w:eastAsia="ro-MD"/>
              </w:rPr>
              <w:t xml:space="preserve"> </w:t>
            </w:r>
            <w:r w:rsidRPr="009E686F">
              <w:rPr>
                <w:rFonts w:ascii="Times New Roman" w:eastAsia="Times New Roman" w:hAnsi="Times New Roman" w:cs="Times New Roman"/>
                <w:lang w:val="ro-MD" w:eastAsia="ro-MD"/>
              </w:rPr>
              <w:t>include o ajustare pentru toate tipurile de riscuri curente şi viitoare şi ia în considerare costul capitalului şi lichiditatea necesară;</w:t>
            </w:r>
          </w:p>
        </w:tc>
        <w:tc>
          <w:tcPr>
            <w:tcW w:w="470" w:type="pct"/>
            <w:tcBorders>
              <w:top w:val="single" w:sz="4" w:space="0" w:color="auto"/>
              <w:left w:val="single" w:sz="4" w:space="0" w:color="auto"/>
              <w:bottom w:val="single" w:sz="4" w:space="0" w:color="auto"/>
              <w:right w:val="single" w:sz="4" w:space="0" w:color="auto"/>
            </w:tcBorders>
          </w:tcPr>
          <w:p w14:paraId="489E5860" w14:textId="33E3F953"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 xml:space="preserve">Compatibil </w:t>
            </w:r>
          </w:p>
        </w:tc>
        <w:tc>
          <w:tcPr>
            <w:tcW w:w="806" w:type="pct"/>
            <w:tcBorders>
              <w:top w:val="single" w:sz="4" w:space="0" w:color="auto"/>
              <w:left w:val="single" w:sz="4" w:space="0" w:color="auto"/>
              <w:bottom w:val="single" w:sz="4" w:space="0" w:color="auto"/>
              <w:right w:val="single" w:sz="4" w:space="0" w:color="auto"/>
            </w:tcBorders>
          </w:tcPr>
          <w:p w14:paraId="1C0EDA09" w14:textId="77777777" w:rsidR="00984B34" w:rsidRPr="009E686F" w:rsidRDefault="00984B34" w:rsidP="00984B34">
            <w:pPr>
              <w:jc w:val="both"/>
              <w:rPr>
                <w:rFonts w:ascii="Times New Roman" w:hAnsi="Times New Roman" w:cs="Times New Roman"/>
                <w:lang w:val="ro-RO"/>
              </w:rPr>
            </w:pPr>
          </w:p>
        </w:tc>
      </w:tr>
      <w:tr w:rsidR="00984B34" w:rsidRPr="009E686F" w14:paraId="2834A947" w14:textId="02CFBD32" w:rsidTr="00774F3E">
        <w:tc>
          <w:tcPr>
            <w:tcW w:w="1796" w:type="pct"/>
            <w:gridSpan w:val="2"/>
            <w:tcBorders>
              <w:top w:val="single" w:sz="4" w:space="0" w:color="auto"/>
              <w:left w:val="single" w:sz="4" w:space="0" w:color="auto"/>
              <w:bottom w:val="single" w:sz="4" w:space="0" w:color="auto"/>
              <w:right w:val="single" w:sz="4" w:space="0" w:color="auto"/>
            </w:tcBorders>
          </w:tcPr>
          <w:p w14:paraId="04072798" w14:textId="1D5D76B2"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(k) alocarea componentelor variabile ale remunerației în cadrul instituției ține seama, de asemenea, de toate tipurile de riscuri actuale și viitoare;</w:t>
            </w:r>
          </w:p>
        </w:tc>
        <w:tc>
          <w:tcPr>
            <w:tcW w:w="1928" w:type="pct"/>
            <w:gridSpan w:val="3"/>
            <w:tcBorders>
              <w:top w:val="single" w:sz="4" w:space="0" w:color="auto"/>
              <w:left w:val="single" w:sz="4" w:space="0" w:color="auto"/>
              <w:bottom w:val="single" w:sz="4" w:space="0" w:color="auto"/>
              <w:right w:val="single" w:sz="4" w:space="0" w:color="auto"/>
            </w:tcBorders>
          </w:tcPr>
          <w:p w14:paraId="0D741911" w14:textId="48E7B1BE" w:rsidR="00984B34" w:rsidRPr="009E686F" w:rsidRDefault="00984B34" w:rsidP="00984B34">
            <w:pPr>
              <w:spacing w:after="0"/>
              <w:jc w:val="both"/>
              <w:rPr>
                <w:rFonts w:ascii="Times New Roman" w:hAnsi="Times New Roman" w:cs="Times New Roman"/>
                <w:bCs/>
                <w:lang w:val="ro-RO"/>
              </w:rPr>
            </w:pPr>
            <w:r w:rsidRPr="009E686F">
              <w:rPr>
                <w:rFonts w:ascii="Times New Roman" w:hAnsi="Times New Roman" w:cs="Times New Roman"/>
                <w:b/>
                <w:lang w:val="ro-RO"/>
              </w:rPr>
              <w:t>Articolul 39 alin. (2) lit. i)</w:t>
            </w:r>
          </w:p>
          <w:p w14:paraId="44BD98C7" w14:textId="2B58F6CE" w:rsidR="00984B34" w:rsidRPr="009E686F" w:rsidRDefault="00984B34" w:rsidP="00984B34">
            <w:pPr>
              <w:spacing w:after="0"/>
              <w:jc w:val="both"/>
              <w:rPr>
                <w:rFonts w:ascii="Times New Roman" w:eastAsia="Times New Roman" w:hAnsi="Times New Roman" w:cs="Times New Roman"/>
                <w:lang w:val="ro-MD" w:eastAsia="ro-MD"/>
              </w:rPr>
            </w:pPr>
            <w:r w:rsidRPr="009E686F">
              <w:rPr>
                <w:rFonts w:ascii="Times New Roman" w:eastAsia="Times New Roman" w:hAnsi="Times New Roman" w:cs="Times New Roman"/>
                <w:lang w:val="ro-MD" w:eastAsia="ro-MD"/>
              </w:rPr>
              <w:t xml:space="preserve">i) alocarea componentelor remuneraţiei variabile în cadrul </w:t>
            </w:r>
            <w:r w:rsidRPr="009E686F">
              <w:rPr>
                <w:rFonts w:ascii="Times New Roman" w:eastAsia="Times New Roman" w:hAnsi="Times New Roman" w:cs="Times New Roman"/>
                <w:i/>
                <w:iCs/>
                <w:lang w:val="ro-MD" w:eastAsia="ro-MD"/>
              </w:rPr>
              <w:t>instituției de credit</w:t>
            </w:r>
            <w:r w:rsidRPr="009E686F">
              <w:rPr>
                <w:rFonts w:ascii="Times New Roman" w:eastAsia="Times New Roman" w:hAnsi="Times New Roman" w:cs="Times New Roman"/>
                <w:lang w:val="ro-MD" w:eastAsia="ro-MD"/>
              </w:rPr>
              <w:t xml:space="preserve"> trebuie să ia în considerare şi toate tipurile de riscuri curente şi viitoare;</w:t>
            </w:r>
          </w:p>
        </w:tc>
        <w:tc>
          <w:tcPr>
            <w:tcW w:w="470" w:type="pct"/>
            <w:tcBorders>
              <w:top w:val="single" w:sz="4" w:space="0" w:color="auto"/>
              <w:left w:val="single" w:sz="4" w:space="0" w:color="auto"/>
              <w:bottom w:val="single" w:sz="4" w:space="0" w:color="auto"/>
              <w:right w:val="single" w:sz="4" w:space="0" w:color="auto"/>
            </w:tcBorders>
          </w:tcPr>
          <w:p w14:paraId="389ADD9D" w14:textId="167B1583"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 xml:space="preserve">Compatibil </w:t>
            </w:r>
          </w:p>
        </w:tc>
        <w:tc>
          <w:tcPr>
            <w:tcW w:w="806" w:type="pct"/>
            <w:tcBorders>
              <w:top w:val="single" w:sz="4" w:space="0" w:color="auto"/>
              <w:left w:val="single" w:sz="4" w:space="0" w:color="auto"/>
              <w:bottom w:val="single" w:sz="4" w:space="0" w:color="auto"/>
              <w:right w:val="single" w:sz="4" w:space="0" w:color="auto"/>
            </w:tcBorders>
          </w:tcPr>
          <w:p w14:paraId="296A99C7" w14:textId="77777777" w:rsidR="00984B34" w:rsidRPr="009E686F" w:rsidRDefault="00984B34" w:rsidP="00984B34">
            <w:pPr>
              <w:jc w:val="both"/>
              <w:rPr>
                <w:rFonts w:ascii="Times New Roman" w:hAnsi="Times New Roman" w:cs="Times New Roman"/>
                <w:lang w:val="ro-RO"/>
              </w:rPr>
            </w:pPr>
          </w:p>
        </w:tc>
      </w:tr>
      <w:tr w:rsidR="00984B34" w:rsidRPr="009E686F" w14:paraId="71C6313C"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7C055FA3"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lastRenderedPageBreak/>
              <w:t xml:space="preserve">(l) o parte substanțială, dar în orice caz cel puțin 50 % din orice remunerație variabilă trebuie să fie reprezentată de o combinație echilibrată între următoarele elemente: </w:t>
            </w:r>
          </w:p>
          <w:p w14:paraId="7532D8A9"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(i) acțiuni sau, în funcție de forma juridică a instituției în cauză, participații echivalente sau instrumente legate de acțiuni ori, în funcție de forma juridică a instituției în cauză, instrumente echivalente, altele decât cele în numerar;</w:t>
            </w:r>
          </w:p>
          <w:p w14:paraId="3AAED3B1"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(ii) în cazul în care este posibil, alte instrumente, în sensul articolului 52 sau 63 din Regulamentul (UE) nr. 575/2013, sau alte instrumente care pot fi complet transformate în instrumente de fonduri proprii de nivel 1 de bază sau reduse, care în fiecare caz reflectă în mod adecvat calitatea creditului instituției pe bază continuă și sunt adecvate pentru a fi utilizate în scopul remunerației variabile.</w:t>
            </w:r>
          </w:p>
          <w:p w14:paraId="7F59AEA4" w14:textId="77777777" w:rsidR="00984B34" w:rsidRPr="009E686F" w:rsidRDefault="00984B34" w:rsidP="00984B34">
            <w:pPr>
              <w:spacing w:after="0"/>
              <w:jc w:val="both"/>
              <w:rPr>
                <w:rFonts w:ascii="Times New Roman" w:hAnsi="Times New Roman" w:cs="Times New Roman"/>
                <w:lang w:val="ro-RO"/>
              </w:rPr>
            </w:pPr>
          </w:p>
          <w:p w14:paraId="5FFBF05C"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Instrumentele menționate la prezentul punct fac obiectul unei politici de conservare adecvate proiectate să alinieze stimulentele cu interesele pe termen lung ale instituției. </w:t>
            </w:r>
          </w:p>
          <w:p w14:paraId="5F40E910" w14:textId="77777777" w:rsidR="00984B34" w:rsidRPr="009E686F" w:rsidRDefault="00984B34" w:rsidP="00984B34">
            <w:pPr>
              <w:spacing w:after="0"/>
              <w:jc w:val="both"/>
              <w:rPr>
                <w:rFonts w:ascii="Times New Roman" w:hAnsi="Times New Roman" w:cs="Times New Roman"/>
                <w:lang w:val="ro-RO"/>
              </w:rPr>
            </w:pPr>
          </w:p>
          <w:p w14:paraId="5839FD60" w14:textId="77777777" w:rsidR="00984B34" w:rsidRPr="009E686F" w:rsidRDefault="00984B34" w:rsidP="00984B34">
            <w:pPr>
              <w:spacing w:after="0"/>
              <w:jc w:val="both"/>
              <w:rPr>
                <w:rFonts w:ascii="Times New Roman" w:hAnsi="Times New Roman" w:cs="Times New Roman"/>
                <w:lang w:val="ro-RO"/>
              </w:rPr>
            </w:pPr>
          </w:p>
          <w:p w14:paraId="60F4B5EE" w14:textId="77777777" w:rsidR="00984B34" w:rsidRPr="009E686F" w:rsidRDefault="00984B34" w:rsidP="00984B34">
            <w:pPr>
              <w:spacing w:after="0"/>
              <w:jc w:val="both"/>
              <w:rPr>
                <w:rFonts w:ascii="Times New Roman" w:hAnsi="Times New Roman" w:cs="Times New Roman"/>
                <w:lang w:val="ro-RO"/>
              </w:rPr>
            </w:pPr>
          </w:p>
        </w:tc>
        <w:tc>
          <w:tcPr>
            <w:tcW w:w="1928" w:type="pct"/>
            <w:gridSpan w:val="3"/>
            <w:tcBorders>
              <w:top w:val="single" w:sz="4" w:space="0" w:color="auto"/>
              <w:left w:val="single" w:sz="4" w:space="0" w:color="auto"/>
              <w:bottom w:val="single" w:sz="4" w:space="0" w:color="auto"/>
              <w:right w:val="single" w:sz="4" w:space="0" w:color="auto"/>
            </w:tcBorders>
          </w:tcPr>
          <w:p w14:paraId="43BA41AA" w14:textId="77777777" w:rsidR="00984B34" w:rsidRPr="009E686F" w:rsidRDefault="00984B34" w:rsidP="00984B34">
            <w:pPr>
              <w:spacing w:after="0"/>
              <w:jc w:val="both"/>
              <w:rPr>
                <w:rFonts w:ascii="Times New Roman" w:hAnsi="Times New Roman" w:cs="Times New Roman"/>
                <w:bCs/>
                <w:lang w:val="ro-RO"/>
              </w:rPr>
            </w:pPr>
            <w:r w:rsidRPr="009E686F">
              <w:rPr>
                <w:rFonts w:ascii="Times New Roman" w:hAnsi="Times New Roman" w:cs="Times New Roman"/>
                <w:b/>
                <w:lang w:val="ro-RO"/>
              </w:rPr>
              <w:t>Articolul 39 alin. (2) lit. j)</w:t>
            </w:r>
          </w:p>
          <w:p w14:paraId="5B75DEEA" w14:textId="77777777" w:rsidR="00984B34" w:rsidRPr="009E686F" w:rsidRDefault="00984B34" w:rsidP="00984B34">
            <w:pPr>
              <w:spacing w:after="0"/>
              <w:jc w:val="both"/>
              <w:rPr>
                <w:rFonts w:ascii="Times New Roman" w:eastAsia="Times New Roman" w:hAnsi="Times New Roman" w:cs="Times New Roman"/>
                <w:i/>
                <w:iCs/>
                <w:color w:val="0F9ED5"/>
                <w:lang w:val="ro-MD" w:eastAsia="ro-MD"/>
              </w:rPr>
            </w:pPr>
            <w:r w:rsidRPr="009E686F">
              <w:rPr>
                <w:rFonts w:ascii="Times New Roman" w:eastAsia="Times New Roman" w:hAnsi="Times New Roman" w:cs="Times New Roman"/>
                <w:lang w:val="ro-MD" w:eastAsia="ro-MD"/>
              </w:rPr>
              <w:t xml:space="preserve">j) remuneraţia variabilă trebuie să fie formată dintr-un raport corespunzător între instrumente financiare şi mijloace băneşti, raportul respectiv, </w:t>
            </w:r>
            <w:r w:rsidRPr="009E686F">
              <w:rPr>
                <w:rFonts w:ascii="Times New Roman" w:eastAsia="Times New Roman" w:hAnsi="Times New Roman" w:cs="Times New Roman"/>
                <w:i/>
                <w:iCs/>
                <w:lang w:val="ro-MD" w:eastAsia="ro-MD"/>
              </w:rPr>
              <w:t>clasele</w:t>
            </w:r>
            <w:r w:rsidRPr="009E686F">
              <w:rPr>
                <w:rFonts w:ascii="Times New Roman" w:eastAsia="Times New Roman" w:hAnsi="Times New Roman" w:cs="Times New Roman"/>
                <w:lang w:val="ro-MD" w:eastAsia="ro-MD"/>
              </w:rPr>
              <w:t xml:space="preserve"> şi caracteristicile acestor instrumente fiind stabilite de actele normative ale Băncii Naţionale a Moldovei;</w:t>
            </w:r>
            <w:r w:rsidRPr="009E686F">
              <w:rPr>
                <w:rFonts w:ascii="Times New Roman" w:eastAsia="Times New Roman" w:hAnsi="Times New Roman" w:cs="Times New Roman"/>
                <w:i/>
                <w:iCs/>
                <w:color w:val="0F9ED5"/>
                <w:lang w:val="ro-MD" w:eastAsia="ro-MD"/>
              </w:rPr>
              <w:t xml:space="preserve"> </w:t>
            </w:r>
          </w:p>
          <w:p w14:paraId="53F58DC6" w14:textId="77777777" w:rsidR="00984B34" w:rsidRPr="009E686F" w:rsidRDefault="00984B34" w:rsidP="00984B34">
            <w:pPr>
              <w:spacing w:after="0"/>
              <w:jc w:val="both"/>
              <w:rPr>
                <w:rFonts w:ascii="Times New Roman" w:hAnsi="Times New Roman" w:cs="Times New Roman"/>
                <w:b/>
                <w:bCs/>
                <w:lang w:val="ro-RO"/>
              </w:rPr>
            </w:pPr>
            <w:r w:rsidRPr="009E686F">
              <w:rPr>
                <w:rFonts w:ascii="Times New Roman" w:hAnsi="Times New Roman" w:cs="Times New Roman"/>
                <w:b/>
                <w:bCs/>
                <w:lang w:val="ro-RO"/>
              </w:rPr>
              <w:t>Pct. 135-136 din Regulamentul privind cadrul de administrare a activităţii băncilor, aprobat prin HCE nr. 322  din  20.12.2018</w:t>
            </w:r>
          </w:p>
          <w:p w14:paraId="0E4CCBCF" w14:textId="77777777" w:rsidR="00984B34" w:rsidRPr="009E686F" w:rsidRDefault="00984B34" w:rsidP="00984B34">
            <w:pPr>
              <w:spacing w:after="0"/>
              <w:jc w:val="both"/>
              <w:rPr>
                <w:rFonts w:ascii="Times New Roman" w:hAnsi="Times New Roman" w:cs="Times New Roman"/>
                <w:bCs/>
                <w:lang w:val="ro-RO"/>
              </w:rPr>
            </w:pPr>
            <w:r w:rsidRPr="009E686F">
              <w:rPr>
                <w:rFonts w:ascii="Times New Roman" w:hAnsi="Times New Roman" w:cs="Times New Roman"/>
                <w:bCs/>
                <w:lang w:val="ro-RO"/>
              </w:rPr>
              <w:t>Pct. 135. Raportul de remuneraţie variabilă acordată în instrumente financiare, calculat ca coeficient între valoarea remuneraţiei variabile acordate în instrumente financiare şi suma remuneraţiei variabile acordate în mijloace băneşti poate fi cel mult 0,5. Toate sumele trebuie evaluate în momentul acordării.</w:t>
            </w:r>
          </w:p>
          <w:p w14:paraId="333386BD" w14:textId="77777777" w:rsidR="00984B34" w:rsidRPr="009E686F" w:rsidRDefault="00984B34" w:rsidP="00984B34">
            <w:pPr>
              <w:spacing w:after="0"/>
              <w:jc w:val="both"/>
              <w:rPr>
                <w:rFonts w:ascii="Times New Roman" w:hAnsi="Times New Roman" w:cs="Times New Roman"/>
                <w:bCs/>
                <w:lang w:val="ro-RO"/>
              </w:rPr>
            </w:pPr>
            <w:r w:rsidRPr="009E686F">
              <w:rPr>
                <w:rFonts w:ascii="Times New Roman" w:hAnsi="Times New Roman" w:cs="Times New Roman"/>
                <w:bCs/>
                <w:lang w:val="ro-RO"/>
              </w:rPr>
              <w:t>136. Remuneraţia variabilă formată din instrumente financiare trebuie să fie obiectul unei politici de conservare adecvate menite să alinieze stimulentele cu interesele băncii pe termen lung şi poate fi reprezentată de o combinaţie echilibrată între următoarele elemente:</w:t>
            </w:r>
          </w:p>
          <w:p w14:paraId="5AC4BF86" w14:textId="77777777" w:rsidR="00984B34" w:rsidRPr="009E686F" w:rsidRDefault="00984B34" w:rsidP="00984B34">
            <w:pPr>
              <w:spacing w:after="0"/>
              <w:jc w:val="both"/>
              <w:rPr>
                <w:rFonts w:ascii="Times New Roman" w:hAnsi="Times New Roman" w:cs="Times New Roman"/>
                <w:bCs/>
                <w:lang w:val="ro-RO"/>
              </w:rPr>
            </w:pPr>
            <w:r w:rsidRPr="009E686F">
              <w:rPr>
                <w:rFonts w:ascii="Times New Roman" w:hAnsi="Times New Roman" w:cs="Times New Roman"/>
                <w:bCs/>
                <w:lang w:val="ro-RO"/>
              </w:rPr>
              <w:t>1) acţiuni sau alte valori mobiliare echivalente acţiunilor;</w:t>
            </w:r>
          </w:p>
          <w:p w14:paraId="26F46406" w14:textId="48F460BB"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bCs/>
                <w:lang w:val="ro-RO"/>
              </w:rPr>
              <w:t xml:space="preserve">2) alte instrumente financiare în sensul pct.16 din Regulamentul cu privire la fondurile proprii ale băncilor şi cerinţele de capital, aprobat prin Hotărârea Comitetul executiv al Băncii Naţionale a Moldovei nr.109/2018 sau care pot fi complet convertite în instrumente de fonduri proprii de nivelul 1 de bază. </w:t>
            </w:r>
          </w:p>
        </w:tc>
        <w:tc>
          <w:tcPr>
            <w:tcW w:w="470" w:type="pct"/>
            <w:tcBorders>
              <w:top w:val="single" w:sz="4" w:space="0" w:color="auto"/>
              <w:left w:val="single" w:sz="4" w:space="0" w:color="auto"/>
              <w:bottom w:val="single" w:sz="4" w:space="0" w:color="auto"/>
              <w:right w:val="single" w:sz="4" w:space="0" w:color="auto"/>
            </w:tcBorders>
          </w:tcPr>
          <w:p w14:paraId="08ADF7A0" w14:textId="5D46FEE0"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15016681" w14:textId="77777777" w:rsidR="00984B34" w:rsidRPr="009E686F" w:rsidRDefault="00984B34" w:rsidP="00984B34">
            <w:pPr>
              <w:jc w:val="both"/>
              <w:rPr>
                <w:rFonts w:ascii="Times New Roman" w:hAnsi="Times New Roman" w:cs="Times New Roman"/>
                <w:lang w:val="ro-RO"/>
              </w:rPr>
            </w:pPr>
          </w:p>
        </w:tc>
      </w:tr>
      <w:tr w:rsidR="00984B34" w:rsidRPr="009E686F" w14:paraId="07B1D7E4"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103B4375" w14:textId="4CB3F662" w:rsidR="00984B34" w:rsidRPr="009E686F" w:rsidRDefault="00984B34" w:rsidP="00984B34">
            <w:pPr>
              <w:spacing w:after="0"/>
              <w:jc w:val="both"/>
              <w:rPr>
                <w:rFonts w:ascii="Times New Roman" w:hAnsi="Times New Roman" w:cs="Times New Roman"/>
                <w:b/>
                <w:bCs/>
                <w:lang w:val="ro-RO"/>
              </w:rPr>
            </w:pPr>
            <w:r w:rsidRPr="009E686F">
              <w:rPr>
                <w:rFonts w:ascii="Times New Roman" w:hAnsi="Times New Roman" w:cs="Times New Roman"/>
                <w:lang w:val="ro-RO"/>
              </w:rPr>
              <w:t xml:space="preserve">Statele membre sau autoritățile competente ale acestora pot impune restricții cu privire la tipul acestor instrumente și la caracteristicile lor sau pot interzice utilizarea anumitor instrumente, după caz. Acest principiu se aplică atât părții componentei de remunerație variabilă care este reportată în </w:t>
            </w:r>
            <w:r w:rsidRPr="009E686F">
              <w:rPr>
                <w:rFonts w:ascii="Times New Roman" w:hAnsi="Times New Roman" w:cs="Times New Roman"/>
                <w:lang w:val="ro-RO"/>
              </w:rPr>
              <w:lastRenderedPageBreak/>
              <w:t>conformitate cu litera (m), cât și părții componentei de remunerație variabilă care nu este reportată;</w:t>
            </w:r>
          </w:p>
        </w:tc>
        <w:tc>
          <w:tcPr>
            <w:tcW w:w="1928" w:type="pct"/>
            <w:gridSpan w:val="3"/>
            <w:tcBorders>
              <w:top w:val="single" w:sz="4" w:space="0" w:color="auto"/>
              <w:left w:val="single" w:sz="4" w:space="0" w:color="auto"/>
              <w:bottom w:val="single" w:sz="4" w:space="0" w:color="auto"/>
              <w:right w:val="single" w:sz="4" w:space="0" w:color="auto"/>
            </w:tcBorders>
          </w:tcPr>
          <w:p w14:paraId="7F1D7139" w14:textId="77777777" w:rsidR="00984B34" w:rsidRPr="009E686F" w:rsidRDefault="00984B34" w:rsidP="00984B34">
            <w:pPr>
              <w:spacing w:after="0"/>
              <w:jc w:val="both"/>
              <w:rPr>
                <w:rFonts w:ascii="Times New Roman" w:eastAsia="Times New Roman" w:hAnsi="Times New Roman" w:cs="Times New Roman"/>
                <w:b/>
                <w:lang w:val="ro-RO" w:eastAsia="ro-MD"/>
              </w:rPr>
            </w:pPr>
            <w:r w:rsidRPr="009E686F">
              <w:rPr>
                <w:rFonts w:ascii="Times New Roman" w:eastAsia="Times New Roman" w:hAnsi="Times New Roman" w:cs="Times New Roman"/>
                <w:b/>
                <w:lang w:val="ro-RO" w:eastAsia="ro-MD"/>
              </w:rPr>
              <w:lastRenderedPageBreak/>
              <w:t>Articolul 39 alin. (6)</w:t>
            </w:r>
          </w:p>
          <w:p w14:paraId="4C97A0C4" w14:textId="7E0774EC" w:rsidR="00984B34" w:rsidRPr="009E686F" w:rsidRDefault="00984B34" w:rsidP="00984B34">
            <w:pPr>
              <w:spacing w:after="0"/>
              <w:jc w:val="both"/>
              <w:rPr>
                <w:rFonts w:ascii="Times New Roman" w:hAnsi="Times New Roman" w:cs="Times New Roman"/>
                <w:i/>
                <w:iCs/>
                <w:lang w:val="ro-RO"/>
              </w:rPr>
            </w:pPr>
            <w:r w:rsidRPr="009E686F">
              <w:rPr>
                <w:rFonts w:ascii="Times New Roman" w:eastAsia="Times New Roman" w:hAnsi="Times New Roman" w:cs="Times New Roman"/>
                <w:lang w:val="ro-RO" w:eastAsia="ro-MD"/>
              </w:rPr>
              <w:t xml:space="preserve">(6) Banca Naţională a Moldovei poate impune restricţii cu privire la tipul şi caracteristicile instrumentelor de remunerare variabile sau poate interzice utilizarea unor astfel de instrumente în modul stabilit în actele normative emise în aplicarea prezentei legi. Restricţiile şi interzicerile respective se pot aplica atît părţii </w:t>
            </w:r>
            <w:r w:rsidRPr="009E686F">
              <w:rPr>
                <w:rFonts w:ascii="Times New Roman" w:eastAsia="Times New Roman" w:hAnsi="Times New Roman" w:cs="Times New Roman"/>
                <w:lang w:val="ro-RO" w:eastAsia="ro-MD"/>
              </w:rPr>
              <w:lastRenderedPageBreak/>
              <w:t xml:space="preserve">componente a remuneraţiei variabile care este </w:t>
            </w:r>
            <w:r w:rsidRPr="009E686F">
              <w:rPr>
                <w:rFonts w:ascii="Times New Roman" w:eastAsia="Times New Roman" w:hAnsi="Times New Roman" w:cs="Times New Roman"/>
                <w:i/>
                <w:lang w:val="ro-RO" w:eastAsia="ro-MD"/>
              </w:rPr>
              <w:t>amânată</w:t>
            </w:r>
            <w:r w:rsidRPr="009E686F">
              <w:rPr>
                <w:rFonts w:ascii="Times New Roman" w:eastAsia="Times New Roman" w:hAnsi="Times New Roman" w:cs="Times New Roman"/>
                <w:lang w:val="ro-RO" w:eastAsia="ro-MD"/>
              </w:rPr>
              <w:t xml:space="preserve">, cât şi părţii componente a acesteia care nu este </w:t>
            </w:r>
            <w:r w:rsidRPr="009E686F">
              <w:rPr>
                <w:rFonts w:ascii="Times New Roman" w:eastAsia="Times New Roman" w:hAnsi="Times New Roman" w:cs="Times New Roman"/>
                <w:i/>
                <w:lang w:val="ro-RO" w:eastAsia="ro-MD"/>
              </w:rPr>
              <w:t>amânată</w:t>
            </w:r>
            <w:r w:rsidRPr="009E686F">
              <w:rPr>
                <w:rFonts w:ascii="Times New Roman" w:eastAsia="Times New Roman" w:hAnsi="Times New Roman" w:cs="Times New Roman"/>
                <w:lang w:val="ro-RO" w:eastAsia="ro-MD"/>
              </w:rPr>
              <w:t>.</w:t>
            </w:r>
          </w:p>
        </w:tc>
        <w:tc>
          <w:tcPr>
            <w:tcW w:w="470" w:type="pct"/>
            <w:tcBorders>
              <w:top w:val="single" w:sz="4" w:space="0" w:color="auto"/>
              <w:left w:val="single" w:sz="4" w:space="0" w:color="auto"/>
              <w:bottom w:val="single" w:sz="4" w:space="0" w:color="auto"/>
              <w:right w:val="single" w:sz="4" w:space="0" w:color="auto"/>
            </w:tcBorders>
          </w:tcPr>
          <w:p w14:paraId="6FFF610F" w14:textId="1E390AFC"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333B5ED5" w14:textId="7FA784C4" w:rsidR="00984B34" w:rsidRPr="009E686F" w:rsidRDefault="00984B34" w:rsidP="00984B34">
            <w:pPr>
              <w:jc w:val="both"/>
              <w:rPr>
                <w:rFonts w:ascii="Times New Roman" w:hAnsi="Times New Roman" w:cs="Times New Roman"/>
                <w:lang w:val="ro-RO"/>
              </w:rPr>
            </w:pPr>
          </w:p>
        </w:tc>
      </w:tr>
      <w:tr w:rsidR="00984B34" w:rsidRPr="009E686F" w14:paraId="198B280C" w14:textId="660430B2" w:rsidTr="00774F3E">
        <w:tc>
          <w:tcPr>
            <w:tcW w:w="1796" w:type="pct"/>
            <w:gridSpan w:val="2"/>
            <w:tcBorders>
              <w:top w:val="single" w:sz="4" w:space="0" w:color="auto"/>
              <w:left w:val="single" w:sz="4" w:space="0" w:color="auto"/>
              <w:bottom w:val="single" w:sz="4" w:space="0" w:color="auto"/>
              <w:right w:val="single" w:sz="4" w:space="0" w:color="auto"/>
            </w:tcBorders>
          </w:tcPr>
          <w:p w14:paraId="0E42F413" w14:textId="4B4F9274"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(m) o parte substanțială, și în orice caz de cel puțin 40 %, din componenta de remunerație variabilă, este reportată pentru o perioadă de cel puțin trei până la cinci ani și este în concordanță cu natura activității, riscurile aferente acesteia și activitățile membrului personalului în cauză. Pentru membrii organului de conducere și ai conducerii superioare a instituțiilor care sunt semnificative din punctul de vedere al dimensiunii, al organizării interne și al naturii, amplorii și complexității activităților lor, perioada de amânare nu ar trebui să fie mai mică de cinci ani..</w:t>
            </w:r>
          </w:p>
          <w:p w14:paraId="399A3DB7" w14:textId="400581ED"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Remunerația datorată în cadrul unor acorduri de reportare nu se dobândește mai rapid decât pe o bază proporțională. Dacă valoarea unei componente a remunerației variabile este deosebit de mare, cel puțin 60 % din sumă este reportată. Durata perioadei de reportare este stabilită în conformitate cu ciclul de afaceri, natura activității, riscurile acesteia și activitățile membrului personalului în cauză;</w:t>
            </w:r>
          </w:p>
        </w:tc>
        <w:tc>
          <w:tcPr>
            <w:tcW w:w="1928" w:type="pct"/>
            <w:gridSpan w:val="3"/>
            <w:tcBorders>
              <w:top w:val="single" w:sz="4" w:space="0" w:color="auto"/>
              <w:left w:val="single" w:sz="4" w:space="0" w:color="auto"/>
              <w:bottom w:val="single" w:sz="4" w:space="0" w:color="auto"/>
              <w:right w:val="single" w:sz="4" w:space="0" w:color="auto"/>
            </w:tcBorders>
          </w:tcPr>
          <w:p w14:paraId="7B23A502" w14:textId="1EDE9195"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b/>
                <w:lang w:val="ro-RO"/>
              </w:rPr>
              <w:t>Articolul 39 alin. (2), lit. n)</w:t>
            </w:r>
          </w:p>
          <w:p w14:paraId="3A338AE1" w14:textId="46FC1881" w:rsidR="00984B34" w:rsidRPr="009E686F" w:rsidRDefault="00984B34" w:rsidP="00984B34">
            <w:pPr>
              <w:spacing w:after="0"/>
              <w:jc w:val="both"/>
              <w:rPr>
                <w:rFonts w:ascii="Times New Roman" w:hAnsi="Times New Roman" w:cs="Times New Roman"/>
                <w:i/>
                <w:lang w:val="ro-RO"/>
              </w:rPr>
            </w:pPr>
            <w:r w:rsidRPr="009E686F">
              <w:rPr>
                <w:rFonts w:ascii="Times New Roman" w:eastAsia="Times New Roman" w:hAnsi="Times New Roman" w:cs="Times New Roman"/>
                <w:i/>
                <w:lang w:val="ro-MD" w:eastAsia="ro-MD"/>
              </w:rPr>
              <w:t>n) o parte substanțială din componenta de remunerație variabilă trebuie să fie amânată</w:t>
            </w:r>
            <w:r w:rsidRPr="009E686F" w:rsidDel="00D168A1">
              <w:rPr>
                <w:rFonts w:ascii="Times New Roman" w:eastAsia="Times New Roman" w:hAnsi="Times New Roman" w:cs="Times New Roman"/>
                <w:i/>
                <w:lang w:val="ro-MD" w:eastAsia="ro-MD"/>
              </w:rPr>
              <w:t xml:space="preserve"> </w:t>
            </w:r>
            <w:r w:rsidRPr="009E686F">
              <w:rPr>
                <w:rFonts w:ascii="Times New Roman" w:eastAsia="Times New Roman" w:hAnsi="Times New Roman" w:cs="Times New Roman"/>
                <w:i/>
                <w:lang w:val="ro-MD" w:eastAsia="ro-MD"/>
              </w:rPr>
              <w:t>în condițiile prevăzute de actele normative ale Băncii Naţionale a Moldovei emise în aplicarea prezentei legi.</w:t>
            </w:r>
          </w:p>
          <w:p w14:paraId="0FF0C693" w14:textId="2E562FB3" w:rsidR="00984B34" w:rsidRPr="009E686F" w:rsidRDefault="00984B34" w:rsidP="00984B34">
            <w:pPr>
              <w:spacing w:after="0"/>
              <w:jc w:val="both"/>
              <w:rPr>
                <w:rFonts w:ascii="Times New Roman" w:hAnsi="Times New Roman" w:cs="Times New Roman"/>
                <w:bCs/>
                <w:lang w:val="ro-RO"/>
              </w:rPr>
            </w:pPr>
          </w:p>
        </w:tc>
        <w:tc>
          <w:tcPr>
            <w:tcW w:w="470" w:type="pct"/>
            <w:tcBorders>
              <w:top w:val="single" w:sz="4" w:space="0" w:color="auto"/>
              <w:left w:val="single" w:sz="4" w:space="0" w:color="auto"/>
              <w:bottom w:val="single" w:sz="4" w:space="0" w:color="auto"/>
              <w:right w:val="single" w:sz="4" w:space="0" w:color="auto"/>
            </w:tcBorders>
          </w:tcPr>
          <w:p w14:paraId="194F7D6B" w14:textId="0184BEA6"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Par</w:t>
            </w:r>
            <w:r w:rsidRPr="009E686F">
              <w:rPr>
                <w:rFonts w:ascii="Times New Roman" w:hAnsi="Times New Roman" w:cs="Times New Roman"/>
                <w:lang w:val="ro-MD"/>
              </w:rPr>
              <w:t xml:space="preserve">țial compatibil </w:t>
            </w:r>
          </w:p>
        </w:tc>
        <w:tc>
          <w:tcPr>
            <w:tcW w:w="806" w:type="pct"/>
            <w:tcBorders>
              <w:top w:val="single" w:sz="4" w:space="0" w:color="auto"/>
              <w:left w:val="single" w:sz="4" w:space="0" w:color="auto"/>
              <w:bottom w:val="single" w:sz="4" w:space="0" w:color="auto"/>
              <w:right w:val="single" w:sz="4" w:space="0" w:color="auto"/>
            </w:tcBorders>
          </w:tcPr>
          <w:p w14:paraId="574F2726" w14:textId="77777777" w:rsidR="004D200A" w:rsidRPr="009E686F" w:rsidRDefault="00984B34" w:rsidP="004D200A">
            <w:pPr>
              <w:jc w:val="both"/>
              <w:rPr>
                <w:rFonts w:ascii="Times New Roman" w:eastAsia="Times New Roman" w:hAnsi="Times New Roman" w:cs="Times New Roman"/>
                <w:bCs/>
                <w:lang w:val="it-CH" w:eastAsia="ru-RU"/>
              </w:rPr>
            </w:pPr>
            <w:r w:rsidRPr="009E686F">
              <w:rPr>
                <w:rFonts w:ascii="Times New Roman" w:hAnsi="Times New Roman" w:cs="Times New Roman"/>
                <w:lang w:val="ro-RO"/>
              </w:rPr>
              <w:t>Transpunerea totală se va asigura prin proiectul de modificare a Regulamentului nr. 322/2018</w:t>
            </w:r>
            <w:r w:rsidR="004D200A" w:rsidRPr="009E686F">
              <w:rPr>
                <w:rFonts w:ascii="Times New Roman" w:hAnsi="Times New Roman" w:cs="Times New Roman"/>
                <w:lang w:val="ro-RO"/>
              </w:rPr>
              <w:t xml:space="preserve"> (</w:t>
            </w:r>
            <w:r w:rsidR="004D200A" w:rsidRPr="009E686F">
              <w:rPr>
                <w:rFonts w:ascii="Times New Roman" w:eastAsia="Times New Roman" w:hAnsi="Times New Roman" w:cs="Times New Roman"/>
                <w:bCs/>
                <w:lang w:val="it-CH" w:eastAsia="ru-RU"/>
              </w:rPr>
              <w:t>acțiunea normativă nr. 2 din Anexa A din PNA 2025-2029 aferentă Capitolului 9 “Servicii financiare” în legătură cu transpunerea Directivei 2013/36/UE).</w:t>
            </w:r>
          </w:p>
          <w:p w14:paraId="625DED89" w14:textId="129DD358" w:rsidR="00984B34" w:rsidRPr="009E686F" w:rsidRDefault="00984B34" w:rsidP="00984B34">
            <w:pPr>
              <w:jc w:val="both"/>
              <w:rPr>
                <w:rFonts w:ascii="Times New Roman" w:hAnsi="Times New Roman" w:cs="Times New Roman"/>
                <w:lang w:val="it-CH"/>
              </w:rPr>
            </w:pPr>
          </w:p>
        </w:tc>
      </w:tr>
      <w:tr w:rsidR="00984B34" w:rsidRPr="009E686F" w14:paraId="5AECE35E" w14:textId="59724981" w:rsidTr="00626368">
        <w:trPr>
          <w:trHeight w:val="4467"/>
        </w:trPr>
        <w:tc>
          <w:tcPr>
            <w:tcW w:w="1796" w:type="pct"/>
            <w:gridSpan w:val="2"/>
            <w:tcBorders>
              <w:top w:val="single" w:sz="4" w:space="0" w:color="auto"/>
              <w:left w:val="single" w:sz="4" w:space="0" w:color="auto"/>
              <w:right w:val="single" w:sz="4" w:space="0" w:color="auto"/>
            </w:tcBorders>
          </w:tcPr>
          <w:p w14:paraId="27D2F71C"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lastRenderedPageBreak/>
              <w:t>(n) remunerația variabilă, inclusiv partea reportată, este plătită sau se dobândește numai dacă poate fi susținută în conformitate cu situația financiară a instituției în ansamblu și dacă se justifică pe baza performanței instituției, a unității de afaceri în care se desfășoară activitatea și a angajatului în cauză.</w:t>
            </w:r>
          </w:p>
          <w:p w14:paraId="3AF578D1" w14:textId="635EBB78"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Fără a aduce atingere principiilor generale de drept național al contractelor și al muncii, remunerația variabilă totală este, în general, redusă considerabil în cazul în care se înregistrează o performanță financiară redusă sau negativă a instituției, ținându-se seama atât de remunerația curentă, cât și de reducerile plăților aferente sumelor câștigate anterior, inclusiv prin acorduri de tip "malus" sau de tip "clawback".</w:t>
            </w:r>
          </w:p>
        </w:tc>
        <w:tc>
          <w:tcPr>
            <w:tcW w:w="1928" w:type="pct"/>
            <w:gridSpan w:val="3"/>
            <w:tcBorders>
              <w:top w:val="single" w:sz="4" w:space="0" w:color="auto"/>
              <w:left w:val="single" w:sz="4" w:space="0" w:color="auto"/>
              <w:right w:val="single" w:sz="4" w:space="0" w:color="auto"/>
            </w:tcBorders>
          </w:tcPr>
          <w:p w14:paraId="22D9A307" w14:textId="4A312954" w:rsidR="00984B34" w:rsidRPr="009E686F" w:rsidRDefault="00984B34" w:rsidP="00984B34">
            <w:pPr>
              <w:spacing w:after="0"/>
              <w:jc w:val="both"/>
              <w:rPr>
                <w:rFonts w:ascii="Times New Roman" w:hAnsi="Times New Roman" w:cs="Times New Roman"/>
                <w:bCs/>
                <w:lang w:val="ro-RO"/>
              </w:rPr>
            </w:pPr>
            <w:r w:rsidRPr="009E686F">
              <w:rPr>
                <w:rFonts w:ascii="Times New Roman" w:hAnsi="Times New Roman" w:cs="Times New Roman"/>
                <w:b/>
                <w:lang w:val="ro-RO"/>
              </w:rPr>
              <w:t>Articolul 39 alin. (2), lit. k)</w:t>
            </w:r>
          </w:p>
          <w:p w14:paraId="1532E4A5" w14:textId="7E0385B7" w:rsidR="00984B34" w:rsidRPr="009E686F" w:rsidRDefault="00984B34" w:rsidP="00984B34">
            <w:pPr>
              <w:spacing w:after="0"/>
              <w:jc w:val="both"/>
              <w:rPr>
                <w:rFonts w:ascii="Times New Roman" w:eastAsia="Times New Roman" w:hAnsi="Times New Roman" w:cs="Times New Roman"/>
                <w:lang w:val="ro-MD" w:eastAsia="ro-MD"/>
              </w:rPr>
            </w:pPr>
            <w:r w:rsidRPr="009E686F">
              <w:rPr>
                <w:rFonts w:ascii="Times New Roman" w:eastAsia="Times New Roman" w:hAnsi="Times New Roman" w:cs="Times New Roman"/>
                <w:lang w:val="ro-MD" w:eastAsia="ro-MD"/>
              </w:rPr>
              <w:t xml:space="preserve">k) membrilor personalului </w:t>
            </w:r>
            <w:r w:rsidR="00871125" w:rsidRPr="009E686F">
              <w:rPr>
                <w:rFonts w:ascii="Times New Roman" w:eastAsia="Times New Roman" w:hAnsi="Times New Roman" w:cs="Times New Roman"/>
                <w:i/>
                <w:iCs/>
                <w:lang w:val="ro-MD" w:eastAsia="ro-MD"/>
              </w:rPr>
              <w:t>identificat</w:t>
            </w:r>
            <w:r w:rsidR="00871125" w:rsidRPr="009E686F">
              <w:rPr>
                <w:rFonts w:ascii="Times New Roman" w:eastAsia="Times New Roman" w:hAnsi="Times New Roman" w:cs="Times New Roman"/>
                <w:lang w:val="ro-MD" w:eastAsia="ro-MD"/>
              </w:rPr>
              <w:t xml:space="preserve"> </w:t>
            </w:r>
            <w:r w:rsidRPr="009E686F">
              <w:rPr>
                <w:rFonts w:ascii="Times New Roman" w:eastAsia="Times New Roman" w:hAnsi="Times New Roman" w:cs="Times New Roman"/>
                <w:lang w:val="ro-MD" w:eastAsia="ro-MD"/>
              </w:rPr>
              <w:t xml:space="preserve">le este plătită remuneraţia variabilă, </w:t>
            </w:r>
            <w:r w:rsidRPr="009E686F">
              <w:rPr>
                <w:rFonts w:ascii="Times New Roman" w:eastAsia="Times New Roman" w:hAnsi="Times New Roman" w:cs="Times New Roman"/>
                <w:i/>
                <w:lang w:val="ro-MD" w:eastAsia="ro-MD"/>
              </w:rPr>
              <w:t>inclusiv partea remunerației amânată</w:t>
            </w:r>
            <w:r w:rsidRPr="009E686F">
              <w:rPr>
                <w:rFonts w:ascii="Times New Roman" w:eastAsia="Times New Roman" w:hAnsi="Times New Roman" w:cs="Times New Roman"/>
                <w:lang w:val="ro-MD" w:eastAsia="ro-MD"/>
              </w:rPr>
              <w:t xml:space="preserve"> sau aceştia intră în drepturile aferente remuneraţiei variabile doar dacă remuneraţia în cauză poate fi susţinută în conformitate cu situaţia financiară a </w:t>
            </w:r>
            <w:r w:rsidRPr="009E686F">
              <w:rPr>
                <w:rFonts w:ascii="Times New Roman" w:eastAsia="Times New Roman" w:hAnsi="Times New Roman" w:cs="Times New Roman"/>
                <w:i/>
                <w:iCs/>
                <w:lang w:val="ro-MD" w:eastAsia="ro-MD"/>
              </w:rPr>
              <w:t>instituției de credit</w:t>
            </w:r>
            <w:r w:rsidRPr="009E686F">
              <w:rPr>
                <w:rFonts w:ascii="Times New Roman" w:eastAsia="Times New Roman" w:hAnsi="Times New Roman" w:cs="Times New Roman"/>
                <w:lang w:val="ro-MD" w:eastAsia="ro-MD"/>
              </w:rPr>
              <w:t xml:space="preserve"> în ansamblu şi dacă poate fi justificată </w:t>
            </w:r>
            <w:r w:rsidRPr="009E686F">
              <w:rPr>
                <w:rFonts w:ascii="Times New Roman" w:eastAsia="Times New Roman" w:hAnsi="Times New Roman" w:cs="Times New Roman"/>
                <w:i/>
                <w:lang w:val="ro-MD" w:eastAsia="ro-MD"/>
              </w:rPr>
              <w:t>în baza</w:t>
            </w:r>
            <w:r w:rsidRPr="009E686F">
              <w:rPr>
                <w:rFonts w:ascii="Times New Roman" w:eastAsia="Times New Roman" w:hAnsi="Times New Roman" w:cs="Times New Roman"/>
                <w:lang w:val="ro-MD" w:eastAsia="ro-MD"/>
              </w:rPr>
              <w:t xml:space="preserve"> performanţei </w:t>
            </w:r>
            <w:r w:rsidRPr="009E686F">
              <w:rPr>
                <w:rFonts w:ascii="Times New Roman" w:eastAsia="Times New Roman" w:hAnsi="Times New Roman" w:cs="Times New Roman"/>
                <w:i/>
                <w:iCs/>
                <w:lang w:val="ro-MD" w:eastAsia="ro-MD"/>
              </w:rPr>
              <w:t>instituției de credit</w:t>
            </w:r>
            <w:r w:rsidRPr="009E686F">
              <w:rPr>
                <w:rFonts w:ascii="Times New Roman" w:eastAsia="Times New Roman" w:hAnsi="Times New Roman" w:cs="Times New Roman"/>
                <w:i/>
                <w:lang w:val="ro-MD" w:eastAsia="ro-MD"/>
              </w:rPr>
              <w:t xml:space="preserve">, a </w:t>
            </w:r>
            <w:r w:rsidRPr="009E686F">
              <w:rPr>
                <w:rFonts w:ascii="Times New Roman" w:eastAsia="Times New Roman" w:hAnsi="Times New Roman" w:cs="Times New Roman"/>
                <w:i/>
                <w:iCs/>
                <w:lang w:val="ro-MD" w:eastAsia="ro-MD"/>
              </w:rPr>
              <w:t>unității</w:t>
            </w:r>
            <w:r w:rsidRPr="009E686F">
              <w:rPr>
                <w:rFonts w:ascii="Times New Roman" w:eastAsia="Times New Roman" w:hAnsi="Times New Roman" w:cs="Times New Roman"/>
                <w:lang w:val="ro-MD" w:eastAsia="ro-MD"/>
              </w:rPr>
              <w:t xml:space="preserve"> în care se desfăşoară activitatea şi a </w:t>
            </w:r>
            <w:r w:rsidRPr="009E686F">
              <w:rPr>
                <w:rFonts w:ascii="Times New Roman" w:eastAsia="Times New Roman" w:hAnsi="Times New Roman" w:cs="Times New Roman"/>
                <w:i/>
                <w:lang w:val="ro-MD" w:eastAsia="ro-MD"/>
              </w:rPr>
              <w:t>salariatului</w:t>
            </w:r>
            <w:r w:rsidRPr="009E686F">
              <w:rPr>
                <w:rFonts w:ascii="Times New Roman" w:eastAsia="Times New Roman" w:hAnsi="Times New Roman" w:cs="Times New Roman"/>
                <w:lang w:val="ro-MD" w:eastAsia="ro-MD"/>
              </w:rPr>
              <w:t xml:space="preserve"> în cauză. </w:t>
            </w:r>
            <w:r w:rsidRPr="009E686F">
              <w:rPr>
                <w:rFonts w:ascii="Times New Roman" w:eastAsia="Times New Roman" w:hAnsi="Times New Roman" w:cs="Times New Roman"/>
                <w:i/>
                <w:lang w:val="ro-MD" w:eastAsia="ro-MD"/>
              </w:rPr>
              <w:t xml:space="preserve">În cazul în care situația financiară a </w:t>
            </w:r>
            <w:r w:rsidRPr="009E686F">
              <w:rPr>
                <w:rFonts w:ascii="Times New Roman" w:eastAsia="Times New Roman" w:hAnsi="Times New Roman" w:cs="Times New Roman"/>
                <w:i/>
                <w:iCs/>
                <w:lang w:val="ro-MD" w:eastAsia="ro-MD"/>
              </w:rPr>
              <w:t>instituției de credit</w:t>
            </w:r>
            <w:r w:rsidRPr="009E686F">
              <w:rPr>
                <w:rFonts w:ascii="Times New Roman" w:eastAsia="Times New Roman" w:hAnsi="Times New Roman" w:cs="Times New Roman"/>
                <w:i/>
                <w:lang w:val="ro-MD" w:eastAsia="ro-MD"/>
              </w:rPr>
              <w:t xml:space="preserve"> se deteriorează considerabil, </w:t>
            </w:r>
            <w:r w:rsidRPr="009E686F">
              <w:rPr>
                <w:rFonts w:ascii="Times New Roman" w:eastAsia="Times New Roman" w:hAnsi="Times New Roman" w:cs="Times New Roman"/>
                <w:i/>
                <w:iCs/>
                <w:lang w:val="ro-MD" w:eastAsia="ro-MD"/>
              </w:rPr>
              <w:t>instituția de credit</w:t>
            </w:r>
            <w:r w:rsidRPr="009E686F">
              <w:rPr>
                <w:rFonts w:ascii="Times New Roman" w:eastAsia="Times New Roman" w:hAnsi="Times New Roman" w:cs="Times New Roman"/>
                <w:i/>
                <w:lang w:val="ro-MD" w:eastAsia="ro-MD"/>
              </w:rPr>
              <w:t xml:space="preserve"> trebuie să reducă volumul remunerației variabile totale, ținând cont atât de remunerația curentă, cât și de reducerile plăților aferente sumelor câștigate anterior, inclusiv prin acorduri de tip „ malus ” sau de tip „clawback</w:t>
            </w:r>
            <w:r w:rsidRPr="009E686F">
              <w:rPr>
                <w:rFonts w:ascii="Times New Roman" w:eastAsia="Times New Roman" w:hAnsi="Times New Roman" w:cs="Times New Roman"/>
                <w:lang w:val="ro-MD" w:eastAsia="ro-MD"/>
              </w:rPr>
              <w:t> ”.</w:t>
            </w:r>
          </w:p>
        </w:tc>
        <w:tc>
          <w:tcPr>
            <w:tcW w:w="470" w:type="pct"/>
            <w:tcBorders>
              <w:top w:val="single" w:sz="4" w:space="0" w:color="auto"/>
              <w:left w:val="single" w:sz="4" w:space="0" w:color="auto"/>
              <w:right w:val="single" w:sz="4" w:space="0" w:color="auto"/>
            </w:tcBorders>
          </w:tcPr>
          <w:p w14:paraId="34A9F032" w14:textId="77777777"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p w14:paraId="5C7A4D1B" w14:textId="1EA2BE78"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right w:val="single" w:sz="4" w:space="0" w:color="auto"/>
            </w:tcBorders>
          </w:tcPr>
          <w:p w14:paraId="51F23DE0" w14:textId="77777777" w:rsidR="00984B34" w:rsidRPr="009E686F" w:rsidRDefault="00984B34" w:rsidP="00984B34">
            <w:pPr>
              <w:jc w:val="both"/>
              <w:rPr>
                <w:rFonts w:ascii="Times New Roman" w:hAnsi="Times New Roman" w:cs="Times New Roman"/>
                <w:lang w:val="ro-RO"/>
              </w:rPr>
            </w:pPr>
          </w:p>
        </w:tc>
      </w:tr>
      <w:tr w:rsidR="00984B34" w:rsidRPr="009E686F" w14:paraId="6AFD3C8E" w14:textId="1D4D85E1" w:rsidTr="00774F3E">
        <w:tc>
          <w:tcPr>
            <w:tcW w:w="1796" w:type="pct"/>
            <w:gridSpan w:val="2"/>
            <w:tcBorders>
              <w:top w:val="single" w:sz="4" w:space="0" w:color="auto"/>
              <w:left w:val="single" w:sz="4" w:space="0" w:color="auto"/>
              <w:bottom w:val="single" w:sz="4" w:space="0" w:color="auto"/>
              <w:right w:val="single" w:sz="4" w:space="0" w:color="auto"/>
            </w:tcBorders>
          </w:tcPr>
          <w:p w14:paraId="08736985"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Până la 100 % din remunerația totală variabilă face obiectul acordurilor de tip "malus" sau de tip "clawback". Instituțiile stabilesc criterii concrete pentru aplicarea acordurilor de tip "malus" sau de tip "clawback". Respectivele criterii se referă în special la situații în care membrii personalului:</w:t>
            </w:r>
          </w:p>
          <w:p w14:paraId="39E78C75" w14:textId="5F3611CC"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(i) au participat la o conduită care a avut ca rezultat pierderi semnificative pentru instituție sau au fost răspunzători de o astfel de conduită;</w:t>
            </w:r>
          </w:p>
          <w:p w14:paraId="75D9448E" w14:textId="38559D2F"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(ii) nu au îndeplinit standardele corespunzătoare de aptitudini și comportament adecvat;</w:t>
            </w:r>
          </w:p>
        </w:tc>
        <w:tc>
          <w:tcPr>
            <w:tcW w:w="1928" w:type="pct"/>
            <w:gridSpan w:val="3"/>
            <w:tcBorders>
              <w:top w:val="single" w:sz="4" w:space="0" w:color="auto"/>
              <w:left w:val="single" w:sz="4" w:space="0" w:color="auto"/>
              <w:bottom w:val="single" w:sz="4" w:space="0" w:color="auto"/>
              <w:right w:val="single" w:sz="4" w:space="0" w:color="auto"/>
            </w:tcBorders>
          </w:tcPr>
          <w:p w14:paraId="2F962933" w14:textId="417A6A08" w:rsidR="00984B34" w:rsidRPr="009E686F" w:rsidRDefault="00984B34" w:rsidP="00984B34">
            <w:pPr>
              <w:spacing w:after="0"/>
              <w:jc w:val="both"/>
              <w:rPr>
                <w:rFonts w:ascii="Times New Roman" w:hAnsi="Times New Roman" w:cs="Times New Roman"/>
                <w:bCs/>
                <w:lang w:val="ro-RO"/>
              </w:rPr>
            </w:pPr>
            <w:r w:rsidRPr="009E686F">
              <w:rPr>
                <w:rFonts w:ascii="Times New Roman" w:hAnsi="Times New Roman" w:cs="Times New Roman"/>
                <w:b/>
                <w:lang w:val="ro-RO"/>
              </w:rPr>
              <w:t>Articolul 39 alin. (2) lit. o)</w:t>
            </w:r>
          </w:p>
          <w:p w14:paraId="3812E4C8" w14:textId="770BC1BA" w:rsidR="00984B34" w:rsidRPr="009E686F" w:rsidRDefault="00984B34" w:rsidP="00984B34">
            <w:pPr>
              <w:spacing w:after="0"/>
              <w:jc w:val="both"/>
              <w:rPr>
                <w:rFonts w:ascii="Times New Roman" w:hAnsi="Times New Roman" w:cs="Times New Roman"/>
                <w:b/>
                <w:i/>
                <w:lang w:val="ro-MD"/>
              </w:rPr>
            </w:pPr>
            <w:r w:rsidRPr="009E686F">
              <w:rPr>
                <w:rFonts w:ascii="Times New Roman" w:eastAsia="Times New Roman" w:hAnsi="Times New Roman" w:cs="Times New Roman"/>
                <w:i/>
                <w:lang w:val="ro-MD" w:eastAsia="ro-MD"/>
              </w:rPr>
              <w:t xml:space="preserve">o)  până la 100% din remunerația variabilă totală face obiectul acordurilor de tip “malus” sau de tip „clawback”. </w:t>
            </w:r>
            <w:r w:rsidRPr="009E686F">
              <w:rPr>
                <w:rFonts w:ascii="Times New Roman" w:eastAsia="Times New Roman" w:hAnsi="Times New Roman" w:cs="Times New Roman"/>
                <w:i/>
                <w:iCs/>
                <w:lang w:val="ro-MD" w:eastAsia="ro-MD"/>
              </w:rPr>
              <w:t>Instituția de credit</w:t>
            </w:r>
            <w:r w:rsidRPr="009E686F">
              <w:rPr>
                <w:rFonts w:ascii="Times New Roman" w:eastAsia="Times New Roman" w:hAnsi="Times New Roman" w:cs="Times New Roman"/>
                <w:i/>
                <w:lang w:val="ro-MD" w:eastAsia="ro-MD"/>
              </w:rPr>
              <w:t xml:space="preserve"> stabilește criterii specifice în politica sa de remunerare pentru aplicarea acestor acorduri, care trebuie să acopere în special situațiile în care membrii personalului</w:t>
            </w:r>
            <w:r w:rsidR="00871125" w:rsidRPr="009E686F">
              <w:rPr>
                <w:rFonts w:ascii="Times New Roman" w:eastAsia="Times New Roman" w:hAnsi="Times New Roman" w:cs="Times New Roman"/>
                <w:i/>
                <w:lang w:val="ro-MD" w:eastAsia="ro-MD"/>
              </w:rPr>
              <w:t xml:space="preserve"> identificat</w:t>
            </w:r>
            <w:r w:rsidRPr="009E686F">
              <w:rPr>
                <w:rFonts w:ascii="Times New Roman" w:eastAsia="Times New Roman" w:hAnsi="Times New Roman" w:cs="Times New Roman"/>
                <w:i/>
                <w:lang w:val="ro-MD" w:eastAsia="ro-MD"/>
              </w:rPr>
              <w:t>:</w:t>
            </w:r>
            <w:r w:rsidRPr="009E686F">
              <w:rPr>
                <w:rFonts w:ascii="Times New Roman" w:eastAsia="Times New Roman" w:hAnsi="Times New Roman" w:cs="Times New Roman"/>
                <w:i/>
                <w:lang w:val="ro-MD" w:eastAsia="ro-MD"/>
              </w:rPr>
              <w:br/>
              <w:t xml:space="preserve">i) au participat la o conduită care a avut ca rezultat înregistrarea de pierderi semnificative pentru </w:t>
            </w:r>
            <w:r w:rsidRPr="009E686F">
              <w:rPr>
                <w:rFonts w:ascii="Times New Roman" w:eastAsia="Times New Roman" w:hAnsi="Times New Roman" w:cs="Times New Roman"/>
                <w:i/>
                <w:iCs/>
                <w:lang w:val="ro-MD" w:eastAsia="ro-MD"/>
              </w:rPr>
              <w:t>instituția de credit</w:t>
            </w:r>
            <w:r w:rsidRPr="009E686F">
              <w:rPr>
                <w:rFonts w:ascii="Times New Roman" w:eastAsia="Times New Roman" w:hAnsi="Times New Roman" w:cs="Times New Roman"/>
                <w:i/>
                <w:lang w:val="ro-MD" w:eastAsia="ro-MD"/>
              </w:rPr>
              <w:t xml:space="preserve">  sau au fost responsabili de o astfel de conduită;</w:t>
            </w:r>
            <w:r w:rsidRPr="009E686F">
              <w:rPr>
                <w:rFonts w:ascii="Times New Roman" w:eastAsia="Times New Roman" w:hAnsi="Times New Roman" w:cs="Times New Roman"/>
                <w:i/>
                <w:lang w:val="ro-MD" w:eastAsia="ro-MD"/>
              </w:rPr>
              <w:br/>
              <w:t>ii) nu a respectat standardele corespunzătoare de aptitudini și comportament adecvat.</w:t>
            </w:r>
          </w:p>
        </w:tc>
        <w:tc>
          <w:tcPr>
            <w:tcW w:w="470" w:type="pct"/>
            <w:tcBorders>
              <w:top w:val="single" w:sz="4" w:space="0" w:color="auto"/>
              <w:left w:val="single" w:sz="4" w:space="0" w:color="auto"/>
              <w:bottom w:val="single" w:sz="4" w:space="0" w:color="auto"/>
              <w:right w:val="single" w:sz="4" w:space="0" w:color="auto"/>
            </w:tcBorders>
          </w:tcPr>
          <w:p w14:paraId="78345E69" w14:textId="08198E9F"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p w14:paraId="47DFAD04" w14:textId="3307DAB9"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23AF18C0" w14:textId="6AA81E46" w:rsidR="00984B34" w:rsidRPr="009E686F" w:rsidRDefault="00984B34" w:rsidP="00984B34">
            <w:pPr>
              <w:jc w:val="both"/>
              <w:rPr>
                <w:rFonts w:ascii="Times New Roman" w:hAnsi="Times New Roman" w:cs="Times New Roman"/>
                <w:lang w:val="ro-RO"/>
              </w:rPr>
            </w:pPr>
          </w:p>
        </w:tc>
      </w:tr>
      <w:tr w:rsidR="00984B34" w:rsidRPr="009E686F" w14:paraId="34402DC8" w14:textId="2D967A2D" w:rsidTr="00774F3E">
        <w:tc>
          <w:tcPr>
            <w:tcW w:w="1796" w:type="pct"/>
            <w:gridSpan w:val="2"/>
            <w:tcBorders>
              <w:top w:val="single" w:sz="4" w:space="0" w:color="auto"/>
              <w:left w:val="single" w:sz="4" w:space="0" w:color="auto"/>
              <w:bottom w:val="single" w:sz="4" w:space="0" w:color="auto"/>
              <w:right w:val="single" w:sz="4" w:space="0" w:color="auto"/>
            </w:tcBorders>
          </w:tcPr>
          <w:p w14:paraId="79588C83" w14:textId="6CD65DA8"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(o) politica de pensii este aliniată la strategia de afaceri, obiectivele, valorile și interesele pe termen lung ale instituției.</w:t>
            </w:r>
          </w:p>
        </w:tc>
        <w:tc>
          <w:tcPr>
            <w:tcW w:w="1928" w:type="pct"/>
            <w:gridSpan w:val="3"/>
            <w:tcBorders>
              <w:top w:val="single" w:sz="4" w:space="0" w:color="auto"/>
              <w:left w:val="single" w:sz="4" w:space="0" w:color="auto"/>
              <w:bottom w:val="single" w:sz="4" w:space="0" w:color="auto"/>
              <w:right w:val="single" w:sz="4" w:space="0" w:color="auto"/>
            </w:tcBorders>
          </w:tcPr>
          <w:p w14:paraId="503996C6" w14:textId="724F05C5"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b/>
                <w:lang w:val="ro-RO"/>
              </w:rPr>
              <w:t>Articolul 39 alin. (2) lit. p)</w:t>
            </w:r>
          </w:p>
          <w:p w14:paraId="656F21B4" w14:textId="3F1AC1F9" w:rsidR="00984B34" w:rsidRPr="009E686F" w:rsidRDefault="00984B34" w:rsidP="00984B34">
            <w:pPr>
              <w:spacing w:after="0"/>
              <w:jc w:val="both"/>
              <w:rPr>
                <w:rFonts w:ascii="Times New Roman" w:hAnsi="Times New Roman" w:cs="Times New Roman"/>
                <w:i/>
                <w:lang w:val="ro-RO"/>
              </w:rPr>
            </w:pPr>
            <w:r w:rsidRPr="009E686F">
              <w:rPr>
                <w:rFonts w:ascii="Times New Roman" w:eastAsia="Times New Roman" w:hAnsi="Times New Roman" w:cs="Times New Roman"/>
                <w:i/>
                <w:lang w:val="ro-MD" w:eastAsia="ro-MD"/>
              </w:rPr>
              <w:t xml:space="preserve">p) politica de pensii este aliniată la strategia de afaceri, obiectivele, valorile și interesele pe termen lung ale </w:t>
            </w:r>
            <w:r w:rsidRPr="009E686F">
              <w:rPr>
                <w:rFonts w:ascii="Times New Roman" w:eastAsia="Times New Roman" w:hAnsi="Times New Roman" w:cs="Times New Roman"/>
                <w:i/>
                <w:iCs/>
                <w:lang w:val="ro-MD" w:eastAsia="ro-MD"/>
              </w:rPr>
              <w:t>instituției de credit</w:t>
            </w:r>
            <w:r w:rsidRPr="009E686F">
              <w:rPr>
                <w:rFonts w:ascii="Times New Roman" w:eastAsia="Times New Roman" w:hAnsi="Times New Roman" w:cs="Times New Roman"/>
                <w:i/>
                <w:lang w:val="ro-MD" w:eastAsia="ro-MD"/>
              </w:rPr>
              <w:t xml:space="preserve"> și trebuie să respecte condițiile pentru plata </w:t>
            </w:r>
            <w:r w:rsidRPr="009E686F">
              <w:rPr>
                <w:rFonts w:ascii="Times New Roman" w:eastAsia="Times New Roman" w:hAnsi="Times New Roman" w:cs="Times New Roman"/>
                <w:i/>
                <w:lang w:val="ro-MD" w:eastAsia="ro-MD"/>
              </w:rPr>
              <w:lastRenderedPageBreak/>
              <w:t>beneficiilor discreționare de tipul pensiilor prevăzute de actele normative ale Băncii naționale a Moldovei;</w:t>
            </w:r>
          </w:p>
        </w:tc>
        <w:tc>
          <w:tcPr>
            <w:tcW w:w="470" w:type="pct"/>
            <w:tcBorders>
              <w:top w:val="single" w:sz="4" w:space="0" w:color="auto"/>
              <w:left w:val="single" w:sz="4" w:space="0" w:color="auto"/>
              <w:bottom w:val="single" w:sz="4" w:space="0" w:color="auto"/>
              <w:right w:val="single" w:sz="4" w:space="0" w:color="auto"/>
            </w:tcBorders>
          </w:tcPr>
          <w:p w14:paraId="30FA92E9" w14:textId="77777777"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lastRenderedPageBreak/>
              <w:t>Compatibil</w:t>
            </w:r>
          </w:p>
          <w:p w14:paraId="736CE954" w14:textId="4FF061D7"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4EA0C1C3" w14:textId="581AD638" w:rsidR="00984B34" w:rsidRPr="009E686F" w:rsidRDefault="00984B34" w:rsidP="00984B34">
            <w:pPr>
              <w:jc w:val="both"/>
              <w:rPr>
                <w:rFonts w:ascii="Times New Roman" w:hAnsi="Times New Roman" w:cs="Times New Roman"/>
                <w:lang w:val="ro-RO"/>
              </w:rPr>
            </w:pPr>
          </w:p>
        </w:tc>
      </w:tr>
      <w:tr w:rsidR="00984B34" w:rsidRPr="009E686F" w14:paraId="17E0CBBE" w14:textId="41C952D1" w:rsidTr="00774F3E">
        <w:tc>
          <w:tcPr>
            <w:tcW w:w="1796" w:type="pct"/>
            <w:gridSpan w:val="2"/>
            <w:tcBorders>
              <w:top w:val="single" w:sz="4" w:space="0" w:color="auto"/>
              <w:left w:val="single" w:sz="4" w:space="0" w:color="auto"/>
              <w:bottom w:val="single" w:sz="4" w:space="0" w:color="auto"/>
              <w:right w:val="single" w:sz="4" w:space="0" w:color="auto"/>
            </w:tcBorders>
          </w:tcPr>
          <w:p w14:paraId="6B924A5E"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În cazul în care angajatul încetează, din proprie voință, raporturile contractuale cu instituția înainte de a se pensiona, beneficiile discreționare de tipul pensiilor se rețin de instituție timp de cinci ani sub forma instrumentelor menționate la litera (l). În cazul în care un angajat ajunge la vârsta de pensionare, beneficiile discreționare de tipul pensiilor sunt plătite angajatului în cauză sub forma instrumentelor menționate la litera (l), care sunt supuse unei perioade de reținere de cinci ani;</w:t>
            </w:r>
          </w:p>
        </w:tc>
        <w:tc>
          <w:tcPr>
            <w:tcW w:w="1928" w:type="pct"/>
            <w:gridSpan w:val="3"/>
            <w:tcBorders>
              <w:top w:val="single" w:sz="4" w:space="0" w:color="auto"/>
              <w:left w:val="single" w:sz="4" w:space="0" w:color="auto"/>
              <w:bottom w:val="single" w:sz="4" w:space="0" w:color="auto"/>
              <w:right w:val="single" w:sz="4" w:space="0" w:color="auto"/>
            </w:tcBorders>
          </w:tcPr>
          <w:p w14:paraId="24129945"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0765B6F7" w14:textId="0C61D117"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netranspuse</w:t>
            </w:r>
          </w:p>
          <w:p w14:paraId="788EC321" w14:textId="17F31678"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4405964A" w14:textId="306A28FA" w:rsidR="003B6D27" w:rsidRPr="009E686F" w:rsidRDefault="00984B34" w:rsidP="003B6D27">
            <w:pPr>
              <w:jc w:val="both"/>
              <w:rPr>
                <w:rFonts w:ascii="Times New Roman" w:eastAsia="Times New Roman" w:hAnsi="Times New Roman" w:cs="Times New Roman"/>
                <w:bCs/>
                <w:lang w:val="it-CH" w:eastAsia="ru-RU"/>
              </w:rPr>
            </w:pPr>
            <w:r w:rsidRPr="009E686F">
              <w:rPr>
                <w:rFonts w:ascii="Times New Roman" w:hAnsi="Times New Roman" w:cs="Times New Roman"/>
                <w:lang w:val="ro-RO"/>
              </w:rPr>
              <w:t>Transpunerea totală se va asigura prin proiectul de modificare a Regulamentului nr. 322/2018</w:t>
            </w:r>
            <w:r w:rsidR="003B6D27" w:rsidRPr="009E686F">
              <w:rPr>
                <w:rFonts w:ascii="Times New Roman" w:hAnsi="Times New Roman" w:cs="Times New Roman"/>
                <w:lang w:val="ro-RO"/>
              </w:rPr>
              <w:t xml:space="preserve"> (</w:t>
            </w:r>
            <w:r w:rsidR="003B6D27" w:rsidRPr="009E686F">
              <w:rPr>
                <w:rFonts w:ascii="Times New Roman" w:eastAsia="Times New Roman" w:hAnsi="Times New Roman" w:cs="Times New Roman"/>
                <w:bCs/>
                <w:lang w:val="it-CH" w:eastAsia="ru-RU"/>
              </w:rPr>
              <w:t>acțiunea normativă nr. 2 din Anexa A din PNA 2025-2029 aferentă Capitolului 9 “Servicii financiare” în legătură cu transpunerea Directivei 2013/36/UE).</w:t>
            </w:r>
          </w:p>
          <w:p w14:paraId="20B6448F" w14:textId="256361D6" w:rsidR="00984B34" w:rsidRPr="009E686F" w:rsidRDefault="00984B34" w:rsidP="00984B34">
            <w:pPr>
              <w:jc w:val="both"/>
              <w:rPr>
                <w:rFonts w:ascii="Times New Roman" w:hAnsi="Times New Roman" w:cs="Times New Roman"/>
                <w:lang w:val="it-CH"/>
              </w:rPr>
            </w:pPr>
          </w:p>
        </w:tc>
      </w:tr>
      <w:tr w:rsidR="00984B34" w:rsidRPr="009E686F" w14:paraId="57DB4630" w14:textId="015B2483" w:rsidTr="00774F3E">
        <w:tc>
          <w:tcPr>
            <w:tcW w:w="1796" w:type="pct"/>
            <w:gridSpan w:val="2"/>
            <w:tcBorders>
              <w:top w:val="single" w:sz="4" w:space="0" w:color="auto"/>
              <w:left w:val="single" w:sz="4" w:space="0" w:color="auto"/>
              <w:bottom w:val="single" w:sz="4" w:space="0" w:color="auto"/>
              <w:right w:val="single" w:sz="4" w:space="0" w:color="auto"/>
            </w:tcBorders>
          </w:tcPr>
          <w:p w14:paraId="3FC7A180" w14:textId="39A5FCFB"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(p) membrilor personalului li se cere să se angajeze să nu utilizeze strategii personale de acoperire împotriva riscurilor (hedging) sau asigurare legată de remunerație și de răspundere pentru a submina efectele de aliniere la riscurile încorporate în acordurile lor de remunerare;</w:t>
            </w:r>
          </w:p>
        </w:tc>
        <w:tc>
          <w:tcPr>
            <w:tcW w:w="1928" w:type="pct"/>
            <w:gridSpan w:val="3"/>
            <w:tcBorders>
              <w:top w:val="single" w:sz="4" w:space="0" w:color="auto"/>
              <w:left w:val="single" w:sz="4" w:space="0" w:color="auto"/>
              <w:bottom w:val="single" w:sz="4" w:space="0" w:color="auto"/>
              <w:right w:val="single" w:sz="4" w:space="0" w:color="auto"/>
            </w:tcBorders>
          </w:tcPr>
          <w:p w14:paraId="1603E614" w14:textId="679AF054" w:rsidR="00984B34" w:rsidRPr="009E686F" w:rsidRDefault="00984B34" w:rsidP="00984B34">
            <w:pPr>
              <w:spacing w:after="0"/>
              <w:jc w:val="both"/>
              <w:rPr>
                <w:rFonts w:ascii="Times New Roman" w:hAnsi="Times New Roman" w:cs="Times New Roman"/>
                <w:bCs/>
                <w:lang w:val="ro-RO"/>
              </w:rPr>
            </w:pPr>
            <w:r w:rsidRPr="009E686F">
              <w:rPr>
                <w:rFonts w:ascii="Times New Roman" w:hAnsi="Times New Roman" w:cs="Times New Roman"/>
                <w:b/>
                <w:lang w:val="ro-RO"/>
              </w:rPr>
              <w:t>Articolul 39 alin. (2) lit. l)</w:t>
            </w:r>
          </w:p>
          <w:p w14:paraId="4B143173" w14:textId="550DDB1B" w:rsidR="00984B34" w:rsidRPr="009E686F" w:rsidRDefault="00984B34" w:rsidP="00984B34">
            <w:pPr>
              <w:spacing w:after="0"/>
              <w:jc w:val="both"/>
              <w:rPr>
                <w:rFonts w:ascii="Times New Roman" w:eastAsia="Times New Roman" w:hAnsi="Times New Roman" w:cs="Times New Roman"/>
                <w:lang w:val="ro-MD" w:eastAsia="ro-MD"/>
              </w:rPr>
            </w:pPr>
            <w:r w:rsidRPr="009E686F">
              <w:rPr>
                <w:rFonts w:ascii="Times New Roman" w:eastAsia="Times New Roman" w:hAnsi="Times New Roman" w:cs="Times New Roman"/>
                <w:lang w:val="ro-MD" w:eastAsia="ro-MD"/>
              </w:rPr>
              <w:t xml:space="preserve">l) </w:t>
            </w:r>
            <w:r w:rsidRPr="009E686F">
              <w:rPr>
                <w:rFonts w:ascii="Times New Roman" w:eastAsia="Times New Roman" w:hAnsi="Times New Roman" w:cs="Times New Roman"/>
                <w:i/>
                <w:lang w:val="ro-MD" w:eastAsia="ro-MD"/>
              </w:rPr>
              <w:t>membrii personalulului</w:t>
            </w:r>
            <w:r w:rsidRPr="009E686F">
              <w:rPr>
                <w:rFonts w:ascii="Times New Roman" w:eastAsia="Times New Roman" w:hAnsi="Times New Roman" w:cs="Times New Roman"/>
                <w:lang w:val="ro-MD" w:eastAsia="ro-MD"/>
              </w:rPr>
              <w:t xml:space="preserve"> </w:t>
            </w:r>
            <w:r w:rsidR="00871125" w:rsidRPr="009E686F">
              <w:rPr>
                <w:rFonts w:ascii="Times New Roman" w:eastAsia="Times New Roman" w:hAnsi="Times New Roman" w:cs="Times New Roman"/>
                <w:i/>
                <w:iCs/>
                <w:lang w:val="ro-MD" w:eastAsia="ro-MD"/>
              </w:rPr>
              <w:t xml:space="preserve">identificat </w:t>
            </w:r>
            <w:r w:rsidRPr="009E686F">
              <w:rPr>
                <w:rFonts w:ascii="Times New Roman" w:eastAsia="Times New Roman" w:hAnsi="Times New Roman" w:cs="Times New Roman"/>
                <w:lang w:val="ro-MD" w:eastAsia="ro-MD"/>
              </w:rPr>
              <w:t>se obligă să nu utilizeze strategii personale de acoperire împotriva riscurilor sau poliţe de asigurare legate de remuneraţie şi de răspundere pentru a contracara efectele de aliniere la risc prevăzute în contractele lor de muncă;</w:t>
            </w:r>
          </w:p>
        </w:tc>
        <w:tc>
          <w:tcPr>
            <w:tcW w:w="470" w:type="pct"/>
            <w:tcBorders>
              <w:top w:val="single" w:sz="4" w:space="0" w:color="auto"/>
              <w:left w:val="single" w:sz="4" w:space="0" w:color="auto"/>
              <w:bottom w:val="single" w:sz="4" w:space="0" w:color="auto"/>
              <w:right w:val="single" w:sz="4" w:space="0" w:color="auto"/>
            </w:tcBorders>
          </w:tcPr>
          <w:p w14:paraId="60B9ED8E" w14:textId="56BDC278"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 xml:space="preserve">Compatibil </w:t>
            </w:r>
          </w:p>
        </w:tc>
        <w:tc>
          <w:tcPr>
            <w:tcW w:w="806" w:type="pct"/>
            <w:tcBorders>
              <w:top w:val="single" w:sz="4" w:space="0" w:color="auto"/>
              <w:left w:val="single" w:sz="4" w:space="0" w:color="auto"/>
              <w:bottom w:val="single" w:sz="4" w:space="0" w:color="auto"/>
              <w:right w:val="single" w:sz="4" w:space="0" w:color="auto"/>
            </w:tcBorders>
          </w:tcPr>
          <w:p w14:paraId="05AF6622" w14:textId="77777777" w:rsidR="00984B34" w:rsidRPr="009E686F" w:rsidRDefault="00984B34" w:rsidP="00984B34">
            <w:pPr>
              <w:jc w:val="both"/>
              <w:rPr>
                <w:rFonts w:ascii="Times New Roman" w:hAnsi="Times New Roman" w:cs="Times New Roman"/>
                <w:lang w:val="ro-RO"/>
              </w:rPr>
            </w:pPr>
          </w:p>
        </w:tc>
      </w:tr>
      <w:tr w:rsidR="00984B34" w:rsidRPr="009E686F" w14:paraId="120F2525" w14:textId="797298A1" w:rsidTr="00774F3E">
        <w:tc>
          <w:tcPr>
            <w:tcW w:w="1796" w:type="pct"/>
            <w:gridSpan w:val="2"/>
            <w:tcBorders>
              <w:top w:val="single" w:sz="4" w:space="0" w:color="auto"/>
              <w:left w:val="single" w:sz="4" w:space="0" w:color="auto"/>
              <w:bottom w:val="single" w:sz="4" w:space="0" w:color="auto"/>
              <w:right w:val="single" w:sz="4" w:space="0" w:color="auto"/>
            </w:tcBorders>
          </w:tcPr>
          <w:p w14:paraId="0499D64B" w14:textId="4EFE228A"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(q) remunerația variabilă nu este plătită prin mecanisme sau metode care favorizează nerespectarea prezentei directive sau a Regulamentului (UE) nr. 575/2013.</w:t>
            </w:r>
          </w:p>
        </w:tc>
        <w:tc>
          <w:tcPr>
            <w:tcW w:w="1928" w:type="pct"/>
            <w:gridSpan w:val="3"/>
            <w:tcBorders>
              <w:top w:val="single" w:sz="4" w:space="0" w:color="auto"/>
              <w:left w:val="single" w:sz="4" w:space="0" w:color="auto"/>
              <w:bottom w:val="single" w:sz="4" w:space="0" w:color="auto"/>
              <w:right w:val="single" w:sz="4" w:space="0" w:color="auto"/>
            </w:tcBorders>
          </w:tcPr>
          <w:p w14:paraId="445260FE" w14:textId="351DDE3E" w:rsidR="00984B34" w:rsidRPr="009E686F" w:rsidRDefault="00984B34" w:rsidP="00984B34">
            <w:pPr>
              <w:spacing w:after="0"/>
              <w:jc w:val="both"/>
              <w:rPr>
                <w:rFonts w:ascii="Times New Roman" w:hAnsi="Times New Roman" w:cs="Times New Roman"/>
                <w:bCs/>
                <w:lang w:val="ro-RO"/>
              </w:rPr>
            </w:pPr>
            <w:r w:rsidRPr="009E686F">
              <w:rPr>
                <w:rFonts w:ascii="Times New Roman" w:hAnsi="Times New Roman" w:cs="Times New Roman"/>
                <w:b/>
                <w:lang w:val="ro-RO"/>
              </w:rPr>
              <w:t>Articolul 39 alin.  (2) lit. m)</w:t>
            </w:r>
          </w:p>
          <w:p w14:paraId="5B94F19E" w14:textId="530BB466" w:rsidR="00984B34" w:rsidRPr="009E686F" w:rsidRDefault="00984B34" w:rsidP="00984B34">
            <w:pPr>
              <w:spacing w:after="0"/>
              <w:jc w:val="both"/>
              <w:rPr>
                <w:rFonts w:ascii="Times New Roman" w:eastAsia="Times New Roman" w:hAnsi="Times New Roman" w:cs="Times New Roman"/>
                <w:lang w:val="ro-MD" w:eastAsia="ro-MD"/>
              </w:rPr>
            </w:pPr>
            <w:r w:rsidRPr="009E686F">
              <w:rPr>
                <w:rFonts w:ascii="Times New Roman" w:eastAsia="Times New Roman" w:hAnsi="Times New Roman" w:cs="Times New Roman"/>
                <w:lang w:val="ro-MD" w:eastAsia="ro-MD"/>
              </w:rPr>
              <w:t>m) remuneraţia variabilă nu este plătită prin mijloace sau metode care facilitează nerespectarea cerinţelor prevăzute de prezenta lege şi de actele normative emise în aplicarea acesteia.</w:t>
            </w:r>
          </w:p>
        </w:tc>
        <w:tc>
          <w:tcPr>
            <w:tcW w:w="470" w:type="pct"/>
            <w:tcBorders>
              <w:top w:val="single" w:sz="4" w:space="0" w:color="auto"/>
              <w:left w:val="single" w:sz="4" w:space="0" w:color="auto"/>
              <w:bottom w:val="single" w:sz="4" w:space="0" w:color="auto"/>
              <w:right w:val="single" w:sz="4" w:space="0" w:color="auto"/>
            </w:tcBorders>
          </w:tcPr>
          <w:p w14:paraId="7C062039" w14:textId="26C329D4"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 xml:space="preserve">Compatibil </w:t>
            </w:r>
          </w:p>
        </w:tc>
        <w:tc>
          <w:tcPr>
            <w:tcW w:w="806" w:type="pct"/>
            <w:tcBorders>
              <w:top w:val="single" w:sz="4" w:space="0" w:color="auto"/>
              <w:left w:val="single" w:sz="4" w:space="0" w:color="auto"/>
              <w:bottom w:val="single" w:sz="4" w:space="0" w:color="auto"/>
              <w:right w:val="single" w:sz="4" w:space="0" w:color="auto"/>
            </w:tcBorders>
          </w:tcPr>
          <w:p w14:paraId="21A84443" w14:textId="77777777" w:rsidR="00984B34" w:rsidRPr="009E686F" w:rsidRDefault="00984B34" w:rsidP="00984B34">
            <w:pPr>
              <w:jc w:val="both"/>
              <w:rPr>
                <w:rFonts w:ascii="Times New Roman" w:hAnsi="Times New Roman" w:cs="Times New Roman"/>
                <w:lang w:val="ro-RO"/>
              </w:rPr>
            </w:pPr>
          </w:p>
        </w:tc>
      </w:tr>
      <w:tr w:rsidR="00984B34" w:rsidRPr="009E686F" w14:paraId="7FDEA309"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700DDEC0"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(2) ABE elaborează proiecte de standarde tehnice de reglementare pentru specificarea claselor de instrumente care îndeplinesc condițiile prevăzute la alineatul (1) litera (l) punctul (ii). </w:t>
            </w:r>
          </w:p>
          <w:p w14:paraId="4E495EFA"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ABE înaintează Comisiei aceste proiecte de standarde tehnice de reglementare până la 31 martie 2014.</w:t>
            </w:r>
          </w:p>
          <w:p w14:paraId="601FFD89" w14:textId="059C0A72"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lastRenderedPageBreak/>
              <w:t>În scopul identificării personalului ale cărui activități profesionale au un impact semnificativ asupra profilului de risc al instituției astfel cum se menționează la articolul 92 alineatul (3), cu excepția personalului din firmele de investiții, ABE elaborează proiecte de standarde tehnice de reglementare care stabilesc criteriile pentru a defini următoarele:</w:t>
            </w:r>
          </w:p>
          <w:p w14:paraId="27B112CE" w14:textId="54A54E11"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(a) responsabilități de conducere și funcții de control intern;</w:t>
            </w:r>
          </w:p>
          <w:p w14:paraId="534F021F" w14:textId="5EABD25E"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(b) unitate operațională importantă și impact semnificativ asupra profilului de risc al unității operaționale în cauză; și</w:t>
            </w:r>
          </w:p>
          <w:p w14:paraId="2FD8BB3D"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(c) alte categorii de personal, care nu sunt menționate în mod expres la articolul 92 alineatul (3), ale căror activități profesionale exercită asupra profilului de risc al instituției un impact la fel de semnificativ ca cel al categoriilor de personal menționate la articolul 92 alineatul (3).</w:t>
            </w:r>
          </w:p>
          <w:p w14:paraId="46569E0B" w14:textId="2893E6A2"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ABE transmite Comisiei proiectele respective de standarde tehnice de reglementare până la 28 decembrie 2019.</w:t>
            </w:r>
          </w:p>
        </w:tc>
        <w:tc>
          <w:tcPr>
            <w:tcW w:w="1928" w:type="pct"/>
            <w:gridSpan w:val="3"/>
            <w:tcBorders>
              <w:top w:val="single" w:sz="4" w:space="0" w:color="auto"/>
              <w:left w:val="single" w:sz="4" w:space="0" w:color="auto"/>
              <w:bottom w:val="single" w:sz="4" w:space="0" w:color="auto"/>
              <w:right w:val="single" w:sz="4" w:space="0" w:color="auto"/>
            </w:tcBorders>
          </w:tcPr>
          <w:p w14:paraId="5CDC7242" w14:textId="77777777" w:rsidR="00984B34" w:rsidRPr="009E686F" w:rsidRDefault="00984B34" w:rsidP="00984B34">
            <w:pPr>
              <w:spacing w:after="0"/>
              <w:jc w:val="both"/>
              <w:rPr>
                <w:rFonts w:ascii="Times New Roman" w:hAnsi="Times New Roman" w:cs="Times New Roman"/>
                <w:b/>
                <w:lang w:val="ro-RO"/>
              </w:rPr>
            </w:pPr>
          </w:p>
          <w:p w14:paraId="0A744653" w14:textId="77777777" w:rsidR="00DF1399" w:rsidRPr="009E686F" w:rsidRDefault="00DF1399" w:rsidP="00984B34">
            <w:pPr>
              <w:spacing w:after="0"/>
              <w:jc w:val="both"/>
              <w:rPr>
                <w:rFonts w:ascii="Times New Roman" w:hAnsi="Times New Roman" w:cs="Times New Roman"/>
                <w:b/>
                <w:lang w:val="ro-RO"/>
              </w:rPr>
            </w:pPr>
          </w:p>
          <w:p w14:paraId="761857A8" w14:textId="77777777" w:rsidR="00DF1399" w:rsidRPr="009E686F" w:rsidRDefault="00DF1399" w:rsidP="00984B34">
            <w:pPr>
              <w:spacing w:after="0"/>
              <w:jc w:val="both"/>
              <w:rPr>
                <w:rFonts w:ascii="Times New Roman" w:hAnsi="Times New Roman" w:cs="Times New Roman"/>
                <w:b/>
                <w:lang w:val="ro-RO"/>
              </w:rPr>
            </w:pPr>
          </w:p>
          <w:p w14:paraId="3B950795" w14:textId="77777777" w:rsidR="00DF1399" w:rsidRPr="009E686F" w:rsidRDefault="00DF1399" w:rsidP="00984B34">
            <w:pPr>
              <w:spacing w:after="0"/>
              <w:jc w:val="both"/>
              <w:rPr>
                <w:rFonts w:ascii="Times New Roman" w:hAnsi="Times New Roman" w:cs="Times New Roman"/>
                <w:b/>
                <w:lang w:val="ro-RO"/>
              </w:rPr>
            </w:pPr>
          </w:p>
          <w:p w14:paraId="5F50A569" w14:textId="77777777" w:rsidR="00DF1399" w:rsidRPr="009E686F" w:rsidRDefault="00DF1399" w:rsidP="00DF1399">
            <w:pPr>
              <w:spacing w:after="0" w:line="276" w:lineRule="auto"/>
              <w:jc w:val="both"/>
              <w:rPr>
                <w:rFonts w:ascii="Times New Roman" w:eastAsia="Times New Roman" w:hAnsi="Times New Roman" w:cs="Times New Roman"/>
                <w:b/>
                <w:bCs/>
                <w:i/>
                <w:iCs/>
                <w:lang w:val="ro-RO" w:eastAsia="ro-MD"/>
              </w:rPr>
            </w:pPr>
            <w:r w:rsidRPr="009E686F">
              <w:rPr>
                <w:rFonts w:ascii="Times New Roman" w:eastAsia="Times New Roman" w:hAnsi="Times New Roman" w:cs="Times New Roman"/>
                <w:b/>
                <w:bCs/>
                <w:i/>
                <w:iCs/>
                <w:lang w:val="ro-RO" w:eastAsia="ro-MD"/>
              </w:rPr>
              <w:t xml:space="preserve">Articolul 39 alin. </w:t>
            </w:r>
            <w:r w:rsidRPr="009E686F">
              <w:rPr>
                <w:rFonts w:ascii="Times New Roman" w:eastAsia="Times New Roman" w:hAnsi="Times New Roman" w:cs="Times New Roman"/>
                <w:i/>
                <w:iCs/>
                <w:lang w:val="it-CH" w:eastAsia="ro-MD"/>
              </w:rPr>
              <w:t>(</w:t>
            </w:r>
            <w:r w:rsidRPr="009E686F">
              <w:rPr>
                <w:rFonts w:ascii="Times New Roman" w:eastAsia="Times New Roman" w:hAnsi="Times New Roman" w:cs="Times New Roman"/>
                <w:b/>
                <w:bCs/>
                <w:i/>
                <w:iCs/>
                <w:lang w:val="it-CH" w:eastAsia="ro-MD"/>
              </w:rPr>
              <w:t>1</w:t>
            </w:r>
            <w:r w:rsidRPr="009E686F">
              <w:rPr>
                <w:rFonts w:ascii="Times New Roman" w:eastAsia="Times New Roman" w:hAnsi="Times New Roman" w:cs="Times New Roman"/>
                <w:b/>
                <w:bCs/>
                <w:i/>
                <w:iCs/>
                <w:vertAlign w:val="superscript"/>
                <w:lang w:val="it-CH" w:eastAsia="ro-MD"/>
              </w:rPr>
              <w:t>2</w:t>
            </w:r>
            <w:r w:rsidRPr="009E686F">
              <w:rPr>
                <w:rFonts w:ascii="Times New Roman" w:eastAsia="Times New Roman" w:hAnsi="Times New Roman" w:cs="Times New Roman"/>
                <w:b/>
                <w:bCs/>
                <w:i/>
                <w:iCs/>
                <w:lang w:val="it-CH" w:eastAsia="ro-MD"/>
              </w:rPr>
              <w:t>)</w:t>
            </w:r>
          </w:p>
          <w:p w14:paraId="258B6D90" w14:textId="33E69585" w:rsidR="00DF1399" w:rsidRPr="009E686F" w:rsidRDefault="00DF1399" w:rsidP="00DF1399">
            <w:pPr>
              <w:spacing w:after="0"/>
              <w:jc w:val="both"/>
              <w:rPr>
                <w:rFonts w:ascii="Times New Roman" w:hAnsi="Times New Roman" w:cs="Times New Roman"/>
                <w:b/>
                <w:lang w:val="ro-RO"/>
              </w:rPr>
            </w:pPr>
            <w:r w:rsidRPr="009E686F">
              <w:rPr>
                <w:rFonts w:ascii="Times New Roman" w:eastAsia="Times New Roman" w:hAnsi="Times New Roman" w:cs="Times New Roman"/>
                <w:i/>
                <w:iCs/>
                <w:lang w:val="it-CH" w:eastAsia="ro-MD"/>
              </w:rPr>
              <w:lastRenderedPageBreak/>
              <w:t>(1</w:t>
            </w:r>
            <w:r w:rsidRPr="009E686F">
              <w:rPr>
                <w:rFonts w:ascii="Times New Roman" w:eastAsia="Times New Roman" w:hAnsi="Times New Roman" w:cs="Times New Roman"/>
                <w:i/>
                <w:iCs/>
                <w:vertAlign w:val="superscript"/>
                <w:lang w:val="it-CH" w:eastAsia="ro-MD"/>
              </w:rPr>
              <w:t>2</w:t>
            </w:r>
            <w:r w:rsidRPr="009E686F">
              <w:rPr>
                <w:rFonts w:ascii="Times New Roman" w:eastAsia="Times New Roman" w:hAnsi="Times New Roman" w:cs="Times New Roman"/>
                <w:i/>
                <w:iCs/>
                <w:lang w:val="it-CH" w:eastAsia="ro-MD"/>
              </w:rPr>
              <w:t>) Banca Națională a Moldovei stabilește în actele sale normative criteriile de identificare a membrilor personalului identificat și altor categorii de personal ale căror activități profesionale exercită asupra profilului de risc al instituției de credit un impact la fel de semnificativ ca cel al persoanelor prevăzute la alin. (1</w:t>
            </w:r>
            <w:r w:rsidRPr="009E686F">
              <w:rPr>
                <w:rFonts w:ascii="Times New Roman" w:eastAsia="Times New Roman" w:hAnsi="Times New Roman" w:cs="Times New Roman"/>
                <w:i/>
                <w:iCs/>
                <w:vertAlign w:val="superscript"/>
                <w:lang w:val="it-CH" w:eastAsia="ro-MD"/>
              </w:rPr>
              <w:t>1</w:t>
            </w:r>
            <w:r w:rsidRPr="009E686F">
              <w:rPr>
                <w:rFonts w:ascii="Times New Roman" w:eastAsia="Times New Roman" w:hAnsi="Times New Roman" w:cs="Times New Roman"/>
                <w:i/>
                <w:iCs/>
                <w:lang w:val="it-CH" w:eastAsia="ro-MD"/>
              </w:rPr>
              <w:t>), condițiile pentru aplicarea acestor criterii, inclusiv cazurile în care este necesară aprobarea prealabilă a Băncii Naționale a Moldovei.</w:t>
            </w:r>
          </w:p>
        </w:tc>
        <w:tc>
          <w:tcPr>
            <w:tcW w:w="470" w:type="pct"/>
            <w:tcBorders>
              <w:top w:val="single" w:sz="4" w:space="0" w:color="auto"/>
              <w:left w:val="single" w:sz="4" w:space="0" w:color="auto"/>
              <w:bottom w:val="single" w:sz="4" w:space="0" w:color="auto"/>
              <w:right w:val="single" w:sz="4" w:space="0" w:color="auto"/>
            </w:tcBorders>
          </w:tcPr>
          <w:p w14:paraId="740D7C71" w14:textId="25CB0333"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lastRenderedPageBreak/>
              <w:t>Norme UE neaplicabile</w:t>
            </w:r>
          </w:p>
          <w:p w14:paraId="1152232C" w14:textId="77777777" w:rsidR="00DF1399" w:rsidRPr="009E686F" w:rsidRDefault="00DF1399" w:rsidP="00984B34">
            <w:pPr>
              <w:jc w:val="both"/>
              <w:rPr>
                <w:rFonts w:ascii="Times New Roman" w:hAnsi="Times New Roman" w:cs="Times New Roman"/>
                <w:lang w:val="ro-RO"/>
              </w:rPr>
            </w:pPr>
          </w:p>
          <w:p w14:paraId="28B9B8FD" w14:textId="13EE7B50" w:rsidR="00DF1399" w:rsidRPr="009E686F" w:rsidRDefault="00DF1399" w:rsidP="00984B34">
            <w:pPr>
              <w:jc w:val="both"/>
              <w:rPr>
                <w:rFonts w:ascii="Times New Roman" w:hAnsi="Times New Roman" w:cs="Times New Roman"/>
                <w:lang w:val="ro-RO"/>
              </w:rPr>
            </w:pPr>
            <w:r w:rsidRPr="009E686F">
              <w:rPr>
                <w:rFonts w:ascii="Times New Roman" w:hAnsi="Times New Roman" w:cs="Times New Roman"/>
                <w:lang w:val="ro-RO"/>
              </w:rPr>
              <w:t>Compatibil</w:t>
            </w:r>
          </w:p>
          <w:p w14:paraId="70F6EC1A" w14:textId="5E120317"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709CA8F3" w14:textId="77777777"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lastRenderedPageBreak/>
              <w:t>Se referă la competențele ABE.</w:t>
            </w:r>
          </w:p>
          <w:p w14:paraId="2D78BBC8" w14:textId="77777777" w:rsidR="00DF1399" w:rsidRPr="009E686F" w:rsidRDefault="00DF1399" w:rsidP="00984B34">
            <w:pPr>
              <w:jc w:val="both"/>
              <w:rPr>
                <w:rFonts w:ascii="Times New Roman" w:hAnsi="Times New Roman" w:cs="Times New Roman"/>
                <w:lang w:val="ro-RO"/>
              </w:rPr>
            </w:pPr>
          </w:p>
          <w:p w14:paraId="302CB161" w14:textId="5CBB11ED" w:rsidR="00DF1399" w:rsidRPr="009E686F" w:rsidRDefault="00DF1399" w:rsidP="00984B34">
            <w:pPr>
              <w:jc w:val="both"/>
              <w:rPr>
                <w:rFonts w:ascii="Times New Roman" w:hAnsi="Times New Roman" w:cs="Times New Roman"/>
                <w:lang w:val="ro-RO"/>
              </w:rPr>
            </w:pPr>
            <w:r w:rsidRPr="009E686F">
              <w:rPr>
                <w:rFonts w:ascii="Times New Roman" w:hAnsi="Times New Roman" w:cs="Times New Roman"/>
                <w:lang w:val="ro-RO"/>
              </w:rPr>
              <w:lastRenderedPageBreak/>
              <w:t>Norme cu specific național de implementare care asigură temeiul legal pentru actele secundare aferente cerințelor de remunerare care stabilesc criteriile de identificare – Regulamentul</w:t>
            </w:r>
            <w:r w:rsidR="001D463A" w:rsidRPr="009E686F">
              <w:rPr>
                <w:rFonts w:ascii="Times New Roman" w:hAnsi="Times New Roman" w:cs="Times New Roman"/>
                <w:lang w:val="ro-RO"/>
              </w:rPr>
              <w:t xml:space="preserve"> BNM</w:t>
            </w:r>
            <w:r w:rsidRPr="009E686F">
              <w:rPr>
                <w:rFonts w:ascii="Times New Roman" w:hAnsi="Times New Roman" w:cs="Times New Roman"/>
                <w:lang w:val="ro-RO"/>
              </w:rPr>
              <w:t xml:space="preserve"> nr. 322/2018.</w:t>
            </w:r>
          </w:p>
          <w:p w14:paraId="4BCC8387" w14:textId="434B1623" w:rsidR="00DF1399" w:rsidRPr="009E686F" w:rsidRDefault="00DF1399" w:rsidP="00DF1399">
            <w:pPr>
              <w:ind w:firstLine="720"/>
              <w:rPr>
                <w:rFonts w:ascii="Times New Roman" w:hAnsi="Times New Roman" w:cs="Times New Roman"/>
                <w:lang w:val="ro-RO"/>
              </w:rPr>
            </w:pPr>
          </w:p>
        </w:tc>
      </w:tr>
      <w:tr w:rsidR="00984B34" w:rsidRPr="009E686F" w14:paraId="268B64D0" w14:textId="2A80F18D" w:rsidTr="00774F3E">
        <w:tc>
          <w:tcPr>
            <w:tcW w:w="1796" w:type="pct"/>
            <w:gridSpan w:val="2"/>
            <w:tcBorders>
              <w:top w:val="single" w:sz="4" w:space="0" w:color="auto"/>
              <w:left w:val="single" w:sz="4" w:space="0" w:color="auto"/>
              <w:bottom w:val="single" w:sz="4" w:space="0" w:color="auto"/>
              <w:right w:val="single" w:sz="4" w:space="0" w:color="auto"/>
            </w:tcBorders>
          </w:tcPr>
          <w:p w14:paraId="2C40A05D" w14:textId="16A1914F"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lastRenderedPageBreak/>
              <w:t>Se deleagă Comisiei competența de a completa prezenta directivă prin adoptarea standardelor tehnice de reglementare menționate la prezentul alineat în conformitate cu articolele 10-14 din Regulamentul (UE) nr. 1093/2010. În ceea ce privește standardele tehnice de reglementare aplicabile firmelor de investiții, împuternicirea prevăzută la articolul 94 alineatul (2) din prezenta directivă, astfel cum a fost modificată prin Directiva (UE) 2018/843 a Parlamentului European și a Consiliului, se aplică în continuare până la 26 iunie 2021.</w:t>
            </w:r>
          </w:p>
        </w:tc>
        <w:tc>
          <w:tcPr>
            <w:tcW w:w="1928" w:type="pct"/>
            <w:gridSpan w:val="3"/>
            <w:tcBorders>
              <w:top w:val="single" w:sz="4" w:space="0" w:color="auto"/>
              <w:left w:val="single" w:sz="4" w:space="0" w:color="auto"/>
              <w:bottom w:val="single" w:sz="4" w:space="0" w:color="auto"/>
              <w:right w:val="single" w:sz="4" w:space="0" w:color="auto"/>
            </w:tcBorders>
          </w:tcPr>
          <w:p w14:paraId="414E9F69"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4FF02C65" w14:textId="4311ED5E"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neaplicabile</w:t>
            </w:r>
          </w:p>
          <w:p w14:paraId="00465DDC" w14:textId="056AF56B"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40092068" w14:textId="45669831"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Se referă la competențele Comisiei Europene.</w:t>
            </w:r>
          </w:p>
        </w:tc>
      </w:tr>
      <w:tr w:rsidR="00984B34" w:rsidRPr="009E686F" w14:paraId="7BF707C7"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756AB260" w14:textId="1C3C0309"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(3)   Prin derogare de la alineatul (1), cerințele enunțate la alineatul (1) literele (l) și (m) și la alineatul (1) litera (o) al doilea paragraf din respectivul alineat nu se aplică:</w:t>
            </w:r>
          </w:p>
        </w:tc>
        <w:tc>
          <w:tcPr>
            <w:tcW w:w="1928" w:type="pct"/>
            <w:gridSpan w:val="3"/>
            <w:tcBorders>
              <w:top w:val="single" w:sz="4" w:space="0" w:color="auto"/>
              <w:left w:val="single" w:sz="4" w:space="0" w:color="auto"/>
              <w:bottom w:val="single" w:sz="4" w:space="0" w:color="auto"/>
              <w:right w:val="single" w:sz="4" w:space="0" w:color="auto"/>
            </w:tcBorders>
          </w:tcPr>
          <w:p w14:paraId="3788B14F" w14:textId="57394EFD"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b/>
                <w:lang w:val="ro-RO"/>
              </w:rPr>
              <w:t>Articolul 39 alin. (2</w:t>
            </w:r>
            <w:r w:rsidRPr="009E686F">
              <w:rPr>
                <w:rFonts w:ascii="Times New Roman" w:hAnsi="Times New Roman" w:cs="Times New Roman"/>
                <w:b/>
                <w:vertAlign w:val="superscript"/>
                <w:lang w:val="ro-RO"/>
              </w:rPr>
              <w:t>1</w:t>
            </w:r>
            <w:r w:rsidRPr="009E686F">
              <w:rPr>
                <w:rFonts w:ascii="Times New Roman" w:hAnsi="Times New Roman" w:cs="Times New Roman"/>
                <w:b/>
                <w:lang w:val="ro-RO"/>
              </w:rPr>
              <w:t>)</w:t>
            </w:r>
          </w:p>
          <w:p w14:paraId="482F7216" w14:textId="5B9F38BC" w:rsidR="00984B34" w:rsidRPr="009E686F" w:rsidRDefault="00984B34" w:rsidP="00984B34">
            <w:pPr>
              <w:spacing w:after="0" w:line="276" w:lineRule="auto"/>
              <w:jc w:val="both"/>
              <w:rPr>
                <w:rFonts w:ascii="Times New Roman" w:eastAsia="Times New Roman" w:hAnsi="Times New Roman" w:cs="Times New Roman"/>
                <w:i/>
                <w:kern w:val="2"/>
                <w:lang w:val="ro-MD" w:eastAsia="ro-MD"/>
              </w:rPr>
            </w:pPr>
            <w:r w:rsidRPr="009E686F">
              <w:rPr>
                <w:rFonts w:ascii="Times New Roman" w:eastAsia="Times New Roman" w:hAnsi="Times New Roman" w:cs="Times New Roman"/>
                <w:i/>
                <w:lang w:val="ro-MD" w:eastAsia="ro-MD"/>
              </w:rPr>
              <w:t>(2</w:t>
            </w:r>
            <w:r w:rsidRPr="009E686F">
              <w:rPr>
                <w:rFonts w:ascii="Times New Roman" w:eastAsia="Times New Roman" w:hAnsi="Times New Roman" w:cs="Times New Roman"/>
                <w:i/>
                <w:vertAlign w:val="superscript"/>
                <w:lang w:val="ro-MD" w:eastAsia="ro-MD"/>
              </w:rPr>
              <w:t>1</w:t>
            </w:r>
            <w:r w:rsidRPr="009E686F">
              <w:rPr>
                <w:rFonts w:ascii="Times New Roman" w:eastAsia="Times New Roman" w:hAnsi="Times New Roman" w:cs="Times New Roman"/>
                <w:i/>
                <w:lang w:val="ro-MD" w:eastAsia="ro-MD"/>
              </w:rPr>
              <w:t>) Cerințele prevăzute la alin. (2) lit. j), n) și p) în ceea ce privește condițiile pentru plata beneficiilor discreționare de tipul pensiilor  nu se aplică următoarelor:</w:t>
            </w:r>
          </w:p>
        </w:tc>
        <w:tc>
          <w:tcPr>
            <w:tcW w:w="470" w:type="pct"/>
            <w:tcBorders>
              <w:top w:val="single" w:sz="4" w:space="0" w:color="auto"/>
              <w:left w:val="single" w:sz="4" w:space="0" w:color="auto"/>
              <w:bottom w:val="single" w:sz="4" w:space="0" w:color="auto"/>
              <w:right w:val="single" w:sz="4" w:space="0" w:color="auto"/>
            </w:tcBorders>
          </w:tcPr>
          <w:p w14:paraId="5F388677" w14:textId="7AB8FF86"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168B6038" w14:textId="77777777" w:rsidR="00984B34" w:rsidRPr="009E686F" w:rsidRDefault="00984B34" w:rsidP="00984B34">
            <w:pPr>
              <w:jc w:val="both"/>
              <w:rPr>
                <w:rFonts w:ascii="Times New Roman" w:hAnsi="Times New Roman" w:cs="Times New Roman"/>
                <w:lang w:val="ro-RO"/>
              </w:rPr>
            </w:pPr>
          </w:p>
        </w:tc>
      </w:tr>
      <w:tr w:rsidR="00984B34" w:rsidRPr="009E686F" w14:paraId="711F896A"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590F2696" w14:textId="494B3949"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lastRenderedPageBreak/>
              <w:t>(a) unei instituții care nu este o instituție mare și ale cărei active au în medie și pe bază individuală, în conformitate cu prezenta directivă și cu Regulamentul (UE) nr. 575/2013, o valoare egală cu cel mult 5 miliarde EUR în perioada de patru ani imediat anterioară exercițiului financiar curent;</w:t>
            </w:r>
          </w:p>
          <w:p w14:paraId="7780F6B5" w14:textId="58E958C3" w:rsidR="00984B34" w:rsidRPr="009E686F" w:rsidRDefault="00984B34" w:rsidP="00984B34">
            <w:pPr>
              <w:spacing w:after="0"/>
              <w:jc w:val="both"/>
              <w:rPr>
                <w:rFonts w:ascii="Times New Roman" w:hAnsi="Times New Roman" w:cs="Times New Roman"/>
                <w:lang w:val="ro-RO"/>
              </w:rPr>
            </w:pPr>
          </w:p>
        </w:tc>
        <w:tc>
          <w:tcPr>
            <w:tcW w:w="1928" w:type="pct"/>
            <w:gridSpan w:val="3"/>
            <w:tcBorders>
              <w:top w:val="single" w:sz="4" w:space="0" w:color="auto"/>
              <w:left w:val="single" w:sz="4" w:space="0" w:color="auto"/>
              <w:bottom w:val="single" w:sz="4" w:space="0" w:color="auto"/>
              <w:right w:val="single" w:sz="4" w:space="0" w:color="auto"/>
            </w:tcBorders>
          </w:tcPr>
          <w:p w14:paraId="7D587E8C" w14:textId="76B84D9A" w:rsidR="00984B34" w:rsidRPr="009E686F" w:rsidRDefault="00984B34" w:rsidP="00984B34">
            <w:pPr>
              <w:spacing w:after="0"/>
              <w:jc w:val="both"/>
              <w:rPr>
                <w:rFonts w:ascii="Times New Roman" w:hAnsi="Times New Roman" w:cs="Times New Roman"/>
                <w:i/>
                <w:lang w:val="ro-RO"/>
              </w:rPr>
            </w:pPr>
            <w:r w:rsidRPr="009E686F">
              <w:rPr>
                <w:rFonts w:ascii="Times New Roman" w:hAnsi="Times New Roman" w:cs="Times New Roman"/>
                <w:i/>
                <w:lang w:val="ro-RO"/>
              </w:rPr>
              <w:t xml:space="preserve">a) unei </w:t>
            </w:r>
            <w:r w:rsidRPr="009E686F">
              <w:rPr>
                <w:rFonts w:ascii="Times New Roman" w:hAnsi="Times New Roman" w:cs="Times New Roman"/>
                <w:bCs/>
                <w:i/>
                <w:iCs/>
                <w:lang w:val="ro-RO"/>
              </w:rPr>
              <w:t>instituții de credit</w:t>
            </w:r>
            <w:r w:rsidRPr="009E686F">
              <w:rPr>
                <w:rFonts w:ascii="Times New Roman" w:hAnsi="Times New Roman" w:cs="Times New Roman"/>
                <w:i/>
                <w:lang w:val="ro-RO"/>
              </w:rPr>
              <w:t xml:space="preserve"> care nu este o instituţie mare și ale cărei active au în medie și pe bază individuală o valoare egală cu cel mult echivalentul în </w:t>
            </w:r>
            <w:r w:rsidR="00871125" w:rsidRPr="009E686F">
              <w:rPr>
                <w:rFonts w:ascii="Times New Roman" w:hAnsi="Times New Roman" w:cs="Times New Roman"/>
                <w:i/>
                <w:lang w:val="ro-RO"/>
              </w:rPr>
              <w:t xml:space="preserve">lei moldovenești </w:t>
            </w:r>
            <w:r w:rsidRPr="009E686F">
              <w:rPr>
                <w:rFonts w:ascii="Times New Roman" w:hAnsi="Times New Roman" w:cs="Times New Roman"/>
                <w:i/>
                <w:lang w:val="ro-RO"/>
              </w:rPr>
              <w:t xml:space="preserve">a 5 miliarde </w:t>
            </w:r>
            <w:r w:rsidR="00871125" w:rsidRPr="009E686F">
              <w:rPr>
                <w:rFonts w:ascii="Times New Roman" w:hAnsi="Times New Roman" w:cs="Times New Roman"/>
                <w:i/>
                <w:lang w:val="ro-RO"/>
              </w:rPr>
              <w:t xml:space="preserve">euro </w:t>
            </w:r>
            <w:r w:rsidRPr="009E686F">
              <w:rPr>
                <w:rFonts w:ascii="Times New Roman" w:hAnsi="Times New Roman" w:cs="Times New Roman"/>
                <w:i/>
                <w:lang w:val="ro-RO"/>
              </w:rPr>
              <w:t xml:space="preserve">în perioada de patru ani imediat anterioară </w:t>
            </w:r>
            <w:r w:rsidRPr="009E686F">
              <w:rPr>
                <w:rFonts w:ascii="Times New Roman" w:hAnsi="Times New Roman" w:cs="Times New Roman"/>
                <w:bCs/>
                <w:i/>
                <w:iCs/>
                <w:lang w:val="ro-RO"/>
              </w:rPr>
              <w:t>perioadei de gestiune curente</w:t>
            </w:r>
            <w:r w:rsidRPr="009E686F">
              <w:rPr>
                <w:rFonts w:ascii="Times New Roman" w:hAnsi="Times New Roman" w:cs="Times New Roman"/>
                <w:i/>
                <w:lang w:val="ro-RO"/>
              </w:rPr>
              <w:t>;</w:t>
            </w:r>
          </w:p>
        </w:tc>
        <w:tc>
          <w:tcPr>
            <w:tcW w:w="470" w:type="pct"/>
            <w:tcBorders>
              <w:top w:val="single" w:sz="4" w:space="0" w:color="auto"/>
              <w:left w:val="single" w:sz="4" w:space="0" w:color="auto"/>
              <w:bottom w:val="single" w:sz="4" w:space="0" w:color="auto"/>
              <w:right w:val="single" w:sz="4" w:space="0" w:color="auto"/>
            </w:tcBorders>
          </w:tcPr>
          <w:p w14:paraId="46FBCB2D" w14:textId="0254F3F5"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44AE632D" w14:textId="77777777" w:rsidR="00984B34" w:rsidRPr="009E686F" w:rsidRDefault="00984B34" w:rsidP="00984B34">
            <w:pPr>
              <w:jc w:val="both"/>
              <w:rPr>
                <w:rFonts w:ascii="Times New Roman" w:hAnsi="Times New Roman" w:cs="Times New Roman"/>
                <w:lang w:val="ro-RO"/>
              </w:rPr>
            </w:pPr>
          </w:p>
        </w:tc>
      </w:tr>
      <w:tr w:rsidR="00984B34" w:rsidRPr="009E686F" w14:paraId="20344D6B"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7DA7C358" w14:textId="30E892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(b) unui membru al personalului a cărui remunerație variabilă anuală nu depășește 50 000 EUR și nu reprezintă mai mult de o treime din remunerația anuală totală a respectivului membru al personalului.</w:t>
            </w:r>
          </w:p>
        </w:tc>
        <w:tc>
          <w:tcPr>
            <w:tcW w:w="1928" w:type="pct"/>
            <w:gridSpan w:val="3"/>
            <w:tcBorders>
              <w:top w:val="single" w:sz="4" w:space="0" w:color="auto"/>
              <w:left w:val="single" w:sz="4" w:space="0" w:color="auto"/>
              <w:bottom w:val="single" w:sz="4" w:space="0" w:color="auto"/>
              <w:right w:val="single" w:sz="4" w:space="0" w:color="auto"/>
            </w:tcBorders>
          </w:tcPr>
          <w:p w14:paraId="57D60FC3" w14:textId="09A55FBB" w:rsidR="00984B34" w:rsidRPr="009E686F" w:rsidRDefault="00984B34" w:rsidP="00984B34">
            <w:pPr>
              <w:spacing w:after="0"/>
              <w:jc w:val="both"/>
              <w:rPr>
                <w:rFonts w:ascii="Times New Roman" w:hAnsi="Times New Roman" w:cs="Times New Roman"/>
                <w:i/>
                <w:lang w:val="ro-RO"/>
              </w:rPr>
            </w:pPr>
            <w:r w:rsidRPr="009E686F">
              <w:rPr>
                <w:rFonts w:ascii="Times New Roman" w:hAnsi="Times New Roman" w:cs="Times New Roman"/>
                <w:i/>
                <w:lang w:val="ro-RO"/>
              </w:rPr>
              <w:t xml:space="preserve">b) unui membru al personalului a cărui remuneraţie variabilă anuală nu depășește echivalentul în </w:t>
            </w:r>
            <w:r w:rsidR="00871125" w:rsidRPr="009E686F">
              <w:rPr>
                <w:rFonts w:ascii="Times New Roman" w:hAnsi="Times New Roman" w:cs="Times New Roman"/>
                <w:i/>
                <w:lang w:val="ro-RO"/>
              </w:rPr>
              <w:t>lei moldovenești</w:t>
            </w:r>
            <w:r w:rsidR="00871125" w:rsidRPr="009E686F" w:rsidDel="00871125">
              <w:rPr>
                <w:rFonts w:ascii="Times New Roman" w:hAnsi="Times New Roman" w:cs="Times New Roman"/>
                <w:i/>
                <w:lang w:val="ro-RO"/>
              </w:rPr>
              <w:t xml:space="preserve"> </w:t>
            </w:r>
            <w:r w:rsidRPr="009E686F">
              <w:rPr>
                <w:rFonts w:ascii="Times New Roman" w:hAnsi="Times New Roman" w:cs="Times New Roman"/>
                <w:i/>
                <w:lang w:val="ro-RO"/>
              </w:rPr>
              <w:t xml:space="preserve">a 50 000  </w:t>
            </w:r>
            <w:r w:rsidR="00871125" w:rsidRPr="009E686F">
              <w:rPr>
                <w:rFonts w:ascii="Times New Roman" w:hAnsi="Times New Roman" w:cs="Times New Roman"/>
                <w:i/>
                <w:lang w:val="ro-RO"/>
              </w:rPr>
              <w:t xml:space="preserve">euro </w:t>
            </w:r>
            <w:r w:rsidRPr="009E686F">
              <w:rPr>
                <w:rFonts w:ascii="Times New Roman" w:hAnsi="Times New Roman" w:cs="Times New Roman"/>
                <w:i/>
                <w:lang w:val="ro-RO"/>
              </w:rPr>
              <w:t>și nu reprezintă mai mult de o treime din remuneraţia anuală totală a respectivului membru al personalului.</w:t>
            </w:r>
          </w:p>
        </w:tc>
        <w:tc>
          <w:tcPr>
            <w:tcW w:w="470" w:type="pct"/>
            <w:tcBorders>
              <w:top w:val="single" w:sz="4" w:space="0" w:color="auto"/>
              <w:left w:val="single" w:sz="4" w:space="0" w:color="auto"/>
              <w:bottom w:val="single" w:sz="4" w:space="0" w:color="auto"/>
              <w:right w:val="single" w:sz="4" w:space="0" w:color="auto"/>
            </w:tcBorders>
          </w:tcPr>
          <w:p w14:paraId="4A278BE6" w14:textId="101FB874"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6A2ECB25" w14:textId="77777777" w:rsidR="00984B34" w:rsidRPr="009E686F" w:rsidRDefault="00984B34" w:rsidP="00984B34">
            <w:pPr>
              <w:jc w:val="both"/>
              <w:rPr>
                <w:rFonts w:ascii="Times New Roman" w:hAnsi="Times New Roman" w:cs="Times New Roman"/>
                <w:lang w:val="ro-RO"/>
              </w:rPr>
            </w:pPr>
          </w:p>
        </w:tc>
      </w:tr>
      <w:tr w:rsidR="00984B34" w:rsidRPr="009E686F" w14:paraId="581BD32B" w14:textId="77777777" w:rsidTr="00D230C4">
        <w:trPr>
          <w:trHeight w:val="5063"/>
        </w:trPr>
        <w:tc>
          <w:tcPr>
            <w:tcW w:w="1796" w:type="pct"/>
            <w:gridSpan w:val="2"/>
            <w:tcBorders>
              <w:top w:val="single" w:sz="4" w:space="0" w:color="auto"/>
              <w:left w:val="single" w:sz="4" w:space="0" w:color="auto"/>
              <w:right w:val="single" w:sz="4" w:space="0" w:color="auto"/>
            </w:tcBorders>
          </w:tcPr>
          <w:p w14:paraId="7BAC3A84" w14:textId="194DCCBF"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(4)  Prin derogare de la alineatul (3) litera (a), un stat membru poate reduce sau majora pragul indicat la litera respectivă, cu condiția ca:</w:t>
            </w:r>
          </w:p>
          <w:p w14:paraId="3DFED463" w14:textId="5473DB2D"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(a) instituția în legătură cu care statul membru utilizează această dispoziție să nu fie o instituție mare, astfel cum este definită la articolul 4 alineatul (1) punctul 146 din Regulamentul (UE) nr. 575/2013, și, în cazul în care pragul este majorat:</w:t>
            </w:r>
          </w:p>
          <w:p w14:paraId="0BCCB783" w14:textId="183997DF"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(i) instituția să îndeplinească criteriile prevăzute la articolul 4 alineatul (1) punctul 145 literele (c), (d) și (e) din Regulamentul (UE) nr. 575/2013; și</w:t>
            </w:r>
          </w:p>
          <w:p w14:paraId="1C7D1FD6"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(ii) pragul să nu depășească 15 miliarde EUR;</w:t>
            </w:r>
          </w:p>
          <w:p w14:paraId="6CFA3C00" w14:textId="073B078C"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(b) modificarea pragului în conformitate cu prezentul alineat să fie adecvată, luându-se în considerare natura instituției, amploarea și complexitatea activităților sale, organizarea sa internă sau, dacă este cazul, caracteristicile grupului din care face parte.</w:t>
            </w:r>
          </w:p>
        </w:tc>
        <w:tc>
          <w:tcPr>
            <w:tcW w:w="1928" w:type="pct"/>
            <w:gridSpan w:val="3"/>
            <w:tcBorders>
              <w:top w:val="single" w:sz="4" w:space="0" w:color="auto"/>
              <w:left w:val="single" w:sz="4" w:space="0" w:color="auto"/>
              <w:right w:val="single" w:sz="4" w:space="0" w:color="auto"/>
            </w:tcBorders>
          </w:tcPr>
          <w:p w14:paraId="6F1CDE03"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right w:val="single" w:sz="4" w:space="0" w:color="auto"/>
            </w:tcBorders>
          </w:tcPr>
          <w:p w14:paraId="1C8D9DA8" w14:textId="77777777"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netranspuse</w:t>
            </w:r>
          </w:p>
          <w:p w14:paraId="417E0FED" w14:textId="4B5D1ADF"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right w:val="single" w:sz="4" w:space="0" w:color="auto"/>
            </w:tcBorders>
          </w:tcPr>
          <w:p w14:paraId="1C35D43C" w14:textId="3EC3866B"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 xml:space="preserve">Opțiune </w:t>
            </w:r>
            <w:r w:rsidR="006C3ED0" w:rsidRPr="009E686F">
              <w:rPr>
                <w:rFonts w:ascii="Times New Roman" w:hAnsi="Times New Roman" w:cs="Times New Roman"/>
                <w:lang w:val="ro-RO"/>
              </w:rPr>
              <w:t>ne</w:t>
            </w:r>
            <w:r w:rsidRPr="009E686F">
              <w:rPr>
                <w:rFonts w:ascii="Times New Roman" w:hAnsi="Times New Roman" w:cs="Times New Roman"/>
                <w:lang w:val="ro-RO"/>
              </w:rPr>
              <w:t>exercitată</w:t>
            </w:r>
          </w:p>
        </w:tc>
      </w:tr>
      <w:tr w:rsidR="00984B34" w:rsidRPr="009E686F" w14:paraId="3AFCA3A4"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0D760467" w14:textId="2C00EB28"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(5)   Prin derogare de la alineatul (3) litera (b), un stat membru poate decide că membrii personalului care au </w:t>
            </w:r>
            <w:r w:rsidRPr="009E686F">
              <w:rPr>
                <w:rFonts w:ascii="Times New Roman" w:hAnsi="Times New Roman" w:cs="Times New Roman"/>
                <w:lang w:val="ro-RO"/>
              </w:rPr>
              <w:lastRenderedPageBreak/>
              <w:t>dreptul la o remunerație variabilă anuală situată sub pragul și sub ponderea menționate la litera respectivă nu fac obiectul exceptării prevăzute la aceasta din cauza specificităților pieței naționale în ceea ce privește practicile de remunerare sau din cauza naturii responsabilităților și a profilului postului respectivilor membri ai personalului.</w:t>
            </w:r>
          </w:p>
        </w:tc>
        <w:tc>
          <w:tcPr>
            <w:tcW w:w="1928" w:type="pct"/>
            <w:gridSpan w:val="3"/>
            <w:tcBorders>
              <w:top w:val="single" w:sz="4" w:space="0" w:color="auto"/>
              <w:left w:val="single" w:sz="4" w:space="0" w:color="auto"/>
              <w:bottom w:val="single" w:sz="4" w:space="0" w:color="auto"/>
              <w:right w:val="single" w:sz="4" w:space="0" w:color="auto"/>
            </w:tcBorders>
          </w:tcPr>
          <w:p w14:paraId="52E50046"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3648541F" w14:textId="5238FF1F"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netranspuse</w:t>
            </w:r>
          </w:p>
        </w:tc>
        <w:tc>
          <w:tcPr>
            <w:tcW w:w="806" w:type="pct"/>
            <w:tcBorders>
              <w:top w:val="single" w:sz="4" w:space="0" w:color="auto"/>
              <w:left w:val="single" w:sz="4" w:space="0" w:color="auto"/>
              <w:bottom w:val="single" w:sz="4" w:space="0" w:color="auto"/>
              <w:right w:val="single" w:sz="4" w:space="0" w:color="auto"/>
            </w:tcBorders>
          </w:tcPr>
          <w:p w14:paraId="0FD0092C" w14:textId="2DD1FE6D"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 xml:space="preserve">Opțiune </w:t>
            </w:r>
            <w:r w:rsidR="00EA3BF4" w:rsidRPr="009E686F">
              <w:rPr>
                <w:rFonts w:ascii="Times New Roman" w:hAnsi="Times New Roman" w:cs="Times New Roman"/>
                <w:lang w:val="ro-RO"/>
              </w:rPr>
              <w:t>ne</w:t>
            </w:r>
            <w:r w:rsidRPr="009E686F">
              <w:rPr>
                <w:rFonts w:ascii="Times New Roman" w:hAnsi="Times New Roman" w:cs="Times New Roman"/>
                <w:lang w:val="ro-RO"/>
              </w:rPr>
              <w:t>exercitată</w:t>
            </w:r>
          </w:p>
        </w:tc>
      </w:tr>
      <w:tr w:rsidR="00984B34" w:rsidRPr="009E686F" w14:paraId="0B993FBB"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766BED7A" w14:textId="63A82106"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(6)   Până la data de 28 iunie 2023, Comisia, în strânsă cooperare cu ABE, analizează aplicarea alineatelor (3)-(5) și întocmește un raport în acest sens, pe care îl prezintă Parlamentului European și Consiliului, împreună cu o propunere legislativă, dacă este cazul.</w:t>
            </w:r>
          </w:p>
        </w:tc>
        <w:tc>
          <w:tcPr>
            <w:tcW w:w="1928" w:type="pct"/>
            <w:gridSpan w:val="3"/>
            <w:tcBorders>
              <w:top w:val="single" w:sz="4" w:space="0" w:color="auto"/>
              <w:left w:val="single" w:sz="4" w:space="0" w:color="auto"/>
              <w:bottom w:val="single" w:sz="4" w:space="0" w:color="auto"/>
              <w:right w:val="single" w:sz="4" w:space="0" w:color="auto"/>
            </w:tcBorders>
          </w:tcPr>
          <w:p w14:paraId="1606A1E1"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1578949D" w14:textId="2A736FBE"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neaplicabile</w:t>
            </w:r>
          </w:p>
          <w:p w14:paraId="177CE3A5" w14:textId="77777777"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2D35FF8B" w14:textId="7EC148C7"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Se referă la competențele ABE și ale Comisie Europene.</w:t>
            </w:r>
          </w:p>
        </w:tc>
      </w:tr>
      <w:tr w:rsidR="00984B34" w:rsidRPr="009E686F" w14:paraId="2CC9C454"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110047EC" w14:textId="3DBCFE5E"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(7)   ABE emite orientări, în conformitate cu articolul 16 din Regulamentul (UE) nr. 1093/2010, care să faciliteze punerea în aplicare a alineatelor (3), (4) și (5) și să asigure aplicarea coerentă a acestora.</w:t>
            </w:r>
          </w:p>
        </w:tc>
        <w:tc>
          <w:tcPr>
            <w:tcW w:w="1928" w:type="pct"/>
            <w:gridSpan w:val="3"/>
            <w:tcBorders>
              <w:top w:val="single" w:sz="4" w:space="0" w:color="auto"/>
              <w:left w:val="single" w:sz="4" w:space="0" w:color="auto"/>
              <w:bottom w:val="single" w:sz="4" w:space="0" w:color="auto"/>
              <w:right w:val="single" w:sz="4" w:space="0" w:color="auto"/>
            </w:tcBorders>
          </w:tcPr>
          <w:p w14:paraId="2797D601"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585063F4" w14:textId="36965B90"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neaplicabile</w:t>
            </w:r>
          </w:p>
          <w:p w14:paraId="06F99B84" w14:textId="77777777"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30CFBE71" w14:textId="3C3FFCF5"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Se referă la competențele ABE.</w:t>
            </w:r>
          </w:p>
        </w:tc>
      </w:tr>
      <w:tr w:rsidR="00984B34" w:rsidRPr="009E686F" w14:paraId="76C7ACEC" w14:textId="5EB7634E" w:rsidTr="00774F3E">
        <w:tc>
          <w:tcPr>
            <w:tcW w:w="5000" w:type="pct"/>
            <w:gridSpan w:val="7"/>
            <w:tcBorders>
              <w:top w:val="single" w:sz="4" w:space="0" w:color="auto"/>
              <w:left w:val="single" w:sz="4" w:space="0" w:color="auto"/>
              <w:bottom w:val="single" w:sz="4" w:space="0" w:color="auto"/>
              <w:right w:val="single" w:sz="4" w:space="0" w:color="auto"/>
            </w:tcBorders>
          </w:tcPr>
          <w:p w14:paraId="1F0C9CC1" w14:textId="77777777" w:rsidR="00984B34" w:rsidRPr="009E686F" w:rsidRDefault="00984B34" w:rsidP="00984B34">
            <w:pPr>
              <w:spacing w:after="0"/>
              <w:jc w:val="both"/>
              <w:rPr>
                <w:rFonts w:ascii="Times New Roman" w:hAnsi="Times New Roman" w:cs="Times New Roman"/>
                <w:i/>
                <w:iCs/>
                <w:lang w:val="ro-RO"/>
              </w:rPr>
            </w:pPr>
            <w:r w:rsidRPr="009E686F">
              <w:rPr>
                <w:rFonts w:ascii="Times New Roman" w:hAnsi="Times New Roman" w:cs="Times New Roman"/>
                <w:i/>
                <w:iCs/>
                <w:lang w:val="ro-RO"/>
              </w:rPr>
              <w:t xml:space="preserve">Articolul 95 </w:t>
            </w:r>
          </w:p>
          <w:p w14:paraId="1191CEDE" w14:textId="28D3B081"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Comitetul de remunerare</w:t>
            </w:r>
          </w:p>
        </w:tc>
      </w:tr>
      <w:tr w:rsidR="00984B34" w:rsidRPr="009E686F" w14:paraId="515E28CB" w14:textId="3AD49BBF" w:rsidTr="00774F3E">
        <w:tc>
          <w:tcPr>
            <w:tcW w:w="1796" w:type="pct"/>
            <w:gridSpan w:val="2"/>
            <w:tcBorders>
              <w:top w:val="single" w:sz="4" w:space="0" w:color="auto"/>
              <w:left w:val="single" w:sz="4" w:space="0" w:color="auto"/>
              <w:bottom w:val="single" w:sz="4" w:space="0" w:color="auto"/>
              <w:right w:val="single" w:sz="4" w:space="0" w:color="auto"/>
            </w:tcBorders>
          </w:tcPr>
          <w:p w14:paraId="22D56CDF" w14:textId="2B4575A2"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(1) Autoritățile competente se asigură că instituțiile semnificative din punctul de vedere al dimensiunii, al organizării interne și al naturii, amplorii și complexității activităților lor înființează un comitet de remunerare. </w:t>
            </w:r>
          </w:p>
        </w:tc>
        <w:tc>
          <w:tcPr>
            <w:tcW w:w="1928" w:type="pct"/>
            <w:gridSpan w:val="3"/>
            <w:tcBorders>
              <w:top w:val="single" w:sz="4" w:space="0" w:color="auto"/>
              <w:left w:val="single" w:sz="4" w:space="0" w:color="auto"/>
              <w:bottom w:val="single" w:sz="4" w:space="0" w:color="auto"/>
              <w:right w:val="single" w:sz="4" w:space="0" w:color="auto"/>
            </w:tcBorders>
          </w:tcPr>
          <w:p w14:paraId="45773766" w14:textId="61AB4838"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b/>
                <w:bCs/>
                <w:lang w:val="ro-RO"/>
              </w:rPr>
              <w:t>Articolul 44 alin. (2)</w:t>
            </w:r>
          </w:p>
          <w:p w14:paraId="622E559F" w14:textId="77777777" w:rsidR="00984B34" w:rsidRPr="009E686F" w:rsidRDefault="00984B34" w:rsidP="00984B34">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(2) În entitățile semnificative din punctul de vedere al dimensiunii, organizării interne şi naturii, amplorii şi complexităţii activităţilor acestora, consiliul entității, suplimentar la comitetele prevăzute la alin.(1), înfiinţează comitetul de numire şi comitetul de remunerare.</w:t>
            </w:r>
          </w:p>
          <w:p w14:paraId="33F1BCD8" w14:textId="357CFAAF" w:rsidR="00984B34" w:rsidRPr="009E686F" w:rsidRDefault="00984B34" w:rsidP="00984B34">
            <w:pPr>
              <w:spacing w:after="0" w:line="278" w:lineRule="auto"/>
              <w:jc w:val="both"/>
              <w:rPr>
                <w:rFonts w:ascii="Times New Roman" w:hAnsi="Times New Roman" w:cs="Times New Roman"/>
                <w:b/>
                <w:lang w:val="ro-MD"/>
              </w:rPr>
            </w:pPr>
            <w:r w:rsidRPr="009E686F">
              <w:rPr>
                <w:rFonts w:ascii="Times New Roman" w:hAnsi="Times New Roman" w:cs="Times New Roman"/>
                <w:b/>
                <w:lang w:val="ro-MD"/>
              </w:rPr>
              <w:t>Art. 41 alin. (3) lit. h)</w:t>
            </w:r>
          </w:p>
          <w:p w14:paraId="35B008D9" w14:textId="50BD4466" w:rsidR="00984B34" w:rsidRPr="009E686F" w:rsidRDefault="00984B34" w:rsidP="00984B34">
            <w:pPr>
              <w:spacing w:after="0" w:line="278" w:lineRule="auto"/>
              <w:jc w:val="both"/>
              <w:rPr>
                <w:rFonts w:ascii="Times New Roman" w:hAnsi="Times New Roman" w:cs="Times New Roman"/>
                <w:lang w:val="ro-MD"/>
              </w:rPr>
            </w:pPr>
            <w:r w:rsidRPr="009E686F">
              <w:rPr>
                <w:rFonts w:ascii="Times New Roman" w:hAnsi="Times New Roman" w:cs="Times New Roman"/>
                <w:lang w:val="ro-MD"/>
              </w:rPr>
              <w:t xml:space="preserve">(3) Consiliul </w:t>
            </w:r>
            <w:r w:rsidRPr="009E686F">
              <w:rPr>
                <w:rFonts w:ascii="Times New Roman" w:hAnsi="Times New Roman" w:cs="Times New Roman"/>
                <w:i/>
                <w:lang w:val="ro-MD"/>
              </w:rPr>
              <w:t>instituției de credit</w:t>
            </w:r>
            <w:r w:rsidRPr="009E686F">
              <w:rPr>
                <w:rFonts w:ascii="Times New Roman" w:hAnsi="Times New Roman" w:cs="Times New Roman"/>
                <w:lang w:val="ro-MD"/>
              </w:rPr>
              <w:t xml:space="preserve"> are următoarele atribuţii principale:</w:t>
            </w:r>
          </w:p>
          <w:p w14:paraId="33BB30DF" w14:textId="55F51193" w:rsidR="00984B34" w:rsidRPr="009E686F" w:rsidRDefault="00984B34" w:rsidP="00984B34">
            <w:pPr>
              <w:spacing w:after="0" w:line="278" w:lineRule="auto"/>
              <w:jc w:val="both"/>
              <w:rPr>
                <w:rFonts w:ascii="Times New Roman" w:hAnsi="Times New Roman" w:cs="Times New Roman"/>
                <w:lang w:val="ro-MD"/>
              </w:rPr>
            </w:pPr>
            <w:r w:rsidRPr="009E686F">
              <w:rPr>
                <w:rFonts w:ascii="Times New Roman" w:hAnsi="Times New Roman" w:cs="Times New Roman"/>
                <w:lang w:val="ro-MD"/>
              </w:rPr>
              <w:t xml:space="preserve">h) decide cu privire la stabilirea unor comitete specializate prevăzute la art.44, inclusiv numirea membrilor consiliului în componenţa acestora, funcţionarea şi atribuţiile cărora sînt </w:t>
            </w:r>
            <w:r w:rsidRPr="009E686F">
              <w:rPr>
                <w:rFonts w:ascii="Times New Roman" w:hAnsi="Times New Roman" w:cs="Times New Roman"/>
                <w:lang w:val="ro-MD"/>
              </w:rPr>
              <w:lastRenderedPageBreak/>
              <w:t>prevăzute de prezenta lege şi actele normative ale Băncii Naţionale a Moldovei;</w:t>
            </w:r>
          </w:p>
        </w:tc>
        <w:tc>
          <w:tcPr>
            <w:tcW w:w="470" w:type="pct"/>
            <w:tcBorders>
              <w:top w:val="single" w:sz="4" w:space="0" w:color="auto"/>
              <w:left w:val="single" w:sz="4" w:space="0" w:color="auto"/>
              <w:bottom w:val="single" w:sz="4" w:space="0" w:color="auto"/>
              <w:right w:val="single" w:sz="4" w:space="0" w:color="auto"/>
            </w:tcBorders>
          </w:tcPr>
          <w:p w14:paraId="2F4EA198" w14:textId="4A54BFE4"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lastRenderedPageBreak/>
              <w:t>Compatibil</w:t>
            </w:r>
          </w:p>
          <w:p w14:paraId="769A221A" w14:textId="77777777" w:rsidR="00984B34" w:rsidRPr="009E686F" w:rsidRDefault="00984B34" w:rsidP="00984B34">
            <w:pPr>
              <w:jc w:val="both"/>
              <w:rPr>
                <w:rFonts w:ascii="Times New Roman" w:hAnsi="Times New Roman" w:cs="Times New Roman"/>
                <w:lang w:val="ro-RO"/>
              </w:rPr>
            </w:pPr>
          </w:p>
          <w:p w14:paraId="121B3024" w14:textId="77777777" w:rsidR="00984B34" w:rsidRPr="009E686F" w:rsidRDefault="00984B34" w:rsidP="00984B34">
            <w:pPr>
              <w:jc w:val="both"/>
              <w:rPr>
                <w:rFonts w:ascii="Times New Roman" w:hAnsi="Times New Roman" w:cs="Times New Roman"/>
                <w:lang w:val="ro-RO"/>
              </w:rPr>
            </w:pPr>
          </w:p>
          <w:p w14:paraId="24D66E9C" w14:textId="22BE8E96"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28C56C5C" w14:textId="77777777" w:rsidR="00984B34" w:rsidRPr="009E686F" w:rsidRDefault="00984B34" w:rsidP="00984B34">
            <w:pPr>
              <w:jc w:val="both"/>
              <w:rPr>
                <w:rFonts w:ascii="Times New Roman" w:hAnsi="Times New Roman" w:cs="Times New Roman"/>
                <w:lang w:val="ro-RO"/>
              </w:rPr>
            </w:pPr>
          </w:p>
          <w:p w14:paraId="3E580EA9" w14:textId="77777777" w:rsidR="00984B34" w:rsidRPr="009E686F" w:rsidRDefault="00984B34" w:rsidP="00984B34">
            <w:pPr>
              <w:jc w:val="both"/>
              <w:rPr>
                <w:rFonts w:ascii="Times New Roman" w:hAnsi="Times New Roman" w:cs="Times New Roman"/>
                <w:lang w:val="ro-RO"/>
              </w:rPr>
            </w:pPr>
          </w:p>
          <w:p w14:paraId="0A070761" w14:textId="77777777" w:rsidR="00984B34" w:rsidRPr="009E686F" w:rsidRDefault="00984B34" w:rsidP="00984B34">
            <w:pPr>
              <w:jc w:val="both"/>
              <w:rPr>
                <w:rFonts w:ascii="Times New Roman" w:hAnsi="Times New Roman" w:cs="Times New Roman"/>
                <w:lang w:val="ro-RO"/>
              </w:rPr>
            </w:pPr>
          </w:p>
          <w:p w14:paraId="628895BD" w14:textId="77777777" w:rsidR="00984B34" w:rsidRPr="009E686F" w:rsidRDefault="00984B34" w:rsidP="00984B34">
            <w:pPr>
              <w:jc w:val="both"/>
              <w:rPr>
                <w:rFonts w:ascii="Times New Roman" w:hAnsi="Times New Roman" w:cs="Times New Roman"/>
                <w:lang w:val="ro-RO"/>
              </w:rPr>
            </w:pPr>
          </w:p>
          <w:p w14:paraId="533EEFD7" w14:textId="77777777" w:rsidR="00984B34" w:rsidRPr="009E686F" w:rsidRDefault="00984B34" w:rsidP="00984B34">
            <w:pPr>
              <w:jc w:val="both"/>
              <w:rPr>
                <w:rFonts w:ascii="Times New Roman" w:hAnsi="Times New Roman" w:cs="Times New Roman"/>
                <w:lang w:val="ro-RO"/>
              </w:rPr>
            </w:pPr>
          </w:p>
          <w:p w14:paraId="705EF0B5" w14:textId="3083DCA1"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spcifice naționale de implementare.</w:t>
            </w:r>
          </w:p>
        </w:tc>
      </w:tr>
      <w:tr w:rsidR="00984B34" w:rsidRPr="009E686F" w14:paraId="70F45485"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3A3FDFCF" w14:textId="79256BE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Comitetul de remunerare se constituie într-un mod care să îi permită să exercite o judecată competentă și independentă cu privire la politicile și practicile de remunerare și la stimulentele create în vederea gestionării riscurilor, a administrării capitalului și a lichidităților.</w:t>
            </w:r>
          </w:p>
        </w:tc>
        <w:tc>
          <w:tcPr>
            <w:tcW w:w="1928" w:type="pct"/>
            <w:gridSpan w:val="3"/>
            <w:tcBorders>
              <w:top w:val="single" w:sz="4" w:space="0" w:color="auto"/>
              <w:left w:val="single" w:sz="4" w:space="0" w:color="auto"/>
              <w:bottom w:val="single" w:sz="4" w:space="0" w:color="auto"/>
              <w:right w:val="single" w:sz="4" w:space="0" w:color="auto"/>
            </w:tcBorders>
          </w:tcPr>
          <w:p w14:paraId="230079CC" w14:textId="714818F8" w:rsidR="00984B34" w:rsidRPr="009E686F" w:rsidRDefault="00984B34" w:rsidP="00984B34">
            <w:pPr>
              <w:spacing w:after="0"/>
              <w:jc w:val="both"/>
              <w:rPr>
                <w:rFonts w:ascii="Times New Roman" w:hAnsi="Times New Roman" w:cs="Times New Roman"/>
                <w:b/>
                <w:bCs/>
                <w:lang w:val="ro-RO"/>
              </w:rPr>
            </w:pPr>
            <w:r w:rsidRPr="009E686F">
              <w:rPr>
                <w:rFonts w:ascii="Times New Roman" w:hAnsi="Times New Roman" w:cs="Times New Roman"/>
                <w:b/>
                <w:bCs/>
                <w:lang w:val="ro-RO"/>
              </w:rPr>
              <w:t>Pct. 49 din Regulamentul privind cadrul de administrare a activităţii băncilor, aprobat prin HCE nr.322/2018</w:t>
            </w:r>
          </w:p>
          <w:p w14:paraId="3F79CFD5" w14:textId="11DB3EAF"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49. Comitetul de remunerare trebuie să fie format într-un mod care să-i permită realizarea responsabilităţilor cu competenţă şi independenţă cu privire la politicile şi practicile de remunerare şi la stimulentele create în vederea gestionării riscurilor, a administrării capitalului şi a lichidităţilor.</w:t>
            </w:r>
          </w:p>
        </w:tc>
        <w:tc>
          <w:tcPr>
            <w:tcW w:w="470" w:type="pct"/>
            <w:tcBorders>
              <w:top w:val="single" w:sz="4" w:space="0" w:color="auto"/>
              <w:left w:val="single" w:sz="4" w:space="0" w:color="auto"/>
              <w:bottom w:val="single" w:sz="4" w:space="0" w:color="auto"/>
              <w:right w:val="single" w:sz="4" w:space="0" w:color="auto"/>
            </w:tcBorders>
          </w:tcPr>
          <w:p w14:paraId="33B86B7E" w14:textId="77777777"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 xml:space="preserve">Compatibil </w:t>
            </w:r>
          </w:p>
          <w:p w14:paraId="3F26EABB" w14:textId="77777777"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5307E54B" w14:textId="77777777" w:rsidR="00984B34" w:rsidRPr="009E686F" w:rsidRDefault="00984B34" w:rsidP="00984B34">
            <w:pPr>
              <w:jc w:val="both"/>
              <w:rPr>
                <w:rFonts w:ascii="Times New Roman" w:hAnsi="Times New Roman" w:cs="Times New Roman"/>
                <w:lang w:val="ro-RO"/>
              </w:rPr>
            </w:pPr>
          </w:p>
        </w:tc>
      </w:tr>
      <w:tr w:rsidR="00984B34" w:rsidRPr="009E686F" w14:paraId="20D40239" w14:textId="6DD246BB" w:rsidTr="00774F3E">
        <w:tc>
          <w:tcPr>
            <w:tcW w:w="1796" w:type="pct"/>
            <w:gridSpan w:val="2"/>
            <w:tcBorders>
              <w:top w:val="single" w:sz="4" w:space="0" w:color="auto"/>
              <w:left w:val="single" w:sz="4" w:space="0" w:color="auto"/>
              <w:bottom w:val="single" w:sz="4" w:space="0" w:color="auto"/>
              <w:right w:val="single" w:sz="4" w:space="0" w:color="auto"/>
            </w:tcBorders>
          </w:tcPr>
          <w:p w14:paraId="5BDE6100" w14:textId="696FE58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(2) Autoritățile competente se asigură că comitetul de remunerare răspunde de elaborarea deciziilor privind remunerarea, inclusiv a celor care au implicații asupra riscurilor și asupra gestionării riscurilor instituției respective și care trebuie luate de organul de conducere. </w:t>
            </w:r>
          </w:p>
          <w:p w14:paraId="47132436" w14:textId="77777777" w:rsidR="00984B34" w:rsidRPr="009E686F" w:rsidRDefault="00984B34" w:rsidP="00984B34">
            <w:pPr>
              <w:spacing w:after="0"/>
              <w:jc w:val="both"/>
              <w:rPr>
                <w:rFonts w:ascii="Times New Roman" w:hAnsi="Times New Roman" w:cs="Times New Roman"/>
                <w:lang w:val="ro-RO"/>
              </w:rPr>
            </w:pPr>
          </w:p>
          <w:p w14:paraId="5829B60A" w14:textId="77777777" w:rsidR="00984B34" w:rsidRPr="009E686F" w:rsidRDefault="00984B34" w:rsidP="00984B34">
            <w:pPr>
              <w:spacing w:after="0"/>
              <w:jc w:val="both"/>
              <w:rPr>
                <w:rFonts w:ascii="Times New Roman" w:hAnsi="Times New Roman" w:cs="Times New Roman"/>
                <w:lang w:val="ro-RO"/>
              </w:rPr>
            </w:pPr>
          </w:p>
          <w:p w14:paraId="2501BFFE" w14:textId="2F457396" w:rsidR="00984B34" w:rsidRPr="009E686F" w:rsidRDefault="00984B34" w:rsidP="00984B34">
            <w:pPr>
              <w:spacing w:after="0"/>
              <w:jc w:val="both"/>
              <w:rPr>
                <w:rFonts w:ascii="Times New Roman" w:hAnsi="Times New Roman" w:cs="Times New Roman"/>
                <w:lang w:val="ro-RO"/>
              </w:rPr>
            </w:pPr>
          </w:p>
        </w:tc>
        <w:tc>
          <w:tcPr>
            <w:tcW w:w="1928" w:type="pct"/>
            <w:gridSpan w:val="3"/>
            <w:tcBorders>
              <w:top w:val="single" w:sz="4" w:space="0" w:color="auto"/>
              <w:left w:val="single" w:sz="4" w:space="0" w:color="auto"/>
              <w:bottom w:val="single" w:sz="4" w:space="0" w:color="auto"/>
              <w:right w:val="single" w:sz="4" w:space="0" w:color="auto"/>
            </w:tcBorders>
          </w:tcPr>
          <w:p w14:paraId="208A32DE" w14:textId="4FEBDB45"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b/>
                <w:lang w:val="ro-RO"/>
              </w:rPr>
              <w:t xml:space="preserve">Pct. 50 subpct. 1) din Regulamentul privind cadrul de administrare a activităţii băncilor, aprobat prin HCE nr.322/2018 </w:t>
            </w:r>
          </w:p>
          <w:p w14:paraId="08BEDEE6" w14:textId="2813F42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50. Fără a aduce atingere atribuţiilor membrilor consiliului băncii, comitetul de remunerare are, cel puţin, următoarele responsabilităţi:</w:t>
            </w:r>
          </w:p>
          <w:p w14:paraId="781426EA" w14:textId="428AC6AB"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1) răspunde de elaborarea hotărârilor privind remunerarea ce urmează a fi adoptate de consiliu, în special cu privire la remunerarea membrilor organului executiv, precum şi a persoanelor care deţin funcţii-cheie; </w:t>
            </w:r>
          </w:p>
        </w:tc>
        <w:tc>
          <w:tcPr>
            <w:tcW w:w="470" w:type="pct"/>
            <w:tcBorders>
              <w:top w:val="single" w:sz="4" w:space="0" w:color="auto"/>
              <w:left w:val="single" w:sz="4" w:space="0" w:color="auto"/>
              <w:bottom w:val="single" w:sz="4" w:space="0" w:color="auto"/>
              <w:right w:val="single" w:sz="4" w:space="0" w:color="auto"/>
            </w:tcBorders>
          </w:tcPr>
          <w:p w14:paraId="3825E521" w14:textId="5700BD02"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 xml:space="preserve">Compatibil </w:t>
            </w:r>
          </w:p>
        </w:tc>
        <w:tc>
          <w:tcPr>
            <w:tcW w:w="806" w:type="pct"/>
            <w:tcBorders>
              <w:top w:val="single" w:sz="4" w:space="0" w:color="auto"/>
              <w:left w:val="single" w:sz="4" w:space="0" w:color="auto"/>
              <w:bottom w:val="single" w:sz="4" w:space="0" w:color="auto"/>
              <w:right w:val="single" w:sz="4" w:space="0" w:color="auto"/>
            </w:tcBorders>
          </w:tcPr>
          <w:p w14:paraId="3462D57B" w14:textId="77777777" w:rsidR="00984B34" w:rsidRPr="009E686F" w:rsidRDefault="00984B34" w:rsidP="00984B34">
            <w:pPr>
              <w:jc w:val="both"/>
              <w:rPr>
                <w:rFonts w:ascii="Times New Roman" w:hAnsi="Times New Roman" w:cs="Times New Roman"/>
                <w:lang w:val="ro-RO"/>
              </w:rPr>
            </w:pPr>
          </w:p>
          <w:p w14:paraId="1D16D638" w14:textId="77777777" w:rsidR="00984B34" w:rsidRPr="009E686F" w:rsidRDefault="00984B34" w:rsidP="00984B34">
            <w:pPr>
              <w:jc w:val="both"/>
              <w:rPr>
                <w:rFonts w:ascii="Times New Roman" w:hAnsi="Times New Roman" w:cs="Times New Roman"/>
                <w:lang w:val="ro-RO"/>
              </w:rPr>
            </w:pPr>
          </w:p>
          <w:p w14:paraId="703CEA2F" w14:textId="77777777" w:rsidR="00984B34" w:rsidRPr="009E686F" w:rsidRDefault="00984B34" w:rsidP="00984B34">
            <w:pPr>
              <w:jc w:val="both"/>
              <w:rPr>
                <w:rFonts w:ascii="Times New Roman" w:hAnsi="Times New Roman" w:cs="Times New Roman"/>
                <w:lang w:val="ro-RO"/>
              </w:rPr>
            </w:pPr>
          </w:p>
          <w:p w14:paraId="15D159FF" w14:textId="77777777" w:rsidR="00984B34" w:rsidRPr="009E686F" w:rsidRDefault="00984B34" w:rsidP="00984B34">
            <w:pPr>
              <w:jc w:val="both"/>
              <w:rPr>
                <w:rFonts w:ascii="Times New Roman" w:hAnsi="Times New Roman" w:cs="Times New Roman"/>
                <w:lang w:val="ro-RO"/>
              </w:rPr>
            </w:pPr>
          </w:p>
          <w:p w14:paraId="23E6FB9F" w14:textId="77777777" w:rsidR="00984B34" w:rsidRPr="009E686F" w:rsidRDefault="00984B34" w:rsidP="00984B34">
            <w:pPr>
              <w:jc w:val="both"/>
              <w:rPr>
                <w:rFonts w:ascii="Times New Roman" w:hAnsi="Times New Roman" w:cs="Times New Roman"/>
                <w:lang w:val="ro-RO"/>
              </w:rPr>
            </w:pPr>
          </w:p>
          <w:p w14:paraId="4E2D865B" w14:textId="24F6581A" w:rsidR="00984B34" w:rsidRPr="009E686F" w:rsidRDefault="00984B34" w:rsidP="00984B34">
            <w:pPr>
              <w:jc w:val="both"/>
              <w:rPr>
                <w:rFonts w:ascii="Times New Roman" w:hAnsi="Times New Roman" w:cs="Times New Roman"/>
                <w:lang w:val="ro-RO"/>
              </w:rPr>
            </w:pPr>
          </w:p>
        </w:tc>
      </w:tr>
      <w:tr w:rsidR="00984B34" w:rsidRPr="009E686F" w14:paraId="06A53FB9"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03D9D822" w14:textId="0C8A4353"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Președintele și membrii comitetului de remunerare sunt membri ai organului de conducere care nu dețin funcții executive în cadrul instituției respective. Dacă legislația națională prevede reprezentarea personalului în organul de conducere, comitetul de remunerare include unul sau mai mulți reprezentanți ai personalului. La elaborarea acestor decizii, comitetul de remunerare ține seama de interesele pe termen lung ale acționarilor, investitorilor și altor părți interesate în instituție, precum și de interesul public.</w:t>
            </w:r>
          </w:p>
        </w:tc>
        <w:tc>
          <w:tcPr>
            <w:tcW w:w="1928" w:type="pct"/>
            <w:gridSpan w:val="3"/>
            <w:tcBorders>
              <w:top w:val="single" w:sz="4" w:space="0" w:color="auto"/>
              <w:left w:val="single" w:sz="4" w:space="0" w:color="auto"/>
              <w:bottom w:val="single" w:sz="4" w:space="0" w:color="auto"/>
              <w:right w:val="single" w:sz="4" w:space="0" w:color="auto"/>
            </w:tcBorders>
          </w:tcPr>
          <w:p w14:paraId="5745385D" w14:textId="028A5D63"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1590217A" w14:textId="07788596"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netranspuse</w:t>
            </w:r>
          </w:p>
        </w:tc>
        <w:tc>
          <w:tcPr>
            <w:tcW w:w="806" w:type="pct"/>
            <w:tcBorders>
              <w:top w:val="single" w:sz="4" w:space="0" w:color="auto"/>
              <w:left w:val="single" w:sz="4" w:space="0" w:color="auto"/>
              <w:bottom w:val="single" w:sz="4" w:space="0" w:color="auto"/>
              <w:right w:val="single" w:sz="4" w:space="0" w:color="auto"/>
            </w:tcBorders>
          </w:tcPr>
          <w:p w14:paraId="40427B3E" w14:textId="53584D82" w:rsidR="00984B34" w:rsidRPr="009E686F" w:rsidRDefault="00984B34" w:rsidP="003B6D27">
            <w:pPr>
              <w:rPr>
                <w:rFonts w:ascii="Times New Roman" w:eastAsia="Times New Roman" w:hAnsi="Times New Roman" w:cs="Times New Roman"/>
                <w:bCs/>
                <w:lang w:val="it-CH" w:eastAsia="ru-RU"/>
              </w:rPr>
            </w:pPr>
            <w:r w:rsidRPr="009E686F">
              <w:rPr>
                <w:rFonts w:ascii="Times New Roman" w:hAnsi="Times New Roman" w:cs="Times New Roman"/>
                <w:lang w:val="ro-RO"/>
              </w:rPr>
              <w:t>Se vor regăsi în proiectul de modificare a Regulamentului nr. 322/2018</w:t>
            </w:r>
            <w:r w:rsidR="003B6D27" w:rsidRPr="009E686F">
              <w:rPr>
                <w:rFonts w:ascii="Times New Roman" w:hAnsi="Times New Roman" w:cs="Times New Roman"/>
                <w:lang w:val="ro-RO"/>
              </w:rPr>
              <w:t xml:space="preserve"> (</w:t>
            </w:r>
            <w:r w:rsidR="003B6D27" w:rsidRPr="009E686F">
              <w:rPr>
                <w:rFonts w:ascii="Times New Roman" w:eastAsia="Times New Roman" w:hAnsi="Times New Roman" w:cs="Times New Roman"/>
                <w:bCs/>
                <w:lang w:val="it-CH" w:eastAsia="ru-RU"/>
              </w:rPr>
              <w:t>acțiunea normativă nr. 2 din Anexa A din PNA 2025-2029 aferentă Capitolului 9 “Servicii financiare” în legătură cu transpunerea Directivei 2013/36/UE)</w:t>
            </w:r>
            <w:r w:rsidRPr="009E686F">
              <w:rPr>
                <w:rFonts w:ascii="Times New Roman" w:hAnsi="Times New Roman" w:cs="Times New Roman"/>
                <w:lang w:val="ro-RO"/>
              </w:rPr>
              <w:t>.</w:t>
            </w:r>
          </w:p>
          <w:p w14:paraId="5561090E" w14:textId="35A97035"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lastRenderedPageBreak/>
              <w:t>Legislația națională nu prevede reprezentarea personalului în organul de conducere.</w:t>
            </w:r>
          </w:p>
        </w:tc>
      </w:tr>
      <w:tr w:rsidR="00984B34" w:rsidRPr="009E686F" w14:paraId="38F8F21C" w14:textId="3FAD2B05" w:rsidTr="00774F3E">
        <w:tc>
          <w:tcPr>
            <w:tcW w:w="1796" w:type="pct"/>
            <w:gridSpan w:val="2"/>
            <w:tcBorders>
              <w:top w:val="single" w:sz="4" w:space="0" w:color="auto"/>
              <w:left w:val="single" w:sz="4" w:space="0" w:color="auto"/>
              <w:bottom w:val="single" w:sz="4" w:space="0" w:color="auto"/>
              <w:right w:val="single" w:sz="4" w:space="0" w:color="auto"/>
            </w:tcBorders>
          </w:tcPr>
          <w:p w14:paraId="44BDB624" w14:textId="77777777" w:rsidR="00984B34" w:rsidRPr="009E686F" w:rsidRDefault="00984B34" w:rsidP="00984B34">
            <w:pPr>
              <w:spacing w:after="0"/>
              <w:jc w:val="both"/>
              <w:rPr>
                <w:rFonts w:ascii="Times New Roman" w:hAnsi="Times New Roman" w:cs="Times New Roman"/>
                <w:i/>
                <w:iCs/>
                <w:lang w:val="ro-RO"/>
              </w:rPr>
            </w:pPr>
            <w:r w:rsidRPr="009E686F">
              <w:rPr>
                <w:rFonts w:ascii="Times New Roman" w:hAnsi="Times New Roman" w:cs="Times New Roman"/>
                <w:i/>
                <w:iCs/>
                <w:lang w:val="ro-RO"/>
              </w:rPr>
              <w:lastRenderedPageBreak/>
              <w:t xml:space="preserve">Articolul 96 </w:t>
            </w:r>
          </w:p>
          <w:p w14:paraId="58095A57" w14:textId="56DF0488"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Menținerea unui site internet privind guvernanța și remunerarea corporativă</w:t>
            </w:r>
          </w:p>
          <w:p w14:paraId="6D28F229" w14:textId="77777777" w:rsidR="00984B34" w:rsidRPr="009E686F" w:rsidRDefault="00984B34" w:rsidP="00984B34">
            <w:pPr>
              <w:spacing w:after="0"/>
              <w:jc w:val="both"/>
              <w:rPr>
                <w:rFonts w:ascii="Times New Roman" w:hAnsi="Times New Roman" w:cs="Times New Roman"/>
                <w:b/>
                <w:bCs/>
                <w:lang w:val="ro-RO"/>
              </w:rPr>
            </w:pPr>
          </w:p>
          <w:p w14:paraId="79DBA4BA"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Instituțiile care mențin un site internet explică prin intermediul acestuia modul în care pun în aplicare cerințele enunțate la articolele 88-95.</w:t>
            </w:r>
          </w:p>
        </w:tc>
        <w:tc>
          <w:tcPr>
            <w:tcW w:w="1928" w:type="pct"/>
            <w:gridSpan w:val="3"/>
            <w:tcBorders>
              <w:top w:val="single" w:sz="4" w:space="0" w:color="auto"/>
              <w:left w:val="single" w:sz="4" w:space="0" w:color="auto"/>
              <w:bottom w:val="single" w:sz="4" w:space="0" w:color="auto"/>
              <w:right w:val="single" w:sz="4" w:space="0" w:color="auto"/>
            </w:tcBorders>
          </w:tcPr>
          <w:p w14:paraId="4FAEFB66" w14:textId="77777777" w:rsidR="00984B34" w:rsidRPr="009E686F" w:rsidRDefault="00984B34" w:rsidP="00984B34">
            <w:pPr>
              <w:spacing w:after="0"/>
              <w:jc w:val="both"/>
              <w:rPr>
                <w:rFonts w:ascii="Times New Roman" w:hAnsi="Times New Roman" w:cs="Times New Roman"/>
                <w:color w:val="000000" w:themeColor="text1"/>
                <w:lang w:val="ro-RO"/>
              </w:rPr>
            </w:pPr>
            <w:r w:rsidRPr="009E686F">
              <w:rPr>
                <w:rFonts w:ascii="Times New Roman" w:hAnsi="Times New Roman" w:cs="Times New Roman"/>
                <w:color w:val="000000" w:themeColor="text1"/>
                <w:lang w:val="ro-RO"/>
              </w:rPr>
              <w:t>Articolul 91 alin. (6)</w:t>
            </w:r>
          </w:p>
          <w:p w14:paraId="7EFCC740" w14:textId="246DC3A7" w:rsidR="00984B34" w:rsidRPr="009E686F" w:rsidRDefault="00984B34" w:rsidP="00984B34">
            <w:pPr>
              <w:spacing w:after="0"/>
              <w:jc w:val="both"/>
              <w:rPr>
                <w:rFonts w:ascii="Times New Roman" w:hAnsi="Times New Roman" w:cs="Times New Roman"/>
                <w:color w:val="FF0000"/>
                <w:lang w:val="ro-RO"/>
              </w:rPr>
            </w:pPr>
            <w:r w:rsidRPr="009E686F">
              <w:rPr>
                <w:rFonts w:ascii="Times New Roman" w:hAnsi="Times New Roman" w:cs="Times New Roman"/>
                <w:color w:val="000000" w:themeColor="text1"/>
                <w:lang w:val="ro-RO"/>
              </w:rPr>
              <w:t xml:space="preserve">(6)  </w:t>
            </w:r>
            <w:r w:rsidRPr="009E686F">
              <w:rPr>
                <w:rFonts w:ascii="Times New Roman" w:hAnsi="Times New Roman" w:cs="Times New Roman"/>
                <w:i/>
                <w:iCs/>
                <w:lang w:val="ro-RO"/>
              </w:rPr>
              <w:t>I</w:t>
            </w:r>
            <w:r w:rsidRPr="009E686F">
              <w:rPr>
                <w:rFonts w:ascii="Times New Roman" w:hAnsi="Times New Roman" w:cs="Times New Roman"/>
                <w:i/>
                <w:iCs/>
                <w:lang w:val="it-CH"/>
              </w:rPr>
              <w:t>nstituțiile de credit</w:t>
            </w:r>
            <w:r w:rsidRPr="009E686F">
              <w:rPr>
                <w:rFonts w:ascii="Times New Roman" w:hAnsi="Times New Roman" w:cs="Times New Roman"/>
                <w:color w:val="000000" w:themeColor="text1"/>
                <w:lang w:val="ro-RO"/>
              </w:rPr>
              <w:t xml:space="preserve">  prin intermediul paginilor web trebuie să explice modul în care se  pun în aplicare  cerințele  prevăzut e la art.  39 alin. (1), 40 - 44. </w:t>
            </w:r>
          </w:p>
          <w:p w14:paraId="4274D318"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2E806920" w14:textId="1F49AB9A" w:rsidR="00984B34" w:rsidRPr="009E686F" w:rsidRDefault="00984B34" w:rsidP="00984B34">
            <w:pPr>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59C2ECA6" w14:textId="77777777" w:rsidR="00984B34" w:rsidRPr="009E686F" w:rsidRDefault="00984B34" w:rsidP="00984B34">
            <w:pPr>
              <w:jc w:val="both"/>
              <w:rPr>
                <w:rFonts w:ascii="Times New Roman" w:hAnsi="Times New Roman" w:cs="Times New Roman"/>
                <w:lang w:val="ro-RO"/>
              </w:rPr>
            </w:pPr>
          </w:p>
        </w:tc>
      </w:tr>
      <w:tr w:rsidR="00984B34" w:rsidRPr="009E686F" w14:paraId="6758D573" w14:textId="5F4904CC" w:rsidTr="00774F3E">
        <w:tc>
          <w:tcPr>
            <w:tcW w:w="5000" w:type="pct"/>
            <w:gridSpan w:val="7"/>
            <w:tcBorders>
              <w:top w:val="single" w:sz="4" w:space="0" w:color="auto"/>
              <w:left w:val="single" w:sz="4" w:space="0" w:color="auto"/>
              <w:bottom w:val="single" w:sz="4" w:space="0" w:color="auto"/>
              <w:right w:val="single" w:sz="4" w:space="0" w:color="auto"/>
            </w:tcBorders>
          </w:tcPr>
          <w:p w14:paraId="56853545" w14:textId="77777777" w:rsidR="00984B34" w:rsidRPr="009E686F" w:rsidRDefault="00984B34" w:rsidP="00984B34">
            <w:pPr>
              <w:spacing w:after="0"/>
              <w:jc w:val="both"/>
              <w:rPr>
                <w:rFonts w:ascii="Times New Roman" w:hAnsi="Times New Roman" w:cs="Times New Roman"/>
                <w:bCs/>
                <w:lang w:val="ro-RO"/>
              </w:rPr>
            </w:pPr>
            <w:r w:rsidRPr="009E686F">
              <w:rPr>
                <w:rFonts w:ascii="Times New Roman" w:hAnsi="Times New Roman" w:cs="Times New Roman"/>
                <w:bCs/>
                <w:lang w:val="ro-RO"/>
              </w:rPr>
              <w:t>Secțiunea III</w:t>
            </w:r>
          </w:p>
          <w:p w14:paraId="08A44FDE" w14:textId="7AD4477C"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b/>
                <w:lang w:val="ro-RO"/>
              </w:rPr>
              <w:t>Procesul de supraveghere și evaluare</w:t>
            </w:r>
          </w:p>
        </w:tc>
      </w:tr>
      <w:tr w:rsidR="00984B34" w:rsidRPr="009E686F" w14:paraId="07C014B8" w14:textId="242650A7" w:rsidTr="00774F3E">
        <w:tc>
          <w:tcPr>
            <w:tcW w:w="1796" w:type="pct"/>
            <w:gridSpan w:val="2"/>
            <w:tcBorders>
              <w:top w:val="single" w:sz="4" w:space="0" w:color="auto"/>
              <w:left w:val="single" w:sz="4" w:space="0" w:color="auto"/>
              <w:bottom w:val="single" w:sz="4" w:space="0" w:color="auto"/>
              <w:right w:val="single" w:sz="4" w:space="0" w:color="auto"/>
            </w:tcBorders>
          </w:tcPr>
          <w:p w14:paraId="5B1D42E3" w14:textId="77777777" w:rsidR="00984B34" w:rsidRPr="009E686F" w:rsidRDefault="00984B34" w:rsidP="00984B34">
            <w:pPr>
              <w:spacing w:after="0"/>
              <w:jc w:val="both"/>
              <w:rPr>
                <w:rFonts w:ascii="Times New Roman" w:hAnsi="Times New Roman" w:cs="Times New Roman"/>
                <w:i/>
                <w:iCs/>
                <w:lang w:val="ro-RO"/>
              </w:rPr>
            </w:pPr>
            <w:r w:rsidRPr="009E686F">
              <w:rPr>
                <w:rFonts w:ascii="Times New Roman" w:hAnsi="Times New Roman" w:cs="Times New Roman"/>
                <w:i/>
                <w:iCs/>
                <w:lang w:val="ro-RO"/>
              </w:rPr>
              <w:t xml:space="preserve">Articolul 97 </w:t>
            </w:r>
          </w:p>
          <w:p w14:paraId="16A83E17" w14:textId="46D100EC"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Procesul de supraveghere și evaluare</w:t>
            </w:r>
          </w:p>
        </w:tc>
        <w:tc>
          <w:tcPr>
            <w:tcW w:w="1928" w:type="pct"/>
            <w:gridSpan w:val="3"/>
            <w:tcBorders>
              <w:top w:val="single" w:sz="4" w:space="0" w:color="auto"/>
              <w:left w:val="single" w:sz="4" w:space="0" w:color="auto"/>
              <w:bottom w:val="single" w:sz="4" w:space="0" w:color="auto"/>
              <w:right w:val="single" w:sz="4" w:space="0" w:color="auto"/>
            </w:tcBorders>
          </w:tcPr>
          <w:p w14:paraId="1B468F70" w14:textId="6EEAEE9A"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b/>
                <w:bCs/>
                <w:lang w:val="ro-RO"/>
              </w:rPr>
              <w:t>Articolul 100.</w:t>
            </w:r>
            <w:r w:rsidRPr="009E686F">
              <w:rPr>
                <w:rFonts w:ascii="Times New Roman" w:hAnsi="Times New Roman" w:cs="Times New Roman"/>
                <w:lang w:val="ro-RO"/>
              </w:rPr>
              <w:t xml:space="preserve"> Procesul de verificare și evaluare</w:t>
            </w:r>
          </w:p>
        </w:tc>
        <w:tc>
          <w:tcPr>
            <w:tcW w:w="470" w:type="pct"/>
            <w:tcBorders>
              <w:top w:val="single" w:sz="4" w:space="0" w:color="auto"/>
              <w:left w:val="single" w:sz="4" w:space="0" w:color="auto"/>
              <w:bottom w:val="single" w:sz="4" w:space="0" w:color="auto"/>
              <w:right w:val="single" w:sz="4" w:space="0" w:color="auto"/>
            </w:tcBorders>
          </w:tcPr>
          <w:p w14:paraId="7CF96C63" w14:textId="559CCD63"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53DBB3F6" w14:textId="77777777" w:rsidR="00984B34" w:rsidRPr="009E686F" w:rsidRDefault="00984B34" w:rsidP="00984B34">
            <w:pPr>
              <w:jc w:val="both"/>
              <w:rPr>
                <w:rFonts w:ascii="Times New Roman" w:hAnsi="Times New Roman" w:cs="Times New Roman"/>
                <w:lang w:val="ro-RO"/>
              </w:rPr>
            </w:pPr>
          </w:p>
        </w:tc>
      </w:tr>
      <w:tr w:rsidR="00984B34" w:rsidRPr="009E686F" w14:paraId="51D6869B" w14:textId="6F959BEF" w:rsidTr="00130396">
        <w:tc>
          <w:tcPr>
            <w:tcW w:w="1796" w:type="pct"/>
            <w:gridSpan w:val="2"/>
            <w:vMerge w:val="restart"/>
            <w:tcBorders>
              <w:top w:val="single" w:sz="4" w:space="0" w:color="auto"/>
              <w:left w:val="single" w:sz="4" w:space="0" w:color="auto"/>
              <w:right w:val="single" w:sz="4" w:space="0" w:color="auto"/>
            </w:tcBorders>
          </w:tcPr>
          <w:p w14:paraId="437E7FCA" w14:textId="0B172E05"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(1)Ținând seama de criteriile tehnice stabilite la articolul 98, autoritățile competente analizează dispozițiile, strategiile, procedurile și mecanismele puse în aplicare de instituții pentru a se conforma prevederilor prezentei directive și Regulamentului (UE) nr. 575/2013 și evaluează:</w:t>
            </w:r>
          </w:p>
        </w:tc>
        <w:tc>
          <w:tcPr>
            <w:tcW w:w="1928" w:type="pct"/>
            <w:gridSpan w:val="3"/>
            <w:tcBorders>
              <w:top w:val="single" w:sz="4" w:space="0" w:color="auto"/>
              <w:left w:val="single" w:sz="4" w:space="0" w:color="auto"/>
              <w:bottom w:val="single" w:sz="4" w:space="0" w:color="auto"/>
              <w:right w:val="single" w:sz="4" w:space="0" w:color="auto"/>
            </w:tcBorders>
          </w:tcPr>
          <w:p w14:paraId="02FB5B8E" w14:textId="1D8C9B72"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(1) Banca Naţională a Moldovei asigură verificarea cadrului de administrare a activității, a strategiilor, proceselor şi mecanismelor implementate de fiecare  </w:t>
            </w:r>
            <w:r w:rsidRPr="009E686F">
              <w:rPr>
                <w:rFonts w:ascii="Times New Roman" w:hAnsi="Times New Roman" w:cs="Times New Roman"/>
                <w:i/>
                <w:iCs/>
                <w:lang w:val="ro-MD"/>
              </w:rPr>
              <w:t>instituție de credit</w:t>
            </w:r>
            <w:r w:rsidRPr="009E686F">
              <w:rPr>
                <w:rFonts w:ascii="Times New Roman" w:hAnsi="Times New Roman" w:cs="Times New Roman"/>
                <w:lang w:val="ro-RO"/>
              </w:rPr>
              <w:t>, pentru respectarea dispoziţiilor prezentei legi și ale actelor normative emise în aplicarea acesteia, şi realizează propria evaluare a următoarelor riscuri:</w:t>
            </w:r>
          </w:p>
        </w:tc>
        <w:tc>
          <w:tcPr>
            <w:tcW w:w="470" w:type="pct"/>
            <w:tcBorders>
              <w:top w:val="single" w:sz="4" w:space="0" w:color="auto"/>
              <w:left w:val="single" w:sz="4" w:space="0" w:color="auto"/>
              <w:bottom w:val="single" w:sz="4" w:space="0" w:color="auto"/>
              <w:right w:val="single" w:sz="4" w:space="0" w:color="auto"/>
            </w:tcBorders>
          </w:tcPr>
          <w:p w14:paraId="7FF414FF" w14:textId="0886F3B2"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78AC3E1E" w14:textId="77777777" w:rsidR="00984B34" w:rsidRPr="009E686F" w:rsidRDefault="00984B34" w:rsidP="00984B34">
            <w:pPr>
              <w:jc w:val="both"/>
              <w:rPr>
                <w:rFonts w:ascii="Times New Roman" w:hAnsi="Times New Roman" w:cs="Times New Roman"/>
                <w:lang w:val="ro-RO"/>
              </w:rPr>
            </w:pPr>
          </w:p>
        </w:tc>
      </w:tr>
      <w:tr w:rsidR="00984B34" w:rsidRPr="009E686F" w14:paraId="37D51EE7" w14:textId="77777777" w:rsidTr="008C3A92">
        <w:trPr>
          <w:trHeight w:val="1685"/>
        </w:trPr>
        <w:tc>
          <w:tcPr>
            <w:tcW w:w="1796" w:type="pct"/>
            <w:gridSpan w:val="2"/>
            <w:vMerge/>
            <w:tcBorders>
              <w:left w:val="single" w:sz="4" w:space="0" w:color="auto"/>
              <w:bottom w:val="single" w:sz="4" w:space="0" w:color="auto"/>
              <w:right w:val="single" w:sz="4" w:space="0" w:color="auto"/>
            </w:tcBorders>
          </w:tcPr>
          <w:p w14:paraId="779EDF53" w14:textId="77777777" w:rsidR="00984B34" w:rsidRPr="009E686F" w:rsidRDefault="00984B34" w:rsidP="00984B34">
            <w:pPr>
              <w:spacing w:after="0"/>
              <w:jc w:val="both"/>
              <w:rPr>
                <w:rFonts w:ascii="Times New Roman" w:hAnsi="Times New Roman" w:cs="Times New Roman"/>
                <w:lang w:val="ro-RO"/>
              </w:rPr>
            </w:pPr>
          </w:p>
        </w:tc>
        <w:tc>
          <w:tcPr>
            <w:tcW w:w="1928" w:type="pct"/>
            <w:gridSpan w:val="3"/>
            <w:tcBorders>
              <w:top w:val="single" w:sz="4" w:space="0" w:color="auto"/>
              <w:left w:val="single" w:sz="4" w:space="0" w:color="auto"/>
              <w:bottom w:val="single" w:sz="4" w:space="0" w:color="auto"/>
              <w:right w:val="single" w:sz="4" w:space="0" w:color="auto"/>
            </w:tcBorders>
          </w:tcPr>
          <w:p w14:paraId="7B1A8A45" w14:textId="44A0A1F1"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b/>
                <w:bCs/>
                <w:lang w:val="ro-RO"/>
              </w:rPr>
              <w:t>Articolul 99 a</w:t>
            </w:r>
            <w:r w:rsidRPr="009E686F">
              <w:rPr>
                <w:rFonts w:ascii="Times New Roman" w:hAnsi="Times New Roman" w:cs="Times New Roman"/>
                <w:b/>
                <w:lang w:val="ro-RO"/>
              </w:rPr>
              <w:t>lin. (5)</w:t>
            </w:r>
          </w:p>
          <w:p w14:paraId="3299CD5B"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(5) Banca Naţională a Moldovei urmăreşte realizarea unei comunicări eficiente cu fiecare </w:t>
            </w:r>
            <w:r w:rsidRPr="009E686F">
              <w:rPr>
                <w:rFonts w:ascii="Times New Roman" w:hAnsi="Times New Roman" w:cs="Times New Roman"/>
                <w:i/>
                <w:lang w:val="ro-RO"/>
              </w:rPr>
              <w:t>instituție de credit</w:t>
            </w:r>
            <w:r w:rsidRPr="009E686F">
              <w:rPr>
                <w:rFonts w:ascii="Times New Roman" w:hAnsi="Times New Roman" w:cs="Times New Roman"/>
                <w:lang w:val="ro-RO"/>
              </w:rPr>
              <w:t xml:space="preserve">, care să asigure o cunoaştere aprofundată a activităţii, organizării şi procesului intern al </w:t>
            </w:r>
            <w:r w:rsidRPr="009E686F">
              <w:rPr>
                <w:rFonts w:ascii="Times New Roman" w:hAnsi="Times New Roman" w:cs="Times New Roman"/>
                <w:i/>
                <w:lang w:val="ro-RO"/>
              </w:rPr>
              <w:t>instituției de credit</w:t>
            </w:r>
            <w:r w:rsidRPr="009E686F">
              <w:rPr>
                <w:rFonts w:ascii="Times New Roman" w:hAnsi="Times New Roman" w:cs="Times New Roman"/>
                <w:lang w:val="ro-RO"/>
              </w:rPr>
              <w:t xml:space="preserve"> de evaluare a adecvării capitalului la profilul său de risc.</w:t>
            </w:r>
          </w:p>
          <w:p w14:paraId="6B0C95B8" w14:textId="77777777"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b/>
                <w:lang w:val="ro-RO"/>
              </w:rPr>
              <w:t>Articolul 106 alin. (1)</w:t>
            </w:r>
          </w:p>
          <w:p w14:paraId="42E8FC69" w14:textId="0B9E9819"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(1) Urmărirea respectării de către </w:t>
            </w:r>
            <w:r w:rsidRPr="009E686F">
              <w:rPr>
                <w:rFonts w:ascii="Times New Roman" w:hAnsi="Times New Roman" w:cs="Times New Roman"/>
                <w:i/>
                <w:lang w:val="ro-RO"/>
              </w:rPr>
              <w:t>instituțiile de credit</w:t>
            </w:r>
            <w:r w:rsidRPr="009E686F">
              <w:rPr>
                <w:rFonts w:ascii="Times New Roman" w:hAnsi="Times New Roman" w:cs="Times New Roman"/>
                <w:lang w:val="ro-RO"/>
              </w:rPr>
              <w:t xml:space="preserve"> a cerinţelor prudenţiale şi a altor cerinţe, prevăzute de prezenta </w:t>
            </w:r>
            <w:r w:rsidRPr="009E686F">
              <w:rPr>
                <w:rFonts w:ascii="Times New Roman" w:hAnsi="Times New Roman" w:cs="Times New Roman"/>
                <w:lang w:val="ro-RO"/>
              </w:rPr>
              <w:lastRenderedPageBreak/>
              <w:t xml:space="preserve">lege şi de actele normative aplicabile, se realizează de către Banca Naţională a Moldovei pe baza rapoartelor transmise de </w:t>
            </w:r>
            <w:r w:rsidRPr="009E686F">
              <w:rPr>
                <w:rFonts w:ascii="Times New Roman" w:hAnsi="Times New Roman" w:cs="Times New Roman"/>
                <w:i/>
                <w:lang w:val="ro-RO"/>
              </w:rPr>
              <w:t>instituțiile de credit</w:t>
            </w:r>
            <w:r w:rsidRPr="009E686F">
              <w:rPr>
                <w:rFonts w:ascii="Times New Roman" w:hAnsi="Times New Roman" w:cs="Times New Roman"/>
                <w:lang w:val="ro-RO"/>
              </w:rPr>
              <w:t xml:space="preserve"> şi prin controale desfăşurate asupra </w:t>
            </w:r>
            <w:r w:rsidRPr="009E686F">
              <w:rPr>
                <w:rFonts w:ascii="Times New Roman" w:hAnsi="Times New Roman" w:cs="Times New Roman"/>
                <w:i/>
                <w:lang w:val="ro-RO"/>
              </w:rPr>
              <w:t>instituțiilor de credit  şi</w:t>
            </w:r>
            <w:r w:rsidRPr="009E686F">
              <w:rPr>
                <w:rFonts w:ascii="Times New Roman" w:hAnsi="Times New Roman" w:cs="Times New Roman"/>
                <w:lang w:val="ro-RO"/>
              </w:rPr>
              <w:t xml:space="preserve"> sucursalelor acestora din Republica Moldova şi din străinătate.</w:t>
            </w:r>
          </w:p>
          <w:p w14:paraId="24EA7155" w14:textId="0482695C" w:rsidR="00984B34" w:rsidRPr="009E686F" w:rsidRDefault="00984B34" w:rsidP="00984B34">
            <w:pPr>
              <w:spacing w:after="0"/>
              <w:jc w:val="both"/>
              <w:rPr>
                <w:rFonts w:ascii="Times New Roman" w:hAnsi="Times New Roman" w:cs="Times New Roman"/>
                <w:lang w:val="ro-RO"/>
              </w:rPr>
            </w:pPr>
          </w:p>
        </w:tc>
        <w:tc>
          <w:tcPr>
            <w:tcW w:w="470" w:type="pct"/>
            <w:tcBorders>
              <w:top w:val="single" w:sz="4" w:space="0" w:color="auto"/>
              <w:left w:val="single" w:sz="4" w:space="0" w:color="auto"/>
              <w:bottom w:val="single" w:sz="4" w:space="0" w:color="auto"/>
              <w:right w:val="single" w:sz="4" w:space="0" w:color="auto"/>
            </w:tcBorders>
          </w:tcPr>
          <w:p w14:paraId="510A9F39" w14:textId="48926D2D"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1F8B2347" w14:textId="443F6600"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 xml:space="preserve">Normă cu specific national de implementare din Legea nr. 202/2017, care detaliază instrumentele și domeniul de exercitare a supravegherii prudențiale de către BNM, inclusiv asupra </w:t>
            </w:r>
            <w:r w:rsidRPr="009E686F">
              <w:rPr>
                <w:rFonts w:ascii="Times New Roman" w:hAnsi="Times New Roman" w:cs="Times New Roman"/>
                <w:lang w:val="ro-RO"/>
              </w:rPr>
              <w:lastRenderedPageBreak/>
              <w:t>sucursalelor instituțiilor de credit.</w:t>
            </w:r>
          </w:p>
        </w:tc>
      </w:tr>
      <w:tr w:rsidR="00984B34" w:rsidRPr="009E686F" w14:paraId="184F7892" w14:textId="6E680D4A" w:rsidTr="00774F3E">
        <w:tc>
          <w:tcPr>
            <w:tcW w:w="1796" w:type="pct"/>
            <w:gridSpan w:val="2"/>
            <w:tcBorders>
              <w:top w:val="single" w:sz="4" w:space="0" w:color="auto"/>
              <w:left w:val="single" w:sz="4" w:space="0" w:color="auto"/>
              <w:bottom w:val="single" w:sz="4" w:space="0" w:color="auto"/>
              <w:right w:val="single" w:sz="4" w:space="0" w:color="auto"/>
            </w:tcBorders>
          </w:tcPr>
          <w:p w14:paraId="6DF903AF" w14:textId="313C1E6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lastRenderedPageBreak/>
              <w:t>(a)riscuri la care sunt expuse sau ar putea fi expuse instituțiile;</w:t>
            </w:r>
          </w:p>
        </w:tc>
        <w:tc>
          <w:tcPr>
            <w:tcW w:w="1928" w:type="pct"/>
            <w:gridSpan w:val="3"/>
            <w:tcBorders>
              <w:top w:val="single" w:sz="4" w:space="0" w:color="auto"/>
              <w:left w:val="single" w:sz="4" w:space="0" w:color="auto"/>
              <w:bottom w:val="single" w:sz="4" w:space="0" w:color="auto"/>
              <w:right w:val="single" w:sz="4" w:space="0" w:color="auto"/>
            </w:tcBorders>
          </w:tcPr>
          <w:p w14:paraId="32AFACB0" w14:textId="14DE447E" w:rsidR="00984B34" w:rsidRPr="009E686F" w:rsidRDefault="00984B34" w:rsidP="00984B34">
            <w:pPr>
              <w:spacing w:after="0"/>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 xml:space="preserve">a) riscurile la care </w:t>
            </w:r>
            <w:r w:rsidRPr="009E686F">
              <w:rPr>
                <w:rFonts w:ascii="Times New Roman" w:eastAsia="Aptos" w:hAnsi="Times New Roman" w:cs="Times New Roman"/>
                <w:i/>
                <w:iCs/>
                <w:kern w:val="2"/>
                <w:lang w:val="ro-MD"/>
              </w:rPr>
              <w:t>instituția de credit</w:t>
            </w:r>
            <w:r w:rsidRPr="009E686F">
              <w:rPr>
                <w:rFonts w:ascii="Times New Roman" w:eastAsia="Aptos" w:hAnsi="Times New Roman" w:cs="Times New Roman"/>
                <w:kern w:val="2"/>
                <w:lang w:val="ro-MD"/>
              </w:rPr>
              <w:t xml:space="preserve"> este sau poate fi expusă, inclusiv riscurile de mediu, sociale și de guvernanță; </w:t>
            </w:r>
          </w:p>
        </w:tc>
        <w:tc>
          <w:tcPr>
            <w:tcW w:w="470" w:type="pct"/>
            <w:tcBorders>
              <w:top w:val="single" w:sz="4" w:space="0" w:color="auto"/>
              <w:left w:val="single" w:sz="4" w:space="0" w:color="auto"/>
              <w:bottom w:val="single" w:sz="4" w:space="0" w:color="auto"/>
              <w:right w:val="single" w:sz="4" w:space="0" w:color="auto"/>
            </w:tcBorders>
          </w:tcPr>
          <w:p w14:paraId="188097E2" w14:textId="7A2B95A2"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31040DC1" w14:textId="77777777" w:rsidR="00984B34" w:rsidRPr="009E686F" w:rsidRDefault="00984B34" w:rsidP="00984B34">
            <w:pPr>
              <w:jc w:val="both"/>
              <w:rPr>
                <w:rFonts w:ascii="Times New Roman" w:hAnsi="Times New Roman" w:cs="Times New Roman"/>
                <w:lang w:val="ro-RO"/>
              </w:rPr>
            </w:pPr>
          </w:p>
        </w:tc>
      </w:tr>
      <w:tr w:rsidR="00984B34" w:rsidRPr="009E686F" w14:paraId="355F1900" w14:textId="4C34197D" w:rsidTr="00774F3E">
        <w:tc>
          <w:tcPr>
            <w:tcW w:w="1796" w:type="pct"/>
            <w:gridSpan w:val="2"/>
            <w:tcBorders>
              <w:top w:val="single" w:sz="4" w:space="0" w:color="auto"/>
              <w:left w:val="single" w:sz="4" w:space="0" w:color="auto"/>
              <w:bottom w:val="single" w:sz="4" w:space="0" w:color="auto"/>
              <w:right w:val="single" w:sz="4" w:space="0" w:color="auto"/>
            </w:tcBorders>
          </w:tcPr>
          <w:p w14:paraId="211E8D28" w14:textId="5478FBF2"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(c) riscuri evidențiate în urma simulărilor de criză, având în vedere natura, amploarea și complexitatea activităților unei instituții.</w:t>
            </w:r>
          </w:p>
        </w:tc>
        <w:tc>
          <w:tcPr>
            <w:tcW w:w="1928" w:type="pct"/>
            <w:gridSpan w:val="3"/>
            <w:tcBorders>
              <w:top w:val="single" w:sz="4" w:space="0" w:color="auto"/>
              <w:left w:val="single" w:sz="4" w:space="0" w:color="auto"/>
              <w:bottom w:val="single" w:sz="4" w:space="0" w:color="auto"/>
              <w:right w:val="single" w:sz="4" w:space="0" w:color="auto"/>
            </w:tcBorders>
          </w:tcPr>
          <w:p w14:paraId="7D3EF085" w14:textId="5EC54B32"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 </w:t>
            </w:r>
            <w:r w:rsidRPr="009E686F">
              <w:rPr>
                <w:rFonts w:ascii="Times New Roman" w:eastAsia="Aptos" w:hAnsi="Times New Roman" w:cs="Times New Roman"/>
                <w:kern w:val="2"/>
                <w:lang w:val="ro-MD"/>
              </w:rPr>
              <w:t xml:space="preserve">c) riscurile identificate prin simulări de criză, cu luarea în considerare a naturii, </w:t>
            </w:r>
            <w:r w:rsidRPr="009E686F">
              <w:rPr>
                <w:rFonts w:ascii="Times New Roman" w:eastAsia="Aptos" w:hAnsi="Times New Roman" w:cs="Times New Roman"/>
                <w:i/>
                <w:kern w:val="2"/>
                <w:lang w:val="ro-MD"/>
              </w:rPr>
              <w:t>amplorii</w:t>
            </w:r>
            <w:r w:rsidRPr="009E686F">
              <w:rPr>
                <w:rFonts w:ascii="Times New Roman" w:eastAsia="Aptos" w:hAnsi="Times New Roman" w:cs="Times New Roman"/>
                <w:kern w:val="2"/>
                <w:lang w:val="ro-MD"/>
              </w:rPr>
              <w:t xml:space="preserve"> şi complexităţii activităţilor instituțiilor;</w:t>
            </w:r>
          </w:p>
        </w:tc>
        <w:tc>
          <w:tcPr>
            <w:tcW w:w="470" w:type="pct"/>
            <w:tcBorders>
              <w:top w:val="single" w:sz="4" w:space="0" w:color="auto"/>
              <w:left w:val="single" w:sz="4" w:space="0" w:color="auto"/>
              <w:bottom w:val="single" w:sz="4" w:space="0" w:color="auto"/>
              <w:right w:val="single" w:sz="4" w:space="0" w:color="auto"/>
            </w:tcBorders>
          </w:tcPr>
          <w:p w14:paraId="729E1380" w14:textId="44F22C1C"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26F6B4BC" w14:textId="77777777" w:rsidR="00984B34" w:rsidRPr="009E686F" w:rsidRDefault="00984B34" w:rsidP="00984B34">
            <w:pPr>
              <w:jc w:val="both"/>
              <w:rPr>
                <w:rFonts w:ascii="Times New Roman" w:hAnsi="Times New Roman" w:cs="Times New Roman"/>
                <w:lang w:val="ro-RO"/>
              </w:rPr>
            </w:pPr>
          </w:p>
        </w:tc>
      </w:tr>
      <w:tr w:rsidR="00984B34" w:rsidRPr="009E686F" w14:paraId="3ACF4A46"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2CB51850" w14:textId="61B0C8E6"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d)riscurile evidențiate de testare rezilienței operaționale digitale în conformitate cu capitolul IV din Regulamentul (UE) 2022/2554.</w:t>
            </w:r>
          </w:p>
        </w:tc>
        <w:tc>
          <w:tcPr>
            <w:tcW w:w="1928" w:type="pct"/>
            <w:gridSpan w:val="3"/>
            <w:tcBorders>
              <w:top w:val="single" w:sz="4" w:space="0" w:color="auto"/>
              <w:left w:val="single" w:sz="4" w:space="0" w:color="auto"/>
              <w:bottom w:val="single" w:sz="4" w:space="0" w:color="auto"/>
              <w:right w:val="single" w:sz="4" w:space="0" w:color="auto"/>
            </w:tcBorders>
          </w:tcPr>
          <w:p w14:paraId="5377586A" w14:textId="01D8FADD" w:rsidR="00984B34" w:rsidRPr="009E686F" w:rsidRDefault="00984B34" w:rsidP="00984B34">
            <w:pPr>
              <w:spacing w:after="0"/>
              <w:jc w:val="both"/>
              <w:rPr>
                <w:rFonts w:ascii="Times New Roman" w:hAnsi="Times New Roman" w:cs="Times New Roman"/>
                <w:i/>
                <w:lang w:val="ro-RO"/>
              </w:rPr>
            </w:pPr>
            <w:r w:rsidRPr="009E686F">
              <w:rPr>
                <w:rFonts w:ascii="Times New Roman" w:eastAsia="Aptos" w:hAnsi="Times New Roman" w:cs="Times New Roman"/>
                <w:i/>
                <w:kern w:val="2"/>
                <w:lang w:val="ro-MD"/>
              </w:rPr>
              <w:t>d) riscurile evidențiate de testare rezilienței operaționale digitale în conformitate actele normative ale BNM privind reziliența operațională digitală a sectorului financiar.</w:t>
            </w:r>
          </w:p>
        </w:tc>
        <w:tc>
          <w:tcPr>
            <w:tcW w:w="470" w:type="pct"/>
            <w:tcBorders>
              <w:top w:val="single" w:sz="4" w:space="0" w:color="auto"/>
              <w:left w:val="single" w:sz="4" w:space="0" w:color="auto"/>
              <w:bottom w:val="single" w:sz="4" w:space="0" w:color="auto"/>
              <w:right w:val="single" w:sz="4" w:space="0" w:color="auto"/>
            </w:tcBorders>
          </w:tcPr>
          <w:p w14:paraId="2487BC37" w14:textId="77777777"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064C5E6E" w14:textId="77777777" w:rsidR="00984B34" w:rsidRPr="009E686F" w:rsidRDefault="00984B34" w:rsidP="00984B34">
            <w:pPr>
              <w:jc w:val="both"/>
              <w:rPr>
                <w:rFonts w:ascii="Times New Roman" w:hAnsi="Times New Roman" w:cs="Times New Roman"/>
                <w:lang w:val="ro-RO"/>
              </w:rPr>
            </w:pPr>
          </w:p>
        </w:tc>
      </w:tr>
      <w:tr w:rsidR="00984B34" w:rsidRPr="009E686F" w14:paraId="4A39B087" w14:textId="180D0ACC" w:rsidTr="00774F3E">
        <w:tc>
          <w:tcPr>
            <w:tcW w:w="1796" w:type="pct"/>
            <w:gridSpan w:val="2"/>
            <w:tcBorders>
              <w:top w:val="single" w:sz="4" w:space="0" w:color="auto"/>
              <w:left w:val="single" w:sz="4" w:space="0" w:color="auto"/>
              <w:bottom w:val="single" w:sz="4" w:space="0" w:color="auto"/>
              <w:right w:val="single" w:sz="4" w:space="0" w:color="auto"/>
            </w:tcBorders>
          </w:tcPr>
          <w:p w14:paraId="19EB8E44" w14:textId="3C0320E4"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(2) Sfera de aplicare a analizei și a evaluării menționate la alineatul (1) îndeplinește toate cerințele prezentei directive și ale Regulamentului (UE) nr. 575/2013.</w:t>
            </w:r>
          </w:p>
        </w:tc>
        <w:tc>
          <w:tcPr>
            <w:tcW w:w="1928" w:type="pct"/>
            <w:gridSpan w:val="3"/>
            <w:tcBorders>
              <w:top w:val="single" w:sz="4" w:space="0" w:color="auto"/>
              <w:left w:val="single" w:sz="4" w:space="0" w:color="auto"/>
              <w:bottom w:val="single" w:sz="4" w:space="0" w:color="auto"/>
              <w:right w:val="single" w:sz="4" w:space="0" w:color="auto"/>
            </w:tcBorders>
          </w:tcPr>
          <w:p w14:paraId="0C21C718" w14:textId="624308B1" w:rsidR="00984B34" w:rsidRPr="009E686F" w:rsidRDefault="00984B34" w:rsidP="00984B34">
            <w:pPr>
              <w:spacing w:after="0"/>
              <w:jc w:val="both"/>
              <w:rPr>
                <w:rFonts w:ascii="Times New Roman" w:hAnsi="Times New Roman" w:cs="Times New Roman"/>
                <w:b/>
                <w:lang w:val="ro-RO"/>
              </w:rPr>
            </w:pPr>
            <w:r w:rsidRPr="009E686F">
              <w:rPr>
                <w:rFonts w:ascii="Times New Roman" w:eastAsia="Aptos" w:hAnsi="Times New Roman" w:cs="Times New Roman"/>
                <w:kern w:val="2"/>
                <w:lang w:val="ro-MD"/>
              </w:rPr>
              <w:t xml:space="preserve">(2) Verificările şi evaluările menţionate la alin.(1) au în vedere urmărirea îndeplinirii de către </w:t>
            </w:r>
            <w:r w:rsidRPr="009E686F">
              <w:rPr>
                <w:rFonts w:ascii="Times New Roman" w:eastAsia="Aptos" w:hAnsi="Times New Roman" w:cs="Times New Roman"/>
                <w:i/>
                <w:iCs/>
                <w:kern w:val="2"/>
                <w:lang w:val="ro-MD"/>
              </w:rPr>
              <w:t xml:space="preserve">instituțiile de credit </w:t>
            </w:r>
            <w:r w:rsidRPr="009E686F">
              <w:rPr>
                <w:rFonts w:ascii="Times New Roman" w:eastAsia="Aptos" w:hAnsi="Times New Roman" w:cs="Times New Roman"/>
                <w:kern w:val="2"/>
                <w:lang w:val="ro-MD"/>
              </w:rPr>
              <w:t>a tuturor cerinţelor cuprinse în prezenta lege şi în actele normative emise în aplicarea acesteia.</w:t>
            </w:r>
          </w:p>
        </w:tc>
        <w:tc>
          <w:tcPr>
            <w:tcW w:w="470" w:type="pct"/>
            <w:tcBorders>
              <w:top w:val="single" w:sz="4" w:space="0" w:color="auto"/>
              <w:left w:val="single" w:sz="4" w:space="0" w:color="auto"/>
              <w:bottom w:val="single" w:sz="4" w:space="0" w:color="auto"/>
              <w:right w:val="single" w:sz="4" w:space="0" w:color="auto"/>
            </w:tcBorders>
          </w:tcPr>
          <w:p w14:paraId="06DF93E7" w14:textId="1992F821"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165213F1" w14:textId="77777777" w:rsidR="00984B34" w:rsidRPr="009E686F" w:rsidRDefault="00984B34" w:rsidP="00984B34">
            <w:pPr>
              <w:jc w:val="both"/>
              <w:rPr>
                <w:rFonts w:ascii="Times New Roman" w:hAnsi="Times New Roman" w:cs="Times New Roman"/>
                <w:lang w:val="ro-RO"/>
              </w:rPr>
            </w:pPr>
          </w:p>
        </w:tc>
      </w:tr>
      <w:tr w:rsidR="00984B34" w:rsidRPr="009E686F" w14:paraId="1E3E49F8" w14:textId="5E08DF0D" w:rsidTr="001B589B">
        <w:tc>
          <w:tcPr>
            <w:tcW w:w="1796" w:type="pct"/>
            <w:gridSpan w:val="2"/>
            <w:vMerge w:val="restart"/>
            <w:tcBorders>
              <w:top w:val="single" w:sz="4" w:space="0" w:color="auto"/>
              <w:left w:val="single" w:sz="4" w:space="0" w:color="auto"/>
              <w:right w:val="single" w:sz="4" w:space="0" w:color="auto"/>
            </w:tcBorders>
          </w:tcPr>
          <w:p w14:paraId="0BC276A9" w14:textId="6ACBD708"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(3) Pe baza analizei și a evaluării menționate la alineatul (1), autoritățile competente stabilesc dacă dispozițiile, strategiile, procedurile și mecanismele puse în aplicare de instituții și fondurile proprii și lichiditatea deținute de acestea asigură o gestionare și o acoperire adecvată a riscurilor lor.</w:t>
            </w:r>
          </w:p>
        </w:tc>
        <w:tc>
          <w:tcPr>
            <w:tcW w:w="1928" w:type="pct"/>
            <w:gridSpan w:val="3"/>
            <w:tcBorders>
              <w:top w:val="single" w:sz="4" w:space="0" w:color="auto"/>
              <w:left w:val="single" w:sz="4" w:space="0" w:color="auto"/>
              <w:bottom w:val="single" w:sz="4" w:space="0" w:color="auto"/>
              <w:right w:val="single" w:sz="4" w:space="0" w:color="auto"/>
            </w:tcBorders>
          </w:tcPr>
          <w:p w14:paraId="462E2245" w14:textId="40B14944" w:rsidR="00984B34" w:rsidRPr="009E686F" w:rsidRDefault="00984B34" w:rsidP="00984B34">
            <w:pPr>
              <w:spacing w:after="0"/>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 xml:space="preserve">(3) Pe baza verificării şi evaluării menţionate la alin.(1), Banca Naţională a Moldovei determină dacă cadrul de administrare a activităţii, strategiile, procesele şi mecanismele implementate de o </w:t>
            </w:r>
            <w:r w:rsidRPr="009E686F">
              <w:rPr>
                <w:rFonts w:ascii="Times New Roman" w:eastAsia="Aptos" w:hAnsi="Times New Roman" w:cs="Times New Roman"/>
                <w:i/>
                <w:iCs/>
                <w:kern w:val="2"/>
                <w:lang w:val="ro-MD"/>
              </w:rPr>
              <w:t>instituția de credit</w:t>
            </w:r>
            <w:r w:rsidRPr="009E686F">
              <w:rPr>
                <w:rFonts w:ascii="Times New Roman" w:eastAsia="Aptos" w:hAnsi="Times New Roman" w:cs="Times New Roman"/>
                <w:kern w:val="2"/>
                <w:lang w:val="ro-MD"/>
              </w:rPr>
              <w:t xml:space="preserve">, fondurile proprii deţinute şi lichiditatea acesteia asigură o administrare prudentă şi o acoperire adecvată a riscurilor în raport cu profilul de risc al </w:t>
            </w:r>
            <w:r w:rsidRPr="009E686F">
              <w:rPr>
                <w:rFonts w:ascii="Times New Roman" w:eastAsia="Aptos" w:hAnsi="Times New Roman" w:cs="Times New Roman"/>
                <w:i/>
                <w:iCs/>
                <w:kern w:val="2"/>
                <w:lang w:val="ro-MD"/>
              </w:rPr>
              <w:t>instituției de credit</w:t>
            </w:r>
            <w:r w:rsidRPr="009E686F">
              <w:rPr>
                <w:rFonts w:ascii="Times New Roman" w:eastAsia="Aptos" w:hAnsi="Times New Roman" w:cs="Times New Roman"/>
                <w:kern w:val="2"/>
                <w:lang w:val="ro-MD"/>
              </w:rPr>
              <w:t>.</w:t>
            </w:r>
          </w:p>
          <w:p w14:paraId="71CC2668" w14:textId="3E518AC4" w:rsidR="00984B34" w:rsidRPr="009E686F" w:rsidRDefault="00984B34" w:rsidP="00984B34">
            <w:pPr>
              <w:spacing w:after="0"/>
              <w:jc w:val="both"/>
              <w:rPr>
                <w:rFonts w:ascii="Times New Roman" w:hAnsi="Times New Roman" w:cs="Times New Roman"/>
                <w:lang w:val="ro-RO"/>
              </w:rPr>
            </w:pPr>
          </w:p>
        </w:tc>
        <w:tc>
          <w:tcPr>
            <w:tcW w:w="470" w:type="pct"/>
            <w:tcBorders>
              <w:top w:val="single" w:sz="4" w:space="0" w:color="auto"/>
              <w:left w:val="single" w:sz="4" w:space="0" w:color="auto"/>
              <w:bottom w:val="single" w:sz="4" w:space="0" w:color="auto"/>
              <w:right w:val="single" w:sz="4" w:space="0" w:color="auto"/>
            </w:tcBorders>
          </w:tcPr>
          <w:p w14:paraId="3FEA6555" w14:textId="7E763E38"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07DFE3DB" w14:textId="77777777" w:rsidR="00984B34" w:rsidRPr="009E686F" w:rsidRDefault="00984B34" w:rsidP="00984B34">
            <w:pPr>
              <w:jc w:val="both"/>
              <w:rPr>
                <w:rFonts w:ascii="Times New Roman" w:hAnsi="Times New Roman" w:cs="Times New Roman"/>
                <w:lang w:val="ro-RO"/>
              </w:rPr>
            </w:pPr>
          </w:p>
        </w:tc>
      </w:tr>
      <w:tr w:rsidR="00984B34" w:rsidRPr="009E686F" w14:paraId="59B0EF62" w14:textId="77777777" w:rsidTr="001B589B">
        <w:tc>
          <w:tcPr>
            <w:tcW w:w="1796" w:type="pct"/>
            <w:gridSpan w:val="2"/>
            <w:vMerge/>
            <w:tcBorders>
              <w:left w:val="single" w:sz="4" w:space="0" w:color="auto"/>
              <w:bottom w:val="single" w:sz="4" w:space="0" w:color="auto"/>
              <w:right w:val="single" w:sz="4" w:space="0" w:color="auto"/>
            </w:tcBorders>
          </w:tcPr>
          <w:p w14:paraId="3C9E40CC" w14:textId="77777777" w:rsidR="00984B34" w:rsidRPr="009E686F" w:rsidRDefault="00984B34" w:rsidP="00984B34">
            <w:pPr>
              <w:spacing w:after="0"/>
              <w:jc w:val="both"/>
              <w:rPr>
                <w:rFonts w:ascii="Times New Roman" w:hAnsi="Times New Roman" w:cs="Times New Roman"/>
                <w:lang w:val="ro-RO"/>
              </w:rPr>
            </w:pPr>
          </w:p>
        </w:tc>
        <w:tc>
          <w:tcPr>
            <w:tcW w:w="1928" w:type="pct"/>
            <w:gridSpan w:val="3"/>
            <w:tcBorders>
              <w:top w:val="single" w:sz="4" w:space="0" w:color="auto"/>
              <w:left w:val="single" w:sz="4" w:space="0" w:color="auto"/>
              <w:bottom w:val="single" w:sz="4" w:space="0" w:color="auto"/>
              <w:right w:val="single" w:sz="4" w:space="0" w:color="auto"/>
            </w:tcBorders>
          </w:tcPr>
          <w:p w14:paraId="7B4643E3" w14:textId="526F67D6" w:rsidR="00984B34" w:rsidRPr="009E686F" w:rsidRDefault="00984B34" w:rsidP="00984B34">
            <w:pPr>
              <w:spacing w:after="0"/>
              <w:jc w:val="both"/>
              <w:rPr>
                <w:rFonts w:ascii="Times New Roman" w:eastAsia="Aptos" w:hAnsi="Times New Roman" w:cs="Times New Roman"/>
                <w:b/>
                <w:bCs/>
                <w:kern w:val="2"/>
                <w:lang w:val="ro-MD"/>
              </w:rPr>
            </w:pPr>
            <w:r w:rsidRPr="009E686F">
              <w:rPr>
                <w:rFonts w:ascii="Times New Roman" w:eastAsia="Aptos" w:hAnsi="Times New Roman" w:cs="Times New Roman"/>
                <w:b/>
                <w:bCs/>
                <w:kern w:val="2"/>
                <w:lang w:val="ro-MD"/>
              </w:rPr>
              <w:t>Articolul 38 alin. (5)</w:t>
            </w:r>
          </w:p>
          <w:p w14:paraId="1E28B7CA" w14:textId="4831BE98"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(5) </w:t>
            </w:r>
            <w:r w:rsidRPr="009E686F">
              <w:rPr>
                <w:rFonts w:ascii="Times New Roman" w:hAnsi="Times New Roman" w:cs="Times New Roman"/>
                <w:i/>
                <w:lang w:val="ro-RO"/>
              </w:rPr>
              <w:t>Instituția de credit</w:t>
            </w:r>
            <w:r w:rsidRPr="009E686F">
              <w:rPr>
                <w:rFonts w:ascii="Times New Roman" w:hAnsi="Times New Roman" w:cs="Times New Roman"/>
                <w:lang w:val="ro-RO"/>
              </w:rPr>
              <w:t xml:space="preserve"> este obligată să raporteze anual cu privire la condiţiile în care se desfăşoară cadrul de administrare a activităţii </w:t>
            </w:r>
            <w:r w:rsidRPr="009E686F">
              <w:rPr>
                <w:rFonts w:ascii="Times New Roman" w:hAnsi="Times New Roman" w:cs="Times New Roman"/>
                <w:i/>
                <w:lang w:val="ro-RO"/>
              </w:rPr>
              <w:t>instituției de credit</w:t>
            </w:r>
            <w:r w:rsidRPr="009E686F">
              <w:rPr>
                <w:rFonts w:ascii="Times New Roman" w:hAnsi="Times New Roman" w:cs="Times New Roman"/>
                <w:lang w:val="ro-RO"/>
              </w:rPr>
              <w:t>, în conformitate cu actele normative ale Băncii Naţionale a Moldovei.</w:t>
            </w:r>
          </w:p>
        </w:tc>
        <w:tc>
          <w:tcPr>
            <w:tcW w:w="470" w:type="pct"/>
            <w:tcBorders>
              <w:top w:val="single" w:sz="4" w:space="0" w:color="auto"/>
              <w:left w:val="single" w:sz="4" w:space="0" w:color="auto"/>
              <w:bottom w:val="single" w:sz="4" w:space="0" w:color="auto"/>
              <w:right w:val="single" w:sz="4" w:space="0" w:color="auto"/>
            </w:tcBorders>
          </w:tcPr>
          <w:p w14:paraId="1B1F8685" w14:textId="51E76259"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23785065" w14:textId="2AA39BAA"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Normă cu specific național cu scop de implementare pentru asigurarea unei supravegheri eficiente de către BNM.</w:t>
            </w:r>
          </w:p>
        </w:tc>
      </w:tr>
      <w:tr w:rsidR="00984B34" w:rsidRPr="009E686F" w14:paraId="09340DDA" w14:textId="6780D529" w:rsidTr="00774F3E">
        <w:tc>
          <w:tcPr>
            <w:tcW w:w="1796" w:type="pct"/>
            <w:gridSpan w:val="2"/>
            <w:tcBorders>
              <w:top w:val="single" w:sz="4" w:space="0" w:color="auto"/>
              <w:left w:val="single" w:sz="4" w:space="0" w:color="auto"/>
              <w:bottom w:val="single" w:sz="4" w:space="0" w:color="auto"/>
              <w:right w:val="single" w:sz="4" w:space="0" w:color="auto"/>
            </w:tcBorders>
          </w:tcPr>
          <w:p w14:paraId="16361D11" w14:textId="2F4CF203"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lastRenderedPageBreak/>
              <w:t>(4) Autoritățile competente stabilesc frecvența și intensitatea analizei și evaluării menționate la alineatul (1), ținând seama de mărimea, importanța sistemică, natura, amploarea și complexitatea activităților desfășurate de instituția în cauză, precum și de principiul proporționalității. Actualizarea analizei și evaluării se face cel puțin o dată pe an în cazul instituțiilor care fac obiectul programului de supraveghere prudențială menționat la articolul 99 alineatul (2).</w:t>
            </w:r>
          </w:p>
        </w:tc>
        <w:tc>
          <w:tcPr>
            <w:tcW w:w="1928" w:type="pct"/>
            <w:gridSpan w:val="3"/>
            <w:tcBorders>
              <w:top w:val="single" w:sz="4" w:space="0" w:color="auto"/>
              <w:left w:val="single" w:sz="4" w:space="0" w:color="auto"/>
              <w:bottom w:val="single" w:sz="4" w:space="0" w:color="auto"/>
              <w:right w:val="single" w:sz="4" w:space="0" w:color="auto"/>
            </w:tcBorders>
          </w:tcPr>
          <w:p w14:paraId="39E120FD" w14:textId="7FDA1BE2" w:rsidR="00984B34" w:rsidRPr="009E686F" w:rsidRDefault="00984B34" w:rsidP="00984B34">
            <w:pPr>
              <w:spacing w:after="0"/>
              <w:jc w:val="both"/>
              <w:rPr>
                <w:rFonts w:ascii="Times New Roman" w:hAnsi="Times New Roman" w:cs="Times New Roman"/>
                <w:lang w:val="ro-RO"/>
              </w:rPr>
            </w:pPr>
            <w:r w:rsidRPr="009E686F">
              <w:rPr>
                <w:rFonts w:ascii="Times New Roman" w:eastAsia="Aptos" w:hAnsi="Times New Roman" w:cs="Times New Roman"/>
                <w:kern w:val="2"/>
                <w:lang w:val="ro-MD"/>
              </w:rPr>
              <w:t xml:space="preserve">(4) Banca Naţională a Moldovei stabileşte frecvenţa şi </w:t>
            </w:r>
            <w:r w:rsidRPr="009E686F">
              <w:rPr>
                <w:rFonts w:ascii="Times New Roman" w:eastAsia="Aptos" w:hAnsi="Times New Roman" w:cs="Times New Roman"/>
                <w:i/>
                <w:kern w:val="2"/>
                <w:lang w:val="ro-MD"/>
              </w:rPr>
              <w:t>intensitatea</w:t>
            </w:r>
            <w:r w:rsidRPr="009E686F">
              <w:rPr>
                <w:rFonts w:ascii="Times New Roman" w:eastAsia="Aptos" w:hAnsi="Times New Roman" w:cs="Times New Roman"/>
                <w:kern w:val="2"/>
                <w:lang w:val="ro-MD"/>
              </w:rPr>
              <w:t xml:space="preserve"> verificărilor şi evaluărilor menţionate la alin.(1), cu luarea în considerare a principiului proporţionalităţii, respectiv avînd în vedere mărimea, importanţa sistemică, natura, </w:t>
            </w:r>
            <w:r w:rsidRPr="009E686F">
              <w:rPr>
                <w:rFonts w:ascii="Times New Roman" w:eastAsia="Aptos" w:hAnsi="Times New Roman" w:cs="Times New Roman"/>
                <w:i/>
                <w:kern w:val="2"/>
                <w:lang w:val="ro-MD"/>
              </w:rPr>
              <w:t>amploarea</w:t>
            </w:r>
            <w:r w:rsidRPr="009E686F">
              <w:rPr>
                <w:rFonts w:ascii="Times New Roman" w:eastAsia="Aptos" w:hAnsi="Times New Roman" w:cs="Times New Roman"/>
                <w:kern w:val="2"/>
                <w:lang w:val="ro-MD"/>
              </w:rPr>
              <w:t xml:space="preserve"> şi complexitatea activităţilor desfăşurate de fiecare </w:t>
            </w:r>
            <w:r w:rsidRPr="009E686F">
              <w:rPr>
                <w:rFonts w:ascii="Times New Roman" w:eastAsia="Aptos" w:hAnsi="Times New Roman" w:cs="Times New Roman"/>
                <w:i/>
                <w:iCs/>
                <w:kern w:val="2"/>
                <w:lang w:val="ro-MD"/>
              </w:rPr>
              <w:t>instituție de credit</w:t>
            </w:r>
            <w:r w:rsidRPr="009E686F">
              <w:rPr>
                <w:rFonts w:ascii="Times New Roman" w:eastAsia="Aptos" w:hAnsi="Times New Roman" w:cs="Times New Roman"/>
                <w:kern w:val="2"/>
                <w:lang w:val="ro-MD"/>
              </w:rPr>
              <w:t xml:space="preserve">. Actualizarea verificărilor şi evaluărilor se realizează cel puţin o dată pe an pentru </w:t>
            </w:r>
            <w:r w:rsidRPr="009E686F">
              <w:rPr>
                <w:rFonts w:ascii="Times New Roman" w:eastAsia="Aptos" w:hAnsi="Times New Roman" w:cs="Times New Roman"/>
                <w:i/>
                <w:iCs/>
                <w:kern w:val="2"/>
                <w:lang w:val="ro-MD"/>
              </w:rPr>
              <w:t>instituțiile de credit</w:t>
            </w:r>
            <w:r w:rsidRPr="009E686F">
              <w:rPr>
                <w:rFonts w:ascii="Times New Roman" w:eastAsia="Aptos" w:hAnsi="Times New Roman" w:cs="Times New Roman"/>
                <w:kern w:val="2"/>
                <w:lang w:val="ro-MD"/>
              </w:rPr>
              <w:t xml:space="preserve"> în privinţa cărora s-a stabilit un program de supraveghere prudenţială potrivit prevederilor art. 106.</w:t>
            </w:r>
          </w:p>
        </w:tc>
        <w:tc>
          <w:tcPr>
            <w:tcW w:w="470" w:type="pct"/>
            <w:tcBorders>
              <w:top w:val="single" w:sz="4" w:space="0" w:color="auto"/>
              <w:left w:val="single" w:sz="4" w:space="0" w:color="auto"/>
              <w:bottom w:val="single" w:sz="4" w:space="0" w:color="auto"/>
              <w:right w:val="single" w:sz="4" w:space="0" w:color="auto"/>
            </w:tcBorders>
          </w:tcPr>
          <w:p w14:paraId="0CBB518C" w14:textId="193DEB39"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112EC888" w14:textId="77777777" w:rsidR="00984B34" w:rsidRPr="009E686F" w:rsidRDefault="00984B34" w:rsidP="00984B34">
            <w:pPr>
              <w:jc w:val="both"/>
              <w:rPr>
                <w:rFonts w:ascii="Times New Roman" w:hAnsi="Times New Roman" w:cs="Times New Roman"/>
                <w:lang w:val="ro-RO"/>
              </w:rPr>
            </w:pPr>
          </w:p>
        </w:tc>
      </w:tr>
      <w:tr w:rsidR="00984B34" w:rsidRPr="009E686F" w14:paraId="4E2FB203"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444014B8" w14:textId="6ABFC96B"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La efectuarea analizei și a evaluării menționate la alineatul (1) de la prezentul articol, autoritățile competente aplică principiul proporționalității în conformitate cu criteriile publicate în temeiul articolului 143 alineatul (1) litera (c). În special, în scopul efectuării analizei și evaluării unei instituții, autoritatea competentă poate analiza dacă sunt îndeplinite toate condițiile următoare:</w:t>
            </w:r>
          </w:p>
          <w:p w14:paraId="1EDC4020"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(a) instituția nu este o G-SII, o G-SII din afara UE sau o entitate G-SII în conformitate cu Regulamentul (UE) nr. 575/2013;</w:t>
            </w:r>
          </w:p>
          <w:p w14:paraId="0294DC40"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(b) instituția nu a fost identificată ca fiind o altă instituție de importanță sistemică (O-SII) în conformitate cu articolul 131 alineatele (1) și (3) din prezenta directivă;</w:t>
            </w:r>
          </w:p>
          <w:p w14:paraId="23D247D0"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(c) instituția face parte dintr-un grup în care instituția-mamă și marea majoritate a instituțiilor-filiale au legături unele cu altele, astfel cum se descrie în articolul 22 din Directiva 2013/34/UE;</w:t>
            </w:r>
          </w:p>
          <w:p w14:paraId="5519B1C2"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(d) instituțiile-filiale menționate la litera (c) de la prezentul paragraf îndeplinesc toate condițiile următoare:</w:t>
            </w:r>
          </w:p>
          <w:p w14:paraId="4770F816" w14:textId="55C53CFC"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(i) ele sau marea majoritate a acestora se califică drept societăți mutuale, organizații cooperatiste de credit sau instituții de economii în conformitate cu articolul 27 alineatul (1) litera (a) din Regulamentul (UE) nr. 575/2013, </w:t>
            </w:r>
            <w:r w:rsidRPr="009E686F">
              <w:rPr>
                <w:rFonts w:ascii="Times New Roman" w:hAnsi="Times New Roman" w:cs="Times New Roman"/>
                <w:lang w:val="ro-RO"/>
              </w:rPr>
              <w:lastRenderedPageBreak/>
              <w:t>iar dreptul intern aplicabil include un plafon sau o restricție privind nivelul maxim de distribuiri;</w:t>
            </w:r>
          </w:p>
          <w:p w14:paraId="641F53A6" w14:textId="2788635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(ii) pe bază individuală sau subconsolidată, activele lor totale nu depășesc 30 de miliarde EUR.</w:t>
            </w:r>
          </w:p>
        </w:tc>
        <w:tc>
          <w:tcPr>
            <w:tcW w:w="1928" w:type="pct"/>
            <w:gridSpan w:val="3"/>
            <w:tcBorders>
              <w:top w:val="single" w:sz="4" w:space="0" w:color="auto"/>
              <w:left w:val="single" w:sz="4" w:space="0" w:color="auto"/>
              <w:bottom w:val="single" w:sz="4" w:space="0" w:color="auto"/>
              <w:right w:val="single" w:sz="4" w:space="0" w:color="auto"/>
            </w:tcBorders>
          </w:tcPr>
          <w:p w14:paraId="22C9012E" w14:textId="77777777" w:rsidR="00984B34" w:rsidRPr="009E686F" w:rsidRDefault="00984B34" w:rsidP="00984B34">
            <w:pPr>
              <w:spacing w:after="0" w:line="278" w:lineRule="auto"/>
              <w:jc w:val="both"/>
              <w:rPr>
                <w:rFonts w:ascii="Times New Roman" w:eastAsia="Times New Roman" w:hAnsi="Times New Roman" w:cs="Times New Roman"/>
                <w:i/>
                <w:kern w:val="2"/>
                <w:lang w:val="ro-MD" w:eastAsia="ro-MD"/>
              </w:rPr>
            </w:pPr>
            <w:r w:rsidRPr="009E686F">
              <w:rPr>
                <w:rFonts w:ascii="Times New Roman" w:eastAsia="Aptos" w:hAnsi="Times New Roman" w:cs="Times New Roman"/>
                <w:i/>
                <w:kern w:val="2"/>
                <w:lang w:val="ro-MD"/>
              </w:rPr>
              <w:lastRenderedPageBreak/>
              <w:t>(4</w:t>
            </w:r>
            <w:r w:rsidRPr="009E686F">
              <w:rPr>
                <w:rFonts w:ascii="Times New Roman" w:eastAsia="Aptos" w:hAnsi="Times New Roman" w:cs="Times New Roman"/>
                <w:i/>
                <w:kern w:val="2"/>
                <w:vertAlign w:val="superscript"/>
                <w:lang w:val="ro-MD"/>
              </w:rPr>
              <w:t>1</w:t>
            </w:r>
            <w:r w:rsidRPr="009E686F">
              <w:rPr>
                <w:rFonts w:ascii="Times New Roman" w:eastAsia="Aptos" w:hAnsi="Times New Roman" w:cs="Times New Roman"/>
                <w:i/>
                <w:kern w:val="2"/>
                <w:lang w:val="ro-MD"/>
              </w:rPr>
              <w:t xml:space="preserve">) În realizarea verificărilor și evaluărilor prevăzute la alin. (1), Banca Națională a Moldovei aplică principiul proporționalității în conformitate cu criteriile </w:t>
            </w:r>
            <w:r w:rsidRPr="009E686F">
              <w:rPr>
                <w:rFonts w:ascii="Times New Roman" w:eastAsia="Times New Roman" w:hAnsi="Times New Roman" w:cs="Times New Roman"/>
                <w:i/>
                <w:lang w:val="ro-MD" w:eastAsia="ro-MD"/>
              </w:rPr>
              <w:t>publicate conform art. 136 alin. (1), putând lua în considerare următoarele condiții:</w:t>
            </w:r>
          </w:p>
          <w:p w14:paraId="143F02AD" w14:textId="77777777" w:rsidR="00984B34" w:rsidRPr="009E686F" w:rsidRDefault="00984B34" w:rsidP="00984B34">
            <w:pPr>
              <w:spacing w:after="0" w:line="278" w:lineRule="auto"/>
              <w:jc w:val="both"/>
              <w:rPr>
                <w:rFonts w:ascii="Times New Roman" w:eastAsia="Aptos" w:hAnsi="Times New Roman" w:cs="Times New Roman"/>
                <w:i/>
                <w:kern w:val="2"/>
                <w:lang w:val="ro-MD"/>
              </w:rPr>
            </w:pPr>
            <w:r w:rsidRPr="009E686F">
              <w:rPr>
                <w:rFonts w:ascii="Times New Roman" w:eastAsia="Aptos" w:hAnsi="Times New Roman" w:cs="Times New Roman"/>
                <w:i/>
                <w:kern w:val="2"/>
                <w:lang w:val="ro-MD"/>
              </w:rPr>
              <w:t>a) instituția nu este o G-SII, o G-SII din afara Uniunii Europene sau o entitate G-SII în conformitate cu actele normative ale Băncii Naționale a Moldovei;</w:t>
            </w:r>
          </w:p>
          <w:p w14:paraId="50566CD4" w14:textId="1F08DB29" w:rsidR="00984B34" w:rsidRPr="009E686F" w:rsidRDefault="00984B34" w:rsidP="00984B34">
            <w:pPr>
              <w:spacing w:after="0" w:line="278" w:lineRule="auto"/>
              <w:jc w:val="both"/>
              <w:rPr>
                <w:rFonts w:ascii="Times New Roman" w:eastAsia="Aptos" w:hAnsi="Times New Roman" w:cs="Times New Roman"/>
                <w:i/>
                <w:kern w:val="2"/>
                <w:lang w:val="ro-MD"/>
              </w:rPr>
            </w:pPr>
            <w:r w:rsidRPr="009E686F">
              <w:rPr>
                <w:rFonts w:ascii="Times New Roman" w:eastAsia="Aptos" w:hAnsi="Times New Roman" w:cs="Times New Roman"/>
                <w:i/>
                <w:kern w:val="2"/>
                <w:lang w:val="ro-MD"/>
              </w:rPr>
              <w:t xml:space="preserve">b) </w:t>
            </w:r>
            <w:r w:rsidRPr="009E686F">
              <w:rPr>
                <w:rFonts w:ascii="Times New Roman" w:eastAsia="Aptos" w:hAnsi="Times New Roman" w:cs="Times New Roman"/>
                <w:i/>
                <w:iCs/>
                <w:kern w:val="2"/>
                <w:lang w:val="ro-MD"/>
              </w:rPr>
              <w:t>instituția de credit</w:t>
            </w:r>
            <w:r w:rsidRPr="009E686F">
              <w:rPr>
                <w:rFonts w:ascii="Times New Roman" w:eastAsia="Aptos" w:hAnsi="Times New Roman" w:cs="Times New Roman"/>
                <w:i/>
                <w:kern w:val="2"/>
                <w:lang w:val="ro-MD"/>
              </w:rPr>
              <w:t xml:space="preserve"> nu a fost identificată ca fiind o altă instituție de importanță sistemică (O-SII) în conformitate cu actele normative ale Băncii Naționale a Moldovei;</w:t>
            </w:r>
          </w:p>
          <w:p w14:paraId="1E99F3E2" w14:textId="2001A025" w:rsidR="00984B34" w:rsidRPr="009E686F" w:rsidRDefault="00984B34" w:rsidP="00984B34">
            <w:pPr>
              <w:spacing w:after="0" w:line="278" w:lineRule="auto"/>
              <w:jc w:val="both"/>
              <w:rPr>
                <w:rFonts w:ascii="Times New Roman" w:eastAsia="Aptos" w:hAnsi="Times New Roman" w:cs="Times New Roman"/>
                <w:i/>
                <w:kern w:val="2"/>
                <w:lang w:val="ro-MD"/>
              </w:rPr>
            </w:pPr>
            <w:r w:rsidRPr="009E686F">
              <w:rPr>
                <w:rFonts w:ascii="Times New Roman" w:eastAsia="Aptos" w:hAnsi="Times New Roman" w:cs="Times New Roman"/>
                <w:i/>
                <w:kern w:val="2"/>
                <w:lang w:val="ro-MD"/>
              </w:rPr>
              <w:t xml:space="preserve">c) </w:t>
            </w:r>
            <w:r w:rsidRPr="009E686F">
              <w:rPr>
                <w:rFonts w:ascii="Times New Roman" w:eastAsia="Aptos" w:hAnsi="Times New Roman" w:cs="Times New Roman"/>
                <w:i/>
                <w:iCs/>
                <w:kern w:val="2"/>
                <w:lang w:val="ro-MD"/>
              </w:rPr>
              <w:t>instituția de credit</w:t>
            </w:r>
            <w:r w:rsidRPr="009E686F">
              <w:rPr>
                <w:rFonts w:ascii="Times New Roman" w:eastAsia="Aptos" w:hAnsi="Times New Roman" w:cs="Times New Roman"/>
                <w:i/>
                <w:kern w:val="2"/>
                <w:lang w:val="ro-MD"/>
              </w:rPr>
              <w:t xml:space="preserve"> face parte dintr-un grup în care </w:t>
            </w:r>
            <w:r w:rsidRPr="009E686F">
              <w:rPr>
                <w:rFonts w:ascii="Times New Roman" w:eastAsia="Aptos" w:hAnsi="Times New Roman" w:cs="Times New Roman"/>
                <w:i/>
                <w:iCs/>
                <w:kern w:val="2"/>
                <w:lang w:val="ro-MD"/>
              </w:rPr>
              <w:t>instituția de credit</w:t>
            </w:r>
            <w:r w:rsidRPr="009E686F">
              <w:rPr>
                <w:rFonts w:ascii="Times New Roman" w:eastAsia="Aptos" w:hAnsi="Times New Roman" w:cs="Times New Roman"/>
                <w:i/>
                <w:kern w:val="2"/>
                <w:lang w:val="ro-MD"/>
              </w:rPr>
              <w:t xml:space="preserve"> -mamă și marea majoritate a instituțiilor-filiale au legături unele cu altele; </w:t>
            </w:r>
          </w:p>
          <w:p w14:paraId="132DEA0A" w14:textId="7EDC68A9" w:rsidR="00984B34" w:rsidRPr="009E686F" w:rsidRDefault="00984B34" w:rsidP="00984B34">
            <w:pPr>
              <w:spacing w:after="0" w:line="278" w:lineRule="auto"/>
              <w:jc w:val="both"/>
              <w:rPr>
                <w:rFonts w:ascii="Times New Roman" w:eastAsia="Aptos" w:hAnsi="Times New Roman" w:cs="Times New Roman"/>
                <w:i/>
                <w:kern w:val="2"/>
                <w:lang w:val="ro-MD"/>
              </w:rPr>
            </w:pPr>
            <w:r w:rsidRPr="009E686F">
              <w:rPr>
                <w:rFonts w:ascii="Times New Roman" w:eastAsia="Aptos" w:hAnsi="Times New Roman" w:cs="Times New Roman"/>
                <w:i/>
                <w:kern w:val="2"/>
                <w:lang w:val="ro-MD"/>
              </w:rPr>
              <w:t xml:space="preserve">d) </w:t>
            </w:r>
            <w:r w:rsidRPr="009E686F">
              <w:rPr>
                <w:rFonts w:ascii="Times New Roman" w:eastAsia="Aptos" w:hAnsi="Times New Roman" w:cs="Times New Roman"/>
                <w:i/>
                <w:iCs/>
                <w:kern w:val="2"/>
                <w:lang w:val="ro-MD"/>
              </w:rPr>
              <w:t>instituțiile de credit</w:t>
            </w:r>
            <w:r w:rsidRPr="009E686F">
              <w:rPr>
                <w:rFonts w:ascii="Times New Roman" w:eastAsia="Aptos" w:hAnsi="Times New Roman" w:cs="Times New Roman"/>
                <w:i/>
                <w:kern w:val="2"/>
                <w:lang w:val="ro-MD"/>
              </w:rPr>
              <w:t xml:space="preserve"> -filiale menționate la litera (c) îndeplinesc toate condițiile următoare: </w:t>
            </w:r>
          </w:p>
          <w:p w14:paraId="6378394D" w14:textId="77777777" w:rsidR="00984B34" w:rsidRPr="009E686F" w:rsidRDefault="00984B34" w:rsidP="00984B34">
            <w:pPr>
              <w:spacing w:after="0" w:line="278" w:lineRule="auto"/>
              <w:jc w:val="both"/>
              <w:rPr>
                <w:rFonts w:ascii="Times New Roman" w:eastAsia="Aptos" w:hAnsi="Times New Roman" w:cs="Times New Roman"/>
                <w:i/>
                <w:kern w:val="2"/>
                <w:lang w:val="ro-MD"/>
              </w:rPr>
            </w:pPr>
            <w:r w:rsidRPr="009E686F">
              <w:rPr>
                <w:rFonts w:ascii="Times New Roman" w:eastAsia="Aptos" w:hAnsi="Times New Roman" w:cs="Times New Roman"/>
                <w:i/>
                <w:kern w:val="2"/>
                <w:lang w:val="ro-MD"/>
              </w:rPr>
              <w:t xml:space="preserve">(i) ele sau marea majoritate a acestora se califică drept societăți mutuale, organizații cooperatiste de credit sau instituții de economii, iar dreptul intern aplicabil include un plafon sau o restricție privind nivelul maxim de distribuiri; </w:t>
            </w:r>
          </w:p>
          <w:p w14:paraId="3DA0B5D4" w14:textId="28564B52" w:rsidR="00984B34" w:rsidRPr="009E686F" w:rsidRDefault="00984B34" w:rsidP="00984B34">
            <w:pPr>
              <w:spacing w:after="0"/>
              <w:jc w:val="both"/>
              <w:rPr>
                <w:rFonts w:ascii="Times New Roman" w:hAnsi="Times New Roman" w:cs="Times New Roman"/>
                <w:i/>
                <w:lang w:val="ro-RO"/>
              </w:rPr>
            </w:pPr>
            <w:r w:rsidRPr="009E686F">
              <w:rPr>
                <w:rFonts w:ascii="Times New Roman" w:eastAsia="Aptos" w:hAnsi="Times New Roman" w:cs="Times New Roman"/>
                <w:i/>
                <w:kern w:val="2"/>
                <w:lang w:val="ro-MD"/>
              </w:rPr>
              <w:lastRenderedPageBreak/>
              <w:t xml:space="preserve">(ii) pe bază individuală sau subconsolidată, activele lor totale nu depășesc echivalentul </w:t>
            </w:r>
            <w:r w:rsidR="00BB7F47" w:rsidRPr="009E686F">
              <w:rPr>
                <w:rFonts w:ascii="Times New Roman" w:eastAsia="Aptos" w:hAnsi="Times New Roman" w:cs="Times New Roman"/>
                <w:i/>
                <w:kern w:val="2"/>
                <w:lang w:val="ro-MD"/>
              </w:rPr>
              <w:t xml:space="preserve">în lei moldovenețti </w:t>
            </w:r>
            <w:r w:rsidRPr="009E686F">
              <w:rPr>
                <w:rFonts w:ascii="Times New Roman" w:eastAsia="Aptos" w:hAnsi="Times New Roman" w:cs="Times New Roman"/>
                <w:i/>
                <w:kern w:val="2"/>
                <w:lang w:val="ro-MD"/>
              </w:rPr>
              <w:t xml:space="preserve">a 30 de miliarde </w:t>
            </w:r>
            <w:r w:rsidR="00BB7F47" w:rsidRPr="009E686F">
              <w:rPr>
                <w:rFonts w:ascii="Times New Roman" w:eastAsia="Aptos" w:hAnsi="Times New Roman" w:cs="Times New Roman"/>
                <w:i/>
                <w:kern w:val="2"/>
                <w:lang w:val="ro-MD"/>
              </w:rPr>
              <w:t>euro</w:t>
            </w:r>
            <w:r w:rsidRPr="009E686F">
              <w:rPr>
                <w:rFonts w:ascii="Times New Roman" w:eastAsia="Aptos" w:hAnsi="Times New Roman" w:cs="Times New Roman"/>
                <w:i/>
                <w:kern w:val="2"/>
                <w:lang w:val="ro-MD"/>
              </w:rPr>
              <w:t>.</w:t>
            </w:r>
          </w:p>
        </w:tc>
        <w:tc>
          <w:tcPr>
            <w:tcW w:w="470" w:type="pct"/>
            <w:tcBorders>
              <w:top w:val="single" w:sz="4" w:space="0" w:color="auto"/>
              <w:left w:val="single" w:sz="4" w:space="0" w:color="auto"/>
              <w:bottom w:val="single" w:sz="4" w:space="0" w:color="auto"/>
              <w:right w:val="single" w:sz="4" w:space="0" w:color="auto"/>
            </w:tcBorders>
          </w:tcPr>
          <w:p w14:paraId="596C6326" w14:textId="1A0EA200"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2E24A08B" w14:textId="77777777" w:rsidR="00984B34" w:rsidRPr="009E686F" w:rsidRDefault="00984B34" w:rsidP="00984B34">
            <w:pPr>
              <w:jc w:val="both"/>
              <w:rPr>
                <w:rFonts w:ascii="Times New Roman" w:hAnsi="Times New Roman" w:cs="Times New Roman"/>
                <w:lang w:val="ro-RO"/>
              </w:rPr>
            </w:pPr>
          </w:p>
        </w:tc>
      </w:tr>
      <w:tr w:rsidR="00984B34" w:rsidRPr="009E686F" w14:paraId="4911394E"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7F6F980C" w14:textId="223F9E24"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(4a) Autoritățile competente pot ajusta metodologiile de aplicare a analizei și a evaluării menționate la alineatul (1) din prezentul articol pentru a lua în considerare instituții cu profiluri de risc similare, cum ar fi modele de afaceri similare sau o situare geografică similară a expunerilor. Astfel de metodologii ajustate pot include valori de referință axate pe risc și indicatori cantitativi, permit luarea în considerare în mod corespunzător a riscurilor specifice la care poate fi expusă fiecare instituție în parte și nu aduc atingere caracterului specific instituției al măsurilor impuse în conformitate cu articolul 104.</w:t>
            </w:r>
          </w:p>
        </w:tc>
        <w:tc>
          <w:tcPr>
            <w:tcW w:w="1928" w:type="pct"/>
            <w:gridSpan w:val="3"/>
            <w:tcBorders>
              <w:top w:val="single" w:sz="4" w:space="0" w:color="auto"/>
              <w:left w:val="single" w:sz="4" w:space="0" w:color="auto"/>
              <w:bottom w:val="single" w:sz="4" w:space="0" w:color="auto"/>
              <w:right w:val="single" w:sz="4" w:space="0" w:color="auto"/>
            </w:tcBorders>
          </w:tcPr>
          <w:p w14:paraId="3CF9B0B2" w14:textId="33A2C810" w:rsidR="00984B34" w:rsidRPr="009E686F" w:rsidRDefault="00984B34" w:rsidP="00984B34">
            <w:pPr>
              <w:spacing w:after="0"/>
              <w:jc w:val="both"/>
              <w:rPr>
                <w:rFonts w:ascii="Times New Roman" w:hAnsi="Times New Roman" w:cs="Times New Roman"/>
                <w:b/>
                <w:bCs/>
                <w:lang w:val="ro-RO"/>
              </w:rPr>
            </w:pPr>
            <w:r w:rsidRPr="009E686F">
              <w:rPr>
                <w:rFonts w:ascii="Times New Roman" w:hAnsi="Times New Roman" w:cs="Times New Roman"/>
                <w:b/>
                <w:bCs/>
                <w:lang w:val="ro-RO"/>
              </w:rPr>
              <w:t>Articolul 103 alin. (1)-(2)</w:t>
            </w:r>
          </w:p>
          <w:p w14:paraId="23D13FB9"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eastAsia="Aptos" w:hAnsi="Times New Roman" w:cs="Times New Roman"/>
                <w:kern w:val="2"/>
                <w:lang w:val="ro-MD"/>
              </w:rPr>
              <w:t xml:space="preserve">(1) </w:t>
            </w:r>
            <w:r w:rsidRPr="009E686F">
              <w:rPr>
                <w:rFonts w:ascii="Times New Roman" w:hAnsi="Times New Roman" w:cs="Times New Roman"/>
                <w:lang w:val="ro-RO"/>
              </w:rPr>
              <w:t xml:space="preserve">Banca Naţională a Moldovei </w:t>
            </w:r>
            <w:r w:rsidRPr="009E686F">
              <w:rPr>
                <w:rFonts w:ascii="Times New Roman" w:hAnsi="Times New Roman" w:cs="Times New Roman"/>
                <w:i/>
                <w:lang w:val="ro-RO"/>
              </w:rPr>
              <w:t>poate ajusta metodologiile de aplicare a procesul de verificare şi evaluare menţionat la art.100 pentru a lua în considerare dacă instituțiile de credit sunt</w:t>
            </w:r>
            <w:r w:rsidRPr="009E686F">
              <w:rPr>
                <w:rFonts w:ascii="Times New Roman" w:hAnsi="Times New Roman" w:cs="Times New Roman"/>
                <w:lang w:val="ro-RO"/>
              </w:rPr>
              <w:t xml:space="preserve"> cu profil de risc similar, cum ar fi modelele de afaceri asemănătoare sau localizări geografice similare ale expunerilor.</w:t>
            </w:r>
          </w:p>
          <w:p w14:paraId="79EECD82" w14:textId="0F16DEEF" w:rsidR="00984B34" w:rsidRPr="009E686F" w:rsidRDefault="00984B34" w:rsidP="00984B34">
            <w:pPr>
              <w:spacing w:after="0"/>
              <w:jc w:val="both"/>
              <w:rPr>
                <w:rFonts w:ascii="Times New Roman" w:hAnsi="Times New Roman" w:cs="Times New Roman"/>
                <w:b/>
                <w:i/>
                <w:lang w:val="ro-RO"/>
              </w:rPr>
            </w:pPr>
            <w:r w:rsidRPr="009E686F">
              <w:rPr>
                <w:rFonts w:ascii="Times New Roman" w:hAnsi="Times New Roman" w:cs="Times New Roman"/>
                <w:i/>
                <w:lang w:val="ro-RO"/>
              </w:rPr>
              <w:t xml:space="preserve">(2) Metodologiile ajustate potrivit alin. (1) pot include valori de referinţă axate pe risc și indicatori cantitativi, permit luarea în considerare în mod corespunzător a riscurilor specifice la care poate fi expusă fiecare instituţie de credit în parte și nu aduc atingere caracterului specific instituției de credit al măsurilor impuse potrivit art. 139. </w:t>
            </w:r>
            <w:r w:rsidRPr="009E686F">
              <w:rPr>
                <w:rFonts w:ascii="Times New Roman" w:hAnsi="Times New Roman" w:cs="Times New Roman"/>
                <w:b/>
                <w:i/>
                <w:color w:val="FF0000"/>
                <w:lang w:val="ro-RO"/>
              </w:rPr>
              <w:t xml:space="preserve"> </w:t>
            </w:r>
          </w:p>
        </w:tc>
        <w:tc>
          <w:tcPr>
            <w:tcW w:w="470" w:type="pct"/>
            <w:tcBorders>
              <w:top w:val="single" w:sz="4" w:space="0" w:color="auto"/>
              <w:left w:val="single" w:sz="4" w:space="0" w:color="auto"/>
              <w:bottom w:val="single" w:sz="4" w:space="0" w:color="auto"/>
              <w:right w:val="single" w:sz="4" w:space="0" w:color="auto"/>
            </w:tcBorders>
          </w:tcPr>
          <w:p w14:paraId="594EFC85" w14:textId="4A1F3F6F"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463A63BE" w14:textId="77777777" w:rsidR="00984B34" w:rsidRPr="009E686F" w:rsidRDefault="00984B34" w:rsidP="00984B34">
            <w:pPr>
              <w:jc w:val="both"/>
              <w:rPr>
                <w:rFonts w:ascii="Times New Roman" w:hAnsi="Times New Roman" w:cs="Times New Roman"/>
                <w:lang w:val="ro-RO"/>
              </w:rPr>
            </w:pPr>
          </w:p>
        </w:tc>
      </w:tr>
      <w:tr w:rsidR="00984B34" w:rsidRPr="009E686F" w14:paraId="751CE375"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18BA9D04"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În cazul în care folosesc metodologii ajustate în temeiul prezentului alineat, autoritățile competente notifică ABE.</w:t>
            </w:r>
          </w:p>
          <w:p w14:paraId="2E45A4A7" w14:textId="2C411CF9"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 </w:t>
            </w:r>
          </w:p>
        </w:tc>
        <w:tc>
          <w:tcPr>
            <w:tcW w:w="1928" w:type="pct"/>
            <w:gridSpan w:val="3"/>
            <w:tcBorders>
              <w:top w:val="single" w:sz="4" w:space="0" w:color="auto"/>
              <w:left w:val="single" w:sz="4" w:space="0" w:color="auto"/>
              <w:bottom w:val="single" w:sz="4" w:space="0" w:color="auto"/>
              <w:right w:val="single" w:sz="4" w:space="0" w:color="auto"/>
            </w:tcBorders>
          </w:tcPr>
          <w:p w14:paraId="7DB7BA1D" w14:textId="77777777" w:rsidR="00984B34" w:rsidRPr="009E686F" w:rsidRDefault="00984B34" w:rsidP="00984B34">
            <w:pPr>
              <w:spacing w:after="0"/>
              <w:jc w:val="both"/>
              <w:rPr>
                <w:rFonts w:ascii="Times New Roman" w:hAnsi="Times New Roman" w:cs="Times New Roman"/>
                <w:b/>
                <w:bCs/>
                <w:lang w:val="ro-RO"/>
              </w:rPr>
            </w:pPr>
            <w:r w:rsidRPr="009E686F">
              <w:rPr>
                <w:rFonts w:ascii="Times New Roman" w:hAnsi="Times New Roman" w:cs="Times New Roman"/>
                <w:b/>
                <w:bCs/>
                <w:lang w:val="ro-RO"/>
              </w:rPr>
              <w:t>Articolul 103 alin. (3)</w:t>
            </w:r>
          </w:p>
          <w:p w14:paraId="31E19107" w14:textId="0D150AB2"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lang w:val="ro-RO"/>
              </w:rPr>
              <w:t>(3) Banca Națională a Moldovei notifică Autoritatea  Bancară Europeană când folosește metodologiile ajustate potrivit prezentului articol.</w:t>
            </w:r>
          </w:p>
        </w:tc>
        <w:tc>
          <w:tcPr>
            <w:tcW w:w="470" w:type="pct"/>
            <w:tcBorders>
              <w:top w:val="single" w:sz="4" w:space="0" w:color="auto"/>
              <w:left w:val="single" w:sz="4" w:space="0" w:color="auto"/>
              <w:bottom w:val="single" w:sz="4" w:space="0" w:color="auto"/>
              <w:right w:val="single" w:sz="4" w:space="0" w:color="auto"/>
            </w:tcBorders>
          </w:tcPr>
          <w:p w14:paraId="3585970E" w14:textId="5D7E08C9"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6100C1EF" w14:textId="77777777" w:rsidR="00984B34" w:rsidRPr="009E686F" w:rsidRDefault="00984B34" w:rsidP="00984B34">
            <w:pPr>
              <w:jc w:val="both"/>
              <w:rPr>
                <w:rFonts w:ascii="Times New Roman" w:hAnsi="Times New Roman" w:cs="Times New Roman"/>
                <w:lang w:val="ro-RO"/>
              </w:rPr>
            </w:pPr>
          </w:p>
        </w:tc>
      </w:tr>
      <w:tr w:rsidR="00984B34" w:rsidRPr="009E686F" w14:paraId="3C64BDCE"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2FA813F6" w14:textId="7FD26844"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ABE monitorizează practicile de supraveghere și emite orientări, în conformitate cu articolul 16 din Regulamentul (UE) nr. 1093/2010, care să specifice modul în care sunt evaluate profilurile de risc similare în sensul prezentului alineat și să asigure aplicarea coerentă și proporțională a metodologiilor în Uniune care sunt adaptate pentru instituții similare.</w:t>
            </w:r>
          </w:p>
        </w:tc>
        <w:tc>
          <w:tcPr>
            <w:tcW w:w="1928" w:type="pct"/>
            <w:gridSpan w:val="3"/>
            <w:tcBorders>
              <w:top w:val="single" w:sz="4" w:space="0" w:color="auto"/>
              <w:left w:val="single" w:sz="4" w:space="0" w:color="auto"/>
              <w:bottom w:val="single" w:sz="4" w:space="0" w:color="auto"/>
              <w:right w:val="single" w:sz="4" w:space="0" w:color="auto"/>
            </w:tcBorders>
          </w:tcPr>
          <w:p w14:paraId="5E1287BA" w14:textId="77777777" w:rsidR="00984B34" w:rsidRPr="009E686F" w:rsidRDefault="00984B34" w:rsidP="00984B34">
            <w:pPr>
              <w:spacing w:after="0"/>
              <w:jc w:val="both"/>
              <w:rPr>
                <w:rFonts w:ascii="Times New Roman" w:hAnsi="Times New Roman" w:cs="Times New Roman"/>
                <w:b/>
                <w:bCs/>
                <w:lang w:val="ro-RO"/>
              </w:rPr>
            </w:pPr>
          </w:p>
        </w:tc>
        <w:tc>
          <w:tcPr>
            <w:tcW w:w="470" w:type="pct"/>
            <w:tcBorders>
              <w:top w:val="single" w:sz="4" w:space="0" w:color="auto"/>
              <w:left w:val="single" w:sz="4" w:space="0" w:color="auto"/>
              <w:bottom w:val="single" w:sz="4" w:space="0" w:color="auto"/>
              <w:right w:val="single" w:sz="4" w:space="0" w:color="auto"/>
            </w:tcBorders>
          </w:tcPr>
          <w:p w14:paraId="07EDCFBA" w14:textId="23116E5E"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neaplicabile</w:t>
            </w:r>
          </w:p>
        </w:tc>
        <w:tc>
          <w:tcPr>
            <w:tcW w:w="806" w:type="pct"/>
            <w:tcBorders>
              <w:top w:val="single" w:sz="4" w:space="0" w:color="auto"/>
              <w:left w:val="single" w:sz="4" w:space="0" w:color="auto"/>
              <w:bottom w:val="single" w:sz="4" w:space="0" w:color="auto"/>
              <w:right w:val="single" w:sz="4" w:space="0" w:color="auto"/>
            </w:tcBorders>
          </w:tcPr>
          <w:p w14:paraId="4946CE4A" w14:textId="7DB9C76D"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Se referă la competențele ABE</w:t>
            </w:r>
          </w:p>
        </w:tc>
      </w:tr>
      <w:tr w:rsidR="00984B34" w:rsidRPr="009E686F" w14:paraId="193957B7" w14:textId="10819195" w:rsidTr="00774F3E">
        <w:tc>
          <w:tcPr>
            <w:tcW w:w="1796" w:type="pct"/>
            <w:gridSpan w:val="2"/>
            <w:tcBorders>
              <w:top w:val="single" w:sz="4" w:space="0" w:color="auto"/>
              <w:left w:val="single" w:sz="4" w:space="0" w:color="auto"/>
              <w:bottom w:val="single" w:sz="4" w:space="0" w:color="auto"/>
              <w:right w:val="single" w:sz="4" w:space="0" w:color="auto"/>
            </w:tcBorders>
          </w:tcPr>
          <w:p w14:paraId="11940D15" w14:textId="6D36102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(5) Statele membre se asigură că, ori de câte ori o analiză arată că o instituție prezintă un risc sistemic în conformitate cu articolul 23 din Regulamentul (UE) nr. 1093/2010, autoritățile competente informează fără întârziere ABE în legătură cu rezultatele analizei.</w:t>
            </w:r>
          </w:p>
        </w:tc>
        <w:tc>
          <w:tcPr>
            <w:tcW w:w="1928" w:type="pct"/>
            <w:gridSpan w:val="3"/>
            <w:tcBorders>
              <w:top w:val="single" w:sz="4" w:space="0" w:color="auto"/>
              <w:left w:val="single" w:sz="4" w:space="0" w:color="auto"/>
              <w:bottom w:val="single" w:sz="4" w:space="0" w:color="auto"/>
              <w:right w:val="single" w:sz="4" w:space="0" w:color="auto"/>
            </w:tcBorders>
          </w:tcPr>
          <w:p w14:paraId="2E7C5509" w14:textId="135C0F9C" w:rsidR="00984B34" w:rsidRPr="009E686F" w:rsidRDefault="00984B34" w:rsidP="00984B34">
            <w:pPr>
              <w:spacing w:after="0"/>
              <w:jc w:val="both"/>
              <w:rPr>
                <w:rFonts w:ascii="Times New Roman" w:hAnsi="Times New Roman" w:cs="Times New Roman"/>
                <w:b/>
                <w:bCs/>
                <w:lang w:val="ro-RO"/>
              </w:rPr>
            </w:pPr>
            <w:r w:rsidRPr="009E686F">
              <w:rPr>
                <w:rFonts w:ascii="Times New Roman" w:hAnsi="Times New Roman" w:cs="Times New Roman"/>
                <w:b/>
                <w:bCs/>
                <w:lang w:val="ro-RO"/>
              </w:rPr>
              <w:t>Articolul 103 alin. (4)</w:t>
            </w:r>
          </w:p>
          <w:p w14:paraId="1786CB7E" w14:textId="21DEC28D" w:rsidR="00984B34" w:rsidRPr="009E686F" w:rsidRDefault="00984B34" w:rsidP="00984B34">
            <w:pPr>
              <w:spacing w:after="0"/>
              <w:jc w:val="both"/>
              <w:rPr>
                <w:rFonts w:ascii="Times New Roman" w:hAnsi="Times New Roman" w:cs="Times New Roman"/>
                <w:i/>
                <w:lang w:val="it-CH"/>
              </w:rPr>
            </w:pPr>
            <w:r w:rsidRPr="009E686F">
              <w:rPr>
                <w:rFonts w:ascii="Times New Roman" w:hAnsi="Times New Roman" w:cs="Times New Roman"/>
                <w:i/>
                <w:lang w:val="it-CH"/>
              </w:rPr>
              <w:t xml:space="preserve">(4) În cazul în care verificările și evaluarea prevăzute la alin. (1) indică că o instituție de credit prezintă un risc sistemic, Banca Națională a Moldovei informează fără întârziere </w:t>
            </w:r>
            <w:r w:rsidRPr="009E686F">
              <w:rPr>
                <w:rFonts w:ascii="Times New Roman" w:hAnsi="Times New Roman" w:cs="Times New Roman"/>
                <w:i/>
                <w:lang w:val="it-CH"/>
              </w:rPr>
              <w:lastRenderedPageBreak/>
              <w:t>Autoritatea Bancară Europeană în legătură cu rezultatele acestei evaluări.</w:t>
            </w:r>
          </w:p>
        </w:tc>
        <w:tc>
          <w:tcPr>
            <w:tcW w:w="470" w:type="pct"/>
            <w:tcBorders>
              <w:top w:val="single" w:sz="4" w:space="0" w:color="auto"/>
              <w:left w:val="single" w:sz="4" w:space="0" w:color="auto"/>
              <w:bottom w:val="single" w:sz="4" w:space="0" w:color="auto"/>
              <w:right w:val="single" w:sz="4" w:space="0" w:color="auto"/>
            </w:tcBorders>
          </w:tcPr>
          <w:p w14:paraId="2939608A" w14:textId="354E04C8"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lastRenderedPageBreak/>
              <w:t>Compatibil</w:t>
            </w:r>
            <w:r w:rsidRPr="009E686F" w:rsidDel="008010AC">
              <w:rPr>
                <w:rFonts w:ascii="Times New Roman" w:hAnsi="Times New Roman" w:cs="Times New Roman"/>
                <w:lang w:val="ro-RO"/>
              </w:rPr>
              <w:t xml:space="preserve"> </w:t>
            </w:r>
          </w:p>
        </w:tc>
        <w:tc>
          <w:tcPr>
            <w:tcW w:w="806" w:type="pct"/>
            <w:tcBorders>
              <w:top w:val="single" w:sz="4" w:space="0" w:color="auto"/>
              <w:left w:val="single" w:sz="4" w:space="0" w:color="auto"/>
              <w:bottom w:val="single" w:sz="4" w:space="0" w:color="auto"/>
              <w:right w:val="single" w:sz="4" w:space="0" w:color="auto"/>
            </w:tcBorders>
          </w:tcPr>
          <w:p w14:paraId="21FD9434" w14:textId="77777777" w:rsidR="00984B34" w:rsidRPr="009E686F" w:rsidRDefault="00984B34" w:rsidP="00984B34">
            <w:pPr>
              <w:jc w:val="both"/>
              <w:rPr>
                <w:rFonts w:ascii="Times New Roman" w:hAnsi="Times New Roman" w:cs="Times New Roman"/>
                <w:lang w:val="ro-RO"/>
              </w:rPr>
            </w:pPr>
          </w:p>
        </w:tc>
      </w:tr>
      <w:tr w:rsidR="00984B34" w:rsidRPr="009E686F" w14:paraId="294B4C6F"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335EFF1E" w14:textId="76515C91"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(6)   În cazul în care o analiză, în special evaluarea cadrului de administrare, a modelului de afaceri sau a activităților unei instituții, oferă autorităților competente motive întemeiate pentru a suspecta că, în legătură cu instituția respectivă, are loc sau a avut loc o tentativă sau o activitate de spălare de bani sau de finanțare a terorismului sau că există un risc crescut în acest sens, autoritatea competentă informează imediat atât ABE, cât și autoritatea sau organismul care supraveghează instituția în conformitate cu Directiva (UE) 2015/849 și care are competența de a asigura respectarea acestei directive. În situația unui eventual risc crescut de spălare a banilor sau finanțare a terorismului, autoritatea competentă și autoritatea sau organismul care supraveghează instituția în conformitate cu Directiva (UE) 2015/849 și care are competența de a asigura respectarea acestei directive cooperează și transmit imediat ABE evaluarea lor comună. Autoritatea competentă ia, după caz, măsuri în conformitate cu prezenta directivă.</w:t>
            </w:r>
          </w:p>
        </w:tc>
        <w:tc>
          <w:tcPr>
            <w:tcW w:w="1928" w:type="pct"/>
            <w:gridSpan w:val="3"/>
            <w:tcBorders>
              <w:top w:val="single" w:sz="4" w:space="0" w:color="auto"/>
              <w:left w:val="single" w:sz="4" w:space="0" w:color="auto"/>
              <w:bottom w:val="single" w:sz="4" w:space="0" w:color="auto"/>
              <w:right w:val="single" w:sz="4" w:space="0" w:color="auto"/>
            </w:tcBorders>
          </w:tcPr>
          <w:p w14:paraId="5DC200DC" w14:textId="482050BF" w:rsidR="00984B34" w:rsidRPr="009E686F" w:rsidRDefault="00984B34" w:rsidP="00984B34">
            <w:pPr>
              <w:spacing w:after="0"/>
              <w:jc w:val="both"/>
              <w:rPr>
                <w:rFonts w:ascii="Times New Roman" w:hAnsi="Times New Roman" w:cs="Times New Roman"/>
                <w:b/>
                <w:bCs/>
                <w:lang w:val="ro-RO"/>
              </w:rPr>
            </w:pPr>
            <w:r w:rsidRPr="009E686F">
              <w:rPr>
                <w:rFonts w:ascii="Times New Roman" w:hAnsi="Times New Roman" w:cs="Times New Roman"/>
                <w:b/>
                <w:bCs/>
                <w:lang w:val="ro-RO"/>
              </w:rPr>
              <w:t>Articolul 103 alin.  (5)</w:t>
            </w:r>
          </w:p>
          <w:p w14:paraId="3B905CA5" w14:textId="6B294705" w:rsidR="00984B34" w:rsidRPr="009E686F" w:rsidRDefault="00984B34" w:rsidP="00984B34">
            <w:pPr>
              <w:spacing w:after="0"/>
              <w:jc w:val="both"/>
              <w:rPr>
                <w:rFonts w:ascii="Times New Roman" w:hAnsi="Times New Roman" w:cs="Times New Roman"/>
                <w:i/>
                <w:lang w:val="ro-RO"/>
              </w:rPr>
            </w:pPr>
            <w:r w:rsidRPr="009E686F">
              <w:rPr>
                <w:rFonts w:ascii="Times New Roman" w:eastAsia="Aptos" w:hAnsi="Times New Roman" w:cs="Times New Roman"/>
                <w:i/>
                <w:kern w:val="2"/>
                <w:lang w:val="ro-MD"/>
              </w:rPr>
              <w:t xml:space="preserve">(5) În cazul în care care verificările și evaluarea prevăzute la alin. (1), în special evaluarea cadrului de administrare, a modelului de afaceri sau a activităţilor unei </w:t>
            </w:r>
            <w:r w:rsidRPr="009E686F">
              <w:rPr>
                <w:rFonts w:ascii="Times New Roman" w:eastAsia="Aptos" w:hAnsi="Times New Roman" w:cs="Times New Roman"/>
                <w:i/>
                <w:iCs/>
                <w:kern w:val="2"/>
                <w:lang w:val="ro-MD"/>
              </w:rPr>
              <w:t>instituții de credit</w:t>
            </w:r>
            <w:r w:rsidRPr="009E686F">
              <w:rPr>
                <w:rFonts w:ascii="Times New Roman" w:eastAsia="Aptos" w:hAnsi="Times New Roman" w:cs="Times New Roman"/>
                <w:i/>
                <w:kern w:val="2"/>
                <w:lang w:val="ro-MD"/>
              </w:rPr>
              <w:t xml:space="preserve">, oferă Băncii Naționale a Moldovei motive întemeiate pentru a suspecta că, în legătură cu </w:t>
            </w:r>
            <w:r w:rsidRPr="009E686F">
              <w:rPr>
                <w:rFonts w:ascii="Times New Roman" w:eastAsia="Aptos" w:hAnsi="Times New Roman" w:cs="Times New Roman"/>
                <w:i/>
                <w:iCs/>
                <w:kern w:val="2"/>
                <w:lang w:val="ro-MD"/>
              </w:rPr>
              <w:t>instituția de credit</w:t>
            </w:r>
            <w:r w:rsidRPr="009E686F">
              <w:rPr>
                <w:rFonts w:ascii="Times New Roman" w:eastAsia="Aptos" w:hAnsi="Times New Roman" w:cs="Times New Roman"/>
                <w:i/>
                <w:kern w:val="2"/>
                <w:lang w:val="ro-MD"/>
              </w:rPr>
              <w:t xml:space="preserve"> respectivă, este sau a fost săvîrşită o infracţiune ori o tentativă a infracţiunii de spălare de bani sau de finanţare a terorismului sau că există un risc crescut în acest sens, aceasta informează imediat atât Autoritatea Bancară Europeană, cât și Serviciului Prevenirea şi Combaterea Spălării Banilor. În situaţia unui eventual risc crescut de spălare a banilor sau finanţare a terorismului, Banca Națională și Serviciul Prevenirea şi Combaterea Spălării Banilor cooperează și transmit imediat Autorității Bancare Europene evaluarea lor comună, fără a aduce atingere dreptului Băncii Naționale a Moldovei de a lua, după caz, măsuri corespunzătoare în conformitate cu prezenta lege.</w:t>
            </w:r>
          </w:p>
        </w:tc>
        <w:tc>
          <w:tcPr>
            <w:tcW w:w="470" w:type="pct"/>
            <w:tcBorders>
              <w:top w:val="single" w:sz="4" w:space="0" w:color="auto"/>
              <w:left w:val="single" w:sz="4" w:space="0" w:color="auto"/>
              <w:bottom w:val="single" w:sz="4" w:space="0" w:color="auto"/>
              <w:right w:val="single" w:sz="4" w:space="0" w:color="auto"/>
            </w:tcBorders>
          </w:tcPr>
          <w:p w14:paraId="2C3EF524" w14:textId="650D2848"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064F3FB2" w14:textId="3512685F" w:rsidR="00984B34" w:rsidRPr="009E686F" w:rsidRDefault="003B6D27" w:rsidP="00984B34">
            <w:pPr>
              <w:jc w:val="both"/>
              <w:rPr>
                <w:rFonts w:ascii="Times New Roman" w:hAnsi="Times New Roman" w:cs="Times New Roman"/>
                <w:lang w:val="ro-RO"/>
              </w:rPr>
            </w:pPr>
            <w:r w:rsidRPr="009E686F">
              <w:rPr>
                <w:rFonts w:ascii="Times New Roman" w:hAnsi="Times New Roman" w:cs="Times New Roman"/>
                <w:lang w:val="ro-RO"/>
              </w:rPr>
              <w:t xml:space="preserve">În vigoare – la data aderării. </w:t>
            </w:r>
          </w:p>
        </w:tc>
      </w:tr>
      <w:tr w:rsidR="00984B34" w:rsidRPr="009E686F" w14:paraId="50F507EF" w14:textId="77DD4266" w:rsidTr="00774F3E">
        <w:tc>
          <w:tcPr>
            <w:tcW w:w="1796" w:type="pct"/>
            <w:gridSpan w:val="2"/>
            <w:tcBorders>
              <w:top w:val="single" w:sz="4" w:space="0" w:color="auto"/>
              <w:left w:val="single" w:sz="4" w:space="0" w:color="auto"/>
              <w:bottom w:val="single" w:sz="4" w:space="0" w:color="auto"/>
              <w:right w:val="single" w:sz="4" w:space="0" w:color="auto"/>
            </w:tcBorders>
          </w:tcPr>
          <w:p w14:paraId="7BC1421A" w14:textId="58469814" w:rsidR="00984B34" w:rsidRPr="009E686F" w:rsidRDefault="00984B34" w:rsidP="00984B34">
            <w:pPr>
              <w:spacing w:after="0"/>
              <w:jc w:val="both"/>
              <w:rPr>
                <w:rFonts w:ascii="Times New Roman" w:hAnsi="Times New Roman" w:cs="Times New Roman"/>
                <w:b/>
                <w:bCs/>
                <w:lang w:val="ro-RO"/>
              </w:rPr>
            </w:pPr>
            <w:r w:rsidRPr="009E686F">
              <w:rPr>
                <w:rFonts w:ascii="Times New Roman" w:hAnsi="Times New Roman" w:cs="Times New Roman"/>
                <w:lang w:val="ro-RO"/>
              </w:rPr>
              <w:t>Articolul 98</w:t>
            </w:r>
            <w:r w:rsidRPr="009E686F">
              <w:rPr>
                <w:rFonts w:ascii="Times New Roman" w:hAnsi="Times New Roman" w:cs="Times New Roman"/>
                <w:b/>
                <w:bCs/>
                <w:lang w:val="ro-RO"/>
              </w:rPr>
              <w:t xml:space="preserve"> Criterii tehnice pentru procesul de supraveghere și evaluare</w:t>
            </w:r>
          </w:p>
        </w:tc>
        <w:tc>
          <w:tcPr>
            <w:tcW w:w="1928" w:type="pct"/>
            <w:gridSpan w:val="3"/>
            <w:tcBorders>
              <w:top w:val="single" w:sz="4" w:space="0" w:color="auto"/>
              <w:left w:val="single" w:sz="4" w:space="0" w:color="auto"/>
              <w:bottom w:val="single" w:sz="4" w:space="0" w:color="auto"/>
              <w:right w:val="single" w:sz="4" w:space="0" w:color="auto"/>
            </w:tcBorders>
          </w:tcPr>
          <w:p w14:paraId="0650D0FD" w14:textId="4565362F"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b/>
                <w:bCs/>
                <w:lang w:val="ro-RO"/>
              </w:rPr>
              <w:t>Articolul 101.</w:t>
            </w:r>
            <w:r w:rsidRPr="009E686F">
              <w:rPr>
                <w:rFonts w:ascii="Times New Roman" w:hAnsi="Times New Roman" w:cs="Times New Roman"/>
                <w:lang w:val="ro-RO"/>
              </w:rPr>
              <w:t xml:space="preserve"> Criterii tehnice pe care Banca Națională a Moldovei le are în vedere în procesul de verificare și evaluare</w:t>
            </w:r>
          </w:p>
        </w:tc>
        <w:tc>
          <w:tcPr>
            <w:tcW w:w="470" w:type="pct"/>
            <w:tcBorders>
              <w:top w:val="single" w:sz="4" w:space="0" w:color="auto"/>
              <w:left w:val="single" w:sz="4" w:space="0" w:color="auto"/>
              <w:bottom w:val="single" w:sz="4" w:space="0" w:color="auto"/>
              <w:right w:val="single" w:sz="4" w:space="0" w:color="auto"/>
            </w:tcBorders>
          </w:tcPr>
          <w:p w14:paraId="656E3BB2" w14:textId="3DAF6530"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4F4A5A0F" w14:textId="77777777" w:rsidR="00984B34" w:rsidRPr="009E686F" w:rsidRDefault="00984B34" w:rsidP="00984B34">
            <w:pPr>
              <w:jc w:val="both"/>
              <w:rPr>
                <w:rFonts w:ascii="Times New Roman" w:hAnsi="Times New Roman" w:cs="Times New Roman"/>
                <w:lang w:val="ro-RO"/>
              </w:rPr>
            </w:pPr>
          </w:p>
        </w:tc>
      </w:tr>
      <w:tr w:rsidR="00984B34" w:rsidRPr="009E686F" w14:paraId="392D77D7" w14:textId="59F9C011" w:rsidTr="00774F3E">
        <w:tc>
          <w:tcPr>
            <w:tcW w:w="1796" w:type="pct"/>
            <w:gridSpan w:val="2"/>
            <w:tcBorders>
              <w:top w:val="single" w:sz="4" w:space="0" w:color="auto"/>
              <w:left w:val="single" w:sz="4" w:space="0" w:color="auto"/>
              <w:bottom w:val="single" w:sz="4" w:space="0" w:color="auto"/>
              <w:right w:val="single" w:sz="4" w:space="0" w:color="auto"/>
            </w:tcBorders>
          </w:tcPr>
          <w:p w14:paraId="67524D43" w14:textId="69BC495E"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(1) Pe lângă riscurile de credit, de piață și operaționale, analiza și evaluarea efectuate de autoritățile competente în sensul articolului 97 includ cel puțin:</w:t>
            </w:r>
          </w:p>
        </w:tc>
        <w:tc>
          <w:tcPr>
            <w:tcW w:w="1928" w:type="pct"/>
            <w:gridSpan w:val="3"/>
            <w:tcBorders>
              <w:top w:val="single" w:sz="4" w:space="0" w:color="auto"/>
              <w:left w:val="single" w:sz="4" w:space="0" w:color="auto"/>
              <w:bottom w:val="single" w:sz="4" w:space="0" w:color="auto"/>
              <w:right w:val="single" w:sz="4" w:space="0" w:color="auto"/>
            </w:tcBorders>
          </w:tcPr>
          <w:p w14:paraId="119824EB" w14:textId="77777777" w:rsidR="00984B34" w:rsidRPr="009E686F" w:rsidRDefault="00984B34" w:rsidP="00984B34">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(1) Pe lîngă riscurile de credit, de piaţă şi operaţionale, verificarea şi evaluarea efectuate de Banca Naţională a Moldovei potrivit art.100 includ cel puţin:</w:t>
            </w:r>
          </w:p>
          <w:p w14:paraId="2E4698CA" w14:textId="178E8C2B" w:rsidR="00984B34" w:rsidRPr="009E686F" w:rsidRDefault="00984B34" w:rsidP="00984B34">
            <w:pPr>
              <w:spacing w:after="0"/>
              <w:jc w:val="both"/>
              <w:rPr>
                <w:rFonts w:ascii="Times New Roman" w:hAnsi="Times New Roman" w:cs="Times New Roman"/>
                <w:lang w:val="ro-RO"/>
              </w:rPr>
            </w:pPr>
          </w:p>
        </w:tc>
        <w:tc>
          <w:tcPr>
            <w:tcW w:w="470" w:type="pct"/>
            <w:tcBorders>
              <w:top w:val="single" w:sz="4" w:space="0" w:color="auto"/>
              <w:left w:val="single" w:sz="4" w:space="0" w:color="auto"/>
              <w:bottom w:val="single" w:sz="4" w:space="0" w:color="auto"/>
              <w:right w:val="single" w:sz="4" w:space="0" w:color="auto"/>
            </w:tcBorders>
          </w:tcPr>
          <w:p w14:paraId="6560446A" w14:textId="690D65D5"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7C3BC399" w14:textId="77777777" w:rsidR="00984B34" w:rsidRPr="009E686F" w:rsidRDefault="00984B34" w:rsidP="00984B34">
            <w:pPr>
              <w:jc w:val="both"/>
              <w:rPr>
                <w:rFonts w:ascii="Times New Roman" w:hAnsi="Times New Roman" w:cs="Times New Roman"/>
                <w:lang w:val="ro-RO"/>
              </w:rPr>
            </w:pPr>
          </w:p>
        </w:tc>
      </w:tr>
      <w:tr w:rsidR="00984B34" w:rsidRPr="009E686F" w14:paraId="0AE37764" w14:textId="02B22155" w:rsidTr="00774F3E">
        <w:tc>
          <w:tcPr>
            <w:tcW w:w="1796" w:type="pct"/>
            <w:gridSpan w:val="2"/>
            <w:tcBorders>
              <w:top w:val="single" w:sz="4" w:space="0" w:color="auto"/>
              <w:left w:val="single" w:sz="4" w:space="0" w:color="auto"/>
              <w:bottom w:val="single" w:sz="4" w:space="0" w:color="auto"/>
              <w:right w:val="single" w:sz="4" w:space="0" w:color="auto"/>
            </w:tcBorders>
          </w:tcPr>
          <w:p w14:paraId="695BD4D1" w14:textId="64C6AF45"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(a) rezultatele simulării de criză efectuate, în conformitate cu articolul 177 din Regulamentul (UE) nr. 575/2013, de instituții aplicând o abordare bazată pe modele interne de rating;</w:t>
            </w:r>
          </w:p>
        </w:tc>
        <w:tc>
          <w:tcPr>
            <w:tcW w:w="1928" w:type="pct"/>
            <w:gridSpan w:val="3"/>
            <w:tcBorders>
              <w:top w:val="single" w:sz="4" w:space="0" w:color="auto"/>
              <w:left w:val="single" w:sz="4" w:space="0" w:color="auto"/>
              <w:bottom w:val="single" w:sz="4" w:space="0" w:color="auto"/>
              <w:right w:val="single" w:sz="4" w:space="0" w:color="auto"/>
            </w:tcBorders>
          </w:tcPr>
          <w:p w14:paraId="3D14F742" w14:textId="2FE41579" w:rsidR="00984B34" w:rsidRPr="009E686F" w:rsidRDefault="00984B34" w:rsidP="00984B34">
            <w:pPr>
              <w:spacing w:after="0"/>
              <w:jc w:val="both"/>
              <w:rPr>
                <w:rFonts w:ascii="Times New Roman" w:hAnsi="Times New Roman" w:cs="Times New Roman"/>
                <w:lang w:val="ro-RO"/>
              </w:rPr>
            </w:pPr>
            <w:r w:rsidRPr="009E686F">
              <w:rPr>
                <w:rFonts w:ascii="Times New Roman" w:eastAsia="Aptos" w:hAnsi="Times New Roman" w:cs="Times New Roman"/>
                <w:kern w:val="2"/>
                <w:lang w:val="ro-MD"/>
              </w:rPr>
              <w:t xml:space="preserve">a) rezultatele simulării de criză efectuate de către </w:t>
            </w:r>
            <w:r w:rsidRPr="009E686F">
              <w:rPr>
                <w:rFonts w:ascii="Times New Roman" w:eastAsia="Aptos" w:hAnsi="Times New Roman" w:cs="Times New Roman"/>
                <w:i/>
                <w:iCs/>
                <w:kern w:val="2"/>
                <w:lang w:val="ro-MD"/>
              </w:rPr>
              <w:t>instituțiile de credit</w:t>
            </w:r>
            <w:r w:rsidRPr="009E686F">
              <w:rPr>
                <w:rFonts w:ascii="Times New Roman" w:eastAsia="Aptos" w:hAnsi="Times New Roman" w:cs="Times New Roman"/>
                <w:kern w:val="2"/>
                <w:lang w:val="ro-MD"/>
              </w:rPr>
              <w:t>, conform actelor normative ale Băncii Naţionale a Moldovei, pentru evaluarea adecvării capitalului, aplicînd o abordare bazată pe modele interne de rating</w:t>
            </w:r>
            <w:r w:rsidRPr="009E686F">
              <w:rPr>
                <w:lang w:val="pt-BR"/>
              </w:rPr>
              <w:t xml:space="preserve"> </w:t>
            </w:r>
            <w:r w:rsidRPr="009E686F">
              <w:rPr>
                <w:rFonts w:ascii="Times New Roman" w:eastAsia="Aptos" w:hAnsi="Times New Roman" w:cs="Times New Roman"/>
                <w:i/>
                <w:iCs/>
                <w:kern w:val="2"/>
                <w:lang w:val="ro-MD"/>
              </w:rPr>
              <w:t xml:space="preserve">de calculare a </w:t>
            </w:r>
            <w:r w:rsidRPr="009E686F">
              <w:rPr>
                <w:rFonts w:ascii="Times New Roman" w:eastAsia="Aptos" w:hAnsi="Times New Roman" w:cs="Times New Roman"/>
                <w:i/>
                <w:iCs/>
                <w:kern w:val="2"/>
                <w:lang w:val="ro-MD"/>
              </w:rPr>
              <w:lastRenderedPageBreak/>
              <w:t>cerinţelor de fonduri proprii pentru acoperirea riscului de credit și a riscului de mediu, social și de guvernanță</w:t>
            </w:r>
            <w:r w:rsidRPr="009E686F">
              <w:rPr>
                <w:rFonts w:ascii="Times New Roman" w:eastAsia="Aptos" w:hAnsi="Times New Roman" w:cs="Times New Roman"/>
                <w:kern w:val="2"/>
                <w:lang w:val="ro-MD"/>
              </w:rPr>
              <w:t>;</w:t>
            </w:r>
          </w:p>
        </w:tc>
        <w:tc>
          <w:tcPr>
            <w:tcW w:w="470" w:type="pct"/>
            <w:tcBorders>
              <w:top w:val="single" w:sz="4" w:space="0" w:color="auto"/>
              <w:left w:val="single" w:sz="4" w:space="0" w:color="auto"/>
              <w:bottom w:val="single" w:sz="4" w:space="0" w:color="auto"/>
              <w:right w:val="single" w:sz="4" w:space="0" w:color="auto"/>
            </w:tcBorders>
          </w:tcPr>
          <w:p w14:paraId="685E760B" w14:textId="42089E9B"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74011C7D" w14:textId="77777777" w:rsidR="00984B34" w:rsidRPr="009E686F" w:rsidRDefault="00984B34" w:rsidP="00984B34">
            <w:pPr>
              <w:jc w:val="both"/>
              <w:rPr>
                <w:rFonts w:ascii="Times New Roman" w:hAnsi="Times New Roman" w:cs="Times New Roman"/>
                <w:lang w:val="ro-RO"/>
              </w:rPr>
            </w:pPr>
          </w:p>
        </w:tc>
      </w:tr>
      <w:tr w:rsidR="00984B34" w:rsidRPr="009E686F" w14:paraId="156D40E4" w14:textId="7A78BEFD" w:rsidTr="00774F3E">
        <w:tc>
          <w:tcPr>
            <w:tcW w:w="1796" w:type="pct"/>
            <w:gridSpan w:val="2"/>
            <w:tcBorders>
              <w:top w:val="single" w:sz="4" w:space="0" w:color="auto"/>
              <w:left w:val="single" w:sz="4" w:space="0" w:color="auto"/>
              <w:bottom w:val="single" w:sz="4" w:space="0" w:color="auto"/>
              <w:right w:val="single" w:sz="4" w:space="0" w:color="auto"/>
            </w:tcBorders>
          </w:tcPr>
          <w:p w14:paraId="5315449D" w14:textId="62E2AF9B"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(b) expunerea la riscul de concentrare și gestionarea acestuia de către instituții, inclusiv conformitatea acestora cu cerințele din partea a patra din Regulamentul (UE) nr. 575/2013 și articolul 81 din prezenta directivă;</w:t>
            </w:r>
          </w:p>
        </w:tc>
        <w:tc>
          <w:tcPr>
            <w:tcW w:w="1928" w:type="pct"/>
            <w:gridSpan w:val="3"/>
            <w:tcBorders>
              <w:top w:val="single" w:sz="4" w:space="0" w:color="auto"/>
              <w:left w:val="single" w:sz="4" w:space="0" w:color="auto"/>
              <w:bottom w:val="single" w:sz="4" w:space="0" w:color="auto"/>
              <w:right w:val="single" w:sz="4" w:space="0" w:color="auto"/>
            </w:tcBorders>
          </w:tcPr>
          <w:p w14:paraId="786E1B37" w14:textId="354A8944" w:rsidR="00984B34" w:rsidRPr="009E686F" w:rsidRDefault="00984B34" w:rsidP="00984B34">
            <w:pPr>
              <w:spacing w:after="0"/>
              <w:jc w:val="both"/>
              <w:rPr>
                <w:rFonts w:ascii="Times New Roman" w:hAnsi="Times New Roman" w:cs="Times New Roman"/>
                <w:lang w:val="ro-RO"/>
              </w:rPr>
            </w:pPr>
            <w:r w:rsidRPr="009E686F">
              <w:rPr>
                <w:rFonts w:ascii="Times New Roman" w:eastAsia="Aptos" w:hAnsi="Times New Roman" w:cs="Times New Roman"/>
                <w:kern w:val="2"/>
                <w:lang w:val="ro-MD"/>
              </w:rPr>
              <w:t xml:space="preserve">b) expunerea la riscul de concentrare şi gestionarea acestuia de către </w:t>
            </w:r>
            <w:r w:rsidRPr="009E686F">
              <w:rPr>
                <w:rFonts w:ascii="Times New Roman" w:eastAsia="Aptos" w:hAnsi="Times New Roman" w:cs="Times New Roman"/>
                <w:i/>
                <w:iCs/>
                <w:kern w:val="2"/>
                <w:lang w:val="ro-MD"/>
              </w:rPr>
              <w:t>instituțiile de credit</w:t>
            </w:r>
            <w:r w:rsidRPr="009E686F">
              <w:rPr>
                <w:rFonts w:ascii="Times New Roman" w:eastAsia="Aptos" w:hAnsi="Times New Roman" w:cs="Times New Roman"/>
                <w:kern w:val="2"/>
                <w:lang w:val="ro-MD"/>
              </w:rPr>
              <w:t xml:space="preserve">, inclusiv </w:t>
            </w:r>
            <w:r w:rsidRPr="009E686F">
              <w:rPr>
                <w:rFonts w:ascii="Times New Roman" w:eastAsia="Aptos" w:hAnsi="Times New Roman" w:cs="Times New Roman"/>
                <w:i/>
                <w:kern w:val="2"/>
                <w:lang w:val="ro-MD"/>
              </w:rPr>
              <w:t>respectarea cerințelor privind</w:t>
            </w:r>
            <w:r w:rsidRPr="009E686F">
              <w:rPr>
                <w:rFonts w:ascii="Times New Roman" w:eastAsia="Aptos" w:hAnsi="Times New Roman" w:cs="Times New Roman"/>
                <w:kern w:val="2"/>
                <w:lang w:val="ro-MD"/>
              </w:rPr>
              <w:t xml:space="preserve"> expunerile mari </w:t>
            </w:r>
            <w:r w:rsidRPr="009E686F">
              <w:rPr>
                <w:rFonts w:ascii="Times New Roman" w:eastAsia="Aptos" w:hAnsi="Times New Roman" w:cs="Times New Roman"/>
                <w:i/>
                <w:kern w:val="2"/>
                <w:lang w:val="ro-MD"/>
              </w:rPr>
              <w:t>și cerințelor privind expunerile aferente riscului de concentrare prevăzute de actele normative ale Băncii Naționale a Moldovei</w:t>
            </w:r>
            <w:r w:rsidRPr="009E686F">
              <w:rPr>
                <w:rFonts w:ascii="Times New Roman" w:eastAsia="Aptos" w:hAnsi="Times New Roman" w:cs="Times New Roman"/>
                <w:kern w:val="2"/>
                <w:lang w:val="ro-MD"/>
              </w:rPr>
              <w:t>;</w:t>
            </w:r>
            <w:r w:rsidRPr="009E686F">
              <w:rPr>
                <w:rFonts w:ascii="Times New Roman" w:eastAsia="Aptos" w:hAnsi="Times New Roman" w:cs="Times New Roman"/>
                <w:color w:val="FF0000"/>
                <w:kern w:val="2"/>
                <w:lang w:val="ro-MD"/>
              </w:rPr>
              <w:t xml:space="preserve"> </w:t>
            </w:r>
          </w:p>
        </w:tc>
        <w:tc>
          <w:tcPr>
            <w:tcW w:w="470" w:type="pct"/>
            <w:tcBorders>
              <w:top w:val="single" w:sz="4" w:space="0" w:color="auto"/>
              <w:left w:val="single" w:sz="4" w:space="0" w:color="auto"/>
              <w:bottom w:val="single" w:sz="4" w:space="0" w:color="auto"/>
              <w:right w:val="single" w:sz="4" w:space="0" w:color="auto"/>
            </w:tcBorders>
          </w:tcPr>
          <w:p w14:paraId="331706D1" w14:textId="652868B2"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71EA928A" w14:textId="77777777" w:rsidR="00984B34" w:rsidRPr="009E686F" w:rsidRDefault="00984B34" w:rsidP="00984B34">
            <w:pPr>
              <w:jc w:val="both"/>
              <w:rPr>
                <w:rFonts w:ascii="Times New Roman" w:hAnsi="Times New Roman" w:cs="Times New Roman"/>
                <w:lang w:val="ro-RO"/>
              </w:rPr>
            </w:pPr>
          </w:p>
        </w:tc>
      </w:tr>
      <w:tr w:rsidR="00984B34" w:rsidRPr="009E686F" w14:paraId="505AD941" w14:textId="169649EE" w:rsidTr="00774F3E">
        <w:tc>
          <w:tcPr>
            <w:tcW w:w="1796" w:type="pct"/>
            <w:gridSpan w:val="2"/>
            <w:tcBorders>
              <w:top w:val="single" w:sz="4" w:space="0" w:color="auto"/>
              <w:left w:val="single" w:sz="4" w:space="0" w:color="auto"/>
              <w:bottom w:val="single" w:sz="4" w:space="0" w:color="auto"/>
              <w:right w:val="single" w:sz="4" w:space="0" w:color="auto"/>
            </w:tcBorders>
          </w:tcPr>
          <w:p w14:paraId="2DE06811" w14:textId="01EBABFD"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(c) soliditatea, caracterul adecvat și metoda de aplicare a politicilor și procedurilor puse în aplicare de instituții pentru gestionarea riscului rezidual asociat cu utilizarea tehnicilor recunoscute de diminuare a riscului de credit;</w:t>
            </w:r>
          </w:p>
        </w:tc>
        <w:tc>
          <w:tcPr>
            <w:tcW w:w="1928" w:type="pct"/>
            <w:gridSpan w:val="3"/>
            <w:tcBorders>
              <w:top w:val="single" w:sz="4" w:space="0" w:color="auto"/>
              <w:left w:val="single" w:sz="4" w:space="0" w:color="auto"/>
              <w:bottom w:val="single" w:sz="4" w:space="0" w:color="auto"/>
              <w:right w:val="single" w:sz="4" w:space="0" w:color="auto"/>
            </w:tcBorders>
          </w:tcPr>
          <w:p w14:paraId="7FA12534" w14:textId="649B2738" w:rsidR="00984B34" w:rsidRPr="009E686F" w:rsidRDefault="00984B34" w:rsidP="00984B34">
            <w:pPr>
              <w:spacing w:after="0"/>
              <w:jc w:val="both"/>
              <w:rPr>
                <w:rFonts w:ascii="Times New Roman" w:hAnsi="Times New Roman" w:cs="Times New Roman"/>
                <w:lang w:val="ro-RO"/>
              </w:rPr>
            </w:pPr>
            <w:r w:rsidRPr="009E686F">
              <w:rPr>
                <w:rFonts w:ascii="Times New Roman" w:eastAsia="Aptos" w:hAnsi="Times New Roman" w:cs="Times New Roman"/>
                <w:kern w:val="2"/>
                <w:lang w:val="ro-MD"/>
              </w:rPr>
              <w:t xml:space="preserve">c) soliditatea, caracterul adecvat şi metoda de aplicare a politicilor şi procedurilor puse în aplicare de </w:t>
            </w:r>
            <w:r w:rsidRPr="009E686F">
              <w:rPr>
                <w:rFonts w:ascii="Times New Roman" w:eastAsia="Aptos" w:hAnsi="Times New Roman" w:cs="Times New Roman"/>
                <w:i/>
                <w:iCs/>
                <w:kern w:val="2"/>
                <w:lang w:val="ro-MD"/>
              </w:rPr>
              <w:t>instituția de credit</w:t>
            </w:r>
            <w:r w:rsidRPr="009E686F">
              <w:rPr>
                <w:rFonts w:ascii="Times New Roman" w:eastAsia="Aptos" w:hAnsi="Times New Roman" w:cs="Times New Roman"/>
                <w:kern w:val="2"/>
                <w:lang w:val="ro-MD"/>
              </w:rPr>
              <w:t xml:space="preserve"> pentru gestionarea riscului rezidual asociat cu utilizarea tehnicilor recunoscute de diminuare a riscului de credit;</w:t>
            </w:r>
          </w:p>
        </w:tc>
        <w:tc>
          <w:tcPr>
            <w:tcW w:w="470" w:type="pct"/>
            <w:tcBorders>
              <w:top w:val="single" w:sz="4" w:space="0" w:color="auto"/>
              <w:left w:val="single" w:sz="4" w:space="0" w:color="auto"/>
              <w:bottom w:val="single" w:sz="4" w:space="0" w:color="auto"/>
              <w:right w:val="single" w:sz="4" w:space="0" w:color="auto"/>
            </w:tcBorders>
          </w:tcPr>
          <w:p w14:paraId="641D3A84" w14:textId="5A455CE3"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03E12467" w14:textId="77777777" w:rsidR="00984B34" w:rsidRPr="009E686F" w:rsidRDefault="00984B34" w:rsidP="00984B34">
            <w:pPr>
              <w:jc w:val="both"/>
              <w:rPr>
                <w:rFonts w:ascii="Times New Roman" w:hAnsi="Times New Roman" w:cs="Times New Roman"/>
                <w:lang w:val="ro-RO"/>
              </w:rPr>
            </w:pPr>
          </w:p>
        </w:tc>
      </w:tr>
      <w:tr w:rsidR="00984B34" w:rsidRPr="009E686F" w14:paraId="47C1D44C" w14:textId="5351E1E1" w:rsidTr="00774F3E">
        <w:tc>
          <w:tcPr>
            <w:tcW w:w="1796" w:type="pct"/>
            <w:gridSpan w:val="2"/>
            <w:tcBorders>
              <w:top w:val="single" w:sz="4" w:space="0" w:color="auto"/>
              <w:left w:val="single" w:sz="4" w:space="0" w:color="auto"/>
              <w:bottom w:val="single" w:sz="4" w:space="0" w:color="auto"/>
              <w:right w:val="single" w:sz="4" w:space="0" w:color="auto"/>
            </w:tcBorders>
          </w:tcPr>
          <w:p w14:paraId="60C46797" w14:textId="57394F62"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(d) măsura în care fondurile proprii deținute de o instituție cu privire la activele pe care le-a securitizat sunt corespunzătoare având în vedere importanța economică a tranzacției, inclusiv gradul de transfer de risc obținut;</w:t>
            </w:r>
          </w:p>
        </w:tc>
        <w:tc>
          <w:tcPr>
            <w:tcW w:w="1928" w:type="pct"/>
            <w:gridSpan w:val="3"/>
            <w:tcBorders>
              <w:top w:val="single" w:sz="4" w:space="0" w:color="auto"/>
              <w:left w:val="single" w:sz="4" w:space="0" w:color="auto"/>
              <w:bottom w:val="single" w:sz="4" w:space="0" w:color="auto"/>
              <w:right w:val="single" w:sz="4" w:space="0" w:color="auto"/>
            </w:tcBorders>
          </w:tcPr>
          <w:p w14:paraId="11BC68EE" w14:textId="11946015" w:rsidR="00984B34" w:rsidRPr="009E686F" w:rsidRDefault="00925B4E" w:rsidP="00984B34">
            <w:pPr>
              <w:spacing w:after="0"/>
              <w:jc w:val="both"/>
              <w:rPr>
                <w:rFonts w:ascii="Times New Roman" w:hAnsi="Times New Roman" w:cs="Times New Roman"/>
                <w:lang w:val="ro-RO"/>
              </w:rPr>
            </w:pPr>
            <w:bookmarkStart w:id="33" w:name="_Hlk209535310"/>
            <w:r w:rsidRPr="009E686F">
              <w:rPr>
                <w:rFonts w:ascii="Times New Roman" w:eastAsia="Aptos" w:hAnsi="Times New Roman" w:cs="Times New Roman"/>
                <w:kern w:val="2"/>
                <w:lang w:val="ro-MD"/>
              </w:rPr>
              <w:t>j</w:t>
            </w:r>
            <w:r w:rsidR="00984B34" w:rsidRPr="009E686F">
              <w:rPr>
                <w:rFonts w:ascii="Times New Roman" w:eastAsia="Aptos" w:hAnsi="Times New Roman" w:cs="Times New Roman"/>
                <w:kern w:val="2"/>
                <w:lang w:val="ro-MD"/>
              </w:rPr>
              <w:t xml:space="preserve">) </w:t>
            </w:r>
            <w:bookmarkEnd w:id="33"/>
            <w:r w:rsidR="00984B34" w:rsidRPr="009E686F">
              <w:rPr>
                <w:rFonts w:ascii="Times New Roman" w:eastAsia="Aptos" w:hAnsi="Times New Roman" w:cs="Times New Roman"/>
                <w:kern w:val="2"/>
                <w:lang w:val="ro-MD"/>
              </w:rPr>
              <w:t xml:space="preserve"> </w:t>
            </w:r>
            <w:r w:rsidR="00984B34" w:rsidRPr="009E686F">
              <w:rPr>
                <w:rFonts w:ascii="Times New Roman" w:eastAsia="Aptos" w:hAnsi="Times New Roman" w:cs="Times New Roman"/>
                <w:i/>
                <w:kern w:val="2"/>
                <w:lang w:val="ro-MD"/>
              </w:rPr>
              <w:t xml:space="preserve">măsura în care fondurile proprii deţinute de o </w:t>
            </w:r>
            <w:r w:rsidR="00984B34" w:rsidRPr="009E686F">
              <w:rPr>
                <w:rFonts w:ascii="Times New Roman" w:eastAsia="Aptos" w:hAnsi="Times New Roman" w:cs="Times New Roman"/>
                <w:i/>
                <w:iCs/>
                <w:kern w:val="2"/>
                <w:lang w:val="ro-MD"/>
              </w:rPr>
              <w:t>instituție de credit</w:t>
            </w:r>
            <w:r w:rsidR="00984B34" w:rsidRPr="009E686F">
              <w:rPr>
                <w:rFonts w:ascii="Times New Roman" w:eastAsia="Aptos" w:hAnsi="Times New Roman" w:cs="Times New Roman"/>
                <w:i/>
                <w:kern w:val="2"/>
                <w:lang w:val="ro-MD"/>
              </w:rPr>
              <w:t xml:space="preserve"> cu privire la activele pe care le-a securitizat sunt corespunzătoare, având în vedere importanţa economică a tranzacţiei, inclusiv gradul de transfer de risc obţinut;</w:t>
            </w:r>
          </w:p>
        </w:tc>
        <w:tc>
          <w:tcPr>
            <w:tcW w:w="470" w:type="pct"/>
            <w:tcBorders>
              <w:top w:val="single" w:sz="4" w:space="0" w:color="auto"/>
              <w:left w:val="single" w:sz="4" w:space="0" w:color="auto"/>
              <w:bottom w:val="single" w:sz="4" w:space="0" w:color="auto"/>
              <w:right w:val="single" w:sz="4" w:space="0" w:color="auto"/>
            </w:tcBorders>
          </w:tcPr>
          <w:p w14:paraId="0412292A" w14:textId="320963B5"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41AFD6A6" w14:textId="77777777" w:rsidR="00984B34" w:rsidRPr="009E686F" w:rsidRDefault="00984B34" w:rsidP="00984B34">
            <w:pPr>
              <w:jc w:val="both"/>
              <w:rPr>
                <w:rFonts w:ascii="Times New Roman" w:hAnsi="Times New Roman" w:cs="Times New Roman"/>
                <w:lang w:val="ro-RO"/>
              </w:rPr>
            </w:pPr>
          </w:p>
        </w:tc>
      </w:tr>
      <w:tr w:rsidR="00984B34" w:rsidRPr="009E686F" w14:paraId="5010B5FD" w14:textId="25670DFF" w:rsidTr="00774F3E">
        <w:tc>
          <w:tcPr>
            <w:tcW w:w="1796" w:type="pct"/>
            <w:gridSpan w:val="2"/>
            <w:tcBorders>
              <w:top w:val="single" w:sz="4" w:space="0" w:color="auto"/>
              <w:left w:val="single" w:sz="4" w:space="0" w:color="auto"/>
              <w:bottom w:val="single" w:sz="4" w:space="0" w:color="auto"/>
              <w:right w:val="single" w:sz="4" w:space="0" w:color="auto"/>
            </w:tcBorders>
          </w:tcPr>
          <w:p w14:paraId="2ACCF202" w14:textId="12B1486A"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(e)expunerea la riscul de lichiditate, măsurarea și gestionarea acestuia de către instituții, inclusiv elaborarea de analize ale scenariilor alternative, gestionarea factorilor de diminuare a riscului (în special nivelul, componența și calitatea rezervelor de lichidități) și planuri de urgență eficiente;</w:t>
            </w:r>
          </w:p>
        </w:tc>
        <w:tc>
          <w:tcPr>
            <w:tcW w:w="1928" w:type="pct"/>
            <w:gridSpan w:val="3"/>
            <w:tcBorders>
              <w:top w:val="single" w:sz="4" w:space="0" w:color="auto"/>
              <w:left w:val="single" w:sz="4" w:space="0" w:color="auto"/>
              <w:bottom w:val="single" w:sz="4" w:space="0" w:color="auto"/>
              <w:right w:val="single" w:sz="4" w:space="0" w:color="auto"/>
            </w:tcBorders>
          </w:tcPr>
          <w:p w14:paraId="5855710A" w14:textId="40BAC6C6" w:rsidR="00984B34" w:rsidRPr="009E686F" w:rsidRDefault="00984B34" w:rsidP="00984B34">
            <w:pPr>
              <w:spacing w:after="0"/>
              <w:jc w:val="both"/>
              <w:rPr>
                <w:rFonts w:ascii="Times New Roman" w:hAnsi="Times New Roman" w:cs="Times New Roman"/>
                <w:lang w:val="ro-RO"/>
              </w:rPr>
            </w:pPr>
            <w:r w:rsidRPr="009E686F">
              <w:rPr>
                <w:rFonts w:ascii="Times New Roman" w:eastAsia="Aptos" w:hAnsi="Times New Roman" w:cs="Times New Roman"/>
                <w:kern w:val="2"/>
                <w:lang w:val="ro-MD"/>
              </w:rPr>
              <w:t xml:space="preserve">d) expunerea la riscul de lichiditate, măsurarea şi gestionarea acestuia de către </w:t>
            </w:r>
            <w:r w:rsidRPr="009E686F">
              <w:rPr>
                <w:rFonts w:ascii="Times New Roman" w:eastAsia="Aptos" w:hAnsi="Times New Roman" w:cs="Times New Roman"/>
                <w:i/>
                <w:iCs/>
                <w:kern w:val="2"/>
                <w:lang w:val="ro-MD"/>
              </w:rPr>
              <w:t>instituția de credit</w:t>
            </w:r>
            <w:r w:rsidRPr="009E686F">
              <w:rPr>
                <w:rFonts w:ascii="Times New Roman" w:eastAsia="Aptos" w:hAnsi="Times New Roman" w:cs="Times New Roman"/>
                <w:kern w:val="2"/>
                <w:lang w:val="ro-MD"/>
              </w:rPr>
              <w:t>, inclusiv elaborarea de analize ale scenariilor alternative, gestionarea factorilor de diminuare a riscului (în special nivelul, componenţa şi calitatea rezervelor de lichidităţi) şi planuri de urgenţă eficiente;</w:t>
            </w:r>
          </w:p>
        </w:tc>
        <w:tc>
          <w:tcPr>
            <w:tcW w:w="470" w:type="pct"/>
            <w:tcBorders>
              <w:top w:val="single" w:sz="4" w:space="0" w:color="auto"/>
              <w:left w:val="single" w:sz="4" w:space="0" w:color="auto"/>
              <w:bottom w:val="single" w:sz="4" w:space="0" w:color="auto"/>
              <w:right w:val="single" w:sz="4" w:space="0" w:color="auto"/>
            </w:tcBorders>
          </w:tcPr>
          <w:p w14:paraId="60DE6D37" w14:textId="2D42D82B"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1C95D5F7" w14:textId="77777777" w:rsidR="00984B34" w:rsidRPr="009E686F" w:rsidRDefault="00984B34" w:rsidP="00984B34">
            <w:pPr>
              <w:jc w:val="both"/>
              <w:rPr>
                <w:rFonts w:ascii="Times New Roman" w:hAnsi="Times New Roman" w:cs="Times New Roman"/>
                <w:lang w:val="ro-RO"/>
              </w:rPr>
            </w:pPr>
          </w:p>
        </w:tc>
      </w:tr>
      <w:tr w:rsidR="00984B34" w:rsidRPr="009E686F" w14:paraId="6ED0B769" w14:textId="3218F256" w:rsidTr="00774F3E">
        <w:tc>
          <w:tcPr>
            <w:tcW w:w="1796" w:type="pct"/>
            <w:gridSpan w:val="2"/>
            <w:tcBorders>
              <w:top w:val="single" w:sz="4" w:space="0" w:color="auto"/>
              <w:left w:val="single" w:sz="4" w:space="0" w:color="auto"/>
              <w:bottom w:val="single" w:sz="4" w:space="0" w:color="auto"/>
              <w:right w:val="single" w:sz="4" w:space="0" w:color="auto"/>
            </w:tcBorders>
          </w:tcPr>
          <w:p w14:paraId="4522F636" w14:textId="0E280F8E"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(f)impactul efectelor de diversificare și modul în care astfel de efecte sunt integrate în sistemul de măsurare a riscurilor;</w:t>
            </w:r>
          </w:p>
        </w:tc>
        <w:tc>
          <w:tcPr>
            <w:tcW w:w="1928" w:type="pct"/>
            <w:gridSpan w:val="3"/>
            <w:tcBorders>
              <w:top w:val="single" w:sz="4" w:space="0" w:color="auto"/>
              <w:left w:val="single" w:sz="4" w:space="0" w:color="auto"/>
              <w:bottom w:val="single" w:sz="4" w:space="0" w:color="auto"/>
              <w:right w:val="single" w:sz="4" w:space="0" w:color="auto"/>
            </w:tcBorders>
          </w:tcPr>
          <w:p w14:paraId="31B3349B" w14:textId="1B8FC34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e) impactul efectelor de diversificare și modul în care astfel de efecte sunt integrate în sistemul de măsurare a riscurilor;</w:t>
            </w:r>
          </w:p>
        </w:tc>
        <w:tc>
          <w:tcPr>
            <w:tcW w:w="470" w:type="pct"/>
            <w:tcBorders>
              <w:top w:val="single" w:sz="4" w:space="0" w:color="auto"/>
              <w:left w:val="single" w:sz="4" w:space="0" w:color="auto"/>
              <w:bottom w:val="single" w:sz="4" w:space="0" w:color="auto"/>
              <w:right w:val="single" w:sz="4" w:space="0" w:color="auto"/>
            </w:tcBorders>
          </w:tcPr>
          <w:p w14:paraId="42F5E7F7" w14:textId="614950C0"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59C5E8D2" w14:textId="77777777" w:rsidR="00984B34" w:rsidRPr="009E686F" w:rsidRDefault="00984B34" w:rsidP="00984B34">
            <w:pPr>
              <w:jc w:val="both"/>
              <w:rPr>
                <w:rFonts w:ascii="Times New Roman" w:hAnsi="Times New Roman" w:cs="Times New Roman"/>
                <w:lang w:val="ro-RO"/>
              </w:rPr>
            </w:pPr>
          </w:p>
        </w:tc>
      </w:tr>
      <w:tr w:rsidR="00984B34" w:rsidRPr="009E686F" w14:paraId="2D5642F9" w14:textId="11A0FA5C" w:rsidTr="00774F3E">
        <w:tc>
          <w:tcPr>
            <w:tcW w:w="1796" w:type="pct"/>
            <w:gridSpan w:val="2"/>
            <w:tcBorders>
              <w:top w:val="single" w:sz="4" w:space="0" w:color="auto"/>
              <w:left w:val="single" w:sz="4" w:space="0" w:color="auto"/>
              <w:bottom w:val="single" w:sz="4" w:space="0" w:color="auto"/>
              <w:right w:val="single" w:sz="4" w:space="0" w:color="auto"/>
            </w:tcBorders>
          </w:tcPr>
          <w:p w14:paraId="55C7189E" w14:textId="03478C9E"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(g)rezultatele simulărilor de criză realizate de instituții utilizând un model intern de calculare a cerințelor de fonduri proprii pentru acoperirea riscului de piață în conformitate cu partea a treia titlul IV capitolul 5 din Regulamentul (UE) nr. 575/2013;</w:t>
            </w:r>
          </w:p>
        </w:tc>
        <w:tc>
          <w:tcPr>
            <w:tcW w:w="1928" w:type="pct"/>
            <w:gridSpan w:val="3"/>
            <w:tcBorders>
              <w:top w:val="single" w:sz="4" w:space="0" w:color="auto"/>
              <w:left w:val="single" w:sz="4" w:space="0" w:color="auto"/>
              <w:bottom w:val="single" w:sz="4" w:space="0" w:color="auto"/>
              <w:right w:val="single" w:sz="4" w:space="0" w:color="auto"/>
            </w:tcBorders>
          </w:tcPr>
          <w:p w14:paraId="6CFF52CB" w14:textId="3A33DDFB" w:rsidR="00984B34" w:rsidRPr="009E686F" w:rsidRDefault="00984B34" w:rsidP="00984B34">
            <w:pPr>
              <w:spacing w:after="0"/>
              <w:jc w:val="both"/>
              <w:rPr>
                <w:rFonts w:ascii="Times New Roman" w:hAnsi="Times New Roman" w:cs="Times New Roman"/>
                <w:lang w:val="ro-RO"/>
              </w:rPr>
            </w:pPr>
            <w:r w:rsidRPr="009E686F">
              <w:rPr>
                <w:rFonts w:ascii="Times New Roman" w:eastAsia="Aptos" w:hAnsi="Times New Roman" w:cs="Times New Roman"/>
                <w:kern w:val="2"/>
                <w:lang w:val="ro-MD"/>
              </w:rPr>
              <w:t xml:space="preserve">f) rezultatele simulărilor de criză realizate de </w:t>
            </w:r>
            <w:r w:rsidRPr="009E686F">
              <w:rPr>
                <w:rFonts w:ascii="Times New Roman" w:eastAsia="Aptos" w:hAnsi="Times New Roman" w:cs="Times New Roman"/>
                <w:i/>
                <w:iCs/>
                <w:kern w:val="2"/>
                <w:lang w:val="ro-MD"/>
              </w:rPr>
              <w:t>instituția de credit</w:t>
            </w:r>
            <w:r w:rsidRPr="009E686F">
              <w:rPr>
                <w:rFonts w:ascii="Times New Roman" w:eastAsia="Aptos" w:hAnsi="Times New Roman" w:cs="Times New Roman"/>
                <w:kern w:val="2"/>
                <w:lang w:val="ro-MD"/>
              </w:rPr>
              <w:t xml:space="preserve">  utilizînd un model intern de calculare a cerinţelor de fonduri proprii pentru acoperirea riscului de piaţă;</w:t>
            </w:r>
            <w:r w:rsidRPr="009E686F">
              <w:rPr>
                <w:rFonts w:ascii="Times New Roman" w:eastAsia="Aptos" w:hAnsi="Times New Roman" w:cs="Times New Roman"/>
                <w:color w:val="FF0000"/>
                <w:kern w:val="2"/>
                <w:lang w:val="ro-MD"/>
              </w:rPr>
              <w:t xml:space="preserve"> </w:t>
            </w:r>
          </w:p>
        </w:tc>
        <w:tc>
          <w:tcPr>
            <w:tcW w:w="470" w:type="pct"/>
            <w:tcBorders>
              <w:top w:val="single" w:sz="4" w:space="0" w:color="auto"/>
              <w:left w:val="single" w:sz="4" w:space="0" w:color="auto"/>
              <w:bottom w:val="single" w:sz="4" w:space="0" w:color="auto"/>
              <w:right w:val="single" w:sz="4" w:space="0" w:color="auto"/>
            </w:tcBorders>
          </w:tcPr>
          <w:p w14:paraId="1A183281" w14:textId="54ABCED5"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3EB7F906" w14:textId="77777777" w:rsidR="00984B34" w:rsidRPr="009E686F" w:rsidRDefault="00984B34" w:rsidP="00984B34">
            <w:pPr>
              <w:jc w:val="both"/>
              <w:rPr>
                <w:rFonts w:ascii="Times New Roman" w:hAnsi="Times New Roman" w:cs="Times New Roman"/>
                <w:lang w:val="ro-RO"/>
              </w:rPr>
            </w:pPr>
          </w:p>
        </w:tc>
      </w:tr>
      <w:tr w:rsidR="00984B34" w:rsidRPr="009E686F" w14:paraId="35E5F8AF" w14:textId="17FEB84D" w:rsidTr="00774F3E">
        <w:tc>
          <w:tcPr>
            <w:tcW w:w="1796" w:type="pct"/>
            <w:gridSpan w:val="2"/>
            <w:tcBorders>
              <w:top w:val="single" w:sz="4" w:space="0" w:color="auto"/>
              <w:left w:val="single" w:sz="4" w:space="0" w:color="auto"/>
              <w:bottom w:val="single" w:sz="4" w:space="0" w:color="auto"/>
              <w:right w:val="single" w:sz="4" w:space="0" w:color="auto"/>
            </w:tcBorders>
          </w:tcPr>
          <w:p w14:paraId="74A521E8" w14:textId="6A959E50"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(h)distribuirea geografică a expunerilor instituțiilor;</w:t>
            </w:r>
          </w:p>
        </w:tc>
        <w:tc>
          <w:tcPr>
            <w:tcW w:w="1928" w:type="pct"/>
            <w:gridSpan w:val="3"/>
            <w:tcBorders>
              <w:top w:val="single" w:sz="4" w:space="0" w:color="auto"/>
              <w:left w:val="single" w:sz="4" w:space="0" w:color="auto"/>
              <w:bottom w:val="single" w:sz="4" w:space="0" w:color="auto"/>
              <w:right w:val="single" w:sz="4" w:space="0" w:color="auto"/>
            </w:tcBorders>
          </w:tcPr>
          <w:p w14:paraId="2FCF2CCB" w14:textId="60DFDE72"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g) distribuirea geografică a expunerilor  </w:t>
            </w:r>
            <w:r w:rsidRPr="009E686F">
              <w:rPr>
                <w:rFonts w:ascii="Times New Roman" w:hAnsi="Times New Roman" w:cs="Times New Roman"/>
                <w:i/>
                <w:iCs/>
                <w:lang w:val="ro-RO"/>
              </w:rPr>
              <w:t>instituției de credit</w:t>
            </w:r>
            <w:r w:rsidRPr="009E686F">
              <w:rPr>
                <w:rFonts w:ascii="Times New Roman" w:hAnsi="Times New Roman" w:cs="Times New Roman"/>
                <w:lang w:val="ro-RO"/>
              </w:rPr>
              <w:t>;</w:t>
            </w:r>
          </w:p>
        </w:tc>
        <w:tc>
          <w:tcPr>
            <w:tcW w:w="470" w:type="pct"/>
            <w:tcBorders>
              <w:top w:val="single" w:sz="4" w:space="0" w:color="auto"/>
              <w:left w:val="single" w:sz="4" w:space="0" w:color="auto"/>
              <w:bottom w:val="single" w:sz="4" w:space="0" w:color="auto"/>
              <w:right w:val="single" w:sz="4" w:space="0" w:color="auto"/>
            </w:tcBorders>
          </w:tcPr>
          <w:p w14:paraId="39F63898" w14:textId="5E2AAF99"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5091E0F9" w14:textId="77777777" w:rsidR="00984B34" w:rsidRPr="009E686F" w:rsidRDefault="00984B34" w:rsidP="00984B34">
            <w:pPr>
              <w:jc w:val="both"/>
              <w:rPr>
                <w:rFonts w:ascii="Times New Roman" w:hAnsi="Times New Roman" w:cs="Times New Roman"/>
                <w:lang w:val="ro-RO"/>
              </w:rPr>
            </w:pPr>
          </w:p>
        </w:tc>
      </w:tr>
      <w:tr w:rsidR="00984B34" w:rsidRPr="009E686F" w14:paraId="3B0D89AE" w14:textId="3B856F48" w:rsidTr="00774F3E">
        <w:tc>
          <w:tcPr>
            <w:tcW w:w="1796" w:type="pct"/>
            <w:gridSpan w:val="2"/>
            <w:tcBorders>
              <w:top w:val="single" w:sz="4" w:space="0" w:color="auto"/>
              <w:left w:val="single" w:sz="4" w:space="0" w:color="auto"/>
              <w:bottom w:val="single" w:sz="4" w:space="0" w:color="auto"/>
              <w:right w:val="single" w:sz="4" w:space="0" w:color="auto"/>
            </w:tcBorders>
          </w:tcPr>
          <w:p w14:paraId="66161B32" w14:textId="31441409"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(i)modelul de afaceri al instituției;</w:t>
            </w:r>
          </w:p>
        </w:tc>
        <w:tc>
          <w:tcPr>
            <w:tcW w:w="1928" w:type="pct"/>
            <w:gridSpan w:val="3"/>
            <w:tcBorders>
              <w:top w:val="single" w:sz="4" w:space="0" w:color="auto"/>
              <w:left w:val="single" w:sz="4" w:space="0" w:color="auto"/>
              <w:bottom w:val="single" w:sz="4" w:space="0" w:color="auto"/>
              <w:right w:val="single" w:sz="4" w:space="0" w:color="auto"/>
            </w:tcBorders>
          </w:tcPr>
          <w:p w14:paraId="1885781A" w14:textId="610CF9E9"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h) modelul de afaceri al  </w:t>
            </w:r>
            <w:r w:rsidRPr="009E686F">
              <w:rPr>
                <w:rFonts w:ascii="Times New Roman" w:hAnsi="Times New Roman" w:cs="Times New Roman"/>
                <w:i/>
                <w:iCs/>
                <w:lang w:val="ro-RO"/>
              </w:rPr>
              <w:t>instituției de credit</w:t>
            </w:r>
            <w:r w:rsidRPr="009E686F">
              <w:rPr>
                <w:rFonts w:ascii="Times New Roman" w:hAnsi="Times New Roman" w:cs="Times New Roman"/>
                <w:lang w:val="ro-RO"/>
              </w:rPr>
              <w:t>;</w:t>
            </w:r>
          </w:p>
        </w:tc>
        <w:tc>
          <w:tcPr>
            <w:tcW w:w="470" w:type="pct"/>
            <w:tcBorders>
              <w:top w:val="single" w:sz="4" w:space="0" w:color="auto"/>
              <w:left w:val="single" w:sz="4" w:space="0" w:color="auto"/>
              <w:bottom w:val="single" w:sz="4" w:space="0" w:color="auto"/>
              <w:right w:val="single" w:sz="4" w:space="0" w:color="auto"/>
            </w:tcBorders>
          </w:tcPr>
          <w:p w14:paraId="535D3D82" w14:textId="269F61D7"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039315FE" w14:textId="77777777" w:rsidR="00984B34" w:rsidRPr="009E686F" w:rsidRDefault="00984B34" w:rsidP="00984B34">
            <w:pPr>
              <w:jc w:val="both"/>
              <w:rPr>
                <w:rFonts w:ascii="Times New Roman" w:hAnsi="Times New Roman" w:cs="Times New Roman"/>
                <w:lang w:val="ro-RO"/>
              </w:rPr>
            </w:pPr>
          </w:p>
        </w:tc>
      </w:tr>
      <w:tr w:rsidR="00984B34" w:rsidRPr="009E686F" w14:paraId="4CD93513"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63B7249C" w14:textId="4FD7BFA4" w:rsidR="00984B34" w:rsidRPr="009E686F" w:rsidDel="002014CE"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lastRenderedPageBreak/>
              <w:t>(k) măsura în care instituțiile au instituit politici și acțiuni operaționale adecvate legate de țintele și obiectivele intermediare cuantificabile stabilite în planurile care urmează să fie elaborate în conformitate cu articolul 76 alineatul (2).”</w:t>
            </w:r>
          </w:p>
        </w:tc>
        <w:tc>
          <w:tcPr>
            <w:tcW w:w="1928" w:type="pct"/>
            <w:gridSpan w:val="3"/>
            <w:tcBorders>
              <w:top w:val="single" w:sz="4" w:space="0" w:color="auto"/>
              <w:left w:val="single" w:sz="4" w:space="0" w:color="auto"/>
              <w:bottom w:val="single" w:sz="4" w:space="0" w:color="auto"/>
              <w:right w:val="single" w:sz="4" w:space="0" w:color="auto"/>
            </w:tcBorders>
          </w:tcPr>
          <w:p w14:paraId="346747B6" w14:textId="7947A647" w:rsidR="00984B34" w:rsidRPr="009E686F" w:rsidDel="002014CE" w:rsidRDefault="00925B4E" w:rsidP="00984B34">
            <w:pPr>
              <w:spacing w:after="0"/>
              <w:jc w:val="both"/>
              <w:rPr>
                <w:rFonts w:ascii="Times New Roman" w:hAnsi="Times New Roman" w:cs="Times New Roman"/>
                <w:b/>
                <w:i/>
                <w:lang w:val="ro-RO"/>
              </w:rPr>
            </w:pPr>
            <w:r w:rsidRPr="009E686F">
              <w:rPr>
                <w:rFonts w:ascii="Times New Roman" w:eastAsia="Aptos" w:hAnsi="Times New Roman" w:cs="Times New Roman"/>
                <w:i/>
                <w:kern w:val="2"/>
                <w:lang w:val="ro-MD"/>
              </w:rPr>
              <w:t>l</w:t>
            </w:r>
            <w:r w:rsidR="00984B34" w:rsidRPr="009E686F">
              <w:rPr>
                <w:rFonts w:ascii="Times New Roman" w:eastAsia="Aptos" w:hAnsi="Times New Roman" w:cs="Times New Roman"/>
                <w:i/>
                <w:kern w:val="2"/>
                <w:lang w:val="ro-MD"/>
              </w:rPr>
              <w:t xml:space="preserve">) măsura în care </w:t>
            </w:r>
            <w:r w:rsidR="00984B34" w:rsidRPr="009E686F">
              <w:rPr>
                <w:rFonts w:ascii="Times New Roman" w:eastAsia="Aptos" w:hAnsi="Times New Roman" w:cs="Times New Roman"/>
                <w:i/>
                <w:iCs/>
                <w:kern w:val="2"/>
                <w:lang w:val="ro-MD"/>
              </w:rPr>
              <w:t>instituțiile de credit</w:t>
            </w:r>
            <w:r w:rsidR="00984B34" w:rsidRPr="009E686F">
              <w:rPr>
                <w:rFonts w:ascii="Times New Roman" w:eastAsia="Aptos" w:hAnsi="Times New Roman" w:cs="Times New Roman"/>
                <w:i/>
                <w:kern w:val="2"/>
                <w:lang w:val="ro-MD"/>
              </w:rPr>
              <w:t xml:space="preserve"> au instituit politici și acțiuni operaționale adecvate legate de țintele și obiectivele intermediare cuantificabile stabilite în planurile specifice prevăzute la art. 41 lit. i</w:t>
            </w:r>
            <w:r w:rsidR="00984B34" w:rsidRPr="009E686F">
              <w:rPr>
                <w:rFonts w:ascii="Times New Roman" w:eastAsia="Aptos" w:hAnsi="Times New Roman" w:cs="Times New Roman"/>
                <w:i/>
                <w:kern w:val="2"/>
                <w:vertAlign w:val="superscript"/>
                <w:lang w:val="ro-MD"/>
              </w:rPr>
              <w:t>2</w:t>
            </w:r>
            <w:r w:rsidR="00984B34" w:rsidRPr="009E686F">
              <w:rPr>
                <w:rFonts w:ascii="Times New Roman" w:eastAsia="Aptos" w:hAnsi="Times New Roman" w:cs="Times New Roman"/>
                <w:i/>
                <w:kern w:val="2"/>
                <w:lang w:val="ro-MD"/>
              </w:rPr>
              <w:t>).</w:t>
            </w:r>
          </w:p>
        </w:tc>
        <w:tc>
          <w:tcPr>
            <w:tcW w:w="470" w:type="pct"/>
            <w:tcBorders>
              <w:top w:val="single" w:sz="4" w:space="0" w:color="auto"/>
              <w:left w:val="single" w:sz="4" w:space="0" w:color="auto"/>
              <w:bottom w:val="single" w:sz="4" w:space="0" w:color="auto"/>
              <w:right w:val="single" w:sz="4" w:space="0" w:color="auto"/>
            </w:tcBorders>
          </w:tcPr>
          <w:p w14:paraId="7936DF6A" w14:textId="77777777" w:rsidR="00984B34" w:rsidRPr="009E686F" w:rsidDel="002014CE"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4925DE97" w14:textId="77777777" w:rsidR="00984B34" w:rsidRPr="009E686F" w:rsidRDefault="00984B34" w:rsidP="00984B34">
            <w:pPr>
              <w:jc w:val="both"/>
              <w:rPr>
                <w:rFonts w:ascii="Times New Roman" w:hAnsi="Times New Roman" w:cs="Times New Roman"/>
                <w:lang w:val="ro-RO"/>
              </w:rPr>
            </w:pPr>
          </w:p>
        </w:tc>
      </w:tr>
      <w:tr w:rsidR="00984B34" w:rsidRPr="009E686F" w14:paraId="67F0B300" w14:textId="44BC40EC" w:rsidTr="006B3E23">
        <w:trPr>
          <w:trHeight w:val="3460"/>
        </w:trPr>
        <w:tc>
          <w:tcPr>
            <w:tcW w:w="1796" w:type="pct"/>
            <w:gridSpan w:val="2"/>
            <w:tcBorders>
              <w:top w:val="single" w:sz="4" w:space="0" w:color="auto"/>
              <w:left w:val="single" w:sz="4" w:space="0" w:color="auto"/>
              <w:bottom w:val="single" w:sz="4" w:space="0" w:color="auto"/>
              <w:right w:val="single" w:sz="4" w:space="0" w:color="auto"/>
            </w:tcBorders>
          </w:tcPr>
          <w:p w14:paraId="170D87DB" w14:textId="3E610ACE"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(2) În sensul alineatului (1) litera (e), autoritățile competente efectuează cu regularitate o evaluare detaliată a gestionării generale a riscurilor de lichiditate de către instituții și promovează elaborarea de metodologii interne solide. La realizarea analizelor respective, autoritățile competente au în vedere rolul jucat de instituții pe piețele financiare. </w:t>
            </w:r>
          </w:p>
          <w:p w14:paraId="7D21A888"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Autoritățile competente dintr-un stat membru iau în considerare în mod corespunzător efectul potențial al deciziilor lor asupra stabilității sistemului financiar din toate celelalte state membre în cauză.</w:t>
            </w:r>
          </w:p>
        </w:tc>
        <w:tc>
          <w:tcPr>
            <w:tcW w:w="1928" w:type="pct"/>
            <w:gridSpan w:val="3"/>
            <w:tcBorders>
              <w:top w:val="single" w:sz="4" w:space="0" w:color="auto"/>
              <w:left w:val="single" w:sz="4" w:space="0" w:color="auto"/>
              <w:bottom w:val="single" w:sz="4" w:space="0" w:color="auto"/>
              <w:right w:val="single" w:sz="4" w:space="0" w:color="auto"/>
            </w:tcBorders>
          </w:tcPr>
          <w:p w14:paraId="13543989" w14:textId="0FD8CB22" w:rsidR="00984B34" w:rsidRPr="009E686F" w:rsidRDefault="00984B34" w:rsidP="00984B34">
            <w:pPr>
              <w:spacing w:after="0"/>
              <w:jc w:val="both"/>
              <w:rPr>
                <w:rFonts w:ascii="Times New Roman" w:hAnsi="Times New Roman" w:cs="Times New Roman"/>
                <w:bCs/>
                <w:lang w:val="ro-RO"/>
              </w:rPr>
            </w:pPr>
            <w:r w:rsidRPr="009E686F">
              <w:rPr>
                <w:rFonts w:ascii="Times New Roman" w:eastAsia="Aptos" w:hAnsi="Times New Roman" w:cs="Times New Roman"/>
                <w:kern w:val="2"/>
                <w:lang w:val="ro-MD"/>
              </w:rPr>
              <w:t>(1</w:t>
            </w:r>
            <w:r w:rsidRPr="009E686F">
              <w:rPr>
                <w:rFonts w:ascii="Times New Roman" w:eastAsia="Aptos" w:hAnsi="Times New Roman" w:cs="Times New Roman"/>
                <w:kern w:val="2"/>
                <w:vertAlign w:val="superscript"/>
                <w:lang w:val="ro-MD"/>
              </w:rPr>
              <w:t>1</w:t>
            </w:r>
            <w:r w:rsidRPr="009E686F">
              <w:rPr>
                <w:rFonts w:ascii="Times New Roman" w:eastAsia="Aptos" w:hAnsi="Times New Roman" w:cs="Times New Roman"/>
                <w:kern w:val="2"/>
                <w:lang w:val="ro-MD"/>
              </w:rPr>
              <w:t xml:space="preserve">) </w:t>
            </w:r>
            <w:r w:rsidRPr="009E686F">
              <w:rPr>
                <w:rFonts w:ascii="Times New Roman" w:eastAsia="Aptos" w:hAnsi="Times New Roman" w:cs="Times New Roman"/>
                <w:i/>
                <w:kern w:val="2"/>
                <w:lang w:val="ro-MD"/>
              </w:rPr>
              <w:t xml:space="preserve">În aplicarea alin. (1) litera d), Banca Națională a Moldovei efectuează cu regularitate o evaluare detaliată a gestionării generale a riscurilor de lichiditate de către </w:t>
            </w:r>
            <w:r w:rsidRPr="009E686F">
              <w:rPr>
                <w:rFonts w:ascii="Times New Roman" w:eastAsia="Aptos" w:hAnsi="Times New Roman" w:cs="Times New Roman"/>
                <w:i/>
                <w:iCs/>
                <w:kern w:val="2"/>
                <w:lang w:val="ro-MD"/>
              </w:rPr>
              <w:t>instituția de credit</w:t>
            </w:r>
            <w:r w:rsidRPr="009E686F">
              <w:rPr>
                <w:rFonts w:ascii="Times New Roman" w:eastAsia="Aptos" w:hAnsi="Times New Roman" w:cs="Times New Roman"/>
                <w:i/>
                <w:kern w:val="2"/>
                <w:lang w:val="ro-MD"/>
              </w:rPr>
              <w:t xml:space="preserve"> și promovează elaborarea de metodologii interne solide luând în considerare rolul jucat de </w:t>
            </w:r>
            <w:r w:rsidRPr="009E686F">
              <w:rPr>
                <w:rFonts w:ascii="Times New Roman" w:eastAsia="Aptos" w:hAnsi="Times New Roman" w:cs="Times New Roman"/>
                <w:i/>
                <w:iCs/>
                <w:kern w:val="2"/>
                <w:lang w:val="ro-MD"/>
              </w:rPr>
              <w:t>instituții de credit</w:t>
            </w:r>
            <w:r w:rsidRPr="009E686F">
              <w:rPr>
                <w:rFonts w:ascii="Times New Roman" w:eastAsia="Aptos" w:hAnsi="Times New Roman" w:cs="Times New Roman"/>
                <w:i/>
                <w:kern w:val="2"/>
                <w:lang w:val="ro-MD"/>
              </w:rPr>
              <w:t xml:space="preserve"> pe pieţele financiare și, în mod corespunzător, efectul potenţial al deciziilor sale asupra stabilităţii sistemului financiar din toate celelalte state membre.</w:t>
            </w:r>
          </w:p>
          <w:p w14:paraId="5C2D8B43" w14:textId="64A5712D" w:rsidR="00984B34" w:rsidRPr="009E686F" w:rsidRDefault="00984B34" w:rsidP="00984B34">
            <w:pPr>
              <w:spacing w:after="0"/>
              <w:jc w:val="both"/>
              <w:rPr>
                <w:rFonts w:ascii="Times New Roman" w:hAnsi="Times New Roman" w:cs="Times New Roman"/>
                <w:bCs/>
                <w:lang w:val="ro-RO"/>
              </w:rPr>
            </w:pPr>
          </w:p>
        </w:tc>
        <w:tc>
          <w:tcPr>
            <w:tcW w:w="470" w:type="pct"/>
            <w:tcBorders>
              <w:top w:val="single" w:sz="4" w:space="0" w:color="auto"/>
              <w:left w:val="single" w:sz="4" w:space="0" w:color="auto"/>
              <w:bottom w:val="single" w:sz="4" w:space="0" w:color="auto"/>
              <w:right w:val="single" w:sz="4" w:space="0" w:color="auto"/>
            </w:tcBorders>
          </w:tcPr>
          <w:p w14:paraId="255BC7AA" w14:textId="77777777"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p w14:paraId="614B7BBA" w14:textId="3A962FA4" w:rsidR="00984B34" w:rsidRPr="009E686F" w:rsidRDefault="00984B34" w:rsidP="00984B34">
            <w:pPr>
              <w:jc w:val="both"/>
              <w:rPr>
                <w:rFonts w:ascii="Times New Roman" w:hAnsi="Times New Roman" w:cs="Times New Roman"/>
                <w:lang w:val="ro-RO"/>
              </w:rPr>
            </w:pPr>
          </w:p>
          <w:p w14:paraId="4230F3E0" w14:textId="77777777" w:rsidR="00984B34" w:rsidRPr="009E686F" w:rsidRDefault="00984B34" w:rsidP="00984B34">
            <w:pPr>
              <w:jc w:val="both"/>
              <w:rPr>
                <w:rFonts w:ascii="Times New Roman" w:hAnsi="Times New Roman" w:cs="Times New Roman"/>
                <w:lang w:val="ro-RO"/>
              </w:rPr>
            </w:pPr>
          </w:p>
          <w:p w14:paraId="459638B4" w14:textId="77777777" w:rsidR="00984B34" w:rsidRPr="009E686F" w:rsidRDefault="00984B34" w:rsidP="00984B34">
            <w:pPr>
              <w:jc w:val="both"/>
              <w:rPr>
                <w:rFonts w:ascii="Times New Roman" w:hAnsi="Times New Roman" w:cs="Times New Roman"/>
                <w:lang w:val="ro-RO"/>
              </w:rPr>
            </w:pPr>
          </w:p>
          <w:p w14:paraId="3F60151E" w14:textId="77777777" w:rsidR="00984B34" w:rsidRPr="009E686F" w:rsidRDefault="00984B34" w:rsidP="00984B34">
            <w:pPr>
              <w:jc w:val="both"/>
              <w:rPr>
                <w:rFonts w:ascii="Times New Roman" w:hAnsi="Times New Roman" w:cs="Times New Roman"/>
                <w:lang w:val="ro-RO"/>
              </w:rPr>
            </w:pPr>
          </w:p>
          <w:p w14:paraId="17B4D37F" w14:textId="77777777" w:rsidR="00984B34" w:rsidRPr="009E686F" w:rsidRDefault="00984B34" w:rsidP="00984B34">
            <w:pPr>
              <w:jc w:val="both"/>
              <w:rPr>
                <w:rFonts w:ascii="Times New Roman" w:hAnsi="Times New Roman" w:cs="Times New Roman"/>
                <w:lang w:val="ro-RO"/>
              </w:rPr>
            </w:pPr>
          </w:p>
          <w:p w14:paraId="1F4A122E" w14:textId="0C61AD01" w:rsidR="00984B34" w:rsidRPr="009E686F" w:rsidRDefault="00984B34" w:rsidP="00984B34">
            <w:pPr>
              <w:jc w:val="both"/>
              <w:rPr>
                <w:rFonts w:ascii="Times New Roman" w:hAnsi="Times New Roman" w:cs="Times New Roman"/>
                <w:lang w:val="ro-RO"/>
              </w:rPr>
            </w:pPr>
          </w:p>
          <w:p w14:paraId="083EAFF3" w14:textId="5F9CD952"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05C26A6F" w14:textId="77777777" w:rsidR="00984B34" w:rsidRPr="009E686F" w:rsidRDefault="00984B34" w:rsidP="00984B34">
            <w:pPr>
              <w:jc w:val="both"/>
              <w:rPr>
                <w:rFonts w:ascii="Times New Roman" w:hAnsi="Times New Roman" w:cs="Times New Roman"/>
                <w:lang w:val="ro-RO"/>
              </w:rPr>
            </w:pPr>
          </w:p>
        </w:tc>
      </w:tr>
      <w:tr w:rsidR="00984B34" w:rsidRPr="009E686F" w14:paraId="3C908002" w14:textId="5697374E" w:rsidTr="00774F3E">
        <w:tc>
          <w:tcPr>
            <w:tcW w:w="1796" w:type="pct"/>
            <w:gridSpan w:val="2"/>
            <w:tcBorders>
              <w:top w:val="single" w:sz="4" w:space="0" w:color="auto"/>
              <w:left w:val="single" w:sz="4" w:space="0" w:color="auto"/>
              <w:bottom w:val="single" w:sz="4" w:space="0" w:color="auto"/>
              <w:right w:val="single" w:sz="4" w:space="0" w:color="auto"/>
            </w:tcBorders>
          </w:tcPr>
          <w:p w14:paraId="358D3A21" w14:textId="3AC0D065"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(3) Autoritățile competente trebuie să supravegheze dacă instituția a furnizat sau nu sprijin implicit unei securitizări. În cazul în care se constată că o instituție a furnizat sprijin implicit în mai multe rânduri, autoritatea competentă ia măsuri adecvate ținând seama de probabilitatea crescută ca respectiva instituție să furnizeze un sprijin ulterior operațiunilor de securitizare, împiedicând astfel un transfer semnificativ al riscului.</w:t>
            </w:r>
          </w:p>
        </w:tc>
        <w:tc>
          <w:tcPr>
            <w:tcW w:w="1928" w:type="pct"/>
            <w:gridSpan w:val="3"/>
            <w:tcBorders>
              <w:top w:val="single" w:sz="4" w:space="0" w:color="auto"/>
              <w:left w:val="single" w:sz="4" w:space="0" w:color="auto"/>
              <w:bottom w:val="single" w:sz="4" w:space="0" w:color="auto"/>
              <w:right w:val="single" w:sz="4" w:space="0" w:color="auto"/>
            </w:tcBorders>
          </w:tcPr>
          <w:p w14:paraId="05BB13EC" w14:textId="3C309534" w:rsidR="00984B34" w:rsidRPr="009E686F" w:rsidRDefault="00984B34" w:rsidP="00984B34">
            <w:pPr>
              <w:spacing w:after="0"/>
              <w:jc w:val="both"/>
              <w:rPr>
                <w:rFonts w:ascii="Times New Roman" w:hAnsi="Times New Roman" w:cs="Times New Roman"/>
                <w:bCs/>
                <w:lang w:val="ro-RO"/>
              </w:rPr>
            </w:pPr>
            <w:r w:rsidRPr="009E686F">
              <w:rPr>
                <w:rFonts w:ascii="Times New Roman" w:hAnsi="Times New Roman" w:cs="Times New Roman"/>
                <w:b/>
                <w:bCs/>
                <w:lang w:val="ro-RO"/>
              </w:rPr>
              <w:t>Articolul 101 alin. (1</w:t>
            </w:r>
            <w:r w:rsidRPr="009E686F">
              <w:rPr>
                <w:rFonts w:ascii="Times New Roman" w:hAnsi="Times New Roman" w:cs="Times New Roman"/>
                <w:b/>
                <w:bCs/>
                <w:vertAlign w:val="superscript"/>
                <w:lang w:val="ro-RO"/>
              </w:rPr>
              <w:t>2</w:t>
            </w:r>
            <w:r w:rsidRPr="009E686F">
              <w:rPr>
                <w:rFonts w:ascii="Times New Roman" w:hAnsi="Times New Roman" w:cs="Times New Roman"/>
                <w:b/>
                <w:bCs/>
                <w:lang w:val="ro-RO"/>
              </w:rPr>
              <w:t>)</w:t>
            </w:r>
          </w:p>
          <w:p w14:paraId="2A6B8056" w14:textId="30CC13F0" w:rsidR="00984B34" w:rsidRPr="009E686F" w:rsidRDefault="00984B34" w:rsidP="00984B34">
            <w:pPr>
              <w:spacing w:after="0"/>
              <w:jc w:val="both"/>
              <w:rPr>
                <w:rFonts w:ascii="Times New Roman" w:hAnsi="Times New Roman" w:cs="Times New Roman"/>
                <w:b/>
                <w:i/>
                <w:lang w:val="ro-RO"/>
              </w:rPr>
            </w:pPr>
            <w:r w:rsidRPr="009E686F">
              <w:rPr>
                <w:rFonts w:ascii="Times New Roman" w:eastAsia="Aptos" w:hAnsi="Times New Roman" w:cs="Times New Roman"/>
                <w:i/>
                <w:kern w:val="2"/>
                <w:lang w:val="ro-MD"/>
              </w:rPr>
              <w:t>(1</w:t>
            </w:r>
            <w:r w:rsidRPr="009E686F">
              <w:rPr>
                <w:rFonts w:ascii="Times New Roman" w:eastAsia="Aptos" w:hAnsi="Times New Roman" w:cs="Times New Roman"/>
                <w:i/>
                <w:kern w:val="2"/>
                <w:vertAlign w:val="superscript"/>
                <w:lang w:val="ro-MD"/>
              </w:rPr>
              <w:t>2</w:t>
            </w:r>
            <w:r w:rsidRPr="009E686F">
              <w:rPr>
                <w:rFonts w:ascii="Times New Roman" w:eastAsia="Aptos" w:hAnsi="Times New Roman" w:cs="Times New Roman"/>
                <w:i/>
                <w:kern w:val="2"/>
                <w:lang w:val="ro-MD"/>
              </w:rPr>
              <w:t xml:space="preserve">) Banca Națională a Moldovei monitorizează dacă </w:t>
            </w:r>
            <w:r w:rsidRPr="009E686F">
              <w:rPr>
                <w:rFonts w:ascii="Times New Roman" w:eastAsia="Aptos" w:hAnsi="Times New Roman" w:cs="Times New Roman"/>
                <w:i/>
                <w:iCs/>
                <w:kern w:val="2"/>
                <w:lang w:val="ro-MD"/>
              </w:rPr>
              <w:t>instituția de credit</w:t>
            </w:r>
            <w:r w:rsidRPr="009E686F">
              <w:rPr>
                <w:rFonts w:ascii="Times New Roman" w:eastAsia="Aptos" w:hAnsi="Times New Roman" w:cs="Times New Roman"/>
                <w:i/>
                <w:kern w:val="2"/>
                <w:lang w:val="ro-MD"/>
              </w:rPr>
              <w:t xml:space="preserve"> a furnizat sau nu sprijin implicit unei securitizări, iar în cazul în care constată că o </w:t>
            </w:r>
            <w:r w:rsidRPr="009E686F">
              <w:rPr>
                <w:rFonts w:ascii="Times New Roman" w:eastAsia="Aptos" w:hAnsi="Times New Roman" w:cs="Times New Roman"/>
                <w:i/>
                <w:iCs/>
                <w:kern w:val="2"/>
                <w:lang w:val="ro-MD"/>
              </w:rPr>
              <w:t>instituție de credit</w:t>
            </w:r>
            <w:r w:rsidRPr="009E686F">
              <w:rPr>
                <w:rFonts w:ascii="Times New Roman" w:eastAsia="Aptos" w:hAnsi="Times New Roman" w:cs="Times New Roman"/>
                <w:i/>
                <w:kern w:val="2"/>
                <w:lang w:val="ro-MD"/>
              </w:rPr>
              <w:t xml:space="preserve"> a furnizat sprijin implicit în mai multe rânduri, ia măsuri adecvate ţinând seama de probabilitatea crescută ca respectiva </w:t>
            </w:r>
            <w:r w:rsidRPr="009E686F">
              <w:rPr>
                <w:rFonts w:ascii="Times New Roman" w:eastAsia="Aptos" w:hAnsi="Times New Roman" w:cs="Times New Roman"/>
                <w:i/>
                <w:iCs/>
                <w:kern w:val="2"/>
                <w:lang w:val="ro-MD"/>
              </w:rPr>
              <w:t>instituție de credit</w:t>
            </w:r>
            <w:r w:rsidRPr="009E686F">
              <w:rPr>
                <w:rFonts w:ascii="Times New Roman" w:eastAsia="Aptos" w:hAnsi="Times New Roman" w:cs="Times New Roman"/>
                <w:i/>
                <w:kern w:val="2"/>
                <w:lang w:val="ro-MD"/>
              </w:rPr>
              <w:t xml:space="preserve"> să furnizeze un sprijin ulterior operaţiunilor de securitizare, împiedicând astfel un transfer semnificativ al riscului.</w:t>
            </w:r>
          </w:p>
        </w:tc>
        <w:tc>
          <w:tcPr>
            <w:tcW w:w="470" w:type="pct"/>
            <w:tcBorders>
              <w:top w:val="single" w:sz="4" w:space="0" w:color="auto"/>
              <w:left w:val="single" w:sz="4" w:space="0" w:color="auto"/>
              <w:bottom w:val="single" w:sz="4" w:space="0" w:color="auto"/>
              <w:right w:val="single" w:sz="4" w:space="0" w:color="auto"/>
            </w:tcBorders>
          </w:tcPr>
          <w:p w14:paraId="293133CC" w14:textId="77777777"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p w14:paraId="6EA49FB9" w14:textId="77753466"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7175BADE" w14:textId="77777777" w:rsidR="00984B34" w:rsidRPr="009E686F" w:rsidRDefault="00984B34" w:rsidP="00984B34">
            <w:pPr>
              <w:jc w:val="both"/>
              <w:rPr>
                <w:rFonts w:ascii="Times New Roman" w:hAnsi="Times New Roman" w:cs="Times New Roman"/>
                <w:lang w:val="ro-RO"/>
              </w:rPr>
            </w:pPr>
          </w:p>
        </w:tc>
      </w:tr>
      <w:tr w:rsidR="00984B34" w:rsidRPr="009E686F" w14:paraId="7BB3F57B" w14:textId="44AE9467" w:rsidTr="00774F3E">
        <w:tc>
          <w:tcPr>
            <w:tcW w:w="1796" w:type="pct"/>
            <w:gridSpan w:val="2"/>
            <w:tcBorders>
              <w:top w:val="single" w:sz="4" w:space="0" w:color="auto"/>
              <w:left w:val="single" w:sz="4" w:space="0" w:color="auto"/>
              <w:bottom w:val="single" w:sz="4" w:space="0" w:color="auto"/>
              <w:right w:val="single" w:sz="4" w:space="0" w:color="auto"/>
            </w:tcBorders>
          </w:tcPr>
          <w:p w14:paraId="1BAD7AF1" w14:textId="54533E76"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(4) În vederea stabilirii elementelor prevăzute la articolul 97 alineatul (3) din prezenta directivă, autoritățile competente examinează dacă reevaluările efectuate pentru pozițiile sau portofoliile din portofoliul de tranzacționare, astfel cum se prevede la articolul 105 din Regulamentul </w:t>
            </w:r>
            <w:r w:rsidRPr="009E686F">
              <w:rPr>
                <w:rFonts w:ascii="Times New Roman" w:hAnsi="Times New Roman" w:cs="Times New Roman"/>
                <w:lang w:val="ro-RO"/>
              </w:rPr>
              <w:lastRenderedPageBreak/>
              <w:t>(UE) nr. 575/2013, permit instituției să-și vândă sau să-și acopere pozițiile într-un termen scurt, fără a suporta pierderi semnificative în condiții normale de piață.</w:t>
            </w:r>
          </w:p>
        </w:tc>
        <w:tc>
          <w:tcPr>
            <w:tcW w:w="1928" w:type="pct"/>
            <w:gridSpan w:val="3"/>
            <w:tcBorders>
              <w:top w:val="single" w:sz="4" w:space="0" w:color="auto"/>
              <w:left w:val="single" w:sz="4" w:space="0" w:color="auto"/>
              <w:bottom w:val="single" w:sz="4" w:space="0" w:color="auto"/>
              <w:right w:val="single" w:sz="4" w:space="0" w:color="auto"/>
            </w:tcBorders>
          </w:tcPr>
          <w:p w14:paraId="77E40370" w14:textId="2CF8E4F4" w:rsidR="00984B34" w:rsidRPr="009E686F" w:rsidRDefault="00984B34" w:rsidP="00984B34">
            <w:pPr>
              <w:spacing w:after="0"/>
              <w:jc w:val="both"/>
              <w:rPr>
                <w:rFonts w:ascii="Times New Roman" w:hAnsi="Times New Roman" w:cs="Times New Roman"/>
                <w:b/>
                <w:bCs/>
                <w:lang w:val="ro-RO"/>
              </w:rPr>
            </w:pPr>
            <w:r w:rsidRPr="009E686F">
              <w:rPr>
                <w:rFonts w:ascii="Times New Roman" w:hAnsi="Times New Roman" w:cs="Times New Roman"/>
                <w:b/>
                <w:bCs/>
                <w:lang w:val="ro-RO"/>
              </w:rPr>
              <w:lastRenderedPageBreak/>
              <w:t>Articolul 101 alin.  (1</w:t>
            </w:r>
            <w:r w:rsidRPr="009E686F">
              <w:rPr>
                <w:rFonts w:ascii="Times New Roman" w:hAnsi="Times New Roman" w:cs="Times New Roman"/>
                <w:b/>
                <w:bCs/>
                <w:vertAlign w:val="superscript"/>
                <w:lang w:val="ro-RO"/>
              </w:rPr>
              <w:t>3</w:t>
            </w:r>
            <w:r w:rsidRPr="009E686F">
              <w:rPr>
                <w:rFonts w:ascii="Times New Roman" w:hAnsi="Times New Roman" w:cs="Times New Roman"/>
                <w:b/>
                <w:bCs/>
                <w:lang w:val="ro-RO"/>
              </w:rPr>
              <w:t>)</w:t>
            </w:r>
          </w:p>
          <w:p w14:paraId="0F6CD157" w14:textId="749A7790" w:rsidR="00984B34" w:rsidRPr="009E686F" w:rsidRDefault="00984B34" w:rsidP="00984B34">
            <w:pPr>
              <w:spacing w:after="0"/>
              <w:jc w:val="both"/>
              <w:rPr>
                <w:rFonts w:ascii="Times New Roman" w:hAnsi="Times New Roman" w:cs="Times New Roman"/>
                <w:i/>
                <w:lang w:val="ro-RO"/>
              </w:rPr>
            </w:pPr>
            <w:r w:rsidRPr="009E686F">
              <w:rPr>
                <w:rFonts w:ascii="Times New Roman" w:eastAsia="Aptos" w:hAnsi="Times New Roman" w:cs="Times New Roman"/>
                <w:i/>
                <w:kern w:val="2"/>
                <w:lang w:val="ro-MD"/>
              </w:rPr>
              <w:t>(1</w:t>
            </w:r>
            <w:r w:rsidRPr="009E686F">
              <w:rPr>
                <w:rFonts w:ascii="Times New Roman" w:eastAsia="Aptos" w:hAnsi="Times New Roman" w:cs="Times New Roman"/>
                <w:i/>
                <w:kern w:val="2"/>
                <w:vertAlign w:val="superscript"/>
                <w:lang w:val="ro-MD"/>
              </w:rPr>
              <w:t>3</w:t>
            </w:r>
            <w:r w:rsidRPr="009E686F">
              <w:rPr>
                <w:rFonts w:ascii="Times New Roman" w:eastAsia="Aptos" w:hAnsi="Times New Roman" w:cs="Times New Roman"/>
                <w:i/>
                <w:kern w:val="2"/>
                <w:lang w:val="ro-MD"/>
              </w:rPr>
              <w:t xml:space="preserve">) În scopul determinării elementelor prevăzute la art. 100 alin. (3), Banca Națională a Moldovei verifică și evaluează dacă reevaluările efectuate pentru poziţiile sau portofoliile din portofoliul de tranzacţionare în conformitate în actele </w:t>
            </w:r>
            <w:r w:rsidRPr="009E686F">
              <w:rPr>
                <w:rFonts w:ascii="Times New Roman" w:eastAsia="Aptos" w:hAnsi="Times New Roman" w:cs="Times New Roman"/>
                <w:i/>
                <w:kern w:val="2"/>
                <w:lang w:val="ro-MD"/>
              </w:rPr>
              <w:lastRenderedPageBreak/>
              <w:t>normative emise în aplicarea prezentei legi permit instituției să înstrăineze sau să își acopere pozițiile într-un termen scurt, fără a suporta pierderi semnificiative în condiții normale de piață.</w:t>
            </w:r>
          </w:p>
        </w:tc>
        <w:tc>
          <w:tcPr>
            <w:tcW w:w="470" w:type="pct"/>
            <w:tcBorders>
              <w:top w:val="single" w:sz="4" w:space="0" w:color="auto"/>
              <w:left w:val="single" w:sz="4" w:space="0" w:color="auto"/>
              <w:bottom w:val="single" w:sz="4" w:space="0" w:color="auto"/>
              <w:right w:val="single" w:sz="4" w:space="0" w:color="auto"/>
            </w:tcBorders>
          </w:tcPr>
          <w:p w14:paraId="689B4EF6" w14:textId="77777777"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lastRenderedPageBreak/>
              <w:t>Compatibil</w:t>
            </w:r>
          </w:p>
          <w:p w14:paraId="25DBC8D2" w14:textId="45A2CE77"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1F08F89E" w14:textId="77777777" w:rsidR="00984B34" w:rsidRPr="009E686F" w:rsidRDefault="00984B34" w:rsidP="00984B34">
            <w:pPr>
              <w:jc w:val="both"/>
              <w:rPr>
                <w:rFonts w:ascii="Times New Roman" w:hAnsi="Times New Roman" w:cs="Times New Roman"/>
                <w:lang w:val="ro-RO"/>
              </w:rPr>
            </w:pPr>
          </w:p>
        </w:tc>
      </w:tr>
      <w:tr w:rsidR="00984B34" w:rsidRPr="009E686F" w14:paraId="3597FFE2" w14:textId="631F2A6F" w:rsidTr="00774F3E">
        <w:tc>
          <w:tcPr>
            <w:tcW w:w="1796" w:type="pct"/>
            <w:gridSpan w:val="2"/>
            <w:tcBorders>
              <w:top w:val="single" w:sz="4" w:space="0" w:color="auto"/>
              <w:left w:val="single" w:sz="4" w:space="0" w:color="auto"/>
              <w:bottom w:val="single" w:sz="4" w:space="0" w:color="auto"/>
              <w:right w:val="single" w:sz="4" w:space="0" w:color="auto"/>
            </w:tcBorders>
          </w:tcPr>
          <w:p w14:paraId="645FA890" w14:textId="13D6B830"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(5) Analiza și evaluarea efectuate de autoritățile competente includ expunerea instituțiilor la riscul de rată a dobânzii care decurge din activitățile lor din afara portofoliului de tranzacționare. </w:t>
            </w:r>
          </w:p>
        </w:tc>
        <w:tc>
          <w:tcPr>
            <w:tcW w:w="1928" w:type="pct"/>
            <w:gridSpan w:val="3"/>
            <w:tcBorders>
              <w:top w:val="single" w:sz="4" w:space="0" w:color="auto"/>
              <w:left w:val="single" w:sz="4" w:space="0" w:color="auto"/>
              <w:bottom w:val="single" w:sz="4" w:space="0" w:color="auto"/>
              <w:right w:val="single" w:sz="4" w:space="0" w:color="auto"/>
            </w:tcBorders>
          </w:tcPr>
          <w:p w14:paraId="33DFE0D5" w14:textId="0999A65E"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b/>
                <w:lang w:val="ro-RO"/>
              </w:rPr>
              <w:t>Articolul 101</w:t>
            </w:r>
            <w:r w:rsidRPr="009E686F">
              <w:rPr>
                <w:rFonts w:ascii="Times New Roman" w:hAnsi="Times New Roman" w:cs="Times New Roman"/>
                <w:b/>
                <w:bCs/>
                <w:lang w:val="ro-RO"/>
              </w:rPr>
              <w:t xml:space="preserve"> alin. </w:t>
            </w:r>
            <w:r w:rsidRPr="009E686F">
              <w:rPr>
                <w:rFonts w:ascii="Times New Roman" w:hAnsi="Times New Roman" w:cs="Times New Roman"/>
                <w:b/>
                <w:lang w:val="ro-RO"/>
              </w:rPr>
              <w:t xml:space="preserve"> (2) lit. b)</w:t>
            </w:r>
          </w:p>
          <w:p w14:paraId="78EA5526" w14:textId="0BAFB2F1" w:rsidR="00984B34" w:rsidRPr="009E686F" w:rsidRDefault="00984B34" w:rsidP="00984B34">
            <w:pPr>
              <w:spacing w:after="0" w:line="278" w:lineRule="auto"/>
              <w:jc w:val="both"/>
              <w:rPr>
                <w:rFonts w:ascii="Times New Roman" w:eastAsia="Aptos" w:hAnsi="Times New Roman" w:cs="Times New Roman"/>
                <w:kern w:val="2"/>
                <w:lang w:val="ro-RO"/>
              </w:rPr>
            </w:pPr>
            <w:r w:rsidRPr="009E686F">
              <w:rPr>
                <w:rFonts w:ascii="Times New Roman" w:eastAsia="Aptos" w:hAnsi="Times New Roman" w:cs="Times New Roman"/>
                <w:kern w:val="2"/>
                <w:lang w:val="ro-MD"/>
              </w:rPr>
              <w:t xml:space="preserve">(2) Verificarea şi evaluarea efectuate de Banca Naţională a Moldovei includ </w:t>
            </w:r>
            <w:r w:rsidRPr="009E686F">
              <w:rPr>
                <w:rFonts w:ascii="Times New Roman" w:eastAsia="Aptos" w:hAnsi="Times New Roman" w:cs="Times New Roman"/>
                <w:i/>
                <w:kern w:val="2"/>
                <w:lang w:val="ro-MD"/>
              </w:rPr>
              <w:t>de asemenea</w:t>
            </w:r>
            <w:r w:rsidRPr="009E686F">
              <w:rPr>
                <w:rFonts w:ascii="Times New Roman" w:eastAsia="Aptos" w:hAnsi="Times New Roman" w:cs="Times New Roman"/>
                <w:kern w:val="2"/>
                <w:lang w:val="ro-MD"/>
              </w:rPr>
              <w:t xml:space="preserve">: </w:t>
            </w:r>
            <w:r w:rsidRPr="009E686F">
              <w:rPr>
                <w:rFonts w:ascii="Times New Roman" w:eastAsia="Aptos" w:hAnsi="Times New Roman" w:cs="Times New Roman"/>
                <w:kern w:val="2"/>
                <w:lang w:val="ro-RO"/>
              </w:rPr>
              <w:t>[...]</w:t>
            </w:r>
          </w:p>
          <w:p w14:paraId="5992A1C3" w14:textId="4358FE94" w:rsidR="00984B34" w:rsidRPr="009E686F" w:rsidRDefault="00984B34" w:rsidP="00984B34">
            <w:pPr>
              <w:spacing w:after="0"/>
              <w:jc w:val="both"/>
              <w:rPr>
                <w:rFonts w:ascii="Times New Roman" w:hAnsi="Times New Roman" w:cs="Times New Roman"/>
                <w:b/>
                <w:i/>
                <w:lang w:val="ro-RO"/>
              </w:rPr>
            </w:pPr>
            <w:r w:rsidRPr="009E686F">
              <w:rPr>
                <w:rFonts w:ascii="Times New Roman" w:eastAsia="Aptos" w:hAnsi="Times New Roman" w:cs="Times New Roman"/>
                <w:i/>
                <w:kern w:val="2"/>
                <w:lang w:val="ro-MD"/>
              </w:rPr>
              <w:t xml:space="preserve">b) expunerea </w:t>
            </w:r>
            <w:r w:rsidRPr="009E686F">
              <w:rPr>
                <w:rFonts w:ascii="Times New Roman" w:eastAsia="Aptos" w:hAnsi="Times New Roman" w:cs="Times New Roman"/>
                <w:i/>
                <w:iCs/>
                <w:kern w:val="2"/>
                <w:lang w:val="ro-MD"/>
              </w:rPr>
              <w:t>instituției de credit</w:t>
            </w:r>
            <w:r w:rsidRPr="009E686F">
              <w:rPr>
                <w:rFonts w:ascii="Times New Roman" w:eastAsia="Aptos" w:hAnsi="Times New Roman" w:cs="Times New Roman"/>
                <w:i/>
                <w:kern w:val="2"/>
                <w:lang w:val="ro-MD"/>
              </w:rPr>
              <w:t xml:space="preserve"> la riscul de rată a dobânzii care decurge din activităţile lor din afara portofoliului de tranzacţionare.</w:t>
            </w:r>
          </w:p>
        </w:tc>
        <w:tc>
          <w:tcPr>
            <w:tcW w:w="470" w:type="pct"/>
            <w:tcBorders>
              <w:top w:val="single" w:sz="4" w:space="0" w:color="auto"/>
              <w:left w:val="single" w:sz="4" w:space="0" w:color="auto"/>
              <w:bottom w:val="single" w:sz="4" w:space="0" w:color="auto"/>
              <w:right w:val="single" w:sz="4" w:space="0" w:color="auto"/>
            </w:tcBorders>
          </w:tcPr>
          <w:p w14:paraId="75957874" w14:textId="740FC1BA"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p w14:paraId="6BBFBBE4" w14:textId="43336FA5"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6423CB66" w14:textId="77777777" w:rsidR="00984B34" w:rsidRPr="009E686F" w:rsidRDefault="00984B34" w:rsidP="00984B34">
            <w:pPr>
              <w:jc w:val="both"/>
              <w:rPr>
                <w:rFonts w:ascii="Times New Roman" w:hAnsi="Times New Roman" w:cs="Times New Roman"/>
                <w:lang w:val="ro-RO"/>
              </w:rPr>
            </w:pPr>
          </w:p>
        </w:tc>
      </w:tr>
      <w:tr w:rsidR="00984B34" w:rsidRPr="009E686F" w14:paraId="60E35A10"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04C2F422"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Competențele de supraveghere se exercită cel puțin în următoarele cazuri:</w:t>
            </w:r>
          </w:p>
          <w:p w14:paraId="4A010073" w14:textId="12A16FE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(a) dacă valoarea economică a capitalului propriu al unei instituții, astfel cum este menționată la articolul 84 alineatul (1), scade cu mai mult de 15 % din fondurile sale proprii de nivel 1 ca urmare a unei variații bruște și neașteptate a ratelor dobânzii astfel cum se prevede în oricare dintre cele șase scenarii de șoc în materie de supraveghere aplicate ratelor dobânzii;</w:t>
            </w:r>
          </w:p>
          <w:p w14:paraId="062ADEF4" w14:textId="3B3484DE"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(b) dacă veniturile nete din dobânzi ale unei instituții, astfel cum sunt menționate la articolul 84 alineatul (1), suferă o scădere semnificativă ca urmare a unei variații bruște și neașteptate a ratelor dobânzii, astfel cum este prevăzută în oricare dintre cele două scenarii de șoc în materie de supraveghere aplicate ratelor dobânzii.</w:t>
            </w:r>
          </w:p>
        </w:tc>
        <w:tc>
          <w:tcPr>
            <w:tcW w:w="1928" w:type="pct"/>
            <w:gridSpan w:val="3"/>
            <w:tcBorders>
              <w:top w:val="single" w:sz="4" w:space="0" w:color="auto"/>
              <w:left w:val="single" w:sz="4" w:space="0" w:color="auto"/>
              <w:bottom w:val="single" w:sz="4" w:space="0" w:color="auto"/>
              <w:right w:val="single" w:sz="4" w:space="0" w:color="auto"/>
            </w:tcBorders>
          </w:tcPr>
          <w:p w14:paraId="64575B54" w14:textId="420F8BC2"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b/>
                <w:lang w:val="ro-RO"/>
              </w:rPr>
              <w:t>Articolul 139 alin. (3</w:t>
            </w:r>
            <w:r w:rsidRPr="009E686F">
              <w:rPr>
                <w:rFonts w:ascii="Times New Roman" w:hAnsi="Times New Roman" w:cs="Times New Roman"/>
                <w:b/>
                <w:vertAlign w:val="superscript"/>
                <w:lang w:val="ro-RO"/>
              </w:rPr>
              <w:t>1</w:t>
            </w:r>
            <w:r w:rsidRPr="009E686F">
              <w:rPr>
                <w:rFonts w:ascii="Times New Roman" w:hAnsi="Times New Roman" w:cs="Times New Roman"/>
                <w:b/>
                <w:lang w:val="ro-RO"/>
              </w:rPr>
              <w:t>)</w:t>
            </w:r>
          </w:p>
          <w:p w14:paraId="12D674B2" w14:textId="4CC2F661" w:rsidR="00984B34" w:rsidRPr="009E686F" w:rsidRDefault="00984B34" w:rsidP="00984B34">
            <w:pPr>
              <w:spacing w:after="0"/>
              <w:jc w:val="both"/>
              <w:rPr>
                <w:rFonts w:ascii="Times New Roman" w:hAnsi="Times New Roman" w:cs="Times New Roman"/>
                <w:i/>
                <w:lang w:val="ro-RO"/>
              </w:rPr>
            </w:pPr>
            <w:r w:rsidRPr="009E686F">
              <w:rPr>
                <w:rFonts w:ascii="Times New Roman" w:eastAsia="Aptos" w:hAnsi="Times New Roman" w:cs="Times New Roman"/>
                <w:i/>
                <w:iCs/>
                <w:kern w:val="2"/>
                <w:lang w:val="ro-MD"/>
              </w:rPr>
              <w:t>(3</w:t>
            </w:r>
            <w:r w:rsidRPr="009E686F">
              <w:rPr>
                <w:rFonts w:ascii="Times New Roman" w:eastAsia="Aptos" w:hAnsi="Times New Roman" w:cs="Times New Roman"/>
                <w:i/>
                <w:iCs/>
                <w:kern w:val="2"/>
                <w:vertAlign w:val="superscript"/>
                <w:lang w:val="ro-MD"/>
              </w:rPr>
              <w:t>1</w:t>
            </w:r>
            <w:r w:rsidRPr="009E686F">
              <w:rPr>
                <w:rFonts w:ascii="Times New Roman" w:eastAsia="Aptos" w:hAnsi="Times New Roman" w:cs="Times New Roman"/>
                <w:i/>
                <w:iCs/>
                <w:kern w:val="2"/>
                <w:lang w:val="ro-MD"/>
              </w:rPr>
              <w:t xml:space="preserve">) </w:t>
            </w:r>
            <w:r w:rsidRPr="009E686F">
              <w:rPr>
                <w:rFonts w:ascii="Times New Roman" w:hAnsi="Times New Roman" w:cs="Times New Roman"/>
                <w:i/>
                <w:lang w:val="ro-RO"/>
              </w:rPr>
              <w:t>În baza verificărilor și a evaluării prevăzute la art. 101 alin. (2) lit. b), Banca Națională dispune măsurile de supraveghere prevăzute la alin. (</w:t>
            </w:r>
            <w:r w:rsidR="00782F64" w:rsidRPr="009E686F">
              <w:rPr>
                <w:rFonts w:ascii="Times New Roman" w:hAnsi="Times New Roman" w:cs="Times New Roman"/>
                <w:i/>
                <w:lang w:val="ro-RO"/>
              </w:rPr>
              <w:t>3</w:t>
            </w:r>
            <w:r w:rsidRPr="009E686F">
              <w:rPr>
                <w:rFonts w:ascii="Times New Roman" w:hAnsi="Times New Roman" w:cs="Times New Roman"/>
                <w:i/>
                <w:lang w:val="ro-RO"/>
              </w:rPr>
              <w:t>) sau specifică ipoteze în materie de modelare și de parametri, altele decât cele stabilite prin actele normative ale Băncii Naționale a Moldovei, care trebuie reflectate de instituţia de credit în calculul valorii economice a capitalului propriu în conformitate cu actele normative emise în aplicarea prezentei legi cel puțin în următoarele cazuri:</w:t>
            </w:r>
            <w:r w:rsidRPr="009E686F" w:rsidDel="003216D5">
              <w:rPr>
                <w:rFonts w:ascii="Times New Roman" w:hAnsi="Times New Roman" w:cs="Times New Roman"/>
                <w:i/>
                <w:lang w:val="ro-RO"/>
              </w:rPr>
              <w:t xml:space="preserve"> </w:t>
            </w:r>
          </w:p>
          <w:p w14:paraId="48478856" w14:textId="77777777" w:rsidR="00984B34" w:rsidRPr="009E686F" w:rsidRDefault="00984B34" w:rsidP="00984B34">
            <w:pPr>
              <w:spacing w:after="0"/>
              <w:jc w:val="both"/>
              <w:rPr>
                <w:rFonts w:ascii="Times New Roman" w:hAnsi="Times New Roman" w:cs="Times New Roman"/>
                <w:i/>
                <w:lang w:val="ro-RO"/>
              </w:rPr>
            </w:pPr>
            <w:r w:rsidRPr="009E686F">
              <w:rPr>
                <w:rFonts w:ascii="Times New Roman" w:hAnsi="Times New Roman" w:cs="Times New Roman"/>
                <w:i/>
                <w:lang w:val="ro-RO"/>
              </w:rPr>
              <w:t>a)</w:t>
            </w:r>
            <w:r w:rsidRPr="009E686F">
              <w:rPr>
                <w:i/>
                <w:lang w:val="ro-RO"/>
              </w:rPr>
              <w:t xml:space="preserve"> </w:t>
            </w:r>
            <w:r w:rsidRPr="009E686F">
              <w:rPr>
                <w:rFonts w:ascii="Times New Roman" w:hAnsi="Times New Roman" w:cs="Times New Roman"/>
                <w:i/>
                <w:lang w:val="ro-RO"/>
              </w:rPr>
              <w:t xml:space="preserve">dacă valoarea economică a capitalului propriu al unei instituţii de credit, astfel cum este reglementată de actele normative emise în aplicarea prezentei legi, scade cu mai mult de 15 % din fondurile sale proprii de nivel 1 ca urmare a unei variaţii bruște și neașteptate a ratelor dobânzii, astfel cum se prevede în oricare dintre cele șase scenarii de șoc în materie de supraveghere aplicate ratelor dobânzii; </w:t>
            </w:r>
          </w:p>
          <w:p w14:paraId="6A3602BC" w14:textId="7B462381" w:rsidR="00984B34" w:rsidRPr="009E686F" w:rsidRDefault="00984B34" w:rsidP="00984B34">
            <w:pPr>
              <w:spacing w:after="0"/>
              <w:jc w:val="both"/>
              <w:rPr>
                <w:rFonts w:ascii="Times New Roman" w:hAnsi="Times New Roman" w:cs="Times New Roman"/>
                <w:b/>
                <w:i/>
                <w:lang w:val="ro-RO"/>
              </w:rPr>
            </w:pPr>
            <w:r w:rsidRPr="009E686F">
              <w:rPr>
                <w:rFonts w:ascii="Times New Roman" w:hAnsi="Times New Roman" w:cs="Times New Roman"/>
                <w:i/>
                <w:lang w:val="ro-RO"/>
              </w:rPr>
              <w:t>b) dacă veniturile nete din dobânzi ale unei instituţii de credit, astfel cum sunt reglementate de actele normative emise în aplicarea prezentei legi, suferă o scădere semnificativă ca urmare a unei variaţii bruște și neașteptate a ratelor dobânzii, astfel cum este prevăzută în oricare dintre cele două scenarii de șoc în materie de supraveghere aplicate ratelor dobânzii.</w:t>
            </w:r>
          </w:p>
        </w:tc>
        <w:tc>
          <w:tcPr>
            <w:tcW w:w="470" w:type="pct"/>
            <w:tcBorders>
              <w:top w:val="single" w:sz="4" w:space="0" w:color="auto"/>
              <w:left w:val="single" w:sz="4" w:space="0" w:color="auto"/>
              <w:bottom w:val="single" w:sz="4" w:space="0" w:color="auto"/>
              <w:right w:val="single" w:sz="4" w:space="0" w:color="auto"/>
            </w:tcBorders>
          </w:tcPr>
          <w:p w14:paraId="3513D019" w14:textId="6084A1A3" w:rsidR="00984B34" w:rsidRPr="009E686F" w:rsidDel="00DF40FD"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542314D7" w14:textId="77777777" w:rsidR="00984B34" w:rsidRPr="009E686F" w:rsidRDefault="00984B34" w:rsidP="00984B34">
            <w:pPr>
              <w:jc w:val="both"/>
              <w:rPr>
                <w:rFonts w:ascii="Times New Roman" w:hAnsi="Times New Roman" w:cs="Times New Roman"/>
                <w:lang w:val="ro-RO"/>
              </w:rPr>
            </w:pPr>
          </w:p>
        </w:tc>
      </w:tr>
      <w:tr w:rsidR="00984B34" w:rsidRPr="009E686F" w14:paraId="08E372D1"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7B37316D" w14:textId="1A1F6A50"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lastRenderedPageBreak/>
              <w:t>În pofida celui de al doilea paragraf, autoritățile competente nu sunt obligate să exercite competențe de supraveghere în cazul în care consideră, pe baza analizei și a evaluării menționate la prezentul alineat, că gestionarea de către instituție a riscului de rată a dobânzii care rezultă din activități din afara portofoliului de tranzacționare este adecvată și că instituția nu este expusă în mod excesiv la riscul de rată a dobânzii care rezultă din activitățile din afara portofoliului de tranzacționare.</w:t>
            </w:r>
          </w:p>
        </w:tc>
        <w:tc>
          <w:tcPr>
            <w:tcW w:w="1928" w:type="pct"/>
            <w:gridSpan w:val="3"/>
            <w:tcBorders>
              <w:top w:val="single" w:sz="4" w:space="0" w:color="auto"/>
              <w:left w:val="single" w:sz="4" w:space="0" w:color="auto"/>
              <w:bottom w:val="single" w:sz="4" w:space="0" w:color="auto"/>
              <w:right w:val="single" w:sz="4" w:space="0" w:color="auto"/>
            </w:tcBorders>
          </w:tcPr>
          <w:p w14:paraId="5B642AAF" w14:textId="6E72BDC7" w:rsidR="00984B34" w:rsidRPr="009E686F" w:rsidRDefault="00984B34" w:rsidP="00984B34">
            <w:pPr>
              <w:spacing w:after="0"/>
              <w:jc w:val="both"/>
              <w:rPr>
                <w:rFonts w:ascii="Times New Roman" w:hAnsi="Times New Roman" w:cs="Times New Roman"/>
                <w:b/>
                <w:i/>
                <w:lang w:val="ro-RO"/>
              </w:rPr>
            </w:pPr>
            <w:r w:rsidRPr="009E686F">
              <w:rPr>
                <w:rFonts w:ascii="Times New Roman" w:hAnsi="Times New Roman" w:cs="Times New Roman"/>
                <w:i/>
                <w:lang w:val="ro-RO"/>
              </w:rPr>
              <w:t>(3</w:t>
            </w:r>
            <w:r w:rsidRPr="009E686F">
              <w:rPr>
                <w:rFonts w:ascii="Times New Roman" w:hAnsi="Times New Roman" w:cs="Times New Roman"/>
                <w:i/>
                <w:vertAlign w:val="superscript"/>
                <w:lang w:val="ro-RO"/>
              </w:rPr>
              <w:t>2</w:t>
            </w:r>
            <w:r w:rsidRPr="009E686F">
              <w:rPr>
                <w:rFonts w:ascii="Times New Roman" w:hAnsi="Times New Roman" w:cs="Times New Roman"/>
                <w:i/>
                <w:lang w:val="ro-RO"/>
              </w:rPr>
              <w:t xml:space="preserve">) </w:t>
            </w:r>
            <w:r w:rsidR="00390020" w:rsidRPr="009E686F">
              <w:rPr>
                <w:rFonts w:ascii="Times New Roman" w:hAnsi="Times New Roman" w:cs="Times New Roman"/>
                <w:i/>
                <w:lang w:val="ro-RO"/>
              </w:rPr>
              <w:t>Chiar și în cazul prevăzut la</w:t>
            </w:r>
            <w:r w:rsidRPr="009E686F">
              <w:rPr>
                <w:rFonts w:ascii="Times New Roman" w:hAnsi="Times New Roman" w:cs="Times New Roman"/>
                <w:i/>
                <w:lang w:val="ro-RO"/>
              </w:rPr>
              <w:t xml:space="preserve"> alin. (3</w:t>
            </w:r>
            <w:r w:rsidRPr="009E686F">
              <w:rPr>
                <w:rFonts w:ascii="Times New Roman" w:hAnsi="Times New Roman" w:cs="Times New Roman"/>
                <w:i/>
                <w:vertAlign w:val="superscript"/>
                <w:lang w:val="ro-RO"/>
              </w:rPr>
              <w:t>1</w:t>
            </w:r>
            <w:r w:rsidRPr="009E686F">
              <w:rPr>
                <w:rFonts w:ascii="Times New Roman" w:hAnsi="Times New Roman" w:cs="Times New Roman"/>
                <w:i/>
                <w:lang w:val="ro-RO"/>
              </w:rPr>
              <w:t>), Banca Națională a Moldovei nu este obligată să dispună măsurile prevăzute de alin. (3</w:t>
            </w:r>
            <w:r w:rsidRPr="009E686F">
              <w:rPr>
                <w:rFonts w:ascii="Times New Roman" w:hAnsi="Times New Roman" w:cs="Times New Roman"/>
                <w:i/>
                <w:vertAlign w:val="superscript"/>
                <w:lang w:val="ro-RO"/>
              </w:rPr>
              <w:t>1</w:t>
            </w:r>
            <w:r w:rsidRPr="009E686F">
              <w:rPr>
                <w:rFonts w:ascii="Times New Roman" w:hAnsi="Times New Roman" w:cs="Times New Roman"/>
                <w:i/>
                <w:lang w:val="ro-RO"/>
              </w:rPr>
              <w:t>) în cazul în care consideră, în baza verificărilor și a evaluării prevăzute la art. 101 alin. (2) lit. b), că gestionarea de către instituția de credit a riscului de rată a dobânzii care rezultă din activități din afara portofoliului de tranzacționare este adecvată și că instituția de credit nu este supusă în mod excesiv la riscul de rată a dobânzii care rezultă din activitățile din afara portofoliului de tranzacționare.</w:t>
            </w:r>
          </w:p>
        </w:tc>
        <w:tc>
          <w:tcPr>
            <w:tcW w:w="470" w:type="pct"/>
            <w:tcBorders>
              <w:top w:val="single" w:sz="4" w:space="0" w:color="auto"/>
              <w:left w:val="single" w:sz="4" w:space="0" w:color="auto"/>
              <w:bottom w:val="single" w:sz="4" w:space="0" w:color="auto"/>
              <w:right w:val="single" w:sz="4" w:space="0" w:color="auto"/>
            </w:tcBorders>
          </w:tcPr>
          <w:p w14:paraId="2CC66A2B" w14:textId="7A39BF36" w:rsidR="00984B34" w:rsidRPr="009E686F" w:rsidDel="00DF40FD" w:rsidRDefault="00984B34" w:rsidP="00984B34">
            <w:pPr>
              <w:jc w:val="both"/>
              <w:rPr>
                <w:rFonts w:ascii="Times New Roman" w:hAnsi="Times New Roman" w:cs="Times New Roman"/>
                <w:lang w:val="ro-RO"/>
              </w:rPr>
            </w:pPr>
            <w:r w:rsidRPr="009E686F">
              <w:rPr>
                <w:rFonts w:ascii="Times New Roman" w:hAnsi="Times New Roman" w:cs="Times New Roman"/>
                <w:lang w:val="ro-RO"/>
              </w:rPr>
              <w:t xml:space="preserve">Compatibil </w:t>
            </w:r>
          </w:p>
        </w:tc>
        <w:tc>
          <w:tcPr>
            <w:tcW w:w="806" w:type="pct"/>
            <w:tcBorders>
              <w:top w:val="single" w:sz="4" w:space="0" w:color="auto"/>
              <w:left w:val="single" w:sz="4" w:space="0" w:color="auto"/>
              <w:bottom w:val="single" w:sz="4" w:space="0" w:color="auto"/>
              <w:right w:val="single" w:sz="4" w:space="0" w:color="auto"/>
            </w:tcBorders>
          </w:tcPr>
          <w:p w14:paraId="52E3D15B" w14:textId="77777777" w:rsidR="00984B34" w:rsidRPr="009E686F" w:rsidRDefault="00984B34" w:rsidP="00984B34">
            <w:pPr>
              <w:jc w:val="both"/>
              <w:rPr>
                <w:rFonts w:ascii="Times New Roman" w:hAnsi="Times New Roman" w:cs="Times New Roman"/>
                <w:lang w:val="ro-RO"/>
              </w:rPr>
            </w:pPr>
          </w:p>
        </w:tc>
      </w:tr>
      <w:tr w:rsidR="00984B34" w:rsidRPr="009E686F" w14:paraId="36CD443A"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4D758CB6" w14:textId="26A5D06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În sensul prezentului alineat, termenul „competențe de supraveghere” înseamnă competențele menționate la articolul 104 alineatul (1), sau competența de a specifica ipoteze în materie de modelare și de parametri, altele decât cele identificate de ABE în temeiul literei (b) de la alineatul (5a) din prezentul articol care trebuie reflectate de instituții în calculul valorii economice a capitalului propriu în temeiul articolului 84 alineatul (1).</w:t>
            </w:r>
          </w:p>
        </w:tc>
        <w:tc>
          <w:tcPr>
            <w:tcW w:w="1928" w:type="pct"/>
            <w:gridSpan w:val="3"/>
            <w:tcBorders>
              <w:top w:val="single" w:sz="4" w:space="0" w:color="auto"/>
              <w:left w:val="single" w:sz="4" w:space="0" w:color="auto"/>
              <w:bottom w:val="single" w:sz="4" w:space="0" w:color="auto"/>
              <w:right w:val="single" w:sz="4" w:space="0" w:color="auto"/>
            </w:tcBorders>
          </w:tcPr>
          <w:p w14:paraId="4C5C8B39" w14:textId="77777777"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b/>
                <w:lang w:val="ro-RO"/>
              </w:rPr>
              <w:t>Articolul 139 alin. (3</w:t>
            </w:r>
            <w:r w:rsidRPr="009E686F">
              <w:rPr>
                <w:rFonts w:ascii="Times New Roman" w:hAnsi="Times New Roman" w:cs="Times New Roman"/>
                <w:b/>
                <w:vertAlign w:val="superscript"/>
                <w:lang w:val="ro-RO"/>
              </w:rPr>
              <w:t>1</w:t>
            </w:r>
            <w:r w:rsidRPr="009E686F">
              <w:rPr>
                <w:rFonts w:ascii="Times New Roman" w:hAnsi="Times New Roman" w:cs="Times New Roman"/>
                <w:b/>
                <w:lang w:val="ro-RO"/>
              </w:rPr>
              <w:t>)</w:t>
            </w:r>
          </w:p>
          <w:p w14:paraId="1555ED24" w14:textId="1943E1A4" w:rsidR="00984B34" w:rsidRPr="009E686F" w:rsidRDefault="00984B34" w:rsidP="00984B34">
            <w:pPr>
              <w:spacing w:after="0"/>
              <w:jc w:val="both"/>
              <w:rPr>
                <w:rFonts w:ascii="Times New Roman" w:hAnsi="Times New Roman" w:cs="Times New Roman"/>
                <w:i/>
                <w:lang w:val="ro-RO"/>
              </w:rPr>
            </w:pPr>
            <w:r w:rsidRPr="009E686F">
              <w:rPr>
                <w:rFonts w:ascii="Times New Roman" w:eastAsia="Aptos" w:hAnsi="Times New Roman" w:cs="Times New Roman"/>
                <w:i/>
                <w:iCs/>
                <w:kern w:val="2"/>
                <w:lang w:val="ro-MD"/>
              </w:rPr>
              <w:t>(3</w:t>
            </w:r>
            <w:r w:rsidRPr="009E686F">
              <w:rPr>
                <w:rFonts w:ascii="Times New Roman" w:eastAsia="Aptos" w:hAnsi="Times New Roman" w:cs="Times New Roman"/>
                <w:i/>
                <w:iCs/>
                <w:kern w:val="2"/>
                <w:vertAlign w:val="superscript"/>
                <w:lang w:val="ro-MD"/>
              </w:rPr>
              <w:t>1</w:t>
            </w:r>
            <w:r w:rsidRPr="009E686F">
              <w:rPr>
                <w:rFonts w:ascii="Times New Roman" w:eastAsia="Aptos" w:hAnsi="Times New Roman" w:cs="Times New Roman"/>
                <w:i/>
                <w:iCs/>
                <w:kern w:val="2"/>
                <w:lang w:val="ro-MD"/>
              </w:rPr>
              <w:t xml:space="preserve">) </w:t>
            </w:r>
            <w:r w:rsidRPr="009E686F">
              <w:rPr>
                <w:rFonts w:ascii="Times New Roman" w:hAnsi="Times New Roman" w:cs="Times New Roman"/>
                <w:i/>
                <w:lang w:val="ro-RO"/>
              </w:rPr>
              <w:t>În baza verificărilor și a evaluării prevăzute la art. 101 alin. (2) lit. b), Banca Națională dispune măsurile de supraveghere prevăzute la alin. (2) sau specifică ipoteze în materie de modelare și de parametri, altele decât cele stabilite prin actele normative ale Băncii Naționale a Moldovei, care trebuie reflectate de instituţia de credit în calculul valorii economice a capitalului propriu în conformitate cu actele normative emise în aplicarea prezentei legi cel puțin în următoarele cazuri:</w:t>
            </w:r>
            <w:r w:rsidRPr="009E686F" w:rsidDel="003216D5">
              <w:rPr>
                <w:rFonts w:ascii="Times New Roman" w:hAnsi="Times New Roman" w:cs="Times New Roman"/>
                <w:i/>
                <w:lang w:val="ro-RO"/>
              </w:rPr>
              <w:t xml:space="preserve"> </w:t>
            </w:r>
            <w:r w:rsidRPr="009E686F">
              <w:rPr>
                <w:rFonts w:ascii="Times New Roman" w:hAnsi="Times New Roman" w:cs="Times New Roman"/>
                <w:i/>
                <w:lang w:val="ro-RO"/>
              </w:rPr>
              <w:t>[...]</w:t>
            </w:r>
          </w:p>
          <w:p w14:paraId="7C2AEA7B"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15727216" w14:textId="0F2BE599" w:rsidR="00984B34" w:rsidRPr="009E686F" w:rsidDel="00DF40FD"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628F8424" w14:textId="77777777" w:rsidR="00984B34" w:rsidRPr="009E686F" w:rsidRDefault="00984B34" w:rsidP="00984B34">
            <w:pPr>
              <w:jc w:val="both"/>
              <w:rPr>
                <w:rFonts w:ascii="Times New Roman" w:hAnsi="Times New Roman" w:cs="Times New Roman"/>
                <w:lang w:val="ro-RO"/>
              </w:rPr>
            </w:pPr>
          </w:p>
        </w:tc>
      </w:tr>
      <w:tr w:rsidR="00984B34" w:rsidRPr="009E686F" w14:paraId="5B1D44F6"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49715F32" w14:textId="68DC436A"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(5a)   ABE elaborează proiecte de standarde tehnice de reglementare pentru a preciza, în sensul alineatului (5):</w:t>
            </w:r>
          </w:p>
          <w:p w14:paraId="3611B6BE" w14:textId="6AC223A0"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(a) cele șase scenarii de șoc în materie de supraveghere, astfel cum sunt menționate la alineatul (5) al doilea paragraf litera (a), și cele două scenarii de șoc în materie de supraveghere, astfel cum sunt menționate la alineatul (5) al doilea paragraf litera (b), care trebuie aplicate ratelor dobânzii pentru fiecare monedă;</w:t>
            </w:r>
          </w:p>
          <w:p w14:paraId="697DC42B" w14:textId="49033981"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(b) din perspectiva standardelor prudențiale convenite la nivel internațional, ipotezele comune în materie de modelare și de parametri, cu excepția ipotezelor comportamentale, de care instituțiile țin seama în calculul valorii economice a capitalului propriu, astfel cum se </w:t>
            </w:r>
            <w:r w:rsidRPr="009E686F">
              <w:rPr>
                <w:rFonts w:ascii="Times New Roman" w:hAnsi="Times New Roman" w:cs="Times New Roman"/>
                <w:lang w:val="ro-RO"/>
              </w:rPr>
              <w:lastRenderedPageBreak/>
              <w:t>menționează la alineatul (5) al doilea paragraf litera (a), care se limitează la:</w:t>
            </w:r>
          </w:p>
          <w:p w14:paraId="38175F25" w14:textId="71D2913D"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(i) tratamentul capitalurilor proprii ale instituției;</w:t>
            </w:r>
          </w:p>
          <w:p w14:paraId="546F8FCC" w14:textId="76E67D93"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(ii) includerea, compoziția și actualizarea fluxurilor de numerar sensibile la ratele dobânzii care rezultă din activele, pasivele și elementele extrabilanțiere ale instituției, inclusiv tratamentul marjelor comerciale și al altor componente de marjă;</w:t>
            </w:r>
          </w:p>
          <w:p w14:paraId="47FA3FCF" w14:textId="207DCED8"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(iii) utilizarea modelelor bilanțiere dinamice sau statice și tratamentul în consecință al pozițiilor amortizate și care se apropie de scadență;</w:t>
            </w:r>
          </w:p>
          <w:p w14:paraId="3FF4A3E0" w14:textId="662DCB6B"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(c) din perspectiva standardelor convenite la nivel internațional, ipotezele comune în materie de modelare și de parametri, cu excepția ipotezelor comportamentale, de care instituțiile țin seama în calculul veniturilor nete din dobânzi, astfel cum se menționează la alineatul (5) al doilea paragraf litera (b), care se limitează la:</w:t>
            </w:r>
          </w:p>
          <w:p w14:paraId="51894F45" w14:textId="34C39865"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(i) includerea și compoziția fluxurilor de numerar sensibile la ratele dobânzii care rezultă din activele, pasivele și elementele extrabilanțiere ale instituției, inclusiv tratamentul marjelor comerciale și al altor componente de marjă;</w:t>
            </w:r>
          </w:p>
          <w:p w14:paraId="394B480A" w14:textId="3E6B6F41"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(ii) utilizarea modelelor bilanțiere dinamice sau statice și tratamentul în consecință al pozițiilor amortizate și care se apropie de scadență;</w:t>
            </w:r>
          </w:p>
          <w:p w14:paraId="5844D6D6" w14:textId="51178C20"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(iii) perioada pe parcursul căreia se măsoară viitoarele venituri nete din dobânzi;</w:t>
            </w:r>
          </w:p>
          <w:p w14:paraId="7035413A" w14:textId="0037C811"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(d) ce anume constituie o „scădere semnificativă”, astfel cum se menționează la alineatul (5) al doilea paragraf litera (b).</w:t>
            </w:r>
          </w:p>
          <w:p w14:paraId="46144FC5"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ABE înaintează Comisiei aceste proiecte de standarde tehnice de reglementare până la 28 iunie 2020.</w:t>
            </w:r>
          </w:p>
          <w:p w14:paraId="15217A4A" w14:textId="14452298"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lastRenderedPageBreak/>
              <w:t>Se deleagă Comisiei competența de a completa prezenta directivă prin adoptarea standardelor tehnice de reglementare menționate la primul paragraf în conformitate cu articolele 10-14 din Regulamentul (UE) nr. 1093/2010.</w:t>
            </w:r>
          </w:p>
        </w:tc>
        <w:tc>
          <w:tcPr>
            <w:tcW w:w="1928" w:type="pct"/>
            <w:gridSpan w:val="3"/>
            <w:tcBorders>
              <w:top w:val="single" w:sz="4" w:space="0" w:color="auto"/>
              <w:left w:val="single" w:sz="4" w:space="0" w:color="auto"/>
              <w:bottom w:val="single" w:sz="4" w:space="0" w:color="auto"/>
              <w:right w:val="single" w:sz="4" w:space="0" w:color="auto"/>
            </w:tcBorders>
          </w:tcPr>
          <w:p w14:paraId="4F0767BD"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6A23ABA7" w14:textId="490C3FCD" w:rsidR="00984B34" w:rsidRPr="009E686F" w:rsidDel="00DF40FD"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neaplicabile</w:t>
            </w:r>
          </w:p>
        </w:tc>
        <w:tc>
          <w:tcPr>
            <w:tcW w:w="806" w:type="pct"/>
            <w:tcBorders>
              <w:top w:val="single" w:sz="4" w:space="0" w:color="auto"/>
              <w:left w:val="single" w:sz="4" w:space="0" w:color="auto"/>
              <w:bottom w:val="single" w:sz="4" w:space="0" w:color="auto"/>
              <w:right w:val="single" w:sz="4" w:space="0" w:color="auto"/>
            </w:tcBorders>
          </w:tcPr>
          <w:p w14:paraId="757D1861" w14:textId="3DE4F298"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Se referă la competențele ABE.</w:t>
            </w:r>
          </w:p>
        </w:tc>
      </w:tr>
      <w:tr w:rsidR="00984B34" w:rsidRPr="009E686F" w14:paraId="2089DA6A" w14:textId="04D872D3" w:rsidTr="00774F3E">
        <w:tc>
          <w:tcPr>
            <w:tcW w:w="1796" w:type="pct"/>
            <w:gridSpan w:val="2"/>
            <w:tcBorders>
              <w:top w:val="single" w:sz="4" w:space="0" w:color="auto"/>
              <w:left w:val="single" w:sz="4" w:space="0" w:color="auto"/>
              <w:bottom w:val="single" w:sz="4" w:space="0" w:color="auto"/>
              <w:right w:val="single" w:sz="4" w:space="0" w:color="auto"/>
            </w:tcBorders>
          </w:tcPr>
          <w:p w14:paraId="0DC4B143"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lastRenderedPageBreak/>
              <w:t xml:space="preserve">(6) Analiza și evaluarea efectuate de autoritățile competente includ expunerea instituțiilor la riscul asociat folosirii excesive a efectului de levier, astfel cum este reflectat de indicatorii folosirii excesive a efectului de levier, inclusiv rata efectului de levier stabilită în conformitate cu articolul 429 din Regulamentul (UE) nr. 575/2013. </w:t>
            </w:r>
          </w:p>
          <w:p w14:paraId="7378490D" w14:textId="2F132D7C"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Pentru a stabili caracterul adecvat al ratei efectului de levier a instituțiilor și al dispozițiilor, strategiilor, procedurilor și mecanismelor puse în aplicare de instituții pentru administrarea riscului asociat folosirii excesive a efectului de levier, autoritățile competente țin seama de modelul de afaceri al instituțiilor respective.</w:t>
            </w:r>
          </w:p>
        </w:tc>
        <w:tc>
          <w:tcPr>
            <w:tcW w:w="1928" w:type="pct"/>
            <w:gridSpan w:val="3"/>
            <w:tcBorders>
              <w:top w:val="single" w:sz="4" w:space="0" w:color="auto"/>
              <w:left w:val="single" w:sz="4" w:space="0" w:color="auto"/>
              <w:bottom w:val="single" w:sz="4" w:space="0" w:color="auto"/>
              <w:right w:val="single" w:sz="4" w:space="0" w:color="auto"/>
            </w:tcBorders>
          </w:tcPr>
          <w:p w14:paraId="4DBCF446" w14:textId="6303451F" w:rsidR="00984B34" w:rsidRPr="009E686F" w:rsidRDefault="00984B34" w:rsidP="00984B34">
            <w:pPr>
              <w:spacing w:after="0"/>
              <w:jc w:val="both"/>
              <w:rPr>
                <w:rFonts w:ascii="Times New Roman" w:hAnsi="Times New Roman" w:cs="Times New Roman"/>
                <w:b/>
                <w:bCs/>
                <w:lang w:val="ro-MD"/>
              </w:rPr>
            </w:pPr>
            <w:r w:rsidRPr="009E686F">
              <w:rPr>
                <w:rFonts w:ascii="Times New Roman" w:hAnsi="Times New Roman" w:cs="Times New Roman"/>
                <w:b/>
                <w:bCs/>
                <w:lang w:val="ro-MD"/>
              </w:rPr>
              <w:t xml:space="preserve">Articolul 101 </w:t>
            </w:r>
            <w:r w:rsidRPr="009E686F">
              <w:rPr>
                <w:rFonts w:ascii="Times New Roman" w:hAnsi="Times New Roman" w:cs="Times New Roman"/>
                <w:b/>
                <w:lang w:val="ro-RO"/>
              </w:rPr>
              <w:t>alin.</w:t>
            </w:r>
            <w:r w:rsidRPr="009E686F">
              <w:rPr>
                <w:rFonts w:ascii="Times New Roman" w:hAnsi="Times New Roman" w:cs="Times New Roman"/>
                <w:b/>
                <w:bCs/>
                <w:lang w:val="ro-MD"/>
              </w:rPr>
              <w:t xml:space="preserve"> (2) lit. c)</w:t>
            </w:r>
          </w:p>
          <w:p w14:paraId="40577F48" w14:textId="4DFC65EB" w:rsidR="00984B34" w:rsidRPr="009E686F" w:rsidRDefault="00984B34" w:rsidP="00984B34">
            <w:pPr>
              <w:spacing w:after="0" w:line="278" w:lineRule="auto"/>
              <w:jc w:val="both"/>
              <w:rPr>
                <w:rFonts w:ascii="Times New Roman" w:eastAsia="Aptos" w:hAnsi="Times New Roman" w:cs="Times New Roman"/>
                <w:kern w:val="2"/>
                <w:lang w:val="pt-BR"/>
              </w:rPr>
            </w:pPr>
            <w:r w:rsidRPr="009E686F">
              <w:rPr>
                <w:rFonts w:ascii="Times New Roman" w:eastAsia="Aptos" w:hAnsi="Times New Roman" w:cs="Times New Roman"/>
                <w:kern w:val="2"/>
                <w:lang w:val="ro-MD"/>
              </w:rPr>
              <w:t xml:space="preserve">(2) Verificarea şi evaluarea efectuate de Banca Naţională a Moldovei includ </w:t>
            </w:r>
            <w:r w:rsidRPr="009E686F">
              <w:rPr>
                <w:rFonts w:ascii="Times New Roman" w:eastAsia="Aptos" w:hAnsi="Times New Roman" w:cs="Times New Roman"/>
                <w:i/>
                <w:kern w:val="2"/>
                <w:lang w:val="ro-MD"/>
              </w:rPr>
              <w:t>de asemenea</w:t>
            </w:r>
            <w:r w:rsidRPr="009E686F">
              <w:rPr>
                <w:rFonts w:ascii="Times New Roman" w:eastAsia="Aptos" w:hAnsi="Times New Roman" w:cs="Times New Roman"/>
                <w:kern w:val="2"/>
                <w:lang w:val="ro-MD"/>
              </w:rPr>
              <w:t xml:space="preserve">: </w:t>
            </w:r>
            <w:r w:rsidRPr="009E686F">
              <w:rPr>
                <w:rFonts w:ascii="Times New Roman" w:eastAsia="Aptos" w:hAnsi="Times New Roman" w:cs="Times New Roman"/>
                <w:kern w:val="2"/>
                <w:lang w:val="pt-BR"/>
              </w:rPr>
              <w:t>[...]</w:t>
            </w:r>
          </w:p>
          <w:p w14:paraId="164DCBEF" w14:textId="53573EBD" w:rsidR="00984B34" w:rsidRPr="009E686F" w:rsidRDefault="00984B34" w:rsidP="00984B34">
            <w:pPr>
              <w:spacing w:after="0"/>
              <w:jc w:val="both"/>
              <w:rPr>
                <w:rFonts w:ascii="Times New Roman" w:hAnsi="Times New Roman" w:cs="Times New Roman"/>
                <w:b/>
                <w:i/>
                <w:lang w:val="ro-RO"/>
              </w:rPr>
            </w:pPr>
            <w:r w:rsidRPr="009E686F">
              <w:rPr>
                <w:rFonts w:ascii="Times New Roman" w:eastAsia="Aptos" w:hAnsi="Times New Roman" w:cs="Times New Roman"/>
                <w:i/>
                <w:kern w:val="2"/>
                <w:lang w:val="ro-MD"/>
              </w:rPr>
              <w:t xml:space="preserve">c) expunerea </w:t>
            </w:r>
            <w:r w:rsidRPr="009E686F">
              <w:rPr>
                <w:rFonts w:ascii="Times New Roman" w:eastAsia="Aptos" w:hAnsi="Times New Roman" w:cs="Times New Roman"/>
                <w:i/>
                <w:iCs/>
                <w:kern w:val="2"/>
                <w:lang w:val="ro-MD"/>
              </w:rPr>
              <w:t>instituției de credit</w:t>
            </w:r>
            <w:r w:rsidRPr="009E686F">
              <w:rPr>
                <w:rFonts w:ascii="Times New Roman" w:eastAsia="Aptos" w:hAnsi="Times New Roman" w:cs="Times New Roman"/>
                <w:i/>
                <w:kern w:val="2"/>
                <w:lang w:val="ro-MD"/>
              </w:rPr>
              <w:t xml:space="preserve"> la riscul asociat folosirii excesive a efectului de levier, astfel cum este reflectat de indicatorii folosirii excesive a efectului de levier, inclusiv rata efectului de levier stabilită în conformitate cu actele normative ale Băncii Naționale a Moldovei. Pentru a stabili caracterul adecvat al ratei efectului de levier a </w:t>
            </w:r>
            <w:r w:rsidRPr="009E686F">
              <w:rPr>
                <w:rFonts w:ascii="Times New Roman" w:eastAsia="Aptos" w:hAnsi="Times New Roman" w:cs="Times New Roman"/>
                <w:i/>
                <w:iCs/>
                <w:kern w:val="2"/>
                <w:lang w:val="ro-MD"/>
              </w:rPr>
              <w:t>instituțiilor de credit</w:t>
            </w:r>
            <w:r w:rsidRPr="009E686F">
              <w:rPr>
                <w:rFonts w:ascii="Times New Roman" w:eastAsia="Aptos" w:hAnsi="Times New Roman" w:cs="Times New Roman"/>
                <w:i/>
                <w:kern w:val="2"/>
                <w:lang w:val="ro-MD"/>
              </w:rPr>
              <w:t xml:space="preserve"> și al dispoziţiilor, strategiilor, procedurilor și mecanismelor puse în aplicare de </w:t>
            </w:r>
            <w:r w:rsidRPr="009E686F">
              <w:rPr>
                <w:rFonts w:ascii="Times New Roman" w:eastAsia="Aptos" w:hAnsi="Times New Roman" w:cs="Times New Roman"/>
                <w:i/>
                <w:iCs/>
                <w:kern w:val="2"/>
                <w:lang w:val="ro-MD"/>
              </w:rPr>
              <w:t>instituții de credit</w:t>
            </w:r>
            <w:r w:rsidRPr="009E686F">
              <w:rPr>
                <w:rFonts w:ascii="Times New Roman" w:eastAsia="Aptos" w:hAnsi="Times New Roman" w:cs="Times New Roman"/>
                <w:i/>
                <w:kern w:val="2"/>
                <w:lang w:val="ro-MD"/>
              </w:rPr>
              <w:t xml:space="preserve"> pentru administrarea riscului asociat folosirii excesive a efectului de levier, Banca Națională a Moldovei ţine seama de modelul de afaceri al </w:t>
            </w:r>
            <w:r w:rsidRPr="009E686F">
              <w:rPr>
                <w:rFonts w:ascii="Times New Roman" w:eastAsia="Aptos" w:hAnsi="Times New Roman" w:cs="Times New Roman"/>
                <w:i/>
                <w:iCs/>
                <w:kern w:val="2"/>
                <w:lang w:val="ro-MD"/>
              </w:rPr>
              <w:t>instituțiilor de credit</w:t>
            </w:r>
            <w:r w:rsidRPr="009E686F">
              <w:rPr>
                <w:rFonts w:ascii="Times New Roman" w:eastAsia="Aptos" w:hAnsi="Times New Roman" w:cs="Times New Roman"/>
                <w:i/>
                <w:kern w:val="2"/>
                <w:lang w:val="ro-MD"/>
              </w:rPr>
              <w:t xml:space="preserve"> respective.</w:t>
            </w:r>
          </w:p>
        </w:tc>
        <w:tc>
          <w:tcPr>
            <w:tcW w:w="470" w:type="pct"/>
            <w:tcBorders>
              <w:top w:val="single" w:sz="4" w:space="0" w:color="auto"/>
              <w:left w:val="single" w:sz="4" w:space="0" w:color="auto"/>
              <w:bottom w:val="single" w:sz="4" w:space="0" w:color="auto"/>
              <w:right w:val="single" w:sz="4" w:space="0" w:color="auto"/>
            </w:tcBorders>
          </w:tcPr>
          <w:p w14:paraId="16C50CD4" w14:textId="6656DD75"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235E8083" w14:textId="77777777" w:rsidR="00984B34" w:rsidRPr="009E686F" w:rsidRDefault="00984B34" w:rsidP="00984B34">
            <w:pPr>
              <w:jc w:val="both"/>
              <w:rPr>
                <w:rFonts w:ascii="Times New Roman" w:hAnsi="Times New Roman" w:cs="Times New Roman"/>
                <w:lang w:val="ro-RO"/>
              </w:rPr>
            </w:pPr>
          </w:p>
        </w:tc>
      </w:tr>
      <w:tr w:rsidR="00984B34" w:rsidRPr="009E686F" w14:paraId="24A7DAAB" w14:textId="369B4DDA" w:rsidTr="00774F3E">
        <w:tc>
          <w:tcPr>
            <w:tcW w:w="1796" w:type="pct"/>
            <w:gridSpan w:val="2"/>
            <w:tcBorders>
              <w:top w:val="single" w:sz="4" w:space="0" w:color="auto"/>
              <w:left w:val="single" w:sz="4" w:space="0" w:color="auto"/>
              <w:bottom w:val="single" w:sz="4" w:space="0" w:color="auto"/>
              <w:right w:val="single" w:sz="4" w:space="0" w:color="auto"/>
            </w:tcBorders>
          </w:tcPr>
          <w:p w14:paraId="4F8421C1" w14:textId="391A11F6"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(7) Analiza și evaluarea efectuate de autoritățile competente includ acordurile de guvernanță ale instituțiilor, cultura și valorile lor corporative, precum și capacitatea membrilor organului de conducere de a-și exercita atribuțiile. </w:t>
            </w:r>
          </w:p>
          <w:p w14:paraId="2BAA172B" w14:textId="40747A49"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La efectuarea analizei și a evaluării respective, autoritățile competente au acces cel puțin la ordinile de zi și documentele justificative ale reuniunilor organului de conducere și ale comitetelor acestuia, precum și la rezultatele evaluării interne sau externe a performanțelor organului de conducere.</w:t>
            </w:r>
          </w:p>
        </w:tc>
        <w:tc>
          <w:tcPr>
            <w:tcW w:w="1928" w:type="pct"/>
            <w:gridSpan w:val="3"/>
            <w:tcBorders>
              <w:top w:val="single" w:sz="4" w:space="0" w:color="auto"/>
              <w:left w:val="single" w:sz="4" w:space="0" w:color="auto"/>
              <w:bottom w:val="single" w:sz="4" w:space="0" w:color="auto"/>
              <w:right w:val="single" w:sz="4" w:space="0" w:color="auto"/>
            </w:tcBorders>
          </w:tcPr>
          <w:p w14:paraId="478D3396" w14:textId="0F7FAE60" w:rsidR="00984B34" w:rsidRPr="009E686F" w:rsidRDefault="00984B34" w:rsidP="00984B34">
            <w:pPr>
              <w:spacing w:after="0"/>
              <w:jc w:val="both"/>
              <w:rPr>
                <w:rFonts w:ascii="Times New Roman" w:hAnsi="Times New Roman" w:cs="Times New Roman"/>
                <w:b/>
                <w:bCs/>
                <w:lang w:val="ro-MD"/>
              </w:rPr>
            </w:pPr>
            <w:r w:rsidRPr="009E686F">
              <w:rPr>
                <w:rFonts w:ascii="Times New Roman" w:hAnsi="Times New Roman" w:cs="Times New Roman"/>
                <w:b/>
                <w:bCs/>
                <w:lang w:val="ro-MD"/>
              </w:rPr>
              <w:t>Articolul 101</w:t>
            </w:r>
            <w:r w:rsidRPr="009E686F">
              <w:rPr>
                <w:rFonts w:ascii="Times New Roman" w:hAnsi="Times New Roman" w:cs="Times New Roman"/>
                <w:b/>
                <w:lang w:val="ro-RO"/>
              </w:rPr>
              <w:t xml:space="preserve"> alin.</w:t>
            </w:r>
            <w:r w:rsidRPr="009E686F">
              <w:rPr>
                <w:rFonts w:ascii="Times New Roman" w:hAnsi="Times New Roman" w:cs="Times New Roman"/>
                <w:b/>
                <w:bCs/>
                <w:lang w:val="ro-MD"/>
              </w:rPr>
              <w:t xml:space="preserve"> (2) lit. a)</w:t>
            </w:r>
          </w:p>
          <w:p w14:paraId="45C035F5" w14:textId="77777777" w:rsidR="00984B34" w:rsidRPr="009E686F" w:rsidRDefault="00984B34" w:rsidP="00984B34">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(2) Verificarea şi evaluarea efectuate de Banca Naţională a Moldovei includ de asemenea:</w:t>
            </w:r>
          </w:p>
          <w:p w14:paraId="4FBBF1B7" w14:textId="3443016D" w:rsidR="00984B34" w:rsidRPr="009E686F" w:rsidRDefault="00984B34" w:rsidP="00984B34">
            <w:pPr>
              <w:spacing w:after="0"/>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 xml:space="preserve">a) cadrul de administrare a activităţii </w:t>
            </w:r>
            <w:r w:rsidRPr="009E686F">
              <w:rPr>
                <w:rFonts w:ascii="Times New Roman" w:eastAsia="Aptos" w:hAnsi="Times New Roman" w:cs="Times New Roman"/>
                <w:i/>
                <w:iCs/>
                <w:kern w:val="2"/>
                <w:lang w:val="ro-MD"/>
              </w:rPr>
              <w:t>instituțiilor de credit</w:t>
            </w:r>
            <w:r w:rsidRPr="009E686F">
              <w:rPr>
                <w:rFonts w:ascii="Times New Roman" w:eastAsia="Aptos" w:hAnsi="Times New Roman" w:cs="Times New Roman"/>
                <w:kern w:val="2"/>
                <w:lang w:val="ro-MD"/>
              </w:rPr>
              <w:t>. La efectuarea verificării şi a evaluării respective, Banca Naţională a Moldovei are acces cel puţin la ordinile de zi şi documentele justificative ale organului de conducere şi ale comitetelor acestuia, precum şi la rezultatele evaluării interne sau externe a performanţelor organului de conducere</w:t>
            </w:r>
            <w:r w:rsidRPr="009E686F">
              <w:rPr>
                <w:rFonts w:ascii="Times New Roman" w:hAnsi="Times New Roman" w:cs="Times New Roman"/>
                <w:lang w:val="ro-MD"/>
              </w:rPr>
              <w:t xml:space="preserve">, </w:t>
            </w:r>
            <w:r w:rsidRPr="009E686F">
              <w:rPr>
                <w:rFonts w:ascii="Times New Roman" w:hAnsi="Times New Roman" w:cs="Times New Roman"/>
                <w:i/>
                <w:lang w:val="ro-MD"/>
              </w:rPr>
              <w:t>precum și rapoartele trimestriale ale funcțiilor de control intern a instituției de credit și rezultatele controalelor efectuate la nivelul funcțiilor de control intern</w:t>
            </w:r>
            <w:r w:rsidRPr="009E686F">
              <w:rPr>
                <w:rFonts w:ascii="Times New Roman" w:eastAsia="Aptos" w:hAnsi="Times New Roman" w:cs="Times New Roman"/>
                <w:kern w:val="2"/>
                <w:lang w:val="ro-MD"/>
              </w:rPr>
              <w:t xml:space="preserve">. </w:t>
            </w:r>
          </w:p>
        </w:tc>
        <w:tc>
          <w:tcPr>
            <w:tcW w:w="470" w:type="pct"/>
            <w:tcBorders>
              <w:top w:val="single" w:sz="4" w:space="0" w:color="auto"/>
              <w:left w:val="single" w:sz="4" w:space="0" w:color="auto"/>
              <w:bottom w:val="single" w:sz="4" w:space="0" w:color="auto"/>
              <w:right w:val="single" w:sz="4" w:space="0" w:color="auto"/>
            </w:tcBorders>
          </w:tcPr>
          <w:p w14:paraId="17EB336F" w14:textId="1225AD38"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p w14:paraId="1ECC74C1" w14:textId="77777777"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4F23FC0F" w14:textId="77777777" w:rsidR="00984B34" w:rsidRPr="009E686F" w:rsidRDefault="00984B34" w:rsidP="00984B34">
            <w:pPr>
              <w:jc w:val="both"/>
              <w:rPr>
                <w:rFonts w:ascii="Times New Roman" w:hAnsi="Times New Roman" w:cs="Times New Roman"/>
                <w:lang w:val="ro-RO"/>
              </w:rPr>
            </w:pPr>
          </w:p>
        </w:tc>
      </w:tr>
      <w:tr w:rsidR="00984B34" w:rsidRPr="009E686F" w14:paraId="20EC9E8D"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05C95397" w14:textId="3C0602B0"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lastRenderedPageBreak/>
              <w:t>(8)   ABE evaluează eventuala includere a riscurilor de mediu, sociale și de guvernanță (riscuri ESG) în analiza și evaluarea efectuate de autoritățile competente.</w:t>
            </w:r>
          </w:p>
          <w:p w14:paraId="17986ADA"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În sensul primului paragraf, evaluarea ABE cuprinde cel puțin elementele următoare:</w:t>
            </w:r>
          </w:p>
          <w:p w14:paraId="588323AA" w14:textId="10449DA8"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(a) formularea unei definiții uniforme a riscurilor ESG, inclusiv a riscurilor fizice și a celor de tranziție; acestea din urmă cuprind riscurile legate de deprecierea activelor ca urmare a unor modificări cu caracter normativ;</w:t>
            </w:r>
          </w:p>
          <w:p w14:paraId="18571CEB" w14:textId="69A832FF"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(b) elaborarea unor criterii calitative și cantitative adecvate pentru evaluarea impactului riscurilor ESG asupra stabilității financiare a instituțiilor pe termen scurt, mediu și lung; astfel de criterii includ procese pentru simulările de criză și analize ale scenariilor pentru a evalua impactul riscurilor ESG în cadrul unor scenarii cu grade diferite de gravitate;</w:t>
            </w:r>
          </w:p>
          <w:p w14:paraId="67400190" w14:textId="7C2D8CE1"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(c) dispozițiile, procedurile, mecanismele și strategiile care urmează să fie puse în aplicare de către instituții pentru a identifica, evalua și gestiona riscurile ESG;</w:t>
            </w:r>
          </w:p>
          <w:p w14:paraId="28B7915C" w14:textId="460670AF"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(d) metodele și instrumentele de analiză destinate evaluării impactului riscurilor ESG asupra creditării și a activităților de intermediere financiară ale instituțiilor.</w:t>
            </w:r>
          </w:p>
          <w:p w14:paraId="25504C97"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ABE transmite Comisiei, Parlamentului European și Consiliului un raport cuprinzând constatările sale până la 28 iunie 2021.</w:t>
            </w:r>
          </w:p>
          <w:p w14:paraId="7B0FB17A" w14:textId="1497125A"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Pe baza rezultatelor raportului său, ABE poate, dacă este cazul, să emită orientări, în conformitate cu articolul 16 din Regulamentul (UE) nr. 1093/2010, cu privire la integrarea uniformă a riscurilor ESG în procesul de supraveghere și evaluare realizat de autoritățile competente.</w:t>
            </w:r>
          </w:p>
        </w:tc>
        <w:tc>
          <w:tcPr>
            <w:tcW w:w="1928" w:type="pct"/>
            <w:gridSpan w:val="3"/>
            <w:tcBorders>
              <w:top w:val="single" w:sz="4" w:space="0" w:color="auto"/>
              <w:left w:val="single" w:sz="4" w:space="0" w:color="auto"/>
              <w:bottom w:val="single" w:sz="4" w:space="0" w:color="auto"/>
              <w:right w:val="single" w:sz="4" w:space="0" w:color="auto"/>
            </w:tcBorders>
          </w:tcPr>
          <w:p w14:paraId="5BD72253"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674CB7B2" w14:textId="55B3E703" w:rsidR="00984B34" w:rsidRPr="009E686F" w:rsidDel="00DF40FD"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neaplicabile</w:t>
            </w:r>
          </w:p>
        </w:tc>
        <w:tc>
          <w:tcPr>
            <w:tcW w:w="806" w:type="pct"/>
            <w:tcBorders>
              <w:top w:val="single" w:sz="4" w:space="0" w:color="auto"/>
              <w:left w:val="single" w:sz="4" w:space="0" w:color="auto"/>
              <w:bottom w:val="single" w:sz="4" w:space="0" w:color="auto"/>
              <w:right w:val="single" w:sz="4" w:space="0" w:color="auto"/>
            </w:tcBorders>
          </w:tcPr>
          <w:p w14:paraId="053016F0" w14:textId="7E856AAF"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Se referă la competențele ABE.</w:t>
            </w:r>
          </w:p>
        </w:tc>
      </w:tr>
      <w:tr w:rsidR="00984B34" w:rsidRPr="009E686F" w14:paraId="5220A15F"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65D8135B" w14:textId="55B088F1" w:rsidR="00984B34" w:rsidRPr="009E686F" w:rsidRDefault="00984B34" w:rsidP="00984B34">
            <w:pPr>
              <w:spacing w:after="0"/>
              <w:jc w:val="both"/>
              <w:rPr>
                <w:rFonts w:ascii="Times New Roman" w:hAnsi="Times New Roman" w:cs="Times New Roman"/>
                <w:lang w:val="pt-BR"/>
              </w:rPr>
            </w:pPr>
            <w:r w:rsidRPr="009E686F">
              <w:rPr>
                <w:rFonts w:ascii="Times New Roman" w:hAnsi="Times New Roman" w:cs="Times New Roman"/>
                <w:lang w:val="pt-BR"/>
              </w:rPr>
              <w:t xml:space="preserve">(9) Analiza și evaluarea efectuate de autoritățile competente includ evaluarea proceselor instituțiilor de guvernanță și de </w:t>
            </w:r>
            <w:r w:rsidRPr="009E686F">
              <w:rPr>
                <w:rFonts w:ascii="Times New Roman" w:hAnsi="Times New Roman" w:cs="Times New Roman"/>
                <w:lang w:val="pt-BR"/>
              </w:rPr>
              <w:lastRenderedPageBreak/>
              <w:t>administrare a riscurilor pentru abordarea riscurilor ESG, precum și a expunerilor instituțiilor la riscurile ESG. Atunci când determină adecvarea proceselor și expunerilor instituțiilor, autoritățile competente țin seama de modelele de afaceri ale instituțiilor respective.</w:t>
            </w:r>
          </w:p>
          <w:p w14:paraId="596917D4" w14:textId="77777777" w:rsidR="00984B34" w:rsidRPr="009E686F" w:rsidRDefault="00984B34" w:rsidP="00984B34">
            <w:pPr>
              <w:spacing w:after="0"/>
              <w:jc w:val="both"/>
              <w:rPr>
                <w:rFonts w:ascii="Times New Roman" w:hAnsi="Times New Roman" w:cs="Times New Roman"/>
                <w:lang w:val="pt-BR"/>
              </w:rPr>
            </w:pPr>
            <w:r w:rsidRPr="009E686F">
              <w:rPr>
                <w:rFonts w:ascii="Times New Roman" w:hAnsi="Times New Roman" w:cs="Times New Roman"/>
                <w:lang w:val="pt-BR"/>
              </w:rPr>
              <w:t>Expunerile instituțiilor la riscurile ESG se evaluează și pe baza planurilor instituțiilor care urmează să fie elaborate în conformitate cu articolul 76 alineatul (2). Procesele de guvernanță și de administrare a riscurilor ale instituțiilor în ceea ce privește riscurile ESG sunt aliniate la obiectivele stabilite în planurile respective.</w:t>
            </w:r>
          </w:p>
          <w:p w14:paraId="09B5C06A" w14:textId="4D3255A1"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pt-BR"/>
              </w:rPr>
              <w:t>Analiza și evaluarea efectuate de autoritățile competente includ evaluarea planurilor instituțiilor care urmează să fie elaborate în conformitate cu articolul 76 alineatul (2), precum și a progreselor înregistrate în ceea ce privește abordarea riscurilor ESG care decurg din procesul de ajustare în vederea atingerii obiectivului neutralității climatice și a altor obiective de reglementare relevante ale Uniunii în relație cu factorii ESG.</w:t>
            </w:r>
          </w:p>
        </w:tc>
        <w:tc>
          <w:tcPr>
            <w:tcW w:w="1928" w:type="pct"/>
            <w:gridSpan w:val="3"/>
            <w:tcBorders>
              <w:top w:val="single" w:sz="4" w:space="0" w:color="auto"/>
              <w:left w:val="single" w:sz="4" w:space="0" w:color="auto"/>
              <w:bottom w:val="single" w:sz="4" w:space="0" w:color="auto"/>
              <w:right w:val="single" w:sz="4" w:space="0" w:color="auto"/>
            </w:tcBorders>
          </w:tcPr>
          <w:p w14:paraId="05429E0D" w14:textId="120621AD" w:rsidR="00984B34" w:rsidRPr="009E686F" w:rsidRDefault="00984B34" w:rsidP="00984B34">
            <w:pPr>
              <w:spacing w:after="0" w:line="278" w:lineRule="auto"/>
              <w:jc w:val="both"/>
              <w:rPr>
                <w:rFonts w:ascii="Times New Roman" w:eastAsia="Aptos" w:hAnsi="Times New Roman" w:cs="Times New Roman"/>
                <w:b/>
                <w:bCs/>
                <w:kern w:val="2"/>
                <w:lang w:val="ro-MD"/>
              </w:rPr>
            </w:pPr>
            <w:r w:rsidRPr="009E686F">
              <w:rPr>
                <w:rFonts w:ascii="Times New Roman" w:eastAsia="Aptos" w:hAnsi="Times New Roman" w:cs="Times New Roman"/>
                <w:b/>
                <w:bCs/>
                <w:kern w:val="2"/>
                <w:lang w:val="ro-MD"/>
              </w:rPr>
              <w:lastRenderedPageBreak/>
              <w:t>Articolul 101 alin. (2) litera d)</w:t>
            </w:r>
          </w:p>
          <w:p w14:paraId="330F76B9" w14:textId="703F8EFB" w:rsidR="00984B34" w:rsidRPr="009E686F" w:rsidRDefault="00984B34" w:rsidP="00567D0D">
            <w:pPr>
              <w:spacing w:after="0" w:line="240" w:lineRule="auto"/>
              <w:jc w:val="both"/>
              <w:rPr>
                <w:rFonts w:ascii="Times New Roman" w:eastAsia="Aptos" w:hAnsi="Times New Roman" w:cs="Times New Roman"/>
                <w:kern w:val="2"/>
                <w:lang w:val="ro-RO"/>
              </w:rPr>
            </w:pPr>
            <w:r w:rsidRPr="009E686F">
              <w:rPr>
                <w:rFonts w:ascii="Times New Roman" w:eastAsia="Aptos" w:hAnsi="Times New Roman" w:cs="Times New Roman"/>
                <w:kern w:val="2"/>
                <w:lang w:val="ro-MD"/>
              </w:rPr>
              <w:lastRenderedPageBreak/>
              <w:t xml:space="preserve">(2) Verificarea şi evaluarea efectuate de Banca Naţională a Moldovei includ de asemenea: </w:t>
            </w:r>
            <w:r w:rsidRPr="009E686F">
              <w:rPr>
                <w:rFonts w:ascii="Times New Roman" w:eastAsia="Aptos" w:hAnsi="Times New Roman" w:cs="Times New Roman"/>
                <w:kern w:val="2"/>
                <w:lang w:val="ro-RO"/>
              </w:rPr>
              <w:t>[...]</w:t>
            </w:r>
          </w:p>
          <w:p w14:paraId="4411D498" w14:textId="18E572B2" w:rsidR="00984B34" w:rsidRPr="009E686F" w:rsidRDefault="00984B34" w:rsidP="00567D0D">
            <w:pPr>
              <w:spacing w:after="0" w:line="240" w:lineRule="auto"/>
              <w:jc w:val="both"/>
              <w:rPr>
                <w:rFonts w:ascii="Times New Roman" w:eastAsia="Aptos" w:hAnsi="Times New Roman" w:cs="Times New Roman"/>
                <w:i/>
                <w:kern w:val="2"/>
                <w:lang w:val="ro-RO"/>
              </w:rPr>
            </w:pPr>
            <w:r w:rsidRPr="009E686F">
              <w:rPr>
                <w:rFonts w:ascii="Times New Roman" w:eastAsia="Aptos" w:hAnsi="Times New Roman" w:cs="Times New Roman"/>
                <w:i/>
                <w:kern w:val="2"/>
                <w:lang w:val="ro-MD"/>
              </w:rPr>
              <w:t xml:space="preserve">d) </w:t>
            </w:r>
            <w:r w:rsidRPr="009E686F">
              <w:rPr>
                <w:rFonts w:ascii="Times New Roman" w:hAnsi="Times New Roman" w:cs="Times New Roman"/>
                <w:i/>
                <w:lang w:val="ro-RO"/>
              </w:rPr>
              <w:t>procesele de guvernanță și de administrare a riscurilor pentru abordarea riscurilor de mediu, sociale și de guvernanță, ținând cont de modelul de afaceri al instituției de credit, precum și a expunerilor la aceste riscuri, în baza planurilor specifice prevăzute la art. 41 alin. (3) lit. i</w:t>
            </w:r>
            <w:r w:rsidRPr="009E686F">
              <w:rPr>
                <w:rFonts w:ascii="Times New Roman" w:hAnsi="Times New Roman" w:cs="Times New Roman"/>
                <w:i/>
                <w:vertAlign w:val="superscript"/>
                <w:lang w:val="ro-RO"/>
              </w:rPr>
              <w:t>2</w:t>
            </w:r>
            <w:r w:rsidRPr="009E686F">
              <w:rPr>
                <w:rFonts w:ascii="Times New Roman" w:hAnsi="Times New Roman" w:cs="Times New Roman"/>
                <w:i/>
                <w:lang w:val="ro-RO"/>
              </w:rPr>
              <w:t>), inclusiv alinierea la obiectivele stabilite în planurile respective,</w:t>
            </w:r>
            <w:r w:rsidRPr="009E686F">
              <w:rPr>
                <w:i/>
                <w:lang w:val="ro-RO"/>
              </w:rPr>
              <w:t xml:space="preserve"> </w:t>
            </w:r>
            <w:r w:rsidRPr="009E686F">
              <w:rPr>
                <w:rFonts w:ascii="Times New Roman" w:hAnsi="Times New Roman" w:cs="Times New Roman"/>
                <w:i/>
                <w:lang w:val="ro-RO"/>
              </w:rPr>
              <w:t>progresele înregistrate în abordarea riscurilor de mediu, sociale și de guvernanță care decurg din procesul de implementare a planurilor respective, precum și a progreselor înregistrate în ceea ce privește abordarea riscurilor de mediu, sociale și de guvernanță care decurg din procesul de ajustare în vederea atingerii obiectivului neutralității climatice și a altor obiective în conformitate cu cadrul național de politici de mediu și climă, actele normative aplicabile, precum și acordurile internaționale la care Republica Moldova este parte, inclusiv, în măsura relevanței, obiective de reglementare relevante ale Uniunii Europene în relație cu factorii de mediu, sociali și de guvernanță.</w:t>
            </w:r>
          </w:p>
        </w:tc>
        <w:tc>
          <w:tcPr>
            <w:tcW w:w="470" w:type="pct"/>
            <w:tcBorders>
              <w:top w:val="single" w:sz="4" w:space="0" w:color="auto"/>
              <w:left w:val="single" w:sz="4" w:space="0" w:color="auto"/>
              <w:bottom w:val="single" w:sz="4" w:space="0" w:color="auto"/>
              <w:right w:val="single" w:sz="4" w:space="0" w:color="auto"/>
            </w:tcBorders>
          </w:tcPr>
          <w:p w14:paraId="7B15A74D" w14:textId="546ACBFC"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08C03E3F" w14:textId="77777777" w:rsidR="00984B34" w:rsidRPr="009E686F" w:rsidRDefault="00984B34" w:rsidP="00984B34">
            <w:pPr>
              <w:jc w:val="both"/>
              <w:rPr>
                <w:rFonts w:ascii="Times New Roman" w:hAnsi="Times New Roman" w:cs="Times New Roman"/>
                <w:lang w:val="ro-RO"/>
              </w:rPr>
            </w:pPr>
          </w:p>
        </w:tc>
      </w:tr>
      <w:tr w:rsidR="00984B34" w:rsidRPr="009E686F" w14:paraId="2F561479"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585665AC" w14:textId="16FAB76D"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(10)Analiza și evaluarea efectuate de autoritățile competente includ evaluarea proceselor de guvernanță și de administrare a riscurilor ale instituțiilor pentru expunerile la criptoactive și furnizarea de servicii de criptoactive, inclusiv luând în considerare politicile și procedurile instituțiilor pentru identificarea riscurilor, precum și caracterul adecvat al rezultatelor evaluărilor menționate la articolul 79 litera (e) și la articolul 83 alineatul (4).”</w:t>
            </w:r>
          </w:p>
        </w:tc>
        <w:tc>
          <w:tcPr>
            <w:tcW w:w="1928" w:type="pct"/>
            <w:gridSpan w:val="3"/>
            <w:tcBorders>
              <w:top w:val="single" w:sz="4" w:space="0" w:color="auto"/>
              <w:left w:val="single" w:sz="4" w:space="0" w:color="auto"/>
              <w:bottom w:val="single" w:sz="4" w:space="0" w:color="auto"/>
              <w:right w:val="single" w:sz="4" w:space="0" w:color="auto"/>
            </w:tcBorders>
          </w:tcPr>
          <w:p w14:paraId="101F14DB" w14:textId="48728EF9" w:rsidR="00984B34" w:rsidRPr="009E686F" w:rsidRDefault="00984B34" w:rsidP="00567D0D">
            <w:pPr>
              <w:spacing w:after="0" w:line="240" w:lineRule="auto"/>
              <w:jc w:val="both"/>
              <w:rPr>
                <w:rFonts w:ascii="Times New Roman" w:hAnsi="Times New Roman" w:cs="Times New Roman"/>
                <w:b/>
                <w:bCs/>
                <w:lang w:val="ro-MD"/>
              </w:rPr>
            </w:pPr>
            <w:r w:rsidRPr="009E686F">
              <w:rPr>
                <w:rFonts w:ascii="Times New Roman" w:hAnsi="Times New Roman" w:cs="Times New Roman"/>
                <w:b/>
                <w:bCs/>
                <w:lang w:val="ro-MD"/>
              </w:rPr>
              <w:t>Articolul 101</w:t>
            </w:r>
            <w:r w:rsidRPr="009E686F">
              <w:rPr>
                <w:rFonts w:ascii="Times New Roman" w:eastAsia="Aptos" w:hAnsi="Times New Roman" w:cs="Times New Roman"/>
                <w:b/>
                <w:bCs/>
                <w:kern w:val="2"/>
                <w:lang w:val="ro-MD"/>
              </w:rPr>
              <w:t xml:space="preserve"> alin.</w:t>
            </w:r>
            <w:r w:rsidRPr="009E686F">
              <w:rPr>
                <w:rFonts w:ascii="Times New Roman" w:hAnsi="Times New Roman" w:cs="Times New Roman"/>
                <w:b/>
                <w:bCs/>
                <w:lang w:val="ro-MD"/>
              </w:rPr>
              <w:t xml:space="preserve"> (2), lit. e)</w:t>
            </w:r>
          </w:p>
          <w:p w14:paraId="136FD5B3" w14:textId="4E337D2B" w:rsidR="00984B34" w:rsidRPr="009E686F" w:rsidRDefault="00984B34" w:rsidP="00567D0D">
            <w:pPr>
              <w:spacing w:after="0" w:line="240" w:lineRule="auto"/>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 xml:space="preserve">(2) Verificarea şi evaluarea efectuate de Banca Naţională a Moldovei includ </w:t>
            </w:r>
            <w:r w:rsidRPr="009E686F">
              <w:rPr>
                <w:rFonts w:ascii="Times New Roman" w:eastAsia="Aptos" w:hAnsi="Times New Roman" w:cs="Times New Roman"/>
                <w:i/>
                <w:kern w:val="2"/>
                <w:lang w:val="ro-MD"/>
              </w:rPr>
              <w:t>de asemenea</w:t>
            </w:r>
            <w:r w:rsidRPr="009E686F">
              <w:rPr>
                <w:rFonts w:ascii="Times New Roman" w:eastAsia="Aptos" w:hAnsi="Times New Roman" w:cs="Times New Roman"/>
                <w:kern w:val="2"/>
                <w:lang w:val="ro-MD"/>
              </w:rPr>
              <w:t>: [...]</w:t>
            </w:r>
          </w:p>
          <w:p w14:paraId="337E4C5E" w14:textId="7782EE5C" w:rsidR="00984B34" w:rsidRPr="009E686F" w:rsidRDefault="00984B34" w:rsidP="00567D0D">
            <w:pPr>
              <w:spacing w:after="0" w:line="240" w:lineRule="auto"/>
              <w:jc w:val="both"/>
              <w:rPr>
                <w:rFonts w:ascii="Times New Roman" w:hAnsi="Times New Roman" w:cs="Times New Roman"/>
                <w:i/>
                <w:lang w:val="ro-RO"/>
              </w:rPr>
            </w:pPr>
            <w:r w:rsidRPr="009E686F">
              <w:rPr>
                <w:rFonts w:ascii="Times New Roman" w:hAnsi="Times New Roman" w:cs="Times New Roman"/>
                <w:i/>
                <w:lang w:val="ro-RO"/>
              </w:rPr>
              <w:t>e) procesele de guvernanță și de administrare a riscurilor instituțiilor de credit pentru expunerile la criptoactive și furnizarea de servicii de criptoactive, luând în considerare politicile și procedurile acestora pentru identificarea riscurilor, precum și caracterul adecvat al rezultatelor evaluărilor conform actelor normative ale Băncii Naționale a Moldovei.</w:t>
            </w:r>
          </w:p>
        </w:tc>
        <w:tc>
          <w:tcPr>
            <w:tcW w:w="470" w:type="pct"/>
            <w:tcBorders>
              <w:top w:val="single" w:sz="4" w:space="0" w:color="auto"/>
              <w:left w:val="single" w:sz="4" w:space="0" w:color="auto"/>
              <w:bottom w:val="single" w:sz="4" w:space="0" w:color="auto"/>
              <w:right w:val="single" w:sz="4" w:space="0" w:color="auto"/>
            </w:tcBorders>
          </w:tcPr>
          <w:p w14:paraId="0F4489F8" w14:textId="19F9E1C3"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536D9E13" w14:textId="77777777" w:rsidR="00984B34" w:rsidRPr="009E686F" w:rsidRDefault="00984B34" w:rsidP="00984B34">
            <w:pPr>
              <w:jc w:val="both"/>
              <w:rPr>
                <w:rFonts w:ascii="Times New Roman" w:hAnsi="Times New Roman" w:cs="Times New Roman"/>
                <w:lang w:val="ro-RO"/>
              </w:rPr>
            </w:pPr>
          </w:p>
        </w:tc>
      </w:tr>
      <w:tr w:rsidR="00984B34" w:rsidRPr="009E686F" w14:paraId="2F23A86C"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2DAA1CBA" w14:textId="77777777" w:rsidR="00984B34" w:rsidRPr="009E686F" w:rsidRDefault="00984B34" w:rsidP="00984B34">
            <w:pPr>
              <w:spacing w:after="0"/>
              <w:jc w:val="both"/>
              <w:rPr>
                <w:rFonts w:ascii="Times New Roman" w:hAnsi="Times New Roman" w:cs="Times New Roman"/>
                <w:lang w:val="ro-RO"/>
              </w:rPr>
            </w:pPr>
          </w:p>
        </w:tc>
        <w:tc>
          <w:tcPr>
            <w:tcW w:w="1928" w:type="pct"/>
            <w:gridSpan w:val="3"/>
            <w:tcBorders>
              <w:top w:val="single" w:sz="4" w:space="0" w:color="auto"/>
              <w:left w:val="single" w:sz="4" w:space="0" w:color="auto"/>
              <w:bottom w:val="single" w:sz="4" w:space="0" w:color="auto"/>
              <w:right w:val="single" w:sz="4" w:space="0" w:color="auto"/>
            </w:tcBorders>
          </w:tcPr>
          <w:p w14:paraId="70CD1749" w14:textId="32EAB708" w:rsidR="00984B34" w:rsidRPr="009E686F" w:rsidRDefault="00984B34" w:rsidP="00984B34">
            <w:pPr>
              <w:spacing w:after="0"/>
              <w:jc w:val="both"/>
              <w:rPr>
                <w:rFonts w:ascii="Times New Roman" w:hAnsi="Times New Roman" w:cs="Times New Roman"/>
                <w:b/>
                <w:bCs/>
                <w:lang w:val="ro-MD"/>
              </w:rPr>
            </w:pPr>
            <w:r w:rsidRPr="009E686F">
              <w:rPr>
                <w:rFonts w:ascii="Times New Roman" w:hAnsi="Times New Roman" w:cs="Times New Roman"/>
                <w:b/>
                <w:bCs/>
                <w:lang w:val="ro-MD"/>
              </w:rPr>
              <w:t>Articolul 101</w:t>
            </w:r>
            <w:r w:rsidRPr="009E686F">
              <w:rPr>
                <w:rFonts w:ascii="Times New Roman" w:eastAsia="Aptos" w:hAnsi="Times New Roman" w:cs="Times New Roman"/>
                <w:b/>
                <w:bCs/>
                <w:kern w:val="2"/>
                <w:lang w:val="ro-MD"/>
              </w:rPr>
              <w:t xml:space="preserve"> alin.</w:t>
            </w:r>
            <w:r w:rsidRPr="009E686F">
              <w:rPr>
                <w:rFonts w:ascii="Times New Roman" w:hAnsi="Times New Roman" w:cs="Times New Roman"/>
                <w:b/>
                <w:bCs/>
                <w:lang w:val="ro-MD"/>
              </w:rPr>
              <w:t xml:space="preserve"> (3)</w:t>
            </w:r>
          </w:p>
          <w:p w14:paraId="26B8BA6C" w14:textId="42E773A1" w:rsidR="00984B34" w:rsidRPr="009E686F" w:rsidRDefault="00984B34" w:rsidP="00984B34">
            <w:pPr>
              <w:spacing w:after="0"/>
              <w:jc w:val="both"/>
              <w:rPr>
                <w:rFonts w:ascii="Times New Roman" w:hAnsi="Times New Roman" w:cs="Times New Roman"/>
                <w:lang w:val="it-CH"/>
              </w:rPr>
            </w:pPr>
            <w:r w:rsidRPr="009E686F">
              <w:rPr>
                <w:rFonts w:ascii="Times New Roman" w:hAnsi="Times New Roman" w:cs="Times New Roman"/>
                <w:lang w:val="it-CH"/>
              </w:rPr>
              <w:t xml:space="preserve">(3) În aplicarea </w:t>
            </w:r>
            <w:r w:rsidRPr="009E686F">
              <w:rPr>
                <w:rFonts w:ascii="Times New Roman" w:hAnsi="Times New Roman" w:cs="Times New Roman"/>
                <w:i/>
                <w:iCs/>
                <w:lang w:val="it-CH"/>
              </w:rPr>
              <w:t>alin.(1)-(1</w:t>
            </w:r>
            <w:r w:rsidRPr="009E686F">
              <w:rPr>
                <w:rFonts w:ascii="Times New Roman" w:hAnsi="Times New Roman" w:cs="Times New Roman"/>
                <w:i/>
                <w:iCs/>
                <w:vertAlign w:val="superscript"/>
                <w:lang w:val="it-CH"/>
              </w:rPr>
              <w:t>3</w:t>
            </w:r>
            <w:r w:rsidRPr="009E686F">
              <w:rPr>
                <w:rFonts w:ascii="Times New Roman" w:hAnsi="Times New Roman" w:cs="Times New Roman"/>
                <w:i/>
                <w:iCs/>
                <w:lang w:val="it-CH"/>
              </w:rPr>
              <w:t>), alte</w:t>
            </w:r>
            <w:r w:rsidRPr="009E686F">
              <w:rPr>
                <w:rFonts w:ascii="Times New Roman" w:hAnsi="Times New Roman" w:cs="Times New Roman"/>
                <w:lang w:val="it-CH"/>
              </w:rPr>
              <w:t xml:space="preserve"> elementele avute în vedere în procesul de verificare şi evaluare se stabilesc prin acte </w:t>
            </w:r>
            <w:r w:rsidRPr="009E686F">
              <w:rPr>
                <w:rFonts w:ascii="Times New Roman" w:hAnsi="Times New Roman" w:cs="Times New Roman"/>
                <w:lang w:val="it-CH"/>
              </w:rPr>
              <w:lastRenderedPageBreak/>
              <w:t xml:space="preserve">normative/ </w:t>
            </w:r>
            <w:r w:rsidRPr="009E686F">
              <w:rPr>
                <w:rFonts w:ascii="Times New Roman" w:hAnsi="Times New Roman" w:cs="Times New Roman"/>
                <w:i/>
                <w:iCs/>
                <w:lang w:val="it-CH"/>
              </w:rPr>
              <w:t>metodologii/ proceduri/ ghiduri</w:t>
            </w:r>
            <w:r w:rsidRPr="009E686F">
              <w:rPr>
                <w:rFonts w:ascii="Times New Roman" w:hAnsi="Times New Roman" w:cs="Times New Roman"/>
                <w:lang w:val="it-CH"/>
              </w:rPr>
              <w:t xml:space="preserve"> emise de Banca Naţională a Moldovei.</w:t>
            </w:r>
          </w:p>
          <w:p w14:paraId="721CC5A3" w14:textId="77777777" w:rsidR="00984B34" w:rsidRPr="009E686F" w:rsidRDefault="00984B34" w:rsidP="00984B34">
            <w:pPr>
              <w:spacing w:after="0"/>
              <w:jc w:val="both"/>
              <w:rPr>
                <w:rFonts w:ascii="Times New Roman" w:hAnsi="Times New Roman" w:cs="Times New Roman"/>
                <w:b/>
                <w:bCs/>
                <w:lang w:val="it-CH"/>
              </w:rPr>
            </w:pPr>
          </w:p>
        </w:tc>
        <w:tc>
          <w:tcPr>
            <w:tcW w:w="470" w:type="pct"/>
            <w:tcBorders>
              <w:top w:val="single" w:sz="4" w:space="0" w:color="auto"/>
              <w:left w:val="single" w:sz="4" w:space="0" w:color="auto"/>
              <w:bottom w:val="single" w:sz="4" w:space="0" w:color="auto"/>
              <w:right w:val="single" w:sz="4" w:space="0" w:color="auto"/>
            </w:tcBorders>
          </w:tcPr>
          <w:p w14:paraId="54D6F5A6" w14:textId="3C4736DD"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559ACFD3" w14:textId="39FFA487"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 xml:space="preserve">Norme cu specific național din Legea nr. 202/2017 modificate prin Proiectul de lege pentru </w:t>
            </w:r>
            <w:r w:rsidRPr="009E686F">
              <w:rPr>
                <w:rFonts w:ascii="Times New Roman" w:hAnsi="Times New Roman" w:cs="Times New Roman"/>
                <w:lang w:val="ro-RO"/>
              </w:rPr>
              <w:lastRenderedPageBreak/>
              <w:t>modificarea unor acte normative (aspecte aferente activității băncilor) Nr. unic Cancelaria de Stat 547/MF/BNM/2026 (modificarea Legii nr. 202/2017) care asigură temeiul legal pentru aprobarea cadrului normtiv secundar.</w:t>
            </w:r>
          </w:p>
        </w:tc>
      </w:tr>
      <w:tr w:rsidR="00984B34" w:rsidRPr="009E686F" w14:paraId="034F9E11"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727789E6" w14:textId="77777777" w:rsidR="00984B34" w:rsidRPr="009E686F" w:rsidRDefault="00984B34" w:rsidP="00984B34">
            <w:pPr>
              <w:spacing w:after="0"/>
              <w:jc w:val="both"/>
              <w:rPr>
                <w:rFonts w:ascii="Times New Roman" w:hAnsi="Times New Roman" w:cs="Times New Roman"/>
                <w:b/>
                <w:bCs/>
                <w:i/>
                <w:iCs/>
                <w:lang w:val="ro-RO"/>
              </w:rPr>
            </w:pPr>
            <w:r w:rsidRPr="009E686F">
              <w:rPr>
                <w:rFonts w:ascii="Times New Roman" w:hAnsi="Times New Roman" w:cs="Times New Roman"/>
                <w:i/>
                <w:lang w:val="ro-RO"/>
              </w:rPr>
              <w:lastRenderedPageBreak/>
              <w:t>Articolul 99</w:t>
            </w:r>
            <w:r w:rsidRPr="009E686F">
              <w:rPr>
                <w:rFonts w:ascii="Times New Roman" w:hAnsi="Times New Roman" w:cs="Times New Roman"/>
                <w:b/>
                <w:i/>
                <w:lang w:val="ro-RO"/>
              </w:rPr>
              <w:t xml:space="preserve"> </w:t>
            </w:r>
          </w:p>
          <w:p w14:paraId="02791EE1" w14:textId="47C1D790"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Programul de supraveghere prudențială</w:t>
            </w:r>
          </w:p>
        </w:tc>
        <w:tc>
          <w:tcPr>
            <w:tcW w:w="1928" w:type="pct"/>
            <w:gridSpan w:val="3"/>
            <w:tcBorders>
              <w:top w:val="single" w:sz="4" w:space="0" w:color="auto"/>
              <w:left w:val="single" w:sz="4" w:space="0" w:color="auto"/>
              <w:bottom w:val="single" w:sz="4" w:space="0" w:color="auto"/>
              <w:right w:val="single" w:sz="4" w:space="0" w:color="auto"/>
            </w:tcBorders>
          </w:tcPr>
          <w:p w14:paraId="75234D96" w14:textId="77777777" w:rsidR="00984B34" w:rsidRPr="009E686F" w:rsidRDefault="00984B34" w:rsidP="00984B34">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b/>
                <w:bCs/>
                <w:kern w:val="2"/>
                <w:lang w:val="ro-MD"/>
              </w:rPr>
              <w:t>Articolul 106.</w:t>
            </w:r>
            <w:r w:rsidRPr="009E686F">
              <w:rPr>
                <w:rFonts w:ascii="Times New Roman" w:eastAsia="Aptos" w:hAnsi="Times New Roman" w:cs="Times New Roman"/>
                <w:kern w:val="2"/>
                <w:lang w:val="ro-MD"/>
              </w:rPr>
              <w:t xml:space="preserve"> Programul de supraveghere prudenţială</w:t>
            </w:r>
          </w:p>
          <w:p w14:paraId="1DBEF4E6" w14:textId="77777777" w:rsidR="00984B34" w:rsidRPr="009E686F" w:rsidRDefault="00984B34" w:rsidP="00984B34">
            <w:pPr>
              <w:spacing w:after="0" w:line="240" w:lineRule="auto"/>
              <w:ind w:firstLine="426"/>
              <w:jc w:val="both"/>
              <w:rPr>
                <w:rFonts w:ascii="Times New Roman" w:hAnsi="Times New Roman" w:cs="Times New Roman"/>
                <w:lang w:val="ro-RO"/>
              </w:rPr>
            </w:pPr>
          </w:p>
        </w:tc>
        <w:tc>
          <w:tcPr>
            <w:tcW w:w="470" w:type="pct"/>
            <w:tcBorders>
              <w:top w:val="single" w:sz="4" w:space="0" w:color="auto"/>
              <w:left w:val="single" w:sz="4" w:space="0" w:color="auto"/>
              <w:bottom w:val="single" w:sz="4" w:space="0" w:color="auto"/>
              <w:right w:val="single" w:sz="4" w:space="0" w:color="auto"/>
            </w:tcBorders>
          </w:tcPr>
          <w:p w14:paraId="41C5D493" w14:textId="4F851F59"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5D78EE02" w14:textId="77777777" w:rsidR="00984B34" w:rsidRPr="009E686F" w:rsidRDefault="00984B34" w:rsidP="00984B34">
            <w:pPr>
              <w:jc w:val="both"/>
              <w:rPr>
                <w:rFonts w:ascii="Times New Roman" w:hAnsi="Times New Roman" w:cs="Times New Roman"/>
                <w:lang w:val="ro-RO"/>
              </w:rPr>
            </w:pPr>
          </w:p>
        </w:tc>
      </w:tr>
      <w:tr w:rsidR="00984B34" w:rsidRPr="009E686F" w14:paraId="4E264BE6" w14:textId="4A82C3FD" w:rsidTr="00774F3E">
        <w:tc>
          <w:tcPr>
            <w:tcW w:w="1796" w:type="pct"/>
            <w:gridSpan w:val="2"/>
            <w:tcBorders>
              <w:top w:val="single" w:sz="4" w:space="0" w:color="auto"/>
              <w:left w:val="single" w:sz="4" w:space="0" w:color="auto"/>
              <w:bottom w:val="single" w:sz="4" w:space="0" w:color="auto"/>
              <w:right w:val="single" w:sz="4" w:space="0" w:color="auto"/>
            </w:tcBorders>
          </w:tcPr>
          <w:p w14:paraId="7D647BE6" w14:textId="328ACB68"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(1)Autoritățile competente, cel puțin o dată pe an, adoptă un program de supraveghere prudențială pentru instituțiile pe care le supraveghează. Programul ține seama de procesul de supraveghere și evaluare prevăzut la articolul 97. Acesta cuprinde următoarele:</w:t>
            </w:r>
          </w:p>
        </w:tc>
        <w:tc>
          <w:tcPr>
            <w:tcW w:w="1928" w:type="pct"/>
            <w:gridSpan w:val="3"/>
            <w:tcBorders>
              <w:top w:val="single" w:sz="4" w:space="0" w:color="auto"/>
              <w:left w:val="single" w:sz="4" w:space="0" w:color="auto"/>
              <w:bottom w:val="single" w:sz="4" w:space="0" w:color="auto"/>
              <w:right w:val="single" w:sz="4" w:space="0" w:color="auto"/>
            </w:tcBorders>
          </w:tcPr>
          <w:p w14:paraId="17A8B7BD" w14:textId="0DB50360" w:rsidR="00984B34" w:rsidRPr="009E686F" w:rsidRDefault="00984B34" w:rsidP="00567D0D">
            <w:pPr>
              <w:spacing w:after="0" w:line="240" w:lineRule="auto"/>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(2) Banca Naţională a Moldovei, cel puţin o dată pe an, adoptă un program de supraveghere prudenţial</w:t>
            </w:r>
            <w:r w:rsidRPr="009E686F">
              <w:rPr>
                <w:rFonts w:ascii="Times New Roman" w:eastAsia="Aptos" w:hAnsi="Times New Roman" w:cs="Times New Roman"/>
                <w:i/>
                <w:kern w:val="2"/>
                <w:lang w:val="ro-MD"/>
              </w:rPr>
              <w:t xml:space="preserve">ă pentru instituțiile </w:t>
            </w:r>
            <w:r w:rsidRPr="009E686F">
              <w:rPr>
                <w:rFonts w:ascii="Times New Roman" w:eastAsia="Aptos" w:hAnsi="Times New Roman" w:cs="Times New Roman"/>
                <w:i/>
                <w:iCs/>
                <w:kern w:val="2"/>
                <w:lang w:val="ro-MD"/>
              </w:rPr>
              <w:t>la alin. (3</w:t>
            </w:r>
            <w:r w:rsidRPr="009E686F">
              <w:rPr>
                <w:rFonts w:ascii="Times New Roman" w:eastAsia="Aptos" w:hAnsi="Times New Roman" w:cs="Times New Roman"/>
                <w:kern w:val="2"/>
                <w:lang w:val="ro-MD"/>
              </w:rPr>
              <w:t>). Programul ia în considerare procesul de verificare şi evaluare prevăzut la art.100. Acesta cuprinde următoarele:</w:t>
            </w:r>
          </w:p>
          <w:p w14:paraId="6DCB9D66" w14:textId="7743CE48" w:rsidR="00984B34" w:rsidRPr="009E686F" w:rsidRDefault="00984B34" w:rsidP="00984B34">
            <w:pPr>
              <w:spacing w:after="0"/>
              <w:jc w:val="both"/>
              <w:rPr>
                <w:rFonts w:ascii="Times New Roman" w:hAnsi="Times New Roman" w:cs="Times New Roman"/>
                <w:lang w:val="ro-RO"/>
              </w:rPr>
            </w:pPr>
          </w:p>
        </w:tc>
        <w:tc>
          <w:tcPr>
            <w:tcW w:w="470" w:type="pct"/>
            <w:tcBorders>
              <w:top w:val="single" w:sz="4" w:space="0" w:color="auto"/>
              <w:left w:val="single" w:sz="4" w:space="0" w:color="auto"/>
              <w:bottom w:val="single" w:sz="4" w:space="0" w:color="auto"/>
              <w:right w:val="single" w:sz="4" w:space="0" w:color="auto"/>
            </w:tcBorders>
          </w:tcPr>
          <w:p w14:paraId="376238B5" w14:textId="3056831C"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2E4C4FC8" w14:textId="77777777" w:rsidR="00984B34" w:rsidRPr="009E686F" w:rsidRDefault="00984B34" w:rsidP="00984B34">
            <w:pPr>
              <w:jc w:val="both"/>
              <w:rPr>
                <w:rFonts w:ascii="Times New Roman" w:hAnsi="Times New Roman" w:cs="Times New Roman"/>
                <w:lang w:val="ro-RO"/>
              </w:rPr>
            </w:pPr>
          </w:p>
        </w:tc>
      </w:tr>
      <w:tr w:rsidR="00984B34" w:rsidRPr="009E686F" w14:paraId="69AB7459" w14:textId="0B2EE072" w:rsidTr="00774F3E">
        <w:tc>
          <w:tcPr>
            <w:tcW w:w="1796" w:type="pct"/>
            <w:gridSpan w:val="2"/>
            <w:tcBorders>
              <w:top w:val="single" w:sz="4" w:space="0" w:color="auto"/>
              <w:left w:val="single" w:sz="4" w:space="0" w:color="auto"/>
              <w:bottom w:val="single" w:sz="4" w:space="0" w:color="auto"/>
              <w:right w:val="single" w:sz="4" w:space="0" w:color="auto"/>
            </w:tcBorders>
          </w:tcPr>
          <w:p w14:paraId="17A86588" w14:textId="033D1B1A"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(a) o indicare a modului în care autoritățile competente intenționează să-și îndeplinească atribuțiile și să aloce resursele;</w:t>
            </w:r>
          </w:p>
        </w:tc>
        <w:tc>
          <w:tcPr>
            <w:tcW w:w="1928" w:type="pct"/>
            <w:gridSpan w:val="3"/>
            <w:tcBorders>
              <w:top w:val="single" w:sz="4" w:space="0" w:color="auto"/>
              <w:left w:val="single" w:sz="4" w:space="0" w:color="auto"/>
              <w:bottom w:val="single" w:sz="4" w:space="0" w:color="auto"/>
              <w:right w:val="single" w:sz="4" w:space="0" w:color="auto"/>
            </w:tcBorders>
          </w:tcPr>
          <w:p w14:paraId="1FB123C0" w14:textId="7F4D8B3A"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a) o indicare a modului în care Banca Națională a Moldovei intenționează să își îndeplinească atribuțiile și să aloce resursele; </w:t>
            </w:r>
          </w:p>
        </w:tc>
        <w:tc>
          <w:tcPr>
            <w:tcW w:w="470" w:type="pct"/>
            <w:tcBorders>
              <w:top w:val="single" w:sz="4" w:space="0" w:color="auto"/>
              <w:left w:val="single" w:sz="4" w:space="0" w:color="auto"/>
              <w:bottom w:val="single" w:sz="4" w:space="0" w:color="auto"/>
              <w:right w:val="single" w:sz="4" w:space="0" w:color="auto"/>
            </w:tcBorders>
          </w:tcPr>
          <w:p w14:paraId="69B541D5" w14:textId="01F09EF8"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71A4DE05" w14:textId="77777777" w:rsidR="00984B34" w:rsidRPr="009E686F" w:rsidRDefault="00984B34" w:rsidP="00984B34">
            <w:pPr>
              <w:jc w:val="both"/>
              <w:rPr>
                <w:rFonts w:ascii="Times New Roman" w:hAnsi="Times New Roman" w:cs="Times New Roman"/>
                <w:lang w:val="ro-RO"/>
              </w:rPr>
            </w:pPr>
          </w:p>
        </w:tc>
      </w:tr>
      <w:tr w:rsidR="00984B34" w:rsidRPr="009E686F" w14:paraId="2FA85F0F" w14:textId="647F7D41" w:rsidTr="00774F3E">
        <w:tc>
          <w:tcPr>
            <w:tcW w:w="1796" w:type="pct"/>
            <w:gridSpan w:val="2"/>
            <w:tcBorders>
              <w:top w:val="single" w:sz="4" w:space="0" w:color="auto"/>
              <w:left w:val="single" w:sz="4" w:space="0" w:color="auto"/>
              <w:bottom w:val="single" w:sz="4" w:space="0" w:color="auto"/>
              <w:right w:val="single" w:sz="4" w:space="0" w:color="auto"/>
            </w:tcBorders>
          </w:tcPr>
          <w:p w14:paraId="73401C61" w14:textId="44B3A46E"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(b) o identificare a instituțiilor care urmează să facă obiectul supravegherii sporite și măsurile adoptate privind o astfel de supraveghere, în conformitate cu alineatul (3);</w:t>
            </w:r>
          </w:p>
        </w:tc>
        <w:tc>
          <w:tcPr>
            <w:tcW w:w="1928" w:type="pct"/>
            <w:gridSpan w:val="3"/>
            <w:tcBorders>
              <w:top w:val="single" w:sz="4" w:space="0" w:color="auto"/>
              <w:left w:val="single" w:sz="4" w:space="0" w:color="auto"/>
              <w:bottom w:val="single" w:sz="4" w:space="0" w:color="auto"/>
              <w:right w:val="single" w:sz="4" w:space="0" w:color="auto"/>
            </w:tcBorders>
          </w:tcPr>
          <w:p w14:paraId="40D27DA9" w14:textId="6BD35E2F" w:rsidR="00984B34" w:rsidRPr="009E686F" w:rsidRDefault="00984B34" w:rsidP="00984B34">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 xml:space="preserve">b) o identificare a </w:t>
            </w:r>
            <w:r w:rsidRPr="009E686F">
              <w:rPr>
                <w:rFonts w:ascii="Times New Roman" w:eastAsia="Aptos" w:hAnsi="Times New Roman" w:cs="Times New Roman"/>
                <w:i/>
                <w:iCs/>
                <w:kern w:val="2"/>
                <w:lang w:val="ro-MD"/>
              </w:rPr>
              <w:t>instituțiilor de credit</w:t>
            </w:r>
            <w:r w:rsidRPr="009E686F">
              <w:rPr>
                <w:rFonts w:ascii="Times New Roman" w:eastAsia="Aptos" w:hAnsi="Times New Roman" w:cs="Times New Roman"/>
                <w:kern w:val="2"/>
                <w:lang w:val="ro-MD"/>
              </w:rPr>
              <w:t xml:space="preserve"> care urmează să facă obiectul supravegherii sporite şi măsurile adoptate privind o astfel de supraveghere, în conformitate cu alin.(4);</w:t>
            </w:r>
          </w:p>
        </w:tc>
        <w:tc>
          <w:tcPr>
            <w:tcW w:w="470" w:type="pct"/>
            <w:tcBorders>
              <w:top w:val="single" w:sz="4" w:space="0" w:color="auto"/>
              <w:left w:val="single" w:sz="4" w:space="0" w:color="auto"/>
              <w:bottom w:val="single" w:sz="4" w:space="0" w:color="auto"/>
              <w:right w:val="single" w:sz="4" w:space="0" w:color="auto"/>
            </w:tcBorders>
          </w:tcPr>
          <w:p w14:paraId="662B8C0B" w14:textId="070F42C0"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0B2CFEDD" w14:textId="77777777" w:rsidR="00984B34" w:rsidRPr="009E686F" w:rsidRDefault="00984B34" w:rsidP="00984B34">
            <w:pPr>
              <w:jc w:val="both"/>
              <w:rPr>
                <w:rFonts w:ascii="Times New Roman" w:hAnsi="Times New Roman" w:cs="Times New Roman"/>
                <w:lang w:val="ro-RO"/>
              </w:rPr>
            </w:pPr>
          </w:p>
        </w:tc>
      </w:tr>
      <w:tr w:rsidR="00984B34" w:rsidRPr="009E686F" w14:paraId="088C26CA" w14:textId="1CB6B369" w:rsidTr="00774F3E">
        <w:tc>
          <w:tcPr>
            <w:tcW w:w="1796" w:type="pct"/>
            <w:gridSpan w:val="2"/>
            <w:tcBorders>
              <w:top w:val="single" w:sz="4" w:space="0" w:color="auto"/>
              <w:left w:val="single" w:sz="4" w:space="0" w:color="auto"/>
              <w:bottom w:val="single" w:sz="4" w:space="0" w:color="auto"/>
              <w:right w:val="single" w:sz="4" w:space="0" w:color="auto"/>
            </w:tcBorders>
          </w:tcPr>
          <w:p w14:paraId="454F6F32" w14:textId="545195E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(c) un plan pentru inspecții vizând sediile utilizate de o instituție, inclusiv sucursalele și filialele stabilite într-un alt stat membru, în conformitate cu articolele 52, 119 și 122.</w:t>
            </w:r>
          </w:p>
        </w:tc>
        <w:tc>
          <w:tcPr>
            <w:tcW w:w="1928" w:type="pct"/>
            <w:gridSpan w:val="3"/>
            <w:tcBorders>
              <w:top w:val="single" w:sz="4" w:space="0" w:color="auto"/>
              <w:left w:val="single" w:sz="4" w:space="0" w:color="auto"/>
              <w:bottom w:val="single" w:sz="4" w:space="0" w:color="auto"/>
              <w:right w:val="single" w:sz="4" w:space="0" w:color="auto"/>
            </w:tcBorders>
          </w:tcPr>
          <w:p w14:paraId="587E8F46" w14:textId="4F26FBFD" w:rsidR="00984B34" w:rsidRPr="009E686F" w:rsidRDefault="00984B34" w:rsidP="00984B34">
            <w:pPr>
              <w:spacing w:after="0"/>
              <w:jc w:val="both"/>
              <w:rPr>
                <w:rFonts w:ascii="Times New Roman" w:hAnsi="Times New Roman" w:cs="Times New Roman"/>
                <w:lang w:val="ro-RO"/>
              </w:rPr>
            </w:pPr>
            <w:r w:rsidRPr="009E686F">
              <w:rPr>
                <w:rFonts w:ascii="Times New Roman" w:eastAsia="Aptos" w:hAnsi="Times New Roman" w:cs="Times New Roman"/>
                <w:kern w:val="2"/>
                <w:lang w:val="ro-MD"/>
              </w:rPr>
              <w:t xml:space="preserve">c) un plan pentru inspecţiile pe teren vizînd sediile utilizate de o </w:t>
            </w:r>
            <w:r w:rsidRPr="009E686F">
              <w:rPr>
                <w:rFonts w:ascii="Times New Roman" w:eastAsia="Aptos" w:hAnsi="Times New Roman" w:cs="Times New Roman"/>
                <w:i/>
                <w:iCs/>
                <w:kern w:val="2"/>
                <w:lang w:val="ro-MD"/>
              </w:rPr>
              <w:t>instituție de credit</w:t>
            </w:r>
            <w:r w:rsidRPr="009E686F">
              <w:rPr>
                <w:rFonts w:ascii="Times New Roman" w:eastAsia="Aptos" w:hAnsi="Times New Roman" w:cs="Times New Roman"/>
                <w:kern w:val="2"/>
                <w:lang w:val="ro-MD"/>
              </w:rPr>
              <w:t xml:space="preserve">, inclusiv de sucursalele sale şi de filialele stabilite în alt stat, </w:t>
            </w:r>
            <w:r w:rsidRPr="009E686F">
              <w:rPr>
                <w:rFonts w:ascii="Times New Roman" w:eastAsia="Aptos" w:hAnsi="Times New Roman" w:cs="Times New Roman"/>
                <w:i/>
                <w:kern w:val="2"/>
                <w:lang w:val="ro-MD"/>
              </w:rPr>
              <w:t>inclusiv într-un stat membru, în conformitate cu art. 107-108, art. 117 și art. 120, inclusiv</w:t>
            </w:r>
            <w:r w:rsidRPr="009E686F">
              <w:rPr>
                <w:rFonts w:ascii="Times New Roman" w:eastAsia="Aptos" w:hAnsi="Times New Roman" w:cs="Times New Roman"/>
                <w:kern w:val="2"/>
                <w:lang w:val="ro-MD"/>
              </w:rPr>
              <w:t xml:space="preserve"> în baza acordurilor de colaborare încheiate de Banca Naţională a Moldovei cu autoritatea competentă a respectivului stat</w:t>
            </w:r>
            <w:r w:rsidRPr="009E686F">
              <w:rPr>
                <w:rFonts w:ascii="Times New Roman" w:eastAsia="Aptos" w:hAnsi="Times New Roman" w:cs="Times New Roman"/>
                <w:i/>
                <w:iCs/>
                <w:kern w:val="2"/>
                <w:lang w:val="ro-MD"/>
              </w:rPr>
              <w:t>.</w:t>
            </w:r>
          </w:p>
        </w:tc>
        <w:tc>
          <w:tcPr>
            <w:tcW w:w="470" w:type="pct"/>
            <w:tcBorders>
              <w:top w:val="single" w:sz="4" w:space="0" w:color="auto"/>
              <w:left w:val="single" w:sz="4" w:space="0" w:color="auto"/>
              <w:bottom w:val="single" w:sz="4" w:space="0" w:color="auto"/>
              <w:right w:val="single" w:sz="4" w:space="0" w:color="auto"/>
            </w:tcBorders>
          </w:tcPr>
          <w:p w14:paraId="0A4B5F1A" w14:textId="6F806B22"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48A2BA85" w14:textId="77777777" w:rsidR="00984B34" w:rsidRPr="009E686F" w:rsidRDefault="00984B34" w:rsidP="00984B34">
            <w:pPr>
              <w:jc w:val="both"/>
              <w:rPr>
                <w:rFonts w:ascii="Times New Roman" w:hAnsi="Times New Roman" w:cs="Times New Roman"/>
                <w:lang w:val="ro-RO"/>
              </w:rPr>
            </w:pPr>
          </w:p>
        </w:tc>
      </w:tr>
      <w:tr w:rsidR="00984B34" w:rsidRPr="009E686F" w14:paraId="0FED3D9E" w14:textId="2A60E2D8" w:rsidTr="00774F3E">
        <w:tc>
          <w:tcPr>
            <w:tcW w:w="1796" w:type="pct"/>
            <w:gridSpan w:val="2"/>
            <w:tcBorders>
              <w:top w:val="single" w:sz="4" w:space="0" w:color="auto"/>
              <w:left w:val="single" w:sz="4" w:space="0" w:color="auto"/>
              <w:bottom w:val="single" w:sz="4" w:space="0" w:color="auto"/>
              <w:right w:val="single" w:sz="4" w:space="0" w:color="auto"/>
            </w:tcBorders>
          </w:tcPr>
          <w:p w14:paraId="6369AF51" w14:textId="3B2DA93A"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lastRenderedPageBreak/>
              <w:t>(2) Programele de supraveghere prudențială includ următoarele instituții:</w:t>
            </w:r>
          </w:p>
        </w:tc>
        <w:tc>
          <w:tcPr>
            <w:tcW w:w="1928" w:type="pct"/>
            <w:gridSpan w:val="3"/>
            <w:tcBorders>
              <w:top w:val="single" w:sz="4" w:space="0" w:color="auto"/>
              <w:left w:val="single" w:sz="4" w:space="0" w:color="auto"/>
              <w:bottom w:val="single" w:sz="4" w:space="0" w:color="auto"/>
              <w:right w:val="single" w:sz="4" w:space="0" w:color="auto"/>
            </w:tcBorders>
          </w:tcPr>
          <w:p w14:paraId="0F4E16E1" w14:textId="338E9FE2" w:rsidR="00984B34" w:rsidRPr="009E686F" w:rsidRDefault="00984B34" w:rsidP="00984B34">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 xml:space="preserve">(3) Programul de supraveghere prudenţială include următoarele </w:t>
            </w:r>
            <w:r w:rsidRPr="009E686F">
              <w:rPr>
                <w:rFonts w:ascii="Times New Roman" w:eastAsia="Aptos" w:hAnsi="Times New Roman" w:cs="Times New Roman"/>
                <w:i/>
                <w:iCs/>
                <w:kern w:val="2"/>
                <w:lang w:val="ro-MD"/>
              </w:rPr>
              <w:t>instituții de credit</w:t>
            </w:r>
            <w:r w:rsidRPr="009E686F">
              <w:rPr>
                <w:rFonts w:ascii="Times New Roman" w:eastAsia="Aptos" w:hAnsi="Times New Roman" w:cs="Times New Roman"/>
                <w:kern w:val="2"/>
                <w:lang w:val="ro-MD"/>
              </w:rPr>
              <w:t>:</w:t>
            </w:r>
          </w:p>
          <w:p w14:paraId="13E703ED" w14:textId="77777777" w:rsidR="00984B34" w:rsidRPr="009E686F" w:rsidRDefault="00984B34" w:rsidP="00984B34">
            <w:pPr>
              <w:spacing w:after="0"/>
              <w:jc w:val="both"/>
              <w:rPr>
                <w:rFonts w:ascii="Times New Roman" w:hAnsi="Times New Roman" w:cs="Times New Roman"/>
                <w:lang w:val="ro-RO"/>
              </w:rPr>
            </w:pPr>
          </w:p>
        </w:tc>
        <w:tc>
          <w:tcPr>
            <w:tcW w:w="470" w:type="pct"/>
            <w:tcBorders>
              <w:top w:val="single" w:sz="4" w:space="0" w:color="auto"/>
              <w:left w:val="single" w:sz="4" w:space="0" w:color="auto"/>
              <w:bottom w:val="single" w:sz="4" w:space="0" w:color="auto"/>
              <w:right w:val="single" w:sz="4" w:space="0" w:color="auto"/>
            </w:tcBorders>
          </w:tcPr>
          <w:p w14:paraId="208E58B1" w14:textId="602854EF"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43EFABA5" w14:textId="77777777" w:rsidR="00984B34" w:rsidRPr="009E686F" w:rsidRDefault="00984B34" w:rsidP="00984B34">
            <w:pPr>
              <w:jc w:val="both"/>
              <w:rPr>
                <w:rFonts w:ascii="Times New Roman" w:hAnsi="Times New Roman" w:cs="Times New Roman"/>
                <w:lang w:val="ro-RO"/>
              </w:rPr>
            </w:pPr>
          </w:p>
        </w:tc>
      </w:tr>
      <w:tr w:rsidR="00984B34" w:rsidRPr="009E686F" w14:paraId="59A02D15" w14:textId="1B48B7CE" w:rsidTr="00774F3E">
        <w:tc>
          <w:tcPr>
            <w:tcW w:w="1796" w:type="pct"/>
            <w:gridSpan w:val="2"/>
            <w:tcBorders>
              <w:top w:val="single" w:sz="4" w:space="0" w:color="auto"/>
              <w:left w:val="single" w:sz="4" w:space="0" w:color="auto"/>
              <w:bottom w:val="single" w:sz="4" w:space="0" w:color="auto"/>
              <w:right w:val="single" w:sz="4" w:space="0" w:color="auto"/>
            </w:tcBorders>
          </w:tcPr>
          <w:p w14:paraId="0ABEE7D9" w14:textId="5D7817B5"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(a) Instituțiile în cazul cărora rezultatele simulărilor de criză menționate la articolul 98 alineatul (1) literele (a) și (g) și articolul 100 sau rezultatul procesului de supraveghere și evaluare prevăzut la articolul 97 indică riscuri semnificative pentru soliditatea financiară a acestora sau indică încălcarea dispozițiilor interne de transpunere a prezentei directive și a Regulamentului (UE) nr. 575/2013;</w:t>
            </w:r>
          </w:p>
        </w:tc>
        <w:tc>
          <w:tcPr>
            <w:tcW w:w="1928" w:type="pct"/>
            <w:gridSpan w:val="3"/>
            <w:tcBorders>
              <w:top w:val="single" w:sz="4" w:space="0" w:color="auto"/>
              <w:left w:val="single" w:sz="4" w:space="0" w:color="auto"/>
              <w:bottom w:val="single" w:sz="4" w:space="0" w:color="auto"/>
              <w:right w:val="single" w:sz="4" w:space="0" w:color="auto"/>
            </w:tcBorders>
          </w:tcPr>
          <w:p w14:paraId="6BA5EF76" w14:textId="1B9511EE" w:rsidR="00984B34" w:rsidRPr="009E686F" w:rsidRDefault="00984B34" w:rsidP="00984B34">
            <w:pPr>
              <w:spacing w:after="0"/>
              <w:jc w:val="both"/>
              <w:rPr>
                <w:rFonts w:ascii="Times New Roman" w:hAnsi="Times New Roman" w:cs="Times New Roman"/>
                <w:i/>
                <w:lang w:val="ro-RO"/>
              </w:rPr>
            </w:pPr>
            <w:r w:rsidRPr="009E686F">
              <w:rPr>
                <w:rFonts w:ascii="Times New Roman" w:hAnsi="Times New Roman" w:cs="Times New Roman"/>
                <w:i/>
                <w:lang w:val="ro-RO"/>
              </w:rPr>
              <w:t xml:space="preserve">a) </w:t>
            </w:r>
            <w:r w:rsidRPr="009E686F">
              <w:rPr>
                <w:rFonts w:ascii="Times New Roman" w:hAnsi="Times New Roman" w:cs="Times New Roman"/>
                <w:lang w:val="ro-RO"/>
              </w:rPr>
              <w:t xml:space="preserve">instituțiile de credit în cazul cărora rezultatele simulărilor de criză </w:t>
            </w:r>
            <w:r w:rsidRPr="009E686F">
              <w:rPr>
                <w:rFonts w:ascii="Times New Roman" w:hAnsi="Times New Roman" w:cs="Times New Roman"/>
                <w:i/>
                <w:lang w:val="ro-RO"/>
              </w:rPr>
              <w:t>prevăzute la art. 101 alin. (1) lit. a) și g) și art. 100 alin. (5)</w:t>
            </w:r>
            <w:r w:rsidRPr="009E686F">
              <w:rPr>
                <w:rFonts w:ascii="Times New Roman" w:hAnsi="Times New Roman" w:cs="Times New Roman"/>
                <w:lang w:val="ro-RO"/>
              </w:rPr>
              <w:t xml:space="preserve"> sau rezultatul procesului de supraveghere şi evaluare </w:t>
            </w:r>
            <w:r w:rsidRPr="009E686F">
              <w:rPr>
                <w:rFonts w:ascii="Times New Roman" w:hAnsi="Times New Roman" w:cs="Times New Roman"/>
                <w:i/>
                <w:lang w:val="ro-RO"/>
              </w:rPr>
              <w:t>prevăzut la art. 100</w:t>
            </w:r>
            <w:r w:rsidRPr="009E686F">
              <w:rPr>
                <w:rFonts w:ascii="Times New Roman" w:hAnsi="Times New Roman" w:cs="Times New Roman"/>
                <w:lang w:val="ro-RO"/>
              </w:rPr>
              <w:t xml:space="preserve"> indică riscuri semnificative pentru soliditatea financiară a acestora sau indică încălcarea dispoziţiilor prezentei legi și/sau actelor normative emise în aplicarea acesteia;</w:t>
            </w:r>
            <w:r w:rsidRPr="009E686F">
              <w:rPr>
                <w:rFonts w:ascii="Times New Roman" w:hAnsi="Times New Roman" w:cs="Times New Roman"/>
                <w:i/>
                <w:iCs/>
                <w:lang w:val="ro-RO"/>
              </w:rPr>
              <w:t xml:space="preserve"> </w:t>
            </w:r>
          </w:p>
        </w:tc>
        <w:tc>
          <w:tcPr>
            <w:tcW w:w="470" w:type="pct"/>
            <w:tcBorders>
              <w:top w:val="single" w:sz="4" w:space="0" w:color="auto"/>
              <w:left w:val="single" w:sz="4" w:space="0" w:color="auto"/>
              <w:bottom w:val="single" w:sz="4" w:space="0" w:color="auto"/>
              <w:right w:val="single" w:sz="4" w:space="0" w:color="auto"/>
            </w:tcBorders>
          </w:tcPr>
          <w:p w14:paraId="57E07974" w14:textId="064F496B"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68155F94" w14:textId="77777777" w:rsidR="00984B34" w:rsidRPr="009E686F" w:rsidRDefault="00984B34" w:rsidP="00984B34">
            <w:pPr>
              <w:jc w:val="both"/>
              <w:rPr>
                <w:rFonts w:ascii="Times New Roman" w:hAnsi="Times New Roman" w:cs="Times New Roman"/>
                <w:lang w:val="ro-RO"/>
              </w:rPr>
            </w:pPr>
          </w:p>
        </w:tc>
      </w:tr>
      <w:tr w:rsidR="00984B34" w:rsidRPr="009E686F" w14:paraId="7AF8CF6D" w14:textId="74943211" w:rsidTr="00774F3E">
        <w:tc>
          <w:tcPr>
            <w:tcW w:w="1796" w:type="pct"/>
            <w:gridSpan w:val="2"/>
            <w:tcBorders>
              <w:top w:val="single" w:sz="4" w:space="0" w:color="auto"/>
              <w:left w:val="single" w:sz="4" w:space="0" w:color="auto"/>
              <w:bottom w:val="single" w:sz="4" w:space="0" w:color="auto"/>
              <w:right w:val="single" w:sz="4" w:space="0" w:color="auto"/>
            </w:tcBorders>
          </w:tcPr>
          <w:p w14:paraId="7AE37EAA" w14:textId="6F5A629B"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(c) Orice altă instituție pentru care autoritățile competente consideră acest lucru necesar.</w:t>
            </w:r>
          </w:p>
        </w:tc>
        <w:tc>
          <w:tcPr>
            <w:tcW w:w="1928" w:type="pct"/>
            <w:gridSpan w:val="3"/>
            <w:tcBorders>
              <w:top w:val="single" w:sz="4" w:space="0" w:color="auto"/>
              <w:left w:val="single" w:sz="4" w:space="0" w:color="auto"/>
              <w:bottom w:val="single" w:sz="4" w:space="0" w:color="auto"/>
              <w:right w:val="single" w:sz="4" w:space="0" w:color="auto"/>
            </w:tcBorders>
          </w:tcPr>
          <w:p w14:paraId="0FBEE770" w14:textId="3922CE27" w:rsidR="00984B34" w:rsidRPr="009E686F" w:rsidRDefault="00984B34" w:rsidP="00984B34">
            <w:pPr>
              <w:spacing w:after="0"/>
              <w:jc w:val="both"/>
              <w:rPr>
                <w:rFonts w:ascii="Times New Roman" w:hAnsi="Times New Roman" w:cs="Times New Roman"/>
                <w:lang w:val="ro-RO"/>
              </w:rPr>
            </w:pPr>
            <w:r w:rsidRPr="009E686F">
              <w:rPr>
                <w:rFonts w:ascii="Times New Roman" w:eastAsia="Aptos" w:hAnsi="Times New Roman" w:cs="Times New Roman"/>
                <w:kern w:val="2"/>
                <w:lang w:val="ro-MD"/>
              </w:rPr>
              <w:t xml:space="preserve">c) orice altă </w:t>
            </w:r>
            <w:r w:rsidRPr="009E686F">
              <w:rPr>
                <w:rFonts w:ascii="Times New Roman" w:eastAsia="Aptos" w:hAnsi="Times New Roman" w:cs="Times New Roman"/>
                <w:i/>
                <w:iCs/>
                <w:kern w:val="2"/>
                <w:lang w:val="ro-MD"/>
              </w:rPr>
              <w:t>instituție de credit</w:t>
            </w:r>
            <w:r w:rsidRPr="009E686F">
              <w:rPr>
                <w:rFonts w:ascii="Times New Roman" w:eastAsia="Aptos" w:hAnsi="Times New Roman" w:cs="Times New Roman"/>
                <w:kern w:val="2"/>
                <w:lang w:val="ro-MD"/>
              </w:rPr>
              <w:t xml:space="preserve"> pentru care Banca Naţională a Moldovei consideră necesar acest lucru.</w:t>
            </w:r>
          </w:p>
        </w:tc>
        <w:tc>
          <w:tcPr>
            <w:tcW w:w="470" w:type="pct"/>
            <w:tcBorders>
              <w:top w:val="single" w:sz="4" w:space="0" w:color="auto"/>
              <w:left w:val="single" w:sz="4" w:space="0" w:color="auto"/>
              <w:bottom w:val="single" w:sz="4" w:space="0" w:color="auto"/>
              <w:right w:val="single" w:sz="4" w:space="0" w:color="auto"/>
            </w:tcBorders>
          </w:tcPr>
          <w:p w14:paraId="29C162D2" w14:textId="2A7B5D52"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6B339B4C" w14:textId="77777777" w:rsidR="00984B34" w:rsidRPr="009E686F" w:rsidRDefault="00984B34" w:rsidP="00984B34">
            <w:pPr>
              <w:jc w:val="both"/>
              <w:rPr>
                <w:rFonts w:ascii="Times New Roman" w:hAnsi="Times New Roman" w:cs="Times New Roman"/>
                <w:lang w:val="ro-RO"/>
              </w:rPr>
            </w:pPr>
          </w:p>
        </w:tc>
      </w:tr>
      <w:tr w:rsidR="00984B34" w:rsidRPr="009E686F" w14:paraId="59AE58D0" w14:textId="7E92071E" w:rsidTr="00774F3E">
        <w:tc>
          <w:tcPr>
            <w:tcW w:w="1796" w:type="pct"/>
            <w:gridSpan w:val="2"/>
            <w:tcBorders>
              <w:top w:val="single" w:sz="4" w:space="0" w:color="auto"/>
              <w:left w:val="single" w:sz="4" w:space="0" w:color="auto"/>
              <w:bottom w:val="single" w:sz="4" w:space="0" w:color="auto"/>
              <w:right w:val="single" w:sz="4" w:space="0" w:color="auto"/>
            </w:tcBorders>
          </w:tcPr>
          <w:p w14:paraId="7FE0E3BB" w14:textId="54F994FB"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(3) Atunci când se consideră necesar, în conformitate cu articolul 97, se iau, în special, următoarele măsuri:</w:t>
            </w:r>
          </w:p>
        </w:tc>
        <w:tc>
          <w:tcPr>
            <w:tcW w:w="1928" w:type="pct"/>
            <w:gridSpan w:val="3"/>
            <w:tcBorders>
              <w:top w:val="single" w:sz="4" w:space="0" w:color="auto"/>
              <w:left w:val="single" w:sz="4" w:space="0" w:color="auto"/>
              <w:bottom w:val="single" w:sz="4" w:space="0" w:color="auto"/>
              <w:right w:val="single" w:sz="4" w:space="0" w:color="auto"/>
            </w:tcBorders>
          </w:tcPr>
          <w:p w14:paraId="14F8C269" w14:textId="4E417670" w:rsidR="00984B34" w:rsidRPr="009E686F" w:rsidRDefault="00984B34" w:rsidP="00984B34">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(4) Atunci cînd se consideră necesar, în conformitate cu art.100, Banca Naţională a Moldovei ia, în special, următoarele măsuri:</w:t>
            </w:r>
          </w:p>
        </w:tc>
        <w:tc>
          <w:tcPr>
            <w:tcW w:w="470" w:type="pct"/>
            <w:tcBorders>
              <w:top w:val="single" w:sz="4" w:space="0" w:color="auto"/>
              <w:left w:val="single" w:sz="4" w:space="0" w:color="auto"/>
              <w:bottom w:val="single" w:sz="4" w:space="0" w:color="auto"/>
              <w:right w:val="single" w:sz="4" w:space="0" w:color="auto"/>
            </w:tcBorders>
          </w:tcPr>
          <w:p w14:paraId="7AF30FB4" w14:textId="59B7CD4F"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7B4ECBA6" w14:textId="77777777" w:rsidR="00984B34" w:rsidRPr="009E686F" w:rsidRDefault="00984B34" w:rsidP="00984B34">
            <w:pPr>
              <w:jc w:val="both"/>
              <w:rPr>
                <w:rFonts w:ascii="Times New Roman" w:hAnsi="Times New Roman" w:cs="Times New Roman"/>
                <w:lang w:val="ro-RO"/>
              </w:rPr>
            </w:pPr>
          </w:p>
        </w:tc>
      </w:tr>
      <w:tr w:rsidR="00984B34" w:rsidRPr="009E686F" w14:paraId="3FAC6A55" w14:textId="6EEDBDA9" w:rsidTr="00774F3E">
        <w:tc>
          <w:tcPr>
            <w:tcW w:w="1796" w:type="pct"/>
            <w:gridSpan w:val="2"/>
            <w:tcBorders>
              <w:top w:val="single" w:sz="4" w:space="0" w:color="auto"/>
              <w:left w:val="single" w:sz="4" w:space="0" w:color="auto"/>
              <w:bottom w:val="single" w:sz="4" w:space="0" w:color="auto"/>
              <w:right w:val="single" w:sz="4" w:space="0" w:color="auto"/>
            </w:tcBorders>
          </w:tcPr>
          <w:p w14:paraId="4AC1B4F4" w14:textId="7E7E321A"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(a) o creștere a numărului sau a frecvenței inspecțiilor la fața locului vizând instituția;</w:t>
            </w:r>
          </w:p>
        </w:tc>
        <w:tc>
          <w:tcPr>
            <w:tcW w:w="1928" w:type="pct"/>
            <w:gridSpan w:val="3"/>
            <w:tcBorders>
              <w:top w:val="single" w:sz="4" w:space="0" w:color="auto"/>
              <w:left w:val="single" w:sz="4" w:space="0" w:color="auto"/>
              <w:bottom w:val="single" w:sz="4" w:space="0" w:color="auto"/>
              <w:right w:val="single" w:sz="4" w:space="0" w:color="auto"/>
            </w:tcBorders>
          </w:tcPr>
          <w:p w14:paraId="4011F5CB" w14:textId="3CE1B3D0" w:rsidR="00984B34" w:rsidRPr="009E686F" w:rsidRDefault="00984B34" w:rsidP="00984B34">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 xml:space="preserve">a) creşterea numărului sau a frecvenţei inspecţiilor pe teren care vizează </w:t>
            </w:r>
            <w:r w:rsidRPr="009E686F">
              <w:rPr>
                <w:rFonts w:ascii="Times New Roman" w:eastAsia="Aptos" w:hAnsi="Times New Roman" w:cs="Times New Roman"/>
                <w:i/>
                <w:iCs/>
                <w:kern w:val="2"/>
                <w:lang w:val="ro-MD"/>
              </w:rPr>
              <w:t>instituția de credit</w:t>
            </w:r>
            <w:r w:rsidRPr="009E686F">
              <w:rPr>
                <w:rFonts w:ascii="Times New Roman" w:eastAsia="Aptos" w:hAnsi="Times New Roman" w:cs="Times New Roman"/>
                <w:kern w:val="2"/>
                <w:lang w:val="ro-MD"/>
              </w:rPr>
              <w:t>;</w:t>
            </w:r>
          </w:p>
        </w:tc>
        <w:tc>
          <w:tcPr>
            <w:tcW w:w="470" w:type="pct"/>
            <w:tcBorders>
              <w:top w:val="single" w:sz="4" w:space="0" w:color="auto"/>
              <w:left w:val="single" w:sz="4" w:space="0" w:color="auto"/>
              <w:bottom w:val="single" w:sz="4" w:space="0" w:color="auto"/>
              <w:right w:val="single" w:sz="4" w:space="0" w:color="auto"/>
            </w:tcBorders>
          </w:tcPr>
          <w:p w14:paraId="0C0F3D39" w14:textId="1E22200D"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0846B6E8" w14:textId="77777777" w:rsidR="00984B34" w:rsidRPr="009E686F" w:rsidRDefault="00984B34" w:rsidP="00984B34">
            <w:pPr>
              <w:jc w:val="both"/>
              <w:rPr>
                <w:rFonts w:ascii="Times New Roman" w:hAnsi="Times New Roman" w:cs="Times New Roman"/>
                <w:lang w:val="ro-RO"/>
              </w:rPr>
            </w:pPr>
          </w:p>
        </w:tc>
      </w:tr>
      <w:tr w:rsidR="00984B34" w:rsidRPr="009E686F" w14:paraId="35FE8408" w14:textId="457DCED2" w:rsidTr="00774F3E">
        <w:tc>
          <w:tcPr>
            <w:tcW w:w="1796" w:type="pct"/>
            <w:gridSpan w:val="2"/>
            <w:tcBorders>
              <w:top w:val="single" w:sz="4" w:space="0" w:color="auto"/>
              <w:left w:val="single" w:sz="4" w:space="0" w:color="auto"/>
              <w:bottom w:val="single" w:sz="4" w:space="0" w:color="auto"/>
              <w:right w:val="single" w:sz="4" w:space="0" w:color="auto"/>
            </w:tcBorders>
          </w:tcPr>
          <w:p w14:paraId="1AFDA330" w14:textId="676600B9"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(b) o prezență permanentă a autorității competente în cadrul instituției;</w:t>
            </w:r>
          </w:p>
        </w:tc>
        <w:tc>
          <w:tcPr>
            <w:tcW w:w="1928" w:type="pct"/>
            <w:gridSpan w:val="3"/>
            <w:tcBorders>
              <w:top w:val="single" w:sz="4" w:space="0" w:color="auto"/>
              <w:left w:val="single" w:sz="4" w:space="0" w:color="auto"/>
              <w:bottom w:val="single" w:sz="4" w:space="0" w:color="auto"/>
              <w:right w:val="single" w:sz="4" w:space="0" w:color="auto"/>
            </w:tcBorders>
          </w:tcPr>
          <w:p w14:paraId="5D76F996" w14:textId="31981E62" w:rsidR="00984B34" w:rsidRPr="009E686F" w:rsidRDefault="00984B34" w:rsidP="00984B34">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 xml:space="preserve">b) o prezenţă permanentă a reprezentanţilor Băncii Naţionale a Moldovei în cadrul </w:t>
            </w:r>
            <w:r w:rsidRPr="009E686F">
              <w:rPr>
                <w:rFonts w:ascii="Times New Roman" w:eastAsia="Aptos" w:hAnsi="Times New Roman" w:cs="Times New Roman"/>
                <w:i/>
                <w:iCs/>
                <w:kern w:val="2"/>
                <w:lang w:val="ro-MD"/>
              </w:rPr>
              <w:t>instituției de credit</w:t>
            </w:r>
            <w:r w:rsidRPr="009E686F">
              <w:rPr>
                <w:rFonts w:ascii="Times New Roman" w:eastAsia="Aptos" w:hAnsi="Times New Roman" w:cs="Times New Roman"/>
                <w:kern w:val="2"/>
                <w:lang w:val="ro-MD"/>
              </w:rPr>
              <w:t>;</w:t>
            </w:r>
          </w:p>
        </w:tc>
        <w:tc>
          <w:tcPr>
            <w:tcW w:w="470" w:type="pct"/>
            <w:tcBorders>
              <w:top w:val="single" w:sz="4" w:space="0" w:color="auto"/>
              <w:left w:val="single" w:sz="4" w:space="0" w:color="auto"/>
              <w:bottom w:val="single" w:sz="4" w:space="0" w:color="auto"/>
              <w:right w:val="single" w:sz="4" w:space="0" w:color="auto"/>
            </w:tcBorders>
          </w:tcPr>
          <w:p w14:paraId="3851D253" w14:textId="1E3460E0"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0537222E" w14:textId="77777777" w:rsidR="00984B34" w:rsidRPr="009E686F" w:rsidRDefault="00984B34" w:rsidP="00984B34">
            <w:pPr>
              <w:jc w:val="both"/>
              <w:rPr>
                <w:rFonts w:ascii="Times New Roman" w:hAnsi="Times New Roman" w:cs="Times New Roman"/>
                <w:lang w:val="ro-RO"/>
              </w:rPr>
            </w:pPr>
          </w:p>
        </w:tc>
      </w:tr>
      <w:tr w:rsidR="00984B34" w:rsidRPr="009E686F" w14:paraId="663EAD34" w14:textId="2E7F8AD4" w:rsidTr="00774F3E">
        <w:tc>
          <w:tcPr>
            <w:tcW w:w="1796" w:type="pct"/>
            <w:gridSpan w:val="2"/>
            <w:tcBorders>
              <w:top w:val="single" w:sz="4" w:space="0" w:color="auto"/>
              <w:left w:val="single" w:sz="4" w:space="0" w:color="auto"/>
              <w:bottom w:val="single" w:sz="4" w:space="0" w:color="auto"/>
              <w:right w:val="single" w:sz="4" w:space="0" w:color="auto"/>
            </w:tcBorders>
          </w:tcPr>
          <w:p w14:paraId="4DE52A97" w14:textId="492B5DA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(c) raportări suplimentare sau mai frecvente din partea instituției;</w:t>
            </w:r>
          </w:p>
        </w:tc>
        <w:tc>
          <w:tcPr>
            <w:tcW w:w="1928" w:type="pct"/>
            <w:gridSpan w:val="3"/>
            <w:tcBorders>
              <w:top w:val="single" w:sz="4" w:space="0" w:color="auto"/>
              <w:left w:val="single" w:sz="4" w:space="0" w:color="auto"/>
              <w:bottom w:val="single" w:sz="4" w:space="0" w:color="auto"/>
              <w:right w:val="single" w:sz="4" w:space="0" w:color="auto"/>
            </w:tcBorders>
          </w:tcPr>
          <w:p w14:paraId="286FBB67" w14:textId="0CE422C9" w:rsidR="00984B34" w:rsidRPr="009E686F" w:rsidRDefault="00984B34" w:rsidP="00984B34">
            <w:pPr>
              <w:spacing w:after="0" w:line="278" w:lineRule="auto"/>
              <w:jc w:val="both"/>
              <w:rPr>
                <w:rFonts w:ascii="Times New Roman" w:eastAsia="Aptos" w:hAnsi="Times New Roman" w:cs="Times New Roman"/>
                <w:kern w:val="2"/>
                <w:lang w:val="ro-MD"/>
              </w:rPr>
            </w:pPr>
            <w:bookmarkStart w:id="34" w:name="_DV_M1301"/>
            <w:bookmarkStart w:id="35" w:name="_DV_M1302"/>
            <w:bookmarkEnd w:id="34"/>
            <w:bookmarkEnd w:id="35"/>
            <w:r w:rsidRPr="009E686F">
              <w:rPr>
                <w:rFonts w:ascii="Times New Roman" w:eastAsia="Aptos" w:hAnsi="Times New Roman" w:cs="Times New Roman"/>
                <w:kern w:val="2"/>
                <w:lang w:val="ro-MD"/>
              </w:rPr>
              <w:t xml:space="preserve">c) raportări suplimentare sau mai frecvente din partea </w:t>
            </w:r>
            <w:r w:rsidRPr="009E686F">
              <w:rPr>
                <w:rFonts w:ascii="Times New Roman" w:eastAsia="Aptos" w:hAnsi="Times New Roman" w:cs="Times New Roman"/>
                <w:i/>
                <w:iCs/>
                <w:kern w:val="2"/>
                <w:lang w:val="ro-MD"/>
              </w:rPr>
              <w:t>instituției de credit</w:t>
            </w:r>
            <w:r w:rsidRPr="009E686F">
              <w:rPr>
                <w:rFonts w:ascii="Times New Roman" w:eastAsia="Aptos" w:hAnsi="Times New Roman" w:cs="Times New Roman"/>
                <w:kern w:val="2"/>
                <w:lang w:val="ro-MD"/>
              </w:rPr>
              <w:t>;</w:t>
            </w:r>
          </w:p>
        </w:tc>
        <w:tc>
          <w:tcPr>
            <w:tcW w:w="470" w:type="pct"/>
            <w:tcBorders>
              <w:top w:val="single" w:sz="4" w:space="0" w:color="auto"/>
              <w:left w:val="single" w:sz="4" w:space="0" w:color="auto"/>
              <w:bottom w:val="single" w:sz="4" w:space="0" w:color="auto"/>
              <w:right w:val="single" w:sz="4" w:space="0" w:color="auto"/>
            </w:tcBorders>
          </w:tcPr>
          <w:p w14:paraId="617525F9" w14:textId="5A753628"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015FED0F" w14:textId="77777777" w:rsidR="00984B34" w:rsidRPr="009E686F" w:rsidRDefault="00984B34" w:rsidP="00984B34">
            <w:pPr>
              <w:jc w:val="both"/>
              <w:rPr>
                <w:rFonts w:ascii="Times New Roman" w:hAnsi="Times New Roman" w:cs="Times New Roman"/>
                <w:lang w:val="ro-RO"/>
              </w:rPr>
            </w:pPr>
          </w:p>
        </w:tc>
      </w:tr>
      <w:tr w:rsidR="00984B34" w:rsidRPr="009E686F" w14:paraId="74A1CF42" w14:textId="3A274B61" w:rsidTr="00774F3E">
        <w:tc>
          <w:tcPr>
            <w:tcW w:w="1796" w:type="pct"/>
            <w:gridSpan w:val="2"/>
            <w:tcBorders>
              <w:top w:val="single" w:sz="4" w:space="0" w:color="auto"/>
              <w:left w:val="single" w:sz="4" w:space="0" w:color="auto"/>
              <w:bottom w:val="single" w:sz="4" w:space="0" w:color="auto"/>
              <w:right w:val="single" w:sz="4" w:space="0" w:color="auto"/>
            </w:tcBorders>
          </w:tcPr>
          <w:p w14:paraId="2314736B" w14:textId="056521A3"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(d) analize suplimentare sau mai frecvente ale planurilor operaționale, strategice sau de afaceri ale instituției;</w:t>
            </w:r>
          </w:p>
        </w:tc>
        <w:tc>
          <w:tcPr>
            <w:tcW w:w="1928" w:type="pct"/>
            <w:gridSpan w:val="3"/>
            <w:tcBorders>
              <w:top w:val="single" w:sz="4" w:space="0" w:color="auto"/>
              <w:left w:val="single" w:sz="4" w:space="0" w:color="auto"/>
              <w:bottom w:val="single" w:sz="4" w:space="0" w:color="auto"/>
              <w:right w:val="single" w:sz="4" w:space="0" w:color="auto"/>
            </w:tcBorders>
          </w:tcPr>
          <w:p w14:paraId="707E0100" w14:textId="218680C6" w:rsidR="00984B34" w:rsidRPr="009E686F" w:rsidRDefault="00984B34" w:rsidP="00984B34">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 xml:space="preserve">d) analize suplimentare sau mai frecvente ale planurilor operaţionale, strategice sau de afaceri ale </w:t>
            </w:r>
            <w:r w:rsidRPr="009E686F">
              <w:rPr>
                <w:rFonts w:ascii="Times New Roman" w:eastAsia="Aptos" w:hAnsi="Times New Roman" w:cs="Times New Roman"/>
                <w:i/>
                <w:iCs/>
                <w:kern w:val="2"/>
                <w:lang w:val="ro-MD"/>
              </w:rPr>
              <w:t>instituției de credit</w:t>
            </w:r>
            <w:r w:rsidRPr="009E686F">
              <w:rPr>
                <w:rFonts w:ascii="Times New Roman" w:eastAsia="Aptos" w:hAnsi="Times New Roman" w:cs="Times New Roman"/>
                <w:kern w:val="2"/>
                <w:lang w:val="ro-MD"/>
              </w:rPr>
              <w:t>;</w:t>
            </w:r>
          </w:p>
        </w:tc>
        <w:tc>
          <w:tcPr>
            <w:tcW w:w="470" w:type="pct"/>
            <w:tcBorders>
              <w:top w:val="single" w:sz="4" w:space="0" w:color="auto"/>
              <w:left w:val="single" w:sz="4" w:space="0" w:color="auto"/>
              <w:bottom w:val="single" w:sz="4" w:space="0" w:color="auto"/>
              <w:right w:val="single" w:sz="4" w:space="0" w:color="auto"/>
            </w:tcBorders>
          </w:tcPr>
          <w:p w14:paraId="2CF95796" w14:textId="5DAB92FE"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5E141474" w14:textId="77777777" w:rsidR="00984B34" w:rsidRPr="009E686F" w:rsidRDefault="00984B34" w:rsidP="00984B34">
            <w:pPr>
              <w:jc w:val="both"/>
              <w:rPr>
                <w:rFonts w:ascii="Times New Roman" w:hAnsi="Times New Roman" w:cs="Times New Roman"/>
                <w:lang w:val="ro-RO"/>
              </w:rPr>
            </w:pPr>
          </w:p>
        </w:tc>
      </w:tr>
      <w:tr w:rsidR="00984B34" w:rsidRPr="009E686F" w14:paraId="44CC4C79" w14:textId="23893AFA" w:rsidTr="00774F3E">
        <w:tc>
          <w:tcPr>
            <w:tcW w:w="1796" w:type="pct"/>
            <w:gridSpan w:val="2"/>
            <w:tcBorders>
              <w:top w:val="single" w:sz="4" w:space="0" w:color="auto"/>
              <w:left w:val="single" w:sz="4" w:space="0" w:color="auto"/>
              <w:bottom w:val="single" w:sz="4" w:space="0" w:color="auto"/>
              <w:right w:val="single" w:sz="4" w:space="0" w:color="auto"/>
            </w:tcBorders>
          </w:tcPr>
          <w:p w14:paraId="525D2E8F" w14:textId="03D89D30"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(e) controale tematice de monitorizare a riscurilor specifice cu probabilitate mai mare de materializare.</w:t>
            </w:r>
          </w:p>
        </w:tc>
        <w:tc>
          <w:tcPr>
            <w:tcW w:w="1928" w:type="pct"/>
            <w:gridSpan w:val="3"/>
            <w:tcBorders>
              <w:top w:val="single" w:sz="4" w:space="0" w:color="auto"/>
              <w:left w:val="single" w:sz="4" w:space="0" w:color="auto"/>
              <w:bottom w:val="single" w:sz="4" w:space="0" w:color="auto"/>
              <w:right w:val="single" w:sz="4" w:space="0" w:color="auto"/>
            </w:tcBorders>
          </w:tcPr>
          <w:p w14:paraId="6DB62108" w14:textId="0F2D70EA"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e) controale tematice de monitorizare a riscurilor specifice cu probabilitate mai mare de materializare.</w:t>
            </w:r>
          </w:p>
        </w:tc>
        <w:tc>
          <w:tcPr>
            <w:tcW w:w="470" w:type="pct"/>
            <w:tcBorders>
              <w:top w:val="single" w:sz="4" w:space="0" w:color="auto"/>
              <w:left w:val="single" w:sz="4" w:space="0" w:color="auto"/>
              <w:bottom w:val="single" w:sz="4" w:space="0" w:color="auto"/>
              <w:right w:val="single" w:sz="4" w:space="0" w:color="auto"/>
            </w:tcBorders>
          </w:tcPr>
          <w:p w14:paraId="7F1E3460" w14:textId="1A32FAC9"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11F2A9C4" w14:textId="77777777" w:rsidR="00984B34" w:rsidRPr="009E686F" w:rsidRDefault="00984B34" w:rsidP="00984B34">
            <w:pPr>
              <w:jc w:val="both"/>
              <w:rPr>
                <w:rFonts w:ascii="Times New Roman" w:hAnsi="Times New Roman" w:cs="Times New Roman"/>
                <w:lang w:val="ro-RO"/>
              </w:rPr>
            </w:pPr>
          </w:p>
        </w:tc>
      </w:tr>
      <w:tr w:rsidR="00984B34" w:rsidRPr="009E686F" w14:paraId="1D8B6B64"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63E3FA7B" w14:textId="77777777" w:rsidR="00984B34" w:rsidRPr="009E686F" w:rsidRDefault="00984B34" w:rsidP="00984B34">
            <w:pPr>
              <w:spacing w:after="0"/>
              <w:jc w:val="both"/>
              <w:rPr>
                <w:rFonts w:ascii="Times New Roman" w:hAnsi="Times New Roman" w:cs="Times New Roman"/>
                <w:lang w:val="ro-RO"/>
              </w:rPr>
            </w:pPr>
          </w:p>
        </w:tc>
        <w:tc>
          <w:tcPr>
            <w:tcW w:w="1928" w:type="pct"/>
            <w:gridSpan w:val="3"/>
            <w:tcBorders>
              <w:top w:val="single" w:sz="4" w:space="0" w:color="auto"/>
              <w:left w:val="single" w:sz="4" w:space="0" w:color="auto"/>
              <w:bottom w:val="single" w:sz="4" w:space="0" w:color="auto"/>
              <w:right w:val="single" w:sz="4" w:space="0" w:color="auto"/>
            </w:tcBorders>
          </w:tcPr>
          <w:p w14:paraId="321C797C"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(5) Verificările şi evaluările în cadrul controalelor se efectuează de către personalul Băncii Naţionale a Moldovei, împuternicit în acest sens, și/sau de către entităţile de audit, și/sau de experţi numiţi de Banca Naţională a Moldovei.</w:t>
            </w:r>
          </w:p>
          <w:p w14:paraId="3C0D2490" w14:textId="65349BFA"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(6) </w:t>
            </w:r>
            <w:r w:rsidRPr="009E686F">
              <w:rPr>
                <w:rFonts w:ascii="Times New Roman" w:hAnsi="Times New Roman" w:cs="Times New Roman"/>
                <w:i/>
                <w:iCs/>
                <w:lang w:val="ro-RO"/>
              </w:rPr>
              <w:t>Instituțiile de credit</w:t>
            </w:r>
            <w:r w:rsidRPr="009E686F">
              <w:rPr>
                <w:rFonts w:ascii="Times New Roman" w:hAnsi="Times New Roman" w:cs="Times New Roman"/>
                <w:lang w:val="ro-RO"/>
              </w:rPr>
              <w:t xml:space="preserve"> sînt obligate să permită personalului Băncii Naţionale a Moldovei şi altor persoane împuternicite de aceasta să efectueze verificarea şi evaluarea, să le examineze </w:t>
            </w:r>
            <w:r w:rsidRPr="009E686F">
              <w:rPr>
                <w:rFonts w:ascii="Times New Roman" w:hAnsi="Times New Roman" w:cs="Times New Roman"/>
                <w:lang w:val="ro-RO"/>
              </w:rPr>
              <w:lastRenderedPageBreak/>
              <w:t xml:space="preserve">evidenţele, conturile şi operaţiunile şi să furnizeze toate documentele şi informaţiile legate de desfăşurarea activităţii </w:t>
            </w:r>
            <w:r w:rsidRPr="009E686F">
              <w:rPr>
                <w:rFonts w:ascii="Times New Roman" w:hAnsi="Times New Roman" w:cs="Times New Roman"/>
                <w:i/>
                <w:iCs/>
                <w:lang w:val="ro-RO"/>
              </w:rPr>
              <w:t>instituției de credit</w:t>
            </w:r>
            <w:r w:rsidRPr="009E686F">
              <w:rPr>
                <w:rFonts w:ascii="Times New Roman" w:hAnsi="Times New Roman" w:cs="Times New Roman"/>
                <w:lang w:val="ro-RO"/>
              </w:rPr>
              <w:t xml:space="preserve"> după cum sînt solicitate de către acestea.</w:t>
            </w:r>
          </w:p>
        </w:tc>
        <w:tc>
          <w:tcPr>
            <w:tcW w:w="470" w:type="pct"/>
            <w:tcBorders>
              <w:top w:val="single" w:sz="4" w:space="0" w:color="auto"/>
              <w:left w:val="single" w:sz="4" w:space="0" w:color="auto"/>
              <w:bottom w:val="single" w:sz="4" w:space="0" w:color="auto"/>
              <w:right w:val="single" w:sz="4" w:space="0" w:color="auto"/>
            </w:tcBorders>
          </w:tcPr>
          <w:p w14:paraId="5F408705" w14:textId="23D1307D"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4988BB6F" w14:textId="16947DE4"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cu specific național de implementare din Legea nr. 202/2017.</w:t>
            </w:r>
          </w:p>
        </w:tc>
      </w:tr>
      <w:tr w:rsidR="00984B34" w:rsidRPr="009E686F" w14:paraId="27BF27A2" w14:textId="6CE42CD8" w:rsidTr="00774F3E">
        <w:tc>
          <w:tcPr>
            <w:tcW w:w="1796" w:type="pct"/>
            <w:gridSpan w:val="2"/>
            <w:tcBorders>
              <w:top w:val="single" w:sz="4" w:space="0" w:color="auto"/>
              <w:left w:val="single" w:sz="4" w:space="0" w:color="auto"/>
              <w:bottom w:val="single" w:sz="4" w:space="0" w:color="auto"/>
              <w:right w:val="single" w:sz="4" w:space="0" w:color="auto"/>
            </w:tcBorders>
          </w:tcPr>
          <w:p w14:paraId="1A6EC794" w14:textId="534802B2"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(4) Adoptarea unui program de supraveghere prudențială de către autoritatea competentă a statului membru de origine nu împiedică autoritățile competente ale statelor membre gazdă să efectueze, de la caz la caz, verificări la fața locului și inspecții ale activităților desfășurate de sucursalele instituțiilor pe teritoriul acestora în conformitate cu articolul 52 alineatul (3).</w:t>
            </w:r>
          </w:p>
        </w:tc>
        <w:tc>
          <w:tcPr>
            <w:tcW w:w="1928" w:type="pct"/>
            <w:gridSpan w:val="3"/>
            <w:tcBorders>
              <w:top w:val="single" w:sz="4" w:space="0" w:color="auto"/>
              <w:left w:val="single" w:sz="4" w:space="0" w:color="auto"/>
              <w:bottom w:val="single" w:sz="4" w:space="0" w:color="auto"/>
              <w:right w:val="single" w:sz="4" w:space="0" w:color="auto"/>
            </w:tcBorders>
          </w:tcPr>
          <w:p w14:paraId="28C2048A" w14:textId="39A8A5EF" w:rsidR="00984B34" w:rsidRPr="009E686F" w:rsidRDefault="00984B34" w:rsidP="00984B34">
            <w:pPr>
              <w:spacing w:after="0"/>
              <w:jc w:val="both"/>
              <w:rPr>
                <w:rFonts w:ascii="Times New Roman" w:hAnsi="Times New Roman" w:cs="Times New Roman"/>
                <w:b/>
                <w:i/>
                <w:iCs/>
                <w:lang w:val="ro-RO"/>
              </w:rPr>
            </w:pPr>
            <w:r w:rsidRPr="009E686F">
              <w:rPr>
                <w:rFonts w:ascii="Times New Roman" w:eastAsia="Aptos" w:hAnsi="Times New Roman" w:cs="Times New Roman"/>
                <w:i/>
                <w:iCs/>
                <w:kern w:val="2"/>
                <w:lang w:val="ro-MD"/>
              </w:rPr>
              <w:t>(4</w:t>
            </w:r>
            <w:r w:rsidRPr="009E686F">
              <w:rPr>
                <w:rFonts w:ascii="Times New Roman" w:eastAsia="Aptos" w:hAnsi="Times New Roman" w:cs="Times New Roman"/>
                <w:i/>
                <w:iCs/>
                <w:kern w:val="2"/>
                <w:vertAlign w:val="superscript"/>
                <w:lang w:val="ro-MD"/>
              </w:rPr>
              <w:t>1</w:t>
            </w:r>
            <w:r w:rsidRPr="009E686F">
              <w:rPr>
                <w:rFonts w:ascii="Times New Roman" w:eastAsia="Aptos" w:hAnsi="Times New Roman" w:cs="Times New Roman"/>
                <w:i/>
                <w:iCs/>
                <w:kern w:val="2"/>
                <w:lang w:val="ro-MD"/>
              </w:rPr>
              <w:t>)  Adoptarea unui program de supraveghere prudenţială de către autoritatea competentă din statul membru de origine, nu împiedică Banca Națională a Moldovei, în calitate de autoritate competentă din statul membru gazdă să efectueze, de la caz la caz, controale și inspecții pe teren ale activităţilor desfășurate de sucursalele instituţiilor de credit din alte state membre pe teritoriul Republicii Moldova în conformitate cu art. 108</w:t>
            </w:r>
            <w:r w:rsidRPr="009E686F">
              <w:rPr>
                <w:rFonts w:ascii="Times New Roman" w:eastAsia="Aptos" w:hAnsi="Times New Roman" w:cs="Times New Roman"/>
                <w:i/>
                <w:iCs/>
                <w:kern w:val="2"/>
                <w:vertAlign w:val="superscript"/>
                <w:lang w:val="ro-MD"/>
              </w:rPr>
              <w:t>1</w:t>
            </w:r>
            <w:r w:rsidRPr="009E686F">
              <w:rPr>
                <w:rFonts w:ascii="Times New Roman" w:eastAsia="Aptos" w:hAnsi="Times New Roman" w:cs="Times New Roman"/>
                <w:i/>
                <w:iCs/>
                <w:kern w:val="2"/>
                <w:lang w:val="ro-MD"/>
              </w:rPr>
              <w:t>.</w:t>
            </w:r>
          </w:p>
        </w:tc>
        <w:tc>
          <w:tcPr>
            <w:tcW w:w="470" w:type="pct"/>
            <w:tcBorders>
              <w:top w:val="single" w:sz="4" w:space="0" w:color="auto"/>
              <w:left w:val="single" w:sz="4" w:space="0" w:color="auto"/>
              <w:bottom w:val="single" w:sz="4" w:space="0" w:color="auto"/>
              <w:right w:val="single" w:sz="4" w:space="0" w:color="auto"/>
            </w:tcBorders>
          </w:tcPr>
          <w:p w14:paraId="01D077D3" w14:textId="69F56089"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p w14:paraId="3634EEEF" w14:textId="551E32AE"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115AF25D" w14:textId="77777777" w:rsidR="00984B34" w:rsidRPr="009E686F" w:rsidRDefault="00984B34" w:rsidP="00984B34">
            <w:pPr>
              <w:jc w:val="both"/>
              <w:rPr>
                <w:rFonts w:ascii="Times New Roman" w:hAnsi="Times New Roman" w:cs="Times New Roman"/>
                <w:lang w:val="ro-RO"/>
              </w:rPr>
            </w:pPr>
          </w:p>
        </w:tc>
      </w:tr>
      <w:tr w:rsidR="00984B34" w:rsidRPr="009E686F" w14:paraId="6795F430"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20633766"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Articolul 100 </w:t>
            </w:r>
          </w:p>
          <w:p w14:paraId="18FD3569" w14:textId="4A830BA9" w:rsidR="00984B34" w:rsidRPr="009E686F" w:rsidRDefault="00984B34" w:rsidP="00984B34">
            <w:pPr>
              <w:spacing w:after="0"/>
              <w:jc w:val="both"/>
              <w:rPr>
                <w:rFonts w:ascii="Times New Roman" w:hAnsi="Times New Roman" w:cs="Times New Roman"/>
                <w:i/>
                <w:iCs/>
                <w:lang w:val="ro-RO"/>
              </w:rPr>
            </w:pPr>
            <w:r w:rsidRPr="009E686F">
              <w:rPr>
                <w:rFonts w:ascii="Times New Roman" w:hAnsi="Times New Roman" w:cs="Times New Roman"/>
                <w:i/>
                <w:iCs/>
                <w:lang w:val="ro-RO"/>
              </w:rPr>
              <w:t>Testele de stres prudențiale</w:t>
            </w:r>
          </w:p>
          <w:p w14:paraId="40453DF4" w14:textId="44F6C8D2"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(1)Autoritățile competente efectuează după caz, cel puțin o dată pe an, simulări de criză prudențiale vizând instituțiile pe care le supraveghează, în sprijinul procesului de analiză și evaluare prevăzut la articolul 97.</w:t>
            </w:r>
          </w:p>
        </w:tc>
        <w:tc>
          <w:tcPr>
            <w:tcW w:w="1928" w:type="pct"/>
            <w:gridSpan w:val="3"/>
            <w:tcBorders>
              <w:top w:val="single" w:sz="4" w:space="0" w:color="auto"/>
              <w:left w:val="single" w:sz="4" w:space="0" w:color="auto"/>
              <w:bottom w:val="single" w:sz="4" w:space="0" w:color="auto"/>
              <w:right w:val="single" w:sz="4" w:space="0" w:color="auto"/>
            </w:tcBorders>
          </w:tcPr>
          <w:p w14:paraId="1934E9AA" w14:textId="77777777" w:rsidR="00984B34" w:rsidRPr="009E686F" w:rsidRDefault="00984B34" w:rsidP="00984B34">
            <w:pPr>
              <w:spacing w:after="0"/>
              <w:jc w:val="both"/>
              <w:rPr>
                <w:rFonts w:ascii="Times New Roman" w:hAnsi="Times New Roman" w:cs="Times New Roman"/>
                <w:b/>
                <w:bCs/>
                <w:lang w:val="ro-RO"/>
              </w:rPr>
            </w:pPr>
            <w:r w:rsidRPr="009E686F">
              <w:rPr>
                <w:rFonts w:ascii="Times New Roman" w:eastAsia="Aptos" w:hAnsi="Times New Roman" w:cs="Times New Roman"/>
                <w:b/>
                <w:bCs/>
                <w:kern w:val="2"/>
                <w:lang w:val="ro-MD"/>
              </w:rPr>
              <w:t>Articolul 100 alin. (5)</w:t>
            </w:r>
          </w:p>
          <w:p w14:paraId="3B66932E" w14:textId="0D7992C9" w:rsidR="00984B34" w:rsidRPr="009E686F" w:rsidRDefault="00984B34" w:rsidP="00984B34">
            <w:pPr>
              <w:spacing w:after="0"/>
              <w:jc w:val="both"/>
              <w:rPr>
                <w:rFonts w:ascii="Times New Roman" w:eastAsia="Aptos" w:hAnsi="Times New Roman" w:cs="Times New Roman"/>
                <w:i/>
                <w:iCs/>
                <w:kern w:val="2"/>
                <w:lang w:val="ro-MD"/>
              </w:rPr>
            </w:pPr>
            <w:r w:rsidRPr="009E686F">
              <w:rPr>
                <w:rFonts w:ascii="Times New Roman" w:eastAsia="Aptos" w:hAnsi="Times New Roman" w:cs="Times New Roman"/>
                <w:kern w:val="2"/>
                <w:lang w:val="ro-MD"/>
              </w:rPr>
              <w:t xml:space="preserve">(5) Banca Naţională a Moldovei realizează, după caz, cel puţin o dată pe an, simulări de criză prudenţiale în privinţa </w:t>
            </w:r>
            <w:r w:rsidRPr="009E686F">
              <w:rPr>
                <w:rFonts w:ascii="Times New Roman" w:eastAsia="Aptos" w:hAnsi="Times New Roman" w:cs="Times New Roman"/>
                <w:i/>
                <w:iCs/>
                <w:kern w:val="2"/>
                <w:lang w:val="ro-MD"/>
              </w:rPr>
              <w:t>instituțiilor de credit</w:t>
            </w:r>
            <w:r w:rsidRPr="009E686F">
              <w:rPr>
                <w:rFonts w:ascii="Times New Roman" w:eastAsia="Aptos" w:hAnsi="Times New Roman" w:cs="Times New Roman"/>
                <w:kern w:val="2"/>
                <w:lang w:val="ro-MD"/>
              </w:rPr>
              <w:t xml:space="preserve"> pe care le supraveghează, în vederea efectuării verificării şi evaluării prevăzute la alin.(1)–(4</w:t>
            </w:r>
            <w:r w:rsidR="00925B4E" w:rsidRPr="009E686F">
              <w:rPr>
                <w:rFonts w:ascii="Times New Roman" w:eastAsia="Aptos" w:hAnsi="Times New Roman" w:cs="Times New Roman"/>
                <w:kern w:val="2"/>
                <w:vertAlign w:val="superscript"/>
                <w:lang w:val="ro-MD"/>
              </w:rPr>
              <w:t>1</w:t>
            </w:r>
            <w:r w:rsidRPr="009E686F">
              <w:rPr>
                <w:rFonts w:ascii="Times New Roman" w:eastAsia="Aptos" w:hAnsi="Times New Roman" w:cs="Times New Roman"/>
                <w:kern w:val="2"/>
                <w:lang w:val="ro-MD"/>
              </w:rPr>
              <w:t>).</w:t>
            </w:r>
          </w:p>
        </w:tc>
        <w:tc>
          <w:tcPr>
            <w:tcW w:w="470" w:type="pct"/>
            <w:tcBorders>
              <w:top w:val="single" w:sz="4" w:space="0" w:color="auto"/>
              <w:left w:val="single" w:sz="4" w:space="0" w:color="auto"/>
              <w:bottom w:val="single" w:sz="4" w:space="0" w:color="auto"/>
              <w:right w:val="single" w:sz="4" w:space="0" w:color="auto"/>
            </w:tcBorders>
          </w:tcPr>
          <w:p w14:paraId="692927DF" w14:textId="7EF4CE13"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6AEB7FE2" w14:textId="77777777" w:rsidR="00984B34" w:rsidRPr="009E686F" w:rsidRDefault="00984B34" w:rsidP="00984B34">
            <w:pPr>
              <w:jc w:val="both"/>
              <w:rPr>
                <w:rFonts w:ascii="Times New Roman" w:hAnsi="Times New Roman" w:cs="Times New Roman"/>
                <w:lang w:val="ro-RO"/>
              </w:rPr>
            </w:pPr>
          </w:p>
        </w:tc>
      </w:tr>
      <w:tr w:rsidR="00984B34" w:rsidRPr="009E686F" w14:paraId="319440DA" w14:textId="6532F8A4" w:rsidTr="00774F3E">
        <w:tc>
          <w:tcPr>
            <w:tcW w:w="1796" w:type="pct"/>
            <w:gridSpan w:val="2"/>
            <w:tcBorders>
              <w:top w:val="single" w:sz="4" w:space="0" w:color="auto"/>
              <w:left w:val="single" w:sz="4" w:space="0" w:color="auto"/>
              <w:bottom w:val="single" w:sz="4" w:space="0" w:color="auto"/>
              <w:right w:val="single" w:sz="4" w:space="0" w:color="auto"/>
            </w:tcBorders>
          </w:tcPr>
          <w:p w14:paraId="33791188" w14:textId="6C30C499"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(2) ABE emite orientări, în conformitate cu articolul 16 din Regulamentul (UE) nr. 1093/2010, pentru a se asigura că autoritățile competente aplică metodologii comune atunci când efectuează simulări de criză prudențiale anuale.</w:t>
            </w:r>
          </w:p>
        </w:tc>
        <w:tc>
          <w:tcPr>
            <w:tcW w:w="1928" w:type="pct"/>
            <w:gridSpan w:val="3"/>
            <w:tcBorders>
              <w:top w:val="single" w:sz="4" w:space="0" w:color="auto"/>
              <w:left w:val="single" w:sz="4" w:space="0" w:color="auto"/>
              <w:bottom w:val="single" w:sz="4" w:space="0" w:color="auto"/>
              <w:right w:val="single" w:sz="4" w:space="0" w:color="auto"/>
            </w:tcBorders>
          </w:tcPr>
          <w:p w14:paraId="5DF95C67" w14:textId="1D7D76CD" w:rsidR="00984B34" w:rsidRPr="009E686F" w:rsidRDefault="00984B34" w:rsidP="00984B34">
            <w:pPr>
              <w:spacing w:after="0"/>
              <w:jc w:val="both"/>
              <w:rPr>
                <w:rFonts w:ascii="Times New Roman" w:hAnsi="Times New Roman" w:cs="Times New Roman"/>
                <w:b/>
                <w:i/>
                <w:lang w:val="ro-RO"/>
              </w:rPr>
            </w:pPr>
          </w:p>
        </w:tc>
        <w:tc>
          <w:tcPr>
            <w:tcW w:w="470" w:type="pct"/>
            <w:tcBorders>
              <w:top w:val="single" w:sz="4" w:space="0" w:color="auto"/>
              <w:left w:val="single" w:sz="4" w:space="0" w:color="auto"/>
              <w:bottom w:val="single" w:sz="4" w:space="0" w:color="auto"/>
              <w:right w:val="single" w:sz="4" w:space="0" w:color="auto"/>
            </w:tcBorders>
          </w:tcPr>
          <w:p w14:paraId="425AD46D" w14:textId="7A487FE8"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neaplicabile</w:t>
            </w:r>
          </w:p>
        </w:tc>
        <w:tc>
          <w:tcPr>
            <w:tcW w:w="806" w:type="pct"/>
            <w:tcBorders>
              <w:top w:val="single" w:sz="4" w:space="0" w:color="auto"/>
              <w:left w:val="single" w:sz="4" w:space="0" w:color="auto"/>
              <w:bottom w:val="single" w:sz="4" w:space="0" w:color="auto"/>
              <w:right w:val="single" w:sz="4" w:space="0" w:color="auto"/>
            </w:tcBorders>
          </w:tcPr>
          <w:p w14:paraId="43E9759D" w14:textId="00143E4D" w:rsidR="00984B34" w:rsidRPr="009E686F" w:rsidRDefault="00984B34" w:rsidP="00984B34">
            <w:pPr>
              <w:jc w:val="both"/>
              <w:rPr>
                <w:rFonts w:ascii="Times New Roman" w:hAnsi="Times New Roman" w:cs="Times New Roman"/>
                <w:lang w:val="ro-RO"/>
              </w:rPr>
            </w:pPr>
            <w:r w:rsidRPr="009E686F">
              <w:rPr>
                <w:rFonts w:ascii="Times New Roman" w:eastAsia="Aptos" w:hAnsi="Times New Roman" w:cs="Times New Roman"/>
                <w:kern w:val="2"/>
                <w:lang w:val="ro-MD"/>
              </w:rPr>
              <w:t>Se referă la competențele ABE.</w:t>
            </w:r>
          </w:p>
        </w:tc>
      </w:tr>
      <w:tr w:rsidR="00984B34" w:rsidRPr="009E686F" w14:paraId="26A4015A"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499E9126" w14:textId="2DB61FA8"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(3) Instituțiile și părțile terțe care acționează în calitate de consultant față de instituții în contextul exercițiilor de simulare de criză se abțin de la desfășurarea de activități care pot afecta simulările de criză, cum ar fi evaluarea comparativă, schimbul de informații între ele, înțelegeri privind comportamente comune sau optimizarea elementelor pe care le prezintă pentru simulările de criză. Fără a aduce atingere altor dispoziții relevante prevăzute în prezenta directivă și în Regulamentul (UE) nr. 575/2013, autoritățile competente dețin toate competențele de colectare a informațiilor și de investigare care sunt necesare pentru detectarea activităților respective.</w:t>
            </w:r>
          </w:p>
        </w:tc>
        <w:tc>
          <w:tcPr>
            <w:tcW w:w="1928" w:type="pct"/>
            <w:gridSpan w:val="3"/>
            <w:tcBorders>
              <w:top w:val="single" w:sz="4" w:space="0" w:color="auto"/>
              <w:left w:val="single" w:sz="4" w:space="0" w:color="auto"/>
              <w:bottom w:val="single" w:sz="4" w:space="0" w:color="auto"/>
              <w:right w:val="single" w:sz="4" w:space="0" w:color="auto"/>
            </w:tcBorders>
          </w:tcPr>
          <w:p w14:paraId="71435629" w14:textId="77777777" w:rsidR="00984B34" w:rsidRPr="009E686F" w:rsidRDefault="00984B34" w:rsidP="00567D0D">
            <w:pPr>
              <w:spacing w:after="0" w:line="240" w:lineRule="auto"/>
              <w:jc w:val="both"/>
              <w:rPr>
                <w:rFonts w:ascii="Times New Roman" w:hAnsi="Times New Roman" w:cs="Times New Roman"/>
                <w:b/>
                <w:bCs/>
                <w:lang w:val="ro-RO"/>
              </w:rPr>
            </w:pPr>
            <w:r w:rsidRPr="009E686F">
              <w:rPr>
                <w:rFonts w:ascii="Times New Roman" w:eastAsia="Aptos" w:hAnsi="Times New Roman" w:cs="Times New Roman"/>
                <w:b/>
                <w:bCs/>
                <w:kern w:val="2"/>
                <w:lang w:val="ro-MD"/>
              </w:rPr>
              <w:t>Articolul 100 alin. (6)</w:t>
            </w:r>
          </w:p>
          <w:p w14:paraId="410ACCDA" w14:textId="3F4D4BDF" w:rsidR="00984B34" w:rsidRPr="009E686F" w:rsidRDefault="00984B34" w:rsidP="00567D0D">
            <w:pPr>
              <w:spacing w:after="0" w:line="240" w:lineRule="auto"/>
              <w:jc w:val="both"/>
              <w:rPr>
                <w:rFonts w:ascii="Times New Roman" w:hAnsi="Times New Roman" w:cs="Times New Roman"/>
                <w:b/>
                <w:lang w:val="ro-RO"/>
              </w:rPr>
            </w:pPr>
            <w:r w:rsidRPr="009E686F">
              <w:rPr>
                <w:rFonts w:ascii="Times New Roman" w:eastAsia="Aptos" w:hAnsi="Times New Roman" w:cs="Times New Roman"/>
                <w:i/>
                <w:iCs/>
                <w:kern w:val="2"/>
                <w:lang w:val="ro-MD"/>
              </w:rPr>
              <w:t xml:space="preserve">(6) Fără a aduce atingere altor dispoziții relevante din prezenta lege și actele normative emise în aplicarea acesteia, Banca Națională a Moldovei deține toate competențele de colectare a informațiilor și de investigare care sunt necesare pentru detectarea activităților instituțiilor de credit și părțile terțe care acționează în calitate de consultant față de respectivele instituții de credit care pot afecta simulările de criză, cum ar fi evaluarea comparativă, schimbul de informații între ele, înțelegeri privind comportamente comune sau optimizarea elementelor pe care le prezintă pentru simulările de criză. Instituțiile de credit și părțile terțe care acționează în calitate de consultant față de </w:t>
            </w:r>
            <w:r w:rsidRPr="009E686F">
              <w:rPr>
                <w:rFonts w:ascii="Times New Roman" w:eastAsia="Aptos" w:hAnsi="Times New Roman" w:cs="Times New Roman"/>
                <w:i/>
                <w:iCs/>
                <w:kern w:val="2"/>
                <w:lang w:val="ro-MD"/>
              </w:rPr>
              <w:lastRenderedPageBreak/>
              <w:t>instituții de credit în contextul exercițiilor de simulare de criză se abțin de la desfășurarea activităților respective.</w:t>
            </w:r>
          </w:p>
        </w:tc>
        <w:tc>
          <w:tcPr>
            <w:tcW w:w="470" w:type="pct"/>
            <w:tcBorders>
              <w:top w:val="single" w:sz="4" w:space="0" w:color="auto"/>
              <w:left w:val="single" w:sz="4" w:space="0" w:color="auto"/>
              <w:bottom w:val="single" w:sz="4" w:space="0" w:color="auto"/>
              <w:right w:val="single" w:sz="4" w:space="0" w:color="auto"/>
            </w:tcBorders>
          </w:tcPr>
          <w:p w14:paraId="5661A42E" w14:textId="3EC6914A"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7AE46282" w14:textId="77777777" w:rsidR="00984B34" w:rsidRPr="009E686F" w:rsidRDefault="00984B34" w:rsidP="00984B34">
            <w:pPr>
              <w:jc w:val="both"/>
              <w:rPr>
                <w:rFonts w:ascii="Times New Roman" w:hAnsi="Times New Roman" w:cs="Times New Roman"/>
                <w:lang w:val="ro-RO"/>
              </w:rPr>
            </w:pPr>
          </w:p>
        </w:tc>
      </w:tr>
      <w:tr w:rsidR="00984B34" w:rsidRPr="009E686F" w14:paraId="77F09C1C"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5EAAAF74" w14:textId="034E6C1B"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(4) ABE, EIOPA și ESMA, prin intermediul Comitetului comun menționat la articolul 54 din Regulamentele (UE) nr. 1093/2010, (UE) nr. 1094/2010 și (UE) nr. 1095/2010, elaborează ghiduri pentru a se asigura că în simulările de criză în cazul riscurilor ESG sunt integrate aspectele legate de consecvență, considerații pe termen lung și standarde comune pentru metodologiile de evaluare. Comitetul comun publică respectivele ghiduri până la 10 ianuarie 2026. ABE, EIOPA și ESMA analizează, prin intermediul Comitetului comun respectiv, modalitățile în care riscurile legate de aspectele sociale și de guvernanță pot fi integrate în simulările de criză.</w:t>
            </w:r>
          </w:p>
        </w:tc>
        <w:tc>
          <w:tcPr>
            <w:tcW w:w="1928" w:type="pct"/>
            <w:gridSpan w:val="3"/>
            <w:tcBorders>
              <w:top w:val="single" w:sz="4" w:space="0" w:color="auto"/>
              <w:left w:val="single" w:sz="4" w:space="0" w:color="auto"/>
              <w:bottom w:val="single" w:sz="4" w:space="0" w:color="auto"/>
              <w:right w:val="single" w:sz="4" w:space="0" w:color="auto"/>
            </w:tcBorders>
          </w:tcPr>
          <w:p w14:paraId="5A9EFF6C"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20B9BE5C" w14:textId="569460DC"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neaplicabile</w:t>
            </w:r>
          </w:p>
        </w:tc>
        <w:tc>
          <w:tcPr>
            <w:tcW w:w="806" w:type="pct"/>
            <w:tcBorders>
              <w:top w:val="single" w:sz="4" w:space="0" w:color="auto"/>
              <w:left w:val="single" w:sz="4" w:space="0" w:color="auto"/>
              <w:bottom w:val="single" w:sz="4" w:space="0" w:color="auto"/>
              <w:right w:val="single" w:sz="4" w:space="0" w:color="auto"/>
            </w:tcBorders>
          </w:tcPr>
          <w:p w14:paraId="10C88706" w14:textId="422C554E" w:rsidR="00984B34" w:rsidRPr="009E686F" w:rsidRDefault="00984B34" w:rsidP="00984B34">
            <w:pPr>
              <w:jc w:val="both"/>
              <w:rPr>
                <w:rFonts w:ascii="Times New Roman" w:hAnsi="Times New Roman" w:cs="Times New Roman"/>
                <w:lang w:val="ro-RO"/>
              </w:rPr>
            </w:pPr>
            <w:r w:rsidRPr="009E686F">
              <w:rPr>
                <w:rFonts w:ascii="Times New Roman" w:eastAsia="Aptos" w:hAnsi="Times New Roman" w:cs="Times New Roman"/>
                <w:kern w:val="2"/>
                <w:lang w:val="ro-MD"/>
              </w:rPr>
              <w:t>Se referă la competențele ABE,EIOPA și ESMA.</w:t>
            </w:r>
          </w:p>
        </w:tc>
      </w:tr>
      <w:tr w:rsidR="00984B34" w:rsidRPr="009E686F" w14:paraId="3812492E"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78E61998"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(5) ABE, în cooperare cu ESMA, dezvoltă ghidurile prevăzute la articolul 16 din Regulamentul (UE) nr. 1093/2010 pentru a elabora o metodologie coerentă de integrare a riscului de concentrare rezultat din expunerile față de contrapărți centrale în testele de stres prudențiale.</w:t>
            </w:r>
          </w:p>
          <w:p w14:paraId="22612FA7" w14:textId="2E70D0BC"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ABE emite ghidurile menționate la primul paragraf al prezentului alineat până la 25 iunie 2026.</w:t>
            </w:r>
          </w:p>
        </w:tc>
        <w:tc>
          <w:tcPr>
            <w:tcW w:w="1928" w:type="pct"/>
            <w:gridSpan w:val="3"/>
            <w:tcBorders>
              <w:top w:val="single" w:sz="4" w:space="0" w:color="auto"/>
              <w:left w:val="single" w:sz="4" w:space="0" w:color="auto"/>
              <w:bottom w:val="single" w:sz="4" w:space="0" w:color="auto"/>
              <w:right w:val="single" w:sz="4" w:space="0" w:color="auto"/>
            </w:tcBorders>
          </w:tcPr>
          <w:p w14:paraId="65B938AE" w14:textId="659F238A"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0DC069FE" w14:textId="3BF63D31"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neaplicabile</w:t>
            </w:r>
          </w:p>
        </w:tc>
        <w:tc>
          <w:tcPr>
            <w:tcW w:w="806" w:type="pct"/>
            <w:tcBorders>
              <w:top w:val="single" w:sz="4" w:space="0" w:color="auto"/>
              <w:left w:val="single" w:sz="4" w:space="0" w:color="auto"/>
              <w:bottom w:val="single" w:sz="4" w:space="0" w:color="auto"/>
              <w:right w:val="single" w:sz="4" w:space="0" w:color="auto"/>
            </w:tcBorders>
          </w:tcPr>
          <w:p w14:paraId="29AEF5A3" w14:textId="46982FCB" w:rsidR="00984B34" w:rsidRPr="009E686F" w:rsidRDefault="00984B34" w:rsidP="00984B34">
            <w:pPr>
              <w:jc w:val="both"/>
              <w:rPr>
                <w:rFonts w:ascii="Times New Roman" w:hAnsi="Times New Roman" w:cs="Times New Roman"/>
                <w:lang w:val="ro-RO"/>
              </w:rPr>
            </w:pPr>
            <w:r w:rsidRPr="009E686F">
              <w:rPr>
                <w:rFonts w:ascii="Times New Roman" w:eastAsia="Aptos" w:hAnsi="Times New Roman" w:cs="Times New Roman"/>
                <w:kern w:val="2"/>
                <w:lang w:val="ro-MD"/>
              </w:rPr>
              <w:t>Se referă la competențele ABE.</w:t>
            </w:r>
          </w:p>
        </w:tc>
      </w:tr>
      <w:tr w:rsidR="00984B34" w:rsidRPr="009E686F" w14:paraId="75C969D4" w14:textId="245387CB" w:rsidTr="00774F3E">
        <w:tc>
          <w:tcPr>
            <w:tcW w:w="1796" w:type="pct"/>
            <w:gridSpan w:val="2"/>
            <w:tcBorders>
              <w:top w:val="single" w:sz="4" w:space="0" w:color="auto"/>
              <w:left w:val="single" w:sz="4" w:space="0" w:color="auto"/>
              <w:bottom w:val="single" w:sz="4" w:space="0" w:color="auto"/>
              <w:right w:val="single" w:sz="4" w:space="0" w:color="auto"/>
            </w:tcBorders>
          </w:tcPr>
          <w:p w14:paraId="54590672" w14:textId="77777777" w:rsidR="00984B34" w:rsidRPr="009E686F" w:rsidRDefault="00984B34" w:rsidP="00984B34">
            <w:pPr>
              <w:spacing w:after="0"/>
              <w:jc w:val="both"/>
              <w:rPr>
                <w:rFonts w:ascii="Times New Roman" w:hAnsi="Times New Roman" w:cs="Times New Roman"/>
                <w:i/>
                <w:iCs/>
                <w:lang w:val="ro-RO"/>
              </w:rPr>
            </w:pPr>
            <w:r w:rsidRPr="009E686F">
              <w:rPr>
                <w:rFonts w:ascii="Times New Roman" w:hAnsi="Times New Roman" w:cs="Times New Roman"/>
                <w:i/>
                <w:lang w:val="ro-RO"/>
              </w:rPr>
              <w:t xml:space="preserve">Articolul 101 </w:t>
            </w:r>
          </w:p>
          <w:p w14:paraId="58F6AA3D" w14:textId="25233FF3"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Analiza continuă a permisiunii de a utiliza abordări interne</w:t>
            </w:r>
          </w:p>
        </w:tc>
        <w:tc>
          <w:tcPr>
            <w:tcW w:w="1928" w:type="pct"/>
            <w:gridSpan w:val="3"/>
            <w:tcBorders>
              <w:top w:val="single" w:sz="4" w:space="0" w:color="auto"/>
              <w:left w:val="single" w:sz="4" w:space="0" w:color="auto"/>
              <w:bottom w:val="single" w:sz="4" w:space="0" w:color="auto"/>
              <w:right w:val="single" w:sz="4" w:space="0" w:color="auto"/>
            </w:tcBorders>
          </w:tcPr>
          <w:p w14:paraId="037AF431" w14:textId="6E089EC1" w:rsidR="00984B34" w:rsidRPr="009E686F" w:rsidRDefault="00984B34" w:rsidP="00984B34">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b/>
                <w:bCs/>
                <w:kern w:val="2"/>
                <w:lang w:val="ro-MD"/>
              </w:rPr>
              <w:t>Articolul 102.</w:t>
            </w:r>
            <w:r w:rsidRPr="009E686F">
              <w:rPr>
                <w:rFonts w:ascii="Times New Roman" w:eastAsia="Aptos" w:hAnsi="Times New Roman" w:cs="Times New Roman"/>
                <w:kern w:val="2"/>
                <w:lang w:val="ro-MD"/>
              </w:rPr>
              <w:t xml:space="preserve"> Analiza continuă a aprobării de a utiliza abordărilor interne</w:t>
            </w:r>
          </w:p>
        </w:tc>
        <w:tc>
          <w:tcPr>
            <w:tcW w:w="470" w:type="pct"/>
            <w:tcBorders>
              <w:top w:val="single" w:sz="4" w:space="0" w:color="auto"/>
              <w:left w:val="single" w:sz="4" w:space="0" w:color="auto"/>
              <w:bottom w:val="single" w:sz="4" w:space="0" w:color="auto"/>
              <w:right w:val="single" w:sz="4" w:space="0" w:color="auto"/>
            </w:tcBorders>
          </w:tcPr>
          <w:p w14:paraId="1EF69BF3" w14:textId="77777777"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53E63BFB" w14:textId="77777777" w:rsidR="00984B34" w:rsidRPr="009E686F" w:rsidRDefault="00984B34" w:rsidP="00984B34">
            <w:pPr>
              <w:jc w:val="both"/>
              <w:rPr>
                <w:rFonts w:ascii="Times New Roman" w:hAnsi="Times New Roman" w:cs="Times New Roman"/>
                <w:lang w:val="ro-RO"/>
              </w:rPr>
            </w:pPr>
          </w:p>
        </w:tc>
      </w:tr>
      <w:tr w:rsidR="00984B34" w:rsidRPr="009E686F" w14:paraId="463F9538" w14:textId="4EA16471" w:rsidTr="00774F3E">
        <w:trPr>
          <w:trHeight w:val="6343"/>
        </w:trPr>
        <w:tc>
          <w:tcPr>
            <w:tcW w:w="1796" w:type="pct"/>
            <w:gridSpan w:val="2"/>
            <w:tcBorders>
              <w:top w:val="single" w:sz="4" w:space="0" w:color="auto"/>
              <w:left w:val="single" w:sz="4" w:space="0" w:color="auto"/>
              <w:bottom w:val="single" w:sz="4" w:space="0" w:color="auto"/>
              <w:right w:val="single" w:sz="4" w:space="0" w:color="auto"/>
            </w:tcBorders>
          </w:tcPr>
          <w:p w14:paraId="228A4BC0" w14:textId="03FC5EAB"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lastRenderedPageBreak/>
              <w:t>(1) Autoritățile competente analizează periodic, cel puțin o dată la trei ani, respectarea de către instituții a cerințelor referitoare la abordările care necesită permisiunea din partea autorităților competente înainte de utilizarea unor astfel de abordări pentru efectuarea calculului cerințelor de fonduri proprii în conformitate cu partea a treia a Regulamentului (UE) nr. 575/2013. Acestea au în vedere în special modificările în activitatea unei instituției și punerea în aplicare a acestor abordări în cazul produselor noi.</w:t>
            </w:r>
          </w:p>
          <w:p w14:paraId="2E88CB55" w14:textId="77777777" w:rsidR="00984B34" w:rsidRPr="009E686F" w:rsidRDefault="00984B34" w:rsidP="00984B34">
            <w:pPr>
              <w:spacing w:after="0"/>
              <w:jc w:val="both"/>
              <w:rPr>
                <w:rFonts w:ascii="Times New Roman" w:hAnsi="Times New Roman" w:cs="Times New Roman"/>
                <w:lang w:val="ro-RO"/>
              </w:rPr>
            </w:pPr>
          </w:p>
          <w:p w14:paraId="50ED59C3"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 În cazul în care sunt identificate deficiențe semnificative cu privire la acoperirea riscurilor de către o abordare internă a unei instituții, autoritățile competente asigură că acestea sunt corectate sau să ia măsurile necesare pentru atenuarea consecințelor acestora, inclusiv prin impunerea unor factori de multiplicare mai ridicați sau prin impunerea de majorări de capital sau prin luarea altor măsuri adecvate și eficace.</w:t>
            </w:r>
          </w:p>
        </w:tc>
        <w:tc>
          <w:tcPr>
            <w:tcW w:w="1928" w:type="pct"/>
            <w:gridSpan w:val="3"/>
            <w:tcBorders>
              <w:top w:val="single" w:sz="4" w:space="0" w:color="auto"/>
              <w:left w:val="single" w:sz="4" w:space="0" w:color="auto"/>
              <w:bottom w:val="single" w:sz="4" w:space="0" w:color="auto"/>
              <w:right w:val="single" w:sz="4" w:space="0" w:color="auto"/>
            </w:tcBorders>
          </w:tcPr>
          <w:p w14:paraId="2716F4EB" w14:textId="546E7602" w:rsidR="00984B34" w:rsidRPr="009E686F" w:rsidRDefault="00984B34" w:rsidP="00984B34">
            <w:pPr>
              <w:spacing w:after="0"/>
              <w:jc w:val="both"/>
              <w:rPr>
                <w:rFonts w:ascii="Times New Roman" w:eastAsia="Aptos" w:hAnsi="Times New Roman" w:cs="Times New Roman"/>
                <w:color w:val="FF0000"/>
                <w:kern w:val="2"/>
                <w:lang w:val="ro-MD"/>
              </w:rPr>
            </w:pPr>
            <w:r w:rsidRPr="009E686F">
              <w:rPr>
                <w:rFonts w:ascii="Times New Roman" w:eastAsia="Aptos" w:hAnsi="Times New Roman" w:cs="Times New Roman"/>
                <w:kern w:val="2"/>
                <w:lang w:val="ro-MD"/>
              </w:rPr>
              <w:t>(1) Banca Naţională a Moldovei verifică în mod regulat, cel puţin o dată la 3 ani, respectarea de către instituții a cerinţelor referitoare la abordările interne care necesită o aprobare înainte de a fi utilizate pentru calculul cerinţelor de fonduri proprii, stabilite prin actele normative emise în aplicarea prezentei legi</w:t>
            </w:r>
            <w:r w:rsidRPr="009E686F">
              <w:rPr>
                <w:rFonts w:ascii="Times New Roman" w:hAnsi="Times New Roman" w:cs="Times New Roman"/>
                <w:lang w:val="ro-RO"/>
              </w:rPr>
              <w:t xml:space="preserve">, </w:t>
            </w:r>
            <w:r w:rsidRPr="009E686F">
              <w:rPr>
                <w:rFonts w:ascii="Times New Roman" w:hAnsi="Times New Roman" w:cs="Times New Roman"/>
                <w:i/>
                <w:lang w:val="ro-RO"/>
              </w:rPr>
              <w:t>ținând cont de analiza elaborată de A</w:t>
            </w:r>
            <w:r w:rsidR="00567D0D" w:rsidRPr="009E686F">
              <w:rPr>
                <w:rFonts w:ascii="Times New Roman" w:hAnsi="Times New Roman" w:cs="Times New Roman"/>
                <w:i/>
                <w:lang w:val="ro-RO"/>
              </w:rPr>
              <w:t xml:space="preserve">utoritatea </w:t>
            </w:r>
            <w:r w:rsidRPr="009E686F">
              <w:rPr>
                <w:rFonts w:ascii="Times New Roman" w:hAnsi="Times New Roman" w:cs="Times New Roman"/>
                <w:i/>
                <w:lang w:val="ro-RO"/>
              </w:rPr>
              <w:t>B</w:t>
            </w:r>
            <w:r w:rsidR="00567D0D" w:rsidRPr="009E686F">
              <w:rPr>
                <w:rFonts w:ascii="Times New Roman" w:hAnsi="Times New Roman" w:cs="Times New Roman"/>
                <w:i/>
                <w:lang w:val="ro-RO"/>
              </w:rPr>
              <w:t xml:space="preserve">ancară </w:t>
            </w:r>
            <w:r w:rsidRPr="009E686F">
              <w:rPr>
                <w:rFonts w:ascii="Times New Roman" w:hAnsi="Times New Roman" w:cs="Times New Roman"/>
                <w:i/>
                <w:lang w:val="ro-RO"/>
              </w:rPr>
              <w:t>E</w:t>
            </w:r>
            <w:r w:rsidR="00567D0D" w:rsidRPr="009E686F">
              <w:rPr>
                <w:rFonts w:ascii="Times New Roman" w:hAnsi="Times New Roman" w:cs="Times New Roman"/>
                <w:i/>
                <w:lang w:val="ro-RO"/>
              </w:rPr>
              <w:t>uropeană</w:t>
            </w:r>
            <w:r w:rsidRPr="009E686F">
              <w:rPr>
                <w:rFonts w:ascii="Times New Roman" w:hAnsi="Times New Roman" w:cs="Times New Roman"/>
                <w:i/>
                <w:lang w:val="ro-RO"/>
              </w:rPr>
              <w:t xml:space="preserve"> a abordărilor interne din cadrul instituțiilor de credit, inclusiv valorile de referință din orientările A</w:t>
            </w:r>
            <w:r w:rsidR="00567D0D" w:rsidRPr="009E686F">
              <w:rPr>
                <w:rFonts w:ascii="Times New Roman" w:hAnsi="Times New Roman" w:cs="Times New Roman"/>
                <w:i/>
                <w:lang w:val="ro-RO"/>
              </w:rPr>
              <w:t xml:space="preserve">utoritatea </w:t>
            </w:r>
            <w:r w:rsidRPr="009E686F">
              <w:rPr>
                <w:rFonts w:ascii="Times New Roman" w:hAnsi="Times New Roman" w:cs="Times New Roman"/>
                <w:i/>
                <w:lang w:val="ro-RO"/>
              </w:rPr>
              <w:t>B</w:t>
            </w:r>
            <w:r w:rsidR="00567D0D" w:rsidRPr="009E686F">
              <w:rPr>
                <w:rFonts w:ascii="Times New Roman" w:hAnsi="Times New Roman" w:cs="Times New Roman"/>
                <w:i/>
                <w:lang w:val="ro-RO"/>
              </w:rPr>
              <w:t xml:space="preserve">ancară </w:t>
            </w:r>
            <w:r w:rsidRPr="009E686F">
              <w:rPr>
                <w:rFonts w:ascii="Times New Roman" w:hAnsi="Times New Roman" w:cs="Times New Roman"/>
                <w:i/>
                <w:lang w:val="ro-RO"/>
              </w:rPr>
              <w:t>E</w:t>
            </w:r>
            <w:r w:rsidR="00567D0D" w:rsidRPr="009E686F">
              <w:rPr>
                <w:rFonts w:ascii="Times New Roman" w:hAnsi="Times New Roman" w:cs="Times New Roman"/>
                <w:i/>
                <w:lang w:val="ro-RO"/>
              </w:rPr>
              <w:t>uropeană</w:t>
            </w:r>
            <w:r w:rsidRPr="009E686F">
              <w:rPr>
                <w:rFonts w:ascii="Times New Roman" w:eastAsia="Aptos" w:hAnsi="Times New Roman" w:cs="Times New Roman"/>
                <w:kern w:val="2"/>
                <w:lang w:val="ro-MD"/>
              </w:rPr>
              <w:t xml:space="preserve">. Acestea au în vedere în special modificările în activitatea unei </w:t>
            </w:r>
            <w:r w:rsidRPr="009E686F">
              <w:rPr>
                <w:rFonts w:ascii="Times New Roman" w:eastAsia="Aptos" w:hAnsi="Times New Roman" w:cs="Times New Roman"/>
                <w:i/>
                <w:iCs/>
                <w:kern w:val="2"/>
                <w:lang w:val="ro-MD"/>
              </w:rPr>
              <w:t>instituții de credit</w:t>
            </w:r>
            <w:r w:rsidRPr="009E686F">
              <w:rPr>
                <w:rFonts w:ascii="Times New Roman" w:eastAsia="Aptos" w:hAnsi="Times New Roman" w:cs="Times New Roman"/>
                <w:kern w:val="2"/>
                <w:lang w:val="ro-MD"/>
              </w:rPr>
              <w:t xml:space="preserve"> şi punerea în aplicare a acestor abordări în cazul produselor noi.</w:t>
            </w:r>
            <w:r w:rsidRPr="009E686F">
              <w:rPr>
                <w:rFonts w:ascii="Times New Roman" w:eastAsia="Aptos" w:hAnsi="Times New Roman" w:cs="Times New Roman"/>
                <w:color w:val="FF0000"/>
                <w:kern w:val="2"/>
                <w:lang w:val="ro-MD"/>
              </w:rPr>
              <w:t xml:space="preserve"> </w:t>
            </w:r>
          </w:p>
          <w:p w14:paraId="48949FD4" w14:textId="77777777" w:rsidR="00984B34" w:rsidRPr="009E686F" w:rsidRDefault="00984B34" w:rsidP="00984B34">
            <w:pPr>
              <w:spacing w:after="0"/>
              <w:jc w:val="both"/>
              <w:rPr>
                <w:rFonts w:ascii="Times New Roman" w:eastAsia="Aptos" w:hAnsi="Times New Roman" w:cs="Times New Roman"/>
                <w:color w:val="FF0000"/>
                <w:kern w:val="2"/>
                <w:lang w:val="ro-MD"/>
              </w:rPr>
            </w:pPr>
          </w:p>
          <w:p w14:paraId="1CD3FB45" w14:textId="22A8216C" w:rsidR="00984B34" w:rsidRPr="009E686F" w:rsidRDefault="00984B34" w:rsidP="00984B34">
            <w:pPr>
              <w:spacing w:after="0"/>
              <w:jc w:val="both"/>
              <w:rPr>
                <w:rFonts w:ascii="Times New Roman" w:hAnsi="Times New Roman" w:cs="Times New Roman"/>
                <w:lang w:val="ro-RO"/>
              </w:rPr>
            </w:pPr>
            <w:r w:rsidRPr="009E686F">
              <w:rPr>
                <w:rFonts w:ascii="Times New Roman" w:eastAsia="Aptos" w:hAnsi="Times New Roman" w:cs="Times New Roman"/>
                <w:kern w:val="2"/>
                <w:lang w:val="ro-MD"/>
              </w:rPr>
              <w:t xml:space="preserve">(2) În cazul în care Banca Naţională a Moldovei identifică deficienţe semnificative cu privire la acoperirea riscurilor de către abordarea internă a unei </w:t>
            </w:r>
            <w:r w:rsidRPr="009E686F">
              <w:rPr>
                <w:rFonts w:ascii="Times New Roman" w:eastAsia="Aptos" w:hAnsi="Times New Roman" w:cs="Times New Roman"/>
                <w:i/>
                <w:iCs/>
                <w:kern w:val="2"/>
                <w:lang w:val="ro-MD"/>
              </w:rPr>
              <w:t>instituții de credit</w:t>
            </w:r>
            <w:r w:rsidRPr="009E686F">
              <w:rPr>
                <w:rFonts w:ascii="Times New Roman" w:eastAsia="Aptos" w:hAnsi="Times New Roman" w:cs="Times New Roman"/>
                <w:kern w:val="2"/>
                <w:lang w:val="ro-MD"/>
              </w:rPr>
              <w:t>, aceasta se asigură că respectivele deficienţe sînt corectate sau ia măsurile adecvate pentru atenuarea consecinţelor acestora, inclusiv prin impunerea unor cerinţe mai ridicate sau prin impunerea de majorări de fonduri proprii, sau prin luarea altor măsuri adecvate şi eficace.</w:t>
            </w:r>
          </w:p>
        </w:tc>
        <w:tc>
          <w:tcPr>
            <w:tcW w:w="470" w:type="pct"/>
            <w:tcBorders>
              <w:top w:val="single" w:sz="4" w:space="0" w:color="auto"/>
              <w:left w:val="single" w:sz="4" w:space="0" w:color="auto"/>
              <w:bottom w:val="single" w:sz="4" w:space="0" w:color="auto"/>
              <w:right w:val="single" w:sz="4" w:space="0" w:color="auto"/>
            </w:tcBorders>
          </w:tcPr>
          <w:p w14:paraId="0227A685" w14:textId="77777777"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p w14:paraId="209219CA" w14:textId="476FBFDF" w:rsidR="00984B34" w:rsidRPr="009E686F" w:rsidRDefault="00984B34" w:rsidP="00984B34">
            <w:pPr>
              <w:jc w:val="both"/>
              <w:rPr>
                <w:rFonts w:ascii="Times New Roman" w:hAnsi="Times New Roman" w:cs="Times New Roman"/>
                <w:lang w:val="ro-RO"/>
              </w:rPr>
            </w:pPr>
          </w:p>
          <w:p w14:paraId="25209918" w14:textId="6E9DE158" w:rsidR="00984B34" w:rsidRPr="009E686F" w:rsidRDefault="00984B34" w:rsidP="00984B34">
            <w:pPr>
              <w:jc w:val="both"/>
              <w:rPr>
                <w:rFonts w:ascii="Times New Roman" w:hAnsi="Times New Roman" w:cs="Times New Roman"/>
                <w:lang w:val="ro-RO"/>
              </w:rPr>
            </w:pPr>
          </w:p>
          <w:p w14:paraId="39DACC94" w14:textId="19E71AEA" w:rsidR="00984B34" w:rsidRPr="009E686F" w:rsidRDefault="00984B34" w:rsidP="00984B34">
            <w:pPr>
              <w:jc w:val="both"/>
              <w:rPr>
                <w:rFonts w:ascii="Times New Roman" w:hAnsi="Times New Roman" w:cs="Times New Roman"/>
                <w:lang w:val="ro-RO"/>
              </w:rPr>
            </w:pPr>
          </w:p>
          <w:p w14:paraId="520051FB" w14:textId="7155F541" w:rsidR="00984B34" w:rsidRPr="009E686F" w:rsidRDefault="00984B34" w:rsidP="00984B34">
            <w:pPr>
              <w:jc w:val="both"/>
              <w:rPr>
                <w:rFonts w:ascii="Times New Roman" w:hAnsi="Times New Roman" w:cs="Times New Roman"/>
                <w:lang w:val="ro-RO"/>
              </w:rPr>
            </w:pPr>
          </w:p>
          <w:p w14:paraId="50F45AD7" w14:textId="2CAFFB28" w:rsidR="00984B34" w:rsidRPr="009E686F" w:rsidRDefault="00984B34" w:rsidP="00984B34">
            <w:pPr>
              <w:jc w:val="both"/>
              <w:rPr>
                <w:rFonts w:ascii="Times New Roman" w:hAnsi="Times New Roman" w:cs="Times New Roman"/>
                <w:lang w:val="ro-RO"/>
              </w:rPr>
            </w:pPr>
          </w:p>
          <w:p w14:paraId="754DCE58" w14:textId="77777777" w:rsidR="00984B34" w:rsidRPr="009E686F" w:rsidRDefault="00984B34" w:rsidP="00984B34">
            <w:pPr>
              <w:jc w:val="both"/>
              <w:rPr>
                <w:rFonts w:ascii="Times New Roman" w:hAnsi="Times New Roman" w:cs="Times New Roman"/>
                <w:lang w:val="ro-RO"/>
              </w:rPr>
            </w:pPr>
          </w:p>
          <w:p w14:paraId="1187F2E5" w14:textId="77777777" w:rsidR="00984B34" w:rsidRPr="009E686F" w:rsidRDefault="00984B34" w:rsidP="00984B34">
            <w:pPr>
              <w:jc w:val="both"/>
              <w:rPr>
                <w:rFonts w:ascii="Times New Roman" w:hAnsi="Times New Roman" w:cs="Times New Roman"/>
                <w:lang w:val="ro-RO"/>
              </w:rPr>
            </w:pPr>
          </w:p>
          <w:p w14:paraId="23AA59C5" w14:textId="77777777" w:rsidR="00984B34" w:rsidRPr="009E686F" w:rsidRDefault="00984B34" w:rsidP="00984B34">
            <w:pPr>
              <w:jc w:val="both"/>
              <w:rPr>
                <w:rFonts w:ascii="Times New Roman" w:hAnsi="Times New Roman" w:cs="Times New Roman"/>
                <w:lang w:val="ro-RO"/>
              </w:rPr>
            </w:pPr>
          </w:p>
          <w:p w14:paraId="6E99F0C1" w14:textId="77777777" w:rsidR="00984B34" w:rsidRPr="009E686F" w:rsidRDefault="00984B34" w:rsidP="00984B34">
            <w:pPr>
              <w:jc w:val="both"/>
              <w:rPr>
                <w:rFonts w:ascii="Times New Roman" w:hAnsi="Times New Roman" w:cs="Times New Roman"/>
                <w:lang w:val="ro-RO"/>
              </w:rPr>
            </w:pPr>
          </w:p>
          <w:p w14:paraId="3BEB2952" w14:textId="77777777" w:rsidR="00984B34" w:rsidRPr="009E686F" w:rsidRDefault="00984B34" w:rsidP="00984B34">
            <w:pPr>
              <w:jc w:val="both"/>
              <w:rPr>
                <w:rFonts w:ascii="Times New Roman" w:hAnsi="Times New Roman" w:cs="Times New Roman"/>
                <w:lang w:val="ro-RO"/>
              </w:rPr>
            </w:pPr>
          </w:p>
          <w:p w14:paraId="6AE8A21F" w14:textId="77777777" w:rsidR="00984B34" w:rsidRPr="009E686F" w:rsidRDefault="00984B34" w:rsidP="00984B34">
            <w:pPr>
              <w:jc w:val="both"/>
              <w:rPr>
                <w:rFonts w:ascii="Times New Roman" w:hAnsi="Times New Roman" w:cs="Times New Roman"/>
                <w:lang w:val="ro-RO"/>
              </w:rPr>
            </w:pPr>
          </w:p>
          <w:p w14:paraId="0B5B3CFE" w14:textId="479CF17A"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597FB8EB" w14:textId="77777777" w:rsidR="00984B34" w:rsidRPr="009E686F" w:rsidRDefault="00984B34" w:rsidP="00984B34">
            <w:pPr>
              <w:jc w:val="both"/>
              <w:rPr>
                <w:rFonts w:ascii="Times New Roman" w:hAnsi="Times New Roman" w:cs="Times New Roman"/>
                <w:lang w:val="ro-RO"/>
              </w:rPr>
            </w:pPr>
          </w:p>
        </w:tc>
      </w:tr>
      <w:tr w:rsidR="00984B34" w:rsidRPr="009E686F" w14:paraId="747EDD45" w14:textId="5F72F18D" w:rsidTr="00774F3E">
        <w:tc>
          <w:tcPr>
            <w:tcW w:w="1796" w:type="pct"/>
            <w:gridSpan w:val="2"/>
            <w:tcBorders>
              <w:top w:val="single" w:sz="4" w:space="0" w:color="auto"/>
              <w:left w:val="single" w:sz="4" w:space="0" w:color="auto"/>
              <w:bottom w:val="single" w:sz="4" w:space="0" w:color="auto"/>
              <w:right w:val="single" w:sz="4" w:space="0" w:color="auto"/>
            </w:tcBorders>
          </w:tcPr>
          <w:p w14:paraId="5D315CA4" w14:textId="4DA2FAC8"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(2) Autoritățile competente analizează și evaluează în special dacă instituția utilizează tehnici și practici corect elaborate și actualizate în ceea ce privește respectivele abordări.</w:t>
            </w:r>
          </w:p>
        </w:tc>
        <w:tc>
          <w:tcPr>
            <w:tcW w:w="1928" w:type="pct"/>
            <w:gridSpan w:val="3"/>
            <w:tcBorders>
              <w:top w:val="single" w:sz="4" w:space="0" w:color="auto"/>
              <w:left w:val="single" w:sz="4" w:space="0" w:color="auto"/>
              <w:bottom w:val="single" w:sz="4" w:space="0" w:color="auto"/>
              <w:right w:val="single" w:sz="4" w:space="0" w:color="auto"/>
            </w:tcBorders>
          </w:tcPr>
          <w:p w14:paraId="48EC5462" w14:textId="79D862CC" w:rsidR="00984B34" w:rsidRPr="009E686F" w:rsidRDefault="00984B34" w:rsidP="00984B34">
            <w:pPr>
              <w:spacing w:after="0"/>
              <w:jc w:val="both"/>
              <w:rPr>
                <w:rFonts w:ascii="Times New Roman" w:hAnsi="Times New Roman" w:cs="Times New Roman"/>
                <w:lang w:val="ro-RO"/>
              </w:rPr>
            </w:pPr>
            <w:r w:rsidRPr="009E686F">
              <w:rPr>
                <w:rFonts w:ascii="Times New Roman" w:eastAsia="Aptos" w:hAnsi="Times New Roman" w:cs="Times New Roman"/>
                <w:kern w:val="2"/>
                <w:lang w:val="ro-MD"/>
              </w:rPr>
              <w:t xml:space="preserve">(3) Banca Naţională a Moldovei verifică şi evaluează în special măsura în care, pentru scopurile respectivelor abordări, </w:t>
            </w:r>
            <w:r w:rsidRPr="009E686F">
              <w:rPr>
                <w:rFonts w:ascii="Times New Roman" w:eastAsia="Aptos" w:hAnsi="Times New Roman" w:cs="Times New Roman"/>
                <w:i/>
                <w:iCs/>
                <w:kern w:val="2"/>
                <w:lang w:val="ro-MD"/>
              </w:rPr>
              <w:t>instituția de credit</w:t>
            </w:r>
            <w:r w:rsidRPr="009E686F">
              <w:rPr>
                <w:rFonts w:ascii="Times New Roman" w:eastAsia="Aptos" w:hAnsi="Times New Roman" w:cs="Times New Roman"/>
                <w:kern w:val="2"/>
                <w:lang w:val="ro-MD"/>
              </w:rPr>
              <w:t xml:space="preserve"> utilizează tehnici şi practici corect elaborate şi actualizate.</w:t>
            </w:r>
          </w:p>
        </w:tc>
        <w:tc>
          <w:tcPr>
            <w:tcW w:w="470" w:type="pct"/>
            <w:tcBorders>
              <w:top w:val="single" w:sz="4" w:space="0" w:color="auto"/>
              <w:left w:val="single" w:sz="4" w:space="0" w:color="auto"/>
              <w:bottom w:val="single" w:sz="4" w:space="0" w:color="auto"/>
              <w:right w:val="single" w:sz="4" w:space="0" w:color="auto"/>
            </w:tcBorders>
          </w:tcPr>
          <w:p w14:paraId="2D6E1DED" w14:textId="603B0415"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779ABDFE" w14:textId="77777777" w:rsidR="00984B34" w:rsidRPr="009E686F" w:rsidRDefault="00984B34" w:rsidP="00984B34">
            <w:pPr>
              <w:jc w:val="both"/>
              <w:rPr>
                <w:rFonts w:ascii="Times New Roman" w:hAnsi="Times New Roman" w:cs="Times New Roman"/>
                <w:lang w:val="ro-RO"/>
              </w:rPr>
            </w:pPr>
          </w:p>
        </w:tc>
      </w:tr>
      <w:tr w:rsidR="00984B34" w:rsidRPr="009E686F" w14:paraId="63B69920" w14:textId="20C0FDDD" w:rsidTr="00774F3E">
        <w:tc>
          <w:tcPr>
            <w:tcW w:w="1796" w:type="pct"/>
            <w:gridSpan w:val="2"/>
            <w:tcBorders>
              <w:top w:val="single" w:sz="4" w:space="0" w:color="auto"/>
              <w:left w:val="single" w:sz="4" w:space="0" w:color="auto"/>
              <w:bottom w:val="single" w:sz="4" w:space="0" w:color="auto"/>
              <w:right w:val="single" w:sz="4" w:space="0" w:color="auto"/>
            </w:tcBorders>
          </w:tcPr>
          <w:p w14:paraId="22A84158" w14:textId="210FD572"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(3) În cazul în care, pentru un birou de tranzacționare care utilizează un model intern pentru riscul de piață, rezultatele testării ex-post sau ale testului de atribuire a profiturilor și a pierderilor indică faptul că modelul nu mai este suficient de precis, autoritățile competente revizuiesc condițiile de </w:t>
            </w:r>
            <w:r w:rsidRPr="009E686F">
              <w:rPr>
                <w:rFonts w:ascii="Times New Roman" w:hAnsi="Times New Roman" w:cs="Times New Roman"/>
                <w:lang w:val="ro-RO"/>
              </w:rPr>
              <w:lastRenderedPageBreak/>
              <w:t>acordare a permisiunii de utilizare a modelului intern sau impun măsuri corespunzătoare pentru a asigura îmbunătățirea imediată a modelului.</w:t>
            </w:r>
          </w:p>
          <w:p w14:paraId="698BB37D" w14:textId="18B2D537" w:rsidR="00984B34" w:rsidRPr="009E686F" w:rsidRDefault="00984B34" w:rsidP="00984B34">
            <w:pPr>
              <w:spacing w:after="0"/>
              <w:jc w:val="both"/>
              <w:rPr>
                <w:rFonts w:ascii="Times New Roman" w:hAnsi="Times New Roman" w:cs="Times New Roman"/>
                <w:lang w:val="ro-RO"/>
              </w:rPr>
            </w:pPr>
          </w:p>
        </w:tc>
        <w:tc>
          <w:tcPr>
            <w:tcW w:w="1928" w:type="pct"/>
            <w:gridSpan w:val="3"/>
            <w:tcBorders>
              <w:top w:val="single" w:sz="4" w:space="0" w:color="auto"/>
              <w:left w:val="single" w:sz="4" w:space="0" w:color="auto"/>
              <w:bottom w:val="single" w:sz="4" w:space="0" w:color="auto"/>
              <w:right w:val="single" w:sz="4" w:space="0" w:color="auto"/>
            </w:tcBorders>
          </w:tcPr>
          <w:p w14:paraId="38134BED" w14:textId="475D4F2D" w:rsidR="00984B34" w:rsidRPr="009E686F" w:rsidRDefault="00984B34" w:rsidP="00984B34">
            <w:pPr>
              <w:spacing w:after="0"/>
              <w:jc w:val="both"/>
              <w:rPr>
                <w:rFonts w:ascii="Times New Roman" w:hAnsi="Times New Roman" w:cs="Times New Roman"/>
                <w:lang w:val="ro-RO"/>
              </w:rPr>
            </w:pPr>
            <w:r w:rsidRPr="009E686F">
              <w:rPr>
                <w:rFonts w:ascii="Times New Roman" w:eastAsia="Aptos" w:hAnsi="Times New Roman" w:cs="Times New Roman"/>
                <w:kern w:val="2"/>
                <w:lang w:val="ro-MD"/>
              </w:rPr>
              <w:lastRenderedPageBreak/>
              <w:t xml:space="preserve">(4) În cazul în care, pentru un </w:t>
            </w:r>
            <w:r w:rsidRPr="009E686F">
              <w:rPr>
                <w:rFonts w:ascii="Times New Roman" w:eastAsia="Aptos" w:hAnsi="Times New Roman" w:cs="Times New Roman"/>
                <w:i/>
                <w:kern w:val="2"/>
                <w:lang w:val="ro-MD"/>
              </w:rPr>
              <w:t>birou de tranzacționare care utilizează un</w:t>
            </w:r>
            <w:r w:rsidRPr="009E686F">
              <w:rPr>
                <w:rFonts w:ascii="Times New Roman" w:eastAsia="Aptos" w:hAnsi="Times New Roman" w:cs="Times New Roman"/>
                <w:kern w:val="2"/>
                <w:lang w:val="ro-MD"/>
              </w:rPr>
              <w:t xml:space="preserve"> model intern destinat riscului de piaţă, </w:t>
            </w:r>
            <w:r w:rsidRPr="009E686F">
              <w:rPr>
                <w:rFonts w:ascii="Times New Roman" w:eastAsia="Aptos" w:hAnsi="Times New Roman" w:cs="Times New Roman"/>
                <w:i/>
                <w:kern w:val="2"/>
                <w:lang w:val="ro-MD"/>
              </w:rPr>
              <w:t>rezultatele testării ex-post sau ale testului de atribuire a profiturilor și a pierderilor</w:t>
            </w:r>
            <w:r w:rsidRPr="009E686F">
              <w:rPr>
                <w:rFonts w:ascii="Times New Roman" w:eastAsia="Aptos" w:hAnsi="Times New Roman" w:cs="Times New Roman"/>
                <w:kern w:val="2"/>
                <w:lang w:val="ro-MD"/>
              </w:rPr>
              <w:t xml:space="preserve"> indică faptul că modelul nu este sau nu mai este suficient de precis, Banca Naţională a Moldovei </w:t>
            </w:r>
            <w:r w:rsidRPr="009E686F">
              <w:rPr>
                <w:rFonts w:ascii="Times New Roman" w:eastAsia="Aptos" w:hAnsi="Times New Roman" w:cs="Times New Roman"/>
                <w:i/>
                <w:kern w:val="2"/>
                <w:lang w:val="ro-MD"/>
              </w:rPr>
              <w:t xml:space="preserve">revizuiește </w:t>
            </w:r>
            <w:r w:rsidRPr="009E686F">
              <w:rPr>
                <w:rFonts w:ascii="Times New Roman" w:eastAsia="Aptos" w:hAnsi="Times New Roman" w:cs="Times New Roman"/>
                <w:i/>
                <w:kern w:val="2"/>
                <w:lang w:val="ro-MD"/>
              </w:rPr>
              <w:lastRenderedPageBreak/>
              <w:t>condițiile de</w:t>
            </w:r>
            <w:r w:rsidRPr="009E686F">
              <w:rPr>
                <w:rFonts w:ascii="Times New Roman" w:eastAsia="Aptos" w:hAnsi="Times New Roman" w:cs="Times New Roman"/>
                <w:kern w:val="2"/>
                <w:lang w:val="ro-MD"/>
              </w:rPr>
              <w:t xml:space="preserve"> aprobare a </w:t>
            </w:r>
            <w:r w:rsidRPr="009E686F">
              <w:rPr>
                <w:rFonts w:ascii="Times New Roman" w:eastAsia="Aptos" w:hAnsi="Times New Roman" w:cs="Times New Roman"/>
                <w:i/>
                <w:kern w:val="2"/>
                <w:lang w:val="ro-MD"/>
              </w:rPr>
              <w:t>utilizării</w:t>
            </w:r>
            <w:r w:rsidRPr="009E686F">
              <w:rPr>
                <w:rFonts w:ascii="Times New Roman" w:eastAsia="Aptos" w:hAnsi="Times New Roman" w:cs="Times New Roman"/>
                <w:kern w:val="2"/>
                <w:lang w:val="ro-MD"/>
              </w:rPr>
              <w:t xml:space="preserve"> modelului intern </w:t>
            </w:r>
            <w:r w:rsidRPr="009E686F">
              <w:rPr>
                <w:rFonts w:ascii="Times New Roman" w:eastAsia="Aptos" w:hAnsi="Times New Roman" w:cs="Times New Roman"/>
                <w:i/>
                <w:iCs/>
                <w:kern w:val="2"/>
                <w:lang w:val="ro-MD"/>
              </w:rPr>
              <w:t>pentru institu</w:t>
            </w:r>
            <w:r w:rsidRPr="009E686F">
              <w:rPr>
                <w:rFonts w:ascii="Times New Roman" w:eastAsia="Aptos" w:hAnsi="Times New Roman" w:cs="Times New Roman"/>
                <w:i/>
                <w:iCs/>
                <w:kern w:val="2"/>
                <w:lang w:val="ro-RO"/>
              </w:rPr>
              <w:t>ț</w:t>
            </w:r>
            <w:r w:rsidRPr="009E686F">
              <w:rPr>
                <w:rFonts w:ascii="Times New Roman" w:eastAsia="Aptos" w:hAnsi="Times New Roman" w:cs="Times New Roman"/>
                <w:i/>
                <w:iCs/>
                <w:kern w:val="2"/>
                <w:lang w:val="ro-MD"/>
              </w:rPr>
              <w:t>ia de credit</w:t>
            </w:r>
            <w:r w:rsidRPr="009E686F">
              <w:rPr>
                <w:rFonts w:ascii="Times New Roman" w:eastAsia="Aptos" w:hAnsi="Times New Roman" w:cs="Times New Roman"/>
                <w:kern w:val="2"/>
                <w:lang w:val="ro-MD"/>
              </w:rPr>
              <w:t xml:space="preserve"> sau impune </w:t>
            </w:r>
            <w:r w:rsidRPr="009E686F">
              <w:rPr>
                <w:rFonts w:ascii="Times New Roman" w:eastAsia="Aptos" w:hAnsi="Times New Roman" w:cs="Times New Roman"/>
                <w:i/>
                <w:iCs/>
                <w:kern w:val="2"/>
                <w:lang w:val="ro-MD"/>
              </w:rPr>
              <w:t>acesteia</w:t>
            </w:r>
            <w:r w:rsidRPr="009E686F">
              <w:rPr>
                <w:rFonts w:ascii="Times New Roman" w:eastAsia="Aptos" w:hAnsi="Times New Roman" w:cs="Times New Roman"/>
                <w:kern w:val="2"/>
                <w:lang w:val="ro-MD"/>
              </w:rPr>
              <w:t xml:space="preserve"> măsuri adecvate pentru a se asigura că modelul este îmbunătăţit cu promptitudine.</w:t>
            </w:r>
          </w:p>
        </w:tc>
        <w:tc>
          <w:tcPr>
            <w:tcW w:w="470" w:type="pct"/>
            <w:tcBorders>
              <w:top w:val="single" w:sz="4" w:space="0" w:color="auto"/>
              <w:left w:val="single" w:sz="4" w:space="0" w:color="auto"/>
              <w:bottom w:val="single" w:sz="4" w:space="0" w:color="auto"/>
              <w:right w:val="single" w:sz="4" w:space="0" w:color="auto"/>
            </w:tcBorders>
          </w:tcPr>
          <w:p w14:paraId="57549A77" w14:textId="5318720B"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36EE7347" w14:textId="77777777" w:rsidR="00984B34" w:rsidRPr="009E686F" w:rsidRDefault="00984B34" w:rsidP="00984B34">
            <w:pPr>
              <w:jc w:val="both"/>
              <w:rPr>
                <w:rFonts w:ascii="Times New Roman" w:hAnsi="Times New Roman" w:cs="Times New Roman"/>
                <w:lang w:val="ro-RO"/>
              </w:rPr>
            </w:pPr>
          </w:p>
        </w:tc>
      </w:tr>
      <w:tr w:rsidR="00984B34" w:rsidRPr="009E686F" w14:paraId="66334D55" w14:textId="3D7AD8A2" w:rsidTr="00774F3E">
        <w:tc>
          <w:tcPr>
            <w:tcW w:w="1796" w:type="pct"/>
            <w:gridSpan w:val="2"/>
            <w:tcBorders>
              <w:top w:val="single" w:sz="4" w:space="0" w:color="auto"/>
              <w:left w:val="single" w:sz="4" w:space="0" w:color="auto"/>
              <w:bottom w:val="single" w:sz="4" w:space="0" w:color="auto"/>
              <w:right w:val="single" w:sz="4" w:space="0" w:color="auto"/>
            </w:tcBorders>
          </w:tcPr>
          <w:p w14:paraId="52697598" w14:textId="6BDCC433"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(4) Dacă o instituție a primit permisiunea de a aplica o abordare care necesită permisiunea din partea autorităților competente înainte de utilizarea unei astfel de abordări pentru calculul cerințelor de fonduri proprii în conformitate cu partea a treia din Regulamentul (UE) nr. 575/2013, însă nu mai îndeplinește cerințele referitoare la aplicarea respectivei abordări, autoritățile competente solicită instituției în cauză fie să demonstreze într-un mod pe care autoritatea competentă îl consideră satisfăcător că efectul neconformității este nesemnificativ atunci când abordarea se aplică în conformitate cu Regulamentul (UE) nr. 575/2013, fie să prezinte un plan de restabilire rapidă a conformității cu cerințele și să stabilească un termen limită pentru punerea în aplicare a acestuia. </w:t>
            </w:r>
          </w:p>
          <w:p w14:paraId="32D13B89" w14:textId="77777777" w:rsidR="00984B34" w:rsidRPr="009E686F" w:rsidRDefault="00984B34" w:rsidP="00984B34">
            <w:pPr>
              <w:spacing w:after="0"/>
              <w:jc w:val="both"/>
              <w:rPr>
                <w:rFonts w:ascii="Times New Roman" w:hAnsi="Times New Roman" w:cs="Times New Roman"/>
                <w:lang w:val="ro-RO"/>
              </w:rPr>
            </w:pPr>
          </w:p>
          <w:p w14:paraId="1FE5BF27" w14:textId="77777777" w:rsidR="00984B34" w:rsidRPr="009E686F" w:rsidRDefault="00984B34" w:rsidP="00984B34">
            <w:pPr>
              <w:spacing w:after="0"/>
              <w:jc w:val="both"/>
              <w:rPr>
                <w:rFonts w:ascii="Times New Roman" w:hAnsi="Times New Roman" w:cs="Times New Roman"/>
                <w:lang w:val="ro-RO"/>
              </w:rPr>
            </w:pPr>
          </w:p>
          <w:p w14:paraId="4BE3007A"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Autoritățile competente cer să se aducă îmbunătățiri planului în cazul în care este puțin probabil ca acesta să aibă drept rezultat conformitatea deplină sau în cazul în care termenul este inadecvat. Dacă este puțin probabil ca instituția să poată restabili conformitatea într-un termen adecvat, și - după caz - nu a demonstrat în mod satisfăcător că efectul neconformității este nesemnificativ, permisiunea de a utiliza abordarea este anulată sau limitată la domeniile conforme sau la acele domenii pentru care conformitatea poate fi obținută într-un termen adecvat.</w:t>
            </w:r>
          </w:p>
        </w:tc>
        <w:tc>
          <w:tcPr>
            <w:tcW w:w="1928" w:type="pct"/>
            <w:gridSpan w:val="3"/>
            <w:tcBorders>
              <w:top w:val="single" w:sz="4" w:space="0" w:color="auto"/>
              <w:left w:val="single" w:sz="4" w:space="0" w:color="auto"/>
              <w:bottom w:val="single" w:sz="4" w:space="0" w:color="auto"/>
              <w:right w:val="single" w:sz="4" w:space="0" w:color="auto"/>
            </w:tcBorders>
          </w:tcPr>
          <w:p w14:paraId="44787D88" w14:textId="77777777" w:rsidR="00567D0D" w:rsidRPr="009E686F" w:rsidRDefault="00984B34" w:rsidP="00984B34">
            <w:pPr>
              <w:spacing w:after="0"/>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 xml:space="preserve">(5) Dacă o </w:t>
            </w:r>
            <w:r w:rsidRPr="009E686F">
              <w:rPr>
                <w:rFonts w:ascii="Times New Roman" w:eastAsia="Aptos" w:hAnsi="Times New Roman" w:cs="Times New Roman"/>
                <w:i/>
                <w:kern w:val="2"/>
                <w:lang w:val="ro-MD"/>
              </w:rPr>
              <w:t>instituție</w:t>
            </w:r>
            <w:r w:rsidRPr="009E686F">
              <w:rPr>
                <w:rFonts w:ascii="Times New Roman" w:eastAsia="Aptos" w:hAnsi="Times New Roman" w:cs="Times New Roman"/>
                <w:i/>
                <w:iCs/>
                <w:kern w:val="2"/>
                <w:lang w:val="ro-MD"/>
              </w:rPr>
              <w:t xml:space="preserve"> de credit</w:t>
            </w:r>
            <w:r w:rsidRPr="009E686F">
              <w:rPr>
                <w:rFonts w:ascii="Times New Roman" w:eastAsia="Aptos" w:hAnsi="Times New Roman" w:cs="Times New Roman"/>
                <w:kern w:val="2"/>
                <w:lang w:val="ro-MD"/>
              </w:rPr>
              <w:t xml:space="preserve">  a primit aprobarea de a aplica o abordare internă care necesită aprobarea din partea Băncii Naţionale a Moldovei înainte de utilizarea unei astfel de abordări pentru calculul cerinţelor de fonduri proprii, potrivit prevederilor actelor normative ale Băncii Naţionale a Moldovei, însă nu mai îndeplineşte cerinţele referitoare la aplicarea respectivei abordări, Banca Naţională a Moldovei solicită </w:t>
            </w:r>
            <w:r w:rsidRPr="009E686F">
              <w:rPr>
                <w:rFonts w:ascii="Times New Roman" w:eastAsia="Aptos" w:hAnsi="Times New Roman" w:cs="Times New Roman"/>
                <w:i/>
                <w:iCs/>
                <w:kern w:val="2"/>
                <w:lang w:val="ro-MD"/>
              </w:rPr>
              <w:t>instituției de credit</w:t>
            </w:r>
            <w:r w:rsidRPr="009E686F">
              <w:rPr>
                <w:rFonts w:ascii="Times New Roman" w:eastAsia="Aptos" w:hAnsi="Times New Roman" w:cs="Times New Roman"/>
                <w:kern w:val="2"/>
                <w:lang w:val="ro-MD"/>
              </w:rPr>
              <w:t xml:space="preserve"> în cauză fie să demonstreze, într-un mod pe care îl consideră satisfăcător, că efectul neconformării este nesemnificativ atunci cînd abordarea se aplică potrivit actelor normative ale Băncii Naţionale a Moldovei, fie să prezinte un plan de restabilire în timp util a conformării la cerinţele menţionate anterior şi să stabilească un termen-limită pentru punerea în aplicare a acestuia.</w:t>
            </w:r>
          </w:p>
          <w:p w14:paraId="7716DE5A" w14:textId="66F447EF" w:rsidR="00984B34" w:rsidRPr="009E686F" w:rsidRDefault="00984B34" w:rsidP="00984B34">
            <w:pPr>
              <w:spacing w:after="0"/>
              <w:jc w:val="both"/>
              <w:rPr>
                <w:rFonts w:ascii="Times New Roman" w:hAnsi="Times New Roman" w:cs="Times New Roman"/>
                <w:lang w:val="ro-RO"/>
              </w:rPr>
            </w:pPr>
            <w:r w:rsidRPr="009E686F">
              <w:rPr>
                <w:rFonts w:ascii="Times New Roman" w:eastAsia="Aptos" w:hAnsi="Times New Roman" w:cs="Times New Roman"/>
                <w:kern w:val="2"/>
                <w:lang w:val="ro-MD"/>
              </w:rPr>
              <w:t xml:space="preserve">(6) Pentru scopurile alin.(5), Banca Naţională a Moldovei solicită îmbunătăţirea planului de restabilire în cazul în care este puţin probabil ca acesta să aibă drept rezultat o conformare deplină sau în cazul în care termenul este inadecvat. În situaţia în care este puţin probabil ca </w:t>
            </w:r>
            <w:r w:rsidRPr="009E686F">
              <w:rPr>
                <w:rFonts w:ascii="Times New Roman" w:eastAsia="Aptos" w:hAnsi="Times New Roman" w:cs="Times New Roman"/>
                <w:i/>
                <w:iCs/>
                <w:kern w:val="2"/>
                <w:lang w:val="ro-MD"/>
              </w:rPr>
              <w:t>instituția de credit</w:t>
            </w:r>
            <w:r w:rsidRPr="009E686F">
              <w:rPr>
                <w:rFonts w:ascii="Times New Roman" w:eastAsia="Aptos" w:hAnsi="Times New Roman" w:cs="Times New Roman"/>
                <w:kern w:val="2"/>
                <w:lang w:val="ro-MD"/>
              </w:rPr>
              <w:t xml:space="preserve"> să poată restabili conformitatea într-un termen adecvat şi, după caz, nu a demonstrat în mod satisfăcător că efectul neconformării este nesemnificativ, Banca Naţională a Moldovei revocă aprobarea de a utiliza abordarea sau impune limitarea acesteia la domeniile conforme sau la acele domenii pentru care conformarea poate fi realizată într-un termen adecvat.</w:t>
            </w:r>
          </w:p>
        </w:tc>
        <w:tc>
          <w:tcPr>
            <w:tcW w:w="470" w:type="pct"/>
            <w:tcBorders>
              <w:top w:val="single" w:sz="4" w:space="0" w:color="auto"/>
              <w:left w:val="single" w:sz="4" w:space="0" w:color="auto"/>
              <w:bottom w:val="single" w:sz="4" w:space="0" w:color="auto"/>
              <w:right w:val="single" w:sz="4" w:space="0" w:color="auto"/>
            </w:tcBorders>
          </w:tcPr>
          <w:p w14:paraId="1D1B493E" w14:textId="77777777"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p w14:paraId="3053B787" w14:textId="77777777" w:rsidR="00984B34" w:rsidRPr="009E686F" w:rsidRDefault="00984B34" w:rsidP="00984B34">
            <w:pPr>
              <w:jc w:val="both"/>
              <w:rPr>
                <w:rFonts w:ascii="Times New Roman" w:hAnsi="Times New Roman" w:cs="Times New Roman"/>
                <w:lang w:val="ro-RO"/>
              </w:rPr>
            </w:pPr>
          </w:p>
          <w:p w14:paraId="28F7D7A7" w14:textId="77777777" w:rsidR="00984B34" w:rsidRPr="009E686F" w:rsidRDefault="00984B34" w:rsidP="00984B34">
            <w:pPr>
              <w:jc w:val="both"/>
              <w:rPr>
                <w:rFonts w:ascii="Times New Roman" w:hAnsi="Times New Roman" w:cs="Times New Roman"/>
                <w:lang w:val="ro-RO"/>
              </w:rPr>
            </w:pPr>
          </w:p>
          <w:p w14:paraId="23058C74" w14:textId="77777777" w:rsidR="00984B34" w:rsidRPr="009E686F" w:rsidRDefault="00984B34" w:rsidP="00984B34">
            <w:pPr>
              <w:jc w:val="both"/>
              <w:rPr>
                <w:rFonts w:ascii="Times New Roman" w:hAnsi="Times New Roman" w:cs="Times New Roman"/>
                <w:lang w:val="ro-RO"/>
              </w:rPr>
            </w:pPr>
          </w:p>
          <w:p w14:paraId="7C259B2F" w14:textId="77777777" w:rsidR="00984B34" w:rsidRPr="009E686F" w:rsidRDefault="00984B34" w:rsidP="00984B34">
            <w:pPr>
              <w:jc w:val="both"/>
              <w:rPr>
                <w:rFonts w:ascii="Times New Roman" w:hAnsi="Times New Roman" w:cs="Times New Roman"/>
                <w:lang w:val="ro-RO"/>
              </w:rPr>
            </w:pPr>
          </w:p>
          <w:p w14:paraId="496AD068" w14:textId="77777777" w:rsidR="00984B34" w:rsidRPr="009E686F" w:rsidRDefault="00984B34" w:rsidP="00984B34">
            <w:pPr>
              <w:jc w:val="both"/>
              <w:rPr>
                <w:rFonts w:ascii="Times New Roman" w:hAnsi="Times New Roman" w:cs="Times New Roman"/>
                <w:lang w:val="ro-RO"/>
              </w:rPr>
            </w:pPr>
          </w:p>
          <w:p w14:paraId="5E09E0CD" w14:textId="77777777" w:rsidR="00984B34" w:rsidRPr="009E686F" w:rsidRDefault="00984B34" w:rsidP="00984B34">
            <w:pPr>
              <w:jc w:val="both"/>
              <w:rPr>
                <w:rFonts w:ascii="Times New Roman" w:hAnsi="Times New Roman" w:cs="Times New Roman"/>
                <w:lang w:val="ro-RO"/>
              </w:rPr>
            </w:pPr>
          </w:p>
          <w:p w14:paraId="3576EDAB" w14:textId="77777777" w:rsidR="00984B34" w:rsidRPr="009E686F" w:rsidRDefault="00984B34" w:rsidP="00984B34">
            <w:pPr>
              <w:jc w:val="both"/>
              <w:rPr>
                <w:rFonts w:ascii="Times New Roman" w:hAnsi="Times New Roman" w:cs="Times New Roman"/>
                <w:lang w:val="ro-RO"/>
              </w:rPr>
            </w:pPr>
          </w:p>
          <w:p w14:paraId="49B9CAAF" w14:textId="77777777" w:rsidR="00984B34" w:rsidRPr="009E686F" w:rsidRDefault="00984B34" w:rsidP="00984B34">
            <w:pPr>
              <w:jc w:val="both"/>
              <w:rPr>
                <w:rFonts w:ascii="Times New Roman" w:hAnsi="Times New Roman" w:cs="Times New Roman"/>
                <w:lang w:val="ro-RO"/>
              </w:rPr>
            </w:pPr>
          </w:p>
          <w:p w14:paraId="088110EA" w14:textId="77777777" w:rsidR="00984B34" w:rsidRPr="009E686F" w:rsidRDefault="00984B34" w:rsidP="00984B34">
            <w:pPr>
              <w:jc w:val="both"/>
              <w:rPr>
                <w:rFonts w:ascii="Times New Roman" w:hAnsi="Times New Roman" w:cs="Times New Roman"/>
                <w:lang w:val="ro-RO"/>
              </w:rPr>
            </w:pPr>
          </w:p>
          <w:p w14:paraId="7B468D3B" w14:textId="77777777" w:rsidR="00984B34" w:rsidRPr="009E686F" w:rsidRDefault="00984B34" w:rsidP="00984B34">
            <w:pPr>
              <w:jc w:val="both"/>
              <w:rPr>
                <w:rFonts w:ascii="Times New Roman" w:hAnsi="Times New Roman" w:cs="Times New Roman"/>
                <w:lang w:val="ro-RO"/>
              </w:rPr>
            </w:pPr>
          </w:p>
          <w:p w14:paraId="40967054" w14:textId="77777777" w:rsidR="00984B34" w:rsidRPr="009E686F" w:rsidRDefault="00984B34" w:rsidP="00984B34">
            <w:pPr>
              <w:jc w:val="both"/>
              <w:rPr>
                <w:rFonts w:ascii="Times New Roman" w:hAnsi="Times New Roman" w:cs="Times New Roman"/>
                <w:lang w:val="ro-RO"/>
              </w:rPr>
            </w:pPr>
          </w:p>
          <w:p w14:paraId="101C7C5D" w14:textId="77777777" w:rsidR="00984B34" w:rsidRPr="009E686F" w:rsidRDefault="00984B34" w:rsidP="00984B34">
            <w:pPr>
              <w:jc w:val="both"/>
              <w:rPr>
                <w:rFonts w:ascii="Times New Roman" w:hAnsi="Times New Roman" w:cs="Times New Roman"/>
                <w:lang w:val="ro-RO"/>
              </w:rPr>
            </w:pPr>
          </w:p>
          <w:p w14:paraId="1BBF796B" w14:textId="77777777" w:rsidR="00984B34" w:rsidRPr="009E686F" w:rsidRDefault="00984B34" w:rsidP="00984B34">
            <w:pPr>
              <w:jc w:val="both"/>
              <w:rPr>
                <w:rFonts w:ascii="Times New Roman" w:hAnsi="Times New Roman" w:cs="Times New Roman"/>
                <w:lang w:val="ro-RO"/>
              </w:rPr>
            </w:pPr>
          </w:p>
          <w:p w14:paraId="256551C6" w14:textId="77777777" w:rsidR="00984B34" w:rsidRPr="009E686F" w:rsidRDefault="00984B34" w:rsidP="00984B34">
            <w:pPr>
              <w:jc w:val="both"/>
              <w:rPr>
                <w:rFonts w:ascii="Times New Roman" w:hAnsi="Times New Roman" w:cs="Times New Roman"/>
                <w:lang w:val="ro-RO"/>
              </w:rPr>
            </w:pPr>
          </w:p>
          <w:p w14:paraId="435D1D21" w14:textId="3AFED805"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69C7DC19" w14:textId="77777777" w:rsidR="00984B34" w:rsidRPr="009E686F" w:rsidRDefault="00984B34" w:rsidP="00984B34">
            <w:pPr>
              <w:jc w:val="both"/>
              <w:rPr>
                <w:rFonts w:ascii="Times New Roman" w:hAnsi="Times New Roman" w:cs="Times New Roman"/>
                <w:lang w:val="ro-RO"/>
              </w:rPr>
            </w:pPr>
          </w:p>
        </w:tc>
      </w:tr>
      <w:tr w:rsidR="00984B34" w:rsidRPr="009E686F" w14:paraId="103B6362" w14:textId="17F69F7F" w:rsidTr="00774F3E">
        <w:tc>
          <w:tcPr>
            <w:tcW w:w="1796" w:type="pct"/>
            <w:gridSpan w:val="2"/>
            <w:tcBorders>
              <w:top w:val="single" w:sz="4" w:space="0" w:color="auto"/>
              <w:left w:val="single" w:sz="4" w:space="0" w:color="auto"/>
              <w:bottom w:val="single" w:sz="4" w:space="0" w:color="auto"/>
              <w:right w:val="single" w:sz="4" w:space="0" w:color="auto"/>
            </w:tcBorders>
          </w:tcPr>
          <w:p w14:paraId="546D4E42" w14:textId="5F3C20DA"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lastRenderedPageBreak/>
              <w:t>(5) Pentru a promova consecvența și robustețea abordărilor interne în cadrul Uniunii, ABE analizează abordările interne din cadrul instituțiilor, inclusiv consecvența punerii în aplicare a definiției noțiunii de incapacitate de plată și a modului în care instituțiile abordează riscuri sau expuneri similare.</w:t>
            </w:r>
          </w:p>
          <w:p w14:paraId="49CB8FE0" w14:textId="05DA3020"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ABE elaborează, în conformitate cu articolul 16 din Regulamentul (UE) nr. 1093/2010, orientări care cuprind valori de referință bazate pe această analiză.</w:t>
            </w:r>
          </w:p>
        </w:tc>
        <w:tc>
          <w:tcPr>
            <w:tcW w:w="1928" w:type="pct"/>
            <w:gridSpan w:val="3"/>
            <w:tcBorders>
              <w:top w:val="single" w:sz="4" w:space="0" w:color="auto"/>
              <w:left w:val="single" w:sz="4" w:space="0" w:color="auto"/>
              <w:bottom w:val="single" w:sz="4" w:space="0" w:color="auto"/>
              <w:right w:val="single" w:sz="4" w:space="0" w:color="auto"/>
            </w:tcBorders>
          </w:tcPr>
          <w:p w14:paraId="4973B311"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0E7DEEB6" w14:textId="18AF2467"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neaplicabile</w:t>
            </w:r>
            <w:r w:rsidRPr="009E686F" w:rsidDel="00AD62FB">
              <w:rPr>
                <w:rFonts w:ascii="Times New Roman" w:hAnsi="Times New Roman" w:cs="Times New Roman"/>
                <w:lang w:val="ro-RO"/>
              </w:rPr>
              <w:t xml:space="preserve"> </w:t>
            </w:r>
          </w:p>
        </w:tc>
        <w:tc>
          <w:tcPr>
            <w:tcW w:w="806" w:type="pct"/>
            <w:tcBorders>
              <w:top w:val="single" w:sz="4" w:space="0" w:color="auto"/>
              <w:left w:val="single" w:sz="4" w:space="0" w:color="auto"/>
              <w:bottom w:val="single" w:sz="4" w:space="0" w:color="auto"/>
              <w:right w:val="single" w:sz="4" w:space="0" w:color="auto"/>
            </w:tcBorders>
          </w:tcPr>
          <w:p w14:paraId="281ECC63" w14:textId="5AB5FC2A" w:rsidR="00984B34" w:rsidRPr="009E686F" w:rsidRDefault="00984B34" w:rsidP="00984B34">
            <w:pPr>
              <w:jc w:val="both"/>
              <w:rPr>
                <w:rFonts w:ascii="Times New Roman" w:hAnsi="Times New Roman" w:cs="Times New Roman"/>
                <w:lang w:val="ro-RO"/>
              </w:rPr>
            </w:pPr>
            <w:r w:rsidRPr="009E686F">
              <w:rPr>
                <w:rFonts w:ascii="Times New Roman" w:eastAsia="Aptos" w:hAnsi="Times New Roman" w:cs="Times New Roman"/>
                <w:kern w:val="2"/>
                <w:lang w:val="ro-MD"/>
              </w:rPr>
              <w:t>Se referă la competențele ABE.</w:t>
            </w:r>
          </w:p>
        </w:tc>
      </w:tr>
      <w:tr w:rsidR="00984B34" w:rsidRPr="009E686F" w14:paraId="767ABD26"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11E98591" w14:textId="5DB743A1" w:rsidR="00984B34" w:rsidRPr="009E686F" w:rsidRDefault="00984B34" w:rsidP="00984B34">
            <w:pPr>
              <w:spacing w:after="0"/>
              <w:jc w:val="both"/>
              <w:rPr>
                <w:rFonts w:ascii="Times New Roman" w:hAnsi="Times New Roman" w:cs="Times New Roman"/>
                <w:bCs/>
                <w:lang w:val="ro-RO"/>
              </w:rPr>
            </w:pPr>
            <w:r w:rsidRPr="009E686F">
              <w:rPr>
                <w:rFonts w:ascii="Times New Roman" w:hAnsi="Times New Roman" w:cs="Times New Roman"/>
                <w:lang w:val="ro-RO"/>
              </w:rPr>
              <w:t>Autoritățile competente țin seama de respectiva analiză și de valorile de referință atunci când examinează permisiunile de a utiliza abordări interne pe care le acordă instituțiilor.</w:t>
            </w:r>
          </w:p>
        </w:tc>
        <w:tc>
          <w:tcPr>
            <w:tcW w:w="1928" w:type="pct"/>
            <w:gridSpan w:val="3"/>
            <w:tcBorders>
              <w:top w:val="single" w:sz="4" w:space="0" w:color="auto"/>
              <w:left w:val="single" w:sz="4" w:space="0" w:color="auto"/>
              <w:bottom w:val="single" w:sz="4" w:space="0" w:color="auto"/>
              <w:right w:val="single" w:sz="4" w:space="0" w:color="auto"/>
            </w:tcBorders>
          </w:tcPr>
          <w:p w14:paraId="7A54DBEB" w14:textId="77777777" w:rsidR="00984B34" w:rsidRPr="009E686F" w:rsidRDefault="00984B34" w:rsidP="00984B34">
            <w:pPr>
              <w:spacing w:after="0"/>
              <w:jc w:val="both"/>
              <w:rPr>
                <w:rFonts w:ascii="Times New Roman" w:eastAsia="Aptos" w:hAnsi="Times New Roman" w:cs="Times New Roman"/>
                <w:b/>
                <w:bCs/>
                <w:kern w:val="2"/>
                <w:lang w:val="ro-MD"/>
              </w:rPr>
            </w:pPr>
            <w:r w:rsidRPr="009E686F">
              <w:rPr>
                <w:rFonts w:ascii="Times New Roman" w:eastAsia="Aptos" w:hAnsi="Times New Roman" w:cs="Times New Roman"/>
                <w:b/>
                <w:bCs/>
                <w:kern w:val="2"/>
                <w:lang w:val="ro-MD"/>
              </w:rPr>
              <w:t>Articolul 102 alin. (1)</w:t>
            </w:r>
          </w:p>
          <w:p w14:paraId="46B5C43F" w14:textId="1421DC9F" w:rsidR="00984B34" w:rsidRPr="009E686F" w:rsidRDefault="00984B34" w:rsidP="00984B34">
            <w:pPr>
              <w:spacing w:after="0"/>
              <w:jc w:val="both"/>
              <w:rPr>
                <w:rFonts w:ascii="Times New Roman" w:hAnsi="Times New Roman" w:cs="Times New Roman"/>
                <w:b/>
                <w:lang w:val="ro-RO"/>
              </w:rPr>
            </w:pPr>
            <w:r w:rsidRPr="009E686F">
              <w:rPr>
                <w:rFonts w:ascii="Times New Roman" w:eastAsia="Aptos" w:hAnsi="Times New Roman" w:cs="Times New Roman"/>
                <w:kern w:val="2"/>
                <w:lang w:val="ro-MD"/>
              </w:rPr>
              <w:t>(1) Banca Naţională a Moldovei verifică în mod regulat, cel puţin o dată la 3 ani, respectarea de către instituții a cerinţelor referitoare la abordările interne care necesită o aprobare înainte de a fi utilizate pentru calculul cerinţelor de fonduri proprii, stabilite prin actele normative emise în aplicarea prezentei legi</w:t>
            </w:r>
            <w:r w:rsidRPr="009E686F">
              <w:rPr>
                <w:rFonts w:ascii="Times New Roman" w:hAnsi="Times New Roman" w:cs="Times New Roman"/>
                <w:lang w:val="ro-RO"/>
              </w:rPr>
              <w:t xml:space="preserve">, </w:t>
            </w:r>
            <w:r w:rsidRPr="009E686F">
              <w:rPr>
                <w:rFonts w:ascii="Times New Roman" w:hAnsi="Times New Roman" w:cs="Times New Roman"/>
                <w:i/>
                <w:lang w:val="ro-RO"/>
              </w:rPr>
              <w:t>ținând cont de analiza elaborată de A</w:t>
            </w:r>
            <w:r w:rsidR="00567D0D" w:rsidRPr="009E686F">
              <w:rPr>
                <w:rFonts w:ascii="Times New Roman" w:hAnsi="Times New Roman" w:cs="Times New Roman"/>
                <w:i/>
                <w:lang w:val="ro-RO"/>
              </w:rPr>
              <w:t xml:space="preserve">utoritatea </w:t>
            </w:r>
            <w:r w:rsidRPr="009E686F">
              <w:rPr>
                <w:rFonts w:ascii="Times New Roman" w:hAnsi="Times New Roman" w:cs="Times New Roman"/>
                <w:i/>
                <w:lang w:val="ro-RO"/>
              </w:rPr>
              <w:t>B</w:t>
            </w:r>
            <w:r w:rsidR="00567D0D" w:rsidRPr="009E686F">
              <w:rPr>
                <w:rFonts w:ascii="Times New Roman" w:hAnsi="Times New Roman" w:cs="Times New Roman"/>
                <w:i/>
                <w:lang w:val="ro-RO"/>
              </w:rPr>
              <w:t xml:space="preserve">ancară </w:t>
            </w:r>
            <w:r w:rsidRPr="009E686F">
              <w:rPr>
                <w:rFonts w:ascii="Times New Roman" w:hAnsi="Times New Roman" w:cs="Times New Roman"/>
                <w:i/>
                <w:lang w:val="ro-RO"/>
              </w:rPr>
              <w:t>E</w:t>
            </w:r>
            <w:r w:rsidR="00567D0D" w:rsidRPr="009E686F">
              <w:rPr>
                <w:rFonts w:ascii="Times New Roman" w:hAnsi="Times New Roman" w:cs="Times New Roman"/>
                <w:i/>
                <w:lang w:val="ro-RO"/>
              </w:rPr>
              <w:t>uropeană</w:t>
            </w:r>
            <w:r w:rsidRPr="009E686F">
              <w:rPr>
                <w:rFonts w:ascii="Times New Roman" w:hAnsi="Times New Roman" w:cs="Times New Roman"/>
                <w:i/>
                <w:lang w:val="ro-RO"/>
              </w:rPr>
              <w:t xml:space="preserve"> a abordărilor interne din cadrul instituțiilor de credit, inclusiv valorile de referință din orientările ABE</w:t>
            </w:r>
            <w:r w:rsidRPr="009E686F">
              <w:rPr>
                <w:rFonts w:ascii="Times New Roman" w:eastAsia="Aptos" w:hAnsi="Times New Roman" w:cs="Times New Roman"/>
                <w:kern w:val="2"/>
                <w:lang w:val="ro-MD"/>
              </w:rPr>
              <w:t>.</w:t>
            </w:r>
            <w:r w:rsidRPr="009E686F">
              <w:rPr>
                <w:rFonts w:ascii="Times New Roman" w:eastAsia="Aptos" w:hAnsi="Times New Roman" w:cs="Times New Roman"/>
                <w:kern w:val="2"/>
                <w:lang w:val="ro-RO"/>
              </w:rPr>
              <w:t>[...]</w:t>
            </w:r>
          </w:p>
        </w:tc>
        <w:tc>
          <w:tcPr>
            <w:tcW w:w="470" w:type="pct"/>
            <w:tcBorders>
              <w:top w:val="single" w:sz="4" w:space="0" w:color="auto"/>
              <w:left w:val="single" w:sz="4" w:space="0" w:color="auto"/>
              <w:bottom w:val="single" w:sz="4" w:space="0" w:color="auto"/>
              <w:right w:val="single" w:sz="4" w:space="0" w:color="auto"/>
            </w:tcBorders>
          </w:tcPr>
          <w:p w14:paraId="4636840C" w14:textId="465B298B"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34748E10" w14:textId="77777777" w:rsidR="00984B34" w:rsidRPr="009E686F" w:rsidRDefault="00984B34" w:rsidP="00984B34">
            <w:pPr>
              <w:jc w:val="both"/>
              <w:rPr>
                <w:rFonts w:ascii="Times New Roman" w:hAnsi="Times New Roman" w:cs="Times New Roman"/>
                <w:lang w:val="ro-RO"/>
              </w:rPr>
            </w:pPr>
          </w:p>
        </w:tc>
      </w:tr>
      <w:tr w:rsidR="00984B34" w:rsidRPr="009E686F" w14:paraId="2F7E8ED7" w14:textId="2FC0E6BA" w:rsidTr="00774F3E">
        <w:tc>
          <w:tcPr>
            <w:tcW w:w="1796" w:type="pct"/>
            <w:gridSpan w:val="2"/>
            <w:tcBorders>
              <w:top w:val="single" w:sz="4" w:space="0" w:color="auto"/>
              <w:left w:val="single" w:sz="4" w:space="0" w:color="auto"/>
              <w:bottom w:val="single" w:sz="4" w:space="0" w:color="auto"/>
              <w:right w:val="single" w:sz="4" w:space="0" w:color="auto"/>
            </w:tcBorders>
          </w:tcPr>
          <w:p w14:paraId="7B2E332F" w14:textId="77777777" w:rsidR="00984B34" w:rsidRPr="009E686F" w:rsidRDefault="00984B34" w:rsidP="00984B34">
            <w:pPr>
              <w:spacing w:after="0"/>
              <w:jc w:val="both"/>
              <w:rPr>
                <w:rFonts w:ascii="Times New Roman" w:hAnsi="Times New Roman" w:cs="Times New Roman"/>
                <w:bCs/>
                <w:lang w:val="ro-RO"/>
              </w:rPr>
            </w:pPr>
            <w:r w:rsidRPr="009E686F">
              <w:rPr>
                <w:rFonts w:ascii="Times New Roman" w:hAnsi="Times New Roman" w:cs="Times New Roman"/>
                <w:bCs/>
                <w:lang w:val="ro-RO"/>
              </w:rPr>
              <w:t>Secțiunea IV</w:t>
            </w:r>
          </w:p>
          <w:p w14:paraId="366E96B3"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b/>
                <w:lang w:val="ro-RO"/>
              </w:rPr>
              <w:t>Măsuri și competențe de supraveghere</w:t>
            </w:r>
          </w:p>
        </w:tc>
        <w:tc>
          <w:tcPr>
            <w:tcW w:w="1928" w:type="pct"/>
            <w:gridSpan w:val="3"/>
            <w:tcBorders>
              <w:top w:val="single" w:sz="4" w:space="0" w:color="auto"/>
              <w:left w:val="single" w:sz="4" w:space="0" w:color="auto"/>
              <w:bottom w:val="single" w:sz="4" w:space="0" w:color="auto"/>
              <w:right w:val="single" w:sz="4" w:space="0" w:color="auto"/>
            </w:tcBorders>
          </w:tcPr>
          <w:p w14:paraId="24DCF8EA"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4C45DEBB" w14:textId="77777777"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003AF84E" w14:textId="77777777" w:rsidR="00984B34" w:rsidRPr="009E686F" w:rsidRDefault="00984B34" w:rsidP="00984B34">
            <w:pPr>
              <w:jc w:val="both"/>
              <w:rPr>
                <w:rFonts w:ascii="Times New Roman" w:hAnsi="Times New Roman" w:cs="Times New Roman"/>
                <w:lang w:val="ro-RO"/>
              </w:rPr>
            </w:pPr>
          </w:p>
        </w:tc>
      </w:tr>
      <w:tr w:rsidR="00984B34" w:rsidRPr="009E686F" w14:paraId="108BCB46" w14:textId="049AF019" w:rsidTr="00774F3E">
        <w:tc>
          <w:tcPr>
            <w:tcW w:w="1796" w:type="pct"/>
            <w:gridSpan w:val="2"/>
            <w:tcBorders>
              <w:top w:val="single" w:sz="4" w:space="0" w:color="auto"/>
              <w:left w:val="single" w:sz="4" w:space="0" w:color="auto"/>
              <w:bottom w:val="single" w:sz="4" w:space="0" w:color="auto"/>
              <w:right w:val="single" w:sz="4" w:space="0" w:color="auto"/>
            </w:tcBorders>
          </w:tcPr>
          <w:p w14:paraId="651F17DA" w14:textId="77777777" w:rsidR="00984B34" w:rsidRPr="009E686F" w:rsidRDefault="00984B34" w:rsidP="00984B34">
            <w:pPr>
              <w:spacing w:after="0"/>
              <w:jc w:val="both"/>
              <w:rPr>
                <w:rFonts w:ascii="Times New Roman" w:hAnsi="Times New Roman" w:cs="Times New Roman"/>
                <w:i/>
                <w:iCs/>
                <w:lang w:val="ro-RO"/>
              </w:rPr>
            </w:pPr>
            <w:r w:rsidRPr="009E686F">
              <w:rPr>
                <w:rFonts w:ascii="Times New Roman" w:hAnsi="Times New Roman" w:cs="Times New Roman"/>
                <w:i/>
                <w:iCs/>
                <w:lang w:val="ro-RO"/>
              </w:rPr>
              <w:t xml:space="preserve">Articolul 102 </w:t>
            </w:r>
          </w:p>
          <w:p w14:paraId="54F0D01B" w14:textId="1297D04F"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Măsuri de supraveghere</w:t>
            </w:r>
          </w:p>
        </w:tc>
        <w:tc>
          <w:tcPr>
            <w:tcW w:w="1928" w:type="pct"/>
            <w:gridSpan w:val="3"/>
            <w:tcBorders>
              <w:top w:val="single" w:sz="4" w:space="0" w:color="auto"/>
              <w:left w:val="single" w:sz="4" w:space="0" w:color="auto"/>
              <w:bottom w:val="single" w:sz="4" w:space="0" w:color="auto"/>
              <w:right w:val="single" w:sz="4" w:space="0" w:color="auto"/>
            </w:tcBorders>
          </w:tcPr>
          <w:p w14:paraId="1C37FAFF" w14:textId="10B01F65"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b/>
                <w:bCs/>
                <w:lang w:val="ro-RO"/>
              </w:rPr>
              <w:t>Articolul 139.</w:t>
            </w:r>
            <w:r w:rsidRPr="009E686F">
              <w:rPr>
                <w:rFonts w:ascii="Times New Roman" w:hAnsi="Times New Roman" w:cs="Times New Roman"/>
                <w:lang w:val="ro-RO"/>
              </w:rPr>
              <w:t xml:space="preserve"> Măsuri de supraveghere</w:t>
            </w:r>
          </w:p>
        </w:tc>
        <w:tc>
          <w:tcPr>
            <w:tcW w:w="470" w:type="pct"/>
            <w:tcBorders>
              <w:top w:val="single" w:sz="4" w:space="0" w:color="auto"/>
              <w:left w:val="single" w:sz="4" w:space="0" w:color="auto"/>
              <w:bottom w:val="single" w:sz="4" w:space="0" w:color="auto"/>
              <w:right w:val="single" w:sz="4" w:space="0" w:color="auto"/>
            </w:tcBorders>
          </w:tcPr>
          <w:p w14:paraId="2AA4D4FE" w14:textId="29E11953"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52CDD8D6" w14:textId="77777777" w:rsidR="00984B34" w:rsidRPr="009E686F" w:rsidRDefault="00984B34" w:rsidP="00984B34">
            <w:pPr>
              <w:jc w:val="both"/>
              <w:rPr>
                <w:rFonts w:ascii="Times New Roman" w:hAnsi="Times New Roman" w:cs="Times New Roman"/>
                <w:lang w:val="ro-RO"/>
              </w:rPr>
            </w:pPr>
          </w:p>
        </w:tc>
      </w:tr>
      <w:tr w:rsidR="00984B34" w:rsidRPr="009E686F" w14:paraId="3B54D155" w14:textId="73BB4426" w:rsidTr="00774F3E">
        <w:tc>
          <w:tcPr>
            <w:tcW w:w="1796" w:type="pct"/>
            <w:gridSpan w:val="2"/>
            <w:tcBorders>
              <w:top w:val="single" w:sz="4" w:space="0" w:color="auto"/>
              <w:left w:val="single" w:sz="4" w:space="0" w:color="auto"/>
              <w:bottom w:val="single" w:sz="4" w:space="0" w:color="auto"/>
              <w:right w:val="single" w:sz="4" w:space="0" w:color="auto"/>
            </w:tcBorders>
          </w:tcPr>
          <w:p w14:paraId="0D3A937D" w14:textId="77A9D2D1"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(1) Autoritățile competente cer unei instituții să ia din timp măsurile necesare pentru a aborda problemele relevante în următoarele situații:</w:t>
            </w:r>
          </w:p>
        </w:tc>
        <w:tc>
          <w:tcPr>
            <w:tcW w:w="1928" w:type="pct"/>
            <w:gridSpan w:val="3"/>
            <w:tcBorders>
              <w:top w:val="single" w:sz="4" w:space="0" w:color="auto"/>
              <w:left w:val="single" w:sz="4" w:space="0" w:color="auto"/>
              <w:bottom w:val="single" w:sz="4" w:space="0" w:color="auto"/>
              <w:right w:val="single" w:sz="4" w:space="0" w:color="auto"/>
            </w:tcBorders>
          </w:tcPr>
          <w:p w14:paraId="6F582CCA" w14:textId="396033F0" w:rsidR="00984B34" w:rsidRPr="009E686F" w:rsidRDefault="00984B34" w:rsidP="00567D0D">
            <w:pPr>
              <w:spacing w:after="0" w:line="240" w:lineRule="auto"/>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 xml:space="preserve">(1) Banca Naţională a Moldovei dispune unei </w:t>
            </w:r>
            <w:r w:rsidRPr="009E686F">
              <w:rPr>
                <w:rFonts w:ascii="Times New Roman" w:eastAsia="Aptos" w:hAnsi="Times New Roman" w:cs="Times New Roman"/>
                <w:i/>
                <w:iCs/>
                <w:kern w:val="2"/>
                <w:lang w:val="ro-MD"/>
              </w:rPr>
              <w:t>instituții de credit</w:t>
            </w:r>
            <w:r w:rsidRPr="009E686F">
              <w:rPr>
                <w:rFonts w:ascii="Times New Roman" w:eastAsia="Aptos" w:hAnsi="Times New Roman" w:cs="Times New Roman"/>
                <w:kern w:val="2"/>
                <w:lang w:val="ro-MD"/>
              </w:rPr>
              <w:t xml:space="preserve"> să întreprindă, într-un stadiu incipient, măsurile necesare pentru a remedia deficienţele în cazul în care aceasta se află în următoarele situaţii:</w:t>
            </w:r>
          </w:p>
        </w:tc>
        <w:tc>
          <w:tcPr>
            <w:tcW w:w="470" w:type="pct"/>
            <w:tcBorders>
              <w:top w:val="single" w:sz="4" w:space="0" w:color="auto"/>
              <w:left w:val="single" w:sz="4" w:space="0" w:color="auto"/>
              <w:bottom w:val="single" w:sz="4" w:space="0" w:color="auto"/>
              <w:right w:val="single" w:sz="4" w:space="0" w:color="auto"/>
            </w:tcBorders>
          </w:tcPr>
          <w:p w14:paraId="24BB2A5C" w14:textId="39DB494A"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4ADD0C3F" w14:textId="77777777" w:rsidR="00984B34" w:rsidRPr="009E686F" w:rsidRDefault="00984B34" w:rsidP="00984B34">
            <w:pPr>
              <w:jc w:val="both"/>
              <w:rPr>
                <w:rFonts w:ascii="Times New Roman" w:hAnsi="Times New Roman" w:cs="Times New Roman"/>
                <w:lang w:val="ro-RO"/>
              </w:rPr>
            </w:pPr>
          </w:p>
        </w:tc>
      </w:tr>
      <w:tr w:rsidR="00984B34" w:rsidRPr="009E686F" w14:paraId="0DA61294" w14:textId="13662221" w:rsidTr="00774F3E">
        <w:tc>
          <w:tcPr>
            <w:tcW w:w="1796" w:type="pct"/>
            <w:gridSpan w:val="2"/>
            <w:tcBorders>
              <w:top w:val="single" w:sz="4" w:space="0" w:color="auto"/>
              <w:left w:val="single" w:sz="4" w:space="0" w:color="auto"/>
              <w:bottom w:val="single" w:sz="4" w:space="0" w:color="auto"/>
              <w:right w:val="single" w:sz="4" w:space="0" w:color="auto"/>
            </w:tcBorders>
          </w:tcPr>
          <w:p w14:paraId="5F91FE90" w14:textId="0C9821EF"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(a) instituția nu îndeplinește cerințele prezentei directive sau ale Regulamentului (UE) nr. 575/2013;</w:t>
            </w:r>
          </w:p>
        </w:tc>
        <w:tc>
          <w:tcPr>
            <w:tcW w:w="1928" w:type="pct"/>
            <w:gridSpan w:val="3"/>
            <w:tcBorders>
              <w:top w:val="single" w:sz="4" w:space="0" w:color="auto"/>
              <w:left w:val="single" w:sz="4" w:space="0" w:color="auto"/>
              <w:bottom w:val="single" w:sz="4" w:space="0" w:color="auto"/>
              <w:right w:val="single" w:sz="4" w:space="0" w:color="auto"/>
            </w:tcBorders>
          </w:tcPr>
          <w:p w14:paraId="67A1A73E" w14:textId="4A4F5C6C" w:rsidR="00984B34" w:rsidRPr="009E686F" w:rsidRDefault="00984B34" w:rsidP="00567D0D">
            <w:pPr>
              <w:spacing w:after="0" w:line="240" w:lineRule="auto"/>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 xml:space="preserve">a) </w:t>
            </w:r>
            <w:r w:rsidRPr="009E686F">
              <w:rPr>
                <w:rFonts w:ascii="Times New Roman" w:eastAsia="Aptos" w:hAnsi="Times New Roman" w:cs="Times New Roman"/>
                <w:i/>
                <w:iCs/>
                <w:kern w:val="2"/>
                <w:lang w:val="ro-MD"/>
              </w:rPr>
              <w:t>instituția de credit</w:t>
            </w:r>
            <w:r w:rsidRPr="009E686F">
              <w:rPr>
                <w:rFonts w:ascii="Times New Roman" w:eastAsia="Aptos" w:hAnsi="Times New Roman" w:cs="Times New Roman"/>
                <w:kern w:val="2"/>
                <w:lang w:val="ro-MD"/>
              </w:rPr>
              <w:t xml:space="preserve"> nu respectă cerinţele prevăzute de prezenta lege şi actele normative emise pentru aplicarea acesteia, de legile privind prevenirea şi combaterea spălării banilor şi finanţării terorismului şi actele normative emise pentru aplicarea acestora, precum şi de reglementările interne ale </w:t>
            </w:r>
            <w:r w:rsidRPr="009E686F">
              <w:rPr>
                <w:rFonts w:ascii="Times New Roman" w:eastAsia="Aptos" w:hAnsi="Times New Roman" w:cs="Times New Roman"/>
                <w:i/>
                <w:iCs/>
                <w:kern w:val="2"/>
                <w:lang w:val="ro-MD"/>
              </w:rPr>
              <w:t xml:space="preserve">instituției de </w:t>
            </w:r>
            <w:r w:rsidRPr="009E686F">
              <w:rPr>
                <w:rFonts w:ascii="Times New Roman" w:eastAsia="Aptos" w:hAnsi="Times New Roman" w:cs="Times New Roman"/>
                <w:i/>
                <w:iCs/>
                <w:kern w:val="2"/>
                <w:lang w:val="ro-MD"/>
              </w:rPr>
              <w:lastRenderedPageBreak/>
              <w:t>credit</w:t>
            </w:r>
            <w:r w:rsidRPr="009E686F">
              <w:rPr>
                <w:rFonts w:ascii="Times New Roman" w:eastAsia="Aptos" w:hAnsi="Times New Roman" w:cs="Times New Roman"/>
                <w:kern w:val="2"/>
                <w:lang w:val="ro-MD"/>
              </w:rPr>
              <w:t xml:space="preserve"> aprobate pentru aplicarea prezentei legi şi a actelor normative emise pentru aplicarea acesteia;</w:t>
            </w:r>
          </w:p>
        </w:tc>
        <w:tc>
          <w:tcPr>
            <w:tcW w:w="470" w:type="pct"/>
            <w:tcBorders>
              <w:top w:val="single" w:sz="4" w:space="0" w:color="auto"/>
              <w:left w:val="single" w:sz="4" w:space="0" w:color="auto"/>
              <w:bottom w:val="single" w:sz="4" w:space="0" w:color="auto"/>
              <w:right w:val="single" w:sz="4" w:space="0" w:color="auto"/>
            </w:tcBorders>
          </w:tcPr>
          <w:p w14:paraId="3F99E2FE" w14:textId="2C977786"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3006AF77" w14:textId="77777777" w:rsidR="00984B34" w:rsidRPr="009E686F" w:rsidRDefault="00984B34" w:rsidP="00984B34">
            <w:pPr>
              <w:jc w:val="both"/>
              <w:rPr>
                <w:rFonts w:ascii="Times New Roman" w:hAnsi="Times New Roman" w:cs="Times New Roman"/>
                <w:lang w:val="ro-RO"/>
              </w:rPr>
            </w:pPr>
          </w:p>
        </w:tc>
      </w:tr>
      <w:tr w:rsidR="00984B34" w:rsidRPr="009E686F" w14:paraId="6E16DCE3" w14:textId="12A323A0" w:rsidTr="00774F3E">
        <w:tc>
          <w:tcPr>
            <w:tcW w:w="1796" w:type="pct"/>
            <w:gridSpan w:val="2"/>
            <w:tcBorders>
              <w:top w:val="single" w:sz="4" w:space="0" w:color="auto"/>
              <w:left w:val="single" w:sz="4" w:space="0" w:color="auto"/>
              <w:bottom w:val="single" w:sz="4" w:space="0" w:color="auto"/>
              <w:right w:val="single" w:sz="4" w:space="0" w:color="auto"/>
            </w:tcBorders>
          </w:tcPr>
          <w:p w14:paraId="63F0058A" w14:textId="3CEC7EA8"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(b) autoritățile competente dețin date conform cărora este probabil că instituția va încălca cerințele prezentei directive sau ale Regulamentului (UE) nr. 575/2013 în următoarele 12 luni;</w:t>
            </w:r>
          </w:p>
        </w:tc>
        <w:tc>
          <w:tcPr>
            <w:tcW w:w="1928" w:type="pct"/>
            <w:gridSpan w:val="3"/>
            <w:tcBorders>
              <w:top w:val="single" w:sz="4" w:space="0" w:color="auto"/>
              <w:left w:val="single" w:sz="4" w:space="0" w:color="auto"/>
              <w:bottom w:val="single" w:sz="4" w:space="0" w:color="auto"/>
              <w:right w:val="single" w:sz="4" w:space="0" w:color="auto"/>
            </w:tcBorders>
          </w:tcPr>
          <w:p w14:paraId="6474B3D1" w14:textId="06B8D31B" w:rsidR="00984B34" w:rsidRPr="009E686F" w:rsidRDefault="00984B34" w:rsidP="00567D0D">
            <w:pPr>
              <w:spacing w:after="0" w:line="240" w:lineRule="auto"/>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 xml:space="preserve">b) Banca Naţională a Moldovei dispune de indicii că în următoarele 12 luni este probabil ca </w:t>
            </w:r>
            <w:r w:rsidRPr="009E686F">
              <w:rPr>
                <w:rFonts w:ascii="Times New Roman" w:eastAsia="Aptos" w:hAnsi="Times New Roman" w:cs="Times New Roman"/>
                <w:i/>
                <w:iCs/>
                <w:kern w:val="2"/>
                <w:lang w:val="ro-MD"/>
              </w:rPr>
              <w:t>instituția de credit</w:t>
            </w:r>
            <w:r w:rsidRPr="009E686F">
              <w:rPr>
                <w:rFonts w:ascii="Times New Roman" w:eastAsia="Aptos" w:hAnsi="Times New Roman" w:cs="Times New Roman"/>
                <w:kern w:val="2"/>
                <w:lang w:val="ro-MD"/>
              </w:rPr>
              <w:t xml:space="preserve"> să nu se conformeze prevederilor prezentei legi sau ale actelor normative emise în aplicarea acesteia;</w:t>
            </w:r>
          </w:p>
          <w:p w14:paraId="59E7B397" w14:textId="61997226" w:rsidR="00984B34" w:rsidRPr="009E686F" w:rsidRDefault="00984B34" w:rsidP="00567D0D">
            <w:pPr>
              <w:spacing w:after="0" w:line="240" w:lineRule="auto"/>
              <w:jc w:val="both"/>
              <w:rPr>
                <w:rFonts w:ascii="Times New Roman" w:hAnsi="Times New Roman" w:cs="Times New Roman"/>
                <w:lang w:val="ro-RO"/>
              </w:rPr>
            </w:pPr>
          </w:p>
        </w:tc>
        <w:tc>
          <w:tcPr>
            <w:tcW w:w="470" w:type="pct"/>
            <w:tcBorders>
              <w:top w:val="single" w:sz="4" w:space="0" w:color="auto"/>
              <w:left w:val="single" w:sz="4" w:space="0" w:color="auto"/>
              <w:bottom w:val="single" w:sz="4" w:space="0" w:color="auto"/>
              <w:right w:val="single" w:sz="4" w:space="0" w:color="auto"/>
            </w:tcBorders>
          </w:tcPr>
          <w:p w14:paraId="28E180CC" w14:textId="49D108C6"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37F505F9" w14:textId="77777777" w:rsidR="00984B34" w:rsidRPr="009E686F" w:rsidRDefault="00984B34" w:rsidP="00984B34">
            <w:pPr>
              <w:jc w:val="both"/>
              <w:rPr>
                <w:rFonts w:ascii="Times New Roman" w:hAnsi="Times New Roman" w:cs="Times New Roman"/>
                <w:lang w:val="ro-RO"/>
              </w:rPr>
            </w:pPr>
          </w:p>
        </w:tc>
      </w:tr>
      <w:tr w:rsidR="00984B34" w:rsidRPr="009E686F" w14:paraId="2BA6CB81" w14:textId="1A2BECF2" w:rsidTr="00774F3E">
        <w:tc>
          <w:tcPr>
            <w:tcW w:w="1796" w:type="pct"/>
            <w:gridSpan w:val="2"/>
            <w:tcBorders>
              <w:top w:val="single" w:sz="4" w:space="0" w:color="auto"/>
              <w:left w:val="single" w:sz="4" w:space="0" w:color="auto"/>
              <w:bottom w:val="single" w:sz="4" w:space="0" w:color="auto"/>
              <w:right w:val="single" w:sz="4" w:space="0" w:color="auto"/>
            </w:tcBorders>
          </w:tcPr>
          <w:p w14:paraId="660A11B7" w14:textId="09DEBD3B"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(2) În sensul alineatului (1), competențele autorităților competente le includ pe cele menționate la articolul 104.</w:t>
            </w:r>
          </w:p>
        </w:tc>
        <w:tc>
          <w:tcPr>
            <w:tcW w:w="1928" w:type="pct"/>
            <w:gridSpan w:val="3"/>
            <w:tcBorders>
              <w:top w:val="single" w:sz="4" w:space="0" w:color="auto"/>
              <w:left w:val="single" w:sz="4" w:space="0" w:color="auto"/>
              <w:bottom w:val="single" w:sz="4" w:space="0" w:color="auto"/>
              <w:right w:val="single" w:sz="4" w:space="0" w:color="auto"/>
            </w:tcBorders>
          </w:tcPr>
          <w:p w14:paraId="33D9E5AE" w14:textId="59B2F504"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(2) În aplicarea prevederilor alin. (1), competenţele Băncii Naţionale a Moldovei le includ pe cele menţionate la alin. (3) – (6) şi  alin (8).   </w:t>
            </w:r>
          </w:p>
        </w:tc>
        <w:tc>
          <w:tcPr>
            <w:tcW w:w="470" w:type="pct"/>
            <w:tcBorders>
              <w:top w:val="single" w:sz="4" w:space="0" w:color="auto"/>
              <w:left w:val="single" w:sz="4" w:space="0" w:color="auto"/>
              <w:bottom w:val="single" w:sz="4" w:space="0" w:color="auto"/>
              <w:right w:val="single" w:sz="4" w:space="0" w:color="auto"/>
            </w:tcBorders>
          </w:tcPr>
          <w:p w14:paraId="494D0ADE" w14:textId="734A7D80"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7A5DC9C8" w14:textId="77777777" w:rsidR="00984B34" w:rsidRPr="009E686F" w:rsidRDefault="00984B34" w:rsidP="00984B34">
            <w:pPr>
              <w:jc w:val="both"/>
              <w:rPr>
                <w:rFonts w:ascii="Times New Roman" w:hAnsi="Times New Roman" w:cs="Times New Roman"/>
                <w:lang w:val="ro-RO"/>
              </w:rPr>
            </w:pPr>
          </w:p>
        </w:tc>
      </w:tr>
      <w:tr w:rsidR="00984B34" w:rsidRPr="009E686F" w14:paraId="14BB370C"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0337EBD9" w14:textId="77777777" w:rsidR="00984B34" w:rsidRPr="009E686F" w:rsidRDefault="00984B34" w:rsidP="00984B34">
            <w:pPr>
              <w:spacing w:after="0"/>
              <w:jc w:val="both"/>
              <w:rPr>
                <w:rFonts w:ascii="Times New Roman" w:hAnsi="Times New Roman" w:cs="Times New Roman"/>
                <w:i/>
                <w:iCs/>
                <w:lang w:val="ro-RO"/>
              </w:rPr>
            </w:pPr>
            <w:r w:rsidRPr="009E686F">
              <w:rPr>
                <w:rFonts w:ascii="Times New Roman" w:hAnsi="Times New Roman" w:cs="Times New Roman"/>
                <w:i/>
                <w:iCs/>
                <w:lang w:val="ro-RO"/>
              </w:rPr>
              <w:t xml:space="preserve">Articolul 104 </w:t>
            </w:r>
          </w:p>
          <w:p w14:paraId="01191007" w14:textId="135F9BE2"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Competențe de supraveghere</w:t>
            </w:r>
          </w:p>
        </w:tc>
        <w:tc>
          <w:tcPr>
            <w:tcW w:w="1928" w:type="pct"/>
            <w:gridSpan w:val="3"/>
            <w:tcBorders>
              <w:top w:val="single" w:sz="4" w:space="0" w:color="auto"/>
              <w:left w:val="single" w:sz="4" w:space="0" w:color="auto"/>
              <w:bottom w:val="single" w:sz="4" w:space="0" w:color="auto"/>
              <w:right w:val="single" w:sz="4" w:space="0" w:color="auto"/>
            </w:tcBorders>
          </w:tcPr>
          <w:p w14:paraId="3AF8D334" w14:textId="77777777"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b/>
                <w:lang w:val="ro-RO"/>
              </w:rPr>
              <w:t>Art. 99 alin. (6)</w:t>
            </w:r>
          </w:p>
          <w:p w14:paraId="1502999B"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(6) Banca Naţională a Moldovei poate face recomandări </w:t>
            </w:r>
            <w:r w:rsidRPr="009E686F">
              <w:rPr>
                <w:rFonts w:ascii="Times New Roman" w:hAnsi="Times New Roman" w:cs="Times New Roman"/>
                <w:i/>
                <w:lang w:val="ro-RO"/>
              </w:rPr>
              <w:t>instituției de credit</w:t>
            </w:r>
            <w:r w:rsidRPr="009E686F">
              <w:rPr>
                <w:rFonts w:ascii="Times New Roman" w:hAnsi="Times New Roman" w:cs="Times New Roman"/>
                <w:lang w:val="ro-RO"/>
              </w:rPr>
              <w:t xml:space="preserve"> în vederea adoptării de măsuri corespunzătoare de către aceasta pentru îmbunătăţirea cadrului de administrare, a strategiilor, proceselor şi mecanismelor implementate, pentru asigurarea unei organizări adecvate a activităţii desfăşurate ori pentru restabilirea sau susţinerea situaţiei sale financiare, inclusiv în cazul constatării deteriorării indicatorilor financiari şi de prudenţă ai acesteia. </w:t>
            </w:r>
            <w:r w:rsidRPr="009E686F">
              <w:rPr>
                <w:rFonts w:ascii="Times New Roman" w:hAnsi="Times New Roman" w:cs="Times New Roman"/>
                <w:i/>
                <w:lang w:val="ro-RO"/>
              </w:rPr>
              <w:t>Instituția de credit</w:t>
            </w:r>
            <w:r w:rsidRPr="009E686F">
              <w:rPr>
                <w:rFonts w:ascii="Times New Roman" w:hAnsi="Times New Roman" w:cs="Times New Roman"/>
                <w:lang w:val="ro-RO"/>
              </w:rPr>
              <w:t xml:space="preserve"> trebuie să notifice Băncii Naţionale a Moldovei măsurile întreprinse, în termenele stabilite de aceasta. Independent de formularea unor recomandări, Banca Naţională a Moldovei poate dispune măsuri şi/sau aplicarea de sancţiuni şi măsuri sancţionatoare, potrivit prezentei legi.</w:t>
            </w:r>
          </w:p>
          <w:p w14:paraId="780AB619" w14:textId="77777777" w:rsidR="00984B34" w:rsidRPr="009E686F" w:rsidRDefault="00984B34" w:rsidP="00984B34">
            <w:pPr>
              <w:spacing w:after="0"/>
              <w:jc w:val="both"/>
              <w:rPr>
                <w:rFonts w:ascii="Times New Roman" w:hAnsi="Times New Roman" w:cs="Times New Roman"/>
                <w:lang w:val="ro-RO"/>
              </w:rPr>
            </w:pPr>
          </w:p>
          <w:p w14:paraId="6F1D0B7A" w14:textId="4E3CA6A6" w:rsidR="00984B34" w:rsidRPr="009E686F" w:rsidRDefault="00984B34" w:rsidP="00984B34">
            <w:pPr>
              <w:spacing w:after="0"/>
              <w:jc w:val="both"/>
              <w:rPr>
                <w:rFonts w:ascii="Times New Roman" w:hAnsi="Times New Roman" w:cs="Times New Roman"/>
                <w:b/>
                <w:bCs/>
                <w:lang w:val="ro-RO"/>
              </w:rPr>
            </w:pPr>
            <w:r w:rsidRPr="009E686F">
              <w:rPr>
                <w:rFonts w:ascii="Times New Roman" w:hAnsi="Times New Roman" w:cs="Times New Roman"/>
                <w:b/>
                <w:bCs/>
                <w:lang w:val="ro-RO"/>
              </w:rPr>
              <w:t>Art. 139 alin. (8)-(9)</w:t>
            </w:r>
          </w:p>
          <w:p w14:paraId="386F9B61" w14:textId="23863179"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(8) Banca Naţională a Moldovei urmăreşte să prevină reducerea nivelului capitalului sau a fondurilor proprii ale unei </w:t>
            </w:r>
            <w:r w:rsidRPr="009E686F">
              <w:rPr>
                <w:rFonts w:ascii="Times New Roman" w:hAnsi="Times New Roman" w:cs="Times New Roman"/>
                <w:i/>
                <w:lang w:val="ro-RO"/>
              </w:rPr>
              <w:t>instituții de credit</w:t>
            </w:r>
            <w:r w:rsidRPr="009E686F">
              <w:rPr>
                <w:rFonts w:ascii="Times New Roman" w:hAnsi="Times New Roman" w:cs="Times New Roman"/>
                <w:lang w:val="ro-RO"/>
              </w:rPr>
              <w:t xml:space="preserve"> sub nivelul minim necesar pentru acoperirea riscurilor specifice activităţii desfăşurate de aceasta şi solicită adoptarea de către </w:t>
            </w:r>
            <w:r w:rsidRPr="009E686F">
              <w:rPr>
                <w:rFonts w:ascii="Times New Roman" w:hAnsi="Times New Roman" w:cs="Times New Roman"/>
                <w:i/>
                <w:lang w:val="ro-RO"/>
              </w:rPr>
              <w:t>instituția de credit</w:t>
            </w:r>
            <w:r w:rsidRPr="009E686F">
              <w:rPr>
                <w:rFonts w:ascii="Times New Roman" w:hAnsi="Times New Roman" w:cs="Times New Roman"/>
                <w:lang w:val="ro-RO"/>
              </w:rPr>
              <w:t xml:space="preserve">  a unor măsuri urgente de redresare dacă acest nivel nu este menţinut sau restabilit.</w:t>
            </w:r>
          </w:p>
          <w:p w14:paraId="39889E7B" w14:textId="2D7327E8" w:rsidR="00984B34" w:rsidRPr="009E686F" w:rsidRDefault="00984B34" w:rsidP="00984B34">
            <w:pPr>
              <w:spacing w:after="0"/>
              <w:jc w:val="both"/>
              <w:rPr>
                <w:rFonts w:ascii="Times New Roman" w:hAnsi="Times New Roman" w:cs="Times New Roman"/>
                <w:lang w:val="it-CH"/>
              </w:rPr>
            </w:pPr>
            <w:r w:rsidRPr="009E686F">
              <w:rPr>
                <w:rFonts w:ascii="Times New Roman" w:hAnsi="Times New Roman" w:cs="Times New Roman"/>
                <w:lang w:val="it-CH"/>
              </w:rPr>
              <w:lastRenderedPageBreak/>
              <w:t>(9) Adoptarea măsurilor prevăzute la alin.(3) este supusă dispoziţiilor privind schimbul de informaţii şi secretul profesional, potrivit prezentei legi.</w:t>
            </w:r>
          </w:p>
        </w:tc>
        <w:tc>
          <w:tcPr>
            <w:tcW w:w="470" w:type="pct"/>
            <w:tcBorders>
              <w:top w:val="single" w:sz="4" w:space="0" w:color="auto"/>
              <w:left w:val="single" w:sz="4" w:space="0" w:color="auto"/>
              <w:bottom w:val="single" w:sz="4" w:space="0" w:color="auto"/>
              <w:right w:val="single" w:sz="4" w:space="0" w:color="auto"/>
            </w:tcBorders>
          </w:tcPr>
          <w:p w14:paraId="4934A887" w14:textId="5879CE69"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0432322A" w14:textId="7FD8AA31"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 xml:space="preserve">Norme cu specific național de implementare care dezvoltă competențele BNM în cadrul procesului de supraveghere prudențială, </w:t>
            </w:r>
            <w:r w:rsidR="00567D0D" w:rsidRPr="009E686F">
              <w:rPr>
                <w:rFonts w:ascii="Times New Roman" w:hAnsi="Times New Roman" w:cs="Times New Roman"/>
                <w:lang w:val="ro-RO"/>
              </w:rPr>
              <w:t>ș</w:t>
            </w:r>
            <w:r w:rsidRPr="009E686F">
              <w:rPr>
                <w:rFonts w:ascii="Times New Roman" w:hAnsi="Times New Roman" w:cs="Times New Roman"/>
                <w:lang w:val="ro-RO"/>
              </w:rPr>
              <w:t>i limitele exercitării acestor competențe.</w:t>
            </w:r>
          </w:p>
        </w:tc>
      </w:tr>
      <w:tr w:rsidR="00984B34" w:rsidRPr="009E686F" w14:paraId="454A5183" w14:textId="28FFA36C" w:rsidTr="00774F3E">
        <w:tc>
          <w:tcPr>
            <w:tcW w:w="1796" w:type="pct"/>
            <w:gridSpan w:val="2"/>
            <w:tcBorders>
              <w:top w:val="single" w:sz="4" w:space="0" w:color="auto"/>
              <w:left w:val="single" w:sz="4" w:space="0" w:color="auto"/>
              <w:bottom w:val="single" w:sz="4" w:space="0" w:color="auto"/>
              <w:right w:val="single" w:sz="4" w:space="0" w:color="auto"/>
            </w:tcBorders>
          </w:tcPr>
          <w:p w14:paraId="5066FE39" w14:textId="1DEBACF3"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(1) În sensul articolului 97, al articolului 98 alineatele (1), (4), (5), (9) și (10), al articolului 101 alineatul (4) și al articolului 102 din prezenta directivă și al aplicării Regulamentului (UE) nr. 575/2013, autoritățile competente au cel puțin următoarele competențe:</w:t>
            </w:r>
          </w:p>
          <w:p w14:paraId="4489E443" w14:textId="765595DB" w:rsidR="00984B34" w:rsidRPr="009E686F" w:rsidRDefault="00984B34" w:rsidP="00984B34">
            <w:pPr>
              <w:spacing w:after="0"/>
              <w:jc w:val="both"/>
              <w:rPr>
                <w:rFonts w:ascii="Times New Roman" w:hAnsi="Times New Roman" w:cs="Times New Roman"/>
                <w:lang w:val="ro-RO"/>
              </w:rPr>
            </w:pPr>
          </w:p>
        </w:tc>
        <w:tc>
          <w:tcPr>
            <w:tcW w:w="1928" w:type="pct"/>
            <w:gridSpan w:val="3"/>
            <w:tcBorders>
              <w:top w:val="single" w:sz="4" w:space="0" w:color="auto"/>
              <w:left w:val="single" w:sz="4" w:space="0" w:color="auto"/>
              <w:bottom w:val="single" w:sz="4" w:space="0" w:color="auto"/>
              <w:right w:val="single" w:sz="4" w:space="0" w:color="auto"/>
            </w:tcBorders>
          </w:tcPr>
          <w:p w14:paraId="3A46D1A8" w14:textId="0006AE5F" w:rsidR="00984B34" w:rsidRPr="009E686F" w:rsidRDefault="00984B34" w:rsidP="00984B34">
            <w:pPr>
              <w:spacing w:after="0"/>
              <w:jc w:val="both"/>
              <w:rPr>
                <w:rFonts w:ascii="Times New Roman" w:hAnsi="Times New Roman" w:cs="Times New Roman"/>
                <w:b/>
                <w:bCs/>
                <w:lang w:val="ro-RO"/>
              </w:rPr>
            </w:pPr>
            <w:r w:rsidRPr="009E686F">
              <w:rPr>
                <w:rFonts w:ascii="Times New Roman" w:hAnsi="Times New Roman" w:cs="Times New Roman"/>
                <w:b/>
                <w:bCs/>
                <w:lang w:val="ro-RO"/>
              </w:rPr>
              <w:t>Articolul 139 alin. (3)</w:t>
            </w:r>
          </w:p>
          <w:p w14:paraId="1452B1AD" w14:textId="27A697D0" w:rsidR="00984B34" w:rsidRPr="009E686F" w:rsidRDefault="00984B34" w:rsidP="00984B34">
            <w:pPr>
              <w:spacing w:after="0"/>
              <w:jc w:val="both"/>
              <w:rPr>
                <w:rFonts w:ascii="Times New Roman" w:hAnsi="Times New Roman" w:cs="Times New Roman"/>
              </w:rPr>
            </w:pPr>
            <w:r w:rsidRPr="009E686F">
              <w:rPr>
                <w:rFonts w:ascii="Times New Roman" w:hAnsi="Times New Roman" w:cs="Times New Roman"/>
              </w:rPr>
              <w:t xml:space="preserve">(3) Pentru scopurile prevederilor alin.(1) şi (2) din prezentul articol şi ale art.100, </w:t>
            </w:r>
            <w:r w:rsidRPr="009E686F">
              <w:rPr>
                <w:rFonts w:ascii="Times New Roman" w:hAnsi="Times New Roman" w:cs="Times New Roman"/>
                <w:i/>
              </w:rPr>
              <w:t>art. 101 alin. (1), 101 alin. (1</w:t>
            </w:r>
            <w:r w:rsidRPr="009E686F">
              <w:rPr>
                <w:rFonts w:ascii="Times New Roman" w:hAnsi="Times New Roman" w:cs="Times New Roman"/>
                <w:i/>
                <w:vertAlign w:val="superscript"/>
              </w:rPr>
              <w:t>3</w:t>
            </w:r>
            <w:r w:rsidRPr="009E686F">
              <w:rPr>
                <w:rFonts w:ascii="Times New Roman" w:hAnsi="Times New Roman" w:cs="Times New Roman"/>
                <w:i/>
              </w:rPr>
              <w:t>),  alin. (2) lit. b) – e),</w:t>
            </w:r>
            <w:r w:rsidRPr="009E686F">
              <w:rPr>
                <w:rFonts w:ascii="Times New Roman" w:hAnsi="Times New Roman" w:cs="Times New Roman"/>
              </w:rPr>
              <w:t xml:space="preserve"> art.102 alin. </w:t>
            </w:r>
            <w:r w:rsidRPr="009E686F">
              <w:rPr>
                <w:rFonts w:ascii="Times New Roman" w:hAnsi="Times New Roman" w:cs="Times New Roman"/>
                <w:i/>
                <w:iCs/>
              </w:rPr>
              <w:t>(</w:t>
            </w:r>
            <w:r w:rsidRPr="009E686F">
              <w:rPr>
                <w:rFonts w:ascii="Times New Roman" w:hAnsi="Times New Roman" w:cs="Times New Roman"/>
                <w:i/>
              </w:rPr>
              <w:t>4) și</w:t>
            </w:r>
            <w:r w:rsidRPr="009E686F">
              <w:rPr>
                <w:rFonts w:ascii="Times New Roman" w:hAnsi="Times New Roman" w:cs="Times New Roman"/>
              </w:rPr>
              <w:t xml:space="preserve"> (6) şi pentru asigurarea aplicării cerinţelor prudenţiale prevăzute în actele normative emise în aplicarea prezentei legi, Banca Naţională a Moldovei poate să dispună </w:t>
            </w:r>
            <w:r w:rsidRPr="009E686F">
              <w:rPr>
                <w:rFonts w:ascii="Times New Roman" w:hAnsi="Times New Roman" w:cs="Times New Roman"/>
                <w:i/>
              </w:rPr>
              <w:t>instituției de credit</w:t>
            </w:r>
            <w:r w:rsidRPr="009E686F">
              <w:rPr>
                <w:rFonts w:ascii="Times New Roman" w:hAnsi="Times New Roman" w:cs="Times New Roman"/>
              </w:rPr>
              <w:t>, fără a se limita la acestea, următoarele măsuri de supraveghere:</w:t>
            </w:r>
          </w:p>
        </w:tc>
        <w:tc>
          <w:tcPr>
            <w:tcW w:w="470" w:type="pct"/>
            <w:tcBorders>
              <w:top w:val="single" w:sz="4" w:space="0" w:color="auto"/>
              <w:left w:val="single" w:sz="4" w:space="0" w:color="auto"/>
              <w:bottom w:val="single" w:sz="4" w:space="0" w:color="auto"/>
              <w:right w:val="single" w:sz="4" w:space="0" w:color="auto"/>
            </w:tcBorders>
          </w:tcPr>
          <w:p w14:paraId="4376F2B8" w14:textId="0853330B"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119FDCA1" w14:textId="77777777" w:rsidR="00984B34" w:rsidRPr="009E686F" w:rsidRDefault="00984B34" w:rsidP="00984B34">
            <w:pPr>
              <w:jc w:val="both"/>
              <w:rPr>
                <w:rFonts w:ascii="Times New Roman" w:hAnsi="Times New Roman" w:cs="Times New Roman"/>
                <w:lang w:val="ro-RO"/>
              </w:rPr>
            </w:pPr>
          </w:p>
        </w:tc>
      </w:tr>
      <w:tr w:rsidR="00984B34" w:rsidRPr="009E686F" w14:paraId="151D4E92" w14:textId="4AF4C21C" w:rsidTr="00774F3E">
        <w:tc>
          <w:tcPr>
            <w:tcW w:w="1796" w:type="pct"/>
            <w:gridSpan w:val="2"/>
            <w:tcBorders>
              <w:top w:val="single" w:sz="4" w:space="0" w:color="auto"/>
              <w:left w:val="single" w:sz="4" w:space="0" w:color="auto"/>
              <w:bottom w:val="single" w:sz="4" w:space="0" w:color="auto"/>
              <w:right w:val="single" w:sz="4" w:space="0" w:color="auto"/>
            </w:tcBorders>
          </w:tcPr>
          <w:p w14:paraId="7DC844D1" w14:textId="33B8D46C"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 (a) de a cere instituțiilor să dețină fonduri proprii suplimentare, pe lângă cele prevăzute în Regulamentul (UE) nr. 575/2013 ,în condițiile stabilite la articolul 104a din prezenta directivă;</w:t>
            </w:r>
          </w:p>
        </w:tc>
        <w:tc>
          <w:tcPr>
            <w:tcW w:w="1928" w:type="pct"/>
            <w:gridSpan w:val="3"/>
            <w:tcBorders>
              <w:top w:val="single" w:sz="4" w:space="0" w:color="auto"/>
              <w:left w:val="single" w:sz="4" w:space="0" w:color="auto"/>
              <w:bottom w:val="single" w:sz="4" w:space="0" w:color="auto"/>
              <w:right w:val="single" w:sz="4" w:space="0" w:color="auto"/>
            </w:tcBorders>
          </w:tcPr>
          <w:p w14:paraId="66EB702E" w14:textId="44DE99FA" w:rsidR="00984B34" w:rsidRPr="009E686F" w:rsidRDefault="00984B34" w:rsidP="00984B34">
            <w:pPr>
              <w:spacing w:after="0"/>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 xml:space="preserve">a) să oblige </w:t>
            </w:r>
            <w:r w:rsidRPr="009E686F">
              <w:rPr>
                <w:rFonts w:ascii="Times New Roman" w:eastAsia="Aptos" w:hAnsi="Times New Roman" w:cs="Times New Roman"/>
                <w:i/>
                <w:iCs/>
                <w:kern w:val="2"/>
                <w:lang w:val="ro-MD"/>
              </w:rPr>
              <w:t>instituția de credit</w:t>
            </w:r>
            <w:r w:rsidRPr="009E686F">
              <w:rPr>
                <w:rFonts w:ascii="Times New Roman" w:eastAsia="Aptos" w:hAnsi="Times New Roman" w:cs="Times New Roman"/>
                <w:kern w:val="2"/>
                <w:lang w:val="ro-MD"/>
              </w:rPr>
              <w:t xml:space="preserve"> să dispună de fonduri proprii </w:t>
            </w:r>
            <w:r w:rsidRPr="009E686F">
              <w:rPr>
                <w:rFonts w:ascii="Times New Roman" w:eastAsia="Aptos" w:hAnsi="Times New Roman" w:cs="Times New Roman"/>
                <w:i/>
                <w:iCs/>
                <w:kern w:val="2"/>
                <w:lang w:val="ro-MD"/>
              </w:rPr>
              <w:t>suplimentare față de</w:t>
            </w:r>
            <w:r w:rsidRPr="009E686F">
              <w:rPr>
                <w:rFonts w:ascii="Times New Roman" w:eastAsia="Aptos" w:hAnsi="Times New Roman" w:cs="Times New Roman"/>
                <w:i/>
                <w:kern w:val="2"/>
                <w:lang w:val="ro-MD"/>
              </w:rPr>
              <w:t xml:space="preserve"> </w:t>
            </w:r>
            <w:r w:rsidRPr="009E686F">
              <w:rPr>
                <w:rFonts w:ascii="Times New Roman" w:eastAsia="Aptos" w:hAnsi="Times New Roman" w:cs="Times New Roman"/>
                <w:kern w:val="2"/>
                <w:lang w:val="ro-MD"/>
              </w:rPr>
              <w:t xml:space="preserve">cel al cerinţelor de fonduri proprii prevăzute la art.60 şi în actele normative emise în aplicarea acesteia, pentru acoperirea riscului de credit, riscului de piaţă, riscului operaţional şi riscului de decontare, precum şi a riscurilor care nu sunt prevăzute la art.60, </w:t>
            </w:r>
            <w:r w:rsidRPr="009E686F">
              <w:rPr>
                <w:rFonts w:ascii="Times New Roman" w:eastAsia="Aptos" w:hAnsi="Times New Roman" w:cs="Times New Roman"/>
                <w:i/>
                <w:kern w:val="2"/>
                <w:lang w:val="ro-MD"/>
              </w:rPr>
              <w:t>inclusiv de fonduri proprii suplimentare în condițiile art. 139</w:t>
            </w:r>
            <w:r w:rsidRPr="009E686F">
              <w:rPr>
                <w:rFonts w:ascii="Times New Roman" w:eastAsia="Aptos" w:hAnsi="Times New Roman" w:cs="Times New Roman"/>
                <w:i/>
                <w:kern w:val="2"/>
                <w:vertAlign w:val="superscript"/>
                <w:lang w:val="ro-MD"/>
              </w:rPr>
              <w:t>1</w:t>
            </w:r>
            <w:r w:rsidRPr="009E686F">
              <w:rPr>
                <w:rFonts w:ascii="Times New Roman" w:eastAsia="Aptos" w:hAnsi="Times New Roman" w:cs="Times New Roman"/>
                <w:kern w:val="2"/>
                <w:lang w:val="ro-MD"/>
              </w:rPr>
              <w:t>;</w:t>
            </w:r>
          </w:p>
        </w:tc>
        <w:tc>
          <w:tcPr>
            <w:tcW w:w="470" w:type="pct"/>
            <w:tcBorders>
              <w:top w:val="single" w:sz="4" w:space="0" w:color="auto"/>
              <w:left w:val="single" w:sz="4" w:space="0" w:color="auto"/>
              <w:bottom w:val="single" w:sz="4" w:space="0" w:color="auto"/>
              <w:right w:val="single" w:sz="4" w:space="0" w:color="auto"/>
            </w:tcBorders>
          </w:tcPr>
          <w:p w14:paraId="713B9057" w14:textId="165F72C8"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719A3875" w14:textId="77777777" w:rsidR="00984B34" w:rsidRPr="009E686F" w:rsidRDefault="00984B34" w:rsidP="00984B34">
            <w:pPr>
              <w:jc w:val="both"/>
              <w:rPr>
                <w:rFonts w:ascii="Times New Roman" w:hAnsi="Times New Roman" w:cs="Times New Roman"/>
                <w:lang w:val="ro-RO"/>
              </w:rPr>
            </w:pPr>
          </w:p>
        </w:tc>
      </w:tr>
      <w:tr w:rsidR="00984B34" w:rsidRPr="009E686F" w14:paraId="5B71A932" w14:textId="46864F11" w:rsidTr="00774F3E">
        <w:tc>
          <w:tcPr>
            <w:tcW w:w="1796" w:type="pct"/>
            <w:gridSpan w:val="2"/>
            <w:tcBorders>
              <w:top w:val="single" w:sz="4" w:space="0" w:color="auto"/>
              <w:left w:val="single" w:sz="4" w:space="0" w:color="auto"/>
              <w:bottom w:val="single" w:sz="4" w:space="0" w:color="auto"/>
              <w:right w:val="single" w:sz="4" w:space="0" w:color="auto"/>
            </w:tcBorders>
          </w:tcPr>
          <w:p w14:paraId="045FB7AD" w14:textId="12BECC51"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 (b) de a cere consolidarea cadrului de administrare, a proceselor și a mecanismelor și a strategiilor puse în aplicare în conformitate cu articolele 73 și 74;</w:t>
            </w:r>
          </w:p>
        </w:tc>
        <w:tc>
          <w:tcPr>
            <w:tcW w:w="1928" w:type="pct"/>
            <w:gridSpan w:val="3"/>
            <w:tcBorders>
              <w:top w:val="single" w:sz="4" w:space="0" w:color="auto"/>
              <w:left w:val="single" w:sz="4" w:space="0" w:color="auto"/>
              <w:bottom w:val="single" w:sz="4" w:space="0" w:color="auto"/>
              <w:right w:val="single" w:sz="4" w:space="0" w:color="auto"/>
            </w:tcBorders>
          </w:tcPr>
          <w:p w14:paraId="4A23D004" w14:textId="7D9573D5" w:rsidR="00984B34" w:rsidRPr="009E686F" w:rsidRDefault="00984B34" w:rsidP="00984B34">
            <w:pPr>
              <w:spacing w:after="0"/>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 xml:space="preserve">b) să solicite </w:t>
            </w:r>
            <w:r w:rsidRPr="009E686F">
              <w:rPr>
                <w:rFonts w:ascii="Times New Roman" w:eastAsia="Aptos" w:hAnsi="Times New Roman" w:cs="Times New Roman"/>
                <w:i/>
                <w:iCs/>
                <w:kern w:val="2"/>
                <w:lang w:val="ro-MD"/>
              </w:rPr>
              <w:t>instituției de credit</w:t>
            </w:r>
            <w:r w:rsidRPr="009E686F">
              <w:rPr>
                <w:rFonts w:ascii="Times New Roman" w:eastAsia="Aptos" w:hAnsi="Times New Roman" w:cs="Times New Roman"/>
                <w:kern w:val="2"/>
                <w:lang w:val="ro-MD"/>
              </w:rPr>
              <w:t xml:space="preserve"> </w:t>
            </w:r>
            <w:r w:rsidRPr="009E686F">
              <w:rPr>
                <w:rFonts w:ascii="Times New Roman" w:eastAsia="Aptos" w:hAnsi="Times New Roman" w:cs="Times New Roman"/>
                <w:i/>
                <w:kern w:val="2"/>
                <w:lang w:val="ro-MD"/>
              </w:rPr>
              <w:t>consolidarea</w:t>
            </w:r>
            <w:r w:rsidRPr="009E686F">
              <w:rPr>
                <w:rFonts w:ascii="Times New Roman" w:eastAsia="Aptos" w:hAnsi="Times New Roman" w:cs="Times New Roman"/>
                <w:kern w:val="2"/>
                <w:lang w:val="ro-MD"/>
              </w:rPr>
              <w:t xml:space="preserve"> cadrului de administrare a activităţii, a strategiilor, proceselor şi mecanismelor implementate în vederea respectării prezentei legi şi a actelor normative emise în aplicarea acesteia;</w:t>
            </w:r>
          </w:p>
          <w:p w14:paraId="56DB088C" w14:textId="4AF921B3" w:rsidR="00984B34" w:rsidRPr="009E686F" w:rsidRDefault="00984B34" w:rsidP="00984B34">
            <w:pPr>
              <w:spacing w:after="0"/>
              <w:jc w:val="both"/>
              <w:rPr>
                <w:rFonts w:ascii="Times New Roman" w:hAnsi="Times New Roman" w:cs="Times New Roman"/>
                <w:lang w:val="ro-RO"/>
              </w:rPr>
            </w:pPr>
          </w:p>
        </w:tc>
        <w:tc>
          <w:tcPr>
            <w:tcW w:w="470" w:type="pct"/>
            <w:tcBorders>
              <w:top w:val="single" w:sz="4" w:space="0" w:color="auto"/>
              <w:left w:val="single" w:sz="4" w:space="0" w:color="auto"/>
              <w:bottom w:val="single" w:sz="4" w:space="0" w:color="auto"/>
              <w:right w:val="single" w:sz="4" w:space="0" w:color="auto"/>
            </w:tcBorders>
          </w:tcPr>
          <w:p w14:paraId="2BE3C10C" w14:textId="38343CCB"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4FBB5582" w14:textId="77777777" w:rsidR="00984B34" w:rsidRPr="009E686F" w:rsidRDefault="00984B34" w:rsidP="00984B34">
            <w:pPr>
              <w:jc w:val="both"/>
              <w:rPr>
                <w:rFonts w:ascii="Times New Roman" w:hAnsi="Times New Roman" w:cs="Times New Roman"/>
                <w:lang w:val="ro-RO"/>
              </w:rPr>
            </w:pPr>
          </w:p>
        </w:tc>
      </w:tr>
      <w:tr w:rsidR="00984B34" w:rsidRPr="009E686F" w14:paraId="40E712A1" w14:textId="3384A9A0" w:rsidTr="00774F3E">
        <w:tc>
          <w:tcPr>
            <w:tcW w:w="1796" w:type="pct"/>
            <w:gridSpan w:val="2"/>
            <w:tcBorders>
              <w:top w:val="single" w:sz="4" w:space="0" w:color="auto"/>
              <w:left w:val="single" w:sz="4" w:space="0" w:color="auto"/>
              <w:bottom w:val="single" w:sz="4" w:space="0" w:color="auto"/>
              <w:right w:val="single" w:sz="4" w:space="0" w:color="auto"/>
            </w:tcBorders>
          </w:tcPr>
          <w:p w14:paraId="47DEEEDB" w14:textId="3D77EBA3"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(c) de a cere  instituțiilor să prezinte un plan pentru restabilirea conformității cu cerințele de supraveghere prevăzute în prezenta directivă și în Regulamentul (UE) nr. 575/2013 și să stabilească un termen-limită pentru punerea în aplicare a acestuia, inclusiv îmbunătățiri ale planului respectiv în ceea ce privește domeniul de aplicare și termenul-limită;</w:t>
            </w:r>
          </w:p>
        </w:tc>
        <w:tc>
          <w:tcPr>
            <w:tcW w:w="1928" w:type="pct"/>
            <w:gridSpan w:val="3"/>
            <w:tcBorders>
              <w:top w:val="single" w:sz="4" w:space="0" w:color="auto"/>
              <w:left w:val="single" w:sz="4" w:space="0" w:color="auto"/>
              <w:bottom w:val="single" w:sz="4" w:space="0" w:color="auto"/>
              <w:right w:val="single" w:sz="4" w:space="0" w:color="auto"/>
            </w:tcBorders>
          </w:tcPr>
          <w:p w14:paraId="599A434B" w14:textId="634427E9" w:rsidR="00984B34" w:rsidRPr="009E686F" w:rsidRDefault="00984B34" w:rsidP="00984B34">
            <w:pPr>
              <w:spacing w:after="0"/>
              <w:jc w:val="both"/>
              <w:rPr>
                <w:rFonts w:ascii="Times New Roman" w:hAnsi="Times New Roman" w:cs="Times New Roman"/>
                <w:lang w:val="ro-RO"/>
              </w:rPr>
            </w:pPr>
            <w:r w:rsidRPr="009E686F">
              <w:rPr>
                <w:rFonts w:ascii="Times New Roman" w:eastAsia="Aptos" w:hAnsi="Times New Roman" w:cs="Times New Roman"/>
                <w:kern w:val="2"/>
                <w:lang w:val="ro-MD"/>
              </w:rPr>
              <w:t xml:space="preserve">j) să dispună </w:t>
            </w:r>
            <w:r w:rsidRPr="009E686F">
              <w:rPr>
                <w:rFonts w:ascii="Times New Roman" w:eastAsia="Aptos" w:hAnsi="Times New Roman" w:cs="Times New Roman"/>
                <w:i/>
                <w:iCs/>
                <w:kern w:val="2"/>
                <w:lang w:val="ro-MD"/>
              </w:rPr>
              <w:t>instituției de credit</w:t>
            </w:r>
            <w:r w:rsidRPr="009E686F">
              <w:rPr>
                <w:rFonts w:ascii="Times New Roman" w:eastAsia="Aptos" w:hAnsi="Times New Roman" w:cs="Times New Roman"/>
                <w:kern w:val="2"/>
                <w:lang w:val="ro-MD"/>
              </w:rPr>
              <w:t xml:space="preserve"> prezentarea unui plan de restabilire a conformităţii cu cerinţele de supraveghere prevăzute de prezenta lege, precum şi de actele normative emise în aplicarea acesteia, care să detalieze măsurile şi acţiunile ce vor fi întreprinse în acest sens şi care să stabilească termenul de implementare a respectivelor măsuri şi acţiuni, precum şi îmbunătăţirile ulterioare aduse planului de restabilire în ceea ce priveşte sfera de aplicare şi termenul de implementare;</w:t>
            </w:r>
          </w:p>
        </w:tc>
        <w:tc>
          <w:tcPr>
            <w:tcW w:w="470" w:type="pct"/>
            <w:tcBorders>
              <w:top w:val="single" w:sz="4" w:space="0" w:color="auto"/>
              <w:left w:val="single" w:sz="4" w:space="0" w:color="auto"/>
              <w:bottom w:val="single" w:sz="4" w:space="0" w:color="auto"/>
              <w:right w:val="single" w:sz="4" w:space="0" w:color="auto"/>
            </w:tcBorders>
          </w:tcPr>
          <w:p w14:paraId="0E146EB0" w14:textId="470D0346"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15069E91" w14:textId="77777777" w:rsidR="00984B34" w:rsidRPr="009E686F" w:rsidRDefault="00984B34" w:rsidP="00984B34">
            <w:pPr>
              <w:jc w:val="both"/>
              <w:rPr>
                <w:rFonts w:ascii="Times New Roman" w:hAnsi="Times New Roman" w:cs="Times New Roman"/>
                <w:lang w:val="ro-RO"/>
              </w:rPr>
            </w:pPr>
          </w:p>
        </w:tc>
      </w:tr>
      <w:tr w:rsidR="00984B34" w:rsidRPr="009E686F" w14:paraId="2759D07D" w14:textId="65C75BF5" w:rsidTr="00774F3E">
        <w:tc>
          <w:tcPr>
            <w:tcW w:w="1796" w:type="pct"/>
            <w:gridSpan w:val="2"/>
            <w:tcBorders>
              <w:top w:val="single" w:sz="4" w:space="0" w:color="auto"/>
              <w:left w:val="single" w:sz="4" w:space="0" w:color="auto"/>
              <w:bottom w:val="single" w:sz="4" w:space="0" w:color="auto"/>
              <w:right w:val="single" w:sz="4" w:space="0" w:color="auto"/>
            </w:tcBorders>
          </w:tcPr>
          <w:p w14:paraId="711913A6" w14:textId="4264FC44"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lastRenderedPageBreak/>
              <w:t>(d) de a cere instituțiilor să aplice o anumită politică de constituire de provizioane sau un anumit tratament al activelor în ceea ce privește cerințele de fonduri proprii;</w:t>
            </w:r>
          </w:p>
        </w:tc>
        <w:tc>
          <w:tcPr>
            <w:tcW w:w="1928" w:type="pct"/>
            <w:gridSpan w:val="3"/>
            <w:tcBorders>
              <w:top w:val="single" w:sz="4" w:space="0" w:color="auto"/>
              <w:left w:val="single" w:sz="4" w:space="0" w:color="auto"/>
              <w:bottom w:val="single" w:sz="4" w:space="0" w:color="auto"/>
              <w:right w:val="single" w:sz="4" w:space="0" w:color="auto"/>
            </w:tcBorders>
          </w:tcPr>
          <w:p w14:paraId="13441EB4" w14:textId="10605EED" w:rsidR="00984B34" w:rsidRPr="009E686F" w:rsidRDefault="00984B34" w:rsidP="00984B34">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 xml:space="preserve">c) să solicite </w:t>
            </w:r>
            <w:r w:rsidRPr="009E686F">
              <w:rPr>
                <w:rFonts w:ascii="Times New Roman" w:eastAsia="Aptos" w:hAnsi="Times New Roman" w:cs="Times New Roman"/>
                <w:i/>
                <w:iCs/>
                <w:kern w:val="2"/>
                <w:lang w:val="ro-MD"/>
              </w:rPr>
              <w:t>instituției de credit</w:t>
            </w:r>
            <w:r w:rsidRPr="009E686F">
              <w:rPr>
                <w:rFonts w:ascii="Times New Roman" w:eastAsia="Aptos" w:hAnsi="Times New Roman" w:cs="Times New Roman"/>
                <w:kern w:val="2"/>
                <w:lang w:val="ro-MD"/>
              </w:rPr>
              <w:t xml:space="preserve"> să aplice o politică specifică de formare a provizioanelor sau un tratament specific al activelor din perspectiva cerinţelor de fonduri proprii;</w:t>
            </w:r>
          </w:p>
        </w:tc>
        <w:tc>
          <w:tcPr>
            <w:tcW w:w="470" w:type="pct"/>
            <w:tcBorders>
              <w:top w:val="single" w:sz="4" w:space="0" w:color="auto"/>
              <w:left w:val="single" w:sz="4" w:space="0" w:color="auto"/>
              <w:bottom w:val="single" w:sz="4" w:space="0" w:color="auto"/>
              <w:right w:val="single" w:sz="4" w:space="0" w:color="auto"/>
            </w:tcBorders>
          </w:tcPr>
          <w:p w14:paraId="375A8980" w14:textId="2F4FDBFB"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5B27FDAC" w14:textId="77777777" w:rsidR="00984B34" w:rsidRPr="009E686F" w:rsidRDefault="00984B34" w:rsidP="00984B34">
            <w:pPr>
              <w:jc w:val="both"/>
              <w:rPr>
                <w:rFonts w:ascii="Times New Roman" w:hAnsi="Times New Roman" w:cs="Times New Roman"/>
                <w:lang w:val="ro-RO"/>
              </w:rPr>
            </w:pPr>
          </w:p>
        </w:tc>
      </w:tr>
      <w:tr w:rsidR="00984B34" w:rsidRPr="009E686F" w14:paraId="4BEFCC20" w14:textId="580F876D" w:rsidTr="00774F3E">
        <w:tc>
          <w:tcPr>
            <w:tcW w:w="1796" w:type="pct"/>
            <w:gridSpan w:val="2"/>
            <w:tcBorders>
              <w:top w:val="single" w:sz="4" w:space="0" w:color="auto"/>
              <w:left w:val="single" w:sz="4" w:space="0" w:color="auto"/>
              <w:bottom w:val="single" w:sz="4" w:space="0" w:color="auto"/>
              <w:right w:val="single" w:sz="4" w:space="0" w:color="auto"/>
            </w:tcBorders>
          </w:tcPr>
          <w:p w14:paraId="139B185D" w14:textId="7D6FD34B"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(e) de a restrânge sau a limita activitățile, inclusiv în ceea ce privește acceptarea de depozite, operațiunile sau rețeaua instituțiilor, ori de a solicita cesiunea activităților care prezintă riscuri excesive pentru soliditatea unei instituții;</w:t>
            </w:r>
          </w:p>
          <w:p w14:paraId="06666098" w14:textId="2F2EFE4B" w:rsidR="00984B34" w:rsidRPr="009E686F" w:rsidRDefault="00984B34" w:rsidP="00984B34">
            <w:pPr>
              <w:spacing w:after="0"/>
              <w:jc w:val="both"/>
              <w:rPr>
                <w:rFonts w:ascii="Times New Roman" w:hAnsi="Times New Roman" w:cs="Times New Roman"/>
                <w:lang w:val="ro-RO"/>
              </w:rPr>
            </w:pPr>
          </w:p>
        </w:tc>
        <w:tc>
          <w:tcPr>
            <w:tcW w:w="1928" w:type="pct"/>
            <w:gridSpan w:val="3"/>
            <w:tcBorders>
              <w:top w:val="single" w:sz="4" w:space="0" w:color="auto"/>
              <w:left w:val="single" w:sz="4" w:space="0" w:color="auto"/>
              <w:bottom w:val="single" w:sz="4" w:space="0" w:color="auto"/>
              <w:right w:val="single" w:sz="4" w:space="0" w:color="auto"/>
            </w:tcBorders>
          </w:tcPr>
          <w:p w14:paraId="77064938" w14:textId="02D2C6DD" w:rsidR="00984B34" w:rsidRPr="009E686F" w:rsidRDefault="00984B34" w:rsidP="00984B34">
            <w:pPr>
              <w:spacing w:after="0"/>
              <w:jc w:val="both"/>
              <w:rPr>
                <w:rFonts w:ascii="Times New Roman" w:hAnsi="Times New Roman" w:cs="Times New Roman"/>
                <w:lang w:val="ro-RO"/>
              </w:rPr>
            </w:pPr>
            <w:r w:rsidRPr="009E686F">
              <w:rPr>
                <w:rFonts w:ascii="Times New Roman" w:eastAsia="Aptos" w:hAnsi="Times New Roman" w:cs="Times New Roman"/>
                <w:kern w:val="2"/>
                <w:lang w:val="ro-MD"/>
              </w:rPr>
              <w:t xml:space="preserve">d) să restricţioneze sau să limiteze </w:t>
            </w:r>
            <w:r w:rsidRPr="009E686F">
              <w:rPr>
                <w:rFonts w:ascii="Times New Roman" w:eastAsia="Aptos" w:hAnsi="Times New Roman" w:cs="Times New Roman"/>
                <w:i/>
                <w:kern w:val="2"/>
                <w:lang w:val="ro-MD"/>
              </w:rPr>
              <w:t>activitățile, inclusiv în ceea ce privește acceptarea de depozite</w:t>
            </w:r>
            <w:r w:rsidRPr="009E686F">
              <w:rPr>
                <w:rFonts w:ascii="Times New Roman" w:eastAsia="Aptos" w:hAnsi="Times New Roman" w:cs="Times New Roman"/>
                <w:kern w:val="2"/>
                <w:lang w:val="ro-MD"/>
              </w:rPr>
              <w:t>, operaţiunile ori reţeaua teritorială, inclusiv prin retragerea aprobării</w:t>
            </w:r>
            <w:r w:rsidRPr="009E686F">
              <w:rPr>
                <w:rFonts w:ascii="Times New Roman" w:eastAsia="Aptos" w:hAnsi="Times New Roman" w:cs="Times New Roman"/>
                <w:i/>
                <w:kern w:val="2"/>
                <w:lang w:val="ro-MD"/>
              </w:rPr>
              <w:t xml:space="preserve"> </w:t>
            </w:r>
            <w:r w:rsidRPr="009E686F">
              <w:rPr>
                <w:rFonts w:ascii="Times New Roman" w:eastAsia="Aptos" w:hAnsi="Times New Roman" w:cs="Times New Roman"/>
                <w:kern w:val="2"/>
                <w:lang w:val="ro-MD"/>
              </w:rPr>
              <w:t xml:space="preserve">pentru </w:t>
            </w:r>
            <w:r w:rsidRPr="009E686F">
              <w:rPr>
                <w:rFonts w:ascii="Times New Roman" w:eastAsia="Aptos" w:hAnsi="Times New Roman" w:cs="Times New Roman"/>
                <w:i/>
                <w:iCs/>
                <w:kern w:val="2"/>
                <w:lang w:val="ro-MD"/>
              </w:rPr>
              <w:t>deschiderea</w:t>
            </w:r>
            <w:r w:rsidRPr="009E686F">
              <w:rPr>
                <w:rFonts w:ascii="Times New Roman" w:eastAsia="Aptos" w:hAnsi="Times New Roman" w:cs="Times New Roman"/>
                <w:i/>
                <w:kern w:val="2"/>
                <w:lang w:val="ro-MD"/>
              </w:rPr>
              <w:t xml:space="preserve"> sucursalelor </w:t>
            </w:r>
            <w:r w:rsidRPr="009E686F">
              <w:rPr>
                <w:rFonts w:ascii="Times New Roman" w:eastAsia="Aptos" w:hAnsi="Times New Roman" w:cs="Times New Roman"/>
                <w:i/>
                <w:iCs/>
                <w:kern w:val="2"/>
                <w:lang w:val="ro-MD"/>
              </w:rPr>
              <w:t>în state terțe sau restricționarea activității pe teritoriul statelor membre prin intermediul unei sucursale sau prin prestarea serviciilor în mod direct</w:t>
            </w:r>
            <w:r w:rsidRPr="009E686F">
              <w:rPr>
                <w:rFonts w:ascii="Times New Roman" w:eastAsia="Aptos" w:hAnsi="Times New Roman" w:cs="Times New Roman"/>
                <w:kern w:val="2"/>
                <w:lang w:val="ro-MD"/>
              </w:rPr>
              <w:t xml:space="preserve">, sau să solicite încetarea activităţilor care implică riscuri excesive la adresa solidităţii </w:t>
            </w:r>
            <w:r w:rsidRPr="009E686F">
              <w:rPr>
                <w:rFonts w:ascii="Times New Roman" w:eastAsia="Aptos" w:hAnsi="Times New Roman" w:cs="Times New Roman"/>
                <w:i/>
                <w:iCs/>
                <w:kern w:val="2"/>
                <w:lang w:val="ro-MD"/>
              </w:rPr>
              <w:t>instituției de credit</w:t>
            </w:r>
            <w:r w:rsidRPr="009E686F">
              <w:rPr>
                <w:rFonts w:ascii="Times New Roman" w:eastAsia="Aptos" w:hAnsi="Times New Roman" w:cs="Times New Roman"/>
                <w:kern w:val="2"/>
                <w:lang w:val="ro-MD"/>
              </w:rPr>
              <w:t>;</w:t>
            </w:r>
          </w:p>
        </w:tc>
        <w:tc>
          <w:tcPr>
            <w:tcW w:w="470" w:type="pct"/>
            <w:tcBorders>
              <w:top w:val="single" w:sz="4" w:space="0" w:color="auto"/>
              <w:left w:val="single" w:sz="4" w:space="0" w:color="auto"/>
              <w:bottom w:val="single" w:sz="4" w:space="0" w:color="auto"/>
              <w:right w:val="single" w:sz="4" w:space="0" w:color="auto"/>
            </w:tcBorders>
          </w:tcPr>
          <w:p w14:paraId="5E4303A5" w14:textId="25B706EC"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124901B6" w14:textId="77777777" w:rsidR="00984B34" w:rsidRPr="009E686F" w:rsidRDefault="00984B34" w:rsidP="00984B34">
            <w:pPr>
              <w:jc w:val="both"/>
              <w:rPr>
                <w:rFonts w:ascii="Times New Roman" w:hAnsi="Times New Roman" w:cs="Times New Roman"/>
                <w:lang w:val="ro-RO"/>
              </w:rPr>
            </w:pPr>
          </w:p>
        </w:tc>
      </w:tr>
      <w:tr w:rsidR="00984B34" w:rsidRPr="009E686F" w14:paraId="5DF73A82" w14:textId="2175FF5B" w:rsidTr="00774F3E">
        <w:tc>
          <w:tcPr>
            <w:tcW w:w="1796" w:type="pct"/>
            <w:gridSpan w:val="2"/>
            <w:tcBorders>
              <w:top w:val="single" w:sz="4" w:space="0" w:color="auto"/>
              <w:left w:val="single" w:sz="4" w:space="0" w:color="auto"/>
              <w:bottom w:val="single" w:sz="4" w:space="0" w:color="auto"/>
              <w:right w:val="single" w:sz="4" w:space="0" w:color="auto"/>
            </w:tcBorders>
          </w:tcPr>
          <w:p w14:paraId="69B55D3F" w14:textId="212CD879"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(f) de a cere  diminuarea riscului inerent activităților, produselor și sistemelor instituțiilor, inclusiv al activităților externalizate;</w:t>
            </w:r>
          </w:p>
        </w:tc>
        <w:tc>
          <w:tcPr>
            <w:tcW w:w="1928" w:type="pct"/>
            <w:gridSpan w:val="3"/>
            <w:tcBorders>
              <w:top w:val="single" w:sz="4" w:space="0" w:color="auto"/>
              <w:left w:val="single" w:sz="4" w:space="0" w:color="auto"/>
              <w:bottom w:val="single" w:sz="4" w:space="0" w:color="auto"/>
              <w:right w:val="single" w:sz="4" w:space="0" w:color="auto"/>
            </w:tcBorders>
          </w:tcPr>
          <w:p w14:paraId="0F4B932F" w14:textId="23D11E5A" w:rsidR="00984B34" w:rsidRPr="009E686F" w:rsidRDefault="00984B34" w:rsidP="00984B34">
            <w:pPr>
              <w:spacing w:after="0"/>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 xml:space="preserve">e) să solicite </w:t>
            </w:r>
            <w:r w:rsidRPr="009E686F">
              <w:rPr>
                <w:rFonts w:ascii="Times New Roman" w:eastAsia="Aptos" w:hAnsi="Times New Roman" w:cs="Times New Roman"/>
                <w:i/>
                <w:iCs/>
                <w:kern w:val="2"/>
                <w:lang w:val="ro-MD"/>
              </w:rPr>
              <w:t>instituției de credit</w:t>
            </w:r>
            <w:r w:rsidRPr="009E686F">
              <w:rPr>
                <w:rFonts w:ascii="Times New Roman" w:eastAsia="Aptos" w:hAnsi="Times New Roman" w:cs="Times New Roman"/>
                <w:kern w:val="2"/>
                <w:lang w:val="ro-MD"/>
              </w:rPr>
              <w:t xml:space="preserve"> reducerea riscurilor aferente activităţilor, produselor şi/sau sistemelor acesteia, inclusiv a activităților externalizate;</w:t>
            </w:r>
          </w:p>
        </w:tc>
        <w:tc>
          <w:tcPr>
            <w:tcW w:w="470" w:type="pct"/>
            <w:tcBorders>
              <w:top w:val="single" w:sz="4" w:space="0" w:color="auto"/>
              <w:left w:val="single" w:sz="4" w:space="0" w:color="auto"/>
              <w:bottom w:val="single" w:sz="4" w:space="0" w:color="auto"/>
              <w:right w:val="single" w:sz="4" w:space="0" w:color="auto"/>
            </w:tcBorders>
          </w:tcPr>
          <w:p w14:paraId="615A3D86" w14:textId="7991644C"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6896AC6A" w14:textId="77777777" w:rsidR="00984B34" w:rsidRPr="009E686F" w:rsidRDefault="00984B34" w:rsidP="00984B34">
            <w:pPr>
              <w:jc w:val="both"/>
              <w:rPr>
                <w:rFonts w:ascii="Times New Roman" w:hAnsi="Times New Roman" w:cs="Times New Roman"/>
                <w:lang w:val="ro-RO"/>
              </w:rPr>
            </w:pPr>
          </w:p>
        </w:tc>
      </w:tr>
      <w:tr w:rsidR="00984B34" w:rsidRPr="009E686F" w14:paraId="5703EC5D" w14:textId="03D9E65B" w:rsidTr="00774F3E">
        <w:tc>
          <w:tcPr>
            <w:tcW w:w="1796" w:type="pct"/>
            <w:gridSpan w:val="2"/>
            <w:tcBorders>
              <w:top w:val="single" w:sz="4" w:space="0" w:color="auto"/>
              <w:left w:val="single" w:sz="4" w:space="0" w:color="auto"/>
              <w:bottom w:val="single" w:sz="4" w:space="0" w:color="auto"/>
              <w:right w:val="single" w:sz="4" w:space="0" w:color="auto"/>
            </w:tcBorders>
          </w:tcPr>
          <w:p w14:paraId="58E1603D" w14:textId="566C7699"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(g) de a cere instituțiilor limitarea remunerației variabile la un procent din veniturile nete, atunci când nivelul acesteia nu este în concordanță cu menținerea unei baze de capital solide;</w:t>
            </w:r>
          </w:p>
        </w:tc>
        <w:tc>
          <w:tcPr>
            <w:tcW w:w="1928" w:type="pct"/>
            <w:gridSpan w:val="3"/>
            <w:tcBorders>
              <w:top w:val="single" w:sz="4" w:space="0" w:color="auto"/>
              <w:left w:val="single" w:sz="4" w:space="0" w:color="auto"/>
              <w:bottom w:val="single" w:sz="4" w:space="0" w:color="auto"/>
              <w:right w:val="single" w:sz="4" w:space="0" w:color="auto"/>
            </w:tcBorders>
          </w:tcPr>
          <w:p w14:paraId="040DE69B" w14:textId="4CE9B86E" w:rsidR="00984B34" w:rsidRPr="009E686F" w:rsidRDefault="00984B34" w:rsidP="00984B34">
            <w:pPr>
              <w:spacing w:after="0"/>
              <w:jc w:val="both"/>
              <w:rPr>
                <w:rFonts w:ascii="Times New Roman" w:hAnsi="Times New Roman" w:cs="Times New Roman"/>
                <w:lang w:val="ro-RO"/>
              </w:rPr>
            </w:pPr>
            <w:r w:rsidRPr="009E686F">
              <w:rPr>
                <w:rFonts w:ascii="Times New Roman" w:eastAsia="Aptos" w:hAnsi="Times New Roman" w:cs="Times New Roman"/>
                <w:kern w:val="2"/>
                <w:lang w:val="ro-MD"/>
              </w:rPr>
              <w:t xml:space="preserve">f) să dispună </w:t>
            </w:r>
            <w:r w:rsidRPr="009E686F">
              <w:rPr>
                <w:rFonts w:ascii="Times New Roman" w:eastAsia="Aptos" w:hAnsi="Times New Roman" w:cs="Times New Roman"/>
                <w:i/>
                <w:iCs/>
                <w:kern w:val="2"/>
                <w:lang w:val="ro-MD"/>
              </w:rPr>
              <w:t>instituției de credit</w:t>
            </w:r>
            <w:r w:rsidRPr="009E686F">
              <w:rPr>
                <w:rFonts w:ascii="Times New Roman" w:eastAsia="Aptos" w:hAnsi="Times New Roman" w:cs="Times New Roman"/>
                <w:kern w:val="2"/>
                <w:lang w:val="ro-MD"/>
              </w:rPr>
              <w:t xml:space="preserve"> limitarea componentei variabile a remuneraţiei la un procentaj din veniturile totale nete dacă nivelul acesteia nu este în concordanţă cu menţinerea unei baze de capital sănătoase;</w:t>
            </w:r>
          </w:p>
        </w:tc>
        <w:tc>
          <w:tcPr>
            <w:tcW w:w="470" w:type="pct"/>
            <w:tcBorders>
              <w:top w:val="single" w:sz="4" w:space="0" w:color="auto"/>
              <w:left w:val="single" w:sz="4" w:space="0" w:color="auto"/>
              <w:bottom w:val="single" w:sz="4" w:space="0" w:color="auto"/>
              <w:right w:val="single" w:sz="4" w:space="0" w:color="auto"/>
            </w:tcBorders>
          </w:tcPr>
          <w:p w14:paraId="24547472" w14:textId="59C1AC45"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69620CFE" w14:textId="77777777" w:rsidR="00984B34" w:rsidRPr="009E686F" w:rsidRDefault="00984B34" w:rsidP="00984B34">
            <w:pPr>
              <w:jc w:val="both"/>
              <w:rPr>
                <w:rFonts w:ascii="Times New Roman" w:hAnsi="Times New Roman" w:cs="Times New Roman"/>
                <w:lang w:val="ro-RO"/>
              </w:rPr>
            </w:pPr>
          </w:p>
        </w:tc>
      </w:tr>
      <w:tr w:rsidR="00984B34" w:rsidRPr="009E686F" w14:paraId="40912981" w14:textId="598E4222" w:rsidTr="00774F3E">
        <w:tc>
          <w:tcPr>
            <w:tcW w:w="1796" w:type="pct"/>
            <w:gridSpan w:val="2"/>
            <w:tcBorders>
              <w:top w:val="single" w:sz="4" w:space="0" w:color="auto"/>
              <w:left w:val="single" w:sz="4" w:space="0" w:color="auto"/>
              <w:bottom w:val="single" w:sz="4" w:space="0" w:color="auto"/>
              <w:right w:val="single" w:sz="4" w:space="0" w:color="auto"/>
            </w:tcBorders>
          </w:tcPr>
          <w:p w14:paraId="3BFCFAA8" w14:textId="4B4DE7C3"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(h) de a cere instituțiilor utilizarea profiturile nete pentru a-și consolida fondurile proprii;</w:t>
            </w:r>
          </w:p>
        </w:tc>
        <w:tc>
          <w:tcPr>
            <w:tcW w:w="1928" w:type="pct"/>
            <w:gridSpan w:val="3"/>
            <w:tcBorders>
              <w:top w:val="single" w:sz="4" w:space="0" w:color="auto"/>
              <w:left w:val="single" w:sz="4" w:space="0" w:color="auto"/>
              <w:bottom w:val="single" w:sz="4" w:space="0" w:color="auto"/>
              <w:right w:val="single" w:sz="4" w:space="0" w:color="auto"/>
            </w:tcBorders>
          </w:tcPr>
          <w:p w14:paraId="7EF28D41" w14:textId="07E1E21D" w:rsidR="00984B34" w:rsidRPr="009E686F" w:rsidRDefault="00984B34" w:rsidP="00984B34">
            <w:pPr>
              <w:spacing w:after="0"/>
              <w:jc w:val="both"/>
              <w:rPr>
                <w:rFonts w:ascii="Times New Roman" w:hAnsi="Times New Roman" w:cs="Times New Roman"/>
                <w:lang w:val="ro-RO"/>
              </w:rPr>
            </w:pPr>
            <w:r w:rsidRPr="009E686F">
              <w:rPr>
                <w:rFonts w:ascii="Times New Roman" w:eastAsia="Aptos" w:hAnsi="Times New Roman" w:cs="Times New Roman"/>
                <w:kern w:val="2"/>
                <w:lang w:val="ro-MD"/>
              </w:rPr>
              <w:t xml:space="preserve">g) să dispună </w:t>
            </w:r>
            <w:r w:rsidRPr="009E686F">
              <w:rPr>
                <w:rFonts w:ascii="Times New Roman" w:eastAsia="Aptos" w:hAnsi="Times New Roman" w:cs="Times New Roman"/>
                <w:i/>
                <w:iCs/>
                <w:kern w:val="2"/>
                <w:lang w:val="ro-MD"/>
              </w:rPr>
              <w:t>instituției de credit</w:t>
            </w:r>
            <w:r w:rsidRPr="009E686F">
              <w:rPr>
                <w:rFonts w:ascii="Times New Roman" w:eastAsia="Aptos" w:hAnsi="Times New Roman" w:cs="Times New Roman"/>
                <w:kern w:val="2"/>
                <w:lang w:val="ro-MD"/>
              </w:rPr>
              <w:t xml:space="preserve"> să utilizeze profiturile nete pentru întărirea fondurilor proprii;</w:t>
            </w:r>
          </w:p>
        </w:tc>
        <w:tc>
          <w:tcPr>
            <w:tcW w:w="470" w:type="pct"/>
            <w:tcBorders>
              <w:top w:val="single" w:sz="4" w:space="0" w:color="auto"/>
              <w:left w:val="single" w:sz="4" w:space="0" w:color="auto"/>
              <w:bottom w:val="single" w:sz="4" w:space="0" w:color="auto"/>
              <w:right w:val="single" w:sz="4" w:space="0" w:color="auto"/>
            </w:tcBorders>
          </w:tcPr>
          <w:p w14:paraId="3A21DFBD" w14:textId="75FACC39"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2148CB05" w14:textId="77777777" w:rsidR="00984B34" w:rsidRPr="009E686F" w:rsidRDefault="00984B34" w:rsidP="00984B34">
            <w:pPr>
              <w:jc w:val="both"/>
              <w:rPr>
                <w:rFonts w:ascii="Times New Roman" w:hAnsi="Times New Roman" w:cs="Times New Roman"/>
                <w:lang w:val="ro-RO"/>
              </w:rPr>
            </w:pPr>
          </w:p>
        </w:tc>
      </w:tr>
      <w:tr w:rsidR="00984B34" w:rsidRPr="009E686F" w14:paraId="279C9F64" w14:textId="30F399D6" w:rsidTr="00774F3E">
        <w:tc>
          <w:tcPr>
            <w:tcW w:w="1796" w:type="pct"/>
            <w:gridSpan w:val="2"/>
            <w:tcBorders>
              <w:top w:val="single" w:sz="4" w:space="0" w:color="auto"/>
              <w:left w:val="single" w:sz="4" w:space="0" w:color="auto"/>
              <w:bottom w:val="single" w:sz="4" w:space="0" w:color="auto"/>
              <w:right w:val="single" w:sz="4" w:space="0" w:color="auto"/>
            </w:tcBorders>
          </w:tcPr>
          <w:p w14:paraId="3263411F" w14:textId="0FA05191"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(i) de a restricționa sau a interzice distribuirile sau plățile sub formă de dobânzi de către o instituție către acționari, asociați sau deținători de instrumente de fonduri proprii de nivel 1 suplimentar atunci când interdicția nu constituie un eveniment de nerambursare pentru instituție;</w:t>
            </w:r>
          </w:p>
        </w:tc>
        <w:tc>
          <w:tcPr>
            <w:tcW w:w="1928" w:type="pct"/>
            <w:gridSpan w:val="3"/>
            <w:tcBorders>
              <w:top w:val="single" w:sz="4" w:space="0" w:color="auto"/>
              <w:left w:val="single" w:sz="4" w:space="0" w:color="auto"/>
              <w:bottom w:val="single" w:sz="4" w:space="0" w:color="auto"/>
              <w:right w:val="single" w:sz="4" w:space="0" w:color="auto"/>
            </w:tcBorders>
          </w:tcPr>
          <w:p w14:paraId="5EB548AD" w14:textId="093A776B" w:rsidR="00984B34" w:rsidRPr="009E686F" w:rsidRDefault="00984B34" w:rsidP="00984B34">
            <w:pPr>
              <w:spacing w:after="0"/>
              <w:jc w:val="both"/>
              <w:rPr>
                <w:rFonts w:ascii="Times New Roman" w:hAnsi="Times New Roman" w:cs="Times New Roman"/>
                <w:lang w:val="ro-RO"/>
              </w:rPr>
            </w:pPr>
            <w:r w:rsidRPr="009E686F">
              <w:rPr>
                <w:rFonts w:ascii="Times New Roman" w:eastAsia="Aptos" w:hAnsi="Times New Roman" w:cs="Times New Roman"/>
                <w:kern w:val="2"/>
                <w:lang w:val="ro-MD"/>
              </w:rPr>
              <w:t xml:space="preserve">k) să limiteze sau să interzică distribuirea de către </w:t>
            </w:r>
            <w:r w:rsidRPr="009E686F">
              <w:rPr>
                <w:rFonts w:ascii="Times New Roman" w:eastAsia="Aptos" w:hAnsi="Times New Roman" w:cs="Times New Roman"/>
                <w:i/>
                <w:iCs/>
                <w:kern w:val="2"/>
                <w:lang w:val="ro-MD"/>
              </w:rPr>
              <w:t>instituția de credit</w:t>
            </w:r>
            <w:r w:rsidRPr="009E686F">
              <w:rPr>
                <w:rFonts w:ascii="Times New Roman" w:eastAsia="Aptos" w:hAnsi="Times New Roman" w:cs="Times New Roman"/>
                <w:kern w:val="2"/>
                <w:lang w:val="ro-MD"/>
              </w:rPr>
              <w:t xml:space="preserve"> a profitului către acţionari şi/ori plata de dobîndă către deţinătorii de instrumente de fonduri proprii de nivelul 1 suplimentar, dacă interdicţia nu reprezintă un caz de nerambursare pentru </w:t>
            </w:r>
            <w:r w:rsidRPr="009E686F">
              <w:rPr>
                <w:rFonts w:ascii="Times New Roman" w:eastAsia="Aptos" w:hAnsi="Times New Roman" w:cs="Times New Roman"/>
                <w:i/>
                <w:iCs/>
                <w:kern w:val="2"/>
                <w:lang w:val="ro-MD"/>
              </w:rPr>
              <w:t>instituție de credit</w:t>
            </w:r>
            <w:r w:rsidRPr="009E686F">
              <w:rPr>
                <w:rFonts w:ascii="Times New Roman" w:eastAsia="Aptos" w:hAnsi="Times New Roman" w:cs="Times New Roman"/>
                <w:kern w:val="2"/>
                <w:lang w:val="ro-MD"/>
              </w:rPr>
              <w:t>;</w:t>
            </w:r>
          </w:p>
        </w:tc>
        <w:tc>
          <w:tcPr>
            <w:tcW w:w="470" w:type="pct"/>
            <w:tcBorders>
              <w:top w:val="single" w:sz="4" w:space="0" w:color="auto"/>
              <w:left w:val="single" w:sz="4" w:space="0" w:color="auto"/>
              <w:bottom w:val="single" w:sz="4" w:space="0" w:color="auto"/>
              <w:right w:val="single" w:sz="4" w:space="0" w:color="auto"/>
            </w:tcBorders>
          </w:tcPr>
          <w:p w14:paraId="6BB205FD" w14:textId="718401DC"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434136D9" w14:textId="77777777" w:rsidR="00984B34" w:rsidRPr="009E686F" w:rsidRDefault="00984B34" w:rsidP="00984B34">
            <w:pPr>
              <w:jc w:val="both"/>
              <w:rPr>
                <w:rFonts w:ascii="Times New Roman" w:hAnsi="Times New Roman" w:cs="Times New Roman"/>
                <w:lang w:val="ro-RO"/>
              </w:rPr>
            </w:pPr>
          </w:p>
        </w:tc>
      </w:tr>
      <w:tr w:rsidR="00984B34" w:rsidRPr="009E686F" w14:paraId="06E8D1BB" w14:textId="0FA652CF" w:rsidTr="00774F3E">
        <w:tc>
          <w:tcPr>
            <w:tcW w:w="1796" w:type="pct"/>
            <w:gridSpan w:val="2"/>
            <w:tcBorders>
              <w:top w:val="single" w:sz="4" w:space="0" w:color="auto"/>
              <w:left w:val="single" w:sz="4" w:space="0" w:color="auto"/>
              <w:bottom w:val="single" w:sz="4" w:space="0" w:color="auto"/>
              <w:right w:val="single" w:sz="4" w:space="0" w:color="auto"/>
            </w:tcBorders>
          </w:tcPr>
          <w:p w14:paraId="6FE8B3F7" w14:textId="554DD792"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(j) de a impune cerințe de raportare suplimentare sau o frecvență mai mare a raportării, inclusiv raportări privind fondurile proprii, lichiditatea și efectul de levier;</w:t>
            </w:r>
          </w:p>
        </w:tc>
        <w:tc>
          <w:tcPr>
            <w:tcW w:w="1928" w:type="pct"/>
            <w:gridSpan w:val="3"/>
            <w:tcBorders>
              <w:top w:val="single" w:sz="4" w:space="0" w:color="auto"/>
              <w:left w:val="single" w:sz="4" w:space="0" w:color="auto"/>
              <w:bottom w:val="single" w:sz="4" w:space="0" w:color="auto"/>
              <w:right w:val="single" w:sz="4" w:space="0" w:color="auto"/>
            </w:tcBorders>
          </w:tcPr>
          <w:p w14:paraId="1F86C620" w14:textId="0AF8CA3B" w:rsidR="00984B34" w:rsidRPr="009E686F" w:rsidRDefault="00984B34" w:rsidP="00984B34">
            <w:pPr>
              <w:spacing w:after="0"/>
              <w:jc w:val="both"/>
              <w:rPr>
                <w:rFonts w:ascii="Times New Roman" w:hAnsi="Times New Roman" w:cs="Times New Roman"/>
                <w:lang w:val="ro-RO"/>
              </w:rPr>
            </w:pPr>
            <w:r w:rsidRPr="009E686F">
              <w:rPr>
                <w:rFonts w:ascii="Times New Roman" w:eastAsia="Aptos" w:hAnsi="Times New Roman" w:cs="Times New Roman"/>
                <w:kern w:val="2"/>
                <w:lang w:val="ro-MD"/>
              </w:rPr>
              <w:t xml:space="preserve">l) să impună </w:t>
            </w:r>
            <w:r w:rsidRPr="009E686F">
              <w:rPr>
                <w:rFonts w:ascii="Times New Roman" w:eastAsia="Aptos" w:hAnsi="Times New Roman" w:cs="Times New Roman"/>
                <w:i/>
                <w:iCs/>
                <w:kern w:val="2"/>
                <w:lang w:val="ro-MD"/>
              </w:rPr>
              <w:t>instituției de credit</w:t>
            </w:r>
            <w:r w:rsidRPr="009E686F">
              <w:rPr>
                <w:rFonts w:ascii="Times New Roman" w:eastAsia="Aptos" w:hAnsi="Times New Roman" w:cs="Times New Roman"/>
                <w:kern w:val="2"/>
                <w:lang w:val="ro-MD"/>
              </w:rPr>
              <w:t xml:space="preserve">  cerinţe de raportare suplimentare sau cu o frecvenţă mai mare, inclusiv raportări </w:t>
            </w:r>
            <w:r w:rsidRPr="009E686F">
              <w:rPr>
                <w:rFonts w:ascii="Times New Roman" w:eastAsia="Aptos" w:hAnsi="Times New Roman" w:cs="Times New Roman"/>
                <w:i/>
                <w:kern w:val="2"/>
                <w:lang w:val="ro-MD"/>
              </w:rPr>
              <w:t>privind fondurile proprii</w:t>
            </w:r>
            <w:r w:rsidRPr="009E686F">
              <w:rPr>
                <w:rFonts w:ascii="Times New Roman" w:eastAsia="Aptos" w:hAnsi="Times New Roman" w:cs="Times New Roman"/>
                <w:kern w:val="2"/>
                <w:lang w:val="ro-MD"/>
              </w:rPr>
              <w:t>, lichiditatea și efectul de levier;</w:t>
            </w:r>
          </w:p>
        </w:tc>
        <w:tc>
          <w:tcPr>
            <w:tcW w:w="470" w:type="pct"/>
            <w:tcBorders>
              <w:top w:val="single" w:sz="4" w:space="0" w:color="auto"/>
              <w:left w:val="single" w:sz="4" w:space="0" w:color="auto"/>
              <w:bottom w:val="single" w:sz="4" w:space="0" w:color="auto"/>
              <w:right w:val="single" w:sz="4" w:space="0" w:color="auto"/>
            </w:tcBorders>
          </w:tcPr>
          <w:p w14:paraId="106B7EB6" w14:textId="70484636"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7533DDC5" w14:textId="77777777" w:rsidR="00984B34" w:rsidRPr="009E686F" w:rsidRDefault="00984B34" w:rsidP="00984B34">
            <w:pPr>
              <w:jc w:val="both"/>
              <w:rPr>
                <w:rFonts w:ascii="Times New Roman" w:hAnsi="Times New Roman" w:cs="Times New Roman"/>
                <w:lang w:val="ro-RO"/>
              </w:rPr>
            </w:pPr>
          </w:p>
        </w:tc>
      </w:tr>
      <w:tr w:rsidR="00984B34" w:rsidRPr="009E686F" w14:paraId="77D1C356" w14:textId="3B9B1FF3" w:rsidTr="00774F3E">
        <w:tc>
          <w:tcPr>
            <w:tcW w:w="1796" w:type="pct"/>
            <w:gridSpan w:val="2"/>
            <w:tcBorders>
              <w:top w:val="single" w:sz="4" w:space="0" w:color="auto"/>
              <w:left w:val="single" w:sz="4" w:space="0" w:color="auto"/>
              <w:bottom w:val="single" w:sz="4" w:space="0" w:color="auto"/>
              <w:right w:val="single" w:sz="4" w:space="0" w:color="auto"/>
            </w:tcBorders>
          </w:tcPr>
          <w:p w14:paraId="40FE4CC2" w14:textId="02E25EE4"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(k) de a impune cerințe de lichiditate specifice, inclusiv restricții cu privire la neconcordanța de scadențe dintre active și pasive;</w:t>
            </w:r>
          </w:p>
        </w:tc>
        <w:tc>
          <w:tcPr>
            <w:tcW w:w="1928" w:type="pct"/>
            <w:gridSpan w:val="3"/>
            <w:tcBorders>
              <w:top w:val="single" w:sz="4" w:space="0" w:color="auto"/>
              <w:left w:val="single" w:sz="4" w:space="0" w:color="auto"/>
              <w:bottom w:val="single" w:sz="4" w:space="0" w:color="auto"/>
              <w:right w:val="single" w:sz="4" w:space="0" w:color="auto"/>
            </w:tcBorders>
          </w:tcPr>
          <w:p w14:paraId="2C7A7917" w14:textId="3F0C999C" w:rsidR="00984B34" w:rsidRPr="009E686F" w:rsidRDefault="00984B34" w:rsidP="00984B34">
            <w:pPr>
              <w:spacing w:after="0"/>
              <w:jc w:val="both"/>
              <w:rPr>
                <w:rFonts w:ascii="Times New Roman" w:hAnsi="Times New Roman" w:cs="Times New Roman"/>
                <w:lang w:val="ro-RO"/>
              </w:rPr>
            </w:pPr>
            <w:r w:rsidRPr="009E686F">
              <w:rPr>
                <w:rFonts w:ascii="Times New Roman" w:eastAsia="Aptos" w:hAnsi="Times New Roman" w:cs="Times New Roman"/>
                <w:kern w:val="2"/>
                <w:lang w:val="ro-MD"/>
              </w:rPr>
              <w:t xml:space="preserve">m) să impună </w:t>
            </w:r>
            <w:r w:rsidRPr="009E686F">
              <w:rPr>
                <w:rFonts w:ascii="Times New Roman" w:eastAsia="Aptos" w:hAnsi="Times New Roman" w:cs="Times New Roman"/>
                <w:i/>
                <w:iCs/>
                <w:kern w:val="2"/>
                <w:lang w:val="ro-MD"/>
              </w:rPr>
              <w:t>instituției de credit</w:t>
            </w:r>
            <w:r w:rsidRPr="009E686F">
              <w:rPr>
                <w:rFonts w:ascii="Times New Roman" w:eastAsia="Aptos" w:hAnsi="Times New Roman" w:cs="Times New Roman"/>
                <w:kern w:val="2"/>
                <w:lang w:val="ro-MD"/>
              </w:rPr>
              <w:t xml:space="preserve"> cerinţe de lichiditate specifice, inclusiv restricţii în ceea ce priveşte neconcordanţele dintre scadenţele activelor şi datoriilor </w:t>
            </w:r>
            <w:r w:rsidRPr="009E686F">
              <w:rPr>
                <w:rFonts w:ascii="Times New Roman" w:eastAsia="Aptos" w:hAnsi="Times New Roman" w:cs="Times New Roman"/>
                <w:i/>
                <w:iCs/>
                <w:kern w:val="2"/>
                <w:lang w:val="ro-MD"/>
              </w:rPr>
              <w:t>instituției de credit</w:t>
            </w:r>
            <w:r w:rsidRPr="009E686F">
              <w:rPr>
                <w:rFonts w:ascii="Times New Roman" w:eastAsia="Aptos" w:hAnsi="Times New Roman" w:cs="Times New Roman"/>
                <w:kern w:val="2"/>
                <w:lang w:val="ro-MD"/>
              </w:rPr>
              <w:t xml:space="preserve"> ;</w:t>
            </w:r>
          </w:p>
        </w:tc>
        <w:tc>
          <w:tcPr>
            <w:tcW w:w="470" w:type="pct"/>
            <w:tcBorders>
              <w:top w:val="single" w:sz="4" w:space="0" w:color="auto"/>
              <w:left w:val="single" w:sz="4" w:space="0" w:color="auto"/>
              <w:bottom w:val="single" w:sz="4" w:space="0" w:color="auto"/>
              <w:right w:val="single" w:sz="4" w:space="0" w:color="auto"/>
            </w:tcBorders>
          </w:tcPr>
          <w:p w14:paraId="71843427" w14:textId="1FBA7809"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7BFA1036" w14:textId="77777777" w:rsidR="00984B34" w:rsidRPr="009E686F" w:rsidRDefault="00984B34" w:rsidP="00984B34">
            <w:pPr>
              <w:jc w:val="both"/>
              <w:rPr>
                <w:rFonts w:ascii="Times New Roman" w:hAnsi="Times New Roman" w:cs="Times New Roman"/>
                <w:lang w:val="ro-RO"/>
              </w:rPr>
            </w:pPr>
          </w:p>
        </w:tc>
      </w:tr>
      <w:tr w:rsidR="00984B34" w:rsidRPr="009E686F" w14:paraId="16E42321" w14:textId="3D507781" w:rsidTr="00774F3E">
        <w:tc>
          <w:tcPr>
            <w:tcW w:w="1796" w:type="pct"/>
            <w:gridSpan w:val="2"/>
            <w:tcBorders>
              <w:top w:val="single" w:sz="4" w:space="0" w:color="auto"/>
              <w:left w:val="single" w:sz="4" w:space="0" w:color="auto"/>
              <w:bottom w:val="single" w:sz="4" w:space="0" w:color="auto"/>
              <w:right w:val="single" w:sz="4" w:space="0" w:color="auto"/>
            </w:tcBorders>
          </w:tcPr>
          <w:p w14:paraId="37090E5F" w14:textId="3769A001"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lastRenderedPageBreak/>
              <w:t>(l) de a cere să se facă publice unele informații suplimentare.</w:t>
            </w:r>
          </w:p>
        </w:tc>
        <w:tc>
          <w:tcPr>
            <w:tcW w:w="1928" w:type="pct"/>
            <w:gridSpan w:val="3"/>
            <w:tcBorders>
              <w:top w:val="single" w:sz="4" w:space="0" w:color="auto"/>
              <w:left w:val="single" w:sz="4" w:space="0" w:color="auto"/>
              <w:bottom w:val="single" w:sz="4" w:space="0" w:color="auto"/>
              <w:right w:val="single" w:sz="4" w:space="0" w:color="auto"/>
            </w:tcBorders>
          </w:tcPr>
          <w:p w14:paraId="4F6DF877" w14:textId="0BB2DFE4" w:rsidR="00984B34" w:rsidRPr="009E686F" w:rsidRDefault="00984B34" w:rsidP="00984B34">
            <w:pPr>
              <w:spacing w:after="0"/>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 xml:space="preserve">o) să dispună </w:t>
            </w:r>
            <w:r w:rsidRPr="009E686F">
              <w:rPr>
                <w:rFonts w:ascii="Times New Roman" w:eastAsia="Aptos" w:hAnsi="Times New Roman" w:cs="Times New Roman"/>
                <w:i/>
                <w:iCs/>
                <w:kern w:val="2"/>
                <w:lang w:val="ro-MD"/>
              </w:rPr>
              <w:t>instituției de credit</w:t>
            </w:r>
            <w:r w:rsidRPr="009E686F">
              <w:rPr>
                <w:rFonts w:ascii="Times New Roman" w:eastAsia="Aptos" w:hAnsi="Times New Roman" w:cs="Times New Roman"/>
                <w:kern w:val="2"/>
                <w:lang w:val="ro-MD"/>
              </w:rPr>
              <w:t xml:space="preserve"> publicarea de informaţii suplimentare;</w:t>
            </w:r>
          </w:p>
        </w:tc>
        <w:tc>
          <w:tcPr>
            <w:tcW w:w="470" w:type="pct"/>
            <w:tcBorders>
              <w:top w:val="single" w:sz="4" w:space="0" w:color="auto"/>
              <w:left w:val="single" w:sz="4" w:space="0" w:color="auto"/>
              <w:bottom w:val="single" w:sz="4" w:space="0" w:color="auto"/>
              <w:right w:val="single" w:sz="4" w:space="0" w:color="auto"/>
            </w:tcBorders>
          </w:tcPr>
          <w:p w14:paraId="48E1BB88" w14:textId="3FB85512"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7549F8EE" w14:textId="77777777" w:rsidR="00984B34" w:rsidRPr="009E686F" w:rsidRDefault="00984B34" w:rsidP="00984B34">
            <w:pPr>
              <w:jc w:val="both"/>
              <w:rPr>
                <w:rFonts w:ascii="Times New Roman" w:hAnsi="Times New Roman" w:cs="Times New Roman"/>
                <w:lang w:val="ro-RO"/>
              </w:rPr>
            </w:pPr>
          </w:p>
        </w:tc>
      </w:tr>
      <w:tr w:rsidR="00984B34" w:rsidRPr="009E686F" w14:paraId="56A39CAB"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5B9F335E" w14:textId="16E825EF" w:rsidR="00984B34" w:rsidRPr="009E686F" w:rsidDel="00C24E19"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(o) de a cere instituțiilor, în cazul în care autoritatea competentă consideră că există un risc de concentrare excesiv care decurge din expunerile față de o contraparte centrală, să reducă expunerile față de respectiva contraparte centrală sau să realinieze expunerile din conturile lor de compensare în conformitate cu articolul 7a din Regulamentul (UE) nr. 648/2012.</w:t>
            </w:r>
          </w:p>
        </w:tc>
        <w:tc>
          <w:tcPr>
            <w:tcW w:w="1928" w:type="pct"/>
            <w:gridSpan w:val="3"/>
            <w:tcBorders>
              <w:top w:val="single" w:sz="4" w:space="0" w:color="auto"/>
              <w:left w:val="single" w:sz="4" w:space="0" w:color="auto"/>
              <w:bottom w:val="single" w:sz="4" w:space="0" w:color="auto"/>
              <w:right w:val="single" w:sz="4" w:space="0" w:color="auto"/>
            </w:tcBorders>
          </w:tcPr>
          <w:p w14:paraId="785DEFC0" w14:textId="49CA6384" w:rsidR="00984B34" w:rsidRPr="009E686F" w:rsidRDefault="00984B34" w:rsidP="00984B34">
            <w:pPr>
              <w:spacing w:after="0"/>
              <w:jc w:val="both"/>
              <w:rPr>
                <w:rFonts w:ascii="Times New Roman" w:hAnsi="Times New Roman" w:cs="Times New Roman"/>
                <w:i/>
                <w:lang w:val="ro-RO"/>
              </w:rPr>
            </w:pPr>
            <w:r w:rsidRPr="009E686F">
              <w:rPr>
                <w:rFonts w:ascii="Times New Roman" w:eastAsia="Aptos" w:hAnsi="Times New Roman" w:cs="Times New Roman"/>
                <w:i/>
                <w:kern w:val="2"/>
                <w:lang w:val="ro-MD"/>
              </w:rPr>
              <w:t xml:space="preserve">r) să solicite </w:t>
            </w:r>
            <w:r w:rsidRPr="009E686F">
              <w:rPr>
                <w:rFonts w:ascii="Times New Roman" w:eastAsia="Aptos" w:hAnsi="Times New Roman" w:cs="Times New Roman"/>
                <w:i/>
                <w:iCs/>
                <w:kern w:val="2"/>
                <w:lang w:val="ro-MD"/>
              </w:rPr>
              <w:t>instituției de credit</w:t>
            </w:r>
            <w:r w:rsidRPr="009E686F">
              <w:rPr>
                <w:rFonts w:ascii="Times New Roman" w:eastAsia="Aptos" w:hAnsi="Times New Roman" w:cs="Times New Roman"/>
                <w:i/>
                <w:kern w:val="2"/>
                <w:lang w:val="ro-MD"/>
              </w:rPr>
              <w:t>, în cazul în care Banca Națională a Moldovei consideră că există un risc de concentrare excesiv care decurge din expunerile faţă de o contraparte centrală, să reducă expunerile faţă de respectiva contraparte centrală sau să realinieze expunerile din conturile lor de compensare în conformitate cu actele normative care se referă la contrapărțile centrale;</w:t>
            </w:r>
          </w:p>
        </w:tc>
        <w:tc>
          <w:tcPr>
            <w:tcW w:w="470" w:type="pct"/>
            <w:tcBorders>
              <w:top w:val="single" w:sz="4" w:space="0" w:color="auto"/>
              <w:left w:val="single" w:sz="4" w:space="0" w:color="auto"/>
              <w:bottom w:val="single" w:sz="4" w:space="0" w:color="auto"/>
              <w:right w:val="single" w:sz="4" w:space="0" w:color="auto"/>
            </w:tcBorders>
          </w:tcPr>
          <w:p w14:paraId="46C39E32" w14:textId="1DA47B78"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5998D155" w14:textId="77777777" w:rsidR="00984B34" w:rsidRPr="009E686F" w:rsidRDefault="00984B34" w:rsidP="00984B34">
            <w:pPr>
              <w:jc w:val="both"/>
              <w:rPr>
                <w:rFonts w:ascii="Times New Roman" w:hAnsi="Times New Roman" w:cs="Times New Roman"/>
                <w:lang w:val="ro-RO"/>
              </w:rPr>
            </w:pPr>
          </w:p>
        </w:tc>
      </w:tr>
      <w:tr w:rsidR="00984B34" w:rsidRPr="009E686F" w14:paraId="195AD991"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14F16CF2" w14:textId="7D7873AB" w:rsidR="00984B34" w:rsidRPr="009E686F" w:rsidDel="00C24E19" w:rsidRDefault="00984B34" w:rsidP="00984B34">
            <w:pPr>
              <w:spacing w:after="0"/>
              <w:jc w:val="both"/>
              <w:rPr>
                <w:rFonts w:ascii="Times New Roman" w:hAnsi="Times New Roman" w:cs="Times New Roman"/>
                <w:lang w:val="ro-RO"/>
              </w:rPr>
            </w:pPr>
            <w:bookmarkStart w:id="36" w:name="_Hlk201335673"/>
            <w:r w:rsidRPr="009E686F">
              <w:rPr>
                <w:rFonts w:ascii="Times New Roman" w:hAnsi="Times New Roman" w:cs="Times New Roman"/>
                <w:lang w:val="ro-RO"/>
              </w:rPr>
              <w:t>(m) de a le impune instituțiilor obligația să reducă riscurile care decurg, pe termen scurt, mediu și lung, din factorii ESG, inclusiv pe cele care decurg din procesul de ajustare și din tendințele de tranziție în contextul obiectivelor juridice și de reglementare relevante ale Uniunii, ale statelor membre sau ale țărilor terțe, prin ajustări ale strategiilor lor de afaceri, ale guvernanței și ale administrării riscurilor pentru care ar putea fi solicitată o consolidare a obiectivelor, a măsurilor și a acțiunilor incluse în planurile lor care urmează să fie elaborate în conformitate cu articolul 76 alineatul (2</w:t>
            </w:r>
            <w:bookmarkEnd w:id="36"/>
            <w:r w:rsidRPr="009E686F">
              <w:rPr>
                <w:rFonts w:ascii="Times New Roman" w:hAnsi="Times New Roman" w:cs="Times New Roman"/>
                <w:lang w:val="ro-RO"/>
              </w:rPr>
              <w:t>);</w:t>
            </w:r>
          </w:p>
        </w:tc>
        <w:tc>
          <w:tcPr>
            <w:tcW w:w="1928" w:type="pct"/>
            <w:gridSpan w:val="3"/>
            <w:tcBorders>
              <w:top w:val="single" w:sz="4" w:space="0" w:color="auto"/>
              <w:left w:val="single" w:sz="4" w:space="0" w:color="auto"/>
              <w:bottom w:val="single" w:sz="4" w:space="0" w:color="auto"/>
              <w:right w:val="single" w:sz="4" w:space="0" w:color="auto"/>
            </w:tcBorders>
          </w:tcPr>
          <w:p w14:paraId="053AB996" w14:textId="3D1ACB92" w:rsidR="00984B34" w:rsidRPr="009E686F" w:rsidRDefault="00984B34" w:rsidP="00984B34">
            <w:pPr>
              <w:spacing w:after="0"/>
              <w:jc w:val="both"/>
              <w:rPr>
                <w:rFonts w:ascii="Times New Roman" w:hAnsi="Times New Roman" w:cs="Times New Roman"/>
                <w:lang w:val="ro-RO"/>
              </w:rPr>
            </w:pPr>
            <w:r w:rsidRPr="009E686F">
              <w:rPr>
                <w:rFonts w:ascii="Times New Roman" w:eastAsia="Aptos" w:hAnsi="Times New Roman" w:cs="Times New Roman"/>
                <w:kern w:val="2"/>
                <w:lang w:val="ro-MD"/>
              </w:rPr>
              <w:t xml:space="preserve">q) </w:t>
            </w:r>
            <w:r w:rsidRPr="009E686F">
              <w:rPr>
                <w:rFonts w:ascii="Times New Roman" w:eastAsia="Aptos" w:hAnsi="Times New Roman" w:cs="Times New Roman"/>
                <w:i/>
                <w:kern w:val="2"/>
                <w:lang w:val="ro-MD"/>
              </w:rPr>
              <w:t xml:space="preserve">să </w:t>
            </w:r>
            <w:r w:rsidRPr="009E686F">
              <w:rPr>
                <w:rFonts w:ascii="Times New Roman" w:eastAsia="Aptos" w:hAnsi="Times New Roman" w:cs="Times New Roman"/>
                <w:i/>
                <w:iCs/>
                <w:kern w:val="2"/>
                <w:lang w:val="ro-MD"/>
              </w:rPr>
              <w:t>solicite</w:t>
            </w:r>
            <w:r w:rsidRPr="009E686F">
              <w:rPr>
                <w:rFonts w:ascii="Times New Roman" w:eastAsia="Aptos" w:hAnsi="Times New Roman" w:cs="Times New Roman"/>
                <w:i/>
                <w:kern w:val="2"/>
                <w:lang w:val="ro-MD"/>
              </w:rPr>
              <w:t xml:space="preserve"> </w:t>
            </w:r>
            <w:r w:rsidRPr="009E686F">
              <w:rPr>
                <w:rFonts w:ascii="Times New Roman" w:eastAsia="Aptos" w:hAnsi="Times New Roman" w:cs="Times New Roman"/>
                <w:i/>
                <w:iCs/>
                <w:kern w:val="2"/>
                <w:lang w:val="ro-MD"/>
              </w:rPr>
              <w:t>instituți</w:t>
            </w:r>
            <w:r w:rsidR="00E46644" w:rsidRPr="009E686F">
              <w:rPr>
                <w:rFonts w:ascii="Times New Roman" w:eastAsia="Aptos" w:hAnsi="Times New Roman" w:cs="Times New Roman"/>
                <w:i/>
                <w:iCs/>
                <w:kern w:val="2"/>
                <w:lang w:val="ro-MD"/>
              </w:rPr>
              <w:t>ei</w:t>
            </w:r>
            <w:r w:rsidRPr="009E686F">
              <w:rPr>
                <w:rFonts w:ascii="Times New Roman" w:eastAsia="Aptos" w:hAnsi="Times New Roman" w:cs="Times New Roman"/>
                <w:i/>
                <w:iCs/>
                <w:kern w:val="2"/>
                <w:lang w:val="ro-MD"/>
              </w:rPr>
              <w:t xml:space="preserve"> de credit</w:t>
            </w:r>
            <w:r w:rsidRPr="009E686F">
              <w:rPr>
                <w:rFonts w:ascii="Times New Roman" w:eastAsia="Aptos" w:hAnsi="Times New Roman" w:cs="Times New Roman"/>
                <w:i/>
                <w:kern w:val="2"/>
                <w:lang w:val="ro-MD"/>
              </w:rPr>
              <w:t xml:space="preserve"> să reducă riscurile care decurg, pe termen scurt, mediu și lung, din factorii de mediu, sociale și de guvernanță, inclusiv pe cele care decurg din procesul de ajustare și din tendințele de tranziție în contextul obiectivelor juridice și de reglementare</w:t>
            </w:r>
            <w:r w:rsidR="00E46644" w:rsidRPr="009E686F">
              <w:rPr>
                <w:rFonts w:ascii="Times New Roman" w:eastAsia="Aptos" w:hAnsi="Times New Roman" w:cs="Times New Roman"/>
                <w:i/>
                <w:kern w:val="2"/>
                <w:lang w:val="ro-MD"/>
              </w:rPr>
              <w:t xml:space="preserve"> conform cadrului național de politici de mediu și climă, actele normative aplicabile, precum și acordurile internaționale la care Republica Moldova este parte, precum și în măsura relevanței, obiectivele</w:t>
            </w:r>
            <w:r w:rsidRPr="009E686F">
              <w:rPr>
                <w:rFonts w:ascii="Times New Roman" w:eastAsia="Aptos" w:hAnsi="Times New Roman" w:cs="Times New Roman"/>
                <w:i/>
                <w:kern w:val="2"/>
                <w:lang w:val="ro-MD"/>
              </w:rPr>
              <w:t xml:space="preserve"> relevante ale UE, ale statelor membre ale UE sau ale statelor terțe, prin ajustări ale strategiilor lor de afaceri, ale guvernanței și ale administrării riscurilor pentru care ar putea fi solicitată o consolidare a obiectivelor, a măsurilor și a acțiunilor incluse în planurile specifice prevăzute la art. 41 alin. (3) lit. i</w:t>
            </w:r>
            <w:r w:rsidRPr="009E686F">
              <w:rPr>
                <w:rFonts w:ascii="Times New Roman" w:eastAsia="Aptos" w:hAnsi="Times New Roman" w:cs="Times New Roman"/>
                <w:i/>
                <w:kern w:val="2"/>
                <w:vertAlign w:val="superscript"/>
                <w:lang w:val="ro-MD"/>
              </w:rPr>
              <w:t>2</w:t>
            </w:r>
            <w:r w:rsidRPr="009E686F">
              <w:rPr>
                <w:rFonts w:ascii="Times New Roman" w:eastAsia="Aptos" w:hAnsi="Times New Roman" w:cs="Times New Roman"/>
                <w:i/>
                <w:kern w:val="2"/>
                <w:lang w:val="ro-MD"/>
              </w:rPr>
              <w:t>);</w:t>
            </w:r>
          </w:p>
        </w:tc>
        <w:tc>
          <w:tcPr>
            <w:tcW w:w="470" w:type="pct"/>
            <w:tcBorders>
              <w:top w:val="single" w:sz="4" w:space="0" w:color="auto"/>
              <w:left w:val="single" w:sz="4" w:space="0" w:color="auto"/>
              <w:bottom w:val="single" w:sz="4" w:space="0" w:color="auto"/>
              <w:right w:val="single" w:sz="4" w:space="0" w:color="auto"/>
            </w:tcBorders>
          </w:tcPr>
          <w:p w14:paraId="38EE6B36" w14:textId="4A215B99"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2D93C78B" w14:textId="77777777" w:rsidR="00984B34" w:rsidRPr="009E686F" w:rsidRDefault="00984B34" w:rsidP="00984B34">
            <w:pPr>
              <w:jc w:val="both"/>
              <w:rPr>
                <w:rFonts w:ascii="Times New Roman" w:hAnsi="Times New Roman" w:cs="Times New Roman"/>
                <w:lang w:val="ro-RO"/>
              </w:rPr>
            </w:pPr>
          </w:p>
        </w:tc>
      </w:tr>
      <w:tr w:rsidR="00984B34" w:rsidRPr="009E686F" w14:paraId="038771A7"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03801361" w14:textId="11DC611B"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(n) de a cere instituțiilor să efectueze simulări de criză sau analiza scenariilor pentru a evalua riscurile care decurg din expunerile la criptoactive și din furnizarea de servicii de criptoactive.</w:t>
            </w:r>
          </w:p>
        </w:tc>
        <w:tc>
          <w:tcPr>
            <w:tcW w:w="1928" w:type="pct"/>
            <w:gridSpan w:val="3"/>
            <w:tcBorders>
              <w:top w:val="single" w:sz="4" w:space="0" w:color="auto"/>
              <w:left w:val="single" w:sz="4" w:space="0" w:color="auto"/>
              <w:bottom w:val="single" w:sz="4" w:space="0" w:color="auto"/>
              <w:right w:val="single" w:sz="4" w:space="0" w:color="auto"/>
            </w:tcBorders>
          </w:tcPr>
          <w:p w14:paraId="77CD6932" w14:textId="0903D1BA" w:rsidR="00984B34" w:rsidRPr="009E686F" w:rsidRDefault="00984B34" w:rsidP="00984B34">
            <w:pPr>
              <w:spacing w:after="0"/>
              <w:jc w:val="both"/>
              <w:rPr>
                <w:rFonts w:ascii="Times New Roman" w:hAnsi="Times New Roman" w:cs="Times New Roman"/>
                <w:lang w:val="ro-RO"/>
              </w:rPr>
            </w:pPr>
            <w:r w:rsidRPr="009E686F">
              <w:rPr>
                <w:rFonts w:ascii="Times New Roman" w:eastAsia="Aptos" w:hAnsi="Times New Roman" w:cs="Times New Roman"/>
                <w:kern w:val="2"/>
                <w:lang w:val="ro-MD"/>
              </w:rPr>
              <w:t>s</w:t>
            </w:r>
            <w:r w:rsidRPr="009E686F">
              <w:rPr>
                <w:rFonts w:ascii="Times New Roman" w:eastAsia="Aptos" w:hAnsi="Times New Roman" w:cs="Times New Roman"/>
                <w:i/>
                <w:kern w:val="2"/>
                <w:lang w:val="ro-MD"/>
              </w:rPr>
              <w:t xml:space="preserve">) să solicite </w:t>
            </w:r>
            <w:r w:rsidRPr="009E686F">
              <w:rPr>
                <w:rFonts w:ascii="Times New Roman" w:eastAsia="Aptos" w:hAnsi="Times New Roman" w:cs="Times New Roman"/>
                <w:i/>
                <w:iCs/>
                <w:kern w:val="2"/>
                <w:lang w:val="ro-MD"/>
              </w:rPr>
              <w:t>instituției de credit</w:t>
            </w:r>
            <w:r w:rsidRPr="009E686F">
              <w:rPr>
                <w:rFonts w:ascii="Times New Roman" w:eastAsia="Aptos" w:hAnsi="Times New Roman" w:cs="Times New Roman"/>
                <w:i/>
                <w:kern w:val="2"/>
                <w:lang w:val="ro-MD"/>
              </w:rPr>
              <w:t xml:space="preserve"> să efectueze simulări de criză sau analiza scenariilor pentru a evalua riscurile care decurg din expunerile la criptoactive și din furnizarea de servicii de criptoactive.</w:t>
            </w:r>
          </w:p>
        </w:tc>
        <w:tc>
          <w:tcPr>
            <w:tcW w:w="470" w:type="pct"/>
            <w:tcBorders>
              <w:top w:val="single" w:sz="4" w:space="0" w:color="auto"/>
              <w:left w:val="single" w:sz="4" w:space="0" w:color="auto"/>
              <w:bottom w:val="single" w:sz="4" w:space="0" w:color="auto"/>
              <w:right w:val="single" w:sz="4" w:space="0" w:color="auto"/>
            </w:tcBorders>
          </w:tcPr>
          <w:p w14:paraId="1E499582" w14:textId="7CC3CE7A"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07F956E6" w14:textId="77777777" w:rsidR="00984B34" w:rsidRPr="009E686F" w:rsidRDefault="00984B34" w:rsidP="00984B34">
            <w:pPr>
              <w:jc w:val="both"/>
              <w:rPr>
                <w:rFonts w:ascii="Times New Roman" w:hAnsi="Times New Roman" w:cs="Times New Roman"/>
                <w:lang w:val="ro-RO"/>
              </w:rPr>
            </w:pPr>
          </w:p>
        </w:tc>
      </w:tr>
      <w:tr w:rsidR="00984B34" w:rsidRPr="009E686F" w14:paraId="4E59B882"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70CA7306" w14:textId="77777777" w:rsidR="00984B34" w:rsidRPr="009E686F" w:rsidRDefault="00984B34" w:rsidP="00984B34">
            <w:pPr>
              <w:spacing w:after="0"/>
              <w:jc w:val="both"/>
              <w:rPr>
                <w:rFonts w:ascii="Times New Roman" w:hAnsi="Times New Roman" w:cs="Times New Roman"/>
                <w:lang w:val="ro-RO"/>
              </w:rPr>
            </w:pPr>
          </w:p>
        </w:tc>
        <w:tc>
          <w:tcPr>
            <w:tcW w:w="1928" w:type="pct"/>
            <w:gridSpan w:val="3"/>
            <w:tcBorders>
              <w:top w:val="single" w:sz="4" w:space="0" w:color="auto"/>
              <w:left w:val="single" w:sz="4" w:space="0" w:color="auto"/>
              <w:bottom w:val="single" w:sz="4" w:space="0" w:color="auto"/>
              <w:right w:val="single" w:sz="4" w:space="0" w:color="auto"/>
            </w:tcBorders>
          </w:tcPr>
          <w:p w14:paraId="1AC88CD1" w14:textId="4CB1AF5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h) să dispună </w:t>
            </w:r>
            <w:r w:rsidRPr="009E686F">
              <w:rPr>
                <w:rFonts w:ascii="Times New Roman" w:hAnsi="Times New Roman" w:cs="Times New Roman"/>
                <w:i/>
                <w:iCs/>
                <w:lang w:val="ro-RO"/>
              </w:rPr>
              <w:t>instituției de credit</w:t>
            </w:r>
            <w:r w:rsidRPr="009E686F">
              <w:rPr>
                <w:rFonts w:ascii="Times New Roman" w:hAnsi="Times New Roman" w:cs="Times New Roman"/>
                <w:lang w:val="ro-RO"/>
              </w:rPr>
              <w:t xml:space="preserve"> ajustarea de valoare prudenţială a activelor şi a angajamentelor condiţionale;</w:t>
            </w:r>
          </w:p>
          <w:p w14:paraId="32DCBA3A" w14:textId="216186A2"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i) să dispună </w:t>
            </w:r>
            <w:r w:rsidRPr="009E686F">
              <w:rPr>
                <w:rFonts w:ascii="Times New Roman" w:hAnsi="Times New Roman" w:cs="Times New Roman"/>
                <w:i/>
                <w:iCs/>
                <w:lang w:val="ro-RO"/>
              </w:rPr>
              <w:t>instituției de credit</w:t>
            </w:r>
            <w:r w:rsidRPr="009E686F">
              <w:rPr>
                <w:rFonts w:ascii="Times New Roman" w:hAnsi="Times New Roman" w:cs="Times New Roman"/>
                <w:lang w:val="ro-RO"/>
              </w:rPr>
              <w:t xml:space="preserve"> limitarea deţinerilor calificate în </w:t>
            </w:r>
            <w:r w:rsidRPr="009E686F">
              <w:rPr>
                <w:rFonts w:ascii="Times New Roman" w:hAnsi="Times New Roman" w:cs="Times New Roman"/>
                <w:i/>
                <w:iCs/>
                <w:lang w:val="ro-RO"/>
              </w:rPr>
              <w:t>instituții financiare</w:t>
            </w:r>
            <w:r w:rsidRPr="009E686F">
              <w:rPr>
                <w:rFonts w:ascii="Times New Roman" w:hAnsi="Times New Roman" w:cs="Times New Roman"/>
                <w:lang w:val="ro-RO"/>
              </w:rPr>
              <w:t xml:space="preserve"> sau în societăţi nefinanciare;</w:t>
            </w:r>
          </w:p>
          <w:p w14:paraId="1CF30A3E" w14:textId="77777777" w:rsidR="00984B34" w:rsidRPr="009E686F" w:rsidRDefault="00984B34" w:rsidP="00984B34">
            <w:pPr>
              <w:spacing w:after="0"/>
              <w:jc w:val="both"/>
              <w:rPr>
                <w:rFonts w:ascii="Times New Roman" w:hAnsi="Times New Roman" w:cs="Times New Roman"/>
                <w:lang w:val="ro-RO"/>
              </w:rPr>
            </w:pPr>
          </w:p>
          <w:p w14:paraId="21AB9808" w14:textId="77777777" w:rsidR="00984B34" w:rsidRPr="009E686F" w:rsidRDefault="00984B34" w:rsidP="00984B34">
            <w:pPr>
              <w:spacing w:after="0"/>
              <w:jc w:val="both"/>
              <w:rPr>
                <w:rFonts w:ascii="Times New Roman" w:eastAsia="Aptos" w:hAnsi="Times New Roman" w:cs="Times New Roman"/>
                <w:kern w:val="2"/>
                <w:lang w:val="ro-MD"/>
              </w:rPr>
            </w:pPr>
          </w:p>
        </w:tc>
        <w:tc>
          <w:tcPr>
            <w:tcW w:w="470" w:type="pct"/>
            <w:tcBorders>
              <w:top w:val="single" w:sz="4" w:space="0" w:color="auto"/>
              <w:left w:val="single" w:sz="4" w:space="0" w:color="auto"/>
              <w:bottom w:val="single" w:sz="4" w:space="0" w:color="auto"/>
              <w:right w:val="single" w:sz="4" w:space="0" w:color="auto"/>
            </w:tcBorders>
          </w:tcPr>
          <w:p w14:paraId="4EF41F48" w14:textId="6532157D"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0660E5BA" w14:textId="2C28EE06"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cu specific național din Legea nr. 202/2017 de detaliere a competențelor de supraveghere.</w:t>
            </w:r>
          </w:p>
        </w:tc>
      </w:tr>
      <w:tr w:rsidR="00984B34" w:rsidRPr="009E686F" w14:paraId="447609CD" w14:textId="12CEA364" w:rsidTr="00774F3E">
        <w:tc>
          <w:tcPr>
            <w:tcW w:w="1796" w:type="pct"/>
            <w:gridSpan w:val="2"/>
            <w:tcBorders>
              <w:top w:val="single" w:sz="4" w:space="0" w:color="auto"/>
              <w:left w:val="single" w:sz="4" w:space="0" w:color="auto"/>
              <w:bottom w:val="single" w:sz="4" w:space="0" w:color="auto"/>
              <w:right w:val="single" w:sz="4" w:space="0" w:color="auto"/>
            </w:tcBorders>
          </w:tcPr>
          <w:p w14:paraId="1609EFBB" w14:textId="5728B8CB"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lastRenderedPageBreak/>
              <w:t>(2) În sensul alineatului (1) litera (j), autoritățile competente pot impune instituțiilor cerințe de raportare suplimentare sau o frecvență mai mare a raportării numai dacă cerința în cauză este adecvată și proporțională în raport cu scopul în care sunt solicitate informațiile, iar informațiile solicitate nu sunt redundante.</w:t>
            </w:r>
          </w:p>
        </w:tc>
        <w:tc>
          <w:tcPr>
            <w:tcW w:w="1928" w:type="pct"/>
            <w:gridSpan w:val="3"/>
            <w:tcBorders>
              <w:top w:val="single" w:sz="4" w:space="0" w:color="auto"/>
              <w:left w:val="single" w:sz="4" w:space="0" w:color="auto"/>
              <w:bottom w:val="single" w:sz="4" w:space="0" w:color="auto"/>
              <w:right w:val="single" w:sz="4" w:space="0" w:color="auto"/>
            </w:tcBorders>
          </w:tcPr>
          <w:p w14:paraId="33E93914" w14:textId="632A597D" w:rsidR="00984B34" w:rsidRPr="009E686F" w:rsidRDefault="00984B34" w:rsidP="00984B34">
            <w:pPr>
              <w:spacing w:after="0"/>
              <w:jc w:val="both"/>
              <w:rPr>
                <w:rFonts w:ascii="Times New Roman" w:hAnsi="Times New Roman" w:cs="Times New Roman"/>
                <w:b/>
                <w:bCs/>
                <w:lang w:val="ro-RO"/>
              </w:rPr>
            </w:pPr>
            <w:r w:rsidRPr="009E686F">
              <w:rPr>
                <w:rFonts w:ascii="Times New Roman" w:hAnsi="Times New Roman" w:cs="Times New Roman"/>
                <w:b/>
                <w:bCs/>
                <w:lang w:val="ro-RO"/>
              </w:rPr>
              <w:t>Articolul 139 alin. (4</w:t>
            </w:r>
            <w:r w:rsidR="00390020" w:rsidRPr="009E686F">
              <w:rPr>
                <w:rFonts w:ascii="Times New Roman" w:hAnsi="Times New Roman" w:cs="Times New Roman"/>
                <w:b/>
                <w:bCs/>
                <w:vertAlign w:val="superscript"/>
                <w:lang w:val="ro-RO"/>
              </w:rPr>
              <w:t>1</w:t>
            </w:r>
            <w:r w:rsidRPr="009E686F">
              <w:rPr>
                <w:rFonts w:ascii="Times New Roman" w:hAnsi="Times New Roman" w:cs="Times New Roman"/>
                <w:b/>
                <w:bCs/>
                <w:lang w:val="ro-RO"/>
              </w:rPr>
              <w:t>)</w:t>
            </w:r>
          </w:p>
          <w:p w14:paraId="774A3913" w14:textId="4800850B" w:rsidR="00984B34" w:rsidRPr="009E686F" w:rsidRDefault="00984B34" w:rsidP="00984B34">
            <w:pPr>
              <w:spacing w:after="0"/>
              <w:jc w:val="both"/>
              <w:rPr>
                <w:rFonts w:ascii="Times New Roman" w:hAnsi="Times New Roman" w:cs="Times New Roman"/>
                <w:b/>
                <w:i/>
                <w:lang w:val="it-CH"/>
              </w:rPr>
            </w:pPr>
            <w:r w:rsidRPr="009E686F">
              <w:rPr>
                <w:rFonts w:ascii="Times New Roman" w:hAnsi="Times New Roman" w:cs="Times New Roman"/>
                <w:i/>
                <w:lang w:val="ro-RO"/>
              </w:rPr>
              <w:t>(4</w:t>
            </w:r>
            <w:r w:rsidR="00390020" w:rsidRPr="009E686F">
              <w:rPr>
                <w:rFonts w:ascii="Times New Roman" w:hAnsi="Times New Roman" w:cs="Times New Roman"/>
                <w:i/>
                <w:vertAlign w:val="superscript"/>
                <w:lang w:val="ro-RO"/>
              </w:rPr>
              <w:t>1</w:t>
            </w:r>
            <w:r w:rsidRPr="009E686F">
              <w:rPr>
                <w:rFonts w:ascii="Times New Roman" w:hAnsi="Times New Roman" w:cs="Times New Roman"/>
                <w:i/>
                <w:lang w:val="ro-RO"/>
              </w:rPr>
              <w:t xml:space="preserve">) Măsura de supraveghere prevăzută la alin.(3) lit. l) este dispusă de Banca Naţională a Moldovei cu privire la o instituție de credit doar dacă cerințele </w:t>
            </w:r>
            <w:r w:rsidR="00390020" w:rsidRPr="009E686F">
              <w:rPr>
                <w:rFonts w:ascii="Times New Roman" w:hAnsi="Times New Roman" w:cs="Times New Roman"/>
                <w:i/>
                <w:lang w:val="ro-RO"/>
              </w:rPr>
              <w:t xml:space="preserve">de raportare impuse </w:t>
            </w:r>
            <w:r w:rsidRPr="009E686F">
              <w:rPr>
                <w:rFonts w:ascii="Times New Roman" w:hAnsi="Times New Roman" w:cs="Times New Roman"/>
                <w:i/>
                <w:lang w:val="ro-RO"/>
              </w:rPr>
              <w:t xml:space="preserve">sunt adecvate și proporționale în raport cu scopul în care sunt solicitate informațiile, iar informațiile solicitate nu sunt redundante. </w:t>
            </w:r>
            <w:r w:rsidRPr="009E686F">
              <w:rPr>
                <w:rFonts w:ascii="Times New Roman" w:hAnsi="Times New Roman" w:cs="Times New Roman"/>
                <w:i/>
                <w:iCs/>
                <w:lang w:val="it-CH"/>
              </w:rPr>
              <w:t>[…]</w:t>
            </w:r>
          </w:p>
        </w:tc>
        <w:tc>
          <w:tcPr>
            <w:tcW w:w="470" w:type="pct"/>
            <w:tcBorders>
              <w:top w:val="single" w:sz="4" w:space="0" w:color="auto"/>
              <w:left w:val="single" w:sz="4" w:space="0" w:color="auto"/>
              <w:bottom w:val="single" w:sz="4" w:space="0" w:color="auto"/>
              <w:right w:val="single" w:sz="4" w:space="0" w:color="auto"/>
            </w:tcBorders>
          </w:tcPr>
          <w:p w14:paraId="757C8137" w14:textId="057152DA"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70D9DE77" w14:textId="77777777" w:rsidR="00984B34" w:rsidRPr="009E686F" w:rsidRDefault="00984B34" w:rsidP="00984B34">
            <w:pPr>
              <w:jc w:val="both"/>
              <w:rPr>
                <w:rFonts w:ascii="Times New Roman" w:hAnsi="Times New Roman" w:cs="Times New Roman"/>
                <w:lang w:val="ro-RO"/>
              </w:rPr>
            </w:pPr>
          </w:p>
        </w:tc>
      </w:tr>
      <w:tr w:rsidR="00984B34" w:rsidRPr="009E686F" w14:paraId="29135F22" w14:textId="026F9FFE" w:rsidTr="00774F3E">
        <w:tc>
          <w:tcPr>
            <w:tcW w:w="1796" w:type="pct"/>
            <w:gridSpan w:val="2"/>
            <w:tcBorders>
              <w:top w:val="single" w:sz="4" w:space="0" w:color="auto"/>
              <w:left w:val="single" w:sz="4" w:space="0" w:color="auto"/>
              <w:bottom w:val="single" w:sz="4" w:space="0" w:color="auto"/>
              <w:right w:val="single" w:sz="4" w:space="0" w:color="auto"/>
            </w:tcBorders>
          </w:tcPr>
          <w:p w14:paraId="1E1655C8"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În sensul articolelor 97-102, se consideră că orice informație suplimentară care poate fi solicitată din partea instituțiilor este redundantă în cazul în care aceeași informație sau o informație care este în mare măsură aceeași a fost deja raportată în alt mod autorității competente ori poate fi produsă de autoritatea competentă.</w:t>
            </w:r>
          </w:p>
          <w:p w14:paraId="0BE58104" w14:textId="4063B927" w:rsidR="00984B34" w:rsidRPr="009E686F" w:rsidRDefault="00984B34" w:rsidP="00984B34">
            <w:pPr>
              <w:spacing w:after="0"/>
              <w:jc w:val="both"/>
              <w:rPr>
                <w:rFonts w:ascii="Times New Roman" w:hAnsi="Times New Roman" w:cs="Times New Roman"/>
                <w:lang w:val="ro-RO"/>
              </w:rPr>
            </w:pPr>
          </w:p>
        </w:tc>
        <w:tc>
          <w:tcPr>
            <w:tcW w:w="1928" w:type="pct"/>
            <w:gridSpan w:val="3"/>
            <w:tcBorders>
              <w:top w:val="single" w:sz="4" w:space="0" w:color="auto"/>
              <w:left w:val="single" w:sz="4" w:space="0" w:color="auto"/>
              <w:bottom w:val="single" w:sz="4" w:space="0" w:color="auto"/>
              <w:right w:val="single" w:sz="4" w:space="0" w:color="auto"/>
            </w:tcBorders>
          </w:tcPr>
          <w:p w14:paraId="55E9B01C" w14:textId="5BFA6C38" w:rsidR="00984B34" w:rsidRPr="009E686F" w:rsidRDefault="00984B34" w:rsidP="00984B34">
            <w:pPr>
              <w:spacing w:after="0"/>
              <w:jc w:val="both"/>
              <w:rPr>
                <w:rFonts w:ascii="Times New Roman" w:hAnsi="Times New Roman" w:cs="Times New Roman"/>
                <w:b/>
                <w:bCs/>
                <w:lang w:val="ro-RO"/>
              </w:rPr>
            </w:pPr>
            <w:r w:rsidRPr="009E686F">
              <w:rPr>
                <w:rFonts w:ascii="Times New Roman" w:hAnsi="Times New Roman" w:cs="Times New Roman"/>
                <w:b/>
                <w:bCs/>
                <w:lang w:val="ro-RO"/>
              </w:rPr>
              <w:t>Articolul 139 alin. (4</w:t>
            </w:r>
            <w:r w:rsidRPr="009E686F">
              <w:rPr>
                <w:rFonts w:ascii="Times New Roman" w:hAnsi="Times New Roman" w:cs="Times New Roman"/>
                <w:b/>
                <w:bCs/>
                <w:vertAlign w:val="superscript"/>
                <w:lang w:val="ro-RO"/>
              </w:rPr>
              <w:t>1</w:t>
            </w:r>
            <w:r w:rsidRPr="009E686F">
              <w:rPr>
                <w:rFonts w:ascii="Times New Roman" w:hAnsi="Times New Roman" w:cs="Times New Roman"/>
                <w:b/>
                <w:bCs/>
                <w:lang w:val="ro-RO"/>
              </w:rPr>
              <w:t>)</w:t>
            </w:r>
          </w:p>
          <w:p w14:paraId="709F4B67" w14:textId="09451336" w:rsidR="00984B34" w:rsidRPr="009E686F" w:rsidRDefault="00984B34" w:rsidP="00984B34">
            <w:pPr>
              <w:spacing w:after="0"/>
              <w:jc w:val="both"/>
              <w:rPr>
                <w:rFonts w:ascii="Times New Roman" w:hAnsi="Times New Roman" w:cs="Times New Roman"/>
                <w:b/>
                <w:i/>
                <w:lang w:val="ro-RO"/>
              </w:rPr>
            </w:pPr>
            <w:r w:rsidRPr="009E686F">
              <w:rPr>
                <w:rFonts w:ascii="Times New Roman" w:eastAsia="Aptos" w:hAnsi="Times New Roman" w:cs="Times New Roman"/>
                <w:i/>
                <w:kern w:val="2"/>
                <w:lang w:val="ro-MD"/>
              </w:rPr>
              <w:t>(4</w:t>
            </w:r>
            <w:r w:rsidRPr="009E686F">
              <w:rPr>
                <w:rFonts w:ascii="Times New Roman" w:eastAsia="Aptos" w:hAnsi="Times New Roman" w:cs="Times New Roman"/>
                <w:i/>
                <w:kern w:val="2"/>
                <w:vertAlign w:val="superscript"/>
                <w:lang w:val="ro-MD"/>
              </w:rPr>
              <w:t>1</w:t>
            </w:r>
            <w:r w:rsidRPr="009E686F">
              <w:rPr>
                <w:rFonts w:ascii="Times New Roman" w:eastAsia="Aptos" w:hAnsi="Times New Roman" w:cs="Times New Roman"/>
                <w:i/>
                <w:kern w:val="2"/>
                <w:lang w:val="ro-MD"/>
              </w:rPr>
              <w:t xml:space="preserve">) În sensul art. 100-103, orice informaţie suplimentară care poate fi solicitată de Banca Națională a Moldovei de la </w:t>
            </w:r>
            <w:r w:rsidRPr="009E686F">
              <w:rPr>
                <w:rFonts w:ascii="Times New Roman" w:eastAsia="Aptos" w:hAnsi="Times New Roman" w:cs="Times New Roman"/>
                <w:i/>
                <w:iCs/>
                <w:kern w:val="2"/>
                <w:lang w:val="ro-MD"/>
              </w:rPr>
              <w:t>instituțiile de credit</w:t>
            </w:r>
            <w:r w:rsidRPr="009E686F">
              <w:rPr>
                <w:rFonts w:ascii="Times New Roman" w:eastAsia="Aptos" w:hAnsi="Times New Roman" w:cs="Times New Roman"/>
                <w:i/>
                <w:kern w:val="2"/>
                <w:lang w:val="ro-MD"/>
              </w:rPr>
              <w:t xml:space="preserve"> se consideră redundantă, în cazul în care aceeași informaţie sau o informaţie care este în mare măsură aceeași a fost raportată în alt mod Băncii Națională a Moldovei ori poate fi produsă de aceasta.</w:t>
            </w:r>
          </w:p>
        </w:tc>
        <w:tc>
          <w:tcPr>
            <w:tcW w:w="470" w:type="pct"/>
            <w:tcBorders>
              <w:top w:val="single" w:sz="4" w:space="0" w:color="auto"/>
              <w:left w:val="single" w:sz="4" w:space="0" w:color="auto"/>
              <w:bottom w:val="single" w:sz="4" w:space="0" w:color="auto"/>
              <w:right w:val="single" w:sz="4" w:space="0" w:color="auto"/>
            </w:tcBorders>
          </w:tcPr>
          <w:p w14:paraId="2A1CAC86" w14:textId="67FF0F1A"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1BB0E802" w14:textId="77777777" w:rsidR="00984B34" w:rsidRPr="009E686F" w:rsidRDefault="00984B34" w:rsidP="00984B34">
            <w:pPr>
              <w:jc w:val="both"/>
              <w:rPr>
                <w:rFonts w:ascii="Times New Roman" w:hAnsi="Times New Roman" w:cs="Times New Roman"/>
                <w:lang w:val="ro-RO"/>
              </w:rPr>
            </w:pPr>
          </w:p>
        </w:tc>
      </w:tr>
      <w:tr w:rsidR="00984B34" w:rsidRPr="009E686F" w14:paraId="340B67C2" w14:textId="767C9D7A" w:rsidTr="00774F3E">
        <w:tc>
          <w:tcPr>
            <w:tcW w:w="1796" w:type="pct"/>
            <w:gridSpan w:val="2"/>
            <w:tcBorders>
              <w:top w:val="single" w:sz="4" w:space="0" w:color="auto"/>
              <w:left w:val="single" w:sz="4" w:space="0" w:color="auto"/>
              <w:bottom w:val="single" w:sz="4" w:space="0" w:color="auto"/>
              <w:right w:val="single" w:sz="4" w:space="0" w:color="auto"/>
            </w:tcBorders>
          </w:tcPr>
          <w:p w14:paraId="042380EC" w14:textId="1AECAB86"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Autoritatea competentă nu solicită unei instituții să raporteze informații suplimentare în cazul în care a primit anterior informațiile respective într-un alt format sau la un alt nivel de granularitate și când respectivul format sau nivel de granularitate diferit nu împiedică autoritatea competentă să producă informații de aceeași calitate și fiabilitate precum cele produse pe baza informațiilor suplimentare care ar fi raportate în alt mod.</w:t>
            </w:r>
          </w:p>
        </w:tc>
        <w:tc>
          <w:tcPr>
            <w:tcW w:w="1928" w:type="pct"/>
            <w:gridSpan w:val="3"/>
            <w:tcBorders>
              <w:top w:val="single" w:sz="4" w:space="0" w:color="auto"/>
              <w:left w:val="single" w:sz="4" w:space="0" w:color="auto"/>
              <w:bottom w:val="single" w:sz="4" w:space="0" w:color="auto"/>
              <w:right w:val="single" w:sz="4" w:space="0" w:color="auto"/>
            </w:tcBorders>
          </w:tcPr>
          <w:p w14:paraId="66E9AA10" w14:textId="2D2E2458" w:rsidR="00984B34" w:rsidRPr="009E686F" w:rsidRDefault="00984B34" w:rsidP="00984B34">
            <w:pPr>
              <w:spacing w:after="0"/>
              <w:jc w:val="both"/>
              <w:rPr>
                <w:rFonts w:ascii="Times New Roman" w:hAnsi="Times New Roman" w:cs="Times New Roman"/>
                <w:b/>
                <w:bCs/>
                <w:lang w:val="ro-RO"/>
              </w:rPr>
            </w:pPr>
            <w:r w:rsidRPr="009E686F">
              <w:rPr>
                <w:rFonts w:ascii="Times New Roman" w:hAnsi="Times New Roman" w:cs="Times New Roman"/>
                <w:b/>
                <w:bCs/>
                <w:lang w:val="ro-RO"/>
              </w:rPr>
              <w:t>Articolul 139 alin. (4)</w:t>
            </w:r>
          </w:p>
          <w:p w14:paraId="31168B1E" w14:textId="5D4EC605" w:rsidR="00984B34" w:rsidRPr="009E686F" w:rsidRDefault="00984B34" w:rsidP="00984B34">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(4</w:t>
            </w:r>
            <w:r w:rsidR="00782F64" w:rsidRPr="009E686F">
              <w:rPr>
                <w:rFonts w:ascii="Times New Roman" w:eastAsia="Aptos" w:hAnsi="Times New Roman" w:cs="Times New Roman"/>
                <w:kern w:val="2"/>
                <w:vertAlign w:val="superscript"/>
                <w:lang w:val="ro-MD"/>
              </w:rPr>
              <w:t>1</w:t>
            </w:r>
            <w:r w:rsidRPr="009E686F">
              <w:rPr>
                <w:rFonts w:ascii="Times New Roman" w:eastAsia="Aptos" w:hAnsi="Times New Roman" w:cs="Times New Roman"/>
                <w:kern w:val="2"/>
                <w:lang w:val="ro-MD"/>
              </w:rPr>
              <w:t xml:space="preserve">) [...] </w:t>
            </w:r>
            <w:r w:rsidRPr="009E686F">
              <w:rPr>
                <w:rFonts w:ascii="Times New Roman" w:eastAsia="Aptos" w:hAnsi="Times New Roman" w:cs="Times New Roman"/>
                <w:i/>
                <w:iCs/>
                <w:kern w:val="2"/>
                <w:lang w:val="ro-MD"/>
              </w:rPr>
              <w:t>Banca Națională a Moldovei nu solicită unei instituții de credit să raporteze informaţii suplimentare în cazul în care a primit anterior informaţiile respective într-un alt format sau la un alt nivel de granularitate și când respectivul format sau nivel de granularitate diferit nu împiedică Banca Națională a Moldovei să producă informaţii de aceeași calitate și fiabilitate precum cele produse pe baza informaţiilor suplimentare care ar fi raportate în alt mod.</w:t>
            </w:r>
            <w:r w:rsidRPr="009E686F">
              <w:rPr>
                <w:rFonts w:ascii="Times New Roman" w:eastAsia="Aptos" w:hAnsi="Times New Roman" w:cs="Times New Roman"/>
                <w:kern w:val="2"/>
                <w:lang w:val="ro-MD"/>
              </w:rPr>
              <w:t xml:space="preserve"> </w:t>
            </w:r>
          </w:p>
          <w:p w14:paraId="14A9E832" w14:textId="4CBEFF67" w:rsidR="00984B34" w:rsidRPr="009E686F" w:rsidRDefault="00984B34" w:rsidP="00984B34">
            <w:pPr>
              <w:spacing w:after="0"/>
              <w:jc w:val="both"/>
              <w:rPr>
                <w:rFonts w:ascii="Times New Roman" w:hAnsi="Times New Roman" w:cs="Times New Roman"/>
                <w:lang w:val="ro-MD"/>
              </w:rPr>
            </w:pPr>
          </w:p>
        </w:tc>
        <w:tc>
          <w:tcPr>
            <w:tcW w:w="470" w:type="pct"/>
            <w:tcBorders>
              <w:top w:val="single" w:sz="4" w:space="0" w:color="auto"/>
              <w:left w:val="single" w:sz="4" w:space="0" w:color="auto"/>
              <w:bottom w:val="single" w:sz="4" w:space="0" w:color="auto"/>
              <w:right w:val="single" w:sz="4" w:space="0" w:color="auto"/>
            </w:tcBorders>
          </w:tcPr>
          <w:p w14:paraId="553D845B" w14:textId="678426D5"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4DCDC6A2" w14:textId="77777777" w:rsidR="00984B34" w:rsidRPr="009E686F" w:rsidRDefault="00984B34" w:rsidP="00984B34">
            <w:pPr>
              <w:jc w:val="both"/>
              <w:rPr>
                <w:rFonts w:ascii="Times New Roman" w:hAnsi="Times New Roman" w:cs="Times New Roman"/>
                <w:lang w:val="ro-RO"/>
              </w:rPr>
            </w:pPr>
          </w:p>
        </w:tc>
      </w:tr>
      <w:tr w:rsidR="00984B34" w:rsidRPr="009E686F" w14:paraId="7B1144F9"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76B21E11" w14:textId="6D8FDFB2" w:rsidR="00984B34" w:rsidRPr="009E686F" w:rsidDel="00C24E19"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(4) ABE emite ghiduri, în conformitate cu articolul 16 din Regulamentul (UE) nr. 1093/2010, pentru a specifica modul în care autoritățile competente pot identifica posibilitatea ca riscurile legate de ajustarea evaluării creditului ale instituțiilor, menționate la articolul 381 din Regulamentul (UE) nr. 575/2013, să reprezinte riscuri excesive pentru soliditatea instituțiilor respective.</w:t>
            </w:r>
          </w:p>
        </w:tc>
        <w:tc>
          <w:tcPr>
            <w:tcW w:w="1928" w:type="pct"/>
            <w:gridSpan w:val="3"/>
            <w:tcBorders>
              <w:top w:val="single" w:sz="4" w:space="0" w:color="auto"/>
              <w:left w:val="single" w:sz="4" w:space="0" w:color="auto"/>
              <w:bottom w:val="single" w:sz="4" w:space="0" w:color="auto"/>
              <w:right w:val="single" w:sz="4" w:space="0" w:color="auto"/>
            </w:tcBorders>
          </w:tcPr>
          <w:p w14:paraId="52242970" w14:textId="77777777" w:rsidR="00984B34" w:rsidRPr="009E686F" w:rsidDel="00C24E19" w:rsidRDefault="00984B34" w:rsidP="00984B34">
            <w:pPr>
              <w:spacing w:after="0"/>
              <w:jc w:val="both"/>
              <w:rPr>
                <w:rFonts w:ascii="Times New Roman" w:hAnsi="Times New Roman" w:cs="Times New Roman"/>
                <w:lang w:val="ro-RO"/>
              </w:rPr>
            </w:pPr>
          </w:p>
        </w:tc>
        <w:tc>
          <w:tcPr>
            <w:tcW w:w="470" w:type="pct"/>
            <w:tcBorders>
              <w:top w:val="single" w:sz="4" w:space="0" w:color="auto"/>
              <w:left w:val="single" w:sz="4" w:space="0" w:color="auto"/>
              <w:bottom w:val="single" w:sz="4" w:space="0" w:color="auto"/>
              <w:right w:val="single" w:sz="4" w:space="0" w:color="auto"/>
            </w:tcBorders>
          </w:tcPr>
          <w:p w14:paraId="50567DDC" w14:textId="28CF36E2" w:rsidR="00984B34" w:rsidRPr="009E686F" w:rsidDel="00C24E19"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neaplicabile</w:t>
            </w:r>
          </w:p>
        </w:tc>
        <w:tc>
          <w:tcPr>
            <w:tcW w:w="806" w:type="pct"/>
            <w:tcBorders>
              <w:top w:val="single" w:sz="4" w:space="0" w:color="auto"/>
              <w:left w:val="single" w:sz="4" w:space="0" w:color="auto"/>
              <w:bottom w:val="single" w:sz="4" w:space="0" w:color="auto"/>
              <w:right w:val="single" w:sz="4" w:space="0" w:color="auto"/>
            </w:tcBorders>
          </w:tcPr>
          <w:p w14:paraId="21274866" w14:textId="352F44DE"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Se referă la competențele ABE.</w:t>
            </w:r>
          </w:p>
        </w:tc>
      </w:tr>
      <w:tr w:rsidR="00984B34" w:rsidRPr="009E686F" w14:paraId="5B5FBB19"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73F1AAD7" w14:textId="77777777" w:rsidR="00984B34" w:rsidRPr="009E686F" w:rsidRDefault="00984B34" w:rsidP="00984B34">
            <w:pPr>
              <w:spacing w:after="0"/>
              <w:jc w:val="both"/>
              <w:rPr>
                <w:rFonts w:ascii="Times New Roman" w:hAnsi="Times New Roman" w:cs="Times New Roman"/>
                <w:i/>
                <w:iCs/>
                <w:lang w:val="ro-RO"/>
              </w:rPr>
            </w:pPr>
            <w:r w:rsidRPr="009E686F">
              <w:rPr>
                <w:rFonts w:ascii="Times New Roman" w:hAnsi="Times New Roman" w:cs="Times New Roman"/>
                <w:i/>
                <w:iCs/>
                <w:lang w:val="ro-RO"/>
              </w:rPr>
              <w:t xml:space="preserve">Articolul 104a </w:t>
            </w:r>
          </w:p>
          <w:p w14:paraId="6179ED42" w14:textId="78E00869" w:rsidR="00984B34" w:rsidRPr="009E686F" w:rsidDel="00C24E19" w:rsidRDefault="00984B34" w:rsidP="00984B34">
            <w:pPr>
              <w:spacing w:after="0"/>
              <w:jc w:val="both"/>
              <w:rPr>
                <w:rFonts w:ascii="Times New Roman" w:hAnsi="Times New Roman" w:cs="Times New Roman"/>
                <w:b/>
                <w:bCs/>
                <w:lang w:val="ro-RO"/>
              </w:rPr>
            </w:pPr>
            <w:r w:rsidRPr="009E686F">
              <w:rPr>
                <w:rFonts w:ascii="Times New Roman" w:hAnsi="Times New Roman" w:cs="Times New Roman"/>
                <w:lang w:val="ro-RO"/>
              </w:rPr>
              <w:lastRenderedPageBreak/>
              <w:t>Cerința de fonduri proprii suplimentare</w:t>
            </w:r>
          </w:p>
        </w:tc>
        <w:tc>
          <w:tcPr>
            <w:tcW w:w="1928" w:type="pct"/>
            <w:gridSpan w:val="3"/>
            <w:tcBorders>
              <w:top w:val="single" w:sz="4" w:space="0" w:color="auto"/>
              <w:left w:val="single" w:sz="4" w:space="0" w:color="auto"/>
              <w:bottom w:val="single" w:sz="4" w:space="0" w:color="auto"/>
              <w:right w:val="single" w:sz="4" w:space="0" w:color="auto"/>
            </w:tcBorders>
          </w:tcPr>
          <w:p w14:paraId="34F401C9" w14:textId="38CEDBD0" w:rsidR="00984B34" w:rsidRPr="009E686F" w:rsidDel="00C24E19" w:rsidRDefault="00984B34" w:rsidP="00984B34">
            <w:pPr>
              <w:spacing w:after="0" w:line="278" w:lineRule="auto"/>
              <w:jc w:val="both"/>
              <w:rPr>
                <w:rFonts w:ascii="Times New Roman" w:eastAsia="Aptos" w:hAnsi="Times New Roman" w:cs="Times New Roman"/>
                <w:kern w:val="2"/>
                <w:lang w:val="ro-MD"/>
              </w:rPr>
            </w:pPr>
            <w:bookmarkStart w:id="37" w:name="_Hlk215571739"/>
            <w:r w:rsidRPr="009E686F">
              <w:rPr>
                <w:rFonts w:ascii="Times New Roman" w:eastAsia="Aptos" w:hAnsi="Times New Roman" w:cs="Times New Roman"/>
                <w:b/>
                <w:bCs/>
                <w:kern w:val="2"/>
                <w:lang w:val="ro-MD"/>
              </w:rPr>
              <w:lastRenderedPageBreak/>
              <w:t>Articolul 139</w:t>
            </w:r>
            <w:r w:rsidRPr="009E686F">
              <w:rPr>
                <w:rFonts w:ascii="Times New Roman" w:eastAsia="Aptos" w:hAnsi="Times New Roman" w:cs="Times New Roman"/>
                <w:b/>
                <w:bCs/>
                <w:kern w:val="2"/>
                <w:vertAlign w:val="superscript"/>
                <w:lang w:val="ro-MD"/>
              </w:rPr>
              <w:t>1</w:t>
            </w:r>
            <w:r w:rsidRPr="009E686F">
              <w:rPr>
                <w:rFonts w:ascii="Times New Roman" w:eastAsia="Aptos" w:hAnsi="Times New Roman" w:cs="Times New Roman"/>
                <w:b/>
                <w:bCs/>
                <w:kern w:val="2"/>
                <w:lang w:val="ro-MD"/>
              </w:rPr>
              <w:t>.</w:t>
            </w:r>
            <w:r w:rsidRPr="009E686F">
              <w:rPr>
                <w:rFonts w:ascii="Times New Roman" w:eastAsia="Aptos" w:hAnsi="Times New Roman" w:cs="Times New Roman"/>
                <w:kern w:val="2"/>
                <w:lang w:val="ro-MD"/>
              </w:rPr>
              <w:t xml:space="preserve"> </w:t>
            </w:r>
            <w:r w:rsidRPr="009E686F">
              <w:rPr>
                <w:rFonts w:ascii="Times New Roman" w:eastAsia="Aptos" w:hAnsi="Times New Roman" w:cs="Times New Roman"/>
                <w:i/>
                <w:kern w:val="2"/>
                <w:lang w:val="ro-MD"/>
              </w:rPr>
              <w:t>Cerinţa de fonduri proprii suplimentare</w:t>
            </w:r>
            <w:bookmarkEnd w:id="37"/>
          </w:p>
        </w:tc>
        <w:tc>
          <w:tcPr>
            <w:tcW w:w="470" w:type="pct"/>
            <w:tcBorders>
              <w:top w:val="single" w:sz="4" w:space="0" w:color="auto"/>
              <w:left w:val="single" w:sz="4" w:space="0" w:color="auto"/>
              <w:bottom w:val="single" w:sz="4" w:space="0" w:color="auto"/>
              <w:right w:val="single" w:sz="4" w:space="0" w:color="auto"/>
            </w:tcBorders>
          </w:tcPr>
          <w:p w14:paraId="0FF54514" w14:textId="4C38D06F" w:rsidR="00984B34" w:rsidRPr="009E686F" w:rsidDel="00C24E19"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4F67C790" w14:textId="77777777" w:rsidR="00984B34" w:rsidRPr="009E686F" w:rsidRDefault="00984B34" w:rsidP="00984B34">
            <w:pPr>
              <w:jc w:val="both"/>
              <w:rPr>
                <w:rFonts w:ascii="Times New Roman" w:hAnsi="Times New Roman" w:cs="Times New Roman"/>
                <w:lang w:val="ro-RO"/>
              </w:rPr>
            </w:pPr>
          </w:p>
        </w:tc>
      </w:tr>
      <w:tr w:rsidR="00984B34" w:rsidRPr="009E686F" w14:paraId="7582A70A"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5DFE8434" w14:textId="0C80FD05" w:rsidR="00984B34" w:rsidRPr="009E686F" w:rsidDel="00C24E19"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(1)   Autoritățile competente impun cerința de fonduri proprii suplimentare menționată la articolul 104 alineatul (1) litera (a) sunt impuse de către autoritățile competente cel puțin în cazul în careîn cazul în care, pe baza analizelor efectuate în conformitate cu articolele 97 și 101, acestea stabilesc că instituția respectivă se află în una dintre următoarele situații:</w:t>
            </w:r>
          </w:p>
        </w:tc>
        <w:tc>
          <w:tcPr>
            <w:tcW w:w="1928" w:type="pct"/>
            <w:gridSpan w:val="3"/>
            <w:tcBorders>
              <w:top w:val="single" w:sz="4" w:space="0" w:color="auto"/>
              <w:left w:val="single" w:sz="4" w:space="0" w:color="auto"/>
              <w:bottom w:val="single" w:sz="4" w:space="0" w:color="auto"/>
              <w:right w:val="single" w:sz="4" w:space="0" w:color="auto"/>
            </w:tcBorders>
          </w:tcPr>
          <w:p w14:paraId="353B2DB9" w14:textId="1E49D6BA" w:rsidR="00984B34" w:rsidRPr="009E686F" w:rsidDel="00C24E19" w:rsidRDefault="00984B34" w:rsidP="00984B34">
            <w:pPr>
              <w:spacing w:after="0" w:line="278" w:lineRule="auto"/>
              <w:jc w:val="both"/>
              <w:rPr>
                <w:rFonts w:ascii="Times New Roman" w:eastAsia="Aptos" w:hAnsi="Times New Roman" w:cs="Times New Roman"/>
                <w:i/>
                <w:kern w:val="2"/>
                <w:lang w:val="ro-MD"/>
              </w:rPr>
            </w:pPr>
            <w:r w:rsidRPr="009E686F">
              <w:rPr>
                <w:rFonts w:ascii="Times New Roman" w:eastAsia="Aptos" w:hAnsi="Times New Roman" w:cs="Times New Roman"/>
                <w:i/>
                <w:kern w:val="2"/>
                <w:lang w:val="ro-MD"/>
              </w:rPr>
              <w:t xml:space="preserve">(1) Banca Națională a Moldovei impune cerinţa de fonduri proprii suplimentare astfel cum este prevăzut la art. 139 alin. (3) lit. a) în cazul în care, pe baza analizelor efectuate în conformitate cu art. 100 și art. </w:t>
            </w:r>
            <w:r w:rsidRPr="009E686F">
              <w:rPr>
                <w:rFonts w:ascii="Times New Roman" w:eastAsia="Aptos" w:hAnsi="Times New Roman" w:cs="Times New Roman"/>
                <w:i/>
                <w:iCs/>
                <w:kern w:val="2"/>
                <w:lang w:val="ro-MD"/>
              </w:rPr>
              <w:t>102 stabilește că instituţia respectivă se află în una dintre următoarele situaţii:</w:t>
            </w:r>
          </w:p>
        </w:tc>
        <w:tc>
          <w:tcPr>
            <w:tcW w:w="470" w:type="pct"/>
            <w:tcBorders>
              <w:top w:val="single" w:sz="4" w:space="0" w:color="auto"/>
              <w:left w:val="single" w:sz="4" w:space="0" w:color="auto"/>
              <w:bottom w:val="single" w:sz="4" w:space="0" w:color="auto"/>
              <w:right w:val="single" w:sz="4" w:space="0" w:color="auto"/>
            </w:tcBorders>
          </w:tcPr>
          <w:p w14:paraId="3A55E60D" w14:textId="0648695A" w:rsidR="00984B34" w:rsidRPr="009E686F" w:rsidDel="00C24E19"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0C676461" w14:textId="77777777" w:rsidR="00984B34" w:rsidRPr="009E686F" w:rsidRDefault="00984B34" w:rsidP="00984B34">
            <w:pPr>
              <w:jc w:val="both"/>
              <w:rPr>
                <w:rFonts w:ascii="Times New Roman" w:hAnsi="Times New Roman" w:cs="Times New Roman"/>
                <w:lang w:val="ro-RO"/>
              </w:rPr>
            </w:pPr>
          </w:p>
        </w:tc>
      </w:tr>
      <w:tr w:rsidR="00984B34" w:rsidRPr="009E686F" w14:paraId="708ABC4A"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39A44C05" w14:textId="2C4ABB2C" w:rsidR="00984B34" w:rsidRPr="009E686F" w:rsidDel="00C24E19"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(a) instituția este expusă la riscuri sau la elemente de risc care fie nu sunt acoperite, fie nu sunt acoperite în mod suficient, astfel cum se specifică la alineatul (2) din prezentul articol, de cerințele de fonduri proprii prevăzute în părțile a treia, a patra și a șaptea din Regulamentul (UE) nr. 575/2013 și în capitolul 2 din Regulamentul (UE) 2017/2402 al Parlamentului European și al Consiliului;</w:t>
            </w:r>
          </w:p>
        </w:tc>
        <w:tc>
          <w:tcPr>
            <w:tcW w:w="1928" w:type="pct"/>
            <w:gridSpan w:val="3"/>
            <w:tcBorders>
              <w:top w:val="single" w:sz="4" w:space="0" w:color="auto"/>
              <w:left w:val="single" w:sz="4" w:space="0" w:color="auto"/>
              <w:bottom w:val="single" w:sz="4" w:space="0" w:color="auto"/>
              <w:right w:val="single" w:sz="4" w:space="0" w:color="auto"/>
            </w:tcBorders>
          </w:tcPr>
          <w:p w14:paraId="047B2BB7" w14:textId="3F7ACA83" w:rsidR="00984B34" w:rsidRPr="009E686F" w:rsidRDefault="00984B34" w:rsidP="00984B34">
            <w:pPr>
              <w:spacing w:after="0" w:line="278" w:lineRule="auto"/>
              <w:jc w:val="both"/>
              <w:rPr>
                <w:rFonts w:ascii="Times New Roman" w:eastAsia="Aptos" w:hAnsi="Times New Roman" w:cs="Times New Roman"/>
                <w:i/>
                <w:kern w:val="2"/>
                <w:lang w:val="ro-MD"/>
              </w:rPr>
            </w:pPr>
            <w:r w:rsidRPr="009E686F">
              <w:rPr>
                <w:rFonts w:ascii="Times New Roman" w:eastAsia="Aptos" w:hAnsi="Times New Roman" w:cs="Times New Roman"/>
                <w:i/>
                <w:kern w:val="2"/>
                <w:lang w:val="ro-MD"/>
              </w:rPr>
              <w:t xml:space="preserve">a) </w:t>
            </w:r>
            <w:r w:rsidRPr="009E686F">
              <w:rPr>
                <w:rFonts w:ascii="Times New Roman" w:eastAsia="Aptos" w:hAnsi="Times New Roman" w:cs="Times New Roman"/>
                <w:i/>
                <w:iCs/>
                <w:kern w:val="2"/>
                <w:lang w:val="ro-MD"/>
              </w:rPr>
              <w:t>instituția de credit</w:t>
            </w:r>
            <w:r w:rsidRPr="009E686F">
              <w:rPr>
                <w:rFonts w:ascii="Times New Roman" w:eastAsia="Aptos" w:hAnsi="Times New Roman" w:cs="Times New Roman"/>
                <w:i/>
                <w:kern w:val="2"/>
                <w:lang w:val="ro-MD"/>
              </w:rPr>
              <w:t xml:space="preserve"> este expusă la riscuri sau la elemente de risc care fie nu sunt acoperite, fie nu sunt acoperite în mod suficient, astfel cum este prevăzut la alin. (2), de cerinţele de fonduri proprii prevăzute în actele normative ale Băncii Naționale a Moldovei, inclusiv în cele referitoare la securitizare;</w:t>
            </w:r>
          </w:p>
          <w:p w14:paraId="333EFE5B" w14:textId="77777777" w:rsidR="00984B34" w:rsidRPr="009E686F" w:rsidDel="00C24E19" w:rsidRDefault="00984B34" w:rsidP="00984B34">
            <w:pPr>
              <w:spacing w:after="0"/>
              <w:jc w:val="both"/>
              <w:rPr>
                <w:rFonts w:ascii="Times New Roman" w:hAnsi="Times New Roman" w:cs="Times New Roman"/>
                <w:lang w:val="ro-RO"/>
              </w:rPr>
            </w:pPr>
          </w:p>
        </w:tc>
        <w:tc>
          <w:tcPr>
            <w:tcW w:w="470" w:type="pct"/>
            <w:tcBorders>
              <w:top w:val="single" w:sz="4" w:space="0" w:color="auto"/>
              <w:left w:val="single" w:sz="4" w:space="0" w:color="auto"/>
              <w:bottom w:val="single" w:sz="4" w:space="0" w:color="auto"/>
              <w:right w:val="single" w:sz="4" w:space="0" w:color="auto"/>
            </w:tcBorders>
          </w:tcPr>
          <w:p w14:paraId="12B0ADC5" w14:textId="2C7F38CE" w:rsidR="00984B34" w:rsidRPr="009E686F" w:rsidDel="00C24E19"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1F0727B3" w14:textId="77777777" w:rsidR="00984B34" w:rsidRPr="009E686F" w:rsidRDefault="00984B34" w:rsidP="00984B34">
            <w:pPr>
              <w:jc w:val="both"/>
              <w:rPr>
                <w:rFonts w:ascii="Times New Roman" w:hAnsi="Times New Roman" w:cs="Times New Roman"/>
                <w:lang w:val="ro-RO"/>
              </w:rPr>
            </w:pPr>
          </w:p>
        </w:tc>
      </w:tr>
      <w:tr w:rsidR="00984B34" w:rsidRPr="009E686F" w14:paraId="429EA53D"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352C9BD3" w14:textId="6CB71367" w:rsidR="00984B34" w:rsidRPr="009E686F" w:rsidDel="00C24E19"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(b) instituția nu îndeplinește cerința prevăzutăcerințele prevăzute la articolele 73 și 74 din prezenta directivă sau la articolul 393 din Regulamentul (UE) nr. 575/2013 575/2013 și este puțin probabil ca alte măsuri de supraveghere să fie suficiente pentru a garanta că respectivele cerințe pot fi îndeplinite într-un termen adecvat;</w:t>
            </w:r>
          </w:p>
        </w:tc>
        <w:tc>
          <w:tcPr>
            <w:tcW w:w="1928" w:type="pct"/>
            <w:gridSpan w:val="3"/>
            <w:tcBorders>
              <w:top w:val="single" w:sz="4" w:space="0" w:color="auto"/>
              <w:left w:val="single" w:sz="4" w:space="0" w:color="auto"/>
              <w:bottom w:val="single" w:sz="4" w:space="0" w:color="auto"/>
              <w:right w:val="single" w:sz="4" w:space="0" w:color="auto"/>
            </w:tcBorders>
          </w:tcPr>
          <w:p w14:paraId="664A0CEE" w14:textId="54D8DCAE" w:rsidR="00984B34" w:rsidRPr="009E686F" w:rsidDel="00C24E19" w:rsidRDefault="00984B34" w:rsidP="00984B34">
            <w:pPr>
              <w:spacing w:after="0" w:line="278" w:lineRule="auto"/>
              <w:jc w:val="both"/>
              <w:rPr>
                <w:rFonts w:ascii="Times New Roman" w:eastAsia="Aptos" w:hAnsi="Times New Roman" w:cs="Times New Roman"/>
                <w:i/>
                <w:kern w:val="2"/>
                <w:lang w:val="ro-MD"/>
              </w:rPr>
            </w:pPr>
            <w:r w:rsidRPr="009E686F">
              <w:rPr>
                <w:rFonts w:ascii="Times New Roman" w:eastAsia="Aptos" w:hAnsi="Times New Roman" w:cs="Times New Roman"/>
                <w:i/>
                <w:kern w:val="2"/>
                <w:lang w:val="ro-MD"/>
              </w:rPr>
              <w:t xml:space="preserve">b) </w:t>
            </w:r>
            <w:r w:rsidRPr="009E686F">
              <w:rPr>
                <w:rFonts w:ascii="Times New Roman" w:eastAsia="Aptos" w:hAnsi="Times New Roman" w:cs="Times New Roman"/>
                <w:i/>
                <w:iCs/>
                <w:kern w:val="2"/>
                <w:lang w:val="ro-MD"/>
              </w:rPr>
              <w:t>instituția de credit</w:t>
            </w:r>
            <w:r w:rsidRPr="009E686F">
              <w:rPr>
                <w:rFonts w:ascii="Times New Roman" w:eastAsia="Aptos" w:hAnsi="Times New Roman" w:cs="Times New Roman"/>
                <w:i/>
                <w:kern w:val="2"/>
                <w:lang w:val="ro-MD"/>
              </w:rPr>
              <w:t xml:space="preserve"> nu îndeplinește cerinţele prevăzute la art. 38 și 78 sau în actele normative ale Băncii Naționale a Moldovei care se referă la capacitatea de a identifica și administra expunerile mari și este puţin probabil ca alte măsuri de supraveghere să fie suficiente pentru a garanta că respectivele cerinţe pot fi îndeplinite într-un termen adecvat;</w:t>
            </w:r>
          </w:p>
        </w:tc>
        <w:tc>
          <w:tcPr>
            <w:tcW w:w="470" w:type="pct"/>
            <w:tcBorders>
              <w:top w:val="single" w:sz="4" w:space="0" w:color="auto"/>
              <w:left w:val="single" w:sz="4" w:space="0" w:color="auto"/>
              <w:bottom w:val="single" w:sz="4" w:space="0" w:color="auto"/>
              <w:right w:val="single" w:sz="4" w:space="0" w:color="auto"/>
            </w:tcBorders>
          </w:tcPr>
          <w:p w14:paraId="41DEE10D" w14:textId="196BA75A" w:rsidR="00984B34" w:rsidRPr="009E686F" w:rsidDel="00C24E19"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1E6C7A5B" w14:textId="77777777" w:rsidR="00984B34" w:rsidRPr="009E686F" w:rsidRDefault="00984B34" w:rsidP="00984B34">
            <w:pPr>
              <w:jc w:val="both"/>
              <w:rPr>
                <w:rFonts w:ascii="Times New Roman" w:hAnsi="Times New Roman" w:cs="Times New Roman"/>
                <w:lang w:val="ro-RO"/>
              </w:rPr>
            </w:pPr>
          </w:p>
        </w:tc>
      </w:tr>
      <w:tr w:rsidR="00984B34" w:rsidRPr="009E686F" w14:paraId="443E80AE"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34C917CA" w14:textId="784E764D" w:rsidR="00984B34" w:rsidRPr="009E686F" w:rsidDel="00C24E19"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(c) reevaluările menționate la articolul 98 alineatul (4) sunt considerate insuficiente pentru a permite instituției să își vândă sau să își acopere pozițiile într-un termen scurt fără a suporta pierderi semnificative în condiții normale de piață;</w:t>
            </w:r>
          </w:p>
        </w:tc>
        <w:tc>
          <w:tcPr>
            <w:tcW w:w="1928" w:type="pct"/>
            <w:gridSpan w:val="3"/>
            <w:tcBorders>
              <w:top w:val="single" w:sz="4" w:space="0" w:color="auto"/>
              <w:left w:val="single" w:sz="4" w:space="0" w:color="auto"/>
              <w:bottom w:val="single" w:sz="4" w:space="0" w:color="auto"/>
              <w:right w:val="single" w:sz="4" w:space="0" w:color="auto"/>
            </w:tcBorders>
          </w:tcPr>
          <w:p w14:paraId="7099957D" w14:textId="0B4664D0" w:rsidR="00984B34" w:rsidRPr="009E686F" w:rsidDel="00C24E19" w:rsidRDefault="00984B34" w:rsidP="00984B34">
            <w:pPr>
              <w:spacing w:after="0" w:line="278" w:lineRule="auto"/>
              <w:jc w:val="both"/>
              <w:rPr>
                <w:rFonts w:ascii="Times New Roman" w:eastAsia="Aptos" w:hAnsi="Times New Roman" w:cs="Times New Roman"/>
                <w:i/>
                <w:kern w:val="2"/>
                <w:lang w:val="ro-MD"/>
              </w:rPr>
            </w:pPr>
            <w:r w:rsidRPr="009E686F">
              <w:rPr>
                <w:rFonts w:ascii="Times New Roman" w:eastAsia="Aptos" w:hAnsi="Times New Roman" w:cs="Times New Roman"/>
                <w:i/>
                <w:kern w:val="2"/>
                <w:lang w:val="ro-MD"/>
              </w:rPr>
              <w:t>c) reevaluările prevăzute la art. 101 alin. (1</w:t>
            </w:r>
            <w:r w:rsidRPr="009E686F">
              <w:rPr>
                <w:rFonts w:ascii="Times New Roman" w:eastAsia="Aptos" w:hAnsi="Times New Roman" w:cs="Times New Roman"/>
                <w:i/>
                <w:kern w:val="2"/>
                <w:vertAlign w:val="superscript"/>
                <w:lang w:val="ro-MD"/>
              </w:rPr>
              <w:t>3</w:t>
            </w:r>
            <w:r w:rsidRPr="009E686F">
              <w:rPr>
                <w:rFonts w:ascii="Times New Roman" w:eastAsia="Aptos" w:hAnsi="Times New Roman" w:cs="Times New Roman"/>
                <w:i/>
                <w:kern w:val="2"/>
                <w:lang w:val="ro-MD"/>
              </w:rPr>
              <w:t xml:space="preserve">) sunt considerate insuficiente pentru a permite </w:t>
            </w:r>
            <w:r w:rsidRPr="009E686F">
              <w:rPr>
                <w:rFonts w:ascii="Times New Roman" w:eastAsia="Aptos" w:hAnsi="Times New Roman" w:cs="Times New Roman"/>
                <w:i/>
                <w:iCs/>
                <w:kern w:val="2"/>
                <w:lang w:val="ro-MD"/>
              </w:rPr>
              <w:t>instituției de credit</w:t>
            </w:r>
            <w:r w:rsidRPr="009E686F">
              <w:rPr>
                <w:rFonts w:ascii="Times New Roman" w:eastAsia="Aptos" w:hAnsi="Times New Roman" w:cs="Times New Roman"/>
                <w:i/>
                <w:kern w:val="2"/>
                <w:lang w:val="ro-MD"/>
              </w:rPr>
              <w:t xml:space="preserve"> să își vândă sau să își acopere poziţiile într-un termen scurt fără a suporta pierderi semnificative în condiţii normale de piaţă;</w:t>
            </w:r>
          </w:p>
        </w:tc>
        <w:tc>
          <w:tcPr>
            <w:tcW w:w="470" w:type="pct"/>
            <w:tcBorders>
              <w:top w:val="single" w:sz="4" w:space="0" w:color="auto"/>
              <w:left w:val="single" w:sz="4" w:space="0" w:color="auto"/>
              <w:bottom w:val="single" w:sz="4" w:space="0" w:color="auto"/>
              <w:right w:val="single" w:sz="4" w:space="0" w:color="auto"/>
            </w:tcBorders>
          </w:tcPr>
          <w:p w14:paraId="4F08D8A4" w14:textId="630E900C" w:rsidR="00984B34" w:rsidRPr="009E686F" w:rsidDel="00C24E19"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216BEBB7" w14:textId="77777777" w:rsidR="00984B34" w:rsidRPr="009E686F" w:rsidRDefault="00984B34" w:rsidP="00984B34">
            <w:pPr>
              <w:jc w:val="both"/>
              <w:rPr>
                <w:rFonts w:ascii="Times New Roman" w:hAnsi="Times New Roman" w:cs="Times New Roman"/>
                <w:lang w:val="ro-RO"/>
              </w:rPr>
            </w:pPr>
          </w:p>
        </w:tc>
      </w:tr>
      <w:tr w:rsidR="00984B34" w:rsidRPr="009E686F" w14:paraId="4833A874"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17D64BA2" w14:textId="24D1ADCA" w:rsidR="00984B34" w:rsidRPr="009E686F" w:rsidDel="00C24E19"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(d) din evaluarea efectuată în conformitate cu articolul 101 alineatul (4) dezvăluie faptulreiese că nerespectarea cerințelor prevăzute pentru aplicarea abordării respective este de natură să generezepermise va duce probabil la cerințe de fonduri proprii neadecvate;</w:t>
            </w:r>
          </w:p>
        </w:tc>
        <w:tc>
          <w:tcPr>
            <w:tcW w:w="1928" w:type="pct"/>
            <w:gridSpan w:val="3"/>
            <w:tcBorders>
              <w:top w:val="single" w:sz="4" w:space="0" w:color="auto"/>
              <w:left w:val="single" w:sz="4" w:space="0" w:color="auto"/>
              <w:bottom w:val="single" w:sz="4" w:space="0" w:color="auto"/>
              <w:right w:val="single" w:sz="4" w:space="0" w:color="auto"/>
            </w:tcBorders>
          </w:tcPr>
          <w:p w14:paraId="534A28C4" w14:textId="77777777" w:rsidR="00984B34" w:rsidRPr="009E686F" w:rsidRDefault="00984B34" w:rsidP="00984B34">
            <w:pPr>
              <w:spacing w:after="0" w:line="278" w:lineRule="auto"/>
              <w:jc w:val="both"/>
              <w:rPr>
                <w:rFonts w:ascii="Times New Roman" w:eastAsia="Aptos" w:hAnsi="Times New Roman" w:cs="Times New Roman"/>
                <w:i/>
                <w:kern w:val="2"/>
                <w:lang w:val="ro-MD"/>
              </w:rPr>
            </w:pPr>
            <w:r w:rsidRPr="009E686F">
              <w:rPr>
                <w:rFonts w:ascii="Times New Roman" w:eastAsia="Aptos" w:hAnsi="Times New Roman" w:cs="Times New Roman"/>
                <w:i/>
                <w:kern w:val="2"/>
                <w:lang w:val="ro-MD"/>
              </w:rPr>
              <w:t>d) din analiza efectuată în sensul art. 102 alin. (5) reiese că nerespectarea cerinţelor prevăzute pentru aplicarea abordării pentru care a fost acordată aprobarea Băncii Naționale a Moldovei va duce probabil la cerinţe de fonduri proprii neadecvate;</w:t>
            </w:r>
          </w:p>
          <w:p w14:paraId="59ADF5DF" w14:textId="77777777" w:rsidR="00984B34" w:rsidRPr="009E686F" w:rsidDel="00C24E19" w:rsidRDefault="00984B34" w:rsidP="00984B34">
            <w:pPr>
              <w:spacing w:after="0"/>
              <w:jc w:val="both"/>
              <w:rPr>
                <w:rFonts w:ascii="Times New Roman" w:hAnsi="Times New Roman" w:cs="Times New Roman"/>
                <w:lang w:val="ro-RO"/>
              </w:rPr>
            </w:pPr>
          </w:p>
        </w:tc>
        <w:tc>
          <w:tcPr>
            <w:tcW w:w="470" w:type="pct"/>
            <w:tcBorders>
              <w:top w:val="single" w:sz="4" w:space="0" w:color="auto"/>
              <w:left w:val="single" w:sz="4" w:space="0" w:color="auto"/>
              <w:bottom w:val="single" w:sz="4" w:space="0" w:color="auto"/>
              <w:right w:val="single" w:sz="4" w:space="0" w:color="auto"/>
            </w:tcBorders>
          </w:tcPr>
          <w:p w14:paraId="01BE5298" w14:textId="14454322" w:rsidR="00984B34" w:rsidRPr="009E686F" w:rsidDel="00C24E19" w:rsidRDefault="00984B34" w:rsidP="00984B34">
            <w:pPr>
              <w:jc w:val="both"/>
              <w:rPr>
                <w:rFonts w:ascii="Times New Roman" w:hAnsi="Times New Roman" w:cs="Times New Roman"/>
                <w:lang w:val="ro-RO"/>
              </w:rPr>
            </w:pPr>
            <w:r w:rsidRPr="009E686F">
              <w:rPr>
                <w:rFonts w:ascii="Times New Roman" w:hAnsi="Times New Roman" w:cs="Times New Roman"/>
                <w:lang w:val="ro-RO"/>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7D7337E1" w14:textId="77777777" w:rsidR="00984B34" w:rsidRPr="009E686F" w:rsidRDefault="00984B34" w:rsidP="00984B34">
            <w:pPr>
              <w:jc w:val="both"/>
              <w:rPr>
                <w:rFonts w:ascii="Times New Roman" w:hAnsi="Times New Roman" w:cs="Times New Roman"/>
                <w:lang w:val="ro-RO"/>
              </w:rPr>
            </w:pPr>
          </w:p>
        </w:tc>
      </w:tr>
      <w:tr w:rsidR="00984B34" w:rsidRPr="009E686F" w14:paraId="23EC9891"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689DA3B4" w14:textId="3913C232" w:rsidR="00984B34" w:rsidRPr="009E686F" w:rsidDel="00C24E19"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(e) instituția nu reușește în mod repetat să stabilească sau să mențină un nivel adecvat de fonduri proprii suplimentare pentru a se conforma orientărilor comunicate în conformitate cu articolul 104b alineatul (3);</w:t>
            </w:r>
          </w:p>
        </w:tc>
        <w:tc>
          <w:tcPr>
            <w:tcW w:w="1928" w:type="pct"/>
            <w:gridSpan w:val="3"/>
            <w:tcBorders>
              <w:top w:val="single" w:sz="4" w:space="0" w:color="auto"/>
              <w:left w:val="single" w:sz="4" w:space="0" w:color="auto"/>
              <w:bottom w:val="single" w:sz="4" w:space="0" w:color="auto"/>
              <w:right w:val="single" w:sz="4" w:space="0" w:color="auto"/>
            </w:tcBorders>
          </w:tcPr>
          <w:p w14:paraId="09FD25EB" w14:textId="1C41462A" w:rsidR="00984B34" w:rsidRPr="009E686F" w:rsidDel="00C24E19" w:rsidRDefault="00984B34" w:rsidP="00984B34">
            <w:pPr>
              <w:spacing w:after="0" w:line="278" w:lineRule="auto"/>
              <w:jc w:val="both"/>
              <w:rPr>
                <w:rFonts w:ascii="Times New Roman" w:eastAsia="Aptos" w:hAnsi="Times New Roman" w:cs="Times New Roman"/>
                <w:i/>
                <w:kern w:val="2"/>
                <w:lang w:val="ro-MD"/>
              </w:rPr>
            </w:pPr>
            <w:r w:rsidRPr="009E686F">
              <w:rPr>
                <w:rFonts w:ascii="Times New Roman" w:eastAsia="Aptos" w:hAnsi="Times New Roman" w:cs="Times New Roman"/>
                <w:i/>
                <w:kern w:val="2"/>
                <w:lang w:val="ro-MD"/>
              </w:rPr>
              <w:t xml:space="preserve">e) </w:t>
            </w:r>
            <w:r w:rsidRPr="009E686F">
              <w:rPr>
                <w:rFonts w:ascii="Times New Roman" w:eastAsia="Aptos" w:hAnsi="Times New Roman" w:cs="Times New Roman"/>
                <w:i/>
                <w:iCs/>
                <w:kern w:val="2"/>
                <w:lang w:val="ro-MD"/>
              </w:rPr>
              <w:t>instituția de credit</w:t>
            </w:r>
            <w:r w:rsidRPr="009E686F">
              <w:rPr>
                <w:rFonts w:ascii="Times New Roman" w:eastAsia="Aptos" w:hAnsi="Times New Roman" w:cs="Times New Roman"/>
                <w:i/>
                <w:kern w:val="2"/>
                <w:lang w:val="ro-MD"/>
              </w:rPr>
              <w:t xml:space="preserve"> nu reușește în mod repetat să stabilească sau să menţină un nivel adecvat de fonduri proprii suplimentare pentru a se conforma orientărilor comunicate de Banca Națională a Moldovei astfel cum prevede art. 101</w:t>
            </w:r>
            <w:r w:rsidRPr="009E686F">
              <w:rPr>
                <w:rFonts w:ascii="Times New Roman" w:eastAsia="Aptos" w:hAnsi="Times New Roman" w:cs="Times New Roman"/>
                <w:i/>
                <w:kern w:val="2"/>
                <w:vertAlign w:val="superscript"/>
                <w:lang w:val="ro-MD"/>
              </w:rPr>
              <w:t>1</w:t>
            </w:r>
            <w:r w:rsidRPr="009E686F">
              <w:rPr>
                <w:rFonts w:ascii="Times New Roman" w:eastAsia="Aptos" w:hAnsi="Times New Roman" w:cs="Times New Roman"/>
                <w:i/>
                <w:kern w:val="2"/>
                <w:lang w:val="ro-MD"/>
              </w:rPr>
              <w:t xml:space="preserve"> alin. (4);</w:t>
            </w:r>
          </w:p>
        </w:tc>
        <w:tc>
          <w:tcPr>
            <w:tcW w:w="470" w:type="pct"/>
            <w:tcBorders>
              <w:top w:val="single" w:sz="4" w:space="0" w:color="auto"/>
              <w:left w:val="single" w:sz="4" w:space="0" w:color="auto"/>
              <w:bottom w:val="single" w:sz="4" w:space="0" w:color="auto"/>
              <w:right w:val="single" w:sz="4" w:space="0" w:color="auto"/>
            </w:tcBorders>
          </w:tcPr>
          <w:p w14:paraId="4FA46FB4" w14:textId="491E97C4" w:rsidR="00984B34" w:rsidRPr="009E686F" w:rsidDel="00C24E19"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725E3A39" w14:textId="77777777" w:rsidR="00984B34" w:rsidRPr="009E686F" w:rsidRDefault="00984B34" w:rsidP="00984B34">
            <w:pPr>
              <w:jc w:val="both"/>
              <w:rPr>
                <w:rFonts w:ascii="Times New Roman" w:hAnsi="Times New Roman" w:cs="Times New Roman"/>
                <w:lang w:val="ro-RO"/>
              </w:rPr>
            </w:pPr>
          </w:p>
        </w:tc>
      </w:tr>
      <w:tr w:rsidR="00984B34" w:rsidRPr="009E686F" w14:paraId="3208222F"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7A08CD00" w14:textId="24ADF4D6" w:rsidR="00984B34" w:rsidRPr="009E686F" w:rsidDel="00C24E19"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(f)</w:t>
            </w:r>
            <w:r w:rsidRPr="009E686F">
              <w:rPr>
                <w:rFonts w:ascii="Times New Roman" w:hAnsi="Times New Roman" w:cs="Times New Roman"/>
                <w:lang w:val="it-CH"/>
              </w:rPr>
              <w:t xml:space="preserve"> </w:t>
            </w:r>
            <w:r w:rsidRPr="009E686F">
              <w:rPr>
                <w:rFonts w:ascii="Times New Roman" w:hAnsi="Times New Roman" w:cs="Times New Roman"/>
                <w:lang w:val="ro-RO"/>
              </w:rPr>
              <w:t>alte situații specifice instituției, despre care autoritatea competentă consideră că ridică probleme semnificative în materie de supraveghere.</w:t>
            </w:r>
          </w:p>
        </w:tc>
        <w:tc>
          <w:tcPr>
            <w:tcW w:w="1928" w:type="pct"/>
            <w:gridSpan w:val="3"/>
            <w:tcBorders>
              <w:top w:val="single" w:sz="4" w:space="0" w:color="auto"/>
              <w:left w:val="single" w:sz="4" w:space="0" w:color="auto"/>
              <w:bottom w:val="single" w:sz="4" w:space="0" w:color="auto"/>
              <w:right w:val="single" w:sz="4" w:space="0" w:color="auto"/>
            </w:tcBorders>
          </w:tcPr>
          <w:p w14:paraId="20B36A31" w14:textId="1D6EFF44" w:rsidR="00984B34" w:rsidRPr="009E686F" w:rsidDel="00C24E19" w:rsidRDefault="00984B34" w:rsidP="00984B34">
            <w:pPr>
              <w:spacing w:after="0"/>
              <w:jc w:val="both"/>
              <w:rPr>
                <w:rFonts w:ascii="Times New Roman" w:hAnsi="Times New Roman" w:cs="Times New Roman"/>
                <w:i/>
                <w:lang w:val="ro-RO"/>
              </w:rPr>
            </w:pPr>
            <w:r w:rsidRPr="009E686F">
              <w:rPr>
                <w:rFonts w:ascii="Times New Roman" w:eastAsia="Aptos" w:hAnsi="Times New Roman" w:cs="Times New Roman"/>
                <w:i/>
                <w:kern w:val="2"/>
                <w:lang w:val="ro-MD"/>
              </w:rPr>
              <w:t xml:space="preserve">f) alte situaţii specifice </w:t>
            </w:r>
            <w:r w:rsidRPr="009E686F">
              <w:rPr>
                <w:rFonts w:ascii="Times New Roman" w:eastAsia="Aptos" w:hAnsi="Times New Roman" w:cs="Times New Roman"/>
                <w:i/>
                <w:iCs/>
                <w:kern w:val="2"/>
                <w:lang w:val="ro-MD"/>
              </w:rPr>
              <w:t>instituției de credit</w:t>
            </w:r>
            <w:r w:rsidRPr="009E686F">
              <w:rPr>
                <w:rFonts w:ascii="Times New Roman" w:eastAsia="Aptos" w:hAnsi="Times New Roman" w:cs="Times New Roman"/>
                <w:i/>
                <w:kern w:val="2"/>
                <w:lang w:val="ro-MD"/>
              </w:rPr>
              <w:t>, despre care Banca Națională a Moldovei consideră că generează probleme semnificative în materie de supraveghere.</w:t>
            </w:r>
          </w:p>
        </w:tc>
        <w:tc>
          <w:tcPr>
            <w:tcW w:w="470" w:type="pct"/>
            <w:tcBorders>
              <w:top w:val="single" w:sz="4" w:space="0" w:color="auto"/>
              <w:left w:val="single" w:sz="4" w:space="0" w:color="auto"/>
              <w:bottom w:val="single" w:sz="4" w:space="0" w:color="auto"/>
              <w:right w:val="single" w:sz="4" w:space="0" w:color="auto"/>
            </w:tcBorders>
          </w:tcPr>
          <w:p w14:paraId="1DFDAE79" w14:textId="35B1062E" w:rsidR="00984B34" w:rsidRPr="009E686F" w:rsidDel="00C24E19"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281B152D" w14:textId="77777777" w:rsidR="00984B34" w:rsidRPr="009E686F" w:rsidRDefault="00984B34" w:rsidP="00984B34">
            <w:pPr>
              <w:jc w:val="both"/>
              <w:rPr>
                <w:rFonts w:ascii="Times New Roman" w:hAnsi="Times New Roman" w:cs="Times New Roman"/>
                <w:lang w:val="ro-RO"/>
              </w:rPr>
            </w:pPr>
          </w:p>
        </w:tc>
      </w:tr>
      <w:tr w:rsidR="00984B34" w:rsidRPr="009E686F" w14:paraId="66B7DAA4"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4CFD78A9" w14:textId="7030953E" w:rsidR="00984B34" w:rsidRPr="009E686F" w:rsidDel="00C24E19"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Autoritățile competente impun cerința de fonduri proprii suplimentare menționată la articolul 104 alineatul (1) litera (a) numai pentru acoperirea riscurilor la care sunt expuse instituțiile individuale ca urmare a activităților lor, inclusiv a celor care reflectă impactul anumitor evoluții economice sau ale pieței asupra profilului de risc al unei instituții individuale.</w:t>
            </w:r>
          </w:p>
        </w:tc>
        <w:tc>
          <w:tcPr>
            <w:tcW w:w="1928" w:type="pct"/>
            <w:gridSpan w:val="3"/>
            <w:tcBorders>
              <w:top w:val="single" w:sz="4" w:space="0" w:color="auto"/>
              <w:left w:val="single" w:sz="4" w:space="0" w:color="auto"/>
              <w:bottom w:val="single" w:sz="4" w:space="0" w:color="auto"/>
              <w:right w:val="single" w:sz="4" w:space="0" w:color="auto"/>
            </w:tcBorders>
          </w:tcPr>
          <w:p w14:paraId="407C721D" w14:textId="65807FCD" w:rsidR="00984B34" w:rsidRPr="009E686F" w:rsidDel="00C24E19" w:rsidRDefault="00984B34" w:rsidP="00984B34">
            <w:pPr>
              <w:spacing w:after="0"/>
              <w:jc w:val="both"/>
              <w:rPr>
                <w:rFonts w:ascii="Times New Roman" w:eastAsia="Aptos" w:hAnsi="Times New Roman" w:cs="Times New Roman"/>
                <w:i/>
                <w:kern w:val="2"/>
                <w:lang w:val="ro-MD"/>
              </w:rPr>
            </w:pPr>
            <w:r w:rsidRPr="009E686F">
              <w:rPr>
                <w:rFonts w:ascii="Times New Roman" w:eastAsia="Aptos" w:hAnsi="Times New Roman" w:cs="Times New Roman"/>
                <w:i/>
                <w:iCs/>
                <w:kern w:val="2"/>
                <w:lang w:val="ro-MD"/>
              </w:rPr>
              <w:t>(2) Banca Naţională a Moldovei impune cerinţa de fonduri proprii suplimentare prevăzută la art. 139 alin. (3) lit. a) numai pentru acoperirea riscurilor specifice la care este expusă fiecare instituţie de credit în parte ca urmare a activităţii sale, inclusiv a celor care reflectă impactul anumitor evoluţii economice sau ale pieţei asupra profilului de risc specific al unei instituţii de credit.</w:t>
            </w:r>
          </w:p>
        </w:tc>
        <w:tc>
          <w:tcPr>
            <w:tcW w:w="470" w:type="pct"/>
            <w:tcBorders>
              <w:top w:val="single" w:sz="4" w:space="0" w:color="auto"/>
              <w:left w:val="single" w:sz="4" w:space="0" w:color="auto"/>
              <w:bottom w:val="single" w:sz="4" w:space="0" w:color="auto"/>
              <w:right w:val="single" w:sz="4" w:space="0" w:color="auto"/>
            </w:tcBorders>
          </w:tcPr>
          <w:p w14:paraId="01329EDA" w14:textId="1D565F12" w:rsidR="00984B34" w:rsidRPr="009E686F" w:rsidDel="00C24E19"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0E04BC48" w14:textId="77777777" w:rsidR="00984B34" w:rsidRPr="009E686F" w:rsidRDefault="00984B34" w:rsidP="00984B34">
            <w:pPr>
              <w:jc w:val="both"/>
              <w:rPr>
                <w:rFonts w:ascii="Times New Roman" w:hAnsi="Times New Roman" w:cs="Times New Roman"/>
                <w:lang w:val="ro-RO"/>
              </w:rPr>
            </w:pPr>
          </w:p>
        </w:tc>
      </w:tr>
      <w:tr w:rsidR="00984B34" w:rsidRPr="009E686F" w14:paraId="7FE82CEC"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3AB717F8" w14:textId="11162912" w:rsidR="00984B34" w:rsidRPr="009E686F" w:rsidDel="00C24E19"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(2) În sensul prezentului articol alineatul (1) litera (a), riscurile sau elementele de risc sunt considerate a nu fi acoperite deloc sau a nu fi acoperite suficient de cerințele de fonduri proprii prevăzute în părțile a treia, a patra și a șaptea din Regulamentul (UE) nr. 575/2013 și în capitolul 2 din Regulamentul (UE) 2017/2402 numai atunci când cuantumurile, tipurile și distribuirea capitalului considerate adecvate de către autoritatea competentă, luând în considerare procesul de supraveghere a evaluării efectuate de instituții în conformitate cu articolul 73 primul paragraf din prezenta directivă, sunt mai mari decât cerințele de fonduri proprii prevăzute în părțile a treia, a patra și a șaptea din Regulamentul (UE) nr. 575/2013 și în capitolul 2 din Regulamentul (UE) 2017/2402.</w:t>
            </w:r>
          </w:p>
        </w:tc>
        <w:tc>
          <w:tcPr>
            <w:tcW w:w="1928" w:type="pct"/>
            <w:gridSpan w:val="3"/>
            <w:tcBorders>
              <w:top w:val="single" w:sz="4" w:space="0" w:color="auto"/>
              <w:left w:val="single" w:sz="4" w:space="0" w:color="auto"/>
              <w:bottom w:val="single" w:sz="4" w:space="0" w:color="auto"/>
              <w:right w:val="single" w:sz="4" w:space="0" w:color="auto"/>
            </w:tcBorders>
          </w:tcPr>
          <w:p w14:paraId="5578E04B" w14:textId="106F3239" w:rsidR="00984B34" w:rsidRPr="009E686F" w:rsidDel="00C24E19" w:rsidRDefault="00984B34" w:rsidP="00984B34">
            <w:pPr>
              <w:spacing w:after="0"/>
              <w:jc w:val="both"/>
              <w:rPr>
                <w:rFonts w:ascii="Times New Roman" w:hAnsi="Times New Roman" w:cs="Times New Roman"/>
                <w:lang w:val="ro-RO"/>
              </w:rPr>
            </w:pPr>
            <w:r w:rsidRPr="009E686F">
              <w:rPr>
                <w:rFonts w:ascii="Times New Roman" w:eastAsia="Aptos" w:hAnsi="Times New Roman" w:cs="Times New Roman"/>
                <w:i/>
                <w:iCs/>
                <w:kern w:val="2"/>
                <w:lang w:val="ro-MD"/>
              </w:rPr>
              <w:t>(4</w:t>
            </w:r>
            <w:r w:rsidRPr="009E686F">
              <w:rPr>
                <w:rFonts w:ascii="Times New Roman" w:eastAsia="Aptos" w:hAnsi="Times New Roman" w:cs="Times New Roman"/>
                <w:i/>
                <w:kern w:val="2"/>
                <w:lang w:val="ro-MD"/>
              </w:rPr>
              <w:t xml:space="preserve">) În sensul alin. (1) lit. a), riscurile sau elementele de risc sunt considerate a nu fi acoperite deloc sau a nu fi acoperite suficient de cerinţele de fonduri proprii prevăzute în actele normative ale Băncii Naționale a Moldovei, inclusiv în cele cu privire la securitizare, doar în cazul în care cuantumurile, tipurile și distribuirea capitalului intern considerate adecvate de către Banca Națională a Moldovei, luând în considerare procesul de supraveghere a evaluării efectuate de </w:t>
            </w:r>
            <w:r w:rsidRPr="009E686F">
              <w:rPr>
                <w:rFonts w:ascii="Times New Roman" w:eastAsia="Aptos" w:hAnsi="Times New Roman" w:cs="Times New Roman"/>
                <w:i/>
                <w:iCs/>
                <w:kern w:val="2"/>
                <w:lang w:val="ro-MD"/>
              </w:rPr>
              <w:t>instituţii</w:t>
            </w:r>
            <w:r w:rsidRPr="009E686F">
              <w:rPr>
                <w:rFonts w:ascii="Times New Roman" w:eastAsia="Aptos" w:hAnsi="Times New Roman" w:cs="Times New Roman"/>
                <w:i/>
                <w:kern w:val="2"/>
                <w:lang w:val="ro-MD"/>
              </w:rPr>
              <w:t xml:space="preserve"> în conformitate cu art. 78 alin. (1) sunt mai mari decât cerinţele de fonduri proprii menționate</w:t>
            </w:r>
            <w:r w:rsidRPr="009E686F">
              <w:rPr>
                <w:rFonts w:ascii="Times New Roman" w:eastAsia="Aptos" w:hAnsi="Times New Roman" w:cs="Times New Roman"/>
                <w:i/>
                <w:iCs/>
                <w:kern w:val="2"/>
                <w:lang w:val="ro-MD"/>
              </w:rPr>
              <w:t>.</w:t>
            </w:r>
          </w:p>
        </w:tc>
        <w:tc>
          <w:tcPr>
            <w:tcW w:w="470" w:type="pct"/>
            <w:tcBorders>
              <w:top w:val="single" w:sz="4" w:space="0" w:color="auto"/>
              <w:left w:val="single" w:sz="4" w:space="0" w:color="auto"/>
              <w:bottom w:val="single" w:sz="4" w:space="0" w:color="auto"/>
              <w:right w:val="single" w:sz="4" w:space="0" w:color="auto"/>
            </w:tcBorders>
          </w:tcPr>
          <w:p w14:paraId="19416DA6" w14:textId="33F40759" w:rsidR="00984B34" w:rsidRPr="009E686F" w:rsidDel="00C24E19"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7E1828F5" w14:textId="77777777" w:rsidR="00984B34" w:rsidRPr="009E686F" w:rsidRDefault="00984B34" w:rsidP="00984B34">
            <w:pPr>
              <w:jc w:val="both"/>
              <w:rPr>
                <w:rFonts w:ascii="Times New Roman" w:hAnsi="Times New Roman" w:cs="Times New Roman"/>
                <w:lang w:val="ro-RO"/>
              </w:rPr>
            </w:pPr>
          </w:p>
        </w:tc>
      </w:tr>
      <w:tr w:rsidR="00984B34" w:rsidRPr="009E686F" w14:paraId="3ADD7286"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2F767E24" w14:textId="484FB430" w:rsidR="00984B34" w:rsidRPr="009E686F" w:rsidDel="00C24E19"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lastRenderedPageBreak/>
              <w:t>În sensul primului paragraf, autoritățile competente evaluează, ținând seama de profilul de risc al fiecărei instituții în parte, riscurile la care este expusă instituția, inclusiv:</w:t>
            </w:r>
          </w:p>
        </w:tc>
        <w:tc>
          <w:tcPr>
            <w:tcW w:w="1928" w:type="pct"/>
            <w:gridSpan w:val="3"/>
            <w:tcBorders>
              <w:top w:val="single" w:sz="4" w:space="0" w:color="auto"/>
              <w:left w:val="single" w:sz="4" w:space="0" w:color="auto"/>
              <w:bottom w:val="single" w:sz="4" w:space="0" w:color="auto"/>
              <w:right w:val="single" w:sz="4" w:space="0" w:color="auto"/>
            </w:tcBorders>
          </w:tcPr>
          <w:p w14:paraId="67A8F651" w14:textId="114802F8" w:rsidR="00984B34" w:rsidRPr="009E686F" w:rsidDel="00C24E19" w:rsidRDefault="00984B34" w:rsidP="00984B34">
            <w:pPr>
              <w:spacing w:after="0" w:line="278" w:lineRule="auto"/>
              <w:jc w:val="both"/>
              <w:rPr>
                <w:rFonts w:ascii="Times New Roman" w:eastAsia="Aptos" w:hAnsi="Times New Roman" w:cs="Times New Roman"/>
                <w:i/>
                <w:kern w:val="2"/>
                <w:lang w:val="ro-MD"/>
              </w:rPr>
            </w:pPr>
            <w:r w:rsidRPr="009E686F">
              <w:rPr>
                <w:rFonts w:ascii="Times New Roman" w:eastAsia="Aptos" w:hAnsi="Times New Roman" w:cs="Times New Roman"/>
                <w:i/>
                <w:iCs/>
                <w:kern w:val="2"/>
                <w:lang w:val="ro-MD"/>
              </w:rPr>
              <w:t>(5</w:t>
            </w:r>
            <w:r w:rsidRPr="009E686F">
              <w:rPr>
                <w:rFonts w:ascii="Times New Roman" w:eastAsia="Aptos" w:hAnsi="Times New Roman" w:cs="Times New Roman"/>
                <w:i/>
                <w:kern w:val="2"/>
                <w:lang w:val="ro-MD"/>
              </w:rPr>
              <w:t xml:space="preserve">) Banca Națională a Moldovei evaluează, ţinând cont de profilul de risc al fiecărei </w:t>
            </w:r>
            <w:r w:rsidRPr="009E686F">
              <w:rPr>
                <w:rFonts w:ascii="Times New Roman" w:eastAsia="Aptos" w:hAnsi="Times New Roman" w:cs="Times New Roman"/>
                <w:i/>
                <w:iCs/>
                <w:kern w:val="2"/>
                <w:lang w:val="ro-MD"/>
              </w:rPr>
              <w:t>instituții de credit</w:t>
            </w:r>
            <w:r w:rsidRPr="009E686F">
              <w:rPr>
                <w:rFonts w:ascii="Times New Roman" w:eastAsia="Aptos" w:hAnsi="Times New Roman" w:cs="Times New Roman"/>
                <w:i/>
                <w:kern w:val="2"/>
                <w:lang w:val="ro-MD"/>
              </w:rPr>
              <w:t xml:space="preserve"> în parte, riscurile la care este expusă </w:t>
            </w:r>
            <w:r w:rsidRPr="009E686F">
              <w:rPr>
                <w:rFonts w:ascii="Times New Roman" w:eastAsia="Aptos" w:hAnsi="Times New Roman" w:cs="Times New Roman"/>
                <w:i/>
                <w:iCs/>
                <w:kern w:val="2"/>
                <w:lang w:val="ro-MD"/>
              </w:rPr>
              <w:t>instituția de credit</w:t>
            </w:r>
            <w:r w:rsidRPr="009E686F">
              <w:rPr>
                <w:rFonts w:ascii="Times New Roman" w:eastAsia="Aptos" w:hAnsi="Times New Roman" w:cs="Times New Roman"/>
                <w:i/>
                <w:kern w:val="2"/>
                <w:lang w:val="ro-MD"/>
              </w:rPr>
              <w:t xml:space="preserve">, inclusiv: </w:t>
            </w:r>
          </w:p>
        </w:tc>
        <w:tc>
          <w:tcPr>
            <w:tcW w:w="470" w:type="pct"/>
            <w:tcBorders>
              <w:top w:val="single" w:sz="4" w:space="0" w:color="auto"/>
              <w:left w:val="single" w:sz="4" w:space="0" w:color="auto"/>
              <w:bottom w:val="single" w:sz="4" w:space="0" w:color="auto"/>
              <w:right w:val="single" w:sz="4" w:space="0" w:color="auto"/>
            </w:tcBorders>
          </w:tcPr>
          <w:p w14:paraId="57FE6AD9" w14:textId="00F1D2C8" w:rsidR="00984B34" w:rsidRPr="009E686F" w:rsidDel="00C24E19"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5655F679" w14:textId="77777777" w:rsidR="00984B34" w:rsidRPr="009E686F" w:rsidRDefault="00984B34" w:rsidP="00984B34">
            <w:pPr>
              <w:jc w:val="both"/>
              <w:rPr>
                <w:rFonts w:ascii="Times New Roman" w:hAnsi="Times New Roman" w:cs="Times New Roman"/>
                <w:lang w:val="ro-RO"/>
              </w:rPr>
            </w:pPr>
          </w:p>
        </w:tc>
      </w:tr>
      <w:tr w:rsidR="00984B34" w:rsidRPr="009E686F" w14:paraId="789B25EE"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54FDFC43" w14:textId="5D3AD50C"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(a) riscurile specifice instituției sau elementele unor astfel de riscuri care sunt excluse în mod explicit din cerințele de fonduri proprii prevăzute în părțile a treia, a patra și a șaptea din Regulamentul (UE) nr. 575/2013 și în capitolul 2 din Regulamentul (UE) 2017/2402 sau care nu sunt abordate în mod explicit în cadrul cerințelor menționate;</w:t>
            </w:r>
          </w:p>
        </w:tc>
        <w:tc>
          <w:tcPr>
            <w:tcW w:w="1928" w:type="pct"/>
            <w:gridSpan w:val="3"/>
            <w:tcBorders>
              <w:top w:val="single" w:sz="4" w:space="0" w:color="auto"/>
              <w:left w:val="single" w:sz="4" w:space="0" w:color="auto"/>
              <w:bottom w:val="single" w:sz="4" w:space="0" w:color="auto"/>
              <w:right w:val="single" w:sz="4" w:space="0" w:color="auto"/>
            </w:tcBorders>
          </w:tcPr>
          <w:p w14:paraId="129B1779" w14:textId="2926F00E" w:rsidR="00984B34" w:rsidRPr="009E686F" w:rsidRDefault="00984B34" w:rsidP="00984B34">
            <w:pPr>
              <w:spacing w:after="0" w:line="278" w:lineRule="auto"/>
              <w:jc w:val="both"/>
              <w:rPr>
                <w:rFonts w:ascii="Times New Roman" w:eastAsia="Aptos" w:hAnsi="Times New Roman" w:cs="Times New Roman"/>
                <w:i/>
                <w:kern w:val="2"/>
                <w:lang w:val="ro-MD"/>
              </w:rPr>
            </w:pPr>
            <w:r w:rsidRPr="009E686F">
              <w:rPr>
                <w:rFonts w:ascii="Times New Roman" w:eastAsia="Aptos" w:hAnsi="Times New Roman" w:cs="Times New Roman"/>
                <w:i/>
                <w:kern w:val="2"/>
                <w:lang w:val="ro-MD"/>
              </w:rPr>
              <w:t xml:space="preserve">a) riscurile specifice </w:t>
            </w:r>
            <w:r w:rsidRPr="009E686F">
              <w:rPr>
                <w:rFonts w:ascii="Times New Roman" w:eastAsia="Aptos" w:hAnsi="Times New Roman" w:cs="Times New Roman"/>
                <w:i/>
                <w:iCs/>
                <w:kern w:val="2"/>
                <w:lang w:val="ro-MD"/>
              </w:rPr>
              <w:t>instituției de credit</w:t>
            </w:r>
            <w:r w:rsidRPr="009E686F">
              <w:rPr>
                <w:rFonts w:ascii="Times New Roman" w:eastAsia="Aptos" w:hAnsi="Times New Roman" w:cs="Times New Roman"/>
                <w:i/>
                <w:kern w:val="2"/>
                <w:lang w:val="ro-MD"/>
              </w:rPr>
              <w:t xml:space="preserve"> sau elementele unor astfel de riscuri care sunt excluse în mod explicit din cerinţele de fonduri proprii prevăzute în actele normative ale Băncii Naționale a Moldovei, inclusiv în cele cu privire la securitizare sau care nu sunt abordate în mod explicit în cadrul cerinţelor menţionate; </w:t>
            </w:r>
          </w:p>
          <w:p w14:paraId="1CB30F5E" w14:textId="77777777" w:rsidR="00984B34" w:rsidRPr="009E686F" w:rsidDel="00C24E19" w:rsidRDefault="00984B34" w:rsidP="00984B34">
            <w:pPr>
              <w:spacing w:after="0"/>
              <w:jc w:val="both"/>
              <w:rPr>
                <w:rFonts w:ascii="Times New Roman" w:hAnsi="Times New Roman" w:cs="Times New Roman"/>
                <w:i/>
                <w:lang w:val="ro-RO"/>
              </w:rPr>
            </w:pPr>
          </w:p>
        </w:tc>
        <w:tc>
          <w:tcPr>
            <w:tcW w:w="470" w:type="pct"/>
            <w:tcBorders>
              <w:top w:val="single" w:sz="4" w:space="0" w:color="auto"/>
              <w:left w:val="single" w:sz="4" w:space="0" w:color="auto"/>
              <w:bottom w:val="single" w:sz="4" w:space="0" w:color="auto"/>
              <w:right w:val="single" w:sz="4" w:space="0" w:color="auto"/>
            </w:tcBorders>
          </w:tcPr>
          <w:p w14:paraId="1C613788" w14:textId="4130B3F9" w:rsidR="00984B34" w:rsidRPr="009E686F" w:rsidDel="00C24E19"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589C2097" w14:textId="77777777" w:rsidR="00984B34" w:rsidRPr="009E686F" w:rsidRDefault="00984B34" w:rsidP="00984B34">
            <w:pPr>
              <w:jc w:val="both"/>
              <w:rPr>
                <w:rFonts w:ascii="Times New Roman" w:hAnsi="Times New Roman" w:cs="Times New Roman"/>
                <w:lang w:val="ro-RO"/>
              </w:rPr>
            </w:pPr>
          </w:p>
        </w:tc>
      </w:tr>
      <w:tr w:rsidR="00984B34" w:rsidRPr="009E686F" w14:paraId="383BBC97"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1EE4D008" w14:textId="382B8E78"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(b) riscurile specifice instituției sau elementele unor astfel de riscuri care ar putea să fie subestimate în pofida respectării cerințelor aplicabile din prezenta directivăprevăzute în părțile a treia, a patra și a șaptea din Regulamentul (UE) nr.  575/2013; sau și în capitolul 2 din Regulamentul (UE) 2017/2402.</w:t>
            </w:r>
          </w:p>
        </w:tc>
        <w:tc>
          <w:tcPr>
            <w:tcW w:w="1928" w:type="pct"/>
            <w:gridSpan w:val="3"/>
            <w:tcBorders>
              <w:top w:val="single" w:sz="4" w:space="0" w:color="auto"/>
              <w:left w:val="single" w:sz="4" w:space="0" w:color="auto"/>
              <w:bottom w:val="single" w:sz="4" w:space="0" w:color="auto"/>
              <w:right w:val="single" w:sz="4" w:space="0" w:color="auto"/>
            </w:tcBorders>
          </w:tcPr>
          <w:p w14:paraId="5F7A9426" w14:textId="43F6CAAB" w:rsidR="00984B34" w:rsidRPr="009E686F" w:rsidDel="00C24E19" w:rsidRDefault="00984B34" w:rsidP="00984B34">
            <w:pPr>
              <w:spacing w:after="0"/>
              <w:jc w:val="both"/>
              <w:rPr>
                <w:rFonts w:ascii="Times New Roman" w:hAnsi="Times New Roman" w:cs="Times New Roman"/>
                <w:i/>
                <w:lang w:val="ro-RO"/>
              </w:rPr>
            </w:pPr>
            <w:r w:rsidRPr="009E686F">
              <w:rPr>
                <w:rFonts w:ascii="Times New Roman" w:eastAsia="Aptos" w:hAnsi="Times New Roman" w:cs="Times New Roman"/>
                <w:i/>
                <w:kern w:val="2"/>
                <w:lang w:val="ro-MD"/>
              </w:rPr>
              <w:t xml:space="preserve">b) riscurile specifice </w:t>
            </w:r>
            <w:r w:rsidRPr="009E686F">
              <w:rPr>
                <w:rFonts w:ascii="Times New Roman" w:eastAsia="Aptos" w:hAnsi="Times New Roman" w:cs="Times New Roman"/>
                <w:i/>
                <w:iCs/>
                <w:kern w:val="2"/>
                <w:lang w:val="ro-MD"/>
              </w:rPr>
              <w:t>instituției de credit</w:t>
            </w:r>
            <w:r w:rsidRPr="009E686F">
              <w:rPr>
                <w:rFonts w:ascii="Times New Roman" w:eastAsia="Aptos" w:hAnsi="Times New Roman" w:cs="Times New Roman"/>
                <w:i/>
                <w:kern w:val="2"/>
                <w:lang w:val="ro-MD"/>
              </w:rPr>
              <w:t xml:space="preserve"> sau elementele unor astfel de riscuri care ar putea să fie subestimate în pofida respectării cerinţelor de fonduri proprii prevăzute în actele normative ale Băncii Naționale a Moldovei, inclusiv în cele cu privire la securitizare.</w:t>
            </w:r>
          </w:p>
        </w:tc>
        <w:tc>
          <w:tcPr>
            <w:tcW w:w="470" w:type="pct"/>
            <w:tcBorders>
              <w:top w:val="single" w:sz="4" w:space="0" w:color="auto"/>
              <w:left w:val="single" w:sz="4" w:space="0" w:color="auto"/>
              <w:bottom w:val="single" w:sz="4" w:space="0" w:color="auto"/>
              <w:right w:val="single" w:sz="4" w:space="0" w:color="auto"/>
            </w:tcBorders>
          </w:tcPr>
          <w:p w14:paraId="7C926C6A" w14:textId="4E8890CA" w:rsidR="00984B34" w:rsidRPr="009E686F" w:rsidDel="00C24E19"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18560CF4" w14:textId="77777777" w:rsidR="00984B34" w:rsidRPr="009E686F" w:rsidRDefault="00984B34" w:rsidP="00984B34">
            <w:pPr>
              <w:jc w:val="both"/>
              <w:rPr>
                <w:rFonts w:ascii="Times New Roman" w:hAnsi="Times New Roman" w:cs="Times New Roman"/>
                <w:lang w:val="ro-RO"/>
              </w:rPr>
            </w:pPr>
          </w:p>
        </w:tc>
      </w:tr>
      <w:tr w:rsidR="00984B34" w:rsidRPr="009E686F" w14:paraId="2BB4B771"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73B41500" w14:textId="121EB4CC"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În măsura în care fac obiectul unor dispoziții tranzitorii sau al unor clauze de păstrare a drepturilor obținute prevăzute în prezenta directivă sau în Regulamentul (UE) nr. 575/2013, riscurile sau elementele de risc nu sunt considerate riscuri sau elemente de risc care ar putea să fie subestimate în pofida respectării cerințelor aplicabile prevăzute în părțile a treia, a patra și a șaptea din Regulamentul (UE) nr. 575/2013 și în capitolul 2 din Regulamentul (UE) 2017/2402.</w:t>
            </w:r>
          </w:p>
        </w:tc>
        <w:tc>
          <w:tcPr>
            <w:tcW w:w="1928" w:type="pct"/>
            <w:gridSpan w:val="3"/>
            <w:tcBorders>
              <w:top w:val="single" w:sz="4" w:space="0" w:color="auto"/>
              <w:left w:val="single" w:sz="4" w:space="0" w:color="auto"/>
              <w:bottom w:val="single" w:sz="4" w:space="0" w:color="auto"/>
              <w:right w:val="single" w:sz="4" w:space="0" w:color="auto"/>
            </w:tcBorders>
          </w:tcPr>
          <w:p w14:paraId="50438136" w14:textId="696AE614" w:rsidR="00984B34" w:rsidRPr="009E686F" w:rsidDel="00C24E19" w:rsidRDefault="00984B34" w:rsidP="00984B34">
            <w:pPr>
              <w:spacing w:after="0"/>
              <w:jc w:val="both"/>
              <w:rPr>
                <w:rFonts w:ascii="Times New Roman" w:hAnsi="Times New Roman" w:cs="Times New Roman"/>
                <w:i/>
                <w:lang w:val="ro-RO"/>
              </w:rPr>
            </w:pPr>
            <w:r w:rsidRPr="009E686F">
              <w:rPr>
                <w:rFonts w:ascii="Times New Roman" w:eastAsia="Aptos" w:hAnsi="Times New Roman" w:cs="Times New Roman"/>
                <w:i/>
                <w:iCs/>
                <w:kern w:val="2"/>
                <w:lang w:val="ro-MD"/>
              </w:rPr>
              <w:t>(8</w:t>
            </w:r>
            <w:r w:rsidRPr="009E686F">
              <w:rPr>
                <w:rFonts w:ascii="Times New Roman" w:eastAsia="Aptos" w:hAnsi="Times New Roman" w:cs="Times New Roman"/>
                <w:i/>
                <w:kern w:val="2"/>
                <w:lang w:val="ro-MD"/>
              </w:rPr>
              <w:t>) În măsura în care fac obiectul unor dispoziţii tranzitorii sau al unor clauze de păstrare a drepturilor obţinute prevăzute în prezenta lege sau în actele normative ale Băncii Naționale a Moldovei, riscurile sau elementele de risc nu sunt considerate riscuri sau elemente de risc care ar putea să fie subestimate în pofida respectării cerinţelor de fonduri proprii prevăzute în actele normative ale Băncii Naționale a Moldovei, inclusiv în cele cu privire la securitizare.</w:t>
            </w:r>
          </w:p>
        </w:tc>
        <w:tc>
          <w:tcPr>
            <w:tcW w:w="470" w:type="pct"/>
            <w:tcBorders>
              <w:top w:val="single" w:sz="4" w:space="0" w:color="auto"/>
              <w:left w:val="single" w:sz="4" w:space="0" w:color="auto"/>
              <w:bottom w:val="single" w:sz="4" w:space="0" w:color="auto"/>
              <w:right w:val="single" w:sz="4" w:space="0" w:color="auto"/>
            </w:tcBorders>
          </w:tcPr>
          <w:p w14:paraId="48C0D008" w14:textId="68276E65" w:rsidR="00984B34" w:rsidRPr="009E686F" w:rsidDel="00C24E19"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27F98D76" w14:textId="77777777" w:rsidR="00984B34" w:rsidRPr="009E686F" w:rsidRDefault="00984B34" w:rsidP="00984B34">
            <w:pPr>
              <w:jc w:val="both"/>
              <w:rPr>
                <w:rFonts w:ascii="Times New Roman" w:hAnsi="Times New Roman" w:cs="Times New Roman"/>
                <w:lang w:val="ro-RO"/>
              </w:rPr>
            </w:pPr>
          </w:p>
        </w:tc>
      </w:tr>
      <w:tr w:rsidR="00984B34" w:rsidRPr="009E686F" w14:paraId="1C548A03"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49C200C4" w14:textId="44D7711F"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În sensul primului paragraf, capitalul considerat adecvat acoperă toate riscurile sau elementele de risc identificate ca semnificative în temeiul evaluării prevăzute la al doilea paragraf de la prezentul alineat, care nu sunt acoperite deloc sau nu sunt acoperite suficient de cerințele de fonduri </w:t>
            </w:r>
            <w:r w:rsidRPr="009E686F">
              <w:rPr>
                <w:rFonts w:ascii="Times New Roman" w:hAnsi="Times New Roman" w:cs="Times New Roman"/>
                <w:lang w:val="ro-RO"/>
              </w:rPr>
              <w:lastRenderedPageBreak/>
              <w:t>proprii prevăzute în părțile a treia, a patra și a șaptea din Regulamentul (UE) nr. 575/2013 și în capitolul 2 din Regulamentul (UE) 2017/2402.</w:t>
            </w:r>
          </w:p>
        </w:tc>
        <w:tc>
          <w:tcPr>
            <w:tcW w:w="1928" w:type="pct"/>
            <w:gridSpan w:val="3"/>
            <w:tcBorders>
              <w:top w:val="single" w:sz="4" w:space="0" w:color="auto"/>
              <w:left w:val="single" w:sz="4" w:space="0" w:color="auto"/>
              <w:bottom w:val="single" w:sz="4" w:space="0" w:color="auto"/>
              <w:right w:val="single" w:sz="4" w:space="0" w:color="auto"/>
            </w:tcBorders>
          </w:tcPr>
          <w:p w14:paraId="7DE19845" w14:textId="7AC0F75D" w:rsidR="00984B34" w:rsidRPr="009E686F" w:rsidRDefault="00984B34" w:rsidP="00984B34">
            <w:pPr>
              <w:spacing w:after="0"/>
              <w:jc w:val="both"/>
              <w:rPr>
                <w:rFonts w:ascii="Times New Roman" w:eastAsia="Aptos" w:hAnsi="Times New Roman" w:cs="Times New Roman"/>
                <w:i/>
                <w:kern w:val="2"/>
                <w:lang w:val="ro-MD"/>
              </w:rPr>
            </w:pPr>
            <w:r w:rsidRPr="009E686F">
              <w:rPr>
                <w:rFonts w:ascii="Times New Roman" w:eastAsia="Aptos" w:hAnsi="Times New Roman" w:cs="Times New Roman"/>
                <w:i/>
                <w:kern w:val="2"/>
                <w:lang w:val="ro-MD"/>
              </w:rPr>
              <w:lastRenderedPageBreak/>
              <w:t>(5) În aplicarea alin. (</w:t>
            </w:r>
            <w:r w:rsidR="00F64403" w:rsidRPr="009E686F">
              <w:rPr>
                <w:rFonts w:ascii="Times New Roman" w:eastAsia="Aptos" w:hAnsi="Times New Roman" w:cs="Times New Roman"/>
                <w:i/>
                <w:iCs/>
                <w:kern w:val="2"/>
                <w:lang w:val="ro-MD"/>
              </w:rPr>
              <w:t>4</w:t>
            </w:r>
            <w:r w:rsidRPr="009E686F">
              <w:rPr>
                <w:rFonts w:ascii="Times New Roman" w:eastAsia="Aptos" w:hAnsi="Times New Roman" w:cs="Times New Roman"/>
                <w:i/>
                <w:kern w:val="2"/>
                <w:lang w:val="ro-MD"/>
              </w:rPr>
              <w:t>), capitalul considerat adecvat acoperă toate riscurile sau elementele de risc identificate ca semnificative în temeiul evaluării prevăzute la alin. (</w:t>
            </w:r>
            <w:r w:rsidR="00F64403" w:rsidRPr="009E686F">
              <w:rPr>
                <w:rFonts w:ascii="Times New Roman" w:eastAsia="Aptos" w:hAnsi="Times New Roman" w:cs="Times New Roman"/>
                <w:i/>
                <w:iCs/>
                <w:kern w:val="2"/>
                <w:lang w:val="ro-MD"/>
              </w:rPr>
              <w:t>5</w:t>
            </w:r>
            <w:r w:rsidRPr="009E686F">
              <w:rPr>
                <w:rFonts w:ascii="Times New Roman" w:eastAsia="Aptos" w:hAnsi="Times New Roman" w:cs="Times New Roman"/>
                <w:i/>
                <w:kern w:val="2"/>
                <w:lang w:val="ro-MD"/>
              </w:rPr>
              <w:t xml:space="preserve">), care nu sunt acoperite deloc sau nu sunt acoperite suficient de cerinţele </w:t>
            </w:r>
            <w:r w:rsidRPr="009E686F">
              <w:rPr>
                <w:rFonts w:ascii="Times New Roman" w:eastAsia="Aptos" w:hAnsi="Times New Roman" w:cs="Times New Roman"/>
                <w:i/>
                <w:kern w:val="2"/>
                <w:lang w:val="ro-MD"/>
              </w:rPr>
              <w:lastRenderedPageBreak/>
              <w:t>de fonduri proprii prevăzute în actele normative ale Băncii Naționale a Moldovei, inclusiv în cele cu privire la securitizare.</w:t>
            </w:r>
          </w:p>
          <w:p w14:paraId="5F64213B" w14:textId="77777777" w:rsidR="00984B34" w:rsidRPr="009E686F" w:rsidDel="00C24E19" w:rsidRDefault="00984B34" w:rsidP="00984B34">
            <w:pPr>
              <w:spacing w:after="0"/>
              <w:jc w:val="both"/>
              <w:rPr>
                <w:rFonts w:ascii="Times New Roman" w:hAnsi="Times New Roman" w:cs="Times New Roman"/>
                <w:lang w:val="ro-RO"/>
              </w:rPr>
            </w:pPr>
          </w:p>
        </w:tc>
        <w:tc>
          <w:tcPr>
            <w:tcW w:w="470" w:type="pct"/>
            <w:tcBorders>
              <w:top w:val="single" w:sz="4" w:space="0" w:color="auto"/>
              <w:left w:val="single" w:sz="4" w:space="0" w:color="auto"/>
              <w:bottom w:val="single" w:sz="4" w:space="0" w:color="auto"/>
              <w:right w:val="single" w:sz="4" w:space="0" w:color="auto"/>
            </w:tcBorders>
          </w:tcPr>
          <w:p w14:paraId="1F5BB0E6" w14:textId="1BB8CD30" w:rsidR="00984B34" w:rsidRPr="009E686F" w:rsidDel="00C24E19" w:rsidRDefault="00984B34" w:rsidP="00984B34">
            <w:pPr>
              <w:jc w:val="both"/>
              <w:rPr>
                <w:rFonts w:ascii="Times New Roman" w:hAnsi="Times New Roman" w:cs="Times New Roman"/>
                <w:lang w:val="ro-RO"/>
              </w:rPr>
            </w:pPr>
            <w:r w:rsidRPr="009E686F">
              <w:rPr>
                <w:rFonts w:ascii="Times New Roman" w:hAnsi="Times New Roman" w:cs="Times New Roman"/>
                <w:lang w:val="ro-RO"/>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1B9E2094" w14:textId="77777777" w:rsidR="00984B34" w:rsidRPr="009E686F" w:rsidRDefault="00984B34" w:rsidP="00984B34">
            <w:pPr>
              <w:jc w:val="both"/>
              <w:rPr>
                <w:rFonts w:ascii="Times New Roman" w:hAnsi="Times New Roman" w:cs="Times New Roman"/>
                <w:lang w:val="ro-RO"/>
              </w:rPr>
            </w:pPr>
          </w:p>
        </w:tc>
      </w:tr>
      <w:tr w:rsidR="00984B34" w:rsidRPr="009E686F" w14:paraId="354D5297"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31B64F26" w14:textId="38E5CD99"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Riscul de rată a dobânzii care decurge din pozițiile din afara portofoliului de tranzacționare poate fi considerat a fi semnificativ cel puțin în cazurile prevăzute la articolul 98 alineatul (5), cu excepția cazului în care autoritățile competente ajung, efectuând analiza și evaluarea, la concluzia că gestionarea de către instituție a riscului de rată a dobânzii la care este expusă ca urmare a unor activități din afara portofoliului de tranzacționare este adecvată și că instituția nu este expusă în mod excesiv la riscul de rată a dobânzii ca urmare a unor activități din afara portofoliului de tranzacționare.</w:t>
            </w:r>
          </w:p>
        </w:tc>
        <w:tc>
          <w:tcPr>
            <w:tcW w:w="1928" w:type="pct"/>
            <w:gridSpan w:val="3"/>
            <w:tcBorders>
              <w:top w:val="single" w:sz="4" w:space="0" w:color="auto"/>
              <w:left w:val="single" w:sz="4" w:space="0" w:color="auto"/>
              <w:bottom w:val="single" w:sz="4" w:space="0" w:color="auto"/>
              <w:right w:val="single" w:sz="4" w:space="0" w:color="auto"/>
            </w:tcBorders>
          </w:tcPr>
          <w:p w14:paraId="4120D274" w14:textId="57DE963B" w:rsidR="00984B34" w:rsidRPr="009E686F" w:rsidDel="00C24E19" w:rsidRDefault="00984B34" w:rsidP="00984B34">
            <w:pPr>
              <w:spacing w:after="0"/>
              <w:jc w:val="both"/>
              <w:rPr>
                <w:rFonts w:ascii="Times New Roman" w:hAnsi="Times New Roman" w:cs="Times New Roman"/>
                <w:i/>
                <w:lang w:val="ro-RO"/>
              </w:rPr>
            </w:pPr>
            <w:r w:rsidRPr="009E686F">
              <w:rPr>
                <w:rFonts w:ascii="Times New Roman" w:eastAsia="Aptos" w:hAnsi="Times New Roman" w:cs="Times New Roman"/>
                <w:i/>
                <w:iCs/>
                <w:kern w:val="2"/>
                <w:lang w:val="ro-MD"/>
              </w:rPr>
              <w:t>(7</w:t>
            </w:r>
            <w:r w:rsidRPr="009E686F">
              <w:rPr>
                <w:rFonts w:ascii="Times New Roman" w:eastAsia="Aptos" w:hAnsi="Times New Roman" w:cs="Times New Roman"/>
                <w:i/>
                <w:kern w:val="2"/>
                <w:lang w:val="ro-MD"/>
              </w:rPr>
              <w:t xml:space="preserve">) Riscul de rată a dobânzii care decurge din poziţiile din afara portofoliului de tranzacţionare poate fi considerat a fi semnificativ în sensul alin. </w:t>
            </w:r>
            <w:r w:rsidR="00F64403" w:rsidRPr="009E686F">
              <w:rPr>
                <w:rFonts w:ascii="Times New Roman" w:eastAsia="Aptos" w:hAnsi="Times New Roman" w:cs="Times New Roman"/>
                <w:i/>
                <w:kern w:val="2"/>
                <w:lang w:val="ro-MD"/>
              </w:rPr>
              <w:t>6</w:t>
            </w:r>
            <w:r w:rsidRPr="009E686F">
              <w:rPr>
                <w:rFonts w:ascii="Times New Roman" w:eastAsia="Aptos" w:hAnsi="Times New Roman" w:cs="Times New Roman"/>
                <w:i/>
                <w:iCs/>
                <w:kern w:val="2"/>
                <w:lang w:val="ro-MD"/>
              </w:rPr>
              <w:t>4</w:t>
            </w:r>
            <w:r w:rsidRPr="009E686F">
              <w:rPr>
                <w:rFonts w:ascii="Times New Roman" w:eastAsia="Aptos" w:hAnsi="Times New Roman" w:cs="Times New Roman"/>
                <w:i/>
                <w:kern w:val="2"/>
                <w:lang w:val="ro-MD"/>
              </w:rPr>
              <w:t>) cel puţin în cazurile prevăzute la art. 139 alin. (3</w:t>
            </w:r>
            <w:r w:rsidRPr="009E686F">
              <w:rPr>
                <w:rFonts w:ascii="Times New Roman" w:eastAsia="Aptos" w:hAnsi="Times New Roman" w:cs="Times New Roman"/>
                <w:i/>
                <w:kern w:val="2"/>
                <w:vertAlign w:val="superscript"/>
                <w:lang w:val="ro-MD"/>
              </w:rPr>
              <w:t>1</w:t>
            </w:r>
            <w:r w:rsidRPr="009E686F">
              <w:rPr>
                <w:rFonts w:ascii="Times New Roman" w:eastAsia="Aptos" w:hAnsi="Times New Roman" w:cs="Times New Roman"/>
                <w:i/>
                <w:kern w:val="2"/>
                <w:lang w:val="ro-MD"/>
              </w:rPr>
              <w:t xml:space="preserve">), cu excepţia cazului în care Banca Națională a Moldovei, efectuând verificarea și evaluarea, concluzionează că gestionarea de către </w:t>
            </w:r>
            <w:r w:rsidRPr="009E686F">
              <w:rPr>
                <w:rFonts w:ascii="Times New Roman" w:eastAsia="Aptos" w:hAnsi="Times New Roman" w:cs="Times New Roman"/>
                <w:i/>
                <w:iCs/>
                <w:kern w:val="2"/>
                <w:lang w:val="ro-MD"/>
              </w:rPr>
              <w:t>instituție de credit</w:t>
            </w:r>
            <w:r w:rsidRPr="009E686F">
              <w:rPr>
                <w:rFonts w:ascii="Times New Roman" w:eastAsia="Aptos" w:hAnsi="Times New Roman" w:cs="Times New Roman"/>
                <w:i/>
                <w:kern w:val="2"/>
                <w:lang w:val="ro-MD"/>
              </w:rPr>
              <w:t xml:space="preserve"> a riscului de rată a dobânzii la care este expusă ca urmare a unor activităţi din afara portofoliului de tranzacţionare este adecvată și că </w:t>
            </w:r>
            <w:r w:rsidRPr="009E686F">
              <w:rPr>
                <w:rFonts w:ascii="Times New Roman" w:eastAsia="Aptos" w:hAnsi="Times New Roman" w:cs="Times New Roman"/>
                <w:i/>
                <w:iCs/>
                <w:kern w:val="2"/>
                <w:lang w:val="ro-MD"/>
              </w:rPr>
              <w:t>instituția de credit</w:t>
            </w:r>
            <w:r w:rsidRPr="009E686F">
              <w:rPr>
                <w:rFonts w:ascii="Times New Roman" w:eastAsia="Aptos" w:hAnsi="Times New Roman" w:cs="Times New Roman"/>
                <w:i/>
                <w:kern w:val="2"/>
                <w:lang w:val="ro-MD"/>
              </w:rPr>
              <w:t xml:space="preserve"> nu este expusă în mod excesiv la riscul de rată a dobânzii ca urmare a unor activităţi din afara portofoliului de tranzacţionare.</w:t>
            </w:r>
          </w:p>
        </w:tc>
        <w:tc>
          <w:tcPr>
            <w:tcW w:w="470" w:type="pct"/>
            <w:tcBorders>
              <w:top w:val="single" w:sz="4" w:space="0" w:color="auto"/>
              <w:left w:val="single" w:sz="4" w:space="0" w:color="auto"/>
              <w:bottom w:val="single" w:sz="4" w:space="0" w:color="auto"/>
              <w:right w:val="single" w:sz="4" w:space="0" w:color="auto"/>
            </w:tcBorders>
          </w:tcPr>
          <w:p w14:paraId="233689A7" w14:textId="1BA45B85" w:rsidR="00984B34" w:rsidRPr="009E686F" w:rsidDel="00C24E19"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7E4B9984" w14:textId="77777777" w:rsidR="00984B34" w:rsidRPr="009E686F" w:rsidRDefault="00984B34" w:rsidP="00984B34">
            <w:pPr>
              <w:jc w:val="both"/>
              <w:rPr>
                <w:rFonts w:ascii="Times New Roman" w:hAnsi="Times New Roman" w:cs="Times New Roman"/>
                <w:lang w:val="ro-RO"/>
              </w:rPr>
            </w:pPr>
          </w:p>
        </w:tc>
      </w:tr>
      <w:tr w:rsidR="00984B34" w:rsidRPr="009E686F" w14:paraId="585EF9FA"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616CEC4E" w14:textId="689EE1A2"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(3) În cazul în care sunt necesare fonduri proprii suplimentare pentru abordarea altor riscuri decât riscul asociat folosirii excesive a efectului de levier, care nu sunt acoperite suficient de articolul 92 alineatul (1) litera (d) din Regulamentul (UE) nr. 575/2013, autoritățile competente stabilesc nivelul fondurilor proprii suplimentare necesare în temeiul prezentului articol alineatul (1) litera (a) ca diferență între capitalul considerat adecvat în temeiul alineatului (2) de la prezentul articol și cerințele de fonduri proprii relevante prevăzute în părțile a treia și a patra din Regulamentul (UE) nr. 575/2013 și în capitolul 2 din Regulamentul (UE) 2017/2402.</w:t>
            </w:r>
          </w:p>
        </w:tc>
        <w:tc>
          <w:tcPr>
            <w:tcW w:w="1928" w:type="pct"/>
            <w:gridSpan w:val="3"/>
            <w:tcBorders>
              <w:top w:val="single" w:sz="4" w:space="0" w:color="auto"/>
              <w:left w:val="single" w:sz="4" w:space="0" w:color="auto"/>
              <w:bottom w:val="single" w:sz="4" w:space="0" w:color="auto"/>
              <w:right w:val="single" w:sz="4" w:space="0" w:color="auto"/>
            </w:tcBorders>
          </w:tcPr>
          <w:p w14:paraId="158E2EC3" w14:textId="44FFCB62" w:rsidR="00984B34" w:rsidRPr="009E686F" w:rsidRDefault="00984B34" w:rsidP="00984B34">
            <w:pPr>
              <w:spacing w:after="0"/>
              <w:jc w:val="both"/>
              <w:rPr>
                <w:rFonts w:ascii="Times New Roman" w:hAnsi="Times New Roman" w:cs="Times New Roman"/>
                <w:b/>
                <w:i/>
                <w:lang w:val="ro-RO"/>
              </w:rPr>
            </w:pPr>
            <w:r w:rsidRPr="009E686F">
              <w:rPr>
                <w:rFonts w:ascii="Times New Roman" w:eastAsia="Aptos" w:hAnsi="Times New Roman" w:cs="Times New Roman"/>
                <w:i/>
                <w:kern w:val="2"/>
                <w:lang w:val="ro-MD"/>
              </w:rPr>
              <w:t>(8) Banca Națională a Moldovei stabilește nivelul fondurilor proprii suplimentare pentru abordarea altor riscuri decât riscul asociat folosirii excesive a efectului de levier necesare conform alin. (1) lit. a) ca diferenţă între capitalul considerat adecvat conform alin. (</w:t>
            </w:r>
            <w:r w:rsidRPr="009E686F">
              <w:rPr>
                <w:rFonts w:ascii="Times New Roman" w:eastAsia="Aptos" w:hAnsi="Times New Roman" w:cs="Times New Roman"/>
                <w:i/>
                <w:iCs/>
                <w:kern w:val="2"/>
                <w:lang w:val="ro-MD"/>
              </w:rPr>
              <w:t>3</w:t>
            </w:r>
            <w:r w:rsidRPr="009E686F">
              <w:rPr>
                <w:rFonts w:ascii="Times New Roman" w:eastAsia="Aptos" w:hAnsi="Times New Roman" w:cs="Times New Roman"/>
                <w:i/>
                <w:kern w:val="2"/>
                <w:lang w:val="ro-MD"/>
              </w:rPr>
              <w:t xml:space="preserve">) și cerinţele de fonduri proprii relevante prevăzute în actele normative ale Băncii Naționale a Moldovei, inclusiv în cele cu privire la securitizare.  </w:t>
            </w:r>
          </w:p>
        </w:tc>
        <w:tc>
          <w:tcPr>
            <w:tcW w:w="470" w:type="pct"/>
            <w:tcBorders>
              <w:top w:val="single" w:sz="4" w:space="0" w:color="auto"/>
              <w:left w:val="single" w:sz="4" w:space="0" w:color="auto"/>
              <w:bottom w:val="single" w:sz="4" w:space="0" w:color="auto"/>
              <w:right w:val="single" w:sz="4" w:space="0" w:color="auto"/>
            </w:tcBorders>
          </w:tcPr>
          <w:p w14:paraId="0AA4AE4F" w14:textId="6A78C88D"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6ABFBA67" w14:textId="77777777" w:rsidR="00984B34" w:rsidRPr="009E686F" w:rsidRDefault="00984B34" w:rsidP="00984B34">
            <w:pPr>
              <w:jc w:val="both"/>
              <w:rPr>
                <w:rFonts w:ascii="Times New Roman" w:hAnsi="Times New Roman" w:cs="Times New Roman"/>
                <w:lang w:val="ro-RO"/>
              </w:rPr>
            </w:pPr>
          </w:p>
        </w:tc>
      </w:tr>
      <w:tr w:rsidR="00984B34" w:rsidRPr="009E686F" w14:paraId="18195AFB"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0CA6E627" w14:textId="279B3F62"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În cazul în care sunt necesare fonduri proprii suplimentare pentru abordarea riscului asociat folosirii excesive a efectului de levier care nu este acoperit suficient de articolul 92 alineatul (1) litera (d) din Regulamentul (UE) nr. 575/2013, autoritățile competente stabilesc nivelul fondurilor proprii suplimentare necesare în conformitate cu </w:t>
            </w:r>
            <w:r w:rsidRPr="009E686F">
              <w:rPr>
                <w:rFonts w:ascii="Times New Roman" w:hAnsi="Times New Roman" w:cs="Times New Roman"/>
                <w:lang w:val="ro-RO"/>
              </w:rPr>
              <w:lastRenderedPageBreak/>
              <w:t>alineatul (1) litera (a) de la prezentul articol ca diferența dintre capitalul considerat adecvat în temeiul alineatului (2) de la prezentul articol, cu excepția celui de al cincilea paragraf de la alineatul respectiv, și cerințele de fonduri proprii relevante prevăzute în părțile a treia și a șaptea din Regulamentul (UE) nr. 575/2013.</w:t>
            </w:r>
          </w:p>
          <w:p w14:paraId="476C6231" w14:textId="1572FE74" w:rsidR="00984B34" w:rsidRPr="009E686F" w:rsidRDefault="00984B34" w:rsidP="00984B34">
            <w:pPr>
              <w:spacing w:after="0"/>
              <w:jc w:val="both"/>
              <w:rPr>
                <w:rFonts w:ascii="Times New Roman" w:hAnsi="Times New Roman" w:cs="Times New Roman"/>
                <w:lang w:val="ro-RO"/>
              </w:rPr>
            </w:pPr>
          </w:p>
        </w:tc>
        <w:tc>
          <w:tcPr>
            <w:tcW w:w="1928" w:type="pct"/>
            <w:gridSpan w:val="3"/>
            <w:tcBorders>
              <w:top w:val="single" w:sz="4" w:space="0" w:color="auto"/>
              <w:left w:val="single" w:sz="4" w:space="0" w:color="auto"/>
              <w:bottom w:val="single" w:sz="4" w:space="0" w:color="auto"/>
              <w:right w:val="single" w:sz="4" w:space="0" w:color="auto"/>
            </w:tcBorders>
          </w:tcPr>
          <w:p w14:paraId="27A43F35" w14:textId="0048E5FC" w:rsidR="00984B34" w:rsidRPr="009E686F" w:rsidRDefault="00984B34" w:rsidP="00984B34">
            <w:pPr>
              <w:spacing w:after="0"/>
              <w:jc w:val="both"/>
              <w:rPr>
                <w:rFonts w:ascii="Times New Roman" w:hAnsi="Times New Roman" w:cs="Times New Roman"/>
                <w:b/>
                <w:i/>
                <w:lang w:val="ro-RO"/>
              </w:rPr>
            </w:pPr>
            <w:r w:rsidRPr="009E686F">
              <w:rPr>
                <w:rFonts w:ascii="Times New Roman" w:eastAsia="Aptos" w:hAnsi="Times New Roman" w:cs="Times New Roman"/>
                <w:i/>
                <w:iCs/>
                <w:kern w:val="2"/>
                <w:lang w:val="ro-MD"/>
              </w:rPr>
              <w:lastRenderedPageBreak/>
              <w:t>(11</w:t>
            </w:r>
            <w:r w:rsidRPr="009E686F">
              <w:rPr>
                <w:rFonts w:ascii="Times New Roman" w:eastAsia="Aptos" w:hAnsi="Times New Roman" w:cs="Times New Roman"/>
                <w:i/>
                <w:kern w:val="2"/>
                <w:lang w:val="ro-MD"/>
              </w:rPr>
              <w:t xml:space="preserve">) În cazul în care sunt necesare fonduri proprii suplimentare pentru abordarea riscului asociat folosirii excesive a efectului de levier care nu este acoperit suficient de indicatorul prevăzut de actele normative ale Băncii Naționale a Moldovei, Banca Națională a Moldovei stabilește nivelul fondurilor proprii suplimentare </w:t>
            </w:r>
            <w:r w:rsidR="00F64403" w:rsidRPr="009E686F">
              <w:rPr>
                <w:rFonts w:ascii="Times New Roman" w:eastAsia="Aptos" w:hAnsi="Times New Roman" w:cs="Times New Roman"/>
                <w:i/>
                <w:kern w:val="2"/>
                <w:lang w:val="ro-MD"/>
              </w:rPr>
              <w:t xml:space="preserve">în temeiul </w:t>
            </w:r>
            <w:r w:rsidRPr="009E686F">
              <w:rPr>
                <w:rFonts w:ascii="Times New Roman" w:eastAsia="Aptos" w:hAnsi="Times New Roman" w:cs="Times New Roman"/>
                <w:i/>
                <w:kern w:val="2"/>
                <w:lang w:val="ro-MD"/>
              </w:rPr>
              <w:t xml:space="preserve">alin. (1) lit. a) ca diferența dintre </w:t>
            </w:r>
            <w:r w:rsidRPr="009E686F">
              <w:rPr>
                <w:rFonts w:ascii="Times New Roman" w:eastAsia="Aptos" w:hAnsi="Times New Roman" w:cs="Times New Roman"/>
                <w:i/>
                <w:kern w:val="2"/>
                <w:lang w:val="ro-MD"/>
              </w:rPr>
              <w:lastRenderedPageBreak/>
              <w:t>capitalul considerat adecvat conform alin. (</w:t>
            </w:r>
            <w:r w:rsidR="00F64403" w:rsidRPr="009E686F">
              <w:rPr>
                <w:rFonts w:ascii="Times New Roman" w:eastAsia="Aptos" w:hAnsi="Times New Roman" w:cs="Times New Roman"/>
                <w:i/>
                <w:iCs/>
                <w:kern w:val="2"/>
                <w:lang w:val="ro-MD"/>
              </w:rPr>
              <w:t>6</w:t>
            </w:r>
            <w:r w:rsidRPr="009E686F">
              <w:rPr>
                <w:rFonts w:ascii="Times New Roman" w:eastAsia="Aptos" w:hAnsi="Times New Roman" w:cs="Times New Roman"/>
                <w:i/>
                <w:kern w:val="2"/>
                <w:lang w:val="ro-MD"/>
              </w:rPr>
              <w:t>)</w:t>
            </w:r>
            <w:r w:rsidR="00F64403" w:rsidRPr="009E686F">
              <w:rPr>
                <w:rFonts w:ascii="Times New Roman" w:eastAsia="Aptos" w:hAnsi="Times New Roman" w:cs="Times New Roman"/>
                <w:i/>
                <w:kern w:val="2"/>
                <w:lang w:val="ro-MD"/>
              </w:rPr>
              <w:t xml:space="preserve"> </w:t>
            </w:r>
            <w:r w:rsidRPr="009E686F">
              <w:rPr>
                <w:rFonts w:ascii="Times New Roman" w:eastAsia="Aptos" w:hAnsi="Times New Roman" w:cs="Times New Roman"/>
                <w:i/>
                <w:kern w:val="2"/>
                <w:lang w:val="ro-MD"/>
              </w:rPr>
              <w:t xml:space="preserve"> și cerințele de fonduri proprii relevante prevăzute în actele normative ale Băncii Naționale a Moldovei.</w:t>
            </w:r>
          </w:p>
        </w:tc>
        <w:tc>
          <w:tcPr>
            <w:tcW w:w="470" w:type="pct"/>
            <w:tcBorders>
              <w:top w:val="single" w:sz="4" w:space="0" w:color="auto"/>
              <w:left w:val="single" w:sz="4" w:space="0" w:color="auto"/>
              <w:bottom w:val="single" w:sz="4" w:space="0" w:color="auto"/>
              <w:right w:val="single" w:sz="4" w:space="0" w:color="auto"/>
            </w:tcBorders>
          </w:tcPr>
          <w:p w14:paraId="6319A660" w14:textId="6022C8D8"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6A108DB5" w14:textId="77777777" w:rsidR="00984B34" w:rsidRPr="009E686F" w:rsidRDefault="00984B34" w:rsidP="00984B34">
            <w:pPr>
              <w:jc w:val="both"/>
              <w:rPr>
                <w:rFonts w:ascii="Times New Roman" w:hAnsi="Times New Roman" w:cs="Times New Roman"/>
                <w:lang w:val="ro-RO"/>
              </w:rPr>
            </w:pPr>
          </w:p>
        </w:tc>
      </w:tr>
      <w:tr w:rsidR="00984B34" w:rsidRPr="009E686F" w14:paraId="589AFF72"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2303AB0D" w14:textId="21A0E18B"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(4)   Instituția îndeplinește cerința de fonduri proprii suplimentare impusă de autoritatea competentă în temeiul articolului 104 alineatul (1) litera (a) pentru abordarea altor riscuri decât riscul asociat folosirii excesive a efectului de levier cu fonduri proprii care îndeplinesc următoarele condiții:</w:t>
            </w:r>
          </w:p>
        </w:tc>
        <w:tc>
          <w:tcPr>
            <w:tcW w:w="1928" w:type="pct"/>
            <w:gridSpan w:val="3"/>
            <w:tcBorders>
              <w:top w:val="single" w:sz="4" w:space="0" w:color="auto"/>
              <w:left w:val="single" w:sz="4" w:space="0" w:color="auto"/>
              <w:bottom w:val="single" w:sz="4" w:space="0" w:color="auto"/>
              <w:right w:val="single" w:sz="4" w:space="0" w:color="auto"/>
            </w:tcBorders>
          </w:tcPr>
          <w:p w14:paraId="655BB97D" w14:textId="4606223A" w:rsidR="00984B34" w:rsidRPr="009E686F" w:rsidRDefault="00984B34" w:rsidP="00984B34">
            <w:pPr>
              <w:spacing w:after="0" w:line="278" w:lineRule="auto"/>
              <w:jc w:val="both"/>
              <w:rPr>
                <w:rFonts w:ascii="Times New Roman" w:eastAsia="Aptos" w:hAnsi="Times New Roman" w:cs="Times New Roman"/>
                <w:i/>
                <w:kern w:val="2"/>
                <w:lang w:val="ro-MD"/>
              </w:rPr>
            </w:pPr>
            <w:r w:rsidRPr="009E686F">
              <w:rPr>
                <w:rFonts w:ascii="Times New Roman" w:eastAsia="Aptos" w:hAnsi="Times New Roman" w:cs="Times New Roman"/>
                <w:i/>
                <w:iCs/>
                <w:kern w:val="2"/>
                <w:lang w:val="ro-MD"/>
              </w:rPr>
              <w:t>(10</w:t>
            </w:r>
            <w:r w:rsidRPr="009E686F">
              <w:rPr>
                <w:rFonts w:ascii="Times New Roman" w:eastAsia="Aptos" w:hAnsi="Times New Roman" w:cs="Times New Roman"/>
                <w:i/>
                <w:kern w:val="2"/>
                <w:lang w:val="ro-MD"/>
              </w:rPr>
              <w:t xml:space="preserve">) Cerința de fonduri proprii suplimentare impusă de Banca Națională a Moldovei </w:t>
            </w:r>
            <w:r w:rsidR="00F64403" w:rsidRPr="009E686F">
              <w:rPr>
                <w:rFonts w:ascii="Times New Roman" w:eastAsia="Aptos" w:hAnsi="Times New Roman" w:cs="Times New Roman"/>
                <w:i/>
                <w:kern w:val="2"/>
                <w:lang w:val="ro-MD"/>
              </w:rPr>
              <w:t xml:space="preserve">în temeiul </w:t>
            </w:r>
            <w:r w:rsidRPr="009E686F">
              <w:rPr>
                <w:rFonts w:ascii="Times New Roman" w:eastAsia="Aptos" w:hAnsi="Times New Roman" w:cs="Times New Roman"/>
                <w:i/>
                <w:kern w:val="2"/>
                <w:lang w:val="ro-MD"/>
              </w:rPr>
              <w:t>art. 139 alin. (3) lit. a) pentru abordarea altor riscuri decât riscul asociat folosirii excesive a efectului de levier se consideră a fi îndeplinită dacă fondurile proprii respective respectă următoarele condiţii:</w:t>
            </w:r>
          </w:p>
        </w:tc>
        <w:tc>
          <w:tcPr>
            <w:tcW w:w="470" w:type="pct"/>
            <w:tcBorders>
              <w:top w:val="single" w:sz="4" w:space="0" w:color="auto"/>
              <w:left w:val="single" w:sz="4" w:space="0" w:color="auto"/>
              <w:bottom w:val="single" w:sz="4" w:space="0" w:color="auto"/>
              <w:right w:val="single" w:sz="4" w:space="0" w:color="auto"/>
            </w:tcBorders>
          </w:tcPr>
          <w:p w14:paraId="0AE7E155" w14:textId="317FE7E0"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7CBC2316" w14:textId="77777777" w:rsidR="00984B34" w:rsidRPr="009E686F" w:rsidRDefault="00984B34" w:rsidP="00984B34">
            <w:pPr>
              <w:jc w:val="both"/>
              <w:rPr>
                <w:rFonts w:ascii="Times New Roman" w:hAnsi="Times New Roman" w:cs="Times New Roman"/>
                <w:lang w:val="ro-RO"/>
              </w:rPr>
            </w:pPr>
          </w:p>
        </w:tc>
      </w:tr>
      <w:tr w:rsidR="00984B34" w:rsidRPr="009E686F" w14:paraId="4FACA496"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2C25220D" w14:textId="73FBEA31"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(a) cel puțin trei sferturi din cerința de fonduri proprii suplimentare sunt îndeplinite cu fonduri proprii de nivel 1;</w:t>
            </w:r>
          </w:p>
        </w:tc>
        <w:tc>
          <w:tcPr>
            <w:tcW w:w="1928" w:type="pct"/>
            <w:gridSpan w:val="3"/>
            <w:tcBorders>
              <w:top w:val="single" w:sz="4" w:space="0" w:color="auto"/>
              <w:left w:val="single" w:sz="4" w:space="0" w:color="auto"/>
              <w:bottom w:val="single" w:sz="4" w:space="0" w:color="auto"/>
              <w:right w:val="single" w:sz="4" w:space="0" w:color="auto"/>
            </w:tcBorders>
          </w:tcPr>
          <w:p w14:paraId="0F29A0BC" w14:textId="792C6CD3" w:rsidR="00984B34" w:rsidRPr="009E686F" w:rsidRDefault="00984B34" w:rsidP="00984B34">
            <w:pPr>
              <w:spacing w:after="0" w:line="278" w:lineRule="auto"/>
              <w:jc w:val="both"/>
              <w:rPr>
                <w:rFonts w:ascii="Times New Roman" w:eastAsia="Aptos" w:hAnsi="Times New Roman" w:cs="Times New Roman"/>
                <w:i/>
                <w:kern w:val="2"/>
                <w:lang w:val="ro-MD"/>
              </w:rPr>
            </w:pPr>
            <w:r w:rsidRPr="009E686F">
              <w:rPr>
                <w:rFonts w:ascii="Times New Roman" w:eastAsia="Aptos" w:hAnsi="Times New Roman" w:cs="Times New Roman"/>
                <w:i/>
                <w:kern w:val="2"/>
                <w:lang w:val="ro-MD"/>
              </w:rPr>
              <w:t xml:space="preserve">a) cel puţin trei sferturi din cerinţa de fonduri proprii suplimentare sunt îndeplinite cu fonduri proprii de nivel 1; </w:t>
            </w:r>
          </w:p>
        </w:tc>
        <w:tc>
          <w:tcPr>
            <w:tcW w:w="470" w:type="pct"/>
            <w:tcBorders>
              <w:top w:val="single" w:sz="4" w:space="0" w:color="auto"/>
              <w:left w:val="single" w:sz="4" w:space="0" w:color="auto"/>
              <w:bottom w:val="single" w:sz="4" w:space="0" w:color="auto"/>
              <w:right w:val="single" w:sz="4" w:space="0" w:color="auto"/>
            </w:tcBorders>
          </w:tcPr>
          <w:p w14:paraId="4B0805C4" w14:textId="33CF3077"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0DD21642" w14:textId="77777777" w:rsidR="00984B34" w:rsidRPr="009E686F" w:rsidRDefault="00984B34" w:rsidP="00984B34">
            <w:pPr>
              <w:jc w:val="both"/>
              <w:rPr>
                <w:rFonts w:ascii="Times New Roman" w:hAnsi="Times New Roman" w:cs="Times New Roman"/>
                <w:lang w:val="ro-RO"/>
              </w:rPr>
            </w:pPr>
          </w:p>
        </w:tc>
      </w:tr>
      <w:tr w:rsidR="00984B34" w:rsidRPr="009E686F" w14:paraId="0FAF6DB0"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0327AE93" w14:textId="5BF4790C"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(b) cel puțin trei sferturi din fondurile proprii de nivel 1 menționate la litera (a) aspectele cantitative sunt constituite din fonduri proprii de nivel 1 de bază.</w:t>
            </w:r>
          </w:p>
        </w:tc>
        <w:tc>
          <w:tcPr>
            <w:tcW w:w="1928" w:type="pct"/>
            <w:gridSpan w:val="3"/>
            <w:tcBorders>
              <w:top w:val="single" w:sz="4" w:space="0" w:color="auto"/>
              <w:left w:val="single" w:sz="4" w:space="0" w:color="auto"/>
              <w:bottom w:val="single" w:sz="4" w:space="0" w:color="auto"/>
              <w:right w:val="single" w:sz="4" w:space="0" w:color="auto"/>
            </w:tcBorders>
          </w:tcPr>
          <w:p w14:paraId="35F47A30" w14:textId="1D99338D" w:rsidR="00984B34" w:rsidRPr="009E686F" w:rsidRDefault="00984B34" w:rsidP="00984B34">
            <w:pPr>
              <w:spacing w:after="0"/>
              <w:jc w:val="both"/>
              <w:rPr>
                <w:rFonts w:ascii="Times New Roman" w:hAnsi="Times New Roman" w:cs="Times New Roman"/>
                <w:b/>
                <w:i/>
                <w:lang w:val="ro-RO"/>
              </w:rPr>
            </w:pPr>
            <w:r w:rsidRPr="009E686F">
              <w:rPr>
                <w:rFonts w:ascii="Times New Roman" w:eastAsia="Aptos" w:hAnsi="Times New Roman" w:cs="Times New Roman"/>
                <w:i/>
                <w:kern w:val="2"/>
                <w:lang w:val="ro-MD"/>
              </w:rPr>
              <w:t>b) cel puţin trei sferturi din fondurile proprii de nivel 1 menţionate la litera (a) sunt constituite din fonduri proprii de nivel 1 de bază.</w:t>
            </w:r>
          </w:p>
        </w:tc>
        <w:tc>
          <w:tcPr>
            <w:tcW w:w="470" w:type="pct"/>
            <w:tcBorders>
              <w:top w:val="single" w:sz="4" w:space="0" w:color="auto"/>
              <w:left w:val="single" w:sz="4" w:space="0" w:color="auto"/>
              <w:bottom w:val="single" w:sz="4" w:space="0" w:color="auto"/>
              <w:right w:val="single" w:sz="4" w:space="0" w:color="auto"/>
            </w:tcBorders>
          </w:tcPr>
          <w:p w14:paraId="7F006631" w14:textId="2E8307B1"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4D5D4F13" w14:textId="77777777" w:rsidR="00984B34" w:rsidRPr="009E686F" w:rsidRDefault="00984B34" w:rsidP="00984B34">
            <w:pPr>
              <w:jc w:val="both"/>
              <w:rPr>
                <w:rFonts w:ascii="Times New Roman" w:hAnsi="Times New Roman" w:cs="Times New Roman"/>
                <w:lang w:val="ro-RO"/>
              </w:rPr>
            </w:pPr>
          </w:p>
        </w:tc>
      </w:tr>
      <w:tr w:rsidR="00984B34" w:rsidRPr="009E686F" w14:paraId="2D298755"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4DF8E639" w14:textId="3D4AA840"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Instituția îndeplinește cerința de fonduri proprii suplimentare impusă de autoritatea competentă în temeiul articolului 104 alineatul (1) litera (a) pentru abordarea riscului asociat folosirii excesive a efectului de levier cu fonduri proprii de nivel 1.</w:t>
            </w:r>
          </w:p>
        </w:tc>
        <w:tc>
          <w:tcPr>
            <w:tcW w:w="1928" w:type="pct"/>
            <w:gridSpan w:val="3"/>
            <w:tcBorders>
              <w:top w:val="single" w:sz="4" w:space="0" w:color="auto"/>
              <w:left w:val="single" w:sz="4" w:space="0" w:color="auto"/>
              <w:bottom w:val="single" w:sz="4" w:space="0" w:color="auto"/>
              <w:right w:val="single" w:sz="4" w:space="0" w:color="auto"/>
            </w:tcBorders>
          </w:tcPr>
          <w:p w14:paraId="3563BABA" w14:textId="517F97C5" w:rsidR="00984B34" w:rsidRPr="009E686F" w:rsidRDefault="00984B34" w:rsidP="00984B34">
            <w:pPr>
              <w:spacing w:after="0"/>
              <w:jc w:val="both"/>
              <w:rPr>
                <w:rFonts w:ascii="Times New Roman" w:hAnsi="Times New Roman" w:cs="Times New Roman"/>
                <w:b/>
                <w:i/>
                <w:lang w:val="ro-RO"/>
              </w:rPr>
            </w:pPr>
            <w:r w:rsidRPr="009E686F">
              <w:rPr>
                <w:rFonts w:ascii="Times New Roman" w:eastAsia="Aptos" w:hAnsi="Times New Roman" w:cs="Times New Roman"/>
                <w:i/>
                <w:iCs/>
                <w:kern w:val="2"/>
                <w:lang w:val="ro-MD"/>
              </w:rPr>
              <w:t>(12</w:t>
            </w:r>
            <w:r w:rsidRPr="009E686F">
              <w:rPr>
                <w:rFonts w:ascii="Times New Roman" w:eastAsia="Aptos" w:hAnsi="Times New Roman" w:cs="Times New Roman"/>
                <w:i/>
                <w:kern w:val="2"/>
                <w:lang w:val="ro-MD"/>
              </w:rPr>
              <w:t>) Cerința de fonduri proprii suplimentare impusă de Banca Națională a Moldovei</w:t>
            </w:r>
            <w:r w:rsidR="00F64403" w:rsidRPr="009E686F">
              <w:rPr>
                <w:rFonts w:ascii="Times New Roman" w:eastAsia="Aptos" w:hAnsi="Times New Roman" w:cs="Times New Roman"/>
                <w:i/>
                <w:kern w:val="2"/>
                <w:lang w:val="ro-MD"/>
              </w:rPr>
              <w:t xml:space="preserve"> în temeiul</w:t>
            </w:r>
            <w:r w:rsidRPr="009E686F">
              <w:rPr>
                <w:rFonts w:ascii="Times New Roman" w:eastAsia="Aptos" w:hAnsi="Times New Roman" w:cs="Times New Roman"/>
                <w:i/>
                <w:kern w:val="2"/>
                <w:lang w:val="ro-MD"/>
              </w:rPr>
              <w:t xml:space="preserve"> art. 139 alin. (3) lit. a) pentru abordarea riscului asociat folosirii excesive a efectului de levier se consideră a fi îndeplinită dacă fondurile proprii respective sunt fonduri proprii de nivel 1.</w:t>
            </w:r>
          </w:p>
        </w:tc>
        <w:tc>
          <w:tcPr>
            <w:tcW w:w="470" w:type="pct"/>
            <w:tcBorders>
              <w:top w:val="single" w:sz="4" w:space="0" w:color="auto"/>
              <w:left w:val="single" w:sz="4" w:space="0" w:color="auto"/>
              <w:bottom w:val="single" w:sz="4" w:space="0" w:color="auto"/>
              <w:right w:val="single" w:sz="4" w:space="0" w:color="auto"/>
            </w:tcBorders>
          </w:tcPr>
          <w:p w14:paraId="4DFF474A" w14:textId="73CAEF8F"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555EB3EE" w14:textId="77777777" w:rsidR="00984B34" w:rsidRPr="009E686F" w:rsidRDefault="00984B34" w:rsidP="00984B34">
            <w:pPr>
              <w:jc w:val="both"/>
              <w:rPr>
                <w:rFonts w:ascii="Times New Roman" w:hAnsi="Times New Roman" w:cs="Times New Roman"/>
                <w:lang w:val="ro-RO"/>
              </w:rPr>
            </w:pPr>
          </w:p>
        </w:tc>
      </w:tr>
      <w:tr w:rsidR="00984B34" w:rsidRPr="009E686F" w14:paraId="1CA65715"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183DC491" w14:textId="5E6AF801"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Prin derogare de la primul și al doilea paragraf, autoritatea competentă poate solicita instituției să își îndeplinească cerința de fonduri proprii suplimentare cu un procent mai ridicat de fonduri proprii de nivel 1 sau de fonduri proprii de nivel 1 de bază, atunci când este necesar și având în vedere circumstanțele specifice ale instituției.</w:t>
            </w:r>
          </w:p>
        </w:tc>
        <w:tc>
          <w:tcPr>
            <w:tcW w:w="1928" w:type="pct"/>
            <w:gridSpan w:val="3"/>
            <w:tcBorders>
              <w:top w:val="single" w:sz="4" w:space="0" w:color="auto"/>
              <w:left w:val="single" w:sz="4" w:space="0" w:color="auto"/>
              <w:bottom w:val="single" w:sz="4" w:space="0" w:color="auto"/>
              <w:right w:val="single" w:sz="4" w:space="0" w:color="auto"/>
            </w:tcBorders>
          </w:tcPr>
          <w:p w14:paraId="74FE1717" w14:textId="07ABABC6" w:rsidR="00984B34" w:rsidRPr="009E686F" w:rsidRDefault="00984B34" w:rsidP="00984B34">
            <w:pPr>
              <w:spacing w:after="0"/>
              <w:jc w:val="both"/>
              <w:rPr>
                <w:rFonts w:ascii="Times New Roman" w:hAnsi="Times New Roman" w:cs="Times New Roman"/>
                <w:b/>
                <w:i/>
                <w:lang w:val="ro-RO"/>
              </w:rPr>
            </w:pPr>
            <w:r w:rsidRPr="009E686F">
              <w:rPr>
                <w:rFonts w:ascii="Times New Roman" w:eastAsia="Aptos" w:hAnsi="Times New Roman" w:cs="Times New Roman"/>
                <w:i/>
                <w:iCs/>
                <w:kern w:val="2"/>
                <w:lang w:val="ro-MD"/>
              </w:rPr>
              <w:t>(13</w:t>
            </w:r>
            <w:r w:rsidRPr="009E686F">
              <w:rPr>
                <w:rFonts w:ascii="Times New Roman" w:eastAsia="Aptos" w:hAnsi="Times New Roman" w:cs="Times New Roman"/>
                <w:i/>
                <w:kern w:val="2"/>
                <w:lang w:val="ro-MD"/>
              </w:rPr>
              <w:t>) Prin derogare de la alin. (</w:t>
            </w:r>
            <w:r w:rsidRPr="009E686F">
              <w:rPr>
                <w:rFonts w:ascii="Times New Roman" w:eastAsia="Aptos" w:hAnsi="Times New Roman" w:cs="Times New Roman"/>
                <w:i/>
                <w:iCs/>
                <w:kern w:val="2"/>
                <w:lang w:val="ro-MD"/>
              </w:rPr>
              <w:t>9</w:t>
            </w:r>
            <w:r w:rsidRPr="009E686F">
              <w:rPr>
                <w:rFonts w:ascii="Times New Roman" w:eastAsia="Aptos" w:hAnsi="Times New Roman" w:cs="Times New Roman"/>
                <w:i/>
                <w:kern w:val="2"/>
                <w:lang w:val="ro-MD"/>
              </w:rPr>
              <w:t>) și (</w:t>
            </w:r>
            <w:r w:rsidRPr="009E686F">
              <w:rPr>
                <w:rFonts w:ascii="Times New Roman" w:eastAsia="Aptos" w:hAnsi="Times New Roman" w:cs="Times New Roman"/>
                <w:i/>
                <w:iCs/>
                <w:kern w:val="2"/>
                <w:lang w:val="ro-MD"/>
              </w:rPr>
              <w:t>11</w:t>
            </w:r>
            <w:r w:rsidRPr="009E686F">
              <w:rPr>
                <w:rFonts w:ascii="Times New Roman" w:eastAsia="Aptos" w:hAnsi="Times New Roman" w:cs="Times New Roman"/>
                <w:i/>
                <w:kern w:val="2"/>
                <w:lang w:val="ro-MD"/>
              </w:rPr>
              <w:t xml:space="preserve">), Banca Națională a Moldovei poate solicita instituției </w:t>
            </w:r>
            <w:r w:rsidRPr="009E686F">
              <w:rPr>
                <w:rFonts w:ascii="Times New Roman" w:eastAsia="Aptos" w:hAnsi="Times New Roman" w:cs="Times New Roman"/>
                <w:i/>
                <w:iCs/>
                <w:kern w:val="2"/>
                <w:lang w:val="ro-MD"/>
              </w:rPr>
              <w:t xml:space="preserve">de credit </w:t>
            </w:r>
            <w:r w:rsidRPr="009E686F">
              <w:rPr>
                <w:rFonts w:ascii="Times New Roman" w:eastAsia="Aptos" w:hAnsi="Times New Roman" w:cs="Times New Roman"/>
                <w:i/>
                <w:kern w:val="2"/>
                <w:lang w:val="ro-MD"/>
              </w:rPr>
              <w:t>să își îndeplinească cerinţa de fonduri proprii suplimentare cu un procent mai ridicat de fonduri proprii de nivel 1 sau de fonduri proprii de nivel 1 de bază, atunci când este necesar și având în vedere circumstanţele specifice ale instituţiei</w:t>
            </w:r>
            <w:r w:rsidRPr="009E686F">
              <w:rPr>
                <w:rFonts w:ascii="Times New Roman" w:eastAsia="Aptos" w:hAnsi="Times New Roman" w:cs="Times New Roman"/>
                <w:i/>
                <w:iCs/>
                <w:kern w:val="2"/>
                <w:lang w:val="ro-MD"/>
              </w:rPr>
              <w:t xml:space="preserve"> de credit</w:t>
            </w:r>
            <w:r w:rsidRPr="009E686F">
              <w:rPr>
                <w:rFonts w:ascii="Times New Roman" w:eastAsia="Aptos" w:hAnsi="Times New Roman" w:cs="Times New Roman"/>
                <w:i/>
                <w:kern w:val="2"/>
                <w:lang w:val="ro-MD"/>
              </w:rPr>
              <w:t>.</w:t>
            </w:r>
          </w:p>
        </w:tc>
        <w:tc>
          <w:tcPr>
            <w:tcW w:w="470" w:type="pct"/>
            <w:tcBorders>
              <w:top w:val="single" w:sz="4" w:space="0" w:color="auto"/>
              <w:left w:val="single" w:sz="4" w:space="0" w:color="auto"/>
              <w:bottom w:val="single" w:sz="4" w:space="0" w:color="auto"/>
              <w:right w:val="single" w:sz="4" w:space="0" w:color="auto"/>
            </w:tcBorders>
          </w:tcPr>
          <w:p w14:paraId="52C8C6AA" w14:textId="0C86BE6C"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7B7A4497" w14:textId="77777777" w:rsidR="00984B34" w:rsidRPr="009E686F" w:rsidRDefault="00984B34" w:rsidP="00984B34">
            <w:pPr>
              <w:jc w:val="both"/>
              <w:rPr>
                <w:rFonts w:ascii="Times New Roman" w:hAnsi="Times New Roman" w:cs="Times New Roman"/>
                <w:lang w:val="ro-RO"/>
              </w:rPr>
            </w:pPr>
          </w:p>
        </w:tc>
      </w:tr>
      <w:tr w:rsidR="00984B34" w:rsidRPr="009E686F" w14:paraId="43D344D8"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7FC8049D"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Fondurile proprii care sunt utilizate pentru îndeplinirea cerinței de fonduri proprii suplimentare prevăzute la </w:t>
            </w:r>
            <w:r w:rsidRPr="009E686F">
              <w:rPr>
                <w:rFonts w:ascii="Times New Roman" w:hAnsi="Times New Roman" w:cs="Times New Roman"/>
                <w:lang w:val="ro-RO"/>
              </w:rPr>
              <w:lastRenderedPageBreak/>
              <w:t>articolul 104 alineatul (1) litera (a) din prezenta directivă, impusă de autoritățile competente pentru abordarea altor riscuri decât riscul asociat folosirii excesive a efectului de levier, nu sunt utilizate în vederea respectării niciunuia dintre elementele următoare:</w:t>
            </w:r>
          </w:p>
          <w:p w14:paraId="37660940"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(a) cerințele de fonduri proprii prevăzute la articolul 92 alineatul (1) literele (a), (b) și (c) din Regulamentul (UE) nr. 575/2013;</w:t>
            </w:r>
          </w:p>
          <w:p w14:paraId="607DACCC"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(b) cerința amortizorului combinat;</w:t>
            </w:r>
          </w:p>
          <w:p w14:paraId="505AF210"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(c) orientările privind fondurile proprii suplimentare menționate la articolul 104b alineatul (3) din prezenta directivă, atunci când orientările respective abordează alte riscuri decât riscul asociat folosirii excesive a efectului de levier.</w:t>
            </w:r>
          </w:p>
          <w:p w14:paraId="4C05357D"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Fondurile proprii care sunt utilizate pentru îndeplinirea cerinței de fonduri proprii suplimentare prevăzute la articolul 104 alineatul (1) litera (a) din prezenta directivă, impusă de autoritățile competente pentru abordarea riscului asociat folosirii excesive a efectului de levier, care nu este acoperit suficient de articolul 92 alineatul (1) litera (d) din Regulamentul (UE) nr. 575/2013, nu sunt utilizate în vederea respectării niciunuia dintre elementele următoare:</w:t>
            </w:r>
          </w:p>
          <w:p w14:paraId="7EE1E8E7"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(a) cerința de fonduri proprii prevăzută la articolul 92 alineatul (1) litera (d) din Regulamentul (UE) nr. 575/2013;</w:t>
            </w:r>
          </w:p>
          <w:p w14:paraId="3BB0E6B8"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(b) cerința amortizorului pentru indicatorul efectului de levier menționată la articolul 92 alineatul (1a) din Regulamentul (UE) nr. 575/2013;</w:t>
            </w:r>
          </w:p>
          <w:p w14:paraId="7C7CFF00" w14:textId="0C9003FA"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(c) orientările privind fondurile proprii suplimentare menționate la articolul 104b alineatul (3) din prezenta directivă, atunci când orientările respective abordează riscul asociat folosirii excesive a efectului de levier.</w:t>
            </w:r>
          </w:p>
        </w:tc>
        <w:tc>
          <w:tcPr>
            <w:tcW w:w="1928" w:type="pct"/>
            <w:gridSpan w:val="3"/>
            <w:tcBorders>
              <w:top w:val="single" w:sz="4" w:space="0" w:color="auto"/>
              <w:left w:val="single" w:sz="4" w:space="0" w:color="auto"/>
              <w:bottom w:val="single" w:sz="4" w:space="0" w:color="auto"/>
              <w:right w:val="single" w:sz="4" w:space="0" w:color="auto"/>
            </w:tcBorders>
          </w:tcPr>
          <w:p w14:paraId="624F9138" w14:textId="0BF54D37" w:rsidR="00984B34" w:rsidRPr="009E686F" w:rsidRDefault="00984B34" w:rsidP="00984B34">
            <w:pPr>
              <w:spacing w:after="0"/>
              <w:jc w:val="both"/>
              <w:rPr>
                <w:rFonts w:ascii="Times New Roman" w:eastAsia="Aptos" w:hAnsi="Times New Roman" w:cs="Times New Roman"/>
                <w:b/>
                <w:bCs/>
                <w:kern w:val="2"/>
                <w:lang w:val="ro-MD"/>
              </w:rPr>
            </w:pPr>
            <w:r w:rsidRPr="009E686F">
              <w:rPr>
                <w:rFonts w:ascii="Times New Roman" w:eastAsia="Aptos" w:hAnsi="Times New Roman" w:cs="Times New Roman"/>
                <w:i/>
                <w:iCs/>
                <w:kern w:val="2"/>
                <w:lang w:val="ro-MD"/>
              </w:rPr>
              <w:lastRenderedPageBreak/>
              <w:t xml:space="preserve">(14) Cazurile în care fondurile proprii utilizate pentru îndeplinirea cerinței de fonduri proprii suplimentare potrivit </w:t>
            </w:r>
            <w:r w:rsidRPr="009E686F">
              <w:rPr>
                <w:rFonts w:ascii="Times New Roman" w:eastAsia="Aptos" w:hAnsi="Times New Roman" w:cs="Times New Roman"/>
                <w:i/>
                <w:iCs/>
                <w:kern w:val="2"/>
                <w:lang w:val="ro-MD"/>
              </w:rPr>
              <w:lastRenderedPageBreak/>
              <w:t xml:space="preserve">art. 139 alin. (3) lit. a) pentru abordarea riscului asociat folosirii excesive a efectului de levier </w:t>
            </w:r>
            <w:r w:rsidRPr="009E686F">
              <w:rPr>
                <w:rFonts w:ascii="Times New Roman" w:eastAsia="Aptos" w:hAnsi="Times New Roman" w:cs="Times New Roman"/>
                <w:i/>
                <w:iCs/>
                <w:kern w:val="2"/>
                <w:lang w:val="ro-RO"/>
              </w:rPr>
              <w:t xml:space="preserve">și </w:t>
            </w:r>
            <w:r w:rsidRPr="009E686F">
              <w:rPr>
                <w:rFonts w:ascii="Times New Roman" w:eastAsia="Aptos" w:hAnsi="Times New Roman" w:cs="Times New Roman"/>
                <w:i/>
                <w:iCs/>
                <w:kern w:val="2"/>
                <w:lang w:val="ro-MD"/>
              </w:rPr>
              <w:t>altor riscuri decât riscul asociat folosirii excesive a efectului de levier nu pot fi folosite pentru respectarea altor cerințe se stabilesc prin actele normative ale Băncii Naționale a Moldovei.</w:t>
            </w:r>
          </w:p>
        </w:tc>
        <w:tc>
          <w:tcPr>
            <w:tcW w:w="470" w:type="pct"/>
            <w:tcBorders>
              <w:top w:val="single" w:sz="4" w:space="0" w:color="auto"/>
              <w:left w:val="single" w:sz="4" w:space="0" w:color="auto"/>
              <w:bottom w:val="single" w:sz="4" w:space="0" w:color="auto"/>
              <w:right w:val="single" w:sz="4" w:space="0" w:color="auto"/>
            </w:tcBorders>
          </w:tcPr>
          <w:p w14:paraId="2182F2AE" w14:textId="3F0772DE"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720BA3DE" w14:textId="41A4ED3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Transpunerea totală se va asigura prin proiectul de </w:t>
            </w:r>
            <w:r w:rsidRPr="009E686F">
              <w:rPr>
                <w:rFonts w:ascii="Times New Roman" w:hAnsi="Times New Roman" w:cs="Times New Roman"/>
                <w:lang w:val="ro-RO"/>
              </w:rPr>
              <w:lastRenderedPageBreak/>
              <w:t>modificare a Regulamentului nr. 109/2018 cu privire la</w:t>
            </w:r>
          </w:p>
          <w:p w14:paraId="37A4AED0" w14:textId="439A7302"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fondurile proprii ale băncilor şi cerinţele de capital</w:t>
            </w:r>
          </w:p>
        </w:tc>
      </w:tr>
      <w:tr w:rsidR="00984B34" w:rsidRPr="009E686F" w14:paraId="4246B0FA"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5B3C68FA" w14:textId="743EA7A5"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lastRenderedPageBreak/>
              <w:t xml:space="preserve">  Autoritatea competentă justifică în scris în mod corespunzător fiecărei instituții decizia de a impune o cerință de fonduri proprii suplimentare în temeiul articolului 104 alineatul (1) litera (a), cel puțin prin descrierea clară a evaluării complete a elementelor menționate la alineatele (1)-(4) de la prezentul articol. Respectiva justificare include, în cazul prevăzut la prezentul articol alineatul (1) litera (e), o expunere explicită a motivelor pentru care impunerea de orientări privind fondurile proprii suplimentare nu mai este considerată suficientă.</w:t>
            </w:r>
          </w:p>
        </w:tc>
        <w:tc>
          <w:tcPr>
            <w:tcW w:w="1928" w:type="pct"/>
            <w:gridSpan w:val="3"/>
            <w:tcBorders>
              <w:top w:val="single" w:sz="4" w:space="0" w:color="auto"/>
              <w:left w:val="single" w:sz="4" w:space="0" w:color="auto"/>
              <w:bottom w:val="single" w:sz="4" w:space="0" w:color="auto"/>
              <w:right w:val="single" w:sz="4" w:space="0" w:color="auto"/>
            </w:tcBorders>
          </w:tcPr>
          <w:p w14:paraId="4857937F" w14:textId="5FE97963" w:rsidR="00984B34" w:rsidRPr="009E686F" w:rsidRDefault="00984B34" w:rsidP="00984B34">
            <w:pPr>
              <w:spacing w:after="0"/>
              <w:jc w:val="both"/>
              <w:rPr>
                <w:rFonts w:ascii="Times New Roman" w:hAnsi="Times New Roman" w:cs="Times New Roman"/>
                <w:b/>
                <w:i/>
                <w:lang w:val="ro-RO"/>
              </w:rPr>
            </w:pPr>
            <w:r w:rsidRPr="009E686F">
              <w:rPr>
                <w:rFonts w:ascii="Times New Roman" w:eastAsia="Aptos" w:hAnsi="Times New Roman" w:cs="Times New Roman"/>
                <w:i/>
                <w:iCs/>
                <w:kern w:val="2"/>
                <w:lang w:val="ro-MD"/>
              </w:rPr>
              <w:t>(3</w:t>
            </w:r>
            <w:r w:rsidRPr="009E686F">
              <w:rPr>
                <w:rFonts w:ascii="Times New Roman" w:eastAsia="Aptos" w:hAnsi="Times New Roman" w:cs="Times New Roman"/>
                <w:i/>
                <w:kern w:val="2"/>
                <w:lang w:val="ro-MD"/>
              </w:rPr>
              <w:t xml:space="preserve">) Decizia scrisă a Băncii Naționale a Moldovei prin care impune o cerință de fonduri proprii suplimentare potrivit alin. (1) lit a), se motivează în mod corespunzător fiecărei </w:t>
            </w:r>
            <w:r w:rsidRPr="009E686F">
              <w:rPr>
                <w:rFonts w:ascii="Times New Roman" w:eastAsia="Aptos" w:hAnsi="Times New Roman" w:cs="Times New Roman"/>
                <w:i/>
                <w:iCs/>
                <w:kern w:val="2"/>
                <w:lang w:val="ro-MD"/>
              </w:rPr>
              <w:t>instituții de credit</w:t>
            </w:r>
            <w:r w:rsidRPr="009E686F">
              <w:rPr>
                <w:rFonts w:ascii="Times New Roman" w:eastAsia="Aptos" w:hAnsi="Times New Roman" w:cs="Times New Roman"/>
                <w:i/>
                <w:kern w:val="2"/>
                <w:lang w:val="ro-MD"/>
              </w:rPr>
              <w:t>, cel puţin prin descrierea clară a evaluării complete a elementelor menţionate la prezentul articol, iar în cazul prevăzut la alin. (1) lit</w:t>
            </w:r>
            <w:r w:rsidR="00F64403" w:rsidRPr="009E686F">
              <w:rPr>
                <w:rFonts w:ascii="Times New Roman" w:eastAsia="Aptos" w:hAnsi="Times New Roman" w:cs="Times New Roman"/>
                <w:i/>
                <w:kern w:val="2"/>
                <w:lang w:val="ro-MD"/>
              </w:rPr>
              <w:t>.</w:t>
            </w:r>
            <w:r w:rsidRPr="009E686F">
              <w:rPr>
                <w:rFonts w:ascii="Times New Roman" w:eastAsia="Aptos" w:hAnsi="Times New Roman" w:cs="Times New Roman"/>
                <w:i/>
                <w:kern w:val="2"/>
                <w:lang w:val="ro-MD"/>
              </w:rPr>
              <w:t xml:space="preserve"> e), prin expunerea explicită a motivelor pentru care impunerea de orientări privind fondurile proprii suplimentare nu mai este considerată suficientă.</w:t>
            </w:r>
          </w:p>
        </w:tc>
        <w:tc>
          <w:tcPr>
            <w:tcW w:w="470" w:type="pct"/>
            <w:tcBorders>
              <w:top w:val="single" w:sz="4" w:space="0" w:color="auto"/>
              <w:left w:val="single" w:sz="4" w:space="0" w:color="auto"/>
              <w:bottom w:val="single" w:sz="4" w:space="0" w:color="auto"/>
              <w:right w:val="single" w:sz="4" w:space="0" w:color="auto"/>
            </w:tcBorders>
          </w:tcPr>
          <w:p w14:paraId="62C24A79" w14:textId="2F667F0E"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52AFEDE8" w14:textId="77777777" w:rsidR="00984B34" w:rsidRPr="009E686F" w:rsidRDefault="00984B34" w:rsidP="00984B34">
            <w:pPr>
              <w:jc w:val="both"/>
              <w:rPr>
                <w:rFonts w:ascii="Times New Roman" w:hAnsi="Times New Roman" w:cs="Times New Roman"/>
                <w:lang w:val="ro-RO"/>
              </w:rPr>
            </w:pPr>
          </w:p>
        </w:tc>
      </w:tr>
      <w:tr w:rsidR="00984B34" w:rsidRPr="009E686F" w14:paraId="4B1BF6B4"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79F508D1"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(6) În cazul în care o instituție intră sub incidența pragului privind cerințele de capital prevăzut la articolul 92 alineatul (3) din Regulamentul (UE) nr. 575/2013, se aplică următoarele:</w:t>
            </w:r>
          </w:p>
          <w:p w14:paraId="5803D0D5"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(a) valoarea nominală a fondurilor proprii suplimentare solicitate de autoritatea competentă a instituției în conformitate cu articolul 104 alineatul (1) litera (a) pentru a aborda alte riscuri decât riscul asociat folosirii excesive a efectului de levier nu trebuie să crească ca urmare a faptului că instituția intră sub incidența pragului privind cerințele de capital;</w:t>
            </w:r>
          </w:p>
          <w:p w14:paraId="256F730B"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(b) autoritatea competentă a instituției examinează, fără întârziere și în orice caz cel târziu la data încheierii următorului proces de supraveghere și evaluare, fondurile proprii suplimentare pe care le-a solicitat instituției în conformitate cu articolul 104 alineatul (1) litera (a) și elimină orice parte a acestora care ar duce la dubla contabilizare a riscurilor care sunt deja acoperite integral prin faptul că instituția intră sub incidența pragului privind cerințele de capital;</w:t>
            </w:r>
          </w:p>
          <w:p w14:paraId="3BC21573" w14:textId="3F9D238B"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lastRenderedPageBreak/>
              <w:t>(c) de îndată ce autoritatea competentă a finalizat examinarea menționată la litera (b) de la prezentul paragraf, litera (a) de la prezentul paragraf nu se mai aplică.</w:t>
            </w:r>
          </w:p>
        </w:tc>
        <w:tc>
          <w:tcPr>
            <w:tcW w:w="1928" w:type="pct"/>
            <w:gridSpan w:val="3"/>
            <w:tcBorders>
              <w:top w:val="single" w:sz="4" w:space="0" w:color="auto"/>
              <w:left w:val="single" w:sz="4" w:space="0" w:color="auto"/>
              <w:bottom w:val="single" w:sz="4" w:space="0" w:color="auto"/>
              <w:right w:val="single" w:sz="4" w:space="0" w:color="auto"/>
            </w:tcBorders>
          </w:tcPr>
          <w:p w14:paraId="5F04FA3D" w14:textId="77777777" w:rsidR="00984B34" w:rsidRPr="009E686F" w:rsidRDefault="00984B34" w:rsidP="00391E67">
            <w:pPr>
              <w:spacing w:after="0" w:line="240" w:lineRule="auto"/>
              <w:jc w:val="both"/>
              <w:rPr>
                <w:rFonts w:ascii="Times New Roman" w:eastAsia="Aptos" w:hAnsi="Times New Roman" w:cs="Times New Roman"/>
                <w:i/>
                <w:kern w:val="2"/>
                <w:lang w:val="ro-MD"/>
              </w:rPr>
            </w:pPr>
            <w:bookmarkStart w:id="38" w:name="_Hlk215571753"/>
            <w:r w:rsidRPr="009E686F">
              <w:rPr>
                <w:rFonts w:ascii="Times New Roman" w:eastAsia="Aptos" w:hAnsi="Times New Roman" w:cs="Times New Roman"/>
                <w:b/>
                <w:bCs/>
                <w:kern w:val="2"/>
                <w:lang w:val="ro-MD"/>
              </w:rPr>
              <w:lastRenderedPageBreak/>
              <w:t>Articolul 139</w:t>
            </w:r>
            <w:r w:rsidRPr="009E686F">
              <w:rPr>
                <w:rFonts w:ascii="Times New Roman" w:eastAsia="Aptos" w:hAnsi="Times New Roman" w:cs="Times New Roman"/>
                <w:b/>
                <w:bCs/>
                <w:kern w:val="2"/>
                <w:vertAlign w:val="superscript"/>
                <w:lang w:val="ro-MD"/>
              </w:rPr>
              <w:t>2</w:t>
            </w:r>
            <w:r w:rsidRPr="009E686F">
              <w:rPr>
                <w:rFonts w:ascii="Times New Roman" w:eastAsia="Aptos" w:hAnsi="Times New Roman" w:cs="Times New Roman"/>
                <w:b/>
                <w:bCs/>
                <w:kern w:val="2"/>
                <w:lang w:val="ro-MD"/>
              </w:rPr>
              <w:t>.</w:t>
            </w:r>
            <w:r w:rsidRPr="009E686F">
              <w:rPr>
                <w:rFonts w:ascii="Times New Roman" w:eastAsia="Aptos" w:hAnsi="Times New Roman" w:cs="Times New Roman"/>
                <w:i/>
                <w:kern w:val="2"/>
                <w:lang w:val="ro-MD"/>
              </w:rPr>
              <w:t xml:space="preserve"> Aplicarea pragului privind cerințele de capital</w:t>
            </w:r>
          </w:p>
          <w:bookmarkEnd w:id="38"/>
          <w:p w14:paraId="5D00EA5F" w14:textId="61443DCC" w:rsidR="00984B34" w:rsidRPr="009E686F" w:rsidRDefault="00984B34" w:rsidP="00391E67">
            <w:pPr>
              <w:spacing w:after="0" w:line="240" w:lineRule="auto"/>
              <w:jc w:val="both"/>
              <w:rPr>
                <w:rFonts w:ascii="Times New Roman" w:eastAsia="Aptos" w:hAnsi="Times New Roman" w:cs="Times New Roman"/>
                <w:i/>
                <w:kern w:val="2"/>
                <w:lang w:val="ro-MD"/>
              </w:rPr>
            </w:pPr>
            <w:r w:rsidRPr="009E686F">
              <w:rPr>
                <w:rFonts w:ascii="Times New Roman" w:eastAsia="Aptos" w:hAnsi="Times New Roman" w:cs="Times New Roman"/>
                <w:i/>
                <w:kern w:val="2"/>
                <w:lang w:val="ro-MD"/>
              </w:rPr>
              <w:t xml:space="preserve">(1) În cazul în care o </w:t>
            </w:r>
            <w:r w:rsidRPr="009E686F">
              <w:rPr>
                <w:rFonts w:ascii="Times New Roman" w:eastAsia="Aptos" w:hAnsi="Times New Roman" w:cs="Times New Roman"/>
                <w:i/>
                <w:iCs/>
                <w:kern w:val="2"/>
                <w:lang w:val="ro-MD"/>
              </w:rPr>
              <w:t>instituție de credit</w:t>
            </w:r>
            <w:r w:rsidRPr="009E686F">
              <w:rPr>
                <w:rFonts w:ascii="Times New Roman" w:eastAsia="Aptos" w:hAnsi="Times New Roman" w:cs="Times New Roman"/>
                <w:i/>
                <w:kern w:val="2"/>
                <w:lang w:val="ro-MD"/>
              </w:rPr>
              <w:t xml:space="preserve"> intră sub incidența pragului privind cerințele de capital</w:t>
            </w:r>
            <w:r w:rsidRPr="009E686F">
              <w:rPr>
                <w:rFonts w:ascii="Times New Roman" w:eastAsia="Aptos" w:hAnsi="Times New Roman" w:cs="Times New Roman"/>
                <w:i/>
                <w:iCs/>
                <w:kern w:val="2"/>
                <w:lang w:val="ro-MD"/>
              </w:rPr>
              <w:t xml:space="preserve"> la utilizarea abordărilor bazate pe modele interne</w:t>
            </w:r>
            <w:r w:rsidRPr="009E686F">
              <w:rPr>
                <w:rFonts w:ascii="Times New Roman" w:eastAsia="Aptos" w:hAnsi="Times New Roman" w:cs="Times New Roman"/>
                <w:i/>
                <w:kern w:val="2"/>
                <w:lang w:val="ro-MD"/>
              </w:rPr>
              <w:t>, astfel cum este prevăzut de actele normative emise în aplicarea prezentei legi, se aplică următoarele:</w:t>
            </w:r>
          </w:p>
          <w:p w14:paraId="6CE115E9" w14:textId="77777777" w:rsidR="00984B34" w:rsidRPr="009E686F" w:rsidRDefault="00984B34" w:rsidP="00391E67">
            <w:pPr>
              <w:spacing w:after="0" w:line="240" w:lineRule="auto"/>
              <w:jc w:val="both"/>
              <w:rPr>
                <w:rFonts w:ascii="Times New Roman" w:eastAsia="Aptos" w:hAnsi="Times New Roman" w:cs="Times New Roman"/>
                <w:i/>
                <w:iCs/>
                <w:kern w:val="2"/>
                <w:lang w:val="ro-MD"/>
              </w:rPr>
            </w:pPr>
            <w:r w:rsidRPr="009E686F">
              <w:rPr>
                <w:rFonts w:ascii="Times New Roman" w:eastAsia="Aptos" w:hAnsi="Times New Roman" w:cs="Times New Roman"/>
                <w:i/>
                <w:kern w:val="2"/>
                <w:lang w:val="ro-MD"/>
              </w:rPr>
              <w:t xml:space="preserve">a) valoarea nominală a fondurilor proprii suplimentare solicitate de Banca Națională a Moldovei </w:t>
            </w:r>
            <w:r w:rsidRPr="009E686F">
              <w:rPr>
                <w:rFonts w:ascii="Times New Roman" w:eastAsia="Aptos" w:hAnsi="Times New Roman" w:cs="Times New Roman"/>
                <w:i/>
                <w:iCs/>
                <w:kern w:val="2"/>
                <w:lang w:val="ro-MD"/>
              </w:rPr>
              <w:t>instituției de credit</w:t>
            </w:r>
            <w:r w:rsidRPr="009E686F">
              <w:rPr>
                <w:rFonts w:ascii="Times New Roman" w:eastAsia="Aptos" w:hAnsi="Times New Roman" w:cs="Times New Roman"/>
                <w:i/>
                <w:kern w:val="2"/>
                <w:lang w:val="ro-MD"/>
              </w:rPr>
              <w:t xml:space="preserve"> în conformitate cu art. 139</w:t>
            </w:r>
            <w:r w:rsidRPr="009E686F">
              <w:rPr>
                <w:rFonts w:ascii="Times New Roman" w:eastAsia="Aptos" w:hAnsi="Times New Roman" w:cs="Times New Roman"/>
                <w:i/>
                <w:kern w:val="2"/>
                <w:vertAlign w:val="superscript"/>
                <w:lang w:val="ro-MD"/>
              </w:rPr>
              <w:t>1</w:t>
            </w:r>
            <w:r w:rsidRPr="009E686F">
              <w:rPr>
                <w:rFonts w:ascii="Times New Roman" w:eastAsia="Aptos" w:hAnsi="Times New Roman" w:cs="Times New Roman"/>
                <w:i/>
                <w:kern w:val="2"/>
                <w:lang w:val="ro-MD"/>
              </w:rPr>
              <w:t xml:space="preserve"> alin. (1) lit. a), pentru a aborda alte riscuri decât riscul asociat folosirii excesive a efectului de levier nu trebuie să crească ca urmare a faptului că </w:t>
            </w:r>
            <w:r w:rsidRPr="009E686F">
              <w:rPr>
                <w:rFonts w:ascii="Times New Roman" w:eastAsia="Aptos" w:hAnsi="Times New Roman" w:cs="Times New Roman"/>
                <w:i/>
                <w:iCs/>
                <w:kern w:val="2"/>
                <w:lang w:val="ro-MD"/>
              </w:rPr>
              <w:t>instituția de credit</w:t>
            </w:r>
            <w:r w:rsidRPr="009E686F">
              <w:rPr>
                <w:rFonts w:ascii="Times New Roman" w:eastAsia="Aptos" w:hAnsi="Times New Roman" w:cs="Times New Roman"/>
                <w:i/>
                <w:kern w:val="2"/>
                <w:lang w:val="ro-MD"/>
              </w:rPr>
              <w:t xml:space="preserve"> intră sub incidența pragului privind cerințele de capital;</w:t>
            </w:r>
          </w:p>
          <w:p w14:paraId="45D97663" w14:textId="03CD6904" w:rsidR="00984B34" w:rsidRPr="009E686F" w:rsidRDefault="00984B34" w:rsidP="00391E67">
            <w:pPr>
              <w:spacing w:after="0" w:line="240" w:lineRule="auto"/>
              <w:jc w:val="both"/>
              <w:rPr>
                <w:rFonts w:ascii="Times New Roman" w:eastAsia="Aptos" w:hAnsi="Times New Roman" w:cs="Times New Roman"/>
                <w:i/>
                <w:kern w:val="2"/>
                <w:lang w:val="ro-MD"/>
              </w:rPr>
            </w:pPr>
            <w:r w:rsidRPr="009E686F">
              <w:rPr>
                <w:rFonts w:ascii="Times New Roman" w:eastAsia="Aptos" w:hAnsi="Times New Roman" w:cs="Times New Roman"/>
                <w:i/>
                <w:kern w:val="2"/>
                <w:lang w:val="ro-MD"/>
              </w:rPr>
              <w:t xml:space="preserve">b) Banca Națională a Moldovei examinează, fără întârziere și în orice caz cel târziu la data încheierii următorului proces de supraveghere și evaluare, fondurile proprii suplimentare pe care le-a solicitat </w:t>
            </w:r>
            <w:r w:rsidRPr="009E686F">
              <w:rPr>
                <w:rFonts w:ascii="Times New Roman" w:eastAsia="Aptos" w:hAnsi="Times New Roman" w:cs="Times New Roman"/>
                <w:i/>
                <w:iCs/>
                <w:kern w:val="2"/>
                <w:lang w:val="ro-MD"/>
              </w:rPr>
              <w:t>instituției de credit</w:t>
            </w:r>
            <w:r w:rsidRPr="009E686F">
              <w:rPr>
                <w:rFonts w:ascii="Times New Roman" w:eastAsia="Aptos" w:hAnsi="Times New Roman" w:cs="Times New Roman"/>
                <w:i/>
                <w:kern w:val="2"/>
                <w:lang w:val="ro-MD"/>
              </w:rPr>
              <w:t xml:space="preserve"> în </w:t>
            </w:r>
            <w:r w:rsidR="00F64403" w:rsidRPr="009E686F">
              <w:rPr>
                <w:rFonts w:ascii="Times New Roman" w:eastAsia="Aptos" w:hAnsi="Times New Roman" w:cs="Times New Roman"/>
                <w:i/>
                <w:kern w:val="2"/>
                <w:lang w:val="ro-MD"/>
              </w:rPr>
              <w:t xml:space="preserve">temeiul </w:t>
            </w:r>
            <w:r w:rsidRPr="009E686F">
              <w:rPr>
                <w:rFonts w:ascii="Times New Roman" w:eastAsia="Aptos" w:hAnsi="Times New Roman" w:cs="Times New Roman"/>
                <w:i/>
                <w:kern w:val="2"/>
                <w:lang w:val="ro-MD"/>
              </w:rPr>
              <w:t>art. 139</w:t>
            </w:r>
            <w:r w:rsidRPr="009E686F">
              <w:rPr>
                <w:rFonts w:ascii="Times New Roman" w:eastAsia="Aptos" w:hAnsi="Times New Roman" w:cs="Times New Roman"/>
                <w:i/>
                <w:kern w:val="2"/>
                <w:vertAlign w:val="superscript"/>
                <w:lang w:val="ro-MD"/>
              </w:rPr>
              <w:t>1</w:t>
            </w:r>
            <w:r w:rsidRPr="009E686F">
              <w:rPr>
                <w:rFonts w:ascii="Times New Roman" w:eastAsia="Aptos" w:hAnsi="Times New Roman" w:cs="Times New Roman"/>
                <w:i/>
                <w:kern w:val="2"/>
                <w:lang w:val="ro-MD"/>
              </w:rPr>
              <w:t xml:space="preserve"> alin. (1) lit. a) și elimină orice parte a acestora care ar duce la dubla contabilizare a riscurilor care sunt deja acoperite integral prin faptul că </w:t>
            </w:r>
            <w:r w:rsidRPr="009E686F">
              <w:rPr>
                <w:rFonts w:ascii="Times New Roman" w:eastAsia="Aptos" w:hAnsi="Times New Roman" w:cs="Times New Roman"/>
                <w:i/>
                <w:iCs/>
                <w:kern w:val="2"/>
                <w:lang w:val="ro-MD"/>
              </w:rPr>
              <w:t>instituția de credit</w:t>
            </w:r>
            <w:r w:rsidRPr="009E686F">
              <w:rPr>
                <w:rFonts w:ascii="Times New Roman" w:eastAsia="Aptos" w:hAnsi="Times New Roman" w:cs="Times New Roman"/>
                <w:i/>
                <w:kern w:val="2"/>
                <w:lang w:val="ro-MD"/>
              </w:rPr>
              <w:t xml:space="preserve"> intră sub incidența pragului privind cerințele de capital;</w:t>
            </w:r>
          </w:p>
          <w:p w14:paraId="493F3DA9" w14:textId="429F92F9" w:rsidR="00984B34" w:rsidRPr="009E686F" w:rsidRDefault="00984B34" w:rsidP="00391E67">
            <w:pPr>
              <w:spacing w:after="0" w:line="240" w:lineRule="auto"/>
              <w:jc w:val="both"/>
              <w:rPr>
                <w:rFonts w:ascii="Times New Roman" w:hAnsi="Times New Roman" w:cs="Times New Roman"/>
                <w:b/>
                <w:i/>
                <w:lang w:val="ro-RO"/>
              </w:rPr>
            </w:pPr>
            <w:r w:rsidRPr="009E686F">
              <w:rPr>
                <w:rFonts w:ascii="Times New Roman" w:eastAsia="Aptos" w:hAnsi="Times New Roman" w:cs="Times New Roman"/>
                <w:i/>
                <w:kern w:val="2"/>
                <w:lang w:val="ro-MD"/>
              </w:rPr>
              <w:t>c) imediat ce Banca Națională a Moldovei a finalizat examinarea menționată la lit. b), lit. a) nu se mai aplică</w:t>
            </w:r>
          </w:p>
        </w:tc>
        <w:tc>
          <w:tcPr>
            <w:tcW w:w="470" w:type="pct"/>
            <w:tcBorders>
              <w:top w:val="single" w:sz="4" w:space="0" w:color="auto"/>
              <w:left w:val="single" w:sz="4" w:space="0" w:color="auto"/>
              <w:bottom w:val="single" w:sz="4" w:space="0" w:color="auto"/>
              <w:right w:val="single" w:sz="4" w:space="0" w:color="auto"/>
            </w:tcBorders>
          </w:tcPr>
          <w:p w14:paraId="1A2D587C" w14:textId="0A251840"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58A84996" w14:textId="77777777" w:rsidR="00984B34" w:rsidRPr="009E686F" w:rsidRDefault="00984B34" w:rsidP="00984B34">
            <w:pPr>
              <w:jc w:val="both"/>
              <w:rPr>
                <w:rFonts w:ascii="Times New Roman" w:hAnsi="Times New Roman" w:cs="Times New Roman"/>
                <w:lang w:val="ro-RO"/>
              </w:rPr>
            </w:pPr>
          </w:p>
        </w:tc>
      </w:tr>
      <w:tr w:rsidR="00984B34" w:rsidRPr="009E686F" w14:paraId="131434A0"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411C315C" w14:textId="4F57A1A6"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În sensul prezentului articol și al articolelor 131 și 133 din prezenta directivă, se consideră că o instituție intră sub incidența pragului privind cerințele de capital atunci când cuantumul total al expunerii la risc al instituției, calculat în conformitate cu articolul 92 alineatul (3) primul paragraf din Regulamentul (UE) nr. 575/2013, depășește cuantumul total al expunerii la risc fără aplicarea pragului calculat în conformitate cu articolul 92 alineatul (4) din regulamentul respectiv.</w:t>
            </w:r>
          </w:p>
        </w:tc>
        <w:tc>
          <w:tcPr>
            <w:tcW w:w="1928" w:type="pct"/>
            <w:gridSpan w:val="3"/>
            <w:tcBorders>
              <w:top w:val="single" w:sz="4" w:space="0" w:color="auto"/>
              <w:left w:val="single" w:sz="4" w:space="0" w:color="auto"/>
              <w:bottom w:val="single" w:sz="4" w:space="0" w:color="auto"/>
              <w:right w:val="single" w:sz="4" w:space="0" w:color="auto"/>
            </w:tcBorders>
          </w:tcPr>
          <w:p w14:paraId="68AF9034"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323C170C" w14:textId="41767000"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netranspuse</w:t>
            </w:r>
          </w:p>
        </w:tc>
        <w:tc>
          <w:tcPr>
            <w:tcW w:w="806" w:type="pct"/>
            <w:tcBorders>
              <w:top w:val="single" w:sz="4" w:space="0" w:color="auto"/>
              <w:left w:val="single" w:sz="4" w:space="0" w:color="auto"/>
              <w:bottom w:val="single" w:sz="4" w:space="0" w:color="auto"/>
              <w:right w:val="single" w:sz="4" w:space="0" w:color="auto"/>
            </w:tcBorders>
          </w:tcPr>
          <w:p w14:paraId="1B457821" w14:textId="149D235C" w:rsidR="00984B34" w:rsidRPr="009E686F" w:rsidRDefault="00984B34" w:rsidP="00391E67">
            <w:pPr>
              <w:spacing w:after="0" w:line="240" w:lineRule="auto"/>
              <w:jc w:val="both"/>
              <w:rPr>
                <w:rFonts w:ascii="Times New Roman" w:hAnsi="Times New Roman" w:cs="Times New Roman"/>
                <w:lang w:val="ro-RO"/>
              </w:rPr>
            </w:pPr>
            <w:r w:rsidRPr="009E686F">
              <w:rPr>
                <w:rFonts w:ascii="Times New Roman" w:hAnsi="Times New Roman" w:cs="Times New Roman"/>
                <w:lang w:val="ro-RO"/>
              </w:rPr>
              <w:t>Se vor regăsi în proiectul de modificare a Regulamentului nr. 109/2018 cu privire la</w:t>
            </w:r>
          </w:p>
          <w:p w14:paraId="27C22339" w14:textId="346AFF42" w:rsidR="00391E67" w:rsidRPr="009E686F" w:rsidRDefault="00984B34" w:rsidP="00391E67">
            <w:pPr>
              <w:spacing w:line="240" w:lineRule="auto"/>
              <w:jc w:val="both"/>
              <w:rPr>
                <w:lang w:val="it-CH"/>
              </w:rPr>
            </w:pPr>
            <w:r w:rsidRPr="009E686F">
              <w:rPr>
                <w:rFonts w:ascii="Times New Roman" w:hAnsi="Times New Roman" w:cs="Times New Roman"/>
                <w:lang w:val="ro-RO"/>
              </w:rPr>
              <w:t>fondurile proprii ale băncilor şi cerinţele de capital</w:t>
            </w:r>
            <w:r w:rsidR="00391E67" w:rsidRPr="009E686F">
              <w:rPr>
                <w:rFonts w:ascii="Times New Roman" w:hAnsi="Times New Roman" w:cs="Times New Roman"/>
                <w:lang w:val="ro-RO"/>
              </w:rPr>
              <w:t xml:space="preserve"> (acțiunea normativă nr. 4 din Anexa A din PNA 2025-2029 aferentă Capitolului 9 “Servicii financiare”).</w:t>
            </w:r>
          </w:p>
          <w:p w14:paraId="464D0060" w14:textId="5DCE1A45" w:rsidR="00984B34" w:rsidRPr="009E686F" w:rsidRDefault="00984B34" w:rsidP="00391E67">
            <w:pPr>
              <w:spacing w:line="240" w:lineRule="auto"/>
              <w:jc w:val="both"/>
              <w:rPr>
                <w:rFonts w:ascii="Times New Roman" w:hAnsi="Times New Roman" w:cs="Times New Roman"/>
                <w:lang w:val="it-CH"/>
              </w:rPr>
            </w:pPr>
          </w:p>
        </w:tc>
      </w:tr>
      <w:tr w:rsidR="00984B34" w:rsidRPr="009E686F" w14:paraId="02571968"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6831FC92"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(7) Până la 10 aprilie 2025, ABE emite ghiduri, în conformitate cu articolul 16 din Regulamentul (UE) nr. 1093/2010, pentru a preciza mai detaliat modul în care se operaționalizează cerințele menționate la alineatul (6) de la prezentul articol și în special:</w:t>
            </w:r>
          </w:p>
          <w:p w14:paraId="60B352CA"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(a) modul în care autoritățile competente trebuie să reflecte în procesul lor de supraveghere și evaluare faptul că o instituție a intrat sub incidența pragului privind cerințele de capital;</w:t>
            </w:r>
          </w:p>
          <w:p w14:paraId="62706DF3" w14:textId="5A7C02D9"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(b)  modul în care autoritățile competente și instituțiile trebuie să comunice și să facă public impactul asupra cerințelor de supraveghere al faptului că o instituție intră sub incidența pragului privind cerințele de capital.</w:t>
            </w:r>
          </w:p>
        </w:tc>
        <w:tc>
          <w:tcPr>
            <w:tcW w:w="1928" w:type="pct"/>
            <w:gridSpan w:val="3"/>
            <w:tcBorders>
              <w:top w:val="single" w:sz="4" w:space="0" w:color="auto"/>
              <w:left w:val="single" w:sz="4" w:space="0" w:color="auto"/>
              <w:bottom w:val="single" w:sz="4" w:space="0" w:color="auto"/>
              <w:right w:val="single" w:sz="4" w:space="0" w:color="auto"/>
            </w:tcBorders>
          </w:tcPr>
          <w:p w14:paraId="6E70C428"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77222445" w14:textId="26019DAF"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neaplicabile</w:t>
            </w:r>
          </w:p>
        </w:tc>
        <w:tc>
          <w:tcPr>
            <w:tcW w:w="806" w:type="pct"/>
            <w:tcBorders>
              <w:top w:val="single" w:sz="4" w:space="0" w:color="auto"/>
              <w:left w:val="single" w:sz="4" w:space="0" w:color="auto"/>
              <w:bottom w:val="single" w:sz="4" w:space="0" w:color="auto"/>
              <w:right w:val="single" w:sz="4" w:space="0" w:color="auto"/>
            </w:tcBorders>
          </w:tcPr>
          <w:p w14:paraId="73D66113" w14:textId="194B3180"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Se referă la competențele ABE.</w:t>
            </w:r>
          </w:p>
        </w:tc>
      </w:tr>
      <w:tr w:rsidR="00984B34" w:rsidRPr="009E686F" w14:paraId="239274B3"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6E6DC6F5" w14:textId="4F04EFEC"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(8) În sensul alineatului (2), atât timp cât o instituție intră sub incidența pragului privind cerințele de capital, autoritatea competentă a instituției nu impune o cerință de </w:t>
            </w:r>
            <w:r w:rsidRPr="009E686F">
              <w:rPr>
                <w:rFonts w:ascii="Times New Roman" w:hAnsi="Times New Roman" w:cs="Times New Roman"/>
                <w:lang w:val="ro-RO"/>
              </w:rPr>
              <w:lastRenderedPageBreak/>
              <w:t>fonduri proprii suplimentare care ar duce la dubla contabilizare a riscurilor care sunt deja acoperite integral prin faptul că instituția intră sub incidența pragului privind cerințele de capital.</w:t>
            </w:r>
          </w:p>
        </w:tc>
        <w:tc>
          <w:tcPr>
            <w:tcW w:w="1928" w:type="pct"/>
            <w:gridSpan w:val="3"/>
            <w:tcBorders>
              <w:top w:val="single" w:sz="4" w:space="0" w:color="auto"/>
              <w:left w:val="single" w:sz="4" w:space="0" w:color="auto"/>
              <w:bottom w:val="single" w:sz="4" w:space="0" w:color="auto"/>
              <w:right w:val="single" w:sz="4" w:space="0" w:color="auto"/>
            </w:tcBorders>
          </w:tcPr>
          <w:p w14:paraId="30878F3A" w14:textId="7852DFA3" w:rsidR="00984B34" w:rsidRPr="009E686F" w:rsidRDefault="00984B34" w:rsidP="00984B34">
            <w:pPr>
              <w:spacing w:after="0"/>
              <w:jc w:val="both"/>
              <w:rPr>
                <w:rFonts w:ascii="Times New Roman" w:hAnsi="Times New Roman" w:cs="Times New Roman"/>
                <w:i/>
                <w:lang w:val="ro-RO"/>
              </w:rPr>
            </w:pPr>
            <w:r w:rsidRPr="009E686F">
              <w:rPr>
                <w:rFonts w:ascii="Times New Roman" w:hAnsi="Times New Roman" w:cs="Times New Roman"/>
                <w:i/>
                <w:iCs/>
                <w:lang w:val="ro-RO"/>
              </w:rPr>
              <w:lastRenderedPageBreak/>
              <w:t xml:space="preserve">(2) Atât timp cât o instituție intră sub incidența pragului privind cerințele de capital, Banca Națională a Moldovei nu poate impune o cerință de fonduri proprii suplimentare care ar duce </w:t>
            </w:r>
            <w:r w:rsidRPr="009E686F">
              <w:rPr>
                <w:rFonts w:ascii="Times New Roman" w:hAnsi="Times New Roman" w:cs="Times New Roman"/>
                <w:i/>
                <w:iCs/>
                <w:lang w:val="ro-RO"/>
              </w:rPr>
              <w:lastRenderedPageBreak/>
              <w:t>la dubla contabilizare a riscurilor care sunt deja acoperite integral prin faptul că instituția de credit intră sub incidența pragului privind cerințele de capital.</w:t>
            </w:r>
            <w:r w:rsidRPr="009E686F">
              <w:rPr>
                <w:rFonts w:ascii="Times New Roman" w:hAnsi="Times New Roman" w:cs="Times New Roman"/>
                <w:i/>
                <w:color w:val="8064A2" w:themeColor="accent4"/>
                <w:lang w:val="ro-RO"/>
              </w:rPr>
              <w:t xml:space="preserve"> </w:t>
            </w:r>
          </w:p>
          <w:p w14:paraId="56A13484" w14:textId="77777777" w:rsidR="00984B34" w:rsidRPr="009E686F" w:rsidRDefault="00984B34" w:rsidP="00984B34">
            <w:pPr>
              <w:spacing w:after="0"/>
              <w:jc w:val="both"/>
              <w:rPr>
                <w:rFonts w:ascii="Times New Roman" w:hAnsi="Times New Roman" w:cs="Times New Roman"/>
                <w:b/>
                <w:lang w:val="ro-MD"/>
              </w:rPr>
            </w:pPr>
          </w:p>
        </w:tc>
        <w:tc>
          <w:tcPr>
            <w:tcW w:w="470" w:type="pct"/>
            <w:tcBorders>
              <w:top w:val="single" w:sz="4" w:space="0" w:color="auto"/>
              <w:left w:val="single" w:sz="4" w:space="0" w:color="auto"/>
              <w:bottom w:val="single" w:sz="4" w:space="0" w:color="auto"/>
              <w:right w:val="single" w:sz="4" w:space="0" w:color="auto"/>
            </w:tcBorders>
          </w:tcPr>
          <w:p w14:paraId="01689CCD" w14:textId="6EA3A87D"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255406B8" w14:textId="77777777" w:rsidR="00984B34" w:rsidRPr="009E686F" w:rsidRDefault="00984B34" w:rsidP="00984B34">
            <w:pPr>
              <w:jc w:val="both"/>
              <w:rPr>
                <w:rFonts w:ascii="Times New Roman" w:hAnsi="Times New Roman" w:cs="Times New Roman"/>
                <w:lang w:val="ro-RO"/>
              </w:rPr>
            </w:pPr>
          </w:p>
        </w:tc>
      </w:tr>
      <w:tr w:rsidR="00984B34" w:rsidRPr="009E686F" w14:paraId="742F3D19"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17131759" w14:textId="77777777" w:rsidR="00984B34" w:rsidRPr="009E686F" w:rsidRDefault="00984B34" w:rsidP="00984B34">
            <w:pPr>
              <w:spacing w:after="0"/>
              <w:jc w:val="both"/>
              <w:rPr>
                <w:rFonts w:ascii="Times New Roman" w:hAnsi="Times New Roman" w:cs="Times New Roman"/>
                <w:b/>
                <w:bCs/>
                <w:lang w:val="ro-RO"/>
              </w:rPr>
            </w:pPr>
            <w:r w:rsidRPr="009E686F">
              <w:rPr>
                <w:rFonts w:ascii="Times New Roman" w:hAnsi="Times New Roman" w:cs="Times New Roman"/>
                <w:i/>
                <w:iCs/>
                <w:lang w:val="ro-RO"/>
              </w:rPr>
              <w:t>Articolul 104b</w:t>
            </w:r>
            <w:r w:rsidRPr="009E686F">
              <w:rPr>
                <w:rFonts w:ascii="Times New Roman" w:hAnsi="Times New Roman" w:cs="Times New Roman"/>
                <w:lang w:val="ro-RO"/>
              </w:rPr>
              <w:t xml:space="preserve"> </w:t>
            </w:r>
          </w:p>
          <w:p w14:paraId="3FAC7965"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Orientări privind fondurile proprii suplimentare</w:t>
            </w:r>
          </w:p>
          <w:p w14:paraId="6A3AC08E" w14:textId="1783AC3D"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(1)   În temeiul strategiilor și procedurilor menționate la articolul 73, instituțiile își stabilesc, în cadrul capitalului lor intern, un nivel adecvat al fondurilor proprii care este suficient pentru a acoperi toate riscurile la care este expusă o instituție și pentru a asigura faptul că fondurile proprii ale instituției pot absorbi pierderile potențiale care decurg din scenariile de criză, inclusiv pierderile identificate în cadrul testelor de stres prudențiale menționate la articolul 100.</w:t>
            </w:r>
          </w:p>
        </w:tc>
        <w:tc>
          <w:tcPr>
            <w:tcW w:w="1928" w:type="pct"/>
            <w:gridSpan w:val="3"/>
            <w:tcBorders>
              <w:top w:val="single" w:sz="4" w:space="0" w:color="auto"/>
              <w:left w:val="single" w:sz="4" w:space="0" w:color="auto"/>
              <w:right w:val="single" w:sz="4" w:space="0" w:color="auto"/>
            </w:tcBorders>
          </w:tcPr>
          <w:p w14:paraId="1DC6706F" w14:textId="77777777" w:rsidR="00984B34" w:rsidRPr="009E686F" w:rsidRDefault="00984B34" w:rsidP="00984B34">
            <w:pPr>
              <w:spacing w:after="0"/>
              <w:jc w:val="both"/>
              <w:rPr>
                <w:rFonts w:ascii="Times New Roman" w:hAnsi="Times New Roman" w:cs="Times New Roman"/>
                <w:b/>
                <w:bCs/>
                <w:lang w:val="ro-RO"/>
              </w:rPr>
            </w:pPr>
            <w:r w:rsidRPr="009E686F">
              <w:rPr>
                <w:rFonts w:ascii="Times New Roman" w:hAnsi="Times New Roman" w:cs="Times New Roman"/>
                <w:b/>
                <w:bCs/>
                <w:lang w:val="ro-RO"/>
              </w:rPr>
              <w:t>Articolul 60 alin. (4)</w:t>
            </w:r>
          </w:p>
          <w:p w14:paraId="124961BE" w14:textId="0F9D39FE" w:rsidR="00984B34" w:rsidRPr="009E686F" w:rsidRDefault="00984B34" w:rsidP="00984B34">
            <w:pPr>
              <w:spacing w:after="0"/>
              <w:jc w:val="both"/>
              <w:rPr>
                <w:rFonts w:ascii="Times New Roman" w:hAnsi="Times New Roman" w:cs="Times New Roman"/>
                <w:b/>
                <w:i/>
                <w:lang w:val="it-CH"/>
              </w:rPr>
            </w:pPr>
            <w:r w:rsidRPr="009E686F">
              <w:rPr>
                <w:rFonts w:ascii="Times New Roman" w:hAnsi="Times New Roman" w:cs="Times New Roman"/>
                <w:lang w:val="ro-RO"/>
              </w:rPr>
              <w:t>(4) Fără a aduce atingere dispoziţiilor capitolului 1 titlul II şi atribuţiilor Băncii Naţionale a Moldovei prevăzute la art.5</w:t>
            </w:r>
            <w:r w:rsidRPr="009E686F">
              <w:rPr>
                <w:rFonts w:ascii="Times New Roman" w:hAnsi="Times New Roman" w:cs="Times New Roman"/>
                <w:i/>
                <w:iCs/>
                <w:lang w:val="ro-RO"/>
              </w:rPr>
              <w:t xml:space="preserve">, instituțiile de credit </w:t>
            </w:r>
            <w:r w:rsidRPr="009E686F">
              <w:rPr>
                <w:rFonts w:ascii="Times New Roman" w:hAnsi="Times New Roman" w:cs="Times New Roman"/>
                <w:lang w:val="ro-RO"/>
              </w:rPr>
              <w:t>trebuie să dispună, în măsura şi condiţiile prevăzute prin actele normative emise în aplicarea prezentei legi</w:t>
            </w:r>
            <w:r w:rsidRPr="009E686F">
              <w:rPr>
                <w:rFonts w:ascii="Times New Roman" w:hAnsi="Times New Roman" w:cs="Times New Roman"/>
                <w:i/>
                <w:iCs/>
                <w:lang w:val="ro-RO"/>
              </w:rPr>
              <w:t xml:space="preserve">, inclusiv în temeiul strategiilor și procedurilor prevăzute la art. 78 alin. </w:t>
            </w:r>
            <w:r w:rsidRPr="009E686F">
              <w:rPr>
                <w:rFonts w:ascii="Times New Roman" w:hAnsi="Times New Roman" w:cs="Times New Roman"/>
                <w:i/>
                <w:lang w:val="ro-RO"/>
              </w:rPr>
              <w:t xml:space="preserve">(1) de un nivel adecvat al fondurilor proprii, care este suficient pentru a acoperi toate riscurile la care sunt expuse acestea, după caz, riscul de credit, riscul de diminuare a valorii creanţei, riscul de credit al contrapărţii, riscul de poziţie, riscul de decontare/livrare, riscul valutar, riscul de marfă, riscul de ajustare a evaluării creditului, riscul de mediu, sociale și de guvernanță pe termen scurt, mediu și lung şi riscul operaţional și pentru a se asigura că fondurile lor proprii pot absorbi pierderile potențiale care decurg din scenariile de criză, inclusiv pierderile identificate în cadrul testărilor la stres prudențiale prevăzute la art. 100 alin. </w:t>
            </w:r>
            <w:r w:rsidRPr="009E686F">
              <w:rPr>
                <w:rFonts w:ascii="Times New Roman" w:hAnsi="Times New Roman" w:cs="Times New Roman"/>
                <w:i/>
                <w:iCs/>
                <w:lang w:val="it-CH"/>
              </w:rPr>
              <w:t>(5). Nivelul fondurilor proprii trebuie să se situeze în permanenţă cel puţin la nivelul cerinţelor de fonduri proprii stabilite pentru acoperirea riscurilor în conformitate cu actele normative ale Băncii Naționale a Moldovei</w:t>
            </w:r>
          </w:p>
        </w:tc>
        <w:tc>
          <w:tcPr>
            <w:tcW w:w="470" w:type="pct"/>
            <w:tcBorders>
              <w:top w:val="single" w:sz="4" w:space="0" w:color="auto"/>
              <w:left w:val="single" w:sz="4" w:space="0" w:color="auto"/>
              <w:right w:val="single" w:sz="4" w:space="0" w:color="auto"/>
            </w:tcBorders>
          </w:tcPr>
          <w:p w14:paraId="1733506D" w14:textId="520284E2"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p w14:paraId="24377557" w14:textId="4ADE7652"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right w:val="single" w:sz="4" w:space="0" w:color="auto"/>
            </w:tcBorders>
          </w:tcPr>
          <w:p w14:paraId="7E9D50BC" w14:textId="77777777" w:rsidR="00984B34" w:rsidRPr="009E686F" w:rsidRDefault="00984B34" w:rsidP="00984B34">
            <w:pPr>
              <w:jc w:val="both"/>
              <w:rPr>
                <w:rFonts w:ascii="Times New Roman" w:hAnsi="Times New Roman" w:cs="Times New Roman"/>
                <w:lang w:val="ro-RO"/>
              </w:rPr>
            </w:pPr>
          </w:p>
        </w:tc>
      </w:tr>
      <w:tr w:rsidR="00984B34" w:rsidRPr="009E686F" w14:paraId="632B38EF"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6B310274" w14:textId="48DBA4CF"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(2) Autoritățile competente analizează periodic nivelul capitalului intern stabilit de fiecare instituție în conformitate cu alineatul (1) din prezentul articol în cadrul analizelor și evaluărilor efectuate în conformitate cu articolele 97 și 101, inclusiv rezultatele testelor de stres menționate la articolul 100.</w:t>
            </w:r>
          </w:p>
          <w:p w14:paraId="34AF610B" w14:textId="5237FC6C"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lastRenderedPageBreak/>
              <w:t>În temeiul analizei respective, autoritățile competente stabilesc, pentru fiecare instituție, nivelul global al fondurilor proprii pe care îl consideră adecvat.</w:t>
            </w:r>
          </w:p>
        </w:tc>
        <w:tc>
          <w:tcPr>
            <w:tcW w:w="1928" w:type="pct"/>
            <w:gridSpan w:val="3"/>
            <w:tcBorders>
              <w:top w:val="single" w:sz="4" w:space="0" w:color="auto"/>
              <w:left w:val="single" w:sz="4" w:space="0" w:color="auto"/>
              <w:bottom w:val="single" w:sz="4" w:space="0" w:color="auto"/>
              <w:right w:val="single" w:sz="4" w:space="0" w:color="auto"/>
            </w:tcBorders>
          </w:tcPr>
          <w:p w14:paraId="1C431209" w14:textId="77777777" w:rsidR="00984B34" w:rsidRPr="009E686F" w:rsidRDefault="00984B34" w:rsidP="00984B34">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b/>
                <w:bCs/>
                <w:kern w:val="2"/>
                <w:lang w:val="ro-MD"/>
              </w:rPr>
              <w:lastRenderedPageBreak/>
              <w:t>Articolul 101</w:t>
            </w:r>
            <w:r w:rsidRPr="009E686F">
              <w:rPr>
                <w:rFonts w:ascii="Times New Roman" w:eastAsia="Aptos" w:hAnsi="Times New Roman" w:cs="Times New Roman"/>
                <w:b/>
                <w:bCs/>
                <w:kern w:val="2"/>
                <w:vertAlign w:val="superscript"/>
                <w:lang w:val="ro-MD"/>
              </w:rPr>
              <w:t>1</w:t>
            </w:r>
            <w:r w:rsidRPr="009E686F">
              <w:rPr>
                <w:rFonts w:ascii="Times New Roman" w:eastAsia="Aptos" w:hAnsi="Times New Roman" w:cs="Times New Roman"/>
                <w:b/>
                <w:bCs/>
                <w:kern w:val="2"/>
                <w:lang w:val="ro-MD"/>
              </w:rPr>
              <w:t xml:space="preserve">. </w:t>
            </w:r>
            <w:r w:rsidRPr="009E686F">
              <w:rPr>
                <w:rFonts w:ascii="Times New Roman" w:eastAsia="Aptos" w:hAnsi="Times New Roman" w:cs="Times New Roman"/>
                <w:i/>
                <w:kern w:val="2"/>
                <w:lang w:val="ro-MD"/>
              </w:rPr>
              <w:t>Analiza periodică a nivelului capitalului intern</w:t>
            </w:r>
          </w:p>
          <w:p w14:paraId="19A4DB4A" w14:textId="77777777" w:rsidR="00984B34" w:rsidRPr="009E686F" w:rsidRDefault="00984B34" w:rsidP="00984B34">
            <w:pPr>
              <w:spacing w:after="0"/>
              <w:jc w:val="both"/>
              <w:rPr>
                <w:rFonts w:ascii="Times New Roman" w:eastAsia="Aptos" w:hAnsi="Times New Roman" w:cs="Times New Roman"/>
                <w:i/>
                <w:iCs/>
                <w:kern w:val="2"/>
                <w:lang w:val="ro-MD"/>
              </w:rPr>
            </w:pPr>
            <w:r w:rsidRPr="009E686F">
              <w:rPr>
                <w:rFonts w:ascii="Times New Roman" w:eastAsia="Aptos" w:hAnsi="Times New Roman" w:cs="Times New Roman"/>
                <w:i/>
                <w:kern w:val="2"/>
                <w:lang w:val="ro-MD"/>
              </w:rPr>
              <w:t xml:space="preserve">(1) Banca Națională a Moldovei analizează periodic nivelul capitalului intern stabilit de fiecare </w:t>
            </w:r>
            <w:r w:rsidRPr="009E686F">
              <w:rPr>
                <w:rFonts w:ascii="Times New Roman" w:eastAsia="Aptos" w:hAnsi="Times New Roman" w:cs="Times New Roman"/>
                <w:i/>
                <w:iCs/>
                <w:kern w:val="2"/>
                <w:lang w:val="ro-MD"/>
              </w:rPr>
              <w:t>instituție de credit</w:t>
            </w:r>
            <w:r w:rsidRPr="009E686F">
              <w:rPr>
                <w:rFonts w:ascii="Times New Roman" w:eastAsia="Aptos" w:hAnsi="Times New Roman" w:cs="Times New Roman"/>
                <w:i/>
                <w:kern w:val="2"/>
                <w:lang w:val="ro-MD"/>
              </w:rPr>
              <w:t xml:space="preserve"> în conformitate cu alin. (1) al art. 60 în cadrul verificărilor și evaluărilor efectuate în conformitate cu art. 100 și 102, inclusiv rezultatele testelor de stres prevăzute la art. 100 alin. (5).</w:t>
            </w:r>
          </w:p>
          <w:p w14:paraId="4A84B2FA" w14:textId="58358E67" w:rsidR="00984B34" w:rsidRPr="009E686F" w:rsidRDefault="00984B34" w:rsidP="00984B34">
            <w:pPr>
              <w:spacing w:after="0"/>
              <w:jc w:val="both"/>
              <w:rPr>
                <w:rFonts w:ascii="Times New Roman" w:hAnsi="Times New Roman" w:cs="Times New Roman"/>
                <w:b/>
                <w:i/>
                <w:lang w:val="ro-RO"/>
              </w:rPr>
            </w:pPr>
            <w:r w:rsidRPr="009E686F">
              <w:rPr>
                <w:rFonts w:ascii="Times New Roman" w:eastAsia="Aptos" w:hAnsi="Times New Roman" w:cs="Times New Roman"/>
                <w:i/>
                <w:iCs/>
                <w:kern w:val="2"/>
                <w:lang w:val="ro-MD"/>
              </w:rPr>
              <w:lastRenderedPageBreak/>
              <w:t>(</w:t>
            </w:r>
            <w:r w:rsidRPr="009E686F">
              <w:rPr>
                <w:rFonts w:ascii="Times New Roman" w:eastAsia="Aptos" w:hAnsi="Times New Roman" w:cs="Times New Roman"/>
                <w:i/>
                <w:kern w:val="2"/>
                <w:lang w:val="ro-MD"/>
              </w:rPr>
              <w:t xml:space="preserve">2) Banca Națională a Moldovei stabilește pentru fiecare </w:t>
            </w:r>
            <w:r w:rsidRPr="009E686F">
              <w:rPr>
                <w:rFonts w:ascii="Times New Roman" w:eastAsia="Aptos" w:hAnsi="Times New Roman" w:cs="Times New Roman"/>
                <w:i/>
                <w:iCs/>
                <w:kern w:val="2"/>
                <w:lang w:val="ro-MD"/>
              </w:rPr>
              <w:t>instituție de credit</w:t>
            </w:r>
            <w:r w:rsidRPr="009E686F">
              <w:rPr>
                <w:rFonts w:ascii="Times New Roman" w:eastAsia="Aptos" w:hAnsi="Times New Roman" w:cs="Times New Roman"/>
                <w:i/>
                <w:kern w:val="2"/>
                <w:lang w:val="ro-MD"/>
              </w:rPr>
              <w:t>, nivelul global al fondurilor proprii pe care îl consideră adecvat, în temeiul analizei efectuate conform alin. (1).</w:t>
            </w:r>
          </w:p>
        </w:tc>
        <w:tc>
          <w:tcPr>
            <w:tcW w:w="470" w:type="pct"/>
            <w:tcBorders>
              <w:top w:val="single" w:sz="4" w:space="0" w:color="auto"/>
              <w:left w:val="single" w:sz="4" w:space="0" w:color="auto"/>
              <w:bottom w:val="single" w:sz="4" w:space="0" w:color="auto"/>
              <w:right w:val="single" w:sz="4" w:space="0" w:color="auto"/>
            </w:tcBorders>
          </w:tcPr>
          <w:p w14:paraId="5FD30EF7" w14:textId="74089BBF"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3EF1F405" w14:textId="77777777" w:rsidR="00984B34" w:rsidRPr="009E686F" w:rsidRDefault="00984B34" w:rsidP="00984B34">
            <w:pPr>
              <w:jc w:val="both"/>
              <w:rPr>
                <w:rFonts w:ascii="Times New Roman" w:hAnsi="Times New Roman" w:cs="Times New Roman"/>
                <w:lang w:val="ro-RO"/>
              </w:rPr>
            </w:pPr>
          </w:p>
        </w:tc>
      </w:tr>
      <w:tr w:rsidR="00984B34" w:rsidRPr="009E686F" w14:paraId="0628D2FF"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3671CD2E" w14:textId="70611D24"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(3) Autoritățile competente comunică instituțiilor orientările lor privind fondurile proprii suplimentare.</w:t>
            </w:r>
          </w:p>
          <w:p w14:paraId="10CDBDD2" w14:textId="46D92EEF"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Orientările privind fondurile proprii suplimentare indică excedentul de fonduri proprii în raport cu cuantumul relevant al fondurilor proprii solicitat în temeiul părților a treia, a patra și a șaptea din Regulamentul (UE) nr. 575/2013, al capitolului 2 din Regulamentul (UE) 2017/2402, al articolului 104 alineatul (1) litera (a) și al articolului 128 punctul 6 din prezenta directivă sau în temeiul articolului 92 alineatul (1a) din Regulamentul (UE) nr. 575/2013, după caz, care este necesar pentru a se ajunge la nivelul global al fondurilor proprii considerat adecvat de către autoritățile competente în temeiul alineatului (2) din prezentul articol.</w:t>
            </w:r>
          </w:p>
        </w:tc>
        <w:tc>
          <w:tcPr>
            <w:tcW w:w="1928" w:type="pct"/>
            <w:gridSpan w:val="3"/>
            <w:tcBorders>
              <w:top w:val="single" w:sz="4" w:space="0" w:color="auto"/>
              <w:left w:val="single" w:sz="4" w:space="0" w:color="auto"/>
              <w:bottom w:val="single" w:sz="4" w:space="0" w:color="auto"/>
              <w:right w:val="single" w:sz="4" w:space="0" w:color="auto"/>
            </w:tcBorders>
          </w:tcPr>
          <w:p w14:paraId="16F9FDDF" w14:textId="70D7A3E6" w:rsidR="00984B34" w:rsidRPr="009E686F" w:rsidRDefault="00984B34" w:rsidP="00984B34">
            <w:pPr>
              <w:spacing w:after="0" w:line="278" w:lineRule="auto"/>
              <w:jc w:val="both"/>
              <w:rPr>
                <w:rFonts w:ascii="Times New Roman" w:eastAsia="Aptos" w:hAnsi="Times New Roman" w:cs="Times New Roman"/>
                <w:i/>
                <w:kern w:val="2"/>
                <w:lang w:val="ro-MD"/>
              </w:rPr>
            </w:pPr>
            <w:r w:rsidRPr="009E686F">
              <w:rPr>
                <w:rFonts w:ascii="Times New Roman" w:eastAsia="Aptos" w:hAnsi="Times New Roman" w:cs="Times New Roman"/>
                <w:i/>
                <w:kern w:val="2"/>
                <w:lang w:val="ro-MD"/>
              </w:rPr>
              <w:t xml:space="preserve">(3) Banca Națională a Moldovei comunică </w:t>
            </w:r>
            <w:r w:rsidRPr="009E686F">
              <w:rPr>
                <w:rFonts w:ascii="Times New Roman" w:eastAsia="Aptos" w:hAnsi="Times New Roman" w:cs="Times New Roman"/>
                <w:i/>
                <w:iCs/>
                <w:kern w:val="2"/>
                <w:lang w:val="ro-MD"/>
              </w:rPr>
              <w:t>instituțiilor de credit</w:t>
            </w:r>
            <w:r w:rsidRPr="009E686F">
              <w:rPr>
                <w:rFonts w:ascii="Times New Roman" w:eastAsia="Aptos" w:hAnsi="Times New Roman" w:cs="Times New Roman"/>
                <w:i/>
                <w:kern w:val="2"/>
                <w:lang w:val="ro-MD"/>
              </w:rPr>
              <w:t xml:space="preserve"> orientările lor privind fondurile proprii suplimentare. </w:t>
            </w:r>
          </w:p>
          <w:p w14:paraId="2303255C" w14:textId="27D7A668" w:rsidR="00984B34" w:rsidRPr="009E686F" w:rsidRDefault="00984B34" w:rsidP="00984B34">
            <w:pPr>
              <w:spacing w:after="0"/>
              <w:jc w:val="both"/>
              <w:rPr>
                <w:rFonts w:ascii="Times New Roman" w:hAnsi="Times New Roman" w:cs="Times New Roman"/>
                <w:b/>
                <w:lang w:val="ro-RO"/>
              </w:rPr>
            </w:pPr>
            <w:r w:rsidRPr="009E686F">
              <w:rPr>
                <w:rFonts w:ascii="Times New Roman" w:eastAsia="Aptos" w:hAnsi="Times New Roman" w:cs="Times New Roman"/>
                <w:i/>
                <w:kern w:val="2"/>
                <w:lang w:val="ro-MD"/>
              </w:rPr>
              <w:t xml:space="preserve">(4) Orientările privind fondurile proprii suplimentare indică excedentul de fonduri proprii în raport cu cuantumul relevant al fondurilor proprii solicitat conform cerinţelor de fonduri proprii prevăzute în actele normative ale Băncii Naționale a Moldovei, inclusiv </w:t>
            </w:r>
            <w:r w:rsidR="003E0C4A" w:rsidRPr="009E686F">
              <w:rPr>
                <w:rFonts w:ascii="Times New Roman" w:eastAsia="Aptos" w:hAnsi="Times New Roman" w:cs="Times New Roman"/>
                <w:i/>
                <w:kern w:val="2"/>
                <w:lang w:val="ro-MD"/>
              </w:rPr>
              <w:t>al celor privind</w:t>
            </w:r>
            <w:r w:rsidRPr="009E686F">
              <w:rPr>
                <w:rFonts w:ascii="Times New Roman" w:eastAsia="Aptos" w:hAnsi="Times New Roman" w:cs="Times New Roman"/>
                <w:i/>
                <w:kern w:val="2"/>
                <w:lang w:val="ro-MD"/>
              </w:rPr>
              <w:t xml:space="preserve"> securitizare</w:t>
            </w:r>
            <w:r w:rsidR="003E0C4A" w:rsidRPr="009E686F">
              <w:rPr>
                <w:rFonts w:ascii="Times New Roman" w:eastAsia="Aptos" w:hAnsi="Times New Roman" w:cs="Times New Roman"/>
                <w:i/>
                <w:kern w:val="2"/>
                <w:lang w:val="ro-MD"/>
              </w:rPr>
              <w:t>a</w:t>
            </w:r>
            <w:r w:rsidRPr="009E686F">
              <w:rPr>
                <w:rFonts w:ascii="Times New Roman" w:eastAsia="Aptos" w:hAnsi="Times New Roman" w:cs="Times New Roman"/>
                <w:i/>
                <w:kern w:val="2"/>
                <w:lang w:val="ro-MD"/>
              </w:rPr>
              <w:t xml:space="preserve">, </w:t>
            </w:r>
            <w:r w:rsidR="003E0C4A" w:rsidRPr="009E686F">
              <w:rPr>
                <w:rFonts w:ascii="Times New Roman" w:eastAsia="Aptos" w:hAnsi="Times New Roman" w:cs="Times New Roman"/>
                <w:i/>
                <w:kern w:val="2"/>
                <w:lang w:val="ro-MD"/>
              </w:rPr>
              <w:t xml:space="preserve">obligației impuse potrivit </w:t>
            </w:r>
            <w:r w:rsidRPr="009E686F">
              <w:rPr>
                <w:rFonts w:ascii="Times New Roman" w:eastAsia="Aptos" w:hAnsi="Times New Roman" w:cs="Times New Roman"/>
                <w:i/>
                <w:kern w:val="2"/>
                <w:lang w:val="ro-MD"/>
              </w:rPr>
              <w:t xml:space="preserve">art. 139 alin. (3) lit. a) și al cerințelor de fonduri proprii necesare pentru cerința amortizorului combinat sau </w:t>
            </w:r>
            <w:r w:rsidR="003E0C4A" w:rsidRPr="009E686F">
              <w:rPr>
                <w:rFonts w:ascii="Times New Roman" w:eastAsia="Aptos" w:hAnsi="Times New Roman" w:cs="Times New Roman"/>
                <w:i/>
                <w:kern w:val="2"/>
                <w:lang w:val="ro-MD"/>
              </w:rPr>
              <w:t xml:space="preserve">al </w:t>
            </w:r>
            <w:r w:rsidRPr="009E686F">
              <w:rPr>
                <w:rFonts w:ascii="Times New Roman" w:eastAsia="Aptos" w:hAnsi="Times New Roman" w:cs="Times New Roman"/>
                <w:i/>
                <w:kern w:val="2"/>
                <w:lang w:val="ro-MD"/>
              </w:rPr>
              <w:t>cerințelor de fonduri proprii necesare pentru menținerea amortizorului pentru indicatorul efectului de levier pentru G-SII, după caz, care este necesar pentru a se ajunge la nivelul global al fondurilor proprii considerat adecvat de către Banca Națională a Moldovei în temeiul alin. (2).</w:t>
            </w:r>
          </w:p>
        </w:tc>
        <w:tc>
          <w:tcPr>
            <w:tcW w:w="470" w:type="pct"/>
            <w:tcBorders>
              <w:top w:val="single" w:sz="4" w:space="0" w:color="auto"/>
              <w:left w:val="single" w:sz="4" w:space="0" w:color="auto"/>
              <w:bottom w:val="single" w:sz="4" w:space="0" w:color="auto"/>
              <w:right w:val="single" w:sz="4" w:space="0" w:color="auto"/>
            </w:tcBorders>
          </w:tcPr>
          <w:p w14:paraId="4ABCF1A5" w14:textId="59D484CE"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4D8F1BC2" w14:textId="77777777" w:rsidR="00984B34" w:rsidRPr="009E686F" w:rsidRDefault="00984B34" w:rsidP="00984B34">
            <w:pPr>
              <w:jc w:val="both"/>
              <w:rPr>
                <w:rFonts w:ascii="Times New Roman" w:hAnsi="Times New Roman" w:cs="Times New Roman"/>
                <w:lang w:val="ro-RO"/>
              </w:rPr>
            </w:pPr>
          </w:p>
        </w:tc>
      </w:tr>
      <w:tr w:rsidR="00984B34" w:rsidRPr="009E686F" w14:paraId="1B5ACC73"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2C89927B" w14:textId="2D7CE665"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(4)   Orientările autorităților competente cu privire la fondurile proprii suplimentare în temeiul alineatului (3) din prezentul articol sunt specifice fiecărei instituții. Orientările pot acoperi riscurile abordate de cerința de fonduri proprii suplimentare impusă în temeiul articolului 104 alineatul (1) litera (a) numai în măsura în care acestea acoperă aspecte legate de riscurile respective care nu sunt deja acoperite de cerința respectivă.</w:t>
            </w:r>
          </w:p>
        </w:tc>
        <w:tc>
          <w:tcPr>
            <w:tcW w:w="1928" w:type="pct"/>
            <w:gridSpan w:val="3"/>
            <w:tcBorders>
              <w:top w:val="single" w:sz="4" w:space="0" w:color="auto"/>
              <w:left w:val="single" w:sz="4" w:space="0" w:color="auto"/>
              <w:bottom w:val="single" w:sz="4" w:space="0" w:color="auto"/>
              <w:right w:val="single" w:sz="4" w:space="0" w:color="auto"/>
            </w:tcBorders>
          </w:tcPr>
          <w:p w14:paraId="5A02208F" w14:textId="100FDC79" w:rsidR="00984B34" w:rsidRPr="009E686F" w:rsidRDefault="00984B34" w:rsidP="00984B34">
            <w:pPr>
              <w:spacing w:after="0" w:line="278" w:lineRule="auto"/>
              <w:jc w:val="both"/>
              <w:rPr>
                <w:rFonts w:ascii="Times New Roman" w:eastAsia="Aptos" w:hAnsi="Times New Roman" w:cs="Times New Roman"/>
                <w:b/>
                <w:i/>
                <w:kern w:val="2"/>
                <w:lang w:val="ro-MD"/>
              </w:rPr>
            </w:pPr>
            <w:r w:rsidRPr="009E686F">
              <w:rPr>
                <w:rFonts w:ascii="Times New Roman" w:eastAsia="Aptos" w:hAnsi="Times New Roman" w:cs="Times New Roman"/>
                <w:i/>
                <w:kern w:val="2"/>
                <w:lang w:val="ro-MD"/>
              </w:rPr>
              <w:t xml:space="preserve">(5) Orientările Băncii Naționale a Moldovei cu privire la fondurile proprii suplimentare în temeiul alin. (4) sunt specifice fiecărei </w:t>
            </w:r>
            <w:r w:rsidRPr="009E686F">
              <w:rPr>
                <w:rFonts w:ascii="Times New Roman" w:eastAsia="Aptos" w:hAnsi="Times New Roman" w:cs="Times New Roman"/>
                <w:i/>
                <w:iCs/>
                <w:kern w:val="2"/>
                <w:lang w:val="ro-MD"/>
              </w:rPr>
              <w:t>instituții de credit</w:t>
            </w:r>
            <w:r w:rsidRPr="009E686F">
              <w:rPr>
                <w:rFonts w:ascii="Times New Roman" w:eastAsia="Aptos" w:hAnsi="Times New Roman" w:cs="Times New Roman"/>
                <w:i/>
                <w:kern w:val="2"/>
                <w:lang w:val="ro-MD"/>
              </w:rPr>
              <w:t xml:space="preserve"> și pot acoperi riscurile abordate de cerinţa de fonduri proprii suplimentare impusă în temeiul art. 139 alin. (3) lit. a) doar în măsura în care acestea acoperă aspecte legate de riscurile respective care nu sunt deja acoperite de cerinţa respectivă. </w:t>
            </w:r>
            <w:r w:rsidRPr="009E686F">
              <w:rPr>
                <w:rFonts w:ascii="Times New Roman" w:eastAsia="Aptos" w:hAnsi="Times New Roman" w:cs="Times New Roman"/>
                <w:i/>
                <w:color w:val="FF0000"/>
                <w:kern w:val="2"/>
                <w:lang w:val="ro-MD"/>
              </w:rPr>
              <w:t xml:space="preserve"> </w:t>
            </w:r>
          </w:p>
          <w:p w14:paraId="0F9FE001"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03613952" w14:textId="54CB1C9E"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43E09FAF" w14:textId="77777777" w:rsidR="00984B34" w:rsidRPr="009E686F" w:rsidRDefault="00984B34" w:rsidP="00984B34">
            <w:pPr>
              <w:jc w:val="both"/>
              <w:rPr>
                <w:rFonts w:ascii="Times New Roman" w:hAnsi="Times New Roman" w:cs="Times New Roman"/>
                <w:lang w:val="ro-RO"/>
              </w:rPr>
            </w:pPr>
          </w:p>
        </w:tc>
      </w:tr>
      <w:tr w:rsidR="00984B34" w:rsidRPr="009E686F" w14:paraId="323F7085"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42240471" w14:textId="243712B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(4a) În cazul în care o instituție intră sub incidența pragului privind cerințele de capital, autoritatea sa competentă își poate revizui orientările cu privire la fondurile proprii suplimentare comunicate instituției respective pentru a se asigura că rămâne adecvată calibrarea sa.</w:t>
            </w:r>
          </w:p>
        </w:tc>
        <w:tc>
          <w:tcPr>
            <w:tcW w:w="1928" w:type="pct"/>
            <w:gridSpan w:val="3"/>
            <w:tcBorders>
              <w:top w:val="single" w:sz="4" w:space="0" w:color="auto"/>
              <w:left w:val="single" w:sz="4" w:space="0" w:color="auto"/>
              <w:bottom w:val="single" w:sz="4" w:space="0" w:color="auto"/>
              <w:right w:val="single" w:sz="4" w:space="0" w:color="auto"/>
            </w:tcBorders>
          </w:tcPr>
          <w:p w14:paraId="63F41117" w14:textId="382817BC" w:rsidR="00984B34" w:rsidRPr="009E686F" w:rsidRDefault="00984B34" w:rsidP="00984B34">
            <w:pPr>
              <w:spacing w:after="0"/>
              <w:jc w:val="both"/>
              <w:rPr>
                <w:rFonts w:ascii="Times New Roman" w:hAnsi="Times New Roman" w:cs="Times New Roman"/>
                <w:b/>
                <w:i/>
                <w:lang w:val="ro-RO"/>
              </w:rPr>
            </w:pPr>
            <w:r w:rsidRPr="009E686F">
              <w:rPr>
                <w:rFonts w:ascii="Times New Roman" w:eastAsia="Aptos" w:hAnsi="Times New Roman" w:cs="Times New Roman"/>
                <w:i/>
                <w:kern w:val="2"/>
                <w:lang w:val="ro-MD"/>
              </w:rPr>
              <w:t xml:space="preserve">(6) În cazul în care o </w:t>
            </w:r>
            <w:r w:rsidRPr="009E686F">
              <w:rPr>
                <w:rFonts w:ascii="Times New Roman" w:eastAsia="Aptos" w:hAnsi="Times New Roman" w:cs="Times New Roman"/>
                <w:i/>
                <w:iCs/>
                <w:kern w:val="2"/>
                <w:lang w:val="ro-MD"/>
              </w:rPr>
              <w:t>instituție de credit</w:t>
            </w:r>
            <w:r w:rsidRPr="009E686F">
              <w:rPr>
                <w:rFonts w:ascii="Times New Roman" w:eastAsia="Aptos" w:hAnsi="Times New Roman" w:cs="Times New Roman"/>
                <w:i/>
                <w:kern w:val="2"/>
                <w:lang w:val="ro-MD"/>
              </w:rPr>
              <w:t xml:space="preserve"> intră sub incidența pragului privind cerințele de capital, Banca Națională a Moldovei își poate revizui orientările cu privire la fondurile proprii suplimentare comunicate </w:t>
            </w:r>
            <w:r w:rsidRPr="009E686F">
              <w:rPr>
                <w:rFonts w:ascii="Times New Roman" w:eastAsia="Aptos" w:hAnsi="Times New Roman" w:cs="Times New Roman"/>
                <w:i/>
                <w:iCs/>
                <w:kern w:val="2"/>
                <w:lang w:val="ro-MD"/>
              </w:rPr>
              <w:t>instituției de credit</w:t>
            </w:r>
            <w:r w:rsidRPr="009E686F">
              <w:rPr>
                <w:rFonts w:ascii="Times New Roman" w:eastAsia="Aptos" w:hAnsi="Times New Roman" w:cs="Times New Roman"/>
                <w:i/>
                <w:kern w:val="2"/>
                <w:lang w:val="ro-MD"/>
              </w:rPr>
              <w:t xml:space="preserve"> respective pentru a se asigura că rămâne adecvată calibrarea sa.</w:t>
            </w:r>
          </w:p>
        </w:tc>
        <w:tc>
          <w:tcPr>
            <w:tcW w:w="470" w:type="pct"/>
            <w:tcBorders>
              <w:top w:val="single" w:sz="4" w:space="0" w:color="auto"/>
              <w:left w:val="single" w:sz="4" w:space="0" w:color="auto"/>
              <w:bottom w:val="single" w:sz="4" w:space="0" w:color="auto"/>
              <w:right w:val="single" w:sz="4" w:space="0" w:color="auto"/>
            </w:tcBorders>
          </w:tcPr>
          <w:p w14:paraId="25408E2D" w14:textId="457FA474"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389B20A0" w14:textId="77777777" w:rsidR="00984B34" w:rsidRPr="009E686F" w:rsidRDefault="00984B34" w:rsidP="00984B34">
            <w:pPr>
              <w:jc w:val="both"/>
              <w:rPr>
                <w:rFonts w:ascii="Times New Roman" w:hAnsi="Times New Roman" w:cs="Times New Roman"/>
                <w:lang w:val="ro-RO"/>
              </w:rPr>
            </w:pPr>
          </w:p>
        </w:tc>
      </w:tr>
      <w:tr w:rsidR="00984B34" w:rsidRPr="009E686F" w14:paraId="326FC9BA"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03210226" w14:textId="608F943E"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lastRenderedPageBreak/>
              <w:t>(5) Fondurile proprii care sunt utilizate pentru a respecta orientările privind fondurile proprii suplimentare, comunicate în conformitate cu alineatul (3) de la prezentul articol în scopul abordării altor riscuri decât riscul asociat folosirii excesive a efectului de levier, nu sunt utilizate în vederea îndeplinirii niciuneia dintre cerințele următoare:</w:t>
            </w:r>
          </w:p>
        </w:tc>
        <w:tc>
          <w:tcPr>
            <w:tcW w:w="1928" w:type="pct"/>
            <w:gridSpan w:val="3"/>
            <w:tcBorders>
              <w:top w:val="single" w:sz="4" w:space="0" w:color="auto"/>
              <w:left w:val="single" w:sz="4" w:space="0" w:color="auto"/>
              <w:bottom w:val="single" w:sz="4" w:space="0" w:color="auto"/>
              <w:right w:val="single" w:sz="4" w:space="0" w:color="auto"/>
            </w:tcBorders>
          </w:tcPr>
          <w:p w14:paraId="7D7F1AF2" w14:textId="2B5DB1E6" w:rsidR="00984B34" w:rsidRPr="009E686F" w:rsidRDefault="00984B34" w:rsidP="00984B34">
            <w:pPr>
              <w:spacing w:after="0"/>
              <w:jc w:val="both"/>
              <w:rPr>
                <w:rFonts w:ascii="Times New Roman" w:hAnsi="Times New Roman" w:cs="Times New Roman"/>
                <w:b/>
                <w:i/>
                <w:lang w:val="ro-RO"/>
              </w:rPr>
            </w:pPr>
            <w:r w:rsidRPr="009E686F">
              <w:rPr>
                <w:rFonts w:ascii="Times New Roman" w:eastAsia="Aptos" w:hAnsi="Times New Roman" w:cs="Times New Roman"/>
                <w:i/>
                <w:iCs/>
                <w:kern w:val="2"/>
                <w:lang w:val="ro-MD"/>
              </w:rPr>
              <w:t>(7</w:t>
            </w:r>
            <w:r w:rsidRPr="009E686F">
              <w:rPr>
                <w:rFonts w:ascii="Times New Roman" w:eastAsia="Aptos" w:hAnsi="Times New Roman" w:cs="Times New Roman"/>
                <w:i/>
                <w:kern w:val="2"/>
                <w:lang w:val="ro-MD"/>
              </w:rPr>
              <w:t xml:space="preserve">) Cazurile în care fondurile proprii care sunt utilizate pentru a respecta orientările privind fondurile proprii suplimentare, comunicate în conformitate cu alin. (3) pentru abordarea riscului asociat folosirii excesive a efectului de levier </w:t>
            </w:r>
            <w:r w:rsidRPr="009E686F">
              <w:rPr>
                <w:rFonts w:ascii="Times New Roman" w:eastAsia="Aptos" w:hAnsi="Times New Roman" w:cs="Times New Roman"/>
                <w:i/>
                <w:kern w:val="2"/>
                <w:lang w:val="ro-RO"/>
              </w:rPr>
              <w:t xml:space="preserve">și </w:t>
            </w:r>
            <w:r w:rsidRPr="009E686F">
              <w:rPr>
                <w:rFonts w:ascii="Times New Roman" w:eastAsia="Aptos" w:hAnsi="Times New Roman" w:cs="Times New Roman"/>
                <w:i/>
                <w:kern w:val="2"/>
                <w:lang w:val="ro-MD"/>
              </w:rPr>
              <w:t>altor riscuri decât riscul asociat folosirii excesive a efectului de levier nu pot fi folosite pentru respectarea altor cerințe se stabilesc prin actele normative ale Băncii Naționale a Moldovei.</w:t>
            </w:r>
          </w:p>
        </w:tc>
        <w:tc>
          <w:tcPr>
            <w:tcW w:w="470" w:type="pct"/>
            <w:tcBorders>
              <w:top w:val="single" w:sz="4" w:space="0" w:color="auto"/>
              <w:left w:val="single" w:sz="4" w:space="0" w:color="auto"/>
              <w:bottom w:val="single" w:sz="4" w:space="0" w:color="auto"/>
              <w:right w:val="single" w:sz="4" w:space="0" w:color="auto"/>
            </w:tcBorders>
          </w:tcPr>
          <w:p w14:paraId="1039C422" w14:textId="1AC5C729"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1325F68A" w14:textId="77777777" w:rsidR="00984B34" w:rsidRPr="009E686F" w:rsidRDefault="00984B34" w:rsidP="00984B34">
            <w:pPr>
              <w:jc w:val="both"/>
              <w:rPr>
                <w:rFonts w:ascii="Times New Roman" w:hAnsi="Times New Roman" w:cs="Times New Roman"/>
                <w:lang w:val="ro-RO"/>
              </w:rPr>
            </w:pPr>
          </w:p>
        </w:tc>
      </w:tr>
      <w:tr w:rsidR="00984B34" w:rsidRPr="009E686F" w14:paraId="32DF8755" w14:textId="77777777" w:rsidTr="006F1CD7">
        <w:trPr>
          <w:trHeight w:val="6870"/>
        </w:trPr>
        <w:tc>
          <w:tcPr>
            <w:tcW w:w="1796" w:type="pct"/>
            <w:gridSpan w:val="2"/>
            <w:tcBorders>
              <w:top w:val="single" w:sz="4" w:space="0" w:color="auto"/>
              <w:left w:val="single" w:sz="4" w:space="0" w:color="auto"/>
              <w:right w:val="single" w:sz="4" w:space="0" w:color="auto"/>
            </w:tcBorders>
          </w:tcPr>
          <w:p w14:paraId="640F4C05"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(a) cerințele de fonduri proprii prevăzute la articolul 92 alineatul (1) literele (a), (b) și (c) din Regulamentul (UE) nr. 575/2013;</w:t>
            </w:r>
          </w:p>
          <w:p w14:paraId="39E45846"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(b) cerința prevăzută la articolul 104a din prezenta directivă, impusă de autoritățile competente în scopul abordării altor riscuri decât riscul asociat folosirii excesive a efectului de levier, și cerința amortizorului combinat.</w:t>
            </w:r>
          </w:p>
          <w:p w14:paraId="4A37143E" w14:textId="081B43F5"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Fondurile proprii care sunt utilizate pentru a respecta orientările privind fondurile proprii suplimentare, comunicate în conformitate cu alineatul (3) de la prezentul articol în scopul abordării riscului asociat folosirii excesive a efectului de levier, nu sunt utilizate în vederea îndeplinirii cerinței de fonduri proprii prevăzute la articolul 92 alineatul (1) litera (d) din Regulamentul (UE) nr. 575/2013, în vederea îndeplinirii cerinței prevăzute la articolul 104a din prezenta directivă, impusă de autoritățile competente în scopul abordării riscului asociat folosirii excesive a efectului de levier, și nici în vederea îndeplinirii cerinței amortizorului pentru indicatorul efectului de levier menționate la articolul 92 alineatul (1a) din Regulamentul (UE) nr. 575/2013.</w:t>
            </w:r>
          </w:p>
        </w:tc>
        <w:tc>
          <w:tcPr>
            <w:tcW w:w="1928" w:type="pct"/>
            <w:gridSpan w:val="3"/>
            <w:tcBorders>
              <w:top w:val="single" w:sz="4" w:space="0" w:color="auto"/>
              <w:left w:val="single" w:sz="4" w:space="0" w:color="auto"/>
              <w:right w:val="single" w:sz="4" w:space="0" w:color="auto"/>
            </w:tcBorders>
          </w:tcPr>
          <w:p w14:paraId="140DE5A7"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right w:val="single" w:sz="4" w:space="0" w:color="auto"/>
            </w:tcBorders>
          </w:tcPr>
          <w:p w14:paraId="56B2A8F0" w14:textId="77777777"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netranspuse</w:t>
            </w:r>
          </w:p>
          <w:p w14:paraId="742FFABA" w14:textId="41BF3FBA"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right w:val="single" w:sz="4" w:space="0" w:color="auto"/>
            </w:tcBorders>
          </w:tcPr>
          <w:p w14:paraId="3BE6A251"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Se vor regăsi în proiectul de modificare a Regulamentului nr. 109/2018 cu privire la</w:t>
            </w:r>
          </w:p>
          <w:p w14:paraId="7C2B56CF" w14:textId="187BF126" w:rsidR="00391E67" w:rsidRPr="009E686F" w:rsidRDefault="00984B34" w:rsidP="00391E67">
            <w:pPr>
              <w:rPr>
                <w:lang w:val="it-CH"/>
              </w:rPr>
            </w:pPr>
            <w:r w:rsidRPr="009E686F">
              <w:rPr>
                <w:rFonts w:ascii="Times New Roman" w:hAnsi="Times New Roman" w:cs="Times New Roman"/>
                <w:lang w:val="ro-RO"/>
              </w:rPr>
              <w:t>fondurile proprii ale băncilor şi cerinţele de capital</w:t>
            </w:r>
            <w:r w:rsidR="00391E67" w:rsidRPr="009E686F">
              <w:rPr>
                <w:rFonts w:ascii="Times New Roman" w:hAnsi="Times New Roman" w:cs="Times New Roman"/>
                <w:lang w:val="ro-RO"/>
              </w:rPr>
              <w:t xml:space="preserve"> (acțiunea normativă nr. 4 din Anexa A din PNA 2025-2029 aferentă Capitolului 9 “Servicii financiare”).</w:t>
            </w:r>
          </w:p>
          <w:p w14:paraId="6FB2A136" w14:textId="25AE44E7" w:rsidR="00984B34" w:rsidRPr="009E686F" w:rsidRDefault="00984B34" w:rsidP="00984B34">
            <w:pPr>
              <w:jc w:val="both"/>
              <w:rPr>
                <w:rFonts w:ascii="Times New Roman" w:hAnsi="Times New Roman" w:cs="Times New Roman"/>
                <w:lang w:val="ro-RO"/>
              </w:rPr>
            </w:pPr>
          </w:p>
        </w:tc>
      </w:tr>
      <w:tr w:rsidR="00984B34" w:rsidRPr="009E686F" w14:paraId="4C51E320"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58B0BED5" w14:textId="050FBB33"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lastRenderedPageBreak/>
              <w:t>(6) Neconformitatea cu orientările menționate la alineatul (3) din prezentul articol nu declanșează restricțiile menționate la articolul 141 sau 141b din prezenta directivă în cazul în care o instituție îndeplinește cerințele de fonduri proprii relevante prevăzute în părțile a treia, a patra și a șaptea din Regulamentul (UE) nr. 575/2013 și în capitolul 2 din Regulamentul (UE) 2017/2402, cerința de fonduri proprii suplimentare relevantă menționată la articolul 104 alineatul (1) litera (a) din prezenta directivă și, după caz, cerința amortizorului combinat sau cerința amortizorului pentru indicatorul efectului de levier menționată la articolul 92 alineatul (1a) din Regulamentul (UE) nr. 575/2013.</w:t>
            </w:r>
          </w:p>
        </w:tc>
        <w:tc>
          <w:tcPr>
            <w:tcW w:w="1928" w:type="pct"/>
            <w:gridSpan w:val="3"/>
            <w:tcBorders>
              <w:top w:val="single" w:sz="4" w:space="0" w:color="auto"/>
              <w:left w:val="single" w:sz="4" w:space="0" w:color="auto"/>
              <w:bottom w:val="single" w:sz="4" w:space="0" w:color="auto"/>
              <w:right w:val="single" w:sz="4" w:space="0" w:color="auto"/>
            </w:tcBorders>
          </w:tcPr>
          <w:p w14:paraId="021D63F3" w14:textId="509AD2F0" w:rsidR="00984B34" w:rsidRPr="009E686F" w:rsidRDefault="00984B34" w:rsidP="00984B34">
            <w:pPr>
              <w:spacing w:after="0"/>
              <w:jc w:val="both"/>
              <w:rPr>
                <w:rFonts w:ascii="Times New Roman" w:hAnsi="Times New Roman" w:cs="Times New Roman"/>
                <w:b/>
                <w:i/>
                <w:lang w:val="ro-RO"/>
              </w:rPr>
            </w:pPr>
            <w:r w:rsidRPr="009E686F">
              <w:rPr>
                <w:rFonts w:ascii="Times New Roman" w:eastAsia="Aptos" w:hAnsi="Times New Roman" w:cs="Times New Roman"/>
                <w:i/>
                <w:iCs/>
                <w:kern w:val="2"/>
                <w:lang w:val="ro-MD"/>
              </w:rPr>
              <w:t>(8</w:t>
            </w:r>
            <w:r w:rsidRPr="009E686F">
              <w:rPr>
                <w:rFonts w:ascii="Times New Roman" w:eastAsia="Aptos" w:hAnsi="Times New Roman" w:cs="Times New Roman"/>
                <w:i/>
                <w:kern w:val="2"/>
                <w:lang w:val="ro-MD"/>
              </w:rPr>
              <w:t>) Neconformitatea cu orientările prevăzute la alin. (</w:t>
            </w:r>
            <w:r w:rsidR="003E0C4A" w:rsidRPr="009E686F">
              <w:rPr>
                <w:rFonts w:ascii="Times New Roman" w:eastAsia="Aptos" w:hAnsi="Times New Roman" w:cs="Times New Roman"/>
                <w:i/>
                <w:kern w:val="2"/>
                <w:lang w:val="ro-MD"/>
              </w:rPr>
              <w:t>4</w:t>
            </w:r>
            <w:r w:rsidRPr="009E686F">
              <w:rPr>
                <w:rFonts w:ascii="Times New Roman" w:eastAsia="Aptos" w:hAnsi="Times New Roman" w:cs="Times New Roman"/>
                <w:i/>
                <w:kern w:val="2"/>
                <w:lang w:val="ro-MD"/>
              </w:rPr>
              <w:t>) nu impune aplicarea restricțiilor privind distribuirile referitoare la cerința amortizorului combinat și cerința amortizorului pentru indicatorul efectului de levier astfel cum este prevăzut de actele normative ale Băncii Naționale a Moldovei</w:t>
            </w:r>
            <w:r w:rsidRPr="009E686F">
              <w:rPr>
                <w:rFonts w:ascii="Times New Roman" w:eastAsia="Aptos" w:hAnsi="Times New Roman" w:cs="Times New Roman"/>
                <w:i/>
                <w:iCs/>
                <w:kern w:val="2"/>
                <w:lang w:val="ro-MD"/>
              </w:rPr>
              <w:t>, cu condiția ca instituția de credit să respecte cerințele de fonduri proprii relevante, inclusiv cerința de fonduri proprii suplimentare impuse potrivit art. 139 alin. (3) lit. a) și amortizoarele relevante</w:t>
            </w:r>
            <w:r w:rsidRPr="009E686F">
              <w:rPr>
                <w:rFonts w:ascii="Times New Roman" w:eastAsia="Aptos" w:hAnsi="Times New Roman" w:cs="Times New Roman"/>
                <w:i/>
                <w:kern w:val="2"/>
                <w:lang w:val="ro-MD"/>
              </w:rPr>
              <w:t>.</w:t>
            </w:r>
          </w:p>
        </w:tc>
        <w:tc>
          <w:tcPr>
            <w:tcW w:w="470" w:type="pct"/>
            <w:tcBorders>
              <w:top w:val="single" w:sz="4" w:space="0" w:color="auto"/>
              <w:left w:val="single" w:sz="4" w:space="0" w:color="auto"/>
              <w:bottom w:val="single" w:sz="4" w:space="0" w:color="auto"/>
              <w:right w:val="single" w:sz="4" w:space="0" w:color="auto"/>
            </w:tcBorders>
          </w:tcPr>
          <w:p w14:paraId="3C900D69" w14:textId="41798B30"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7D5F4E75" w14:textId="77777777" w:rsidR="00984B34" w:rsidRPr="009E686F" w:rsidRDefault="00984B34" w:rsidP="00984B34">
            <w:pPr>
              <w:jc w:val="both"/>
              <w:rPr>
                <w:rFonts w:ascii="Times New Roman" w:hAnsi="Times New Roman" w:cs="Times New Roman"/>
                <w:lang w:val="ro-RO"/>
              </w:rPr>
            </w:pPr>
          </w:p>
        </w:tc>
      </w:tr>
      <w:tr w:rsidR="00984B34" w:rsidRPr="009E686F" w14:paraId="134E86D9"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3D300F01" w14:textId="77777777" w:rsidR="00984B34" w:rsidRPr="009E686F" w:rsidRDefault="00984B34" w:rsidP="00984B34">
            <w:pPr>
              <w:spacing w:after="0"/>
              <w:jc w:val="both"/>
              <w:rPr>
                <w:rFonts w:ascii="Times New Roman" w:hAnsi="Times New Roman" w:cs="Times New Roman"/>
                <w:i/>
                <w:iCs/>
                <w:lang w:val="ro-RO"/>
              </w:rPr>
            </w:pPr>
            <w:r w:rsidRPr="009E686F">
              <w:rPr>
                <w:rFonts w:ascii="Times New Roman" w:hAnsi="Times New Roman" w:cs="Times New Roman"/>
                <w:i/>
                <w:lang w:val="ro-RO"/>
              </w:rPr>
              <w:t xml:space="preserve">Articolul 104c </w:t>
            </w:r>
          </w:p>
          <w:p w14:paraId="1CD6C312" w14:textId="27993FC4"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Cooperarea cu autoritățile de rezoluție</w:t>
            </w:r>
          </w:p>
          <w:p w14:paraId="14A7B78A" w14:textId="77777777" w:rsidR="00984B34" w:rsidRPr="009E686F" w:rsidRDefault="00984B34" w:rsidP="00984B34">
            <w:pPr>
              <w:spacing w:after="0"/>
              <w:jc w:val="both"/>
              <w:rPr>
                <w:rFonts w:ascii="Times New Roman" w:hAnsi="Times New Roman" w:cs="Times New Roman"/>
                <w:lang w:val="ro-RO"/>
              </w:rPr>
            </w:pPr>
          </w:p>
          <w:p w14:paraId="59E34687" w14:textId="76065331"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Autoritățile competente notifică autorităților de rezoluție relevante cerința de fonduri proprii suplimentare impusă instituțiilor în temeiul articolului 104 alineatul (1) litera (a) și eventualele orientări privind fondurile proprii suplimentare comunicate instituțiilor în conformitate cu articolul 104b alineatul (3).</w:t>
            </w:r>
          </w:p>
        </w:tc>
        <w:tc>
          <w:tcPr>
            <w:tcW w:w="1928" w:type="pct"/>
            <w:gridSpan w:val="3"/>
            <w:tcBorders>
              <w:top w:val="single" w:sz="4" w:space="0" w:color="auto"/>
              <w:left w:val="single" w:sz="4" w:space="0" w:color="auto"/>
              <w:bottom w:val="single" w:sz="4" w:space="0" w:color="auto"/>
              <w:right w:val="single" w:sz="4" w:space="0" w:color="auto"/>
            </w:tcBorders>
          </w:tcPr>
          <w:p w14:paraId="69FA3BED" w14:textId="6E63013A" w:rsidR="00984B34" w:rsidRPr="009E686F" w:rsidRDefault="00984B34" w:rsidP="00984B34">
            <w:pPr>
              <w:spacing w:after="0"/>
              <w:jc w:val="both"/>
              <w:rPr>
                <w:rFonts w:ascii="Times New Roman" w:eastAsia="Aptos" w:hAnsi="Times New Roman" w:cs="Times New Roman"/>
                <w:b/>
                <w:bCs/>
                <w:kern w:val="2"/>
                <w:lang w:val="ro-MD"/>
              </w:rPr>
            </w:pPr>
            <w:r w:rsidRPr="009E686F">
              <w:rPr>
                <w:rFonts w:ascii="Times New Roman" w:eastAsia="Aptos" w:hAnsi="Times New Roman" w:cs="Times New Roman"/>
                <w:b/>
                <w:bCs/>
                <w:kern w:val="2"/>
                <w:lang w:val="ro-MD"/>
              </w:rPr>
              <w:t>Articolul 139</w:t>
            </w:r>
            <w:r w:rsidRPr="009E686F">
              <w:rPr>
                <w:rFonts w:ascii="Times New Roman" w:eastAsia="Aptos" w:hAnsi="Times New Roman" w:cs="Times New Roman"/>
                <w:b/>
                <w:bCs/>
                <w:kern w:val="2"/>
                <w:vertAlign w:val="superscript"/>
                <w:lang w:val="ro-MD"/>
              </w:rPr>
              <w:t>1</w:t>
            </w:r>
            <w:r w:rsidRPr="009E686F">
              <w:rPr>
                <w:rFonts w:ascii="Times New Roman" w:eastAsia="Aptos" w:hAnsi="Times New Roman" w:cs="Times New Roman"/>
                <w:b/>
                <w:bCs/>
                <w:kern w:val="2"/>
                <w:lang w:val="ro-MD"/>
              </w:rPr>
              <w:t xml:space="preserve"> alin. (15)</w:t>
            </w:r>
          </w:p>
          <w:p w14:paraId="7B081EB4" w14:textId="2902CFDB" w:rsidR="00984B34" w:rsidRPr="009E686F" w:rsidRDefault="00984B34" w:rsidP="00984B34">
            <w:pPr>
              <w:spacing w:after="0"/>
              <w:jc w:val="both"/>
              <w:rPr>
                <w:rFonts w:ascii="Times New Roman" w:hAnsi="Times New Roman" w:cs="Times New Roman"/>
                <w:b/>
                <w:i/>
                <w:lang w:val="ro-RO"/>
              </w:rPr>
            </w:pPr>
            <w:r w:rsidRPr="009E686F">
              <w:rPr>
                <w:rFonts w:ascii="Times New Roman" w:eastAsia="Aptos" w:hAnsi="Times New Roman" w:cs="Times New Roman"/>
                <w:i/>
                <w:kern w:val="2"/>
                <w:lang w:val="ro-MD"/>
              </w:rPr>
              <w:t>(</w:t>
            </w:r>
            <w:r w:rsidRPr="009E686F">
              <w:rPr>
                <w:rFonts w:ascii="Times New Roman" w:eastAsia="Aptos" w:hAnsi="Times New Roman" w:cs="Times New Roman"/>
                <w:i/>
                <w:iCs/>
                <w:kern w:val="2"/>
                <w:lang w:val="ro-MD"/>
              </w:rPr>
              <w:t>15</w:t>
            </w:r>
            <w:r w:rsidRPr="009E686F">
              <w:rPr>
                <w:rFonts w:ascii="Times New Roman" w:eastAsia="Aptos" w:hAnsi="Times New Roman" w:cs="Times New Roman"/>
                <w:i/>
                <w:kern w:val="2"/>
                <w:lang w:val="ro-MD"/>
              </w:rPr>
              <w:t xml:space="preserve">) Banca Națională a Moldovei notifică autorităţilor de rezoluţie relevante cerinţa de fonduri proprii suplimentare impusă </w:t>
            </w:r>
            <w:r w:rsidRPr="009E686F">
              <w:rPr>
                <w:rFonts w:ascii="Times New Roman" w:eastAsia="Aptos" w:hAnsi="Times New Roman" w:cs="Times New Roman"/>
                <w:i/>
                <w:iCs/>
                <w:kern w:val="2"/>
                <w:lang w:val="ro-MD"/>
              </w:rPr>
              <w:t>instituțiilor de credit</w:t>
            </w:r>
            <w:r w:rsidRPr="009E686F">
              <w:rPr>
                <w:rFonts w:ascii="Times New Roman" w:eastAsia="Aptos" w:hAnsi="Times New Roman" w:cs="Times New Roman"/>
                <w:i/>
                <w:kern w:val="2"/>
                <w:lang w:val="ro-MD"/>
              </w:rPr>
              <w:t xml:space="preserve"> în temeiul art. 139 alin. (3) lit. a) și eventualele orientări privind fondurile proprii suplimentare comunicate </w:t>
            </w:r>
            <w:r w:rsidRPr="009E686F">
              <w:rPr>
                <w:rFonts w:ascii="Times New Roman" w:eastAsia="Aptos" w:hAnsi="Times New Roman" w:cs="Times New Roman"/>
                <w:i/>
                <w:iCs/>
                <w:kern w:val="2"/>
                <w:lang w:val="ro-MD"/>
              </w:rPr>
              <w:t>instituțiilor de credit</w:t>
            </w:r>
            <w:r w:rsidRPr="009E686F">
              <w:rPr>
                <w:rFonts w:ascii="Times New Roman" w:eastAsia="Aptos" w:hAnsi="Times New Roman" w:cs="Times New Roman"/>
                <w:i/>
                <w:kern w:val="2"/>
                <w:lang w:val="ro-MD"/>
              </w:rPr>
              <w:t xml:space="preserve"> în conformitate cu articolul 101</w:t>
            </w:r>
            <w:r w:rsidRPr="009E686F">
              <w:rPr>
                <w:rFonts w:ascii="Times New Roman" w:eastAsia="Aptos" w:hAnsi="Times New Roman" w:cs="Times New Roman"/>
                <w:i/>
                <w:kern w:val="2"/>
                <w:vertAlign w:val="superscript"/>
                <w:lang w:val="ro-MD"/>
              </w:rPr>
              <w:t>1</w:t>
            </w:r>
            <w:r w:rsidRPr="009E686F">
              <w:rPr>
                <w:rFonts w:ascii="Times New Roman" w:eastAsia="Aptos" w:hAnsi="Times New Roman" w:cs="Times New Roman"/>
                <w:i/>
                <w:kern w:val="2"/>
                <w:lang w:val="ro-MD"/>
              </w:rPr>
              <w:t xml:space="preserve"> alin. (3).</w:t>
            </w:r>
          </w:p>
        </w:tc>
        <w:tc>
          <w:tcPr>
            <w:tcW w:w="470" w:type="pct"/>
            <w:tcBorders>
              <w:top w:val="single" w:sz="4" w:space="0" w:color="auto"/>
              <w:left w:val="single" w:sz="4" w:space="0" w:color="auto"/>
              <w:bottom w:val="single" w:sz="4" w:space="0" w:color="auto"/>
              <w:right w:val="single" w:sz="4" w:space="0" w:color="auto"/>
            </w:tcBorders>
          </w:tcPr>
          <w:p w14:paraId="018EE7FD" w14:textId="46561D36"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62668D7B" w14:textId="77777777" w:rsidR="00984B34" w:rsidRPr="009E686F" w:rsidRDefault="00984B34" w:rsidP="00984B34">
            <w:pPr>
              <w:jc w:val="both"/>
              <w:rPr>
                <w:rFonts w:ascii="Times New Roman" w:hAnsi="Times New Roman" w:cs="Times New Roman"/>
                <w:lang w:val="ro-RO"/>
              </w:rPr>
            </w:pPr>
          </w:p>
        </w:tc>
      </w:tr>
      <w:tr w:rsidR="00984B34" w:rsidRPr="009E686F" w14:paraId="459ECBEB" w14:textId="34C23227" w:rsidTr="00774F3E">
        <w:tc>
          <w:tcPr>
            <w:tcW w:w="5000" w:type="pct"/>
            <w:gridSpan w:val="7"/>
            <w:tcBorders>
              <w:top w:val="single" w:sz="4" w:space="0" w:color="auto"/>
              <w:left w:val="single" w:sz="4" w:space="0" w:color="auto"/>
              <w:bottom w:val="single" w:sz="4" w:space="0" w:color="auto"/>
              <w:right w:val="single" w:sz="4" w:space="0" w:color="auto"/>
            </w:tcBorders>
          </w:tcPr>
          <w:p w14:paraId="058615AD" w14:textId="77777777" w:rsidR="00984B34" w:rsidRPr="009E686F" w:rsidRDefault="00984B34" w:rsidP="00984B34">
            <w:pPr>
              <w:spacing w:after="0"/>
              <w:jc w:val="both"/>
              <w:rPr>
                <w:rFonts w:ascii="Times New Roman" w:hAnsi="Times New Roman" w:cs="Times New Roman"/>
                <w:i/>
                <w:iCs/>
                <w:lang w:val="ro-RO"/>
              </w:rPr>
            </w:pPr>
            <w:r w:rsidRPr="009E686F">
              <w:rPr>
                <w:rFonts w:ascii="Times New Roman" w:hAnsi="Times New Roman" w:cs="Times New Roman"/>
                <w:i/>
                <w:iCs/>
                <w:lang w:val="ro-RO"/>
              </w:rPr>
              <w:t xml:space="preserve">Articolul 105 </w:t>
            </w:r>
          </w:p>
          <w:p w14:paraId="234F71DB" w14:textId="20E87799"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Cerințe specifice privind lichiditățile</w:t>
            </w:r>
          </w:p>
        </w:tc>
      </w:tr>
      <w:tr w:rsidR="00984B34" w:rsidRPr="009E686F" w14:paraId="28B4A50B" w14:textId="4EF7DDCC" w:rsidTr="00774F3E">
        <w:tc>
          <w:tcPr>
            <w:tcW w:w="1796" w:type="pct"/>
            <w:gridSpan w:val="2"/>
            <w:tcBorders>
              <w:top w:val="single" w:sz="4" w:space="0" w:color="auto"/>
              <w:left w:val="single" w:sz="4" w:space="0" w:color="auto"/>
              <w:bottom w:val="single" w:sz="4" w:space="0" w:color="auto"/>
              <w:right w:val="single" w:sz="4" w:space="0" w:color="auto"/>
            </w:tcBorders>
          </w:tcPr>
          <w:p w14:paraId="770DEB43"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În scopul determinării nivelului adecvat al cerințelor de lichiditate pe baza analizei și a evaluării efectuate în conformitate cu secțiunea III, autoritățile competente stabilesc dacă, pentru acoperirea riscurilor de lichiditate la care o instituție este sau ar putea fi expusă, este necesară impunerea unei cerințe specifice privind lichiditățile, luând în considerare următoarele elemente:</w:t>
            </w:r>
          </w:p>
        </w:tc>
        <w:tc>
          <w:tcPr>
            <w:tcW w:w="1928" w:type="pct"/>
            <w:gridSpan w:val="3"/>
            <w:tcBorders>
              <w:top w:val="single" w:sz="4" w:space="0" w:color="auto"/>
              <w:left w:val="single" w:sz="4" w:space="0" w:color="auto"/>
              <w:bottom w:val="single" w:sz="4" w:space="0" w:color="auto"/>
              <w:right w:val="single" w:sz="4" w:space="0" w:color="auto"/>
            </w:tcBorders>
          </w:tcPr>
          <w:p w14:paraId="2EEE1EB0" w14:textId="77777777" w:rsidR="00984B34" w:rsidRPr="009E686F" w:rsidRDefault="00984B34" w:rsidP="00984B34">
            <w:pPr>
              <w:spacing w:after="0"/>
              <w:jc w:val="both"/>
              <w:rPr>
                <w:rFonts w:ascii="Times New Roman" w:hAnsi="Times New Roman" w:cs="Times New Roman"/>
                <w:b/>
                <w:bCs/>
                <w:lang w:val="ro-RO"/>
              </w:rPr>
            </w:pPr>
            <w:r w:rsidRPr="009E686F">
              <w:rPr>
                <w:rFonts w:ascii="Times New Roman" w:hAnsi="Times New Roman" w:cs="Times New Roman"/>
                <w:b/>
                <w:bCs/>
                <w:lang w:val="ro-RO"/>
              </w:rPr>
              <w:t>Articolul 139 alin. (6)</w:t>
            </w:r>
          </w:p>
          <w:p w14:paraId="72F5D06A" w14:textId="675EB21A" w:rsidR="00984B34" w:rsidRPr="009E686F" w:rsidRDefault="00984B34" w:rsidP="00984B34">
            <w:pPr>
              <w:spacing w:after="0"/>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 xml:space="preserve">(5) În scopul determinării nivelului </w:t>
            </w:r>
            <w:r w:rsidRPr="009E686F">
              <w:rPr>
                <w:rFonts w:ascii="Times New Roman" w:eastAsia="Aptos" w:hAnsi="Times New Roman" w:cs="Times New Roman"/>
                <w:i/>
                <w:kern w:val="2"/>
                <w:lang w:val="ro-MD"/>
              </w:rPr>
              <w:t>adecvat</w:t>
            </w:r>
            <w:r w:rsidRPr="009E686F">
              <w:rPr>
                <w:rFonts w:ascii="Times New Roman" w:eastAsia="Aptos" w:hAnsi="Times New Roman" w:cs="Times New Roman"/>
                <w:kern w:val="2"/>
                <w:lang w:val="ro-MD"/>
              </w:rPr>
              <w:t xml:space="preserve"> al fondurilor proprii pe baza verificării şi evaluării efectuate conform prezentei legi, precum şi conform actelor normative emise în aplicarea acesteia, Banca Naţională a Moldovei determină dacă este necesară impunerea unei cerinţe suplimentare de fonduri proprii, peste cerinţa de fonduri proprii pentru acoperirea riscurilor la </w:t>
            </w:r>
            <w:r w:rsidRPr="009E686F">
              <w:rPr>
                <w:rFonts w:ascii="Times New Roman" w:eastAsia="Aptos" w:hAnsi="Times New Roman" w:cs="Times New Roman"/>
                <w:kern w:val="2"/>
                <w:lang w:val="ro-MD"/>
              </w:rPr>
              <w:lastRenderedPageBreak/>
              <w:t xml:space="preserve">care </w:t>
            </w:r>
            <w:r w:rsidRPr="009E686F">
              <w:rPr>
                <w:rFonts w:ascii="Times New Roman" w:eastAsia="Aptos" w:hAnsi="Times New Roman" w:cs="Times New Roman"/>
                <w:i/>
                <w:iCs/>
                <w:kern w:val="2"/>
                <w:lang w:val="ro-MD"/>
              </w:rPr>
              <w:t>instituția de credit</w:t>
            </w:r>
            <w:r w:rsidRPr="009E686F">
              <w:rPr>
                <w:rFonts w:ascii="Times New Roman" w:eastAsia="Aptos" w:hAnsi="Times New Roman" w:cs="Times New Roman"/>
                <w:kern w:val="2"/>
                <w:lang w:val="ro-MD"/>
              </w:rPr>
              <w:t xml:space="preserve"> este sau ar putea fi expusă, luînd în considerare următoarele elemente:</w:t>
            </w:r>
          </w:p>
        </w:tc>
        <w:tc>
          <w:tcPr>
            <w:tcW w:w="470" w:type="pct"/>
            <w:tcBorders>
              <w:top w:val="single" w:sz="4" w:space="0" w:color="auto"/>
              <w:left w:val="single" w:sz="4" w:space="0" w:color="auto"/>
              <w:bottom w:val="single" w:sz="4" w:space="0" w:color="auto"/>
              <w:right w:val="single" w:sz="4" w:space="0" w:color="auto"/>
            </w:tcBorders>
          </w:tcPr>
          <w:p w14:paraId="5B495E54" w14:textId="3A2C5BE3"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6E10732F" w14:textId="77777777" w:rsidR="00984B34" w:rsidRPr="009E686F" w:rsidRDefault="00984B34" w:rsidP="00984B34">
            <w:pPr>
              <w:jc w:val="both"/>
              <w:rPr>
                <w:rFonts w:ascii="Times New Roman" w:hAnsi="Times New Roman" w:cs="Times New Roman"/>
                <w:lang w:val="ro-RO"/>
              </w:rPr>
            </w:pPr>
          </w:p>
        </w:tc>
      </w:tr>
      <w:tr w:rsidR="00984B34" w:rsidRPr="009E686F" w14:paraId="3E87515C" w14:textId="4E341939" w:rsidTr="00774F3E">
        <w:tc>
          <w:tcPr>
            <w:tcW w:w="1796" w:type="pct"/>
            <w:gridSpan w:val="2"/>
            <w:tcBorders>
              <w:top w:val="single" w:sz="4" w:space="0" w:color="auto"/>
              <w:left w:val="single" w:sz="4" w:space="0" w:color="auto"/>
              <w:bottom w:val="single" w:sz="4" w:space="0" w:color="auto"/>
              <w:right w:val="single" w:sz="4" w:space="0" w:color="auto"/>
            </w:tcBorders>
          </w:tcPr>
          <w:p w14:paraId="016DDBE6" w14:textId="3BE7C4C6"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(a) modelul de afaceri specific al instituției;</w:t>
            </w:r>
          </w:p>
        </w:tc>
        <w:tc>
          <w:tcPr>
            <w:tcW w:w="1928" w:type="pct"/>
            <w:gridSpan w:val="3"/>
            <w:tcBorders>
              <w:top w:val="single" w:sz="4" w:space="0" w:color="auto"/>
              <w:left w:val="single" w:sz="4" w:space="0" w:color="auto"/>
              <w:bottom w:val="single" w:sz="4" w:space="0" w:color="auto"/>
              <w:right w:val="single" w:sz="4" w:space="0" w:color="auto"/>
            </w:tcBorders>
          </w:tcPr>
          <w:p w14:paraId="7D5AEE38" w14:textId="77777777" w:rsidR="00984B34" w:rsidRPr="009E686F" w:rsidRDefault="00984B34" w:rsidP="00984B34">
            <w:pPr>
              <w:spacing w:after="0"/>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a) modelul de afaceri al acesteia;</w:t>
            </w:r>
          </w:p>
          <w:p w14:paraId="18469051" w14:textId="5127C26F" w:rsidR="00984B34" w:rsidRPr="009E686F" w:rsidRDefault="00984B34" w:rsidP="00984B34">
            <w:pPr>
              <w:spacing w:after="0" w:line="278" w:lineRule="auto"/>
              <w:jc w:val="both"/>
              <w:rPr>
                <w:rFonts w:ascii="Times New Roman" w:eastAsia="Aptos" w:hAnsi="Times New Roman" w:cs="Times New Roman"/>
                <w:kern w:val="2"/>
                <w:lang w:val="pt-BR"/>
              </w:rPr>
            </w:pPr>
          </w:p>
        </w:tc>
        <w:tc>
          <w:tcPr>
            <w:tcW w:w="470" w:type="pct"/>
            <w:tcBorders>
              <w:top w:val="single" w:sz="4" w:space="0" w:color="auto"/>
              <w:left w:val="single" w:sz="4" w:space="0" w:color="auto"/>
              <w:bottom w:val="single" w:sz="4" w:space="0" w:color="auto"/>
              <w:right w:val="single" w:sz="4" w:space="0" w:color="auto"/>
            </w:tcBorders>
          </w:tcPr>
          <w:p w14:paraId="661B4086" w14:textId="4F909D0F"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478AE2D9" w14:textId="77777777" w:rsidR="00984B34" w:rsidRPr="009E686F" w:rsidRDefault="00984B34" w:rsidP="00984B34">
            <w:pPr>
              <w:jc w:val="both"/>
              <w:rPr>
                <w:rFonts w:ascii="Times New Roman" w:hAnsi="Times New Roman" w:cs="Times New Roman"/>
                <w:lang w:val="ro-RO"/>
              </w:rPr>
            </w:pPr>
          </w:p>
        </w:tc>
      </w:tr>
      <w:tr w:rsidR="00984B34" w:rsidRPr="009E686F" w14:paraId="549CAB0E" w14:textId="256BE6E4" w:rsidTr="00774F3E">
        <w:tc>
          <w:tcPr>
            <w:tcW w:w="1796" w:type="pct"/>
            <w:gridSpan w:val="2"/>
            <w:tcBorders>
              <w:top w:val="single" w:sz="4" w:space="0" w:color="auto"/>
              <w:left w:val="single" w:sz="4" w:space="0" w:color="auto"/>
              <w:bottom w:val="single" w:sz="4" w:space="0" w:color="auto"/>
              <w:right w:val="single" w:sz="4" w:space="0" w:color="auto"/>
            </w:tcBorders>
          </w:tcPr>
          <w:p w14:paraId="57719B75" w14:textId="37E6DA1F"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(b) măsurile, procedurile și mecanismele instituției, menționate în secțiunea II și în special la articolul 86;</w:t>
            </w:r>
          </w:p>
        </w:tc>
        <w:tc>
          <w:tcPr>
            <w:tcW w:w="1928" w:type="pct"/>
            <w:gridSpan w:val="3"/>
            <w:tcBorders>
              <w:top w:val="single" w:sz="4" w:space="0" w:color="auto"/>
              <w:left w:val="single" w:sz="4" w:space="0" w:color="auto"/>
              <w:bottom w:val="single" w:sz="4" w:space="0" w:color="auto"/>
              <w:right w:val="single" w:sz="4" w:space="0" w:color="auto"/>
            </w:tcBorders>
          </w:tcPr>
          <w:p w14:paraId="27BDB16C" w14:textId="094F1F46" w:rsidR="00984B34" w:rsidRPr="009E686F" w:rsidRDefault="00984B34" w:rsidP="00984B34">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 xml:space="preserve">b) cadrul de administrare a activităţii, procesele şi mecanismele </w:t>
            </w:r>
            <w:r w:rsidRPr="009E686F">
              <w:rPr>
                <w:rFonts w:ascii="Times New Roman" w:eastAsia="Aptos" w:hAnsi="Times New Roman" w:cs="Times New Roman"/>
                <w:i/>
                <w:iCs/>
                <w:kern w:val="2"/>
                <w:lang w:val="ro-MD"/>
              </w:rPr>
              <w:t>instituția de credit</w:t>
            </w:r>
            <w:r w:rsidRPr="009E686F">
              <w:rPr>
                <w:rFonts w:ascii="Times New Roman" w:eastAsia="Aptos" w:hAnsi="Times New Roman" w:cs="Times New Roman"/>
                <w:kern w:val="2"/>
                <w:lang w:val="ro-MD"/>
              </w:rPr>
              <w:t xml:space="preserve"> privind cadrul respectiv;</w:t>
            </w:r>
          </w:p>
          <w:p w14:paraId="25AFFEDD" w14:textId="3FC565CB" w:rsidR="00984B34" w:rsidRPr="009E686F" w:rsidRDefault="00984B34" w:rsidP="00984B34">
            <w:pPr>
              <w:spacing w:after="0"/>
              <w:jc w:val="both"/>
              <w:rPr>
                <w:rFonts w:ascii="Times New Roman" w:hAnsi="Times New Roman" w:cs="Times New Roman"/>
                <w:lang w:val="ro-RO"/>
              </w:rPr>
            </w:pPr>
          </w:p>
        </w:tc>
        <w:tc>
          <w:tcPr>
            <w:tcW w:w="470" w:type="pct"/>
            <w:tcBorders>
              <w:top w:val="single" w:sz="4" w:space="0" w:color="auto"/>
              <w:left w:val="single" w:sz="4" w:space="0" w:color="auto"/>
              <w:bottom w:val="single" w:sz="4" w:space="0" w:color="auto"/>
              <w:right w:val="single" w:sz="4" w:space="0" w:color="auto"/>
            </w:tcBorders>
          </w:tcPr>
          <w:p w14:paraId="6BD139A0" w14:textId="79E630AC"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09B1CDB4" w14:textId="77777777" w:rsidR="00984B34" w:rsidRPr="009E686F" w:rsidRDefault="00984B34" w:rsidP="00984B34">
            <w:pPr>
              <w:jc w:val="both"/>
              <w:rPr>
                <w:rFonts w:ascii="Times New Roman" w:hAnsi="Times New Roman" w:cs="Times New Roman"/>
                <w:lang w:val="ro-RO"/>
              </w:rPr>
            </w:pPr>
          </w:p>
        </w:tc>
      </w:tr>
      <w:tr w:rsidR="00984B34" w:rsidRPr="009E686F" w14:paraId="6D662474" w14:textId="1989851B" w:rsidTr="00774F3E">
        <w:tc>
          <w:tcPr>
            <w:tcW w:w="1796" w:type="pct"/>
            <w:gridSpan w:val="2"/>
            <w:tcBorders>
              <w:top w:val="single" w:sz="4" w:space="0" w:color="auto"/>
              <w:left w:val="single" w:sz="4" w:space="0" w:color="auto"/>
              <w:bottom w:val="single" w:sz="4" w:space="0" w:color="auto"/>
              <w:right w:val="single" w:sz="4" w:space="0" w:color="auto"/>
            </w:tcBorders>
          </w:tcPr>
          <w:p w14:paraId="584F65CD" w14:textId="7FD25D45"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(c) rezultatul analizei și al evaluării efectuate în conformitate cu articolul 97;</w:t>
            </w:r>
          </w:p>
        </w:tc>
        <w:tc>
          <w:tcPr>
            <w:tcW w:w="1928" w:type="pct"/>
            <w:gridSpan w:val="3"/>
            <w:tcBorders>
              <w:top w:val="single" w:sz="4" w:space="0" w:color="auto"/>
              <w:left w:val="single" w:sz="4" w:space="0" w:color="auto"/>
              <w:bottom w:val="single" w:sz="4" w:space="0" w:color="auto"/>
              <w:right w:val="single" w:sz="4" w:space="0" w:color="auto"/>
            </w:tcBorders>
          </w:tcPr>
          <w:p w14:paraId="4012EAA6" w14:textId="29C0A0E8" w:rsidR="00984B34" w:rsidRPr="009E686F" w:rsidRDefault="00984B34" w:rsidP="00984B34">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c) rezultatele verificărilor şi evaluărilor efectuate conform art.100;</w:t>
            </w:r>
          </w:p>
        </w:tc>
        <w:tc>
          <w:tcPr>
            <w:tcW w:w="470" w:type="pct"/>
            <w:tcBorders>
              <w:top w:val="single" w:sz="4" w:space="0" w:color="auto"/>
              <w:left w:val="single" w:sz="4" w:space="0" w:color="auto"/>
              <w:bottom w:val="single" w:sz="4" w:space="0" w:color="auto"/>
              <w:right w:val="single" w:sz="4" w:space="0" w:color="auto"/>
            </w:tcBorders>
          </w:tcPr>
          <w:p w14:paraId="30C0BED8" w14:textId="0EE629BA"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2FC4EAD0" w14:textId="77777777" w:rsidR="00984B34" w:rsidRPr="009E686F" w:rsidRDefault="00984B34" w:rsidP="00984B34">
            <w:pPr>
              <w:jc w:val="both"/>
              <w:rPr>
                <w:rFonts w:ascii="Times New Roman" w:hAnsi="Times New Roman" w:cs="Times New Roman"/>
                <w:lang w:val="ro-RO"/>
              </w:rPr>
            </w:pPr>
          </w:p>
        </w:tc>
      </w:tr>
      <w:tr w:rsidR="00984B34" w:rsidRPr="009E686F" w14:paraId="598C2EAE" w14:textId="1A31800D" w:rsidTr="00774F3E">
        <w:tc>
          <w:tcPr>
            <w:tcW w:w="1796" w:type="pct"/>
            <w:gridSpan w:val="2"/>
            <w:tcBorders>
              <w:top w:val="single" w:sz="4" w:space="0" w:color="auto"/>
              <w:left w:val="single" w:sz="4" w:space="0" w:color="auto"/>
              <w:bottom w:val="single" w:sz="4" w:space="0" w:color="auto"/>
              <w:right w:val="single" w:sz="4" w:space="0" w:color="auto"/>
            </w:tcBorders>
          </w:tcPr>
          <w:p w14:paraId="4805FC97"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În mod special, fără a aduce atingere articolului 67, autoritățile competente ar trebui să analizeze necesitatea aplicării unor sancțiuni administrative sau a altor măsuri administrative, inclusiv a unor taxe prudențiale, al căror nivel este corelat în general cu diferența dintre poziția lichidității curente a unei instituții și eventualele cerințe în materie de lichiditate și finanțare stabilă definite la nivel național sau la nivelul Uniunii.</w:t>
            </w:r>
          </w:p>
        </w:tc>
        <w:tc>
          <w:tcPr>
            <w:tcW w:w="1928" w:type="pct"/>
            <w:gridSpan w:val="3"/>
            <w:tcBorders>
              <w:top w:val="single" w:sz="4" w:space="0" w:color="auto"/>
              <w:left w:val="single" w:sz="4" w:space="0" w:color="auto"/>
              <w:bottom w:val="single" w:sz="4" w:space="0" w:color="auto"/>
              <w:right w:val="single" w:sz="4" w:space="0" w:color="auto"/>
            </w:tcBorders>
          </w:tcPr>
          <w:p w14:paraId="3998D2C2" w14:textId="78E0DE48" w:rsidR="00984B34" w:rsidRPr="009E686F" w:rsidRDefault="00984B34" w:rsidP="00984B34">
            <w:pPr>
              <w:spacing w:after="0"/>
              <w:jc w:val="both"/>
              <w:rPr>
                <w:rFonts w:ascii="Times New Roman" w:hAnsi="Times New Roman" w:cs="Times New Roman"/>
                <w:b/>
                <w:bCs/>
                <w:lang w:val="ro-RO"/>
              </w:rPr>
            </w:pPr>
            <w:r w:rsidRPr="009E686F">
              <w:rPr>
                <w:rFonts w:ascii="Times New Roman" w:hAnsi="Times New Roman" w:cs="Times New Roman"/>
                <w:b/>
                <w:bCs/>
                <w:lang w:val="ro-RO"/>
              </w:rPr>
              <w:t>Articolul 139 alin. (7)</w:t>
            </w:r>
          </w:p>
          <w:p w14:paraId="36199585" w14:textId="65458C67" w:rsidR="00984B34" w:rsidRPr="009E686F" w:rsidRDefault="00984B34" w:rsidP="00984B34">
            <w:pPr>
              <w:spacing w:after="0"/>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 xml:space="preserve">(7) În mod special, fără a aduce atingere art.140 şi 141, Banca Naţională a Moldovei analizează necesitatea aplicării unor sancţiuni sau a altor măsuri sancţionatoare, inclusiv a unor cerinţe prudenţiale, al căror nivel este corelat în general cu diferenţa dintre poziţia lichidităţii curente a unei </w:t>
            </w:r>
            <w:r w:rsidRPr="009E686F">
              <w:rPr>
                <w:rFonts w:ascii="Times New Roman" w:eastAsia="Aptos" w:hAnsi="Times New Roman" w:cs="Times New Roman"/>
                <w:i/>
                <w:iCs/>
                <w:kern w:val="2"/>
                <w:lang w:val="ro-MD"/>
              </w:rPr>
              <w:t>instituții de credit</w:t>
            </w:r>
            <w:r w:rsidRPr="009E686F">
              <w:rPr>
                <w:rFonts w:ascii="Times New Roman" w:eastAsia="Aptos" w:hAnsi="Times New Roman" w:cs="Times New Roman"/>
                <w:kern w:val="2"/>
                <w:lang w:val="ro-MD"/>
              </w:rPr>
              <w:t xml:space="preserve"> şi oricare cerinţe de lichiditate şi finanţare stabilă definite la nivelul Republicii Moldova </w:t>
            </w:r>
            <w:r w:rsidRPr="009E686F">
              <w:rPr>
                <w:rFonts w:ascii="Times New Roman" w:eastAsia="Aptos" w:hAnsi="Times New Roman" w:cs="Times New Roman"/>
                <w:i/>
                <w:kern w:val="2"/>
                <w:lang w:val="ro-MD"/>
              </w:rPr>
              <w:t>sau la nivelul Uniunii Europene</w:t>
            </w:r>
            <w:r w:rsidRPr="009E686F">
              <w:rPr>
                <w:rFonts w:ascii="Times New Roman" w:eastAsia="Aptos" w:hAnsi="Times New Roman" w:cs="Times New Roman"/>
                <w:kern w:val="2"/>
                <w:lang w:val="ro-MD"/>
              </w:rPr>
              <w:t>.</w:t>
            </w:r>
          </w:p>
        </w:tc>
        <w:tc>
          <w:tcPr>
            <w:tcW w:w="470" w:type="pct"/>
            <w:tcBorders>
              <w:top w:val="single" w:sz="4" w:space="0" w:color="auto"/>
              <w:left w:val="single" w:sz="4" w:space="0" w:color="auto"/>
              <w:bottom w:val="single" w:sz="4" w:space="0" w:color="auto"/>
              <w:right w:val="single" w:sz="4" w:space="0" w:color="auto"/>
            </w:tcBorders>
          </w:tcPr>
          <w:p w14:paraId="0E89DA66" w14:textId="36B59DB8"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4811FD0E" w14:textId="77777777" w:rsidR="00984B34" w:rsidRPr="009E686F" w:rsidRDefault="00984B34" w:rsidP="00984B34">
            <w:pPr>
              <w:jc w:val="both"/>
              <w:rPr>
                <w:rFonts w:ascii="Times New Roman" w:hAnsi="Times New Roman" w:cs="Times New Roman"/>
                <w:lang w:val="ro-RO"/>
              </w:rPr>
            </w:pPr>
          </w:p>
        </w:tc>
      </w:tr>
      <w:tr w:rsidR="00984B34" w:rsidRPr="009E686F" w14:paraId="566FE40A" w14:textId="3C3F57F8" w:rsidTr="00774F3E">
        <w:tc>
          <w:tcPr>
            <w:tcW w:w="1796" w:type="pct"/>
            <w:gridSpan w:val="2"/>
            <w:tcBorders>
              <w:top w:val="single" w:sz="4" w:space="0" w:color="auto"/>
              <w:left w:val="single" w:sz="4" w:space="0" w:color="auto"/>
              <w:bottom w:val="single" w:sz="4" w:space="0" w:color="auto"/>
              <w:right w:val="single" w:sz="4" w:space="0" w:color="auto"/>
            </w:tcBorders>
          </w:tcPr>
          <w:p w14:paraId="799CCA74" w14:textId="77777777" w:rsidR="00984B34" w:rsidRPr="009E686F" w:rsidRDefault="00984B34" w:rsidP="00984B34">
            <w:pPr>
              <w:spacing w:after="0"/>
              <w:jc w:val="both"/>
              <w:rPr>
                <w:rFonts w:ascii="Times New Roman" w:hAnsi="Times New Roman" w:cs="Times New Roman"/>
                <w:i/>
                <w:iCs/>
                <w:lang w:val="ro-RO"/>
              </w:rPr>
            </w:pPr>
            <w:r w:rsidRPr="009E686F">
              <w:rPr>
                <w:rFonts w:ascii="Times New Roman" w:hAnsi="Times New Roman" w:cs="Times New Roman"/>
                <w:i/>
                <w:iCs/>
                <w:lang w:val="ro-RO"/>
              </w:rPr>
              <w:t xml:space="preserve">Articolul 106 </w:t>
            </w:r>
          </w:p>
          <w:p w14:paraId="5F44516F" w14:textId="38283598"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Cerințe specifice de publicare</w:t>
            </w:r>
          </w:p>
        </w:tc>
        <w:tc>
          <w:tcPr>
            <w:tcW w:w="1928" w:type="pct"/>
            <w:gridSpan w:val="3"/>
            <w:tcBorders>
              <w:top w:val="single" w:sz="4" w:space="0" w:color="auto"/>
              <w:left w:val="single" w:sz="4" w:space="0" w:color="auto"/>
              <w:bottom w:val="single" w:sz="4" w:space="0" w:color="auto"/>
              <w:right w:val="single" w:sz="4" w:space="0" w:color="auto"/>
            </w:tcBorders>
          </w:tcPr>
          <w:p w14:paraId="117D3BFE" w14:textId="77777777" w:rsidR="00984B34" w:rsidRPr="009E686F" w:rsidRDefault="00984B34" w:rsidP="00984B34">
            <w:pPr>
              <w:spacing w:after="0" w:line="240" w:lineRule="auto"/>
              <w:jc w:val="both"/>
              <w:rPr>
                <w:rFonts w:ascii="Times New Roman" w:hAnsi="Times New Roman" w:cs="Times New Roman"/>
                <w:lang w:val="ro-RO"/>
              </w:rPr>
            </w:pPr>
            <w:r w:rsidRPr="009E686F">
              <w:rPr>
                <w:rFonts w:ascii="Times New Roman" w:hAnsi="Times New Roman" w:cs="Times New Roman"/>
                <w:b/>
                <w:bCs/>
                <w:lang w:val="ro-RO"/>
              </w:rPr>
              <w:t>Articolul 94.</w:t>
            </w:r>
            <w:r w:rsidRPr="009E686F">
              <w:rPr>
                <w:rFonts w:ascii="Times New Roman" w:hAnsi="Times New Roman" w:cs="Times New Roman"/>
                <w:lang w:val="ro-RO"/>
              </w:rPr>
              <w:t xml:space="preserve"> Cerințe specifice de publicare</w:t>
            </w:r>
          </w:p>
          <w:p w14:paraId="04C39257"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5DD1D89D" w14:textId="31AD8E62"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47AC8DB1" w14:textId="77777777" w:rsidR="00984B34" w:rsidRPr="009E686F" w:rsidRDefault="00984B34" w:rsidP="00984B34">
            <w:pPr>
              <w:jc w:val="both"/>
              <w:rPr>
                <w:rFonts w:ascii="Times New Roman" w:hAnsi="Times New Roman" w:cs="Times New Roman"/>
                <w:lang w:val="ro-RO"/>
              </w:rPr>
            </w:pPr>
          </w:p>
        </w:tc>
      </w:tr>
      <w:tr w:rsidR="00984B34" w:rsidRPr="009E686F" w14:paraId="7529BD78" w14:textId="6433F7F1" w:rsidTr="00774F3E">
        <w:tc>
          <w:tcPr>
            <w:tcW w:w="1796" w:type="pct"/>
            <w:gridSpan w:val="2"/>
            <w:tcBorders>
              <w:top w:val="single" w:sz="4" w:space="0" w:color="auto"/>
              <w:left w:val="single" w:sz="4" w:space="0" w:color="auto"/>
              <w:bottom w:val="single" w:sz="4" w:space="0" w:color="auto"/>
              <w:right w:val="single" w:sz="4" w:space="0" w:color="auto"/>
            </w:tcBorders>
          </w:tcPr>
          <w:p w14:paraId="6E0CF9C5" w14:textId="38536B32" w:rsidR="00984B34" w:rsidRPr="009E686F" w:rsidRDefault="00984B34" w:rsidP="00984B34">
            <w:pPr>
              <w:spacing w:after="0"/>
              <w:jc w:val="both"/>
              <w:rPr>
                <w:rFonts w:ascii="Times New Roman" w:hAnsi="Times New Roman" w:cs="Times New Roman"/>
                <w:lang w:val="ro-RO"/>
              </w:rPr>
            </w:pPr>
          </w:p>
          <w:p w14:paraId="24DED676" w14:textId="665C336A"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(1) Statele membre abilitează autoritățile competente:</w:t>
            </w:r>
          </w:p>
        </w:tc>
        <w:tc>
          <w:tcPr>
            <w:tcW w:w="1928" w:type="pct"/>
            <w:gridSpan w:val="3"/>
            <w:tcBorders>
              <w:top w:val="single" w:sz="4" w:space="0" w:color="auto"/>
              <w:left w:val="single" w:sz="4" w:space="0" w:color="auto"/>
              <w:bottom w:val="single" w:sz="4" w:space="0" w:color="auto"/>
              <w:right w:val="single" w:sz="4" w:space="0" w:color="auto"/>
            </w:tcBorders>
          </w:tcPr>
          <w:p w14:paraId="3A6CEBE9" w14:textId="14EDACB7" w:rsidR="00984B34" w:rsidRPr="009E686F" w:rsidRDefault="00984B34" w:rsidP="00984B34">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 xml:space="preserve">(1) Banca Naţională a Moldovei poate impune </w:t>
            </w:r>
            <w:r w:rsidRPr="009E686F">
              <w:rPr>
                <w:rFonts w:ascii="Times New Roman" w:eastAsia="Aptos" w:hAnsi="Times New Roman" w:cs="Times New Roman"/>
                <w:i/>
                <w:iCs/>
                <w:kern w:val="2"/>
                <w:lang w:val="ro-MD"/>
              </w:rPr>
              <w:t>instituțiilor de credit</w:t>
            </w:r>
            <w:r w:rsidRPr="009E686F">
              <w:rPr>
                <w:rFonts w:ascii="Times New Roman" w:eastAsia="Aptos" w:hAnsi="Times New Roman" w:cs="Times New Roman"/>
                <w:kern w:val="2"/>
                <w:lang w:val="ro-MD"/>
              </w:rPr>
              <w:t xml:space="preserve">, </w:t>
            </w:r>
            <w:r w:rsidRPr="009E686F">
              <w:rPr>
                <w:rFonts w:ascii="Times New Roman" w:eastAsia="Aptos" w:hAnsi="Times New Roman" w:cs="Times New Roman"/>
                <w:i/>
                <w:kern w:val="2"/>
                <w:lang w:val="ro-MD"/>
              </w:rPr>
              <w:t>conform actelor normative emise în aplicarea prezentei legi:</w:t>
            </w:r>
          </w:p>
          <w:p w14:paraId="71F12D70" w14:textId="0D612707" w:rsidR="00984B34" w:rsidRPr="009E686F" w:rsidRDefault="00984B34" w:rsidP="00984B34">
            <w:pPr>
              <w:spacing w:after="0"/>
              <w:jc w:val="both"/>
              <w:rPr>
                <w:rFonts w:ascii="Times New Roman" w:hAnsi="Times New Roman" w:cs="Times New Roman"/>
                <w:lang w:val="ro-RO"/>
              </w:rPr>
            </w:pPr>
          </w:p>
        </w:tc>
        <w:tc>
          <w:tcPr>
            <w:tcW w:w="470" w:type="pct"/>
            <w:tcBorders>
              <w:top w:val="single" w:sz="4" w:space="0" w:color="auto"/>
              <w:left w:val="single" w:sz="4" w:space="0" w:color="auto"/>
              <w:bottom w:val="single" w:sz="4" w:space="0" w:color="auto"/>
              <w:right w:val="single" w:sz="4" w:space="0" w:color="auto"/>
            </w:tcBorders>
          </w:tcPr>
          <w:p w14:paraId="4C690D22" w14:textId="40D4B54C"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3083F11C" w14:textId="77777777" w:rsidR="00984B34" w:rsidRPr="009E686F" w:rsidRDefault="00984B34" w:rsidP="00984B34">
            <w:pPr>
              <w:jc w:val="both"/>
              <w:rPr>
                <w:rFonts w:ascii="Times New Roman" w:hAnsi="Times New Roman" w:cs="Times New Roman"/>
                <w:lang w:val="ro-RO"/>
              </w:rPr>
            </w:pPr>
          </w:p>
        </w:tc>
      </w:tr>
      <w:tr w:rsidR="00984B34" w:rsidRPr="009E686F" w14:paraId="699B2BF4" w14:textId="1516283A" w:rsidTr="00774F3E">
        <w:tc>
          <w:tcPr>
            <w:tcW w:w="1796" w:type="pct"/>
            <w:gridSpan w:val="2"/>
            <w:tcBorders>
              <w:top w:val="single" w:sz="4" w:space="0" w:color="auto"/>
              <w:left w:val="single" w:sz="4" w:space="0" w:color="auto"/>
              <w:bottom w:val="single" w:sz="4" w:space="0" w:color="auto"/>
              <w:right w:val="single" w:sz="4" w:space="0" w:color="auto"/>
            </w:tcBorders>
          </w:tcPr>
          <w:p w14:paraId="609B10D1" w14:textId="265666A5"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(a) să solicite instituțiilor să publice informațiile menționate în partea a opta din Regulamentul (UE) nr. 575/2013 mai frecvent decât se prevede la articolele 433-433c din regulamentul respectiv;</w:t>
            </w:r>
          </w:p>
        </w:tc>
        <w:tc>
          <w:tcPr>
            <w:tcW w:w="1928" w:type="pct"/>
            <w:gridSpan w:val="3"/>
            <w:tcBorders>
              <w:top w:val="single" w:sz="4" w:space="0" w:color="auto"/>
              <w:left w:val="single" w:sz="4" w:space="0" w:color="auto"/>
              <w:bottom w:val="single" w:sz="4" w:space="0" w:color="auto"/>
              <w:right w:val="single" w:sz="4" w:space="0" w:color="auto"/>
            </w:tcBorders>
          </w:tcPr>
          <w:p w14:paraId="33B533C3" w14:textId="77777777" w:rsidR="00984B34" w:rsidRPr="009E686F" w:rsidRDefault="00984B34" w:rsidP="00984B34">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a) publicarea informaţiilor menţionate la art.91 alin.(1) cu o frecvenţă mai ridicată decît cea anuală sau semestrială;</w:t>
            </w:r>
          </w:p>
          <w:p w14:paraId="451FB1A8" w14:textId="77777777" w:rsidR="00984B34" w:rsidRPr="009E686F" w:rsidRDefault="00984B34" w:rsidP="00984B34">
            <w:pPr>
              <w:spacing w:after="0"/>
              <w:jc w:val="both"/>
              <w:rPr>
                <w:rFonts w:ascii="Times New Roman" w:hAnsi="Times New Roman" w:cs="Times New Roman"/>
                <w:lang w:val="ro-RO"/>
              </w:rPr>
            </w:pPr>
          </w:p>
          <w:p w14:paraId="49801B49" w14:textId="6347E919" w:rsidR="00984B34" w:rsidRPr="009E686F" w:rsidRDefault="00984B34" w:rsidP="00984B34">
            <w:pPr>
              <w:spacing w:after="0"/>
              <w:jc w:val="both"/>
              <w:rPr>
                <w:rFonts w:ascii="Times New Roman" w:hAnsi="Times New Roman" w:cs="Times New Roman"/>
                <w:lang w:val="ro-RO"/>
              </w:rPr>
            </w:pPr>
          </w:p>
        </w:tc>
        <w:tc>
          <w:tcPr>
            <w:tcW w:w="470" w:type="pct"/>
            <w:tcBorders>
              <w:top w:val="single" w:sz="4" w:space="0" w:color="auto"/>
              <w:left w:val="single" w:sz="4" w:space="0" w:color="auto"/>
              <w:bottom w:val="single" w:sz="4" w:space="0" w:color="auto"/>
              <w:right w:val="single" w:sz="4" w:space="0" w:color="auto"/>
            </w:tcBorders>
          </w:tcPr>
          <w:p w14:paraId="586E584D" w14:textId="77777777"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p w14:paraId="52A39BC1" w14:textId="2FFB9F12"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46BCE313" w14:textId="77777777" w:rsidR="00984B34" w:rsidRPr="009E686F" w:rsidRDefault="00984B34" w:rsidP="00984B34">
            <w:pPr>
              <w:jc w:val="both"/>
              <w:rPr>
                <w:rFonts w:ascii="Times New Roman" w:hAnsi="Times New Roman" w:cs="Times New Roman"/>
                <w:lang w:val="ro-RO"/>
              </w:rPr>
            </w:pPr>
          </w:p>
        </w:tc>
      </w:tr>
      <w:tr w:rsidR="00984B34" w:rsidRPr="009E686F" w14:paraId="764EA338" w14:textId="6000104A" w:rsidTr="00774F3E">
        <w:tc>
          <w:tcPr>
            <w:tcW w:w="1796" w:type="pct"/>
            <w:gridSpan w:val="2"/>
            <w:tcBorders>
              <w:top w:val="single" w:sz="4" w:space="0" w:color="auto"/>
              <w:left w:val="single" w:sz="4" w:space="0" w:color="auto"/>
              <w:bottom w:val="single" w:sz="4" w:space="0" w:color="auto"/>
              <w:right w:val="single" w:sz="4" w:space="0" w:color="auto"/>
            </w:tcBorders>
          </w:tcPr>
          <w:p w14:paraId="638D20E2" w14:textId="77CA8B03"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(b) să stabilească termene pentru ca instituțiile, altele decât instituțiile mici și cu un grad redus de complexitate, să transmită informațiile care trebuie publicate către ABE în </w:t>
            </w:r>
            <w:r w:rsidRPr="009E686F">
              <w:rPr>
                <w:rFonts w:ascii="Times New Roman" w:hAnsi="Times New Roman" w:cs="Times New Roman"/>
                <w:lang w:val="ro-RO"/>
              </w:rPr>
              <w:lastRenderedPageBreak/>
              <w:t>vederea publicării acestora pe site-ul web al ABE pentru publicări centralizate;</w:t>
            </w:r>
          </w:p>
        </w:tc>
        <w:tc>
          <w:tcPr>
            <w:tcW w:w="1928" w:type="pct"/>
            <w:gridSpan w:val="3"/>
            <w:tcBorders>
              <w:top w:val="single" w:sz="4" w:space="0" w:color="auto"/>
              <w:left w:val="single" w:sz="4" w:space="0" w:color="auto"/>
              <w:bottom w:val="single" w:sz="4" w:space="0" w:color="auto"/>
              <w:right w:val="single" w:sz="4" w:space="0" w:color="auto"/>
            </w:tcBorders>
          </w:tcPr>
          <w:p w14:paraId="6DB00DAA" w14:textId="5E9B2538" w:rsidR="00984B34" w:rsidRPr="009E686F" w:rsidRDefault="00984B34" w:rsidP="00984B34">
            <w:pPr>
              <w:spacing w:after="0"/>
              <w:jc w:val="both"/>
              <w:rPr>
                <w:rFonts w:ascii="Times New Roman" w:hAnsi="Times New Roman" w:cs="Times New Roman"/>
                <w:i/>
                <w:lang w:val="ro-RO"/>
              </w:rPr>
            </w:pPr>
            <w:r w:rsidRPr="009E686F">
              <w:rPr>
                <w:rFonts w:ascii="Times New Roman" w:hAnsi="Times New Roman" w:cs="Times New Roman"/>
                <w:i/>
                <w:iCs/>
                <w:lang w:val="ro-RO"/>
              </w:rPr>
              <w:lastRenderedPageBreak/>
              <w:t>c) să transmită, în anumite termene, informațiile care trebuie publicate către Autoritatea Bancară Europeană în vederea publicării acestora pe pagina</w:t>
            </w:r>
            <w:r w:rsidR="00D173C2" w:rsidRPr="009E686F">
              <w:rPr>
                <w:rFonts w:ascii="Times New Roman" w:hAnsi="Times New Roman" w:cs="Times New Roman"/>
                <w:i/>
                <w:iCs/>
                <w:lang w:val="ro-RO"/>
              </w:rPr>
              <w:t xml:space="preserve"> </w:t>
            </w:r>
            <w:r w:rsidRPr="009E686F">
              <w:rPr>
                <w:rFonts w:ascii="Times New Roman" w:hAnsi="Times New Roman" w:cs="Times New Roman"/>
                <w:i/>
                <w:iCs/>
                <w:lang w:val="ro-RO"/>
              </w:rPr>
              <w:t xml:space="preserve">web oficială a acesteia pentru </w:t>
            </w:r>
            <w:r w:rsidRPr="009E686F">
              <w:rPr>
                <w:rFonts w:ascii="Times New Roman" w:hAnsi="Times New Roman" w:cs="Times New Roman"/>
                <w:i/>
                <w:iCs/>
                <w:lang w:val="ro-RO"/>
              </w:rPr>
              <w:lastRenderedPageBreak/>
              <w:t xml:space="preserve">publicări centralizate, cu excepția instituțiilor mici și cu un grad redus de complexitate. </w:t>
            </w:r>
          </w:p>
        </w:tc>
        <w:tc>
          <w:tcPr>
            <w:tcW w:w="470" w:type="pct"/>
            <w:tcBorders>
              <w:top w:val="single" w:sz="4" w:space="0" w:color="auto"/>
              <w:left w:val="single" w:sz="4" w:space="0" w:color="auto"/>
              <w:bottom w:val="single" w:sz="4" w:space="0" w:color="auto"/>
              <w:right w:val="single" w:sz="4" w:space="0" w:color="auto"/>
            </w:tcBorders>
          </w:tcPr>
          <w:p w14:paraId="60B1941B" w14:textId="77777777"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lastRenderedPageBreak/>
              <w:t>Compatibil</w:t>
            </w:r>
          </w:p>
          <w:p w14:paraId="070357BC" w14:textId="77777777" w:rsidR="00984B34" w:rsidRPr="009E686F" w:rsidRDefault="00984B34" w:rsidP="00984B34">
            <w:pPr>
              <w:jc w:val="both"/>
              <w:rPr>
                <w:rFonts w:ascii="Times New Roman" w:hAnsi="Times New Roman" w:cs="Times New Roman"/>
                <w:lang w:val="ro-RO"/>
              </w:rPr>
            </w:pPr>
          </w:p>
          <w:p w14:paraId="16091A9C" w14:textId="1877C168"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1D960210" w14:textId="185C3121" w:rsidR="00984B34" w:rsidRPr="009E686F" w:rsidRDefault="00984B34" w:rsidP="00984B34">
            <w:pPr>
              <w:jc w:val="both"/>
              <w:rPr>
                <w:rFonts w:ascii="Times New Roman" w:hAnsi="Times New Roman" w:cs="Times New Roman"/>
                <w:lang w:val="ro-RO"/>
              </w:rPr>
            </w:pPr>
          </w:p>
        </w:tc>
      </w:tr>
      <w:tr w:rsidR="00984B34" w:rsidRPr="009E686F" w14:paraId="0687D405"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2D58C2E7" w14:textId="6836BA9E" w:rsidR="00984B34" w:rsidRPr="009E686F" w:rsidDel="00FF0E12"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(c) să prevadă obligația ca instituțiile să utilizeze mijloace de informare și locuri de publicare specifice, altele decât site-ul web al ABE pentru publicări centralizate sau situațiile financiare ale instituțiilor.</w:t>
            </w:r>
          </w:p>
        </w:tc>
        <w:tc>
          <w:tcPr>
            <w:tcW w:w="1928" w:type="pct"/>
            <w:gridSpan w:val="3"/>
            <w:tcBorders>
              <w:top w:val="single" w:sz="4" w:space="0" w:color="auto"/>
              <w:left w:val="single" w:sz="4" w:space="0" w:color="auto"/>
              <w:bottom w:val="single" w:sz="4" w:space="0" w:color="auto"/>
              <w:right w:val="single" w:sz="4" w:space="0" w:color="auto"/>
            </w:tcBorders>
          </w:tcPr>
          <w:p w14:paraId="65B4BFE4" w14:textId="00EFB2A2"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b) </w:t>
            </w:r>
            <w:r w:rsidRPr="009E686F">
              <w:rPr>
                <w:rFonts w:ascii="Times New Roman" w:hAnsi="Times New Roman" w:cs="Times New Roman"/>
                <w:i/>
                <w:iCs/>
                <w:lang w:val="ro-RO"/>
              </w:rPr>
              <w:t>utilizarea unor mijloace de informare şi locuri de</w:t>
            </w:r>
            <w:r w:rsidRPr="009E686F">
              <w:rPr>
                <w:rFonts w:ascii="Times New Roman" w:hAnsi="Times New Roman" w:cs="Times New Roman"/>
                <w:lang w:val="ro-RO"/>
              </w:rPr>
              <w:t xml:space="preserve"> publicare specifice, </w:t>
            </w:r>
            <w:r w:rsidRPr="009E686F">
              <w:rPr>
                <w:rFonts w:ascii="Times New Roman" w:hAnsi="Times New Roman" w:cs="Times New Roman"/>
                <w:i/>
                <w:iCs/>
                <w:lang w:val="ro-RO"/>
              </w:rPr>
              <w:t>altele decît pagina</w:t>
            </w:r>
            <w:r w:rsidR="00D173C2" w:rsidRPr="009E686F">
              <w:rPr>
                <w:rFonts w:ascii="Times New Roman" w:hAnsi="Times New Roman" w:cs="Times New Roman"/>
                <w:i/>
                <w:iCs/>
                <w:lang w:val="ro-RO"/>
              </w:rPr>
              <w:t xml:space="preserve"> </w:t>
            </w:r>
            <w:r w:rsidRPr="009E686F">
              <w:rPr>
                <w:rFonts w:ascii="Times New Roman" w:hAnsi="Times New Roman" w:cs="Times New Roman"/>
                <w:i/>
                <w:iCs/>
                <w:lang w:val="ro-RO"/>
              </w:rPr>
              <w:t>web oficială a Autorității Bancare Europene pentru publicări centralizate sau situaţiile financiare ale acestora, precum și formate uniforme pentru publicarea informațiilor;</w:t>
            </w:r>
          </w:p>
        </w:tc>
        <w:tc>
          <w:tcPr>
            <w:tcW w:w="470" w:type="pct"/>
            <w:tcBorders>
              <w:top w:val="single" w:sz="4" w:space="0" w:color="auto"/>
              <w:left w:val="single" w:sz="4" w:space="0" w:color="auto"/>
              <w:bottom w:val="single" w:sz="4" w:space="0" w:color="auto"/>
              <w:right w:val="single" w:sz="4" w:space="0" w:color="auto"/>
            </w:tcBorders>
          </w:tcPr>
          <w:p w14:paraId="623270A8" w14:textId="702D648F"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4418CD46" w14:textId="23D59096" w:rsidR="00984B34" w:rsidRPr="009E686F" w:rsidRDefault="00CE42BC" w:rsidP="00984B34">
            <w:pPr>
              <w:jc w:val="both"/>
              <w:rPr>
                <w:rFonts w:ascii="Times New Roman" w:hAnsi="Times New Roman" w:cs="Times New Roman"/>
                <w:lang w:val="ro-RO"/>
              </w:rPr>
            </w:pPr>
            <w:r w:rsidRPr="009E686F">
              <w:rPr>
                <w:rFonts w:ascii="Times New Roman" w:hAnsi="Times New Roman" w:cs="Times New Roman"/>
                <w:lang w:val="ro-RO"/>
              </w:rPr>
              <w:t>În vigoare – la data aderării în partea care se referă la pagina oficială a ABE.</w:t>
            </w:r>
          </w:p>
        </w:tc>
      </w:tr>
      <w:tr w:rsidR="00984B34" w:rsidRPr="009E686F" w14:paraId="0C152CC2"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148DA1CF" w14:textId="77777777" w:rsidR="00984B34" w:rsidRPr="009E686F" w:rsidRDefault="00984B34" w:rsidP="00984B34">
            <w:pPr>
              <w:spacing w:after="0"/>
              <w:jc w:val="both"/>
              <w:rPr>
                <w:rFonts w:ascii="Times New Roman" w:hAnsi="Times New Roman" w:cs="Times New Roman"/>
                <w:lang w:val="ro-RO"/>
              </w:rPr>
            </w:pPr>
          </w:p>
        </w:tc>
        <w:tc>
          <w:tcPr>
            <w:tcW w:w="1928" w:type="pct"/>
            <w:gridSpan w:val="3"/>
            <w:tcBorders>
              <w:top w:val="single" w:sz="4" w:space="0" w:color="auto"/>
              <w:left w:val="single" w:sz="4" w:space="0" w:color="auto"/>
              <w:bottom w:val="single" w:sz="4" w:space="0" w:color="auto"/>
              <w:right w:val="single" w:sz="4" w:space="0" w:color="auto"/>
            </w:tcBorders>
          </w:tcPr>
          <w:p w14:paraId="5A42A37B" w14:textId="77777777" w:rsidR="00984B34" w:rsidRPr="009E686F" w:rsidRDefault="00984B34" w:rsidP="00984B34">
            <w:pPr>
              <w:spacing w:after="0"/>
              <w:jc w:val="both"/>
              <w:rPr>
                <w:rFonts w:ascii="Times New Roman" w:hAnsi="Times New Roman" w:cs="Times New Roman"/>
                <w:i/>
                <w:iCs/>
                <w:lang w:val="it-CH"/>
              </w:rPr>
            </w:pPr>
            <w:r w:rsidRPr="009E686F">
              <w:rPr>
                <w:rFonts w:ascii="Times New Roman" w:hAnsi="Times New Roman" w:cs="Times New Roman"/>
                <w:b/>
                <w:i/>
                <w:iCs/>
                <w:lang w:val="it-CH"/>
              </w:rPr>
              <w:t>Articolul 30.</w:t>
            </w:r>
            <w:r w:rsidRPr="009E686F">
              <w:rPr>
                <w:rFonts w:ascii="Times New Roman" w:hAnsi="Times New Roman" w:cs="Times New Roman"/>
                <w:i/>
                <w:iCs/>
                <w:lang w:val="it-CH"/>
              </w:rPr>
              <w:t xml:space="preserve"> Publicarea informaţiei de către sucursalele din state terțe</w:t>
            </w:r>
          </w:p>
          <w:p w14:paraId="49868BD0" w14:textId="77777777" w:rsidR="00984B34" w:rsidRPr="009E686F" w:rsidRDefault="00984B34" w:rsidP="00984B34">
            <w:pPr>
              <w:spacing w:after="0"/>
              <w:jc w:val="both"/>
              <w:rPr>
                <w:rFonts w:ascii="Times New Roman" w:hAnsi="Times New Roman" w:cs="Times New Roman"/>
                <w:i/>
                <w:iCs/>
                <w:lang w:val="it-CH"/>
              </w:rPr>
            </w:pPr>
            <w:r w:rsidRPr="009E686F">
              <w:rPr>
                <w:rFonts w:ascii="Times New Roman" w:hAnsi="Times New Roman" w:cs="Times New Roman"/>
                <w:i/>
                <w:iCs/>
                <w:lang w:val="it-CH"/>
              </w:rPr>
              <w:t>(1) Sucursalele din state terțe trebuie să publice în limba română următoarele documente ale întreprinderii principale: situaţiile financiare anuale, situaţiile financiare anuale consolidate, raportul întocmit de organele de conducere şi, după caz, raportul consolidat, întocmit de organele de conducere, raportul de audit al situaţiilor financiare anuale şi al situaţiilor financiare anuale consolidate, întocmite şi auditate conform legislaţiei din statul de origine al întreprinderii principale.</w:t>
            </w:r>
          </w:p>
          <w:p w14:paraId="49AE7424" w14:textId="77777777" w:rsidR="00984B34" w:rsidRPr="009E686F" w:rsidRDefault="00984B34" w:rsidP="00984B34">
            <w:pPr>
              <w:spacing w:after="0"/>
              <w:jc w:val="both"/>
              <w:rPr>
                <w:rFonts w:ascii="Times New Roman" w:hAnsi="Times New Roman" w:cs="Times New Roman"/>
                <w:i/>
                <w:iCs/>
                <w:lang w:val="it-CH"/>
              </w:rPr>
            </w:pPr>
            <w:r w:rsidRPr="009E686F">
              <w:rPr>
                <w:rFonts w:ascii="Times New Roman" w:hAnsi="Times New Roman" w:cs="Times New Roman"/>
                <w:i/>
                <w:iCs/>
                <w:lang w:val="it-CH"/>
              </w:rPr>
              <w:t>(2) Sucursalele din state terțe trebuie să publice situaţiile financiare anuale referitoare la propria activitate în conformitate cu actele normative emise în aplicarea prezentei legi.</w:t>
            </w:r>
          </w:p>
          <w:p w14:paraId="18853A66" w14:textId="44AA712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i/>
                <w:iCs/>
                <w:lang w:val="it-CH"/>
              </w:rPr>
              <w:t>(3) Dispoziţiile art. 91–94 referitoare la cerinţele de publicare pentru instituții de credit se aplică în mod corespunzător sucursalelor din state terțe.</w:t>
            </w:r>
          </w:p>
        </w:tc>
        <w:tc>
          <w:tcPr>
            <w:tcW w:w="470" w:type="pct"/>
            <w:tcBorders>
              <w:top w:val="single" w:sz="4" w:space="0" w:color="auto"/>
              <w:left w:val="single" w:sz="4" w:space="0" w:color="auto"/>
              <w:bottom w:val="single" w:sz="4" w:space="0" w:color="auto"/>
              <w:right w:val="single" w:sz="4" w:space="0" w:color="auto"/>
            </w:tcBorders>
          </w:tcPr>
          <w:p w14:paraId="4A1E175F" w14:textId="7F43C4F2"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 xml:space="preserve">Compatibil </w:t>
            </w:r>
          </w:p>
        </w:tc>
        <w:tc>
          <w:tcPr>
            <w:tcW w:w="806" w:type="pct"/>
            <w:tcBorders>
              <w:top w:val="single" w:sz="4" w:space="0" w:color="auto"/>
              <w:left w:val="single" w:sz="4" w:space="0" w:color="auto"/>
              <w:bottom w:val="single" w:sz="4" w:space="0" w:color="auto"/>
              <w:right w:val="single" w:sz="4" w:space="0" w:color="auto"/>
            </w:tcBorders>
          </w:tcPr>
          <w:p w14:paraId="6296E043" w14:textId="77777777"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cu specific național de implementare a directivei din Legea nr. 202/2017 care se mențin în  Proiectul de lege pentru modificarea unor acte normative (aspecte aferente activității băncilor) Nr. unic Cancelaria de Stat 547/MF/BNM/2026 (modificarea Legii nr. 202/2017) din cadrul legislativ anterior. Aceste norme au ca scop aplicarea în mod corespunzător sucursalelor din state terțe a regulilor aplicabile instituțiilor de credit, inclusiv în partea care se referă la disciplina de piață.</w:t>
            </w:r>
          </w:p>
          <w:p w14:paraId="7F7379D0" w14:textId="4B0F9FDB" w:rsidR="00694E61" w:rsidRPr="009E686F" w:rsidRDefault="00694E61" w:rsidP="00694E61">
            <w:r w:rsidRPr="009E686F">
              <w:rPr>
                <w:rFonts w:ascii="Times New Roman" w:hAnsi="Times New Roman" w:cs="Times New Roman"/>
                <w:lang w:val="ro-RO"/>
              </w:rPr>
              <w:lastRenderedPageBreak/>
              <w:t>În vigoare – data aderării.</w:t>
            </w:r>
          </w:p>
        </w:tc>
      </w:tr>
      <w:tr w:rsidR="00984B34" w:rsidRPr="009E686F" w14:paraId="708FBD67"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4CB1F2DC" w14:textId="160AD425"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lastRenderedPageBreak/>
              <w:t>Până la 10 iulie 2025, ABE, ținând seama de partea a opta din Regulamentul (UE) nr. 575/2013, emite ghiduri, în conformitate cu articolul 16 din Regulamentul (UE) nr. 1093/2010, pentru a preciza cerințele menționate la alineatul (1) de la prezentul articol.</w:t>
            </w:r>
          </w:p>
        </w:tc>
        <w:tc>
          <w:tcPr>
            <w:tcW w:w="1928" w:type="pct"/>
            <w:gridSpan w:val="3"/>
            <w:tcBorders>
              <w:top w:val="single" w:sz="4" w:space="0" w:color="auto"/>
              <w:left w:val="single" w:sz="4" w:space="0" w:color="auto"/>
              <w:bottom w:val="single" w:sz="4" w:space="0" w:color="auto"/>
              <w:right w:val="single" w:sz="4" w:space="0" w:color="auto"/>
            </w:tcBorders>
          </w:tcPr>
          <w:p w14:paraId="6E5B2C51" w14:textId="77777777" w:rsidR="00984B34" w:rsidRPr="009E686F" w:rsidRDefault="00984B34" w:rsidP="00984B34">
            <w:pPr>
              <w:spacing w:after="0"/>
              <w:jc w:val="both"/>
              <w:rPr>
                <w:rFonts w:ascii="Times New Roman" w:hAnsi="Times New Roman" w:cs="Times New Roman"/>
                <w:lang w:val="ro-RO"/>
              </w:rPr>
            </w:pPr>
          </w:p>
        </w:tc>
        <w:tc>
          <w:tcPr>
            <w:tcW w:w="470" w:type="pct"/>
            <w:tcBorders>
              <w:top w:val="single" w:sz="4" w:space="0" w:color="auto"/>
              <w:left w:val="single" w:sz="4" w:space="0" w:color="auto"/>
              <w:bottom w:val="single" w:sz="4" w:space="0" w:color="auto"/>
              <w:right w:val="single" w:sz="4" w:space="0" w:color="auto"/>
            </w:tcBorders>
          </w:tcPr>
          <w:p w14:paraId="3AC020D4" w14:textId="74E2F53C"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neaplicabile</w:t>
            </w:r>
          </w:p>
        </w:tc>
        <w:tc>
          <w:tcPr>
            <w:tcW w:w="806" w:type="pct"/>
            <w:tcBorders>
              <w:top w:val="single" w:sz="4" w:space="0" w:color="auto"/>
              <w:left w:val="single" w:sz="4" w:space="0" w:color="auto"/>
              <w:bottom w:val="single" w:sz="4" w:space="0" w:color="auto"/>
              <w:right w:val="single" w:sz="4" w:space="0" w:color="auto"/>
            </w:tcBorders>
          </w:tcPr>
          <w:p w14:paraId="77B8332A" w14:textId="0A2F2519"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Se referă la competențele ABE.</w:t>
            </w:r>
          </w:p>
        </w:tc>
      </w:tr>
      <w:tr w:rsidR="00984B34" w:rsidRPr="009E686F" w14:paraId="47558480" w14:textId="5ED56E2B" w:rsidTr="00774F3E">
        <w:tc>
          <w:tcPr>
            <w:tcW w:w="1796" w:type="pct"/>
            <w:gridSpan w:val="2"/>
            <w:tcBorders>
              <w:top w:val="single" w:sz="4" w:space="0" w:color="auto"/>
              <w:left w:val="single" w:sz="4" w:space="0" w:color="auto"/>
              <w:bottom w:val="single" w:sz="4" w:space="0" w:color="auto"/>
              <w:right w:val="single" w:sz="4" w:space="0" w:color="auto"/>
            </w:tcBorders>
          </w:tcPr>
          <w:p w14:paraId="29986C70" w14:textId="08FBA41F"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(2) Statele membre abilitează autoritățile competente să ceară întreprinderilor-mamă să publice anual, fie integral, fie prin trimiteri la informații echivalente, o descriere a structurii juridice, precum și a guvernanței și a structurii organizatorice a grupului de instituții, în conformitate cu articolul 14 alineatul (3), articolul 74 alineatul (1) și articolul 109 alineatul (2).</w:t>
            </w:r>
          </w:p>
        </w:tc>
        <w:tc>
          <w:tcPr>
            <w:tcW w:w="1928" w:type="pct"/>
            <w:gridSpan w:val="3"/>
            <w:tcBorders>
              <w:top w:val="single" w:sz="4" w:space="0" w:color="auto"/>
              <w:left w:val="single" w:sz="4" w:space="0" w:color="auto"/>
              <w:bottom w:val="single" w:sz="4" w:space="0" w:color="auto"/>
              <w:right w:val="single" w:sz="4" w:space="0" w:color="auto"/>
            </w:tcBorders>
          </w:tcPr>
          <w:p w14:paraId="69D3BF45" w14:textId="00D46A57" w:rsidR="00984B34" w:rsidRPr="009E686F" w:rsidRDefault="00984B34" w:rsidP="00984B34">
            <w:pPr>
              <w:spacing w:after="0"/>
              <w:jc w:val="both"/>
              <w:rPr>
                <w:rFonts w:ascii="Times New Roman" w:hAnsi="Times New Roman" w:cs="Times New Roman"/>
                <w:b/>
                <w:bCs/>
                <w:lang w:val="ro-RO"/>
              </w:rPr>
            </w:pPr>
            <w:r w:rsidRPr="009E686F">
              <w:rPr>
                <w:rFonts w:ascii="Times New Roman" w:hAnsi="Times New Roman" w:cs="Times New Roman"/>
                <w:b/>
                <w:bCs/>
                <w:lang w:val="ro-RO"/>
              </w:rPr>
              <w:t>Articolul 94 alin. (2)</w:t>
            </w:r>
          </w:p>
          <w:p w14:paraId="23FC164A" w14:textId="06A4A9CD"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(2) Banca Naţională a Moldovei poate impune întreprinderilor-mamă să publice anual, fie integral, fie prin trimiteri la informaţii echivalente, o descriere a structurii juridice, precum şi de guvernanţă, şi organizatorice a grupului de </w:t>
            </w:r>
            <w:r w:rsidRPr="009E686F">
              <w:rPr>
                <w:rFonts w:ascii="Times New Roman" w:hAnsi="Times New Roman" w:cs="Times New Roman"/>
                <w:i/>
                <w:iCs/>
                <w:lang w:val="ro-RO"/>
              </w:rPr>
              <w:t>instituții de credit</w:t>
            </w:r>
            <w:r w:rsidRPr="009E686F">
              <w:rPr>
                <w:rFonts w:ascii="Times New Roman" w:hAnsi="Times New Roman" w:cs="Times New Roman"/>
                <w:lang w:val="ro-RO"/>
              </w:rPr>
              <w:t xml:space="preserve"> şi/sau firme de investiţii, incluzînd informaţii privind entităţile între care există legături strînse, precum şi în ceea ce priveşte cadrul de administrare a activităţii.</w:t>
            </w:r>
          </w:p>
        </w:tc>
        <w:tc>
          <w:tcPr>
            <w:tcW w:w="470" w:type="pct"/>
            <w:tcBorders>
              <w:top w:val="single" w:sz="4" w:space="0" w:color="auto"/>
              <w:left w:val="single" w:sz="4" w:space="0" w:color="auto"/>
              <w:bottom w:val="single" w:sz="4" w:space="0" w:color="auto"/>
              <w:right w:val="single" w:sz="4" w:space="0" w:color="auto"/>
            </w:tcBorders>
          </w:tcPr>
          <w:p w14:paraId="18EFECA0" w14:textId="033B2C96"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26EFFF85" w14:textId="77777777" w:rsidR="00984B34" w:rsidRPr="009E686F" w:rsidRDefault="00984B34" w:rsidP="00984B34">
            <w:pPr>
              <w:jc w:val="both"/>
              <w:rPr>
                <w:rFonts w:ascii="Times New Roman" w:hAnsi="Times New Roman" w:cs="Times New Roman"/>
                <w:lang w:val="ro-RO"/>
              </w:rPr>
            </w:pPr>
          </w:p>
        </w:tc>
      </w:tr>
      <w:tr w:rsidR="00984B34" w:rsidRPr="009E686F" w14:paraId="3812EFCF" w14:textId="68DB143A" w:rsidTr="00774F3E">
        <w:tc>
          <w:tcPr>
            <w:tcW w:w="1796" w:type="pct"/>
            <w:gridSpan w:val="2"/>
            <w:tcBorders>
              <w:top w:val="single" w:sz="4" w:space="0" w:color="auto"/>
              <w:left w:val="single" w:sz="4" w:space="0" w:color="auto"/>
              <w:bottom w:val="single" w:sz="4" w:space="0" w:color="auto"/>
              <w:right w:val="single" w:sz="4" w:space="0" w:color="auto"/>
            </w:tcBorders>
          </w:tcPr>
          <w:p w14:paraId="4BC3DAF2" w14:textId="77777777" w:rsidR="00984B34" w:rsidRPr="009E686F" w:rsidRDefault="00984B34" w:rsidP="00984B34">
            <w:pPr>
              <w:spacing w:after="0"/>
              <w:jc w:val="both"/>
              <w:rPr>
                <w:rFonts w:ascii="Times New Roman" w:hAnsi="Times New Roman" w:cs="Times New Roman"/>
                <w:i/>
                <w:iCs/>
                <w:lang w:val="ro-RO"/>
              </w:rPr>
            </w:pPr>
            <w:r w:rsidRPr="009E686F">
              <w:rPr>
                <w:rFonts w:ascii="Times New Roman" w:hAnsi="Times New Roman" w:cs="Times New Roman"/>
                <w:i/>
                <w:iCs/>
                <w:lang w:val="ro-RO"/>
              </w:rPr>
              <w:t xml:space="preserve">Articolul 107 </w:t>
            </w:r>
          </w:p>
          <w:p w14:paraId="577FA789" w14:textId="4DAEF398"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Consecvența analizelor prudențiale, a evaluărilor și a măsurilor de supraveghere</w:t>
            </w:r>
          </w:p>
        </w:tc>
        <w:tc>
          <w:tcPr>
            <w:tcW w:w="1928" w:type="pct"/>
            <w:gridSpan w:val="3"/>
            <w:tcBorders>
              <w:top w:val="single" w:sz="4" w:space="0" w:color="auto"/>
              <w:left w:val="single" w:sz="4" w:space="0" w:color="auto"/>
              <w:bottom w:val="single" w:sz="4" w:space="0" w:color="auto"/>
              <w:right w:val="single" w:sz="4" w:space="0" w:color="auto"/>
            </w:tcBorders>
          </w:tcPr>
          <w:p w14:paraId="6CF543F9" w14:textId="655F0D29" w:rsidR="00984B34" w:rsidRPr="009E686F" w:rsidRDefault="00984B34" w:rsidP="00984B34">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b/>
                <w:bCs/>
                <w:kern w:val="2"/>
                <w:lang w:val="ro-MD"/>
              </w:rPr>
              <w:t>Articolul 139</w:t>
            </w:r>
            <w:r w:rsidRPr="009E686F">
              <w:rPr>
                <w:rFonts w:ascii="Times New Roman" w:eastAsia="Aptos" w:hAnsi="Times New Roman" w:cs="Times New Roman"/>
                <w:b/>
                <w:bCs/>
                <w:kern w:val="2"/>
                <w:vertAlign w:val="superscript"/>
                <w:lang w:val="ro-MD"/>
              </w:rPr>
              <w:t>3</w:t>
            </w:r>
            <w:r w:rsidRPr="009E686F">
              <w:rPr>
                <w:rFonts w:ascii="Times New Roman" w:eastAsia="Aptos" w:hAnsi="Times New Roman" w:cs="Times New Roman"/>
                <w:b/>
                <w:bCs/>
                <w:kern w:val="2"/>
                <w:lang w:val="ro-MD"/>
              </w:rPr>
              <w:t>.</w:t>
            </w:r>
            <w:r w:rsidRPr="009E686F">
              <w:rPr>
                <w:rFonts w:ascii="Times New Roman" w:eastAsia="Aptos" w:hAnsi="Times New Roman" w:cs="Times New Roman"/>
                <w:kern w:val="2"/>
                <w:lang w:val="ro-MD"/>
              </w:rPr>
              <w:t xml:space="preserve"> </w:t>
            </w:r>
            <w:r w:rsidRPr="009E686F">
              <w:rPr>
                <w:rFonts w:ascii="Times New Roman" w:eastAsia="Aptos" w:hAnsi="Times New Roman" w:cs="Times New Roman"/>
                <w:i/>
                <w:kern w:val="2"/>
                <w:lang w:val="ro-MD"/>
              </w:rPr>
              <w:t>Informarea Autorității Bancare Europene în scopul realizării coerenței procesului de analiză prudențială și de evaluare</w:t>
            </w:r>
          </w:p>
          <w:p w14:paraId="765A80E4"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090FA3FE" w14:textId="1ACFF7E3"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54750530" w14:textId="77777777" w:rsidR="00984B34" w:rsidRPr="009E686F" w:rsidRDefault="00984B34" w:rsidP="00984B34">
            <w:pPr>
              <w:jc w:val="both"/>
              <w:rPr>
                <w:rFonts w:ascii="Times New Roman" w:hAnsi="Times New Roman" w:cs="Times New Roman"/>
                <w:lang w:val="ro-RO"/>
              </w:rPr>
            </w:pPr>
          </w:p>
        </w:tc>
      </w:tr>
      <w:tr w:rsidR="00CE42BC" w:rsidRPr="009E686F" w14:paraId="2553EE72" w14:textId="23BB4182" w:rsidTr="00220617">
        <w:tc>
          <w:tcPr>
            <w:tcW w:w="1796" w:type="pct"/>
            <w:gridSpan w:val="2"/>
            <w:tcBorders>
              <w:top w:val="single" w:sz="4" w:space="0" w:color="auto"/>
              <w:left w:val="single" w:sz="4" w:space="0" w:color="auto"/>
              <w:bottom w:val="single" w:sz="4" w:space="0" w:color="auto"/>
              <w:right w:val="single" w:sz="4" w:space="0" w:color="auto"/>
            </w:tcBorders>
          </w:tcPr>
          <w:p w14:paraId="50F2C996" w14:textId="6ECBDCE7" w:rsidR="00CE42BC" w:rsidRPr="009E686F" w:rsidRDefault="00CE42BC" w:rsidP="00984B34">
            <w:pPr>
              <w:spacing w:after="0"/>
              <w:jc w:val="both"/>
              <w:rPr>
                <w:rFonts w:ascii="Times New Roman" w:hAnsi="Times New Roman" w:cs="Times New Roman"/>
                <w:lang w:val="ro-RO"/>
              </w:rPr>
            </w:pPr>
            <w:r w:rsidRPr="009E686F">
              <w:rPr>
                <w:rFonts w:ascii="Times New Roman" w:hAnsi="Times New Roman" w:cs="Times New Roman"/>
                <w:lang w:val="ro-RO"/>
              </w:rPr>
              <w:t>(1) Autoritățile competente informează ABE în legătură cu:</w:t>
            </w:r>
          </w:p>
        </w:tc>
        <w:tc>
          <w:tcPr>
            <w:tcW w:w="1928" w:type="pct"/>
            <w:gridSpan w:val="3"/>
            <w:tcBorders>
              <w:top w:val="single" w:sz="4" w:space="0" w:color="auto"/>
              <w:left w:val="single" w:sz="4" w:space="0" w:color="auto"/>
              <w:bottom w:val="single" w:sz="4" w:space="0" w:color="auto"/>
              <w:right w:val="single" w:sz="4" w:space="0" w:color="auto"/>
            </w:tcBorders>
          </w:tcPr>
          <w:p w14:paraId="7AFB7192" w14:textId="65A06F02" w:rsidR="00CE42BC" w:rsidRPr="009E686F" w:rsidRDefault="00CE42BC" w:rsidP="00984B34">
            <w:pPr>
              <w:spacing w:after="0" w:line="278" w:lineRule="auto"/>
              <w:jc w:val="both"/>
              <w:rPr>
                <w:rFonts w:ascii="Times New Roman" w:eastAsia="Aptos" w:hAnsi="Times New Roman" w:cs="Times New Roman"/>
                <w:i/>
                <w:kern w:val="2"/>
                <w:lang w:val="ro-MD"/>
              </w:rPr>
            </w:pPr>
            <w:r w:rsidRPr="009E686F">
              <w:rPr>
                <w:rFonts w:ascii="Times New Roman" w:eastAsia="Aptos" w:hAnsi="Times New Roman" w:cs="Times New Roman"/>
                <w:i/>
                <w:kern w:val="2"/>
                <w:lang w:val="ro-MD"/>
              </w:rPr>
              <w:t xml:space="preserve">Banca Națională a Moldovei informează Autoritatea Bancară Europeană în legătură cu: </w:t>
            </w:r>
          </w:p>
        </w:tc>
        <w:tc>
          <w:tcPr>
            <w:tcW w:w="470" w:type="pct"/>
            <w:tcBorders>
              <w:top w:val="single" w:sz="4" w:space="0" w:color="auto"/>
              <w:left w:val="single" w:sz="4" w:space="0" w:color="auto"/>
              <w:bottom w:val="single" w:sz="4" w:space="0" w:color="auto"/>
              <w:right w:val="single" w:sz="4" w:space="0" w:color="auto"/>
            </w:tcBorders>
          </w:tcPr>
          <w:p w14:paraId="1B40F06B" w14:textId="343E0821" w:rsidR="00CE42BC" w:rsidRPr="009E686F" w:rsidRDefault="00CE42BC"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vMerge w:val="restart"/>
            <w:tcBorders>
              <w:top w:val="single" w:sz="4" w:space="0" w:color="auto"/>
              <w:left w:val="single" w:sz="4" w:space="0" w:color="auto"/>
              <w:right w:val="single" w:sz="4" w:space="0" w:color="auto"/>
            </w:tcBorders>
          </w:tcPr>
          <w:p w14:paraId="5C0350E9" w14:textId="248DE726" w:rsidR="00CE42BC" w:rsidRPr="009E686F" w:rsidRDefault="00CE42BC" w:rsidP="00984B34">
            <w:pPr>
              <w:jc w:val="both"/>
              <w:rPr>
                <w:rFonts w:ascii="Times New Roman" w:hAnsi="Times New Roman" w:cs="Times New Roman"/>
                <w:lang w:val="ro-RO"/>
              </w:rPr>
            </w:pPr>
            <w:r w:rsidRPr="009E686F">
              <w:rPr>
                <w:rFonts w:ascii="Times New Roman" w:hAnsi="Times New Roman" w:cs="Times New Roman"/>
                <w:lang w:val="ro-RO"/>
              </w:rPr>
              <w:t>În vigoare – data aderării.</w:t>
            </w:r>
          </w:p>
        </w:tc>
      </w:tr>
      <w:tr w:rsidR="00CE42BC" w:rsidRPr="009E686F" w14:paraId="2D925122" w14:textId="08D20884" w:rsidTr="00220617">
        <w:tc>
          <w:tcPr>
            <w:tcW w:w="1796" w:type="pct"/>
            <w:gridSpan w:val="2"/>
            <w:tcBorders>
              <w:top w:val="single" w:sz="4" w:space="0" w:color="auto"/>
              <w:left w:val="single" w:sz="4" w:space="0" w:color="auto"/>
              <w:bottom w:val="single" w:sz="4" w:space="0" w:color="auto"/>
              <w:right w:val="single" w:sz="4" w:space="0" w:color="auto"/>
            </w:tcBorders>
          </w:tcPr>
          <w:p w14:paraId="3D5168B1" w14:textId="6973E32D" w:rsidR="00CE42BC" w:rsidRPr="009E686F" w:rsidRDefault="00CE42BC" w:rsidP="00984B34">
            <w:pPr>
              <w:spacing w:after="0"/>
              <w:jc w:val="both"/>
              <w:rPr>
                <w:rFonts w:ascii="Times New Roman" w:hAnsi="Times New Roman" w:cs="Times New Roman"/>
                <w:lang w:val="ro-RO"/>
              </w:rPr>
            </w:pPr>
            <w:r w:rsidRPr="009E686F">
              <w:rPr>
                <w:rFonts w:ascii="Times New Roman" w:hAnsi="Times New Roman" w:cs="Times New Roman"/>
                <w:lang w:val="ro-RO"/>
              </w:rPr>
              <w:t>(a) funcționarea procesului de analiză și evaluare menționat la articolul 97;</w:t>
            </w:r>
          </w:p>
        </w:tc>
        <w:tc>
          <w:tcPr>
            <w:tcW w:w="1928" w:type="pct"/>
            <w:gridSpan w:val="3"/>
            <w:tcBorders>
              <w:top w:val="single" w:sz="4" w:space="0" w:color="auto"/>
              <w:left w:val="single" w:sz="4" w:space="0" w:color="auto"/>
              <w:bottom w:val="single" w:sz="4" w:space="0" w:color="auto"/>
              <w:right w:val="single" w:sz="4" w:space="0" w:color="auto"/>
            </w:tcBorders>
          </w:tcPr>
          <w:p w14:paraId="5670452D" w14:textId="77777777" w:rsidR="00CE42BC" w:rsidRPr="009E686F" w:rsidRDefault="00CE42BC" w:rsidP="00984B34">
            <w:pPr>
              <w:spacing w:after="0" w:line="278" w:lineRule="auto"/>
              <w:jc w:val="both"/>
              <w:rPr>
                <w:rFonts w:ascii="Times New Roman" w:eastAsia="Aptos" w:hAnsi="Times New Roman" w:cs="Times New Roman"/>
                <w:i/>
                <w:kern w:val="2"/>
                <w:lang w:val="ro-MD"/>
              </w:rPr>
            </w:pPr>
            <w:r w:rsidRPr="009E686F">
              <w:rPr>
                <w:rFonts w:ascii="Times New Roman" w:eastAsia="Aptos" w:hAnsi="Times New Roman" w:cs="Times New Roman"/>
                <w:i/>
                <w:kern w:val="2"/>
                <w:lang w:val="ro-MD"/>
              </w:rPr>
              <w:t xml:space="preserve">a) funcţionarea procesului de verificare și evaluare menţionat la articolul 100; </w:t>
            </w:r>
          </w:p>
          <w:p w14:paraId="2727A0B1" w14:textId="77777777" w:rsidR="00CE42BC" w:rsidRPr="009E686F" w:rsidRDefault="00CE42BC" w:rsidP="00984B34">
            <w:pPr>
              <w:spacing w:after="0"/>
              <w:jc w:val="both"/>
              <w:rPr>
                <w:rFonts w:ascii="Times New Roman" w:hAnsi="Times New Roman" w:cs="Times New Roman"/>
                <w:b/>
                <w:i/>
                <w:lang w:val="ro-RO"/>
              </w:rPr>
            </w:pPr>
          </w:p>
        </w:tc>
        <w:tc>
          <w:tcPr>
            <w:tcW w:w="470" w:type="pct"/>
            <w:tcBorders>
              <w:top w:val="single" w:sz="4" w:space="0" w:color="auto"/>
              <w:left w:val="single" w:sz="4" w:space="0" w:color="auto"/>
              <w:bottom w:val="single" w:sz="4" w:space="0" w:color="auto"/>
              <w:right w:val="single" w:sz="4" w:space="0" w:color="auto"/>
            </w:tcBorders>
          </w:tcPr>
          <w:p w14:paraId="364C70DB" w14:textId="37658599" w:rsidR="00CE42BC" w:rsidRPr="009E686F" w:rsidRDefault="00CE42BC"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vMerge/>
            <w:tcBorders>
              <w:left w:val="single" w:sz="4" w:space="0" w:color="auto"/>
              <w:right w:val="single" w:sz="4" w:space="0" w:color="auto"/>
            </w:tcBorders>
          </w:tcPr>
          <w:p w14:paraId="749A1AF0" w14:textId="77777777" w:rsidR="00CE42BC" w:rsidRPr="009E686F" w:rsidRDefault="00CE42BC" w:rsidP="00984B34">
            <w:pPr>
              <w:jc w:val="both"/>
              <w:rPr>
                <w:rFonts w:ascii="Times New Roman" w:hAnsi="Times New Roman" w:cs="Times New Roman"/>
                <w:lang w:val="ro-RO"/>
              </w:rPr>
            </w:pPr>
          </w:p>
        </w:tc>
      </w:tr>
      <w:tr w:rsidR="00CE42BC" w:rsidRPr="009E686F" w14:paraId="6F44000B" w14:textId="3B41988D" w:rsidTr="00220617">
        <w:tc>
          <w:tcPr>
            <w:tcW w:w="1796" w:type="pct"/>
            <w:gridSpan w:val="2"/>
            <w:tcBorders>
              <w:top w:val="single" w:sz="4" w:space="0" w:color="auto"/>
              <w:left w:val="single" w:sz="4" w:space="0" w:color="auto"/>
              <w:bottom w:val="single" w:sz="4" w:space="0" w:color="auto"/>
              <w:right w:val="single" w:sz="4" w:space="0" w:color="auto"/>
            </w:tcBorders>
          </w:tcPr>
          <w:p w14:paraId="56A3F2F0" w14:textId="59549A69" w:rsidR="00CE42BC" w:rsidRPr="009E686F" w:rsidRDefault="00CE42BC" w:rsidP="00984B34">
            <w:pPr>
              <w:spacing w:after="0"/>
              <w:jc w:val="both"/>
              <w:rPr>
                <w:rFonts w:ascii="Times New Roman" w:hAnsi="Times New Roman" w:cs="Times New Roman"/>
                <w:lang w:val="ro-RO"/>
              </w:rPr>
            </w:pPr>
            <w:r w:rsidRPr="009E686F">
              <w:rPr>
                <w:rFonts w:ascii="Times New Roman" w:hAnsi="Times New Roman" w:cs="Times New Roman"/>
                <w:lang w:val="ro-RO"/>
              </w:rPr>
              <w:t>(b) metodologia utilizată pentru luarea deciziilor menționate la articolele 98, 100, 101, 102, 104 și 105 privind procesul menționat la litera (a).</w:t>
            </w:r>
          </w:p>
        </w:tc>
        <w:tc>
          <w:tcPr>
            <w:tcW w:w="1928" w:type="pct"/>
            <w:gridSpan w:val="3"/>
            <w:tcBorders>
              <w:top w:val="single" w:sz="4" w:space="0" w:color="auto"/>
              <w:left w:val="single" w:sz="4" w:space="0" w:color="auto"/>
              <w:bottom w:val="single" w:sz="4" w:space="0" w:color="auto"/>
              <w:right w:val="single" w:sz="4" w:space="0" w:color="auto"/>
            </w:tcBorders>
          </w:tcPr>
          <w:p w14:paraId="5B43B56B" w14:textId="7612D2BF" w:rsidR="00CE42BC" w:rsidRPr="009E686F" w:rsidRDefault="00CE42BC" w:rsidP="00984B34">
            <w:pPr>
              <w:spacing w:after="0"/>
              <w:jc w:val="both"/>
              <w:rPr>
                <w:rFonts w:ascii="Times New Roman" w:hAnsi="Times New Roman" w:cs="Times New Roman"/>
                <w:b/>
                <w:i/>
                <w:lang w:val="ro-RO"/>
              </w:rPr>
            </w:pPr>
            <w:r w:rsidRPr="009E686F">
              <w:rPr>
                <w:rFonts w:ascii="Times New Roman" w:eastAsia="Aptos" w:hAnsi="Times New Roman" w:cs="Times New Roman"/>
                <w:i/>
                <w:kern w:val="2"/>
                <w:lang w:val="ro-MD"/>
              </w:rPr>
              <w:t>b) metodologia utilizată pentru luarea deciziilor prevăzute la art. 100-102 și139 alin. (3)-(4</w:t>
            </w:r>
            <w:r w:rsidRPr="009E686F">
              <w:rPr>
                <w:rFonts w:ascii="Times New Roman" w:eastAsia="Aptos" w:hAnsi="Times New Roman" w:cs="Times New Roman"/>
                <w:i/>
                <w:kern w:val="2"/>
                <w:vertAlign w:val="superscript"/>
                <w:lang w:val="ro-MD"/>
              </w:rPr>
              <w:t>1</w:t>
            </w:r>
            <w:r w:rsidRPr="009E686F">
              <w:rPr>
                <w:rFonts w:ascii="Times New Roman" w:eastAsia="Aptos" w:hAnsi="Times New Roman" w:cs="Times New Roman"/>
                <w:i/>
                <w:kern w:val="2"/>
                <w:lang w:val="ro-MD"/>
              </w:rPr>
              <w:t>) și alin. (6) privind procesul menţionat la lit. a).</w:t>
            </w:r>
          </w:p>
        </w:tc>
        <w:tc>
          <w:tcPr>
            <w:tcW w:w="470" w:type="pct"/>
            <w:tcBorders>
              <w:top w:val="single" w:sz="4" w:space="0" w:color="auto"/>
              <w:left w:val="single" w:sz="4" w:space="0" w:color="auto"/>
              <w:bottom w:val="single" w:sz="4" w:space="0" w:color="auto"/>
              <w:right w:val="single" w:sz="4" w:space="0" w:color="auto"/>
            </w:tcBorders>
          </w:tcPr>
          <w:p w14:paraId="4F93AC40" w14:textId="4CC31905" w:rsidR="00CE42BC" w:rsidRPr="009E686F" w:rsidRDefault="00CE42BC"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vMerge/>
            <w:tcBorders>
              <w:left w:val="single" w:sz="4" w:space="0" w:color="auto"/>
              <w:bottom w:val="single" w:sz="4" w:space="0" w:color="auto"/>
              <w:right w:val="single" w:sz="4" w:space="0" w:color="auto"/>
            </w:tcBorders>
          </w:tcPr>
          <w:p w14:paraId="78137AD5" w14:textId="77777777" w:rsidR="00CE42BC" w:rsidRPr="009E686F" w:rsidRDefault="00CE42BC" w:rsidP="00984B34">
            <w:pPr>
              <w:jc w:val="both"/>
              <w:rPr>
                <w:rFonts w:ascii="Times New Roman" w:hAnsi="Times New Roman" w:cs="Times New Roman"/>
                <w:lang w:val="ro-RO"/>
              </w:rPr>
            </w:pPr>
          </w:p>
        </w:tc>
      </w:tr>
      <w:tr w:rsidR="00984B34" w:rsidRPr="009E686F" w14:paraId="652D9DF0" w14:textId="5AAFDD85" w:rsidTr="00776CB2">
        <w:trPr>
          <w:trHeight w:val="3636"/>
        </w:trPr>
        <w:tc>
          <w:tcPr>
            <w:tcW w:w="1796" w:type="pct"/>
            <w:gridSpan w:val="2"/>
            <w:tcBorders>
              <w:top w:val="single" w:sz="4" w:space="0" w:color="auto"/>
              <w:left w:val="single" w:sz="4" w:space="0" w:color="auto"/>
              <w:right w:val="single" w:sz="4" w:space="0" w:color="auto"/>
            </w:tcBorders>
          </w:tcPr>
          <w:p w14:paraId="3A7568CC"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lastRenderedPageBreak/>
              <w:t>ABE evaluează informațiile puse la dispoziție de autoritățile competente în scopul dezvoltării coerenței procesului de analiză prudențială și de evaluare. ABE poate solicita informații suplimentare autorităților competente, în vederea finalizării evaluării sale în mod proporțional, în conformitate cu articolul 35 din Regulamentul (UE) nr. 1093/2010 privind ABE.</w:t>
            </w:r>
          </w:p>
          <w:p w14:paraId="45423945"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(2) ABE prezintă anual Parlamentului European și Consiliului un raport cu privire la gradul de convergență al aplicării prezentului capitol între statele membre.</w:t>
            </w:r>
          </w:p>
          <w:p w14:paraId="1922C8CA"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Pentru a crește gradul de convergență, ABE efectuează evaluări inter pares în conformitate cu articolul 30 din Regulamentul (UE) nr. 1093/2010.</w:t>
            </w:r>
          </w:p>
          <w:p w14:paraId="2AF35559" w14:textId="667DA294"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(3) ABE emite orientări adresate autorităților competente în conformitate cu articolul 16 din Regulamentul (UE) nr. 1093/2010 pentru a detaliam într-un mod adecvat mărimii, structurii și organizării interne a instituțiilor, precum și naturii, obiectului și complexității activităților lor, procedura și metodologia comune pentru procesul de analiză prudențială și evaluare menționat la alineatul (1) de la prezentul articol și la articolul 97 și pentru evaluarea organizării și tratării riscurilor menționate la articolele 76-87, în special în ceea ce privește riscul de concentrare, în conformitate cu articolul 81.</w:t>
            </w:r>
          </w:p>
        </w:tc>
        <w:tc>
          <w:tcPr>
            <w:tcW w:w="1928" w:type="pct"/>
            <w:gridSpan w:val="3"/>
            <w:tcBorders>
              <w:top w:val="single" w:sz="4" w:space="0" w:color="auto"/>
              <w:left w:val="single" w:sz="4" w:space="0" w:color="auto"/>
              <w:right w:val="single" w:sz="4" w:space="0" w:color="auto"/>
            </w:tcBorders>
          </w:tcPr>
          <w:p w14:paraId="1CC861B9"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right w:val="single" w:sz="4" w:space="0" w:color="auto"/>
            </w:tcBorders>
          </w:tcPr>
          <w:p w14:paraId="2081F0CA" w14:textId="6A08C459"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neaplicabile</w:t>
            </w:r>
          </w:p>
          <w:p w14:paraId="4E59C6D4" w14:textId="441779EE"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right w:val="single" w:sz="4" w:space="0" w:color="auto"/>
            </w:tcBorders>
          </w:tcPr>
          <w:p w14:paraId="2E902367" w14:textId="77777777"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Se referă la competențele ABE.</w:t>
            </w:r>
          </w:p>
          <w:p w14:paraId="517D086D" w14:textId="58941E9E" w:rsidR="00984B34" w:rsidRPr="009E686F" w:rsidRDefault="00984B34" w:rsidP="00984B34">
            <w:pPr>
              <w:jc w:val="both"/>
              <w:rPr>
                <w:rFonts w:ascii="Times New Roman" w:hAnsi="Times New Roman" w:cs="Times New Roman"/>
                <w:lang w:val="ro-RO"/>
              </w:rPr>
            </w:pPr>
          </w:p>
        </w:tc>
      </w:tr>
      <w:tr w:rsidR="00984B34" w:rsidRPr="009E686F" w14:paraId="6C379BDC" w14:textId="7A2FB1CB" w:rsidTr="00774F3E">
        <w:tc>
          <w:tcPr>
            <w:tcW w:w="5000" w:type="pct"/>
            <w:gridSpan w:val="7"/>
            <w:tcBorders>
              <w:top w:val="single" w:sz="4" w:space="0" w:color="auto"/>
              <w:left w:val="single" w:sz="4" w:space="0" w:color="auto"/>
              <w:bottom w:val="single" w:sz="4" w:space="0" w:color="auto"/>
              <w:right w:val="single" w:sz="4" w:space="0" w:color="auto"/>
            </w:tcBorders>
          </w:tcPr>
          <w:p w14:paraId="2D33E275" w14:textId="77777777" w:rsidR="00984B34" w:rsidRPr="009E686F" w:rsidRDefault="00984B34" w:rsidP="00984B34">
            <w:pPr>
              <w:spacing w:after="0"/>
              <w:jc w:val="both"/>
              <w:rPr>
                <w:rFonts w:ascii="Times New Roman" w:hAnsi="Times New Roman" w:cs="Times New Roman"/>
                <w:bCs/>
                <w:lang w:val="ro-RO"/>
              </w:rPr>
            </w:pPr>
            <w:r w:rsidRPr="009E686F">
              <w:rPr>
                <w:rFonts w:ascii="Times New Roman" w:hAnsi="Times New Roman" w:cs="Times New Roman"/>
                <w:bCs/>
                <w:lang w:val="ro-RO"/>
              </w:rPr>
              <w:t>Secțiunea V</w:t>
            </w:r>
          </w:p>
          <w:p w14:paraId="6075505E" w14:textId="2CB5A3B5"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b/>
                <w:lang w:val="ro-RO"/>
              </w:rPr>
              <w:t>Nivelul de aplicare</w:t>
            </w:r>
          </w:p>
        </w:tc>
      </w:tr>
      <w:tr w:rsidR="00984B34" w:rsidRPr="009E686F" w14:paraId="2889B37E" w14:textId="1DADAE69" w:rsidTr="00774F3E">
        <w:tc>
          <w:tcPr>
            <w:tcW w:w="1796" w:type="pct"/>
            <w:gridSpan w:val="2"/>
            <w:tcBorders>
              <w:top w:val="single" w:sz="4" w:space="0" w:color="auto"/>
              <w:left w:val="single" w:sz="4" w:space="0" w:color="auto"/>
              <w:bottom w:val="single" w:sz="4" w:space="0" w:color="auto"/>
              <w:right w:val="single" w:sz="4" w:space="0" w:color="auto"/>
            </w:tcBorders>
          </w:tcPr>
          <w:p w14:paraId="2B5D82D4" w14:textId="77777777" w:rsidR="00984B34" w:rsidRPr="009E686F" w:rsidRDefault="00984B34" w:rsidP="00984B34">
            <w:pPr>
              <w:spacing w:after="0"/>
              <w:jc w:val="both"/>
              <w:rPr>
                <w:rFonts w:ascii="Times New Roman" w:hAnsi="Times New Roman" w:cs="Times New Roman"/>
                <w:i/>
                <w:iCs/>
                <w:lang w:val="ro-RO"/>
              </w:rPr>
            </w:pPr>
            <w:r w:rsidRPr="009E686F">
              <w:rPr>
                <w:rFonts w:ascii="Times New Roman" w:hAnsi="Times New Roman" w:cs="Times New Roman"/>
                <w:i/>
                <w:lang w:val="ro-RO"/>
              </w:rPr>
              <w:t xml:space="preserve">Articolul 108 </w:t>
            </w:r>
          </w:p>
          <w:p w14:paraId="756D823C" w14:textId="078F9BED"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Procesul de evaluare a adecvării capitalului intern</w:t>
            </w:r>
          </w:p>
        </w:tc>
        <w:tc>
          <w:tcPr>
            <w:tcW w:w="1928" w:type="pct"/>
            <w:gridSpan w:val="3"/>
            <w:tcBorders>
              <w:top w:val="single" w:sz="4" w:space="0" w:color="auto"/>
              <w:left w:val="single" w:sz="4" w:space="0" w:color="auto"/>
              <w:bottom w:val="single" w:sz="4" w:space="0" w:color="auto"/>
              <w:right w:val="single" w:sz="4" w:space="0" w:color="auto"/>
            </w:tcBorders>
          </w:tcPr>
          <w:p w14:paraId="3DB660B6"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18A90DF8" w14:textId="77777777"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7F085765" w14:textId="77777777" w:rsidR="00984B34" w:rsidRPr="009E686F" w:rsidRDefault="00984B34" w:rsidP="00984B34">
            <w:pPr>
              <w:jc w:val="both"/>
              <w:rPr>
                <w:rFonts w:ascii="Times New Roman" w:hAnsi="Times New Roman" w:cs="Times New Roman"/>
                <w:lang w:val="ro-RO"/>
              </w:rPr>
            </w:pPr>
          </w:p>
        </w:tc>
      </w:tr>
      <w:tr w:rsidR="00984B34" w:rsidRPr="009E686F" w14:paraId="7B5351B3" w14:textId="064230E0" w:rsidTr="00774F3E">
        <w:tc>
          <w:tcPr>
            <w:tcW w:w="1796" w:type="pct"/>
            <w:gridSpan w:val="2"/>
            <w:tcBorders>
              <w:top w:val="single" w:sz="4" w:space="0" w:color="auto"/>
              <w:left w:val="single" w:sz="4" w:space="0" w:color="auto"/>
              <w:bottom w:val="single" w:sz="4" w:space="0" w:color="auto"/>
              <w:right w:val="single" w:sz="4" w:space="0" w:color="auto"/>
            </w:tcBorders>
          </w:tcPr>
          <w:p w14:paraId="351F394E" w14:textId="42B47F82"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(1) Autoritățile competente cer fiecărei instituții care nu este nici filială în statul membru în care este autorizată și supravegheată, nici întreprindere-mamă, și oricărei </w:t>
            </w:r>
            <w:r w:rsidRPr="009E686F">
              <w:rPr>
                <w:rFonts w:ascii="Times New Roman" w:hAnsi="Times New Roman" w:cs="Times New Roman"/>
                <w:lang w:val="ro-RO"/>
              </w:rPr>
              <w:lastRenderedPageBreak/>
              <w:t>instituții neincluse în consolidare conform articolului 19 din Regulamentul (UE) nr. 575/2013 să îndeplinească în mod individual obligațiile prevăzute la articolul 73 din prezenta directivă.</w:t>
            </w:r>
          </w:p>
        </w:tc>
        <w:tc>
          <w:tcPr>
            <w:tcW w:w="1928" w:type="pct"/>
            <w:gridSpan w:val="3"/>
            <w:tcBorders>
              <w:top w:val="single" w:sz="4" w:space="0" w:color="auto"/>
              <w:left w:val="single" w:sz="4" w:space="0" w:color="auto"/>
              <w:bottom w:val="single" w:sz="4" w:space="0" w:color="auto"/>
              <w:right w:val="single" w:sz="4" w:space="0" w:color="auto"/>
            </w:tcBorders>
          </w:tcPr>
          <w:p w14:paraId="09D96924" w14:textId="68640AC4" w:rsidR="00984B34" w:rsidRPr="009E686F" w:rsidRDefault="00984B34" w:rsidP="00984B34">
            <w:pPr>
              <w:spacing w:after="0"/>
              <w:jc w:val="both"/>
              <w:rPr>
                <w:rFonts w:ascii="Times New Roman" w:eastAsia="Aptos" w:hAnsi="Times New Roman" w:cs="Times New Roman"/>
                <w:b/>
                <w:bCs/>
                <w:kern w:val="2"/>
                <w:lang w:val="ro-MD"/>
              </w:rPr>
            </w:pPr>
            <w:r w:rsidRPr="009E686F">
              <w:rPr>
                <w:rFonts w:ascii="Times New Roman" w:eastAsia="Aptos" w:hAnsi="Times New Roman" w:cs="Times New Roman"/>
                <w:b/>
                <w:bCs/>
                <w:kern w:val="2"/>
                <w:lang w:val="ro-MD"/>
              </w:rPr>
              <w:lastRenderedPageBreak/>
              <w:t>Articolul 59 alin. (7)</w:t>
            </w:r>
          </w:p>
          <w:p w14:paraId="5E01B653" w14:textId="4B533B44" w:rsidR="00984B34" w:rsidRPr="009E686F" w:rsidRDefault="00984B34" w:rsidP="00984B34">
            <w:pPr>
              <w:spacing w:after="0"/>
              <w:jc w:val="both"/>
              <w:rPr>
                <w:rFonts w:ascii="Times New Roman" w:hAnsi="Times New Roman" w:cs="Times New Roman"/>
                <w:b/>
                <w:i/>
                <w:lang w:val="ro-RO"/>
              </w:rPr>
            </w:pPr>
            <w:r w:rsidRPr="009E686F">
              <w:rPr>
                <w:rFonts w:ascii="Times New Roman" w:eastAsia="Aptos" w:hAnsi="Times New Roman" w:cs="Times New Roman"/>
                <w:i/>
                <w:kern w:val="2"/>
                <w:lang w:val="ro-MD"/>
              </w:rPr>
              <w:t xml:space="preserve">(7) Banca Națională a Moldovei solicită fiecărei </w:t>
            </w:r>
            <w:r w:rsidRPr="009E686F">
              <w:rPr>
                <w:rFonts w:ascii="Times New Roman" w:eastAsia="Aptos" w:hAnsi="Times New Roman" w:cs="Times New Roman"/>
                <w:i/>
                <w:iCs/>
                <w:kern w:val="2"/>
                <w:lang w:val="ro-MD"/>
              </w:rPr>
              <w:t>instituții de credit</w:t>
            </w:r>
            <w:r w:rsidRPr="009E686F">
              <w:rPr>
                <w:rFonts w:ascii="Times New Roman" w:eastAsia="Aptos" w:hAnsi="Times New Roman" w:cs="Times New Roman"/>
                <w:i/>
                <w:kern w:val="2"/>
                <w:lang w:val="ro-MD"/>
              </w:rPr>
              <w:t xml:space="preserve"> care nu este nici filială în statul membru în care este </w:t>
            </w:r>
            <w:r w:rsidRPr="009E686F">
              <w:rPr>
                <w:rFonts w:ascii="Times New Roman" w:eastAsia="Aptos" w:hAnsi="Times New Roman" w:cs="Times New Roman"/>
                <w:i/>
                <w:kern w:val="2"/>
                <w:lang w:val="ro-MD"/>
              </w:rPr>
              <w:lastRenderedPageBreak/>
              <w:t xml:space="preserve">autorizată și supravegheată, nici întreprindere-mamă, și oricărei </w:t>
            </w:r>
            <w:r w:rsidRPr="009E686F">
              <w:rPr>
                <w:rFonts w:ascii="Times New Roman" w:eastAsia="Aptos" w:hAnsi="Times New Roman" w:cs="Times New Roman"/>
                <w:i/>
                <w:iCs/>
                <w:kern w:val="2"/>
                <w:lang w:val="ro-MD"/>
              </w:rPr>
              <w:t>instituții de credit</w:t>
            </w:r>
            <w:r w:rsidRPr="009E686F">
              <w:rPr>
                <w:rFonts w:ascii="Times New Roman" w:eastAsia="Aptos" w:hAnsi="Times New Roman" w:cs="Times New Roman"/>
                <w:i/>
                <w:kern w:val="2"/>
                <w:lang w:val="ro-MD"/>
              </w:rPr>
              <w:t xml:space="preserve"> neincluse în consolidare conform actelor normative emise în aplicarea prezentei legi să îndeplinească la nivel individual obligaţiile prevăzute la art. 78.  </w:t>
            </w:r>
          </w:p>
        </w:tc>
        <w:tc>
          <w:tcPr>
            <w:tcW w:w="470" w:type="pct"/>
            <w:tcBorders>
              <w:top w:val="single" w:sz="4" w:space="0" w:color="auto"/>
              <w:left w:val="single" w:sz="4" w:space="0" w:color="auto"/>
              <w:bottom w:val="single" w:sz="4" w:space="0" w:color="auto"/>
              <w:right w:val="single" w:sz="4" w:space="0" w:color="auto"/>
            </w:tcBorders>
          </w:tcPr>
          <w:p w14:paraId="74172CAE" w14:textId="6C90AD8A"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lastRenderedPageBreak/>
              <w:t>Compatibil</w:t>
            </w:r>
          </w:p>
          <w:p w14:paraId="12BD1820" w14:textId="52E57606"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6D01D0FA" w14:textId="77777777" w:rsidR="00984B34" w:rsidRPr="009E686F" w:rsidRDefault="00984B34" w:rsidP="00984B34">
            <w:pPr>
              <w:jc w:val="both"/>
              <w:rPr>
                <w:rFonts w:ascii="Times New Roman" w:hAnsi="Times New Roman" w:cs="Times New Roman"/>
                <w:lang w:val="ro-RO"/>
              </w:rPr>
            </w:pPr>
          </w:p>
        </w:tc>
      </w:tr>
      <w:tr w:rsidR="00984B34" w:rsidRPr="009E686F" w14:paraId="0D63F3A9" w14:textId="729B286C" w:rsidTr="00774F3E">
        <w:tc>
          <w:tcPr>
            <w:tcW w:w="1796" w:type="pct"/>
            <w:gridSpan w:val="2"/>
            <w:tcBorders>
              <w:top w:val="single" w:sz="4" w:space="0" w:color="auto"/>
              <w:left w:val="single" w:sz="4" w:space="0" w:color="auto"/>
              <w:bottom w:val="single" w:sz="4" w:space="0" w:color="auto"/>
              <w:right w:val="single" w:sz="4" w:space="0" w:color="auto"/>
            </w:tcBorders>
          </w:tcPr>
          <w:p w14:paraId="275651C6" w14:textId="40A4974C"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Autoritățile competente pot excepta o instituție de credit de la cerințele prevăzute la articolul 73 din prezenta directivă în conformitate cu articolul 10 din Regulamentul (UE) nr. 575/2013.</w:t>
            </w:r>
          </w:p>
        </w:tc>
        <w:tc>
          <w:tcPr>
            <w:tcW w:w="1928" w:type="pct"/>
            <w:gridSpan w:val="3"/>
            <w:tcBorders>
              <w:top w:val="single" w:sz="4" w:space="0" w:color="auto"/>
              <w:left w:val="single" w:sz="4" w:space="0" w:color="auto"/>
              <w:bottom w:val="single" w:sz="4" w:space="0" w:color="auto"/>
              <w:right w:val="single" w:sz="4" w:space="0" w:color="auto"/>
            </w:tcBorders>
          </w:tcPr>
          <w:p w14:paraId="3AFBB053" w14:textId="73B93DBD" w:rsidR="00984B34" w:rsidRPr="009E686F" w:rsidRDefault="00984B34" w:rsidP="00984B34">
            <w:pPr>
              <w:spacing w:after="0"/>
              <w:jc w:val="both"/>
              <w:rPr>
                <w:rFonts w:ascii="Times New Roman" w:eastAsia="Aptos" w:hAnsi="Times New Roman" w:cs="Times New Roman"/>
                <w:b/>
                <w:bCs/>
                <w:kern w:val="2"/>
                <w:lang w:val="ro-MD"/>
              </w:rPr>
            </w:pPr>
            <w:r w:rsidRPr="009E686F">
              <w:rPr>
                <w:rFonts w:ascii="Times New Roman" w:eastAsia="Aptos" w:hAnsi="Times New Roman" w:cs="Times New Roman"/>
                <w:b/>
                <w:bCs/>
                <w:kern w:val="2"/>
                <w:lang w:val="ro-MD"/>
              </w:rPr>
              <w:t>Articolul 59 alin. (8)</w:t>
            </w:r>
          </w:p>
          <w:p w14:paraId="503E972B" w14:textId="7A733CA7" w:rsidR="00984B34" w:rsidRPr="009E686F" w:rsidRDefault="00984B34" w:rsidP="00984B34">
            <w:pPr>
              <w:spacing w:after="0"/>
              <w:jc w:val="both"/>
              <w:rPr>
                <w:rFonts w:ascii="Times New Roman" w:hAnsi="Times New Roman" w:cs="Times New Roman"/>
                <w:b/>
                <w:i/>
                <w:lang w:val="ro-RO"/>
              </w:rPr>
            </w:pPr>
            <w:r w:rsidRPr="009E686F">
              <w:rPr>
                <w:rFonts w:ascii="Times New Roman" w:eastAsia="Aptos" w:hAnsi="Times New Roman" w:cs="Times New Roman"/>
                <w:i/>
                <w:kern w:val="2"/>
                <w:lang w:val="ro-MD"/>
              </w:rPr>
              <w:t xml:space="preserve">(8) Banca Națională a Moldovei poate excepta o </w:t>
            </w:r>
            <w:r w:rsidRPr="009E686F">
              <w:rPr>
                <w:rFonts w:ascii="Times New Roman" w:eastAsia="Aptos" w:hAnsi="Times New Roman" w:cs="Times New Roman"/>
                <w:i/>
                <w:iCs/>
                <w:kern w:val="2"/>
                <w:lang w:val="ro-MD"/>
              </w:rPr>
              <w:t>instituție de credit</w:t>
            </w:r>
            <w:r w:rsidRPr="009E686F">
              <w:rPr>
                <w:rFonts w:ascii="Times New Roman" w:eastAsia="Aptos" w:hAnsi="Times New Roman" w:cs="Times New Roman"/>
                <w:i/>
                <w:kern w:val="2"/>
                <w:lang w:val="ro-MD"/>
              </w:rPr>
              <w:t xml:space="preserve"> de la îndeplinirea cerinţelor prevăzute la art. 78 în cazurile în care acordă o derogare în conformitate cu actele normative emise în aplicarea prezentei legi.</w:t>
            </w:r>
          </w:p>
        </w:tc>
        <w:tc>
          <w:tcPr>
            <w:tcW w:w="470" w:type="pct"/>
            <w:tcBorders>
              <w:top w:val="single" w:sz="4" w:space="0" w:color="auto"/>
              <w:left w:val="single" w:sz="4" w:space="0" w:color="auto"/>
              <w:bottom w:val="single" w:sz="4" w:space="0" w:color="auto"/>
              <w:right w:val="single" w:sz="4" w:space="0" w:color="auto"/>
            </w:tcBorders>
          </w:tcPr>
          <w:p w14:paraId="7A05C8BB" w14:textId="44D5617B"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p w14:paraId="2CA33CE5" w14:textId="0DD28AC5"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1600CED4" w14:textId="5CE0F182" w:rsidR="00984B34" w:rsidRPr="009E686F" w:rsidRDefault="00984B34" w:rsidP="00984B34">
            <w:pPr>
              <w:jc w:val="both"/>
              <w:rPr>
                <w:rFonts w:ascii="Times New Roman" w:hAnsi="Times New Roman" w:cs="Times New Roman"/>
                <w:lang w:val="ro-RO"/>
              </w:rPr>
            </w:pPr>
          </w:p>
        </w:tc>
      </w:tr>
      <w:tr w:rsidR="00984B34" w:rsidRPr="009E686F" w14:paraId="669D8385" w14:textId="283D4A55" w:rsidTr="00774F3E">
        <w:tc>
          <w:tcPr>
            <w:tcW w:w="1796" w:type="pct"/>
            <w:gridSpan w:val="2"/>
            <w:tcBorders>
              <w:top w:val="single" w:sz="4" w:space="0" w:color="auto"/>
              <w:left w:val="single" w:sz="4" w:space="0" w:color="auto"/>
              <w:bottom w:val="single" w:sz="4" w:space="0" w:color="auto"/>
              <w:right w:val="single" w:sz="4" w:space="0" w:color="auto"/>
            </w:tcBorders>
          </w:tcPr>
          <w:p w14:paraId="3B49CD13"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În cazul în care autoritățile competente renunță la aplicarea cerințelor de fonduri proprii pe o bază consolidată, prevăzută la articolul 15 din Regulamentul (UE) nr. 575/2013, cerințele articolului 73 din prezenta directivă se aplică pe bază individuală.</w:t>
            </w:r>
          </w:p>
        </w:tc>
        <w:tc>
          <w:tcPr>
            <w:tcW w:w="1928" w:type="pct"/>
            <w:gridSpan w:val="3"/>
            <w:tcBorders>
              <w:top w:val="single" w:sz="4" w:space="0" w:color="auto"/>
              <w:left w:val="single" w:sz="4" w:space="0" w:color="auto"/>
              <w:bottom w:val="single" w:sz="4" w:space="0" w:color="auto"/>
              <w:right w:val="single" w:sz="4" w:space="0" w:color="auto"/>
            </w:tcBorders>
          </w:tcPr>
          <w:p w14:paraId="420F58A0" w14:textId="77777777" w:rsidR="00984B34" w:rsidRPr="009E686F" w:rsidRDefault="00984B34" w:rsidP="005A2C8E">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37F716FF" w14:textId="434B2012" w:rsidR="00984B34" w:rsidRPr="009E686F" w:rsidRDefault="005A2C8E" w:rsidP="00984B34">
            <w:pPr>
              <w:jc w:val="both"/>
              <w:rPr>
                <w:rFonts w:ascii="Times New Roman" w:hAnsi="Times New Roman" w:cs="Times New Roman"/>
                <w:lang w:val="ro-RO"/>
              </w:rPr>
            </w:pPr>
            <w:r w:rsidRPr="009E686F">
              <w:rPr>
                <w:rFonts w:ascii="Times New Roman" w:hAnsi="Times New Roman" w:cs="Times New Roman"/>
                <w:lang w:val="ro-RO"/>
              </w:rPr>
              <w:t>Norme UE netranspuse</w:t>
            </w:r>
          </w:p>
          <w:p w14:paraId="47CEE113" w14:textId="7F367937"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47792841" w14:textId="650240F7" w:rsidR="00984B34" w:rsidRPr="009E686F" w:rsidRDefault="005A2C8E" w:rsidP="00984B34">
            <w:pPr>
              <w:jc w:val="both"/>
              <w:rPr>
                <w:rFonts w:ascii="Times New Roman" w:hAnsi="Times New Roman" w:cs="Times New Roman"/>
                <w:lang w:val="ro-RO"/>
              </w:rPr>
            </w:pPr>
            <w:r w:rsidRPr="009E686F">
              <w:rPr>
                <w:rFonts w:ascii="Times New Roman" w:hAnsi="Times New Roman" w:cs="Times New Roman"/>
                <w:lang w:val="ro-RO"/>
              </w:rPr>
              <w:t>Dispoziția de la acest paragraf, care se referă la derogarea prevăzută la art. 15 din Regulamentul (UE) nr. 575/2013, nu a fost preluată, întrucât articolul respectiv a fost abrogat prin Regulamentul (UE) 2019/2033. Derogarea respectivă viza grupurile de firme de investiții care nu includeau instituții de credit. Cadrul prudențial aplicabil firmelor de investiții a fost ulterior reglementat separat prin Regulamentul (UE) 2019/2033 și Directiva (UE) 2019/2034.</w:t>
            </w:r>
          </w:p>
          <w:p w14:paraId="251F85D3" w14:textId="77777777" w:rsidR="00984B34" w:rsidRPr="009E686F" w:rsidRDefault="00984B34" w:rsidP="00984B34">
            <w:pPr>
              <w:jc w:val="both"/>
              <w:rPr>
                <w:rFonts w:ascii="Times New Roman" w:hAnsi="Times New Roman" w:cs="Times New Roman"/>
                <w:lang w:val="ro-RO"/>
              </w:rPr>
            </w:pPr>
          </w:p>
        </w:tc>
      </w:tr>
      <w:tr w:rsidR="00984B34" w:rsidRPr="009E686F" w14:paraId="0F804DB2" w14:textId="4B70B3EC" w:rsidTr="00774F3E">
        <w:tc>
          <w:tcPr>
            <w:tcW w:w="1796" w:type="pct"/>
            <w:gridSpan w:val="2"/>
            <w:tcBorders>
              <w:top w:val="single" w:sz="4" w:space="0" w:color="auto"/>
              <w:left w:val="single" w:sz="4" w:space="0" w:color="auto"/>
              <w:bottom w:val="single" w:sz="4" w:space="0" w:color="auto"/>
              <w:right w:val="single" w:sz="4" w:space="0" w:color="auto"/>
            </w:tcBorders>
          </w:tcPr>
          <w:p w14:paraId="704FC230" w14:textId="6E674095"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lastRenderedPageBreak/>
              <w:t>(2) Autoritățile competente solicită instituțiilor-mamă dintr-un stat membru, în măsura și în modul indicate la partea întâi titlul II capitolul 2 secțiunile 2 și 3 din Regulamentul (UE) nr. 575/2013, să respecte obligațiile prevăzute la articolul 73 din prezenta directivă pe o bază consolidată.</w:t>
            </w:r>
          </w:p>
        </w:tc>
        <w:tc>
          <w:tcPr>
            <w:tcW w:w="1928" w:type="pct"/>
            <w:gridSpan w:val="3"/>
            <w:tcBorders>
              <w:top w:val="single" w:sz="4" w:space="0" w:color="auto"/>
              <w:left w:val="single" w:sz="4" w:space="0" w:color="auto"/>
              <w:bottom w:val="single" w:sz="4" w:space="0" w:color="auto"/>
              <w:right w:val="single" w:sz="4" w:space="0" w:color="auto"/>
            </w:tcBorders>
          </w:tcPr>
          <w:p w14:paraId="45FBE416" w14:textId="4507744B" w:rsidR="00984B34" w:rsidRPr="009E686F" w:rsidRDefault="00984B34" w:rsidP="00984B34">
            <w:pPr>
              <w:spacing w:after="0"/>
              <w:jc w:val="both"/>
              <w:rPr>
                <w:rFonts w:ascii="Times New Roman" w:eastAsia="Aptos" w:hAnsi="Times New Roman" w:cs="Times New Roman"/>
                <w:b/>
                <w:bCs/>
                <w:kern w:val="2"/>
                <w:lang w:val="ro-MD"/>
              </w:rPr>
            </w:pPr>
            <w:r w:rsidRPr="009E686F">
              <w:rPr>
                <w:rFonts w:ascii="Times New Roman" w:eastAsia="Aptos" w:hAnsi="Times New Roman" w:cs="Times New Roman"/>
                <w:b/>
                <w:bCs/>
                <w:kern w:val="2"/>
                <w:lang w:val="ro-MD"/>
              </w:rPr>
              <w:t>Articolul 59 alin. (10)</w:t>
            </w:r>
          </w:p>
          <w:p w14:paraId="02D4667A" w14:textId="28D14DD9" w:rsidR="00984B34" w:rsidRPr="009E686F" w:rsidRDefault="00984B34" w:rsidP="00984B34">
            <w:pPr>
              <w:spacing w:after="0"/>
              <w:jc w:val="both"/>
              <w:rPr>
                <w:rFonts w:ascii="Times New Roman" w:eastAsia="Aptos" w:hAnsi="Times New Roman" w:cs="Times New Roman"/>
                <w:i/>
                <w:kern w:val="2"/>
                <w:lang w:val="ro-MD"/>
              </w:rPr>
            </w:pPr>
            <w:r w:rsidRPr="009E686F">
              <w:rPr>
                <w:rFonts w:ascii="Times New Roman" w:eastAsia="Aptos" w:hAnsi="Times New Roman" w:cs="Times New Roman"/>
                <w:i/>
                <w:kern w:val="2"/>
                <w:lang w:val="ro-MD"/>
              </w:rPr>
              <w:t xml:space="preserve">(10) Banca Națională a Moldovei solicită </w:t>
            </w:r>
            <w:r w:rsidRPr="009E686F">
              <w:rPr>
                <w:rFonts w:ascii="Times New Roman" w:eastAsia="Aptos" w:hAnsi="Times New Roman" w:cs="Times New Roman"/>
                <w:i/>
                <w:iCs/>
                <w:kern w:val="2"/>
                <w:lang w:val="ro-MD"/>
              </w:rPr>
              <w:t>instituțiilor de credit</w:t>
            </w:r>
            <w:r w:rsidRPr="009E686F">
              <w:rPr>
                <w:rFonts w:ascii="Times New Roman" w:eastAsia="Aptos" w:hAnsi="Times New Roman" w:cs="Times New Roman"/>
                <w:i/>
                <w:kern w:val="2"/>
                <w:lang w:val="ro-MD"/>
              </w:rPr>
              <w:t>-mamă dintr-un stat membru, în măsura și în modul indicat în actele normative emise în aplicarea prezentei legi, să respecte obligaţiile prevăzute la art. 78 pe bază consolidată.</w:t>
            </w:r>
          </w:p>
          <w:p w14:paraId="3B70143B"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28B3E8DF" w14:textId="77777777"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p w14:paraId="7F197A93" w14:textId="780B2FF9"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39EAF9BD" w14:textId="77777777" w:rsidR="00984B34" w:rsidRPr="009E686F" w:rsidRDefault="00984B34" w:rsidP="00984B34">
            <w:pPr>
              <w:jc w:val="both"/>
              <w:rPr>
                <w:rFonts w:ascii="Times New Roman" w:hAnsi="Times New Roman" w:cs="Times New Roman"/>
                <w:lang w:val="ro-RO"/>
              </w:rPr>
            </w:pPr>
          </w:p>
        </w:tc>
      </w:tr>
      <w:tr w:rsidR="00984B34" w:rsidRPr="009E686F" w14:paraId="1090BBBE" w14:textId="7972996A" w:rsidTr="00774F3E">
        <w:tc>
          <w:tcPr>
            <w:tcW w:w="1796" w:type="pct"/>
            <w:gridSpan w:val="2"/>
            <w:tcBorders>
              <w:top w:val="single" w:sz="4" w:space="0" w:color="auto"/>
              <w:left w:val="single" w:sz="4" w:space="0" w:color="auto"/>
              <w:bottom w:val="single" w:sz="4" w:space="0" w:color="auto"/>
              <w:right w:val="single" w:sz="4" w:space="0" w:color="auto"/>
            </w:tcBorders>
          </w:tcPr>
          <w:p w14:paraId="0291DC43" w14:textId="0FBB88F9"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(4) Autoritățile competente cer instituțiilor-filială să aplice cerințele stabilite la articolul 73 pe o bază subconsolidată în cazul în care respectivele instituții sau întreprinderea-mamă, dacă este vorba de o societate financiară holding sau de o societate financiară holding mixtă, are ca filială într-o țară terță o instituție sau o instituție financiară ori o societate de administrare a activelor, astfel cum sunt definite la articolul 2 alineatul (5) din Directiva 2002/87/CE, sau deține o participație la o astfel de întreprindere.</w:t>
            </w:r>
          </w:p>
        </w:tc>
        <w:tc>
          <w:tcPr>
            <w:tcW w:w="1928" w:type="pct"/>
            <w:gridSpan w:val="3"/>
            <w:tcBorders>
              <w:top w:val="single" w:sz="4" w:space="0" w:color="auto"/>
              <w:left w:val="single" w:sz="4" w:space="0" w:color="auto"/>
              <w:bottom w:val="single" w:sz="4" w:space="0" w:color="auto"/>
              <w:right w:val="single" w:sz="4" w:space="0" w:color="auto"/>
            </w:tcBorders>
          </w:tcPr>
          <w:p w14:paraId="22393C1D" w14:textId="1809CB1F"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b/>
                <w:lang w:val="ro-RO"/>
              </w:rPr>
              <w:t>Articolul 59 alin. (11)</w:t>
            </w:r>
          </w:p>
          <w:p w14:paraId="27E7C5B3" w14:textId="7C2C20E9" w:rsidR="00984B34" w:rsidRPr="009E686F" w:rsidRDefault="00984B34" w:rsidP="00984B34">
            <w:pPr>
              <w:spacing w:after="0"/>
              <w:jc w:val="both"/>
              <w:rPr>
                <w:rFonts w:ascii="Times New Roman" w:hAnsi="Times New Roman" w:cs="Times New Roman"/>
                <w:b/>
                <w:i/>
                <w:lang w:val="ro-RO"/>
              </w:rPr>
            </w:pPr>
            <w:r w:rsidRPr="009E686F">
              <w:rPr>
                <w:rFonts w:ascii="Times New Roman" w:eastAsia="Aptos" w:hAnsi="Times New Roman" w:cs="Times New Roman"/>
                <w:i/>
                <w:kern w:val="2"/>
                <w:lang w:val="ro-MD"/>
              </w:rPr>
              <w:t xml:space="preserve">(11) Banca Națională a Moldovei solicită </w:t>
            </w:r>
            <w:r w:rsidRPr="009E686F">
              <w:rPr>
                <w:rFonts w:ascii="Times New Roman" w:eastAsia="Aptos" w:hAnsi="Times New Roman" w:cs="Times New Roman"/>
                <w:i/>
                <w:iCs/>
                <w:kern w:val="2"/>
                <w:lang w:val="ro-MD"/>
              </w:rPr>
              <w:t>instituțiilor de credit</w:t>
            </w:r>
            <w:r w:rsidRPr="009E686F">
              <w:rPr>
                <w:rFonts w:ascii="Times New Roman" w:eastAsia="Aptos" w:hAnsi="Times New Roman" w:cs="Times New Roman"/>
                <w:i/>
                <w:kern w:val="2"/>
                <w:lang w:val="ro-MD"/>
              </w:rPr>
              <w:t xml:space="preserve">-filială să aplice cerinţele prevăzute la art. 78 pe o bază subconsolidată, în cazul în care respectivele </w:t>
            </w:r>
            <w:r w:rsidRPr="009E686F">
              <w:rPr>
                <w:rFonts w:ascii="Times New Roman" w:eastAsia="Aptos" w:hAnsi="Times New Roman" w:cs="Times New Roman"/>
                <w:i/>
                <w:iCs/>
                <w:kern w:val="2"/>
                <w:lang w:val="ro-MD"/>
              </w:rPr>
              <w:t>instituții de credit</w:t>
            </w:r>
            <w:r w:rsidRPr="009E686F">
              <w:rPr>
                <w:rFonts w:ascii="Times New Roman" w:eastAsia="Aptos" w:hAnsi="Times New Roman" w:cs="Times New Roman"/>
                <w:i/>
                <w:kern w:val="2"/>
                <w:lang w:val="ro-MD"/>
              </w:rPr>
              <w:t xml:space="preserve"> sau întreprinderea-mamă, dacă aceasta este o societate financiară holding sau o societate financiară holding mixtă, are ca filială într-un stat terţ o </w:t>
            </w:r>
            <w:r w:rsidRPr="009E686F">
              <w:rPr>
                <w:rFonts w:ascii="Times New Roman" w:eastAsia="Aptos" w:hAnsi="Times New Roman" w:cs="Times New Roman"/>
                <w:i/>
                <w:iCs/>
                <w:kern w:val="2"/>
                <w:lang w:val="ro-MD"/>
              </w:rPr>
              <w:t>instituție de credit</w:t>
            </w:r>
            <w:r w:rsidRPr="009E686F">
              <w:rPr>
                <w:rFonts w:ascii="Times New Roman" w:eastAsia="Aptos" w:hAnsi="Times New Roman" w:cs="Times New Roman"/>
                <w:i/>
                <w:kern w:val="2"/>
                <w:lang w:val="ro-MD"/>
              </w:rPr>
              <w:t xml:space="preserve"> sau o instituţie financiară ori o societate de administrare a activelor sau deține o participație la o astfel de întreprindere.</w:t>
            </w:r>
          </w:p>
        </w:tc>
        <w:tc>
          <w:tcPr>
            <w:tcW w:w="470" w:type="pct"/>
            <w:tcBorders>
              <w:top w:val="single" w:sz="4" w:space="0" w:color="auto"/>
              <w:left w:val="single" w:sz="4" w:space="0" w:color="auto"/>
              <w:bottom w:val="single" w:sz="4" w:space="0" w:color="auto"/>
              <w:right w:val="single" w:sz="4" w:space="0" w:color="auto"/>
            </w:tcBorders>
          </w:tcPr>
          <w:p w14:paraId="117BC3C1" w14:textId="77777777"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p w14:paraId="4725CF5B" w14:textId="7399E8E8"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7A32D582" w14:textId="77777777" w:rsidR="00984B34" w:rsidRPr="009E686F" w:rsidRDefault="00984B34" w:rsidP="00984B34">
            <w:pPr>
              <w:jc w:val="both"/>
              <w:rPr>
                <w:rFonts w:ascii="Times New Roman" w:hAnsi="Times New Roman" w:cs="Times New Roman"/>
                <w:lang w:val="ro-RO"/>
              </w:rPr>
            </w:pPr>
          </w:p>
        </w:tc>
      </w:tr>
      <w:tr w:rsidR="00984B34" w:rsidRPr="009E686F" w14:paraId="2D9014D7" w14:textId="5AFBF49E" w:rsidTr="00774F3E">
        <w:tc>
          <w:tcPr>
            <w:tcW w:w="5000" w:type="pct"/>
            <w:gridSpan w:val="7"/>
            <w:tcBorders>
              <w:top w:val="single" w:sz="4" w:space="0" w:color="auto"/>
              <w:left w:val="single" w:sz="4" w:space="0" w:color="auto"/>
              <w:bottom w:val="single" w:sz="4" w:space="0" w:color="auto"/>
              <w:right w:val="single" w:sz="4" w:space="0" w:color="auto"/>
            </w:tcBorders>
          </w:tcPr>
          <w:p w14:paraId="1A037692" w14:textId="77777777" w:rsidR="00984B34" w:rsidRPr="009E686F" w:rsidRDefault="00984B34" w:rsidP="00984B34">
            <w:pPr>
              <w:spacing w:after="0"/>
              <w:jc w:val="both"/>
              <w:rPr>
                <w:rFonts w:ascii="Times New Roman" w:hAnsi="Times New Roman" w:cs="Times New Roman"/>
                <w:i/>
                <w:iCs/>
                <w:lang w:val="ro-RO"/>
              </w:rPr>
            </w:pPr>
            <w:r w:rsidRPr="009E686F">
              <w:rPr>
                <w:rFonts w:ascii="Times New Roman" w:hAnsi="Times New Roman" w:cs="Times New Roman"/>
                <w:i/>
                <w:iCs/>
                <w:lang w:val="ro-RO"/>
              </w:rPr>
              <w:t xml:space="preserve">Articolul 109 </w:t>
            </w:r>
          </w:p>
          <w:p w14:paraId="2AE64A43" w14:textId="502E446A"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Dispozitivele, procedurile și mecanismele instituțiilor</w:t>
            </w:r>
          </w:p>
        </w:tc>
      </w:tr>
      <w:tr w:rsidR="00984B34" w:rsidRPr="009E686F" w14:paraId="52B92379" w14:textId="66A8834C" w:rsidTr="00774F3E">
        <w:tc>
          <w:tcPr>
            <w:tcW w:w="1796" w:type="pct"/>
            <w:gridSpan w:val="2"/>
            <w:tcBorders>
              <w:top w:val="single" w:sz="4" w:space="0" w:color="auto"/>
              <w:left w:val="single" w:sz="4" w:space="0" w:color="auto"/>
              <w:bottom w:val="single" w:sz="4" w:space="0" w:color="auto"/>
              <w:right w:val="single" w:sz="4" w:space="0" w:color="auto"/>
            </w:tcBorders>
          </w:tcPr>
          <w:p w14:paraId="374B4C84" w14:textId="3B951E64"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(1) Autoritățile competente cer instituțiilor să respecte obligațiile prevăzute la secțiunea II din prezentul capitol pe o bază individuală, cu excepția cazului în care autoritățile competente recurg la derogarea prevăzută la articolul 7 din Regulamentul (UE) nr. 575/2013.</w:t>
            </w:r>
          </w:p>
        </w:tc>
        <w:tc>
          <w:tcPr>
            <w:tcW w:w="1928" w:type="pct"/>
            <w:gridSpan w:val="3"/>
            <w:tcBorders>
              <w:top w:val="single" w:sz="4" w:space="0" w:color="auto"/>
              <w:left w:val="single" w:sz="4" w:space="0" w:color="auto"/>
              <w:bottom w:val="single" w:sz="4" w:space="0" w:color="auto"/>
              <w:right w:val="single" w:sz="4" w:space="0" w:color="auto"/>
            </w:tcBorders>
          </w:tcPr>
          <w:p w14:paraId="6E857B4E" w14:textId="5B6861CD"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b/>
                <w:lang w:val="ro-RO"/>
              </w:rPr>
              <w:t>Articolul 38 alin. (6)</w:t>
            </w:r>
          </w:p>
          <w:p w14:paraId="7614157C" w14:textId="77777777" w:rsidR="00984B34" w:rsidRPr="009E686F" w:rsidRDefault="00984B34" w:rsidP="00984B34">
            <w:pPr>
              <w:spacing w:after="0"/>
              <w:jc w:val="both"/>
              <w:rPr>
                <w:rFonts w:ascii="Times New Roman" w:hAnsi="Times New Roman" w:cs="Times New Roman"/>
                <w:bCs/>
                <w:lang w:val="ro-RO"/>
              </w:rPr>
            </w:pPr>
            <w:r w:rsidRPr="009E686F">
              <w:rPr>
                <w:rFonts w:ascii="Times New Roman" w:hAnsi="Times New Roman" w:cs="Times New Roman"/>
                <w:bCs/>
                <w:lang w:val="ro-RO"/>
              </w:rPr>
              <w:t>(6) Prezentul articol se aplică cu respectarea dispoziţiilor art.59 pe bază individuală şi consolidată.</w:t>
            </w:r>
          </w:p>
          <w:p w14:paraId="43E677EC" w14:textId="6137313D"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b/>
                <w:lang w:val="ro-RO"/>
              </w:rPr>
              <w:t>Articolul 59 alin. (2)</w:t>
            </w:r>
          </w:p>
          <w:p w14:paraId="01E754C7" w14:textId="24C4C2EC" w:rsidR="00984B34" w:rsidRPr="009E686F" w:rsidRDefault="00984B34" w:rsidP="00984B34">
            <w:pPr>
              <w:spacing w:after="0"/>
              <w:jc w:val="both"/>
              <w:rPr>
                <w:rFonts w:ascii="Times New Roman" w:hAnsi="Times New Roman" w:cs="Times New Roman"/>
                <w:bCs/>
                <w:lang w:val="ro-RO"/>
              </w:rPr>
            </w:pPr>
            <w:r w:rsidRPr="009E686F">
              <w:rPr>
                <w:rFonts w:ascii="Times New Roman" w:eastAsia="Aptos" w:hAnsi="Times New Roman" w:cs="Times New Roman"/>
                <w:kern w:val="2"/>
                <w:lang w:val="ro-MD"/>
              </w:rPr>
              <w:t xml:space="preserve">(2) Banca Naţională a Moldovei solicită întreprinderilor-mamă şi filialelor, care fac obiectul prezentei legi, să îndeplinească obligaţiile aferente cadrului de administrare a activităţii şi politica de remunerare pe bază consolidată </w:t>
            </w:r>
            <w:r w:rsidRPr="009E686F">
              <w:rPr>
                <w:rFonts w:ascii="Times New Roman" w:eastAsia="Aptos" w:hAnsi="Times New Roman" w:cs="Times New Roman"/>
                <w:i/>
                <w:iCs/>
                <w:kern w:val="2"/>
                <w:lang w:val="ro-MD"/>
              </w:rPr>
              <w:t>sau subconsolidată</w:t>
            </w:r>
            <w:r w:rsidRPr="009E686F">
              <w:rPr>
                <w:rFonts w:ascii="Times New Roman" w:eastAsia="Aptos" w:hAnsi="Times New Roman" w:cs="Times New Roman"/>
                <w:kern w:val="2"/>
                <w:lang w:val="ro-MD"/>
              </w:rPr>
              <w:t xml:space="preserve"> pentru a se asigura că procesele, mecanismele şi cadrul de administrare a activităţii acestora, prevăzute la art.38 şi 39 şi în actele normative emise în aplicarea prezentei legi, sînt </w:t>
            </w:r>
            <w:r w:rsidRPr="009E686F">
              <w:rPr>
                <w:rFonts w:ascii="Times New Roman" w:eastAsia="Aptos" w:hAnsi="Times New Roman" w:cs="Times New Roman"/>
                <w:i/>
                <w:kern w:val="2"/>
                <w:lang w:val="ro-MD"/>
              </w:rPr>
              <w:t>coerente</w:t>
            </w:r>
            <w:r w:rsidRPr="009E686F">
              <w:rPr>
                <w:rFonts w:ascii="Times New Roman" w:eastAsia="Aptos" w:hAnsi="Times New Roman" w:cs="Times New Roman"/>
                <w:kern w:val="2"/>
                <w:lang w:val="ro-MD"/>
              </w:rPr>
              <w:t xml:space="preserve"> şi bine integrate la nivel de grup, precum </w:t>
            </w:r>
            <w:r w:rsidRPr="009E686F">
              <w:rPr>
                <w:rFonts w:ascii="Times New Roman" w:eastAsia="Aptos" w:hAnsi="Times New Roman" w:cs="Times New Roman"/>
                <w:i/>
                <w:kern w:val="2"/>
                <w:lang w:val="ro-MD"/>
              </w:rPr>
              <w:t xml:space="preserve">ar putea produce datele sau informaţiile relevante  </w:t>
            </w:r>
            <w:r w:rsidRPr="009E686F">
              <w:rPr>
                <w:rFonts w:ascii="Times New Roman" w:eastAsia="Aptos" w:hAnsi="Times New Roman" w:cs="Times New Roman"/>
                <w:i/>
                <w:kern w:val="2"/>
                <w:lang w:val="ro-RO"/>
              </w:rPr>
              <w:t xml:space="preserve">în scopul </w:t>
            </w:r>
            <w:r w:rsidRPr="009E686F">
              <w:rPr>
                <w:rFonts w:ascii="Times New Roman" w:eastAsia="Aptos" w:hAnsi="Times New Roman" w:cs="Times New Roman"/>
                <w:i/>
                <w:kern w:val="2"/>
                <w:lang w:val="ro-MD"/>
              </w:rPr>
              <w:t>supravegherii.</w:t>
            </w:r>
          </w:p>
        </w:tc>
        <w:tc>
          <w:tcPr>
            <w:tcW w:w="470" w:type="pct"/>
            <w:tcBorders>
              <w:top w:val="single" w:sz="4" w:space="0" w:color="auto"/>
              <w:left w:val="single" w:sz="4" w:space="0" w:color="auto"/>
              <w:bottom w:val="single" w:sz="4" w:space="0" w:color="auto"/>
              <w:right w:val="single" w:sz="4" w:space="0" w:color="auto"/>
            </w:tcBorders>
          </w:tcPr>
          <w:p w14:paraId="239003D1" w14:textId="77777777"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p w14:paraId="3C7E4210" w14:textId="0E940417"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4138C9AF" w14:textId="77777777" w:rsidR="00984B34" w:rsidRPr="009E686F" w:rsidRDefault="00984B34" w:rsidP="00984B34">
            <w:pPr>
              <w:jc w:val="both"/>
              <w:rPr>
                <w:rFonts w:ascii="Times New Roman" w:hAnsi="Times New Roman" w:cs="Times New Roman"/>
                <w:lang w:val="ro-RO"/>
              </w:rPr>
            </w:pPr>
          </w:p>
        </w:tc>
      </w:tr>
      <w:tr w:rsidR="00984B34" w:rsidRPr="009E686F" w14:paraId="42396BAA" w14:textId="50DCB973" w:rsidTr="00774F3E">
        <w:tc>
          <w:tcPr>
            <w:tcW w:w="1796" w:type="pct"/>
            <w:gridSpan w:val="2"/>
            <w:tcBorders>
              <w:top w:val="single" w:sz="4" w:space="0" w:color="auto"/>
              <w:left w:val="single" w:sz="4" w:space="0" w:color="auto"/>
              <w:bottom w:val="single" w:sz="4" w:space="0" w:color="auto"/>
              <w:right w:val="single" w:sz="4" w:space="0" w:color="auto"/>
            </w:tcBorders>
          </w:tcPr>
          <w:p w14:paraId="4E01AC5C" w14:textId="4AB4E63F"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(2) Autoritățile competente impun întreprinderilor-mamă și filialelor care fac obiectul prezentei directive să </w:t>
            </w:r>
            <w:r w:rsidRPr="009E686F">
              <w:rPr>
                <w:rFonts w:ascii="Times New Roman" w:hAnsi="Times New Roman" w:cs="Times New Roman"/>
                <w:lang w:val="ro-RO"/>
              </w:rPr>
              <w:lastRenderedPageBreak/>
              <w:t xml:space="preserve">îndeplinească obligațiile prevăzute în secțiunea II din prezentul capitol pe o bază consolidată sau subconsolidată, pentru a  asigura că procesele, mecanismele și cadrul de administrare prevăzute în secțiunea II din prezentul capitol sunt coerente și bine integrate, și pentru a putea produce datele și informațiile relevante în scopul supravegherii. </w:t>
            </w:r>
          </w:p>
          <w:p w14:paraId="313E17D8" w14:textId="77777777" w:rsidR="00984B34" w:rsidRPr="009E686F" w:rsidRDefault="00984B34" w:rsidP="00984B34">
            <w:pPr>
              <w:spacing w:after="0"/>
              <w:jc w:val="both"/>
              <w:rPr>
                <w:rFonts w:ascii="Times New Roman" w:hAnsi="Times New Roman" w:cs="Times New Roman"/>
                <w:lang w:val="ro-RO"/>
              </w:rPr>
            </w:pPr>
          </w:p>
          <w:p w14:paraId="59719C4D" w14:textId="03FA228E"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În special, acestea se asigură că întreprinderile-mamă și filialele care fac obiectul prezentei directive pun în aplicare cadrul de administrare, procesele și mecanismele respective în cadrul filialelor lor care nu fac obiectul prezentei directive, inclusiv în cadrul celor stabilite în centre off-shore. Cadrul de administrare, proceseleși mecanismele respective sunt coerente și bine integrate și filialele respective sunt, de asemenea, în măsură să producă datele și informațiile relevante în scopul supravegherii. Filialele care nu fac ca atare obiectul prezentei directive respectă cerințele specifice sectorului lor pe bază individuală.</w:t>
            </w:r>
          </w:p>
        </w:tc>
        <w:tc>
          <w:tcPr>
            <w:tcW w:w="1928" w:type="pct"/>
            <w:gridSpan w:val="3"/>
            <w:tcBorders>
              <w:top w:val="single" w:sz="4" w:space="0" w:color="auto"/>
              <w:left w:val="single" w:sz="4" w:space="0" w:color="auto"/>
              <w:bottom w:val="single" w:sz="4" w:space="0" w:color="auto"/>
              <w:right w:val="single" w:sz="4" w:space="0" w:color="auto"/>
            </w:tcBorders>
          </w:tcPr>
          <w:p w14:paraId="6B438D21" w14:textId="432EBEB2"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b/>
                <w:lang w:val="ro-RO"/>
              </w:rPr>
              <w:lastRenderedPageBreak/>
              <w:t>Articolul 59 alin. (2)- (3)</w:t>
            </w:r>
          </w:p>
          <w:p w14:paraId="49D2EC3E" w14:textId="796779FE" w:rsidR="00984B34" w:rsidRPr="009E686F" w:rsidRDefault="00984B34" w:rsidP="00984B34">
            <w:pPr>
              <w:spacing w:after="0"/>
              <w:jc w:val="both"/>
              <w:rPr>
                <w:rFonts w:ascii="Times New Roman" w:hAnsi="Times New Roman" w:cs="Times New Roman"/>
                <w:lang w:val="ro-RO"/>
              </w:rPr>
            </w:pPr>
            <w:r w:rsidRPr="009E686F">
              <w:rPr>
                <w:rFonts w:ascii="Times New Roman" w:eastAsia="Aptos" w:hAnsi="Times New Roman" w:cs="Times New Roman"/>
                <w:kern w:val="2"/>
                <w:lang w:val="ro-MD"/>
              </w:rPr>
              <w:lastRenderedPageBreak/>
              <w:t xml:space="preserve">(2) Banca Naţională a Moldovei solicită întreprinderilor-mamă şi filialelor, care fac obiectul prezentei legi, să îndeplinească obligaţiile aferente cadrului de administrare a activităţii şi politica de remunerare pe bază consolidată </w:t>
            </w:r>
            <w:r w:rsidRPr="009E686F">
              <w:rPr>
                <w:rFonts w:ascii="Times New Roman" w:eastAsia="Aptos" w:hAnsi="Times New Roman" w:cs="Times New Roman"/>
                <w:i/>
                <w:iCs/>
                <w:kern w:val="2"/>
                <w:lang w:val="ro-MD"/>
              </w:rPr>
              <w:t>sau subconsolidată</w:t>
            </w:r>
            <w:r w:rsidRPr="009E686F">
              <w:rPr>
                <w:rFonts w:ascii="Times New Roman" w:eastAsia="Aptos" w:hAnsi="Times New Roman" w:cs="Times New Roman"/>
                <w:kern w:val="2"/>
                <w:lang w:val="ro-MD"/>
              </w:rPr>
              <w:t xml:space="preserve"> pentru a se asigura că procesele, mecanismele şi cadrul de administrare a activităţii acestora, prevăzute la art.38 şi 39 şi în actele normative emise în aplicarea prezentei legi, sînt </w:t>
            </w:r>
            <w:r w:rsidRPr="009E686F">
              <w:rPr>
                <w:rFonts w:ascii="Times New Roman" w:eastAsia="Aptos" w:hAnsi="Times New Roman" w:cs="Times New Roman"/>
                <w:i/>
                <w:kern w:val="2"/>
                <w:lang w:val="ro-MD"/>
              </w:rPr>
              <w:t>coerente</w:t>
            </w:r>
            <w:r w:rsidRPr="009E686F">
              <w:rPr>
                <w:rFonts w:ascii="Times New Roman" w:eastAsia="Aptos" w:hAnsi="Times New Roman" w:cs="Times New Roman"/>
                <w:kern w:val="2"/>
                <w:lang w:val="ro-MD"/>
              </w:rPr>
              <w:t xml:space="preserve"> şi bine integrate la nivel de grup, precum </w:t>
            </w:r>
            <w:r w:rsidRPr="009E686F">
              <w:rPr>
                <w:rFonts w:ascii="Times New Roman" w:eastAsia="Aptos" w:hAnsi="Times New Roman" w:cs="Times New Roman"/>
                <w:i/>
                <w:kern w:val="2"/>
                <w:lang w:val="ro-MD"/>
              </w:rPr>
              <w:t xml:space="preserve">ar putea produce datele sau informaţiile relevante  </w:t>
            </w:r>
            <w:r w:rsidRPr="009E686F">
              <w:rPr>
                <w:rFonts w:ascii="Times New Roman" w:eastAsia="Aptos" w:hAnsi="Times New Roman" w:cs="Times New Roman"/>
                <w:i/>
                <w:kern w:val="2"/>
                <w:lang w:val="ro-RO"/>
              </w:rPr>
              <w:t xml:space="preserve">în scopul </w:t>
            </w:r>
            <w:r w:rsidRPr="009E686F">
              <w:rPr>
                <w:rFonts w:ascii="Times New Roman" w:eastAsia="Aptos" w:hAnsi="Times New Roman" w:cs="Times New Roman"/>
                <w:i/>
                <w:kern w:val="2"/>
                <w:lang w:val="ro-MD"/>
              </w:rPr>
              <w:t>supravegherii.</w:t>
            </w:r>
            <w:r w:rsidRPr="009E686F">
              <w:rPr>
                <w:rFonts w:ascii="Times New Roman" w:eastAsia="Aptos" w:hAnsi="Times New Roman" w:cs="Times New Roman"/>
                <w:color w:val="FF0000"/>
                <w:kern w:val="2"/>
                <w:lang w:val="ro-RO"/>
              </w:rPr>
              <w:t xml:space="preserve"> </w:t>
            </w:r>
          </w:p>
          <w:p w14:paraId="3BBDE96E" w14:textId="1AD9CE05" w:rsidR="00984B34" w:rsidRPr="009E686F" w:rsidRDefault="00984B34" w:rsidP="00984B34">
            <w:pPr>
              <w:spacing w:after="0"/>
              <w:jc w:val="both"/>
              <w:rPr>
                <w:rFonts w:ascii="Times New Roman" w:hAnsi="Times New Roman" w:cs="Times New Roman"/>
                <w:b/>
                <w:lang w:val="ro-RO"/>
              </w:rPr>
            </w:pPr>
            <w:r w:rsidRPr="009E686F">
              <w:rPr>
                <w:rFonts w:ascii="Times New Roman" w:eastAsia="Aptos" w:hAnsi="Times New Roman" w:cs="Times New Roman"/>
                <w:kern w:val="2"/>
                <w:lang w:val="ro-MD"/>
              </w:rPr>
              <w:t xml:space="preserve">(3) În sensul alin.(2), Banca Naţională a Moldovei se asigură că întreprinderile-mamă şi filialele lor care  </w:t>
            </w:r>
            <w:r w:rsidRPr="009E686F">
              <w:rPr>
                <w:rFonts w:ascii="Times New Roman" w:eastAsia="Aptos" w:hAnsi="Times New Roman" w:cs="Times New Roman"/>
                <w:i/>
                <w:kern w:val="2"/>
                <w:lang w:val="ro-MD"/>
              </w:rPr>
              <w:t>fac obiectul prezentei legi</w:t>
            </w:r>
            <w:r w:rsidRPr="009E686F">
              <w:rPr>
                <w:rFonts w:ascii="Times New Roman" w:eastAsia="Aptos" w:hAnsi="Times New Roman" w:cs="Times New Roman"/>
                <w:kern w:val="2"/>
                <w:lang w:val="ro-MD"/>
              </w:rPr>
              <w:t xml:space="preserve"> pun în aplicare aceste procese, mecanisme şi cadrul de administrare a activităţii în cadrul filialelor lor care nu fac obiectul prezentei legi,</w:t>
            </w:r>
            <w:r w:rsidRPr="009E686F">
              <w:rPr>
                <w:rFonts w:ascii="Times New Roman" w:eastAsia="Aptos" w:hAnsi="Times New Roman" w:cs="Times New Roman"/>
                <w:i/>
                <w:kern w:val="2"/>
                <w:lang w:val="ro-MD"/>
              </w:rPr>
              <w:t xml:space="preserve"> inclusiv în cadrul celor stabilite în centre off-shor</w:t>
            </w:r>
            <w:r w:rsidRPr="009E686F">
              <w:rPr>
                <w:rFonts w:ascii="Times New Roman" w:eastAsia="Aptos" w:hAnsi="Times New Roman" w:cs="Times New Roman"/>
                <w:kern w:val="2"/>
                <w:lang w:val="ro-MD"/>
              </w:rPr>
              <w:t>e. Respectivele procese, mecanisme şi cadrul de administrare a activităţii sînt coerente şi bine integrate şi filialele respective sînt, de asemenea, în măsură să producă datele şi informaţiile relevante în scopul supravegherii.</w:t>
            </w:r>
            <w:r w:rsidRPr="009E686F">
              <w:rPr>
                <w:rFonts w:ascii="Times New Roman" w:eastAsia="Aptos" w:hAnsi="Times New Roman" w:cs="Times New Roman"/>
                <w:i/>
                <w:kern w:val="2"/>
                <w:lang w:val="ro-MD"/>
              </w:rPr>
              <w:t xml:space="preserve"> Filialele care nu fac obiectul prezentei legi respectă cerințele specifice sectorului pe bază individuală.</w:t>
            </w:r>
          </w:p>
        </w:tc>
        <w:tc>
          <w:tcPr>
            <w:tcW w:w="470" w:type="pct"/>
            <w:tcBorders>
              <w:top w:val="single" w:sz="4" w:space="0" w:color="auto"/>
              <w:left w:val="single" w:sz="4" w:space="0" w:color="auto"/>
              <w:bottom w:val="single" w:sz="4" w:space="0" w:color="auto"/>
              <w:right w:val="single" w:sz="4" w:space="0" w:color="auto"/>
            </w:tcBorders>
          </w:tcPr>
          <w:p w14:paraId="6D9739C5" w14:textId="27629E44"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lastRenderedPageBreak/>
              <w:t>Compatibil</w:t>
            </w:r>
          </w:p>
          <w:p w14:paraId="7F038224" w14:textId="77777777" w:rsidR="00984B34" w:rsidRPr="009E686F" w:rsidRDefault="00984B34" w:rsidP="00984B34">
            <w:pPr>
              <w:jc w:val="both"/>
              <w:rPr>
                <w:rFonts w:ascii="Times New Roman" w:hAnsi="Times New Roman" w:cs="Times New Roman"/>
                <w:lang w:val="ro-RO"/>
              </w:rPr>
            </w:pPr>
          </w:p>
          <w:p w14:paraId="79518C8E" w14:textId="77777777" w:rsidR="00984B34" w:rsidRPr="009E686F" w:rsidRDefault="00984B34" w:rsidP="00984B34">
            <w:pPr>
              <w:jc w:val="both"/>
              <w:rPr>
                <w:rFonts w:ascii="Times New Roman" w:hAnsi="Times New Roman" w:cs="Times New Roman"/>
                <w:lang w:val="ro-RO"/>
              </w:rPr>
            </w:pPr>
          </w:p>
          <w:p w14:paraId="746C86A5" w14:textId="77777777" w:rsidR="00984B34" w:rsidRPr="009E686F" w:rsidRDefault="00984B34" w:rsidP="00984B34">
            <w:pPr>
              <w:jc w:val="both"/>
              <w:rPr>
                <w:rFonts w:ascii="Times New Roman" w:hAnsi="Times New Roman" w:cs="Times New Roman"/>
                <w:lang w:val="ro-RO"/>
              </w:rPr>
            </w:pPr>
          </w:p>
          <w:p w14:paraId="11895C28" w14:textId="77777777" w:rsidR="00984B34" w:rsidRPr="009E686F" w:rsidRDefault="00984B34" w:rsidP="00984B34">
            <w:pPr>
              <w:jc w:val="both"/>
              <w:rPr>
                <w:rFonts w:ascii="Times New Roman" w:hAnsi="Times New Roman" w:cs="Times New Roman"/>
                <w:lang w:val="ro-RO"/>
              </w:rPr>
            </w:pPr>
          </w:p>
          <w:p w14:paraId="0B22A339" w14:textId="77777777" w:rsidR="00984B34" w:rsidRPr="009E686F" w:rsidRDefault="00984B34" w:rsidP="00984B34">
            <w:pPr>
              <w:jc w:val="both"/>
              <w:rPr>
                <w:rFonts w:ascii="Times New Roman" w:hAnsi="Times New Roman" w:cs="Times New Roman"/>
                <w:lang w:val="ro-RO"/>
              </w:rPr>
            </w:pPr>
          </w:p>
          <w:p w14:paraId="0499F3FE" w14:textId="77777777" w:rsidR="00984B34" w:rsidRPr="009E686F" w:rsidRDefault="00984B34" w:rsidP="00984B34">
            <w:pPr>
              <w:jc w:val="both"/>
              <w:rPr>
                <w:rFonts w:ascii="Times New Roman" w:hAnsi="Times New Roman" w:cs="Times New Roman"/>
                <w:lang w:val="ro-RO"/>
              </w:rPr>
            </w:pPr>
          </w:p>
          <w:p w14:paraId="1A7F5AA5" w14:textId="77777777" w:rsidR="00984B34" w:rsidRPr="009E686F" w:rsidRDefault="00984B34" w:rsidP="00984B34">
            <w:pPr>
              <w:jc w:val="both"/>
              <w:rPr>
                <w:rFonts w:ascii="Times New Roman" w:hAnsi="Times New Roman" w:cs="Times New Roman"/>
                <w:lang w:val="ro-RO"/>
              </w:rPr>
            </w:pPr>
          </w:p>
          <w:p w14:paraId="01C0019D" w14:textId="77777777" w:rsidR="00984B34" w:rsidRPr="009E686F" w:rsidRDefault="00984B34" w:rsidP="00984B34">
            <w:pPr>
              <w:jc w:val="both"/>
              <w:rPr>
                <w:rFonts w:ascii="Times New Roman" w:hAnsi="Times New Roman" w:cs="Times New Roman"/>
                <w:lang w:val="ro-RO"/>
              </w:rPr>
            </w:pPr>
          </w:p>
          <w:p w14:paraId="36271C7E" w14:textId="77777777" w:rsidR="00984B34" w:rsidRPr="009E686F" w:rsidRDefault="00984B34" w:rsidP="00984B34">
            <w:pPr>
              <w:jc w:val="both"/>
              <w:rPr>
                <w:rFonts w:ascii="Times New Roman" w:hAnsi="Times New Roman" w:cs="Times New Roman"/>
                <w:lang w:val="ro-RO"/>
              </w:rPr>
            </w:pPr>
          </w:p>
          <w:p w14:paraId="7FB0F1CE" w14:textId="157CD0C3"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605D322F" w14:textId="77777777" w:rsidR="00984B34" w:rsidRPr="009E686F" w:rsidRDefault="00984B34" w:rsidP="00984B34">
            <w:pPr>
              <w:jc w:val="both"/>
              <w:rPr>
                <w:rFonts w:ascii="Times New Roman" w:hAnsi="Times New Roman" w:cs="Times New Roman"/>
                <w:lang w:val="ro-RO"/>
              </w:rPr>
            </w:pPr>
          </w:p>
        </w:tc>
      </w:tr>
      <w:tr w:rsidR="00984B34" w:rsidRPr="009E686F" w14:paraId="0DCD7A44" w14:textId="67CCE1A4" w:rsidTr="00774F3E">
        <w:tc>
          <w:tcPr>
            <w:tcW w:w="1796" w:type="pct"/>
            <w:gridSpan w:val="2"/>
            <w:tcBorders>
              <w:top w:val="single" w:sz="4" w:space="0" w:color="auto"/>
              <w:left w:val="single" w:sz="4" w:space="0" w:color="auto"/>
              <w:bottom w:val="single" w:sz="4" w:space="0" w:color="auto"/>
              <w:right w:val="single" w:sz="4" w:space="0" w:color="auto"/>
            </w:tcBorders>
          </w:tcPr>
          <w:p w14:paraId="5FC97103" w14:textId="7C5CA62D"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(3) Obligațiile care decurg din secțiunea II a prezentului capitol privind filialele care nu fac ca atare obiectul prezentei directive nu se aplică în cazul în care -instituția-mamă din UE poate demonstra autorităților competente că aplicarea secțiunii II  contravine legislației țării terțe în care este stabilită filiala.</w:t>
            </w:r>
          </w:p>
        </w:tc>
        <w:tc>
          <w:tcPr>
            <w:tcW w:w="1928" w:type="pct"/>
            <w:gridSpan w:val="3"/>
            <w:tcBorders>
              <w:top w:val="single" w:sz="4" w:space="0" w:color="auto"/>
              <w:left w:val="single" w:sz="4" w:space="0" w:color="auto"/>
              <w:bottom w:val="single" w:sz="4" w:space="0" w:color="auto"/>
              <w:right w:val="single" w:sz="4" w:space="0" w:color="auto"/>
            </w:tcBorders>
          </w:tcPr>
          <w:p w14:paraId="329531BF" w14:textId="0CC909C6" w:rsidR="00984B34" w:rsidRPr="009E686F" w:rsidRDefault="00984B34" w:rsidP="00984B34">
            <w:pPr>
              <w:spacing w:after="0"/>
              <w:jc w:val="both"/>
              <w:rPr>
                <w:rFonts w:ascii="Times New Roman" w:eastAsia="Aptos" w:hAnsi="Times New Roman" w:cs="Times New Roman"/>
                <w:kern w:val="2"/>
                <w:lang w:val="ro-MD"/>
              </w:rPr>
            </w:pPr>
            <w:r w:rsidRPr="009E686F">
              <w:rPr>
                <w:rFonts w:ascii="Times New Roman" w:hAnsi="Times New Roman" w:cs="Times New Roman"/>
                <w:b/>
                <w:lang w:val="ro-RO"/>
              </w:rPr>
              <w:t>Articolul 59 alin. (4)</w:t>
            </w:r>
          </w:p>
          <w:p w14:paraId="2761F46D" w14:textId="40959C3C" w:rsidR="00984B34" w:rsidRPr="009E686F" w:rsidRDefault="00984B34" w:rsidP="00984B34">
            <w:pPr>
              <w:spacing w:after="0"/>
              <w:jc w:val="both"/>
              <w:rPr>
                <w:rFonts w:ascii="Times New Roman" w:hAnsi="Times New Roman" w:cs="Times New Roman"/>
                <w:b/>
                <w:lang w:val="ro-RO"/>
              </w:rPr>
            </w:pPr>
            <w:r w:rsidRPr="009E686F">
              <w:rPr>
                <w:rFonts w:ascii="Times New Roman" w:eastAsia="Aptos" w:hAnsi="Times New Roman" w:cs="Times New Roman"/>
                <w:kern w:val="2"/>
                <w:lang w:val="ro-MD"/>
              </w:rPr>
              <w:t xml:space="preserve">(4) Obligaţiile care decurg din art.38 şi 39 privind filialele care nu fac </w:t>
            </w:r>
            <w:r w:rsidRPr="009E686F">
              <w:rPr>
                <w:rFonts w:ascii="Times New Roman" w:eastAsia="Aptos" w:hAnsi="Times New Roman" w:cs="Times New Roman"/>
                <w:i/>
                <w:kern w:val="2"/>
                <w:lang w:val="ro-MD"/>
              </w:rPr>
              <w:t>ca atare</w:t>
            </w:r>
            <w:r w:rsidRPr="009E686F">
              <w:rPr>
                <w:rFonts w:ascii="Times New Roman" w:eastAsia="Aptos" w:hAnsi="Times New Roman" w:cs="Times New Roman"/>
                <w:kern w:val="2"/>
                <w:lang w:val="ro-MD"/>
              </w:rPr>
              <w:t xml:space="preserve"> obiectul prezentei legi nu se aplică în cazul în care </w:t>
            </w:r>
            <w:r w:rsidRPr="009E686F">
              <w:rPr>
                <w:rFonts w:ascii="Times New Roman" w:eastAsia="Aptos" w:hAnsi="Times New Roman" w:cs="Times New Roman"/>
                <w:i/>
                <w:iCs/>
                <w:kern w:val="2"/>
                <w:lang w:val="ro-MD"/>
              </w:rPr>
              <w:t>instituția de credit</w:t>
            </w:r>
            <w:r w:rsidRPr="009E686F">
              <w:rPr>
                <w:rFonts w:ascii="Times New Roman" w:eastAsia="Aptos" w:hAnsi="Times New Roman" w:cs="Times New Roman"/>
                <w:kern w:val="2"/>
                <w:lang w:val="ro-MD"/>
              </w:rPr>
              <w:t xml:space="preserve">-mamă persoană juridică din Republica Moldova poate demonstra Băncii Naţionale a Moldovei că </w:t>
            </w:r>
            <w:r w:rsidRPr="009E686F">
              <w:rPr>
                <w:rFonts w:ascii="Times New Roman" w:eastAsia="Aptos" w:hAnsi="Times New Roman" w:cs="Times New Roman"/>
                <w:i/>
                <w:kern w:val="2"/>
                <w:lang w:val="ro-MD"/>
              </w:rPr>
              <w:t>aplicarea cerinţelor</w:t>
            </w:r>
            <w:r w:rsidRPr="009E686F">
              <w:rPr>
                <w:rFonts w:ascii="Times New Roman" w:eastAsia="Aptos" w:hAnsi="Times New Roman" w:cs="Times New Roman"/>
                <w:kern w:val="2"/>
                <w:lang w:val="ro-MD"/>
              </w:rPr>
              <w:t xml:space="preserve"> de la alin.(3) nu </w:t>
            </w:r>
            <w:r w:rsidRPr="009E686F">
              <w:rPr>
                <w:rFonts w:ascii="Times New Roman" w:eastAsia="Aptos" w:hAnsi="Times New Roman" w:cs="Times New Roman"/>
                <w:i/>
                <w:kern w:val="2"/>
                <w:lang w:val="ro-MD"/>
              </w:rPr>
              <w:t>contravine</w:t>
            </w:r>
            <w:r w:rsidRPr="009E686F">
              <w:rPr>
                <w:rFonts w:ascii="Times New Roman" w:eastAsia="Aptos" w:hAnsi="Times New Roman" w:cs="Times New Roman"/>
                <w:kern w:val="2"/>
                <w:lang w:val="ro-MD"/>
              </w:rPr>
              <w:t xml:space="preserve"> legislaţiei statului în care este stabilită filiala.</w:t>
            </w:r>
          </w:p>
        </w:tc>
        <w:tc>
          <w:tcPr>
            <w:tcW w:w="470" w:type="pct"/>
            <w:tcBorders>
              <w:top w:val="single" w:sz="4" w:space="0" w:color="auto"/>
              <w:left w:val="single" w:sz="4" w:space="0" w:color="auto"/>
              <w:bottom w:val="single" w:sz="4" w:space="0" w:color="auto"/>
              <w:right w:val="single" w:sz="4" w:space="0" w:color="auto"/>
            </w:tcBorders>
          </w:tcPr>
          <w:p w14:paraId="73EAB277" w14:textId="70618B26"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2C9F7E6E" w14:textId="77777777" w:rsidR="00984B34" w:rsidRPr="009E686F" w:rsidRDefault="00984B34" w:rsidP="00984B34">
            <w:pPr>
              <w:jc w:val="both"/>
              <w:rPr>
                <w:rFonts w:ascii="Times New Roman" w:hAnsi="Times New Roman" w:cs="Times New Roman"/>
                <w:lang w:val="ro-RO"/>
              </w:rPr>
            </w:pPr>
          </w:p>
        </w:tc>
      </w:tr>
      <w:tr w:rsidR="00984B34" w:rsidRPr="009E686F" w14:paraId="3489AA90"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41BAF12F" w14:textId="58F454C2"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(4)   Cerințele privind remunerarea prevăzute la articolele 92, 94 și 95 nu se aplică pe bază consolidată niciuneia dintre următoarele categorii:</w:t>
            </w:r>
          </w:p>
          <w:p w14:paraId="548E48D3" w14:textId="1E03B464"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lastRenderedPageBreak/>
              <w:t>(a) filiale stabilite în Uniune, atunci când acestea fac obiectul unor cerințe specifice privind remunerarea în conformitate cu alte acte juridice ale Uniunii;</w:t>
            </w:r>
          </w:p>
          <w:p w14:paraId="21AAE815" w14:textId="6ADAA020"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(b) filiale stabilite într-o țară terță, atunci când acestea ar face obiectul unor cerințe specifice privind remunerarea în conformitate cu alte acte juridice ale Uniunii dacă ar fi stabilite în Uniune.</w:t>
            </w:r>
          </w:p>
        </w:tc>
        <w:tc>
          <w:tcPr>
            <w:tcW w:w="1928" w:type="pct"/>
            <w:gridSpan w:val="3"/>
            <w:tcBorders>
              <w:top w:val="single" w:sz="4" w:space="0" w:color="auto"/>
              <w:left w:val="single" w:sz="4" w:space="0" w:color="auto"/>
              <w:bottom w:val="single" w:sz="4" w:space="0" w:color="auto"/>
              <w:right w:val="single" w:sz="4" w:space="0" w:color="auto"/>
            </w:tcBorders>
          </w:tcPr>
          <w:p w14:paraId="62AD4D6A" w14:textId="29341CB2" w:rsidR="00984B34" w:rsidRPr="009E686F" w:rsidRDefault="00984B34" w:rsidP="00984B34">
            <w:pPr>
              <w:spacing w:after="0"/>
              <w:jc w:val="both"/>
              <w:rPr>
                <w:rFonts w:ascii="Times New Roman" w:eastAsia="Aptos" w:hAnsi="Times New Roman" w:cs="Times New Roman"/>
                <w:kern w:val="2"/>
                <w:lang w:val="ro-MD"/>
              </w:rPr>
            </w:pPr>
            <w:r w:rsidRPr="009E686F">
              <w:rPr>
                <w:rFonts w:ascii="Times New Roman" w:hAnsi="Times New Roman" w:cs="Times New Roman"/>
                <w:b/>
                <w:lang w:val="ro-RO"/>
              </w:rPr>
              <w:lastRenderedPageBreak/>
              <w:t>Articolul 59 alin.  (5)</w:t>
            </w:r>
          </w:p>
          <w:p w14:paraId="607C361E" w14:textId="770BDD98" w:rsidR="00984B34" w:rsidRPr="009E686F" w:rsidRDefault="00984B34" w:rsidP="00984B34">
            <w:pPr>
              <w:spacing w:after="0"/>
              <w:jc w:val="both"/>
              <w:rPr>
                <w:rFonts w:ascii="Times New Roman" w:hAnsi="Times New Roman" w:cs="Times New Roman"/>
                <w:i/>
                <w:lang w:val="ro-RO"/>
              </w:rPr>
            </w:pPr>
            <w:r w:rsidRPr="009E686F">
              <w:rPr>
                <w:rFonts w:ascii="Times New Roman" w:eastAsia="Aptos" w:hAnsi="Times New Roman" w:cs="Times New Roman"/>
                <w:i/>
                <w:kern w:val="2"/>
                <w:lang w:val="ro-MD"/>
              </w:rPr>
              <w:t xml:space="preserve">(5) </w:t>
            </w:r>
            <w:r w:rsidRPr="009E686F">
              <w:rPr>
                <w:rFonts w:ascii="Times New Roman" w:hAnsi="Times New Roman" w:cs="Times New Roman"/>
                <w:i/>
                <w:lang w:val="ro-RO"/>
              </w:rPr>
              <w:t>Cerințele aferente remunerării prevăzute la art. 39 și art. 44 în partea care se referă la comitetul de remunerare și în actele normative emise în aplicarea prezentei legi nu se aplică pe bază consolidată niciuneia dintre următoarele categorii:</w:t>
            </w:r>
          </w:p>
          <w:p w14:paraId="1835007B" w14:textId="341A3632" w:rsidR="00984B34" w:rsidRPr="009E686F" w:rsidRDefault="00984B34" w:rsidP="00984B34">
            <w:pPr>
              <w:spacing w:after="0"/>
              <w:ind w:firstLine="851"/>
              <w:jc w:val="both"/>
              <w:rPr>
                <w:rFonts w:ascii="Times New Roman" w:hAnsi="Times New Roman" w:cs="Times New Roman"/>
                <w:i/>
                <w:lang w:val="ro-RO"/>
              </w:rPr>
            </w:pPr>
            <w:r w:rsidRPr="009E686F">
              <w:rPr>
                <w:rFonts w:ascii="Times New Roman" w:hAnsi="Times New Roman" w:cs="Times New Roman"/>
                <w:i/>
                <w:lang w:val="ro-RO"/>
              </w:rPr>
              <w:lastRenderedPageBreak/>
              <w:t xml:space="preserve">a) filiale stabilite în </w:t>
            </w:r>
            <w:r w:rsidR="00DC05DE" w:rsidRPr="009E686F">
              <w:rPr>
                <w:rFonts w:ascii="Times New Roman" w:hAnsi="Times New Roman" w:cs="Times New Roman"/>
                <w:i/>
                <w:lang w:val="ro-RO"/>
              </w:rPr>
              <w:t>UE</w:t>
            </w:r>
            <w:r w:rsidRPr="009E686F">
              <w:rPr>
                <w:rFonts w:ascii="Times New Roman" w:hAnsi="Times New Roman" w:cs="Times New Roman"/>
                <w:i/>
                <w:lang w:val="ro-RO"/>
              </w:rPr>
              <w:t>, în cazul în care acestea fac obiectul unor cerințe specifice privind remunerarea în conformitate cu alte acte juridice ale Uniunii Europene;</w:t>
            </w:r>
          </w:p>
          <w:p w14:paraId="0007C8E5" w14:textId="008C31B7" w:rsidR="00984B34" w:rsidRPr="009E686F" w:rsidRDefault="00984B34" w:rsidP="00984B34">
            <w:pPr>
              <w:spacing w:after="0"/>
              <w:ind w:firstLine="851"/>
              <w:jc w:val="both"/>
              <w:rPr>
                <w:rFonts w:ascii="Times New Roman" w:hAnsi="Times New Roman" w:cs="Times New Roman"/>
                <w:b/>
                <w:i/>
                <w:color w:val="FF0000"/>
                <w:lang w:val="ro-RO"/>
              </w:rPr>
            </w:pPr>
            <w:r w:rsidRPr="009E686F">
              <w:rPr>
                <w:rFonts w:ascii="Times New Roman" w:hAnsi="Times New Roman" w:cs="Times New Roman"/>
                <w:i/>
                <w:lang w:val="ro-RO"/>
              </w:rPr>
              <w:t xml:space="preserve">b) filiale stabilite într-un stat terț, în cazul în care acestea ar face obiectul unor cerințe specifice privind remunerarea în conformitate cu alte acte juridice ale </w:t>
            </w:r>
            <w:r w:rsidR="00DC05DE" w:rsidRPr="009E686F">
              <w:rPr>
                <w:rFonts w:ascii="Times New Roman" w:hAnsi="Times New Roman" w:cs="Times New Roman"/>
                <w:i/>
                <w:lang w:val="ro-RO"/>
              </w:rPr>
              <w:t xml:space="preserve">UE </w:t>
            </w:r>
            <w:r w:rsidRPr="009E686F">
              <w:rPr>
                <w:rFonts w:ascii="Times New Roman" w:hAnsi="Times New Roman" w:cs="Times New Roman"/>
                <w:i/>
                <w:lang w:val="ro-RO"/>
              </w:rPr>
              <w:t xml:space="preserve">dacă ar fi stabilite în </w:t>
            </w:r>
            <w:r w:rsidR="00DC05DE" w:rsidRPr="009E686F">
              <w:rPr>
                <w:rFonts w:ascii="Times New Roman" w:hAnsi="Times New Roman" w:cs="Times New Roman"/>
                <w:i/>
                <w:lang w:val="ro-RO"/>
              </w:rPr>
              <w:t>UE</w:t>
            </w:r>
            <w:r w:rsidRPr="009E686F">
              <w:rPr>
                <w:rFonts w:ascii="Times New Roman" w:hAnsi="Times New Roman" w:cs="Times New Roman"/>
                <w:i/>
                <w:lang w:val="ro-RO"/>
              </w:rPr>
              <w:t>.</w:t>
            </w:r>
            <w:r w:rsidRPr="009E686F">
              <w:rPr>
                <w:rFonts w:ascii="Times New Roman" w:hAnsi="Times New Roman" w:cs="Times New Roman"/>
                <w:i/>
                <w:color w:val="FF0000"/>
                <w:lang w:val="ro-RO"/>
              </w:rPr>
              <w:t xml:space="preserve"> </w:t>
            </w:r>
          </w:p>
        </w:tc>
        <w:tc>
          <w:tcPr>
            <w:tcW w:w="470" w:type="pct"/>
            <w:tcBorders>
              <w:top w:val="single" w:sz="4" w:space="0" w:color="auto"/>
              <w:left w:val="single" w:sz="4" w:space="0" w:color="auto"/>
              <w:bottom w:val="single" w:sz="4" w:space="0" w:color="auto"/>
              <w:right w:val="single" w:sz="4" w:space="0" w:color="auto"/>
            </w:tcBorders>
          </w:tcPr>
          <w:p w14:paraId="4A3FC2DC" w14:textId="77777777"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lastRenderedPageBreak/>
              <w:t>Compatibil</w:t>
            </w:r>
          </w:p>
          <w:p w14:paraId="45B2BB34" w14:textId="77777777"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74C494B4" w14:textId="77777777" w:rsidR="00984B34" w:rsidRPr="009E686F" w:rsidRDefault="00984B34" w:rsidP="00984B34">
            <w:pPr>
              <w:jc w:val="both"/>
              <w:rPr>
                <w:rFonts w:ascii="Times New Roman" w:hAnsi="Times New Roman" w:cs="Times New Roman"/>
                <w:lang w:val="ro-RO"/>
              </w:rPr>
            </w:pPr>
          </w:p>
        </w:tc>
      </w:tr>
      <w:tr w:rsidR="00984B34" w:rsidRPr="009E686F" w14:paraId="167252A1"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3B8EF99C" w14:textId="7E2949A9"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(5)   Prin derogare de la alineatul (4) din prezentul articol și pentru a se evita eludarea normelor prevăzute la articolele 92, 94 și 95, statele membre se asigură că cerințele prevăzute la articolele 92, 94 și 95 se aplică membrilor personalului filialelor care nu fac obiectul prezentei directive pe bază individuală în cazul în care:</w:t>
            </w:r>
          </w:p>
          <w:p w14:paraId="6D5E4464" w14:textId="3373734A"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(a) filiala este fie o societate de administrare a activelor, fie o întreprindere care prestează serviciile și activitățile de investiții enumerate la punctele 2, 3, 4, 6 și 7 din secțiunea A a anexei I la Directiva 2014/65/UE; și</w:t>
            </w:r>
          </w:p>
          <w:p w14:paraId="3201E2CE" w14:textId="7AC3B2DE"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(b) respectivii membri ai personalului au fost autorizați să desfășoare activități profesionale care au un impact semnificativ direct asupra profilului de risc sau asupra activității instituțiilor din cadrul grupului.</w:t>
            </w:r>
          </w:p>
        </w:tc>
        <w:tc>
          <w:tcPr>
            <w:tcW w:w="1928" w:type="pct"/>
            <w:gridSpan w:val="3"/>
            <w:tcBorders>
              <w:top w:val="single" w:sz="4" w:space="0" w:color="auto"/>
              <w:left w:val="single" w:sz="4" w:space="0" w:color="auto"/>
              <w:bottom w:val="single" w:sz="4" w:space="0" w:color="auto"/>
              <w:right w:val="single" w:sz="4" w:space="0" w:color="auto"/>
            </w:tcBorders>
          </w:tcPr>
          <w:p w14:paraId="48B4ADE6" w14:textId="77777777"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b/>
                <w:lang w:val="ro-RO"/>
              </w:rPr>
              <w:t>Articolul 59 alin.  (6)</w:t>
            </w:r>
          </w:p>
          <w:p w14:paraId="068B682A" w14:textId="3B445D1B" w:rsidR="00984B34" w:rsidRPr="009E686F" w:rsidRDefault="00984B34" w:rsidP="00984B34">
            <w:pPr>
              <w:spacing w:after="0"/>
              <w:jc w:val="both"/>
              <w:rPr>
                <w:rFonts w:ascii="Times New Roman" w:eastAsia="Aptos" w:hAnsi="Times New Roman" w:cs="Times New Roman"/>
                <w:i/>
                <w:kern w:val="2"/>
                <w:lang w:val="ro-MD"/>
              </w:rPr>
            </w:pPr>
            <w:r w:rsidRPr="009E686F">
              <w:rPr>
                <w:rFonts w:ascii="Times New Roman" w:eastAsia="Aptos" w:hAnsi="Times New Roman" w:cs="Times New Roman"/>
                <w:i/>
                <w:kern w:val="2"/>
                <w:lang w:val="ro-MD"/>
              </w:rPr>
              <w:t>(6)  Prin derogare de la alin. (5) și pentru a se evita eludarea normelor prevăzute la art. 39 și art. 44 în partea care se referă la comitetul de remunerare, cerințele prevăzute la aceste articole se aplică membrilor personalului filialelor care nu fac obiectul prezentei legi pe bază individuală în cazul în care:</w:t>
            </w:r>
          </w:p>
          <w:p w14:paraId="5B88658C" w14:textId="5E2CBE23" w:rsidR="00984B34" w:rsidRPr="009E686F" w:rsidRDefault="00984B34" w:rsidP="00984B34">
            <w:pPr>
              <w:spacing w:after="0"/>
              <w:jc w:val="both"/>
              <w:rPr>
                <w:rFonts w:ascii="Times New Roman" w:eastAsia="Aptos" w:hAnsi="Times New Roman" w:cs="Times New Roman"/>
                <w:i/>
                <w:kern w:val="2"/>
                <w:lang w:val="ro-MD"/>
              </w:rPr>
            </w:pPr>
            <w:r w:rsidRPr="009E686F">
              <w:rPr>
                <w:rFonts w:ascii="Times New Roman" w:hAnsi="Times New Roman" w:cs="Times New Roman"/>
                <w:i/>
                <w:lang w:val="ro-MD"/>
              </w:rPr>
              <w:t>a) filiala este fie o societate de administrare a activelor, fie o întreprindere care prestează serviciile și activitățile de investiții enumerate la art. 9 alin. (1) lit. b)-d), f)-g) din Legea privind pieţele instrumentelor financiare și activitățile de investiții; și</w:t>
            </w:r>
            <w:r w:rsidRPr="009E686F">
              <w:rPr>
                <w:rFonts w:ascii="Times New Roman" w:eastAsia="Aptos" w:hAnsi="Times New Roman" w:cs="Times New Roman"/>
                <w:i/>
                <w:kern w:val="2"/>
                <w:lang w:val="ro-MD"/>
              </w:rPr>
              <w:t xml:space="preserve"> </w:t>
            </w:r>
          </w:p>
          <w:p w14:paraId="3CC9C73A" w14:textId="3FF600C5" w:rsidR="00984B34" w:rsidRPr="009E686F" w:rsidRDefault="00984B34" w:rsidP="00984B34">
            <w:pPr>
              <w:spacing w:after="0"/>
              <w:jc w:val="both"/>
              <w:rPr>
                <w:rFonts w:ascii="Times New Roman" w:hAnsi="Times New Roman" w:cs="Times New Roman"/>
                <w:i/>
                <w:lang w:val="ro-RO"/>
              </w:rPr>
            </w:pPr>
            <w:r w:rsidRPr="009E686F">
              <w:rPr>
                <w:rFonts w:ascii="Times New Roman" w:eastAsia="Aptos" w:hAnsi="Times New Roman" w:cs="Times New Roman"/>
                <w:i/>
                <w:kern w:val="2"/>
                <w:lang w:val="ro-MD"/>
              </w:rPr>
              <w:t xml:space="preserve">b) respectivii membri ai personalului au fost autorizați să desfășoare activități profesionale care au un impact semnificativ direct asupra profilului de risc sau asupra activității </w:t>
            </w:r>
            <w:r w:rsidRPr="009E686F">
              <w:rPr>
                <w:rFonts w:ascii="Times New Roman" w:eastAsia="Aptos" w:hAnsi="Times New Roman" w:cs="Times New Roman"/>
                <w:i/>
                <w:iCs/>
                <w:kern w:val="2"/>
                <w:lang w:val="ro-MD"/>
              </w:rPr>
              <w:t>instituțiilor de credit</w:t>
            </w:r>
            <w:r w:rsidRPr="009E686F">
              <w:rPr>
                <w:rFonts w:ascii="Times New Roman" w:eastAsia="Aptos" w:hAnsi="Times New Roman" w:cs="Times New Roman"/>
                <w:i/>
                <w:kern w:val="2"/>
                <w:lang w:val="ro-MD"/>
              </w:rPr>
              <w:t xml:space="preserve"> din cadrul grupului.</w:t>
            </w:r>
          </w:p>
        </w:tc>
        <w:tc>
          <w:tcPr>
            <w:tcW w:w="470" w:type="pct"/>
            <w:tcBorders>
              <w:top w:val="single" w:sz="4" w:space="0" w:color="auto"/>
              <w:left w:val="single" w:sz="4" w:space="0" w:color="auto"/>
              <w:bottom w:val="single" w:sz="4" w:space="0" w:color="auto"/>
              <w:right w:val="single" w:sz="4" w:space="0" w:color="auto"/>
            </w:tcBorders>
          </w:tcPr>
          <w:p w14:paraId="26F1CDE2" w14:textId="3E86123A"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p w14:paraId="23ECD29D" w14:textId="77777777"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4F58A302" w14:textId="77777777" w:rsidR="00984B34" w:rsidRPr="009E686F" w:rsidRDefault="00984B34" w:rsidP="00984B34">
            <w:pPr>
              <w:jc w:val="both"/>
              <w:rPr>
                <w:rFonts w:ascii="Times New Roman" w:hAnsi="Times New Roman" w:cs="Times New Roman"/>
                <w:lang w:val="ro-RO"/>
              </w:rPr>
            </w:pPr>
          </w:p>
        </w:tc>
      </w:tr>
      <w:tr w:rsidR="00984B34" w:rsidRPr="009E686F" w14:paraId="7FD0082D"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6796176B" w14:textId="679B18C8"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(6) În pofida alineatelor (4) și (5) din prezentul articol, statele membre pot aplica articolele 92, 94 și 95 pe bază consolidată unei sfere mai largi de filiale și personalului acestora.</w:t>
            </w:r>
          </w:p>
        </w:tc>
        <w:tc>
          <w:tcPr>
            <w:tcW w:w="1928" w:type="pct"/>
            <w:gridSpan w:val="3"/>
            <w:tcBorders>
              <w:top w:val="single" w:sz="4" w:space="0" w:color="auto"/>
              <w:left w:val="single" w:sz="4" w:space="0" w:color="auto"/>
              <w:bottom w:val="single" w:sz="4" w:space="0" w:color="auto"/>
              <w:right w:val="single" w:sz="4" w:space="0" w:color="auto"/>
            </w:tcBorders>
          </w:tcPr>
          <w:p w14:paraId="0F2FB0D0" w14:textId="77777777" w:rsidR="00984B34" w:rsidRPr="009E686F" w:rsidRDefault="00984B34" w:rsidP="00984B34">
            <w:pPr>
              <w:spacing w:after="0"/>
              <w:jc w:val="both"/>
              <w:rPr>
                <w:rFonts w:ascii="Times New Roman" w:hAnsi="Times New Roman" w:cs="Times New Roman"/>
                <w:lang w:val="ro-RO"/>
              </w:rPr>
            </w:pPr>
          </w:p>
        </w:tc>
        <w:tc>
          <w:tcPr>
            <w:tcW w:w="470" w:type="pct"/>
            <w:tcBorders>
              <w:top w:val="single" w:sz="4" w:space="0" w:color="auto"/>
              <w:left w:val="single" w:sz="4" w:space="0" w:color="auto"/>
              <w:bottom w:val="single" w:sz="4" w:space="0" w:color="auto"/>
              <w:right w:val="single" w:sz="4" w:space="0" w:color="auto"/>
            </w:tcBorders>
          </w:tcPr>
          <w:p w14:paraId="257420D5" w14:textId="6D117991"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netranspuse</w:t>
            </w:r>
          </w:p>
          <w:p w14:paraId="339ED436" w14:textId="77777777"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6F3FDB61" w14:textId="4E50A5C0"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Opțiune neexercitată</w:t>
            </w:r>
          </w:p>
        </w:tc>
      </w:tr>
      <w:tr w:rsidR="00984B34" w:rsidRPr="009E686F" w14:paraId="094E653F" w14:textId="2BF341F6" w:rsidTr="00774F3E">
        <w:tc>
          <w:tcPr>
            <w:tcW w:w="5000" w:type="pct"/>
            <w:gridSpan w:val="7"/>
            <w:tcBorders>
              <w:top w:val="single" w:sz="4" w:space="0" w:color="auto"/>
              <w:left w:val="single" w:sz="4" w:space="0" w:color="auto"/>
              <w:bottom w:val="single" w:sz="4" w:space="0" w:color="auto"/>
              <w:right w:val="single" w:sz="4" w:space="0" w:color="auto"/>
            </w:tcBorders>
          </w:tcPr>
          <w:p w14:paraId="04D1C3AD" w14:textId="77777777" w:rsidR="00984B34" w:rsidRPr="009E686F" w:rsidRDefault="00984B34" w:rsidP="00984B34">
            <w:pPr>
              <w:spacing w:after="0"/>
              <w:jc w:val="both"/>
              <w:rPr>
                <w:rFonts w:ascii="Times New Roman" w:hAnsi="Times New Roman" w:cs="Times New Roman"/>
                <w:i/>
                <w:iCs/>
                <w:lang w:val="ro-RO"/>
              </w:rPr>
            </w:pPr>
            <w:r w:rsidRPr="009E686F">
              <w:rPr>
                <w:rFonts w:ascii="Times New Roman" w:hAnsi="Times New Roman" w:cs="Times New Roman"/>
                <w:i/>
                <w:iCs/>
                <w:lang w:val="ro-RO"/>
              </w:rPr>
              <w:t xml:space="preserve">Articolul 110 </w:t>
            </w:r>
          </w:p>
          <w:p w14:paraId="15FFCF35" w14:textId="68E1E14F"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Analiza și evaluarea și măsurile de supraveghere</w:t>
            </w:r>
          </w:p>
        </w:tc>
      </w:tr>
      <w:tr w:rsidR="00984B34" w:rsidRPr="009E686F" w14:paraId="5F981FE0" w14:textId="7169938A" w:rsidTr="00774F3E">
        <w:tc>
          <w:tcPr>
            <w:tcW w:w="1796" w:type="pct"/>
            <w:gridSpan w:val="2"/>
            <w:tcBorders>
              <w:top w:val="single" w:sz="4" w:space="0" w:color="auto"/>
              <w:left w:val="single" w:sz="4" w:space="0" w:color="auto"/>
              <w:bottom w:val="single" w:sz="4" w:space="0" w:color="auto"/>
              <w:right w:val="single" w:sz="4" w:space="0" w:color="auto"/>
            </w:tcBorders>
          </w:tcPr>
          <w:p w14:paraId="4379FB07" w14:textId="7037A212"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(1) Autoritățile competente aplică procesul de analiză și evaluare menționat în secțiunea III din prezentul capitol și măsurile de supraveghere menționate în secțiunea IV din prezentul capitol, în conformitate cu nivelul de aplicare a </w:t>
            </w:r>
            <w:r w:rsidRPr="009E686F">
              <w:rPr>
                <w:rFonts w:ascii="Times New Roman" w:hAnsi="Times New Roman" w:cs="Times New Roman"/>
                <w:lang w:val="ro-RO"/>
              </w:rPr>
              <w:lastRenderedPageBreak/>
              <w:t>cerințelor din Regulamentul (UE) nr. 575/2013 stabilit în partea întâi titlul II din regulamentul în cauză.</w:t>
            </w:r>
          </w:p>
        </w:tc>
        <w:tc>
          <w:tcPr>
            <w:tcW w:w="1928" w:type="pct"/>
            <w:gridSpan w:val="3"/>
            <w:tcBorders>
              <w:top w:val="single" w:sz="4" w:space="0" w:color="auto"/>
              <w:left w:val="single" w:sz="4" w:space="0" w:color="auto"/>
              <w:bottom w:val="single" w:sz="4" w:space="0" w:color="auto"/>
              <w:right w:val="single" w:sz="4" w:space="0" w:color="auto"/>
            </w:tcBorders>
          </w:tcPr>
          <w:p w14:paraId="73737117" w14:textId="4706D930" w:rsidR="00984B34" w:rsidRPr="009E686F" w:rsidRDefault="00984B34" w:rsidP="00984B34">
            <w:pPr>
              <w:spacing w:after="0"/>
              <w:jc w:val="both"/>
              <w:rPr>
                <w:rFonts w:ascii="Times New Roman" w:eastAsia="Aptos" w:hAnsi="Times New Roman" w:cs="Times New Roman"/>
                <w:b/>
                <w:bCs/>
                <w:kern w:val="2"/>
                <w:lang w:val="ro-MD"/>
              </w:rPr>
            </w:pPr>
            <w:r w:rsidRPr="009E686F">
              <w:rPr>
                <w:rFonts w:ascii="Times New Roman" w:eastAsia="Aptos" w:hAnsi="Times New Roman" w:cs="Times New Roman"/>
                <w:b/>
                <w:bCs/>
                <w:kern w:val="2"/>
                <w:lang w:val="ro-MD"/>
              </w:rPr>
              <w:lastRenderedPageBreak/>
              <w:t>Articolul 99 alin. (2)</w:t>
            </w:r>
          </w:p>
          <w:p w14:paraId="4FAB87E4" w14:textId="56565989" w:rsidR="00984B34" w:rsidRPr="009E686F" w:rsidRDefault="00984B34" w:rsidP="00984B34">
            <w:pPr>
              <w:spacing w:after="0"/>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 xml:space="preserve">(2) În sensul alin.(1), dispoziţiile prezentului capitol şi cele cuprinse în capitolul 5 titlul V referitoare la competenţa Băncii Naţionale a Moldovei de a dispune </w:t>
            </w:r>
            <w:r w:rsidRPr="009E686F">
              <w:rPr>
                <w:rFonts w:ascii="Times New Roman" w:eastAsia="Aptos" w:hAnsi="Times New Roman" w:cs="Times New Roman"/>
                <w:i/>
                <w:iCs/>
                <w:kern w:val="2"/>
                <w:lang w:val="ro-MD"/>
              </w:rPr>
              <w:t>instituției de credit</w:t>
            </w:r>
            <w:r w:rsidRPr="009E686F">
              <w:rPr>
                <w:rFonts w:ascii="Times New Roman" w:eastAsia="Aptos" w:hAnsi="Times New Roman" w:cs="Times New Roman"/>
                <w:kern w:val="2"/>
                <w:lang w:val="ro-MD"/>
              </w:rPr>
              <w:t xml:space="preserve"> măsuri </w:t>
            </w:r>
            <w:r w:rsidRPr="009E686F">
              <w:rPr>
                <w:rFonts w:ascii="Times New Roman" w:eastAsia="Aptos" w:hAnsi="Times New Roman" w:cs="Times New Roman"/>
                <w:kern w:val="2"/>
                <w:lang w:val="ro-MD"/>
              </w:rPr>
              <w:lastRenderedPageBreak/>
              <w:t>de supraveghere se aplică, în mod corespunzător, potrivit nivelului de aplicare a cerinţelor prudenţiale prevăzut la art.59.</w:t>
            </w:r>
          </w:p>
        </w:tc>
        <w:tc>
          <w:tcPr>
            <w:tcW w:w="470" w:type="pct"/>
            <w:tcBorders>
              <w:top w:val="single" w:sz="4" w:space="0" w:color="auto"/>
              <w:left w:val="single" w:sz="4" w:space="0" w:color="auto"/>
              <w:bottom w:val="single" w:sz="4" w:space="0" w:color="auto"/>
              <w:right w:val="single" w:sz="4" w:space="0" w:color="auto"/>
            </w:tcBorders>
          </w:tcPr>
          <w:p w14:paraId="02891285" w14:textId="2E7BA63D"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140BF9DA" w14:textId="77777777" w:rsidR="00984B34" w:rsidRPr="009E686F" w:rsidRDefault="00984B34" w:rsidP="00984B34">
            <w:pPr>
              <w:jc w:val="both"/>
              <w:rPr>
                <w:rFonts w:ascii="Times New Roman" w:hAnsi="Times New Roman" w:cs="Times New Roman"/>
                <w:lang w:val="ro-RO"/>
              </w:rPr>
            </w:pPr>
          </w:p>
        </w:tc>
      </w:tr>
      <w:tr w:rsidR="00984B34" w:rsidRPr="009E686F" w14:paraId="3A4D6592" w14:textId="2AB78B39" w:rsidTr="00774F3E">
        <w:tc>
          <w:tcPr>
            <w:tcW w:w="5000" w:type="pct"/>
            <w:gridSpan w:val="7"/>
            <w:tcBorders>
              <w:top w:val="single" w:sz="4" w:space="0" w:color="auto"/>
              <w:left w:val="single" w:sz="4" w:space="0" w:color="auto"/>
              <w:bottom w:val="single" w:sz="4" w:space="0" w:color="auto"/>
              <w:right w:val="single" w:sz="4" w:space="0" w:color="auto"/>
            </w:tcBorders>
          </w:tcPr>
          <w:p w14:paraId="13BCB887" w14:textId="77777777" w:rsidR="00984B34" w:rsidRPr="009E686F" w:rsidRDefault="00984B34" w:rsidP="00984B34">
            <w:pPr>
              <w:spacing w:after="0"/>
              <w:jc w:val="both"/>
              <w:rPr>
                <w:rFonts w:ascii="Times New Roman" w:hAnsi="Times New Roman" w:cs="Times New Roman"/>
                <w:bCs/>
                <w:lang w:val="ro-RO"/>
              </w:rPr>
            </w:pPr>
            <w:r w:rsidRPr="009E686F">
              <w:rPr>
                <w:rFonts w:ascii="Times New Roman" w:hAnsi="Times New Roman" w:cs="Times New Roman"/>
                <w:bCs/>
                <w:lang w:val="ro-RO"/>
              </w:rPr>
              <w:t>CAPITOLUL 3</w:t>
            </w:r>
          </w:p>
          <w:p w14:paraId="49FFC9BE" w14:textId="77777777"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b/>
                <w:lang w:val="ro-RO"/>
              </w:rPr>
              <w:t>Supravegherea pe bază consolidată</w:t>
            </w:r>
          </w:p>
          <w:p w14:paraId="74EB486D" w14:textId="2DA8FFC4"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SECȚIUNEA I</w:t>
            </w:r>
          </w:p>
          <w:p w14:paraId="3D585E5E" w14:textId="1B291127"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b/>
                <w:bCs/>
                <w:lang w:val="ro-RO"/>
              </w:rPr>
              <w:t>Aplicarea prezentului capitol în cazul grupurilor de firme de investiții</w:t>
            </w:r>
          </w:p>
        </w:tc>
      </w:tr>
      <w:tr w:rsidR="00984B34" w:rsidRPr="009E686F" w14:paraId="3673E712"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3B9E8DA2" w14:textId="77777777" w:rsidR="00984B34" w:rsidRPr="009E686F" w:rsidRDefault="00984B34" w:rsidP="00984B34">
            <w:pPr>
              <w:spacing w:after="0"/>
              <w:jc w:val="both"/>
              <w:rPr>
                <w:rFonts w:ascii="Times New Roman" w:hAnsi="Times New Roman" w:cs="Times New Roman"/>
                <w:bCs/>
                <w:i/>
                <w:iCs/>
                <w:lang w:val="ro-RO"/>
              </w:rPr>
            </w:pPr>
            <w:r w:rsidRPr="009E686F">
              <w:rPr>
                <w:rFonts w:ascii="Times New Roman" w:hAnsi="Times New Roman" w:cs="Times New Roman"/>
                <w:i/>
                <w:lang w:val="ro-RO"/>
              </w:rPr>
              <w:t xml:space="preserve">Articolul 110a </w:t>
            </w:r>
          </w:p>
          <w:p w14:paraId="6266F6FE" w14:textId="1DA41AA2" w:rsidR="00984B34" w:rsidRPr="009E686F" w:rsidRDefault="00984B34" w:rsidP="00984B34">
            <w:pPr>
              <w:spacing w:after="0"/>
              <w:jc w:val="both"/>
              <w:rPr>
                <w:rFonts w:ascii="Times New Roman" w:hAnsi="Times New Roman" w:cs="Times New Roman"/>
                <w:bCs/>
                <w:lang w:val="ro-RO"/>
              </w:rPr>
            </w:pPr>
            <w:r w:rsidRPr="009E686F">
              <w:rPr>
                <w:rFonts w:ascii="Times New Roman" w:hAnsi="Times New Roman" w:cs="Times New Roman"/>
                <w:lang w:val="ro-RO"/>
              </w:rPr>
              <w:t>Domeniul de aplicare în cazul grupurilor de firme de investiții</w:t>
            </w:r>
          </w:p>
        </w:tc>
        <w:tc>
          <w:tcPr>
            <w:tcW w:w="1928" w:type="pct"/>
            <w:gridSpan w:val="3"/>
            <w:tcBorders>
              <w:top w:val="single" w:sz="4" w:space="0" w:color="auto"/>
              <w:left w:val="single" w:sz="4" w:space="0" w:color="auto"/>
              <w:bottom w:val="single" w:sz="4" w:space="0" w:color="auto"/>
              <w:right w:val="single" w:sz="4" w:space="0" w:color="auto"/>
            </w:tcBorders>
          </w:tcPr>
          <w:p w14:paraId="6011208B" w14:textId="75872B70" w:rsidR="00984B34" w:rsidRPr="009E686F" w:rsidRDefault="00984B34" w:rsidP="00984B34">
            <w:pPr>
              <w:spacing w:after="0" w:line="278" w:lineRule="auto"/>
              <w:jc w:val="both"/>
              <w:rPr>
                <w:rFonts w:ascii="Times New Roman" w:eastAsia="Aptos" w:hAnsi="Times New Roman" w:cs="Times New Roman"/>
                <w:b/>
                <w:bCs/>
                <w:kern w:val="2"/>
                <w:lang w:val="ro-MD"/>
              </w:rPr>
            </w:pPr>
            <w:bookmarkStart w:id="39" w:name="_Hlk215564735"/>
            <w:r w:rsidRPr="009E686F">
              <w:rPr>
                <w:rFonts w:ascii="Times New Roman" w:eastAsia="Aptos" w:hAnsi="Times New Roman" w:cs="Times New Roman"/>
                <w:b/>
                <w:bCs/>
                <w:kern w:val="2"/>
                <w:lang w:val="ro-MD"/>
              </w:rPr>
              <w:t>Articolul 109</w:t>
            </w:r>
            <w:r w:rsidRPr="009E686F">
              <w:rPr>
                <w:rFonts w:ascii="Times New Roman" w:eastAsia="Aptos" w:hAnsi="Times New Roman" w:cs="Times New Roman"/>
                <w:b/>
                <w:bCs/>
                <w:kern w:val="2"/>
                <w:vertAlign w:val="superscript"/>
                <w:lang w:val="ro-MD"/>
              </w:rPr>
              <w:t>1</w:t>
            </w:r>
            <w:r w:rsidRPr="009E686F">
              <w:rPr>
                <w:rFonts w:ascii="Times New Roman" w:eastAsia="Aptos" w:hAnsi="Times New Roman" w:cs="Times New Roman"/>
                <w:b/>
                <w:bCs/>
                <w:kern w:val="2"/>
                <w:lang w:val="ro-MD"/>
              </w:rPr>
              <w:t xml:space="preserve">. </w:t>
            </w:r>
            <w:r w:rsidRPr="009E686F">
              <w:rPr>
                <w:rFonts w:ascii="Times New Roman" w:eastAsia="Aptos" w:hAnsi="Times New Roman" w:cs="Times New Roman"/>
                <w:kern w:val="2"/>
                <w:lang w:val="ro-MD"/>
              </w:rPr>
              <w:t xml:space="preserve">Aplicarea supravegherii pe bază consolidată grupurilor de </w:t>
            </w:r>
            <w:r w:rsidR="00A90CEA" w:rsidRPr="009E686F">
              <w:rPr>
                <w:rFonts w:ascii="Times New Roman" w:eastAsia="Aptos" w:hAnsi="Times New Roman" w:cs="Times New Roman"/>
                <w:i/>
                <w:iCs/>
                <w:kern w:val="2"/>
                <w:lang w:val="ro-MD"/>
              </w:rPr>
              <w:t>firme</w:t>
            </w:r>
            <w:r w:rsidRPr="009E686F">
              <w:rPr>
                <w:rFonts w:ascii="Times New Roman" w:eastAsia="Aptos" w:hAnsi="Times New Roman" w:cs="Times New Roman"/>
                <w:kern w:val="2"/>
                <w:lang w:val="ro-MD"/>
              </w:rPr>
              <w:t xml:space="preserve"> de investiții</w:t>
            </w:r>
            <w:bookmarkEnd w:id="39"/>
          </w:p>
        </w:tc>
        <w:tc>
          <w:tcPr>
            <w:tcW w:w="470" w:type="pct"/>
            <w:tcBorders>
              <w:top w:val="single" w:sz="4" w:space="0" w:color="auto"/>
              <w:left w:val="single" w:sz="4" w:space="0" w:color="auto"/>
              <w:bottom w:val="single" w:sz="4" w:space="0" w:color="auto"/>
              <w:right w:val="single" w:sz="4" w:space="0" w:color="auto"/>
            </w:tcBorders>
          </w:tcPr>
          <w:p w14:paraId="6CC6E60B" w14:textId="77777777"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p w14:paraId="0C1A6AA9" w14:textId="77777777"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6C7A9A07" w14:textId="77777777" w:rsidR="00984B34" w:rsidRPr="009E686F" w:rsidRDefault="00984B34" w:rsidP="00984B34">
            <w:pPr>
              <w:jc w:val="both"/>
              <w:rPr>
                <w:rFonts w:ascii="Times New Roman" w:hAnsi="Times New Roman" w:cs="Times New Roman"/>
                <w:lang w:val="ro-RO"/>
              </w:rPr>
            </w:pPr>
          </w:p>
        </w:tc>
      </w:tr>
      <w:tr w:rsidR="00984B34" w:rsidRPr="009E686F" w14:paraId="5B94CEB5"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34F7632C" w14:textId="77777777" w:rsidR="00984B34" w:rsidRPr="009E686F" w:rsidRDefault="00984B34" w:rsidP="00984B34">
            <w:pPr>
              <w:spacing w:after="0"/>
              <w:jc w:val="both"/>
              <w:rPr>
                <w:rFonts w:ascii="Times New Roman" w:hAnsi="Times New Roman" w:cs="Times New Roman"/>
                <w:bCs/>
                <w:lang w:val="ro-RO"/>
              </w:rPr>
            </w:pPr>
            <w:r w:rsidRPr="009E686F">
              <w:rPr>
                <w:rFonts w:ascii="Times New Roman" w:hAnsi="Times New Roman" w:cs="Times New Roman"/>
                <w:bCs/>
                <w:lang w:val="ro-RO"/>
              </w:rPr>
              <w:t>Prezentul capitol se aplică grupurilor de firme de investiții, astfel cum sunt definite la articolul 4 alineatul (1) punctul 25 din Regulamentul (UE) 2019/2033, în cazul în care cel puțin o firmă de investiții din grupul respectiv face obiectul Regulamentului (UE) nr. 575/2013 în temeiul articolului 1 alineatul (2) sau (5) din Regulamentul (UE) 2019/2033.</w:t>
            </w:r>
          </w:p>
          <w:p w14:paraId="75BA275A" w14:textId="11A45FD6" w:rsidR="00984B34" w:rsidRPr="009E686F" w:rsidRDefault="00984B34" w:rsidP="00984B34">
            <w:pPr>
              <w:spacing w:after="0"/>
              <w:jc w:val="both"/>
              <w:rPr>
                <w:rFonts w:ascii="Times New Roman" w:hAnsi="Times New Roman" w:cs="Times New Roman"/>
                <w:bCs/>
                <w:lang w:val="ro-RO"/>
              </w:rPr>
            </w:pPr>
            <w:r w:rsidRPr="009E686F">
              <w:rPr>
                <w:rFonts w:ascii="Times New Roman" w:hAnsi="Times New Roman" w:cs="Times New Roman"/>
                <w:bCs/>
                <w:lang w:val="ro-RO"/>
              </w:rPr>
              <w:t>Prezentul capitol nu se aplică grupurilor de firme de investiții dacă nicio firmă de investiții din grupul respectiv nu intră sub incidența Regulamentului (UE) nr. 575/2013 în temeiul articolului 1 alineatul (2) sau (5) din Regulamentul (UE) 2019/2033.</w:t>
            </w:r>
          </w:p>
        </w:tc>
        <w:tc>
          <w:tcPr>
            <w:tcW w:w="1928" w:type="pct"/>
            <w:gridSpan w:val="3"/>
            <w:tcBorders>
              <w:top w:val="single" w:sz="4" w:space="0" w:color="auto"/>
              <w:left w:val="single" w:sz="4" w:space="0" w:color="auto"/>
              <w:bottom w:val="single" w:sz="4" w:space="0" w:color="auto"/>
              <w:right w:val="single" w:sz="4" w:space="0" w:color="auto"/>
            </w:tcBorders>
          </w:tcPr>
          <w:p w14:paraId="57E802C9" w14:textId="2695F0CB" w:rsidR="00984B34" w:rsidRPr="009E686F" w:rsidRDefault="00984B34" w:rsidP="00984B34">
            <w:pPr>
              <w:spacing w:after="0"/>
              <w:jc w:val="both"/>
              <w:rPr>
                <w:rFonts w:ascii="Times New Roman" w:hAnsi="Times New Roman" w:cs="Times New Roman"/>
                <w:b/>
                <w:lang w:val="ro-RO"/>
              </w:rPr>
            </w:pPr>
            <w:r w:rsidRPr="009E686F">
              <w:rPr>
                <w:rFonts w:ascii="Times New Roman" w:eastAsia="Aptos" w:hAnsi="Times New Roman" w:cs="Times New Roman"/>
                <w:i/>
                <w:kern w:val="2"/>
                <w:lang w:val="ro-MD"/>
              </w:rPr>
              <w:t xml:space="preserve">Prezentul capitol se aplică grupurilor de </w:t>
            </w:r>
            <w:r w:rsidR="00A90CEA" w:rsidRPr="009E686F">
              <w:rPr>
                <w:rFonts w:ascii="Times New Roman" w:eastAsia="Aptos" w:hAnsi="Times New Roman" w:cs="Times New Roman"/>
                <w:i/>
                <w:kern w:val="2"/>
                <w:lang w:val="ro-MD"/>
              </w:rPr>
              <w:t>firme</w:t>
            </w:r>
            <w:r w:rsidRPr="009E686F">
              <w:rPr>
                <w:rFonts w:ascii="Times New Roman" w:eastAsia="Aptos" w:hAnsi="Times New Roman" w:cs="Times New Roman"/>
                <w:i/>
                <w:kern w:val="2"/>
                <w:lang w:val="ro-MD"/>
              </w:rPr>
              <w:t xml:space="preserve"> de investiții, astfel cum sunt definite în actele normative cu privire la cerințele prudențiale ale </w:t>
            </w:r>
            <w:r w:rsidR="00A90CEA" w:rsidRPr="009E686F">
              <w:rPr>
                <w:rFonts w:ascii="Times New Roman" w:eastAsia="Aptos" w:hAnsi="Times New Roman" w:cs="Times New Roman"/>
                <w:i/>
                <w:kern w:val="2"/>
                <w:lang w:val="ro-MD"/>
              </w:rPr>
              <w:t>firmelor</w:t>
            </w:r>
            <w:r w:rsidRPr="009E686F">
              <w:rPr>
                <w:rFonts w:ascii="Times New Roman" w:eastAsia="Aptos" w:hAnsi="Times New Roman" w:cs="Times New Roman"/>
                <w:i/>
                <w:kern w:val="2"/>
                <w:lang w:val="ro-MD"/>
              </w:rPr>
              <w:t xml:space="preserve">r de investiții, în cazul în care cel puțin o </w:t>
            </w:r>
            <w:r w:rsidR="00A90CEA" w:rsidRPr="009E686F">
              <w:rPr>
                <w:rFonts w:ascii="Times New Roman" w:eastAsia="Aptos" w:hAnsi="Times New Roman" w:cs="Times New Roman"/>
                <w:i/>
                <w:kern w:val="2"/>
                <w:lang w:val="ro-MD"/>
              </w:rPr>
              <w:t xml:space="preserve">firmă </w:t>
            </w:r>
            <w:r w:rsidRPr="009E686F">
              <w:rPr>
                <w:rFonts w:ascii="Times New Roman" w:eastAsia="Aptos" w:hAnsi="Times New Roman" w:cs="Times New Roman"/>
                <w:i/>
                <w:kern w:val="2"/>
                <w:lang w:val="ro-MD"/>
              </w:rPr>
              <w:t>de investiții din grupul respectiv face obiectul prezentei legi și a actelor normative ale Băncii Naționale a Moldovei emise în aplicarea acesteia.</w:t>
            </w:r>
            <w:r w:rsidRPr="009E686F">
              <w:rPr>
                <w:rFonts w:ascii="Times New Roman" w:eastAsia="Aptos" w:hAnsi="Times New Roman" w:cs="Times New Roman"/>
                <w:kern w:val="2"/>
                <w:lang w:val="ro-MD"/>
              </w:rPr>
              <w:t xml:space="preserve">  </w:t>
            </w:r>
          </w:p>
        </w:tc>
        <w:tc>
          <w:tcPr>
            <w:tcW w:w="470" w:type="pct"/>
            <w:tcBorders>
              <w:top w:val="single" w:sz="4" w:space="0" w:color="auto"/>
              <w:left w:val="single" w:sz="4" w:space="0" w:color="auto"/>
              <w:bottom w:val="single" w:sz="4" w:space="0" w:color="auto"/>
              <w:right w:val="single" w:sz="4" w:space="0" w:color="auto"/>
            </w:tcBorders>
          </w:tcPr>
          <w:p w14:paraId="25742B82" w14:textId="77777777"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p w14:paraId="7ABFBA93" w14:textId="77777777"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286591BD" w14:textId="77777777" w:rsidR="00984B34" w:rsidRPr="009E686F" w:rsidRDefault="00984B34" w:rsidP="00984B34">
            <w:pPr>
              <w:jc w:val="both"/>
              <w:rPr>
                <w:rFonts w:ascii="Times New Roman" w:hAnsi="Times New Roman" w:cs="Times New Roman"/>
                <w:lang w:val="ro-RO"/>
              </w:rPr>
            </w:pPr>
          </w:p>
        </w:tc>
      </w:tr>
      <w:tr w:rsidR="00984B34" w:rsidRPr="009E686F" w14:paraId="3E9A57F4" w14:textId="5B0DB67C" w:rsidTr="00774F3E">
        <w:tc>
          <w:tcPr>
            <w:tcW w:w="1796" w:type="pct"/>
            <w:gridSpan w:val="2"/>
            <w:tcBorders>
              <w:top w:val="single" w:sz="4" w:space="0" w:color="auto"/>
              <w:left w:val="single" w:sz="4" w:space="0" w:color="auto"/>
              <w:bottom w:val="single" w:sz="4" w:space="0" w:color="auto"/>
              <w:right w:val="single" w:sz="4" w:space="0" w:color="auto"/>
            </w:tcBorders>
          </w:tcPr>
          <w:p w14:paraId="6310F02B" w14:textId="77777777" w:rsidR="00984B34" w:rsidRPr="009E686F" w:rsidRDefault="00984B34" w:rsidP="00984B34">
            <w:pPr>
              <w:spacing w:after="0"/>
              <w:jc w:val="both"/>
              <w:rPr>
                <w:rFonts w:ascii="Times New Roman" w:hAnsi="Times New Roman" w:cs="Times New Roman"/>
                <w:bCs/>
                <w:lang w:val="ro-RO"/>
              </w:rPr>
            </w:pPr>
            <w:r w:rsidRPr="009E686F">
              <w:rPr>
                <w:rFonts w:ascii="Times New Roman" w:hAnsi="Times New Roman" w:cs="Times New Roman"/>
                <w:bCs/>
                <w:lang w:val="ro-RO"/>
              </w:rPr>
              <w:t>Secțiunea I</w:t>
            </w:r>
          </w:p>
          <w:p w14:paraId="1BDA8C19"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b/>
                <w:lang w:val="ro-RO"/>
              </w:rPr>
              <w:t>Principii pentru efectuarea supravegherii pe bază consolidată</w:t>
            </w:r>
          </w:p>
        </w:tc>
        <w:tc>
          <w:tcPr>
            <w:tcW w:w="1928" w:type="pct"/>
            <w:gridSpan w:val="3"/>
            <w:tcBorders>
              <w:top w:val="single" w:sz="4" w:space="0" w:color="auto"/>
              <w:left w:val="single" w:sz="4" w:space="0" w:color="auto"/>
              <w:bottom w:val="single" w:sz="4" w:space="0" w:color="auto"/>
              <w:right w:val="single" w:sz="4" w:space="0" w:color="auto"/>
            </w:tcBorders>
          </w:tcPr>
          <w:p w14:paraId="57742C38" w14:textId="77777777" w:rsidR="00984B34" w:rsidRPr="009E686F" w:rsidRDefault="00984B34" w:rsidP="00984B34">
            <w:pPr>
              <w:spacing w:after="0"/>
              <w:jc w:val="both"/>
              <w:rPr>
                <w:rFonts w:ascii="Times New Roman" w:hAnsi="Times New Roman" w:cs="Times New Roman"/>
                <w:lang w:val="it-CH"/>
              </w:rPr>
            </w:pPr>
            <w:r w:rsidRPr="009E686F">
              <w:rPr>
                <w:rFonts w:ascii="Times New Roman" w:hAnsi="Times New Roman" w:cs="Times New Roman"/>
                <w:b/>
                <w:bCs/>
                <w:lang w:val="it-CH"/>
              </w:rPr>
              <w:t>Articolul 116.</w:t>
            </w:r>
            <w:r w:rsidRPr="009E686F">
              <w:rPr>
                <w:rFonts w:ascii="Times New Roman" w:hAnsi="Times New Roman" w:cs="Times New Roman"/>
                <w:lang w:val="it-CH"/>
              </w:rPr>
              <w:t xml:space="preserve"> Aplicarea cerinţelor prudenţiale pe bază consolidată</w:t>
            </w:r>
          </w:p>
          <w:p w14:paraId="1ED13E75" w14:textId="77777777" w:rsidR="00984B34" w:rsidRPr="009E686F" w:rsidRDefault="00984B34" w:rsidP="00984B34">
            <w:pPr>
              <w:spacing w:after="0"/>
              <w:jc w:val="both"/>
              <w:rPr>
                <w:rFonts w:ascii="Times New Roman" w:hAnsi="Times New Roman" w:cs="Times New Roman"/>
                <w:lang w:val="it-CH"/>
              </w:rPr>
            </w:pPr>
            <w:r w:rsidRPr="009E686F">
              <w:rPr>
                <w:rFonts w:ascii="Times New Roman" w:hAnsi="Times New Roman" w:cs="Times New Roman"/>
                <w:lang w:val="it-CH"/>
              </w:rPr>
              <w:t>Banca Naţională a Moldovei stabileşte prin acte normative perimetrul de consolidare, inclusiv situaţiile în care anumite entităţi din grup nu vor fi incluse în acest perimetru, cerinţele prudenţiale prevăzute la titlul III, care trebuie respectate pe bază consolidată, excepţiile şi derogările de la aplicarea acestor cerinţe, metodele de consolidare, informaţiile care trebuie furnizate în scopul realizării supravegherii pe baza consolidată.</w:t>
            </w:r>
          </w:p>
          <w:p w14:paraId="0D9F6E41" w14:textId="77777777" w:rsidR="00984B34" w:rsidRPr="009E686F" w:rsidRDefault="00984B34" w:rsidP="00984B34">
            <w:pPr>
              <w:spacing w:after="0"/>
              <w:jc w:val="both"/>
              <w:rPr>
                <w:rFonts w:ascii="Times New Roman" w:hAnsi="Times New Roman" w:cs="Times New Roman"/>
                <w:b/>
                <w:lang w:val="it-CH"/>
              </w:rPr>
            </w:pPr>
          </w:p>
        </w:tc>
        <w:tc>
          <w:tcPr>
            <w:tcW w:w="470" w:type="pct"/>
            <w:tcBorders>
              <w:top w:val="single" w:sz="4" w:space="0" w:color="auto"/>
              <w:left w:val="single" w:sz="4" w:space="0" w:color="auto"/>
              <w:bottom w:val="single" w:sz="4" w:space="0" w:color="auto"/>
              <w:right w:val="single" w:sz="4" w:space="0" w:color="auto"/>
            </w:tcBorders>
          </w:tcPr>
          <w:p w14:paraId="385561EB" w14:textId="42A0B9AA"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 xml:space="preserve">Compatibil </w:t>
            </w:r>
          </w:p>
        </w:tc>
        <w:tc>
          <w:tcPr>
            <w:tcW w:w="806" w:type="pct"/>
            <w:tcBorders>
              <w:top w:val="single" w:sz="4" w:space="0" w:color="auto"/>
              <w:left w:val="single" w:sz="4" w:space="0" w:color="auto"/>
              <w:bottom w:val="single" w:sz="4" w:space="0" w:color="auto"/>
              <w:right w:val="single" w:sz="4" w:space="0" w:color="auto"/>
            </w:tcBorders>
          </w:tcPr>
          <w:p w14:paraId="7A1880CA" w14:textId="4645F468"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cu specific național din Legea nr. 202/2017, care conferă BNM competența de a reglementa prin acte normative aspectele tehnice privind aplicarea supravegherii pe bază consolidată.</w:t>
            </w:r>
          </w:p>
        </w:tc>
      </w:tr>
      <w:tr w:rsidR="00984B34" w:rsidRPr="009E686F" w14:paraId="53081F99" w14:textId="08DB9D73" w:rsidTr="00774F3E">
        <w:tc>
          <w:tcPr>
            <w:tcW w:w="1796" w:type="pct"/>
            <w:gridSpan w:val="2"/>
            <w:tcBorders>
              <w:top w:val="single" w:sz="4" w:space="0" w:color="auto"/>
              <w:left w:val="single" w:sz="4" w:space="0" w:color="auto"/>
              <w:bottom w:val="single" w:sz="4" w:space="0" w:color="auto"/>
              <w:right w:val="single" w:sz="4" w:space="0" w:color="auto"/>
            </w:tcBorders>
          </w:tcPr>
          <w:p w14:paraId="6965EABA" w14:textId="77777777" w:rsidR="00984B34" w:rsidRPr="009E686F" w:rsidRDefault="00984B34" w:rsidP="00984B34">
            <w:pPr>
              <w:spacing w:after="0"/>
              <w:jc w:val="both"/>
              <w:rPr>
                <w:rFonts w:ascii="Times New Roman" w:hAnsi="Times New Roman" w:cs="Times New Roman"/>
                <w:i/>
                <w:iCs/>
                <w:lang w:val="ro-RO"/>
              </w:rPr>
            </w:pPr>
            <w:r w:rsidRPr="009E686F">
              <w:rPr>
                <w:rFonts w:ascii="Times New Roman" w:hAnsi="Times New Roman" w:cs="Times New Roman"/>
                <w:i/>
                <w:lang w:val="ro-RO"/>
              </w:rPr>
              <w:lastRenderedPageBreak/>
              <w:t xml:space="preserve">Articolul 111 </w:t>
            </w:r>
          </w:p>
          <w:p w14:paraId="50C5990F" w14:textId="7AA00ED5"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Stabilirea supraveghetorului consolidant </w:t>
            </w:r>
          </w:p>
        </w:tc>
        <w:tc>
          <w:tcPr>
            <w:tcW w:w="1928" w:type="pct"/>
            <w:gridSpan w:val="3"/>
            <w:tcBorders>
              <w:top w:val="single" w:sz="4" w:space="0" w:color="auto"/>
              <w:left w:val="single" w:sz="4" w:space="0" w:color="auto"/>
              <w:bottom w:val="single" w:sz="4" w:space="0" w:color="auto"/>
              <w:right w:val="single" w:sz="4" w:space="0" w:color="auto"/>
            </w:tcBorders>
          </w:tcPr>
          <w:p w14:paraId="2FB1C2D7" w14:textId="6DB9B8BE" w:rsidR="00984B34" w:rsidRPr="009E686F" w:rsidRDefault="00984B34" w:rsidP="00984B34">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b/>
                <w:bCs/>
                <w:kern w:val="2"/>
                <w:lang w:val="ro-MD"/>
              </w:rPr>
              <w:t>Articolul 109.</w:t>
            </w:r>
            <w:r w:rsidRPr="009E686F">
              <w:rPr>
                <w:rFonts w:ascii="Times New Roman" w:eastAsia="Aptos" w:hAnsi="Times New Roman" w:cs="Times New Roman"/>
                <w:kern w:val="2"/>
                <w:lang w:val="ro-MD"/>
              </w:rPr>
              <w:t xml:space="preserve"> Autoritatea competentă responsabilă cu supravegherea pe bază consolidată a </w:t>
            </w:r>
            <w:r w:rsidRPr="009E686F">
              <w:rPr>
                <w:rFonts w:ascii="Times New Roman" w:eastAsia="Aptos" w:hAnsi="Times New Roman" w:cs="Times New Roman"/>
                <w:i/>
                <w:iCs/>
                <w:kern w:val="2"/>
                <w:lang w:val="ro-MD"/>
              </w:rPr>
              <w:t>instituțiilor de credit</w:t>
            </w:r>
            <w:r w:rsidRPr="009E686F">
              <w:rPr>
                <w:rFonts w:ascii="Times New Roman" w:eastAsia="Aptos" w:hAnsi="Times New Roman" w:cs="Times New Roman"/>
                <w:kern w:val="2"/>
                <w:lang w:val="ro-MD"/>
              </w:rPr>
              <w:t xml:space="preserve"> </w:t>
            </w:r>
          </w:p>
          <w:p w14:paraId="213340C1"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4647FED6" w14:textId="018460CB"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5A37AFC5" w14:textId="77777777" w:rsidR="00984B34" w:rsidRPr="009E686F" w:rsidRDefault="00984B34" w:rsidP="00984B34">
            <w:pPr>
              <w:jc w:val="both"/>
              <w:rPr>
                <w:rFonts w:ascii="Times New Roman" w:hAnsi="Times New Roman" w:cs="Times New Roman"/>
                <w:lang w:val="ro-RO"/>
              </w:rPr>
            </w:pPr>
          </w:p>
        </w:tc>
      </w:tr>
      <w:tr w:rsidR="00984B34" w:rsidRPr="009E686F" w14:paraId="37153128" w14:textId="1FA2747B" w:rsidTr="00774F3E">
        <w:tc>
          <w:tcPr>
            <w:tcW w:w="1796" w:type="pct"/>
            <w:gridSpan w:val="2"/>
            <w:tcBorders>
              <w:top w:val="single" w:sz="4" w:space="0" w:color="auto"/>
              <w:left w:val="single" w:sz="4" w:space="0" w:color="auto"/>
              <w:bottom w:val="single" w:sz="4" w:space="0" w:color="auto"/>
              <w:right w:val="single" w:sz="4" w:space="0" w:color="auto"/>
            </w:tcBorders>
          </w:tcPr>
          <w:p w14:paraId="1906361B" w14:textId="7968C21D"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(1) În cazul în care o întreprindere-mamă este o instituție de credit -mamă dintr-un stat membru sau o instituție de credit-mamă din UE, supravegherea pe bază consolidată se exercită de c</w:t>
            </w:r>
            <w:r w:rsidRPr="009E686F">
              <w:rPr>
                <w:rFonts w:ascii="Times New Roman" w:hAnsi="Times New Roman" w:cs="Times New Roman"/>
                <w:lang w:val="ro-MD"/>
              </w:rPr>
              <w:t xml:space="preserve">ătre autoritatea competentă </w:t>
            </w:r>
            <w:r w:rsidRPr="009E686F">
              <w:rPr>
                <w:rFonts w:ascii="Times New Roman" w:hAnsi="Times New Roman" w:cs="Times New Roman"/>
                <w:lang w:val="ro-RO"/>
              </w:rPr>
              <w:t>care supraveghează instituția de credit-mamă respectivă în statul membru sau instituția de credit-mamă respectivă din UE pe bază individuală.</w:t>
            </w:r>
          </w:p>
        </w:tc>
        <w:tc>
          <w:tcPr>
            <w:tcW w:w="1928" w:type="pct"/>
            <w:gridSpan w:val="3"/>
            <w:tcBorders>
              <w:top w:val="single" w:sz="4" w:space="0" w:color="auto"/>
              <w:left w:val="single" w:sz="4" w:space="0" w:color="auto"/>
              <w:bottom w:val="single" w:sz="4" w:space="0" w:color="auto"/>
              <w:right w:val="single" w:sz="4" w:space="0" w:color="auto"/>
            </w:tcBorders>
          </w:tcPr>
          <w:p w14:paraId="44ADB04D" w14:textId="0BA1CC7B" w:rsidR="00984B34" w:rsidRPr="009E686F" w:rsidRDefault="00984B34" w:rsidP="00984B34">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 xml:space="preserve">(1) Supravegherea pe bază consolidată a unei </w:t>
            </w:r>
            <w:r w:rsidRPr="009E686F">
              <w:rPr>
                <w:rFonts w:ascii="Times New Roman" w:eastAsia="Aptos" w:hAnsi="Times New Roman" w:cs="Times New Roman"/>
                <w:i/>
                <w:iCs/>
                <w:kern w:val="2"/>
                <w:lang w:val="ro-MD"/>
              </w:rPr>
              <w:t>instituții de credit</w:t>
            </w:r>
            <w:r w:rsidRPr="009E686F">
              <w:rPr>
                <w:rFonts w:ascii="Times New Roman" w:eastAsia="Aptos" w:hAnsi="Times New Roman" w:cs="Times New Roman"/>
                <w:kern w:val="2"/>
                <w:lang w:val="ro-MD"/>
              </w:rPr>
              <w:t xml:space="preserve"> persoană juridică din Republica Moldova este exercitată de Banca Naţională a Moldovei în următoarele situaţii:</w:t>
            </w:r>
          </w:p>
          <w:p w14:paraId="3769E873" w14:textId="04E6D9EE" w:rsidR="00984B34" w:rsidRPr="009E686F" w:rsidRDefault="00984B34" w:rsidP="00984B34">
            <w:pPr>
              <w:spacing w:after="0"/>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 xml:space="preserve">a) </w:t>
            </w:r>
            <w:r w:rsidRPr="009E686F">
              <w:rPr>
                <w:rFonts w:ascii="Times New Roman" w:eastAsia="Aptos" w:hAnsi="Times New Roman" w:cs="Times New Roman"/>
                <w:i/>
                <w:iCs/>
                <w:kern w:val="2"/>
                <w:lang w:val="ro-MD"/>
              </w:rPr>
              <w:t>instituția de credit</w:t>
            </w:r>
            <w:r w:rsidRPr="009E686F">
              <w:rPr>
                <w:rFonts w:ascii="Times New Roman" w:eastAsia="Aptos" w:hAnsi="Times New Roman" w:cs="Times New Roman"/>
                <w:kern w:val="2"/>
                <w:lang w:val="ro-MD"/>
              </w:rPr>
              <w:t xml:space="preserve"> </w:t>
            </w:r>
            <w:r w:rsidRPr="009E686F">
              <w:rPr>
                <w:rFonts w:ascii="Times New Roman" w:eastAsia="Aptos" w:hAnsi="Times New Roman" w:cs="Times New Roman"/>
                <w:i/>
                <w:kern w:val="2"/>
                <w:lang w:val="ro-MD"/>
              </w:rPr>
              <w:t>autorizată</w:t>
            </w:r>
            <w:r w:rsidRPr="009E686F">
              <w:rPr>
                <w:rFonts w:ascii="Times New Roman" w:eastAsia="Aptos" w:hAnsi="Times New Roman" w:cs="Times New Roman"/>
                <w:kern w:val="2"/>
                <w:lang w:val="ro-MD"/>
              </w:rPr>
              <w:t xml:space="preserve"> de Banca Naţională a Moldovei este </w:t>
            </w:r>
            <w:r w:rsidRPr="009E686F">
              <w:rPr>
                <w:rFonts w:ascii="Times New Roman" w:eastAsia="Aptos" w:hAnsi="Times New Roman" w:cs="Times New Roman"/>
                <w:i/>
                <w:kern w:val="2"/>
                <w:lang w:val="ro-MD"/>
              </w:rPr>
              <w:t>întreprinderea</w:t>
            </w:r>
            <w:r w:rsidRPr="009E686F">
              <w:rPr>
                <w:rFonts w:ascii="Times New Roman" w:eastAsia="Aptos" w:hAnsi="Times New Roman" w:cs="Times New Roman"/>
                <w:kern w:val="2"/>
                <w:lang w:val="ro-MD"/>
              </w:rPr>
              <w:t xml:space="preserve">-mamă la nivelul Republicii Moldova </w:t>
            </w:r>
            <w:r w:rsidRPr="009E686F">
              <w:rPr>
                <w:rFonts w:ascii="Times New Roman" w:eastAsia="Aptos" w:hAnsi="Times New Roman" w:cs="Times New Roman"/>
                <w:i/>
                <w:kern w:val="2"/>
                <w:lang w:val="ro-MD"/>
              </w:rPr>
              <w:t>sau o întreprindere-mamă din UE</w:t>
            </w:r>
            <w:r w:rsidRPr="009E686F">
              <w:rPr>
                <w:rFonts w:ascii="Times New Roman" w:eastAsia="Aptos" w:hAnsi="Times New Roman" w:cs="Times New Roman"/>
                <w:kern w:val="2"/>
                <w:lang w:val="ro-MD"/>
              </w:rPr>
              <w:t xml:space="preserve">, care, în sensul prezentului capitol, are ca filială o </w:t>
            </w:r>
            <w:r w:rsidRPr="009E686F">
              <w:rPr>
                <w:rFonts w:ascii="Times New Roman" w:eastAsia="Aptos" w:hAnsi="Times New Roman" w:cs="Times New Roman"/>
                <w:i/>
                <w:iCs/>
                <w:kern w:val="2"/>
                <w:lang w:val="ro-MD"/>
              </w:rPr>
              <w:t>instituție de credit</w:t>
            </w:r>
            <w:r w:rsidRPr="009E686F">
              <w:rPr>
                <w:rFonts w:ascii="Times New Roman" w:eastAsia="Aptos" w:hAnsi="Times New Roman" w:cs="Times New Roman"/>
                <w:kern w:val="2"/>
                <w:lang w:val="ro-MD"/>
              </w:rPr>
              <w:t xml:space="preserve"> /</w:t>
            </w:r>
            <w:r w:rsidR="00BB7F47" w:rsidRPr="009E686F">
              <w:rPr>
                <w:rFonts w:ascii="Times New Roman" w:eastAsia="Aptos" w:hAnsi="Times New Roman" w:cs="Times New Roman"/>
                <w:i/>
                <w:iCs/>
                <w:kern w:val="2"/>
                <w:lang w:val="ro-MD"/>
              </w:rPr>
              <w:t xml:space="preserve">firmă </w:t>
            </w:r>
            <w:r w:rsidRPr="009E686F">
              <w:rPr>
                <w:rFonts w:ascii="Times New Roman" w:eastAsia="Aptos" w:hAnsi="Times New Roman" w:cs="Times New Roman"/>
                <w:kern w:val="2"/>
                <w:lang w:val="ro-MD"/>
              </w:rPr>
              <w:t xml:space="preserve">de investiţii sau o </w:t>
            </w:r>
            <w:r w:rsidRPr="009E686F">
              <w:rPr>
                <w:rFonts w:ascii="Times New Roman" w:eastAsia="Aptos" w:hAnsi="Times New Roman" w:cs="Times New Roman"/>
                <w:i/>
                <w:kern w:val="2"/>
                <w:lang w:val="ro-MD"/>
              </w:rPr>
              <w:t>instituție financiară</w:t>
            </w:r>
            <w:r w:rsidRPr="009E686F">
              <w:rPr>
                <w:rFonts w:ascii="Times New Roman" w:eastAsia="Aptos" w:hAnsi="Times New Roman" w:cs="Times New Roman"/>
                <w:kern w:val="2"/>
                <w:lang w:val="ro-MD"/>
              </w:rPr>
              <w:t xml:space="preserve"> sau atunci cînd o astfel de </w:t>
            </w:r>
            <w:r w:rsidRPr="009E686F">
              <w:rPr>
                <w:rFonts w:ascii="Times New Roman" w:eastAsia="Aptos" w:hAnsi="Times New Roman" w:cs="Times New Roman"/>
                <w:i/>
                <w:iCs/>
                <w:kern w:val="2"/>
                <w:lang w:val="ro-MD"/>
              </w:rPr>
              <w:t>instituție de credit</w:t>
            </w:r>
            <w:r w:rsidRPr="009E686F">
              <w:rPr>
                <w:rFonts w:ascii="Times New Roman" w:eastAsia="Aptos" w:hAnsi="Times New Roman" w:cs="Times New Roman"/>
                <w:kern w:val="2"/>
                <w:lang w:val="ro-MD"/>
              </w:rPr>
              <w:t>/</w:t>
            </w:r>
            <w:r w:rsidR="00BB7F47" w:rsidRPr="009E686F">
              <w:rPr>
                <w:rFonts w:ascii="Times New Roman" w:eastAsia="Aptos" w:hAnsi="Times New Roman" w:cs="Times New Roman"/>
                <w:i/>
                <w:iCs/>
                <w:kern w:val="2"/>
                <w:lang w:val="ro-MD"/>
              </w:rPr>
              <w:t xml:space="preserve">firmă </w:t>
            </w:r>
            <w:r w:rsidRPr="009E686F">
              <w:rPr>
                <w:rFonts w:ascii="Times New Roman" w:eastAsia="Aptos" w:hAnsi="Times New Roman" w:cs="Times New Roman"/>
                <w:kern w:val="2"/>
                <w:lang w:val="ro-MD"/>
              </w:rPr>
              <w:t xml:space="preserve">de investiţii sau </w:t>
            </w:r>
            <w:r w:rsidRPr="009E686F">
              <w:rPr>
                <w:rFonts w:ascii="Times New Roman" w:eastAsia="Aptos" w:hAnsi="Times New Roman" w:cs="Times New Roman"/>
                <w:i/>
                <w:kern w:val="2"/>
                <w:lang w:val="ro-MD"/>
              </w:rPr>
              <w:t>instituție financiară</w:t>
            </w:r>
            <w:r w:rsidRPr="009E686F">
              <w:rPr>
                <w:rFonts w:ascii="Times New Roman" w:eastAsia="Aptos" w:hAnsi="Times New Roman" w:cs="Times New Roman"/>
                <w:kern w:val="2"/>
                <w:lang w:val="ro-MD"/>
              </w:rPr>
              <w:t xml:space="preserve"> este o entitate asociată întreprinderii-mamă şi care nu este la rîndul său o filială a unei alte </w:t>
            </w:r>
            <w:r w:rsidRPr="009E686F">
              <w:rPr>
                <w:rFonts w:ascii="Times New Roman" w:eastAsia="Aptos" w:hAnsi="Times New Roman" w:cs="Times New Roman"/>
                <w:i/>
                <w:iCs/>
                <w:kern w:val="2"/>
                <w:lang w:val="ro-MD"/>
              </w:rPr>
              <w:t>instituții de credit</w:t>
            </w:r>
            <w:r w:rsidRPr="009E686F">
              <w:rPr>
                <w:rFonts w:ascii="Times New Roman" w:eastAsia="Aptos" w:hAnsi="Times New Roman" w:cs="Times New Roman"/>
                <w:kern w:val="2"/>
                <w:lang w:val="ro-MD"/>
              </w:rPr>
              <w:t>/</w:t>
            </w:r>
            <w:r w:rsidR="00BB7F47" w:rsidRPr="009E686F">
              <w:rPr>
                <w:rFonts w:ascii="Times New Roman" w:eastAsia="Aptos" w:hAnsi="Times New Roman" w:cs="Times New Roman"/>
                <w:i/>
                <w:iCs/>
                <w:kern w:val="2"/>
                <w:lang w:val="ro-MD"/>
              </w:rPr>
              <w:t xml:space="preserve">firme </w:t>
            </w:r>
            <w:r w:rsidRPr="009E686F">
              <w:rPr>
                <w:rFonts w:ascii="Times New Roman" w:eastAsia="Aptos" w:hAnsi="Times New Roman" w:cs="Times New Roman"/>
                <w:kern w:val="2"/>
                <w:lang w:val="ro-MD"/>
              </w:rPr>
              <w:t xml:space="preserve">de investiţii </w:t>
            </w:r>
            <w:r w:rsidRPr="009E686F">
              <w:rPr>
                <w:rFonts w:ascii="Times New Roman" w:eastAsia="Aptos" w:hAnsi="Times New Roman" w:cs="Times New Roman"/>
                <w:i/>
                <w:iCs/>
                <w:kern w:val="2"/>
                <w:lang w:val="ro-MD"/>
              </w:rPr>
              <w:t>autorizate</w:t>
            </w:r>
            <w:r w:rsidRPr="009E686F">
              <w:rPr>
                <w:rFonts w:ascii="Times New Roman" w:eastAsia="Aptos" w:hAnsi="Times New Roman" w:cs="Times New Roman"/>
                <w:kern w:val="2"/>
                <w:lang w:val="ro-MD"/>
              </w:rPr>
              <w:t xml:space="preserve"> în Republica Moldova sau a unei societăţi financiare holding sau societăţi financiare holding mixte înfiinţate în Republica Moldova; [...]</w:t>
            </w:r>
          </w:p>
        </w:tc>
        <w:tc>
          <w:tcPr>
            <w:tcW w:w="470" w:type="pct"/>
            <w:tcBorders>
              <w:top w:val="single" w:sz="4" w:space="0" w:color="auto"/>
              <w:left w:val="single" w:sz="4" w:space="0" w:color="auto"/>
              <w:bottom w:val="single" w:sz="4" w:space="0" w:color="auto"/>
              <w:right w:val="single" w:sz="4" w:space="0" w:color="auto"/>
            </w:tcBorders>
          </w:tcPr>
          <w:p w14:paraId="750760B0" w14:textId="6C319EFD"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4718EADB" w14:textId="77777777" w:rsidR="00984B34" w:rsidRPr="009E686F" w:rsidRDefault="00984B34" w:rsidP="00984B34">
            <w:pPr>
              <w:jc w:val="both"/>
              <w:rPr>
                <w:rFonts w:ascii="Times New Roman" w:hAnsi="Times New Roman" w:cs="Times New Roman"/>
                <w:lang w:val="ro-RO"/>
              </w:rPr>
            </w:pPr>
          </w:p>
        </w:tc>
      </w:tr>
      <w:tr w:rsidR="00984B34" w:rsidRPr="009E686F" w14:paraId="1F8463DB"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105B42BD" w14:textId="563B9E64" w:rsidR="00984B34" w:rsidRPr="009E686F" w:rsidRDefault="00984B34" w:rsidP="00984B34">
            <w:pPr>
              <w:spacing w:after="0"/>
              <w:jc w:val="both"/>
              <w:rPr>
                <w:rFonts w:ascii="Times New Roman" w:hAnsi="Times New Roman" w:cs="Times New Roman"/>
                <w:lang w:val="ro-MD"/>
              </w:rPr>
            </w:pPr>
            <w:r w:rsidRPr="009E686F">
              <w:rPr>
                <w:rFonts w:ascii="Times New Roman" w:hAnsi="Times New Roman" w:cs="Times New Roman"/>
                <w:lang w:val="ro-MD"/>
              </w:rPr>
              <w:t>În cazul în care o întreprindere-mamă este o firmă de investiții-mamă dintr-un stat membru sau o firmă de investiții-mamă din UE și niciuna dintre filialele acesteia nu este o instituție de credit, supravegherea pe bază consolidată se exercită de către autoritatea competentă care supraveghează respectiva firmă de investiții-mamă din statul membru sau respectiva firmă de investiții-mamă din UE pe bază individuală.</w:t>
            </w:r>
          </w:p>
        </w:tc>
        <w:tc>
          <w:tcPr>
            <w:tcW w:w="1928" w:type="pct"/>
            <w:gridSpan w:val="3"/>
            <w:tcBorders>
              <w:top w:val="single" w:sz="4" w:space="0" w:color="auto"/>
              <w:left w:val="single" w:sz="4" w:space="0" w:color="auto"/>
              <w:bottom w:val="single" w:sz="4" w:space="0" w:color="auto"/>
              <w:right w:val="single" w:sz="4" w:space="0" w:color="auto"/>
            </w:tcBorders>
          </w:tcPr>
          <w:p w14:paraId="05522F7C" w14:textId="22AECF1C" w:rsidR="00984B34" w:rsidRPr="009E686F" w:rsidRDefault="00984B34" w:rsidP="00984B34">
            <w:pPr>
              <w:spacing w:after="0"/>
              <w:jc w:val="both"/>
              <w:rPr>
                <w:rFonts w:ascii="Times New Roman" w:hAnsi="Times New Roman" w:cs="Times New Roman"/>
                <w:i/>
                <w:lang w:val="ro-RO"/>
              </w:rPr>
            </w:pPr>
            <w:r w:rsidRPr="009E686F">
              <w:rPr>
                <w:rFonts w:ascii="Times New Roman" w:eastAsia="Aptos" w:hAnsi="Times New Roman" w:cs="Times New Roman"/>
                <w:i/>
                <w:kern w:val="2"/>
                <w:lang w:val="ro-MD"/>
              </w:rPr>
              <w:t>(1</w:t>
            </w:r>
            <w:r w:rsidRPr="009E686F">
              <w:rPr>
                <w:rFonts w:ascii="Times New Roman" w:eastAsia="Aptos" w:hAnsi="Times New Roman" w:cs="Times New Roman"/>
                <w:i/>
                <w:kern w:val="2"/>
                <w:vertAlign w:val="superscript"/>
                <w:lang w:val="ro-MD"/>
              </w:rPr>
              <w:t>1</w:t>
            </w:r>
            <w:r w:rsidRPr="009E686F">
              <w:rPr>
                <w:rFonts w:ascii="Times New Roman" w:eastAsia="Aptos" w:hAnsi="Times New Roman" w:cs="Times New Roman"/>
                <w:i/>
                <w:kern w:val="2"/>
                <w:lang w:val="ro-MD"/>
              </w:rPr>
              <w:t xml:space="preserve">) În cazul în care o întreprindere-mamă este o </w:t>
            </w:r>
            <w:r w:rsidR="00BB7F47" w:rsidRPr="009E686F">
              <w:rPr>
                <w:rFonts w:ascii="Times New Roman" w:eastAsia="Aptos" w:hAnsi="Times New Roman" w:cs="Times New Roman"/>
                <w:i/>
                <w:kern w:val="2"/>
                <w:lang w:val="ro-MD"/>
              </w:rPr>
              <w:t xml:space="preserve">firmă </w:t>
            </w:r>
            <w:r w:rsidRPr="009E686F">
              <w:rPr>
                <w:rFonts w:ascii="Times New Roman" w:eastAsia="Aptos" w:hAnsi="Times New Roman" w:cs="Times New Roman"/>
                <w:i/>
                <w:kern w:val="2"/>
                <w:lang w:val="ro-MD"/>
              </w:rPr>
              <w:t xml:space="preserve">de investiții-mamă din Republica Moldova sau o </w:t>
            </w:r>
            <w:r w:rsidR="00BB7F47" w:rsidRPr="009E686F">
              <w:rPr>
                <w:rFonts w:ascii="Times New Roman" w:eastAsia="Aptos" w:hAnsi="Times New Roman" w:cs="Times New Roman"/>
                <w:i/>
                <w:kern w:val="2"/>
                <w:lang w:val="ro-MD"/>
              </w:rPr>
              <w:t xml:space="preserve">firmă </w:t>
            </w:r>
            <w:r w:rsidRPr="009E686F">
              <w:rPr>
                <w:rFonts w:ascii="Times New Roman" w:eastAsia="Aptos" w:hAnsi="Times New Roman" w:cs="Times New Roman"/>
                <w:i/>
                <w:kern w:val="2"/>
                <w:lang w:val="ro-MD"/>
              </w:rPr>
              <w:t xml:space="preserve">de investiții-mamă din UE și niciuna dintre filialele acesteia nu este o </w:t>
            </w:r>
            <w:r w:rsidRPr="009E686F">
              <w:rPr>
                <w:rFonts w:ascii="Times New Roman" w:eastAsia="Aptos" w:hAnsi="Times New Roman" w:cs="Times New Roman"/>
                <w:i/>
                <w:iCs/>
                <w:kern w:val="2"/>
                <w:lang w:val="ro-MD"/>
              </w:rPr>
              <w:t>instituție de credit</w:t>
            </w:r>
            <w:r w:rsidRPr="009E686F">
              <w:rPr>
                <w:rFonts w:ascii="Times New Roman" w:eastAsia="Aptos" w:hAnsi="Times New Roman" w:cs="Times New Roman"/>
                <w:i/>
                <w:kern w:val="2"/>
                <w:lang w:val="ro-MD"/>
              </w:rPr>
              <w:t xml:space="preserve"> din Republica Moldova, supravegherea pe bază consolidată se exercită de către Comisia Națională a Pieței Financiare, respectiv autoritatea competentă care supraveghează respectiva </w:t>
            </w:r>
            <w:r w:rsidR="00BB7F47" w:rsidRPr="009E686F">
              <w:rPr>
                <w:rFonts w:ascii="Times New Roman" w:eastAsia="Aptos" w:hAnsi="Times New Roman" w:cs="Times New Roman"/>
                <w:i/>
                <w:kern w:val="2"/>
                <w:lang w:val="ro-MD"/>
              </w:rPr>
              <w:t xml:space="preserve">firmă </w:t>
            </w:r>
            <w:r w:rsidRPr="009E686F">
              <w:rPr>
                <w:rFonts w:ascii="Times New Roman" w:eastAsia="Aptos" w:hAnsi="Times New Roman" w:cs="Times New Roman"/>
                <w:i/>
                <w:kern w:val="2"/>
                <w:lang w:val="ro-MD"/>
              </w:rPr>
              <w:t>de investiții-mamă din UE pe bază individuală.</w:t>
            </w:r>
          </w:p>
        </w:tc>
        <w:tc>
          <w:tcPr>
            <w:tcW w:w="470" w:type="pct"/>
            <w:tcBorders>
              <w:top w:val="single" w:sz="4" w:space="0" w:color="auto"/>
              <w:left w:val="single" w:sz="4" w:space="0" w:color="auto"/>
              <w:bottom w:val="single" w:sz="4" w:space="0" w:color="auto"/>
              <w:right w:val="single" w:sz="4" w:space="0" w:color="auto"/>
            </w:tcBorders>
          </w:tcPr>
          <w:p w14:paraId="3CE1F3C4" w14:textId="77777777"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p w14:paraId="3CF46497" w14:textId="77777777"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06C3C5B5" w14:textId="77777777" w:rsidR="00984B34" w:rsidRPr="009E686F" w:rsidRDefault="00984B34" w:rsidP="00984B34">
            <w:pPr>
              <w:jc w:val="both"/>
              <w:rPr>
                <w:rFonts w:ascii="Times New Roman" w:hAnsi="Times New Roman" w:cs="Times New Roman"/>
                <w:lang w:val="ro-RO"/>
              </w:rPr>
            </w:pPr>
          </w:p>
        </w:tc>
      </w:tr>
      <w:tr w:rsidR="00984B34" w:rsidRPr="009E686F" w14:paraId="1F8915C6"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64AD8074" w14:textId="59232A32" w:rsidR="00984B34" w:rsidRPr="009E686F" w:rsidRDefault="00984B34" w:rsidP="00984B34">
            <w:pPr>
              <w:spacing w:after="0"/>
              <w:jc w:val="both"/>
              <w:rPr>
                <w:rFonts w:ascii="Times New Roman" w:hAnsi="Times New Roman" w:cs="Times New Roman"/>
                <w:lang w:val="ro-MD"/>
              </w:rPr>
            </w:pPr>
            <w:r w:rsidRPr="009E686F">
              <w:rPr>
                <w:rFonts w:ascii="Times New Roman" w:hAnsi="Times New Roman" w:cs="Times New Roman"/>
                <w:lang w:val="ro-MD"/>
              </w:rPr>
              <w:t xml:space="preserve">În cazul în care o întreprindere-mamă este o firmă de investiții-mamă dintr-un stat membru sau o firmă de investiții-mamă din UE și cel puțin una dintre filialele acesteia este o instituție de credit, supravegherea pe bază consolidată se exercită de către autoritatea competentă a instituției de credit sau, în cazul în care există mai multe </w:t>
            </w:r>
            <w:r w:rsidRPr="009E686F">
              <w:rPr>
                <w:rFonts w:ascii="Times New Roman" w:hAnsi="Times New Roman" w:cs="Times New Roman"/>
                <w:lang w:val="ro-MD"/>
              </w:rPr>
              <w:lastRenderedPageBreak/>
              <w:t>instituții de credit, de către autoritatea competentă a instituției de credit cu cel mai mare total al bilanțului.</w:t>
            </w:r>
          </w:p>
        </w:tc>
        <w:tc>
          <w:tcPr>
            <w:tcW w:w="1928" w:type="pct"/>
            <w:gridSpan w:val="3"/>
            <w:tcBorders>
              <w:top w:val="single" w:sz="4" w:space="0" w:color="auto"/>
              <w:left w:val="single" w:sz="4" w:space="0" w:color="auto"/>
              <w:bottom w:val="single" w:sz="4" w:space="0" w:color="auto"/>
              <w:right w:val="single" w:sz="4" w:space="0" w:color="auto"/>
            </w:tcBorders>
          </w:tcPr>
          <w:p w14:paraId="16D45069" w14:textId="2E62DE14" w:rsidR="00984B34" w:rsidRPr="009E686F" w:rsidRDefault="00984B34" w:rsidP="00984B34">
            <w:pPr>
              <w:spacing w:after="0"/>
              <w:jc w:val="both"/>
              <w:rPr>
                <w:rFonts w:ascii="Times New Roman" w:hAnsi="Times New Roman" w:cs="Times New Roman"/>
                <w:i/>
                <w:lang w:val="ro-RO"/>
              </w:rPr>
            </w:pPr>
            <w:r w:rsidRPr="009E686F">
              <w:rPr>
                <w:rFonts w:ascii="Times New Roman" w:eastAsia="Aptos" w:hAnsi="Times New Roman" w:cs="Times New Roman"/>
                <w:i/>
                <w:kern w:val="2"/>
                <w:lang w:val="ro-MD"/>
              </w:rPr>
              <w:lastRenderedPageBreak/>
              <w:t>(1</w:t>
            </w:r>
            <w:r w:rsidRPr="009E686F">
              <w:rPr>
                <w:rFonts w:ascii="Times New Roman" w:eastAsia="Aptos" w:hAnsi="Times New Roman" w:cs="Times New Roman"/>
                <w:i/>
                <w:kern w:val="2"/>
                <w:vertAlign w:val="superscript"/>
                <w:lang w:val="ro-MD"/>
              </w:rPr>
              <w:t>2</w:t>
            </w:r>
            <w:r w:rsidRPr="009E686F">
              <w:rPr>
                <w:rFonts w:ascii="Times New Roman" w:eastAsia="Aptos" w:hAnsi="Times New Roman" w:cs="Times New Roman"/>
                <w:i/>
                <w:kern w:val="2"/>
                <w:lang w:val="ro-MD"/>
              </w:rPr>
              <w:t xml:space="preserve">) În cazul în care o întreprindere-mamă este o </w:t>
            </w:r>
            <w:r w:rsidR="00BB7F47" w:rsidRPr="009E686F">
              <w:rPr>
                <w:rFonts w:ascii="Times New Roman" w:eastAsia="Aptos" w:hAnsi="Times New Roman" w:cs="Times New Roman"/>
                <w:i/>
                <w:kern w:val="2"/>
                <w:lang w:val="ro-MD"/>
              </w:rPr>
              <w:t xml:space="preserve">firmă </w:t>
            </w:r>
            <w:r w:rsidRPr="009E686F">
              <w:rPr>
                <w:rFonts w:ascii="Times New Roman" w:eastAsia="Aptos" w:hAnsi="Times New Roman" w:cs="Times New Roman"/>
                <w:i/>
                <w:kern w:val="2"/>
                <w:lang w:val="ro-MD"/>
              </w:rPr>
              <w:t xml:space="preserve">de investiții-mamă din Republica Moldova sau o </w:t>
            </w:r>
            <w:r w:rsidR="00BB7F47" w:rsidRPr="009E686F">
              <w:rPr>
                <w:rFonts w:ascii="Times New Roman" w:eastAsia="Aptos" w:hAnsi="Times New Roman" w:cs="Times New Roman"/>
                <w:i/>
                <w:kern w:val="2"/>
                <w:lang w:val="ro-MD"/>
              </w:rPr>
              <w:t xml:space="preserve">firmă </w:t>
            </w:r>
            <w:r w:rsidRPr="009E686F">
              <w:rPr>
                <w:rFonts w:ascii="Times New Roman" w:eastAsia="Aptos" w:hAnsi="Times New Roman" w:cs="Times New Roman"/>
                <w:i/>
                <w:kern w:val="2"/>
                <w:lang w:val="ro-MD"/>
              </w:rPr>
              <w:t xml:space="preserve">de investiții-mamă din UE și cel puțin una dintre filialele acesteia este o </w:t>
            </w:r>
            <w:r w:rsidRPr="009E686F">
              <w:rPr>
                <w:rFonts w:ascii="Times New Roman" w:eastAsia="Aptos" w:hAnsi="Times New Roman" w:cs="Times New Roman"/>
                <w:i/>
                <w:iCs/>
                <w:kern w:val="2"/>
                <w:lang w:val="ro-MD"/>
              </w:rPr>
              <w:t>instituție de credit</w:t>
            </w:r>
            <w:r w:rsidRPr="009E686F">
              <w:rPr>
                <w:rFonts w:ascii="Times New Roman" w:eastAsia="Aptos" w:hAnsi="Times New Roman" w:cs="Times New Roman"/>
                <w:i/>
                <w:kern w:val="2"/>
                <w:lang w:val="ro-MD"/>
              </w:rPr>
              <w:t xml:space="preserve"> din Republica Moldova, supravegherea pe bază consolidată se exercită de către Banca Națională a Moldovei sau, în cazul în care mai multe</w:t>
            </w:r>
            <w:r w:rsidRPr="009E686F">
              <w:rPr>
                <w:rFonts w:ascii="Times New Roman" w:eastAsia="Aptos" w:hAnsi="Times New Roman" w:cs="Times New Roman"/>
                <w:i/>
                <w:iCs/>
                <w:kern w:val="2"/>
                <w:lang w:val="ro-MD"/>
              </w:rPr>
              <w:t xml:space="preserve"> filiale sunt</w:t>
            </w:r>
            <w:r w:rsidRPr="009E686F">
              <w:rPr>
                <w:rFonts w:ascii="Times New Roman" w:eastAsia="Aptos" w:hAnsi="Times New Roman" w:cs="Times New Roman"/>
                <w:i/>
                <w:kern w:val="2"/>
                <w:lang w:val="ro-MD"/>
              </w:rPr>
              <w:t xml:space="preserve"> </w:t>
            </w:r>
            <w:r w:rsidRPr="009E686F">
              <w:rPr>
                <w:rFonts w:ascii="Times New Roman" w:eastAsia="Aptos" w:hAnsi="Times New Roman" w:cs="Times New Roman"/>
                <w:i/>
                <w:iCs/>
                <w:kern w:val="2"/>
                <w:lang w:val="ro-MD"/>
              </w:rPr>
              <w:t xml:space="preserve">instituții de </w:t>
            </w:r>
            <w:r w:rsidRPr="009E686F">
              <w:rPr>
                <w:rFonts w:ascii="Times New Roman" w:eastAsia="Aptos" w:hAnsi="Times New Roman" w:cs="Times New Roman"/>
                <w:i/>
                <w:iCs/>
                <w:kern w:val="2"/>
                <w:lang w:val="ro-MD"/>
              </w:rPr>
              <w:lastRenderedPageBreak/>
              <w:t>credit din Republica Moldova și din alte state</w:t>
            </w:r>
            <w:r w:rsidRPr="009E686F">
              <w:rPr>
                <w:rFonts w:ascii="Times New Roman" w:eastAsia="Aptos" w:hAnsi="Times New Roman" w:cs="Times New Roman"/>
                <w:i/>
                <w:kern w:val="2"/>
                <w:lang w:val="ro-MD"/>
              </w:rPr>
              <w:t xml:space="preserve">, supravegherea pe bază consolidată se exercită de către Banca Națională a Moldovei în cazul în care este autoritatea competentă a </w:t>
            </w:r>
            <w:r w:rsidRPr="009E686F">
              <w:rPr>
                <w:rFonts w:ascii="Times New Roman" w:eastAsia="Aptos" w:hAnsi="Times New Roman" w:cs="Times New Roman"/>
                <w:i/>
                <w:iCs/>
                <w:kern w:val="2"/>
                <w:lang w:val="ro-MD"/>
              </w:rPr>
              <w:t>instituției de credit</w:t>
            </w:r>
            <w:r w:rsidRPr="009E686F">
              <w:rPr>
                <w:rFonts w:ascii="Times New Roman" w:eastAsia="Aptos" w:hAnsi="Times New Roman" w:cs="Times New Roman"/>
                <w:i/>
                <w:kern w:val="2"/>
                <w:lang w:val="ro-MD"/>
              </w:rPr>
              <w:t xml:space="preserve"> cu cel mai mare total al bilanțului.</w:t>
            </w:r>
          </w:p>
        </w:tc>
        <w:tc>
          <w:tcPr>
            <w:tcW w:w="470" w:type="pct"/>
            <w:tcBorders>
              <w:top w:val="single" w:sz="4" w:space="0" w:color="auto"/>
              <w:left w:val="single" w:sz="4" w:space="0" w:color="auto"/>
              <w:bottom w:val="single" w:sz="4" w:space="0" w:color="auto"/>
              <w:right w:val="single" w:sz="4" w:space="0" w:color="auto"/>
            </w:tcBorders>
          </w:tcPr>
          <w:p w14:paraId="297B027E" w14:textId="77777777"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lastRenderedPageBreak/>
              <w:t>Compatibil</w:t>
            </w:r>
          </w:p>
          <w:p w14:paraId="6A1D78BA" w14:textId="77777777"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07AD5456" w14:textId="77777777" w:rsidR="00984B34" w:rsidRPr="009E686F" w:rsidRDefault="00984B34" w:rsidP="00984B34">
            <w:pPr>
              <w:jc w:val="both"/>
              <w:rPr>
                <w:rFonts w:ascii="Times New Roman" w:hAnsi="Times New Roman" w:cs="Times New Roman"/>
                <w:lang w:val="ro-RO"/>
              </w:rPr>
            </w:pPr>
          </w:p>
        </w:tc>
      </w:tr>
      <w:tr w:rsidR="00984B34" w:rsidRPr="009E686F" w14:paraId="5888B400" w14:textId="664EE82F" w:rsidTr="00774F3E">
        <w:tc>
          <w:tcPr>
            <w:tcW w:w="1796" w:type="pct"/>
            <w:gridSpan w:val="2"/>
            <w:tcBorders>
              <w:top w:val="single" w:sz="4" w:space="0" w:color="auto"/>
              <w:left w:val="single" w:sz="4" w:space="0" w:color="auto"/>
              <w:bottom w:val="single" w:sz="4" w:space="0" w:color="auto"/>
              <w:right w:val="single" w:sz="4" w:space="0" w:color="auto"/>
            </w:tcBorders>
          </w:tcPr>
          <w:p w14:paraId="2DBAA2E1" w14:textId="4FD96FE5"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(2) În cazul în care instituția de credit sau firma de investiții are ca întreprindere-mamă o societate financiară holding mixtă-mamă dintr-un stat membru, o societate financiară holding-mamă  din UE sau o societate financiară holding mixtă-mamă din UE, supravegherea pe bază consolidată se exercită de către autoritatea competentă care supraveghează instituția de credit sau firma de investiții pe bază individuală.</w:t>
            </w:r>
          </w:p>
        </w:tc>
        <w:tc>
          <w:tcPr>
            <w:tcW w:w="1928" w:type="pct"/>
            <w:gridSpan w:val="3"/>
            <w:tcBorders>
              <w:top w:val="single" w:sz="4" w:space="0" w:color="auto"/>
              <w:left w:val="single" w:sz="4" w:space="0" w:color="auto"/>
              <w:bottom w:val="single" w:sz="4" w:space="0" w:color="auto"/>
              <w:right w:val="single" w:sz="4" w:space="0" w:color="auto"/>
            </w:tcBorders>
          </w:tcPr>
          <w:p w14:paraId="1C67A77D" w14:textId="7025B997" w:rsidR="00984B34" w:rsidRPr="009E686F" w:rsidRDefault="00984B34" w:rsidP="00984B34">
            <w:pPr>
              <w:spacing w:after="0" w:line="278" w:lineRule="auto"/>
              <w:jc w:val="both"/>
              <w:rPr>
                <w:rFonts w:ascii="Times New Roman" w:eastAsia="Aptos" w:hAnsi="Times New Roman" w:cs="Times New Roman"/>
                <w:kern w:val="2"/>
                <w:lang w:val="ro-RO"/>
              </w:rPr>
            </w:pPr>
            <w:r w:rsidRPr="009E686F">
              <w:rPr>
                <w:rFonts w:ascii="Times New Roman" w:eastAsia="Aptos" w:hAnsi="Times New Roman" w:cs="Times New Roman"/>
                <w:kern w:val="2"/>
                <w:lang w:val="ro-MD"/>
              </w:rPr>
              <w:t xml:space="preserve">(1) Supravegherea pe bază consolidată a unei </w:t>
            </w:r>
            <w:r w:rsidRPr="009E686F">
              <w:rPr>
                <w:rFonts w:ascii="Times New Roman" w:eastAsia="Aptos" w:hAnsi="Times New Roman" w:cs="Times New Roman"/>
                <w:i/>
                <w:iCs/>
                <w:kern w:val="2"/>
                <w:lang w:val="ro-MD"/>
              </w:rPr>
              <w:t>instituții de credit</w:t>
            </w:r>
            <w:r w:rsidRPr="009E686F">
              <w:rPr>
                <w:rFonts w:ascii="Times New Roman" w:eastAsia="Aptos" w:hAnsi="Times New Roman" w:cs="Times New Roman"/>
                <w:kern w:val="2"/>
                <w:lang w:val="ro-MD"/>
              </w:rPr>
              <w:t xml:space="preserve"> persoană juridică din Republica Moldova este exercitată de Banca Naţională a Moldovei în următoarele situaţii: </w:t>
            </w:r>
            <w:r w:rsidRPr="009E686F">
              <w:rPr>
                <w:rFonts w:ascii="Times New Roman" w:eastAsia="Aptos" w:hAnsi="Times New Roman" w:cs="Times New Roman"/>
                <w:kern w:val="2"/>
                <w:lang w:val="ro-RO"/>
              </w:rPr>
              <w:t>[...]</w:t>
            </w:r>
          </w:p>
          <w:p w14:paraId="71A0367D" w14:textId="21EE8327" w:rsidR="00984B34" w:rsidRPr="009E686F" w:rsidRDefault="00984B34" w:rsidP="00984B34">
            <w:pPr>
              <w:spacing w:after="0"/>
              <w:jc w:val="both"/>
              <w:rPr>
                <w:rFonts w:ascii="Times New Roman" w:hAnsi="Times New Roman" w:cs="Times New Roman"/>
                <w:lang w:val="ro-RO"/>
              </w:rPr>
            </w:pPr>
            <w:r w:rsidRPr="009E686F">
              <w:rPr>
                <w:rFonts w:ascii="Times New Roman" w:eastAsia="Aptos" w:hAnsi="Times New Roman" w:cs="Times New Roman"/>
                <w:kern w:val="2"/>
                <w:lang w:val="ro-MD"/>
              </w:rPr>
              <w:t xml:space="preserve">b) </w:t>
            </w:r>
            <w:r w:rsidRPr="009E686F">
              <w:rPr>
                <w:rFonts w:ascii="Times New Roman" w:eastAsia="Aptos" w:hAnsi="Times New Roman" w:cs="Times New Roman"/>
                <w:i/>
                <w:iCs/>
                <w:kern w:val="2"/>
                <w:lang w:val="ro-MD"/>
              </w:rPr>
              <w:t>instituția de credit</w:t>
            </w:r>
            <w:r w:rsidRPr="009E686F">
              <w:rPr>
                <w:rFonts w:ascii="Times New Roman" w:eastAsia="Aptos" w:hAnsi="Times New Roman" w:cs="Times New Roman"/>
                <w:kern w:val="2"/>
                <w:lang w:val="ro-MD"/>
              </w:rPr>
              <w:t xml:space="preserve"> </w:t>
            </w:r>
            <w:r w:rsidRPr="009E686F">
              <w:rPr>
                <w:rFonts w:ascii="Times New Roman" w:eastAsia="Aptos" w:hAnsi="Times New Roman" w:cs="Times New Roman"/>
                <w:i/>
                <w:kern w:val="2"/>
                <w:lang w:val="ro-MD"/>
              </w:rPr>
              <w:t>autorizată</w:t>
            </w:r>
            <w:r w:rsidRPr="009E686F">
              <w:rPr>
                <w:rFonts w:ascii="Times New Roman" w:eastAsia="Aptos" w:hAnsi="Times New Roman" w:cs="Times New Roman"/>
                <w:kern w:val="2"/>
                <w:lang w:val="ro-MD"/>
              </w:rPr>
              <w:t xml:space="preserve"> de Banca Naţională a Moldovei sau </w:t>
            </w:r>
            <w:r w:rsidR="00BB7F47" w:rsidRPr="009E686F">
              <w:rPr>
                <w:rFonts w:ascii="Times New Roman" w:eastAsia="Aptos" w:hAnsi="Times New Roman" w:cs="Times New Roman"/>
                <w:i/>
                <w:iCs/>
                <w:kern w:val="2"/>
                <w:lang w:val="ro-MD"/>
              </w:rPr>
              <w:t>firma</w:t>
            </w:r>
            <w:r w:rsidR="00BB7F47" w:rsidRPr="009E686F">
              <w:rPr>
                <w:rFonts w:ascii="Times New Roman" w:eastAsia="Aptos" w:hAnsi="Times New Roman" w:cs="Times New Roman"/>
                <w:kern w:val="2"/>
                <w:lang w:val="ro-MD"/>
              </w:rPr>
              <w:t xml:space="preserve"> </w:t>
            </w:r>
            <w:r w:rsidRPr="009E686F">
              <w:rPr>
                <w:rFonts w:ascii="Times New Roman" w:eastAsia="Aptos" w:hAnsi="Times New Roman" w:cs="Times New Roman"/>
                <w:kern w:val="2"/>
                <w:lang w:val="ro-MD"/>
              </w:rPr>
              <w:t xml:space="preserve">de investiții are ca întreprindere-mamă înfiinţată în Republica Moldova sau </w:t>
            </w:r>
            <w:r w:rsidRPr="009E686F">
              <w:rPr>
                <w:rFonts w:ascii="Times New Roman" w:eastAsia="Aptos" w:hAnsi="Times New Roman" w:cs="Times New Roman"/>
                <w:i/>
                <w:iCs/>
                <w:kern w:val="2"/>
                <w:lang w:val="ro-RO"/>
              </w:rPr>
              <w:t>î</w:t>
            </w:r>
            <w:r w:rsidRPr="009E686F">
              <w:rPr>
                <w:rFonts w:ascii="Times New Roman" w:eastAsia="Aptos" w:hAnsi="Times New Roman" w:cs="Times New Roman"/>
                <w:i/>
                <w:iCs/>
                <w:kern w:val="2"/>
                <w:lang w:val="ro-MD"/>
              </w:rPr>
              <w:t>ntr-un stat membru</w:t>
            </w:r>
            <w:r w:rsidRPr="009E686F">
              <w:rPr>
                <w:rFonts w:ascii="Times New Roman" w:eastAsia="Aptos" w:hAnsi="Times New Roman" w:cs="Times New Roman"/>
                <w:kern w:val="2"/>
                <w:lang w:val="ro-MD"/>
              </w:rPr>
              <w:t xml:space="preserve"> o societate financiară holding sau o societate financiară holding mixtă, fără ca întreprinderea-mamă să mai aibă filiale în Republica Moldova </w:t>
            </w:r>
            <w:r w:rsidRPr="009E686F">
              <w:rPr>
                <w:rFonts w:ascii="Times New Roman" w:eastAsia="Aptos" w:hAnsi="Times New Roman" w:cs="Times New Roman"/>
                <w:i/>
                <w:iCs/>
                <w:kern w:val="2"/>
                <w:lang w:val="ro-MD"/>
              </w:rPr>
              <w:t>sau în alte state membre</w:t>
            </w:r>
            <w:r w:rsidRPr="009E686F">
              <w:rPr>
                <w:rFonts w:ascii="Times New Roman" w:eastAsia="Aptos" w:hAnsi="Times New Roman" w:cs="Times New Roman"/>
                <w:kern w:val="2"/>
                <w:lang w:val="ro-MD"/>
              </w:rPr>
              <w:t>; sau în cazul în care are astfel de filiale-</w:t>
            </w:r>
            <w:r w:rsidRPr="009E686F">
              <w:rPr>
                <w:rFonts w:ascii="Times New Roman" w:eastAsia="Aptos" w:hAnsi="Times New Roman" w:cs="Times New Roman"/>
                <w:i/>
                <w:iCs/>
                <w:kern w:val="2"/>
                <w:lang w:val="ro-MD"/>
              </w:rPr>
              <w:t>instituții de credit</w:t>
            </w:r>
            <w:r w:rsidRPr="009E686F">
              <w:rPr>
                <w:rFonts w:ascii="Times New Roman" w:eastAsia="Aptos" w:hAnsi="Times New Roman" w:cs="Times New Roman"/>
                <w:kern w:val="2"/>
                <w:lang w:val="ro-MD"/>
              </w:rPr>
              <w:t xml:space="preserve"> în Republica Moldova al căror total al activului bilanţier este inferior activului bilanţier al </w:t>
            </w:r>
            <w:r w:rsidRPr="009E686F">
              <w:rPr>
                <w:rFonts w:ascii="Times New Roman" w:eastAsia="Aptos" w:hAnsi="Times New Roman" w:cs="Times New Roman"/>
                <w:i/>
                <w:iCs/>
                <w:kern w:val="2"/>
                <w:lang w:val="ro-MD"/>
              </w:rPr>
              <w:t>instituției de credit</w:t>
            </w:r>
            <w:r w:rsidRPr="009E686F">
              <w:rPr>
                <w:rFonts w:ascii="Times New Roman" w:eastAsia="Aptos" w:hAnsi="Times New Roman" w:cs="Times New Roman"/>
                <w:kern w:val="2"/>
                <w:lang w:val="ro-MD"/>
              </w:rPr>
              <w:t xml:space="preserve"> respective.</w:t>
            </w:r>
          </w:p>
        </w:tc>
        <w:tc>
          <w:tcPr>
            <w:tcW w:w="470" w:type="pct"/>
            <w:tcBorders>
              <w:top w:val="single" w:sz="4" w:space="0" w:color="auto"/>
              <w:left w:val="single" w:sz="4" w:space="0" w:color="auto"/>
              <w:bottom w:val="single" w:sz="4" w:space="0" w:color="auto"/>
              <w:right w:val="single" w:sz="4" w:space="0" w:color="auto"/>
            </w:tcBorders>
          </w:tcPr>
          <w:p w14:paraId="2A57586A" w14:textId="46AD4EC4"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p w14:paraId="73E7AFD9" w14:textId="77777777" w:rsidR="00984B34" w:rsidRPr="009E686F" w:rsidRDefault="00984B34" w:rsidP="00984B34">
            <w:pPr>
              <w:jc w:val="both"/>
              <w:rPr>
                <w:rFonts w:ascii="Times New Roman" w:hAnsi="Times New Roman" w:cs="Times New Roman"/>
                <w:lang w:val="ro-RO"/>
              </w:rPr>
            </w:pPr>
          </w:p>
          <w:p w14:paraId="1A5213C4" w14:textId="77777777" w:rsidR="00984B34" w:rsidRPr="009E686F" w:rsidRDefault="00984B34" w:rsidP="00984B34">
            <w:pPr>
              <w:jc w:val="both"/>
              <w:rPr>
                <w:rFonts w:ascii="Times New Roman" w:hAnsi="Times New Roman" w:cs="Times New Roman"/>
                <w:lang w:val="ro-RO"/>
              </w:rPr>
            </w:pPr>
          </w:p>
          <w:p w14:paraId="59CD0A76" w14:textId="77777777" w:rsidR="00984B34" w:rsidRPr="009E686F" w:rsidRDefault="00984B34" w:rsidP="00984B34">
            <w:pPr>
              <w:jc w:val="both"/>
              <w:rPr>
                <w:rFonts w:ascii="Times New Roman" w:hAnsi="Times New Roman" w:cs="Times New Roman"/>
                <w:lang w:val="ro-RO"/>
              </w:rPr>
            </w:pPr>
          </w:p>
          <w:p w14:paraId="2A173CEA" w14:textId="77777777"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125531FA" w14:textId="77777777" w:rsidR="00984B34" w:rsidRPr="009E686F" w:rsidRDefault="00984B34" w:rsidP="00984B34">
            <w:pPr>
              <w:jc w:val="both"/>
              <w:rPr>
                <w:rFonts w:ascii="Times New Roman" w:hAnsi="Times New Roman" w:cs="Times New Roman"/>
                <w:lang w:val="ro-RO"/>
              </w:rPr>
            </w:pPr>
          </w:p>
        </w:tc>
      </w:tr>
      <w:tr w:rsidR="00984B34" w:rsidRPr="009E686F" w14:paraId="30F3BE95" w14:textId="1837DCBA" w:rsidTr="00774F3E">
        <w:tc>
          <w:tcPr>
            <w:tcW w:w="1796" w:type="pct"/>
            <w:gridSpan w:val="2"/>
            <w:tcBorders>
              <w:top w:val="single" w:sz="4" w:space="0" w:color="auto"/>
              <w:left w:val="single" w:sz="4" w:space="0" w:color="auto"/>
              <w:bottom w:val="single" w:sz="4" w:space="0" w:color="auto"/>
              <w:right w:val="single" w:sz="4" w:space="0" w:color="auto"/>
            </w:tcBorders>
          </w:tcPr>
          <w:p w14:paraId="68566C76" w14:textId="22D5093D"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(3) Dacă două sau mai multe instituții de credit sau firme de investiții autorizate în Uniune au ca instituție-mamă aceeași societate financiară holding-mamă dintr-un stat membru, aceeași societate financiară holding mixtă-mamă dintr-un stat membru, aceeași societate financiară holding-mamă din UE sau aceeași societate financiară holding mixtă-mamă din UE, supravegherea pe bază consolidată se exercită de către:</w:t>
            </w:r>
          </w:p>
          <w:p w14:paraId="76DA8D14" w14:textId="12036BE2" w:rsidR="00984B34" w:rsidRPr="009E686F" w:rsidRDefault="00984B34" w:rsidP="00984B34">
            <w:pPr>
              <w:spacing w:after="0"/>
              <w:jc w:val="both"/>
              <w:rPr>
                <w:rFonts w:ascii="Times New Roman" w:hAnsi="Times New Roman" w:cs="Times New Roman"/>
                <w:lang w:val="pt-BR"/>
              </w:rPr>
            </w:pPr>
            <w:r w:rsidRPr="009E686F">
              <w:rPr>
                <w:rFonts w:ascii="Times New Roman" w:hAnsi="Times New Roman" w:cs="Times New Roman"/>
                <w:lang w:val="ro-RO"/>
              </w:rPr>
              <w:t>(a</w:t>
            </w:r>
            <w:r w:rsidRPr="009E686F">
              <w:rPr>
                <w:rFonts w:ascii="Times New Roman" w:hAnsi="Times New Roman" w:cs="Times New Roman"/>
                <w:lang w:val="pt-BR"/>
              </w:rPr>
              <w:t>) autoritatea competentă a instituției de credit în cazul în care există o instituție de credit în cadrul grupului;</w:t>
            </w:r>
          </w:p>
          <w:p w14:paraId="0CB6159A" w14:textId="0B992058" w:rsidR="00984B34" w:rsidRPr="009E686F" w:rsidRDefault="00984B34" w:rsidP="00984B34">
            <w:pPr>
              <w:spacing w:after="0"/>
              <w:rPr>
                <w:rFonts w:ascii="Times New Roman" w:hAnsi="Times New Roman" w:cs="Times New Roman"/>
                <w:lang w:val="pt-BR"/>
              </w:rPr>
            </w:pPr>
            <w:r w:rsidRPr="009E686F">
              <w:rPr>
                <w:rFonts w:ascii="Times New Roman" w:hAnsi="Times New Roman" w:cs="Times New Roman"/>
                <w:lang w:val="pt-BR"/>
              </w:rPr>
              <w:t>(b) autoritatea competentă a instituției de credit cu cel mai mare total al bilanțului, în cazul în care există mai multe instituții de credit în cadrul grupului; sau</w:t>
            </w:r>
          </w:p>
          <w:p w14:paraId="129D9A69" w14:textId="00CB57C9" w:rsidR="00984B34" w:rsidRPr="009E686F" w:rsidRDefault="00984B34" w:rsidP="00984B34">
            <w:pPr>
              <w:spacing w:after="0"/>
              <w:rPr>
                <w:rFonts w:ascii="Times New Roman" w:hAnsi="Times New Roman" w:cs="Times New Roman"/>
                <w:lang w:val="pt-BR"/>
              </w:rPr>
            </w:pPr>
            <w:r w:rsidRPr="009E686F">
              <w:rPr>
                <w:rFonts w:ascii="Times New Roman" w:hAnsi="Times New Roman" w:cs="Times New Roman"/>
                <w:lang w:val="pt-BR"/>
              </w:rPr>
              <w:t>(c) autoritatea competentă a firmei de investiții cu cel mai mare total al bilanțului, în cazul în care grupul nu include nicio instituție de credit.</w:t>
            </w:r>
          </w:p>
        </w:tc>
        <w:tc>
          <w:tcPr>
            <w:tcW w:w="1928" w:type="pct"/>
            <w:gridSpan w:val="3"/>
            <w:tcBorders>
              <w:top w:val="single" w:sz="4" w:space="0" w:color="auto"/>
              <w:left w:val="single" w:sz="4" w:space="0" w:color="auto"/>
              <w:bottom w:val="single" w:sz="4" w:space="0" w:color="auto"/>
              <w:right w:val="single" w:sz="4" w:space="0" w:color="auto"/>
            </w:tcBorders>
          </w:tcPr>
          <w:p w14:paraId="7CAC0BCD" w14:textId="2CEC9E2C" w:rsidR="00984B34" w:rsidRPr="009E686F" w:rsidRDefault="00984B34" w:rsidP="00984B34">
            <w:pPr>
              <w:spacing w:after="0" w:line="278" w:lineRule="auto"/>
              <w:jc w:val="both"/>
              <w:rPr>
                <w:rFonts w:ascii="Times New Roman" w:eastAsia="Aptos" w:hAnsi="Times New Roman" w:cs="Times New Roman"/>
                <w:i/>
                <w:kern w:val="2"/>
                <w:lang w:val="ro-MD"/>
              </w:rPr>
            </w:pPr>
            <w:r w:rsidRPr="009E686F">
              <w:rPr>
                <w:rFonts w:ascii="Times New Roman" w:eastAsia="Aptos" w:hAnsi="Times New Roman" w:cs="Times New Roman"/>
                <w:i/>
                <w:kern w:val="2"/>
                <w:lang w:val="ro-MD"/>
              </w:rPr>
              <w:t>(1</w:t>
            </w:r>
            <w:r w:rsidRPr="009E686F">
              <w:rPr>
                <w:rFonts w:ascii="Times New Roman" w:eastAsia="Aptos" w:hAnsi="Times New Roman" w:cs="Times New Roman"/>
                <w:i/>
                <w:kern w:val="2"/>
                <w:vertAlign w:val="superscript"/>
                <w:lang w:val="ro-MD"/>
              </w:rPr>
              <w:t>3</w:t>
            </w:r>
            <w:r w:rsidRPr="009E686F">
              <w:rPr>
                <w:rFonts w:ascii="Times New Roman" w:eastAsia="Aptos" w:hAnsi="Times New Roman" w:cs="Times New Roman"/>
                <w:i/>
                <w:kern w:val="2"/>
                <w:lang w:val="ro-MD"/>
              </w:rPr>
              <w:t xml:space="preserve">) În cazul în care două sau mai multe </w:t>
            </w:r>
            <w:r w:rsidRPr="009E686F">
              <w:rPr>
                <w:rFonts w:ascii="Times New Roman" w:eastAsia="Aptos" w:hAnsi="Times New Roman" w:cs="Times New Roman"/>
                <w:i/>
                <w:iCs/>
                <w:kern w:val="2"/>
                <w:lang w:val="ro-MD"/>
              </w:rPr>
              <w:t>instituții de credit</w:t>
            </w:r>
            <w:r w:rsidRPr="009E686F">
              <w:rPr>
                <w:rFonts w:ascii="Times New Roman" w:eastAsia="Aptos" w:hAnsi="Times New Roman" w:cs="Times New Roman"/>
                <w:i/>
                <w:kern w:val="2"/>
                <w:lang w:val="ro-MD"/>
              </w:rPr>
              <w:t xml:space="preserve"> sau </w:t>
            </w:r>
            <w:r w:rsidR="00BB7F47" w:rsidRPr="009E686F">
              <w:rPr>
                <w:rFonts w:ascii="Times New Roman" w:eastAsia="Aptos" w:hAnsi="Times New Roman" w:cs="Times New Roman"/>
                <w:i/>
                <w:kern w:val="2"/>
                <w:lang w:val="ro-MD"/>
              </w:rPr>
              <w:t xml:space="preserve">firme </w:t>
            </w:r>
            <w:r w:rsidRPr="009E686F">
              <w:rPr>
                <w:rFonts w:ascii="Times New Roman" w:eastAsia="Aptos" w:hAnsi="Times New Roman" w:cs="Times New Roman"/>
                <w:i/>
                <w:kern w:val="2"/>
                <w:lang w:val="ro-MD"/>
              </w:rPr>
              <w:t xml:space="preserve">de investiții din </w:t>
            </w:r>
            <w:r w:rsidR="00BB7F47" w:rsidRPr="009E686F">
              <w:rPr>
                <w:rFonts w:ascii="Times New Roman" w:eastAsia="Aptos" w:hAnsi="Times New Roman" w:cs="Times New Roman"/>
                <w:i/>
                <w:kern w:val="2"/>
                <w:lang w:val="ro-MD"/>
              </w:rPr>
              <w:t xml:space="preserve">UE </w:t>
            </w:r>
            <w:r w:rsidRPr="009E686F">
              <w:rPr>
                <w:rFonts w:ascii="Times New Roman" w:eastAsia="Aptos" w:hAnsi="Times New Roman" w:cs="Times New Roman"/>
                <w:i/>
                <w:kern w:val="2"/>
                <w:lang w:val="ro-MD"/>
              </w:rPr>
              <w:t xml:space="preserve">au ca </w:t>
            </w:r>
            <w:r w:rsidRPr="009E686F">
              <w:rPr>
                <w:rFonts w:ascii="Times New Roman" w:eastAsia="Aptos" w:hAnsi="Times New Roman" w:cs="Times New Roman"/>
                <w:i/>
                <w:iCs/>
                <w:kern w:val="2"/>
                <w:lang w:val="ro-MD"/>
              </w:rPr>
              <w:t>instituție de credit</w:t>
            </w:r>
            <w:r w:rsidRPr="009E686F">
              <w:rPr>
                <w:rFonts w:ascii="Times New Roman" w:eastAsia="Aptos" w:hAnsi="Times New Roman" w:cs="Times New Roman"/>
                <w:i/>
                <w:kern w:val="2"/>
                <w:lang w:val="ro-MD"/>
              </w:rPr>
              <w:t xml:space="preserve"> -mamă aceeași societate financiară holding-mamă din Republica Moldova, aceeași societate financiară holding mixtă-mamă din Republica Moldova, aceeași societate financiară holding-mamă din UE sau aceeași societate financiară holding mixtă-mamă din UE, supravegherea pe bază consolidată se exercită de către Banca Națională a Moldovei în cazul în care:</w:t>
            </w:r>
          </w:p>
          <w:p w14:paraId="6F4DB367" w14:textId="39C33499" w:rsidR="00984B34" w:rsidRPr="009E686F" w:rsidRDefault="00984B34" w:rsidP="00984B34">
            <w:pPr>
              <w:spacing w:after="0" w:line="278" w:lineRule="auto"/>
              <w:jc w:val="both"/>
              <w:rPr>
                <w:rFonts w:ascii="Times New Roman" w:eastAsia="Aptos" w:hAnsi="Times New Roman" w:cs="Times New Roman"/>
                <w:i/>
                <w:kern w:val="2"/>
                <w:lang w:val="ro-MD"/>
              </w:rPr>
            </w:pPr>
            <w:r w:rsidRPr="009E686F">
              <w:rPr>
                <w:rFonts w:ascii="Times New Roman" w:eastAsia="Aptos" w:hAnsi="Times New Roman" w:cs="Times New Roman"/>
                <w:i/>
                <w:kern w:val="2"/>
                <w:lang w:val="ro-MD"/>
              </w:rPr>
              <w:t xml:space="preserve">a) există o </w:t>
            </w:r>
            <w:r w:rsidRPr="009E686F">
              <w:rPr>
                <w:rFonts w:ascii="Times New Roman" w:eastAsia="Aptos" w:hAnsi="Times New Roman" w:cs="Times New Roman"/>
                <w:i/>
                <w:iCs/>
                <w:kern w:val="2"/>
                <w:lang w:val="ro-MD"/>
              </w:rPr>
              <w:t>instituție de credit</w:t>
            </w:r>
            <w:r w:rsidRPr="009E686F">
              <w:rPr>
                <w:rFonts w:ascii="Times New Roman" w:eastAsia="Aptos" w:hAnsi="Times New Roman" w:cs="Times New Roman"/>
                <w:i/>
                <w:kern w:val="2"/>
                <w:lang w:val="ro-MD"/>
              </w:rPr>
              <w:t xml:space="preserve"> în cadrul grupului;</w:t>
            </w:r>
          </w:p>
          <w:p w14:paraId="12E8610B" w14:textId="25442821" w:rsidR="00984B34" w:rsidRPr="009E686F" w:rsidRDefault="00984B34" w:rsidP="00984B34">
            <w:pPr>
              <w:spacing w:after="0" w:line="278" w:lineRule="auto"/>
              <w:jc w:val="both"/>
              <w:rPr>
                <w:rFonts w:ascii="Times New Roman" w:eastAsia="Aptos" w:hAnsi="Times New Roman" w:cs="Times New Roman"/>
                <w:i/>
                <w:kern w:val="2"/>
                <w:lang w:val="ro-MD"/>
              </w:rPr>
            </w:pPr>
            <w:r w:rsidRPr="009E686F">
              <w:rPr>
                <w:rFonts w:ascii="Times New Roman" w:eastAsia="Aptos" w:hAnsi="Times New Roman" w:cs="Times New Roman"/>
                <w:i/>
                <w:kern w:val="2"/>
                <w:lang w:val="ro-MD"/>
              </w:rPr>
              <w:t xml:space="preserve">b) </w:t>
            </w:r>
            <w:r w:rsidRPr="009E686F">
              <w:rPr>
                <w:rFonts w:ascii="Times New Roman" w:eastAsia="Aptos" w:hAnsi="Times New Roman" w:cs="Times New Roman"/>
                <w:i/>
                <w:iCs/>
                <w:kern w:val="2"/>
                <w:lang w:val="ro-MD"/>
              </w:rPr>
              <w:t>instituția de credit</w:t>
            </w:r>
            <w:r w:rsidRPr="009E686F">
              <w:rPr>
                <w:rFonts w:ascii="Times New Roman" w:eastAsia="Aptos" w:hAnsi="Times New Roman" w:cs="Times New Roman"/>
                <w:i/>
                <w:kern w:val="2"/>
                <w:lang w:val="ro-MD"/>
              </w:rPr>
              <w:t xml:space="preserve"> are cel mai mare total al bilanțului, în cazul în care există mai multe </w:t>
            </w:r>
            <w:r w:rsidRPr="009E686F">
              <w:rPr>
                <w:rFonts w:ascii="Times New Roman" w:eastAsia="Aptos" w:hAnsi="Times New Roman" w:cs="Times New Roman"/>
                <w:i/>
                <w:iCs/>
                <w:kern w:val="2"/>
                <w:lang w:val="ro-MD"/>
              </w:rPr>
              <w:t>instituții de credit</w:t>
            </w:r>
            <w:r w:rsidRPr="009E686F">
              <w:rPr>
                <w:rFonts w:ascii="Times New Roman" w:eastAsia="Aptos" w:hAnsi="Times New Roman" w:cs="Times New Roman"/>
                <w:i/>
                <w:kern w:val="2"/>
                <w:lang w:val="ro-MD"/>
              </w:rPr>
              <w:t xml:space="preserve"> în cadrul grupului.</w:t>
            </w:r>
          </w:p>
          <w:p w14:paraId="0D42ECD7" w14:textId="0C7CBA15" w:rsidR="00984B34" w:rsidRPr="009E686F" w:rsidRDefault="00C51953" w:rsidP="00984B34">
            <w:pPr>
              <w:spacing w:after="0" w:line="240" w:lineRule="auto"/>
              <w:jc w:val="both"/>
              <w:rPr>
                <w:rFonts w:ascii="Times New Roman" w:hAnsi="Times New Roman" w:cs="Times New Roman"/>
                <w:i/>
                <w:lang w:val="ro-RO"/>
              </w:rPr>
            </w:pPr>
            <w:r w:rsidRPr="009E686F">
              <w:rPr>
                <w:rFonts w:ascii="Times New Roman" w:eastAsia="Aptos" w:hAnsi="Times New Roman" w:cs="Times New Roman"/>
                <w:i/>
                <w:kern w:val="2"/>
                <w:lang w:val="ro-MD"/>
              </w:rPr>
              <w:t>(1</w:t>
            </w:r>
            <w:r w:rsidRPr="009E686F">
              <w:rPr>
                <w:rFonts w:ascii="Times New Roman" w:eastAsia="Aptos" w:hAnsi="Times New Roman" w:cs="Times New Roman"/>
                <w:i/>
                <w:kern w:val="2"/>
                <w:vertAlign w:val="superscript"/>
                <w:lang w:val="ro-MD"/>
              </w:rPr>
              <w:t>4</w:t>
            </w:r>
            <w:r w:rsidRPr="009E686F">
              <w:rPr>
                <w:rFonts w:ascii="Times New Roman" w:eastAsia="Aptos" w:hAnsi="Times New Roman" w:cs="Times New Roman"/>
                <w:i/>
                <w:kern w:val="2"/>
                <w:lang w:val="ro-MD"/>
              </w:rPr>
              <w:t xml:space="preserve">) </w:t>
            </w:r>
            <w:r w:rsidR="00984B34" w:rsidRPr="009E686F">
              <w:rPr>
                <w:rFonts w:ascii="Times New Roman" w:eastAsia="Aptos" w:hAnsi="Times New Roman" w:cs="Times New Roman"/>
                <w:i/>
                <w:kern w:val="2"/>
                <w:lang w:val="ro-MD"/>
              </w:rPr>
              <w:t xml:space="preserve">În cazul în care grupul nu include nicio </w:t>
            </w:r>
            <w:r w:rsidR="00984B34" w:rsidRPr="009E686F">
              <w:rPr>
                <w:rFonts w:ascii="Times New Roman" w:eastAsia="Aptos" w:hAnsi="Times New Roman" w:cs="Times New Roman"/>
                <w:i/>
                <w:iCs/>
                <w:kern w:val="2"/>
                <w:lang w:val="ro-MD"/>
              </w:rPr>
              <w:t>instituție de credit</w:t>
            </w:r>
            <w:r w:rsidR="00984B34" w:rsidRPr="009E686F">
              <w:rPr>
                <w:rFonts w:ascii="Times New Roman" w:eastAsia="Aptos" w:hAnsi="Times New Roman" w:cs="Times New Roman"/>
                <w:i/>
                <w:kern w:val="2"/>
                <w:lang w:val="ro-MD"/>
              </w:rPr>
              <w:t xml:space="preserve">, Comisia Națională a Pieței Financiare exercită supravegherea </w:t>
            </w:r>
            <w:r w:rsidR="00984B34" w:rsidRPr="009E686F">
              <w:rPr>
                <w:rFonts w:ascii="Times New Roman" w:eastAsia="Aptos" w:hAnsi="Times New Roman" w:cs="Times New Roman"/>
                <w:i/>
                <w:kern w:val="2"/>
                <w:lang w:val="ro-MD"/>
              </w:rPr>
              <w:lastRenderedPageBreak/>
              <w:t xml:space="preserve">pe bază consolidată  în cazul în care este autoritatea competentă a </w:t>
            </w:r>
            <w:r w:rsidR="00BB7F47" w:rsidRPr="009E686F">
              <w:rPr>
                <w:rFonts w:ascii="Times New Roman" w:eastAsia="Aptos" w:hAnsi="Times New Roman" w:cs="Times New Roman"/>
                <w:i/>
                <w:kern w:val="2"/>
                <w:lang w:val="ro-MD"/>
              </w:rPr>
              <w:t xml:space="preserve">firmei </w:t>
            </w:r>
            <w:r w:rsidR="00984B34" w:rsidRPr="009E686F">
              <w:rPr>
                <w:rFonts w:ascii="Times New Roman" w:eastAsia="Aptos" w:hAnsi="Times New Roman" w:cs="Times New Roman"/>
                <w:i/>
                <w:kern w:val="2"/>
                <w:lang w:val="ro-MD"/>
              </w:rPr>
              <w:t>de investiții cu cel mai mare total al bilanțului.</w:t>
            </w:r>
          </w:p>
        </w:tc>
        <w:tc>
          <w:tcPr>
            <w:tcW w:w="470" w:type="pct"/>
            <w:tcBorders>
              <w:top w:val="single" w:sz="4" w:space="0" w:color="auto"/>
              <w:left w:val="single" w:sz="4" w:space="0" w:color="auto"/>
              <w:bottom w:val="single" w:sz="4" w:space="0" w:color="auto"/>
              <w:right w:val="single" w:sz="4" w:space="0" w:color="auto"/>
            </w:tcBorders>
          </w:tcPr>
          <w:p w14:paraId="37287F2B" w14:textId="77777777"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lastRenderedPageBreak/>
              <w:t>Compatibil</w:t>
            </w:r>
          </w:p>
          <w:p w14:paraId="56C07921" w14:textId="77777777"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47561384" w14:textId="77777777" w:rsidR="00984B34" w:rsidRPr="009E686F" w:rsidRDefault="00984B34" w:rsidP="00984B34">
            <w:pPr>
              <w:jc w:val="both"/>
              <w:rPr>
                <w:rFonts w:ascii="Times New Roman" w:hAnsi="Times New Roman" w:cs="Times New Roman"/>
                <w:lang w:val="ro-RO"/>
              </w:rPr>
            </w:pPr>
          </w:p>
        </w:tc>
      </w:tr>
      <w:tr w:rsidR="00984B34" w:rsidRPr="009E686F" w14:paraId="4164597E" w14:textId="69DCABEC" w:rsidTr="00774F3E">
        <w:tc>
          <w:tcPr>
            <w:tcW w:w="1796" w:type="pct"/>
            <w:gridSpan w:val="2"/>
            <w:tcBorders>
              <w:top w:val="single" w:sz="4" w:space="0" w:color="auto"/>
              <w:left w:val="single" w:sz="4" w:space="0" w:color="auto"/>
              <w:bottom w:val="single" w:sz="4" w:space="0" w:color="auto"/>
              <w:right w:val="single" w:sz="4" w:space="0" w:color="auto"/>
            </w:tcBorders>
          </w:tcPr>
          <w:p w14:paraId="37FB65EE" w14:textId="13EDD54A"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(4)   În cazul în care consolidarea este impusă în temeiul articolului 18 alineatul (3) sau (6) din Regulamentul (UE) nr. 575/2013, supravegherea pe bază consolidată se exercită de către autoritatea competentă a instituției de credit cu cel mai mare total al bilanțului sau, în cazul în care grupul nu cuprinde nicio instituție de credit, de către autoritatea competentă a firmei de investiții cu cel mai mare total al bilanțului.</w:t>
            </w:r>
          </w:p>
        </w:tc>
        <w:tc>
          <w:tcPr>
            <w:tcW w:w="1928" w:type="pct"/>
            <w:gridSpan w:val="3"/>
            <w:tcBorders>
              <w:top w:val="single" w:sz="4" w:space="0" w:color="auto"/>
              <w:left w:val="single" w:sz="4" w:space="0" w:color="auto"/>
              <w:bottom w:val="single" w:sz="4" w:space="0" w:color="auto"/>
              <w:right w:val="single" w:sz="4" w:space="0" w:color="auto"/>
            </w:tcBorders>
          </w:tcPr>
          <w:p w14:paraId="1769267A" w14:textId="27FB5EAB" w:rsidR="00984B34" w:rsidRPr="009E686F" w:rsidRDefault="00984B34" w:rsidP="00984B34">
            <w:pPr>
              <w:spacing w:after="0"/>
              <w:jc w:val="both"/>
              <w:rPr>
                <w:rFonts w:ascii="Times New Roman" w:hAnsi="Times New Roman" w:cs="Times New Roman"/>
                <w:b/>
                <w:i/>
                <w:lang w:val="ro-RO"/>
              </w:rPr>
            </w:pPr>
            <w:r w:rsidRPr="009E686F">
              <w:rPr>
                <w:rFonts w:ascii="Times New Roman" w:eastAsia="Aptos" w:hAnsi="Times New Roman" w:cs="Times New Roman"/>
                <w:i/>
                <w:kern w:val="2"/>
                <w:lang w:val="ro-MD"/>
              </w:rPr>
              <w:t>(1</w:t>
            </w:r>
            <w:r w:rsidR="00C51953" w:rsidRPr="009E686F">
              <w:rPr>
                <w:rFonts w:ascii="Times New Roman" w:eastAsia="Aptos" w:hAnsi="Times New Roman" w:cs="Times New Roman"/>
                <w:i/>
                <w:kern w:val="2"/>
                <w:vertAlign w:val="superscript"/>
                <w:lang w:val="ro-MD"/>
              </w:rPr>
              <w:t>5</w:t>
            </w:r>
            <w:r w:rsidRPr="009E686F">
              <w:rPr>
                <w:rFonts w:ascii="Times New Roman" w:eastAsia="Aptos" w:hAnsi="Times New Roman" w:cs="Times New Roman"/>
                <w:i/>
                <w:kern w:val="2"/>
                <w:lang w:val="ro-MD"/>
              </w:rPr>
              <w:t xml:space="preserve">) În cazul în care consolidarea este impusă conform actelor normative ale Băncii Naționale a Moldovei, supravegherea pe bază consolidată se exercită de către Banca Națională a Moldovei dacă aceasta este autoritatea competentă a </w:t>
            </w:r>
            <w:r w:rsidRPr="009E686F">
              <w:rPr>
                <w:rFonts w:ascii="Times New Roman" w:eastAsia="Aptos" w:hAnsi="Times New Roman" w:cs="Times New Roman"/>
                <w:i/>
                <w:iCs/>
                <w:kern w:val="2"/>
                <w:lang w:val="ro-MD"/>
              </w:rPr>
              <w:t>instituției de credit</w:t>
            </w:r>
            <w:r w:rsidRPr="009E686F">
              <w:rPr>
                <w:rFonts w:ascii="Times New Roman" w:eastAsia="Aptos" w:hAnsi="Times New Roman" w:cs="Times New Roman"/>
                <w:i/>
                <w:kern w:val="2"/>
                <w:lang w:val="ro-MD"/>
              </w:rPr>
              <w:t xml:space="preserve"> cu cel mai mare total al bilanțului sau, în cazul în care grupul nu cuprinde nicio </w:t>
            </w:r>
            <w:r w:rsidRPr="009E686F">
              <w:rPr>
                <w:rFonts w:ascii="Times New Roman" w:eastAsia="Aptos" w:hAnsi="Times New Roman" w:cs="Times New Roman"/>
                <w:i/>
                <w:iCs/>
                <w:kern w:val="2"/>
                <w:lang w:val="ro-MD"/>
              </w:rPr>
              <w:t>instituție de credit</w:t>
            </w:r>
            <w:r w:rsidRPr="009E686F">
              <w:rPr>
                <w:rFonts w:ascii="Times New Roman" w:eastAsia="Aptos" w:hAnsi="Times New Roman" w:cs="Times New Roman"/>
                <w:i/>
                <w:kern w:val="2"/>
                <w:lang w:val="ro-MD"/>
              </w:rPr>
              <w:t>, de către autoritatea competentă a firmei de investiții cu cel mai mare total al bilanțului.</w:t>
            </w:r>
          </w:p>
        </w:tc>
        <w:tc>
          <w:tcPr>
            <w:tcW w:w="470" w:type="pct"/>
            <w:tcBorders>
              <w:top w:val="single" w:sz="4" w:space="0" w:color="auto"/>
              <w:left w:val="single" w:sz="4" w:space="0" w:color="auto"/>
              <w:bottom w:val="single" w:sz="4" w:space="0" w:color="auto"/>
              <w:right w:val="single" w:sz="4" w:space="0" w:color="auto"/>
            </w:tcBorders>
          </w:tcPr>
          <w:p w14:paraId="1C4B64CA" w14:textId="77777777"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p w14:paraId="6073DD84" w14:textId="77777777" w:rsidR="00984B34" w:rsidRPr="009E686F" w:rsidRDefault="00984B34" w:rsidP="00984B34">
            <w:pPr>
              <w:jc w:val="both"/>
              <w:rPr>
                <w:rFonts w:ascii="Times New Roman" w:hAnsi="Times New Roman" w:cs="Times New Roman"/>
                <w:lang w:val="ro-RO"/>
              </w:rPr>
            </w:pPr>
          </w:p>
          <w:p w14:paraId="5805FC79" w14:textId="77777777" w:rsidR="00984B34" w:rsidRPr="009E686F" w:rsidRDefault="00984B34" w:rsidP="00984B34">
            <w:pPr>
              <w:jc w:val="both"/>
              <w:rPr>
                <w:rFonts w:ascii="Times New Roman" w:hAnsi="Times New Roman" w:cs="Times New Roman"/>
                <w:lang w:val="ro-RO"/>
              </w:rPr>
            </w:pPr>
          </w:p>
          <w:p w14:paraId="78B3A0E5" w14:textId="77777777" w:rsidR="00984B34" w:rsidRPr="009E686F" w:rsidRDefault="00984B34" w:rsidP="00984B34">
            <w:pPr>
              <w:jc w:val="both"/>
              <w:rPr>
                <w:rFonts w:ascii="Times New Roman" w:hAnsi="Times New Roman" w:cs="Times New Roman"/>
                <w:lang w:val="ro-RO"/>
              </w:rPr>
            </w:pPr>
          </w:p>
          <w:p w14:paraId="1E306376" w14:textId="77777777"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52AA2DB4" w14:textId="77777777" w:rsidR="00984B34" w:rsidRPr="009E686F" w:rsidRDefault="00984B34" w:rsidP="00984B34">
            <w:pPr>
              <w:jc w:val="both"/>
              <w:rPr>
                <w:rFonts w:ascii="Times New Roman" w:hAnsi="Times New Roman" w:cs="Times New Roman"/>
                <w:lang w:val="ro-RO"/>
              </w:rPr>
            </w:pPr>
          </w:p>
        </w:tc>
      </w:tr>
      <w:tr w:rsidR="00984B34" w:rsidRPr="009E686F" w14:paraId="70F24CBD" w14:textId="41D09162" w:rsidTr="00774F3E">
        <w:tc>
          <w:tcPr>
            <w:tcW w:w="1796" w:type="pct"/>
            <w:gridSpan w:val="2"/>
            <w:tcBorders>
              <w:top w:val="single" w:sz="4" w:space="0" w:color="auto"/>
              <w:left w:val="single" w:sz="4" w:space="0" w:color="auto"/>
              <w:bottom w:val="single" w:sz="4" w:space="0" w:color="auto"/>
              <w:right w:val="single" w:sz="4" w:space="0" w:color="auto"/>
            </w:tcBorders>
          </w:tcPr>
          <w:p w14:paraId="6C4D7B04" w14:textId="1777E0AE" w:rsidR="00984B34" w:rsidRPr="009E686F" w:rsidRDefault="00984B34" w:rsidP="00984B34">
            <w:pPr>
              <w:spacing w:after="0"/>
              <w:jc w:val="both"/>
              <w:rPr>
                <w:rFonts w:ascii="Times New Roman" w:hAnsi="Times New Roman" w:cs="Times New Roman"/>
                <w:lang w:val="ro-MD"/>
              </w:rPr>
            </w:pPr>
            <w:r w:rsidRPr="009E686F">
              <w:rPr>
                <w:rFonts w:ascii="Times New Roman" w:hAnsi="Times New Roman" w:cs="Times New Roman"/>
                <w:lang w:val="ro-MD"/>
              </w:rPr>
              <w:t>(5) Prin derogare de la alineatul (1) al treilea paragraf, alineatul (3) litera (b) și alineatul (4), în cazul în care o autoritate competentă supraveghează pe bază individuală mai multe instituții de credit din cadrul unui grup, supraveghetorul consolidant este autoritatea competentă care supraveghează pe bază individuală una sau mai multe instituții de credit din cadrul grupului, în cazul în care suma totalurilor bilanțurilor instituțiilor de credit supravegheate respective este mai mare decât cea corespunzătoare instituțiilor de credit supravegheate pe bază individuală de orice altă autoritate competentă.</w:t>
            </w:r>
          </w:p>
          <w:p w14:paraId="737526A3" w14:textId="33A5B2D0" w:rsidR="00984B34" w:rsidRPr="009E686F" w:rsidRDefault="00984B34" w:rsidP="00984B34">
            <w:pPr>
              <w:spacing w:after="0"/>
              <w:jc w:val="both"/>
              <w:rPr>
                <w:rFonts w:ascii="Times New Roman" w:hAnsi="Times New Roman" w:cs="Times New Roman"/>
                <w:lang w:val="ro-MD"/>
              </w:rPr>
            </w:pPr>
            <w:r w:rsidRPr="009E686F">
              <w:rPr>
                <w:rFonts w:ascii="Times New Roman" w:hAnsi="Times New Roman" w:cs="Times New Roman"/>
                <w:lang w:val="ro-MD"/>
              </w:rPr>
              <w:t>Prin derogare de la alineatul (3) litera (c), în cazul în care o autoritate competentă supraveghează pe bază individuală mai mult de o firmă de investiții din cadrul unui grup, supraveghetorul consolidant este autoritatea competentă care supraveghează pe bază individuală una sau mai multe firme de investiții din cadrul grupului cu cel mai mare total al bilanțului cumulat.</w:t>
            </w:r>
          </w:p>
          <w:p w14:paraId="00C97EC1" w14:textId="6901A4B5" w:rsidR="00984B34" w:rsidRPr="009E686F" w:rsidRDefault="00984B34" w:rsidP="00984B34">
            <w:pPr>
              <w:spacing w:after="0"/>
              <w:jc w:val="both"/>
              <w:rPr>
                <w:rFonts w:ascii="Times New Roman" w:hAnsi="Times New Roman" w:cs="Times New Roman"/>
                <w:lang w:val="ro-RO"/>
              </w:rPr>
            </w:pPr>
          </w:p>
        </w:tc>
        <w:tc>
          <w:tcPr>
            <w:tcW w:w="1928" w:type="pct"/>
            <w:gridSpan w:val="3"/>
            <w:tcBorders>
              <w:top w:val="single" w:sz="4" w:space="0" w:color="auto"/>
              <w:left w:val="single" w:sz="4" w:space="0" w:color="auto"/>
              <w:bottom w:val="single" w:sz="4" w:space="0" w:color="auto"/>
              <w:right w:val="single" w:sz="4" w:space="0" w:color="auto"/>
            </w:tcBorders>
          </w:tcPr>
          <w:p w14:paraId="7D54B9B4" w14:textId="7188698A" w:rsidR="00984B34" w:rsidRPr="009E686F" w:rsidRDefault="00984B34" w:rsidP="00984B34">
            <w:pPr>
              <w:spacing w:after="0"/>
              <w:jc w:val="both"/>
              <w:rPr>
                <w:rFonts w:ascii="Times New Roman" w:eastAsia="Aptos" w:hAnsi="Times New Roman" w:cs="Times New Roman"/>
                <w:i/>
                <w:kern w:val="2"/>
                <w:lang w:val="ro-MD"/>
              </w:rPr>
            </w:pPr>
            <w:r w:rsidRPr="009E686F">
              <w:rPr>
                <w:rFonts w:ascii="Times New Roman" w:eastAsia="Aptos" w:hAnsi="Times New Roman" w:cs="Times New Roman"/>
                <w:i/>
                <w:kern w:val="2"/>
                <w:lang w:val="ro-MD"/>
              </w:rPr>
              <w:t>(1</w:t>
            </w:r>
            <w:r w:rsidR="00C51953" w:rsidRPr="009E686F">
              <w:rPr>
                <w:rFonts w:ascii="Times New Roman" w:eastAsia="Aptos" w:hAnsi="Times New Roman" w:cs="Times New Roman"/>
                <w:i/>
                <w:kern w:val="2"/>
                <w:vertAlign w:val="superscript"/>
                <w:lang w:val="ro-MD"/>
              </w:rPr>
              <w:t>6</w:t>
            </w:r>
            <w:r w:rsidRPr="009E686F">
              <w:rPr>
                <w:rFonts w:ascii="Times New Roman" w:eastAsia="Aptos" w:hAnsi="Times New Roman" w:cs="Times New Roman"/>
                <w:i/>
                <w:kern w:val="2"/>
                <w:lang w:val="ro-MD"/>
              </w:rPr>
              <w:t>) Prin derogare de la alin. (1</w:t>
            </w:r>
            <w:r w:rsidRPr="009E686F">
              <w:rPr>
                <w:rFonts w:ascii="Times New Roman" w:eastAsia="Aptos" w:hAnsi="Times New Roman" w:cs="Times New Roman"/>
                <w:i/>
                <w:kern w:val="2"/>
                <w:vertAlign w:val="superscript"/>
                <w:lang w:val="ro-MD"/>
              </w:rPr>
              <w:t>2</w:t>
            </w:r>
            <w:r w:rsidRPr="009E686F">
              <w:rPr>
                <w:rFonts w:ascii="Times New Roman" w:eastAsia="Aptos" w:hAnsi="Times New Roman" w:cs="Times New Roman"/>
                <w:i/>
                <w:kern w:val="2"/>
                <w:lang w:val="ro-MD"/>
              </w:rPr>
              <w:t>), (1</w:t>
            </w:r>
            <w:r w:rsidRPr="009E686F">
              <w:rPr>
                <w:rFonts w:ascii="Times New Roman" w:eastAsia="Aptos" w:hAnsi="Times New Roman" w:cs="Times New Roman"/>
                <w:i/>
                <w:kern w:val="2"/>
                <w:vertAlign w:val="superscript"/>
                <w:lang w:val="ro-MD"/>
              </w:rPr>
              <w:t>3</w:t>
            </w:r>
            <w:r w:rsidRPr="009E686F">
              <w:rPr>
                <w:rFonts w:ascii="Times New Roman" w:eastAsia="Aptos" w:hAnsi="Times New Roman" w:cs="Times New Roman"/>
                <w:i/>
                <w:kern w:val="2"/>
                <w:lang w:val="ro-MD"/>
              </w:rPr>
              <w:t>) lit. b) și alin. (1</w:t>
            </w:r>
            <w:r w:rsidR="00C51953" w:rsidRPr="009E686F">
              <w:rPr>
                <w:rFonts w:ascii="Times New Roman" w:eastAsia="Aptos" w:hAnsi="Times New Roman" w:cs="Times New Roman"/>
                <w:i/>
                <w:kern w:val="2"/>
                <w:vertAlign w:val="superscript"/>
                <w:lang w:val="ro-MD"/>
              </w:rPr>
              <w:t>5</w:t>
            </w:r>
            <w:r w:rsidRPr="009E686F">
              <w:rPr>
                <w:rFonts w:ascii="Times New Roman" w:eastAsia="Aptos" w:hAnsi="Times New Roman" w:cs="Times New Roman"/>
                <w:i/>
                <w:kern w:val="2"/>
                <w:lang w:val="ro-MD"/>
              </w:rPr>
              <w:t xml:space="preserve">),  în cazul în care Banca Națională a Moldovei supraveghează pe bază individuală mai multe </w:t>
            </w:r>
            <w:r w:rsidRPr="009E686F">
              <w:rPr>
                <w:rFonts w:ascii="Times New Roman" w:eastAsia="Aptos" w:hAnsi="Times New Roman" w:cs="Times New Roman"/>
                <w:i/>
                <w:iCs/>
                <w:kern w:val="2"/>
                <w:lang w:val="ro-MD"/>
              </w:rPr>
              <w:t>instituții de credit</w:t>
            </w:r>
            <w:r w:rsidRPr="009E686F">
              <w:rPr>
                <w:rFonts w:ascii="Times New Roman" w:eastAsia="Aptos" w:hAnsi="Times New Roman" w:cs="Times New Roman"/>
                <w:i/>
                <w:kern w:val="2"/>
                <w:lang w:val="ro-MD"/>
              </w:rPr>
              <w:t xml:space="preserve"> din cadrul unui grup, aceasta este autoritatea competentă care supraveghează pe bază individuală una sau mai multe </w:t>
            </w:r>
            <w:r w:rsidRPr="009E686F">
              <w:rPr>
                <w:rFonts w:ascii="Times New Roman" w:eastAsia="Aptos" w:hAnsi="Times New Roman" w:cs="Times New Roman"/>
                <w:i/>
                <w:iCs/>
                <w:kern w:val="2"/>
                <w:lang w:val="ro-MD"/>
              </w:rPr>
              <w:t>instituții de credit</w:t>
            </w:r>
            <w:r w:rsidRPr="009E686F">
              <w:rPr>
                <w:rFonts w:ascii="Times New Roman" w:eastAsia="Aptos" w:hAnsi="Times New Roman" w:cs="Times New Roman"/>
                <w:i/>
                <w:kern w:val="2"/>
                <w:lang w:val="ro-MD"/>
              </w:rPr>
              <w:t xml:space="preserve"> din cadrul grupului, în cazul în care suma totalurilor bilanțurilor </w:t>
            </w:r>
            <w:r w:rsidRPr="009E686F">
              <w:rPr>
                <w:rFonts w:ascii="Times New Roman" w:eastAsia="Aptos" w:hAnsi="Times New Roman" w:cs="Times New Roman"/>
                <w:i/>
                <w:iCs/>
                <w:kern w:val="2"/>
                <w:lang w:val="ro-MD"/>
              </w:rPr>
              <w:t>instituțiilor de credit</w:t>
            </w:r>
            <w:r w:rsidRPr="009E686F">
              <w:rPr>
                <w:rFonts w:ascii="Times New Roman" w:eastAsia="Aptos" w:hAnsi="Times New Roman" w:cs="Times New Roman"/>
                <w:i/>
                <w:kern w:val="2"/>
                <w:lang w:val="ro-MD"/>
              </w:rPr>
              <w:t xml:space="preserve"> supravegheate respective este mai mare decât cea corespunzătoare </w:t>
            </w:r>
            <w:r w:rsidRPr="009E686F">
              <w:rPr>
                <w:rFonts w:ascii="Times New Roman" w:eastAsia="Aptos" w:hAnsi="Times New Roman" w:cs="Times New Roman"/>
                <w:i/>
                <w:iCs/>
                <w:kern w:val="2"/>
                <w:lang w:val="ro-MD"/>
              </w:rPr>
              <w:t>instituțiilor de credit</w:t>
            </w:r>
            <w:r w:rsidRPr="009E686F">
              <w:rPr>
                <w:rFonts w:ascii="Times New Roman" w:eastAsia="Aptos" w:hAnsi="Times New Roman" w:cs="Times New Roman"/>
                <w:i/>
                <w:kern w:val="2"/>
                <w:lang w:val="ro-MD"/>
              </w:rPr>
              <w:t xml:space="preserve"> supravegheate pe bază individuală de orice altă autoritate competentă.</w:t>
            </w:r>
          </w:p>
          <w:p w14:paraId="24D19667" w14:textId="77777777" w:rsidR="00984B34" w:rsidRPr="009E686F" w:rsidRDefault="00984B34" w:rsidP="00984B34">
            <w:pPr>
              <w:spacing w:after="0"/>
              <w:jc w:val="both"/>
              <w:rPr>
                <w:rFonts w:ascii="Times New Roman" w:eastAsia="Aptos" w:hAnsi="Times New Roman" w:cs="Times New Roman"/>
                <w:i/>
                <w:iCs/>
                <w:kern w:val="2"/>
                <w:lang w:val="ro-MD"/>
              </w:rPr>
            </w:pPr>
          </w:p>
          <w:p w14:paraId="07755649" w14:textId="4F20D589" w:rsidR="00984B34" w:rsidRPr="009E686F" w:rsidRDefault="00984B34" w:rsidP="00984B34">
            <w:pPr>
              <w:spacing w:after="0"/>
              <w:jc w:val="both"/>
              <w:rPr>
                <w:rFonts w:ascii="Times New Roman" w:hAnsi="Times New Roman" w:cs="Times New Roman"/>
                <w:b/>
                <w:i/>
                <w:lang w:val="ro-RO"/>
              </w:rPr>
            </w:pPr>
            <w:r w:rsidRPr="009E686F">
              <w:rPr>
                <w:rFonts w:ascii="Times New Roman" w:eastAsia="Aptos" w:hAnsi="Times New Roman" w:cs="Times New Roman"/>
                <w:i/>
                <w:kern w:val="2"/>
                <w:lang w:val="ro-MD"/>
              </w:rPr>
              <w:t>(1</w:t>
            </w:r>
            <w:r w:rsidR="00C51953" w:rsidRPr="009E686F">
              <w:rPr>
                <w:rFonts w:ascii="Times New Roman" w:eastAsia="Aptos" w:hAnsi="Times New Roman" w:cs="Times New Roman"/>
                <w:i/>
                <w:kern w:val="2"/>
                <w:vertAlign w:val="superscript"/>
                <w:lang w:val="ro-MD"/>
              </w:rPr>
              <w:t>7</w:t>
            </w:r>
            <w:r w:rsidRPr="009E686F">
              <w:rPr>
                <w:rFonts w:ascii="Times New Roman" w:eastAsia="Aptos" w:hAnsi="Times New Roman" w:cs="Times New Roman"/>
                <w:i/>
                <w:kern w:val="2"/>
                <w:lang w:val="ro-MD"/>
              </w:rPr>
              <w:t>) Prin derogare de la alin. (1</w:t>
            </w:r>
            <w:r w:rsidR="00C51953" w:rsidRPr="009E686F">
              <w:rPr>
                <w:rFonts w:ascii="Times New Roman" w:eastAsia="Aptos" w:hAnsi="Times New Roman" w:cs="Times New Roman"/>
                <w:i/>
                <w:kern w:val="2"/>
                <w:vertAlign w:val="superscript"/>
                <w:lang w:val="ro-MD"/>
              </w:rPr>
              <w:t>4</w:t>
            </w:r>
            <w:r w:rsidRPr="009E686F">
              <w:rPr>
                <w:rFonts w:ascii="Times New Roman" w:eastAsia="Aptos" w:hAnsi="Times New Roman" w:cs="Times New Roman"/>
                <w:i/>
                <w:kern w:val="2"/>
                <w:lang w:val="ro-MD"/>
              </w:rPr>
              <w:t xml:space="preserve">) ultima teză, în cazul în care Comisia Națională a Pieței Financiare supraveghează pe bază individuală mai mult de o </w:t>
            </w:r>
            <w:r w:rsidR="00BB7F47" w:rsidRPr="009E686F">
              <w:rPr>
                <w:rFonts w:ascii="Times New Roman" w:eastAsia="Aptos" w:hAnsi="Times New Roman" w:cs="Times New Roman"/>
                <w:i/>
                <w:kern w:val="2"/>
                <w:lang w:val="ro-MD"/>
              </w:rPr>
              <w:t xml:space="preserve">firmă </w:t>
            </w:r>
            <w:r w:rsidRPr="009E686F">
              <w:rPr>
                <w:rFonts w:ascii="Times New Roman" w:eastAsia="Aptos" w:hAnsi="Times New Roman" w:cs="Times New Roman"/>
                <w:i/>
                <w:kern w:val="2"/>
                <w:lang w:val="ro-MD"/>
              </w:rPr>
              <w:t xml:space="preserve">de investiții din cadrul unui grup, supraveghetorul consolidant este autoritatea competentă care supraveghează pe bază individuală una sau mai multe </w:t>
            </w:r>
            <w:r w:rsidR="00BB7F47" w:rsidRPr="009E686F">
              <w:rPr>
                <w:rFonts w:ascii="Times New Roman" w:eastAsia="Aptos" w:hAnsi="Times New Roman" w:cs="Times New Roman"/>
                <w:i/>
                <w:kern w:val="2"/>
                <w:lang w:val="ro-MD"/>
              </w:rPr>
              <w:t xml:space="preserve">firme </w:t>
            </w:r>
            <w:r w:rsidRPr="009E686F">
              <w:rPr>
                <w:rFonts w:ascii="Times New Roman" w:eastAsia="Aptos" w:hAnsi="Times New Roman" w:cs="Times New Roman"/>
                <w:i/>
                <w:kern w:val="2"/>
                <w:lang w:val="ro-MD"/>
              </w:rPr>
              <w:t>de investiții din cadrul grupului cu cel mai mare total al bilanțului cumulat.</w:t>
            </w:r>
          </w:p>
        </w:tc>
        <w:tc>
          <w:tcPr>
            <w:tcW w:w="470" w:type="pct"/>
            <w:tcBorders>
              <w:top w:val="single" w:sz="4" w:space="0" w:color="auto"/>
              <w:left w:val="single" w:sz="4" w:space="0" w:color="auto"/>
              <w:bottom w:val="single" w:sz="4" w:space="0" w:color="auto"/>
              <w:right w:val="single" w:sz="4" w:space="0" w:color="auto"/>
            </w:tcBorders>
          </w:tcPr>
          <w:p w14:paraId="4BDFAD27" w14:textId="77777777"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p w14:paraId="19D08E5D" w14:textId="77777777"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7F7F078F" w14:textId="77777777" w:rsidR="00984B34" w:rsidRPr="009E686F" w:rsidRDefault="00984B34" w:rsidP="00984B34">
            <w:pPr>
              <w:jc w:val="both"/>
              <w:rPr>
                <w:rFonts w:ascii="Times New Roman" w:hAnsi="Times New Roman" w:cs="Times New Roman"/>
                <w:lang w:val="ro-RO"/>
              </w:rPr>
            </w:pPr>
          </w:p>
        </w:tc>
      </w:tr>
      <w:tr w:rsidR="00984B34" w:rsidRPr="009E686F" w14:paraId="4ED47E22"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262E3EC2" w14:textId="499109C2"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(6) În cazuri speciale, autoritățile competente pot, de comun acord, să renunțe la aplicarea criteriilor menționate la alineatele (1), (3) și (4) și să desemneze o altă autoritate </w:t>
            </w:r>
            <w:r w:rsidRPr="009E686F">
              <w:rPr>
                <w:rFonts w:ascii="Times New Roman" w:hAnsi="Times New Roman" w:cs="Times New Roman"/>
                <w:lang w:val="ro-RO"/>
              </w:rPr>
              <w:lastRenderedPageBreak/>
              <w:t xml:space="preserve">competentă pentru a exercita supravegherea pe bază consolidată în cazul în care aplicarea acestora ar fi inadecvată, având în vedere </w:t>
            </w:r>
            <w:r w:rsidRPr="009E686F">
              <w:rPr>
                <w:rFonts w:ascii="Times New Roman" w:hAnsi="Times New Roman" w:cs="Times New Roman"/>
                <w:i/>
                <w:iCs/>
                <w:lang w:val="ro-RO"/>
              </w:rPr>
              <w:t>instituțiile de credit</w:t>
            </w:r>
            <w:r w:rsidRPr="009E686F">
              <w:rPr>
                <w:rFonts w:ascii="Times New Roman" w:hAnsi="Times New Roman" w:cs="Times New Roman"/>
                <w:lang w:val="ro-RO"/>
              </w:rPr>
              <w:t xml:space="preserve"> sau firmele de investiții vizate și importanța relativă a activităților lor din statele membre relevante sau necesitatea de a asigura continuitatea supravegherii pe bază consolidată de către aceeași autoritate competentă. În astfel de cazuri, instituției-mamă din UE, societății financiare holding-mamă din UE, societății financiare holding mixte-mamă din UE sau </w:t>
            </w:r>
            <w:r w:rsidRPr="009E686F">
              <w:rPr>
                <w:rFonts w:ascii="Times New Roman" w:hAnsi="Times New Roman" w:cs="Times New Roman"/>
                <w:i/>
                <w:iCs/>
                <w:lang w:val="ro-RO"/>
              </w:rPr>
              <w:t>instituției de credit</w:t>
            </w:r>
            <w:r w:rsidRPr="009E686F">
              <w:rPr>
                <w:rFonts w:ascii="Times New Roman" w:hAnsi="Times New Roman" w:cs="Times New Roman"/>
                <w:lang w:val="ro-RO"/>
              </w:rPr>
              <w:t xml:space="preserve"> sau firmei de investiții cu cel mai mare total al bilanțului, după caz, i se va acorda ocazia de a-și exprima opinia înainte de luarea deciziei de către autoritățile competente.</w:t>
            </w:r>
          </w:p>
        </w:tc>
        <w:tc>
          <w:tcPr>
            <w:tcW w:w="1928" w:type="pct"/>
            <w:gridSpan w:val="3"/>
            <w:tcBorders>
              <w:top w:val="single" w:sz="4" w:space="0" w:color="auto"/>
              <w:left w:val="single" w:sz="4" w:space="0" w:color="auto"/>
              <w:bottom w:val="single" w:sz="4" w:space="0" w:color="auto"/>
              <w:right w:val="single" w:sz="4" w:space="0" w:color="auto"/>
            </w:tcBorders>
          </w:tcPr>
          <w:p w14:paraId="103A1894" w14:textId="4AB2CAB1" w:rsidR="00984B34" w:rsidRPr="009E686F" w:rsidRDefault="00984B34" w:rsidP="00984B34">
            <w:pPr>
              <w:spacing w:after="0"/>
              <w:jc w:val="both"/>
              <w:rPr>
                <w:rFonts w:ascii="Times New Roman" w:hAnsi="Times New Roman" w:cs="Times New Roman"/>
                <w:b/>
                <w:i/>
                <w:lang w:val="ro-RO"/>
              </w:rPr>
            </w:pPr>
            <w:r w:rsidRPr="009E686F">
              <w:rPr>
                <w:rFonts w:ascii="Times New Roman" w:eastAsia="Aptos" w:hAnsi="Times New Roman" w:cs="Times New Roman"/>
                <w:i/>
                <w:kern w:val="2"/>
                <w:lang w:val="ro-MD"/>
              </w:rPr>
              <w:lastRenderedPageBreak/>
              <w:t>(1</w:t>
            </w:r>
            <w:r w:rsidR="00C51953" w:rsidRPr="009E686F">
              <w:rPr>
                <w:rFonts w:ascii="Times New Roman" w:eastAsia="Aptos" w:hAnsi="Times New Roman" w:cs="Times New Roman"/>
                <w:i/>
                <w:kern w:val="2"/>
                <w:vertAlign w:val="superscript"/>
                <w:lang w:val="ro-MD"/>
              </w:rPr>
              <w:t>8</w:t>
            </w:r>
            <w:r w:rsidRPr="009E686F">
              <w:rPr>
                <w:rFonts w:ascii="Times New Roman" w:eastAsia="Aptos" w:hAnsi="Times New Roman" w:cs="Times New Roman"/>
                <w:i/>
                <w:kern w:val="2"/>
                <w:lang w:val="ro-MD"/>
              </w:rPr>
              <w:t>) În cazuri speciale, Banca Națională a Moldovei poate, de comun acord cu  autorit</w:t>
            </w:r>
            <w:r w:rsidRPr="009E686F">
              <w:rPr>
                <w:rFonts w:ascii="Times New Roman" w:eastAsia="Aptos" w:hAnsi="Times New Roman" w:cs="Times New Roman"/>
                <w:i/>
                <w:kern w:val="2"/>
                <w:lang w:val="ro-RO"/>
              </w:rPr>
              <w:t>ățile competente din Republica Moldova sau din alte state membre</w:t>
            </w:r>
            <w:r w:rsidRPr="009E686F">
              <w:rPr>
                <w:rFonts w:ascii="Times New Roman" w:eastAsia="Aptos" w:hAnsi="Times New Roman" w:cs="Times New Roman"/>
                <w:i/>
                <w:kern w:val="2"/>
                <w:lang w:val="ro-MD"/>
              </w:rPr>
              <w:t xml:space="preserve">, să renunțe la aplicarea criteriilor </w:t>
            </w:r>
            <w:r w:rsidRPr="009E686F">
              <w:rPr>
                <w:rFonts w:ascii="Times New Roman" w:eastAsia="Aptos" w:hAnsi="Times New Roman" w:cs="Times New Roman"/>
                <w:i/>
                <w:kern w:val="2"/>
                <w:lang w:val="ro-MD"/>
              </w:rPr>
              <w:lastRenderedPageBreak/>
              <w:t>menționate la alin. (1) lit. a), alin. (1</w:t>
            </w:r>
            <w:r w:rsidRPr="009E686F">
              <w:rPr>
                <w:rFonts w:ascii="Times New Roman" w:eastAsia="Aptos" w:hAnsi="Times New Roman" w:cs="Times New Roman"/>
                <w:i/>
                <w:kern w:val="2"/>
                <w:vertAlign w:val="superscript"/>
                <w:lang w:val="ro-MD"/>
              </w:rPr>
              <w:t>1</w:t>
            </w:r>
            <w:r w:rsidRPr="009E686F">
              <w:rPr>
                <w:rFonts w:ascii="Times New Roman" w:eastAsia="Aptos" w:hAnsi="Times New Roman" w:cs="Times New Roman"/>
                <w:i/>
                <w:kern w:val="2"/>
                <w:lang w:val="ro-MD"/>
              </w:rPr>
              <w:t>), (1</w:t>
            </w:r>
            <w:r w:rsidRPr="009E686F">
              <w:rPr>
                <w:rFonts w:ascii="Times New Roman" w:eastAsia="Aptos" w:hAnsi="Times New Roman" w:cs="Times New Roman"/>
                <w:i/>
                <w:kern w:val="2"/>
                <w:vertAlign w:val="superscript"/>
                <w:lang w:val="ro-MD"/>
              </w:rPr>
              <w:t>3</w:t>
            </w:r>
            <w:r w:rsidRPr="009E686F">
              <w:rPr>
                <w:rFonts w:ascii="Times New Roman" w:eastAsia="Aptos" w:hAnsi="Times New Roman" w:cs="Times New Roman"/>
                <w:i/>
                <w:kern w:val="2"/>
                <w:lang w:val="ro-MD"/>
              </w:rPr>
              <w:t>) și (1</w:t>
            </w:r>
            <w:r w:rsidR="00C51953" w:rsidRPr="009E686F">
              <w:rPr>
                <w:rFonts w:ascii="Times New Roman" w:eastAsia="Aptos" w:hAnsi="Times New Roman" w:cs="Times New Roman"/>
                <w:i/>
                <w:kern w:val="2"/>
                <w:vertAlign w:val="superscript"/>
                <w:lang w:val="ro-MD"/>
              </w:rPr>
              <w:t>5</w:t>
            </w:r>
            <w:r w:rsidRPr="009E686F">
              <w:rPr>
                <w:rFonts w:ascii="Times New Roman" w:eastAsia="Aptos" w:hAnsi="Times New Roman" w:cs="Times New Roman"/>
                <w:i/>
                <w:kern w:val="2"/>
                <w:lang w:val="ro-MD"/>
              </w:rPr>
              <w:t xml:space="preserve">) și să desemneze o altă autoritate responsabilă pentru a exercita supravegherea pe bază consolidată în cazul în care aplicarea acestora ar fi inadecvată, având în vedere </w:t>
            </w:r>
            <w:r w:rsidRPr="009E686F">
              <w:rPr>
                <w:rFonts w:ascii="Times New Roman" w:eastAsia="Aptos" w:hAnsi="Times New Roman" w:cs="Times New Roman"/>
                <w:i/>
                <w:iCs/>
                <w:kern w:val="2"/>
                <w:lang w:val="ro-MD"/>
              </w:rPr>
              <w:t>instituțiile de credit</w:t>
            </w:r>
            <w:r w:rsidRPr="009E686F">
              <w:rPr>
                <w:rFonts w:ascii="Times New Roman" w:eastAsia="Aptos" w:hAnsi="Times New Roman" w:cs="Times New Roman"/>
                <w:i/>
                <w:kern w:val="2"/>
                <w:lang w:val="ro-MD"/>
              </w:rPr>
              <w:t xml:space="preserve"> sau </w:t>
            </w:r>
            <w:r w:rsidR="00BB7F47" w:rsidRPr="009E686F">
              <w:rPr>
                <w:rFonts w:ascii="Times New Roman" w:eastAsia="Aptos" w:hAnsi="Times New Roman" w:cs="Times New Roman"/>
                <w:i/>
                <w:kern w:val="2"/>
                <w:lang w:val="ro-MD"/>
              </w:rPr>
              <w:t xml:space="preserve">firmele </w:t>
            </w:r>
            <w:r w:rsidRPr="009E686F">
              <w:rPr>
                <w:rFonts w:ascii="Times New Roman" w:eastAsia="Aptos" w:hAnsi="Times New Roman" w:cs="Times New Roman"/>
                <w:i/>
                <w:kern w:val="2"/>
                <w:lang w:val="ro-MD"/>
              </w:rPr>
              <w:t xml:space="preserve">de investiții vizate și importanța relativă a activităților lor din Republica Moldova sau necesitatea de a asigura continuitatea supravegherii pe bază consolidată de către aceeași autoritate competentă. În astfel de cazuri, </w:t>
            </w:r>
            <w:r w:rsidRPr="009E686F">
              <w:rPr>
                <w:rFonts w:ascii="Times New Roman" w:eastAsia="Aptos" w:hAnsi="Times New Roman" w:cs="Times New Roman"/>
                <w:i/>
                <w:iCs/>
                <w:kern w:val="2"/>
                <w:lang w:val="ro-MD"/>
              </w:rPr>
              <w:t>instituției de credit</w:t>
            </w:r>
            <w:r w:rsidRPr="009E686F">
              <w:rPr>
                <w:rFonts w:ascii="Times New Roman" w:eastAsia="Aptos" w:hAnsi="Times New Roman" w:cs="Times New Roman"/>
                <w:i/>
                <w:kern w:val="2"/>
                <w:lang w:val="ro-MD"/>
              </w:rPr>
              <w:t xml:space="preserve"> -mamă din UE, societății financiare holding-mamă din UE, societății financiare holding mixte-mamă din UE sau </w:t>
            </w:r>
            <w:r w:rsidRPr="009E686F">
              <w:rPr>
                <w:rFonts w:ascii="Times New Roman" w:eastAsia="Aptos" w:hAnsi="Times New Roman" w:cs="Times New Roman"/>
                <w:i/>
                <w:iCs/>
                <w:kern w:val="2"/>
                <w:lang w:val="ro-MD"/>
              </w:rPr>
              <w:t>instituției de credit</w:t>
            </w:r>
            <w:r w:rsidRPr="009E686F">
              <w:rPr>
                <w:rFonts w:ascii="Times New Roman" w:eastAsia="Aptos" w:hAnsi="Times New Roman" w:cs="Times New Roman"/>
                <w:i/>
                <w:kern w:val="2"/>
                <w:lang w:val="ro-MD"/>
              </w:rPr>
              <w:t xml:space="preserve"> sau </w:t>
            </w:r>
            <w:r w:rsidR="00BB7F47" w:rsidRPr="009E686F">
              <w:rPr>
                <w:rFonts w:ascii="Times New Roman" w:eastAsia="Aptos" w:hAnsi="Times New Roman" w:cs="Times New Roman"/>
                <w:i/>
                <w:kern w:val="2"/>
                <w:lang w:val="ro-MD"/>
              </w:rPr>
              <w:t xml:space="preserve">firme </w:t>
            </w:r>
            <w:r w:rsidRPr="009E686F">
              <w:rPr>
                <w:rFonts w:ascii="Times New Roman" w:eastAsia="Aptos" w:hAnsi="Times New Roman" w:cs="Times New Roman"/>
                <w:i/>
                <w:kern w:val="2"/>
                <w:lang w:val="ro-MD"/>
              </w:rPr>
              <w:t>de investiții cu cel mai mare total al bilanțului, după caz, va putea să își exprime opinia înainte de luarea deciziei de către Banca Națională a Moldovei împreună cu autoritățile competente relevante.</w:t>
            </w:r>
          </w:p>
        </w:tc>
        <w:tc>
          <w:tcPr>
            <w:tcW w:w="470" w:type="pct"/>
            <w:tcBorders>
              <w:top w:val="single" w:sz="4" w:space="0" w:color="auto"/>
              <w:left w:val="single" w:sz="4" w:space="0" w:color="auto"/>
              <w:bottom w:val="single" w:sz="4" w:space="0" w:color="auto"/>
              <w:right w:val="single" w:sz="4" w:space="0" w:color="auto"/>
            </w:tcBorders>
          </w:tcPr>
          <w:p w14:paraId="371402AF" w14:textId="77777777"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lastRenderedPageBreak/>
              <w:t>Compatibil</w:t>
            </w:r>
          </w:p>
          <w:p w14:paraId="1FCD9F03" w14:textId="77777777"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2E5A073D" w14:textId="77777777" w:rsidR="00984B34" w:rsidRPr="009E686F" w:rsidRDefault="00984B34" w:rsidP="00984B34">
            <w:pPr>
              <w:jc w:val="both"/>
              <w:rPr>
                <w:rFonts w:ascii="Times New Roman" w:hAnsi="Times New Roman" w:cs="Times New Roman"/>
                <w:lang w:val="ro-RO"/>
              </w:rPr>
            </w:pPr>
          </w:p>
        </w:tc>
      </w:tr>
      <w:tr w:rsidR="00984B34" w:rsidRPr="009E686F" w14:paraId="3427C6A2" w14:textId="62C48D64" w:rsidTr="00774F3E">
        <w:tc>
          <w:tcPr>
            <w:tcW w:w="1796" w:type="pct"/>
            <w:gridSpan w:val="2"/>
            <w:tcBorders>
              <w:top w:val="single" w:sz="4" w:space="0" w:color="auto"/>
              <w:left w:val="single" w:sz="4" w:space="0" w:color="auto"/>
              <w:bottom w:val="single" w:sz="4" w:space="0" w:color="auto"/>
              <w:right w:val="single" w:sz="4" w:space="0" w:color="auto"/>
            </w:tcBorders>
          </w:tcPr>
          <w:p w14:paraId="5FCA8533" w14:textId="6E21D930"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(7) Autoritățile competente adresează fără întârziere o notificare Comisiei și ABE cu privire la orice acord care intră sub incidența alineatului (6).</w:t>
            </w:r>
          </w:p>
        </w:tc>
        <w:tc>
          <w:tcPr>
            <w:tcW w:w="1928" w:type="pct"/>
            <w:gridSpan w:val="3"/>
            <w:tcBorders>
              <w:top w:val="single" w:sz="4" w:space="0" w:color="auto"/>
              <w:left w:val="single" w:sz="4" w:space="0" w:color="auto"/>
              <w:bottom w:val="single" w:sz="4" w:space="0" w:color="auto"/>
              <w:right w:val="single" w:sz="4" w:space="0" w:color="auto"/>
            </w:tcBorders>
          </w:tcPr>
          <w:p w14:paraId="74E6931D" w14:textId="32B32272" w:rsidR="00984B34" w:rsidRPr="009E686F" w:rsidRDefault="00984B34" w:rsidP="00984B34">
            <w:pPr>
              <w:spacing w:after="0"/>
              <w:jc w:val="both"/>
              <w:rPr>
                <w:rFonts w:ascii="Times New Roman" w:hAnsi="Times New Roman" w:cs="Times New Roman"/>
                <w:b/>
                <w:i/>
                <w:lang w:val="ro-RO"/>
              </w:rPr>
            </w:pPr>
            <w:r w:rsidRPr="009E686F">
              <w:rPr>
                <w:rFonts w:ascii="Times New Roman" w:eastAsia="Aptos" w:hAnsi="Times New Roman" w:cs="Times New Roman"/>
                <w:i/>
                <w:kern w:val="2"/>
                <w:lang w:val="ro-MD"/>
              </w:rPr>
              <w:t>(1</w:t>
            </w:r>
            <w:r w:rsidR="00C51953" w:rsidRPr="009E686F">
              <w:rPr>
                <w:rFonts w:ascii="Times New Roman" w:eastAsia="Aptos" w:hAnsi="Times New Roman" w:cs="Times New Roman"/>
                <w:i/>
                <w:kern w:val="2"/>
                <w:vertAlign w:val="superscript"/>
                <w:lang w:val="ro-MD"/>
              </w:rPr>
              <w:t>9</w:t>
            </w:r>
            <w:r w:rsidRPr="009E686F">
              <w:rPr>
                <w:rFonts w:ascii="Times New Roman" w:eastAsia="Aptos" w:hAnsi="Times New Roman" w:cs="Times New Roman"/>
                <w:i/>
                <w:kern w:val="2"/>
                <w:lang w:val="ro-MD"/>
              </w:rPr>
              <w:t>) Banca Națională a Moldovei, împreună cu autoritățile competente relevante, notifică, fără întârziere, Comisia și Autoritatea Bancară Europeană cu privire la orice acord prevăzut de alin. (1</w:t>
            </w:r>
            <w:r w:rsidRPr="009E686F">
              <w:rPr>
                <w:rFonts w:ascii="Times New Roman" w:eastAsia="Aptos" w:hAnsi="Times New Roman" w:cs="Times New Roman"/>
                <w:i/>
                <w:kern w:val="2"/>
                <w:vertAlign w:val="superscript"/>
                <w:lang w:val="ro-MD"/>
              </w:rPr>
              <w:t>7</w:t>
            </w:r>
            <w:r w:rsidRPr="009E686F">
              <w:rPr>
                <w:rFonts w:ascii="Times New Roman" w:eastAsia="Aptos" w:hAnsi="Times New Roman" w:cs="Times New Roman"/>
                <w:i/>
                <w:kern w:val="2"/>
                <w:lang w:val="ro-MD"/>
              </w:rPr>
              <w:t xml:space="preserve">).  </w:t>
            </w:r>
          </w:p>
        </w:tc>
        <w:tc>
          <w:tcPr>
            <w:tcW w:w="470" w:type="pct"/>
            <w:tcBorders>
              <w:top w:val="single" w:sz="4" w:space="0" w:color="auto"/>
              <w:left w:val="single" w:sz="4" w:space="0" w:color="auto"/>
              <w:bottom w:val="single" w:sz="4" w:space="0" w:color="auto"/>
              <w:right w:val="single" w:sz="4" w:space="0" w:color="auto"/>
            </w:tcBorders>
          </w:tcPr>
          <w:p w14:paraId="5DCD3270" w14:textId="77777777"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p w14:paraId="4CA6C030" w14:textId="01FD9917"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2EFB3D0D" w14:textId="1A172098" w:rsidR="00984B34" w:rsidRPr="009E686F" w:rsidRDefault="0004461B" w:rsidP="00984B34">
            <w:pPr>
              <w:jc w:val="both"/>
              <w:rPr>
                <w:rFonts w:ascii="Times New Roman" w:hAnsi="Times New Roman" w:cs="Times New Roman"/>
                <w:lang w:val="ro-RO"/>
              </w:rPr>
            </w:pPr>
            <w:r w:rsidRPr="009E686F">
              <w:rPr>
                <w:rFonts w:ascii="Times New Roman" w:hAnsi="Times New Roman" w:cs="Times New Roman"/>
                <w:lang w:val="ro-RO"/>
              </w:rPr>
              <w:t>În vigoare – la data aderării.</w:t>
            </w:r>
          </w:p>
        </w:tc>
      </w:tr>
      <w:tr w:rsidR="00984B34" w:rsidRPr="009E686F" w14:paraId="007A7518" w14:textId="74C98EFA" w:rsidTr="00774F3E">
        <w:tc>
          <w:tcPr>
            <w:tcW w:w="1796" w:type="pct"/>
            <w:gridSpan w:val="2"/>
            <w:tcBorders>
              <w:top w:val="single" w:sz="4" w:space="0" w:color="auto"/>
              <w:left w:val="single" w:sz="4" w:space="0" w:color="auto"/>
              <w:bottom w:val="single" w:sz="4" w:space="0" w:color="auto"/>
              <w:right w:val="single" w:sz="4" w:space="0" w:color="auto"/>
            </w:tcBorders>
          </w:tcPr>
          <w:p w14:paraId="31B46C5D" w14:textId="77777777" w:rsidR="00984B34" w:rsidRPr="009E686F" w:rsidRDefault="00984B34" w:rsidP="00984B34">
            <w:pPr>
              <w:spacing w:after="0"/>
              <w:jc w:val="both"/>
              <w:rPr>
                <w:rFonts w:ascii="Times New Roman" w:hAnsi="Times New Roman" w:cs="Times New Roman"/>
                <w:i/>
                <w:iCs/>
                <w:lang w:val="ro-RO"/>
              </w:rPr>
            </w:pPr>
            <w:r w:rsidRPr="009E686F">
              <w:rPr>
                <w:rFonts w:ascii="Times New Roman" w:hAnsi="Times New Roman" w:cs="Times New Roman"/>
                <w:i/>
                <w:lang w:val="ro-RO"/>
              </w:rPr>
              <w:t xml:space="preserve">Articolul 112 </w:t>
            </w:r>
          </w:p>
          <w:p w14:paraId="0211ED67" w14:textId="1783ADEF"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Coordonarea activităților de supraveghere de către autoritatea responsabilă cu supravegherea consolidată</w:t>
            </w:r>
          </w:p>
        </w:tc>
        <w:tc>
          <w:tcPr>
            <w:tcW w:w="1928" w:type="pct"/>
            <w:gridSpan w:val="3"/>
            <w:tcBorders>
              <w:top w:val="single" w:sz="4" w:space="0" w:color="auto"/>
              <w:left w:val="single" w:sz="4" w:space="0" w:color="auto"/>
              <w:bottom w:val="single" w:sz="4" w:space="0" w:color="auto"/>
              <w:right w:val="single" w:sz="4" w:space="0" w:color="auto"/>
            </w:tcBorders>
          </w:tcPr>
          <w:p w14:paraId="039EF1AE" w14:textId="77777777" w:rsidR="00984B34" w:rsidRPr="009E686F" w:rsidRDefault="00984B34" w:rsidP="00984B34">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b/>
                <w:bCs/>
                <w:kern w:val="2"/>
                <w:lang w:val="ro-MD"/>
              </w:rPr>
              <w:t>Articolul 110.</w:t>
            </w:r>
            <w:r w:rsidRPr="009E686F">
              <w:rPr>
                <w:rFonts w:ascii="Times New Roman" w:eastAsia="Aptos" w:hAnsi="Times New Roman" w:cs="Times New Roman"/>
                <w:kern w:val="2"/>
                <w:lang w:val="ro-MD"/>
              </w:rPr>
              <w:t xml:space="preserve"> Coordonarea activităţilor de supraveghere </w:t>
            </w:r>
            <w:r w:rsidRPr="009E686F">
              <w:rPr>
                <w:rFonts w:ascii="Times New Roman" w:eastAsia="Aptos" w:hAnsi="Times New Roman" w:cs="Times New Roman"/>
                <w:i/>
                <w:kern w:val="2"/>
                <w:lang w:val="ro-MD"/>
              </w:rPr>
              <w:t>și cerințe de informare în situații de urgență</w:t>
            </w:r>
          </w:p>
          <w:p w14:paraId="51098BA8"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763F966B" w14:textId="42C78361"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02981830" w14:textId="77777777" w:rsidR="00984B34" w:rsidRPr="009E686F" w:rsidRDefault="00984B34" w:rsidP="00984B34">
            <w:pPr>
              <w:jc w:val="both"/>
              <w:rPr>
                <w:rFonts w:ascii="Times New Roman" w:hAnsi="Times New Roman" w:cs="Times New Roman"/>
                <w:lang w:val="ro-RO"/>
              </w:rPr>
            </w:pPr>
          </w:p>
        </w:tc>
      </w:tr>
      <w:tr w:rsidR="00984B34" w:rsidRPr="009E686F" w14:paraId="6589700D" w14:textId="684C5D27" w:rsidTr="00774F3E">
        <w:tc>
          <w:tcPr>
            <w:tcW w:w="1796" w:type="pct"/>
            <w:gridSpan w:val="2"/>
            <w:tcBorders>
              <w:top w:val="single" w:sz="4" w:space="0" w:color="auto"/>
              <w:left w:val="single" w:sz="4" w:space="0" w:color="auto"/>
              <w:bottom w:val="single" w:sz="4" w:space="0" w:color="auto"/>
              <w:right w:val="single" w:sz="4" w:space="0" w:color="auto"/>
            </w:tcBorders>
          </w:tcPr>
          <w:p w14:paraId="6FEE3BE7" w14:textId="1C14E51B"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(1) Pe lângă obligațiile care îi revin în conformitate cu prezenta directive și cu Regulamentul (UE) nr. 575/2013, autoritatea responsabilă cu supravegherea consolidată îndeplinește următoarele atribuții:</w:t>
            </w:r>
          </w:p>
        </w:tc>
        <w:tc>
          <w:tcPr>
            <w:tcW w:w="1928" w:type="pct"/>
            <w:gridSpan w:val="3"/>
            <w:tcBorders>
              <w:top w:val="single" w:sz="4" w:space="0" w:color="auto"/>
              <w:left w:val="single" w:sz="4" w:space="0" w:color="auto"/>
              <w:bottom w:val="single" w:sz="4" w:space="0" w:color="auto"/>
              <w:right w:val="single" w:sz="4" w:space="0" w:color="auto"/>
            </w:tcBorders>
          </w:tcPr>
          <w:p w14:paraId="52D24E03" w14:textId="054D8CE5"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lang w:val="ro-RO"/>
              </w:rPr>
              <w:t>(1) Pe lângă obligațiile care îi revin Băncii Naționale a Moldovei în conformitate cu prezenta lege, aceasta în calitate de supraveghetor consolidant</w:t>
            </w:r>
            <w:r w:rsidRPr="009E686F" w:rsidDel="00D363BF">
              <w:rPr>
                <w:rFonts w:ascii="Times New Roman" w:hAnsi="Times New Roman" w:cs="Times New Roman"/>
                <w:lang w:val="ro-RO"/>
              </w:rPr>
              <w:t xml:space="preserve"> </w:t>
            </w:r>
            <w:r w:rsidRPr="009E686F">
              <w:rPr>
                <w:rFonts w:ascii="Times New Roman" w:hAnsi="Times New Roman" w:cs="Times New Roman"/>
                <w:lang w:val="ro-RO"/>
              </w:rPr>
              <w:t>îndeplinește următoarele atribuții în mod direct și/sau prin încheierea acordurilor de colaborare:</w:t>
            </w:r>
          </w:p>
        </w:tc>
        <w:tc>
          <w:tcPr>
            <w:tcW w:w="470" w:type="pct"/>
            <w:tcBorders>
              <w:top w:val="single" w:sz="4" w:space="0" w:color="auto"/>
              <w:left w:val="single" w:sz="4" w:space="0" w:color="auto"/>
              <w:bottom w:val="single" w:sz="4" w:space="0" w:color="auto"/>
              <w:right w:val="single" w:sz="4" w:space="0" w:color="auto"/>
            </w:tcBorders>
          </w:tcPr>
          <w:p w14:paraId="6907A673" w14:textId="1A5EA482"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21FCBC52" w14:textId="77777777" w:rsidR="00984B34" w:rsidRPr="009E686F" w:rsidRDefault="00984B34" w:rsidP="00984B34">
            <w:pPr>
              <w:jc w:val="both"/>
              <w:rPr>
                <w:rFonts w:ascii="Times New Roman" w:hAnsi="Times New Roman" w:cs="Times New Roman"/>
                <w:lang w:val="ro-RO"/>
              </w:rPr>
            </w:pPr>
          </w:p>
        </w:tc>
      </w:tr>
      <w:tr w:rsidR="00984B34" w:rsidRPr="009E686F" w14:paraId="5D1D3C9A" w14:textId="641D5121" w:rsidTr="00774F3E">
        <w:tc>
          <w:tcPr>
            <w:tcW w:w="1796" w:type="pct"/>
            <w:gridSpan w:val="2"/>
            <w:tcBorders>
              <w:top w:val="single" w:sz="4" w:space="0" w:color="auto"/>
              <w:left w:val="single" w:sz="4" w:space="0" w:color="auto"/>
              <w:bottom w:val="single" w:sz="4" w:space="0" w:color="auto"/>
              <w:right w:val="single" w:sz="4" w:space="0" w:color="auto"/>
            </w:tcBorders>
          </w:tcPr>
          <w:p w14:paraId="67CA13C7" w14:textId="75E75B2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(a) coordonarea colectării și difuzării de informații relevante sau esențiale în situațiile obișnuite și în cele de urgență;</w:t>
            </w:r>
          </w:p>
        </w:tc>
        <w:tc>
          <w:tcPr>
            <w:tcW w:w="1928" w:type="pct"/>
            <w:gridSpan w:val="3"/>
            <w:tcBorders>
              <w:top w:val="single" w:sz="4" w:space="0" w:color="auto"/>
              <w:left w:val="single" w:sz="4" w:space="0" w:color="auto"/>
              <w:bottom w:val="single" w:sz="4" w:space="0" w:color="auto"/>
              <w:right w:val="single" w:sz="4" w:space="0" w:color="auto"/>
            </w:tcBorders>
          </w:tcPr>
          <w:p w14:paraId="086898C0" w14:textId="6243BFD6"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a) coordonează colectarea și difuzarea de informații  relevante sau esențiale în situațiile obișnuite și cele de urgență;</w:t>
            </w:r>
          </w:p>
        </w:tc>
        <w:tc>
          <w:tcPr>
            <w:tcW w:w="470" w:type="pct"/>
            <w:tcBorders>
              <w:top w:val="single" w:sz="4" w:space="0" w:color="auto"/>
              <w:left w:val="single" w:sz="4" w:space="0" w:color="auto"/>
              <w:bottom w:val="single" w:sz="4" w:space="0" w:color="auto"/>
              <w:right w:val="single" w:sz="4" w:space="0" w:color="auto"/>
            </w:tcBorders>
          </w:tcPr>
          <w:p w14:paraId="2FB8BC51" w14:textId="3BD9D8E2"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34E01143" w14:textId="77777777" w:rsidR="00984B34" w:rsidRPr="009E686F" w:rsidRDefault="00984B34" w:rsidP="00984B34">
            <w:pPr>
              <w:jc w:val="both"/>
              <w:rPr>
                <w:rFonts w:ascii="Times New Roman" w:hAnsi="Times New Roman" w:cs="Times New Roman"/>
                <w:lang w:val="ro-RO"/>
              </w:rPr>
            </w:pPr>
          </w:p>
        </w:tc>
      </w:tr>
      <w:tr w:rsidR="00984B34" w:rsidRPr="009E686F" w14:paraId="5C26D7C2" w14:textId="48EF3121" w:rsidTr="00774F3E">
        <w:tc>
          <w:tcPr>
            <w:tcW w:w="1796" w:type="pct"/>
            <w:gridSpan w:val="2"/>
            <w:tcBorders>
              <w:top w:val="single" w:sz="4" w:space="0" w:color="auto"/>
              <w:left w:val="single" w:sz="4" w:space="0" w:color="auto"/>
              <w:bottom w:val="single" w:sz="4" w:space="0" w:color="auto"/>
              <w:right w:val="single" w:sz="4" w:space="0" w:color="auto"/>
            </w:tcBorders>
          </w:tcPr>
          <w:p w14:paraId="422A5FBE" w14:textId="46B51EBB"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(b) planificarea și coordonarea activităților de supraveghere în situațiile obișnuite, inclusiv în ceea ce privește activitățile menționate la titlul VII capitolul 3, în cooperare cu autoritățile competente implicate;</w:t>
            </w:r>
          </w:p>
        </w:tc>
        <w:tc>
          <w:tcPr>
            <w:tcW w:w="1928" w:type="pct"/>
            <w:gridSpan w:val="3"/>
            <w:tcBorders>
              <w:top w:val="single" w:sz="4" w:space="0" w:color="auto"/>
              <w:left w:val="single" w:sz="4" w:space="0" w:color="auto"/>
              <w:bottom w:val="single" w:sz="4" w:space="0" w:color="auto"/>
              <w:right w:val="single" w:sz="4" w:space="0" w:color="auto"/>
            </w:tcBorders>
          </w:tcPr>
          <w:p w14:paraId="38094DDB" w14:textId="77777777" w:rsidR="00984B34" w:rsidRPr="009E686F" w:rsidRDefault="00984B34" w:rsidP="00984B34">
            <w:pPr>
              <w:spacing w:after="0" w:line="240" w:lineRule="auto"/>
              <w:jc w:val="both"/>
              <w:rPr>
                <w:rFonts w:ascii="Times New Roman" w:hAnsi="Times New Roman" w:cs="Times New Roman"/>
                <w:lang w:val="ro-RO"/>
              </w:rPr>
            </w:pPr>
            <w:r w:rsidRPr="009E686F">
              <w:rPr>
                <w:rFonts w:ascii="Times New Roman" w:hAnsi="Times New Roman" w:cs="Times New Roman"/>
                <w:lang w:val="ro-RO"/>
              </w:rPr>
              <w:t>b) planifică și coordonează activitățile de supraveghere în situațiile obișnuite, inclusiv în ceea ce privește activitățile menționate la prezentul capitol, în cooperare cu autoritățile competente implicate;</w:t>
            </w:r>
          </w:p>
          <w:p w14:paraId="57FC8DEB"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0EDD5587" w14:textId="43707A4C"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75893C78" w14:textId="77777777" w:rsidR="00984B34" w:rsidRPr="009E686F" w:rsidRDefault="00984B34" w:rsidP="00984B34">
            <w:pPr>
              <w:jc w:val="both"/>
              <w:rPr>
                <w:rFonts w:ascii="Times New Roman" w:hAnsi="Times New Roman" w:cs="Times New Roman"/>
                <w:lang w:val="ro-RO"/>
              </w:rPr>
            </w:pPr>
          </w:p>
        </w:tc>
      </w:tr>
      <w:tr w:rsidR="00984B34" w:rsidRPr="009E686F" w14:paraId="33658BDC" w14:textId="7DEB1841" w:rsidTr="00774F3E">
        <w:tc>
          <w:tcPr>
            <w:tcW w:w="1796" w:type="pct"/>
            <w:gridSpan w:val="2"/>
            <w:tcBorders>
              <w:top w:val="single" w:sz="4" w:space="0" w:color="auto"/>
              <w:left w:val="single" w:sz="4" w:space="0" w:color="auto"/>
              <w:bottom w:val="single" w:sz="4" w:space="0" w:color="auto"/>
              <w:right w:val="single" w:sz="4" w:space="0" w:color="auto"/>
            </w:tcBorders>
          </w:tcPr>
          <w:p w14:paraId="26FF2D46" w14:textId="3AB835F3"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(c) planificarea și coordonarea activităților de supraveghere, în cooperare cu autoritățile competente implicate </w:t>
            </w:r>
            <w:bookmarkStart w:id="40" w:name="_Hlk205985747"/>
            <w:r w:rsidRPr="009E686F">
              <w:rPr>
                <w:rFonts w:ascii="Times New Roman" w:hAnsi="Times New Roman" w:cs="Times New Roman"/>
                <w:lang w:val="ro-RO"/>
              </w:rPr>
              <w:t>și, dacă este necesar, cu băncile centrale din cadrul SEBC</w:t>
            </w:r>
            <w:bookmarkEnd w:id="40"/>
            <w:r w:rsidRPr="009E686F">
              <w:rPr>
                <w:rFonts w:ascii="Times New Roman" w:hAnsi="Times New Roman" w:cs="Times New Roman"/>
                <w:lang w:val="ro-RO"/>
              </w:rPr>
              <w:t>, pentru pregătirea pentru situații de urgență și în situațiile de urgență, inclusiv evoluțiile negative din cadrul instituțiilor sau de pe piețele financiare, utilizând, acolo unde este posibil, căile de comunicare existente pentru a facilita gestionarea crizelor.</w:t>
            </w:r>
          </w:p>
        </w:tc>
        <w:tc>
          <w:tcPr>
            <w:tcW w:w="1928" w:type="pct"/>
            <w:gridSpan w:val="3"/>
            <w:tcBorders>
              <w:top w:val="single" w:sz="4" w:space="0" w:color="auto"/>
              <w:left w:val="single" w:sz="4" w:space="0" w:color="auto"/>
              <w:bottom w:val="single" w:sz="4" w:space="0" w:color="auto"/>
              <w:right w:val="single" w:sz="4" w:space="0" w:color="auto"/>
            </w:tcBorders>
          </w:tcPr>
          <w:p w14:paraId="1B067ED8" w14:textId="1D3D2D15" w:rsidR="00984B34" w:rsidRPr="009E686F" w:rsidRDefault="00984B34" w:rsidP="00984B34">
            <w:pPr>
              <w:spacing w:after="0" w:line="240" w:lineRule="auto"/>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 xml:space="preserve">c) planifică şi coordonează activităţile de supraveghere, în cooperare cu alte autorităţi competente implicate, </w:t>
            </w:r>
            <w:r w:rsidRPr="009E686F">
              <w:rPr>
                <w:rFonts w:ascii="Times New Roman" w:eastAsia="Aptos" w:hAnsi="Times New Roman" w:cs="Times New Roman"/>
                <w:i/>
                <w:kern w:val="2"/>
                <w:lang w:val="ro-MD"/>
              </w:rPr>
              <w:t>și dacă este necesar, cu băncile centrale din cadrul Sistemului European al Băncilor Centrale</w:t>
            </w:r>
            <w:r w:rsidRPr="009E686F">
              <w:rPr>
                <w:rFonts w:ascii="Times New Roman" w:eastAsia="Aptos" w:hAnsi="Times New Roman" w:cs="Times New Roman"/>
                <w:kern w:val="2"/>
                <w:lang w:val="ro-MD"/>
              </w:rPr>
              <w:t xml:space="preserve"> în vederea pregătirii pentru situaţii de urgenţă şi în situaţiile de urgenţă, inclusiv evoluţiile negative din cadrul </w:t>
            </w:r>
            <w:r w:rsidRPr="009E686F">
              <w:rPr>
                <w:rFonts w:ascii="Times New Roman" w:eastAsia="Aptos" w:hAnsi="Times New Roman" w:cs="Times New Roman"/>
                <w:i/>
                <w:iCs/>
                <w:kern w:val="2"/>
                <w:lang w:val="ro-MD"/>
              </w:rPr>
              <w:t>instituțiilor de credit</w:t>
            </w:r>
            <w:r w:rsidRPr="009E686F">
              <w:rPr>
                <w:rFonts w:ascii="Times New Roman" w:eastAsia="Aptos" w:hAnsi="Times New Roman" w:cs="Times New Roman"/>
                <w:kern w:val="2"/>
                <w:lang w:val="ro-MD"/>
              </w:rPr>
              <w:t xml:space="preserve">  şi/sau </w:t>
            </w:r>
            <w:r w:rsidR="00A90CEA" w:rsidRPr="009E686F">
              <w:rPr>
                <w:rFonts w:ascii="Times New Roman" w:eastAsia="Aptos" w:hAnsi="Times New Roman" w:cs="Times New Roman"/>
                <w:i/>
                <w:iCs/>
                <w:kern w:val="2"/>
                <w:lang w:val="ro-MD"/>
              </w:rPr>
              <w:t>firmelor</w:t>
            </w:r>
            <w:r w:rsidR="00A90CEA" w:rsidRPr="009E686F">
              <w:rPr>
                <w:rFonts w:ascii="Times New Roman" w:eastAsia="Aptos" w:hAnsi="Times New Roman" w:cs="Times New Roman"/>
                <w:kern w:val="2"/>
                <w:lang w:val="ro-MD"/>
              </w:rPr>
              <w:t xml:space="preserve"> </w:t>
            </w:r>
            <w:r w:rsidRPr="009E686F">
              <w:rPr>
                <w:rFonts w:ascii="Times New Roman" w:eastAsia="Aptos" w:hAnsi="Times New Roman" w:cs="Times New Roman"/>
                <w:kern w:val="2"/>
                <w:lang w:val="ro-MD"/>
              </w:rPr>
              <w:t>de investiţii sau de pe pieţele financiare, utilizînd, acolo unde este posibil, căile de comunicare existente pentru a facilita gestionarea crizelor.</w:t>
            </w:r>
          </w:p>
        </w:tc>
        <w:tc>
          <w:tcPr>
            <w:tcW w:w="470" w:type="pct"/>
            <w:tcBorders>
              <w:top w:val="single" w:sz="4" w:space="0" w:color="auto"/>
              <w:left w:val="single" w:sz="4" w:space="0" w:color="auto"/>
              <w:bottom w:val="single" w:sz="4" w:space="0" w:color="auto"/>
              <w:right w:val="single" w:sz="4" w:space="0" w:color="auto"/>
            </w:tcBorders>
          </w:tcPr>
          <w:p w14:paraId="633CED39" w14:textId="4D107EAA"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6BBDBA3C" w14:textId="77777777" w:rsidR="00984B34" w:rsidRPr="009E686F" w:rsidRDefault="00984B34" w:rsidP="00984B34">
            <w:pPr>
              <w:jc w:val="both"/>
              <w:rPr>
                <w:rFonts w:ascii="Times New Roman" w:hAnsi="Times New Roman" w:cs="Times New Roman"/>
                <w:lang w:val="ro-RO"/>
              </w:rPr>
            </w:pPr>
          </w:p>
        </w:tc>
      </w:tr>
      <w:tr w:rsidR="00984B34" w:rsidRPr="009E686F" w14:paraId="44F5687E" w14:textId="286EA8D0" w:rsidTr="00774F3E">
        <w:tc>
          <w:tcPr>
            <w:tcW w:w="1796" w:type="pct"/>
            <w:gridSpan w:val="2"/>
            <w:tcBorders>
              <w:top w:val="single" w:sz="4" w:space="0" w:color="auto"/>
              <w:left w:val="single" w:sz="4" w:space="0" w:color="auto"/>
              <w:bottom w:val="single" w:sz="4" w:space="0" w:color="auto"/>
              <w:right w:val="single" w:sz="4" w:space="0" w:color="auto"/>
            </w:tcBorders>
          </w:tcPr>
          <w:p w14:paraId="4C317CE9" w14:textId="688EDF8D"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(2) În cazul în care autoritatea responsabilă cu supravegherea consolidată nu îndeplinește atribuțiile menționate la alineatul (1) sau în cazul în care autoritățile competente nu cooperează cu autoritatea responsabilă cu supravegherea consolidată într-o măsură corespunzătoare în realizarea sarcinilor menționate la alineatul (1), oricare dintre autoritățile competente în cauză poate sesiza ABE și să îi solicite asistența, în temeiul articolului 19 din Regulamentul (UE) nr. 1093/2010.</w:t>
            </w:r>
          </w:p>
        </w:tc>
        <w:tc>
          <w:tcPr>
            <w:tcW w:w="1928" w:type="pct"/>
            <w:gridSpan w:val="3"/>
            <w:tcBorders>
              <w:top w:val="single" w:sz="4" w:space="0" w:color="auto"/>
              <w:left w:val="single" w:sz="4" w:space="0" w:color="auto"/>
              <w:bottom w:val="single" w:sz="4" w:space="0" w:color="auto"/>
              <w:right w:val="single" w:sz="4" w:space="0" w:color="auto"/>
            </w:tcBorders>
          </w:tcPr>
          <w:p w14:paraId="7533D178" w14:textId="0BF603BD" w:rsidR="00984B34" w:rsidRPr="009E686F" w:rsidRDefault="00984B34" w:rsidP="00984B34">
            <w:pPr>
              <w:spacing w:after="0"/>
              <w:jc w:val="both"/>
              <w:rPr>
                <w:rFonts w:ascii="Times New Roman" w:hAnsi="Times New Roman" w:cs="Times New Roman"/>
                <w:b/>
                <w:i/>
                <w:lang w:val="ro-RO"/>
              </w:rPr>
            </w:pPr>
            <w:r w:rsidRPr="009E686F">
              <w:rPr>
                <w:rFonts w:ascii="Times New Roman" w:eastAsia="Aptos" w:hAnsi="Times New Roman" w:cs="Times New Roman"/>
                <w:i/>
                <w:kern w:val="2"/>
                <w:lang w:val="ro-MD"/>
              </w:rPr>
              <w:t>(2) În cazul în care Banca Națională a Moldovei, în calitate de supraveghetor consolidant, nu își îndeplinește atribuțiile prevăzute la alin. (1) sau dacă autoritățile competente nu colaborează cu aceasta în măsura necesară îndeplinirii atribuțiilor prevăzute la alin. (1), Banca Națională a Moldovei și oricare dintre celelalte autorități competente implicate pot supune cazul spre soluționare Autorității Bancare Europene.</w:t>
            </w:r>
          </w:p>
        </w:tc>
        <w:tc>
          <w:tcPr>
            <w:tcW w:w="470" w:type="pct"/>
            <w:tcBorders>
              <w:top w:val="single" w:sz="4" w:space="0" w:color="auto"/>
              <w:left w:val="single" w:sz="4" w:space="0" w:color="auto"/>
              <w:bottom w:val="single" w:sz="4" w:space="0" w:color="auto"/>
              <w:right w:val="single" w:sz="4" w:space="0" w:color="auto"/>
            </w:tcBorders>
          </w:tcPr>
          <w:p w14:paraId="5FF7EABE" w14:textId="4663B183"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23DC5AC9" w14:textId="4DF5685E" w:rsidR="00984B34" w:rsidRPr="009E686F" w:rsidRDefault="0004461B" w:rsidP="00984B34">
            <w:pPr>
              <w:jc w:val="both"/>
              <w:rPr>
                <w:rFonts w:ascii="Times New Roman" w:hAnsi="Times New Roman" w:cs="Times New Roman"/>
                <w:lang w:val="ro-RO"/>
              </w:rPr>
            </w:pPr>
            <w:r w:rsidRPr="009E686F">
              <w:rPr>
                <w:rFonts w:ascii="Times New Roman" w:hAnsi="Times New Roman" w:cs="Times New Roman"/>
                <w:lang w:val="ro-RO"/>
              </w:rPr>
              <w:t>În vigoare – la data aderării.</w:t>
            </w:r>
          </w:p>
        </w:tc>
      </w:tr>
      <w:tr w:rsidR="00984B34" w:rsidRPr="009E686F" w14:paraId="66C98A4B" w14:textId="49803416" w:rsidTr="00774F3E">
        <w:tc>
          <w:tcPr>
            <w:tcW w:w="1796" w:type="pct"/>
            <w:gridSpan w:val="2"/>
            <w:tcBorders>
              <w:top w:val="single" w:sz="4" w:space="0" w:color="auto"/>
              <w:left w:val="single" w:sz="4" w:space="0" w:color="auto"/>
              <w:bottom w:val="single" w:sz="4" w:space="0" w:color="auto"/>
              <w:right w:val="single" w:sz="4" w:space="0" w:color="auto"/>
            </w:tcBorders>
          </w:tcPr>
          <w:p w14:paraId="180EB6C0"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ABE poate de asemenea acorda asistență din proprie inițiativă autorităților competente, în cazul unui dezacord în legătură cu coordonarea activităților de supraveghere desfășurate în temeiul prezentului articol, în conformitate cu articolul 19 alineatul (1) al doilea paragraf din regulamentul menționat.</w:t>
            </w:r>
          </w:p>
        </w:tc>
        <w:tc>
          <w:tcPr>
            <w:tcW w:w="1928" w:type="pct"/>
            <w:gridSpan w:val="3"/>
            <w:tcBorders>
              <w:top w:val="single" w:sz="4" w:space="0" w:color="auto"/>
              <w:left w:val="single" w:sz="4" w:space="0" w:color="auto"/>
              <w:bottom w:val="single" w:sz="4" w:space="0" w:color="auto"/>
              <w:right w:val="single" w:sz="4" w:space="0" w:color="auto"/>
            </w:tcBorders>
          </w:tcPr>
          <w:p w14:paraId="2C7FECCD"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59E1A603" w14:textId="3AC01399"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neaplicabile</w:t>
            </w:r>
          </w:p>
          <w:p w14:paraId="42AC4B17" w14:textId="799DBA30"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51CA683F" w14:textId="0C615B70"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Se referă la competențele ABE.</w:t>
            </w:r>
          </w:p>
        </w:tc>
      </w:tr>
      <w:tr w:rsidR="00984B34" w:rsidRPr="009E686F" w14:paraId="5A9B3E46" w14:textId="7B2AFDDA" w:rsidTr="00774F3E">
        <w:tc>
          <w:tcPr>
            <w:tcW w:w="1796" w:type="pct"/>
            <w:gridSpan w:val="2"/>
            <w:tcBorders>
              <w:top w:val="single" w:sz="4" w:space="0" w:color="auto"/>
              <w:left w:val="single" w:sz="4" w:space="0" w:color="auto"/>
              <w:bottom w:val="single" w:sz="4" w:space="0" w:color="auto"/>
              <w:right w:val="single" w:sz="4" w:space="0" w:color="auto"/>
            </w:tcBorders>
          </w:tcPr>
          <w:p w14:paraId="7ED7CA71" w14:textId="5A55C31E"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(3) Planificarea și coordonarea activităților de supraveghere menționate la alineatul (1) litera (c) de la prezentul articol includ măsurile excepționale prevăzute la articolul 117 alineatul (1) litera (d) și articolul 117 alineatul (4) litera (b), pregătirea evaluărilor comune, punerea în aplicare a planurilor de urgență și comunicările adresate publicului.</w:t>
            </w:r>
          </w:p>
        </w:tc>
        <w:tc>
          <w:tcPr>
            <w:tcW w:w="1928" w:type="pct"/>
            <w:gridSpan w:val="3"/>
            <w:tcBorders>
              <w:top w:val="single" w:sz="4" w:space="0" w:color="auto"/>
              <w:left w:val="single" w:sz="4" w:space="0" w:color="auto"/>
              <w:bottom w:val="single" w:sz="4" w:space="0" w:color="auto"/>
              <w:right w:val="single" w:sz="4" w:space="0" w:color="auto"/>
            </w:tcBorders>
          </w:tcPr>
          <w:p w14:paraId="0195F818" w14:textId="4EF744E9" w:rsidR="00984B34" w:rsidRPr="009E686F" w:rsidRDefault="00984B34" w:rsidP="00984B34">
            <w:pPr>
              <w:spacing w:after="0"/>
              <w:jc w:val="both"/>
              <w:rPr>
                <w:rFonts w:ascii="Times New Roman" w:hAnsi="Times New Roman" w:cs="Times New Roman"/>
                <w:b/>
                <w:i/>
                <w:lang w:val="ro-RO"/>
              </w:rPr>
            </w:pPr>
            <w:r w:rsidRPr="009E686F">
              <w:rPr>
                <w:rFonts w:ascii="Times New Roman" w:eastAsia="Aptos" w:hAnsi="Times New Roman" w:cs="Times New Roman"/>
                <w:i/>
                <w:kern w:val="2"/>
                <w:lang w:val="ro-MD"/>
              </w:rPr>
              <w:t>(3) Planificarea și coordonarea activităților de supraveghere menționate la alin. (1) lit. c) includ măsurile excepționale prevăzute la art. 113 alin. (3) lit. d) și alin. (5) lit. b), pregătirea evaluărilor comune, punerea în aplicare a planurilor de urgență și comunicările adresate publicului.</w:t>
            </w:r>
          </w:p>
        </w:tc>
        <w:tc>
          <w:tcPr>
            <w:tcW w:w="470" w:type="pct"/>
            <w:tcBorders>
              <w:top w:val="single" w:sz="4" w:space="0" w:color="auto"/>
              <w:left w:val="single" w:sz="4" w:space="0" w:color="auto"/>
              <w:bottom w:val="single" w:sz="4" w:space="0" w:color="auto"/>
              <w:right w:val="single" w:sz="4" w:space="0" w:color="auto"/>
            </w:tcBorders>
          </w:tcPr>
          <w:p w14:paraId="0DFD9A01" w14:textId="77777777"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p w14:paraId="715B676A" w14:textId="32FCCE35"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021082CE" w14:textId="77777777" w:rsidR="00984B34" w:rsidRPr="009E686F" w:rsidRDefault="00984B34" w:rsidP="00984B34">
            <w:pPr>
              <w:jc w:val="both"/>
              <w:rPr>
                <w:rFonts w:ascii="Times New Roman" w:hAnsi="Times New Roman" w:cs="Times New Roman"/>
                <w:lang w:val="ro-RO"/>
              </w:rPr>
            </w:pPr>
          </w:p>
        </w:tc>
      </w:tr>
      <w:tr w:rsidR="00984B34" w:rsidRPr="009E686F" w14:paraId="552DCB97" w14:textId="771A7950" w:rsidTr="00774F3E">
        <w:tc>
          <w:tcPr>
            <w:tcW w:w="5000" w:type="pct"/>
            <w:gridSpan w:val="7"/>
            <w:tcBorders>
              <w:top w:val="single" w:sz="4" w:space="0" w:color="auto"/>
              <w:left w:val="single" w:sz="4" w:space="0" w:color="auto"/>
              <w:bottom w:val="single" w:sz="4" w:space="0" w:color="auto"/>
              <w:right w:val="single" w:sz="4" w:space="0" w:color="auto"/>
            </w:tcBorders>
          </w:tcPr>
          <w:p w14:paraId="60678B01" w14:textId="77777777" w:rsidR="00984B34" w:rsidRPr="009E686F" w:rsidRDefault="00984B34" w:rsidP="00984B34">
            <w:pPr>
              <w:spacing w:after="0"/>
              <w:jc w:val="both"/>
              <w:rPr>
                <w:rFonts w:ascii="Times New Roman" w:hAnsi="Times New Roman" w:cs="Times New Roman"/>
                <w:i/>
                <w:iCs/>
                <w:lang w:val="ro-RO"/>
              </w:rPr>
            </w:pPr>
            <w:r w:rsidRPr="009E686F">
              <w:rPr>
                <w:rFonts w:ascii="Times New Roman" w:hAnsi="Times New Roman" w:cs="Times New Roman"/>
                <w:i/>
                <w:iCs/>
                <w:lang w:val="ro-RO"/>
              </w:rPr>
              <w:t xml:space="preserve">Articolul 113 </w:t>
            </w:r>
          </w:p>
          <w:p w14:paraId="3CBA1F8F" w14:textId="553F3396"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lastRenderedPageBreak/>
              <w:t>Decizii comune cu privire la cerințele prudențiale specifice unei instituții</w:t>
            </w:r>
          </w:p>
        </w:tc>
      </w:tr>
      <w:tr w:rsidR="00984B34" w:rsidRPr="009E686F" w14:paraId="61B9F3BF" w14:textId="7D4D1E3D" w:rsidTr="00774F3E">
        <w:tc>
          <w:tcPr>
            <w:tcW w:w="1796" w:type="pct"/>
            <w:gridSpan w:val="2"/>
            <w:tcBorders>
              <w:top w:val="single" w:sz="4" w:space="0" w:color="auto"/>
              <w:left w:val="single" w:sz="4" w:space="0" w:color="auto"/>
              <w:bottom w:val="single" w:sz="4" w:space="0" w:color="auto"/>
              <w:right w:val="single" w:sz="4" w:space="0" w:color="auto"/>
            </w:tcBorders>
          </w:tcPr>
          <w:p w14:paraId="5FEBD3FB" w14:textId="764E494C"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lastRenderedPageBreak/>
              <w:t>(1) Supraveghetorul consolidant și autoritățile competente responsabile cu supravegherea filialelor unei instituții-mamă din UE sau a unei societăți financiare holding -mamă din UE ori a unei societăți financiare holding mixte-mamă din UE depun toate eforturile pentru a ajunge la o decizie comună:</w:t>
            </w:r>
          </w:p>
        </w:tc>
        <w:tc>
          <w:tcPr>
            <w:tcW w:w="1928" w:type="pct"/>
            <w:gridSpan w:val="3"/>
            <w:tcBorders>
              <w:top w:val="single" w:sz="4" w:space="0" w:color="auto"/>
              <w:left w:val="single" w:sz="4" w:space="0" w:color="auto"/>
              <w:bottom w:val="single" w:sz="4" w:space="0" w:color="auto"/>
              <w:right w:val="single" w:sz="4" w:space="0" w:color="auto"/>
            </w:tcBorders>
          </w:tcPr>
          <w:p w14:paraId="1706DE00" w14:textId="47E9991E" w:rsidR="00984B34" w:rsidRPr="009E686F" w:rsidRDefault="00984B34" w:rsidP="00984B34">
            <w:pPr>
              <w:spacing w:after="0" w:line="278" w:lineRule="auto"/>
              <w:jc w:val="both"/>
              <w:rPr>
                <w:rFonts w:ascii="Times New Roman" w:eastAsia="Aptos" w:hAnsi="Times New Roman" w:cs="Times New Roman"/>
                <w:b/>
                <w:bCs/>
                <w:kern w:val="2"/>
                <w:lang w:val="ro-MD"/>
              </w:rPr>
            </w:pPr>
            <w:r w:rsidRPr="009E686F">
              <w:rPr>
                <w:rFonts w:ascii="Times New Roman" w:eastAsia="Aptos" w:hAnsi="Times New Roman" w:cs="Times New Roman"/>
                <w:b/>
                <w:bCs/>
                <w:kern w:val="2"/>
                <w:lang w:val="ro-MD"/>
              </w:rPr>
              <w:t>Articolul 111 alin. (6) lit. a), b), c)</w:t>
            </w:r>
          </w:p>
          <w:p w14:paraId="433DD240" w14:textId="00EE6AF4" w:rsidR="00984B34" w:rsidRPr="009E686F" w:rsidRDefault="00984B34" w:rsidP="00984B34">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 xml:space="preserve">(6) În cadrul </w:t>
            </w:r>
            <w:r w:rsidRPr="009E686F">
              <w:rPr>
                <w:rFonts w:ascii="Times New Roman" w:eastAsia="Aptos" w:hAnsi="Times New Roman" w:cs="Times New Roman"/>
                <w:i/>
                <w:kern w:val="2"/>
                <w:lang w:val="ro-MD"/>
              </w:rPr>
              <w:t xml:space="preserve">exercitării </w:t>
            </w:r>
            <w:r w:rsidRPr="009E686F">
              <w:rPr>
                <w:rFonts w:ascii="Times New Roman" w:eastAsia="Aptos" w:hAnsi="Times New Roman" w:cs="Times New Roman"/>
                <w:kern w:val="2"/>
                <w:lang w:val="ro-MD"/>
              </w:rPr>
              <w:t xml:space="preserve">supravegherii pe bază consolidată, Banca Naţională a Moldovei va depune toate eforturile pentru a ajunge la o decizie comună cu  </w:t>
            </w:r>
            <w:r w:rsidRPr="009E686F">
              <w:rPr>
                <w:rFonts w:ascii="Times New Roman" w:eastAsia="Aptos" w:hAnsi="Times New Roman" w:cs="Times New Roman"/>
                <w:i/>
                <w:kern w:val="2"/>
                <w:lang w:val="ro-MD"/>
              </w:rPr>
              <w:t xml:space="preserve">autoritățile responsabile cu supravegherea filialelor unei </w:t>
            </w:r>
            <w:r w:rsidRPr="009E686F">
              <w:rPr>
                <w:rFonts w:ascii="Times New Roman" w:eastAsia="Aptos" w:hAnsi="Times New Roman" w:cs="Times New Roman"/>
                <w:i/>
                <w:iCs/>
                <w:kern w:val="2"/>
                <w:lang w:val="ro-MD"/>
              </w:rPr>
              <w:t>instituții de credit</w:t>
            </w:r>
            <w:r w:rsidRPr="009E686F">
              <w:rPr>
                <w:rFonts w:ascii="Times New Roman" w:eastAsia="Aptos" w:hAnsi="Times New Roman" w:cs="Times New Roman"/>
                <w:i/>
                <w:kern w:val="2"/>
                <w:lang w:val="ro-MD"/>
              </w:rPr>
              <w:t>-mamă la nivelul Uniunii Europene, ale unei societăți financiare holding-mamă la nivelul Uniunii Europene sau ale unei societăți financiare holding mixte-mamă la nivelul Uniunii Europene, în ceea ce privește:</w:t>
            </w:r>
            <w:r w:rsidRPr="009E686F">
              <w:rPr>
                <w:rFonts w:ascii="Times New Roman" w:eastAsia="Aptos" w:hAnsi="Times New Roman" w:cs="Times New Roman"/>
                <w:kern w:val="2"/>
                <w:lang w:val="ro-MD"/>
              </w:rPr>
              <w:t xml:space="preserve"> </w:t>
            </w:r>
          </w:p>
        </w:tc>
        <w:tc>
          <w:tcPr>
            <w:tcW w:w="470" w:type="pct"/>
            <w:tcBorders>
              <w:top w:val="single" w:sz="4" w:space="0" w:color="auto"/>
              <w:left w:val="single" w:sz="4" w:space="0" w:color="auto"/>
              <w:bottom w:val="single" w:sz="4" w:space="0" w:color="auto"/>
              <w:right w:val="single" w:sz="4" w:space="0" w:color="auto"/>
            </w:tcBorders>
          </w:tcPr>
          <w:p w14:paraId="35B7A822" w14:textId="59ED6DA8"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4481C0D0" w14:textId="77777777" w:rsidR="00984B34" w:rsidRPr="009E686F" w:rsidRDefault="00984B34" w:rsidP="00984B34">
            <w:pPr>
              <w:jc w:val="both"/>
              <w:rPr>
                <w:rFonts w:ascii="Times New Roman" w:hAnsi="Times New Roman" w:cs="Times New Roman"/>
                <w:lang w:val="ro-RO"/>
              </w:rPr>
            </w:pPr>
          </w:p>
        </w:tc>
      </w:tr>
      <w:tr w:rsidR="00984B34" w:rsidRPr="009E686F" w14:paraId="5D506D79" w14:textId="6E94FF14" w:rsidTr="00774F3E">
        <w:tc>
          <w:tcPr>
            <w:tcW w:w="1796" w:type="pct"/>
            <w:gridSpan w:val="2"/>
            <w:tcBorders>
              <w:top w:val="single" w:sz="4" w:space="0" w:color="auto"/>
              <w:left w:val="single" w:sz="4" w:space="0" w:color="auto"/>
              <w:bottom w:val="single" w:sz="4" w:space="0" w:color="auto"/>
              <w:right w:val="single" w:sz="4" w:space="0" w:color="auto"/>
            </w:tcBorders>
          </w:tcPr>
          <w:p w14:paraId="727797BF" w14:textId="2D87AE5E"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(a) cu privire la aplicarea articolelor 73 și 97 pentru a stabili caracterul adecvat al nivelului consolidat al fondurilor proprii deținute de grupul de instituții în ceea ce privește situația sa financiară și profilul său de risc și cu privire la nivelul fondurilor proprii impus pentru aplicarea articolului 104 alineatul (1) litera (a) fiecărei entități din cadrul grupului de instituții, precum și pe bază consolidată;</w:t>
            </w:r>
          </w:p>
        </w:tc>
        <w:tc>
          <w:tcPr>
            <w:tcW w:w="1928" w:type="pct"/>
            <w:gridSpan w:val="3"/>
            <w:tcBorders>
              <w:top w:val="single" w:sz="4" w:space="0" w:color="auto"/>
              <w:left w:val="single" w:sz="4" w:space="0" w:color="auto"/>
              <w:bottom w:val="single" w:sz="4" w:space="0" w:color="auto"/>
              <w:right w:val="single" w:sz="4" w:space="0" w:color="auto"/>
            </w:tcBorders>
          </w:tcPr>
          <w:p w14:paraId="796AEE1D" w14:textId="743AB8EE" w:rsidR="00984B34" w:rsidRPr="009E686F" w:rsidRDefault="00984B34" w:rsidP="00984B34">
            <w:pPr>
              <w:spacing w:after="0"/>
              <w:jc w:val="both"/>
              <w:rPr>
                <w:rFonts w:ascii="Times New Roman" w:hAnsi="Times New Roman" w:cs="Times New Roman"/>
                <w:b/>
                <w:lang w:val="ro-RO"/>
              </w:rPr>
            </w:pPr>
            <w:r w:rsidRPr="009E686F">
              <w:rPr>
                <w:rFonts w:ascii="Times New Roman" w:eastAsia="Aptos" w:hAnsi="Times New Roman" w:cs="Times New Roman"/>
                <w:kern w:val="2"/>
                <w:lang w:val="ro-MD"/>
              </w:rPr>
              <w:t xml:space="preserve">a) aplicarea </w:t>
            </w:r>
            <w:r w:rsidRPr="009E686F">
              <w:rPr>
                <w:rFonts w:ascii="Times New Roman" w:eastAsia="Aptos" w:hAnsi="Times New Roman" w:cs="Times New Roman"/>
                <w:i/>
                <w:kern w:val="2"/>
                <w:lang w:val="ro-MD"/>
              </w:rPr>
              <w:t>prevederilor art.78</w:t>
            </w:r>
            <w:r w:rsidRPr="009E686F">
              <w:rPr>
                <w:rFonts w:ascii="Times New Roman" w:eastAsia="Aptos" w:hAnsi="Times New Roman" w:cs="Times New Roman"/>
                <w:kern w:val="2"/>
                <w:lang w:val="ro-MD"/>
              </w:rPr>
              <w:t xml:space="preserve"> şi 100 pentru stabilirea caracterului adecvat al nivelului consolidat al fondurilor proprii deţinute la nivelul grupului în ceea ce priveşte situaţia financiară şi profilul său de risc şi al nivelului necesar de fonduri proprii pentru aplicarea art.139 alin.(3) lit.a) în cazul fiecărei entităţi din cadrul grupului pe bază consolidată;</w:t>
            </w:r>
          </w:p>
        </w:tc>
        <w:tc>
          <w:tcPr>
            <w:tcW w:w="470" w:type="pct"/>
            <w:tcBorders>
              <w:top w:val="single" w:sz="4" w:space="0" w:color="auto"/>
              <w:left w:val="single" w:sz="4" w:space="0" w:color="auto"/>
              <w:bottom w:val="single" w:sz="4" w:space="0" w:color="auto"/>
              <w:right w:val="single" w:sz="4" w:space="0" w:color="auto"/>
            </w:tcBorders>
          </w:tcPr>
          <w:p w14:paraId="163DD63C" w14:textId="6ACA4D42"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59F5F561" w14:textId="77777777" w:rsidR="00984B34" w:rsidRPr="009E686F" w:rsidRDefault="00984B34" w:rsidP="00984B34">
            <w:pPr>
              <w:jc w:val="both"/>
              <w:rPr>
                <w:rFonts w:ascii="Times New Roman" w:hAnsi="Times New Roman" w:cs="Times New Roman"/>
                <w:lang w:val="ro-RO"/>
              </w:rPr>
            </w:pPr>
          </w:p>
        </w:tc>
      </w:tr>
      <w:tr w:rsidR="00984B34" w:rsidRPr="009E686F" w14:paraId="33CF1294" w14:textId="61AEE271" w:rsidTr="00774F3E">
        <w:tc>
          <w:tcPr>
            <w:tcW w:w="1796" w:type="pct"/>
            <w:gridSpan w:val="2"/>
            <w:tcBorders>
              <w:top w:val="single" w:sz="4" w:space="0" w:color="auto"/>
              <w:left w:val="single" w:sz="4" w:space="0" w:color="auto"/>
              <w:bottom w:val="single" w:sz="4" w:space="0" w:color="auto"/>
              <w:right w:val="single" w:sz="4" w:space="0" w:color="auto"/>
            </w:tcBorders>
          </w:tcPr>
          <w:p w14:paraId="08C2AB76" w14:textId="3CA4028C"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(b) cu privire la măsurile de abordare a oricărei probleme și constatări semnificative legate de supravegherea lichidității, inclusiv legate de caracterul adecvat al organizării și al tratării riscurilor, astfel cum se prevede la articolul 86, și legate de necesitatea impunerii unor cerințe privind lichiditățile specifice instituției în conformitate cu articolul 105 ;</w:t>
            </w:r>
          </w:p>
        </w:tc>
        <w:tc>
          <w:tcPr>
            <w:tcW w:w="1928" w:type="pct"/>
            <w:gridSpan w:val="3"/>
            <w:tcBorders>
              <w:top w:val="single" w:sz="4" w:space="0" w:color="auto"/>
              <w:left w:val="single" w:sz="4" w:space="0" w:color="auto"/>
              <w:bottom w:val="single" w:sz="4" w:space="0" w:color="auto"/>
              <w:right w:val="single" w:sz="4" w:space="0" w:color="auto"/>
            </w:tcBorders>
          </w:tcPr>
          <w:p w14:paraId="2872FFDD" w14:textId="67A3FD2C" w:rsidR="00984B34" w:rsidRPr="009E686F" w:rsidRDefault="00984B34" w:rsidP="00984B34">
            <w:pPr>
              <w:spacing w:after="0"/>
              <w:jc w:val="both"/>
              <w:rPr>
                <w:rFonts w:ascii="Times New Roman" w:hAnsi="Times New Roman" w:cs="Times New Roman"/>
                <w:b/>
                <w:lang w:val="ro-RO"/>
              </w:rPr>
            </w:pPr>
            <w:r w:rsidRPr="009E686F">
              <w:rPr>
                <w:rFonts w:ascii="Times New Roman" w:eastAsia="Aptos" w:hAnsi="Times New Roman" w:cs="Times New Roman"/>
                <w:kern w:val="2"/>
                <w:lang w:val="ro-MD"/>
              </w:rPr>
              <w:t xml:space="preserve">b) măsurile menite să răspundă oricăror probleme şi constatări semnificative legate de supravegherea lichidităţii, inclusiv în ceea ce priveşte caracterul adecvat al organizării şi al </w:t>
            </w:r>
            <w:r w:rsidRPr="009E686F">
              <w:rPr>
                <w:rFonts w:ascii="Times New Roman" w:eastAsia="Aptos" w:hAnsi="Times New Roman" w:cs="Times New Roman"/>
                <w:i/>
                <w:kern w:val="2"/>
                <w:lang w:val="ro-MD"/>
              </w:rPr>
              <w:t>tratamentului riscurilor</w:t>
            </w:r>
            <w:r w:rsidRPr="009E686F">
              <w:rPr>
                <w:rFonts w:ascii="Times New Roman" w:eastAsia="Aptos" w:hAnsi="Times New Roman" w:cs="Times New Roman"/>
                <w:kern w:val="2"/>
                <w:lang w:val="ro-MD"/>
              </w:rPr>
              <w:t xml:space="preserve">, astfel cum se prevede la art.38, şi cu privire la necesitatea </w:t>
            </w:r>
            <w:r w:rsidRPr="009E686F">
              <w:rPr>
                <w:rFonts w:ascii="Times New Roman" w:eastAsia="Aptos" w:hAnsi="Times New Roman" w:cs="Times New Roman"/>
                <w:i/>
                <w:kern w:val="2"/>
                <w:lang w:val="ro-MD"/>
              </w:rPr>
              <w:t>stabilirii</w:t>
            </w:r>
            <w:r w:rsidRPr="009E686F">
              <w:rPr>
                <w:rFonts w:ascii="Times New Roman" w:eastAsia="Aptos" w:hAnsi="Times New Roman" w:cs="Times New Roman"/>
                <w:kern w:val="2"/>
                <w:lang w:val="ro-MD"/>
              </w:rPr>
              <w:t xml:space="preserve"> unor cerinţe privind lichidităţile specifice </w:t>
            </w:r>
            <w:r w:rsidRPr="009E686F">
              <w:rPr>
                <w:rFonts w:ascii="Times New Roman" w:eastAsia="Aptos" w:hAnsi="Times New Roman" w:cs="Times New Roman"/>
                <w:i/>
                <w:iCs/>
                <w:kern w:val="2"/>
                <w:lang w:val="ro-MD"/>
              </w:rPr>
              <w:t>instituției de credit</w:t>
            </w:r>
            <w:r w:rsidRPr="009E686F">
              <w:rPr>
                <w:rFonts w:ascii="Times New Roman" w:eastAsia="Aptos" w:hAnsi="Times New Roman" w:cs="Times New Roman"/>
                <w:kern w:val="2"/>
                <w:lang w:val="ro-RO"/>
              </w:rPr>
              <w:t xml:space="preserve"> </w:t>
            </w:r>
            <w:r w:rsidRPr="009E686F">
              <w:rPr>
                <w:rFonts w:ascii="Times New Roman" w:eastAsia="Aptos" w:hAnsi="Times New Roman" w:cs="Times New Roman"/>
                <w:kern w:val="2"/>
                <w:lang w:val="ro-MD"/>
              </w:rPr>
              <w:t>în conformitate cu art.139 alin.(6)–(7).</w:t>
            </w:r>
          </w:p>
        </w:tc>
        <w:tc>
          <w:tcPr>
            <w:tcW w:w="470" w:type="pct"/>
            <w:tcBorders>
              <w:top w:val="single" w:sz="4" w:space="0" w:color="auto"/>
              <w:left w:val="single" w:sz="4" w:space="0" w:color="auto"/>
              <w:bottom w:val="single" w:sz="4" w:space="0" w:color="auto"/>
              <w:right w:val="single" w:sz="4" w:space="0" w:color="auto"/>
            </w:tcBorders>
          </w:tcPr>
          <w:p w14:paraId="5ECE84F2" w14:textId="6E02C413"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08821BA1" w14:textId="77777777" w:rsidR="00984B34" w:rsidRPr="009E686F" w:rsidRDefault="00984B34" w:rsidP="00984B34">
            <w:pPr>
              <w:jc w:val="both"/>
              <w:rPr>
                <w:rFonts w:ascii="Times New Roman" w:hAnsi="Times New Roman" w:cs="Times New Roman"/>
                <w:lang w:val="ro-RO"/>
              </w:rPr>
            </w:pPr>
          </w:p>
        </w:tc>
      </w:tr>
      <w:tr w:rsidR="00984B34" w:rsidRPr="009E686F" w14:paraId="7CC70942" w14:textId="77777777" w:rsidTr="00DC1041">
        <w:trPr>
          <w:trHeight w:val="779"/>
        </w:trPr>
        <w:tc>
          <w:tcPr>
            <w:tcW w:w="1796" w:type="pct"/>
            <w:gridSpan w:val="2"/>
            <w:tcBorders>
              <w:top w:val="single" w:sz="4" w:space="0" w:color="auto"/>
              <w:left w:val="single" w:sz="4" w:space="0" w:color="auto"/>
              <w:bottom w:val="single" w:sz="4" w:space="0" w:color="auto"/>
              <w:right w:val="single" w:sz="4" w:space="0" w:color="auto"/>
            </w:tcBorders>
          </w:tcPr>
          <w:p w14:paraId="731D1083" w14:textId="091B876D"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(c)</w:t>
            </w:r>
            <w:r w:rsidRPr="009E686F">
              <w:rPr>
                <w:rFonts w:ascii="Times New Roman" w:hAnsi="Times New Roman" w:cs="Times New Roman"/>
                <w:lang w:val="it-CH"/>
              </w:rPr>
              <w:t xml:space="preserve"> </w:t>
            </w:r>
            <w:r w:rsidRPr="009E686F">
              <w:rPr>
                <w:rFonts w:ascii="Times New Roman" w:hAnsi="Times New Roman" w:cs="Times New Roman"/>
                <w:lang w:val="ro-RO"/>
              </w:rPr>
              <w:t>cu privire la orice orientări privind fondurile proprii suplimentare menționate la articolul 104b alineatul (3).</w:t>
            </w:r>
          </w:p>
        </w:tc>
        <w:tc>
          <w:tcPr>
            <w:tcW w:w="1928" w:type="pct"/>
            <w:gridSpan w:val="3"/>
            <w:tcBorders>
              <w:top w:val="single" w:sz="4" w:space="0" w:color="auto"/>
              <w:left w:val="single" w:sz="4" w:space="0" w:color="auto"/>
              <w:bottom w:val="single" w:sz="4" w:space="0" w:color="auto"/>
              <w:right w:val="single" w:sz="4" w:space="0" w:color="auto"/>
            </w:tcBorders>
          </w:tcPr>
          <w:p w14:paraId="1270E2CF" w14:textId="5ADD853D" w:rsidR="00984B34" w:rsidRPr="009E686F" w:rsidRDefault="00984B34" w:rsidP="00984B34">
            <w:pPr>
              <w:spacing w:after="0"/>
              <w:jc w:val="both"/>
              <w:rPr>
                <w:rFonts w:ascii="Times New Roman" w:hAnsi="Times New Roman" w:cs="Times New Roman"/>
                <w:i/>
                <w:lang w:val="ro-RO"/>
              </w:rPr>
            </w:pPr>
            <w:r w:rsidRPr="009E686F">
              <w:rPr>
                <w:rFonts w:ascii="Times New Roman" w:eastAsia="Aptos" w:hAnsi="Times New Roman" w:cs="Times New Roman"/>
                <w:i/>
                <w:kern w:val="2"/>
                <w:lang w:val="ro-MD"/>
              </w:rPr>
              <w:t>c)   orice orientări privind fondurile proprii suplimentare, prevăzute la articolul 101</w:t>
            </w:r>
            <w:r w:rsidRPr="009E686F">
              <w:rPr>
                <w:rFonts w:ascii="Times New Roman" w:eastAsia="Aptos" w:hAnsi="Times New Roman" w:cs="Times New Roman"/>
                <w:i/>
                <w:kern w:val="2"/>
                <w:vertAlign w:val="superscript"/>
                <w:lang w:val="ro-MD"/>
              </w:rPr>
              <w:t>1</w:t>
            </w:r>
            <w:r w:rsidRPr="009E686F">
              <w:rPr>
                <w:rFonts w:ascii="Times New Roman" w:eastAsia="Aptos" w:hAnsi="Times New Roman" w:cs="Times New Roman"/>
                <w:i/>
                <w:kern w:val="2"/>
                <w:lang w:val="ro-MD"/>
              </w:rPr>
              <w:t xml:space="preserve"> alin. (4).</w:t>
            </w:r>
          </w:p>
        </w:tc>
        <w:tc>
          <w:tcPr>
            <w:tcW w:w="470" w:type="pct"/>
            <w:tcBorders>
              <w:top w:val="single" w:sz="4" w:space="0" w:color="auto"/>
              <w:left w:val="single" w:sz="4" w:space="0" w:color="auto"/>
              <w:bottom w:val="single" w:sz="4" w:space="0" w:color="auto"/>
              <w:right w:val="single" w:sz="4" w:space="0" w:color="auto"/>
            </w:tcBorders>
          </w:tcPr>
          <w:p w14:paraId="0FB9E0B1" w14:textId="296A2FC8"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68ED9055" w14:textId="77777777" w:rsidR="00984B34" w:rsidRPr="009E686F" w:rsidRDefault="00984B34" w:rsidP="00984B34">
            <w:pPr>
              <w:jc w:val="both"/>
              <w:rPr>
                <w:rFonts w:ascii="Times New Roman" w:hAnsi="Times New Roman" w:cs="Times New Roman"/>
                <w:lang w:val="ro-RO"/>
              </w:rPr>
            </w:pPr>
          </w:p>
        </w:tc>
      </w:tr>
      <w:tr w:rsidR="00984B34" w:rsidRPr="009E686F" w14:paraId="48A79589" w14:textId="52778159" w:rsidTr="002657DD">
        <w:trPr>
          <w:trHeight w:val="7875"/>
        </w:trPr>
        <w:tc>
          <w:tcPr>
            <w:tcW w:w="1796" w:type="pct"/>
            <w:gridSpan w:val="2"/>
            <w:tcBorders>
              <w:top w:val="single" w:sz="4" w:space="0" w:color="auto"/>
              <w:left w:val="single" w:sz="4" w:space="0" w:color="auto"/>
              <w:right w:val="single" w:sz="4" w:space="0" w:color="auto"/>
            </w:tcBorders>
          </w:tcPr>
          <w:p w14:paraId="72F46395"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lastRenderedPageBreak/>
              <w:t xml:space="preserve"> (2) Deciziile comune menționate la alineatul (1) iau:</w:t>
            </w:r>
          </w:p>
          <w:p w14:paraId="249D3A1A"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(a) în sensul prezentului articol alineatul (1) litera (a), în termen de patru luni de la data la care supraveghetorul consolidant transmite celorlalte autorități competente relevanteun raport ce conține evaluarea riscurilor afrente grupului de instituții efectuată în conformitate cu articolul 104a.</w:t>
            </w:r>
          </w:p>
          <w:p w14:paraId="3ECAAB5F"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(b) în sensul prezentului articol alineatul (1) litera (b), în termen de patru luni de la data la care supraveghetorul consolidant transmite un raport ce conține evaluarea profilului riscului de lichiditate al grupului de instituții, efectuată în conformitate cu articolele 86 și 105;</w:t>
            </w:r>
          </w:p>
          <w:p w14:paraId="001D30A2"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(c) în sensul prezentului articol alineatul (1) litera (c), în termen de patru luni de la data la care supraveghetorul consolidant transmite un raport ce conține evaluarea riscurilor aferente grupului de instituții efectuată în conformitate cu articolul 104b.</w:t>
            </w:r>
          </w:p>
          <w:p w14:paraId="248A8735" w14:textId="7ADF7783"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Deciziile comune menționate la alineatul (1) din prezentul articol țin seama în mod corespunzător și de evaluarea riscurilor aferente filialelor, efectuată de autoritățile competente relevante, în conformitate cu articolele 73, 97, 104a și 104b.</w:t>
            </w:r>
          </w:p>
        </w:tc>
        <w:tc>
          <w:tcPr>
            <w:tcW w:w="1928" w:type="pct"/>
            <w:gridSpan w:val="3"/>
            <w:tcBorders>
              <w:top w:val="single" w:sz="4" w:space="0" w:color="auto"/>
              <w:left w:val="single" w:sz="4" w:space="0" w:color="auto"/>
              <w:right w:val="single" w:sz="4" w:space="0" w:color="auto"/>
            </w:tcBorders>
          </w:tcPr>
          <w:p w14:paraId="60E933F1" w14:textId="69B7D396" w:rsidR="00984B34" w:rsidRPr="009E686F" w:rsidRDefault="00984B34" w:rsidP="00984B34">
            <w:pPr>
              <w:spacing w:after="0" w:line="278" w:lineRule="auto"/>
              <w:jc w:val="both"/>
              <w:rPr>
                <w:rFonts w:ascii="Times New Roman" w:eastAsia="Aptos" w:hAnsi="Times New Roman" w:cs="Times New Roman"/>
                <w:color w:val="000000"/>
                <w:kern w:val="2"/>
                <w:bdr w:val="none" w:sz="0" w:space="0" w:color="auto" w:frame="1"/>
                <w:shd w:val="clear" w:color="auto" w:fill="FFFFFF"/>
                <w:lang w:val="ro-MD"/>
              </w:rPr>
            </w:pPr>
            <w:r w:rsidRPr="009E686F">
              <w:rPr>
                <w:rFonts w:ascii="Times New Roman" w:eastAsia="Aptos" w:hAnsi="Times New Roman" w:cs="Times New Roman"/>
                <w:b/>
                <w:bCs/>
                <w:kern w:val="2"/>
                <w:lang w:val="ro-MD"/>
              </w:rPr>
              <w:t>Articolul 111 alin. (8) lit. a), b), c)</w:t>
            </w:r>
          </w:p>
          <w:p w14:paraId="4BC402A5" w14:textId="7F1B8704" w:rsidR="00984B34" w:rsidRPr="009E686F" w:rsidRDefault="00984B34" w:rsidP="00984B34">
            <w:pPr>
              <w:spacing w:after="0" w:line="278" w:lineRule="auto"/>
              <w:jc w:val="both"/>
              <w:rPr>
                <w:rFonts w:ascii="Times New Roman" w:eastAsia="Aptos" w:hAnsi="Times New Roman" w:cs="Times New Roman"/>
                <w:i/>
                <w:iCs/>
                <w:color w:val="000000"/>
                <w:kern w:val="2"/>
                <w:bdr w:val="none" w:sz="0" w:space="0" w:color="auto" w:frame="1"/>
                <w:shd w:val="clear" w:color="auto" w:fill="FFFFFF"/>
                <w:lang w:val="ro-MD"/>
              </w:rPr>
            </w:pPr>
            <w:r w:rsidRPr="009E686F">
              <w:rPr>
                <w:rFonts w:ascii="Times New Roman" w:eastAsia="Aptos" w:hAnsi="Times New Roman" w:cs="Times New Roman"/>
                <w:i/>
                <w:color w:val="000000"/>
                <w:kern w:val="2"/>
                <w:bdr w:val="none" w:sz="0" w:space="0" w:color="auto" w:frame="1"/>
                <w:shd w:val="clear" w:color="auto" w:fill="FFFFFF"/>
                <w:lang w:val="ro-MD"/>
              </w:rPr>
              <w:t>(8) Decizia comună prevăzută la  alin. (6) trebuie să ia în considerare în mod corespunzător evaluarea riscului filialelor, realizată de autoritățile competente implicate, în sensul prevederilor art. 78, 100, 139</w:t>
            </w:r>
            <w:r w:rsidRPr="009E686F">
              <w:rPr>
                <w:rFonts w:ascii="Times New Roman" w:eastAsia="Aptos" w:hAnsi="Times New Roman" w:cs="Times New Roman"/>
                <w:i/>
                <w:color w:val="000000"/>
                <w:kern w:val="2"/>
                <w:bdr w:val="none" w:sz="0" w:space="0" w:color="auto" w:frame="1"/>
                <w:shd w:val="clear" w:color="auto" w:fill="FFFFFF"/>
                <w:vertAlign w:val="superscript"/>
                <w:lang w:val="ro-MD"/>
              </w:rPr>
              <w:t>1</w:t>
            </w:r>
            <w:r w:rsidRPr="009E686F">
              <w:rPr>
                <w:rFonts w:ascii="Times New Roman" w:eastAsia="Aptos" w:hAnsi="Times New Roman" w:cs="Times New Roman"/>
                <w:i/>
                <w:color w:val="000000"/>
                <w:kern w:val="2"/>
                <w:bdr w:val="none" w:sz="0" w:space="0" w:color="auto" w:frame="1"/>
                <w:shd w:val="clear" w:color="auto" w:fill="FFFFFF"/>
                <w:lang w:val="ro-MD"/>
              </w:rPr>
              <w:t xml:space="preserve">  și  101</w:t>
            </w:r>
            <w:r w:rsidRPr="009E686F">
              <w:rPr>
                <w:rFonts w:ascii="Times New Roman" w:eastAsia="Aptos" w:hAnsi="Times New Roman" w:cs="Times New Roman"/>
                <w:i/>
                <w:color w:val="000000"/>
                <w:kern w:val="2"/>
                <w:bdr w:val="none" w:sz="0" w:space="0" w:color="auto" w:frame="1"/>
                <w:shd w:val="clear" w:color="auto" w:fill="FFFFFF"/>
                <w:vertAlign w:val="superscript"/>
                <w:lang w:val="ro-MD"/>
              </w:rPr>
              <w:t>1</w:t>
            </w:r>
            <w:r w:rsidRPr="009E686F">
              <w:rPr>
                <w:rFonts w:ascii="Times New Roman" w:eastAsia="Aptos" w:hAnsi="Times New Roman" w:cs="Times New Roman"/>
                <w:i/>
                <w:color w:val="000000"/>
                <w:kern w:val="2"/>
                <w:bdr w:val="none" w:sz="0" w:space="0" w:color="auto" w:frame="1"/>
                <w:shd w:val="clear" w:color="auto" w:fill="FFFFFF"/>
                <w:lang w:val="ro-MD"/>
              </w:rPr>
              <w:t xml:space="preserve"> și trebuie luată:</w:t>
            </w:r>
          </w:p>
          <w:p w14:paraId="39A6501B" w14:textId="77777777" w:rsidR="00984B34" w:rsidRPr="009E686F" w:rsidRDefault="00984B34" w:rsidP="00984B34">
            <w:pPr>
              <w:spacing w:after="0"/>
              <w:jc w:val="both"/>
              <w:rPr>
                <w:rFonts w:ascii="Times New Roman" w:hAnsi="Times New Roman" w:cs="Times New Roman"/>
                <w:b/>
                <w:i/>
                <w:iCs/>
                <w:lang w:val="ro-RO"/>
              </w:rPr>
            </w:pPr>
            <w:r w:rsidRPr="009E686F">
              <w:rPr>
                <w:rFonts w:ascii="Times New Roman" w:eastAsia="Aptos" w:hAnsi="Times New Roman" w:cs="Times New Roman"/>
                <w:i/>
                <w:iCs/>
                <w:color w:val="000000"/>
                <w:kern w:val="2"/>
                <w:bdr w:val="none" w:sz="0" w:space="0" w:color="auto" w:frame="1"/>
                <w:shd w:val="clear" w:color="auto" w:fill="FFFFFF"/>
                <w:lang w:val="ro-MD"/>
              </w:rPr>
              <w:t>a)</w:t>
            </w:r>
            <w:r w:rsidRPr="009E686F">
              <w:rPr>
                <w:rFonts w:ascii="Times New Roman" w:eastAsia="Aptos" w:hAnsi="Times New Roman" w:cs="Times New Roman"/>
                <w:i/>
                <w:iCs/>
                <w:color w:val="000000"/>
                <w:kern w:val="2"/>
                <w:bdr w:val="dotted" w:sz="6" w:space="0" w:color="FEFEFE" w:frame="1"/>
                <w:shd w:val="clear" w:color="auto" w:fill="FFFFFF"/>
                <w:lang w:val="ro-MD"/>
              </w:rPr>
              <w:t> </w:t>
            </w:r>
            <w:r w:rsidRPr="009E686F">
              <w:rPr>
                <w:rFonts w:ascii="Times New Roman" w:eastAsia="Aptos" w:hAnsi="Times New Roman" w:cs="Times New Roman"/>
                <w:i/>
                <w:iCs/>
                <w:color w:val="000000"/>
                <w:kern w:val="2"/>
                <w:bdr w:val="none" w:sz="0" w:space="0" w:color="auto" w:frame="1"/>
                <w:shd w:val="clear" w:color="auto" w:fill="FFFFFF"/>
                <w:lang w:val="ro-MD"/>
              </w:rPr>
              <w:t>în scopul prevăzut la  alin. (6) lit. a), în termen de 4 luni de la data transmiterii de către Banca Națională a Moldovei, în calitate de supraveghetor consolidant, către celelalte autorități competente relevante a unui raport referitor la evaluarea riscului la nivel de grup, în sensul prevederilor 139</w:t>
            </w:r>
            <w:r w:rsidRPr="009E686F">
              <w:rPr>
                <w:rFonts w:ascii="Times New Roman" w:eastAsia="Aptos" w:hAnsi="Times New Roman" w:cs="Times New Roman"/>
                <w:i/>
                <w:iCs/>
                <w:color w:val="000000"/>
                <w:kern w:val="2"/>
                <w:bdr w:val="none" w:sz="0" w:space="0" w:color="auto" w:frame="1"/>
                <w:shd w:val="clear" w:color="auto" w:fill="FFFFFF"/>
                <w:vertAlign w:val="superscript"/>
                <w:lang w:val="ro-MD"/>
              </w:rPr>
              <w:t>1</w:t>
            </w:r>
            <w:r w:rsidRPr="009E686F">
              <w:rPr>
                <w:rFonts w:ascii="Times New Roman" w:eastAsia="Aptos" w:hAnsi="Times New Roman" w:cs="Times New Roman"/>
                <w:i/>
                <w:iCs/>
                <w:color w:val="000000"/>
                <w:kern w:val="2"/>
                <w:bdr w:val="none" w:sz="0" w:space="0" w:color="auto" w:frame="1"/>
                <w:shd w:val="clear" w:color="auto" w:fill="FFFFFF"/>
                <w:lang w:val="ro-MD"/>
              </w:rPr>
              <w:t>;</w:t>
            </w:r>
          </w:p>
          <w:p w14:paraId="3C5BDF52" w14:textId="5E17A5A1" w:rsidR="00984B34" w:rsidRPr="009E686F" w:rsidRDefault="00984B34" w:rsidP="00984B34">
            <w:pPr>
              <w:spacing w:after="0"/>
              <w:jc w:val="both"/>
              <w:rPr>
                <w:rFonts w:ascii="Times New Roman" w:hAnsi="Times New Roman" w:cs="Times New Roman"/>
                <w:b/>
                <w:i/>
                <w:iCs/>
                <w:lang w:val="ro-RO"/>
              </w:rPr>
            </w:pPr>
            <w:r w:rsidRPr="009E686F">
              <w:rPr>
                <w:rFonts w:ascii="Times New Roman" w:eastAsia="Aptos" w:hAnsi="Times New Roman" w:cs="Times New Roman"/>
                <w:i/>
                <w:iCs/>
                <w:color w:val="000000"/>
                <w:kern w:val="2"/>
                <w:bdr w:val="none" w:sz="0" w:space="0" w:color="auto" w:frame="1"/>
                <w:shd w:val="clear" w:color="auto" w:fill="FFFFFF"/>
                <w:lang w:val="ro-MD"/>
              </w:rPr>
              <w:t>b)</w:t>
            </w:r>
            <w:r w:rsidRPr="009E686F">
              <w:rPr>
                <w:rFonts w:ascii="Times New Roman" w:eastAsia="Aptos" w:hAnsi="Times New Roman" w:cs="Times New Roman"/>
                <w:i/>
                <w:iCs/>
                <w:color w:val="000000"/>
                <w:kern w:val="2"/>
                <w:bdr w:val="dotted" w:sz="6" w:space="0" w:color="FEFEFE" w:frame="1"/>
                <w:shd w:val="clear" w:color="auto" w:fill="FFFFFF"/>
                <w:lang w:val="ro-MD"/>
              </w:rPr>
              <w:t> </w:t>
            </w:r>
            <w:r w:rsidRPr="009E686F">
              <w:rPr>
                <w:rFonts w:ascii="Times New Roman" w:eastAsia="Aptos" w:hAnsi="Times New Roman" w:cs="Times New Roman"/>
                <w:i/>
                <w:iCs/>
                <w:color w:val="000000"/>
                <w:kern w:val="2"/>
                <w:bdr w:val="none" w:sz="0" w:space="0" w:color="auto" w:frame="1"/>
                <w:shd w:val="clear" w:color="auto" w:fill="FFFFFF"/>
                <w:lang w:val="ro-MD"/>
              </w:rPr>
              <w:t>în scopul prevăzut la  alin. (6) lit. b), în termen de 4 luni de la data prezentării de către Banca Națională a Moldovei, în calitate de supraveghetor consolidant, a unui raport referitor la evaluarea profilului riscului de lichiditate la nivel de grup, potrivit prevederilor art. 105 și  139 alin. (6) și (7), precum și dispozițiilor referitoare la riscul de lichiditate prevăzute în reglementările emise în aplicarea prezentei ordonanțe de urgență;</w:t>
            </w:r>
          </w:p>
          <w:p w14:paraId="360FB553" w14:textId="2B931984" w:rsidR="00984B34" w:rsidRPr="009E686F" w:rsidRDefault="00984B34" w:rsidP="00984B34">
            <w:pPr>
              <w:spacing w:after="0"/>
              <w:jc w:val="both"/>
              <w:rPr>
                <w:rFonts w:ascii="Times New Roman" w:eastAsia="Aptos" w:hAnsi="Times New Roman" w:cs="Times New Roman"/>
                <w:i/>
                <w:color w:val="000000"/>
                <w:kern w:val="2"/>
                <w:bdr w:val="none" w:sz="0" w:space="0" w:color="auto" w:frame="1"/>
                <w:shd w:val="clear" w:color="auto" w:fill="FFFFFF"/>
                <w:lang w:val="ro-MD"/>
              </w:rPr>
            </w:pPr>
            <w:r w:rsidRPr="009E686F">
              <w:rPr>
                <w:rFonts w:ascii="Times New Roman" w:eastAsia="Aptos" w:hAnsi="Times New Roman" w:cs="Times New Roman"/>
                <w:i/>
                <w:iCs/>
                <w:color w:val="000000"/>
                <w:kern w:val="2"/>
                <w:bdr w:val="none" w:sz="0" w:space="0" w:color="auto" w:frame="1"/>
                <w:shd w:val="clear" w:color="auto" w:fill="FFFFFF"/>
                <w:lang w:val="ro-MD"/>
              </w:rPr>
              <w:t>c)</w:t>
            </w:r>
            <w:r w:rsidRPr="009E686F">
              <w:rPr>
                <w:rFonts w:ascii="Times New Roman" w:eastAsia="Aptos" w:hAnsi="Times New Roman" w:cs="Times New Roman"/>
                <w:i/>
                <w:iCs/>
                <w:color w:val="000000"/>
                <w:kern w:val="2"/>
                <w:bdr w:val="dotted" w:sz="6" w:space="0" w:color="FEFEFE" w:frame="1"/>
                <w:shd w:val="clear" w:color="auto" w:fill="FFFFFF"/>
                <w:lang w:val="ro-MD"/>
              </w:rPr>
              <w:t> </w:t>
            </w:r>
            <w:r w:rsidRPr="009E686F">
              <w:rPr>
                <w:rFonts w:ascii="Times New Roman" w:eastAsia="Aptos" w:hAnsi="Times New Roman" w:cs="Times New Roman"/>
                <w:i/>
                <w:iCs/>
                <w:color w:val="000000"/>
                <w:kern w:val="2"/>
                <w:bdr w:val="none" w:sz="0" w:space="0" w:color="auto" w:frame="1"/>
                <w:shd w:val="clear" w:color="auto" w:fill="FFFFFF"/>
                <w:lang w:val="ro-MD"/>
              </w:rPr>
              <w:t>în scopul prevăzut la  alin. (6) lit. c), în termen de 4 luni de la data prezentării de către Banca Națională a Moldovei, în calitate de supraveghetor consolidant, a unui raport referitor la evaluarea riscului la nivel de grup potrivit art. 101</w:t>
            </w:r>
            <w:r w:rsidRPr="009E686F">
              <w:rPr>
                <w:rFonts w:ascii="Times New Roman" w:eastAsia="Aptos" w:hAnsi="Times New Roman" w:cs="Times New Roman"/>
                <w:i/>
                <w:iCs/>
                <w:color w:val="000000"/>
                <w:kern w:val="2"/>
                <w:bdr w:val="none" w:sz="0" w:space="0" w:color="auto" w:frame="1"/>
                <w:shd w:val="clear" w:color="auto" w:fill="FFFFFF"/>
                <w:vertAlign w:val="superscript"/>
                <w:lang w:val="ro-MD"/>
              </w:rPr>
              <w:t>1</w:t>
            </w:r>
            <w:r w:rsidRPr="009E686F">
              <w:rPr>
                <w:rFonts w:ascii="Times New Roman" w:eastAsia="Aptos" w:hAnsi="Times New Roman" w:cs="Times New Roman"/>
                <w:color w:val="000000"/>
                <w:kern w:val="2"/>
                <w:bdr w:val="none" w:sz="0" w:space="0" w:color="auto" w:frame="1"/>
                <w:shd w:val="clear" w:color="auto" w:fill="FFFFFF"/>
                <w:lang w:val="ro-MD"/>
              </w:rPr>
              <w:t>.</w:t>
            </w:r>
          </w:p>
        </w:tc>
        <w:tc>
          <w:tcPr>
            <w:tcW w:w="470" w:type="pct"/>
            <w:tcBorders>
              <w:top w:val="single" w:sz="4" w:space="0" w:color="auto"/>
              <w:left w:val="single" w:sz="4" w:space="0" w:color="auto"/>
              <w:right w:val="single" w:sz="4" w:space="0" w:color="auto"/>
            </w:tcBorders>
          </w:tcPr>
          <w:p w14:paraId="0974BE62" w14:textId="77777777"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p w14:paraId="13AC00CE" w14:textId="02AA3C22"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right w:val="single" w:sz="4" w:space="0" w:color="auto"/>
            </w:tcBorders>
          </w:tcPr>
          <w:p w14:paraId="51705E97" w14:textId="77777777" w:rsidR="00984B34" w:rsidRPr="009E686F" w:rsidRDefault="00984B34" w:rsidP="00984B34">
            <w:pPr>
              <w:jc w:val="both"/>
              <w:rPr>
                <w:rFonts w:ascii="Times New Roman" w:hAnsi="Times New Roman" w:cs="Times New Roman"/>
                <w:lang w:val="ro-RO"/>
              </w:rPr>
            </w:pPr>
          </w:p>
        </w:tc>
      </w:tr>
      <w:tr w:rsidR="00984B34" w:rsidRPr="009E686F" w14:paraId="380CC097" w14:textId="7EDEC565" w:rsidTr="00774F3E">
        <w:tc>
          <w:tcPr>
            <w:tcW w:w="1796" w:type="pct"/>
            <w:gridSpan w:val="2"/>
            <w:tcBorders>
              <w:top w:val="single" w:sz="4" w:space="0" w:color="auto"/>
              <w:left w:val="single" w:sz="4" w:space="0" w:color="auto"/>
              <w:bottom w:val="single" w:sz="4" w:space="0" w:color="auto"/>
              <w:right w:val="single" w:sz="4" w:space="0" w:color="auto"/>
            </w:tcBorders>
          </w:tcPr>
          <w:p w14:paraId="23B99042" w14:textId="6BA2A04F"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Deciziile comune menționate la literele (a) și (b) din alineatul (1) se includ în documente care cuprind motivația completă a deciziilor respective, iar supraveghetorul </w:t>
            </w:r>
            <w:r w:rsidRPr="009E686F">
              <w:rPr>
                <w:rFonts w:ascii="Times New Roman" w:hAnsi="Times New Roman" w:cs="Times New Roman"/>
                <w:lang w:val="ro-RO"/>
              </w:rPr>
              <w:lastRenderedPageBreak/>
              <w:t xml:space="preserve">consolidant transmite aceste documente instituției-mamă din UE. </w:t>
            </w:r>
          </w:p>
          <w:p w14:paraId="32222E3B" w14:textId="77777777" w:rsidR="00984B34" w:rsidRPr="009E686F" w:rsidRDefault="00984B34" w:rsidP="00984B34">
            <w:pPr>
              <w:spacing w:after="0"/>
              <w:jc w:val="both"/>
              <w:rPr>
                <w:rFonts w:ascii="Times New Roman" w:hAnsi="Times New Roman" w:cs="Times New Roman"/>
                <w:lang w:val="ro-RO"/>
              </w:rPr>
            </w:pPr>
          </w:p>
          <w:p w14:paraId="15D6D0EC"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În caz de dezacord, supraveghetorul consolidant, la solicitarea oricăreia dintre celelalte autorități competente în cauză, consultă ABE. </w:t>
            </w:r>
          </w:p>
          <w:p w14:paraId="0D5E2E5E" w14:textId="77777777" w:rsidR="00984B34" w:rsidRPr="009E686F" w:rsidRDefault="00984B34" w:rsidP="00984B34">
            <w:pPr>
              <w:spacing w:after="0"/>
              <w:jc w:val="both"/>
              <w:rPr>
                <w:rFonts w:ascii="Times New Roman" w:hAnsi="Times New Roman" w:cs="Times New Roman"/>
                <w:lang w:val="ro-RO"/>
              </w:rPr>
            </w:pPr>
          </w:p>
          <w:p w14:paraId="20DFE68E" w14:textId="6D19AF12"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Supraveghetorul consolidant poate consulta ABE din proprie inițiativă.</w:t>
            </w:r>
          </w:p>
        </w:tc>
        <w:tc>
          <w:tcPr>
            <w:tcW w:w="1928" w:type="pct"/>
            <w:gridSpan w:val="3"/>
            <w:tcBorders>
              <w:top w:val="single" w:sz="4" w:space="0" w:color="auto"/>
              <w:left w:val="single" w:sz="4" w:space="0" w:color="auto"/>
              <w:bottom w:val="single" w:sz="4" w:space="0" w:color="auto"/>
              <w:right w:val="single" w:sz="4" w:space="0" w:color="auto"/>
            </w:tcBorders>
          </w:tcPr>
          <w:p w14:paraId="5C29CE6A" w14:textId="55E350F9" w:rsidR="00984B34" w:rsidRPr="009E686F" w:rsidRDefault="00984B34" w:rsidP="00984B34">
            <w:pPr>
              <w:spacing w:after="0"/>
              <w:jc w:val="both"/>
              <w:rPr>
                <w:rFonts w:ascii="Times New Roman" w:eastAsia="Aptos" w:hAnsi="Times New Roman" w:cs="Times New Roman"/>
                <w:color w:val="000000"/>
                <w:kern w:val="2"/>
                <w:bdr w:val="none" w:sz="0" w:space="0" w:color="auto" w:frame="1"/>
                <w:shd w:val="clear" w:color="auto" w:fill="FFFFFF"/>
                <w:lang w:val="ro-MD"/>
              </w:rPr>
            </w:pPr>
            <w:r w:rsidRPr="009E686F">
              <w:rPr>
                <w:rFonts w:ascii="Times New Roman" w:eastAsia="Aptos" w:hAnsi="Times New Roman" w:cs="Times New Roman"/>
                <w:b/>
                <w:bCs/>
                <w:kern w:val="2"/>
                <w:lang w:val="ro-MD"/>
              </w:rPr>
              <w:lastRenderedPageBreak/>
              <w:t>Articolul 111 alin. (9)-(10)</w:t>
            </w:r>
          </w:p>
          <w:p w14:paraId="5F3FB0FB" w14:textId="77777777" w:rsidR="00984B34" w:rsidRPr="009E686F" w:rsidRDefault="00984B34" w:rsidP="00984B34">
            <w:pPr>
              <w:spacing w:after="0"/>
              <w:jc w:val="both"/>
              <w:rPr>
                <w:rFonts w:ascii="Times New Roman" w:eastAsia="Aptos" w:hAnsi="Times New Roman" w:cs="Times New Roman"/>
                <w:i/>
                <w:iCs/>
                <w:color w:val="000000"/>
                <w:kern w:val="2"/>
                <w:bdr w:val="none" w:sz="0" w:space="0" w:color="auto" w:frame="1"/>
                <w:shd w:val="clear" w:color="auto" w:fill="FFFFFF"/>
                <w:lang w:val="ro-MD"/>
              </w:rPr>
            </w:pPr>
            <w:r w:rsidRPr="009E686F">
              <w:rPr>
                <w:rFonts w:ascii="Times New Roman" w:eastAsia="Aptos" w:hAnsi="Times New Roman" w:cs="Times New Roman"/>
                <w:i/>
                <w:color w:val="000000"/>
                <w:kern w:val="2"/>
                <w:bdr w:val="none" w:sz="0" w:space="0" w:color="auto" w:frame="1"/>
                <w:shd w:val="clear" w:color="auto" w:fill="FFFFFF"/>
                <w:lang w:val="ro-MD"/>
              </w:rPr>
              <w:t xml:space="preserve">(9) Decizia comună prevăzută la  alin. (6) lit. a) și b) este inclusă într-un document care cuprinde motivele pe care se </w:t>
            </w:r>
            <w:r w:rsidRPr="009E686F">
              <w:rPr>
                <w:rFonts w:ascii="Times New Roman" w:eastAsia="Aptos" w:hAnsi="Times New Roman" w:cs="Times New Roman"/>
                <w:i/>
                <w:color w:val="000000"/>
                <w:kern w:val="2"/>
                <w:bdr w:val="none" w:sz="0" w:space="0" w:color="auto" w:frame="1"/>
                <w:shd w:val="clear" w:color="auto" w:fill="FFFFFF"/>
                <w:lang w:val="ro-MD"/>
              </w:rPr>
              <w:lastRenderedPageBreak/>
              <w:t xml:space="preserve">întemeiază și este transmisă </w:t>
            </w:r>
            <w:r w:rsidRPr="009E686F">
              <w:rPr>
                <w:rFonts w:ascii="Times New Roman" w:eastAsia="Aptos" w:hAnsi="Times New Roman" w:cs="Times New Roman"/>
                <w:i/>
                <w:iCs/>
                <w:color w:val="000000"/>
                <w:kern w:val="2"/>
                <w:bdr w:val="none" w:sz="0" w:space="0" w:color="auto" w:frame="1"/>
                <w:shd w:val="clear" w:color="auto" w:fill="FFFFFF"/>
                <w:lang w:val="ro-MD"/>
              </w:rPr>
              <w:t>instituției de credit</w:t>
            </w:r>
            <w:r w:rsidRPr="009E686F">
              <w:rPr>
                <w:rFonts w:ascii="Times New Roman" w:eastAsia="Aptos" w:hAnsi="Times New Roman" w:cs="Times New Roman"/>
                <w:i/>
                <w:color w:val="000000"/>
                <w:kern w:val="2"/>
                <w:bdr w:val="none" w:sz="0" w:space="0" w:color="auto" w:frame="1"/>
                <w:shd w:val="clear" w:color="auto" w:fill="FFFFFF"/>
                <w:lang w:val="ro-MD"/>
              </w:rPr>
              <w:t>-mamă la nivelul Uniunii Europene de către Banca Națională a Moldovei, în calitate de supraveghetor consolidant.</w:t>
            </w:r>
          </w:p>
          <w:p w14:paraId="3BC0F444" w14:textId="25AD033E" w:rsidR="00984B34" w:rsidRPr="009E686F" w:rsidRDefault="00984B34" w:rsidP="00984B34">
            <w:pPr>
              <w:spacing w:after="0"/>
              <w:jc w:val="both"/>
              <w:rPr>
                <w:rFonts w:ascii="Times New Roman" w:hAnsi="Times New Roman" w:cs="Times New Roman"/>
                <w:i/>
                <w:lang w:val="ro-RO"/>
              </w:rPr>
            </w:pPr>
            <w:r w:rsidRPr="009E686F">
              <w:rPr>
                <w:rFonts w:ascii="Times New Roman" w:hAnsi="Times New Roman" w:cs="Times New Roman"/>
                <w:bCs/>
                <w:i/>
                <w:iCs/>
                <w:lang w:val="ro-RO"/>
              </w:rPr>
              <w:t>(10) În cazul în care nu se ajunge la acord, Banca Națională a Moldovei, în calitate de supraveghetor consolidant, la cererea oricăreia dintre celelalte autorități competente implicate, va consulta Autoritatea Bancară Europeană. Banca Națională a Moldovei, în calitate de supraveghetor consolidant, poate consulta Autoritatea Bancară Europeană din propria inițiativă.</w:t>
            </w:r>
          </w:p>
        </w:tc>
        <w:tc>
          <w:tcPr>
            <w:tcW w:w="470" w:type="pct"/>
            <w:tcBorders>
              <w:top w:val="single" w:sz="4" w:space="0" w:color="auto"/>
              <w:left w:val="single" w:sz="4" w:space="0" w:color="auto"/>
              <w:bottom w:val="single" w:sz="4" w:space="0" w:color="auto"/>
              <w:right w:val="single" w:sz="4" w:space="0" w:color="auto"/>
            </w:tcBorders>
          </w:tcPr>
          <w:p w14:paraId="314403AE" w14:textId="77777777"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lastRenderedPageBreak/>
              <w:t>Compatibil</w:t>
            </w:r>
          </w:p>
          <w:p w14:paraId="1AAB4898" w14:textId="76AE1403"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354FE229" w14:textId="77777777" w:rsidR="00984B34" w:rsidRPr="009E686F" w:rsidRDefault="00984B34" w:rsidP="00984B34">
            <w:pPr>
              <w:jc w:val="both"/>
              <w:rPr>
                <w:rFonts w:ascii="Times New Roman" w:hAnsi="Times New Roman" w:cs="Times New Roman"/>
                <w:lang w:val="ro-RO"/>
              </w:rPr>
            </w:pPr>
          </w:p>
        </w:tc>
      </w:tr>
      <w:tr w:rsidR="00984B34" w:rsidRPr="009E686F" w14:paraId="3B3E2DD6" w14:textId="2F9C77A6" w:rsidTr="00774F3E">
        <w:tc>
          <w:tcPr>
            <w:tcW w:w="1796" w:type="pct"/>
            <w:gridSpan w:val="2"/>
            <w:tcBorders>
              <w:top w:val="single" w:sz="4" w:space="0" w:color="auto"/>
              <w:left w:val="single" w:sz="4" w:space="0" w:color="auto"/>
              <w:bottom w:val="single" w:sz="4" w:space="0" w:color="auto"/>
              <w:right w:val="single" w:sz="4" w:space="0" w:color="auto"/>
            </w:tcBorders>
          </w:tcPr>
          <w:p w14:paraId="686ABF01" w14:textId="3D241645"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(3) În cazul în care autoritățile competente nu ajung la o decizie comună în termenele menționate la alineatul (2) din prezentul articol, supravegehtorul consolidant , ia o decizie pe bază consolidată cu privire la aplicarea articolelor 73, 86 și 97, a articolului 104 alineatul (1) litera (a) și a articolulelor104b și 105 din prezenta directivă, după luarea în considerare în mod corespunzător a evaluării riscurilor aferente filialelor efectuate de autoritățile competente relevante. </w:t>
            </w:r>
          </w:p>
          <w:p w14:paraId="622E79FB" w14:textId="199954CE"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În cazul în care, la încheierea termenelor menționate la alineatul (2) din prezentul articol, oricare dintre autoritățile competente în cauză a sesizat ABE în conformitate cu articolul 19 din Regulamentul (UE) nr. 1093/2010, supravegehtorul consolidant își amână decizia și așteaptă decizia pe care o poate lua ABE în conformitate cu articolul 19 alineatul (3) din regulamentul menționat anterior, adoptându-și apoi decizia, în conformitate cu decizia ABE. </w:t>
            </w:r>
          </w:p>
          <w:p w14:paraId="2C0A6C40" w14:textId="4588A184"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Termenele menționate la alineatul (2) din prezentul articol se consideră termene de conciliere în sensul Regulamentului (UE) nr. 1093/2010. ABE își ia decizia în termen de o lună de la primirea sesizării de către ABE. ABE nu poate fi sesizată după expirarea termenului de patru luni sau după ce s-a luat o decizie comună.</w:t>
            </w:r>
          </w:p>
        </w:tc>
        <w:tc>
          <w:tcPr>
            <w:tcW w:w="1928" w:type="pct"/>
            <w:gridSpan w:val="3"/>
            <w:tcBorders>
              <w:top w:val="single" w:sz="4" w:space="0" w:color="auto"/>
              <w:left w:val="single" w:sz="4" w:space="0" w:color="auto"/>
              <w:bottom w:val="single" w:sz="4" w:space="0" w:color="auto"/>
              <w:right w:val="single" w:sz="4" w:space="0" w:color="auto"/>
            </w:tcBorders>
          </w:tcPr>
          <w:p w14:paraId="3AEFEB9B" w14:textId="534ACD77" w:rsidR="00984B34" w:rsidRPr="009E686F" w:rsidRDefault="00984B34" w:rsidP="00984B34">
            <w:pPr>
              <w:spacing w:after="0"/>
              <w:jc w:val="both"/>
              <w:rPr>
                <w:rFonts w:ascii="Times New Roman" w:eastAsia="Aptos" w:hAnsi="Times New Roman" w:cs="Times New Roman"/>
                <w:color w:val="000000"/>
                <w:kern w:val="2"/>
                <w:bdr w:val="none" w:sz="0" w:space="0" w:color="auto" w:frame="1"/>
                <w:shd w:val="clear" w:color="auto" w:fill="FFFFFF"/>
                <w:lang w:val="ro-MD"/>
              </w:rPr>
            </w:pPr>
            <w:r w:rsidRPr="009E686F">
              <w:rPr>
                <w:rFonts w:ascii="Times New Roman" w:eastAsia="Aptos" w:hAnsi="Times New Roman" w:cs="Times New Roman"/>
                <w:b/>
                <w:bCs/>
                <w:kern w:val="2"/>
                <w:lang w:val="ro-MD"/>
              </w:rPr>
              <w:t>Articolul 111 alin. (11)-(12)</w:t>
            </w:r>
          </w:p>
          <w:p w14:paraId="7AE64D95" w14:textId="4C39F105" w:rsidR="00984B34" w:rsidRPr="009E686F" w:rsidRDefault="00984B34" w:rsidP="00984B34">
            <w:pPr>
              <w:spacing w:after="0"/>
              <w:jc w:val="both"/>
              <w:rPr>
                <w:rFonts w:ascii="Times New Roman" w:eastAsia="Aptos" w:hAnsi="Times New Roman" w:cs="Times New Roman"/>
                <w:i/>
                <w:color w:val="000000"/>
                <w:kern w:val="2"/>
                <w:bdr w:val="none" w:sz="0" w:space="0" w:color="auto" w:frame="1"/>
                <w:shd w:val="clear" w:color="auto" w:fill="FFFFFF"/>
                <w:lang w:val="ro-MD"/>
              </w:rPr>
            </w:pPr>
            <w:r w:rsidRPr="009E686F">
              <w:rPr>
                <w:rFonts w:ascii="Times New Roman" w:eastAsia="Aptos" w:hAnsi="Times New Roman" w:cs="Times New Roman"/>
                <w:i/>
                <w:color w:val="000000"/>
                <w:kern w:val="2"/>
                <w:bdr w:val="none" w:sz="0" w:space="0" w:color="auto" w:frame="1"/>
                <w:shd w:val="clear" w:color="auto" w:fill="FFFFFF"/>
                <w:lang w:val="ro-MD"/>
              </w:rPr>
              <w:t>(11) În cazul în care nu se ajunge la o decizie comună a autorităților competente în termenele prevăzute la alin. (8), decizia cu privire la aplicarea prevederilor art.78, 100, 105, </w:t>
            </w:r>
            <w:r w:rsidRPr="009E686F" w:rsidDel="003E758B">
              <w:rPr>
                <w:rFonts w:ascii="Times New Roman" w:eastAsia="Aptos" w:hAnsi="Times New Roman" w:cs="Times New Roman"/>
                <w:i/>
                <w:color w:val="000000"/>
                <w:kern w:val="2"/>
                <w:bdr w:val="none" w:sz="0" w:space="0" w:color="auto" w:frame="1"/>
                <w:shd w:val="clear" w:color="auto" w:fill="FFFFFF"/>
                <w:lang w:val="ro-MD"/>
              </w:rPr>
              <w:t xml:space="preserve"> </w:t>
            </w:r>
            <w:r w:rsidRPr="009E686F">
              <w:rPr>
                <w:rFonts w:ascii="Times New Roman" w:eastAsia="Aptos" w:hAnsi="Times New Roman" w:cs="Times New Roman"/>
                <w:i/>
                <w:color w:val="000000"/>
                <w:kern w:val="2"/>
                <w:bdr w:val="none" w:sz="0" w:space="0" w:color="auto" w:frame="1"/>
                <w:shd w:val="clear" w:color="auto" w:fill="FFFFFF"/>
                <w:lang w:val="ro-MD"/>
              </w:rPr>
              <w:t>101</w:t>
            </w:r>
            <w:r w:rsidRPr="009E686F">
              <w:rPr>
                <w:rFonts w:ascii="Times New Roman" w:eastAsia="Aptos" w:hAnsi="Times New Roman" w:cs="Times New Roman"/>
                <w:i/>
                <w:color w:val="000000"/>
                <w:kern w:val="2"/>
                <w:bdr w:val="none" w:sz="0" w:space="0" w:color="auto" w:frame="1"/>
                <w:shd w:val="clear" w:color="auto" w:fill="FFFFFF"/>
                <w:vertAlign w:val="superscript"/>
                <w:lang w:val="ro-MD"/>
              </w:rPr>
              <w:t>1</w:t>
            </w:r>
            <w:r w:rsidRPr="009E686F">
              <w:rPr>
                <w:rFonts w:ascii="Times New Roman" w:eastAsia="Aptos" w:hAnsi="Times New Roman" w:cs="Times New Roman"/>
                <w:i/>
                <w:color w:val="000000"/>
                <w:kern w:val="2"/>
                <w:u w:val="single"/>
                <w:bdr w:val="none" w:sz="0" w:space="0" w:color="auto" w:frame="1"/>
                <w:shd w:val="clear" w:color="auto" w:fill="FFFFFF"/>
                <w:lang w:val="ro-MD"/>
              </w:rPr>
              <w:t xml:space="preserve"> </w:t>
            </w:r>
            <w:r w:rsidRPr="009E686F">
              <w:rPr>
                <w:rFonts w:ascii="Times New Roman" w:eastAsia="Aptos" w:hAnsi="Times New Roman" w:cs="Times New Roman"/>
                <w:i/>
                <w:color w:val="000000"/>
                <w:kern w:val="2"/>
                <w:bdr w:val="none" w:sz="0" w:space="0" w:color="auto" w:frame="1"/>
                <w:shd w:val="clear" w:color="auto" w:fill="FFFFFF"/>
                <w:lang w:val="ro-MD"/>
              </w:rPr>
              <w:t>și ale art. 139 alin. (1) lit. a), (6) și (7) trebuie luată, pe bază consolidată, de Banca Națională a Moldovei, în calitate de supraveghetor consolidant, după luarea în considerare în mod corespunzător a evaluării riscului filialelor, efectuată de autoritățile competente relevante.</w:t>
            </w:r>
          </w:p>
          <w:p w14:paraId="6BD0CC26" w14:textId="77777777" w:rsidR="00984B34" w:rsidRPr="009E686F" w:rsidRDefault="00984B34" w:rsidP="00984B34">
            <w:pPr>
              <w:spacing w:after="0"/>
              <w:jc w:val="both"/>
              <w:rPr>
                <w:rFonts w:ascii="Times New Roman" w:eastAsia="Aptos" w:hAnsi="Times New Roman" w:cs="Times New Roman"/>
                <w:i/>
                <w:color w:val="000000"/>
                <w:kern w:val="2"/>
                <w:bdr w:val="none" w:sz="0" w:space="0" w:color="auto" w:frame="1"/>
                <w:shd w:val="clear" w:color="auto" w:fill="FFFFFF"/>
                <w:lang w:val="ro-MD"/>
              </w:rPr>
            </w:pPr>
          </w:p>
          <w:p w14:paraId="1D110942" w14:textId="3ED109B8" w:rsidR="00984B34" w:rsidRPr="009E686F" w:rsidRDefault="00984B34" w:rsidP="00984B34">
            <w:pPr>
              <w:spacing w:after="0"/>
              <w:jc w:val="both"/>
              <w:rPr>
                <w:rFonts w:ascii="Times New Roman" w:hAnsi="Times New Roman" w:cs="Times New Roman"/>
                <w:b/>
                <w:lang w:val="ro-RO"/>
              </w:rPr>
            </w:pPr>
            <w:r w:rsidRPr="009E686F">
              <w:rPr>
                <w:rFonts w:ascii="Times New Roman" w:eastAsia="Aptos" w:hAnsi="Times New Roman" w:cs="Times New Roman"/>
                <w:i/>
                <w:color w:val="000000"/>
                <w:kern w:val="2"/>
                <w:bdr w:val="none" w:sz="0" w:space="0" w:color="auto" w:frame="1"/>
                <w:shd w:val="clear" w:color="auto" w:fill="FFFFFF"/>
                <w:lang w:val="ro-MD"/>
              </w:rPr>
              <w:t>(12) Dacă, până la împlinirea termenelor prevăzute la  alin. (8), oricare dintre autoritățile competente implicate a supus cazul spre soluționare Autorității Bancare Europene, Banca Națională a Moldovei, în calitate de supraveghetor consolidant, amână luarea unei decizii în așteptarea deciziei Autorității Bancare Europene. Banca Națională a Moldovei  va lua decizia în conformitate cu decizia Autorității Bancare Europene, aceasta din urmă fiind luată în termen de o lună de la data la care a fost primit cazul spre soluționare. Cazul nu poate fi supus spre soluționare Autorității Bancare Europene după împlinirea termenelor prevăzute la  alin.(8) sau după luarea unei decizii comune de către autoritățile competente implicate.</w:t>
            </w:r>
          </w:p>
        </w:tc>
        <w:tc>
          <w:tcPr>
            <w:tcW w:w="470" w:type="pct"/>
            <w:tcBorders>
              <w:top w:val="single" w:sz="4" w:space="0" w:color="auto"/>
              <w:left w:val="single" w:sz="4" w:space="0" w:color="auto"/>
              <w:bottom w:val="single" w:sz="4" w:space="0" w:color="auto"/>
              <w:right w:val="single" w:sz="4" w:space="0" w:color="auto"/>
            </w:tcBorders>
          </w:tcPr>
          <w:p w14:paraId="21958085" w14:textId="77777777"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p w14:paraId="6DEF6FB3" w14:textId="77777777" w:rsidR="00984B34" w:rsidRPr="009E686F" w:rsidRDefault="00984B34" w:rsidP="00984B34">
            <w:pPr>
              <w:jc w:val="both"/>
              <w:rPr>
                <w:rFonts w:ascii="Times New Roman" w:hAnsi="Times New Roman" w:cs="Times New Roman"/>
                <w:lang w:val="ro-RO"/>
              </w:rPr>
            </w:pPr>
          </w:p>
          <w:p w14:paraId="159D2748" w14:textId="77777777" w:rsidR="00984B34" w:rsidRPr="009E686F" w:rsidRDefault="00984B34" w:rsidP="00984B34">
            <w:pPr>
              <w:jc w:val="both"/>
              <w:rPr>
                <w:rFonts w:ascii="Times New Roman" w:hAnsi="Times New Roman" w:cs="Times New Roman"/>
                <w:lang w:val="ro-RO"/>
              </w:rPr>
            </w:pPr>
          </w:p>
          <w:p w14:paraId="48F8B55F" w14:textId="77777777" w:rsidR="00984B34" w:rsidRPr="009E686F" w:rsidRDefault="00984B34" w:rsidP="00984B34">
            <w:pPr>
              <w:jc w:val="both"/>
              <w:rPr>
                <w:rFonts w:ascii="Times New Roman" w:hAnsi="Times New Roman" w:cs="Times New Roman"/>
                <w:lang w:val="ro-RO"/>
              </w:rPr>
            </w:pPr>
          </w:p>
          <w:p w14:paraId="6B30DF7B" w14:textId="77777777" w:rsidR="00984B34" w:rsidRPr="009E686F" w:rsidRDefault="00984B34" w:rsidP="00984B34">
            <w:pPr>
              <w:jc w:val="both"/>
              <w:rPr>
                <w:rFonts w:ascii="Times New Roman" w:hAnsi="Times New Roman" w:cs="Times New Roman"/>
                <w:lang w:val="ro-RO"/>
              </w:rPr>
            </w:pPr>
          </w:p>
          <w:p w14:paraId="4CFA593C" w14:textId="6A07D509"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3416CFD6" w14:textId="77777777" w:rsidR="00984B34" w:rsidRPr="009E686F" w:rsidRDefault="00984B34" w:rsidP="00984B34">
            <w:pPr>
              <w:jc w:val="both"/>
              <w:rPr>
                <w:rFonts w:ascii="Times New Roman" w:hAnsi="Times New Roman" w:cs="Times New Roman"/>
                <w:lang w:val="ro-RO"/>
              </w:rPr>
            </w:pPr>
          </w:p>
        </w:tc>
      </w:tr>
      <w:tr w:rsidR="00984B34" w:rsidRPr="009E686F" w14:paraId="16A19D3B" w14:textId="3D8ADB78" w:rsidTr="00774F3E">
        <w:tc>
          <w:tcPr>
            <w:tcW w:w="1796" w:type="pct"/>
            <w:gridSpan w:val="2"/>
            <w:tcBorders>
              <w:top w:val="single" w:sz="4" w:space="0" w:color="auto"/>
              <w:left w:val="single" w:sz="4" w:space="0" w:color="auto"/>
              <w:bottom w:val="single" w:sz="4" w:space="0" w:color="auto"/>
              <w:right w:val="single" w:sz="4" w:space="0" w:color="auto"/>
            </w:tcBorders>
          </w:tcPr>
          <w:p w14:paraId="34617607" w14:textId="38D04190"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lastRenderedPageBreak/>
              <w:t xml:space="preserve">Decizia privind aplicarea articolelor 73, 86 și 97, a articolului 104 alineatul (1) litera (a) și a articolelor 104b și 105 din prezenta directivă se ia de respectivele autorități competente responsabile cu supravegherea filialelor unei </w:t>
            </w:r>
            <w:r w:rsidRPr="009E686F">
              <w:rPr>
                <w:rFonts w:ascii="Times New Roman" w:hAnsi="Times New Roman" w:cs="Times New Roman"/>
                <w:i/>
                <w:iCs/>
                <w:lang w:val="ro-RO"/>
              </w:rPr>
              <w:t>instituții de credit</w:t>
            </w:r>
            <w:r w:rsidRPr="009E686F">
              <w:rPr>
                <w:rFonts w:ascii="Times New Roman" w:hAnsi="Times New Roman" w:cs="Times New Roman"/>
                <w:lang w:val="ro-RO"/>
              </w:rPr>
              <w:t xml:space="preserve">-mamă din UE sau ale unei societăți financiare holding-mamă din UE ori ale unei societăți financiare holding mixte-mamă din UE pe bază individuală sau subconsolidată, după luarea în considerare în mod corespunzător a opiniilor și rezervelor exprimate de supraveghetorul consolidant/ În cazul în care, la încheierea oricăreia dintre termenele menționate la alineatul (2) din prezentul articol, oricare dintre autoritățile competente în cauză a sesizat ABE în conformitate cu articolul 19 din Regulamentul (UE) nr. 1093/2010, autoritățile competente își amână decizia și așteaptă luarea unei decizii de cptre ABE în conformitate cu articolul 19 alineatul (3) din regulamentul menționat anterior, adoptându-și apoi decizia în conformitate cu decizia ABE. Termenele menționate la alineatul (2) din prezentul articol se consideră termene de conciliere în sensul regulamentului respectiv. ABE își ia decizia în termen de o lună de la primirea sesizării de către ABE. ABE nu poate fi sesizată după expirarea termenului de patru luni sau după ce s-a luat o decizie comună. </w:t>
            </w:r>
          </w:p>
        </w:tc>
        <w:tc>
          <w:tcPr>
            <w:tcW w:w="1928" w:type="pct"/>
            <w:gridSpan w:val="3"/>
            <w:tcBorders>
              <w:top w:val="single" w:sz="4" w:space="0" w:color="auto"/>
              <w:left w:val="single" w:sz="4" w:space="0" w:color="auto"/>
              <w:bottom w:val="single" w:sz="4" w:space="0" w:color="auto"/>
              <w:right w:val="single" w:sz="4" w:space="0" w:color="auto"/>
            </w:tcBorders>
          </w:tcPr>
          <w:p w14:paraId="5D4E9D14" w14:textId="52B00FCA" w:rsidR="00984B34" w:rsidRPr="009E686F" w:rsidRDefault="00984B34" w:rsidP="00984B34">
            <w:pPr>
              <w:spacing w:after="0"/>
              <w:jc w:val="both"/>
              <w:rPr>
                <w:rFonts w:ascii="Times New Roman" w:eastAsia="Aptos" w:hAnsi="Times New Roman" w:cs="Times New Roman"/>
                <w:color w:val="000000"/>
                <w:kern w:val="2"/>
                <w:bdr w:val="none" w:sz="0" w:space="0" w:color="auto" w:frame="1"/>
                <w:shd w:val="clear" w:color="auto" w:fill="FFFFFF"/>
                <w:lang w:val="ro-MD"/>
              </w:rPr>
            </w:pPr>
            <w:r w:rsidRPr="009E686F">
              <w:rPr>
                <w:rFonts w:ascii="Times New Roman" w:eastAsia="Aptos" w:hAnsi="Times New Roman" w:cs="Times New Roman"/>
                <w:b/>
                <w:bCs/>
                <w:kern w:val="2"/>
                <w:lang w:val="ro-MD"/>
              </w:rPr>
              <w:t>Articolul 111 alin. (13)</w:t>
            </w:r>
          </w:p>
          <w:p w14:paraId="5DD20675" w14:textId="77777777" w:rsidR="00984B34" w:rsidRPr="009E686F" w:rsidRDefault="00984B34" w:rsidP="00984B34">
            <w:pPr>
              <w:spacing w:after="0"/>
              <w:jc w:val="both"/>
              <w:rPr>
                <w:rFonts w:ascii="Times New Roman" w:eastAsia="Aptos" w:hAnsi="Times New Roman" w:cs="Times New Roman"/>
                <w:color w:val="000000"/>
                <w:kern w:val="2"/>
                <w:bdr w:val="none" w:sz="0" w:space="0" w:color="auto" w:frame="1"/>
                <w:shd w:val="clear" w:color="auto" w:fill="FFFFFF"/>
                <w:lang w:val="ro-MD"/>
              </w:rPr>
            </w:pPr>
          </w:p>
          <w:p w14:paraId="02C77D97" w14:textId="669EC584" w:rsidR="00984B34" w:rsidRPr="009E686F" w:rsidRDefault="00984B34" w:rsidP="00984B34">
            <w:pPr>
              <w:spacing w:after="0" w:line="276" w:lineRule="auto"/>
              <w:jc w:val="both"/>
              <w:rPr>
                <w:rFonts w:ascii="Times New Roman" w:eastAsia="Aptos" w:hAnsi="Times New Roman" w:cs="Times New Roman"/>
                <w:i/>
                <w:iCs/>
                <w:color w:val="000000"/>
                <w:kern w:val="2"/>
                <w:bdr w:val="none" w:sz="0" w:space="0" w:color="auto" w:frame="1"/>
                <w:shd w:val="clear" w:color="auto" w:fill="FFFFFF"/>
                <w:lang w:val="ro-MD"/>
              </w:rPr>
            </w:pPr>
            <w:r w:rsidRPr="009E686F">
              <w:rPr>
                <w:rFonts w:ascii="Times New Roman" w:eastAsia="Aptos" w:hAnsi="Times New Roman" w:cs="Times New Roman"/>
                <w:i/>
                <w:color w:val="000000"/>
                <w:kern w:val="2"/>
                <w:bdr w:val="none" w:sz="0" w:space="0" w:color="auto" w:frame="1"/>
                <w:shd w:val="clear" w:color="auto" w:fill="FFFFFF"/>
                <w:lang w:val="ro-MD"/>
              </w:rPr>
              <w:t>(13) Decizia referitoare la aplicarea prevederilor art. 78, 100, 105, art. 101</w:t>
            </w:r>
            <w:r w:rsidRPr="009E686F">
              <w:rPr>
                <w:rFonts w:ascii="Times New Roman" w:eastAsia="Aptos" w:hAnsi="Times New Roman" w:cs="Times New Roman"/>
                <w:i/>
                <w:color w:val="000000"/>
                <w:kern w:val="2"/>
                <w:bdr w:val="none" w:sz="0" w:space="0" w:color="auto" w:frame="1"/>
                <w:shd w:val="clear" w:color="auto" w:fill="FFFFFF"/>
                <w:vertAlign w:val="superscript"/>
                <w:lang w:val="ro-MD"/>
              </w:rPr>
              <w:t xml:space="preserve">1 </w:t>
            </w:r>
            <w:r w:rsidRPr="009E686F">
              <w:rPr>
                <w:rFonts w:ascii="Times New Roman" w:eastAsia="Aptos" w:hAnsi="Times New Roman" w:cs="Times New Roman"/>
                <w:i/>
                <w:color w:val="000000"/>
                <w:kern w:val="2"/>
                <w:bdr w:val="none" w:sz="0" w:space="0" w:color="auto" w:frame="1"/>
                <w:shd w:val="clear" w:color="auto" w:fill="FFFFFF"/>
                <w:lang w:val="ro-MD"/>
              </w:rPr>
              <w:t xml:space="preserve">și 139 alin. (1) lit. a), (6) și (7) se ia, pe bază individuală sau sub-consolidată, după caz, de Banca Națională a Moldovei, în calitate de autoritate responsabilă cu supravegherea la nivel individual a </w:t>
            </w:r>
            <w:r w:rsidRPr="009E686F">
              <w:rPr>
                <w:rFonts w:ascii="Times New Roman" w:eastAsia="Aptos" w:hAnsi="Times New Roman" w:cs="Times New Roman"/>
                <w:i/>
                <w:iCs/>
                <w:color w:val="000000"/>
                <w:kern w:val="2"/>
                <w:bdr w:val="none" w:sz="0" w:space="0" w:color="auto" w:frame="1"/>
                <w:shd w:val="clear" w:color="auto" w:fill="FFFFFF"/>
                <w:lang w:val="ro-MD"/>
              </w:rPr>
              <w:t>instituțiilor de credit</w:t>
            </w:r>
            <w:r w:rsidRPr="009E686F">
              <w:rPr>
                <w:rFonts w:ascii="Times New Roman" w:eastAsia="Aptos" w:hAnsi="Times New Roman" w:cs="Times New Roman"/>
                <w:i/>
                <w:color w:val="000000"/>
                <w:kern w:val="2"/>
                <w:bdr w:val="none" w:sz="0" w:space="0" w:color="auto" w:frame="1"/>
                <w:shd w:val="clear" w:color="auto" w:fill="FFFFFF"/>
                <w:lang w:val="ro-MD"/>
              </w:rPr>
              <w:t xml:space="preserve">, persoane juridice din Republica Moldova, care sunt filiale ale unei </w:t>
            </w:r>
            <w:r w:rsidRPr="009E686F">
              <w:rPr>
                <w:rFonts w:ascii="Times New Roman" w:eastAsia="Aptos" w:hAnsi="Times New Roman" w:cs="Times New Roman"/>
                <w:i/>
                <w:iCs/>
                <w:color w:val="000000"/>
                <w:kern w:val="2"/>
                <w:bdr w:val="none" w:sz="0" w:space="0" w:color="auto" w:frame="1"/>
                <w:shd w:val="clear" w:color="auto" w:fill="FFFFFF"/>
                <w:lang w:val="ro-MD"/>
              </w:rPr>
              <w:t>instituții de credit</w:t>
            </w:r>
            <w:r w:rsidRPr="009E686F">
              <w:rPr>
                <w:rFonts w:ascii="Times New Roman" w:eastAsia="Aptos" w:hAnsi="Times New Roman" w:cs="Times New Roman"/>
                <w:i/>
                <w:color w:val="000000"/>
                <w:kern w:val="2"/>
                <w:bdr w:val="none" w:sz="0" w:space="0" w:color="auto" w:frame="1"/>
                <w:shd w:val="clear" w:color="auto" w:fill="FFFFFF"/>
                <w:lang w:val="ro-MD"/>
              </w:rPr>
              <w:t>-mamă la nivelul Uniunii Europene, ale unei societăți financiare holding-mamă la nivelul Uniunii Europene sau ale unei societăți financiare holding mixte-mamă la nivelul Uniunii Europene, cu luarea în considerare a opiniilor și obiecțiilor exprimate de supraveghetorul consolidant. exprimate de supraveghetorul consolidant.</w:t>
            </w:r>
          </w:p>
          <w:p w14:paraId="6E2EB91A" w14:textId="77777777" w:rsidR="00984B34" w:rsidRPr="009E686F" w:rsidRDefault="00984B34" w:rsidP="00984B34">
            <w:pPr>
              <w:spacing w:after="0" w:line="276" w:lineRule="auto"/>
              <w:jc w:val="both"/>
              <w:rPr>
                <w:rFonts w:ascii="Times New Roman" w:eastAsia="Aptos" w:hAnsi="Times New Roman" w:cs="Times New Roman"/>
                <w:i/>
                <w:iCs/>
                <w:color w:val="000000"/>
                <w:kern w:val="2"/>
                <w:bdr w:val="none" w:sz="0" w:space="0" w:color="auto" w:frame="1"/>
                <w:shd w:val="clear" w:color="auto" w:fill="FFFFFF"/>
                <w:lang w:val="ro-MD"/>
              </w:rPr>
            </w:pPr>
          </w:p>
          <w:p w14:paraId="1EE12A6A" w14:textId="118015EE" w:rsidR="00984B34" w:rsidRPr="009E686F" w:rsidRDefault="00984B34" w:rsidP="00984B34">
            <w:pPr>
              <w:spacing w:after="0" w:line="276" w:lineRule="auto"/>
              <w:jc w:val="both"/>
              <w:rPr>
                <w:rFonts w:ascii="Times New Roman" w:hAnsi="Times New Roman" w:cs="Times New Roman"/>
                <w:b/>
                <w:i/>
                <w:lang w:val="ro-RO"/>
              </w:rPr>
            </w:pPr>
            <w:r w:rsidRPr="009E686F">
              <w:rPr>
                <w:rFonts w:ascii="Times New Roman" w:eastAsia="Aptos" w:hAnsi="Times New Roman" w:cs="Times New Roman"/>
                <w:i/>
                <w:iCs/>
                <w:color w:val="000000"/>
                <w:kern w:val="2"/>
                <w:bdr w:val="none" w:sz="0" w:space="0" w:color="auto" w:frame="1"/>
                <w:shd w:val="clear" w:color="auto" w:fill="FFFFFF"/>
                <w:lang w:val="ro-MD"/>
              </w:rPr>
              <w:t>(14) Prevederile  alin. (12)   se aplică, în mod corespunzător în cazul deciziilor prevăzute la alin. (13).</w:t>
            </w:r>
          </w:p>
        </w:tc>
        <w:tc>
          <w:tcPr>
            <w:tcW w:w="470" w:type="pct"/>
            <w:tcBorders>
              <w:top w:val="single" w:sz="4" w:space="0" w:color="auto"/>
              <w:left w:val="single" w:sz="4" w:space="0" w:color="auto"/>
              <w:bottom w:val="single" w:sz="4" w:space="0" w:color="auto"/>
              <w:right w:val="single" w:sz="4" w:space="0" w:color="auto"/>
            </w:tcBorders>
          </w:tcPr>
          <w:p w14:paraId="644CF44D" w14:textId="77777777"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p w14:paraId="3F24D6A3" w14:textId="30AC3AF8" w:rsidR="00984B34" w:rsidRPr="009E686F" w:rsidRDefault="00984B34" w:rsidP="00984B34">
            <w:pPr>
              <w:jc w:val="both"/>
              <w:rPr>
                <w:rFonts w:ascii="Times New Roman" w:hAnsi="Times New Roman" w:cs="Times New Roman"/>
                <w:lang w:val="ro-RO"/>
              </w:rPr>
            </w:pPr>
          </w:p>
          <w:p w14:paraId="034AF28D" w14:textId="77777777" w:rsidR="00984B34" w:rsidRPr="009E686F" w:rsidRDefault="00984B34" w:rsidP="00984B34">
            <w:pPr>
              <w:jc w:val="both"/>
              <w:rPr>
                <w:rFonts w:ascii="Times New Roman" w:hAnsi="Times New Roman" w:cs="Times New Roman"/>
                <w:lang w:val="ro-RO"/>
              </w:rPr>
            </w:pPr>
          </w:p>
          <w:p w14:paraId="6D47BBB3" w14:textId="77777777" w:rsidR="00984B34" w:rsidRPr="009E686F" w:rsidRDefault="00984B34" w:rsidP="00984B34">
            <w:pPr>
              <w:jc w:val="both"/>
              <w:rPr>
                <w:rFonts w:ascii="Times New Roman" w:hAnsi="Times New Roman" w:cs="Times New Roman"/>
                <w:lang w:val="ro-RO"/>
              </w:rPr>
            </w:pPr>
          </w:p>
          <w:p w14:paraId="267FF9DF" w14:textId="5A5F0FCA" w:rsidR="00984B34" w:rsidRPr="009E686F" w:rsidRDefault="00984B34" w:rsidP="00984B34">
            <w:pPr>
              <w:jc w:val="both"/>
              <w:rPr>
                <w:rFonts w:ascii="Times New Roman" w:hAnsi="Times New Roman" w:cs="Times New Roman"/>
                <w:b/>
                <w:lang w:val="ro-RO"/>
              </w:rPr>
            </w:pPr>
          </w:p>
        </w:tc>
        <w:tc>
          <w:tcPr>
            <w:tcW w:w="806" w:type="pct"/>
            <w:tcBorders>
              <w:top w:val="single" w:sz="4" w:space="0" w:color="auto"/>
              <w:left w:val="single" w:sz="4" w:space="0" w:color="auto"/>
              <w:bottom w:val="single" w:sz="4" w:space="0" w:color="auto"/>
              <w:right w:val="single" w:sz="4" w:space="0" w:color="auto"/>
            </w:tcBorders>
          </w:tcPr>
          <w:p w14:paraId="5009EEB8" w14:textId="77777777" w:rsidR="00984B34" w:rsidRPr="009E686F" w:rsidRDefault="00984B34" w:rsidP="00984B34">
            <w:pPr>
              <w:jc w:val="both"/>
              <w:rPr>
                <w:rFonts w:ascii="Times New Roman" w:hAnsi="Times New Roman" w:cs="Times New Roman"/>
                <w:lang w:val="ro-RO"/>
              </w:rPr>
            </w:pPr>
          </w:p>
        </w:tc>
      </w:tr>
      <w:tr w:rsidR="00984B34" w:rsidRPr="009E686F" w14:paraId="65EA9388" w14:textId="45C8CF4B" w:rsidTr="00774F3E">
        <w:tc>
          <w:tcPr>
            <w:tcW w:w="1796" w:type="pct"/>
            <w:gridSpan w:val="2"/>
            <w:tcBorders>
              <w:top w:val="single" w:sz="4" w:space="0" w:color="auto"/>
              <w:left w:val="single" w:sz="4" w:space="0" w:color="auto"/>
              <w:bottom w:val="single" w:sz="4" w:space="0" w:color="auto"/>
              <w:right w:val="single" w:sz="4" w:space="0" w:color="auto"/>
            </w:tcBorders>
          </w:tcPr>
          <w:p w14:paraId="5F9968CE" w14:textId="3F63917A"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Deciziile se includ într-un document care cuprinde motivația completă și țin seama de evaluarea riscurilor și de opiniile și rezervele celorlalte autorități competente, exprimate în termenele menționate la alineatul (2). Documentul se transmite de către supravegehtorul consolidant tuturor autorităților competente în cauză și instituției-mamă din UE. </w:t>
            </w:r>
          </w:p>
        </w:tc>
        <w:tc>
          <w:tcPr>
            <w:tcW w:w="1928" w:type="pct"/>
            <w:gridSpan w:val="3"/>
            <w:tcBorders>
              <w:top w:val="single" w:sz="4" w:space="0" w:color="auto"/>
              <w:left w:val="single" w:sz="4" w:space="0" w:color="auto"/>
              <w:bottom w:val="single" w:sz="4" w:space="0" w:color="auto"/>
              <w:right w:val="single" w:sz="4" w:space="0" w:color="auto"/>
            </w:tcBorders>
          </w:tcPr>
          <w:p w14:paraId="606260B7" w14:textId="740C43A6" w:rsidR="00984B34" w:rsidRPr="009E686F" w:rsidRDefault="00984B34" w:rsidP="00984B34">
            <w:pPr>
              <w:spacing w:after="0"/>
              <w:jc w:val="both"/>
              <w:rPr>
                <w:rFonts w:ascii="Times New Roman" w:hAnsi="Times New Roman" w:cs="Times New Roman"/>
                <w:b/>
                <w:i/>
                <w:lang w:val="ro-RO"/>
              </w:rPr>
            </w:pPr>
            <w:r w:rsidRPr="009E686F">
              <w:rPr>
                <w:rFonts w:ascii="Times New Roman" w:eastAsia="Aptos" w:hAnsi="Times New Roman" w:cs="Times New Roman"/>
                <w:i/>
                <w:color w:val="000000"/>
                <w:kern w:val="2"/>
                <w:bdr w:val="none" w:sz="0" w:space="0" w:color="auto" w:frame="1"/>
                <w:shd w:val="clear" w:color="auto" w:fill="FFFFFF"/>
                <w:lang w:val="ro-MD"/>
              </w:rPr>
              <w:t>(15)</w:t>
            </w:r>
            <w:r w:rsidRPr="009E686F">
              <w:rPr>
                <w:rFonts w:ascii="Times New Roman" w:eastAsia="Aptos" w:hAnsi="Times New Roman" w:cs="Times New Roman"/>
                <w:b/>
                <w:i/>
                <w:color w:val="000000"/>
                <w:kern w:val="2"/>
                <w:bdr w:val="none" w:sz="0" w:space="0" w:color="auto" w:frame="1"/>
                <w:shd w:val="clear" w:color="auto" w:fill="FFFFFF"/>
                <w:lang w:val="ro-MD"/>
              </w:rPr>
              <w:t xml:space="preserve"> </w:t>
            </w:r>
            <w:r w:rsidRPr="009E686F">
              <w:rPr>
                <w:rFonts w:ascii="Times New Roman" w:eastAsia="Aptos" w:hAnsi="Times New Roman" w:cs="Times New Roman"/>
                <w:i/>
                <w:color w:val="000000"/>
                <w:kern w:val="2"/>
                <w:bdr w:val="none" w:sz="0" w:space="0" w:color="auto" w:frame="1"/>
                <w:shd w:val="clear" w:color="auto" w:fill="FFFFFF"/>
                <w:lang w:val="ro-MD"/>
              </w:rPr>
              <w:t>Deciziile prevăzute la alin.</w:t>
            </w:r>
            <w:r w:rsidRPr="009E686F" w:rsidDel="004B3FC0">
              <w:rPr>
                <w:rFonts w:ascii="Times New Roman" w:eastAsia="Aptos" w:hAnsi="Times New Roman" w:cs="Times New Roman"/>
                <w:i/>
                <w:color w:val="000000"/>
                <w:kern w:val="2"/>
                <w:bdr w:val="none" w:sz="0" w:space="0" w:color="auto" w:frame="1"/>
                <w:shd w:val="clear" w:color="auto" w:fill="FFFFFF"/>
                <w:lang w:val="ro-MD"/>
              </w:rPr>
              <w:t xml:space="preserve"> </w:t>
            </w:r>
            <w:r w:rsidRPr="009E686F">
              <w:rPr>
                <w:rFonts w:ascii="Times New Roman" w:eastAsia="Aptos" w:hAnsi="Times New Roman" w:cs="Times New Roman"/>
                <w:i/>
                <w:color w:val="000000"/>
                <w:kern w:val="2"/>
                <w:bdr w:val="none" w:sz="0" w:space="0" w:color="auto" w:frame="1"/>
                <w:shd w:val="clear" w:color="auto" w:fill="FFFFFF"/>
                <w:lang w:val="ro-MD"/>
              </w:rPr>
              <w:t xml:space="preserve"> (8) – (14) sunt incluse într-un document care cuprinde motivele pe care se întemeiază și iau în considerare evaluările de risc, opiniile și obiecțiile celorlalte autorități competente exprimate în termenele prevăzute la  alin. (8). Documentul este transmis de către Banca Națională a Moldovei tuturor autorităților competente implicate, precum și </w:t>
            </w:r>
            <w:r w:rsidRPr="009E686F">
              <w:rPr>
                <w:rFonts w:ascii="Times New Roman" w:eastAsia="Aptos" w:hAnsi="Times New Roman" w:cs="Times New Roman"/>
                <w:i/>
                <w:iCs/>
                <w:color w:val="000000"/>
                <w:kern w:val="2"/>
                <w:bdr w:val="none" w:sz="0" w:space="0" w:color="auto" w:frame="1"/>
                <w:shd w:val="clear" w:color="auto" w:fill="FFFFFF"/>
                <w:lang w:val="ro-MD"/>
              </w:rPr>
              <w:t>instituției de credit</w:t>
            </w:r>
            <w:r w:rsidRPr="009E686F">
              <w:rPr>
                <w:rFonts w:ascii="Times New Roman" w:eastAsia="Aptos" w:hAnsi="Times New Roman" w:cs="Times New Roman"/>
                <w:i/>
                <w:color w:val="000000"/>
                <w:kern w:val="2"/>
                <w:bdr w:val="none" w:sz="0" w:space="0" w:color="auto" w:frame="1"/>
                <w:shd w:val="clear" w:color="auto" w:fill="FFFFFF"/>
                <w:lang w:val="ro-MD"/>
              </w:rPr>
              <w:t>-mamă la nivelul Uniunii Europene.</w:t>
            </w:r>
          </w:p>
        </w:tc>
        <w:tc>
          <w:tcPr>
            <w:tcW w:w="470" w:type="pct"/>
            <w:tcBorders>
              <w:top w:val="single" w:sz="4" w:space="0" w:color="auto"/>
              <w:left w:val="single" w:sz="4" w:space="0" w:color="auto"/>
              <w:bottom w:val="single" w:sz="4" w:space="0" w:color="auto"/>
              <w:right w:val="single" w:sz="4" w:space="0" w:color="auto"/>
            </w:tcBorders>
          </w:tcPr>
          <w:p w14:paraId="5314BDED" w14:textId="77777777"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p w14:paraId="39254591" w14:textId="0BED8E1B"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3754A5C4" w14:textId="77777777" w:rsidR="00984B34" w:rsidRPr="009E686F" w:rsidRDefault="00984B34" w:rsidP="00984B34">
            <w:pPr>
              <w:jc w:val="both"/>
              <w:rPr>
                <w:rFonts w:ascii="Times New Roman" w:hAnsi="Times New Roman" w:cs="Times New Roman"/>
                <w:lang w:val="ro-RO"/>
              </w:rPr>
            </w:pPr>
          </w:p>
        </w:tc>
      </w:tr>
      <w:tr w:rsidR="00984B34" w:rsidRPr="009E686F" w14:paraId="13A49D46" w14:textId="056CC080" w:rsidTr="00774F3E">
        <w:tc>
          <w:tcPr>
            <w:tcW w:w="1796" w:type="pct"/>
            <w:gridSpan w:val="2"/>
            <w:tcBorders>
              <w:top w:val="single" w:sz="4" w:space="0" w:color="auto"/>
              <w:left w:val="single" w:sz="4" w:space="0" w:color="auto"/>
              <w:bottom w:val="single" w:sz="4" w:space="0" w:color="auto"/>
              <w:right w:val="single" w:sz="4" w:space="0" w:color="auto"/>
            </w:tcBorders>
          </w:tcPr>
          <w:p w14:paraId="46BBAFC1" w14:textId="180CE1D8"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lastRenderedPageBreak/>
              <w:t>În cazul consultării ABE, toate autoritățile competente țin seama de avizul acesteia și explică orice abatere semnificativă de la avizul respectiv.</w:t>
            </w:r>
          </w:p>
        </w:tc>
        <w:tc>
          <w:tcPr>
            <w:tcW w:w="1928" w:type="pct"/>
            <w:gridSpan w:val="3"/>
            <w:tcBorders>
              <w:top w:val="single" w:sz="4" w:space="0" w:color="auto"/>
              <w:left w:val="single" w:sz="4" w:space="0" w:color="auto"/>
              <w:bottom w:val="single" w:sz="4" w:space="0" w:color="auto"/>
              <w:right w:val="single" w:sz="4" w:space="0" w:color="auto"/>
            </w:tcBorders>
          </w:tcPr>
          <w:p w14:paraId="593682C6" w14:textId="4140C8E0" w:rsidR="00984B34" w:rsidRPr="009E686F" w:rsidRDefault="00984B34" w:rsidP="00984B34">
            <w:pPr>
              <w:spacing w:after="0"/>
              <w:jc w:val="both"/>
              <w:rPr>
                <w:rFonts w:ascii="Times New Roman" w:hAnsi="Times New Roman" w:cs="Times New Roman"/>
                <w:b/>
                <w:i/>
                <w:lang w:val="ro-RO"/>
              </w:rPr>
            </w:pPr>
            <w:r w:rsidRPr="009E686F">
              <w:rPr>
                <w:rFonts w:ascii="Times New Roman" w:eastAsia="Aptos" w:hAnsi="Times New Roman" w:cs="Times New Roman"/>
                <w:i/>
                <w:color w:val="000000"/>
                <w:kern w:val="2"/>
                <w:bdr w:val="none" w:sz="0" w:space="0" w:color="auto" w:frame="1"/>
                <w:shd w:val="clear" w:color="auto" w:fill="FFFFFF"/>
                <w:lang w:val="ro-MD"/>
              </w:rPr>
              <w:t>(16) În cazul în care consultă Autoritatea Bancară Europeană potrivit prevederilor  alin. (10), Banca Națională a Moldovei ține seama de opinia acestea și explică orice abatere semnificativă de la aceasta, inclusiv în cazul în care consultarea se realizează de altă autoritate competentă, în calitate de supraveghetor consolidant.</w:t>
            </w:r>
          </w:p>
        </w:tc>
        <w:tc>
          <w:tcPr>
            <w:tcW w:w="470" w:type="pct"/>
            <w:tcBorders>
              <w:top w:val="single" w:sz="4" w:space="0" w:color="auto"/>
              <w:left w:val="single" w:sz="4" w:space="0" w:color="auto"/>
              <w:bottom w:val="single" w:sz="4" w:space="0" w:color="auto"/>
              <w:right w:val="single" w:sz="4" w:space="0" w:color="auto"/>
            </w:tcBorders>
          </w:tcPr>
          <w:p w14:paraId="5DC714A6" w14:textId="77777777"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p w14:paraId="1B43D08E" w14:textId="33714D7E"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44C92035" w14:textId="77777777" w:rsidR="00984B34" w:rsidRPr="009E686F" w:rsidRDefault="00984B34" w:rsidP="00984B34">
            <w:pPr>
              <w:jc w:val="both"/>
              <w:rPr>
                <w:rFonts w:ascii="Times New Roman" w:hAnsi="Times New Roman" w:cs="Times New Roman"/>
                <w:lang w:val="ro-RO"/>
              </w:rPr>
            </w:pPr>
          </w:p>
        </w:tc>
      </w:tr>
      <w:tr w:rsidR="00984B34" w:rsidRPr="009E686F" w14:paraId="0A2A6C3C" w14:textId="7DE25EE5" w:rsidTr="00774F3E">
        <w:tc>
          <w:tcPr>
            <w:tcW w:w="1796" w:type="pct"/>
            <w:gridSpan w:val="2"/>
            <w:tcBorders>
              <w:top w:val="single" w:sz="4" w:space="0" w:color="auto"/>
              <w:left w:val="single" w:sz="4" w:space="0" w:color="auto"/>
              <w:bottom w:val="single" w:sz="4" w:space="0" w:color="auto"/>
              <w:right w:val="single" w:sz="4" w:space="0" w:color="auto"/>
            </w:tcBorders>
          </w:tcPr>
          <w:p w14:paraId="7A770FDD" w14:textId="107617A0"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(4) Deciziile comune menționate la alineatul (1) și deciziile luate de autoritățile competente în absența unei decizii comune menționate la alineatul (3) sunt recunoscute ca fiind determinante și sunt aplicate de către autoritățile competente în statele membre în cauză. </w:t>
            </w:r>
          </w:p>
        </w:tc>
        <w:tc>
          <w:tcPr>
            <w:tcW w:w="1928" w:type="pct"/>
            <w:gridSpan w:val="3"/>
            <w:tcBorders>
              <w:top w:val="single" w:sz="4" w:space="0" w:color="auto"/>
              <w:left w:val="single" w:sz="4" w:space="0" w:color="auto"/>
              <w:bottom w:val="single" w:sz="4" w:space="0" w:color="auto"/>
              <w:right w:val="single" w:sz="4" w:space="0" w:color="auto"/>
            </w:tcBorders>
          </w:tcPr>
          <w:p w14:paraId="224B2873" w14:textId="77777777" w:rsidR="00984B34" w:rsidRPr="009E686F" w:rsidRDefault="00984B34" w:rsidP="00984B34">
            <w:pPr>
              <w:spacing w:after="0"/>
              <w:jc w:val="both"/>
              <w:rPr>
                <w:rFonts w:ascii="Times New Roman" w:eastAsia="Aptos" w:hAnsi="Times New Roman" w:cs="Times New Roman"/>
                <w:i/>
                <w:iCs/>
                <w:color w:val="000000"/>
                <w:kern w:val="2"/>
                <w:bdr w:val="none" w:sz="0" w:space="0" w:color="auto" w:frame="1"/>
                <w:shd w:val="clear" w:color="auto" w:fill="FFFFFF"/>
                <w:lang w:val="ro-MD"/>
              </w:rPr>
            </w:pPr>
            <w:r w:rsidRPr="009E686F">
              <w:rPr>
                <w:rFonts w:ascii="Times New Roman" w:eastAsia="Aptos" w:hAnsi="Times New Roman" w:cs="Times New Roman"/>
                <w:i/>
                <w:color w:val="000000"/>
                <w:kern w:val="2"/>
                <w:bdr w:val="none" w:sz="0" w:space="0" w:color="auto" w:frame="1"/>
                <w:shd w:val="clear" w:color="auto" w:fill="FFFFFF"/>
                <w:lang w:val="ro-MD"/>
              </w:rPr>
              <w:t>(17) Deciziile comune adoptate potrivit prevederilor </w:t>
            </w:r>
            <w:r w:rsidRPr="009E686F" w:rsidDel="004B3FC0">
              <w:rPr>
                <w:rFonts w:ascii="Times New Roman" w:eastAsia="Aptos" w:hAnsi="Times New Roman" w:cs="Times New Roman"/>
                <w:i/>
                <w:color w:val="000000"/>
                <w:kern w:val="2"/>
                <w:bdr w:val="none" w:sz="0" w:space="0" w:color="auto" w:frame="1"/>
                <w:shd w:val="clear" w:color="auto" w:fill="FFFFFF"/>
                <w:lang w:val="ro-MD"/>
              </w:rPr>
              <w:t xml:space="preserve"> </w:t>
            </w:r>
            <w:r w:rsidRPr="009E686F">
              <w:rPr>
                <w:rFonts w:ascii="Times New Roman" w:eastAsia="Aptos" w:hAnsi="Times New Roman" w:cs="Times New Roman"/>
                <w:i/>
                <w:color w:val="000000"/>
                <w:kern w:val="2"/>
                <w:bdr w:val="none" w:sz="0" w:space="0" w:color="auto" w:frame="1"/>
                <w:shd w:val="clear" w:color="auto" w:fill="FFFFFF"/>
                <w:lang w:val="ro-MD"/>
              </w:rPr>
              <w:t>alin.(6) și deciziile adoptate potrivit prevederilor alin.(11)-(14) sunt definitive.</w:t>
            </w:r>
          </w:p>
          <w:p w14:paraId="1249B581" w14:textId="158C2A53" w:rsidR="00984B34" w:rsidRPr="009E686F" w:rsidRDefault="00984B34" w:rsidP="00984B34">
            <w:pPr>
              <w:spacing w:after="0"/>
              <w:jc w:val="both"/>
              <w:rPr>
                <w:rFonts w:ascii="Times New Roman" w:eastAsia="Aptos" w:hAnsi="Times New Roman" w:cs="Times New Roman"/>
                <w:i/>
                <w:color w:val="000000"/>
                <w:kern w:val="2"/>
                <w:bdr w:val="none" w:sz="0" w:space="0" w:color="auto" w:frame="1"/>
                <w:shd w:val="clear" w:color="auto" w:fill="FFFFFF"/>
                <w:lang w:val="ro-MD"/>
              </w:rPr>
            </w:pPr>
            <w:r w:rsidRPr="009E686F">
              <w:rPr>
                <w:rFonts w:ascii="Times New Roman" w:eastAsia="Aptos" w:hAnsi="Times New Roman" w:cs="Times New Roman"/>
                <w:i/>
                <w:iCs/>
                <w:color w:val="000000"/>
                <w:kern w:val="2"/>
                <w:bdr w:val="none" w:sz="0" w:space="0" w:color="auto" w:frame="1"/>
                <w:shd w:val="clear" w:color="auto" w:fill="FFFFFF"/>
                <w:lang w:val="ro-MD"/>
              </w:rPr>
              <w:t>(18) În cazul în care Banca Națională a Moldovei nu are calitatea de supraveghetor consolidant, deciziile comune adoptate în mod similar celor prevăzute la alin.(6), precum și deciziile adoptate în mod similar celor prevăzute la </w:t>
            </w:r>
            <w:r w:rsidRPr="009E686F" w:rsidDel="0092184C">
              <w:rPr>
                <w:rFonts w:ascii="Times New Roman" w:eastAsia="Aptos" w:hAnsi="Times New Roman" w:cs="Times New Roman"/>
                <w:i/>
                <w:iCs/>
                <w:color w:val="000000"/>
                <w:kern w:val="2"/>
                <w:bdr w:val="none" w:sz="0" w:space="0" w:color="auto" w:frame="1"/>
                <w:shd w:val="clear" w:color="auto" w:fill="FFFFFF"/>
                <w:lang w:val="ro-MD"/>
              </w:rPr>
              <w:t xml:space="preserve"> </w:t>
            </w:r>
            <w:r w:rsidRPr="009E686F">
              <w:rPr>
                <w:rFonts w:ascii="Times New Roman" w:eastAsia="Aptos" w:hAnsi="Times New Roman" w:cs="Times New Roman"/>
                <w:i/>
                <w:iCs/>
                <w:color w:val="000000"/>
                <w:kern w:val="2"/>
                <w:bdr w:val="none" w:sz="0" w:space="0" w:color="auto" w:frame="1"/>
                <w:shd w:val="clear" w:color="auto" w:fill="FFFFFF"/>
                <w:lang w:val="ro-MD"/>
              </w:rPr>
              <w:t xml:space="preserve">alin. (11) - (14) de către un supraveghetor consolidant, respectiv de către autorități responsabile cu supravegherea la nivel individual a instituțiilor de credit sau a firmelor de investiții, filiale ale unei instituții de credit sau ale unei </w:t>
            </w:r>
            <w:r w:rsidR="00A90CEA" w:rsidRPr="009E686F">
              <w:rPr>
                <w:rFonts w:ascii="Times New Roman" w:eastAsia="Aptos" w:hAnsi="Times New Roman" w:cs="Times New Roman"/>
                <w:i/>
                <w:iCs/>
                <w:color w:val="000000"/>
                <w:kern w:val="2"/>
                <w:bdr w:val="none" w:sz="0" w:space="0" w:color="auto" w:frame="1"/>
                <w:shd w:val="clear" w:color="auto" w:fill="FFFFFF"/>
                <w:lang w:val="ro-MD"/>
              </w:rPr>
              <w:t xml:space="preserve">firme </w:t>
            </w:r>
            <w:r w:rsidRPr="009E686F">
              <w:rPr>
                <w:rFonts w:ascii="Times New Roman" w:eastAsia="Aptos" w:hAnsi="Times New Roman" w:cs="Times New Roman"/>
                <w:i/>
                <w:iCs/>
                <w:color w:val="000000"/>
                <w:kern w:val="2"/>
                <w:bdr w:val="none" w:sz="0" w:space="0" w:color="auto" w:frame="1"/>
                <w:shd w:val="clear" w:color="auto" w:fill="FFFFFF"/>
                <w:lang w:val="ro-MD"/>
              </w:rPr>
              <w:t>de investiții-mamă la nivelul Uniunii Europene sau ale unei societăți financiare holding-mamă la nivelul Uniunii Europene, sunt definitive și opozabile Băncii Naționale a Moldovei.</w:t>
            </w:r>
          </w:p>
        </w:tc>
        <w:tc>
          <w:tcPr>
            <w:tcW w:w="470" w:type="pct"/>
            <w:tcBorders>
              <w:top w:val="single" w:sz="4" w:space="0" w:color="auto"/>
              <w:left w:val="single" w:sz="4" w:space="0" w:color="auto"/>
              <w:bottom w:val="single" w:sz="4" w:space="0" w:color="auto"/>
              <w:right w:val="single" w:sz="4" w:space="0" w:color="auto"/>
            </w:tcBorders>
          </w:tcPr>
          <w:p w14:paraId="396FFF32" w14:textId="77777777"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p w14:paraId="30C4D4F4" w14:textId="27A36390"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664A4963" w14:textId="77777777" w:rsidR="00984B34" w:rsidRPr="009E686F" w:rsidRDefault="00984B34" w:rsidP="00984B34">
            <w:pPr>
              <w:jc w:val="both"/>
              <w:rPr>
                <w:rFonts w:ascii="Times New Roman" w:hAnsi="Times New Roman" w:cs="Times New Roman"/>
                <w:lang w:val="ro-RO"/>
              </w:rPr>
            </w:pPr>
          </w:p>
        </w:tc>
      </w:tr>
      <w:tr w:rsidR="00984B34" w:rsidRPr="009E686F" w14:paraId="56BD9E80" w14:textId="16A2AFD4" w:rsidTr="00774F3E">
        <w:tc>
          <w:tcPr>
            <w:tcW w:w="1796" w:type="pct"/>
            <w:gridSpan w:val="2"/>
            <w:tcBorders>
              <w:top w:val="single" w:sz="4" w:space="0" w:color="auto"/>
              <w:left w:val="single" w:sz="4" w:space="0" w:color="auto"/>
              <w:bottom w:val="single" w:sz="4" w:space="0" w:color="auto"/>
              <w:right w:val="single" w:sz="4" w:space="0" w:color="auto"/>
            </w:tcBorders>
          </w:tcPr>
          <w:p w14:paraId="46992E97" w14:textId="0CF16B7F"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Deciziile comune menționate la alineatul (1) din prezentul articol și orice decizie luată în absența unei decizii comune, în conformitate cu alineatul (3) din prezentul articol se actualizează în fiecare an sau, în circumstanțe excepționale, atunci când o autoritate competentă responsabilă cu supravegherea filialelor unei instituții-mamă din UE sau ale unei societăți financiare holding-mamă din UE ori ale unei societăți financiare holding mixte-mamă din UE transmite o cerere scrisă și complet motivată supraveghetorului consolidant, în vederea actualizării deciziei privind aplicarea articolului 104 alineatul (1) litera (a) și a articolulelor 104b și  105. </w:t>
            </w:r>
          </w:p>
          <w:p w14:paraId="7B3EC0F9" w14:textId="77777777" w:rsidR="00984B34" w:rsidRPr="009E686F" w:rsidRDefault="00984B34" w:rsidP="00984B34">
            <w:pPr>
              <w:spacing w:after="0"/>
              <w:jc w:val="both"/>
              <w:rPr>
                <w:rFonts w:ascii="Times New Roman" w:hAnsi="Times New Roman" w:cs="Times New Roman"/>
                <w:lang w:val="ro-RO"/>
              </w:rPr>
            </w:pPr>
          </w:p>
          <w:p w14:paraId="0D3AB1BB" w14:textId="68D92999"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În aceste circumstanțe excepționale, actualizarea poate fi tratată pe bază bilaterală, între supraveghetorul consolidant și autoritatea competentă care formulează cererea.</w:t>
            </w:r>
          </w:p>
        </w:tc>
        <w:tc>
          <w:tcPr>
            <w:tcW w:w="1928" w:type="pct"/>
            <w:gridSpan w:val="3"/>
            <w:tcBorders>
              <w:top w:val="single" w:sz="4" w:space="0" w:color="auto"/>
              <w:left w:val="single" w:sz="4" w:space="0" w:color="auto"/>
              <w:bottom w:val="single" w:sz="4" w:space="0" w:color="auto"/>
              <w:right w:val="single" w:sz="4" w:space="0" w:color="auto"/>
            </w:tcBorders>
          </w:tcPr>
          <w:p w14:paraId="7752ACB7" w14:textId="63293FCD" w:rsidR="00984B34" w:rsidRPr="009E686F" w:rsidRDefault="00984B34" w:rsidP="00984B34">
            <w:pPr>
              <w:spacing w:after="0"/>
              <w:jc w:val="both"/>
              <w:rPr>
                <w:rFonts w:ascii="Times New Roman" w:eastAsia="Aptos" w:hAnsi="Times New Roman" w:cs="Times New Roman"/>
                <w:i/>
                <w:color w:val="000000"/>
                <w:kern w:val="2"/>
                <w:bdr w:val="none" w:sz="0" w:space="0" w:color="auto" w:frame="1"/>
                <w:shd w:val="clear" w:color="auto" w:fill="FFFFFF"/>
                <w:lang w:val="ro-MD"/>
              </w:rPr>
            </w:pPr>
            <w:r w:rsidRPr="009E686F">
              <w:rPr>
                <w:rFonts w:ascii="Times New Roman" w:eastAsia="Aptos" w:hAnsi="Times New Roman" w:cs="Times New Roman"/>
                <w:i/>
                <w:color w:val="000000"/>
                <w:kern w:val="2"/>
                <w:bdr w:val="none" w:sz="0" w:space="0" w:color="auto" w:frame="1"/>
                <w:shd w:val="clear" w:color="auto" w:fill="FFFFFF"/>
                <w:lang w:val="ro-MD"/>
              </w:rPr>
              <w:lastRenderedPageBreak/>
              <w:t>(19) Deciziile comune adoptate potrivit prevederilor alin.</w:t>
            </w:r>
            <w:r w:rsidRPr="009E686F">
              <w:rPr>
                <w:rFonts w:ascii="Times New Roman" w:eastAsia="Aptos" w:hAnsi="Times New Roman" w:cs="Times New Roman"/>
                <w:color w:val="000000"/>
                <w:kern w:val="2"/>
                <w:bdr w:val="none" w:sz="0" w:space="0" w:color="auto" w:frame="1"/>
                <w:shd w:val="clear" w:color="auto" w:fill="FFFFFF"/>
                <w:lang w:val="ro-MD"/>
              </w:rPr>
              <w:t xml:space="preserve"> </w:t>
            </w:r>
            <w:r w:rsidRPr="009E686F">
              <w:rPr>
                <w:rFonts w:ascii="Times New Roman" w:eastAsia="Aptos" w:hAnsi="Times New Roman" w:cs="Times New Roman"/>
                <w:i/>
                <w:color w:val="000000"/>
                <w:kern w:val="2"/>
                <w:bdr w:val="none" w:sz="0" w:space="0" w:color="auto" w:frame="1"/>
                <w:shd w:val="clear" w:color="auto" w:fill="FFFFFF"/>
                <w:lang w:val="ro-MD"/>
              </w:rPr>
              <w:t xml:space="preserve">(6) și deciziile adoptate potrivit prevederilor alin. (11)-(14) trebuie să fie actualizate anual sau în mod excepțional, în cazul în care o autoritate responsabilă cu supravegherea filialelor unei </w:t>
            </w:r>
            <w:r w:rsidRPr="009E686F">
              <w:rPr>
                <w:rFonts w:ascii="Times New Roman" w:eastAsia="Aptos" w:hAnsi="Times New Roman" w:cs="Times New Roman"/>
                <w:i/>
                <w:iCs/>
                <w:color w:val="000000"/>
                <w:kern w:val="2"/>
                <w:bdr w:val="none" w:sz="0" w:space="0" w:color="auto" w:frame="1"/>
                <w:shd w:val="clear" w:color="auto" w:fill="FFFFFF"/>
                <w:lang w:val="ro-MD"/>
              </w:rPr>
              <w:t>instituții de credit</w:t>
            </w:r>
            <w:r w:rsidRPr="009E686F">
              <w:rPr>
                <w:rFonts w:ascii="Times New Roman" w:eastAsia="Aptos" w:hAnsi="Times New Roman" w:cs="Times New Roman"/>
                <w:i/>
                <w:color w:val="000000"/>
                <w:kern w:val="2"/>
                <w:bdr w:val="none" w:sz="0" w:space="0" w:color="auto" w:frame="1"/>
                <w:shd w:val="clear" w:color="auto" w:fill="FFFFFF"/>
                <w:lang w:val="ro-MD"/>
              </w:rPr>
              <w:t>-mamă la nivelul Uniunii Europene, ale unei societăți financiare holding-mamă la nivelul Uniunii Europene sau ale unei societăți financiare holding mixte-mamă la nivelul Uniunii Europene solicită în scris și motivat Băncii Naționale a Moldovei, în calitate de supraveghetor consolidant, actualizarea deciziei referitoare la aplicarea prevederilor art. 139 alin. (3) lit. a), (6) - (7) și ale art. 101</w:t>
            </w:r>
            <w:r w:rsidRPr="009E686F">
              <w:rPr>
                <w:rFonts w:ascii="Times New Roman" w:eastAsia="Aptos" w:hAnsi="Times New Roman" w:cs="Times New Roman"/>
                <w:i/>
                <w:color w:val="000000"/>
                <w:kern w:val="2"/>
                <w:bdr w:val="none" w:sz="0" w:space="0" w:color="auto" w:frame="1"/>
                <w:shd w:val="clear" w:color="auto" w:fill="FFFFFF"/>
                <w:vertAlign w:val="superscript"/>
                <w:lang w:val="ro-MD"/>
              </w:rPr>
              <w:t>1</w:t>
            </w:r>
            <w:r w:rsidRPr="009E686F">
              <w:rPr>
                <w:rFonts w:ascii="Times New Roman" w:eastAsia="Aptos" w:hAnsi="Times New Roman" w:cs="Times New Roman"/>
                <w:i/>
                <w:color w:val="000000"/>
                <w:kern w:val="2"/>
                <w:bdr w:val="none" w:sz="0" w:space="0" w:color="auto" w:frame="1"/>
                <w:shd w:val="clear" w:color="auto" w:fill="FFFFFF"/>
                <w:lang w:val="ro-MD"/>
              </w:rPr>
              <w:t>.</w:t>
            </w:r>
          </w:p>
          <w:p w14:paraId="3534D702" w14:textId="3200E751" w:rsidR="00A90CEA" w:rsidRPr="009E686F" w:rsidRDefault="00A90CEA" w:rsidP="00984B34">
            <w:pPr>
              <w:spacing w:after="0"/>
              <w:jc w:val="both"/>
              <w:rPr>
                <w:rFonts w:ascii="Times New Roman" w:eastAsia="Aptos" w:hAnsi="Times New Roman" w:cs="Times New Roman"/>
                <w:i/>
                <w:color w:val="000000"/>
                <w:kern w:val="2"/>
                <w:bdr w:val="none" w:sz="0" w:space="0" w:color="auto" w:frame="1"/>
                <w:shd w:val="clear" w:color="auto" w:fill="FFFFFF"/>
                <w:lang w:val="ro-MD"/>
              </w:rPr>
            </w:pPr>
            <w:r w:rsidRPr="009E686F">
              <w:rPr>
                <w:rFonts w:ascii="Times New Roman" w:eastAsia="Aptos" w:hAnsi="Times New Roman" w:cs="Times New Roman"/>
                <w:i/>
                <w:color w:val="000000"/>
                <w:kern w:val="2"/>
                <w:bdr w:val="none" w:sz="0" w:space="0" w:color="auto" w:frame="1"/>
                <w:shd w:val="clear" w:color="auto" w:fill="FFFFFF"/>
                <w:lang w:val="ro-MD"/>
              </w:rPr>
              <w:lastRenderedPageBreak/>
              <w:t xml:space="preserve">(20) Banca Națională a Moldovei, în calitate de autoritate responsabilă cu supravegherea la nivel individual a instituțiilor de credit, persoane juridice din Republica Moldova, filiale ale unei instituții de credit sau ale unei firme de investiții-mamă la nivelul Uniunii Europene, ale unei societăți financiare holding-mamă la nivelul UE sau ale unei societăți financiare holding mixte la nivelul UE, poate solicita în scris și motivat supraveghetorului consolidant, în mod excepțional, actualizarea deciziilor comune adoptate potrivit prevederilor alin.(6), precum și a celor adoptate în mod similar celor prevăzute la alin. (11)- (14) la nivel consolidat de supraveghetorul consolidant și, respectiv, la nivel individual sau subconsolidat de către o altă autoritate responsabilă cu supravegherea filialelor unei instituții de credit sau ale unei firme de investiții-mamă la nivelul UE, ale unei societăți financiare holding-mamă la nivelul </w:t>
            </w:r>
            <w:r w:rsidR="00733AA1" w:rsidRPr="009E686F">
              <w:rPr>
                <w:rFonts w:ascii="Times New Roman" w:eastAsia="Aptos" w:hAnsi="Times New Roman" w:cs="Times New Roman"/>
                <w:i/>
                <w:color w:val="000000"/>
                <w:kern w:val="2"/>
                <w:bdr w:val="none" w:sz="0" w:space="0" w:color="auto" w:frame="1"/>
                <w:shd w:val="clear" w:color="auto" w:fill="FFFFFF"/>
                <w:lang w:val="ro-MD"/>
              </w:rPr>
              <w:t xml:space="preserve">UE </w:t>
            </w:r>
            <w:r w:rsidRPr="009E686F">
              <w:rPr>
                <w:rFonts w:ascii="Times New Roman" w:eastAsia="Aptos" w:hAnsi="Times New Roman" w:cs="Times New Roman"/>
                <w:i/>
                <w:color w:val="000000"/>
                <w:kern w:val="2"/>
                <w:bdr w:val="none" w:sz="0" w:space="0" w:color="auto" w:frame="1"/>
                <w:shd w:val="clear" w:color="auto" w:fill="FFFFFF"/>
                <w:lang w:val="ro-MD"/>
              </w:rPr>
              <w:t>sau ale unei societăți financiare holding mixte la nivelul UE.</w:t>
            </w:r>
          </w:p>
          <w:p w14:paraId="3CC57EEE" w14:textId="77777777" w:rsidR="00984B34" w:rsidRPr="009E686F" w:rsidRDefault="00984B34" w:rsidP="00984B34">
            <w:pPr>
              <w:spacing w:after="0"/>
              <w:jc w:val="both"/>
              <w:rPr>
                <w:rFonts w:ascii="Times New Roman" w:eastAsia="Aptos" w:hAnsi="Times New Roman" w:cs="Times New Roman"/>
                <w:i/>
                <w:color w:val="000000"/>
                <w:kern w:val="2"/>
                <w:bdr w:val="none" w:sz="0" w:space="0" w:color="auto" w:frame="1"/>
                <w:shd w:val="clear" w:color="auto" w:fill="FFFFFF"/>
                <w:lang w:val="ro-MD"/>
              </w:rPr>
            </w:pPr>
          </w:p>
          <w:p w14:paraId="3A0486D9" w14:textId="4F3D2758" w:rsidR="00984B34" w:rsidRPr="009E686F" w:rsidRDefault="00984B34" w:rsidP="00984B34">
            <w:pPr>
              <w:spacing w:after="0"/>
              <w:jc w:val="both"/>
              <w:rPr>
                <w:rFonts w:ascii="Times New Roman" w:eastAsia="Aptos" w:hAnsi="Times New Roman" w:cs="Times New Roman"/>
                <w:i/>
                <w:color w:val="000000"/>
                <w:kern w:val="2"/>
                <w:bdr w:val="none" w:sz="0" w:space="0" w:color="auto" w:frame="1"/>
                <w:shd w:val="clear" w:color="auto" w:fill="FFFFFF"/>
                <w:lang w:val="ro-MD"/>
              </w:rPr>
            </w:pPr>
            <w:r w:rsidRPr="009E686F">
              <w:rPr>
                <w:rFonts w:ascii="Times New Roman" w:eastAsia="Aptos" w:hAnsi="Times New Roman" w:cs="Times New Roman"/>
                <w:i/>
                <w:color w:val="000000"/>
                <w:kern w:val="2"/>
                <w:bdr w:val="none" w:sz="0" w:space="0" w:color="auto" w:frame="1"/>
                <w:shd w:val="clear" w:color="auto" w:fill="FFFFFF"/>
                <w:lang w:val="ro-MD"/>
              </w:rPr>
              <w:t xml:space="preserve">(21) În cazul solicitărilor de actualizare formulate în mod excepțional, potrivit prevederilor alin. (19) și (20), acestea pot fi tratate pe bază bilaterală, între Banca Națională a Moldovei și autoritatea responsabilă cu supravegherea filialelor unei </w:t>
            </w:r>
            <w:r w:rsidRPr="009E686F">
              <w:rPr>
                <w:rFonts w:ascii="Times New Roman" w:eastAsia="Aptos" w:hAnsi="Times New Roman" w:cs="Times New Roman"/>
                <w:i/>
                <w:iCs/>
                <w:color w:val="000000"/>
                <w:kern w:val="2"/>
                <w:bdr w:val="none" w:sz="0" w:space="0" w:color="auto" w:frame="1"/>
                <w:shd w:val="clear" w:color="auto" w:fill="FFFFFF"/>
                <w:lang w:val="ro-MD"/>
              </w:rPr>
              <w:t>instituții de credit</w:t>
            </w:r>
            <w:r w:rsidRPr="009E686F">
              <w:rPr>
                <w:rFonts w:ascii="Times New Roman" w:eastAsia="Aptos" w:hAnsi="Times New Roman" w:cs="Times New Roman"/>
                <w:i/>
                <w:color w:val="000000"/>
                <w:kern w:val="2"/>
                <w:bdr w:val="none" w:sz="0" w:space="0" w:color="auto" w:frame="1"/>
                <w:shd w:val="clear" w:color="auto" w:fill="FFFFFF"/>
                <w:lang w:val="ro-MD"/>
              </w:rPr>
              <w:t xml:space="preserve"> sau</w:t>
            </w:r>
            <w:r w:rsidRPr="009E686F" w:rsidDel="00EF6EB5">
              <w:rPr>
                <w:rFonts w:ascii="Times New Roman" w:eastAsia="Aptos" w:hAnsi="Times New Roman" w:cs="Times New Roman"/>
                <w:i/>
                <w:color w:val="000000"/>
                <w:kern w:val="2"/>
                <w:bdr w:val="none" w:sz="0" w:space="0" w:color="auto" w:frame="1"/>
                <w:shd w:val="clear" w:color="auto" w:fill="FFFFFF"/>
                <w:lang w:val="ro-MD"/>
              </w:rPr>
              <w:t xml:space="preserve"> </w:t>
            </w:r>
            <w:r w:rsidRPr="009E686F">
              <w:rPr>
                <w:rFonts w:ascii="Times New Roman" w:eastAsia="Aptos" w:hAnsi="Times New Roman" w:cs="Times New Roman"/>
                <w:i/>
                <w:color w:val="000000"/>
                <w:kern w:val="2"/>
                <w:bdr w:val="none" w:sz="0" w:space="0" w:color="auto" w:frame="1"/>
                <w:shd w:val="clear" w:color="auto" w:fill="FFFFFF"/>
                <w:lang w:val="ro-MD"/>
              </w:rPr>
              <w:t xml:space="preserve">societății de investiții-mamă la nivelul </w:t>
            </w:r>
            <w:r w:rsidR="00733AA1" w:rsidRPr="009E686F">
              <w:rPr>
                <w:rFonts w:ascii="Times New Roman" w:eastAsia="Aptos" w:hAnsi="Times New Roman" w:cs="Times New Roman"/>
                <w:i/>
                <w:color w:val="000000"/>
                <w:kern w:val="2"/>
                <w:bdr w:val="none" w:sz="0" w:space="0" w:color="auto" w:frame="1"/>
                <w:shd w:val="clear" w:color="auto" w:fill="FFFFFF"/>
                <w:lang w:val="ro-MD"/>
              </w:rPr>
              <w:t>UE</w:t>
            </w:r>
            <w:r w:rsidRPr="009E686F">
              <w:rPr>
                <w:rFonts w:ascii="Times New Roman" w:eastAsia="Aptos" w:hAnsi="Times New Roman" w:cs="Times New Roman"/>
                <w:i/>
                <w:color w:val="000000"/>
                <w:kern w:val="2"/>
                <w:bdr w:val="none" w:sz="0" w:space="0" w:color="auto" w:frame="1"/>
                <w:shd w:val="clear" w:color="auto" w:fill="FFFFFF"/>
                <w:lang w:val="ro-MD"/>
              </w:rPr>
              <w:t xml:space="preserve">e, ale unei societăți financiare holding-mamă la nivelul </w:t>
            </w:r>
            <w:r w:rsidR="00733AA1" w:rsidRPr="009E686F">
              <w:rPr>
                <w:rFonts w:ascii="Times New Roman" w:eastAsia="Aptos" w:hAnsi="Times New Roman" w:cs="Times New Roman"/>
                <w:i/>
                <w:color w:val="000000"/>
                <w:kern w:val="2"/>
                <w:bdr w:val="none" w:sz="0" w:space="0" w:color="auto" w:frame="1"/>
                <w:shd w:val="clear" w:color="auto" w:fill="FFFFFF"/>
                <w:lang w:val="ro-MD"/>
              </w:rPr>
              <w:t xml:space="preserve">UE </w:t>
            </w:r>
            <w:r w:rsidRPr="009E686F">
              <w:rPr>
                <w:rFonts w:ascii="Times New Roman" w:eastAsia="Aptos" w:hAnsi="Times New Roman" w:cs="Times New Roman"/>
                <w:i/>
                <w:color w:val="000000"/>
                <w:kern w:val="2"/>
                <w:bdr w:val="none" w:sz="0" w:space="0" w:color="auto" w:frame="1"/>
                <w:shd w:val="clear" w:color="auto" w:fill="FFFFFF"/>
                <w:lang w:val="ro-MD"/>
              </w:rPr>
              <w:t xml:space="preserve">ori ale unei societăți financiare holding mixte la nivelul </w:t>
            </w:r>
            <w:r w:rsidR="00733AA1" w:rsidRPr="009E686F">
              <w:rPr>
                <w:rFonts w:ascii="Times New Roman" w:eastAsia="Aptos" w:hAnsi="Times New Roman" w:cs="Times New Roman"/>
                <w:i/>
                <w:color w:val="000000"/>
                <w:kern w:val="2"/>
                <w:bdr w:val="none" w:sz="0" w:space="0" w:color="auto" w:frame="1"/>
                <w:shd w:val="clear" w:color="auto" w:fill="FFFFFF"/>
                <w:lang w:val="ro-MD"/>
              </w:rPr>
              <w:t xml:space="preserve">UE </w:t>
            </w:r>
            <w:r w:rsidRPr="009E686F">
              <w:rPr>
                <w:rFonts w:ascii="Times New Roman" w:eastAsia="Aptos" w:hAnsi="Times New Roman" w:cs="Times New Roman"/>
                <w:i/>
                <w:color w:val="000000"/>
                <w:kern w:val="2"/>
                <w:bdr w:val="none" w:sz="0" w:space="0" w:color="auto" w:frame="1"/>
                <w:shd w:val="clear" w:color="auto" w:fill="FFFFFF"/>
                <w:lang w:val="ro-MD"/>
              </w:rPr>
              <w:t>sau între Banca Națională a Moldovei și supraveghetorul consolidant, după caz.</w:t>
            </w:r>
          </w:p>
          <w:p w14:paraId="4D72C10C" w14:textId="2F448E16"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189DE14E" w14:textId="77777777"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lastRenderedPageBreak/>
              <w:t>Compatibil</w:t>
            </w:r>
          </w:p>
          <w:p w14:paraId="6C2CEECD" w14:textId="77777777" w:rsidR="00984B34" w:rsidRPr="009E686F" w:rsidRDefault="00984B34" w:rsidP="00984B34">
            <w:pPr>
              <w:jc w:val="both"/>
              <w:rPr>
                <w:rFonts w:ascii="Times New Roman" w:hAnsi="Times New Roman" w:cs="Times New Roman"/>
                <w:lang w:val="ro-RO"/>
              </w:rPr>
            </w:pPr>
          </w:p>
          <w:p w14:paraId="12D219D9" w14:textId="77777777" w:rsidR="00984B34" w:rsidRPr="009E686F" w:rsidRDefault="00984B34" w:rsidP="00984B34">
            <w:pPr>
              <w:jc w:val="both"/>
              <w:rPr>
                <w:rFonts w:ascii="Times New Roman" w:hAnsi="Times New Roman" w:cs="Times New Roman"/>
                <w:lang w:val="ro-RO"/>
              </w:rPr>
            </w:pPr>
          </w:p>
          <w:p w14:paraId="2136588D" w14:textId="77777777" w:rsidR="00984B34" w:rsidRPr="009E686F" w:rsidRDefault="00984B34" w:rsidP="00984B34">
            <w:pPr>
              <w:jc w:val="both"/>
              <w:rPr>
                <w:rFonts w:ascii="Times New Roman" w:hAnsi="Times New Roman" w:cs="Times New Roman"/>
                <w:lang w:val="ro-RO"/>
              </w:rPr>
            </w:pPr>
          </w:p>
          <w:p w14:paraId="3CEFCDF9" w14:textId="77777777"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3520D2D0" w14:textId="77777777" w:rsidR="00984B34" w:rsidRPr="009E686F" w:rsidRDefault="00984B34" w:rsidP="00984B34">
            <w:pPr>
              <w:jc w:val="both"/>
              <w:rPr>
                <w:rFonts w:ascii="Times New Roman" w:hAnsi="Times New Roman" w:cs="Times New Roman"/>
                <w:lang w:val="ro-RO"/>
              </w:rPr>
            </w:pPr>
          </w:p>
        </w:tc>
      </w:tr>
      <w:tr w:rsidR="00984B34" w:rsidRPr="009E686F" w14:paraId="2137E843" w14:textId="05C0B58E" w:rsidTr="00774F3E">
        <w:tc>
          <w:tcPr>
            <w:tcW w:w="1796" w:type="pct"/>
            <w:gridSpan w:val="2"/>
            <w:tcBorders>
              <w:top w:val="single" w:sz="4" w:space="0" w:color="auto"/>
              <w:left w:val="single" w:sz="4" w:space="0" w:color="auto"/>
              <w:bottom w:val="single" w:sz="4" w:space="0" w:color="auto"/>
              <w:right w:val="single" w:sz="4" w:space="0" w:color="auto"/>
            </w:tcBorders>
          </w:tcPr>
          <w:p w14:paraId="0404BF1D" w14:textId="5F304568"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(5) ABE elaborează proiecte de standarde tehnice de punere în aplicare în vederea asigurării unor condiții uniforme de aplicare  procesului decizional comun menționat în prezentul articol, în ceea ce privește aplicarea articolelor 73, </w:t>
            </w:r>
            <w:r w:rsidRPr="009E686F">
              <w:rPr>
                <w:rFonts w:ascii="Times New Roman" w:hAnsi="Times New Roman" w:cs="Times New Roman"/>
                <w:lang w:val="ro-RO"/>
              </w:rPr>
              <w:lastRenderedPageBreak/>
              <w:t xml:space="preserve">86 și 97, a articolului 104 alineatul (1) litera (a) și a articoluelor104b și 105, pentru a facilitaluarea deciziilor comune. </w:t>
            </w:r>
          </w:p>
          <w:p w14:paraId="45245C21" w14:textId="5B455443"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ABE transmite Comisiei acetse proiecte de standarde tehnice de punere în aplicare până la 1 iulie 2014. </w:t>
            </w:r>
          </w:p>
          <w:p w14:paraId="1EEF385B"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Se conferă Comisiei competența de a adopta standardele tehnice de punere în aplicare menționate la primul paragraf, în conformitate cu articolul 15 din Regulamentul (UE) nr. 1093/2010.</w:t>
            </w:r>
          </w:p>
        </w:tc>
        <w:tc>
          <w:tcPr>
            <w:tcW w:w="1928" w:type="pct"/>
            <w:gridSpan w:val="3"/>
            <w:tcBorders>
              <w:top w:val="single" w:sz="4" w:space="0" w:color="auto"/>
              <w:left w:val="single" w:sz="4" w:space="0" w:color="auto"/>
              <w:bottom w:val="single" w:sz="4" w:space="0" w:color="auto"/>
              <w:right w:val="single" w:sz="4" w:space="0" w:color="auto"/>
            </w:tcBorders>
          </w:tcPr>
          <w:p w14:paraId="0AF7CB91"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03DC1937" w14:textId="75767809"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neaplicabile</w:t>
            </w:r>
          </w:p>
          <w:p w14:paraId="6EB6289D" w14:textId="421905A7" w:rsidR="00984B34" w:rsidRPr="009E686F" w:rsidRDefault="00984B34" w:rsidP="00984B34">
            <w:pPr>
              <w:jc w:val="both"/>
              <w:rPr>
                <w:rFonts w:ascii="Times New Roman" w:hAnsi="Times New Roman" w:cs="Times New Roman"/>
                <w:lang w:val="ro-RO"/>
              </w:rPr>
            </w:pPr>
          </w:p>
          <w:p w14:paraId="5D40FD07" w14:textId="54FAC1B1"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1F4E5AA2" w14:textId="22EAB9AE"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lastRenderedPageBreak/>
              <w:t>Se referă la competențele ABE.</w:t>
            </w:r>
          </w:p>
        </w:tc>
      </w:tr>
      <w:tr w:rsidR="00984B34" w:rsidRPr="009E686F" w14:paraId="3AE56C4D" w14:textId="54201FEF" w:rsidTr="00774F3E">
        <w:tc>
          <w:tcPr>
            <w:tcW w:w="5000" w:type="pct"/>
            <w:gridSpan w:val="7"/>
            <w:tcBorders>
              <w:top w:val="single" w:sz="4" w:space="0" w:color="auto"/>
              <w:left w:val="single" w:sz="4" w:space="0" w:color="auto"/>
              <w:bottom w:val="single" w:sz="4" w:space="0" w:color="auto"/>
              <w:right w:val="single" w:sz="4" w:space="0" w:color="auto"/>
            </w:tcBorders>
          </w:tcPr>
          <w:p w14:paraId="50225D8A" w14:textId="77777777" w:rsidR="00984B34" w:rsidRPr="009E686F" w:rsidRDefault="00984B34" w:rsidP="00984B34">
            <w:pPr>
              <w:spacing w:after="0"/>
              <w:jc w:val="both"/>
              <w:rPr>
                <w:rFonts w:ascii="Times New Roman" w:hAnsi="Times New Roman" w:cs="Times New Roman"/>
                <w:i/>
                <w:iCs/>
                <w:lang w:val="ro-RO"/>
              </w:rPr>
            </w:pPr>
            <w:r w:rsidRPr="009E686F">
              <w:rPr>
                <w:rFonts w:ascii="Times New Roman" w:hAnsi="Times New Roman" w:cs="Times New Roman"/>
                <w:i/>
                <w:iCs/>
                <w:lang w:val="ro-RO"/>
              </w:rPr>
              <w:t xml:space="preserve">Articolul 114 </w:t>
            </w:r>
          </w:p>
          <w:p w14:paraId="079AE431" w14:textId="14EFA508"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Cerințe de informare în situații de urgență</w:t>
            </w:r>
          </w:p>
        </w:tc>
      </w:tr>
      <w:tr w:rsidR="00984B34" w:rsidRPr="009E686F" w14:paraId="7A5697F1" w14:textId="1DBD7B4E" w:rsidTr="00774F3E">
        <w:tc>
          <w:tcPr>
            <w:tcW w:w="1796" w:type="pct"/>
            <w:gridSpan w:val="2"/>
            <w:tcBorders>
              <w:top w:val="single" w:sz="4" w:space="0" w:color="auto"/>
              <w:left w:val="single" w:sz="4" w:space="0" w:color="auto"/>
              <w:bottom w:val="single" w:sz="4" w:space="0" w:color="auto"/>
              <w:right w:val="single" w:sz="4" w:space="0" w:color="auto"/>
            </w:tcBorders>
          </w:tcPr>
          <w:p w14:paraId="411128D8" w14:textId="2FEF10E3"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(1) În cazul în care survine o situație de urgență, inclusiv o situație prezentată la articolul 18 din Regulamentul (UE) nr. 1093/2010 sau o situație în care se manifestă evoluții negative ale piețelor, care ar putea pune în pericol lichiditatea pieței și stabilitatea sistemului financiar din oricare dintre statele membre în care au fost autorizate entități ale unui grup sau în care s-au înființat sucursale semnificative în conformitate cu articolul 51, supraveghetorul consolidant avertizează cât mai curând posibil, cu respectarea Titlului VII capitolul 1 secțiunea 2 din prezenta directivă și, după caz, a Titlului IV Capitolul 1 secțiunea 2 din Directiva (UE) 2019/2034, ABE și autoritățile menționate la articolul 58 alineatul (4) și articolul 59 și comunică toate informațiile esențiale pentru îndeplinirea atribuțiilor acestora. Obligațiile respective se aplică tuturor autorităților competente. </w:t>
            </w:r>
          </w:p>
        </w:tc>
        <w:tc>
          <w:tcPr>
            <w:tcW w:w="1928" w:type="pct"/>
            <w:gridSpan w:val="3"/>
            <w:tcBorders>
              <w:top w:val="single" w:sz="4" w:space="0" w:color="auto"/>
              <w:left w:val="single" w:sz="4" w:space="0" w:color="auto"/>
              <w:bottom w:val="single" w:sz="4" w:space="0" w:color="auto"/>
              <w:right w:val="single" w:sz="4" w:space="0" w:color="auto"/>
            </w:tcBorders>
          </w:tcPr>
          <w:p w14:paraId="12E2EF4F" w14:textId="1F0415D6" w:rsidR="00984B34" w:rsidRPr="009E686F" w:rsidRDefault="00984B34" w:rsidP="00984B34">
            <w:pPr>
              <w:spacing w:after="0" w:line="278" w:lineRule="auto"/>
              <w:jc w:val="both"/>
              <w:rPr>
                <w:rFonts w:ascii="Times New Roman" w:eastAsia="Aptos" w:hAnsi="Times New Roman" w:cs="Times New Roman"/>
                <w:b/>
                <w:bCs/>
                <w:kern w:val="2"/>
                <w:lang w:val="ro-MD"/>
              </w:rPr>
            </w:pPr>
            <w:r w:rsidRPr="009E686F">
              <w:rPr>
                <w:rFonts w:ascii="Times New Roman" w:eastAsia="Aptos" w:hAnsi="Times New Roman" w:cs="Times New Roman"/>
                <w:b/>
                <w:bCs/>
                <w:kern w:val="2"/>
                <w:lang w:val="ro-MD"/>
              </w:rPr>
              <w:t xml:space="preserve">Articolul 110 </w:t>
            </w:r>
          </w:p>
          <w:p w14:paraId="48387AFE" w14:textId="4C4A3BBD" w:rsidR="00984B34" w:rsidRPr="009E686F" w:rsidRDefault="00984B34" w:rsidP="00984B34">
            <w:pPr>
              <w:spacing w:after="0"/>
              <w:jc w:val="both"/>
              <w:rPr>
                <w:rFonts w:ascii="Times New Roman" w:hAnsi="Times New Roman" w:cs="Times New Roman"/>
                <w:b/>
                <w:i/>
                <w:iCs/>
                <w:lang w:val="ro-RO"/>
              </w:rPr>
            </w:pPr>
            <w:r w:rsidRPr="009E686F">
              <w:rPr>
                <w:rFonts w:ascii="Times New Roman" w:eastAsia="Aptos" w:hAnsi="Times New Roman" w:cs="Times New Roman"/>
                <w:i/>
                <w:iCs/>
                <w:kern w:val="2"/>
                <w:lang w:val="ro-MD"/>
              </w:rPr>
              <w:t xml:space="preserve">(4) </w:t>
            </w:r>
            <w:r w:rsidRPr="009E686F">
              <w:rPr>
                <w:rFonts w:ascii="Times New Roman" w:hAnsi="Times New Roman" w:cs="Times New Roman"/>
                <w:i/>
                <w:lang w:val="ro-RO"/>
              </w:rPr>
              <w:t>Banca Națională a Moldovei, în calitate de supraveghetor consolidant, avertizează, cât mai curând posibil, prin căile de comunicare existente, Autoritatea Bancar</w:t>
            </w:r>
            <w:r w:rsidRPr="009E686F">
              <w:rPr>
                <w:rFonts w:ascii="Times New Roman" w:hAnsi="Times New Roman" w:cs="Times New Roman"/>
                <w:i/>
                <w:iCs/>
                <w:lang w:val="ro-RO"/>
              </w:rPr>
              <w:t xml:space="preserve">ă Europeană și autoritățile menționate la art. 131 alin. (5) și art. 132 alin. (1) </w:t>
            </w:r>
            <w:r w:rsidR="00B532D4" w:rsidRPr="009E686F">
              <w:rPr>
                <w:rFonts w:ascii="Times New Roman" w:hAnsi="Times New Roman" w:cs="Times New Roman"/>
                <w:i/>
                <w:iCs/>
                <w:lang w:val="ro-RO"/>
              </w:rPr>
              <w:t xml:space="preserve">și  </w:t>
            </w:r>
            <w:r w:rsidRPr="009E686F">
              <w:rPr>
                <w:rFonts w:ascii="Times New Roman" w:hAnsi="Times New Roman" w:cs="Times New Roman"/>
                <w:i/>
                <w:iCs/>
                <w:lang w:val="ro-RO"/>
              </w:rPr>
              <w:t>(2) cu respectarea art. 126 – 135 și comunică toate informațiile necesare pentru îndeplinirea atribuțiilor acestora, în cazul în care survine o situaţie de urgenţă sau o situaţie în care se manifestă evoluţii negative ale pieţelor, care ar putea pune în pericol lichiditatea pieţei și stabilitatea sistemului financiar din statele membre în care au fost autorizate entităţi ale unui grup sau în care s-au înfiinţat sucursale semnificative în conformitate cu articolul 108</w:t>
            </w:r>
            <w:r w:rsidRPr="009E686F">
              <w:rPr>
                <w:rFonts w:ascii="Times New Roman" w:hAnsi="Times New Roman" w:cs="Times New Roman"/>
                <w:i/>
                <w:iCs/>
                <w:vertAlign w:val="superscript"/>
                <w:lang w:val="ro-RO"/>
              </w:rPr>
              <w:t>1</w:t>
            </w:r>
            <w:r w:rsidRPr="009E686F">
              <w:rPr>
                <w:rFonts w:ascii="Times New Roman" w:hAnsi="Times New Roman" w:cs="Times New Roman"/>
                <w:i/>
                <w:iCs/>
                <w:lang w:val="ro-RO"/>
              </w:rPr>
              <w:t xml:space="preserve"> alin. (8)</w:t>
            </w:r>
            <w:r w:rsidR="00680BFB" w:rsidRPr="009E686F">
              <w:rPr>
                <w:rFonts w:ascii="Times New Roman" w:hAnsi="Times New Roman" w:cs="Times New Roman"/>
                <w:i/>
                <w:iCs/>
                <w:lang w:val="ro-RO"/>
              </w:rPr>
              <w:t xml:space="preserve"> și</w:t>
            </w:r>
            <w:r w:rsidRPr="009E686F">
              <w:rPr>
                <w:rFonts w:ascii="Times New Roman" w:hAnsi="Times New Roman" w:cs="Times New Roman"/>
                <w:i/>
                <w:iCs/>
                <w:lang w:val="ro-RO"/>
              </w:rPr>
              <w:t>(9)</w:t>
            </w:r>
            <w:r w:rsidRPr="009E686F">
              <w:rPr>
                <w:rFonts w:ascii="Times New Roman" w:eastAsia="Aptos" w:hAnsi="Times New Roman" w:cs="Times New Roman"/>
                <w:i/>
                <w:iCs/>
                <w:kern w:val="2"/>
                <w:lang w:val="ro-MD"/>
              </w:rPr>
              <w:t>.</w:t>
            </w:r>
          </w:p>
        </w:tc>
        <w:tc>
          <w:tcPr>
            <w:tcW w:w="470" w:type="pct"/>
            <w:tcBorders>
              <w:top w:val="single" w:sz="4" w:space="0" w:color="auto"/>
              <w:left w:val="single" w:sz="4" w:space="0" w:color="auto"/>
              <w:bottom w:val="single" w:sz="4" w:space="0" w:color="auto"/>
              <w:right w:val="single" w:sz="4" w:space="0" w:color="auto"/>
            </w:tcBorders>
          </w:tcPr>
          <w:p w14:paraId="18CF3545" w14:textId="77777777"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p w14:paraId="39D34DA5" w14:textId="4EFC5751"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59E1393D" w14:textId="77777777" w:rsidR="00984B34" w:rsidRPr="009E686F" w:rsidRDefault="00984B34" w:rsidP="00984B34">
            <w:pPr>
              <w:jc w:val="both"/>
              <w:rPr>
                <w:rFonts w:ascii="Times New Roman" w:hAnsi="Times New Roman" w:cs="Times New Roman"/>
                <w:lang w:val="ro-RO"/>
              </w:rPr>
            </w:pPr>
          </w:p>
        </w:tc>
      </w:tr>
      <w:tr w:rsidR="00984B34" w:rsidRPr="009E686F" w14:paraId="1E45F62A" w14:textId="19115067" w:rsidTr="00774F3E">
        <w:tc>
          <w:tcPr>
            <w:tcW w:w="1796" w:type="pct"/>
            <w:gridSpan w:val="2"/>
            <w:tcBorders>
              <w:top w:val="single" w:sz="4" w:space="0" w:color="auto"/>
              <w:left w:val="single" w:sz="4" w:space="0" w:color="auto"/>
              <w:bottom w:val="single" w:sz="4" w:space="0" w:color="auto"/>
              <w:right w:val="single" w:sz="4" w:space="0" w:color="auto"/>
            </w:tcBorders>
          </w:tcPr>
          <w:p w14:paraId="37DDFABF"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În cazul în care o bancă centrală din SEBC constată prezența unei situații descrise la prima teză, aceasta avertizează cât mai curând posibil autoritățile competente menționate la articolul 112, precum și ABE. </w:t>
            </w:r>
          </w:p>
          <w:p w14:paraId="69EC5FB0" w14:textId="69A63EFF"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lastRenderedPageBreak/>
              <w:t>Atunci când acest lucru este posibil, autoritatea competentă și autoritatea menționată la articolul 58 alineatul (4) utilizează căile de comunicare existente.</w:t>
            </w:r>
          </w:p>
        </w:tc>
        <w:tc>
          <w:tcPr>
            <w:tcW w:w="1928" w:type="pct"/>
            <w:gridSpan w:val="3"/>
            <w:tcBorders>
              <w:top w:val="single" w:sz="4" w:space="0" w:color="auto"/>
              <w:left w:val="single" w:sz="4" w:space="0" w:color="auto"/>
              <w:bottom w:val="single" w:sz="4" w:space="0" w:color="auto"/>
              <w:right w:val="single" w:sz="4" w:space="0" w:color="auto"/>
            </w:tcBorders>
          </w:tcPr>
          <w:p w14:paraId="5A8579D9" w14:textId="56E296A1" w:rsidR="00984B34" w:rsidRPr="009E686F" w:rsidRDefault="00984B34" w:rsidP="00984B34">
            <w:pPr>
              <w:spacing w:after="0"/>
              <w:jc w:val="both"/>
              <w:rPr>
                <w:rFonts w:ascii="Times New Roman" w:hAnsi="Times New Roman" w:cs="Times New Roman"/>
                <w:b/>
                <w:i/>
                <w:iCs/>
                <w:lang w:val="ro-RO"/>
              </w:rPr>
            </w:pPr>
            <w:r w:rsidRPr="009E686F">
              <w:rPr>
                <w:rFonts w:ascii="Times New Roman" w:eastAsia="Aptos" w:hAnsi="Times New Roman" w:cs="Times New Roman"/>
                <w:i/>
                <w:iCs/>
                <w:kern w:val="2"/>
                <w:lang w:val="ro-MD"/>
              </w:rPr>
              <w:lastRenderedPageBreak/>
              <w:t xml:space="preserve">(5) Banca Națională a Moldovei, în calitate de membru al Sistemului European al Băncilor Centrale avertizează, cât mai curând posibil, prin căile de comunicare existente, autoritățile competente implicate prevăzute la alin. (1) lit. c) și Autoritatea </w:t>
            </w:r>
            <w:r w:rsidRPr="009E686F">
              <w:rPr>
                <w:rFonts w:ascii="Times New Roman" w:eastAsia="Aptos" w:hAnsi="Times New Roman" w:cs="Times New Roman"/>
                <w:i/>
                <w:iCs/>
                <w:kern w:val="2"/>
                <w:lang w:val="ro-MD"/>
              </w:rPr>
              <w:lastRenderedPageBreak/>
              <w:t>Bancară Europeană în cazul în care constată prezența unei situații descrise în alin. (</w:t>
            </w:r>
            <w:r w:rsidR="005D7324" w:rsidRPr="009E686F">
              <w:rPr>
                <w:rFonts w:ascii="Times New Roman" w:eastAsia="Aptos" w:hAnsi="Times New Roman" w:cs="Times New Roman"/>
                <w:i/>
                <w:iCs/>
                <w:kern w:val="2"/>
                <w:lang w:val="ro-MD"/>
              </w:rPr>
              <w:t>4</w:t>
            </w:r>
            <w:r w:rsidRPr="009E686F">
              <w:rPr>
                <w:rFonts w:ascii="Times New Roman" w:eastAsia="Aptos" w:hAnsi="Times New Roman" w:cs="Times New Roman"/>
                <w:i/>
                <w:iCs/>
                <w:kern w:val="2"/>
                <w:lang w:val="ro-MD"/>
              </w:rPr>
              <w:t>).</w:t>
            </w:r>
          </w:p>
        </w:tc>
        <w:tc>
          <w:tcPr>
            <w:tcW w:w="470" w:type="pct"/>
            <w:tcBorders>
              <w:top w:val="single" w:sz="4" w:space="0" w:color="auto"/>
              <w:left w:val="single" w:sz="4" w:space="0" w:color="auto"/>
              <w:bottom w:val="single" w:sz="4" w:space="0" w:color="auto"/>
              <w:right w:val="single" w:sz="4" w:space="0" w:color="auto"/>
            </w:tcBorders>
          </w:tcPr>
          <w:p w14:paraId="1EFB4980" w14:textId="77777777"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lastRenderedPageBreak/>
              <w:t>Compatibil</w:t>
            </w:r>
          </w:p>
          <w:p w14:paraId="4DA06B6C" w14:textId="41AE9C50"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194C2EC6" w14:textId="77777777" w:rsidR="00984B34" w:rsidRPr="009E686F" w:rsidRDefault="00984B34" w:rsidP="00984B34">
            <w:pPr>
              <w:jc w:val="both"/>
              <w:rPr>
                <w:rFonts w:ascii="Times New Roman" w:hAnsi="Times New Roman" w:cs="Times New Roman"/>
                <w:lang w:val="ro-RO"/>
              </w:rPr>
            </w:pPr>
          </w:p>
        </w:tc>
      </w:tr>
      <w:tr w:rsidR="00984B34" w:rsidRPr="009E686F" w14:paraId="22C77F88" w14:textId="2F6CEFE6" w:rsidTr="00774F3E">
        <w:tc>
          <w:tcPr>
            <w:tcW w:w="1796" w:type="pct"/>
            <w:gridSpan w:val="2"/>
            <w:tcBorders>
              <w:top w:val="single" w:sz="4" w:space="0" w:color="auto"/>
              <w:left w:val="single" w:sz="4" w:space="0" w:color="auto"/>
              <w:bottom w:val="single" w:sz="4" w:space="0" w:color="auto"/>
              <w:right w:val="single" w:sz="4" w:space="0" w:color="auto"/>
            </w:tcBorders>
          </w:tcPr>
          <w:p w14:paraId="1C0BC546" w14:textId="36AFC020"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(2) În cazul în care autoritatea responsabilă cu supravegherea consolidată are nevoie de informații deja transmise unei alte autorități competente, respectiva autoritate responsabilă cu supravegherea consolidată contactează, ori de câte ori este posibil, această autoritate pentru a evita duplicarea raportărilor către diferitele autorități care iau parte la supraveghere.</w:t>
            </w:r>
          </w:p>
        </w:tc>
        <w:tc>
          <w:tcPr>
            <w:tcW w:w="1928" w:type="pct"/>
            <w:gridSpan w:val="3"/>
            <w:tcBorders>
              <w:top w:val="single" w:sz="4" w:space="0" w:color="auto"/>
              <w:left w:val="single" w:sz="4" w:space="0" w:color="auto"/>
              <w:bottom w:val="single" w:sz="4" w:space="0" w:color="auto"/>
              <w:right w:val="single" w:sz="4" w:space="0" w:color="auto"/>
            </w:tcBorders>
          </w:tcPr>
          <w:p w14:paraId="17A68DB6" w14:textId="152A5AD7" w:rsidR="00984B34" w:rsidRPr="009E686F" w:rsidRDefault="00984B34" w:rsidP="00984B34">
            <w:pPr>
              <w:spacing w:after="0"/>
              <w:jc w:val="both"/>
              <w:rPr>
                <w:rFonts w:ascii="Times New Roman" w:hAnsi="Times New Roman" w:cs="Times New Roman"/>
                <w:b/>
                <w:i/>
                <w:iCs/>
                <w:lang w:val="ro-RO"/>
              </w:rPr>
            </w:pPr>
            <w:r w:rsidRPr="009E686F">
              <w:rPr>
                <w:rFonts w:ascii="Times New Roman" w:eastAsia="Aptos" w:hAnsi="Times New Roman" w:cs="Times New Roman"/>
                <w:i/>
                <w:iCs/>
                <w:kern w:val="2"/>
                <w:lang w:val="ro-MD"/>
              </w:rPr>
              <w:t xml:space="preserve">(6) Banca Națională a Moldovei, în calitate de supraveghetor consolidant, solicită, dacă este posibil, informațiile necesare pentru îndeplinirea atribuțiilor sale, autorității competente căreia i-au fost furnizate aceste informații, pentru evitarea dublării raportărilor către diversele autorităţi implicate în procesul de supraveghere.  </w:t>
            </w:r>
          </w:p>
        </w:tc>
        <w:tc>
          <w:tcPr>
            <w:tcW w:w="470" w:type="pct"/>
            <w:tcBorders>
              <w:top w:val="single" w:sz="4" w:space="0" w:color="auto"/>
              <w:left w:val="single" w:sz="4" w:space="0" w:color="auto"/>
              <w:bottom w:val="single" w:sz="4" w:space="0" w:color="auto"/>
              <w:right w:val="single" w:sz="4" w:space="0" w:color="auto"/>
            </w:tcBorders>
          </w:tcPr>
          <w:p w14:paraId="41813C21" w14:textId="77777777"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p w14:paraId="6B97348A" w14:textId="7FEAA45B"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3EFB59B1" w14:textId="77777777" w:rsidR="00984B34" w:rsidRPr="009E686F" w:rsidRDefault="00984B34" w:rsidP="00984B34">
            <w:pPr>
              <w:jc w:val="both"/>
              <w:rPr>
                <w:rFonts w:ascii="Times New Roman" w:hAnsi="Times New Roman" w:cs="Times New Roman"/>
                <w:lang w:val="ro-RO"/>
              </w:rPr>
            </w:pPr>
          </w:p>
        </w:tc>
      </w:tr>
      <w:tr w:rsidR="00984B34" w:rsidRPr="009E686F" w14:paraId="198BCBE1" w14:textId="7AA64FDC" w:rsidTr="00774F3E">
        <w:tc>
          <w:tcPr>
            <w:tcW w:w="1796" w:type="pct"/>
            <w:gridSpan w:val="2"/>
            <w:tcBorders>
              <w:top w:val="single" w:sz="4" w:space="0" w:color="auto"/>
              <w:left w:val="single" w:sz="4" w:space="0" w:color="auto"/>
              <w:bottom w:val="single" w:sz="4" w:space="0" w:color="auto"/>
              <w:right w:val="single" w:sz="4" w:space="0" w:color="auto"/>
            </w:tcBorders>
          </w:tcPr>
          <w:p w14:paraId="2CFE25DD" w14:textId="77777777" w:rsidR="00984B34" w:rsidRPr="009E686F" w:rsidRDefault="00984B34" w:rsidP="00984B34">
            <w:pPr>
              <w:spacing w:after="0"/>
              <w:jc w:val="both"/>
              <w:rPr>
                <w:rFonts w:ascii="Times New Roman" w:hAnsi="Times New Roman" w:cs="Times New Roman"/>
                <w:i/>
                <w:iCs/>
                <w:lang w:val="ro-RO"/>
              </w:rPr>
            </w:pPr>
            <w:r w:rsidRPr="009E686F">
              <w:rPr>
                <w:rFonts w:ascii="Times New Roman" w:hAnsi="Times New Roman" w:cs="Times New Roman"/>
                <w:i/>
                <w:lang w:val="ro-RO"/>
              </w:rPr>
              <w:t xml:space="preserve">Articolul 115 </w:t>
            </w:r>
          </w:p>
          <w:p w14:paraId="38B01DD7" w14:textId="77AFC3F9"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Coordonarea și acordurile de cooperare</w:t>
            </w:r>
          </w:p>
        </w:tc>
        <w:tc>
          <w:tcPr>
            <w:tcW w:w="1928" w:type="pct"/>
            <w:gridSpan w:val="3"/>
            <w:tcBorders>
              <w:top w:val="single" w:sz="4" w:space="0" w:color="auto"/>
              <w:left w:val="single" w:sz="4" w:space="0" w:color="auto"/>
              <w:bottom w:val="single" w:sz="4" w:space="0" w:color="auto"/>
              <w:right w:val="single" w:sz="4" w:space="0" w:color="auto"/>
            </w:tcBorders>
          </w:tcPr>
          <w:p w14:paraId="5730374A" w14:textId="4B219DBF"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b/>
                <w:bCs/>
                <w:lang w:val="ro-RO"/>
              </w:rPr>
              <w:t>Articolul 111.</w:t>
            </w:r>
            <w:r w:rsidRPr="009E686F">
              <w:rPr>
                <w:rFonts w:ascii="Times New Roman" w:hAnsi="Times New Roman" w:cs="Times New Roman"/>
                <w:lang w:val="ro-RO"/>
              </w:rPr>
              <w:t xml:space="preserve"> Acordurile de colaborare în domeniul supravegherii pe bază consolidată</w:t>
            </w:r>
          </w:p>
        </w:tc>
        <w:tc>
          <w:tcPr>
            <w:tcW w:w="470" w:type="pct"/>
            <w:tcBorders>
              <w:top w:val="single" w:sz="4" w:space="0" w:color="auto"/>
              <w:left w:val="single" w:sz="4" w:space="0" w:color="auto"/>
              <w:bottom w:val="single" w:sz="4" w:space="0" w:color="auto"/>
              <w:right w:val="single" w:sz="4" w:space="0" w:color="auto"/>
            </w:tcBorders>
          </w:tcPr>
          <w:p w14:paraId="6FC5FD1A" w14:textId="40BA8CC1"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3BB3B77E" w14:textId="77777777" w:rsidR="00984B34" w:rsidRPr="009E686F" w:rsidRDefault="00984B34" w:rsidP="00984B34">
            <w:pPr>
              <w:jc w:val="both"/>
              <w:rPr>
                <w:rFonts w:ascii="Times New Roman" w:hAnsi="Times New Roman" w:cs="Times New Roman"/>
                <w:lang w:val="ro-RO"/>
              </w:rPr>
            </w:pPr>
          </w:p>
        </w:tc>
      </w:tr>
      <w:tr w:rsidR="00984B34" w:rsidRPr="009E686F" w14:paraId="2D6BD68E" w14:textId="54BDB96D" w:rsidTr="00331360">
        <w:tc>
          <w:tcPr>
            <w:tcW w:w="1796" w:type="pct"/>
            <w:gridSpan w:val="2"/>
            <w:vMerge w:val="restart"/>
            <w:tcBorders>
              <w:top w:val="single" w:sz="4" w:space="0" w:color="auto"/>
              <w:left w:val="single" w:sz="4" w:space="0" w:color="auto"/>
              <w:right w:val="single" w:sz="4" w:space="0" w:color="auto"/>
            </w:tcBorders>
          </w:tcPr>
          <w:p w14:paraId="17DCCD00" w14:textId="0C1DCAE1"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(1) Pentru a facilita și institui o supraveghere eficace, autoritatea responsabilă cu supravegherea consolidată și celelalte autorități competente încheie acorduri scrise de coordonare și cooperare. </w:t>
            </w:r>
          </w:p>
        </w:tc>
        <w:tc>
          <w:tcPr>
            <w:tcW w:w="1928" w:type="pct"/>
            <w:gridSpan w:val="3"/>
            <w:tcBorders>
              <w:top w:val="single" w:sz="4" w:space="0" w:color="auto"/>
              <w:left w:val="single" w:sz="4" w:space="0" w:color="auto"/>
              <w:bottom w:val="single" w:sz="4" w:space="0" w:color="auto"/>
              <w:right w:val="single" w:sz="4" w:space="0" w:color="auto"/>
            </w:tcBorders>
          </w:tcPr>
          <w:p w14:paraId="04B64DFA" w14:textId="34064AEC"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(1) Pentru a facilita și institui o supraveghere eficace pe bază consolidată, Banca Națională a Moldovei poate încheia acorduri scrise de  colaborare cu autoritățile competente din alte state </w:t>
            </w:r>
            <w:r w:rsidRPr="009E686F">
              <w:rPr>
                <w:rFonts w:ascii="Times New Roman" w:hAnsi="Times New Roman" w:cs="Times New Roman"/>
                <w:i/>
                <w:iCs/>
                <w:lang w:val="ro-RO"/>
              </w:rPr>
              <w:t>membre</w:t>
            </w:r>
            <w:r w:rsidRPr="009E686F">
              <w:rPr>
                <w:rFonts w:ascii="Times New Roman" w:hAnsi="Times New Roman" w:cs="Times New Roman"/>
                <w:lang w:val="ro-RO"/>
              </w:rPr>
              <w:t>, cu respectarea prevederilor privind secretul profesional din capitolul 3, Titlul V.</w:t>
            </w:r>
          </w:p>
        </w:tc>
        <w:tc>
          <w:tcPr>
            <w:tcW w:w="470" w:type="pct"/>
            <w:tcBorders>
              <w:top w:val="single" w:sz="4" w:space="0" w:color="auto"/>
              <w:left w:val="single" w:sz="4" w:space="0" w:color="auto"/>
              <w:bottom w:val="single" w:sz="4" w:space="0" w:color="auto"/>
              <w:right w:val="single" w:sz="4" w:space="0" w:color="auto"/>
            </w:tcBorders>
          </w:tcPr>
          <w:p w14:paraId="60DA2FE2" w14:textId="294263EA"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415585B6" w14:textId="77777777" w:rsidR="00984B34" w:rsidRPr="009E686F" w:rsidRDefault="00984B34" w:rsidP="00984B34">
            <w:pPr>
              <w:jc w:val="both"/>
              <w:rPr>
                <w:rFonts w:ascii="Times New Roman" w:hAnsi="Times New Roman" w:cs="Times New Roman"/>
                <w:lang w:val="ro-RO"/>
              </w:rPr>
            </w:pPr>
          </w:p>
        </w:tc>
      </w:tr>
      <w:tr w:rsidR="00984B34" w:rsidRPr="009E686F" w14:paraId="541B5E6B" w14:textId="77777777" w:rsidTr="00331360">
        <w:tc>
          <w:tcPr>
            <w:tcW w:w="1796" w:type="pct"/>
            <w:gridSpan w:val="2"/>
            <w:vMerge/>
            <w:tcBorders>
              <w:left w:val="single" w:sz="4" w:space="0" w:color="auto"/>
              <w:bottom w:val="single" w:sz="4" w:space="0" w:color="auto"/>
              <w:right w:val="single" w:sz="4" w:space="0" w:color="auto"/>
            </w:tcBorders>
          </w:tcPr>
          <w:p w14:paraId="191CFA53" w14:textId="77777777" w:rsidR="00984B34" w:rsidRPr="009E686F" w:rsidRDefault="00984B34" w:rsidP="00984B34">
            <w:pPr>
              <w:spacing w:after="0"/>
              <w:jc w:val="both"/>
              <w:rPr>
                <w:rFonts w:ascii="Times New Roman" w:hAnsi="Times New Roman" w:cs="Times New Roman"/>
                <w:lang w:val="ro-RO"/>
              </w:rPr>
            </w:pPr>
          </w:p>
        </w:tc>
        <w:tc>
          <w:tcPr>
            <w:tcW w:w="1928" w:type="pct"/>
            <w:gridSpan w:val="3"/>
            <w:tcBorders>
              <w:top w:val="single" w:sz="4" w:space="0" w:color="auto"/>
              <w:left w:val="single" w:sz="4" w:space="0" w:color="auto"/>
              <w:bottom w:val="single" w:sz="4" w:space="0" w:color="auto"/>
              <w:right w:val="single" w:sz="4" w:space="0" w:color="auto"/>
            </w:tcBorders>
          </w:tcPr>
          <w:p w14:paraId="7E06BD26" w14:textId="7F71E6EA"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(4) Acordurile menţionate la alin.(1)–(3</w:t>
            </w:r>
            <w:r w:rsidRPr="009E686F">
              <w:rPr>
                <w:rFonts w:ascii="Times New Roman" w:hAnsi="Times New Roman" w:cs="Times New Roman"/>
                <w:vertAlign w:val="superscript"/>
                <w:lang w:val="ro-RO"/>
              </w:rPr>
              <w:t>2</w:t>
            </w:r>
            <w:r w:rsidRPr="009E686F">
              <w:rPr>
                <w:rFonts w:ascii="Times New Roman" w:hAnsi="Times New Roman" w:cs="Times New Roman"/>
                <w:lang w:val="ro-RO"/>
              </w:rPr>
              <w:t xml:space="preserve">) vor include prevederi cu privire la mijloacele de exercitare a supravegherii pe bază consolidată a </w:t>
            </w:r>
            <w:r w:rsidRPr="009E686F">
              <w:rPr>
                <w:rFonts w:ascii="Times New Roman" w:hAnsi="Times New Roman" w:cs="Times New Roman"/>
                <w:i/>
                <w:iCs/>
                <w:lang w:val="ro-RO"/>
              </w:rPr>
              <w:t>instituțiilor de credit</w:t>
            </w:r>
            <w:r w:rsidRPr="009E686F">
              <w:rPr>
                <w:rFonts w:ascii="Times New Roman" w:hAnsi="Times New Roman" w:cs="Times New Roman"/>
                <w:lang w:val="ro-RO"/>
              </w:rPr>
              <w:t xml:space="preserve">  cu sediul în Republica Moldova ale căror întreprinderi-mamă au sediul într-un alt stat membru, precum şi a </w:t>
            </w:r>
            <w:r w:rsidRPr="009E686F">
              <w:rPr>
                <w:rFonts w:ascii="Times New Roman" w:hAnsi="Times New Roman" w:cs="Times New Roman"/>
                <w:i/>
                <w:iCs/>
                <w:lang w:val="ro-RO"/>
              </w:rPr>
              <w:t>instituțiilor de credit</w:t>
            </w:r>
            <w:r w:rsidRPr="009E686F">
              <w:rPr>
                <w:rFonts w:ascii="Times New Roman" w:hAnsi="Times New Roman" w:cs="Times New Roman"/>
                <w:lang w:val="ro-RO"/>
              </w:rPr>
              <w:t xml:space="preserve">  cu sediul în alt stat membru ale căror întreprinderi-mamă, fie </w:t>
            </w:r>
            <w:r w:rsidRPr="009E686F">
              <w:rPr>
                <w:rFonts w:ascii="Times New Roman" w:hAnsi="Times New Roman" w:cs="Times New Roman"/>
                <w:i/>
                <w:iCs/>
                <w:lang w:val="ro-RO"/>
              </w:rPr>
              <w:t>instituții de credit</w:t>
            </w:r>
            <w:r w:rsidRPr="009E686F">
              <w:rPr>
                <w:rFonts w:ascii="Times New Roman" w:hAnsi="Times New Roman" w:cs="Times New Roman"/>
                <w:lang w:val="ro-RO"/>
              </w:rPr>
              <w:t>, fie societăţi financiare holding sau societăţi financiare holding mixte, au sediul în Republica Moldova.</w:t>
            </w:r>
          </w:p>
          <w:p w14:paraId="63934BB8" w14:textId="56A2AB90"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(5) Acordurile menţionate la alin.(4) urmăresc, în special, să garanteze că autorităţile competente parte la acord pot obţine informaţiile necesare pentru a supraveghea, pe baza situaţiilor lor financiare consolidate, </w:t>
            </w:r>
            <w:r w:rsidRPr="009E686F">
              <w:rPr>
                <w:rFonts w:ascii="Times New Roman" w:hAnsi="Times New Roman" w:cs="Times New Roman"/>
                <w:i/>
                <w:lang w:val="ro-RO"/>
              </w:rPr>
              <w:t>instituțiile de credit</w:t>
            </w:r>
            <w:r w:rsidRPr="009E686F">
              <w:rPr>
                <w:rFonts w:ascii="Times New Roman" w:hAnsi="Times New Roman" w:cs="Times New Roman"/>
                <w:lang w:val="ro-RO"/>
              </w:rPr>
              <w:t xml:space="preserve">, societăţile financiare holding şi societăţile financiare holding mixte, care au ca filiale </w:t>
            </w:r>
            <w:r w:rsidRPr="009E686F">
              <w:rPr>
                <w:rFonts w:ascii="Times New Roman" w:hAnsi="Times New Roman" w:cs="Times New Roman"/>
                <w:i/>
                <w:lang w:val="ro-RO"/>
              </w:rPr>
              <w:t>instituții de credit</w:t>
            </w:r>
            <w:r w:rsidRPr="009E686F">
              <w:rPr>
                <w:rFonts w:ascii="Times New Roman" w:hAnsi="Times New Roman" w:cs="Times New Roman"/>
                <w:lang w:val="ro-RO"/>
              </w:rPr>
              <w:t xml:space="preserve"> şi/sau </w:t>
            </w:r>
            <w:r w:rsidRPr="009E686F">
              <w:rPr>
                <w:rFonts w:ascii="Times New Roman" w:hAnsi="Times New Roman" w:cs="Times New Roman"/>
                <w:i/>
                <w:lang w:val="ro-RO"/>
              </w:rPr>
              <w:t>firme</w:t>
            </w:r>
            <w:r w:rsidRPr="009E686F">
              <w:rPr>
                <w:rFonts w:ascii="Times New Roman" w:hAnsi="Times New Roman" w:cs="Times New Roman"/>
                <w:lang w:val="ro-RO"/>
              </w:rPr>
              <w:t xml:space="preserve"> de investiţii sau </w:t>
            </w:r>
            <w:r w:rsidRPr="009E686F">
              <w:rPr>
                <w:rFonts w:ascii="Times New Roman" w:hAnsi="Times New Roman" w:cs="Times New Roman"/>
                <w:i/>
                <w:lang w:val="ro-RO"/>
              </w:rPr>
              <w:lastRenderedPageBreak/>
              <w:t>instituții financiare</w:t>
            </w:r>
            <w:r w:rsidRPr="009E686F">
              <w:rPr>
                <w:rFonts w:ascii="Times New Roman" w:hAnsi="Times New Roman" w:cs="Times New Roman"/>
                <w:lang w:val="ro-RO"/>
              </w:rPr>
              <w:t xml:space="preserve"> situate în statele participante la acord, sau care deţin deţineri în astfel de entităţi.</w:t>
            </w:r>
          </w:p>
          <w:p w14:paraId="07BC12B4" w14:textId="77777777" w:rsidR="00984B34" w:rsidRPr="009E686F" w:rsidRDefault="00984B34" w:rsidP="00984B34">
            <w:pPr>
              <w:spacing w:after="0"/>
              <w:jc w:val="both"/>
              <w:rPr>
                <w:rFonts w:ascii="Times New Roman" w:hAnsi="Times New Roman" w:cs="Times New Roman"/>
                <w:lang w:val="ro-RO"/>
              </w:rPr>
            </w:pPr>
          </w:p>
        </w:tc>
        <w:tc>
          <w:tcPr>
            <w:tcW w:w="470" w:type="pct"/>
            <w:tcBorders>
              <w:top w:val="single" w:sz="4" w:space="0" w:color="auto"/>
              <w:left w:val="single" w:sz="4" w:space="0" w:color="auto"/>
              <w:bottom w:val="single" w:sz="4" w:space="0" w:color="auto"/>
              <w:right w:val="single" w:sz="4" w:space="0" w:color="auto"/>
            </w:tcBorders>
          </w:tcPr>
          <w:p w14:paraId="552640FB" w14:textId="69651BC4"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3797C2DD" w14:textId="41A4D465"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cu specific național de implementare care detaliază elementele acordurilor dintre autoriăți în în contextul exercitării supravegherii consolidată.</w:t>
            </w:r>
          </w:p>
        </w:tc>
      </w:tr>
      <w:tr w:rsidR="00984B34" w:rsidRPr="009E686F" w14:paraId="1F4C4B7C" w14:textId="6BE0C6FC" w:rsidTr="00774F3E">
        <w:tc>
          <w:tcPr>
            <w:tcW w:w="1796" w:type="pct"/>
            <w:gridSpan w:val="2"/>
            <w:tcBorders>
              <w:top w:val="single" w:sz="4" w:space="0" w:color="auto"/>
              <w:left w:val="single" w:sz="4" w:space="0" w:color="auto"/>
              <w:bottom w:val="single" w:sz="4" w:space="0" w:color="auto"/>
              <w:right w:val="single" w:sz="4" w:space="0" w:color="auto"/>
            </w:tcBorders>
          </w:tcPr>
          <w:p w14:paraId="77BBEE25"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În cadrul acestor acorduri, se pot încredința atribuții suplimentare autorității responsabile cu supravegherea consolidată și se pot specifica proceduri pentru procesul decizional și pentru cooperarea cu alte autorități competente.</w:t>
            </w:r>
          </w:p>
        </w:tc>
        <w:tc>
          <w:tcPr>
            <w:tcW w:w="1928" w:type="pct"/>
            <w:gridSpan w:val="3"/>
            <w:tcBorders>
              <w:top w:val="single" w:sz="4" w:space="0" w:color="auto"/>
              <w:left w:val="single" w:sz="4" w:space="0" w:color="auto"/>
              <w:bottom w:val="single" w:sz="4" w:space="0" w:color="auto"/>
              <w:right w:val="single" w:sz="4" w:space="0" w:color="auto"/>
            </w:tcBorders>
          </w:tcPr>
          <w:p w14:paraId="05FE5ABA" w14:textId="6611FB2C"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b/>
                <w:lang w:val="ro-RO"/>
              </w:rPr>
              <w:t>(</w:t>
            </w:r>
            <w:r w:rsidRPr="009E686F">
              <w:rPr>
                <w:rFonts w:ascii="Times New Roman" w:hAnsi="Times New Roman" w:cs="Times New Roman"/>
                <w:lang w:val="ro-RO"/>
              </w:rPr>
              <w:t>2) În cadrul acestor acorduri, vor fi repartizate compatențele de supraveghere pe bază consolidată între autoritățile competente implicate,  se pot încredința atribuții suplimentare supraveghetorului consolidant și se vor specifica proceduri pentru procesul decizional și pentru cooperarea cu alte autorități competente în situații obișnuite și  în cele de urgență.</w:t>
            </w:r>
          </w:p>
        </w:tc>
        <w:tc>
          <w:tcPr>
            <w:tcW w:w="470" w:type="pct"/>
            <w:tcBorders>
              <w:top w:val="single" w:sz="4" w:space="0" w:color="auto"/>
              <w:left w:val="single" w:sz="4" w:space="0" w:color="auto"/>
              <w:bottom w:val="single" w:sz="4" w:space="0" w:color="auto"/>
              <w:right w:val="single" w:sz="4" w:space="0" w:color="auto"/>
            </w:tcBorders>
          </w:tcPr>
          <w:p w14:paraId="09EB3491" w14:textId="72FFCA64"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14905CE4" w14:textId="77777777" w:rsidR="00984B34" w:rsidRPr="009E686F" w:rsidRDefault="00984B34" w:rsidP="00984B34">
            <w:pPr>
              <w:jc w:val="both"/>
              <w:rPr>
                <w:rFonts w:ascii="Times New Roman" w:hAnsi="Times New Roman" w:cs="Times New Roman"/>
                <w:lang w:val="ro-RO"/>
              </w:rPr>
            </w:pPr>
          </w:p>
        </w:tc>
      </w:tr>
      <w:tr w:rsidR="00984B34" w:rsidRPr="009E686F" w14:paraId="779C9737" w14:textId="646F8D7E" w:rsidTr="00774F3E">
        <w:tc>
          <w:tcPr>
            <w:tcW w:w="1796" w:type="pct"/>
            <w:gridSpan w:val="2"/>
            <w:tcBorders>
              <w:top w:val="single" w:sz="4" w:space="0" w:color="auto"/>
              <w:left w:val="single" w:sz="4" w:space="0" w:color="auto"/>
              <w:bottom w:val="single" w:sz="4" w:space="0" w:color="auto"/>
              <w:right w:val="single" w:sz="4" w:space="0" w:color="auto"/>
            </w:tcBorders>
          </w:tcPr>
          <w:p w14:paraId="17EEAE2D"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(2) Autoritățile competente responsabile cu autorizarea filialei unei întreprinderi-mamă care este o instituție își pot delega responsabilitatea de supraveghere, prin acord bilateral și în conformitate cu articolul 28 din Regulamentul (UE) nr. 1093/2010, autorităților competente care au autorizat și care supraveghează întreprinderea-mamă, astfel încât acestea să își asume responsabilitatea de supraveghere a filialei în conformitate cu prezenta directivă. </w:t>
            </w:r>
          </w:p>
          <w:p w14:paraId="46F5D410" w14:textId="77777777" w:rsidR="00984B34" w:rsidRPr="009E686F" w:rsidRDefault="00984B34" w:rsidP="00984B34">
            <w:pPr>
              <w:spacing w:after="0"/>
              <w:jc w:val="both"/>
              <w:rPr>
                <w:rFonts w:ascii="Times New Roman" w:hAnsi="Times New Roman" w:cs="Times New Roman"/>
                <w:lang w:val="ro-RO"/>
              </w:rPr>
            </w:pPr>
          </w:p>
          <w:p w14:paraId="152631C6" w14:textId="3C9F5111"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ABE este informată cu privire la existența și conținutul unor astfel de acorduri. </w:t>
            </w:r>
          </w:p>
          <w:p w14:paraId="75504461" w14:textId="06B66E94" w:rsidR="00984B34" w:rsidRPr="009E686F" w:rsidRDefault="00984B34" w:rsidP="00984B34">
            <w:pPr>
              <w:spacing w:after="0"/>
              <w:jc w:val="both"/>
              <w:rPr>
                <w:rFonts w:ascii="Times New Roman" w:hAnsi="Times New Roman" w:cs="Times New Roman"/>
                <w:lang w:val="ro-RO"/>
              </w:rPr>
            </w:pPr>
          </w:p>
        </w:tc>
        <w:tc>
          <w:tcPr>
            <w:tcW w:w="1928" w:type="pct"/>
            <w:gridSpan w:val="3"/>
            <w:tcBorders>
              <w:top w:val="single" w:sz="4" w:space="0" w:color="auto"/>
              <w:left w:val="single" w:sz="4" w:space="0" w:color="auto"/>
              <w:bottom w:val="single" w:sz="4" w:space="0" w:color="auto"/>
              <w:right w:val="single" w:sz="4" w:space="0" w:color="auto"/>
            </w:tcBorders>
          </w:tcPr>
          <w:p w14:paraId="731EA5EE" w14:textId="4DB97794" w:rsidR="00984B34" w:rsidRPr="009E686F" w:rsidRDefault="00984B34" w:rsidP="00984B34">
            <w:pPr>
              <w:spacing w:after="0"/>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 xml:space="preserve">(3) Prin derogare de la art.109 alin.(1), </w:t>
            </w:r>
            <w:r w:rsidRPr="009E686F">
              <w:rPr>
                <w:rFonts w:ascii="Times New Roman" w:eastAsia="Aptos" w:hAnsi="Times New Roman" w:cs="Times New Roman"/>
                <w:i/>
                <w:iCs/>
                <w:kern w:val="2"/>
                <w:lang w:val="ro-MD"/>
              </w:rPr>
              <w:t>Banca Națională a Moldovei, în calitate de autoritate competentă responsabilă cu autorizarea unei instituții de credit, persoană juridică din Republica Moldova, filială a unei instituții de credit dintr-un alt stat membru, poate, prin acorduri bilaterale,   să delege  responsabilitatea de supraveghere  autorității competente care a autorizat și supraveghează întreprinderea-mamă, astfel încât responsabilitățile ce revin pe linia supravegherii filialei respective potrivit prezentei legi să revină acesteia din urmă</w:t>
            </w:r>
            <w:r w:rsidRPr="009E686F">
              <w:rPr>
                <w:rFonts w:ascii="Times New Roman" w:eastAsia="Aptos" w:hAnsi="Times New Roman" w:cs="Times New Roman"/>
                <w:kern w:val="2"/>
                <w:lang w:val="ro-MD"/>
              </w:rPr>
              <w:t>.</w:t>
            </w:r>
          </w:p>
          <w:p w14:paraId="242C8FB2" w14:textId="5F2D417B" w:rsidR="00984B34" w:rsidRPr="009E686F" w:rsidRDefault="00984B34" w:rsidP="00984B34">
            <w:pPr>
              <w:spacing w:after="0"/>
              <w:jc w:val="both"/>
              <w:rPr>
                <w:rFonts w:ascii="Times New Roman" w:hAnsi="Times New Roman" w:cs="Times New Roman"/>
                <w:b/>
                <w:i/>
                <w:iCs/>
                <w:lang w:val="ro-RO"/>
              </w:rPr>
            </w:pPr>
            <w:r w:rsidRPr="009E686F">
              <w:rPr>
                <w:rFonts w:ascii="Times New Roman" w:eastAsia="Aptos" w:hAnsi="Times New Roman" w:cs="Times New Roman"/>
                <w:i/>
                <w:iCs/>
                <w:kern w:val="2"/>
                <w:lang w:val="ro-MD"/>
              </w:rPr>
              <w:t>(3</w:t>
            </w:r>
            <w:r w:rsidRPr="009E686F">
              <w:rPr>
                <w:rFonts w:ascii="Times New Roman" w:eastAsia="Aptos" w:hAnsi="Times New Roman" w:cs="Times New Roman"/>
                <w:i/>
                <w:iCs/>
                <w:kern w:val="2"/>
                <w:vertAlign w:val="superscript"/>
                <w:lang w:val="ro-MD"/>
              </w:rPr>
              <w:t>1</w:t>
            </w:r>
            <w:r w:rsidRPr="009E686F">
              <w:rPr>
                <w:rFonts w:ascii="Times New Roman" w:eastAsia="Aptos" w:hAnsi="Times New Roman" w:cs="Times New Roman"/>
                <w:i/>
                <w:iCs/>
                <w:kern w:val="2"/>
                <w:lang w:val="ro-MD"/>
              </w:rPr>
              <w:t>) Banca Națională a Moldovei notifică Autorității Bancare Europene</w:t>
            </w:r>
            <w:r w:rsidR="00A90CEA" w:rsidRPr="009E686F">
              <w:rPr>
                <w:rFonts w:ascii="Times New Roman" w:eastAsia="Aptos" w:hAnsi="Times New Roman" w:cs="Times New Roman"/>
                <w:i/>
                <w:iCs/>
                <w:kern w:val="2"/>
                <w:lang w:val="ro-MD"/>
              </w:rPr>
              <w:t xml:space="preserve"> despre</w:t>
            </w:r>
            <w:r w:rsidRPr="009E686F">
              <w:rPr>
                <w:rFonts w:ascii="Times New Roman" w:eastAsia="Aptos" w:hAnsi="Times New Roman" w:cs="Times New Roman"/>
                <w:i/>
                <w:iCs/>
                <w:kern w:val="2"/>
                <w:lang w:val="ro-MD"/>
              </w:rPr>
              <w:t xml:space="preserve"> existența și conținutul acorduri</w:t>
            </w:r>
            <w:r w:rsidR="007B0D55" w:rsidRPr="009E686F">
              <w:rPr>
                <w:rFonts w:ascii="Times New Roman" w:eastAsia="Aptos" w:hAnsi="Times New Roman" w:cs="Times New Roman"/>
                <w:i/>
                <w:iCs/>
                <w:kern w:val="2"/>
                <w:lang w:val="ro-MD"/>
              </w:rPr>
              <w:t>lor prevăzute la alin. (3)</w:t>
            </w:r>
            <w:r w:rsidRPr="009E686F">
              <w:rPr>
                <w:rFonts w:ascii="Times New Roman" w:eastAsia="Aptos" w:hAnsi="Times New Roman" w:cs="Times New Roman"/>
                <w:i/>
                <w:iCs/>
                <w:kern w:val="2"/>
                <w:lang w:val="ro-MD"/>
              </w:rPr>
              <w:t>.</w:t>
            </w:r>
          </w:p>
        </w:tc>
        <w:tc>
          <w:tcPr>
            <w:tcW w:w="470" w:type="pct"/>
            <w:tcBorders>
              <w:top w:val="single" w:sz="4" w:space="0" w:color="auto"/>
              <w:left w:val="single" w:sz="4" w:space="0" w:color="auto"/>
              <w:bottom w:val="single" w:sz="4" w:space="0" w:color="auto"/>
              <w:right w:val="single" w:sz="4" w:space="0" w:color="auto"/>
            </w:tcBorders>
          </w:tcPr>
          <w:p w14:paraId="15EC859F" w14:textId="77777777"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p w14:paraId="4F407177" w14:textId="5A045BFB" w:rsidR="00984B34" w:rsidRPr="009E686F" w:rsidRDefault="00984B34" w:rsidP="00984B34">
            <w:pPr>
              <w:jc w:val="both"/>
              <w:rPr>
                <w:rFonts w:ascii="Times New Roman" w:hAnsi="Times New Roman" w:cs="Times New Roman"/>
                <w:lang w:val="ro-RO"/>
              </w:rPr>
            </w:pPr>
          </w:p>
          <w:p w14:paraId="74499D8C" w14:textId="472DFD3E" w:rsidR="00984B34" w:rsidRPr="009E686F" w:rsidRDefault="00984B34" w:rsidP="00984B34">
            <w:pPr>
              <w:jc w:val="both"/>
              <w:rPr>
                <w:rFonts w:ascii="Times New Roman" w:hAnsi="Times New Roman" w:cs="Times New Roman"/>
                <w:lang w:val="ro-RO"/>
              </w:rPr>
            </w:pPr>
          </w:p>
          <w:p w14:paraId="4A591741" w14:textId="56DDE963" w:rsidR="00984B34" w:rsidRPr="009E686F" w:rsidRDefault="00984B34" w:rsidP="00984B34">
            <w:pPr>
              <w:jc w:val="both"/>
              <w:rPr>
                <w:rFonts w:ascii="Times New Roman" w:hAnsi="Times New Roman" w:cs="Times New Roman"/>
                <w:lang w:val="ro-RO"/>
              </w:rPr>
            </w:pPr>
          </w:p>
          <w:p w14:paraId="1A4F4D77" w14:textId="6F5B812E" w:rsidR="00984B34" w:rsidRPr="009E686F" w:rsidRDefault="00984B34" w:rsidP="00984B34">
            <w:pPr>
              <w:jc w:val="both"/>
              <w:rPr>
                <w:rFonts w:ascii="Times New Roman" w:hAnsi="Times New Roman" w:cs="Times New Roman"/>
                <w:lang w:val="ro-RO"/>
              </w:rPr>
            </w:pPr>
          </w:p>
          <w:p w14:paraId="2477AF55" w14:textId="77777777" w:rsidR="00984B34" w:rsidRPr="009E686F" w:rsidRDefault="00984B34" w:rsidP="00984B34">
            <w:pPr>
              <w:jc w:val="both"/>
              <w:rPr>
                <w:rFonts w:ascii="Times New Roman" w:hAnsi="Times New Roman" w:cs="Times New Roman"/>
                <w:lang w:val="ro-RO"/>
              </w:rPr>
            </w:pPr>
          </w:p>
          <w:p w14:paraId="764DB3C0" w14:textId="77777777" w:rsidR="00984B34" w:rsidRPr="009E686F" w:rsidRDefault="00984B34" w:rsidP="00984B34">
            <w:pPr>
              <w:jc w:val="both"/>
              <w:rPr>
                <w:rFonts w:ascii="Times New Roman" w:hAnsi="Times New Roman" w:cs="Times New Roman"/>
                <w:lang w:val="ro-RO"/>
              </w:rPr>
            </w:pPr>
          </w:p>
          <w:p w14:paraId="1DF5BE92" w14:textId="6F8F6849"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4DB91F9C" w14:textId="7D0D9AEF" w:rsidR="00984B34" w:rsidRPr="009E686F" w:rsidRDefault="00984B34" w:rsidP="00984B34">
            <w:pPr>
              <w:jc w:val="both"/>
              <w:rPr>
                <w:rFonts w:ascii="Times New Roman" w:hAnsi="Times New Roman" w:cs="Times New Roman"/>
                <w:lang w:val="ro-RO"/>
              </w:rPr>
            </w:pPr>
          </w:p>
        </w:tc>
      </w:tr>
      <w:tr w:rsidR="00984B34" w:rsidRPr="009E686F" w14:paraId="0E0228BE"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49142DBB" w14:textId="03E1C104"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Comisia transmite aceste informații autorităților competente din alte state membre și Comitetului bancar european.</w:t>
            </w:r>
          </w:p>
        </w:tc>
        <w:tc>
          <w:tcPr>
            <w:tcW w:w="1928" w:type="pct"/>
            <w:gridSpan w:val="3"/>
            <w:tcBorders>
              <w:top w:val="single" w:sz="4" w:space="0" w:color="auto"/>
              <w:left w:val="single" w:sz="4" w:space="0" w:color="auto"/>
              <w:bottom w:val="single" w:sz="4" w:space="0" w:color="auto"/>
              <w:right w:val="single" w:sz="4" w:space="0" w:color="auto"/>
            </w:tcBorders>
          </w:tcPr>
          <w:p w14:paraId="262B4AFB" w14:textId="77777777" w:rsidR="00984B34" w:rsidRPr="009E686F" w:rsidRDefault="00984B34" w:rsidP="00984B34">
            <w:pPr>
              <w:spacing w:after="0"/>
              <w:jc w:val="both"/>
              <w:rPr>
                <w:rFonts w:ascii="Times New Roman" w:eastAsia="Aptos" w:hAnsi="Times New Roman" w:cs="Times New Roman"/>
                <w:kern w:val="2"/>
                <w:lang w:val="ro-MD"/>
              </w:rPr>
            </w:pPr>
          </w:p>
        </w:tc>
        <w:tc>
          <w:tcPr>
            <w:tcW w:w="470" w:type="pct"/>
            <w:tcBorders>
              <w:top w:val="single" w:sz="4" w:space="0" w:color="auto"/>
              <w:left w:val="single" w:sz="4" w:space="0" w:color="auto"/>
              <w:bottom w:val="single" w:sz="4" w:space="0" w:color="auto"/>
              <w:right w:val="single" w:sz="4" w:space="0" w:color="auto"/>
            </w:tcBorders>
          </w:tcPr>
          <w:p w14:paraId="65E8562C" w14:textId="1AB7A8A1"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neaplicabile</w:t>
            </w:r>
          </w:p>
        </w:tc>
        <w:tc>
          <w:tcPr>
            <w:tcW w:w="806" w:type="pct"/>
            <w:tcBorders>
              <w:top w:val="single" w:sz="4" w:space="0" w:color="auto"/>
              <w:left w:val="single" w:sz="4" w:space="0" w:color="auto"/>
              <w:bottom w:val="single" w:sz="4" w:space="0" w:color="auto"/>
              <w:right w:val="single" w:sz="4" w:space="0" w:color="auto"/>
            </w:tcBorders>
          </w:tcPr>
          <w:p w14:paraId="1D3ED1C5" w14:textId="340ABF55"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Se referă la competențele Comisiei Europene.</w:t>
            </w:r>
          </w:p>
        </w:tc>
      </w:tr>
      <w:tr w:rsidR="00984B34" w:rsidRPr="009E686F" w14:paraId="7989C557"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519CC0AE" w14:textId="09914F68"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(3) Atunci când supraveghetorul consolidant diferă de autoritatea competentă a statului membru în care este stabilită societatea financiară holding sau societatea financiară holding mixtă căreia i s-a acordat aprobare în conformitate cu articolul 21a, acordurile de coordonare și cooperare menționate la alineatul (1) de la prezentul articol </w:t>
            </w:r>
            <w:r w:rsidRPr="009E686F">
              <w:rPr>
                <w:rFonts w:ascii="Times New Roman" w:hAnsi="Times New Roman" w:cs="Times New Roman"/>
                <w:lang w:val="ro-RO"/>
              </w:rPr>
              <w:lastRenderedPageBreak/>
              <w:t>sunt, de asemenea, încheiate cu autoritatea competentă a statului membru în care este stabilită întreprinderea-mamă.</w:t>
            </w:r>
          </w:p>
        </w:tc>
        <w:tc>
          <w:tcPr>
            <w:tcW w:w="1928" w:type="pct"/>
            <w:gridSpan w:val="3"/>
            <w:tcBorders>
              <w:top w:val="single" w:sz="4" w:space="0" w:color="auto"/>
              <w:left w:val="single" w:sz="4" w:space="0" w:color="auto"/>
              <w:bottom w:val="single" w:sz="4" w:space="0" w:color="auto"/>
              <w:right w:val="single" w:sz="4" w:space="0" w:color="auto"/>
            </w:tcBorders>
          </w:tcPr>
          <w:p w14:paraId="4DD77606" w14:textId="6635E7EB" w:rsidR="00984B34" w:rsidRPr="009E686F" w:rsidRDefault="00984B34" w:rsidP="00984B34">
            <w:pPr>
              <w:spacing w:after="0"/>
              <w:jc w:val="both"/>
              <w:rPr>
                <w:rFonts w:ascii="Times New Roman" w:hAnsi="Times New Roman" w:cs="Times New Roman"/>
                <w:b/>
                <w:i/>
                <w:iCs/>
                <w:lang w:val="ro-RO"/>
              </w:rPr>
            </w:pPr>
            <w:r w:rsidRPr="009E686F">
              <w:rPr>
                <w:rFonts w:ascii="Times New Roman" w:eastAsia="Aptos" w:hAnsi="Times New Roman" w:cs="Times New Roman"/>
                <w:i/>
                <w:iCs/>
                <w:kern w:val="2"/>
                <w:lang w:val="ro-MD"/>
              </w:rPr>
              <w:lastRenderedPageBreak/>
              <w:t>(3</w:t>
            </w:r>
            <w:r w:rsidRPr="009E686F">
              <w:rPr>
                <w:rFonts w:ascii="Times New Roman" w:eastAsia="Aptos" w:hAnsi="Times New Roman" w:cs="Times New Roman"/>
                <w:i/>
                <w:iCs/>
                <w:kern w:val="2"/>
                <w:vertAlign w:val="superscript"/>
                <w:lang w:val="ro-MD"/>
              </w:rPr>
              <w:t>2</w:t>
            </w:r>
            <w:r w:rsidRPr="009E686F">
              <w:rPr>
                <w:rFonts w:ascii="Times New Roman" w:eastAsia="Aptos" w:hAnsi="Times New Roman" w:cs="Times New Roman"/>
                <w:i/>
                <w:iCs/>
                <w:kern w:val="2"/>
                <w:lang w:val="ro-MD"/>
              </w:rPr>
              <w:t xml:space="preserve">) </w:t>
            </w:r>
            <w:r w:rsidRPr="009E686F">
              <w:rPr>
                <w:rFonts w:ascii="Times New Roman" w:eastAsia="Aptos" w:hAnsi="Times New Roman" w:cs="Times New Roman"/>
                <w:i/>
                <w:iCs/>
                <w:kern w:val="2"/>
                <w:bdr w:val="none" w:sz="0" w:space="0" w:color="auto" w:frame="1"/>
                <w:shd w:val="clear" w:color="auto" w:fill="FFFFFF"/>
                <w:lang w:val="ro-MD"/>
              </w:rPr>
              <w:t>Atunci când întreprinderea-mamă a unui grup este o societate financiară holding sau o societate financiară holding mixtă situată într-un alt stat membru și care a obținut aprobarea potrivit art. 116</w:t>
            </w:r>
            <w:r w:rsidRPr="009E686F">
              <w:rPr>
                <w:rFonts w:ascii="Times New Roman" w:eastAsia="Aptos" w:hAnsi="Times New Roman" w:cs="Times New Roman"/>
                <w:i/>
                <w:iCs/>
                <w:kern w:val="2"/>
                <w:bdr w:val="none" w:sz="0" w:space="0" w:color="auto" w:frame="1"/>
                <w:shd w:val="clear" w:color="auto" w:fill="FFFFFF"/>
                <w:vertAlign w:val="superscript"/>
                <w:lang w:val="ro-MD"/>
              </w:rPr>
              <w:t>1</w:t>
            </w:r>
            <w:r w:rsidRPr="009E686F">
              <w:rPr>
                <w:rFonts w:ascii="Times New Roman" w:eastAsia="Aptos" w:hAnsi="Times New Roman" w:cs="Times New Roman"/>
                <w:i/>
                <w:iCs/>
                <w:kern w:val="2"/>
                <w:bdr w:val="none" w:sz="0" w:space="0" w:color="auto" w:frame="1"/>
                <w:shd w:val="clear" w:color="auto" w:fill="FFFFFF"/>
                <w:lang w:val="ro-MD"/>
              </w:rPr>
              <w:t>-116</w:t>
            </w:r>
            <w:r w:rsidRPr="009E686F">
              <w:rPr>
                <w:rFonts w:ascii="Times New Roman" w:eastAsia="Aptos" w:hAnsi="Times New Roman" w:cs="Times New Roman"/>
                <w:i/>
                <w:iCs/>
                <w:kern w:val="2"/>
                <w:bdr w:val="none" w:sz="0" w:space="0" w:color="auto" w:frame="1"/>
                <w:shd w:val="clear" w:color="auto" w:fill="FFFFFF"/>
                <w:vertAlign w:val="superscript"/>
                <w:lang w:val="ro-MD"/>
              </w:rPr>
              <w:t>5</w:t>
            </w:r>
            <w:r w:rsidRPr="009E686F">
              <w:rPr>
                <w:rFonts w:ascii="Times New Roman" w:eastAsia="Aptos" w:hAnsi="Times New Roman" w:cs="Times New Roman"/>
                <w:i/>
                <w:iCs/>
                <w:kern w:val="2"/>
                <w:bdr w:val="none" w:sz="0" w:space="0" w:color="auto" w:frame="1"/>
                <w:shd w:val="clear" w:color="auto" w:fill="FFFFFF"/>
                <w:lang w:val="ro-MD"/>
              </w:rPr>
              <w:t xml:space="preserve"> , Banca Națională a Moldovei, în calitate de supraveghetor consolidant al grupului respectiv, încheie acordurile de coordonare și cooperare prevăzute la alin. (1) </w:t>
            </w:r>
            <w:r w:rsidR="00D148D0" w:rsidRPr="009E686F">
              <w:rPr>
                <w:rFonts w:ascii="Times New Roman" w:eastAsia="Aptos" w:hAnsi="Times New Roman" w:cs="Times New Roman"/>
                <w:i/>
                <w:iCs/>
                <w:kern w:val="2"/>
                <w:bdr w:val="none" w:sz="0" w:space="0" w:color="auto" w:frame="1"/>
                <w:shd w:val="clear" w:color="auto" w:fill="FFFFFF"/>
                <w:lang w:val="ro-MD"/>
              </w:rPr>
              <w:t xml:space="preserve">și </w:t>
            </w:r>
            <w:r w:rsidRPr="009E686F">
              <w:rPr>
                <w:rFonts w:ascii="Times New Roman" w:eastAsia="Aptos" w:hAnsi="Times New Roman" w:cs="Times New Roman"/>
                <w:i/>
                <w:iCs/>
                <w:kern w:val="2"/>
                <w:bdr w:val="none" w:sz="0" w:space="0" w:color="auto" w:frame="1"/>
                <w:shd w:val="clear" w:color="auto" w:fill="FFFFFF"/>
                <w:lang w:val="ro-MD"/>
              </w:rPr>
              <w:lastRenderedPageBreak/>
              <w:t>(2), inclusiv cu autoritatea competentă a statului membru în care este situată întreprinderea-mamă respectivă.</w:t>
            </w:r>
          </w:p>
        </w:tc>
        <w:tc>
          <w:tcPr>
            <w:tcW w:w="470" w:type="pct"/>
            <w:tcBorders>
              <w:top w:val="single" w:sz="4" w:space="0" w:color="auto"/>
              <w:left w:val="single" w:sz="4" w:space="0" w:color="auto"/>
              <w:bottom w:val="single" w:sz="4" w:space="0" w:color="auto"/>
              <w:right w:val="single" w:sz="4" w:space="0" w:color="auto"/>
            </w:tcBorders>
          </w:tcPr>
          <w:p w14:paraId="7704C2E5" w14:textId="77777777"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lastRenderedPageBreak/>
              <w:t>Compatibil</w:t>
            </w:r>
          </w:p>
          <w:p w14:paraId="5DD798D9" w14:textId="2DCEF11D"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330FA06A" w14:textId="77777777" w:rsidR="00984B34" w:rsidRPr="009E686F" w:rsidRDefault="00984B34" w:rsidP="00984B34">
            <w:pPr>
              <w:jc w:val="both"/>
              <w:rPr>
                <w:rFonts w:ascii="Times New Roman" w:hAnsi="Times New Roman" w:cs="Times New Roman"/>
                <w:lang w:val="ro-RO"/>
              </w:rPr>
            </w:pPr>
          </w:p>
        </w:tc>
      </w:tr>
      <w:tr w:rsidR="00984B34" w:rsidRPr="009E686F" w14:paraId="73F0E705" w14:textId="197FEA25" w:rsidTr="00774F3E">
        <w:tc>
          <w:tcPr>
            <w:tcW w:w="1796" w:type="pct"/>
            <w:gridSpan w:val="2"/>
            <w:tcBorders>
              <w:top w:val="single" w:sz="4" w:space="0" w:color="auto"/>
              <w:left w:val="single" w:sz="4" w:space="0" w:color="auto"/>
              <w:bottom w:val="single" w:sz="4" w:space="0" w:color="auto"/>
              <w:right w:val="single" w:sz="4" w:space="0" w:color="auto"/>
            </w:tcBorders>
          </w:tcPr>
          <w:p w14:paraId="34AE4469" w14:textId="77777777" w:rsidR="00984B34" w:rsidRPr="009E686F" w:rsidRDefault="00984B34" w:rsidP="00984B34">
            <w:pPr>
              <w:spacing w:after="0"/>
              <w:jc w:val="both"/>
              <w:rPr>
                <w:rFonts w:ascii="Times New Roman" w:hAnsi="Times New Roman" w:cs="Times New Roman"/>
                <w:i/>
                <w:iCs/>
                <w:lang w:val="ro-RO"/>
              </w:rPr>
            </w:pPr>
            <w:r w:rsidRPr="009E686F">
              <w:rPr>
                <w:rFonts w:ascii="Times New Roman" w:hAnsi="Times New Roman" w:cs="Times New Roman"/>
                <w:i/>
                <w:iCs/>
                <w:lang w:val="ro-RO"/>
              </w:rPr>
              <w:t xml:space="preserve">Articolul 116 </w:t>
            </w:r>
          </w:p>
          <w:p w14:paraId="463F1F7A" w14:textId="3C76CD49"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Colegiile de supraveghere</w:t>
            </w:r>
          </w:p>
        </w:tc>
        <w:tc>
          <w:tcPr>
            <w:tcW w:w="1928" w:type="pct"/>
            <w:gridSpan w:val="3"/>
            <w:tcBorders>
              <w:top w:val="single" w:sz="4" w:space="0" w:color="auto"/>
              <w:left w:val="single" w:sz="4" w:space="0" w:color="auto"/>
              <w:bottom w:val="single" w:sz="4" w:space="0" w:color="auto"/>
              <w:right w:val="single" w:sz="4" w:space="0" w:color="auto"/>
            </w:tcBorders>
          </w:tcPr>
          <w:p w14:paraId="606E10A4" w14:textId="77777777" w:rsidR="00984B34" w:rsidRPr="009E686F" w:rsidRDefault="00984B34" w:rsidP="00984B34">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b/>
                <w:bCs/>
                <w:kern w:val="2"/>
                <w:lang w:val="ro-MD"/>
              </w:rPr>
              <w:t>Articolul 112.</w:t>
            </w:r>
            <w:r w:rsidRPr="009E686F">
              <w:rPr>
                <w:rFonts w:ascii="Times New Roman" w:eastAsia="Aptos" w:hAnsi="Times New Roman" w:cs="Times New Roman"/>
                <w:kern w:val="2"/>
                <w:lang w:val="ro-MD"/>
              </w:rPr>
              <w:t xml:space="preserve"> Colegiile de supraveghetori</w:t>
            </w:r>
          </w:p>
          <w:p w14:paraId="74C16002" w14:textId="77777777" w:rsidR="00984B34" w:rsidRPr="009E686F" w:rsidRDefault="00984B34" w:rsidP="00984B34">
            <w:pPr>
              <w:spacing w:after="0"/>
              <w:jc w:val="both"/>
              <w:rPr>
                <w:rFonts w:ascii="Times New Roman" w:hAnsi="Times New Roman" w:cs="Times New Roman"/>
                <w:lang w:val="ro-RO"/>
              </w:rPr>
            </w:pPr>
          </w:p>
        </w:tc>
        <w:tc>
          <w:tcPr>
            <w:tcW w:w="470" w:type="pct"/>
            <w:tcBorders>
              <w:top w:val="single" w:sz="4" w:space="0" w:color="auto"/>
              <w:left w:val="single" w:sz="4" w:space="0" w:color="auto"/>
              <w:bottom w:val="single" w:sz="4" w:space="0" w:color="auto"/>
              <w:right w:val="single" w:sz="4" w:space="0" w:color="auto"/>
            </w:tcBorders>
          </w:tcPr>
          <w:p w14:paraId="398D11CE" w14:textId="7DFF4CEB"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2D10517C" w14:textId="77777777" w:rsidR="00984B34" w:rsidRPr="009E686F" w:rsidRDefault="00984B34" w:rsidP="00984B34">
            <w:pPr>
              <w:jc w:val="both"/>
              <w:rPr>
                <w:rFonts w:ascii="Times New Roman" w:hAnsi="Times New Roman" w:cs="Times New Roman"/>
                <w:lang w:val="ro-RO"/>
              </w:rPr>
            </w:pPr>
          </w:p>
        </w:tc>
      </w:tr>
      <w:tr w:rsidR="00984B34" w:rsidRPr="009E686F" w14:paraId="129E98F1" w14:textId="312129F3" w:rsidTr="00774F3E">
        <w:tc>
          <w:tcPr>
            <w:tcW w:w="1796" w:type="pct"/>
            <w:gridSpan w:val="2"/>
            <w:tcBorders>
              <w:top w:val="single" w:sz="4" w:space="0" w:color="auto"/>
              <w:left w:val="single" w:sz="4" w:space="0" w:color="auto"/>
              <w:bottom w:val="single" w:sz="4" w:space="0" w:color="auto"/>
              <w:right w:val="single" w:sz="4" w:space="0" w:color="auto"/>
            </w:tcBorders>
          </w:tcPr>
          <w:p w14:paraId="35900CBD" w14:textId="056BF5E2"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(1) Autoritatea responsabilă cu supravegherea consolidată instituie colegii de supraveghetori pentru a facilita îndeplinirea sarcinilor menționate la articolele 112 și 113 și la articolul 114 alineatul (1) și, sub rezerva cerințelor de confidențialitate de la alineatul (2) de la prezentul articol și a dreptului Uniunii, pentru a asigura, atunci când este cazul, o coordonare și o colaborare adecvate cu autoritățile competente relevante din țări  terțe. </w:t>
            </w:r>
          </w:p>
        </w:tc>
        <w:tc>
          <w:tcPr>
            <w:tcW w:w="1928" w:type="pct"/>
            <w:gridSpan w:val="3"/>
            <w:tcBorders>
              <w:top w:val="single" w:sz="4" w:space="0" w:color="auto"/>
              <w:left w:val="single" w:sz="4" w:space="0" w:color="auto"/>
              <w:bottom w:val="single" w:sz="4" w:space="0" w:color="auto"/>
              <w:right w:val="single" w:sz="4" w:space="0" w:color="auto"/>
            </w:tcBorders>
          </w:tcPr>
          <w:p w14:paraId="7F8E7606" w14:textId="03000695" w:rsidR="00984B34" w:rsidRPr="009E686F" w:rsidRDefault="00984B34" w:rsidP="00984B34">
            <w:pPr>
              <w:spacing w:after="0"/>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 xml:space="preserve">(1) Banca Naţională a Moldovei, în calitate de supraveghetor consolidant, poate institui colegii de supraveghetori pentru a facilita realizarea sarcinilor menţionate la art.110 şi 111 şi, sub rezerva cerinţelor de confidenţialitate prevăzute la alin.(2) din prezentul articol </w:t>
            </w:r>
            <w:r w:rsidRPr="009E686F">
              <w:rPr>
                <w:rFonts w:ascii="Times New Roman" w:eastAsia="Aptos" w:hAnsi="Times New Roman" w:cs="Times New Roman"/>
                <w:i/>
                <w:iCs/>
                <w:kern w:val="2"/>
                <w:lang w:val="ro-MD"/>
              </w:rPr>
              <w:t>și a legislației Uniunii Europene</w:t>
            </w:r>
            <w:r w:rsidRPr="009E686F">
              <w:rPr>
                <w:rFonts w:ascii="Times New Roman" w:eastAsia="Aptos" w:hAnsi="Times New Roman" w:cs="Times New Roman"/>
                <w:kern w:val="2"/>
                <w:lang w:val="ro-MD"/>
              </w:rPr>
              <w:t>, pentru a asigura, atunci cînd este cazul, o coordonare şi o colaborare adecvate cu autorităţile competente relevante din state terțe.</w:t>
            </w:r>
          </w:p>
          <w:p w14:paraId="6FDA7072" w14:textId="330931B6"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2A18C086" w14:textId="418A72B3"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7888334E" w14:textId="77777777" w:rsidR="00984B34" w:rsidRPr="009E686F" w:rsidRDefault="00984B34" w:rsidP="00984B34">
            <w:pPr>
              <w:jc w:val="both"/>
              <w:rPr>
                <w:rFonts w:ascii="Times New Roman" w:hAnsi="Times New Roman" w:cs="Times New Roman"/>
                <w:lang w:val="ro-RO"/>
              </w:rPr>
            </w:pPr>
          </w:p>
        </w:tc>
      </w:tr>
      <w:tr w:rsidR="00984B34" w:rsidRPr="009E686F" w14:paraId="1ADEF6C1" w14:textId="6FDEE6C5" w:rsidTr="00774F3E">
        <w:tc>
          <w:tcPr>
            <w:tcW w:w="1796" w:type="pct"/>
            <w:gridSpan w:val="2"/>
            <w:tcBorders>
              <w:top w:val="single" w:sz="4" w:space="0" w:color="auto"/>
              <w:left w:val="single" w:sz="4" w:space="0" w:color="auto"/>
              <w:bottom w:val="single" w:sz="4" w:space="0" w:color="auto"/>
              <w:right w:val="single" w:sz="4" w:space="0" w:color="auto"/>
            </w:tcBorders>
          </w:tcPr>
          <w:p w14:paraId="5A47A3CA"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ABE contribuie la promovarea și monitorizarea funcționării eficiente, efective și coerente a colegiilor de supraveghetori menționate în prezentul articol, în conformitate cu articolul 21 din Regulamentul (UE) nr. 1093/2010. În acest sens, ABE participă în mod corespunzător și este considerată ca fiind o autoritate competentă în acest scop. </w:t>
            </w:r>
          </w:p>
        </w:tc>
        <w:tc>
          <w:tcPr>
            <w:tcW w:w="1928" w:type="pct"/>
            <w:gridSpan w:val="3"/>
            <w:tcBorders>
              <w:top w:val="single" w:sz="4" w:space="0" w:color="auto"/>
              <w:left w:val="single" w:sz="4" w:space="0" w:color="auto"/>
              <w:bottom w:val="single" w:sz="4" w:space="0" w:color="auto"/>
              <w:right w:val="single" w:sz="4" w:space="0" w:color="auto"/>
            </w:tcBorders>
          </w:tcPr>
          <w:p w14:paraId="42460202"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12C7ED15" w14:textId="6BA0B8A5"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neaplicabile</w:t>
            </w:r>
          </w:p>
        </w:tc>
        <w:tc>
          <w:tcPr>
            <w:tcW w:w="806" w:type="pct"/>
            <w:tcBorders>
              <w:top w:val="single" w:sz="4" w:space="0" w:color="auto"/>
              <w:left w:val="single" w:sz="4" w:space="0" w:color="auto"/>
              <w:bottom w:val="single" w:sz="4" w:space="0" w:color="auto"/>
              <w:right w:val="single" w:sz="4" w:space="0" w:color="auto"/>
            </w:tcBorders>
          </w:tcPr>
          <w:p w14:paraId="570206A5" w14:textId="780C6D09"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Se referă la competențele ABE.</w:t>
            </w:r>
          </w:p>
        </w:tc>
      </w:tr>
      <w:tr w:rsidR="00984B34" w:rsidRPr="009E686F" w14:paraId="6FDD1738" w14:textId="4500CE38" w:rsidTr="00774F3E">
        <w:tc>
          <w:tcPr>
            <w:tcW w:w="1796" w:type="pct"/>
            <w:gridSpan w:val="2"/>
            <w:tcBorders>
              <w:top w:val="single" w:sz="4" w:space="0" w:color="auto"/>
              <w:left w:val="single" w:sz="4" w:space="0" w:color="auto"/>
              <w:bottom w:val="single" w:sz="4" w:space="0" w:color="auto"/>
              <w:right w:val="single" w:sz="4" w:space="0" w:color="auto"/>
            </w:tcBorders>
          </w:tcPr>
          <w:p w14:paraId="65D1384B"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Colegiile de supraveghetori elaborează un cadru pentru autoritatea responsabilă cu supravegherea consolidată, pentru ABE și pentru celelalte autorități competente implicate în realizarea următoarelor sarcini:</w:t>
            </w:r>
          </w:p>
        </w:tc>
        <w:tc>
          <w:tcPr>
            <w:tcW w:w="1928" w:type="pct"/>
            <w:gridSpan w:val="3"/>
            <w:tcBorders>
              <w:top w:val="single" w:sz="4" w:space="0" w:color="auto"/>
              <w:left w:val="single" w:sz="4" w:space="0" w:color="auto"/>
              <w:bottom w:val="single" w:sz="4" w:space="0" w:color="auto"/>
              <w:right w:val="single" w:sz="4" w:space="0" w:color="auto"/>
            </w:tcBorders>
          </w:tcPr>
          <w:p w14:paraId="57F28A17" w14:textId="6E0FC37D" w:rsidR="00984B34" w:rsidRPr="009E686F" w:rsidRDefault="00984B34" w:rsidP="00984B34">
            <w:pPr>
              <w:spacing w:after="0"/>
              <w:jc w:val="both"/>
              <w:rPr>
                <w:rFonts w:ascii="Times New Roman" w:hAnsi="Times New Roman" w:cs="Times New Roman"/>
                <w:b/>
                <w:lang w:val="ro-RO"/>
              </w:rPr>
            </w:pPr>
            <w:r w:rsidRPr="009E686F">
              <w:rPr>
                <w:rFonts w:ascii="Times New Roman" w:eastAsia="Aptos" w:hAnsi="Times New Roman" w:cs="Times New Roman"/>
                <w:kern w:val="2"/>
                <w:lang w:val="ro-MD"/>
              </w:rPr>
              <w:t xml:space="preserve">(2) Colegiile de supraveghetori asigură, pentru Banca Naţională a Moldovei, </w:t>
            </w:r>
            <w:r w:rsidRPr="009E686F">
              <w:rPr>
                <w:rFonts w:ascii="Times New Roman" w:eastAsia="Aptos" w:hAnsi="Times New Roman" w:cs="Times New Roman"/>
                <w:i/>
                <w:iCs/>
                <w:kern w:val="2"/>
                <w:lang w:val="ro-MD"/>
              </w:rPr>
              <w:t>Autoritatea Bancară Europeană</w:t>
            </w:r>
            <w:r w:rsidRPr="009E686F">
              <w:rPr>
                <w:rFonts w:ascii="Times New Roman" w:eastAsia="Aptos" w:hAnsi="Times New Roman" w:cs="Times New Roman"/>
                <w:kern w:val="2"/>
                <w:lang w:val="ro-MD"/>
              </w:rPr>
              <w:t xml:space="preserve"> şi pentru celelalte autorităţi competente implicate, un cadru pentru exercitarea următoarelor atribuţii: </w:t>
            </w:r>
          </w:p>
        </w:tc>
        <w:tc>
          <w:tcPr>
            <w:tcW w:w="470" w:type="pct"/>
            <w:tcBorders>
              <w:top w:val="single" w:sz="4" w:space="0" w:color="auto"/>
              <w:left w:val="single" w:sz="4" w:space="0" w:color="auto"/>
              <w:bottom w:val="single" w:sz="4" w:space="0" w:color="auto"/>
              <w:right w:val="single" w:sz="4" w:space="0" w:color="auto"/>
            </w:tcBorders>
          </w:tcPr>
          <w:p w14:paraId="0EA876AA" w14:textId="553FBEBB"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56FAEC8E" w14:textId="77777777" w:rsidR="00984B34" w:rsidRPr="009E686F" w:rsidRDefault="00984B34" w:rsidP="00984B34">
            <w:pPr>
              <w:jc w:val="both"/>
              <w:rPr>
                <w:rFonts w:ascii="Times New Roman" w:hAnsi="Times New Roman" w:cs="Times New Roman"/>
                <w:lang w:val="ro-RO"/>
              </w:rPr>
            </w:pPr>
          </w:p>
        </w:tc>
      </w:tr>
      <w:tr w:rsidR="00984B34" w:rsidRPr="009E686F" w14:paraId="722236D6" w14:textId="0FCE4B3A" w:rsidTr="00774F3E">
        <w:tc>
          <w:tcPr>
            <w:tcW w:w="1796" w:type="pct"/>
            <w:gridSpan w:val="2"/>
            <w:tcBorders>
              <w:top w:val="single" w:sz="4" w:space="0" w:color="auto"/>
              <w:left w:val="single" w:sz="4" w:space="0" w:color="auto"/>
              <w:bottom w:val="single" w:sz="4" w:space="0" w:color="auto"/>
              <w:right w:val="single" w:sz="4" w:space="0" w:color="auto"/>
            </w:tcBorders>
          </w:tcPr>
          <w:p w14:paraId="5573D9A3" w14:textId="2E72B3F0"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(a) schimbul de informații între acestea, precum și cu ABE, în conformitate cu articolul 21 din Regulamentul (UE) nr. 1093/2010;</w:t>
            </w:r>
          </w:p>
        </w:tc>
        <w:tc>
          <w:tcPr>
            <w:tcW w:w="1928" w:type="pct"/>
            <w:gridSpan w:val="3"/>
            <w:tcBorders>
              <w:top w:val="single" w:sz="4" w:space="0" w:color="auto"/>
              <w:left w:val="single" w:sz="4" w:space="0" w:color="auto"/>
              <w:bottom w:val="single" w:sz="4" w:space="0" w:color="auto"/>
              <w:right w:val="single" w:sz="4" w:space="0" w:color="auto"/>
            </w:tcBorders>
          </w:tcPr>
          <w:p w14:paraId="58DE1877" w14:textId="77777777" w:rsidR="00984B34" w:rsidRPr="009E686F" w:rsidRDefault="00984B34" w:rsidP="00984B34">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 xml:space="preserve">a) schimbul de informaţii între autorităţile competente implicate, </w:t>
            </w:r>
            <w:r w:rsidRPr="009E686F">
              <w:rPr>
                <w:rFonts w:ascii="Times New Roman" w:eastAsia="Aptos" w:hAnsi="Times New Roman" w:cs="Times New Roman"/>
                <w:i/>
                <w:iCs/>
                <w:kern w:val="2"/>
                <w:lang w:val="ro-MD"/>
              </w:rPr>
              <w:t>și cu Autoritatea Bancară Europeană</w:t>
            </w:r>
            <w:r w:rsidRPr="009E686F">
              <w:rPr>
                <w:rFonts w:ascii="Times New Roman" w:eastAsia="Aptos" w:hAnsi="Times New Roman" w:cs="Times New Roman"/>
                <w:kern w:val="2"/>
                <w:lang w:val="ro-MD"/>
              </w:rPr>
              <w:t>;</w:t>
            </w:r>
          </w:p>
          <w:p w14:paraId="6689DCFC"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51EFA88E" w14:textId="0984DC8F"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2AFB1E7B" w14:textId="77777777" w:rsidR="00984B34" w:rsidRPr="009E686F" w:rsidRDefault="00984B34" w:rsidP="00984B34">
            <w:pPr>
              <w:jc w:val="both"/>
              <w:rPr>
                <w:rFonts w:ascii="Times New Roman" w:hAnsi="Times New Roman" w:cs="Times New Roman"/>
                <w:lang w:val="ro-RO"/>
              </w:rPr>
            </w:pPr>
          </w:p>
        </w:tc>
      </w:tr>
      <w:tr w:rsidR="00984B34" w:rsidRPr="009E686F" w14:paraId="3162627E" w14:textId="484DF818" w:rsidTr="00774F3E">
        <w:tc>
          <w:tcPr>
            <w:tcW w:w="1796" w:type="pct"/>
            <w:gridSpan w:val="2"/>
            <w:tcBorders>
              <w:top w:val="single" w:sz="4" w:space="0" w:color="auto"/>
              <w:left w:val="single" w:sz="4" w:space="0" w:color="auto"/>
              <w:bottom w:val="single" w:sz="4" w:space="0" w:color="auto"/>
              <w:right w:val="single" w:sz="4" w:space="0" w:color="auto"/>
            </w:tcBorders>
          </w:tcPr>
          <w:p w14:paraId="4FCB96F5" w14:textId="7FF9598B"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(b) convenirea distribuirii voluntare a sarcinilor și a delegării voluntare a responsabilităților atunci când este cazul;</w:t>
            </w:r>
          </w:p>
        </w:tc>
        <w:tc>
          <w:tcPr>
            <w:tcW w:w="1928" w:type="pct"/>
            <w:gridSpan w:val="3"/>
            <w:tcBorders>
              <w:top w:val="single" w:sz="4" w:space="0" w:color="auto"/>
              <w:left w:val="single" w:sz="4" w:space="0" w:color="auto"/>
              <w:bottom w:val="single" w:sz="4" w:space="0" w:color="auto"/>
              <w:right w:val="single" w:sz="4" w:space="0" w:color="auto"/>
            </w:tcBorders>
          </w:tcPr>
          <w:p w14:paraId="39BFFCA1" w14:textId="77777777" w:rsidR="00984B34" w:rsidRPr="009E686F" w:rsidRDefault="00984B34" w:rsidP="00984B34">
            <w:pPr>
              <w:spacing w:after="0" w:line="240" w:lineRule="auto"/>
              <w:jc w:val="both"/>
              <w:rPr>
                <w:rFonts w:ascii="Times New Roman" w:hAnsi="Times New Roman" w:cs="Times New Roman"/>
                <w:lang w:val="ro-RO"/>
              </w:rPr>
            </w:pPr>
            <w:r w:rsidRPr="009E686F">
              <w:rPr>
                <w:rFonts w:ascii="Times New Roman" w:hAnsi="Times New Roman" w:cs="Times New Roman"/>
                <w:lang w:val="ro-RO"/>
              </w:rPr>
              <w:t>b) convenirea asupra încredințării voluntare de atribuții și a delegării voluntare de responsabilități, dacă este cazul;</w:t>
            </w:r>
          </w:p>
          <w:p w14:paraId="154B7360"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0A95D6E9" w14:textId="490E1E82"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1E6234AB" w14:textId="77777777" w:rsidR="00984B34" w:rsidRPr="009E686F" w:rsidRDefault="00984B34" w:rsidP="00984B34">
            <w:pPr>
              <w:jc w:val="both"/>
              <w:rPr>
                <w:rFonts w:ascii="Times New Roman" w:hAnsi="Times New Roman" w:cs="Times New Roman"/>
                <w:lang w:val="ro-RO"/>
              </w:rPr>
            </w:pPr>
          </w:p>
        </w:tc>
      </w:tr>
      <w:tr w:rsidR="00984B34" w:rsidRPr="009E686F" w14:paraId="3423B76A" w14:textId="3EBEDCF7" w:rsidTr="00774F3E">
        <w:tc>
          <w:tcPr>
            <w:tcW w:w="1796" w:type="pct"/>
            <w:gridSpan w:val="2"/>
            <w:tcBorders>
              <w:top w:val="single" w:sz="4" w:space="0" w:color="auto"/>
              <w:left w:val="single" w:sz="4" w:space="0" w:color="auto"/>
              <w:bottom w:val="single" w:sz="4" w:space="0" w:color="auto"/>
              <w:right w:val="single" w:sz="4" w:space="0" w:color="auto"/>
            </w:tcBorders>
          </w:tcPr>
          <w:p w14:paraId="2D93ECEC" w14:textId="6D62E08D"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(c) stabilirea de programe de supraveghere prudențială, conform articolului 99, pe baza unei evaluări a riscurilor legate de grup, în conformitate cu articolul 97;</w:t>
            </w:r>
          </w:p>
        </w:tc>
        <w:tc>
          <w:tcPr>
            <w:tcW w:w="1928" w:type="pct"/>
            <w:gridSpan w:val="3"/>
            <w:tcBorders>
              <w:top w:val="single" w:sz="4" w:space="0" w:color="auto"/>
              <w:left w:val="single" w:sz="4" w:space="0" w:color="auto"/>
              <w:bottom w:val="single" w:sz="4" w:space="0" w:color="auto"/>
              <w:right w:val="single" w:sz="4" w:space="0" w:color="auto"/>
            </w:tcBorders>
          </w:tcPr>
          <w:p w14:paraId="33797F5F" w14:textId="77777777" w:rsidR="00984B34" w:rsidRPr="009E686F" w:rsidRDefault="00984B34" w:rsidP="00984B34">
            <w:pPr>
              <w:spacing w:after="0" w:line="240" w:lineRule="auto"/>
              <w:jc w:val="both"/>
              <w:rPr>
                <w:rFonts w:ascii="Times New Roman" w:hAnsi="Times New Roman" w:cs="Times New Roman"/>
                <w:lang w:val="ro-RO"/>
              </w:rPr>
            </w:pPr>
            <w:r w:rsidRPr="009E686F">
              <w:rPr>
                <w:rFonts w:ascii="Times New Roman" w:hAnsi="Times New Roman" w:cs="Times New Roman"/>
                <w:lang w:val="ro-RO"/>
              </w:rPr>
              <w:t>c) stabilirea de programe de supraveghere prudențială, conform art. 106, pe baza unei evaluări a riscurilor legate de grup, în conformitate cu art. 100;</w:t>
            </w:r>
          </w:p>
          <w:p w14:paraId="571838C0"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57460467" w14:textId="3DB542C9"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50F4ADD6" w14:textId="77777777" w:rsidR="00984B34" w:rsidRPr="009E686F" w:rsidRDefault="00984B34" w:rsidP="00984B34">
            <w:pPr>
              <w:jc w:val="both"/>
              <w:rPr>
                <w:rFonts w:ascii="Times New Roman" w:hAnsi="Times New Roman" w:cs="Times New Roman"/>
                <w:lang w:val="ro-RO"/>
              </w:rPr>
            </w:pPr>
          </w:p>
        </w:tc>
      </w:tr>
      <w:tr w:rsidR="00984B34" w:rsidRPr="009E686F" w14:paraId="7C7F61D1" w14:textId="340CAF6F" w:rsidTr="00774F3E">
        <w:tc>
          <w:tcPr>
            <w:tcW w:w="1796" w:type="pct"/>
            <w:gridSpan w:val="2"/>
            <w:tcBorders>
              <w:top w:val="single" w:sz="4" w:space="0" w:color="auto"/>
              <w:left w:val="single" w:sz="4" w:space="0" w:color="auto"/>
              <w:bottom w:val="single" w:sz="4" w:space="0" w:color="auto"/>
              <w:right w:val="single" w:sz="4" w:space="0" w:color="auto"/>
            </w:tcBorders>
          </w:tcPr>
          <w:p w14:paraId="0D679C3A" w14:textId="10BF7175"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lastRenderedPageBreak/>
              <w:t>(d) sporirea eficienței supravegherii prin eliminarea dublării inutile a cerințelor de supraveghere, inclusiv în ceea ce privește cererile de informații prevăzute la articolul 114 și la articolul 117 alineatul (3);</w:t>
            </w:r>
          </w:p>
        </w:tc>
        <w:tc>
          <w:tcPr>
            <w:tcW w:w="1928" w:type="pct"/>
            <w:gridSpan w:val="3"/>
            <w:tcBorders>
              <w:top w:val="single" w:sz="4" w:space="0" w:color="auto"/>
              <w:left w:val="single" w:sz="4" w:space="0" w:color="auto"/>
              <w:bottom w:val="single" w:sz="4" w:space="0" w:color="auto"/>
              <w:right w:val="single" w:sz="4" w:space="0" w:color="auto"/>
            </w:tcBorders>
          </w:tcPr>
          <w:p w14:paraId="37224068" w14:textId="7FFA9E25" w:rsidR="00984B34" w:rsidRPr="009E686F" w:rsidRDefault="00984B34" w:rsidP="00984B34">
            <w:pPr>
              <w:spacing w:after="0" w:line="240" w:lineRule="auto"/>
              <w:jc w:val="both"/>
              <w:rPr>
                <w:rFonts w:ascii="Times New Roman" w:hAnsi="Times New Roman" w:cs="Times New Roman"/>
                <w:b/>
                <w:lang w:val="ro-RO"/>
              </w:rPr>
            </w:pPr>
            <w:r w:rsidRPr="009E686F">
              <w:rPr>
                <w:rFonts w:ascii="Times New Roman" w:hAnsi="Times New Roman" w:cs="Times New Roman"/>
                <w:lang w:val="ro-RO"/>
              </w:rPr>
              <w:t>d) creșterea eficienței supravegherii prin eliminarea suprapunerii inutile a cerințelor de supraveghere, inclusiv în ceea ce privește solicitările de informații conform art. 113 alin. (4) și în situații de urgență;</w:t>
            </w:r>
          </w:p>
        </w:tc>
        <w:tc>
          <w:tcPr>
            <w:tcW w:w="470" w:type="pct"/>
            <w:tcBorders>
              <w:top w:val="single" w:sz="4" w:space="0" w:color="auto"/>
              <w:left w:val="single" w:sz="4" w:space="0" w:color="auto"/>
              <w:bottom w:val="single" w:sz="4" w:space="0" w:color="auto"/>
              <w:right w:val="single" w:sz="4" w:space="0" w:color="auto"/>
            </w:tcBorders>
          </w:tcPr>
          <w:p w14:paraId="380D97A5" w14:textId="4E5355A7"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700DED0D" w14:textId="77777777" w:rsidR="00984B34" w:rsidRPr="009E686F" w:rsidRDefault="00984B34" w:rsidP="00984B34">
            <w:pPr>
              <w:jc w:val="both"/>
              <w:rPr>
                <w:rFonts w:ascii="Times New Roman" w:hAnsi="Times New Roman" w:cs="Times New Roman"/>
                <w:lang w:val="ro-RO"/>
              </w:rPr>
            </w:pPr>
          </w:p>
        </w:tc>
      </w:tr>
      <w:tr w:rsidR="00984B34" w:rsidRPr="009E686F" w14:paraId="5E6822C3" w14:textId="2200486E" w:rsidTr="00774F3E">
        <w:tc>
          <w:tcPr>
            <w:tcW w:w="1796" w:type="pct"/>
            <w:gridSpan w:val="2"/>
            <w:tcBorders>
              <w:top w:val="single" w:sz="4" w:space="0" w:color="auto"/>
              <w:left w:val="single" w:sz="4" w:space="0" w:color="auto"/>
              <w:bottom w:val="single" w:sz="4" w:space="0" w:color="auto"/>
              <w:right w:val="single" w:sz="4" w:space="0" w:color="auto"/>
            </w:tcBorders>
          </w:tcPr>
          <w:p w14:paraId="344EA0E5" w14:textId="32DF241C"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(e) aplicarea consecventă a cerințelor prudențiale în temeiul prezentei directive și al Regulamentului (UE) nr. 575/2013 pentru toate entitățile din cadrul unui grup de instituții, fără a aduce atingere opțiunilor și drepturilor prevăzute în dreptul Uniunii;</w:t>
            </w:r>
          </w:p>
        </w:tc>
        <w:tc>
          <w:tcPr>
            <w:tcW w:w="1928" w:type="pct"/>
            <w:gridSpan w:val="3"/>
            <w:tcBorders>
              <w:top w:val="single" w:sz="4" w:space="0" w:color="auto"/>
              <w:left w:val="single" w:sz="4" w:space="0" w:color="auto"/>
              <w:bottom w:val="single" w:sz="4" w:space="0" w:color="auto"/>
              <w:right w:val="single" w:sz="4" w:space="0" w:color="auto"/>
            </w:tcBorders>
          </w:tcPr>
          <w:p w14:paraId="046E4098" w14:textId="68019EC1" w:rsidR="00984B34" w:rsidRPr="009E686F" w:rsidRDefault="00984B34" w:rsidP="00984B34">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 xml:space="preserve">e) aplicarea uniformă a cerinţelor prudenţiale </w:t>
            </w:r>
            <w:r w:rsidRPr="009E686F">
              <w:rPr>
                <w:rFonts w:ascii="Times New Roman" w:eastAsia="Aptos" w:hAnsi="Times New Roman" w:cs="Times New Roman"/>
                <w:i/>
                <w:iCs/>
                <w:kern w:val="2"/>
                <w:lang w:val="ro-MD"/>
              </w:rPr>
              <w:t>prevăzute la nivelul Uniunii Europene</w:t>
            </w:r>
            <w:r w:rsidRPr="009E686F">
              <w:rPr>
                <w:rFonts w:ascii="Times New Roman" w:eastAsia="Aptos" w:hAnsi="Times New Roman" w:cs="Times New Roman"/>
                <w:kern w:val="2"/>
                <w:lang w:val="ro-MD"/>
              </w:rPr>
              <w:t xml:space="preserve"> pentru toate entităţile din cadrul unui grup </w:t>
            </w:r>
            <w:r w:rsidRPr="009E686F">
              <w:rPr>
                <w:rFonts w:ascii="Times New Roman" w:eastAsia="Aptos" w:hAnsi="Times New Roman" w:cs="Times New Roman"/>
                <w:i/>
                <w:iCs/>
                <w:kern w:val="2"/>
                <w:lang w:val="ro-MD"/>
              </w:rPr>
              <w:t>bancar</w:t>
            </w:r>
            <w:r w:rsidRPr="009E686F">
              <w:rPr>
                <w:rFonts w:ascii="Times New Roman" w:eastAsia="Aptos" w:hAnsi="Times New Roman" w:cs="Times New Roman"/>
                <w:kern w:val="2"/>
                <w:lang w:val="ro-MD"/>
              </w:rPr>
              <w:t xml:space="preserve">, fără a aduce atingere </w:t>
            </w:r>
            <w:r w:rsidRPr="009E686F">
              <w:rPr>
                <w:rFonts w:ascii="Times New Roman" w:eastAsia="Aptos" w:hAnsi="Times New Roman" w:cs="Times New Roman"/>
                <w:i/>
                <w:iCs/>
                <w:kern w:val="2"/>
                <w:lang w:val="ro-MD"/>
              </w:rPr>
              <w:t>opțiunilor și drepturilor naționale și ale autorităților de supraveghere, prevăzute de legislația Uniunii Europene</w:t>
            </w:r>
            <w:r w:rsidRPr="009E686F">
              <w:rPr>
                <w:rFonts w:ascii="Times New Roman" w:eastAsia="Aptos" w:hAnsi="Times New Roman" w:cs="Times New Roman"/>
                <w:kern w:val="2"/>
                <w:lang w:val="ro-MD"/>
              </w:rPr>
              <w:t>;</w:t>
            </w:r>
          </w:p>
          <w:p w14:paraId="5ED17D8C"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25CA5694" w14:textId="6E09C780"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3C69E0BE" w14:textId="77777777" w:rsidR="00984B34" w:rsidRPr="009E686F" w:rsidRDefault="00984B34" w:rsidP="00984B34">
            <w:pPr>
              <w:jc w:val="both"/>
              <w:rPr>
                <w:rFonts w:ascii="Times New Roman" w:hAnsi="Times New Roman" w:cs="Times New Roman"/>
                <w:lang w:val="ro-RO"/>
              </w:rPr>
            </w:pPr>
          </w:p>
        </w:tc>
      </w:tr>
      <w:tr w:rsidR="00984B34" w:rsidRPr="009E686F" w14:paraId="3965BC8F" w14:textId="6D6D832E" w:rsidTr="00774F3E">
        <w:tc>
          <w:tcPr>
            <w:tcW w:w="1796" w:type="pct"/>
            <w:gridSpan w:val="2"/>
            <w:tcBorders>
              <w:top w:val="single" w:sz="4" w:space="0" w:color="auto"/>
              <w:left w:val="single" w:sz="4" w:space="0" w:color="auto"/>
              <w:bottom w:val="single" w:sz="4" w:space="0" w:color="auto"/>
              <w:right w:val="single" w:sz="4" w:space="0" w:color="auto"/>
            </w:tcBorders>
          </w:tcPr>
          <w:p w14:paraId="18D54B6B" w14:textId="346203E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(f) aplicarea articolului 112 alineatul (1) litera (c), ținând seama de activitățile pe care alte foruri le-ar putea desfășura în acest domeniu.</w:t>
            </w:r>
          </w:p>
        </w:tc>
        <w:tc>
          <w:tcPr>
            <w:tcW w:w="1928" w:type="pct"/>
            <w:gridSpan w:val="3"/>
            <w:tcBorders>
              <w:top w:val="single" w:sz="4" w:space="0" w:color="auto"/>
              <w:left w:val="single" w:sz="4" w:space="0" w:color="auto"/>
              <w:bottom w:val="single" w:sz="4" w:space="0" w:color="auto"/>
              <w:right w:val="single" w:sz="4" w:space="0" w:color="auto"/>
            </w:tcBorders>
          </w:tcPr>
          <w:p w14:paraId="262F4CA9" w14:textId="3CEE498F"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f) aplicarea art. 110 lit. c), cu luarea în considerare a rezultatelor lucrărilor altor forumuri ce ar putea fi stabilite în acest domeniu;</w:t>
            </w:r>
          </w:p>
        </w:tc>
        <w:tc>
          <w:tcPr>
            <w:tcW w:w="470" w:type="pct"/>
            <w:tcBorders>
              <w:top w:val="single" w:sz="4" w:space="0" w:color="auto"/>
              <w:left w:val="single" w:sz="4" w:space="0" w:color="auto"/>
              <w:bottom w:val="single" w:sz="4" w:space="0" w:color="auto"/>
              <w:right w:val="single" w:sz="4" w:space="0" w:color="auto"/>
            </w:tcBorders>
          </w:tcPr>
          <w:p w14:paraId="7F9CB201" w14:textId="08375F8E"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552B3677" w14:textId="77777777" w:rsidR="00984B34" w:rsidRPr="009E686F" w:rsidRDefault="00984B34" w:rsidP="00984B34">
            <w:pPr>
              <w:jc w:val="both"/>
              <w:rPr>
                <w:rFonts w:ascii="Times New Roman" w:hAnsi="Times New Roman" w:cs="Times New Roman"/>
                <w:lang w:val="ro-RO"/>
              </w:rPr>
            </w:pPr>
          </w:p>
        </w:tc>
      </w:tr>
      <w:tr w:rsidR="00984B34" w:rsidRPr="009E686F" w14:paraId="19C468DC"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56A3BA6B" w14:textId="34068B7E"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(1a)   Pentru a facilita sarcinile menționate la articolul 112 alineatul (1), la articolul 114 alineatul (1) și la articolul 115 alineatul (1) din prezenta directivă, supraveghetorul consolidant instituie, de asemenea, colegii de supraveghetori atunci când toate filialele transfrontaliere ale unei instituții-mamă din UE, ale unei societăți financiare holding-mamă din UE ori ale unei societăți financiare holding mixte-mamă din UE își au sediul central în țări terțe, cu condiția ca autoritățile de supraveghere ale țărilor terțe să facă obiectul unor cerințe de confidențialitate echivalente cu cerințele prevăzute în capitolul 1 secțiunea II din prezenta directivă și, după caz, la articolele 76 și 81 din Directiva 2014/65/UE.</w:t>
            </w:r>
          </w:p>
        </w:tc>
        <w:tc>
          <w:tcPr>
            <w:tcW w:w="1928" w:type="pct"/>
            <w:gridSpan w:val="3"/>
            <w:tcBorders>
              <w:top w:val="single" w:sz="4" w:space="0" w:color="auto"/>
              <w:left w:val="single" w:sz="4" w:space="0" w:color="auto"/>
              <w:bottom w:val="single" w:sz="4" w:space="0" w:color="auto"/>
              <w:right w:val="single" w:sz="4" w:space="0" w:color="auto"/>
            </w:tcBorders>
          </w:tcPr>
          <w:p w14:paraId="6D7E1FDA" w14:textId="5455ABF5" w:rsidR="00984B34" w:rsidRPr="009E686F" w:rsidRDefault="00984B34" w:rsidP="00984B34">
            <w:pPr>
              <w:spacing w:after="0"/>
              <w:jc w:val="both"/>
              <w:rPr>
                <w:rFonts w:ascii="Times New Roman" w:hAnsi="Times New Roman" w:cs="Times New Roman"/>
                <w:i/>
                <w:iCs/>
                <w:lang w:val="ro-RO"/>
              </w:rPr>
            </w:pPr>
            <w:r w:rsidRPr="009E686F">
              <w:rPr>
                <w:rFonts w:ascii="Times New Roman" w:eastAsia="Aptos" w:hAnsi="Times New Roman" w:cs="Times New Roman"/>
                <w:i/>
                <w:iCs/>
                <w:kern w:val="2"/>
                <w:lang w:val="ro-MD"/>
              </w:rPr>
              <w:t>(2</w:t>
            </w:r>
            <w:r w:rsidRPr="009E686F">
              <w:rPr>
                <w:rFonts w:ascii="Times New Roman" w:eastAsia="Aptos" w:hAnsi="Times New Roman" w:cs="Times New Roman"/>
                <w:i/>
                <w:iCs/>
                <w:kern w:val="2"/>
                <w:vertAlign w:val="superscript"/>
                <w:lang w:val="ro-MD"/>
              </w:rPr>
              <w:t>1</w:t>
            </w:r>
            <w:r w:rsidRPr="009E686F">
              <w:rPr>
                <w:rFonts w:ascii="Times New Roman" w:eastAsia="Aptos" w:hAnsi="Times New Roman" w:cs="Times New Roman"/>
                <w:i/>
                <w:iCs/>
                <w:kern w:val="2"/>
                <w:lang w:val="ro-MD"/>
              </w:rPr>
              <w:t>) În cazul în care Banca Națională a Moldovei are calitatea de supraveghetor consolidant, pentru a facilita exercitarea atribuțiilor prevăzute de art.110 alin. (1) - (3), și art. 111 alin.(1), (2) și alin.(3</w:t>
            </w:r>
            <w:r w:rsidRPr="009E686F">
              <w:rPr>
                <w:rFonts w:ascii="Times New Roman" w:eastAsia="Aptos" w:hAnsi="Times New Roman" w:cs="Times New Roman"/>
                <w:i/>
                <w:iCs/>
                <w:kern w:val="2"/>
                <w:vertAlign w:val="superscript"/>
                <w:lang w:val="ro-MD"/>
              </w:rPr>
              <w:t>2</w:t>
            </w:r>
            <w:r w:rsidRPr="009E686F">
              <w:rPr>
                <w:rFonts w:ascii="Times New Roman" w:eastAsia="Aptos" w:hAnsi="Times New Roman" w:cs="Times New Roman"/>
                <w:i/>
                <w:iCs/>
                <w:kern w:val="2"/>
                <w:lang w:val="ro-MD"/>
              </w:rPr>
              <w:t>) aceasta instituie colegii de supraveghetori și atunci când toate filialele transfrontaliere ale unei instituții</w:t>
            </w:r>
            <w:r w:rsidR="000C18FE" w:rsidRPr="009E686F">
              <w:rPr>
                <w:rFonts w:ascii="Times New Roman" w:eastAsia="Aptos" w:hAnsi="Times New Roman" w:cs="Times New Roman"/>
                <w:i/>
                <w:iCs/>
                <w:kern w:val="2"/>
                <w:lang w:val="ro-MD"/>
              </w:rPr>
              <w:t xml:space="preserve"> de credit</w:t>
            </w:r>
            <w:r w:rsidRPr="009E686F">
              <w:rPr>
                <w:rFonts w:ascii="Times New Roman" w:eastAsia="Aptos" w:hAnsi="Times New Roman" w:cs="Times New Roman"/>
                <w:i/>
                <w:iCs/>
                <w:kern w:val="2"/>
                <w:lang w:val="ro-MD"/>
              </w:rPr>
              <w:t>-mamă din Uniunea Europeană, ale unei societăți financiare holding-mamă din Uniunea Europeană sau ale unei societăți financiare holding mixte-mamă din Uniunea Europeană își au sediul central în state terțe, cu condiția ca autoritățile de supraveghere din statele terțe respective să facă obiectul unor cerințe de confidențialitate echivalente cu cerințele referitoare la păstrarea secretului profesional din legislația Uniunii Europene.</w:t>
            </w:r>
          </w:p>
        </w:tc>
        <w:tc>
          <w:tcPr>
            <w:tcW w:w="470" w:type="pct"/>
            <w:tcBorders>
              <w:top w:val="single" w:sz="4" w:space="0" w:color="auto"/>
              <w:left w:val="single" w:sz="4" w:space="0" w:color="auto"/>
              <w:bottom w:val="single" w:sz="4" w:space="0" w:color="auto"/>
              <w:right w:val="single" w:sz="4" w:space="0" w:color="auto"/>
            </w:tcBorders>
          </w:tcPr>
          <w:p w14:paraId="70861448" w14:textId="59AF0EFC"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p w14:paraId="1A98E628" w14:textId="4C91DE76"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76C25F06" w14:textId="77777777" w:rsidR="00984B34" w:rsidRPr="009E686F" w:rsidRDefault="00984B34" w:rsidP="00984B34">
            <w:pPr>
              <w:jc w:val="both"/>
              <w:rPr>
                <w:rFonts w:ascii="Times New Roman" w:hAnsi="Times New Roman" w:cs="Times New Roman"/>
                <w:lang w:val="ro-RO"/>
              </w:rPr>
            </w:pPr>
          </w:p>
        </w:tc>
      </w:tr>
      <w:tr w:rsidR="00984B34" w:rsidRPr="009E686F" w14:paraId="56321689" w14:textId="6300BF47" w:rsidTr="00774F3E">
        <w:tc>
          <w:tcPr>
            <w:tcW w:w="1796" w:type="pct"/>
            <w:gridSpan w:val="2"/>
            <w:tcBorders>
              <w:top w:val="single" w:sz="4" w:space="0" w:color="auto"/>
              <w:left w:val="single" w:sz="4" w:space="0" w:color="auto"/>
              <w:bottom w:val="single" w:sz="4" w:space="0" w:color="auto"/>
              <w:right w:val="single" w:sz="4" w:space="0" w:color="auto"/>
            </w:tcBorders>
          </w:tcPr>
          <w:p w14:paraId="4306F04B" w14:textId="7C1618EB"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(2) Autoritățile competente care participă la activitatea colegiilor de supraveghetori și ABE cooperează îndeaproape. Cerințele de confidențialitate prevăzute în Titlul VII capitolul 1 secțiunea II din prezenta directivă și, după caz, în Titlul IV Capitolul 1 secțiunea 2 din Directiva </w:t>
            </w:r>
            <w:r w:rsidRPr="009E686F">
              <w:rPr>
                <w:rFonts w:ascii="Times New Roman" w:hAnsi="Times New Roman" w:cs="Times New Roman"/>
                <w:lang w:val="ro-RO"/>
              </w:rPr>
              <w:lastRenderedPageBreak/>
              <w:t xml:space="preserve">(UE) 2019/2034 nu împiedică autoritățile competente să schimbe informații confidențiale în cadrul colegiilor de supraveghetori. </w:t>
            </w:r>
          </w:p>
          <w:p w14:paraId="7C3D4CA0"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Înființarea și funcționarea colegiilor de supraveghetori nu aduce atingere drepturilor și responsabilităților autorităților competente în temeiul prezentei directive și al Regulamentului (UE) nr. 575/2013.</w:t>
            </w:r>
          </w:p>
        </w:tc>
        <w:tc>
          <w:tcPr>
            <w:tcW w:w="1928" w:type="pct"/>
            <w:gridSpan w:val="3"/>
            <w:tcBorders>
              <w:top w:val="single" w:sz="4" w:space="0" w:color="auto"/>
              <w:left w:val="single" w:sz="4" w:space="0" w:color="auto"/>
              <w:bottom w:val="single" w:sz="4" w:space="0" w:color="auto"/>
              <w:right w:val="single" w:sz="4" w:space="0" w:color="auto"/>
            </w:tcBorders>
          </w:tcPr>
          <w:p w14:paraId="5CBD336F" w14:textId="77777777" w:rsidR="00984B34" w:rsidRPr="009E686F" w:rsidRDefault="00984B34" w:rsidP="00984B34">
            <w:pPr>
              <w:spacing w:after="0"/>
              <w:jc w:val="both"/>
              <w:rPr>
                <w:rFonts w:ascii="Times New Roman" w:eastAsia="Aptos" w:hAnsi="Times New Roman" w:cs="Times New Roman"/>
                <w:color w:val="FF0000"/>
                <w:kern w:val="2"/>
                <w:lang w:val="ro-MD"/>
              </w:rPr>
            </w:pPr>
            <w:r w:rsidRPr="009E686F">
              <w:rPr>
                <w:rFonts w:ascii="Times New Roman" w:eastAsia="Aptos" w:hAnsi="Times New Roman" w:cs="Times New Roman"/>
                <w:kern w:val="2"/>
                <w:lang w:val="ro-MD"/>
              </w:rPr>
              <w:lastRenderedPageBreak/>
              <w:t xml:space="preserve">(3) În cadrul colegiilor de supraveghetori, Banca Naţională a Moldovei colaborează în mod strîns cu celelalte autorităţi competente participante. Cerinţele referitoare la păstrarea secretului profesional nu împiedică Banca Naţională a Moldovei </w:t>
            </w:r>
            <w:r w:rsidRPr="009E686F">
              <w:rPr>
                <w:rFonts w:ascii="Times New Roman" w:eastAsia="Aptos" w:hAnsi="Times New Roman" w:cs="Times New Roman"/>
                <w:kern w:val="2"/>
                <w:lang w:val="ro-MD"/>
              </w:rPr>
              <w:lastRenderedPageBreak/>
              <w:t>să schimbe informaţii cu celelalte autorităţi competente în cadrul colegiilor de supraveghetori.</w:t>
            </w:r>
            <w:r w:rsidRPr="009E686F">
              <w:rPr>
                <w:rFonts w:ascii="Times New Roman" w:eastAsia="Aptos" w:hAnsi="Times New Roman" w:cs="Times New Roman"/>
                <w:color w:val="FF0000"/>
                <w:kern w:val="2"/>
                <w:lang w:val="ro-MD"/>
              </w:rPr>
              <w:t xml:space="preserve"> </w:t>
            </w:r>
          </w:p>
          <w:p w14:paraId="61CF8F25" w14:textId="77777777" w:rsidR="00984B34" w:rsidRPr="009E686F" w:rsidRDefault="00984B34" w:rsidP="00984B34">
            <w:pPr>
              <w:spacing w:after="0"/>
              <w:jc w:val="both"/>
              <w:rPr>
                <w:rFonts w:ascii="Times New Roman" w:eastAsia="Aptos" w:hAnsi="Times New Roman" w:cs="Times New Roman"/>
                <w:color w:val="FF0000"/>
                <w:kern w:val="2"/>
                <w:lang w:val="ro-MD"/>
              </w:rPr>
            </w:pPr>
          </w:p>
          <w:p w14:paraId="4BA2B6EE" w14:textId="616B05EF" w:rsidR="00984B34" w:rsidRPr="009E686F" w:rsidRDefault="00984B34" w:rsidP="00984B34">
            <w:pPr>
              <w:spacing w:after="0"/>
              <w:jc w:val="both"/>
              <w:rPr>
                <w:rFonts w:ascii="Times New Roman" w:hAnsi="Times New Roman" w:cs="Times New Roman"/>
                <w:b/>
                <w:lang w:val="ro-RO"/>
              </w:rPr>
            </w:pPr>
            <w:r w:rsidRPr="009E686F">
              <w:rPr>
                <w:rFonts w:ascii="Times New Roman" w:eastAsia="Aptos" w:hAnsi="Times New Roman" w:cs="Times New Roman"/>
                <w:kern w:val="2"/>
                <w:lang w:val="ro-MD"/>
              </w:rPr>
              <w:t>(4) Înfiinţarea şi funcţionarea colegiilor de supraveghetori nu aduc atingere drepturilor şi atribuţiilor Băncii Naţionale a Moldovei în domeniul supravegherii prudenţiale, prevăzute de prezenta lege şi actele normative emise în aplicarea acesteia.</w:t>
            </w:r>
          </w:p>
        </w:tc>
        <w:tc>
          <w:tcPr>
            <w:tcW w:w="470" w:type="pct"/>
            <w:tcBorders>
              <w:top w:val="single" w:sz="4" w:space="0" w:color="auto"/>
              <w:left w:val="single" w:sz="4" w:space="0" w:color="auto"/>
              <w:bottom w:val="single" w:sz="4" w:space="0" w:color="auto"/>
              <w:right w:val="single" w:sz="4" w:space="0" w:color="auto"/>
            </w:tcBorders>
          </w:tcPr>
          <w:p w14:paraId="4B960B08" w14:textId="4F598D59"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137BD765" w14:textId="77777777" w:rsidR="00984B34" w:rsidRPr="009E686F" w:rsidRDefault="00984B34" w:rsidP="00984B34">
            <w:pPr>
              <w:jc w:val="both"/>
              <w:rPr>
                <w:rFonts w:ascii="Times New Roman" w:hAnsi="Times New Roman" w:cs="Times New Roman"/>
                <w:lang w:val="ro-RO"/>
              </w:rPr>
            </w:pPr>
          </w:p>
        </w:tc>
      </w:tr>
      <w:tr w:rsidR="00984B34" w:rsidRPr="009E686F" w14:paraId="7E9F7D65" w14:textId="38BA99B0" w:rsidTr="00774F3E">
        <w:tc>
          <w:tcPr>
            <w:tcW w:w="1796" w:type="pct"/>
            <w:gridSpan w:val="2"/>
            <w:tcBorders>
              <w:top w:val="single" w:sz="4" w:space="0" w:color="auto"/>
              <w:left w:val="single" w:sz="4" w:space="0" w:color="auto"/>
              <w:bottom w:val="single" w:sz="4" w:space="0" w:color="auto"/>
              <w:right w:val="single" w:sz="4" w:space="0" w:color="auto"/>
            </w:tcBorders>
          </w:tcPr>
          <w:p w14:paraId="7BE85917" w14:textId="1AD7D806"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(3) Înființarea și funcționarea colegiilor se bazează pe acordurile scrise menționate la articolul 115, stabilite în urma consultării cu autoritățile competente în cauză, de către autoritatea responsabilă cu supravegherea consolidată.</w:t>
            </w:r>
          </w:p>
        </w:tc>
        <w:tc>
          <w:tcPr>
            <w:tcW w:w="1928" w:type="pct"/>
            <w:gridSpan w:val="3"/>
            <w:tcBorders>
              <w:top w:val="single" w:sz="4" w:space="0" w:color="auto"/>
              <w:left w:val="single" w:sz="4" w:space="0" w:color="auto"/>
              <w:bottom w:val="single" w:sz="4" w:space="0" w:color="auto"/>
              <w:right w:val="single" w:sz="4" w:space="0" w:color="auto"/>
            </w:tcBorders>
          </w:tcPr>
          <w:p w14:paraId="0CFC5A01" w14:textId="48F89633"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lang w:val="ro-RO"/>
              </w:rPr>
              <w:t xml:space="preserve"> (5) Colegiile de supraveghetori se înființează și funcționează  în baza   acordurilor  scrise  prevăzute la art. 111 alin. (1)-(2), stabilite în urma consultării  autorităților competente implicate de către Banca Națională a Moldovei, în calitate  de  supraveghetor consolidant.</w:t>
            </w:r>
          </w:p>
        </w:tc>
        <w:tc>
          <w:tcPr>
            <w:tcW w:w="470" w:type="pct"/>
            <w:tcBorders>
              <w:top w:val="single" w:sz="4" w:space="0" w:color="auto"/>
              <w:left w:val="single" w:sz="4" w:space="0" w:color="auto"/>
              <w:bottom w:val="single" w:sz="4" w:space="0" w:color="auto"/>
              <w:right w:val="single" w:sz="4" w:space="0" w:color="auto"/>
            </w:tcBorders>
          </w:tcPr>
          <w:p w14:paraId="4815926F" w14:textId="3990631A"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39D0C5F3" w14:textId="77777777" w:rsidR="00984B34" w:rsidRPr="009E686F" w:rsidRDefault="00984B34" w:rsidP="00984B34">
            <w:pPr>
              <w:jc w:val="both"/>
              <w:rPr>
                <w:rFonts w:ascii="Times New Roman" w:hAnsi="Times New Roman" w:cs="Times New Roman"/>
                <w:lang w:val="ro-RO"/>
              </w:rPr>
            </w:pPr>
          </w:p>
        </w:tc>
      </w:tr>
      <w:tr w:rsidR="00984B34" w:rsidRPr="009E686F" w14:paraId="0FB27196" w14:textId="3F155CF1" w:rsidTr="00774F3E">
        <w:tc>
          <w:tcPr>
            <w:tcW w:w="1796" w:type="pct"/>
            <w:gridSpan w:val="2"/>
            <w:tcBorders>
              <w:top w:val="single" w:sz="4" w:space="0" w:color="auto"/>
              <w:left w:val="single" w:sz="4" w:space="0" w:color="auto"/>
              <w:bottom w:val="single" w:sz="4" w:space="0" w:color="auto"/>
              <w:right w:val="single" w:sz="4" w:space="0" w:color="auto"/>
            </w:tcBorders>
          </w:tcPr>
          <w:p w14:paraId="608FB8B4" w14:textId="3B83B93B"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(4) ABE elaborează proiecte de standarde tehnice de reglementare pentru a preciza condițiile generale de funcționare a colegiilor de supraveghetori. </w:t>
            </w:r>
          </w:p>
          <w:p w14:paraId="04ADBE1E"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ABE transmite Comisiei proiectele respective de standarde tehnice de reglementare până la 31 decembrie 2014. </w:t>
            </w:r>
          </w:p>
          <w:p w14:paraId="2EEFC9A6" w14:textId="6040857B"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Se deleagă Comisiei competența de a adopta standardele tehnice de reglementare menționate la primul paragraf, în conformitate cu articolele 10-14 din Regulamentul (UE) nr. 1093/2010.</w:t>
            </w:r>
          </w:p>
        </w:tc>
        <w:tc>
          <w:tcPr>
            <w:tcW w:w="1928" w:type="pct"/>
            <w:gridSpan w:val="3"/>
            <w:tcBorders>
              <w:top w:val="single" w:sz="4" w:space="0" w:color="auto"/>
              <w:left w:val="single" w:sz="4" w:space="0" w:color="auto"/>
              <w:bottom w:val="single" w:sz="4" w:space="0" w:color="auto"/>
              <w:right w:val="single" w:sz="4" w:space="0" w:color="auto"/>
            </w:tcBorders>
          </w:tcPr>
          <w:p w14:paraId="6535D7DA"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47F4A6DE" w14:textId="465FC2AA"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neaplicabile</w:t>
            </w:r>
            <w:r w:rsidRPr="009E686F" w:rsidDel="002639F1">
              <w:rPr>
                <w:rFonts w:ascii="Times New Roman" w:hAnsi="Times New Roman" w:cs="Times New Roman"/>
                <w:lang w:val="ro-RO"/>
              </w:rPr>
              <w:t xml:space="preserve"> </w:t>
            </w:r>
          </w:p>
        </w:tc>
        <w:tc>
          <w:tcPr>
            <w:tcW w:w="806" w:type="pct"/>
            <w:tcBorders>
              <w:top w:val="single" w:sz="4" w:space="0" w:color="auto"/>
              <w:left w:val="single" w:sz="4" w:space="0" w:color="auto"/>
              <w:bottom w:val="single" w:sz="4" w:space="0" w:color="auto"/>
              <w:right w:val="single" w:sz="4" w:space="0" w:color="auto"/>
            </w:tcBorders>
          </w:tcPr>
          <w:p w14:paraId="49EF99A9" w14:textId="11ECAC4C"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Se referă la competențele ABE.</w:t>
            </w:r>
          </w:p>
        </w:tc>
      </w:tr>
      <w:tr w:rsidR="00984B34" w:rsidRPr="009E686F" w14:paraId="2BEC814B" w14:textId="2E2488D3" w:rsidTr="00774F3E">
        <w:tc>
          <w:tcPr>
            <w:tcW w:w="1796" w:type="pct"/>
            <w:gridSpan w:val="2"/>
            <w:tcBorders>
              <w:top w:val="single" w:sz="4" w:space="0" w:color="auto"/>
              <w:left w:val="single" w:sz="4" w:space="0" w:color="auto"/>
              <w:bottom w:val="single" w:sz="4" w:space="0" w:color="auto"/>
              <w:right w:val="single" w:sz="4" w:space="0" w:color="auto"/>
            </w:tcBorders>
          </w:tcPr>
          <w:p w14:paraId="0FFB2496" w14:textId="66CCDBD1"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(5) ABE elaborează proiecte de standarde tehnice de punere în aplicare privind funcționarea operațională a colegiilor de supraveghetori. </w:t>
            </w:r>
          </w:p>
          <w:p w14:paraId="30B74FD5"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ABE înaintează proiectele respective de standarde tehnice de punere în aplicare până la 31 decembrie 2014. </w:t>
            </w:r>
          </w:p>
          <w:p w14:paraId="037E60D8"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Se conferă Comisiei competența de a adopta standardele tehnice de punere în aplicare menționate la primul paragraf, în conformitate cu articolul 15 din Regulamentul (UE) nr. 1093/2010.</w:t>
            </w:r>
          </w:p>
        </w:tc>
        <w:tc>
          <w:tcPr>
            <w:tcW w:w="1928" w:type="pct"/>
            <w:gridSpan w:val="3"/>
            <w:tcBorders>
              <w:top w:val="single" w:sz="4" w:space="0" w:color="auto"/>
              <w:left w:val="single" w:sz="4" w:space="0" w:color="auto"/>
              <w:bottom w:val="single" w:sz="4" w:space="0" w:color="auto"/>
              <w:right w:val="single" w:sz="4" w:space="0" w:color="auto"/>
            </w:tcBorders>
          </w:tcPr>
          <w:p w14:paraId="56D93AF4"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66B7956E" w14:textId="62BBBFA9"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neaplicabile</w:t>
            </w:r>
          </w:p>
        </w:tc>
        <w:tc>
          <w:tcPr>
            <w:tcW w:w="806" w:type="pct"/>
            <w:tcBorders>
              <w:top w:val="single" w:sz="4" w:space="0" w:color="auto"/>
              <w:left w:val="single" w:sz="4" w:space="0" w:color="auto"/>
              <w:bottom w:val="single" w:sz="4" w:space="0" w:color="auto"/>
              <w:right w:val="single" w:sz="4" w:space="0" w:color="auto"/>
            </w:tcBorders>
          </w:tcPr>
          <w:p w14:paraId="3C5FB654" w14:textId="43A38271"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Se referă la competențele ABE și ale Comisiei Europene.</w:t>
            </w:r>
          </w:p>
        </w:tc>
      </w:tr>
      <w:tr w:rsidR="00984B34" w:rsidRPr="009E686F" w14:paraId="05111F0D" w14:textId="3DB58463" w:rsidTr="00774F3E">
        <w:tc>
          <w:tcPr>
            <w:tcW w:w="1796" w:type="pct"/>
            <w:gridSpan w:val="2"/>
            <w:tcBorders>
              <w:top w:val="single" w:sz="4" w:space="0" w:color="auto"/>
              <w:left w:val="single" w:sz="4" w:space="0" w:color="auto"/>
              <w:bottom w:val="single" w:sz="4" w:space="0" w:color="auto"/>
              <w:right w:val="single" w:sz="4" w:space="0" w:color="auto"/>
            </w:tcBorders>
          </w:tcPr>
          <w:p w14:paraId="58A81586" w14:textId="56E65569"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(6) Autoritățile competente responsabile cu supravegherea filialelor unei instituții-mamă din UE sau ale unei societăți </w:t>
            </w:r>
            <w:r w:rsidRPr="009E686F">
              <w:rPr>
                <w:rFonts w:ascii="Times New Roman" w:hAnsi="Times New Roman" w:cs="Times New Roman"/>
                <w:lang w:val="ro-RO"/>
              </w:rPr>
              <w:lastRenderedPageBreak/>
              <w:t>financiare holding-mamă din UE sau ale unei societăți financiare holding mixte-mamă din UE și autoritățile competente dintr-un stat membru gazdă în care s-au înființat sucursale semnificative, astfel cum sunt descrise la articolul 51, băncile centrale din cadrul SEBC, după caz, și autoritățile de supraveghere din țări terțe, dacă este cazul și sub rezerva unor cerințe de confidențialitate care sunt, în opinia tuturor autorităților competente, echivalente cu cerințele din Titlul VII capitolul 1 secțiunea II din prezenta directivă, și, după caz, din Titlul IV Capitolul I secțiuunea 2 din Directiva (UE) 2019/2034 , pot face parte din colegiile de supraveghetori.</w:t>
            </w:r>
          </w:p>
        </w:tc>
        <w:tc>
          <w:tcPr>
            <w:tcW w:w="1928" w:type="pct"/>
            <w:gridSpan w:val="3"/>
            <w:tcBorders>
              <w:top w:val="single" w:sz="4" w:space="0" w:color="auto"/>
              <w:left w:val="single" w:sz="4" w:space="0" w:color="auto"/>
              <w:bottom w:val="single" w:sz="4" w:space="0" w:color="auto"/>
              <w:right w:val="single" w:sz="4" w:space="0" w:color="auto"/>
            </w:tcBorders>
          </w:tcPr>
          <w:p w14:paraId="12C713B2" w14:textId="25AC3711" w:rsidR="00984B34" w:rsidRPr="009E686F" w:rsidRDefault="00984B34" w:rsidP="00984B34">
            <w:pPr>
              <w:spacing w:after="0" w:line="240" w:lineRule="auto"/>
              <w:jc w:val="both"/>
              <w:rPr>
                <w:rFonts w:ascii="Times New Roman" w:hAnsi="Times New Roman" w:cs="Times New Roman"/>
                <w:lang w:val="ro-RO"/>
              </w:rPr>
            </w:pPr>
            <w:r w:rsidRPr="009E686F">
              <w:rPr>
                <w:rFonts w:ascii="Times New Roman" w:eastAsia="Aptos" w:hAnsi="Times New Roman" w:cs="Times New Roman"/>
                <w:kern w:val="2"/>
                <w:lang w:val="ro-MD"/>
              </w:rPr>
              <w:lastRenderedPageBreak/>
              <w:t xml:space="preserve">(6) Banca Naţională a Moldovei, </w:t>
            </w:r>
            <w:r w:rsidRPr="009E686F">
              <w:rPr>
                <w:rFonts w:ascii="Times New Roman" w:eastAsia="Aptos" w:hAnsi="Times New Roman" w:cs="Times New Roman"/>
                <w:i/>
                <w:iCs/>
                <w:kern w:val="2"/>
                <w:lang w:val="ro-MD"/>
              </w:rPr>
              <w:t xml:space="preserve">în cazul în care este autoritate responsabilă cu supravegherea instituțiilor de credit, persoane </w:t>
            </w:r>
            <w:r w:rsidRPr="009E686F">
              <w:rPr>
                <w:rFonts w:ascii="Times New Roman" w:eastAsia="Aptos" w:hAnsi="Times New Roman" w:cs="Times New Roman"/>
                <w:i/>
                <w:iCs/>
                <w:kern w:val="2"/>
                <w:lang w:val="ro-MD"/>
              </w:rPr>
              <w:lastRenderedPageBreak/>
              <w:t>juridice din Republica Moldova, filiale ale unei instituții de credit sau ale unei socie</w:t>
            </w:r>
            <w:r w:rsidRPr="009E686F">
              <w:rPr>
                <w:rFonts w:ascii="Times New Roman" w:eastAsia="Aptos" w:hAnsi="Times New Roman" w:cs="Times New Roman"/>
                <w:i/>
                <w:iCs/>
                <w:kern w:val="2"/>
                <w:lang w:val="ro-RO"/>
              </w:rPr>
              <w:t>tăți</w:t>
            </w:r>
            <w:r w:rsidRPr="009E686F">
              <w:rPr>
                <w:rFonts w:ascii="Times New Roman" w:eastAsia="Aptos" w:hAnsi="Times New Roman" w:cs="Times New Roman"/>
                <w:i/>
                <w:iCs/>
                <w:kern w:val="2"/>
                <w:lang w:val="ro-MD"/>
              </w:rPr>
              <w:t xml:space="preserve"> de investiții-mamă la nivelul </w:t>
            </w:r>
            <w:r w:rsidR="00A90CEA" w:rsidRPr="009E686F">
              <w:rPr>
                <w:rFonts w:ascii="Times New Roman" w:eastAsia="Aptos" w:hAnsi="Times New Roman" w:cs="Times New Roman"/>
                <w:i/>
                <w:iCs/>
                <w:kern w:val="2"/>
                <w:lang w:val="ro-MD"/>
              </w:rPr>
              <w:t>UE</w:t>
            </w:r>
            <w:r w:rsidRPr="009E686F">
              <w:rPr>
                <w:rFonts w:ascii="Times New Roman" w:eastAsia="Aptos" w:hAnsi="Times New Roman" w:cs="Times New Roman"/>
                <w:i/>
                <w:iCs/>
                <w:kern w:val="2"/>
                <w:lang w:val="ro-MD"/>
              </w:rPr>
              <w:t xml:space="preserve">, ale unei societăți financiare holding-mamă la nivelul </w:t>
            </w:r>
            <w:r w:rsidR="00A90CEA" w:rsidRPr="009E686F">
              <w:rPr>
                <w:rFonts w:ascii="Times New Roman" w:eastAsia="Aptos" w:hAnsi="Times New Roman" w:cs="Times New Roman"/>
                <w:i/>
                <w:iCs/>
                <w:kern w:val="2"/>
                <w:lang w:val="ro-MD"/>
              </w:rPr>
              <w:t xml:space="preserve">UE </w:t>
            </w:r>
            <w:r w:rsidRPr="009E686F">
              <w:rPr>
                <w:rFonts w:ascii="Times New Roman" w:eastAsia="Aptos" w:hAnsi="Times New Roman" w:cs="Times New Roman"/>
                <w:i/>
                <w:iCs/>
                <w:kern w:val="2"/>
                <w:lang w:val="ro-MD"/>
              </w:rPr>
              <w:t xml:space="preserve">ori ale unei societăți financiare holding mixte-mamă la nivelul </w:t>
            </w:r>
            <w:r w:rsidR="00A90CEA" w:rsidRPr="009E686F">
              <w:rPr>
                <w:rFonts w:ascii="Times New Roman" w:eastAsia="Aptos" w:hAnsi="Times New Roman" w:cs="Times New Roman"/>
                <w:i/>
                <w:iCs/>
                <w:kern w:val="2"/>
                <w:lang w:val="ro-MD"/>
              </w:rPr>
              <w:t>UE</w:t>
            </w:r>
            <w:r w:rsidRPr="009E686F">
              <w:rPr>
                <w:rFonts w:ascii="Times New Roman" w:eastAsia="Aptos" w:hAnsi="Times New Roman" w:cs="Times New Roman"/>
                <w:i/>
                <w:iCs/>
                <w:kern w:val="2"/>
                <w:lang w:val="ro-MD"/>
              </w:rPr>
              <w:t xml:space="preserve">, sau în cazul în care sucursalele din Republica Moldova ale unor instituții de credit sau ale unor </w:t>
            </w:r>
            <w:r w:rsidR="00A90CEA" w:rsidRPr="009E686F">
              <w:rPr>
                <w:rFonts w:ascii="Times New Roman" w:eastAsia="Aptos" w:hAnsi="Times New Roman" w:cs="Times New Roman"/>
                <w:i/>
                <w:iCs/>
                <w:kern w:val="2"/>
                <w:lang w:val="ro-MD"/>
              </w:rPr>
              <w:t xml:space="preserve">firme </w:t>
            </w:r>
            <w:r w:rsidRPr="009E686F">
              <w:rPr>
                <w:rFonts w:ascii="Times New Roman" w:eastAsia="Aptos" w:hAnsi="Times New Roman" w:cs="Times New Roman"/>
                <w:i/>
                <w:iCs/>
                <w:kern w:val="2"/>
                <w:lang w:val="ro-MD"/>
              </w:rPr>
              <w:t>de investiții din alte state membre sunt semnificative potrivit art. 108</w:t>
            </w:r>
            <w:r w:rsidRPr="009E686F">
              <w:rPr>
                <w:rFonts w:ascii="Times New Roman" w:eastAsia="Aptos" w:hAnsi="Times New Roman" w:cs="Times New Roman"/>
                <w:i/>
                <w:iCs/>
                <w:kern w:val="2"/>
                <w:vertAlign w:val="superscript"/>
                <w:lang w:val="ro-MD"/>
              </w:rPr>
              <w:t>1</w:t>
            </w:r>
            <w:r w:rsidRPr="009E686F">
              <w:rPr>
                <w:rFonts w:ascii="Times New Roman" w:eastAsia="Aptos" w:hAnsi="Times New Roman" w:cs="Times New Roman"/>
                <w:i/>
                <w:iCs/>
                <w:kern w:val="2"/>
                <w:lang w:val="ro-MD"/>
              </w:rPr>
              <w:t xml:space="preserve"> alin.(8) </w:t>
            </w:r>
            <w:r w:rsidR="00B50D2F" w:rsidRPr="009E686F">
              <w:rPr>
                <w:rFonts w:ascii="Times New Roman" w:eastAsia="Aptos" w:hAnsi="Times New Roman" w:cs="Times New Roman"/>
                <w:i/>
                <w:iCs/>
                <w:kern w:val="2"/>
                <w:lang w:val="ro-MD"/>
              </w:rPr>
              <w:t>și</w:t>
            </w:r>
            <w:r w:rsidRPr="009E686F">
              <w:rPr>
                <w:rFonts w:ascii="Times New Roman" w:eastAsia="Aptos" w:hAnsi="Times New Roman" w:cs="Times New Roman"/>
                <w:i/>
                <w:iCs/>
                <w:kern w:val="2"/>
                <w:lang w:val="ro-MD"/>
              </w:rPr>
              <w:t xml:space="preserve"> (9), precum și în calitatea acesteia de bancă centrală, membră a Sistemului European al Băncilor Centrale, </w:t>
            </w:r>
            <w:r w:rsidRPr="009E686F">
              <w:rPr>
                <w:rFonts w:ascii="Times New Roman" w:eastAsia="Aptos" w:hAnsi="Times New Roman" w:cs="Times New Roman"/>
                <w:kern w:val="2"/>
                <w:lang w:val="ro-MD"/>
              </w:rPr>
              <w:t>poate participa la colegii de supraveghetori</w:t>
            </w:r>
            <w:r w:rsidRPr="009E686F">
              <w:rPr>
                <w:rFonts w:ascii="Times New Roman" w:eastAsia="Aptos" w:hAnsi="Times New Roman" w:cs="Times New Roman"/>
                <w:i/>
                <w:iCs/>
                <w:kern w:val="2"/>
                <w:lang w:val="ro-MD"/>
              </w:rPr>
              <w:t>.</w:t>
            </w:r>
            <w:r w:rsidRPr="009E686F">
              <w:rPr>
                <w:rFonts w:ascii="Times New Roman" w:eastAsia="Aptos" w:hAnsi="Times New Roman" w:cs="Times New Roman"/>
                <w:color w:val="FF0000"/>
                <w:kern w:val="2"/>
                <w:lang w:val="ro-MD"/>
              </w:rPr>
              <w:t xml:space="preserve"> </w:t>
            </w:r>
          </w:p>
          <w:p w14:paraId="0E12A4F1" w14:textId="77777777" w:rsidR="00984B34" w:rsidRPr="009E686F" w:rsidRDefault="00984B34" w:rsidP="00984B34">
            <w:pPr>
              <w:spacing w:after="0" w:line="240" w:lineRule="auto"/>
              <w:jc w:val="both"/>
              <w:rPr>
                <w:rFonts w:ascii="Times New Roman" w:eastAsia="Aptos" w:hAnsi="Times New Roman" w:cs="Times New Roman"/>
                <w:kern w:val="2"/>
                <w:lang w:val="ro-MD"/>
              </w:rPr>
            </w:pPr>
            <w:r w:rsidRPr="009E686F">
              <w:rPr>
                <w:rFonts w:ascii="Times New Roman" w:eastAsia="Aptos" w:hAnsi="Times New Roman" w:cs="Times New Roman"/>
                <w:i/>
                <w:iCs/>
                <w:kern w:val="2"/>
                <w:lang w:val="ro-MD"/>
              </w:rPr>
              <w:t>(6</w:t>
            </w:r>
            <w:r w:rsidRPr="009E686F">
              <w:rPr>
                <w:rFonts w:ascii="Times New Roman" w:eastAsia="Aptos" w:hAnsi="Times New Roman" w:cs="Times New Roman"/>
                <w:i/>
                <w:iCs/>
                <w:kern w:val="2"/>
                <w:vertAlign w:val="superscript"/>
                <w:lang w:val="ro-MD"/>
              </w:rPr>
              <w:t>1</w:t>
            </w:r>
            <w:r w:rsidRPr="009E686F">
              <w:rPr>
                <w:rFonts w:ascii="Times New Roman" w:eastAsia="Aptos" w:hAnsi="Times New Roman" w:cs="Times New Roman"/>
                <w:i/>
                <w:iCs/>
                <w:kern w:val="2"/>
                <w:lang w:val="ro-MD"/>
              </w:rPr>
              <w:t>) În cazul în care întreprinderea-mamă a unui grup este o societate financiară holding sau o societate financiară holding mixtă, situată în Republica Moldova și aprobată în conformitate cu art. 116</w:t>
            </w:r>
            <w:r w:rsidRPr="009E686F">
              <w:rPr>
                <w:rFonts w:ascii="Times New Roman" w:eastAsia="Aptos" w:hAnsi="Times New Roman" w:cs="Times New Roman"/>
                <w:i/>
                <w:iCs/>
                <w:kern w:val="2"/>
                <w:vertAlign w:val="superscript"/>
                <w:lang w:val="ro-MD"/>
              </w:rPr>
              <w:t>1</w:t>
            </w:r>
            <w:r w:rsidRPr="009E686F">
              <w:rPr>
                <w:rFonts w:ascii="Times New Roman" w:eastAsia="Aptos" w:hAnsi="Times New Roman" w:cs="Times New Roman"/>
                <w:i/>
                <w:iCs/>
                <w:kern w:val="2"/>
                <w:lang w:val="ro-MD"/>
              </w:rPr>
              <w:t>, Banca Națională a Moldovei, în calitate de autoritate competentă, poate participa în cadrul colegiului de supraveghetori aferent grupului din care face parte întreprinderea-mamă respectivă</w:t>
            </w:r>
            <w:r w:rsidRPr="009E686F">
              <w:rPr>
                <w:rFonts w:ascii="Times New Roman" w:eastAsia="Aptos" w:hAnsi="Times New Roman" w:cs="Times New Roman"/>
                <w:kern w:val="2"/>
                <w:lang w:val="ro-MD"/>
              </w:rPr>
              <w:t>.</w:t>
            </w:r>
          </w:p>
          <w:p w14:paraId="7A4B47E3" w14:textId="6828609C" w:rsidR="00984B34" w:rsidRPr="009E686F" w:rsidRDefault="00984B34" w:rsidP="00984B34">
            <w:pPr>
              <w:spacing w:after="0" w:line="240" w:lineRule="auto"/>
              <w:jc w:val="both"/>
              <w:rPr>
                <w:rFonts w:ascii="Times New Roman" w:hAnsi="Times New Roman" w:cs="Times New Roman"/>
                <w:lang w:val="ro-RO"/>
              </w:rPr>
            </w:pPr>
          </w:p>
        </w:tc>
        <w:tc>
          <w:tcPr>
            <w:tcW w:w="470" w:type="pct"/>
            <w:tcBorders>
              <w:top w:val="single" w:sz="4" w:space="0" w:color="auto"/>
              <w:left w:val="single" w:sz="4" w:space="0" w:color="auto"/>
              <w:bottom w:val="single" w:sz="4" w:space="0" w:color="auto"/>
              <w:right w:val="single" w:sz="4" w:space="0" w:color="auto"/>
            </w:tcBorders>
          </w:tcPr>
          <w:p w14:paraId="3511C075" w14:textId="264DB5C6"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150044C9" w14:textId="77777777" w:rsidR="00984B34" w:rsidRPr="009E686F" w:rsidRDefault="00984B34" w:rsidP="00984B34">
            <w:pPr>
              <w:jc w:val="both"/>
              <w:rPr>
                <w:rFonts w:ascii="Times New Roman" w:hAnsi="Times New Roman" w:cs="Times New Roman"/>
                <w:lang w:val="ro-RO"/>
              </w:rPr>
            </w:pPr>
          </w:p>
        </w:tc>
      </w:tr>
      <w:tr w:rsidR="00984B34" w:rsidRPr="009E686F" w14:paraId="24194CB1"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49DBC633" w14:textId="1FA1B344"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Autoritatea competentă din statul membru în care este stabilită o societate financiară holding sau o societate financiară holding mixtă căreia i s-a acordat aprobare în conformitate cu articolul 21a poate participa în cadrul colegiului de supraveghetori relevant.</w:t>
            </w:r>
          </w:p>
        </w:tc>
        <w:tc>
          <w:tcPr>
            <w:tcW w:w="1928" w:type="pct"/>
            <w:gridSpan w:val="3"/>
            <w:tcBorders>
              <w:top w:val="single" w:sz="4" w:space="0" w:color="auto"/>
              <w:left w:val="single" w:sz="4" w:space="0" w:color="auto"/>
              <w:bottom w:val="single" w:sz="4" w:space="0" w:color="auto"/>
              <w:right w:val="single" w:sz="4" w:space="0" w:color="auto"/>
            </w:tcBorders>
          </w:tcPr>
          <w:p w14:paraId="6C1C6F02" w14:textId="77777777" w:rsidR="00984B34" w:rsidRPr="009E686F" w:rsidRDefault="00984B34" w:rsidP="00984B34">
            <w:pPr>
              <w:spacing w:after="0" w:line="240" w:lineRule="auto"/>
              <w:jc w:val="both"/>
              <w:rPr>
                <w:rFonts w:ascii="Times New Roman" w:eastAsia="Aptos" w:hAnsi="Times New Roman" w:cs="Times New Roman"/>
                <w:color w:val="FF0000"/>
                <w:kern w:val="2"/>
                <w:lang w:val="ro-MD"/>
              </w:rPr>
            </w:pPr>
            <w:r w:rsidRPr="009E686F">
              <w:rPr>
                <w:rFonts w:ascii="Times New Roman" w:eastAsia="Aptos" w:hAnsi="Times New Roman" w:cs="Times New Roman"/>
                <w:kern w:val="2"/>
                <w:lang w:val="ro-MD"/>
              </w:rPr>
              <w:t>(</w:t>
            </w:r>
            <w:r w:rsidRPr="009E686F">
              <w:rPr>
                <w:rFonts w:ascii="Times New Roman" w:eastAsia="Aptos" w:hAnsi="Times New Roman" w:cs="Times New Roman"/>
                <w:i/>
                <w:iCs/>
                <w:kern w:val="2"/>
                <w:lang w:val="ro-MD"/>
              </w:rPr>
              <w:t>7) În cazul în care Banca Naţională a Moldovei este supraveghetor consolidant, pentru un grup a cărui întreprindere-mamă este o societate financiară holding sau o societate financiară holding mixtă, situată într-un alt stat membru și aprobată în conformitate cu art. 116</w:t>
            </w:r>
            <w:r w:rsidRPr="009E686F">
              <w:rPr>
                <w:rFonts w:ascii="Times New Roman" w:eastAsia="Aptos" w:hAnsi="Times New Roman" w:cs="Times New Roman"/>
                <w:i/>
                <w:iCs/>
                <w:kern w:val="2"/>
                <w:vertAlign w:val="superscript"/>
                <w:lang w:val="ro-MD"/>
              </w:rPr>
              <w:t>1</w:t>
            </w:r>
            <w:r w:rsidRPr="009E686F">
              <w:rPr>
                <w:rFonts w:ascii="Times New Roman" w:eastAsia="Aptos" w:hAnsi="Times New Roman" w:cs="Times New Roman"/>
                <w:i/>
                <w:iCs/>
                <w:kern w:val="2"/>
                <w:lang w:val="ro-MD"/>
              </w:rPr>
              <w:t>, autoritatea competentă din statul membru în care este situată întreprinderea-mamă poate participa în cadrul colegiului de supraveghetori instituit de Banca Națională a Moldovei la solicitarea acestora.</w:t>
            </w:r>
            <w:r w:rsidRPr="009E686F">
              <w:rPr>
                <w:rFonts w:ascii="Times New Roman" w:eastAsia="Aptos" w:hAnsi="Times New Roman" w:cs="Times New Roman"/>
                <w:color w:val="FF0000"/>
                <w:kern w:val="2"/>
                <w:lang w:val="ro-MD"/>
              </w:rPr>
              <w:t xml:space="preserve">  </w:t>
            </w:r>
          </w:p>
          <w:p w14:paraId="7536A13B" w14:textId="77777777" w:rsidR="00984B34" w:rsidRPr="009E686F" w:rsidRDefault="00984B34" w:rsidP="00984B34">
            <w:pPr>
              <w:spacing w:after="0" w:line="240" w:lineRule="auto"/>
              <w:jc w:val="both"/>
              <w:rPr>
                <w:rFonts w:ascii="Times New Roman" w:hAnsi="Times New Roman" w:cs="Times New Roman"/>
                <w:lang w:val="ro-MD"/>
              </w:rPr>
            </w:pPr>
          </w:p>
        </w:tc>
        <w:tc>
          <w:tcPr>
            <w:tcW w:w="470" w:type="pct"/>
            <w:tcBorders>
              <w:top w:val="single" w:sz="4" w:space="0" w:color="auto"/>
              <w:left w:val="single" w:sz="4" w:space="0" w:color="auto"/>
              <w:bottom w:val="single" w:sz="4" w:space="0" w:color="auto"/>
              <w:right w:val="single" w:sz="4" w:space="0" w:color="auto"/>
            </w:tcBorders>
          </w:tcPr>
          <w:p w14:paraId="4BD44E7E" w14:textId="3EDED741"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2AD40D91" w14:textId="77777777" w:rsidR="00984B34" w:rsidRPr="009E686F" w:rsidRDefault="00984B34" w:rsidP="00984B34">
            <w:pPr>
              <w:jc w:val="both"/>
              <w:rPr>
                <w:rFonts w:ascii="Times New Roman" w:hAnsi="Times New Roman" w:cs="Times New Roman"/>
                <w:lang w:val="ro-RO"/>
              </w:rPr>
            </w:pPr>
          </w:p>
        </w:tc>
      </w:tr>
      <w:tr w:rsidR="00984B34" w:rsidRPr="009E686F" w14:paraId="3BE66F30" w14:textId="02860381" w:rsidTr="00774F3E">
        <w:tc>
          <w:tcPr>
            <w:tcW w:w="1796" w:type="pct"/>
            <w:gridSpan w:val="2"/>
            <w:tcBorders>
              <w:top w:val="single" w:sz="4" w:space="0" w:color="auto"/>
              <w:left w:val="single" w:sz="4" w:space="0" w:color="auto"/>
              <w:bottom w:val="single" w:sz="4" w:space="0" w:color="auto"/>
              <w:right w:val="single" w:sz="4" w:space="0" w:color="auto"/>
            </w:tcBorders>
          </w:tcPr>
          <w:p w14:paraId="5A3148C7" w14:textId="2FDF4FEF"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(7) Autoritatea responsabilă cu supravegherea consolidată prezidează reuniunile colegiului și decide care autorități competente participă la o reuniune sau la o activitate a colegiului. În prealabil, autoritatea responsabilă cu supravegherea consolidată informează pe deplin pe toți membrii colegiului în legătură cu organizarea unor astfel de </w:t>
            </w:r>
            <w:r w:rsidRPr="009E686F">
              <w:rPr>
                <w:rFonts w:ascii="Times New Roman" w:hAnsi="Times New Roman" w:cs="Times New Roman"/>
                <w:lang w:val="ro-RO"/>
              </w:rPr>
              <w:lastRenderedPageBreak/>
              <w:t xml:space="preserve">reuniuni, cu principalele aspecte care urmează să fie discutate, precum și în legătură cu activitățile care urmează să fie examinate. </w:t>
            </w:r>
          </w:p>
          <w:p w14:paraId="6510F432" w14:textId="77777777" w:rsidR="00984B34" w:rsidRPr="009E686F" w:rsidRDefault="00984B34" w:rsidP="00984B34">
            <w:pPr>
              <w:spacing w:after="0"/>
              <w:jc w:val="both"/>
              <w:rPr>
                <w:rFonts w:ascii="Times New Roman" w:hAnsi="Times New Roman" w:cs="Times New Roman"/>
                <w:lang w:val="ro-RO"/>
              </w:rPr>
            </w:pPr>
          </w:p>
          <w:p w14:paraId="3B809C2D" w14:textId="4A922E8F"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Autoritatea responsabilă cu supravegherea consolidată informează, de asemenea, pe deplin și în timp util, pe toți membrii colegiului în legătură cu măsurile adoptate în cadrul acestor reuniuni și cu acțiunile întreprinse.</w:t>
            </w:r>
          </w:p>
        </w:tc>
        <w:tc>
          <w:tcPr>
            <w:tcW w:w="1928" w:type="pct"/>
            <w:gridSpan w:val="3"/>
            <w:tcBorders>
              <w:top w:val="single" w:sz="4" w:space="0" w:color="auto"/>
              <w:left w:val="single" w:sz="4" w:space="0" w:color="auto"/>
              <w:bottom w:val="single" w:sz="4" w:space="0" w:color="auto"/>
              <w:right w:val="single" w:sz="4" w:space="0" w:color="auto"/>
            </w:tcBorders>
          </w:tcPr>
          <w:p w14:paraId="332F12A0" w14:textId="5569CEB9"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lastRenderedPageBreak/>
              <w:t xml:space="preserve">(8) Banca Națională a Moldovei în calitate de supraveghetor consolidant va conduce reuniunile colegiului de supraveghetori și va decide care autorități competente participă la reuniune sau activitatea  colegiului. Banca Națională a Moldovei informează în prealabil și pe deplin pe toți membrii colegiului în legătură cu organizarea unei astfel de reuniuni, cu principalele aspecte care </w:t>
            </w:r>
            <w:r w:rsidRPr="009E686F">
              <w:rPr>
                <w:rFonts w:ascii="Times New Roman" w:hAnsi="Times New Roman" w:cs="Times New Roman"/>
                <w:lang w:val="ro-RO"/>
              </w:rPr>
              <w:lastRenderedPageBreak/>
              <w:t>urmează să fie discutate, precum și în legătură cu activitățile desfășurate.</w:t>
            </w:r>
          </w:p>
          <w:p w14:paraId="4DA7EF75" w14:textId="77777777"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lang w:val="ro-RO"/>
              </w:rPr>
              <w:t>(10) Banca Naţională a Moldovei, în calitate de supraveghetor consolidant, informează complet şi în prealabil pe toţi membrii colegiului în legătură cu organizarea reuniunilor, aspectele principale de discutat şi activităţile ce urmează a fi analizate. De asemenea, Banca Naţională a Moldovei informează complet şi la timp pe toţi membrii colegiului în legătură cu măsurile şi acţiunile întreprinse în cadrul respectivelor reuniuni.</w:t>
            </w:r>
          </w:p>
        </w:tc>
        <w:tc>
          <w:tcPr>
            <w:tcW w:w="470" w:type="pct"/>
            <w:tcBorders>
              <w:top w:val="single" w:sz="4" w:space="0" w:color="auto"/>
              <w:left w:val="single" w:sz="4" w:space="0" w:color="auto"/>
              <w:bottom w:val="single" w:sz="4" w:space="0" w:color="auto"/>
              <w:right w:val="single" w:sz="4" w:space="0" w:color="auto"/>
            </w:tcBorders>
          </w:tcPr>
          <w:p w14:paraId="4250E090" w14:textId="77777777"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lastRenderedPageBreak/>
              <w:t>Compatibil</w:t>
            </w:r>
          </w:p>
          <w:p w14:paraId="78C5CB7A" w14:textId="77777777" w:rsidR="00984B34" w:rsidRPr="009E686F" w:rsidRDefault="00984B34" w:rsidP="00984B34">
            <w:pPr>
              <w:jc w:val="both"/>
              <w:rPr>
                <w:rFonts w:ascii="Times New Roman" w:hAnsi="Times New Roman" w:cs="Times New Roman"/>
                <w:lang w:val="ro-RO"/>
              </w:rPr>
            </w:pPr>
          </w:p>
          <w:p w14:paraId="675F8830" w14:textId="77777777" w:rsidR="00984B34" w:rsidRPr="009E686F" w:rsidRDefault="00984B34" w:rsidP="00984B34">
            <w:pPr>
              <w:jc w:val="both"/>
              <w:rPr>
                <w:rFonts w:ascii="Times New Roman" w:hAnsi="Times New Roman" w:cs="Times New Roman"/>
                <w:lang w:val="ro-RO"/>
              </w:rPr>
            </w:pPr>
          </w:p>
          <w:p w14:paraId="14DB576D" w14:textId="77777777" w:rsidR="00984B34" w:rsidRPr="009E686F" w:rsidRDefault="00984B34" w:rsidP="00984B34">
            <w:pPr>
              <w:jc w:val="both"/>
              <w:rPr>
                <w:rFonts w:ascii="Times New Roman" w:hAnsi="Times New Roman" w:cs="Times New Roman"/>
                <w:lang w:val="ro-RO"/>
              </w:rPr>
            </w:pPr>
          </w:p>
          <w:p w14:paraId="7B3C2BE4" w14:textId="77777777" w:rsidR="00984B34" w:rsidRPr="009E686F" w:rsidRDefault="00984B34" w:rsidP="00984B34">
            <w:pPr>
              <w:jc w:val="both"/>
              <w:rPr>
                <w:rFonts w:ascii="Times New Roman" w:hAnsi="Times New Roman" w:cs="Times New Roman"/>
                <w:lang w:val="ro-RO"/>
              </w:rPr>
            </w:pPr>
          </w:p>
          <w:p w14:paraId="3EDD033D" w14:textId="77777777" w:rsidR="00984B34" w:rsidRPr="009E686F" w:rsidRDefault="00984B34" w:rsidP="00984B34">
            <w:pPr>
              <w:jc w:val="both"/>
              <w:rPr>
                <w:rFonts w:ascii="Times New Roman" w:hAnsi="Times New Roman" w:cs="Times New Roman"/>
                <w:lang w:val="ro-RO"/>
              </w:rPr>
            </w:pPr>
          </w:p>
          <w:p w14:paraId="7654B702" w14:textId="77777777" w:rsidR="00984B34" w:rsidRPr="009E686F" w:rsidRDefault="00984B34" w:rsidP="00984B34">
            <w:pPr>
              <w:jc w:val="both"/>
              <w:rPr>
                <w:rFonts w:ascii="Times New Roman" w:hAnsi="Times New Roman" w:cs="Times New Roman"/>
                <w:lang w:val="ro-RO"/>
              </w:rPr>
            </w:pPr>
          </w:p>
          <w:p w14:paraId="65EB9B9F" w14:textId="77777777" w:rsidR="00984B34" w:rsidRPr="009E686F" w:rsidRDefault="00984B34" w:rsidP="00984B34">
            <w:pPr>
              <w:jc w:val="both"/>
              <w:rPr>
                <w:rFonts w:ascii="Times New Roman" w:hAnsi="Times New Roman" w:cs="Times New Roman"/>
                <w:lang w:val="ro-RO"/>
              </w:rPr>
            </w:pPr>
          </w:p>
          <w:p w14:paraId="3E9A2E13" w14:textId="1ABE0D03"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408884B4" w14:textId="77777777" w:rsidR="00984B34" w:rsidRPr="009E686F" w:rsidRDefault="00984B34" w:rsidP="00984B34">
            <w:pPr>
              <w:jc w:val="both"/>
              <w:rPr>
                <w:rFonts w:ascii="Times New Roman" w:hAnsi="Times New Roman" w:cs="Times New Roman"/>
                <w:lang w:val="ro-RO"/>
              </w:rPr>
            </w:pPr>
          </w:p>
        </w:tc>
      </w:tr>
      <w:tr w:rsidR="00984B34" w:rsidRPr="009E686F" w14:paraId="661C3015" w14:textId="5D67F4C8" w:rsidTr="00774F3E">
        <w:tc>
          <w:tcPr>
            <w:tcW w:w="1796" w:type="pct"/>
            <w:gridSpan w:val="2"/>
            <w:tcBorders>
              <w:top w:val="single" w:sz="4" w:space="0" w:color="auto"/>
              <w:left w:val="single" w:sz="4" w:space="0" w:color="auto"/>
              <w:bottom w:val="single" w:sz="4" w:space="0" w:color="auto"/>
              <w:right w:val="single" w:sz="4" w:space="0" w:color="auto"/>
            </w:tcBorders>
          </w:tcPr>
          <w:p w14:paraId="607AA2A6" w14:textId="26AF3D86"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(8) Decizia autorității responsabile cu supravegherea consolidată ține seama de relevanța activității de supraveghere care urmează să fie planificată sau coordonată pentru aceste autorități, în special de potențialul efect asupra stabilității sistemului financiar din statele membre în cauză astfel cum este menționat la articolul 7, și de obligațiile menționate la articolul 51 alineatul (2).</w:t>
            </w:r>
          </w:p>
        </w:tc>
        <w:tc>
          <w:tcPr>
            <w:tcW w:w="1928" w:type="pct"/>
            <w:gridSpan w:val="3"/>
            <w:tcBorders>
              <w:top w:val="single" w:sz="4" w:space="0" w:color="auto"/>
              <w:left w:val="single" w:sz="4" w:space="0" w:color="auto"/>
              <w:bottom w:val="single" w:sz="4" w:space="0" w:color="auto"/>
              <w:right w:val="single" w:sz="4" w:space="0" w:color="auto"/>
            </w:tcBorders>
          </w:tcPr>
          <w:p w14:paraId="0CEB5C4F" w14:textId="2041DD34" w:rsidR="00984B34" w:rsidRPr="009E686F" w:rsidRDefault="00984B34" w:rsidP="00984B34">
            <w:pPr>
              <w:spacing w:after="0"/>
              <w:jc w:val="both"/>
              <w:rPr>
                <w:rFonts w:ascii="Times New Roman" w:eastAsia="Aptos" w:hAnsi="Times New Roman" w:cs="Times New Roman"/>
                <w:i/>
                <w:iCs/>
                <w:kern w:val="2"/>
                <w:lang w:val="ro-MD"/>
              </w:rPr>
            </w:pPr>
            <w:r w:rsidRPr="009E686F">
              <w:rPr>
                <w:rFonts w:ascii="Times New Roman" w:eastAsia="Aptos" w:hAnsi="Times New Roman" w:cs="Times New Roman"/>
                <w:kern w:val="2"/>
                <w:lang w:val="ro-MD"/>
              </w:rPr>
              <w:t xml:space="preserve">(9) Decizia Băncii Naţionale a Moldovei luată potrivit prevederilor alin.(8) trebuie să aibă în vedere importanţa activităţii de supraveghere care urmează să fie planificată sau coordonată pentru aceste autorităţi, </w:t>
            </w:r>
            <w:r w:rsidRPr="009E686F">
              <w:rPr>
                <w:rFonts w:ascii="Times New Roman" w:eastAsia="Aptos" w:hAnsi="Times New Roman" w:cs="Times New Roman"/>
                <w:i/>
                <w:iCs/>
                <w:kern w:val="2"/>
                <w:lang w:val="ro-MD"/>
              </w:rPr>
              <w:t>în special de potențialul efect asupra sistemului financiar din statele membre respective și de obligațiile prevăzute la 107</w:t>
            </w:r>
            <w:r w:rsidRPr="009E686F">
              <w:rPr>
                <w:rFonts w:ascii="Times New Roman" w:eastAsia="Aptos" w:hAnsi="Times New Roman" w:cs="Times New Roman"/>
                <w:i/>
                <w:iCs/>
                <w:kern w:val="2"/>
                <w:vertAlign w:val="superscript"/>
                <w:lang w:val="ro-MD"/>
              </w:rPr>
              <w:t>1</w:t>
            </w:r>
            <w:r w:rsidRPr="009E686F">
              <w:rPr>
                <w:rFonts w:ascii="Times New Roman" w:eastAsia="Aptos" w:hAnsi="Times New Roman" w:cs="Times New Roman"/>
                <w:i/>
                <w:iCs/>
                <w:kern w:val="2"/>
                <w:lang w:val="ro-MD"/>
              </w:rPr>
              <w:t xml:space="preserve"> alin. (4)-(7).</w:t>
            </w:r>
          </w:p>
          <w:p w14:paraId="3C5C9D8D" w14:textId="760AF9DD"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4814EEDB" w14:textId="6510B935"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54DE98F2" w14:textId="77777777" w:rsidR="00984B34" w:rsidRPr="009E686F" w:rsidRDefault="00984B34" w:rsidP="00984B34">
            <w:pPr>
              <w:jc w:val="both"/>
              <w:rPr>
                <w:rFonts w:ascii="Times New Roman" w:hAnsi="Times New Roman" w:cs="Times New Roman"/>
                <w:lang w:val="ro-RO"/>
              </w:rPr>
            </w:pPr>
          </w:p>
        </w:tc>
      </w:tr>
      <w:tr w:rsidR="00984B34" w:rsidRPr="009E686F" w14:paraId="5D96497B" w14:textId="7837C550" w:rsidTr="00774F3E">
        <w:tc>
          <w:tcPr>
            <w:tcW w:w="1796" w:type="pct"/>
            <w:gridSpan w:val="2"/>
            <w:tcBorders>
              <w:top w:val="single" w:sz="4" w:space="0" w:color="auto"/>
              <w:left w:val="single" w:sz="4" w:space="0" w:color="auto"/>
              <w:bottom w:val="single" w:sz="4" w:space="0" w:color="auto"/>
              <w:right w:val="single" w:sz="4" w:space="0" w:color="auto"/>
            </w:tcBorders>
          </w:tcPr>
          <w:p w14:paraId="1D962688" w14:textId="366AA6D3"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 (9) Supraveghetrul consolidant, sub rezerva cerințelor de confidențialitate din titlul VII capitolul 1 secțiunea II din prezenta directivă, și, după caz, din Titlul IV capitolul 1 secțiunea 2 din Directiva (UE) 2019/2034, informează ABE cu privire la activitățile colegiului de supraveghetori, inclusiv în situații de urgență, și îi comunică acesteia toate informațiile care prezintă o relevanță deosebită în sensul convergenței în domeniul supravegherii. </w:t>
            </w:r>
          </w:p>
        </w:tc>
        <w:tc>
          <w:tcPr>
            <w:tcW w:w="1928" w:type="pct"/>
            <w:gridSpan w:val="3"/>
            <w:tcBorders>
              <w:top w:val="single" w:sz="4" w:space="0" w:color="auto"/>
              <w:left w:val="single" w:sz="4" w:space="0" w:color="auto"/>
              <w:bottom w:val="single" w:sz="4" w:space="0" w:color="auto"/>
              <w:right w:val="single" w:sz="4" w:space="0" w:color="auto"/>
            </w:tcBorders>
          </w:tcPr>
          <w:p w14:paraId="51A0814B" w14:textId="14D748A8" w:rsidR="00984B34" w:rsidRPr="009E686F" w:rsidRDefault="00984B34" w:rsidP="00984B34">
            <w:pPr>
              <w:spacing w:after="0"/>
              <w:jc w:val="both"/>
              <w:rPr>
                <w:rFonts w:ascii="Times New Roman" w:hAnsi="Times New Roman" w:cs="Times New Roman"/>
                <w:b/>
                <w:i/>
                <w:iCs/>
                <w:lang w:val="ro-RO"/>
              </w:rPr>
            </w:pPr>
            <w:r w:rsidRPr="009E686F">
              <w:rPr>
                <w:rFonts w:ascii="Times New Roman" w:eastAsia="Aptos" w:hAnsi="Times New Roman" w:cs="Times New Roman"/>
                <w:i/>
                <w:iCs/>
                <w:kern w:val="2"/>
                <w:lang w:val="ro-MD"/>
              </w:rPr>
              <w:t>(11) Banca Naţională a Moldovei, în calitate de supraveghetor consolidant, sub rezerva respectării prevederilor privind secretul profesional din capitolul 3 titlul V informează Autoritatea Bancară Europeană cu privire la activitățile colegiului de supraveghetori, inclusiv în situații de urgență și îi comunică acesteia toate informațiile care prezintă o relevanță deosebită în sensul convergenței în domeniul supravegherii.</w:t>
            </w:r>
          </w:p>
        </w:tc>
        <w:tc>
          <w:tcPr>
            <w:tcW w:w="470" w:type="pct"/>
            <w:tcBorders>
              <w:top w:val="single" w:sz="4" w:space="0" w:color="auto"/>
              <w:left w:val="single" w:sz="4" w:space="0" w:color="auto"/>
              <w:bottom w:val="single" w:sz="4" w:space="0" w:color="auto"/>
              <w:right w:val="single" w:sz="4" w:space="0" w:color="auto"/>
            </w:tcBorders>
          </w:tcPr>
          <w:p w14:paraId="158D021A" w14:textId="2AC0A90E"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29C50256" w14:textId="77777777" w:rsidR="00984B34" w:rsidRPr="009E686F" w:rsidRDefault="00984B34" w:rsidP="00984B34">
            <w:pPr>
              <w:jc w:val="both"/>
              <w:rPr>
                <w:rFonts w:ascii="Times New Roman" w:hAnsi="Times New Roman" w:cs="Times New Roman"/>
                <w:lang w:val="ro-RO"/>
              </w:rPr>
            </w:pPr>
          </w:p>
        </w:tc>
      </w:tr>
      <w:tr w:rsidR="00984B34" w:rsidRPr="009E686F" w14:paraId="5FD3219C" w14:textId="31D17106" w:rsidTr="00774F3E">
        <w:tc>
          <w:tcPr>
            <w:tcW w:w="1796" w:type="pct"/>
            <w:gridSpan w:val="2"/>
            <w:tcBorders>
              <w:top w:val="single" w:sz="4" w:space="0" w:color="auto"/>
              <w:left w:val="single" w:sz="4" w:space="0" w:color="auto"/>
              <w:bottom w:val="single" w:sz="4" w:space="0" w:color="auto"/>
              <w:right w:val="single" w:sz="4" w:space="0" w:color="auto"/>
            </w:tcBorders>
          </w:tcPr>
          <w:p w14:paraId="7F7FC5F2"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În cazul unui dezacord între autoritățile competente în ceea ce privește funcționarea colegiilor de supraveghere, oricare din autoritățile competente vizate poate sesiza ABE și îi poate solicita asistența în conformitate cu articolul 19 din Regulamentul (UE) nr. 1093/2010.</w:t>
            </w:r>
          </w:p>
        </w:tc>
        <w:tc>
          <w:tcPr>
            <w:tcW w:w="1928" w:type="pct"/>
            <w:gridSpan w:val="3"/>
            <w:tcBorders>
              <w:top w:val="single" w:sz="4" w:space="0" w:color="auto"/>
              <w:left w:val="single" w:sz="4" w:space="0" w:color="auto"/>
              <w:bottom w:val="single" w:sz="4" w:space="0" w:color="auto"/>
              <w:right w:val="single" w:sz="4" w:space="0" w:color="auto"/>
            </w:tcBorders>
          </w:tcPr>
          <w:p w14:paraId="33C0F507" w14:textId="348EAC31" w:rsidR="00984B34" w:rsidRPr="009E686F" w:rsidRDefault="00984B34" w:rsidP="00984B34">
            <w:pPr>
              <w:spacing w:after="0"/>
              <w:jc w:val="both"/>
              <w:rPr>
                <w:rFonts w:ascii="Times New Roman" w:hAnsi="Times New Roman" w:cs="Times New Roman"/>
                <w:b/>
                <w:i/>
                <w:iCs/>
                <w:lang w:val="ro-RO"/>
              </w:rPr>
            </w:pPr>
            <w:r w:rsidRPr="009E686F">
              <w:rPr>
                <w:rFonts w:ascii="Times New Roman" w:eastAsia="Aptos" w:hAnsi="Times New Roman" w:cs="Times New Roman"/>
                <w:i/>
                <w:iCs/>
                <w:kern w:val="2"/>
                <w:lang w:val="ro-MD"/>
              </w:rPr>
              <w:t>(12) În cazul unui dezacord între autoritățile competente implicate în ceea ce privește funcționarea colegiilor de supraveghetori, Banca Națională a Moldovei poate supune cazul spre soluționare Autorității Bancare Europene, potrivit procedurii de soluționare a dezacordurilor prevăzute la art. 19 din Regulamentul (UE) nr. 1.093/2010.</w:t>
            </w:r>
          </w:p>
        </w:tc>
        <w:tc>
          <w:tcPr>
            <w:tcW w:w="470" w:type="pct"/>
            <w:tcBorders>
              <w:top w:val="single" w:sz="4" w:space="0" w:color="auto"/>
              <w:left w:val="single" w:sz="4" w:space="0" w:color="auto"/>
              <w:bottom w:val="single" w:sz="4" w:space="0" w:color="auto"/>
              <w:right w:val="single" w:sz="4" w:space="0" w:color="auto"/>
            </w:tcBorders>
          </w:tcPr>
          <w:p w14:paraId="0C84DB06" w14:textId="65DEDBB4"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7DF15CB7" w14:textId="77777777" w:rsidR="00984B34" w:rsidRPr="009E686F" w:rsidRDefault="00984B34" w:rsidP="00984B34">
            <w:pPr>
              <w:jc w:val="both"/>
              <w:rPr>
                <w:rFonts w:ascii="Times New Roman" w:hAnsi="Times New Roman" w:cs="Times New Roman"/>
                <w:lang w:val="ro-RO"/>
              </w:rPr>
            </w:pPr>
          </w:p>
        </w:tc>
      </w:tr>
      <w:tr w:rsidR="00984B34" w:rsidRPr="009E686F" w14:paraId="6623F221" w14:textId="0401064C" w:rsidTr="00774F3E">
        <w:tc>
          <w:tcPr>
            <w:tcW w:w="1796" w:type="pct"/>
            <w:gridSpan w:val="2"/>
            <w:tcBorders>
              <w:top w:val="single" w:sz="4" w:space="0" w:color="auto"/>
              <w:left w:val="single" w:sz="4" w:space="0" w:color="auto"/>
              <w:bottom w:val="single" w:sz="4" w:space="0" w:color="auto"/>
              <w:right w:val="single" w:sz="4" w:space="0" w:color="auto"/>
            </w:tcBorders>
          </w:tcPr>
          <w:p w14:paraId="17209F10"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lastRenderedPageBreak/>
              <w:t>ABE poate de asemenea acorda asistență din proprie inițiativă autorităților competente, în cazul unui dezacord în legătură cu funcționarea colegiilor de supraveghere, în temeiul prezentului articol, în conformitate cu articolul 19 alineatul (1) al doilea paragraf din regulamentul menționat.</w:t>
            </w:r>
          </w:p>
        </w:tc>
        <w:tc>
          <w:tcPr>
            <w:tcW w:w="1928" w:type="pct"/>
            <w:gridSpan w:val="3"/>
            <w:tcBorders>
              <w:top w:val="single" w:sz="4" w:space="0" w:color="auto"/>
              <w:left w:val="single" w:sz="4" w:space="0" w:color="auto"/>
              <w:bottom w:val="single" w:sz="4" w:space="0" w:color="auto"/>
              <w:right w:val="single" w:sz="4" w:space="0" w:color="auto"/>
            </w:tcBorders>
          </w:tcPr>
          <w:p w14:paraId="0B05032C"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5A576754" w14:textId="5BF418EC"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neaplicabile</w:t>
            </w:r>
          </w:p>
        </w:tc>
        <w:tc>
          <w:tcPr>
            <w:tcW w:w="806" w:type="pct"/>
            <w:tcBorders>
              <w:top w:val="single" w:sz="4" w:space="0" w:color="auto"/>
              <w:left w:val="single" w:sz="4" w:space="0" w:color="auto"/>
              <w:bottom w:val="single" w:sz="4" w:space="0" w:color="auto"/>
              <w:right w:val="single" w:sz="4" w:space="0" w:color="auto"/>
            </w:tcBorders>
          </w:tcPr>
          <w:p w14:paraId="31933494" w14:textId="2BB27BED"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Se referă la competențele ABE.</w:t>
            </w:r>
          </w:p>
        </w:tc>
      </w:tr>
      <w:tr w:rsidR="00984B34" w:rsidRPr="009E686F" w14:paraId="21DEDB56"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75724966" w14:textId="77777777" w:rsidR="00984B34" w:rsidRPr="009E686F" w:rsidRDefault="00984B34" w:rsidP="00984B34">
            <w:pPr>
              <w:spacing w:after="0"/>
              <w:jc w:val="both"/>
              <w:rPr>
                <w:rFonts w:ascii="Times New Roman" w:hAnsi="Times New Roman" w:cs="Times New Roman"/>
                <w:i/>
                <w:iCs/>
                <w:lang w:val="ro-RO"/>
              </w:rPr>
            </w:pPr>
            <w:r w:rsidRPr="009E686F">
              <w:rPr>
                <w:rFonts w:ascii="Times New Roman" w:hAnsi="Times New Roman" w:cs="Times New Roman"/>
                <w:i/>
                <w:iCs/>
                <w:lang w:val="ro-RO"/>
              </w:rPr>
              <w:t xml:space="preserve">Articolul 116a </w:t>
            </w:r>
          </w:p>
          <w:p w14:paraId="3C698D98" w14:textId="01AD6E6F"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Punerea la dispoziție a informațiilor în punctul unic de acces european</w:t>
            </w:r>
          </w:p>
        </w:tc>
        <w:tc>
          <w:tcPr>
            <w:tcW w:w="1928" w:type="pct"/>
            <w:gridSpan w:val="3"/>
            <w:tcBorders>
              <w:top w:val="single" w:sz="4" w:space="0" w:color="auto"/>
              <w:left w:val="single" w:sz="4" w:space="0" w:color="auto"/>
              <w:bottom w:val="single" w:sz="4" w:space="0" w:color="auto"/>
              <w:right w:val="single" w:sz="4" w:space="0" w:color="auto"/>
            </w:tcBorders>
          </w:tcPr>
          <w:p w14:paraId="6F906E59" w14:textId="7FA8472A" w:rsidR="00984B34" w:rsidRPr="009E686F" w:rsidRDefault="00984B34" w:rsidP="00984B34">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b/>
                <w:bCs/>
                <w:kern w:val="2"/>
                <w:lang w:val="ro-MD"/>
              </w:rPr>
              <w:t>Articoluil 112</w:t>
            </w:r>
            <w:r w:rsidRPr="009E686F">
              <w:rPr>
                <w:rFonts w:ascii="Times New Roman" w:eastAsia="Aptos" w:hAnsi="Times New Roman" w:cs="Times New Roman"/>
                <w:b/>
                <w:bCs/>
                <w:kern w:val="2"/>
                <w:vertAlign w:val="superscript"/>
                <w:lang w:val="ro-MD"/>
              </w:rPr>
              <w:t>1</w:t>
            </w:r>
            <w:r w:rsidRPr="009E686F">
              <w:rPr>
                <w:rFonts w:ascii="Times New Roman" w:eastAsia="Aptos" w:hAnsi="Times New Roman" w:cs="Times New Roman"/>
                <w:b/>
                <w:bCs/>
                <w:kern w:val="2"/>
                <w:lang w:val="ro-MD"/>
              </w:rPr>
              <w:t xml:space="preserve">. </w:t>
            </w:r>
            <w:r w:rsidRPr="009E686F">
              <w:rPr>
                <w:rFonts w:ascii="Times New Roman" w:eastAsia="Aptos" w:hAnsi="Times New Roman" w:cs="Times New Roman"/>
                <w:i/>
                <w:iCs/>
                <w:kern w:val="2"/>
                <w:lang w:val="ro-MD"/>
              </w:rPr>
              <w:t>Punerea la dispoziție a informațiilor în punctul unic de acces european</w:t>
            </w:r>
          </w:p>
          <w:p w14:paraId="4E35D643" w14:textId="77777777" w:rsidR="00984B34" w:rsidRPr="009E686F" w:rsidRDefault="00984B34" w:rsidP="00984B34">
            <w:pPr>
              <w:spacing w:after="0" w:line="240" w:lineRule="auto"/>
              <w:rPr>
                <w:rFonts w:ascii="Times New Roman" w:hAnsi="Times New Roman" w:cs="Times New Roman"/>
                <w:lang w:val="ro-RO"/>
              </w:rPr>
            </w:pPr>
          </w:p>
        </w:tc>
        <w:tc>
          <w:tcPr>
            <w:tcW w:w="470" w:type="pct"/>
            <w:tcBorders>
              <w:top w:val="single" w:sz="4" w:space="0" w:color="auto"/>
              <w:left w:val="single" w:sz="4" w:space="0" w:color="auto"/>
              <w:bottom w:val="single" w:sz="4" w:space="0" w:color="auto"/>
              <w:right w:val="single" w:sz="4" w:space="0" w:color="auto"/>
            </w:tcBorders>
          </w:tcPr>
          <w:p w14:paraId="02699DD6" w14:textId="79490764"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28D8D7E3" w14:textId="77777777" w:rsidR="00984B34" w:rsidRPr="009E686F" w:rsidRDefault="00984B34" w:rsidP="00984B34">
            <w:pPr>
              <w:jc w:val="both"/>
              <w:rPr>
                <w:rFonts w:ascii="Times New Roman" w:hAnsi="Times New Roman" w:cs="Times New Roman"/>
                <w:lang w:val="ro-RO"/>
              </w:rPr>
            </w:pPr>
          </w:p>
        </w:tc>
      </w:tr>
      <w:tr w:rsidR="00984B34" w:rsidRPr="009E686F" w14:paraId="1EA27E4D"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6F18FD10" w14:textId="4F775CC9"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De la 10 ianuarie 2030, statele membre se asigură că informațiile menționate la articolul 68 alineatele (1) și (2) și la articolul 131 alineatul (12) din prezenta directivă sunt puse la dispoziție în punctul unic de acces european (ESAP) înființat în temeiul Regulamentului (UE) 2023/2859 al Parlamentului European și al Consiliului (*10). În acest scop, autoritatea competentă sau autoritatea desemnată este organism de colectare, în sensul definiției de la articolul 2 punctul 2 din regulamentul respectiv.</w:t>
            </w:r>
          </w:p>
        </w:tc>
        <w:tc>
          <w:tcPr>
            <w:tcW w:w="1928" w:type="pct"/>
            <w:gridSpan w:val="3"/>
            <w:tcBorders>
              <w:top w:val="single" w:sz="4" w:space="0" w:color="auto"/>
              <w:left w:val="single" w:sz="4" w:space="0" w:color="auto"/>
              <w:bottom w:val="single" w:sz="4" w:space="0" w:color="auto"/>
              <w:right w:val="single" w:sz="4" w:space="0" w:color="auto"/>
            </w:tcBorders>
          </w:tcPr>
          <w:p w14:paraId="364D499C" w14:textId="77777777" w:rsidR="00984B34" w:rsidRPr="009E686F" w:rsidRDefault="00984B34" w:rsidP="00984B34">
            <w:pPr>
              <w:spacing w:after="0" w:line="276" w:lineRule="auto"/>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(1) Banca Națională a Moldovei, pune la dispoziţie în punctul unic de acces european (ESAP), înfiinţat în temeiul Regulamentului (UE) 2023/2859 al Parlamentului European și al Consiliului informațiile publicate în conformitate cu art. 146 și lista actualizată a instituțiilor de importanță sistemică identificate și subcategoria în care este alocată fiecare G-SII identificată.</w:t>
            </w:r>
          </w:p>
          <w:p w14:paraId="63E9B9BE" w14:textId="77777777" w:rsidR="00984B34" w:rsidRPr="009E686F" w:rsidRDefault="00984B34" w:rsidP="00984B34">
            <w:pPr>
              <w:spacing w:after="0" w:line="240" w:lineRule="auto"/>
              <w:jc w:val="both"/>
              <w:rPr>
                <w:rFonts w:ascii="Times New Roman" w:hAnsi="Times New Roman" w:cs="Times New Roman"/>
                <w:i/>
                <w:iCs/>
                <w:lang w:val="ro-MD"/>
              </w:rPr>
            </w:pPr>
          </w:p>
          <w:p w14:paraId="26C15A57" w14:textId="57A85D58" w:rsidR="00984B34" w:rsidRPr="009E686F" w:rsidRDefault="00984B34" w:rsidP="00984B34">
            <w:pPr>
              <w:spacing w:after="0" w:line="240" w:lineRule="auto"/>
              <w:jc w:val="both"/>
              <w:rPr>
                <w:rFonts w:ascii="Times New Roman" w:hAnsi="Times New Roman" w:cs="Times New Roman"/>
                <w:i/>
                <w:iCs/>
                <w:lang w:val="ro-MD"/>
              </w:rPr>
            </w:pPr>
          </w:p>
        </w:tc>
        <w:tc>
          <w:tcPr>
            <w:tcW w:w="470" w:type="pct"/>
            <w:tcBorders>
              <w:top w:val="single" w:sz="4" w:space="0" w:color="auto"/>
              <w:left w:val="single" w:sz="4" w:space="0" w:color="auto"/>
              <w:bottom w:val="single" w:sz="4" w:space="0" w:color="auto"/>
              <w:right w:val="single" w:sz="4" w:space="0" w:color="auto"/>
            </w:tcBorders>
          </w:tcPr>
          <w:p w14:paraId="62B3887B" w14:textId="6070AED6"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1C87BE76" w14:textId="77777777" w:rsidR="00984B34" w:rsidRPr="009E686F" w:rsidRDefault="00984B34" w:rsidP="00984B34">
            <w:pPr>
              <w:jc w:val="both"/>
              <w:rPr>
                <w:rFonts w:ascii="Times New Roman" w:hAnsi="Times New Roman" w:cs="Times New Roman"/>
                <w:lang w:val="ro-RO"/>
              </w:rPr>
            </w:pPr>
          </w:p>
        </w:tc>
      </w:tr>
      <w:tr w:rsidR="00984B34" w:rsidRPr="009E686F" w14:paraId="6D387AE7"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346C1B79" w14:textId="508C9E0F"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Statele membre se asigură că informațiile respectă cerințele următoare:</w:t>
            </w:r>
          </w:p>
          <w:p w14:paraId="3F3760EC" w14:textId="66C9F5A0"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(a) sunt prezentate într-un format care permite extragerea de date, în sensul definiției de la articolul 2 punctul 3 din Regulamentul (UE) 2023/2859;</w:t>
            </w:r>
          </w:p>
          <w:p w14:paraId="6841A698" w14:textId="1F4E8A9A"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(b) sunt însoțite de fiecare dintre următoarele metadate:</w:t>
            </w:r>
          </w:p>
          <w:p w14:paraId="36D64AC4" w14:textId="1622CE64"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(i) toate denumirile persoanei fizice sau ale instituției la care se referă informațiile;</w:t>
            </w:r>
          </w:p>
          <w:p w14:paraId="08442966" w14:textId="2E7207B8"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(ii) dacă este disponibil, identificatorul entității juridice al instituției, astfel cum este precizat în temeiul articolului 7 alineatul (4) litera (b) din Regulamentul (UE) 2023/2859;</w:t>
            </w:r>
          </w:p>
          <w:p w14:paraId="5C480FD8" w14:textId="4D42E3B2"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(iii) tipul de informații, astfel cum sunt clasificate în temeiul articolului 7 alineatul (4) litera (c) din regulamentul respectiv;</w:t>
            </w:r>
          </w:p>
          <w:p w14:paraId="38E78C68" w14:textId="1A59BF99"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lastRenderedPageBreak/>
              <w:t>(iv) o mențiune care să indice dacă informațiile conțin date cu caracter personal.</w:t>
            </w:r>
          </w:p>
        </w:tc>
        <w:tc>
          <w:tcPr>
            <w:tcW w:w="1928" w:type="pct"/>
            <w:gridSpan w:val="3"/>
            <w:tcBorders>
              <w:top w:val="single" w:sz="4" w:space="0" w:color="auto"/>
              <w:left w:val="single" w:sz="4" w:space="0" w:color="auto"/>
              <w:bottom w:val="single" w:sz="4" w:space="0" w:color="auto"/>
              <w:right w:val="single" w:sz="4" w:space="0" w:color="auto"/>
            </w:tcBorders>
          </w:tcPr>
          <w:p w14:paraId="359DF1BF" w14:textId="77777777" w:rsidR="00984B34" w:rsidRPr="009E686F" w:rsidRDefault="00984B34" w:rsidP="00984B34">
            <w:pPr>
              <w:spacing w:after="0" w:line="278" w:lineRule="auto"/>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lastRenderedPageBreak/>
              <w:t>(2) Banca Națională a Moldovei transmite informațiile prevăzute la alin. (1) cu respectarea următoarelor cerințe:</w:t>
            </w:r>
          </w:p>
          <w:p w14:paraId="07500AE0" w14:textId="5AC95746" w:rsidR="00984B34" w:rsidRPr="009E686F" w:rsidRDefault="00CF7C06" w:rsidP="00984B34">
            <w:pPr>
              <w:spacing w:after="0" w:line="278" w:lineRule="auto"/>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1</w:t>
            </w:r>
            <w:r w:rsidR="00984B34" w:rsidRPr="009E686F">
              <w:rPr>
                <w:rFonts w:ascii="Times New Roman" w:eastAsia="Aptos" w:hAnsi="Times New Roman" w:cs="Times New Roman"/>
                <w:i/>
                <w:iCs/>
                <w:kern w:val="2"/>
                <w:lang w:val="ro-MD"/>
              </w:rPr>
              <w:t xml:space="preserve">) informațiile sunt prezentate într-un format care permite extragerea de date, în sensul definiţiei de la articolul 2 punctul 3 din Regulamentul (UE) 2023/2859; </w:t>
            </w:r>
          </w:p>
          <w:p w14:paraId="24BDE8BA" w14:textId="7925F8EF" w:rsidR="00984B34" w:rsidRPr="009E686F" w:rsidRDefault="00CF7C06" w:rsidP="00984B34">
            <w:pPr>
              <w:spacing w:after="0" w:line="278" w:lineRule="auto"/>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2</w:t>
            </w:r>
            <w:r w:rsidR="00984B34" w:rsidRPr="009E686F">
              <w:rPr>
                <w:rFonts w:ascii="Times New Roman" w:eastAsia="Aptos" w:hAnsi="Times New Roman" w:cs="Times New Roman"/>
                <w:i/>
                <w:iCs/>
                <w:kern w:val="2"/>
                <w:lang w:val="ro-MD"/>
              </w:rPr>
              <w:t xml:space="preserve">) informațiile sunt însoţite de fiecare dintre următoarele metadate: </w:t>
            </w:r>
          </w:p>
          <w:p w14:paraId="2495E7A3" w14:textId="40CBE73B" w:rsidR="00984B34" w:rsidRPr="009E686F" w:rsidRDefault="00CF7C06" w:rsidP="00984B34">
            <w:pPr>
              <w:spacing w:after="0" w:line="278" w:lineRule="auto"/>
              <w:ind w:firstLine="708"/>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a</w:t>
            </w:r>
            <w:r w:rsidR="00984B34" w:rsidRPr="009E686F">
              <w:rPr>
                <w:rFonts w:ascii="Times New Roman" w:eastAsia="Aptos" w:hAnsi="Times New Roman" w:cs="Times New Roman"/>
                <w:i/>
                <w:iCs/>
                <w:kern w:val="2"/>
                <w:lang w:val="ro-MD"/>
              </w:rPr>
              <w:t xml:space="preserve">) toate denumirile persoanei fizice sau ale instituției de credit la care se referă informaţiile; </w:t>
            </w:r>
          </w:p>
          <w:p w14:paraId="25E4174E" w14:textId="69728664" w:rsidR="00984B34" w:rsidRPr="009E686F" w:rsidRDefault="00CF7C06" w:rsidP="00984B34">
            <w:pPr>
              <w:spacing w:after="0" w:line="278" w:lineRule="auto"/>
              <w:ind w:firstLine="708"/>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b</w:t>
            </w:r>
            <w:r w:rsidR="00984B34" w:rsidRPr="009E686F">
              <w:rPr>
                <w:rFonts w:ascii="Times New Roman" w:eastAsia="Aptos" w:hAnsi="Times New Roman" w:cs="Times New Roman"/>
                <w:i/>
                <w:iCs/>
                <w:kern w:val="2"/>
                <w:lang w:val="ro-MD"/>
              </w:rPr>
              <w:t>) dacă este disponibil, identificatorul entităţii juridice al instituției de credit, astfel cum este precizat în temeiul articolului 7 alineatul (4) litera (b) din Regulamentul (UE) 2023/2859;</w:t>
            </w:r>
          </w:p>
          <w:p w14:paraId="3A5EE2EE" w14:textId="699AA0DD" w:rsidR="00984B34" w:rsidRPr="009E686F" w:rsidRDefault="00CF7C06" w:rsidP="00984B34">
            <w:pPr>
              <w:spacing w:after="0" w:line="278" w:lineRule="auto"/>
              <w:ind w:firstLine="708"/>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lastRenderedPageBreak/>
              <w:t>c</w:t>
            </w:r>
            <w:r w:rsidR="00984B34" w:rsidRPr="009E686F">
              <w:rPr>
                <w:rFonts w:ascii="Times New Roman" w:eastAsia="Aptos" w:hAnsi="Times New Roman" w:cs="Times New Roman"/>
                <w:i/>
                <w:iCs/>
                <w:kern w:val="2"/>
                <w:lang w:val="ro-MD"/>
              </w:rPr>
              <w:t xml:space="preserve">) tipul de informaţii, astfel cum sunt clasificate în temeiul articolului 7 alineatul (4) litera (c) din regulamentul respectiv; </w:t>
            </w:r>
          </w:p>
          <w:p w14:paraId="42B41212" w14:textId="6C1A25C2" w:rsidR="00984B34" w:rsidRPr="009E686F" w:rsidRDefault="00CF7C06" w:rsidP="00984B34">
            <w:pPr>
              <w:spacing w:after="0" w:line="240" w:lineRule="auto"/>
              <w:rPr>
                <w:rFonts w:ascii="Times New Roman" w:hAnsi="Times New Roman" w:cs="Times New Roman"/>
                <w:i/>
                <w:iCs/>
                <w:lang w:val="ro-RO"/>
              </w:rPr>
            </w:pPr>
            <w:r w:rsidRPr="009E686F">
              <w:rPr>
                <w:rFonts w:ascii="Times New Roman" w:eastAsia="Aptos" w:hAnsi="Times New Roman" w:cs="Times New Roman"/>
                <w:i/>
                <w:iCs/>
                <w:kern w:val="2"/>
                <w:lang w:val="ro-MD"/>
              </w:rPr>
              <w:t>d</w:t>
            </w:r>
            <w:r w:rsidR="00984B34" w:rsidRPr="009E686F">
              <w:rPr>
                <w:rFonts w:ascii="Times New Roman" w:eastAsia="Aptos" w:hAnsi="Times New Roman" w:cs="Times New Roman"/>
                <w:i/>
                <w:iCs/>
                <w:kern w:val="2"/>
                <w:lang w:val="ro-MD"/>
              </w:rPr>
              <w:t>) o menţiune care să indice dacă informaţiile conţin date cu caracter personal.</w:t>
            </w:r>
          </w:p>
        </w:tc>
        <w:tc>
          <w:tcPr>
            <w:tcW w:w="470" w:type="pct"/>
            <w:tcBorders>
              <w:top w:val="single" w:sz="4" w:space="0" w:color="auto"/>
              <w:left w:val="single" w:sz="4" w:space="0" w:color="auto"/>
              <w:bottom w:val="single" w:sz="4" w:space="0" w:color="auto"/>
              <w:right w:val="single" w:sz="4" w:space="0" w:color="auto"/>
            </w:tcBorders>
          </w:tcPr>
          <w:p w14:paraId="11260C31" w14:textId="1C833049"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7BAE6A7F" w14:textId="77777777" w:rsidR="00984B34" w:rsidRPr="009E686F" w:rsidRDefault="00984B34" w:rsidP="00984B34">
            <w:pPr>
              <w:jc w:val="both"/>
              <w:rPr>
                <w:rFonts w:ascii="Times New Roman" w:hAnsi="Times New Roman" w:cs="Times New Roman"/>
                <w:lang w:val="ro-RO"/>
              </w:rPr>
            </w:pPr>
          </w:p>
        </w:tc>
      </w:tr>
      <w:tr w:rsidR="00984B34" w:rsidRPr="009E686F" w14:paraId="6A78933C" w14:textId="66F1C91A" w:rsidTr="00774F3E">
        <w:tc>
          <w:tcPr>
            <w:tcW w:w="1796" w:type="pct"/>
            <w:gridSpan w:val="2"/>
            <w:tcBorders>
              <w:top w:val="single" w:sz="4" w:space="0" w:color="auto"/>
              <w:left w:val="single" w:sz="4" w:space="0" w:color="auto"/>
              <w:bottom w:val="single" w:sz="4" w:space="0" w:color="auto"/>
              <w:right w:val="single" w:sz="4" w:space="0" w:color="auto"/>
            </w:tcBorders>
          </w:tcPr>
          <w:p w14:paraId="0534CF3D" w14:textId="77777777" w:rsidR="00984B34" w:rsidRPr="009E686F" w:rsidRDefault="00984B34" w:rsidP="00984B34">
            <w:pPr>
              <w:spacing w:after="0"/>
              <w:jc w:val="both"/>
              <w:rPr>
                <w:rFonts w:ascii="Times New Roman" w:hAnsi="Times New Roman" w:cs="Times New Roman"/>
                <w:i/>
                <w:iCs/>
                <w:lang w:val="ro-RO"/>
              </w:rPr>
            </w:pPr>
            <w:r w:rsidRPr="009E686F">
              <w:rPr>
                <w:rFonts w:ascii="Times New Roman" w:hAnsi="Times New Roman" w:cs="Times New Roman"/>
                <w:i/>
                <w:iCs/>
                <w:lang w:val="ro-RO"/>
              </w:rPr>
              <w:t xml:space="preserve">Articolul 117 </w:t>
            </w:r>
          </w:p>
          <w:p w14:paraId="6470B515" w14:textId="6FE02693"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Obligații de cooperare</w:t>
            </w:r>
          </w:p>
        </w:tc>
        <w:tc>
          <w:tcPr>
            <w:tcW w:w="1928" w:type="pct"/>
            <w:gridSpan w:val="3"/>
            <w:tcBorders>
              <w:top w:val="single" w:sz="4" w:space="0" w:color="auto"/>
              <w:left w:val="single" w:sz="4" w:space="0" w:color="auto"/>
              <w:bottom w:val="single" w:sz="4" w:space="0" w:color="auto"/>
              <w:right w:val="single" w:sz="4" w:space="0" w:color="auto"/>
            </w:tcBorders>
          </w:tcPr>
          <w:p w14:paraId="06721705" w14:textId="77777777" w:rsidR="00984B34" w:rsidRPr="009E686F" w:rsidRDefault="00984B34" w:rsidP="00984B34">
            <w:pPr>
              <w:spacing w:after="0" w:line="240" w:lineRule="auto"/>
              <w:rPr>
                <w:rFonts w:ascii="Times New Roman" w:hAnsi="Times New Roman" w:cs="Times New Roman"/>
                <w:lang w:val="ro-RO"/>
              </w:rPr>
            </w:pPr>
            <w:r w:rsidRPr="009E686F">
              <w:rPr>
                <w:rFonts w:ascii="Times New Roman" w:hAnsi="Times New Roman" w:cs="Times New Roman"/>
                <w:b/>
                <w:bCs/>
                <w:lang w:val="ro-RO"/>
              </w:rPr>
              <w:t>Articolul 113.</w:t>
            </w:r>
            <w:r w:rsidRPr="009E686F">
              <w:rPr>
                <w:rFonts w:ascii="Times New Roman" w:hAnsi="Times New Roman" w:cs="Times New Roman"/>
                <w:lang w:val="ro-RO"/>
              </w:rPr>
              <w:t xml:space="preserve"> Obligații de cooperare</w:t>
            </w:r>
          </w:p>
          <w:p w14:paraId="70BBC12A"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6DEE4FCE" w14:textId="5FF5E2C0"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0F6F5007" w14:textId="77777777" w:rsidR="00984B34" w:rsidRPr="009E686F" w:rsidRDefault="00984B34" w:rsidP="00984B34">
            <w:pPr>
              <w:jc w:val="both"/>
              <w:rPr>
                <w:rFonts w:ascii="Times New Roman" w:hAnsi="Times New Roman" w:cs="Times New Roman"/>
                <w:lang w:val="ro-RO"/>
              </w:rPr>
            </w:pPr>
          </w:p>
        </w:tc>
      </w:tr>
      <w:tr w:rsidR="00984B34" w:rsidRPr="009E686F" w14:paraId="476C1A7E" w14:textId="3AE23DC0" w:rsidTr="00BA1188">
        <w:tc>
          <w:tcPr>
            <w:tcW w:w="1796" w:type="pct"/>
            <w:gridSpan w:val="2"/>
            <w:vMerge w:val="restart"/>
            <w:tcBorders>
              <w:top w:val="single" w:sz="4" w:space="0" w:color="auto"/>
              <w:left w:val="single" w:sz="4" w:space="0" w:color="auto"/>
              <w:right w:val="single" w:sz="4" w:space="0" w:color="auto"/>
            </w:tcBorders>
          </w:tcPr>
          <w:p w14:paraId="7E3016D8" w14:textId="26B4FA84"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(1) Autoritățile competente cooperează îndeaproape. Acestea își comunică reciproc orice informație esențială sau relevantă pentru exercitarea atribuțiilor de supraveghere ale celorlalte autorități competente în conformitate cu prezenta directivă și Regulamentul (UE) nr. 575/2013. În acest sens, autoritățile competente transmit, la cerere, orice informație relevantă și, din proprie inițiativă, orice informație esențială. </w:t>
            </w:r>
          </w:p>
        </w:tc>
        <w:tc>
          <w:tcPr>
            <w:tcW w:w="1928" w:type="pct"/>
            <w:gridSpan w:val="3"/>
            <w:tcBorders>
              <w:top w:val="single" w:sz="4" w:space="0" w:color="auto"/>
              <w:left w:val="single" w:sz="4" w:space="0" w:color="auto"/>
              <w:bottom w:val="single" w:sz="4" w:space="0" w:color="auto"/>
              <w:right w:val="single" w:sz="4" w:space="0" w:color="auto"/>
            </w:tcBorders>
          </w:tcPr>
          <w:p w14:paraId="584466B1" w14:textId="5345718A"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(1) Banca Naţională a Moldovei cooperează în mod strâns cu celelalte autorităţi competente. În acest sens, pentru exercitarea atribuţiilor de supraveghere pe bază individuală şi/sau consolidată ale respectivelor autorităţi  și ale Băncii Naționale a Moldovei  sunt furnizate, la cerere, toate informaţiile relevante </w:t>
            </w:r>
            <w:r w:rsidR="008456A1" w:rsidRPr="009E686F">
              <w:rPr>
                <w:rFonts w:ascii="Times New Roman" w:hAnsi="Times New Roman" w:cs="Times New Roman"/>
                <w:i/>
                <w:iCs/>
                <w:lang w:val="ro-RO"/>
              </w:rPr>
              <w:t>și, din proprie inițiativă,</w:t>
            </w:r>
            <w:r w:rsidR="000C6F60" w:rsidRPr="009E686F">
              <w:rPr>
                <w:rFonts w:ascii="Times New Roman" w:hAnsi="Times New Roman" w:cs="Times New Roman"/>
                <w:i/>
                <w:iCs/>
                <w:lang w:val="ro-RO"/>
              </w:rPr>
              <w:t xml:space="preserve"> orice informație esențială</w:t>
            </w:r>
            <w:r w:rsidR="008456A1" w:rsidRPr="009E686F">
              <w:rPr>
                <w:rFonts w:ascii="Times New Roman" w:hAnsi="Times New Roman" w:cs="Times New Roman"/>
                <w:lang w:val="ro-RO"/>
              </w:rPr>
              <w:t xml:space="preserve"> </w:t>
            </w:r>
            <w:r w:rsidRPr="009E686F">
              <w:rPr>
                <w:rFonts w:ascii="Times New Roman" w:hAnsi="Times New Roman" w:cs="Times New Roman"/>
                <w:lang w:val="ro-RO"/>
              </w:rPr>
              <w:t xml:space="preserve">potrivit acordurilor de cooperare dintre autorităţile competente. </w:t>
            </w:r>
          </w:p>
          <w:p w14:paraId="331F550B" w14:textId="60075E0C"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540E6601" w14:textId="2509A46D"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770A9596" w14:textId="77777777" w:rsidR="00984B34" w:rsidRPr="009E686F" w:rsidRDefault="00984B34" w:rsidP="00984B34">
            <w:pPr>
              <w:jc w:val="both"/>
              <w:rPr>
                <w:rFonts w:ascii="Times New Roman" w:hAnsi="Times New Roman" w:cs="Times New Roman"/>
                <w:lang w:val="ro-RO"/>
              </w:rPr>
            </w:pPr>
          </w:p>
        </w:tc>
      </w:tr>
      <w:tr w:rsidR="00984B34" w:rsidRPr="009E686F" w14:paraId="1813A995" w14:textId="77777777" w:rsidTr="00BA1188">
        <w:tc>
          <w:tcPr>
            <w:tcW w:w="1796" w:type="pct"/>
            <w:gridSpan w:val="2"/>
            <w:vMerge/>
            <w:tcBorders>
              <w:left w:val="single" w:sz="4" w:space="0" w:color="auto"/>
              <w:bottom w:val="single" w:sz="4" w:space="0" w:color="auto"/>
              <w:right w:val="single" w:sz="4" w:space="0" w:color="auto"/>
            </w:tcBorders>
          </w:tcPr>
          <w:p w14:paraId="64791389" w14:textId="77777777" w:rsidR="00984B34" w:rsidRPr="009E686F" w:rsidRDefault="00984B34" w:rsidP="00984B34">
            <w:pPr>
              <w:spacing w:after="0"/>
              <w:jc w:val="both"/>
              <w:rPr>
                <w:rFonts w:ascii="Times New Roman" w:hAnsi="Times New Roman" w:cs="Times New Roman"/>
                <w:lang w:val="ro-RO"/>
              </w:rPr>
            </w:pPr>
          </w:p>
        </w:tc>
        <w:tc>
          <w:tcPr>
            <w:tcW w:w="1928" w:type="pct"/>
            <w:gridSpan w:val="3"/>
            <w:tcBorders>
              <w:top w:val="single" w:sz="4" w:space="0" w:color="auto"/>
              <w:left w:val="single" w:sz="4" w:space="0" w:color="auto"/>
              <w:bottom w:val="single" w:sz="4" w:space="0" w:color="auto"/>
              <w:right w:val="single" w:sz="4" w:space="0" w:color="auto"/>
            </w:tcBorders>
          </w:tcPr>
          <w:p w14:paraId="6574D51E" w14:textId="77777777" w:rsidR="00984B34" w:rsidRPr="009E686F" w:rsidRDefault="00984B34" w:rsidP="00984B34">
            <w:pPr>
              <w:spacing w:after="0"/>
              <w:jc w:val="both"/>
              <w:rPr>
                <w:rFonts w:ascii="Times New Roman" w:hAnsi="Times New Roman" w:cs="Times New Roman"/>
                <w:lang w:val="it-CH"/>
              </w:rPr>
            </w:pPr>
            <w:r w:rsidRPr="009E686F">
              <w:rPr>
                <w:rFonts w:ascii="Times New Roman" w:hAnsi="Times New Roman" w:cs="Times New Roman"/>
                <w:b/>
                <w:bCs/>
                <w:lang w:val="it-CH"/>
              </w:rPr>
              <w:t>Articolul 114.</w:t>
            </w:r>
            <w:r w:rsidRPr="009E686F">
              <w:rPr>
                <w:rFonts w:ascii="Times New Roman" w:hAnsi="Times New Roman" w:cs="Times New Roman"/>
                <w:lang w:val="it-CH"/>
              </w:rPr>
              <w:t xml:space="preserve"> Colaborarea dintre autorităţi competente din Republica Moldova</w:t>
            </w:r>
          </w:p>
          <w:p w14:paraId="4E20C799" w14:textId="6604F881" w:rsidR="00984B34" w:rsidRPr="009E686F" w:rsidRDefault="00984B34" w:rsidP="00984B34">
            <w:pPr>
              <w:spacing w:after="0"/>
              <w:jc w:val="both"/>
              <w:rPr>
                <w:rFonts w:ascii="Times New Roman" w:hAnsi="Times New Roman" w:cs="Times New Roman"/>
                <w:lang w:val="it-CH"/>
              </w:rPr>
            </w:pPr>
            <w:r w:rsidRPr="009E686F">
              <w:rPr>
                <w:rFonts w:ascii="Times New Roman" w:hAnsi="Times New Roman" w:cs="Times New Roman"/>
                <w:lang w:val="it-CH"/>
              </w:rPr>
              <w:t xml:space="preserve">(1) Pentru a pune bazele şi pentru a facilita o supraveghere eficientă la nivelul naţional al instituțiilor de credit  şi </w:t>
            </w:r>
            <w:r w:rsidRPr="009E686F">
              <w:rPr>
                <w:rFonts w:ascii="Times New Roman" w:hAnsi="Times New Roman" w:cs="Times New Roman"/>
                <w:i/>
                <w:iCs/>
                <w:lang w:val="it-CH"/>
              </w:rPr>
              <w:t>firmelor</w:t>
            </w:r>
            <w:r w:rsidRPr="009E686F">
              <w:rPr>
                <w:rFonts w:ascii="Times New Roman" w:hAnsi="Times New Roman" w:cs="Times New Roman"/>
                <w:lang w:val="it-CH"/>
              </w:rPr>
              <w:t xml:space="preserve"> de investiţii, Banca Naţională a Moldovei şi Comisia Naţională a Pieţei Financiare încheie acorduri scrise de coordonare şi cooperare, care pot prevedea atribuţii suplimentare în sarcina Băncii Naţionale a Moldovei sau Comisiei Naţionale a Pieţei Financiare, în calitate de supraveghetor consolidant, şi pot include proceduri privind procesul decizional.</w:t>
            </w:r>
          </w:p>
          <w:p w14:paraId="5A962168" w14:textId="77777777" w:rsidR="00984B34" w:rsidRPr="009E686F" w:rsidRDefault="00984B34" w:rsidP="00984B34">
            <w:pPr>
              <w:spacing w:after="0"/>
              <w:jc w:val="both"/>
              <w:rPr>
                <w:rFonts w:ascii="Times New Roman" w:hAnsi="Times New Roman" w:cs="Times New Roman"/>
              </w:rPr>
            </w:pPr>
            <w:r w:rsidRPr="009E686F">
              <w:rPr>
                <w:rFonts w:ascii="Times New Roman" w:hAnsi="Times New Roman" w:cs="Times New Roman"/>
                <w:lang w:val="it-CH"/>
              </w:rPr>
              <w:t xml:space="preserve">(2) Pentru exercitarea atribuţiilor lor de supraveghere pe bază individuală şi/sau consolidată în sensul prevederilor prezentei legi şi ale actelor normative emise în aplicarea acestora, Banca Naţională a Moldovei şi Comisia Naţională a Pieţei Financiare îşi furnizează, la cerere, toate informaţiile relevante şi, din oficiu, toate informaţiile esenţiale. </w:t>
            </w:r>
            <w:r w:rsidRPr="009E686F">
              <w:rPr>
                <w:rFonts w:ascii="Times New Roman" w:hAnsi="Times New Roman" w:cs="Times New Roman"/>
              </w:rPr>
              <w:t xml:space="preserve">Prevederile art.113 se aplică în mod corespunzător. </w:t>
            </w:r>
          </w:p>
          <w:p w14:paraId="13EF6742" w14:textId="77777777" w:rsidR="00984B34" w:rsidRPr="009E686F" w:rsidRDefault="00984B34" w:rsidP="00984B34">
            <w:pPr>
              <w:spacing w:after="0"/>
              <w:jc w:val="both"/>
              <w:rPr>
                <w:rFonts w:ascii="Times New Roman" w:hAnsi="Times New Roman" w:cs="Times New Roman"/>
                <w:lang w:val="ro-RO"/>
              </w:rPr>
            </w:pPr>
          </w:p>
        </w:tc>
        <w:tc>
          <w:tcPr>
            <w:tcW w:w="470" w:type="pct"/>
            <w:tcBorders>
              <w:top w:val="single" w:sz="4" w:space="0" w:color="auto"/>
              <w:left w:val="single" w:sz="4" w:space="0" w:color="auto"/>
              <w:bottom w:val="single" w:sz="4" w:space="0" w:color="auto"/>
              <w:right w:val="single" w:sz="4" w:space="0" w:color="auto"/>
            </w:tcBorders>
          </w:tcPr>
          <w:p w14:paraId="62590573" w14:textId="62FCF73E"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0C32E8A5" w14:textId="38D66056"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cu specific național din Legea nr. 202/2017 pentru asigurarea implementării unei colaborări eficiente cu CNPF – autoritatea de supraveghere a activității firmelor de investiții, atât în cadrul supravegherii la nivel individual, cât și la nivel consolidat.</w:t>
            </w:r>
          </w:p>
        </w:tc>
      </w:tr>
      <w:tr w:rsidR="00984B34" w:rsidRPr="009E686F" w14:paraId="1B39C4A8" w14:textId="6AB84F59" w:rsidTr="00774F3E">
        <w:tc>
          <w:tcPr>
            <w:tcW w:w="1796" w:type="pct"/>
            <w:gridSpan w:val="2"/>
            <w:tcBorders>
              <w:top w:val="single" w:sz="4" w:space="0" w:color="auto"/>
              <w:left w:val="single" w:sz="4" w:space="0" w:color="auto"/>
              <w:bottom w:val="single" w:sz="4" w:space="0" w:color="auto"/>
              <w:right w:val="single" w:sz="4" w:space="0" w:color="auto"/>
            </w:tcBorders>
          </w:tcPr>
          <w:p w14:paraId="749D9560"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Autoritățile competente cooperează cu ABE în sensul prezentei directive și al Regulamentului (UE) nr. 575/2013, în conformitate cu Regulamentul (UE) nr. 1093/2010. </w:t>
            </w:r>
          </w:p>
          <w:p w14:paraId="720FEDC5" w14:textId="5C787A2F"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Autoritățile competente furnizează ABE toate informațiile necesare pentru îndeplinirea sarcinilor care îi revin în temeiul prezentei directive, al Regulamentului (UE) nr. 575/2013 și al Regulamentului (UE) nr. 1093/2010, în conformitate cu articolul 35 din Regulamentul (UE) nr. 1093/2010.</w:t>
            </w:r>
          </w:p>
        </w:tc>
        <w:tc>
          <w:tcPr>
            <w:tcW w:w="1928" w:type="pct"/>
            <w:gridSpan w:val="3"/>
            <w:tcBorders>
              <w:top w:val="single" w:sz="4" w:space="0" w:color="auto"/>
              <w:left w:val="single" w:sz="4" w:space="0" w:color="auto"/>
              <w:bottom w:val="single" w:sz="4" w:space="0" w:color="auto"/>
              <w:right w:val="single" w:sz="4" w:space="0" w:color="auto"/>
            </w:tcBorders>
          </w:tcPr>
          <w:p w14:paraId="68CCCBAA" w14:textId="46961357" w:rsidR="00984B34" w:rsidRPr="009E686F" w:rsidRDefault="00984B34" w:rsidP="00984B34">
            <w:pPr>
              <w:spacing w:after="0"/>
              <w:jc w:val="both"/>
              <w:rPr>
                <w:rFonts w:ascii="Times New Roman" w:hAnsi="Times New Roman" w:cs="Times New Roman"/>
                <w:b/>
                <w:i/>
                <w:iCs/>
                <w:lang w:val="ro-RO"/>
              </w:rPr>
            </w:pPr>
            <w:r w:rsidRPr="009E686F">
              <w:rPr>
                <w:rFonts w:ascii="Times New Roman" w:eastAsia="Aptos" w:hAnsi="Times New Roman" w:cs="Times New Roman"/>
                <w:i/>
                <w:iCs/>
                <w:kern w:val="2"/>
                <w:lang w:val="ro-MD"/>
              </w:rPr>
              <w:t>(8) Banca Națională a Moldovei cooperează cu Autoritatea Bancară Europeană în sensul prezentei legi și al Regulamentului (UE) nr. 575/2013, în conformitate cu Regulamentul (UE) nr. 1093/2010 și furnizează acesteia toate informațiile necesare pentru îndeplinirea sancțiunilor care îi revin în temeiul Directivei 2013/36/UE, al Regulamentului (UE) nr. 575/2013 și al Regulamentului (UE) nr. 1093/2010, în conformitate cu articolul 35 din Regulamentul (UE) nr. 1093/2010.</w:t>
            </w:r>
          </w:p>
        </w:tc>
        <w:tc>
          <w:tcPr>
            <w:tcW w:w="470" w:type="pct"/>
            <w:tcBorders>
              <w:top w:val="single" w:sz="4" w:space="0" w:color="auto"/>
              <w:left w:val="single" w:sz="4" w:space="0" w:color="auto"/>
              <w:bottom w:val="single" w:sz="4" w:space="0" w:color="auto"/>
              <w:right w:val="single" w:sz="4" w:space="0" w:color="auto"/>
            </w:tcBorders>
          </w:tcPr>
          <w:p w14:paraId="13AE27CE" w14:textId="4E2D63F6"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2E12066E" w14:textId="77777777" w:rsidR="00984B34" w:rsidRPr="009E686F" w:rsidRDefault="00984B34" w:rsidP="00984B34">
            <w:pPr>
              <w:jc w:val="both"/>
              <w:rPr>
                <w:rFonts w:ascii="Times New Roman" w:hAnsi="Times New Roman" w:cs="Times New Roman"/>
                <w:lang w:val="ro-RO"/>
              </w:rPr>
            </w:pPr>
          </w:p>
        </w:tc>
      </w:tr>
      <w:tr w:rsidR="00984B34" w:rsidRPr="009E686F" w14:paraId="6806947C" w14:textId="1E1178DD" w:rsidTr="00774F3E">
        <w:tc>
          <w:tcPr>
            <w:tcW w:w="1796" w:type="pct"/>
            <w:gridSpan w:val="2"/>
            <w:tcBorders>
              <w:top w:val="single" w:sz="4" w:space="0" w:color="auto"/>
              <w:left w:val="single" w:sz="4" w:space="0" w:color="auto"/>
              <w:bottom w:val="single" w:sz="4" w:space="0" w:color="auto"/>
              <w:right w:val="single" w:sz="4" w:space="0" w:color="auto"/>
            </w:tcBorders>
          </w:tcPr>
          <w:p w14:paraId="4BB9C708"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Informațiile menționate la primul paragraf sunt considerate esențiale în cazul în care pot avea un impact important asupra evaluării solidității financiare a unei instituții sau a unei instituții financiare dintr-un alt stat membru. </w:t>
            </w:r>
          </w:p>
        </w:tc>
        <w:tc>
          <w:tcPr>
            <w:tcW w:w="1928" w:type="pct"/>
            <w:gridSpan w:val="3"/>
            <w:tcBorders>
              <w:top w:val="single" w:sz="4" w:space="0" w:color="auto"/>
              <w:left w:val="single" w:sz="4" w:space="0" w:color="auto"/>
              <w:bottom w:val="single" w:sz="4" w:space="0" w:color="auto"/>
              <w:right w:val="single" w:sz="4" w:space="0" w:color="auto"/>
            </w:tcBorders>
          </w:tcPr>
          <w:p w14:paraId="1C46DB61" w14:textId="7B152356" w:rsidR="00984B34" w:rsidRPr="009E686F" w:rsidRDefault="00984B34" w:rsidP="00984B34">
            <w:pPr>
              <w:spacing w:after="0"/>
              <w:jc w:val="both"/>
              <w:rPr>
                <w:rFonts w:ascii="Times New Roman" w:hAnsi="Times New Roman" w:cs="Times New Roman"/>
                <w:b/>
                <w:lang w:val="ro-RO"/>
              </w:rPr>
            </w:pPr>
            <w:r w:rsidRPr="009E686F">
              <w:rPr>
                <w:rFonts w:ascii="Times New Roman" w:eastAsia="Aptos" w:hAnsi="Times New Roman" w:cs="Times New Roman"/>
                <w:kern w:val="2"/>
                <w:lang w:val="ro-MD"/>
              </w:rPr>
              <w:t xml:space="preserve">(2) Informaţiile prevăzute la alin.(1) sînt considerate esenţiale dacă pot influenţa în mod semnificativ evaluarea stabilităţii financiare a unei </w:t>
            </w:r>
            <w:r w:rsidRPr="009E686F">
              <w:rPr>
                <w:rFonts w:ascii="Times New Roman" w:eastAsia="Aptos" w:hAnsi="Times New Roman" w:cs="Times New Roman"/>
                <w:i/>
                <w:iCs/>
                <w:kern w:val="2"/>
                <w:lang w:val="ro-MD"/>
              </w:rPr>
              <w:t>instituții de credit</w:t>
            </w:r>
            <w:r w:rsidRPr="009E686F">
              <w:rPr>
                <w:rFonts w:ascii="Times New Roman" w:eastAsia="Aptos" w:hAnsi="Times New Roman" w:cs="Times New Roman"/>
                <w:kern w:val="2"/>
                <w:lang w:val="ro-MD"/>
              </w:rPr>
              <w:t>/societăţi de investiţii sau a unei instituții financiare dintr-un stat terț.</w:t>
            </w:r>
          </w:p>
        </w:tc>
        <w:tc>
          <w:tcPr>
            <w:tcW w:w="470" w:type="pct"/>
            <w:tcBorders>
              <w:top w:val="single" w:sz="4" w:space="0" w:color="auto"/>
              <w:left w:val="single" w:sz="4" w:space="0" w:color="auto"/>
              <w:bottom w:val="single" w:sz="4" w:space="0" w:color="auto"/>
              <w:right w:val="single" w:sz="4" w:space="0" w:color="auto"/>
            </w:tcBorders>
          </w:tcPr>
          <w:p w14:paraId="655AD0BB" w14:textId="7DF5ACF4"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13E31551" w14:textId="77777777" w:rsidR="00984B34" w:rsidRPr="009E686F" w:rsidRDefault="00984B34" w:rsidP="00984B34">
            <w:pPr>
              <w:jc w:val="both"/>
              <w:rPr>
                <w:rFonts w:ascii="Times New Roman" w:hAnsi="Times New Roman" w:cs="Times New Roman"/>
                <w:lang w:val="ro-RO"/>
              </w:rPr>
            </w:pPr>
          </w:p>
        </w:tc>
      </w:tr>
      <w:tr w:rsidR="00984B34" w:rsidRPr="009E686F" w14:paraId="23F66EF9" w14:textId="52FE7A2C" w:rsidTr="00774F3E">
        <w:tc>
          <w:tcPr>
            <w:tcW w:w="1796" w:type="pct"/>
            <w:gridSpan w:val="2"/>
            <w:tcBorders>
              <w:top w:val="single" w:sz="4" w:space="0" w:color="auto"/>
              <w:left w:val="single" w:sz="4" w:space="0" w:color="auto"/>
              <w:bottom w:val="single" w:sz="4" w:space="0" w:color="auto"/>
              <w:right w:val="single" w:sz="4" w:space="0" w:color="auto"/>
            </w:tcBorders>
          </w:tcPr>
          <w:p w14:paraId="1DE39DD3"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În special, autoritățile responsabile cu supravegherea consolidată a instituțiilor-mamă din UE și a instituțiilor controlate de societăți financiare holding-mamă din UE sau de societăți financiare holding mixte-mamă din UE transmit autorităților competente din alte state membre, responsabile cu supravegherea filialelor întreprinderilor-mamă respective, toate informațiile relevante. Pentru stabilirea sferei informațiilor relevante, se ține seama de importanța filialelor respective în cadrul sistemului financiar al statelor membre în cauză. </w:t>
            </w:r>
          </w:p>
        </w:tc>
        <w:tc>
          <w:tcPr>
            <w:tcW w:w="1928" w:type="pct"/>
            <w:gridSpan w:val="3"/>
            <w:tcBorders>
              <w:top w:val="single" w:sz="4" w:space="0" w:color="auto"/>
              <w:left w:val="single" w:sz="4" w:space="0" w:color="auto"/>
              <w:bottom w:val="single" w:sz="4" w:space="0" w:color="auto"/>
              <w:right w:val="single" w:sz="4" w:space="0" w:color="auto"/>
            </w:tcBorders>
          </w:tcPr>
          <w:p w14:paraId="37B6E777" w14:textId="1029B922" w:rsidR="00984B34" w:rsidRPr="009E686F" w:rsidRDefault="00984B34" w:rsidP="00984B34">
            <w:pPr>
              <w:spacing w:after="0"/>
              <w:jc w:val="both"/>
              <w:rPr>
                <w:rFonts w:ascii="Times New Roman" w:hAnsi="Times New Roman" w:cs="Times New Roman"/>
                <w:b/>
                <w:i/>
                <w:iCs/>
                <w:lang w:val="ro-RO"/>
              </w:rPr>
            </w:pPr>
            <w:r w:rsidRPr="009E686F">
              <w:rPr>
                <w:rFonts w:ascii="Times New Roman" w:eastAsia="Aptos" w:hAnsi="Times New Roman" w:cs="Times New Roman"/>
                <w:i/>
                <w:iCs/>
                <w:kern w:val="2"/>
                <w:lang w:val="ro-MD"/>
              </w:rPr>
              <w:t>(9) Banca Națională a Moldovei, în calitate de autoritate responsabilă cu supravegherea consolidată a instituțiilor</w:t>
            </w:r>
            <w:r w:rsidR="00234E47" w:rsidRPr="009E686F">
              <w:rPr>
                <w:rFonts w:ascii="Times New Roman" w:eastAsia="Aptos" w:hAnsi="Times New Roman" w:cs="Times New Roman"/>
                <w:i/>
                <w:iCs/>
                <w:kern w:val="2"/>
                <w:lang w:val="ro-MD"/>
              </w:rPr>
              <w:t xml:space="preserve"> de credit</w:t>
            </w:r>
            <w:r w:rsidRPr="009E686F">
              <w:rPr>
                <w:rFonts w:ascii="Times New Roman" w:eastAsia="Aptos" w:hAnsi="Times New Roman" w:cs="Times New Roman"/>
                <w:i/>
                <w:iCs/>
                <w:kern w:val="2"/>
                <w:lang w:val="ro-MD"/>
              </w:rPr>
              <w:t xml:space="preserve">-mamă din </w:t>
            </w:r>
            <w:r w:rsidR="00234E47" w:rsidRPr="009E686F">
              <w:rPr>
                <w:rFonts w:ascii="Times New Roman" w:eastAsia="Aptos" w:hAnsi="Times New Roman" w:cs="Times New Roman"/>
                <w:i/>
                <w:iCs/>
                <w:kern w:val="2"/>
                <w:lang w:val="ro-MD"/>
              </w:rPr>
              <w:t xml:space="preserve">Uniunea Europeană </w:t>
            </w:r>
            <w:r w:rsidRPr="009E686F">
              <w:rPr>
                <w:rFonts w:ascii="Times New Roman" w:eastAsia="Aptos" w:hAnsi="Times New Roman" w:cs="Times New Roman"/>
                <w:i/>
                <w:iCs/>
                <w:kern w:val="2"/>
                <w:lang w:val="ro-MD"/>
              </w:rPr>
              <w:t xml:space="preserve">și a instituțiilor de credit controlate de societăți financiare holding-mamă din </w:t>
            </w:r>
            <w:r w:rsidR="00234E47" w:rsidRPr="009E686F">
              <w:rPr>
                <w:rFonts w:ascii="Times New Roman" w:eastAsia="Aptos" w:hAnsi="Times New Roman" w:cs="Times New Roman"/>
                <w:i/>
                <w:iCs/>
                <w:kern w:val="2"/>
                <w:lang w:val="ro-MD"/>
              </w:rPr>
              <w:t xml:space="preserve">Uniunea Europeană </w:t>
            </w:r>
            <w:r w:rsidRPr="009E686F">
              <w:rPr>
                <w:rFonts w:ascii="Times New Roman" w:eastAsia="Aptos" w:hAnsi="Times New Roman" w:cs="Times New Roman"/>
                <w:i/>
                <w:iCs/>
                <w:kern w:val="2"/>
                <w:lang w:val="ro-MD"/>
              </w:rPr>
              <w:t xml:space="preserve">sau de societăți financiare holding mixte-mamă din </w:t>
            </w:r>
            <w:r w:rsidR="00234E47" w:rsidRPr="009E686F">
              <w:rPr>
                <w:rFonts w:ascii="Times New Roman" w:eastAsia="Aptos" w:hAnsi="Times New Roman" w:cs="Times New Roman"/>
                <w:i/>
                <w:iCs/>
                <w:kern w:val="2"/>
                <w:lang w:val="ro-MD"/>
              </w:rPr>
              <w:t xml:space="preserve">Uniunea Europeană </w:t>
            </w:r>
            <w:r w:rsidRPr="009E686F">
              <w:rPr>
                <w:rFonts w:ascii="Times New Roman" w:eastAsia="Aptos" w:hAnsi="Times New Roman" w:cs="Times New Roman"/>
                <w:i/>
                <w:iCs/>
                <w:kern w:val="2"/>
                <w:lang w:val="ro-MD"/>
              </w:rPr>
              <w:t>transmite autorităților competente din alte state membre, responsabile cu supravegherea filialelor întreprinderilor-mamă respective, toate informațiile relevante. Pentru stabilirea sferei informațiilor relevante, se ține seama de importanța filialelor respective în cadrul sistemului financiar al statelor membre în cauză.</w:t>
            </w:r>
          </w:p>
        </w:tc>
        <w:tc>
          <w:tcPr>
            <w:tcW w:w="470" w:type="pct"/>
            <w:tcBorders>
              <w:top w:val="single" w:sz="4" w:space="0" w:color="auto"/>
              <w:left w:val="single" w:sz="4" w:space="0" w:color="auto"/>
              <w:bottom w:val="single" w:sz="4" w:space="0" w:color="auto"/>
              <w:right w:val="single" w:sz="4" w:space="0" w:color="auto"/>
            </w:tcBorders>
          </w:tcPr>
          <w:p w14:paraId="7EDA9E43" w14:textId="6779A4F8"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12DF5DEB" w14:textId="77777777" w:rsidR="00984B34" w:rsidRPr="009E686F" w:rsidRDefault="00984B34" w:rsidP="00984B34">
            <w:pPr>
              <w:jc w:val="both"/>
              <w:rPr>
                <w:rFonts w:ascii="Times New Roman" w:hAnsi="Times New Roman" w:cs="Times New Roman"/>
                <w:lang w:val="ro-RO"/>
              </w:rPr>
            </w:pPr>
          </w:p>
        </w:tc>
      </w:tr>
      <w:tr w:rsidR="00984B34" w:rsidRPr="009E686F" w14:paraId="1EA4B877" w14:textId="656655DD" w:rsidTr="00774F3E">
        <w:tc>
          <w:tcPr>
            <w:tcW w:w="1796" w:type="pct"/>
            <w:gridSpan w:val="2"/>
            <w:tcBorders>
              <w:top w:val="single" w:sz="4" w:space="0" w:color="auto"/>
              <w:left w:val="single" w:sz="4" w:space="0" w:color="auto"/>
              <w:bottom w:val="single" w:sz="4" w:space="0" w:color="auto"/>
              <w:right w:val="single" w:sz="4" w:space="0" w:color="auto"/>
            </w:tcBorders>
          </w:tcPr>
          <w:p w14:paraId="265D990D"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Informațiile esențiale menționate la primul paragraf includ în special următoarele elemente:</w:t>
            </w:r>
          </w:p>
        </w:tc>
        <w:tc>
          <w:tcPr>
            <w:tcW w:w="1928" w:type="pct"/>
            <w:gridSpan w:val="3"/>
            <w:tcBorders>
              <w:top w:val="single" w:sz="4" w:space="0" w:color="auto"/>
              <w:left w:val="single" w:sz="4" w:space="0" w:color="auto"/>
              <w:bottom w:val="single" w:sz="4" w:space="0" w:color="auto"/>
              <w:right w:val="single" w:sz="4" w:space="0" w:color="auto"/>
            </w:tcBorders>
          </w:tcPr>
          <w:p w14:paraId="7E1512D5"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(3) Informaţiile esenţiale la care se referă alin. (2) includ, în special, următoarele elemente: </w:t>
            </w:r>
          </w:p>
        </w:tc>
        <w:tc>
          <w:tcPr>
            <w:tcW w:w="470" w:type="pct"/>
            <w:tcBorders>
              <w:top w:val="single" w:sz="4" w:space="0" w:color="auto"/>
              <w:left w:val="single" w:sz="4" w:space="0" w:color="auto"/>
              <w:bottom w:val="single" w:sz="4" w:space="0" w:color="auto"/>
              <w:right w:val="single" w:sz="4" w:space="0" w:color="auto"/>
            </w:tcBorders>
          </w:tcPr>
          <w:p w14:paraId="09806B65" w14:textId="40BAB3CE"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3700BEFC" w14:textId="77777777" w:rsidR="00984B34" w:rsidRPr="009E686F" w:rsidRDefault="00984B34" w:rsidP="00984B34">
            <w:pPr>
              <w:jc w:val="both"/>
              <w:rPr>
                <w:rFonts w:ascii="Times New Roman" w:hAnsi="Times New Roman" w:cs="Times New Roman"/>
                <w:lang w:val="ro-RO"/>
              </w:rPr>
            </w:pPr>
          </w:p>
        </w:tc>
      </w:tr>
      <w:tr w:rsidR="00984B34" w:rsidRPr="009E686F" w14:paraId="0803B03F" w14:textId="657A3218" w:rsidTr="00774F3E">
        <w:tc>
          <w:tcPr>
            <w:tcW w:w="1796" w:type="pct"/>
            <w:gridSpan w:val="2"/>
            <w:tcBorders>
              <w:top w:val="single" w:sz="4" w:space="0" w:color="auto"/>
              <w:left w:val="single" w:sz="4" w:space="0" w:color="auto"/>
              <w:bottom w:val="single" w:sz="4" w:space="0" w:color="auto"/>
              <w:right w:val="single" w:sz="4" w:space="0" w:color="auto"/>
            </w:tcBorders>
          </w:tcPr>
          <w:p w14:paraId="7516BDD2" w14:textId="06D7E106"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(a) identificarea structurii juridice a grupului, precum și a structurii de guvernanță, care include structura organizațională, acoperind toate entitățile reglementate, entitățile nereglementate, filialele nereglementate și sucursalele semnificative care aparțin grupului, </w:t>
            </w:r>
            <w:r w:rsidRPr="009E686F">
              <w:rPr>
                <w:rFonts w:ascii="Times New Roman" w:hAnsi="Times New Roman" w:cs="Times New Roman"/>
                <w:lang w:val="ro-RO"/>
              </w:rPr>
              <w:lastRenderedPageBreak/>
              <w:t>întreprinderile-mamă, în conformitate cu articolul 14 alineatul (3), articolul 74 alineatul (1) și articolul 109 alineatul (2), precum și autoritățile competente pentru entitățile reglementate din cadrul grupului vizat;</w:t>
            </w:r>
          </w:p>
        </w:tc>
        <w:tc>
          <w:tcPr>
            <w:tcW w:w="1928" w:type="pct"/>
            <w:gridSpan w:val="3"/>
            <w:tcBorders>
              <w:top w:val="single" w:sz="4" w:space="0" w:color="auto"/>
              <w:left w:val="single" w:sz="4" w:space="0" w:color="auto"/>
              <w:bottom w:val="single" w:sz="4" w:space="0" w:color="auto"/>
              <w:right w:val="single" w:sz="4" w:space="0" w:color="auto"/>
            </w:tcBorders>
          </w:tcPr>
          <w:p w14:paraId="4B7CB246" w14:textId="77777777" w:rsidR="00984B34" w:rsidRPr="009E686F" w:rsidRDefault="00984B34" w:rsidP="00984B34">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lastRenderedPageBreak/>
              <w:t xml:space="preserve">a) identificarea structurii juridice, de guvernanţă şi organizatorice a grupului, inclusiv a tuturor entităţilor între care există legături strînse, respectiv a entităţilor reglementate şi nereglementate şi a filialelor nereglementate din cadrul </w:t>
            </w:r>
            <w:r w:rsidRPr="009E686F">
              <w:rPr>
                <w:rFonts w:ascii="Times New Roman" w:eastAsia="Aptos" w:hAnsi="Times New Roman" w:cs="Times New Roman"/>
                <w:kern w:val="2"/>
                <w:lang w:val="ro-MD"/>
              </w:rPr>
              <w:lastRenderedPageBreak/>
              <w:t>grupului, precum şi a întreprinderilor-mamă, cu aplicarea prevederilor art. 12 alin.(6), art. 38 şi art. 59 alin.(2)–(4), precum şi a autorităţilor competente ale entităţilor reglementate din grup;</w:t>
            </w:r>
          </w:p>
          <w:p w14:paraId="5035880A" w14:textId="1690336A"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30B0C1B3" w14:textId="298AD0F4"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7B9136B0" w14:textId="77777777" w:rsidR="00984B34" w:rsidRPr="009E686F" w:rsidRDefault="00984B34" w:rsidP="00984B34">
            <w:pPr>
              <w:jc w:val="both"/>
              <w:rPr>
                <w:rFonts w:ascii="Times New Roman" w:hAnsi="Times New Roman" w:cs="Times New Roman"/>
                <w:lang w:val="ro-RO"/>
              </w:rPr>
            </w:pPr>
          </w:p>
        </w:tc>
      </w:tr>
      <w:tr w:rsidR="00984B34" w:rsidRPr="009E686F" w14:paraId="62D36A19" w14:textId="14447BB8" w:rsidTr="00774F3E">
        <w:tc>
          <w:tcPr>
            <w:tcW w:w="1796" w:type="pct"/>
            <w:gridSpan w:val="2"/>
            <w:tcBorders>
              <w:top w:val="single" w:sz="4" w:space="0" w:color="auto"/>
              <w:left w:val="single" w:sz="4" w:space="0" w:color="auto"/>
              <w:bottom w:val="single" w:sz="4" w:space="0" w:color="auto"/>
              <w:right w:val="single" w:sz="4" w:space="0" w:color="auto"/>
            </w:tcBorders>
          </w:tcPr>
          <w:p w14:paraId="0D677B93" w14:textId="2AF79BB5"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(b) procedurile de colectare de informații de la instituțiile dintr-un grup și verificarea informațiilor;</w:t>
            </w:r>
          </w:p>
        </w:tc>
        <w:tc>
          <w:tcPr>
            <w:tcW w:w="1928" w:type="pct"/>
            <w:gridSpan w:val="3"/>
            <w:tcBorders>
              <w:top w:val="single" w:sz="4" w:space="0" w:color="auto"/>
              <w:left w:val="single" w:sz="4" w:space="0" w:color="auto"/>
              <w:bottom w:val="single" w:sz="4" w:space="0" w:color="auto"/>
              <w:right w:val="single" w:sz="4" w:space="0" w:color="auto"/>
            </w:tcBorders>
          </w:tcPr>
          <w:p w14:paraId="6FE36122" w14:textId="675DC3F8" w:rsidR="00984B34" w:rsidRPr="009E686F" w:rsidRDefault="00984B34" w:rsidP="00984B34">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 xml:space="preserve">b) procedurile pentru colectarea informaţiilor de la </w:t>
            </w:r>
            <w:r w:rsidRPr="009E686F">
              <w:rPr>
                <w:rFonts w:ascii="Times New Roman" w:eastAsia="Aptos" w:hAnsi="Times New Roman" w:cs="Times New Roman"/>
                <w:i/>
                <w:iCs/>
                <w:kern w:val="2"/>
                <w:lang w:val="ro-MD"/>
              </w:rPr>
              <w:t>instituțiile de credit</w:t>
            </w:r>
            <w:r w:rsidRPr="009E686F">
              <w:rPr>
                <w:rFonts w:ascii="Times New Roman" w:eastAsia="Aptos" w:hAnsi="Times New Roman" w:cs="Times New Roman"/>
                <w:kern w:val="2"/>
                <w:lang w:val="ro-MD"/>
              </w:rPr>
              <w:t>/societăţile de investiţii din grup şi pentru verificarea acestor informaţii;</w:t>
            </w:r>
          </w:p>
          <w:p w14:paraId="5184B6BE" w14:textId="6EF045EE"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6B637D86" w14:textId="4D7EF682"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54537EE5" w14:textId="77777777" w:rsidR="00984B34" w:rsidRPr="009E686F" w:rsidRDefault="00984B34" w:rsidP="00984B34">
            <w:pPr>
              <w:jc w:val="both"/>
              <w:rPr>
                <w:rFonts w:ascii="Times New Roman" w:hAnsi="Times New Roman" w:cs="Times New Roman"/>
                <w:lang w:val="ro-RO"/>
              </w:rPr>
            </w:pPr>
          </w:p>
        </w:tc>
      </w:tr>
      <w:tr w:rsidR="00984B34" w:rsidRPr="009E686F" w14:paraId="022C0D86" w14:textId="2F678B56" w:rsidTr="00774F3E">
        <w:tc>
          <w:tcPr>
            <w:tcW w:w="1796" w:type="pct"/>
            <w:gridSpan w:val="2"/>
            <w:tcBorders>
              <w:top w:val="single" w:sz="4" w:space="0" w:color="auto"/>
              <w:left w:val="single" w:sz="4" w:space="0" w:color="auto"/>
              <w:bottom w:val="single" w:sz="4" w:space="0" w:color="auto"/>
              <w:right w:val="single" w:sz="4" w:space="0" w:color="auto"/>
            </w:tcBorders>
          </w:tcPr>
          <w:p w14:paraId="2ED5EA0E" w14:textId="6C38B2DC"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(c) evoluțiile negative înregistrate de instituții sau de alte entități dintr-un grup, care ar putea afecta grav instituțiile;</w:t>
            </w:r>
          </w:p>
        </w:tc>
        <w:tc>
          <w:tcPr>
            <w:tcW w:w="1928" w:type="pct"/>
            <w:gridSpan w:val="3"/>
            <w:tcBorders>
              <w:top w:val="single" w:sz="4" w:space="0" w:color="auto"/>
              <w:left w:val="single" w:sz="4" w:space="0" w:color="auto"/>
              <w:bottom w:val="single" w:sz="4" w:space="0" w:color="auto"/>
              <w:right w:val="single" w:sz="4" w:space="0" w:color="auto"/>
            </w:tcBorders>
          </w:tcPr>
          <w:p w14:paraId="3F0A1622" w14:textId="34325C4B" w:rsidR="00984B34" w:rsidRPr="009E686F" w:rsidRDefault="00984B34" w:rsidP="00984B34">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 xml:space="preserve">c) evoluţiile nefavorabile în cadrul </w:t>
            </w:r>
            <w:r w:rsidRPr="009E686F">
              <w:rPr>
                <w:rFonts w:ascii="Times New Roman" w:eastAsia="Aptos" w:hAnsi="Times New Roman" w:cs="Times New Roman"/>
                <w:i/>
                <w:iCs/>
                <w:kern w:val="2"/>
                <w:lang w:val="ro-MD"/>
              </w:rPr>
              <w:t>instituțiilor de credit</w:t>
            </w:r>
            <w:r w:rsidRPr="009E686F">
              <w:rPr>
                <w:rFonts w:ascii="Times New Roman" w:eastAsia="Aptos" w:hAnsi="Times New Roman" w:cs="Times New Roman"/>
                <w:kern w:val="2"/>
                <w:lang w:val="ro-MD"/>
              </w:rPr>
              <w:t xml:space="preserve">  sau în cadrul altor entităţi din grup, care ar putea afecta în mod semnificativ </w:t>
            </w:r>
            <w:r w:rsidRPr="009E686F">
              <w:rPr>
                <w:rFonts w:ascii="Times New Roman" w:eastAsia="Aptos" w:hAnsi="Times New Roman" w:cs="Times New Roman"/>
                <w:i/>
                <w:iCs/>
                <w:kern w:val="2"/>
                <w:lang w:val="ro-MD"/>
              </w:rPr>
              <w:t>instituțiile de credit</w:t>
            </w:r>
            <w:r w:rsidRPr="009E686F">
              <w:rPr>
                <w:rFonts w:ascii="Times New Roman" w:eastAsia="Aptos" w:hAnsi="Times New Roman" w:cs="Times New Roman"/>
                <w:kern w:val="2"/>
                <w:lang w:val="ro-MD"/>
              </w:rPr>
              <w:t>/societăţile de investiţii din cadrul grupului;</w:t>
            </w:r>
          </w:p>
          <w:p w14:paraId="715238FE" w14:textId="0A07DF4B"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7A614F4C" w14:textId="1AC3B936"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5682B8F3" w14:textId="77777777" w:rsidR="00984B34" w:rsidRPr="009E686F" w:rsidRDefault="00984B34" w:rsidP="00984B34">
            <w:pPr>
              <w:jc w:val="both"/>
              <w:rPr>
                <w:rFonts w:ascii="Times New Roman" w:hAnsi="Times New Roman" w:cs="Times New Roman"/>
                <w:lang w:val="ro-RO"/>
              </w:rPr>
            </w:pPr>
          </w:p>
        </w:tc>
      </w:tr>
      <w:tr w:rsidR="00984B34" w:rsidRPr="009E686F" w14:paraId="70E3F0C3" w14:textId="209A0EE3" w:rsidTr="00774F3E">
        <w:tc>
          <w:tcPr>
            <w:tcW w:w="1796" w:type="pct"/>
            <w:gridSpan w:val="2"/>
            <w:tcBorders>
              <w:top w:val="single" w:sz="4" w:space="0" w:color="auto"/>
              <w:left w:val="single" w:sz="4" w:space="0" w:color="auto"/>
              <w:bottom w:val="single" w:sz="4" w:space="0" w:color="auto"/>
              <w:right w:val="single" w:sz="4" w:space="0" w:color="auto"/>
            </w:tcBorders>
          </w:tcPr>
          <w:p w14:paraId="42619B9E" w14:textId="30DA9F90"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(d) sancțiunile semnificative și măsurile excepționale luate de autoritățile competente în conformitate cu prezenta directivă, inclusiv impunerea unei cerințe specifice de fonduri proprii în temeiul articolului 104 și a unei limite privind utilizarea abordării avansate de evaluare pentru calcularea cerințelor de fonduri proprii în temeiul articolului 312 alineatul (2) din Regulamentul (UE) nr. 575/2013.</w:t>
            </w:r>
          </w:p>
        </w:tc>
        <w:tc>
          <w:tcPr>
            <w:tcW w:w="1928" w:type="pct"/>
            <w:gridSpan w:val="3"/>
            <w:tcBorders>
              <w:top w:val="single" w:sz="4" w:space="0" w:color="auto"/>
              <w:left w:val="single" w:sz="4" w:space="0" w:color="auto"/>
              <w:bottom w:val="single" w:sz="4" w:space="0" w:color="auto"/>
              <w:right w:val="single" w:sz="4" w:space="0" w:color="auto"/>
            </w:tcBorders>
          </w:tcPr>
          <w:p w14:paraId="3659F520" w14:textId="6B0DFF8F" w:rsidR="00984B34" w:rsidRPr="009E686F" w:rsidRDefault="00984B34" w:rsidP="00984B34">
            <w:pPr>
              <w:spacing w:after="0"/>
              <w:jc w:val="both"/>
              <w:rPr>
                <w:rFonts w:ascii="Times New Roman" w:hAnsi="Times New Roman" w:cs="Times New Roman"/>
                <w:b/>
                <w:lang w:val="ro-RO"/>
              </w:rPr>
            </w:pPr>
            <w:r w:rsidRPr="009E686F">
              <w:rPr>
                <w:rFonts w:ascii="Times New Roman" w:eastAsia="Aptos" w:hAnsi="Times New Roman" w:cs="Times New Roman"/>
                <w:kern w:val="2"/>
                <w:lang w:val="ro-MD"/>
              </w:rPr>
              <w:t>d) principalele sancţiuni şi măsurile excepţionale luate de autorităţile competente, inclusiv cele care constau în impunerea unei cerinţe suplimentare de fonduri proprii, precum şi în impunerea oricărei limitări în utilizarea abordării avansate de evaluare pentru calculul cerinţelor de fonduri proprii pentru acoperirea riscului operaţional.</w:t>
            </w:r>
          </w:p>
        </w:tc>
        <w:tc>
          <w:tcPr>
            <w:tcW w:w="470" w:type="pct"/>
            <w:tcBorders>
              <w:top w:val="single" w:sz="4" w:space="0" w:color="auto"/>
              <w:left w:val="single" w:sz="4" w:space="0" w:color="auto"/>
              <w:bottom w:val="single" w:sz="4" w:space="0" w:color="auto"/>
              <w:right w:val="single" w:sz="4" w:space="0" w:color="auto"/>
            </w:tcBorders>
          </w:tcPr>
          <w:p w14:paraId="341DA8DD" w14:textId="61A51A3E"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032D5534" w14:textId="77777777" w:rsidR="00984B34" w:rsidRPr="009E686F" w:rsidRDefault="00984B34" w:rsidP="00984B34">
            <w:pPr>
              <w:jc w:val="both"/>
              <w:rPr>
                <w:rFonts w:ascii="Times New Roman" w:hAnsi="Times New Roman" w:cs="Times New Roman"/>
                <w:lang w:val="ro-RO"/>
              </w:rPr>
            </w:pPr>
          </w:p>
        </w:tc>
      </w:tr>
      <w:tr w:rsidR="00984B34" w:rsidRPr="009E686F" w14:paraId="5C27B138" w14:textId="32B53BAE" w:rsidTr="00774F3E">
        <w:trPr>
          <w:trHeight w:val="2725"/>
        </w:trPr>
        <w:tc>
          <w:tcPr>
            <w:tcW w:w="1796" w:type="pct"/>
            <w:gridSpan w:val="2"/>
            <w:tcBorders>
              <w:top w:val="single" w:sz="4" w:space="0" w:color="auto"/>
              <w:left w:val="single" w:sz="4" w:space="0" w:color="auto"/>
              <w:right w:val="single" w:sz="4" w:space="0" w:color="auto"/>
            </w:tcBorders>
          </w:tcPr>
          <w:p w14:paraId="6E886E9C"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lastRenderedPageBreak/>
              <w:t>(2) Autoritățile competente pot sesiza ABE în oricare dintre următoarele situații:</w:t>
            </w:r>
          </w:p>
          <w:p w14:paraId="03084D83"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(a) o autoritate competentă nu a transmis informații esențiale;</w:t>
            </w:r>
          </w:p>
          <w:p w14:paraId="2100E29B" w14:textId="7092515C"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(b) o cerere de cooperare, în special în vederea schimbului de informații relevante, a fost respinsă sau nu a primit răspuns într-un termen rezonabil.</w:t>
            </w:r>
          </w:p>
        </w:tc>
        <w:tc>
          <w:tcPr>
            <w:tcW w:w="1928" w:type="pct"/>
            <w:gridSpan w:val="3"/>
            <w:tcBorders>
              <w:top w:val="single" w:sz="4" w:space="0" w:color="auto"/>
              <w:left w:val="single" w:sz="4" w:space="0" w:color="auto"/>
              <w:right w:val="single" w:sz="4" w:space="0" w:color="auto"/>
            </w:tcBorders>
          </w:tcPr>
          <w:p w14:paraId="17C69D10" w14:textId="77777777" w:rsidR="00984B34" w:rsidRPr="009E686F" w:rsidRDefault="00984B34" w:rsidP="00984B34">
            <w:pPr>
              <w:spacing w:after="0"/>
              <w:jc w:val="both"/>
              <w:rPr>
                <w:rFonts w:ascii="Times New Roman" w:hAnsi="Times New Roman" w:cs="Times New Roman"/>
                <w:bCs/>
                <w:i/>
                <w:iCs/>
                <w:lang w:val="ro-RO"/>
              </w:rPr>
            </w:pPr>
            <w:r w:rsidRPr="009E686F">
              <w:rPr>
                <w:rFonts w:ascii="Times New Roman" w:hAnsi="Times New Roman" w:cs="Times New Roman"/>
                <w:bCs/>
                <w:i/>
                <w:iCs/>
                <w:lang w:val="ro-RO"/>
              </w:rPr>
              <w:t>(10)   Banca Națională a Moldovei poate sesiza Autoritatea Bancară Europeană în oricare dintre următoarele situații:</w:t>
            </w:r>
          </w:p>
          <w:p w14:paraId="39843027" w14:textId="77777777" w:rsidR="00984B34" w:rsidRPr="009E686F" w:rsidRDefault="00984B34" w:rsidP="00984B34">
            <w:pPr>
              <w:spacing w:after="0"/>
              <w:jc w:val="both"/>
              <w:rPr>
                <w:rFonts w:ascii="Times New Roman" w:hAnsi="Times New Roman" w:cs="Times New Roman"/>
                <w:bCs/>
                <w:i/>
                <w:iCs/>
                <w:lang w:val="ro-RO"/>
              </w:rPr>
            </w:pPr>
            <w:r w:rsidRPr="009E686F">
              <w:rPr>
                <w:rFonts w:ascii="Times New Roman" w:hAnsi="Times New Roman" w:cs="Times New Roman"/>
                <w:bCs/>
                <w:i/>
                <w:iCs/>
                <w:lang w:val="ro-RO"/>
              </w:rPr>
              <w:t>a) o autoritate competentă nu a transmis informații esențiale;</w:t>
            </w:r>
          </w:p>
          <w:p w14:paraId="7DF6B8E6" w14:textId="1F380AA2" w:rsidR="00984B34" w:rsidRPr="009E686F" w:rsidRDefault="00984B34" w:rsidP="00984B34">
            <w:pPr>
              <w:spacing w:after="0"/>
              <w:jc w:val="both"/>
              <w:rPr>
                <w:rFonts w:ascii="Times New Roman" w:hAnsi="Times New Roman" w:cs="Times New Roman"/>
                <w:bCs/>
                <w:i/>
                <w:iCs/>
                <w:lang w:val="ro-RO"/>
              </w:rPr>
            </w:pPr>
            <w:r w:rsidRPr="009E686F">
              <w:rPr>
                <w:rFonts w:ascii="Times New Roman" w:hAnsi="Times New Roman" w:cs="Times New Roman"/>
                <w:bCs/>
                <w:i/>
                <w:iCs/>
                <w:lang w:val="ro-RO"/>
              </w:rPr>
              <w:t>b) o cerere de cooperare, în special în vederea schimbului de informații relevante, a fost respinsă sau nu a primit răspuns într-un termen rezonabil.</w:t>
            </w:r>
          </w:p>
        </w:tc>
        <w:tc>
          <w:tcPr>
            <w:tcW w:w="470" w:type="pct"/>
            <w:tcBorders>
              <w:top w:val="single" w:sz="4" w:space="0" w:color="auto"/>
              <w:left w:val="single" w:sz="4" w:space="0" w:color="auto"/>
              <w:right w:val="single" w:sz="4" w:space="0" w:color="auto"/>
            </w:tcBorders>
          </w:tcPr>
          <w:p w14:paraId="7D205346" w14:textId="51F10D6B"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 xml:space="preserve">Compatibil </w:t>
            </w:r>
          </w:p>
        </w:tc>
        <w:tc>
          <w:tcPr>
            <w:tcW w:w="806" w:type="pct"/>
            <w:tcBorders>
              <w:top w:val="single" w:sz="4" w:space="0" w:color="auto"/>
              <w:left w:val="single" w:sz="4" w:space="0" w:color="auto"/>
              <w:right w:val="single" w:sz="4" w:space="0" w:color="auto"/>
            </w:tcBorders>
          </w:tcPr>
          <w:p w14:paraId="5CD5F39E" w14:textId="279CA7DA" w:rsidR="00984B34" w:rsidRPr="009E686F" w:rsidRDefault="00984B34" w:rsidP="00984B34">
            <w:pPr>
              <w:jc w:val="both"/>
              <w:rPr>
                <w:rFonts w:ascii="Times New Roman" w:hAnsi="Times New Roman" w:cs="Times New Roman"/>
                <w:lang w:val="ro-RO"/>
              </w:rPr>
            </w:pPr>
          </w:p>
        </w:tc>
      </w:tr>
      <w:tr w:rsidR="00984B34" w:rsidRPr="009E686F" w14:paraId="64025021" w14:textId="5FF846EB" w:rsidTr="00774F3E">
        <w:tc>
          <w:tcPr>
            <w:tcW w:w="1796" w:type="pct"/>
            <w:gridSpan w:val="2"/>
            <w:tcBorders>
              <w:top w:val="single" w:sz="4" w:space="0" w:color="auto"/>
              <w:left w:val="single" w:sz="4" w:space="0" w:color="auto"/>
              <w:bottom w:val="single" w:sz="4" w:space="0" w:color="auto"/>
              <w:right w:val="single" w:sz="4" w:space="0" w:color="auto"/>
            </w:tcBorders>
          </w:tcPr>
          <w:p w14:paraId="681C1B6A"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Fără a aduce atingere dispozițiilor articolului 258 din TFUE, ABE poate acționa în conformitate cu competențele conferite acesteia în temeiul articolului 19 din Regulamentul (UE) nr. 1093/2010.</w:t>
            </w:r>
          </w:p>
          <w:p w14:paraId="0CCAA74D" w14:textId="195495EA"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ABE poate de asemenea acorda asistență din proprie inițiativă autorităților competente, în vederea dezvoltării unor practici de cooperare consecvente, în conformitate cu articolul 19 alineatul (1) al doilea paragraf din regulamentul menționat.</w:t>
            </w:r>
          </w:p>
        </w:tc>
        <w:tc>
          <w:tcPr>
            <w:tcW w:w="1928" w:type="pct"/>
            <w:gridSpan w:val="3"/>
            <w:tcBorders>
              <w:top w:val="single" w:sz="4" w:space="0" w:color="auto"/>
              <w:left w:val="single" w:sz="4" w:space="0" w:color="auto"/>
              <w:bottom w:val="single" w:sz="4" w:space="0" w:color="auto"/>
              <w:right w:val="single" w:sz="4" w:space="0" w:color="auto"/>
            </w:tcBorders>
          </w:tcPr>
          <w:p w14:paraId="502B3560"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24AB8B0E" w14:textId="470E44EE"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neaplicabile</w:t>
            </w:r>
            <w:r w:rsidRPr="009E686F" w:rsidDel="002639F1">
              <w:rPr>
                <w:rFonts w:ascii="Times New Roman" w:hAnsi="Times New Roman" w:cs="Times New Roman"/>
                <w:lang w:val="ro-RO"/>
              </w:rPr>
              <w:t xml:space="preserve"> </w:t>
            </w:r>
          </w:p>
        </w:tc>
        <w:tc>
          <w:tcPr>
            <w:tcW w:w="806" w:type="pct"/>
            <w:tcBorders>
              <w:top w:val="single" w:sz="4" w:space="0" w:color="auto"/>
              <w:left w:val="single" w:sz="4" w:space="0" w:color="auto"/>
              <w:bottom w:val="single" w:sz="4" w:space="0" w:color="auto"/>
              <w:right w:val="single" w:sz="4" w:space="0" w:color="auto"/>
            </w:tcBorders>
          </w:tcPr>
          <w:p w14:paraId="19B69288" w14:textId="0B67AADB"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Se referă la competențele ABE.</w:t>
            </w:r>
          </w:p>
        </w:tc>
      </w:tr>
      <w:tr w:rsidR="00984B34" w:rsidRPr="009E686F" w14:paraId="64306ABF" w14:textId="1CD526F5" w:rsidTr="00774F3E">
        <w:tc>
          <w:tcPr>
            <w:tcW w:w="1796" w:type="pct"/>
            <w:gridSpan w:val="2"/>
            <w:tcBorders>
              <w:top w:val="single" w:sz="4" w:space="0" w:color="auto"/>
              <w:left w:val="single" w:sz="4" w:space="0" w:color="auto"/>
              <w:bottom w:val="single" w:sz="4" w:space="0" w:color="auto"/>
              <w:right w:val="single" w:sz="4" w:space="0" w:color="auto"/>
            </w:tcBorders>
          </w:tcPr>
          <w:p w14:paraId="482857DE" w14:textId="6A23D58D"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(3) Autoritățile competente responsabile cu supravegherea instituțiilor controlate de o instituție-mamă din UE contactează, când situația o permite, autoritatea responsabilă cu supravegherea consolidată, în cazul în care au nevoie de informații privind punerea în aplicare a abordărilor și a metodologiilor prevăzute în prezenta directivă și în Regulamentul (UE) nr. 575/2013, care ar putea fi disponibile deja la autoritatea responsabilă cu supravegherea consolidată.</w:t>
            </w:r>
          </w:p>
        </w:tc>
        <w:tc>
          <w:tcPr>
            <w:tcW w:w="1928" w:type="pct"/>
            <w:gridSpan w:val="3"/>
            <w:tcBorders>
              <w:top w:val="single" w:sz="4" w:space="0" w:color="auto"/>
              <w:left w:val="single" w:sz="4" w:space="0" w:color="auto"/>
              <w:bottom w:val="single" w:sz="4" w:space="0" w:color="auto"/>
              <w:right w:val="single" w:sz="4" w:space="0" w:color="auto"/>
            </w:tcBorders>
          </w:tcPr>
          <w:p w14:paraId="2CA8FD2B" w14:textId="19FB6599" w:rsidR="00984B34" w:rsidRPr="009E686F" w:rsidRDefault="00984B34" w:rsidP="00984B34">
            <w:pPr>
              <w:spacing w:after="0"/>
              <w:jc w:val="both"/>
              <w:rPr>
                <w:rFonts w:ascii="Times New Roman" w:hAnsi="Times New Roman" w:cs="Times New Roman"/>
                <w:b/>
                <w:lang w:val="ro-RO"/>
              </w:rPr>
            </w:pPr>
            <w:r w:rsidRPr="009E686F">
              <w:rPr>
                <w:rFonts w:ascii="Times New Roman" w:eastAsia="Aptos" w:hAnsi="Times New Roman" w:cs="Times New Roman"/>
                <w:kern w:val="2"/>
                <w:lang w:val="ro-MD"/>
              </w:rPr>
              <w:t xml:space="preserve">(4) Banca Naţională a Moldovei, în calitate de autoritate competentă responsabilă cu supravegherea unei </w:t>
            </w:r>
            <w:r w:rsidRPr="009E686F">
              <w:rPr>
                <w:rFonts w:ascii="Times New Roman" w:eastAsia="Aptos" w:hAnsi="Times New Roman" w:cs="Times New Roman"/>
                <w:i/>
                <w:iCs/>
                <w:kern w:val="2"/>
                <w:lang w:val="ro-MD"/>
              </w:rPr>
              <w:t>instituții de credit</w:t>
            </w:r>
            <w:r w:rsidRPr="009E686F">
              <w:rPr>
                <w:rFonts w:ascii="Times New Roman" w:eastAsia="Aptos" w:hAnsi="Times New Roman" w:cs="Times New Roman"/>
                <w:kern w:val="2"/>
                <w:lang w:val="ro-MD"/>
              </w:rPr>
              <w:t xml:space="preserve"> persoană juridică din Republica Moldova, controlată de o </w:t>
            </w:r>
            <w:r w:rsidRPr="009E686F">
              <w:rPr>
                <w:rFonts w:ascii="Times New Roman" w:eastAsia="Aptos" w:hAnsi="Times New Roman" w:cs="Times New Roman"/>
                <w:i/>
                <w:iCs/>
                <w:kern w:val="2"/>
                <w:lang w:val="ro-MD"/>
              </w:rPr>
              <w:t>instituție de credit</w:t>
            </w:r>
            <w:r w:rsidRPr="009E686F">
              <w:rPr>
                <w:rFonts w:ascii="Times New Roman" w:eastAsia="Aptos" w:hAnsi="Times New Roman" w:cs="Times New Roman"/>
                <w:kern w:val="2"/>
                <w:lang w:val="ro-MD"/>
              </w:rPr>
              <w:t xml:space="preserve">  la nivelul altui stat sau o societate de investiţii-mamă la nivelul Republicii Moldova sau al altui stat, contactează, ori de cîte ori este posibil, supraveghetorul consolidant dacă îi sînt necesare informaţii referitoare la implementarea abordărilor şi metodologiilor prevăzute în prezenta lege şi în actele normative emise în aplicarea acestora, informaţii pe care respectiva autoritate le-ar putea deţine deja.</w:t>
            </w:r>
          </w:p>
        </w:tc>
        <w:tc>
          <w:tcPr>
            <w:tcW w:w="470" w:type="pct"/>
            <w:tcBorders>
              <w:top w:val="single" w:sz="4" w:space="0" w:color="auto"/>
              <w:left w:val="single" w:sz="4" w:space="0" w:color="auto"/>
              <w:bottom w:val="single" w:sz="4" w:space="0" w:color="auto"/>
              <w:right w:val="single" w:sz="4" w:space="0" w:color="auto"/>
            </w:tcBorders>
          </w:tcPr>
          <w:p w14:paraId="6A0530DC" w14:textId="15EC9D42"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52AC1ECA" w14:textId="77777777" w:rsidR="00984B34" w:rsidRPr="009E686F" w:rsidRDefault="00984B34" w:rsidP="00984B34">
            <w:pPr>
              <w:jc w:val="both"/>
              <w:rPr>
                <w:rFonts w:ascii="Times New Roman" w:hAnsi="Times New Roman" w:cs="Times New Roman"/>
                <w:lang w:val="ro-RO"/>
              </w:rPr>
            </w:pPr>
          </w:p>
        </w:tc>
      </w:tr>
      <w:tr w:rsidR="00984B34" w:rsidRPr="009E686F" w14:paraId="752F3C56" w14:textId="301FEB5A" w:rsidTr="00774F3E">
        <w:tc>
          <w:tcPr>
            <w:tcW w:w="1796" w:type="pct"/>
            <w:gridSpan w:val="2"/>
            <w:tcBorders>
              <w:top w:val="single" w:sz="4" w:space="0" w:color="auto"/>
              <w:left w:val="single" w:sz="4" w:space="0" w:color="auto"/>
              <w:bottom w:val="single" w:sz="4" w:space="0" w:color="auto"/>
              <w:right w:val="single" w:sz="4" w:space="0" w:color="auto"/>
            </w:tcBorders>
          </w:tcPr>
          <w:p w14:paraId="62473B52" w14:textId="56EAFFED"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(4) Înainte de a lua o decizie cu privire la elementele enumerate mai jos, autoritățile competente în cauză se consultă între ele, în cazul în care decizia prezintă </w:t>
            </w:r>
            <w:r w:rsidRPr="009E686F">
              <w:rPr>
                <w:rFonts w:ascii="Times New Roman" w:hAnsi="Times New Roman" w:cs="Times New Roman"/>
                <w:lang w:val="ro-RO"/>
              </w:rPr>
              <w:lastRenderedPageBreak/>
              <w:t>importanță pentru atribuțiile de supraveghere ale altor autorități competente:</w:t>
            </w:r>
          </w:p>
        </w:tc>
        <w:tc>
          <w:tcPr>
            <w:tcW w:w="1928" w:type="pct"/>
            <w:gridSpan w:val="3"/>
            <w:tcBorders>
              <w:top w:val="single" w:sz="4" w:space="0" w:color="auto"/>
              <w:left w:val="single" w:sz="4" w:space="0" w:color="auto"/>
              <w:bottom w:val="single" w:sz="4" w:space="0" w:color="auto"/>
              <w:right w:val="single" w:sz="4" w:space="0" w:color="auto"/>
            </w:tcBorders>
          </w:tcPr>
          <w:p w14:paraId="3DDA5671" w14:textId="53B0B4AA" w:rsidR="00984B34" w:rsidRPr="009E686F" w:rsidRDefault="00984B34" w:rsidP="00984B34">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lastRenderedPageBreak/>
              <w:t xml:space="preserve">(5) În cazurile prevăzute de acordurile de cooperare, Banca Naţională a Moldovei se consultă cu celelalte autorităţi responsabile cu supravegherea pe bază individuală şi/sau </w:t>
            </w:r>
            <w:r w:rsidRPr="009E686F">
              <w:rPr>
                <w:rFonts w:ascii="Times New Roman" w:eastAsia="Aptos" w:hAnsi="Times New Roman" w:cs="Times New Roman"/>
                <w:kern w:val="2"/>
                <w:lang w:val="ro-MD"/>
              </w:rPr>
              <w:lastRenderedPageBreak/>
              <w:t xml:space="preserve">consolidată a </w:t>
            </w:r>
            <w:r w:rsidRPr="009E686F">
              <w:rPr>
                <w:rFonts w:ascii="Times New Roman" w:eastAsia="Aptos" w:hAnsi="Times New Roman" w:cs="Times New Roman"/>
                <w:i/>
                <w:iCs/>
                <w:kern w:val="2"/>
                <w:lang w:val="ro-MD"/>
              </w:rPr>
              <w:t>instituțiilor de credit</w:t>
            </w:r>
            <w:r w:rsidRPr="009E686F">
              <w:rPr>
                <w:rFonts w:ascii="Times New Roman" w:eastAsia="Aptos" w:hAnsi="Times New Roman" w:cs="Times New Roman"/>
                <w:kern w:val="2"/>
                <w:lang w:val="ro-MD"/>
              </w:rPr>
              <w:t xml:space="preserve">  înaintea luării unei decizii care este importantă pentru exercitarea atribuţiilor de supraveghere ale autorităţilor competente respective. Consultarea are în vedere următoarele elemente:</w:t>
            </w:r>
          </w:p>
          <w:p w14:paraId="169F1F6F" w14:textId="77777777" w:rsidR="00984B34" w:rsidRPr="009E686F" w:rsidRDefault="00984B34" w:rsidP="00984B34">
            <w:pPr>
              <w:spacing w:after="0" w:line="278" w:lineRule="auto"/>
              <w:jc w:val="both"/>
              <w:rPr>
                <w:rFonts w:ascii="Times New Roman" w:eastAsia="Aptos" w:hAnsi="Times New Roman" w:cs="Times New Roman"/>
                <w:kern w:val="2"/>
                <w:lang w:val="ro-MD"/>
              </w:rPr>
            </w:pPr>
          </w:p>
          <w:p w14:paraId="765F005A" w14:textId="7821BDB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359D78C7" w14:textId="3159B38F"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3D3BB209" w14:textId="77777777" w:rsidR="00984B34" w:rsidRPr="009E686F" w:rsidRDefault="00984B34" w:rsidP="00984B34">
            <w:pPr>
              <w:jc w:val="both"/>
              <w:rPr>
                <w:rFonts w:ascii="Times New Roman" w:hAnsi="Times New Roman" w:cs="Times New Roman"/>
                <w:lang w:val="ro-RO"/>
              </w:rPr>
            </w:pPr>
          </w:p>
        </w:tc>
      </w:tr>
      <w:tr w:rsidR="00984B34" w:rsidRPr="009E686F" w14:paraId="6BD9A1E4" w14:textId="08C07492" w:rsidTr="00774F3E">
        <w:tc>
          <w:tcPr>
            <w:tcW w:w="1796" w:type="pct"/>
            <w:gridSpan w:val="2"/>
            <w:tcBorders>
              <w:top w:val="single" w:sz="4" w:space="0" w:color="auto"/>
              <w:left w:val="single" w:sz="4" w:space="0" w:color="auto"/>
              <w:bottom w:val="single" w:sz="4" w:space="0" w:color="auto"/>
              <w:right w:val="single" w:sz="4" w:space="0" w:color="auto"/>
            </w:tcBorders>
          </w:tcPr>
          <w:p w14:paraId="70012116" w14:textId="1EF1FB08"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(a) modificările structurii acționariatului, organizaționale sau de conducere a </w:t>
            </w:r>
            <w:r w:rsidRPr="009E686F">
              <w:rPr>
                <w:rFonts w:ascii="Times New Roman" w:hAnsi="Times New Roman" w:cs="Times New Roman"/>
                <w:i/>
                <w:iCs/>
                <w:lang w:val="ro-RO"/>
              </w:rPr>
              <w:t>instituțiilor de credit</w:t>
            </w:r>
            <w:r w:rsidRPr="009E686F">
              <w:rPr>
                <w:rFonts w:ascii="Times New Roman" w:hAnsi="Times New Roman" w:cs="Times New Roman"/>
                <w:lang w:val="ro-RO"/>
              </w:rPr>
              <w:t xml:space="preserve"> dintr-un grup, care necesită aprobarea sau autorizarea din partea autorităților competente și</w:t>
            </w:r>
          </w:p>
        </w:tc>
        <w:tc>
          <w:tcPr>
            <w:tcW w:w="1928" w:type="pct"/>
            <w:gridSpan w:val="3"/>
            <w:tcBorders>
              <w:top w:val="single" w:sz="4" w:space="0" w:color="auto"/>
              <w:left w:val="single" w:sz="4" w:space="0" w:color="auto"/>
              <w:bottom w:val="single" w:sz="4" w:space="0" w:color="auto"/>
              <w:right w:val="single" w:sz="4" w:space="0" w:color="auto"/>
            </w:tcBorders>
          </w:tcPr>
          <w:p w14:paraId="1750BF76" w14:textId="3A3C785F" w:rsidR="00984B34" w:rsidRPr="009E686F" w:rsidRDefault="00984B34" w:rsidP="00984B34">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 xml:space="preserve">a) modificări în structura acţionariatului, în structura organizatorică, de administrare şi conducere a </w:t>
            </w:r>
            <w:r w:rsidRPr="009E686F">
              <w:rPr>
                <w:rFonts w:ascii="Times New Roman" w:eastAsia="Aptos" w:hAnsi="Times New Roman" w:cs="Times New Roman"/>
                <w:i/>
                <w:iCs/>
                <w:kern w:val="2"/>
                <w:lang w:val="ro-MD"/>
              </w:rPr>
              <w:t>instituțiilor de credit</w:t>
            </w:r>
            <w:r w:rsidRPr="009E686F">
              <w:rPr>
                <w:rFonts w:ascii="Times New Roman" w:eastAsia="Aptos" w:hAnsi="Times New Roman" w:cs="Times New Roman"/>
                <w:kern w:val="2"/>
                <w:lang w:val="ro-MD"/>
              </w:rPr>
              <w:t xml:space="preserve"> dintr-un grup, care necesită aprobare sau autorizare din partea Băncii Naţionale a Moldovei;</w:t>
            </w:r>
          </w:p>
          <w:p w14:paraId="40C9F203" w14:textId="530520DD"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1E563270" w14:textId="1CF4A553"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7E3F9669" w14:textId="77777777" w:rsidR="00984B34" w:rsidRPr="009E686F" w:rsidRDefault="00984B34" w:rsidP="00984B34">
            <w:pPr>
              <w:jc w:val="both"/>
              <w:rPr>
                <w:rFonts w:ascii="Times New Roman" w:hAnsi="Times New Roman" w:cs="Times New Roman"/>
                <w:lang w:val="ro-RO"/>
              </w:rPr>
            </w:pPr>
          </w:p>
        </w:tc>
      </w:tr>
      <w:tr w:rsidR="00984B34" w:rsidRPr="009E686F" w14:paraId="75EA710F" w14:textId="179B8652" w:rsidTr="00774F3E">
        <w:tc>
          <w:tcPr>
            <w:tcW w:w="1796" w:type="pct"/>
            <w:gridSpan w:val="2"/>
            <w:tcBorders>
              <w:top w:val="single" w:sz="4" w:space="0" w:color="auto"/>
              <w:left w:val="single" w:sz="4" w:space="0" w:color="auto"/>
              <w:bottom w:val="single" w:sz="4" w:space="0" w:color="auto"/>
              <w:right w:val="single" w:sz="4" w:space="0" w:color="auto"/>
            </w:tcBorders>
          </w:tcPr>
          <w:p w14:paraId="710D7228" w14:textId="2CF75C01"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(b) sancțiunile semnificative sau măsurile excepționale luate de autoritățile competente, inclusiv impunerea unei cerințe specifice de fonduri proprii în temeiul articolului 104 și a unei limite privind utilizarea abordărilor avansate de evaluare pentru calcularea cerințelor de fonduri proprii în temeiul articolului 312 alineatul (2) din Regulamentul (UE) nr. 575/2013.</w:t>
            </w:r>
          </w:p>
        </w:tc>
        <w:tc>
          <w:tcPr>
            <w:tcW w:w="1928" w:type="pct"/>
            <w:gridSpan w:val="3"/>
            <w:tcBorders>
              <w:top w:val="single" w:sz="4" w:space="0" w:color="auto"/>
              <w:left w:val="single" w:sz="4" w:space="0" w:color="auto"/>
              <w:bottom w:val="single" w:sz="4" w:space="0" w:color="auto"/>
              <w:right w:val="single" w:sz="4" w:space="0" w:color="auto"/>
            </w:tcBorders>
          </w:tcPr>
          <w:p w14:paraId="7D9652D7" w14:textId="06CA9F79" w:rsidR="00984B34" w:rsidRPr="009E686F" w:rsidRDefault="00984B34" w:rsidP="00984B34">
            <w:pPr>
              <w:spacing w:after="0"/>
              <w:jc w:val="both"/>
              <w:rPr>
                <w:rFonts w:ascii="Times New Roman" w:hAnsi="Times New Roman" w:cs="Times New Roman"/>
                <w:lang w:val="ro-RO"/>
              </w:rPr>
            </w:pPr>
            <w:r w:rsidRPr="009E686F">
              <w:rPr>
                <w:rFonts w:ascii="Times New Roman" w:eastAsia="Aptos" w:hAnsi="Times New Roman" w:cs="Times New Roman"/>
                <w:kern w:val="2"/>
                <w:lang w:val="ro-MD"/>
              </w:rPr>
              <w:t>b) principalele sancţiuni şi măsurile excepţionale ce urmează a fi luate de Banca Naţională a Moldovei, inclusiv cele care constau în impunerea, potrivit art.139, a unei cerinţe suplimentare de fonduri proprii, precum şi în impunerea oricărei limitări în utilizarea abordării avansate de evaluare pentru calculul cerinţelor de fonduri proprii pentru acoperirea riscului operaţional.</w:t>
            </w:r>
          </w:p>
        </w:tc>
        <w:tc>
          <w:tcPr>
            <w:tcW w:w="470" w:type="pct"/>
            <w:tcBorders>
              <w:top w:val="single" w:sz="4" w:space="0" w:color="auto"/>
              <w:left w:val="single" w:sz="4" w:space="0" w:color="auto"/>
              <w:bottom w:val="single" w:sz="4" w:space="0" w:color="auto"/>
              <w:right w:val="single" w:sz="4" w:space="0" w:color="auto"/>
            </w:tcBorders>
          </w:tcPr>
          <w:p w14:paraId="0AF50C6D" w14:textId="7077319F"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33C13E38" w14:textId="77777777" w:rsidR="00984B34" w:rsidRPr="009E686F" w:rsidRDefault="00984B34" w:rsidP="00984B34">
            <w:pPr>
              <w:jc w:val="both"/>
              <w:rPr>
                <w:rFonts w:ascii="Times New Roman" w:hAnsi="Times New Roman" w:cs="Times New Roman"/>
                <w:lang w:val="ro-RO"/>
              </w:rPr>
            </w:pPr>
          </w:p>
        </w:tc>
      </w:tr>
      <w:tr w:rsidR="00984B34" w:rsidRPr="009E686F" w14:paraId="42EF1E8D" w14:textId="7EC5D5BB" w:rsidTr="00774F3E">
        <w:tc>
          <w:tcPr>
            <w:tcW w:w="1796" w:type="pct"/>
            <w:gridSpan w:val="2"/>
            <w:tcBorders>
              <w:top w:val="single" w:sz="4" w:space="0" w:color="auto"/>
              <w:left w:val="single" w:sz="4" w:space="0" w:color="auto"/>
              <w:bottom w:val="single" w:sz="4" w:space="0" w:color="auto"/>
              <w:right w:val="single" w:sz="4" w:space="0" w:color="auto"/>
            </w:tcBorders>
          </w:tcPr>
          <w:p w14:paraId="2BAC1E73"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În sensul literei (b), se consultă întotdeauna autoritatea responsabilă cu supravegherea consolidată.</w:t>
            </w:r>
          </w:p>
        </w:tc>
        <w:tc>
          <w:tcPr>
            <w:tcW w:w="1928" w:type="pct"/>
            <w:gridSpan w:val="3"/>
            <w:tcBorders>
              <w:top w:val="single" w:sz="4" w:space="0" w:color="auto"/>
              <w:left w:val="single" w:sz="4" w:space="0" w:color="auto"/>
              <w:bottom w:val="single" w:sz="4" w:space="0" w:color="auto"/>
              <w:right w:val="single" w:sz="4" w:space="0" w:color="auto"/>
            </w:tcBorders>
          </w:tcPr>
          <w:p w14:paraId="1E2BAD6B" w14:textId="77777777" w:rsidR="00984B34" w:rsidRPr="009E686F" w:rsidRDefault="00984B34" w:rsidP="00984B34">
            <w:pPr>
              <w:spacing w:after="0"/>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(6) La aplicarea prevederilor alin.(5) lit.b), supraveghetorul consolidant este consultat în cazurile prevăzute de acordurile de cooperare.</w:t>
            </w:r>
          </w:p>
          <w:p w14:paraId="284EE708" w14:textId="265488A0"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7601ED07" w14:textId="27B7A41D"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263D4ABE" w14:textId="77777777" w:rsidR="00984B34" w:rsidRPr="009E686F" w:rsidRDefault="00984B34" w:rsidP="00984B34">
            <w:pPr>
              <w:jc w:val="both"/>
              <w:rPr>
                <w:rFonts w:ascii="Times New Roman" w:hAnsi="Times New Roman" w:cs="Times New Roman"/>
                <w:lang w:val="ro-RO"/>
              </w:rPr>
            </w:pPr>
          </w:p>
        </w:tc>
      </w:tr>
      <w:tr w:rsidR="00984B34" w:rsidRPr="009E686F" w14:paraId="62F885DE" w14:textId="1449E641" w:rsidTr="00774F3E">
        <w:tc>
          <w:tcPr>
            <w:tcW w:w="1796" w:type="pct"/>
            <w:gridSpan w:val="2"/>
            <w:tcBorders>
              <w:top w:val="single" w:sz="4" w:space="0" w:color="auto"/>
              <w:left w:val="single" w:sz="4" w:space="0" w:color="auto"/>
              <w:bottom w:val="single" w:sz="4" w:space="0" w:color="auto"/>
              <w:right w:val="single" w:sz="4" w:space="0" w:color="auto"/>
            </w:tcBorders>
          </w:tcPr>
          <w:p w14:paraId="7C935D34"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Cu toate acestea, o autoritate competentă poate decide să nu consulte alte autorități competente în situații de urgență sau în cazul în care consultarea ar putea pune în pericol eficacitatea deciziilor sale. În astfel de cazuri, autoritatea competentă respectivă informează fără întârziere celelalte autorități competente după luarea deciziei.</w:t>
            </w:r>
          </w:p>
        </w:tc>
        <w:tc>
          <w:tcPr>
            <w:tcW w:w="1928" w:type="pct"/>
            <w:gridSpan w:val="3"/>
            <w:tcBorders>
              <w:top w:val="single" w:sz="4" w:space="0" w:color="auto"/>
              <w:left w:val="single" w:sz="4" w:space="0" w:color="auto"/>
              <w:bottom w:val="single" w:sz="4" w:space="0" w:color="auto"/>
              <w:right w:val="single" w:sz="4" w:space="0" w:color="auto"/>
            </w:tcBorders>
          </w:tcPr>
          <w:p w14:paraId="07CF7824" w14:textId="77777777" w:rsidR="00984B34" w:rsidRPr="009E686F" w:rsidRDefault="00984B34" w:rsidP="00984B34">
            <w:pPr>
              <w:spacing w:after="0"/>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(7) Banca Naţională a Moldovei poate decide să nu consulte celelalte autorităţi în cazuri de urgenţă sau dacă o astfel de consultare poate periclita eficienţa deciziilor. În acest caz, Banca Naţională a Moldovei informează fără întîrziere asupra deciziilor luate celelalte autorităţi competente.</w:t>
            </w:r>
          </w:p>
          <w:p w14:paraId="041D857D" w14:textId="140A2749"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7B96CB0C" w14:textId="4B1FB00C"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14B3CFC4" w14:textId="77777777" w:rsidR="00984B34" w:rsidRPr="009E686F" w:rsidRDefault="00984B34" w:rsidP="00984B34">
            <w:pPr>
              <w:jc w:val="both"/>
              <w:rPr>
                <w:rFonts w:ascii="Times New Roman" w:hAnsi="Times New Roman" w:cs="Times New Roman"/>
                <w:lang w:val="ro-RO"/>
              </w:rPr>
            </w:pPr>
          </w:p>
        </w:tc>
      </w:tr>
      <w:tr w:rsidR="00984B34" w:rsidRPr="009E686F" w14:paraId="393669A7"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1B89A742" w14:textId="5EF28A94"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(5)   Autoritățile competente, unitățile de informații financiare și autoritățile care au îndatorirea publică de a supraveghea entitățile obligate enumerate la articolul 2 </w:t>
            </w:r>
            <w:r w:rsidRPr="009E686F">
              <w:rPr>
                <w:rFonts w:ascii="Times New Roman" w:hAnsi="Times New Roman" w:cs="Times New Roman"/>
                <w:lang w:val="ro-RO"/>
              </w:rPr>
              <w:lastRenderedPageBreak/>
              <w:t>alineatul (1) punctele 1 și 2 din Directiva (UE) 2015/849 în ceea ce privește respectarea respectivei directive cooperează strâns între ele în limita competențelor lor respective și își furnizează reciproc informații pertinente pentru îndeplinirea sarcinilor care le revin în temeiul prezentei directive, al Regulamentului (UE) nr. 575/2013 și al Directivei (UE) 2015/849, cu condiția ca această cooperare și acest schimb de informații să nu afecteze o anchetă, o investigație sau o procedură aflată în curs de desfășurare în conformitate cu dreptul penal sau administrativ al statului membru în care este situată autoritatea competentă, unitatea de informații financiare sau autoritatea care are îndatorirea publică de a supraveghea entitățile obligate enumerate la articolul 2 alineatul (1) punctele 1 și 2 din Directiva (UE) 2015/849.</w:t>
            </w:r>
          </w:p>
        </w:tc>
        <w:tc>
          <w:tcPr>
            <w:tcW w:w="1928" w:type="pct"/>
            <w:gridSpan w:val="3"/>
            <w:tcBorders>
              <w:top w:val="single" w:sz="4" w:space="0" w:color="auto"/>
              <w:left w:val="single" w:sz="4" w:space="0" w:color="auto"/>
              <w:bottom w:val="single" w:sz="4" w:space="0" w:color="auto"/>
              <w:right w:val="single" w:sz="4" w:space="0" w:color="auto"/>
            </w:tcBorders>
          </w:tcPr>
          <w:p w14:paraId="29213F84" w14:textId="012A2CD5" w:rsidR="00984B34" w:rsidRPr="009E686F" w:rsidRDefault="00984B34" w:rsidP="00984B34">
            <w:pPr>
              <w:spacing w:after="0"/>
              <w:jc w:val="both"/>
              <w:rPr>
                <w:rFonts w:ascii="Times New Roman" w:hAnsi="Times New Roman" w:cs="Times New Roman"/>
                <w:i/>
                <w:iCs/>
                <w:lang w:val="ro-RO"/>
              </w:rPr>
            </w:pPr>
            <w:r w:rsidRPr="009E686F">
              <w:rPr>
                <w:rFonts w:ascii="Times New Roman" w:eastAsia="Aptos" w:hAnsi="Times New Roman" w:cs="Times New Roman"/>
                <w:i/>
                <w:iCs/>
                <w:kern w:val="2"/>
                <w:lang w:val="ro-MD"/>
              </w:rPr>
              <w:lastRenderedPageBreak/>
              <w:t xml:space="preserve">(11) </w:t>
            </w:r>
            <w:r w:rsidRPr="009E686F">
              <w:rPr>
                <w:rFonts w:ascii="Times New Roman" w:hAnsi="Times New Roman" w:cs="Times New Roman"/>
                <w:i/>
                <w:iCs/>
                <w:lang w:val="it-CH"/>
              </w:rPr>
              <w:t xml:space="preserve">Fără a aduce atingere alin. (1), Banca Națională a Moldovei cooperează strâns cuServiciul Prevenirea și Combaterea Spălării Banilor </w:t>
            </w:r>
            <w:r w:rsidRPr="009E686F">
              <w:rPr>
                <w:rFonts w:ascii="Times New Roman" w:hAnsi="Times New Roman"/>
                <w:i/>
                <w:iCs/>
                <w:lang w:val="it-CH"/>
              </w:rPr>
              <w:t xml:space="preserve">, în calitatea acestuia de Unitate </w:t>
            </w:r>
            <w:r w:rsidRPr="009E686F">
              <w:rPr>
                <w:rFonts w:ascii="Times New Roman" w:hAnsi="Times New Roman"/>
                <w:i/>
                <w:iCs/>
                <w:lang w:val="it-CH"/>
              </w:rPr>
              <w:lastRenderedPageBreak/>
              <w:t xml:space="preserve">de Informații Financiare a Republicii Moldova, precum și, după caz, cu unitățile de informații financiare din alte state, </w:t>
            </w:r>
            <w:r w:rsidRPr="009E686F">
              <w:rPr>
                <w:rFonts w:ascii="Times New Roman" w:hAnsi="Times New Roman" w:cs="Times New Roman"/>
                <w:i/>
                <w:iCs/>
                <w:lang w:val="it-CH"/>
              </w:rPr>
              <w:t xml:space="preserve">în limita competențelor lor și furnizează informații </w:t>
            </w:r>
            <w:r w:rsidR="00234E47" w:rsidRPr="009E686F">
              <w:rPr>
                <w:rFonts w:ascii="Times New Roman" w:hAnsi="Times New Roman" w:cs="Times New Roman"/>
                <w:i/>
                <w:iCs/>
                <w:lang w:val="it-CH"/>
              </w:rPr>
              <w:t xml:space="preserve">relevante </w:t>
            </w:r>
            <w:r w:rsidRPr="009E686F">
              <w:rPr>
                <w:rFonts w:ascii="Times New Roman" w:hAnsi="Times New Roman" w:cs="Times New Roman"/>
                <w:i/>
                <w:iCs/>
                <w:lang w:val="it-CH"/>
              </w:rPr>
              <w:t>pentru îndeplinirea sarcinilor care îi revin în temeiul prezentei legi și al actelor normative emise în aplicarea acesteia, Legii nr. 308/2017, cu condiția ca această cooperare și acest schimb de informații să nu afecteze o anchetă, o investigație sau o procedură aflată în curs de desfășurare în conformitate cu legislația națională aplicabilă.</w:t>
            </w:r>
            <w:r w:rsidRPr="009E686F">
              <w:rPr>
                <w:rFonts w:ascii="Times New Roman" w:eastAsia="Aptos" w:hAnsi="Times New Roman" w:cs="Times New Roman"/>
                <w:i/>
                <w:iCs/>
                <w:kern w:val="2"/>
                <w:lang w:val="ro-MD"/>
              </w:rPr>
              <w:t>.</w:t>
            </w:r>
          </w:p>
        </w:tc>
        <w:tc>
          <w:tcPr>
            <w:tcW w:w="470" w:type="pct"/>
            <w:tcBorders>
              <w:top w:val="single" w:sz="4" w:space="0" w:color="auto"/>
              <w:left w:val="single" w:sz="4" w:space="0" w:color="auto"/>
              <w:bottom w:val="single" w:sz="4" w:space="0" w:color="auto"/>
              <w:right w:val="single" w:sz="4" w:space="0" w:color="auto"/>
            </w:tcBorders>
          </w:tcPr>
          <w:p w14:paraId="7B8E72CE" w14:textId="10900132"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22D75075" w14:textId="77777777" w:rsidR="00984B34" w:rsidRPr="009E686F" w:rsidRDefault="00984B34" w:rsidP="00984B34">
            <w:pPr>
              <w:jc w:val="both"/>
              <w:rPr>
                <w:rFonts w:ascii="Times New Roman" w:hAnsi="Times New Roman" w:cs="Times New Roman"/>
                <w:lang w:val="ro-RO"/>
              </w:rPr>
            </w:pPr>
          </w:p>
        </w:tc>
      </w:tr>
      <w:tr w:rsidR="00984B34" w:rsidRPr="009E686F" w14:paraId="50C28458"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591B30BF" w14:textId="0329E8DB"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ABE poate acorda asistență din proprie inițiativă autorităților competente, în cazul unui dezacord în legătură cu coordonarea activităților de supraveghere desfășurate în temeiul prezentului articol, în conformitate cu articolul 19 alineatul (1) al doilea paragraf din Regulamentul (UE) nr. 1093/2010.</w:t>
            </w:r>
          </w:p>
          <w:p w14:paraId="3A56D506" w14:textId="27B1551E"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(6)   Până la 1 ianuarie 2020, ABE emite orientări în conformitate cu articolul 16 din Regulamentul (UE) nr. 1093/2010, care să precizeze modalitatea de cooperare și de schimb de informații între autoritățile menționate la alineatul (5) de la prezentul articol, în special în ceea ce privește grupurile transfrontaliere și în contextul identificării unor încălcări grave ale normelor de combatere a spălării banilor.</w:t>
            </w:r>
          </w:p>
        </w:tc>
        <w:tc>
          <w:tcPr>
            <w:tcW w:w="1928" w:type="pct"/>
            <w:gridSpan w:val="3"/>
            <w:tcBorders>
              <w:top w:val="single" w:sz="4" w:space="0" w:color="auto"/>
              <w:left w:val="single" w:sz="4" w:space="0" w:color="auto"/>
              <w:bottom w:val="single" w:sz="4" w:space="0" w:color="auto"/>
              <w:right w:val="single" w:sz="4" w:space="0" w:color="auto"/>
            </w:tcBorders>
          </w:tcPr>
          <w:p w14:paraId="4FBAFA50" w14:textId="77777777" w:rsidR="00984B34" w:rsidRPr="009E686F" w:rsidRDefault="00984B34" w:rsidP="00984B34">
            <w:pPr>
              <w:spacing w:after="0"/>
              <w:jc w:val="both"/>
              <w:rPr>
                <w:rFonts w:ascii="Times New Roman" w:hAnsi="Times New Roman" w:cs="Times New Roman"/>
                <w:lang w:val="ro-RO"/>
              </w:rPr>
            </w:pPr>
          </w:p>
        </w:tc>
        <w:tc>
          <w:tcPr>
            <w:tcW w:w="470" w:type="pct"/>
            <w:tcBorders>
              <w:top w:val="single" w:sz="4" w:space="0" w:color="auto"/>
              <w:left w:val="single" w:sz="4" w:space="0" w:color="auto"/>
              <w:bottom w:val="single" w:sz="4" w:space="0" w:color="auto"/>
              <w:right w:val="single" w:sz="4" w:space="0" w:color="auto"/>
            </w:tcBorders>
          </w:tcPr>
          <w:p w14:paraId="5321B1BE" w14:textId="2BCE9DB9"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neaplicabile</w:t>
            </w:r>
          </w:p>
        </w:tc>
        <w:tc>
          <w:tcPr>
            <w:tcW w:w="806" w:type="pct"/>
            <w:tcBorders>
              <w:top w:val="single" w:sz="4" w:space="0" w:color="auto"/>
              <w:left w:val="single" w:sz="4" w:space="0" w:color="auto"/>
              <w:bottom w:val="single" w:sz="4" w:space="0" w:color="auto"/>
              <w:right w:val="single" w:sz="4" w:space="0" w:color="auto"/>
            </w:tcBorders>
          </w:tcPr>
          <w:p w14:paraId="4EACA854" w14:textId="06849FCD"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Se referă la competențele ABE.</w:t>
            </w:r>
          </w:p>
        </w:tc>
      </w:tr>
      <w:tr w:rsidR="00984B34" w:rsidRPr="009E686F" w14:paraId="350653C6"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151493B6" w14:textId="77777777" w:rsidR="00984B34" w:rsidRPr="009E686F" w:rsidRDefault="00984B34" w:rsidP="00984B34">
            <w:pPr>
              <w:spacing w:after="0"/>
              <w:jc w:val="both"/>
              <w:rPr>
                <w:rFonts w:ascii="Times New Roman" w:hAnsi="Times New Roman" w:cs="Times New Roman"/>
                <w:b/>
                <w:bCs/>
                <w:lang w:val="ro-RO"/>
              </w:rPr>
            </w:pPr>
            <w:r w:rsidRPr="009E686F">
              <w:rPr>
                <w:rFonts w:ascii="Times New Roman" w:hAnsi="Times New Roman" w:cs="Times New Roman"/>
                <w:i/>
                <w:iCs/>
                <w:lang w:val="ro-RO"/>
              </w:rPr>
              <w:t>Articolul 118</w:t>
            </w:r>
            <w:r w:rsidRPr="009E686F">
              <w:rPr>
                <w:rFonts w:ascii="Times New Roman" w:hAnsi="Times New Roman" w:cs="Times New Roman"/>
                <w:lang w:val="ro-RO"/>
              </w:rPr>
              <w:t xml:space="preserve"> </w:t>
            </w:r>
          </w:p>
          <w:p w14:paraId="3E4592B0" w14:textId="0D3E89AE"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Verificarea informațiilor referitoare la entitățile din alte state membre</w:t>
            </w:r>
          </w:p>
        </w:tc>
        <w:tc>
          <w:tcPr>
            <w:tcW w:w="1928" w:type="pct"/>
            <w:gridSpan w:val="3"/>
            <w:tcBorders>
              <w:top w:val="single" w:sz="4" w:space="0" w:color="auto"/>
              <w:left w:val="single" w:sz="4" w:space="0" w:color="auto"/>
              <w:bottom w:val="single" w:sz="4" w:space="0" w:color="auto"/>
              <w:right w:val="single" w:sz="4" w:space="0" w:color="auto"/>
            </w:tcBorders>
          </w:tcPr>
          <w:p w14:paraId="30F3C144" w14:textId="0245D77A"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b/>
                <w:bCs/>
                <w:lang w:val="ro-RO"/>
              </w:rPr>
              <w:t>Articolul 115.</w:t>
            </w:r>
            <w:r w:rsidRPr="009E686F">
              <w:rPr>
                <w:rFonts w:ascii="Times New Roman" w:hAnsi="Times New Roman" w:cs="Times New Roman"/>
                <w:lang w:val="ro-RO"/>
              </w:rPr>
              <w:t xml:space="preserve"> Verificarea informațiilor referitoare la entitățile din alte state </w:t>
            </w:r>
            <w:r w:rsidRPr="009E686F">
              <w:rPr>
                <w:rFonts w:ascii="Times New Roman" w:hAnsi="Times New Roman" w:cs="Times New Roman"/>
                <w:i/>
                <w:iCs/>
                <w:lang w:val="ro-RO"/>
              </w:rPr>
              <w:t>membre</w:t>
            </w:r>
          </w:p>
          <w:p w14:paraId="7A751906" w14:textId="77777777" w:rsidR="00984B34" w:rsidRPr="009E686F" w:rsidRDefault="00984B34" w:rsidP="00984B34">
            <w:pPr>
              <w:spacing w:after="0"/>
              <w:jc w:val="both"/>
              <w:rPr>
                <w:rFonts w:ascii="Times New Roman" w:hAnsi="Times New Roman" w:cs="Times New Roman"/>
                <w:lang w:val="ro-RO"/>
              </w:rPr>
            </w:pPr>
          </w:p>
        </w:tc>
        <w:tc>
          <w:tcPr>
            <w:tcW w:w="470" w:type="pct"/>
            <w:tcBorders>
              <w:top w:val="single" w:sz="4" w:space="0" w:color="auto"/>
              <w:left w:val="single" w:sz="4" w:space="0" w:color="auto"/>
              <w:bottom w:val="single" w:sz="4" w:space="0" w:color="auto"/>
              <w:right w:val="single" w:sz="4" w:space="0" w:color="auto"/>
            </w:tcBorders>
          </w:tcPr>
          <w:p w14:paraId="794DE37A" w14:textId="77777777"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3C1CB987" w14:textId="77777777" w:rsidR="00984B34" w:rsidRPr="009E686F" w:rsidRDefault="00984B34" w:rsidP="00984B34">
            <w:pPr>
              <w:jc w:val="both"/>
              <w:rPr>
                <w:rFonts w:ascii="Times New Roman" w:hAnsi="Times New Roman" w:cs="Times New Roman"/>
                <w:lang w:val="ro-RO"/>
              </w:rPr>
            </w:pPr>
          </w:p>
        </w:tc>
      </w:tr>
      <w:tr w:rsidR="00984B34" w:rsidRPr="009E686F" w14:paraId="3A122361" w14:textId="60FE626D" w:rsidTr="00774F3E">
        <w:tc>
          <w:tcPr>
            <w:tcW w:w="1796" w:type="pct"/>
            <w:gridSpan w:val="2"/>
            <w:tcBorders>
              <w:top w:val="single" w:sz="4" w:space="0" w:color="auto"/>
              <w:left w:val="single" w:sz="4" w:space="0" w:color="auto"/>
              <w:bottom w:val="single" w:sz="4" w:space="0" w:color="auto"/>
              <w:right w:val="single" w:sz="4" w:space="0" w:color="auto"/>
            </w:tcBorders>
          </w:tcPr>
          <w:p w14:paraId="32F74F29"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lastRenderedPageBreak/>
              <w:t>În cazul în care, în aplicarea prezentei directive și a Regulamentului (UE) nr. 575/2013, autoritățile competente dintr-un stat membru doresc, în cazuri specifice, să verifice informațiile cu privire la o instituție, o societate financiară holding, o societate financiară holding mixtă o instituție financiară, o întreprindere de servicii auxiliare, o societate holding cu activitate mixtă, o filială de tipul celor menționate la articolul 125 sau o filială de tipul celor menționate la articolul 119 alineatul (3), situată într-un alt stat membru, autoritățile respective solicită autorităților competente din celălalt stat membru să dispună efectuarea acestei verificări. Autoritățile care primesc o astfel de solicitare îi dau curs, în cadrul competențelor lor, procedând la efectuarea verificărilor respective prin propriile servicii sau permițând autorităților care au făcut solicitarea să efectueze verificarea ori permițând unui auditor sau expert să o efectueze. În cazul în care nu efectuează ea însăși verificarea, autoritatea competentă care a făcut solicitarea poate participa la efectuarea acesteia, dacă dorește.</w:t>
            </w:r>
          </w:p>
        </w:tc>
        <w:tc>
          <w:tcPr>
            <w:tcW w:w="1928" w:type="pct"/>
            <w:gridSpan w:val="3"/>
            <w:tcBorders>
              <w:top w:val="single" w:sz="4" w:space="0" w:color="auto"/>
              <w:left w:val="single" w:sz="4" w:space="0" w:color="auto"/>
              <w:bottom w:val="single" w:sz="4" w:space="0" w:color="auto"/>
              <w:right w:val="single" w:sz="4" w:space="0" w:color="auto"/>
            </w:tcBorders>
          </w:tcPr>
          <w:p w14:paraId="5086C80F" w14:textId="5B07AF69" w:rsidR="00984B34" w:rsidRPr="009E686F" w:rsidRDefault="00984B34" w:rsidP="00984B34">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 xml:space="preserve">(1) Dacă, în aplicarea prevederilor prezentei legi şi ale actelor normative emise în aplicarea acesteia, Banca Naţională a Moldovei doreşte, în anumite cazuri, să verifice informaţiile privitoare la o </w:t>
            </w:r>
            <w:r w:rsidRPr="009E686F">
              <w:rPr>
                <w:rFonts w:ascii="Times New Roman" w:eastAsia="Aptos" w:hAnsi="Times New Roman" w:cs="Times New Roman"/>
                <w:i/>
                <w:iCs/>
                <w:kern w:val="2"/>
                <w:lang w:val="ro-MD"/>
              </w:rPr>
              <w:t>instituție de credit</w:t>
            </w:r>
            <w:r w:rsidRPr="009E686F">
              <w:rPr>
                <w:rFonts w:ascii="Times New Roman" w:eastAsia="Aptos" w:hAnsi="Times New Roman" w:cs="Times New Roman"/>
                <w:kern w:val="2"/>
                <w:lang w:val="ro-MD"/>
              </w:rPr>
              <w:t xml:space="preserve">, o societate de investiţii, o societate financiară holding, o societate financiară holding mixtă, o </w:t>
            </w:r>
            <w:r w:rsidRPr="009E686F">
              <w:rPr>
                <w:rFonts w:ascii="Times New Roman" w:eastAsia="Aptos" w:hAnsi="Times New Roman" w:cs="Times New Roman"/>
                <w:i/>
                <w:iCs/>
                <w:kern w:val="2"/>
                <w:lang w:val="ro-MD"/>
              </w:rPr>
              <w:t>instituție financiară</w:t>
            </w:r>
            <w:r w:rsidRPr="009E686F">
              <w:rPr>
                <w:rFonts w:ascii="Times New Roman" w:eastAsia="Aptos" w:hAnsi="Times New Roman" w:cs="Times New Roman"/>
                <w:kern w:val="2"/>
                <w:lang w:val="ro-MD"/>
              </w:rPr>
              <w:t xml:space="preserve">, o societate prestatoare de servicii auxiliare, o societate holding cu activitate mixtă, o filială de tipul celor prevăzute la art.124 sau o filială de tipul celor prevăzute la art.117 alin.(3), situate într-un alt stat </w:t>
            </w:r>
            <w:r w:rsidRPr="009E686F">
              <w:rPr>
                <w:rFonts w:ascii="Times New Roman" w:eastAsia="Aptos" w:hAnsi="Times New Roman" w:cs="Times New Roman"/>
                <w:i/>
                <w:iCs/>
                <w:kern w:val="2"/>
                <w:lang w:val="ro-MD"/>
              </w:rPr>
              <w:t>membru</w:t>
            </w:r>
            <w:r w:rsidRPr="009E686F">
              <w:rPr>
                <w:rFonts w:ascii="Times New Roman" w:eastAsia="Aptos" w:hAnsi="Times New Roman" w:cs="Times New Roman"/>
                <w:kern w:val="2"/>
                <w:lang w:val="ro-MD"/>
              </w:rPr>
              <w:t>, aceasta solicită autorităţilor competente din statul respectiv efectuarea verificării.</w:t>
            </w:r>
          </w:p>
          <w:p w14:paraId="1D8B8018" w14:textId="77777777" w:rsidR="00984B34" w:rsidRPr="009E686F" w:rsidRDefault="00984B34" w:rsidP="00984B34">
            <w:pPr>
              <w:spacing w:after="0"/>
              <w:ind w:firstLine="426"/>
              <w:jc w:val="both"/>
              <w:rPr>
                <w:rFonts w:ascii="Times New Roman" w:hAnsi="Times New Roman" w:cs="Times New Roman"/>
                <w:lang w:val="ro-RO"/>
              </w:rPr>
            </w:pPr>
            <w:r w:rsidRPr="009E686F">
              <w:rPr>
                <w:rFonts w:ascii="Times New Roman" w:hAnsi="Times New Roman" w:cs="Times New Roman"/>
                <w:lang w:val="ro-RO"/>
              </w:rPr>
              <w:t xml:space="preserve">(2) Verificarea prevăzută la alin. (1) poate fi efectuată fie de către autoritatea competentă din respectivul stat, fie, cu acordul acesteia, de către Banca Naţională a Moldovei. Banca Naţională a Moldovei poate efectua verificarea în mod direct sau prin intermediul unui auditor financiar sau expert împuternicit în acest scop. </w:t>
            </w:r>
          </w:p>
          <w:p w14:paraId="0BBDE1ED" w14:textId="20D86F81" w:rsidR="00984B34" w:rsidRPr="009E686F" w:rsidRDefault="00984B34" w:rsidP="00984B34">
            <w:pPr>
              <w:spacing w:after="0"/>
              <w:ind w:firstLine="426"/>
              <w:jc w:val="both"/>
              <w:rPr>
                <w:rFonts w:ascii="Times New Roman" w:hAnsi="Times New Roman" w:cs="Times New Roman"/>
                <w:lang w:val="ro-RO"/>
              </w:rPr>
            </w:pPr>
            <w:r w:rsidRPr="009E686F">
              <w:rPr>
                <w:rFonts w:ascii="Times New Roman" w:hAnsi="Times New Roman" w:cs="Times New Roman"/>
                <w:lang w:val="ro-RO"/>
              </w:rPr>
              <w:t xml:space="preserve">(3) Când verificarea nu este efectuată de Banca Națională a Moldovei însăşi, aceasta poate participa la verificarea efectuată de autoritatea competentă din statul respectiv. </w:t>
            </w:r>
          </w:p>
          <w:p w14:paraId="0E910656" w14:textId="77777777" w:rsidR="00984B34" w:rsidRPr="009E686F" w:rsidRDefault="00984B34" w:rsidP="00984B34">
            <w:pPr>
              <w:spacing w:after="0"/>
              <w:ind w:firstLine="426"/>
              <w:jc w:val="both"/>
              <w:rPr>
                <w:rFonts w:ascii="Times New Roman" w:hAnsi="Times New Roman" w:cs="Times New Roman"/>
                <w:lang w:val="ro-RO"/>
              </w:rPr>
            </w:pPr>
            <w:r w:rsidRPr="009E686F">
              <w:rPr>
                <w:rFonts w:ascii="Times New Roman" w:hAnsi="Times New Roman" w:cs="Times New Roman"/>
                <w:lang w:val="ro-RO"/>
              </w:rPr>
              <w:t>(4) În cazul în care Banca Naţională a Moldovei primeşte o solicitare referitoare la verificarea, pentru aspecte determinate, a informaţiilor privind entităţile prevăzute la alin. (1), situate în Republica Moldova, aceasta, în limitele competenţelor ce îi revin, fie efectuează verificarea în mod direct, fie permite autorităţii competente solicitante sau unui auditor financiar sau expert împuternicit să efectueze verificarea. Autoritatea competentă solicitantă poate, dacă nu efectuează verificarea ea însăşi, să participe la verificarea efectuată de Banca Naţională a Moldovei.</w:t>
            </w:r>
          </w:p>
        </w:tc>
        <w:tc>
          <w:tcPr>
            <w:tcW w:w="470" w:type="pct"/>
            <w:tcBorders>
              <w:top w:val="single" w:sz="4" w:space="0" w:color="auto"/>
              <w:left w:val="single" w:sz="4" w:space="0" w:color="auto"/>
              <w:bottom w:val="single" w:sz="4" w:space="0" w:color="auto"/>
              <w:right w:val="single" w:sz="4" w:space="0" w:color="auto"/>
            </w:tcBorders>
          </w:tcPr>
          <w:p w14:paraId="6CACBE6C" w14:textId="4B9F50C0"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2A979053" w14:textId="77777777" w:rsidR="00984B34" w:rsidRPr="009E686F" w:rsidRDefault="00984B34" w:rsidP="00984B34">
            <w:pPr>
              <w:jc w:val="both"/>
              <w:rPr>
                <w:rFonts w:ascii="Times New Roman" w:hAnsi="Times New Roman" w:cs="Times New Roman"/>
                <w:lang w:val="ro-RO"/>
              </w:rPr>
            </w:pPr>
          </w:p>
        </w:tc>
      </w:tr>
      <w:tr w:rsidR="00984B34" w:rsidRPr="009E686F" w14:paraId="3053D570" w14:textId="612AB84D" w:rsidTr="00774F3E">
        <w:tc>
          <w:tcPr>
            <w:tcW w:w="1796" w:type="pct"/>
            <w:gridSpan w:val="2"/>
            <w:tcBorders>
              <w:top w:val="single" w:sz="4" w:space="0" w:color="auto"/>
              <w:left w:val="single" w:sz="4" w:space="0" w:color="auto"/>
              <w:bottom w:val="single" w:sz="4" w:space="0" w:color="auto"/>
              <w:right w:val="single" w:sz="4" w:space="0" w:color="auto"/>
            </w:tcBorders>
          </w:tcPr>
          <w:p w14:paraId="4B9404B8" w14:textId="77777777" w:rsidR="00984B34" w:rsidRPr="009E686F" w:rsidRDefault="00984B34" w:rsidP="00984B34">
            <w:pPr>
              <w:spacing w:after="0"/>
              <w:jc w:val="both"/>
              <w:rPr>
                <w:rFonts w:ascii="Times New Roman" w:hAnsi="Times New Roman" w:cs="Times New Roman"/>
                <w:bCs/>
                <w:lang w:val="ro-RO"/>
              </w:rPr>
            </w:pPr>
            <w:r w:rsidRPr="009E686F">
              <w:rPr>
                <w:rFonts w:ascii="Times New Roman" w:hAnsi="Times New Roman" w:cs="Times New Roman"/>
                <w:bCs/>
                <w:lang w:val="ro-RO"/>
              </w:rPr>
              <w:lastRenderedPageBreak/>
              <w:t>Secțiunea II</w:t>
            </w:r>
          </w:p>
          <w:p w14:paraId="3F4D19B4" w14:textId="3CCE25FC"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b/>
                <w:lang w:val="ro-RO"/>
              </w:rPr>
              <w:t>Societăți financiare holding, societăți financiare holding mixte și societăți holding cu activitate mixtă</w:t>
            </w:r>
          </w:p>
        </w:tc>
        <w:tc>
          <w:tcPr>
            <w:tcW w:w="1928" w:type="pct"/>
            <w:gridSpan w:val="3"/>
            <w:tcBorders>
              <w:top w:val="single" w:sz="4" w:space="0" w:color="auto"/>
              <w:left w:val="single" w:sz="4" w:space="0" w:color="auto"/>
              <w:bottom w:val="single" w:sz="4" w:space="0" w:color="auto"/>
              <w:right w:val="single" w:sz="4" w:space="0" w:color="auto"/>
            </w:tcBorders>
          </w:tcPr>
          <w:p w14:paraId="26925FFB"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5878E0C5" w14:textId="77777777"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76E800B7" w14:textId="77777777" w:rsidR="00984B34" w:rsidRPr="009E686F" w:rsidRDefault="00984B34" w:rsidP="00984B34">
            <w:pPr>
              <w:jc w:val="both"/>
              <w:rPr>
                <w:rFonts w:ascii="Times New Roman" w:hAnsi="Times New Roman" w:cs="Times New Roman"/>
                <w:lang w:val="ro-RO"/>
              </w:rPr>
            </w:pPr>
          </w:p>
        </w:tc>
      </w:tr>
      <w:tr w:rsidR="00984B34" w:rsidRPr="009E686F" w14:paraId="38E09055" w14:textId="31414806" w:rsidTr="00774F3E">
        <w:tc>
          <w:tcPr>
            <w:tcW w:w="1796" w:type="pct"/>
            <w:gridSpan w:val="2"/>
            <w:tcBorders>
              <w:top w:val="single" w:sz="4" w:space="0" w:color="auto"/>
              <w:left w:val="single" w:sz="4" w:space="0" w:color="auto"/>
              <w:bottom w:val="single" w:sz="4" w:space="0" w:color="auto"/>
              <w:right w:val="single" w:sz="4" w:space="0" w:color="auto"/>
            </w:tcBorders>
          </w:tcPr>
          <w:p w14:paraId="58F7FDBD" w14:textId="77777777" w:rsidR="00984B34" w:rsidRPr="009E686F" w:rsidRDefault="00984B34" w:rsidP="00984B34">
            <w:pPr>
              <w:spacing w:after="0"/>
              <w:jc w:val="both"/>
              <w:rPr>
                <w:rFonts w:ascii="Times New Roman" w:hAnsi="Times New Roman" w:cs="Times New Roman"/>
                <w:i/>
                <w:iCs/>
                <w:lang w:val="ro-RO"/>
              </w:rPr>
            </w:pPr>
            <w:r w:rsidRPr="009E686F">
              <w:rPr>
                <w:rFonts w:ascii="Times New Roman" w:hAnsi="Times New Roman" w:cs="Times New Roman"/>
                <w:i/>
                <w:iCs/>
                <w:lang w:val="ro-RO"/>
              </w:rPr>
              <w:t xml:space="preserve">Articolul 119 </w:t>
            </w:r>
          </w:p>
          <w:p w14:paraId="175B3963" w14:textId="10138C3F"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Includerea societăților holding în supravegherea consolidată</w:t>
            </w:r>
          </w:p>
        </w:tc>
        <w:tc>
          <w:tcPr>
            <w:tcW w:w="1928" w:type="pct"/>
            <w:gridSpan w:val="3"/>
            <w:tcBorders>
              <w:top w:val="single" w:sz="4" w:space="0" w:color="auto"/>
              <w:left w:val="single" w:sz="4" w:space="0" w:color="auto"/>
              <w:bottom w:val="single" w:sz="4" w:space="0" w:color="auto"/>
              <w:right w:val="single" w:sz="4" w:space="0" w:color="auto"/>
            </w:tcBorders>
          </w:tcPr>
          <w:p w14:paraId="316F51A3" w14:textId="77777777" w:rsidR="00984B34" w:rsidRPr="009E686F" w:rsidRDefault="00984B34" w:rsidP="00984B34">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b/>
                <w:bCs/>
                <w:kern w:val="2"/>
                <w:lang w:val="ro-MD"/>
              </w:rPr>
              <w:t>Articolul 117.</w:t>
            </w:r>
            <w:r w:rsidRPr="009E686F">
              <w:rPr>
                <w:rFonts w:ascii="Times New Roman" w:eastAsia="Aptos" w:hAnsi="Times New Roman" w:cs="Times New Roman"/>
                <w:kern w:val="2"/>
                <w:lang w:val="ro-MD"/>
              </w:rPr>
              <w:t xml:space="preserve"> Includerea societăţilor </w:t>
            </w:r>
            <w:r w:rsidRPr="009E686F">
              <w:rPr>
                <w:rFonts w:ascii="Times New Roman" w:eastAsia="Aptos" w:hAnsi="Times New Roman" w:cs="Times New Roman"/>
                <w:i/>
                <w:iCs/>
                <w:kern w:val="2"/>
                <w:lang w:val="ro-MD"/>
              </w:rPr>
              <w:t>financiare</w:t>
            </w:r>
            <w:r w:rsidRPr="009E686F">
              <w:rPr>
                <w:rFonts w:ascii="Times New Roman" w:eastAsia="Aptos" w:hAnsi="Times New Roman" w:cs="Times New Roman"/>
                <w:kern w:val="2"/>
                <w:lang w:val="ro-MD"/>
              </w:rPr>
              <w:t xml:space="preserve"> </w:t>
            </w:r>
            <w:r w:rsidRPr="009E686F">
              <w:rPr>
                <w:rFonts w:ascii="Times New Roman" w:eastAsia="Aptos" w:hAnsi="Times New Roman" w:cs="Times New Roman"/>
                <w:i/>
                <w:iCs/>
                <w:kern w:val="2"/>
                <w:lang w:val="ro-MD"/>
              </w:rPr>
              <w:t>holding și</w:t>
            </w:r>
            <w:r w:rsidRPr="009E686F">
              <w:rPr>
                <w:rFonts w:ascii="Times New Roman" w:eastAsia="Aptos" w:hAnsi="Times New Roman" w:cs="Times New Roman"/>
                <w:kern w:val="2"/>
                <w:lang w:val="ro-MD"/>
              </w:rPr>
              <w:t xml:space="preserve"> </w:t>
            </w:r>
            <w:r w:rsidRPr="009E686F">
              <w:rPr>
                <w:rFonts w:ascii="Times New Roman" w:eastAsia="Aptos" w:hAnsi="Times New Roman" w:cs="Times New Roman"/>
                <w:i/>
                <w:iCs/>
                <w:kern w:val="2"/>
                <w:lang w:val="ro-MD"/>
              </w:rPr>
              <w:t>a societăților financiare holding mixte</w:t>
            </w:r>
            <w:r w:rsidRPr="009E686F">
              <w:rPr>
                <w:rFonts w:ascii="Times New Roman" w:eastAsia="Aptos" w:hAnsi="Times New Roman" w:cs="Times New Roman"/>
                <w:kern w:val="2"/>
                <w:lang w:val="ro-MD"/>
              </w:rPr>
              <w:t xml:space="preserve"> în supravegherea pe bază consolidată</w:t>
            </w:r>
          </w:p>
          <w:p w14:paraId="41955EC8" w14:textId="371A40D5" w:rsidR="00984B34" w:rsidRPr="009E686F" w:rsidRDefault="00984B34" w:rsidP="00984B34">
            <w:pPr>
              <w:spacing w:after="0"/>
              <w:jc w:val="both"/>
              <w:rPr>
                <w:rFonts w:ascii="Times New Roman" w:hAnsi="Times New Roman" w:cs="Times New Roman"/>
                <w:lang w:val="ro-RO"/>
              </w:rPr>
            </w:pPr>
          </w:p>
        </w:tc>
        <w:tc>
          <w:tcPr>
            <w:tcW w:w="470" w:type="pct"/>
            <w:tcBorders>
              <w:top w:val="single" w:sz="4" w:space="0" w:color="auto"/>
              <w:left w:val="single" w:sz="4" w:space="0" w:color="auto"/>
              <w:bottom w:val="single" w:sz="4" w:space="0" w:color="auto"/>
              <w:right w:val="single" w:sz="4" w:space="0" w:color="auto"/>
            </w:tcBorders>
          </w:tcPr>
          <w:p w14:paraId="1A61E6D1" w14:textId="617AFA6E"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1B377C38" w14:textId="77777777" w:rsidR="00984B34" w:rsidRPr="009E686F" w:rsidRDefault="00984B34" w:rsidP="00984B34">
            <w:pPr>
              <w:jc w:val="both"/>
              <w:rPr>
                <w:rFonts w:ascii="Times New Roman" w:hAnsi="Times New Roman" w:cs="Times New Roman"/>
                <w:lang w:val="ro-RO"/>
              </w:rPr>
            </w:pPr>
          </w:p>
        </w:tc>
      </w:tr>
      <w:tr w:rsidR="00984B34" w:rsidRPr="009E686F" w14:paraId="23B556F9" w14:textId="0F719F71" w:rsidTr="00774F3E">
        <w:tc>
          <w:tcPr>
            <w:tcW w:w="1796" w:type="pct"/>
            <w:gridSpan w:val="2"/>
            <w:tcBorders>
              <w:top w:val="single" w:sz="4" w:space="0" w:color="auto"/>
              <w:left w:val="single" w:sz="4" w:space="0" w:color="auto"/>
              <w:bottom w:val="single" w:sz="4" w:space="0" w:color="auto"/>
              <w:right w:val="single" w:sz="4" w:space="0" w:color="auto"/>
            </w:tcBorders>
          </w:tcPr>
          <w:p w14:paraId="1E8D5E3B" w14:textId="75662D92"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(1) Sub rezerva articolului 21a, statele membre adoptă toate măsurile necesare pentru a include societățile financiare holding și societățile financiare holding mixte în supravegherea consolidată.</w:t>
            </w:r>
          </w:p>
        </w:tc>
        <w:tc>
          <w:tcPr>
            <w:tcW w:w="1928" w:type="pct"/>
            <w:gridSpan w:val="3"/>
            <w:tcBorders>
              <w:top w:val="single" w:sz="4" w:space="0" w:color="auto"/>
              <w:left w:val="single" w:sz="4" w:space="0" w:color="auto"/>
              <w:bottom w:val="single" w:sz="4" w:space="0" w:color="auto"/>
              <w:right w:val="single" w:sz="4" w:space="0" w:color="auto"/>
            </w:tcBorders>
          </w:tcPr>
          <w:p w14:paraId="239898A9" w14:textId="529D39A6" w:rsidR="00984B34" w:rsidRPr="009E686F" w:rsidRDefault="00984B34" w:rsidP="00984B34">
            <w:pPr>
              <w:spacing w:after="0"/>
              <w:jc w:val="both"/>
              <w:rPr>
                <w:rFonts w:ascii="Times New Roman" w:hAnsi="Times New Roman" w:cs="Times New Roman"/>
                <w:b/>
                <w:lang w:val="ro-RO"/>
              </w:rPr>
            </w:pPr>
            <w:r w:rsidRPr="009E686F">
              <w:rPr>
                <w:rFonts w:ascii="Times New Roman" w:eastAsia="Aptos" w:hAnsi="Times New Roman" w:cs="Times New Roman"/>
                <w:kern w:val="2"/>
                <w:lang w:val="ro-MD"/>
              </w:rPr>
              <w:t xml:space="preserve">(1) </w:t>
            </w:r>
            <w:r w:rsidRPr="009E686F">
              <w:rPr>
                <w:rFonts w:ascii="Times New Roman" w:eastAsia="Aptos" w:hAnsi="Times New Roman" w:cs="Times New Roman"/>
                <w:i/>
                <w:iCs/>
                <w:kern w:val="2"/>
                <w:lang w:val="ro-MD"/>
              </w:rPr>
              <w:t>Sub rezerva art. 116</w:t>
            </w:r>
            <w:r w:rsidRPr="009E686F">
              <w:rPr>
                <w:rFonts w:ascii="Times New Roman" w:eastAsia="Aptos" w:hAnsi="Times New Roman" w:cs="Times New Roman"/>
                <w:i/>
                <w:iCs/>
                <w:kern w:val="2"/>
                <w:vertAlign w:val="superscript"/>
                <w:lang w:val="ro-MD"/>
              </w:rPr>
              <w:t>1</w:t>
            </w:r>
            <w:r w:rsidRPr="009E686F">
              <w:rPr>
                <w:rFonts w:ascii="Times New Roman" w:eastAsia="Aptos" w:hAnsi="Times New Roman" w:cs="Times New Roman"/>
                <w:i/>
                <w:iCs/>
                <w:kern w:val="2"/>
                <w:lang w:val="ro-MD"/>
              </w:rPr>
              <w:t>,</w:t>
            </w:r>
            <w:r w:rsidRPr="009E686F">
              <w:rPr>
                <w:rFonts w:ascii="Times New Roman" w:eastAsia="Aptos" w:hAnsi="Times New Roman" w:cs="Times New Roman"/>
                <w:kern w:val="2"/>
                <w:lang w:val="ro-MD"/>
              </w:rPr>
              <w:t xml:space="preserve"> societăţile financiare holding şi societăţile financiare holding mixte sînt incluse în supravegherea pe bază consolidată</w:t>
            </w:r>
            <w:r w:rsidRPr="009E686F">
              <w:rPr>
                <w:rFonts w:ascii="Times New Roman" w:eastAsia="Aptos" w:hAnsi="Times New Roman" w:cs="Times New Roman"/>
                <w:b/>
                <w:bCs/>
                <w:kern w:val="2"/>
                <w:lang w:val="ro-MD"/>
              </w:rPr>
              <w:t>.</w:t>
            </w:r>
          </w:p>
        </w:tc>
        <w:tc>
          <w:tcPr>
            <w:tcW w:w="470" w:type="pct"/>
            <w:tcBorders>
              <w:top w:val="single" w:sz="4" w:space="0" w:color="auto"/>
              <w:left w:val="single" w:sz="4" w:space="0" w:color="auto"/>
              <w:bottom w:val="single" w:sz="4" w:space="0" w:color="auto"/>
              <w:right w:val="single" w:sz="4" w:space="0" w:color="auto"/>
            </w:tcBorders>
          </w:tcPr>
          <w:p w14:paraId="30255833" w14:textId="7863BDB4"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70137627" w14:textId="77777777" w:rsidR="00984B34" w:rsidRPr="009E686F" w:rsidRDefault="00984B34" w:rsidP="00984B34">
            <w:pPr>
              <w:jc w:val="both"/>
              <w:rPr>
                <w:rFonts w:ascii="Times New Roman" w:hAnsi="Times New Roman" w:cs="Times New Roman"/>
                <w:lang w:val="ro-RO"/>
              </w:rPr>
            </w:pPr>
          </w:p>
        </w:tc>
      </w:tr>
      <w:tr w:rsidR="00984B34" w:rsidRPr="009E686F" w14:paraId="1F08D659" w14:textId="7E22425E" w:rsidTr="00774F3E">
        <w:tc>
          <w:tcPr>
            <w:tcW w:w="1796" w:type="pct"/>
            <w:gridSpan w:val="2"/>
            <w:tcBorders>
              <w:top w:val="single" w:sz="4" w:space="0" w:color="auto"/>
              <w:left w:val="single" w:sz="4" w:space="0" w:color="auto"/>
              <w:bottom w:val="single" w:sz="4" w:space="0" w:color="auto"/>
              <w:right w:val="single" w:sz="4" w:space="0" w:color="auto"/>
            </w:tcBorders>
          </w:tcPr>
          <w:p w14:paraId="0094927F" w14:textId="7234680F"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(2) În cazul în care o filială care este o instituție nu este inclusă în supravegherea pe bază consolidată în temeiul unuia dintre cazurile prevăzute la articolul 19 din Regulamentul (UE) nr. 575/2013, autoritățile competente din statul membru în care este situată filiala respectivă pot solicita întreprinderii-mamă informații de natură să faciliteze supravegherea filialei respective.</w:t>
            </w:r>
          </w:p>
        </w:tc>
        <w:tc>
          <w:tcPr>
            <w:tcW w:w="1928" w:type="pct"/>
            <w:gridSpan w:val="3"/>
            <w:tcBorders>
              <w:top w:val="single" w:sz="4" w:space="0" w:color="auto"/>
              <w:left w:val="single" w:sz="4" w:space="0" w:color="auto"/>
              <w:bottom w:val="single" w:sz="4" w:space="0" w:color="auto"/>
              <w:right w:val="single" w:sz="4" w:space="0" w:color="auto"/>
            </w:tcBorders>
          </w:tcPr>
          <w:p w14:paraId="728A5ECC" w14:textId="268F0A3F" w:rsidR="00984B34" w:rsidRPr="009E686F" w:rsidRDefault="00984B34" w:rsidP="00984B34">
            <w:pPr>
              <w:spacing w:after="0"/>
              <w:jc w:val="both"/>
              <w:rPr>
                <w:rFonts w:ascii="Times New Roman" w:eastAsia="Aptos" w:hAnsi="Times New Roman" w:cs="Times New Roman"/>
                <w:color w:val="FF0000"/>
                <w:kern w:val="2"/>
                <w:lang w:val="ro-MD"/>
              </w:rPr>
            </w:pPr>
            <w:r w:rsidRPr="009E686F">
              <w:rPr>
                <w:rFonts w:ascii="Times New Roman" w:eastAsia="Aptos" w:hAnsi="Times New Roman" w:cs="Times New Roman"/>
                <w:kern w:val="2"/>
                <w:lang w:val="ro-MD"/>
              </w:rPr>
              <w:t xml:space="preserve">(2) În cazul în care o </w:t>
            </w:r>
            <w:r w:rsidRPr="009E686F">
              <w:rPr>
                <w:rFonts w:ascii="Times New Roman" w:eastAsia="Aptos" w:hAnsi="Times New Roman" w:cs="Times New Roman"/>
                <w:i/>
                <w:iCs/>
                <w:kern w:val="2"/>
                <w:lang w:val="ro-MD"/>
              </w:rPr>
              <w:t>instituție de credit</w:t>
            </w:r>
            <w:r w:rsidRPr="009E686F">
              <w:rPr>
                <w:rFonts w:ascii="Times New Roman" w:eastAsia="Aptos" w:hAnsi="Times New Roman" w:cs="Times New Roman"/>
                <w:kern w:val="2"/>
                <w:lang w:val="ro-MD"/>
              </w:rPr>
              <w:t xml:space="preserve">-filială persoană juridică din Republica Moldova nu este inclusă în aria de cuprindere a supravegherii pe bază consolidată exercitată de o autoritate competentă dintr-un alt stat membru, Banca Naţională a Moldovei poate solicita întreprinderii-mamă informaţii care pot facilita supravegherea respectivei </w:t>
            </w:r>
            <w:r w:rsidRPr="009E686F">
              <w:rPr>
                <w:rFonts w:ascii="Times New Roman" w:eastAsia="Aptos" w:hAnsi="Times New Roman" w:cs="Times New Roman"/>
                <w:i/>
                <w:iCs/>
                <w:kern w:val="2"/>
                <w:lang w:val="ro-MD"/>
              </w:rPr>
              <w:t>instituții de credit</w:t>
            </w:r>
            <w:r w:rsidRPr="009E686F">
              <w:rPr>
                <w:rFonts w:ascii="Times New Roman" w:eastAsia="Aptos" w:hAnsi="Times New Roman" w:cs="Times New Roman"/>
                <w:kern w:val="2"/>
                <w:lang w:val="ro-MD"/>
              </w:rPr>
              <w:t>.</w:t>
            </w:r>
            <w:r w:rsidRPr="009E686F">
              <w:rPr>
                <w:rFonts w:ascii="Times New Roman" w:eastAsia="Aptos" w:hAnsi="Times New Roman" w:cs="Times New Roman"/>
                <w:color w:val="FF0000"/>
                <w:kern w:val="2"/>
                <w:lang w:val="ro-MD"/>
              </w:rPr>
              <w:t xml:space="preserve"> </w:t>
            </w:r>
          </w:p>
          <w:p w14:paraId="5E58EF79" w14:textId="4163A3C8" w:rsidR="00984B34" w:rsidRPr="009E686F" w:rsidRDefault="00984B34" w:rsidP="00984B34">
            <w:pPr>
              <w:spacing w:after="0"/>
              <w:jc w:val="both"/>
              <w:rPr>
                <w:rFonts w:ascii="Times New Roman" w:hAnsi="Times New Roman" w:cs="Times New Roman"/>
                <w:b/>
                <w:lang w:val="ro-RO"/>
              </w:rPr>
            </w:pPr>
            <w:r w:rsidRPr="009E686F">
              <w:rPr>
                <w:rFonts w:ascii="Times New Roman" w:eastAsia="Aptos" w:hAnsi="Times New Roman" w:cs="Times New Roman"/>
                <w:kern w:val="2"/>
                <w:lang w:val="ro-MD"/>
              </w:rPr>
              <w:t xml:space="preserve">(3) În cazul în care o </w:t>
            </w:r>
            <w:r w:rsidRPr="009E686F">
              <w:rPr>
                <w:rFonts w:ascii="Times New Roman" w:eastAsia="Aptos" w:hAnsi="Times New Roman" w:cs="Times New Roman"/>
                <w:i/>
                <w:iCs/>
                <w:kern w:val="2"/>
                <w:lang w:val="ro-MD"/>
              </w:rPr>
              <w:t xml:space="preserve">instituție de credit </w:t>
            </w:r>
            <w:r w:rsidRPr="009E686F">
              <w:rPr>
                <w:rFonts w:ascii="Times New Roman" w:eastAsia="Aptos" w:hAnsi="Times New Roman" w:cs="Times New Roman"/>
                <w:kern w:val="2"/>
                <w:lang w:val="ro-MD"/>
              </w:rPr>
              <w:t xml:space="preserve">sau o societate de investiţii filială dintr-un alt stat membru nu este inclusă în supravegherea pe bază consolidată a unei </w:t>
            </w:r>
            <w:r w:rsidRPr="009E686F">
              <w:rPr>
                <w:rFonts w:ascii="Times New Roman" w:eastAsia="Aptos" w:hAnsi="Times New Roman" w:cs="Times New Roman"/>
                <w:i/>
                <w:iCs/>
                <w:kern w:val="2"/>
                <w:lang w:val="ro-MD"/>
              </w:rPr>
              <w:t>instituții de credit</w:t>
            </w:r>
            <w:r w:rsidRPr="009E686F">
              <w:rPr>
                <w:rFonts w:ascii="Times New Roman" w:eastAsia="Aptos" w:hAnsi="Times New Roman" w:cs="Times New Roman"/>
                <w:kern w:val="2"/>
                <w:lang w:val="ro-MD"/>
              </w:rPr>
              <w:t xml:space="preserve"> persoană juridică din Republica Moldova, instituția-mamă la nivelul Republicii Moldova, societatea financiară holding-mamă la nivelul Republicii Moldova sau societatea financiară holding mixtă-mamă la nivelul Republicii Moldova, după caz, trebuie să furnizeze informaţii care pot facilita supravegherea </w:t>
            </w:r>
            <w:r w:rsidRPr="009E686F">
              <w:rPr>
                <w:rFonts w:ascii="Times New Roman" w:eastAsia="Aptos" w:hAnsi="Times New Roman" w:cs="Times New Roman"/>
                <w:i/>
                <w:iCs/>
                <w:kern w:val="2"/>
                <w:lang w:val="ro-MD"/>
              </w:rPr>
              <w:t>instituției de credit</w:t>
            </w:r>
            <w:r w:rsidRPr="009E686F">
              <w:rPr>
                <w:rFonts w:ascii="Times New Roman" w:eastAsia="Aptos" w:hAnsi="Times New Roman" w:cs="Times New Roman"/>
                <w:kern w:val="2"/>
                <w:lang w:val="ro-MD"/>
              </w:rPr>
              <w:t xml:space="preserve"> sau a societăţii de investiţii filială, la solicitarea autorităţilor competente din acel stat.</w:t>
            </w:r>
          </w:p>
        </w:tc>
        <w:tc>
          <w:tcPr>
            <w:tcW w:w="470" w:type="pct"/>
            <w:tcBorders>
              <w:top w:val="single" w:sz="4" w:space="0" w:color="auto"/>
              <w:left w:val="single" w:sz="4" w:space="0" w:color="auto"/>
              <w:bottom w:val="single" w:sz="4" w:space="0" w:color="auto"/>
              <w:right w:val="single" w:sz="4" w:space="0" w:color="auto"/>
            </w:tcBorders>
          </w:tcPr>
          <w:p w14:paraId="14E7E354" w14:textId="2571928F"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2124B1D2" w14:textId="77777777" w:rsidR="00984B34" w:rsidRPr="009E686F" w:rsidRDefault="00984B34" w:rsidP="00984B34">
            <w:pPr>
              <w:jc w:val="both"/>
              <w:rPr>
                <w:rFonts w:ascii="Times New Roman" w:hAnsi="Times New Roman" w:cs="Times New Roman"/>
                <w:lang w:val="ro-RO"/>
              </w:rPr>
            </w:pPr>
          </w:p>
        </w:tc>
      </w:tr>
      <w:tr w:rsidR="00984B34" w:rsidRPr="009E686F" w14:paraId="028C2D13" w14:textId="0A006804" w:rsidTr="00774F3E">
        <w:tc>
          <w:tcPr>
            <w:tcW w:w="1796" w:type="pct"/>
            <w:gridSpan w:val="2"/>
            <w:tcBorders>
              <w:top w:val="single" w:sz="4" w:space="0" w:color="auto"/>
              <w:left w:val="single" w:sz="4" w:space="0" w:color="auto"/>
              <w:bottom w:val="single" w:sz="4" w:space="0" w:color="auto"/>
              <w:right w:val="single" w:sz="4" w:space="0" w:color="auto"/>
            </w:tcBorders>
          </w:tcPr>
          <w:p w14:paraId="62157D24" w14:textId="6D31BDB0"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(3) Statele membre permite autorităților lor competente responsabile cu supravegherea pe bază consolidată să solicite informațiile menționate la articolul 122 filialelor unei instituții, ale unei societăți financiare holding sau ale </w:t>
            </w:r>
            <w:r w:rsidRPr="009E686F">
              <w:rPr>
                <w:rFonts w:ascii="Times New Roman" w:hAnsi="Times New Roman" w:cs="Times New Roman"/>
                <w:lang w:val="ro-RO"/>
              </w:rPr>
              <w:lastRenderedPageBreak/>
              <w:t>unei societăți financiare holding mixte care nu sunt incluse în sfera supravegherii pe bază consolidată. În acest caz, se aplică procedurile de transmitere și verificare a informațiilor prevăzute la articolul respectiv.</w:t>
            </w:r>
          </w:p>
        </w:tc>
        <w:tc>
          <w:tcPr>
            <w:tcW w:w="1928" w:type="pct"/>
            <w:gridSpan w:val="3"/>
            <w:tcBorders>
              <w:top w:val="single" w:sz="4" w:space="0" w:color="auto"/>
              <w:left w:val="single" w:sz="4" w:space="0" w:color="auto"/>
              <w:bottom w:val="single" w:sz="4" w:space="0" w:color="auto"/>
              <w:right w:val="single" w:sz="4" w:space="0" w:color="auto"/>
            </w:tcBorders>
          </w:tcPr>
          <w:p w14:paraId="4BEFD43A" w14:textId="426C29BB" w:rsidR="00984B34" w:rsidRPr="009E686F" w:rsidRDefault="00984B34" w:rsidP="00984B34">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lastRenderedPageBreak/>
              <w:t xml:space="preserve">(4) Banca Naţională a Moldovei, în calitate de autoritate competentă responsabilă cu supravegherea pe bază consolidată, poate solicita filialelor unei </w:t>
            </w:r>
            <w:r w:rsidRPr="009E686F">
              <w:rPr>
                <w:rFonts w:ascii="Times New Roman" w:eastAsia="Aptos" w:hAnsi="Times New Roman" w:cs="Times New Roman"/>
                <w:i/>
                <w:iCs/>
                <w:kern w:val="2"/>
                <w:lang w:val="ro-MD"/>
              </w:rPr>
              <w:t>instituții de credit</w:t>
            </w:r>
            <w:r w:rsidRPr="009E686F">
              <w:rPr>
                <w:rFonts w:ascii="Times New Roman" w:eastAsia="Aptos" w:hAnsi="Times New Roman" w:cs="Times New Roman"/>
                <w:kern w:val="2"/>
                <w:lang w:val="ro-MD"/>
              </w:rPr>
              <w:t xml:space="preserve">, ale unei societăţi financiare holding sau ale unei societăţi financiare holding </w:t>
            </w:r>
            <w:r w:rsidRPr="009E686F">
              <w:rPr>
                <w:rFonts w:ascii="Times New Roman" w:eastAsia="Aptos" w:hAnsi="Times New Roman" w:cs="Times New Roman"/>
                <w:kern w:val="2"/>
                <w:lang w:val="ro-MD"/>
              </w:rPr>
              <w:lastRenderedPageBreak/>
              <w:t>mixte, care nu sînt incluse în aria de cuprindere a consolidării prudenţiale, informaţii de natura celor prevăzute la art.120. În acest caz se aplică procedurile pentru transmiterea şi verificarea informaţiilor prevăzute la art.120.</w:t>
            </w:r>
          </w:p>
        </w:tc>
        <w:tc>
          <w:tcPr>
            <w:tcW w:w="470" w:type="pct"/>
            <w:tcBorders>
              <w:top w:val="single" w:sz="4" w:space="0" w:color="auto"/>
              <w:left w:val="single" w:sz="4" w:space="0" w:color="auto"/>
              <w:bottom w:val="single" w:sz="4" w:space="0" w:color="auto"/>
              <w:right w:val="single" w:sz="4" w:space="0" w:color="auto"/>
            </w:tcBorders>
          </w:tcPr>
          <w:p w14:paraId="4AADA47D" w14:textId="45E62C38"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3580D874" w14:textId="77777777" w:rsidR="00984B34" w:rsidRPr="009E686F" w:rsidRDefault="00984B34" w:rsidP="00984B34">
            <w:pPr>
              <w:jc w:val="both"/>
              <w:rPr>
                <w:rFonts w:ascii="Times New Roman" w:hAnsi="Times New Roman" w:cs="Times New Roman"/>
                <w:lang w:val="ro-RO"/>
              </w:rPr>
            </w:pPr>
          </w:p>
        </w:tc>
      </w:tr>
      <w:tr w:rsidR="00984B34" w:rsidRPr="009E686F" w14:paraId="34ED85A0" w14:textId="2816183F" w:rsidTr="00774F3E">
        <w:tc>
          <w:tcPr>
            <w:tcW w:w="1796" w:type="pct"/>
            <w:gridSpan w:val="2"/>
            <w:tcBorders>
              <w:top w:val="single" w:sz="4" w:space="0" w:color="auto"/>
              <w:left w:val="single" w:sz="4" w:space="0" w:color="auto"/>
              <w:bottom w:val="single" w:sz="4" w:space="0" w:color="auto"/>
              <w:right w:val="single" w:sz="4" w:space="0" w:color="auto"/>
            </w:tcBorders>
          </w:tcPr>
          <w:p w14:paraId="06F22B51" w14:textId="61DC3181" w:rsidR="00984B34" w:rsidRPr="009E686F" w:rsidRDefault="00984B34" w:rsidP="00984B34">
            <w:pPr>
              <w:spacing w:after="0"/>
              <w:jc w:val="both"/>
              <w:rPr>
                <w:rFonts w:ascii="Times New Roman" w:hAnsi="Times New Roman" w:cs="Times New Roman"/>
                <w:i/>
                <w:iCs/>
                <w:lang w:val="ro-MD"/>
              </w:rPr>
            </w:pPr>
            <w:r w:rsidRPr="009E686F">
              <w:rPr>
                <w:rFonts w:ascii="Times New Roman" w:hAnsi="Times New Roman" w:cs="Times New Roman"/>
                <w:i/>
                <w:iCs/>
                <w:lang w:val="ro-MD"/>
              </w:rPr>
              <w:t>Articolul 120</w:t>
            </w:r>
          </w:p>
          <w:p w14:paraId="4F1C488D" w14:textId="1169125D"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Supravegherea societăților financiare holding mixte</w:t>
            </w:r>
          </w:p>
        </w:tc>
        <w:tc>
          <w:tcPr>
            <w:tcW w:w="1928" w:type="pct"/>
            <w:gridSpan w:val="3"/>
            <w:tcBorders>
              <w:top w:val="single" w:sz="4" w:space="0" w:color="auto"/>
              <w:left w:val="single" w:sz="4" w:space="0" w:color="auto"/>
              <w:bottom w:val="single" w:sz="4" w:space="0" w:color="auto"/>
              <w:right w:val="single" w:sz="4" w:space="0" w:color="auto"/>
            </w:tcBorders>
          </w:tcPr>
          <w:p w14:paraId="36D81C10" w14:textId="11B33D01"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b/>
                <w:bCs/>
                <w:lang w:val="ro-RO"/>
              </w:rPr>
              <w:t>Articolul 118.</w:t>
            </w:r>
            <w:r w:rsidRPr="009E686F">
              <w:rPr>
                <w:rFonts w:ascii="Times New Roman" w:hAnsi="Times New Roman" w:cs="Times New Roman"/>
                <w:lang w:val="ro-RO"/>
              </w:rPr>
              <w:t xml:space="preserve"> Supravegherea societăților financiare holding mixte</w:t>
            </w:r>
          </w:p>
        </w:tc>
        <w:tc>
          <w:tcPr>
            <w:tcW w:w="470" w:type="pct"/>
            <w:tcBorders>
              <w:top w:val="single" w:sz="4" w:space="0" w:color="auto"/>
              <w:left w:val="single" w:sz="4" w:space="0" w:color="auto"/>
              <w:bottom w:val="single" w:sz="4" w:space="0" w:color="auto"/>
              <w:right w:val="single" w:sz="4" w:space="0" w:color="auto"/>
            </w:tcBorders>
          </w:tcPr>
          <w:p w14:paraId="1BB975EB" w14:textId="09F57489"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37CE812E" w14:textId="77777777" w:rsidR="00984B34" w:rsidRPr="009E686F" w:rsidRDefault="00984B34" w:rsidP="00984B34">
            <w:pPr>
              <w:jc w:val="both"/>
              <w:rPr>
                <w:rFonts w:ascii="Times New Roman" w:hAnsi="Times New Roman" w:cs="Times New Roman"/>
                <w:lang w:val="ro-RO"/>
              </w:rPr>
            </w:pPr>
          </w:p>
        </w:tc>
      </w:tr>
      <w:tr w:rsidR="00984B34" w:rsidRPr="009E686F" w14:paraId="16421593" w14:textId="6F0FB09D" w:rsidTr="00774F3E">
        <w:tc>
          <w:tcPr>
            <w:tcW w:w="1796" w:type="pct"/>
            <w:gridSpan w:val="2"/>
            <w:tcBorders>
              <w:top w:val="single" w:sz="4" w:space="0" w:color="auto"/>
              <w:left w:val="single" w:sz="4" w:space="0" w:color="auto"/>
              <w:bottom w:val="single" w:sz="4" w:space="0" w:color="auto"/>
              <w:right w:val="single" w:sz="4" w:space="0" w:color="auto"/>
            </w:tcBorders>
          </w:tcPr>
          <w:p w14:paraId="0F62B9A5" w14:textId="7B01E2A0"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(1) În cazul în care o societate financiară holding mixtă face obiectul unor dispoziții echivalente atât în prezenta directivă, cât și în Directiva 2002/87/CE, în special în ceea ce privește supravegherea bazată pe riscuri, autoritatea responsabilă cu supravegherea consolidată poate, după consultarea celorlalte autorități competente responsabile cu supravegherea filialelor, să aplice respectivei societăți financiare holding mixte numai Directiva 2002/87/CE.</w:t>
            </w:r>
          </w:p>
        </w:tc>
        <w:tc>
          <w:tcPr>
            <w:tcW w:w="1928" w:type="pct"/>
            <w:gridSpan w:val="3"/>
            <w:tcBorders>
              <w:top w:val="single" w:sz="4" w:space="0" w:color="auto"/>
              <w:left w:val="single" w:sz="4" w:space="0" w:color="auto"/>
              <w:bottom w:val="single" w:sz="4" w:space="0" w:color="auto"/>
              <w:right w:val="single" w:sz="4" w:space="0" w:color="auto"/>
            </w:tcBorders>
          </w:tcPr>
          <w:p w14:paraId="044F10CC" w14:textId="4104666B" w:rsidR="00984B34" w:rsidRPr="009E686F" w:rsidRDefault="00984B34" w:rsidP="00984B34">
            <w:pPr>
              <w:spacing w:after="0"/>
              <w:jc w:val="both"/>
              <w:rPr>
                <w:rFonts w:ascii="Times New Roman" w:hAnsi="Times New Roman" w:cs="Times New Roman"/>
                <w:b/>
                <w:lang w:val="ro-RO"/>
              </w:rPr>
            </w:pPr>
            <w:r w:rsidRPr="009E686F">
              <w:rPr>
                <w:rFonts w:ascii="Times New Roman" w:eastAsia="Aptos" w:hAnsi="Times New Roman" w:cs="Times New Roman"/>
                <w:kern w:val="2"/>
                <w:lang w:val="ro-MD"/>
              </w:rPr>
              <w:t xml:space="preserve">(1) În cazul în care unei societăţi financiare holding mixte persoană juridică din Republica Moldova îi sînt aplicabile atît prevederile prezentei legi, cît şi prevederile similare din legislaţia cu privire la supravegherea suplimentară a </w:t>
            </w:r>
            <w:r w:rsidRPr="009E686F">
              <w:rPr>
                <w:rFonts w:ascii="Times New Roman" w:eastAsia="Aptos" w:hAnsi="Times New Roman" w:cs="Times New Roman"/>
                <w:i/>
                <w:iCs/>
                <w:kern w:val="2"/>
                <w:lang w:val="ro-MD"/>
              </w:rPr>
              <w:t>instituțiilor de credit</w:t>
            </w:r>
            <w:r w:rsidRPr="009E686F">
              <w:rPr>
                <w:rFonts w:ascii="Times New Roman" w:eastAsia="Aptos" w:hAnsi="Times New Roman" w:cs="Times New Roman"/>
                <w:kern w:val="2"/>
                <w:lang w:val="ro-MD"/>
              </w:rPr>
              <w:t xml:space="preserve">, asigurătorilor/reasigurătorilor şi a societăţilor de investiţii care aparţin unui conglomerat financiar, Banca Naţională a Moldovei, dacă este supraveghetor consolidant, poate să aplice acestei societăţi financiare holding mixte doar prevederile legislaţiei cu privire la supravegherea suplimentară a </w:t>
            </w:r>
            <w:r w:rsidRPr="009E686F">
              <w:rPr>
                <w:rFonts w:ascii="Times New Roman" w:eastAsia="Aptos" w:hAnsi="Times New Roman" w:cs="Times New Roman"/>
                <w:i/>
                <w:iCs/>
                <w:kern w:val="2"/>
                <w:lang w:val="ro-MD"/>
              </w:rPr>
              <w:t>instituțiilor de credit</w:t>
            </w:r>
            <w:r w:rsidRPr="009E686F">
              <w:rPr>
                <w:rFonts w:ascii="Times New Roman" w:eastAsia="Aptos" w:hAnsi="Times New Roman" w:cs="Times New Roman"/>
                <w:kern w:val="2"/>
                <w:lang w:val="ro-MD"/>
              </w:rPr>
              <w:t>, asigurătorilor/reasigurătorilor şi a societăţilor de investiţii care aparţin unui conglomerat financiar, după consultarea celorlalte autorităţi competente responsabile cu supravegherea filialelor societăţii financiare holding mixte.</w:t>
            </w:r>
          </w:p>
        </w:tc>
        <w:tc>
          <w:tcPr>
            <w:tcW w:w="470" w:type="pct"/>
            <w:tcBorders>
              <w:top w:val="single" w:sz="4" w:space="0" w:color="auto"/>
              <w:left w:val="single" w:sz="4" w:space="0" w:color="auto"/>
              <w:bottom w:val="single" w:sz="4" w:space="0" w:color="auto"/>
              <w:right w:val="single" w:sz="4" w:space="0" w:color="auto"/>
            </w:tcBorders>
          </w:tcPr>
          <w:p w14:paraId="684410B6" w14:textId="28846CE2"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64BCE393" w14:textId="77777777" w:rsidR="00984B34" w:rsidRPr="009E686F" w:rsidRDefault="00984B34" w:rsidP="00984B34">
            <w:pPr>
              <w:jc w:val="both"/>
              <w:rPr>
                <w:rFonts w:ascii="Times New Roman" w:hAnsi="Times New Roman" w:cs="Times New Roman"/>
                <w:lang w:val="ro-RO"/>
              </w:rPr>
            </w:pPr>
          </w:p>
        </w:tc>
      </w:tr>
      <w:tr w:rsidR="00984B34" w:rsidRPr="009E686F" w14:paraId="533AF27D" w14:textId="7BD9EE93" w:rsidTr="00774F3E">
        <w:tc>
          <w:tcPr>
            <w:tcW w:w="1796" w:type="pct"/>
            <w:gridSpan w:val="2"/>
            <w:tcBorders>
              <w:top w:val="single" w:sz="4" w:space="0" w:color="auto"/>
              <w:left w:val="single" w:sz="4" w:space="0" w:color="auto"/>
              <w:bottom w:val="single" w:sz="4" w:space="0" w:color="auto"/>
              <w:right w:val="single" w:sz="4" w:space="0" w:color="auto"/>
            </w:tcBorders>
          </w:tcPr>
          <w:p w14:paraId="0CA07A5A" w14:textId="3C0B5043"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(2) Atunci când o societate financiară holding mixtă face obiectul unor dispoziții echivalente în temeiul prezentei directive și al Directivei 2009/138/CE, în special în ceea ce privește supravegherea bazată pe riscuri, supraveghetorul consolidant poate, de comun acord cu supraveghetorul grupului din sectorul asigurărilor, să aplice respectivei societăți financiare holding mixte numai dispozițiile directivei referitoare la sectorul financiar cel mai important sector financiar, astfel cum este definit la articolul 3 alineatul (2) din Directiva 2002/87/CE.</w:t>
            </w:r>
          </w:p>
        </w:tc>
        <w:tc>
          <w:tcPr>
            <w:tcW w:w="1928" w:type="pct"/>
            <w:gridSpan w:val="3"/>
            <w:tcBorders>
              <w:top w:val="single" w:sz="4" w:space="0" w:color="auto"/>
              <w:left w:val="single" w:sz="4" w:space="0" w:color="auto"/>
              <w:bottom w:val="single" w:sz="4" w:space="0" w:color="auto"/>
              <w:right w:val="single" w:sz="4" w:space="0" w:color="auto"/>
            </w:tcBorders>
          </w:tcPr>
          <w:p w14:paraId="443B2A55" w14:textId="781C9000" w:rsidR="00984B34" w:rsidRPr="009E686F" w:rsidRDefault="00984B34" w:rsidP="00984B34">
            <w:pPr>
              <w:spacing w:after="0"/>
              <w:jc w:val="both"/>
              <w:rPr>
                <w:rFonts w:ascii="Times New Roman" w:hAnsi="Times New Roman" w:cs="Times New Roman"/>
                <w:b/>
                <w:lang w:val="ro-RO"/>
              </w:rPr>
            </w:pPr>
            <w:r w:rsidRPr="009E686F">
              <w:rPr>
                <w:rFonts w:ascii="Times New Roman" w:eastAsia="Aptos" w:hAnsi="Times New Roman" w:cs="Times New Roman"/>
                <w:kern w:val="2"/>
                <w:lang w:val="ro-MD"/>
              </w:rPr>
              <w:t xml:space="preserve">(2) În cazul în care unei societăţi financiare holding mixte persoană juridică din Republica Moldova îi sînt aplicabile atît prevederile prezentei legi, cît şi prevederile similare din </w:t>
            </w:r>
            <w:r w:rsidRPr="009E686F">
              <w:rPr>
                <w:rFonts w:ascii="Times New Roman" w:eastAsia="Aptos" w:hAnsi="Times New Roman" w:cs="Times New Roman"/>
                <w:i/>
                <w:iCs/>
                <w:kern w:val="2"/>
                <w:lang w:val="ro-MD"/>
              </w:rPr>
              <w:t>Legea nr. 92/202</w:t>
            </w:r>
            <w:r w:rsidR="00345C69" w:rsidRPr="009E686F">
              <w:rPr>
                <w:rFonts w:ascii="Times New Roman" w:eastAsia="Aptos" w:hAnsi="Times New Roman" w:cs="Times New Roman"/>
                <w:i/>
                <w:iCs/>
                <w:kern w:val="2"/>
                <w:lang w:val="ro-MD"/>
              </w:rPr>
              <w:t>2</w:t>
            </w:r>
            <w:r w:rsidRPr="009E686F">
              <w:rPr>
                <w:rFonts w:ascii="Times New Roman" w:eastAsia="Aptos" w:hAnsi="Times New Roman" w:cs="Times New Roman"/>
                <w:i/>
                <w:iCs/>
                <w:kern w:val="2"/>
                <w:lang w:val="ro-MD"/>
              </w:rPr>
              <w:t xml:space="preserve"> privind activitatea de asigurare sau de reasigurare</w:t>
            </w:r>
            <w:r w:rsidRPr="009E686F">
              <w:rPr>
                <w:rFonts w:ascii="Times New Roman" w:eastAsia="Aptos" w:hAnsi="Times New Roman" w:cs="Times New Roman"/>
                <w:kern w:val="2"/>
                <w:lang w:val="ro-MD"/>
              </w:rPr>
              <w:t xml:space="preserve">, în special prevederile referitoare la supravegherea respectării cerinţelor prudenţiale, Banca Naţională a Moldovei, dacă este supraveghetor consolidant, poate, de comun acord cu autoritatea de supraveghere a grupului din sectorul de asigurări, </w:t>
            </w:r>
            <w:r w:rsidRPr="009E686F">
              <w:rPr>
                <w:rFonts w:ascii="Times New Roman" w:eastAsia="Aptos" w:hAnsi="Times New Roman" w:cs="Times New Roman"/>
                <w:i/>
                <w:iCs/>
                <w:kern w:val="2"/>
                <w:lang w:val="ro-MD"/>
              </w:rPr>
              <w:t xml:space="preserve">în cazul în care aceasta este dintr-un alt stat </w:t>
            </w:r>
            <w:r w:rsidRPr="009E686F">
              <w:rPr>
                <w:rFonts w:ascii="Times New Roman" w:eastAsia="Aptos" w:hAnsi="Times New Roman" w:cs="Times New Roman"/>
                <w:kern w:val="2"/>
                <w:lang w:val="ro-MD"/>
              </w:rPr>
              <w:t xml:space="preserve">să aplice societăţii financiare holding mixte doar prevederile din prezenta lege referitoare la sectorul financiar semnificativ, identificat potrivit prevederilor legislaţiei cu privire la supravegherea suplimentară a </w:t>
            </w:r>
            <w:r w:rsidRPr="009E686F">
              <w:rPr>
                <w:rFonts w:ascii="Times New Roman" w:eastAsia="Aptos" w:hAnsi="Times New Roman" w:cs="Times New Roman"/>
                <w:i/>
                <w:iCs/>
                <w:kern w:val="2"/>
                <w:lang w:val="ro-MD"/>
              </w:rPr>
              <w:t xml:space="preserve">instituțiilor </w:t>
            </w:r>
            <w:r w:rsidRPr="009E686F">
              <w:rPr>
                <w:rFonts w:ascii="Times New Roman" w:eastAsia="Aptos" w:hAnsi="Times New Roman" w:cs="Times New Roman"/>
                <w:i/>
                <w:iCs/>
                <w:kern w:val="2"/>
                <w:lang w:val="ro-MD"/>
              </w:rPr>
              <w:lastRenderedPageBreak/>
              <w:t>de credit</w:t>
            </w:r>
            <w:r w:rsidRPr="009E686F">
              <w:rPr>
                <w:rFonts w:ascii="Times New Roman" w:eastAsia="Aptos" w:hAnsi="Times New Roman" w:cs="Times New Roman"/>
                <w:kern w:val="2"/>
                <w:lang w:val="ro-MD"/>
              </w:rPr>
              <w:t>, asigurătorilor/reasigurătorilor şi a societăţilor de investiţii care aparţin unui conglomerat financiar.</w:t>
            </w:r>
          </w:p>
        </w:tc>
        <w:tc>
          <w:tcPr>
            <w:tcW w:w="470" w:type="pct"/>
            <w:tcBorders>
              <w:top w:val="single" w:sz="4" w:space="0" w:color="auto"/>
              <w:left w:val="single" w:sz="4" w:space="0" w:color="auto"/>
              <w:bottom w:val="single" w:sz="4" w:space="0" w:color="auto"/>
              <w:right w:val="single" w:sz="4" w:space="0" w:color="auto"/>
            </w:tcBorders>
          </w:tcPr>
          <w:p w14:paraId="2CD3C50B" w14:textId="7B51EE05"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0F435AB9" w14:textId="77777777" w:rsidR="00984B34" w:rsidRPr="009E686F" w:rsidRDefault="00984B34" w:rsidP="00984B34">
            <w:pPr>
              <w:jc w:val="both"/>
              <w:rPr>
                <w:rFonts w:ascii="Times New Roman" w:hAnsi="Times New Roman" w:cs="Times New Roman"/>
                <w:lang w:val="ro-RO"/>
              </w:rPr>
            </w:pPr>
          </w:p>
        </w:tc>
      </w:tr>
      <w:tr w:rsidR="00984B34" w:rsidRPr="009E686F" w14:paraId="599F8EAA" w14:textId="60154555" w:rsidTr="00774F3E">
        <w:tc>
          <w:tcPr>
            <w:tcW w:w="1796" w:type="pct"/>
            <w:gridSpan w:val="2"/>
            <w:tcBorders>
              <w:top w:val="single" w:sz="4" w:space="0" w:color="auto"/>
              <w:left w:val="single" w:sz="4" w:space="0" w:color="auto"/>
              <w:bottom w:val="single" w:sz="4" w:space="0" w:color="auto"/>
              <w:right w:val="single" w:sz="4" w:space="0" w:color="auto"/>
            </w:tcBorders>
          </w:tcPr>
          <w:p w14:paraId="12E73D2F" w14:textId="5713B043"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(3) Autoritatea responsabilă cu supravegherea consolidată informează ABE și AEAPO în legătură cu deciziile luate în conformitate cu alineatele (1) și (2).</w:t>
            </w:r>
          </w:p>
        </w:tc>
        <w:tc>
          <w:tcPr>
            <w:tcW w:w="1928" w:type="pct"/>
            <w:gridSpan w:val="3"/>
            <w:tcBorders>
              <w:top w:val="single" w:sz="4" w:space="0" w:color="auto"/>
              <w:left w:val="single" w:sz="4" w:space="0" w:color="auto"/>
              <w:bottom w:val="single" w:sz="4" w:space="0" w:color="auto"/>
              <w:right w:val="single" w:sz="4" w:space="0" w:color="auto"/>
            </w:tcBorders>
          </w:tcPr>
          <w:p w14:paraId="709E6EF6" w14:textId="1DF1A6C1" w:rsidR="00984B34" w:rsidRPr="009E686F" w:rsidRDefault="00984B34" w:rsidP="00984B34">
            <w:pPr>
              <w:spacing w:after="0"/>
              <w:jc w:val="both"/>
              <w:rPr>
                <w:rFonts w:ascii="Times New Roman" w:hAnsi="Times New Roman" w:cs="Times New Roman"/>
                <w:bCs/>
                <w:i/>
                <w:iCs/>
                <w:lang w:val="ro-RO"/>
              </w:rPr>
            </w:pPr>
            <w:r w:rsidRPr="009E686F">
              <w:rPr>
                <w:rFonts w:ascii="Times New Roman" w:hAnsi="Times New Roman" w:cs="Times New Roman"/>
                <w:bCs/>
                <w:i/>
                <w:iCs/>
                <w:lang w:val="ro-RO"/>
              </w:rPr>
              <w:t>(3)  Banca Națională a Moldovei, atunci când are calitatea de autoritate responsabilă cu supravegherea consolidată, informează Autoritatea Bancară Europeană și Autoritatea europeană de asigurări și pensii ocupaționale  în legătură cu deciziile luate în conformitate cu alin. (1) și (2).</w:t>
            </w:r>
          </w:p>
        </w:tc>
        <w:tc>
          <w:tcPr>
            <w:tcW w:w="470" w:type="pct"/>
            <w:tcBorders>
              <w:top w:val="single" w:sz="4" w:space="0" w:color="auto"/>
              <w:left w:val="single" w:sz="4" w:space="0" w:color="auto"/>
              <w:bottom w:val="single" w:sz="4" w:space="0" w:color="auto"/>
              <w:right w:val="single" w:sz="4" w:space="0" w:color="auto"/>
            </w:tcBorders>
          </w:tcPr>
          <w:p w14:paraId="0913DA04" w14:textId="1067AAB0"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53321CC1" w14:textId="77777777" w:rsidR="00984B34" w:rsidRPr="009E686F" w:rsidRDefault="00984B34" w:rsidP="00984B34">
            <w:pPr>
              <w:jc w:val="both"/>
              <w:rPr>
                <w:rFonts w:ascii="Times New Roman" w:hAnsi="Times New Roman" w:cs="Times New Roman"/>
                <w:lang w:val="ro-RO"/>
              </w:rPr>
            </w:pPr>
          </w:p>
        </w:tc>
      </w:tr>
      <w:tr w:rsidR="00984B34" w:rsidRPr="009E686F" w14:paraId="14336DED" w14:textId="5F509008" w:rsidTr="00774F3E">
        <w:tc>
          <w:tcPr>
            <w:tcW w:w="1796" w:type="pct"/>
            <w:gridSpan w:val="2"/>
            <w:tcBorders>
              <w:top w:val="single" w:sz="4" w:space="0" w:color="auto"/>
              <w:left w:val="single" w:sz="4" w:space="0" w:color="auto"/>
              <w:bottom w:val="single" w:sz="4" w:space="0" w:color="auto"/>
              <w:right w:val="single" w:sz="4" w:space="0" w:color="auto"/>
            </w:tcBorders>
          </w:tcPr>
          <w:p w14:paraId="4419C8C8" w14:textId="44639D9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(4) ABE, AEAPO și AEVMP, prin Comitetul comun menționat la articolul 54 din Regulamentele (UE) nr. 1093/2010, (UE) nr. 1094/2010 și (UE) nr. 1095/2010, elaborează orientări menite să asigure convergența practicilor de supraveghere și elaborează, în termen de trei ani de la adoptarea orientărilor, un proiect de standarde tehnice de reglementare în același scop.</w:t>
            </w:r>
          </w:p>
        </w:tc>
        <w:tc>
          <w:tcPr>
            <w:tcW w:w="1928" w:type="pct"/>
            <w:gridSpan w:val="3"/>
            <w:tcBorders>
              <w:top w:val="single" w:sz="4" w:space="0" w:color="auto"/>
              <w:left w:val="single" w:sz="4" w:space="0" w:color="auto"/>
              <w:bottom w:val="single" w:sz="4" w:space="0" w:color="auto"/>
              <w:right w:val="single" w:sz="4" w:space="0" w:color="auto"/>
            </w:tcBorders>
          </w:tcPr>
          <w:p w14:paraId="0C4D5C7F" w14:textId="77777777" w:rsidR="00984B34" w:rsidRPr="009E686F" w:rsidRDefault="00984B34" w:rsidP="00984B34">
            <w:pPr>
              <w:spacing w:after="0"/>
              <w:jc w:val="both"/>
              <w:rPr>
                <w:rFonts w:ascii="Times New Roman" w:hAnsi="Times New Roman" w:cs="Times New Roman"/>
                <w:b/>
                <w:i/>
                <w:iCs/>
                <w:lang w:val="ro-RO"/>
              </w:rPr>
            </w:pPr>
          </w:p>
        </w:tc>
        <w:tc>
          <w:tcPr>
            <w:tcW w:w="470" w:type="pct"/>
            <w:tcBorders>
              <w:top w:val="single" w:sz="4" w:space="0" w:color="auto"/>
              <w:left w:val="single" w:sz="4" w:space="0" w:color="auto"/>
              <w:bottom w:val="single" w:sz="4" w:space="0" w:color="auto"/>
              <w:right w:val="single" w:sz="4" w:space="0" w:color="auto"/>
            </w:tcBorders>
          </w:tcPr>
          <w:p w14:paraId="0EE221B2" w14:textId="3F48B58B"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neaplicabile</w:t>
            </w:r>
          </w:p>
        </w:tc>
        <w:tc>
          <w:tcPr>
            <w:tcW w:w="806" w:type="pct"/>
            <w:tcBorders>
              <w:top w:val="single" w:sz="4" w:space="0" w:color="auto"/>
              <w:left w:val="single" w:sz="4" w:space="0" w:color="auto"/>
              <w:bottom w:val="single" w:sz="4" w:space="0" w:color="auto"/>
              <w:right w:val="single" w:sz="4" w:space="0" w:color="auto"/>
            </w:tcBorders>
          </w:tcPr>
          <w:p w14:paraId="64C7AAF8" w14:textId="7E130A40"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Se referă la competențele ABE, AEAPO și AEVMP.</w:t>
            </w:r>
          </w:p>
        </w:tc>
      </w:tr>
      <w:tr w:rsidR="00984B34" w:rsidRPr="009E686F" w14:paraId="2660835D" w14:textId="48040162" w:rsidTr="00774F3E">
        <w:tc>
          <w:tcPr>
            <w:tcW w:w="1796" w:type="pct"/>
            <w:gridSpan w:val="2"/>
            <w:tcBorders>
              <w:top w:val="single" w:sz="4" w:space="0" w:color="auto"/>
              <w:left w:val="single" w:sz="4" w:space="0" w:color="auto"/>
              <w:bottom w:val="single" w:sz="4" w:space="0" w:color="auto"/>
              <w:right w:val="single" w:sz="4" w:space="0" w:color="auto"/>
            </w:tcBorders>
          </w:tcPr>
          <w:p w14:paraId="4D64E9A6"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Se deleagă Comisiei competența de a adopta standardele tehnice de reglementare menționate la primul paragraf, în conformitate cu articolele 10-14 din Regulamentele (UE) nr. 1093/2010, (UE) nr. 1094/2010 și (UE) nr. 1095/2010.</w:t>
            </w:r>
          </w:p>
        </w:tc>
        <w:tc>
          <w:tcPr>
            <w:tcW w:w="1928" w:type="pct"/>
            <w:gridSpan w:val="3"/>
            <w:tcBorders>
              <w:top w:val="single" w:sz="4" w:space="0" w:color="auto"/>
              <w:left w:val="single" w:sz="4" w:space="0" w:color="auto"/>
              <w:bottom w:val="single" w:sz="4" w:space="0" w:color="auto"/>
              <w:right w:val="single" w:sz="4" w:space="0" w:color="auto"/>
            </w:tcBorders>
          </w:tcPr>
          <w:p w14:paraId="2BF947BF"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15422A61" w14:textId="6369776D"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neaplicabile</w:t>
            </w:r>
          </w:p>
        </w:tc>
        <w:tc>
          <w:tcPr>
            <w:tcW w:w="806" w:type="pct"/>
            <w:tcBorders>
              <w:top w:val="single" w:sz="4" w:space="0" w:color="auto"/>
              <w:left w:val="single" w:sz="4" w:space="0" w:color="auto"/>
              <w:bottom w:val="single" w:sz="4" w:space="0" w:color="auto"/>
              <w:right w:val="single" w:sz="4" w:space="0" w:color="auto"/>
            </w:tcBorders>
          </w:tcPr>
          <w:p w14:paraId="4CB19E58" w14:textId="73704102"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Se referă la competențele Comisiei Europene.</w:t>
            </w:r>
          </w:p>
        </w:tc>
      </w:tr>
      <w:tr w:rsidR="00984B34" w:rsidRPr="009E686F" w14:paraId="1FD16182" w14:textId="49564EB9" w:rsidTr="00774F3E">
        <w:tc>
          <w:tcPr>
            <w:tcW w:w="1796" w:type="pct"/>
            <w:gridSpan w:val="2"/>
            <w:tcBorders>
              <w:top w:val="single" w:sz="4" w:space="0" w:color="auto"/>
              <w:left w:val="single" w:sz="4" w:space="0" w:color="auto"/>
              <w:bottom w:val="single" w:sz="4" w:space="0" w:color="auto"/>
              <w:right w:val="single" w:sz="4" w:space="0" w:color="auto"/>
            </w:tcBorders>
          </w:tcPr>
          <w:p w14:paraId="666546A3" w14:textId="77777777" w:rsidR="00984B34" w:rsidRPr="009E686F" w:rsidRDefault="00984B34" w:rsidP="00984B34">
            <w:pPr>
              <w:spacing w:after="0"/>
              <w:jc w:val="both"/>
              <w:rPr>
                <w:rFonts w:ascii="Times New Roman" w:hAnsi="Times New Roman" w:cs="Times New Roman"/>
                <w:i/>
                <w:iCs/>
                <w:lang w:val="ro-RO"/>
              </w:rPr>
            </w:pPr>
            <w:r w:rsidRPr="009E686F">
              <w:rPr>
                <w:rFonts w:ascii="Times New Roman" w:hAnsi="Times New Roman" w:cs="Times New Roman"/>
                <w:i/>
                <w:iCs/>
                <w:lang w:val="ro-RO"/>
              </w:rPr>
              <w:t xml:space="preserve">Articolul 121 </w:t>
            </w:r>
          </w:p>
          <w:p w14:paraId="0F9DD219" w14:textId="347ACF08"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Calificarea membrilor organului de conducere</w:t>
            </w:r>
          </w:p>
          <w:p w14:paraId="6732AAC7" w14:textId="77777777" w:rsidR="00984B34" w:rsidRPr="009E686F" w:rsidRDefault="00984B34" w:rsidP="00984B34">
            <w:pPr>
              <w:spacing w:after="0"/>
              <w:jc w:val="both"/>
              <w:rPr>
                <w:rFonts w:ascii="Times New Roman" w:hAnsi="Times New Roman" w:cs="Times New Roman"/>
                <w:lang w:val="ro-RO"/>
              </w:rPr>
            </w:pPr>
          </w:p>
          <w:p w14:paraId="45F78032"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Statele membre prevăd obligația ca membrii organului de conducere al unei societăți financiare holding sau al unei societăți financiare holding mixte, altele decât cele care au primit aprobare în conformitate cu articolul 21a alineatul (1), să aibă o reputație suficient de bună și să posede suficiente cunoștințe, competențe și experiență, astfel cum se prevede la articolul 91 alineatul (1), pentru a exercita aceste atribuții, având în vedere rolul specific al unei societăți financiare holding sau al unei societăți financiare holding mixte. </w:t>
            </w:r>
          </w:p>
          <w:p w14:paraId="53833519" w14:textId="4F95EED0"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lastRenderedPageBreak/>
              <w:t>Societățile financiare holding sau societățile financiare holding mixte sunt principalele responsabile pentru asigurarea adecvării membrilor organului lor de conducere.</w:t>
            </w:r>
          </w:p>
          <w:p w14:paraId="4A5F19BF" w14:textId="57F3AACF" w:rsidR="00984B34" w:rsidRPr="009E686F" w:rsidRDefault="00984B34" w:rsidP="00984B34">
            <w:pPr>
              <w:spacing w:after="0"/>
              <w:jc w:val="both"/>
              <w:rPr>
                <w:rFonts w:ascii="Times New Roman" w:hAnsi="Times New Roman" w:cs="Times New Roman"/>
                <w:lang w:val="ro-RO"/>
              </w:rPr>
            </w:pPr>
          </w:p>
        </w:tc>
        <w:tc>
          <w:tcPr>
            <w:tcW w:w="1928" w:type="pct"/>
            <w:gridSpan w:val="3"/>
            <w:tcBorders>
              <w:top w:val="single" w:sz="4" w:space="0" w:color="auto"/>
              <w:left w:val="single" w:sz="4" w:space="0" w:color="auto"/>
              <w:bottom w:val="single" w:sz="4" w:space="0" w:color="auto"/>
              <w:right w:val="single" w:sz="4" w:space="0" w:color="auto"/>
            </w:tcBorders>
          </w:tcPr>
          <w:p w14:paraId="2ADBB1AC" w14:textId="39ECA1F0" w:rsidR="00984B34" w:rsidRPr="009E686F" w:rsidRDefault="00984B34" w:rsidP="00984B34">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lastRenderedPageBreak/>
              <w:t> </w:t>
            </w:r>
            <w:r w:rsidRPr="009E686F">
              <w:rPr>
                <w:rFonts w:ascii="Times New Roman" w:eastAsia="Aptos" w:hAnsi="Times New Roman" w:cs="Times New Roman"/>
                <w:b/>
                <w:bCs/>
                <w:kern w:val="2"/>
                <w:lang w:val="ro-MD"/>
              </w:rPr>
              <w:t>Articolul 119.</w:t>
            </w:r>
            <w:r w:rsidRPr="009E686F">
              <w:rPr>
                <w:rFonts w:ascii="Times New Roman" w:eastAsia="Aptos" w:hAnsi="Times New Roman" w:cs="Times New Roman"/>
                <w:kern w:val="2"/>
                <w:lang w:val="ro-MD"/>
              </w:rPr>
              <w:t xml:space="preserve"> Calificarea membrilor organului de conducere</w:t>
            </w:r>
          </w:p>
          <w:p w14:paraId="493BE23C" w14:textId="14F0DC54" w:rsidR="00984B34" w:rsidRPr="009E686F" w:rsidRDefault="00984B34" w:rsidP="00984B34">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 xml:space="preserve">(1) Administrarea şi/sau conducerea activităţii unei societăţi financiare holding sau a unei societăţi financiare holding mixte, persoane juridice din Republica Moldova, trebuie să fie asigurată de cel puţin 3 persoane. Membrii organului de conducere al unei societăţi financiare holding sau al unei societăţi financiare holding mixte, </w:t>
            </w:r>
            <w:r w:rsidRPr="009E686F">
              <w:rPr>
                <w:rFonts w:ascii="Times New Roman" w:eastAsia="Aptos" w:hAnsi="Times New Roman" w:cs="Times New Roman"/>
                <w:i/>
                <w:iCs/>
                <w:kern w:val="2"/>
                <w:lang w:val="ro-MD"/>
              </w:rPr>
              <w:t>altele decât cele care au primit aprobare în conformitate cu art. 116</w:t>
            </w:r>
            <w:r w:rsidRPr="009E686F">
              <w:rPr>
                <w:rFonts w:ascii="Times New Roman" w:eastAsia="Aptos" w:hAnsi="Times New Roman" w:cs="Times New Roman"/>
                <w:i/>
                <w:iCs/>
                <w:kern w:val="2"/>
                <w:vertAlign w:val="superscript"/>
                <w:lang w:val="ro-MD"/>
              </w:rPr>
              <w:t>1</w:t>
            </w:r>
            <w:r w:rsidRPr="009E686F">
              <w:rPr>
                <w:rFonts w:ascii="Times New Roman" w:eastAsia="Aptos" w:hAnsi="Times New Roman" w:cs="Times New Roman"/>
                <w:kern w:val="2"/>
                <w:lang w:val="ro-MD"/>
              </w:rPr>
              <w:t xml:space="preserve"> trebuie să dispună de o reputaţie suficient de bună şi </w:t>
            </w:r>
            <w:r w:rsidRPr="009E686F">
              <w:rPr>
                <w:rFonts w:ascii="Times New Roman" w:eastAsia="Aptos" w:hAnsi="Times New Roman" w:cs="Times New Roman"/>
                <w:i/>
                <w:iCs/>
                <w:kern w:val="2"/>
                <w:lang w:val="ro-MD"/>
              </w:rPr>
              <w:t>să posede</w:t>
            </w:r>
            <w:r w:rsidRPr="009E686F">
              <w:rPr>
                <w:rFonts w:ascii="Times New Roman" w:eastAsia="Aptos" w:hAnsi="Times New Roman" w:cs="Times New Roman"/>
                <w:kern w:val="2"/>
                <w:lang w:val="ro-MD"/>
              </w:rPr>
              <w:t xml:space="preserve"> suficiente cunoştinţe, </w:t>
            </w:r>
            <w:r w:rsidRPr="009E686F">
              <w:rPr>
                <w:rFonts w:ascii="Times New Roman" w:eastAsia="Aptos" w:hAnsi="Times New Roman" w:cs="Times New Roman"/>
                <w:i/>
                <w:iCs/>
                <w:kern w:val="2"/>
                <w:lang w:val="ro-MD"/>
              </w:rPr>
              <w:t xml:space="preserve">aptitudini </w:t>
            </w:r>
            <w:r w:rsidRPr="009E686F">
              <w:rPr>
                <w:rFonts w:ascii="Times New Roman" w:eastAsia="Aptos" w:hAnsi="Times New Roman" w:cs="Times New Roman"/>
                <w:kern w:val="2"/>
                <w:lang w:val="ro-MD"/>
              </w:rPr>
              <w:t>și experiență</w:t>
            </w:r>
            <w:r w:rsidRPr="009E686F">
              <w:rPr>
                <w:rFonts w:ascii="Times New Roman" w:eastAsia="Aptos" w:hAnsi="Times New Roman" w:cs="Times New Roman"/>
                <w:i/>
                <w:iCs/>
                <w:kern w:val="2"/>
                <w:lang w:val="ro-MD"/>
              </w:rPr>
              <w:t>,</w:t>
            </w:r>
            <w:r w:rsidRPr="009E686F">
              <w:rPr>
                <w:rFonts w:ascii="Times New Roman" w:eastAsia="Aptos" w:hAnsi="Times New Roman" w:cs="Times New Roman"/>
                <w:kern w:val="2"/>
                <w:lang w:val="ro-MD"/>
              </w:rPr>
              <w:t xml:space="preserve"> astfel cum este prevăzut la art.43</w:t>
            </w:r>
            <w:r w:rsidR="00EA0070" w:rsidRPr="009E686F">
              <w:rPr>
                <w:rFonts w:ascii="Times New Roman" w:eastAsia="Aptos" w:hAnsi="Times New Roman" w:cs="Times New Roman"/>
                <w:i/>
                <w:iCs/>
                <w:kern w:val="2"/>
                <w:lang w:val="ro-MD"/>
              </w:rPr>
              <w:t xml:space="preserve"> </w:t>
            </w:r>
            <w:r w:rsidR="00B90DFF" w:rsidRPr="009E686F">
              <w:rPr>
                <w:rFonts w:ascii="Times New Roman" w:eastAsia="Aptos" w:hAnsi="Times New Roman" w:cs="Times New Roman"/>
                <w:i/>
                <w:iCs/>
                <w:kern w:val="2"/>
                <w:lang w:val="ro-MD"/>
              </w:rPr>
              <w:t>alin. (1)</w:t>
            </w:r>
            <w:r w:rsidRPr="009E686F">
              <w:rPr>
                <w:rFonts w:ascii="Times New Roman" w:eastAsia="Aptos" w:hAnsi="Times New Roman" w:cs="Times New Roman"/>
                <w:kern w:val="2"/>
                <w:lang w:val="ro-MD"/>
              </w:rPr>
              <w:t xml:space="preserve"> pentru a exercita aceste atribuţii, cu luare în considerare a rolului specific al unei societăţi financiare holding sau al unei societăţi financiare holding mixte.</w:t>
            </w:r>
            <w:r w:rsidRPr="009E686F">
              <w:rPr>
                <w:rFonts w:ascii="Times New Roman" w:eastAsia="Aptos" w:hAnsi="Times New Roman" w:cs="Times New Roman"/>
                <w:color w:val="FF0000"/>
                <w:kern w:val="2"/>
                <w:lang w:val="ro-MD"/>
              </w:rPr>
              <w:t xml:space="preserve"> </w:t>
            </w:r>
          </w:p>
          <w:p w14:paraId="1F40ECA7" w14:textId="11827C44" w:rsidR="00984B34" w:rsidRPr="009E686F" w:rsidRDefault="00984B34" w:rsidP="00984B34">
            <w:pPr>
              <w:spacing w:after="0"/>
              <w:jc w:val="both"/>
              <w:rPr>
                <w:rFonts w:ascii="Times New Roman" w:hAnsi="Times New Roman" w:cs="Times New Roman"/>
                <w:b/>
                <w:lang w:val="ro-RO"/>
              </w:rPr>
            </w:pPr>
            <w:r w:rsidRPr="009E686F">
              <w:rPr>
                <w:rFonts w:ascii="Times New Roman" w:eastAsia="Aptos" w:hAnsi="Times New Roman" w:cs="Times New Roman"/>
                <w:kern w:val="2"/>
                <w:lang w:val="ro-MD"/>
              </w:rPr>
              <w:lastRenderedPageBreak/>
              <w:t xml:space="preserve">(2) Societăţile financiare holding şi societăţile financiare holding mixte, prevăzute la alin.(1), trebuie să notifice Banca Naţională a Moldovei, în calitate de autoritate competentă responsabilă cu supravegherea pe bază consolidată, cu privire la numirea în funcţie a persoanelor prevăzute la alin.(1), în condiţiile stabilite prin actele normative emise în aplicarea prezentei legi, </w:t>
            </w:r>
            <w:r w:rsidRPr="009E686F">
              <w:rPr>
                <w:rFonts w:ascii="Times New Roman" w:eastAsia="Aptos" w:hAnsi="Times New Roman" w:cs="Times New Roman"/>
                <w:i/>
                <w:iCs/>
                <w:kern w:val="2"/>
                <w:lang w:val="ro-MD"/>
              </w:rPr>
              <w:t>fiind responsabile pentru asigurarea adecvării acestor persoane</w:t>
            </w:r>
            <w:r w:rsidRPr="009E686F">
              <w:rPr>
                <w:rFonts w:ascii="Times New Roman" w:eastAsia="Aptos" w:hAnsi="Times New Roman" w:cs="Times New Roman"/>
                <w:kern w:val="2"/>
                <w:lang w:val="ro-MD"/>
              </w:rPr>
              <w:t>.</w:t>
            </w:r>
          </w:p>
        </w:tc>
        <w:tc>
          <w:tcPr>
            <w:tcW w:w="470" w:type="pct"/>
            <w:tcBorders>
              <w:top w:val="single" w:sz="4" w:space="0" w:color="auto"/>
              <w:left w:val="single" w:sz="4" w:space="0" w:color="auto"/>
              <w:bottom w:val="single" w:sz="4" w:space="0" w:color="auto"/>
              <w:right w:val="single" w:sz="4" w:space="0" w:color="auto"/>
            </w:tcBorders>
          </w:tcPr>
          <w:p w14:paraId="18C384FB" w14:textId="11252071"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0B23949C" w14:textId="77777777" w:rsidR="00984B34" w:rsidRPr="009E686F" w:rsidRDefault="00984B34" w:rsidP="00984B34">
            <w:pPr>
              <w:jc w:val="both"/>
              <w:rPr>
                <w:rFonts w:ascii="Times New Roman" w:hAnsi="Times New Roman" w:cs="Times New Roman"/>
                <w:lang w:val="ro-RO"/>
              </w:rPr>
            </w:pPr>
          </w:p>
        </w:tc>
      </w:tr>
      <w:tr w:rsidR="00984B34" w:rsidRPr="009E686F" w14:paraId="410E0837" w14:textId="7CE603CE" w:rsidTr="00774F3E">
        <w:tc>
          <w:tcPr>
            <w:tcW w:w="1796" w:type="pct"/>
            <w:gridSpan w:val="2"/>
            <w:tcBorders>
              <w:top w:val="single" w:sz="4" w:space="0" w:color="auto"/>
              <w:left w:val="single" w:sz="4" w:space="0" w:color="auto"/>
              <w:bottom w:val="single" w:sz="4" w:space="0" w:color="auto"/>
              <w:right w:val="single" w:sz="4" w:space="0" w:color="auto"/>
            </w:tcBorders>
          </w:tcPr>
          <w:p w14:paraId="16D09895" w14:textId="77777777" w:rsidR="00984B34" w:rsidRPr="009E686F" w:rsidRDefault="00984B34" w:rsidP="00984B34">
            <w:pPr>
              <w:spacing w:after="0"/>
              <w:jc w:val="both"/>
              <w:rPr>
                <w:rFonts w:ascii="Times New Roman" w:hAnsi="Times New Roman" w:cs="Times New Roman"/>
                <w:b/>
                <w:bCs/>
                <w:lang w:val="ro-RO"/>
              </w:rPr>
            </w:pPr>
            <w:r w:rsidRPr="009E686F">
              <w:rPr>
                <w:rFonts w:ascii="Times New Roman" w:hAnsi="Times New Roman" w:cs="Times New Roman"/>
                <w:i/>
                <w:iCs/>
                <w:lang w:val="ro-RO"/>
              </w:rPr>
              <w:t>Articolul 122</w:t>
            </w:r>
            <w:r w:rsidRPr="009E686F">
              <w:rPr>
                <w:rFonts w:ascii="Times New Roman" w:hAnsi="Times New Roman" w:cs="Times New Roman"/>
                <w:lang w:val="ro-RO"/>
              </w:rPr>
              <w:t xml:space="preserve"> </w:t>
            </w:r>
          </w:p>
          <w:p w14:paraId="2FD07A79" w14:textId="1DCE84FD"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Solicitări de informații și inspecții</w:t>
            </w:r>
          </w:p>
        </w:tc>
        <w:tc>
          <w:tcPr>
            <w:tcW w:w="1928" w:type="pct"/>
            <w:gridSpan w:val="3"/>
            <w:tcBorders>
              <w:top w:val="single" w:sz="4" w:space="0" w:color="auto"/>
              <w:left w:val="single" w:sz="4" w:space="0" w:color="auto"/>
              <w:bottom w:val="single" w:sz="4" w:space="0" w:color="auto"/>
              <w:right w:val="single" w:sz="4" w:space="0" w:color="auto"/>
            </w:tcBorders>
          </w:tcPr>
          <w:p w14:paraId="065140BD" w14:textId="7410A64B"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b/>
                <w:bCs/>
                <w:lang w:val="ro-RO"/>
              </w:rPr>
              <w:t>Articolul 120.</w:t>
            </w:r>
            <w:r w:rsidRPr="009E686F">
              <w:rPr>
                <w:rFonts w:ascii="Times New Roman" w:hAnsi="Times New Roman" w:cs="Times New Roman"/>
                <w:lang w:val="ro-RO"/>
              </w:rPr>
              <w:t xml:space="preserve"> Solicitări de informații și inspecții</w:t>
            </w:r>
          </w:p>
        </w:tc>
        <w:tc>
          <w:tcPr>
            <w:tcW w:w="470" w:type="pct"/>
            <w:tcBorders>
              <w:top w:val="single" w:sz="4" w:space="0" w:color="auto"/>
              <w:left w:val="single" w:sz="4" w:space="0" w:color="auto"/>
              <w:bottom w:val="single" w:sz="4" w:space="0" w:color="auto"/>
              <w:right w:val="single" w:sz="4" w:space="0" w:color="auto"/>
            </w:tcBorders>
          </w:tcPr>
          <w:p w14:paraId="762D4070" w14:textId="4052743B"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40CC21D0" w14:textId="77777777" w:rsidR="00984B34" w:rsidRPr="009E686F" w:rsidRDefault="00984B34" w:rsidP="00984B34">
            <w:pPr>
              <w:jc w:val="both"/>
              <w:rPr>
                <w:rFonts w:ascii="Times New Roman" w:hAnsi="Times New Roman" w:cs="Times New Roman"/>
                <w:lang w:val="ro-RO"/>
              </w:rPr>
            </w:pPr>
          </w:p>
        </w:tc>
      </w:tr>
      <w:tr w:rsidR="00984B34" w:rsidRPr="009E686F" w14:paraId="50BE0050" w14:textId="18CB47B2" w:rsidTr="00774F3E">
        <w:tc>
          <w:tcPr>
            <w:tcW w:w="1796" w:type="pct"/>
            <w:gridSpan w:val="2"/>
            <w:tcBorders>
              <w:top w:val="single" w:sz="4" w:space="0" w:color="auto"/>
              <w:left w:val="single" w:sz="4" w:space="0" w:color="auto"/>
              <w:bottom w:val="single" w:sz="4" w:space="0" w:color="auto"/>
              <w:right w:val="single" w:sz="4" w:space="0" w:color="auto"/>
            </w:tcBorders>
          </w:tcPr>
          <w:p w14:paraId="7C11E29D" w14:textId="13D5DFDC"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(1) Până la coordonarea ulterioară a metodelor de consolidare, statele membre adoptă dispoziții care prevăd că, în cazul în care întreprinderea-mamă a uneia sau a mai multor instituții este un holding cu activitate mixtă, autoritățile competente responsabile cu autorizarea și supravegherea instituțiilor respective cer, luând legătura cu respectivul holding cu activitate mixtă și cu filialele acestuia, fie direct, fie prin intermediul filialelor care sunt instituții, furnizarea oricăror informații care ar putea fi relevante în scopul supravegherii filialelor respective.</w:t>
            </w:r>
          </w:p>
        </w:tc>
        <w:tc>
          <w:tcPr>
            <w:tcW w:w="1928" w:type="pct"/>
            <w:gridSpan w:val="3"/>
            <w:tcBorders>
              <w:top w:val="single" w:sz="4" w:space="0" w:color="auto"/>
              <w:left w:val="single" w:sz="4" w:space="0" w:color="auto"/>
              <w:bottom w:val="single" w:sz="4" w:space="0" w:color="auto"/>
              <w:right w:val="single" w:sz="4" w:space="0" w:color="auto"/>
            </w:tcBorders>
          </w:tcPr>
          <w:p w14:paraId="60E504F9" w14:textId="52119FF3" w:rsidR="00984B34" w:rsidRPr="009E686F" w:rsidRDefault="00984B34" w:rsidP="00984B34">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 xml:space="preserve">(1) Dacă întreprinderea-mamă a uneia sau a mai multor </w:t>
            </w:r>
            <w:r w:rsidRPr="009E686F">
              <w:rPr>
                <w:rFonts w:ascii="Times New Roman" w:eastAsia="Aptos" w:hAnsi="Times New Roman" w:cs="Times New Roman"/>
                <w:i/>
                <w:iCs/>
                <w:kern w:val="2"/>
                <w:lang w:val="ro-MD"/>
              </w:rPr>
              <w:t>instituții de credit</w:t>
            </w:r>
            <w:r w:rsidRPr="009E686F">
              <w:rPr>
                <w:rFonts w:ascii="Times New Roman" w:eastAsia="Aptos" w:hAnsi="Times New Roman" w:cs="Times New Roman"/>
                <w:kern w:val="2"/>
                <w:lang w:val="ro-MD"/>
              </w:rPr>
              <w:t xml:space="preserve"> persoane juridice din Republica Moldova este societate holding cu activitate mixtă, Banca Naţională a Moldovei solicită societăţii holding cu activitate mixtă şi filialelor acesteia, inclusiv în situaţia în care sînt situate pe teritoriul unui alt stat </w:t>
            </w:r>
            <w:r w:rsidRPr="009E686F">
              <w:rPr>
                <w:rFonts w:ascii="Times New Roman" w:eastAsia="Aptos" w:hAnsi="Times New Roman" w:cs="Times New Roman"/>
                <w:i/>
                <w:iCs/>
                <w:kern w:val="2"/>
                <w:lang w:val="ro-MD"/>
              </w:rPr>
              <w:t>membru</w:t>
            </w:r>
            <w:r w:rsidRPr="009E686F">
              <w:rPr>
                <w:rFonts w:ascii="Times New Roman" w:eastAsia="Aptos" w:hAnsi="Times New Roman" w:cs="Times New Roman"/>
                <w:kern w:val="2"/>
                <w:lang w:val="ro-MD"/>
              </w:rPr>
              <w:t xml:space="preserve">, direct sau prin intermediul </w:t>
            </w:r>
            <w:r w:rsidRPr="009E686F">
              <w:rPr>
                <w:rFonts w:ascii="Times New Roman" w:eastAsia="Aptos" w:hAnsi="Times New Roman" w:cs="Times New Roman"/>
                <w:i/>
                <w:iCs/>
                <w:kern w:val="2"/>
                <w:lang w:val="ro-MD"/>
              </w:rPr>
              <w:t>instituțiilor de credit</w:t>
            </w:r>
            <w:r w:rsidRPr="009E686F">
              <w:rPr>
                <w:rFonts w:ascii="Times New Roman" w:eastAsia="Aptos" w:hAnsi="Times New Roman" w:cs="Times New Roman"/>
                <w:kern w:val="2"/>
                <w:lang w:val="ro-MD"/>
              </w:rPr>
              <w:t xml:space="preserve">-filiale, orice informaţii care ar putea fi relevante pentru scopul supravegherii </w:t>
            </w:r>
            <w:r w:rsidRPr="009E686F">
              <w:rPr>
                <w:rFonts w:ascii="Times New Roman" w:eastAsia="Aptos" w:hAnsi="Times New Roman" w:cs="Times New Roman"/>
                <w:i/>
                <w:iCs/>
                <w:kern w:val="2"/>
                <w:lang w:val="ro-MD"/>
              </w:rPr>
              <w:t>instituțiilor de credit</w:t>
            </w:r>
            <w:r w:rsidRPr="009E686F">
              <w:rPr>
                <w:rFonts w:ascii="Times New Roman" w:eastAsia="Aptos" w:hAnsi="Times New Roman" w:cs="Times New Roman"/>
                <w:kern w:val="2"/>
                <w:lang w:val="ro-MD"/>
              </w:rPr>
              <w:t xml:space="preserve"> persoane juridice din Republica Moldova – filiale ale societăţii holding cu activitate mixtă.</w:t>
            </w:r>
            <w:r w:rsidRPr="009E686F">
              <w:rPr>
                <w:rFonts w:ascii="Times New Roman" w:eastAsia="Aptos" w:hAnsi="Times New Roman" w:cs="Times New Roman"/>
                <w:color w:val="FF0000"/>
                <w:kern w:val="2"/>
                <w:lang w:val="ro-MD"/>
              </w:rPr>
              <w:t xml:space="preserve"> </w:t>
            </w:r>
          </w:p>
          <w:p w14:paraId="5685D488" w14:textId="780F7FAD" w:rsidR="00984B34" w:rsidRPr="009E686F" w:rsidRDefault="00984B34" w:rsidP="00984B34">
            <w:pPr>
              <w:spacing w:after="0"/>
              <w:jc w:val="both"/>
              <w:rPr>
                <w:rFonts w:ascii="Times New Roman" w:hAnsi="Times New Roman" w:cs="Times New Roman"/>
                <w:b/>
                <w:lang w:val="ro-RO"/>
              </w:rPr>
            </w:pPr>
            <w:r w:rsidRPr="009E686F">
              <w:rPr>
                <w:rFonts w:ascii="Times New Roman" w:eastAsia="Aptos" w:hAnsi="Times New Roman" w:cs="Times New Roman"/>
                <w:kern w:val="2"/>
                <w:lang w:val="ro-MD"/>
              </w:rPr>
              <w:t xml:space="preserve">(2) O societate holding cu activitate mixtă persoană juridică din Republica Moldova şi filialele acesteia persoane juridice din Republica Moldova trebuie să furnizeze informaţii de natura celor prevăzute la alin.(1), atît la solicitarea Băncii Naţionale a Moldovei, în calitate de autoritate responsabilă cu autorizarea  şi supravegherea unei </w:t>
            </w:r>
            <w:r w:rsidRPr="009E686F">
              <w:rPr>
                <w:rFonts w:ascii="Times New Roman" w:eastAsia="Aptos" w:hAnsi="Times New Roman" w:cs="Times New Roman"/>
                <w:i/>
                <w:iCs/>
                <w:kern w:val="2"/>
                <w:lang w:val="ro-MD"/>
              </w:rPr>
              <w:t>instituții de credit</w:t>
            </w:r>
            <w:r w:rsidRPr="009E686F">
              <w:rPr>
                <w:rFonts w:ascii="Times New Roman" w:eastAsia="Aptos" w:hAnsi="Times New Roman" w:cs="Times New Roman"/>
                <w:kern w:val="2"/>
                <w:lang w:val="ro-MD"/>
              </w:rPr>
              <w:t xml:space="preserve"> persoană juridică din Republica Moldova – filială a societăţii holding cu activitate mixtă, cît şi la solicitarea autorităţii responsabile cu autorizarea şi supravegherea unei </w:t>
            </w:r>
            <w:r w:rsidRPr="009E686F">
              <w:rPr>
                <w:rFonts w:ascii="Times New Roman" w:eastAsia="Aptos" w:hAnsi="Times New Roman" w:cs="Times New Roman"/>
                <w:i/>
                <w:iCs/>
                <w:kern w:val="2"/>
                <w:lang w:val="ro-MD"/>
              </w:rPr>
              <w:t>instituții de credit</w:t>
            </w:r>
            <w:r w:rsidRPr="009E686F">
              <w:rPr>
                <w:rFonts w:ascii="Times New Roman" w:eastAsia="Aptos" w:hAnsi="Times New Roman" w:cs="Times New Roman"/>
                <w:kern w:val="2"/>
                <w:lang w:val="ro-MD"/>
              </w:rPr>
              <w:t xml:space="preserve"> dintr-un alt stat </w:t>
            </w:r>
            <w:r w:rsidRPr="009E686F">
              <w:rPr>
                <w:rFonts w:ascii="Times New Roman" w:eastAsia="Aptos" w:hAnsi="Times New Roman" w:cs="Times New Roman"/>
                <w:i/>
                <w:iCs/>
                <w:kern w:val="2"/>
                <w:lang w:val="ro-MD"/>
              </w:rPr>
              <w:t>membru</w:t>
            </w:r>
            <w:r w:rsidRPr="009E686F">
              <w:rPr>
                <w:rFonts w:ascii="Times New Roman" w:eastAsia="Aptos" w:hAnsi="Times New Roman" w:cs="Times New Roman"/>
                <w:kern w:val="2"/>
                <w:lang w:val="ro-MD"/>
              </w:rPr>
              <w:t>– filială a societăţii holding cu activitate mixtă.</w:t>
            </w:r>
          </w:p>
        </w:tc>
        <w:tc>
          <w:tcPr>
            <w:tcW w:w="470" w:type="pct"/>
            <w:tcBorders>
              <w:top w:val="single" w:sz="4" w:space="0" w:color="auto"/>
              <w:left w:val="single" w:sz="4" w:space="0" w:color="auto"/>
              <w:bottom w:val="single" w:sz="4" w:space="0" w:color="auto"/>
              <w:right w:val="single" w:sz="4" w:space="0" w:color="auto"/>
            </w:tcBorders>
          </w:tcPr>
          <w:p w14:paraId="673754D3" w14:textId="2FE75982"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37F0AA47" w14:textId="77777777" w:rsidR="00984B34" w:rsidRPr="009E686F" w:rsidRDefault="00984B34" w:rsidP="00984B34">
            <w:pPr>
              <w:jc w:val="both"/>
              <w:rPr>
                <w:rFonts w:ascii="Times New Roman" w:hAnsi="Times New Roman" w:cs="Times New Roman"/>
                <w:lang w:val="ro-RO"/>
              </w:rPr>
            </w:pPr>
          </w:p>
        </w:tc>
      </w:tr>
      <w:tr w:rsidR="00984B34" w:rsidRPr="009E686F" w14:paraId="061F6F6F" w14:textId="56BF5D91" w:rsidTr="00774F3E">
        <w:tc>
          <w:tcPr>
            <w:tcW w:w="1796" w:type="pct"/>
            <w:gridSpan w:val="2"/>
            <w:tcBorders>
              <w:top w:val="single" w:sz="4" w:space="0" w:color="auto"/>
              <w:left w:val="single" w:sz="4" w:space="0" w:color="auto"/>
              <w:bottom w:val="single" w:sz="4" w:space="0" w:color="auto"/>
              <w:right w:val="single" w:sz="4" w:space="0" w:color="auto"/>
            </w:tcBorders>
          </w:tcPr>
          <w:p w14:paraId="1F8E5FC6"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lastRenderedPageBreak/>
              <w:t xml:space="preserve">(2) Statele membre adoptă dispoziții care prevăd că autoritățile lor competente pot efectua ele însele sau prin inspectori externi inspecții la fața locului pentru a verifica informațiile primite de la holdingurile cu activitate mixtă și de la filialele acestora. În cazul în care un holding cu activitate mixtă sau una dintre filialele acestuia este o întreprindere de asigurare, poate fi utilizată și procedura prevăzută la articolul 125. </w:t>
            </w:r>
          </w:p>
          <w:p w14:paraId="4E71EA3A" w14:textId="1C526236"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Dacă un holding cu activitate mixtă sau una dintre filialele acestuia este situată într-un alt stat membru decât cel în care se află filiala care este o instituție, verificarea la fața locului a informațiilor se face în conformitate cu procedura prevăzută la articolul 118.</w:t>
            </w:r>
          </w:p>
        </w:tc>
        <w:tc>
          <w:tcPr>
            <w:tcW w:w="1928" w:type="pct"/>
            <w:gridSpan w:val="3"/>
            <w:tcBorders>
              <w:top w:val="single" w:sz="4" w:space="0" w:color="auto"/>
              <w:left w:val="single" w:sz="4" w:space="0" w:color="auto"/>
              <w:bottom w:val="single" w:sz="4" w:space="0" w:color="auto"/>
              <w:right w:val="single" w:sz="4" w:space="0" w:color="auto"/>
            </w:tcBorders>
          </w:tcPr>
          <w:p w14:paraId="2F7951C7" w14:textId="77777777" w:rsidR="00984B34" w:rsidRPr="009E686F" w:rsidRDefault="00984B34" w:rsidP="00984B34">
            <w:pPr>
              <w:spacing w:after="0"/>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(3) Banca Naţională a Moldovei poate efectua inspecţii, pentru a verifica informaţiile furnizate de societăţile holding cu activitate mixtă şi filialele acestora, prin intermediul personalului Băncii Naţionale a Moldovei, împuternicit în acest sens, sau prin intermediul entităţilor de audit sau experţilor numiţi de Banca Naţională a Moldovei.</w:t>
            </w:r>
          </w:p>
          <w:p w14:paraId="5B590E69" w14:textId="77777777" w:rsidR="00984B34" w:rsidRPr="009E686F" w:rsidRDefault="00984B34" w:rsidP="00984B34">
            <w:pPr>
              <w:spacing w:after="0"/>
              <w:jc w:val="both"/>
              <w:rPr>
                <w:rFonts w:ascii="Times New Roman" w:eastAsia="Aptos" w:hAnsi="Times New Roman" w:cs="Times New Roman"/>
                <w:kern w:val="2"/>
                <w:lang w:val="ro-MD"/>
              </w:rPr>
            </w:pPr>
          </w:p>
          <w:p w14:paraId="6CD10B62" w14:textId="24606B78" w:rsidR="00984B34" w:rsidRPr="009E686F" w:rsidRDefault="00984B34" w:rsidP="00984B34">
            <w:pPr>
              <w:spacing w:after="0"/>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 xml:space="preserve">(4) Dacă societatea holding cu activitate mixtă sau una dintre filialele acesteia este un asigurător, poate fi utilizată şi procedura prevăzută la art.123. Dacă societatea holding cu activitate mixtă sau una dintre filialele acesteia îşi are sediul într-un alt stat </w:t>
            </w:r>
            <w:r w:rsidRPr="009E686F">
              <w:rPr>
                <w:rFonts w:ascii="Times New Roman" w:eastAsia="Aptos" w:hAnsi="Times New Roman" w:cs="Times New Roman"/>
                <w:i/>
                <w:iCs/>
                <w:kern w:val="2"/>
                <w:lang w:val="ro-MD"/>
              </w:rPr>
              <w:t>membr</w:t>
            </w:r>
            <w:r w:rsidRPr="009E686F">
              <w:rPr>
                <w:rFonts w:ascii="Times New Roman" w:eastAsia="Aptos" w:hAnsi="Times New Roman" w:cs="Times New Roman"/>
                <w:kern w:val="2"/>
                <w:lang w:val="ro-MD"/>
              </w:rPr>
              <w:t>u, verificarea informaţiilor se efectuează potrivit procedurii prevăzute la art.115.</w:t>
            </w:r>
          </w:p>
        </w:tc>
        <w:tc>
          <w:tcPr>
            <w:tcW w:w="470" w:type="pct"/>
            <w:tcBorders>
              <w:top w:val="single" w:sz="4" w:space="0" w:color="auto"/>
              <w:left w:val="single" w:sz="4" w:space="0" w:color="auto"/>
              <w:bottom w:val="single" w:sz="4" w:space="0" w:color="auto"/>
              <w:right w:val="single" w:sz="4" w:space="0" w:color="auto"/>
            </w:tcBorders>
          </w:tcPr>
          <w:p w14:paraId="2AAE91E3" w14:textId="5961AFFC"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5ED579F8" w14:textId="77777777" w:rsidR="00984B34" w:rsidRPr="009E686F" w:rsidRDefault="00984B34" w:rsidP="00984B34">
            <w:pPr>
              <w:jc w:val="both"/>
              <w:rPr>
                <w:rFonts w:ascii="Times New Roman" w:hAnsi="Times New Roman" w:cs="Times New Roman"/>
                <w:lang w:val="ro-RO"/>
              </w:rPr>
            </w:pPr>
          </w:p>
        </w:tc>
      </w:tr>
      <w:tr w:rsidR="00984B34" w:rsidRPr="009E686F" w14:paraId="16C2199C" w14:textId="5EFEC938" w:rsidTr="0084237F">
        <w:tc>
          <w:tcPr>
            <w:tcW w:w="5000" w:type="pct"/>
            <w:gridSpan w:val="7"/>
            <w:tcBorders>
              <w:top w:val="single" w:sz="4" w:space="0" w:color="auto"/>
              <w:left w:val="single" w:sz="4" w:space="0" w:color="auto"/>
              <w:bottom w:val="single" w:sz="4" w:space="0" w:color="auto"/>
              <w:right w:val="single" w:sz="4" w:space="0" w:color="auto"/>
            </w:tcBorders>
          </w:tcPr>
          <w:p w14:paraId="03C21BFB"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i/>
                <w:iCs/>
                <w:lang w:val="ro-RO"/>
              </w:rPr>
              <w:t>Articolul 123</w:t>
            </w:r>
            <w:r w:rsidRPr="009E686F">
              <w:rPr>
                <w:rFonts w:ascii="Times New Roman" w:hAnsi="Times New Roman" w:cs="Times New Roman"/>
                <w:lang w:val="ro-RO"/>
              </w:rPr>
              <w:t xml:space="preserve"> </w:t>
            </w:r>
          </w:p>
          <w:p w14:paraId="43C3CC33" w14:textId="2811AB33"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Supravegherea</w:t>
            </w:r>
          </w:p>
        </w:tc>
      </w:tr>
      <w:tr w:rsidR="00984B34" w:rsidRPr="009E686F" w14:paraId="574F6EAC" w14:textId="431F34D6" w:rsidTr="00774F3E">
        <w:tc>
          <w:tcPr>
            <w:tcW w:w="1796" w:type="pct"/>
            <w:gridSpan w:val="2"/>
            <w:tcBorders>
              <w:top w:val="single" w:sz="4" w:space="0" w:color="auto"/>
              <w:left w:val="single" w:sz="4" w:space="0" w:color="auto"/>
              <w:bottom w:val="single" w:sz="4" w:space="0" w:color="auto"/>
              <w:right w:val="single" w:sz="4" w:space="0" w:color="auto"/>
            </w:tcBorders>
          </w:tcPr>
          <w:p w14:paraId="26F18698" w14:textId="0C066E96"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(1) Fără a aduce atingere părții a patra a Regulamentului (UE) nr. 575/2013, statele membre adoptă dispoziții care prevăd că, în cazul în care întreprinderea-mamă a uneia sau a mai multor instituții este un holding cu activitate mixtă, autoritățile competente responsabile cu supravegherea instituțiilor respective exercită o supraveghere generală a tranzacțiilor pe care instituțiile în cauză le efectuează cu holdingul cu activitate mixtă și cu filialele sale.</w:t>
            </w:r>
          </w:p>
        </w:tc>
        <w:tc>
          <w:tcPr>
            <w:tcW w:w="1928" w:type="pct"/>
            <w:gridSpan w:val="3"/>
            <w:tcBorders>
              <w:top w:val="single" w:sz="4" w:space="0" w:color="auto"/>
              <w:left w:val="single" w:sz="4" w:space="0" w:color="auto"/>
              <w:bottom w:val="single" w:sz="4" w:space="0" w:color="auto"/>
              <w:right w:val="single" w:sz="4" w:space="0" w:color="auto"/>
            </w:tcBorders>
          </w:tcPr>
          <w:p w14:paraId="1D90CE78" w14:textId="4A1F928E"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lang w:val="ro-RO"/>
              </w:rPr>
              <w:t xml:space="preserve">Fără a se aduce atingere prevederilor aferente expuneri mari din prezenta lege și actele normative ale Băncii Naționale a Moldovei, dacă  întreprinderea-mamă a uneia sau mai multor  </w:t>
            </w:r>
            <w:r w:rsidRPr="009E686F">
              <w:rPr>
                <w:rFonts w:ascii="Times New Roman" w:hAnsi="Times New Roman" w:cs="Times New Roman"/>
                <w:i/>
                <w:iCs/>
                <w:lang w:val="ro-RO"/>
              </w:rPr>
              <w:t>instituții de credit</w:t>
            </w:r>
            <w:r w:rsidRPr="009E686F">
              <w:rPr>
                <w:rFonts w:ascii="Times New Roman" w:hAnsi="Times New Roman" w:cs="Times New Roman"/>
                <w:lang w:val="ro-RO"/>
              </w:rPr>
              <w:t xml:space="preserve">, persoane juridice din Republica Moldova, este o societate holding cu activitate mixtă, Banca Naţională a Moldovei exercită o supraveghere generală a tranzacţiilor dintre respectivele  </w:t>
            </w:r>
            <w:r w:rsidRPr="009E686F">
              <w:rPr>
                <w:rFonts w:ascii="Times New Roman" w:hAnsi="Times New Roman" w:cs="Times New Roman"/>
                <w:i/>
                <w:iCs/>
                <w:lang w:val="ro-RO"/>
              </w:rPr>
              <w:t>instituții de credit</w:t>
            </w:r>
            <w:r w:rsidRPr="009E686F">
              <w:rPr>
                <w:rFonts w:ascii="Times New Roman" w:hAnsi="Times New Roman" w:cs="Times New Roman"/>
                <w:lang w:val="ro-RO"/>
              </w:rPr>
              <w:t>, pe de o parte, şi societatea holding cu activitate mixtă şi filialele acesteia, pe de altă parte, în condiţiile stabilite prin actele normative emise în aplicarea prezentei legi.</w:t>
            </w:r>
          </w:p>
        </w:tc>
        <w:tc>
          <w:tcPr>
            <w:tcW w:w="470" w:type="pct"/>
            <w:tcBorders>
              <w:top w:val="single" w:sz="4" w:space="0" w:color="auto"/>
              <w:left w:val="single" w:sz="4" w:space="0" w:color="auto"/>
              <w:bottom w:val="single" w:sz="4" w:space="0" w:color="auto"/>
              <w:right w:val="single" w:sz="4" w:space="0" w:color="auto"/>
            </w:tcBorders>
          </w:tcPr>
          <w:p w14:paraId="574D9B66" w14:textId="1532A087"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6FE5F8DB" w14:textId="77777777" w:rsidR="00984B34" w:rsidRPr="009E686F" w:rsidRDefault="00984B34" w:rsidP="00984B34">
            <w:pPr>
              <w:jc w:val="both"/>
              <w:rPr>
                <w:rFonts w:ascii="Times New Roman" w:hAnsi="Times New Roman" w:cs="Times New Roman"/>
                <w:lang w:val="ro-RO"/>
              </w:rPr>
            </w:pPr>
          </w:p>
        </w:tc>
      </w:tr>
      <w:tr w:rsidR="00984B34" w:rsidRPr="009E686F" w14:paraId="74F9E596" w14:textId="300C03DA" w:rsidTr="00774F3E">
        <w:tc>
          <w:tcPr>
            <w:tcW w:w="1796" w:type="pct"/>
            <w:gridSpan w:val="2"/>
            <w:tcBorders>
              <w:top w:val="single" w:sz="4" w:space="0" w:color="auto"/>
              <w:left w:val="single" w:sz="4" w:space="0" w:color="auto"/>
              <w:bottom w:val="single" w:sz="4" w:space="0" w:color="auto"/>
              <w:right w:val="single" w:sz="4" w:space="0" w:color="auto"/>
            </w:tcBorders>
          </w:tcPr>
          <w:p w14:paraId="29A2E45B" w14:textId="110DE78B"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(2) Autoritățile competente cer instituțiilor să pună în aplicare proceduri adecvate de gestionare a riscurilor și mecanisme de control intern adecvate, inclusiv proceduri riguroase de raportare și de contabilitate, în vederea identificării, măsurării, monitorizării și controlării adecvate </w:t>
            </w:r>
            <w:r w:rsidRPr="009E686F">
              <w:rPr>
                <w:rFonts w:ascii="Times New Roman" w:hAnsi="Times New Roman" w:cs="Times New Roman"/>
                <w:lang w:val="ro-RO"/>
              </w:rPr>
              <w:lastRenderedPageBreak/>
              <w:t xml:space="preserve">a tranzacțiilor efectuate cu holdingul-mamă cu activitate mixtă și cu filialele sale. </w:t>
            </w:r>
          </w:p>
          <w:p w14:paraId="6F0834E6" w14:textId="3759B9EB"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Autoritățile competente cer instituțiilor să le comunice orice tranzacție semnificativă efectuată cu entitățile respective, cu excepția celei menționate la articolul 394 din Regulamentul (UE) nr. 575/2013. </w:t>
            </w:r>
          </w:p>
          <w:p w14:paraId="28E25ADC"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Aceste proceduri și tranzacții semnificative fac obiectul unui control din partea autorităților competente.</w:t>
            </w:r>
          </w:p>
        </w:tc>
        <w:tc>
          <w:tcPr>
            <w:tcW w:w="1928" w:type="pct"/>
            <w:gridSpan w:val="3"/>
            <w:tcBorders>
              <w:top w:val="single" w:sz="4" w:space="0" w:color="auto"/>
              <w:left w:val="single" w:sz="4" w:space="0" w:color="auto"/>
              <w:bottom w:val="single" w:sz="4" w:space="0" w:color="auto"/>
              <w:right w:val="single" w:sz="4" w:space="0" w:color="auto"/>
            </w:tcBorders>
          </w:tcPr>
          <w:p w14:paraId="75D97EE4" w14:textId="22838AED"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b/>
                <w:lang w:val="ro-RO"/>
              </w:rPr>
              <w:lastRenderedPageBreak/>
              <w:t>Pct. 21-23 din Regulamentul cu privire la supravegherea pe bază consolidată a băncilor, aprobat prin HCE nr.101/2020</w:t>
            </w:r>
          </w:p>
          <w:p w14:paraId="31406765" w14:textId="706F388D" w:rsidR="00984B34" w:rsidRPr="009E686F" w:rsidRDefault="00984B34" w:rsidP="00984B34">
            <w:pPr>
              <w:spacing w:after="0"/>
              <w:jc w:val="both"/>
              <w:rPr>
                <w:rFonts w:ascii="Times New Roman" w:hAnsi="Times New Roman" w:cs="Times New Roman"/>
                <w:bCs/>
                <w:lang w:val="ro-RO"/>
              </w:rPr>
            </w:pPr>
            <w:r w:rsidRPr="009E686F">
              <w:rPr>
                <w:rFonts w:ascii="Times New Roman" w:hAnsi="Times New Roman" w:cs="Times New Roman"/>
                <w:bCs/>
                <w:lang w:val="ro-RO"/>
              </w:rPr>
              <w:t xml:space="preserve">21. Băncile, persoane juridice din Republica Moldova, filiale ale unei societăţi holding cu activitate mixtă, trebuie să dispună de procese de administrare a riscurilor şi de mecanisme de control intern adecvate, inclusiv de proceduri contabile şi de raportare </w:t>
            </w:r>
            <w:r w:rsidRPr="009E686F">
              <w:rPr>
                <w:rFonts w:ascii="Times New Roman" w:hAnsi="Times New Roman" w:cs="Times New Roman"/>
                <w:bCs/>
                <w:lang w:val="ro-RO"/>
              </w:rPr>
              <w:lastRenderedPageBreak/>
              <w:t>riguroase, pentru a identifica, măsura, monitoriza şi controla în mod corespunzător tranzacţiile acestora cu societatea holding cu activitate mixtă şi cu filialele acesteia.</w:t>
            </w:r>
          </w:p>
          <w:p w14:paraId="0ECB5EC4" w14:textId="77777777" w:rsidR="00984B34" w:rsidRPr="009E686F" w:rsidRDefault="00984B34" w:rsidP="00984B34">
            <w:pPr>
              <w:spacing w:after="0"/>
              <w:jc w:val="both"/>
              <w:rPr>
                <w:rFonts w:ascii="Times New Roman" w:hAnsi="Times New Roman" w:cs="Times New Roman"/>
                <w:bCs/>
                <w:lang w:val="ro-RO"/>
              </w:rPr>
            </w:pPr>
            <w:r w:rsidRPr="009E686F">
              <w:rPr>
                <w:rFonts w:ascii="Times New Roman" w:hAnsi="Times New Roman" w:cs="Times New Roman"/>
                <w:bCs/>
                <w:lang w:val="ro-RO"/>
              </w:rPr>
              <w:t>22. Băncile trebuie să informeze Banca Naţională a Moldovei despre orice tranzacţie semnificativă cu entităţile prevăzute la pct.21, alta decât cea care este raportată ca expunere mare potrivit Regulamentului privind expunerile mari ale băncilor, aprobat prin Hotărârea Comitetului executiv al Băncii Naţionale a Moldovei nr.109/2019. Informaţia respectivă va fi transmisă către Banca Naţională a Moldovei prin canalul electronic de comunicare şi va include, cel puţin: data tranzacţiei, scopul detailat / argumentarea tranzacţiei, date despre contraparte (denumirea, adresa), suma şi valuta tranzacţiei.</w:t>
            </w:r>
          </w:p>
          <w:p w14:paraId="21C0BB61" w14:textId="6BA2F8D3" w:rsidR="00984B34" w:rsidRPr="009E686F" w:rsidRDefault="00984B34" w:rsidP="00984B34">
            <w:pPr>
              <w:spacing w:after="0"/>
              <w:jc w:val="both"/>
              <w:rPr>
                <w:rFonts w:ascii="Times New Roman" w:hAnsi="Times New Roman" w:cs="Times New Roman"/>
                <w:bCs/>
                <w:lang w:val="ro-RO"/>
              </w:rPr>
            </w:pPr>
            <w:r w:rsidRPr="009E686F">
              <w:rPr>
                <w:rFonts w:ascii="Times New Roman" w:hAnsi="Times New Roman" w:cs="Times New Roman"/>
                <w:bCs/>
                <w:lang w:val="ro-RO"/>
              </w:rPr>
              <w:t>23. Procesele, mecanismele şi procedurile prevăzute la pct.21 şi tranzacţiile semnificative vor fi supuse supravegherii de către Banca Naţională a Moldovei.</w:t>
            </w:r>
          </w:p>
        </w:tc>
        <w:tc>
          <w:tcPr>
            <w:tcW w:w="470" w:type="pct"/>
            <w:tcBorders>
              <w:top w:val="single" w:sz="4" w:space="0" w:color="auto"/>
              <w:left w:val="single" w:sz="4" w:space="0" w:color="auto"/>
              <w:bottom w:val="single" w:sz="4" w:space="0" w:color="auto"/>
              <w:right w:val="single" w:sz="4" w:space="0" w:color="auto"/>
            </w:tcBorders>
          </w:tcPr>
          <w:p w14:paraId="2A22BABD" w14:textId="77777777"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lastRenderedPageBreak/>
              <w:t>Compatibil</w:t>
            </w:r>
          </w:p>
          <w:p w14:paraId="7537B3CE" w14:textId="26CEA9C3"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72297ED8" w14:textId="77777777" w:rsidR="00984B34" w:rsidRPr="009E686F" w:rsidRDefault="00984B34" w:rsidP="00984B34">
            <w:pPr>
              <w:jc w:val="both"/>
              <w:rPr>
                <w:rFonts w:ascii="Times New Roman" w:hAnsi="Times New Roman" w:cs="Times New Roman"/>
                <w:lang w:val="ro-RO"/>
              </w:rPr>
            </w:pPr>
          </w:p>
        </w:tc>
      </w:tr>
      <w:tr w:rsidR="00984B34" w:rsidRPr="009E686F" w14:paraId="0ADF3893" w14:textId="0E99725D" w:rsidTr="000C6D1B">
        <w:tc>
          <w:tcPr>
            <w:tcW w:w="5000" w:type="pct"/>
            <w:gridSpan w:val="7"/>
            <w:tcBorders>
              <w:top w:val="single" w:sz="4" w:space="0" w:color="auto"/>
              <w:left w:val="single" w:sz="4" w:space="0" w:color="auto"/>
              <w:bottom w:val="single" w:sz="4" w:space="0" w:color="auto"/>
              <w:right w:val="single" w:sz="4" w:space="0" w:color="auto"/>
            </w:tcBorders>
          </w:tcPr>
          <w:p w14:paraId="258180E6" w14:textId="77777777" w:rsidR="00984B34" w:rsidRPr="009E686F" w:rsidRDefault="00984B34" w:rsidP="00984B34">
            <w:pPr>
              <w:spacing w:after="0"/>
              <w:jc w:val="both"/>
              <w:rPr>
                <w:rFonts w:ascii="Times New Roman" w:hAnsi="Times New Roman" w:cs="Times New Roman"/>
                <w:i/>
                <w:iCs/>
                <w:lang w:val="ro-RO"/>
              </w:rPr>
            </w:pPr>
            <w:r w:rsidRPr="009E686F">
              <w:rPr>
                <w:rFonts w:ascii="Times New Roman" w:hAnsi="Times New Roman" w:cs="Times New Roman"/>
                <w:i/>
                <w:iCs/>
                <w:lang w:val="ro-RO"/>
              </w:rPr>
              <w:t xml:space="preserve">Articolul 124 </w:t>
            </w:r>
          </w:p>
          <w:p w14:paraId="7C4C965F" w14:textId="2E731202"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Schimbul de informații</w:t>
            </w:r>
          </w:p>
        </w:tc>
      </w:tr>
      <w:tr w:rsidR="00984B34" w:rsidRPr="009E686F" w14:paraId="0AF1A83A" w14:textId="343BE4CA" w:rsidTr="00774F3E">
        <w:tc>
          <w:tcPr>
            <w:tcW w:w="1796" w:type="pct"/>
            <w:gridSpan w:val="2"/>
            <w:tcBorders>
              <w:top w:val="single" w:sz="4" w:space="0" w:color="auto"/>
              <w:left w:val="single" w:sz="4" w:space="0" w:color="auto"/>
              <w:bottom w:val="single" w:sz="4" w:space="0" w:color="auto"/>
              <w:right w:val="single" w:sz="4" w:space="0" w:color="auto"/>
            </w:tcBorders>
          </w:tcPr>
          <w:p w14:paraId="3CBDEB01" w14:textId="32328824"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(1) Statele se asigură că nu există niciun obstacol juridic în calea schimbului de informații relevante în vederea supravegherii, în conformitate cu articolul 110 și capitolul 3 între întreprinderile care intră sub incidența supravegherii pe bază consolidată, holdingurile cu activitate mixtă și filialele lor sau filialele de tipul celor menționate la articolul 119 alineatul (3).</w:t>
            </w:r>
          </w:p>
        </w:tc>
        <w:tc>
          <w:tcPr>
            <w:tcW w:w="1928" w:type="pct"/>
            <w:gridSpan w:val="3"/>
            <w:tcBorders>
              <w:top w:val="single" w:sz="4" w:space="0" w:color="auto"/>
              <w:left w:val="single" w:sz="4" w:space="0" w:color="auto"/>
              <w:bottom w:val="single" w:sz="4" w:space="0" w:color="auto"/>
              <w:right w:val="single" w:sz="4" w:space="0" w:color="auto"/>
            </w:tcBorders>
          </w:tcPr>
          <w:p w14:paraId="1B354AFA" w14:textId="77777777" w:rsidR="00F60E11" w:rsidRPr="009E686F" w:rsidRDefault="00F60E11" w:rsidP="00F60E11">
            <w:pPr>
              <w:spacing w:after="0"/>
              <w:jc w:val="both"/>
              <w:rPr>
                <w:rFonts w:ascii="Times New Roman" w:hAnsi="Times New Roman" w:cs="Times New Roman"/>
                <w:lang w:val="ro-RO"/>
              </w:rPr>
            </w:pPr>
            <w:r w:rsidRPr="009E686F">
              <w:rPr>
                <w:rFonts w:ascii="Times New Roman" w:hAnsi="Times New Roman" w:cs="Times New Roman"/>
                <w:b/>
                <w:bCs/>
                <w:lang w:val="ro-RO"/>
              </w:rPr>
              <w:t>Articolul 122.</w:t>
            </w:r>
            <w:r w:rsidRPr="009E686F">
              <w:rPr>
                <w:rFonts w:ascii="Times New Roman" w:hAnsi="Times New Roman" w:cs="Times New Roman"/>
                <w:lang w:val="ro-RO"/>
              </w:rPr>
              <w:t xml:space="preserve"> Măsuri de facilitare a supravegherii pe bază consolidată a societăţilor holding</w:t>
            </w:r>
          </w:p>
          <w:p w14:paraId="1972BF2D" w14:textId="77777777"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lang w:val="ro-RO"/>
              </w:rPr>
              <w:t>(1) Entităţile incluse în aria de cuprindere a consolidării prudenţiale, societăţile holding cu activitate mixtă şi filialele acestora, sau filialele prevăzute la art. 117 alin. (4) trebuie să-şi comunice reciproc orice informaţii care ar putea fi relevante pentru scopurile supravegherii pe bază individuală  şi/sau pe bază consolidată.</w:t>
            </w:r>
          </w:p>
        </w:tc>
        <w:tc>
          <w:tcPr>
            <w:tcW w:w="470" w:type="pct"/>
            <w:tcBorders>
              <w:top w:val="single" w:sz="4" w:space="0" w:color="auto"/>
              <w:left w:val="single" w:sz="4" w:space="0" w:color="auto"/>
              <w:bottom w:val="single" w:sz="4" w:space="0" w:color="auto"/>
              <w:right w:val="single" w:sz="4" w:space="0" w:color="auto"/>
            </w:tcBorders>
          </w:tcPr>
          <w:p w14:paraId="621CEE5F" w14:textId="40E595FE"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08CF9318" w14:textId="77777777" w:rsidR="00984B34" w:rsidRPr="009E686F" w:rsidRDefault="00984B34" w:rsidP="00984B34">
            <w:pPr>
              <w:jc w:val="both"/>
              <w:rPr>
                <w:rFonts w:ascii="Times New Roman" w:hAnsi="Times New Roman" w:cs="Times New Roman"/>
                <w:lang w:val="ro-RO"/>
              </w:rPr>
            </w:pPr>
          </w:p>
        </w:tc>
      </w:tr>
      <w:tr w:rsidR="00984B34" w:rsidRPr="009E686F" w14:paraId="2C4727DA" w14:textId="373D9D2C" w:rsidTr="000C6D1B">
        <w:trPr>
          <w:trHeight w:val="2475"/>
        </w:trPr>
        <w:tc>
          <w:tcPr>
            <w:tcW w:w="1796" w:type="pct"/>
            <w:gridSpan w:val="2"/>
            <w:tcBorders>
              <w:top w:val="single" w:sz="4" w:space="0" w:color="auto"/>
              <w:left w:val="single" w:sz="4" w:space="0" w:color="auto"/>
              <w:bottom w:val="single" w:sz="4" w:space="0" w:color="auto"/>
              <w:right w:val="single" w:sz="4" w:space="0" w:color="auto"/>
            </w:tcBorders>
          </w:tcPr>
          <w:p w14:paraId="441B7F5B" w14:textId="5432CA7E"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lastRenderedPageBreak/>
              <w:t>(2) În cazul în care o întreprindere-mamă și oricare dintre filialele acesteia care sunt instituții, sunt situate în state membre diferite, autoritățile competente din fiecare stat membru fac schimb de informații relevante ce pot permite sau facilita exercitarea supravegherii pe bază consolidată.</w:t>
            </w:r>
          </w:p>
        </w:tc>
        <w:tc>
          <w:tcPr>
            <w:tcW w:w="1928" w:type="pct"/>
            <w:gridSpan w:val="3"/>
            <w:tcBorders>
              <w:top w:val="single" w:sz="4" w:space="0" w:color="auto"/>
              <w:left w:val="single" w:sz="4" w:space="0" w:color="auto"/>
              <w:bottom w:val="single" w:sz="4" w:space="0" w:color="auto"/>
              <w:right w:val="single" w:sz="4" w:space="0" w:color="auto"/>
            </w:tcBorders>
          </w:tcPr>
          <w:p w14:paraId="6C0B4FA5" w14:textId="44D4932B"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lang w:val="ro-RO"/>
              </w:rPr>
              <w:t xml:space="preserve">(2) În cazul în care întreprinderea-mamă şi oricare dintre filialele acesteia,  </w:t>
            </w:r>
            <w:r w:rsidRPr="009E686F">
              <w:rPr>
                <w:rFonts w:ascii="Times New Roman" w:hAnsi="Times New Roman" w:cs="Times New Roman"/>
                <w:i/>
                <w:iCs/>
                <w:lang w:val="ro-RO"/>
              </w:rPr>
              <w:t xml:space="preserve">instituție de credit </w:t>
            </w:r>
            <w:r w:rsidRPr="009E686F">
              <w:rPr>
                <w:rFonts w:ascii="Times New Roman" w:hAnsi="Times New Roman" w:cs="Times New Roman"/>
                <w:lang w:val="ro-RO"/>
              </w:rPr>
              <w:t xml:space="preserve">sau societăți de investiţii, sunt situate în state diferite, iar cel puţin una este o </w:t>
            </w:r>
            <w:r w:rsidRPr="009E686F">
              <w:rPr>
                <w:rFonts w:ascii="Times New Roman" w:hAnsi="Times New Roman" w:cs="Times New Roman"/>
                <w:i/>
                <w:iCs/>
                <w:lang w:val="ro-RO"/>
              </w:rPr>
              <w:t>instituție de credit</w:t>
            </w:r>
            <w:r w:rsidRPr="009E686F">
              <w:rPr>
                <w:rFonts w:ascii="Times New Roman" w:hAnsi="Times New Roman" w:cs="Times New Roman"/>
                <w:lang w:val="ro-RO"/>
              </w:rPr>
              <w:t>, persoană juridică din Republica Moldova, Banca Naţională a Moldovei comunică, în condiţii de reciprocitate, autorităţilor competente din celelalte state toate informaţiile relevante care pot permite sau facilita exercitarea supravegherii pe bază consolidată.</w:t>
            </w:r>
          </w:p>
        </w:tc>
        <w:tc>
          <w:tcPr>
            <w:tcW w:w="470" w:type="pct"/>
            <w:tcBorders>
              <w:top w:val="single" w:sz="4" w:space="0" w:color="auto"/>
              <w:left w:val="single" w:sz="4" w:space="0" w:color="auto"/>
              <w:bottom w:val="single" w:sz="4" w:space="0" w:color="auto"/>
              <w:right w:val="single" w:sz="4" w:space="0" w:color="auto"/>
            </w:tcBorders>
          </w:tcPr>
          <w:p w14:paraId="08FB5060" w14:textId="42B8014C"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3436666A" w14:textId="77777777" w:rsidR="00984B34" w:rsidRPr="009E686F" w:rsidRDefault="00984B34" w:rsidP="00984B34">
            <w:pPr>
              <w:jc w:val="both"/>
              <w:rPr>
                <w:rFonts w:ascii="Times New Roman" w:hAnsi="Times New Roman" w:cs="Times New Roman"/>
                <w:lang w:val="ro-RO"/>
              </w:rPr>
            </w:pPr>
          </w:p>
        </w:tc>
      </w:tr>
      <w:tr w:rsidR="00984B34" w:rsidRPr="009E686F" w14:paraId="104FEA21" w14:textId="525A4D30" w:rsidTr="00774F3E">
        <w:tc>
          <w:tcPr>
            <w:tcW w:w="1796" w:type="pct"/>
            <w:gridSpan w:val="2"/>
            <w:tcBorders>
              <w:top w:val="single" w:sz="4" w:space="0" w:color="auto"/>
              <w:left w:val="single" w:sz="4" w:space="0" w:color="auto"/>
              <w:bottom w:val="single" w:sz="4" w:space="0" w:color="auto"/>
              <w:right w:val="single" w:sz="4" w:space="0" w:color="auto"/>
            </w:tcBorders>
          </w:tcPr>
          <w:p w14:paraId="1DA8615B"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În cazul în care autoritățile competente din statul membru unde se află întreprinderea-mamă nu exercită ele însele supravegherea pe bază consolidată în conformitate cu articolul 111, acestea pot fi invitate de autoritățile competente responsabile cu exercitarea supravegherii să solicite întreprinderii-mamă orice informații care ar putea fi relevante pentru supravegherea pe bază consolidată și să transmită aceste informații autorităților respective.</w:t>
            </w:r>
          </w:p>
        </w:tc>
        <w:tc>
          <w:tcPr>
            <w:tcW w:w="1928" w:type="pct"/>
            <w:gridSpan w:val="3"/>
            <w:tcBorders>
              <w:top w:val="single" w:sz="4" w:space="0" w:color="auto"/>
              <w:left w:val="single" w:sz="4" w:space="0" w:color="auto"/>
              <w:bottom w:val="single" w:sz="4" w:space="0" w:color="auto"/>
              <w:right w:val="single" w:sz="4" w:space="0" w:color="auto"/>
            </w:tcBorders>
          </w:tcPr>
          <w:p w14:paraId="53A9A78E" w14:textId="514314A9"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color w:val="000000" w:themeColor="text1"/>
                <w:lang w:val="ro-RO"/>
              </w:rPr>
              <w:t>(3) În cazul în care întreprinderea-mamă are sediul pe teritoriul unui alt stat</w:t>
            </w:r>
            <w:r w:rsidR="004573C6" w:rsidRPr="009E686F">
              <w:rPr>
                <w:rFonts w:ascii="Times New Roman" w:hAnsi="Times New Roman" w:cs="Times New Roman"/>
                <w:color w:val="000000" w:themeColor="text1"/>
                <w:lang w:val="ro-RO"/>
              </w:rPr>
              <w:t xml:space="preserve"> membru</w:t>
            </w:r>
            <w:r w:rsidRPr="009E686F">
              <w:rPr>
                <w:rFonts w:ascii="Times New Roman" w:hAnsi="Times New Roman" w:cs="Times New Roman"/>
                <w:color w:val="000000" w:themeColor="text1"/>
                <w:lang w:val="ro-RO"/>
              </w:rPr>
              <w:t>, iar Banca Naţională a Moldovei exercită supravegherea pe bază consolidată, aceasta poate cere autorităţii competente din respectivul stat să solicite întreprinderi-mamă orice informaţii care ar putea fi relevante pentru scopurile supravegherii pe bază consolidată şi să le transmită Băncii Naţionale a Moldovei.</w:t>
            </w:r>
          </w:p>
        </w:tc>
        <w:tc>
          <w:tcPr>
            <w:tcW w:w="470" w:type="pct"/>
            <w:tcBorders>
              <w:top w:val="single" w:sz="4" w:space="0" w:color="auto"/>
              <w:left w:val="single" w:sz="4" w:space="0" w:color="auto"/>
              <w:bottom w:val="single" w:sz="4" w:space="0" w:color="auto"/>
              <w:right w:val="single" w:sz="4" w:space="0" w:color="auto"/>
            </w:tcBorders>
          </w:tcPr>
          <w:p w14:paraId="2E8DC875" w14:textId="28169A27"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76B39553" w14:textId="77777777" w:rsidR="00984B34" w:rsidRPr="009E686F" w:rsidRDefault="00984B34" w:rsidP="00984B34">
            <w:pPr>
              <w:jc w:val="both"/>
              <w:rPr>
                <w:rFonts w:ascii="Times New Roman" w:hAnsi="Times New Roman" w:cs="Times New Roman"/>
                <w:lang w:val="ro-RO"/>
              </w:rPr>
            </w:pPr>
          </w:p>
        </w:tc>
      </w:tr>
      <w:tr w:rsidR="00984B34" w:rsidRPr="009E686F" w14:paraId="19F65A1A" w14:textId="31D228B1" w:rsidTr="00774F3E">
        <w:tc>
          <w:tcPr>
            <w:tcW w:w="1796" w:type="pct"/>
            <w:gridSpan w:val="2"/>
            <w:tcBorders>
              <w:top w:val="single" w:sz="4" w:space="0" w:color="auto"/>
              <w:left w:val="single" w:sz="4" w:space="0" w:color="auto"/>
              <w:bottom w:val="single" w:sz="4" w:space="0" w:color="auto"/>
              <w:right w:val="single" w:sz="4" w:space="0" w:color="auto"/>
            </w:tcBorders>
          </w:tcPr>
          <w:p w14:paraId="71B1C6FB" w14:textId="0DEFBE4E"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(3) Statele membre autorizează, între autoritățile lor competente, schimbul de informații menționate la alineatul (2), cu condiția ca, în cazul holdingurilor financiare, al societăților financiare holding-mixte, al instituțiilor financiare și al întreprinderilor de servicii auxiliare, colectarea sau deținerea de informații să nu implice obligația autorităților competente de a exercita un rol de supraveghere individuală a instituțiilor sau întreprinderilor respective.  </w:t>
            </w:r>
          </w:p>
        </w:tc>
        <w:tc>
          <w:tcPr>
            <w:tcW w:w="1928" w:type="pct"/>
            <w:gridSpan w:val="3"/>
            <w:tcBorders>
              <w:top w:val="single" w:sz="4" w:space="0" w:color="auto"/>
              <w:left w:val="single" w:sz="4" w:space="0" w:color="auto"/>
              <w:bottom w:val="single" w:sz="4" w:space="0" w:color="auto"/>
              <w:right w:val="single" w:sz="4" w:space="0" w:color="auto"/>
            </w:tcBorders>
          </w:tcPr>
          <w:p w14:paraId="3AAC6806" w14:textId="3FE0E922"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(4) Colectarea şi deţinerea de informaţii potrivit dispoziţiilor alin. (3) nu implică în niciun fel obligaţia pentru Banca Naţională a Moldovei de a exercita un rol de supraveghere pe bază individuală a societăţilor financiare holding, a societăţilor financiare holding mixte, a societăților financiare non-bancare sau a societăţilor prestatoare de servicii auxiliare.</w:t>
            </w:r>
          </w:p>
          <w:p w14:paraId="031F8673" w14:textId="77777777"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lang w:val="ro-RO"/>
              </w:rPr>
              <w:t xml:space="preserve">(5) Banca Naţională a Moldovei comunică autorităţilor competente din celelalte state, în condiţii de reciprocitate, informaţiile prevăzute la art. 120 alin. (1).  </w:t>
            </w:r>
          </w:p>
        </w:tc>
        <w:tc>
          <w:tcPr>
            <w:tcW w:w="470" w:type="pct"/>
            <w:tcBorders>
              <w:top w:val="single" w:sz="4" w:space="0" w:color="auto"/>
              <w:left w:val="single" w:sz="4" w:space="0" w:color="auto"/>
              <w:bottom w:val="single" w:sz="4" w:space="0" w:color="auto"/>
              <w:right w:val="single" w:sz="4" w:space="0" w:color="auto"/>
            </w:tcBorders>
          </w:tcPr>
          <w:p w14:paraId="6B759C34" w14:textId="06247FF8"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2CD3C390" w14:textId="77777777" w:rsidR="00984B34" w:rsidRPr="009E686F" w:rsidRDefault="00984B34" w:rsidP="00984B34">
            <w:pPr>
              <w:jc w:val="both"/>
              <w:rPr>
                <w:rFonts w:ascii="Times New Roman" w:hAnsi="Times New Roman" w:cs="Times New Roman"/>
                <w:lang w:val="ro-RO"/>
              </w:rPr>
            </w:pPr>
          </w:p>
        </w:tc>
      </w:tr>
      <w:tr w:rsidR="00984B34" w:rsidRPr="009E686F" w14:paraId="7FCA2CFF" w14:textId="6A63AA34" w:rsidTr="00774F3E">
        <w:tc>
          <w:tcPr>
            <w:tcW w:w="1796" w:type="pct"/>
            <w:gridSpan w:val="2"/>
            <w:tcBorders>
              <w:top w:val="single" w:sz="4" w:space="0" w:color="auto"/>
              <w:left w:val="single" w:sz="4" w:space="0" w:color="auto"/>
              <w:bottom w:val="single" w:sz="4" w:space="0" w:color="auto"/>
              <w:right w:val="single" w:sz="4" w:space="0" w:color="auto"/>
            </w:tcBorders>
          </w:tcPr>
          <w:p w14:paraId="50300B33" w14:textId="11B17E83"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În mod similar, statele membre autorizează, între autoritățile lor competente, schimbul de informații menționate la articolul 122, cu condiția ca colectarea sau deținerea de informații să nu implice obligația autorităților competente de a exercita un rol de supraveghere a holdingului cu activitate mixtă și a filialelor sale care nu </w:t>
            </w:r>
            <w:r w:rsidRPr="009E686F">
              <w:rPr>
                <w:rFonts w:ascii="Times New Roman" w:hAnsi="Times New Roman" w:cs="Times New Roman"/>
                <w:lang w:val="ro-RO"/>
              </w:rPr>
              <w:lastRenderedPageBreak/>
              <w:t xml:space="preserve">sunt </w:t>
            </w:r>
            <w:r w:rsidRPr="009E686F">
              <w:rPr>
                <w:rFonts w:ascii="Times New Roman" w:hAnsi="Times New Roman" w:cs="Times New Roman"/>
                <w:i/>
                <w:iCs/>
                <w:lang w:val="ro-RO"/>
              </w:rPr>
              <w:t>instituții de credit</w:t>
            </w:r>
            <w:r w:rsidRPr="009E686F">
              <w:rPr>
                <w:rFonts w:ascii="Times New Roman" w:hAnsi="Times New Roman" w:cs="Times New Roman"/>
                <w:lang w:val="ro-RO"/>
              </w:rPr>
              <w:t>, sau a filialelor menționate la articolul 119 alineatul (3).</w:t>
            </w:r>
          </w:p>
        </w:tc>
        <w:tc>
          <w:tcPr>
            <w:tcW w:w="1928" w:type="pct"/>
            <w:gridSpan w:val="3"/>
            <w:tcBorders>
              <w:top w:val="single" w:sz="4" w:space="0" w:color="auto"/>
              <w:left w:val="single" w:sz="4" w:space="0" w:color="auto"/>
              <w:bottom w:val="single" w:sz="4" w:space="0" w:color="auto"/>
              <w:right w:val="single" w:sz="4" w:space="0" w:color="auto"/>
            </w:tcBorders>
          </w:tcPr>
          <w:p w14:paraId="1E211BF2" w14:textId="77777777"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lang w:val="ro-RO"/>
              </w:rPr>
              <w:lastRenderedPageBreak/>
              <w:t>(6) Colectarea şi deţinerea de informaţii potrivit alin. (5) nu implică în niciun fel obligaţia pentru Banca Naţională a Moldovei de a exercita un rol de supraveghere pe bază individuală a societăţilor holding cu activitate mixtă, a filialelor acestora care nu sunt  bănci  sau a filialelor prevăzute la art. 117 alin. (4).</w:t>
            </w:r>
          </w:p>
        </w:tc>
        <w:tc>
          <w:tcPr>
            <w:tcW w:w="470" w:type="pct"/>
            <w:tcBorders>
              <w:top w:val="single" w:sz="4" w:space="0" w:color="auto"/>
              <w:left w:val="single" w:sz="4" w:space="0" w:color="auto"/>
              <w:bottom w:val="single" w:sz="4" w:space="0" w:color="auto"/>
              <w:right w:val="single" w:sz="4" w:space="0" w:color="auto"/>
            </w:tcBorders>
          </w:tcPr>
          <w:p w14:paraId="7739CF14" w14:textId="1B0E6455"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17B0EB87" w14:textId="77777777" w:rsidR="00984B34" w:rsidRPr="009E686F" w:rsidRDefault="00984B34" w:rsidP="00984B34">
            <w:pPr>
              <w:jc w:val="both"/>
              <w:rPr>
                <w:rFonts w:ascii="Times New Roman" w:hAnsi="Times New Roman" w:cs="Times New Roman"/>
                <w:lang w:val="ro-RO"/>
              </w:rPr>
            </w:pPr>
          </w:p>
        </w:tc>
      </w:tr>
      <w:tr w:rsidR="00984B34" w:rsidRPr="009E686F" w14:paraId="4898CEE9" w14:textId="753BA02C" w:rsidTr="00774F3E">
        <w:tc>
          <w:tcPr>
            <w:tcW w:w="1796" w:type="pct"/>
            <w:gridSpan w:val="2"/>
            <w:tcBorders>
              <w:top w:val="single" w:sz="4" w:space="0" w:color="auto"/>
              <w:left w:val="single" w:sz="4" w:space="0" w:color="auto"/>
              <w:bottom w:val="single" w:sz="4" w:space="0" w:color="auto"/>
              <w:right w:val="single" w:sz="4" w:space="0" w:color="auto"/>
            </w:tcBorders>
          </w:tcPr>
          <w:p w14:paraId="50282C01" w14:textId="77777777" w:rsidR="00984B34" w:rsidRPr="009E686F" w:rsidRDefault="00984B34" w:rsidP="00984B34">
            <w:pPr>
              <w:spacing w:after="0"/>
              <w:jc w:val="both"/>
              <w:rPr>
                <w:rFonts w:ascii="Times New Roman" w:hAnsi="Times New Roman" w:cs="Times New Roman"/>
                <w:i/>
                <w:iCs/>
                <w:lang w:val="ro-RO"/>
              </w:rPr>
            </w:pPr>
            <w:r w:rsidRPr="009E686F">
              <w:rPr>
                <w:rFonts w:ascii="Times New Roman" w:hAnsi="Times New Roman" w:cs="Times New Roman"/>
                <w:i/>
                <w:iCs/>
                <w:lang w:val="ro-RO"/>
              </w:rPr>
              <w:t xml:space="preserve">Articolul 125 </w:t>
            </w:r>
          </w:p>
          <w:p w14:paraId="005252E5" w14:textId="2B755AC6"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Cooperarea</w:t>
            </w:r>
          </w:p>
        </w:tc>
        <w:tc>
          <w:tcPr>
            <w:tcW w:w="1928" w:type="pct"/>
            <w:gridSpan w:val="3"/>
            <w:tcBorders>
              <w:top w:val="single" w:sz="4" w:space="0" w:color="auto"/>
              <w:left w:val="single" w:sz="4" w:space="0" w:color="auto"/>
              <w:bottom w:val="single" w:sz="4" w:space="0" w:color="auto"/>
              <w:right w:val="single" w:sz="4" w:space="0" w:color="auto"/>
            </w:tcBorders>
          </w:tcPr>
          <w:p w14:paraId="2AB76B07" w14:textId="5E60D735"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Articolul 123. Cooperarea cu autoritățile de supraveghere a societăților de asigurare și prestatorilor de servicii investiționale </w:t>
            </w:r>
          </w:p>
        </w:tc>
        <w:tc>
          <w:tcPr>
            <w:tcW w:w="470" w:type="pct"/>
            <w:tcBorders>
              <w:top w:val="single" w:sz="4" w:space="0" w:color="auto"/>
              <w:left w:val="single" w:sz="4" w:space="0" w:color="auto"/>
              <w:bottom w:val="single" w:sz="4" w:space="0" w:color="auto"/>
              <w:right w:val="single" w:sz="4" w:space="0" w:color="auto"/>
            </w:tcBorders>
          </w:tcPr>
          <w:p w14:paraId="5991C754" w14:textId="5159AEA1"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64EFA334" w14:textId="77777777" w:rsidR="00984B34" w:rsidRPr="009E686F" w:rsidRDefault="00984B34" w:rsidP="00984B34">
            <w:pPr>
              <w:jc w:val="both"/>
              <w:rPr>
                <w:rFonts w:ascii="Times New Roman" w:hAnsi="Times New Roman" w:cs="Times New Roman"/>
                <w:lang w:val="ro-RO"/>
              </w:rPr>
            </w:pPr>
          </w:p>
        </w:tc>
      </w:tr>
      <w:tr w:rsidR="00984B34" w:rsidRPr="009E686F" w14:paraId="31662C72" w14:textId="47B07DD8" w:rsidTr="00774F3E">
        <w:tc>
          <w:tcPr>
            <w:tcW w:w="1796" w:type="pct"/>
            <w:gridSpan w:val="2"/>
            <w:tcBorders>
              <w:top w:val="single" w:sz="4" w:space="0" w:color="auto"/>
              <w:left w:val="single" w:sz="4" w:space="0" w:color="auto"/>
              <w:bottom w:val="single" w:sz="4" w:space="0" w:color="auto"/>
              <w:right w:val="single" w:sz="4" w:space="0" w:color="auto"/>
            </w:tcBorders>
          </w:tcPr>
          <w:p w14:paraId="15C0CBCA" w14:textId="704AFC04"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(1) În cazul în care o instituție, o societate financiară holding, o societate financiară holding mixtă sau un holding cu activitate mixtă controlează una sau mai multe filiale care sunt întreprinderi de asigurare sau alte întreprinderi care prestează servicii de investiții care fac obiectul unei autorizări, autoritățile competente și autoritățile cărora li s-a încredințat misiunea publică de supraveghere a întreprinderilor de asigurare sau a celorlalte întreprinderi care prestează servicii de investiții cooperează îndeaproape. Fără a aduce atingere responsabilităților lor respective, aceste autorități își comunică toate informațiile de natură să le simplifice misiunea și să permită supravegherea activității și a situației financiare de ansamblu a întreprinderilor de care răspund.</w:t>
            </w:r>
          </w:p>
        </w:tc>
        <w:tc>
          <w:tcPr>
            <w:tcW w:w="1928" w:type="pct"/>
            <w:gridSpan w:val="3"/>
            <w:tcBorders>
              <w:top w:val="single" w:sz="4" w:space="0" w:color="auto"/>
              <w:left w:val="single" w:sz="4" w:space="0" w:color="auto"/>
              <w:bottom w:val="single" w:sz="4" w:space="0" w:color="auto"/>
              <w:right w:val="single" w:sz="4" w:space="0" w:color="auto"/>
            </w:tcBorders>
          </w:tcPr>
          <w:p w14:paraId="3B42744D" w14:textId="05473C63" w:rsidR="00984B34" w:rsidRPr="009E686F" w:rsidRDefault="00984B34" w:rsidP="00984B34">
            <w:pPr>
              <w:spacing w:after="0"/>
              <w:jc w:val="both"/>
              <w:rPr>
                <w:rFonts w:ascii="Times New Roman" w:hAnsi="Times New Roman" w:cs="Times New Roman"/>
                <w:b/>
                <w:lang w:val="ro-RO"/>
              </w:rPr>
            </w:pPr>
            <w:r w:rsidRPr="009E686F">
              <w:rPr>
                <w:rFonts w:ascii="Times New Roman" w:eastAsia="Aptos" w:hAnsi="Times New Roman" w:cs="Times New Roman"/>
                <w:kern w:val="2"/>
                <w:lang w:val="ro-MD"/>
              </w:rPr>
              <w:t xml:space="preserve">(1) În cazul în care o </w:t>
            </w:r>
            <w:r w:rsidRPr="009E686F">
              <w:rPr>
                <w:rFonts w:ascii="Times New Roman" w:eastAsia="Aptos" w:hAnsi="Times New Roman" w:cs="Times New Roman"/>
                <w:i/>
                <w:iCs/>
                <w:kern w:val="2"/>
                <w:lang w:val="ro-MD"/>
              </w:rPr>
              <w:t>instituție de credit</w:t>
            </w:r>
            <w:r w:rsidRPr="009E686F">
              <w:rPr>
                <w:rFonts w:ascii="Times New Roman" w:eastAsia="Aptos" w:hAnsi="Times New Roman" w:cs="Times New Roman"/>
                <w:kern w:val="2"/>
                <w:lang w:val="ro-MD"/>
              </w:rPr>
              <w:t>, o societate financiară holding, o societate financiară holding mixtă sau o societate holding cu activitate mixtă controlează una sau mai multe filiale, care sînt asigurători sau alte entităţi care furnizează servicii de investiţii financiare, care sînt supuse licenţierii, Banca Naţională a Moldovei cooperează cu Comisia Naţională a Pieţei Financiare, precum şi cu autorităţile din alte state responsabile cu supravegherea asigurătorilor sau a altor entităţi care furnizează servicii de investiţii financiare. Fără a aduce atingere responsabilităţilor Băncii Naţionale a Moldovei, aceasta furnizează celorlalte autorităţi menţionate orice informaţie care ar facilita îndeplinirea atribuţiilor ce le revin şi care ar permite supravegherea activităţii şi a situaţiei financiare generale a entităţilor pe care le supraveghează.</w:t>
            </w:r>
          </w:p>
        </w:tc>
        <w:tc>
          <w:tcPr>
            <w:tcW w:w="470" w:type="pct"/>
            <w:tcBorders>
              <w:top w:val="single" w:sz="4" w:space="0" w:color="auto"/>
              <w:left w:val="single" w:sz="4" w:space="0" w:color="auto"/>
              <w:bottom w:val="single" w:sz="4" w:space="0" w:color="auto"/>
              <w:right w:val="single" w:sz="4" w:space="0" w:color="auto"/>
            </w:tcBorders>
          </w:tcPr>
          <w:p w14:paraId="7F7472D4" w14:textId="442CFD05"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4D3BC70D" w14:textId="77777777" w:rsidR="00984B34" w:rsidRPr="009E686F" w:rsidRDefault="00984B34" w:rsidP="00984B34">
            <w:pPr>
              <w:jc w:val="both"/>
              <w:rPr>
                <w:rFonts w:ascii="Times New Roman" w:hAnsi="Times New Roman" w:cs="Times New Roman"/>
                <w:lang w:val="ro-RO"/>
              </w:rPr>
            </w:pPr>
          </w:p>
        </w:tc>
      </w:tr>
      <w:tr w:rsidR="00984B34" w:rsidRPr="009E686F" w14:paraId="4764764D"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4AEA9D28" w14:textId="4F37A15D"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În cazul în care, în temeiul articolului 111 din prezenta directivă, supraveghetorul consolidant pentru un grup cu o societate financiară holding mixtă-mamă este diferit față de coordonatorul stabilit în conformitate cu articolul 10 din Directiva 2002/87/CE, supraveghetorul consolidant și coordonatorul cooperează în scopul aplicării pe bază consolidată a prezentei directive și a Regulamentului (UE) nr. 575/2013. Pentru a facilita și a institui o cooperare eficace, supraveghetorul consolidant și coordonatorul încheie acorduri scrise de coordonare și cooperare.</w:t>
            </w:r>
          </w:p>
        </w:tc>
        <w:tc>
          <w:tcPr>
            <w:tcW w:w="1928" w:type="pct"/>
            <w:gridSpan w:val="3"/>
            <w:tcBorders>
              <w:top w:val="single" w:sz="4" w:space="0" w:color="auto"/>
              <w:left w:val="single" w:sz="4" w:space="0" w:color="auto"/>
              <w:bottom w:val="single" w:sz="4" w:space="0" w:color="auto"/>
              <w:right w:val="single" w:sz="4" w:space="0" w:color="auto"/>
            </w:tcBorders>
          </w:tcPr>
          <w:p w14:paraId="68FC415A" w14:textId="774144E6" w:rsidR="00984B34" w:rsidRPr="009E686F" w:rsidRDefault="00984B34" w:rsidP="00984B34">
            <w:pPr>
              <w:spacing w:after="0"/>
              <w:jc w:val="both"/>
              <w:rPr>
                <w:rFonts w:ascii="Times New Roman" w:hAnsi="Times New Roman" w:cs="Times New Roman"/>
                <w:i/>
                <w:iCs/>
                <w:lang w:val="ro-RO"/>
              </w:rPr>
            </w:pPr>
            <w:r w:rsidRPr="009E686F">
              <w:rPr>
                <w:rFonts w:ascii="Times New Roman" w:eastAsia="Aptos" w:hAnsi="Times New Roman" w:cs="Times New Roman"/>
                <w:i/>
                <w:iCs/>
                <w:kern w:val="2"/>
                <w:lang w:val="ro-MD"/>
              </w:rPr>
              <w:t>(1</w:t>
            </w:r>
            <w:r w:rsidRPr="009E686F">
              <w:rPr>
                <w:rFonts w:ascii="Times New Roman" w:eastAsia="Aptos" w:hAnsi="Times New Roman" w:cs="Times New Roman"/>
                <w:i/>
                <w:iCs/>
                <w:kern w:val="2"/>
                <w:vertAlign w:val="superscript"/>
                <w:lang w:val="ro-MD"/>
              </w:rPr>
              <w:t>1</w:t>
            </w:r>
            <w:r w:rsidRPr="009E686F">
              <w:rPr>
                <w:rFonts w:ascii="Times New Roman" w:eastAsia="Aptos" w:hAnsi="Times New Roman" w:cs="Times New Roman"/>
                <w:i/>
                <w:iCs/>
                <w:kern w:val="2"/>
                <w:lang w:val="ro-MD"/>
              </w:rPr>
              <w:t>) În cazul în care, în temeiul art. 109, Banca Națională a Moldovei, în calitate de supraveghetor consolidant pentru un grup cu o societate financiară holding mixtă-mamă este diferit decât coordonatorul stabilit în conformitate cu art. 10 din Legea nr. 250/2017, cooperează cu acesta în scopul aplicării pe bază consolidată a prezentei legi și a actelor normative emise în aplicarea acesteia. Pentru a facilita și a institui o cooperare eficace, Banca Națională a Moldovei încheie acorduri scrise de coordonare și cooperare cu coordonatorul stabilit.</w:t>
            </w:r>
          </w:p>
        </w:tc>
        <w:tc>
          <w:tcPr>
            <w:tcW w:w="470" w:type="pct"/>
            <w:tcBorders>
              <w:top w:val="single" w:sz="4" w:space="0" w:color="auto"/>
              <w:left w:val="single" w:sz="4" w:space="0" w:color="auto"/>
              <w:bottom w:val="single" w:sz="4" w:space="0" w:color="auto"/>
              <w:right w:val="single" w:sz="4" w:space="0" w:color="auto"/>
            </w:tcBorders>
          </w:tcPr>
          <w:p w14:paraId="30641328" w14:textId="0216049A"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0A3FA9DF" w14:textId="77777777" w:rsidR="00984B34" w:rsidRPr="009E686F" w:rsidRDefault="00984B34" w:rsidP="00984B34">
            <w:pPr>
              <w:jc w:val="both"/>
              <w:rPr>
                <w:rFonts w:ascii="Times New Roman" w:hAnsi="Times New Roman" w:cs="Times New Roman"/>
                <w:lang w:val="ro-RO"/>
              </w:rPr>
            </w:pPr>
          </w:p>
        </w:tc>
      </w:tr>
      <w:tr w:rsidR="00984B34" w:rsidRPr="009E686F" w14:paraId="62564EB4" w14:textId="0974C817" w:rsidTr="00774F3E">
        <w:tc>
          <w:tcPr>
            <w:tcW w:w="1796" w:type="pct"/>
            <w:gridSpan w:val="2"/>
            <w:tcBorders>
              <w:top w:val="single" w:sz="4" w:space="0" w:color="auto"/>
              <w:left w:val="single" w:sz="4" w:space="0" w:color="auto"/>
              <w:bottom w:val="single" w:sz="4" w:space="0" w:color="auto"/>
              <w:right w:val="single" w:sz="4" w:space="0" w:color="auto"/>
            </w:tcBorders>
          </w:tcPr>
          <w:p w14:paraId="728C69A0" w14:textId="05B217F6"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(2) Informațiile primite în cadrul supravegherii pe bază consolidată și, în special, orice schimburi de informații între autoritățile competente, prevăzute în prezenta directivă, fac obiectul cerințelor privind secretul profesional cel puțin </w:t>
            </w:r>
            <w:r w:rsidRPr="009E686F">
              <w:rPr>
                <w:rFonts w:ascii="Times New Roman" w:hAnsi="Times New Roman" w:cs="Times New Roman"/>
                <w:lang w:val="ro-RO"/>
              </w:rPr>
              <w:lastRenderedPageBreak/>
              <w:t xml:space="preserve">echivalente cu cele menționate la articolul 53 alineatul (1) din prezenta directivă, în cazul </w:t>
            </w:r>
            <w:r w:rsidRPr="009E686F">
              <w:rPr>
                <w:rFonts w:ascii="Times New Roman" w:hAnsi="Times New Roman" w:cs="Times New Roman"/>
                <w:i/>
                <w:iCs/>
                <w:lang w:val="ro-RO"/>
              </w:rPr>
              <w:t>instituțiilor de credit</w:t>
            </w:r>
            <w:r w:rsidRPr="009E686F">
              <w:rPr>
                <w:rFonts w:ascii="Times New Roman" w:hAnsi="Times New Roman" w:cs="Times New Roman"/>
                <w:lang w:val="ro-RO"/>
              </w:rPr>
              <w:t xml:space="preserve">, sau la articolul 15 din Directiva (UE) 2019/2034. </w:t>
            </w:r>
          </w:p>
        </w:tc>
        <w:tc>
          <w:tcPr>
            <w:tcW w:w="1928" w:type="pct"/>
            <w:gridSpan w:val="3"/>
            <w:tcBorders>
              <w:top w:val="single" w:sz="4" w:space="0" w:color="auto"/>
              <w:left w:val="single" w:sz="4" w:space="0" w:color="auto"/>
              <w:bottom w:val="single" w:sz="4" w:space="0" w:color="auto"/>
              <w:right w:val="single" w:sz="4" w:space="0" w:color="auto"/>
            </w:tcBorders>
          </w:tcPr>
          <w:p w14:paraId="590743F6" w14:textId="77777777" w:rsidR="00984B34" w:rsidRPr="009E686F" w:rsidRDefault="00984B34" w:rsidP="00984B34">
            <w:pPr>
              <w:spacing w:after="0"/>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lastRenderedPageBreak/>
              <w:t xml:space="preserve">(2) Informaţiile primite de Banca Naţională a Moldovei în cadrul supravegherii pe bază consolidată, precum şi orice schimb de informaţii la care aceasta participă, potrivit prezentei </w:t>
            </w:r>
            <w:r w:rsidRPr="009E686F">
              <w:rPr>
                <w:rFonts w:ascii="Times New Roman" w:eastAsia="Aptos" w:hAnsi="Times New Roman" w:cs="Times New Roman"/>
                <w:kern w:val="2"/>
                <w:lang w:val="ro-MD"/>
              </w:rPr>
              <w:lastRenderedPageBreak/>
              <w:t>legi, sînt supuse obligaţiei de păstrare a secretului profesional conform dispoziţiilor capitolului 3 titlul V.</w:t>
            </w:r>
          </w:p>
          <w:p w14:paraId="6619E33E" w14:textId="119834A1"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0A2FAEEC" w14:textId="0CF390D2"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5F5D0FBA" w14:textId="77777777" w:rsidR="00984B34" w:rsidRPr="009E686F" w:rsidRDefault="00984B34" w:rsidP="00984B34">
            <w:pPr>
              <w:jc w:val="both"/>
              <w:rPr>
                <w:rFonts w:ascii="Times New Roman" w:hAnsi="Times New Roman" w:cs="Times New Roman"/>
                <w:lang w:val="ro-RO"/>
              </w:rPr>
            </w:pPr>
          </w:p>
        </w:tc>
      </w:tr>
      <w:tr w:rsidR="00984B34" w:rsidRPr="009E686F" w14:paraId="7CFE2813" w14:textId="334885E3" w:rsidTr="00774F3E">
        <w:tc>
          <w:tcPr>
            <w:tcW w:w="1796" w:type="pct"/>
            <w:gridSpan w:val="2"/>
            <w:tcBorders>
              <w:top w:val="single" w:sz="4" w:space="0" w:color="auto"/>
              <w:left w:val="single" w:sz="4" w:space="0" w:color="auto"/>
              <w:bottom w:val="single" w:sz="4" w:space="0" w:color="auto"/>
              <w:right w:val="single" w:sz="4" w:space="0" w:color="auto"/>
            </w:tcBorders>
          </w:tcPr>
          <w:p w14:paraId="00F0B158" w14:textId="7EFCF458"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(3) Autoritățile competente responsabile cu supravegherea pe bază consolidată întocmesc liste cu societățile financiare holding sau societățile financiare holding mixte menționate la articolul 11 din Regulamentul (UE) nr. 575/2013. Listele sunt comunicate autorităților competente din celelalte state membre, ABE și Comisiei.</w:t>
            </w:r>
          </w:p>
        </w:tc>
        <w:tc>
          <w:tcPr>
            <w:tcW w:w="1928" w:type="pct"/>
            <w:gridSpan w:val="3"/>
            <w:tcBorders>
              <w:top w:val="single" w:sz="4" w:space="0" w:color="auto"/>
              <w:left w:val="single" w:sz="4" w:space="0" w:color="auto"/>
              <w:bottom w:val="single" w:sz="4" w:space="0" w:color="auto"/>
              <w:right w:val="single" w:sz="4" w:space="0" w:color="auto"/>
            </w:tcBorders>
          </w:tcPr>
          <w:p w14:paraId="47FF4CAF" w14:textId="0CD0691C" w:rsidR="00984B34" w:rsidRPr="009E686F" w:rsidRDefault="00984B34" w:rsidP="00984B34">
            <w:pPr>
              <w:spacing w:after="0"/>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 xml:space="preserve">(3) Banca Naţională a Moldovei, în calitate de autoritate competentă responsabilă cu supravegherea pe bază consolidată, întocmeşte liste cuprinzînd societăţile financiare holding-mamă la nivelul Republicii Moldova şi societăţile financiare holding mixte-mamă la nivelul Republicii Moldova şi le </w:t>
            </w:r>
            <w:r w:rsidRPr="009E686F">
              <w:rPr>
                <w:rFonts w:ascii="Times New Roman" w:eastAsia="Aptos" w:hAnsi="Times New Roman" w:cs="Times New Roman"/>
                <w:i/>
                <w:iCs/>
                <w:kern w:val="2"/>
                <w:lang w:val="ro-MD"/>
              </w:rPr>
              <w:t>transmite celorlalte state membre, Autorității Bancare Europene și Comisiei Europene</w:t>
            </w:r>
            <w:r w:rsidRPr="009E686F">
              <w:rPr>
                <w:rFonts w:ascii="Times New Roman" w:eastAsia="Aptos" w:hAnsi="Times New Roman" w:cs="Times New Roman"/>
                <w:kern w:val="2"/>
                <w:lang w:val="ro-MD"/>
              </w:rPr>
              <w:t>.</w:t>
            </w:r>
          </w:p>
        </w:tc>
        <w:tc>
          <w:tcPr>
            <w:tcW w:w="470" w:type="pct"/>
            <w:tcBorders>
              <w:top w:val="single" w:sz="4" w:space="0" w:color="auto"/>
              <w:left w:val="single" w:sz="4" w:space="0" w:color="auto"/>
              <w:bottom w:val="single" w:sz="4" w:space="0" w:color="auto"/>
              <w:right w:val="single" w:sz="4" w:space="0" w:color="auto"/>
            </w:tcBorders>
          </w:tcPr>
          <w:p w14:paraId="282DB825" w14:textId="73503F3F"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4ADA7A4C" w14:textId="77777777" w:rsidR="00984B34" w:rsidRPr="009E686F" w:rsidRDefault="00984B34" w:rsidP="00984B34">
            <w:pPr>
              <w:jc w:val="both"/>
              <w:rPr>
                <w:rFonts w:ascii="Times New Roman" w:hAnsi="Times New Roman" w:cs="Times New Roman"/>
                <w:lang w:val="ro-RO"/>
              </w:rPr>
            </w:pPr>
          </w:p>
        </w:tc>
      </w:tr>
      <w:tr w:rsidR="00984B34" w:rsidRPr="009E686F" w14:paraId="71D1A336" w14:textId="76ADD21A" w:rsidTr="00774F3E">
        <w:trPr>
          <w:trHeight w:val="763"/>
        </w:trPr>
        <w:tc>
          <w:tcPr>
            <w:tcW w:w="1796" w:type="pct"/>
            <w:gridSpan w:val="2"/>
            <w:tcBorders>
              <w:top w:val="single" w:sz="4" w:space="0" w:color="auto"/>
              <w:left w:val="single" w:sz="4" w:space="0" w:color="auto"/>
              <w:bottom w:val="single" w:sz="4" w:space="0" w:color="auto"/>
              <w:right w:val="single" w:sz="4" w:space="0" w:color="auto"/>
            </w:tcBorders>
          </w:tcPr>
          <w:p w14:paraId="26AFC09C" w14:textId="77777777" w:rsidR="00984B34" w:rsidRPr="009E686F" w:rsidRDefault="00984B34" w:rsidP="00984B34">
            <w:pPr>
              <w:spacing w:after="0"/>
              <w:jc w:val="both"/>
              <w:rPr>
                <w:rFonts w:ascii="Times New Roman" w:hAnsi="Times New Roman" w:cs="Times New Roman"/>
                <w:i/>
                <w:iCs/>
                <w:lang w:val="ro-RO"/>
              </w:rPr>
            </w:pPr>
            <w:r w:rsidRPr="009E686F">
              <w:rPr>
                <w:rFonts w:ascii="Times New Roman" w:hAnsi="Times New Roman" w:cs="Times New Roman"/>
                <w:i/>
                <w:iCs/>
                <w:lang w:val="ro-RO"/>
              </w:rPr>
              <w:t xml:space="preserve">Articolul 126 </w:t>
            </w:r>
          </w:p>
          <w:p w14:paraId="6591C36C" w14:textId="21BB3A13"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Sancțiuni</w:t>
            </w:r>
          </w:p>
          <w:p w14:paraId="377CA285" w14:textId="77777777" w:rsidR="00984B34" w:rsidRPr="009E686F" w:rsidRDefault="00984B34" w:rsidP="00984B34">
            <w:pPr>
              <w:spacing w:after="0"/>
              <w:jc w:val="both"/>
              <w:rPr>
                <w:rFonts w:ascii="Times New Roman" w:hAnsi="Times New Roman" w:cs="Times New Roman"/>
                <w:lang w:val="ro-RO"/>
              </w:rPr>
            </w:pPr>
          </w:p>
          <w:p w14:paraId="2402E47F"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În conformitate cu capitolul 1 secțiunea IV din prezentul titlu, statele membre asigură posibilitatea de a impune sancțiuni administrative sau alte măsuri administrative menite să pună capăt încălcărilor constatate sau cauzelor acestora în cazul holdingurilor financiare, al societăților financiare holding-mixte și al holdingurilor cu activitate mixtă sau al managerilor responsabili care încalcă actele cu putere de lege și actele administrative de transpunere a prezentului capitol.</w:t>
            </w:r>
          </w:p>
        </w:tc>
        <w:tc>
          <w:tcPr>
            <w:tcW w:w="1928" w:type="pct"/>
            <w:gridSpan w:val="3"/>
            <w:tcBorders>
              <w:top w:val="single" w:sz="4" w:space="0" w:color="auto"/>
              <w:left w:val="single" w:sz="4" w:space="0" w:color="auto"/>
              <w:bottom w:val="single" w:sz="4" w:space="0" w:color="auto"/>
              <w:right w:val="single" w:sz="4" w:space="0" w:color="auto"/>
            </w:tcBorders>
          </w:tcPr>
          <w:p w14:paraId="53F59043" w14:textId="7E06589F" w:rsidR="00984B34" w:rsidRPr="009E686F" w:rsidRDefault="00984B34" w:rsidP="00984B34">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b/>
                <w:bCs/>
                <w:kern w:val="2"/>
                <w:lang w:val="ro-MD"/>
              </w:rPr>
              <w:t>Articolul 124.</w:t>
            </w:r>
            <w:r w:rsidRPr="009E686F">
              <w:rPr>
                <w:rFonts w:ascii="Times New Roman" w:eastAsia="Aptos" w:hAnsi="Times New Roman" w:cs="Times New Roman"/>
                <w:kern w:val="2"/>
                <w:lang w:val="ro-MD"/>
              </w:rPr>
              <w:t xml:space="preserve"> Măsuri, </w:t>
            </w:r>
            <w:r w:rsidRPr="009E686F">
              <w:rPr>
                <w:rFonts w:ascii="Times New Roman" w:eastAsia="Aptos" w:hAnsi="Times New Roman" w:cs="Times New Roman"/>
                <w:i/>
                <w:iCs/>
                <w:kern w:val="2"/>
                <w:lang w:val="ro-MD"/>
              </w:rPr>
              <w:t>penalități cu titlu cominatoriu</w:t>
            </w:r>
            <w:r w:rsidRPr="009E686F">
              <w:rPr>
                <w:rFonts w:ascii="Times New Roman" w:eastAsia="Aptos" w:hAnsi="Times New Roman" w:cs="Times New Roman"/>
                <w:kern w:val="2"/>
                <w:lang w:val="ro-MD"/>
              </w:rPr>
              <w:t xml:space="preserve"> şi sancţiuni aplicabile societăţilor </w:t>
            </w:r>
            <w:r w:rsidRPr="009E686F">
              <w:rPr>
                <w:rFonts w:ascii="Times New Roman" w:eastAsia="Aptos" w:hAnsi="Times New Roman" w:cs="Times New Roman"/>
                <w:i/>
                <w:iCs/>
                <w:kern w:val="2"/>
                <w:lang w:val="ro-MD"/>
              </w:rPr>
              <w:t>financiare</w:t>
            </w:r>
            <w:r w:rsidRPr="009E686F">
              <w:rPr>
                <w:rFonts w:ascii="Times New Roman" w:eastAsia="Aptos" w:hAnsi="Times New Roman" w:cs="Times New Roman"/>
                <w:kern w:val="2"/>
                <w:lang w:val="ro-MD"/>
              </w:rPr>
              <w:t xml:space="preserve"> holding</w:t>
            </w:r>
            <w:bookmarkStart w:id="41" w:name="_Hlk215571545"/>
            <w:r w:rsidRPr="009E686F">
              <w:rPr>
                <w:rFonts w:ascii="Times New Roman" w:eastAsia="Aptos" w:hAnsi="Times New Roman" w:cs="Times New Roman"/>
                <w:kern w:val="2"/>
                <w:lang w:val="ro-MD"/>
              </w:rPr>
              <w:t xml:space="preserve">, </w:t>
            </w:r>
            <w:r w:rsidRPr="009E686F">
              <w:rPr>
                <w:rFonts w:ascii="Times New Roman" w:eastAsia="Aptos" w:hAnsi="Times New Roman" w:cs="Times New Roman"/>
                <w:i/>
                <w:iCs/>
                <w:kern w:val="2"/>
                <w:lang w:val="ro-MD"/>
              </w:rPr>
              <w:t>societăților financiare holding mixte și societăților holding cu activitate mixtă</w:t>
            </w:r>
            <w:bookmarkEnd w:id="41"/>
          </w:p>
          <w:p w14:paraId="09C685FC" w14:textId="1422C7A0" w:rsidR="00984B34" w:rsidRPr="009E686F" w:rsidRDefault="00984B34" w:rsidP="00984B34">
            <w:pPr>
              <w:spacing w:after="0"/>
              <w:jc w:val="both"/>
              <w:rPr>
                <w:rFonts w:ascii="Times New Roman" w:eastAsia="Aptos" w:hAnsi="Times New Roman" w:cs="Times New Roman"/>
                <w:i/>
                <w:iCs/>
                <w:kern w:val="2"/>
                <w:lang w:val="ro-MD"/>
              </w:rPr>
            </w:pPr>
            <w:r w:rsidRPr="009E686F">
              <w:rPr>
                <w:rFonts w:ascii="Times New Roman" w:eastAsia="Aptos" w:hAnsi="Times New Roman" w:cs="Times New Roman"/>
                <w:kern w:val="2"/>
                <w:lang w:val="ro-MD"/>
              </w:rPr>
              <w:t xml:space="preserve">În cazul în care o societate financiară holding, o societate financiară holding mixtă, o societate holding cu activitate mixtă sau membrii organului de conducere al acestora nu se conformează dispoziţiilor </w:t>
            </w:r>
            <w:r w:rsidRPr="009E686F">
              <w:rPr>
                <w:rFonts w:ascii="Times New Roman" w:eastAsia="Aptos" w:hAnsi="Times New Roman" w:cs="Times New Roman"/>
                <w:i/>
                <w:iCs/>
                <w:kern w:val="2"/>
                <w:lang w:val="ro-MD"/>
              </w:rPr>
              <w:t>prezentului capitol</w:t>
            </w:r>
            <w:r w:rsidRPr="009E686F">
              <w:rPr>
                <w:rFonts w:ascii="Times New Roman" w:eastAsia="Aptos" w:hAnsi="Times New Roman" w:cs="Times New Roman"/>
                <w:kern w:val="2"/>
                <w:lang w:val="ro-MD"/>
              </w:rPr>
              <w:t xml:space="preserve"> şi ale actelor normative sau măsurilor adoptate în aplicarea prezentei legi, Banca Naţională a Moldovei, în calitate de autoritate competentă responsabilă cu supravegherea pe bază consolidată, poate dispune, măsurile, penalitățile cu titlu cominatoriu sau sancţiunile </w:t>
            </w:r>
            <w:r w:rsidRPr="009E686F">
              <w:rPr>
                <w:rFonts w:ascii="Times New Roman" w:eastAsia="Aptos" w:hAnsi="Times New Roman" w:cs="Times New Roman"/>
                <w:i/>
                <w:iCs/>
                <w:kern w:val="2"/>
                <w:lang w:val="ro-MD"/>
              </w:rPr>
              <w:t xml:space="preserve">prevăzute de Capitolul </w:t>
            </w:r>
            <w:r w:rsidR="002668A4" w:rsidRPr="009E686F">
              <w:rPr>
                <w:rFonts w:ascii="Times New Roman" w:eastAsia="Aptos" w:hAnsi="Times New Roman" w:cs="Times New Roman"/>
                <w:i/>
                <w:iCs/>
                <w:kern w:val="2"/>
                <w:lang w:val="ro-MD"/>
              </w:rPr>
              <w:t>5</w:t>
            </w:r>
            <w:r w:rsidRPr="009E686F">
              <w:rPr>
                <w:rFonts w:ascii="Times New Roman" w:eastAsia="Aptos" w:hAnsi="Times New Roman" w:cs="Times New Roman"/>
                <w:kern w:val="2"/>
                <w:lang w:val="ro-MD"/>
              </w:rPr>
              <w:t>.</w:t>
            </w:r>
          </w:p>
        </w:tc>
        <w:tc>
          <w:tcPr>
            <w:tcW w:w="470" w:type="pct"/>
            <w:tcBorders>
              <w:top w:val="single" w:sz="4" w:space="0" w:color="auto"/>
              <w:left w:val="single" w:sz="4" w:space="0" w:color="auto"/>
              <w:bottom w:val="single" w:sz="4" w:space="0" w:color="auto"/>
              <w:right w:val="single" w:sz="4" w:space="0" w:color="auto"/>
            </w:tcBorders>
          </w:tcPr>
          <w:p w14:paraId="200EC614" w14:textId="6897391D"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2425B9FC" w14:textId="77777777" w:rsidR="00984B34" w:rsidRPr="009E686F" w:rsidRDefault="00984B34" w:rsidP="00984B34">
            <w:pPr>
              <w:jc w:val="both"/>
              <w:rPr>
                <w:rFonts w:ascii="Times New Roman" w:hAnsi="Times New Roman" w:cs="Times New Roman"/>
                <w:lang w:val="ro-RO"/>
              </w:rPr>
            </w:pPr>
          </w:p>
        </w:tc>
      </w:tr>
      <w:tr w:rsidR="00984B34" w:rsidRPr="009E686F" w14:paraId="6AE9B744" w14:textId="23B3A8E4" w:rsidTr="00774F3E">
        <w:tc>
          <w:tcPr>
            <w:tcW w:w="1796" w:type="pct"/>
            <w:gridSpan w:val="2"/>
            <w:tcBorders>
              <w:top w:val="single" w:sz="4" w:space="0" w:color="auto"/>
              <w:left w:val="single" w:sz="4" w:space="0" w:color="auto"/>
              <w:bottom w:val="single" w:sz="4" w:space="0" w:color="auto"/>
              <w:right w:val="single" w:sz="4" w:space="0" w:color="auto"/>
            </w:tcBorders>
          </w:tcPr>
          <w:p w14:paraId="433DEB71" w14:textId="77777777" w:rsidR="00984B34" w:rsidRPr="009E686F" w:rsidRDefault="00984B34" w:rsidP="00984B34">
            <w:pPr>
              <w:spacing w:after="0"/>
              <w:jc w:val="both"/>
              <w:rPr>
                <w:rFonts w:ascii="Times New Roman" w:hAnsi="Times New Roman" w:cs="Times New Roman"/>
                <w:b/>
                <w:bCs/>
                <w:lang w:val="ro-RO"/>
              </w:rPr>
            </w:pPr>
            <w:r w:rsidRPr="009E686F">
              <w:rPr>
                <w:rFonts w:ascii="Times New Roman" w:hAnsi="Times New Roman" w:cs="Times New Roman"/>
                <w:i/>
                <w:iCs/>
                <w:lang w:val="ro-RO"/>
              </w:rPr>
              <w:t>Articolul 127</w:t>
            </w:r>
            <w:r w:rsidRPr="009E686F">
              <w:rPr>
                <w:rFonts w:ascii="Times New Roman" w:hAnsi="Times New Roman" w:cs="Times New Roman"/>
                <w:lang w:val="ro-RO"/>
              </w:rPr>
              <w:t xml:space="preserve"> </w:t>
            </w:r>
          </w:p>
          <w:p w14:paraId="51EDAE85" w14:textId="43738EE6"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Evaluarea echivalenței supravegherii consolidate din țări terțe</w:t>
            </w:r>
          </w:p>
        </w:tc>
        <w:tc>
          <w:tcPr>
            <w:tcW w:w="1928" w:type="pct"/>
            <w:gridSpan w:val="3"/>
            <w:tcBorders>
              <w:top w:val="single" w:sz="4" w:space="0" w:color="auto"/>
              <w:left w:val="single" w:sz="4" w:space="0" w:color="auto"/>
              <w:bottom w:val="single" w:sz="4" w:space="0" w:color="auto"/>
              <w:right w:val="single" w:sz="4" w:space="0" w:color="auto"/>
            </w:tcBorders>
          </w:tcPr>
          <w:p w14:paraId="47A5A15C" w14:textId="6AC7A914" w:rsidR="00984B34" w:rsidRPr="009E686F" w:rsidRDefault="00984B34" w:rsidP="00984B34">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b/>
                <w:bCs/>
                <w:kern w:val="2"/>
                <w:lang w:val="ro-MD"/>
              </w:rPr>
              <w:t>Articolul 125.</w:t>
            </w:r>
            <w:r w:rsidRPr="009E686F">
              <w:rPr>
                <w:rFonts w:ascii="Times New Roman" w:eastAsia="Aptos" w:hAnsi="Times New Roman" w:cs="Times New Roman"/>
                <w:kern w:val="2"/>
                <w:lang w:val="ro-MD"/>
              </w:rPr>
              <w:t xml:space="preserve"> Evaluarea echivalenţei supravegherii pe bază consolidată din </w:t>
            </w:r>
            <w:r w:rsidRPr="009E686F">
              <w:rPr>
                <w:rFonts w:ascii="Times New Roman" w:eastAsia="Aptos" w:hAnsi="Times New Roman" w:cs="Times New Roman"/>
                <w:i/>
                <w:iCs/>
                <w:kern w:val="2"/>
                <w:lang w:val="ro-MD"/>
              </w:rPr>
              <w:t>state terțe</w:t>
            </w:r>
          </w:p>
          <w:p w14:paraId="73E728E1" w14:textId="08AE57E2"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06183D06" w14:textId="330D10D8"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3FCC8AFC" w14:textId="77777777" w:rsidR="00984B34" w:rsidRPr="009E686F" w:rsidRDefault="00984B34" w:rsidP="00984B34">
            <w:pPr>
              <w:jc w:val="both"/>
              <w:rPr>
                <w:rFonts w:ascii="Times New Roman" w:hAnsi="Times New Roman" w:cs="Times New Roman"/>
                <w:lang w:val="ro-RO"/>
              </w:rPr>
            </w:pPr>
          </w:p>
        </w:tc>
      </w:tr>
      <w:tr w:rsidR="00984B34" w:rsidRPr="009E686F" w14:paraId="6AB5161C" w14:textId="7418A545" w:rsidTr="00774F3E">
        <w:tc>
          <w:tcPr>
            <w:tcW w:w="1796" w:type="pct"/>
            <w:gridSpan w:val="2"/>
            <w:tcBorders>
              <w:top w:val="single" w:sz="4" w:space="0" w:color="auto"/>
              <w:left w:val="single" w:sz="4" w:space="0" w:color="auto"/>
              <w:bottom w:val="single" w:sz="4" w:space="0" w:color="auto"/>
              <w:right w:val="single" w:sz="4" w:space="0" w:color="auto"/>
            </w:tcBorders>
          </w:tcPr>
          <w:p w14:paraId="4C8AC58C" w14:textId="7106BB7D"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(1) În cazul în care o instituție a cărei întreprindere-mamă este o instituție sau o societate financiară holding ori o societate financiară holding mixtă care are sediul central într-o țară terță nu face obiectul unei supravegheri consolidate în temeiul articolului 111, autoritățile </w:t>
            </w:r>
            <w:r w:rsidRPr="009E686F">
              <w:rPr>
                <w:rFonts w:ascii="Times New Roman" w:hAnsi="Times New Roman" w:cs="Times New Roman"/>
                <w:lang w:val="ro-RO"/>
              </w:rPr>
              <w:lastRenderedPageBreak/>
              <w:t>competente evaluează dacă instituția respectivă face obiectul unei supravegheri consolidate din partea unei autorități de supraveghere dintr-o țară terță, echivalentă supravegherii reglementate de principiile prevăzute în prezenta directivă și cerințele din partea întâi titlul II capitolul 2 din Regulamentul (UE) nr. 575/2013.</w:t>
            </w:r>
          </w:p>
        </w:tc>
        <w:tc>
          <w:tcPr>
            <w:tcW w:w="1928" w:type="pct"/>
            <w:gridSpan w:val="3"/>
            <w:tcBorders>
              <w:top w:val="single" w:sz="4" w:space="0" w:color="auto"/>
              <w:left w:val="single" w:sz="4" w:space="0" w:color="auto"/>
              <w:bottom w:val="single" w:sz="4" w:space="0" w:color="auto"/>
              <w:right w:val="single" w:sz="4" w:space="0" w:color="auto"/>
            </w:tcBorders>
          </w:tcPr>
          <w:p w14:paraId="050721EB" w14:textId="4A0BE195" w:rsidR="00984B34" w:rsidRPr="009E686F" w:rsidRDefault="00984B34" w:rsidP="00984B34">
            <w:pPr>
              <w:spacing w:after="0"/>
              <w:jc w:val="both"/>
              <w:rPr>
                <w:rFonts w:ascii="Times New Roman" w:hAnsi="Times New Roman" w:cs="Times New Roman"/>
                <w:lang w:val="ro-RO"/>
              </w:rPr>
            </w:pPr>
            <w:r w:rsidRPr="009E686F">
              <w:rPr>
                <w:rFonts w:ascii="Times New Roman" w:eastAsia="Aptos" w:hAnsi="Times New Roman" w:cs="Times New Roman"/>
                <w:kern w:val="2"/>
                <w:lang w:val="ro-MD"/>
              </w:rPr>
              <w:lastRenderedPageBreak/>
              <w:t xml:space="preserve">(1) În cazul în care o </w:t>
            </w:r>
            <w:r w:rsidRPr="009E686F">
              <w:rPr>
                <w:rFonts w:ascii="Times New Roman" w:eastAsia="Aptos" w:hAnsi="Times New Roman" w:cs="Times New Roman"/>
                <w:i/>
                <w:iCs/>
                <w:kern w:val="2"/>
                <w:lang w:val="ro-MD"/>
              </w:rPr>
              <w:t>instituție de credit</w:t>
            </w:r>
            <w:r w:rsidRPr="009E686F">
              <w:rPr>
                <w:rFonts w:ascii="Times New Roman" w:eastAsia="Aptos" w:hAnsi="Times New Roman" w:cs="Times New Roman"/>
                <w:kern w:val="2"/>
                <w:lang w:val="ro-MD"/>
              </w:rPr>
              <w:t xml:space="preserve"> a cărei întreprindere-mamă este o </w:t>
            </w:r>
            <w:r w:rsidRPr="009E686F">
              <w:rPr>
                <w:rFonts w:ascii="Times New Roman" w:eastAsia="Aptos" w:hAnsi="Times New Roman" w:cs="Times New Roman"/>
                <w:i/>
                <w:iCs/>
                <w:kern w:val="2"/>
                <w:lang w:val="ro-MD"/>
              </w:rPr>
              <w:t>instituție de credit</w:t>
            </w:r>
            <w:r w:rsidRPr="009E686F">
              <w:rPr>
                <w:rFonts w:ascii="Times New Roman" w:eastAsia="Aptos" w:hAnsi="Times New Roman" w:cs="Times New Roman"/>
                <w:kern w:val="2"/>
                <w:lang w:val="ro-MD"/>
              </w:rPr>
              <w:t xml:space="preserve"> sau o societate de investiţii sau o societate financiară holding ori o societate financiară holding mixtă care îşi are sediul într-un </w:t>
            </w:r>
            <w:r w:rsidRPr="009E686F">
              <w:rPr>
                <w:rFonts w:ascii="Times New Roman" w:eastAsia="Aptos" w:hAnsi="Times New Roman" w:cs="Times New Roman"/>
                <w:i/>
                <w:iCs/>
                <w:kern w:val="2"/>
                <w:lang w:val="ro-MD"/>
              </w:rPr>
              <w:t>stat terț</w:t>
            </w:r>
            <w:r w:rsidRPr="009E686F">
              <w:rPr>
                <w:rFonts w:ascii="Times New Roman" w:eastAsia="Aptos" w:hAnsi="Times New Roman" w:cs="Times New Roman"/>
                <w:kern w:val="2"/>
                <w:lang w:val="ro-MD"/>
              </w:rPr>
              <w:t xml:space="preserve"> nu face obiectul unei supravegheri pe bază consolidată în temeiul art.113, Banca </w:t>
            </w:r>
            <w:r w:rsidRPr="009E686F">
              <w:rPr>
                <w:rFonts w:ascii="Times New Roman" w:eastAsia="Aptos" w:hAnsi="Times New Roman" w:cs="Times New Roman"/>
                <w:kern w:val="2"/>
                <w:lang w:val="ro-MD"/>
              </w:rPr>
              <w:lastRenderedPageBreak/>
              <w:t xml:space="preserve">Naţională a Moldovei evaluează dacă </w:t>
            </w:r>
            <w:r w:rsidRPr="009E686F">
              <w:rPr>
                <w:rFonts w:ascii="Times New Roman" w:eastAsia="Aptos" w:hAnsi="Times New Roman" w:cs="Times New Roman"/>
                <w:i/>
                <w:iCs/>
                <w:kern w:val="2"/>
                <w:lang w:val="ro-MD"/>
              </w:rPr>
              <w:t>instituția de credit</w:t>
            </w:r>
            <w:r w:rsidRPr="009E686F">
              <w:rPr>
                <w:rFonts w:ascii="Times New Roman" w:eastAsia="Aptos" w:hAnsi="Times New Roman" w:cs="Times New Roman"/>
                <w:kern w:val="2"/>
                <w:lang w:val="ro-MD"/>
              </w:rPr>
              <w:t xml:space="preserve"> respectivă face obiectul unei supravegheri pe bază consolidată din partea unei autorităţi de supraveghere dintr-un stat terț, echivalentă supravegherii reglementate de principiile prevăzute în prezenta lege şi cerinţele din actele normative emise în aplicarea prezentei legi.</w:t>
            </w:r>
          </w:p>
        </w:tc>
        <w:tc>
          <w:tcPr>
            <w:tcW w:w="470" w:type="pct"/>
            <w:tcBorders>
              <w:top w:val="single" w:sz="4" w:space="0" w:color="auto"/>
              <w:left w:val="single" w:sz="4" w:space="0" w:color="auto"/>
              <w:bottom w:val="single" w:sz="4" w:space="0" w:color="auto"/>
              <w:right w:val="single" w:sz="4" w:space="0" w:color="auto"/>
            </w:tcBorders>
          </w:tcPr>
          <w:p w14:paraId="7DACD6B0" w14:textId="49D53F9C"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0F8647CB" w14:textId="77777777" w:rsidR="00984B34" w:rsidRPr="009E686F" w:rsidRDefault="00984B34" w:rsidP="00984B34">
            <w:pPr>
              <w:jc w:val="both"/>
              <w:rPr>
                <w:rFonts w:ascii="Times New Roman" w:hAnsi="Times New Roman" w:cs="Times New Roman"/>
                <w:lang w:val="ro-RO"/>
              </w:rPr>
            </w:pPr>
          </w:p>
        </w:tc>
      </w:tr>
      <w:tr w:rsidR="00984B34" w:rsidRPr="009E686F" w14:paraId="60B81201" w14:textId="5E10ABF4" w:rsidTr="00774F3E">
        <w:tc>
          <w:tcPr>
            <w:tcW w:w="1796" w:type="pct"/>
            <w:gridSpan w:val="2"/>
            <w:tcBorders>
              <w:top w:val="single" w:sz="4" w:space="0" w:color="auto"/>
              <w:left w:val="single" w:sz="4" w:space="0" w:color="auto"/>
              <w:bottom w:val="single" w:sz="4" w:space="0" w:color="auto"/>
              <w:right w:val="single" w:sz="4" w:space="0" w:color="auto"/>
            </w:tcBorders>
          </w:tcPr>
          <w:p w14:paraId="74D24EA7"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Evaluarea se face de autoritatea competentă care ar fi responsabilă cu supravegherea consolidată dacă s-ar aplica dispozițiile alineatului (3), la cererea întreprinderii-mamă sau a uneia din entitățile reglementate autorizate în Uniune ori din proprie inițiativă. Autoritatea competentă respectivă consultă celelalte autorități competente în cauză.</w:t>
            </w:r>
          </w:p>
        </w:tc>
        <w:tc>
          <w:tcPr>
            <w:tcW w:w="1928" w:type="pct"/>
            <w:gridSpan w:val="3"/>
            <w:tcBorders>
              <w:top w:val="single" w:sz="4" w:space="0" w:color="auto"/>
              <w:left w:val="single" w:sz="4" w:space="0" w:color="auto"/>
              <w:bottom w:val="single" w:sz="4" w:space="0" w:color="auto"/>
              <w:right w:val="single" w:sz="4" w:space="0" w:color="auto"/>
            </w:tcBorders>
          </w:tcPr>
          <w:p w14:paraId="489DEB1B" w14:textId="1266BF7F" w:rsidR="00984B34" w:rsidRPr="009E686F" w:rsidRDefault="00984B34" w:rsidP="00984B34">
            <w:pPr>
              <w:spacing w:after="0"/>
              <w:jc w:val="both"/>
              <w:rPr>
                <w:rFonts w:ascii="Times New Roman" w:hAnsi="Times New Roman" w:cs="Times New Roman"/>
                <w:b/>
                <w:lang w:val="ro-RO"/>
              </w:rPr>
            </w:pPr>
            <w:r w:rsidRPr="009E686F">
              <w:rPr>
                <w:rFonts w:ascii="Times New Roman" w:eastAsia="Aptos" w:hAnsi="Times New Roman" w:cs="Times New Roman"/>
                <w:kern w:val="2"/>
                <w:lang w:val="ro-MD"/>
              </w:rPr>
              <w:t xml:space="preserve">(2) Evaluarea este efectuată la solicitarea întreprinderii-mamă sau a oricărei entităţi reglementate şi </w:t>
            </w:r>
            <w:r w:rsidRPr="009E686F">
              <w:rPr>
                <w:rFonts w:ascii="Times New Roman" w:eastAsia="Aptos" w:hAnsi="Times New Roman" w:cs="Times New Roman"/>
                <w:i/>
                <w:iCs/>
                <w:kern w:val="2"/>
                <w:lang w:val="ro-MD"/>
              </w:rPr>
              <w:t>autorizate</w:t>
            </w:r>
            <w:r w:rsidRPr="009E686F">
              <w:rPr>
                <w:rFonts w:ascii="Times New Roman" w:eastAsia="Aptos" w:hAnsi="Times New Roman" w:cs="Times New Roman"/>
                <w:kern w:val="2"/>
                <w:lang w:val="ro-MD"/>
              </w:rPr>
              <w:t xml:space="preserve"> într-un </w:t>
            </w:r>
            <w:r w:rsidRPr="009E686F">
              <w:rPr>
                <w:rFonts w:ascii="Times New Roman" w:eastAsia="Aptos" w:hAnsi="Times New Roman" w:cs="Times New Roman"/>
                <w:i/>
                <w:iCs/>
                <w:kern w:val="2"/>
                <w:lang w:val="ro-MD"/>
              </w:rPr>
              <w:t>stat terț</w:t>
            </w:r>
            <w:r w:rsidRPr="009E686F">
              <w:rPr>
                <w:rFonts w:ascii="Times New Roman" w:eastAsia="Aptos" w:hAnsi="Times New Roman" w:cs="Times New Roman"/>
                <w:kern w:val="2"/>
                <w:lang w:val="ro-MD"/>
              </w:rPr>
              <w:t>, de către Banca Naţională a Moldovei, dacă, potrivit dispoziţiilor art.113, aceasta ar fi autoritatea competentă responsabilă cu supravegherea pe bază consolidată. Banca Naţională a Moldovei se consultă cu celelalte autorităţi competente implicate.</w:t>
            </w:r>
          </w:p>
        </w:tc>
        <w:tc>
          <w:tcPr>
            <w:tcW w:w="470" w:type="pct"/>
            <w:tcBorders>
              <w:top w:val="single" w:sz="4" w:space="0" w:color="auto"/>
              <w:left w:val="single" w:sz="4" w:space="0" w:color="auto"/>
              <w:bottom w:val="single" w:sz="4" w:space="0" w:color="auto"/>
              <w:right w:val="single" w:sz="4" w:space="0" w:color="auto"/>
            </w:tcBorders>
          </w:tcPr>
          <w:p w14:paraId="6D513DAD" w14:textId="14F61E57"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2FCA34FF" w14:textId="77777777" w:rsidR="00984B34" w:rsidRPr="009E686F" w:rsidRDefault="00984B34" w:rsidP="00984B34">
            <w:pPr>
              <w:jc w:val="both"/>
              <w:rPr>
                <w:rFonts w:ascii="Times New Roman" w:hAnsi="Times New Roman" w:cs="Times New Roman"/>
                <w:lang w:val="ro-RO"/>
              </w:rPr>
            </w:pPr>
          </w:p>
        </w:tc>
      </w:tr>
      <w:tr w:rsidR="00984B34" w:rsidRPr="009E686F" w14:paraId="49C72596" w14:textId="103B0453" w:rsidTr="00774F3E">
        <w:tc>
          <w:tcPr>
            <w:tcW w:w="1796" w:type="pct"/>
            <w:gridSpan w:val="2"/>
            <w:tcBorders>
              <w:top w:val="single" w:sz="4" w:space="0" w:color="auto"/>
              <w:left w:val="single" w:sz="4" w:space="0" w:color="auto"/>
              <w:bottom w:val="single" w:sz="4" w:space="0" w:color="auto"/>
              <w:right w:val="single" w:sz="4" w:space="0" w:color="auto"/>
            </w:tcBorders>
          </w:tcPr>
          <w:p w14:paraId="0FE450CC" w14:textId="0D779112"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(2) Comisia poate solicita Comitetului bancar european să elaboreze recomandări generale care să permită să se stabilească dacă măsurile de supraveghere consolidată luate de autoritățile de supraveghere din țări terțe ar putea permite atingerea obiectivelor supravegherii consolidate prevăzute în prezentul capitol, în ceea ce privește instituțiile a căror întreprindere-mamă își are sediul central într-o țară terță. </w:t>
            </w:r>
          </w:p>
          <w:p w14:paraId="44FC6C97"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Comitetul bancar european examinează periodic aceste recomandări și ține seama de orice modificări aduse măsurilor de supraveghere consolidată aplicate de autoritățile competente respective. </w:t>
            </w:r>
          </w:p>
          <w:p w14:paraId="22DEA577"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ABE sprijină Comisia și Comitetul bancar european în îndeplinirea respectivelor atribuții, inclusiv în ceea ce privește evaluarea necesității actualizării respectivelor recomandări.</w:t>
            </w:r>
          </w:p>
        </w:tc>
        <w:tc>
          <w:tcPr>
            <w:tcW w:w="1928" w:type="pct"/>
            <w:gridSpan w:val="3"/>
            <w:tcBorders>
              <w:top w:val="single" w:sz="4" w:space="0" w:color="auto"/>
              <w:left w:val="single" w:sz="4" w:space="0" w:color="auto"/>
              <w:bottom w:val="single" w:sz="4" w:space="0" w:color="auto"/>
              <w:right w:val="single" w:sz="4" w:space="0" w:color="auto"/>
            </w:tcBorders>
          </w:tcPr>
          <w:p w14:paraId="591E45C7" w14:textId="69B11793"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35DBBBFA" w14:textId="205878D7"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neaplicabile</w:t>
            </w:r>
          </w:p>
        </w:tc>
        <w:tc>
          <w:tcPr>
            <w:tcW w:w="806" w:type="pct"/>
            <w:tcBorders>
              <w:top w:val="single" w:sz="4" w:space="0" w:color="auto"/>
              <w:left w:val="single" w:sz="4" w:space="0" w:color="auto"/>
              <w:bottom w:val="single" w:sz="4" w:space="0" w:color="auto"/>
              <w:right w:val="single" w:sz="4" w:space="0" w:color="auto"/>
            </w:tcBorders>
          </w:tcPr>
          <w:p w14:paraId="1997118A" w14:textId="129865CE"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 xml:space="preserve"> Se referă la competențele Comisiei Europene și ale ABE.</w:t>
            </w:r>
          </w:p>
          <w:p w14:paraId="37D9B399" w14:textId="77777777" w:rsidR="00984B34" w:rsidRPr="009E686F" w:rsidRDefault="00984B34" w:rsidP="00984B34">
            <w:pPr>
              <w:jc w:val="both"/>
              <w:rPr>
                <w:rFonts w:ascii="Times New Roman" w:hAnsi="Times New Roman" w:cs="Times New Roman"/>
                <w:lang w:val="ro-RO"/>
              </w:rPr>
            </w:pPr>
          </w:p>
          <w:p w14:paraId="62E6A301" w14:textId="77777777" w:rsidR="00984B34" w:rsidRPr="009E686F" w:rsidRDefault="00984B34" w:rsidP="00984B34">
            <w:pPr>
              <w:jc w:val="both"/>
              <w:rPr>
                <w:rFonts w:ascii="Times New Roman" w:hAnsi="Times New Roman" w:cs="Times New Roman"/>
                <w:lang w:val="ro-RO"/>
              </w:rPr>
            </w:pPr>
          </w:p>
          <w:p w14:paraId="6AC9CE90" w14:textId="77777777" w:rsidR="00984B34" w:rsidRPr="009E686F" w:rsidRDefault="00984B34" w:rsidP="00984B34">
            <w:pPr>
              <w:jc w:val="both"/>
              <w:rPr>
                <w:rFonts w:ascii="Times New Roman" w:hAnsi="Times New Roman" w:cs="Times New Roman"/>
                <w:lang w:val="ro-RO"/>
              </w:rPr>
            </w:pPr>
          </w:p>
          <w:p w14:paraId="1FD2400B" w14:textId="77777777" w:rsidR="00984B34" w:rsidRPr="009E686F" w:rsidRDefault="00984B34" w:rsidP="00984B34">
            <w:pPr>
              <w:jc w:val="both"/>
              <w:rPr>
                <w:rFonts w:ascii="Times New Roman" w:hAnsi="Times New Roman" w:cs="Times New Roman"/>
                <w:lang w:val="ro-RO"/>
              </w:rPr>
            </w:pPr>
          </w:p>
          <w:p w14:paraId="0B06ED46" w14:textId="77777777" w:rsidR="00984B34" w:rsidRPr="009E686F" w:rsidRDefault="00984B34" w:rsidP="00984B34">
            <w:pPr>
              <w:jc w:val="both"/>
              <w:rPr>
                <w:rFonts w:ascii="Times New Roman" w:hAnsi="Times New Roman" w:cs="Times New Roman"/>
                <w:lang w:val="ro-RO"/>
              </w:rPr>
            </w:pPr>
          </w:p>
          <w:p w14:paraId="7A509008" w14:textId="77777777" w:rsidR="00984B34" w:rsidRPr="009E686F" w:rsidRDefault="00984B34" w:rsidP="00984B34">
            <w:pPr>
              <w:jc w:val="both"/>
              <w:rPr>
                <w:rFonts w:ascii="Times New Roman" w:hAnsi="Times New Roman" w:cs="Times New Roman"/>
                <w:lang w:val="ro-RO"/>
              </w:rPr>
            </w:pPr>
          </w:p>
          <w:p w14:paraId="7B79DC3A" w14:textId="77777777" w:rsidR="00984B34" w:rsidRPr="009E686F" w:rsidRDefault="00984B34" w:rsidP="00984B34">
            <w:pPr>
              <w:jc w:val="both"/>
              <w:rPr>
                <w:rFonts w:ascii="Times New Roman" w:hAnsi="Times New Roman" w:cs="Times New Roman"/>
                <w:lang w:val="ro-RO"/>
              </w:rPr>
            </w:pPr>
          </w:p>
          <w:p w14:paraId="28F9979A" w14:textId="521ACDDF" w:rsidR="00984B34" w:rsidRPr="009E686F" w:rsidRDefault="00984B34" w:rsidP="00984B34">
            <w:pPr>
              <w:jc w:val="both"/>
              <w:rPr>
                <w:rFonts w:ascii="Times New Roman" w:hAnsi="Times New Roman" w:cs="Times New Roman"/>
                <w:lang w:val="ro-RO"/>
              </w:rPr>
            </w:pPr>
          </w:p>
        </w:tc>
      </w:tr>
      <w:tr w:rsidR="00984B34" w:rsidRPr="009E686F" w14:paraId="46BF5366" w14:textId="7B80849F" w:rsidTr="00774F3E">
        <w:tc>
          <w:tcPr>
            <w:tcW w:w="1796" w:type="pct"/>
            <w:gridSpan w:val="2"/>
            <w:tcBorders>
              <w:top w:val="single" w:sz="4" w:space="0" w:color="auto"/>
              <w:left w:val="single" w:sz="4" w:space="0" w:color="auto"/>
              <w:bottom w:val="single" w:sz="4" w:space="0" w:color="auto"/>
              <w:right w:val="single" w:sz="4" w:space="0" w:color="auto"/>
            </w:tcBorders>
          </w:tcPr>
          <w:p w14:paraId="16C427B4"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Autoritatea competentă care efectuează evaluarea menționată la alineatul (1) primul paragraf ține seama de recomandările menționate anterior. </w:t>
            </w:r>
          </w:p>
          <w:p w14:paraId="595B7B69" w14:textId="40945D18"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lastRenderedPageBreak/>
              <w:t>În acest scop, autoritatea competentă consultă ABE înainte de a adopta o decizie.</w:t>
            </w:r>
          </w:p>
        </w:tc>
        <w:tc>
          <w:tcPr>
            <w:tcW w:w="1928" w:type="pct"/>
            <w:gridSpan w:val="3"/>
            <w:tcBorders>
              <w:top w:val="single" w:sz="4" w:space="0" w:color="auto"/>
              <w:left w:val="single" w:sz="4" w:space="0" w:color="auto"/>
              <w:bottom w:val="single" w:sz="4" w:space="0" w:color="auto"/>
              <w:right w:val="single" w:sz="4" w:space="0" w:color="auto"/>
            </w:tcBorders>
          </w:tcPr>
          <w:p w14:paraId="2EB376EA" w14:textId="6891E894" w:rsidR="00984B34" w:rsidRPr="009E686F" w:rsidRDefault="00984B34" w:rsidP="00984B34">
            <w:pPr>
              <w:spacing w:after="0"/>
              <w:jc w:val="both"/>
              <w:rPr>
                <w:rFonts w:ascii="Times New Roman" w:hAnsi="Times New Roman" w:cs="Times New Roman"/>
                <w:b/>
                <w:lang w:val="ro-RO"/>
              </w:rPr>
            </w:pPr>
            <w:r w:rsidRPr="009E686F">
              <w:rPr>
                <w:rFonts w:ascii="Times New Roman" w:eastAsia="Aptos" w:hAnsi="Times New Roman" w:cs="Times New Roman"/>
                <w:kern w:val="2"/>
                <w:lang w:val="ro-MD"/>
              </w:rPr>
              <w:lastRenderedPageBreak/>
              <w:t xml:space="preserve">(3) Pentru efectuarea evaluării potrivit prevederilor alin.(1), Banca Naţională a Moldovei are în vedere principiile de supraveghere pe bază consolidată exercitate de autoritatea </w:t>
            </w:r>
            <w:r w:rsidRPr="009E686F">
              <w:rPr>
                <w:rFonts w:ascii="Times New Roman" w:eastAsia="Aptos" w:hAnsi="Times New Roman" w:cs="Times New Roman"/>
                <w:kern w:val="2"/>
                <w:lang w:val="ro-MD"/>
              </w:rPr>
              <w:lastRenderedPageBreak/>
              <w:t xml:space="preserve">competentă dintr-un </w:t>
            </w:r>
            <w:r w:rsidRPr="009E686F">
              <w:rPr>
                <w:rFonts w:ascii="Times New Roman" w:eastAsia="Aptos" w:hAnsi="Times New Roman" w:cs="Times New Roman"/>
                <w:i/>
                <w:iCs/>
                <w:kern w:val="2"/>
                <w:lang w:val="ro-MD"/>
              </w:rPr>
              <w:t>stat membru</w:t>
            </w:r>
            <w:r w:rsidRPr="009E686F">
              <w:rPr>
                <w:rFonts w:ascii="Times New Roman" w:eastAsia="Aptos" w:hAnsi="Times New Roman" w:cs="Times New Roman"/>
                <w:kern w:val="2"/>
                <w:lang w:val="ro-MD"/>
              </w:rPr>
              <w:t xml:space="preserve"> asupra </w:t>
            </w:r>
            <w:r w:rsidRPr="009E686F">
              <w:rPr>
                <w:rFonts w:ascii="Times New Roman" w:eastAsia="Aptos" w:hAnsi="Times New Roman" w:cs="Times New Roman"/>
                <w:i/>
                <w:iCs/>
                <w:kern w:val="2"/>
                <w:lang w:val="ro-MD"/>
              </w:rPr>
              <w:t>instituțiilor de credit</w:t>
            </w:r>
            <w:r w:rsidRPr="009E686F">
              <w:rPr>
                <w:rFonts w:ascii="Times New Roman" w:eastAsia="Aptos" w:hAnsi="Times New Roman" w:cs="Times New Roman"/>
                <w:kern w:val="2"/>
                <w:lang w:val="ro-MD"/>
              </w:rPr>
              <w:t xml:space="preserve"> şi principiile de supraveghere prevăzute de prezenta lege. </w:t>
            </w:r>
            <w:r w:rsidRPr="009E686F">
              <w:rPr>
                <w:rFonts w:ascii="Times New Roman" w:eastAsia="Aptos" w:hAnsi="Times New Roman" w:cs="Times New Roman"/>
                <w:i/>
                <w:iCs/>
                <w:kern w:val="2"/>
                <w:lang w:val="ro-MD"/>
              </w:rPr>
              <w:t>În acest scop, Banca Națională a Moldovei consultă Autoritatea Bancară Europeană Bancară înainte de adoptarea unei decizii.</w:t>
            </w:r>
          </w:p>
        </w:tc>
        <w:tc>
          <w:tcPr>
            <w:tcW w:w="470" w:type="pct"/>
            <w:tcBorders>
              <w:top w:val="single" w:sz="4" w:space="0" w:color="auto"/>
              <w:left w:val="single" w:sz="4" w:space="0" w:color="auto"/>
              <w:bottom w:val="single" w:sz="4" w:space="0" w:color="auto"/>
              <w:right w:val="single" w:sz="4" w:space="0" w:color="auto"/>
            </w:tcBorders>
          </w:tcPr>
          <w:p w14:paraId="35E5AA34" w14:textId="07367316"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619449D5" w14:textId="77777777" w:rsidR="00984B34" w:rsidRPr="009E686F" w:rsidRDefault="00984B34" w:rsidP="00984B34">
            <w:pPr>
              <w:jc w:val="both"/>
              <w:rPr>
                <w:rFonts w:ascii="Times New Roman" w:hAnsi="Times New Roman" w:cs="Times New Roman"/>
                <w:lang w:val="ro-RO"/>
              </w:rPr>
            </w:pPr>
          </w:p>
        </w:tc>
      </w:tr>
      <w:tr w:rsidR="00984B34" w:rsidRPr="009E686F" w14:paraId="630B0995" w14:textId="43AAA734" w:rsidTr="00774F3E">
        <w:tc>
          <w:tcPr>
            <w:tcW w:w="1796" w:type="pct"/>
            <w:gridSpan w:val="2"/>
            <w:tcBorders>
              <w:top w:val="single" w:sz="4" w:space="0" w:color="auto"/>
              <w:left w:val="single" w:sz="4" w:space="0" w:color="auto"/>
              <w:bottom w:val="single" w:sz="4" w:space="0" w:color="auto"/>
              <w:right w:val="single" w:sz="4" w:space="0" w:color="auto"/>
            </w:tcBorders>
          </w:tcPr>
          <w:p w14:paraId="5D6480F0" w14:textId="0F2929CF"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(3) În lipsa unei astfel de supravegheri echivalente, statele membre aplică instituției, mutatis mutandis, prezenta directivă și Regulamentul (UE) nr. 575/2013 sau permit autorităților lor competente să aplice alte tehnici de supraveghere adecvate pentru atingerea obiectivelor de supraveghere pe bază consolidată a instituțiilor.</w:t>
            </w:r>
          </w:p>
        </w:tc>
        <w:tc>
          <w:tcPr>
            <w:tcW w:w="1928" w:type="pct"/>
            <w:gridSpan w:val="3"/>
            <w:tcBorders>
              <w:top w:val="single" w:sz="4" w:space="0" w:color="auto"/>
              <w:left w:val="single" w:sz="4" w:space="0" w:color="auto"/>
              <w:bottom w:val="single" w:sz="4" w:space="0" w:color="auto"/>
              <w:right w:val="single" w:sz="4" w:space="0" w:color="auto"/>
            </w:tcBorders>
          </w:tcPr>
          <w:p w14:paraId="4309F644" w14:textId="7E33F0E4" w:rsidR="00984B34" w:rsidRPr="009E686F" w:rsidRDefault="00984B34" w:rsidP="00984B34">
            <w:pPr>
              <w:spacing w:after="0"/>
              <w:jc w:val="both"/>
              <w:rPr>
                <w:rFonts w:ascii="Times New Roman" w:hAnsi="Times New Roman" w:cs="Times New Roman"/>
                <w:b/>
                <w:lang w:val="ro-RO"/>
              </w:rPr>
            </w:pPr>
            <w:r w:rsidRPr="009E686F">
              <w:rPr>
                <w:rFonts w:ascii="Times New Roman" w:eastAsia="Aptos" w:hAnsi="Times New Roman" w:cs="Times New Roman"/>
                <w:kern w:val="2"/>
                <w:lang w:val="ro-MD"/>
              </w:rPr>
              <w:t xml:space="preserve">(4) În absenţa unei supravegheri echivalente potrivit alin.(2)–(3), prevederile referitoare la supravegherea pe bază consolidată cuprinse în prezenta lege şi în actele normative emise în aplicarea acesteia se aplică, </w:t>
            </w:r>
            <w:r w:rsidRPr="009E686F">
              <w:rPr>
                <w:rFonts w:ascii="Times New Roman" w:eastAsia="Aptos" w:hAnsi="Times New Roman" w:cs="Times New Roman"/>
                <w:i/>
                <w:iCs/>
                <w:kern w:val="2"/>
                <w:lang w:val="ro-MD"/>
              </w:rPr>
              <w:t>mutatis mutandis</w:t>
            </w:r>
            <w:r w:rsidRPr="009E686F">
              <w:rPr>
                <w:rFonts w:ascii="Times New Roman" w:eastAsia="Aptos" w:hAnsi="Times New Roman" w:cs="Times New Roman"/>
                <w:kern w:val="2"/>
                <w:lang w:val="ro-MD"/>
              </w:rPr>
              <w:t xml:space="preserve">, </w:t>
            </w:r>
            <w:r w:rsidRPr="009E686F">
              <w:rPr>
                <w:rFonts w:ascii="Times New Roman" w:eastAsia="Aptos" w:hAnsi="Times New Roman" w:cs="Times New Roman"/>
                <w:i/>
                <w:iCs/>
                <w:kern w:val="2"/>
                <w:lang w:val="ro-MD"/>
              </w:rPr>
              <w:t>instituției de credit</w:t>
            </w:r>
            <w:r w:rsidRPr="009E686F">
              <w:rPr>
                <w:rFonts w:ascii="Times New Roman" w:eastAsia="Aptos" w:hAnsi="Times New Roman" w:cs="Times New Roman"/>
                <w:kern w:val="2"/>
                <w:lang w:val="ro-MD"/>
              </w:rPr>
              <w:t xml:space="preserve"> prevăzute la alin.(1) sau Banca Naţională a Moldovei poate să aplice alte tehnici de supraveghere adecvate pentru atingerea obiectivelor supravegherii pe bază consolidată a </w:t>
            </w:r>
            <w:r w:rsidRPr="009E686F">
              <w:rPr>
                <w:rFonts w:ascii="Times New Roman" w:eastAsia="Aptos" w:hAnsi="Times New Roman" w:cs="Times New Roman"/>
                <w:i/>
                <w:iCs/>
                <w:kern w:val="2"/>
                <w:lang w:val="ro-MD"/>
              </w:rPr>
              <w:t>instituției de credit</w:t>
            </w:r>
          </w:p>
        </w:tc>
        <w:tc>
          <w:tcPr>
            <w:tcW w:w="470" w:type="pct"/>
            <w:tcBorders>
              <w:top w:val="single" w:sz="4" w:space="0" w:color="auto"/>
              <w:left w:val="single" w:sz="4" w:space="0" w:color="auto"/>
              <w:bottom w:val="single" w:sz="4" w:space="0" w:color="auto"/>
              <w:right w:val="single" w:sz="4" w:space="0" w:color="auto"/>
            </w:tcBorders>
          </w:tcPr>
          <w:p w14:paraId="703958A8" w14:textId="3994F05C"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328F227A" w14:textId="77777777" w:rsidR="00984B34" w:rsidRPr="009E686F" w:rsidRDefault="00984B34" w:rsidP="00984B34">
            <w:pPr>
              <w:jc w:val="both"/>
              <w:rPr>
                <w:rFonts w:ascii="Times New Roman" w:hAnsi="Times New Roman" w:cs="Times New Roman"/>
                <w:lang w:val="ro-RO"/>
              </w:rPr>
            </w:pPr>
          </w:p>
        </w:tc>
      </w:tr>
      <w:tr w:rsidR="00984B34" w:rsidRPr="009E686F" w14:paraId="4D91AD59" w14:textId="37E13AC6" w:rsidTr="00774F3E">
        <w:tc>
          <w:tcPr>
            <w:tcW w:w="1796" w:type="pct"/>
            <w:gridSpan w:val="2"/>
            <w:tcBorders>
              <w:top w:val="single" w:sz="4" w:space="0" w:color="auto"/>
              <w:left w:val="single" w:sz="4" w:space="0" w:color="auto"/>
              <w:bottom w:val="single" w:sz="4" w:space="0" w:color="auto"/>
              <w:right w:val="single" w:sz="4" w:space="0" w:color="auto"/>
            </w:tcBorders>
          </w:tcPr>
          <w:p w14:paraId="56AB09ED"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Tehnicile de supraveghere respective sunt convenite de autoritatea competentă care urmează a fi responsabilă cu supravegherea consolidată, după consultarea celorlalte autorități competente în cauză.</w:t>
            </w:r>
          </w:p>
        </w:tc>
        <w:tc>
          <w:tcPr>
            <w:tcW w:w="1928" w:type="pct"/>
            <w:gridSpan w:val="3"/>
            <w:tcBorders>
              <w:top w:val="single" w:sz="4" w:space="0" w:color="auto"/>
              <w:left w:val="single" w:sz="4" w:space="0" w:color="auto"/>
              <w:bottom w:val="single" w:sz="4" w:space="0" w:color="auto"/>
              <w:right w:val="single" w:sz="4" w:space="0" w:color="auto"/>
            </w:tcBorders>
          </w:tcPr>
          <w:p w14:paraId="3639F7ED" w14:textId="54EB345E" w:rsidR="00984B34" w:rsidRPr="009E686F" w:rsidRDefault="00984B34" w:rsidP="00984B34">
            <w:pPr>
              <w:spacing w:after="0"/>
              <w:jc w:val="both"/>
              <w:rPr>
                <w:rFonts w:ascii="Times New Roman" w:hAnsi="Times New Roman" w:cs="Times New Roman"/>
                <w:b/>
                <w:lang w:val="ro-RO"/>
              </w:rPr>
            </w:pPr>
            <w:r w:rsidRPr="009E686F">
              <w:rPr>
                <w:rFonts w:ascii="Times New Roman" w:eastAsia="Aptos" w:hAnsi="Times New Roman" w:cs="Times New Roman"/>
                <w:kern w:val="2"/>
                <w:lang w:val="ro-MD"/>
              </w:rPr>
              <w:t>(5) Banca Naţională a Moldovei, în situaţia în care ar fi autoritatea competentă responsabilă cu supravegherea pe bază consolidată, decide aplicarea tehnicilor de supraveghere alternative prevăzute la alin.(4), după consultarea cu celelalte autorităţi competente implicate.</w:t>
            </w:r>
          </w:p>
        </w:tc>
        <w:tc>
          <w:tcPr>
            <w:tcW w:w="470" w:type="pct"/>
            <w:tcBorders>
              <w:top w:val="single" w:sz="4" w:space="0" w:color="auto"/>
              <w:left w:val="single" w:sz="4" w:space="0" w:color="auto"/>
              <w:bottom w:val="single" w:sz="4" w:space="0" w:color="auto"/>
              <w:right w:val="single" w:sz="4" w:space="0" w:color="auto"/>
            </w:tcBorders>
          </w:tcPr>
          <w:p w14:paraId="68E8FF29" w14:textId="21D5BB23"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4E2122A3" w14:textId="77777777" w:rsidR="00984B34" w:rsidRPr="009E686F" w:rsidRDefault="00984B34" w:rsidP="00984B34">
            <w:pPr>
              <w:jc w:val="both"/>
              <w:rPr>
                <w:rFonts w:ascii="Times New Roman" w:hAnsi="Times New Roman" w:cs="Times New Roman"/>
                <w:lang w:val="ro-RO"/>
              </w:rPr>
            </w:pPr>
          </w:p>
        </w:tc>
      </w:tr>
      <w:tr w:rsidR="00984B34" w:rsidRPr="009E686F" w14:paraId="55B33E65" w14:textId="33A7B8E8" w:rsidTr="00774F3E">
        <w:tc>
          <w:tcPr>
            <w:tcW w:w="1796" w:type="pct"/>
            <w:gridSpan w:val="2"/>
            <w:tcBorders>
              <w:top w:val="single" w:sz="4" w:space="0" w:color="auto"/>
              <w:left w:val="single" w:sz="4" w:space="0" w:color="auto"/>
              <w:bottom w:val="single" w:sz="4" w:space="0" w:color="auto"/>
              <w:right w:val="single" w:sz="4" w:space="0" w:color="auto"/>
            </w:tcBorders>
          </w:tcPr>
          <w:p w14:paraId="452E6360"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Autoritățile competente pot să ceară în special înființarea unei societăți financiare holding sau a unei societăți financiare holding mixte cu sediul central în Uniune și să aplice dispozițiile privind supravegherea consolidată situației consolidate a respectivei societăți financiare holding sau situației consolidate a instituțiilor respectivei societăți financiare holding mixte.</w:t>
            </w:r>
          </w:p>
        </w:tc>
        <w:tc>
          <w:tcPr>
            <w:tcW w:w="1928" w:type="pct"/>
            <w:gridSpan w:val="3"/>
            <w:tcBorders>
              <w:top w:val="single" w:sz="4" w:space="0" w:color="auto"/>
              <w:left w:val="single" w:sz="4" w:space="0" w:color="auto"/>
              <w:bottom w:val="single" w:sz="4" w:space="0" w:color="auto"/>
              <w:right w:val="single" w:sz="4" w:space="0" w:color="auto"/>
            </w:tcBorders>
          </w:tcPr>
          <w:p w14:paraId="6EB0EB8B" w14:textId="1B7D43B7" w:rsidR="00984B34" w:rsidRPr="009E686F" w:rsidRDefault="00984B34" w:rsidP="00984B34">
            <w:pPr>
              <w:spacing w:after="0"/>
              <w:jc w:val="both"/>
              <w:rPr>
                <w:rFonts w:ascii="Times New Roman" w:hAnsi="Times New Roman" w:cs="Times New Roman"/>
                <w:b/>
                <w:lang w:val="ro-RO"/>
              </w:rPr>
            </w:pPr>
            <w:r w:rsidRPr="009E686F">
              <w:rPr>
                <w:rFonts w:ascii="Times New Roman" w:eastAsia="Aptos" w:hAnsi="Times New Roman" w:cs="Times New Roman"/>
                <w:kern w:val="2"/>
                <w:lang w:val="ro-MD"/>
              </w:rPr>
              <w:t>(6) În situaţia prevăzută la alin.(5), Banca Naţională a Moldovei poate solicita constituirea unei societăţi financiare holding sau a unei societăţi financiare holding mixte cu sediul pe teritoriul Republicii Moldova şi aplică prevederile referitoare la supravegherea pe bază consolidată situaţiei consolidate a societăţii financiare holding sau a societăţii financiare holding mixte respective.</w:t>
            </w:r>
          </w:p>
        </w:tc>
        <w:tc>
          <w:tcPr>
            <w:tcW w:w="470" w:type="pct"/>
            <w:tcBorders>
              <w:top w:val="single" w:sz="4" w:space="0" w:color="auto"/>
              <w:left w:val="single" w:sz="4" w:space="0" w:color="auto"/>
              <w:bottom w:val="single" w:sz="4" w:space="0" w:color="auto"/>
              <w:right w:val="single" w:sz="4" w:space="0" w:color="auto"/>
            </w:tcBorders>
          </w:tcPr>
          <w:p w14:paraId="144928E9" w14:textId="1F78ECA8"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2FDEFE1E" w14:textId="77777777" w:rsidR="00984B34" w:rsidRPr="009E686F" w:rsidRDefault="00984B34" w:rsidP="00984B34">
            <w:pPr>
              <w:jc w:val="both"/>
              <w:rPr>
                <w:rFonts w:ascii="Times New Roman" w:hAnsi="Times New Roman" w:cs="Times New Roman"/>
                <w:lang w:val="ro-RO"/>
              </w:rPr>
            </w:pPr>
          </w:p>
        </w:tc>
      </w:tr>
      <w:tr w:rsidR="00984B34" w:rsidRPr="009E686F" w14:paraId="30BCBA09" w14:textId="36F76DD2" w:rsidTr="00774F3E">
        <w:tc>
          <w:tcPr>
            <w:tcW w:w="1796" w:type="pct"/>
            <w:gridSpan w:val="2"/>
            <w:tcBorders>
              <w:top w:val="single" w:sz="4" w:space="0" w:color="auto"/>
              <w:left w:val="single" w:sz="4" w:space="0" w:color="auto"/>
              <w:bottom w:val="single" w:sz="4" w:space="0" w:color="auto"/>
              <w:right w:val="single" w:sz="4" w:space="0" w:color="auto"/>
            </w:tcBorders>
          </w:tcPr>
          <w:p w14:paraId="0497B3E8"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Tehnicile de supraveghere urmăresc atingerea obiectivelor supravegherii consolidate din în prezentul capitol și sunt notificate celorlalte autorități competente în cauză, ABE și Comisiei.</w:t>
            </w:r>
          </w:p>
        </w:tc>
        <w:tc>
          <w:tcPr>
            <w:tcW w:w="1928" w:type="pct"/>
            <w:gridSpan w:val="3"/>
            <w:tcBorders>
              <w:top w:val="single" w:sz="4" w:space="0" w:color="auto"/>
              <w:left w:val="single" w:sz="4" w:space="0" w:color="auto"/>
              <w:bottom w:val="single" w:sz="4" w:space="0" w:color="auto"/>
              <w:right w:val="single" w:sz="4" w:space="0" w:color="auto"/>
            </w:tcBorders>
          </w:tcPr>
          <w:p w14:paraId="2DB3B164" w14:textId="52B8A675" w:rsidR="00984B34" w:rsidRPr="009E686F" w:rsidRDefault="00984B34" w:rsidP="00984B34">
            <w:pPr>
              <w:spacing w:after="0"/>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 xml:space="preserve">(7) Tehnicile de supraveghere trebuie să permită atingerea obiectivelor supravegherii pe bază consolidată potrivit prezentei legi şi potrivit actelor normative emise în aplicarea acesteia </w:t>
            </w:r>
            <w:r w:rsidRPr="009E686F">
              <w:rPr>
                <w:rFonts w:ascii="Times New Roman" w:eastAsia="Aptos" w:hAnsi="Times New Roman" w:cs="Times New Roman"/>
                <w:i/>
                <w:iCs/>
                <w:kern w:val="2"/>
                <w:lang w:val="ro-MD"/>
              </w:rPr>
              <w:t>și sunt notificate celorlalte autorități competente implicate, Autorității Bancare Europene și Comisiei Europene</w:t>
            </w:r>
            <w:r w:rsidRPr="009E686F">
              <w:rPr>
                <w:rFonts w:ascii="Times New Roman" w:eastAsia="Aptos" w:hAnsi="Times New Roman" w:cs="Times New Roman"/>
                <w:kern w:val="2"/>
                <w:lang w:val="ro-MD"/>
              </w:rPr>
              <w:t>.</w:t>
            </w:r>
          </w:p>
        </w:tc>
        <w:tc>
          <w:tcPr>
            <w:tcW w:w="470" w:type="pct"/>
            <w:tcBorders>
              <w:top w:val="single" w:sz="4" w:space="0" w:color="auto"/>
              <w:left w:val="single" w:sz="4" w:space="0" w:color="auto"/>
              <w:bottom w:val="single" w:sz="4" w:space="0" w:color="auto"/>
              <w:right w:val="single" w:sz="4" w:space="0" w:color="auto"/>
            </w:tcBorders>
          </w:tcPr>
          <w:p w14:paraId="61A92351" w14:textId="7D1BB2AF"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39AC322A" w14:textId="77777777" w:rsidR="00984B34" w:rsidRPr="009E686F" w:rsidRDefault="00984B34" w:rsidP="00984B34">
            <w:pPr>
              <w:jc w:val="both"/>
              <w:rPr>
                <w:rFonts w:ascii="Times New Roman" w:hAnsi="Times New Roman" w:cs="Times New Roman"/>
                <w:lang w:val="ro-RO"/>
              </w:rPr>
            </w:pPr>
          </w:p>
        </w:tc>
      </w:tr>
      <w:tr w:rsidR="00984B34" w:rsidRPr="009E686F" w14:paraId="2EC2F610" w14:textId="358AFD5C" w:rsidTr="00791D0A">
        <w:trPr>
          <w:trHeight w:val="4634"/>
        </w:trPr>
        <w:tc>
          <w:tcPr>
            <w:tcW w:w="1796" w:type="pct"/>
            <w:gridSpan w:val="2"/>
            <w:tcBorders>
              <w:top w:val="single" w:sz="4" w:space="0" w:color="auto"/>
              <w:left w:val="single" w:sz="4" w:space="0" w:color="auto"/>
              <w:right w:val="single" w:sz="4" w:space="0" w:color="auto"/>
            </w:tcBorders>
          </w:tcPr>
          <w:p w14:paraId="68FE23D8" w14:textId="77777777" w:rsidR="00984B34" w:rsidRPr="009E686F" w:rsidRDefault="00984B34" w:rsidP="00984B34">
            <w:pPr>
              <w:spacing w:after="0"/>
              <w:jc w:val="both"/>
              <w:rPr>
                <w:rFonts w:ascii="Times New Roman" w:hAnsi="Times New Roman" w:cs="Times New Roman"/>
                <w:bCs/>
                <w:lang w:val="ro-RO"/>
              </w:rPr>
            </w:pPr>
            <w:r w:rsidRPr="009E686F">
              <w:rPr>
                <w:rFonts w:ascii="Times New Roman" w:hAnsi="Times New Roman" w:cs="Times New Roman"/>
                <w:bCs/>
                <w:lang w:val="ro-RO"/>
              </w:rPr>
              <w:lastRenderedPageBreak/>
              <w:t>CAPITOLUL 4</w:t>
            </w:r>
          </w:p>
          <w:p w14:paraId="1FC521C5"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b/>
                <w:lang w:val="ro-RO"/>
              </w:rPr>
              <w:t>Amortizoare de capital</w:t>
            </w:r>
          </w:p>
          <w:p w14:paraId="78B2008A" w14:textId="42E5E5E6" w:rsidR="00984B34" w:rsidRPr="009E686F" w:rsidRDefault="00984B34" w:rsidP="00984B34">
            <w:pPr>
              <w:spacing w:after="0"/>
              <w:jc w:val="both"/>
              <w:rPr>
                <w:rFonts w:ascii="Times New Roman" w:hAnsi="Times New Roman" w:cs="Times New Roman"/>
                <w:lang w:val="ro-RO"/>
              </w:rPr>
            </w:pPr>
          </w:p>
        </w:tc>
        <w:tc>
          <w:tcPr>
            <w:tcW w:w="1928" w:type="pct"/>
            <w:gridSpan w:val="3"/>
            <w:tcBorders>
              <w:top w:val="single" w:sz="4" w:space="0" w:color="auto"/>
              <w:left w:val="single" w:sz="4" w:space="0" w:color="auto"/>
              <w:right w:val="single" w:sz="4" w:space="0" w:color="auto"/>
            </w:tcBorders>
          </w:tcPr>
          <w:p w14:paraId="4DA73A02" w14:textId="77777777" w:rsidR="00984B34" w:rsidRPr="009E686F" w:rsidRDefault="00984B34" w:rsidP="00984B34">
            <w:pPr>
              <w:spacing w:after="0"/>
              <w:jc w:val="both"/>
              <w:rPr>
                <w:rFonts w:ascii="Times New Roman" w:hAnsi="Times New Roman" w:cs="Times New Roman"/>
                <w:b/>
                <w:lang w:val="pt-BR"/>
              </w:rPr>
            </w:pPr>
            <w:r w:rsidRPr="009E686F">
              <w:rPr>
                <w:rFonts w:ascii="Times New Roman" w:hAnsi="Times New Roman" w:cs="Times New Roman"/>
                <w:b/>
                <w:lang w:val="pt-BR"/>
              </w:rPr>
              <w:t>Art. 63 alin. (1)</w:t>
            </w:r>
          </w:p>
          <w:p w14:paraId="23694CE0" w14:textId="77777777" w:rsidR="00984B34" w:rsidRPr="009E686F" w:rsidRDefault="00984B34" w:rsidP="00984B34">
            <w:pPr>
              <w:spacing w:after="0"/>
              <w:jc w:val="both"/>
              <w:rPr>
                <w:rFonts w:ascii="Times New Roman" w:hAnsi="Times New Roman" w:cs="Times New Roman"/>
                <w:lang w:val="pt-BR"/>
              </w:rPr>
            </w:pPr>
            <w:r w:rsidRPr="009E686F">
              <w:rPr>
                <w:rFonts w:ascii="Times New Roman" w:hAnsi="Times New Roman" w:cs="Times New Roman"/>
                <w:b/>
                <w:lang w:val="pt-BR"/>
              </w:rPr>
              <w:t>Articolul 63.</w:t>
            </w:r>
            <w:r w:rsidRPr="009E686F">
              <w:rPr>
                <w:rFonts w:ascii="Times New Roman" w:hAnsi="Times New Roman" w:cs="Times New Roman"/>
                <w:lang w:val="pt-BR"/>
              </w:rPr>
              <w:t xml:space="preserve"> Amortizoarele de capital</w:t>
            </w:r>
          </w:p>
          <w:p w14:paraId="19B6E14E" w14:textId="79F96706" w:rsidR="00984B34" w:rsidRPr="009E686F" w:rsidRDefault="00984B34" w:rsidP="00984B34">
            <w:pPr>
              <w:spacing w:after="0"/>
              <w:jc w:val="both"/>
              <w:rPr>
                <w:rFonts w:ascii="Times New Roman" w:hAnsi="Times New Roman" w:cs="Times New Roman"/>
                <w:lang w:val="pt-BR"/>
              </w:rPr>
            </w:pPr>
            <w:r w:rsidRPr="009E686F">
              <w:rPr>
                <w:rFonts w:ascii="Times New Roman" w:hAnsi="Times New Roman" w:cs="Times New Roman"/>
                <w:lang w:val="pt-BR"/>
              </w:rPr>
              <w:t xml:space="preserve">(1) </w:t>
            </w:r>
            <w:r w:rsidRPr="009E686F">
              <w:rPr>
                <w:rFonts w:ascii="Times New Roman" w:hAnsi="Times New Roman" w:cs="Times New Roman"/>
                <w:i/>
                <w:lang w:val="pt-BR"/>
              </w:rPr>
              <w:t>Instituțiile de credit</w:t>
            </w:r>
            <w:r w:rsidRPr="009E686F">
              <w:rPr>
                <w:rFonts w:ascii="Times New Roman" w:hAnsi="Times New Roman" w:cs="Times New Roman"/>
                <w:lang w:val="pt-BR"/>
              </w:rPr>
              <w:t xml:space="preserve"> trebuie să dispună de fonduri proprii care să acopere amortizoarele de capital impuse de Banca Naţională a Moldovei. Cerinţele de menţinere a amortizoarelor de capital trebuie să fie îndeplinite de către </w:t>
            </w:r>
            <w:r w:rsidRPr="009E686F">
              <w:rPr>
                <w:rFonts w:ascii="Times New Roman" w:hAnsi="Times New Roman" w:cs="Times New Roman"/>
                <w:i/>
                <w:lang w:val="pt-BR"/>
              </w:rPr>
              <w:t>instituțiile de credit</w:t>
            </w:r>
            <w:r w:rsidRPr="009E686F">
              <w:rPr>
                <w:rFonts w:ascii="Times New Roman" w:hAnsi="Times New Roman" w:cs="Times New Roman"/>
                <w:lang w:val="pt-BR"/>
              </w:rPr>
              <w:t xml:space="preserve"> cu elemente ale fondurilor proprii stabilite de Banca Naţională a Moldovei. Amortizoarele de capital trebuie să fie menţinute suplimentar la cerinţele minime de fonduri proprii prevăzute de Banca Naţională a Moldovei conform art.60 şi 139.</w:t>
            </w:r>
          </w:p>
          <w:p w14:paraId="0082D469" w14:textId="09EFA408" w:rsidR="00984B34" w:rsidRPr="009E686F" w:rsidRDefault="00984B34" w:rsidP="00984B34">
            <w:pPr>
              <w:spacing w:after="0"/>
              <w:jc w:val="both"/>
              <w:rPr>
                <w:rFonts w:ascii="Times New Roman" w:hAnsi="Times New Roman" w:cs="Times New Roman"/>
                <w:lang w:val="pt-BR"/>
              </w:rPr>
            </w:pPr>
            <w:r w:rsidRPr="009E686F">
              <w:rPr>
                <w:rFonts w:ascii="Times New Roman" w:hAnsi="Times New Roman" w:cs="Times New Roman"/>
                <w:lang w:val="pt-BR"/>
              </w:rPr>
              <w:t xml:space="preserve">(2) În sensul alin.(1), </w:t>
            </w:r>
            <w:r w:rsidRPr="009E686F">
              <w:rPr>
                <w:rFonts w:ascii="Times New Roman" w:hAnsi="Times New Roman" w:cs="Times New Roman"/>
                <w:i/>
                <w:lang w:val="pt-BR"/>
              </w:rPr>
              <w:t>instituțiile de credit</w:t>
            </w:r>
            <w:r w:rsidRPr="009E686F">
              <w:rPr>
                <w:rFonts w:ascii="Times New Roman" w:hAnsi="Times New Roman" w:cs="Times New Roman"/>
                <w:lang w:val="pt-BR"/>
              </w:rPr>
              <w:t xml:space="preserve"> trebuie să dispună de fonduri proprii pentru amortizorul de conservare a capitalului, amortizorul anticiclic de capital specific </w:t>
            </w:r>
            <w:r w:rsidRPr="009E686F">
              <w:rPr>
                <w:rFonts w:ascii="Times New Roman" w:hAnsi="Times New Roman" w:cs="Times New Roman"/>
                <w:i/>
                <w:lang w:val="pt-BR"/>
              </w:rPr>
              <w:t>instituției de credit</w:t>
            </w:r>
            <w:r w:rsidRPr="009E686F">
              <w:rPr>
                <w:rFonts w:ascii="Times New Roman" w:hAnsi="Times New Roman" w:cs="Times New Roman"/>
                <w:lang w:val="pt-BR"/>
              </w:rPr>
              <w:t xml:space="preserve">, amortizorul aferent societăţii de importanţă sistemică, amortizorul G-SII, </w:t>
            </w:r>
            <w:r w:rsidRPr="009E686F">
              <w:rPr>
                <w:rFonts w:ascii="Times New Roman" w:hAnsi="Times New Roman" w:cs="Times New Roman"/>
                <w:i/>
                <w:lang w:val="pt-BR"/>
              </w:rPr>
              <w:t>amortizorul pentru indicatorul efectului de levier</w:t>
            </w:r>
            <w:r w:rsidRPr="009E686F">
              <w:rPr>
                <w:rFonts w:ascii="Times New Roman" w:hAnsi="Times New Roman" w:cs="Times New Roman"/>
                <w:lang w:val="pt-BR"/>
              </w:rPr>
              <w:t xml:space="preserve"> şi amortizorul de risc sistemic, în măsura şi în condiţiile prevăzute de actele normative emise de Banca Naţională a Moldovei în aplicarea prezentei legi.</w:t>
            </w:r>
          </w:p>
          <w:p w14:paraId="361B69CE" w14:textId="1EBF62B0" w:rsidR="00984B34" w:rsidRPr="009E686F" w:rsidRDefault="00984B34" w:rsidP="00984B34">
            <w:pPr>
              <w:spacing w:after="0"/>
              <w:jc w:val="both"/>
              <w:rPr>
                <w:rFonts w:ascii="Times New Roman" w:hAnsi="Times New Roman" w:cs="Times New Roman"/>
                <w:lang w:val="pt-BR"/>
              </w:rPr>
            </w:pPr>
            <w:r w:rsidRPr="009E686F">
              <w:rPr>
                <w:rFonts w:ascii="Times New Roman" w:hAnsi="Times New Roman" w:cs="Times New Roman"/>
                <w:lang w:val="pt-BR"/>
              </w:rPr>
              <w:t xml:space="preserve">(3) </w:t>
            </w:r>
            <w:r w:rsidRPr="009E686F">
              <w:rPr>
                <w:rFonts w:ascii="Times New Roman" w:hAnsi="Times New Roman" w:cs="Times New Roman"/>
                <w:i/>
                <w:lang w:val="pt-BR"/>
              </w:rPr>
              <w:t>Instituțiile de credit</w:t>
            </w:r>
            <w:r w:rsidRPr="009E686F">
              <w:rPr>
                <w:rFonts w:ascii="Times New Roman" w:hAnsi="Times New Roman" w:cs="Times New Roman"/>
                <w:lang w:val="pt-BR"/>
              </w:rPr>
              <w:t xml:space="preserve"> nu pot să utilizeze fondurile proprii menţinute pentru a îndeplini cerinţele prevăzute la alin.(1) şi (2) în scopul conformării cu oricare alte cerinţe prevăzute în prezenta lege sau impuse de Banca Naţională a Moldovei în temeiul prezentei legi.</w:t>
            </w:r>
          </w:p>
          <w:p w14:paraId="3B97BE6C" w14:textId="77777777" w:rsidR="00984B34" w:rsidRPr="009E686F" w:rsidRDefault="00984B34" w:rsidP="00984B34">
            <w:pPr>
              <w:spacing w:after="0"/>
              <w:jc w:val="both"/>
              <w:rPr>
                <w:rFonts w:ascii="Times New Roman" w:hAnsi="Times New Roman" w:cs="Times New Roman"/>
                <w:b/>
                <w:lang w:val="pt-BR"/>
              </w:rPr>
            </w:pPr>
            <w:r w:rsidRPr="009E686F">
              <w:rPr>
                <w:rFonts w:ascii="Times New Roman" w:hAnsi="Times New Roman" w:cs="Times New Roman"/>
                <w:b/>
                <w:lang w:val="pt-BR"/>
              </w:rPr>
              <w:t>[…]</w:t>
            </w:r>
          </w:p>
          <w:p w14:paraId="5377B70A" w14:textId="382D130D" w:rsidR="00984B34" w:rsidRPr="009E686F" w:rsidRDefault="00984B34" w:rsidP="00984B34">
            <w:pPr>
              <w:spacing w:after="0"/>
              <w:jc w:val="both"/>
              <w:rPr>
                <w:rFonts w:ascii="Times New Roman" w:hAnsi="Times New Roman" w:cs="Times New Roman"/>
                <w:lang w:val="pt-BR"/>
              </w:rPr>
            </w:pPr>
            <w:r w:rsidRPr="009E686F">
              <w:rPr>
                <w:rFonts w:ascii="Times New Roman" w:hAnsi="Times New Roman" w:cs="Times New Roman"/>
                <w:lang w:val="pt-BR"/>
              </w:rPr>
              <w:t xml:space="preserve">(7) În aplicarea prezentului articol, Banca Naţională a Moldovei întreprinde următoarele, fără a se limita la acestea: stabileşte modalitatea de calcul al amortizoarelor de capital, </w:t>
            </w:r>
            <w:r w:rsidRPr="009E686F">
              <w:rPr>
                <w:rFonts w:ascii="Times New Roman" w:hAnsi="Times New Roman" w:cs="Times New Roman"/>
                <w:i/>
                <w:lang w:val="pt-BR"/>
              </w:rPr>
              <w:t xml:space="preserve">metodologiile de identificare a O-SII şi G-SII, inclusiv categoriile  pe care se bazează metodologiile, identifică instituțiile de credit/grupurile care sunt calificate ca fiind G-SII și O-SII, identifică instituțiile de credit </w:t>
            </w:r>
            <w:r w:rsidRPr="009E686F">
              <w:rPr>
                <w:rFonts w:ascii="Times New Roman" w:hAnsi="Times New Roman" w:cs="Times New Roman"/>
                <w:lang w:val="pt-BR"/>
              </w:rPr>
              <w:t xml:space="preserve">cărora li se aplică amortizorul de risc sistemic, stabileşte ratele aplicabile la calcularea amortizoarelor de </w:t>
            </w:r>
            <w:r w:rsidRPr="009E686F">
              <w:rPr>
                <w:rFonts w:ascii="Times New Roman" w:hAnsi="Times New Roman" w:cs="Times New Roman"/>
                <w:lang w:val="pt-BR"/>
              </w:rPr>
              <w:lastRenderedPageBreak/>
              <w:t>capital, poate recunoaşte ratele amortizoarelor de capital stabilite de autorităţile din alte state</w:t>
            </w:r>
            <w:r w:rsidRPr="009E686F">
              <w:rPr>
                <w:rFonts w:ascii="Times New Roman" w:hAnsi="Times New Roman" w:cs="Times New Roman"/>
                <w:i/>
                <w:lang w:val="pt-BR"/>
              </w:rPr>
              <w:t xml:space="preserve"> membre</w:t>
            </w:r>
            <w:r w:rsidRPr="009E686F">
              <w:rPr>
                <w:rFonts w:ascii="Times New Roman" w:hAnsi="Times New Roman" w:cs="Times New Roman"/>
                <w:lang w:val="pt-BR"/>
              </w:rPr>
              <w:t xml:space="preserve"> şi, după caz, aplică măsuri de conservare a capitalului.</w:t>
            </w:r>
          </w:p>
          <w:p w14:paraId="6EE70AEC" w14:textId="77777777" w:rsidR="00984B34" w:rsidRPr="009E686F" w:rsidRDefault="00984B34" w:rsidP="00984B34">
            <w:pPr>
              <w:spacing w:after="0"/>
              <w:jc w:val="both"/>
              <w:rPr>
                <w:rFonts w:ascii="Times New Roman" w:hAnsi="Times New Roman" w:cs="Times New Roman"/>
                <w:lang w:val="it-CH"/>
              </w:rPr>
            </w:pPr>
            <w:r w:rsidRPr="009E686F">
              <w:rPr>
                <w:rFonts w:ascii="Times New Roman" w:hAnsi="Times New Roman" w:cs="Times New Roman"/>
                <w:b/>
                <w:bCs/>
                <w:lang w:val="it-CH"/>
              </w:rPr>
              <w:t>Articolul 63</w:t>
            </w:r>
            <w:r w:rsidRPr="009E686F">
              <w:rPr>
                <w:rFonts w:ascii="Times New Roman" w:hAnsi="Times New Roman" w:cs="Times New Roman"/>
                <w:b/>
                <w:bCs/>
                <w:vertAlign w:val="superscript"/>
                <w:lang w:val="it-CH"/>
              </w:rPr>
              <w:t>1</w:t>
            </w:r>
            <w:r w:rsidRPr="009E686F">
              <w:rPr>
                <w:rFonts w:ascii="Times New Roman" w:hAnsi="Times New Roman" w:cs="Times New Roman"/>
                <w:b/>
                <w:bCs/>
                <w:lang w:val="it-CH"/>
              </w:rPr>
              <w:t>.</w:t>
            </w:r>
            <w:r w:rsidRPr="009E686F">
              <w:rPr>
                <w:rFonts w:ascii="Times New Roman" w:hAnsi="Times New Roman" w:cs="Times New Roman"/>
                <w:lang w:val="it-CH"/>
              </w:rPr>
              <w:t xml:space="preserve"> Cerinţe privind instrumentele politicii macroprudenţiale</w:t>
            </w:r>
          </w:p>
          <w:p w14:paraId="216AE7C2" w14:textId="540C78A5" w:rsidR="00984B34" w:rsidRPr="009E686F" w:rsidRDefault="00984B34" w:rsidP="00984B34">
            <w:pPr>
              <w:spacing w:after="0"/>
              <w:jc w:val="both"/>
              <w:rPr>
                <w:rFonts w:ascii="Times New Roman" w:hAnsi="Times New Roman" w:cs="Times New Roman"/>
                <w:lang w:val="it-CH"/>
              </w:rPr>
            </w:pPr>
            <w:r w:rsidRPr="009E686F">
              <w:rPr>
                <w:rFonts w:ascii="Times New Roman" w:hAnsi="Times New Roman" w:cs="Times New Roman"/>
                <w:lang w:val="it-CH"/>
              </w:rPr>
              <w:t xml:space="preserve">În scopul prevenirii şi reducerii riscului sistemic identificat, Banca Naţională a Moldovei poate stabili cerinţe privind instrumentele politicii macroprudenţiale, precum şi nivelul de aplicare a acestora </w:t>
            </w:r>
            <w:r w:rsidRPr="009E686F">
              <w:rPr>
                <w:rFonts w:ascii="Times New Roman" w:hAnsi="Times New Roman" w:cs="Times New Roman"/>
                <w:i/>
                <w:iCs/>
                <w:lang w:val="it-CH"/>
              </w:rPr>
              <w:t>instituțiilor de credit</w:t>
            </w:r>
            <w:r w:rsidRPr="009E686F">
              <w:rPr>
                <w:rFonts w:ascii="Times New Roman" w:hAnsi="Times New Roman" w:cs="Times New Roman"/>
                <w:lang w:val="it-CH"/>
              </w:rPr>
              <w:t>.</w:t>
            </w:r>
          </w:p>
        </w:tc>
        <w:tc>
          <w:tcPr>
            <w:tcW w:w="470" w:type="pct"/>
            <w:tcBorders>
              <w:top w:val="single" w:sz="4" w:space="0" w:color="auto"/>
              <w:left w:val="single" w:sz="4" w:space="0" w:color="auto"/>
              <w:right w:val="single" w:sz="4" w:space="0" w:color="auto"/>
            </w:tcBorders>
          </w:tcPr>
          <w:p w14:paraId="41B315D3" w14:textId="31D3C4D8"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lastRenderedPageBreak/>
              <w:t xml:space="preserve">Compatibil </w:t>
            </w:r>
          </w:p>
          <w:p w14:paraId="1D49AEC8" w14:textId="77777777"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right w:val="single" w:sz="4" w:space="0" w:color="auto"/>
            </w:tcBorders>
          </w:tcPr>
          <w:p w14:paraId="000D7ED8" w14:textId="038479BB"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Prevederi cu specific național care reglementează cerințele de fonduri proprii care se referă la amortizoarele de capital, care au ca scop asigurarea temeiului legal pentru stabilirea cerințelor corespunzătoare în actele normative ale BNM cu privire la amortizoarele de capital,</w:t>
            </w:r>
          </w:p>
        </w:tc>
      </w:tr>
      <w:tr w:rsidR="00984B34" w:rsidRPr="009E686F" w14:paraId="62D182B8"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50CAAE8E"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b/>
                <w:lang w:val="ro-RO"/>
              </w:rPr>
              <w:t>Amortizoare</w:t>
            </w:r>
          </w:p>
          <w:p w14:paraId="0A976D02" w14:textId="77777777" w:rsidR="00984B34" w:rsidRPr="009E686F" w:rsidRDefault="00984B34" w:rsidP="00984B34">
            <w:pPr>
              <w:spacing w:after="0"/>
              <w:jc w:val="both"/>
              <w:rPr>
                <w:rFonts w:ascii="Times New Roman" w:hAnsi="Times New Roman" w:cs="Times New Roman"/>
                <w:i/>
                <w:iCs/>
                <w:lang w:val="ro-RO"/>
              </w:rPr>
            </w:pPr>
            <w:r w:rsidRPr="009E686F">
              <w:rPr>
                <w:rFonts w:ascii="Times New Roman" w:hAnsi="Times New Roman" w:cs="Times New Roman"/>
                <w:i/>
                <w:iCs/>
                <w:lang w:val="ro-RO"/>
              </w:rPr>
              <w:t>Articolul 128</w:t>
            </w:r>
          </w:p>
          <w:p w14:paraId="6E3D9D05" w14:textId="77777777" w:rsidR="00984B34" w:rsidRPr="009E686F" w:rsidRDefault="00984B34" w:rsidP="00984B34">
            <w:pPr>
              <w:spacing w:after="0"/>
              <w:jc w:val="both"/>
              <w:rPr>
                <w:rFonts w:ascii="Times New Roman" w:hAnsi="Times New Roman" w:cs="Times New Roman"/>
                <w:i/>
                <w:iCs/>
                <w:lang w:val="ro-RO"/>
              </w:rPr>
            </w:pPr>
            <w:r w:rsidRPr="009E686F">
              <w:rPr>
                <w:rFonts w:ascii="Times New Roman" w:hAnsi="Times New Roman" w:cs="Times New Roman"/>
                <w:i/>
                <w:iCs/>
                <w:lang w:val="ro-RO"/>
              </w:rPr>
              <w:t xml:space="preserve"> </w:t>
            </w:r>
          </w:p>
          <w:p w14:paraId="4CBDCAF7" w14:textId="77777777" w:rsidR="00984B34" w:rsidRPr="009E686F" w:rsidRDefault="00984B34" w:rsidP="00984B34">
            <w:pPr>
              <w:spacing w:after="0"/>
              <w:jc w:val="both"/>
              <w:rPr>
                <w:rFonts w:ascii="Times New Roman" w:hAnsi="Times New Roman" w:cs="Times New Roman"/>
                <w:bCs/>
                <w:lang w:val="ro-RO"/>
              </w:rPr>
            </w:pPr>
            <w:r w:rsidRPr="009E686F">
              <w:rPr>
                <w:rFonts w:ascii="Times New Roman" w:hAnsi="Times New Roman" w:cs="Times New Roman"/>
                <w:lang w:val="ro-RO"/>
              </w:rPr>
              <w:t>Definiții</w:t>
            </w:r>
          </w:p>
          <w:p w14:paraId="28205334"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În sensul prezentului capitol, se aplică următoarele definiții:</w:t>
            </w:r>
          </w:p>
          <w:p w14:paraId="7B24B3D3"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(1) "amortizor de conservare a capitalului" înseamnă fondurile proprii pe care o instituție este obligată să le mențină în conformitate cu articolul 129;</w:t>
            </w:r>
          </w:p>
          <w:p w14:paraId="29AF7A5F" w14:textId="4A139FDC"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(2) "amortizor anticiclic de capital specific instituției" înseamnă fondurile proprii pe care o instituție este obligată să le mențină în conformitate cu articolul 130;</w:t>
            </w:r>
          </w:p>
        </w:tc>
        <w:tc>
          <w:tcPr>
            <w:tcW w:w="1928" w:type="pct"/>
            <w:gridSpan w:val="3"/>
            <w:tcBorders>
              <w:top w:val="single" w:sz="4" w:space="0" w:color="auto"/>
              <w:left w:val="single" w:sz="4" w:space="0" w:color="auto"/>
              <w:bottom w:val="single" w:sz="4" w:space="0" w:color="auto"/>
              <w:right w:val="single" w:sz="4" w:space="0" w:color="auto"/>
            </w:tcBorders>
          </w:tcPr>
          <w:p w14:paraId="6DE89EA6" w14:textId="77777777"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b/>
                <w:lang w:val="ro-RO"/>
              </w:rPr>
              <w:t>Pct.3 din Regulamentul cu privire la amortizoarele de capital ale băncilor, aprobat prin HCE nr.110/2018</w:t>
            </w:r>
          </w:p>
          <w:p w14:paraId="101B3D72" w14:textId="77777777"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b/>
                <w:lang w:val="ro-RO"/>
              </w:rPr>
              <w:t>Capitolul I. Dispoziții generale</w:t>
            </w:r>
          </w:p>
          <w:p w14:paraId="0010EAB3" w14:textId="77777777" w:rsidR="00984B34" w:rsidRPr="009E686F" w:rsidRDefault="00984B34" w:rsidP="00984B34">
            <w:pPr>
              <w:spacing w:after="0"/>
              <w:jc w:val="both"/>
              <w:rPr>
                <w:rFonts w:ascii="Times New Roman" w:eastAsia="Times New Roman" w:hAnsi="Times New Roman" w:cs="Times New Roman"/>
                <w:i/>
                <w:lang w:val="ro-MD"/>
              </w:rPr>
            </w:pPr>
            <w:r w:rsidRPr="009E686F">
              <w:rPr>
                <w:rFonts w:ascii="Times New Roman" w:eastAsia="Times New Roman" w:hAnsi="Times New Roman" w:cs="Times New Roman"/>
                <w:i/>
                <w:lang w:val="ro-MD"/>
              </w:rPr>
              <w:t>Secțiunea 1.Noțiuni</w:t>
            </w:r>
          </w:p>
          <w:p w14:paraId="240895EB" w14:textId="77777777" w:rsidR="00984B34" w:rsidRPr="009E686F" w:rsidRDefault="00984B34" w:rsidP="00984B34">
            <w:pPr>
              <w:spacing w:after="0"/>
              <w:jc w:val="both"/>
              <w:rPr>
                <w:rFonts w:ascii="Times New Roman" w:hAnsi="Times New Roman" w:cs="Times New Roman"/>
                <w:bCs/>
                <w:lang w:val="ro-RO"/>
              </w:rPr>
            </w:pPr>
            <w:r w:rsidRPr="009E686F">
              <w:rPr>
                <w:rFonts w:ascii="Times New Roman" w:hAnsi="Times New Roman" w:cs="Times New Roman"/>
                <w:bCs/>
                <w:lang w:val="ro-RO"/>
              </w:rPr>
              <w:t>3. În sensul prezentului regulament se utilizează următoarele noțiuni:</w:t>
            </w:r>
          </w:p>
          <w:p w14:paraId="786C1762" w14:textId="77777777" w:rsidR="00984B34" w:rsidRPr="009E686F" w:rsidRDefault="00984B34" w:rsidP="00984B34">
            <w:pPr>
              <w:spacing w:after="0"/>
              <w:jc w:val="both"/>
              <w:rPr>
                <w:rFonts w:ascii="Times New Roman" w:hAnsi="Times New Roman" w:cs="Times New Roman"/>
                <w:bCs/>
                <w:lang w:val="ro-RO"/>
              </w:rPr>
            </w:pPr>
            <w:r w:rsidRPr="009E686F">
              <w:rPr>
                <w:rFonts w:ascii="Times New Roman" w:hAnsi="Times New Roman" w:cs="Times New Roman"/>
                <w:bCs/>
                <w:iCs/>
                <w:lang w:val="ro-MD"/>
              </w:rPr>
              <w:t>amortizor de conservare a capitalului - fondurile proprii pe care o bancă este obligată să le mențină conform capitolului II;</w:t>
            </w:r>
          </w:p>
          <w:p w14:paraId="65CA0F39" w14:textId="77777777" w:rsidR="00984B34" w:rsidRPr="009E686F" w:rsidRDefault="00984B34" w:rsidP="00984B34">
            <w:pPr>
              <w:spacing w:after="0"/>
              <w:jc w:val="both"/>
              <w:rPr>
                <w:rFonts w:ascii="Times New Roman" w:hAnsi="Times New Roman" w:cs="Times New Roman"/>
                <w:iCs/>
                <w:lang w:val="ro-MD"/>
              </w:rPr>
            </w:pPr>
            <w:r w:rsidRPr="009E686F">
              <w:rPr>
                <w:rFonts w:ascii="Times New Roman" w:hAnsi="Times New Roman" w:cs="Times New Roman"/>
                <w:bCs/>
                <w:iCs/>
                <w:lang w:val="ro-MD"/>
              </w:rPr>
              <w:t>amortizor anticiclic de capital specific băncii - fondurile proprii pe care o bancă este obligată să le mențină conform capitolului</w:t>
            </w:r>
            <w:r w:rsidRPr="009E686F">
              <w:rPr>
                <w:rFonts w:ascii="Times New Roman" w:hAnsi="Times New Roman" w:cs="Times New Roman"/>
                <w:iCs/>
                <w:lang w:val="ro-MD"/>
              </w:rPr>
              <w:t xml:space="preserve"> III secțiunea a 2-a;</w:t>
            </w:r>
          </w:p>
          <w:p w14:paraId="4BF66760" w14:textId="77777777" w:rsidR="00984B34" w:rsidRPr="009E686F" w:rsidRDefault="00984B34" w:rsidP="00984B34">
            <w:pPr>
              <w:spacing w:after="0"/>
              <w:jc w:val="both"/>
              <w:rPr>
                <w:rFonts w:ascii="Times New Roman" w:hAnsi="Times New Roman" w:cs="Times New Roman"/>
                <w:b/>
                <w:lang w:val="ro-RO"/>
              </w:rPr>
            </w:pPr>
          </w:p>
        </w:tc>
        <w:tc>
          <w:tcPr>
            <w:tcW w:w="470" w:type="pct"/>
            <w:tcBorders>
              <w:left w:val="single" w:sz="4" w:space="0" w:color="auto"/>
              <w:bottom w:val="single" w:sz="4" w:space="0" w:color="auto"/>
              <w:right w:val="single" w:sz="4" w:space="0" w:color="auto"/>
            </w:tcBorders>
          </w:tcPr>
          <w:p w14:paraId="13B6EB08" w14:textId="77777777"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 xml:space="preserve">Compatibil </w:t>
            </w:r>
          </w:p>
          <w:p w14:paraId="46E8B80C" w14:textId="77777777"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68E98CF5" w14:textId="77777777" w:rsidR="00984B34" w:rsidRPr="009E686F" w:rsidRDefault="00984B34" w:rsidP="00984B34">
            <w:pPr>
              <w:jc w:val="both"/>
              <w:rPr>
                <w:rFonts w:ascii="Times New Roman" w:hAnsi="Times New Roman" w:cs="Times New Roman"/>
                <w:lang w:val="ro-RO"/>
              </w:rPr>
            </w:pPr>
          </w:p>
        </w:tc>
      </w:tr>
      <w:tr w:rsidR="00984B34" w:rsidRPr="009E686F" w14:paraId="4D1F99DB"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6CA0A761" w14:textId="0954A4D3"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(3) "amortizor G-SII" înseamnă fonduri proprii care trebuie să fie deținute în conformitate cu articolul 131 alineatul (4);</w:t>
            </w:r>
          </w:p>
        </w:tc>
        <w:tc>
          <w:tcPr>
            <w:tcW w:w="1928" w:type="pct"/>
            <w:gridSpan w:val="3"/>
            <w:tcBorders>
              <w:top w:val="single" w:sz="4" w:space="0" w:color="auto"/>
              <w:left w:val="single" w:sz="4" w:space="0" w:color="auto"/>
              <w:bottom w:val="single" w:sz="4" w:space="0" w:color="auto"/>
              <w:right w:val="single" w:sz="4" w:space="0" w:color="auto"/>
            </w:tcBorders>
          </w:tcPr>
          <w:p w14:paraId="06BD9D6D" w14:textId="77777777" w:rsidR="00984B34" w:rsidRPr="009E686F" w:rsidRDefault="00984B34" w:rsidP="00984B34">
            <w:pPr>
              <w:spacing w:after="0"/>
              <w:jc w:val="both"/>
              <w:rPr>
                <w:rFonts w:ascii="Times New Roman" w:hAnsi="Times New Roman" w:cs="Times New Roman"/>
                <w:b/>
                <w:lang w:val="ro-RO"/>
              </w:rPr>
            </w:pPr>
          </w:p>
        </w:tc>
        <w:tc>
          <w:tcPr>
            <w:tcW w:w="470" w:type="pct"/>
            <w:tcBorders>
              <w:left w:val="single" w:sz="4" w:space="0" w:color="auto"/>
              <w:bottom w:val="single" w:sz="4" w:space="0" w:color="auto"/>
              <w:right w:val="single" w:sz="4" w:space="0" w:color="auto"/>
            </w:tcBorders>
          </w:tcPr>
          <w:p w14:paraId="334D257B" w14:textId="5C5448AC"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netranspuse</w:t>
            </w:r>
          </w:p>
        </w:tc>
        <w:tc>
          <w:tcPr>
            <w:tcW w:w="806" w:type="pct"/>
            <w:tcBorders>
              <w:top w:val="single" w:sz="4" w:space="0" w:color="auto"/>
              <w:left w:val="single" w:sz="4" w:space="0" w:color="auto"/>
              <w:bottom w:val="single" w:sz="4" w:space="0" w:color="auto"/>
              <w:right w:val="single" w:sz="4" w:space="0" w:color="auto"/>
            </w:tcBorders>
          </w:tcPr>
          <w:p w14:paraId="05BDB7A8" w14:textId="4A569283" w:rsidR="00C86601" w:rsidRPr="009E686F" w:rsidRDefault="00984B34" w:rsidP="00C86601">
            <w:pPr>
              <w:spacing w:line="240" w:lineRule="auto"/>
              <w:jc w:val="both"/>
              <w:rPr>
                <w:rFonts w:ascii="Times New Roman" w:eastAsia="Times New Roman" w:hAnsi="Times New Roman" w:cs="Times New Roman"/>
                <w:bCs/>
                <w:lang w:val="it-CH" w:eastAsia="ru-RU"/>
              </w:rPr>
            </w:pPr>
            <w:r w:rsidRPr="009E686F">
              <w:rPr>
                <w:rFonts w:ascii="Times New Roman" w:hAnsi="Times New Roman" w:cs="Times New Roman"/>
                <w:lang w:val="ro-RO"/>
              </w:rPr>
              <w:t xml:space="preserve">Se vor regăsi în proiectul de modificare a Regulamentului cu </w:t>
            </w:r>
            <w:r w:rsidRPr="009E686F">
              <w:rPr>
                <w:rFonts w:ascii="Times New Roman" w:hAnsi="Times New Roman" w:cs="Times New Roman"/>
                <w:lang w:val="ro-RO"/>
              </w:rPr>
              <w:lastRenderedPageBreak/>
              <w:t>privire la amortizoarele de capital ale băncilor, aprobat prin HCE nr. 110/2018</w:t>
            </w:r>
            <w:r w:rsidR="00C86601" w:rsidRPr="009E686F">
              <w:rPr>
                <w:rFonts w:ascii="Times New Roman" w:hAnsi="Times New Roman" w:cs="Times New Roman"/>
                <w:lang w:val="ro-RO"/>
              </w:rPr>
              <w:t xml:space="preserve"> (</w:t>
            </w:r>
            <w:r w:rsidR="00C86601" w:rsidRPr="009E686F">
              <w:rPr>
                <w:rFonts w:ascii="Times New Roman" w:eastAsia="Times New Roman" w:hAnsi="Times New Roman" w:cs="Times New Roman"/>
                <w:bCs/>
                <w:lang w:val="it-CH" w:eastAsia="ru-RU"/>
              </w:rPr>
              <w:t>acțiunea normativă nr. 3 din Anexa A din PNA 2025-2029 aferentă Capitolului 9 “Servicii financiare” în legătură cu transpunerea Directivei 2013/36/UE).</w:t>
            </w:r>
          </w:p>
          <w:p w14:paraId="31A3B314" w14:textId="5A3B59A2" w:rsidR="00984B34" w:rsidRPr="009E686F" w:rsidRDefault="00984B34" w:rsidP="00984B34">
            <w:pPr>
              <w:jc w:val="both"/>
              <w:rPr>
                <w:rFonts w:ascii="Times New Roman" w:hAnsi="Times New Roman" w:cs="Times New Roman"/>
                <w:lang w:val="ro-RO"/>
              </w:rPr>
            </w:pPr>
          </w:p>
        </w:tc>
      </w:tr>
      <w:tr w:rsidR="00984B34" w:rsidRPr="009E686F" w14:paraId="2572ED1B"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3BE55EF9" w14:textId="7AA72B8D"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lastRenderedPageBreak/>
              <w:t>(4) "amortizor O-SII" înseamnă fonduri proprii care ar putea să trebuiască să fie deținute în conformitate cu articolul 131 alineatul (5);</w:t>
            </w:r>
          </w:p>
        </w:tc>
        <w:tc>
          <w:tcPr>
            <w:tcW w:w="1928" w:type="pct"/>
            <w:gridSpan w:val="3"/>
            <w:tcBorders>
              <w:top w:val="single" w:sz="4" w:space="0" w:color="auto"/>
              <w:left w:val="single" w:sz="4" w:space="0" w:color="auto"/>
              <w:bottom w:val="single" w:sz="4" w:space="0" w:color="auto"/>
              <w:right w:val="single" w:sz="4" w:space="0" w:color="auto"/>
            </w:tcBorders>
          </w:tcPr>
          <w:p w14:paraId="0D523619" w14:textId="77777777"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b/>
                <w:lang w:val="ro-RO"/>
              </w:rPr>
              <w:t>Pct.3 din Regulamentul cu privire la amortizoarele de capital ale băncilor, aprobat prin HCE nr.110/2018</w:t>
            </w:r>
          </w:p>
          <w:p w14:paraId="6F045A07" w14:textId="720CDAD6" w:rsidR="00984B34" w:rsidRPr="009E686F" w:rsidRDefault="00984B34" w:rsidP="00984B34">
            <w:pPr>
              <w:spacing w:after="0"/>
              <w:jc w:val="both"/>
              <w:rPr>
                <w:rFonts w:ascii="Times New Roman" w:hAnsi="Times New Roman" w:cs="Times New Roman"/>
                <w:bCs/>
                <w:lang w:val="ro-RO"/>
              </w:rPr>
            </w:pPr>
            <w:r w:rsidRPr="009E686F">
              <w:rPr>
                <w:rFonts w:ascii="Times New Roman" w:hAnsi="Times New Roman" w:cs="Times New Roman"/>
                <w:bCs/>
                <w:iCs/>
                <w:lang w:val="ro-MD"/>
              </w:rPr>
              <w:t>amortizorul de capital aferent societății de importanță sistemică (amortizor O-SII) - fonduri proprii pe care o bancă de tip O-SII identificată astfel de către Banca Națională a Moldovei poate fi obligată să le mențină conform capitolului IV secțiunea a 2-a;</w:t>
            </w:r>
          </w:p>
        </w:tc>
        <w:tc>
          <w:tcPr>
            <w:tcW w:w="470" w:type="pct"/>
            <w:tcBorders>
              <w:left w:val="single" w:sz="4" w:space="0" w:color="auto"/>
              <w:bottom w:val="single" w:sz="4" w:space="0" w:color="auto"/>
              <w:right w:val="single" w:sz="4" w:space="0" w:color="auto"/>
            </w:tcBorders>
          </w:tcPr>
          <w:p w14:paraId="39556627"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Compatibil </w:t>
            </w:r>
          </w:p>
          <w:p w14:paraId="14FEB109" w14:textId="6F311D0C" w:rsidR="00984B34" w:rsidRPr="009E686F" w:rsidRDefault="00984B34" w:rsidP="00984B34">
            <w:pPr>
              <w:spacing w:after="0"/>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09DA6EBB" w14:textId="77777777" w:rsidR="00984B34" w:rsidRPr="009E686F" w:rsidRDefault="00984B34" w:rsidP="00984B34">
            <w:pPr>
              <w:jc w:val="both"/>
              <w:rPr>
                <w:rFonts w:ascii="Times New Roman" w:hAnsi="Times New Roman" w:cs="Times New Roman"/>
                <w:lang w:val="ro-RO"/>
              </w:rPr>
            </w:pPr>
          </w:p>
        </w:tc>
      </w:tr>
      <w:tr w:rsidR="00984B34" w:rsidRPr="009E686F" w14:paraId="0C1DB472" w14:textId="65014C49" w:rsidTr="00774F3E">
        <w:tc>
          <w:tcPr>
            <w:tcW w:w="1796" w:type="pct"/>
            <w:gridSpan w:val="2"/>
            <w:tcBorders>
              <w:top w:val="single" w:sz="4" w:space="0" w:color="auto"/>
              <w:left w:val="single" w:sz="4" w:space="0" w:color="auto"/>
              <w:bottom w:val="single" w:sz="4" w:space="0" w:color="auto"/>
              <w:right w:val="single" w:sz="4" w:space="0" w:color="auto"/>
            </w:tcBorders>
          </w:tcPr>
          <w:p w14:paraId="52408633" w14:textId="1790A64E"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(5) "amortizor de risc sistemic" înseamnă fondurile proprii pe care o instituție este sau poate fi obligată să le mențină în conformitate cu articolul 133;</w:t>
            </w:r>
          </w:p>
        </w:tc>
        <w:tc>
          <w:tcPr>
            <w:tcW w:w="1928" w:type="pct"/>
            <w:gridSpan w:val="3"/>
            <w:tcBorders>
              <w:top w:val="single" w:sz="4" w:space="0" w:color="auto"/>
              <w:left w:val="single" w:sz="4" w:space="0" w:color="auto"/>
              <w:bottom w:val="single" w:sz="4" w:space="0" w:color="auto"/>
              <w:right w:val="single" w:sz="4" w:space="0" w:color="auto"/>
            </w:tcBorders>
          </w:tcPr>
          <w:p w14:paraId="25F219C7" w14:textId="77777777"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b/>
                <w:lang w:val="ro-RO"/>
              </w:rPr>
              <w:t>Pct.3 din Regulamentul cu privire la amortizoarele de capital ale băncilor, aprobat prin HCE nr.110/2018</w:t>
            </w:r>
          </w:p>
          <w:p w14:paraId="311C5E30" w14:textId="62AF0C1A" w:rsidR="00984B34" w:rsidRPr="009E686F" w:rsidRDefault="00984B34" w:rsidP="00984B34">
            <w:pPr>
              <w:spacing w:after="0"/>
              <w:jc w:val="both"/>
              <w:rPr>
                <w:rFonts w:ascii="Times New Roman" w:hAnsi="Times New Roman" w:cs="Times New Roman"/>
                <w:bCs/>
                <w:iCs/>
                <w:lang w:val="ro-MD"/>
              </w:rPr>
            </w:pPr>
            <w:r w:rsidRPr="009E686F">
              <w:rPr>
                <w:rFonts w:ascii="Times New Roman" w:hAnsi="Times New Roman" w:cs="Times New Roman"/>
                <w:bCs/>
                <w:iCs/>
                <w:lang w:val="ro-MD"/>
              </w:rPr>
              <w:t>amortizor de risc sistemic - fondurile proprii pe care o bancă poate fi obligată să le mențină conform capitolului V secțiunea 1;</w:t>
            </w:r>
          </w:p>
        </w:tc>
        <w:tc>
          <w:tcPr>
            <w:tcW w:w="470" w:type="pct"/>
            <w:tcBorders>
              <w:top w:val="single" w:sz="4" w:space="0" w:color="auto"/>
              <w:left w:val="single" w:sz="4" w:space="0" w:color="auto"/>
              <w:bottom w:val="single" w:sz="4" w:space="0" w:color="auto"/>
              <w:right w:val="single" w:sz="4" w:space="0" w:color="auto"/>
            </w:tcBorders>
          </w:tcPr>
          <w:p w14:paraId="0B862D7F" w14:textId="77777777"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 xml:space="preserve">Compatibil </w:t>
            </w:r>
          </w:p>
          <w:p w14:paraId="285626DD" w14:textId="08F7C208"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4298DB9C" w14:textId="77777777" w:rsidR="00984B34" w:rsidRPr="009E686F" w:rsidRDefault="00984B34" w:rsidP="00984B34">
            <w:pPr>
              <w:jc w:val="both"/>
              <w:rPr>
                <w:rFonts w:ascii="Times New Roman" w:hAnsi="Times New Roman" w:cs="Times New Roman"/>
                <w:lang w:val="ro-RO"/>
              </w:rPr>
            </w:pPr>
          </w:p>
        </w:tc>
      </w:tr>
      <w:tr w:rsidR="00984B34" w:rsidRPr="009E686F" w14:paraId="07CA5881"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46633B31"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(6) "cerință de amortizor combinat" înseamnă fonduri proprii de nivel 1 de bază necesar pentru a îndeplini cerința privind amortizorul de conservare a capitalului plus următoarele, după caz:</w:t>
            </w:r>
          </w:p>
          <w:p w14:paraId="67E2933A" w14:textId="77777777" w:rsidR="00984B34" w:rsidRPr="009E686F" w:rsidRDefault="00984B34" w:rsidP="00984B34">
            <w:pPr>
              <w:pStyle w:val="af4"/>
              <w:numPr>
                <w:ilvl w:val="0"/>
                <w:numId w:val="14"/>
              </w:numPr>
              <w:spacing w:after="0"/>
              <w:ind w:left="317" w:hanging="283"/>
              <w:jc w:val="both"/>
              <w:rPr>
                <w:rFonts w:ascii="Times New Roman" w:hAnsi="Times New Roman" w:cs="Times New Roman"/>
              </w:rPr>
            </w:pPr>
            <w:r w:rsidRPr="009E686F">
              <w:rPr>
                <w:rFonts w:ascii="Times New Roman" w:hAnsi="Times New Roman" w:cs="Times New Roman"/>
              </w:rPr>
              <w:t>amortizor anticiclic de capital specific instituției;</w:t>
            </w:r>
          </w:p>
          <w:p w14:paraId="7A36FC65" w14:textId="77777777" w:rsidR="00984B34" w:rsidRPr="009E686F" w:rsidRDefault="00984B34" w:rsidP="00984B34">
            <w:pPr>
              <w:pStyle w:val="af4"/>
              <w:numPr>
                <w:ilvl w:val="0"/>
                <w:numId w:val="14"/>
              </w:numPr>
              <w:spacing w:after="0"/>
              <w:ind w:left="317" w:hanging="283"/>
              <w:jc w:val="both"/>
              <w:rPr>
                <w:rFonts w:ascii="Times New Roman" w:hAnsi="Times New Roman" w:cs="Times New Roman"/>
              </w:rPr>
            </w:pPr>
            <w:r w:rsidRPr="009E686F">
              <w:rPr>
                <w:rFonts w:ascii="Times New Roman" w:hAnsi="Times New Roman" w:cs="Times New Roman"/>
              </w:rPr>
              <w:t>un amortizor G-SII;</w:t>
            </w:r>
          </w:p>
          <w:p w14:paraId="2A7DB736" w14:textId="77777777" w:rsidR="00984B34" w:rsidRPr="009E686F" w:rsidRDefault="00984B34" w:rsidP="00984B34">
            <w:pPr>
              <w:pStyle w:val="af4"/>
              <w:numPr>
                <w:ilvl w:val="0"/>
                <w:numId w:val="14"/>
              </w:numPr>
              <w:spacing w:after="0"/>
              <w:ind w:left="317" w:hanging="283"/>
              <w:jc w:val="both"/>
              <w:rPr>
                <w:rFonts w:ascii="Times New Roman" w:hAnsi="Times New Roman" w:cs="Times New Roman"/>
              </w:rPr>
            </w:pPr>
            <w:r w:rsidRPr="009E686F">
              <w:rPr>
                <w:rFonts w:ascii="Times New Roman" w:hAnsi="Times New Roman" w:cs="Times New Roman"/>
              </w:rPr>
              <w:t>un amortizor O-SII;</w:t>
            </w:r>
          </w:p>
          <w:p w14:paraId="1D047AE6" w14:textId="33EA6AA9"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it-CH"/>
              </w:rPr>
              <w:t>un amortizor de risc sistemic;</w:t>
            </w:r>
          </w:p>
        </w:tc>
        <w:tc>
          <w:tcPr>
            <w:tcW w:w="1928" w:type="pct"/>
            <w:gridSpan w:val="3"/>
            <w:tcBorders>
              <w:top w:val="single" w:sz="4" w:space="0" w:color="auto"/>
              <w:left w:val="single" w:sz="4" w:space="0" w:color="auto"/>
              <w:bottom w:val="single" w:sz="4" w:space="0" w:color="auto"/>
              <w:right w:val="single" w:sz="4" w:space="0" w:color="auto"/>
            </w:tcBorders>
          </w:tcPr>
          <w:p w14:paraId="430A9948" w14:textId="77777777"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b/>
                <w:lang w:val="ro-RO"/>
              </w:rPr>
              <w:t>Pct.3 din Regulamentul cu privire la amortizoarele de capital ale băncilor, aprobat prin HCE nr.110/2018</w:t>
            </w:r>
          </w:p>
          <w:p w14:paraId="08A7285D" w14:textId="77777777" w:rsidR="00984B34" w:rsidRPr="009E686F" w:rsidRDefault="00984B34" w:rsidP="00984B34">
            <w:pPr>
              <w:pStyle w:val="CM4"/>
              <w:tabs>
                <w:tab w:val="left" w:pos="3086"/>
              </w:tabs>
              <w:jc w:val="both"/>
              <w:rPr>
                <w:rFonts w:ascii="Times New Roman" w:hAnsi="Times New Roman"/>
                <w:iCs/>
                <w:sz w:val="22"/>
                <w:szCs w:val="22"/>
                <w:lang w:val="ro-MD"/>
              </w:rPr>
            </w:pPr>
            <w:r w:rsidRPr="009E686F">
              <w:rPr>
                <w:rFonts w:ascii="Times New Roman" w:hAnsi="Times New Roman"/>
                <w:bCs/>
                <w:iCs/>
                <w:sz w:val="22"/>
                <w:szCs w:val="22"/>
                <w:lang w:val="ro-MD"/>
              </w:rPr>
              <w:t>cerință de amortizor combinat</w:t>
            </w:r>
            <w:r w:rsidRPr="009E686F">
              <w:rPr>
                <w:rFonts w:ascii="Times New Roman" w:hAnsi="Times New Roman"/>
                <w:iCs/>
                <w:sz w:val="22"/>
                <w:szCs w:val="22"/>
                <w:lang w:val="ro-MD"/>
              </w:rPr>
              <w:t xml:space="preserve"> -  totalul fondurilor proprii de nivel 1 de bază necesare băncilor pentru a îndeplini cerința privind amortizorul de conservare a capitalului plus următoarele amortizoare, după caz:</w:t>
            </w:r>
          </w:p>
          <w:p w14:paraId="0FC43D06" w14:textId="77777777" w:rsidR="00984B34" w:rsidRPr="009E686F" w:rsidRDefault="00984B34" w:rsidP="00984B34">
            <w:pPr>
              <w:pStyle w:val="CM4"/>
              <w:tabs>
                <w:tab w:val="left" w:pos="3086"/>
              </w:tabs>
              <w:ind w:left="-27"/>
              <w:jc w:val="both"/>
              <w:rPr>
                <w:rFonts w:ascii="Times New Roman" w:hAnsi="Times New Roman"/>
                <w:iCs/>
                <w:sz w:val="22"/>
                <w:szCs w:val="22"/>
                <w:lang w:val="ro-MD"/>
              </w:rPr>
            </w:pPr>
            <w:r w:rsidRPr="009E686F">
              <w:rPr>
                <w:rFonts w:ascii="Times New Roman" w:hAnsi="Times New Roman"/>
                <w:iCs/>
                <w:sz w:val="22"/>
                <w:szCs w:val="22"/>
                <w:lang w:val="ro-MD"/>
              </w:rPr>
              <w:t>1) amortizorul anticiclic de capital specific băncii;</w:t>
            </w:r>
          </w:p>
          <w:p w14:paraId="7665BC5C" w14:textId="77777777" w:rsidR="00984B34" w:rsidRPr="009E686F" w:rsidRDefault="00984B34" w:rsidP="00984B34">
            <w:pPr>
              <w:pStyle w:val="CM4"/>
              <w:tabs>
                <w:tab w:val="left" w:pos="3086"/>
              </w:tabs>
              <w:ind w:left="-27"/>
              <w:jc w:val="both"/>
              <w:rPr>
                <w:rFonts w:ascii="Times New Roman" w:hAnsi="Times New Roman"/>
                <w:iCs/>
                <w:sz w:val="22"/>
                <w:szCs w:val="22"/>
                <w:lang w:val="ro-MD"/>
              </w:rPr>
            </w:pPr>
            <w:r w:rsidRPr="009E686F">
              <w:rPr>
                <w:rFonts w:ascii="Times New Roman" w:hAnsi="Times New Roman"/>
                <w:iCs/>
                <w:sz w:val="22"/>
                <w:szCs w:val="22"/>
                <w:lang w:val="ro-MD"/>
              </w:rPr>
              <w:t>2) amortizorul O-SII;</w:t>
            </w:r>
          </w:p>
          <w:p w14:paraId="4FEB7B75" w14:textId="37F80391"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iCs/>
                <w:lang w:val="ro-MD"/>
              </w:rPr>
              <w:t>3) amortizorul de risc sistemic;</w:t>
            </w:r>
          </w:p>
        </w:tc>
        <w:tc>
          <w:tcPr>
            <w:tcW w:w="470" w:type="pct"/>
            <w:tcBorders>
              <w:top w:val="single" w:sz="4" w:space="0" w:color="auto"/>
              <w:left w:val="single" w:sz="4" w:space="0" w:color="auto"/>
              <w:bottom w:val="single" w:sz="4" w:space="0" w:color="auto"/>
              <w:right w:val="single" w:sz="4" w:space="0" w:color="auto"/>
            </w:tcBorders>
          </w:tcPr>
          <w:p w14:paraId="40ADAC1D" w14:textId="77777777"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Parțial compatibil</w:t>
            </w:r>
          </w:p>
          <w:p w14:paraId="17EC104C" w14:textId="77777777"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5639F073" w14:textId="1CB43834"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Prevedrile aferente G-SII se vor regăsi în proiectul de modificare a Regulamentului cu privire la amortizoarele de capital ale băncilor, aprobat prin HCE nr. 110/2018</w:t>
            </w:r>
            <w:r w:rsidR="00C86601" w:rsidRPr="009E686F">
              <w:rPr>
                <w:rFonts w:ascii="Times New Roman" w:hAnsi="Times New Roman" w:cs="Times New Roman"/>
                <w:lang w:val="ro-RO"/>
              </w:rPr>
              <w:t xml:space="preserve"> (</w:t>
            </w:r>
            <w:r w:rsidR="00C86601" w:rsidRPr="009E686F">
              <w:rPr>
                <w:rFonts w:ascii="Times New Roman" w:eastAsia="Times New Roman" w:hAnsi="Times New Roman" w:cs="Times New Roman"/>
                <w:bCs/>
                <w:lang w:val="it-CH" w:eastAsia="ru-RU"/>
              </w:rPr>
              <w:t xml:space="preserve">acțiunea </w:t>
            </w:r>
            <w:r w:rsidR="00C86601" w:rsidRPr="009E686F">
              <w:rPr>
                <w:rFonts w:ascii="Times New Roman" w:eastAsia="Times New Roman" w:hAnsi="Times New Roman" w:cs="Times New Roman"/>
                <w:bCs/>
                <w:lang w:val="it-CH" w:eastAsia="ru-RU"/>
              </w:rPr>
              <w:lastRenderedPageBreak/>
              <w:t>normativă nr. 3 din Anexa A din PNA 2025-2029 aferentă Capitolului 9 “Servicii financiare” în legătură cu transpunerea Directivei 2013/36/UE).</w:t>
            </w:r>
          </w:p>
        </w:tc>
      </w:tr>
      <w:tr w:rsidR="00984B34" w:rsidRPr="009E686F" w14:paraId="3BBB5D02" w14:textId="77777777" w:rsidTr="00774F3E">
        <w:trPr>
          <w:trHeight w:val="3050"/>
        </w:trPr>
        <w:tc>
          <w:tcPr>
            <w:tcW w:w="1796" w:type="pct"/>
            <w:gridSpan w:val="2"/>
            <w:tcBorders>
              <w:top w:val="single" w:sz="4" w:space="0" w:color="auto"/>
              <w:left w:val="single" w:sz="4" w:space="0" w:color="auto"/>
              <w:right w:val="single" w:sz="4" w:space="0" w:color="auto"/>
            </w:tcBorders>
          </w:tcPr>
          <w:p w14:paraId="43014DC9" w14:textId="216C83B2"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lastRenderedPageBreak/>
              <w:t>(7) "rata amortizorului anticiclic" înseamnă indicele pe care instituțiile trebuie să îl aplice pentru a calcula amortizorul anticiclic de capital specific instituției respective și care este stabilit în conformitate cu articolul 136 și articolul 137 sau de o autoritate competentă dintr-o țară terță (după cum este cazul);</w:t>
            </w:r>
          </w:p>
        </w:tc>
        <w:tc>
          <w:tcPr>
            <w:tcW w:w="1928" w:type="pct"/>
            <w:gridSpan w:val="3"/>
            <w:tcBorders>
              <w:top w:val="single" w:sz="4" w:space="0" w:color="auto"/>
              <w:left w:val="single" w:sz="4" w:space="0" w:color="auto"/>
              <w:right w:val="single" w:sz="4" w:space="0" w:color="auto"/>
            </w:tcBorders>
          </w:tcPr>
          <w:p w14:paraId="5B050227" w14:textId="77777777"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b/>
                <w:lang w:val="ro-RO"/>
              </w:rPr>
              <w:t>Pct.3 din Regulamentul cu privire la amortizoarele de capital ale băncilor, aprobat prin HCE nr.110/2018</w:t>
            </w:r>
          </w:p>
          <w:p w14:paraId="2411F4DC" w14:textId="6A307EBD"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lang w:val="ro-RO"/>
              </w:rPr>
              <w:t>rata amortizorului anticiclic - rata procentuală pe care băncile trebuie să o aplice pentru a calcula amortizorul anticiclic de capital specific băncii şi care este stabilită conform capitolului III secţiunea a 4-a, secţiunea a 5-a, secţiunea a 6-a sau, după caz, de o autoritate relevantă dintr-un stat străin;</w:t>
            </w:r>
          </w:p>
        </w:tc>
        <w:tc>
          <w:tcPr>
            <w:tcW w:w="470" w:type="pct"/>
            <w:tcBorders>
              <w:top w:val="single" w:sz="4" w:space="0" w:color="auto"/>
              <w:left w:val="single" w:sz="4" w:space="0" w:color="auto"/>
              <w:right w:val="single" w:sz="4" w:space="0" w:color="auto"/>
            </w:tcBorders>
          </w:tcPr>
          <w:p w14:paraId="617AFA11" w14:textId="77777777"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 xml:space="preserve">Compatibil </w:t>
            </w:r>
          </w:p>
          <w:p w14:paraId="5FEB516B" w14:textId="77777777"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right w:val="single" w:sz="4" w:space="0" w:color="auto"/>
            </w:tcBorders>
          </w:tcPr>
          <w:p w14:paraId="619F6A3C" w14:textId="77777777" w:rsidR="00984B34" w:rsidRPr="009E686F" w:rsidRDefault="00984B34" w:rsidP="00984B34">
            <w:pPr>
              <w:jc w:val="both"/>
              <w:rPr>
                <w:rFonts w:ascii="Times New Roman" w:hAnsi="Times New Roman" w:cs="Times New Roman"/>
                <w:lang w:val="ro-RO"/>
              </w:rPr>
            </w:pPr>
          </w:p>
        </w:tc>
      </w:tr>
      <w:tr w:rsidR="00984B34" w:rsidRPr="009E686F" w14:paraId="4C48B8C0" w14:textId="77777777" w:rsidTr="00C86601">
        <w:trPr>
          <w:trHeight w:val="659"/>
        </w:trPr>
        <w:tc>
          <w:tcPr>
            <w:tcW w:w="1796" w:type="pct"/>
            <w:gridSpan w:val="2"/>
            <w:tcBorders>
              <w:top w:val="single" w:sz="4" w:space="0" w:color="auto"/>
              <w:left w:val="single" w:sz="4" w:space="0" w:color="auto"/>
              <w:right w:val="single" w:sz="4" w:space="0" w:color="auto"/>
            </w:tcBorders>
          </w:tcPr>
          <w:p w14:paraId="7472FA09" w14:textId="101C0F76"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(8) "instituție autorizată la nivel național" înseamnă o instituție care a fost autorizată în statul membru și pentru care o anumită autoritate desemnată este responsabilă de stabilire a ratei amortizorului anticiclic;</w:t>
            </w:r>
          </w:p>
        </w:tc>
        <w:tc>
          <w:tcPr>
            <w:tcW w:w="1928" w:type="pct"/>
            <w:gridSpan w:val="3"/>
            <w:tcBorders>
              <w:top w:val="single" w:sz="4" w:space="0" w:color="auto"/>
              <w:left w:val="single" w:sz="4" w:space="0" w:color="auto"/>
              <w:right w:val="single" w:sz="4" w:space="0" w:color="auto"/>
            </w:tcBorders>
          </w:tcPr>
          <w:p w14:paraId="67ED8C7E" w14:textId="77777777" w:rsidR="00984B34" w:rsidRPr="009E686F" w:rsidRDefault="00984B34" w:rsidP="00984B34">
            <w:pPr>
              <w:spacing w:after="0"/>
              <w:jc w:val="both"/>
              <w:rPr>
                <w:rFonts w:ascii="Times New Roman" w:hAnsi="Times New Roman" w:cs="Times New Roman"/>
                <w:lang w:val="ro-RO"/>
              </w:rPr>
            </w:pPr>
          </w:p>
        </w:tc>
        <w:tc>
          <w:tcPr>
            <w:tcW w:w="470" w:type="pct"/>
            <w:tcBorders>
              <w:top w:val="single" w:sz="4" w:space="0" w:color="auto"/>
              <w:left w:val="single" w:sz="4" w:space="0" w:color="auto"/>
              <w:right w:val="single" w:sz="4" w:space="0" w:color="auto"/>
            </w:tcBorders>
          </w:tcPr>
          <w:p w14:paraId="1F33BE94" w14:textId="15F80C87"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netranspuse</w:t>
            </w:r>
          </w:p>
        </w:tc>
        <w:tc>
          <w:tcPr>
            <w:tcW w:w="806" w:type="pct"/>
            <w:tcBorders>
              <w:top w:val="single" w:sz="4" w:space="0" w:color="auto"/>
              <w:left w:val="single" w:sz="4" w:space="0" w:color="auto"/>
              <w:right w:val="single" w:sz="4" w:space="0" w:color="auto"/>
            </w:tcBorders>
          </w:tcPr>
          <w:p w14:paraId="1F22F076" w14:textId="7C85BCAF"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Prevedrile se vor regăsi în proiectul de modificare a Regulamentului cu privire la amortizoarele de capital ale băncilor, aprobat prin HCE nr. 110/2018</w:t>
            </w:r>
            <w:r w:rsidR="00C86601" w:rsidRPr="009E686F">
              <w:rPr>
                <w:rFonts w:ascii="Times New Roman" w:hAnsi="Times New Roman" w:cs="Times New Roman"/>
                <w:lang w:val="ro-RO"/>
              </w:rPr>
              <w:t xml:space="preserve"> (</w:t>
            </w:r>
            <w:r w:rsidR="00C86601" w:rsidRPr="009E686F">
              <w:rPr>
                <w:rFonts w:ascii="Times New Roman" w:eastAsia="Times New Roman" w:hAnsi="Times New Roman" w:cs="Times New Roman"/>
                <w:bCs/>
                <w:lang w:val="it-CH" w:eastAsia="ru-RU"/>
              </w:rPr>
              <w:t xml:space="preserve">acțiunea normativă nr. 3 din Anexa A din PNA 2025-2029 aferentă Capitolului 9 “Servicii financiare” în legătură cu </w:t>
            </w:r>
            <w:r w:rsidR="00C86601" w:rsidRPr="009E686F">
              <w:rPr>
                <w:rFonts w:ascii="Times New Roman" w:eastAsia="Times New Roman" w:hAnsi="Times New Roman" w:cs="Times New Roman"/>
                <w:bCs/>
                <w:lang w:val="it-CH" w:eastAsia="ru-RU"/>
              </w:rPr>
              <w:lastRenderedPageBreak/>
              <w:t>transpunerea Directivei 2013/36/UE).</w:t>
            </w:r>
          </w:p>
        </w:tc>
      </w:tr>
      <w:tr w:rsidR="00984B34" w:rsidRPr="009E686F" w14:paraId="5E9EEC1A" w14:textId="77777777" w:rsidTr="00774F3E">
        <w:trPr>
          <w:trHeight w:val="1156"/>
        </w:trPr>
        <w:tc>
          <w:tcPr>
            <w:tcW w:w="1796" w:type="pct"/>
            <w:gridSpan w:val="2"/>
            <w:tcBorders>
              <w:top w:val="single" w:sz="4" w:space="0" w:color="auto"/>
              <w:left w:val="single" w:sz="4" w:space="0" w:color="auto"/>
              <w:right w:val="single" w:sz="4" w:space="0" w:color="auto"/>
            </w:tcBorders>
          </w:tcPr>
          <w:p w14:paraId="60FC1B39" w14:textId="4EB3D52A"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lastRenderedPageBreak/>
              <w:t>(9) "referențial pentru amortizor" înseamnă o rată de referință a amortizoarelor calculată în conformitate cu articolul 135 alineatul (1).</w:t>
            </w:r>
          </w:p>
        </w:tc>
        <w:tc>
          <w:tcPr>
            <w:tcW w:w="1928" w:type="pct"/>
            <w:gridSpan w:val="3"/>
            <w:tcBorders>
              <w:top w:val="single" w:sz="4" w:space="0" w:color="auto"/>
              <w:left w:val="single" w:sz="4" w:space="0" w:color="auto"/>
              <w:right w:val="single" w:sz="4" w:space="0" w:color="auto"/>
            </w:tcBorders>
          </w:tcPr>
          <w:p w14:paraId="083ED869" w14:textId="77777777"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b/>
                <w:lang w:val="ro-RO"/>
              </w:rPr>
              <w:t>Pct.3 din Regulamentul cu privire la amortizoarele de capital ale băncilor, aprobat prin HCE nr.110/2018</w:t>
            </w:r>
          </w:p>
          <w:p w14:paraId="0B993CC6" w14:textId="4A2EBF05" w:rsidR="00984B34" w:rsidRPr="009E686F" w:rsidRDefault="00984B34" w:rsidP="00984B34">
            <w:pPr>
              <w:spacing w:after="0"/>
              <w:jc w:val="both"/>
              <w:rPr>
                <w:rFonts w:ascii="Times New Roman" w:hAnsi="Times New Roman" w:cs="Times New Roman"/>
                <w:iCs/>
                <w:lang w:val="ro-MD"/>
              </w:rPr>
            </w:pPr>
            <w:r w:rsidRPr="009E686F">
              <w:rPr>
                <w:rFonts w:ascii="Times New Roman" w:hAnsi="Times New Roman" w:cs="Times New Roman"/>
                <w:b/>
                <w:iCs/>
                <w:lang w:val="ro-MD"/>
              </w:rPr>
              <w:t>referențial pentru amortizor</w:t>
            </w:r>
            <w:r w:rsidRPr="009E686F">
              <w:rPr>
                <w:rFonts w:ascii="Times New Roman" w:hAnsi="Times New Roman" w:cs="Times New Roman"/>
                <w:iCs/>
                <w:lang w:val="ro-MD"/>
              </w:rPr>
              <w:t xml:space="preserve"> - rata de referință a amortizorului, calculată în conformitate cu punctul 29, în vederea determinării ratei amortizorului anticiclic;</w:t>
            </w:r>
          </w:p>
        </w:tc>
        <w:tc>
          <w:tcPr>
            <w:tcW w:w="470" w:type="pct"/>
            <w:tcBorders>
              <w:top w:val="single" w:sz="4" w:space="0" w:color="auto"/>
              <w:left w:val="single" w:sz="4" w:space="0" w:color="auto"/>
              <w:right w:val="single" w:sz="4" w:space="0" w:color="auto"/>
            </w:tcBorders>
          </w:tcPr>
          <w:p w14:paraId="390734B2" w14:textId="77777777"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 xml:space="preserve">Compatibil </w:t>
            </w:r>
          </w:p>
          <w:p w14:paraId="10BD2E8E" w14:textId="5538E19A"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right w:val="single" w:sz="4" w:space="0" w:color="auto"/>
            </w:tcBorders>
          </w:tcPr>
          <w:p w14:paraId="44AFC105" w14:textId="77777777" w:rsidR="00984B34" w:rsidRPr="009E686F" w:rsidRDefault="00984B34" w:rsidP="00984B34">
            <w:pPr>
              <w:jc w:val="both"/>
              <w:rPr>
                <w:rFonts w:ascii="Times New Roman" w:hAnsi="Times New Roman" w:cs="Times New Roman"/>
                <w:lang w:val="ro-RO"/>
              </w:rPr>
            </w:pPr>
          </w:p>
        </w:tc>
      </w:tr>
      <w:tr w:rsidR="00984B34" w:rsidRPr="009E686F" w14:paraId="64606DCA" w14:textId="77777777" w:rsidTr="00774F3E">
        <w:trPr>
          <w:trHeight w:val="1156"/>
        </w:trPr>
        <w:tc>
          <w:tcPr>
            <w:tcW w:w="1796" w:type="pct"/>
            <w:gridSpan w:val="2"/>
            <w:tcBorders>
              <w:top w:val="single" w:sz="4" w:space="0" w:color="auto"/>
              <w:left w:val="single" w:sz="4" w:space="0" w:color="auto"/>
              <w:right w:val="single" w:sz="4" w:space="0" w:color="auto"/>
            </w:tcBorders>
          </w:tcPr>
          <w:p w14:paraId="5C66AD0E" w14:textId="43AAC74C"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Instituțiile nu utilizează fondurile proprii de nivel 1 de bază care sunt menținute pentru a îndeplini cerința amortizorului combinat menționată la punctul 6 din primul paragraf de la prezentul articol, pentru a îndeplini oricare dintre cerințele prevăzute la articolul 92 alineatul (1) literele (a), (b) și (c) din Regulamentul (UE) nr. 575/2013, cerințele de fonduri proprii suplimentare impuse în temeiul articolului 104a din prezenta directivă în scopul abordării altor riscuri decât riscul asociat folosirii excesive a efectului de levier, precum și orientările comunicate în conformitate cu articolul 104b alineatul (3) din prezenta directivă în scopul abordării altor riscuri decât riscul asociat folosirii excesive a efectului de levier.</w:t>
            </w:r>
          </w:p>
        </w:tc>
        <w:tc>
          <w:tcPr>
            <w:tcW w:w="1928" w:type="pct"/>
            <w:gridSpan w:val="3"/>
            <w:tcBorders>
              <w:top w:val="single" w:sz="4" w:space="0" w:color="auto"/>
              <w:left w:val="single" w:sz="4" w:space="0" w:color="auto"/>
              <w:right w:val="single" w:sz="4" w:space="0" w:color="auto"/>
            </w:tcBorders>
          </w:tcPr>
          <w:p w14:paraId="12D9EB30" w14:textId="1D68D155"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b/>
                <w:lang w:val="ro-RO"/>
              </w:rPr>
              <w:t>Pct.6 din Regulamentul cu privire la amortizoarele de capital ale băncilor, aprobat prin HCE nr.110/2018</w:t>
            </w:r>
          </w:p>
          <w:p w14:paraId="6BDE4D3D" w14:textId="0633E34A" w:rsidR="00984B34" w:rsidRPr="009E686F" w:rsidRDefault="00984B34" w:rsidP="00984B34">
            <w:pPr>
              <w:spacing w:after="0"/>
              <w:jc w:val="both"/>
              <w:rPr>
                <w:rFonts w:ascii="Times New Roman" w:hAnsi="Times New Roman" w:cs="Times New Roman"/>
                <w:b/>
                <w:iCs/>
                <w:lang w:val="ro-MD"/>
              </w:rPr>
            </w:pPr>
            <w:r w:rsidRPr="009E686F">
              <w:rPr>
                <w:rFonts w:ascii="Times New Roman" w:hAnsi="Times New Roman" w:cs="Times New Roman"/>
                <w:b/>
                <w:iCs/>
                <w:lang w:val="ro-MD"/>
              </w:rPr>
              <w:t xml:space="preserve">6. </w:t>
            </w:r>
            <w:r w:rsidRPr="009E686F">
              <w:rPr>
                <w:rFonts w:ascii="Times New Roman" w:hAnsi="Times New Roman" w:cs="Times New Roman"/>
                <w:bCs/>
                <w:iCs/>
                <w:lang w:val="ro-MD"/>
              </w:rPr>
              <w:t>Băncile trebuie să îndeplinească cerinţele de menţinere a amortizoarelor de capital cu fonduri proprii de nivel 1 de bază, suplimentar celor menţinute pentru a respecta cerinţa de fonduri proprii impusă prin Regulamentul cu privire la fondurile proprii ale băncilor şi cerinţele de capital, aprobat prin Hotărârea Comitetului executiv al Băncii Naţionale a Moldovei nr.109/2018 (în continuare – Regulamentul nr.109/2018).</w:t>
            </w:r>
          </w:p>
          <w:p w14:paraId="1808D06F" w14:textId="6BB26814" w:rsidR="00984B34" w:rsidRPr="009E686F" w:rsidRDefault="00984B34" w:rsidP="00984B34">
            <w:pPr>
              <w:spacing w:after="0"/>
              <w:jc w:val="both"/>
              <w:rPr>
                <w:rFonts w:ascii="Times New Roman" w:hAnsi="Times New Roman" w:cs="Times New Roman"/>
                <w:b/>
                <w:iCs/>
                <w:lang w:val="ro-MD"/>
              </w:rPr>
            </w:pPr>
            <w:r w:rsidRPr="009E686F">
              <w:rPr>
                <w:rFonts w:ascii="Times New Roman" w:hAnsi="Times New Roman" w:cs="Times New Roman"/>
                <w:b/>
                <w:iCs/>
                <w:lang w:val="ro-MD"/>
              </w:rPr>
              <w:t>6</w:t>
            </w:r>
            <w:r w:rsidRPr="009E686F">
              <w:rPr>
                <w:rFonts w:ascii="Times New Roman" w:hAnsi="Times New Roman" w:cs="Times New Roman"/>
                <w:b/>
                <w:iCs/>
                <w:vertAlign w:val="superscript"/>
                <w:lang w:val="ro-MD"/>
              </w:rPr>
              <w:t>1</w:t>
            </w:r>
            <w:r w:rsidRPr="009E686F">
              <w:rPr>
                <w:rFonts w:ascii="Times New Roman" w:hAnsi="Times New Roman" w:cs="Times New Roman"/>
                <w:b/>
                <w:iCs/>
                <w:lang w:val="ro-MD"/>
              </w:rPr>
              <w:t xml:space="preserve">. </w:t>
            </w:r>
            <w:r w:rsidRPr="009E686F">
              <w:rPr>
                <w:rFonts w:ascii="Times New Roman" w:hAnsi="Times New Roman" w:cs="Times New Roman"/>
                <w:bCs/>
                <w:iCs/>
                <w:lang w:val="ro-MD"/>
              </w:rPr>
              <w:t>Băncile nu trebuie să utilizeze fondurile proprii de nivel 1 de bază care sunt menţinute pentru a îndeplini cerinţa amortizorului combinat pentru oricare dintre cerinţele de fonduri proprii prevăzute la punctul 130 din Regulamentul nr.109/2018 şi cerinţele de fonduri proprii suplimentare, prevăzute la art.139 alin.(3) – (5) din Legea nr.202/2017, care abordează alte riscuri decât riscul asociat folosirii excesive a efectului de levier.</w:t>
            </w:r>
          </w:p>
        </w:tc>
        <w:tc>
          <w:tcPr>
            <w:tcW w:w="470" w:type="pct"/>
            <w:tcBorders>
              <w:top w:val="single" w:sz="4" w:space="0" w:color="auto"/>
              <w:left w:val="single" w:sz="4" w:space="0" w:color="auto"/>
              <w:right w:val="single" w:sz="4" w:space="0" w:color="auto"/>
            </w:tcBorders>
          </w:tcPr>
          <w:p w14:paraId="069761E8" w14:textId="6202C670"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 xml:space="preserve">Parțial compatibil </w:t>
            </w:r>
          </w:p>
          <w:p w14:paraId="2530DE3C" w14:textId="012514B0"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right w:val="single" w:sz="4" w:space="0" w:color="auto"/>
            </w:tcBorders>
          </w:tcPr>
          <w:p w14:paraId="5ECA6834" w14:textId="37C01F3D"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Preved</w:t>
            </w:r>
            <w:r w:rsidR="00600301" w:rsidRPr="009E686F">
              <w:rPr>
                <w:rFonts w:ascii="Times New Roman" w:hAnsi="Times New Roman" w:cs="Times New Roman"/>
                <w:lang w:val="ro-RO"/>
              </w:rPr>
              <w:t>e</w:t>
            </w:r>
            <w:r w:rsidRPr="009E686F">
              <w:rPr>
                <w:rFonts w:ascii="Times New Roman" w:hAnsi="Times New Roman" w:cs="Times New Roman"/>
                <w:lang w:val="ro-RO"/>
              </w:rPr>
              <w:t>rile se vor transpune integral prin proiectul de modificare a Regulamentului cu privire la amortizoarele de capital ale băncilor, aprobat prin HCE nr. 110/2018</w:t>
            </w:r>
            <w:r w:rsidR="00C86601" w:rsidRPr="009E686F">
              <w:rPr>
                <w:rFonts w:ascii="Times New Roman" w:hAnsi="Times New Roman" w:cs="Times New Roman"/>
                <w:lang w:val="ro-RO"/>
              </w:rPr>
              <w:t xml:space="preserve"> (</w:t>
            </w:r>
            <w:r w:rsidR="00C86601" w:rsidRPr="009E686F">
              <w:rPr>
                <w:rFonts w:ascii="Times New Roman" w:eastAsia="Times New Roman" w:hAnsi="Times New Roman" w:cs="Times New Roman"/>
                <w:bCs/>
                <w:lang w:val="it-CH" w:eastAsia="ru-RU"/>
              </w:rPr>
              <w:t>acțiunea normativă nr. 3 din Anexa A din PNA 2025-2029 aferentă Capitolului 9 “Servicii financiare” în legătură cu transpunerea Directivei 2013/36/UE).</w:t>
            </w:r>
          </w:p>
        </w:tc>
      </w:tr>
      <w:tr w:rsidR="00984B34" w:rsidRPr="009E686F" w14:paraId="194099A9" w14:textId="77777777" w:rsidTr="00774F3E">
        <w:trPr>
          <w:trHeight w:val="1156"/>
        </w:trPr>
        <w:tc>
          <w:tcPr>
            <w:tcW w:w="1796" w:type="pct"/>
            <w:gridSpan w:val="2"/>
            <w:tcBorders>
              <w:top w:val="single" w:sz="4" w:space="0" w:color="auto"/>
              <w:left w:val="single" w:sz="4" w:space="0" w:color="auto"/>
              <w:right w:val="single" w:sz="4" w:space="0" w:color="auto"/>
            </w:tcBorders>
          </w:tcPr>
          <w:p w14:paraId="078711BF" w14:textId="61A8FDD5" w:rsidR="00984B34" w:rsidRPr="009E686F" w:rsidDel="007F1A64"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Instituțiile nu utilizează fondurile proprii de nivel 1 de bază care sunt menținute pentru a respecta unul dintre elementele cerinței amortizorului combinat pentru a asigura conformitatea cu celelalte elemente aplicabile ale cerinței amortizorului combinat.</w:t>
            </w:r>
          </w:p>
        </w:tc>
        <w:tc>
          <w:tcPr>
            <w:tcW w:w="1928" w:type="pct"/>
            <w:gridSpan w:val="3"/>
            <w:tcBorders>
              <w:top w:val="single" w:sz="4" w:space="0" w:color="auto"/>
              <w:left w:val="single" w:sz="4" w:space="0" w:color="auto"/>
              <w:right w:val="single" w:sz="4" w:space="0" w:color="auto"/>
            </w:tcBorders>
          </w:tcPr>
          <w:p w14:paraId="6805E3A0" w14:textId="2C79E51D" w:rsidR="00984B34" w:rsidRPr="009E686F" w:rsidRDefault="00984B34" w:rsidP="00984B34">
            <w:pPr>
              <w:spacing w:after="0"/>
              <w:jc w:val="both"/>
              <w:rPr>
                <w:rFonts w:ascii="Times New Roman" w:hAnsi="Times New Roman" w:cs="Times New Roman"/>
                <w:bCs/>
                <w:i/>
                <w:iCs/>
                <w:lang w:val="ro-RO"/>
              </w:rPr>
            </w:pPr>
            <w:r w:rsidRPr="009E686F">
              <w:rPr>
                <w:rFonts w:ascii="Times New Roman" w:hAnsi="Times New Roman" w:cs="Times New Roman"/>
                <w:b/>
                <w:lang w:val="ro-RO"/>
              </w:rPr>
              <w:t>Pct.6</w:t>
            </w:r>
            <w:r w:rsidRPr="009E686F">
              <w:rPr>
                <w:rFonts w:ascii="Times New Roman" w:hAnsi="Times New Roman" w:cs="Times New Roman"/>
                <w:b/>
                <w:vertAlign w:val="superscript"/>
                <w:lang w:val="ro-RO"/>
              </w:rPr>
              <w:t>2</w:t>
            </w:r>
            <w:r w:rsidRPr="009E686F">
              <w:rPr>
                <w:rFonts w:ascii="Times New Roman" w:hAnsi="Times New Roman" w:cs="Times New Roman"/>
                <w:b/>
                <w:lang w:val="ro-RO"/>
              </w:rPr>
              <w:t xml:space="preserve"> din Regulamentul cu privire la amortizoarele de capital ale băncilor, aprobat prin HCE nr.110/2018</w:t>
            </w:r>
          </w:p>
          <w:p w14:paraId="6B970BB6" w14:textId="4EB3B8E0" w:rsidR="00984B34" w:rsidRPr="009E686F" w:rsidRDefault="00984B34" w:rsidP="00984B34">
            <w:pPr>
              <w:jc w:val="both"/>
              <w:rPr>
                <w:rFonts w:ascii="Times New Roman" w:hAnsi="Times New Roman" w:cs="Times New Roman"/>
                <w:bCs/>
                <w:iCs/>
                <w:lang w:val="ro-MD"/>
              </w:rPr>
            </w:pPr>
            <w:r w:rsidRPr="009E686F">
              <w:rPr>
                <w:rFonts w:ascii="Times New Roman" w:hAnsi="Times New Roman" w:cs="Times New Roman"/>
                <w:b/>
                <w:iCs/>
                <w:lang w:val="ro-MD"/>
              </w:rPr>
              <w:t>6</w:t>
            </w:r>
            <w:r w:rsidRPr="009E686F">
              <w:rPr>
                <w:rFonts w:ascii="Times New Roman" w:hAnsi="Times New Roman" w:cs="Times New Roman"/>
                <w:b/>
                <w:iCs/>
                <w:vertAlign w:val="superscript"/>
                <w:lang w:val="ro-MD"/>
              </w:rPr>
              <w:t>2</w:t>
            </w:r>
            <w:r w:rsidRPr="009E686F">
              <w:rPr>
                <w:rFonts w:ascii="Times New Roman" w:hAnsi="Times New Roman" w:cs="Times New Roman"/>
                <w:b/>
                <w:iCs/>
                <w:lang w:val="ro-MD"/>
              </w:rPr>
              <w:t>.</w:t>
            </w:r>
            <w:r w:rsidRPr="009E686F">
              <w:rPr>
                <w:lang w:val="ro-RO"/>
              </w:rPr>
              <w:t xml:space="preserve"> </w:t>
            </w:r>
            <w:r w:rsidRPr="009E686F">
              <w:rPr>
                <w:rFonts w:ascii="Times New Roman" w:hAnsi="Times New Roman" w:cs="Times New Roman"/>
                <w:bCs/>
                <w:iCs/>
                <w:lang w:val="ro-MD"/>
              </w:rPr>
              <w:t>Băncile nu trebuie să utilizeze fondurile proprii de nivel 1 de bază care sunt menţinute pentru a respecta unul dintre elementele cerinţei amortizorului combinat pentru a asigura conformitatea cu celelalte elemente aplicabile ale cerinţei amortizorului combinat.</w:t>
            </w:r>
          </w:p>
        </w:tc>
        <w:tc>
          <w:tcPr>
            <w:tcW w:w="470" w:type="pct"/>
            <w:tcBorders>
              <w:top w:val="single" w:sz="4" w:space="0" w:color="auto"/>
              <w:left w:val="single" w:sz="4" w:space="0" w:color="auto"/>
              <w:right w:val="single" w:sz="4" w:space="0" w:color="auto"/>
            </w:tcBorders>
          </w:tcPr>
          <w:p w14:paraId="1CA94446" w14:textId="72D56D0F" w:rsidR="00984B34" w:rsidRPr="009E686F" w:rsidDel="007F1A64"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right w:val="single" w:sz="4" w:space="0" w:color="auto"/>
            </w:tcBorders>
          </w:tcPr>
          <w:p w14:paraId="24ACEE59" w14:textId="77777777" w:rsidR="00984B34" w:rsidRPr="009E686F" w:rsidDel="007F1A64" w:rsidRDefault="00984B34" w:rsidP="00984B34">
            <w:pPr>
              <w:jc w:val="both"/>
              <w:rPr>
                <w:rFonts w:ascii="Times New Roman" w:hAnsi="Times New Roman" w:cs="Times New Roman"/>
                <w:lang w:val="ro-RO"/>
              </w:rPr>
            </w:pPr>
          </w:p>
        </w:tc>
      </w:tr>
      <w:tr w:rsidR="00984B34" w:rsidRPr="009E686F" w14:paraId="090EF6E4" w14:textId="77777777" w:rsidTr="00774F3E">
        <w:trPr>
          <w:trHeight w:val="1156"/>
        </w:trPr>
        <w:tc>
          <w:tcPr>
            <w:tcW w:w="1796" w:type="pct"/>
            <w:gridSpan w:val="2"/>
            <w:tcBorders>
              <w:top w:val="single" w:sz="4" w:space="0" w:color="auto"/>
              <w:left w:val="single" w:sz="4" w:space="0" w:color="auto"/>
              <w:right w:val="single" w:sz="4" w:space="0" w:color="auto"/>
            </w:tcBorders>
          </w:tcPr>
          <w:p w14:paraId="219E8463" w14:textId="3982860D" w:rsidR="00984B34" w:rsidRPr="009E686F" w:rsidDel="007F1A64"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lastRenderedPageBreak/>
              <w:t>Instituțiile nu utilizează fondurile proprii de nivel 1 de bază care sunt menținute pentru a îndeplini cerința amortizorului combinat menționată la punctul 6 din primul paragraf de la prezentul articol pentru a asigura conformitatea cu componentele bazate pe riscuri ale cerințelor prevăzute la articolele 92a și 92b din Regulamentul (UE) nr. 575/2013 și la articolele 45c și 45d din Directiva 2014/59/UE.</w:t>
            </w:r>
          </w:p>
        </w:tc>
        <w:tc>
          <w:tcPr>
            <w:tcW w:w="1928" w:type="pct"/>
            <w:gridSpan w:val="3"/>
            <w:tcBorders>
              <w:top w:val="single" w:sz="4" w:space="0" w:color="auto"/>
              <w:left w:val="single" w:sz="4" w:space="0" w:color="auto"/>
              <w:right w:val="single" w:sz="4" w:space="0" w:color="auto"/>
            </w:tcBorders>
          </w:tcPr>
          <w:p w14:paraId="74A5DAFA" w14:textId="77777777" w:rsidR="00984B34" w:rsidRPr="009E686F" w:rsidRDefault="00984B34" w:rsidP="00984B34">
            <w:pPr>
              <w:spacing w:after="0"/>
              <w:jc w:val="both"/>
              <w:rPr>
                <w:rFonts w:ascii="Times New Roman" w:hAnsi="Times New Roman" w:cs="Times New Roman"/>
                <w:b/>
                <w:iCs/>
                <w:lang w:val="ro-MD"/>
              </w:rPr>
            </w:pPr>
          </w:p>
        </w:tc>
        <w:tc>
          <w:tcPr>
            <w:tcW w:w="470" w:type="pct"/>
            <w:tcBorders>
              <w:top w:val="single" w:sz="4" w:space="0" w:color="auto"/>
              <w:left w:val="single" w:sz="4" w:space="0" w:color="auto"/>
              <w:right w:val="single" w:sz="4" w:space="0" w:color="auto"/>
            </w:tcBorders>
          </w:tcPr>
          <w:p w14:paraId="19CE9F22" w14:textId="1A0284E5" w:rsidR="00984B34" w:rsidRPr="009E686F" w:rsidDel="007F1A64"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netranspuse</w:t>
            </w:r>
          </w:p>
        </w:tc>
        <w:tc>
          <w:tcPr>
            <w:tcW w:w="806" w:type="pct"/>
            <w:tcBorders>
              <w:top w:val="single" w:sz="4" w:space="0" w:color="auto"/>
              <w:left w:val="single" w:sz="4" w:space="0" w:color="auto"/>
              <w:right w:val="single" w:sz="4" w:space="0" w:color="auto"/>
            </w:tcBorders>
          </w:tcPr>
          <w:p w14:paraId="26BBAE00" w14:textId="4CF2AA6C" w:rsidR="00984B34" w:rsidRPr="009E686F" w:rsidDel="007F1A64" w:rsidRDefault="00984B34" w:rsidP="00984B34">
            <w:pPr>
              <w:jc w:val="both"/>
              <w:rPr>
                <w:rFonts w:ascii="Times New Roman" w:hAnsi="Times New Roman" w:cs="Times New Roman"/>
                <w:lang w:val="ro-RO"/>
              </w:rPr>
            </w:pPr>
            <w:r w:rsidRPr="009E686F">
              <w:rPr>
                <w:rFonts w:ascii="Times New Roman" w:hAnsi="Times New Roman" w:cs="Times New Roman"/>
                <w:lang w:val="ro-RO"/>
              </w:rPr>
              <w:t>Prevedrile se vor regăsi în proiectul de modificare a Regulamentului cu privire la amortizoarele de capital ale băncilor, aprobat prin HCE nr. 110/2018</w:t>
            </w:r>
            <w:r w:rsidR="00C86601" w:rsidRPr="009E686F">
              <w:rPr>
                <w:rFonts w:ascii="Times New Roman" w:hAnsi="Times New Roman" w:cs="Times New Roman"/>
                <w:lang w:val="ro-RO"/>
              </w:rPr>
              <w:t xml:space="preserve"> (</w:t>
            </w:r>
            <w:r w:rsidR="00C86601" w:rsidRPr="009E686F">
              <w:rPr>
                <w:rFonts w:ascii="Times New Roman" w:eastAsia="Times New Roman" w:hAnsi="Times New Roman" w:cs="Times New Roman"/>
                <w:bCs/>
                <w:lang w:val="it-CH" w:eastAsia="ru-RU"/>
              </w:rPr>
              <w:t>acțiunea normativă nr. 3 din Anexa A din PNA 2025-2029 aferentă Capitolului 9 “Servicii financiare” în legătură cu transpunerea Directivei 2013/36/UE).</w:t>
            </w:r>
          </w:p>
        </w:tc>
      </w:tr>
      <w:tr w:rsidR="00984B34" w:rsidRPr="009E686F" w14:paraId="30F251AA" w14:textId="77777777" w:rsidTr="00774F3E">
        <w:trPr>
          <w:trHeight w:val="1156"/>
        </w:trPr>
        <w:tc>
          <w:tcPr>
            <w:tcW w:w="1796" w:type="pct"/>
            <w:gridSpan w:val="2"/>
            <w:tcBorders>
              <w:top w:val="single" w:sz="4" w:space="0" w:color="auto"/>
              <w:left w:val="single" w:sz="4" w:space="0" w:color="auto"/>
              <w:right w:val="single" w:sz="4" w:space="0" w:color="auto"/>
            </w:tcBorders>
          </w:tcPr>
          <w:p w14:paraId="5FECEE93" w14:textId="77777777" w:rsidR="00984B34" w:rsidRPr="009E686F" w:rsidRDefault="00984B34" w:rsidP="00984B34">
            <w:pPr>
              <w:spacing w:after="0"/>
              <w:jc w:val="both"/>
              <w:rPr>
                <w:rFonts w:ascii="Times New Roman" w:hAnsi="Times New Roman" w:cs="Times New Roman"/>
                <w:i/>
                <w:iCs/>
                <w:lang w:val="ro-RO"/>
              </w:rPr>
            </w:pPr>
            <w:r w:rsidRPr="009E686F">
              <w:rPr>
                <w:rFonts w:ascii="Times New Roman" w:hAnsi="Times New Roman" w:cs="Times New Roman"/>
                <w:i/>
                <w:iCs/>
                <w:lang w:val="ro-RO"/>
              </w:rPr>
              <w:t xml:space="preserve">Articolul 129 </w:t>
            </w:r>
          </w:p>
          <w:p w14:paraId="1F8959A4"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Cerința de menținere a unui amortizor de conservare a capitalului</w:t>
            </w:r>
          </w:p>
          <w:p w14:paraId="7340B30E" w14:textId="77777777" w:rsidR="00984B34" w:rsidRPr="009E686F" w:rsidRDefault="00984B34" w:rsidP="00984B34">
            <w:pPr>
              <w:spacing w:after="0"/>
              <w:jc w:val="both"/>
              <w:rPr>
                <w:rFonts w:ascii="Times New Roman" w:hAnsi="Times New Roman" w:cs="Times New Roman"/>
                <w:lang w:val="ro-RO"/>
              </w:rPr>
            </w:pPr>
          </w:p>
          <w:p w14:paraId="14220F0F"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(1)Pe lângă fondurile proprii de nivel 1 de bază care sunt menținute pentru a îndeplini oricare dintre cerințele de fonduri proprii prevăzute la articolul 92 alineatul (1) literele (a), (b) și (c) din Regulamentul (UE) nr. 575/2013, statele membre solicită instituțiilor să mențină un amortizor de conservare a capitalului constituit din fonduri proprii de nivel 1 de bază egal cu 2,5 % din cuantumul total al expunerii la risc a instituției în cauză, calculat în conformitate cu articolul 92 alineatul (3) din respectivul regulament, pe bază individuală și consolidată, astfel cum se prevede în partea întâi titlul II din regulamentul menționat.</w:t>
            </w:r>
          </w:p>
          <w:p w14:paraId="7683EA46" w14:textId="275C97AB"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lastRenderedPageBreak/>
              <w:t>(2) – (4) abrogate prin M6.</w:t>
            </w:r>
          </w:p>
          <w:p w14:paraId="64566F96" w14:textId="79A8665F"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(5) În cazul în care o instituție nu îndeplinește pe deplin cerința prevăzută la alineatul (1) de la prezentul articol, aceasta face obiectul restricțiilor privind distribuirile prevăzute la articolul 141 alineatele (2) și (3).</w:t>
            </w:r>
          </w:p>
        </w:tc>
        <w:tc>
          <w:tcPr>
            <w:tcW w:w="1928" w:type="pct"/>
            <w:gridSpan w:val="3"/>
            <w:tcBorders>
              <w:top w:val="single" w:sz="4" w:space="0" w:color="auto"/>
              <w:left w:val="single" w:sz="4" w:space="0" w:color="auto"/>
              <w:right w:val="single" w:sz="4" w:space="0" w:color="auto"/>
            </w:tcBorders>
          </w:tcPr>
          <w:p w14:paraId="460877ED" w14:textId="5B8A2BCC"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b/>
                <w:lang w:val="ro-RO"/>
              </w:rPr>
              <w:lastRenderedPageBreak/>
              <w:t>Pct.7-9 din Regulamentul cu privire la amortizoarele de capital ale băncilor, aprobat prin HCE nr.110/2018</w:t>
            </w:r>
          </w:p>
          <w:p w14:paraId="4DED9125" w14:textId="77777777"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b/>
                <w:lang w:val="ro-MD"/>
              </w:rPr>
              <w:t>Capitolul II. Cerința de menținere a unui amortizor de conservare a capitalului</w:t>
            </w:r>
          </w:p>
          <w:p w14:paraId="2DE60E50" w14:textId="334BDEAA" w:rsidR="00984B34" w:rsidRPr="009E686F" w:rsidRDefault="00984B34" w:rsidP="00984B34">
            <w:pPr>
              <w:spacing w:after="0"/>
              <w:jc w:val="both"/>
              <w:rPr>
                <w:rFonts w:ascii="Times New Roman" w:eastAsia="Times New Roman" w:hAnsi="Times New Roman" w:cs="Times New Roman"/>
                <w:lang w:val="ro-MD"/>
              </w:rPr>
            </w:pPr>
            <w:r w:rsidRPr="009E686F">
              <w:rPr>
                <w:rFonts w:ascii="Times New Roman" w:eastAsia="Times New Roman" w:hAnsi="Times New Roman" w:cs="Times New Roman"/>
                <w:b/>
                <w:bCs/>
                <w:lang w:val="ro-MD"/>
              </w:rPr>
              <w:t>9.</w:t>
            </w:r>
            <w:r w:rsidRPr="009E686F">
              <w:rPr>
                <w:rFonts w:ascii="Times New Roman" w:eastAsia="Times New Roman" w:hAnsi="Times New Roman" w:cs="Times New Roman"/>
                <w:lang w:val="ro-MD"/>
              </w:rPr>
              <w:t xml:space="preserve">  Suplimentar la fondurile proprii de nivel 1 de bază menţinute pentru a respecta cerinţa de fonduri proprii prevăzută în Regulamentul nr.109/2018, băncile sunt obligate să menţină un amortizor de conservare a capitalului, constituit din fonduri proprii de nivel 1 de bază, egal cu 2,5% din cuantumul total al expunerii la risc a băncilor respective, pe bază individuală şi consolidată.</w:t>
            </w:r>
          </w:p>
          <w:p w14:paraId="6DBFCCAE" w14:textId="0546D9FA" w:rsidR="00984B34" w:rsidRPr="009E686F" w:rsidRDefault="00984B34" w:rsidP="00984B34">
            <w:pPr>
              <w:spacing w:after="0"/>
              <w:jc w:val="both"/>
              <w:rPr>
                <w:rFonts w:ascii="Times New Roman" w:eastAsia="Times New Roman" w:hAnsi="Times New Roman" w:cs="Times New Roman"/>
                <w:lang w:val="ro-MD"/>
              </w:rPr>
            </w:pPr>
            <w:r w:rsidRPr="009E686F">
              <w:rPr>
                <w:rFonts w:ascii="Times New Roman" w:eastAsia="Times New Roman" w:hAnsi="Times New Roman" w:cs="Times New Roman"/>
                <w:b/>
                <w:bCs/>
                <w:lang w:val="ro-MD"/>
              </w:rPr>
              <w:t>8.</w:t>
            </w:r>
            <w:r w:rsidRPr="009E686F">
              <w:rPr>
                <w:rFonts w:ascii="Times New Roman" w:eastAsia="Times New Roman" w:hAnsi="Times New Roman" w:cs="Times New Roman"/>
                <w:lang w:val="ro-MD"/>
              </w:rPr>
              <w:t xml:space="preserve"> În sensul prezentului regulament cuantumul total al expunerii la risc reprezintă cuantumul total al expunerii la risc calculat în conformitate cu punctul 132 din Regulamentul nr.109/2018.</w:t>
            </w:r>
          </w:p>
          <w:p w14:paraId="6303C274" w14:textId="721C2332" w:rsidR="00984B34" w:rsidRPr="009E686F" w:rsidRDefault="00984B34" w:rsidP="00984B34">
            <w:pPr>
              <w:spacing w:after="0"/>
              <w:jc w:val="both"/>
              <w:rPr>
                <w:rFonts w:ascii="Times New Roman" w:hAnsi="Times New Roman" w:cs="Times New Roman"/>
                <w:b/>
                <w:iCs/>
                <w:lang w:val="ro-MD"/>
              </w:rPr>
            </w:pPr>
            <w:r w:rsidRPr="009E686F">
              <w:rPr>
                <w:rFonts w:ascii="Times New Roman" w:hAnsi="Times New Roman" w:cs="Times New Roman"/>
                <w:b/>
                <w:bCs/>
                <w:lang w:val="ro-RO"/>
              </w:rPr>
              <w:t>7.</w:t>
            </w:r>
            <w:r w:rsidRPr="009E686F">
              <w:rPr>
                <w:rFonts w:ascii="Times New Roman" w:hAnsi="Times New Roman" w:cs="Times New Roman"/>
                <w:lang w:val="ro-RO"/>
              </w:rPr>
              <w:t xml:space="preserve"> În cazul în care o bancă nu îndeplinește cerințele aferente amortizoarelor de capital pentru bănci, prevăzute de prezentul </w:t>
            </w:r>
            <w:r w:rsidRPr="009E686F">
              <w:rPr>
                <w:rFonts w:ascii="Times New Roman" w:hAnsi="Times New Roman" w:cs="Times New Roman"/>
                <w:lang w:val="ro-RO"/>
              </w:rPr>
              <w:lastRenderedPageBreak/>
              <w:t>regulament, aceasta face obiectul restricțiilor privind distribuirile prevăzute de capitolul VI.</w:t>
            </w:r>
          </w:p>
        </w:tc>
        <w:tc>
          <w:tcPr>
            <w:tcW w:w="470" w:type="pct"/>
            <w:tcBorders>
              <w:top w:val="single" w:sz="4" w:space="0" w:color="auto"/>
              <w:left w:val="single" w:sz="4" w:space="0" w:color="auto"/>
              <w:right w:val="single" w:sz="4" w:space="0" w:color="auto"/>
            </w:tcBorders>
          </w:tcPr>
          <w:p w14:paraId="2247CABD" w14:textId="50D023EF"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lastRenderedPageBreak/>
              <w:t xml:space="preserve">Compatibil </w:t>
            </w:r>
          </w:p>
        </w:tc>
        <w:tc>
          <w:tcPr>
            <w:tcW w:w="806" w:type="pct"/>
            <w:tcBorders>
              <w:top w:val="single" w:sz="4" w:space="0" w:color="auto"/>
              <w:left w:val="single" w:sz="4" w:space="0" w:color="auto"/>
              <w:right w:val="single" w:sz="4" w:space="0" w:color="auto"/>
            </w:tcBorders>
          </w:tcPr>
          <w:p w14:paraId="37396C08" w14:textId="77777777" w:rsidR="00984B34" w:rsidRPr="009E686F" w:rsidRDefault="00984B34" w:rsidP="00984B34">
            <w:pPr>
              <w:jc w:val="both"/>
              <w:rPr>
                <w:rFonts w:ascii="Times New Roman" w:hAnsi="Times New Roman" w:cs="Times New Roman"/>
                <w:lang w:val="ro-RO"/>
              </w:rPr>
            </w:pPr>
          </w:p>
        </w:tc>
      </w:tr>
      <w:tr w:rsidR="00984B34" w:rsidRPr="009E686F" w14:paraId="304E929B" w14:textId="453ACB5F" w:rsidTr="00774F3E">
        <w:tc>
          <w:tcPr>
            <w:tcW w:w="1796" w:type="pct"/>
            <w:gridSpan w:val="2"/>
            <w:tcBorders>
              <w:top w:val="single" w:sz="4" w:space="0" w:color="auto"/>
              <w:left w:val="single" w:sz="4" w:space="0" w:color="auto"/>
              <w:bottom w:val="single" w:sz="4" w:space="0" w:color="auto"/>
              <w:right w:val="single" w:sz="4" w:space="0" w:color="auto"/>
            </w:tcBorders>
          </w:tcPr>
          <w:p w14:paraId="5CB09B60" w14:textId="7B70934F" w:rsidR="00984B34" w:rsidRPr="009E686F" w:rsidRDefault="00984B34" w:rsidP="00984B34">
            <w:pPr>
              <w:spacing w:after="0"/>
              <w:jc w:val="both"/>
              <w:rPr>
                <w:rFonts w:ascii="Times New Roman" w:hAnsi="Times New Roman" w:cs="Times New Roman"/>
                <w:i/>
                <w:iCs/>
                <w:lang w:val="ro-RO"/>
              </w:rPr>
            </w:pPr>
            <w:r w:rsidRPr="009E686F">
              <w:rPr>
                <w:rFonts w:ascii="Times New Roman" w:hAnsi="Times New Roman" w:cs="Times New Roman"/>
                <w:i/>
                <w:iCs/>
                <w:lang w:val="ro-RO"/>
              </w:rPr>
              <w:t>Articolul 130</w:t>
            </w:r>
          </w:p>
          <w:p w14:paraId="410D1F8B" w14:textId="465F9A55"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Cerința de menținere a unui amortizor anticiclic de capital specific instituției</w:t>
            </w:r>
          </w:p>
        </w:tc>
        <w:tc>
          <w:tcPr>
            <w:tcW w:w="1928" w:type="pct"/>
            <w:gridSpan w:val="3"/>
            <w:tcBorders>
              <w:top w:val="single" w:sz="4" w:space="0" w:color="auto"/>
              <w:left w:val="single" w:sz="4" w:space="0" w:color="auto"/>
              <w:bottom w:val="single" w:sz="4" w:space="0" w:color="auto"/>
              <w:right w:val="single" w:sz="4" w:space="0" w:color="auto"/>
            </w:tcBorders>
          </w:tcPr>
          <w:p w14:paraId="3EAFA70C" w14:textId="77777777" w:rsidR="00984B34" w:rsidRPr="009E686F" w:rsidRDefault="00984B34" w:rsidP="00984B34">
            <w:pPr>
              <w:autoSpaceDE w:val="0"/>
              <w:autoSpaceDN w:val="0"/>
              <w:adjustRightInd w:val="0"/>
              <w:spacing w:after="0" w:line="240" w:lineRule="auto"/>
              <w:rPr>
                <w:rFonts w:ascii="Times New Roman" w:hAnsi="Times New Roman" w:cs="Times New Roman"/>
                <w:b/>
                <w:lang w:val="ro-MD"/>
              </w:rPr>
            </w:pPr>
            <w:r w:rsidRPr="009E686F">
              <w:rPr>
                <w:rFonts w:ascii="Times New Roman" w:hAnsi="Times New Roman" w:cs="Times New Roman"/>
                <w:b/>
                <w:lang w:val="ro-MD"/>
              </w:rPr>
              <w:t xml:space="preserve">Capitolul III. Amortizorul anticiclic de capital </w:t>
            </w:r>
          </w:p>
          <w:p w14:paraId="5C572206" w14:textId="73A85D69" w:rsidR="00984B34" w:rsidRPr="009E686F" w:rsidRDefault="00984B34" w:rsidP="00984B34">
            <w:pPr>
              <w:spacing w:after="0"/>
              <w:rPr>
                <w:rFonts w:ascii="Times New Roman" w:hAnsi="Times New Roman" w:cs="Times New Roman"/>
                <w:b/>
                <w:lang w:val="ro-RO"/>
              </w:rPr>
            </w:pPr>
            <w:r w:rsidRPr="009E686F">
              <w:rPr>
                <w:rFonts w:ascii="Times New Roman" w:hAnsi="Times New Roman" w:cs="Times New Roman"/>
                <w:i/>
                <w:lang w:val="ro-MD"/>
              </w:rPr>
              <w:t>Secțiunea a 2-a. Cerința de menținere a unui amortizor anticiclic de capital specific băncii</w:t>
            </w:r>
          </w:p>
        </w:tc>
        <w:tc>
          <w:tcPr>
            <w:tcW w:w="470" w:type="pct"/>
            <w:tcBorders>
              <w:top w:val="single" w:sz="4" w:space="0" w:color="auto"/>
              <w:left w:val="single" w:sz="4" w:space="0" w:color="auto"/>
              <w:bottom w:val="single" w:sz="4" w:space="0" w:color="auto"/>
              <w:right w:val="single" w:sz="4" w:space="0" w:color="auto"/>
            </w:tcBorders>
          </w:tcPr>
          <w:p w14:paraId="4104BA21" w14:textId="77777777"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 xml:space="preserve">Compatibil </w:t>
            </w:r>
          </w:p>
          <w:p w14:paraId="15C13658" w14:textId="5B64180F"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6B319F98" w14:textId="77777777" w:rsidR="00984B34" w:rsidRPr="009E686F" w:rsidRDefault="00984B34" w:rsidP="00984B34">
            <w:pPr>
              <w:jc w:val="both"/>
              <w:rPr>
                <w:rFonts w:ascii="Times New Roman" w:hAnsi="Times New Roman" w:cs="Times New Roman"/>
                <w:lang w:val="ro-RO"/>
              </w:rPr>
            </w:pPr>
          </w:p>
        </w:tc>
      </w:tr>
      <w:tr w:rsidR="00984B34" w:rsidRPr="009E686F" w14:paraId="6F0D04A8"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7D695B0D" w14:textId="3CF5E9C1" w:rsidR="00984B34" w:rsidRPr="009E686F" w:rsidRDefault="00984B34" w:rsidP="00984B34">
            <w:pPr>
              <w:spacing w:after="0"/>
              <w:jc w:val="both"/>
              <w:rPr>
                <w:rFonts w:ascii="Times New Roman" w:hAnsi="Times New Roman" w:cs="Times New Roman"/>
                <w:i/>
                <w:iCs/>
                <w:lang w:val="ro-RO"/>
              </w:rPr>
            </w:pPr>
            <w:r w:rsidRPr="009E686F">
              <w:rPr>
                <w:rFonts w:ascii="Times New Roman" w:hAnsi="Times New Roman" w:cs="Times New Roman"/>
                <w:lang w:val="ro-RO"/>
              </w:rPr>
              <w:t>(1) Statele membre solicită instituțiilor să mențină un amortizor anticiclic de capital specific instituției, care este echivalent cu cuantumul total al expunerii la risc a instituției în cauză, calculat în conformitate cu articolul 92 alineatul (3) din Regulamentul (UE) nr. 575/2013, înmulțit cu media ponderată a ratelor amortizorului anticiclic calculată în conformitate cu articolul 140 din prezenta directivă pe o bază individuală și consolidată, astfel cum se prevede în partea întâi titlul II din regulamentul respectiv. Amortizorul respectiv constă în fonduri proprii de nivel 1 de bază.</w:t>
            </w:r>
          </w:p>
        </w:tc>
        <w:tc>
          <w:tcPr>
            <w:tcW w:w="1928" w:type="pct"/>
            <w:gridSpan w:val="3"/>
            <w:tcBorders>
              <w:top w:val="single" w:sz="4" w:space="0" w:color="auto"/>
              <w:left w:val="single" w:sz="4" w:space="0" w:color="auto"/>
              <w:bottom w:val="single" w:sz="4" w:space="0" w:color="auto"/>
              <w:right w:val="single" w:sz="4" w:space="0" w:color="auto"/>
            </w:tcBorders>
          </w:tcPr>
          <w:p w14:paraId="6367BEAD" w14:textId="3A60403F" w:rsidR="00984B34" w:rsidRPr="009E686F" w:rsidRDefault="00984B34" w:rsidP="00984B34">
            <w:pPr>
              <w:spacing w:after="0"/>
              <w:rPr>
                <w:rFonts w:ascii="Times New Roman" w:hAnsi="Times New Roman" w:cs="Times New Roman"/>
                <w:b/>
                <w:lang w:val="ro-MD"/>
              </w:rPr>
            </w:pPr>
            <w:r w:rsidRPr="009E686F">
              <w:rPr>
                <w:rFonts w:ascii="Times New Roman" w:hAnsi="Times New Roman" w:cs="Times New Roman"/>
                <w:b/>
                <w:lang w:val="ro-RO"/>
              </w:rPr>
              <w:t>Pct.13 Regulamentul cu privire la amortizoarele de capital ale băncilor, aprobat prin HCE nr.110/2018</w:t>
            </w:r>
          </w:p>
          <w:p w14:paraId="1E0AD4C8" w14:textId="77777777" w:rsidR="00984B34" w:rsidRPr="009E686F" w:rsidRDefault="00984B34" w:rsidP="00984B34">
            <w:pPr>
              <w:pStyle w:val="CM4"/>
              <w:jc w:val="both"/>
              <w:rPr>
                <w:rFonts w:ascii="Times New Roman" w:hAnsi="Times New Roman"/>
                <w:sz w:val="22"/>
                <w:szCs w:val="22"/>
                <w:lang w:val="ro-MD"/>
              </w:rPr>
            </w:pPr>
            <w:r w:rsidRPr="009E686F">
              <w:rPr>
                <w:rFonts w:ascii="Times New Roman" w:hAnsi="Times New Roman"/>
                <w:b/>
                <w:bCs/>
                <w:sz w:val="22"/>
                <w:szCs w:val="22"/>
                <w:lang w:val="ro-MD"/>
              </w:rPr>
              <w:t>13.</w:t>
            </w:r>
            <w:r w:rsidRPr="009E686F">
              <w:rPr>
                <w:rFonts w:ascii="Times New Roman" w:hAnsi="Times New Roman"/>
                <w:sz w:val="22"/>
                <w:szCs w:val="22"/>
                <w:lang w:val="ro-MD"/>
              </w:rPr>
              <w:t xml:space="preserve"> Băncile sunt obligate să mențină un amortizor anticiclic de capital specific băncii, care este echivalent cu cuantumul total al expunerii la risc a băncilor respective, înmulțită cu media ponderată a ratelor amortizorului anticiclic calculată în conformitate cu secțiunea a 3-a din prezentul capitol. </w:t>
            </w:r>
          </w:p>
          <w:p w14:paraId="4DD6ED05" w14:textId="77777777" w:rsidR="00984B34" w:rsidRPr="009E686F" w:rsidRDefault="00984B34" w:rsidP="00984B34">
            <w:pPr>
              <w:autoSpaceDE w:val="0"/>
              <w:autoSpaceDN w:val="0"/>
              <w:adjustRightInd w:val="0"/>
              <w:spacing w:after="0" w:line="240" w:lineRule="auto"/>
              <w:rPr>
                <w:rFonts w:ascii="Times New Roman" w:hAnsi="Times New Roman" w:cs="Times New Roman"/>
                <w:b/>
                <w:lang w:val="ro-MD"/>
              </w:rPr>
            </w:pPr>
          </w:p>
        </w:tc>
        <w:tc>
          <w:tcPr>
            <w:tcW w:w="470" w:type="pct"/>
            <w:tcBorders>
              <w:top w:val="single" w:sz="4" w:space="0" w:color="auto"/>
              <w:left w:val="single" w:sz="4" w:space="0" w:color="auto"/>
              <w:bottom w:val="single" w:sz="4" w:space="0" w:color="auto"/>
              <w:right w:val="single" w:sz="4" w:space="0" w:color="auto"/>
            </w:tcBorders>
          </w:tcPr>
          <w:p w14:paraId="494FB6DA" w14:textId="40ABF5DA"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1226A177" w14:textId="77777777" w:rsidR="00984B34" w:rsidRPr="009E686F" w:rsidRDefault="00984B34" w:rsidP="00984B34">
            <w:pPr>
              <w:jc w:val="both"/>
              <w:rPr>
                <w:rFonts w:ascii="Times New Roman" w:hAnsi="Times New Roman" w:cs="Times New Roman"/>
                <w:lang w:val="ro-RO"/>
              </w:rPr>
            </w:pPr>
          </w:p>
        </w:tc>
      </w:tr>
      <w:tr w:rsidR="00984B34" w:rsidRPr="009E686F" w14:paraId="3085FA46"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294BC3FF" w14:textId="24C07735"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(5) În cazul în care o instituție nu îndeplinește pe deplin cerința prevăzută la alineatul (1) de la prezentul articol, aceasta face obiectul restricțiilor privind distribuirile prevăzute la articolul 141 alineatele (2) și (3).</w:t>
            </w:r>
          </w:p>
        </w:tc>
        <w:tc>
          <w:tcPr>
            <w:tcW w:w="1928" w:type="pct"/>
            <w:gridSpan w:val="3"/>
            <w:tcBorders>
              <w:top w:val="single" w:sz="4" w:space="0" w:color="auto"/>
              <w:left w:val="single" w:sz="4" w:space="0" w:color="auto"/>
              <w:bottom w:val="single" w:sz="4" w:space="0" w:color="auto"/>
              <w:right w:val="single" w:sz="4" w:space="0" w:color="auto"/>
            </w:tcBorders>
          </w:tcPr>
          <w:p w14:paraId="0BB4B365" w14:textId="5245C54D" w:rsidR="00984B34" w:rsidRPr="009E686F" w:rsidRDefault="00984B34" w:rsidP="00984B34">
            <w:pPr>
              <w:spacing w:after="0"/>
              <w:rPr>
                <w:rFonts w:ascii="Times New Roman" w:hAnsi="Times New Roman" w:cs="Times New Roman"/>
                <w:b/>
                <w:lang w:val="ro-MD"/>
              </w:rPr>
            </w:pPr>
            <w:r w:rsidRPr="009E686F">
              <w:rPr>
                <w:rFonts w:ascii="Times New Roman" w:hAnsi="Times New Roman" w:cs="Times New Roman"/>
                <w:b/>
                <w:lang w:val="ro-RO"/>
              </w:rPr>
              <w:t>Pct.7 Regulamentul cu privire la amortizoarele de capital ale băncilor, aprobat prin HCE nr.110/2018</w:t>
            </w:r>
          </w:p>
          <w:p w14:paraId="5AAADF15" w14:textId="085380D5" w:rsidR="00984B34" w:rsidRPr="009E686F" w:rsidRDefault="00984B34" w:rsidP="00984B34">
            <w:pPr>
              <w:spacing w:after="0"/>
              <w:jc w:val="both"/>
              <w:rPr>
                <w:rFonts w:ascii="Times New Roman" w:hAnsi="Times New Roman" w:cs="Times New Roman"/>
                <w:bCs/>
                <w:i/>
                <w:iCs/>
                <w:lang w:val="ro-RO"/>
              </w:rPr>
            </w:pPr>
            <w:r w:rsidRPr="009E686F">
              <w:rPr>
                <w:rFonts w:ascii="Times New Roman" w:hAnsi="Times New Roman" w:cs="Times New Roman"/>
                <w:b/>
                <w:bCs/>
                <w:lang w:val="ro-RO"/>
              </w:rPr>
              <w:t>7.</w:t>
            </w:r>
            <w:r w:rsidRPr="009E686F">
              <w:rPr>
                <w:rFonts w:ascii="Times New Roman" w:hAnsi="Times New Roman" w:cs="Times New Roman"/>
                <w:lang w:val="ro-RO"/>
              </w:rPr>
              <w:t xml:space="preserve"> În cazul în care o bancă nu îndeplinește cerințele aferente amortizoarelor de capital pentru bănci, prevăzute de prezentul regulament, aceasta face obiectul restricțiilor privind distribuirile prevăzute de capitolul VI.</w:t>
            </w:r>
          </w:p>
        </w:tc>
        <w:tc>
          <w:tcPr>
            <w:tcW w:w="470" w:type="pct"/>
            <w:tcBorders>
              <w:top w:val="single" w:sz="4" w:space="0" w:color="auto"/>
              <w:left w:val="single" w:sz="4" w:space="0" w:color="auto"/>
              <w:bottom w:val="single" w:sz="4" w:space="0" w:color="auto"/>
              <w:right w:val="single" w:sz="4" w:space="0" w:color="auto"/>
            </w:tcBorders>
          </w:tcPr>
          <w:p w14:paraId="683D1379" w14:textId="1A63B3D3"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0A2109EA" w14:textId="77777777" w:rsidR="00984B34" w:rsidRPr="009E686F" w:rsidRDefault="00984B34" w:rsidP="00984B34">
            <w:pPr>
              <w:jc w:val="both"/>
              <w:rPr>
                <w:rFonts w:ascii="Times New Roman" w:hAnsi="Times New Roman" w:cs="Times New Roman"/>
                <w:lang w:val="ro-RO"/>
              </w:rPr>
            </w:pPr>
          </w:p>
        </w:tc>
      </w:tr>
      <w:tr w:rsidR="00984B34" w:rsidRPr="009E686F" w14:paraId="410378AB" w14:textId="77777777" w:rsidTr="0072400E">
        <w:tc>
          <w:tcPr>
            <w:tcW w:w="5000" w:type="pct"/>
            <w:gridSpan w:val="7"/>
            <w:tcBorders>
              <w:top w:val="single" w:sz="4" w:space="0" w:color="auto"/>
              <w:left w:val="single" w:sz="4" w:space="0" w:color="auto"/>
              <w:bottom w:val="single" w:sz="4" w:space="0" w:color="auto"/>
              <w:right w:val="single" w:sz="4" w:space="0" w:color="auto"/>
            </w:tcBorders>
          </w:tcPr>
          <w:p w14:paraId="20F4AD71" w14:textId="77777777" w:rsidR="00984B34" w:rsidRPr="009E686F" w:rsidRDefault="00984B34" w:rsidP="00984B34">
            <w:pPr>
              <w:spacing w:after="0"/>
              <w:jc w:val="both"/>
              <w:rPr>
                <w:rFonts w:ascii="Times New Roman" w:hAnsi="Times New Roman" w:cs="Times New Roman"/>
                <w:i/>
                <w:iCs/>
                <w:lang w:val="ro-RO"/>
              </w:rPr>
            </w:pPr>
            <w:r w:rsidRPr="009E686F">
              <w:rPr>
                <w:rFonts w:ascii="Times New Roman" w:hAnsi="Times New Roman" w:cs="Times New Roman"/>
                <w:i/>
                <w:iCs/>
                <w:lang w:val="ro-RO"/>
              </w:rPr>
              <w:t xml:space="preserve">Articolul 131 </w:t>
            </w:r>
          </w:p>
          <w:p w14:paraId="5F32F590" w14:textId="5CE33A9D"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Instituții globale de importanță sistemică și alte instituții de importanță sistemică</w:t>
            </w:r>
          </w:p>
        </w:tc>
      </w:tr>
      <w:tr w:rsidR="00984B34" w:rsidRPr="009E686F" w14:paraId="435AE9B8"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583AED28" w14:textId="5749F44A"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(1) Statele membre desemnează o autoritate care să fie responsabilă cu identificarea, pe o bază consolidată, a (G-SII) și, pe  bază individuală, subconsolidată sau consolidată, după caz, a altor instituții de importanță sistemică (O-SII) care au fost autorizate în jurisdicția lor.    Autoritatea </w:t>
            </w:r>
            <w:r w:rsidRPr="009E686F">
              <w:rPr>
                <w:rFonts w:ascii="Times New Roman" w:hAnsi="Times New Roman" w:cs="Times New Roman"/>
                <w:lang w:val="ro-RO"/>
              </w:rPr>
              <w:lastRenderedPageBreak/>
              <w:t xml:space="preserve">respectivă este autoritatea competentă sau autoritatea desemnată.    Statele membre pot desemna mai multe autorități. </w:t>
            </w:r>
          </w:p>
        </w:tc>
        <w:tc>
          <w:tcPr>
            <w:tcW w:w="1928" w:type="pct"/>
            <w:gridSpan w:val="3"/>
            <w:tcBorders>
              <w:top w:val="single" w:sz="4" w:space="0" w:color="auto"/>
              <w:left w:val="single" w:sz="4" w:space="0" w:color="auto"/>
              <w:bottom w:val="single" w:sz="4" w:space="0" w:color="auto"/>
              <w:right w:val="single" w:sz="4" w:space="0" w:color="auto"/>
            </w:tcBorders>
          </w:tcPr>
          <w:p w14:paraId="60BE9AB3" w14:textId="77777777" w:rsidR="00984B34" w:rsidRPr="009E686F" w:rsidRDefault="00984B34" w:rsidP="00984B34">
            <w:pPr>
              <w:pStyle w:val="CM1"/>
              <w:jc w:val="both"/>
              <w:rPr>
                <w:rFonts w:ascii="Times New Roman" w:hAnsi="Times New Roman"/>
                <w:sz w:val="22"/>
                <w:szCs w:val="22"/>
                <w:lang w:val="ro-MD"/>
              </w:rPr>
            </w:pPr>
            <w:r w:rsidRPr="009E686F">
              <w:rPr>
                <w:rFonts w:ascii="Times New Roman" w:hAnsi="Times New Roman"/>
                <w:sz w:val="22"/>
                <w:szCs w:val="22"/>
                <w:lang w:val="ro-MD"/>
              </w:rPr>
              <w:lastRenderedPageBreak/>
              <w:t>Articolul 3. Alin (1) pct. 64</w:t>
            </w:r>
          </w:p>
          <w:p w14:paraId="0B41B75F" w14:textId="77777777" w:rsidR="00984B34" w:rsidRPr="009E686F" w:rsidRDefault="00984B34" w:rsidP="00984B34">
            <w:pPr>
              <w:pStyle w:val="CM1"/>
              <w:jc w:val="both"/>
              <w:rPr>
                <w:rFonts w:ascii="Times New Roman" w:hAnsi="Times New Roman"/>
                <w:sz w:val="22"/>
                <w:szCs w:val="22"/>
                <w:lang w:val="ro-MD"/>
              </w:rPr>
            </w:pPr>
            <w:r w:rsidRPr="009E686F">
              <w:rPr>
                <w:rFonts w:ascii="Times New Roman" w:hAnsi="Times New Roman"/>
                <w:sz w:val="22"/>
                <w:szCs w:val="22"/>
                <w:lang w:val="ro-MD"/>
              </w:rPr>
              <w:t>64. societate de importanță sistemică globală (G-SII) – oricare dintre următoarele societăți, identificată de Banca Națională a Moldovei, pe bază consolidată,  conform metodologiei ca fiind G-SII:</w:t>
            </w:r>
          </w:p>
          <w:p w14:paraId="73247207" w14:textId="77777777" w:rsidR="00984B34" w:rsidRPr="009E686F" w:rsidRDefault="00984B34" w:rsidP="00984B34">
            <w:pPr>
              <w:pStyle w:val="CM1"/>
              <w:jc w:val="both"/>
              <w:rPr>
                <w:rFonts w:ascii="Times New Roman" w:hAnsi="Times New Roman"/>
                <w:sz w:val="22"/>
                <w:szCs w:val="22"/>
                <w:lang w:val="ro-MD"/>
              </w:rPr>
            </w:pPr>
            <w:r w:rsidRPr="009E686F">
              <w:rPr>
                <w:rFonts w:ascii="Times New Roman" w:hAnsi="Times New Roman"/>
                <w:sz w:val="22"/>
                <w:szCs w:val="22"/>
                <w:lang w:val="ro-MD"/>
              </w:rPr>
              <w:lastRenderedPageBreak/>
              <w:t>a)</w:t>
            </w:r>
            <w:r w:rsidRPr="009E686F">
              <w:rPr>
                <w:rFonts w:ascii="Times New Roman" w:hAnsi="Times New Roman"/>
                <w:sz w:val="22"/>
                <w:szCs w:val="22"/>
                <w:lang w:val="ro-MD"/>
              </w:rPr>
              <w:tab/>
              <w:t xml:space="preserve">un grup condus de o </w:t>
            </w:r>
            <w:r w:rsidRPr="009E686F">
              <w:rPr>
                <w:rFonts w:ascii="Times New Roman" w:hAnsi="Times New Roman"/>
                <w:i/>
                <w:iCs/>
                <w:sz w:val="22"/>
                <w:szCs w:val="22"/>
                <w:lang w:val="ro-MD"/>
              </w:rPr>
              <w:t>instituție de credit</w:t>
            </w:r>
            <w:r w:rsidRPr="009E686F">
              <w:rPr>
                <w:rFonts w:ascii="Times New Roman" w:hAnsi="Times New Roman"/>
                <w:sz w:val="22"/>
                <w:szCs w:val="22"/>
                <w:lang w:val="ro-MD"/>
              </w:rPr>
              <w:t>-mamă din UE, de o societate financiară holding-mamă din UE sau de o societate financiară holding mixtă-mamă din UE; sau</w:t>
            </w:r>
          </w:p>
          <w:p w14:paraId="5837716D" w14:textId="77777777" w:rsidR="00984B34" w:rsidRPr="009E686F" w:rsidRDefault="00984B34" w:rsidP="00984B34">
            <w:pPr>
              <w:pStyle w:val="CM1"/>
              <w:jc w:val="both"/>
              <w:rPr>
                <w:rFonts w:ascii="Times New Roman" w:hAnsi="Times New Roman"/>
                <w:sz w:val="22"/>
                <w:szCs w:val="22"/>
                <w:lang w:val="ro-MD"/>
              </w:rPr>
            </w:pPr>
            <w:r w:rsidRPr="009E686F">
              <w:rPr>
                <w:rFonts w:ascii="Times New Roman" w:hAnsi="Times New Roman"/>
                <w:sz w:val="22"/>
                <w:szCs w:val="22"/>
                <w:lang w:val="ro-MD"/>
              </w:rPr>
              <w:t>b)</w:t>
            </w:r>
            <w:r w:rsidRPr="009E686F">
              <w:rPr>
                <w:rFonts w:ascii="Times New Roman" w:hAnsi="Times New Roman"/>
                <w:sz w:val="22"/>
                <w:szCs w:val="22"/>
                <w:lang w:val="ro-MD"/>
              </w:rPr>
              <w:tab/>
              <w:t xml:space="preserve">o </w:t>
            </w:r>
            <w:r w:rsidRPr="009E686F">
              <w:rPr>
                <w:rFonts w:ascii="Times New Roman" w:hAnsi="Times New Roman"/>
                <w:i/>
                <w:iCs/>
                <w:sz w:val="22"/>
                <w:szCs w:val="22"/>
                <w:lang w:val="ro-MD"/>
              </w:rPr>
              <w:t>instituție de credit</w:t>
            </w:r>
            <w:r w:rsidRPr="009E686F">
              <w:rPr>
                <w:rFonts w:ascii="Times New Roman" w:hAnsi="Times New Roman"/>
                <w:sz w:val="22"/>
                <w:szCs w:val="22"/>
                <w:lang w:val="ro-MD"/>
              </w:rPr>
              <w:t xml:space="preserve"> care nu este o filială a unei </w:t>
            </w:r>
            <w:r w:rsidRPr="009E686F">
              <w:rPr>
                <w:rFonts w:ascii="Times New Roman" w:hAnsi="Times New Roman"/>
                <w:i/>
                <w:iCs/>
                <w:sz w:val="22"/>
                <w:szCs w:val="22"/>
                <w:lang w:val="ro-MD"/>
              </w:rPr>
              <w:t>instituții de credit</w:t>
            </w:r>
            <w:r w:rsidRPr="009E686F">
              <w:rPr>
                <w:rFonts w:ascii="Times New Roman" w:hAnsi="Times New Roman"/>
                <w:sz w:val="22"/>
                <w:szCs w:val="22"/>
                <w:lang w:val="ro-MD"/>
              </w:rPr>
              <w:t>-mamă din UE, a unei societăţi financiare holding-mamă din UE sau a unei societăţi financiare holding mixte-mamă din UE.</w:t>
            </w:r>
          </w:p>
          <w:p w14:paraId="6207383D" w14:textId="77777777" w:rsidR="00984B34" w:rsidRPr="009E686F" w:rsidRDefault="00984B34" w:rsidP="00984B34">
            <w:pPr>
              <w:pStyle w:val="CM1"/>
              <w:jc w:val="both"/>
              <w:rPr>
                <w:rFonts w:ascii="Times New Roman" w:hAnsi="Times New Roman"/>
                <w:b/>
                <w:sz w:val="22"/>
                <w:szCs w:val="22"/>
                <w:lang w:val="ro-RO"/>
              </w:rPr>
            </w:pPr>
            <w:r w:rsidRPr="009E686F">
              <w:rPr>
                <w:rFonts w:ascii="Times New Roman" w:hAnsi="Times New Roman"/>
                <w:b/>
                <w:sz w:val="22"/>
                <w:szCs w:val="22"/>
                <w:lang w:val="ro-RO"/>
              </w:rPr>
              <w:t>Pct.56 din Regulamentul cu privire la amortizoarele de capital ale băncilor, aprobat prin HCE nr.110/2018</w:t>
            </w:r>
          </w:p>
          <w:p w14:paraId="67A908BF" w14:textId="4A056D9A" w:rsidR="00984B34" w:rsidRPr="009E686F" w:rsidRDefault="00984B34" w:rsidP="00984B34">
            <w:pPr>
              <w:pStyle w:val="CM1"/>
              <w:jc w:val="both"/>
              <w:rPr>
                <w:rFonts w:ascii="Times New Roman" w:hAnsi="Times New Roman"/>
                <w:b/>
                <w:bCs/>
                <w:sz w:val="22"/>
                <w:szCs w:val="22"/>
                <w:lang w:val="ro-MD"/>
              </w:rPr>
            </w:pPr>
            <w:r w:rsidRPr="009E686F">
              <w:rPr>
                <w:rFonts w:ascii="Times New Roman" w:hAnsi="Times New Roman"/>
                <w:b/>
                <w:bCs/>
                <w:sz w:val="22"/>
                <w:szCs w:val="22"/>
                <w:lang w:val="ro-MD"/>
              </w:rPr>
              <w:t>56.</w:t>
            </w:r>
            <w:r w:rsidRPr="009E686F">
              <w:rPr>
                <w:rFonts w:ascii="Times New Roman" w:hAnsi="Times New Roman"/>
                <w:sz w:val="22"/>
                <w:szCs w:val="22"/>
                <w:lang w:val="ro-MD"/>
              </w:rPr>
              <w:t xml:space="preserve"> Banca Națională a Moldovei identifică băncile care sunt societăți de tip O-SII din Republica Moldova și stabilește lista acestor bănci, care este revizuită cel puțin anual. Lista actualizată a băncilor identificate drept societăți de tip O-SII din Republica Moldova, se aprobă printr-o hotărâre a Comitetului executiv al Băncii Naționale a Moldovei care se publică în Monitorul Oficial al Republicii Moldova. Aprobarea listei băncilor de tip O-SII din Republica Moldova poate fi efectuată prin hotărârea indicată la punctul 61.</w:t>
            </w:r>
          </w:p>
        </w:tc>
        <w:tc>
          <w:tcPr>
            <w:tcW w:w="470" w:type="pct"/>
            <w:tcBorders>
              <w:top w:val="single" w:sz="4" w:space="0" w:color="auto"/>
              <w:left w:val="single" w:sz="4" w:space="0" w:color="auto"/>
              <w:bottom w:val="single" w:sz="4" w:space="0" w:color="auto"/>
              <w:right w:val="single" w:sz="4" w:space="0" w:color="auto"/>
            </w:tcBorders>
          </w:tcPr>
          <w:p w14:paraId="4CED9F52" w14:textId="77777777"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lastRenderedPageBreak/>
              <w:t xml:space="preserve">Parțial Compatibil </w:t>
            </w:r>
          </w:p>
          <w:p w14:paraId="5AC172D5" w14:textId="77777777"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4A5F415A" w14:textId="4344C08C"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 xml:space="preserve">Normele privind G-SII se vor regăsi în proiectul de modificare a Regulamentului cu privire la amortizoarele </w:t>
            </w:r>
            <w:r w:rsidRPr="009E686F">
              <w:rPr>
                <w:rFonts w:ascii="Times New Roman" w:hAnsi="Times New Roman" w:cs="Times New Roman"/>
                <w:lang w:val="ro-RO"/>
              </w:rPr>
              <w:lastRenderedPageBreak/>
              <w:t>de capital ale băncilor, aprobat prin HCE nr. 110/2018</w:t>
            </w:r>
            <w:r w:rsidR="00C86601" w:rsidRPr="009E686F">
              <w:rPr>
                <w:rFonts w:ascii="Times New Roman" w:hAnsi="Times New Roman" w:cs="Times New Roman"/>
                <w:lang w:val="ro-RO"/>
              </w:rPr>
              <w:t xml:space="preserve"> (</w:t>
            </w:r>
            <w:r w:rsidR="00C86601" w:rsidRPr="009E686F">
              <w:rPr>
                <w:rFonts w:ascii="Times New Roman" w:eastAsia="Times New Roman" w:hAnsi="Times New Roman" w:cs="Times New Roman"/>
                <w:bCs/>
                <w:lang w:val="ro-RO" w:eastAsia="ru-RU"/>
              </w:rPr>
              <w:t>acțiunea normativă nr. 3 din Anexa A din PNA 2025-2029 aferentă Capitolului 9 “Servicii financiare” în legătură cu transpunerea Directivei 2013/36/UE).</w:t>
            </w:r>
          </w:p>
        </w:tc>
      </w:tr>
      <w:tr w:rsidR="00984B34" w:rsidRPr="009E686F" w14:paraId="2D0E0B98"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1D64B2B6" w14:textId="7CC47C43"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lastRenderedPageBreak/>
              <w:t>O G-SII este oricare dintre umrătoarele:</w:t>
            </w:r>
          </w:p>
          <w:p w14:paraId="78BAC279" w14:textId="67CDA43E"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(a) un grup condus de o instituție-mamă din UE, de o societate financiară holding-mamă din UE sau de o societate financiară holding mixtă-mamă din UE ; sau</w:t>
            </w:r>
          </w:p>
          <w:p w14:paraId="78F1069C" w14:textId="69380BBD"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(b) o instituție care nu este o filială a unei instituții-mamă din UE, a unei societăți financiare holding-mamă din UE sau a unei societăți financiare holding mixte-mamă din UE. </w:t>
            </w:r>
          </w:p>
          <w:p w14:paraId="7A2E93D6" w14:textId="5722BEE1" w:rsidR="00984B34" w:rsidRPr="009E686F" w:rsidRDefault="00984B34" w:rsidP="00984B34">
            <w:pPr>
              <w:spacing w:after="0"/>
              <w:jc w:val="both"/>
              <w:rPr>
                <w:rFonts w:ascii="Times New Roman" w:hAnsi="Times New Roman" w:cs="Times New Roman"/>
                <w:lang w:val="ro-RO"/>
              </w:rPr>
            </w:pPr>
          </w:p>
        </w:tc>
        <w:tc>
          <w:tcPr>
            <w:tcW w:w="1928" w:type="pct"/>
            <w:gridSpan w:val="3"/>
            <w:tcBorders>
              <w:top w:val="single" w:sz="4" w:space="0" w:color="auto"/>
              <w:left w:val="single" w:sz="4" w:space="0" w:color="auto"/>
              <w:bottom w:val="single" w:sz="4" w:space="0" w:color="auto"/>
              <w:right w:val="single" w:sz="4" w:space="0" w:color="auto"/>
            </w:tcBorders>
          </w:tcPr>
          <w:p w14:paraId="5F3947FD" w14:textId="71F2314C" w:rsidR="00984B34" w:rsidRPr="009E686F" w:rsidRDefault="00984B34" w:rsidP="00984B34">
            <w:pPr>
              <w:pStyle w:val="CM1"/>
              <w:jc w:val="both"/>
              <w:rPr>
                <w:rFonts w:ascii="Times New Roman" w:hAnsi="Times New Roman"/>
                <w:b/>
                <w:bCs/>
                <w:sz w:val="22"/>
                <w:szCs w:val="22"/>
                <w:lang w:val="ro-MD"/>
              </w:rPr>
            </w:pPr>
            <w:r w:rsidRPr="009E686F">
              <w:rPr>
                <w:rFonts w:ascii="Times New Roman" w:hAnsi="Times New Roman"/>
                <w:b/>
                <w:bCs/>
                <w:sz w:val="22"/>
                <w:szCs w:val="22"/>
                <w:lang w:val="ro-MD"/>
              </w:rPr>
              <w:t xml:space="preserve">Articolul 3. Definiții </w:t>
            </w:r>
          </w:p>
          <w:p w14:paraId="4756D06F" w14:textId="77777777" w:rsidR="00984B34" w:rsidRPr="009E686F" w:rsidRDefault="00984B34" w:rsidP="00984B34">
            <w:pPr>
              <w:autoSpaceDE w:val="0"/>
              <w:autoSpaceDN w:val="0"/>
              <w:adjustRightInd w:val="0"/>
              <w:spacing w:after="0" w:line="240" w:lineRule="auto"/>
              <w:jc w:val="both"/>
              <w:rPr>
                <w:rFonts w:ascii="Times New Roman" w:hAnsi="Times New Roman" w:cs="Times New Roman"/>
                <w:i/>
                <w:iCs/>
                <w:lang w:val="ro-MD"/>
              </w:rPr>
            </w:pPr>
            <w:r w:rsidRPr="009E686F">
              <w:rPr>
                <w:rFonts w:ascii="Times New Roman" w:hAnsi="Times New Roman" w:cs="Times New Roman"/>
                <w:i/>
                <w:iCs/>
                <w:lang w:val="ro-MD"/>
              </w:rPr>
              <w:t>instituție globală de importanță sistemică G-SII – oricare dintre următoarele societăți, identificată de Banca Națională a Moldovei, pe bază consolidată,  conform metodologiei ca fiind G-SII:</w:t>
            </w:r>
          </w:p>
          <w:p w14:paraId="29B9E68F" w14:textId="58D3E5BC" w:rsidR="00984B34" w:rsidRPr="009E686F" w:rsidRDefault="00984B34" w:rsidP="00984B34">
            <w:pPr>
              <w:autoSpaceDE w:val="0"/>
              <w:autoSpaceDN w:val="0"/>
              <w:adjustRightInd w:val="0"/>
              <w:spacing w:after="0" w:line="240" w:lineRule="auto"/>
              <w:jc w:val="both"/>
              <w:rPr>
                <w:rFonts w:ascii="Times New Roman" w:hAnsi="Times New Roman" w:cs="Times New Roman"/>
                <w:i/>
                <w:iCs/>
                <w:lang w:val="ro-MD"/>
              </w:rPr>
            </w:pPr>
            <w:r w:rsidRPr="009E686F">
              <w:rPr>
                <w:rFonts w:ascii="Times New Roman" w:hAnsi="Times New Roman" w:cs="Times New Roman"/>
                <w:i/>
                <w:iCs/>
                <w:lang w:val="ro-MD"/>
              </w:rPr>
              <w:t xml:space="preserve">       a) un grup condus de o instituție de credit-mamă   din UE, de o societate financiară holding-mamă din UE sau de o societate financiară holding mixtă-mamă din UE; sau</w:t>
            </w:r>
          </w:p>
          <w:p w14:paraId="2A6ADF70" w14:textId="37713EB0" w:rsidR="00984B34" w:rsidRPr="009E686F" w:rsidRDefault="00984B34" w:rsidP="00984B34">
            <w:pPr>
              <w:autoSpaceDE w:val="0"/>
              <w:autoSpaceDN w:val="0"/>
              <w:adjustRightInd w:val="0"/>
              <w:spacing w:after="0" w:line="240" w:lineRule="auto"/>
              <w:jc w:val="both"/>
              <w:rPr>
                <w:rFonts w:ascii="Times New Roman" w:hAnsi="Times New Roman" w:cs="Times New Roman"/>
                <w:i/>
                <w:iCs/>
                <w:lang w:val="ro-MD"/>
              </w:rPr>
            </w:pPr>
            <w:r w:rsidRPr="009E686F">
              <w:rPr>
                <w:rFonts w:ascii="Times New Roman" w:hAnsi="Times New Roman" w:cs="Times New Roman"/>
                <w:i/>
                <w:iCs/>
                <w:lang w:val="ro-MD"/>
              </w:rPr>
              <w:t xml:space="preserve">       b) o instituţie de credit care nu este o filială a unei instituţii de credit-mamă din UE, a unei societăţi financiare holding-mamă din UE sau a unei societăţi financiare holding mixte-mamă din UE.</w:t>
            </w:r>
          </w:p>
        </w:tc>
        <w:tc>
          <w:tcPr>
            <w:tcW w:w="470" w:type="pct"/>
            <w:tcBorders>
              <w:top w:val="single" w:sz="4" w:space="0" w:color="auto"/>
              <w:left w:val="single" w:sz="4" w:space="0" w:color="auto"/>
              <w:bottom w:val="single" w:sz="4" w:space="0" w:color="auto"/>
              <w:right w:val="single" w:sz="4" w:space="0" w:color="auto"/>
            </w:tcBorders>
          </w:tcPr>
          <w:p w14:paraId="51128473" w14:textId="5CC67D3C"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p w14:paraId="610A8CB9" w14:textId="41861CFA"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6CC58885" w14:textId="628349AF" w:rsidR="00984B34" w:rsidRPr="009E686F" w:rsidRDefault="00984B34" w:rsidP="00984B34">
            <w:pPr>
              <w:jc w:val="both"/>
              <w:rPr>
                <w:rFonts w:ascii="Times New Roman" w:hAnsi="Times New Roman" w:cs="Times New Roman"/>
                <w:lang w:val="ro-RO"/>
              </w:rPr>
            </w:pPr>
          </w:p>
        </w:tc>
      </w:tr>
      <w:tr w:rsidR="00984B34" w:rsidRPr="009E686F" w14:paraId="17E1E3EC"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7994B09D" w14:textId="52BE36DF"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O-SII poate fi fie o instituție, fie un grup condus de o instituție-mamă din UE, de o societate financiară holding-mamă din UE, de o societate financiară holding mixtă-mamă din UE, de o instituție-mamă dintr-un stat membru, </w:t>
            </w:r>
            <w:r w:rsidRPr="009E686F">
              <w:rPr>
                <w:rFonts w:ascii="Times New Roman" w:hAnsi="Times New Roman" w:cs="Times New Roman"/>
                <w:lang w:val="ro-RO"/>
              </w:rPr>
              <w:lastRenderedPageBreak/>
              <w:t>de o societate financiară holding-mamă dintr-un stat membru sau de o societate financiară holding mixtă-mamă dintr-un stat membru.</w:t>
            </w:r>
          </w:p>
        </w:tc>
        <w:tc>
          <w:tcPr>
            <w:tcW w:w="1928" w:type="pct"/>
            <w:gridSpan w:val="3"/>
            <w:tcBorders>
              <w:top w:val="single" w:sz="4" w:space="0" w:color="auto"/>
              <w:left w:val="single" w:sz="4" w:space="0" w:color="auto"/>
              <w:bottom w:val="single" w:sz="4" w:space="0" w:color="auto"/>
              <w:right w:val="single" w:sz="4" w:space="0" w:color="auto"/>
            </w:tcBorders>
          </w:tcPr>
          <w:p w14:paraId="6E32FAFE" w14:textId="18787E24"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i/>
                <w:iCs/>
                <w:lang w:val="ro-MD"/>
              </w:rPr>
              <w:lastRenderedPageBreak/>
              <w:t>instituţie de importanţă sistemică O-SII –  instituția de credit, fie un grup condus de o instituţie-mamă din UE, de o societate financiară holding-mamă din UE, de o societate financiară holding mixtă-mamă din UE, de o instituţie</w:t>
            </w:r>
            <w:r w:rsidR="00CD2DD7" w:rsidRPr="009E686F">
              <w:rPr>
                <w:rFonts w:ascii="Times New Roman" w:hAnsi="Times New Roman" w:cs="Times New Roman"/>
                <w:i/>
                <w:iCs/>
                <w:lang w:val="ro-MD"/>
              </w:rPr>
              <w:t xml:space="preserve"> de credit</w:t>
            </w:r>
            <w:r w:rsidRPr="009E686F">
              <w:rPr>
                <w:rFonts w:ascii="Times New Roman" w:hAnsi="Times New Roman" w:cs="Times New Roman"/>
                <w:i/>
                <w:iCs/>
                <w:lang w:val="ro-MD"/>
              </w:rPr>
              <w:t xml:space="preserve">-mamă </w:t>
            </w:r>
            <w:r w:rsidRPr="009E686F">
              <w:rPr>
                <w:rFonts w:ascii="Times New Roman" w:hAnsi="Times New Roman" w:cs="Times New Roman"/>
                <w:i/>
                <w:iCs/>
                <w:lang w:val="ro-MD"/>
              </w:rPr>
              <w:lastRenderedPageBreak/>
              <w:t>dintr-un stat membru, de o societate financiară holding-mamă dintr-un stat membru sau de o societate financiară holding mixtă-mamă dintr-un stat membru identificată de Banca Națională a Moldovei, pe bază individuală, subconsolidată sau consolidată, după caz, conform metodologiei ca fiind O-SII .</w:t>
            </w:r>
          </w:p>
        </w:tc>
        <w:tc>
          <w:tcPr>
            <w:tcW w:w="470" w:type="pct"/>
            <w:tcBorders>
              <w:top w:val="single" w:sz="4" w:space="0" w:color="auto"/>
              <w:left w:val="single" w:sz="4" w:space="0" w:color="auto"/>
              <w:right w:val="single" w:sz="4" w:space="0" w:color="auto"/>
            </w:tcBorders>
          </w:tcPr>
          <w:p w14:paraId="25041633" w14:textId="77777777"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lastRenderedPageBreak/>
              <w:t>Compatibil</w:t>
            </w:r>
          </w:p>
          <w:p w14:paraId="34D3D12B" w14:textId="4A4DC825"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3D0C31DE" w14:textId="77777777" w:rsidR="00984B34" w:rsidRPr="009E686F" w:rsidRDefault="00984B34" w:rsidP="00984B34">
            <w:pPr>
              <w:jc w:val="both"/>
              <w:rPr>
                <w:rFonts w:ascii="Times New Roman" w:hAnsi="Times New Roman" w:cs="Times New Roman"/>
                <w:lang w:val="ro-RO"/>
              </w:rPr>
            </w:pPr>
          </w:p>
        </w:tc>
      </w:tr>
      <w:tr w:rsidR="00984B34" w:rsidRPr="009E686F" w14:paraId="5284014A" w14:textId="1F0E7654" w:rsidTr="00774F3E">
        <w:tc>
          <w:tcPr>
            <w:tcW w:w="1796" w:type="pct"/>
            <w:gridSpan w:val="2"/>
            <w:tcBorders>
              <w:top w:val="single" w:sz="4" w:space="0" w:color="auto"/>
              <w:left w:val="single" w:sz="4" w:space="0" w:color="auto"/>
              <w:bottom w:val="single" w:sz="4" w:space="0" w:color="auto"/>
              <w:right w:val="single" w:sz="4" w:space="0" w:color="auto"/>
            </w:tcBorders>
          </w:tcPr>
          <w:p w14:paraId="7DF15E59" w14:textId="2A9F5106"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(2) Metodologia de identificare a G-SII se bazează pe următoarele categorii: </w:t>
            </w:r>
          </w:p>
          <w:p w14:paraId="2F394B19" w14:textId="4402D274" w:rsidR="00984B34" w:rsidRPr="009E686F" w:rsidRDefault="00984B34" w:rsidP="00984B34">
            <w:pPr>
              <w:pStyle w:val="af4"/>
              <w:numPr>
                <w:ilvl w:val="0"/>
                <w:numId w:val="15"/>
              </w:numPr>
              <w:spacing w:after="0"/>
              <w:ind w:left="267" w:hanging="267"/>
              <w:jc w:val="both"/>
              <w:rPr>
                <w:rFonts w:ascii="Times New Roman" w:hAnsi="Times New Roman" w:cs="Times New Roman"/>
              </w:rPr>
            </w:pPr>
            <w:r w:rsidRPr="009E686F">
              <w:rPr>
                <w:rFonts w:ascii="Times New Roman" w:hAnsi="Times New Roman" w:cs="Times New Roman"/>
              </w:rPr>
              <w:t>dimensiunea grupului;</w:t>
            </w:r>
          </w:p>
          <w:p w14:paraId="08FAD1D8" w14:textId="77777777" w:rsidR="00984B34" w:rsidRPr="009E686F" w:rsidRDefault="00984B34" w:rsidP="00984B34">
            <w:pPr>
              <w:pStyle w:val="af4"/>
              <w:numPr>
                <w:ilvl w:val="0"/>
                <w:numId w:val="15"/>
              </w:numPr>
              <w:spacing w:after="0"/>
              <w:ind w:left="267" w:hanging="267"/>
              <w:jc w:val="both"/>
              <w:rPr>
                <w:rFonts w:ascii="Times New Roman" w:hAnsi="Times New Roman" w:cs="Times New Roman"/>
              </w:rPr>
            </w:pPr>
            <w:r w:rsidRPr="009E686F">
              <w:rPr>
                <w:rFonts w:ascii="Times New Roman" w:hAnsi="Times New Roman" w:cs="Times New Roman"/>
              </w:rPr>
              <w:t>interconectarea grupului cu sistemul financiar;</w:t>
            </w:r>
          </w:p>
          <w:p w14:paraId="539F0102" w14:textId="77777777" w:rsidR="00984B34" w:rsidRPr="009E686F" w:rsidRDefault="00984B34" w:rsidP="00984B34">
            <w:pPr>
              <w:pStyle w:val="af4"/>
              <w:numPr>
                <w:ilvl w:val="0"/>
                <w:numId w:val="15"/>
              </w:numPr>
              <w:spacing w:after="0"/>
              <w:ind w:left="267" w:hanging="267"/>
              <w:jc w:val="both"/>
              <w:rPr>
                <w:rFonts w:ascii="Times New Roman" w:hAnsi="Times New Roman" w:cs="Times New Roman"/>
              </w:rPr>
            </w:pPr>
            <w:r w:rsidRPr="009E686F">
              <w:rPr>
                <w:rFonts w:ascii="Times New Roman" w:hAnsi="Times New Roman" w:cs="Times New Roman"/>
              </w:rPr>
              <w:t>posibilitatea de substituire a serviciilor sau a infrastructurii financiare furnizate de grup;</w:t>
            </w:r>
          </w:p>
          <w:p w14:paraId="4F4A73A1" w14:textId="77777777" w:rsidR="00984B34" w:rsidRPr="009E686F" w:rsidRDefault="00984B34" w:rsidP="00984B34">
            <w:pPr>
              <w:pStyle w:val="af4"/>
              <w:numPr>
                <w:ilvl w:val="0"/>
                <w:numId w:val="15"/>
              </w:numPr>
              <w:spacing w:after="0"/>
              <w:ind w:left="267" w:hanging="267"/>
              <w:jc w:val="both"/>
              <w:rPr>
                <w:rFonts w:ascii="Times New Roman" w:hAnsi="Times New Roman" w:cs="Times New Roman"/>
              </w:rPr>
            </w:pPr>
            <w:r w:rsidRPr="009E686F">
              <w:rPr>
                <w:rFonts w:ascii="Times New Roman" w:hAnsi="Times New Roman" w:cs="Times New Roman"/>
              </w:rPr>
              <w:t>complexitatea grupului;</w:t>
            </w:r>
          </w:p>
          <w:p w14:paraId="1A87E498" w14:textId="77777777" w:rsidR="00984B34" w:rsidRPr="009E686F" w:rsidRDefault="00984B34" w:rsidP="00984B34">
            <w:pPr>
              <w:pStyle w:val="af4"/>
              <w:numPr>
                <w:ilvl w:val="0"/>
                <w:numId w:val="15"/>
              </w:numPr>
              <w:spacing w:after="0"/>
              <w:ind w:left="267" w:hanging="267"/>
              <w:jc w:val="both"/>
              <w:rPr>
                <w:rFonts w:ascii="Times New Roman" w:hAnsi="Times New Roman" w:cs="Times New Roman"/>
              </w:rPr>
            </w:pPr>
            <w:r w:rsidRPr="009E686F">
              <w:rPr>
                <w:rFonts w:ascii="Times New Roman" w:hAnsi="Times New Roman" w:cs="Times New Roman"/>
              </w:rPr>
              <w:t>activitatea transfrontalieră a grupului, inclusiv activitatea transfrontalieră între statele membre și între statele membre și o țară terță.</w:t>
            </w:r>
          </w:p>
          <w:p w14:paraId="096A43C8" w14:textId="22907291" w:rsidR="00984B34" w:rsidRPr="009E686F" w:rsidRDefault="00984B34" w:rsidP="00984B34">
            <w:pPr>
              <w:spacing w:after="0"/>
              <w:jc w:val="both"/>
              <w:rPr>
                <w:rFonts w:ascii="Times New Roman" w:hAnsi="Times New Roman" w:cs="Times New Roman"/>
                <w:lang w:val="it-CH"/>
              </w:rPr>
            </w:pPr>
            <w:r w:rsidRPr="009E686F">
              <w:rPr>
                <w:rFonts w:ascii="Times New Roman" w:hAnsi="Times New Roman" w:cs="Times New Roman"/>
                <w:lang w:val="it-CH"/>
              </w:rPr>
              <w:t xml:space="preserve"> Fiecare categorie primește o ponderare egală și constă în indicatori cuantificabili.</w:t>
            </w:r>
          </w:p>
        </w:tc>
        <w:tc>
          <w:tcPr>
            <w:tcW w:w="1928" w:type="pct"/>
            <w:gridSpan w:val="3"/>
            <w:tcBorders>
              <w:top w:val="single" w:sz="4" w:space="0" w:color="auto"/>
              <w:left w:val="single" w:sz="4" w:space="0" w:color="auto"/>
              <w:bottom w:val="single" w:sz="4" w:space="0" w:color="auto"/>
              <w:right w:val="single" w:sz="4" w:space="0" w:color="auto"/>
            </w:tcBorders>
          </w:tcPr>
          <w:p w14:paraId="21ACFBCC"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right w:val="single" w:sz="4" w:space="0" w:color="auto"/>
            </w:tcBorders>
          </w:tcPr>
          <w:p w14:paraId="60DFC732" w14:textId="4E8F16C5"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netranspuse</w:t>
            </w:r>
          </w:p>
          <w:p w14:paraId="04447D35" w14:textId="36988638"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51C707EE" w14:textId="6A18F619"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Se vor regăsi în proiectul de modificare a Regulamentului cu privire la amortizoarele de capital ale băncilor, aprobat prin HCE nr. 110/2018</w:t>
            </w:r>
            <w:r w:rsidR="00C86601" w:rsidRPr="009E686F">
              <w:rPr>
                <w:rFonts w:ascii="Times New Roman" w:hAnsi="Times New Roman" w:cs="Times New Roman"/>
                <w:lang w:val="ro-RO"/>
              </w:rPr>
              <w:t xml:space="preserve"> (</w:t>
            </w:r>
            <w:r w:rsidR="00C86601" w:rsidRPr="009E686F">
              <w:rPr>
                <w:rFonts w:ascii="Times New Roman" w:eastAsia="Times New Roman" w:hAnsi="Times New Roman" w:cs="Times New Roman"/>
                <w:bCs/>
                <w:lang w:val="it-CH" w:eastAsia="ru-RU"/>
              </w:rPr>
              <w:t>acțiunea normativă nr. 3 din Anexa A din PNA 2025-2029 aferentă Capitolului 9 “Servicii financiare” în legătură cu transpunerea Directivei 2013/36/UE).</w:t>
            </w:r>
          </w:p>
        </w:tc>
      </w:tr>
      <w:tr w:rsidR="00984B34" w:rsidRPr="009E686F" w14:paraId="17DF6171" w14:textId="18AA0C36" w:rsidTr="00774F3E">
        <w:trPr>
          <w:trHeight w:val="1243"/>
        </w:trPr>
        <w:tc>
          <w:tcPr>
            <w:tcW w:w="1796" w:type="pct"/>
            <w:gridSpan w:val="2"/>
            <w:tcBorders>
              <w:top w:val="single" w:sz="4" w:space="0" w:color="auto"/>
              <w:left w:val="single" w:sz="4" w:space="0" w:color="auto"/>
              <w:bottom w:val="single" w:sz="4" w:space="0" w:color="auto"/>
              <w:right w:val="single" w:sz="4" w:space="0" w:color="auto"/>
            </w:tcBorders>
          </w:tcPr>
          <w:p w14:paraId="5FE5BE9A"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Metodologia produce un scor global pentru fiecare entitate menționată la alineatul (1) evaluată, ceea ce permite G-SII să fie identificate și alocate într-o subcategorie, astfel cum se descrie la alineatul (9).</w:t>
            </w:r>
          </w:p>
        </w:tc>
        <w:tc>
          <w:tcPr>
            <w:tcW w:w="1928" w:type="pct"/>
            <w:gridSpan w:val="3"/>
            <w:tcBorders>
              <w:top w:val="single" w:sz="4" w:space="0" w:color="auto"/>
              <w:left w:val="single" w:sz="4" w:space="0" w:color="auto"/>
              <w:bottom w:val="single" w:sz="4" w:space="0" w:color="auto"/>
              <w:right w:val="single" w:sz="4" w:space="0" w:color="auto"/>
            </w:tcBorders>
          </w:tcPr>
          <w:p w14:paraId="7C15FDC0"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72B4A9B4" w14:textId="2DF664B9"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netranspuse</w:t>
            </w:r>
            <w:r w:rsidRPr="009E686F" w:rsidDel="006D5B42">
              <w:rPr>
                <w:rFonts w:ascii="Times New Roman" w:hAnsi="Times New Roman" w:cs="Times New Roman"/>
                <w:lang w:val="ro-RO"/>
              </w:rPr>
              <w:t xml:space="preserve"> </w:t>
            </w:r>
          </w:p>
        </w:tc>
        <w:tc>
          <w:tcPr>
            <w:tcW w:w="806" w:type="pct"/>
            <w:tcBorders>
              <w:top w:val="single" w:sz="4" w:space="0" w:color="auto"/>
              <w:left w:val="single" w:sz="4" w:space="0" w:color="auto"/>
              <w:bottom w:val="single" w:sz="4" w:space="0" w:color="auto"/>
              <w:right w:val="single" w:sz="4" w:space="0" w:color="auto"/>
            </w:tcBorders>
          </w:tcPr>
          <w:p w14:paraId="5ECE3896" w14:textId="429BB436"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Se vor regăsi în proiectul de modificare a Regulamentului cu privire la amortizoarele de capital ale băncilor, aprobat prin HCE nr. 110/2018</w:t>
            </w:r>
            <w:r w:rsidR="00C86601" w:rsidRPr="009E686F">
              <w:rPr>
                <w:rFonts w:ascii="Times New Roman" w:hAnsi="Times New Roman" w:cs="Times New Roman"/>
                <w:lang w:val="ro-RO"/>
              </w:rPr>
              <w:t xml:space="preserve"> (</w:t>
            </w:r>
            <w:r w:rsidR="00C86601" w:rsidRPr="009E686F">
              <w:rPr>
                <w:rFonts w:ascii="Times New Roman" w:eastAsia="Times New Roman" w:hAnsi="Times New Roman" w:cs="Times New Roman"/>
                <w:bCs/>
                <w:lang w:val="it-CH" w:eastAsia="ru-RU"/>
              </w:rPr>
              <w:t xml:space="preserve">acțiunea normativă nr. 3 din Anexa A din PNA 2025-2029 aferentă Capitolului 9 “Servicii financiare” în legătură cu </w:t>
            </w:r>
            <w:r w:rsidR="00C86601" w:rsidRPr="009E686F">
              <w:rPr>
                <w:rFonts w:ascii="Times New Roman" w:eastAsia="Times New Roman" w:hAnsi="Times New Roman" w:cs="Times New Roman"/>
                <w:bCs/>
                <w:lang w:val="it-CH" w:eastAsia="ru-RU"/>
              </w:rPr>
              <w:lastRenderedPageBreak/>
              <w:t>transpunerea Directivei 2013/36/UE).</w:t>
            </w:r>
          </w:p>
        </w:tc>
      </w:tr>
      <w:tr w:rsidR="00984B34" w:rsidRPr="009E686F" w14:paraId="09182D92" w14:textId="77777777" w:rsidTr="00774F3E">
        <w:trPr>
          <w:trHeight w:val="1243"/>
        </w:trPr>
        <w:tc>
          <w:tcPr>
            <w:tcW w:w="1796" w:type="pct"/>
            <w:gridSpan w:val="2"/>
            <w:tcBorders>
              <w:top w:val="single" w:sz="4" w:space="0" w:color="auto"/>
              <w:left w:val="single" w:sz="4" w:space="0" w:color="auto"/>
              <w:bottom w:val="single" w:sz="4" w:space="0" w:color="auto"/>
              <w:right w:val="single" w:sz="4" w:space="0" w:color="auto"/>
            </w:tcBorders>
          </w:tcPr>
          <w:p w14:paraId="0477FBFF" w14:textId="235F2FEF"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lastRenderedPageBreak/>
              <w:t>(2a) O metodologie suplimentară de identificare a G-SII se bazează pe următoarele categorii:</w:t>
            </w:r>
          </w:p>
          <w:p w14:paraId="66C97F77" w14:textId="3C0B06FF"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(a) categoriile menționate la alineatul (2) literele (a)-(d) de la prezentul articol;</w:t>
            </w:r>
          </w:p>
          <w:p w14:paraId="15BF3DEC" w14:textId="0B11C30D"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(b) activitatea transfrontalieră a grupului, excluzând activitățile grupului în toate statele membre participante, astfel cum sunt menționate la articolul 4 din Regulamentul (UE) nr. 806/2014 al Parlamentului European și al Consiliului.</w:t>
            </w:r>
          </w:p>
        </w:tc>
        <w:tc>
          <w:tcPr>
            <w:tcW w:w="1928" w:type="pct"/>
            <w:gridSpan w:val="3"/>
            <w:tcBorders>
              <w:top w:val="single" w:sz="4" w:space="0" w:color="auto"/>
              <w:left w:val="single" w:sz="4" w:space="0" w:color="auto"/>
              <w:bottom w:val="single" w:sz="4" w:space="0" w:color="auto"/>
              <w:right w:val="single" w:sz="4" w:space="0" w:color="auto"/>
            </w:tcBorders>
          </w:tcPr>
          <w:p w14:paraId="65213133"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456962BE" w14:textId="58BB7B25"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netranspuse</w:t>
            </w:r>
          </w:p>
        </w:tc>
        <w:tc>
          <w:tcPr>
            <w:tcW w:w="806" w:type="pct"/>
            <w:tcBorders>
              <w:top w:val="single" w:sz="4" w:space="0" w:color="auto"/>
              <w:left w:val="single" w:sz="4" w:space="0" w:color="auto"/>
              <w:bottom w:val="single" w:sz="4" w:space="0" w:color="auto"/>
              <w:right w:val="single" w:sz="4" w:space="0" w:color="auto"/>
            </w:tcBorders>
          </w:tcPr>
          <w:p w14:paraId="76FDFE78" w14:textId="12D29AC1"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Se vor regăsi în proiectul de modificare a Regulamentului cu privire la amortizoarele de capital ale băncilor, aprobat prin HCE nr. 110/2018</w:t>
            </w:r>
            <w:r w:rsidR="00C86601" w:rsidRPr="009E686F">
              <w:rPr>
                <w:rFonts w:ascii="Times New Roman" w:hAnsi="Times New Roman" w:cs="Times New Roman"/>
                <w:lang w:val="ro-RO"/>
              </w:rPr>
              <w:t xml:space="preserve"> (</w:t>
            </w:r>
            <w:r w:rsidR="00C86601" w:rsidRPr="009E686F">
              <w:rPr>
                <w:rFonts w:ascii="Times New Roman" w:eastAsia="Times New Roman" w:hAnsi="Times New Roman" w:cs="Times New Roman"/>
                <w:bCs/>
                <w:lang w:val="it-CH" w:eastAsia="ru-RU"/>
              </w:rPr>
              <w:t>acțiunea normativă nr. 3 din Anexa A din PNA 2025-2029 aferentă Capitolului 9 “Servicii financiare” în legătură cu transpunerea Directivei 2013/36/UE).</w:t>
            </w:r>
          </w:p>
        </w:tc>
      </w:tr>
      <w:tr w:rsidR="00984B34" w:rsidRPr="009E686F" w14:paraId="44C71C55" w14:textId="77777777" w:rsidTr="00C86601">
        <w:trPr>
          <w:trHeight w:val="659"/>
        </w:trPr>
        <w:tc>
          <w:tcPr>
            <w:tcW w:w="1796" w:type="pct"/>
            <w:gridSpan w:val="2"/>
            <w:tcBorders>
              <w:top w:val="single" w:sz="4" w:space="0" w:color="auto"/>
              <w:left w:val="single" w:sz="4" w:space="0" w:color="auto"/>
              <w:bottom w:val="single" w:sz="4" w:space="0" w:color="auto"/>
              <w:right w:val="single" w:sz="4" w:space="0" w:color="auto"/>
            </w:tcBorders>
          </w:tcPr>
          <w:p w14:paraId="710ED0C5" w14:textId="7BFD005A"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Fiecare categorie primește o ponderare egală și constă în indicatori cuantificabili. Pentru categoriile menționate la primul paragraf litera (a) de la prezentul alineat, indicatorii sunt aceiași ca și indicatorii corespunzători stabiliți în temeiul alineatului (2).</w:t>
            </w:r>
          </w:p>
        </w:tc>
        <w:tc>
          <w:tcPr>
            <w:tcW w:w="1928" w:type="pct"/>
            <w:gridSpan w:val="3"/>
            <w:tcBorders>
              <w:top w:val="single" w:sz="4" w:space="0" w:color="auto"/>
              <w:left w:val="single" w:sz="4" w:space="0" w:color="auto"/>
              <w:bottom w:val="single" w:sz="4" w:space="0" w:color="auto"/>
              <w:right w:val="single" w:sz="4" w:space="0" w:color="auto"/>
            </w:tcBorders>
          </w:tcPr>
          <w:p w14:paraId="2D0A9E36"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0B643837" w14:textId="2B700D77"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netranspuse</w:t>
            </w:r>
          </w:p>
        </w:tc>
        <w:tc>
          <w:tcPr>
            <w:tcW w:w="806" w:type="pct"/>
            <w:tcBorders>
              <w:top w:val="single" w:sz="4" w:space="0" w:color="auto"/>
              <w:left w:val="single" w:sz="4" w:space="0" w:color="auto"/>
              <w:bottom w:val="single" w:sz="4" w:space="0" w:color="auto"/>
              <w:right w:val="single" w:sz="4" w:space="0" w:color="auto"/>
            </w:tcBorders>
          </w:tcPr>
          <w:p w14:paraId="1ECD4B1B" w14:textId="51C7A0B3"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Se vor regăsi în proiectul de modificare a Regulamentului cu privire la amortizoarele de capital ale băncilor, aprobat prin HCE nr. 110/2018</w:t>
            </w:r>
            <w:r w:rsidR="00C86601" w:rsidRPr="009E686F">
              <w:rPr>
                <w:rFonts w:ascii="Times New Roman" w:hAnsi="Times New Roman" w:cs="Times New Roman"/>
                <w:lang w:val="ro-RO"/>
              </w:rPr>
              <w:t xml:space="preserve"> (</w:t>
            </w:r>
            <w:r w:rsidR="00C86601" w:rsidRPr="009E686F">
              <w:rPr>
                <w:rFonts w:ascii="Times New Roman" w:eastAsia="Times New Roman" w:hAnsi="Times New Roman" w:cs="Times New Roman"/>
                <w:bCs/>
                <w:lang w:val="it-CH" w:eastAsia="ru-RU"/>
              </w:rPr>
              <w:t xml:space="preserve">acțiunea normativă nr. 3 din Anexa A din PNA 2025-2029 aferentă Capitolului 9 “Servicii financiare” în legătură cu </w:t>
            </w:r>
            <w:r w:rsidR="00C86601" w:rsidRPr="009E686F">
              <w:rPr>
                <w:rFonts w:ascii="Times New Roman" w:eastAsia="Times New Roman" w:hAnsi="Times New Roman" w:cs="Times New Roman"/>
                <w:bCs/>
                <w:lang w:val="it-CH" w:eastAsia="ru-RU"/>
              </w:rPr>
              <w:lastRenderedPageBreak/>
              <w:t>transpunerea Directivei 2013/36/UE).</w:t>
            </w:r>
          </w:p>
        </w:tc>
      </w:tr>
      <w:tr w:rsidR="00984B34" w:rsidRPr="009E686F" w14:paraId="7E654C05" w14:textId="77777777" w:rsidTr="00774F3E">
        <w:trPr>
          <w:trHeight w:val="1243"/>
        </w:trPr>
        <w:tc>
          <w:tcPr>
            <w:tcW w:w="1796" w:type="pct"/>
            <w:gridSpan w:val="2"/>
            <w:tcBorders>
              <w:top w:val="single" w:sz="4" w:space="0" w:color="auto"/>
              <w:left w:val="single" w:sz="4" w:space="0" w:color="auto"/>
              <w:bottom w:val="single" w:sz="4" w:space="0" w:color="auto"/>
              <w:right w:val="single" w:sz="4" w:space="0" w:color="auto"/>
            </w:tcBorders>
          </w:tcPr>
          <w:p w14:paraId="64A7BC86" w14:textId="486AE01F"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lastRenderedPageBreak/>
              <w:t>Metodologia suplimentară de identificare produce un scor global suplimentar pentru fiecare entitate menționată la alineatul (1) evaluată, pe baza căruia autoritățile competente sau desemnate pot lua una dintre măsurile menționate la alineatul (10) litera (c).</w:t>
            </w:r>
          </w:p>
        </w:tc>
        <w:tc>
          <w:tcPr>
            <w:tcW w:w="1928" w:type="pct"/>
            <w:gridSpan w:val="3"/>
            <w:tcBorders>
              <w:top w:val="single" w:sz="4" w:space="0" w:color="auto"/>
              <w:left w:val="single" w:sz="4" w:space="0" w:color="auto"/>
              <w:bottom w:val="single" w:sz="4" w:space="0" w:color="auto"/>
              <w:right w:val="single" w:sz="4" w:space="0" w:color="auto"/>
            </w:tcBorders>
          </w:tcPr>
          <w:p w14:paraId="7C8D7F1A"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5B521456" w14:textId="04C14B9A"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netranspuse</w:t>
            </w:r>
          </w:p>
        </w:tc>
        <w:tc>
          <w:tcPr>
            <w:tcW w:w="806" w:type="pct"/>
            <w:tcBorders>
              <w:top w:val="single" w:sz="4" w:space="0" w:color="auto"/>
              <w:left w:val="single" w:sz="4" w:space="0" w:color="auto"/>
              <w:bottom w:val="single" w:sz="4" w:space="0" w:color="auto"/>
              <w:right w:val="single" w:sz="4" w:space="0" w:color="auto"/>
            </w:tcBorders>
          </w:tcPr>
          <w:p w14:paraId="76E305E0" w14:textId="617568BC"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Se vor regăsi în proiectul de modificare a Regulamentului cu privire la amortizoarele de capital ale băncilor, aprobat prin HCE nr. 110/2018</w:t>
            </w:r>
            <w:r w:rsidR="00C86601" w:rsidRPr="009E686F">
              <w:rPr>
                <w:rFonts w:ascii="Times New Roman" w:hAnsi="Times New Roman" w:cs="Times New Roman"/>
                <w:lang w:val="ro-RO"/>
              </w:rPr>
              <w:t xml:space="preserve"> (</w:t>
            </w:r>
            <w:r w:rsidR="00C86601" w:rsidRPr="009E686F">
              <w:rPr>
                <w:rFonts w:ascii="Times New Roman" w:eastAsia="Times New Roman" w:hAnsi="Times New Roman" w:cs="Times New Roman"/>
                <w:bCs/>
                <w:lang w:val="it-CH" w:eastAsia="ru-RU"/>
              </w:rPr>
              <w:t>acțiunea normativă nr. 3 din Anexa A din PNA 2025-2029 aferentă Capitolului 9 “Servicii financiare” în legătură cu transpunerea Directivei 2013/36/UE).</w:t>
            </w:r>
          </w:p>
        </w:tc>
      </w:tr>
      <w:tr w:rsidR="00984B34" w:rsidRPr="009E686F" w14:paraId="0794C34F" w14:textId="77777777" w:rsidTr="00774F3E">
        <w:trPr>
          <w:trHeight w:val="1243"/>
        </w:trPr>
        <w:tc>
          <w:tcPr>
            <w:tcW w:w="1796" w:type="pct"/>
            <w:gridSpan w:val="2"/>
            <w:tcBorders>
              <w:top w:val="single" w:sz="4" w:space="0" w:color="auto"/>
              <w:left w:val="single" w:sz="4" w:space="0" w:color="auto"/>
              <w:bottom w:val="single" w:sz="4" w:space="0" w:color="auto"/>
              <w:right w:val="single" w:sz="4" w:space="0" w:color="auto"/>
            </w:tcBorders>
          </w:tcPr>
          <w:p w14:paraId="2F63D483"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(3) OSII se identifică în conformitate cu alineatul (1). Importanța sistemică se evaluează pe baza a cel puțin unul dintre criteriile următoare:</w:t>
            </w:r>
          </w:p>
          <w:p w14:paraId="23DC692D" w14:textId="77777777" w:rsidR="00984B34" w:rsidRPr="009E686F" w:rsidRDefault="00984B34" w:rsidP="00984B34">
            <w:pPr>
              <w:pStyle w:val="af4"/>
              <w:numPr>
                <w:ilvl w:val="0"/>
                <w:numId w:val="16"/>
              </w:numPr>
              <w:spacing w:after="0"/>
              <w:ind w:left="0" w:right="41" w:firstLine="0"/>
              <w:jc w:val="both"/>
              <w:rPr>
                <w:rFonts w:ascii="Times New Roman" w:hAnsi="Times New Roman" w:cs="Times New Roman"/>
              </w:rPr>
            </w:pPr>
            <w:r w:rsidRPr="009E686F">
              <w:rPr>
                <w:rFonts w:ascii="Times New Roman" w:hAnsi="Times New Roman" w:cs="Times New Roman"/>
              </w:rPr>
              <w:t>dimensiunea</w:t>
            </w:r>
          </w:p>
          <w:p w14:paraId="59BBB70B" w14:textId="77777777" w:rsidR="00984B34" w:rsidRPr="009E686F" w:rsidRDefault="00984B34" w:rsidP="00984B34">
            <w:pPr>
              <w:pStyle w:val="af4"/>
              <w:numPr>
                <w:ilvl w:val="0"/>
                <w:numId w:val="16"/>
              </w:numPr>
              <w:spacing w:after="0"/>
              <w:ind w:left="0" w:right="41" w:firstLine="0"/>
              <w:jc w:val="both"/>
              <w:rPr>
                <w:rFonts w:ascii="Times New Roman" w:hAnsi="Times New Roman" w:cs="Times New Roman"/>
              </w:rPr>
            </w:pPr>
            <w:r w:rsidRPr="009E686F">
              <w:rPr>
                <w:rFonts w:ascii="Times New Roman" w:hAnsi="Times New Roman" w:cs="Times New Roman"/>
              </w:rPr>
              <w:t>importanța pentru economia Uniunii sau a statului membru relevant;</w:t>
            </w:r>
          </w:p>
          <w:p w14:paraId="1169F6B8" w14:textId="77777777" w:rsidR="00984B34" w:rsidRPr="009E686F" w:rsidRDefault="00984B34" w:rsidP="00984B34">
            <w:pPr>
              <w:pStyle w:val="af4"/>
              <w:numPr>
                <w:ilvl w:val="0"/>
                <w:numId w:val="16"/>
              </w:numPr>
              <w:spacing w:after="0"/>
              <w:ind w:left="0" w:right="41" w:firstLine="0"/>
              <w:jc w:val="both"/>
              <w:rPr>
                <w:rFonts w:ascii="Times New Roman" w:hAnsi="Times New Roman" w:cs="Times New Roman"/>
              </w:rPr>
            </w:pPr>
            <w:r w:rsidRPr="009E686F">
              <w:rPr>
                <w:rFonts w:ascii="Times New Roman" w:hAnsi="Times New Roman" w:cs="Times New Roman"/>
              </w:rPr>
              <w:t>anvergura activităților transfrontaliere;</w:t>
            </w:r>
          </w:p>
          <w:p w14:paraId="5F4843FF" w14:textId="292A9C8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it-CH"/>
              </w:rPr>
              <w:t>interconectarea instituției sau a grupului cu sistemul financiar.</w:t>
            </w:r>
          </w:p>
        </w:tc>
        <w:tc>
          <w:tcPr>
            <w:tcW w:w="1928" w:type="pct"/>
            <w:gridSpan w:val="3"/>
            <w:tcBorders>
              <w:top w:val="single" w:sz="4" w:space="0" w:color="auto"/>
              <w:left w:val="single" w:sz="4" w:space="0" w:color="auto"/>
              <w:bottom w:val="single" w:sz="4" w:space="0" w:color="auto"/>
              <w:right w:val="single" w:sz="4" w:space="0" w:color="auto"/>
            </w:tcBorders>
          </w:tcPr>
          <w:p w14:paraId="62C3BCE9" w14:textId="77777777" w:rsidR="00984B34" w:rsidRPr="009E686F" w:rsidRDefault="00984B34" w:rsidP="00984B34">
            <w:pPr>
              <w:pStyle w:val="CM1"/>
              <w:jc w:val="both"/>
              <w:rPr>
                <w:rFonts w:ascii="Times New Roman" w:hAnsi="Times New Roman"/>
                <w:b/>
                <w:sz w:val="22"/>
                <w:szCs w:val="22"/>
                <w:lang w:val="ro-RO"/>
              </w:rPr>
            </w:pPr>
            <w:r w:rsidRPr="009E686F">
              <w:rPr>
                <w:rFonts w:ascii="Times New Roman" w:hAnsi="Times New Roman"/>
                <w:b/>
                <w:sz w:val="22"/>
                <w:szCs w:val="22"/>
                <w:lang w:val="ro-RO"/>
              </w:rPr>
              <w:t>Pct.54 din Regulamentul cu privire la amortizoarele de capital ale băncilor, aprobat prin HCE nr.110/2018</w:t>
            </w:r>
          </w:p>
          <w:p w14:paraId="0A3316A2" w14:textId="77777777" w:rsidR="00984B34" w:rsidRPr="009E686F" w:rsidRDefault="00984B34" w:rsidP="00984B34">
            <w:pPr>
              <w:pStyle w:val="CM1"/>
              <w:jc w:val="both"/>
              <w:rPr>
                <w:rFonts w:ascii="Times New Roman" w:hAnsi="Times New Roman"/>
                <w:sz w:val="22"/>
                <w:szCs w:val="22"/>
                <w:lang w:val="ro-MD"/>
              </w:rPr>
            </w:pPr>
            <w:r w:rsidRPr="009E686F">
              <w:rPr>
                <w:rFonts w:ascii="Times New Roman" w:hAnsi="Times New Roman"/>
                <w:b/>
                <w:bCs/>
                <w:sz w:val="22"/>
                <w:szCs w:val="22"/>
                <w:lang w:val="ro-MD"/>
              </w:rPr>
              <w:t>54.</w:t>
            </w:r>
            <w:r w:rsidRPr="009E686F">
              <w:rPr>
                <w:rFonts w:ascii="Times New Roman" w:hAnsi="Times New Roman"/>
                <w:sz w:val="22"/>
                <w:szCs w:val="22"/>
                <w:lang w:val="ro-MD"/>
              </w:rPr>
              <w:t xml:space="preserve"> În vederea evaluării importanței sistemice și identificării băncilor drept societăți de tip O-SII din Republica Moldova, Banca Națională a Moldovei utilizează o metodologie bazată pe cel puțin unul dintre criteriile următoare:</w:t>
            </w:r>
          </w:p>
          <w:p w14:paraId="64F7EC1D" w14:textId="77777777" w:rsidR="00984B34" w:rsidRPr="009E686F" w:rsidRDefault="00984B34" w:rsidP="00984B34">
            <w:pPr>
              <w:pStyle w:val="CM1"/>
              <w:jc w:val="both"/>
              <w:rPr>
                <w:rFonts w:ascii="Times New Roman" w:hAnsi="Times New Roman"/>
                <w:sz w:val="22"/>
                <w:szCs w:val="22"/>
                <w:lang w:val="ro-MD"/>
              </w:rPr>
            </w:pPr>
            <w:r w:rsidRPr="009E686F">
              <w:rPr>
                <w:rFonts w:ascii="Times New Roman" w:hAnsi="Times New Roman"/>
                <w:sz w:val="22"/>
                <w:szCs w:val="22"/>
                <w:lang w:val="ro-MD"/>
              </w:rPr>
              <w:t xml:space="preserve">1) mărimea; </w:t>
            </w:r>
          </w:p>
          <w:p w14:paraId="1629F545" w14:textId="77777777" w:rsidR="00984B34" w:rsidRPr="009E686F" w:rsidRDefault="00984B34" w:rsidP="00984B34">
            <w:pPr>
              <w:pStyle w:val="CM4"/>
              <w:jc w:val="both"/>
              <w:rPr>
                <w:rFonts w:ascii="Times New Roman" w:hAnsi="Times New Roman"/>
                <w:sz w:val="22"/>
                <w:szCs w:val="22"/>
                <w:lang w:val="ro-MD"/>
              </w:rPr>
            </w:pPr>
            <w:r w:rsidRPr="009E686F">
              <w:rPr>
                <w:rFonts w:ascii="Times New Roman" w:hAnsi="Times New Roman"/>
                <w:sz w:val="22"/>
                <w:szCs w:val="22"/>
                <w:lang w:val="ro-MD"/>
              </w:rPr>
              <w:t xml:space="preserve">2) importanța pentru economia Republicii Moldova; </w:t>
            </w:r>
          </w:p>
          <w:p w14:paraId="62B31EA6" w14:textId="77777777" w:rsidR="00984B34" w:rsidRPr="009E686F" w:rsidRDefault="00984B34" w:rsidP="00984B34">
            <w:pPr>
              <w:pStyle w:val="CM4"/>
              <w:jc w:val="both"/>
              <w:rPr>
                <w:rFonts w:ascii="Times New Roman" w:hAnsi="Times New Roman"/>
                <w:sz w:val="22"/>
                <w:szCs w:val="22"/>
                <w:lang w:val="ro-MD"/>
              </w:rPr>
            </w:pPr>
            <w:r w:rsidRPr="009E686F">
              <w:rPr>
                <w:rFonts w:ascii="Times New Roman" w:hAnsi="Times New Roman"/>
                <w:sz w:val="22"/>
                <w:szCs w:val="22"/>
                <w:lang w:val="ro-MD"/>
              </w:rPr>
              <w:t xml:space="preserve">3) anvergura activităților transfrontaliere; </w:t>
            </w:r>
          </w:p>
          <w:p w14:paraId="726585E5" w14:textId="0CABA431"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lang w:val="ro-MD"/>
              </w:rPr>
              <w:t>4) interconectarea băncii sau a grupului cu sistemul financiar.</w:t>
            </w:r>
          </w:p>
        </w:tc>
        <w:tc>
          <w:tcPr>
            <w:tcW w:w="470" w:type="pct"/>
            <w:tcBorders>
              <w:top w:val="single" w:sz="4" w:space="0" w:color="auto"/>
              <w:left w:val="single" w:sz="4" w:space="0" w:color="auto"/>
              <w:bottom w:val="single" w:sz="4" w:space="0" w:color="auto"/>
              <w:right w:val="single" w:sz="4" w:space="0" w:color="auto"/>
            </w:tcBorders>
          </w:tcPr>
          <w:p w14:paraId="2FC6B622" w14:textId="77777777"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 xml:space="preserve">Compatibil </w:t>
            </w:r>
          </w:p>
          <w:p w14:paraId="3BCE907D" w14:textId="77777777"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7E89CD45" w14:textId="77777777" w:rsidR="00984B34" w:rsidRPr="009E686F" w:rsidRDefault="00984B34" w:rsidP="00984B34">
            <w:pPr>
              <w:jc w:val="both"/>
              <w:rPr>
                <w:rFonts w:ascii="Times New Roman" w:hAnsi="Times New Roman" w:cs="Times New Roman"/>
                <w:lang w:val="ro-RO"/>
              </w:rPr>
            </w:pPr>
          </w:p>
        </w:tc>
      </w:tr>
      <w:tr w:rsidR="00984B34" w:rsidRPr="009E686F" w14:paraId="340AE1E5" w14:textId="13EBED36" w:rsidTr="00774F3E">
        <w:tc>
          <w:tcPr>
            <w:tcW w:w="1796" w:type="pct"/>
            <w:gridSpan w:val="2"/>
            <w:tcBorders>
              <w:top w:val="single" w:sz="4" w:space="0" w:color="auto"/>
              <w:left w:val="single" w:sz="4" w:space="0" w:color="auto"/>
              <w:bottom w:val="single" w:sz="4" w:space="0" w:color="auto"/>
              <w:right w:val="single" w:sz="4" w:space="0" w:color="auto"/>
            </w:tcBorders>
          </w:tcPr>
          <w:p w14:paraId="63B7B97D" w14:textId="6FBE3481"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După consultarea CERS, ABE amite, până la 1 ianuarie 2015, orientări în conformitate cu Regulamentul (UE) nr. 1093/2010, refertioare la criteriile de stabilire a condițiilor de aplicare a prezentului alineat în ceea ce privește evaluarea O-SII. Orientările respective țin seama de cadrele </w:t>
            </w:r>
            <w:r w:rsidRPr="009E686F">
              <w:rPr>
                <w:rFonts w:ascii="Times New Roman" w:hAnsi="Times New Roman" w:cs="Times New Roman"/>
                <w:lang w:val="ro-RO"/>
              </w:rPr>
              <w:lastRenderedPageBreak/>
              <w:t>internaționale pentru instituțiile naționale de importanță sistemică, precum și de particularitățile Uniunii și de cele naționale.</w:t>
            </w:r>
          </w:p>
        </w:tc>
        <w:tc>
          <w:tcPr>
            <w:tcW w:w="1928" w:type="pct"/>
            <w:gridSpan w:val="3"/>
            <w:tcBorders>
              <w:top w:val="single" w:sz="4" w:space="0" w:color="auto"/>
              <w:left w:val="single" w:sz="4" w:space="0" w:color="auto"/>
              <w:bottom w:val="single" w:sz="4" w:space="0" w:color="auto"/>
              <w:right w:val="single" w:sz="4" w:space="0" w:color="auto"/>
            </w:tcBorders>
          </w:tcPr>
          <w:p w14:paraId="1BADE8FC"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79CFCD7B" w14:textId="6846E03A"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neaplicabile</w:t>
            </w:r>
          </w:p>
        </w:tc>
        <w:tc>
          <w:tcPr>
            <w:tcW w:w="806" w:type="pct"/>
            <w:tcBorders>
              <w:top w:val="single" w:sz="4" w:space="0" w:color="auto"/>
              <w:left w:val="single" w:sz="4" w:space="0" w:color="auto"/>
              <w:bottom w:val="single" w:sz="4" w:space="0" w:color="auto"/>
              <w:right w:val="single" w:sz="4" w:space="0" w:color="auto"/>
            </w:tcBorders>
          </w:tcPr>
          <w:p w14:paraId="0B8D2C48" w14:textId="02739EAC" w:rsidR="00984B34" w:rsidRPr="009E686F" w:rsidRDefault="00984B34" w:rsidP="00984B34">
            <w:pPr>
              <w:jc w:val="both"/>
              <w:rPr>
                <w:rFonts w:ascii="Times New Roman" w:hAnsi="Times New Roman" w:cs="Times New Roman"/>
                <w:lang w:val="ro-MD"/>
              </w:rPr>
            </w:pPr>
            <w:r w:rsidRPr="009E686F">
              <w:rPr>
                <w:rFonts w:ascii="Times New Roman" w:hAnsi="Times New Roman" w:cs="Times New Roman"/>
                <w:lang w:val="ro-MD"/>
              </w:rPr>
              <w:t>Prevederea vizează competențele Autorităților UE.</w:t>
            </w:r>
          </w:p>
        </w:tc>
      </w:tr>
      <w:tr w:rsidR="00984B34" w:rsidRPr="009E686F" w14:paraId="4AA0650F"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0A4EB0A3" w14:textId="46204DDA"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După consultarea CERS, ABE prezintă Comisiei, până la 31 decembrie 2020, un raport privind metodologia adecvată de stabilire și calibrare a ratelor amortizorului O-SII.</w:t>
            </w:r>
          </w:p>
        </w:tc>
        <w:tc>
          <w:tcPr>
            <w:tcW w:w="1928" w:type="pct"/>
            <w:gridSpan w:val="3"/>
            <w:tcBorders>
              <w:top w:val="single" w:sz="4" w:space="0" w:color="auto"/>
              <w:left w:val="single" w:sz="4" w:space="0" w:color="auto"/>
              <w:bottom w:val="single" w:sz="4" w:space="0" w:color="auto"/>
              <w:right w:val="single" w:sz="4" w:space="0" w:color="auto"/>
            </w:tcBorders>
          </w:tcPr>
          <w:p w14:paraId="7D666214"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5BCD86CF" w14:textId="10F811A3"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neaplicabile</w:t>
            </w:r>
          </w:p>
        </w:tc>
        <w:tc>
          <w:tcPr>
            <w:tcW w:w="806" w:type="pct"/>
            <w:tcBorders>
              <w:top w:val="single" w:sz="4" w:space="0" w:color="auto"/>
              <w:left w:val="single" w:sz="4" w:space="0" w:color="auto"/>
              <w:bottom w:val="single" w:sz="4" w:space="0" w:color="auto"/>
              <w:right w:val="single" w:sz="4" w:space="0" w:color="auto"/>
            </w:tcBorders>
          </w:tcPr>
          <w:p w14:paraId="76B9A29D" w14:textId="1DF5488E"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MD"/>
              </w:rPr>
              <w:t>Prevederea vizează competențele Autorităților UE.</w:t>
            </w:r>
          </w:p>
        </w:tc>
      </w:tr>
      <w:tr w:rsidR="00984B34" w:rsidRPr="009E686F" w14:paraId="4C2553F7" w14:textId="2BCE2BB6" w:rsidTr="00774F3E">
        <w:tc>
          <w:tcPr>
            <w:tcW w:w="1796" w:type="pct"/>
            <w:gridSpan w:val="2"/>
            <w:tcBorders>
              <w:top w:val="single" w:sz="4" w:space="0" w:color="auto"/>
              <w:left w:val="single" w:sz="4" w:space="0" w:color="auto"/>
              <w:bottom w:val="single" w:sz="4" w:space="0" w:color="auto"/>
              <w:right w:val="single" w:sz="4" w:space="0" w:color="auto"/>
            </w:tcBorders>
          </w:tcPr>
          <w:p w14:paraId="3AF5FDB9" w14:textId="32B1E65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(4) Fiecare G-SII, pe bază consolidată, menține un amortizor G-SII, care corespunde subcategoriei în care este alocată G-SII.  Amortizorul respectiv constă în fonduri proprii de nivel 1 de bază și este suplimentar acestui capital.</w:t>
            </w:r>
          </w:p>
        </w:tc>
        <w:tc>
          <w:tcPr>
            <w:tcW w:w="1928" w:type="pct"/>
            <w:gridSpan w:val="3"/>
            <w:tcBorders>
              <w:top w:val="single" w:sz="4" w:space="0" w:color="auto"/>
              <w:left w:val="single" w:sz="4" w:space="0" w:color="auto"/>
              <w:bottom w:val="single" w:sz="4" w:space="0" w:color="auto"/>
              <w:right w:val="single" w:sz="4" w:space="0" w:color="auto"/>
            </w:tcBorders>
          </w:tcPr>
          <w:p w14:paraId="2770F6B5"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33B54503" w14:textId="785E20CB"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netranspuse</w:t>
            </w:r>
          </w:p>
        </w:tc>
        <w:tc>
          <w:tcPr>
            <w:tcW w:w="806" w:type="pct"/>
            <w:tcBorders>
              <w:top w:val="single" w:sz="4" w:space="0" w:color="auto"/>
              <w:left w:val="single" w:sz="4" w:space="0" w:color="auto"/>
              <w:bottom w:val="single" w:sz="4" w:space="0" w:color="auto"/>
              <w:right w:val="single" w:sz="4" w:space="0" w:color="auto"/>
            </w:tcBorders>
          </w:tcPr>
          <w:p w14:paraId="10273B2A" w14:textId="0E377C4D"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Se vor regăsi în proiectul de modificare a Regulamentului cu privire la amortizoarele de capital ale băncilor, aprobat prin HCE nr. 110/2018</w:t>
            </w:r>
            <w:r w:rsidR="00C86601" w:rsidRPr="009E686F">
              <w:rPr>
                <w:rFonts w:ascii="Times New Roman" w:hAnsi="Times New Roman" w:cs="Times New Roman"/>
                <w:lang w:val="ro-RO"/>
              </w:rPr>
              <w:t xml:space="preserve"> (</w:t>
            </w:r>
            <w:r w:rsidR="00C86601" w:rsidRPr="009E686F">
              <w:rPr>
                <w:rFonts w:ascii="Times New Roman" w:eastAsia="Times New Roman" w:hAnsi="Times New Roman" w:cs="Times New Roman"/>
                <w:bCs/>
                <w:lang w:val="it-CH" w:eastAsia="ru-RU"/>
              </w:rPr>
              <w:t>acțiunea normativă nr. 3 din Anexa A din PNA 2025-2029 aferentă Capitolului 9 “Servicii financiare” în legătură cu transpunerea Directivei 2013/36/UE).</w:t>
            </w:r>
          </w:p>
        </w:tc>
      </w:tr>
      <w:tr w:rsidR="00984B34" w:rsidRPr="009E686F" w14:paraId="7AA8BFF1" w14:textId="1D4B2B30" w:rsidTr="00774F3E">
        <w:tc>
          <w:tcPr>
            <w:tcW w:w="1796" w:type="pct"/>
            <w:gridSpan w:val="2"/>
            <w:tcBorders>
              <w:top w:val="single" w:sz="4" w:space="0" w:color="auto"/>
              <w:left w:val="single" w:sz="4" w:space="0" w:color="auto"/>
              <w:bottom w:val="single" w:sz="4" w:space="0" w:color="auto"/>
              <w:right w:val="single" w:sz="4" w:space="0" w:color="auto"/>
            </w:tcBorders>
          </w:tcPr>
          <w:p w14:paraId="118CAD46" w14:textId="314AC988" w:rsidR="00984B34" w:rsidRPr="009E686F" w:rsidRDefault="00984B34" w:rsidP="00984B34">
            <w:pPr>
              <w:spacing w:after="0"/>
              <w:jc w:val="both"/>
              <w:rPr>
                <w:rFonts w:ascii="Times New Roman" w:hAnsi="Times New Roman" w:cs="Times New Roman"/>
                <w:lang w:val="ro-RO"/>
              </w:rPr>
            </w:pPr>
          </w:p>
          <w:p w14:paraId="2580FF49" w14:textId="03C3422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(5)  Autoritatea competentă sau autoritatea desemnată poate solicita fiecărei O-SII, pe bază consolidată, subconsolidată sau individuală, după caz, să mențină un amortizor O-SII de până la 3 % din cuantumul total al expunerii la risc calculat în conformitate cu articolul 92 alineatul (3) din Regulamentul (UE) nr. 575/2013, ținând seama de criteriile de identificare a O-SII. Amortizorul respectiv constă în fonduri proprii de nivel 1 de bază.</w:t>
            </w:r>
          </w:p>
        </w:tc>
        <w:tc>
          <w:tcPr>
            <w:tcW w:w="1928" w:type="pct"/>
            <w:gridSpan w:val="3"/>
            <w:tcBorders>
              <w:top w:val="single" w:sz="4" w:space="0" w:color="auto"/>
              <w:left w:val="single" w:sz="4" w:space="0" w:color="auto"/>
              <w:bottom w:val="single" w:sz="4" w:space="0" w:color="auto"/>
              <w:right w:val="single" w:sz="4" w:space="0" w:color="auto"/>
            </w:tcBorders>
          </w:tcPr>
          <w:p w14:paraId="0D83084D" w14:textId="6A0E9DC2"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b/>
                <w:lang w:val="ro-RO"/>
              </w:rPr>
              <w:t>Pct. 58  din Regulamentul cu privire la amortizoarele de capital ale băncilor, aprobat prin HCE nr.110/2018</w:t>
            </w:r>
          </w:p>
          <w:p w14:paraId="66D0DBED" w14:textId="3A536874"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b/>
                <w:bCs/>
                <w:lang w:val="ro-RO"/>
              </w:rPr>
              <w:t>58.</w:t>
            </w:r>
            <w:r w:rsidRPr="009E686F">
              <w:rPr>
                <w:rFonts w:ascii="Times New Roman" w:hAnsi="Times New Roman" w:cs="Times New Roman"/>
                <w:lang w:val="ro-RO"/>
              </w:rPr>
              <w:t xml:space="preserve"> În baza criteriilor de identificare a societăţilor de tip O-SII din Republica Moldova, Banca Naţională a Moldovei poate impune fiecărei societăţi de tip O-SII din Republica Moldova, pe bază consolidată sau individuală, după caz, să menţină un amortizor O-SII de până la 3% din cuantumul total al expunerii la risc.</w:t>
            </w:r>
          </w:p>
        </w:tc>
        <w:tc>
          <w:tcPr>
            <w:tcW w:w="470" w:type="pct"/>
            <w:tcBorders>
              <w:top w:val="single" w:sz="4" w:space="0" w:color="auto"/>
              <w:left w:val="single" w:sz="4" w:space="0" w:color="auto"/>
              <w:bottom w:val="single" w:sz="4" w:space="0" w:color="auto"/>
              <w:right w:val="single" w:sz="4" w:space="0" w:color="auto"/>
            </w:tcBorders>
          </w:tcPr>
          <w:p w14:paraId="04D7639D" w14:textId="0FFE1D28"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 xml:space="preserve">Parțial compatibil </w:t>
            </w:r>
          </w:p>
          <w:p w14:paraId="7591EFC8" w14:textId="14D9E2C5"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6B98A88E" w14:textId="37AA5D7E" w:rsidR="00984B34" w:rsidRPr="009E686F" w:rsidRDefault="00984B34" w:rsidP="00984B34">
            <w:pPr>
              <w:jc w:val="both"/>
              <w:rPr>
                <w:rFonts w:ascii="Times New Roman" w:hAnsi="Times New Roman" w:cs="Times New Roman"/>
                <w:lang w:val="ro-RO"/>
              </w:rPr>
            </w:pPr>
            <w:bookmarkStart w:id="42" w:name="_Hlk228201047"/>
            <w:r w:rsidRPr="009E686F">
              <w:rPr>
                <w:rFonts w:ascii="Times New Roman" w:hAnsi="Times New Roman" w:cs="Times New Roman"/>
                <w:lang w:val="ro-RO"/>
              </w:rPr>
              <w:t>Prevederile se vor transpune integral prin proiectul de modificare a Regulamentului cu privire la amortizoarele de capital ale băncilor, aprobat prin HCE nr. 110/2018</w:t>
            </w:r>
            <w:bookmarkEnd w:id="42"/>
            <w:r w:rsidR="00C86601" w:rsidRPr="009E686F">
              <w:rPr>
                <w:rFonts w:ascii="Times New Roman" w:hAnsi="Times New Roman" w:cs="Times New Roman"/>
                <w:lang w:val="ro-RO"/>
              </w:rPr>
              <w:t xml:space="preserve"> (</w:t>
            </w:r>
            <w:r w:rsidR="00C86601" w:rsidRPr="009E686F">
              <w:rPr>
                <w:rFonts w:ascii="Times New Roman" w:eastAsia="Times New Roman" w:hAnsi="Times New Roman" w:cs="Times New Roman"/>
                <w:bCs/>
                <w:lang w:val="it-CH" w:eastAsia="ru-RU"/>
              </w:rPr>
              <w:t xml:space="preserve">acțiunea normativă nr. 3 din Anexa A din PNA 2025-2029 aferentă </w:t>
            </w:r>
            <w:r w:rsidR="00C86601" w:rsidRPr="009E686F">
              <w:rPr>
                <w:rFonts w:ascii="Times New Roman" w:eastAsia="Times New Roman" w:hAnsi="Times New Roman" w:cs="Times New Roman"/>
                <w:bCs/>
                <w:lang w:val="it-CH" w:eastAsia="ru-RU"/>
              </w:rPr>
              <w:lastRenderedPageBreak/>
              <w:t>Capitolului 9 “Servicii financiare” în legătură cu transpunerea Directivei 2013/36/UE).</w:t>
            </w:r>
          </w:p>
        </w:tc>
      </w:tr>
      <w:tr w:rsidR="00984B34" w:rsidRPr="009E686F" w14:paraId="5177A0D7"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6193F167" w14:textId="395B7AD1"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lastRenderedPageBreak/>
              <w:t>(5a) Sub rezerva autorizării de către Comisie, astfel cum se menționează la al treilea paragraf din prezentul alineat, autoritatea competentă sau autoritatea desemnată poate solicita fiecărei O-SII, pe bază consolidată, subconsolidată sau individuală, după caz, să mențină un amortizor O-SII mai mare de 3 % din cuantumul total al expunerii la risc calculat în conformitate cu articolul 92 alineatul (3) din Regulamentul (UE) nr. 575/2013. Amortizorul respectiv constă în fonduri proprii de nivel 1 de bază.</w:t>
            </w:r>
          </w:p>
        </w:tc>
        <w:tc>
          <w:tcPr>
            <w:tcW w:w="1928" w:type="pct"/>
            <w:gridSpan w:val="3"/>
            <w:tcBorders>
              <w:top w:val="single" w:sz="4" w:space="0" w:color="auto"/>
              <w:left w:val="single" w:sz="4" w:space="0" w:color="auto"/>
              <w:bottom w:val="single" w:sz="4" w:space="0" w:color="auto"/>
              <w:right w:val="single" w:sz="4" w:space="0" w:color="auto"/>
            </w:tcBorders>
          </w:tcPr>
          <w:p w14:paraId="7DCEBFE4" w14:textId="7FA48602"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b/>
                <w:lang w:val="ro-RO"/>
              </w:rPr>
              <w:t>Pct. 58</w:t>
            </w:r>
            <w:r w:rsidRPr="009E686F">
              <w:rPr>
                <w:rFonts w:ascii="Times New Roman" w:hAnsi="Times New Roman" w:cs="Times New Roman"/>
                <w:b/>
                <w:vertAlign w:val="superscript"/>
                <w:lang w:val="ro-RO"/>
              </w:rPr>
              <w:t>1</w:t>
            </w:r>
            <w:r w:rsidRPr="009E686F">
              <w:rPr>
                <w:rFonts w:ascii="Times New Roman" w:hAnsi="Times New Roman" w:cs="Times New Roman"/>
                <w:b/>
                <w:lang w:val="ro-RO"/>
              </w:rPr>
              <w:t xml:space="preserve">  din Regulamentul cu privire la amortizoarele de capital ale băncilor, aprobat prin HCE nr.110/2018</w:t>
            </w:r>
          </w:p>
          <w:p w14:paraId="4E6A9B13" w14:textId="4F492D49" w:rsidR="00984B34" w:rsidRPr="009E686F" w:rsidRDefault="00984B34" w:rsidP="00984B34">
            <w:pPr>
              <w:pStyle w:val="CM4"/>
              <w:jc w:val="both"/>
              <w:rPr>
                <w:rFonts w:ascii="Times New Roman" w:hAnsi="Times New Roman"/>
                <w:sz w:val="22"/>
                <w:szCs w:val="22"/>
                <w:lang w:val="ro-MD"/>
              </w:rPr>
            </w:pPr>
            <w:r w:rsidRPr="009E686F">
              <w:rPr>
                <w:rFonts w:ascii="Times New Roman" w:hAnsi="Times New Roman"/>
                <w:b/>
                <w:bCs/>
                <w:sz w:val="22"/>
                <w:szCs w:val="22"/>
                <w:lang w:val="ro-MD"/>
              </w:rPr>
              <w:t>58</w:t>
            </w:r>
            <w:r w:rsidRPr="009E686F">
              <w:rPr>
                <w:rFonts w:ascii="Times New Roman" w:hAnsi="Times New Roman"/>
                <w:b/>
                <w:bCs/>
                <w:sz w:val="22"/>
                <w:szCs w:val="22"/>
                <w:vertAlign w:val="superscript"/>
                <w:lang w:val="ro-MD"/>
              </w:rPr>
              <w:t>1</w:t>
            </w:r>
            <w:r w:rsidRPr="009E686F">
              <w:rPr>
                <w:rFonts w:ascii="Times New Roman" w:hAnsi="Times New Roman"/>
                <w:b/>
                <w:bCs/>
                <w:sz w:val="22"/>
                <w:szCs w:val="22"/>
                <w:lang w:val="ro-MD"/>
              </w:rPr>
              <w:t>.</w:t>
            </w:r>
            <w:r w:rsidRPr="009E686F">
              <w:rPr>
                <w:rFonts w:ascii="Times New Roman" w:hAnsi="Times New Roman"/>
                <w:sz w:val="22"/>
                <w:szCs w:val="22"/>
                <w:lang w:val="ro-MD"/>
              </w:rPr>
              <w:t xml:space="preserve"> Sub rezerva recomandării autorităţii naţionale macroprudenţiale desemnate, definită în condiţiile legislaţiei în vigoare, Banca Naţională a Moldovei poate impune societăţii de tip O-SII, pe bază consolidată sau individuală, după caz, să menţină un amortizor O-SII mai mare de 3% din cuantumul total al expunerii la risc.</w:t>
            </w:r>
          </w:p>
        </w:tc>
        <w:tc>
          <w:tcPr>
            <w:tcW w:w="470" w:type="pct"/>
            <w:tcBorders>
              <w:top w:val="single" w:sz="4" w:space="0" w:color="auto"/>
              <w:left w:val="single" w:sz="4" w:space="0" w:color="auto"/>
              <w:right w:val="single" w:sz="4" w:space="0" w:color="auto"/>
            </w:tcBorders>
          </w:tcPr>
          <w:p w14:paraId="3E9E4D1A" w14:textId="77777777"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 xml:space="preserve">Parțial compatibil </w:t>
            </w:r>
          </w:p>
          <w:p w14:paraId="6ACC17EB" w14:textId="0703FA19"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32BE816A" w14:textId="3F5A9C42"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Prevederile se vor transpune integral prin proiectul de modificare a Regulamentului cu privire la amortizoarele de capital ale băncilor, aprobat prin HCE nr. 110/2018</w:t>
            </w:r>
            <w:r w:rsidR="00C86601" w:rsidRPr="009E686F">
              <w:rPr>
                <w:rFonts w:ascii="Times New Roman" w:hAnsi="Times New Roman" w:cs="Times New Roman"/>
                <w:lang w:val="ro-RO"/>
              </w:rPr>
              <w:t xml:space="preserve"> (</w:t>
            </w:r>
            <w:r w:rsidR="00C86601" w:rsidRPr="009E686F">
              <w:rPr>
                <w:rFonts w:ascii="Times New Roman" w:eastAsia="Times New Roman" w:hAnsi="Times New Roman" w:cs="Times New Roman"/>
                <w:bCs/>
                <w:lang w:val="it-CH" w:eastAsia="ru-RU"/>
              </w:rPr>
              <w:t>acțiunea normativă nr. 3 din Anexa A din PNA 2025-2029 aferentă Capitolului 9 “Servicii financiare” în legătură cu transpunerea Directivei 2013/36/UE).</w:t>
            </w:r>
          </w:p>
        </w:tc>
      </w:tr>
      <w:tr w:rsidR="00984B34" w:rsidRPr="009E686F" w14:paraId="4CFC3EEB"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7097622F" w14:textId="2270E360"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În termen de șase săptămâni de la primirea notificării menționate la alineatul (7) de la prezentul articol, CERS transmite Comisiei un aviz în care precizează dacă amortizorul O-SII este considerat adecvat. De asemenea, ABE îi poate transmite Comisiei avizul său referitor la amortizor, în conformitate cu articolul 16a alineatul (1) din Regulamentul (UE) nr. 1093/2010.</w:t>
            </w:r>
          </w:p>
          <w:p w14:paraId="0AB3890C" w14:textId="178F87EE" w:rsidR="00984B34" w:rsidRPr="009E686F" w:rsidRDefault="00984B34" w:rsidP="00984B34">
            <w:pPr>
              <w:spacing w:after="0"/>
              <w:jc w:val="both"/>
              <w:rPr>
                <w:rFonts w:ascii="Times New Roman" w:hAnsi="Times New Roman" w:cs="Times New Roman"/>
                <w:lang w:val="ro-RO"/>
              </w:rPr>
            </w:pPr>
          </w:p>
        </w:tc>
        <w:tc>
          <w:tcPr>
            <w:tcW w:w="1928" w:type="pct"/>
            <w:gridSpan w:val="3"/>
            <w:tcBorders>
              <w:top w:val="single" w:sz="4" w:space="0" w:color="auto"/>
              <w:left w:val="single" w:sz="4" w:space="0" w:color="auto"/>
              <w:bottom w:val="single" w:sz="4" w:space="0" w:color="auto"/>
              <w:right w:val="single" w:sz="4" w:space="0" w:color="auto"/>
            </w:tcBorders>
          </w:tcPr>
          <w:p w14:paraId="432F7757" w14:textId="77777777" w:rsidR="00984B34" w:rsidRPr="009E686F" w:rsidRDefault="00984B34" w:rsidP="00984B34">
            <w:pPr>
              <w:pStyle w:val="CM4"/>
              <w:jc w:val="both"/>
              <w:rPr>
                <w:rFonts w:ascii="Times New Roman" w:hAnsi="Times New Roman"/>
                <w:sz w:val="22"/>
                <w:szCs w:val="22"/>
                <w:lang w:val="ro-MD"/>
              </w:rPr>
            </w:pPr>
          </w:p>
        </w:tc>
        <w:tc>
          <w:tcPr>
            <w:tcW w:w="470" w:type="pct"/>
            <w:tcBorders>
              <w:top w:val="single" w:sz="4" w:space="0" w:color="auto"/>
              <w:left w:val="single" w:sz="4" w:space="0" w:color="auto"/>
              <w:right w:val="single" w:sz="4" w:space="0" w:color="auto"/>
            </w:tcBorders>
          </w:tcPr>
          <w:p w14:paraId="0F022BC9" w14:textId="36313E2E"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neaplicabile</w:t>
            </w:r>
          </w:p>
        </w:tc>
        <w:tc>
          <w:tcPr>
            <w:tcW w:w="806" w:type="pct"/>
            <w:tcBorders>
              <w:top w:val="single" w:sz="4" w:space="0" w:color="auto"/>
              <w:left w:val="single" w:sz="4" w:space="0" w:color="auto"/>
              <w:bottom w:val="single" w:sz="4" w:space="0" w:color="auto"/>
              <w:right w:val="single" w:sz="4" w:space="0" w:color="auto"/>
            </w:tcBorders>
          </w:tcPr>
          <w:p w14:paraId="61567610" w14:textId="781CA081"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MD"/>
              </w:rPr>
              <w:t>Prevederea vizează competențele Autorităților UE.</w:t>
            </w:r>
          </w:p>
        </w:tc>
      </w:tr>
      <w:tr w:rsidR="00984B34" w:rsidRPr="009E686F" w14:paraId="4A979222"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02C05331" w14:textId="1EEF9810"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În termen de trei luni de la transmiterea de către CERS a notificării menționate la alineatul (7) către Comisie, aceasta, ținând seama de evaluarea realizată de CERS și ABE, dacă este cazul, și în cazul în care consideră că </w:t>
            </w:r>
            <w:r w:rsidRPr="009E686F">
              <w:rPr>
                <w:rFonts w:ascii="Times New Roman" w:hAnsi="Times New Roman" w:cs="Times New Roman"/>
                <w:lang w:val="ro-RO"/>
              </w:rPr>
              <w:lastRenderedPageBreak/>
              <w:t>amortizorul O-SII nu implică efecte negative disproporționate asupra sistemului financiar, în ansamblu sau în parte, al altor state membre sau al Uniunii în ansamblu, care să constituie sau să creeze un obstacol pentru funcționarea corespunzătoare a pieței interne, adoptă un act prin care autorizează autoritatea competentă sau autoritatea desemnată să adopte măsura propusă.</w:t>
            </w:r>
          </w:p>
        </w:tc>
        <w:tc>
          <w:tcPr>
            <w:tcW w:w="1928" w:type="pct"/>
            <w:gridSpan w:val="3"/>
            <w:tcBorders>
              <w:top w:val="single" w:sz="4" w:space="0" w:color="auto"/>
              <w:left w:val="single" w:sz="4" w:space="0" w:color="auto"/>
              <w:bottom w:val="single" w:sz="4" w:space="0" w:color="auto"/>
              <w:right w:val="single" w:sz="4" w:space="0" w:color="auto"/>
            </w:tcBorders>
          </w:tcPr>
          <w:p w14:paraId="7B66E0B3" w14:textId="77777777" w:rsidR="00984B34" w:rsidRPr="009E686F" w:rsidRDefault="00984B34" w:rsidP="00984B34">
            <w:pPr>
              <w:pStyle w:val="CM4"/>
              <w:jc w:val="both"/>
              <w:rPr>
                <w:rFonts w:ascii="Times New Roman" w:hAnsi="Times New Roman"/>
                <w:sz w:val="22"/>
                <w:szCs w:val="22"/>
                <w:lang w:val="ro-MD"/>
              </w:rPr>
            </w:pPr>
          </w:p>
        </w:tc>
        <w:tc>
          <w:tcPr>
            <w:tcW w:w="470" w:type="pct"/>
            <w:tcBorders>
              <w:top w:val="single" w:sz="4" w:space="0" w:color="auto"/>
              <w:left w:val="single" w:sz="4" w:space="0" w:color="auto"/>
              <w:right w:val="single" w:sz="4" w:space="0" w:color="auto"/>
            </w:tcBorders>
          </w:tcPr>
          <w:p w14:paraId="34C73AB9" w14:textId="1A2B4B72"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neaplicabile</w:t>
            </w:r>
          </w:p>
        </w:tc>
        <w:tc>
          <w:tcPr>
            <w:tcW w:w="806" w:type="pct"/>
            <w:tcBorders>
              <w:top w:val="single" w:sz="4" w:space="0" w:color="auto"/>
              <w:left w:val="single" w:sz="4" w:space="0" w:color="auto"/>
              <w:bottom w:val="single" w:sz="4" w:space="0" w:color="auto"/>
              <w:right w:val="single" w:sz="4" w:space="0" w:color="auto"/>
            </w:tcBorders>
          </w:tcPr>
          <w:p w14:paraId="5A24A33F" w14:textId="1784CC8D"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MD"/>
              </w:rPr>
              <w:t>Prevederea vizează competențele Autorităților UE.</w:t>
            </w:r>
          </w:p>
        </w:tc>
      </w:tr>
      <w:tr w:rsidR="00984B34" w:rsidRPr="009E686F" w14:paraId="19FB2F8B" w14:textId="7986D3DB" w:rsidTr="00774F3E">
        <w:trPr>
          <w:trHeight w:val="3574"/>
        </w:trPr>
        <w:tc>
          <w:tcPr>
            <w:tcW w:w="1796" w:type="pct"/>
            <w:gridSpan w:val="2"/>
            <w:tcBorders>
              <w:top w:val="single" w:sz="4" w:space="0" w:color="auto"/>
              <w:left w:val="single" w:sz="4" w:space="0" w:color="auto"/>
              <w:right w:val="single" w:sz="4" w:space="0" w:color="auto"/>
            </w:tcBorders>
          </w:tcPr>
          <w:p w14:paraId="33EE81AC"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(6) Atunci când solicită menținerea unui amortizor O-SII, autoritatea competentă sau autoritatea desemnată respectă următoarele:</w:t>
            </w:r>
          </w:p>
          <w:p w14:paraId="5FF17408"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(a) amortizorul O-SII trebuie să nu poată implica efecte negative disproporționate asupra sistemului financiar în ansamblu sau asupra unor părți ale acestuia în alte state membre sau în Uniune în ansamblu, formând sau creând un obstacol pentru funcționarea pieței interne;</w:t>
            </w:r>
          </w:p>
          <w:p w14:paraId="2A464412" w14:textId="4CFD3ADC"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(b) amortizorul O-SII trebuie să fie reexaminat de către autoritatea competentă sau autoritatea desemnată cel puțin anual.</w:t>
            </w:r>
          </w:p>
        </w:tc>
        <w:tc>
          <w:tcPr>
            <w:tcW w:w="1928" w:type="pct"/>
            <w:gridSpan w:val="3"/>
            <w:tcBorders>
              <w:top w:val="single" w:sz="4" w:space="0" w:color="auto"/>
              <w:left w:val="single" w:sz="4" w:space="0" w:color="auto"/>
              <w:right w:val="single" w:sz="4" w:space="0" w:color="auto"/>
            </w:tcBorders>
          </w:tcPr>
          <w:p w14:paraId="76484C14" w14:textId="3C69F672" w:rsidR="00984B34" w:rsidRPr="009E686F" w:rsidRDefault="00984B34" w:rsidP="00984B34">
            <w:pPr>
              <w:spacing w:after="0"/>
              <w:rPr>
                <w:rFonts w:ascii="Times New Roman" w:hAnsi="Times New Roman" w:cs="Times New Roman"/>
                <w:b/>
                <w:lang w:val="ro-MD"/>
              </w:rPr>
            </w:pPr>
            <w:r w:rsidRPr="009E686F">
              <w:rPr>
                <w:rFonts w:ascii="Times New Roman" w:hAnsi="Times New Roman" w:cs="Times New Roman"/>
                <w:b/>
                <w:lang w:val="ro-RO"/>
              </w:rPr>
              <w:t>Pct. 62 din Regulamentul cu privire la amortizoarele de capital ale băncilor, aprobat prin HCE nr.110/2018</w:t>
            </w:r>
          </w:p>
          <w:p w14:paraId="6CCCB7F1" w14:textId="10F8AE97" w:rsidR="00984B34" w:rsidRPr="009E686F" w:rsidRDefault="00984B34" w:rsidP="00984B34">
            <w:pPr>
              <w:pStyle w:val="CM4"/>
              <w:jc w:val="both"/>
              <w:rPr>
                <w:rFonts w:ascii="Times New Roman" w:hAnsi="Times New Roman"/>
                <w:sz w:val="22"/>
                <w:szCs w:val="22"/>
                <w:lang w:val="ro-MD"/>
              </w:rPr>
            </w:pPr>
            <w:r w:rsidRPr="009E686F">
              <w:rPr>
                <w:rFonts w:ascii="Times New Roman" w:hAnsi="Times New Roman"/>
                <w:b/>
                <w:bCs/>
                <w:sz w:val="22"/>
                <w:szCs w:val="22"/>
                <w:lang w:val="ro-MD"/>
              </w:rPr>
              <w:t>62.</w:t>
            </w:r>
            <w:r w:rsidRPr="009E686F">
              <w:rPr>
                <w:rFonts w:ascii="Times New Roman" w:hAnsi="Times New Roman"/>
                <w:sz w:val="22"/>
                <w:szCs w:val="22"/>
                <w:lang w:val="ro-MD"/>
              </w:rPr>
              <w:t xml:space="preserve"> În cazul în care solicită menținerea unui amortizor O-SII, Banca Națională a Moldovei respectă următoarele: </w:t>
            </w:r>
          </w:p>
          <w:p w14:paraId="5DCA2595" w14:textId="5AE61997" w:rsidR="00984B34" w:rsidRPr="009E686F" w:rsidRDefault="00984B34" w:rsidP="00984B34">
            <w:pPr>
              <w:pStyle w:val="CM4"/>
              <w:jc w:val="both"/>
              <w:rPr>
                <w:rFonts w:ascii="Times New Roman" w:hAnsi="Times New Roman"/>
                <w:sz w:val="22"/>
                <w:szCs w:val="22"/>
                <w:lang w:val="ro-MD"/>
              </w:rPr>
            </w:pPr>
            <w:r w:rsidRPr="009E686F">
              <w:rPr>
                <w:rFonts w:ascii="Times New Roman" w:hAnsi="Times New Roman"/>
                <w:sz w:val="22"/>
                <w:szCs w:val="22"/>
                <w:lang w:val="ro-MD"/>
              </w:rPr>
              <w:t xml:space="preserve">1) amortizorul O-SII nu trebuie să implice efecte negative disproporționate asupra sistemului financiar în ansamblu sau asupra unor părți ale acestuia, formând sau creând un obstacol pentru funcționarea pieței interne; </w:t>
            </w:r>
          </w:p>
          <w:p w14:paraId="0808E788" w14:textId="5CA7F963" w:rsidR="00984B34" w:rsidRPr="009E686F" w:rsidRDefault="00984B34" w:rsidP="00984B34">
            <w:pPr>
              <w:spacing w:after="0"/>
              <w:jc w:val="both"/>
              <w:rPr>
                <w:rFonts w:ascii="Times New Roman" w:hAnsi="Times New Roman"/>
                <w:lang w:val="ro-MD"/>
              </w:rPr>
            </w:pPr>
            <w:r w:rsidRPr="009E686F">
              <w:rPr>
                <w:rFonts w:ascii="Times New Roman" w:hAnsi="Times New Roman" w:cs="Times New Roman"/>
                <w:lang w:val="ro-MD"/>
              </w:rPr>
              <w:t>2) amortizorul O-SII se revizuiește cel puțin anual.</w:t>
            </w:r>
          </w:p>
        </w:tc>
        <w:tc>
          <w:tcPr>
            <w:tcW w:w="470" w:type="pct"/>
            <w:tcBorders>
              <w:top w:val="single" w:sz="4" w:space="0" w:color="auto"/>
              <w:left w:val="single" w:sz="4" w:space="0" w:color="auto"/>
              <w:right w:val="single" w:sz="4" w:space="0" w:color="auto"/>
            </w:tcBorders>
          </w:tcPr>
          <w:p w14:paraId="2DBCA2DD" w14:textId="77777777"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 xml:space="preserve">Compatibil </w:t>
            </w:r>
          </w:p>
          <w:p w14:paraId="58A701C1" w14:textId="7D66F9DB"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right w:val="single" w:sz="4" w:space="0" w:color="auto"/>
            </w:tcBorders>
          </w:tcPr>
          <w:p w14:paraId="11BCA4C6" w14:textId="77777777" w:rsidR="00984B34" w:rsidRPr="009E686F" w:rsidRDefault="00984B34" w:rsidP="00984B34">
            <w:pPr>
              <w:jc w:val="both"/>
              <w:rPr>
                <w:rFonts w:ascii="Times New Roman" w:hAnsi="Times New Roman" w:cs="Times New Roman"/>
                <w:lang w:val="ro-RO"/>
              </w:rPr>
            </w:pPr>
          </w:p>
        </w:tc>
      </w:tr>
      <w:tr w:rsidR="00984B34" w:rsidRPr="009E686F" w14:paraId="19C05045"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64B3BB7F" w14:textId="3045A6B1"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(c) în cazul în care un O-SII intră sub incidența pragului privind cerințele de capital, autoritatea sa competentă sau autoritatea desemnată revizuiește, cel târziu până la data reexaminării anuale menționate la litera (b), cerința privind amortizorul O-SII aplicabilă instituției pentru a se asigura că calibrarea sa este în continuare adecvată.</w:t>
            </w:r>
          </w:p>
        </w:tc>
        <w:tc>
          <w:tcPr>
            <w:tcW w:w="1928" w:type="pct"/>
            <w:gridSpan w:val="3"/>
            <w:tcBorders>
              <w:top w:val="single" w:sz="4" w:space="0" w:color="auto"/>
              <w:left w:val="single" w:sz="4" w:space="0" w:color="auto"/>
              <w:bottom w:val="single" w:sz="4" w:space="0" w:color="auto"/>
              <w:right w:val="single" w:sz="4" w:space="0" w:color="auto"/>
            </w:tcBorders>
          </w:tcPr>
          <w:p w14:paraId="78C9F372" w14:textId="77777777" w:rsidR="00984B34" w:rsidRPr="009E686F" w:rsidRDefault="00984B34" w:rsidP="00984B34">
            <w:pPr>
              <w:spacing w:after="0"/>
              <w:jc w:val="both"/>
              <w:rPr>
                <w:rFonts w:ascii="Times New Roman" w:hAnsi="Times New Roman" w:cs="Times New Roman"/>
                <w:lang w:val="ro-MD"/>
              </w:rPr>
            </w:pPr>
          </w:p>
        </w:tc>
        <w:tc>
          <w:tcPr>
            <w:tcW w:w="470" w:type="pct"/>
            <w:tcBorders>
              <w:left w:val="single" w:sz="4" w:space="0" w:color="auto"/>
              <w:bottom w:val="single" w:sz="4" w:space="0" w:color="auto"/>
              <w:right w:val="single" w:sz="4" w:space="0" w:color="auto"/>
            </w:tcBorders>
          </w:tcPr>
          <w:p w14:paraId="768D54E5" w14:textId="295189C5"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netranspuse</w:t>
            </w:r>
          </w:p>
        </w:tc>
        <w:tc>
          <w:tcPr>
            <w:tcW w:w="806" w:type="pct"/>
            <w:tcBorders>
              <w:top w:val="single" w:sz="4" w:space="0" w:color="auto"/>
              <w:left w:val="single" w:sz="4" w:space="0" w:color="auto"/>
              <w:bottom w:val="single" w:sz="4" w:space="0" w:color="auto"/>
              <w:right w:val="single" w:sz="4" w:space="0" w:color="auto"/>
            </w:tcBorders>
          </w:tcPr>
          <w:p w14:paraId="26FED865" w14:textId="408104AC" w:rsidR="00984B34" w:rsidRPr="009E686F" w:rsidRDefault="00984B34" w:rsidP="00984B34">
            <w:pPr>
              <w:rPr>
                <w:rFonts w:ascii="Times New Roman" w:hAnsi="Times New Roman" w:cs="Times New Roman"/>
                <w:lang w:val="ro-RO"/>
              </w:rPr>
            </w:pPr>
            <w:r w:rsidRPr="009E686F">
              <w:rPr>
                <w:rFonts w:ascii="Times New Roman" w:hAnsi="Times New Roman" w:cs="Times New Roman"/>
                <w:lang w:val="ro-RO"/>
              </w:rPr>
              <w:t>Se vor regăsi în proiectul de modificare a Regulamentului cu privire la amortizoarele de capital ale băncilor, aprobat prin HCE nr. 110/2018</w:t>
            </w:r>
            <w:r w:rsidR="00C86601" w:rsidRPr="009E686F">
              <w:rPr>
                <w:rFonts w:ascii="Times New Roman" w:hAnsi="Times New Roman" w:cs="Times New Roman"/>
                <w:lang w:val="ro-RO"/>
              </w:rPr>
              <w:t xml:space="preserve"> (</w:t>
            </w:r>
            <w:r w:rsidR="00C86601" w:rsidRPr="009E686F">
              <w:rPr>
                <w:rFonts w:ascii="Times New Roman" w:eastAsia="Times New Roman" w:hAnsi="Times New Roman" w:cs="Times New Roman"/>
                <w:bCs/>
                <w:lang w:val="it-CH" w:eastAsia="ru-RU"/>
              </w:rPr>
              <w:t xml:space="preserve">acțiunea normativă nr. 3 din Anexa A din PNA 2025-2029 aferentă Capitolului 9 “Servicii financiare” în legătură </w:t>
            </w:r>
            <w:r w:rsidR="00C86601" w:rsidRPr="009E686F">
              <w:rPr>
                <w:rFonts w:ascii="Times New Roman" w:eastAsia="Times New Roman" w:hAnsi="Times New Roman" w:cs="Times New Roman"/>
                <w:bCs/>
                <w:lang w:val="it-CH" w:eastAsia="ru-RU"/>
              </w:rPr>
              <w:lastRenderedPageBreak/>
              <w:t>cu transpunerea Directivei 2013/36/UE).</w:t>
            </w:r>
          </w:p>
        </w:tc>
      </w:tr>
      <w:tr w:rsidR="00984B34" w:rsidRPr="009E686F" w14:paraId="13B36A91" w14:textId="2FCA29C0" w:rsidTr="00774F3E">
        <w:tc>
          <w:tcPr>
            <w:tcW w:w="1796" w:type="pct"/>
            <w:gridSpan w:val="2"/>
            <w:tcBorders>
              <w:top w:val="single" w:sz="4" w:space="0" w:color="auto"/>
              <w:left w:val="single" w:sz="4" w:space="0" w:color="auto"/>
              <w:bottom w:val="single" w:sz="4" w:space="0" w:color="auto"/>
              <w:right w:val="single" w:sz="4" w:space="0" w:color="auto"/>
            </w:tcBorders>
          </w:tcPr>
          <w:p w14:paraId="18D7D5B6" w14:textId="145BDFD3"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lastRenderedPageBreak/>
              <w:t>(7) Înainte de a stabili sau restabili un amortizor O-SII, autoritatea competentă sau autoritatea desemnată transmite o notificare către CERS cu o lună înainte de publicarea deciziei menționate la alineatul (5) și transmite o notificare către CERS cu trei luni îniante de publicarea deciziei autorității competente sau a autorității desemnate menționate la alineatul (5a). CERS transmite fără întârziere astfel de notificări către Comisie, ABE și autoritățile competente și desemnate ale statelor membre în cauză. Notificările respective prevăd în detaliu:</w:t>
            </w:r>
          </w:p>
          <w:p w14:paraId="0EF0B66E" w14:textId="42B0116C"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(a) motivele pentru care se consideră că amortizorul O-SII poate fi eficace și proporțional în ceea ce privește atenuarea riscului;</w:t>
            </w:r>
          </w:p>
          <w:p w14:paraId="4EBD7E5C" w14:textId="4C84FDDA"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(b) o evaluare a impactului pozitiv sau negativ probabil al amortizorului O-SII pe piața internă, pe baza informațiilor aflate la dispoziția statului membru;</w:t>
            </w:r>
          </w:p>
          <w:p w14:paraId="44A88DBA" w14:textId="3384B7FA"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(c) rata amortizorului O-SII pe care statul membru dorește să îl stabilească.</w:t>
            </w:r>
          </w:p>
        </w:tc>
        <w:tc>
          <w:tcPr>
            <w:tcW w:w="1928" w:type="pct"/>
            <w:gridSpan w:val="3"/>
            <w:tcBorders>
              <w:top w:val="single" w:sz="4" w:space="0" w:color="auto"/>
              <w:left w:val="single" w:sz="4" w:space="0" w:color="auto"/>
              <w:bottom w:val="single" w:sz="4" w:space="0" w:color="auto"/>
              <w:right w:val="single" w:sz="4" w:space="0" w:color="auto"/>
            </w:tcBorders>
          </w:tcPr>
          <w:p w14:paraId="0EA28545"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50B83EF3" w14:textId="215937CD"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Norme UE netranspuse</w:t>
            </w:r>
          </w:p>
          <w:p w14:paraId="39AFA7E6" w14:textId="77777777" w:rsidR="00984B34" w:rsidRPr="009E686F" w:rsidRDefault="00984B34" w:rsidP="00984B34">
            <w:pPr>
              <w:spacing w:after="0"/>
              <w:jc w:val="both"/>
              <w:rPr>
                <w:rFonts w:ascii="Times New Roman" w:hAnsi="Times New Roman" w:cs="Times New Roman"/>
                <w:lang w:val="ro-RO"/>
              </w:rPr>
            </w:pPr>
          </w:p>
          <w:p w14:paraId="0BDF61B1" w14:textId="22C8FCB2" w:rsidR="00984B34" w:rsidRPr="009E686F" w:rsidRDefault="00984B34" w:rsidP="00984B34">
            <w:pPr>
              <w:spacing w:after="0"/>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5C2388D7" w14:textId="4B769E6E" w:rsidR="00984B34" w:rsidRPr="009E686F" w:rsidRDefault="00984B34" w:rsidP="00984B34">
            <w:pPr>
              <w:spacing w:after="0"/>
              <w:jc w:val="both"/>
              <w:rPr>
                <w:rFonts w:ascii="Times New Roman" w:hAnsi="Times New Roman" w:cs="Times New Roman"/>
                <w:b/>
                <w:bCs/>
                <w:lang w:val="ro-RO"/>
              </w:rPr>
            </w:pPr>
            <w:r w:rsidRPr="009E686F">
              <w:rPr>
                <w:rFonts w:ascii="Times New Roman" w:hAnsi="Times New Roman" w:cs="Times New Roman"/>
                <w:lang w:val="ro-RO"/>
              </w:rPr>
              <w:t>Se vor regăsi în proiectul de modificare a Regulamentului cu privire la amortizoarele de capital ale băncilor, aprobat prin HCE nr. 110/2018</w:t>
            </w:r>
            <w:r w:rsidR="00C86601" w:rsidRPr="009E686F">
              <w:rPr>
                <w:rFonts w:ascii="Times New Roman" w:hAnsi="Times New Roman" w:cs="Times New Roman"/>
                <w:lang w:val="ro-RO"/>
              </w:rPr>
              <w:t xml:space="preserve"> (</w:t>
            </w:r>
            <w:r w:rsidR="00C86601" w:rsidRPr="009E686F">
              <w:rPr>
                <w:rFonts w:ascii="Times New Roman" w:eastAsia="Times New Roman" w:hAnsi="Times New Roman" w:cs="Times New Roman"/>
                <w:bCs/>
                <w:lang w:val="it-CH" w:eastAsia="ru-RU"/>
              </w:rPr>
              <w:t>acțiunea normativă nr. 3 din Anexa A din PNA 2025-2029 aferentă Capitolului 9 “Servicii financiare” în legătură cu transpunerea Directivei 2013/36/UE).</w:t>
            </w:r>
          </w:p>
        </w:tc>
      </w:tr>
      <w:tr w:rsidR="00984B34" w:rsidRPr="009E686F" w14:paraId="47105DFB" w14:textId="31BDB864" w:rsidTr="00774F3E">
        <w:trPr>
          <w:trHeight w:val="7330"/>
        </w:trPr>
        <w:tc>
          <w:tcPr>
            <w:tcW w:w="1796" w:type="pct"/>
            <w:gridSpan w:val="2"/>
            <w:tcBorders>
              <w:top w:val="single" w:sz="4" w:space="0" w:color="auto"/>
              <w:left w:val="single" w:sz="4" w:space="0" w:color="auto"/>
              <w:right w:val="single" w:sz="4" w:space="0" w:color="auto"/>
            </w:tcBorders>
          </w:tcPr>
          <w:p w14:paraId="51D38645"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lastRenderedPageBreak/>
              <w:t>(8) Fără a aduce atingere articolului 133 și alineatului (5) de la prezentul articol, în cazul în care o O-SII este o filială fie a unei G-SII, fie a unei O-SII care este fie o instituție, fie un grup condus de o instituție-mamă din UE și face obiectul unui amortizor O-SII pe  bază consolidată, amortizorul care se aplică pe bază individuală sau subconsolidată pentru O-SII nu depășește cuantumul mai mic dintre următoarele:</w:t>
            </w:r>
          </w:p>
          <w:p w14:paraId="3AD2D6AB"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(a) suma dintre cuantumul cel mai mare dintre rata amortizorului G-SII sau O-SII aplicabilă grupului pe bază consolidată și 1 % din cuantumul total al expunerii la risc calculat în conformitate cu articolul 92 alineatul (3) din Regulamentul (UE) nr. 575/2013; și</w:t>
            </w:r>
          </w:p>
          <w:p w14:paraId="53231544" w14:textId="4582212F"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(b) 3 % din cuantumul total al expunerii la risc calculat în conformitate cu articolul 92 alineatul (3) din Regulamentul (UE) nr. 575/2013 sau rata a cărei aplicare pentru grup pe bază consolidată a fost autorizată de Comisie în conformitate cu alineatul (5a) din prezentul articol.</w:t>
            </w:r>
          </w:p>
        </w:tc>
        <w:tc>
          <w:tcPr>
            <w:tcW w:w="1928" w:type="pct"/>
            <w:gridSpan w:val="3"/>
            <w:tcBorders>
              <w:top w:val="single" w:sz="4" w:space="0" w:color="auto"/>
              <w:left w:val="single" w:sz="4" w:space="0" w:color="auto"/>
              <w:right w:val="single" w:sz="4" w:space="0" w:color="auto"/>
            </w:tcBorders>
          </w:tcPr>
          <w:p w14:paraId="7C8FBF94" w14:textId="58B7333B" w:rsidR="00984B34" w:rsidRPr="009E686F" w:rsidRDefault="00984B34" w:rsidP="00984B34">
            <w:pPr>
              <w:spacing w:after="0"/>
              <w:rPr>
                <w:rFonts w:ascii="Times New Roman" w:hAnsi="Times New Roman" w:cs="Times New Roman"/>
                <w:b/>
                <w:lang w:val="ro-MD"/>
              </w:rPr>
            </w:pPr>
            <w:r w:rsidRPr="009E686F">
              <w:rPr>
                <w:rFonts w:ascii="Times New Roman" w:hAnsi="Times New Roman" w:cs="Times New Roman"/>
                <w:b/>
                <w:lang w:val="ro-RO"/>
              </w:rPr>
              <w:t>Pct. 63 din Regulamentul cu privire la amortizoarele de capital ale băncilor, aprobat prin HCE nr.110/2018</w:t>
            </w:r>
          </w:p>
          <w:p w14:paraId="03BC6D54"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b/>
                <w:bCs/>
                <w:lang w:val="ro-RO"/>
              </w:rPr>
              <w:t>63.</w:t>
            </w:r>
            <w:r w:rsidRPr="009E686F">
              <w:rPr>
                <w:rFonts w:ascii="Times New Roman" w:hAnsi="Times New Roman" w:cs="Times New Roman"/>
                <w:lang w:val="ro-RO"/>
              </w:rPr>
              <w:t xml:space="preserve"> Fără a aduce atingere capitolului V şi punctului 58, în cazul în care o societate de tip O-SII din Republica Moldova este o filială a unei societăţi de tip O-SII care este fie o bancă, fie un grup condus de o bancă-mamă din statul străin şi face obiectul unui amortizor specific societăţii de tip O-SII pe o bază consolidată, amortizorul care se aplică, pe bază individuală, pentru societatea de tip O-SII, care este filiala din Republica Moldova, nu trebuie să depăşească cuantumul mai mic dintre următoarele:</w:t>
            </w:r>
          </w:p>
          <w:p w14:paraId="6EBADD4B"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1) suma dintre rata amortizorului O-SII aplicabilă grupului pe bază consolidată şi 1% din cuantumul total al expunerii la risc; şi</w:t>
            </w:r>
          </w:p>
          <w:p w14:paraId="38BAA621" w14:textId="11C885C7" w:rsidR="00984B34" w:rsidRPr="009E686F" w:rsidRDefault="00984B34" w:rsidP="00984B34">
            <w:pPr>
              <w:spacing w:after="0"/>
              <w:rPr>
                <w:rFonts w:ascii="Times New Roman" w:hAnsi="Times New Roman" w:cs="Times New Roman"/>
                <w:lang w:val="ro-RO"/>
              </w:rPr>
            </w:pPr>
            <w:r w:rsidRPr="009E686F">
              <w:rPr>
                <w:rFonts w:ascii="Times New Roman" w:hAnsi="Times New Roman" w:cs="Times New Roman"/>
                <w:lang w:val="ro-RO"/>
              </w:rPr>
              <w:t>2) 3% din cuantumul total al expunerii la risc sau rata amortizorului specific societăţii de tip O-SII aplicabilă grupului pe bază consolidată, stabilit de către Banca Naţională a Moldovei în conformitate cu punctul 58</w:t>
            </w:r>
            <w:r w:rsidRPr="009E686F">
              <w:rPr>
                <w:rFonts w:ascii="Times New Roman" w:hAnsi="Times New Roman" w:cs="Times New Roman"/>
                <w:vertAlign w:val="superscript"/>
                <w:lang w:val="ro-RO"/>
              </w:rPr>
              <w:t>1</w:t>
            </w:r>
            <w:r w:rsidRPr="009E686F">
              <w:rPr>
                <w:rFonts w:ascii="Times New Roman" w:hAnsi="Times New Roman" w:cs="Times New Roman"/>
                <w:lang w:val="ro-RO"/>
              </w:rPr>
              <w:t>.</w:t>
            </w:r>
          </w:p>
        </w:tc>
        <w:tc>
          <w:tcPr>
            <w:tcW w:w="470" w:type="pct"/>
            <w:tcBorders>
              <w:top w:val="single" w:sz="4" w:space="0" w:color="auto"/>
              <w:left w:val="single" w:sz="4" w:space="0" w:color="auto"/>
              <w:right w:val="single" w:sz="4" w:space="0" w:color="auto"/>
            </w:tcBorders>
          </w:tcPr>
          <w:p w14:paraId="2D1E64C5" w14:textId="7653E844"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 xml:space="preserve">Parțial compatibil </w:t>
            </w:r>
          </w:p>
          <w:p w14:paraId="7B89375F" w14:textId="1BC1A1B6" w:rsidR="00984B34" w:rsidRPr="009E686F" w:rsidRDefault="00984B34" w:rsidP="00984B34">
            <w:pPr>
              <w:jc w:val="both"/>
              <w:rPr>
                <w:rFonts w:ascii="Times New Roman" w:hAnsi="Times New Roman" w:cs="Times New Roman"/>
                <w:lang w:val="ro-RO"/>
              </w:rPr>
            </w:pPr>
          </w:p>
          <w:p w14:paraId="70E03714" w14:textId="77777777" w:rsidR="00984B34" w:rsidRPr="009E686F" w:rsidRDefault="00984B34" w:rsidP="00984B34">
            <w:pPr>
              <w:jc w:val="both"/>
              <w:rPr>
                <w:rFonts w:ascii="Times New Roman" w:hAnsi="Times New Roman" w:cs="Times New Roman"/>
                <w:lang w:val="ro-RO"/>
              </w:rPr>
            </w:pPr>
          </w:p>
          <w:p w14:paraId="784410BD" w14:textId="77777777" w:rsidR="00984B34" w:rsidRPr="009E686F" w:rsidRDefault="00984B34" w:rsidP="00984B34">
            <w:pPr>
              <w:jc w:val="both"/>
              <w:rPr>
                <w:rFonts w:ascii="Times New Roman" w:hAnsi="Times New Roman" w:cs="Times New Roman"/>
                <w:lang w:val="ro-RO"/>
              </w:rPr>
            </w:pPr>
          </w:p>
          <w:p w14:paraId="40C613F0" w14:textId="77777777" w:rsidR="00984B34" w:rsidRPr="009E686F" w:rsidRDefault="00984B34" w:rsidP="00984B34">
            <w:pPr>
              <w:jc w:val="both"/>
              <w:rPr>
                <w:rFonts w:ascii="Times New Roman" w:hAnsi="Times New Roman" w:cs="Times New Roman"/>
                <w:lang w:val="ro-RO"/>
              </w:rPr>
            </w:pPr>
          </w:p>
          <w:p w14:paraId="333CDA0B" w14:textId="77777777" w:rsidR="00984B34" w:rsidRPr="009E686F" w:rsidRDefault="00984B34" w:rsidP="00984B34">
            <w:pPr>
              <w:jc w:val="both"/>
              <w:rPr>
                <w:rFonts w:ascii="Times New Roman" w:hAnsi="Times New Roman" w:cs="Times New Roman"/>
                <w:lang w:val="ro-RO"/>
              </w:rPr>
            </w:pPr>
          </w:p>
          <w:p w14:paraId="452027EE" w14:textId="77777777" w:rsidR="00984B34" w:rsidRPr="009E686F" w:rsidRDefault="00984B34" w:rsidP="00984B34">
            <w:pPr>
              <w:jc w:val="both"/>
              <w:rPr>
                <w:rFonts w:ascii="Times New Roman" w:hAnsi="Times New Roman" w:cs="Times New Roman"/>
                <w:lang w:val="ro-RO"/>
              </w:rPr>
            </w:pPr>
          </w:p>
          <w:p w14:paraId="095592D6" w14:textId="77777777" w:rsidR="00984B34" w:rsidRPr="009E686F" w:rsidRDefault="00984B34" w:rsidP="00984B34">
            <w:pPr>
              <w:jc w:val="both"/>
              <w:rPr>
                <w:rFonts w:ascii="Times New Roman" w:hAnsi="Times New Roman" w:cs="Times New Roman"/>
                <w:lang w:val="ro-RO"/>
              </w:rPr>
            </w:pPr>
          </w:p>
          <w:p w14:paraId="52A1BFF6" w14:textId="77777777" w:rsidR="00984B34" w:rsidRPr="009E686F" w:rsidRDefault="00984B34" w:rsidP="00984B34">
            <w:pPr>
              <w:jc w:val="both"/>
              <w:rPr>
                <w:rFonts w:ascii="Times New Roman" w:hAnsi="Times New Roman" w:cs="Times New Roman"/>
                <w:lang w:val="ro-RO"/>
              </w:rPr>
            </w:pPr>
          </w:p>
          <w:p w14:paraId="0C572F9F" w14:textId="77777777" w:rsidR="00984B34" w:rsidRPr="009E686F" w:rsidRDefault="00984B34" w:rsidP="00984B34">
            <w:pPr>
              <w:jc w:val="both"/>
              <w:rPr>
                <w:rFonts w:ascii="Times New Roman" w:hAnsi="Times New Roman" w:cs="Times New Roman"/>
                <w:lang w:val="ro-RO"/>
              </w:rPr>
            </w:pPr>
          </w:p>
          <w:p w14:paraId="6B8421C4" w14:textId="5FEE03E1"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right w:val="single" w:sz="4" w:space="0" w:color="auto"/>
            </w:tcBorders>
          </w:tcPr>
          <w:p w14:paraId="552A5682" w14:textId="63410F64" w:rsidR="00984B34" w:rsidRPr="009E686F" w:rsidRDefault="00984B34" w:rsidP="00984B34">
            <w:pPr>
              <w:rPr>
                <w:rFonts w:ascii="Times New Roman" w:hAnsi="Times New Roman" w:cs="Times New Roman"/>
                <w:lang w:val="ro-RO"/>
              </w:rPr>
            </w:pPr>
            <w:r w:rsidRPr="009E686F">
              <w:rPr>
                <w:rFonts w:ascii="Times New Roman" w:hAnsi="Times New Roman" w:cs="Times New Roman"/>
                <w:lang w:val="ro-RO"/>
              </w:rPr>
              <w:t>Prevederile se vor transpune integral prin proiectul de modificare a Regulamentului cu privire la amortizoarele de capital ale băncilor, aprobat prin HCE nr. 110/2018</w:t>
            </w:r>
            <w:r w:rsidR="00C86601" w:rsidRPr="009E686F">
              <w:rPr>
                <w:rFonts w:ascii="Times New Roman" w:hAnsi="Times New Roman" w:cs="Times New Roman"/>
                <w:lang w:val="ro-RO"/>
              </w:rPr>
              <w:t xml:space="preserve"> (</w:t>
            </w:r>
            <w:r w:rsidR="00C86601" w:rsidRPr="009E686F">
              <w:rPr>
                <w:rFonts w:ascii="Times New Roman" w:eastAsia="Times New Roman" w:hAnsi="Times New Roman" w:cs="Times New Roman"/>
                <w:bCs/>
                <w:lang w:val="it-CH" w:eastAsia="ru-RU"/>
              </w:rPr>
              <w:t>acțiunea normativă nr. 3 din Anexa A din PNA 2025-2029 aferentă Capitolului 9 “Servicii financiare” în legătură cu transpunerea Directivei 2013/36/UE).</w:t>
            </w:r>
          </w:p>
          <w:p w14:paraId="066FBE8C" w14:textId="77777777" w:rsidR="00984B34" w:rsidRPr="009E686F" w:rsidRDefault="00984B34" w:rsidP="00984B34">
            <w:pPr>
              <w:jc w:val="both"/>
              <w:rPr>
                <w:rFonts w:ascii="Times New Roman" w:hAnsi="Times New Roman" w:cs="Times New Roman"/>
                <w:lang w:val="ro-RO"/>
              </w:rPr>
            </w:pPr>
          </w:p>
        </w:tc>
      </w:tr>
      <w:tr w:rsidR="00984B34" w:rsidRPr="009E686F" w14:paraId="037251BD" w14:textId="632AD1A4" w:rsidTr="00774F3E">
        <w:tc>
          <w:tcPr>
            <w:tcW w:w="1796" w:type="pct"/>
            <w:gridSpan w:val="2"/>
            <w:tcBorders>
              <w:top w:val="single" w:sz="4" w:space="0" w:color="auto"/>
              <w:left w:val="single" w:sz="4" w:space="0" w:color="auto"/>
              <w:bottom w:val="single" w:sz="4" w:space="0" w:color="auto"/>
              <w:right w:val="single" w:sz="4" w:space="0" w:color="auto"/>
            </w:tcBorders>
          </w:tcPr>
          <w:p w14:paraId="3A5D5619" w14:textId="43F9BCB8"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(9) Există cel puțin cinci subcategorii de G-SII. Limita cea mai joasă și limitele dintre subcategorii sunt determinate de scorurile obținute în conformitate cu metodologia de identificare menționată la alineatul (2) din prezentul articol. </w:t>
            </w:r>
          </w:p>
          <w:p w14:paraId="4E2BDAC8" w14:textId="0E67B6CC"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lastRenderedPageBreak/>
              <w:t xml:space="preserve">Scorurile-limită dintre subcategoriile adiacente sunt definite în mod clar și aderă la principiul conform căruia există o creștere liniară constantă a importanței sistemice între subcategorii, ceea ce duce la o creștere liniară a cerinței suplimentare de fonduri proprii de nivel 1 de bază, cu excepția celei de a cincea subcategorii și a oricărei subcategorii superioare care ar putea fi adăugată. </w:t>
            </w:r>
          </w:p>
          <w:p w14:paraId="3E36EB69" w14:textId="4E2538FB"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În sensul prezentului alineat, importanța sistemică reprezintă impactul preconizat exercitat de dificultățile G-SII asupra pieței financiare globale. </w:t>
            </w:r>
          </w:p>
          <w:p w14:paraId="5BF1DE81" w14:textId="15E23ED6"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Subcategoriei celei mai joase i se alocă un amortizor G-SII de 1% din cuantumul total al expunerilor la risc, calculat în conformitate cu articolul 92 alineatul (3) din Regulamentul (UE) nr. 575/2013, iar amortizorul alocat fiecărei subcategorii crește în etape de cel puțin 0,5 % din cuantumul total al expunerii la risc, calculat în conformitate cu articolul 92 alineatul (3) din regulamentul respectiv.</w:t>
            </w:r>
          </w:p>
        </w:tc>
        <w:tc>
          <w:tcPr>
            <w:tcW w:w="1928" w:type="pct"/>
            <w:gridSpan w:val="3"/>
            <w:tcBorders>
              <w:top w:val="single" w:sz="4" w:space="0" w:color="auto"/>
              <w:left w:val="single" w:sz="4" w:space="0" w:color="auto"/>
              <w:bottom w:val="single" w:sz="4" w:space="0" w:color="auto"/>
              <w:right w:val="single" w:sz="4" w:space="0" w:color="auto"/>
            </w:tcBorders>
          </w:tcPr>
          <w:p w14:paraId="222BDB89"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1853A91C" w14:textId="399E5D82"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netranspuse</w:t>
            </w:r>
          </w:p>
          <w:p w14:paraId="0791E7B2" w14:textId="56D01F25"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51BC4235" w14:textId="0121599C" w:rsidR="00984B34" w:rsidRPr="009E686F" w:rsidRDefault="00984B34" w:rsidP="00984B34">
            <w:pPr>
              <w:jc w:val="both"/>
              <w:rPr>
                <w:rFonts w:ascii="Times New Roman" w:hAnsi="Times New Roman" w:cs="Times New Roman"/>
                <w:lang w:val="ro-MD"/>
              </w:rPr>
            </w:pPr>
            <w:r w:rsidRPr="009E686F">
              <w:rPr>
                <w:rFonts w:ascii="Times New Roman" w:hAnsi="Times New Roman" w:cs="Times New Roman"/>
                <w:lang w:val="ro-RO"/>
              </w:rPr>
              <w:t xml:space="preserve">Se vor regăsi în proiectul de modificare a Regulamentului cu privire la amortizoarele de capital ale băncilor, </w:t>
            </w:r>
            <w:r w:rsidRPr="009E686F">
              <w:rPr>
                <w:rFonts w:ascii="Times New Roman" w:hAnsi="Times New Roman" w:cs="Times New Roman"/>
                <w:lang w:val="ro-RO"/>
              </w:rPr>
              <w:lastRenderedPageBreak/>
              <w:t>aprobat prin HCE nr. 110/2018</w:t>
            </w:r>
            <w:r w:rsidR="00C86601" w:rsidRPr="009E686F">
              <w:rPr>
                <w:rFonts w:ascii="Times New Roman" w:hAnsi="Times New Roman" w:cs="Times New Roman"/>
                <w:lang w:val="ro-RO"/>
              </w:rPr>
              <w:t xml:space="preserve"> (</w:t>
            </w:r>
            <w:r w:rsidR="00C86601" w:rsidRPr="009E686F">
              <w:rPr>
                <w:rFonts w:ascii="Times New Roman" w:eastAsia="Times New Roman" w:hAnsi="Times New Roman" w:cs="Times New Roman"/>
                <w:bCs/>
                <w:lang w:val="it-CH" w:eastAsia="ru-RU"/>
              </w:rPr>
              <w:t>acțiunea normativă nr. 3 din Anexa A din PNA 2025-2029 aferentă Capitolului 9 “Servicii financiare” în legătură cu transpunerea Directivei 2013/36/UE).</w:t>
            </w:r>
          </w:p>
        </w:tc>
      </w:tr>
      <w:tr w:rsidR="00984B34" w:rsidRPr="009E686F" w14:paraId="67E28C39" w14:textId="6FD9B501" w:rsidTr="00774F3E">
        <w:tc>
          <w:tcPr>
            <w:tcW w:w="1796" w:type="pct"/>
            <w:gridSpan w:val="2"/>
            <w:tcBorders>
              <w:top w:val="single" w:sz="4" w:space="0" w:color="auto"/>
              <w:left w:val="single" w:sz="4" w:space="0" w:color="auto"/>
              <w:bottom w:val="single" w:sz="4" w:space="0" w:color="auto"/>
              <w:right w:val="single" w:sz="4" w:space="0" w:color="auto"/>
            </w:tcBorders>
          </w:tcPr>
          <w:p w14:paraId="2C4C3A33"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lastRenderedPageBreak/>
              <w:t xml:space="preserve">(10) Fără a aduce atingere alineatelor (1) și (9) și utilizând subcategoriile și scorurile-limită menționate la alineatul (9), autoritatea competentă sau autoritatea desemnată poate, în cadrul unui proces solid de evaluare în vederea supravegherii: </w:t>
            </w:r>
          </w:p>
          <w:p w14:paraId="664386EC" w14:textId="6F97C422"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a) să realoce o G-SII dintr-o subcategorie inferioară într-o subcategorie superioară;</w:t>
            </w:r>
          </w:p>
          <w:p w14:paraId="479BE74C"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b) să aloce o entitate menționată la alineatul (1) cu un scor global astfel cum se menționează la alineatul (2) inferior scorului-limită al subcategoriei celei mai joase în respectiva subcategorie sau într-o subcategorie superioară, astfel desemnând-o drept G-SII;</w:t>
            </w:r>
          </w:p>
          <w:p w14:paraId="181B8685" w14:textId="4305271A"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(c) luând în considerare mecanismul unic de rezoluție, să realoce o G-SII dintr-o subcategorie superioară într-o </w:t>
            </w:r>
            <w:r w:rsidRPr="009E686F">
              <w:rPr>
                <w:rFonts w:ascii="Times New Roman" w:hAnsi="Times New Roman" w:cs="Times New Roman"/>
                <w:lang w:val="ro-RO"/>
              </w:rPr>
              <w:lastRenderedPageBreak/>
              <w:t>subcategorie inferioară, pe baza scorului global suplimentar menționat la alineatul (2a).</w:t>
            </w:r>
          </w:p>
        </w:tc>
        <w:tc>
          <w:tcPr>
            <w:tcW w:w="1928" w:type="pct"/>
            <w:gridSpan w:val="3"/>
            <w:tcBorders>
              <w:top w:val="single" w:sz="4" w:space="0" w:color="auto"/>
              <w:left w:val="single" w:sz="4" w:space="0" w:color="auto"/>
              <w:bottom w:val="single" w:sz="4" w:space="0" w:color="auto"/>
              <w:right w:val="single" w:sz="4" w:space="0" w:color="auto"/>
            </w:tcBorders>
          </w:tcPr>
          <w:p w14:paraId="0AA92B90"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right w:val="single" w:sz="4" w:space="0" w:color="auto"/>
            </w:tcBorders>
          </w:tcPr>
          <w:p w14:paraId="16F8F52D" w14:textId="4CDF6A2F"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Nomre UE netranspuse</w:t>
            </w:r>
          </w:p>
        </w:tc>
        <w:tc>
          <w:tcPr>
            <w:tcW w:w="806" w:type="pct"/>
            <w:tcBorders>
              <w:top w:val="single" w:sz="4" w:space="0" w:color="auto"/>
              <w:left w:val="single" w:sz="4" w:space="0" w:color="auto"/>
              <w:bottom w:val="single" w:sz="4" w:space="0" w:color="auto"/>
              <w:right w:val="single" w:sz="4" w:space="0" w:color="auto"/>
            </w:tcBorders>
          </w:tcPr>
          <w:p w14:paraId="6E16693A" w14:textId="1A7ECD15"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Se vor regăsi în proiectul de modificare a Regulamentului cu privire la amortizoarele de capital ale băncilor, aprobat prin HCE nr. 110/2018</w:t>
            </w:r>
            <w:r w:rsidR="00C86601" w:rsidRPr="009E686F">
              <w:rPr>
                <w:rFonts w:ascii="Times New Roman" w:hAnsi="Times New Roman" w:cs="Times New Roman"/>
                <w:lang w:val="ro-RO"/>
              </w:rPr>
              <w:t xml:space="preserve"> (</w:t>
            </w:r>
            <w:r w:rsidR="00C86601" w:rsidRPr="009E686F">
              <w:rPr>
                <w:rFonts w:ascii="Times New Roman" w:eastAsia="Times New Roman" w:hAnsi="Times New Roman" w:cs="Times New Roman"/>
                <w:bCs/>
                <w:lang w:val="it-CH" w:eastAsia="ru-RU"/>
              </w:rPr>
              <w:t>acțiunea normativă nr. 3 din Anexa A din PNA 2025-2029 aferentă Capitolului 9 “Servicii financiare” în legătură cu transpunerea Directivei 2013/36/UE).</w:t>
            </w:r>
          </w:p>
        </w:tc>
      </w:tr>
      <w:tr w:rsidR="00984B34" w:rsidRPr="009E686F" w14:paraId="13D45613" w14:textId="0B4EA420" w:rsidTr="00774F3E">
        <w:tc>
          <w:tcPr>
            <w:tcW w:w="1796" w:type="pct"/>
            <w:gridSpan w:val="2"/>
            <w:tcBorders>
              <w:top w:val="single" w:sz="4" w:space="0" w:color="auto"/>
              <w:left w:val="single" w:sz="4" w:space="0" w:color="auto"/>
              <w:bottom w:val="single" w:sz="4" w:space="0" w:color="auto"/>
              <w:right w:val="single" w:sz="4" w:space="0" w:color="auto"/>
            </w:tcBorders>
          </w:tcPr>
          <w:p w14:paraId="2810D862" w14:textId="2E5A9BA9"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(12) Autoritatea competentă sau autoritatea desemnată notifică CERS, numele G-SII și ale O-SII, precum și subcategoria respectivă în care este alocată fiecare G-SII. Notificarea conține toate motivele pentru care s-a desfășurat sau nu un proces de evaluare în vederea supravegherii în conformitate cu alineatul (10) literele (a), (b) și (c). CERS transmite fără întârziere astfel de notificări Comisiei și ABE și face  publice numele respective. Autoritățile competente sau desemnate fac publică subcategoria în care este alocată fiecare G-SII.</w:t>
            </w:r>
          </w:p>
        </w:tc>
        <w:tc>
          <w:tcPr>
            <w:tcW w:w="1928" w:type="pct"/>
            <w:gridSpan w:val="3"/>
            <w:tcBorders>
              <w:top w:val="single" w:sz="4" w:space="0" w:color="auto"/>
              <w:left w:val="single" w:sz="4" w:space="0" w:color="auto"/>
              <w:bottom w:val="single" w:sz="4" w:space="0" w:color="auto"/>
              <w:right w:val="single" w:sz="4" w:space="0" w:color="auto"/>
            </w:tcBorders>
          </w:tcPr>
          <w:p w14:paraId="1357A991"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2510E2AA" w14:textId="38706F37"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netranspuse</w:t>
            </w:r>
          </w:p>
        </w:tc>
        <w:tc>
          <w:tcPr>
            <w:tcW w:w="806" w:type="pct"/>
            <w:tcBorders>
              <w:top w:val="single" w:sz="4" w:space="0" w:color="auto"/>
              <w:left w:val="single" w:sz="4" w:space="0" w:color="auto"/>
              <w:bottom w:val="single" w:sz="4" w:space="0" w:color="auto"/>
              <w:right w:val="single" w:sz="4" w:space="0" w:color="auto"/>
            </w:tcBorders>
          </w:tcPr>
          <w:p w14:paraId="5512F51C" w14:textId="067C21D4" w:rsidR="00984B34" w:rsidRPr="009E686F" w:rsidRDefault="00984B34" w:rsidP="00984B34">
            <w:pPr>
              <w:jc w:val="both"/>
              <w:rPr>
                <w:lang w:val="ro-RO"/>
              </w:rPr>
            </w:pPr>
            <w:r w:rsidRPr="009E686F">
              <w:rPr>
                <w:rFonts w:ascii="Times New Roman" w:hAnsi="Times New Roman" w:cs="Times New Roman"/>
                <w:lang w:val="ro-RO"/>
              </w:rPr>
              <w:t>Se vor regăsi în proiectul de modificare a Regulamentului cu privire la amortizoarele de capital ale băncilor, aprobat prin HCE nr. 110/2018</w:t>
            </w:r>
            <w:r w:rsidR="0008435A" w:rsidRPr="009E686F">
              <w:rPr>
                <w:rFonts w:ascii="Times New Roman" w:hAnsi="Times New Roman" w:cs="Times New Roman"/>
                <w:lang w:val="ro-RO"/>
              </w:rPr>
              <w:t xml:space="preserve"> (</w:t>
            </w:r>
            <w:r w:rsidR="0008435A" w:rsidRPr="009E686F">
              <w:rPr>
                <w:rFonts w:ascii="Times New Roman" w:eastAsia="Times New Roman" w:hAnsi="Times New Roman" w:cs="Times New Roman"/>
                <w:bCs/>
                <w:lang w:val="it-CH" w:eastAsia="ru-RU"/>
              </w:rPr>
              <w:t>acțiunea normativă nr. 3 din Anexa A din PNA 2025-2029 aferentă Capitolului 9 “Servicii financiare” în legătură cu transpunerea Directivei 2013/36/UE).</w:t>
            </w:r>
          </w:p>
        </w:tc>
      </w:tr>
      <w:tr w:rsidR="00984B34" w:rsidRPr="009E686F" w14:paraId="4475481A" w14:textId="54078A67" w:rsidTr="00774F3E">
        <w:tc>
          <w:tcPr>
            <w:tcW w:w="1796" w:type="pct"/>
            <w:gridSpan w:val="2"/>
            <w:tcBorders>
              <w:top w:val="single" w:sz="4" w:space="0" w:color="auto"/>
              <w:left w:val="single" w:sz="4" w:space="0" w:color="auto"/>
              <w:bottom w:val="single" w:sz="4" w:space="0" w:color="auto"/>
              <w:right w:val="single" w:sz="4" w:space="0" w:color="auto"/>
            </w:tcBorders>
          </w:tcPr>
          <w:p w14:paraId="247387EC" w14:textId="7FEC2839"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Autoritatea competentă sau autoritatea desemnată revizuiește anual identificarea G-SII și a O-SII, precum și alocarea G-SII în subcategoriile respective și comunică rezultatul instituției de importanță sistemică vizate și către  CERS, care transmite fără întârziere rezultatele Comisiei și ABE.Autoritatea competentă sau autoritatea desemnată face publică lista actualizată a instituțiilor de importanță sistemică identificate și subcategoria în care este alocată fiecare G-SII identificată.</w:t>
            </w:r>
          </w:p>
        </w:tc>
        <w:tc>
          <w:tcPr>
            <w:tcW w:w="1928" w:type="pct"/>
            <w:gridSpan w:val="3"/>
            <w:tcBorders>
              <w:top w:val="single" w:sz="4" w:space="0" w:color="auto"/>
              <w:left w:val="single" w:sz="4" w:space="0" w:color="auto"/>
              <w:bottom w:val="single" w:sz="4" w:space="0" w:color="auto"/>
              <w:right w:val="single" w:sz="4" w:space="0" w:color="auto"/>
            </w:tcBorders>
          </w:tcPr>
          <w:p w14:paraId="4311B707"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19A75BB1" w14:textId="7651BDFC"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netranspuse</w:t>
            </w:r>
          </w:p>
        </w:tc>
        <w:tc>
          <w:tcPr>
            <w:tcW w:w="806" w:type="pct"/>
            <w:tcBorders>
              <w:top w:val="single" w:sz="4" w:space="0" w:color="auto"/>
              <w:left w:val="single" w:sz="4" w:space="0" w:color="auto"/>
              <w:bottom w:val="single" w:sz="4" w:space="0" w:color="auto"/>
              <w:right w:val="single" w:sz="4" w:space="0" w:color="auto"/>
            </w:tcBorders>
          </w:tcPr>
          <w:p w14:paraId="0EAFF36B" w14:textId="14170B87"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Se vor regăsi în proiectul de modificare a Regulamentului cu privire la amortizoarele de capital ale băncilor, aprobat prin HCE nr. 110/2018</w:t>
            </w:r>
            <w:r w:rsidR="0008435A" w:rsidRPr="009E686F">
              <w:rPr>
                <w:rFonts w:ascii="Times New Roman" w:hAnsi="Times New Roman" w:cs="Times New Roman"/>
                <w:lang w:val="ro-RO"/>
              </w:rPr>
              <w:t xml:space="preserve"> (</w:t>
            </w:r>
            <w:r w:rsidR="0008435A" w:rsidRPr="009E686F">
              <w:rPr>
                <w:rFonts w:ascii="Times New Roman" w:eastAsia="Times New Roman" w:hAnsi="Times New Roman" w:cs="Times New Roman"/>
                <w:bCs/>
                <w:lang w:val="it-CH" w:eastAsia="ru-RU"/>
              </w:rPr>
              <w:t>acțiunea normativă nr. 3 din Anexa A din PNA 2025-2029 aferentă Capitolului 9 “Servicii financiare” în legătură cu transpunerea Directivei 2013/36/UE).</w:t>
            </w:r>
          </w:p>
        </w:tc>
      </w:tr>
      <w:tr w:rsidR="00984B34" w:rsidRPr="009E686F" w14:paraId="6029F55E" w14:textId="198CE7F7" w:rsidTr="00774F3E">
        <w:tc>
          <w:tcPr>
            <w:tcW w:w="1796" w:type="pct"/>
            <w:gridSpan w:val="2"/>
            <w:tcBorders>
              <w:top w:val="single" w:sz="4" w:space="0" w:color="auto"/>
              <w:left w:val="single" w:sz="4" w:space="0" w:color="auto"/>
              <w:bottom w:val="single" w:sz="4" w:space="0" w:color="auto"/>
              <w:right w:val="single" w:sz="4" w:space="0" w:color="auto"/>
            </w:tcBorders>
          </w:tcPr>
          <w:p w14:paraId="0406FF2D" w14:textId="3DE6C94B"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lastRenderedPageBreak/>
              <w:t>(14) În cazul în care un grup, pe bază consolidată, face obiectul unui amortizor G-SII și al unui amortizor O-SII, se aplică amortizorul cel mai mare.</w:t>
            </w:r>
          </w:p>
          <w:p w14:paraId="060D84F9" w14:textId="5C24642A" w:rsidR="00984B34" w:rsidRPr="009E686F" w:rsidRDefault="00984B34" w:rsidP="00984B34">
            <w:pPr>
              <w:spacing w:after="0"/>
              <w:jc w:val="both"/>
              <w:rPr>
                <w:rFonts w:ascii="Times New Roman" w:hAnsi="Times New Roman" w:cs="Times New Roman"/>
                <w:lang w:val="ro-RO"/>
              </w:rPr>
            </w:pPr>
          </w:p>
        </w:tc>
        <w:tc>
          <w:tcPr>
            <w:tcW w:w="1928" w:type="pct"/>
            <w:gridSpan w:val="3"/>
            <w:tcBorders>
              <w:top w:val="single" w:sz="4" w:space="0" w:color="auto"/>
              <w:left w:val="single" w:sz="4" w:space="0" w:color="auto"/>
              <w:bottom w:val="single" w:sz="4" w:space="0" w:color="auto"/>
              <w:right w:val="single" w:sz="4" w:space="0" w:color="auto"/>
            </w:tcBorders>
          </w:tcPr>
          <w:p w14:paraId="1EA7EB77"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right w:val="single" w:sz="4" w:space="0" w:color="auto"/>
            </w:tcBorders>
          </w:tcPr>
          <w:p w14:paraId="5F0E2F75" w14:textId="205A0CFF"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netranspuse</w:t>
            </w:r>
          </w:p>
          <w:p w14:paraId="2B00FE56" w14:textId="6241952D"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7CDF1D5E" w14:textId="642438EF"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Se vor regăsi în proiectul de modificare a Regulamentului cu privire la amortizoarele de capital ale băncilor, aprobat prin HCE nr. 110/2018</w:t>
            </w:r>
            <w:r w:rsidR="0008435A" w:rsidRPr="009E686F">
              <w:rPr>
                <w:rFonts w:ascii="Times New Roman" w:hAnsi="Times New Roman" w:cs="Times New Roman"/>
                <w:lang w:val="ro-RO"/>
              </w:rPr>
              <w:t xml:space="preserve"> (</w:t>
            </w:r>
            <w:r w:rsidR="0008435A" w:rsidRPr="009E686F">
              <w:rPr>
                <w:rFonts w:ascii="Times New Roman" w:eastAsia="Times New Roman" w:hAnsi="Times New Roman" w:cs="Times New Roman"/>
                <w:bCs/>
                <w:lang w:val="it-CH" w:eastAsia="ru-RU"/>
              </w:rPr>
              <w:t>acțiunea normativă nr. 3 din Anexa A din PNA 2025-2029 aferentă Capitolului 9 “Servicii financiare” în legătură cu transpunerea Directivei 2013/36/UE).</w:t>
            </w:r>
          </w:p>
        </w:tc>
      </w:tr>
      <w:tr w:rsidR="00984B34" w:rsidRPr="009E686F" w14:paraId="0A88AEB6" w14:textId="15A84C4D" w:rsidTr="00774F3E">
        <w:tc>
          <w:tcPr>
            <w:tcW w:w="1796" w:type="pct"/>
            <w:gridSpan w:val="2"/>
            <w:tcBorders>
              <w:top w:val="single" w:sz="4" w:space="0" w:color="auto"/>
              <w:left w:val="single" w:sz="4" w:space="0" w:color="auto"/>
              <w:bottom w:val="single" w:sz="4" w:space="0" w:color="auto"/>
              <w:right w:val="single" w:sz="4" w:space="0" w:color="auto"/>
            </w:tcBorders>
          </w:tcPr>
          <w:p w14:paraId="4E15A41C" w14:textId="38F0F168" w:rsidR="00984B34" w:rsidRPr="009E686F" w:rsidRDefault="00984B34" w:rsidP="00984B34">
            <w:pPr>
              <w:spacing w:after="0"/>
              <w:jc w:val="both"/>
              <w:rPr>
                <w:rFonts w:ascii="Times New Roman" w:hAnsi="Times New Roman" w:cs="Times New Roman"/>
                <w:lang w:val="ro-RO"/>
              </w:rPr>
            </w:pPr>
          </w:p>
          <w:p w14:paraId="6BB9DFAF" w14:textId="1058709B"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(15) În cazul în care o instituție face obiectul unui amortizor de risc sistemic, stabilit în conformitate cu articolul 133 amortizorul respectiv se cumulează cu amortizorul O-SII sau cu amortizorul  G-SII care se aplică în conformitate cu prezentul articol.</w:t>
            </w:r>
          </w:p>
        </w:tc>
        <w:tc>
          <w:tcPr>
            <w:tcW w:w="1928" w:type="pct"/>
            <w:gridSpan w:val="3"/>
            <w:tcBorders>
              <w:top w:val="single" w:sz="4" w:space="0" w:color="auto"/>
              <w:left w:val="single" w:sz="4" w:space="0" w:color="auto"/>
              <w:bottom w:val="single" w:sz="4" w:space="0" w:color="auto"/>
              <w:right w:val="single" w:sz="4" w:space="0" w:color="auto"/>
            </w:tcBorders>
          </w:tcPr>
          <w:p w14:paraId="6F5C62AF" w14:textId="6457A359"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b/>
                <w:lang w:val="ro-RO"/>
              </w:rPr>
              <w:t>Pct. 65</w:t>
            </w:r>
            <w:r w:rsidRPr="009E686F">
              <w:rPr>
                <w:rFonts w:ascii="Times New Roman" w:hAnsi="Times New Roman" w:cs="Times New Roman"/>
                <w:b/>
                <w:vertAlign w:val="superscript"/>
                <w:lang w:val="ro-RO"/>
              </w:rPr>
              <w:t>1</w:t>
            </w:r>
            <w:r w:rsidRPr="009E686F">
              <w:rPr>
                <w:rFonts w:ascii="Times New Roman" w:hAnsi="Times New Roman" w:cs="Times New Roman"/>
                <w:b/>
                <w:lang w:val="ro-RO"/>
              </w:rPr>
              <w:t xml:space="preserve"> din Regulamentul cu privire la amortizoarele de capital ale băncilor, aprobat prin HCE nr.110/2018</w:t>
            </w:r>
          </w:p>
          <w:p w14:paraId="78BE83B2" w14:textId="61C8C6E8" w:rsidR="00984B34" w:rsidRPr="009E686F" w:rsidRDefault="00984B34" w:rsidP="00984B34">
            <w:pPr>
              <w:jc w:val="both"/>
              <w:rPr>
                <w:rFonts w:ascii="Times New Roman" w:hAnsi="Times New Roman" w:cs="Times New Roman"/>
                <w:bCs/>
                <w:lang w:val="ro-RO"/>
              </w:rPr>
            </w:pPr>
            <w:r w:rsidRPr="009E686F">
              <w:rPr>
                <w:rFonts w:ascii="Times New Roman" w:hAnsi="Times New Roman" w:cs="Times New Roman"/>
                <w:b/>
                <w:lang w:val="ro-RO"/>
              </w:rPr>
              <w:t>65</w:t>
            </w:r>
            <w:r w:rsidRPr="009E686F">
              <w:rPr>
                <w:rFonts w:ascii="Times New Roman" w:hAnsi="Times New Roman" w:cs="Times New Roman"/>
                <w:b/>
                <w:vertAlign w:val="superscript"/>
                <w:lang w:val="ro-RO"/>
              </w:rPr>
              <w:t>1</w:t>
            </w:r>
            <w:r w:rsidRPr="009E686F">
              <w:rPr>
                <w:rFonts w:ascii="Times New Roman" w:hAnsi="Times New Roman" w:cs="Times New Roman"/>
                <w:b/>
                <w:lang w:val="ro-RO"/>
              </w:rPr>
              <w:t>.</w:t>
            </w:r>
            <w:r w:rsidRPr="009E686F">
              <w:rPr>
                <w:rFonts w:ascii="Times New Roman" w:hAnsi="Times New Roman" w:cs="Times New Roman"/>
                <w:bCs/>
                <w:lang w:val="ro-RO"/>
              </w:rPr>
              <w:t xml:space="preserve"> În cazul în care o bancă face obiectul unui amortizor de risc sistemic, stabilit în conformitate cu punctul 70, amortizorul respectiv se cumulează cu amortizorul O-SII care se aplică în conformitate cu prezentul capitol.</w:t>
            </w:r>
          </w:p>
        </w:tc>
        <w:tc>
          <w:tcPr>
            <w:tcW w:w="470" w:type="pct"/>
            <w:tcBorders>
              <w:top w:val="single" w:sz="4" w:space="0" w:color="auto"/>
              <w:left w:val="single" w:sz="4" w:space="0" w:color="auto"/>
              <w:bottom w:val="single" w:sz="4" w:space="0" w:color="auto"/>
              <w:right w:val="single" w:sz="4" w:space="0" w:color="auto"/>
            </w:tcBorders>
          </w:tcPr>
          <w:p w14:paraId="05D06B1F" w14:textId="5943542C"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 xml:space="preserve">Parțial compatibil </w:t>
            </w:r>
          </w:p>
          <w:p w14:paraId="3FCF309C" w14:textId="383553D6"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1B846A69" w14:textId="42EB4015"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Se vor regăsi în proiectul de modificare a Regulamentului cu privire la amortizoarele de capital ale băncilor, aprobat prin HCE nr. 110/2018</w:t>
            </w:r>
            <w:r w:rsidR="0008435A" w:rsidRPr="009E686F">
              <w:rPr>
                <w:rFonts w:ascii="Times New Roman" w:hAnsi="Times New Roman" w:cs="Times New Roman"/>
                <w:lang w:val="ro-RO"/>
              </w:rPr>
              <w:t xml:space="preserve"> (</w:t>
            </w:r>
            <w:r w:rsidR="0008435A" w:rsidRPr="009E686F">
              <w:rPr>
                <w:rFonts w:ascii="Times New Roman" w:eastAsia="Times New Roman" w:hAnsi="Times New Roman" w:cs="Times New Roman"/>
                <w:bCs/>
                <w:lang w:val="it-CH" w:eastAsia="ru-RU"/>
              </w:rPr>
              <w:t>acțiunea normativă nr. 3 din Anexa A din PNA 2025-2029 aferentă Capitolului 9 “Servicii financiare” în legătură cu transpunerea Directivei 2013/36/UE).</w:t>
            </w:r>
          </w:p>
        </w:tc>
      </w:tr>
      <w:tr w:rsidR="00984B34" w:rsidRPr="009E686F" w14:paraId="0E9F26E8"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56EC3AF0" w14:textId="4F207092"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În cazul în care suma dintre rata amortizorului de risc sistemic, astfel cum este calculată în sensul articolului 133 alineatul (10), (11) sau (12), și rata amortizorului O-SII sau </w:t>
            </w:r>
            <w:r w:rsidRPr="009E686F">
              <w:rPr>
                <w:rFonts w:ascii="Times New Roman" w:hAnsi="Times New Roman" w:cs="Times New Roman"/>
                <w:lang w:val="ro-RO"/>
              </w:rPr>
              <w:lastRenderedPageBreak/>
              <w:t>rata amortizorului G-SII al cărui obiect îl face aceeași instituție ar fi mai mare de 5 %, se aplică procedura stabilită la alineatul (5a) de la prezentul articol.   În sensul prezentului alineat, în cazul în care decizia de a stabili un amortizor de risc sistemic, un amortizor O-SII sau un amortizor G-SII duce la o scădere a ratelor stabilite anterior sau la menținerea acelorași niveluri ale respectivelor rate, nu se aplică procedura prevăzută la alineatul (5a) de la prezentul articol.</w:t>
            </w:r>
          </w:p>
        </w:tc>
        <w:tc>
          <w:tcPr>
            <w:tcW w:w="1928" w:type="pct"/>
            <w:gridSpan w:val="3"/>
            <w:tcBorders>
              <w:top w:val="single" w:sz="4" w:space="0" w:color="auto"/>
              <w:left w:val="single" w:sz="4" w:space="0" w:color="auto"/>
              <w:bottom w:val="single" w:sz="4" w:space="0" w:color="auto"/>
              <w:right w:val="single" w:sz="4" w:space="0" w:color="auto"/>
            </w:tcBorders>
          </w:tcPr>
          <w:p w14:paraId="266BFD1B" w14:textId="77777777" w:rsidR="00984B34" w:rsidRPr="009E686F" w:rsidRDefault="00984B34" w:rsidP="00984B34">
            <w:pPr>
              <w:spacing w:after="0"/>
              <w:jc w:val="both"/>
              <w:rPr>
                <w:rFonts w:ascii="Times New Roman" w:hAnsi="Times New Roman" w:cs="Times New Roman"/>
                <w:bCs/>
                <w:lang w:val="ro-RO"/>
              </w:rPr>
            </w:pPr>
          </w:p>
        </w:tc>
        <w:tc>
          <w:tcPr>
            <w:tcW w:w="470" w:type="pct"/>
            <w:tcBorders>
              <w:top w:val="single" w:sz="4" w:space="0" w:color="auto"/>
              <w:left w:val="single" w:sz="4" w:space="0" w:color="auto"/>
              <w:bottom w:val="single" w:sz="4" w:space="0" w:color="auto"/>
              <w:right w:val="single" w:sz="4" w:space="0" w:color="auto"/>
            </w:tcBorders>
          </w:tcPr>
          <w:p w14:paraId="5C570467" w14:textId="77777777"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netranspuse</w:t>
            </w:r>
          </w:p>
          <w:p w14:paraId="17D9BD0B" w14:textId="77777777"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1736065F" w14:textId="222AA7E3"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lastRenderedPageBreak/>
              <w:t xml:space="preserve">Se vor regăsi în proiectul de modificare a Regulamentului cu </w:t>
            </w:r>
            <w:r w:rsidRPr="009E686F">
              <w:rPr>
                <w:rFonts w:ascii="Times New Roman" w:hAnsi="Times New Roman" w:cs="Times New Roman"/>
                <w:lang w:val="ro-RO"/>
              </w:rPr>
              <w:lastRenderedPageBreak/>
              <w:t>privire la amortizoarele de capital ale băncilor, aprobat prin HCE nr. 110/2018</w:t>
            </w:r>
            <w:r w:rsidR="0008435A" w:rsidRPr="009E686F">
              <w:rPr>
                <w:rFonts w:ascii="Times New Roman" w:hAnsi="Times New Roman" w:cs="Times New Roman"/>
                <w:lang w:val="ro-RO"/>
              </w:rPr>
              <w:t xml:space="preserve"> (</w:t>
            </w:r>
            <w:r w:rsidR="0008435A" w:rsidRPr="009E686F">
              <w:rPr>
                <w:rFonts w:ascii="Times New Roman" w:eastAsia="Times New Roman" w:hAnsi="Times New Roman" w:cs="Times New Roman"/>
                <w:bCs/>
                <w:lang w:val="it-CH" w:eastAsia="ru-RU"/>
              </w:rPr>
              <w:t>acțiunea normativă nr. 3 din Anexa A din PNA 2025-2029 aferentă Capitolului 9 “Servicii financiare” în legătură cu transpunerea Directivei 2013/36/UE).</w:t>
            </w:r>
          </w:p>
        </w:tc>
      </w:tr>
      <w:tr w:rsidR="00984B34" w:rsidRPr="009E686F" w14:paraId="7936CB38" w14:textId="490067D4" w:rsidTr="00774F3E">
        <w:tc>
          <w:tcPr>
            <w:tcW w:w="1796" w:type="pct"/>
            <w:gridSpan w:val="2"/>
            <w:tcBorders>
              <w:top w:val="single" w:sz="4" w:space="0" w:color="auto"/>
              <w:left w:val="single" w:sz="4" w:space="0" w:color="auto"/>
              <w:bottom w:val="single" w:sz="4" w:space="0" w:color="auto"/>
              <w:right w:val="single" w:sz="4" w:space="0" w:color="auto"/>
            </w:tcBorders>
          </w:tcPr>
          <w:p w14:paraId="2A313E6D" w14:textId="23606610"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lastRenderedPageBreak/>
              <w:t>(18) ABE elaborează proiecte de standarde tehnice de reglementare care precizează, în sensul prezentului articol, metodologiile pe baza cărora autoritatea competentă sau autoritatea desemnată identifică o instituție sau un grup condus de o instituție-mamă din UE, de o societate financiară holding-mamă sau de o societate financiară holding mixtă-mamă din UE drept G-SII și care specifică metodologia de definire a subcategoriilor și de alocare a G-SII în subcategorii pe baza importanței lor sistemice, ținând seama de eventualele standarde convenite la nivel internațional.</w:t>
            </w:r>
          </w:p>
          <w:p w14:paraId="3E34A900"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ABE înaintează Comisiei aceste proiecte de standarde tehnice de reglementare până la 30 iunie 2014.</w:t>
            </w:r>
          </w:p>
          <w:p w14:paraId="054430D5" w14:textId="44382723"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Se deleagă Comisiei competența de a adopta standardele tehnice de reglementare menționate la prezentul alineat, în conformitate cu articolele 10-14 din Regulamentul (UE) nr. 1093/2010.</w:t>
            </w:r>
          </w:p>
        </w:tc>
        <w:tc>
          <w:tcPr>
            <w:tcW w:w="1928" w:type="pct"/>
            <w:gridSpan w:val="3"/>
            <w:tcBorders>
              <w:top w:val="single" w:sz="4" w:space="0" w:color="auto"/>
              <w:left w:val="single" w:sz="4" w:space="0" w:color="auto"/>
              <w:bottom w:val="single" w:sz="4" w:space="0" w:color="auto"/>
              <w:right w:val="single" w:sz="4" w:space="0" w:color="auto"/>
            </w:tcBorders>
          </w:tcPr>
          <w:p w14:paraId="62C84520"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3810D7E2" w14:textId="0A3F597A"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neaplicabile</w:t>
            </w:r>
          </w:p>
        </w:tc>
        <w:tc>
          <w:tcPr>
            <w:tcW w:w="806" w:type="pct"/>
            <w:tcBorders>
              <w:top w:val="single" w:sz="4" w:space="0" w:color="auto"/>
              <w:left w:val="single" w:sz="4" w:space="0" w:color="auto"/>
              <w:bottom w:val="single" w:sz="4" w:space="0" w:color="auto"/>
              <w:right w:val="single" w:sz="4" w:space="0" w:color="auto"/>
            </w:tcBorders>
          </w:tcPr>
          <w:p w14:paraId="21319F8E" w14:textId="0A003A26"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Se referă la competențele ABE.</w:t>
            </w:r>
          </w:p>
        </w:tc>
      </w:tr>
      <w:tr w:rsidR="00984B34" w:rsidRPr="009E686F" w14:paraId="1CF77569"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38FFBA87" w14:textId="77777777" w:rsidR="00984B34" w:rsidRPr="009E686F" w:rsidRDefault="00984B34" w:rsidP="00984B34">
            <w:pPr>
              <w:spacing w:after="0"/>
              <w:jc w:val="both"/>
              <w:rPr>
                <w:rFonts w:ascii="Times New Roman" w:hAnsi="Times New Roman" w:cs="Times New Roman"/>
                <w:i/>
                <w:iCs/>
                <w:lang w:val="ro-RO"/>
              </w:rPr>
            </w:pPr>
            <w:r w:rsidRPr="009E686F">
              <w:rPr>
                <w:rFonts w:ascii="Times New Roman" w:hAnsi="Times New Roman" w:cs="Times New Roman"/>
                <w:i/>
                <w:iCs/>
                <w:lang w:val="ro-RO"/>
              </w:rPr>
              <w:t xml:space="preserve">Articolul 133 </w:t>
            </w:r>
          </w:p>
          <w:p w14:paraId="45A3B066"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Cerința de menținere a unui amortizor de risc sistemic</w:t>
            </w:r>
          </w:p>
          <w:p w14:paraId="33B30D5A"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lastRenderedPageBreak/>
              <w:t>(1) Fiecare stat membru se asigură că există posibilitatea de a stabili un amortizor de risc sistemic constituit din fonduri proprii de nivel 1 de bază pentru sectorul financiar ori pentru unul sau mai multe subseturi ale sectorului, aplicabil tuturor expunerilor sau unui subset al acestora, astfel cum se menționează la alineatul (5) de la prezentul articol, pentru a preveni și a atenua riscurile macroprudențiale sau sistemice, inclusiv riscurile macroprudențiale sau sistemice care decurg din schimbările climatice, care nu sunt acoperite de Regulamentul (UE) nr. 575/2013 și de articolele 130 și 131 din prezenta directivă, cu alte cuvinte un risc de perturbare a sistemului financiar care poate să genereze consecințe negative semnificative pentru sistemul financiar și pentru economia reală dintr-un anumit stat membru.</w:t>
            </w:r>
          </w:p>
          <w:p w14:paraId="6934D01A" w14:textId="77777777" w:rsidR="00984B34" w:rsidRPr="009E686F" w:rsidRDefault="00984B34" w:rsidP="00984B34">
            <w:pPr>
              <w:spacing w:after="0"/>
              <w:jc w:val="both"/>
              <w:rPr>
                <w:rFonts w:ascii="Times New Roman" w:hAnsi="Times New Roman" w:cs="Times New Roman"/>
                <w:lang w:val="ro-RO"/>
              </w:rPr>
            </w:pPr>
          </w:p>
        </w:tc>
        <w:tc>
          <w:tcPr>
            <w:tcW w:w="1928" w:type="pct"/>
            <w:gridSpan w:val="3"/>
            <w:tcBorders>
              <w:top w:val="single" w:sz="4" w:space="0" w:color="auto"/>
              <w:left w:val="single" w:sz="4" w:space="0" w:color="auto"/>
              <w:bottom w:val="single" w:sz="4" w:space="0" w:color="auto"/>
              <w:right w:val="single" w:sz="4" w:space="0" w:color="auto"/>
            </w:tcBorders>
          </w:tcPr>
          <w:p w14:paraId="091B69FD" w14:textId="77777777" w:rsidR="00984B34" w:rsidRPr="009E686F" w:rsidRDefault="00984B34" w:rsidP="00984B34">
            <w:pPr>
              <w:spacing w:after="0"/>
              <w:rPr>
                <w:rFonts w:ascii="Times New Roman" w:hAnsi="Times New Roman" w:cs="Times New Roman"/>
                <w:b/>
                <w:lang w:val="ro-MD"/>
              </w:rPr>
            </w:pPr>
            <w:r w:rsidRPr="009E686F">
              <w:rPr>
                <w:rFonts w:ascii="Times New Roman" w:hAnsi="Times New Roman" w:cs="Times New Roman"/>
                <w:b/>
                <w:lang w:val="ro-RO"/>
              </w:rPr>
              <w:lastRenderedPageBreak/>
              <w:t>Pct.70 din Regulamentul cu privire la amortizoarele de capital ale băncilor, aprobat prin HCE nr.110/2018</w:t>
            </w:r>
          </w:p>
          <w:p w14:paraId="7BBDCC33" w14:textId="77777777" w:rsidR="00984B34" w:rsidRPr="009E686F" w:rsidRDefault="00984B34" w:rsidP="00984B34">
            <w:pPr>
              <w:spacing w:after="0"/>
              <w:jc w:val="both"/>
              <w:rPr>
                <w:rFonts w:ascii="Times New Roman" w:hAnsi="Times New Roman" w:cs="Times New Roman"/>
                <w:bCs/>
                <w:lang w:val="ro-RO"/>
              </w:rPr>
            </w:pPr>
            <w:r w:rsidRPr="009E686F">
              <w:rPr>
                <w:rFonts w:ascii="Times New Roman" w:hAnsi="Times New Roman" w:cs="Times New Roman"/>
                <w:bCs/>
                <w:lang w:val="ro-RO"/>
              </w:rPr>
              <w:t>CAPITOLUL V. Amortizor de risc sistemic</w:t>
            </w:r>
          </w:p>
          <w:p w14:paraId="3B4FB0B2" w14:textId="77777777" w:rsidR="00984B34" w:rsidRPr="009E686F" w:rsidRDefault="00984B34" w:rsidP="00984B34">
            <w:pPr>
              <w:spacing w:after="0"/>
              <w:jc w:val="both"/>
              <w:rPr>
                <w:rFonts w:ascii="Times New Roman" w:hAnsi="Times New Roman" w:cs="Times New Roman"/>
                <w:bCs/>
                <w:lang w:val="ro-RO"/>
              </w:rPr>
            </w:pPr>
            <w:r w:rsidRPr="009E686F">
              <w:rPr>
                <w:rFonts w:ascii="Times New Roman" w:hAnsi="Times New Roman" w:cs="Times New Roman"/>
                <w:bCs/>
                <w:lang w:val="ro-RO"/>
              </w:rPr>
              <w:lastRenderedPageBreak/>
              <w:t>Secțiunea 1. Cerința de menținere a unui amortizor de risc sistemic</w:t>
            </w:r>
          </w:p>
          <w:p w14:paraId="2A2074C0" w14:textId="7B3A735A"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b/>
                <w:lang w:val="ro-RO"/>
              </w:rPr>
              <w:t>70.</w:t>
            </w:r>
            <w:r w:rsidRPr="009E686F">
              <w:rPr>
                <w:rFonts w:ascii="Times New Roman" w:hAnsi="Times New Roman" w:cs="Times New Roman"/>
                <w:bCs/>
                <w:lang w:val="ro-RO"/>
              </w:rPr>
              <w:t xml:space="preserve"> Banca Naţională a Moldovei poate stabili un amortizor de risc sistemic, pentru a preveni şi a diminua riscurile macroprudenţiale sau sistemice care nu sunt acoperite de alte acte normative elaborate în temeiul Legii nr.202/2017 şi de prevederile capitolului III, secţiunea a 2-a şi ale capitolului IV din prezentul regulament, în sensul de risc de perturbare a sistemului financiar care poate să genereze consecinţe negative semnificative pentru sistemul financiar şi pentru economia reală a Republicii Moldova.</w:t>
            </w:r>
          </w:p>
        </w:tc>
        <w:tc>
          <w:tcPr>
            <w:tcW w:w="470" w:type="pct"/>
            <w:tcBorders>
              <w:top w:val="single" w:sz="4" w:space="0" w:color="auto"/>
              <w:left w:val="single" w:sz="4" w:space="0" w:color="auto"/>
              <w:bottom w:val="single" w:sz="4" w:space="0" w:color="auto"/>
              <w:right w:val="single" w:sz="4" w:space="0" w:color="auto"/>
            </w:tcBorders>
          </w:tcPr>
          <w:p w14:paraId="4D696C5C" w14:textId="77777777"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lastRenderedPageBreak/>
              <w:t xml:space="preserve">Parțial compatibil </w:t>
            </w:r>
          </w:p>
          <w:p w14:paraId="3A2BB487" w14:textId="77777777"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39B98386" w14:textId="17F7A00F"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lastRenderedPageBreak/>
              <w:t xml:space="preserve">Prevederile se vor transpune integral prin proiectul de modificare a </w:t>
            </w:r>
            <w:r w:rsidRPr="009E686F">
              <w:rPr>
                <w:rFonts w:ascii="Times New Roman" w:hAnsi="Times New Roman" w:cs="Times New Roman"/>
                <w:lang w:val="ro-RO"/>
              </w:rPr>
              <w:lastRenderedPageBreak/>
              <w:t>Regulamentului cu privire la amortizoarele de capital ale băncilor, aprobat prin HCE nr. 110/2018</w:t>
            </w:r>
            <w:r w:rsidR="0008435A" w:rsidRPr="009E686F">
              <w:rPr>
                <w:rFonts w:ascii="Times New Roman" w:hAnsi="Times New Roman" w:cs="Times New Roman"/>
                <w:lang w:val="ro-RO"/>
              </w:rPr>
              <w:t xml:space="preserve"> (</w:t>
            </w:r>
            <w:r w:rsidR="0008435A" w:rsidRPr="009E686F">
              <w:rPr>
                <w:rFonts w:ascii="Times New Roman" w:eastAsia="Times New Roman" w:hAnsi="Times New Roman" w:cs="Times New Roman"/>
                <w:bCs/>
                <w:lang w:val="it-CH" w:eastAsia="ru-RU"/>
              </w:rPr>
              <w:t>acțiunea normativă nr. 3 din Anexa A din PNA 2025-2029 aferentă Capitolului 9 “Servicii financiare” în legătură cu transpunerea Directivei 2013/36/UE).</w:t>
            </w:r>
          </w:p>
        </w:tc>
      </w:tr>
      <w:tr w:rsidR="00984B34" w:rsidRPr="009E686F" w14:paraId="5BB88AC8"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2E6C9B73" w14:textId="0331E319"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lastRenderedPageBreak/>
              <w:t>(2) Instituțiile calculează amortizorul de risc sistemic după cum urmează:</w:t>
            </w:r>
          </w:p>
          <w:p w14:paraId="30004DFD" w14:textId="16BCAF7D" w:rsidR="00984B34" w:rsidRPr="009E686F" w:rsidRDefault="00984B34" w:rsidP="00984B34">
            <w:pPr>
              <w:spacing w:after="0"/>
              <w:jc w:val="both"/>
              <w:rPr>
                <w:rFonts w:ascii="Times New Roman" w:hAnsi="Times New Roman" w:cs="Times New Roman"/>
                <w:lang w:val="ro-RO"/>
              </w:rPr>
            </w:pPr>
            <w:r w:rsidRPr="009E686F">
              <w:rPr>
                <w:rFonts w:ascii="Times New Roman" w:eastAsia="Times New Roman" w:hAnsi="Times New Roman" w:cs="Times New Roman"/>
                <w:noProof/>
                <w:color w:val="000000"/>
              </w:rPr>
              <w:drawing>
                <wp:inline distT="0" distB="0" distL="0" distR="0" wp14:anchorId="5FA51A50" wp14:editId="3D1E7C68">
                  <wp:extent cx="2076138" cy="457200"/>
                  <wp:effectExtent l="0" t="0" r="635" b="0"/>
                  <wp:docPr id="319881464" name="Picture 5"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43797" cy="472100"/>
                          </a:xfrm>
                          <a:prstGeom prst="rect">
                            <a:avLst/>
                          </a:prstGeom>
                          <a:noFill/>
                          <a:ln>
                            <a:noFill/>
                          </a:ln>
                        </pic:spPr>
                      </pic:pic>
                    </a:graphicData>
                  </a:graphic>
                </wp:inline>
              </w:drawing>
            </w:r>
          </w:p>
          <w:p w14:paraId="64F467EC" w14:textId="7A08608B"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unde:</w:t>
            </w:r>
          </w:p>
          <w:p w14:paraId="0F43BE00"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BSR = amortizorul de risc sistemic;</w:t>
            </w:r>
          </w:p>
          <w:p w14:paraId="34DCC3BE"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rT = rata amortizorului aplicabilă cuantumului total al expunerii la risc a unei instituții;</w:t>
            </w:r>
          </w:p>
          <w:p w14:paraId="144E1D47"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ET = cuantumul total al expunerii la risc a unei instituții, calculat în conformitate cu articolul 92 alineatul (3) din Regulamentul (UE) nr. 575/2013;</w:t>
            </w:r>
          </w:p>
          <w:p w14:paraId="13C5EAB0"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i = indicele care desemnează subsetul de expuneri, astfel cum este menționat la alineatul (5);</w:t>
            </w:r>
          </w:p>
          <w:p w14:paraId="2AC916C3"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ri = rata amortizorului aplicabilă cuantumului expunerii la risc a subsetului de expuneri i; și</w:t>
            </w:r>
          </w:p>
          <w:p w14:paraId="48FE8BB9" w14:textId="7F7B12D9"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lastRenderedPageBreak/>
              <w:t>Ei = cuantumul expunerii la risc a unei instituții pentru subsetul de expuneri i, calculat în conformitate cu articolul 92 alineatul (3) din Regulamentul (UE) nr. 575/2013.</w:t>
            </w:r>
          </w:p>
        </w:tc>
        <w:tc>
          <w:tcPr>
            <w:tcW w:w="1928" w:type="pct"/>
            <w:gridSpan w:val="3"/>
            <w:tcBorders>
              <w:top w:val="single" w:sz="4" w:space="0" w:color="auto"/>
              <w:left w:val="single" w:sz="4" w:space="0" w:color="auto"/>
              <w:bottom w:val="single" w:sz="4" w:space="0" w:color="auto"/>
              <w:right w:val="single" w:sz="4" w:space="0" w:color="auto"/>
            </w:tcBorders>
          </w:tcPr>
          <w:p w14:paraId="0E5EB9E9" w14:textId="18824EE6" w:rsidR="00984B34" w:rsidRPr="009E686F" w:rsidRDefault="00984B34" w:rsidP="00984B34">
            <w:pPr>
              <w:spacing w:after="0"/>
              <w:rPr>
                <w:rFonts w:ascii="Times New Roman" w:hAnsi="Times New Roman" w:cs="Times New Roman"/>
                <w:b/>
                <w:lang w:val="ro-MD"/>
              </w:rPr>
            </w:pPr>
            <w:bookmarkStart w:id="43" w:name="_Hlk156813553"/>
            <w:r w:rsidRPr="009E686F">
              <w:rPr>
                <w:rFonts w:ascii="Times New Roman" w:hAnsi="Times New Roman" w:cs="Times New Roman"/>
                <w:b/>
                <w:lang w:val="ro-RO"/>
              </w:rPr>
              <w:lastRenderedPageBreak/>
              <w:t>Pct.71 din Regulamentul cu privire la amortizoarele de capital ale băncilor, aprobat prin HCE nr.110/2018</w:t>
            </w:r>
          </w:p>
          <w:p w14:paraId="152208D7" w14:textId="77777777" w:rsidR="00984B34" w:rsidRPr="009E686F" w:rsidRDefault="00984B34" w:rsidP="00984B34">
            <w:pPr>
              <w:spacing w:after="0" w:line="240" w:lineRule="auto"/>
              <w:jc w:val="both"/>
              <w:rPr>
                <w:rFonts w:ascii="Times New Roman" w:hAnsi="Times New Roman" w:cs="Times New Roman"/>
                <w:bCs/>
                <w:lang w:val="ro-RO"/>
              </w:rPr>
            </w:pPr>
            <w:r w:rsidRPr="009E686F">
              <w:rPr>
                <w:rFonts w:ascii="Times New Roman" w:hAnsi="Times New Roman" w:cs="Times New Roman"/>
                <w:b/>
                <w:lang w:val="ro-RO"/>
              </w:rPr>
              <w:t>71.</w:t>
            </w:r>
            <w:r w:rsidRPr="009E686F">
              <w:rPr>
                <w:rFonts w:ascii="Times New Roman" w:hAnsi="Times New Roman" w:cs="Times New Roman"/>
                <w:bCs/>
                <w:lang w:val="ro-RO"/>
              </w:rPr>
              <w:t xml:space="preserve"> În cazul în care Banca Națională a Moldovei procedează conform punctului 70, </w:t>
            </w:r>
            <w:bookmarkEnd w:id="43"/>
            <w:r w:rsidRPr="009E686F">
              <w:rPr>
                <w:rFonts w:ascii="Times New Roman" w:hAnsi="Times New Roman" w:cs="Times New Roman"/>
                <w:bCs/>
                <w:lang w:val="ro-RO"/>
              </w:rPr>
              <w:t>băncile calculeaz</w:t>
            </w:r>
            <w:r w:rsidRPr="009E686F">
              <w:rPr>
                <w:rFonts w:ascii="Times New Roman" w:hAnsi="Times New Roman" w:cs="Times New Roman" w:hint="eastAsia"/>
                <w:bCs/>
                <w:lang w:val="ro-RO"/>
              </w:rPr>
              <w:t>ă</w:t>
            </w:r>
            <w:r w:rsidRPr="009E686F">
              <w:rPr>
                <w:rFonts w:ascii="Times New Roman" w:hAnsi="Times New Roman" w:cs="Times New Roman"/>
                <w:bCs/>
                <w:lang w:val="ro-RO"/>
              </w:rPr>
              <w:t xml:space="preserve"> amortizorul de risc sistemic, pe bază individuală sau consolidată, dup</w:t>
            </w:r>
            <w:r w:rsidRPr="009E686F">
              <w:rPr>
                <w:rFonts w:ascii="Times New Roman" w:hAnsi="Times New Roman" w:cs="Times New Roman" w:hint="eastAsia"/>
                <w:bCs/>
                <w:lang w:val="ro-RO"/>
              </w:rPr>
              <w:t>ă</w:t>
            </w:r>
            <w:r w:rsidRPr="009E686F">
              <w:rPr>
                <w:rFonts w:ascii="Times New Roman" w:hAnsi="Times New Roman" w:cs="Times New Roman"/>
                <w:bCs/>
                <w:lang w:val="ro-RO"/>
              </w:rPr>
              <w:t xml:space="preserve"> cum urmeaz</w:t>
            </w:r>
            <w:r w:rsidRPr="009E686F">
              <w:rPr>
                <w:rFonts w:ascii="Times New Roman" w:hAnsi="Times New Roman" w:cs="Times New Roman" w:hint="eastAsia"/>
                <w:bCs/>
                <w:lang w:val="ro-RO"/>
              </w:rPr>
              <w:t>ă</w:t>
            </w:r>
            <w:r w:rsidRPr="009E686F">
              <w:rPr>
                <w:rFonts w:ascii="Times New Roman" w:hAnsi="Times New Roman" w:cs="Times New Roman"/>
                <w:bCs/>
                <w:lang w:val="ro-RO"/>
              </w:rPr>
              <w:t>:</w:t>
            </w:r>
          </w:p>
          <w:p w14:paraId="55B9E198" w14:textId="77777777" w:rsidR="00984B34" w:rsidRPr="009E686F" w:rsidRDefault="00984B34" w:rsidP="00984B34">
            <w:pPr>
              <w:spacing w:after="0" w:line="240" w:lineRule="auto"/>
              <w:ind w:firstLine="172"/>
              <w:jc w:val="both"/>
              <w:rPr>
                <w:rFonts w:ascii="Arial" w:eastAsia="Times New Roman" w:hAnsi="Arial" w:cs="Arial"/>
                <w:lang w:eastAsia="ro-MD"/>
              </w:rPr>
            </w:pPr>
            <w:r w:rsidRPr="009E686F">
              <w:rPr>
                <w:rFonts w:ascii="Arial" w:eastAsia="Times New Roman" w:hAnsi="Arial" w:cs="Arial"/>
                <w:noProof/>
              </w:rPr>
              <w:drawing>
                <wp:inline distT="0" distB="0" distL="0" distR="0" wp14:anchorId="12FC87E7" wp14:editId="7CF6739E">
                  <wp:extent cx="2261235" cy="494665"/>
                  <wp:effectExtent l="0" t="0" r="5715"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261235" cy="494665"/>
                          </a:xfrm>
                          <a:prstGeom prst="rect">
                            <a:avLst/>
                          </a:prstGeom>
                          <a:noFill/>
                          <a:ln>
                            <a:noFill/>
                          </a:ln>
                        </pic:spPr>
                      </pic:pic>
                    </a:graphicData>
                  </a:graphic>
                </wp:inline>
              </w:drawing>
            </w:r>
          </w:p>
          <w:p w14:paraId="5710549E" w14:textId="77777777" w:rsidR="00984B34" w:rsidRPr="009E686F" w:rsidRDefault="00984B34" w:rsidP="00984B34">
            <w:pPr>
              <w:spacing w:after="0" w:line="240" w:lineRule="auto"/>
              <w:ind w:firstLine="567"/>
              <w:jc w:val="both"/>
              <w:rPr>
                <w:rFonts w:ascii="Times New Roman" w:hAnsi="Times New Roman" w:cs="Times New Roman"/>
                <w:bCs/>
                <w:lang w:val="ro-RO"/>
              </w:rPr>
            </w:pPr>
            <w:r w:rsidRPr="009E686F">
              <w:rPr>
                <w:rFonts w:ascii="Times New Roman" w:hAnsi="Times New Roman" w:cs="Times New Roman"/>
                <w:bCs/>
                <w:lang w:val="ro-RO"/>
              </w:rPr>
              <w:t>unde:</w:t>
            </w:r>
          </w:p>
          <w:p w14:paraId="288B076B" w14:textId="77777777" w:rsidR="00984B34" w:rsidRPr="009E686F" w:rsidRDefault="00984B34" w:rsidP="00984B34">
            <w:pPr>
              <w:spacing w:after="0" w:line="240" w:lineRule="auto"/>
              <w:jc w:val="both"/>
              <w:rPr>
                <w:rFonts w:ascii="Times New Roman" w:hAnsi="Times New Roman" w:cs="Times New Roman"/>
                <w:bCs/>
                <w:lang w:val="ro-RO"/>
              </w:rPr>
            </w:pPr>
            <w:r w:rsidRPr="009E686F">
              <w:rPr>
                <w:rFonts w:ascii="Times New Roman" w:hAnsi="Times New Roman" w:cs="Times New Roman"/>
                <w:bCs/>
                <w:lang w:val="ro-RO"/>
              </w:rPr>
              <w:t>BSR = amortizorul de risc sistemic;</w:t>
            </w:r>
          </w:p>
          <w:p w14:paraId="78A85B6D" w14:textId="77777777" w:rsidR="00984B34" w:rsidRPr="009E686F" w:rsidRDefault="00984B34" w:rsidP="00984B34">
            <w:pPr>
              <w:spacing w:after="0" w:line="240" w:lineRule="auto"/>
              <w:jc w:val="both"/>
              <w:rPr>
                <w:rFonts w:ascii="Times New Roman" w:hAnsi="Times New Roman" w:cs="Times New Roman"/>
                <w:bCs/>
                <w:lang w:val="ro-RO"/>
              </w:rPr>
            </w:pPr>
            <w:r w:rsidRPr="009E686F">
              <w:rPr>
                <w:rFonts w:ascii="Times New Roman" w:hAnsi="Times New Roman" w:cs="Times New Roman"/>
                <w:bCs/>
                <w:lang w:val="ro-RO"/>
              </w:rPr>
              <w:t>rT = rata amortizorului aplicabil</w:t>
            </w:r>
            <w:r w:rsidRPr="009E686F">
              <w:rPr>
                <w:rFonts w:ascii="Times New Roman" w:hAnsi="Times New Roman" w:cs="Times New Roman" w:hint="eastAsia"/>
                <w:bCs/>
                <w:lang w:val="ro-RO"/>
              </w:rPr>
              <w:t>ă</w:t>
            </w:r>
            <w:r w:rsidRPr="009E686F">
              <w:rPr>
                <w:rFonts w:ascii="Times New Roman" w:hAnsi="Times New Roman" w:cs="Times New Roman"/>
                <w:bCs/>
                <w:lang w:val="ro-RO"/>
              </w:rPr>
              <w:t xml:space="preserve"> cuantumului total al expunerii la risc a unei bănci;</w:t>
            </w:r>
          </w:p>
          <w:p w14:paraId="6DC85058" w14:textId="77777777" w:rsidR="00984B34" w:rsidRPr="009E686F" w:rsidRDefault="00984B34" w:rsidP="00984B34">
            <w:pPr>
              <w:spacing w:after="0" w:line="240" w:lineRule="auto"/>
              <w:jc w:val="both"/>
              <w:rPr>
                <w:rFonts w:ascii="Times New Roman" w:hAnsi="Times New Roman" w:cs="Times New Roman"/>
                <w:bCs/>
                <w:lang w:val="ro-RO"/>
              </w:rPr>
            </w:pPr>
            <w:r w:rsidRPr="009E686F">
              <w:rPr>
                <w:rFonts w:ascii="Times New Roman" w:hAnsi="Times New Roman" w:cs="Times New Roman"/>
                <w:bCs/>
                <w:lang w:val="ro-RO"/>
              </w:rPr>
              <w:t>ET = cuantumul total al expunerii la risc a unei bănci, calculat în conformitate cu punctul 132 din Regulamentul 109/2018;</w:t>
            </w:r>
          </w:p>
          <w:p w14:paraId="38BF219A" w14:textId="77777777" w:rsidR="00984B34" w:rsidRPr="009E686F" w:rsidRDefault="00984B34" w:rsidP="00984B34">
            <w:pPr>
              <w:spacing w:after="0" w:line="240" w:lineRule="auto"/>
              <w:jc w:val="both"/>
              <w:rPr>
                <w:rFonts w:ascii="Times New Roman" w:hAnsi="Times New Roman" w:cs="Times New Roman"/>
                <w:bCs/>
                <w:lang w:val="ro-RO"/>
              </w:rPr>
            </w:pPr>
            <w:r w:rsidRPr="009E686F">
              <w:rPr>
                <w:rFonts w:ascii="Times New Roman" w:hAnsi="Times New Roman" w:cs="Times New Roman"/>
                <w:bCs/>
                <w:lang w:val="ro-RO"/>
              </w:rPr>
              <w:t>i = indicele care desemneaz</w:t>
            </w:r>
            <w:r w:rsidRPr="009E686F">
              <w:rPr>
                <w:rFonts w:ascii="Times New Roman" w:hAnsi="Times New Roman" w:cs="Times New Roman" w:hint="eastAsia"/>
                <w:bCs/>
                <w:lang w:val="ro-RO"/>
              </w:rPr>
              <w:t>ă</w:t>
            </w:r>
            <w:r w:rsidRPr="009E686F">
              <w:rPr>
                <w:rFonts w:ascii="Times New Roman" w:hAnsi="Times New Roman" w:cs="Times New Roman"/>
                <w:bCs/>
                <w:lang w:val="ro-RO"/>
              </w:rPr>
              <w:t xml:space="preserve"> subansamblul de expuneri, astfel cum este menționat la punctul 76;</w:t>
            </w:r>
          </w:p>
          <w:p w14:paraId="1778DE80" w14:textId="77777777" w:rsidR="00984B34" w:rsidRPr="009E686F" w:rsidRDefault="00984B34" w:rsidP="00984B34">
            <w:pPr>
              <w:spacing w:after="0" w:line="240" w:lineRule="auto"/>
              <w:jc w:val="both"/>
              <w:rPr>
                <w:rFonts w:ascii="Times New Roman" w:hAnsi="Times New Roman" w:cs="Times New Roman"/>
                <w:bCs/>
                <w:lang w:val="ro-RO"/>
              </w:rPr>
            </w:pPr>
            <w:r w:rsidRPr="009E686F">
              <w:rPr>
                <w:rFonts w:ascii="Times New Roman" w:hAnsi="Times New Roman" w:cs="Times New Roman"/>
                <w:bCs/>
                <w:lang w:val="ro-RO"/>
              </w:rPr>
              <w:lastRenderedPageBreak/>
              <w:t>ri = rata amortizorului aplicabil</w:t>
            </w:r>
            <w:r w:rsidRPr="009E686F">
              <w:rPr>
                <w:rFonts w:ascii="Times New Roman" w:hAnsi="Times New Roman" w:cs="Times New Roman" w:hint="eastAsia"/>
                <w:bCs/>
                <w:lang w:val="ro-RO"/>
              </w:rPr>
              <w:t>ă</w:t>
            </w:r>
            <w:r w:rsidRPr="009E686F">
              <w:rPr>
                <w:rFonts w:ascii="Times New Roman" w:hAnsi="Times New Roman" w:cs="Times New Roman"/>
                <w:bCs/>
                <w:lang w:val="ro-RO"/>
              </w:rPr>
              <w:t xml:space="preserve"> cuantumului expunerii la risc a subansamblului de expuneri i;</w:t>
            </w:r>
          </w:p>
          <w:p w14:paraId="72936B73" w14:textId="79477D31" w:rsidR="00984B34" w:rsidRPr="009E686F" w:rsidRDefault="00984B34" w:rsidP="00984B34">
            <w:pPr>
              <w:spacing w:after="0"/>
              <w:jc w:val="both"/>
              <w:rPr>
                <w:rFonts w:ascii="Times New Roman" w:hAnsi="Times New Roman" w:cs="Times New Roman"/>
                <w:bCs/>
                <w:lang w:val="ro-RO"/>
              </w:rPr>
            </w:pPr>
            <w:r w:rsidRPr="009E686F">
              <w:rPr>
                <w:rFonts w:ascii="Times New Roman" w:hAnsi="Times New Roman" w:cs="Times New Roman"/>
                <w:bCs/>
                <w:lang w:val="ro-RO"/>
              </w:rPr>
              <w:t>Ei = cuantumul expunerii la risc a unei bănci pentru subansamblul de expuneri i, calculat în conformitate cu</w:t>
            </w:r>
            <w:r w:rsidRPr="009E686F">
              <w:rPr>
                <w:rFonts w:ascii="Arial" w:eastAsia="Times New Roman" w:hAnsi="Arial" w:cs="Arial"/>
                <w:lang w:val="ro-RO" w:eastAsia="ro-MD"/>
              </w:rPr>
              <w:t xml:space="preserve"> </w:t>
            </w:r>
            <w:r w:rsidRPr="009E686F">
              <w:rPr>
                <w:rFonts w:ascii="Times New Roman" w:hAnsi="Times New Roman" w:cs="Times New Roman"/>
                <w:bCs/>
                <w:lang w:val="ro-RO"/>
              </w:rPr>
              <w:t>punctul 132 din Regulamentul 109/2018.</w:t>
            </w:r>
          </w:p>
        </w:tc>
        <w:tc>
          <w:tcPr>
            <w:tcW w:w="470" w:type="pct"/>
            <w:tcBorders>
              <w:top w:val="single" w:sz="4" w:space="0" w:color="auto"/>
              <w:left w:val="single" w:sz="4" w:space="0" w:color="auto"/>
              <w:bottom w:val="single" w:sz="4" w:space="0" w:color="auto"/>
              <w:right w:val="single" w:sz="4" w:space="0" w:color="auto"/>
            </w:tcBorders>
          </w:tcPr>
          <w:p w14:paraId="1C8DFE22" w14:textId="4C78DFF6"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0E5B32CD" w14:textId="77777777" w:rsidR="00984B34" w:rsidRPr="009E686F" w:rsidRDefault="00984B34" w:rsidP="00984B34">
            <w:pPr>
              <w:jc w:val="both"/>
              <w:rPr>
                <w:rFonts w:ascii="Times New Roman" w:hAnsi="Times New Roman" w:cs="Times New Roman"/>
                <w:lang w:val="ro-RO"/>
              </w:rPr>
            </w:pPr>
          </w:p>
        </w:tc>
      </w:tr>
      <w:tr w:rsidR="00984B34" w:rsidRPr="009E686F" w14:paraId="7393942D" w14:textId="45805F59" w:rsidTr="00774F3E">
        <w:tc>
          <w:tcPr>
            <w:tcW w:w="1796" w:type="pct"/>
            <w:gridSpan w:val="2"/>
            <w:tcBorders>
              <w:top w:val="single" w:sz="4" w:space="0" w:color="auto"/>
              <w:left w:val="single" w:sz="4" w:space="0" w:color="auto"/>
              <w:bottom w:val="single" w:sz="4" w:space="0" w:color="auto"/>
              <w:right w:val="single" w:sz="4" w:space="0" w:color="auto"/>
            </w:tcBorders>
          </w:tcPr>
          <w:p w14:paraId="68656C58" w14:textId="2FD2AD04"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(3) În sensul alineatului (1), statele membru desemnează o autoritatea care să fie responsabilă cu stabilirea amortizorului de risc sistemic și cu identificarea expunerilor și a subseturilor de instituții cărora li se aplică. Autoritatea respectivă este fie autoritatea competentă, fie autoritatea desemnată.</w:t>
            </w:r>
          </w:p>
          <w:p w14:paraId="1128E94A" w14:textId="77777777" w:rsidR="00984B34" w:rsidRPr="009E686F" w:rsidRDefault="00984B34" w:rsidP="00984B34">
            <w:pPr>
              <w:spacing w:after="0"/>
              <w:jc w:val="both"/>
              <w:rPr>
                <w:rFonts w:ascii="Times New Roman" w:hAnsi="Times New Roman" w:cs="Times New Roman"/>
                <w:lang w:val="ro-RO"/>
              </w:rPr>
            </w:pPr>
          </w:p>
          <w:p w14:paraId="15FA667B" w14:textId="1FAFBFB5"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(4) În sensul alineatului (1) de la prezentul articol, autoritatea competentă sau autoritatea desemnată relevantă, după caz, poate solicita instituțiilor să mențină un amortizor  de risc sistemic constând în fonduri proprii de nivel 1 de bază calculat în conformitate cu alineatul (2) de la prezentul articol, pe bază individuală, consolidată sau subconsolidată, astfel cum se prevede în partea întâi titlul II din Regulamentul (UE) nr. 575/2013. </w:t>
            </w:r>
          </w:p>
          <w:p w14:paraId="171FDE90" w14:textId="345A4E22" w:rsidR="00984B34" w:rsidRPr="009E686F" w:rsidRDefault="00984B34" w:rsidP="00984B34">
            <w:pPr>
              <w:spacing w:after="0"/>
              <w:jc w:val="both"/>
              <w:rPr>
                <w:rFonts w:ascii="Times New Roman" w:hAnsi="Times New Roman" w:cs="Times New Roman"/>
                <w:lang w:val="ro-RO"/>
              </w:rPr>
            </w:pPr>
          </w:p>
        </w:tc>
        <w:tc>
          <w:tcPr>
            <w:tcW w:w="1928" w:type="pct"/>
            <w:gridSpan w:val="3"/>
            <w:tcBorders>
              <w:top w:val="single" w:sz="4" w:space="0" w:color="auto"/>
              <w:left w:val="single" w:sz="4" w:space="0" w:color="auto"/>
              <w:bottom w:val="single" w:sz="4" w:space="0" w:color="auto"/>
              <w:right w:val="single" w:sz="4" w:space="0" w:color="auto"/>
            </w:tcBorders>
          </w:tcPr>
          <w:p w14:paraId="0BDFFC7B" w14:textId="69251965" w:rsidR="00984B34" w:rsidRPr="009E686F" w:rsidRDefault="00984B34" w:rsidP="00984B34">
            <w:pPr>
              <w:spacing w:after="0"/>
              <w:rPr>
                <w:rFonts w:ascii="Times New Roman" w:hAnsi="Times New Roman" w:cs="Times New Roman"/>
                <w:b/>
                <w:lang w:val="ro-MD"/>
              </w:rPr>
            </w:pPr>
            <w:r w:rsidRPr="009E686F">
              <w:rPr>
                <w:rFonts w:ascii="Times New Roman" w:hAnsi="Times New Roman" w:cs="Times New Roman"/>
                <w:b/>
                <w:lang w:val="ro-RO"/>
              </w:rPr>
              <w:t>Pct. 4 din Regulamentul cu privire la amortizoarele de capital ale băncilor, aprobat prin HCE nr.110/2018</w:t>
            </w:r>
          </w:p>
          <w:p w14:paraId="5B7AC168" w14:textId="77777777" w:rsidR="00984B34" w:rsidRPr="009E686F" w:rsidRDefault="00984B34" w:rsidP="00984B34">
            <w:pPr>
              <w:spacing w:after="0"/>
              <w:jc w:val="both"/>
              <w:rPr>
                <w:rFonts w:ascii="Times New Roman" w:hAnsi="Times New Roman" w:cs="Times New Roman"/>
                <w:bCs/>
                <w:lang w:val="ro-RO"/>
              </w:rPr>
            </w:pPr>
            <w:r w:rsidRPr="009E686F">
              <w:rPr>
                <w:rFonts w:ascii="Times New Roman" w:hAnsi="Times New Roman" w:cs="Times New Roman"/>
                <w:b/>
                <w:lang w:val="ro-RO"/>
              </w:rPr>
              <w:t>4.</w:t>
            </w:r>
            <w:r w:rsidRPr="009E686F">
              <w:rPr>
                <w:rFonts w:ascii="Times New Roman" w:hAnsi="Times New Roman" w:cs="Times New Roman"/>
                <w:bCs/>
                <w:lang w:val="ro-RO"/>
              </w:rPr>
              <w:t xml:space="preserve"> În scopul prevenirii şi atenuării riscului macroprudenţial sau riscului sistemic, prezentul regulament stabileşte:</w:t>
            </w:r>
          </w:p>
          <w:p w14:paraId="0F5AA31A" w14:textId="77777777" w:rsidR="00984B34" w:rsidRPr="009E686F" w:rsidRDefault="00984B34" w:rsidP="00984B34">
            <w:pPr>
              <w:spacing w:after="0"/>
              <w:jc w:val="both"/>
              <w:rPr>
                <w:rFonts w:ascii="Times New Roman" w:hAnsi="Times New Roman" w:cs="Times New Roman"/>
                <w:bCs/>
                <w:lang w:val="ro-RO"/>
              </w:rPr>
            </w:pPr>
            <w:r w:rsidRPr="009E686F">
              <w:rPr>
                <w:rFonts w:ascii="Times New Roman" w:hAnsi="Times New Roman" w:cs="Times New Roman"/>
                <w:bCs/>
                <w:lang w:val="ro-RO"/>
              </w:rPr>
              <w:t>1) cerinţe cu privire la fondurile proprii pe care băncile trebuie să le deţină în vederea constituirii următoarelor amortizoare de capital:</w:t>
            </w:r>
          </w:p>
          <w:p w14:paraId="232FDAA3" w14:textId="77777777" w:rsidR="00984B34" w:rsidRPr="009E686F" w:rsidRDefault="00984B34" w:rsidP="00984B34">
            <w:pPr>
              <w:spacing w:after="0"/>
              <w:jc w:val="both"/>
              <w:rPr>
                <w:rFonts w:ascii="Times New Roman" w:hAnsi="Times New Roman" w:cs="Times New Roman"/>
                <w:bCs/>
                <w:lang w:val="ro-RO"/>
              </w:rPr>
            </w:pPr>
            <w:r w:rsidRPr="009E686F">
              <w:rPr>
                <w:rFonts w:ascii="Times New Roman" w:hAnsi="Times New Roman" w:cs="Times New Roman"/>
                <w:bCs/>
                <w:lang w:val="ro-RO"/>
              </w:rPr>
              <w:t>a) amortizor de conservare a capitalului;</w:t>
            </w:r>
          </w:p>
          <w:p w14:paraId="7DE36FE9" w14:textId="77777777" w:rsidR="00984B34" w:rsidRPr="009E686F" w:rsidRDefault="00984B34" w:rsidP="00984B34">
            <w:pPr>
              <w:spacing w:after="0"/>
              <w:jc w:val="both"/>
              <w:rPr>
                <w:rFonts w:ascii="Times New Roman" w:hAnsi="Times New Roman" w:cs="Times New Roman"/>
                <w:bCs/>
                <w:lang w:val="ro-RO"/>
              </w:rPr>
            </w:pPr>
            <w:r w:rsidRPr="009E686F">
              <w:rPr>
                <w:rFonts w:ascii="Times New Roman" w:hAnsi="Times New Roman" w:cs="Times New Roman"/>
                <w:bCs/>
                <w:lang w:val="ro-RO"/>
              </w:rPr>
              <w:t>b) amortizor anticiclic de capital specific băncii;</w:t>
            </w:r>
          </w:p>
          <w:p w14:paraId="19492F8A" w14:textId="77777777" w:rsidR="00984B34" w:rsidRPr="009E686F" w:rsidRDefault="00984B34" w:rsidP="00984B34">
            <w:pPr>
              <w:spacing w:after="0"/>
              <w:jc w:val="both"/>
              <w:rPr>
                <w:rFonts w:ascii="Times New Roman" w:hAnsi="Times New Roman" w:cs="Times New Roman"/>
                <w:bCs/>
                <w:lang w:val="ro-RO"/>
              </w:rPr>
            </w:pPr>
            <w:r w:rsidRPr="009E686F">
              <w:rPr>
                <w:rFonts w:ascii="Times New Roman" w:hAnsi="Times New Roman" w:cs="Times New Roman"/>
                <w:bCs/>
                <w:lang w:val="ro-RO"/>
              </w:rPr>
              <w:t>c) amortizor O-SII;</w:t>
            </w:r>
          </w:p>
          <w:p w14:paraId="27B17835" w14:textId="77777777" w:rsidR="00984B34" w:rsidRPr="009E686F" w:rsidRDefault="00984B34" w:rsidP="00984B34">
            <w:pPr>
              <w:spacing w:after="0"/>
              <w:jc w:val="both"/>
              <w:rPr>
                <w:rFonts w:ascii="Times New Roman" w:hAnsi="Times New Roman" w:cs="Times New Roman"/>
                <w:bCs/>
                <w:lang w:val="ro-RO"/>
              </w:rPr>
            </w:pPr>
            <w:r w:rsidRPr="009E686F">
              <w:rPr>
                <w:rFonts w:ascii="Times New Roman" w:hAnsi="Times New Roman" w:cs="Times New Roman"/>
                <w:bCs/>
                <w:lang w:val="ro-RO"/>
              </w:rPr>
              <w:t>d) amortizor de risc sistemic;</w:t>
            </w:r>
          </w:p>
          <w:p w14:paraId="5E5D5022" w14:textId="7A9F318C" w:rsidR="00984B34" w:rsidRPr="009E686F" w:rsidRDefault="00984B34" w:rsidP="00984B34">
            <w:pPr>
              <w:spacing w:after="0"/>
              <w:jc w:val="both"/>
              <w:rPr>
                <w:rFonts w:ascii="Times New Roman" w:hAnsi="Times New Roman" w:cs="Times New Roman"/>
                <w:bCs/>
                <w:lang w:val="ro-RO"/>
              </w:rPr>
            </w:pPr>
            <w:r w:rsidRPr="009E686F">
              <w:rPr>
                <w:rFonts w:ascii="Times New Roman" w:hAnsi="Times New Roman" w:cs="Times New Roman"/>
                <w:bCs/>
                <w:lang w:val="ro-RO"/>
              </w:rPr>
              <w:t>2) particularităţile aferente stabilirii de către Banca Naţională a Moldovei şi modalitatea de calcul de către bănci a amortizoarelor de capital indicate la subpunctul 1); […]</w:t>
            </w:r>
          </w:p>
          <w:p w14:paraId="5D64D7F1" w14:textId="3C958BFF" w:rsidR="00984B34" w:rsidRPr="009E686F" w:rsidRDefault="00984B34" w:rsidP="00984B34">
            <w:pPr>
              <w:spacing w:after="0"/>
              <w:jc w:val="both"/>
              <w:rPr>
                <w:rFonts w:ascii="Times New Roman" w:hAnsi="Times New Roman" w:cs="Times New Roman"/>
                <w:bCs/>
                <w:lang w:val="ro-RO"/>
              </w:rPr>
            </w:pPr>
            <w:r w:rsidRPr="009E686F">
              <w:rPr>
                <w:rFonts w:ascii="Times New Roman" w:hAnsi="Times New Roman" w:cs="Times New Roman"/>
                <w:bCs/>
                <w:lang w:val="ro-RO"/>
              </w:rPr>
              <w:t>5) particularităţile aferente recunoaşterii de către Banca Naţională a Moldovei a ratei amortizorului de risc sistemic stabilite de autoritatea relevantă din statul străin;</w:t>
            </w:r>
          </w:p>
        </w:tc>
        <w:tc>
          <w:tcPr>
            <w:tcW w:w="470" w:type="pct"/>
            <w:tcBorders>
              <w:top w:val="single" w:sz="4" w:space="0" w:color="auto"/>
              <w:left w:val="single" w:sz="4" w:space="0" w:color="auto"/>
              <w:bottom w:val="single" w:sz="4" w:space="0" w:color="auto"/>
              <w:right w:val="single" w:sz="4" w:space="0" w:color="auto"/>
            </w:tcBorders>
          </w:tcPr>
          <w:p w14:paraId="609E9D89" w14:textId="7B0ED73C"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 xml:space="preserve">Parțial compatibil </w:t>
            </w:r>
          </w:p>
          <w:p w14:paraId="00BD2726" w14:textId="068BFDC9"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327342EC" w14:textId="63582983" w:rsidR="00984B34" w:rsidRPr="009E686F" w:rsidRDefault="00984B34" w:rsidP="00984B34">
            <w:pPr>
              <w:rPr>
                <w:rFonts w:ascii="Times New Roman" w:hAnsi="Times New Roman" w:cs="Times New Roman"/>
                <w:lang w:val="ro-RO"/>
              </w:rPr>
            </w:pPr>
            <w:r w:rsidRPr="009E686F">
              <w:rPr>
                <w:rFonts w:ascii="Times New Roman" w:hAnsi="Times New Roman" w:cs="Times New Roman"/>
                <w:lang w:val="ro-RO"/>
              </w:rPr>
              <w:t>Prevederile se vor transpune integral prin proiectul de modificare a Regulamentului cu privire la amortizoarele de capital ale băncilor, aprobat prin HCE nr. 110/2018</w:t>
            </w:r>
            <w:r w:rsidR="0008435A" w:rsidRPr="009E686F">
              <w:rPr>
                <w:rFonts w:ascii="Times New Roman" w:hAnsi="Times New Roman" w:cs="Times New Roman"/>
                <w:lang w:val="ro-RO"/>
              </w:rPr>
              <w:t xml:space="preserve"> (</w:t>
            </w:r>
            <w:r w:rsidR="0008435A" w:rsidRPr="009E686F">
              <w:rPr>
                <w:rFonts w:ascii="Times New Roman" w:eastAsia="Times New Roman" w:hAnsi="Times New Roman" w:cs="Times New Roman"/>
                <w:bCs/>
                <w:lang w:val="it-CH" w:eastAsia="ru-RU"/>
              </w:rPr>
              <w:t>acțiunea normativă nr. 3 din Anexa A din PNA 2025-2029 aferentă Capitolului 9 “Servicii financiare” în legătură cu transpunerea Directivei 2013/36/UE).</w:t>
            </w:r>
          </w:p>
          <w:p w14:paraId="28CF136E" w14:textId="77777777" w:rsidR="00984B34" w:rsidRPr="009E686F" w:rsidRDefault="00984B34" w:rsidP="00984B34">
            <w:pPr>
              <w:jc w:val="both"/>
              <w:rPr>
                <w:rFonts w:ascii="Times New Roman" w:hAnsi="Times New Roman" w:cs="Times New Roman"/>
                <w:lang w:val="ro-RO"/>
              </w:rPr>
            </w:pPr>
          </w:p>
        </w:tc>
      </w:tr>
      <w:tr w:rsidR="00984B34" w:rsidRPr="009E686F" w14:paraId="5349878A" w14:textId="72532D0C" w:rsidTr="00774F3E">
        <w:tc>
          <w:tcPr>
            <w:tcW w:w="1796" w:type="pct"/>
            <w:gridSpan w:val="2"/>
            <w:tcBorders>
              <w:top w:val="single" w:sz="4" w:space="0" w:color="auto"/>
              <w:left w:val="single" w:sz="4" w:space="0" w:color="auto"/>
              <w:bottom w:val="single" w:sz="4" w:space="0" w:color="auto"/>
              <w:right w:val="single" w:sz="4" w:space="0" w:color="auto"/>
            </w:tcBorders>
          </w:tcPr>
          <w:p w14:paraId="74B0E8E1" w14:textId="48148236"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(5) Un amortizor de risc sistemic se aplică:</w:t>
            </w:r>
          </w:p>
          <w:p w14:paraId="62BFD2BF" w14:textId="55D4362C"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(a)tuturor expunerilor situate în statul membru care stabilește amortizorul;</w:t>
            </w:r>
          </w:p>
          <w:p w14:paraId="68ED1444"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(b) următoarelor expuneri sectoriale de pe teritoriul statului membru care stabilește amortizorul:</w:t>
            </w:r>
          </w:p>
          <w:p w14:paraId="394B9DF7" w14:textId="67203DF8"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(i) tuturor expunerilor de tip retail față de persoane fizice care sunt garantate cu bunuri imobile locative;</w:t>
            </w:r>
          </w:p>
          <w:p w14:paraId="516A0DD8" w14:textId="4E74E331"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(ii) tuturor expunerilor față de persoane juridice care sunt garantate cu ipoteci asupra bunurilor imobile comerciale;</w:t>
            </w:r>
          </w:p>
          <w:p w14:paraId="1E7375B0" w14:textId="7F2082FF"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lastRenderedPageBreak/>
              <w:t>(iii) tuturor expunerilor față de persoane juridice în afara celor menționate la punctul (ii);</w:t>
            </w:r>
          </w:p>
          <w:p w14:paraId="4E4F001C" w14:textId="71E9E810"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(iv) tuturor expunerilor față de persoane fizice în afara celor menționate la punctul (i);</w:t>
            </w:r>
          </w:p>
          <w:p w14:paraId="43B7E62C" w14:textId="4F9443D0"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(c) tuturor expunerilor de pe teritoriul altor state membre, sub rezerva alineatelor (12) și (15);</w:t>
            </w:r>
          </w:p>
          <w:p w14:paraId="5D50FD8A" w14:textId="220E1DE8"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(d) expunerilor sectoriale, astfel cum sunt identificate la litera (b) din prezentul alineat, de pe teritoriul altor state membre, numai pentru a permite recunoașterea unei rate a amortizorului stabilite de alt stat membru în conformitate cu articolul 134;</w:t>
            </w:r>
          </w:p>
          <w:p w14:paraId="45845E2B" w14:textId="35323BC2" w:rsidR="00984B34" w:rsidRPr="009E686F" w:rsidRDefault="00984B34" w:rsidP="00984B34">
            <w:pPr>
              <w:spacing w:after="0"/>
              <w:jc w:val="both"/>
              <w:rPr>
                <w:rFonts w:ascii="Times New Roman" w:hAnsi="Times New Roman" w:cs="Times New Roman"/>
                <w:lang w:val="pt-BR"/>
              </w:rPr>
            </w:pPr>
            <w:r w:rsidRPr="009E686F">
              <w:rPr>
                <w:rFonts w:ascii="Times New Roman" w:hAnsi="Times New Roman" w:cs="Times New Roman"/>
                <w:lang w:val="pt-BR"/>
              </w:rPr>
              <w:t>(e) expunerilor de pe teritoriul țărilor terțe;</w:t>
            </w:r>
          </w:p>
          <w:p w14:paraId="3800BF30" w14:textId="29A13457" w:rsidR="00984B34" w:rsidRPr="009E686F" w:rsidRDefault="00984B34" w:rsidP="00984B34">
            <w:pPr>
              <w:spacing w:after="0"/>
              <w:jc w:val="both"/>
              <w:rPr>
                <w:rFonts w:ascii="Times New Roman" w:hAnsi="Times New Roman" w:cs="Times New Roman"/>
                <w:lang w:val="it-CH"/>
              </w:rPr>
            </w:pPr>
            <w:r w:rsidRPr="009E686F">
              <w:rPr>
                <w:rFonts w:ascii="Times New Roman" w:hAnsi="Times New Roman" w:cs="Times New Roman"/>
                <w:lang w:val="it-CH"/>
              </w:rPr>
              <w:t>(f) subseturilor oricăreia dintre categoriile de expuneri identificate la litera (b).</w:t>
            </w:r>
          </w:p>
        </w:tc>
        <w:tc>
          <w:tcPr>
            <w:tcW w:w="1928" w:type="pct"/>
            <w:gridSpan w:val="3"/>
            <w:tcBorders>
              <w:top w:val="single" w:sz="4" w:space="0" w:color="auto"/>
              <w:left w:val="single" w:sz="4" w:space="0" w:color="auto"/>
              <w:bottom w:val="single" w:sz="4" w:space="0" w:color="auto"/>
              <w:right w:val="single" w:sz="4" w:space="0" w:color="auto"/>
            </w:tcBorders>
          </w:tcPr>
          <w:p w14:paraId="7A0A9BB8" w14:textId="5C990EB7" w:rsidR="00984B34" w:rsidRPr="009E686F" w:rsidRDefault="00984B34" w:rsidP="00984B34">
            <w:pPr>
              <w:spacing w:after="0"/>
              <w:rPr>
                <w:rFonts w:ascii="Times New Roman" w:hAnsi="Times New Roman" w:cs="Times New Roman"/>
                <w:b/>
                <w:lang w:val="ro-MD"/>
              </w:rPr>
            </w:pPr>
            <w:r w:rsidRPr="009E686F">
              <w:rPr>
                <w:rFonts w:ascii="Times New Roman" w:hAnsi="Times New Roman" w:cs="Times New Roman"/>
                <w:b/>
                <w:lang w:val="ro-RO"/>
              </w:rPr>
              <w:lastRenderedPageBreak/>
              <w:t>Pct. 76 din Regulamentul cu privire la amortizoarele de capital ale băncilor, aprobat prin HCE nr.110/2018</w:t>
            </w:r>
          </w:p>
          <w:p w14:paraId="58F86F84"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b/>
                <w:bCs/>
                <w:lang w:val="ro-RO"/>
              </w:rPr>
              <w:t>76.</w:t>
            </w:r>
            <w:r w:rsidRPr="009E686F">
              <w:rPr>
                <w:rFonts w:ascii="Times New Roman" w:hAnsi="Times New Roman" w:cs="Times New Roman"/>
                <w:lang w:val="ro-RO"/>
              </w:rPr>
              <w:t xml:space="preserve">  Un amortizor de risc sistemic se poate aplica:</w:t>
            </w:r>
          </w:p>
          <w:p w14:paraId="4DDB0281"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1) tuturor expunerilor de pe teritoriul Republicii Moldova;</w:t>
            </w:r>
          </w:p>
          <w:p w14:paraId="65FBE9C0"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2) următoarelor expuneri sectoriale de pe teritoriul Republicii Moldova:</w:t>
            </w:r>
          </w:p>
          <w:p w14:paraId="0C435141"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a) tuturor expunerilor de tip retail față de persoane fizice care sunt garantate cu bunuri imobile locative;</w:t>
            </w:r>
          </w:p>
          <w:p w14:paraId="0D90F0AD"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b) tuturor expunerilor față de persoanele juridice care sunt garantate cu ipoteci asupra bunurilor imobile comerciale;</w:t>
            </w:r>
          </w:p>
          <w:p w14:paraId="0C6DC9F5"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lastRenderedPageBreak/>
              <w:t>c) tuturor expunerilor față de persoanele juridice în afara celor menționate la litera b);</w:t>
            </w:r>
          </w:p>
          <w:p w14:paraId="6AE97CD1"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d) tuturor expunerilor față de persoanele fizice în afara celor menționate la litera a);</w:t>
            </w:r>
          </w:p>
          <w:p w14:paraId="1A663C57"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e) altor tipuri de expuneri sectoriale.</w:t>
            </w:r>
          </w:p>
          <w:p w14:paraId="5F2583FC"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3) tuturor expunerilor de pe teritoriul altor state;</w:t>
            </w:r>
          </w:p>
          <w:p w14:paraId="67B53DAC"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4) expunerilor sectoriale, astfel cum sunt identificate la subpunctul 2), de pe teritoriul altor state, doar pentru a permite recunoașterea unei rate a amortizorului stabilit de alt stat în conformitate cu secțiunea a 4-a din prezentul capitol;</w:t>
            </w:r>
          </w:p>
          <w:p w14:paraId="71698DA9" w14:textId="3717481B"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5) subansamblurilor oricăreia dintre categoriile de expuneri identificate la subpunctul 2), având la bază tipul de debitor sau sector al contrapărții, tipul de expunere, tipul de garanție reală, profilul de risc, zona geografică.</w:t>
            </w:r>
          </w:p>
        </w:tc>
        <w:tc>
          <w:tcPr>
            <w:tcW w:w="470" w:type="pct"/>
            <w:tcBorders>
              <w:top w:val="single" w:sz="4" w:space="0" w:color="auto"/>
              <w:left w:val="single" w:sz="4" w:space="0" w:color="auto"/>
              <w:bottom w:val="single" w:sz="4" w:space="0" w:color="auto"/>
              <w:right w:val="single" w:sz="4" w:space="0" w:color="auto"/>
            </w:tcBorders>
          </w:tcPr>
          <w:p w14:paraId="252C39A2" w14:textId="5766EC61"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lastRenderedPageBreak/>
              <w:t xml:space="preserve">Parțial compatibil </w:t>
            </w:r>
          </w:p>
          <w:p w14:paraId="796C857A" w14:textId="46806B23"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392F80DB" w14:textId="2BF638D1" w:rsidR="00984B34" w:rsidRPr="009E686F" w:rsidRDefault="00984B34" w:rsidP="00984B34">
            <w:pPr>
              <w:rPr>
                <w:rFonts w:ascii="Times New Roman" w:hAnsi="Times New Roman" w:cs="Times New Roman"/>
                <w:lang w:val="ro-RO"/>
              </w:rPr>
            </w:pPr>
            <w:r w:rsidRPr="009E686F">
              <w:rPr>
                <w:rFonts w:ascii="Times New Roman" w:hAnsi="Times New Roman" w:cs="Times New Roman"/>
                <w:lang w:val="ro-RO"/>
              </w:rPr>
              <w:t>Prevederile se vor transpune integral prin proiectul de modificare a Regulamentului cu privire la amortizoarele de capital ale băncilor, aprobat prin HCE nr. 110/2018</w:t>
            </w:r>
            <w:r w:rsidR="0008435A" w:rsidRPr="009E686F">
              <w:rPr>
                <w:rFonts w:ascii="Times New Roman" w:hAnsi="Times New Roman" w:cs="Times New Roman"/>
                <w:lang w:val="ro-RO"/>
              </w:rPr>
              <w:t xml:space="preserve"> (</w:t>
            </w:r>
            <w:r w:rsidR="0008435A" w:rsidRPr="009E686F">
              <w:rPr>
                <w:rFonts w:ascii="Times New Roman" w:eastAsia="Times New Roman" w:hAnsi="Times New Roman" w:cs="Times New Roman"/>
                <w:bCs/>
                <w:lang w:val="it-CH" w:eastAsia="ru-RU"/>
              </w:rPr>
              <w:t>acțiunea normativă nr. 3 din Anexa A din PNA 2025-</w:t>
            </w:r>
            <w:r w:rsidR="0008435A" w:rsidRPr="009E686F">
              <w:rPr>
                <w:rFonts w:ascii="Times New Roman" w:eastAsia="Times New Roman" w:hAnsi="Times New Roman" w:cs="Times New Roman"/>
                <w:bCs/>
                <w:lang w:val="it-CH" w:eastAsia="ru-RU"/>
              </w:rPr>
              <w:lastRenderedPageBreak/>
              <w:t>2029 aferentă Capitolului 9 “Servicii financiare” în legătură cu transpunerea Directivei 2013/36/UE).</w:t>
            </w:r>
          </w:p>
          <w:p w14:paraId="08EEA600" w14:textId="77777777" w:rsidR="00984B34" w:rsidRPr="009E686F" w:rsidRDefault="00984B34" w:rsidP="00984B34">
            <w:pPr>
              <w:jc w:val="both"/>
              <w:rPr>
                <w:rFonts w:ascii="Times New Roman" w:hAnsi="Times New Roman" w:cs="Times New Roman"/>
                <w:lang w:val="ro-RO"/>
              </w:rPr>
            </w:pPr>
          </w:p>
        </w:tc>
      </w:tr>
      <w:tr w:rsidR="00984B34" w:rsidRPr="009E686F" w14:paraId="0A50042C" w14:textId="5F748117" w:rsidTr="00774F3E">
        <w:tc>
          <w:tcPr>
            <w:tcW w:w="1796" w:type="pct"/>
            <w:gridSpan w:val="2"/>
            <w:tcBorders>
              <w:top w:val="single" w:sz="4" w:space="0" w:color="auto"/>
              <w:left w:val="single" w:sz="4" w:space="0" w:color="auto"/>
              <w:bottom w:val="single" w:sz="4" w:space="0" w:color="auto"/>
              <w:right w:val="single" w:sz="4" w:space="0" w:color="auto"/>
            </w:tcBorders>
          </w:tcPr>
          <w:p w14:paraId="57EF9F32" w14:textId="466DB855"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lastRenderedPageBreak/>
              <w:t>(6)   După consultarea CERS, ABE emite, până la 30 iunie 2020, orientări în conformitate cu articolul 16 din Regulamentul (UE) nr. 1093/2010, referitoare la subseturile adecvate ale expunerilor cărora autoritatea competentă sau autoritatea desemnată le poate aplica un amortizor de risc sistemic în conformitate cu litera (f) de la alineatul (5) din prezentul articol.</w:t>
            </w:r>
          </w:p>
        </w:tc>
        <w:tc>
          <w:tcPr>
            <w:tcW w:w="1928" w:type="pct"/>
            <w:gridSpan w:val="3"/>
            <w:tcBorders>
              <w:top w:val="single" w:sz="4" w:space="0" w:color="auto"/>
              <w:left w:val="single" w:sz="4" w:space="0" w:color="auto"/>
              <w:bottom w:val="single" w:sz="4" w:space="0" w:color="auto"/>
              <w:right w:val="single" w:sz="4" w:space="0" w:color="auto"/>
            </w:tcBorders>
          </w:tcPr>
          <w:p w14:paraId="0C71F6BE" w14:textId="4FB62E19" w:rsidR="00984B34" w:rsidRPr="009E686F" w:rsidRDefault="00984B34" w:rsidP="00984B34">
            <w:pPr>
              <w:spacing w:after="0"/>
              <w:jc w:val="both"/>
              <w:rPr>
                <w:rFonts w:ascii="Times New Roman" w:hAnsi="Times New Roman" w:cs="Times New Roman"/>
                <w:lang w:val="ro-RO"/>
              </w:rPr>
            </w:pPr>
          </w:p>
        </w:tc>
        <w:tc>
          <w:tcPr>
            <w:tcW w:w="470" w:type="pct"/>
            <w:tcBorders>
              <w:top w:val="single" w:sz="4" w:space="0" w:color="auto"/>
              <w:left w:val="single" w:sz="4" w:space="0" w:color="auto"/>
              <w:bottom w:val="single" w:sz="4" w:space="0" w:color="auto"/>
              <w:right w:val="single" w:sz="4" w:space="0" w:color="auto"/>
            </w:tcBorders>
          </w:tcPr>
          <w:p w14:paraId="0B139BE3" w14:textId="6600B425"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neaplicabile</w:t>
            </w:r>
          </w:p>
        </w:tc>
        <w:tc>
          <w:tcPr>
            <w:tcW w:w="806" w:type="pct"/>
            <w:tcBorders>
              <w:top w:val="single" w:sz="4" w:space="0" w:color="auto"/>
              <w:left w:val="single" w:sz="4" w:space="0" w:color="auto"/>
              <w:bottom w:val="single" w:sz="4" w:space="0" w:color="auto"/>
              <w:right w:val="single" w:sz="4" w:space="0" w:color="auto"/>
            </w:tcBorders>
          </w:tcPr>
          <w:p w14:paraId="60E303FB" w14:textId="357266A6"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Se referă la competențele ABE.</w:t>
            </w:r>
          </w:p>
        </w:tc>
      </w:tr>
      <w:tr w:rsidR="00984B34" w:rsidRPr="009E686F" w14:paraId="27984FE7"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0F261A1B" w14:textId="640F9CE3"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(7)   Un amortizor de risc sistemic se aplică tuturor expunerilor sau unui subset de expuneri, astfel cum sunt menționate la alineatul (5) din prezentul articol, ale tuturor instituțiilor sau ale unuia ori mai multor subseturi ale respectivelor instituții, pentru care autoritățile statului membru vizat au competențe în conformitate cu prezenta directivă și se stabilește în trepte de ajustare de 0,5 puncte procentuale sau multipli ai acestora. Se pot introduce cerințe diferite pentru diferite subseturi de instituții și de expuneri. Amortizorul de risc sistemic nu abordează riscuri care sunt acoperite de articolele 130 și 131.</w:t>
            </w:r>
          </w:p>
        </w:tc>
        <w:tc>
          <w:tcPr>
            <w:tcW w:w="1928" w:type="pct"/>
            <w:gridSpan w:val="3"/>
            <w:tcBorders>
              <w:top w:val="single" w:sz="4" w:space="0" w:color="auto"/>
              <w:left w:val="single" w:sz="4" w:space="0" w:color="auto"/>
              <w:bottom w:val="single" w:sz="4" w:space="0" w:color="auto"/>
              <w:right w:val="single" w:sz="4" w:space="0" w:color="auto"/>
            </w:tcBorders>
          </w:tcPr>
          <w:p w14:paraId="0CE47885" w14:textId="4E159826" w:rsidR="00984B34" w:rsidRPr="009E686F" w:rsidRDefault="00984B34" w:rsidP="00984B34">
            <w:pPr>
              <w:spacing w:after="0"/>
              <w:rPr>
                <w:rFonts w:ascii="Times New Roman" w:hAnsi="Times New Roman" w:cs="Times New Roman"/>
                <w:b/>
                <w:lang w:val="ro-MD"/>
              </w:rPr>
            </w:pPr>
            <w:r w:rsidRPr="009E686F">
              <w:rPr>
                <w:rFonts w:ascii="Times New Roman" w:hAnsi="Times New Roman" w:cs="Times New Roman"/>
                <w:b/>
                <w:lang w:val="ro-RO"/>
              </w:rPr>
              <w:t>Pct. 75 și 77 subpct.3) din Regulamentul cu privire la amortizoarele de capital ale băncilor, aprobat prin HCE nr.110/2018</w:t>
            </w:r>
          </w:p>
          <w:p w14:paraId="224D6DC4" w14:textId="77777777" w:rsidR="00984B34" w:rsidRPr="009E686F" w:rsidRDefault="00984B34" w:rsidP="00984B34">
            <w:pPr>
              <w:spacing w:after="0"/>
              <w:jc w:val="both"/>
              <w:rPr>
                <w:rFonts w:ascii="Times New Roman" w:hAnsi="Times New Roman" w:cs="Times New Roman"/>
                <w:bCs/>
                <w:lang w:val="ro-RO"/>
              </w:rPr>
            </w:pPr>
            <w:r w:rsidRPr="009E686F">
              <w:rPr>
                <w:rFonts w:ascii="Times New Roman" w:hAnsi="Times New Roman" w:cs="Times New Roman"/>
                <w:b/>
                <w:lang w:val="ro-RO"/>
              </w:rPr>
              <w:t>75.</w:t>
            </w:r>
            <w:r w:rsidRPr="009E686F">
              <w:rPr>
                <w:rFonts w:ascii="Times New Roman" w:hAnsi="Times New Roman" w:cs="Times New Roman"/>
                <w:bCs/>
                <w:lang w:val="ro-RO"/>
              </w:rPr>
              <w:t xml:space="preserve"> Banca Națională a Moldovei impune amortizorul de risc sistemic tuturor expunerilor sau unui subansamblu de expuneri, astfel cum sunt menționate la punctul 76, ale tuturor băncilor şi/sau unuia ori mai multor subansambluri ale respectivelor bănci şi stabileşte rata acestui amortizor în trepte de ajustare graduale sau accelerate de 0,5 puncte procentuale. Banca Națională a Moldovei poate impune diferite cerințe (rate) pentru diferite grupuri de bănci și de expuneri.</w:t>
            </w:r>
          </w:p>
          <w:p w14:paraId="4EDFFE94" w14:textId="7FCE97DB"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b/>
                <w:lang w:val="ro-RO"/>
              </w:rPr>
              <w:lastRenderedPageBreak/>
              <w:t>77.</w:t>
            </w:r>
            <w:r w:rsidRPr="009E686F">
              <w:rPr>
                <w:rFonts w:ascii="Times New Roman" w:hAnsi="Times New Roman" w:cs="Times New Roman"/>
                <w:bCs/>
                <w:lang w:val="ro-RO"/>
              </w:rPr>
              <w:t xml:space="preserve"> </w:t>
            </w:r>
            <w:r w:rsidRPr="009E686F">
              <w:rPr>
                <w:rFonts w:ascii="Times New Roman" w:hAnsi="Times New Roman" w:cs="Times New Roman"/>
                <w:lang w:val="ro-RO"/>
              </w:rPr>
              <w:t>[…]</w:t>
            </w:r>
          </w:p>
          <w:p w14:paraId="5841D396" w14:textId="735CCD8E" w:rsidR="00984B34" w:rsidRPr="009E686F" w:rsidRDefault="00984B34" w:rsidP="00984B34">
            <w:pPr>
              <w:spacing w:after="0"/>
              <w:jc w:val="both"/>
              <w:rPr>
                <w:rFonts w:ascii="Times New Roman" w:hAnsi="Times New Roman" w:cs="Times New Roman"/>
                <w:bCs/>
                <w:lang w:val="ro-RO"/>
              </w:rPr>
            </w:pPr>
            <w:r w:rsidRPr="009E686F">
              <w:rPr>
                <w:rFonts w:ascii="Times New Roman" w:hAnsi="Times New Roman" w:cs="Times New Roman"/>
                <w:bCs/>
                <w:lang w:val="ro-RO"/>
              </w:rPr>
              <w:t>3) amortizorul de risc sistemic nu este utilizat pentru abordarea unor riscuri care sunt acoperite de prevederile capitolelor III și  IV din prezentul regulament.</w:t>
            </w:r>
          </w:p>
        </w:tc>
        <w:tc>
          <w:tcPr>
            <w:tcW w:w="470" w:type="pct"/>
            <w:tcBorders>
              <w:top w:val="single" w:sz="4" w:space="0" w:color="auto"/>
              <w:left w:val="single" w:sz="4" w:space="0" w:color="auto"/>
              <w:bottom w:val="single" w:sz="4" w:space="0" w:color="auto"/>
              <w:right w:val="single" w:sz="4" w:space="0" w:color="auto"/>
            </w:tcBorders>
          </w:tcPr>
          <w:p w14:paraId="705F13E8" w14:textId="538B37D1"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0A8B9323" w14:textId="77777777" w:rsidR="00984B34" w:rsidRPr="009E686F" w:rsidRDefault="00984B34" w:rsidP="00984B34">
            <w:pPr>
              <w:jc w:val="both"/>
              <w:rPr>
                <w:rFonts w:ascii="Times New Roman" w:hAnsi="Times New Roman" w:cs="Times New Roman"/>
                <w:lang w:val="ro-RO"/>
              </w:rPr>
            </w:pPr>
          </w:p>
        </w:tc>
      </w:tr>
      <w:tr w:rsidR="00984B34" w:rsidRPr="009E686F" w14:paraId="44D9F3DC" w14:textId="4BA45A76" w:rsidTr="00774F3E">
        <w:tc>
          <w:tcPr>
            <w:tcW w:w="1796" w:type="pct"/>
            <w:gridSpan w:val="2"/>
            <w:tcBorders>
              <w:top w:val="single" w:sz="4" w:space="0" w:color="auto"/>
              <w:left w:val="single" w:sz="4" w:space="0" w:color="auto"/>
              <w:bottom w:val="single" w:sz="4" w:space="0" w:color="auto"/>
              <w:right w:val="single" w:sz="4" w:space="0" w:color="auto"/>
            </w:tcBorders>
          </w:tcPr>
          <w:p w14:paraId="37038DEA" w14:textId="4BFC507E"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(8) Atunci când solicită menținerea unui amortizor de risc sistemic, autoritatea competentă sau autoritatea desemnată respectă următoarele:</w:t>
            </w:r>
          </w:p>
          <w:p w14:paraId="1976AD10" w14:textId="5AC313BC"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(a) amortizorul de risc sistemic nu implică efecte negative disproporționate asupra sistemului financiar, în ansamblu sau în parte, al altor state membre sau al Uniunii în ansamblu, care să constituie sau să creeze un obstacol pentru funcționarea corespunzătoare a pieței interne;</w:t>
            </w:r>
          </w:p>
          <w:p w14:paraId="5D56055D" w14:textId="311C968D"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(b) amortizorul de risc sistemic este reexaminat de către autoritatea competentă sau autoritatea desemnată cel puțin o dată la doi ani;</w:t>
            </w:r>
          </w:p>
          <w:p w14:paraId="7A75FD4A" w14:textId="6A324429" w:rsidR="00984B34" w:rsidRPr="009E686F" w:rsidRDefault="00984B34" w:rsidP="00984B34">
            <w:pPr>
              <w:spacing w:after="0"/>
              <w:jc w:val="both"/>
              <w:rPr>
                <w:rFonts w:ascii="Times New Roman" w:hAnsi="Times New Roman" w:cs="Times New Roman"/>
                <w:lang w:val="ro-RO"/>
              </w:rPr>
            </w:pPr>
          </w:p>
          <w:p w14:paraId="75B1FAC7"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(c) amortizorul de risc sistemic nu trebuie utilizat pentru a aborda vreunul dintre următoarele elemente:</w:t>
            </w:r>
          </w:p>
          <w:p w14:paraId="47EE8EC4"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(i) riscurile care sunt acoperite de articolele 130 și 131 din prezenta directivă;</w:t>
            </w:r>
          </w:p>
          <w:p w14:paraId="25E7D364"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(ii) riscurile care sunt integral acoperite de calculul prevăzut la articolul 92 alineatul (3) din Regulamentul (UE) nr. 575/2013;</w:t>
            </w:r>
          </w:p>
          <w:p w14:paraId="18461F17" w14:textId="49A5632B"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(d) în cazul în care un amortizor de risc sistemic se aplică cuantumului total al expunerii la risc a unei instituții, iar instituția respectivă intră sub incidența pragului privind cerințele de capital, autoritatea sa competentă sau autoritatea desemnată reexaminează, până cel târziu la data reexaminării bienale menționate la litera (b) de la prezentul alineat, cerința privind amortizorul de risc sistemic a instituției pentru a se asigura că calibrarea sa rămâne adecvată.</w:t>
            </w:r>
          </w:p>
          <w:p w14:paraId="0A371AD8" w14:textId="7FC9CC84" w:rsidR="00984B34" w:rsidRPr="009E686F" w:rsidRDefault="00984B34" w:rsidP="00984B34">
            <w:pPr>
              <w:spacing w:after="0"/>
              <w:jc w:val="both"/>
              <w:rPr>
                <w:rFonts w:ascii="Times New Roman" w:hAnsi="Times New Roman" w:cs="Times New Roman"/>
                <w:lang w:val="ro-RO"/>
              </w:rPr>
            </w:pPr>
          </w:p>
        </w:tc>
        <w:tc>
          <w:tcPr>
            <w:tcW w:w="1928" w:type="pct"/>
            <w:gridSpan w:val="3"/>
            <w:tcBorders>
              <w:top w:val="single" w:sz="4" w:space="0" w:color="auto"/>
              <w:left w:val="single" w:sz="4" w:space="0" w:color="auto"/>
              <w:bottom w:val="single" w:sz="4" w:space="0" w:color="auto"/>
              <w:right w:val="single" w:sz="4" w:space="0" w:color="auto"/>
            </w:tcBorders>
          </w:tcPr>
          <w:p w14:paraId="541E5FB6" w14:textId="30F8B1F4" w:rsidR="00984B34" w:rsidRPr="009E686F" w:rsidRDefault="00984B34" w:rsidP="00984B34">
            <w:pPr>
              <w:spacing w:after="0"/>
              <w:rPr>
                <w:rFonts w:ascii="Times New Roman" w:hAnsi="Times New Roman" w:cs="Times New Roman"/>
                <w:b/>
                <w:lang w:val="ro-MD"/>
              </w:rPr>
            </w:pPr>
            <w:r w:rsidRPr="009E686F">
              <w:rPr>
                <w:rFonts w:ascii="Times New Roman" w:hAnsi="Times New Roman" w:cs="Times New Roman"/>
                <w:b/>
                <w:lang w:val="ro-RO"/>
              </w:rPr>
              <w:lastRenderedPageBreak/>
              <w:t>Pct. 77 din Regulamentul cu privire la amortizoarele de capital ale băncilor, aprobat prin HCE nr.110/2018</w:t>
            </w:r>
          </w:p>
          <w:p w14:paraId="5027711F" w14:textId="77777777" w:rsidR="00984B34" w:rsidRPr="009E686F" w:rsidRDefault="00984B34" w:rsidP="00984B34">
            <w:pPr>
              <w:spacing w:after="0"/>
              <w:jc w:val="both"/>
              <w:rPr>
                <w:rFonts w:ascii="Times New Roman" w:hAnsi="Times New Roman" w:cs="Times New Roman"/>
                <w:lang w:val="ro-RO"/>
              </w:rPr>
            </w:pPr>
          </w:p>
          <w:p w14:paraId="7C471BAE"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b/>
                <w:bCs/>
                <w:lang w:val="ro-RO"/>
              </w:rPr>
              <w:t>77.</w:t>
            </w:r>
            <w:r w:rsidRPr="009E686F">
              <w:rPr>
                <w:rFonts w:ascii="Times New Roman" w:hAnsi="Times New Roman" w:cs="Times New Roman"/>
                <w:lang w:val="ro-RO"/>
              </w:rPr>
              <w:t xml:space="preserve"> În cazul în care solicită menținerea unui amortizor de risc sistemic, Banca Națională a Moldovei respectă următoarele:</w:t>
            </w:r>
          </w:p>
          <w:p w14:paraId="4EFDCD6F"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1) amortizorul de risc sistemic nu trebuie să implice efecte negative disproporționate asupra sistemului financiar, în ansamblu sau în parte, formând sau creând un obstacol pentru funcționarea pieței interne;</w:t>
            </w:r>
          </w:p>
          <w:p w14:paraId="79BEF276"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2) amortizorul de risc sistemic se revizuieşte cel puțin o dată la doi ani.</w:t>
            </w:r>
          </w:p>
          <w:p w14:paraId="2D68A296"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3) amortizorul de risc sistemic nu este utilizat pentru abordarea unor riscuri care sunt acoperite de prevederile capitolului III și IV din prezentul regulament.</w:t>
            </w:r>
          </w:p>
          <w:p w14:paraId="44CDC99D" w14:textId="21665C6B" w:rsidR="00984B34" w:rsidRPr="009E686F" w:rsidRDefault="00984B34" w:rsidP="00984B34">
            <w:pPr>
              <w:spacing w:after="0"/>
              <w:jc w:val="both"/>
              <w:rPr>
                <w:rFonts w:ascii="Times New Roman" w:hAnsi="Times New Roman" w:cs="Times New Roman"/>
                <w:lang w:val="ro-RO"/>
              </w:rPr>
            </w:pPr>
          </w:p>
        </w:tc>
        <w:tc>
          <w:tcPr>
            <w:tcW w:w="470" w:type="pct"/>
            <w:tcBorders>
              <w:top w:val="single" w:sz="4" w:space="0" w:color="auto"/>
              <w:left w:val="single" w:sz="4" w:space="0" w:color="auto"/>
              <w:bottom w:val="single" w:sz="4" w:space="0" w:color="auto"/>
              <w:right w:val="single" w:sz="4" w:space="0" w:color="auto"/>
            </w:tcBorders>
          </w:tcPr>
          <w:p w14:paraId="3AD94C3D" w14:textId="77777777"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 xml:space="preserve">Parțial compatibil </w:t>
            </w:r>
          </w:p>
          <w:p w14:paraId="25BC5372" w14:textId="5F50D3C6"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3D4E9CEC" w14:textId="17245768" w:rsidR="00984B34" w:rsidRPr="009E686F" w:rsidRDefault="00984B34" w:rsidP="00984B34">
            <w:pPr>
              <w:rPr>
                <w:rFonts w:ascii="Times New Roman" w:hAnsi="Times New Roman" w:cs="Times New Roman"/>
                <w:lang w:val="ro-RO"/>
              </w:rPr>
            </w:pPr>
            <w:r w:rsidRPr="009E686F">
              <w:rPr>
                <w:rFonts w:ascii="Times New Roman" w:hAnsi="Times New Roman" w:cs="Times New Roman"/>
                <w:lang w:val="ro-RO"/>
              </w:rPr>
              <w:t>Prevederile se vor transpune integral prin proiectul de modificare a Regulamentului cu privire la amortizoarele de capital ale băncilor, aprobat prin HCE nr. 110/2018</w:t>
            </w:r>
            <w:r w:rsidR="0008435A" w:rsidRPr="009E686F">
              <w:rPr>
                <w:rFonts w:ascii="Times New Roman" w:hAnsi="Times New Roman" w:cs="Times New Roman"/>
                <w:lang w:val="ro-RO"/>
              </w:rPr>
              <w:t xml:space="preserve"> (</w:t>
            </w:r>
            <w:r w:rsidR="0008435A" w:rsidRPr="009E686F">
              <w:rPr>
                <w:rFonts w:ascii="Times New Roman" w:eastAsia="Times New Roman" w:hAnsi="Times New Roman" w:cs="Times New Roman"/>
                <w:bCs/>
                <w:lang w:val="it-CH" w:eastAsia="ru-RU"/>
              </w:rPr>
              <w:t>acțiunea normativă nr. 3 din Anexa A din PNA 2025-2029 aferentă Capitolului 9 “Servicii financiare” în legătură cu transpunerea Directivei 2013/36/UE).</w:t>
            </w:r>
          </w:p>
          <w:p w14:paraId="49BE6495" w14:textId="77777777" w:rsidR="00984B34" w:rsidRPr="009E686F" w:rsidRDefault="00984B34" w:rsidP="00984B34">
            <w:pPr>
              <w:jc w:val="both"/>
              <w:rPr>
                <w:rFonts w:ascii="Times New Roman" w:hAnsi="Times New Roman" w:cs="Times New Roman"/>
                <w:lang w:val="ro-RO"/>
              </w:rPr>
            </w:pPr>
          </w:p>
        </w:tc>
      </w:tr>
      <w:tr w:rsidR="00984B34" w:rsidRPr="009E686F" w14:paraId="4B5D1E1A" w14:textId="5F67725A" w:rsidTr="00774F3E">
        <w:tc>
          <w:tcPr>
            <w:tcW w:w="1796" w:type="pct"/>
            <w:gridSpan w:val="2"/>
            <w:tcBorders>
              <w:top w:val="single" w:sz="4" w:space="0" w:color="auto"/>
              <w:left w:val="single" w:sz="4" w:space="0" w:color="auto"/>
              <w:bottom w:val="single" w:sz="4" w:space="0" w:color="auto"/>
              <w:right w:val="single" w:sz="4" w:space="0" w:color="auto"/>
            </w:tcBorders>
          </w:tcPr>
          <w:p w14:paraId="111ED3C4" w14:textId="5F3DCC26"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(9)   Autoritatea competentă sau autoritatea desemnată, după caz, transmite o notificare către CERS înainte de publicarea deciziei menționate la alineatul (13). CERS transmite fără întârziere astfel de notificări către Comisie, ABE și autoritățile competente și desemnate ale statelor membre în cauză.</w:t>
            </w:r>
          </w:p>
          <w:p w14:paraId="66AEBD6C"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În cazul în care instituția căreia i se aplică una sau mai multe rate ale amortizorului de risc sistemic este o filială a cărei întreprindere-mamă este stabilită într-un alt stat membru, autoritatea competentă sau autoritatea desemnată transmite o notificare și autorităților statului membru în cauză.</w:t>
            </w:r>
          </w:p>
          <w:p w14:paraId="58A5D36A"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În cazul în care o rată a amortizorului de risc sistemic se aplică expunerilor de pe teritoriul unor țări terțe, autoritatea competentă sau autoritatea desemnată, după caz, transmite, de asemenea, o notificare către CERS. CERS transmite fără întârziere notificările respective autorităților de supraveghere ale respectivelor țări terțe.</w:t>
            </w:r>
          </w:p>
          <w:p w14:paraId="6CAC7B06"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Notificările respective prevăd în detaliu:</w:t>
            </w:r>
          </w:p>
          <w:p w14:paraId="69D8F85A" w14:textId="0FEC445B"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(a) riscul macroprudențial sau sistemic în statul membru vizat;</w:t>
            </w:r>
          </w:p>
          <w:p w14:paraId="2FC0E5BE" w14:textId="01DE0424"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(b) motivele pentru care dimensiunea riscurilor macroprudențiale sau sistemice amenință stabilitatea sistemului financiar la nivel național, justificând rata amortizorului de risc sistemic;</w:t>
            </w:r>
          </w:p>
          <w:p w14:paraId="5D7CEB7B" w14:textId="7A2B443F"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(c) motivele pentru care se consideră că amortizorul de risc sistemic poate fi eficace și proporțional în ceea ce privește atenuarea riscului;</w:t>
            </w:r>
          </w:p>
          <w:p w14:paraId="140E7FD3" w14:textId="6152018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(d) o evaluare a impactului pozitiv sau negativ probabil al amortizorului de risc sistemic pe piața internă, pe baza informațiilor aflate la dispoziția statului membru;</w:t>
            </w:r>
          </w:p>
          <w:p w14:paraId="41992EE1" w14:textId="38215DAD"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lastRenderedPageBreak/>
              <w:t>(e) rata sau ratele amortizorului de risc sistemic pe care autoritatea competentă sau autoritatea desemnată, după caz, intenționează să le impună și expunerile cărora li se aplică aceste rate, precum și instituțiile care fac obiectul ratelor respective;</w:t>
            </w:r>
          </w:p>
          <w:p w14:paraId="4BC98D3A" w14:textId="3887DE71"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(f) în cazul în care rata amortizorului de risc sistemic se aplică tuturor expunerilor, o justificare a motivului pentru care autoritatea consideră că amortizorul de risc sistemic nu constituie o duplicare a funcționării amortizorului O-SII prevăzut la articolul 131.</w:t>
            </w:r>
          </w:p>
          <w:p w14:paraId="0EBD2719" w14:textId="1D63B13C"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În cazul în care decizia privind stabilirea ratei amortizorului de risc sistemic conduce la o scădere a ratei amortizorului stabilite anterior sau la menținerea ei la același nivel, autoritatea competentă sau autoritatea desemnată, după caz, respectă doar prezentul alineat.</w:t>
            </w:r>
          </w:p>
        </w:tc>
        <w:tc>
          <w:tcPr>
            <w:tcW w:w="1928" w:type="pct"/>
            <w:gridSpan w:val="3"/>
            <w:tcBorders>
              <w:top w:val="single" w:sz="4" w:space="0" w:color="auto"/>
              <w:left w:val="single" w:sz="4" w:space="0" w:color="auto"/>
              <w:bottom w:val="single" w:sz="4" w:space="0" w:color="auto"/>
              <w:right w:val="single" w:sz="4" w:space="0" w:color="auto"/>
            </w:tcBorders>
          </w:tcPr>
          <w:p w14:paraId="33983A23" w14:textId="67F2020B" w:rsidR="00984B34" w:rsidRPr="009E686F" w:rsidRDefault="00984B34" w:rsidP="00984B34">
            <w:pPr>
              <w:spacing w:after="0"/>
              <w:jc w:val="both"/>
              <w:rPr>
                <w:rFonts w:ascii="Times New Roman" w:hAnsi="Times New Roman" w:cs="Times New Roman"/>
                <w:lang w:val="ro-RO"/>
              </w:rPr>
            </w:pPr>
          </w:p>
        </w:tc>
        <w:tc>
          <w:tcPr>
            <w:tcW w:w="470" w:type="pct"/>
            <w:tcBorders>
              <w:top w:val="single" w:sz="4" w:space="0" w:color="auto"/>
              <w:left w:val="single" w:sz="4" w:space="0" w:color="auto"/>
              <w:bottom w:val="single" w:sz="4" w:space="0" w:color="auto"/>
              <w:right w:val="single" w:sz="4" w:space="0" w:color="auto"/>
            </w:tcBorders>
          </w:tcPr>
          <w:p w14:paraId="71FB28E7" w14:textId="4B92FB44"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netranspuse</w:t>
            </w:r>
          </w:p>
        </w:tc>
        <w:tc>
          <w:tcPr>
            <w:tcW w:w="806" w:type="pct"/>
            <w:tcBorders>
              <w:top w:val="single" w:sz="4" w:space="0" w:color="auto"/>
              <w:left w:val="single" w:sz="4" w:space="0" w:color="auto"/>
              <w:bottom w:val="single" w:sz="4" w:space="0" w:color="auto"/>
              <w:right w:val="single" w:sz="4" w:space="0" w:color="auto"/>
            </w:tcBorders>
          </w:tcPr>
          <w:p w14:paraId="4353A91E" w14:textId="4D1D111D" w:rsidR="00984B34" w:rsidRPr="009E686F" w:rsidRDefault="00984B34" w:rsidP="00984B34">
            <w:pPr>
              <w:rPr>
                <w:rFonts w:ascii="Times New Roman" w:hAnsi="Times New Roman" w:cs="Times New Roman"/>
                <w:lang w:val="ro-RO"/>
              </w:rPr>
            </w:pPr>
            <w:r w:rsidRPr="009E686F">
              <w:rPr>
                <w:rFonts w:ascii="Times New Roman" w:hAnsi="Times New Roman" w:cs="Times New Roman"/>
                <w:lang w:val="ro-RO"/>
              </w:rPr>
              <w:t>Se vor regăsi în proiectul de modificare a Regulamentului cu privire la amortizoarele de capital ale băncilor, aprobat prin HCE nr. 110/2018</w:t>
            </w:r>
            <w:r w:rsidR="0008435A" w:rsidRPr="009E686F">
              <w:rPr>
                <w:rFonts w:ascii="Times New Roman" w:hAnsi="Times New Roman" w:cs="Times New Roman"/>
                <w:lang w:val="ro-RO"/>
              </w:rPr>
              <w:t xml:space="preserve"> (</w:t>
            </w:r>
            <w:r w:rsidR="0008435A" w:rsidRPr="009E686F">
              <w:rPr>
                <w:rFonts w:ascii="Times New Roman" w:eastAsia="Times New Roman" w:hAnsi="Times New Roman" w:cs="Times New Roman"/>
                <w:bCs/>
                <w:lang w:val="it-CH" w:eastAsia="ru-RU"/>
              </w:rPr>
              <w:t>acțiunea normativă nr. 3 din Anexa A din PNA 2025-2029 aferentă Capitolului 9 “Servicii financiare” în legătură cu transpunerea Directivei 2013/36/UE).</w:t>
            </w:r>
          </w:p>
        </w:tc>
      </w:tr>
      <w:tr w:rsidR="00984B34" w:rsidRPr="009E686F" w14:paraId="4753A0BF" w14:textId="3684E3A5" w:rsidTr="00774F3E">
        <w:tc>
          <w:tcPr>
            <w:tcW w:w="1796" w:type="pct"/>
            <w:gridSpan w:val="2"/>
            <w:tcBorders>
              <w:top w:val="single" w:sz="4" w:space="0" w:color="auto"/>
              <w:left w:val="single" w:sz="4" w:space="0" w:color="auto"/>
              <w:bottom w:val="single" w:sz="4" w:space="0" w:color="auto"/>
              <w:right w:val="single" w:sz="4" w:space="0" w:color="auto"/>
            </w:tcBorders>
          </w:tcPr>
          <w:p w14:paraId="3114DA71" w14:textId="234BBEC3"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(10) În cazul în care stabilirea sau restabilirea unei rate sau a unor rate ale amortizorului de risc sistemic pentru orice set sau subset de expuneri menționate la alineatul (5) care fac obiectul unuia sau al mai multor amortizoare de risc sistemic nu are drept rezultat o rată combinată a amortizorului de risc sistemic mai mare de 3 % pentru niciuna dintre expunerile respective, autoritatea competentă sau autoritatea desemnată, după caz, transmite o notificare către CERS în conformitate cu alineatul (9), cu o lună înainte de publicarea deciziei menționate la alineatul (13).</w:t>
            </w:r>
          </w:p>
          <w:p w14:paraId="3BCF1BEA" w14:textId="3DD742A6"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În sensul prezentului alineat, recunoașterea unei rate a amortizorului de risc sistemic stabilită de alt stat membru în conformitate cu articolul 134 nu este inclusă în calculul pragului de 3 %.</w:t>
            </w:r>
          </w:p>
        </w:tc>
        <w:tc>
          <w:tcPr>
            <w:tcW w:w="1928" w:type="pct"/>
            <w:gridSpan w:val="3"/>
            <w:tcBorders>
              <w:top w:val="single" w:sz="4" w:space="0" w:color="auto"/>
              <w:left w:val="single" w:sz="4" w:space="0" w:color="auto"/>
              <w:bottom w:val="single" w:sz="4" w:space="0" w:color="auto"/>
              <w:right w:val="single" w:sz="4" w:space="0" w:color="auto"/>
            </w:tcBorders>
          </w:tcPr>
          <w:p w14:paraId="17DCE287" w14:textId="5F89811D"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0FEB0CB8" w14:textId="6B1EBE98"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netranspuse</w:t>
            </w:r>
          </w:p>
        </w:tc>
        <w:tc>
          <w:tcPr>
            <w:tcW w:w="806" w:type="pct"/>
            <w:tcBorders>
              <w:top w:val="single" w:sz="4" w:space="0" w:color="auto"/>
              <w:left w:val="single" w:sz="4" w:space="0" w:color="auto"/>
              <w:bottom w:val="single" w:sz="4" w:space="0" w:color="auto"/>
              <w:right w:val="single" w:sz="4" w:space="0" w:color="auto"/>
            </w:tcBorders>
          </w:tcPr>
          <w:p w14:paraId="3AEC6DFB" w14:textId="2F8284D8"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Se vor regăsi în proiectul de modificare a Regulamentului cu privire la amortizoarele de capital ale băncilor, aprobat prin HCE nr. 110/2018</w:t>
            </w:r>
            <w:r w:rsidR="0008435A" w:rsidRPr="009E686F">
              <w:rPr>
                <w:rFonts w:ascii="Times New Roman" w:hAnsi="Times New Roman" w:cs="Times New Roman"/>
                <w:lang w:val="ro-RO"/>
              </w:rPr>
              <w:t xml:space="preserve"> (</w:t>
            </w:r>
            <w:r w:rsidR="0008435A" w:rsidRPr="009E686F">
              <w:rPr>
                <w:rFonts w:ascii="Times New Roman" w:eastAsia="Times New Roman" w:hAnsi="Times New Roman" w:cs="Times New Roman"/>
                <w:bCs/>
                <w:lang w:val="it-CH" w:eastAsia="ru-RU"/>
              </w:rPr>
              <w:t>acțiunea normativă nr. 3 din Anexa A din PNA 2025-2029 aferentă Capitolului 9 “Servicii financiare” în legătură cu transpunerea Directivei 2013/36/UE).</w:t>
            </w:r>
          </w:p>
        </w:tc>
      </w:tr>
      <w:tr w:rsidR="00984B34" w:rsidRPr="009E686F" w14:paraId="1A1CA1A4" w14:textId="4D053FA8" w:rsidTr="00774F3E">
        <w:tc>
          <w:tcPr>
            <w:tcW w:w="1796" w:type="pct"/>
            <w:gridSpan w:val="2"/>
            <w:tcBorders>
              <w:top w:val="single" w:sz="4" w:space="0" w:color="auto"/>
              <w:left w:val="single" w:sz="4" w:space="0" w:color="auto"/>
              <w:bottom w:val="single" w:sz="4" w:space="0" w:color="auto"/>
              <w:right w:val="single" w:sz="4" w:space="0" w:color="auto"/>
            </w:tcBorders>
          </w:tcPr>
          <w:p w14:paraId="42E9E0EA"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(11) În cazul în care stabilirea sau restabilirea unei rate sau a unor rate a (ale) amortizorului de risc sistemic pentru orice </w:t>
            </w:r>
            <w:r w:rsidRPr="009E686F">
              <w:rPr>
                <w:rFonts w:ascii="Times New Roman" w:hAnsi="Times New Roman" w:cs="Times New Roman"/>
                <w:lang w:val="ro-RO"/>
              </w:rPr>
              <w:lastRenderedPageBreak/>
              <w:t>set sau subset de expuneri menționate la alineatul (5) care fac obiectul unuia sau al mai multor amortizoare de risc sistemic are drept rezultat o rată combinată a amortizorului de risc sistemic mai mare de 3 %, dar mai mică de 5 % pentru oricare dintre expunerile respective, autoritatea competentă sau autoritatea desemnată din statul membru care stabilește amortizorul respectiv solicită, în notificarea transmisă în conformitate cu alineatul (9), avizul Comisiei și pe cel al CERS.</w:t>
            </w:r>
          </w:p>
          <w:p w14:paraId="4E903AF6" w14:textId="77777777" w:rsidR="00984B34" w:rsidRPr="009E686F" w:rsidRDefault="00984B34" w:rsidP="00984B34">
            <w:pPr>
              <w:spacing w:after="0"/>
              <w:jc w:val="both"/>
              <w:rPr>
                <w:rFonts w:ascii="Times New Roman" w:hAnsi="Times New Roman" w:cs="Times New Roman"/>
                <w:lang w:val="ro-RO"/>
              </w:rPr>
            </w:pPr>
          </w:p>
          <w:p w14:paraId="37799051" w14:textId="216646BA"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În termen de o lună de la primirea notificării menționate la alineatul (9), CERS transmite Comisiei un aviz în care precizează dacă rata sau ratele amortizorului de risc sistemic sunt considerate adecvate. Ținând seama de avizul CERS, Comisia emite avizul său în termen de două luni de la primirea notificării.</w:t>
            </w:r>
          </w:p>
          <w:p w14:paraId="4C4E242F" w14:textId="77777777" w:rsidR="00984B34" w:rsidRPr="009E686F" w:rsidRDefault="00984B34" w:rsidP="00984B34">
            <w:pPr>
              <w:spacing w:after="0"/>
              <w:jc w:val="both"/>
              <w:rPr>
                <w:rFonts w:ascii="Times New Roman" w:hAnsi="Times New Roman" w:cs="Times New Roman"/>
                <w:lang w:val="ro-RO"/>
              </w:rPr>
            </w:pPr>
          </w:p>
          <w:p w14:paraId="4F31497F"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În cazul în care Comisia emite un aviz negativ, autoritatea competentă sau autoritatea desemnată, după caz, din statul membru care stabilește respectivul amortizor de risc sistemic respectă avizul în cauză sau prezintă motivele pentru care nu face acest lucru.</w:t>
            </w:r>
          </w:p>
          <w:p w14:paraId="5C832B6B" w14:textId="77777777" w:rsidR="00984B34" w:rsidRPr="009E686F" w:rsidRDefault="00984B34" w:rsidP="00984B34">
            <w:pPr>
              <w:spacing w:after="0"/>
              <w:jc w:val="both"/>
              <w:rPr>
                <w:rFonts w:ascii="Times New Roman" w:hAnsi="Times New Roman" w:cs="Times New Roman"/>
                <w:lang w:val="ro-RO"/>
              </w:rPr>
            </w:pPr>
          </w:p>
          <w:p w14:paraId="30DD6E2C"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În cazul în care una sau mai multe instituții cărora li se aplică una sau mai multe rate ale amortizorului de risc sistemic sunt filiale ale unei întreprinderi-mamă stabilite într-un alt stat membru, CERS și Comisia analizează, de asemenea, în avizele lor dacă aplicarea ratei sau a ratelor amortizorului de risc sistemic în cazul instituțiilor respective este considerată adecvată.</w:t>
            </w:r>
          </w:p>
          <w:p w14:paraId="4EB9E019" w14:textId="77777777" w:rsidR="00984B34" w:rsidRPr="009E686F" w:rsidRDefault="00984B34" w:rsidP="00984B34">
            <w:pPr>
              <w:spacing w:after="0"/>
              <w:jc w:val="both"/>
              <w:rPr>
                <w:rFonts w:ascii="Times New Roman" w:hAnsi="Times New Roman" w:cs="Times New Roman"/>
                <w:lang w:val="ro-RO"/>
              </w:rPr>
            </w:pPr>
          </w:p>
          <w:p w14:paraId="48F0F3C5" w14:textId="39D84A14"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lastRenderedPageBreak/>
              <w:t>În cazul în care autoritățile filialei și întreprinderii-mamă nu sunt de acord cu privire la rata sau ratele amortizorului de risc sistemic aplicabile instituției respective și în cazul unui aviz negativ atât din partea Comisiei, cât și a CERS, autoritatea competentă sau autoritatea desemnată, după caz, poate sesiza ABE și solicita asistența acesteia în conformitate cu articolul 19 din Regulamentul (UE) nr. 1093/2010. Decizia privind stabilirea ratei sau a ratelor amortizorului de risc sistemic pentru expunerile respective se suspendă până la luarea unei decizii de către ABE.</w:t>
            </w:r>
          </w:p>
          <w:p w14:paraId="5AA6A43C" w14:textId="2B89FFDB"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În sensul prezentului alineat, recunoașterea unei rate a amortizorului de risc sistemic stabilite de alt stat membru în conformitate cu articolul 134 nu este inclusă în calculul pragurilor menționate la primul paragraf de la prezentul alineat.</w:t>
            </w:r>
          </w:p>
        </w:tc>
        <w:tc>
          <w:tcPr>
            <w:tcW w:w="1928" w:type="pct"/>
            <w:gridSpan w:val="3"/>
            <w:tcBorders>
              <w:top w:val="single" w:sz="4" w:space="0" w:color="auto"/>
              <w:left w:val="single" w:sz="4" w:space="0" w:color="auto"/>
              <w:bottom w:val="single" w:sz="4" w:space="0" w:color="auto"/>
              <w:right w:val="single" w:sz="4" w:space="0" w:color="auto"/>
            </w:tcBorders>
          </w:tcPr>
          <w:p w14:paraId="401FBB6E" w14:textId="5FC930E4" w:rsidR="00984B34" w:rsidRPr="009E686F" w:rsidRDefault="00984B34" w:rsidP="00984B34">
            <w:pPr>
              <w:spacing w:after="0"/>
              <w:jc w:val="both"/>
              <w:rPr>
                <w:rFonts w:ascii="Times New Roman" w:hAnsi="Times New Roman" w:cs="Times New Roman"/>
                <w:lang w:val="ro-RO"/>
              </w:rPr>
            </w:pPr>
          </w:p>
        </w:tc>
        <w:tc>
          <w:tcPr>
            <w:tcW w:w="470" w:type="pct"/>
            <w:tcBorders>
              <w:top w:val="single" w:sz="4" w:space="0" w:color="auto"/>
              <w:left w:val="single" w:sz="4" w:space="0" w:color="auto"/>
              <w:bottom w:val="single" w:sz="4" w:space="0" w:color="auto"/>
              <w:right w:val="single" w:sz="4" w:space="0" w:color="auto"/>
            </w:tcBorders>
          </w:tcPr>
          <w:p w14:paraId="1C6642C8" w14:textId="4CB79E32"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netranspuse</w:t>
            </w:r>
          </w:p>
        </w:tc>
        <w:tc>
          <w:tcPr>
            <w:tcW w:w="806" w:type="pct"/>
            <w:tcBorders>
              <w:top w:val="single" w:sz="4" w:space="0" w:color="auto"/>
              <w:left w:val="single" w:sz="4" w:space="0" w:color="auto"/>
              <w:bottom w:val="single" w:sz="4" w:space="0" w:color="auto"/>
              <w:right w:val="single" w:sz="4" w:space="0" w:color="auto"/>
            </w:tcBorders>
          </w:tcPr>
          <w:p w14:paraId="108BF334" w14:textId="293E8358"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 xml:space="preserve">Se vor regăsi în proiectul de modificare a </w:t>
            </w:r>
            <w:r w:rsidRPr="009E686F">
              <w:rPr>
                <w:rFonts w:ascii="Times New Roman" w:hAnsi="Times New Roman" w:cs="Times New Roman"/>
                <w:lang w:val="ro-RO"/>
              </w:rPr>
              <w:lastRenderedPageBreak/>
              <w:t>Regulamentului cu privire la amortizoarele de capital ale băncilor, aprobat prin HCE nr. 110/2018</w:t>
            </w:r>
            <w:r w:rsidR="0008435A" w:rsidRPr="009E686F">
              <w:rPr>
                <w:rFonts w:ascii="Times New Roman" w:hAnsi="Times New Roman" w:cs="Times New Roman"/>
                <w:lang w:val="ro-RO"/>
              </w:rPr>
              <w:t xml:space="preserve"> (</w:t>
            </w:r>
            <w:r w:rsidR="0008435A" w:rsidRPr="009E686F">
              <w:rPr>
                <w:rFonts w:ascii="Times New Roman" w:eastAsia="Times New Roman" w:hAnsi="Times New Roman" w:cs="Times New Roman"/>
                <w:bCs/>
                <w:lang w:val="it-CH" w:eastAsia="ru-RU"/>
              </w:rPr>
              <w:t>acțiunea normativă nr. 3 din Anexa A din PNA 2025-2029 aferentă Capitolului 9 “Servicii financiare” în legătură cu transpunerea Directivei 2013/36/UE).</w:t>
            </w:r>
          </w:p>
        </w:tc>
      </w:tr>
      <w:tr w:rsidR="00984B34" w:rsidRPr="009E686F" w14:paraId="46F90F25" w14:textId="4840CC6F" w:rsidTr="00774F3E">
        <w:tc>
          <w:tcPr>
            <w:tcW w:w="1796" w:type="pct"/>
            <w:gridSpan w:val="2"/>
            <w:tcBorders>
              <w:top w:val="single" w:sz="4" w:space="0" w:color="auto"/>
              <w:left w:val="single" w:sz="4" w:space="0" w:color="auto"/>
              <w:bottom w:val="single" w:sz="4" w:space="0" w:color="auto"/>
              <w:right w:val="single" w:sz="4" w:space="0" w:color="auto"/>
            </w:tcBorders>
          </w:tcPr>
          <w:p w14:paraId="37BDFADB" w14:textId="651C7F21"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lastRenderedPageBreak/>
              <w:t>(12) În cazul în care stabilirea sau restabilirea unei rate sau a unor rate a (ale) amortizorului de risc sistemic pentru orice set sau subset de expuneri menționate la alineatul (5) care fac obiectul unuia sau al mai multor amortizoare de risc sistemic are drept rezultat o rată combinată a amortizorului de risc sistemic mai mare de 5 % pentru oricare dintre expunerile respective, autoritatea competentă sau autoritatea desemnată, după caz, solicită autorizația Comisiei înainte să pună în aplicare un amortizor de risc sistemic.</w:t>
            </w:r>
          </w:p>
        </w:tc>
        <w:tc>
          <w:tcPr>
            <w:tcW w:w="1928" w:type="pct"/>
            <w:gridSpan w:val="3"/>
            <w:tcBorders>
              <w:top w:val="single" w:sz="4" w:space="0" w:color="auto"/>
              <w:left w:val="single" w:sz="4" w:space="0" w:color="auto"/>
              <w:bottom w:val="single" w:sz="4" w:space="0" w:color="auto"/>
              <w:right w:val="single" w:sz="4" w:space="0" w:color="auto"/>
            </w:tcBorders>
          </w:tcPr>
          <w:p w14:paraId="4B2FE1FD"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06FD858C" w14:textId="3595512D"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netranspuse</w:t>
            </w:r>
          </w:p>
        </w:tc>
        <w:tc>
          <w:tcPr>
            <w:tcW w:w="806" w:type="pct"/>
            <w:tcBorders>
              <w:top w:val="single" w:sz="4" w:space="0" w:color="auto"/>
              <w:left w:val="single" w:sz="4" w:space="0" w:color="auto"/>
              <w:bottom w:val="single" w:sz="4" w:space="0" w:color="auto"/>
              <w:right w:val="single" w:sz="4" w:space="0" w:color="auto"/>
            </w:tcBorders>
          </w:tcPr>
          <w:p w14:paraId="73AD093C" w14:textId="19C0E8F6" w:rsidR="00984B34" w:rsidRPr="009E686F" w:rsidRDefault="00984B34" w:rsidP="00984B34">
            <w:pPr>
              <w:jc w:val="both"/>
              <w:rPr>
                <w:rFonts w:ascii="Times New Roman" w:hAnsi="Times New Roman" w:cs="Times New Roman"/>
                <w:lang w:val="ro-MD"/>
              </w:rPr>
            </w:pPr>
            <w:r w:rsidRPr="009E686F">
              <w:rPr>
                <w:rFonts w:ascii="Times New Roman" w:hAnsi="Times New Roman" w:cs="Times New Roman"/>
                <w:lang w:val="ro-RO"/>
              </w:rPr>
              <w:t>Se vor regăsi în proiectul de modificare a Regulamentului cu privire la amortizoarele de capital ale băncilor, aprobat prin HCE nr. 110/2018</w:t>
            </w:r>
            <w:r w:rsidR="0008435A" w:rsidRPr="009E686F">
              <w:rPr>
                <w:rFonts w:ascii="Times New Roman" w:hAnsi="Times New Roman" w:cs="Times New Roman"/>
                <w:lang w:val="ro-RO"/>
              </w:rPr>
              <w:t xml:space="preserve"> (</w:t>
            </w:r>
            <w:r w:rsidR="0008435A" w:rsidRPr="009E686F">
              <w:rPr>
                <w:rFonts w:ascii="Times New Roman" w:eastAsia="Times New Roman" w:hAnsi="Times New Roman" w:cs="Times New Roman"/>
                <w:bCs/>
                <w:lang w:val="it-CH" w:eastAsia="ru-RU"/>
              </w:rPr>
              <w:t>acțiunea normativă nr. 3 din Anexa A din PNA 2025-2029 aferentă Capitolului 9 “Servicii financiare” în legătură cu transpunerea Directivei 2013/36/UE).</w:t>
            </w:r>
          </w:p>
        </w:tc>
      </w:tr>
      <w:tr w:rsidR="00984B34" w:rsidRPr="009E686F" w14:paraId="79AB81FE" w14:textId="1AB8D46A" w:rsidTr="00774F3E">
        <w:tc>
          <w:tcPr>
            <w:tcW w:w="1796" w:type="pct"/>
            <w:gridSpan w:val="2"/>
            <w:tcBorders>
              <w:top w:val="single" w:sz="4" w:space="0" w:color="auto"/>
              <w:left w:val="single" w:sz="4" w:space="0" w:color="auto"/>
              <w:bottom w:val="single" w:sz="4" w:space="0" w:color="auto"/>
              <w:right w:val="single" w:sz="4" w:space="0" w:color="auto"/>
            </w:tcBorders>
          </w:tcPr>
          <w:p w14:paraId="47D356F3"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În termen de șase săptămâni de la primirea notificării menționate la alineatul (9) de la prezentul articol, CERS </w:t>
            </w:r>
            <w:r w:rsidRPr="009E686F">
              <w:rPr>
                <w:rFonts w:ascii="Times New Roman" w:hAnsi="Times New Roman" w:cs="Times New Roman"/>
                <w:lang w:val="ro-RO"/>
              </w:rPr>
              <w:lastRenderedPageBreak/>
              <w:t>transmite Comisiei un aviz în care precizează dacă amortizorul de risc sistemic este considerat adecvat. De asemenea, ABE îi poate transmite Comisiei avizul său referitor la respectivul amortizor de risc sistemic în conformitate cu articolul 16a alineatul (1) din Regulamentul (UE) nr. 1093/2010, în termen de șase săptămâni de la primirea notificării respective.</w:t>
            </w:r>
          </w:p>
          <w:p w14:paraId="309F437C"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În termen de trei luni de la primirea notificării menționate la alineatul (9), Comisia, ținând seama de evaluarea realizată de CERS și ABE, după caz și în cazul în care consideră că rata sau ratele amortizorului de risc sistemic nu implică efecte negative disproporționate asupra sistemului financiar, în ansamblu sau în parte, al altor state membre sau al Uniunii în ansamblu, care să constituie sau să creeze un obstacol pentru funcționarea corespunzătoare a pieței interne, adoptă un act prin care autorizează autoritatea competentă sau autoritatea desemnată, după caz, să adopte măsura propusă.</w:t>
            </w:r>
          </w:p>
          <w:p w14:paraId="770ACC53" w14:textId="50F516AB" w:rsidR="00984B34" w:rsidRPr="009E686F" w:rsidRDefault="00984B34" w:rsidP="00984B34">
            <w:pPr>
              <w:spacing w:after="0"/>
              <w:jc w:val="both"/>
              <w:rPr>
                <w:rFonts w:ascii="Times New Roman" w:hAnsi="Times New Roman" w:cs="Times New Roman"/>
                <w:lang w:val="ro-RO"/>
              </w:rPr>
            </w:pPr>
          </w:p>
        </w:tc>
        <w:tc>
          <w:tcPr>
            <w:tcW w:w="1928" w:type="pct"/>
            <w:gridSpan w:val="3"/>
            <w:tcBorders>
              <w:top w:val="single" w:sz="4" w:space="0" w:color="auto"/>
              <w:left w:val="single" w:sz="4" w:space="0" w:color="auto"/>
              <w:bottom w:val="single" w:sz="4" w:space="0" w:color="auto"/>
              <w:right w:val="single" w:sz="4" w:space="0" w:color="auto"/>
            </w:tcBorders>
          </w:tcPr>
          <w:p w14:paraId="5CA9E0D7" w14:textId="5896938B" w:rsidR="00984B34" w:rsidRPr="009E686F" w:rsidRDefault="00984B34" w:rsidP="00984B34">
            <w:pPr>
              <w:spacing w:after="0"/>
              <w:rPr>
                <w:rFonts w:ascii="Times New Roman" w:hAnsi="Times New Roman" w:cs="Times New Roman"/>
                <w:lang w:val="ro-RO"/>
              </w:rPr>
            </w:pPr>
          </w:p>
        </w:tc>
        <w:tc>
          <w:tcPr>
            <w:tcW w:w="470" w:type="pct"/>
            <w:tcBorders>
              <w:top w:val="single" w:sz="4" w:space="0" w:color="auto"/>
              <w:left w:val="single" w:sz="4" w:space="0" w:color="auto"/>
              <w:right w:val="single" w:sz="4" w:space="0" w:color="auto"/>
            </w:tcBorders>
          </w:tcPr>
          <w:p w14:paraId="6CCD6CA6" w14:textId="77777777" w:rsidR="00984B34" w:rsidRPr="009E686F" w:rsidRDefault="00984B34" w:rsidP="00984B34">
            <w:pPr>
              <w:jc w:val="both"/>
              <w:rPr>
                <w:rFonts w:ascii="Times New Roman" w:hAnsi="Times New Roman" w:cs="Times New Roman"/>
                <w:lang w:val="ro-MD"/>
              </w:rPr>
            </w:pPr>
            <w:r w:rsidRPr="009E686F">
              <w:rPr>
                <w:rFonts w:ascii="Times New Roman" w:hAnsi="Times New Roman" w:cs="Times New Roman"/>
                <w:lang w:val="ro-MD"/>
              </w:rPr>
              <w:t>Norme UE neaplicabile</w:t>
            </w:r>
          </w:p>
          <w:p w14:paraId="7C2384D3" w14:textId="7941F057"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7F112AD0" w14:textId="1FCE1910"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MD"/>
              </w:rPr>
              <w:lastRenderedPageBreak/>
              <w:t>Se referă la competențele ABE.</w:t>
            </w:r>
          </w:p>
        </w:tc>
      </w:tr>
      <w:tr w:rsidR="00984B34" w:rsidRPr="009E686F" w14:paraId="69874E70"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4C9B9B22"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În sensul prezentului alineat, recunoașterea unei rate a amortizorului de risc sistemic stabilite de alt stat membru în conformitate cu articolul 134 nu este inclusă în calculul pragului menționat la primul paragraf de la prezentul alineat.</w:t>
            </w:r>
          </w:p>
          <w:p w14:paraId="60BDEA9D" w14:textId="7B176BD4" w:rsidR="00984B34" w:rsidRPr="009E686F" w:rsidRDefault="00984B34" w:rsidP="00984B34">
            <w:pPr>
              <w:spacing w:after="0"/>
              <w:jc w:val="both"/>
              <w:rPr>
                <w:rFonts w:ascii="Times New Roman" w:hAnsi="Times New Roman" w:cs="Times New Roman"/>
                <w:lang w:val="ro-RO"/>
              </w:rPr>
            </w:pPr>
          </w:p>
        </w:tc>
        <w:tc>
          <w:tcPr>
            <w:tcW w:w="1928" w:type="pct"/>
            <w:gridSpan w:val="3"/>
            <w:tcBorders>
              <w:top w:val="single" w:sz="4" w:space="0" w:color="auto"/>
              <w:left w:val="single" w:sz="4" w:space="0" w:color="auto"/>
              <w:bottom w:val="single" w:sz="4" w:space="0" w:color="auto"/>
              <w:right w:val="single" w:sz="4" w:space="0" w:color="auto"/>
            </w:tcBorders>
          </w:tcPr>
          <w:p w14:paraId="1F05573B" w14:textId="1A7D09E5" w:rsidR="00984B34" w:rsidRPr="009E686F" w:rsidRDefault="00984B34" w:rsidP="00984B34">
            <w:pPr>
              <w:spacing w:after="0"/>
              <w:jc w:val="both"/>
              <w:rPr>
                <w:rFonts w:ascii="Times New Roman" w:hAnsi="Times New Roman" w:cs="Times New Roman"/>
                <w:bCs/>
                <w:lang w:val="ro-RO"/>
              </w:rPr>
            </w:pPr>
          </w:p>
        </w:tc>
        <w:tc>
          <w:tcPr>
            <w:tcW w:w="470" w:type="pct"/>
            <w:tcBorders>
              <w:top w:val="single" w:sz="4" w:space="0" w:color="auto"/>
              <w:left w:val="single" w:sz="4" w:space="0" w:color="auto"/>
              <w:right w:val="single" w:sz="4" w:space="0" w:color="auto"/>
            </w:tcBorders>
          </w:tcPr>
          <w:p w14:paraId="2AF02BE8" w14:textId="1F280517"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netranspuse</w:t>
            </w:r>
          </w:p>
        </w:tc>
        <w:tc>
          <w:tcPr>
            <w:tcW w:w="806" w:type="pct"/>
            <w:tcBorders>
              <w:top w:val="single" w:sz="4" w:space="0" w:color="auto"/>
              <w:left w:val="single" w:sz="4" w:space="0" w:color="auto"/>
              <w:bottom w:val="single" w:sz="4" w:space="0" w:color="auto"/>
              <w:right w:val="single" w:sz="4" w:space="0" w:color="auto"/>
            </w:tcBorders>
          </w:tcPr>
          <w:p w14:paraId="5AD122F8" w14:textId="4FD24BE4"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Se vor regăsi în proiectul de modificare a Regulamentului cu privire la amortizoarele de capital ale băncilor, aprobat prin HCE nr. 110/2018</w:t>
            </w:r>
            <w:r w:rsidR="0008435A" w:rsidRPr="009E686F">
              <w:rPr>
                <w:rFonts w:ascii="Times New Roman" w:hAnsi="Times New Roman" w:cs="Times New Roman"/>
                <w:lang w:val="ro-RO"/>
              </w:rPr>
              <w:t xml:space="preserve"> (</w:t>
            </w:r>
            <w:r w:rsidR="0008435A" w:rsidRPr="009E686F">
              <w:rPr>
                <w:rFonts w:ascii="Times New Roman" w:eastAsia="Times New Roman" w:hAnsi="Times New Roman" w:cs="Times New Roman"/>
                <w:bCs/>
                <w:lang w:val="it-CH" w:eastAsia="ru-RU"/>
              </w:rPr>
              <w:t xml:space="preserve">acțiunea normativă nr. 3 din Anexa A din PNA 2025-2029 aferentă Capitolului 9 “Servicii financiare” în legătură cu </w:t>
            </w:r>
            <w:r w:rsidR="0008435A" w:rsidRPr="009E686F">
              <w:rPr>
                <w:rFonts w:ascii="Times New Roman" w:eastAsia="Times New Roman" w:hAnsi="Times New Roman" w:cs="Times New Roman"/>
                <w:bCs/>
                <w:lang w:val="it-CH" w:eastAsia="ru-RU"/>
              </w:rPr>
              <w:lastRenderedPageBreak/>
              <w:t>transpunerea Directivei 2013/36/UE).</w:t>
            </w:r>
          </w:p>
        </w:tc>
      </w:tr>
      <w:tr w:rsidR="00984B34" w:rsidRPr="009E686F" w14:paraId="1A0ECA77" w14:textId="54978425" w:rsidTr="00774F3E">
        <w:tc>
          <w:tcPr>
            <w:tcW w:w="1796" w:type="pct"/>
            <w:gridSpan w:val="2"/>
            <w:tcBorders>
              <w:top w:val="single" w:sz="4" w:space="0" w:color="auto"/>
              <w:left w:val="single" w:sz="4" w:space="0" w:color="auto"/>
              <w:bottom w:val="single" w:sz="4" w:space="0" w:color="auto"/>
              <w:right w:val="single" w:sz="4" w:space="0" w:color="auto"/>
            </w:tcBorders>
          </w:tcPr>
          <w:p w14:paraId="29268C5E" w14:textId="2EB5EC51"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lastRenderedPageBreak/>
              <w:t>(13) Fiecare autoritate competentă sau autoritatea desemnată, după caz, anunță stabilirea sau restabilirea uneia sau mai multor rate ale amortizorului de risc sistemic prin intermediul publicării pe un site internet adecvat. Publicarea respectivă conține cel puțin următoarele informații:</w:t>
            </w:r>
          </w:p>
          <w:p w14:paraId="27D9CB57" w14:textId="4E2D6783"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(a) rata sau ratele amortizorului de risc sistemic;</w:t>
            </w:r>
          </w:p>
          <w:p w14:paraId="5222C319" w14:textId="66F1217A"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(b) instituțiile cărora li se aplică amortizorul de risc sistemic;</w:t>
            </w:r>
          </w:p>
          <w:p w14:paraId="0C6B1281" w14:textId="6C0DCEC4"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(c) expunerile cărora li se aplică rata sau ratele amortizorului de risc sistemic;</w:t>
            </w:r>
          </w:p>
          <w:p w14:paraId="6FFD5426" w14:textId="6CDD411A"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(d) o justificare pentru stabilirea sau restabilirea ratei sau a ratelor amortizorului de risc sistemic;</w:t>
            </w:r>
          </w:p>
          <w:p w14:paraId="54661F0F" w14:textId="1B27FF8C"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(e) data de la care instituțiile aplică stabilirea sau restabilirea amortizorului de risc sistemic; și</w:t>
            </w:r>
          </w:p>
          <w:p w14:paraId="7821ABA1" w14:textId="7EF9292E"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(f) numele țărilor pe teritoriul cărora expunerile sunt recunoscute în cadrul amortizorului de risc sistemic.</w:t>
            </w:r>
          </w:p>
          <w:p w14:paraId="3C296E65" w14:textId="77777777" w:rsidR="00984B34" w:rsidRPr="009E686F" w:rsidRDefault="00984B34" w:rsidP="00984B34">
            <w:pPr>
              <w:spacing w:after="0"/>
              <w:jc w:val="both"/>
              <w:rPr>
                <w:rFonts w:ascii="Times New Roman" w:hAnsi="Times New Roman" w:cs="Times New Roman"/>
                <w:lang w:val="ro-RO"/>
              </w:rPr>
            </w:pPr>
          </w:p>
          <w:p w14:paraId="7D26E2F8" w14:textId="77777777" w:rsidR="00984B34" w:rsidRPr="009E686F" w:rsidRDefault="00984B34" w:rsidP="00984B34">
            <w:pPr>
              <w:spacing w:after="0"/>
              <w:jc w:val="both"/>
              <w:rPr>
                <w:rFonts w:ascii="Times New Roman" w:hAnsi="Times New Roman" w:cs="Times New Roman"/>
                <w:lang w:val="ro-RO"/>
              </w:rPr>
            </w:pPr>
          </w:p>
          <w:p w14:paraId="01D86CDA" w14:textId="77777777" w:rsidR="00984B34" w:rsidRPr="009E686F" w:rsidRDefault="00984B34" w:rsidP="00984B34">
            <w:pPr>
              <w:spacing w:after="0"/>
              <w:jc w:val="both"/>
              <w:rPr>
                <w:rFonts w:ascii="Times New Roman" w:hAnsi="Times New Roman" w:cs="Times New Roman"/>
                <w:lang w:val="ro-RO"/>
              </w:rPr>
            </w:pPr>
          </w:p>
          <w:p w14:paraId="0289C955" w14:textId="77777777" w:rsidR="00984B34" w:rsidRPr="009E686F" w:rsidRDefault="00984B34" w:rsidP="00984B34">
            <w:pPr>
              <w:spacing w:after="0"/>
              <w:jc w:val="both"/>
              <w:rPr>
                <w:rFonts w:ascii="Times New Roman" w:hAnsi="Times New Roman" w:cs="Times New Roman"/>
                <w:lang w:val="ro-RO"/>
              </w:rPr>
            </w:pPr>
          </w:p>
          <w:p w14:paraId="7E5FC16B" w14:textId="56D2CB63"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În cazul în care publicarea informațiilor menționate la litera (d) de la primul paragraf ar putea pune în pericol stabilitatea sistemului financiar, aceste informații nu sunt publicate.</w:t>
            </w:r>
          </w:p>
        </w:tc>
        <w:tc>
          <w:tcPr>
            <w:tcW w:w="1928" w:type="pct"/>
            <w:gridSpan w:val="3"/>
            <w:tcBorders>
              <w:top w:val="single" w:sz="4" w:space="0" w:color="auto"/>
              <w:left w:val="single" w:sz="4" w:space="0" w:color="auto"/>
              <w:bottom w:val="single" w:sz="4" w:space="0" w:color="auto"/>
              <w:right w:val="single" w:sz="4" w:space="0" w:color="auto"/>
            </w:tcBorders>
          </w:tcPr>
          <w:p w14:paraId="7FD86C47" w14:textId="54F49B22" w:rsidR="00984B34" w:rsidRPr="009E686F" w:rsidRDefault="00984B34" w:rsidP="00984B34">
            <w:pPr>
              <w:spacing w:after="0"/>
              <w:rPr>
                <w:rFonts w:ascii="Times New Roman" w:hAnsi="Times New Roman" w:cs="Times New Roman"/>
                <w:b/>
                <w:lang w:val="ro-MD"/>
              </w:rPr>
            </w:pPr>
            <w:r w:rsidRPr="009E686F">
              <w:rPr>
                <w:rFonts w:ascii="Times New Roman" w:hAnsi="Times New Roman" w:cs="Times New Roman"/>
                <w:b/>
                <w:lang w:val="ro-RO"/>
              </w:rPr>
              <w:t>Pct. 80-81 din Regulamentul cu privire la amortizoarele de capital ale băncilor, aprobat prin HCE nr.110/2018</w:t>
            </w:r>
          </w:p>
          <w:p w14:paraId="77E7D04F"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b/>
                <w:bCs/>
                <w:lang w:val="ro-RO"/>
              </w:rPr>
              <w:t>80.</w:t>
            </w:r>
            <w:r w:rsidRPr="009E686F">
              <w:rPr>
                <w:rFonts w:ascii="Times New Roman" w:hAnsi="Times New Roman" w:cs="Times New Roman"/>
                <w:lang w:val="ro-RO"/>
              </w:rPr>
              <w:t xml:space="preserve"> În cazul în care Banca Națională a Moldovei stabileşte cerința amortizorului de risc sistemic, aceasta, suplimentar la publicarea hotărârii conform punctului 79, comunică publicului, prin publicarea pe pagina web oficială a anunțului, care include cel puțin următoarele informații:</w:t>
            </w:r>
          </w:p>
          <w:p w14:paraId="132F6688"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1) rata sau ratele amortizorului de risc sistemic, precum şi nivelul de aplicabilitate (pe baza individuală/consolidată);</w:t>
            </w:r>
          </w:p>
          <w:p w14:paraId="1C7D1E64"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2) denumirea băncilor cărora li se aplică amortizorul de risc sistemic;</w:t>
            </w:r>
          </w:p>
          <w:p w14:paraId="07039189"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2</w:t>
            </w:r>
            <w:r w:rsidRPr="009E686F">
              <w:rPr>
                <w:rFonts w:ascii="Times New Roman" w:hAnsi="Times New Roman" w:cs="Times New Roman"/>
                <w:vertAlign w:val="superscript"/>
                <w:lang w:val="ro-RO"/>
              </w:rPr>
              <w:t>1</w:t>
            </w:r>
            <w:r w:rsidRPr="009E686F">
              <w:rPr>
                <w:rFonts w:ascii="Times New Roman" w:hAnsi="Times New Roman" w:cs="Times New Roman"/>
                <w:lang w:val="ro-RO"/>
              </w:rPr>
              <w:t xml:space="preserve">) expunerile cărora li se aplică rata sau ratele amortizorului de risc sistemic; </w:t>
            </w:r>
          </w:p>
          <w:p w14:paraId="2EF2F8E1"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3) o justificare pentru rata  sau ratele amortizorului de risc sistemic;</w:t>
            </w:r>
          </w:p>
          <w:p w14:paraId="3A42ADD9"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4) data de la care băncile trebuie să aplice rata sau ratele stabilite sau restabilite ale amortizorului de risc sistemic; şi</w:t>
            </w:r>
          </w:p>
          <w:p w14:paraId="2B143D11"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5) țările în care sunt situate expunerile, la care rata stabilită a amortizorului de risc sistemic va fi aplicată.</w:t>
            </w:r>
          </w:p>
          <w:p w14:paraId="4135AD5B"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b/>
                <w:bCs/>
                <w:lang w:val="ro-RO"/>
              </w:rPr>
              <w:t>81.</w:t>
            </w:r>
            <w:r w:rsidRPr="009E686F">
              <w:rPr>
                <w:rFonts w:ascii="Times New Roman" w:hAnsi="Times New Roman" w:cs="Times New Roman"/>
                <w:lang w:val="ro-RO"/>
              </w:rPr>
              <w:t xml:space="preserve"> În cazul în care publicarea informației menționate la punctul 80 subpunctul 3) ar putea pune în pericol stabilitatea sistemului financiar, informația în cauză nu se include în anunț.</w:t>
            </w:r>
          </w:p>
          <w:p w14:paraId="2E6C6F57" w14:textId="1B48D514" w:rsidR="00984B34" w:rsidRPr="009E686F" w:rsidRDefault="00984B34" w:rsidP="00984B34">
            <w:pPr>
              <w:spacing w:after="0"/>
              <w:jc w:val="both"/>
              <w:rPr>
                <w:rFonts w:ascii="Times New Roman" w:hAnsi="Times New Roman" w:cs="Times New Roman"/>
                <w:lang w:val="ro-RO"/>
              </w:rPr>
            </w:pPr>
          </w:p>
        </w:tc>
        <w:tc>
          <w:tcPr>
            <w:tcW w:w="470" w:type="pct"/>
            <w:tcBorders>
              <w:top w:val="single" w:sz="4" w:space="0" w:color="auto"/>
              <w:left w:val="single" w:sz="4" w:space="0" w:color="auto"/>
              <w:bottom w:val="single" w:sz="4" w:space="0" w:color="auto"/>
              <w:right w:val="single" w:sz="4" w:space="0" w:color="auto"/>
            </w:tcBorders>
          </w:tcPr>
          <w:p w14:paraId="10F820CB" w14:textId="43F080C6"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1FE4337B" w14:textId="7C891041" w:rsidR="00984B34" w:rsidRPr="009E686F" w:rsidRDefault="00984B34" w:rsidP="00984B34">
            <w:pPr>
              <w:jc w:val="both"/>
              <w:rPr>
                <w:rFonts w:ascii="Times New Roman" w:hAnsi="Times New Roman" w:cs="Times New Roman"/>
                <w:lang w:val="ro-RO"/>
              </w:rPr>
            </w:pPr>
          </w:p>
        </w:tc>
      </w:tr>
      <w:tr w:rsidR="00984B34" w:rsidRPr="009E686F" w14:paraId="7DC1D600" w14:textId="0C9C173A" w:rsidTr="00774F3E">
        <w:tc>
          <w:tcPr>
            <w:tcW w:w="1796" w:type="pct"/>
            <w:gridSpan w:val="2"/>
            <w:tcBorders>
              <w:top w:val="single" w:sz="4" w:space="0" w:color="auto"/>
              <w:left w:val="single" w:sz="4" w:space="0" w:color="auto"/>
              <w:bottom w:val="single" w:sz="4" w:space="0" w:color="auto"/>
              <w:right w:val="single" w:sz="4" w:space="0" w:color="auto"/>
            </w:tcBorders>
          </w:tcPr>
          <w:p w14:paraId="57CB8F7A" w14:textId="588EACA1"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(14) În cazul în care o instituție nu îndeplinește pe deplin cerința prevăzută la alineatul (1) de la prezentul articol, aceasta face obiectul restricțiilor privind distribuirile prevăzute la articolul 141 alineatele (2) și (3).</w:t>
            </w:r>
          </w:p>
          <w:p w14:paraId="374C26C5" w14:textId="7481702E"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lastRenderedPageBreak/>
              <w:t>În cazul în care aplicarea restricțiilor privind distribuirile conduce la o ameliorare nesatisfăcătoare a fondurilor proprii de nivel 1 de bază ale instituției, din perspectiva riscului sistemic relevant, autoritățile competente pot lua măsuri suplimentare în conformitate cu articolul 64.</w:t>
            </w:r>
          </w:p>
        </w:tc>
        <w:tc>
          <w:tcPr>
            <w:tcW w:w="1928" w:type="pct"/>
            <w:gridSpan w:val="3"/>
            <w:tcBorders>
              <w:top w:val="single" w:sz="4" w:space="0" w:color="auto"/>
              <w:left w:val="single" w:sz="4" w:space="0" w:color="auto"/>
              <w:bottom w:val="single" w:sz="4" w:space="0" w:color="auto"/>
              <w:right w:val="single" w:sz="4" w:space="0" w:color="auto"/>
            </w:tcBorders>
          </w:tcPr>
          <w:p w14:paraId="6C9A14AB" w14:textId="77777777"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b/>
                <w:lang w:val="ro-RO"/>
              </w:rPr>
              <w:lastRenderedPageBreak/>
              <w:t>Pct. 7 și 73 din Regulamentul cu privire la amortizoarele de capital ale băncilor, aprobat prin HCE nr.110/2018</w:t>
            </w:r>
          </w:p>
          <w:p w14:paraId="621E3D22" w14:textId="5FB9E01E" w:rsidR="00984B34" w:rsidRPr="009E686F" w:rsidRDefault="00984B34" w:rsidP="00984B34">
            <w:pPr>
              <w:spacing w:after="0"/>
              <w:jc w:val="both"/>
              <w:rPr>
                <w:rFonts w:ascii="Times New Roman" w:hAnsi="Times New Roman" w:cs="Times New Roman"/>
                <w:bCs/>
                <w:lang w:val="ro-RO"/>
              </w:rPr>
            </w:pPr>
            <w:r w:rsidRPr="009E686F">
              <w:rPr>
                <w:rFonts w:ascii="Times New Roman" w:hAnsi="Times New Roman" w:cs="Times New Roman"/>
                <w:b/>
                <w:lang w:val="ro-RO"/>
              </w:rPr>
              <w:t>7.</w:t>
            </w:r>
            <w:r w:rsidRPr="009E686F">
              <w:rPr>
                <w:rFonts w:ascii="Times New Roman" w:hAnsi="Times New Roman" w:cs="Times New Roman"/>
                <w:bCs/>
                <w:lang w:val="ro-RO"/>
              </w:rPr>
              <w:t xml:space="preserve"> În cazul în care o bancă nu îndeplineşte cerinţele aferente amortizoarelor de capital pentru bănci, prevăzute de prezentul </w:t>
            </w:r>
            <w:r w:rsidRPr="009E686F">
              <w:rPr>
                <w:rFonts w:ascii="Times New Roman" w:hAnsi="Times New Roman" w:cs="Times New Roman"/>
                <w:bCs/>
                <w:lang w:val="ro-RO"/>
              </w:rPr>
              <w:lastRenderedPageBreak/>
              <w:t>regulament, aceasta face obiectul restricţiilor privind distribuirile prevăzute de capitolul VI.</w:t>
            </w:r>
          </w:p>
          <w:p w14:paraId="40DD1BAB" w14:textId="47ABED0F" w:rsidR="00984B34" w:rsidRPr="009E686F" w:rsidRDefault="00984B34" w:rsidP="00984B34">
            <w:pPr>
              <w:spacing w:after="0"/>
              <w:jc w:val="both"/>
              <w:rPr>
                <w:rFonts w:ascii="Times New Roman" w:hAnsi="Times New Roman" w:cs="Times New Roman"/>
                <w:lang w:val="ro-MD"/>
              </w:rPr>
            </w:pPr>
            <w:r w:rsidRPr="009E686F">
              <w:rPr>
                <w:rFonts w:ascii="Times New Roman" w:hAnsi="Times New Roman" w:cs="Times New Roman"/>
                <w:b/>
                <w:lang w:val="ro-RO"/>
              </w:rPr>
              <w:t xml:space="preserve">73. </w:t>
            </w:r>
            <w:r w:rsidRPr="009E686F">
              <w:rPr>
                <w:rFonts w:ascii="Times New Roman" w:hAnsi="Times New Roman" w:cs="Times New Roman"/>
                <w:bCs/>
                <w:lang w:val="ro-RO"/>
              </w:rPr>
              <w:t>În cazul în care aplicarea restricţiilor privind distribuirile menţionate la capitolul VI nu conduce la o ameliorare satisfăcătoare a fondurilor proprii de nivel 1 de bază ale băncii, din perspectiva riscului sistemic relevant, Banca Naţională a Moldovei poate lua măsuri suplimentare în conformitate cu art.138 alin.(1) şi (2) din Legea nr.202/2017.</w:t>
            </w:r>
          </w:p>
        </w:tc>
        <w:tc>
          <w:tcPr>
            <w:tcW w:w="470" w:type="pct"/>
            <w:tcBorders>
              <w:top w:val="single" w:sz="4" w:space="0" w:color="auto"/>
              <w:left w:val="single" w:sz="4" w:space="0" w:color="auto"/>
              <w:bottom w:val="single" w:sz="4" w:space="0" w:color="auto"/>
              <w:right w:val="single" w:sz="4" w:space="0" w:color="auto"/>
            </w:tcBorders>
          </w:tcPr>
          <w:p w14:paraId="53F03FD0" w14:textId="77777777"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lastRenderedPageBreak/>
              <w:t xml:space="preserve">Compatibil </w:t>
            </w:r>
          </w:p>
          <w:p w14:paraId="7D7B498E" w14:textId="4BF58E11"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19672B62" w14:textId="77777777" w:rsidR="00984B34" w:rsidRPr="009E686F" w:rsidRDefault="00984B34" w:rsidP="00984B34">
            <w:pPr>
              <w:jc w:val="both"/>
              <w:rPr>
                <w:rFonts w:ascii="Times New Roman" w:hAnsi="Times New Roman" w:cs="Times New Roman"/>
                <w:lang w:val="ro-RO"/>
              </w:rPr>
            </w:pPr>
          </w:p>
        </w:tc>
      </w:tr>
      <w:tr w:rsidR="00984B34" w:rsidRPr="009E686F" w14:paraId="017BD828" w14:textId="6B1471DB" w:rsidTr="00774F3E">
        <w:tc>
          <w:tcPr>
            <w:tcW w:w="1796" w:type="pct"/>
            <w:gridSpan w:val="2"/>
            <w:tcBorders>
              <w:top w:val="single" w:sz="4" w:space="0" w:color="auto"/>
              <w:left w:val="single" w:sz="4" w:space="0" w:color="auto"/>
              <w:bottom w:val="single" w:sz="4" w:space="0" w:color="auto"/>
              <w:right w:val="single" w:sz="4" w:space="0" w:color="auto"/>
            </w:tcBorders>
          </w:tcPr>
          <w:p w14:paraId="5FC019D7" w14:textId="5C78822F"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(15) În cazul în care autoritatea competentă sau autoritatea desemnată, după caz, decide să stabilească amortizorul de risc sistemic pe baza expunerilor de pe teritoriul altor state membre, amortizorul se stabilește în mod egal pentru toate expunerile de pe teritoriul Uniunii, cu excepția cazului în care amortizorul este stabilit pentru a recunoaște rata amortizorului de risc sistemic stabilită de alt stat membru în conformitate cu articolul 134.</w:t>
            </w:r>
          </w:p>
        </w:tc>
        <w:tc>
          <w:tcPr>
            <w:tcW w:w="1928" w:type="pct"/>
            <w:gridSpan w:val="3"/>
            <w:tcBorders>
              <w:top w:val="single" w:sz="4" w:space="0" w:color="auto"/>
              <w:left w:val="single" w:sz="4" w:space="0" w:color="auto"/>
              <w:bottom w:val="single" w:sz="4" w:space="0" w:color="auto"/>
              <w:right w:val="single" w:sz="4" w:space="0" w:color="auto"/>
            </w:tcBorders>
          </w:tcPr>
          <w:p w14:paraId="57584A4B"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71270871" w14:textId="567236D0"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netranspuse</w:t>
            </w:r>
          </w:p>
        </w:tc>
        <w:tc>
          <w:tcPr>
            <w:tcW w:w="806" w:type="pct"/>
            <w:tcBorders>
              <w:top w:val="single" w:sz="4" w:space="0" w:color="auto"/>
              <w:left w:val="single" w:sz="4" w:space="0" w:color="auto"/>
              <w:bottom w:val="single" w:sz="4" w:space="0" w:color="auto"/>
              <w:right w:val="single" w:sz="4" w:space="0" w:color="auto"/>
            </w:tcBorders>
          </w:tcPr>
          <w:p w14:paraId="3AE9B799" w14:textId="2433C821" w:rsidR="00984B34" w:rsidRPr="009E686F" w:rsidRDefault="00984B34" w:rsidP="00984B34">
            <w:pPr>
              <w:rPr>
                <w:rFonts w:ascii="Times New Roman" w:hAnsi="Times New Roman" w:cs="Times New Roman"/>
                <w:lang w:val="ro-RO"/>
              </w:rPr>
            </w:pPr>
            <w:r w:rsidRPr="009E686F">
              <w:rPr>
                <w:rFonts w:ascii="Times New Roman" w:hAnsi="Times New Roman" w:cs="Times New Roman"/>
                <w:lang w:val="ro-RO"/>
              </w:rPr>
              <w:t>Se vor regăsi în proiectul de modificare a Regulamentului cu privire la amortizoarele de capital ale băncilor, aprobat prin HCE nr. 110/2018</w:t>
            </w:r>
            <w:r w:rsidR="0008435A" w:rsidRPr="009E686F">
              <w:rPr>
                <w:rFonts w:ascii="Times New Roman" w:hAnsi="Times New Roman" w:cs="Times New Roman"/>
                <w:lang w:val="ro-RO"/>
              </w:rPr>
              <w:t xml:space="preserve"> (</w:t>
            </w:r>
            <w:r w:rsidR="0008435A" w:rsidRPr="009E686F">
              <w:rPr>
                <w:rFonts w:ascii="Times New Roman" w:eastAsia="Times New Roman" w:hAnsi="Times New Roman" w:cs="Times New Roman"/>
                <w:bCs/>
                <w:lang w:val="it-CH" w:eastAsia="ru-RU"/>
              </w:rPr>
              <w:t>acțiunea normativă nr. 3 din Anexa A din PNA 2025-2029 aferentă Capitolului 9 “Servicii financiare” în legătură cu transpunerea Directivei 2013/36/UE).</w:t>
            </w:r>
          </w:p>
        </w:tc>
      </w:tr>
      <w:tr w:rsidR="00984B34" w:rsidRPr="009E686F" w14:paraId="00A6CF43"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10D594C7" w14:textId="77777777" w:rsidR="00984B34" w:rsidRPr="009E686F" w:rsidRDefault="00984B34" w:rsidP="00984B34">
            <w:pPr>
              <w:spacing w:after="0"/>
              <w:jc w:val="both"/>
              <w:rPr>
                <w:rFonts w:ascii="Times New Roman" w:hAnsi="Times New Roman" w:cs="Times New Roman"/>
                <w:i/>
                <w:iCs/>
                <w:lang w:val="ro-RO"/>
              </w:rPr>
            </w:pPr>
            <w:r w:rsidRPr="009E686F">
              <w:rPr>
                <w:rFonts w:ascii="Times New Roman" w:hAnsi="Times New Roman" w:cs="Times New Roman"/>
                <w:i/>
                <w:iCs/>
                <w:lang w:val="ro-RO"/>
              </w:rPr>
              <w:t xml:space="preserve">Articolul 134 </w:t>
            </w:r>
          </w:p>
          <w:p w14:paraId="6CB95215"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Recunoașterea unei rate a amortizorului de risc sistemic</w:t>
            </w:r>
          </w:p>
          <w:p w14:paraId="1C8EEDE3" w14:textId="77777777" w:rsidR="00984B34" w:rsidRPr="009E686F" w:rsidRDefault="00984B34" w:rsidP="00984B34">
            <w:pPr>
              <w:spacing w:after="0"/>
              <w:jc w:val="both"/>
              <w:rPr>
                <w:rFonts w:ascii="Times New Roman" w:hAnsi="Times New Roman" w:cs="Times New Roman"/>
                <w:lang w:val="ro-RO"/>
              </w:rPr>
            </w:pPr>
          </w:p>
          <w:p w14:paraId="75A7D96D" w14:textId="3248D37D"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(1)Alte state membre pot recunoaște o rată a  amortizorului de risc sistemic stabilită în conformitate cu articolul 133 și pot aplica respectiva în cazul instituțiilor autorizate la nivel internațional pentru expunerile de pe teritoriul statului membru care stabilește rata.</w:t>
            </w:r>
          </w:p>
        </w:tc>
        <w:tc>
          <w:tcPr>
            <w:tcW w:w="1928" w:type="pct"/>
            <w:gridSpan w:val="3"/>
            <w:tcBorders>
              <w:top w:val="single" w:sz="4" w:space="0" w:color="auto"/>
              <w:left w:val="single" w:sz="4" w:space="0" w:color="auto"/>
              <w:bottom w:val="single" w:sz="4" w:space="0" w:color="auto"/>
              <w:right w:val="single" w:sz="4" w:space="0" w:color="auto"/>
            </w:tcBorders>
          </w:tcPr>
          <w:p w14:paraId="5E5266D8" w14:textId="77777777"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b/>
                <w:lang w:val="ro-RO"/>
              </w:rPr>
              <w:t>Pct. 83 din Regulamentul cu privire la amortizoarele de capital ale băncilor, aprobat prin HCE nr.110/2018</w:t>
            </w:r>
          </w:p>
          <w:p w14:paraId="1A405F30"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bCs/>
                <w:lang w:val="ro-RO"/>
              </w:rPr>
              <w:t>Secțiunea a 4-a. Recunoașterea unei rate a amortizorului de risc sistemic stabilite de statul străin</w:t>
            </w:r>
          </w:p>
          <w:p w14:paraId="434D2F25" w14:textId="32906B70"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b/>
                <w:lang w:val="ro-RO"/>
              </w:rPr>
              <w:t>83.</w:t>
            </w:r>
            <w:r w:rsidRPr="009E686F">
              <w:rPr>
                <w:rFonts w:ascii="Times New Roman" w:hAnsi="Times New Roman" w:cs="Times New Roman"/>
                <w:bCs/>
                <w:lang w:val="ro-RO"/>
              </w:rPr>
              <w:t xml:space="preserve"> Banca Naţională a Moldovei poate recunoaşte rata amortizorului de risc sistemic stabilită de autoritatea relevantă dintr-un stat străin pentru băncile autorizate în acest stat. În acest caz, Banca Naţională a Moldovei poate impune băncilor din Republica Moldova aplicarea ratei recunoscute a amortizorului </w:t>
            </w:r>
            <w:r w:rsidRPr="009E686F">
              <w:rPr>
                <w:rFonts w:ascii="Times New Roman" w:hAnsi="Times New Roman" w:cs="Times New Roman"/>
                <w:bCs/>
                <w:lang w:val="ro-RO"/>
              </w:rPr>
              <w:lastRenderedPageBreak/>
              <w:t>de risc sistemic pentru expunerile situate în statul respectiv care a stabilit rata amortizorului recunoscută de Banca Naţională a Moldovei.</w:t>
            </w:r>
          </w:p>
        </w:tc>
        <w:tc>
          <w:tcPr>
            <w:tcW w:w="470" w:type="pct"/>
            <w:tcBorders>
              <w:top w:val="single" w:sz="4" w:space="0" w:color="auto"/>
              <w:left w:val="single" w:sz="4" w:space="0" w:color="auto"/>
              <w:bottom w:val="single" w:sz="4" w:space="0" w:color="auto"/>
              <w:right w:val="single" w:sz="4" w:space="0" w:color="auto"/>
            </w:tcBorders>
          </w:tcPr>
          <w:p w14:paraId="031684B9" w14:textId="1688BD1B"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11EE5E5D" w14:textId="77777777" w:rsidR="00984B34" w:rsidRPr="009E686F" w:rsidRDefault="00984B34" w:rsidP="00984B34">
            <w:pPr>
              <w:rPr>
                <w:rFonts w:ascii="Times New Roman" w:hAnsi="Times New Roman" w:cs="Times New Roman"/>
                <w:lang w:val="ro-RO"/>
              </w:rPr>
            </w:pPr>
          </w:p>
        </w:tc>
      </w:tr>
      <w:tr w:rsidR="00984B34" w:rsidRPr="009E686F" w14:paraId="63A33A48" w14:textId="3ED1C6A5" w:rsidTr="00774F3E">
        <w:tc>
          <w:tcPr>
            <w:tcW w:w="1796" w:type="pct"/>
            <w:gridSpan w:val="2"/>
            <w:tcBorders>
              <w:top w:val="single" w:sz="4" w:space="0" w:color="auto"/>
              <w:left w:val="single" w:sz="4" w:space="0" w:color="auto"/>
              <w:bottom w:val="single" w:sz="4" w:space="0" w:color="auto"/>
              <w:right w:val="single" w:sz="4" w:space="0" w:color="auto"/>
            </w:tcBorders>
          </w:tcPr>
          <w:p w14:paraId="63FF380B" w14:textId="4687B70F"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(2) În cazul în care statele membre recunosc, în conformitate ci alineatul (1), o rată a amortizorului de risc sistemic pentru instituțiile autorizate la nivel național, acestea transmit o notificare către CERS. </w:t>
            </w:r>
          </w:p>
        </w:tc>
        <w:tc>
          <w:tcPr>
            <w:tcW w:w="1928" w:type="pct"/>
            <w:gridSpan w:val="3"/>
            <w:tcBorders>
              <w:top w:val="single" w:sz="4" w:space="0" w:color="auto"/>
              <w:left w:val="single" w:sz="4" w:space="0" w:color="auto"/>
              <w:bottom w:val="single" w:sz="4" w:space="0" w:color="auto"/>
              <w:right w:val="single" w:sz="4" w:space="0" w:color="auto"/>
            </w:tcBorders>
          </w:tcPr>
          <w:p w14:paraId="4E7059A1"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472B4FDA" w14:textId="23ECD16F"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netranspuse</w:t>
            </w:r>
          </w:p>
        </w:tc>
        <w:tc>
          <w:tcPr>
            <w:tcW w:w="806" w:type="pct"/>
            <w:tcBorders>
              <w:top w:val="single" w:sz="4" w:space="0" w:color="auto"/>
              <w:left w:val="single" w:sz="4" w:space="0" w:color="auto"/>
              <w:bottom w:val="single" w:sz="4" w:space="0" w:color="auto"/>
              <w:right w:val="single" w:sz="4" w:space="0" w:color="auto"/>
            </w:tcBorders>
          </w:tcPr>
          <w:p w14:paraId="253BAF85" w14:textId="1A2037A8" w:rsidR="00984B34" w:rsidRPr="009E686F" w:rsidRDefault="00984B34" w:rsidP="00984B34">
            <w:pPr>
              <w:rPr>
                <w:rFonts w:ascii="Times New Roman" w:hAnsi="Times New Roman" w:cs="Times New Roman"/>
                <w:lang w:val="ro-RO"/>
              </w:rPr>
            </w:pPr>
            <w:r w:rsidRPr="009E686F">
              <w:rPr>
                <w:rFonts w:ascii="Times New Roman" w:hAnsi="Times New Roman" w:cs="Times New Roman"/>
                <w:lang w:val="ro-RO"/>
              </w:rPr>
              <w:t>Se vor regăsi în proiectul de modificare a Regulamentului cu privire la amortizoarele de capital ale băncilor, aprobat prin HCE nr. 110/2018</w:t>
            </w:r>
            <w:r w:rsidR="0008435A" w:rsidRPr="009E686F">
              <w:rPr>
                <w:rFonts w:ascii="Times New Roman" w:hAnsi="Times New Roman" w:cs="Times New Roman"/>
                <w:lang w:val="ro-RO"/>
              </w:rPr>
              <w:t xml:space="preserve"> (</w:t>
            </w:r>
            <w:r w:rsidR="0008435A" w:rsidRPr="009E686F">
              <w:rPr>
                <w:rFonts w:ascii="Times New Roman" w:eastAsia="Times New Roman" w:hAnsi="Times New Roman" w:cs="Times New Roman"/>
                <w:bCs/>
                <w:lang w:val="it-CH" w:eastAsia="ru-RU"/>
              </w:rPr>
              <w:t>acțiunea normativă nr. 3 din Anexa A din PNA 2025-2029 aferentă Capitolului 9 “Servicii financiare” în legătură cu transpunerea Directivei 2013/36/UE).</w:t>
            </w:r>
          </w:p>
        </w:tc>
      </w:tr>
      <w:tr w:rsidR="00984B34" w:rsidRPr="009E686F" w14:paraId="6389EA4F"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033EA31D" w14:textId="0C84699D"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CERS transmite fără întârziere astfel de notificări Comisiei, ABE și statului membru care stabilește rata respectivă.</w:t>
            </w:r>
          </w:p>
        </w:tc>
        <w:tc>
          <w:tcPr>
            <w:tcW w:w="1928" w:type="pct"/>
            <w:gridSpan w:val="3"/>
            <w:tcBorders>
              <w:top w:val="single" w:sz="4" w:space="0" w:color="auto"/>
              <w:left w:val="single" w:sz="4" w:space="0" w:color="auto"/>
              <w:bottom w:val="single" w:sz="4" w:space="0" w:color="auto"/>
              <w:right w:val="single" w:sz="4" w:space="0" w:color="auto"/>
            </w:tcBorders>
          </w:tcPr>
          <w:p w14:paraId="150436F3"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5DBCD096" w14:textId="5B5172E7"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neaplicabile</w:t>
            </w:r>
          </w:p>
        </w:tc>
        <w:tc>
          <w:tcPr>
            <w:tcW w:w="806" w:type="pct"/>
            <w:tcBorders>
              <w:top w:val="single" w:sz="4" w:space="0" w:color="auto"/>
              <w:left w:val="single" w:sz="4" w:space="0" w:color="auto"/>
              <w:bottom w:val="single" w:sz="4" w:space="0" w:color="auto"/>
              <w:right w:val="single" w:sz="4" w:space="0" w:color="auto"/>
            </w:tcBorders>
          </w:tcPr>
          <w:p w14:paraId="2F9ADFD6" w14:textId="1A924B42" w:rsidR="00984B34" w:rsidRPr="009E686F" w:rsidRDefault="00984B34" w:rsidP="00984B34">
            <w:pPr>
              <w:rPr>
                <w:rFonts w:ascii="Times New Roman" w:hAnsi="Times New Roman" w:cs="Times New Roman"/>
                <w:lang w:val="ro-RO"/>
              </w:rPr>
            </w:pPr>
            <w:r w:rsidRPr="009E686F">
              <w:rPr>
                <w:rFonts w:ascii="Times New Roman" w:hAnsi="Times New Roman" w:cs="Times New Roman"/>
                <w:lang w:val="ro-RO"/>
              </w:rPr>
              <w:t>Se referă la competențele CERS.</w:t>
            </w:r>
          </w:p>
        </w:tc>
      </w:tr>
      <w:tr w:rsidR="00984B34" w:rsidRPr="009E686F" w14:paraId="15F3298B" w14:textId="75C25BA1" w:rsidTr="00774F3E">
        <w:tc>
          <w:tcPr>
            <w:tcW w:w="1796" w:type="pct"/>
            <w:gridSpan w:val="2"/>
            <w:tcBorders>
              <w:top w:val="single" w:sz="4" w:space="0" w:color="auto"/>
              <w:left w:val="single" w:sz="4" w:space="0" w:color="auto"/>
              <w:bottom w:val="single" w:sz="4" w:space="0" w:color="auto"/>
              <w:right w:val="single" w:sz="4" w:space="0" w:color="auto"/>
            </w:tcBorders>
          </w:tcPr>
          <w:p w14:paraId="13CBDC57" w14:textId="0E8DFFA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(3) În momentul luării deciziei de recunoaștere a unei rate a amortizorului de risc sistemic în conformitate cu alineatul (1), un stat membru ia în considerare informațiile prezentate de statul membru care stabilește respectiva rată în conformitate cu articolul 133 alineatele (9) și (13).</w:t>
            </w:r>
          </w:p>
          <w:p w14:paraId="795199A8" w14:textId="0C939782"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 </w:t>
            </w:r>
          </w:p>
        </w:tc>
        <w:tc>
          <w:tcPr>
            <w:tcW w:w="1928" w:type="pct"/>
            <w:gridSpan w:val="3"/>
            <w:tcBorders>
              <w:top w:val="single" w:sz="4" w:space="0" w:color="auto"/>
              <w:left w:val="single" w:sz="4" w:space="0" w:color="auto"/>
              <w:bottom w:val="single" w:sz="4" w:space="0" w:color="auto"/>
              <w:right w:val="single" w:sz="4" w:space="0" w:color="auto"/>
            </w:tcBorders>
          </w:tcPr>
          <w:p w14:paraId="5BF1D42D" w14:textId="28F60895" w:rsidR="00984B34" w:rsidRPr="009E686F" w:rsidRDefault="00984B34" w:rsidP="00984B34">
            <w:pPr>
              <w:spacing w:after="0"/>
              <w:rPr>
                <w:rFonts w:ascii="Times New Roman" w:hAnsi="Times New Roman" w:cs="Times New Roman"/>
                <w:lang w:val="ro-MD"/>
              </w:rPr>
            </w:pPr>
          </w:p>
          <w:p w14:paraId="4899EA44" w14:textId="0AA15AC9" w:rsidR="00984B34" w:rsidRPr="009E686F" w:rsidRDefault="00984B34" w:rsidP="00984B34">
            <w:pPr>
              <w:spacing w:after="0"/>
              <w:jc w:val="both"/>
              <w:rPr>
                <w:rFonts w:ascii="Times New Roman" w:hAnsi="Times New Roman" w:cs="Times New Roman"/>
                <w:lang w:val="ro-RO"/>
              </w:rPr>
            </w:pPr>
          </w:p>
        </w:tc>
        <w:tc>
          <w:tcPr>
            <w:tcW w:w="470" w:type="pct"/>
            <w:tcBorders>
              <w:top w:val="single" w:sz="4" w:space="0" w:color="auto"/>
              <w:left w:val="single" w:sz="4" w:space="0" w:color="auto"/>
              <w:bottom w:val="single" w:sz="4" w:space="0" w:color="auto"/>
              <w:right w:val="single" w:sz="4" w:space="0" w:color="auto"/>
            </w:tcBorders>
          </w:tcPr>
          <w:p w14:paraId="53BD0845" w14:textId="2601570B"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netranspuse</w:t>
            </w:r>
          </w:p>
        </w:tc>
        <w:tc>
          <w:tcPr>
            <w:tcW w:w="806" w:type="pct"/>
            <w:tcBorders>
              <w:top w:val="single" w:sz="4" w:space="0" w:color="auto"/>
              <w:left w:val="single" w:sz="4" w:space="0" w:color="auto"/>
              <w:bottom w:val="single" w:sz="4" w:space="0" w:color="auto"/>
              <w:right w:val="single" w:sz="4" w:space="0" w:color="auto"/>
            </w:tcBorders>
          </w:tcPr>
          <w:p w14:paraId="2F2B512E" w14:textId="7B2C7668" w:rsidR="00984B34" w:rsidRPr="009E686F" w:rsidRDefault="00984B34" w:rsidP="00984B34">
            <w:pPr>
              <w:rPr>
                <w:rFonts w:ascii="Times New Roman" w:hAnsi="Times New Roman" w:cs="Times New Roman"/>
                <w:lang w:val="ro-RO"/>
              </w:rPr>
            </w:pPr>
            <w:r w:rsidRPr="009E686F">
              <w:rPr>
                <w:rFonts w:ascii="Times New Roman" w:hAnsi="Times New Roman" w:cs="Times New Roman"/>
                <w:lang w:val="ro-RO"/>
              </w:rPr>
              <w:t>Se vor regăsi în proiectul de modificare a Regulamentului cu privire la amortizoarele de capital ale băncilor, aprobat prin HCE nr. 110/2018</w:t>
            </w:r>
            <w:r w:rsidR="0008435A" w:rsidRPr="009E686F">
              <w:rPr>
                <w:rFonts w:ascii="Times New Roman" w:hAnsi="Times New Roman" w:cs="Times New Roman"/>
                <w:lang w:val="ro-RO"/>
              </w:rPr>
              <w:t xml:space="preserve"> (</w:t>
            </w:r>
            <w:r w:rsidR="0008435A" w:rsidRPr="009E686F">
              <w:rPr>
                <w:rFonts w:ascii="Times New Roman" w:eastAsia="Times New Roman" w:hAnsi="Times New Roman" w:cs="Times New Roman"/>
                <w:bCs/>
                <w:lang w:val="it-CH" w:eastAsia="ru-RU"/>
              </w:rPr>
              <w:t xml:space="preserve">acțiunea normativă nr. 3 din Anexa A din PNA 2025-2029 aferentă Capitolului 9 “Servicii financiare” în legătură </w:t>
            </w:r>
            <w:r w:rsidR="0008435A" w:rsidRPr="009E686F">
              <w:rPr>
                <w:rFonts w:ascii="Times New Roman" w:eastAsia="Times New Roman" w:hAnsi="Times New Roman" w:cs="Times New Roman"/>
                <w:bCs/>
                <w:lang w:val="it-CH" w:eastAsia="ru-RU"/>
              </w:rPr>
              <w:lastRenderedPageBreak/>
              <w:t>cu transpunerea Directivei 2013/36/UE).</w:t>
            </w:r>
          </w:p>
        </w:tc>
      </w:tr>
      <w:tr w:rsidR="00984B34" w:rsidRPr="009E686F" w14:paraId="61567923" w14:textId="5154D4AC" w:rsidTr="00774F3E">
        <w:tc>
          <w:tcPr>
            <w:tcW w:w="1796" w:type="pct"/>
            <w:gridSpan w:val="2"/>
            <w:tcBorders>
              <w:top w:val="single" w:sz="4" w:space="0" w:color="auto"/>
              <w:left w:val="single" w:sz="4" w:space="0" w:color="auto"/>
              <w:bottom w:val="single" w:sz="4" w:space="0" w:color="auto"/>
              <w:right w:val="single" w:sz="4" w:space="0" w:color="auto"/>
            </w:tcBorders>
          </w:tcPr>
          <w:p w14:paraId="03A842C9" w14:textId="3904F905"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lastRenderedPageBreak/>
              <w:t>(4) În cazul în care statele membre recunosc o rată a amortizorului de risc sistemic pentru instituțiile autorizate la nivel național, amortizorul de risc sistemic respectiv poate fi cumulat cu amortizorul de risc sistemic aplicat în conformitate cu articolul 133, cu condiția ca amortizoarele să abordeze riscuri diferite. În cazul în care amortizoarele abordează aceleași riscuri, se aplică numai amortizorul cu rata cea mai ridicată.</w:t>
            </w:r>
          </w:p>
          <w:p w14:paraId="493E36C2" w14:textId="3A8221A7" w:rsidR="00984B34" w:rsidRPr="009E686F" w:rsidRDefault="00984B34" w:rsidP="00984B34">
            <w:pPr>
              <w:spacing w:after="0"/>
              <w:jc w:val="both"/>
              <w:rPr>
                <w:rFonts w:ascii="Times New Roman" w:hAnsi="Times New Roman" w:cs="Times New Roman"/>
                <w:lang w:val="ro-RO"/>
              </w:rPr>
            </w:pPr>
          </w:p>
        </w:tc>
        <w:tc>
          <w:tcPr>
            <w:tcW w:w="1928" w:type="pct"/>
            <w:gridSpan w:val="3"/>
            <w:tcBorders>
              <w:top w:val="single" w:sz="4" w:space="0" w:color="auto"/>
              <w:left w:val="single" w:sz="4" w:space="0" w:color="auto"/>
              <w:bottom w:val="single" w:sz="4" w:space="0" w:color="auto"/>
              <w:right w:val="single" w:sz="4" w:space="0" w:color="auto"/>
            </w:tcBorders>
          </w:tcPr>
          <w:p w14:paraId="1CFDAB13" w14:textId="4A98B2CC"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b/>
                <w:lang w:val="ro-RO"/>
              </w:rPr>
              <w:t>Pct. 83</w:t>
            </w:r>
            <w:r w:rsidRPr="009E686F">
              <w:rPr>
                <w:rFonts w:ascii="Times New Roman" w:hAnsi="Times New Roman" w:cs="Times New Roman"/>
                <w:b/>
                <w:vertAlign w:val="superscript"/>
                <w:lang w:val="ro-RO"/>
              </w:rPr>
              <w:t>1</w:t>
            </w:r>
            <w:r w:rsidRPr="009E686F">
              <w:rPr>
                <w:rFonts w:ascii="Times New Roman" w:hAnsi="Times New Roman" w:cs="Times New Roman"/>
                <w:b/>
                <w:lang w:val="ro-RO"/>
              </w:rPr>
              <w:t xml:space="preserve"> din Regulamentul cu privire la amortizoarele de capital ale băncilor, aprobat prin HCE nr.110/2018</w:t>
            </w:r>
          </w:p>
          <w:p w14:paraId="6B4BC005" w14:textId="2493FF24"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b/>
                <w:lang w:val="ro-RO"/>
              </w:rPr>
              <w:t>83</w:t>
            </w:r>
            <w:r w:rsidRPr="009E686F">
              <w:rPr>
                <w:rFonts w:ascii="Times New Roman" w:hAnsi="Times New Roman" w:cs="Times New Roman"/>
                <w:b/>
                <w:vertAlign w:val="superscript"/>
                <w:lang w:val="ro-RO"/>
              </w:rPr>
              <w:t>1</w:t>
            </w:r>
            <w:r w:rsidRPr="009E686F">
              <w:rPr>
                <w:rFonts w:ascii="Times New Roman" w:hAnsi="Times New Roman" w:cs="Times New Roman"/>
                <w:b/>
                <w:lang w:val="ro-RO"/>
              </w:rPr>
              <w:t>.</w:t>
            </w:r>
            <w:r w:rsidRPr="009E686F">
              <w:rPr>
                <w:rFonts w:ascii="Times New Roman" w:hAnsi="Times New Roman" w:cs="Times New Roman"/>
                <w:bCs/>
                <w:lang w:val="ro-RO"/>
              </w:rPr>
              <w:t xml:space="preserve"> În cazul în care Banca Națională a Moldovei impune o rată a amortizorului de risc sistemic pentru băncile din Republica Moldova, conform punctului 83, amortizorul de risc sistemic respectiv poate fi cumulat cu amortizorul de risc sistemic aplicat în conformitate cu punctul 70, cu condiția ca amortizoarele să abordeze riscuri diferite. În cazul în care amortizoarele abordează aceleași riscuri, se aplică doar amortizorul cu rata cea mai mare</w:t>
            </w:r>
          </w:p>
        </w:tc>
        <w:tc>
          <w:tcPr>
            <w:tcW w:w="470" w:type="pct"/>
            <w:tcBorders>
              <w:top w:val="single" w:sz="4" w:space="0" w:color="auto"/>
              <w:left w:val="single" w:sz="4" w:space="0" w:color="auto"/>
              <w:bottom w:val="single" w:sz="4" w:space="0" w:color="auto"/>
              <w:right w:val="single" w:sz="4" w:space="0" w:color="auto"/>
            </w:tcBorders>
          </w:tcPr>
          <w:p w14:paraId="54126917" w14:textId="65B000E8"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51DE9711" w14:textId="2C1403CD" w:rsidR="00984B34" w:rsidRPr="009E686F" w:rsidRDefault="00984B34" w:rsidP="00984B34">
            <w:pPr>
              <w:jc w:val="both"/>
              <w:rPr>
                <w:rFonts w:ascii="Times New Roman" w:hAnsi="Times New Roman" w:cs="Times New Roman"/>
                <w:lang w:val="ro-RO"/>
              </w:rPr>
            </w:pPr>
          </w:p>
        </w:tc>
      </w:tr>
      <w:tr w:rsidR="00984B34" w:rsidRPr="009E686F" w14:paraId="58B53E79" w14:textId="77777777" w:rsidTr="00BE2BF1">
        <w:trPr>
          <w:trHeight w:val="2707"/>
        </w:trPr>
        <w:tc>
          <w:tcPr>
            <w:tcW w:w="1796" w:type="pct"/>
            <w:gridSpan w:val="2"/>
            <w:tcBorders>
              <w:top w:val="single" w:sz="4" w:space="0" w:color="auto"/>
              <w:left w:val="single" w:sz="4" w:space="0" w:color="auto"/>
              <w:bottom w:val="single" w:sz="4" w:space="0" w:color="auto"/>
              <w:right w:val="single" w:sz="4" w:space="0" w:color="auto"/>
            </w:tcBorders>
          </w:tcPr>
          <w:p w14:paraId="1B8CAD82" w14:textId="3A7BC65A" w:rsidR="00984B34" w:rsidRPr="009E686F" w:rsidRDefault="00984B34" w:rsidP="00984B34">
            <w:pPr>
              <w:spacing w:after="0"/>
              <w:jc w:val="both"/>
              <w:rPr>
                <w:rFonts w:ascii="Times New Roman" w:hAnsi="Times New Roman" w:cs="Times New Roman"/>
                <w:bCs/>
                <w:lang w:val="ro-RO"/>
              </w:rPr>
            </w:pPr>
            <w:r w:rsidRPr="009E686F">
              <w:rPr>
                <w:rFonts w:ascii="Times New Roman" w:hAnsi="Times New Roman" w:cs="Times New Roman"/>
                <w:bCs/>
                <w:lang w:val="ro-RO"/>
              </w:rPr>
              <w:t>(5)   Un stat membru care stabilește o rată a amortizorului de risc sistemic în conformitate cu articolul 133 din prezenta directivă poate solicita CERS să emită o recomandare, astfel cum se prevede la articolul 16 din Regulamentul (UE) nr.  1092/2010, adresată unuia sau mai multor state membre care pot recunoaște rata amortizorului de risc sistemic.</w:t>
            </w:r>
          </w:p>
        </w:tc>
        <w:tc>
          <w:tcPr>
            <w:tcW w:w="1928" w:type="pct"/>
            <w:gridSpan w:val="3"/>
            <w:tcBorders>
              <w:top w:val="single" w:sz="4" w:space="0" w:color="auto"/>
              <w:left w:val="single" w:sz="4" w:space="0" w:color="auto"/>
              <w:bottom w:val="single" w:sz="4" w:space="0" w:color="auto"/>
              <w:right w:val="single" w:sz="4" w:space="0" w:color="auto"/>
            </w:tcBorders>
          </w:tcPr>
          <w:p w14:paraId="4F857748"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4E3DEF2E" w14:textId="115F29F3"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netranspuse</w:t>
            </w:r>
          </w:p>
        </w:tc>
        <w:tc>
          <w:tcPr>
            <w:tcW w:w="806" w:type="pct"/>
            <w:tcBorders>
              <w:top w:val="single" w:sz="4" w:space="0" w:color="auto"/>
              <w:left w:val="single" w:sz="4" w:space="0" w:color="auto"/>
              <w:bottom w:val="single" w:sz="4" w:space="0" w:color="auto"/>
              <w:right w:val="single" w:sz="4" w:space="0" w:color="auto"/>
            </w:tcBorders>
          </w:tcPr>
          <w:p w14:paraId="390D9260" w14:textId="2723B681" w:rsidR="00984B34" w:rsidRPr="009E686F" w:rsidRDefault="00984B34" w:rsidP="00984B34">
            <w:pPr>
              <w:rPr>
                <w:rFonts w:ascii="Times New Roman" w:hAnsi="Times New Roman" w:cs="Times New Roman"/>
                <w:lang w:val="ro-RO"/>
              </w:rPr>
            </w:pPr>
            <w:r w:rsidRPr="009E686F">
              <w:rPr>
                <w:rFonts w:ascii="Times New Roman" w:hAnsi="Times New Roman" w:cs="Times New Roman"/>
                <w:lang w:val="ro-RO"/>
              </w:rPr>
              <w:t>Se vor regăsi în proiectul de modificare a Regulamentului cu privire la amortizoarele de capital ale băncilor, aprobat prin HCE nr. 110/2018</w:t>
            </w:r>
            <w:r w:rsidR="0008435A" w:rsidRPr="009E686F">
              <w:rPr>
                <w:rFonts w:ascii="Times New Roman" w:hAnsi="Times New Roman" w:cs="Times New Roman"/>
                <w:lang w:val="ro-RO"/>
              </w:rPr>
              <w:t xml:space="preserve"> (</w:t>
            </w:r>
            <w:r w:rsidR="0008435A" w:rsidRPr="009E686F">
              <w:rPr>
                <w:rFonts w:ascii="Times New Roman" w:eastAsia="Times New Roman" w:hAnsi="Times New Roman" w:cs="Times New Roman"/>
                <w:bCs/>
                <w:lang w:val="it-CH" w:eastAsia="ru-RU"/>
              </w:rPr>
              <w:t>acțiunea normativă nr. 3 din Anexa A din PNA 2025-2029 aferentă Capitolului 9 “Servicii financiare” în legătură cu transpunerea Directivei 2013/36/UE).</w:t>
            </w:r>
          </w:p>
        </w:tc>
      </w:tr>
      <w:tr w:rsidR="00984B34" w:rsidRPr="009E686F" w14:paraId="5AAE3AD9" w14:textId="77777777" w:rsidTr="00BE2BF1">
        <w:trPr>
          <w:trHeight w:val="2707"/>
        </w:trPr>
        <w:tc>
          <w:tcPr>
            <w:tcW w:w="1796" w:type="pct"/>
            <w:gridSpan w:val="2"/>
            <w:tcBorders>
              <w:top w:val="single" w:sz="4" w:space="0" w:color="auto"/>
              <w:left w:val="single" w:sz="4" w:space="0" w:color="auto"/>
              <w:bottom w:val="single" w:sz="4" w:space="0" w:color="auto"/>
              <w:right w:val="single" w:sz="4" w:space="0" w:color="auto"/>
            </w:tcBorders>
          </w:tcPr>
          <w:p w14:paraId="541DE59E" w14:textId="77777777" w:rsidR="00984B34" w:rsidRPr="009E686F" w:rsidRDefault="00984B34" w:rsidP="00984B34">
            <w:pPr>
              <w:spacing w:after="0"/>
              <w:jc w:val="both"/>
              <w:rPr>
                <w:rFonts w:ascii="Times New Roman" w:hAnsi="Times New Roman" w:cs="Times New Roman"/>
                <w:bCs/>
                <w:lang w:val="ro-RO"/>
              </w:rPr>
            </w:pPr>
            <w:r w:rsidRPr="009E686F">
              <w:rPr>
                <w:rFonts w:ascii="Times New Roman" w:hAnsi="Times New Roman" w:cs="Times New Roman"/>
                <w:bCs/>
                <w:lang w:val="ro-RO"/>
              </w:rPr>
              <w:lastRenderedPageBreak/>
              <w:t>Secțiunea II</w:t>
            </w:r>
          </w:p>
          <w:p w14:paraId="19FECD5F"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b/>
                <w:lang w:val="ro-RO"/>
              </w:rPr>
              <w:t>Stabilirea și calcularea amortizoarelor anticiclice de capital</w:t>
            </w:r>
          </w:p>
          <w:p w14:paraId="5F19695C" w14:textId="77777777" w:rsidR="00984B34" w:rsidRPr="009E686F" w:rsidRDefault="00984B34" w:rsidP="00984B34">
            <w:pPr>
              <w:spacing w:after="0"/>
              <w:jc w:val="both"/>
              <w:rPr>
                <w:rFonts w:ascii="Times New Roman" w:hAnsi="Times New Roman" w:cs="Times New Roman"/>
                <w:i/>
                <w:iCs/>
                <w:lang w:val="ro-RO"/>
              </w:rPr>
            </w:pPr>
            <w:r w:rsidRPr="009E686F">
              <w:rPr>
                <w:rFonts w:ascii="Times New Roman" w:hAnsi="Times New Roman" w:cs="Times New Roman"/>
                <w:i/>
                <w:iCs/>
                <w:lang w:val="ro-RO"/>
              </w:rPr>
              <w:t xml:space="preserve">Articolul 135 </w:t>
            </w:r>
          </w:p>
          <w:p w14:paraId="6CEBE2EF"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Orientări CERS privind stabilirea ratelor amortizoarelor anticiclice</w:t>
            </w:r>
          </w:p>
          <w:p w14:paraId="306DD5F9"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(1)CERS poate formula, prin recomandări conform articolului 16 din Regulamentul (UE) nr. 1092/2010, orientări pentru autoritățile desemnate de statele membre conform articolului 136 alineatul (1) privind stabilirea ratelor amortizoarelor anticiclice, în special:</w:t>
            </w:r>
          </w:p>
          <w:p w14:paraId="00B681B6"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(a)principii destinate să îndrume autoritățile desemnate atunci când își exercită puterea de apreciere privind rata adecvată a amortizorului anticiclic, să garanteze că autoritățile adoptă o abordare corespunzătoare în ceea ce privește ciclurile macroeconomice în cauză și să promoveze un proces decizional solid și consecvent în toate statele membre; (b) orientări generale privind: </w:t>
            </w:r>
          </w:p>
          <w:p w14:paraId="749AC4D5"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(i)măsurarea și calcularea abaterii indicatorului credite/produsul intern brut (PIB) de la tendințele pe termen lung;</w:t>
            </w:r>
          </w:p>
          <w:p w14:paraId="707E158A"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(ii) calcularea referențialelor pentru amortizoare prevăzute la articolul 136 alineatul (2); </w:t>
            </w:r>
          </w:p>
          <w:p w14:paraId="300D45BF"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(c) orientări privind variabilele care indică apariția unui risc sistemic asociat cu existența unor perioade de creștere excesivă a creditelor în sistemul financiar, în special indicatorul credit/PIB relevant și abaterea acestuia de la tendința pe termen lung și privind alți factori relevanți, inclusiv progresele economice care apar în diferite sectoare ale economiei, care trebuie luați în considerare de autoritățile desemnate atunci când stabilesc rata adecvată a amortizorului anticiclic conform articolului 136; </w:t>
            </w:r>
          </w:p>
          <w:p w14:paraId="504C1A8D" w14:textId="0839788C" w:rsidR="00984B34" w:rsidRPr="009E686F" w:rsidRDefault="00984B34" w:rsidP="00984B34">
            <w:pPr>
              <w:spacing w:after="0"/>
              <w:jc w:val="both"/>
              <w:rPr>
                <w:rFonts w:ascii="Times New Roman" w:hAnsi="Times New Roman" w:cs="Times New Roman"/>
                <w:bCs/>
                <w:lang w:val="ro-RO"/>
              </w:rPr>
            </w:pPr>
            <w:r w:rsidRPr="009E686F">
              <w:rPr>
                <w:rFonts w:ascii="Times New Roman" w:hAnsi="Times New Roman" w:cs="Times New Roman"/>
                <w:lang w:val="ro-RO"/>
              </w:rPr>
              <w:lastRenderedPageBreak/>
              <w:t>(d) orientări privind variabilele, inclusiv criterii calitative, care indică faptul că amortizorul trebuie menținut, redus sau eliminat în întregime.</w:t>
            </w:r>
          </w:p>
        </w:tc>
        <w:tc>
          <w:tcPr>
            <w:tcW w:w="1928" w:type="pct"/>
            <w:gridSpan w:val="3"/>
            <w:tcBorders>
              <w:top w:val="single" w:sz="4" w:space="0" w:color="auto"/>
              <w:left w:val="single" w:sz="4" w:space="0" w:color="auto"/>
              <w:bottom w:val="single" w:sz="4" w:space="0" w:color="auto"/>
              <w:right w:val="single" w:sz="4" w:space="0" w:color="auto"/>
            </w:tcBorders>
          </w:tcPr>
          <w:p w14:paraId="12A3607A"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74846EEF" w14:textId="77777777"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neaplicabile</w:t>
            </w:r>
          </w:p>
          <w:p w14:paraId="20B8E637" w14:textId="77777777"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706480CD" w14:textId="17A0BB7E" w:rsidR="00984B34" w:rsidRPr="009E686F" w:rsidRDefault="00984B34" w:rsidP="00984B34">
            <w:pPr>
              <w:rPr>
                <w:rFonts w:ascii="Times New Roman" w:hAnsi="Times New Roman" w:cs="Times New Roman"/>
                <w:lang w:val="ro-RO"/>
              </w:rPr>
            </w:pPr>
            <w:r w:rsidRPr="009E686F">
              <w:rPr>
                <w:rFonts w:ascii="Times New Roman" w:hAnsi="Times New Roman" w:cs="Times New Roman"/>
                <w:lang w:val="ro-RO"/>
              </w:rPr>
              <w:t>Se referă la competențele CERS.</w:t>
            </w:r>
          </w:p>
        </w:tc>
      </w:tr>
      <w:tr w:rsidR="00984B34" w:rsidRPr="009E686F" w14:paraId="10224E4E" w14:textId="371409C5" w:rsidTr="00774F3E">
        <w:tc>
          <w:tcPr>
            <w:tcW w:w="1796" w:type="pct"/>
            <w:gridSpan w:val="2"/>
            <w:tcBorders>
              <w:top w:val="single" w:sz="4" w:space="0" w:color="auto"/>
              <w:left w:val="single" w:sz="4" w:space="0" w:color="auto"/>
              <w:bottom w:val="single" w:sz="4" w:space="0" w:color="auto"/>
              <w:right w:val="single" w:sz="4" w:space="0" w:color="auto"/>
            </w:tcBorders>
          </w:tcPr>
          <w:p w14:paraId="42A011C8" w14:textId="0D854056"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(2) În cazul în care formulează o recomandare conform alineatului (1), CERS ia în considerare în mod corespunzător diferențele dintre statele membre și în special particularitățile statelor membre cu economii mici și deschise.</w:t>
            </w:r>
          </w:p>
        </w:tc>
        <w:tc>
          <w:tcPr>
            <w:tcW w:w="1928" w:type="pct"/>
            <w:gridSpan w:val="3"/>
            <w:tcBorders>
              <w:top w:val="single" w:sz="4" w:space="0" w:color="auto"/>
              <w:left w:val="single" w:sz="4" w:space="0" w:color="auto"/>
              <w:bottom w:val="single" w:sz="4" w:space="0" w:color="auto"/>
              <w:right w:val="single" w:sz="4" w:space="0" w:color="auto"/>
            </w:tcBorders>
          </w:tcPr>
          <w:p w14:paraId="02957FF9"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3C5B2835" w14:textId="3C3BEEBD"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neaplicabile</w:t>
            </w:r>
          </w:p>
        </w:tc>
        <w:tc>
          <w:tcPr>
            <w:tcW w:w="806" w:type="pct"/>
            <w:tcBorders>
              <w:top w:val="single" w:sz="4" w:space="0" w:color="auto"/>
              <w:left w:val="single" w:sz="4" w:space="0" w:color="auto"/>
              <w:bottom w:val="single" w:sz="4" w:space="0" w:color="auto"/>
              <w:right w:val="single" w:sz="4" w:space="0" w:color="auto"/>
            </w:tcBorders>
          </w:tcPr>
          <w:p w14:paraId="421C58D7" w14:textId="2D7D8ADF"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Se referă la competențele CERS.</w:t>
            </w:r>
          </w:p>
        </w:tc>
      </w:tr>
      <w:tr w:rsidR="00984B34" w:rsidRPr="009E686F" w14:paraId="7BA097B8" w14:textId="044B77D6" w:rsidTr="00774F3E">
        <w:tc>
          <w:tcPr>
            <w:tcW w:w="1796" w:type="pct"/>
            <w:gridSpan w:val="2"/>
            <w:tcBorders>
              <w:top w:val="single" w:sz="4" w:space="0" w:color="auto"/>
              <w:left w:val="single" w:sz="4" w:space="0" w:color="auto"/>
              <w:bottom w:val="single" w:sz="4" w:space="0" w:color="auto"/>
              <w:right w:val="single" w:sz="4" w:space="0" w:color="auto"/>
            </w:tcBorders>
          </w:tcPr>
          <w:p w14:paraId="40E08203" w14:textId="60B09819"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(3) În cazul în care a formulat o recomandare conform alineatului (1), CERS o revizuiește și o actualizează, dacă este necesar, ținând cont de experiența acumulată în stabilirea amortizoarele în temeiul prezentei directive sau de evoluția practicilor agreate la nivel internațional.</w:t>
            </w:r>
          </w:p>
        </w:tc>
        <w:tc>
          <w:tcPr>
            <w:tcW w:w="1928" w:type="pct"/>
            <w:gridSpan w:val="3"/>
            <w:tcBorders>
              <w:top w:val="single" w:sz="4" w:space="0" w:color="auto"/>
              <w:left w:val="single" w:sz="4" w:space="0" w:color="auto"/>
              <w:bottom w:val="single" w:sz="4" w:space="0" w:color="auto"/>
              <w:right w:val="single" w:sz="4" w:space="0" w:color="auto"/>
            </w:tcBorders>
          </w:tcPr>
          <w:p w14:paraId="171723EE"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6DCA0EA4" w14:textId="245571EC"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neaplicabile</w:t>
            </w:r>
          </w:p>
        </w:tc>
        <w:tc>
          <w:tcPr>
            <w:tcW w:w="806" w:type="pct"/>
            <w:tcBorders>
              <w:top w:val="single" w:sz="4" w:space="0" w:color="auto"/>
              <w:left w:val="single" w:sz="4" w:space="0" w:color="auto"/>
              <w:bottom w:val="single" w:sz="4" w:space="0" w:color="auto"/>
              <w:right w:val="single" w:sz="4" w:space="0" w:color="auto"/>
            </w:tcBorders>
          </w:tcPr>
          <w:p w14:paraId="273B6701" w14:textId="444566ED"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Se referă la competențele CERS.</w:t>
            </w:r>
          </w:p>
        </w:tc>
      </w:tr>
      <w:tr w:rsidR="00984B34" w:rsidRPr="009E686F" w14:paraId="2F419E4B"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4DCBEAB7" w14:textId="77777777" w:rsidR="00984B34" w:rsidRPr="009E686F" w:rsidRDefault="00984B34" w:rsidP="00984B34">
            <w:pPr>
              <w:spacing w:after="0"/>
              <w:jc w:val="both"/>
              <w:rPr>
                <w:rFonts w:ascii="Times New Roman" w:hAnsi="Times New Roman" w:cs="Times New Roman"/>
                <w:b/>
                <w:bCs/>
                <w:lang w:val="ro-RO"/>
              </w:rPr>
            </w:pPr>
            <w:r w:rsidRPr="009E686F">
              <w:rPr>
                <w:rFonts w:ascii="Times New Roman" w:hAnsi="Times New Roman" w:cs="Times New Roman"/>
                <w:i/>
                <w:iCs/>
                <w:lang w:val="ro-RO"/>
              </w:rPr>
              <w:t>Articolul 136</w:t>
            </w:r>
            <w:r w:rsidRPr="009E686F">
              <w:rPr>
                <w:rFonts w:ascii="Times New Roman" w:hAnsi="Times New Roman" w:cs="Times New Roman"/>
                <w:lang w:val="ro-RO"/>
              </w:rPr>
              <w:t xml:space="preserve"> </w:t>
            </w:r>
          </w:p>
          <w:p w14:paraId="22F8403B"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Stabilirea ratelor amortizoarelor anticiclice</w:t>
            </w:r>
          </w:p>
          <w:p w14:paraId="5A627465" w14:textId="28C4D16E"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(1) Fiecare stat membru desemnează o autoritate publică sau un organism public (denumită/denumit în continuare o "autoritate desemnată") responsabilă cu stabilirea ratei amortizorului anticiclic pentru statul membru în cauză.</w:t>
            </w:r>
          </w:p>
        </w:tc>
        <w:tc>
          <w:tcPr>
            <w:tcW w:w="1928" w:type="pct"/>
            <w:gridSpan w:val="3"/>
            <w:tcBorders>
              <w:top w:val="single" w:sz="4" w:space="0" w:color="auto"/>
              <w:left w:val="single" w:sz="4" w:space="0" w:color="auto"/>
              <w:bottom w:val="single" w:sz="4" w:space="0" w:color="auto"/>
              <w:right w:val="single" w:sz="4" w:space="0" w:color="auto"/>
            </w:tcBorders>
          </w:tcPr>
          <w:p w14:paraId="5DA10D28" w14:textId="77777777"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b/>
                <w:lang w:val="ro-RO"/>
              </w:rPr>
              <w:t>Pct. 4 din Regulamentul cu privire la amortizoarele de capital ale băncilor, aprobat prin HCE nr.110/2018</w:t>
            </w:r>
          </w:p>
          <w:p w14:paraId="06829618"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bCs/>
                <w:lang w:val="ro-RO"/>
              </w:rPr>
              <w:t>Secțiunea a 4-a. Stabilirea ratei amortizorului anticiclic pentru Republica Moldova</w:t>
            </w:r>
          </w:p>
          <w:p w14:paraId="5AC4D309" w14:textId="77777777" w:rsidR="00984B34" w:rsidRPr="009E686F" w:rsidRDefault="00984B34" w:rsidP="00984B34">
            <w:pPr>
              <w:spacing w:after="0"/>
              <w:jc w:val="both"/>
              <w:rPr>
                <w:rFonts w:ascii="Times New Roman" w:hAnsi="Times New Roman" w:cs="Times New Roman"/>
                <w:bCs/>
                <w:lang w:val="ro-RO"/>
              </w:rPr>
            </w:pPr>
            <w:r w:rsidRPr="009E686F">
              <w:rPr>
                <w:rFonts w:ascii="Times New Roman" w:hAnsi="Times New Roman" w:cs="Times New Roman"/>
                <w:b/>
                <w:lang w:val="ro-RO"/>
              </w:rPr>
              <w:t>4.</w:t>
            </w:r>
            <w:r w:rsidRPr="009E686F">
              <w:rPr>
                <w:rFonts w:ascii="Times New Roman" w:hAnsi="Times New Roman" w:cs="Times New Roman"/>
                <w:bCs/>
                <w:lang w:val="ro-RO"/>
              </w:rPr>
              <w:t xml:space="preserve"> În scopul prevenirii şi atenuării riscului macroprudenţial sau riscului sistemic, prezentul regulament stabileşte:</w:t>
            </w:r>
          </w:p>
          <w:p w14:paraId="4BE0E293" w14:textId="77777777" w:rsidR="00984B34" w:rsidRPr="009E686F" w:rsidRDefault="00984B34" w:rsidP="00984B34">
            <w:pPr>
              <w:spacing w:after="0"/>
              <w:jc w:val="both"/>
              <w:rPr>
                <w:rFonts w:ascii="Times New Roman" w:hAnsi="Times New Roman" w:cs="Times New Roman"/>
                <w:bCs/>
                <w:lang w:val="ro-RO"/>
              </w:rPr>
            </w:pPr>
            <w:r w:rsidRPr="009E686F">
              <w:rPr>
                <w:rFonts w:ascii="Times New Roman" w:hAnsi="Times New Roman" w:cs="Times New Roman"/>
                <w:bCs/>
                <w:lang w:val="ro-RO"/>
              </w:rPr>
              <w:t>1) cerinţe cu privire la fondurile proprii pe care băncile trebuie să le deţină în vederea constituirii următoarelor amortizoare de capital:</w:t>
            </w:r>
          </w:p>
          <w:p w14:paraId="0D61073C" w14:textId="77777777" w:rsidR="00984B34" w:rsidRPr="009E686F" w:rsidRDefault="00984B34" w:rsidP="00984B34">
            <w:pPr>
              <w:spacing w:after="0"/>
              <w:jc w:val="both"/>
              <w:rPr>
                <w:rFonts w:ascii="Times New Roman" w:hAnsi="Times New Roman" w:cs="Times New Roman"/>
                <w:bCs/>
                <w:lang w:val="ro-RO"/>
              </w:rPr>
            </w:pPr>
            <w:r w:rsidRPr="009E686F">
              <w:rPr>
                <w:rFonts w:ascii="Times New Roman" w:hAnsi="Times New Roman" w:cs="Times New Roman"/>
                <w:bCs/>
                <w:lang w:val="ro-RO"/>
              </w:rPr>
              <w:t>b) amortizor anticiclic de capital specific băncii;....</w:t>
            </w:r>
          </w:p>
          <w:p w14:paraId="5E5F3680" w14:textId="77777777" w:rsidR="00984B34" w:rsidRPr="009E686F" w:rsidRDefault="00984B34" w:rsidP="00984B34">
            <w:pPr>
              <w:spacing w:after="0"/>
              <w:jc w:val="both"/>
              <w:rPr>
                <w:rFonts w:ascii="Times New Roman" w:hAnsi="Times New Roman" w:cs="Times New Roman"/>
                <w:bCs/>
                <w:lang w:val="ro-RO"/>
              </w:rPr>
            </w:pPr>
            <w:r w:rsidRPr="009E686F">
              <w:rPr>
                <w:rFonts w:ascii="Times New Roman" w:hAnsi="Times New Roman" w:cs="Times New Roman"/>
                <w:bCs/>
                <w:lang w:val="ro-RO"/>
              </w:rPr>
              <w:lastRenderedPageBreak/>
              <w:t>2) particularităţile aferente stabilirii de către Banca Naţională a Moldovei şi modalitatea de calcul de către bănci a amortizoarelor de capital indicate la subpunctul 1);</w:t>
            </w:r>
          </w:p>
          <w:p w14:paraId="0E182C5F" w14:textId="05BAC510"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bCs/>
                <w:lang w:val="ro-RO"/>
              </w:rPr>
              <w:t>3) modalitatea de stabilire de către Banca Naţională a Moldovei a ratei amortizorului anticiclic pentru expunerile situate în Republica Moldova;</w:t>
            </w:r>
          </w:p>
        </w:tc>
        <w:tc>
          <w:tcPr>
            <w:tcW w:w="470" w:type="pct"/>
            <w:tcBorders>
              <w:top w:val="single" w:sz="4" w:space="0" w:color="auto"/>
              <w:left w:val="single" w:sz="4" w:space="0" w:color="auto"/>
              <w:bottom w:val="single" w:sz="4" w:space="0" w:color="auto"/>
              <w:right w:val="single" w:sz="4" w:space="0" w:color="auto"/>
            </w:tcBorders>
          </w:tcPr>
          <w:p w14:paraId="506AFEA5" w14:textId="229C0A04"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33B7DA62" w14:textId="77777777" w:rsidR="00984B34" w:rsidRPr="009E686F" w:rsidRDefault="00984B34" w:rsidP="00984B34">
            <w:pPr>
              <w:jc w:val="both"/>
              <w:rPr>
                <w:rFonts w:ascii="Times New Roman" w:hAnsi="Times New Roman" w:cs="Times New Roman"/>
                <w:lang w:val="ro-RO"/>
              </w:rPr>
            </w:pPr>
          </w:p>
        </w:tc>
      </w:tr>
      <w:tr w:rsidR="00984B34" w:rsidRPr="009E686F" w14:paraId="0F5B9456" w14:textId="540A15AC" w:rsidTr="00774F3E">
        <w:tc>
          <w:tcPr>
            <w:tcW w:w="1796" w:type="pct"/>
            <w:gridSpan w:val="2"/>
            <w:tcBorders>
              <w:top w:val="single" w:sz="4" w:space="0" w:color="auto"/>
              <w:left w:val="single" w:sz="4" w:space="0" w:color="auto"/>
              <w:bottom w:val="single" w:sz="4" w:space="0" w:color="auto"/>
              <w:right w:val="single" w:sz="4" w:space="0" w:color="auto"/>
            </w:tcBorders>
          </w:tcPr>
          <w:p w14:paraId="13E9F2E5" w14:textId="76BFB204"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(2) Fiecare autoritate desemnată calculează în fiecare trimestru un referențial pentru amortizoare, destinat să îndrume exercitarea puterii sale de apreciere în stabilirea ratei amortizorului anticiclic în conformitate cu alineatul (3). </w:t>
            </w:r>
          </w:p>
          <w:p w14:paraId="673D4956"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Referențialul pentru amortizoare reflectă, în mod concret, ciclul de creditare și riscurile datorate creșterii excesive a creditelor în statul membru și ia în considerare în mod corespunzător particularitățile economiei naționale. Acesta se bazează pe abaterea indicatorului credite/PIB de la tendința pe termen lung, luând în considerare, între altele:</w:t>
            </w:r>
          </w:p>
          <w:p w14:paraId="02C46A22" w14:textId="03AAA0F4"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(a) un indicator al creșterii nivelurilor creditului în statul membru în cauză și, în special, un indicator care reflectă modificările raportului "credite acordate în statul membru în cauză/PIB".</w:t>
            </w:r>
          </w:p>
          <w:p w14:paraId="1117F93C" w14:textId="042AE7FB"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(b) orice orientări menținute în vigoare de CERS în conformitate cu articolul 135 alineatul (1) litera (b).</w:t>
            </w:r>
          </w:p>
        </w:tc>
        <w:tc>
          <w:tcPr>
            <w:tcW w:w="1928" w:type="pct"/>
            <w:gridSpan w:val="3"/>
            <w:tcBorders>
              <w:top w:val="single" w:sz="4" w:space="0" w:color="auto"/>
              <w:left w:val="single" w:sz="4" w:space="0" w:color="auto"/>
              <w:bottom w:val="single" w:sz="4" w:space="0" w:color="auto"/>
              <w:right w:val="single" w:sz="4" w:space="0" w:color="auto"/>
            </w:tcBorders>
          </w:tcPr>
          <w:p w14:paraId="2AE359EF" w14:textId="70277D2F"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b/>
                <w:lang w:val="ro-RO"/>
              </w:rPr>
              <w:t>Pct. 28 și 29 din Regulamentul cu privire la amortizoarele de capital ale băncilor, aprobat prin HCE nr.110/2018</w:t>
            </w:r>
          </w:p>
          <w:p w14:paraId="2EEF5516" w14:textId="77777777" w:rsidR="00984B34" w:rsidRPr="009E686F" w:rsidRDefault="00984B34" w:rsidP="00984B34">
            <w:pPr>
              <w:spacing w:after="0"/>
              <w:jc w:val="both"/>
              <w:rPr>
                <w:rFonts w:ascii="Times New Roman" w:hAnsi="Times New Roman" w:cs="Times New Roman"/>
                <w:bCs/>
                <w:lang w:val="ro-RO"/>
              </w:rPr>
            </w:pPr>
            <w:r w:rsidRPr="009E686F">
              <w:rPr>
                <w:rFonts w:ascii="Times New Roman" w:hAnsi="Times New Roman" w:cs="Times New Roman"/>
                <w:b/>
                <w:lang w:val="ro-RO"/>
              </w:rPr>
              <w:t>28.</w:t>
            </w:r>
            <w:r w:rsidRPr="009E686F">
              <w:rPr>
                <w:rFonts w:ascii="Times New Roman" w:hAnsi="Times New Roman" w:cs="Times New Roman"/>
                <w:bCs/>
                <w:lang w:val="ro-RO"/>
              </w:rPr>
              <w:t xml:space="preserve"> Banca Națională a Moldovei calculează trimestrial un referențial pentru amortizor, în vederea orientării sale în procesul de stabilire a ratei amortizorului anticiclic în conformitate cu punctul 30.</w:t>
            </w:r>
          </w:p>
          <w:p w14:paraId="0D8428F3" w14:textId="77777777" w:rsidR="00984B34" w:rsidRPr="009E686F" w:rsidRDefault="00984B34" w:rsidP="00984B34">
            <w:pPr>
              <w:spacing w:after="0"/>
              <w:jc w:val="both"/>
              <w:rPr>
                <w:rFonts w:ascii="Times New Roman" w:hAnsi="Times New Roman" w:cs="Times New Roman"/>
                <w:bCs/>
                <w:lang w:val="ro-RO"/>
              </w:rPr>
            </w:pPr>
            <w:r w:rsidRPr="009E686F">
              <w:rPr>
                <w:rFonts w:ascii="Times New Roman" w:hAnsi="Times New Roman" w:cs="Times New Roman"/>
                <w:b/>
                <w:lang w:val="ro-RO"/>
              </w:rPr>
              <w:t>29.</w:t>
            </w:r>
            <w:r w:rsidRPr="009E686F">
              <w:rPr>
                <w:rFonts w:ascii="Times New Roman" w:hAnsi="Times New Roman" w:cs="Times New Roman"/>
                <w:bCs/>
                <w:lang w:val="ro-RO"/>
              </w:rPr>
              <w:t xml:space="preserve"> Referențialul pentru amortizor reflectă, într-o manieră relevantă, ciclul de creditare și riscurile datorate creșterii excesive a creditelor în Republica Moldova și ia în considerare în mod corespunzător particularitățile economiei Republicii Moldova. Referențialul pentru amortizor se bazează pe deviația raportului „credite acordate sectorului privat/produsul intern brut” de la tendința acestuia pe termen lung, luând în considerare, cel puțin :</w:t>
            </w:r>
          </w:p>
          <w:p w14:paraId="798847FA" w14:textId="48BAB069" w:rsidR="00984B34" w:rsidRPr="009E686F" w:rsidRDefault="00984B34" w:rsidP="00984B34">
            <w:pPr>
              <w:spacing w:after="0"/>
              <w:jc w:val="both"/>
              <w:rPr>
                <w:rFonts w:ascii="Times New Roman" w:hAnsi="Times New Roman" w:cs="Times New Roman"/>
                <w:bCs/>
                <w:lang w:val="ro-RO"/>
              </w:rPr>
            </w:pPr>
            <w:r w:rsidRPr="009E686F">
              <w:rPr>
                <w:rFonts w:ascii="Times New Roman" w:hAnsi="Times New Roman" w:cs="Times New Roman"/>
                <w:bCs/>
                <w:lang w:val="ro-RO"/>
              </w:rPr>
              <w:t>1) un indicator al creșterii nivelurilor creditării în Republica Moldova și, în special, un indicator care reflectă modificările în raportul „credite acordate sectorului privat din Republica Moldova/produsul intern brut”;</w:t>
            </w:r>
          </w:p>
          <w:p w14:paraId="66FF65BA" w14:textId="77777777" w:rsidR="00984B34" w:rsidRPr="009E686F" w:rsidRDefault="00984B34" w:rsidP="00984B34">
            <w:pPr>
              <w:spacing w:after="0"/>
              <w:jc w:val="both"/>
              <w:rPr>
                <w:rFonts w:ascii="Times New Roman" w:hAnsi="Times New Roman" w:cs="Times New Roman"/>
                <w:bCs/>
                <w:lang w:val="ro-RO"/>
              </w:rPr>
            </w:pPr>
            <w:r w:rsidRPr="009E686F">
              <w:rPr>
                <w:rFonts w:ascii="Times New Roman" w:hAnsi="Times New Roman" w:cs="Times New Roman"/>
                <w:bCs/>
                <w:lang w:val="ro-RO"/>
              </w:rPr>
              <w:t xml:space="preserve">2) orice recomandare emisă de către autoritatea națională macroprudențială desemnată, definită în condițiile legislației în vigoare. </w:t>
            </w:r>
          </w:p>
          <w:p w14:paraId="123082B9" w14:textId="598DAAEE" w:rsidR="00984B34" w:rsidRPr="009E686F" w:rsidRDefault="00984B34" w:rsidP="00984B34">
            <w:pPr>
              <w:spacing w:after="0"/>
              <w:jc w:val="both"/>
              <w:rPr>
                <w:rFonts w:ascii="Times New Roman" w:hAnsi="Times New Roman" w:cs="Times New Roman"/>
                <w:lang w:val="ro-RO"/>
              </w:rPr>
            </w:pPr>
          </w:p>
        </w:tc>
        <w:tc>
          <w:tcPr>
            <w:tcW w:w="470" w:type="pct"/>
            <w:tcBorders>
              <w:top w:val="single" w:sz="4" w:space="0" w:color="auto"/>
              <w:left w:val="single" w:sz="4" w:space="0" w:color="auto"/>
              <w:bottom w:val="single" w:sz="4" w:space="0" w:color="auto"/>
              <w:right w:val="single" w:sz="4" w:space="0" w:color="auto"/>
            </w:tcBorders>
          </w:tcPr>
          <w:p w14:paraId="6A13A987" w14:textId="49CEA20C"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Parțial compatibil</w:t>
            </w:r>
          </w:p>
        </w:tc>
        <w:tc>
          <w:tcPr>
            <w:tcW w:w="806" w:type="pct"/>
            <w:tcBorders>
              <w:top w:val="single" w:sz="4" w:space="0" w:color="auto"/>
              <w:left w:val="single" w:sz="4" w:space="0" w:color="auto"/>
              <w:bottom w:val="single" w:sz="4" w:space="0" w:color="auto"/>
              <w:right w:val="single" w:sz="4" w:space="0" w:color="auto"/>
            </w:tcBorders>
          </w:tcPr>
          <w:p w14:paraId="226A131D" w14:textId="20E7ABE1" w:rsidR="00984B34" w:rsidRPr="009E686F" w:rsidRDefault="00984B34" w:rsidP="00984B34">
            <w:pPr>
              <w:rPr>
                <w:rFonts w:ascii="Times New Roman" w:hAnsi="Times New Roman" w:cs="Times New Roman"/>
                <w:lang w:val="ro-RO"/>
              </w:rPr>
            </w:pPr>
            <w:r w:rsidRPr="009E686F">
              <w:rPr>
                <w:rFonts w:ascii="Times New Roman" w:hAnsi="Times New Roman" w:cs="Times New Roman"/>
                <w:lang w:val="ro-RO"/>
              </w:rPr>
              <w:t>Prevederile aferente orientărilor CERS se vor regăsi în proiectul de modificare a Regulamentului cu privire la amortizoarele de capital ale băncilor, aprobat prin HCE nr. 110/2018</w:t>
            </w:r>
            <w:r w:rsidR="0008435A" w:rsidRPr="009E686F">
              <w:rPr>
                <w:rFonts w:ascii="Times New Roman" w:hAnsi="Times New Roman" w:cs="Times New Roman"/>
                <w:lang w:val="ro-RO"/>
              </w:rPr>
              <w:t xml:space="preserve"> (</w:t>
            </w:r>
            <w:r w:rsidR="0008435A" w:rsidRPr="009E686F">
              <w:rPr>
                <w:rFonts w:ascii="Times New Roman" w:eastAsia="Times New Roman" w:hAnsi="Times New Roman" w:cs="Times New Roman"/>
                <w:bCs/>
                <w:lang w:val="it-CH" w:eastAsia="ru-RU"/>
              </w:rPr>
              <w:t>acțiunea normativă nr. 3 din Anexa A din PNA 2025-2029 aferentă Capitolului 9 “Servicii financiare” în legătură cu transpunerea Directivei 2013/36/UE).</w:t>
            </w:r>
          </w:p>
          <w:p w14:paraId="285ED3A4" w14:textId="77777777" w:rsidR="00984B34" w:rsidRPr="009E686F" w:rsidRDefault="00984B34" w:rsidP="00984B34">
            <w:pPr>
              <w:jc w:val="both"/>
              <w:rPr>
                <w:rFonts w:ascii="Times New Roman" w:hAnsi="Times New Roman" w:cs="Times New Roman"/>
                <w:lang w:val="ro-RO"/>
              </w:rPr>
            </w:pPr>
          </w:p>
        </w:tc>
      </w:tr>
      <w:tr w:rsidR="00984B34" w:rsidRPr="009E686F" w14:paraId="74B4CFD5" w14:textId="5085BC12" w:rsidTr="00774F3E">
        <w:tc>
          <w:tcPr>
            <w:tcW w:w="1796" w:type="pct"/>
            <w:gridSpan w:val="2"/>
            <w:tcBorders>
              <w:top w:val="single" w:sz="4" w:space="0" w:color="auto"/>
              <w:left w:val="single" w:sz="4" w:space="0" w:color="auto"/>
              <w:bottom w:val="single" w:sz="4" w:space="0" w:color="auto"/>
              <w:right w:val="single" w:sz="4" w:space="0" w:color="auto"/>
            </w:tcBorders>
          </w:tcPr>
          <w:p w14:paraId="647524F2" w14:textId="6CF93C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(3) Fiecare autoritate desemnată evaluează trimestrial intensitatea riscului sistemic ciclic și caracterul adecvat al ratei amortizorului anticiclic pentru statul său membru și stabilește sau ajustează rata amortizorului anticiclic, dacă </w:t>
            </w:r>
            <w:r w:rsidRPr="009E686F">
              <w:rPr>
                <w:rFonts w:ascii="Times New Roman" w:hAnsi="Times New Roman" w:cs="Times New Roman"/>
                <w:lang w:val="ro-RO"/>
              </w:rPr>
              <w:lastRenderedPageBreak/>
              <w:t>este necesar. În cadrul acestui proces, fiecare autoritatea desemnată ia în considerare următoarele:</w:t>
            </w:r>
          </w:p>
          <w:p w14:paraId="11E00627"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a) referențialul pentru amortizor, calculat în conformitate cu alineatul (2); </w:t>
            </w:r>
          </w:p>
          <w:p w14:paraId="17CB6CA5" w14:textId="77777777" w:rsidR="00984B34" w:rsidRPr="009E686F" w:rsidRDefault="00984B34" w:rsidP="00984B34">
            <w:pPr>
              <w:spacing w:after="0"/>
              <w:jc w:val="both"/>
              <w:rPr>
                <w:rFonts w:ascii="Times New Roman" w:hAnsi="Times New Roman" w:cs="Times New Roman"/>
                <w:lang w:val="ro-RO"/>
              </w:rPr>
            </w:pPr>
          </w:p>
          <w:p w14:paraId="15FEB782"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(b) orice orientare menținută în vigoare de CERS în conformitate cu articolul 135 alineatul (1) literele (a), (c) și (d), și orice recomandare emisă de CERS cu privire la stabilirea ratei unui amortizor; </w:t>
            </w:r>
          </w:p>
          <w:p w14:paraId="1840CA81" w14:textId="77777777" w:rsidR="00984B34" w:rsidRPr="009E686F" w:rsidRDefault="00984B34" w:rsidP="00984B34">
            <w:pPr>
              <w:spacing w:after="0"/>
              <w:jc w:val="both"/>
              <w:rPr>
                <w:rFonts w:ascii="Times New Roman" w:hAnsi="Times New Roman" w:cs="Times New Roman"/>
                <w:lang w:val="ro-RO"/>
              </w:rPr>
            </w:pPr>
          </w:p>
          <w:p w14:paraId="4C8C2828" w14:textId="67D2ACEC"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(c) alte variabile pe care autoritatea desemnată le consideră relevante pentru abordarea riscului sistemic ciclic.</w:t>
            </w:r>
          </w:p>
        </w:tc>
        <w:tc>
          <w:tcPr>
            <w:tcW w:w="1928" w:type="pct"/>
            <w:gridSpan w:val="3"/>
            <w:tcBorders>
              <w:top w:val="single" w:sz="4" w:space="0" w:color="auto"/>
              <w:left w:val="single" w:sz="4" w:space="0" w:color="auto"/>
              <w:bottom w:val="single" w:sz="4" w:space="0" w:color="auto"/>
              <w:right w:val="single" w:sz="4" w:space="0" w:color="auto"/>
            </w:tcBorders>
          </w:tcPr>
          <w:p w14:paraId="35FA7720" w14:textId="4A2215E3"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b/>
                <w:lang w:val="ro-RO"/>
              </w:rPr>
              <w:lastRenderedPageBreak/>
              <w:t>Pct. 30 din Regulamentul cu privire la amortizoarele de capital ale băncilor, aprobat prin HCE nr.110/2018</w:t>
            </w:r>
          </w:p>
          <w:p w14:paraId="7B5E7742" w14:textId="77777777" w:rsidR="00984B34" w:rsidRPr="009E686F" w:rsidRDefault="00984B34" w:rsidP="00984B34">
            <w:pPr>
              <w:spacing w:after="0"/>
              <w:jc w:val="both"/>
              <w:rPr>
                <w:rFonts w:ascii="Times New Roman" w:hAnsi="Times New Roman" w:cs="Times New Roman"/>
                <w:bCs/>
                <w:lang w:val="ro-RO"/>
              </w:rPr>
            </w:pPr>
            <w:r w:rsidRPr="009E686F">
              <w:rPr>
                <w:rFonts w:ascii="Times New Roman" w:hAnsi="Times New Roman" w:cs="Times New Roman"/>
                <w:b/>
                <w:lang w:val="ro-RO"/>
              </w:rPr>
              <w:t>30.</w:t>
            </w:r>
            <w:r w:rsidRPr="009E686F">
              <w:rPr>
                <w:rFonts w:ascii="Times New Roman" w:hAnsi="Times New Roman" w:cs="Times New Roman"/>
                <w:bCs/>
                <w:lang w:val="ro-RO"/>
              </w:rPr>
              <w:t xml:space="preserve"> Banca Naţională a Moldovei evaluează trimestrial intensitatea riscului sistemic ciclic şi nivelul adecvat al ratei </w:t>
            </w:r>
            <w:r w:rsidRPr="009E686F">
              <w:rPr>
                <w:rFonts w:ascii="Times New Roman" w:hAnsi="Times New Roman" w:cs="Times New Roman"/>
                <w:bCs/>
                <w:lang w:val="ro-RO"/>
              </w:rPr>
              <w:lastRenderedPageBreak/>
              <w:t xml:space="preserve">amortizorului anticiclic pentru Republica Moldova şi stabileşte sau ajustează rata amortizorului anticiclic pentru Republica Moldova, dacă este necesar. În condiţiile mediului standard de risc sistemic ciclic, Banca Naţională a Moldovei poate menţine o rată neutră pozitivă a amortizorului anticiclic de capital. În cazurile în care nivelul de risc sistemic ciclic depăşeşte condiţiile mediului standard de risc, Banca Naţională a Moldovei poate majora rata amortizorului la un nivel mai înalt decât cel neutru. </w:t>
            </w:r>
          </w:p>
          <w:p w14:paraId="38ED3FF1" w14:textId="77777777" w:rsidR="00984B34" w:rsidRPr="009E686F" w:rsidRDefault="00984B34" w:rsidP="00984B34">
            <w:pPr>
              <w:spacing w:after="0"/>
              <w:jc w:val="both"/>
              <w:rPr>
                <w:rFonts w:ascii="Times New Roman" w:hAnsi="Times New Roman" w:cs="Times New Roman"/>
                <w:bCs/>
                <w:lang w:val="ro-RO"/>
              </w:rPr>
            </w:pPr>
          </w:p>
          <w:p w14:paraId="2AEFB328" w14:textId="721208EC"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bCs/>
                <w:lang w:val="ro-RO"/>
              </w:rPr>
              <w:t>În cadrul acestui proces, Banca Naţională a Moldovei ia în considerare referenţialul pentru amortizor, calculat în conformitate cu punctul 29 şi alte variabile şi informaţii pe care Banca Naţională a Moldovei le consideră relevante pentru abordarea riscului sistemic ciclic.</w:t>
            </w:r>
          </w:p>
        </w:tc>
        <w:tc>
          <w:tcPr>
            <w:tcW w:w="470" w:type="pct"/>
            <w:tcBorders>
              <w:top w:val="single" w:sz="4" w:space="0" w:color="auto"/>
              <w:left w:val="single" w:sz="4" w:space="0" w:color="auto"/>
              <w:bottom w:val="single" w:sz="4" w:space="0" w:color="auto"/>
              <w:right w:val="single" w:sz="4" w:space="0" w:color="auto"/>
            </w:tcBorders>
          </w:tcPr>
          <w:p w14:paraId="48B8CD9D" w14:textId="518FBCAE"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lastRenderedPageBreak/>
              <w:t>Parțial compatibil</w:t>
            </w:r>
          </w:p>
        </w:tc>
        <w:tc>
          <w:tcPr>
            <w:tcW w:w="806" w:type="pct"/>
            <w:tcBorders>
              <w:top w:val="single" w:sz="4" w:space="0" w:color="auto"/>
              <w:left w:val="single" w:sz="4" w:space="0" w:color="auto"/>
              <w:bottom w:val="single" w:sz="4" w:space="0" w:color="auto"/>
              <w:right w:val="single" w:sz="4" w:space="0" w:color="auto"/>
            </w:tcBorders>
          </w:tcPr>
          <w:p w14:paraId="2411B649" w14:textId="07AEB575" w:rsidR="00984B34" w:rsidRPr="009E686F" w:rsidRDefault="00984B34" w:rsidP="00984B34">
            <w:pPr>
              <w:rPr>
                <w:rFonts w:ascii="Times New Roman" w:hAnsi="Times New Roman" w:cs="Times New Roman"/>
                <w:lang w:val="ro-RO"/>
              </w:rPr>
            </w:pPr>
            <w:r w:rsidRPr="009E686F">
              <w:rPr>
                <w:rFonts w:ascii="Times New Roman" w:hAnsi="Times New Roman" w:cs="Times New Roman"/>
                <w:lang w:val="ro-RO"/>
              </w:rPr>
              <w:t xml:space="preserve">Prevederile lit.(b) aferente orientărilor CERS, se vor regăsi în proiectul de modificare a </w:t>
            </w:r>
            <w:r w:rsidRPr="009E686F">
              <w:rPr>
                <w:rFonts w:ascii="Times New Roman" w:hAnsi="Times New Roman" w:cs="Times New Roman"/>
                <w:lang w:val="ro-RO"/>
              </w:rPr>
              <w:lastRenderedPageBreak/>
              <w:t>Regulamentului cu privire la amortizoarele de capital ale băncilor, aprobat prin HCE nr. 110/2018</w:t>
            </w:r>
            <w:r w:rsidR="0008435A" w:rsidRPr="009E686F">
              <w:rPr>
                <w:rFonts w:ascii="Times New Roman" w:hAnsi="Times New Roman" w:cs="Times New Roman"/>
                <w:lang w:val="ro-RO"/>
              </w:rPr>
              <w:t xml:space="preserve"> (</w:t>
            </w:r>
            <w:r w:rsidR="0008435A" w:rsidRPr="009E686F">
              <w:rPr>
                <w:rFonts w:ascii="Times New Roman" w:eastAsia="Times New Roman" w:hAnsi="Times New Roman" w:cs="Times New Roman"/>
                <w:bCs/>
                <w:lang w:val="it-CH" w:eastAsia="ru-RU"/>
              </w:rPr>
              <w:t>acțiunea normativă nr. 3 din Anexa A din PNA 2025-2029 aferentă Capitolului 9 “Servicii financiare” în legătură cu transpunerea Directivei 2013/36/UE).</w:t>
            </w:r>
          </w:p>
        </w:tc>
      </w:tr>
      <w:tr w:rsidR="00984B34" w:rsidRPr="009E686F" w14:paraId="3AB656C2" w14:textId="7DD356D2" w:rsidTr="00774F3E">
        <w:tc>
          <w:tcPr>
            <w:tcW w:w="1796" w:type="pct"/>
            <w:gridSpan w:val="2"/>
            <w:tcBorders>
              <w:top w:val="single" w:sz="4" w:space="0" w:color="auto"/>
              <w:left w:val="single" w:sz="4" w:space="0" w:color="auto"/>
              <w:bottom w:val="single" w:sz="4" w:space="0" w:color="auto"/>
              <w:right w:val="single" w:sz="4" w:space="0" w:color="auto"/>
            </w:tcBorders>
          </w:tcPr>
          <w:p w14:paraId="739812EF" w14:textId="2782B4F3"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lastRenderedPageBreak/>
              <w:t xml:space="preserve">(4) Rata amortizorului anticiclic, exprimată ca procentaj din cuantumul total al expunerilor la risc calculat în conformitate cu articolul 92 alineatul (3) din Regulamentul (UE) nr. 575/2013, a instituțiilor care au expuneri din credite în statul membru în cauză, se situează între 0 % și 2,5 %, calibrat în trepte de 0,25 puncte procentuale sau multipli de 0,25 puncte procentuale. </w:t>
            </w:r>
          </w:p>
          <w:p w14:paraId="2D1334CF"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În cazul în care acest lucru se justifică pe baza considerațiilor de la alineatul (3), o autoritate desemnată poate stabili o rată a amortizorului anticiclic mai mare de 2,5 % din cuantumul total al expunerilor la risc calculat în conformitate cu articolul 87 alineatul (3) din Regulamentul (UE) nr. 575/2013 în scopul prevăzut la articolul 140 alineatul (2) de la prezenta directivă.</w:t>
            </w:r>
          </w:p>
        </w:tc>
        <w:tc>
          <w:tcPr>
            <w:tcW w:w="1928" w:type="pct"/>
            <w:gridSpan w:val="3"/>
            <w:tcBorders>
              <w:top w:val="single" w:sz="4" w:space="0" w:color="auto"/>
              <w:left w:val="single" w:sz="4" w:space="0" w:color="auto"/>
              <w:bottom w:val="single" w:sz="4" w:space="0" w:color="auto"/>
              <w:right w:val="single" w:sz="4" w:space="0" w:color="auto"/>
            </w:tcBorders>
          </w:tcPr>
          <w:p w14:paraId="0DEC9991" w14:textId="65475296"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b/>
                <w:lang w:val="ro-RO"/>
              </w:rPr>
              <w:t>Pct. 31 și 32 din Regulamentul cu privire la amortizoarele de capital ale băncilor, aprobat prin HCE nr.110/2018</w:t>
            </w:r>
          </w:p>
          <w:p w14:paraId="7BDE7E75" w14:textId="77777777" w:rsidR="00984B34" w:rsidRPr="009E686F" w:rsidRDefault="00984B34" w:rsidP="00984B34">
            <w:pPr>
              <w:spacing w:after="0"/>
              <w:jc w:val="both"/>
              <w:rPr>
                <w:rFonts w:ascii="Times New Roman" w:hAnsi="Times New Roman" w:cs="Times New Roman"/>
                <w:bCs/>
                <w:lang w:val="ro-RO"/>
              </w:rPr>
            </w:pPr>
            <w:r w:rsidRPr="009E686F">
              <w:rPr>
                <w:rFonts w:ascii="Times New Roman" w:hAnsi="Times New Roman" w:cs="Times New Roman"/>
                <w:b/>
                <w:lang w:val="ro-RO"/>
              </w:rPr>
              <w:t>31.</w:t>
            </w:r>
            <w:r w:rsidRPr="009E686F">
              <w:rPr>
                <w:rFonts w:ascii="Times New Roman" w:hAnsi="Times New Roman" w:cs="Times New Roman"/>
                <w:bCs/>
                <w:lang w:val="ro-RO"/>
              </w:rPr>
              <w:t xml:space="preserve"> Rata amortizorului anticiclic, exprimată ca procentaj din valoarea totală a expunerii la risc, se stabilește între 0% și 2,5%, calibrată în trepte de 0,25 puncte procentuale sau multipli de 0,25 puncte procentuale. </w:t>
            </w:r>
          </w:p>
          <w:p w14:paraId="610437DB" w14:textId="77777777" w:rsidR="00984B34" w:rsidRPr="009E686F" w:rsidRDefault="00984B34" w:rsidP="00984B34">
            <w:pPr>
              <w:spacing w:after="0"/>
              <w:jc w:val="both"/>
              <w:rPr>
                <w:rFonts w:ascii="Times New Roman" w:hAnsi="Times New Roman" w:cs="Times New Roman"/>
                <w:bCs/>
                <w:lang w:val="ro-RO"/>
              </w:rPr>
            </w:pPr>
            <w:r w:rsidRPr="009E686F">
              <w:rPr>
                <w:rFonts w:ascii="Times New Roman" w:hAnsi="Times New Roman" w:cs="Times New Roman"/>
                <w:b/>
                <w:lang w:val="ro-RO"/>
              </w:rPr>
              <w:t>32.</w:t>
            </w:r>
            <w:r w:rsidRPr="009E686F">
              <w:rPr>
                <w:rFonts w:ascii="Times New Roman" w:hAnsi="Times New Roman" w:cs="Times New Roman"/>
                <w:bCs/>
                <w:lang w:val="ro-RO"/>
              </w:rPr>
              <w:t xml:space="preserve"> În cazuri justificate pe baza considerațiilor prevăzute la punctul 30, Banca Națională a Moldovei poate stabili o rată a amortizorului anticiclic mai mare de 2,5% din cuantumul total al expunerii la risc.</w:t>
            </w:r>
          </w:p>
          <w:p w14:paraId="5B39C0AC" w14:textId="7C382E83" w:rsidR="00984B34" w:rsidRPr="009E686F" w:rsidRDefault="00984B34" w:rsidP="00984B34">
            <w:pPr>
              <w:spacing w:after="0"/>
              <w:jc w:val="both"/>
              <w:rPr>
                <w:rFonts w:ascii="Times New Roman" w:hAnsi="Times New Roman" w:cs="Times New Roman"/>
                <w:lang w:val="ro-RO"/>
              </w:rPr>
            </w:pPr>
          </w:p>
        </w:tc>
        <w:tc>
          <w:tcPr>
            <w:tcW w:w="470" w:type="pct"/>
            <w:tcBorders>
              <w:top w:val="single" w:sz="4" w:space="0" w:color="auto"/>
              <w:left w:val="single" w:sz="4" w:space="0" w:color="auto"/>
              <w:bottom w:val="single" w:sz="4" w:space="0" w:color="auto"/>
              <w:right w:val="single" w:sz="4" w:space="0" w:color="auto"/>
            </w:tcBorders>
          </w:tcPr>
          <w:p w14:paraId="29C25EA0" w14:textId="1A6F3120"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 xml:space="preserve">Parțial compatibil </w:t>
            </w:r>
          </w:p>
          <w:p w14:paraId="51A17946" w14:textId="197EA537"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44635687" w14:textId="0674FFE6" w:rsidR="00984B34" w:rsidRPr="009E686F" w:rsidRDefault="00984B34" w:rsidP="00984B34">
            <w:pPr>
              <w:rPr>
                <w:rFonts w:ascii="Times New Roman" w:hAnsi="Times New Roman" w:cs="Times New Roman"/>
                <w:lang w:val="ro-RO"/>
              </w:rPr>
            </w:pPr>
            <w:r w:rsidRPr="009E686F">
              <w:rPr>
                <w:rFonts w:ascii="Times New Roman" w:hAnsi="Times New Roman" w:cs="Times New Roman"/>
                <w:lang w:val="ro-RO"/>
              </w:rPr>
              <w:t>Prevederile se vor transpune integral prin proiectul de modificare a Regulamentului cu privire la amortizoarele de capital ale băncilor, aprobat prin HCE nr. 110/2018</w:t>
            </w:r>
            <w:r w:rsidR="0008435A" w:rsidRPr="009E686F">
              <w:rPr>
                <w:rFonts w:ascii="Times New Roman" w:hAnsi="Times New Roman" w:cs="Times New Roman"/>
                <w:lang w:val="ro-RO"/>
              </w:rPr>
              <w:t xml:space="preserve"> (</w:t>
            </w:r>
            <w:r w:rsidR="0008435A" w:rsidRPr="009E686F">
              <w:rPr>
                <w:rFonts w:ascii="Times New Roman" w:eastAsia="Times New Roman" w:hAnsi="Times New Roman" w:cs="Times New Roman"/>
                <w:bCs/>
                <w:lang w:val="it-CH" w:eastAsia="ru-RU"/>
              </w:rPr>
              <w:t>acțiunea normativă nr. 3 din Anexa A din PNA 2025-2029 aferentă Capitolului 9 “Servicii financiare” în legătură cu transpunerea Directivei 2013/36/UE).</w:t>
            </w:r>
          </w:p>
          <w:p w14:paraId="7C29D8BC" w14:textId="77777777" w:rsidR="00984B34" w:rsidRPr="009E686F" w:rsidRDefault="00984B34" w:rsidP="00984B34">
            <w:pPr>
              <w:jc w:val="both"/>
              <w:rPr>
                <w:rFonts w:ascii="Times New Roman" w:hAnsi="Times New Roman" w:cs="Times New Roman"/>
                <w:lang w:val="ro-RO"/>
              </w:rPr>
            </w:pPr>
          </w:p>
        </w:tc>
      </w:tr>
      <w:tr w:rsidR="00984B34" w:rsidRPr="009E686F" w14:paraId="0A09291D" w14:textId="0C001A14" w:rsidTr="00774F3E">
        <w:tc>
          <w:tcPr>
            <w:tcW w:w="1796" w:type="pct"/>
            <w:gridSpan w:val="2"/>
            <w:tcBorders>
              <w:top w:val="single" w:sz="4" w:space="0" w:color="auto"/>
              <w:left w:val="single" w:sz="4" w:space="0" w:color="auto"/>
              <w:bottom w:val="single" w:sz="4" w:space="0" w:color="auto"/>
              <w:right w:val="single" w:sz="4" w:space="0" w:color="auto"/>
            </w:tcBorders>
          </w:tcPr>
          <w:p w14:paraId="144248BF" w14:textId="06143CA9"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lastRenderedPageBreak/>
              <w:t>(5) În cazul în care o autoritate stabilește pentru prima dată o rată a amortizorului anticiclic mai mare de zero sau în cazul în care o autoritate desemnată crește rata amortizorului anticiclic în vigoare la acel moment, aceasta decide de asemenea data de la care instituțiile trebuie să aplice amortizorul majorat în scopul calculării amortizorului anticiclic de capital specific instituției. Data în cauză nu depășește 12 luni de la data la care stabilirea amortizorului majorat a fost anunțată în conformitate cu alineatul (7). Dacă data este înainte de 12 luni de la data la care s-a anunțat stabilirea amortizorului majorat, termenul mai scurt pentru punerea în aplicare se justifică pe baza unor circumstanțe excepționale.</w:t>
            </w:r>
          </w:p>
        </w:tc>
        <w:tc>
          <w:tcPr>
            <w:tcW w:w="1928" w:type="pct"/>
            <w:gridSpan w:val="3"/>
            <w:tcBorders>
              <w:top w:val="single" w:sz="4" w:space="0" w:color="auto"/>
              <w:left w:val="single" w:sz="4" w:space="0" w:color="auto"/>
              <w:bottom w:val="single" w:sz="4" w:space="0" w:color="auto"/>
              <w:right w:val="single" w:sz="4" w:space="0" w:color="auto"/>
            </w:tcBorders>
          </w:tcPr>
          <w:p w14:paraId="79827CB6" w14:textId="1F658F0D"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b/>
                <w:lang w:val="ro-RO"/>
              </w:rPr>
              <w:t>Pct. 33 și 34 din Regulamentul cu privire la amortizoarele de capital ale băncilor, aprobat prin HCE nr.110/2018</w:t>
            </w:r>
          </w:p>
          <w:p w14:paraId="2B9D4E37" w14:textId="77777777" w:rsidR="00984B34" w:rsidRPr="009E686F" w:rsidRDefault="00984B34" w:rsidP="00984B34">
            <w:pPr>
              <w:spacing w:after="0"/>
              <w:jc w:val="both"/>
              <w:rPr>
                <w:rFonts w:ascii="Times New Roman" w:hAnsi="Times New Roman" w:cs="Times New Roman"/>
                <w:bCs/>
                <w:lang w:val="ro-RO"/>
              </w:rPr>
            </w:pPr>
            <w:r w:rsidRPr="009E686F">
              <w:rPr>
                <w:rFonts w:ascii="Times New Roman" w:hAnsi="Times New Roman" w:cs="Times New Roman"/>
                <w:b/>
                <w:lang w:val="ro-RO"/>
              </w:rPr>
              <w:t xml:space="preserve">33. </w:t>
            </w:r>
            <w:r w:rsidRPr="009E686F">
              <w:rPr>
                <w:rFonts w:ascii="Times New Roman" w:hAnsi="Times New Roman" w:cs="Times New Roman"/>
                <w:bCs/>
                <w:lang w:val="ro-RO"/>
              </w:rPr>
              <w:t>În cazul în care Banca Națională a Moldovei stabilește rata amortizorului anticiclic pentru Republica Moldova pentru prima dată la un nivel mai mare de zero sau majorează rata deja impusă a amortizorului în cauză, de asemenea aceasta stabilește data de la care amortizorul majorat trebuie să fie aplicat în scopul calculării amortizorului anticiclic de capital specific băncii. Data în cauză nu poate depăși, 12 luni de la data la care rata majorată a amortizorului anticiclic este publicată în conformitate cu punctul 5.</w:t>
            </w:r>
          </w:p>
          <w:p w14:paraId="2AEE2C0F" w14:textId="4205F485" w:rsidR="00984B34" w:rsidRPr="009E686F" w:rsidRDefault="00984B34" w:rsidP="00984B34">
            <w:pPr>
              <w:spacing w:after="0"/>
              <w:jc w:val="both"/>
              <w:rPr>
                <w:rFonts w:ascii="Times New Roman" w:hAnsi="Times New Roman" w:cs="Times New Roman"/>
                <w:bCs/>
                <w:lang w:val="ro-RO"/>
              </w:rPr>
            </w:pPr>
            <w:r w:rsidRPr="009E686F">
              <w:rPr>
                <w:rFonts w:ascii="Times New Roman" w:hAnsi="Times New Roman" w:cs="Times New Roman"/>
                <w:b/>
                <w:lang w:val="ro-RO"/>
              </w:rPr>
              <w:t>34.</w:t>
            </w:r>
            <w:r w:rsidRPr="009E686F">
              <w:rPr>
                <w:rFonts w:ascii="Times New Roman" w:hAnsi="Times New Roman" w:cs="Times New Roman"/>
                <w:bCs/>
                <w:lang w:val="ro-RO"/>
              </w:rPr>
              <w:t xml:space="preserve"> În cazul în care data menționată la punctul 33 este înainte de 12 luni de la data la care rata majorată a amortizorului anticiclic este publicată, termenul mai scurt pentru punerea în aplicare se justifică pe baza unor circumstanțe excepționale.</w:t>
            </w:r>
          </w:p>
        </w:tc>
        <w:tc>
          <w:tcPr>
            <w:tcW w:w="470" w:type="pct"/>
            <w:tcBorders>
              <w:top w:val="single" w:sz="4" w:space="0" w:color="auto"/>
              <w:left w:val="single" w:sz="4" w:space="0" w:color="auto"/>
              <w:bottom w:val="single" w:sz="4" w:space="0" w:color="auto"/>
              <w:right w:val="single" w:sz="4" w:space="0" w:color="auto"/>
            </w:tcBorders>
          </w:tcPr>
          <w:p w14:paraId="210A02A2" w14:textId="77777777"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 xml:space="preserve">Compatibil </w:t>
            </w:r>
          </w:p>
          <w:p w14:paraId="0E1D0302" w14:textId="5039301C"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20E97D7D" w14:textId="77777777" w:rsidR="00984B34" w:rsidRPr="009E686F" w:rsidRDefault="00984B34" w:rsidP="00984B34">
            <w:pPr>
              <w:jc w:val="both"/>
              <w:rPr>
                <w:rFonts w:ascii="Times New Roman" w:hAnsi="Times New Roman" w:cs="Times New Roman"/>
                <w:lang w:val="ro-RO"/>
              </w:rPr>
            </w:pPr>
          </w:p>
        </w:tc>
      </w:tr>
      <w:tr w:rsidR="00984B34" w:rsidRPr="009E686F" w14:paraId="3EC8C9AD"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3CC9A390" w14:textId="37783FA9"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(6) Dacă o autoritate desemnată reduce rata existentă a amortizorului anticiclic, fie că este sau nu redus la zero, aceasta stabilește de asemenea o perioadă orientativă pentru care nu se preconizează nicio creștere a amortizorului. Totuși, perioada orientativă în cauză nu angajează autoritatea desemnată.</w:t>
            </w:r>
          </w:p>
        </w:tc>
        <w:tc>
          <w:tcPr>
            <w:tcW w:w="1928" w:type="pct"/>
            <w:gridSpan w:val="3"/>
            <w:tcBorders>
              <w:top w:val="single" w:sz="4" w:space="0" w:color="auto"/>
              <w:left w:val="single" w:sz="4" w:space="0" w:color="auto"/>
              <w:bottom w:val="single" w:sz="4" w:space="0" w:color="auto"/>
              <w:right w:val="single" w:sz="4" w:space="0" w:color="auto"/>
            </w:tcBorders>
          </w:tcPr>
          <w:p w14:paraId="7FC1F7E9" w14:textId="77777777"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b/>
                <w:lang w:val="ro-RO"/>
              </w:rPr>
              <w:t>Pct. 35 din Regulamentul cu privire la amortizoarele de capital ale băncilor, aprobat prin HCE nr.110/2018</w:t>
            </w:r>
          </w:p>
          <w:p w14:paraId="1E9497F7" w14:textId="4F50AE50"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b/>
                <w:lang w:val="ro-RO"/>
              </w:rPr>
              <w:t>35.</w:t>
            </w:r>
            <w:r w:rsidRPr="009E686F">
              <w:rPr>
                <w:rFonts w:ascii="Times New Roman" w:hAnsi="Times New Roman" w:cs="Times New Roman"/>
                <w:bCs/>
                <w:lang w:val="ro-RO"/>
              </w:rPr>
              <w:t xml:space="preserve"> În cazul în care Banca Naţională a Moldovei reduce nivelul ratei existente a amortizorului anticiclic, inclusiv al ratei neutre pozitive, în mod gradual sau până la 0%, în condiţiile materializării riscului sistemic ciclic, se stabileşte de asemenea o perioadă orientativă în decursul căreia nu se preconizează nicio creştere a amortizorului. Stabilirea perioadei orientative nu reprezintă un angajament pentru Banca Naţională a Moldovei.</w:t>
            </w:r>
          </w:p>
        </w:tc>
        <w:tc>
          <w:tcPr>
            <w:tcW w:w="470" w:type="pct"/>
            <w:tcBorders>
              <w:top w:val="single" w:sz="4" w:space="0" w:color="auto"/>
              <w:left w:val="single" w:sz="4" w:space="0" w:color="auto"/>
              <w:bottom w:val="single" w:sz="4" w:space="0" w:color="auto"/>
              <w:right w:val="single" w:sz="4" w:space="0" w:color="auto"/>
            </w:tcBorders>
          </w:tcPr>
          <w:p w14:paraId="35314E1C" w14:textId="77777777"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p w14:paraId="4596B19A" w14:textId="77777777"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412836BD" w14:textId="77777777" w:rsidR="00984B34" w:rsidRPr="009E686F" w:rsidRDefault="00984B34" w:rsidP="00984B34">
            <w:pPr>
              <w:jc w:val="both"/>
              <w:rPr>
                <w:rFonts w:ascii="Times New Roman" w:hAnsi="Times New Roman" w:cs="Times New Roman"/>
                <w:lang w:val="ro-RO"/>
              </w:rPr>
            </w:pPr>
          </w:p>
        </w:tc>
      </w:tr>
      <w:tr w:rsidR="00984B34" w:rsidRPr="009E686F" w14:paraId="0B202CDB"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202F10FE"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(7) Fiecare autoritate desemnată publică trimestrial pe site-ul său internet cel puțin următoarele informații: </w:t>
            </w:r>
          </w:p>
          <w:p w14:paraId="0E4C3B5B" w14:textId="4E1BEBBA"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(a) rata aplicabilă a amortizorului anticiclic;</w:t>
            </w:r>
          </w:p>
          <w:p w14:paraId="09D83F1D" w14:textId="72496394" w:rsidR="00984B34" w:rsidRPr="009E686F" w:rsidRDefault="00984B34" w:rsidP="00984B34">
            <w:pPr>
              <w:spacing w:after="0"/>
              <w:jc w:val="both"/>
              <w:rPr>
                <w:rFonts w:ascii="Times New Roman" w:hAnsi="Times New Roman" w:cs="Times New Roman"/>
                <w:lang w:val="ro-RO"/>
              </w:rPr>
            </w:pPr>
          </w:p>
        </w:tc>
        <w:tc>
          <w:tcPr>
            <w:tcW w:w="1928" w:type="pct"/>
            <w:gridSpan w:val="3"/>
            <w:tcBorders>
              <w:top w:val="single" w:sz="4" w:space="0" w:color="auto"/>
              <w:left w:val="single" w:sz="4" w:space="0" w:color="auto"/>
              <w:bottom w:val="single" w:sz="4" w:space="0" w:color="auto"/>
              <w:right w:val="single" w:sz="4" w:space="0" w:color="auto"/>
            </w:tcBorders>
          </w:tcPr>
          <w:p w14:paraId="6733B9A8" w14:textId="77777777"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b/>
                <w:lang w:val="ro-RO"/>
              </w:rPr>
              <w:t>Pct. 36 din Regulamentul cu privire la amortizoarele de capital ale băncilor, aprobat prin HCE nr.110/2018</w:t>
            </w:r>
          </w:p>
          <w:p w14:paraId="5A4895BB" w14:textId="77777777" w:rsidR="00984B34" w:rsidRPr="009E686F" w:rsidRDefault="00984B34" w:rsidP="00984B34">
            <w:pPr>
              <w:spacing w:after="0"/>
              <w:jc w:val="both"/>
              <w:rPr>
                <w:rFonts w:ascii="Times New Roman" w:hAnsi="Times New Roman" w:cs="Times New Roman"/>
                <w:bCs/>
                <w:lang w:val="ro-RO"/>
              </w:rPr>
            </w:pPr>
            <w:r w:rsidRPr="009E686F">
              <w:rPr>
                <w:rFonts w:ascii="Times New Roman" w:hAnsi="Times New Roman" w:cs="Times New Roman"/>
                <w:b/>
                <w:lang w:val="ro-RO"/>
              </w:rPr>
              <w:t>36.</w:t>
            </w:r>
            <w:r w:rsidRPr="009E686F">
              <w:rPr>
                <w:rFonts w:ascii="Times New Roman" w:hAnsi="Times New Roman" w:cs="Times New Roman"/>
                <w:bCs/>
                <w:lang w:val="ro-RO"/>
              </w:rPr>
              <w:t xml:space="preserve"> Banca Națională a Moldovei, anunță trimestrial, prin publicare pe pagina-web oficială, rata stabilită a amortizorului anticiclic pentru Republica Moldova. Anunțul include cel puțin următoarele informații:</w:t>
            </w:r>
          </w:p>
          <w:p w14:paraId="47F9F441" w14:textId="34E3E38C"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bCs/>
                <w:lang w:val="ro-RO"/>
              </w:rPr>
              <w:t>1) rata aplicabilă a amortizorului anticiclic;</w:t>
            </w:r>
          </w:p>
        </w:tc>
        <w:tc>
          <w:tcPr>
            <w:tcW w:w="470" w:type="pct"/>
            <w:tcBorders>
              <w:top w:val="single" w:sz="4" w:space="0" w:color="auto"/>
              <w:left w:val="single" w:sz="4" w:space="0" w:color="auto"/>
              <w:bottom w:val="single" w:sz="4" w:space="0" w:color="auto"/>
              <w:right w:val="single" w:sz="4" w:space="0" w:color="auto"/>
            </w:tcBorders>
          </w:tcPr>
          <w:p w14:paraId="5B1C4EB5" w14:textId="67B2F4C1"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68046193" w14:textId="77777777" w:rsidR="00984B34" w:rsidRPr="009E686F" w:rsidRDefault="00984B34" w:rsidP="00984B34">
            <w:pPr>
              <w:jc w:val="both"/>
              <w:rPr>
                <w:rFonts w:ascii="Times New Roman" w:hAnsi="Times New Roman" w:cs="Times New Roman"/>
                <w:lang w:val="ro-RO"/>
              </w:rPr>
            </w:pPr>
          </w:p>
        </w:tc>
      </w:tr>
      <w:tr w:rsidR="00984B34" w:rsidRPr="009E686F" w14:paraId="30EB717C"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20A3EFF2"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lastRenderedPageBreak/>
              <w:t>(d) indicatorul credit/PIB relevant și abaterea acestuia de la tendința pe termen lung;</w:t>
            </w:r>
          </w:p>
          <w:p w14:paraId="5B3A3004" w14:textId="77777777" w:rsidR="00984B34" w:rsidRPr="009E686F" w:rsidRDefault="00984B34" w:rsidP="00984B34">
            <w:pPr>
              <w:spacing w:after="0"/>
              <w:jc w:val="both"/>
              <w:rPr>
                <w:rFonts w:ascii="Times New Roman" w:hAnsi="Times New Roman" w:cs="Times New Roman"/>
                <w:lang w:val="ro-RO"/>
              </w:rPr>
            </w:pPr>
          </w:p>
        </w:tc>
        <w:tc>
          <w:tcPr>
            <w:tcW w:w="1928" w:type="pct"/>
            <w:gridSpan w:val="3"/>
            <w:tcBorders>
              <w:top w:val="single" w:sz="4" w:space="0" w:color="auto"/>
              <w:left w:val="single" w:sz="4" w:space="0" w:color="auto"/>
              <w:bottom w:val="single" w:sz="4" w:space="0" w:color="auto"/>
              <w:right w:val="single" w:sz="4" w:space="0" w:color="auto"/>
            </w:tcBorders>
          </w:tcPr>
          <w:p w14:paraId="6250F413" w14:textId="4A0D4036" w:rsidR="00984B34" w:rsidRPr="009E686F" w:rsidRDefault="00984B34" w:rsidP="00984B34">
            <w:pPr>
              <w:spacing w:after="0"/>
              <w:jc w:val="both"/>
              <w:rPr>
                <w:rFonts w:ascii="Times New Roman" w:hAnsi="Times New Roman" w:cs="Times New Roman"/>
                <w:bCs/>
                <w:i/>
                <w:iCs/>
                <w:lang w:val="ro-RO"/>
              </w:rPr>
            </w:pPr>
            <w:r w:rsidRPr="009E686F">
              <w:rPr>
                <w:rFonts w:ascii="Times New Roman" w:hAnsi="Times New Roman" w:cs="Times New Roman"/>
                <w:bCs/>
                <w:lang w:val="ro-RO"/>
              </w:rPr>
              <w:t>2) raportul relevant „credite acordate sectorului privat /produsul intern brut” și deviația acestuia de la tendința pe termen lung;</w:t>
            </w:r>
          </w:p>
        </w:tc>
        <w:tc>
          <w:tcPr>
            <w:tcW w:w="470" w:type="pct"/>
            <w:tcBorders>
              <w:top w:val="single" w:sz="4" w:space="0" w:color="auto"/>
              <w:left w:val="single" w:sz="4" w:space="0" w:color="auto"/>
              <w:bottom w:val="single" w:sz="4" w:space="0" w:color="auto"/>
              <w:right w:val="single" w:sz="4" w:space="0" w:color="auto"/>
            </w:tcBorders>
          </w:tcPr>
          <w:p w14:paraId="56B068F3" w14:textId="57648BD2"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48B70945" w14:textId="77777777" w:rsidR="00984B34" w:rsidRPr="009E686F" w:rsidRDefault="00984B34" w:rsidP="00984B34">
            <w:pPr>
              <w:jc w:val="both"/>
              <w:rPr>
                <w:rFonts w:ascii="Times New Roman" w:hAnsi="Times New Roman" w:cs="Times New Roman"/>
                <w:lang w:val="ro-RO"/>
              </w:rPr>
            </w:pPr>
          </w:p>
        </w:tc>
      </w:tr>
      <w:tr w:rsidR="00984B34" w:rsidRPr="009E686F" w14:paraId="35127D2A"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332D5A54" w14:textId="7BE52625"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(c) referențialul pentru amortizor, calculat în conformitate cu alineatul (2);</w:t>
            </w:r>
          </w:p>
        </w:tc>
        <w:tc>
          <w:tcPr>
            <w:tcW w:w="1928" w:type="pct"/>
            <w:gridSpan w:val="3"/>
            <w:tcBorders>
              <w:top w:val="single" w:sz="4" w:space="0" w:color="auto"/>
              <w:left w:val="single" w:sz="4" w:space="0" w:color="auto"/>
              <w:bottom w:val="single" w:sz="4" w:space="0" w:color="auto"/>
              <w:right w:val="single" w:sz="4" w:space="0" w:color="auto"/>
            </w:tcBorders>
          </w:tcPr>
          <w:p w14:paraId="6DEF0FD8" w14:textId="61F35EE8" w:rsidR="00984B34" w:rsidRPr="009E686F" w:rsidRDefault="00984B34" w:rsidP="00984B34">
            <w:pPr>
              <w:spacing w:after="0"/>
              <w:jc w:val="both"/>
              <w:rPr>
                <w:rFonts w:ascii="Times New Roman" w:hAnsi="Times New Roman" w:cs="Times New Roman"/>
                <w:bCs/>
                <w:i/>
                <w:iCs/>
                <w:lang w:val="ro-RO"/>
              </w:rPr>
            </w:pPr>
            <w:r w:rsidRPr="009E686F">
              <w:rPr>
                <w:rFonts w:ascii="Times New Roman" w:hAnsi="Times New Roman" w:cs="Times New Roman"/>
                <w:bCs/>
                <w:lang w:val="ro-RO"/>
              </w:rPr>
              <w:t>3) referențialul pentru amortizor, calculat în conformitate cu punctul 29;</w:t>
            </w:r>
          </w:p>
        </w:tc>
        <w:tc>
          <w:tcPr>
            <w:tcW w:w="470" w:type="pct"/>
            <w:tcBorders>
              <w:top w:val="single" w:sz="4" w:space="0" w:color="auto"/>
              <w:left w:val="single" w:sz="4" w:space="0" w:color="auto"/>
              <w:bottom w:val="single" w:sz="4" w:space="0" w:color="auto"/>
              <w:right w:val="single" w:sz="4" w:space="0" w:color="auto"/>
            </w:tcBorders>
          </w:tcPr>
          <w:p w14:paraId="073FCEAD" w14:textId="4754CCDB"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35E88A68" w14:textId="77777777" w:rsidR="00984B34" w:rsidRPr="009E686F" w:rsidRDefault="00984B34" w:rsidP="00984B34">
            <w:pPr>
              <w:jc w:val="both"/>
              <w:rPr>
                <w:rFonts w:ascii="Times New Roman" w:hAnsi="Times New Roman" w:cs="Times New Roman"/>
                <w:lang w:val="ro-RO"/>
              </w:rPr>
            </w:pPr>
          </w:p>
        </w:tc>
      </w:tr>
      <w:tr w:rsidR="00984B34" w:rsidRPr="009E686F" w14:paraId="307EF59D"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6B4E3ADF" w14:textId="0A574DAD"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(d) o justificare a respectivei rate a amortizorului;</w:t>
            </w:r>
          </w:p>
        </w:tc>
        <w:tc>
          <w:tcPr>
            <w:tcW w:w="1928" w:type="pct"/>
            <w:gridSpan w:val="3"/>
            <w:tcBorders>
              <w:top w:val="single" w:sz="4" w:space="0" w:color="auto"/>
              <w:left w:val="single" w:sz="4" w:space="0" w:color="auto"/>
              <w:bottom w:val="single" w:sz="4" w:space="0" w:color="auto"/>
              <w:right w:val="single" w:sz="4" w:space="0" w:color="auto"/>
            </w:tcBorders>
          </w:tcPr>
          <w:p w14:paraId="333573A0" w14:textId="34D4062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bCs/>
                <w:lang w:val="ro-RO"/>
              </w:rPr>
              <w:t xml:space="preserve">4) o justificare a ratei a amortizorului anticiclic; </w:t>
            </w:r>
          </w:p>
        </w:tc>
        <w:tc>
          <w:tcPr>
            <w:tcW w:w="470" w:type="pct"/>
            <w:tcBorders>
              <w:top w:val="single" w:sz="4" w:space="0" w:color="auto"/>
              <w:left w:val="single" w:sz="4" w:space="0" w:color="auto"/>
              <w:bottom w:val="single" w:sz="4" w:space="0" w:color="auto"/>
              <w:right w:val="single" w:sz="4" w:space="0" w:color="auto"/>
            </w:tcBorders>
          </w:tcPr>
          <w:p w14:paraId="24A18948" w14:textId="77777777"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641C65EC" w14:textId="77777777" w:rsidR="00984B34" w:rsidRPr="009E686F" w:rsidRDefault="00984B34" w:rsidP="00984B34">
            <w:pPr>
              <w:jc w:val="both"/>
              <w:rPr>
                <w:rFonts w:ascii="Times New Roman" w:hAnsi="Times New Roman" w:cs="Times New Roman"/>
                <w:lang w:val="ro-RO"/>
              </w:rPr>
            </w:pPr>
          </w:p>
        </w:tc>
      </w:tr>
      <w:tr w:rsidR="00984B34" w:rsidRPr="009E686F" w14:paraId="6DC0A614"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679EA824" w14:textId="5B6E1C75"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(e) în cazul în care rata amortizorului este majorată, data de la care instituțiile  aplică rata majorată a amortizorului în scopul calculării amortizorului anticiclic de capital specific instituției;</w:t>
            </w:r>
          </w:p>
        </w:tc>
        <w:tc>
          <w:tcPr>
            <w:tcW w:w="1928" w:type="pct"/>
            <w:gridSpan w:val="3"/>
            <w:tcBorders>
              <w:top w:val="single" w:sz="4" w:space="0" w:color="auto"/>
              <w:left w:val="single" w:sz="4" w:space="0" w:color="auto"/>
              <w:bottom w:val="single" w:sz="4" w:space="0" w:color="auto"/>
              <w:right w:val="single" w:sz="4" w:space="0" w:color="auto"/>
            </w:tcBorders>
          </w:tcPr>
          <w:p w14:paraId="4CA54CC3" w14:textId="50F2A517" w:rsidR="00984B34" w:rsidRPr="009E686F" w:rsidRDefault="00984B34" w:rsidP="00984B34">
            <w:pPr>
              <w:spacing w:after="0"/>
              <w:jc w:val="both"/>
              <w:rPr>
                <w:rFonts w:ascii="Times New Roman" w:hAnsi="Times New Roman" w:cs="Times New Roman"/>
                <w:bCs/>
                <w:i/>
                <w:iCs/>
                <w:lang w:val="ro-RO"/>
              </w:rPr>
            </w:pPr>
            <w:r w:rsidRPr="009E686F">
              <w:rPr>
                <w:rFonts w:ascii="Times New Roman" w:hAnsi="Times New Roman" w:cs="Times New Roman"/>
                <w:bCs/>
                <w:lang w:val="ro-RO"/>
              </w:rPr>
              <w:t>5) în cazul în care rata amortizorului anticiclic este majorată - data de la care trebuie să fie aplicată rata majorată în scopul calculării amortizorului anticiclic de capital specific băncii;</w:t>
            </w:r>
          </w:p>
        </w:tc>
        <w:tc>
          <w:tcPr>
            <w:tcW w:w="470" w:type="pct"/>
            <w:tcBorders>
              <w:top w:val="single" w:sz="4" w:space="0" w:color="auto"/>
              <w:left w:val="single" w:sz="4" w:space="0" w:color="auto"/>
              <w:bottom w:val="single" w:sz="4" w:space="0" w:color="auto"/>
              <w:right w:val="single" w:sz="4" w:space="0" w:color="auto"/>
            </w:tcBorders>
          </w:tcPr>
          <w:p w14:paraId="7C7EACF4" w14:textId="13DC1FFA"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22BDFDDC" w14:textId="77777777" w:rsidR="00984B34" w:rsidRPr="009E686F" w:rsidRDefault="00984B34" w:rsidP="00984B34">
            <w:pPr>
              <w:jc w:val="both"/>
              <w:rPr>
                <w:rFonts w:ascii="Times New Roman" w:hAnsi="Times New Roman" w:cs="Times New Roman"/>
                <w:lang w:val="ro-RO"/>
              </w:rPr>
            </w:pPr>
          </w:p>
        </w:tc>
      </w:tr>
      <w:tr w:rsidR="00984B34" w:rsidRPr="009E686F" w14:paraId="04F06537"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1BB9614D" w14:textId="5E03FAA3"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(f) în cazul în care data menționată la litera (e) este înainte de 12 luni de la data publicării prevăzute la prezentul alineat, o trimitere la circumstanțele excepționale care justifică reducerea termenului de punere în aplicare;</w:t>
            </w:r>
          </w:p>
        </w:tc>
        <w:tc>
          <w:tcPr>
            <w:tcW w:w="1928" w:type="pct"/>
            <w:gridSpan w:val="3"/>
            <w:tcBorders>
              <w:top w:val="single" w:sz="4" w:space="0" w:color="auto"/>
              <w:left w:val="single" w:sz="4" w:space="0" w:color="auto"/>
              <w:bottom w:val="single" w:sz="4" w:space="0" w:color="auto"/>
              <w:right w:val="single" w:sz="4" w:space="0" w:color="auto"/>
            </w:tcBorders>
          </w:tcPr>
          <w:p w14:paraId="4D33301B"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bCs/>
                <w:lang w:val="ro-RO"/>
              </w:rPr>
              <w:t xml:space="preserve">6) în cazul în care data menționată la subpunctul 5) este înainte de 12 luni de la data publicării hotărârii conform punctului 5 - o trimitere la circumstanțele excepționale care justifică reducerea termenului de punere în aplicare; </w:t>
            </w:r>
          </w:p>
          <w:p w14:paraId="31D6797A" w14:textId="77777777" w:rsidR="00984B34" w:rsidRPr="009E686F" w:rsidRDefault="00984B34" w:rsidP="00984B34">
            <w:pPr>
              <w:spacing w:after="0"/>
              <w:jc w:val="both"/>
              <w:rPr>
                <w:rFonts w:ascii="Times New Roman" w:hAnsi="Times New Roman" w:cs="Times New Roman"/>
                <w:bCs/>
                <w:i/>
                <w:iCs/>
                <w:lang w:val="ro-RO"/>
              </w:rPr>
            </w:pPr>
          </w:p>
        </w:tc>
        <w:tc>
          <w:tcPr>
            <w:tcW w:w="470" w:type="pct"/>
            <w:tcBorders>
              <w:top w:val="single" w:sz="4" w:space="0" w:color="auto"/>
              <w:left w:val="single" w:sz="4" w:space="0" w:color="auto"/>
              <w:bottom w:val="single" w:sz="4" w:space="0" w:color="auto"/>
              <w:right w:val="single" w:sz="4" w:space="0" w:color="auto"/>
            </w:tcBorders>
          </w:tcPr>
          <w:p w14:paraId="0BFF0122" w14:textId="28D39F65"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50DB3796" w14:textId="77777777" w:rsidR="00984B34" w:rsidRPr="009E686F" w:rsidRDefault="00984B34" w:rsidP="00984B34">
            <w:pPr>
              <w:jc w:val="both"/>
              <w:rPr>
                <w:rFonts w:ascii="Times New Roman" w:hAnsi="Times New Roman" w:cs="Times New Roman"/>
                <w:lang w:val="ro-RO"/>
              </w:rPr>
            </w:pPr>
          </w:p>
        </w:tc>
      </w:tr>
      <w:tr w:rsidR="00984B34" w:rsidRPr="009E686F" w14:paraId="410C3718"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446E1F90" w14:textId="047E0AE6"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(g) în cazul în care rata amortizorului este redusă, perioada orientativă pentru care nu se preconizează nicio majorare, împreună cu o justificare pentru perioada respectivă.</w:t>
            </w:r>
          </w:p>
        </w:tc>
        <w:tc>
          <w:tcPr>
            <w:tcW w:w="1928" w:type="pct"/>
            <w:gridSpan w:val="3"/>
            <w:tcBorders>
              <w:top w:val="single" w:sz="4" w:space="0" w:color="auto"/>
              <w:left w:val="single" w:sz="4" w:space="0" w:color="auto"/>
              <w:bottom w:val="single" w:sz="4" w:space="0" w:color="auto"/>
              <w:right w:val="single" w:sz="4" w:space="0" w:color="auto"/>
            </w:tcBorders>
          </w:tcPr>
          <w:p w14:paraId="4FBDA47D" w14:textId="0FE87A72" w:rsidR="00984B34" w:rsidRPr="009E686F" w:rsidRDefault="00984B34" w:rsidP="00984B34">
            <w:pPr>
              <w:spacing w:after="0"/>
              <w:jc w:val="both"/>
              <w:rPr>
                <w:rFonts w:ascii="Times New Roman" w:hAnsi="Times New Roman" w:cs="Times New Roman"/>
                <w:bCs/>
                <w:i/>
                <w:iCs/>
                <w:lang w:val="ro-RO"/>
              </w:rPr>
            </w:pPr>
            <w:r w:rsidRPr="009E686F">
              <w:rPr>
                <w:rFonts w:ascii="Times New Roman" w:hAnsi="Times New Roman" w:cs="Times New Roman"/>
                <w:bCs/>
                <w:lang w:val="ro-RO"/>
              </w:rPr>
              <w:t>7) în cazul în care rata amortizorului anticiclic este redusă, perioada orientativă în decursul căreia nu se preconizează nicio majorare a ratei, împreună cu o justificare a acestei perioade.</w:t>
            </w:r>
          </w:p>
        </w:tc>
        <w:tc>
          <w:tcPr>
            <w:tcW w:w="470" w:type="pct"/>
            <w:tcBorders>
              <w:top w:val="single" w:sz="4" w:space="0" w:color="auto"/>
              <w:left w:val="single" w:sz="4" w:space="0" w:color="auto"/>
              <w:bottom w:val="single" w:sz="4" w:space="0" w:color="auto"/>
              <w:right w:val="single" w:sz="4" w:space="0" w:color="auto"/>
            </w:tcBorders>
          </w:tcPr>
          <w:p w14:paraId="395C2CB2" w14:textId="58B91B67"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202B87FA" w14:textId="77777777" w:rsidR="00984B34" w:rsidRPr="009E686F" w:rsidRDefault="00984B34" w:rsidP="00984B34">
            <w:pPr>
              <w:jc w:val="both"/>
              <w:rPr>
                <w:rFonts w:ascii="Times New Roman" w:hAnsi="Times New Roman" w:cs="Times New Roman"/>
                <w:lang w:val="ro-RO"/>
              </w:rPr>
            </w:pPr>
          </w:p>
        </w:tc>
      </w:tr>
      <w:tr w:rsidR="00984B34" w:rsidRPr="009E686F" w14:paraId="0CC78607" w14:textId="5242B8E3" w:rsidTr="00774F3E">
        <w:tc>
          <w:tcPr>
            <w:tcW w:w="1796" w:type="pct"/>
            <w:gridSpan w:val="2"/>
            <w:tcBorders>
              <w:top w:val="single" w:sz="4" w:space="0" w:color="auto"/>
              <w:left w:val="single" w:sz="4" w:space="0" w:color="auto"/>
              <w:bottom w:val="single" w:sz="4" w:space="0" w:color="auto"/>
              <w:right w:val="single" w:sz="4" w:space="0" w:color="auto"/>
            </w:tcBorders>
          </w:tcPr>
          <w:p w14:paraId="154B1093" w14:textId="19A7C354"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Autoritățile desemnate iau toate măsurile rezonabile pentru a coordona momentul publicării informațiilor. </w:t>
            </w:r>
          </w:p>
          <w:p w14:paraId="49B26535" w14:textId="6A46367A"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Autoritățile desemnate notifică CERS fiecare modificare a ratei amortizorului anticiclic, precum și informațiile necesare specificate la literele (a)-(g) de la primul paragraf.</w:t>
            </w:r>
          </w:p>
        </w:tc>
        <w:tc>
          <w:tcPr>
            <w:tcW w:w="1928" w:type="pct"/>
            <w:gridSpan w:val="3"/>
            <w:tcBorders>
              <w:top w:val="single" w:sz="4" w:space="0" w:color="auto"/>
              <w:left w:val="single" w:sz="4" w:space="0" w:color="auto"/>
              <w:bottom w:val="single" w:sz="4" w:space="0" w:color="auto"/>
              <w:right w:val="single" w:sz="4" w:space="0" w:color="auto"/>
            </w:tcBorders>
          </w:tcPr>
          <w:p w14:paraId="7362A1E6"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29E9E373" w14:textId="6DD09798"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netranspuse</w:t>
            </w:r>
          </w:p>
        </w:tc>
        <w:tc>
          <w:tcPr>
            <w:tcW w:w="806" w:type="pct"/>
            <w:tcBorders>
              <w:top w:val="single" w:sz="4" w:space="0" w:color="auto"/>
              <w:left w:val="single" w:sz="4" w:space="0" w:color="auto"/>
              <w:bottom w:val="single" w:sz="4" w:space="0" w:color="auto"/>
              <w:right w:val="single" w:sz="4" w:space="0" w:color="auto"/>
            </w:tcBorders>
          </w:tcPr>
          <w:p w14:paraId="7C51846D" w14:textId="2C0CC5EB" w:rsidR="00984B34" w:rsidRPr="009E686F" w:rsidRDefault="00984B34" w:rsidP="00984B34">
            <w:pPr>
              <w:rPr>
                <w:rFonts w:ascii="Times New Roman" w:hAnsi="Times New Roman" w:cs="Times New Roman"/>
                <w:lang w:val="ro-RO"/>
              </w:rPr>
            </w:pPr>
            <w:r w:rsidRPr="009E686F">
              <w:rPr>
                <w:rFonts w:ascii="Times New Roman" w:hAnsi="Times New Roman" w:cs="Times New Roman"/>
                <w:lang w:val="ro-RO"/>
              </w:rPr>
              <w:t>Se vor regăsi în proiectul de modificare a Regulamentului cu privire la amortizoarele de capital ale băncilor, aprobat prin HCE nr. 110/2018</w:t>
            </w:r>
            <w:r w:rsidR="0008435A" w:rsidRPr="009E686F">
              <w:rPr>
                <w:rFonts w:ascii="Times New Roman" w:hAnsi="Times New Roman" w:cs="Times New Roman"/>
                <w:lang w:val="ro-RO"/>
              </w:rPr>
              <w:t xml:space="preserve"> (</w:t>
            </w:r>
            <w:r w:rsidR="0008435A" w:rsidRPr="009E686F">
              <w:rPr>
                <w:rFonts w:ascii="Times New Roman" w:eastAsia="Times New Roman" w:hAnsi="Times New Roman" w:cs="Times New Roman"/>
                <w:bCs/>
                <w:lang w:val="it-CH" w:eastAsia="ru-RU"/>
              </w:rPr>
              <w:t xml:space="preserve">acțiunea normativă nr. 3 din Anexa A din PNA 2025-2029 aferentă Capitolului 9 “Servicii financiare” în legătură </w:t>
            </w:r>
            <w:r w:rsidR="0008435A" w:rsidRPr="009E686F">
              <w:rPr>
                <w:rFonts w:ascii="Times New Roman" w:eastAsia="Times New Roman" w:hAnsi="Times New Roman" w:cs="Times New Roman"/>
                <w:bCs/>
                <w:lang w:val="it-CH" w:eastAsia="ru-RU"/>
              </w:rPr>
              <w:lastRenderedPageBreak/>
              <w:t>cu transpunerea Directivei 2013/36/UE).</w:t>
            </w:r>
          </w:p>
        </w:tc>
      </w:tr>
      <w:tr w:rsidR="00984B34" w:rsidRPr="009E686F" w14:paraId="58F929A3"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22866263" w14:textId="349783DA"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lastRenderedPageBreak/>
              <w:t>CERS publică pe site-ul său internet toate ratele amortizoarelor care i-au fost comunicate, precum și informațiile asociate.</w:t>
            </w:r>
          </w:p>
        </w:tc>
        <w:tc>
          <w:tcPr>
            <w:tcW w:w="1928" w:type="pct"/>
            <w:gridSpan w:val="3"/>
            <w:tcBorders>
              <w:top w:val="single" w:sz="4" w:space="0" w:color="auto"/>
              <w:left w:val="single" w:sz="4" w:space="0" w:color="auto"/>
              <w:bottom w:val="single" w:sz="4" w:space="0" w:color="auto"/>
              <w:right w:val="single" w:sz="4" w:space="0" w:color="auto"/>
            </w:tcBorders>
          </w:tcPr>
          <w:p w14:paraId="187942C3"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7F0301A9" w14:textId="669B2E25"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neaplicabile</w:t>
            </w:r>
          </w:p>
        </w:tc>
        <w:tc>
          <w:tcPr>
            <w:tcW w:w="806" w:type="pct"/>
            <w:tcBorders>
              <w:top w:val="single" w:sz="4" w:space="0" w:color="auto"/>
              <w:left w:val="single" w:sz="4" w:space="0" w:color="auto"/>
              <w:bottom w:val="single" w:sz="4" w:space="0" w:color="auto"/>
              <w:right w:val="single" w:sz="4" w:space="0" w:color="auto"/>
            </w:tcBorders>
          </w:tcPr>
          <w:p w14:paraId="3163B3E5" w14:textId="77777777" w:rsidR="00984B34" w:rsidRPr="009E686F" w:rsidRDefault="00984B34" w:rsidP="00984B34">
            <w:pPr>
              <w:rPr>
                <w:rFonts w:ascii="Times New Roman" w:hAnsi="Times New Roman" w:cs="Times New Roman"/>
                <w:lang w:val="ro-RO"/>
              </w:rPr>
            </w:pPr>
          </w:p>
        </w:tc>
      </w:tr>
      <w:tr w:rsidR="00984B34" w:rsidRPr="009E686F" w14:paraId="1A491BAB"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753C41AD" w14:textId="77777777" w:rsidR="00984B34" w:rsidRPr="009E686F" w:rsidRDefault="00984B34" w:rsidP="00984B34">
            <w:pPr>
              <w:spacing w:after="0"/>
              <w:jc w:val="both"/>
              <w:rPr>
                <w:rFonts w:ascii="Times New Roman" w:hAnsi="Times New Roman" w:cs="Times New Roman"/>
                <w:i/>
                <w:iCs/>
                <w:lang w:val="ro-RO"/>
              </w:rPr>
            </w:pPr>
            <w:r w:rsidRPr="009E686F">
              <w:rPr>
                <w:rFonts w:ascii="Times New Roman" w:hAnsi="Times New Roman" w:cs="Times New Roman"/>
                <w:i/>
                <w:iCs/>
                <w:lang w:val="ro-RO"/>
              </w:rPr>
              <w:t>Articolul 137</w:t>
            </w:r>
          </w:p>
          <w:p w14:paraId="23B0718D"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Recunoașterea ratelor amortizorului anticiclic mai mari de 2,5 %</w:t>
            </w:r>
          </w:p>
          <w:p w14:paraId="2AE88552" w14:textId="4300F0AF"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(1) În cazul în care o autoritate desemnată, în conformitate cu articolul 136 alineatul (4), sau o autoritate competentă dintr-o țară terță a stabilit o rată a amortizorului anticiclic mai mare de 2,5 % din cuantumul total al expunerilor la risc calculat în conformitate cu articolul 92 alineatul (3) din Regulamentul (UE) nr. 575/2013, celelalte autorități desemnate pot recunoaște această rată a amortizorului în scopul calculării, de către instituțiile autorizate la nivel național, a amortizorului anticiclic de capital specific instituției.</w:t>
            </w:r>
          </w:p>
        </w:tc>
        <w:tc>
          <w:tcPr>
            <w:tcW w:w="1928" w:type="pct"/>
            <w:gridSpan w:val="3"/>
            <w:tcBorders>
              <w:top w:val="single" w:sz="4" w:space="0" w:color="auto"/>
              <w:left w:val="single" w:sz="4" w:space="0" w:color="auto"/>
              <w:bottom w:val="single" w:sz="4" w:space="0" w:color="auto"/>
              <w:right w:val="single" w:sz="4" w:space="0" w:color="auto"/>
            </w:tcBorders>
          </w:tcPr>
          <w:p w14:paraId="68DCE6ED" w14:textId="77777777"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b/>
                <w:lang w:val="ro-RO"/>
              </w:rPr>
              <w:t>Pct. 37 din Regulamentul cu privire la amortizoarele de capital ale băncilor, aprobat prin HCE nr.110/2018</w:t>
            </w:r>
          </w:p>
          <w:p w14:paraId="7D9408B5" w14:textId="77777777" w:rsidR="00984B34" w:rsidRPr="009E686F" w:rsidRDefault="00984B34" w:rsidP="00984B34">
            <w:pPr>
              <w:spacing w:after="0"/>
              <w:jc w:val="both"/>
              <w:rPr>
                <w:rFonts w:ascii="Times New Roman" w:hAnsi="Times New Roman" w:cs="Times New Roman"/>
                <w:bCs/>
                <w:lang w:val="ro-RO"/>
              </w:rPr>
            </w:pPr>
            <w:r w:rsidRPr="009E686F">
              <w:rPr>
                <w:rFonts w:ascii="Times New Roman" w:hAnsi="Times New Roman" w:cs="Times New Roman"/>
                <w:bCs/>
                <w:lang w:val="ro-RO"/>
              </w:rPr>
              <w:t>Secțiunea a 5-a. Recunoașterea ratelor amortizorului anticiclic mai mari de 2,5 % stabilite în statele străine</w:t>
            </w:r>
          </w:p>
          <w:p w14:paraId="354F5768" w14:textId="331EF633"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b/>
                <w:lang w:val="ro-RO"/>
              </w:rPr>
              <w:t>37.</w:t>
            </w:r>
            <w:r w:rsidRPr="009E686F">
              <w:rPr>
                <w:rFonts w:ascii="Times New Roman" w:hAnsi="Times New Roman" w:cs="Times New Roman"/>
                <w:bCs/>
                <w:lang w:val="ro-RO"/>
              </w:rPr>
              <w:t xml:space="preserve"> În cazul în care o autoritate relevantă dintr-un stat străin a stabilit pentru acest stat o rată a amortizorului anticiclic mai mare de 2,5 % din cuantumul total a expunerii la risc, Banca Națională a Moldovei poate recunoaște această rată a amortizorului în scopul calculării amortizorului anticiclic de capital specific băncii.</w:t>
            </w:r>
          </w:p>
        </w:tc>
        <w:tc>
          <w:tcPr>
            <w:tcW w:w="470" w:type="pct"/>
            <w:tcBorders>
              <w:top w:val="single" w:sz="4" w:space="0" w:color="auto"/>
              <w:left w:val="single" w:sz="4" w:space="0" w:color="auto"/>
              <w:bottom w:val="single" w:sz="4" w:space="0" w:color="auto"/>
              <w:right w:val="single" w:sz="4" w:space="0" w:color="auto"/>
            </w:tcBorders>
          </w:tcPr>
          <w:p w14:paraId="259DD9D5" w14:textId="77777777"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 xml:space="preserve">Compatibil </w:t>
            </w:r>
          </w:p>
          <w:p w14:paraId="3FD90899" w14:textId="77777777"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042BAAEE" w14:textId="77777777" w:rsidR="00984B34" w:rsidRPr="009E686F" w:rsidRDefault="00984B34" w:rsidP="00984B34">
            <w:pPr>
              <w:rPr>
                <w:rFonts w:ascii="Times New Roman" w:hAnsi="Times New Roman" w:cs="Times New Roman"/>
                <w:lang w:val="ro-RO"/>
              </w:rPr>
            </w:pPr>
          </w:p>
        </w:tc>
      </w:tr>
      <w:tr w:rsidR="00984B34" w:rsidRPr="009E686F" w14:paraId="4B65EFFD" w14:textId="40E6E01E" w:rsidTr="00774F3E">
        <w:tc>
          <w:tcPr>
            <w:tcW w:w="1796" w:type="pct"/>
            <w:gridSpan w:val="2"/>
            <w:tcBorders>
              <w:top w:val="single" w:sz="4" w:space="0" w:color="auto"/>
              <w:left w:val="single" w:sz="4" w:space="0" w:color="auto"/>
              <w:bottom w:val="single" w:sz="4" w:space="0" w:color="auto"/>
              <w:right w:val="single" w:sz="4" w:space="0" w:color="auto"/>
            </w:tcBorders>
          </w:tcPr>
          <w:p w14:paraId="3F98158B" w14:textId="20737C54"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(2) În cazul în care o autoritate desemnată în conformitate cu alineatul (1) de la prezentul articol recunoaște o rată a amortizorului mai mare de 2,5 % din cuantumul total al expunerilor la risc calculat în conformitate cu articolul 92 alineatul (3) din Regulamentul (UE) nr. 575/2013, aceasta anunță recunoașterea prin publicare pe site-ul său internet. Anunțul include cel puțin următoarele informații:</w:t>
            </w:r>
          </w:p>
          <w:p w14:paraId="1CDF587F" w14:textId="6F43A43D"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(a) rata aplicabilă a amortizorului anticiclic;</w:t>
            </w:r>
          </w:p>
          <w:p w14:paraId="45773372" w14:textId="0270A68D"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(b) statul membru sau țările terțe cărora li se aplică;</w:t>
            </w:r>
          </w:p>
          <w:p w14:paraId="1AA1D138" w14:textId="2E3F4852"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(c) în cazul în care rata amortizorului este majorată, data de la care instituțiile autorizate în statul membru al autorității desemnate trebuie să aplice rata majorată al amortizorului </w:t>
            </w:r>
            <w:r w:rsidRPr="009E686F">
              <w:rPr>
                <w:rFonts w:ascii="Times New Roman" w:hAnsi="Times New Roman" w:cs="Times New Roman"/>
                <w:lang w:val="ro-RO"/>
              </w:rPr>
              <w:lastRenderedPageBreak/>
              <w:t>în scopul calculării amortizorului anticiclic de capital specific instituției;</w:t>
            </w:r>
          </w:p>
          <w:p w14:paraId="1AB14C31" w14:textId="06126901"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(d) în cazul în care data menționată la litera (c) este înainte de 12 luni de la data anunțului prevăzut la prezentul alineat, o trimitere la circumstanțele excepționale care justifică reducerea termenului de punere în aplicare.</w:t>
            </w:r>
          </w:p>
        </w:tc>
        <w:tc>
          <w:tcPr>
            <w:tcW w:w="1928" w:type="pct"/>
            <w:gridSpan w:val="3"/>
            <w:tcBorders>
              <w:top w:val="single" w:sz="4" w:space="0" w:color="auto"/>
              <w:left w:val="single" w:sz="4" w:space="0" w:color="auto"/>
              <w:bottom w:val="single" w:sz="4" w:space="0" w:color="auto"/>
              <w:right w:val="single" w:sz="4" w:space="0" w:color="auto"/>
            </w:tcBorders>
          </w:tcPr>
          <w:p w14:paraId="286CDD1F" w14:textId="7420A4D5"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b/>
                <w:lang w:val="ro-RO"/>
              </w:rPr>
              <w:lastRenderedPageBreak/>
              <w:t>Pct. 38 și 39 din Regulamentul cu privire la amortizoarele de capital ale băncilor, aprobat prin HCE nr.110/2018</w:t>
            </w:r>
          </w:p>
          <w:p w14:paraId="4F3EA245" w14:textId="77777777" w:rsidR="00984B34" w:rsidRPr="009E686F" w:rsidRDefault="00984B34" w:rsidP="00984B34">
            <w:pPr>
              <w:spacing w:after="0"/>
              <w:jc w:val="both"/>
              <w:rPr>
                <w:rFonts w:ascii="Times New Roman" w:hAnsi="Times New Roman" w:cs="Times New Roman"/>
                <w:bCs/>
                <w:lang w:val="ro-RO"/>
              </w:rPr>
            </w:pPr>
            <w:r w:rsidRPr="009E686F">
              <w:rPr>
                <w:rFonts w:ascii="Times New Roman" w:hAnsi="Times New Roman" w:cs="Times New Roman"/>
                <w:b/>
                <w:lang w:val="ro-RO"/>
              </w:rPr>
              <w:t>38.</w:t>
            </w:r>
            <w:r w:rsidRPr="009E686F">
              <w:rPr>
                <w:rFonts w:ascii="Times New Roman" w:hAnsi="Times New Roman" w:cs="Times New Roman"/>
                <w:bCs/>
                <w:lang w:val="ro-RO"/>
              </w:rPr>
              <w:t xml:space="preserve"> Decizia Băncii Naţionale a Moldovei privind recunoaşterea ratei mai mari de 2,5% a amortizorului anticiclic pentru un stat străin pentru a fi aplicată de către bănci va conţine cel puţin rata aplicabilă a amortizorului menţionat, denumirea statului străin căruia i se aplică şi data de la care această rată urmează a fi aplicată.</w:t>
            </w:r>
          </w:p>
          <w:p w14:paraId="0F356C45" w14:textId="66225C5F" w:rsidR="00984B34" w:rsidRPr="009E686F" w:rsidRDefault="00984B34" w:rsidP="00984B34">
            <w:pPr>
              <w:spacing w:after="0"/>
              <w:jc w:val="both"/>
              <w:rPr>
                <w:rFonts w:ascii="Times New Roman" w:hAnsi="Times New Roman" w:cs="Times New Roman"/>
                <w:bCs/>
                <w:lang w:val="ro-RO"/>
              </w:rPr>
            </w:pPr>
            <w:r w:rsidRPr="009E686F">
              <w:rPr>
                <w:rFonts w:ascii="Times New Roman" w:hAnsi="Times New Roman" w:cs="Times New Roman"/>
                <w:b/>
                <w:lang w:val="ro-RO"/>
              </w:rPr>
              <w:t>39.</w:t>
            </w:r>
            <w:r w:rsidRPr="009E686F">
              <w:rPr>
                <w:rFonts w:ascii="Times New Roman" w:hAnsi="Times New Roman" w:cs="Times New Roman"/>
                <w:bCs/>
                <w:lang w:val="ro-RO"/>
              </w:rPr>
              <w:t xml:space="preserve"> În cazul prevăzut la punctul 38, Banca Națională a Moldovei de asemenea anunță recunoașterea prin publicare pe pagina sa oficială. Anunțul include cel puțin următoarele informații: </w:t>
            </w:r>
          </w:p>
          <w:p w14:paraId="0F8742B7" w14:textId="77777777" w:rsidR="00984B34" w:rsidRPr="009E686F" w:rsidRDefault="00984B34" w:rsidP="00984B34">
            <w:pPr>
              <w:spacing w:after="0"/>
              <w:jc w:val="both"/>
              <w:rPr>
                <w:rFonts w:ascii="Times New Roman" w:hAnsi="Times New Roman" w:cs="Times New Roman"/>
                <w:bCs/>
                <w:lang w:val="ro-RO"/>
              </w:rPr>
            </w:pPr>
            <w:r w:rsidRPr="009E686F">
              <w:rPr>
                <w:rFonts w:ascii="Times New Roman" w:hAnsi="Times New Roman" w:cs="Times New Roman"/>
                <w:bCs/>
                <w:lang w:val="ro-RO"/>
              </w:rPr>
              <w:t xml:space="preserve">1) rata aplicabilă a amortizorului anticiclic; </w:t>
            </w:r>
          </w:p>
          <w:p w14:paraId="53171ECA" w14:textId="77777777" w:rsidR="00984B34" w:rsidRPr="009E686F" w:rsidRDefault="00984B34" w:rsidP="00984B34">
            <w:pPr>
              <w:spacing w:after="0"/>
              <w:jc w:val="both"/>
              <w:rPr>
                <w:rFonts w:ascii="Times New Roman" w:hAnsi="Times New Roman" w:cs="Times New Roman"/>
                <w:bCs/>
                <w:lang w:val="ro-RO"/>
              </w:rPr>
            </w:pPr>
            <w:r w:rsidRPr="009E686F">
              <w:rPr>
                <w:rFonts w:ascii="Times New Roman" w:hAnsi="Times New Roman" w:cs="Times New Roman"/>
                <w:bCs/>
                <w:lang w:val="ro-RO"/>
              </w:rPr>
              <w:t>2) statul străin căruia i se aplică;</w:t>
            </w:r>
          </w:p>
          <w:p w14:paraId="39050556" w14:textId="77777777" w:rsidR="00984B34" w:rsidRPr="009E686F" w:rsidRDefault="00984B34" w:rsidP="00984B34">
            <w:pPr>
              <w:spacing w:after="0"/>
              <w:jc w:val="both"/>
              <w:rPr>
                <w:rFonts w:ascii="Times New Roman" w:hAnsi="Times New Roman" w:cs="Times New Roman"/>
                <w:bCs/>
                <w:lang w:val="ro-RO"/>
              </w:rPr>
            </w:pPr>
            <w:r w:rsidRPr="009E686F">
              <w:rPr>
                <w:rFonts w:ascii="Times New Roman" w:hAnsi="Times New Roman" w:cs="Times New Roman"/>
                <w:bCs/>
                <w:lang w:val="ro-RO"/>
              </w:rPr>
              <w:lastRenderedPageBreak/>
              <w:t>3) în cazul în care rata amortizorului anticiclic este majorată - data de la care trebuie să fie aplicată rata majorată în scopul calculării amortizorului anticiclic de capital specific băncii;</w:t>
            </w:r>
          </w:p>
          <w:p w14:paraId="7AA55133" w14:textId="6B157F35"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bCs/>
                <w:lang w:val="ro-RO"/>
              </w:rPr>
              <w:t>4) în cazul în care data menționată la subpunctul 3) este înainte de 12 luni de la data publicării hotărârii conform punctului 38 - o trimitere la circumstanțele excepționale care justifică reducerea termenului de punere în aplicare.</w:t>
            </w:r>
          </w:p>
        </w:tc>
        <w:tc>
          <w:tcPr>
            <w:tcW w:w="470" w:type="pct"/>
            <w:tcBorders>
              <w:top w:val="single" w:sz="4" w:space="0" w:color="auto"/>
              <w:left w:val="single" w:sz="4" w:space="0" w:color="auto"/>
              <w:right w:val="single" w:sz="4" w:space="0" w:color="auto"/>
            </w:tcBorders>
          </w:tcPr>
          <w:p w14:paraId="5D333D14" w14:textId="77777777"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lastRenderedPageBreak/>
              <w:t xml:space="preserve">Compatibil </w:t>
            </w:r>
          </w:p>
          <w:p w14:paraId="33291DB8" w14:textId="2024AD91"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36B2C6FF" w14:textId="77777777" w:rsidR="00984B34" w:rsidRPr="009E686F" w:rsidRDefault="00984B34" w:rsidP="00984B34">
            <w:pPr>
              <w:jc w:val="both"/>
              <w:rPr>
                <w:rFonts w:ascii="Times New Roman" w:hAnsi="Times New Roman" w:cs="Times New Roman"/>
                <w:lang w:val="ro-RO"/>
              </w:rPr>
            </w:pPr>
          </w:p>
        </w:tc>
      </w:tr>
      <w:tr w:rsidR="00984B34" w:rsidRPr="009E686F" w14:paraId="538F4CC6"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281499DD" w14:textId="77777777" w:rsidR="00984B34" w:rsidRPr="009E686F" w:rsidRDefault="00984B34" w:rsidP="00984B34">
            <w:pPr>
              <w:spacing w:after="0"/>
              <w:jc w:val="both"/>
              <w:rPr>
                <w:rFonts w:ascii="Times New Roman" w:hAnsi="Times New Roman" w:cs="Times New Roman"/>
                <w:i/>
                <w:iCs/>
                <w:lang w:val="ro-RO"/>
              </w:rPr>
            </w:pPr>
            <w:r w:rsidRPr="009E686F">
              <w:rPr>
                <w:rFonts w:ascii="Times New Roman" w:hAnsi="Times New Roman" w:cs="Times New Roman"/>
                <w:i/>
                <w:iCs/>
                <w:lang w:val="ro-RO"/>
              </w:rPr>
              <w:t xml:space="preserve">Articolul 138 </w:t>
            </w:r>
          </w:p>
          <w:p w14:paraId="395F79DE"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Recomandarea CERS privind ratele amortizorului anticiclic pentru țările terțe</w:t>
            </w:r>
          </w:p>
          <w:p w14:paraId="1ED31789"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CERS poate, în conformitate cu articolul 16 din Regulamentul (UE) nr. 1092/2010, să emită o recomandare pentru autoritățile desemnate privind rata adecvată a amortizorului anticiclic pentru expunerile față de o țară terță în cazul în care:</w:t>
            </w:r>
          </w:p>
          <w:p w14:paraId="233AAD1A"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(a) o rată a amortizorului anticiclic nu a fost stabilită sau publicată de către autoritatea relevantă dintr-o țară terță pentru această țară terță (denumită în continuare "autoritatea relevantă dintr-o țară terță") față de care una sau mai multe instituții din Uniune au expuneri din credite;</w:t>
            </w:r>
          </w:p>
          <w:p w14:paraId="03E2B7AD" w14:textId="1D0F791E"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(b) CERS consideră că rata amortizorului anticiclic stabilită și publicată de autoritatea competentă din țara terță pentru această țară terță nu este suficient pentru a proteja în mod adecvat instituțiile din Uniune împotriva riscurilor de creștere excesivă a creditelor în această țară terță sau o autoritate desemnată notifică CERS că consideră rata amortizorului ca fiind insuficient pentru a asigura protecția.</w:t>
            </w:r>
          </w:p>
        </w:tc>
        <w:tc>
          <w:tcPr>
            <w:tcW w:w="1928" w:type="pct"/>
            <w:gridSpan w:val="3"/>
            <w:tcBorders>
              <w:top w:val="single" w:sz="4" w:space="0" w:color="auto"/>
              <w:left w:val="single" w:sz="4" w:space="0" w:color="auto"/>
              <w:bottom w:val="single" w:sz="4" w:space="0" w:color="auto"/>
              <w:right w:val="single" w:sz="4" w:space="0" w:color="auto"/>
            </w:tcBorders>
          </w:tcPr>
          <w:p w14:paraId="2BAD09CB"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right w:val="single" w:sz="4" w:space="0" w:color="auto"/>
            </w:tcBorders>
          </w:tcPr>
          <w:p w14:paraId="285D6F17" w14:textId="7C2A2CCE"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MD"/>
              </w:rPr>
              <w:t>Norme UE neaplicabile</w:t>
            </w:r>
          </w:p>
        </w:tc>
        <w:tc>
          <w:tcPr>
            <w:tcW w:w="806" w:type="pct"/>
            <w:tcBorders>
              <w:top w:val="single" w:sz="4" w:space="0" w:color="auto"/>
              <w:left w:val="single" w:sz="4" w:space="0" w:color="auto"/>
              <w:bottom w:val="single" w:sz="4" w:space="0" w:color="auto"/>
              <w:right w:val="single" w:sz="4" w:space="0" w:color="auto"/>
            </w:tcBorders>
          </w:tcPr>
          <w:p w14:paraId="237B7DA1" w14:textId="7905DFC1"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Se referă la competențele CERS.</w:t>
            </w:r>
          </w:p>
        </w:tc>
      </w:tr>
      <w:tr w:rsidR="00984B34" w:rsidRPr="009E686F" w14:paraId="4C6B00DB" w14:textId="77777777" w:rsidTr="00DC60F0">
        <w:trPr>
          <w:trHeight w:val="3636"/>
        </w:trPr>
        <w:tc>
          <w:tcPr>
            <w:tcW w:w="1796" w:type="pct"/>
            <w:gridSpan w:val="2"/>
            <w:tcBorders>
              <w:top w:val="single" w:sz="4" w:space="0" w:color="auto"/>
              <w:left w:val="single" w:sz="4" w:space="0" w:color="auto"/>
              <w:right w:val="single" w:sz="4" w:space="0" w:color="auto"/>
            </w:tcBorders>
          </w:tcPr>
          <w:p w14:paraId="3C1F6628" w14:textId="5535C1F5" w:rsidR="00984B34" w:rsidRPr="009E686F" w:rsidRDefault="00984B34" w:rsidP="00984B34">
            <w:pPr>
              <w:spacing w:after="0"/>
              <w:jc w:val="both"/>
              <w:rPr>
                <w:rFonts w:ascii="Times New Roman" w:hAnsi="Times New Roman" w:cs="Times New Roman"/>
                <w:i/>
                <w:iCs/>
                <w:lang w:val="ro-RO"/>
              </w:rPr>
            </w:pPr>
            <w:r w:rsidRPr="009E686F">
              <w:rPr>
                <w:rFonts w:ascii="Times New Roman" w:hAnsi="Times New Roman" w:cs="Times New Roman"/>
                <w:i/>
                <w:iCs/>
                <w:lang w:val="ro-RO"/>
              </w:rPr>
              <w:lastRenderedPageBreak/>
              <w:t>Articolul 139</w:t>
            </w:r>
          </w:p>
          <w:p w14:paraId="1C643E23"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Decizia autorităților desemnate privind ratele amortizorului anticiclic pentru țările terțe</w:t>
            </w:r>
          </w:p>
          <w:p w14:paraId="480B832F" w14:textId="77777777" w:rsidR="00984B34" w:rsidRPr="009E686F" w:rsidRDefault="00984B34" w:rsidP="00984B34">
            <w:pPr>
              <w:spacing w:after="0"/>
              <w:jc w:val="both"/>
              <w:rPr>
                <w:rFonts w:ascii="Times New Roman" w:hAnsi="Times New Roman" w:cs="Times New Roman"/>
                <w:lang w:val="ro-RO"/>
              </w:rPr>
            </w:pPr>
          </w:p>
          <w:p w14:paraId="4CB0823B"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(1) Prezentul articol se aplică indiferent dacă CERS a emis sau nu o recomandare pentru autoritățile desemnate, conform articolului 138. </w:t>
            </w:r>
          </w:p>
          <w:p w14:paraId="0CE41394" w14:textId="2A80F025"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(2) În circumstanțele menționate la articolul 138 litera (a), autoritățile desemnate pot stabili rata amortizorului anticiclic pe care instituțiile autorizate la nivel național trebuie să îl aplice în scopul calculării amortizorului anticiclic de capital specific instituției.</w:t>
            </w:r>
          </w:p>
        </w:tc>
        <w:tc>
          <w:tcPr>
            <w:tcW w:w="1928" w:type="pct"/>
            <w:gridSpan w:val="3"/>
            <w:tcBorders>
              <w:top w:val="single" w:sz="4" w:space="0" w:color="auto"/>
              <w:left w:val="single" w:sz="4" w:space="0" w:color="auto"/>
              <w:right w:val="single" w:sz="4" w:space="0" w:color="auto"/>
            </w:tcBorders>
          </w:tcPr>
          <w:p w14:paraId="5F2997DA" w14:textId="22E47BEC"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b/>
                <w:lang w:val="ro-RO"/>
              </w:rPr>
              <w:t>Pct. 40 din Regulamentul cu privire la amortizoarele de capital ale băncilor, aprobat prin HCE nr.110/2018</w:t>
            </w:r>
          </w:p>
          <w:p w14:paraId="2BDA7F7A" w14:textId="121F8B24" w:rsidR="00984B34" w:rsidRPr="009E686F" w:rsidRDefault="00984B34" w:rsidP="00984B34">
            <w:pPr>
              <w:spacing w:after="0"/>
              <w:jc w:val="both"/>
              <w:rPr>
                <w:rFonts w:ascii="Times New Roman" w:hAnsi="Times New Roman" w:cs="Times New Roman"/>
                <w:bCs/>
                <w:lang w:val="ro-RO"/>
              </w:rPr>
            </w:pPr>
            <w:r w:rsidRPr="009E686F">
              <w:rPr>
                <w:rFonts w:ascii="Times New Roman" w:hAnsi="Times New Roman" w:cs="Times New Roman"/>
                <w:bCs/>
                <w:lang w:val="ro-RO"/>
              </w:rPr>
              <w:t>Secțiunea a 6-a. Particularitățile aferente deciziei privind ratele amortizorului anticiclic pentru statele străine</w:t>
            </w:r>
          </w:p>
          <w:p w14:paraId="5394F4EF" w14:textId="5D6F978D" w:rsidR="00984B34" w:rsidRPr="009E686F" w:rsidRDefault="00984B34" w:rsidP="00984B34">
            <w:pPr>
              <w:spacing w:after="0"/>
              <w:jc w:val="both"/>
              <w:rPr>
                <w:rFonts w:ascii="Times New Roman" w:hAnsi="Times New Roman" w:cs="Times New Roman"/>
                <w:bCs/>
                <w:lang w:val="ro-RO"/>
              </w:rPr>
            </w:pPr>
            <w:r w:rsidRPr="009E686F">
              <w:rPr>
                <w:rFonts w:ascii="Times New Roman" w:hAnsi="Times New Roman" w:cs="Times New Roman"/>
                <w:b/>
                <w:lang w:val="ro-RO"/>
              </w:rPr>
              <w:t>40.</w:t>
            </w:r>
            <w:r w:rsidRPr="009E686F">
              <w:rPr>
                <w:rFonts w:ascii="Times New Roman" w:hAnsi="Times New Roman" w:cs="Times New Roman"/>
                <w:bCs/>
                <w:lang w:val="ro-RO"/>
              </w:rPr>
              <w:t xml:space="preserve"> În cazul în care autoritatea relevantă dintr-un stat străin nu a stabilit și nu a publicat rata amortizorului anticiclic pentru acest stat, iar una sau mai multe bănci dețin expuneri din credite situate în acest stat, Banca Națională a Moldovei poate stabili rata amortizorului anticiclic pentru statul respectiv care urmează a fi aplicată în scopul calculării amortizorului anticiclic de capital specific băncii.</w:t>
            </w:r>
          </w:p>
        </w:tc>
        <w:tc>
          <w:tcPr>
            <w:tcW w:w="470" w:type="pct"/>
            <w:tcBorders>
              <w:top w:val="single" w:sz="4" w:space="0" w:color="auto"/>
              <w:left w:val="single" w:sz="4" w:space="0" w:color="auto"/>
              <w:right w:val="single" w:sz="4" w:space="0" w:color="auto"/>
            </w:tcBorders>
          </w:tcPr>
          <w:p w14:paraId="14855AA8" w14:textId="262247CC"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right w:val="single" w:sz="4" w:space="0" w:color="auto"/>
            </w:tcBorders>
          </w:tcPr>
          <w:p w14:paraId="5AF38CBC" w14:textId="77777777" w:rsidR="00984B34" w:rsidRPr="009E686F" w:rsidRDefault="00984B34" w:rsidP="00984B34">
            <w:pPr>
              <w:jc w:val="both"/>
              <w:rPr>
                <w:rFonts w:ascii="Times New Roman" w:hAnsi="Times New Roman" w:cs="Times New Roman"/>
                <w:lang w:val="ro-RO"/>
              </w:rPr>
            </w:pPr>
          </w:p>
        </w:tc>
      </w:tr>
      <w:tr w:rsidR="00984B34" w:rsidRPr="009E686F" w14:paraId="5763192B" w14:textId="55DC7079" w:rsidTr="00774F3E">
        <w:tc>
          <w:tcPr>
            <w:tcW w:w="1796" w:type="pct"/>
            <w:gridSpan w:val="2"/>
            <w:tcBorders>
              <w:top w:val="single" w:sz="4" w:space="0" w:color="auto"/>
              <w:left w:val="single" w:sz="4" w:space="0" w:color="auto"/>
              <w:bottom w:val="single" w:sz="4" w:space="0" w:color="auto"/>
              <w:right w:val="single" w:sz="4" w:space="0" w:color="auto"/>
            </w:tcBorders>
          </w:tcPr>
          <w:p w14:paraId="12887CAF" w14:textId="01CD2DBF"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(3) În cazul în care rata amortizorului anticiclic a fost stabilită și publicată de autoritatea competentă dintr-o țară terță pentru această țară terță, o autoritate desemnată poate stabili o rată diferită a amortizorului pentru această țară terță în scopul calculării de către instituțiile autorizate la nivel național a amortizorului anticiclic de capital specific instituției, dacă aceasta are motive rezonabile să considere că rata amortizorului stabilită de autoritatea competentă din țara terță nu este suficientă pentru a proteja în mod adecvat aceste instituții împotriva riscurilor de creștere excesivă a creditelor în această țară terță.</w:t>
            </w:r>
          </w:p>
        </w:tc>
        <w:tc>
          <w:tcPr>
            <w:tcW w:w="1928" w:type="pct"/>
            <w:gridSpan w:val="3"/>
            <w:tcBorders>
              <w:top w:val="single" w:sz="4" w:space="0" w:color="auto"/>
              <w:left w:val="single" w:sz="4" w:space="0" w:color="auto"/>
              <w:bottom w:val="single" w:sz="4" w:space="0" w:color="auto"/>
              <w:right w:val="single" w:sz="4" w:space="0" w:color="auto"/>
            </w:tcBorders>
          </w:tcPr>
          <w:p w14:paraId="0577DD98" w14:textId="2D1D3321"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b/>
                <w:lang w:val="ro-RO"/>
              </w:rPr>
              <w:t>Pct. 43 din Regulamentul cu privire la amortizoarele de capital ale băncilor, aprobat prin HCE nr.110/2018</w:t>
            </w:r>
          </w:p>
          <w:p w14:paraId="148C1418" w14:textId="7ADA4F90" w:rsidR="00984B34" w:rsidRPr="009E686F" w:rsidRDefault="00984B34" w:rsidP="00984B34">
            <w:pPr>
              <w:spacing w:after="0"/>
              <w:jc w:val="both"/>
              <w:rPr>
                <w:rFonts w:ascii="Times New Roman" w:hAnsi="Times New Roman" w:cs="Times New Roman"/>
                <w:bCs/>
                <w:lang w:val="ro-RO"/>
              </w:rPr>
            </w:pPr>
            <w:r w:rsidRPr="009E686F">
              <w:rPr>
                <w:rFonts w:ascii="Times New Roman" w:hAnsi="Times New Roman" w:cs="Times New Roman"/>
                <w:b/>
                <w:lang w:val="ro-RO"/>
              </w:rPr>
              <w:t>43.</w:t>
            </w:r>
            <w:r w:rsidRPr="009E686F">
              <w:rPr>
                <w:rFonts w:ascii="Times New Roman" w:hAnsi="Times New Roman" w:cs="Times New Roman"/>
                <w:bCs/>
                <w:lang w:val="ro-RO"/>
              </w:rPr>
              <w:t xml:space="preserve"> În cazul în care autoritatea relevantă dintr-un stat străin a stabilit și a publicat rata amortizorului anticiclic pentru acest stat, Banca Națională a Moldovei poate stabili o rată diferită a amortizorului anticiclic pentru acest stat străin în scopul calculării de către bănci a amortizorului anticiclic de capital specific băncii, dacă aceasta, din motive rezonabile, consideră că rata amortizorului anticiclic stabilită de autoritatea relevantă din stat străin nu este suficientă pentru a proteja în modul adecvat aceste bănci împotriva riscurilor de creștere excesivă a creditelor în acel stat.</w:t>
            </w:r>
          </w:p>
        </w:tc>
        <w:tc>
          <w:tcPr>
            <w:tcW w:w="470" w:type="pct"/>
            <w:tcBorders>
              <w:top w:val="single" w:sz="4" w:space="0" w:color="auto"/>
              <w:left w:val="single" w:sz="4" w:space="0" w:color="auto"/>
              <w:bottom w:val="single" w:sz="4" w:space="0" w:color="auto"/>
              <w:right w:val="single" w:sz="4" w:space="0" w:color="auto"/>
            </w:tcBorders>
          </w:tcPr>
          <w:p w14:paraId="0A49D57B" w14:textId="77777777"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 xml:space="preserve">Compatibil </w:t>
            </w:r>
          </w:p>
          <w:p w14:paraId="5CEBA699" w14:textId="55A7960F"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4BEFEEFE" w14:textId="77777777" w:rsidR="00984B34" w:rsidRPr="009E686F" w:rsidRDefault="00984B34" w:rsidP="00984B34">
            <w:pPr>
              <w:jc w:val="both"/>
              <w:rPr>
                <w:rFonts w:ascii="Times New Roman" w:hAnsi="Times New Roman" w:cs="Times New Roman"/>
                <w:lang w:val="ro-RO"/>
              </w:rPr>
            </w:pPr>
          </w:p>
        </w:tc>
      </w:tr>
      <w:tr w:rsidR="00984B34" w:rsidRPr="009E686F" w14:paraId="6104323A" w14:textId="470DE74F" w:rsidTr="00774F3E">
        <w:tc>
          <w:tcPr>
            <w:tcW w:w="1796" w:type="pct"/>
            <w:gridSpan w:val="2"/>
            <w:tcBorders>
              <w:top w:val="single" w:sz="4" w:space="0" w:color="auto"/>
              <w:left w:val="single" w:sz="4" w:space="0" w:color="auto"/>
              <w:bottom w:val="single" w:sz="4" w:space="0" w:color="auto"/>
              <w:right w:val="single" w:sz="4" w:space="0" w:color="auto"/>
            </w:tcBorders>
          </w:tcPr>
          <w:p w14:paraId="3AC5C934"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Atunci când o autoritate desemnată exercită puterea care îi este conferită în temeiul primului paragraf, aceasta nu stabilește o rată a amortizorului anticiclic sub rata stabilită de autoritatea competentă din țara terță, în afară de cazul în care această rată a amortizorului depășește 2,5 % din cuantumul total al expunerilor la risc calculat în </w:t>
            </w:r>
            <w:r w:rsidRPr="009E686F">
              <w:rPr>
                <w:rFonts w:ascii="Times New Roman" w:hAnsi="Times New Roman" w:cs="Times New Roman"/>
                <w:lang w:val="ro-RO"/>
              </w:rPr>
              <w:lastRenderedPageBreak/>
              <w:t>conformitate cu articolul 92 alineatul (3) din Regulamentul (UE) nr. 575/2013 a instituțiilor care au expuneri la riscul de credit în țara terță în cauză.</w:t>
            </w:r>
          </w:p>
        </w:tc>
        <w:tc>
          <w:tcPr>
            <w:tcW w:w="1928" w:type="pct"/>
            <w:gridSpan w:val="3"/>
            <w:tcBorders>
              <w:top w:val="single" w:sz="4" w:space="0" w:color="auto"/>
              <w:left w:val="single" w:sz="4" w:space="0" w:color="auto"/>
              <w:bottom w:val="single" w:sz="4" w:space="0" w:color="auto"/>
              <w:right w:val="single" w:sz="4" w:space="0" w:color="auto"/>
            </w:tcBorders>
          </w:tcPr>
          <w:p w14:paraId="29D0F6CF" w14:textId="1F8BB35F"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b/>
                <w:lang w:val="ro-RO"/>
              </w:rPr>
              <w:lastRenderedPageBreak/>
              <w:t>Pct. 44 din Regulamentul cu privire la amortizoarele de capital ale băncilor, aprobat prin HCE nr.110/2018</w:t>
            </w:r>
          </w:p>
          <w:p w14:paraId="2F1B15A2" w14:textId="242B3D0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b/>
                <w:bCs/>
                <w:lang w:val="ro-RO"/>
              </w:rPr>
              <w:t>44.</w:t>
            </w:r>
            <w:r w:rsidRPr="009E686F">
              <w:rPr>
                <w:rFonts w:ascii="Times New Roman" w:hAnsi="Times New Roman" w:cs="Times New Roman"/>
                <w:lang w:val="ro-RO"/>
              </w:rPr>
              <w:t xml:space="preserve"> O rată a amortizorului anticiclic pentru statul străin nu poate fi stabilită sub nivelul ratei stabilit de autoritatea relevantă din acest stat, cu excepția cazului în care această rată a amortizorului depășește 2,5% din cuantumul total al expunerii la risc.</w:t>
            </w:r>
          </w:p>
          <w:p w14:paraId="37CF99EC" w14:textId="5BE80855" w:rsidR="00984B34" w:rsidRPr="009E686F" w:rsidRDefault="00984B34" w:rsidP="00984B34">
            <w:pPr>
              <w:spacing w:after="0"/>
              <w:jc w:val="both"/>
              <w:rPr>
                <w:rFonts w:ascii="Times New Roman" w:hAnsi="Times New Roman" w:cs="Times New Roman"/>
                <w:lang w:val="ro-RO"/>
              </w:rPr>
            </w:pPr>
          </w:p>
        </w:tc>
        <w:tc>
          <w:tcPr>
            <w:tcW w:w="470" w:type="pct"/>
            <w:tcBorders>
              <w:top w:val="single" w:sz="4" w:space="0" w:color="auto"/>
              <w:left w:val="single" w:sz="4" w:space="0" w:color="auto"/>
              <w:bottom w:val="single" w:sz="4" w:space="0" w:color="auto"/>
              <w:right w:val="single" w:sz="4" w:space="0" w:color="auto"/>
            </w:tcBorders>
          </w:tcPr>
          <w:p w14:paraId="034CB288" w14:textId="77777777"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lastRenderedPageBreak/>
              <w:t xml:space="preserve">Compatibil </w:t>
            </w:r>
          </w:p>
          <w:p w14:paraId="3250CE39" w14:textId="6611DF03"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5DD75C0D" w14:textId="77777777" w:rsidR="00984B34" w:rsidRPr="009E686F" w:rsidRDefault="00984B34" w:rsidP="00984B34">
            <w:pPr>
              <w:jc w:val="both"/>
              <w:rPr>
                <w:rFonts w:ascii="Times New Roman" w:hAnsi="Times New Roman" w:cs="Times New Roman"/>
                <w:lang w:val="ro-RO"/>
              </w:rPr>
            </w:pPr>
          </w:p>
        </w:tc>
      </w:tr>
      <w:tr w:rsidR="00984B34" w:rsidRPr="009E686F" w14:paraId="38298EEC" w14:textId="023BFF7E" w:rsidTr="00774F3E">
        <w:tc>
          <w:tcPr>
            <w:tcW w:w="1796" w:type="pct"/>
            <w:gridSpan w:val="2"/>
            <w:tcBorders>
              <w:top w:val="single" w:sz="4" w:space="0" w:color="auto"/>
              <w:left w:val="single" w:sz="4" w:space="0" w:color="auto"/>
              <w:bottom w:val="single" w:sz="4" w:space="0" w:color="auto"/>
              <w:right w:val="single" w:sz="4" w:space="0" w:color="auto"/>
            </w:tcBorders>
          </w:tcPr>
          <w:p w14:paraId="3B4BF6EF"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Pentru a asigura o coerență în ceea ce privește stabilirea amortizoarelor pentru țări terțe, CERS poate formula recomandări cu privire la stabilirea amortizoarelor respective.</w:t>
            </w:r>
          </w:p>
        </w:tc>
        <w:tc>
          <w:tcPr>
            <w:tcW w:w="1928" w:type="pct"/>
            <w:gridSpan w:val="3"/>
            <w:tcBorders>
              <w:top w:val="single" w:sz="4" w:space="0" w:color="auto"/>
              <w:left w:val="single" w:sz="4" w:space="0" w:color="auto"/>
              <w:bottom w:val="single" w:sz="4" w:space="0" w:color="auto"/>
              <w:right w:val="single" w:sz="4" w:space="0" w:color="auto"/>
            </w:tcBorders>
          </w:tcPr>
          <w:p w14:paraId="601ECCC7"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18A2C9EF" w14:textId="2924D0F9"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MD"/>
              </w:rPr>
              <w:t>Norme UE neaplicabile</w:t>
            </w:r>
          </w:p>
        </w:tc>
        <w:tc>
          <w:tcPr>
            <w:tcW w:w="806" w:type="pct"/>
            <w:tcBorders>
              <w:top w:val="single" w:sz="4" w:space="0" w:color="auto"/>
              <w:left w:val="single" w:sz="4" w:space="0" w:color="auto"/>
              <w:bottom w:val="single" w:sz="4" w:space="0" w:color="auto"/>
              <w:right w:val="single" w:sz="4" w:space="0" w:color="auto"/>
            </w:tcBorders>
          </w:tcPr>
          <w:p w14:paraId="7779882F" w14:textId="0471A6E5"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Se referă la competențele CERS.</w:t>
            </w:r>
          </w:p>
        </w:tc>
      </w:tr>
      <w:tr w:rsidR="00984B34" w:rsidRPr="009E686F" w14:paraId="27854C5A" w14:textId="722B8B02" w:rsidTr="00774F3E">
        <w:tc>
          <w:tcPr>
            <w:tcW w:w="1796" w:type="pct"/>
            <w:gridSpan w:val="2"/>
            <w:tcBorders>
              <w:top w:val="single" w:sz="4" w:space="0" w:color="auto"/>
              <w:left w:val="single" w:sz="4" w:space="0" w:color="auto"/>
              <w:bottom w:val="single" w:sz="4" w:space="0" w:color="auto"/>
              <w:right w:val="single" w:sz="4" w:space="0" w:color="auto"/>
            </w:tcBorders>
          </w:tcPr>
          <w:p w14:paraId="58E33921" w14:textId="04CA9289"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(4) În cazul în care o autoritate desemnată stabilește o rată a amortizorului anticiclic pentru o țară terță, conform alineatului (2) sau (3), care crește rata aplicabilă existentă a amortizorului anticiclic, autoritatea desemnată decide data de la care instituțiile autorizate la nivel intern trebuie să aplice această rată a amortizorului în scopul calculării amortizorului anticiclic de capital specific instituției. Data în cauză nu depășește 12 luni de la data la care rata amortizorului a fost anunțată în conformitate cu alineatul (5). Dacă data este înainte de 12 luni de la data la care s-a anunțat rata amortizorului, termenul mai scurt pentru punerea în aplicare se justifică pe baza unor circumstanțe excepționale</w:t>
            </w:r>
          </w:p>
        </w:tc>
        <w:tc>
          <w:tcPr>
            <w:tcW w:w="1928" w:type="pct"/>
            <w:gridSpan w:val="3"/>
            <w:tcBorders>
              <w:top w:val="single" w:sz="4" w:space="0" w:color="auto"/>
              <w:left w:val="single" w:sz="4" w:space="0" w:color="auto"/>
              <w:bottom w:val="single" w:sz="4" w:space="0" w:color="auto"/>
              <w:right w:val="single" w:sz="4" w:space="0" w:color="auto"/>
            </w:tcBorders>
          </w:tcPr>
          <w:p w14:paraId="6F948935" w14:textId="4598718C"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b/>
                <w:lang w:val="ro-RO"/>
              </w:rPr>
              <w:t>Pct. 45-46 din Regulamentul cu privire la amortizoarele de capital ale băncilor, aprobat prin HCE nr.110/2018</w:t>
            </w:r>
          </w:p>
          <w:p w14:paraId="299AB89B" w14:textId="77777777" w:rsidR="00984B34" w:rsidRPr="009E686F" w:rsidRDefault="00984B34" w:rsidP="00984B34">
            <w:pPr>
              <w:spacing w:after="0"/>
              <w:jc w:val="both"/>
              <w:rPr>
                <w:rFonts w:ascii="Times New Roman" w:hAnsi="Times New Roman" w:cs="Times New Roman"/>
                <w:bCs/>
                <w:lang w:val="ro-RO"/>
              </w:rPr>
            </w:pPr>
            <w:r w:rsidRPr="009E686F">
              <w:rPr>
                <w:rFonts w:ascii="Times New Roman" w:hAnsi="Times New Roman" w:cs="Times New Roman"/>
                <w:b/>
                <w:lang w:val="ro-RO"/>
              </w:rPr>
              <w:t>45.</w:t>
            </w:r>
            <w:r w:rsidRPr="009E686F">
              <w:rPr>
                <w:rFonts w:ascii="Times New Roman" w:hAnsi="Times New Roman" w:cs="Times New Roman"/>
                <w:bCs/>
                <w:lang w:val="ro-RO"/>
              </w:rPr>
              <w:t xml:space="preserve"> În cazul în care conform punctului 40 sau 43 se stabilește o rată a amortizorului anticiclic pentru un stat străin care este superioară ratei aplicabile existente a amortizorului anticiclic, de asemenea se stabilește data de la care urmează a fi aplicată această rată majorată în scopul calculării amortizorului anticiclic de capital specific băncii. Data în cauză nu trebuie să depășească, 12 luni de la data la care rata majorată a amortizorului anticiclic este publicată în conformitate cu punctul 47.</w:t>
            </w:r>
          </w:p>
          <w:p w14:paraId="29BA7A3D" w14:textId="5A405D63" w:rsidR="00984B34" w:rsidRPr="009E686F" w:rsidRDefault="00984B34" w:rsidP="00984B34">
            <w:pPr>
              <w:spacing w:after="0"/>
              <w:jc w:val="both"/>
              <w:rPr>
                <w:rFonts w:ascii="Times New Roman" w:hAnsi="Times New Roman" w:cs="Times New Roman"/>
                <w:bCs/>
                <w:lang w:val="ro-RO"/>
              </w:rPr>
            </w:pPr>
            <w:r w:rsidRPr="009E686F">
              <w:rPr>
                <w:rFonts w:ascii="Times New Roman" w:hAnsi="Times New Roman" w:cs="Times New Roman"/>
                <w:b/>
                <w:lang w:val="ro-RO"/>
              </w:rPr>
              <w:t>46.</w:t>
            </w:r>
            <w:r w:rsidRPr="009E686F">
              <w:rPr>
                <w:rFonts w:ascii="Times New Roman" w:hAnsi="Times New Roman" w:cs="Times New Roman"/>
                <w:bCs/>
                <w:lang w:val="ro-RO"/>
              </w:rPr>
              <w:t xml:space="preserve"> În cazul în care data menționată la punctul 45 este înainte de 12 luni de la data la care rata majorată a amortizorului anticiclic este publicată, termenul mai scurt pentru punerea în aplicare se justifică pe baza unor circumstanțe excepționale.</w:t>
            </w:r>
          </w:p>
        </w:tc>
        <w:tc>
          <w:tcPr>
            <w:tcW w:w="470" w:type="pct"/>
            <w:tcBorders>
              <w:top w:val="single" w:sz="4" w:space="0" w:color="auto"/>
              <w:left w:val="single" w:sz="4" w:space="0" w:color="auto"/>
              <w:bottom w:val="single" w:sz="4" w:space="0" w:color="auto"/>
              <w:right w:val="single" w:sz="4" w:space="0" w:color="auto"/>
            </w:tcBorders>
          </w:tcPr>
          <w:p w14:paraId="5A66C144" w14:textId="77777777"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 xml:space="preserve">Compatibil </w:t>
            </w:r>
          </w:p>
          <w:p w14:paraId="71F03745" w14:textId="66F7FF07"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66D02AD6" w14:textId="77777777" w:rsidR="00984B34" w:rsidRPr="009E686F" w:rsidRDefault="00984B34" w:rsidP="00984B34">
            <w:pPr>
              <w:jc w:val="both"/>
              <w:rPr>
                <w:rFonts w:ascii="Times New Roman" w:hAnsi="Times New Roman" w:cs="Times New Roman"/>
                <w:lang w:val="ro-RO"/>
              </w:rPr>
            </w:pPr>
          </w:p>
        </w:tc>
      </w:tr>
      <w:tr w:rsidR="00984B34" w:rsidRPr="009E686F" w14:paraId="07683EAD" w14:textId="66EB5D7B" w:rsidTr="00774F3E">
        <w:tc>
          <w:tcPr>
            <w:tcW w:w="1796" w:type="pct"/>
            <w:gridSpan w:val="2"/>
            <w:tcBorders>
              <w:top w:val="single" w:sz="4" w:space="0" w:color="auto"/>
              <w:left w:val="single" w:sz="4" w:space="0" w:color="auto"/>
              <w:bottom w:val="single" w:sz="4" w:space="0" w:color="auto"/>
              <w:right w:val="single" w:sz="4" w:space="0" w:color="auto"/>
            </w:tcBorders>
          </w:tcPr>
          <w:p w14:paraId="0AEA9E7D" w14:textId="2E73B02E"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(5) Autoritățile desemnate publică pe site-ul lor internet orice rată a amortizorului anticiclic care a fost stabilită pentru o țară terță în conformitate cu alineatul (2) sau (3), incluzând următoarele informații:</w:t>
            </w:r>
          </w:p>
          <w:p w14:paraId="6E6F3AA4"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a) rata amortizorului anticiclic și țara terță căreia i se aplică;</w:t>
            </w:r>
          </w:p>
          <w:p w14:paraId="4DE05A7D" w14:textId="020DFCB1"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(b) o justificare a acestei rate a amortizorului;</w:t>
            </w:r>
          </w:p>
          <w:p w14:paraId="67208241" w14:textId="199F580B"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(c) în cazul în care rata amortizorului este stabilită la peste zero pentru prima dată sau este majorat, data de la care instituțiile trebuie să aplice rata majorată a amortizorului în </w:t>
            </w:r>
            <w:r w:rsidRPr="009E686F">
              <w:rPr>
                <w:rFonts w:ascii="Times New Roman" w:hAnsi="Times New Roman" w:cs="Times New Roman"/>
                <w:lang w:val="ro-RO"/>
              </w:rPr>
              <w:lastRenderedPageBreak/>
              <w:t>scopul calculării amortizorului anticiclic de capital specific instituției;</w:t>
            </w:r>
          </w:p>
          <w:p w14:paraId="7DFF68AF" w14:textId="0041BDA6"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(d) în cazul în care data menționată la litera (c) este înainte de 12 luni de la data publicării ratei prevăzută la prezentul alineat, o trimitere la circumstanțele excepționale care justifică scurtarea termenului pentru punerea în aplicare.</w:t>
            </w:r>
          </w:p>
        </w:tc>
        <w:tc>
          <w:tcPr>
            <w:tcW w:w="1928" w:type="pct"/>
            <w:gridSpan w:val="3"/>
            <w:tcBorders>
              <w:top w:val="single" w:sz="4" w:space="0" w:color="auto"/>
              <w:left w:val="single" w:sz="4" w:space="0" w:color="auto"/>
              <w:bottom w:val="single" w:sz="4" w:space="0" w:color="auto"/>
              <w:right w:val="single" w:sz="4" w:space="0" w:color="auto"/>
            </w:tcBorders>
          </w:tcPr>
          <w:p w14:paraId="724B82FE" w14:textId="02A70F1C"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b/>
                <w:lang w:val="ro-RO"/>
              </w:rPr>
              <w:lastRenderedPageBreak/>
              <w:t>Pct. 48 din Regulamentul cu privire la amortizoarele de capital ale băncilor, aprobat prin HCE nr.110/2018</w:t>
            </w:r>
          </w:p>
          <w:p w14:paraId="2FD0FCFB"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b/>
                <w:bCs/>
                <w:lang w:val="ro-RO"/>
              </w:rPr>
              <w:t>48.</w:t>
            </w:r>
            <w:r w:rsidRPr="009E686F">
              <w:rPr>
                <w:rFonts w:ascii="Times New Roman" w:hAnsi="Times New Roman" w:cs="Times New Roman"/>
                <w:lang w:val="ro-RO"/>
              </w:rPr>
              <w:t xml:space="preserve"> Banca Națională a Moldovei de asemenea anunță pe pagina sa oficială stabilirea oricărei rate a amortizorului anticiclic pentru un stat străin în conformitate cu punctul 40 sau 43. Anunțul include cel puțin următoarele informații: </w:t>
            </w:r>
          </w:p>
          <w:p w14:paraId="7F860903"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1) rata amortizorului anticiclic și statul străin căruia i se aplică; </w:t>
            </w:r>
          </w:p>
          <w:p w14:paraId="5414C481"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2) o justificare a acestei rate a amortizorului; </w:t>
            </w:r>
          </w:p>
          <w:p w14:paraId="3BC371FD"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3) în cazul în care rata amortizorului anticiclic este stabilită peste zero pentru prima dată sau este majorată - data de la care trebuie </w:t>
            </w:r>
            <w:r w:rsidRPr="009E686F">
              <w:rPr>
                <w:rFonts w:ascii="Times New Roman" w:hAnsi="Times New Roman" w:cs="Times New Roman"/>
                <w:lang w:val="ro-RO"/>
              </w:rPr>
              <w:lastRenderedPageBreak/>
              <w:t xml:space="preserve">să fie aplicată rata majorată în scopul calculării amortizorului anticiclic de capital specific băncii; </w:t>
            </w:r>
          </w:p>
          <w:p w14:paraId="5FC3C5F4" w14:textId="2BAD0102"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4) în cazul în care data menționată la subpunctul 3) este înainte de 12 luni de la data publicării hotărârii conform punctului 47 - o referire la circumstanțele excepționale care justifică reducerea termenului de punere în aplicare.</w:t>
            </w:r>
          </w:p>
        </w:tc>
        <w:tc>
          <w:tcPr>
            <w:tcW w:w="470" w:type="pct"/>
            <w:tcBorders>
              <w:top w:val="single" w:sz="4" w:space="0" w:color="auto"/>
              <w:left w:val="single" w:sz="4" w:space="0" w:color="auto"/>
              <w:bottom w:val="single" w:sz="4" w:space="0" w:color="auto"/>
              <w:right w:val="single" w:sz="4" w:space="0" w:color="auto"/>
            </w:tcBorders>
          </w:tcPr>
          <w:p w14:paraId="0757880F" w14:textId="77777777"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lastRenderedPageBreak/>
              <w:t xml:space="preserve">Compatibil </w:t>
            </w:r>
          </w:p>
          <w:p w14:paraId="748E0524" w14:textId="0A57AC2E"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67643549" w14:textId="77777777" w:rsidR="00984B34" w:rsidRPr="009E686F" w:rsidRDefault="00984B34" w:rsidP="00984B34">
            <w:pPr>
              <w:jc w:val="both"/>
              <w:rPr>
                <w:rFonts w:ascii="Times New Roman" w:hAnsi="Times New Roman" w:cs="Times New Roman"/>
                <w:lang w:val="ro-RO"/>
              </w:rPr>
            </w:pPr>
          </w:p>
        </w:tc>
      </w:tr>
      <w:tr w:rsidR="00984B34" w:rsidRPr="009E686F" w14:paraId="14373C4A" w14:textId="77777777" w:rsidTr="00D6309A">
        <w:tc>
          <w:tcPr>
            <w:tcW w:w="5000" w:type="pct"/>
            <w:gridSpan w:val="7"/>
            <w:tcBorders>
              <w:top w:val="single" w:sz="4" w:space="0" w:color="auto"/>
              <w:left w:val="single" w:sz="4" w:space="0" w:color="auto"/>
              <w:bottom w:val="single" w:sz="4" w:space="0" w:color="auto"/>
              <w:right w:val="single" w:sz="4" w:space="0" w:color="auto"/>
            </w:tcBorders>
          </w:tcPr>
          <w:p w14:paraId="7EA29D5B" w14:textId="77777777" w:rsidR="00984B34" w:rsidRPr="009E686F" w:rsidRDefault="00984B34" w:rsidP="00984B34">
            <w:pPr>
              <w:spacing w:after="0"/>
              <w:jc w:val="both"/>
              <w:rPr>
                <w:rFonts w:ascii="Times New Roman" w:hAnsi="Times New Roman" w:cs="Times New Roman"/>
                <w:i/>
                <w:iCs/>
                <w:lang w:val="ro-RO"/>
              </w:rPr>
            </w:pPr>
            <w:r w:rsidRPr="009E686F">
              <w:rPr>
                <w:rFonts w:ascii="Times New Roman" w:hAnsi="Times New Roman" w:cs="Times New Roman"/>
                <w:i/>
                <w:iCs/>
                <w:lang w:val="ro-RO"/>
              </w:rPr>
              <w:t>Articolul 140</w:t>
            </w:r>
          </w:p>
          <w:p w14:paraId="156664D7" w14:textId="59562602"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Calcularea ratei amortizorului anticiclic de capital specific instituției</w:t>
            </w:r>
          </w:p>
        </w:tc>
      </w:tr>
      <w:tr w:rsidR="00984B34" w:rsidRPr="009E686F" w14:paraId="15C4B807" w14:textId="79626210" w:rsidTr="00774F3E">
        <w:tc>
          <w:tcPr>
            <w:tcW w:w="1796" w:type="pct"/>
            <w:gridSpan w:val="2"/>
            <w:tcBorders>
              <w:top w:val="single" w:sz="4" w:space="0" w:color="auto"/>
              <w:left w:val="single" w:sz="4" w:space="0" w:color="auto"/>
              <w:bottom w:val="single" w:sz="4" w:space="0" w:color="auto"/>
              <w:right w:val="single" w:sz="4" w:space="0" w:color="auto"/>
            </w:tcBorders>
          </w:tcPr>
          <w:p w14:paraId="259586BB" w14:textId="0F132985"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(1) Rata amortizorului anticiclic de capital specific instituției este egală cu media ponderată a ratelor amortizorului anticiclic care se aplică în țările în care sunt situate expunerile din credite relevante ale instituției sau care se aplică în sensul prezentului articol, în temeiul articolului 139 alineatul (2) sau (3).</w:t>
            </w:r>
          </w:p>
        </w:tc>
        <w:tc>
          <w:tcPr>
            <w:tcW w:w="1928" w:type="pct"/>
            <w:gridSpan w:val="3"/>
            <w:tcBorders>
              <w:top w:val="single" w:sz="4" w:space="0" w:color="auto"/>
              <w:left w:val="single" w:sz="4" w:space="0" w:color="auto"/>
              <w:bottom w:val="single" w:sz="4" w:space="0" w:color="auto"/>
              <w:right w:val="single" w:sz="4" w:space="0" w:color="auto"/>
            </w:tcBorders>
          </w:tcPr>
          <w:p w14:paraId="28F9FF41" w14:textId="06BEB553"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b/>
                <w:lang w:val="ro-RO"/>
              </w:rPr>
              <w:t>Pct. 16 din Regulamentul cu privire la amortizoarele de capital ale băncilor, aprobat prin HCE nr.110/2018</w:t>
            </w:r>
          </w:p>
          <w:p w14:paraId="4D04F344" w14:textId="270C666C" w:rsidR="00984B34" w:rsidRPr="009E686F" w:rsidRDefault="00984B34" w:rsidP="00984B34">
            <w:pPr>
              <w:spacing w:after="0"/>
              <w:jc w:val="both"/>
              <w:rPr>
                <w:rFonts w:ascii="Times New Roman" w:hAnsi="Times New Roman" w:cs="Times New Roman"/>
                <w:bCs/>
                <w:lang w:val="ro-RO"/>
              </w:rPr>
            </w:pPr>
            <w:r w:rsidRPr="009E686F">
              <w:rPr>
                <w:rFonts w:ascii="Times New Roman" w:hAnsi="Times New Roman" w:cs="Times New Roman"/>
                <w:bCs/>
                <w:lang w:val="ro-RO"/>
              </w:rPr>
              <w:t>Secțiunea a 3-a. Calcularea ratei amortizorului anticiclic de capital specific băncii</w:t>
            </w:r>
          </w:p>
          <w:p w14:paraId="69FBDBE7" w14:textId="7A0036AB" w:rsidR="00984B34" w:rsidRPr="009E686F" w:rsidRDefault="00984B34" w:rsidP="00984B34">
            <w:pPr>
              <w:spacing w:after="0"/>
              <w:jc w:val="both"/>
              <w:rPr>
                <w:rFonts w:ascii="Times New Roman" w:hAnsi="Times New Roman" w:cs="Times New Roman"/>
                <w:bCs/>
                <w:lang w:val="ro-RO"/>
              </w:rPr>
            </w:pPr>
            <w:r w:rsidRPr="009E686F">
              <w:rPr>
                <w:rFonts w:ascii="Times New Roman" w:hAnsi="Times New Roman" w:cs="Times New Roman"/>
                <w:b/>
                <w:lang w:val="ro-RO"/>
              </w:rPr>
              <w:t>16.</w:t>
            </w:r>
            <w:r w:rsidRPr="009E686F">
              <w:rPr>
                <w:rFonts w:ascii="Times New Roman" w:hAnsi="Times New Roman" w:cs="Times New Roman"/>
                <w:bCs/>
                <w:lang w:val="ro-RO"/>
              </w:rPr>
              <w:t xml:space="preserve"> Rata amortizorului anticiclic de capital specific băncii este egală cu media ponderată a ratelor amortizorului anticiclic care se aplică în Republica Moldova și în statele străine în care sunt situate expunerile relevante din credite ale băncii sau care se aplică pentru scopurile prezentei secțiuni, în temeiul punctelor 40 sau 43.</w:t>
            </w:r>
          </w:p>
        </w:tc>
        <w:tc>
          <w:tcPr>
            <w:tcW w:w="470" w:type="pct"/>
            <w:tcBorders>
              <w:top w:val="single" w:sz="4" w:space="0" w:color="auto"/>
              <w:left w:val="single" w:sz="4" w:space="0" w:color="auto"/>
              <w:bottom w:val="single" w:sz="4" w:space="0" w:color="auto"/>
              <w:right w:val="single" w:sz="4" w:space="0" w:color="auto"/>
            </w:tcBorders>
          </w:tcPr>
          <w:p w14:paraId="7E3015E4" w14:textId="055DA5DD"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 xml:space="preserve">Compatibil </w:t>
            </w:r>
          </w:p>
        </w:tc>
        <w:tc>
          <w:tcPr>
            <w:tcW w:w="806" w:type="pct"/>
            <w:tcBorders>
              <w:top w:val="single" w:sz="4" w:space="0" w:color="auto"/>
              <w:left w:val="single" w:sz="4" w:space="0" w:color="auto"/>
              <w:bottom w:val="single" w:sz="4" w:space="0" w:color="auto"/>
              <w:right w:val="single" w:sz="4" w:space="0" w:color="auto"/>
            </w:tcBorders>
          </w:tcPr>
          <w:p w14:paraId="3864EE44" w14:textId="77777777" w:rsidR="00984B34" w:rsidRPr="009E686F" w:rsidRDefault="00984B34" w:rsidP="00984B34">
            <w:pPr>
              <w:jc w:val="both"/>
              <w:rPr>
                <w:rFonts w:ascii="Times New Roman" w:hAnsi="Times New Roman" w:cs="Times New Roman"/>
                <w:lang w:val="ro-RO"/>
              </w:rPr>
            </w:pPr>
          </w:p>
        </w:tc>
      </w:tr>
      <w:tr w:rsidR="00984B34" w:rsidRPr="009E686F" w14:paraId="60B4E776" w14:textId="44DE882B" w:rsidTr="00774F3E">
        <w:tc>
          <w:tcPr>
            <w:tcW w:w="1796" w:type="pct"/>
            <w:gridSpan w:val="2"/>
            <w:tcBorders>
              <w:top w:val="single" w:sz="4" w:space="0" w:color="auto"/>
              <w:left w:val="single" w:sz="4" w:space="0" w:color="auto"/>
              <w:bottom w:val="single" w:sz="4" w:space="0" w:color="auto"/>
              <w:right w:val="single" w:sz="4" w:space="0" w:color="auto"/>
            </w:tcBorders>
          </w:tcPr>
          <w:p w14:paraId="1C6BD19F"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Pentru a calcula media ponderată menționată la primul paragraf, statele membre cer instituțiilor să aplice fiecărei rate al amortizorului anticiclic aplicabilă cerințele sale totale de fonduri proprii pentru riscul de credit, stabilite în conformitate cu partea a treia titlurile II și IV din Regulamentul (UE) nr. 575/2013, corespunzând expunerilor din credite relevante din teritoriul în cauză, împărțite la cerințele totale de fonduri proprii pentru riscul de credit corespunzând tuturor expunerilor sale din credite relevante.</w:t>
            </w:r>
          </w:p>
        </w:tc>
        <w:tc>
          <w:tcPr>
            <w:tcW w:w="1928" w:type="pct"/>
            <w:gridSpan w:val="3"/>
            <w:tcBorders>
              <w:top w:val="single" w:sz="4" w:space="0" w:color="auto"/>
              <w:left w:val="single" w:sz="4" w:space="0" w:color="auto"/>
              <w:bottom w:val="single" w:sz="4" w:space="0" w:color="auto"/>
              <w:right w:val="single" w:sz="4" w:space="0" w:color="auto"/>
            </w:tcBorders>
          </w:tcPr>
          <w:p w14:paraId="03E66824" w14:textId="69E4EF39"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b/>
                <w:lang w:val="ro-RO"/>
              </w:rPr>
              <w:t>Pct. 17 și 18 din Regulamentul cu privire la amortizoarele de capital ale băncilor, aprobat prin HCE nr.110/2018</w:t>
            </w:r>
          </w:p>
          <w:p w14:paraId="125E867D"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b/>
                <w:bCs/>
                <w:lang w:val="ro-RO"/>
              </w:rPr>
              <w:t>17.</w:t>
            </w:r>
            <w:r w:rsidRPr="009E686F">
              <w:rPr>
                <w:rFonts w:ascii="Times New Roman" w:hAnsi="Times New Roman" w:cs="Times New Roman"/>
                <w:lang w:val="ro-RO"/>
              </w:rPr>
              <w:t xml:space="preserve"> În vederea calculării mediei ponderate menționate la punctul 16, banca va aplica, fiecărei rate a amortizorului anticiclic aplicabile pentru expunerile situate într-o țară, coeficientul obținut prin împărțirea cerințelor sale totale de fonduri proprii pentru riscul de credit, care se referă la expunerile relevante din credite situate în țara respectivă, la cerințele totale de fonduri proprii pentru riscul de credit care se referă la toate expunerile sale relevante din credite. </w:t>
            </w:r>
          </w:p>
          <w:p w14:paraId="1F7A220B"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b/>
                <w:bCs/>
                <w:lang w:val="ro-RO"/>
              </w:rPr>
              <w:t>18.</w:t>
            </w:r>
            <w:r w:rsidRPr="009E686F">
              <w:rPr>
                <w:rFonts w:ascii="Times New Roman" w:hAnsi="Times New Roman" w:cs="Times New Roman"/>
                <w:lang w:val="ro-RO"/>
              </w:rPr>
              <w:t xml:space="preserve"> Cerinţele totale de fonduri proprii pentru riscul de credit utilizate pentru calcularea coeficientului menţionat la punctul 17 </w:t>
            </w:r>
            <w:r w:rsidRPr="009E686F">
              <w:rPr>
                <w:rFonts w:ascii="Times New Roman" w:hAnsi="Times New Roman" w:cs="Times New Roman"/>
                <w:lang w:val="ro-RO"/>
              </w:rPr>
              <w:lastRenderedPageBreak/>
              <w:t>se determină în conformitate cu prevederile următoarelor acte normative ale Băncii Naţionale a Moldovei:</w:t>
            </w:r>
          </w:p>
          <w:p w14:paraId="2B78B51F"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1) Regulamentul cu privire la tratamentul riscului de credit pentru bănci potrivit abordării standardizate, aprobat prin Hotărârea Comitetului executiv al Băncii Naţionale a Moldovei nr.111/2018 (în continuare – Regulamentul nr.111/2018);</w:t>
            </w:r>
          </w:p>
          <w:p w14:paraId="50C937C8"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2) Regulamentul cu privire la tehnicile de diminuare a riscului de credit utilizate de bănci, aprobat prin Hotărârea Comitetului executiv al Băncii Naţionale a Moldovei nr.112/2018 (în continuare – Regulamentul nr.112/2018);</w:t>
            </w:r>
          </w:p>
          <w:p w14:paraId="3D2AF064" w14:textId="526DE579"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3) Regulamentul cu privire la tratamentul riscului de piaţă potrivit abordării standardizate, aprobat prin Hotărârea Comitetului executiv al Băncii Naţionale a Moldovei nr.114/2018 (în continuare – Regulamentul nr.114/2018)..</w:t>
            </w:r>
          </w:p>
        </w:tc>
        <w:tc>
          <w:tcPr>
            <w:tcW w:w="470" w:type="pct"/>
            <w:tcBorders>
              <w:top w:val="single" w:sz="4" w:space="0" w:color="auto"/>
              <w:left w:val="single" w:sz="4" w:space="0" w:color="auto"/>
              <w:bottom w:val="single" w:sz="4" w:space="0" w:color="auto"/>
              <w:right w:val="single" w:sz="4" w:space="0" w:color="auto"/>
            </w:tcBorders>
          </w:tcPr>
          <w:p w14:paraId="010035DC" w14:textId="28AE5095"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lastRenderedPageBreak/>
              <w:t xml:space="preserve">Compatibil </w:t>
            </w:r>
          </w:p>
          <w:p w14:paraId="33550BDD" w14:textId="4D74639E"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39DD3295" w14:textId="77777777" w:rsidR="00984B34" w:rsidRPr="009E686F" w:rsidRDefault="00984B34" w:rsidP="00984B34">
            <w:pPr>
              <w:jc w:val="both"/>
              <w:rPr>
                <w:rFonts w:ascii="Times New Roman" w:hAnsi="Times New Roman" w:cs="Times New Roman"/>
                <w:lang w:val="ro-RO"/>
              </w:rPr>
            </w:pPr>
          </w:p>
        </w:tc>
      </w:tr>
      <w:tr w:rsidR="00984B34" w:rsidRPr="009E686F" w14:paraId="0DF84A2B" w14:textId="24B99827" w:rsidTr="00774F3E">
        <w:tc>
          <w:tcPr>
            <w:tcW w:w="1796" w:type="pct"/>
            <w:gridSpan w:val="2"/>
            <w:tcBorders>
              <w:top w:val="single" w:sz="4" w:space="0" w:color="auto"/>
              <w:left w:val="single" w:sz="4" w:space="0" w:color="auto"/>
              <w:bottom w:val="single" w:sz="4" w:space="0" w:color="auto"/>
              <w:right w:val="single" w:sz="4" w:space="0" w:color="auto"/>
            </w:tcBorders>
          </w:tcPr>
          <w:p w14:paraId="3E5EEDFD" w14:textId="0C7EA8E4"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(2) Dacă, în conformitate cu articolul 136 alineatul (4), o autoritate desemnată stabilește o rată a amortizorului anticiclic mai mare de 2,5 % din cuantumul total al expunerilor la risc calculat în conformitate cu articolul 92 alineatul (3) din Regulamentul (UE) nr. 575/2013 statele membre se asigură că următoarele rate ale amortizorului se aplică expunerilor din credite relevante situate în statul membru al autorității desemnate în cauză (denumit în continuare, "statul membru A") în scopul calculului prevăzut la alineatul (1), inclusiv, unde este cazul, în scopul calculării elementului de capital consolidat corespunzând instituției în cauză:</w:t>
            </w:r>
          </w:p>
          <w:p w14:paraId="76513FE3" w14:textId="2A039A79"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(a) instituțiile autorizate la nivel național aplică rata amortizorului mai mare de 2,5 % din valoarea totală a expunerilor la risc;</w:t>
            </w:r>
          </w:p>
          <w:p w14:paraId="25F1A0AB" w14:textId="5FDC73A9"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(b) instituțiile care sunt autorizate într-un alt stat membru aplică o rată a amortizorului anticiclic de 2,5 % din valoarea totală a expunerilor la risc dacă autoritatea desemnată din </w:t>
            </w:r>
            <w:r w:rsidRPr="009E686F">
              <w:rPr>
                <w:rFonts w:ascii="Times New Roman" w:hAnsi="Times New Roman" w:cs="Times New Roman"/>
                <w:lang w:val="ro-RO"/>
              </w:rPr>
              <w:lastRenderedPageBreak/>
              <w:t>statul membru în care acestea au fost autorizate nu a recunoscut rata amortizorului mai mare de 2,5 % în conformitate cu articolul 137 alineatul (1);</w:t>
            </w:r>
          </w:p>
          <w:p w14:paraId="57C0C1D9" w14:textId="5B8504F1"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(c) instituțiile care sunt autorizate într-un alt stat membru aplică rata amortizorului anticiclic stabilită de autoritatea desemnată din statul membru A, dacă autoritatea desemnată din statul membru în care au fost autorizate a recunoscut rata amortizorului în conformitate cu articolul 137.</w:t>
            </w:r>
          </w:p>
        </w:tc>
        <w:tc>
          <w:tcPr>
            <w:tcW w:w="1928" w:type="pct"/>
            <w:gridSpan w:val="3"/>
            <w:tcBorders>
              <w:top w:val="single" w:sz="4" w:space="0" w:color="auto"/>
              <w:left w:val="single" w:sz="4" w:space="0" w:color="auto"/>
              <w:bottom w:val="single" w:sz="4" w:space="0" w:color="auto"/>
              <w:right w:val="single" w:sz="4" w:space="0" w:color="auto"/>
            </w:tcBorders>
          </w:tcPr>
          <w:p w14:paraId="133824B3" w14:textId="5156D6D9"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b/>
                <w:lang w:val="ro-RO"/>
              </w:rPr>
              <w:lastRenderedPageBreak/>
              <w:t>Pct. 22 din Regulamentul cu privire la amortizoarele de capital ale băncilor, aprobat prin HCE nr.110/2018</w:t>
            </w:r>
          </w:p>
          <w:p w14:paraId="651CA843" w14:textId="34B181F8" w:rsidR="00984B34" w:rsidRPr="009E686F" w:rsidRDefault="00984B34" w:rsidP="00984B34">
            <w:pPr>
              <w:spacing w:after="0"/>
              <w:jc w:val="both"/>
              <w:rPr>
                <w:rFonts w:ascii="Times New Roman" w:hAnsi="Times New Roman" w:cs="Times New Roman"/>
                <w:bCs/>
                <w:lang w:val="ro-RO"/>
              </w:rPr>
            </w:pPr>
            <w:r w:rsidRPr="009E686F">
              <w:rPr>
                <w:rFonts w:ascii="Times New Roman" w:hAnsi="Times New Roman" w:cs="Times New Roman"/>
                <w:b/>
                <w:lang w:val="ro-RO"/>
              </w:rPr>
              <w:t>22.</w:t>
            </w:r>
            <w:r w:rsidRPr="009E686F">
              <w:rPr>
                <w:rFonts w:ascii="Times New Roman" w:hAnsi="Times New Roman" w:cs="Times New Roman"/>
                <w:bCs/>
                <w:lang w:val="ro-RO"/>
              </w:rPr>
              <w:t xml:space="preserve"> Dacă, în conformitate cu punctul 32, Banca Națională a Moldovei stabilește rata amortizorului anticiclic mai mare de 2,5% din cuantumul total al expunerii la risc, băncile aplică expunerilor situate în Republica Moldova rata amortizorului respectiv, stabilită de Banca Națională a Moldovei, în scopul calculului prevăzut la punctele 16 și 17, inclusiv, unde este cazul, în scopul calculării elementului de capital consolidat corespunzător băncii în cauză.</w:t>
            </w:r>
          </w:p>
          <w:p w14:paraId="6E301BB3" w14:textId="0B7D3686" w:rsidR="00984B34" w:rsidRPr="009E686F" w:rsidRDefault="00984B34" w:rsidP="00984B34">
            <w:pPr>
              <w:spacing w:after="0"/>
              <w:jc w:val="both"/>
              <w:rPr>
                <w:rFonts w:ascii="Times New Roman" w:hAnsi="Times New Roman" w:cs="Times New Roman"/>
                <w:lang w:val="ro-RO"/>
              </w:rPr>
            </w:pPr>
          </w:p>
        </w:tc>
        <w:tc>
          <w:tcPr>
            <w:tcW w:w="470" w:type="pct"/>
            <w:tcBorders>
              <w:top w:val="single" w:sz="4" w:space="0" w:color="auto"/>
              <w:left w:val="single" w:sz="4" w:space="0" w:color="auto"/>
              <w:bottom w:val="single" w:sz="4" w:space="0" w:color="auto"/>
              <w:right w:val="single" w:sz="4" w:space="0" w:color="auto"/>
            </w:tcBorders>
          </w:tcPr>
          <w:p w14:paraId="3C2F2470" w14:textId="595D32EC"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 xml:space="preserve">Parțial Compatibil </w:t>
            </w:r>
          </w:p>
          <w:p w14:paraId="46A39E2F" w14:textId="38E2B27D"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3BF842DA" w14:textId="25BE3A94"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Prevederile se vor transpune integral prin proiectul de modificare a Regulamentului cu privire la amortizoarele de capital ale băncilor, aprobat prin HCE nr. 110/2018</w:t>
            </w:r>
            <w:r w:rsidR="0008435A" w:rsidRPr="009E686F">
              <w:rPr>
                <w:rFonts w:ascii="Times New Roman" w:hAnsi="Times New Roman" w:cs="Times New Roman"/>
                <w:lang w:val="ro-RO"/>
              </w:rPr>
              <w:t xml:space="preserve"> (</w:t>
            </w:r>
            <w:r w:rsidR="0008435A" w:rsidRPr="009E686F">
              <w:rPr>
                <w:rFonts w:ascii="Times New Roman" w:eastAsia="Times New Roman" w:hAnsi="Times New Roman" w:cs="Times New Roman"/>
                <w:bCs/>
                <w:lang w:val="it-CH" w:eastAsia="ru-RU"/>
              </w:rPr>
              <w:t>acțiunea normativă nr. 3 din Anexa A din PNA 2025-2029 aferentă Capitolului 9 “Servicii financiare” în legătură cu transpunerea Directivei 2013/36/UE).</w:t>
            </w:r>
          </w:p>
        </w:tc>
      </w:tr>
      <w:tr w:rsidR="00984B34" w:rsidRPr="009E686F" w14:paraId="1FC41E5C" w14:textId="2FC77C59" w:rsidTr="00774F3E">
        <w:tc>
          <w:tcPr>
            <w:tcW w:w="1796" w:type="pct"/>
            <w:gridSpan w:val="2"/>
            <w:tcBorders>
              <w:top w:val="single" w:sz="4" w:space="0" w:color="auto"/>
              <w:left w:val="single" w:sz="4" w:space="0" w:color="auto"/>
              <w:bottom w:val="single" w:sz="4" w:space="0" w:color="auto"/>
              <w:right w:val="single" w:sz="4" w:space="0" w:color="auto"/>
            </w:tcBorders>
          </w:tcPr>
          <w:p w14:paraId="58BBE7A9" w14:textId="4DD4BDF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(3) Dacă rata amortizorului anticiclic stabilită de autoritatea competentă dintr-o țară terță pentru această țară terță este mai mare de 2,5 % din valoarea totală a expunerilor la risc calculată în conformitate cu articolul 92 alineatul (3) din Regulamentul (UE) nr. 575/2013, statele membre se asigură că următoarele rate ale amortizorului se aplică expunerilor din credite relevante situate în această țară terță în scopul calculului prevăzut la alineatul (1), inclusiv, unde este cazul, în scopul calculării elementului de capital consolidat corespunzând instituției în cauză:</w:t>
            </w:r>
          </w:p>
          <w:p w14:paraId="3D47F986" w14:textId="31BE6D3C"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(a) instituțiile aplică o rată a amortizorului anticiclic de 2,5 % din valoarea totală a expunerilor la risc dacă autoritatea desemnată din statul membru în care acestea au fost autorizate nu a recunoscut rata amortizorului mai mare de 2,5 % în conformitate cu articolul 137 alineatul (1);</w:t>
            </w:r>
          </w:p>
          <w:p w14:paraId="2A92891E" w14:textId="207DED82"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(b) instituțiile aplică rata amortizorului anticiclic stabilită de autoritatea competentă din țara terță dacă autoritatea desemnată din statul membru în care au fost autorizate a recunoscut această rată a amortizorului în conformitate cu articolul 137.</w:t>
            </w:r>
          </w:p>
        </w:tc>
        <w:tc>
          <w:tcPr>
            <w:tcW w:w="1928" w:type="pct"/>
            <w:gridSpan w:val="3"/>
            <w:tcBorders>
              <w:top w:val="single" w:sz="4" w:space="0" w:color="auto"/>
              <w:left w:val="single" w:sz="4" w:space="0" w:color="auto"/>
              <w:bottom w:val="single" w:sz="4" w:space="0" w:color="auto"/>
              <w:right w:val="single" w:sz="4" w:space="0" w:color="auto"/>
            </w:tcBorders>
          </w:tcPr>
          <w:p w14:paraId="46A98A54" w14:textId="58E89CD9"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b/>
                <w:lang w:val="ro-RO"/>
              </w:rPr>
              <w:t>Pct. 23 din Regulamentul cu privire la amortizoarele de capital ale băncilor, aprobat prin HCE nr.110/2018</w:t>
            </w:r>
          </w:p>
          <w:p w14:paraId="3DC28664" w14:textId="61C0C53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b/>
                <w:bCs/>
                <w:lang w:val="ro-RO"/>
              </w:rPr>
              <w:t>23.</w:t>
            </w:r>
            <w:r w:rsidRPr="009E686F">
              <w:rPr>
                <w:rFonts w:ascii="Times New Roman" w:hAnsi="Times New Roman" w:cs="Times New Roman"/>
                <w:lang w:val="ro-RO"/>
              </w:rPr>
              <w:t xml:space="preserve"> Dacă rata amortizorului anticiclic stabilită de autoritatea relevantă dintr-un stat străin pentru acest stat este mai mare de 2,5 % din cuantumul total al expunerii la risc, băncile aplică următoarele rate ale amortizorului anticiclic pentru expunerile relevante din credite situate în acest stat străin, în scopul calculului prevăzut la punctele 16 și 17, inclusiv, unde este cazul, în scopul calculării elementului de capital consolidat corespunzător băncii în cauză: </w:t>
            </w:r>
          </w:p>
          <w:p w14:paraId="6AAA896A" w14:textId="20FCC71A"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1) o rată a amortizorului anticiclic de 2,5 % din cuantumul total al expunerii la risc, dacă Banca Naţională a Moldovei nu a recunoscut rata amortizorului anticiclic mai mare de 2,5% în conformitate cu secțiunea a 5-a din prezentul capitol; </w:t>
            </w:r>
          </w:p>
          <w:p w14:paraId="1C6EE293" w14:textId="77777777" w:rsidR="00984B34" w:rsidRPr="009E686F" w:rsidRDefault="00984B34" w:rsidP="00984B34">
            <w:pPr>
              <w:spacing w:after="0"/>
              <w:jc w:val="both"/>
              <w:rPr>
                <w:rFonts w:ascii="Times New Roman" w:hAnsi="Times New Roman" w:cs="Times New Roman"/>
                <w:lang w:val="ro-RO"/>
              </w:rPr>
            </w:pPr>
          </w:p>
          <w:p w14:paraId="562BD3AB" w14:textId="7CE5DE20"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2) rata amortizorului anticiclic stabilită de autoritatea relevantă din statul străin, dacă Banca Naţională a Moldovei a recunoscut această rată a amortizorului anticiclic în conformitate cu secțiunea a 5-a din prezentul capitol.</w:t>
            </w:r>
          </w:p>
        </w:tc>
        <w:tc>
          <w:tcPr>
            <w:tcW w:w="470" w:type="pct"/>
            <w:tcBorders>
              <w:top w:val="single" w:sz="4" w:space="0" w:color="auto"/>
              <w:left w:val="single" w:sz="4" w:space="0" w:color="auto"/>
              <w:bottom w:val="single" w:sz="4" w:space="0" w:color="auto"/>
              <w:right w:val="single" w:sz="4" w:space="0" w:color="auto"/>
            </w:tcBorders>
          </w:tcPr>
          <w:p w14:paraId="5E7C9137" w14:textId="496B42D1"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 xml:space="preserve">Compatibil </w:t>
            </w:r>
          </w:p>
          <w:p w14:paraId="6A642AA0" w14:textId="7A1814A2"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5FF0D3BE" w14:textId="77777777" w:rsidR="00984B34" w:rsidRPr="009E686F" w:rsidRDefault="00984B34" w:rsidP="00984B34">
            <w:pPr>
              <w:jc w:val="both"/>
              <w:rPr>
                <w:rFonts w:ascii="Times New Roman" w:hAnsi="Times New Roman" w:cs="Times New Roman"/>
                <w:lang w:val="ro-RO"/>
              </w:rPr>
            </w:pPr>
          </w:p>
        </w:tc>
      </w:tr>
      <w:tr w:rsidR="00984B34" w:rsidRPr="009E686F" w14:paraId="5108EFF0" w14:textId="7BB411FF" w:rsidTr="00774F3E">
        <w:tc>
          <w:tcPr>
            <w:tcW w:w="1796" w:type="pct"/>
            <w:gridSpan w:val="2"/>
            <w:tcBorders>
              <w:top w:val="single" w:sz="4" w:space="0" w:color="auto"/>
              <w:left w:val="single" w:sz="4" w:space="0" w:color="auto"/>
              <w:bottom w:val="single" w:sz="4" w:space="0" w:color="auto"/>
              <w:right w:val="single" w:sz="4" w:space="0" w:color="auto"/>
            </w:tcBorders>
          </w:tcPr>
          <w:p w14:paraId="60D2FFD7" w14:textId="53F5C7CA"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(4) Expunerile la riscul de credit relevante includ toate categoriile de expuneri, în afară de cele menționate la articolul 112 literele (a)-(f) din Regulamentul (UE) nr. 575/2013 care fac obiectul următoarelor cerințe.</w:t>
            </w:r>
          </w:p>
        </w:tc>
        <w:tc>
          <w:tcPr>
            <w:tcW w:w="1928" w:type="pct"/>
            <w:gridSpan w:val="3"/>
            <w:tcBorders>
              <w:top w:val="single" w:sz="4" w:space="0" w:color="auto"/>
              <w:left w:val="single" w:sz="4" w:space="0" w:color="auto"/>
              <w:bottom w:val="single" w:sz="4" w:space="0" w:color="auto"/>
              <w:right w:val="single" w:sz="4" w:space="0" w:color="auto"/>
            </w:tcBorders>
          </w:tcPr>
          <w:p w14:paraId="1987756D" w14:textId="3CAEFA6F"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b/>
                <w:lang w:val="ro-RO"/>
              </w:rPr>
              <w:t>Pct. 19 din Regulamentul cu privire la amortizoarele de capital ale băncilor, aprobat prin HCE nr.110/2018</w:t>
            </w:r>
          </w:p>
          <w:p w14:paraId="3B509391" w14:textId="433D2A1A" w:rsidR="00984B34" w:rsidRPr="009E686F" w:rsidRDefault="00984B34" w:rsidP="00984B34">
            <w:pPr>
              <w:spacing w:after="0"/>
              <w:jc w:val="both"/>
              <w:rPr>
                <w:rFonts w:ascii="Times New Roman" w:hAnsi="Times New Roman" w:cs="Times New Roman"/>
                <w:bCs/>
                <w:lang w:val="ro-RO"/>
              </w:rPr>
            </w:pPr>
            <w:r w:rsidRPr="009E686F">
              <w:rPr>
                <w:rFonts w:ascii="Times New Roman" w:hAnsi="Times New Roman" w:cs="Times New Roman"/>
                <w:b/>
                <w:lang w:val="ro-RO"/>
              </w:rPr>
              <w:t>19.</w:t>
            </w:r>
            <w:r w:rsidRPr="009E686F">
              <w:rPr>
                <w:rFonts w:ascii="Times New Roman" w:hAnsi="Times New Roman" w:cs="Times New Roman"/>
                <w:bCs/>
                <w:lang w:val="ro-RO"/>
              </w:rPr>
              <w:t xml:space="preserve"> Expunerile relevante din credite vor include toate clasele de expuneri (cu excepţia expunerilor faţă de administraţiile centrale </w:t>
            </w:r>
            <w:r w:rsidRPr="009E686F">
              <w:rPr>
                <w:rFonts w:ascii="Times New Roman" w:hAnsi="Times New Roman" w:cs="Times New Roman"/>
                <w:bCs/>
                <w:lang w:val="ro-RO"/>
              </w:rPr>
              <w:lastRenderedPageBreak/>
              <w:t>sau băncile centrale, administraţiile regionale sau autorităţile locale, entităţile din sectorul public, băncile multilaterale de dezvoltare, organizaţiile internaţionale şi faţă de bănci), care fac obiectul următoarelor cerinţe:</w:t>
            </w:r>
          </w:p>
        </w:tc>
        <w:tc>
          <w:tcPr>
            <w:tcW w:w="470" w:type="pct"/>
            <w:tcBorders>
              <w:top w:val="single" w:sz="4" w:space="0" w:color="auto"/>
              <w:left w:val="single" w:sz="4" w:space="0" w:color="auto"/>
              <w:bottom w:val="single" w:sz="4" w:space="0" w:color="auto"/>
              <w:right w:val="single" w:sz="4" w:space="0" w:color="auto"/>
            </w:tcBorders>
          </w:tcPr>
          <w:p w14:paraId="71BC326B" w14:textId="44EAA5E5"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lastRenderedPageBreak/>
              <w:t xml:space="preserve">Compatibil </w:t>
            </w:r>
          </w:p>
          <w:p w14:paraId="1D39E4BD" w14:textId="587B5966"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2785A8F5" w14:textId="77777777" w:rsidR="00984B34" w:rsidRPr="009E686F" w:rsidRDefault="00984B34" w:rsidP="00984B34">
            <w:pPr>
              <w:jc w:val="both"/>
              <w:rPr>
                <w:rFonts w:ascii="Times New Roman" w:hAnsi="Times New Roman" w:cs="Times New Roman"/>
                <w:lang w:val="ro-RO"/>
              </w:rPr>
            </w:pPr>
          </w:p>
        </w:tc>
      </w:tr>
      <w:tr w:rsidR="00984B34" w:rsidRPr="009E686F" w14:paraId="67B232AF" w14:textId="543EBD82" w:rsidTr="00774F3E">
        <w:tc>
          <w:tcPr>
            <w:tcW w:w="1796" w:type="pct"/>
            <w:gridSpan w:val="2"/>
            <w:tcBorders>
              <w:top w:val="single" w:sz="4" w:space="0" w:color="auto"/>
              <w:left w:val="single" w:sz="4" w:space="0" w:color="auto"/>
              <w:bottom w:val="single" w:sz="4" w:space="0" w:color="auto"/>
              <w:right w:val="single" w:sz="4" w:space="0" w:color="auto"/>
            </w:tcBorders>
          </w:tcPr>
          <w:p w14:paraId="1F75CA03" w14:textId="5B3276E9"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(a) cerințele de fonduri proprii pentru riscul de credit, prevăzute în partea a treia titlul II din regulamentul menționat; </w:t>
            </w:r>
          </w:p>
          <w:p w14:paraId="47D0449D" w14:textId="7F8E480B"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(b) în cazul în care expunerea este deținută în portofoliul de tranzacționare, cerințele de fonduri proprii pentru riscuri specifice, prevăzute în partea a treia titlul IV capitolul 2 din regulamentul menționat sau riscuri adiționale de nerambursare și de migrare, prevăzute în partea a treia titlul IV capitolul 5 din regulamentul menționat;</w:t>
            </w:r>
          </w:p>
          <w:p w14:paraId="47FB078A" w14:textId="3DCB4382"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(c) în cazul în care expunerea este o securitizare, cerințele de fonduri proprii prevăzute în partea a treia titlul II capitolul 5 din regulamentul menționat.</w:t>
            </w:r>
          </w:p>
        </w:tc>
        <w:tc>
          <w:tcPr>
            <w:tcW w:w="1928" w:type="pct"/>
            <w:gridSpan w:val="3"/>
            <w:tcBorders>
              <w:top w:val="single" w:sz="4" w:space="0" w:color="auto"/>
              <w:left w:val="single" w:sz="4" w:space="0" w:color="auto"/>
              <w:bottom w:val="single" w:sz="4" w:space="0" w:color="auto"/>
              <w:right w:val="single" w:sz="4" w:space="0" w:color="auto"/>
            </w:tcBorders>
          </w:tcPr>
          <w:p w14:paraId="156C96D3" w14:textId="77777777" w:rsidR="00984B34" w:rsidRPr="009E686F" w:rsidRDefault="00984B34" w:rsidP="00984B34">
            <w:pPr>
              <w:spacing w:after="0"/>
              <w:jc w:val="both"/>
              <w:rPr>
                <w:rFonts w:ascii="Times New Roman" w:hAnsi="Times New Roman" w:cs="Times New Roman"/>
                <w:bCs/>
                <w:lang w:val="ro-RO"/>
              </w:rPr>
            </w:pPr>
            <w:r w:rsidRPr="009E686F">
              <w:rPr>
                <w:rFonts w:ascii="Times New Roman" w:hAnsi="Times New Roman" w:cs="Times New Roman"/>
                <w:bCs/>
                <w:lang w:val="ro-RO"/>
              </w:rPr>
              <w:t>1) cerinţelor de fonduri proprii pentru riscul de credit, stabilite în următoarele acte normative ale Băncii Naţionale a Moldovei:</w:t>
            </w:r>
          </w:p>
          <w:p w14:paraId="01E2D6E0" w14:textId="77777777" w:rsidR="00984B34" w:rsidRPr="009E686F" w:rsidRDefault="00984B34" w:rsidP="00984B34">
            <w:pPr>
              <w:spacing w:after="0"/>
              <w:jc w:val="both"/>
              <w:rPr>
                <w:rFonts w:ascii="Times New Roman" w:hAnsi="Times New Roman" w:cs="Times New Roman"/>
                <w:bCs/>
                <w:lang w:val="ro-RO"/>
              </w:rPr>
            </w:pPr>
            <w:r w:rsidRPr="009E686F">
              <w:rPr>
                <w:rFonts w:ascii="Times New Roman" w:hAnsi="Times New Roman" w:cs="Times New Roman"/>
                <w:bCs/>
                <w:lang w:val="ro-RO"/>
              </w:rPr>
              <w:t>a) Regulamentul nr.111/2018;</w:t>
            </w:r>
          </w:p>
          <w:p w14:paraId="765A0805" w14:textId="77777777" w:rsidR="00984B34" w:rsidRPr="009E686F" w:rsidRDefault="00984B34" w:rsidP="00984B34">
            <w:pPr>
              <w:spacing w:after="0"/>
              <w:jc w:val="both"/>
              <w:rPr>
                <w:rFonts w:ascii="Times New Roman" w:hAnsi="Times New Roman" w:cs="Times New Roman"/>
                <w:bCs/>
                <w:lang w:val="ro-RO"/>
              </w:rPr>
            </w:pPr>
            <w:r w:rsidRPr="009E686F">
              <w:rPr>
                <w:rFonts w:ascii="Times New Roman" w:hAnsi="Times New Roman" w:cs="Times New Roman"/>
                <w:bCs/>
                <w:lang w:val="ro-RO"/>
              </w:rPr>
              <w:t>b) Regulamentul nr.112/2018;</w:t>
            </w:r>
          </w:p>
          <w:p w14:paraId="7F074AA5" w14:textId="76F28DF1" w:rsidR="00984B34" w:rsidRPr="009E686F" w:rsidRDefault="00984B34" w:rsidP="00984B34">
            <w:pPr>
              <w:spacing w:after="0"/>
              <w:jc w:val="both"/>
              <w:rPr>
                <w:rFonts w:ascii="Times New Roman" w:hAnsi="Times New Roman" w:cs="Times New Roman"/>
                <w:bCs/>
                <w:lang w:val="ro-RO"/>
              </w:rPr>
            </w:pPr>
            <w:r w:rsidRPr="009E686F">
              <w:rPr>
                <w:rFonts w:ascii="Times New Roman" w:hAnsi="Times New Roman" w:cs="Times New Roman"/>
                <w:bCs/>
                <w:lang w:val="ro-RO"/>
              </w:rPr>
              <w:t>2) în cazul în care expunerea este deţinută în portofoliul de tranzacţionare - cerinţelor de fonduri proprii pentru riscul specific, prevăzute în Regulamentul nr.114/2018.</w:t>
            </w:r>
          </w:p>
        </w:tc>
        <w:tc>
          <w:tcPr>
            <w:tcW w:w="470" w:type="pct"/>
            <w:tcBorders>
              <w:top w:val="single" w:sz="4" w:space="0" w:color="auto"/>
              <w:left w:val="single" w:sz="4" w:space="0" w:color="auto"/>
              <w:bottom w:val="single" w:sz="4" w:space="0" w:color="auto"/>
              <w:right w:val="single" w:sz="4" w:space="0" w:color="auto"/>
            </w:tcBorders>
          </w:tcPr>
          <w:p w14:paraId="4CD93184" w14:textId="7FC8259E"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Par</w:t>
            </w:r>
            <w:r w:rsidRPr="009E686F">
              <w:rPr>
                <w:rFonts w:ascii="Times New Roman" w:hAnsi="Times New Roman" w:cs="Times New Roman"/>
                <w:lang w:val="ro-MD"/>
              </w:rPr>
              <w:t>țial c</w:t>
            </w:r>
            <w:r w:rsidRPr="009E686F">
              <w:rPr>
                <w:rFonts w:ascii="Times New Roman" w:hAnsi="Times New Roman" w:cs="Times New Roman"/>
                <w:lang w:val="ro-RO"/>
              </w:rPr>
              <w:t xml:space="preserve">ompatibil </w:t>
            </w:r>
          </w:p>
          <w:p w14:paraId="55C7A92E" w14:textId="6CCFA789"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5FD01E75" w14:textId="39AF8A09"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Prevederile se vor transpune integral prin proiectul de modificare a Regulamentului cu privire la amortizoarele de capital ale băncilor, aprobat prin HCE nr. 110/2018</w:t>
            </w:r>
            <w:r w:rsidR="0008435A" w:rsidRPr="009E686F">
              <w:rPr>
                <w:rFonts w:ascii="Times New Roman" w:hAnsi="Times New Roman" w:cs="Times New Roman"/>
                <w:lang w:val="ro-RO"/>
              </w:rPr>
              <w:t xml:space="preserve"> (</w:t>
            </w:r>
            <w:r w:rsidR="0008435A" w:rsidRPr="009E686F">
              <w:rPr>
                <w:rFonts w:ascii="Times New Roman" w:eastAsia="Times New Roman" w:hAnsi="Times New Roman" w:cs="Times New Roman"/>
                <w:bCs/>
                <w:lang w:val="it-CH" w:eastAsia="ru-RU"/>
              </w:rPr>
              <w:t>acțiunea normativă nr. 3 din Anexa A din PNA 2025-2029 aferentă Capitolului 9 “Servicii financiare” în legătură cu transpunerea Directivei 2013/36/UE).</w:t>
            </w:r>
          </w:p>
        </w:tc>
      </w:tr>
      <w:tr w:rsidR="00984B34" w:rsidRPr="009E686F" w14:paraId="64B1C652" w14:textId="0ACACF38" w:rsidTr="00774F3E">
        <w:tc>
          <w:tcPr>
            <w:tcW w:w="1796" w:type="pct"/>
            <w:gridSpan w:val="2"/>
            <w:tcBorders>
              <w:top w:val="single" w:sz="4" w:space="0" w:color="auto"/>
              <w:left w:val="single" w:sz="4" w:space="0" w:color="auto"/>
              <w:bottom w:val="single" w:sz="4" w:space="0" w:color="auto"/>
              <w:right w:val="single" w:sz="4" w:space="0" w:color="auto"/>
            </w:tcBorders>
          </w:tcPr>
          <w:p w14:paraId="749C1960" w14:textId="0A573885"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(5) Instituțiile identifică situarea geografică a unei expuneri din credite relevante, în conformitate cu standardele tehnice de reglementare adoptate în conformitate cu alineatul (7).</w:t>
            </w:r>
          </w:p>
        </w:tc>
        <w:tc>
          <w:tcPr>
            <w:tcW w:w="1928" w:type="pct"/>
            <w:gridSpan w:val="3"/>
            <w:tcBorders>
              <w:top w:val="single" w:sz="4" w:space="0" w:color="auto"/>
              <w:left w:val="single" w:sz="4" w:space="0" w:color="auto"/>
              <w:bottom w:val="single" w:sz="4" w:space="0" w:color="auto"/>
              <w:right w:val="single" w:sz="4" w:space="0" w:color="auto"/>
            </w:tcBorders>
          </w:tcPr>
          <w:p w14:paraId="31630323" w14:textId="00548AC7"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b/>
                <w:lang w:val="ro-RO"/>
              </w:rPr>
              <w:t>Pct. 20 din Regulamentul cu privire la amortizoarele de capital ale băncilor, aprobat prin HCE nr.110/2018</w:t>
            </w:r>
          </w:p>
          <w:p w14:paraId="75A5CC72" w14:textId="378C2AD6" w:rsidR="00984B34" w:rsidRPr="009E686F" w:rsidRDefault="00984B34" w:rsidP="00984B34">
            <w:pPr>
              <w:spacing w:after="0"/>
              <w:jc w:val="both"/>
              <w:rPr>
                <w:rFonts w:ascii="Times New Roman" w:hAnsi="Times New Roman" w:cs="Times New Roman"/>
                <w:bCs/>
                <w:lang w:val="ro-RO"/>
              </w:rPr>
            </w:pPr>
            <w:r w:rsidRPr="009E686F">
              <w:rPr>
                <w:rFonts w:ascii="Times New Roman" w:hAnsi="Times New Roman" w:cs="Times New Roman"/>
                <w:b/>
                <w:lang w:val="ro-RO"/>
              </w:rPr>
              <w:t>20.</w:t>
            </w:r>
            <w:r w:rsidRPr="009E686F">
              <w:rPr>
                <w:rFonts w:ascii="Times New Roman" w:hAnsi="Times New Roman" w:cs="Times New Roman"/>
                <w:bCs/>
                <w:lang w:val="ro-RO"/>
              </w:rPr>
              <w:t xml:space="preserve"> Băncile identifică situarea geografică a unei expuneri relevante din credite, în conformitate cu cerințele expuse în anexa la prezentul regulament.</w:t>
            </w:r>
          </w:p>
        </w:tc>
        <w:tc>
          <w:tcPr>
            <w:tcW w:w="470" w:type="pct"/>
            <w:tcBorders>
              <w:top w:val="single" w:sz="4" w:space="0" w:color="auto"/>
              <w:left w:val="single" w:sz="4" w:space="0" w:color="auto"/>
              <w:bottom w:val="single" w:sz="4" w:space="0" w:color="auto"/>
              <w:right w:val="single" w:sz="4" w:space="0" w:color="auto"/>
            </w:tcBorders>
          </w:tcPr>
          <w:p w14:paraId="650D42E7" w14:textId="191B66D2"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 xml:space="preserve">Compatibil </w:t>
            </w:r>
          </w:p>
          <w:p w14:paraId="74A12267" w14:textId="0235C3AA"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47CAAB6C" w14:textId="77777777" w:rsidR="00984B34" w:rsidRPr="009E686F" w:rsidRDefault="00984B34" w:rsidP="00984B34">
            <w:pPr>
              <w:jc w:val="both"/>
              <w:rPr>
                <w:rFonts w:ascii="Times New Roman" w:hAnsi="Times New Roman" w:cs="Times New Roman"/>
                <w:lang w:val="ro-RO"/>
              </w:rPr>
            </w:pPr>
          </w:p>
        </w:tc>
      </w:tr>
      <w:tr w:rsidR="00984B34" w:rsidRPr="009E686F" w14:paraId="097124E3" w14:textId="3A715364" w:rsidTr="00774F3E">
        <w:tc>
          <w:tcPr>
            <w:tcW w:w="1796" w:type="pct"/>
            <w:gridSpan w:val="2"/>
            <w:tcBorders>
              <w:top w:val="single" w:sz="4" w:space="0" w:color="auto"/>
              <w:left w:val="single" w:sz="4" w:space="0" w:color="auto"/>
              <w:bottom w:val="single" w:sz="4" w:space="0" w:color="auto"/>
              <w:right w:val="single" w:sz="4" w:space="0" w:color="auto"/>
            </w:tcBorders>
          </w:tcPr>
          <w:p w14:paraId="3BCFEA65" w14:textId="5DF68E22"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(6) În scopul calculului prevăzut la alineatul (1):</w:t>
            </w:r>
          </w:p>
        </w:tc>
        <w:tc>
          <w:tcPr>
            <w:tcW w:w="1928" w:type="pct"/>
            <w:gridSpan w:val="3"/>
            <w:tcBorders>
              <w:top w:val="single" w:sz="4" w:space="0" w:color="auto"/>
              <w:left w:val="single" w:sz="4" w:space="0" w:color="auto"/>
              <w:bottom w:val="single" w:sz="4" w:space="0" w:color="auto"/>
              <w:right w:val="single" w:sz="4" w:space="0" w:color="auto"/>
            </w:tcBorders>
          </w:tcPr>
          <w:p w14:paraId="1754263E" w14:textId="75F2062E"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b/>
                <w:lang w:val="ro-RO"/>
              </w:rPr>
              <w:t>Pct. 25 din Regulamentul cu privire la amortizoarele de capital ale băncilor, aprobat prin HCE nr.110/2018</w:t>
            </w:r>
          </w:p>
          <w:p w14:paraId="28A02E7A" w14:textId="179087DC" w:rsidR="00984B34" w:rsidRPr="009E686F" w:rsidRDefault="00984B34" w:rsidP="00984B34">
            <w:pPr>
              <w:spacing w:after="0"/>
              <w:jc w:val="both"/>
              <w:rPr>
                <w:rFonts w:ascii="Times New Roman" w:hAnsi="Times New Roman" w:cs="Times New Roman"/>
                <w:bCs/>
                <w:lang w:val="ro-RO"/>
              </w:rPr>
            </w:pPr>
            <w:r w:rsidRPr="009E686F">
              <w:rPr>
                <w:rFonts w:ascii="Times New Roman" w:hAnsi="Times New Roman" w:cs="Times New Roman"/>
                <w:b/>
                <w:lang w:val="ro-RO"/>
              </w:rPr>
              <w:t>25.</w:t>
            </w:r>
            <w:r w:rsidRPr="009E686F">
              <w:rPr>
                <w:rFonts w:ascii="Times New Roman" w:hAnsi="Times New Roman" w:cs="Times New Roman"/>
                <w:bCs/>
                <w:lang w:val="ro-RO"/>
              </w:rPr>
              <w:t xml:space="preserve"> În scopul calculului prevăzut la punctele 16 și 17, în cazul în care rata amortizorului anticiclic este majorată i se aplică următoarele prevederi:  </w:t>
            </w:r>
          </w:p>
        </w:tc>
        <w:tc>
          <w:tcPr>
            <w:tcW w:w="470" w:type="pct"/>
            <w:tcBorders>
              <w:top w:val="single" w:sz="4" w:space="0" w:color="auto"/>
              <w:left w:val="single" w:sz="4" w:space="0" w:color="auto"/>
              <w:bottom w:val="single" w:sz="4" w:space="0" w:color="auto"/>
              <w:right w:val="single" w:sz="4" w:space="0" w:color="auto"/>
            </w:tcBorders>
          </w:tcPr>
          <w:p w14:paraId="67E6FD9E" w14:textId="0A1F7844"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 xml:space="preserve">Compatibil </w:t>
            </w:r>
          </w:p>
          <w:p w14:paraId="2423B8B1" w14:textId="54649083"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5648BE79" w14:textId="77777777" w:rsidR="00984B34" w:rsidRPr="009E686F" w:rsidRDefault="00984B34" w:rsidP="00984B34">
            <w:pPr>
              <w:jc w:val="both"/>
              <w:rPr>
                <w:rFonts w:ascii="Times New Roman" w:hAnsi="Times New Roman" w:cs="Times New Roman"/>
                <w:lang w:val="ro-RO"/>
              </w:rPr>
            </w:pPr>
          </w:p>
        </w:tc>
      </w:tr>
      <w:tr w:rsidR="00984B34" w:rsidRPr="009E686F" w14:paraId="605DDC10" w14:textId="0DC8483B" w:rsidTr="00774F3E">
        <w:tc>
          <w:tcPr>
            <w:tcW w:w="1796" w:type="pct"/>
            <w:gridSpan w:val="2"/>
            <w:tcBorders>
              <w:top w:val="single" w:sz="4" w:space="0" w:color="auto"/>
              <w:left w:val="single" w:sz="4" w:space="0" w:color="auto"/>
              <w:bottom w:val="single" w:sz="4" w:space="0" w:color="auto"/>
              <w:right w:val="single" w:sz="4" w:space="0" w:color="auto"/>
            </w:tcBorders>
          </w:tcPr>
          <w:p w14:paraId="3857E73D" w14:textId="2B5CB52B"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lastRenderedPageBreak/>
              <w:t>(a) o rată a amortizorului anticiclic pentru un stat membru se aplică de la data precizată în informațiile publicate în conformitate cu articolul 136 alineatul (7) litera (e) sau articolul 137 alineatul (2) litera (c), dacă decizia are ca efect majorarea ratei amortizorului;</w:t>
            </w:r>
          </w:p>
        </w:tc>
        <w:tc>
          <w:tcPr>
            <w:tcW w:w="1928" w:type="pct"/>
            <w:gridSpan w:val="3"/>
            <w:tcBorders>
              <w:top w:val="single" w:sz="4" w:space="0" w:color="auto"/>
              <w:left w:val="single" w:sz="4" w:space="0" w:color="auto"/>
              <w:bottom w:val="single" w:sz="4" w:space="0" w:color="auto"/>
              <w:right w:val="single" w:sz="4" w:space="0" w:color="auto"/>
            </w:tcBorders>
          </w:tcPr>
          <w:p w14:paraId="67E631F2" w14:textId="77777777" w:rsidR="00984B34" w:rsidRPr="009E686F" w:rsidRDefault="00984B34" w:rsidP="00984B34">
            <w:pPr>
              <w:pStyle w:val="CM4"/>
              <w:ind w:hanging="17"/>
              <w:jc w:val="both"/>
              <w:rPr>
                <w:rFonts w:ascii="Times New Roman" w:hAnsi="Times New Roman"/>
                <w:sz w:val="22"/>
                <w:szCs w:val="22"/>
                <w:lang w:val="ro-MD"/>
              </w:rPr>
            </w:pPr>
            <w:r w:rsidRPr="009E686F">
              <w:rPr>
                <w:rFonts w:ascii="Times New Roman" w:hAnsi="Times New Roman"/>
                <w:sz w:val="22"/>
                <w:szCs w:val="22"/>
                <w:lang w:val="ro-MD"/>
              </w:rPr>
              <w:t xml:space="preserve">1) rata amortizorului anticiclic pentru Republica Moldova se aplică de la data specificată în decizia de stabilire a ratei amortizorului respectiv; </w:t>
            </w:r>
          </w:p>
          <w:p w14:paraId="32616A42" w14:textId="05170A3A"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lang w:val="ro-MD"/>
              </w:rPr>
              <w:t>4) o rată a amortizorului anticiclic mai mare de 2,5% stabilită de autoritatea relevantă din statul străin, recunoscută conform secțiunii a 5-a din prezentul capitol, se aplică de la data specificată în hotărârea publicată în conformitate cu punctul 38;</w:t>
            </w:r>
          </w:p>
        </w:tc>
        <w:tc>
          <w:tcPr>
            <w:tcW w:w="470" w:type="pct"/>
            <w:tcBorders>
              <w:top w:val="single" w:sz="4" w:space="0" w:color="auto"/>
              <w:left w:val="single" w:sz="4" w:space="0" w:color="auto"/>
              <w:bottom w:val="single" w:sz="4" w:space="0" w:color="auto"/>
              <w:right w:val="single" w:sz="4" w:space="0" w:color="auto"/>
            </w:tcBorders>
          </w:tcPr>
          <w:p w14:paraId="47F45302" w14:textId="76A3E8FA"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 xml:space="preserve">Compatibil </w:t>
            </w:r>
          </w:p>
          <w:p w14:paraId="5E363360" w14:textId="67327581"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43540951" w14:textId="77777777" w:rsidR="00984B34" w:rsidRPr="009E686F" w:rsidRDefault="00984B34" w:rsidP="00984B34">
            <w:pPr>
              <w:jc w:val="both"/>
              <w:rPr>
                <w:rFonts w:ascii="Times New Roman" w:hAnsi="Times New Roman" w:cs="Times New Roman"/>
                <w:lang w:val="ro-RO"/>
              </w:rPr>
            </w:pPr>
          </w:p>
        </w:tc>
      </w:tr>
      <w:tr w:rsidR="00984B34" w:rsidRPr="009E686F" w14:paraId="076AC765" w14:textId="0D0119A5" w:rsidTr="00774F3E">
        <w:tc>
          <w:tcPr>
            <w:tcW w:w="1796" w:type="pct"/>
            <w:gridSpan w:val="2"/>
            <w:tcBorders>
              <w:top w:val="single" w:sz="4" w:space="0" w:color="auto"/>
              <w:left w:val="single" w:sz="4" w:space="0" w:color="auto"/>
              <w:bottom w:val="single" w:sz="4" w:space="0" w:color="auto"/>
              <w:right w:val="single" w:sz="4" w:space="0" w:color="auto"/>
            </w:tcBorders>
          </w:tcPr>
          <w:p w14:paraId="50DEC106" w14:textId="7D26D796"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(b) sub rezerva literei (c), o rată a amortizorului anticiclic pentru o țară terță se aplică la 12 luni de la data la care autoritatea competentă dintr-o țară terță a anunțat modificarea ratei amortizorului, indiferent dacă autoritatea în cauză impune instituțiilor înființate în țara terță să aplice modificarea într-un termen mai scurt, dacă decizia are ca efect majorarea ratei amortizorului;</w:t>
            </w:r>
          </w:p>
        </w:tc>
        <w:tc>
          <w:tcPr>
            <w:tcW w:w="1928" w:type="pct"/>
            <w:gridSpan w:val="3"/>
            <w:tcBorders>
              <w:top w:val="single" w:sz="4" w:space="0" w:color="auto"/>
              <w:left w:val="single" w:sz="4" w:space="0" w:color="auto"/>
              <w:bottom w:val="single" w:sz="4" w:space="0" w:color="auto"/>
              <w:right w:val="single" w:sz="4" w:space="0" w:color="auto"/>
            </w:tcBorders>
          </w:tcPr>
          <w:p w14:paraId="327E6327"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2) sub rezerva subpunctului 3), o rată a amortizorului anticiclic ce nu depășește 2,5% stabilită de autoritatea relevantă din statul străin se aplică la data prevăzut la punctul 49;</w:t>
            </w:r>
          </w:p>
          <w:p w14:paraId="35AE9A8C"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3) în cazul în care autoritatea relevantă din statul străin a stabilit rata amortizorului anticiclic pentru acest stat ce nu depășește 2,5% și Banca Națională a Moldovei impune aplicarea ratei respective de la data prevăzută la punctul 50 – rata respectivă se aplică de la data specificată în hotărârea publicată în conformitate cu punctul 51;</w:t>
            </w:r>
          </w:p>
          <w:p w14:paraId="066BBC5D"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5) sub rezerva subpunctului 6), în cazul în care o rată a amortizorului anticiclic mai mare de 2,5% stabilită de autoritatea relevantă din statul străin nu este recunoscută conform secțiunii a 5-a din prezentul capitol - rata de 2,5% se aplică la data astfel cum este prevăzut la punctul 49;</w:t>
            </w:r>
          </w:p>
          <w:p w14:paraId="6B312305" w14:textId="6E25E48B"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6) în cazul în care o rată a amortizorului anticiclic mai mare de 2,5% stabilită de autoritatea relevantă din statul străin, nu este recunoscută conform secțiunii a 5-a din prezentul capitol, și Banca Națională a Moldovei impune aplicarea ratei de 2,5% de la data prevăzută la punctul 50 – rata de 2,5% se aplică de la data specificată în hotărârea publicată în conformitate cu punctul 51;</w:t>
            </w:r>
          </w:p>
        </w:tc>
        <w:tc>
          <w:tcPr>
            <w:tcW w:w="470" w:type="pct"/>
            <w:tcBorders>
              <w:top w:val="single" w:sz="4" w:space="0" w:color="auto"/>
              <w:left w:val="single" w:sz="4" w:space="0" w:color="auto"/>
              <w:bottom w:val="single" w:sz="4" w:space="0" w:color="auto"/>
              <w:right w:val="single" w:sz="4" w:space="0" w:color="auto"/>
            </w:tcBorders>
          </w:tcPr>
          <w:p w14:paraId="2E59347B" w14:textId="768E2630"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 xml:space="preserve">Parțial compatibil </w:t>
            </w:r>
          </w:p>
          <w:p w14:paraId="57197A04" w14:textId="3D6C832E"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47CBF734" w14:textId="5C35ED79"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MD"/>
              </w:rPr>
              <w:t xml:space="preserve">Pentru transparență, regulamentul BNM descrie toate situațiile posibile acoperite de art.140 alin.(6) lit.(b). Pentru a avea posibilitatea de a reacționa mai prompt la majorarea ratelor amortizorului stabilite în alte țări, este prevăzută posibilitatea de a impune rata majorată înainte de 12 luni de la data la care autoritatea relevantă din statul străin a anunțat majorarea ratei amortizorului anticiclic. Pentru a fi obligatorii de a fi aplicate de băncile din RM, ratele amortizorului (inclusiv nivelul acestora și data aplicării) urmează a fi stabilite prin hotărârea </w:t>
            </w:r>
            <w:r w:rsidRPr="009E686F">
              <w:rPr>
                <w:rFonts w:ascii="Times New Roman" w:hAnsi="Times New Roman" w:cs="Times New Roman"/>
                <w:lang w:val="ro-MD"/>
              </w:rPr>
              <w:lastRenderedPageBreak/>
              <w:t>BNM sau prin prevederi speciale stabilite în regulamentul BNM.</w:t>
            </w:r>
          </w:p>
        </w:tc>
      </w:tr>
      <w:tr w:rsidR="00984B34" w:rsidRPr="009E686F" w14:paraId="5FC940E5" w14:textId="34DB7606" w:rsidTr="00774F3E">
        <w:tc>
          <w:tcPr>
            <w:tcW w:w="1796" w:type="pct"/>
            <w:gridSpan w:val="2"/>
            <w:tcBorders>
              <w:top w:val="single" w:sz="4" w:space="0" w:color="auto"/>
              <w:left w:val="single" w:sz="4" w:space="0" w:color="auto"/>
              <w:bottom w:val="single" w:sz="4" w:space="0" w:color="auto"/>
              <w:right w:val="single" w:sz="4" w:space="0" w:color="auto"/>
            </w:tcBorders>
          </w:tcPr>
          <w:p w14:paraId="35FA68B3" w14:textId="4C9553BE"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lastRenderedPageBreak/>
              <w:t>(c) în cazul în care autoritatea desemnată a unui stat membru de origine stabilește rata amortizorului anticiclic pentru o țară terță în conformitate cu articolul 139 alineatul (2) sau (3) sau recunoaște rata amortizorului anticiclic pentru o țară terță în conformitate cu articolul 137, rata amortizorului în cauză se aplică de la data precizată în informațiile publicate în conformitate cu articolul 139 alineatul (5) litera (c) sau articolul 137 alineatul (2) litera (c), dacă decizia are ca efect majorarea ratei amortizorului;</w:t>
            </w:r>
          </w:p>
        </w:tc>
        <w:tc>
          <w:tcPr>
            <w:tcW w:w="1928" w:type="pct"/>
            <w:gridSpan w:val="3"/>
            <w:tcBorders>
              <w:top w:val="single" w:sz="4" w:space="0" w:color="auto"/>
              <w:left w:val="single" w:sz="4" w:space="0" w:color="auto"/>
              <w:bottom w:val="single" w:sz="4" w:space="0" w:color="auto"/>
              <w:right w:val="single" w:sz="4" w:space="0" w:color="auto"/>
            </w:tcBorders>
          </w:tcPr>
          <w:p w14:paraId="4F547FFD"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7) în cazul în care Banca Naţională a Moldovei stabilește rata amortizorului anticiclic pentru un stat străin, în conformitate cu punctele 40-44, rata amortizorului în cauză se aplică de la data specificată în hotărârea publicată în conformitate cu punctul 47;</w:t>
            </w:r>
          </w:p>
          <w:p w14:paraId="34581C43" w14:textId="2D376F85"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4) o rată a amortizorului anticiclic mai mare de 2,5% stabilită de autoritatea relavantă din statul străin, recunoscută conform secțiunii a 5-a din prezentul capitol, se aplică de la data specificată în hotărârea publicată în conformitate cu punctul 38;</w:t>
            </w:r>
          </w:p>
        </w:tc>
        <w:tc>
          <w:tcPr>
            <w:tcW w:w="470" w:type="pct"/>
            <w:tcBorders>
              <w:top w:val="single" w:sz="4" w:space="0" w:color="auto"/>
              <w:left w:val="single" w:sz="4" w:space="0" w:color="auto"/>
              <w:bottom w:val="single" w:sz="4" w:space="0" w:color="auto"/>
              <w:right w:val="single" w:sz="4" w:space="0" w:color="auto"/>
            </w:tcBorders>
          </w:tcPr>
          <w:p w14:paraId="230F76B7" w14:textId="0E80E4C0"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 xml:space="preserve">Compatibil </w:t>
            </w:r>
          </w:p>
          <w:p w14:paraId="334100D2" w14:textId="17BAAB04"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3DBA2F0A" w14:textId="77777777" w:rsidR="00984B34" w:rsidRPr="009E686F" w:rsidRDefault="00984B34" w:rsidP="00984B34">
            <w:pPr>
              <w:jc w:val="both"/>
              <w:rPr>
                <w:rFonts w:ascii="Times New Roman" w:hAnsi="Times New Roman" w:cs="Times New Roman"/>
                <w:lang w:val="ro-RO"/>
              </w:rPr>
            </w:pPr>
          </w:p>
        </w:tc>
      </w:tr>
      <w:tr w:rsidR="00984B34" w:rsidRPr="009E686F" w14:paraId="7BB739F1" w14:textId="07E90F4A" w:rsidTr="00774F3E">
        <w:tc>
          <w:tcPr>
            <w:tcW w:w="1796" w:type="pct"/>
            <w:gridSpan w:val="2"/>
            <w:tcBorders>
              <w:top w:val="single" w:sz="4" w:space="0" w:color="auto"/>
              <w:left w:val="single" w:sz="4" w:space="0" w:color="auto"/>
              <w:bottom w:val="single" w:sz="4" w:space="0" w:color="auto"/>
              <w:right w:val="single" w:sz="4" w:space="0" w:color="auto"/>
            </w:tcBorders>
          </w:tcPr>
          <w:p w14:paraId="04E442EF" w14:textId="3C7E8B23"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(d) o rată a amortizorului anticiclic se aplică imediat dacă decizia are ca efect reducerea ratei amortizorului.</w:t>
            </w:r>
          </w:p>
        </w:tc>
        <w:tc>
          <w:tcPr>
            <w:tcW w:w="1928" w:type="pct"/>
            <w:gridSpan w:val="3"/>
            <w:tcBorders>
              <w:top w:val="single" w:sz="4" w:space="0" w:color="auto"/>
              <w:left w:val="single" w:sz="4" w:space="0" w:color="auto"/>
              <w:bottom w:val="single" w:sz="4" w:space="0" w:color="auto"/>
              <w:right w:val="single" w:sz="4" w:space="0" w:color="auto"/>
            </w:tcBorders>
          </w:tcPr>
          <w:p w14:paraId="42BE1696" w14:textId="3F2240D9"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b/>
                <w:lang w:val="ro-RO"/>
              </w:rPr>
              <w:t>Pct. 26 din Regulamentul cu privire la amortizoarele de capital ale băncilor, aprobat prin HCE nr.110/2018</w:t>
            </w:r>
          </w:p>
          <w:p w14:paraId="4BDA23C5" w14:textId="4948D6EA" w:rsidR="00984B34" w:rsidRPr="009E686F" w:rsidRDefault="00984B34" w:rsidP="00984B34">
            <w:pPr>
              <w:spacing w:after="0"/>
              <w:jc w:val="both"/>
              <w:rPr>
                <w:rFonts w:ascii="Times New Roman" w:hAnsi="Times New Roman" w:cs="Times New Roman"/>
                <w:bCs/>
                <w:lang w:val="ro-RO"/>
              </w:rPr>
            </w:pPr>
            <w:r w:rsidRPr="009E686F">
              <w:rPr>
                <w:rFonts w:ascii="Times New Roman" w:hAnsi="Times New Roman" w:cs="Times New Roman"/>
                <w:b/>
                <w:lang w:val="ro-RO"/>
              </w:rPr>
              <w:t>26.</w:t>
            </w:r>
            <w:r w:rsidRPr="009E686F">
              <w:rPr>
                <w:rFonts w:ascii="Times New Roman" w:hAnsi="Times New Roman" w:cs="Times New Roman"/>
                <w:bCs/>
                <w:lang w:val="ro-RO"/>
              </w:rPr>
              <w:t xml:space="preserve"> Dacă decizia are ca efect reducerea ratei amortizorului anticiclic, în scopul calculului prevăzut la punctele 16 și 17, rata respectivă se aplică din data publicării hotărârii Comitetului executiv al Băncii Naționale a Moldovei în Monitorul Oficial al Republicii Moldova.</w:t>
            </w:r>
          </w:p>
        </w:tc>
        <w:tc>
          <w:tcPr>
            <w:tcW w:w="470" w:type="pct"/>
            <w:tcBorders>
              <w:top w:val="single" w:sz="4" w:space="0" w:color="auto"/>
              <w:left w:val="single" w:sz="4" w:space="0" w:color="auto"/>
              <w:bottom w:val="single" w:sz="4" w:space="0" w:color="auto"/>
              <w:right w:val="single" w:sz="4" w:space="0" w:color="auto"/>
            </w:tcBorders>
          </w:tcPr>
          <w:p w14:paraId="6969A89F" w14:textId="5E6F8261"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 xml:space="preserve">Compatibil </w:t>
            </w:r>
          </w:p>
          <w:p w14:paraId="0A9B1D14" w14:textId="5D8B2C03"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0D33B238" w14:textId="77777777" w:rsidR="00984B34" w:rsidRPr="009E686F" w:rsidRDefault="00984B34" w:rsidP="00984B34">
            <w:pPr>
              <w:jc w:val="both"/>
              <w:rPr>
                <w:rFonts w:ascii="Times New Roman" w:hAnsi="Times New Roman" w:cs="Times New Roman"/>
                <w:lang w:val="ro-RO"/>
              </w:rPr>
            </w:pPr>
          </w:p>
        </w:tc>
      </w:tr>
      <w:tr w:rsidR="00984B34" w:rsidRPr="009E686F" w14:paraId="5FBC05A6" w14:textId="70609463" w:rsidTr="00774F3E">
        <w:tc>
          <w:tcPr>
            <w:tcW w:w="1796" w:type="pct"/>
            <w:gridSpan w:val="2"/>
            <w:tcBorders>
              <w:top w:val="single" w:sz="4" w:space="0" w:color="auto"/>
              <w:left w:val="single" w:sz="4" w:space="0" w:color="auto"/>
              <w:bottom w:val="single" w:sz="4" w:space="0" w:color="auto"/>
              <w:right w:val="single" w:sz="4" w:space="0" w:color="auto"/>
            </w:tcBorders>
          </w:tcPr>
          <w:p w14:paraId="3DE61130"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În sensul literei (b), o modificare a ratei amortizorului anticiclic pentru o țară terță va fi considerată ca anunțată la data la care este publicată de autoritatea competentă din țara terță în conformitate cu normele naționale aplicabile.</w:t>
            </w:r>
          </w:p>
        </w:tc>
        <w:tc>
          <w:tcPr>
            <w:tcW w:w="1928" w:type="pct"/>
            <w:gridSpan w:val="3"/>
            <w:tcBorders>
              <w:top w:val="single" w:sz="4" w:space="0" w:color="auto"/>
              <w:left w:val="single" w:sz="4" w:space="0" w:color="auto"/>
              <w:bottom w:val="single" w:sz="4" w:space="0" w:color="auto"/>
              <w:right w:val="single" w:sz="4" w:space="0" w:color="auto"/>
            </w:tcBorders>
          </w:tcPr>
          <w:p w14:paraId="0A699E36" w14:textId="55EF0076"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b/>
                <w:lang w:val="ro-RO"/>
              </w:rPr>
              <w:t>Pct. 49 din Regulamentul cu privire la amortizoarele de capital ale băncilor, aprobat prin HCE nr.110/2018</w:t>
            </w:r>
          </w:p>
          <w:p w14:paraId="0C04268F" w14:textId="17DE959C" w:rsidR="00984B34" w:rsidRPr="009E686F" w:rsidRDefault="00984B34" w:rsidP="00984B34">
            <w:pPr>
              <w:spacing w:after="0"/>
              <w:jc w:val="both"/>
              <w:rPr>
                <w:rFonts w:ascii="Times New Roman" w:hAnsi="Times New Roman" w:cs="Times New Roman"/>
                <w:bCs/>
                <w:lang w:val="ro-RO"/>
              </w:rPr>
            </w:pPr>
            <w:r w:rsidRPr="009E686F">
              <w:rPr>
                <w:rFonts w:ascii="Times New Roman" w:hAnsi="Times New Roman" w:cs="Times New Roman"/>
                <w:b/>
                <w:lang w:val="ro-RO"/>
              </w:rPr>
              <w:t>49.</w:t>
            </w:r>
            <w:r w:rsidRPr="009E686F">
              <w:rPr>
                <w:rFonts w:ascii="Times New Roman" w:hAnsi="Times New Roman" w:cs="Times New Roman"/>
                <w:bCs/>
                <w:lang w:val="ro-RO"/>
              </w:rPr>
              <w:t xml:space="preserve"> Sub rezerva punctului 50, în cazul în care rata majorată a amortizorului anticiclic mai mare de 2,5% stabilită de autoritatea relevantă din statul străin nu este recunoscută conform secțiunii a 5-a din prezentul capitol sau în cazul în care autoritatea relevantă din statul străin a stabilit rata majorată a amortizorului anticiclic pentru acest stat, dar care nu depășește 2,5%, rata respectivă se aplică la 12 luni de la data la care autoritatea relevantă din statul respectiv a anunțat majorarea ratei amortizorului anticiclic, indiferent dacă autoritatea în cauză impune băncilor înființate în acest stat străin să aplice </w:t>
            </w:r>
            <w:r w:rsidRPr="009E686F">
              <w:rPr>
                <w:rFonts w:ascii="Times New Roman" w:hAnsi="Times New Roman" w:cs="Times New Roman"/>
                <w:bCs/>
                <w:lang w:val="ro-RO"/>
              </w:rPr>
              <w:lastRenderedPageBreak/>
              <w:t>modificarea într-un termen mai scurt. În acest sens, o modificare a ratei amortizorului anticiclic pentru statul străin este considerată anunțată la data la care este publicată de autoritatea relevantă din acest stat străin conform cadrului de reglementare aplicabil la nivel național.</w:t>
            </w:r>
          </w:p>
        </w:tc>
        <w:tc>
          <w:tcPr>
            <w:tcW w:w="470" w:type="pct"/>
            <w:tcBorders>
              <w:top w:val="single" w:sz="4" w:space="0" w:color="auto"/>
              <w:left w:val="single" w:sz="4" w:space="0" w:color="auto"/>
              <w:bottom w:val="single" w:sz="4" w:space="0" w:color="auto"/>
              <w:right w:val="single" w:sz="4" w:space="0" w:color="auto"/>
            </w:tcBorders>
          </w:tcPr>
          <w:p w14:paraId="08D38795" w14:textId="591AB589"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lastRenderedPageBreak/>
              <w:t xml:space="preserve">Compatibil </w:t>
            </w:r>
          </w:p>
          <w:p w14:paraId="1647E8D6" w14:textId="3B7DB7E9"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6A099DE8" w14:textId="77777777" w:rsidR="00984B34" w:rsidRPr="009E686F" w:rsidRDefault="00984B34" w:rsidP="00984B34">
            <w:pPr>
              <w:jc w:val="both"/>
              <w:rPr>
                <w:rFonts w:ascii="Times New Roman" w:hAnsi="Times New Roman" w:cs="Times New Roman"/>
                <w:lang w:val="ro-RO"/>
              </w:rPr>
            </w:pPr>
          </w:p>
        </w:tc>
      </w:tr>
      <w:tr w:rsidR="00984B34" w:rsidRPr="009E686F" w14:paraId="1247AB11" w14:textId="084ED4ED" w:rsidTr="00774F3E">
        <w:tc>
          <w:tcPr>
            <w:tcW w:w="1796" w:type="pct"/>
            <w:gridSpan w:val="2"/>
            <w:tcBorders>
              <w:top w:val="single" w:sz="4" w:space="0" w:color="auto"/>
              <w:left w:val="single" w:sz="4" w:space="0" w:color="auto"/>
              <w:bottom w:val="single" w:sz="4" w:space="0" w:color="auto"/>
              <w:right w:val="single" w:sz="4" w:space="0" w:color="auto"/>
            </w:tcBorders>
          </w:tcPr>
          <w:p w14:paraId="493D7EE3" w14:textId="5C3725A2"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(7) ABE elaborează proiecte de standarde tehnice de reglementare pentru a preciza metoda de identificare a situării geografice a expunerilor din credite relevante, menționate la alineatul (5).</w:t>
            </w:r>
          </w:p>
          <w:p w14:paraId="57399937"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ABE înaintează Comisiei proiectele de standarde de reglementare până la 1 ianuarie 2014.</w:t>
            </w:r>
          </w:p>
          <w:p w14:paraId="57B7A926"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Se deleagă Comisiei competența de a adopta standardele tehnice de reglementare menționate la primul paragraf, în conformitate cu articolele 10-14 din Regulamentul (UE) nr. 1093/2010.</w:t>
            </w:r>
          </w:p>
        </w:tc>
        <w:tc>
          <w:tcPr>
            <w:tcW w:w="1928" w:type="pct"/>
            <w:gridSpan w:val="3"/>
            <w:tcBorders>
              <w:top w:val="single" w:sz="4" w:space="0" w:color="auto"/>
              <w:left w:val="single" w:sz="4" w:space="0" w:color="auto"/>
              <w:bottom w:val="single" w:sz="4" w:space="0" w:color="auto"/>
              <w:right w:val="single" w:sz="4" w:space="0" w:color="auto"/>
            </w:tcBorders>
          </w:tcPr>
          <w:p w14:paraId="3ED6031D"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792D21F7" w14:textId="3603A196"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neaplicabile</w:t>
            </w:r>
          </w:p>
          <w:p w14:paraId="334251C4" w14:textId="779C193C"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0CF902E6" w14:textId="66666A6D"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Se referă la competențele ABE.</w:t>
            </w:r>
          </w:p>
        </w:tc>
      </w:tr>
      <w:tr w:rsidR="00984B34" w:rsidRPr="009E686F" w14:paraId="4BA16C0B"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35120457" w14:textId="77777777" w:rsidR="00984B34" w:rsidRPr="009E686F" w:rsidRDefault="00984B34" w:rsidP="00984B34">
            <w:pPr>
              <w:spacing w:after="0"/>
              <w:jc w:val="both"/>
              <w:rPr>
                <w:rFonts w:ascii="Times New Roman" w:hAnsi="Times New Roman" w:cs="Times New Roman"/>
                <w:bCs/>
                <w:lang w:val="ro-RO"/>
              </w:rPr>
            </w:pPr>
            <w:r w:rsidRPr="009E686F">
              <w:rPr>
                <w:rFonts w:ascii="Times New Roman" w:hAnsi="Times New Roman" w:cs="Times New Roman"/>
                <w:bCs/>
                <w:lang w:val="ro-RO"/>
              </w:rPr>
              <w:t>Secțiunea III</w:t>
            </w:r>
          </w:p>
          <w:p w14:paraId="0F3D3EA6"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b/>
                <w:lang w:val="ro-RO"/>
              </w:rPr>
              <w:t>Măsuri de conservare a capitalului</w:t>
            </w:r>
          </w:p>
          <w:p w14:paraId="3B990CE5"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Articolul 141 </w:t>
            </w:r>
            <w:r w:rsidRPr="009E686F">
              <w:rPr>
                <w:rFonts w:ascii="Times New Roman" w:hAnsi="Times New Roman" w:cs="Times New Roman"/>
                <w:b/>
                <w:bCs/>
                <w:lang w:val="ro-RO"/>
              </w:rPr>
              <w:t>Restricții privind distribuirile</w:t>
            </w:r>
          </w:p>
          <w:p w14:paraId="234EDCF7" w14:textId="79907592"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(1)O instituție care îndeplinește cerința amortizorului combinat nu efectuează o distribuire în legătură cu fondurile proprii de nivel 1 de bază într-o măsură care ar reduce fondurile sale proprii de nivel 1 de bază până la un nivel la care cerința amortizorului combinat nu mai este  îndeplinită.</w:t>
            </w:r>
          </w:p>
        </w:tc>
        <w:tc>
          <w:tcPr>
            <w:tcW w:w="1928" w:type="pct"/>
            <w:gridSpan w:val="3"/>
            <w:tcBorders>
              <w:top w:val="single" w:sz="4" w:space="0" w:color="auto"/>
              <w:left w:val="single" w:sz="4" w:space="0" w:color="auto"/>
              <w:bottom w:val="single" w:sz="4" w:space="0" w:color="auto"/>
              <w:right w:val="single" w:sz="4" w:space="0" w:color="auto"/>
            </w:tcBorders>
          </w:tcPr>
          <w:p w14:paraId="18BA54FD" w14:textId="67D59107"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b/>
                <w:lang w:val="ro-RO"/>
              </w:rPr>
              <w:t>Art. 63 alin. (6)</w:t>
            </w:r>
          </w:p>
          <w:p w14:paraId="3386D42A" w14:textId="75AF1DD6"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(6) În situaţia în care </w:t>
            </w:r>
            <w:r w:rsidRPr="009E686F">
              <w:rPr>
                <w:rFonts w:ascii="Times New Roman" w:hAnsi="Times New Roman" w:cs="Times New Roman"/>
                <w:i/>
                <w:lang w:val="ro-RO"/>
              </w:rPr>
              <w:t>instituția de credit</w:t>
            </w:r>
            <w:r w:rsidRPr="009E686F">
              <w:rPr>
                <w:rFonts w:ascii="Times New Roman" w:hAnsi="Times New Roman" w:cs="Times New Roman"/>
                <w:lang w:val="ro-RO"/>
              </w:rPr>
              <w:t xml:space="preserve"> deţine un nivel suficient al fondurilor proprii care să permită conformarea cu cerinţele de acoperire a amortizoarelor de capital menţionate la alin.(2), acesteia i se interzice să efectueze distribuirile determinate de Banca Naţională a Moldovei conform alin.(4), în condiţiile în care respectivele distribuiri ar conduce la diminuarea fondurilor proprii pînă la un nivel la care cerinţele de acoperire a amortizoarelor nu mai sînt îndeplinite.</w:t>
            </w:r>
          </w:p>
          <w:p w14:paraId="43D75634" w14:textId="77777777" w:rsidR="00984B34" w:rsidRPr="009E686F" w:rsidRDefault="00984B34" w:rsidP="00984B34">
            <w:pPr>
              <w:spacing w:after="0"/>
              <w:jc w:val="both"/>
              <w:rPr>
                <w:rFonts w:ascii="Times New Roman" w:hAnsi="Times New Roman" w:cs="Times New Roman"/>
                <w:b/>
                <w:lang w:val="ro-RO"/>
              </w:rPr>
            </w:pPr>
          </w:p>
          <w:p w14:paraId="18F4E7A1" w14:textId="1BA15EB0"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b/>
                <w:lang w:val="ro-RO"/>
              </w:rPr>
              <w:t>Pct. 87 din Regulamentul cu privire la amortizoarele de capital ale băncilor, aprobat prin HCE nr.110/2018</w:t>
            </w:r>
          </w:p>
          <w:p w14:paraId="237FAC33" w14:textId="0666DDC3"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b/>
                <w:bCs/>
                <w:lang w:val="ro-MD"/>
              </w:rPr>
              <w:t>87.</w:t>
            </w:r>
            <w:r w:rsidRPr="009E686F">
              <w:rPr>
                <w:rFonts w:ascii="Times New Roman" w:hAnsi="Times New Roman" w:cs="Times New Roman"/>
                <w:lang w:val="ro-MD"/>
              </w:rPr>
              <w:t xml:space="preserve"> Băncilor care îndeplinesc cerința amortizorului combinat li se interzice să efectueze o distribuire în legătură cu fondurile proprii de nivel 1 de bază, în condițiile în care respectivele distribuiri ar conduce la diminuarea fondurilor proprii de nivel </w:t>
            </w:r>
            <w:r w:rsidRPr="009E686F">
              <w:rPr>
                <w:rFonts w:ascii="Times New Roman" w:hAnsi="Times New Roman" w:cs="Times New Roman"/>
                <w:lang w:val="ro-MD"/>
              </w:rPr>
              <w:lastRenderedPageBreak/>
              <w:t>1 de bază până la un nivel la care cerința amortizorului combinat nu mai este îndeplinită.</w:t>
            </w:r>
          </w:p>
        </w:tc>
        <w:tc>
          <w:tcPr>
            <w:tcW w:w="470" w:type="pct"/>
            <w:tcBorders>
              <w:top w:val="single" w:sz="4" w:space="0" w:color="auto"/>
              <w:left w:val="single" w:sz="4" w:space="0" w:color="auto"/>
              <w:bottom w:val="single" w:sz="4" w:space="0" w:color="auto"/>
              <w:right w:val="single" w:sz="4" w:space="0" w:color="auto"/>
            </w:tcBorders>
          </w:tcPr>
          <w:p w14:paraId="00DDA86A" w14:textId="77777777"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lastRenderedPageBreak/>
              <w:t xml:space="preserve">Compatibil </w:t>
            </w:r>
          </w:p>
          <w:p w14:paraId="73FDEA67" w14:textId="77777777"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6F16755D" w14:textId="77777777" w:rsidR="00984B34" w:rsidRPr="009E686F" w:rsidRDefault="00984B34" w:rsidP="00984B34">
            <w:pPr>
              <w:jc w:val="both"/>
              <w:rPr>
                <w:rFonts w:ascii="Times New Roman" w:hAnsi="Times New Roman" w:cs="Times New Roman"/>
                <w:lang w:val="ro-RO"/>
              </w:rPr>
            </w:pPr>
          </w:p>
        </w:tc>
      </w:tr>
      <w:tr w:rsidR="00984B34" w:rsidRPr="009E686F" w14:paraId="7BCB33E6" w14:textId="67F20557" w:rsidTr="00774F3E">
        <w:tc>
          <w:tcPr>
            <w:tcW w:w="1796" w:type="pct"/>
            <w:gridSpan w:val="2"/>
            <w:tcBorders>
              <w:top w:val="single" w:sz="4" w:space="0" w:color="auto"/>
              <w:left w:val="single" w:sz="4" w:space="0" w:color="auto"/>
              <w:bottom w:val="single" w:sz="4" w:space="0" w:color="auto"/>
              <w:right w:val="single" w:sz="4" w:space="0" w:color="auto"/>
            </w:tcBorders>
          </w:tcPr>
          <w:p w14:paraId="3D860C6C" w14:textId="46DEB4E2"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(2) O instituție care nu îndeplinește cerința amortizorului combinat calculează suma maximă distribuibilă (MDA – maximum distributable amount) în conformitate cu alineatul (4) și notifică autorității competente respectiva MDA.</w:t>
            </w:r>
          </w:p>
        </w:tc>
        <w:tc>
          <w:tcPr>
            <w:tcW w:w="1928" w:type="pct"/>
            <w:gridSpan w:val="3"/>
            <w:tcBorders>
              <w:top w:val="single" w:sz="4" w:space="0" w:color="auto"/>
              <w:left w:val="single" w:sz="4" w:space="0" w:color="auto"/>
              <w:bottom w:val="single" w:sz="4" w:space="0" w:color="auto"/>
              <w:right w:val="single" w:sz="4" w:space="0" w:color="auto"/>
            </w:tcBorders>
          </w:tcPr>
          <w:p w14:paraId="5DD028E2" w14:textId="33D6BB4F"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b/>
                <w:lang w:val="ro-RO"/>
              </w:rPr>
              <w:t>Pct. 90 din Regulamentul cu privire la amortizoarele de capital ale băncilor, aprobat prin HCE nr.110/2018</w:t>
            </w:r>
          </w:p>
          <w:p w14:paraId="76A13A5D" w14:textId="77777777" w:rsidR="00984B34" w:rsidRPr="009E686F" w:rsidRDefault="00984B34" w:rsidP="00984B34">
            <w:pPr>
              <w:pStyle w:val="CM4"/>
              <w:contextualSpacing/>
              <w:jc w:val="both"/>
              <w:rPr>
                <w:rFonts w:ascii="Times New Roman" w:hAnsi="Times New Roman"/>
                <w:sz w:val="22"/>
                <w:szCs w:val="22"/>
                <w:lang w:val="ro-MD"/>
              </w:rPr>
            </w:pPr>
            <w:r w:rsidRPr="009E686F">
              <w:rPr>
                <w:rFonts w:ascii="Times New Roman" w:hAnsi="Times New Roman"/>
                <w:b/>
                <w:bCs/>
                <w:sz w:val="22"/>
                <w:szCs w:val="22"/>
                <w:lang w:val="ro-MD"/>
              </w:rPr>
              <w:t>90.</w:t>
            </w:r>
            <w:r w:rsidRPr="009E686F">
              <w:rPr>
                <w:rFonts w:ascii="Times New Roman" w:hAnsi="Times New Roman"/>
                <w:sz w:val="22"/>
                <w:szCs w:val="22"/>
                <w:lang w:val="ro-MD"/>
              </w:rPr>
              <w:t xml:space="preserve"> Băncile care nu îndeplinesc cerința amortizorului combinat trebuie:</w:t>
            </w:r>
          </w:p>
          <w:p w14:paraId="2248F9BF" w14:textId="77777777" w:rsidR="00984B34" w:rsidRPr="009E686F" w:rsidRDefault="00984B34" w:rsidP="00984B34">
            <w:pPr>
              <w:pStyle w:val="CM4"/>
              <w:contextualSpacing/>
              <w:jc w:val="both"/>
              <w:rPr>
                <w:rFonts w:ascii="Times New Roman" w:hAnsi="Times New Roman"/>
                <w:sz w:val="22"/>
                <w:szCs w:val="22"/>
                <w:lang w:val="ro-MD"/>
              </w:rPr>
            </w:pPr>
            <w:r w:rsidRPr="009E686F">
              <w:rPr>
                <w:rFonts w:ascii="Times New Roman" w:hAnsi="Times New Roman"/>
                <w:sz w:val="22"/>
                <w:szCs w:val="22"/>
                <w:lang w:val="ro-MD"/>
              </w:rPr>
              <w:t>1) să calculeze suma maxim distribuibilă în conformitate cu secțiunea a 3-a din prezentul capitol</w:t>
            </w:r>
            <w:r w:rsidRPr="009E686F">
              <w:rPr>
                <w:rFonts w:ascii="Times New Roman" w:hAnsi="Times New Roman"/>
                <w:iCs/>
                <w:sz w:val="22"/>
                <w:szCs w:val="22"/>
                <w:lang w:val="ro-MD"/>
              </w:rPr>
              <w:t>;</w:t>
            </w:r>
          </w:p>
          <w:p w14:paraId="7BA8EB9B" w14:textId="61DD9435" w:rsidR="00984B34" w:rsidRPr="009E686F" w:rsidRDefault="00984B34" w:rsidP="00984B34">
            <w:pPr>
              <w:spacing w:after="0"/>
              <w:jc w:val="both"/>
              <w:rPr>
                <w:rFonts w:ascii="Times New Roman" w:hAnsi="Times New Roman" w:cs="Times New Roman"/>
                <w:lang w:val="ro-MD"/>
              </w:rPr>
            </w:pPr>
            <w:r w:rsidRPr="009E686F">
              <w:rPr>
                <w:rFonts w:ascii="Times New Roman" w:hAnsi="Times New Roman" w:cs="Times New Roman"/>
                <w:lang w:val="ro-MD"/>
              </w:rPr>
              <w:t>2) să notifice Banca Națională a Moldovei, printr-o scrisoare, despre faptul de neîndeplinire a cerinței amortizorului combinat și suma maximă distribuibilă calculată.</w:t>
            </w:r>
            <w:r w:rsidRPr="009E686F">
              <w:rPr>
                <w:rFonts w:ascii="Times New Roman" w:hAnsi="Times New Roman" w:cs="Times New Roman"/>
                <w:i/>
                <w:iCs/>
                <w:lang w:val="ro-MD"/>
              </w:rPr>
              <w:t xml:space="preserve"> </w:t>
            </w:r>
            <w:r w:rsidRPr="009E686F">
              <w:rPr>
                <w:rFonts w:ascii="Times New Roman" w:hAnsi="Times New Roman" w:cs="Times New Roman"/>
                <w:lang w:val="ro-MD"/>
              </w:rPr>
              <w:t>Notificarea respectivă se prezintă Băncii Naționale a Moldovei, cel târziu în următoarea zi lucrătoare de la data calculării sumei maxim distribuibile.</w:t>
            </w:r>
          </w:p>
        </w:tc>
        <w:tc>
          <w:tcPr>
            <w:tcW w:w="470" w:type="pct"/>
            <w:tcBorders>
              <w:top w:val="single" w:sz="4" w:space="0" w:color="auto"/>
              <w:left w:val="single" w:sz="4" w:space="0" w:color="auto"/>
              <w:bottom w:val="single" w:sz="4" w:space="0" w:color="auto"/>
              <w:right w:val="single" w:sz="4" w:space="0" w:color="auto"/>
            </w:tcBorders>
          </w:tcPr>
          <w:p w14:paraId="5229E632" w14:textId="68CE1472"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 xml:space="preserve">Compatibil </w:t>
            </w:r>
          </w:p>
          <w:p w14:paraId="1A63A55A" w14:textId="44F34B28"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4D09AB96" w14:textId="77777777" w:rsidR="00984B34" w:rsidRPr="009E686F" w:rsidRDefault="00984B34" w:rsidP="00984B34">
            <w:pPr>
              <w:jc w:val="both"/>
              <w:rPr>
                <w:rFonts w:ascii="Times New Roman" w:hAnsi="Times New Roman" w:cs="Times New Roman"/>
                <w:lang w:val="ro-RO"/>
              </w:rPr>
            </w:pPr>
          </w:p>
        </w:tc>
      </w:tr>
      <w:tr w:rsidR="00984B34" w:rsidRPr="009E686F" w14:paraId="4BBCAC28" w14:textId="5183C45C" w:rsidTr="00CC61DD">
        <w:tc>
          <w:tcPr>
            <w:tcW w:w="1796" w:type="pct"/>
            <w:gridSpan w:val="2"/>
            <w:tcBorders>
              <w:top w:val="single" w:sz="4" w:space="0" w:color="auto"/>
              <w:left w:val="single" w:sz="4" w:space="0" w:color="auto"/>
              <w:bottom w:val="single" w:sz="4" w:space="0" w:color="auto"/>
              <w:right w:val="single" w:sz="4" w:space="0" w:color="auto"/>
            </w:tcBorders>
          </w:tcPr>
          <w:p w14:paraId="4C667D16" w14:textId="44970D08"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În cazul în care se aplică primul paragraf, instituția nu întreprinde niciuna dintre acțiunile de mai jos înainte de a calcula MDA:</w:t>
            </w:r>
          </w:p>
        </w:tc>
        <w:tc>
          <w:tcPr>
            <w:tcW w:w="1928" w:type="pct"/>
            <w:gridSpan w:val="3"/>
            <w:tcBorders>
              <w:top w:val="single" w:sz="4" w:space="0" w:color="auto"/>
              <w:left w:val="single" w:sz="4" w:space="0" w:color="auto"/>
              <w:bottom w:val="single" w:sz="4" w:space="0" w:color="auto"/>
              <w:right w:val="single" w:sz="4" w:space="0" w:color="auto"/>
            </w:tcBorders>
          </w:tcPr>
          <w:p w14:paraId="0C8B95FD" w14:textId="15A42F3E"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b/>
                <w:lang w:val="ro-RO"/>
              </w:rPr>
              <w:t>Pct. 91 din Regulamentul cu privire la amortizoarele de capital ale băncilor, aprobat prin HCE nr.110/2018</w:t>
            </w:r>
          </w:p>
          <w:p w14:paraId="401569DE" w14:textId="22F328F8" w:rsidR="00984B34" w:rsidRPr="009E686F" w:rsidRDefault="00984B34" w:rsidP="00984B34">
            <w:pPr>
              <w:spacing w:after="0" w:line="240" w:lineRule="auto"/>
              <w:jc w:val="both"/>
              <w:rPr>
                <w:rFonts w:ascii="Times New Roman" w:hAnsi="Times New Roman" w:cs="Times New Roman"/>
                <w:lang w:val="ro-MD"/>
              </w:rPr>
            </w:pPr>
            <w:r w:rsidRPr="009E686F">
              <w:rPr>
                <w:rFonts w:ascii="Times New Roman" w:hAnsi="Times New Roman" w:cs="Times New Roman"/>
                <w:b/>
                <w:bCs/>
                <w:lang w:val="ro-MD"/>
              </w:rPr>
              <w:t>91.</w:t>
            </w:r>
            <w:r w:rsidRPr="009E686F">
              <w:rPr>
                <w:rFonts w:ascii="Times New Roman" w:hAnsi="Times New Roman" w:cs="Times New Roman"/>
                <w:lang w:val="ro-MD"/>
              </w:rPr>
              <w:t xml:space="preserve"> Până la aprobarea de către Banca Națională a Moldovei a planului de conservare a capitalului conform secțiunii a 4-a din prezentul capitol și eliberării de către aceasta a permisiunii cum este prevăzut la punctele 94-97, oricărei bănci aflate în situația prevăzută la punctul 90</w:t>
            </w:r>
            <w:r w:rsidRPr="009E686F">
              <w:rPr>
                <w:rFonts w:ascii="Times New Roman" w:hAnsi="Times New Roman" w:cs="Times New Roman"/>
                <w:i/>
                <w:lang w:val="ro-MD"/>
              </w:rPr>
              <w:t>,</w:t>
            </w:r>
            <w:r w:rsidRPr="009E686F">
              <w:rPr>
                <w:rFonts w:ascii="Times New Roman" w:hAnsi="Times New Roman" w:cs="Times New Roman"/>
                <w:lang w:val="ro-MD"/>
              </w:rPr>
              <w:t xml:space="preserve"> i se interzice să întreprindă oricare dintre următoarele măsuri: </w:t>
            </w:r>
          </w:p>
        </w:tc>
        <w:tc>
          <w:tcPr>
            <w:tcW w:w="470" w:type="pct"/>
            <w:vMerge w:val="restart"/>
            <w:tcBorders>
              <w:top w:val="single" w:sz="4" w:space="0" w:color="auto"/>
              <w:left w:val="single" w:sz="4" w:space="0" w:color="auto"/>
              <w:right w:val="single" w:sz="4" w:space="0" w:color="auto"/>
            </w:tcBorders>
          </w:tcPr>
          <w:p w14:paraId="02B0207A" w14:textId="71DBBB07"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 xml:space="preserve">Compatibil </w:t>
            </w:r>
          </w:p>
          <w:p w14:paraId="108B515A" w14:textId="15A2F48E" w:rsidR="00984B34" w:rsidRPr="009E686F" w:rsidRDefault="00984B34" w:rsidP="00984B34">
            <w:pPr>
              <w:jc w:val="both"/>
              <w:rPr>
                <w:rFonts w:ascii="Times New Roman" w:hAnsi="Times New Roman" w:cs="Times New Roman"/>
                <w:lang w:val="ro-RO"/>
              </w:rPr>
            </w:pPr>
          </w:p>
        </w:tc>
        <w:tc>
          <w:tcPr>
            <w:tcW w:w="806" w:type="pct"/>
            <w:vMerge w:val="restart"/>
            <w:tcBorders>
              <w:top w:val="single" w:sz="4" w:space="0" w:color="auto"/>
              <w:left w:val="single" w:sz="4" w:space="0" w:color="auto"/>
              <w:right w:val="single" w:sz="4" w:space="0" w:color="auto"/>
            </w:tcBorders>
          </w:tcPr>
          <w:p w14:paraId="6AC18F99" w14:textId="77777777" w:rsidR="00984B34" w:rsidRPr="009E686F" w:rsidRDefault="00984B34" w:rsidP="00984B34">
            <w:pPr>
              <w:jc w:val="both"/>
              <w:rPr>
                <w:rFonts w:ascii="Times New Roman" w:hAnsi="Times New Roman" w:cs="Times New Roman"/>
                <w:lang w:val="ro-RO"/>
              </w:rPr>
            </w:pPr>
          </w:p>
        </w:tc>
      </w:tr>
      <w:tr w:rsidR="00984B34" w:rsidRPr="009E686F" w14:paraId="3104406F" w14:textId="6E6F1C5E" w:rsidTr="00CC61DD">
        <w:tc>
          <w:tcPr>
            <w:tcW w:w="1796" w:type="pct"/>
            <w:gridSpan w:val="2"/>
            <w:tcBorders>
              <w:top w:val="single" w:sz="4" w:space="0" w:color="auto"/>
              <w:left w:val="single" w:sz="4" w:space="0" w:color="auto"/>
              <w:bottom w:val="single" w:sz="4" w:space="0" w:color="auto"/>
              <w:right w:val="single" w:sz="4" w:space="0" w:color="auto"/>
            </w:tcBorders>
          </w:tcPr>
          <w:p w14:paraId="53CC2A8D" w14:textId="40C0C27D"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(a)efectuarea unei distribuiri în legătură cu fondurile proprii de nivel 1 de bază;</w:t>
            </w:r>
          </w:p>
        </w:tc>
        <w:tc>
          <w:tcPr>
            <w:tcW w:w="1928" w:type="pct"/>
            <w:gridSpan w:val="3"/>
            <w:tcBorders>
              <w:top w:val="single" w:sz="4" w:space="0" w:color="auto"/>
              <w:left w:val="single" w:sz="4" w:space="0" w:color="auto"/>
              <w:bottom w:val="single" w:sz="4" w:space="0" w:color="auto"/>
              <w:right w:val="single" w:sz="4" w:space="0" w:color="auto"/>
            </w:tcBorders>
          </w:tcPr>
          <w:p w14:paraId="61B5956B" w14:textId="1A484938" w:rsidR="00984B34" w:rsidRPr="009E686F" w:rsidRDefault="00984B34" w:rsidP="00984B34">
            <w:pPr>
              <w:spacing w:after="0" w:line="240" w:lineRule="auto"/>
              <w:jc w:val="both"/>
              <w:rPr>
                <w:rFonts w:ascii="Times New Roman" w:hAnsi="Times New Roman" w:cs="Times New Roman"/>
                <w:b/>
                <w:lang w:val="ro-RO"/>
              </w:rPr>
            </w:pPr>
            <w:r w:rsidRPr="009E686F">
              <w:rPr>
                <w:rFonts w:ascii="Times New Roman" w:hAnsi="Times New Roman" w:cs="Times New Roman"/>
                <w:lang w:val="ro-MD"/>
              </w:rPr>
              <w:t>1) efectuarea unei distribuiri în legătură cu fondurile proprii de nivel 1 de bază;</w:t>
            </w:r>
          </w:p>
        </w:tc>
        <w:tc>
          <w:tcPr>
            <w:tcW w:w="470" w:type="pct"/>
            <w:vMerge/>
            <w:tcBorders>
              <w:left w:val="single" w:sz="4" w:space="0" w:color="auto"/>
              <w:right w:val="single" w:sz="4" w:space="0" w:color="auto"/>
            </w:tcBorders>
          </w:tcPr>
          <w:p w14:paraId="0E320C08" w14:textId="63325B29" w:rsidR="00984B34" w:rsidRPr="009E686F" w:rsidRDefault="00984B34" w:rsidP="00984B34">
            <w:pPr>
              <w:jc w:val="both"/>
              <w:rPr>
                <w:rFonts w:ascii="Times New Roman" w:hAnsi="Times New Roman" w:cs="Times New Roman"/>
                <w:lang w:val="ro-RO"/>
              </w:rPr>
            </w:pPr>
          </w:p>
        </w:tc>
        <w:tc>
          <w:tcPr>
            <w:tcW w:w="806" w:type="pct"/>
            <w:vMerge/>
            <w:tcBorders>
              <w:left w:val="single" w:sz="4" w:space="0" w:color="auto"/>
              <w:right w:val="single" w:sz="4" w:space="0" w:color="auto"/>
            </w:tcBorders>
          </w:tcPr>
          <w:p w14:paraId="36374D97" w14:textId="77777777" w:rsidR="00984B34" w:rsidRPr="009E686F" w:rsidRDefault="00984B34" w:rsidP="00984B34">
            <w:pPr>
              <w:jc w:val="both"/>
              <w:rPr>
                <w:rFonts w:ascii="Times New Roman" w:hAnsi="Times New Roman" w:cs="Times New Roman"/>
                <w:lang w:val="ro-RO"/>
              </w:rPr>
            </w:pPr>
          </w:p>
        </w:tc>
      </w:tr>
      <w:tr w:rsidR="00984B34" w:rsidRPr="009E686F" w14:paraId="7FFB9FCC" w14:textId="194F51C2" w:rsidTr="00CC61DD">
        <w:tc>
          <w:tcPr>
            <w:tcW w:w="1796" w:type="pct"/>
            <w:gridSpan w:val="2"/>
            <w:tcBorders>
              <w:top w:val="single" w:sz="4" w:space="0" w:color="auto"/>
              <w:left w:val="single" w:sz="4" w:space="0" w:color="auto"/>
              <w:bottom w:val="single" w:sz="4" w:space="0" w:color="auto"/>
              <w:right w:val="single" w:sz="4" w:space="0" w:color="auto"/>
            </w:tcBorders>
          </w:tcPr>
          <w:p w14:paraId="352644AA" w14:textId="6475450F"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(b) crearea unei obligații de plată a unei remunerații variabile sau a unor beneficii discreționare de tipul pensiilor ori plata unei remunerații variabile în cazul în care obligația de plată a fost creată într-un moment în care instituția nu îndeplinea cerința amortizorului combinat; sau</w:t>
            </w:r>
          </w:p>
        </w:tc>
        <w:tc>
          <w:tcPr>
            <w:tcW w:w="1928" w:type="pct"/>
            <w:gridSpan w:val="3"/>
            <w:tcBorders>
              <w:top w:val="single" w:sz="4" w:space="0" w:color="auto"/>
              <w:left w:val="single" w:sz="4" w:space="0" w:color="auto"/>
              <w:bottom w:val="single" w:sz="4" w:space="0" w:color="auto"/>
              <w:right w:val="single" w:sz="4" w:space="0" w:color="auto"/>
            </w:tcBorders>
          </w:tcPr>
          <w:p w14:paraId="1EBD8A34" w14:textId="77777777" w:rsidR="00984B34" w:rsidRPr="009E686F" w:rsidRDefault="00984B34" w:rsidP="00984B34">
            <w:pPr>
              <w:spacing w:after="0" w:line="240" w:lineRule="auto"/>
              <w:jc w:val="both"/>
              <w:rPr>
                <w:rFonts w:ascii="Times New Roman" w:hAnsi="Times New Roman" w:cs="Times New Roman"/>
                <w:lang w:val="ro-MD"/>
              </w:rPr>
            </w:pPr>
            <w:r w:rsidRPr="009E686F">
              <w:rPr>
                <w:rFonts w:ascii="Times New Roman" w:hAnsi="Times New Roman" w:cs="Times New Roman"/>
                <w:lang w:val="ro-MD"/>
              </w:rPr>
              <w:t>2) crearea unei obligații de a plăti o remunerație variabilă sau beneficii discreționare de tipul pensiilor sau plata unei remunerații variabile, în cazul în care obligația de a plăti a fost creată la un moment când banca nu îndeplinea cerințele amortizorului combinat;</w:t>
            </w:r>
          </w:p>
          <w:p w14:paraId="5C6E0F1C" w14:textId="77777777" w:rsidR="00984B34" w:rsidRPr="009E686F" w:rsidRDefault="00984B34" w:rsidP="00984B34">
            <w:pPr>
              <w:spacing w:after="0"/>
              <w:jc w:val="both"/>
              <w:rPr>
                <w:rFonts w:ascii="Times New Roman" w:hAnsi="Times New Roman" w:cs="Times New Roman"/>
                <w:b/>
                <w:lang w:val="ro-RO"/>
              </w:rPr>
            </w:pPr>
          </w:p>
        </w:tc>
        <w:tc>
          <w:tcPr>
            <w:tcW w:w="470" w:type="pct"/>
            <w:vMerge/>
            <w:tcBorders>
              <w:left w:val="single" w:sz="4" w:space="0" w:color="auto"/>
              <w:right w:val="single" w:sz="4" w:space="0" w:color="auto"/>
            </w:tcBorders>
          </w:tcPr>
          <w:p w14:paraId="0546962B" w14:textId="46C572FF" w:rsidR="00984B34" w:rsidRPr="009E686F" w:rsidRDefault="00984B34" w:rsidP="00984B34">
            <w:pPr>
              <w:jc w:val="both"/>
              <w:rPr>
                <w:rFonts w:ascii="Times New Roman" w:hAnsi="Times New Roman" w:cs="Times New Roman"/>
                <w:lang w:val="ro-RO"/>
              </w:rPr>
            </w:pPr>
          </w:p>
        </w:tc>
        <w:tc>
          <w:tcPr>
            <w:tcW w:w="806" w:type="pct"/>
            <w:vMerge/>
            <w:tcBorders>
              <w:left w:val="single" w:sz="4" w:space="0" w:color="auto"/>
              <w:bottom w:val="single" w:sz="4" w:space="0" w:color="auto"/>
              <w:right w:val="single" w:sz="4" w:space="0" w:color="auto"/>
            </w:tcBorders>
          </w:tcPr>
          <w:p w14:paraId="10072C65" w14:textId="77777777" w:rsidR="00984B34" w:rsidRPr="009E686F" w:rsidRDefault="00984B34" w:rsidP="00984B34">
            <w:pPr>
              <w:jc w:val="both"/>
              <w:rPr>
                <w:rFonts w:ascii="Times New Roman" w:hAnsi="Times New Roman" w:cs="Times New Roman"/>
                <w:lang w:val="ro-RO"/>
              </w:rPr>
            </w:pPr>
          </w:p>
        </w:tc>
      </w:tr>
      <w:tr w:rsidR="00984B34" w:rsidRPr="009E686F" w14:paraId="30E9FD93" w14:textId="0922B2A7" w:rsidTr="00774F3E">
        <w:tc>
          <w:tcPr>
            <w:tcW w:w="1796" w:type="pct"/>
            <w:gridSpan w:val="2"/>
            <w:tcBorders>
              <w:top w:val="single" w:sz="4" w:space="0" w:color="auto"/>
              <w:left w:val="single" w:sz="4" w:space="0" w:color="auto"/>
              <w:bottom w:val="single" w:sz="4" w:space="0" w:color="auto"/>
              <w:right w:val="single" w:sz="4" w:space="0" w:color="auto"/>
            </w:tcBorders>
          </w:tcPr>
          <w:p w14:paraId="525DDD76" w14:textId="6C8B3D2A"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(c) efectuarea de plăți legate de instrumente de fonduri proprii de nivel 1 suplimentar.</w:t>
            </w:r>
          </w:p>
        </w:tc>
        <w:tc>
          <w:tcPr>
            <w:tcW w:w="1928" w:type="pct"/>
            <w:gridSpan w:val="3"/>
            <w:tcBorders>
              <w:top w:val="single" w:sz="4" w:space="0" w:color="auto"/>
              <w:left w:val="single" w:sz="4" w:space="0" w:color="auto"/>
              <w:bottom w:val="single" w:sz="4" w:space="0" w:color="auto"/>
              <w:right w:val="single" w:sz="4" w:space="0" w:color="auto"/>
            </w:tcBorders>
          </w:tcPr>
          <w:p w14:paraId="5BEE3486" w14:textId="7B4697EA" w:rsidR="00984B34" w:rsidRPr="009E686F" w:rsidRDefault="00984B34" w:rsidP="00984B34">
            <w:pPr>
              <w:spacing w:after="0"/>
              <w:jc w:val="both"/>
              <w:rPr>
                <w:rFonts w:ascii="Times New Roman" w:hAnsi="Times New Roman" w:cs="Times New Roman"/>
                <w:lang w:val="ro-MD"/>
              </w:rPr>
            </w:pPr>
            <w:r w:rsidRPr="009E686F">
              <w:rPr>
                <w:rFonts w:ascii="Times New Roman" w:hAnsi="Times New Roman" w:cs="Times New Roman"/>
                <w:lang w:val="ro-MD"/>
              </w:rPr>
              <w:t>3) efectuarea plăților legate de instrumentele de fonduri proprii de nivel 1 suplimentar.</w:t>
            </w:r>
          </w:p>
        </w:tc>
        <w:tc>
          <w:tcPr>
            <w:tcW w:w="470" w:type="pct"/>
            <w:vMerge/>
            <w:tcBorders>
              <w:left w:val="single" w:sz="4" w:space="0" w:color="auto"/>
              <w:bottom w:val="single" w:sz="4" w:space="0" w:color="auto"/>
              <w:right w:val="single" w:sz="4" w:space="0" w:color="auto"/>
            </w:tcBorders>
          </w:tcPr>
          <w:p w14:paraId="5C61D9B6" w14:textId="19DF735E"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4D8A07D8" w14:textId="77777777" w:rsidR="00984B34" w:rsidRPr="009E686F" w:rsidRDefault="00984B34" w:rsidP="00984B34">
            <w:pPr>
              <w:jc w:val="both"/>
              <w:rPr>
                <w:rFonts w:ascii="Times New Roman" w:hAnsi="Times New Roman" w:cs="Times New Roman"/>
                <w:lang w:val="ro-RO"/>
              </w:rPr>
            </w:pPr>
          </w:p>
        </w:tc>
      </w:tr>
      <w:tr w:rsidR="00984B34" w:rsidRPr="009E686F" w14:paraId="535415AD" w14:textId="2A7D806F" w:rsidTr="00774F3E">
        <w:tc>
          <w:tcPr>
            <w:tcW w:w="1796" w:type="pct"/>
            <w:gridSpan w:val="2"/>
            <w:tcBorders>
              <w:top w:val="single" w:sz="4" w:space="0" w:color="auto"/>
              <w:left w:val="single" w:sz="4" w:space="0" w:color="auto"/>
              <w:bottom w:val="single" w:sz="4" w:space="0" w:color="auto"/>
              <w:right w:val="single" w:sz="4" w:space="0" w:color="auto"/>
            </w:tcBorders>
          </w:tcPr>
          <w:p w14:paraId="0CCB53AB" w14:textId="7917AA34"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(3) Atunci când o instituție nu îndeplinește sau nu depășește cerința amortizorului combinat, aceasta nu efectuează </w:t>
            </w:r>
            <w:r w:rsidRPr="009E686F">
              <w:rPr>
                <w:rFonts w:ascii="Times New Roman" w:hAnsi="Times New Roman" w:cs="Times New Roman"/>
                <w:lang w:val="ro-RO"/>
              </w:rPr>
              <w:lastRenderedPageBreak/>
              <w:t>distribuiri (ce depășesc MDA, calculată în conformitate cu alineatul (4), prin niciuna dintre acțiunile menționate la alineatul (2) al doilea paragraf literele (a), (b) și (c).</w:t>
            </w:r>
          </w:p>
        </w:tc>
        <w:tc>
          <w:tcPr>
            <w:tcW w:w="1928" w:type="pct"/>
            <w:gridSpan w:val="3"/>
            <w:tcBorders>
              <w:top w:val="single" w:sz="4" w:space="0" w:color="auto"/>
              <w:left w:val="single" w:sz="4" w:space="0" w:color="auto"/>
              <w:bottom w:val="single" w:sz="4" w:space="0" w:color="auto"/>
              <w:right w:val="single" w:sz="4" w:space="0" w:color="auto"/>
            </w:tcBorders>
          </w:tcPr>
          <w:p w14:paraId="0B1FAD2F" w14:textId="77777777"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b/>
                <w:lang w:val="ro-RO"/>
              </w:rPr>
              <w:lastRenderedPageBreak/>
              <w:t>Pct. 92 din Regulamentul cu privire la amortizoarele de capital ale băncilor, aprobat prin HCE nr.110/2018</w:t>
            </w:r>
          </w:p>
          <w:p w14:paraId="3C449D27" w14:textId="7558E925"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b/>
                <w:bCs/>
                <w:lang w:val="ro-MD"/>
              </w:rPr>
              <w:lastRenderedPageBreak/>
              <w:t>92.</w:t>
            </w:r>
            <w:r w:rsidRPr="009E686F">
              <w:rPr>
                <w:rFonts w:ascii="Times New Roman" w:hAnsi="Times New Roman" w:cs="Times New Roman"/>
                <w:lang w:val="ro-MD"/>
              </w:rPr>
              <w:t xml:space="preserve"> Odată ce planul de conservare a capitalului este aprobat de Banca Națională a Moldovei conform secțiunii a 4-a din prezentul capitol și aceasta a eliberat permisiunea menționată la punctul 94, banca poate efectua distribuiri, prin oricare dintre măsurile menționate la punctul 91, în valoarea de până la suma maximă distribuibilă (calculată în conformitate cu secțiunea a 3-a din prezentul capitol).</w:t>
            </w:r>
          </w:p>
        </w:tc>
        <w:tc>
          <w:tcPr>
            <w:tcW w:w="470" w:type="pct"/>
            <w:tcBorders>
              <w:top w:val="single" w:sz="4" w:space="0" w:color="auto"/>
              <w:left w:val="single" w:sz="4" w:space="0" w:color="auto"/>
              <w:bottom w:val="single" w:sz="4" w:space="0" w:color="auto"/>
              <w:right w:val="single" w:sz="4" w:space="0" w:color="auto"/>
            </w:tcBorders>
          </w:tcPr>
          <w:p w14:paraId="14B6FA58" w14:textId="1BE98BD2"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lastRenderedPageBreak/>
              <w:t xml:space="preserve">Compatibil </w:t>
            </w:r>
          </w:p>
          <w:p w14:paraId="2F4DB637" w14:textId="69A5C5BD"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3312B75B" w14:textId="77777777" w:rsidR="00984B34" w:rsidRPr="009E686F" w:rsidRDefault="00984B34" w:rsidP="00984B34">
            <w:pPr>
              <w:jc w:val="both"/>
              <w:rPr>
                <w:rFonts w:ascii="Times New Roman" w:hAnsi="Times New Roman" w:cs="Times New Roman"/>
                <w:lang w:val="ro-RO"/>
              </w:rPr>
            </w:pPr>
          </w:p>
        </w:tc>
      </w:tr>
      <w:tr w:rsidR="00984B34" w:rsidRPr="009E686F" w14:paraId="4ABC718D" w14:textId="543B827B" w:rsidTr="00774F3E">
        <w:tc>
          <w:tcPr>
            <w:tcW w:w="1796" w:type="pct"/>
            <w:gridSpan w:val="2"/>
            <w:tcBorders>
              <w:top w:val="single" w:sz="4" w:space="0" w:color="auto"/>
              <w:left w:val="single" w:sz="4" w:space="0" w:color="auto"/>
              <w:bottom w:val="single" w:sz="4" w:space="0" w:color="auto"/>
              <w:right w:val="single" w:sz="4" w:space="0" w:color="auto"/>
            </w:tcBorders>
          </w:tcPr>
          <w:p w14:paraId="645D65A9" w14:textId="673B3D6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(4) Instituțiile calculează MDA prin înmulțirea sumei calculate în conformitate cu alineatul (5) cu factorul stabilit în conformitate cu alineatul (6). </w:t>
            </w:r>
          </w:p>
          <w:p w14:paraId="6E11F1B6" w14:textId="14C22D25"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Din MDA se scade orice sumă care rezultă din oricare dintre acțiunile menționate la alineatul (2) al doilea paragraf litera (a), (b) sau (c).</w:t>
            </w:r>
          </w:p>
        </w:tc>
        <w:tc>
          <w:tcPr>
            <w:tcW w:w="1928" w:type="pct"/>
            <w:gridSpan w:val="3"/>
            <w:tcBorders>
              <w:top w:val="single" w:sz="4" w:space="0" w:color="auto"/>
              <w:left w:val="single" w:sz="4" w:space="0" w:color="auto"/>
              <w:bottom w:val="single" w:sz="4" w:space="0" w:color="auto"/>
              <w:right w:val="single" w:sz="4" w:space="0" w:color="auto"/>
            </w:tcBorders>
          </w:tcPr>
          <w:p w14:paraId="00556910" w14:textId="4E3440B4"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b/>
                <w:lang w:val="ro-RO"/>
              </w:rPr>
              <w:t>Pct. 100 din Regulamentul cu privire la amortizoarele de capital ale băncilor, aprobat prin HCE nr.110/2018</w:t>
            </w:r>
          </w:p>
          <w:p w14:paraId="6D35E1B4" w14:textId="4FE787E6" w:rsidR="00984B34" w:rsidRPr="009E686F" w:rsidRDefault="00984B34" w:rsidP="00984B34">
            <w:pPr>
              <w:spacing w:after="0"/>
              <w:jc w:val="both"/>
              <w:rPr>
                <w:rFonts w:ascii="Times New Roman" w:hAnsi="Times New Roman" w:cs="Times New Roman"/>
                <w:lang w:val="ro-MD"/>
              </w:rPr>
            </w:pPr>
            <w:r w:rsidRPr="009E686F">
              <w:rPr>
                <w:rFonts w:ascii="Times New Roman" w:hAnsi="Times New Roman" w:cs="Times New Roman"/>
                <w:b/>
                <w:bCs/>
                <w:lang w:val="ro-MD"/>
              </w:rPr>
              <w:t>100.</w:t>
            </w:r>
            <w:r w:rsidRPr="009E686F">
              <w:rPr>
                <w:rFonts w:ascii="Times New Roman" w:hAnsi="Times New Roman" w:cs="Times New Roman"/>
                <w:lang w:val="ro-MD"/>
              </w:rPr>
              <w:t xml:space="preserve"> </w:t>
            </w:r>
            <w:bookmarkStart w:id="44" w:name="_Ref499828626"/>
            <w:r w:rsidRPr="009E686F">
              <w:rPr>
                <w:rFonts w:ascii="Times New Roman" w:hAnsi="Times New Roman" w:cs="Times New Roman"/>
                <w:lang w:val="ro-MD"/>
              </w:rPr>
              <w:t>Băncile sunt obligate să calculeze suma maximă distribuibilă, înmulțind suma calculată în conformitate cu punctul 101 cu factorul stabilit în conformitate cu punctele 102 și 103. Băncile trebuie să reducă suma maximă distribuibilă prin oricare dintre măsurile menționate la punctul</w:t>
            </w:r>
            <w:bookmarkEnd w:id="44"/>
            <w:r w:rsidRPr="009E686F">
              <w:rPr>
                <w:rFonts w:ascii="Times New Roman" w:hAnsi="Times New Roman" w:cs="Times New Roman"/>
                <w:lang w:val="ro-MD"/>
              </w:rPr>
              <w:t xml:space="preserve"> 91.</w:t>
            </w:r>
          </w:p>
        </w:tc>
        <w:tc>
          <w:tcPr>
            <w:tcW w:w="470" w:type="pct"/>
            <w:tcBorders>
              <w:top w:val="single" w:sz="4" w:space="0" w:color="auto"/>
              <w:left w:val="single" w:sz="4" w:space="0" w:color="auto"/>
              <w:bottom w:val="single" w:sz="4" w:space="0" w:color="auto"/>
              <w:right w:val="single" w:sz="4" w:space="0" w:color="auto"/>
            </w:tcBorders>
          </w:tcPr>
          <w:p w14:paraId="2D175535" w14:textId="784A979D"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 xml:space="preserve">Compatibil </w:t>
            </w:r>
          </w:p>
          <w:p w14:paraId="4720A73C" w14:textId="60A7648F"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522630B7" w14:textId="77777777" w:rsidR="00984B34" w:rsidRPr="009E686F" w:rsidRDefault="00984B34" w:rsidP="00984B34">
            <w:pPr>
              <w:jc w:val="both"/>
              <w:rPr>
                <w:rFonts w:ascii="Times New Roman" w:hAnsi="Times New Roman" w:cs="Times New Roman"/>
                <w:lang w:val="ro-RO"/>
              </w:rPr>
            </w:pPr>
          </w:p>
        </w:tc>
      </w:tr>
      <w:tr w:rsidR="00984B34" w:rsidRPr="009E686F" w14:paraId="4696F6D1" w14:textId="28AD8E31" w:rsidTr="00774F3E">
        <w:tc>
          <w:tcPr>
            <w:tcW w:w="1796" w:type="pct"/>
            <w:gridSpan w:val="2"/>
            <w:tcBorders>
              <w:top w:val="single" w:sz="4" w:space="0" w:color="auto"/>
              <w:left w:val="single" w:sz="4" w:space="0" w:color="auto"/>
              <w:bottom w:val="single" w:sz="4" w:space="0" w:color="auto"/>
              <w:right w:val="single" w:sz="4" w:space="0" w:color="auto"/>
            </w:tcBorders>
          </w:tcPr>
          <w:p w14:paraId="203026C9" w14:textId="10C9ABFA"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Suma de înmulțit în conformitate cu alineatul (4) constă în:</w:t>
            </w:r>
          </w:p>
        </w:tc>
        <w:tc>
          <w:tcPr>
            <w:tcW w:w="1928" w:type="pct"/>
            <w:gridSpan w:val="3"/>
            <w:tcBorders>
              <w:top w:val="single" w:sz="4" w:space="0" w:color="auto"/>
              <w:left w:val="single" w:sz="4" w:space="0" w:color="auto"/>
              <w:bottom w:val="single" w:sz="4" w:space="0" w:color="auto"/>
              <w:right w:val="single" w:sz="4" w:space="0" w:color="auto"/>
            </w:tcBorders>
          </w:tcPr>
          <w:p w14:paraId="6BEA3190" w14:textId="0B35DD88"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b/>
                <w:lang w:val="ro-RO"/>
              </w:rPr>
              <w:t>Pct. 101 din Regulamentul cu privire la amortizoarele de capital ale băncilor, aprobat prin HCE nr.110/2018</w:t>
            </w:r>
          </w:p>
          <w:p w14:paraId="036ABAA5" w14:textId="6F8FFC2C" w:rsidR="00984B34" w:rsidRPr="009E686F" w:rsidRDefault="00984B34" w:rsidP="00984B34">
            <w:pPr>
              <w:spacing w:after="0"/>
              <w:jc w:val="both"/>
              <w:rPr>
                <w:rFonts w:ascii="Times New Roman" w:eastAsia="Times New Roman" w:hAnsi="Times New Roman" w:cs="Times New Roman"/>
                <w:lang w:val="ro-MD"/>
              </w:rPr>
            </w:pPr>
            <w:r w:rsidRPr="009E686F">
              <w:rPr>
                <w:rFonts w:ascii="Times New Roman" w:hAnsi="Times New Roman" w:cs="Times New Roman"/>
                <w:b/>
                <w:bCs/>
                <w:lang w:val="ro-MD"/>
              </w:rPr>
              <w:t>101</w:t>
            </w:r>
            <w:r w:rsidRPr="009E686F">
              <w:rPr>
                <w:rFonts w:ascii="Times New Roman" w:eastAsia="Times New Roman" w:hAnsi="Times New Roman" w:cs="Times New Roman"/>
                <w:b/>
                <w:bCs/>
                <w:lang w:val="ro-MD"/>
              </w:rPr>
              <w:t>.</w:t>
            </w:r>
            <w:r w:rsidRPr="009E686F">
              <w:rPr>
                <w:rFonts w:ascii="Times New Roman" w:eastAsia="Times New Roman" w:hAnsi="Times New Roman" w:cs="Times New Roman"/>
                <w:lang w:val="ro-MD"/>
              </w:rPr>
              <w:t xml:space="preserve"> Suma de înmulţit în conformitate cu punctul 100 se constituie din suma menţionată la subpunctele 1) şi 2) din prezentul punct minus suma menţionată la subpunctul 3):</w:t>
            </w:r>
          </w:p>
        </w:tc>
        <w:tc>
          <w:tcPr>
            <w:tcW w:w="470" w:type="pct"/>
            <w:tcBorders>
              <w:top w:val="single" w:sz="4" w:space="0" w:color="auto"/>
              <w:left w:val="single" w:sz="4" w:space="0" w:color="auto"/>
              <w:bottom w:val="single" w:sz="4" w:space="0" w:color="auto"/>
              <w:right w:val="single" w:sz="4" w:space="0" w:color="auto"/>
            </w:tcBorders>
          </w:tcPr>
          <w:p w14:paraId="0FD3946F" w14:textId="23D74A1F"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 xml:space="preserve">Compatibil </w:t>
            </w:r>
          </w:p>
          <w:p w14:paraId="30870351" w14:textId="154358DD"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7439BD14" w14:textId="77777777" w:rsidR="00984B34" w:rsidRPr="009E686F" w:rsidRDefault="00984B34" w:rsidP="00984B34">
            <w:pPr>
              <w:jc w:val="both"/>
              <w:rPr>
                <w:rFonts w:ascii="Times New Roman" w:hAnsi="Times New Roman" w:cs="Times New Roman"/>
                <w:lang w:val="ro-RO"/>
              </w:rPr>
            </w:pPr>
          </w:p>
        </w:tc>
      </w:tr>
      <w:tr w:rsidR="00984B34" w:rsidRPr="009E686F" w14:paraId="11D1AC69" w14:textId="71E1F285" w:rsidTr="00774F3E">
        <w:tc>
          <w:tcPr>
            <w:tcW w:w="1796" w:type="pct"/>
            <w:gridSpan w:val="2"/>
            <w:tcBorders>
              <w:top w:val="single" w:sz="4" w:space="0" w:color="auto"/>
              <w:left w:val="single" w:sz="4" w:space="0" w:color="auto"/>
              <w:bottom w:val="single" w:sz="4" w:space="0" w:color="auto"/>
              <w:right w:val="single" w:sz="4" w:space="0" w:color="auto"/>
            </w:tcBorders>
          </w:tcPr>
          <w:p w14:paraId="12DAA13F" w14:textId="74550C04"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(a) orice profituri intermediare neincluse în fondurile proprii de nivel 1 de bază în temeiul articolului 26 alineatul (2) din Regulamentul (UE) nr. 575/2013, minus orice distribuire a profiturilor sau orice plată care rezultă din acțiunile menționate în prezentul articol alineatul 2 al doilea paragraf litera (a), (b) sau (c); plus</w:t>
            </w:r>
          </w:p>
        </w:tc>
        <w:tc>
          <w:tcPr>
            <w:tcW w:w="1928" w:type="pct"/>
            <w:gridSpan w:val="3"/>
            <w:tcBorders>
              <w:top w:val="single" w:sz="4" w:space="0" w:color="auto"/>
              <w:left w:val="single" w:sz="4" w:space="0" w:color="auto"/>
              <w:bottom w:val="single" w:sz="4" w:space="0" w:color="auto"/>
              <w:right w:val="single" w:sz="4" w:space="0" w:color="auto"/>
            </w:tcBorders>
          </w:tcPr>
          <w:p w14:paraId="0F59D19A" w14:textId="30149157" w:rsidR="00984B34" w:rsidRPr="009E686F" w:rsidRDefault="00984B34" w:rsidP="00984B34">
            <w:pPr>
              <w:spacing w:after="0"/>
              <w:jc w:val="both"/>
              <w:rPr>
                <w:rFonts w:ascii="Times New Roman" w:hAnsi="Times New Roman" w:cs="Times New Roman"/>
                <w:bCs/>
                <w:lang w:val="ro-RO"/>
              </w:rPr>
            </w:pPr>
            <w:r w:rsidRPr="009E686F">
              <w:rPr>
                <w:rFonts w:ascii="Times New Roman" w:hAnsi="Times New Roman" w:cs="Times New Roman"/>
                <w:bCs/>
                <w:lang w:val="ro-RO"/>
              </w:rPr>
              <w:t>1) profiturile intermediare neincluse în fondurile proprii de nivel 1 de bază în conformitate cu Regulamentul nr.109/2018, minus orice distribuire a profiturilor sau orice plată care rezultă din măsurile menţionate la punctul 91;</w:t>
            </w:r>
          </w:p>
        </w:tc>
        <w:tc>
          <w:tcPr>
            <w:tcW w:w="470" w:type="pct"/>
            <w:tcBorders>
              <w:top w:val="single" w:sz="4" w:space="0" w:color="auto"/>
              <w:left w:val="single" w:sz="4" w:space="0" w:color="auto"/>
              <w:bottom w:val="single" w:sz="4" w:space="0" w:color="auto"/>
              <w:right w:val="single" w:sz="4" w:space="0" w:color="auto"/>
            </w:tcBorders>
          </w:tcPr>
          <w:p w14:paraId="5E2D8FA0" w14:textId="05C7325F"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 xml:space="preserve">Compatibil </w:t>
            </w:r>
          </w:p>
          <w:p w14:paraId="03CAB014" w14:textId="45E412CB"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34A1159A" w14:textId="77777777" w:rsidR="00984B34" w:rsidRPr="009E686F" w:rsidRDefault="00984B34" w:rsidP="00984B34">
            <w:pPr>
              <w:jc w:val="both"/>
              <w:rPr>
                <w:rFonts w:ascii="Times New Roman" w:hAnsi="Times New Roman" w:cs="Times New Roman"/>
                <w:lang w:val="ro-RO"/>
              </w:rPr>
            </w:pPr>
          </w:p>
        </w:tc>
      </w:tr>
      <w:tr w:rsidR="00984B34" w:rsidRPr="009E686F" w14:paraId="21414C13" w14:textId="1E5A3C13" w:rsidTr="00774F3E">
        <w:tc>
          <w:tcPr>
            <w:tcW w:w="1796" w:type="pct"/>
            <w:gridSpan w:val="2"/>
            <w:tcBorders>
              <w:top w:val="single" w:sz="4" w:space="0" w:color="auto"/>
              <w:left w:val="single" w:sz="4" w:space="0" w:color="auto"/>
              <w:bottom w:val="single" w:sz="4" w:space="0" w:color="auto"/>
              <w:right w:val="single" w:sz="4" w:space="0" w:color="auto"/>
            </w:tcBorders>
          </w:tcPr>
          <w:p w14:paraId="2A784378" w14:textId="64D9932B"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(b) orice profituri de la sfârșit de exercițiu financiar neincluse în fondurile proprii de nivel 1 de bază în temeiul articolulului 26 alineatul (2) din Regulamentul (UE) nr. 575/2013minus orice distribuire a profiturilor sau orice plată care rezultă din acțiunile menționate în prezentul articol alineatul (2) al doilea paragraf litera (a), (b) sau (c);  minus</w:t>
            </w:r>
          </w:p>
        </w:tc>
        <w:tc>
          <w:tcPr>
            <w:tcW w:w="1928" w:type="pct"/>
            <w:gridSpan w:val="3"/>
            <w:tcBorders>
              <w:top w:val="single" w:sz="4" w:space="0" w:color="auto"/>
              <w:left w:val="single" w:sz="4" w:space="0" w:color="auto"/>
              <w:bottom w:val="single" w:sz="4" w:space="0" w:color="auto"/>
              <w:right w:val="single" w:sz="4" w:space="0" w:color="auto"/>
            </w:tcBorders>
          </w:tcPr>
          <w:p w14:paraId="269EDDD6" w14:textId="63C4EA34" w:rsidR="00984B34" w:rsidRPr="009E686F" w:rsidRDefault="00984B34" w:rsidP="00984B34">
            <w:pPr>
              <w:spacing w:after="0"/>
              <w:jc w:val="both"/>
              <w:rPr>
                <w:rFonts w:ascii="Times New Roman" w:hAnsi="Times New Roman" w:cs="Times New Roman"/>
                <w:bCs/>
                <w:lang w:val="ro-RO"/>
              </w:rPr>
            </w:pPr>
            <w:r w:rsidRPr="009E686F">
              <w:rPr>
                <w:rFonts w:ascii="Times New Roman" w:hAnsi="Times New Roman" w:cs="Times New Roman"/>
                <w:bCs/>
                <w:lang w:val="ro-RO"/>
              </w:rPr>
              <w:t>2) profiturile la sfârşit de exerciţiu financiar neincluse în fondurile proprii de nivel 1 de bază în conformitate cu Regulamentul nr.109/2018, minus orice distribuire a profiturilor sau orice plată care rezultă din măsurile menţionate la punctul 91;</w:t>
            </w:r>
          </w:p>
        </w:tc>
        <w:tc>
          <w:tcPr>
            <w:tcW w:w="470" w:type="pct"/>
            <w:tcBorders>
              <w:top w:val="single" w:sz="4" w:space="0" w:color="auto"/>
              <w:left w:val="single" w:sz="4" w:space="0" w:color="auto"/>
              <w:bottom w:val="single" w:sz="4" w:space="0" w:color="auto"/>
              <w:right w:val="single" w:sz="4" w:space="0" w:color="auto"/>
            </w:tcBorders>
          </w:tcPr>
          <w:p w14:paraId="34CC7CF0" w14:textId="460CB725"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 xml:space="preserve">Compatibil </w:t>
            </w:r>
          </w:p>
          <w:p w14:paraId="37B120BA" w14:textId="70DAD44A"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32D70F6E" w14:textId="77777777" w:rsidR="00984B34" w:rsidRPr="009E686F" w:rsidRDefault="00984B34" w:rsidP="00984B34">
            <w:pPr>
              <w:jc w:val="both"/>
              <w:rPr>
                <w:rFonts w:ascii="Times New Roman" w:hAnsi="Times New Roman" w:cs="Times New Roman"/>
                <w:lang w:val="ro-RO"/>
              </w:rPr>
            </w:pPr>
          </w:p>
        </w:tc>
      </w:tr>
      <w:tr w:rsidR="00984B34" w:rsidRPr="009E686F" w14:paraId="0EF97802" w14:textId="7571F59F" w:rsidTr="00774F3E">
        <w:tc>
          <w:tcPr>
            <w:tcW w:w="1796" w:type="pct"/>
            <w:gridSpan w:val="2"/>
            <w:tcBorders>
              <w:top w:val="single" w:sz="4" w:space="0" w:color="auto"/>
              <w:left w:val="single" w:sz="4" w:space="0" w:color="auto"/>
              <w:bottom w:val="single" w:sz="4" w:space="0" w:color="auto"/>
              <w:right w:val="single" w:sz="4" w:space="0" w:color="auto"/>
            </w:tcBorders>
          </w:tcPr>
          <w:p w14:paraId="4687A4C7" w14:textId="78489A38"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lastRenderedPageBreak/>
              <w:t>(c) cuantumurile care urma să fie plătite ca taxe și impozite dacă elementele specificate la prezentul alienat literele (a) și (b) ar fi reportate.</w:t>
            </w:r>
          </w:p>
        </w:tc>
        <w:tc>
          <w:tcPr>
            <w:tcW w:w="1928" w:type="pct"/>
            <w:gridSpan w:val="3"/>
            <w:tcBorders>
              <w:top w:val="single" w:sz="4" w:space="0" w:color="auto"/>
              <w:left w:val="single" w:sz="4" w:space="0" w:color="auto"/>
              <w:bottom w:val="single" w:sz="4" w:space="0" w:color="auto"/>
              <w:right w:val="single" w:sz="4" w:space="0" w:color="auto"/>
            </w:tcBorders>
          </w:tcPr>
          <w:p w14:paraId="2F71CCBE" w14:textId="4AEC5A08" w:rsidR="00984B34" w:rsidRPr="009E686F" w:rsidRDefault="00984B34" w:rsidP="00984B34">
            <w:pPr>
              <w:spacing w:after="0"/>
              <w:jc w:val="both"/>
              <w:rPr>
                <w:rFonts w:ascii="Times New Roman" w:hAnsi="Times New Roman" w:cs="Times New Roman"/>
                <w:bCs/>
                <w:lang w:val="ro-RO"/>
              </w:rPr>
            </w:pPr>
            <w:r w:rsidRPr="009E686F">
              <w:rPr>
                <w:rFonts w:ascii="Times New Roman" w:hAnsi="Times New Roman" w:cs="Times New Roman"/>
                <w:bCs/>
                <w:lang w:val="ro-RO"/>
              </w:rPr>
              <w:t>3) sumele care ar trebui achitate ca taxe şi impozite dacă elementele specificate la subpunctele 1) şi 2) din prezentul punct ar fi reţinute.</w:t>
            </w:r>
          </w:p>
        </w:tc>
        <w:tc>
          <w:tcPr>
            <w:tcW w:w="470" w:type="pct"/>
            <w:tcBorders>
              <w:top w:val="single" w:sz="4" w:space="0" w:color="auto"/>
              <w:left w:val="single" w:sz="4" w:space="0" w:color="auto"/>
              <w:bottom w:val="single" w:sz="4" w:space="0" w:color="auto"/>
              <w:right w:val="single" w:sz="4" w:space="0" w:color="auto"/>
            </w:tcBorders>
          </w:tcPr>
          <w:p w14:paraId="28B5C090" w14:textId="1451470A"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 xml:space="preserve">Compatibil </w:t>
            </w:r>
          </w:p>
          <w:p w14:paraId="3BC851DE" w14:textId="0D1F054E"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305F5DA8" w14:textId="77777777" w:rsidR="00984B34" w:rsidRPr="009E686F" w:rsidRDefault="00984B34" w:rsidP="00984B34">
            <w:pPr>
              <w:jc w:val="both"/>
              <w:rPr>
                <w:rFonts w:ascii="Times New Roman" w:hAnsi="Times New Roman" w:cs="Times New Roman"/>
                <w:lang w:val="ro-RO"/>
              </w:rPr>
            </w:pPr>
          </w:p>
        </w:tc>
      </w:tr>
      <w:tr w:rsidR="00984B34" w:rsidRPr="009E686F" w14:paraId="76650F71" w14:textId="13A6293D" w:rsidTr="00774F3E">
        <w:tc>
          <w:tcPr>
            <w:tcW w:w="1796" w:type="pct"/>
            <w:gridSpan w:val="2"/>
            <w:tcBorders>
              <w:top w:val="single" w:sz="4" w:space="0" w:color="auto"/>
              <w:left w:val="single" w:sz="4" w:space="0" w:color="auto"/>
              <w:bottom w:val="single" w:sz="4" w:space="0" w:color="auto"/>
              <w:right w:val="single" w:sz="4" w:space="0" w:color="auto"/>
            </w:tcBorders>
          </w:tcPr>
          <w:p w14:paraId="560B9B10" w14:textId="0210725E"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(6) Factorul se stabileștedupă cum urmează:</w:t>
            </w:r>
          </w:p>
          <w:p w14:paraId="5766DFDB" w14:textId="0D06FED6"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(a) în cazul în care fondurile proprii de nivel 1 de bază menținute de instituție care nu sunt utilizate pentru a îndeplini vreuna din cerințele de fonduri proprii prevăzute la articolul 92 alineatul (1) literele (a), (b) și (c) din Regulamentul (UE) nr. 575/2013și nici cerința de fonduri proprii suplimentare care abordează alte riscuri decât riscul asociat folosirii excesive a efectului de levier prevăzută la articolul 104 alineatul (1) litera (a) din prezenta directivă, exprimată ca procent din cuantumul total al expunerii la risc calculat în conformitate cu articolul 92 alineatul (3) din regulamentul respectiv, se situează în prima cuartilă (și anume, cea mai scăzută) a cerinței amortizorului combinat, factorul este 0;</w:t>
            </w:r>
          </w:p>
          <w:p w14:paraId="623B3C5A" w14:textId="77777777" w:rsidR="00984B34" w:rsidRPr="009E686F" w:rsidRDefault="00984B34" w:rsidP="00984B34">
            <w:pPr>
              <w:spacing w:after="0"/>
              <w:jc w:val="both"/>
              <w:rPr>
                <w:rFonts w:ascii="Times New Roman" w:hAnsi="Times New Roman" w:cs="Times New Roman"/>
                <w:lang w:val="ro-RO"/>
              </w:rPr>
            </w:pPr>
          </w:p>
          <w:p w14:paraId="7161DF9B" w14:textId="6A0D322B"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(b) în cazul în care fondurile proprii de nivel 1 de bază menținute de instituție care nu sunt utilizate pentru a îndeplini vreuna dintre cerințele de fonduri proprii prevăzute la articolul 92 alineatul (1) literele (a), (b) și (c) din Regulamentul (UE) nr. 575/2013 și nici cerința de fonduri proprii suplimentare care abordează alte riscuri decât riscul asociat folosirii excesive a efectului de levier prevăzută la articolul 104 alineatul (1) litera (a) din prezenta directivă, exprimată ca procent din cuantumul total al expunerii, exprimată ca procent din cuantumul total a expunerii la risc calculat în conformitate cu articolul 92 alineatul (3) din regulamentul respectiv, se situează în a doua cuartilă a cerinței amortizorului combinat, factorul este 0,2;</w:t>
            </w:r>
          </w:p>
          <w:p w14:paraId="4CA7123C" w14:textId="77777777" w:rsidR="00984B34" w:rsidRPr="009E686F" w:rsidRDefault="00984B34" w:rsidP="00984B34">
            <w:pPr>
              <w:spacing w:after="0"/>
              <w:jc w:val="both"/>
              <w:rPr>
                <w:rFonts w:ascii="Times New Roman" w:hAnsi="Times New Roman" w:cs="Times New Roman"/>
                <w:lang w:val="ro-RO"/>
              </w:rPr>
            </w:pPr>
          </w:p>
          <w:p w14:paraId="40525119" w14:textId="453D266E"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(c) în cazul în care fondurile proprii de nivel 1 de bază menținute de instituție  care nu sunt utilizate pentru a îndeplini cerințele de fonduri proprii prevăzute la articolul 92 alineatul (1) literele (a), (b) și (c) din Regulamentul (UE) nr. 575/2013 și nici cerința de fonduri proprii suplimentare care abordează alte riscuri decât riscul asociat folosirii excesive a efectului de levier prevăzută la articolul 104 alineatul (1) litera (a) din prezenta directivă, exprimată ca procent din cuantumul total al expunerii la risc calculat în conformitate cu articolul 92 alineatul (3) din regulamentul respectiv, se situează în a treia cuartilă a cerinței amortizorului combinat, factorul este 0,4;</w:t>
            </w:r>
          </w:p>
          <w:p w14:paraId="5B4C512B" w14:textId="77777777" w:rsidR="00984B34" w:rsidRPr="009E686F" w:rsidRDefault="00984B34" w:rsidP="00984B34">
            <w:pPr>
              <w:spacing w:after="0"/>
              <w:jc w:val="both"/>
              <w:rPr>
                <w:rFonts w:ascii="Times New Roman" w:hAnsi="Times New Roman" w:cs="Times New Roman"/>
                <w:lang w:val="ro-RO"/>
              </w:rPr>
            </w:pPr>
          </w:p>
          <w:p w14:paraId="1B62CF92" w14:textId="2E9E5BEC"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(d) în cazul în care fondurile proprii de nivel 1 de bază menținute de instituție care nu sunt utilizate pentru a îndeplini cerințele de fonduri proprii prevăzute la articolul 92 alineatul (1) literele (a), (b) și (c) din Regulamentul (UE) nr. 575/2013, și nici cerința de fonduri proprii suplimentare care abordează alte riscuri decât riscul asociat folosirii excesive a efectului de levier prevăzută la articolul 104 alineatul (1) litera (a) din prezenta directivă, exprimată ca procent din cuantumul total al expunerii la risc calculat  în conformitate cu articolul 92 alineatul (3) din regulamentul respectiv, se situează în a patra cuartilă (și anume, cea mai ridicată) a cerinței amortizorului combinat, factorul este 0,6; </w:t>
            </w:r>
          </w:p>
          <w:p w14:paraId="0CBB3D70" w14:textId="0A473EBF"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Limitele inferioară și superioară ale fiecărei cuartile a cerinței amortizorului combinat sunt calculate după cum urmează:</w:t>
            </w:r>
          </w:p>
          <w:p w14:paraId="063097FB" w14:textId="6A3ECB4C"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noProof/>
              </w:rPr>
              <w:drawing>
                <wp:inline distT="0" distB="0" distL="0" distR="0" wp14:anchorId="563C7943" wp14:editId="16CFF783">
                  <wp:extent cx="2238232" cy="245110"/>
                  <wp:effectExtent l="0" t="0" r="0" b="2540"/>
                  <wp:docPr id="5376278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427465" cy="265833"/>
                          </a:xfrm>
                          <a:prstGeom prst="rect">
                            <a:avLst/>
                          </a:prstGeom>
                          <a:noFill/>
                        </pic:spPr>
                      </pic:pic>
                    </a:graphicData>
                  </a:graphic>
                </wp:inline>
              </w:drawing>
            </w:r>
          </w:p>
          <w:p w14:paraId="2F5E8569" w14:textId="34B22602" w:rsidR="00984B34" w:rsidRPr="009E686F" w:rsidRDefault="00984B34" w:rsidP="00984B34">
            <w:pPr>
              <w:spacing w:after="0"/>
              <w:jc w:val="both"/>
              <w:rPr>
                <w:rFonts w:ascii="Times New Roman" w:hAnsi="Times New Roman" w:cs="Times New Roman"/>
                <w:lang w:val="ro-RO"/>
              </w:rPr>
            </w:pPr>
          </w:p>
          <w:p w14:paraId="7723A1CE" w14:textId="08C6C02C"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noProof/>
              </w:rPr>
              <w:drawing>
                <wp:inline distT="0" distB="0" distL="0" distR="0" wp14:anchorId="47DD2DA6" wp14:editId="2DA36E08">
                  <wp:extent cx="2286000" cy="384175"/>
                  <wp:effectExtent l="0" t="0" r="0" b="0"/>
                  <wp:docPr id="15244415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288818" cy="384649"/>
                          </a:xfrm>
                          <a:prstGeom prst="rect">
                            <a:avLst/>
                          </a:prstGeom>
                          <a:noFill/>
                        </pic:spPr>
                      </pic:pic>
                    </a:graphicData>
                  </a:graphic>
                </wp:inline>
              </w:drawing>
            </w:r>
          </w:p>
          <w:p w14:paraId="5C2AFB0B" w14:textId="461D03DE"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unde:"Qn" indică numărul de ordine al cuartilei în cauză.</w:t>
            </w:r>
          </w:p>
          <w:p w14:paraId="577DCF72" w14:textId="77EDB55A" w:rsidR="00984B34" w:rsidRPr="009E686F" w:rsidRDefault="00984B34" w:rsidP="00984B34">
            <w:pPr>
              <w:spacing w:after="0"/>
              <w:jc w:val="both"/>
              <w:rPr>
                <w:rFonts w:ascii="Times New Roman" w:hAnsi="Times New Roman" w:cs="Times New Roman"/>
                <w:lang w:val="ro-RO"/>
              </w:rPr>
            </w:pPr>
          </w:p>
        </w:tc>
        <w:tc>
          <w:tcPr>
            <w:tcW w:w="1928" w:type="pct"/>
            <w:gridSpan w:val="3"/>
            <w:tcBorders>
              <w:top w:val="single" w:sz="4" w:space="0" w:color="auto"/>
              <w:left w:val="single" w:sz="4" w:space="0" w:color="auto"/>
              <w:bottom w:val="single" w:sz="4" w:space="0" w:color="auto"/>
              <w:right w:val="single" w:sz="4" w:space="0" w:color="auto"/>
            </w:tcBorders>
          </w:tcPr>
          <w:p w14:paraId="69A9A158" w14:textId="4324E4AA"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b/>
                <w:lang w:val="ro-RO"/>
              </w:rPr>
              <w:lastRenderedPageBreak/>
              <w:t>Pct. 102 și 103 din Regulamentul cu privire la amortizoarele de capital ale băncilor, aprobat prin HCE nr.110/2018</w:t>
            </w:r>
          </w:p>
          <w:p w14:paraId="06481E59" w14:textId="77777777" w:rsidR="00984B34" w:rsidRPr="009E686F" w:rsidRDefault="00984B34" w:rsidP="00984B34">
            <w:pPr>
              <w:spacing w:after="0"/>
              <w:jc w:val="both"/>
              <w:rPr>
                <w:rFonts w:ascii="Times New Roman" w:hAnsi="Times New Roman" w:cs="Times New Roman"/>
                <w:bCs/>
                <w:lang w:val="ro-RO"/>
              </w:rPr>
            </w:pPr>
            <w:r w:rsidRPr="009E686F">
              <w:rPr>
                <w:rFonts w:ascii="Times New Roman" w:hAnsi="Times New Roman" w:cs="Times New Roman"/>
                <w:b/>
                <w:lang w:val="ro-RO"/>
              </w:rPr>
              <w:t>102.</w:t>
            </w:r>
            <w:r w:rsidRPr="009E686F">
              <w:rPr>
                <w:rFonts w:ascii="Times New Roman" w:hAnsi="Times New Roman" w:cs="Times New Roman"/>
                <w:bCs/>
                <w:lang w:val="ro-RO"/>
              </w:rPr>
              <w:t xml:space="preserve"> Factorul prevăzut la punctul 100 depinde de proporţia între:</w:t>
            </w:r>
          </w:p>
          <w:p w14:paraId="4E145768" w14:textId="24E1C29B" w:rsidR="00984B34" w:rsidRPr="009E686F" w:rsidRDefault="00984B34" w:rsidP="00984B34">
            <w:pPr>
              <w:spacing w:after="0"/>
              <w:jc w:val="both"/>
              <w:rPr>
                <w:rFonts w:ascii="Times New Roman" w:hAnsi="Times New Roman" w:cs="Times New Roman"/>
                <w:bCs/>
                <w:lang w:val="ro-RO"/>
              </w:rPr>
            </w:pPr>
            <w:r w:rsidRPr="009E686F">
              <w:rPr>
                <w:rFonts w:ascii="Times New Roman" w:hAnsi="Times New Roman" w:cs="Times New Roman"/>
                <w:bCs/>
                <w:lang w:val="ro-RO"/>
              </w:rPr>
              <w:t>1) fondurile proprii de nivel 1 de bază menţinute de bancă şi care nu sunt utilizate pentru a îndeplini cerinţa de fonduri proprii prevăzută la punctul 130 din Regulamentul nr.109/2018 şi cerinţa de fonduri proprii suplimentare, prevăzută în art.139 alin.(3) - (5) din Legea nr.202/2017, care abordează alte riscuri decât riscul asociat folosirii excesive a efectului de levier, exprimate ca procentaj din cuantumul total al expunerii la risc, şi</w:t>
            </w:r>
          </w:p>
          <w:p w14:paraId="56E12765" w14:textId="77777777" w:rsidR="00984B34" w:rsidRPr="009E686F" w:rsidRDefault="00984B34" w:rsidP="00984B34">
            <w:pPr>
              <w:spacing w:after="0"/>
              <w:jc w:val="both"/>
              <w:rPr>
                <w:rFonts w:ascii="Times New Roman" w:hAnsi="Times New Roman" w:cs="Times New Roman"/>
                <w:bCs/>
                <w:lang w:val="ro-RO"/>
              </w:rPr>
            </w:pPr>
            <w:r w:rsidRPr="009E686F">
              <w:rPr>
                <w:rFonts w:ascii="Times New Roman" w:hAnsi="Times New Roman" w:cs="Times New Roman"/>
                <w:bCs/>
                <w:lang w:val="ro-RO"/>
              </w:rPr>
              <w:t>2) cerinţa amortizorului combinat, exprimată ca procentaj din cuantumul total al expunerii la risc.</w:t>
            </w:r>
          </w:p>
          <w:p w14:paraId="118DAE2C" w14:textId="670F73FA" w:rsidR="00984B34" w:rsidRPr="009E686F" w:rsidRDefault="00984B34" w:rsidP="00984B34">
            <w:pPr>
              <w:spacing w:after="0"/>
              <w:jc w:val="both"/>
              <w:rPr>
                <w:rFonts w:ascii="Times New Roman" w:hAnsi="Times New Roman" w:cs="Times New Roman"/>
                <w:bCs/>
                <w:lang w:val="ro-RO"/>
              </w:rPr>
            </w:pPr>
            <w:r w:rsidRPr="009E686F">
              <w:rPr>
                <w:rFonts w:ascii="Times New Roman" w:hAnsi="Times New Roman" w:cs="Times New Roman"/>
                <w:b/>
                <w:lang w:val="ro-RO"/>
              </w:rPr>
              <w:t>103.</w:t>
            </w:r>
            <w:r w:rsidRPr="009E686F">
              <w:rPr>
                <w:rFonts w:ascii="Times New Roman" w:hAnsi="Times New Roman" w:cs="Times New Roman"/>
                <w:bCs/>
                <w:lang w:val="ro-RO"/>
              </w:rPr>
              <w:t xml:space="preserve"> Factorul prevăzut la punctul 102 se determină după cum urmează:</w:t>
            </w:r>
          </w:p>
          <w:p w14:paraId="035F9133" w14:textId="77777777" w:rsidR="00984B34" w:rsidRPr="009E686F" w:rsidRDefault="00984B34" w:rsidP="00984B34">
            <w:pPr>
              <w:spacing w:after="0"/>
              <w:jc w:val="both"/>
              <w:rPr>
                <w:rFonts w:ascii="Times New Roman" w:hAnsi="Times New Roman" w:cs="Times New Roman"/>
                <w:bCs/>
                <w:lang w:val="ro-RO"/>
              </w:rPr>
            </w:pPr>
            <w:r w:rsidRPr="009E686F">
              <w:rPr>
                <w:rFonts w:ascii="Times New Roman" w:hAnsi="Times New Roman" w:cs="Times New Roman"/>
                <w:bCs/>
                <w:lang w:val="ro-RO"/>
              </w:rPr>
              <w:t>1) se aplică factorul 0, în cazul în care proporţia menţionată la punctul 102 este mai mică sau egală cu 25%;</w:t>
            </w:r>
          </w:p>
          <w:p w14:paraId="04520262" w14:textId="77777777" w:rsidR="00984B34" w:rsidRPr="009E686F" w:rsidRDefault="00984B34" w:rsidP="00984B34">
            <w:pPr>
              <w:spacing w:after="0"/>
              <w:jc w:val="both"/>
              <w:rPr>
                <w:rFonts w:ascii="Times New Roman" w:hAnsi="Times New Roman" w:cs="Times New Roman"/>
                <w:bCs/>
                <w:lang w:val="ro-RO"/>
              </w:rPr>
            </w:pPr>
            <w:r w:rsidRPr="009E686F">
              <w:rPr>
                <w:rFonts w:ascii="Times New Roman" w:hAnsi="Times New Roman" w:cs="Times New Roman"/>
                <w:bCs/>
                <w:lang w:val="ro-RO"/>
              </w:rPr>
              <w:t>2) se aplică factorul 0.2, în cazul în care proporţia menţionată la punctul 102 este mai mare de 25% şi mai mică sau egală cu 50%;</w:t>
            </w:r>
          </w:p>
          <w:p w14:paraId="59322D8F" w14:textId="77777777" w:rsidR="00984B34" w:rsidRPr="009E686F" w:rsidRDefault="00984B34" w:rsidP="00984B34">
            <w:pPr>
              <w:spacing w:after="0"/>
              <w:jc w:val="both"/>
              <w:rPr>
                <w:rFonts w:ascii="Times New Roman" w:hAnsi="Times New Roman" w:cs="Times New Roman"/>
                <w:bCs/>
                <w:lang w:val="ro-RO"/>
              </w:rPr>
            </w:pPr>
            <w:r w:rsidRPr="009E686F">
              <w:rPr>
                <w:rFonts w:ascii="Times New Roman" w:hAnsi="Times New Roman" w:cs="Times New Roman"/>
                <w:bCs/>
                <w:lang w:val="ro-RO"/>
              </w:rPr>
              <w:t>3) se aplică factorul 0.4, în cazul în care proporţia menţionată la punctul 102 este mai mare de 50% şi mai mică sau egală cu 75%;</w:t>
            </w:r>
          </w:p>
          <w:p w14:paraId="6BF3BECF" w14:textId="72A10F36" w:rsidR="00984B34" w:rsidRPr="009E686F" w:rsidRDefault="00984B34" w:rsidP="00984B34">
            <w:pPr>
              <w:spacing w:after="0"/>
              <w:jc w:val="both"/>
              <w:rPr>
                <w:rFonts w:ascii="Times New Roman" w:hAnsi="Times New Roman" w:cs="Times New Roman"/>
                <w:bCs/>
                <w:lang w:val="ro-RO"/>
              </w:rPr>
            </w:pPr>
            <w:r w:rsidRPr="009E686F">
              <w:rPr>
                <w:rFonts w:ascii="Times New Roman" w:hAnsi="Times New Roman" w:cs="Times New Roman"/>
                <w:bCs/>
                <w:lang w:val="ro-RO"/>
              </w:rPr>
              <w:t>4) se aplică factorul 0.6, în cazul în care proporţia menţionată la punctul 102 este mai mare de 75% şi mai mică sau egală cu 100%.</w:t>
            </w:r>
          </w:p>
        </w:tc>
        <w:tc>
          <w:tcPr>
            <w:tcW w:w="470" w:type="pct"/>
            <w:tcBorders>
              <w:top w:val="single" w:sz="4" w:space="0" w:color="auto"/>
              <w:left w:val="single" w:sz="4" w:space="0" w:color="auto"/>
              <w:bottom w:val="single" w:sz="4" w:space="0" w:color="auto"/>
              <w:right w:val="single" w:sz="4" w:space="0" w:color="auto"/>
            </w:tcBorders>
          </w:tcPr>
          <w:p w14:paraId="00EBF00F" w14:textId="597BEEEC"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 xml:space="preserve">Compatibil </w:t>
            </w:r>
          </w:p>
        </w:tc>
        <w:tc>
          <w:tcPr>
            <w:tcW w:w="806" w:type="pct"/>
            <w:tcBorders>
              <w:top w:val="single" w:sz="4" w:space="0" w:color="auto"/>
              <w:left w:val="single" w:sz="4" w:space="0" w:color="auto"/>
              <w:bottom w:val="single" w:sz="4" w:space="0" w:color="auto"/>
              <w:right w:val="single" w:sz="4" w:space="0" w:color="auto"/>
            </w:tcBorders>
          </w:tcPr>
          <w:p w14:paraId="5FD64D6D" w14:textId="77777777" w:rsidR="00984B34" w:rsidRPr="009E686F" w:rsidRDefault="00984B34" w:rsidP="00984B34">
            <w:pPr>
              <w:jc w:val="both"/>
              <w:rPr>
                <w:rFonts w:ascii="Times New Roman" w:hAnsi="Times New Roman" w:cs="Times New Roman"/>
                <w:lang w:val="ro-RO"/>
              </w:rPr>
            </w:pPr>
          </w:p>
        </w:tc>
      </w:tr>
      <w:tr w:rsidR="00984B34" w:rsidRPr="009E686F" w14:paraId="337D341D" w14:textId="6D2FE9F6" w:rsidTr="00774F3E">
        <w:tc>
          <w:tcPr>
            <w:tcW w:w="1796" w:type="pct"/>
            <w:gridSpan w:val="2"/>
            <w:tcBorders>
              <w:top w:val="single" w:sz="4" w:space="0" w:color="auto"/>
              <w:left w:val="single" w:sz="4" w:space="0" w:color="auto"/>
              <w:bottom w:val="single" w:sz="4" w:space="0" w:color="auto"/>
              <w:right w:val="single" w:sz="4" w:space="0" w:color="auto"/>
            </w:tcBorders>
          </w:tcPr>
          <w:p w14:paraId="33D70BE1" w14:textId="0D05E93F"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lastRenderedPageBreak/>
              <w:t>(7) Restricțiile prevăzute la prezentul articol se aplică doar plăților care antrenează o reducere a fondurilor proprii de nivel 1 de bază sau o reducere a profiturilor și în măsura în care suspendarea unei plăți sau neefectuarea plății nu constituie o situație de nerambursare sau o condiție pentru începerea unei proceduri de insolvență în temeiul regimului de insolvență aplicabil instituției</w:t>
            </w:r>
          </w:p>
        </w:tc>
        <w:tc>
          <w:tcPr>
            <w:tcW w:w="1928" w:type="pct"/>
            <w:gridSpan w:val="3"/>
            <w:tcBorders>
              <w:top w:val="single" w:sz="4" w:space="0" w:color="auto"/>
              <w:left w:val="single" w:sz="4" w:space="0" w:color="auto"/>
              <w:bottom w:val="single" w:sz="4" w:space="0" w:color="auto"/>
              <w:right w:val="single" w:sz="4" w:space="0" w:color="auto"/>
            </w:tcBorders>
          </w:tcPr>
          <w:p w14:paraId="6949281D" w14:textId="0348C058"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b/>
                <w:lang w:val="ro-RO"/>
              </w:rPr>
              <w:t>Pct. 93 din Regulamentul cu privire la amortizoarele de capital ale băncilor, aprobat prin HCE nr.110/2018</w:t>
            </w:r>
          </w:p>
          <w:p w14:paraId="0E318A78" w14:textId="7D88198D" w:rsidR="00984B34" w:rsidRPr="009E686F" w:rsidRDefault="00984B34" w:rsidP="00984B34">
            <w:pPr>
              <w:spacing w:after="0"/>
              <w:jc w:val="both"/>
              <w:rPr>
                <w:rFonts w:ascii="Times New Roman" w:hAnsi="Times New Roman" w:cs="Times New Roman"/>
                <w:lang w:val="ro-MD"/>
              </w:rPr>
            </w:pPr>
            <w:r w:rsidRPr="009E686F">
              <w:rPr>
                <w:rFonts w:ascii="Times New Roman" w:hAnsi="Times New Roman" w:cs="Times New Roman"/>
                <w:b/>
                <w:bCs/>
                <w:lang w:val="ro-MD"/>
              </w:rPr>
              <w:t>93.</w:t>
            </w:r>
            <w:r w:rsidRPr="009E686F">
              <w:rPr>
                <w:rFonts w:ascii="Times New Roman" w:hAnsi="Times New Roman" w:cs="Times New Roman"/>
                <w:lang w:val="ro-MD"/>
              </w:rPr>
              <w:t xml:space="preserve"> Restricțiile prevăzute la secțiunile 1 și 2 din prezentul capitol se aplică doar plăților care conduc la o reducere a fondurilor proprii de nivel 1 de bază sau la o reducere a profiturilor și cu condiția că suspendarea unei plăți sau neefectuarea plății nu constituie un eveniment</w:t>
            </w:r>
            <w:r w:rsidRPr="009E686F">
              <w:rPr>
                <w:rFonts w:ascii="Times New Roman" w:hAnsi="Times New Roman" w:cs="Times New Roman"/>
                <w:i/>
                <w:lang w:val="ro-MD"/>
              </w:rPr>
              <w:t xml:space="preserve"> </w:t>
            </w:r>
            <w:r w:rsidRPr="009E686F">
              <w:rPr>
                <w:rFonts w:ascii="Times New Roman" w:hAnsi="Times New Roman" w:cs="Times New Roman"/>
                <w:lang w:val="ro-MD"/>
              </w:rPr>
              <w:t>de neîndeplinire a obligațiilor sau o condiție pentru începerea unei proceduri de insolvabilitate în privința băncii.</w:t>
            </w:r>
          </w:p>
        </w:tc>
        <w:tc>
          <w:tcPr>
            <w:tcW w:w="470" w:type="pct"/>
            <w:tcBorders>
              <w:top w:val="single" w:sz="4" w:space="0" w:color="auto"/>
              <w:left w:val="single" w:sz="4" w:space="0" w:color="auto"/>
              <w:bottom w:val="single" w:sz="4" w:space="0" w:color="auto"/>
              <w:right w:val="single" w:sz="4" w:space="0" w:color="auto"/>
            </w:tcBorders>
          </w:tcPr>
          <w:p w14:paraId="099C2B48" w14:textId="0AE0FC09"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 xml:space="preserve">Compatibil </w:t>
            </w:r>
          </w:p>
          <w:p w14:paraId="1D99E1EE" w14:textId="74319466"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14D77A61" w14:textId="77777777" w:rsidR="00984B34" w:rsidRPr="009E686F" w:rsidRDefault="00984B34" w:rsidP="00984B34">
            <w:pPr>
              <w:jc w:val="both"/>
              <w:rPr>
                <w:rFonts w:ascii="Times New Roman" w:hAnsi="Times New Roman" w:cs="Times New Roman"/>
                <w:lang w:val="ro-RO"/>
              </w:rPr>
            </w:pPr>
          </w:p>
        </w:tc>
      </w:tr>
      <w:tr w:rsidR="00984B34" w:rsidRPr="009E686F" w14:paraId="22D9DD95" w14:textId="545A9377" w:rsidTr="00774F3E">
        <w:tc>
          <w:tcPr>
            <w:tcW w:w="1796" w:type="pct"/>
            <w:gridSpan w:val="2"/>
            <w:tcBorders>
              <w:top w:val="single" w:sz="4" w:space="0" w:color="auto"/>
              <w:left w:val="single" w:sz="4" w:space="0" w:color="auto"/>
              <w:bottom w:val="single" w:sz="4" w:space="0" w:color="auto"/>
              <w:right w:val="single" w:sz="4" w:space="0" w:color="auto"/>
            </w:tcBorders>
          </w:tcPr>
          <w:p w14:paraId="2A00C74B" w14:textId="02656991"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(8) În cazul în care o instituție nu îndeplinește obligația amortizorului combinat și intenționează să distribuie toate sau o parte din profiturile sale distribuibile ori ia una dintre măsurile menționate la articolul (2) al doilea paragraf literele (a), (b) și (c), aceasta notifică autoritatea competentă și furnizează următoarele informații:</w:t>
            </w:r>
          </w:p>
          <w:p w14:paraId="576351A3" w14:textId="127D7CAA"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(a) valoarea capitalului menținut de instituție, defalcat după cum urmează:</w:t>
            </w:r>
          </w:p>
          <w:p w14:paraId="2AC3E165" w14:textId="53AF38E0"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 i. fonduri proprii de nivel 1 de bază,</w:t>
            </w:r>
          </w:p>
          <w:p w14:paraId="2F95C0E4" w14:textId="20844D5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ii. fonduri proprii de nivel 1 suplimentar,</w:t>
            </w:r>
          </w:p>
          <w:p w14:paraId="6055F647" w14:textId="089468E0"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iii. fonduri proprii de nivel 2;</w:t>
            </w:r>
          </w:p>
          <w:p w14:paraId="0CACB1EC" w14:textId="5CC1665C"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(b) valoarea profiturilor intermediare și la sfârșit de exercițiu financiar;</w:t>
            </w:r>
          </w:p>
          <w:p w14:paraId="40D410A6" w14:textId="021BF401"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(c) MDA, calculată în conformitate cu alineatul (4);</w:t>
            </w:r>
          </w:p>
          <w:p w14:paraId="343E7F93" w14:textId="46F6D55B"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(d) valoarea profiturilor distribuibile pe care planifică să le aloce următoarelor:</w:t>
            </w:r>
          </w:p>
          <w:p w14:paraId="7EDF6FF6" w14:textId="06223134"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i. plăți de dividende,</w:t>
            </w:r>
          </w:p>
          <w:p w14:paraId="18966045" w14:textId="68C64AB1"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lastRenderedPageBreak/>
              <w:t>ii. răscumpărări de acțiuni,</w:t>
            </w:r>
          </w:p>
          <w:p w14:paraId="75F99451" w14:textId="63587869"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iii. plăți legate de instrumente de fonduri proprii de nivel 1 suplimentar,</w:t>
            </w:r>
          </w:p>
          <w:p w14:paraId="57777678" w14:textId="5036103B"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iv. plata unei remunerații variabile sau a unor beneficii discreționare de tipul pensiilor, inclusiv prin crearea unei noi obligații de plată, sau plata în temeiul unei obligații de plată creată la momentul la care instituția nu îndeplinea cerința de amortizorul combinat.</w:t>
            </w:r>
          </w:p>
          <w:p w14:paraId="256CDE93" w14:textId="7A73A028" w:rsidR="00984B34" w:rsidRPr="009E686F" w:rsidRDefault="00984B34" w:rsidP="00984B34">
            <w:pPr>
              <w:spacing w:after="0"/>
              <w:jc w:val="both"/>
              <w:rPr>
                <w:rFonts w:ascii="Times New Roman" w:hAnsi="Times New Roman" w:cs="Times New Roman"/>
                <w:lang w:val="ro-RO"/>
              </w:rPr>
            </w:pPr>
          </w:p>
        </w:tc>
        <w:tc>
          <w:tcPr>
            <w:tcW w:w="1928" w:type="pct"/>
            <w:gridSpan w:val="3"/>
            <w:tcBorders>
              <w:top w:val="single" w:sz="4" w:space="0" w:color="auto"/>
              <w:left w:val="single" w:sz="4" w:space="0" w:color="auto"/>
              <w:bottom w:val="single" w:sz="4" w:space="0" w:color="auto"/>
              <w:right w:val="single" w:sz="4" w:space="0" w:color="auto"/>
            </w:tcBorders>
          </w:tcPr>
          <w:p w14:paraId="19079D01" w14:textId="7D630F5D"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b/>
                <w:lang w:val="ro-RO"/>
              </w:rPr>
              <w:lastRenderedPageBreak/>
              <w:t>Pct. 94 și 96 din Regulamentul cu privire la amortizoarele de capital ale băncilor, aprobat prin HCE nr.110/2018</w:t>
            </w:r>
          </w:p>
          <w:p w14:paraId="7E6EDEC3" w14:textId="77777777" w:rsidR="00984B34" w:rsidRPr="009E686F" w:rsidRDefault="00984B34" w:rsidP="00984B34">
            <w:pPr>
              <w:pStyle w:val="af4"/>
              <w:tabs>
                <w:tab w:val="left" w:pos="567"/>
                <w:tab w:val="left" w:pos="993"/>
              </w:tabs>
              <w:autoSpaceDE w:val="0"/>
              <w:autoSpaceDN w:val="0"/>
              <w:adjustRightInd w:val="0"/>
              <w:spacing w:after="0"/>
              <w:ind w:left="0"/>
              <w:jc w:val="both"/>
              <w:rPr>
                <w:rFonts w:ascii="Times New Roman" w:hAnsi="Times New Roman" w:cs="Times New Roman"/>
                <w:lang w:val="ro-MD"/>
              </w:rPr>
            </w:pPr>
            <w:r w:rsidRPr="009E686F">
              <w:rPr>
                <w:rFonts w:ascii="Times New Roman" w:hAnsi="Times New Roman" w:cs="Times New Roman"/>
                <w:b/>
                <w:bCs/>
                <w:lang w:val="ro-MD"/>
              </w:rPr>
              <w:t>94.</w:t>
            </w:r>
            <w:r w:rsidRPr="009E686F">
              <w:rPr>
                <w:rFonts w:ascii="Times New Roman" w:hAnsi="Times New Roman" w:cs="Times New Roman"/>
                <w:lang w:val="ro-MD"/>
              </w:rPr>
              <w:t xml:space="preserve"> În cazul în care o bancă nu îndeplinește cerința amortizorului combinat și intenționează să distribuie oricare din profiturile sale distribuibile ori să întreprindă una dintre măsurile menționate la punctul 91, aceasta solicită permisiunea Băncii Naționale a Moldovei cu 30 de zile lucrătoare înainte de desfășurarea ședinței consiliului băncii la care va fi examinată distribuirea/măsura preconizată sau propunerea respectivă ce urmează a fi înaintată către adunarea generală a acționarilor.</w:t>
            </w:r>
          </w:p>
          <w:p w14:paraId="3A6D7DD6" w14:textId="77777777" w:rsidR="00984B34" w:rsidRPr="009E686F" w:rsidRDefault="00984B34" w:rsidP="00984B34">
            <w:pPr>
              <w:spacing w:after="0"/>
              <w:jc w:val="both"/>
              <w:rPr>
                <w:rFonts w:ascii="Times New Roman" w:hAnsi="Times New Roman" w:cs="Times New Roman"/>
                <w:lang w:val="ro-MD"/>
              </w:rPr>
            </w:pPr>
            <w:r w:rsidRPr="009E686F">
              <w:rPr>
                <w:rFonts w:ascii="Times New Roman" w:hAnsi="Times New Roman" w:cs="Times New Roman"/>
                <w:b/>
                <w:bCs/>
                <w:lang w:val="ro-MD"/>
              </w:rPr>
              <w:t>96.</w:t>
            </w:r>
            <w:r w:rsidRPr="009E686F">
              <w:rPr>
                <w:rFonts w:ascii="Times New Roman" w:hAnsi="Times New Roman" w:cs="Times New Roman"/>
                <w:lang w:val="ro-MD"/>
              </w:rPr>
              <w:t xml:space="preserve"> În procesul de solicitare indicat la punctul 94, suplimentar la documentele aferente obținerii permisiunii privind distribuirile de capital, prevăzute în actele normative ale Băncii Naționale a Moldovei aferente fondurilor proprii ale băncilor și cerințelor de capital, băncile trebuie să furnizeze următoarele informații: </w:t>
            </w:r>
          </w:p>
          <w:p w14:paraId="15815795" w14:textId="77777777" w:rsidR="00984B34" w:rsidRPr="009E686F" w:rsidRDefault="00984B34" w:rsidP="00984B34">
            <w:pPr>
              <w:spacing w:after="0"/>
              <w:jc w:val="both"/>
              <w:rPr>
                <w:rFonts w:ascii="Times New Roman" w:hAnsi="Times New Roman" w:cs="Times New Roman"/>
                <w:lang w:val="ro-MD"/>
              </w:rPr>
            </w:pPr>
            <w:r w:rsidRPr="009E686F">
              <w:rPr>
                <w:rFonts w:ascii="Times New Roman" w:hAnsi="Times New Roman" w:cs="Times New Roman"/>
                <w:lang w:val="ro-MD"/>
              </w:rPr>
              <w:t xml:space="preserve">1) valoarea fondurilor proprii menținute de bancă, detaliate după cum urmează: </w:t>
            </w:r>
          </w:p>
          <w:p w14:paraId="1E09A4A1" w14:textId="77777777" w:rsidR="00984B34" w:rsidRPr="009E686F" w:rsidRDefault="00984B34" w:rsidP="00984B34">
            <w:pPr>
              <w:spacing w:after="0"/>
              <w:jc w:val="both"/>
              <w:rPr>
                <w:rFonts w:ascii="Times New Roman" w:hAnsi="Times New Roman" w:cs="Times New Roman"/>
                <w:lang w:val="ro-MD"/>
              </w:rPr>
            </w:pPr>
            <w:r w:rsidRPr="009E686F">
              <w:rPr>
                <w:rFonts w:ascii="Times New Roman" w:hAnsi="Times New Roman" w:cs="Times New Roman"/>
                <w:lang w:val="ro-MD"/>
              </w:rPr>
              <w:lastRenderedPageBreak/>
              <w:t xml:space="preserve">a) fonduri proprii de nivel 1 de bază, </w:t>
            </w:r>
          </w:p>
          <w:p w14:paraId="72FD827C" w14:textId="77777777" w:rsidR="00984B34" w:rsidRPr="009E686F" w:rsidRDefault="00984B34" w:rsidP="00984B34">
            <w:pPr>
              <w:spacing w:after="0"/>
              <w:jc w:val="both"/>
              <w:rPr>
                <w:rFonts w:ascii="Times New Roman" w:hAnsi="Times New Roman" w:cs="Times New Roman"/>
                <w:lang w:val="ro-MD"/>
              </w:rPr>
            </w:pPr>
            <w:r w:rsidRPr="009E686F">
              <w:rPr>
                <w:rFonts w:ascii="Times New Roman" w:hAnsi="Times New Roman" w:cs="Times New Roman"/>
                <w:lang w:val="ro-MD"/>
              </w:rPr>
              <w:t xml:space="preserve">b) fonduri proprii de nivel 1 suplimentar, </w:t>
            </w:r>
          </w:p>
          <w:p w14:paraId="0283D2A0" w14:textId="77777777" w:rsidR="00984B34" w:rsidRPr="009E686F" w:rsidRDefault="00984B34" w:rsidP="00984B34">
            <w:pPr>
              <w:spacing w:after="0"/>
              <w:jc w:val="both"/>
              <w:rPr>
                <w:rFonts w:ascii="Times New Roman" w:hAnsi="Times New Roman" w:cs="Times New Roman"/>
                <w:lang w:val="ro-MD"/>
              </w:rPr>
            </w:pPr>
            <w:r w:rsidRPr="009E686F">
              <w:rPr>
                <w:rFonts w:ascii="Times New Roman" w:hAnsi="Times New Roman" w:cs="Times New Roman"/>
                <w:lang w:val="ro-MD"/>
              </w:rPr>
              <w:t xml:space="preserve">c) fonduri proprii de nivel 2; </w:t>
            </w:r>
          </w:p>
          <w:p w14:paraId="1633F61B" w14:textId="77777777" w:rsidR="00984B34" w:rsidRPr="009E686F" w:rsidRDefault="00984B34" w:rsidP="00984B34">
            <w:pPr>
              <w:spacing w:after="0"/>
              <w:jc w:val="both"/>
              <w:rPr>
                <w:rFonts w:ascii="Times New Roman" w:hAnsi="Times New Roman" w:cs="Times New Roman"/>
                <w:lang w:val="ro-MD"/>
              </w:rPr>
            </w:pPr>
            <w:r w:rsidRPr="009E686F">
              <w:rPr>
                <w:rFonts w:ascii="Times New Roman" w:hAnsi="Times New Roman" w:cs="Times New Roman"/>
                <w:lang w:val="ro-MD"/>
              </w:rPr>
              <w:t xml:space="preserve">2) valoarea profiturilor intermediare și la sfârșit de exercițiu financiar; </w:t>
            </w:r>
          </w:p>
          <w:p w14:paraId="62752334" w14:textId="77777777" w:rsidR="00984B34" w:rsidRPr="009E686F" w:rsidRDefault="00984B34" w:rsidP="00984B34">
            <w:pPr>
              <w:spacing w:after="0"/>
              <w:jc w:val="both"/>
              <w:rPr>
                <w:rFonts w:ascii="Times New Roman" w:hAnsi="Times New Roman" w:cs="Times New Roman"/>
                <w:lang w:val="ro-MD"/>
              </w:rPr>
            </w:pPr>
            <w:r w:rsidRPr="009E686F">
              <w:rPr>
                <w:rFonts w:ascii="Times New Roman" w:hAnsi="Times New Roman" w:cs="Times New Roman"/>
                <w:lang w:val="ro-MD"/>
              </w:rPr>
              <w:t xml:space="preserve">3) suma maximă distribuibilă, calculată în conformitate cu secțiunea a 3-a din prezentul capitol; </w:t>
            </w:r>
          </w:p>
          <w:p w14:paraId="42D477FA" w14:textId="77777777" w:rsidR="00984B34" w:rsidRPr="009E686F" w:rsidRDefault="00984B34" w:rsidP="00984B34">
            <w:pPr>
              <w:spacing w:after="0"/>
              <w:jc w:val="both"/>
              <w:rPr>
                <w:rFonts w:ascii="Times New Roman" w:hAnsi="Times New Roman" w:cs="Times New Roman"/>
                <w:lang w:val="ro-MD"/>
              </w:rPr>
            </w:pPr>
            <w:r w:rsidRPr="009E686F">
              <w:rPr>
                <w:rFonts w:ascii="Times New Roman" w:hAnsi="Times New Roman" w:cs="Times New Roman"/>
                <w:lang w:val="ro-MD"/>
              </w:rPr>
              <w:t xml:space="preserve">4) valoarea profiturilor distribuibile pe care planifică să le aloce următoarelor: </w:t>
            </w:r>
          </w:p>
          <w:p w14:paraId="6C0B95D9" w14:textId="77777777" w:rsidR="00984B34" w:rsidRPr="009E686F" w:rsidRDefault="00984B34" w:rsidP="00984B34">
            <w:pPr>
              <w:spacing w:after="0"/>
              <w:jc w:val="both"/>
              <w:rPr>
                <w:rFonts w:ascii="Times New Roman" w:hAnsi="Times New Roman" w:cs="Times New Roman"/>
                <w:lang w:val="ro-MD"/>
              </w:rPr>
            </w:pPr>
            <w:r w:rsidRPr="009E686F">
              <w:rPr>
                <w:rFonts w:ascii="Times New Roman" w:hAnsi="Times New Roman" w:cs="Times New Roman"/>
                <w:lang w:val="ro-MD"/>
              </w:rPr>
              <w:t xml:space="preserve">a) plăți de dividende, </w:t>
            </w:r>
          </w:p>
          <w:p w14:paraId="1380927B" w14:textId="77777777" w:rsidR="00984B34" w:rsidRPr="009E686F" w:rsidRDefault="00984B34" w:rsidP="00984B34">
            <w:pPr>
              <w:spacing w:after="0"/>
              <w:jc w:val="both"/>
              <w:rPr>
                <w:rFonts w:ascii="Times New Roman" w:hAnsi="Times New Roman" w:cs="Times New Roman"/>
                <w:lang w:val="ro-MD"/>
              </w:rPr>
            </w:pPr>
            <w:r w:rsidRPr="009E686F">
              <w:rPr>
                <w:rFonts w:ascii="Times New Roman" w:hAnsi="Times New Roman" w:cs="Times New Roman"/>
                <w:lang w:val="ro-MD"/>
              </w:rPr>
              <w:t xml:space="preserve">b) răscumpărări de acțiuni, </w:t>
            </w:r>
          </w:p>
          <w:p w14:paraId="46803AD8" w14:textId="77777777" w:rsidR="00984B34" w:rsidRPr="009E686F" w:rsidRDefault="00984B34" w:rsidP="00984B34">
            <w:pPr>
              <w:spacing w:after="0"/>
              <w:jc w:val="both"/>
              <w:rPr>
                <w:rFonts w:ascii="Times New Roman" w:hAnsi="Times New Roman" w:cs="Times New Roman"/>
                <w:lang w:val="ro-MD"/>
              </w:rPr>
            </w:pPr>
            <w:r w:rsidRPr="009E686F">
              <w:rPr>
                <w:rFonts w:ascii="Times New Roman" w:hAnsi="Times New Roman" w:cs="Times New Roman"/>
                <w:lang w:val="ro-MD"/>
              </w:rPr>
              <w:t xml:space="preserve">c) plăți legate de instrumente de  fonduri proprii de nivel 1 suplimentar, </w:t>
            </w:r>
          </w:p>
          <w:p w14:paraId="0868889F" w14:textId="77160867" w:rsidR="00984B34" w:rsidRPr="009E686F" w:rsidRDefault="00984B34" w:rsidP="00984B34">
            <w:pPr>
              <w:spacing w:after="0"/>
              <w:jc w:val="both"/>
              <w:rPr>
                <w:rFonts w:ascii="Times New Roman" w:hAnsi="Times New Roman" w:cs="Times New Roman"/>
                <w:lang w:val="ro-MD"/>
              </w:rPr>
            </w:pPr>
            <w:r w:rsidRPr="009E686F">
              <w:rPr>
                <w:rFonts w:ascii="Times New Roman" w:hAnsi="Times New Roman" w:cs="Times New Roman"/>
                <w:lang w:val="ro-MD"/>
              </w:rPr>
              <w:t>d) plata unei remunerații variabile sau a unor beneficii discreționare de tipul pensiilor, inclusiv prin crearea unei noi obligații de plată, sau plata în temeiul unei obligații de plată create la momentul la care banca nu îndeplinea cerința amortizorului combinat.</w:t>
            </w:r>
          </w:p>
        </w:tc>
        <w:tc>
          <w:tcPr>
            <w:tcW w:w="470" w:type="pct"/>
            <w:tcBorders>
              <w:top w:val="single" w:sz="4" w:space="0" w:color="auto"/>
              <w:left w:val="single" w:sz="4" w:space="0" w:color="auto"/>
              <w:bottom w:val="single" w:sz="4" w:space="0" w:color="auto"/>
              <w:right w:val="single" w:sz="4" w:space="0" w:color="auto"/>
            </w:tcBorders>
          </w:tcPr>
          <w:p w14:paraId="5E5884D6" w14:textId="00C8CA37"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lastRenderedPageBreak/>
              <w:t xml:space="preserve">Parțial compatibil </w:t>
            </w:r>
          </w:p>
          <w:p w14:paraId="2D4DF5C2" w14:textId="7D5079CF"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793E1CBE" w14:textId="1922D01B" w:rsidR="00984B34" w:rsidRPr="009E686F" w:rsidRDefault="00984B34" w:rsidP="00984B34">
            <w:pPr>
              <w:rPr>
                <w:rFonts w:ascii="Times New Roman" w:hAnsi="Times New Roman" w:cs="Times New Roman"/>
                <w:lang w:val="ro-RO"/>
              </w:rPr>
            </w:pPr>
            <w:r w:rsidRPr="009E686F">
              <w:rPr>
                <w:rFonts w:ascii="Times New Roman" w:hAnsi="Times New Roman" w:cs="Times New Roman"/>
                <w:lang w:val="ro-RO"/>
              </w:rPr>
              <w:t>Prevederile se vor transpune integral prin proiectul de modificare a Regulamentului cu privire la amortizoarele de capital ale băncilor, aprobat prin HCE nr. 110/2018</w:t>
            </w:r>
            <w:r w:rsidR="0008435A" w:rsidRPr="009E686F">
              <w:rPr>
                <w:rFonts w:ascii="Times New Roman" w:hAnsi="Times New Roman" w:cs="Times New Roman"/>
                <w:lang w:val="ro-RO"/>
              </w:rPr>
              <w:t xml:space="preserve"> (</w:t>
            </w:r>
            <w:r w:rsidR="0008435A" w:rsidRPr="009E686F">
              <w:rPr>
                <w:rFonts w:ascii="Times New Roman" w:eastAsia="Times New Roman" w:hAnsi="Times New Roman" w:cs="Times New Roman"/>
                <w:bCs/>
                <w:lang w:val="it-CH" w:eastAsia="ru-RU"/>
              </w:rPr>
              <w:t>acțiunea normativă nr. 3 din Anexa A din PNA 2025-2029 aferentă Capitolului 9 “Servicii financiare” în legătură cu transpunerea Directivei 2013/36/UE).</w:t>
            </w:r>
          </w:p>
        </w:tc>
      </w:tr>
      <w:tr w:rsidR="00984B34" w:rsidRPr="009E686F" w14:paraId="350B2965" w14:textId="6CEEA5C5" w:rsidTr="00774F3E">
        <w:tc>
          <w:tcPr>
            <w:tcW w:w="1796" w:type="pct"/>
            <w:gridSpan w:val="2"/>
            <w:tcBorders>
              <w:top w:val="single" w:sz="4" w:space="0" w:color="auto"/>
              <w:left w:val="single" w:sz="4" w:space="0" w:color="auto"/>
              <w:bottom w:val="single" w:sz="4" w:space="0" w:color="auto"/>
              <w:right w:val="single" w:sz="4" w:space="0" w:color="auto"/>
            </w:tcBorders>
          </w:tcPr>
          <w:p w14:paraId="680880B5" w14:textId="55D632F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(9) Instituțiile mențin dispoziții care să garanteze că valoarea profiturilor distribuibile și MDA sunt calculate cu exactitate și sunt în măsură să demonstreze autorității competente caracterul exact, la cerere.</w:t>
            </w:r>
          </w:p>
        </w:tc>
        <w:tc>
          <w:tcPr>
            <w:tcW w:w="1928" w:type="pct"/>
            <w:gridSpan w:val="3"/>
            <w:tcBorders>
              <w:top w:val="single" w:sz="4" w:space="0" w:color="auto"/>
              <w:left w:val="single" w:sz="4" w:space="0" w:color="auto"/>
              <w:bottom w:val="single" w:sz="4" w:space="0" w:color="auto"/>
              <w:right w:val="single" w:sz="4" w:space="0" w:color="auto"/>
            </w:tcBorders>
          </w:tcPr>
          <w:p w14:paraId="234D46B0" w14:textId="294FE7AB"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b/>
                <w:lang w:val="ro-RO"/>
              </w:rPr>
              <w:t>Pct. 98-99 din Regulamentul cu privire la amortizoarele de capital ale băncilor, aprobat prin HCE nr.110/2018</w:t>
            </w:r>
          </w:p>
          <w:p w14:paraId="52BB9A8C" w14:textId="77777777" w:rsidR="00984B34" w:rsidRPr="009E686F" w:rsidRDefault="00984B34" w:rsidP="00984B34">
            <w:pPr>
              <w:pStyle w:val="CM4"/>
              <w:contextualSpacing/>
              <w:jc w:val="both"/>
              <w:rPr>
                <w:rFonts w:ascii="Times New Roman" w:hAnsi="Times New Roman"/>
                <w:sz w:val="22"/>
                <w:szCs w:val="22"/>
                <w:lang w:val="ro-MD"/>
              </w:rPr>
            </w:pPr>
            <w:r w:rsidRPr="009E686F">
              <w:rPr>
                <w:rFonts w:ascii="Times New Roman" w:hAnsi="Times New Roman"/>
                <w:b/>
                <w:bCs/>
                <w:sz w:val="22"/>
                <w:szCs w:val="22"/>
                <w:lang w:val="ro-MD"/>
              </w:rPr>
              <w:t>98.</w:t>
            </w:r>
            <w:r w:rsidRPr="009E686F">
              <w:rPr>
                <w:rFonts w:ascii="Times New Roman" w:hAnsi="Times New Roman"/>
                <w:sz w:val="22"/>
                <w:szCs w:val="22"/>
                <w:lang w:val="ro-MD"/>
              </w:rPr>
              <w:t xml:space="preserve"> </w:t>
            </w:r>
            <w:bookmarkStart w:id="45" w:name="_Ref499828587"/>
            <w:r w:rsidRPr="009E686F">
              <w:rPr>
                <w:rFonts w:ascii="Times New Roman" w:hAnsi="Times New Roman"/>
                <w:sz w:val="22"/>
                <w:szCs w:val="22"/>
                <w:lang w:val="ro-MD"/>
              </w:rPr>
              <w:t>Băncile trebuie să dispună de proceduri interne care să asigure că valoarea profiturilor distribuibile și suma maximă distribuibilă sunt calculate cu exactitate.</w:t>
            </w:r>
            <w:bookmarkEnd w:id="45"/>
          </w:p>
          <w:p w14:paraId="5F5530A9" w14:textId="5BD00E81" w:rsidR="00984B34" w:rsidRPr="009E686F" w:rsidRDefault="00984B34" w:rsidP="00984B34">
            <w:pPr>
              <w:spacing w:after="0"/>
              <w:jc w:val="both"/>
              <w:rPr>
                <w:rFonts w:ascii="Times New Roman" w:hAnsi="Times New Roman" w:cs="Times New Roman"/>
                <w:lang w:val="ro-MD"/>
              </w:rPr>
            </w:pPr>
            <w:r w:rsidRPr="009E686F">
              <w:rPr>
                <w:rFonts w:ascii="Times New Roman" w:hAnsi="Times New Roman" w:cs="Times New Roman"/>
                <w:b/>
                <w:bCs/>
                <w:lang w:val="ro-MD"/>
              </w:rPr>
              <w:t>99.</w:t>
            </w:r>
            <w:r w:rsidRPr="009E686F">
              <w:rPr>
                <w:rFonts w:ascii="Times New Roman" w:hAnsi="Times New Roman" w:cs="Times New Roman"/>
                <w:lang w:val="ro-MD"/>
              </w:rPr>
              <w:t xml:space="preserve"> La solicitarea Băncii Naționale a Moldovei, băncile trebuie să fie capabile să demonstreze caracterul exact al calculelor menționate la punctul 98.</w:t>
            </w:r>
          </w:p>
        </w:tc>
        <w:tc>
          <w:tcPr>
            <w:tcW w:w="470" w:type="pct"/>
            <w:tcBorders>
              <w:top w:val="single" w:sz="4" w:space="0" w:color="auto"/>
              <w:left w:val="single" w:sz="4" w:space="0" w:color="auto"/>
              <w:bottom w:val="single" w:sz="4" w:space="0" w:color="auto"/>
              <w:right w:val="single" w:sz="4" w:space="0" w:color="auto"/>
            </w:tcBorders>
          </w:tcPr>
          <w:p w14:paraId="15A2AB74" w14:textId="13C43C8D"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 xml:space="preserve">Compatibil </w:t>
            </w:r>
          </w:p>
          <w:p w14:paraId="6238B881" w14:textId="6A53B59A"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74365CA5" w14:textId="77777777" w:rsidR="00984B34" w:rsidRPr="009E686F" w:rsidRDefault="00984B34" w:rsidP="00984B34">
            <w:pPr>
              <w:jc w:val="both"/>
              <w:rPr>
                <w:rFonts w:ascii="Times New Roman" w:hAnsi="Times New Roman" w:cs="Times New Roman"/>
                <w:lang w:val="ro-RO"/>
              </w:rPr>
            </w:pPr>
          </w:p>
        </w:tc>
      </w:tr>
      <w:tr w:rsidR="00984B34" w:rsidRPr="009E686F" w14:paraId="55647769" w14:textId="1B857593" w:rsidTr="00774F3E">
        <w:trPr>
          <w:trHeight w:val="1729"/>
        </w:trPr>
        <w:tc>
          <w:tcPr>
            <w:tcW w:w="1796" w:type="pct"/>
            <w:gridSpan w:val="2"/>
            <w:tcBorders>
              <w:top w:val="single" w:sz="4" w:space="0" w:color="auto"/>
              <w:left w:val="single" w:sz="4" w:space="0" w:color="auto"/>
              <w:bottom w:val="single" w:sz="4" w:space="0" w:color="auto"/>
              <w:right w:val="single" w:sz="4" w:space="0" w:color="auto"/>
            </w:tcBorders>
          </w:tcPr>
          <w:p w14:paraId="1D0D5944" w14:textId="2ED39461"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(10) În sensul alineatelor (1) și (2), o distribuire în legătură cu fondurile proprii de nivel 1 de bază include următoarele:</w:t>
            </w:r>
          </w:p>
          <w:p w14:paraId="24265428" w14:textId="42333E03" w:rsidR="00984B34" w:rsidRPr="009E686F" w:rsidRDefault="00984B34" w:rsidP="00984B34">
            <w:pPr>
              <w:pStyle w:val="CM4"/>
              <w:contextualSpacing/>
              <w:jc w:val="both"/>
              <w:rPr>
                <w:rFonts w:ascii="Times New Roman" w:hAnsi="Times New Roman"/>
                <w:sz w:val="22"/>
                <w:szCs w:val="22"/>
                <w:lang w:val="ro-MD"/>
              </w:rPr>
            </w:pPr>
            <w:r w:rsidRPr="009E686F">
              <w:rPr>
                <w:rFonts w:ascii="Times New Roman" w:hAnsi="Times New Roman"/>
                <w:sz w:val="22"/>
                <w:szCs w:val="22"/>
                <w:lang w:val="ro-MD"/>
              </w:rPr>
              <w:t>(a) o plată de dividende în numerar;</w:t>
            </w:r>
          </w:p>
          <w:p w14:paraId="6D773CD3" w14:textId="6DE691C9" w:rsidR="00984B34" w:rsidRPr="009E686F" w:rsidRDefault="00984B34" w:rsidP="00984B34">
            <w:pPr>
              <w:pStyle w:val="CM4"/>
              <w:contextualSpacing/>
              <w:jc w:val="both"/>
              <w:rPr>
                <w:rFonts w:ascii="Times New Roman" w:hAnsi="Times New Roman"/>
                <w:sz w:val="22"/>
                <w:szCs w:val="22"/>
                <w:lang w:val="ro-MD"/>
              </w:rPr>
            </w:pPr>
            <w:r w:rsidRPr="009E686F">
              <w:rPr>
                <w:rFonts w:ascii="Times New Roman" w:hAnsi="Times New Roman"/>
                <w:sz w:val="22"/>
                <w:szCs w:val="22"/>
                <w:lang w:val="ro-MD"/>
              </w:rPr>
              <w:t xml:space="preserve">(b) o distribuire de acțiuni bonus, achitate parțial sau integral, sau de alte instrumente de capital menționate la </w:t>
            </w:r>
            <w:r w:rsidRPr="009E686F">
              <w:rPr>
                <w:rFonts w:ascii="Times New Roman" w:hAnsi="Times New Roman"/>
                <w:sz w:val="22"/>
                <w:szCs w:val="22"/>
                <w:lang w:val="ro-MD"/>
              </w:rPr>
              <w:lastRenderedPageBreak/>
              <w:t>articolul 26 alineatul (1) litera (a) din Regulamentul (UE) nr. 575/2013;</w:t>
            </w:r>
          </w:p>
          <w:p w14:paraId="126550A2" w14:textId="0E9D246E" w:rsidR="00984B34" w:rsidRPr="009E686F" w:rsidRDefault="00984B34" w:rsidP="00984B34">
            <w:pPr>
              <w:pStyle w:val="CM4"/>
              <w:contextualSpacing/>
              <w:jc w:val="both"/>
              <w:rPr>
                <w:rFonts w:ascii="Times New Roman" w:hAnsi="Times New Roman"/>
                <w:sz w:val="22"/>
                <w:szCs w:val="22"/>
                <w:lang w:val="ro-MD"/>
              </w:rPr>
            </w:pPr>
            <w:r w:rsidRPr="009E686F">
              <w:rPr>
                <w:rFonts w:ascii="Times New Roman" w:hAnsi="Times New Roman"/>
                <w:sz w:val="22"/>
                <w:szCs w:val="22"/>
                <w:lang w:val="ro-MD"/>
              </w:rPr>
              <w:t xml:space="preserve">(c) o răscumpărare sau achiziție de către o instituție a propriilor sale acțiuni sau alte instrumente de capital menționate la articolul 26 alineatul (1) litera (a) din regulamentul menționat; </w:t>
            </w:r>
          </w:p>
          <w:p w14:paraId="53D31292" w14:textId="20E3A5AA" w:rsidR="00984B34" w:rsidRPr="009E686F" w:rsidRDefault="00984B34" w:rsidP="00984B34">
            <w:pPr>
              <w:pStyle w:val="CM4"/>
              <w:contextualSpacing/>
              <w:jc w:val="both"/>
              <w:rPr>
                <w:rFonts w:ascii="Times New Roman" w:hAnsi="Times New Roman"/>
                <w:sz w:val="22"/>
                <w:szCs w:val="22"/>
                <w:lang w:val="ro-MD"/>
              </w:rPr>
            </w:pPr>
            <w:r w:rsidRPr="009E686F">
              <w:rPr>
                <w:rFonts w:ascii="Times New Roman" w:hAnsi="Times New Roman"/>
                <w:sz w:val="22"/>
                <w:szCs w:val="22"/>
                <w:lang w:val="ro-MD"/>
              </w:rPr>
              <w:t xml:space="preserve">(d) o rambursare a sumelor achitate în legătură cu instrumentele de capital menționate la articolul 26 alineatul (1) litera (a) din regulamentul menționat; </w:t>
            </w:r>
          </w:p>
          <w:p w14:paraId="15153795" w14:textId="58573EFA"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MD"/>
              </w:rPr>
              <w:t>(e) o distribuire de elemente menționate la articolul 26 alineatul (1) literele (b)-(e) din regulamentul menționat.</w:t>
            </w:r>
          </w:p>
        </w:tc>
        <w:tc>
          <w:tcPr>
            <w:tcW w:w="1928" w:type="pct"/>
            <w:gridSpan w:val="3"/>
            <w:tcBorders>
              <w:top w:val="single" w:sz="4" w:space="0" w:color="auto"/>
              <w:left w:val="single" w:sz="4" w:space="0" w:color="auto"/>
              <w:bottom w:val="single" w:sz="4" w:space="0" w:color="auto"/>
              <w:right w:val="single" w:sz="4" w:space="0" w:color="auto"/>
            </w:tcBorders>
          </w:tcPr>
          <w:p w14:paraId="670C0BFF" w14:textId="7D1AB971"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b/>
                <w:lang w:val="ro-RO"/>
              </w:rPr>
              <w:lastRenderedPageBreak/>
              <w:t>Pct. 89 din Regulamentul cu privire la amortizoarele de capital ale băncilor, aprobat prin HCE nr.110/2018</w:t>
            </w:r>
          </w:p>
          <w:p w14:paraId="05DC2683" w14:textId="57C961A0" w:rsidR="00984B34" w:rsidRPr="009E686F" w:rsidRDefault="00984B34" w:rsidP="00984B34">
            <w:pPr>
              <w:pStyle w:val="CM4"/>
              <w:contextualSpacing/>
              <w:jc w:val="both"/>
              <w:rPr>
                <w:rFonts w:ascii="Times New Roman" w:hAnsi="Times New Roman"/>
                <w:sz w:val="22"/>
                <w:szCs w:val="22"/>
                <w:lang w:val="ro-MD"/>
              </w:rPr>
            </w:pPr>
            <w:r w:rsidRPr="009E686F">
              <w:rPr>
                <w:rFonts w:ascii="Times New Roman" w:hAnsi="Times New Roman"/>
                <w:b/>
                <w:bCs/>
                <w:sz w:val="22"/>
                <w:szCs w:val="22"/>
                <w:lang w:val="ro-MD"/>
              </w:rPr>
              <w:t>89.</w:t>
            </w:r>
            <w:r w:rsidRPr="009E686F">
              <w:rPr>
                <w:rFonts w:ascii="Times New Roman" w:hAnsi="Times New Roman"/>
                <w:sz w:val="22"/>
                <w:szCs w:val="22"/>
                <w:lang w:val="ro-MD"/>
              </w:rPr>
              <w:t xml:space="preserve"> În sensul prezentului capitol și cu referire la prevederile actelor normative ale Băncii Naționale a Moldovei aferente fondurilor proprii ale băncilor și cerințelor de capital, o </w:t>
            </w:r>
            <w:r w:rsidRPr="009E686F">
              <w:rPr>
                <w:rFonts w:ascii="Times New Roman" w:hAnsi="Times New Roman"/>
                <w:sz w:val="22"/>
                <w:szCs w:val="22"/>
                <w:lang w:val="ro-MD"/>
              </w:rPr>
              <w:lastRenderedPageBreak/>
              <w:t>distribuire în legătură cu fondurile proprii de nivel 1 de bază include următoarele:</w:t>
            </w:r>
          </w:p>
          <w:p w14:paraId="69BE2862" w14:textId="77777777" w:rsidR="00984B34" w:rsidRPr="009E686F" w:rsidRDefault="00984B34" w:rsidP="00984B34">
            <w:pPr>
              <w:pStyle w:val="CM4"/>
              <w:contextualSpacing/>
              <w:jc w:val="both"/>
              <w:rPr>
                <w:rFonts w:ascii="Times New Roman" w:hAnsi="Times New Roman"/>
                <w:sz w:val="22"/>
                <w:szCs w:val="22"/>
                <w:lang w:val="ro-MD"/>
              </w:rPr>
            </w:pPr>
            <w:r w:rsidRPr="009E686F">
              <w:rPr>
                <w:rFonts w:ascii="Times New Roman" w:hAnsi="Times New Roman"/>
                <w:sz w:val="22"/>
                <w:szCs w:val="22"/>
                <w:lang w:val="ro-MD"/>
              </w:rPr>
              <w:t xml:space="preserve">1) o plată de dividende în mijloace bănești; </w:t>
            </w:r>
          </w:p>
          <w:p w14:paraId="3F202BAA" w14:textId="77777777" w:rsidR="00984B34" w:rsidRPr="009E686F" w:rsidRDefault="00984B34" w:rsidP="00984B34">
            <w:pPr>
              <w:pStyle w:val="CM4"/>
              <w:contextualSpacing/>
              <w:jc w:val="both"/>
              <w:rPr>
                <w:rFonts w:ascii="Times New Roman" w:hAnsi="Times New Roman"/>
                <w:sz w:val="22"/>
                <w:szCs w:val="22"/>
                <w:lang w:val="ro-MD"/>
              </w:rPr>
            </w:pPr>
            <w:r w:rsidRPr="009E686F">
              <w:rPr>
                <w:rFonts w:ascii="Times New Roman" w:hAnsi="Times New Roman"/>
                <w:sz w:val="22"/>
                <w:szCs w:val="22"/>
                <w:lang w:val="ro-MD"/>
              </w:rPr>
              <w:t xml:space="preserve">2) o distribuire de acțiuni bonus, achitate parțial sau integral, sau de alte instrumente de capital; </w:t>
            </w:r>
          </w:p>
          <w:p w14:paraId="50380075" w14:textId="77777777" w:rsidR="00984B34" w:rsidRPr="009E686F" w:rsidRDefault="00984B34" w:rsidP="00984B34">
            <w:pPr>
              <w:pStyle w:val="CM4"/>
              <w:contextualSpacing/>
              <w:jc w:val="both"/>
              <w:rPr>
                <w:rFonts w:ascii="Times New Roman" w:hAnsi="Times New Roman"/>
                <w:sz w:val="22"/>
                <w:szCs w:val="22"/>
                <w:lang w:val="ro-MD"/>
              </w:rPr>
            </w:pPr>
            <w:r w:rsidRPr="009E686F">
              <w:rPr>
                <w:rFonts w:ascii="Times New Roman" w:hAnsi="Times New Roman"/>
                <w:sz w:val="22"/>
                <w:szCs w:val="22"/>
                <w:lang w:val="ro-MD"/>
              </w:rPr>
              <w:t xml:space="preserve">3) o achiziționare de către o bancă a propriilor sale acțiuni sau a altor instrumente de capital; </w:t>
            </w:r>
          </w:p>
          <w:p w14:paraId="0F767155" w14:textId="77777777" w:rsidR="00984B34" w:rsidRPr="009E686F" w:rsidRDefault="00984B34" w:rsidP="00984B34">
            <w:pPr>
              <w:pStyle w:val="CM4"/>
              <w:contextualSpacing/>
              <w:jc w:val="both"/>
              <w:rPr>
                <w:rFonts w:ascii="Times New Roman" w:hAnsi="Times New Roman"/>
                <w:sz w:val="22"/>
                <w:szCs w:val="22"/>
                <w:lang w:val="ro-MD"/>
              </w:rPr>
            </w:pPr>
            <w:r w:rsidRPr="009E686F">
              <w:rPr>
                <w:rFonts w:ascii="Times New Roman" w:hAnsi="Times New Roman"/>
                <w:sz w:val="22"/>
                <w:szCs w:val="22"/>
                <w:lang w:val="ro-MD"/>
              </w:rPr>
              <w:t xml:space="preserve">4) o rambursare a sumelor plătite în legătură cu instrumentele de capital; </w:t>
            </w:r>
          </w:p>
          <w:p w14:paraId="6B6CB77E" w14:textId="296AEF5C" w:rsidR="00984B34" w:rsidRPr="009E686F" w:rsidRDefault="00984B34" w:rsidP="00984B34">
            <w:pPr>
              <w:spacing w:after="0"/>
              <w:jc w:val="both"/>
              <w:rPr>
                <w:rFonts w:ascii="Times New Roman" w:hAnsi="Times New Roman" w:cs="Times New Roman"/>
                <w:lang w:val="ro-MD"/>
              </w:rPr>
            </w:pPr>
            <w:r w:rsidRPr="009E686F">
              <w:rPr>
                <w:rFonts w:ascii="Times New Roman" w:hAnsi="Times New Roman" w:cs="Times New Roman"/>
                <w:lang w:val="ro-MD"/>
              </w:rPr>
              <w:t>5) o distribuire a oricăror elemente de fonduri proprii de nivel 1 de bază.</w:t>
            </w:r>
          </w:p>
        </w:tc>
        <w:tc>
          <w:tcPr>
            <w:tcW w:w="470" w:type="pct"/>
            <w:tcBorders>
              <w:top w:val="single" w:sz="4" w:space="0" w:color="auto"/>
              <w:left w:val="single" w:sz="4" w:space="0" w:color="auto"/>
              <w:bottom w:val="single" w:sz="4" w:space="0" w:color="auto"/>
              <w:right w:val="single" w:sz="4" w:space="0" w:color="auto"/>
            </w:tcBorders>
          </w:tcPr>
          <w:p w14:paraId="44C85B54" w14:textId="569B032B"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145C5E05" w14:textId="77777777" w:rsidR="00984B34" w:rsidRPr="009E686F" w:rsidRDefault="00984B34" w:rsidP="00984B34">
            <w:pPr>
              <w:jc w:val="both"/>
              <w:rPr>
                <w:rFonts w:ascii="Times New Roman" w:hAnsi="Times New Roman" w:cs="Times New Roman"/>
                <w:lang w:val="ro-RO"/>
              </w:rPr>
            </w:pPr>
          </w:p>
        </w:tc>
      </w:tr>
      <w:tr w:rsidR="00984B34" w:rsidRPr="009E686F" w14:paraId="652D330A" w14:textId="77777777" w:rsidTr="00774F3E">
        <w:trPr>
          <w:trHeight w:val="1729"/>
        </w:trPr>
        <w:tc>
          <w:tcPr>
            <w:tcW w:w="1796" w:type="pct"/>
            <w:gridSpan w:val="2"/>
            <w:tcBorders>
              <w:top w:val="single" w:sz="4" w:space="0" w:color="auto"/>
              <w:left w:val="single" w:sz="4" w:space="0" w:color="auto"/>
              <w:bottom w:val="single" w:sz="4" w:space="0" w:color="auto"/>
              <w:right w:val="single" w:sz="4" w:space="0" w:color="auto"/>
            </w:tcBorders>
          </w:tcPr>
          <w:p w14:paraId="2C443775"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(b) la articolul 92 alineatul (1) litera (b) din Regulamentul (UE) nr. 575/2013 și cerința de fonduri proprii suplimentare care abordează alte riscuri decât riscul asociat folosirii excesive a efectului de levier prevăzută la articolul 104 alineatul (1) litera (a) din prezenta directivă;</w:t>
            </w:r>
          </w:p>
          <w:p w14:paraId="775A4AC7" w14:textId="50105E3E"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(c) la articolul 92 alineatul (1) litera (c) din Regulamentul (UE) nr. 575/2013 și cerința de fonduri proprii suplimentare care abordează alte riscuri decât riscul asociat folosirii excesive a efectului de levier prevăzută la articolul 104 alineatul (1) litera (a) din prezenta directivă.</w:t>
            </w:r>
          </w:p>
        </w:tc>
        <w:tc>
          <w:tcPr>
            <w:tcW w:w="1928" w:type="pct"/>
            <w:gridSpan w:val="3"/>
            <w:tcBorders>
              <w:top w:val="single" w:sz="4" w:space="0" w:color="auto"/>
              <w:left w:val="single" w:sz="4" w:space="0" w:color="auto"/>
              <w:bottom w:val="single" w:sz="4" w:space="0" w:color="auto"/>
              <w:right w:val="single" w:sz="4" w:space="0" w:color="auto"/>
            </w:tcBorders>
          </w:tcPr>
          <w:p w14:paraId="6F07BD66" w14:textId="4A43A97B"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b/>
                <w:lang w:val="ro-RO"/>
              </w:rPr>
              <w:t xml:space="preserve">Pct. </w:t>
            </w:r>
            <w:r w:rsidRPr="009E686F">
              <w:rPr>
                <w:rFonts w:ascii="Times New Roman" w:hAnsi="Times New Roman"/>
                <w:b/>
                <w:bCs/>
                <w:lang w:val="ro-MD"/>
              </w:rPr>
              <w:t>87</w:t>
            </w:r>
            <w:r w:rsidRPr="009E686F">
              <w:rPr>
                <w:rFonts w:ascii="Times New Roman" w:hAnsi="Times New Roman"/>
                <w:b/>
                <w:bCs/>
                <w:vertAlign w:val="superscript"/>
                <w:lang w:val="ro-MD"/>
              </w:rPr>
              <w:t>1</w:t>
            </w:r>
            <w:r w:rsidRPr="009E686F">
              <w:rPr>
                <w:rFonts w:ascii="Times New Roman" w:hAnsi="Times New Roman" w:cs="Times New Roman"/>
                <w:b/>
                <w:lang w:val="ro-RO"/>
              </w:rPr>
              <w:t xml:space="preserve"> din Regulamentul cu privire la amortizoarele de capital ale băncilor, aprobat prin HCE nr.110/2018</w:t>
            </w:r>
          </w:p>
          <w:p w14:paraId="2E50B1FC" w14:textId="77777777" w:rsidR="00984B34" w:rsidRPr="009E686F" w:rsidRDefault="00984B34" w:rsidP="00984B34">
            <w:pPr>
              <w:spacing w:after="0"/>
              <w:jc w:val="both"/>
              <w:rPr>
                <w:rFonts w:ascii="Times New Roman" w:hAnsi="Times New Roman" w:cs="Times New Roman"/>
                <w:b/>
                <w:lang w:val="ro-RO"/>
              </w:rPr>
            </w:pPr>
          </w:p>
          <w:p w14:paraId="5DF398D8" w14:textId="38118D2C"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b/>
                <w:bCs/>
                <w:lang w:val="ro-MD"/>
              </w:rPr>
              <w:t>87</w:t>
            </w:r>
            <w:r w:rsidRPr="009E686F">
              <w:rPr>
                <w:rFonts w:ascii="Times New Roman" w:hAnsi="Times New Roman"/>
                <w:b/>
                <w:bCs/>
                <w:vertAlign w:val="superscript"/>
                <w:lang w:val="ro-MD"/>
              </w:rPr>
              <w:t>1</w:t>
            </w:r>
            <w:r w:rsidRPr="009E686F">
              <w:rPr>
                <w:rFonts w:ascii="Times New Roman" w:hAnsi="Times New Roman"/>
                <w:b/>
                <w:bCs/>
                <w:lang w:val="ro-MD"/>
              </w:rPr>
              <w:t>.</w:t>
            </w:r>
            <w:r w:rsidRPr="009E686F">
              <w:rPr>
                <w:rFonts w:ascii="Times New Roman" w:hAnsi="Times New Roman"/>
                <w:lang w:val="ro-MD"/>
              </w:rPr>
              <w:t xml:space="preserve"> Se consideră că o bancă nu îndeplinește cerința privind amortizorul combinat atunci când nu deține fonduri proprii în cuantumul necesar și de calitatea necesară pentru a îndeplini în același timp cerința amortizorului combinat și fiecare dintre cerințele prevăzute de Regulamentul 109/2018 şi oricare dintre cerințele impuse în temeiul art.139 alin.(3)-(5) din Legea nr.202/2017, care abordează alte riscuri decât riscul asociat folosirii excesive a efectului de levier.</w:t>
            </w:r>
          </w:p>
        </w:tc>
        <w:tc>
          <w:tcPr>
            <w:tcW w:w="470" w:type="pct"/>
            <w:tcBorders>
              <w:top w:val="single" w:sz="4" w:space="0" w:color="auto"/>
              <w:left w:val="single" w:sz="4" w:space="0" w:color="auto"/>
              <w:bottom w:val="single" w:sz="4" w:space="0" w:color="auto"/>
              <w:right w:val="single" w:sz="4" w:space="0" w:color="auto"/>
            </w:tcBorders>
          </w:tcPr>
          <w:p w14:paraId="653B8DAD" w14:textId="4FEB9450"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38B725AD" w14:textId="77777777" w:rsidR="00984B34" w:rsidRPr="009E686F" w:rsidRDefault="00984B34" w:rsidP="00984B34">
            <w:pPr>
              <w:jc w:val="both"/>
              <w:rPr>
                <w:rFonts w:ascii="Times New Roman" w:hAnsi="Times New Roman" w:cs="Times New Roman"/>
                <w:lang w:val="ro-RO"/>
              </w:rPr>
            </w:pPr>
          </w:p>
        </w:tc>
      </w:tr>
      <w:tr w:rsidR="00984B34" w:rsidRPr="009E686F" w14:paraId="7BBFFA67" w14:textId="77777777" w:rsidTr="00774F3E">
        <w:trPr>
          <w:trHeight w:val="314"/>
        </w:trPr>
        <w:tc>
          <w:tcPr>
            <w:tcW w:w="1796" w:type="pct"/>
            <w:gridSpan w:val="2"/>
            <w:tcBorders>
              <w:top w:val="single" w:sz="4" w:space="0" w:color="auto"/>
              <w:left w:val="single" w:sz="4" w:space="0" w:color="auto"/>
              <w:bottom w:val="single" w:sz="4" w:space="0" w:color="auto"/>
              <w:right w:val="single" w:sz="4" w:space="0" w:color="auto"/>
            </w:tcBorders>
          </w:tcPr>
          <w:p w14:paraId="5F445FD2" w14:textId="77777777" w:rsidR="00984B34" w:rsidRPr="009E686F" w:rsidRDefault="00984B34" w:rsidP="00984B34">
            <w:pPr>
              <w:spacing w:after="0"/>
              <w:jc w:val="both"/>
              <w:rPr>
                <w:rFonts w:ascii="Times New Roman" w:hAnsi="Times New Roman" w:cs="Times New Roman"/>
                <w:i/>
                <w:iCs/>
                <w:lang w:val="ro-RO"/>
              </w:rPr>
            </w:pPr>
            <w:r w:rsidRPr="009E686F">
              <w:rPr>
                <w:rFonts w:ascii="Times New Roman" w:hAnsi="Times New Roman" w:cs="Times New Roman"/>
                <w:i/>
                <w:iCs/>
                <w:lang w:val="ro-RO"/>
              </w:rPr>
              <w:t xml:space="preserve">Articolul 141b </w:t>
            </w:r>
          </w:p>
          <w:p w14:paraId="2CD92670"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Restricție privind distribuirile în caz de nerespectare a cerinței amortizorului pentru indicatorul efectului de levier</w:t>
            </w:r>
          </w:p>
          <w:p w14:paraId="578F2F16" w14:textId="14564D0E"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(1)   O instituție care îndeplinește cerința amortizorului pentru indicatorul efectului de levier în temeiul articolului 92 alineatul (1a) din Regulamentul (UE) nr. 575/2013 nu efectuează o distribuire în legătură cu fondurile proprii de nivel 1 într-o măsură care ar reduce fondurile sale proprii de nivel 1 până la un nivel la care nu mai este îndeplinită cerința amortizorului pentru indicatorul efectului de levier.</w:t>
            </w:r>
          </w:p>
        </w:tc>
        <w:tc>
          <w:tcPr>
            <w:tcW w:w="1928" w:type="pct"/>
            <w:gridSpan w:val="3"/>
            <w:tcBorders>
              <w:top w:val="single" w:sz="4" w:space="0" w:color="auto"/>
              <w:left w:val="single" w:sz="4" w:space="0" w:color="auto"/>
              <w:bottom w:val="single" w:sz="4" w:space="0" w:color="auto"/>
              <w:right w:val="single" w:sz="4" w:space="0" w:color="auto"/>
            </w:tcBorders>
          </w:tcPr>
          <w:p w14:paraId="5D2B2397" w14:textId="77777777" w:rsidR="00984B34" w:rsidRPr="009E686F" w:rsidRDefault="00984B34" w:rsidP="00984B34">
            <w:pPr>
              <w:pStyle w:val="CM4"/>
              <w:contextualSpacing/>
              <w:jc w:val="both"/>
              <w:rPr>
                <w:rFonts w:ascii="Times New Roman" w:hAnsi="Times New Roman"/>
                <w:sz w:val="22"/>
                <w:szCs w:val="22"/>
                <w:lang w:val="ro-MD"/>
              </w:rPr>
            </w:pPr>
          </w:p>
        </w:tc>
        <w:tc>
          <w:tcPr>
            <w:tcW w:w="470" w:type="pct"/>
            <w:tcBorders>
              <w:top w:val="single" w:sz="4" w:space="0" w:color="auto"/>
              <w:left w:val="single" w:sz="4" w:space="0" w:color="auto"/>
              <w:bottom w:val="single" w:sz="4" w:space="0" w:color="auto"/>
              <w:right w:val="single" w:sz="4" w:space="0" w:color="auto"/>
            </w:tcBorders>
          </w:tcPr>
          <w:p w14:paraId="5B01445A" w14:textId="6B7B57E3"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netranspuse</w:t>
            </w:r>
          </w:p>
        </w:tc>
        <w:tc>
          <w:tcPr>
            <w:tcW w:w="806" w:type="pct"/>
            <w:tcBorders>
              <w:top w:val="single" w:sz="4" w:space="0" w:color="auto"/>
              <w:left w:val="single" w:sz="4" w:space="0" w:color="auto"/>
              <w:bottom w:val="single" w:sz="4" w:space="0" w:color="auto"/>
              <w:right w:val="single" w:sz="4" w:space="0" w:color="auto"/>
            </w:tcBorders>
          </w:tcPr>
          <w:p w14:paraId="5AA80B22" w14:textId="77777777" w:rsidR="00984B34" w:rsidRPr="009E686F" w:rsidRDefault="00984B34" w:rsidP="00984B34">
            <w:pPr>
              <w:jc w:val="both"/>
              <w:rPr>
                <w:rFonts w:ascii="Times New Roman" w:hAnsi="Times New Roman" w:cs="Times New Roman"/>
                <w:lang w:val="ro-RO"/>
              </w:rPr>
            </w:pPr>
          </w:p>
        </w:tc>
      </w:tr>
      <w:tr w:rsidR="00984B34" w:rsidRPr="009E686F" w14:paraId="331B3772" w14:textId="77777777" w:rsidTr="00774F3E">
        <w:trPr>
          <w:trHeight w:val="1729"/>
        </w:trPr>
        <w:tc>
          <w:tcPr>
            <w:tcW w:w="1796" w:type="pct"/>
            <w:gridSpan w:val="2"/>
            <w:tcBorders>
              <w:top w:val="single" w:sz="4" w:space="0" w:color="auto"/>
              <w:left w:val="single" w:sz="4" w:space="0" w:color="auto"/>
              <w:bottom w:val="single" w:sz="4" w:space="0" w:color="auto"/>
              <w:right w:val="single" w:sz="4" w:space="0" w:color="auto"/>
            </w:tcBorders>
          </w:tcPr>
          <w:p w14:paraId="5F842521"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lastRenderedPageBreak/>
              <w:t>(2)   O instituție care nu îndeplinește cerința amortizorului pentru indicatorul efectului de levier calculează suma maximă distribuibilă legată de indicatorul efectului de levier (L-MDA – Leverage ratio related maximum distributable amount) în conformitate cu alineatul (4) și notifică autoritățile competente în acest sens.</w:t>
            </w:r>
          </w:p>
          <w:p w14:paraId="6B913E40"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În cazul în care se aplică primul paragraf, instituția nu întreprinde niciuna dintre acțiunile de mai jos înainte de a calcula L-MDA:</w:t>
            </w:r>
          </w:p>
          <w:p w14:paraId="3E0E003B"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(a) efectuarea unei distribuiri în legătură cu fondurile proprii de nivel 1 de bază;</w:t>
            </w:r>
          </w:p>
          <w:p w14:paraId="3A2BAF53"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(b) crearea unei obligații de plată a unei remunerații variabile sau a unor beneficii discreționare de tipul pensiilor ori plata unei remunerații variabile în cazul în care obligația de plată a fost creată într-un moment în care instituția nu îndeplinea cerința amortizorului pentru indicatorul efectului de levier; sau</w:t>
            </w:r>
          </w:p>
          <w:p w14:paraId="0434653D" w14:textId="38F1DF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(c) efectuarea de plăți legate de instrumente de fonduri proprii de nivel 1 suplimentar.</w:t>
            </w:r>
          </w:p>
        </w:tc>
        <w:tc>
          <w:tcPr>
            <w:tcW w:w="1928" w:type="pct"/>
            <w:gridSpan w:val="3"/>
            <w:tcBorders>
              <w:top w:val="single" w:sz="4" w:space="0" w:color="auto"/>
              <w:left w:val="single" w:sz="4" w:space="0" w:color="auto"/>
              <w:bottom w:val="single" w:sz="4" w:space="0" w:color="auto"/>
              <w:right w:val="single" w:sz="4" w:space="0" w:color="auto"/>
            </w:tcBorders>
          </w:tcPr>
          <w:p w14:paraId="0570B560" w14:textId="77777777" w:rsidR="00984B34" w:rsidRPr="009E686F" w:rsidRDefault="00984B34" w:rsidP="00984B34">
            <w:pPr>
              <w:pStyle w:val="CM4"/>
              <w:contextualSpacing/>
              <w:jc w:val="both"/>
              <w:rPr>
                <w:rFonts w:ascii="Times New Roman" w:hAnsi="Times New Roman"/>
                <w:sz w:val="22"/>
                <w:szCs w:val="22"/>
                <w:lang w:val="ro-MD"/>
              </w:rPr>
            </w:pPr>
          </w:p>
        </w:tc>
        <w:tc>
          <w:tcPr>
            <w:tcW w:w="470" w:type="pct"/>
            <w:tcBorders>
              <w:top w:val="single" w:sz="4" w:space="0" w:color="auto"/>
              <w:left w:val="single" w:sz="4" w:space="0" w:color="auto"/>
              <w:bottom w:val="single" w:sz="4" w:space="0" w:color="auto"/>
              <w:right w:val="single" w:sz="4" w:space="0" w:color="auto"/>
            </w:tcBorders>
          </w:tcPr>
          <w:p w14:paraId="4FEAD819" w14:textId="6E64F1EB" w:rsidR="00984B34" w:rsidRPr="009E686F" w:rsidDel="000717BD"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netranspuse</w:t>
            </w:r>
          </w:p>
        </w:tc>
        <w:tc>
          <w:tcPr>
            <w:tcW w:w="806" w:type="pct"/>
            <w:tcBorders>
              <w:top w:val="single" w:sz="4" w:space="0" w:color="auto"/>
              <w:left w:val="single" w:sz="4" w:space="0" w:color="auto"/>
              <w:bottom w:val="single" w:sz="4" w:space="0" w:color="auto"/>
              <w:right w:val="single" w:sz="4" w:space="0" w:color="auto"/>
            </w:tcBorders>
          </w:tcPr>
          <w:p w14:paraId="7F712812" w14:textId="2008ABB1"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Se vor regăsi în proiectul de modificare a Regulamentului cu privire la amortizoarele de capital ale băncilor, aprobat prin HCE nr. 110/2018</w:t>
            </w:r>
            <w:r w:rsidR="0008435A" w:rsidRPr="009E686F">
              <w:rPr>
                <w:rFonts w:ascii="Times New Roman" w:hAnsi="Times New Roman" w:cs="Times New Roman"/>
                <w:lang w:val="ro-RO"/>
              </w:rPr>
              <w:t xml:space="preserve"> (</w:t>
            </w:r>
            <w:r w:rsidR="0008435A" w:rsidRPr="009E686F">
              <w:rPr>
                <w:rFonts w:ascii="Times New Roman" w:eastAsia="Times New Roman" w:hAnsi="Times New Roman" w:cs="Times New Roman"/>
                <w:bCs/>
                <w:lang w:val="it-CH" w:eastAsia="ru-RU"/>
              </w:rPr>
              <w:t>acțiunea normativă nr. 3 din Anexa A din PNA 2025-2029 aferentă Capitolului 9 “Servicii financiare” în legătură cu transpunerea Directivei 2013/36/UE).</w:t>
            </w:r>
          </w:p>
        </w:tc>
      </w:tr>
      <w:tr w:rsidR="00984B34" w:rsidRPr="009E686F" w14:paraId="24BE0913" w14:textId="77777777" w:rsidTr="00774F3E">
        <w:trPr>
          <w:trHeight w:val="1729"/>
        </w:trPr>
        <w:tc>
          <w:tcPr>
            <w:tcW w:w="1796" w:type="pct"/>
            <w:gridSpan w:val="2"/>
            <w:tcBorders>
              <w:top w:val="single" w:sz="4" w:space="0" w:color="auto"/>
              <w:left w:val="single" w:sz="4" w:space="0" w:color="auto"/>
              <w:bottom w:val="single" w:sz="4" w:space="0" w:color="auto"/>
              <w:right w:val="single" w:sz="4" w:space="0" w:color="auto"/>
            </w:tcBorders>
          </w:tcPr>
          <w:p w14:paraId="24ACE5BB" w14:textId="5CF36FAE"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(3)   Atunci când o instituție nu îndeplinește sau nu depășește cerința amortizorului pentru indicatorul efectului de levier, aceasta nu efectuează distribuiri ce depășesc L-MDA calculată în conformitate cu alineatul (4) prin niciuna dintre acțiunile menționate la alineatul (2) al doilea paragraf literele (a), (b) și (c).</w:t>
            </w:r>
          </w:p>
        </w:tc>
        <w:tc>
          <w:tcPr>
            <w:tcW w:w="1928" w:type="pct"/>
            <w:gridSpan w:val="3"/>
            <w:tcBorders>
              <w:top w:val="single" w:sz="4" w:space="0" w:color="auto"/>
              <w:left w:val="single" w:sz="4" w:space="0" w:color="auto"/>
              <w:bottom w:val="single" w:sz="4" w:space="0" w:color="auto"/>
              <w:right w:val="single" w:sz="4" w:space="0" w:color="auto"/>
            </w:tcBorders>
          </w:tcPr>
          <w:p w14:paraId="17F5EAF0" w14:textId="77777777" w:rsidR="00984B34" w:rsidRPr="009E686F" w:rsidRDefault="00984B34" w:rsidP="00984B34">
            <w:pPr>
              <w:pStyle w:val="CM4"/>
              <w:contextualSpacing/>
              <w:jc w:val="both"/>
              <w:rPr>
                <w:rFonts w:ascii="Times New Roman" w:hAnsi="Times New Roman"/>
                <w:sz w:val="22"/>
                <w:szCs w:val="22"/>
                <w:lang w:val="ro-MD"/>
              </w:rPr>
            </w:pPr>
          </w:p>
        </w:tc>
        <w:tc>
          <w:tcPr>
            <w:tcW w:w="470" w:type="pct"/>
            <w:tcBorders>
              <w:top w:val="single" w:sz="4" w:space="0" w:color="auto"/>
              <w:left w:val="single" w:sz="4" w:space="0" w:color="auto"/>
              <w:bottom w:val="single" w:sz="4" w:space="0" w:color="auto"/>
              <w:right w:val="single" w:sz="4" w:space="0" w:color="auto"/>
            </w:tcBorders>
          </w:tcPr>
          <w:p w14:paraId="5042AEE9" w14:textId="3366D511"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netranspuse</w:t>
            </w:r>
          </w:p>
        </w:tc>
        <w:tc>
          <w:tcPr>
            <w:tcW w:w="806" w:type="pct"/>
            <w:tcBorders>
              <w:top w:val="single" w:sz="4" w:space="0" w:color="auto"/>
              <w:left w:val="single" w:sz="4" w:space="0" w:color="auto"/>
              <w:bottom w:val="single" w:sz="4" w:space="0" w:color="auto"/>
              <w:right w:val="single" w:sz="4" w:space="0" w:color="auto"/>
            </w:tcBorders>
          </w:tcPr>
          <w:p w14:paraId="293D038D" w14:textId="646236CF"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Se vor regăsi în proiectul de modificare a Regulamentului cu privire la amortizoarele de capital ale băncilor, aprobat prin HCE nr. 110/2018</w:t>
            </w:r>
            <w:r w:rsidR="0008435A" w:rsidRPr="009E686F">
              <w:rPr>
                <w:rFonts w:ascii="Times New Roman" w:hAnsi="Times New Roman" w:cs="Times New Roman"/>
                <w:lang w:val="ro-RO"/>
              </w:rPr>
              <w:t xml:space="preserve"> (</w:t>
            </w:r>
            <w:r w:rsidR="0008435A" w:rsidRPr="009E686F">
              <w:rPr>
                <w:rFonts w:ascii="Times New Roman" w:eastAsia="Times New Roman" w:hAnsi="Times New Roman" w:cs="Times New Roman"/>
                <w:bCs/>
                <w:lang w:val="it-CH" w:eastAsia="ru-RU"/>
              </w:rPr>
              <w:t xml:space="preserve">acțiunea normativă nr. 3 din Anexa A din PNA 2025-2029 aferentă Capitolului 9 “Servicii financiare” în legătură cu </w:t>
            </w:r>
            <w:r w:rsidR="0008435A" w:rsidRPr="009E686F">
              <w:rPr>
                <w:rFonts w:ascii="Times New Roman" w:eastAsia="Times New Roman" w:hAnsi="Times New Roman" w:cs="Times New Roman"/>
                <w:bCs/>
                <w:lang w:val="it-CH" w:eastAsia="ru-RU"/>
              </w:rPr>
              <w:lastRenderedPageBreak/>
              <w:t>transpunerea Directivei 2013/36/UE).</w:t>
            </w:r>
          </w:p>
        </w:tc>
      </w:tr>
      <w:tr w:rsidR="00984B34" w:rsidRPr="009E686F" w14:paraId="6276BB5B" w14:textId="77777777" w:rsidTr="00774F3E">
        <w:trPr>
          <w:trHeight w:val="1729"/>
        </w:trPr>
        <w:tc>
          <w:tcPr>
            <w:tcW w:w="1796" w:type="pct"/>
            <w:gridSpan w:val="2"/>
            <w:tcBorders>
              <w:top w:val="single" w:sz="4" w:space="0" w:color="auto"/>
              <w:left w:val="single" w:sz="4" w:space="0" w:color="auto"/>
              <w:bottom w:val="single" w:sz="4" w:space="0" w:color="auto"/>
              <w:right w:val="single" w:sz="4" w:space="0" w:color="auto"/>
            </w:tcBorders>
          </w:tcPr>
          <w:p w14:paraId="3A84901B" w14:textId="4E29F62D"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lastRenderedPageBreak/>
              <w:t>(4)   Instituțiile calculează L-MDA prin înmulțirea sumei calculate în conformitate cu alineatul (5) cu factorul stabilit în conformitate cu alineatul (6). Din L-MDA se scade orice sumă care rezultă din oricare dintre acțiunile menționate la alineatul (2) al doilea paragraf litera (a), (b) sau (c).</w:t>
            </w:r>
          </w:p>
        </w:tc>
        <w:tc>
          <w:tcPr>
            <w:tcW w:w="1928" w:type="pct"/>
            <w:gridSpan w:val="3"/>
            <w:tcBorders>
              <w:top w:val="single" w:sz="4" w:space="0" w:color="auto"/>
              <w:left w:val="single" w:sz="4" w:space="0" w:color="auto"/>
              <w:bottom w:val="single" w:sz="4" w:space="0" w:color="auto"/>
              <w:right w:val="single" w:sz="4" w:space="0" w:color="auto"/>
            </w:tcBorders>
          </w:tcPr>
          <w:p w14:paraId="2F255B96" w14:textId="77777777" w:rsidR="00984B34" w:rsidRPr="009E686F" w:rsidRDefault="00984B34" w:rsidP="00984B34">
            <w:pPr>
              <w:pStyle w:val="CM4"/>
              <w:contextualSpacing/>
              <w:jc w:val="both"/>
              <w:rPr>
                <w:rFonts w:ascii="Times New Roman" w:hAnsi="Times New Roman"/>
                <w:sz w:val="22"/>
                <w:szCs w:val="22"/>
                <w:lang w:val="ro-MD"/>
              </w:rPr>
            </w:pPr>
          </w:p>
        </w:tc>
        <w:tc>
          <w:tcPr>
            <w:tcW w:w="470" w:type="pct"/>
            <w:tcBorders>
              <w:top w:val="single" w:sz="4" w:space="0" w:color="auto"/>
              <w:left w:val="single" w:sz="4" w:space="0" w:color="auto"/>
              <w:bottom w:val="single" w:sz="4" w:space="0" w:color="auto"/>
              <w:right w:val="single" w:sz="4" w:space="0" w:color="auto"/>
            </w:tcBorders>
          </w:tcPr>
          <w:p w14:paraId="4737588B" w14:textId="613CB064" w:rsidR="00984B34" w:rsidRPr="009E686F" w:rsidDel="000717BD"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netranspuse</w:t>
            </w:r>
          </w:p>
        </w:tc>
        <w:tc>
          <w:tcPr>
            <w:tcW w:w="806" w:type="pct"/>
            <w:tcBorders>
              <w:top w:val="single" w:sz="4" w:space="0" w:color="auto"/>
              <w:left w:val="single" w:sz="4" w:space="0" w:color="auto"/>
              <w:bottom w:val="single" w:sz="4" w:space="0" w:color="auto"/>
              <w:right w:val="single" w:sz="4" w:space="0" w:color="auto"/>
            </w:tcBorders>
          </w:tcPr>
          <w:p w14:paraId="314C982D" w14:textId="585C4DF6"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Se vor regăsi în proiectul de modificare a Regulamentului cu privire la amortizoarele de capital ale băncilor, aprobat prin HCE nr. 110/2018</w:t>
            </w:r>
            <w:r w:rsidR="0008435A" w:rsidRPr="009E686F">
              <w:rPr>
                <w:rFonts w:ascii="Times New Roman" w:hAnsi="Times New Roman" w:cs="Times New Roman"/>
                <w:lang w:val="ro-RO"/>
              </w:rPr>
              <w:t xml:space="preserve"> (</w:t>
            </w:r>
            <w:r w:rsidR="0008435A" w:rsidRPr="009E686F">
              <w:rPr>
                <w:rFonts w:ascii="Times New Roman" w:eastAsia="Times New Roman" w:hAnsi="Times New Roman" w:cs="Times New Roman"/>
                <w:bCs/>
                <w:lang w:val="it-CH" w:eastAsia="ru-RU"/>
              </w:rPr>
              <w:t>acțiunea normativă nr. 3 din Anexa A din PNA 2025-2029 aferentă Capitolului 9 “Servicii financiare” în legătură cu transpunerea Directivei 2013/36/UE).</w:t>
            </w:r>
          </w:p>
        </w:tc>
      </w:tr>
      <w:tr w:rsidR="00984B34" w:rsidRPr="009E686F" w14:paraId="4C98B761" w14:textId="77777777" w:rsidTr="00206967">
        <w:trPr>
          <w:trHeight w:val="1226"/>
        </w:trPr>
        <w:tc>
          <w:tcPr>
            <w:tcW w:w="1796" w:type="pct"/>
            <w:gridSpan w:val="2"/>
            <w:tcBorders>
              <w:top w:val="single" w:sz="4" w:space="0" w:color="auto"/>
              <w:left w:val="single" w:sz="4" w:space="0" w:color="auto"/>
              <w:bottom w:val="single" w:sz="4" w:space="0" w:color="auto"/>
              <w:right w:val="single" w:sz="4" w:space="0" w:color="auto"/>
            </w:tcBorders>
          </w:tcPr>
          <w:p w14:paraId="5ADAEE85" w14:textId="792F61CD"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(5)   Suma de înmulțit în conformitate cu alineatul (4) constă în:</w:t>
            </w:r>
          </w:p>
          <w:p w14:paraId="6042F3CD" w14:textId="29C7E4AB"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(a) orice profituri intermediare neincluse în fondurile proprii de nivel 1 de bază în temeiul articolului 26 alineatul (2) din Regulamentul (UE) nr. 575/2013, minus orice distribuire a profiturilor sau orice plată aferentă acțiunilor menționate în prezentul articol alineatul (2) al doilea paragraf litera (a), (b) sau (c);</w:t>
            </w:r>
          </w:p>
          <w:p w14:paraId="038FE933"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plus</w:t>
            </w:r>
          </w:p>
          <w:p w14:paraId="5A35ED81" w14:textId="749C3CE0"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(b) orice profituri de la sfârșit de exercițiu financiar neincluse în fondurile proprii de nivel 1 de bază în temeiul </w:t>
            </w:r>
            <w:r w:rsidRPr="009E686F">
              <w:rPr>
                <w:rFonts w:ascii="Times New Roman" w:hAnsi="Times New Roman" w:cs="Times New Roman"/>
                <w:lang w:val="ro-RO"/>
              </w:rPr>
              <w:lastRenderedPageBreak/>
              <w:t>articolului 26 alineatul (2) din Regulamentul (UE) nr. 575/2013, minus orice distribuire a profiturilor sau orice plată aferentă acțiunilor menționate în prezentul articol alineatul (2) al doilea paragraf litera (a), (b) sau (c);</w:t>
            </w:r>
          </w:p>
          <w:p w14:paraId="61E56526"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minus</w:t>
            </w:r>
          </w:p>
          <w:p w14:paraId="1EA0E9B9" w14:textId="28D8458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(c) cuantumurile care ar urma să fie plătite ca taxe și impozite dacă elementele specificate la prezentul alineat literele (a) și (b) ar fi reportate.</w:t>
            </w:r>
          </w:p>
        </w:tc>
        <w:tc>
          <w:tcPr>
            <w:tcW w:w="1928" w:type="pct"/>
            <w:gridSpan w:val="3"/>
            <w:tcBorders>
              <w:top w:val="single" w:sz="4" w:space="0" w:color="auto"/>
              <w:left w:val="single" w:sz="4" w:space="0" w:color="auto"/>
              <w:bottom w:val="single" w:sz="4" w:space="0" w:color="auto"/>
              <w:right w:val="single" w:sz="4" w:space="0" w:color="auto"/>
            </w:tcBorders>
          </w:tcPr>
          <w:p w14:paraId="2CC943BE" w14:textId="77777777" w:rsidR="00984B34" w:rsidRPr="009E686F" w:rsidRDefault="00984B34" w:rsidP="00984B34">
            <w:pPr>
              <w:pStyle w:val="CM4"/>
              <w:contextualSpacing/>
              <w:jc w:val="both"/>
              <w:rPr>
                <w:rFonts w:ascii="Times New Roman" w:hAnsi="Times New Roman"/>
                <w:sz w:val="22"/>
                <w:szCs w:val="22"/>
                <w:lang w:val="ro-MD"/>
              </w:rPr>
            </w:pPr>
          </w:p>
        </w:tc>
        <w:tc>
          <w:tcPr>
            <w:tcW w:w="470" w:type="pct"/>
            <w:tcBorders>
              <w:top w:val="single" w:sz="4" w:space="0" w:color="auto"/>
              <w:left w:val="single" w:sz="4" w:space="0" w:color="auto"/>
              <w:bottom w:val="single" w:sz="4" w:space="0" w:color="auto"/>
              <w:right w:val="single" w:sz="4" w:space="0" w:color="auto"/>
            </w:tcBorders>
          </w:tcPr>
          <w:p w14:paraId="403891E3" w14:textId="0737D35B" w:rsidR="00984B34" w:rsidRPr="009E686F" w:rsidDel="000717BD"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netranspuse</w:t>
            </w:r>
          </w:p>
        </w:tc>
        <w:tc>
          <w:tcPr>
            <w:tcW w:w="806" w:type="pct"/>
            <w:tcBorders>
              <w:top w:val="single" w:sz="4" w:space="0" w:color="auto"/>
              <w:left w:val="single" w:sz="4" w:space="0" w:color="auto"/>
              <w:bottom w:val="single" w:sz="4" w:space="0" w:color="auto"/>
              <w:right w:val="single" w:sz="4" w:space="0" w:color="auto"/>
            </w:tcBorders>
          </w:tcPr>
          <w:p w14:paraId="55417E57" w14:textId="786540DA"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Se vor regăsi în proiectul de modificare a Regulamentului cu privire la amortizoarele de capital ale băncilor, aprobat prin HCE nr. 110/2018</w:t>
            </w:r>
            <w:r w:rsidR="0008435A" w:rsidRPr="009E686F">
              <w:rPr>
                <w:rFonts w:ascii="Times New Roman" w:hAnsi="Times New Roman" w:cs="Times New Roman"/>
                <w:lang w:val="ro-RO"/>
              </w:rPr>
              <w:t xml:space="preserve"> (</w:t>
            </w:r>
            <w:r w:rsidR="0008435A" w:rsidRPr="009E686F">
              <w:rPr>
                <w:rFonts w:ascii="Times New Roman" w:eastAsia="Times New Roman" w:hAnsi="Times New Roman" w:cs="Times New Roman"/>
                <w:bCs/>
                <w:lang w:val="it-CH" w:eastAsia="ru-RU"/>
              </w:rPr>
              <w:t xml:space="preserve">acțiunea normativă nr. 3 din Anexa A din PNA 2025-2029 aferentă Capitolului 9 “Servicii </w:t>
            </w:r>
            <w:r w:rsidR="0008435A" w:rsidRPr="009E686F">
              <w:rPr>
                <w:rFonts w:ascii="Times New Roman" w:eastAsia="Times New Roman" w:hAnsi="Times New Roman" w:cs="Times New Roman"/>
                <w:bCs/>
                <w:lang w:val="it-CH" w:eastAsia="ru-RU"/>
              </w:rPr>
              <w:lastRenderedPageBreak/>
              <w:t>financiare” în legătură cu transpunerea Directivei 2013/36/UE).</w:t>
            </w:r>
          </w:p>
        </w:tc>
      </w:tr>
      <w:tr w:rsidR="00984B34" w:rsidRPr="009E686F" w14:paraId="66340CF8" w14:textId="77777777" w:rsidTr="00774F3E">
        <w:trPr>
          <w:trHeight w:val="1729"/>
        </w:trPr>
        <w:tc>
          <w:tcPr>
            <w:tcW w:w="1796" w:type="pct"/>
            <w:gridSpan w:val="2"/>
            <w:tcBorders>
              <w:top w:val="single" w:sz="4" w:space="0" w:color="auto"/>
              <w:left w:val="single" w:sz="4" w:space="0" w:color="auto"/>
              <w:bottom w:val="single" w:sz="4" w:space="0" w:color="auto"/>
              <w:right w:val="single" w:sz="4" w:space="0" w:color="auto"/>
            </w:tcBorders>
          </w:tcPr>
          <w:p w14:paraId="08EA375F" w14:textId="0C3C8C48"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lastRenderedPageBreak/>
              <w:t>(6)   Factorul menționat la alineatul (4) se stabilește după cum urmează:</w:t>
            </w:r>
          </w:p>
          <w:p w14:paraId="51FAE459" w14:textId="7D01972C"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(a) în cazul în care fondurile proprii de nivel 1 menținute de instituție care nu sunt utilizate pentru a îndeplini cerințele prevăzute la articolul 92 alineatul (1) litera (d) din Regulamentul (UE) nr. 575/2013 și la articolul 104 alineatul (1) litera (a) din prezenta directivă atunci când abordează riscul asociat folosirii excesive a efectului de levier care nu este acoperit suficient de articolul 92 alineatul (1) litera (d) din Regulamentul (UE) nr. 575/2013, exprimate ca procent din indicatorul de măsurare a expunerii totale calculat în conformitate cu articolul 429 alineatul (4) din regulamentul respectiv, se situează în prima cuartilă (și anume, cea mai scăzută) a cerinței amortizorului pentru indicatorul efectului de levier, factorul este 0;</w:t>
            </w:r>
          </w:p>
        </w:tc>
        <w:tc>
          <w:tcPr>
            <w:tcW w:w="1928" w:type="pct"/>
            <w:gridSpan w:val="3"/>
            <w:tcBorders>
              <w:top w:val="single" w:sz="4" w:space="0" w:color="auto"/>
              <w:left w:val="single" w:sz="4" w:space="0" w:color="auto"/>
              <w:bottom w:val="single" w:sz="4" w:space="0" w:color="auto"/>
              <w:right w:val="single" w:sz="4" w:space="0" w:color="auto"/>
            </w:tcBorders>
          </w:tcPr>
          <w:p w14:paraId="0A474653" w14:textId="77777777" w:rsidR="00984B34" w:rsidRPr="009E686F" w:rsidRDefault="00984B34" w:rsidP="00984B34">
            <w:pPr>
              <w:pStyle w:val="CM4"/>
              <w:contextualSpacing/>
              <w:jc w:val="both"/>
              <w:rPr>
                <w:rFonts w:ascii="Times New Roman" w:hAnsi="Times New Roman"/>
                <w:sz w:val="22"/>
                <w:szCs w:val="22"/>
                <w:lang w:val="ro-MD"/>
              </w:rPr>
            </w:pPr>
          </w:p>
        </w:tc>
        <w:tc>
          <w:tcPr>
            <w:tcW w:w="470" w:type="pct"/>
            <w:tcBorders>
              <w:top w:val="single" w:sz="4" w:space="0" w:color="auto"/>
              <w:left w:val="single" w:sz="4" w:space="0" w:color="auto"/>
              <w:bottom w:val="single" w:sz="4" w:space="0" w:color="auto"/>
              <w:right w:val="single" w:sz="4" w:space="0" w:color="auto"/>
            </w:tcBorders>
          </w:tcPr>
          <w:p w14:paraId="6B6198BE" w14:textId="0596BE3D" w:rsidR="00984B34" w:rsidRPr="009E686F" w:rsidDel="000717BD"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netranspuse</w:t>
            </w:r>
          </w:p>
        </w:tc>
        <w:tc>
          <w:tcPr>
            <w:tcW w:w="806" w:type="pct"/>
            <w:tcBorders>
              <w:top w:val="single" w:sz="4" w:space="0" w:color="auto"/>
              <w:left w:val="single" w:sz="4" w:space="0" w:color="auto"/>
              <w:bottom w:val="single" w:sz="4" w:space="0" w:color="auto"/>
              <w:right w:val="single" w:sz="4" w:space="0" w:color="auto"/>
            </w:tcBorders>
          </w:tcPr>
          <w:p w14:paraId="1A2DB2E0" w14:textId="78CDA9BB"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Se vor regăsi în proiectul de modificare a Regulamentului cu privire la amortizoarele de capital ale băncilor, aprobat prin HCE nr. 110/2018</w:t>
            </w:r>
            <w:r w:rsidR="0008435A" w:rsidRPr="009E686F">
              <w:rPr>
                <w:rFonts w:ascii="Times New Roman" w:hAnsi="Times New Roman" w:cs="Times New Roman"/>
                <w:lang w:val="ro-RO"/>
              </w:rPr>
              <w:t xml:space="preserve"> (</w:t>
            </w:r>
            <w:r w:rsidR="0008435A" w:rsidRPr="009E686F">
              <w:rPr>
                <w:rFonts w:ascii="Times New Roman" w:eastAsia="Times New Roman" w:hAnsi="Times New Roman" w:cs="Times New Roman"/>
                <w:bCs/>
                <w:lang w:val="it-CH" w:eastAsia="ru-RU"/>
              </w:rPr>
              <w:t>acțiunea normativă nr. 3 din Anexa A din PNA 2025-2029 aferentă Capitolului 9 “Servicii financiare” în legătură cu transpunerea Directivei 2013/36/UE).</w:t>
            </w:r>
          </w:p>
        </w:tc>
      </w:tr>
      <w:tr w:rsidR="00984B34" w:rsidRPr="009E686F" w14:paraId="4D446AD0" w14:textId="77777777" w:rsidTr="00774F3E">
        <w:trPr>
          <w:trHeight w:val="1729"/>
        </w:trPr>
        <w:tc>
          <w:tcPr>
            <w:tcW w:w="1796" w:type="pct"/>
            <w:gridSpan w:val="2"/>
            <w:tcBorders>
              <w:top w:val="single" w:sz="4" w:space="0" w:color="auto"/>
              <w:left w:val="single" w:sz="4" w:space="0" w:color="auto"/>
              <w:bottom w:val="single" w:sz="4" w:space="0" w:color="auto"/>
              <w:right w:val="single" w:sz="4" w:space="0" w:color="auto"/>
            </w:tcBorders>
          </w:tcPr>
          <w:p w14:paraId="3E1578E9" w14:textId="7E9CCF2B"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(b) în cazul în care fondurile proprii de nivel 1 menținute de instituție care nu sunt utilizate pentru a îndeplini cerințele prevăzute la articolul 92 alineatul (1) litera (d) din Regulamentul (UE) nr. 575/2013 și la articolul 104 alineatul (1) litera (a) din prezenta directivă atunci când abordează riscul asociat folosirii excesive a efectului de levier care nu este acoperit suficient de articolul 92 alineatul (1) litera (d) din Regulamentul (UE) nr. 575/2013, exprimate ca procent din indicatorul de măsurare a expunerii totale calculat în </w:t>
            </w:r>
            <w:r w:rsidRPr="009E686F">
              <w:rPr>
                <w:rFonts w:ascii="Times New Roman" w:hAnsi="Times New Roman" w:cs="Times New Roman"/>
                <w:lang w:val="ro-RO"/>
              </w:rPr>
              <w:lastRenderedPageBreak/>
              <w:t>conformitate cu articolul 429 alineatul (4) din regulamentul respectiv, se situează în a doua cuartilă a cerinței amortizorului pentru indicatorul efectului de levier, factorul este 0,2;</w:t>
            </w:r>
          </w:p>
        </w:tc>
        <w:tc>
          <w:tcPr>
            <w:tcW w:w="1928" w:type="pct"/>
            <w:gridSpan w:val="3"/>
            <w:tcBorders>
              <w:top w:val="single" w:sz="4" w:space="0" w:color="auto"/>
              <w:left w:val="single" w:sz="4" w:space="0" w:color="auto"/>
              <w:bottom w:val="single" w:sz="4" w:space="0" w:color="auto"/>
              <w:right w:val="single" w:sz="4" w:space="0" w:color="auto"/>
            </w:tcBorders>
          </w:tcPr>
          <w:p w14:paraId="58CC56DD" w14:textId="77777777" w:rsidR="00984B34" w:rsidRPr="009E686F" w:rsidRDefault="00984B34" w:rsidP="00984B34">
            <w:pPr>
              <w:pStyle w:val="CM4"/>
              <w:contextualSpacing/>
              <w:jc w:val="both"/>
              <w:rPr>
                <w:rFonts w:ascii="Times New Roman" w:hAnsi="Times New Roman"/>
                <w:sz w:val="22"/>
                <w:szCs w:val="22"/>
                <w:lang w:val="ro-MD"/>
              </w:rPr>
            </w:pPr>
          </w:p>
        </w:tc>
        <w:tc>
          <w:tcPr>
            <w:tcW w:w="470" w:type="pct"/>
            <w:tcBorders>
              <w:top w:val="single" w:sz="4" w:space="0" w:color="auto"/>
              <w:left w:val="single" w:sz="4" w:space="0" w:color="auto"/>
              <w:bottom w:val="single" w:sz="4" w:space="0" w:color="auto"/>
              <w:right w:val="single" w:sz="4" w:space="0" w:color="auto"/>
            </w:tcBorders>
          </w:tcPr>
          <w:p w14:paraId="322D3C6B" w14:textId="49659313"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netranspuse</w:t>
            </w:r>
          </w:p>
        </w:tc>
        <w:tc>
          <w:tcPr>
            <w:tcW w:w="806" w:type="pct"/>
            <w:tcBorders>
              <w:top w:val="single" w:sz="4" w:space="0" w:color="auto"/>
              <w:left w:val="single" w:sz="4" w:space="0" w:color="auto"/>
              <w:bottom w:val="single" w:sz="4" w:space="0" w:color="auto"/>
              <w:right w:val="single" w:sz="4" w:space="0" w:color="auto"/>
            </w:tcBorders>
          </w:tcPr>
          <w:p w14:paraId="0C73B070" w14:textId="025A8748"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Se vor regăsi în proiectul de modificare a Regulamentului cu privire la amortizoarele de capital ale băncilor, aprobat prin HCE nr. 110/2018</w:t>
            </w:r>
            <w:r w:rsidR="0008435A" w:rsidRPr="009E686F">
              <w:rPr>
                <w:rFonts w:ascii="Times New Roman" w:hAnsi="Times New Roman" w:cs="Times New Roman"/>
                <w:lang w:val="ro-RO"/>
              </w:rPr>
              <w:t xml:space="preserve"> (</w:t>
            </w:r>
            <w:r w:rsidR="0008435A" w:rsidRPr="009E686F">
              <w:rPr>
                <w:rFonts w:ascii="Times New Roman" w:eastAsia="Times New Roman" w:hAnsi="Times New Roman" w:cs="Times New Roman"/>
                <w:bCs/>
                <w:lang w:val="it-CH" w:eastAsia="ru-RU"/>
              </w:rPr>
              <w:t>acțiunea normativă nr. 3 din Anexa A din PNA 2025-</w:t>
            </w:r>
            <w:r w:rsidR="0008435A" w:rsidRPr="009E686F">
              <w:rPr>
                <w:rFonts w:ascii="Times New Roman" w:eastAsia="Times New Roman" w:hAnsi="Times New Roman" w:cs="Times New Roman"/>
                <w:bCs/>
                <w:lang w:val="it-CH" w:eastAsia="ru-RU"/>
              </w:rPr>
              <w:lastRenderedPageBreak/>
              <w:t>2029 aferentă Capitolului 9 “Servicii financiare” în legătură cu transpunerea Directivei 2013/36/UE).</w:t>
            </w:r>
          </w:p>
        </w:tc>
      </w:tr>
      <w:tr w:rsidR="00984B34" w:rsidRPr="009E686F" w14:paraId="203CDA1C" w14:textId="77777777" w:rsidTr="00774F3E">
        <w:trPr>
          <w:trHeight w:val="1729"/>
        </w:trPr>
        <w:tc>
          <w:tcPr>
            <w:tcW w:w="1796" w:type="pct"/>
            <w:gridSpan w:val="2"/>
            <w:tcBorders>
              <w:top w:val="single" w:sz="4" w:space="0" w:color="auto"/>
              <w:left w:val="single" w:sz="4" w:space="0" w:color="auto"/>
              <w:bottom w:val="single" w:sz="4" w:space="0" w:color="auto"/>
              <w:right w:val="single" w:sz="4" w:space="0" w:color="auto"/>
            </w:tcBorders>
          </w:tcPr>
          <w:p w14:paraId="5D71E15D" w14:textId="05DA66D0"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lastRenderedPageBreak/>
              <w:t>(c) în cazul în care fondurile proprii de nivel 1 menținute de instituție care nu sunt utilizate pentru a îndeplini cerințele prevăzute la articolul 92 alineatul (1) litera (d) din Regulamentul (UE) nr. 575/2013 și la articolul 104 alineatul (1) litera (a) din prezenta directivă atunci când abordează riscul asociat folosirii excesive a efectului de levier care nu este acoperit suficient de articolul 92 alineatul (1) litera (d) din Regulamentul (UE) nr. 575/2013, exprimate ca procent din indicatorul de măsurare a expunerii totale calculat în conformitate cu articolul 429 alineatul (4) din regulamentul respectiv, se situează în a treia cuartilă a cerinței amortizorului pentru indicatorul efectului de levier, factorul este 0,4;</w:t>
            </w:r>
          </w:p>
        </w:tc>
        <w:tc>
          <w:tcPr>
            <w:tcW w:w="1928" w:type="pct"/>
            <w:gridSpan w:val="3"/>
            <w:tcBorders>
              <w:top w:val="single" w:sz="4" w:space="0" w:color="auto"/>
              <w:left w:val="single" w:sz="4" w:space="0" w:color="auto"/>
              <w:bottom w:val="single" w:sz="4" w:space="0" w:color="auto"/>
              <w:right w:val="single" w:sz="4" w:space="0" w:color="auto"/>
            </w:tcBorders>
          </w:tcPr>
          <w:p w14:paraId="74DF9D66" w14:textId="77777777" w:rsidR="00984B34" w:rsidRPr="009E686F" w:rsidRDefault="00984B34" w:rsidP="00984B34">
            <w:pPr>
              <w:pStyle w:val="CM4"/>
              <w:contextualSpacing/>
              <w:jc w:val="both"/>
              <w:rPr>
                <w:rFonts w:ascii="Times New Roman" w:hAnsi="Times New Roman"/>
                <w:sz w:val="22"/>
                <w:szCs w:val="22"/>
                <w:lang w:val="ro-MD"/>
              </w:rPr>
            </w:pPr>
          </w:p>
        </w:tc>
        <w:tc>
          <w:tcPr>
            <w:tcW w:w="470" w:type="pct"/>
            <w:tcBorders>
              <w:top w:val="single" w:sz="4" w:space="0" w:color="auto"/>
              <w:left w:val="single" w:sz="4" w:space="0" w:color="auto"/>
              <w:bottom w:val="single" w:sz="4" w:space="0" w:color="auto"/>
              <w:right w:val="single" w:sz="4" w:space="0" w:color="auto"/>
            </w:tcBorders>
          </w:tcPr>
          <w:p w14:paraId="41A6527B" w14:textId="03343B2D"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netranspuse</w:t>
            </w:r>
          </w:p>
        </w:tc>
        <w:tc>
          <w:tcPr>
            <w:tcW w:w="806" w:type="pct"/>
            <w:tcBorders>
              <w:top w:val="single" w:sz="4" w:space="0" w:color="auto"/>
              <w:left w:val="single" w:sz="4" w:space="0" w:color="auto"/>
              <w:bottom w:val="single" w:sz="4" w:space="0" w:color="auto"/>
              <w:right w:val="single" w:sz="4" w:space="0" w:color="auto"/>
            </w:tcBorders>
          </w:tcPr>
          <w:p w14:paraId="24B71F6A" w14:textId="4E46BEA0"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Se vor regăsi în proiectul de modificare a Regulamentului cu privire la amortizoarele de capital ale băncilor, aprobat prin HCE nr. 110/2018</w:t>
            </w:r>
            <w:r w:rsidR="0008435A" w:rsidRPr="009E686F">
              <w:rPr>
                <w:rFonts w:ascii="Times New Roman" w:hAnsi="Times New Roman" w:cs="Times New Roman"/>
                <w:lang w:val="ro-RO"/>
              </w:rPr>
              <w:t xml:space="preserve"> (</w:t>
            </w:r>
            <w:r w:rsidR="0008435A" w:rsidRPr="009E686F">
              <w:rPr>
                <w:rFonts w:ascii="Times New Roman" w:eastAsia="Times New Roman" w:hAnsi="Times New Roman" w:cs="Times New Roman"/>
                <w:bCs/>
                <w:lang w:val="it-CH" w:eastAsia="ru-RU"/>
              </w:rPr>
              <w:t>acțiunea normativă nr. 3 din Anexa A din PNA 2025-2029 aferentă Capitolului 9 “Servicii financiare” în legătură cu transpunerea Directivei 2013/36/UE).</w:t>
            </w:r>
          </w:p>
        </w:tc>
      </w:tr>
      <w:tr w:rsidR="00984B34" w:rsidRPr="009E686F" w14:paraId="6A6E9916" w14:textId="77777777" w:rsidTr="00774F3E">
        <w:trPr>
          <w:trHeight w:val="1729"/>
        </w:trPr>
        <w:tc>
          <w:tcPr>
            <w:tcW w:w="1796" w:type="pct"/>
            <w:gridSpan w:val="2"/>
            <w:tcBorders>
              <w:top w:val="single" w:sz="4" w:space="0" w:color="auto"/>
              <w:left w:val="single" w:sz="4" w:space="0" w:color="auto"/>
              <w:bottom w:val="single" w:sz="4" w:space="0" w:color="auto"/>
              <w:right w:val="single" w:sz="4" w:space="0" w:color="auto"/>
            </w:tcBorders>
          </w:tcPr>
          <w:p w14:paraId="0537F862"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(d) în cazul în care fondurile proprii de nivel 1 menținute de instituție care nu sunt utilizate pentru a îndeplini cerințele prevăzute la articolul 92 alineatul (1) litera (d) din Regulamentul (UE) nr. 575/2013 și la articolul 104 alineatul (1) litera (a) din prezenta directivă atunci când abordează riscul asociat folosirii excesive a efectului de levier care nu este acoperit suficient de articolul 92 alineatul (1) litera (d) din Regulamentul (UE) nr. 575/2013, exprimate ca procent din indicatorul de măsurare a expunerii totale calculat în conformitate cu articolul 429 alineatul (4) din regulamentul respectiv, se situează în a patra cuartilă (și anume, cea mai </w:t>
            </w:r>
            <w:r w:rsidRPr="009E686F">
              <w:rPr>
                <w:rFonts w:ascii="Times New Roman" w:hAnsi="Times New Roman" w:cs="Times New Roman"/>
                <w:lang w:val="ro-RO"/>
              </w:rPr>
              <w:lastRenderedPageBreak/>
              <w:t>ridicată) a cerinței amortizorului pentru indicatorul efectului de levier, factorul este 0,6.</w:t>
            </w:r>
          </w:p>
          <w:p w14:paraId="4F407F93"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Limitele inferioară și superioară ale fiecărei cuartile a cerinței amortizorului pentru indicatorul efectului de levier sunt calculate după cum urmează:</w:t>
            </w:r>
          </w:p>
          <w:p w14:paraId="786AF82D"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eastAsia="Times New Roman" w:hAnsi="Times New Roman" w:cs="Times New Roman"/>
                <w:noProof/>
                <w:color w:val="000000"/>
              </w:rPr>
              <w:drawing>
                <wp:inline distT="0" distB="0" distL="0" distR="0" wp14:anchorId="3846AECC" wp14:editId="0AACA6AC">
                  <wp:extent cx="2274125" cy="365125"/>
                  <wp:effectExtent l="0" t="0" r="0" b="0"/>
                  <wp:docPr id="889077773" name="Picture 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78568" cy="365838"/>
                          </a:xfrm>
                          <a:prstGeom prst="rect">
                            <a:avLst/>
                          </a:prstGeom>
                          <a:noFill/>
                          <a:ln>
                            <a:noFill/>
                          </a:ln>
                        </pic:spPr>
                      </pic:pic>
                    </a:graphicData>
                  </a:graphic>
                </wp:inline>
              </w:drawing>
            </w:r>
          </w:p>
          <w:p w14:paraId="3ABFC504"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 </w:t>
            </w:r>
            <w:r w:rsidRPr="009E686F">
              <w:rPr>
                <w:rFonts w:ascii="Times New Roman" w:eastAsia="Times New Roman" w:hAnsi="Times New Roman" w:cs="Times New Roman"/>
                <w:noProof/>
                <w:color w:val="000000"/>
              </w:rPr>
              <w:drawing>
                <wp:inline distT="0" distB="0" distL="0" distR="0" wp14:anchorId="1C82D0CE" wp14:editId="61912AC7">
                  <wp:extent cx="2185060" cy="448310"/>
                  <wp:effectExtent l="0" t="0" r="5715" b="8890"/>
                  <wp:docPr id="108148538" name="Picture 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199596" cy="451292"/>
                          </a:xfrm>
                          <a:prstGeom prst="rect">
                            <a:avLst/>
                          </a:prstGeom>
                          <a:noFill/>
                          <a:ln>
                            <a:noFill/>
                          </a:ln>
                        </pic:spPr>
                      </pic:pic>
                    </a:graphicData>
                  </a:graphic>
                </wp:inline>
              </w:drawing>
            </w:r>
          </w:p>
          <w:p w14:paraId="69F60F3B"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unde:</w:t>
            </w:r>
          </w:p>
          <w:p w14:paraId="3DC80250" w14:textId="1FB3300A"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Qn = numărul ordinal al cuartilei în cauză.</w:t>
            </w:r>
          </w:p>
        </w:tc>
        <w:tc>
          <w:tcPr>
            <w:tcW w:w="1928" w:type="pct"/>
            <w:gridSpan w:val="3"/>
            <w:tcBorders>
              <w:top w:val="single" w:sz="4" w:space="0" w:color="auto"/>
              <w:left w:val="single" w:sz="4" w:space="0" w:color="auto"/>
              <w:bottom w:val="single" w:sz="4" w:space="0" w:color="auto"/>
              <w:right w:val="single" w:sz="4" w:space="0" w:color="auto"/>
            </w:tcBorders>
          </w:tcPr>
          <w:p w14:paraId="3D0D8570" w14:textId="77777777" w:rsidR="00984B34" w:rsidRPr="009E686F" w:rsidRDefault="00984B34" w:rsidP="00984B34">
            <w:pPr>
              <w:pStyle w:val="CM4"/>
              <w:contextualSpacing/>
              <w:jc w:val="both"/>
              <w:rPr>
                <w:rFonts w:ascii="Times New Roman" w:hAnsi="Times New Roman"/>
                <w:sz w:val="22"/>
                <w:szCs w:val="22"/>
                <w:lang w:val="ro-MD"/>
              </w:rPr>
            </w:pPr>
          </w:p>
        </w:tc>
        <w:tc>
          <w:tcPr>
            <w:tcW w:w="470" w:type="pct"/>
            <w:tcBorders>
              <w:top w:val="single" w:sz="4" w:space="0" w:color="auto"/>
              <w:left w:val="single" w:sz="4" w:space="0" w:color="auto"/>
              <w:bottom w:val="single" w:sz="4" w:space="0" w:color="auto"/>
              <w:right w:val="single" w:sz="4" w:space="0" w:color="auto"/>
            </w:tcBorders>
          </w:tcPr>
          <w:p w14:paraId="4AC4F360" w14:textId="0B79156D"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netranspuse</w:t>
            </w:r>
          </w:p>
        </w:tc>
        <w:tc>
          <w:tcPr>
            <w:tcW w:w="806" w:type="pct"/>
            <w:tcBorders>
              <w:top w:val="single" w:sz="4" w:space="0" w:color="auto"/>
              <w:left w:val="single" w:sz="4" w:space="0" w:color="auto"/>
              <w:bottom w:val="single" w:sz="4" w:space="0" w:color="auto"/>
              <w:right w:val="single" w:sz="4" w:space="0" w:color="auto"/>
            </w:tcBorders>
          </w:tcPr>
          <w:p w14:paraId="00B993FA" w14:textId="0B0BD6F8"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Se vor regăsi în proiectul de modificare a Regulamentului cu privire la amortizoarele de capital ale băncilor, aprobat prin HCE nr. 110/2018</w:t>
            </w:r>
            <w:r w:rsidR="0008435A" w:rsidRPr="009E686F">
              <w:rPr>
                <w:rFonts w:ascii="Times New Roman" w:hAnsi="Times New Roman" w:cs="Times New Roman"/>
                <w:lang w:val="ro-RO"/>
              </w:rPr>
              <w:t xml:space="preserve"> (</w:t>
            </w:r>
            <w:r w:rsidR="0008435A" w:rsidRPr="009E686F">
              <w:rPr>
                <w:rFonts w:ascii="Times New Roman" w:eastAsia="Times New Roman" w:hAnsi="Times New Roman" w:cs="Times New Roman"/>
                <w:bCs/>
                <w:lang w:val="it-CH" w:eastAsia="ru-RU"/>
              </w:rPr>
              <w:t xml:space="preserve">acțiunea normativă nr. 3 din Anexa A din PNA 2025-2029 aferentă Capitolului 9 “Servicii </w:t>
            </w:r>
            <w:r w:rsidR="0008435A" w:rsidRPr="009E686F">
              <w:rPr>
                <w:rFonts w:ascii="Times New Roman" w:eastAsia="Times New Roman" w:hAnsi="Times New Roman" w:cs="Times New Roman"/>
                <w:bCs/>
                <w:lang w:val="it-CH" w:eastAsia="ru-RU"/>
              </w:rPr>
              <w:lastRenderedPageBreak/>
              <w:t>financiare” în legătură cu transpunerea Directivei 2013/36/UE).</w:t>
            </w:r>
          </w:p>
        </w:tc>
      </w:tr>
      <w:tr w:rsidR="00984B34" w:rsidRPr="009E686F" w14:paraId="2705694F" w14:textId="77777777" w:rsidTr="00774F3E">
        <w:trPr>
          <w:trHeight w:val="1729"/>
        </w:trPr>
        <w:tc>
          <w:tcPr>
            <w:tcW w:w="1796" w:type="pct"/>
            <w:gridSpan w:val="2"/>
            <w:tcBorders>
              <w:top w:val="single" w:sz="4" w:space="0" w:color="auto"/>
              <w:left w:val="single" w:sz="4" w:space="0" w:color="auto"/>
              <w:bottom w:val="single" w:sz="4" w:space="0" w:color="auto"/>
              <w:right w:val="single" w:sz="4" w:space="0" w:color="auto"/>
            </w:tcBorders>
          </w:tcPr>
          <w:p w14:paraId="004D093D" w14:textId="533DE8E6"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lastRenderedPageBreak/>
              <w:t>(7)   Restricțiile prevăzute la prezentul articol se aplică doar plăților care antrenează o reducere a fondurilor proprii de nivel 1 sau o reducere a profiturilor și în măsura în care suspendarea unei plăți sau neefectuarea plății nu constituie o situație de nerambursare sau o condiție pentru începerea unei proceduri de insolvență în temeiul regimului de insolvență aplicabil instituției.</w:t>
            </w:r>
          </w:p>
        </w:tc>
        <w:tc>
          <w:tcPr>
            <w:tcW w:w="1928" w:type="pct"/>
            <w:gridSpan w:val="3"/>
            <w:tcBorders>
              <w:top w:val="single" w:sz="4" w:space="0" w:color="auto"/>
              <w:left w:val="single" w:sz="4" w:space="0" w:color="auto"/>
              <w:bottom w:val="single" w:sz="4" w:space="0" w:color="auto"/>
              <w:right w:val="single" w:sz="4" w:space="0" w:color="auto"/>
            </w:tcBorders>
          </w:tcPr>
          <w:p w14:paraId="0313EB69" w14:textId="77777777" w:rsidR="00984B34" w:rsidRPr="009E686F" w:rsidRDefault="00984B34" w:rsidP="00984B34">
            <w:pPr>
              <w:pStyle w:val="CM4"/>
              <w:contextualSpacing/>
              <w:jc w:val="both"/>
              <w:rPr>
                <w:rFonts w:ascii="Times New Roman" w:hAnsi="Times New Roman"/>
                <w:sz w:val="22"/>
                <w:szCs w:val="22"/>
                <w:lang w:val="ro-MD"/>
              </w:rPr>
            </w:pPr>
          </w:p>
        </w:tc>
        <w:tc>
          <w:tcPr>
            <w:tcW w:w="470" w:type="pct"/>
            <w:tcBorders>
              <w:top w:val="single" w:sz="4" w:space="0" w:color="auto"/>
              <w:left w:val="single" w:sz="4" w:space="0" w:color="auto"/>
              <w:bottom w:val="single" w:sz="4" w:space="0" w:color="auto"/>
              <w:right w:val="single" w:sz="4" w:space="0" w:color="auto"/>
            </w:tcBorders>
          </w:tcPr>
          <w:p w14:paraId="2E3AC6AE" w14:textId="2C645AAF" w:rsidR="00984B34" w:rsidRPr="009E686F" w:rsidDel="000717BD"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netranspuse</w:t>
            </w:r>
          </w:p>
        </w:tc>
        <w:tc>
          <w:tcPr>
            <w:tcW w:w="806" w:type="pct"/>
            <w:tcBorders>
              <w:top w:val="single" w:sz="4" w:space="0" w:color="auto"/>
              <w:left w:val="single" w:sz="4" w:space="0" w:color="auto"/>
              <w:bottom w:val="single" w:sz="4" w:space="0" w:color="auto"/>
              <w:right w:val="single" w:sz="4" w:space="0" w:color="auto"/>
            </w:tcBorders>
          </w:tcPr>
          <w:p w14:paraId="1FE4C926" w14:textId="09CF4846"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Se vor regăsi în proiectul de modificare a Regulamentului cu privire la amortizoarele de capital ale băncilor, aprobat prin HCE nr. 110/2018</w:t>
            </w:r>
            <w:r w:rsidR="0008435A" w:rsidRPr="009E686F">
              <w:rPr>
                <w:rFonts w:ascii="Times New Roman" w:hAnsi="Times New Roman" w:cs="Times New Roman"/>
                <w:lang w:val="ro-RO"/>
              </w:rPr>
              <w:t xml:space="preserve"> (</w:t>
            </w:r>
            <w:r w:rsidR="0008435A" w:rsidRPr="009E686F">
              <w:rPr>
                <w:rFonts w:ascii="Times New Roman" w:eastAsia="Times New Roman" w:hAnsi="Times New Roman" w:cs="Times New Roman"/>
                <w:bCs/>
                <w:lang w:val="it-CH" w:eastAsia="ru-RU"/>
              </w:rPr>
              <w:t>acțiunea normativă nr. 3 din Anexa A din PNA 2025-2029 aferentă Capitolului 9 “Servicii financiare” în legătură cu transpunerea Directivei 2013/36/UE).</w:t>
            </w:r>
          </w:p>
        </w:tc>
      </w:tr>
      <w:tr w:rsidR="00984B34" w:rsidRPr="009E686F" w14:paraId="505CE22B" w14:textId="77777777" w:rsidTr="00774F3E">
        <w:trPr>
          <w:trHeight w:val="597"/>
        </w:trPr>
        <w:tc>
          <w:tcPr>
            <w:tcW w:w="1796" w:type="pct"/>
            <w:gridSpan w:val="2"/>
            <w:tcBorders>
              <w:top w:val="single" w:sz="4" w:space="0" w:color="auto"/>
              <w:left w:val="single" w:sz="4" w:space="0" w:color="auto"/>
              <w:bottom w:val="single" w:sz="4" w:space="0" w:color="auto"/>
              <w:right w:val="single" w:sz="4" w:space="0" w:color="auto"/>
            </w:tcBorders>
          </w:tcPr>
          <w:p w14:paraId="7A979780" w14:textId="133613E3"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(8)   Atunci când o instituție nu îndeplinește cerința amortizorului pentru indicatorul efectului de levier și intenționează să distribuie oricare dintre profiturile sale distribuibile ori să întreprindă una dintre acțiunile menționate în prezentul articol alineatul (2) al doilea </w:t>
            </w:r>
            <w:r w:rsidRPr="009E686F">
              <w:rPr>
                <w:rFonts w:ascii="Times New Roman" w:hAnsi="Times New Roman" w:cs="Times New Roman"/>
                <w:lang w:val="ro-RO"/>
              </w:rPr>
              <w:lastRenderedPageBreak/>
              <w:t>paragraf literele (a), (b) și (c), aceasta notifică autorității competente acest lucru și furnizează informațiile enumerate la articolul 141 alineatul (8), cu excepția literei (a) punctul (iii) din respectivul articol, și L-MDA calculată în conformitate cu alineatul (4) de la prezentul articol.</w:t>
            </w:r>
          </w:p>
        </w:tc>
        <w:tc>
          <w:tcPr>
            <w:tcW w:w="1928" w:type="pct"/>
            <w:gridSpan w:val="3"/>
            <w:tcBorders>
              <w:top w:val="single" w:sz="4" w:space="0" w:color="auto"/>
              <w:left w:val="single" w:sz="4" w:space="0" w:color="auto"/>
              <w:bottom w:val="single" w:sz="4" w:space="0" w:color="auto"/>
              <w:right w:val="single" w:sz="4" w:space="0" w:color="auto"/>
            </w:tcBorders>
          </w:tcPr>
          <w:p w14:paraId="101EDC4C" w14:textId="77777777" w:rsidR="00984B34" w:rsidRPr="009E686F" w:rsidRDefault="00984B34" w:rsidP="00984B34">
            <w:pPr>
              <w:pStyle w:val="CM4"/>
              <w:contextualSpacing/>
              <w:jc w:val="both"/>
              <w:rPr>
                <w:rFonts w:ascii="Times New Roman" w:hAnsi="Times New Roman"/>
                <w:sz w:val="22"/>
                <w:szCs w:val="22"/>
                <w:lang w:val="ro-MD"/>
              </w:rPr>
            </w:pPr>
          </w:p>
        </w:tc>
        <w:tc>
          <w:tcPr>
            <w:tcW w:w="470" w:type="pct"/>
            <w:tcBorders>
              <w:top w:val="single" w:sz="4" w:space="0" w:color="auto"/>
              <w:left w:val="single" w:sz="4" w:space="0" w:color="auto"/>
              <w:bottom w:val="single" w:sz="4" w:space="0" w:color="auto"/>
              <w:right w:val="single" w:sz="4" w:space="0" w:color="auto"/>
            </w:tcBorders>
          </w:tcPr>
          <w:p w14:paraId="0AF60D5B" w14:textId="763E2A02" w:rsidR="00984B34" w:rsidRPr="009E686F" w:rsidDel="000717BD"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netranspuse</w:t>
            </w:r>
          </w:p>
        </w:tc>
        <w:tc>
          <w:tcPr>
            <w:tcW w:w="806" w:type="pct"/>
            <w:tcBorders>
              <w:top w:val="single" w:sz="4" w:space="0" w:color="auto"/>
              <w:left w:val="single" w:sz="4" w:space="0" w:color="auto"/>
              <w:bottom w:val="single" w:sz="4" w:space="0" w:color="auto"/>
              <w:right w:val="single" w:sz="4" w:space="0" w:color="auto"/>
            </w:tcBorders>
          </w:tcPr>
          <w:p w14:paraId="1C6B02F3" w14:textId="3A1DC9D6"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 xml:space="preserve">Se vor regăsi în proiectul de modificare a Regulamentului cu privire la amortizoarele de capital ale băncilor, </w:t>
            </w:r>
            <w:r w:rsidRPr="009E686F">
              <w:rPr>
                <w:rFonts w:ascii="Times New Roman" w:hAnsi="Times New Roman" w:cs="Times New Roman"/>
                <w:lang w:val="ro-RO"/>
              </w:rPr>
              <w:lastRenderedPageBreak/>
              <w:t>aprobat prin HCE nr. 110/2018</w:t>
            </w:r>
            <w:r w:rsidR="0008435A" w:rsidRPr="009E686F">
              <w:rPr>
                <w:rFonts w:ascii="Times New Roman" w:hAnsi="Times New Roman" w:cs="Times New Roman"/>
                <w:lang w:val="ro-RO"/>
              </w:rPr>
              <w:t xml:space="preserve"> (</w:t>
            </w:r>
            <w:r w:rsidR="0008435A" w:rsidRPr="009E686F">
              <w:rPr>
                <w:rFonts w:ascii="Times New Roman" w:eastAsia="Times New Roman" w:hAnsi="Times New Roman" w:cs="Times New Roman"/>
                <w:bCs/>
                <w:lang w:val="it-CH" w:eastAsia="ru-RU"/>
              </w:rPr>
              <w:t>acțiunea normativă nr. 3 din Anexa A din PNA 2025-2029 aferentă Capitolului 9 “Servicii financiare” în legătură cu transpunerea Directivei 2013/36/UE).</w:t>
            </w:r>
          </w:p>
        </w:tc>
      </w:tr>
      <w:tr w:rsidR="00984B34" w:rsidRPr="009E686F" w14:paraId="3D7C6114" w14:textId="77777777" w:rsidTr="00774F3E">
        <w:trPr>
          <w:trHeight w:val="597"/>
        </w:trPr>
        <w:tc>
          <w:tcPr>
            <w:tcW w:w="1796" w:type="pct"/>
            <w:gridSpan w:val="2"/>
            <w:tcBorders>
              <w:top w:val="single" w:sz="4" w:space="0" w:color="auto"/>
              <w:left w:val="single" w:sz="4" w:space="0" w:color="auto"/>
              <w:bottom w:val="single" w:sz="4" w:space="0" w:color="auto"/>
              <w:right w:val="single" w:sz="4" w:space="0" w:color="auto"/>
            </w:tcBorders>
          </w:tcPr>
          <w:p w14:paraId="32B7852E" w14:textId="4706D2FA"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lastRenderedPageBreak/>
              <w:t>(9)  Instituțiile mențin dispoziții care să garanteze calcularea cu exactitate a cuantumurilor profiturilor distribuibile și a L-MDA și sunt în măsură să demonstreze autorității competente exactitatea calculelor, la cerere.</w:t>
            </w:r>
          </w:p>
        </w:tc>
        <w:tc>
          <w:tcPr>
            <w:tcW w:w="1928" w:type="pct"/>
            <w:gridSpan w:val="3"/>
            <w:tcBorders>
              <w:top w:val="single" w:sz="4" w:space="0" w:color="auto"/>
              <w:left w:val="single" w:sz="4" w:space="0" w:color="auto"/>
              <w:bottom w:val="single" w:sz="4" w:space="0" w:color="auto"/>
              <w:right w:val="single" w:sz="4" w:space="0" w:color="auto"/>
            </w:tcBorders>
          </w:tcPr>
          <w:p w14:paraId="457CF7CC" w14:textId="77777777" w:rsidR="00984B34" w:rsidRPr="009E686F" w:rsidRDefault="00984B34" w:rsidP="00984B34">
            <w:pPr>
              <w:pStyle w:val="CM4"/>
              <w:contextualSpacing/>
              <w:jc w:val="both"/>
              <w:rPr>
                <w:rFonts w:ascii="Times New Roman" w:hAnsi="Times New Roman"/>
                <w:sz w:val="22"/>
                <w:szCs w:val="22"/>
                <w:lang w:val="ro-MD"/>
              </w:rPr>
            </w:pPr>
          </w:p>
        </w:tc>
        <w:tc>
          <w:tcPr>
            <w:tcW w:w="470" w:type="pct"/>
            <w:tcBorders>
              <w:top w:val="single" w:sz="4" w:space="0" w:color="auto"/>
              <w:left w:val="single" w:sz="4" w:space="0" w:color="auto"/>
              <w:bottom w:val="single" w:sz="4" w:space="0" w:color="auto"/>
              <w:right w:val="single" w:sz="4" w:space="0" w:color="auto"/>
            </w:tcBorders>
          </w:tcPr>
          <w:p w14:paraId="663B2EE4" w14:textId="1E8891BB"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netranspuse</w:t>
            </w:r>
          </w:p>
        </w:tc>
        <w:tc>
          <w:tcPr>
            <w:tcW w:w="806" w:type="pct"/>
            <w:tcBorders>
              <w:top w:val="single" w:sz="4" w:space="0" w:color="auto"/>
              <w:left w:val="single" w:sz="4" w:space="0" w:color="auto"/>
              <w:bottom w:val="single" w:sz="4" w:space="0" w:color="auto"/>
              <w:right w:val="single" w:sz="4" w:space="0" w:color="auto"/>
            </w:tcBorders>
          </w:tcPr>
          <w:p w14:paraId="0782BC3F" w14:textId="195E8935"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Se vor regăsi în proiectul de modificare a Regulamentului cu privire la amortizoarele de capital ale băncilor, aprobat prin HCE nr. 110/2018</w:t>
            </w:r>
            <w:r w:rsidR="0008435A" w:rsidRPr="009E686F">
              <w:rPr>
                <w:rFonts w:ascii="Times New Roman" w:hAnsi="Times New Roman" w:cs="Times New Roman"/>
                <w:lang w:val="ro-RO"/>
              </w:rPr>
              <w:t xml:space="preserve"> (</w:t>
            </w:r>
            <w:r w:rsidR="0008435A" w:rsidRPr="009E686F">
              <w:rPr>
                <w:rFonts w:ascii="Times New Roman" w:eastAsia="Times New Roman" w:hAnsi="Times New Roman" w:cs="Times New Roman"/>
                <w:bCs/>
                <w:lang w:val="it-CH" w:eastAsia="ru-RU"/>
              </w:rPr>
              <w:t>acțiunea normativă nr. 3 din Anexa A din PNA 2025-2029 aferentă Capitolului 9 “Servicii financiare” în legătură cu transpunerea Directivei 2013/36/UE).</w:t>
            </w:r>
          </w:p>
        </w:tc>
      </w:tr>
      <w:tr w:rsidR="00984B34" w:rsidRPr="009E686F" w14:paraId="3818474D" w14:textId="77777777" w:rsidTr="00774F3E">
        <w:trPr>
          <w:trHeight w:val="597"/>
        </w:trPr>
        <w:tc>
          <w:tcPr>
            <w:tcW w:w="1796" w:type="pct"/>
            <w:gridSpan w:val="2"/>
            <w:tcBorders>
              <w:top w:val="single" w:sz="4" w:space="0" w:color="auto"/>
              <w:left w:val="single" w:sz="4" w:space="0" w:color="auto"/>
              <w:bottom w:val="single" w:sz="4" w:space="0" w:color="auto"/>
              <w:right w:val="single" w:sz="4" w:space="0" w:color="auto"/>
            </w:tcBorders>
          </w:tcPr>
          <w:p w14:paraId="0133DEEE" w14:textId="55C1341C"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(10)   În sensul alineatelor (1) și (2) de la prezentul articol, o distribuire în legătură cu fondurile proprii de nivel 1 include oricare dintre elementele enumerate la articolul 141 alineatul (10).</w:t>
            </w:r>
          </w:p>
        </w:tc>
        <w:tc>
          <w:tcPr>
            <w:tcW w:w="1928" w:type="pct"/>
            <w:gridSpan w:val="3"/>
            <w:tcBorders>
              <w:top w:val="single" w:sz="4" w:space="0" w:color="auto"/>
              <w:left w:val="single" w:sz="4" w:space="0" w:color="auto"/>
              <w:bottom w:val="single" w:sz="4" w:space="0" w:color="auto"/>
              <w:right w:val="single" w:sz="4" w:space="0" w:color="auto"/>
            </w:tcBorders>
          </w:tcPr>
          <w:p w14:paraId="3DFC141F" w14:textId="77777777" w:rsidR="00984B34" w:rsidRPr="009E686F" w:rsidRDefault="00984B34" w:rsidP="00984B34">
            <w:pPr>
              <w:pStyle w:val="CM4"/>
              <w:contextualSpacing/>
              <w:jc w:val="both"/>
              <w:rPr>
                <w:rFonts w:ascii="Times New Roman" w:hAnsi="Times New Roman"/>
                <w:sz w:val="22"/>
                <w:szCs w:val="22"/>
                <w:lang w:val="ro-MD"/>
              </w:rPr>
            </w:pPr>
          </w:p>
        </w:tc>
        <w:tc>
          <w:tcPr>
            <w:tcW w:w="470" w:type="pct"/>
            <w:tcBorders>
              <w:top w:val="single" w:sz="4" w:space="0" w:color="auto"/>
              <w:left w:val="single" w:sz="4" w:space="0" w:color="auto"/>
              <w:bottom w:val="single" w:sz="4" w:space="0" w:color="auto"/>
              <w:right w:val="single" w:sz="4" w:space="0" w:color="auto"/>
            </w:tcBorders>
          </w:tcPr>
          <w:p w14:paraId="0A9CC3EE" w14:textId="005C938B"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netranspuse</w:t>
            </w:r>
          </w:p>
        </w:tc>
        <w:tc>
          <w:tcPr>
            <w:tcW w:w="806" w:type="pct"/>
            <w:tcBorders>
              <w:top w:val="single" w:sz="4" w:space="0" w:color="auto"/>
              <w:left w:val="single" w:sz="4" w:space="0" w:color="auto"/>
              <w:bottom w:val="single" w:sz="4" w:space="0" w:color="auto"/>
              <w:right w:val="single" w:sz="4" w:space="0" w:color="auto"/>
            </w:tcBorders>
          </w:tcPr>
          <w:p w14:paraId="3B153829" w14:textId="7CEBBFD6"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Se vor regăsi în proiectul de modificare a Regulamentului cu privire la amortizoarele de capital ale băncilor, aprobat prin HCE nr. 110/2018</w:t>
            </w:r>
            <w:r w:rsidR="0008435A" w:rsidRPr="009E686F">
              <w:rPr>
                <w:rFonts w:ascii="Times New Roman" w:hAnsi="Times New Roman" w:cs="Times New Roman"/>
                <w:lang w:val="ro-RO"/>
              </w:rPr>
              <w:t xml:space="preserve"> (</w:t>
            </w:r>
            <w:r w:rsidR="0008435A" w:rsidRPr="009E686F">
              <w:rPr>
                <w:rFonts w:ascii="Times New Roman" w:eastAsia="Times New Roman" w:hAnsi="Times New Roman" w:cs="Times New Roman"/>
                <w:bCs/>
                <w:lang w:val="it-CH" w:eastAsia="ru-RU"/>
              </w:rPr>
              <w:t xml:space="preserve">acțiunea normativă nr. 3 din </w:t>
            </w:r>
            <w:r w:rsidR="0008435A" w:rsidRPr="009E686F">
              <w:rPr>
                <w:rFonts w:ascii="Times New Roman" w:eastAsia="Times New Roman" w:hAnsi="Times New Roman" w:cs="Times New Roman"/>
                <w:bCs/>
                <w:lang w:val="it-CH" w:eastAsia="ru-RU"/>
              </w:rPr>
              <w:lastRenderedPageBreak/>
              <w:t>Anexa A din PNA 2025-2029 aferentă Capitolului 9 “Servicii financiare” în legătură cu transpunerea Directivei 2013/36/UE).</w:t>
            </w:r>
          </w:p>
        </w:tc>
      </w:tr>
      <w:tr w:rsidR="00984B34" w:rsidRPr="009E686F" w14:paraId="7D30EE45" w14:textId="77777777" w:rsidTr="00774F3E">
        <w:trPr>
          <w:trHeight w:val="1165"/>
        </w:trPr>
        <w:tc>
          <w:tcPr>
            <w:tcW w:w="1796" w:type="pct"/>
            <w:gridSpan w:val="2"/>
            <w:tcBorders>
              <w:top w:val="single" w:sz="4" w:space="0" w:color="auto"/>
              <w:left w:val="single" w:sz="4" w:space="0" w:color="auto"/>
              <w:bottom w:val="single" w:sz="4" w:space="0" w:color="auto"/>
              <w:right w:val="single" w:sz="4" w:space="0" w:color="auto"/>
            </w:tcBorders>
          </w:tcPr>
          <w:p w14:paraId="38510BD5" w14:textId="77777777" w:rsidR="00984B34" w:rsidRPr="009E686F" w:rsidRDefault="00984B34" w:rsidP="00984B34">
            <w:pPr>
              <w:spacing w:after="0"/>
              <w:jc w:val="both"/>
              <w:rPr>
                <w:rFonts w:ascii="Times New Roman" w:hAnsi="Times New Roman" w:cs="Times New Roman"/>
                <w:i/>
                <w:iCs/>
                <w:lang w:val="ro-RO"/>
              </w:rPr>
            </w:pPr>
            <w:r w:rsidRPr="009E686F">
              <w:rPr>
                <w:rFonts w:ascii="Times New Roman" w:hAnsi="Times New Roman" w:cs="Times New Roman"/>
                <w:i/>
                <w:iCs/>
                <w:lang w:val="ro-RO"/>
              </w:rPr>
              <w:lastRenderedPageBreak/>
              <w:t xml:space="preserve">Articolul 141c </w:t>
            </w:r>
          </w:p>
          <w:p w14:paraId="6333F2C8" w14:textId="5D1CE383"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Neîndeplinirea cerinței amortizorului pentru indicatorul efectului de levier</w:t>
            </w:r>
          </w:p>
          <w:p w14:paraId="5DAE542D" w14:textId="77777777" w:rsidR="00984B34" w:rsidRPr="009E686F" w:rsidRDefault="00984B34" w:rsidP="00984B34">
            <w:pPr>
              <w:spacing w:after="0"/>
              <w:jc w:val="both"/>
              <w:rPr>
                <w:rFonts w:ascii="Times New Roman" w:hAnsi="Times New Roman" w:cs="Times New Roman"/>
                <w:lang w:val="ro-RO"/>
              </w:rPr>
            </w:pPr>
          </w:p>
          <w:p w14:paraId="2F7DA8DC" w14:textId="5AF5D42C"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Se consideră că o instituție nu îndeplinește cerința amortizorului pentru indicatorul efectului de levier în sensul articolului 141b din prezenta directivă atunci când nu deține fonduri proprii de nivel 1 în cuantumul necesar pentru a îndeplini în același timp cerința prevăzută la articolul 92 alineatul (1a) din Regulamentul (UE) nr. 575/2013 și cerința prevăzută la articolul 92 alineatul (1) litera (d) din regulamentul respectiv și la articolul 104 alineatul (1) litera (a) din prezenta directivă atunci când abordează riscul asociat folosirii excesive a efectului de levier care nu este acoperit suficient de articolul 92 alineatul (1) litera (d) din Regulamentul (UE) nr. 575/2013.</w:t>
            </w:r>
          </w:p>
        </w:tc>
        <w:tc>
          <w:tcPr>
            <w:tcW w:w="1928" w:type="pct"/>
            <w:gridSpan w:val="3"/>
            <w:tcBorders>
              <w:top w:val="single" w:sz="4" w:space="0" w:color="auto"/>
              <w:left w:val="single" w:sz="4" w:space="0" w:color="auto"/>
              <w:bottom w:val="single" w:sz="4" w:space="0" w:color="auto"/>
              <w:right w:val="single" w:sz="4" w:space="0" w:color="auto"/>
            </w:tcBorders>
          </w:tcPr>
          <w:p w14:paraId="29EE3468" w14:textId="77777777" w:rsidR="00984B34" w:rsidRPr="009E686F" w:rsidRDefault="00984B34" w:rsidP="00984B34">
            <w:pPr>
              <w:pStyle w:val="CM4"/>
              <w:contextualSpacing/>
              <w:jc w:val="both"/>
              <w:rPr>
                <w:rFonts w:ascii="Times New Roman" w:hAnsi="Times New Roman"/>
                <w:sz w:val="22"/>
                <w:szCs w:val="22"/>
                <w:lang w:val="ro-MD"/>
              </w:rPr>
            </w:pPr>
          </w:p>
        </w:tc>
        <w:tc>
          <w:tcPr>
            <w:tcW w:w="470" w:type="pct"/>
            <w:tcBorders>
              <w:top w:val="single" w:sz="4" w:space="0" w:color="auto"/>
              <w:left w:val="single" w:sz="4" w:space="0" w:color="auto"/>
              <w:bottom w:val="single" w:sz="4" w:space="0" w:color="auto"/>
              <w:right w:val="single" w:sz="4" w:space="0" w:color="auto"/>
            </w:tcBorders>
          </w:tcPr>
          <w:p w14:paraId="325D50B4" w14:textId="7252ED72" w:rsidR="00984B34" w:rsidRPr="009E686F" w:rsidDel="000717BD"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netranspuse</w:t>
            </w:r>
          </w:p>
        </w:tc>
        <w:tc>
          <w:tcPr>
            <w:tcW w:w="806" w:type="pct"/>
            <w:tcBorders>
              <w:top w:val="single" w:sz="4" w:space="0" w:color="auto"/>
              <w:left w:val="single" w:sz="4" w:space="0" w:color="auto"/>
              <w:bottom w:val="single" w:sz="4" w:space="0" w:color="auto"/>
              <w:right w:val="single" w:sz="4" w:space="0" w:color="auto"/>
            </w:tcBorders>
          </w:tcPr>
          <w:p w14:paraId="40EDC87B" w14:textId="0157D7ED"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Se vor regăsi în proiectul de modificare a Regulamentului cu privire la amortizoarele de capital ale băncilor, aprobat prin HCE nr. 110/2018</w:t>
            </w:r>
            <w:r w:rsidR="0008435A" w:rsidRPr="009E686F">
              <w:rPr>
                <w:rFonts w:ascii="Times New Roman" w:hAnsi="Times New Roman" w:cs="Times New Roman"/>
                <w:lang w:val="ro-RO"/>
              </w:rPr>
              <w:t xml:space="preserve"> (</w:t>
            </w:r>
            <w:r w:rsidR="0008435A" w:rsidRPr="009E686F">
              <w:rPr>
                <w:rFonts w:ascii="Times New Roman" w:eastAsia="Times New Roman" w:hAnsi="Times New Roman" w:cs="Times New Roman"/>
                <w:bCs/>
                <w:lang w:val="it-CH" w:eastAsia="ru-RU"/>
              </w:rPr>
              <w:t>acțiunea normativă nr. 3 din Anexa A din PNA 2025-2029 aferentă Capitolului 9 “Servicii financiare” în legătură cu transpunerea Directivei 2013/36/UE).</w:t>
            </w:r>
          </w:p>
        </w:tc>
      </w:tr>
      <w:tr w:rsidR="00984B34" w:rsidRPr="009E686F" w14:paraId="6D4DAC9F" w14:textId="77777777" w:rsidTr="00774F3E">
        <w:tc>
          <w:tcPr>
            <w:tcW w:w="1796" w:type="pct"/>
            <w:gridSpan w:val="2"/>
            <w:tcBorders>
              <w:left w:val="single" w:sz="4" w:space="0" w:color="auto"/>
              <w:bottom w:val="single" w:sz="4" w:space="0" w:color="auto"/>
              <w:right w:val="single" w:sz="4" w:space="0" w:color="auto"/>
            </w:tcBorders>
          </w:tcPr>
          <w:p w14:paraId="7597F8E2" w14:textId="77777777" w:rsidR="00984B34" w:rsidRPr="009E686F" w:rsidRDefault="00984B34" w:rsidP="00984B34">
            <w:pPr>
              <w:spacing w:after="0"/>
              <w:jc w:val="both"/>
              <w:rPr>
                <w:rFonts w:ascii="Times New Roman" w:hAnsi="Times New Roman" w:cs="Times New Roman"/>
                <w:i/>
                <w:iCs/>
                <w:lang w:val="ro-RO"/>
              </w:rPr>
            </w:pPr>
            <w:r w:rsidRPr="009E686F">
              <w:rPr>
                <w:rFonts w:ascii="Times New Roman" w:hAnsi="Times New Roman" w:cs="Times New Roman"/>
                <w:i/>
                <w:iCs/>
                <w:lang w:val="ro-RO"/>
              </w:rPr>
              <w:t xml:space="preserve">Articolul 142 </w:t>
            </w:r>
          </w:p>
          <w:p w14:paraId="6233E30C"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Planul de conservare a capitalului</w:t>
            </w:r>
          </w:p>
          <w:p w14:paraId="7B9A2164"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(1) În cazul în care o instituție nu îndeplinește cerința amortizorului combinat sau, dacă este cazul, cerința amortizorului pentru indicatorul efectului de levier, aceasta întocmește un plan de conservare a capitalului, pe care îl transmite autorității competente în termen de maximum cinci zile lucrătoare de la data la care a constatat că nu îndeplinește cerința menționată, cu excepția cazului în care </w:t>
            </w:r>
            <w:r w:rsidRPr="009E686F">
              <w:rPr>
                <w:rFonts w:ascii="Times New Roman" w:hAnsi="Times New Roman" w:cs="Times New Roman"/>
                <w:lang w:val="ro-RO"/>
              </w:rPr>
              <w:lastRenderedPageBreak/>
              <w:t>autoritatea competentă autorizează un termen mai lung de până la 10 zile.</w:t>
            </w:r>
          </w:p>
          <w:p w14:paraId="62FFF7F5" w14:textId="77777777" w:rsidR="00984B34" w:rsidRPr="009E686F" w:rsidRDefault="00984B34" w:rsidP="00984B34">
            <w:pPr>
              <w:spacing w:after="0"/>
              <w:jc w:val="both"/>
              <w:rPr>
                <w:rFonts w:ascii="Times New Roman" w:hAnsi="Times New Roman" w:cs="Times New Roman"/>
                <w:lang w:val="ro-RO"/>
              </w:rPr>
            </w:pPr>
          </w:p>
          <w:p w14:paraId="53DBC2DE" w14:textId="40BAB3FB" w:rsidR="00984B34" w:rsidRPr="009E686F" w:rsidRDefault="00984B34" w:rsidP="00984B34">
            <w:pPr>
              <w:spacing w:after="0"/>
              <w:jc w:val="both"/>
              <w:rPr>
                <w:rFonts w:ascii="Times New Roman" w:hAnsi="Times New Roman" w:cs="Times New Roman"/>
                <w:lang w:val="ro-RO"/>
              </w:rPr>
            </w:pPr>
          </w:p>
        </w:tc>
        <w:tc>
          <w:tcPr>
            <w:tcW w:w="1928" w:type="pct"/>
            <w:gridSpan w:val="3"/>
            <w:tcBorders>
              <w:left w:val="single" w:sz="4" w:space="0" w:color="auto"/>
              <w:bottom w:val="single" w:sz="4" w:space="0" w:color="auto"/>
              <w:right w:val="single" w:sz="4" w:space="0" w:color="auto"/>
            </w:tcBorders>
          </w:tcPr>
          <w:p w14:paraId="6ECA8BE1" w14:textId="77777777"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b/>
                <w:lang w:val="ro-RO"/>
              </w:rPr>
              <w:lastRenderedPageBreak/>
              <w:t>Art. 63 alin. (4)</w:t>
            </w:r>
          </w:p>
          <w:p w14:paraId="7B830E61" w14:textId="1C75994B"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lang w:val="ro-RO"/>
              </w:rPr>
              <w:t xml:space="preserve">(4) În situaţia în care </w:t>
            </w:r>
            <w:r w:rsidRPr="009E686F">
              <w:rPr>
                <w:rFonts w:ascii="Times New Roman" w:hAnsi="Times New Roman" w:cs="Times New Roman"/>
                <w:i/>
                <w:lang w:val="ro-RO"/>
              </w:rPr>
              <w:t>instituția de credit</w:t>
            </w:r>
            <w:r w:rsidRPr="009E686F">
              <w:rPr>
                <w:rFonts w:ascii="Times New Roman" w:hAnsi="Times New Roman" w:cs="Times New Roman"/>
                <w:lang w:val="ro-RO"/>
              </w:rPr>
              <w:t xml:space="preserve"> nu deţine un nivel suficient al fondurilor proprii care să permită conformarea cu cerinţele de acoperire a amortizoarelor de capital menţionate la alin.(2), aceasta este supusă unor măsuri de conservare a capitalului. </w:t>
            </w:r>
            <w:r w:rsidRPr="009E686F">
              <w:rPr>
                <w:rFonts w:ascii="Times New Roman" w:hAnsi="Times New Roman" w:cs="Times New Roman"/>
                <w:lang w:val="it-CH"/>
              </w:rPr>
              <w:t xml:space="preserve">Banca Naţională a Moldovei stabileşte prin actele sale normative măsurile de conservare a capitalului, care includ, fără a se limita la acestea, impunerea restricţiilor, </w:t>
            </w:r>
            <w:r w:rsidRPr="009E686F">
              <w:rPr>
                <w:rFonts w:ascii="Times New Roman" w:hAnsi="Times New Roman" w:cs="Times New Roman"/>
                <w:i/>
                <w:iCs/>
                <w:lang w:val="it-CH"/>
              </w:rPr>
              <w:t>necesitatea notificării</w:t>
            </w:r>
            <w:r w:rsidRPr="009E686F">
              <w:rPr>
                <w:rFonts w:ascii="Times New Roman" w:hAnsi="Times New Roman" w:cs="Times New Roman"/>
                <w:lang w:val="it-CH"/>
              </w:rPr>
              <w:t xml:space="preserve"> Băncii Naţionale a Moldovei privind distribuirile şi </w:t>
            </w:r>
            <w:r w:rsidRPr="009E686F">
              <w:rPr>
                <w:rFonts w:ascii="Times New Roman" w:hAnsi="Times New Roman" w:cs="Times New Roman"/>
                <w:lang w:val="it-CH"/>
              </w:rPr>
              <w:lastRenderedPageBreak/>
              <w:t>obligaţia de a prezenta spre aprobare un plan de conservare a capitalului</w:t>
            </w:r>
            <w:r w:rsidRPr="009E686F">
              <w:rPr>
                <w:rFonts w:ascii="Times New Roman" w:hAnsi="Times New Roman" w:cs="Times New Roman"/>
                <w:b/>
                <w:lang w:val="ro-RO"/>
              </w:rPr>
              <w:t xml:space="preserve"> </w:t>
            </w:r>
          </w:p>
          <w:p w14:paraId="00B11845" w14:textId="15C68257"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b/>
                <w:lang w:val="ro-RO"/>
              </w:rPr>
              <w:t>Pct. 104 și 105 din Regulamentul cu privire la amortizoarele de capital ale băncilor, aprobat prin HCE nr.110/2018</w:t>
            </w:r>
          </w:p>
          <w:p w14:paraId="24FCCE02" w14:textId="77777777"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lang w:val="ro-MD"/>
              </w:rPr>
              <w:t>Secțiunea a 4-a. Planul de conservare a capitalului</w:t>
            </w:r>
          </w:p>
          <w:p w14:paraId="1177EC63" w14:textId="177B03D7" w:rsidR="00984B34" w:rsidRPr="009E686F" w:rsidRDefault="00984B34" w:rsidP="00984B34">
            <w:pPr>
              <w:pStyle w:val="CM4"/>
              <w:contextualSpacing/>
              <w:jc w:val="both"/>
              <w:rPr>
                <w:rFonts w:ascii="Times New Roman" w:hAnsi="Times New Roman"/>
                <w:sz w:val="22"/>
                <w:szCs w:val="22"/>
                <w:lang w:val="ro-MD"/>
              </w:rPr>
            </w:pPr>
            <w:r w:rsidRPr="009E686F">
              <w:rPr>
                <w:rFonts w:ascii="Times New Roman" w:hAnsi="Times New Roman"/>
                <w:b/>
                <w:bCs/>
                <w:sz w:val="22"/>
                <w:szCs w:val="22"/>
                <w:lang w:val="ro-MD"/>
              </w:rPr>
              <w:t>104.</w:t>
            </w:r>
            <w:r w:rsidRPr="009E686F">
              <w:rPr>
                <w:rFonts w:ascii="Times New Roman" w:hAnsi="Times New Roman"/>
                <w:sz w:val="22"/>
                <w:szCs w:val="22"/>
                <w:lang w:val="ro-MD"/>
              </w:rPr>
              <w:t xml:space="preserve"> În cazul în care o bancă nu îndeplineşte cerinţa amortizorului combinat, suplimentar la cerinţele prevăzute la secţiunea a 2-a din prezentul capitol, aceasta întocmeşte şi transmite spre aprobare prealabilă Băncii Naţionale a Moldovei un plan de conservare a capitalului, aprobat de consiliul băncii.</w:t>
            </w:r>
          </w:p>
          <w:p w14:paraId="30CF97F7" w14:textId="01A8370C"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b/>
                <w:bCs/>
                <w:lang w:val="ro-MD"/>
              </w:rPr>
              <w:t>105.</w:t>
            </w:r>
            <w:r w:rsidRPr="009E686F">
              <w:rPr>
                <w:rFonts w:ascii="Times New Roman" w:hAnsi="Times New Roman" w:cs="Times New Roman"/>
                <w:lang w:val="ro-MD"/>
              </w:rPr>
              <w:t xml:space="preserve"> Planul de conservare a capitalului se prezintă Băncii Naţionale a Moldovei în termen de cel mult 5 zile lucrătoare de la data la care a constatat că nu îndeplineşte cerinţa menţionată, cu excepţia cazului în care Banca Naţională a Moldovei, ca urmare a unei cereri din partea băncii cu motivele de rigoare, a autorizat un termen mai lung de până la 10 zile lucrătoare.</w:t>
            </w:r>
          </w:p>
        </w:tc>
        <w:tc>
          <w:tcPr>
            <w:tcW w:w="470" w:type="pct"/>
            <w:tcBorders>
              <w:left w:val="single" w:sz="4" w:space="0" w:color="auto"/>
              <w:bottom w:val="single" w:sz="4" w:space="0" w:color="auto"/>
              <w:right w:val="single" w:sz="4" w:space="0" w:color="auto"/>
            </w:tcBorders>
          </w:tcPr>
          <w:p w14:paraId="2705A5FD" w14:textId="5D586962"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1EBDAAC9" w14:textId="1088ABD9" w:rsidR="00984B34" w:rsidRPr="009E686F" w:rsidRDefault="00984B34" w:rsidP="00984B34">
            <w:pPr>
              <w:jc w:val="both"/>
              <w:rPr>
                <w:rFonts w:ascii="Times New Roman" w:hAnsi="Times New Roman" w:cs="Times New Roman"/>
                <w:lang w:val="ro-RO"/>
              </w:rPr>
            </w:pPr>
          </w:p>
        </w:tc>
      </w:tr>
      <w:tr w:rsidR="00984B34" w:rsidRPr="009E686F" w14:paraId="301FDD35" w14:textId="77777777" w:rsidTr="00774F3E">
        <w:tc>
          <w:tcPr>
            <w:tcW w:w="1796" w:type="pct"/>
            <w:gridSpan w:val="2"/>
            <w:tcBorders>
              <w:left w:val="single" w:sz="4" w:space="0" w:color="auto"/>
              <w:bottom w:val="single" w:sz="4" w:space="0" w:color="auto"/>
              <w:right w:val="single" w:sz="4" w:space="0" w:color="auto"/>
            </w:tcBorders>
          </w:tcPr>
          <w:p w14:paraId="6AFBBE8C" w14:textId="55977DCC" w:rsidR="00984B34" w:rsidRPr="009E686F" w:rsidRDefault="00984B34" w:rsidP="00984B34">
            <w:pPr>
              <w:spacing w:after="0"/>
              <w:jc w:val="both"/>
              <w:rPr>
                <w:rFonts w:ascii="Times New Roman" w:hAnsi="Times New Roman" w:cs="Times New Roman"/>
                <w:i/>
                <w:iCs/>
                <w:lang w:val="ro-RO"/>
              </w:rPr>
            </w:pPr>
            <w:r w:rsidRPr="009E686F">
              <w:rPr>
                <w:rFonts w:ascii="Times New Roman" w:hAnsi="Times New Roman" w:cs="Times New Roman"/>
                <w:lang w:val="ro-RO"/>
              </w:rPr>
              <w:t xml:space="preserve">Autoritățile competente acordă astfel de autorizații doar în baza situației individuale a unei </w:t>
            </w:r>
            <w:r w:rsidRPr="009E686F">
              <w:rPr>
                <w:rFonts w:ascii="Times New Roman" w:hAnsi="Times New Roman" w:cs="Times New Roman"/>
                <w:i/>
                <w:iCs/>
                <w:lang w:val="ro-RO"/>
              </w:rPr>
              <w:t>instituții de credit</w:t>
            </w:r>
            <w:r w:rsidRPr="009E686F">
              <w:rPr>
                <w:rFonts w:ascii="Times New Roman" w:hAnsi="Times New Roman" w:cs="Times New Roman"/>
                <w:lang w:val="ro-RO"/>
              </w:rPr>
              <w:t xml:space="preserve"> și ținând seama de scala și complexitatea activităților instituției.</w:t>
            </w:r>
          </w:p>
        </w:tc>
        <w:tc>
          <w:tcPr>
            <w:tcW w:w="1928" w:type="pct"/>
            <w:gridSpan w:val="3"/>
            <w:tcBorders>
              <w:left w:val="single" w:sz="4" w:space="0" w:color="auto"/>
              <w:bottom w:val="single" w:sz="4" w:space="0" w:color="auto"/>
              <w:right w:val="single" w:sz="4" w:space="0" w:color="auto"/>
            </w:tcBorders>
          </w:tcPr>
          <w:p w14:paraId="6E5B48F2" w14:textId="09B3B7C2"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b/>
                <w:lang w:val="ro-RO"/>
              </w:rPr>
              <w:t>Pct. 106 din Regulamentul cu privire la amortizoarele de capital ale băncilor, aprobat prin HCE nr.110/2018</w:t>
            </w:r>
          </w:p>
          <w:p w14:paraId="56C9EDF4" w14:textId="488ECEEF"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b/>
                <w:bCs/>
                <w:lang w:val="ro-MD"/>
              </w:rPr>
              <w:t>106.</w:t>
            </w:r>
            <w:r w:rsidRPr="009E686F">
              <w:rPr>
                <w:rFonts w:ascii="Times New Roman" w:hAnsi="Times New Roman" w:cs="Times New Roman"/>
                <w:lang w:val="ro-MD"/>
              </w:rPr>
              <w:t xml:space="preserve"> Banca Naţională a Moldovei autorizează, print-o scrisoare, termenul mai lung de prezentare a planului de conservare doar în baza situaţiei individuale a unei bănci şi ţinând seama de amploarea şi complexitatea activităţilor băncii.</w:t>
            </w:r>
          </w:p>
        </w:tc>
        <w:tc>
          <w:tcPr>
            <w:tcW w:w="470" w:type="pct"/>
            <w:tcBorders>
              <w:left w:val="single" w:sz="4" w:space="0" w:color="auto"/>
              <w:bottom w:val="single" w:sz="4" w:space="0" w:color="auto"/>
              <w:right w:val="single" w:sz="4" w:space="0" w:color="auto"/>
            </w:tcBorders>
          </w:tcPr>
          <w:p w14:paraId="1BBA9577" w14:textId="601F411C"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 xml:space="preserve">Compatibil </w:t>
            </w:r>
          </w:p>
        </w:tc>
        <w:tc>
          <w:tcPr>
            <w:tcW w:w="806" w:type="pct"/>
            <w:tcBorders>
              <w:top w:val="single" w:sz="4" w:space="0" w:color="auto"/>
              <w:left w:val="single" w:sz="4" w:space="0" w:color="auto"/>
              <w:bottom w:val="single" w:sz="4" w:space="0" w:color="auto"/>
              <w:right w:val="single" w:sz="4" w:space="0" w:color="auto"/>
            </w:tcBorders>
          </w:tcPr>
          <w:p w14:paraId="6004B851" w14:textId="77777777" w:rsidR="00984B34" w:rsidRPr="009E686F" w:rsidRDefault="00984B34" w:rsidP="00984B34">
            <w:pPr>
              <w:jc w:val="both"/>
              <w:rPr>
                <w:rFonts w:ascii="Times New Roman" w:hAnsi="Times New Roman" w:cs="Times New Roman"/>
                <w:lang w:val="ro-RO"/>
              </w:rPr>
            </w:pPr>
          </w:p>
        </w:tc>
      </w:tr>
      <w:tr w:rsidR="00984B34" w:rsidRPr="009E686F" w14:paraId="77EE9A7E" w14:textId="072E2685" w:rsidTr="00774F3E">
        <w:tc>
          <w:tcPr>
            <w:tcW w:w="1796" w:type="pct"/>
            <w:gridSpan w:val="2"/>
            <w:tcBorders>
              <w:top w:val="single" w:sz="4" w:space="0" w:color="auto"/>
              <w:left w:val="single" w:sz="4" w:space="0" w:color="auto"/>
              <w:bottom w:val="single" w:sz="4" w:space="0" w:color="auto"/>
              <w:right w:val="single" w:sz="4" w:space="0" w:color="auto"/>
            </w:tcBorders>
          </w:tcPr>
          <w:p w14:paraId="522E5BD0" w14:textId="5475D34E"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(2) Planul de conservare a capitalului include următoarele:</w:t>
            </w:r>
          </w:p>
          <w:p w14:paraId="290E244F" w14:textId="77777777" w:rsidR="00984B34" w:rsidRPr="009E686F" w:rsidRDefault="00984B34" w:rsidP="00984B34">
            <w:pPr>
              <w:spacing w:after="0"/>
              <w:jc w:val="both"/>
              <w:rPr>
                <w:rFonts w:ascii="Times New Roman" w:hAnsi="Times New Roman" w:cs="Times New Roman"/>
                <w:lang w:val="ro-RO"/>
              </w:rPr>
            </w:pPr>
          </w:p>
          <w:p w14:paraId="1366B7BA" w14:textId="55D4B0B8"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(a)  estimări ale veniturilor și cheltuielilor și un bilanț previzional;</w:t>
            </w:r>
          </w:p>
          <w:p w14:paraId="19633675" w14:textId="77777777" w:rsidR="00984B34" w:rsidRPr="009E686F" w:rsidRDefault="00984B34" w:rsidP="00984B34">
            <w:pPr>
              <w:spacing w:after="0"/>
              <w:jc w:val="both"/>
              <w:rPr>
                <w:rFonts w:ascii="Times New Roman" w:hAnsi="Times New Roman" w:cs="Times New Roman"/>
                <w:lang w:val="ro-RO"/>
              </w:rPr>
            </w:pPr>
          </w:p>
          <w:p w14:paraId="7D34DB01" w14:textId="6C756A4B"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(b) măsuri de creștere a ratei de capital a instituției;</w:t>
            </w:r>
          </w:p>
          <w:p w14:paraId="3FCDB70B" w14:textId="77777777" w:rsidR="00984B34" w:rsidRPr="009E686F" w:rsidRDefault="00984B34" w:rsidP="00984B34">
            <w:pPr>
              <w:spacing w:after="0"/>
              <w:jc w:val="both"/>
              <w:rPr>
                <w:rFonts w:ascii="Times New Roman" w:hAnsi="Times New Roman" w:cs="Times New Roman"/>
                <w:lang w:val="ro-RO"/>
              </w:rPr>
            </w:pPr>
          </w:p>
          <w:p w14:paraId="2FC0998A" w14:textId="149558EC"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(c) un plan și un calendar pentru majorarea fondurilor proprii în vederea îndeplinirii pe deplin a cerinței </w:t>
            </w:r>
            <w:r w:rsidRPr="009E686F">
              <w:rPr>
                <w:rFonts w:ascii="Times New Roman" w:hAnsi="Times New Roman" w:cs="Times New Roman"/>
                <w:lang w:val="ro-RO"/>
              </w:rPr>
              <w:lastRenderedPageBreak/>
              <w:t>amortizorului combinat sau, după caz, a cerinței amortizorului pentru indicatorul efectului de levier;</w:t>
            </w:r>
          </w:p>
          <w:p w14:paraId="18AE2C9F" w14:textId="77777777" w:rsidR="00984B34" w:rsidRPr="009E686F" w:rsidRDefault="00984B34" w:rsidP="00984B34">
            <w:pPr>
              <w:spacing w:after="0"/>
              <w:jc w:val="both"/>
              <w:rPr>
                <w:rFonts w:ascii="Times New Roman" w:hAnsi="Times New Roman" w:cs="Times New Roman"/>
                <w:lang w:val="ro-RO"/>
              </w:rPr>
            </w:pPr>
          </w:p>
          <w:p w14:paraId="51FCE7B4" w14:textId="62C7B1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(d) orice alte informații pe care autoritatea competentă le consideră necesare pentru a realiza evaluarea prevăzută la alineatul (3).</w:t>
            </w:r>
          </w:p>
        </w:tc>
        <w:tc>
          <w:tcPr>
            <w:tcW w:w="1928" w:type="pct"/>
            <w:gridSpan w:val="3"/>
            <w:tcBorders>
              <w:top w:val="single" w:sz="4" w:space="0" w:color="auto"/>
              <w:left w:val="single" w:sz="4" w:space="0" w:color="auto"/>
              <w:bottom w:val="single" w:sz="4" w:space="0" w:color="auto"/>
              <w:right w:val="single" w:sz="4" w:space="0" w:color="auto"/>
            </w:tcBorders>
          </w:tcPr>
          <w:p w14:paraId="2E71A650" w14:textId="2B05A914"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b/>
                <w:lang w:val="ro-RO"/>
              </w:rPr>
              <w:lastRenderedPageBreak/>
              <w:t>Pct. 107 din Regulamentul cu privire la amortizoarele de capital ale băncilor, aprobat prin HCE nr.110/2018</w:t>
            </w:r>
          </w:p>
          <w:p w14:paraId="6780AC69" w14:textId="77777777" w:rsidR="00984B34" w:rsidRPr="009E686F" w:rsidRDefault="00984B34" w:rsidP="00984B34">
            <w:pPr>
              <w:pStyle w:val="CM4"/>
              <w:contextualSpacing/>
              <w:jc w:val="both"/>
              <w:rPr>
                <w:rFonts w:ascii="Times New Roman" w:hAnsi="Times New Roman"/>
                <w:sz w:val="22"/>
                <w:szCs w:val="22"/>
                <w:lang w:val="ro-MD"/>
              </w:rPr>
            </w:pPr>
            <w:r w:rsidRPr="009E686F">
              <w:rPr>
                <w:rFonts w:ascii="Times New Roman" w:hAnsi="Times New Roman"/>
                <w:b/>
                <w:bCs/>
                <w:sz w:val="22"/>
                <w:szCs w:val="22"/>
                <w:lang w:val="ro-MD"/>
              </w:rPr>
              <w:t>107.</w:t>
            </w:r>
            <w:r w:rsidRPr="009E686F">
              <w:rPr>
                <w:rFonts w:ascii="Times New Roman" w:hAnsi="Times New Roman"/>
                <w:sz w:val="22"/>
                <w:szCs w:val="22"/>
                <w:lang w:val="ro-MD"/>
              </w:rPr>
              <w:t xml:space="preserve"> Planul de conservare a capitalului prezentat de către bancă va include cel puțin următoarele: </w:t>
            </w:r>
          </w:p>
          <w:p w14:paraId="4E63161B" w14:textId="77777777" w:rsidR="00984B34" w:rsidRPr="009E686F" w:rsidRDefault="00984B34" w:rsidP="00984B34">
            <w:pPr>
              <w:pStyle w:val="CM4"/>
              <w:contextualSpacing/>
              <w:jc w:val="both"/>
              <w:rPr>
                <w:rFonts w:ascii="Times New Roman" w:hAnsi="Times New Roman"/>
                <w:sz w:val="22"/>
                <w:szCs w:val="22"/>
                <w:lang w:val="ro-MD"/>
              </w:rPr>
            </w:pPr>
            <w:r w:rsidRPr="009E686F">
              <w:rPr>
                <w:rFonts w:ascii="Times New Roman" w:hAnsi="Times New Roman"/>
                <w:sz w:val="22"/>
                <w:szCs w:val="22"/>
                <w:lang w:val="ro-MD"/>
              </w:rPr>
              <w:t xml:space="preserve">1) estimări ale veniturilor și cheltuielilor, ale reducerilor pentru pierderi la active şi angajamente condiționale, precum și un bilanț previzional; </w:t>
            </w:r>
          </w:p>
          <w:p w14:paraId="4A53DB1B" w14:textId="77777777" w:rsidR="00984B34" w:rsidRPr="009E686F" w:rsidRDefault="00984B34" w:rsidP="00984B34">
            <w:pPr>
              <w:pStyle w:val="CM4"/>
              <w:contextualSpacing/>
              <w:jc w:val="both"/>
              <w:rPr>
                <w:rFonts w:ascii="Times New Roman" w:hAnsi="Times New Roman"/>
                <w:sz w:val="22"/>
                <w:szCs w:val="22"/>
                <w:lang w:val="ro-MD"/>
              </w:rPr>
            </w:pPr>
            <w:r w:rsidRPr="009E686F">
              <w:rPr>
                <w:rFonts w:ascii="Times New Roman" w:hAnsi="Times New Roman"/>
                <w:sz w:val="22"/>
                <w:szCs w:val="22"/>
                <w:lang w:val="ro-MD"/>
              </w:rPr>
              <w:t xml:space="preserve">2) măsuri de creștere a ratelor de capital al băncii; </w:t>
            </w:r>
          </w:p>
          <w:p w14:paraId="0E0977B9" w14:textId="77777777" w:rsidR="00984B34" w:rsidRPr="009E686F" w:rsidRDefault="00984B34" w:rsidP="00984B34">
            <w:pPr>
              <w:pStyle w:val="CM4"/>
              <w:contextualSpacing/>
              <w:jc w:val="both"/>
              <w:rPr>
                <w:rFonts w:ascii="Times New Roman" w:hAnsi="Times New Roman"/>
                <w:sz w:val="22"/>
                <w:szCs w:val="22"/>
                <w:lang w:val="ro-MD"/>
              </w:rPr>
            </w:pPr>
            <w:r w:rsidRPr="009E686F">
              <w:rPr>
                <w:rFonts w:ascii="Times New Roman" w:hAnsi="Times New Roman"/>
                <w:sz w:val="22"/>
                <w:szCs w:val="22"/>
                <w:lang w:val="ro-MD"/>
              </w:rPr>
              <w:t xml:space="preserve">3) un plan și un calendar pentru majorarea fondurilor proprii în vederea îndeplinirii pe deplin a cerinței amortizorului combinat;  </w:t>
            </w:r>
          </w:p>
          <w:p w14:paraId="5485265E" w14:textId="59FD6819" w:rsidR="00984B34" w:rsidRPr="009E686F" w:rsidRDefault="00984B34" w:rsidP="00984B34">
            <w:pPr>
              <w:spacing w:after="0"/>
              <w:jc w:val="both"/>
              <w:rPr>
                <w:rFonts w:ascii="Times New Roman" w:hAnsi="Times New Roman" w:cs="Times New Roman"/>
                <w:lang w:val="ro-MD"/>
              </w:rPr>
            </w:pPr>
            <w:bookmarkStart w:id="46" w:name="_Ref499828721"/>
            <w:r w:rsidRPr="009E686F">
              <w:rPr>
                <w:rFonts w:ascii="Times New Roman" w:hAnsi="Times New Roman" w:cs="Times New Roman"/>
                <w:b/>
                <w:bCs/>
                <w:lang w:val="ro-MD"/>
              </w:rPr>
              <w:lastRenderedPageBreak/>
              <w:t>108.</w:t>
            </w:r>
            <w:r w:rsidRPr="009E686F">
              <w:rPr>
                <w:rFonts w:ascii="Times New Roman" w:hAnsi="Times New Roman" w:cs="Times New Roman"/>
                <w:lang w:val="ro-MD"/>
              </w:rPr>
              <w:t xml:space="preserve"> În procesul de evaluare a planului de conservare a capitalului, Banca Națională a Moldovei poate solicita orice alte informații pe care le consideră necesare pentru a realiza evaluarea prevăzută la punctul 109. Solicitarea se efectuează  în scris cu indicarea informațiilor necesare și a termenelor de prezentare a acestora.</w:t>
            </w:r>
            <w:bookmarkEnd w:id="46"/>
            <w:r w:rsidRPr="009E686F">
              <w:rPr>
                <w:rFonts w:ascii="Times New Roman" w:hAnsi="Times New Roman" w:cs="Times New Roman"/>
                <w:lang w:val="ro-MD"/>
              </w:rPr>
              <w:t xml:space="preserve"> Termenul de evaluare, prevăzut la punctul 109 se suspenda până la prezentarea informației solicitate.</w:t>
            </w:r>
          </w:p>
        </w:tc>
        <w:tc>
          <w:tcPr>
            <w:tcW w:w="470" w:type="pct"/>
            <w:tcBorders>
              <w:top w:val="single" w:sz="4" w:space="0" w:color="auto"/>
              <w:left w:val="single" w:sz="4" w:space="0" w:color="auto"/>
              <w:bottom w:val="single" w:sz="4" w:space="0" w:color="auto"/>
              <w:right w:val="single" w:sz="4" w:space="0" w:color="auto"/>
            </w:tcBorders>
          </w:tcPr>
          <w:p w14:paraId="131DC3D6" w14:textId="5A8E5182"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lastRenderedPageBreak/>
              <w:t>Parțial compatibil</w:t>
            </w:r>
          </w:p>
        </w:tc>
        <w:tc>
          <w:tcPr>
            <w:tcW w:w="806" w:type="pct"/>
            <w:tcBorders>
              <w:top w:val="single" w:sz="4" w:space="0" w:color="auto"/>
              <w:left w:val="single" w:sz="4" w:space="0" w:color="auto"/>
              <w:bottom w:val="single" w:sz="4" w:space="0" w:color="auto"/>
              <w:right w:val="single" w:sz="4" w:space="0" w:color="auto"/>
            </w:tcBorders>
          </w:tcPr>
          <w:p w14:paraId="1EA403C3" w14:textId="2382A689"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Prevederile se vor transpune integral prin proiectul de modificare a Regulamentului cu privire la amortizoarele de capital ale băncilor, aprobat prin HCE nr. 110/2018</w:t>
            </w:r>
            <w:r w:rsidR="0008435A" w:rsidRPr="009E686F">
              <w:rPr>
                <w:rFonts w:ascii="Times New Roman" w:hAnsi="Times New Roman" w:cs="Times New Roman"/>
                <w:lang w:val="ro-RO"/>
              </w:rPr>
              <w:t xml:space="preserve"> (</w:t>
            </w:r>
            <w:r w:rsidR="0008435A" w:rsidRPr="009E686F">
              <w:rPr>
                <w:rFonts w:ascii="Times New Roman" w:eastAsia="Times New Roman" w:hAnsi="Times New Roman" w:cs="Times New Roman"/>
                <w:bCs/>
                <w:lang w:val="it-CH" w:eastAsia="ru-RU"/>
              </w:rPr>
              <w:t>acțiunea normativă nr. 3 din Anexa A din PNA 2025-</w:t>
            </w:r>
            <w:r w:rsidR="0008435A" w:rsidRPr="009E686F">
              <w:rPr>
                <w:rFonts w:ascii="Times New Roman" w:eastAsia="Times New Roman" w:hAnsi="Times New Roman" w:cs="Times New Roman"/>
                <w:bCs/>
                <w:lang w:val="it-CH" w:eastAsia="ru-RU"/>
              </w:rPr>
              <w:lastRenderedPageBreak/>
              <w:t>2029 aferentă Capitolului 9 “Servicii financiare” în legătură cu transpunerea Directivei 2013/36/UE).</w:t>
            </w:r>
          </w:p>
        </w:tc>
      </w:tr>
      <w:tr w:rsidR="00984B34" w:rsidRPr="009E686F" w14:paraId="0C88B951" w14:textId="4313C867" w:rsidTr="00774F3E">
        <w:tc>
          <w:tcPr>
            <w:tcW w:w="1796" w:type="pct"/>
            <w:gridSpan w:val="2"/>
            <w:tcBorders>
              <w:top w:val="single" w:sz="4" w:space="0" w:color="auto"/>
              <w:left w:val="single" w:sz="4" w:space="0" w:color="auto"/>
              <w:bottom w:val="single" w:sz="4" w:space="0" w:color="auto"/>
              <w:right w:val="single" w:sz="4" w:space="0" w:color="auto"/>
            </w:tcBorders>
          </w:tcPr>
          <w:p w14:paraId="41D23A8A" w14:textId="5BA37403" w:rsidR="00984B34" w:rsidRPr="009E686F" w:rsidRDefault="00984B34" w:rsidP="00984B34">
            <w:pPr>
              <w:spacing w:after="0"/>
              <w:jc w:val="both"/>
              <w:rPr>
                <w:rFonts w:ascii="Times New Roman" w:hAnsi="Times New Roman" w:cs="Times New Roman"/>
                <w:lang w:val="ro-RO"/>
              </w:rPr>
            </w:pPr>
          </w:p>
          <w:p w14:paraId="04D7DC15" w14:textId="12723119"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(3) Autoritatea competentă evaluează planul de conservare a capitalului și îl aprobă doar dacă consideră că este probabil, în mod rezonabil, ca punerea sa în aplicare să conducă la conservarea sau majorarea unui capital suficient, care să îi permită instituției să îndeplinească cerința de amortizor combinat sau, după caz, cerința amortizorului pentru indicatorul efectului de levier într-un termen pe care autoritatea competentă îl consideră adecvat.</w:t>
            </w:r>
          </w:p>
        </w:tc>
        <w:tc>
          <w:tcPr>
            <w:tcW w:w="1928" w:type="pct"/>
            <w:gridSpan w:val="3"/>
            <w:tcBorders>
              <w:top w:val="single" w:sz="4" w:space="0" w:color="auto"/>
              <w:left w:val="single" w:sz="4" w:space="0" w:color="auto"/>
              <w:bottom w:val="single" w:sz="4" w:space="0" w:color="auto"/>
              <w:right w:val="single" w:sz="4" w:space="0" w:color="auto"/>
            </w:tcBorders>
          </w:tcPr>
          <w:p w14:paraId="779A8756" w14:textId="4AF01D40"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b/>
                <w:lang w:val="ro-RO"/>
              </w:rPr>
              <w:t>Pct. 109 din Regulamentul cu privire la amortizoarele de capital ale băncilor, aprobat prin HCE nr.110/2018</w:t>
            </w:r>
          </w:p>
          <w:p w14:paraId="1A7FFC82" w14:textId="2CA06691" w:rsidR="00984B34" w:rsidRPr="009E686F" w:rsidRDefault="00984B34" w:rsidP="00984B34">
            <w:pPr>
              <w:spacing w:after="0"/>
              <w:jc w:val="both"/>
              <w:rPr>
                <w:rFonts w:ascii="Times New Roman" w:hAnsi="Times New Roman" w:cs="Times New Roman"/>
                <w:lang w:val="ro-MD"/>
              </w:rPr>
            </w:pPr>
            <w:r w:rsidRPr="009E686F">
              <w:rPr>
                <w:rFonts w:ascii="Times New Roman" w:hAnsi="Times New Roman" w:cs="Times New Roman"/>
                <w:b/>
                <w:bCs/>
                <w:lang w:val="ro-MD"/>
              </w:rPr>
              <w:t>109.</w:t>
            </w:r>
            <w:r w:rsidRPr="009E686F">
              <w:rPr>
                <w:rFonts w:ascii="Times New Roman" w:hAnsi="Times New Roman" w:cs="Times New Roman"/>
                <w:lang w:val="ro-MD"/>
              </w:rPr>
              <w:t xml:space="preserve"> </w:t>
            </w:r>
            <w:bookmarkStart w:id="47" w:name="_Ref499723170"/>
            <w:r w:rsidRPr="009E686F">
              <w:rPr>
                <w:rFonts w:ascii="Times New Roman" w:hAnsi="Times New Roman" w:cs="Times New Roman"/>
                <w:lang w:val="ro-MD"/>
              </w:rPr>
              <w:t>Banca Națională a Moldovei evaluează planul de conservare a capitalului prezentat de bancă și îl aprobă doar dacă consideră că realizarea acestuia poate conduce la menținerea sau majorarea capitalului la un nivel suficient, care să permită băncii să îndeplinească cerința amortizorului combinat într-un termen pe care Banca Națională a Moldovei îl consideră adecvat. Evaluarea se efectuează în termen de 15 zile lucrătoare de la data primirii planului de conservare care va conține toată informația indicată la punctul 107 subpunctele 1)-3) și punctul 108.</w:t>
            </w:r>
            <w:bookmarkEnd w:id="47"/>
            <w:r w:rsidRPr="009E686F">
              <w:rPr>
                <w:rFonts w:ascii="Times New Roman" w:hAnsi="Times New Roman" w:cs="Times New Roman"/>
                <w:lang w:val="ro-MD"/>
              </w:rPr>
              <w:t xml:space="preserve"> În cazul solicitării informației suplimentare de la bancă, Banca Națională a Moldovei poate prelungi termenul de examinare a planului menționat cu 10 zile.</w:t>
            </w:r>
          </w:p>
        </w:tc>
        <w:tc>
          <w:tcPr>
            <w:tcW w:w="470" w:type="pct"/>
            <w:tcBorders>
              <w:top w:val="single" w:sz="4" w:space="0" w:color="auto"/>
              <w:left w:val="single" w:sz="4" w:space="0" w:color="auto"/>
              <w:bottom w:val="single" w:sz="4" w:space="0" w:color="auto"/>
              <w:right w:val="single" w:sz="4" w:space="0" w:color="auto"/>
            </w:tcBorders>
          </w:tcPr>
          <w:p w14:paraId="3B06BCE0" w14:textId="6CDC0CBB"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Parțial compatibil</w:t>
            </w:r>
          </w:p>
        </w:tc>
        <w:tc>
          <w:tcPr>
            <w:tcW w:w="806" w:type="pct"/>
            <w:tcBorders>
              <w:top w:val="single" w:sz="4" w:space="0" w:color="auto"/>
              <w:left w:val="single" w:sz="4" w:space="0" w:color="auto"/>
              <w:bottom w:val="single" w:sz="4" w:space="0" w:color="auto"/>
              <w:right w:val="single" w:sz="4" w:space="0" w:color="auto"/>
            </w:tcBorders>
          </w:tcPr>
          <w:p w14:paraId="661C12C8" w14:textId="44A939A8"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Prevederile se vor transpune integral prin proiectul de modificare a Regulamentului cu privire la amortizoarele de capital ale băncilor, aprobat prin HCE nr. 110/2018</w:t>
            </w:r>
            <w:r w:rsidR="0008435A" w:rsidRPr="009E686F">
              <w:rPr>
                <w:rFonts w:ascii="Times New Roman" w:hAnsi="Times New Roman" w:cs="Times New Roman"/>
                <w:lang w:val="ro-RO"/>
              </w:rPr>
              <w:t xml:space="preserve"> (</w:t>
            </w:r>
            <w:r w:rsidR="0008435A" w:rsidRPr="009E686F">
              <w:rPr>
                <w:rFonts w:ascii="Times New Roman" w:eastAsia="Times New Roman" w:hAnsi="Times New Roman" w:cs="Times New Roman"/>
                <w:bCs/>
                <w:lang w:val="it-CH" w:eastAsia="ru-RU"/>
              </w:rPr>
              <w:t>acțiunea normativă nr. 3 din Anexa A din PNA 2025-2029 aferentă Capitolului 9 “Servicii financiare” în legătură cu transpunerea Directivei 2013/36/UE).</w:t>
            </w:r>
          </w:p>
        </w:tc>
      </w:tr>
      <w:tr w:rsidR="00984B34" w:rsidRPr="009E686F" w14:paraId="65745B08" w14:textId="25EA3110" w:rsidTr="00774F3E">
        <w:tc>
          <w:tcPr>
            <w:tcW w:w="1796" w:type="pct"/>
            <w:gridSpan w:val="2"/>
            <w:tcBorders>
              <w:top w:val="single" w:sz="4" w:space="0" w:color="auto"/>
              <w:left w:val="single" w:sz="4" w:space="0" w:color="auto"/>
              <w:bottom w:val="single" w:sz="4" w:space="0" w:color="auto"/>
              <w:right w:val="single" w:sz="4" w:space="0" w:color="auto"/>
            </w:tcBorders>
          </w:tcPr>
          <w:p w14:paraId="10393775" w14:textId="0D0B0CA2"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(4) Dacă autoritatea competentă nu aprobă planul de conservare a capitalului în conformitate cu alineatul (3), aceasta aplică una dintre măsurile de mai jos sau pe amândouă:</w:t>
            </w:r>
          </w:p>
          <w:p w14:paraId="7E1141C4" w14:textId="77777777" w:rsidR="00984B34" w:rsidRPr="009E686F" w:rsidRDefault="00984B34" w:rsidP="00984B34">
            <w:pPr>
              <w:pStyle w:val="CM4"/>
              <w:contextualSpacing/>
              <w:jc w:val="both"/>
              <w:rPr>
                <w:rFonts w:ascii="Times New Roman" w:hAnsi="Times New Roman"/>
                <w:sz w:val="22"/>
                <w:szCs w:val="22"/>
                <w:lang w:val="ro-MD"/>
              </w:rPr>
            </w:pPr>
            <w:r w:rsidRPr="009E686F">
              <w:rPr>
                <w:rFonts w:ascii="Times New Roman" w:hAnsi="Times New Roman"/>
                <w:sz w:val="22"/>
                <w:szCs w:val="22"/>
                <w:lang w:val="ro-MD"/>
              </w:rPr>
              <w:t xml:space="preserve">(a) cere instituției să-și majoreze fondurile proprii până la un anumit nivel, urmând un calendar precis; </w:t>
            </w:r>
          </w:p>
          <w:p w14:paraId="5F521C15" w14:textId="77777777" w:rsidR="00984B34" w:rsidRPr="009E686F" w:rsidRDefault="00984B34" w:rsidP="00984B34">
            <w:pPr>
              <w:spacing w:after="0"/>
              <w:rPr>
                <w:rFonts w:ascii="Times New Roman" w:hAnsi="Times New Roman" w:cs="Times New Roman"/>
                <w:lang w:val="ro-MD"/>
              </w:rPr>
            </w:pPr>
          </w:p>
          <w:p w14:paraId="712C96FE" w14:textId="3C5855B1" w:rsidR="00984B34" w:rsidRPr="009E686F" w:rsidRDefault="00984B34" w:rsidP="00984B34">
            <w:pPr>
              <w:spacing w:after="0"/>
              <w:jc w:val="both"/>
              <w:rPr>
                <w:rFonts w:ascii="Times New Roman" w:hAnsi="Times New Roman" w:cs="Times New Roman"/>
                <w:lang w:val="ro-MD"/>
              </w:rPr>
            </w:pPr>
            <w:r w:rsidRPr="009E686F">
              <w:rPr>
                <w:rFonts w:ascii="Times New Roman" w:hAnsi="Times New Roman" w:cs="Times New Roman"/>
                <w:lang w:val="ro-MD"/>
              </w:rPr>
              <w:lastRenderedPageBreak/>
              <w:t>(b) își exercită competențele prevăzute la articolul 102 pentru a aplica restricții privind distribuirile mai stricte decât cele prevăzute la articolele 141 și 141b, după caz.</w:t>
            </w:r>
          </w:p>
        </w:tc>
        <w:tc>
          <w:tcPr>
            <w:tcW w:w="1928" w:type="pct"/>
            <w:gridSpan w:val="3"/>
            <w:tcBorders>
              <w:top w:val="single" w:sz="4" w:space="0" w:color="auto"/>
              <w:left w:val="single" w:sz="4" w:space="0" w:color="auto"/>
              <w:bottom w:val="single" w:sz="4" w:space="0" w:color="auto"/>
              <w:right w:val="single" w:sz="4" w:space="0" w:color="auto"/>
            </w:tcBorders>
          </w:tcPr>
          <w:p w14:paraId="50D4FF1E" w14:textId="77777777" w:rsidR="00984B34" w:rsidRPr="009E686F" w:rsidRDefault="00984B34" w:rsidP="00984B34">
            <w:pPr>
              <w:spacing w:after="0"/>
              <w:jc w:val="both"/>
              <w:rPr>
                <w:rFonts w:ascii="Times New Roman" w:hAnsi="Times New Roman" w:cs="Times New Roman"/>
                <w:b/>
                <w:bCs/>
                <w:lang w:val="it-CH"/>
              </w:rPr>
            </w:pPr>
            <w:r w:rsidRPr="009E686F">
              <w:rPr>
                <w:rFonts w:ascii="Times New Roman" w:hAnsi="Times New Roman" w:cs="Times New Roman"/>
                <w:b/>
                <w:bCs/>
                <w:lang w:val="it-CH"/>
              </w:rPr>
              <w:lastRenderedPageBreak/>
              <w:t xml:space="preserve">Art. 63 alin. (5) </w:t>
            </w:r>
          </w:p>
          <w:p w14:paraId="1C69BA0F" w14:textId="35F69C3F" w:rsidR="00984B34" w:rsidRPr="009E686F" w:rsidRDefault="00984B34" w:rsidP="00984B34">
            <w:pPr>
              <w:spacing w:after="0"/>
              <w:jc w:val="both"/>
              <w:rPr>
                <w:rFonts w:ascii="Times New Roman" w:hAnsi="Times New Roman" w:cs="Times New Roman"/>
                <w:lang w:val="it-CH"/>
              </w:rPr>
            </w:pPr>
            <w:r w:rsidRPr="009E686F">
              <w:rPr>
                <w:rFonts w:ascii="Times New Roman" w:hAnsi="Times New Roman" w:cs="Times New Roman"/>
                <w:lang w:val="it-CH"/>
              </w:rPr>
              <w:t>(5) Dacă Banca Naţională a Moldovei nu aprobă planul de conservare a capitalului, aceasta impune cel puţin una dintre următoarele măsuri:</w:t>
            </w:r>
          </w:p>
          <w:p w14:paraId="1F13823B" w14:textId="0C2C0555" w:rsidR="00984B34" w:rsidRPr="009E686F" w:rsidRDefault="00984B34" w:rsidP="00984B34">
            <w:pPr>
              <w:spacing w:after="0"/>
              <w:jc w:val="both"/>
              <w:rPr>
                <w:rFonts w:ascii="Times New Roman" w:hAnsi="Times New Roman" w:cs="Times New Roman"/>
                <w:lang w:val="it-CH"/>
              </w:rPr>
            </w:pPr>
            <w:r w:rsidRPr="009E686F">
              <w:rPr>
                <w:rFonts w:ascii="Times New Roman" w:hAnsi="Times New Roman" w:cs="Times New Roman"/>
                <w:lang w:val="it-CH"/>
              </w:rPr>
              <w:t xml:space="preserve">a) solicită </w:t>
            </w:r>
            <w:r w:rsidRPr="009E686F">
              <w:rPr>
                <w:rFonts w:ascii="Times New Roman" w:hAnsi="Times New Roman" w:cs="Times New Roman"/>
                <w:i/>
                <w:iCs/>
                <w:lang w:val="it-CH"/>
              </w:rPr>
              <w:t>instituției de credit</w:t>
            </w:r>
            <w:r w:rsidRPr="009E686F">
              <w:rPr>
                <w:rFonts w:ascii="Times New Roman" w:hAnsi="Times New Roman" w:cs="Times New Roman"/>
                <w:lang w:val="it-CH"/>
              </w:rPr>
              <w:t xml:space="preserve"> majorarea fondurilor proprii pînă la anumite niveluri, urmînd un calendar precis;</w:t>
            </w:r>
          </w:p>
          <w:p w14:paraId="0D64C61F" w14:textId="6461FF07"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lang w:val="it-CH"/>
              </w:rPr>
              <w:t>b) îşi exercită competenţele prevăzute la art.139 alin.(1) şi (2)</w:t>
            </w:r>
            <w:r w:rsidRPr="009E686F">
              <w:rPr>
                <w:i/>
                <w:color w:val="FF0000"/>
                <w:lang w:val="ro-RO"/>
              </w:rPr>
              <w:t xml:space="preserve"> </w:t>
            </w:r>
            <w:r w:rsidRPr="009E686F">
              <w:rPr>
                <w:rFonts w:ascii="Times New Roman" w:hAnsi="Times New Roman" w:cs="Times New Roman"/>
                <w:lang w:val="it-CH"/>
              </w:rPr>
              <w:t>pentru a impune restricţii privind distribuirile mai stricte decît cele prevăzute conform alin.(4).</w:t>
            </w:r>
          </w:p>
          <w:p w14:paraId="208B98C7" w14:textId="5CBE58E2"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b/>
                <w:lang w:val="ro-RO"/>
              </w:rPr>
              <w:lastRenderedPageBreak/>
              <w:t>Pct. 110 din Regulamentul cu privire la amortizoarele de capital ale băncilor, aprobat prin HCE nr.110/2018</w:t>
            </w:r>
          </w:p>
          <w:p w14:paraId="3A4F0F22" w14:textId="77777777" w:rsidR="00984B34" w:rsidRPr="009E686F" w:rsidRDefault="00984B34" w:rsidP="00984B34">
            <w:pPr>
              <w:pStyle w:val="af4"/>
              <w:tabs>
                <w:tab w:val="left" w:pos="567"/>
              </w:tabs>
              <w:autoSpaceDE w:val="0"/>
              <w:autoSpaceDN w:val="0"/>
              <w:adjustRightInd w:val="0"/>
              <w:spacing w:after="0"/>
              <w:ind w:left="0"/>
              <w:jc w:val="both"/>
              <w:rPr>
                <w:rFonts w:ascii="Times New Roman" w:hAnsi="Times New Roman" w:cs="Times New Roman"/>
                <w:lang w:val="ro-MD"/>
              </w:rPr>
            </w:pPr>
            <w:r w:rsidRPr="009E686F">
              <w:rPr>
                <w:rFonts w:ascii="Times New Roman" w:hAnsi="Times New Roman" w:cs="Times New Roman"/>
                <w:b/>
                <w:bCs/>
                <w:lang w:val="ro-MD"/>
              </w:rPr>
              <w:t>110.</w:t>
            </w:r>
            <w:r w:rsidRPr="009E686F">
              <w:rPr>
                <w:rFonts w:ascii="Times New Roman" w:hAnsi="Times New Roman" w:cs="Times New Roman"/>
                <w:lang w:val="ro-MD"/>
              </w:rPr>
              <w:t xml:space="preserve"> Dacă Banca Națională a Moldovei nu aprobă planul de conservare a capitalului în conformitate cu punctul 109, aceasta impune cel puțin una dintre următoarele măsuri: </w:t>
            </w:r>
          </w:p>
          <w:p w14:paraId="06046831" w14:textId="77777777" w:rsidR="00984B34" w:rsidRPr="009E686F" w:rsidRDefault="00984B34" w:rsidP="00984B34">
            <w:pPr>
              <w:pStyle w:val="CM4"/>
              <w:contextualSpacing/>
              <w:jc w:val="both"/>
              <w:rPr>
                <w:rFonts w:ascii="Times New Roman" w:hAnsi="Times New Roman"/>
                <w:sz w:val="22"/>
                <w:szCs w:val="22"/>
                <w:lang w:val="ro-MD"/>
              </w:rPr>
            </w:pPr>
            <w:r w:rsidRPr="009E686F">
              <w:rPr>
                <w:rFonts w:ascii="Times New Roman" w:hAnsi="Times New Roman"/>
                <w:sz w:val="22"/>
                <w:szCs w:val="22"/>
                <w:lang w:val="ro-MD"/>
              </w:rPr>
              <w:t xml:space="preserve">1) solicită băncii să-și majoreze fondurile proprii până la anumite nivele, urmând un calendar precis; </w:t>
            </w:r>
          </w:p>
          <w:p w14:paraId="41A371E1" w14:textId="7F4639D9" w:rsidR="00984B34" w:rsidRPr="009E686F" w:rsidRDefault="00984B34" w:rsidP="00984B34">
            <w:pPr>
              <w:spacing w:after="0"/>
              <w:jc w:val="both"/>
              <w:rPr>
                <w:rFonts w:ascii="Times New Roman" w:hAnsi="Times New Roman" w:cs="Times New Roman"/>
                <w:lang w:val="ro-MD"/>
              </w:rPr>
            </w:pPr>
            <w:r w:rsidRPr="009E686F">
              <w:rPr>
                <w:rFonts w:ascii="Times New Roman" w:hAnsi="Times New Roman" w:cs="Times New Roman"/>
                <w:lang w:val="ro-MD"/>
              </w:rPr>
              <w:t>2) își exercită competențele prevăzute la art.139 alin.(1) și (2) din Legea nr.202/2017 privind activitatea băncilor pentru a impune restricții referitor la distribuirile mai stricte decât cele prevăzute în prezentul capitol.</w:t>
            </w:r>
          </w:p>
        </w:tc>
        <w:tc>
          <w:tcPr>
            <w:tcW w:w="470" w:type="pct"/>
            <w:tcBorders>
              <w:top w:val="single" w:sz="4" w:space="0" w:color="auto"/>
              <w:left w:val="single" w:sz="4" w:space="0" w:color="auto"/>
              <w:bottom w:val="single" w:sz="4" w:space="0" w:color="auto"/>
              <w:right w:val="single" w:sz="4" w:space="0" w:color="auto"/>
            </w:tcBorders>
          </w:tcPr>
          <w:p w14:paraId="06ED51F6" w14:textId="1CD29D1B"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lastRenderedPageBreak/>
              <w:t xml:space="preserve">Compatibil </w:t>
            </w:r>
          </w:p>
          <w:p w14:paraId="36549211" w14:textId="56E1D28C"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2AC36811" w14:textId="77777777" w:rsidR="00984B34" w:rsidRPr="009E686F" w:rsidRDefault="00984B34" w:rsidP="00984B34">
            <w:pPr>
              <w:jc w:val="both"/>
              <w:rPr>
                <w:rFonts w:ascii="Times New Roman" w:hAnsi="Times New Roman" w:cs="Times New Roman"/>
                <w:lang w:val="ro-RO"/>
              </w:rPr>
            </w:pPr>
          </w:p>
        </w:tc>
      </w:tr>
      <w:tr w:rsidR="00984B34" w:rsidRPr="009E686F" w14:paraId="2282C484"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42779F94"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TITLUL VIII</w:t>
            </w:r>
          </w:p>
          <w:p w14:paraId="3D10BDDE" w14:textId="0231B867" w:rsidR="00984B34" w:rsidRPr="009E686F" w:rsidRDefault="00984B34" w:rsidP="00984B34">
            <w:pPr>
              <w:spacing w:after="0"/>
              <w:jc w:val="both"/>
              <w:rPr>
                <w:rFonts w:ascii="Times New Roman" w:hAnsi="Times New Roman" w:cs="Times New Roman"/>
                <w:b/>
                <w:bCs/>
                <w:lang w:val="ro-RO"/>
              </w:rPr>
            </w:pPr>
            <w:r w:rsidRPr="009E686F">
              <w:rPr>
                <w:rFonts w:ascii="Times New Roman" w:hAnsi="Times New Roman" w:cs="Times New Roman"/>
                <w:b/>
                <w:bCs/>
                <w:lang w:val="ro-RO"/>
              </w:rPr>
              <w:t>INFORMAȚIILE CARE TREBUIE FĂCUTE PUBLICE DE CĂTRE AUTORITĂȚILE COMPETENTE</w:t>
            </w:r>
          </w:p>
        </w:tc>
        <w:tc>
          <w:tcPr>
            <w:tcW w:w="1928" w:type="pct"/>
            <w:gridSpan w:val="3"/>
            <w:tcBorders>
              <w:top w:val="single" w:sz="4" w:space="0" w:color="auto"/>
              <w:left w:val="single" w:sz="4" w:space="0" w:color="auto"/>
              <w:bottom w:val="single" w:sz="4" w:space="0" w:color="auto"/>
              <w:right w:val="single" w:sz="4" w:space="0" w:color="auto"/>
            </w:tcBorders>
          </w:tcPr>
          <w:p w14:paraId="2FCE0A8A" w14:textId="77777777" w:rsidR="00984B34" w:rsidRPr="009E686F" w:rsidRDefault="00984B34" w:rsidP="00984B34">
            <w:pPr>
              <w:spacing w:after="0" w:line="278" w:lineRule="auto"/>
              <w:jc w:val="both"/>
              <w:rPr>
                <w:rFonts w:ascii="Times New Roman" w:eastAsia="Aptos" w:hAnsi="Times New Roman" w:cs="Times New Roman"/>
                <w:b/>
                <w:bCs/>
                <w:kern w:val="2"/>
                <w:lang w:val="ro-MD"/>
              </w:rPr>
            </w:pPr>
            <w:r w:rsidRPr="009E686F">
              <w:rPr>
                <w:rFonts w:ascii="Times New Roman" w:eastAsia="Aptos" w:hAnsi="Times New Roman" w:cs="Times New Roman"/>
                <w:b/>
                <w:bCs/>
                <w:kern w:val="2"/>
                <w:lang w:val="ro-MD"/>
              </w:rPr>
              <w:t>Capitolul 4</w:t>
            </w:r>
          </w:p>
          <w:p w14:paraId="0E771299" w14:textId="77777777" w:rsidR="00984B34" w:rsidRPr="009E686F" w:rsidRDefault="00984B34" w:rsidP="00984B34">
            <w:pPr>
              <w:spacing w:after="0" w:line="278" w:lineRule="auto"/>
              <w:jc w:val="both"/>
              <w:rPr>
                <w:rFonts w:ascii="Times New Roman" w:eastAsia="Aptos" w:hAnsi="Times New Roman" w:cs="Times New Roman"/>
                <w:b/>
                <w:bCs/>
                <w:kern w:val="2"/>
                <w:lang w:val="ro-MD"/>
              </w:rPr>
            </w:pPr>
            <w:r w:rsidRPr="009E686F">
              <w:rPr>
                <w:rFonts w:ascii="Times New Roman" w:eastAsia="Aptos" w:hAnsi="Times New Roman" w:cs="Times New Roman"/>
                <w:b/>
                <w:bCs/>
                <w:kern w:val="2"/>
                <w:lang w:val="ro-MD"/>
              </w:rPr>
              <w:t>CERINŢE DE PUBLICARE PENTRU BANCA NAŢIONALĂ A MOLDOVEI</w:t>
            </w:r>
          </w:p>
          <w:p w14:paraId="259CE597" w14:textId="77777777" w:rsidR="00984B34" w:rsidRPr="009E686F" w:rsidRDefault="00984B34" w:rsidP="00984B34">
            <w:pPr>
              <w:pStyle w:val="af4"/>
              <w:tabs>
                <w:tab w:val="left" w:pos="567"/>
              </w:tabs>
              <w:autoSpaceDE w:val="0"/>
              <w:autoSpaceDN w:val="0"/>
              <w:adjustRightInd w:val="0"/>
              <w:spacing w:after="0"/>
              <w:ind w:left="0"/>
              <w:jc w:val="both"/>
              <w:rPr>
                <w:rFonts w:ascii="Times New Roman" w:hAnsi="Times New Roman" w:cs="Times New Roman"/>
                <w:lang w:val="ro-MD"/>
              </w:rPr>
            </w:pPr>
          </w:p>
        </w:tc>
        <w:tc>
          <w:tcPr>
            <w:tcW w:w="470" w:type="pct"/>
            <w:tcBorders>
              <w:top w:val="single" w:sz="4" w:space="0" w:color="auto"/>
              <w:left w:val="single" w:sz="4" w:space="0" w:color="auto"/>
              <w:bottom w:val="single" w:sz="4" w:space="0" w:color="auto"/>
              <w:right w:val="single" w:sz="4" w:space="0" w:color="auto"/>
            </w:tcBorders>
          </w:tcPr>
          <w:p w14:paraId="0F209D63" w14:textId="5274227E" w:rsidR="00984B34" w:rsidRPr="009E686F" w:rsidDel="000717BD"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71429609" w14:textId="77777777" w:rsidR="00984B34" w:rsidRPr="009E686F" w:rsidRDefault="00984B34" w:rsidP="00984B34">
            <w:pPr>
              <w:jc w:val="both"/>
              <w:rPr>
                <w:rFonts w:ascii="Times New Roman" w:hAnsi="Times New Roman" w:cs="Times New Roman"/>
                <w:lang w:val="ro-RO"/>
              </w:rPr>
            </w:pPr>
          </w:p>
        </w:tc>
      </w:tr>
      <w:tr w:rsidR="00984B34" w:rsidRPr="009E686F" w14:paraId="3116F015" w14:textId="167CF290" w:rsidTr="00774F3E">
        <w:tc>
          <w:tcPr>
            <w:tcW w:w="1796" w:type="pct"/>
            <w:gridSpan w:val="2"/>
            <w:tcBorders>
              <w:top w:val="single" w:sz="4" w:space="0" w:color="auto"/>
              <w:left w:val="single" w:sz="4" w:space="0" w:color="auto"/>
              <w:bottom w:val="single" w:sz="4" w:space="0" w:color="auto"/>
              <w:right w:val="single" w:sz="4" w:space="0" w:color="auto"/>
            </w:tcBorders>
          </w:tcPr>
          <w:p w14:paraId="050EEA31" w14:textId="77777777" w:rsidR="00984B34" w:rsidRPr="009E686F" w:rsidRDefault="00984B34" w:rsidP="00984B34">
            <w:pPr>
              <w:spacing w:after="0"/>
              <w:jc w:val="both"/>
              <w:rPr>
                <w:rFonts w:ascii="Times New Roman" w:hAnsi="Times New Roman" w:cs="Times New Roman"/>
                <w:i/>
                <w:iCs/>
                <w:lang w:val="ro-RO"/>
              </w:rPr>
            </w:pPr>
            <w:r w:rsidRPr="009E686F">
              <w:rPr>
                <w:rFonts w:ascii="Times New Roman" w:hAnsi="Times New Roman" w:cs="Times New Roman"/>
                <w:i/>
                <w:iCs/>
                <w:lang w:val="ro-RO"/>
              </w:rPr>
              <w:t xml:space="preserve">Articolul 143 </w:t>
            </w:r>
          </w:p>
          <w:p w14:paraId="1788FDD9" w14:textId="4C5C1E9A"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Cerințe generale privind publicarea</w:t>
            </w:r>
          </w:p>
        </w:tc>
        <w:tc>
          <w:tcPr>
            <w:tcW w:w="1928" w:type="pct"/>
            <w:gridSpan w:val="3"/>
            <w:tcBorders>
              <w:top w:val="single" w:sz="4" w:space="0" w:color="auto"/>
              <w:left w:val="single" w:sz="4" w:space="0" w:color="auto"/>
              <w:bottom w:val="single" w:sz="4" w:space="0" w:color="auto"/>
              <w:right w:val="single" w:sz="4" w:space="0" w:color="auto"/>
            </w:tcBorders>
          </w:tcPr>
          <w:p w14:paraId="57F9C314" w14:textId="77777777" w:rsidR="00984B34" w:rsidRPr="009E686F" w:rsidRDefault="00984B34" w:rsidP="00984B34">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b/>
                <w:bCs/>
                <w:kern w:val="2"/>
                <w:lang w:val="ro-MD"/>
              </w:rPr>
              <w:t>Articolul 136.</w:t>
            </w:r>
            <w:r w:rsidRPr="009E686F">
              <w:rPr>
                <w:rFonts w:ascii="Times New Roman" w:eastAsia="Aptos" w:hAnsi="Times New Roman" w:cs="Times New Roman"/>
                <w:kern w:val="2"/>
                <w:lang w:val="ro-MD"/>
              </w:rPr>
              <w:t xml:space="preserve"> Cerinţe generale privind publicarea</w:t>
            </w:r>
          </w:p>
          <w:p w14:paraId="142A42F9"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34580DD2" w14:textId="4C6DB197"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6D110612" w14:textId="77777777" w:rsidR="00984B34" w:rsidRPr="009E686F" w:rsidRDefault="00984B34" w:rsidP="00984B34">
            <w:pPr>
              <w:jc w:val="both"/>
              <w:rPr>
                <w:rFonts w:ascii="Times New Roman" w:hAnsi="Times New Roman" w:cs="Times New Roman"/>
                <w:lang w:val="ro-RO"/>
              </w:rPr>
            </w:pPr>
          </w:p>
        </w:tc>
      </w:tr>
      <w:tr w:rsidR="00984B34" w:rsidRPr="009E686F" w14:paraId="33FFF6B6" w14:textId="0151AB0B" w:rsidTr="00774F3E">
        <w:tc>
          <w:tcPr>
            <w:tcW w:w="1796" w:type="pct"/>
            <w:gridSpan w:val="2"/>
            <w:tcBorders>
              <w:top w:val="single" w:sz="4" w:space="0" w:color="auto"/>
              <w:left w:val="single" w:sz="4" w:space="0" w:color="auto"/>
              <w:bottom w:val="single" w:sz="4" w:space="0" w:color="auto"/>
              <w:right w:val="single" w:sz="4" w:space="0" w:color="auto"/>
            </w:tcBorders>
          </w:tcPr>
          <w:p w14:paraId="55775441" w14:textId="56D2A565"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(1)Autoritățile competente publică următoarele informații:</w:t>
            </w:r>
          </w:p>
        </w:tc>
        <w:tc>
          <w:tcPr>
            <w:tcW w:w="1928" w:type="pct"/>
            <w:gridSpan w:val="3"/>
            <w:tcBorders>
              <w:top w:val="single" w:sz="4" w:space="0" w:color="auto"/>
              <w:left w:val="single" w:sz="4" w:space="0" w:color="auto"/>
              <w:bottom w:val="single" w:sz="4" w:space="0" w:color="auto"/>
              <w:right w:val="single" w:sz="4" w:space="0" w:color="auto"/>
            </w:tcBorders>
          </w:tcPr>
          <w:p w14:paraId="2D6EF76F"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(1)  Banca Naţională a Moldovei publică următoarele informaţii:</w:t>
            </w:r>
          </w:p>
        </w:tc>
        <w:tc>
          <w:tcPr>
            <w:tcW w:w="470" w:type="pct"/>
            <w:tcBorders>
              <w:top w:val="single" w:sz="4" w:space="0" w:color="auto"/>
              <w:left w:val="single" w:sz="4" w:space="0" w:color="auto"/>
              <w:bottom w:val="single" w:sz="4" w:space="0" w:color="auto"/>
              <w:right w:val="single" w:sz="4" w:space="0" w:color="auto"/>
            </w:tcBorders>
          </w:tcPr>
          <w:p w14:paraId="15172555" w14:textId="72535B55"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6F76E8FA" w14:textId="77777777" w:rsidR="00984B34" w:rsidRPr="009E686F" w:rsidRDefault="00984B34" w:rsidP="00984B34">
            <w:pPr>
              <w:jc w:val="both"/>
              <w:rPr>
                <w:rFonts w:ascii="Times New Roman" w:hAnsi="Times New Roman" w:cs="Times New Roman"/>
                <w:lang w:val="ro-RO"/>
              </w:rPr>
            </w:pPr>
          </w:p>
        </w:tc>
      </w:tr>
      <w:tr w:rsidR="00984B34" w:rsidRPr="009E686F" w14:paraId="4BE9464D" w14:textId="78B31998" w:rsidTr="00774F3E">
        <w:tc>
          <w:tcPr>
            <w:tcW w:w="1796" w:type="pct"/>
            <w:gridSpan w:val="2"/>
            <w:tcBorders>
              <w:top w:val="single" w:sz="4" w:space="0" w:color="auto"/>
              <w:left w:val="single" w:sz="4" w:space="0" w:color="auto"/>
              <w:bottom w:val="single" w:sz="4" w:space="0" w:color="auto"/>
              <w:right w:val="single" w:sz="4" w:space="0" w:color="auto"/>
            </w:tcBorders>
          </w:tcPr>
          <w:p w14:paraId="41658F2A" w14:textId="1688D64B"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(a) textul actelor cu putere de lege și al actelor administrative și recomandările generale adoptate în statul membru respectiv în domeniul reglementării prudențiale;</w:t>
            </w:r>
          </w:p>
        </w:tc>
        <w:tc>
          <w:tcPr>
            <w:tcW w:w="1928" w:type="pct"/>
            <w:gridSpan w:val="3"/>
            <w:tcBorders>
              <w:top w:val="single" w:sz="4" w:space="0" w:color="auto"/>
              <w:left w:val="single" w:sz="4" w:space="0" w:color="auto"/>
              <w:bottom w:val="single" w:sz="4" w:space="0" w:color="auto"/>
              <w:right w:val="single" w:sz="4" w:space="0" w:color="auto"/>
            </w:tcBorders>
          </w:tcPr>
          <w:p w14:paraId="2825D3FC" w14:textId="6CAEB187" w:rsidR="00984B34" w:rsidRPr="009E686F" w:rsidRDefault="00984B34" w:rsidP="00984B34">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 xml:space="preserve">a) textele legilor şi ale actelor normative adoptate în domeniul supravegherii prudenţiale a </w:t>
            </w:r>
            <w:r w:rsidRPr="009E686F">
              <w:rPr>
                <w:rFonts w:ascii="Times New Roman" w:eastAsia="Aptos" w:hAnsi="Times New Roman" w:cs="Times New Roman"/>
                <w:i/>
                <w:iCs/>
                <w:kern w:val="2"/>
                <w:lang w:val="ro-MD"/>
              </w:rPr>
              <w:t>instituțiilor de credit</w:t>
            </w:r>
            <w:r w:rsidRPr="009E686F">
              <w:rPr>
                <w:rFonts w:ascii="Times New Roman" w:eastAsia="Aptos" w:hAnsi="Times New Roman" w:cs="Times New Roman"/>
                <w:kern w:val="2"/>
                <w:lang w:val="ro-MD"/>
              </w:rPr>
              <w:t>, precum şi ale recomandărilor emise în aplicarea acestora;</w:t>
            </w:r>
          </w:p>
          <w:p w14:paraId="49DC6AE5" w14:textId="282A8CBB" w:rsidR="00984B34" w:rsidRPr="009E686F" w:rsidRDefault="00984B34" w:rsidP="00984B34">
            <w:pPr>
              <w:spacing w:after="0"/>
              <w:jc w:val="both"/>
              <w:rPr>
                <w:rFonts w:ascii="Times New Roman" w:hAnsi="Times New Roman" w:cs="Times New Roman"/>
                <w:lang w:val="ro-RO"/>
              </w:rPr>
            </w:pPr>
          </w:p>
        </w:tc>
        <w:tc>
          <w:tcPr>
            <w:tcW w:w="470" w:type="pct"/>
            <w:tcBorders>
              <w:top w:val="single" w:sz="4" w:space="0" w:color="auto"/>
              <w:left w:val="single" w:sz="4" w:space="0" w:color="auto"/>
              <w:bottom w:val="single" w:sz="4" w:space="0" w:color="auto"/>
              <w:right w:val="single" w:sz="4" w:space="0" w:color="auto"/>
            </w:tcBorders>
          </w:tcPr>
          <w:p w14:paraId="27FDBA85" w14:textId="1EEBB14A"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5C21E3FF" w14:textId="77777777" w:rsidR="00984B34" w:rsidRPr="009E686F" w:rsidRDefault="00984B34" w:rsidP="00984B34">
            <w:pPr>
              <w:jc w:val="both"/>
              <w:rPr>
                <w:rFonts w:ascii="Times New Roman" w:hAnsi="Times New Roman" w:cs="Times New Roman"/>
                <w:lang w:val="ro-RO"/>
              </w:rPr>
            </w:pPr>
          </w:p>
        </w:tc>
      </w:tr>
      <w:tr w:rsidR="00984B34" w:rsidRPr="009E686F" w14:paraId="7D2A6D38" w14:textId="6B178453" w:rsidTr="00774F3E">
        <w:tc>
          <w:tcPr>
            <w:tcW w:w="1796" w:type="pct"/>
            <w:gridSpan w:val="2"/>
            <w:tcBorders>
              <w:top w:val="single" w:sz="4" w:space="0" w:color="auto"/>
              <w:left w:val="single" w:sz="4" w:space="0" w:color="auto"/>
              <w:bottom w:val="single" w:sz="4" w:space="0" w:color="auto"/>
              <w:right w:val="single" w:sz="4" w:space="0" w:color="auto"/>
            </w:tcBorders>
          </w:tcPr>
          <w:p w14:paraId="1C904142" w14:textId="631E0181"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(b) modalitățile de exercitare a opțiunilor și drepturilor prevăzute în dreptul Uniunii;</w:t>
            </w:r>
          </w:p>
        </w:tc>
        <w:tc>
          <w:tcPr>
            <w:tcW w:w="1928" w:type="pct"/>
            <w:gridSpan w:val="3"/>
            <w:tcBorders>
              <w:top w:val="single" w:sz="4" w:space="0" w:color="auto"/>
              <w:left w:val="single" w:sz="4" w:space="0" w:color="auto"/>
              <w:bottom w:val="single" w:sz="4" w:space="0" w:color="auto"/>
              <w:right w:val="single" w:sz="4" w:space="0" w:color="auto"/>
            </w:tcBorders>
          </w:tcPr>
          <w:p w14:paraId="1F4B27DF" w14:textId="08938269" w:rsidR="00984B34" w:rsidRPr="009E686F" w:rsidRDefault="00984B34" w:rsidP="00984B34">
            <w:pPr>
              <w:spacing w:after="0" w:line="278" w:lineRule="auto"/>
              <w:jc w:val="both"/>
              <w:rPr>
                <w:rFonts w:ascii="Times New Roman" w:eastAsia="Aptos" w:hAnsi="Times New Roman" w:cs="Times New Roman"/>
                <w:i/>
                <w:iCs/>
                <w:kern w:val="2"/>
                <w:lang w:val="ro-MD"/>
              </w:rPr>
            </w:pPr>
            <w:r w:rsidRPr="009E686F">
              <w:rPr>
                <w:rFonts w:ascii="Times New Roman" w:eastAsia="Aptos" w:hAnsi="Times New Roman" w:cs="Times New Roman"/>
                <w:i/>
                <w:iCs/>
                <w:kern w:val="2"/>
                <w:lang w:val="ro-MD"/>
              </w:rPr>
              <w:t>a</w:t>
            </w:r>
            <w:r w:rsidRPr="009E686F">
              <w:rPr>
                <w:rFonts w:ascii="Times New Roman" w:eastAsia="Aptos" w:hAnsi="Times New Roman" w:cs="Times New Roman"/>
                <w:i/>
                <w:iCs/>
                <w:kern w:val="2"/>
                <w:vertAlign w:val="superscript"/>
                <w:lang w:val="ro-MD"/>
              </w:rPr>
              <w:t>1</w:t>
            </w:r>
            <w:r w:rsidRPr="009E686F">
              <w:rPr>
                <w:rFonts w:ascii="Times New Roman" w:eastAsia="Aptos" w:hAnsi="Times New Roman" w:cs="Times New Roman"/>
                <w:i/>
                <w:iCs/>
                <w:kern w:val="2"/>
                <w:lang w:val="ro-MD"/>
              </w:rPr>
              <w:t>) modul de exercitare a opţiunilor prevăzute în legislaţia Uniunii Europene în domeniu;</w:t>
            </w:r>
          </w:p>
          <w:p w14:paraId="399E1092"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7FEE89D3" w14:textId="20BBDC4F"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4B912A39" w14:textId="77777777" w:rsidR="00984B34" w:rsidRPr="009E686F" w:rsidRDefault="00984B34" w:rsidP="00984B34">
            <w:pPr>
              <w:jc w:val="both"/>
              <w:rPr>
                <w:rFonts w:ascii="Times New Roman" w:hAnsi="Times New Roman" w:cs="Times New Roman"/>
                <w:lang w:val="ro-RO"/>
              </w:rPr>
            </w:pPr>
          </w:p>
        </w:tc>
      </w:tr>
      <w:tr w:rsidR="00984B34" w:rsidRPr="009E686F" w14:paraId="5AA2634F" w14:textId="2408D517" w:rsidTr="00774F3E">
        <w:tc>
          <w:tcPr>
            <w:tcW w:w="1796" w:type="pct"/>
            <w:gridSpan w:val="2"/>
            <w:tcBorders>
              <w:top w:val="single" w:sz="4" w:space="0" w:color="auto"/>
              <w:left w:val="single" w:sz="4" w:space="0" w:color="auto"/>
              <w:bottom w:val="single" w:sz="4" w:space="0" w:color="auto"/>
              <w:right w:val="single" w:sz="4" w:space="0" w:color="auto"/>
            </w:tcBorders>
          </w:tcPr>
          <w:p w14:paraId="079C573C" w14:textId="2CC247B3"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(c) criteriile generale și metodele utilizate pentru analiza și evaluarea menționate la articolul 97, inclusiv criteriile pentru aplicarea principiului proporționalității, astfel cum se menționează la articolul 97 alineatul (4);</w:t>
            </w:r>
          </w:p>
        </w:tc>
        <w:tc>
          <w:tcPr>
            <w:tcW w:w="1928" w:type="pct"/>
            <w:gridSpan w:val="3"/>
            <w:tcBorders>
              <w:top w:val="single" w:sz="4" w:space="0" w:color="auto"/>
              <w:left w:val="single" w:sz="4" w:space="0" w:color="auto"/>
              <w:bottom w:val="single" w:sz="4" w:space="0" w:color="auto"/>
              <w:right w:val="single" w:sz="4" w:space="0" w:color="auto"/>
            </w:tcBorders>
          </w:tcPr>
          <w:p w14:paraId="79CC8481" w14:textId="03073ECE" w:rsidR="00984B34" w:rsidRPr="009E686F" w:rsidRDefault="00984B34" w:rsidP="00984B34">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 xml:space="preserve">b) criteriile generale şi metodologiile utilizate pentru analizarea cadrului de administrare a activităţii, strategiilor, proceselor şi mecanismelor implementate de către </w:t>
            </w:r>
            <w:r w:rsidRPr="009E686F">
              <w:rPr>
                <w:rFonts w:ascii="Times New Roman" w:eastAsia="Aptos" w:hAnsi="Times New Roman" w:cs="Times New Roman"/>
                <w:i/>
                <w:iCs/>
                <w:kern w:val="2"/>
                <w:lang w:val="ro-MD"/>
              </w:rPr>
              <w:t>instituțiile de credit</w:t>
            </w:r>
            <w:r w:rsidRPr="009E686F">
              <w:rPr>
                <w:rFonts w:ascii="Times New Roman" w:eastAsia="Aptos" w:hAnsi="Times New Roman" w:cs="Times New Roman"/>
                <w:kern w:val="2"/>
                <w:lang w:val="ro-MD"/>
              </w:rPr>
              <w:t xml:space="preserve"> în vederea respectării dispoziţiilor prezentei legi şi ale actelor normative emise în aplicarea acesteia şi pentru evaluarea </w:t>
            </w:r>
            <w:r w:rsidRPr="009E686F">
              <w:rPr>
                <w:rFonts w:ascii="Times New Roman" w:eastAsia="Aptos" w:hAnsi="Times New Roman" w:cs="Times New Roman"/>
                <w:kern w:val="2"/>
                <w:lang w:val="ro-MD"/>
              </w:rPr>
              <w:lastRenderedPageBreak/>
              <w:t xml:space="preserve">riscurilor la care </w:t>
            </w:r>
            <w:r w:rsidRPr="009E686F">
              <w:rPr>
                <w:rFonts w:ascii="Times New Roman" w:eastAsia="Aptos" w:hAnsi="Times New Roman" w:cs="Times New Roman"/>
                <w:i/>
                <w:iCs/>
                <w:kern w:val="2"/>
                <w:lang w:val="ro-MD"/>
              </w:rPr>
              <w:t>instituțiile de credit</w:t>
            </w:r>
            <w:r w:rsidRPr="009E686F">
              <w:rPr>
                <w:rFonts w:ascii="Times New Roman" w:eastAsia="Aptos" w:hAnsi="Times New Roman" w:cs="Times New Roman"/>
                <w:kern w:val="2"/>
                <w:lang w:val="ro-MD"/>
              </w:rPr>
              <w:t xml:space="preserve"> sînt sau pot fi expuse</w:t>
            </w:r>
            <w:r w:rsidRPr="009E686F">
              <w:rPr>
                <w:rFonts w:ascii="Times New Roman" w:eastAsia="Aptos" w:hAnsi="Times New Roman" w:cs="Times New Roman"/>
                <w:i/>
                <w:iCs/>
                <w:kern w:val="2"/>
                <w:lang w:val="ro-MD"/>
              </w:rPr>
              <w:t>, inclusiv criteriile pentru aplicarea principiului proporționalității astfel cum este prevăzut la art. 100 alin (4</w:t>
            </w:r>
            <w:r w:rsidRPr="009E686F">
              <w:rPr>
                <w:rFonts w:ascii="Times New Roman" w:eastAsia="Aptos" w:hAnsi="Times New Roman" w:cs="Times New Roman"/>
                <w:kern w:val="2"/>
                <w:lang w:val="ro-MD"/>
              </w:rPr>
              <w:t>);</w:t>
            </w:r>
          </w:p>
        </w:tc>
        <w:tc>
          <w:tcPr>
            <w:tcW w:w="470" w:type="pct"/>
            <w:tcBorders>
              <w:top w:val="single" w:sz="4" w:space="0" w:color="auto"/>
              <w:left w:val="single" w:sz="4" w:space="0" w:color="auto"/>
              <w:bottom w:val="single" w:sz="4" w:space="0" w:color="auto"/>
              <w:right w:val="single" w:sz="4" w:space="0" w:color="auto"/>
            </w:tcBorders>
          </w:tcPr>
          <w:p w14:paraId="36043642" w14:textId="52FD2764"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744E0AF4" w14:textId="77777777" w:rsidR="00984B34" w:rsidRPr="009E686F" w:rsidRDefault="00984B34" w:rsidP="00984B34">
            <w:pPr>
              <w:jc w:val="both"/>
              <w:rPr>
                <w:rFonts w:ascii="Times New Roman" w:hAnsi="Times New Roman" w:cs="Times New Roman"/>
                <w:lang w:val="ro-RO"/>
              </w:rPr>
            </w:pPr>
          </w:p>
        </w:tc>
      </w:tr>
      <w:tr w:rsidR="00984B34" w:rsidRPr="009E686F" w14:paraId="1736D7DE" w14:textId="1583E238" w:rsidTr="00774F3E">
        <w:tc>
          <w:tcPr>
            <w:tcW w:w="1796" w:type="pct"/>
            <w:gridSpan w:val="2"/>
            <w:tcBorders>
              <w:top w:val="single" w:sz="4" w:space="0" w:color="auto"/>
              <w:left w:val="single" w:sz="4" w:space="0" w:color="auto"/>
              <w:bottom w:val="single" w:sz="4" w:space="0" w:color="auto"/>
              <w:right w:val="single" w:sz="4" w:space="0" w:color="auto"/>
            </w:tcBorders>
          </w:tcPr>
          <w:p w14:paraId="06884E0B" w14:textId="2B780428"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(d) fără a aduce atingere dispozițiilor din titlul VII capitolul 1 secțiunea II din prezenta directivă și, după caz, dispozițiilor din titlul IV capitolul 1 secțiunea 2 din Directiva (UE) 2019/2034, date statistice agregate privind aspecte esențiale ale punerii în aplicare a cadrului prudențial în fiecare stat membru, inclusiv numărul și natura măsurilor de supraveghere luate în conformitate cu articolul 102 alineatul (1) litera (a) din prezenta directivă, precum și a sancțiunilor administrative aplicate în conformitate cu articolul 65 din prezenta directivă.</w:t>
            </w:r>
          </w:p>
        </w:tc>
        <w:tc>
          <w:tcPr>
            <w:tcW w:w="1928" w:type="pct"/>
            <w:gridSpan w:val="3"/>
            <w:tcBorders>
              <w:top w:val="single" w:sz="4" w:space="0" w:color="auto"/>
              <w:left w:val="single" w:sz="4" w:space="0" w:color="auto"/>
              <w:bottom w:val="single" w:sz="4" w:space="0" w:color="auto"/>
              <w:right w:val="single" w:sz="4" w:space="0" w:color="auto"/>
            </w:tcBorders>
          </w:tcPr>
          <w:p w14:paraId="2BE386E2" w14:textId="19BADA91" w:rsidR="00984B34" w:rsidRPr="009E686F" w:rsidRDefault="00984B34" w:rsidP="00984B34">
            <w:pPr>
              <w:spacing w:after="0" w:line="278" w:lineRule="auto"/>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 xml:space="preserve">c) fără a aduce atingere prevederilor privind secretul profesional, date statistice agregate privind aspectele principale ale aplicării cadrului legal şi de reglementare în domeniul prudenţial, inclusiv numărul şi natura măsurilor de supraveghere conform art.139 alin.(1) lit.a) dispuse faţă de </w:t>
            </w:r>
            <w:r w:rsidRPr="009E686F">
              <w:rPr>
                <w:rFonts w:ascii="Times New Roman" w:eastAsia="Aptos" w:hAnsi="Times New Roman" w:cs="Times New Roman"/>
                <w:i/>
                <w:iCs/>
                <w:kern w:val="2"/>
                <w:lang w:val="ro-MD"/>
              </w:rPr>
              <w:t>instituțiile de credit</w:t>
            </w:r>
            <w:r w:rsidRPr="009E686F">
              <w:rPr>
                <w:rFonts w:ascii="Times New Roman" w:eastAsia="Aptos" w:hAnsi="Times New Roman" w:cs="Times New Roman"/>
                <w:kern w:val="2"/>
                <w:lang w:val="ro-MD"/>
              </w:rPr>
              <w:t xml:space="preserve"> care nu îndeplinesc cerinţele prezentei legi şi ale actelor normative emise în aplicarea acesteia, precum şi ale sancţiunilor şi măsurilor sancţionatoare aplicate conform prevederilor art.141; </w:t>
            </w:r>
          </w:p>
          <w:p w14:paraId="42189423" w14:textId="77777777" w:rsidR="00984B34" w:rsidRPr="009E686F" w:rsidRDefault="00984B34" w:rsidP="00984B34">
            <w:pPr>
              <w:spacing w:after="0"/>
              <w:jc w:val="both"/>
              <w:rPr>
                <w:rFonts w:ascii="Times New Roman" w:hAnsi="Times New Roman" w:cs="Times New Roman"/>
                <w:lang w:val="ro-RO"/>
              </w:rPr>
            </w:pPr>
          </w:p>
        </w:tc>
        <w:tc>
          <w:tcPr>
            <w:tcW w:w="470" w:type="pct"/>
            <w:tcBorders>
              <w:top w:val="single" w:sz="4" w:space="0" w:color="auto"/>
              <w:left w:val="single" w:sz="4" w:space="0" w:color="auto"/>
              <w:bottom w:val="single" w:sz="4" w:space="0" w:color="auto"/>
              <w:right w:val="single" w:sz="4" w:space="0" w:color="auto"/>
            </w:tcBorders>
          </w:tcPr>
          <w:p w14:paraId="43F7DF1B" w14:textId="54DD1A6B"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3A1712BC" w14:textId="77777777" w:rsidR="00984B34" w:rsidRPr="009E686F" w:rsidRDefault="00984B34" w:rsidP="00984B34">
            <w:pPr>
              <w:jc w:val="both"/>
              <w:rPr>
                <w:rFonts w:ascii="Times New Roman" w:hAnsi="Times New Roman" w:cs="Times New Roman"/>
                <w:lang w:val="ro-RO"/>
              </w:rPr>
            </w:pPr>
          </w:p>
        </w:tc>
      </w:tr>
      <w:tr w:rsidR="00984B34" w:rsidRPr="009E686F" w14:paraId="4DF400EC"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66270604" w14:textId="77777777" w:rsidR="00984B34" w:rsidRPr="009E686F" w:rsidRDefault="00984B34" w:rsidP="00984B34">
            <w:pPr>
              <w:spacing w:after="0"/>
              <w:jc w:val="both"/>
              <w:rPr>
                <w:rFonts w:ascii="Times New Roman" w:hAnsi="Times New Roman" w:cs="Times New Roman"/>
                <w:lang w:val="ro-RO"/>
              </w:rPr>
            </w:pPr>
          </w:p>
        </w:tc>
        <w:tc>
          <w:tcPr>
            <w:tcW w:w="1928" w:type="pct"/>
            <w:gridSpan w:val="3"/>
            <w:tcBorders>
              <w:top w:val="single" w:sz="4" w:space="0" w:color="auto"/>
              <w:left w:val="single" w:sz="4" w:space="0" w:color="auto"/>
              <w:bottom w:val="single" w:sz="4" w:space="0" w:color="auto"/>
              <w:right w:val="single" w:sz="4" w:space="0" w:color="auto"/>
            </w:tcBorders>
          </w:tcPr>
          <w:p w14:paraId="021EB2FB" w14:textId="1490D876" w:rsidR="00984B34" w:rsidRPr="009E686F" w:rsidRDefault="00984B34" w:rsidP="00984B34">
            <w:pPr>
              <w:spacing w:after="0" w:line="278" w:lineRule="auto"/>
              <w:jc w:val="both"/>
              <w:rPr>
                <w:rFonts w:ascii="Times New Roman" w:eastAsia="Aptos" w:hAnsi="Times New Roman" w:cs="Times New Roman"/>
                <w:kern w:val="2"/>
                <w:lang w:val="ro-MD"/>
              </w:rPr>
            </w:pPr>
            <w:r w:rsidRPr="009E686F">
              <w:rPr>
                <w:rFonts w:ascii="Times New Roman" w:hAnsi="Times New Roman" w:cs="Times New Roman"/>
                <w:lang w:val="pt-BR"/>
              </w:rPr>
              <w:t xml:space="preserve">d) lista persoanelor care exercită funcţii de conducere în </w:t>
            </w:r>
            <w:r w:rsidRPr="009E686F">
              <w:rPr>
                <w:rFonts w:ascii="Times New Roman" w:hAnsi="Times New Roman" w:cs="Times New Roman"/>
                <w:i/>
                <w:lang w:val="pt-BR"/>
              </w:rPr>
              <w:t>instituțiile de credit</w:t>
            </w:r>
            <w:r w:rsidRPr="009E686F">
              <w:rPr>
                <w:rFonts w:ascii="Times New Roman" w:hAnsi="Times New Roman" w:cs="Times New Roman"/>
                <w:lang w:val="pt-BR"/>
              </w:rPr>
              <w:t xml:space="preserve"> şi în sucursalele </w:t>
            </w:r>
            <w:r w:rsidRPr="009E686F">
              <w:rPr>
                <w:rFonts w:ascii="Times New Roman" w:hAnsi="Times New Roman" w:cs="Times New Roman"/>
                <w:i/>
                <w:lang w:val="pt-BR"/>
              </w:rPr>
              <w:t>instituțiilor de credit</w:t>
            </w:r>
            <w:r w:rsidRPr="009E686F">
              <w:rPr>
                <w:rFonts w:ascii="Times New Roman" w:hAnsi="Times New Roman" w:cs="Times New Roman"/>
                <w:lang w:val="pt-BR"/>
              </w:rPr>
              <w:t xml:space="preserve">  străine.</w:t>
            </w:r>
          </w:p>
        </w:tc>
        <w:tc>
          <w:tcPr>
            <w:tcW w:w="470" w:type="pct"/>
            <w:tcBorders>
              <w:top w:val="single" w:sz="4" w:space="0" w:color="auto"/>
              <w:left w:val="single" w:sz="4" w:space="0" w:color="auto"/>
              <w:bottom w:val="single" w:sz="4" w:space="0" w:color="auto"/>
              <w:right w:val="single" w:sz="4" w:space="0" w:color="auto"/>
            </w:tcBorders>
          </w:tcPr>
          <w:p w14:paraId="6EC4ED65" w14:textId="4D82864A"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13D42DF6" w14:textId="6343ACC5"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cu specific național de implementare din Legea nr. 202/2017.</w:t>
            </w:r>
          </w:p>
        </w:tc>
      </w:tr>
      <w:tr w:rsidR="00984B34" w:rsidRPr="009E686F" w14:paraId="06A3590B" w14:textId="739D8E59" w:rsidTr="00774F3E">
        <w:tc>
          <w:tcPr>
            <w:tcW w:w="1796" w:type="pct"/>
            <w:gridSpan w:val="2"/>
            <w:tcBorders>
              <w:top w:val="single" w:sz="4" w:space="0" w:color="auto"/>
              <w:left w:val="single" w:sz="4" w:space="0" w:color="auto"/>
              <w:bottom w:val="single" w:sz="4" w:space="0" w:color="auto"/>
              <w:right w:val="single" w:sz="4" w:space="0" w:color="auto"/>
            </w:tcBorders>
          </w:tcPr>
          <w:p w14:paraId="6DF11DB3" w14:textId="42849C31"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(2) Informațiile publicate în conformitate cu alineatul (1) trebuie să fie suficiente pentru a permite efectuarea unei comparații relevante între abordările adoptate de autoritățile competente din diferite state membre. </w:t>
            </w:r>
          </w:p>
          <w:p w14:paraId="560D496C" w14:textId="77777777" w:rsidR="00984B34" w:rsidRPr="009E686F" w:rsidRDefault="00984B34" w:rsidP="00984B34">
            <w:pPr>
              <w:spacing w:after="0"/>
              <w:jc w:val="both"/>
              <w:rPr>
                <w:rFonts w:ascii="Times New Roman" w:hAnsi="Times New Roman" w:cs="Times New Roman"/>
                <w:lang w:val="ro-RO"/>
              </w:rPr>
            </w:pPr>
          </w:p>
          <w:p w14:paraId="56C69591"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Informațiile se publică într-un format unitar și se actualizează periodic. Informațiile în cauză trebuie să fie accesibile la o singură adresă electronică.</w:t>
            </w:r>
          </w:p>
        </w:tc>
        <w:tc>
          <w:tcPr>
            <w:tcW w:w="1928" w:type="pct"/>
            <w:gridSpan w:val="3"/>
            <w:tcBorders>
              <w:top w:val="single" w:sz="4" w:space="0" w:color="auto"/>
              <w:left w:val="single" w:sz="4" w:space="0" w:color="auto"/>
              <w:bottom w:val="single" w:sz="4" w:space="0" w:color="auto"/>
              <w:right w:val="single" w:sz="4" w:space="0" w:color="auto"/>
            </w:tcBorders>
          </w:tcPr>
          <w:p w14:paraId="3DE37997" w14:textId="58B782CC" w:rsidR="00984B34" w:rsidRPr="009E686F" w:rsidRDefault="00984B34" w:rsidP="00984B34">
            <w:pPr>
              <w:spacing w:after="0"/>
              <w:jc w:val="both"/>
              <w:rPr>
                <w:rFonts w:ascii="Times New Roman" w:eastAsia="Aptos" w:hAnsi="Times New Roman" w:cs="Times New Roman"/>
                <w:kern w:val="2"/>
                <w:lang w:val="ro-MD"/>
              </w:rPr>
            </w:pPr>
            <w:r w:rsidRPr="009E686F">
              <w:rPr>
                <w:rFonts w:ascii="Times New Roman" w:eastAsia="Aptos" w:hAnsi="Times New Roman" w:cs="Times New Roman"/>
                <w:kern w:val="2"/>
                <w:lang w:val="ro-MD"/>
              </w:rPr>
              <w:t xml:space="preserve">(2) </w:t>
            </w:r>
            <w:r w:rsidRPr="009E686F">
              <w:rPr>
                <w:rFonts w:ascii="Times New Roman" w:eastAsia="Aptos" w:hAnsi="Times New Roman" w:cs="Times New Roman"/>
                <w:i/>
                <w:iCs/>
                <w:kern w:val="2"/>
                <w:lang w:val="ro-MD"/>
              </w:rPr>
              <w:t>Informaţiile publicate conform alin.(1) trebuie să fie suficiente pentru a permite efectuarea unei comparații relevante între abordările adoptate de Banca Națională a Moldovei cu cele ale altor autorități competente din statele membre</w:t>
            </w:r>
            <w:r w:rsidRPr="009E686F">
              <w:rPr>
                <w:rFonts w:ascii="Times New Roman" w:eastAsia="Aptos" w:hAnsi="Times New Roman" w:cs="Times New Roman"/>
                <w:kern w:val="2"/>
                <w:lang w:val="ro-MD"/>
              </w:rPr>
              <w:t xml:space="preserve"> şi sînt accesibile pe pagina web oficială a Băncii Naţionale a Moldovei </w:t>
            </w:r>
            <w:r w:rsidRPr="009E686F">
              <w:rPr>
                <w:rFonts w:ascii="Times New Roman" w:eastAsia="Aptos" w:hAnsi="Times New Roman" w:cs="Times New Roman"/>
                <w:i/>
                <w:iCs/>
                <w:kern w:val="2"/>
                <w:lang w:val="ro-MD"/>
              </w:rPr>
              <w:t>într-un format unitar</w:t>
            </w:r>
            <w:r w:rsidRPr="009E686F">
              <w:rPr>
                <w:rFonts w:ascii="Times New Roman" w:eastAsia="Aptos" w:hAnsi="Times New Roman" w:cs="Times New Roman"/>
                <w:kern w:val="2"/>
                <w:lang w:val="ro-MD"/>
              </w:rPr>
              <w:t xml:space="preserve"> şi se actualizează periodic.</w:t>
            </w:r>
          </w:p>
        </w:tc>
        <w:tc>
          <w:tcPr>
            <w:tcW w:w="470" w:type="pct"/>
            <w:tcBorders>
              <w:top w:val="single" w:sz="4" w:space="0" w:color="auto"/>
              <w:left w:val="single" w:sz="4" w:space="0" w:color="auto"/>
              <w:bottom w:val="single" w:sz="4" w:space="0" w:color="auto"/>
              <w:right w:val="single" w:sz="4" w:space="0" w:color="auto"/>
            </w:tcBorders>
          </w:tcPr>
          <w:p w14:paraId="5ABC58B1" w14:textId="1722EB97"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204A7726" w14:textId="77777777" w:rsidR="00984B34" w:rsidRPr="009E686F" w:rsidRDefault="00984B34" w:rsidP="00984B34">
            <w:pPr>
              <w:jc w:val="both"/>
              <w:rPr>
                <w:rFonts w:ascii="Times New Roman" w:hAnsi="Times New Roman" w:cs="Times New Roman"/>
                <w:lang w:val="ro-RO"/>
              </w:rPr>
            </w:pPr>
          </w:p>
        </w:tc>
      </w:tr>
      <w:tr w:rsidR="00984B34" w:rsidRPr="009E686F" w14:paraId="120258A4" w14:textId="67741057" w:rsidTr="00774F3E">
        <w:tc>
          <w:tcPr>
            <w:tcW w:w="1796" w:type="pct"/>
            <w:gridSpan w:val="2"/>
            <w:tcBorders>
              <w:top w:val="single" w:sz="4" w:space="0" w:color="auto"/>
              <w:left w:val="single" w:sz="4" w:space="0" w:color="auto"/>
              <w:bottom w:val="single" w:sz="4" w:space="0" w:color="auto"/>
              <w:right w:val="single" w:sz="4" w:space="0" w:color="auto"/>
            </w:tcBorders>
          </w:tcPr>
          <w:p w14:paraId="46504BD4" w14:textId="2E97E07A"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(3) ABE elaborează standarde tehnice de punere în aplicare pentru a stabili formatul, structura, conținutul și data publicării anuale a informațiilor prevăzute la alineatul (1). </w:t>
            </w:r>
          </w:p>
          <w:p w14:paraId="1179D6BD"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ABE înaintează aceste proiecte de standarde tehnice de punere în aplicare Comisiei până la 1 ianuarie 2014. </w:t>
            </w:r>
          </w:p>
          <w:p w14:paraId="0A2FD885"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lastRenderedPageBreak/>
              <w:t>Se conferă Comisiei competența de a adopta standardele tehnice de punere în aplicare menționate la primul paragraf, în conformitate cu articolul 15 din Regulamentul (UE) nr. 1093/2010.</w:t>
            </w:r>
          </w:p>
        </w:tc>
        <w:tc>
          <w:tcPr>
            <w:tcW w:w="1928" w:type="pct"/>
            <w:gridSpan w:val="3"/>
            <w:tcBorders>
              <w:top w:val="single" w:sz="4" w:space="0" w:color="auto"/>
              <w:left w:val="single" w:sz="4" w:space="0" w:color="auto"/>
              <w:bottom w:val="single" w:sz="4" w:space="0" w:color="auto"/>
              <w:right w:val="single" w:sz="4" w:space="0" w:color="auto"/>
            </w:tcBorders>
          </w:tcPr>
          <w:p w14:paraId="4910E59D"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28459F70" w14:textId="4E203BE1"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neaplicabile</w:t>
            </w:r>
          </w:p>
        </w:tc>
        <w:tc>
          <w:tcPr>
            <w:tcW w:w="806" w:type="pct"/>
            <w:tcBorders>
              <w:top w:val="single" w:sz="4" w:space="0" w:color="auto"/>
              <w:left w:val="single" w:sz="4" w:space="0" w:color="auto"/>
              <w:bottom w:val="single" w:sz="4" w:space="0" w:color="auto"/>
              <w:right w:val="single" w:sz="4" w:space="0" w:color="auto"/>
            </w:tcBorders>
          </w:tcPr>
          <w:p w14:paraId="4E3B4099" w14:textId="3E3D829C"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Se referă la competențele ABE.</w:t>
            </w:r>
          </w:p>
        </w:tc>
      </w:tr>
      <w:tr w:rsidR="00984B34" w:rsidRPr="009E686F" w14:paraId="050AD825" w14:textId="2A2FB426" w:rsidTr="00774F3E">
        <w:tc>
          <w:tcPr>
            <w:tcW w:w="1796" w:type="pct"/>
            <w:gridSpan w:val="2"/>
            <w:tcBorders>
              <w:top w:val="single" w:sz="4" w:space="0" w:color="auto"/>
              <w:left w:val="single" w:sz="4" w:space="0" w:color="auto"/>
              <w:bottom w:val="single" w:sz="4" w:space="0" w:color="auto"/>
              <w:right w:val="single" w:sz="4" w:space="0" w:color="auto"/>
            </w:tcBorders>
          </w:tcPr>
          <w:p w14:paraId="7BBDFC25" w14:textId="77777777" w:rsidR="00984B34" w:rsidRPr="009E686F" w:rsidRDefault="00984B34" w:rsidP="00984B34">
            <w:pPr>
              <w:spacing w:after="0"/>
              <w:jc w:val="both"/>
              <w:rPr>
                <w:rFonts w:ascii="Times New Roman" w:hAnsi="Times New Roman" w:cs="Times New Roman"/>
                <w:i/>
                <w:iCs/>
                <w:lang w:val="ro-RO"/>
              </w:rPr>
            </w:pPr>
            <w:r w:rsidRPr="009E686F">
              <w:rPr>
                <w:rFonts w:ascii="Times New Roman" w:hAnsi="Times New Roman" w:cs="Times New Roman"/>
                <w:i/>
                <w:iCs/>
                <w:lang w:val="ro-RO"/>
              </w:rPr>
              <w:t>Articolul 144</w:t>
            </w:r>
          </w:p>
          <w:p w14:paraId="0A14C9AE" w14:textId="427F0330"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Cerințe de publicare specifice</w:t>
            </w:r>
          </w:p>
        </w:tc>
        <w:tc>
          <w:tcPr>
            <w:tcW w:w="1928" w:type="pct"/>
            <w:gridSpan w:val="3"/>
            <w:tcBorders>
              <w:top w:val="single" w:sz="4" w:space="0" w:color="auto"/>
              <w:left w:val="single" w:sz="4" w:space="0" w:color="auto"/>
              <w:bottom w:val="single" w:sz="4" w:space="0" w:color="auto"/>
              <w:right w:val="single" w:sz="4" w:space="0" w:color="auto"/>
            </w:tcBorders>
          </w:tcPr>
          <w:p w14:paraId="7374AF50" w14:textId="7193AC00"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b/>
                <w:bCs/>
                <w:lang w:val="ro-RO"/>
              </w:rPr>
              <w:t>Articolul 137.</w:t>
            </w:r>
            <w:r w:rsidRPr="009E686F">
              <w:rPr>
                <w:rFonts w:ascii="Times New Roman" w:hAnsi="Times New Roman" w:cs="Times New Roman"/>
                <w:lang w:val="ro-RO"/>
              </w:rPr>
              <w:t xml:space="preserve">  Cerințe de publicare specifice</w:t>
            </w:r>
          </w:p>
        </w:tc>
        <w:tc>
          <w:tcPr>
            <w:tcW w:w="470" w:type="pct"/>
            <w:tcBorders>
              <w:top w:val="single" w:sz="4" w:space="0" w:color="auto"/>
              <w:left w:val="single" w:sz="4" w:space="0" w:color="auto"/>
              <w:bottom w:val="single" w:sz="4" w:space="0" w:color="auto"/>
              <w:right w:val="single" w:sz="4" w:space="0" w:color="auto"/>
            </w:tcBorders>
          </w:tcPr>
          <w:p w14:paraId="5E768CF7" w14:textId="79B402D1"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303519E0" w14:textId="77777777" w:rsidR="00984B34" w:rsidRPr="009E686F" w:rsidRDefault="00984B34" w:rsidP="00984B34">
            <w:pPr>
              <w:jc w:val="both"/>
              <w:rPr>
                <w:rFonts w:ascii="Times New Roman" w:hAnsi="Times New Roman" w:cs="Times New Roman"/>
                <w:lang w:val="ro-RO"/>
              </w:rPr>
            </w:pPr>
          </w:p>
        </w:tc>
      </w:tr>
      <w:tr w:rsidR="00984B34" w:rsidRPr="009E686F" w14:paraId="4A920686" w14:textId="541327AA" w:rsidTr="00774F3E">
        <w:tc>
          <w:tcPr>
            <w:tcW w:w="1796" w:type="pct"/>
            <w:gridSpan w:val="2"/>
            <w:tcBorders>
              <w:top w:val="single" w:sz="4" w:space="0" w:color="auto"/>
              <w:left w:val="single" w:sz="4" w:space="0" w:color="auto"/>
              <w:bottom w:val="single" w:sz="4" w:space="0" w:color="auto"/>
              <w:right w:val="single" w:sz="4" w:space="0" w:color="auto"/>
            </w:tcBorders>
          </w:tcPr>
          <w:p w14:paraId="4467CDE6" w14:textId="747E37FC"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(1)În sensul părții a cincea din Regulamentul (UE) nr. 575/2013, autoritățile competente publică următoarele informații:</w:t>
            </w:r>
          </w:p>
        </w:tc>
        <w:tc>
          <w:tcPr>
            <w:tcW w:w="1928" w:type="pct"/>
            <w:gridSpan w:val="3"/>
            <w:tcBorders>
              <w:top w:val="single" w:sz="4" w:space="0" w:color="auto"/>
              <w:left w:val="single" w:sz="4" w:space="0" w:color="auto"/>
              <w:bottom w:val="single" w:sz="4" w:space="0" w:color="auto"/>
              <w:right w:val="single" w:sz="4" w:space="0" w:color="auto"/>
            </w:tcBorders>
          </w:tcPr>
          <w:p w14:paraId="4A56CB71" w14:textId="1248AB6A"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(1) Banca Națională a Moldovei publică următoarele informații în ceea ce privește tratamentul expunerilor la riscul de credit transferat prevăzut de actele normative emise în aplicarea prezentei legi:</w:t>
            </w:r>
          </w:p>
        </w:tc>
        <w:tc>
          <w:tcPr>
            <w:tcW w:w="470" w:type="pct"/>
            <w:tcBorders>
              <w:top w:val="single" w:sz="4" w:space="0" w:color="auto"/>
              <w:left w:val="single" w:sz="4" w:space="0" w:color="auto"/>
              <w:bottom w:val="single" w:sz="4" w:space="0" w:color="auto"/>
              <w:right w:val="single" w:sz="4" w:space="0" w:color="auto"/>
            </w:tcBorders>
          </w:tcPr>
          <w:p w14:paraId="7EC79AFE" w14:textId="1DB38BEE"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109DEAD0" w14:textId="77777777" w:rsidR="00984B34" w:rsidRPr="009E686F" w:rsidRDefault="00984B34" w:rsidP="00984B34">
            <w:pPr>
              <w:jc w:val="both"/>
              <w:rPr>
                <w:rFonts w:ascii="Times New Roman" w:hAnsi="Times New Roman" w:cs="Times New Roman"/>
                <w:lang w:val="ro-RO"/>
              </w:rPr>
            </w:pPr>
          </w:p>
        </w:tc>
      </w:tr>
      <w:tr w:rsidR="00984B34" w:rsidRPr="009E686F" w14:paraId="56413168" w14:textId="6B21FAA1" w:rsidTr="00774F3E">
        <w:tc>
          <w:tcPr>
            <w:tcW w:w="1796" w:type="pct"/>
            <w:gridSpan w:val="2"/>
            <w:tcBorders>
              <w:top w:val="single" w:sz="4" w:space="0" w:color="auto"/>
              <w:left w:val="single" w:sz="4" w:space="0" w:color="auto"/>
              <w:bottom w:val="single" w:sz="4" w:space="0" w:color="auto"/>
              <w:right w:val="single" w:sz="4" w:space="0" w:color="auto"/>
            </w:tcBorders>
          </w:tcPr>
          <w:p w14:paraId="2C2FC6A2" w14:textId="1D51F141"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(a)criteriile generale și metodologiile adoptate pentru a verifica respectarea dispozițiilor de la articolele 405-409 din Regulamentul (UE) nr. 575/2013;</w:t>
            </w:r>
          </w:p>
        </w:tc>
        <w:tc>
          <w:tcPr>
            <w:tcW w:w="1928" w:type="pct"/>
            <w:gridSpan w:val="3"/>
            <w:tcBorders>
              <w:top w:val="single" w:sz="4" w:space="0" w:color="auto"/>
              <w:left w:val="single" w:sz="4" w:space="0" w:color="auto"/>
              <w:bottom w:val="single" w:sz="4" w:space="0" w:color="auto"/>
              <w:right w:val="single" w:sz="4" w:space="0" w:color="auto"/>
            </w:tcBorders>
          </w:tcPr>
          <w:p w14:paraId="2601286E" w14:textId="0F2409DA"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a) criteriile generale și metodologiile adoptate pentru a verifica respectarea cerințelor stabilite prin actele normative respective;</w:t>
            </w:r>
          </w:p>
        </w:tc>
        <w:tc>
          <w:tcPr>
            <w:tcW w:w="470" w:type="pct"/>
            <w:tcBorders>
              <w:top w:val="single" w:sz="4" w:space="0" w:color="auto"/>
              <w:left w:val="single" w:sz="4" w:space="0" w:color="auto"/>
              <w:bottom w:val="single" w:sz="4" w:space="0" w:color="auto"/>
              <w:right w:val="single" w:sz="4" w:space="0" w:color="auto"/>
            </w:tcBorders>
          </w:tcPr>
          <w:p w14:paraId="1578CC45" w14:textId="0C0BFB36"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37FBF876" w14:textId="77777777" w:rsidR="00984B34" w:rsidRPr="009E686F" w:rsidRDefault="00984B34" w:rsidP="00984B34">
            <w:pPr>
              <w:jc w:val="both"/>
              <w:rPr>
                <w:rFonts w:ascii="Times New Roman" w:hAnsi="Times New Roman" w:cs="Times New Roman"/>
                <w:lang w:val="ro-RO"/>
              </w:rPr>
            </w:pPr>
          </w:p>
        </w:tc>
      </w:tr>
      <w:tr w:rsidR="00984B34" w:rsidRPr="009E686F" w14:paraId="08789238" w14:textId="32A08DB0" w:rsidTr="00774F3E">
        <w:tc>
          <w:tcPr>
            <w:tcW w:w="1796" w:type="pct"/>
            <w:gridSpan w:val="2"/>
            <w:tcBorders>
              <w:top w:val="single" w:sz="4" w:space="0" w:color="auto"/>
              <w:left w:val="single" w:sz="4" w:space="0" w:color="auto"/>
              <w:bottom w:val="single" w:sz="4" w:space="0" w:color="auto"/>
              <w:right w:val="single" w:sz="4" w:space="0" w:color="auto"/>
            </w:tcBorders>
          </w:tcPr>
          <w:p w14:paraId="17076929" w14:textId="0C384A6A"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(b) fără a aduce atingere dispozițiilor de la titlul VII capitolul 1 secțiunea II, o descriere succintă a rezultatului analizei prudențiale și o descriere a măsurilor aplicate în cazurile de nerespectare a dispozițiilor de la articolele 405-409 din Regulamentul (UE) nr. 575/2013, identificate anual.</w:t>
            </w:r>
          </w:p>
        </w:tc>
        <w:tc>
          <w:tcPr>
            <w:tcW w:w="1928" w:type="pct"/>
            <w:gridSpan w:val="3"/>
            <w:tcBorders>
              <w:top w:val="single" w:sz="4" w:space="0" w:color="auto"/>
              <w:left w:val="single" w:sz="4" w:space="0" w:color="auto"/>
              <w:bottom w:val="single" w:sz="4" w:space="0" w:color="auto"/>
              <w:right w:val="single" w:sz="4" w:space="0" w:color="auto"/>
            </w:tcBorders>
          </w:tcPr>
          <w:p w14:paraId="2200AFAF" w14:textId="4095C315"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b) fără a aduce atingere prevederilor privind secretul profesional, o descriere succintă a rezultatului verificărilor prudențiale și o descriere a măsurilor aplicate în cazurile de nerespectare de către </w:t>
            </w:r>
            <w:r w:rsidRPr="009E686F">
              <w:rPr>
                <w:rFonts w:ascii="Times New Roman" w:hAnsi="Times New Roman" w:cs="Times New Roman"/>
                <w:i/>
                <w:iCs/>
                <w:lang w:val="ro-RO"/>
              </w:rPr>
              <w:t>instituțiile de credit</w:t>
            </w:r>
            <w:r w:rsidRPr="009E686F">
              <w:rPr>
                <w:rFonts w:ascii="Times New Roman" w:hAnsi="Times New Roman" w:cs="Times New Roman"/>
                <w:lang w:val="ro-RO"/>
              </w:rPr>
              <w:t xml:space="preserve"> a cerințelor prevăzute la lit. a).</w:t>
            </w:r>
          </w:p>
        </w:tc>
        <w:tc>
          <w:tcPr>
            <w:tcW w:w="470" w:type="pct"/>
            <w:tcBorders>
              <w:top w:val="single" w:sz="4" w:space="0" w:color="auto"/>
              <w:left w:val="single" w:sz="4" w:space="0" w:color="auto"/>
              <w:bottom w:val="single" w:sz="4" w:space="0" w:color="auto"/>
              <w:right w:val="single" w:sz="4" w:space="0" w:color="auto"/>
            </w:tcBorders>
          </w:tcPr>
          <w:p w14:paraId="0F609D20" w14:textId="42B1009D"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004DFA21" w14:textId="77777777" w:rsidR="00984B34" w:rsidRPr="009E686F" w:rsidRDefault="00984B34" w:rsidP="00984B34">
            <w:pPr>
              <w:jc w:val="both"/>
              <w:rPr>
                <w:rFonts w:ascii="Times New Roman" w:hAnsi="Times New Roman" w:cs="Times New Roman"/>
                <w:lang w:val="ro-RO"/>
              </w:rPr>
            </w:pPr>
          </w:p>
        </w:tc>
      </w:tr>
      <w:tr w:rsidR="00984B34" w:rsidRPr="009E686F" w14:paraId="43A0C7A3" w14:textId="451978B3" w:rsidTr="00774F3E">
        <w:tc>
          <w:tcPr>
            <w:tcW w:w="1796" w:type="pct"/>
            <w:gridSpan w:val="2"/>
            <w:tcBorders>
              <w:top w:val="single" w:sz="4" w:space="0" w:color="auto"/>
              <w:left w:val="single" w:sz="4" w:space="0" w:color="auto"/>
              <w:bottom w:val="single" w:sz="4" w:space="0" w:color="auto"/>
              <w:right w:val="single" w:sz="4" w:space="0" w:color="auto"/>
            </w:tcBorders>
          </w:tcPr>
          <w:p w14:paraId="2D7A7287" w14:textId="69FE8F93"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(2) Autoritatea competentă dintr-un stat membru care exercită opțiunea prevăzută la articolul 7 alineatul (3) din Regulamentul (UE) nr. 575/2013 publică informațiile de mai jos:</w:t>
            </w:r>
          </w:p>
        </w:tc>
        <w:tc>
          <w:tcPr>
            <w:tcW w:w="1928" w:type="pct"/>
            <w:gridSpan w:val="3"/>
            <w:tcBorders>
              <w:top w:val="single" w:sz="4" w:space="0" w:color="auto"/>
              <w:left w:val="single" w:sz="4" w:space="0" w:color="auto"/>
              <w:bottom w:val="single" w:sz="4" w:space="0" w:color="auto"/>
              <w:right w:val="single" w:sz="4" w:space="0" w:color="auto"/>
            </w:tcBorders>
          </w:tcPr>
          <w:p w14:paraId="088F74BE"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027E5573" w14:textId="39761EDA"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 xml:space="preserve">Norme UE netranspuse </w:t>
            </w:r>
          </w:p>
        </w:tc>
        <w:tc>
          <w:tcPr>
            <w:tcW w:w="806" w:type="pct"/>
            <w:tcBorders>
              <w:top w:val="single" w:sz="4" w:space="0" w:color="auto"/>
              <w:left w:val="single" w:sz="4" w:space="0" w:color="auto"/>
              <w:bottom w:val="single" w:sz="4" w:space="0" w:color="auto"/>
              <w:right w:val="single" w:sz="4" w:space="0" w:color="auto"/>
            </w:tcBorders>
          </w:tcPr>
          <w:p w14:paraId="6180BC8B" w14:textId="4846450C"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-Optiunea de al art.7 (3) din CRR nu a fost exercitata</w:t>
            </w:r>
          </w:p>
        </w:tc>
      </w:tr>
      <w:tr w:rsidR="00984B34" w:rsidRPr="009E686F" w14:paraId="1611231D" w14:textId="7229F0A8" w:rsidTr="00774F3E">
        <w:tc>
          <w:tcPr>
            <w:tcW w:w="1796" w:type="pct"/>
            <w:gridSpan w:val="2"/>
            <w:tcBorders>
              <w:top w:val="single" w:sz="4" w:space="0" w:color="auto"/>
              <w:left w:val="single" w:sz="4" w:space="0" w:color="auto"/>
              <w:bottom w:val="single" w:sz="4" w:space="0" w:color="auto"/>
              <w:right w:val="single" w:sz="4" w:space="0" w:color="auto"/>
            </w:tcBorders>
          </w:tcPr>
          <w:p w14:paraId="44B5927C" w14:textId="6C067F62"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(a)criteriile pe care le aplică pentru a stabili că nu există niciun impediment practic sau legal semnificativ, existent sau potențial, în calea transferului prompt de fonduri proprii sau a rambursării rapide a datoriilor;</w:t>
            </w:r>
          </w:p>
        </w:tc>
        <w:tc>
          <w:tcPr>
            <w:tcW w:w="1928" w:type="pct"/>
            <w:gridSpan w:val="3"/>
            <w:tcBorders>
              <w:top w:val="single" w:sz="4" w:space="0" w:color="auto"/>
              <w:left w:val="single" w:sz="4" w:space="0" w:color="auto"/>
              <w:bottom w:val="single" w:sz="4" w:space="0" w:color="auto"/>
              <w:right w:val="single" w:sz="4" w:space="0" w:color="auto"/>
            </w:tcBorders>
          </w:tcPr>
          <w:p w14:paraId="0F38B7C4"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0DEE9D31" w14:textId="6C87547D"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netranspuse</w:t>
            </w:r>
          </w:p>
        </w:tc>
        <w:tc>
          <w:tcPr>
            <w:tcW w:w="806" w:type="pct"/>
            <w:tcBorders>
              <w:top w:val="single" w:sz="4" w:space="0" w:color="auto"/>
              <w:left w:val="single" w:sz="4" w:space="0" w:color="auto"/>
              <w:bottom w:val="single" w:sz="4" w:space="0" w:color="auto"/>
              <w:right w:val="single" w:sz="4" w:space="0" w:color="auto"/>
            </w:tcBorders>
          </w:tcPr>
          <w:p w14:paraId="55DDE653" w14:textId="5E5864D6"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Optiunea de al art.7 (3) din CRR nu a fost exercitata</w:t>
            </w:r>
          </w:p>
        </w:tc>
      </w:tr>
      <w:tr w:rsidR="00984B34" w:rsidRPr="009E686F" w14:paraId="02E751C4" w14:textId="477589F2" w:rsidTr="00774F3E">
        <w:tc>
          <w:tcPr>
            <w:tcW w:w="1796" w:type="pct"/>
            <w:gridSpan w:val="2"/>
            <w:tcBorders>
              <w:top w:val="single" w:sz="4" w:space="0" w:color="auto"/>
              <w:left w:val="single" w:sz="4" w:space="0" w:color="auto"/>
              <w:bottom w:val="single" w:sz="4" w:space="0" w:color="auto"/>
              <w:right w:val="single" w:sz="4" w:space="0" w:color="auto"/>
            </w:tcBorders>
          </w:tcPr>
          <w:p w14:paraId="13A4C9F9" w14:textId="1C8A2B92"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(b) numărul de instituții-mamă care beneficiază de exercitarea opțiunii menționate la articolul 7 alineatul (3) din Regulamentul (UE) nr. 575/2013 și numărul celor care au filiale într-o țară terță;</w:t>
            </w:r>
          </w:p>
        </w:tc>
        <w:tc>
          <w:tcPr>
            <w:tcW w:w="1928" w:type="pct"/>
            <w:gridSpan w:val="3"/>
            <w:tcBorders>
              <w:top w:val="single" w:sz="4" w:space="0" w:color="auto"/>
              <w:left w:val="single" w:sz="4" w:space="0" w:color="auto"/>
              <w:bottom w:val="single" w:sz="4" w:space="0" w:color="auto"/>
              <w:right w:val="single" w:sz="4" w:space="0" w:color="auto"/>
            </w:tcBorders>
          </w:tcPr>
          <w:p w14:paraId="783500B8"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24699E36" w14:textId="1EC125EA"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netranspuse</w:t>
            </w:r>
          </w:p>
        </w:tc>
        <w:tc>
          <w:tcPr>
            <w:tcW w:w="806" w:type="pct"/>
            <w:tcBorders>
              <w:top w:val="single" w:sz="4" w:space="0" w:color="auto"/>
              <w:left w:val="single" w:sz="4" w:space="0" w:color="auto"/>
              <w:bottom w:val="single" w:sz="4" w:space="0" w:color="auto"/>
              <w:right w:val="single" w:sz="4" w:space="0" w:color="auto"/>
            </w:tcBorders>
          </w:tcPr>
          <w:p w14:paraId="0BC74261" w14:textId="29B18C31"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Optiunea de al art.7 (3) din CRR nu a fost exercitata</w:t>
            </w:r>
          </w:p>
        </w:tc>
      </w:tr>
      <w:tr w:rsidR="00984B34" w:rsidRPr="009E686F" w14:paraId="019DC530" w14:textId="5FEAAA34" w:rsidTr="00774F3E">
        <w:tc>
          <w:tcPr>
            <w:tcW w:w="1796" w:type="pct"/>
            <w:gridSpan w:val="2"/>
            <w:tcBorders>
              <w:top w:val="single" w:sz="4" w:space="0" w:color="auto"/>
              <w:left w:val="single" w:sz="4" w:space="0" w:color="auto"/>
              <w:bottom w:val="single" w:sz="4" w:space="0" w:color="auto"/>
              <w:right w:val="single" w:sz="4" w:space="0" w:color="auto"/>
            </w:tcBorders>
          </w:tcPr>
          <w:p w14:paraId="356D290D" w14:textId="5787C7F4"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lastRenderedPageBreak/>
              <w:t>(c) pe bază agregată, pentru statul membru:</w:t>
            </w:r>
          </w:p>
        </w:tc>
        <w:tc>
          <w:tcPr>
            <w:tcW w:w="1928" w:type="pct"/>
            <w:gridSpan w:val="3"/>
            <w:tcBorders>
              <w:top w:val="single" w:sz="4" w:space="0" w:color="auto"/>
              <w:left w:val="single" w:sz="4" w:space="0" w:color="auto"/>
              <w:bottom w:val="single" w:sz="4" w:space="0" w:color="auto"/>
              <w:right w:val="single" w:sz="4" w:space="0" w:color="auto"/>
            </w:tcBorders>
          </w:tcPr>
          <w:p w14:paraId="40355079"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585CF7DD" w14:textId="6E5187A5"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netranspuse</w:t>
            </w:r>
            <w:r w:rsidRPr="009E686F" w:rsidDel="00612227">
              <w:rPr>
                <w:rFonts w:ascii="Times New Roman" w:hAnsi="Times New Roman" w:cs="Times New Roman"/>
                <w:lang w:val="ro-RO"/>
              </w:rPr>
              <w:t xml:space="preserve"> </w:t>
            </w:r>
          </w:p>
        </w:tc>
        <w:tc>
          <w:tcPr>
            <w:tcW w:w="806" w:type="pct"/>
            <w:tcBorders>
              <w:top w:val="single" w:sz="4" w:space="0" w:color="auto"/>
              <w:left w:val="single" w:sz="4" w:space="0" w:color="auto"/>
              <w:bottom w:val="single" w:sz="4" w:space="0" w:color="auto"/>
              <w:right w:val="single" w:sz="4" w:space="0" w:color="auto"/>
            </w:tcBorders>
          </w:tcPr>
          <w:p w14:paraId="1B01BB0C" w14:textId="3C2BF559"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Optiunea de al art.7 (3) din CRR nu a fost exercitata</w:t>
            </w:r>
          </w:p>
        </w:tc>
      </w:tr>
      <w:tr w:rsidR="00984B34" w:rsidRPr="009E686F" w14:paraId="1E2D12C9" w14:textId="6AD56DA9" w:rsidTr="00774F3E">
        <w:tc>
          <w:tcPr>
            <w:tcW w:w="1796" w:type="pct"/>
            <w:gridSpan w:val="2"/>
            <w:tcBorders>
              <w:top w:val="single" w:sz="4" w:space="0" w:color="auto"/>
              <w:left w:val="single" w:sz="4" w:space="0" w:color="auto"/>
              <w:bottom w:val="single" w:sz="4" w:space="0" w:color="auto"/>
              <w:right w:val="single" w:sz="4" w:space="0" w:color="auto"/>
            </w:tcBorders>
          </w:tcPr>
          <w:p w14:paraId="1D0E80A7" w14:textId="3D6D517A"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(i)valoarea totală a fondurilor proprii pe bază consolidată ale instituției-mamă dintr-un stat membru care beneficiază de exercitarea opțiunii prevăzute la articolul 7 alineatul (3) din Regulamentul (UE) nr. 575/2013, deținute la filiale dintr-o țară terță;</w:t>
            </w:r>
          </w:p>
        </w:tc>
        <w:tc>
          <w:tcPr>
            <w:tcW w:w="1928" w:type="pct"/>
            <w:gridSpan w:val="3"/>
            <w:tcBorders>
              <w:top w:val="single" w:sz="4" w:space="0" w:color="auto"/>
              <w:left w:val="single" w:sz="4" w:space="0" w:color="auto"/>
              <w:bottom w:val="single" w:sz="4" w:space="0" w:color="auto"/>
              <w:right w:val="single" w:sz="4" w:space="0" w:color="auto"/>
            </w:tcBorders>
          </w:tcPr>
          <w:p w14:paraId="184967E7"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5323C443" w14:textId="15569921"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netranspuse</w:t>
            </w:r>
          </w:p>
        </w:tc>
        <w:tc>
          <w:tcPr>
            <w:tcW w:w="806" w:type="pct"/>
            <w:tcBorders>
              <w:top w:val="single" w:sz="4" w:space="0" w:color="auto"/>
              <w:left w:val="single" w:sz="4" w:space="0" w:color="auto"/>
              <w:bottom w:val="single" w:sz="4" w:space="0" w:color="auto"/>
              <w:right w:val="single" w:sz="4" w:space="0" w:color="auto"/>
            </w:tcBorders>
          </w:tcPr>
          <w:p w14:paraId="198A38D4" w14:textId="1F91FE48"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Optiunea de al art.7 (3) din CRR nu a fost exercitata</w:t>
            </w:r>
          </w:p>
        </w:tc>
      </w:tr>
      <w:tr w:rsidR="00984B34" w:rsidRPr="009E686F" w14:paraId="5BEFB9C4" w14:textId="6D090B5D" w:rsidTr="00774F3E">
        <w:tc>
          <w:tcPr>
            <w:tcW w:w="1796" w:type="pct"/>
            <w:gridSpan w:val="2"/>
            <w:tcBorders>
              <w:top w:val="single" w:sz="4" w:space="0" w:color="auto"/>
              <w:left w:val="single" w:sz="4" w:space="0" w:color="auto"/>
              <w:bottom w:val="single" w:sz="4" w:space="0" w:color="auto"/>
              <w:right w:val="single" w:sz="4" w:space="0" w:color="auto"/>
            </w:tcBorders>
          </w:tcPr>
          <w:p w14:paraId="3E9AB6DD" w14:textId="3961519E"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(ii) procentajul de fonduri proprii pe bază consolidată ale instituțiilor-mamă dintr-un stat membru care beneficiază de exercitarea opțiunii menționate la articolul 7 alineatul (3) din regulamentul menționat, reprezentat de fondurile proprii deținute la filiale dintr-o țară terță;</w:t>
            </w:r>
          </w:p>
        </w:tc>
        <w:tc>
          <w:tcPr>
            <w:tcW w:w="1928" w:type="pct"/>
            <w:gridSpan w:val="3"/>
            <w:tcBorders>
              <w:top w:val="single" w:sz="4" w:space="0" w:color="auto"/>
              <w:left w:val="single" w:sz="4" w:space="0" w:color="auto"/>
              <w:bottom w:val="single" w:sz="4" w:space="0" w:color="auto"/>
              <w:right w:val="single" w:sz="4" w:space="0" w:color="auto"/>
            </w:tcBorders>
          </w:tcPr>
          <w:p w14:paraId="7762FBAF"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2B5E4E54" w14:textId="650463E5"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netranspuse</w:t>
            </w:r>
          </w:p>
        </w:tc>
        <w:tc>
          <w:tcPr>
            <w:tcW w:w="806" w:type="pct"/>
            <w:tcBorders>
              <w:top w:val="single" w:sz="4" w:space="0" w:color="auto"/>
              <w:left w:val="single" w:sz="4" w:space="0" w:color="auto"/>
              <w:bottom w:val="single" w:sz="4" w:space="0" w:color="auto"/>
              <w:right w:val="single" w:sz="4" w:space="0" w:color="auto"/>
            </w:tcBorders>
          </w:tcPr>
          <w:p w14:paraId="747C88E0" w14:textId="57ED3034"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Optiunea de al art.7 (3) din CRR nu a fost exercitata</w:t>
            </w:r>
          </w:p>
        </w:tc>
      </w:tr>
      <w:tr w:rsidR="00984B34" w:rsidRPr="009E686F" w14:paraId="43103D2F" w14:textId="6EBFF37C" w:rsidTr="00774F3E">
        <w:tc>
          <w:tcPr>
            <w:tcW w:w="1796" w:type="pct"/>
            <w:gridSpan w:val="2"/>
            <w:tcBorders>
              <w:top w:val="single" w:sz="4" w:space="0" w:color="auto"/>
              <w:left w:val="single" w:sz="4" w:space="0" w:color="auto"/>
              <w:bottom w:val="single" w:sz="4" w:space="0" w:color="auto"/>
              <w:right w:val="single" w:sz="4" w:space="0" w:color="auto"/>
            </w:tcBorders>
          </w:tcPr>
          <w:p w14:paraId="7137FBB0" w14:textId="2D4E31B5"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(iii) procentajul fondurilor proprii totale necesare în temeiul articolului 92 din regulamentul menționat, pe bază consolidată, ale instituțiilor-mamă dintr-un stat membru care beneficiază de exercitarea opțiunii prevăzute la articolul 7 alineatul (3) din regulamentul menționat, reprezentat de fondurile proprii deținute la filiale dintr-o țară terță.</w:t>
            </w:r>
          </w:p>
        </w:tc>
        <w:tc>
          <w:tcPr>
            <w:tcW w:w="1928" w:type="pct"/>
            <w:gridSpan w:val="3"/>
            <w:tcBorders>
              <w:top w:val="single" w:sz="4" w:space="0" w:color="auto"/>
              <w:left w:val="single" w:sz="4" w:space="0" w:color="auto"/>
              <w:bottom w:val="single" w:sz="4" w:space="0" w:color="auto"/>
              <w:right w:val="single" w:sz="4" w:space="0" w:color="auto"/>
            </w:tcBorders>
          </w:tcPr>
          <w:p w14:paraId="4F368600"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79BF82F7" w14:textId="66CAB6B0"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netranspuse</w:t>
            </w:r>
          </w:p>
        </w:tc>
        <w:tc>
          <w:tcPr>
            <w:tcW w:w="806" w:type="pct"/>
            <w:tcBorders>
              <w:top w:val="single" w:sz="4" w:space="0" w:color="auto"/>
              <w:left w:val="single" w:sz="4" w:space="0" w:color="auto"/>
              <w:bottom w:val="single" w:sz="4" w:space="0" w:color="auto"/>
              <w:right w:val="single" w:sz="4" w:space="0" w:color="auto"/>
            </w:tcBorders>
          </w:tcPr>
          <w:p w14:paraId="3FE2959F" w14:textId="39744934"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Optiunea de al art.7 (3) din CRR nu a fost exercitata</w:t>
            </w:r>
          </w:p>
        </w:tc>
      </w:tr>
      <w:tr w:rsidR="00984B34" w:rsidRPr="009E686F" w14:paraId="057D05F4" w14:textId="1A469D8E" w:rsidTr="00774F3E">
        <w:tc>
          <w:tcPr>
            <w:tcW w:w="1796" w:type="pct"/>
            <w:gridSpan w:val="2"/>
            <w:tcBorders>
              <w:top w:val="single" w:sz="4" w:space="0" w:color="auto"/>
              <w:left w:val="single" w:sz="4" w:space="0" w:color="auto"/>
              <w:bottom w:val="single" w:sz="4" w:space="0" w:color="auto"/>
              <w:right w:val="single" w:sz="4" w:space="0" w:color="auto"/>
            </w:tcBorders>
          </w:tcPr>
          <w:p w14:paraId="0CE25D7E" w14:textId="63DD1218"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(3) Autoritatea competentă care exercită opțiunea prevăzută la articolul 9 alineatul (1) din Regulamentul (UE) nr. 575/2013 publică următoarele informații:</w:t>
            </w:r>
          </w:p>
        </w:tc>
        <w:tc>
          <w:tcPr>
            <w:tcW w:w="1928" w:type="pct"/>
            <w:gridSpan w:val="3"/>
            <w:tcBorders>
              <w:top w:val="single" w:sz="4" w:space="0" w:color="auto"/>
              <w:left w:val="single" w:sz="4" w:space="0" w:color="auto"/>
              <w:bottom w:val="single" w:sz="4" w:space="0" w:color="auto"/>
              <w:right w:val="single" w:sz="4" w:space="0" w:color="auto"/>
            </w:tcBorders>
          </w:tcPr>
          <w:p w14:paraId="47E5EE55"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5AF50992" w14:textId="74EB21FE"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netranspuse</w:t>
            </w:r>
          </w:p>
        </w:tc>
        <w:tc>
          <w:tcPr>
            <w:tcW w:w="806" w:type="pct"/>
            <w:tcBorders>
              <w:top w:val="single" w:sz="4" w:space="0" w:color="auto"/>
              <w:left w:val="single" w:sz="4" w:space="0" w:color="auto"/>
              <w:bottom w:val="single" w:sz="4" w:space="0" w:color="auto"/>
              <w:right w:val="single" w:sz="4" w:space="0" w:color="auto"/>
            </w:tcBorders>
          </w:tcPr>
          <w:p w14:paraId="0326F17A" w14:textId="308FE319"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Optiunea de al art.7 (3) din CRR nu a fost exercitata</w:t>
            </w:r>
          </w:p>
        </w:tc>
      </w:tr>
      <w:tr w:rsidR="00984B34" w:rsidRPr="009E686F" w14:paraId="7264A1BA" w14:textId="67DE4D2A" w:rsidTr="00774F3E">
        <w:tc>
          <w:tcPr>
            <w:tcW w:w="1796" w:type="pct"/>
            <w:gridSpan w:val="2"/>
            <w:tcBorders>
              <w:top w:val="single" w:sz="4" w:space="0" w:color="auto"/>
              <w:left w:val="single" w:sz="4" w:space="0" w:color="auto"/>
              <w:bottom w:val="single" w:sz="4" w:space="0" w:color="auto"/>
              <w:right w:val="single" w:sz="4" w:space="0" w:color="auto"/>
            </w:tcBorders>
          </w:tcPr>
          <w:p w14:paraId="200912AE" w14:textId="1EDD0E11"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(a)criteriile pe care le aplică pentru a stabili că nu există niciun impediment practic sau legal semnificativ, existent sau potențial, în calea transferului prompt de fonduri proprii sau a rambursării rapide a datoriilor;</w:t>
            </w:r>
          </w:p>
        </w:tc>
        <w:tc>
          <w:tcPr>
            <w:tcW w:w="1928" w:type="pct"/>
            <w:gridSpan w:val="3"/>
            <w:tcBorders>
              <w:top w:val="single" w:sz="4" w:space="0" w:color="auto"/>
              <w:left w:val="single" w:sz="4" w:space="0" w:color="auto"/>
              <w:bottom w:val="single" w:sz="4" w:space="0" w:color="auto"/>
              <w:right w:val="single" w:sz="4" w:space="0" w:color="auto"/>
            </w:tcBorders>
          </w:tcPr>
          <w:p w14:paraId="03D8E148"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32473FBA" w14:textId="139897FC"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netranspuse</w:t>
            </w:r>
          </w:p>
        </w:tc>
        <w:tc>
          <w:tcPr>
            <w:tcW w:w="806" w:type="pct"/>
            <w:tcBorders>
              <w:top w:val="single" w:sz="4" w:space="0" w:color="auto"/>
              <w:left w:val="single" w:sz="4" w:space="0" w:color="auto"/>
              <w:bottom w:val="single" w:sz="4" w:space="0" w:color="auto"/>
              <w:right w:val="single" w:sz="4" w:space="0" w:color="auto"/>
            </w:tcBorders>
          </w:tcPr>
          <w:p w14:paraId="18038237" w14:textId="114E6EEC"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Optiunea de al art.7 (3) din CRR nu a fost exercitata</w:t>
            </w:r>
          </w:p>
        </w:tc>
      </w:tr>
      <w:tr w:rsidR="00984B34" w:rsidRPr="009E686F" w14:paraId="2EADA0B5" w14:textId="6A1CBD46" w:rsidTr="00774F3E">
        <w:tc>
          <w:tcPr>
            <w:tcW w:w="1796" w:type="pct"/>
            <w:gridSpan w:val="2"/>
            <w:tcBorders>
              <w:top w:val="single" w:sz="4" w:space="0" w:color="auto"/>
              <w:left w:val="single" w:sz="4" w:space="0" w:color="auto"/>
              <w:bottom w:val="single" w:sz="4" w:space="0" w:color="auto"/>
              <w:right w:val="single" w:sz="4" w:space="0" w:color="auto"/>
            </w:tcBorders>
          </w:tcPr>
          <w:p w14:paraId="432B3EA1" w14:textId="66127401"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(b) numărul de instituții-mamă care beneficiază de exercitarea opțiunii menționate la articolul 9 alineatul (1) </w:t>
            </w:r>
            <w:r w:rsidRPr="009E686F">
              <w:rPr>
                <w:rFonts w:ascii="Times New Roman" w:hAnsi="Times New Roman" w:cs="Times New Roman"/>
                <w:lang w:val="ro-RO"/>
              </w:rPr>
              <w:lastRenderedPageBreak/>
              <w:t>din Regulamentul (UE) nr. 575/2013 și numărul acestor instituții-mamă care au filiale într-o țară terță;</w:t>
            </w:r>
          </w:p>
        </w:tc>
        <w:tc>
          <w:tcPr>
            <w:tcW w:w="1928" w:type="pct"/>
            <w:gridSpan w:val="3"/>
            <w:tcBorders>
              <w:top w:val="single" w:sz="4" w:space="0" w:color="auto"/>
              <w:left w:val="single" w:sz="4" w:space="0" w:color="auto"/>
              <w:bottom w:val="single" w:sz="4" w:space="0" w:color="auto"/>
              <w:right w:val="single" w:sz="4" w:space="0" w:color="auto"/>
            </w:tcBorders>
          </w:tcPr>
          <w:p w14:paraId="5DE86482"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3764BCD9" w14:textId="2ECC310A"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netranspuse</w:t>
            </w:r>
          </w:p>
        </w:tc>
        <w:tc>
          <w:tcPr>
            <w:tcW w:w="806" w:type="pct"/>
            <w:tcBorders>
              <w:top w:val="single" w:sz="4" w:space="0" w:color="auto"/>
              <w:left w:val="single" w:sz="4" w:space="0" w:color="auto"/>
              <w:bottom w:val="single" w:sz="4" w:space="0" w:color="auto"/>
              <w:right w:val="single" w:sz="4" w:space="0" w:color="auto"/>
            </w:tcBorders>
          </w:tcPr>
          <w:p w14:paraId="00E692EA" w14:textId="5419BB0B"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Optiunea de al art.7 (3) din CRR nu a fost exercitata</w:t>
            </w:r>
          </w:p>
        </w:tc>
      </w:tr>
      <w:tr w:rsidR="00984B34" w:rsidRPr="009E686F" w14:paraId="1F0E5E51" w14:textId="79551208" w:rsidTr="00774F3E">
        <w:tc>
          <w:tcPr>
            <w:tcW w:w="1796" w:type="pct"/>
            <w:gridSpan w:val="2"/>
            <w:tcBorders>
              <w:top w:val="single" w:sz="4" w:space="0" w:color="auto"/>
              <w:left w:val="single" w:sz="4" w:space="0" w:color="auto"/>
              <w:bottom w:val="single" w:sz="4" w:space="0" w:color="auto"/>
              <w:right w:val="single" w:sz="4" w:space="0" w:color="auto"/>
            </w:tcBorders>
          </w:tcPr>
          <w:p w14:paraId="1AEF8677" w14:textId="444B8A83"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(c) pe bază agregată, pentru statul membru</w:t>
            </w:r>
          </w:p>
        </w:tc>
        <w:tc>
          <w:tcPr>
            <w:tcW w:w="1928" w:type="pct"/>
            <w:gridSpan w:val="3"/>
            <w:tcBorders>
              <w:top w:val="single" w:sz="4" w:space="0" w:color="auto"/>
              <w:left w:val="single" w:sz="4" w:space="0" w:color="auto"/>
              <w:bottom w:val="single" w:sz="4" w:space="0" w:color="auto"/>
              <w:right w:val="single" w:sz="4" w:space="0" w:color="auto"/>
            </w:tcBorders>
          </w:tcPr>
          <w:p w14:paraId="75B7F50A"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2D4083D5" w14:textId="1E2D4014"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netranspuse</w:t>
            </w:r>
          </w:p>
        </w:tc>
        <w:tc>
          <w:tcPr>
            <w:tcW w:w="806" w:type="pct"/>
            <w:tcBorders>
              <w:top w:val="single" w:sz="4" w:space="0" w:color="auto"/>
              <w:left w:val="single" w:sz="4" w:space="0" w:color="auto"/>
              <w:bottom w:val="single" w:sz="4" w:space="0" w:color="auto"/>
              <w:right w:val="single" w:sz="4" w:space="0" w:color="auto"/>
            </w:tcBorders>
          </w:tcPr>
          <w:p w14:paraId="71ABC277" w14:textId="2DF963AB"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Optiunea de al art.7 (3) din CRR nu a fost exercitata</w:t>
            </w:r>
          </w:p>
        </w:tc>
      </w:tr>
      <w:tr w:rsidR="00984B34" w:rsidRPr="009E686F" w14:paraId="5E848E0A" w14:textId="084B8AAB" w:rsidTr="00774F3E">
        <w:tc>
          <w:tcPr>
            <w:tcW w:w="1796" w:type="pct"/>
            <w:gridSpan w:val="2"/>
            <w:tcBorders>
              <w:top w:val="single" w:sz="4" w:space="0" w:color="auto"/>
              <w:left w:val="single" w:sz="4" w:space="0" w:color="auto"/>
              <w:bottom w:val="single" w:sz="4" w:space="0" w:color="auto"/>
              <w:right w:val="single" w:sz="4" w:space="0" w:color="auto"/>
            </w:tcBorders>
          </w:tcPr>
          <w:p w14:paraId="47ABE1C8" w14:textId="4A36BFB8"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(i) valoarea totală a fondurilor proprii ale instituțiilor-mamă care beneficiază de exercitarea opțiunii menționate la articolul 9 alineatul (1) din Regulamentul (UE) nr. 575/2013, deținute la filiale dintr-o țară terță;</w:t>
            </w:r>
          </w:p>
        </w:tc>
        <w:tc>
          <w:tcPr>
            <w:tcW w:w="1928" w:type="pct"/>
            <w:gridSpan w:val="3"/>
            <w:tcBorders>
              <w:top w:val="single" w:sz="4" w:space="0" w:color="auto"/>
              <w:left w:val="single" w:sz="4" w:space="0" w:color="auto"/>
              <w:bottom w:val="single" w:sz="4" w:space="0" w:color="auto"/>
              <w:right w:val="single" w:sz="4" w:space="0" w:color="auto"/>
            </w:tcBorders>
          </w:tcPr>
          <w:p w14:paraId="5EBFAEBF"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7A9FC63A" w14:textId="49000D91"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netranspuse</w:t>
            </w:r>
          </w:p>
        </w:tc>
        <w:tc>
          <w:tcPr>
            <w:tcW w:w="806" w:type="pct"/>
            <w:tcBorders>
              <w:top w:val="single" w:sz="4" w:space="0" w:color="auto"/>
              <w:left w:val="single" w:sz="4" w:space="0" w:color="auto"/>
              <w:bottom w:val="single" w:sz="4" w:space="0" w:color="auto"/>
              <w:right w:val="single" w:sz="4" w:space="0" w:color="auto"/>
            </w:tcBorders>
          </w:tcPr>
          <w:p w14:paraId="5208F95E" w14:textId="53716E30"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Optiunea de al art.7 (3) din CRR nu a fost exercitata</w:t>
            </w:r>
          </w:p>
        </w:tc>
      </w:tr>
      <w:tr w:rsidR="00984B34" w:rsidRPr="009E686F" w14:paraId="634F1576" w14:textId="65DE2866" w:rsidTr="00774F3E">
        <w:tc>
          <w:tcPr>
            <w:tcW w:w="1796" w:type="pct"/>
            <w:gridSpan w:val="2"/>
            <w:tcBorders>
              <w:top w:val="single" w:sz="4" w:space="0" w:color="auto"/>
              <w:left w:val="single" w:sz="4" w:space="0" w:color="auto"/>
              <w:bottom w:val="single" w:sz="4" w:space="0" w:color="auto"/>
              <w:right w:val="single" w:sz="4" w:space="0" w:color="auto"/>
            </w:tcBorders>
          </w:tcPr>
          <w:p w14:paraId="158605DB" w14:textId="5AFA032B"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(ii) procentajul fondurilor proprii totale ale instituțiilor-mamă care beneficiază de exercitarea opțiunii menționate la articolul 9 alineatul (1) din Regulamentul (UE) nr. 575/2013, reprezentat de fondurile proprii deținute la filiale dintr-o țară terță;</w:t>
            </w:r>
          </w:p>
        </w:tc>
        <w:tc>
          <w:tcPr>
            <w:tcW w:w="1928" w:type="pct"/>
            <w:gridSpan w:val="3"/>
            <w:tcBorders>
              <w:top w:val="single" w:sz="4" w:space="0" w:color="auto"/>
              <w:left w:val="single" w:sz="4" w:space="0" w:color="auto"/>
              <w:bottom w:val="single" w:sz="4" w:space="0" w:color="auto"/>
              <w:right w:val="single" w:sz="4" w:space="0" w:color="auto"/>
            </w:tcBorders>
          </w:tcPr>
          <w:p w14:paraId="513A522E"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456F8BB2" w14:textId="22154666"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netranspuse</w:t>
            </w:r>
          </w:p>
        </w:tc>
        <w:tc>
          <w:tcPr>
            <w:tcW w:w="806" w:type="pct"/>
            <w:tcBorders>
              <w:top w:val="single" w:sz="4" w:space="0" w:color="auto"/>
              <w:left w:val="single" w:sz="4" w:space="0" w:color="auto"/>
              <w:bottom w:val="single" w:sz="4" w:space="0" w:color="auto"/>
              <w:right w:val="single" w:sz="4" w:space="0" w:color="auto"/>
            </w:tcBorders>
          </w:tcPr>
          <w:p w14:paraId="46C887E1" w14:textId="419D03D3"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Optiunea de al art.7 (3) din CRR nu a fost exercitata</w:t>
            </w:r>
          </w:p>
        </w:tc>
      </w:tr>
      <w:tr w:rsidR="00984B34" w:rsidRPr="009E686F" w14:paraId="29E4E326" w14:textId="7CC152D0" w:rsidTr="00774F3E">
        <w:tc>
          <w:tcPr>
            <w:tcW w:w="1796" w:type="pct"/>
            <w:gridSpan w:val="2"/>
            <w:tcBorders>
              <w:top w:val="single" w:sz="4" w:space="0" w:color="auto"/>
              <w:left w:val="single" w:sz="4" w:space="0" w:color="auto"/>
              <w:bottom w:val="single" w:sz="4" w:space="0" w:color="auto"/>
              <w:right w:val="single" w:sz="4" w:space="0" w:color="auto"/>
            </w:tcBorders>
          </w:tcPr>
          <w:p w14:paraId="06C536E0" w14:textId="473D7374"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(iii) procentajul fondurilor proprii totale necesare în temeiul articolului 92 din Regulamentul (UE) nr. 575/2013 ale instituțiilor-mamă care beneficiază de exercitarea opțiunii prevăzute la articolul 9 alineatul (1) din regulamentul menționat, reprezentat de fondurile proprii deținute la filiale dintr-o țară terță.</w:t>
            </w:r>
          </w:p>
        </w:tc>
        <w:tc>
          <w:tcPr>
            <w:tcW w:w="1928" w:type="pct"/>
            <w:gridSpan w:val="3"/>
            <w:tcBorders>
              <w:top w:val="single" w:sz="4" w:space="0" w:color="auto"/>
              <w:left w:val="single" w:sz="4" w:space="0" w:color="auto"/>
              <w:bottom w:val="single" w:sz="4" w:space="0" w:color="auto"/>
              <w:right w:val="single" w:sz="4" w:space="0" w:color="auto"/>
            </w:tcBorders>
          </w:tcPr>
          <w:p w14:paraId="0B87A55B"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6DDF4848" w14:textId="253A7EEA"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netranspuse</w:t>
            </w:r>
          </w:p>
        </w:tc>
        <w:tc>
          <w:tcPr>
            <w:tcW w:w="806" w:type="pct"/>
            <w:tcBorders>
              <w:top w:val="single" w:sz="4" w:space="0" w:color="auto"/>
              <w:left w:val="single" w:sz="4" w:space="0" w:color="auto"/>
              <w:bottom w:val="single" w:sz="4" w:space="0" w:color="auto"/>
              <w:right w:val="single" w:sz="4" w:space="0" w:color="auto"/>
            </w:tcBorders>
          </w:tcPr>
          <w:p w14:paraId="3CBF0ACB" w14:textId="0427C151"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Optiunea de al art.7 (3) din CRR nu a fost exercitata</w:t>
            </w:r>
          </w:p>
        </w:tc>
      </w:tr>
      <w:tr w:rsidR="00984B34" w:rsidRPr="009E686F" w14:paraId="720F02BF"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73306CFC"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TITLUL IX</w:t>
            </w:r>
          </w:p>
          <w:p w14:paraId="70554441" w14:textId="23D1E48D" w:rsidR="00984B34" w:rsidRPr="009E686F" w:rsidRDefault="00984B34" w:rsidP="00984B34">
            <w:pPr>
              <w:spacing w:after="0"/>
              <w:jc w:val="both"/>
              <w:rPr>
                <w:rFonts w:ascii="Times New Roman" w:hAnsi="Times New Roman" w:cs="Times New Roman"/>
                <w:b/>
                <w:bCs/>
                <w:lang w:val="ro-RO"/>
              </w:rPr>
            </w:pPr>
            <w:r w:rsidRPr="009E686F">
              <w:rPr>
                <w:rFonts w:ascii="Times New Roman" w:hAnsi="Times New Roman" w:cs="Times New Roman"/>
                <w:b/>
                <w:bCs/>
                <w:lang w:val="ro-RO"/>
              </w:rPr>
              <w:t>ACTE DELEGATE ȘI DE PUNERE ÎN APLICARE</w:t>
            </w:r>
          </w:p>
        </w:tc>
        <w:tc>
          <w:tcPr>
            <w:tcW w:w="1928" w:type="pct"/>
            <w:gridSpan w:val="3"/>
            <w:tcBorders>
              <w:top w:val="single" w:sz="4" w:space="0" w:color="auto"/>
              <w:left w:val="single" w:sz="4" w:space="0" w:color="auto"/>
              <w:bottom w:val="single" w:sz="4" w:space="0" w:color="auto"/>
              <w:right w:val="single" w:sz="4" w:space="0" w:color="auto"/>
            </w:tcBorders>
          </w:tcPr>
          <w:p w14:paraId="33C2FAC3"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5A1AD35F" w14:textId="77777777"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522BB6C2" w14:textId="77777777" w:rsidR="00984B34" w:rsidRPr="009E686F" w:rsidRDefault="00984B34" w:rsidP="00984B34">
            <w:pPr>
              <w:jc w:val="both"/>
              <w:rPr>
                <w:rFonts w:ascii="Times New Roman" w:hAnsi="Times New Roman" w:cs="Times New Roman"/>
                <w:lang w:val="ro-RO"/>
              </w:rPr>
            </w:pPr>
          </w:p>
        </w:tc>
      </w:tr>
      <w:tr w:rsidR="00984B34" w:rsidRPr="009E686F" w14:paraId="6D0B6308"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1C19FE0B" w14:textId="77777777" w:rsidR="00984B34" w:rsidRPr="009E686F" w:rsidRDefault="00984B34" w:rsidP="00984B34">
            <w:pPr>
              <w:spacing w:after="0"/>
              <w:jc w:val="both"/>
              <w:rPr>
                <w:rFonts w:ascii="Times New Roman" w:hAnsi="Times New Roman" w:cs="Times New Roman"/>
                <w:i/>
                <w:iCs/>
                <w:lang w:val="ro-RO"/>
              </w:rPr>
            </w:pPr>
            <w:r w:rsidRPr="009E686F">
              <w:rPr>
                <w:rFonts w:ascii="Times New Roman" w:hAnsi="Times New Roman" w:cs="Times New Roman"/>
                <w:i/>
                <w:iCs/>
                <w:lang w:val="ro-RO"/>
              </w:rPr>
              <w:t xml:space="preserve">Articolul 145 </w:t>
            </w:r>
          </w:p>
          <w:p w14:paraId="2C33AAA3"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Acte delegate</w:t>
            </w:r>
          </w:p>
          <w:p w14:paraId="5526035C"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Comisia este abilitată să adopte acte delegate în conformitate cu articolul 148 privind următoarele:</w:t>
            </w:r>
          </w:p>
          <w:p w14:paraId="2E5BB997"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(a)clarificarea definițiilor menționate la articolul 3 și articolul 128 pentru a asigura aplicarea uniformă a prezentei directive;</w:t>
            </w:r>
          </w:p>
          <w:p w14:paraId="0FEB8F2E"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(b) clarificarea definițiilor menționate la articolul 3 și articolul 128, astfel încât să se țină seama, la punerea în </w:t>
            </w:r>
            <w:r w:rsidRPr="009E686F">
              <w:rPr>
                <w:rFonts w:ascii="Times New Roman" w:hAnsi="Times New Roman" w:cs="Times New Roman"/>
                <w:lang w:val="ro-RO"/>
              </w:rPr>
              <w:lastRenderedPageBreak/>
              <w:t>aplicare a prezentei directive, de evoluțiile de pe piețele financiare;</w:t>
            </w:r>
          </w:p>
          <w:p w14:paraId="5AE08976"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(c) adaptarea terminologiei și a formulării definițiilor menționate la articolul 3 în conformitate cu dispozițiile actelor ulterioare privind instituțiile și domeniile conexe;</w:t>
            </w:r>
          </w:p>
          <w:p w14:paraId="73066515"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(d) ajustările valorilor menționate la articolul 31 alineatul (1), pentru a ține seama de modificările indicelui european al prețurilor de consum publicat de Eurostat, în concordanță și concomitent cu modificările efectuate în temeiul articolului 4 alineatul (7) din Directiva 2002/92/CE;</w:t>
            </w:r>
          </w:p>
          <w:p w14:paraId="5760C213"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(e) îmbogățirea conținutului listei menționate la articolele 33 și 34 și specificate în anexa I sau adaptarea terminologiei folosite în acea listă, astfel încât să se țină seama de evoluțiile de pe piețele financiare;</w:t>
            </w:r>
          </w:p>
          <w:p w14:paraId="36023F06"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(f) identificarea domeniilor în care autoritățile competente trebuie să facă schimb de informații, în conformitate cu articolul 50;</w:t>
            </w:r>
          </w:p>
          <w:p w14:paraId="0F38A725"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(g) adaptarea dispozițiilor articolelor 76-88 și articolului 98, astfel încât să se țină seama de evoluția piețelor financiare (în special de apariția noilor produse financiare) sau a standardelor sau cerințelor contabile care țin seama de dreptul Uniunii sau în ceea ce privește convergența practicilor de supraveghere;</w:t>
            </w:r>
          </w:p>
          <w:p w14:paraId="0B70E161"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(h) reportarea obligației în materie de informare în conformitate cu articolul 89 alineatul (1) al doilea paragraf, în cazul în care raportul Comisiei transmis în temeiul primului paragraf identifică efecte negative semnificative;</w:t>
            </w:r>
          </w:p>
          <w:p w14:paraId="37F88EDA" w14:textId="0482FCCA"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(i) adaptarea criteriilor stabilite la articolul 23 alineatul (1), pentru a ține seama de evoluțiile viitoare și pentru a asigura o aplicare uniformă a prezentei directive.</w:t>
            </w:r>
          </w:p>
        </w:tc>
        <w:tc>
          <w:tcPr>
            <w:tcW w:w="1928" w:type="pct"/>
            <w:gridSpan w:val="3"/>
            <w:tcBorders>
              <w:top w:val="single" w:sz="4" w:space="0" w:color="auto"/>
              <w:left w:val="single" w:sz="4" w:space="0" w:color="auto"/>
              <w:bottom w:val="single" w:sz="4" w:space="0" w:color="auto"/>
              <w:right w:val="single" w:sz="4" w:space="0" w:color="auto"/>
            </w:tcBorders>
          </w:tcPr>
          <w:p w14:paraId="558D0C59"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1027C4FA"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Norme UE neaplicabile</w:t>
            </w:r>
          </w:p>
          <w:p w14:paraId="1F1F934B" w14:textId="77777777"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1962595F" w14:textId="60BC5DD8"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Se referă la competențele Comisiei Europene</w:t>
            </w:r>
          </w:p>
        </w:tc>
      </w:tr>
      <w:tr w:rsidR="00984B34" w:rsidRPr="009E686F" w14:paraId="4EDC6983" w14:textId="230FBD77" w:rsidTr="00774F3E">
        <w:tc>
          <w:tcPr>
            <w:tcW w:w="1796" w:type="pct"/>
            <w:gridSpan w:val="2"/>
            <w:tcBorders>
              <w:top w:val="single" w:sz="4" w:space="0" w:color="auto"/>
              <w:left w:val="single" w:sz="4" w:space="0" w:color="auto"/>
              <w:bottom w:val="single" w:sz="4" w:space="0" w:color="auto"/>
              <w:right w:val="single" w:sz="4" w:space="0" w:color="auto"/>
            </w:tcBorders>
          </w:tcPr>
          <w:p w14:paraId="32B01391" w14:textId="77777777" w:rsidR="00984B34" w:rsidRPr="009E686F" w:rsidRDefault="00984B34" w:rsidP="00984B34">
            <w:pPr>
              <w:spacing w:after="0"/>
              <w:jc w:val="both"/>
              <w:rPr>
                <w:rFonts w:ascii="Times New Roman" w:hAnsi="Times New Roman" w:cs="Times New Roman"/>
                <w:i/>
                <w:iCs/>
                <w:lang w:val="ro-RO"/>
              </w:rPr>
            </w:pPr>
            <w:r w:rsidRPr="009E686F">
              <w:rPr>
                <w:rFonts w:ascii="Times New Roman" w:hAnsi="Times New Roman" w:cs="Times New Roman"/>
                <w:i/>
                <w:iCs/>
                <w:lang w:val="ro-RO"/>
              </w:rPr>
              <w:lastRenderedPageBreak/>
              <w:t xml:space="preserve">Articolul 146 </w:t>
            </w:r>
          </w:p>
          <w:p w14:paraId="0F6CEE73" w14:textId="01FEB3BC"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Acte de punere în aplicare</w:t>
            </w:r>
          </w:p>
          <w:p w14:paraId="1573B8C9" w14:textId="3A7E5611"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În conformitate cu procedura de examinare menționată la articolul 147 alineatul (2), o modificare a valorii capitalului inițial prevăzute la articolul 12 și în titlul IV, astfel încât să se țină seama de evoluțiile din domeniul economic și monetar, se adoptă printr-un act de punere în aplicare.</w:t>
            </w:r>
          </w:p>
        </w:tc>
        <w:tc>
          <w:tcPr>
            <w:tcW w:w="1928" w:type="pct"/>
            <w:gridSpan w:val="3"/>
            <w:tcBorders>
              <w:top w:val="single" w:sz="4" w:space="0" w:color="auto"/>
              <w:left w:val="single" w:sz="4" w:space="0" w:color="auto"/>
              <w:bottom w:val="single" w:sz="4" w:space="0" w:color="auto"/>
              <w:right w:val="single" w:sz="4" w:space="0" w:color="auto"/>
            </w:tcBorders>
          </w:tcPr>
          <w:p w14:paraId="661CFE52"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479C3650" w14:textId="52BA1248"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neaplicabile</w:t>
            </w:r>
          </w:p>
        </w:tc>
        <w:tc>
          <w:tcPr>
            <w:tcW w:w="806" w:type="pct"/>
            <w:tcBorders>
              <w:top w:val="single" w:sz="4" w:space="0" w:color="auto"/>
              <w:left w:val="single" w:sz="4" w:space="0" w:color="auto"/>
              <w:bottom w:val="single" w:sz="4" w:space="0" w:color="auto"/>
              <w:right w:val="single" w:sz="4" w:space="0" w:color="auto"/>
            </w:tcBorders>
          </w:tcPr>
          <w:p w14:paraId="4962EC37" w14:textId="4C767F59" w:rsidR="00984B34" w:rsidRPr="009E686F" w:rsidRDefault="00984B34" w:rsidP="00984B34">
            <w:pPr>
              <w:jc w:val="both"/>
              <w:rPr>
                <w:rFonts w:ascii="Times New Roman" w:hAnsi="Times New Roman" w:cs="Times New Roman"/>
                <w:lang w:val="ro-RO"/>
              </w:rPr>
            </w:pPr>
          </w:p>
        </w:tc>
      </w:tr>
      <w:tr w:rsidR="00984B34" w:rsidRPr="009E686F" w14:paraId="408E44E1" w14:textId="3CF16B76" w:rsidTr="00774F3E">
        <w:trPr>
          <w:trHeight w:val="2978"/>
        </w:trPr>
        <w:tc>
          <w:tcPr>
            <w:tcW w:w="1796" w:type="pct"/>
            <w:gridSpan w:val="2"/>
            <w:tcBorders>
              <w:top w:val="single" w:sz="4" w:space="0" w:color="auto"/>
              <w:left w:val="single" w:sz="4" w:space="0" w:color="auto"/>
              <w:right w:val="single" w:sz="4" w:space="0" w:color="auto"/>
            </w:tcBorders>
          </w:tcPr>
          <w:p w14:paraId="7FA7AC0D" w14:textId="77777777" w:rsidR="00984B34" w:rsidRPr="009E686F" w:rsidRDefault="00984B34" w:rsidP="00984B34">
            <w:pPr>
              <w:spacing w:after="0"/>
              <w:jc w:val="both"/>
              <w:rPr>
                <w:rFonts w:ascii="Times New Roman" w:hAnsi="Times New Roman" w:cs="Times New Roman"/>
                <w:i/>
                <w:iCs/>
                <w:lang w:val="ro-RO"/>
              </w:rPr>
            </w:pPr>
            <w:r w:rsidRPr="009E686F">
              <w:rPr>
                <w:rFonts w:ascii="Times New Roman" w:hAnsi="Times New Roman" w:cs="Times New Roman"/>
                <w:i/>
                <w:iCs/>
                <w:lang w:val="ro-RO"/>
              </w:rPr>
              <w:t xml:space="preserve">Articolul 147 </w:t>
            </w:r>
          </w:p>
          <w:p w14:paraId="6386ECF9"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Comitetul bancar european</w:t>
            </w:r>
          </w:p>
          <w:p w14:paraId="5B6CCB25"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(1)Pentru adoptarea actelor de punere în aplicare, Comisia este sprijinită de Comitetul bancar european. Acesta este un comitet în sensul articolului 3 alineatul (2) din Regulamentul (UE) nr. 182/2011.</w:t>
            </w:r>
          </w:p>
          <w:p w14:paraId="3D4315CC" w14:textId="77BA36C9"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(2) În cazul în care se face trimitere la prezentul alineat, se aplică articolul 5 din Regulamentul (UE) nr. 182/2011.</w:t>
            </w:r>
          </w:p>
        </w:tc>
        <w:tc>
          <w:tcPr>
            <w:tcW w:w="1928" w:type="pct"/>
            <w:gridSpan w:val="3"/>
            <w:tcBorders>
              <w:top w:val="single" w:sz="4" w:space="0" w:color="auto"/>
              <w:left w:val="single" w:sz="4" w:space="0" w:color="auto"/>
              <w:right w:val="single" w:sz="4" w:space="0" w:color="auto"/>
            </w:tcBorders>
          </w:tcPr>
          <w:p w14:paraId="3381E06E"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right w:val="single" w:sz="4" w:space="0" w:color="auto"/>
            </w:tcBorders>
          </w:tcPr>
          <w:p w14:paraId="5DABB33D" w14:textId="77777777"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neaplicabile</w:t>
            </w:r>
          </w:p>
          <w:p w14:paraId="188BA6E4" w14:textId="0D8AD1AC"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right w:val="single" w:sz="4" w:space="0" w:color="auto"/>
            </w:tcBorders>
          </w:tcPr>
          <w:p w14:paraId="16163024" w14:textId="2E7E0734"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Se referă la Comitetul Bancar european</w:t>
            </w:r>
          </w:p>
        </w:tc>
      </w:tr>
      <w:tr w:rsidR="00984B34" w:rsidRPr="009E686F" w14:paraId="1F6A2EDE" w14:textId="77777777" w:rsidTr="00774F3E">
        <w:trPr>
          <w:trHeight w:val="2978"/>
        </w:trPr>
        <w:tc>
          <w:tcPr>
            <w:tcW w:w="1796" w:type="pct"/>
            <w:gridSpan w:val="2"/>
            <w:tcBorders>
              <w:top w:val="single" w:sz="4" w:space="0" w:color="auto"/>
              <w:left w:val="single" w:sz="4" w:space="0" w:color="auto"/>
              <w:right w:val="single" w:sz="4" w:space="0" w:color="auto"/>
            </w:tcBorders>
          </w:tcPr>
          <w:p w14:paraId="17130DC0" w14:textId="77777777" w:rsidR="00984B34" w:rsidRPr="009E686F" w:rsidRDefault="00984B34" w:rsidP="00984B34">
            <w:pPr>
              <w:spacing w:after="0"/>
              <w:jc w:val="both"/>
              <w:rPr>
                <w:rFonts w:ascii="Times New Roman" w:hAnsi="Times New Roman" w:cs="Times New Roman"/>
                <w:i/>
                <w:iCs/>
                <w:lang w:val="ro-RO"/>
              </w:rPr>
            </w:pPr>
            <w:r w:rsidRPr="009E686F">
              <w:rPr>
                <w:rFonts w:ascii="Times New Roman" w:hAnsi="Times New Roman" w:cs="Times New Roman"/>
                <w:i/>
                <w:iCs/>
                <w:lang w:val="ro-RO"/>
              </w:rPr>
              <w:t xml:space="preserve">Articolul 148 </w:t>
            </w:r>
          </w:p>
          <w:p w14:paraId="51032DE1"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Exercitarea competențelor delegate</w:t>
            </w:r>
          </w:p>
          <w:p w14:paraId="0203F43F" w14:textId="77777777" w:rsidR="00984B34" w:rsidRPr="009E686F" w:rsidRDefault="00984B34" w:rsidP="00984B34">
            <w:pPr>
              <w:spacing w:after="0"/>
              <w:jc w:val="both"/>
              <w:rPr>
                <w:rFonts w:ascii="Times New Roman" w:hAnsi="Times New Roman" w:cs="Times New Roman"/>
                <w:lang w:val="ro-RO"/>
              </w:rPr>
            </w:pPr>
          </w:p>
          <w:p w14:paraId="6CBDD0C1"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(1)Se conferă Comisiei competența de a adopta acte delegate, cu respectarea condițiilor stabilite în prezentul articol.</w:t>
            </w:r>
          </w:p>
          <w:p w14:paraId="48FE5AFA"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(2) Delegarea de competențe menționată la articolul 145 se conferă pentru o perioadă de timp nedeterminată începând cu 17 iulie 2013.</w:t>
            </w:r>
          </w:p>
          <w:p w14:paraId="60F4F1B9"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(3) Delegarea competențelor menționată la articolul 145 poate fi revocată în orice moment de Parlamentul European sau de Consiliu. Decizia de revocare pune capăt delegării competențelor specificată în respectiva decizie. Aceasta intră în vigoare în ziua următoare publicării deciziei în </w:t>
            </w:r>
            <w:r w:rsidRPr="009E686F">
              <w:rPr>
                <w:rFonts w:ascii="Times New Roman" w:hAnsi="Times New Roman" w:cs="Times New Roman"/>
                <w:lang w:val="ro-RO"/>
              </w:rPr>
              <w:lastRenderedPageBreak/>
              <w:t>Jurnalul Oficial al Uniunii Europene sau la o dată ulterioară specificată în aceasta. Aceasta nu aduce atingere valabilității actelor delegate deja în vigoare.</w:t>
            </w:r>
          </w:p>
          <w:p w14:paraId="2FEA3C4C"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(4) Imediat ce adoptă un act delegat, Comisia îl notifică simultan Parlamentului European și Consiliului.</w:t>
            </w:r>
          </w:p>
          <w:p w14:paraId="218D4AD7" w14:textId="4817ED46" w:rsidR="00984B34" w:rsidRPr="009E686F" w:rsidRDefault="00984B34" w:rsidP="00984B34">
            <w:pPr>
              <w:spacing w:after="0"/>
              <w:jc w:val="both"/>
              <w:rPr>
                <w:rFonts w:ascii="Times New Roman" w:hAnsi="Times New Roman" w:cs="Times New Roman"/>
                <w:b/>
                <w:bCs/>
                <w:i/>
                <w:iCs/>
                <w:lang w:val="ro-RO"/>
              </w:rPr>
            </w:pPr>
            <w:r w:rsidRPr="009E686F">
              <w:rPr>
                <w:rFonts w:ascii="Times New Roman" w:hAnsi="Times New Roman" w:cs="Times New Roman"/>
                <w:lang w:val="ro-RO"/>
              </w:rPr>
              <w:t>(5) Un act delegat adoptat în temeiul articolului 145 intră în vigoare numai dacă nici Parlamentul European, nici Consiliul nu au exprimat obiecții în termen de trei luni de la notificarea respectivului act Parlamentului European și Consiliului sau dacă, înainte de expirarea acestei perioade, atât Parlamentul European, cât și Consiliul au informat Comisia cu privire la faptul că nu doresc să ridice obiecții. Acest termen se prelungește cu trei luni la inițiativa Parlamentului European sau a Consiliului.</w:t>
            </w:r>
          </w:p>
        </w:tc>
        <w:tc>
          <w:tcPr>
            <w:tcW w:w="1928" w:type="pct"/>
            <w:gridSpan w:val="3"/>
            <w:tcBorders>
              <w:top w:val="single" w:sz="4" w:space="0" w:color="auto"/>
              <w:left w:val="single" w:sz="4" w:space="0" w:color="auto"/>
              <w:right w:val="single" w:sz="4" w:space="0" w:color="auto"/>
            </w:tcBorders>
          </w:tcPr>
          <w:p w14:paraId="447CE209"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right w:val="single" w:sz="4" w:space="0" w:color="auto"/>
            </w:tcBorders>
          </w:tcPr>
          <w:p w14:paraId="6B79C007" w14:textId="77777777"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neaplicabile</w:t>
            </w:r>
          </w:p>
          <w:p w14:paraId="05F85B80" w14:textId="77777777"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right w:val="single" w:sz="4" w:space="0" w:color="auto"/>
            </w:tcBorders>
          </w:tcPr>
          <w:p w14:paraId="23DAE404" w14:textId="38C8CC39"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Se referă la competențele Comisiei Europene.</w:t>
            </w:r>
          </w:p>
        </w:tc>
      </w:tr>
      <w:tr w:rsidR="00984B34" w:rsidRPr="009E686F" w14:paraId="124E046A" w14:textId="0270F0B6" w:rsidTr="00774F3E">
        <w:tc>
          <w:tcPr>
            <w:tcW w:w="1796" w:type="pct"/>
            <w:gridSpan w:val="2"/>
            <w:tcBorders>
              <w:top w:val="single" w:sz="4" w:space="0" w:color="auto"/>
              <w:left w:val="single" w:sz="4" w:space="0" w:color="auto"/>
              <w:bottom w:val="single" w:sz="4" w:space="0" w:color="auto"/>
              <w:right w:val="single" w:sz="4" w:space="0" w:color="auto"/>
            </w:tcBorders>
          </w:tcPr>
          <w:p w14:paraId="5CDC4C82" w14:textId="77777777" w:rsidR="00984B34" w:rsidRPr="009E686F" w:rsidRDefault="00984B34" w:rsidP="00984B34">
            <w:pPr>
              <w:spacing w:after="0"/>
              <w:jc w:val="both"/>
              <w:rPr>
                <w:rFonts w:ascii="Times New Roman" w:hAnsi="Times New Roman" w:cs="Times New Roman"/>
                <w:i/>
                <w:iCs/>
                <w:lang w:val="ro-RO"/>
              </w:rPr>
            </w:pPr>
            <w:r w:rsidRPr="009E686F">
              <w:rPr>
                <w:rFonts w:ascii="Times New Roman" w:hAnsi="Times New Roman" w:cs="Times New Roman"/>
                <w:i/>
                <w:iCs/>
                <w:lang w:val="ro-RO"/>
              </w:rPr>
              <w:t xml:space="preserve">Articolul 149 </w:t>
            </w:r>
          </w:p>
          <w:p w14:paraId="0737600B" w14:textId="3087762B"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Obiecții la standardele tehnice de reglementare</w:t>
            </w:r>
          </w:p>
          <w:p w14:paraId="01BA918D"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În cazul în care Comisia adoptă în temeiul prezentei directive un standard tehnic de reglementare care este identic cu proiectul de standard tehnic de reglementare prezentat de ABE, perioada în care Parlamentul European și Consiliul pot prezenta obiecții cu privire la respectivul standard tehnic de reglementare este de o lună de la data notificării. La inițiativa Parlamentului European sau a Consiliului, această perioadă se prelungește cu o lună. Prin derogare de la articolul 13 alineatul (1) al doilea paragraf din Regulamentul (UE) nr. 1093/2010, perioada în care Parlamentul European și Consiliul pot prezenta obiecții cu privire la respectivul standard tehnic de reglementare poate fi prelungită cu încă o lună, după caz.</w:t>
            </w:r>
          </w:p>
        </w:tc>
        <w:tc>
          <w:tcPr>
            <w:tcW w:w="1928" w:type="pct"/>
            <w:gridSpan w:val="3"/>
            <w:tcBorders>
              <w:top w:val="single" w:sz="4" w:space="0" w:color="auto"/>
              <w:left w:val="single" w:sz="4" w:space="0" w:color="auto"/>
              <w:bottom w:val="single" w:sz="4" w:space="0" w:color="auto"/>
              <w:right w:val="single" w:sz="4" w:space="0" w:color="auto"/>
            </w:tcBorders>
          </w:tcPr>
          <w:p w14:paraId="40CC2039"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71FD024C" w14:textId="2E6564BE"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neaplicabile</w:t>
            </w:r>
          </w:p>
        </w:tc>
        <w:tc>
          <w:tcPr>
            <w:tcW w:w="806" w:type="pct"/>
            <w:tcBorders>
              <w:top w:val="single" w:sz="4" w:space="0" w:color="auto"/>
              <w:left w:val="single" w:sz="4" w:space="0" w:color="auto"/>
              <w:bottom w:val="single" w:sz="4" w:space="0" w:color="auto"/>
              <w:right w:val="single" w:sz="4" w:space="0" w:color="auto"/>
            </w:tcBorders>
          </w:tcPr>
          <w:p w14:paraId="02F0B1F2" w14:textId="1482B4F2"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Se referă la competențele Comisiei Europene.</w:t>
            </w:r>
          </w:p>
        </w:tc>
      </w:tr>
      <w:tr w:rsidR="00984B34" w:rsidRPr="009E686F" w14:paraId="5C9709AF" w14:textId="01C14D9A" w:rsidTr="00774F3E">
        <w:trPr>
          <w:trHeight w:val="8339"/>
        </w:trPr>
        <w:tc>
          <w:tcPr>
            <w:tcW w:w="1796" w:type="pct"/>
            <w:gridSpan w:val="2"/>
            <w:tcBorders>
              <w:top w:val="single" w:sz="4" w:space="0" w:color="auto"/>
              <w:left w:val="single" w:sz="4" w:space="0" w:color="auto"/>
              <w:right w:val="single" w:sz="4" w:space="0" w:color="auto"/>
            </w:tcBorders>
          </w:tcPr>
          <w:p w14:paraId="25C8205D"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lastRenderedPageBreak/>
              <w:t xml:space="preserve">Articolul 150 </w:t>
            </w:r>
          </w:p>
          <w:p w14:paraId="3634FF48" w14:textId="77777777" w:rsidR="00984B34" w:rsidRPr="009E686F" w:rsidRDefault="00984B34" w:rsidP="00984B34">
            <w:pPr>
              <w:spacing w:after="0"/>
              <w:jc w:val="both"/>
              <w:rPr>
                <w:rFonts w:ascii="Times New Roman" w:hAnsi="Times New Roman" w:cs="Times New Roman"/>
                <w:b/>
                <w:bCs/>
                <w:lang w:val="ro-RO"/>
              </w:rPr>
            </w:pPr>
            <w:r w:rsidRPr="009E686F">
              <w:rPr>
                <w:rFonts w:ascii="Times New Roman" w:hAnsi="Times New Roman" w:cs="Times New Roman"/>
                <w:b/>
                <w:bCs/>
                <w:lang w:val="ro-RO"/>
              </w:rPr>
              <w:t>Modificarea Directivei 2002/87/CE</w:t>
            </w:r>
          </w:p>
          <w:p w14:paraId="6FCA2868"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Articolul 21a din Directiva 2002/87/CE se modifică după cum urmează:</w:t>
            </w:r>
          </w:p>
          <w:p w14:paraId="397D003D"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la alineatul (2), litera (a) se elimină.</w:t>
            </w:r>
          </w:p>
          <w:p w14:paraId="0B7EF1B7"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alineatul (3) se înlocuiește cu următorul text:</w:t>
            </w:r>
          </w:p>
          <w:p w14:paraId="200BACE2"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"(3) Pentru a asigura aplicarea consecventă a metodelor de calculare prevăzute în anexa I partea II din prezenta directivă, coroborată cu articolul 49 alineatul (1) din Regulamentul (UE) nr. 575/2013 și articolul 228 alineatul (1) din Directiva 2009/138/CE, dar fără a aduce atingere articolului 6 alineatul (4) din prezenta directivă, AES elaborează, prin intermediul Comitetului comun, proiecte de standarde tehnice de reglementare cu privire la articolul 6 alineatul (2) din prezenta directivă. </w:t>
            </w:r>
          </w:p>
          <w:p w14:paraId="7AF424CD"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AES înaintează Comisiei proiectele respective de standarde tehnice de reglementare cu până la cinci luni înainte de data aplicării menționate la articolul 309 alineatul (1) din Directiva 2009/138/CE.</w:t>
            </w:r>
          </w:p>
          <w:p w14:paraId="30572403" w14:textId="0334D05A"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Se deleagă Comisiei competența de a adopta standardele tehnice de reglementare menționate la primul paragraf, în conformitate cu articolele 10-14 din Regulamentul (UE) nr. 1093/2010, Regulamentul (UE) nr. 1094/2010 și Regulamentul (UE) nr. 1095/2010, respectiv."</w:t>
            </w:r>
          </w:p>
        </w:tc>
        <w:tc>
          <w:tcPr>
            <w:tcW w:w="1928" w:type="pct"/>
            <w:gridSpan w:val="3"/>
            <w:tcBorders>
              <w:top w:val="single" w:sz="4" w:space="0" w:color="auto"/>
              <w:left w:val="single" w:sz="4" w:space="0" w:color="auto"/>
              <w:right w:val="single" w:sz="4" w:space="0" w:color="auto"/>
            </w:tcBorders>
          </w:tcPr>
          <w:p w14:paraId="0A640924"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right w:val="single" w:sz="4" w:space="0" w:color="auto"/>
            </w:tcBorders>
          </w:tcPr>
          <w:p w14:paraId="034A745F" w14:textId="77777777"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neaplicabile</w:t>
            </w:r>
          </w:p>
          <w:p w14:paraId="3ABF6BCA" w14:textId="1C96CFD2"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right w:val="single" w:sz="4" w:space="0" w:color="auto"/>
            </w:tcBorders>
          </w:tcPr>
          <w:p w14:paraId="6D494FE0" w14:textId="77777777" w:rsidR="00984B34" w:rsidRPr="009E686F" w:rsidRDefault="00984B34" w:rsidP="00984B34">
            <w:pPr>
              <w:jc w:val="both"/>
              <w:rPr>
                <w:rFonts w:ascii="Times New Roman" w:hAnsi="Times New Roman" w:cs="Times New Roman"/>
                <w:lang w:val="ro-RO"/>
              </w:rPr>
            </w:pPr>
          </w:p>
        </w:tc>
      </w:tr>
      <w:tr w:rsidR="00984B34" w:rsidRPr="009E686F" w14:paraId="725F1C75"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044F4278"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TITLUL XI</w:t>
            </w:r>
          </w:p>
          <w:p w14:paraId="4949558E" w14:textId="6FB5A339" w:rsidR="00984B34" w:rsidRPr="009E686F" w:rsidRDefault="00984B34" w:rsidP="00984B34">
            <w:pPr>
              <w:spacing w:after="0"/>
              <w:jc w:val="both"/>
              <w:rPr>
                <w:rFonts w:ascii="Times New Roman" w:hAnsi="Times New Roman" w:cs="Times New Roman"/>
                <w:b/>
                <w:bCs/>
                <w:lang w:val="ro-RO"/>
              </w:rPr>
            </w:pPr>
            <w:r w:rsidRPr="009E686F">
              <w:rPr>
                <w:rFonts w:ascii="Times New Roman" w:hAnsi="Times New Roman" w:cs="Times New Roman"/>
                <w:b/>
                <w:bCs/>
                <w:lang w:val="ro-RO"/>
              </w:rPr>
              <w:lastRenderedPageBreak/>
              <w:t>DISPOZIȚII TRANZITORII ȘI FINALE</w:t>
            </w:r>
          </w:p>
        </w:tc>
        <w:tc>
          <w:tcPr>
            <w:tcW w:w="1928" w:type="pct"/>
            <w:gridSpan w:val="3"/>
            <w:tcBorders>
              <w:top w:val="single" w:sz="4" w:space="0" w:color="auto"/>
              <w:left w:val="single" w:sz="4" w:space="0" w:color="auto"/>
              <w:bottom w:val="single" w:sz="4" w:space="0" w:color="auto"/>
              <w:right w:val="single" w:sz="4" w:space="0" w:color="auto"/>
            </w:tcBorders>
          </w:tcPr>
          <w:p w14:paraId="20760481"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6A979630" w14:textId="77777777"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54699AA9" w14:textId="77777777" w:rsidR="00984B34" w:rsidRPr="009E686F" w:rsidRDefault="00984B34" w:rsidP="00984B34">
            <w:pPr>
              <w:jc w:val="both"/>
              <w:rPr>
                <w:rFonts w:ascii="Times New Roman" w:hAnsi="Times New Roman" w:cs="Times New Roman"/>
                <w:lang w:val="ro-RO"/>
              </w:rPr>
            </w:pPr>
          </w:p>
        </w:tc>
      </w:tr>
      <w:tr w:rsidR="00984B34" w:rsidRPr="009E686F" w14:paraId="3C957171" w14:textId="285C4FC7" w:rsidTr="00774F3E">
        <w:trPr>
          <w:trHeight w:val="8041"/>
        </w:trPr>
        <w:tc>
          <w:tcPr>
            <w:tcW w:w="1796" w:type="pct"/>
            <w:gridSpan w:val="2"/>
            <w:tcBorders>
              <w:top w:val="single" w:sz="4" w:space="0" w:color="auto"/>
              <w:left w:val="single" w:sz="4" w:space="0" w:color="auto"/>
              <w:right w:val="single" w:sz="4" w:space="0" w:color="auto"/>
            </w:tcBorders>
          </w:tcPr>
          <w:p w14:paraId="5540D4B0" w14:textId="77777777" w:rsidR="00984B34" w:rsidRPr="009E686F" w:rsidRDefault="00984B34" w:rsidP="00984B34">
            <w:pPr>
              <w:spacing w:after="0"/>
              <w:jc w:val="both"/>
              <w:rPr>
                <w:rFonts w:ascii="Times New Roman" w:hAnsi="Times New Roman" w:cs="Times New Roman"/>
                <w:bCs/>
                <w:lang w:val="ro-RO"/>
              </w:rPr>
            </w:pPr>
            <w:r w:rsidRPr="009E686F">
              <w:rPr>
                <w:rFonts w:ascii="Times New Roman" w:hAnsi="Times New Roman" w:cs="Times New Roman"/>
                <w:bCs/>
                <w:lang w:val="ro-RO"/>
              </w:rPr>
              <w:t>CAPITOLUL 1</w:t>
            </w:r>
          </w:p>
          <w:p w14:paraId="7CE98308"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b/>
                <w:lang w:val="ro-RO"/>
              </w:rPr>
              <w:t>Dispoziții tranzitorii privind supravegherea instituțiilor care își exercită libertatea de stabilire și libertatea de a presta servicii</w:t>
            </w:r>
          </w:p>
          <w:p w14:paraId="61FF7C03" w14:textId="77777777" w:rsidR="00984B34" w:rsidRPr="009E686F" w:rsidRDefault="00984B34" w:rsidP="00984B34">
            <w:pPr>
              <w:spacing w:after="0"/>
              <w:jc w:val="both"/>
              <w:rPr>
                <w:rFonts w:ascii="Times New Roman" w:hAnsi="Times New Roman" w:cs="Times New Roman"/>
                <w:i/>
                <w:iCs/>
                <w:lang w:val="ro-RO"/>
              </w:rPr>
            </w:pPr>
            <w:r w:rsidRPr="009E686F">
              <w:rPr>
                <w:rFonts w:ascii="Times New Roman" w:hAnsi="Times New Roman" w:cs="Times New Roman"/>
                <w:i/>
                <w:iCs/>
                <w:lang w:val="ro-RO"/>
              </w:rPr>
              <w:t xml:space="preserve">Articolul 151 </w:t>
            </w:r>
          </w:p>
          <w:p w14:paraId="2554CFCE" w14:textId="586CD3A0"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Domeniul de aplicare</w:t>
            </w:r>
          </w:p>
          <w:p w14:paraId="7F8BD821" w14:textId="77777777" w:rsidR="00984B34" w:rsidRPr="009E686F" w:rsidRDefault="00984B34" w:rsidP="00984B34">
            <w:pPr>
              <w:spacing w:after="0"/>
              <w:jc w:val="both"/>
              <w:rPr>
                <w:rFonts w:ascii="Times New Roman" w:hAnsi="Times New Roman" w:cs="Times New Roman"/>
                <w:lang w:val="ro-RO"/>
              </w:rPr>
            </w:pPr>
          </w:p>
          <w:p w14:paraId="41B4DC17"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(1)Dispozițiile prezentului capitol se aplică în locul articolelor 40, 41, 43, 49, 50 și 51 până la data la care cerința de acoperire a necesarului de lichiditate devine aplicabilă în conformitate cu un act delegat adoptat în conformitate cu articolul 460 din Regulamentul (UE) nr. 575/2013.</w:t>
            </w:r>
          </w:p>
          <w:p w14:paraId="332C38C2" w14:textId="526C386B"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(2) Pentru a asigura armonizarea deplină a introducerii dispozițiilor de supraveghere pentru lichiditate cu elaborarea normelor uniforme privind lichiditatea, se conferă Comisiei competența de a adopta acte delegate în conformitate cu articolul 145, prin care amână cu până la doi ani data menționată la alineatul (1), în cazul în care normele uniforme privind acoperirea necesarului de lichiditate nu au fost introduse în Uniune deoarece standardele internaționale privind supravegherea lichidității nu au fost convenite la data menționată la alineatul (1) de la prezentul articol.</w:t>
            </w:r>
          </w:p>
        </w:tc>
        <w:tc>
          <w:tcPr>
            <w:tcW w:w="1928" w:type="pct"/>
            <w:gridSpan w:val="3"/>
            <w:tcBorders>
              <w:top w:val="single" w:sz="4" w:space="0" w:color="auto"/>
              <w:left w:val="single" w:sz="4" w:space="0" w:color="auto"/>
              <w:right w:val="single" w:sz="4" w:space="0" w:color="auto"/>
            </w:tcBorders>
          </w:tcPr>
          <w:p w14:paraId="4B384272"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right w:val="single" w:sz="4" w:space="0" w:color="auto"/>
            </w:tcBorders>
          </w:tcPr>
          <w:p w14:paraId="41DA91FC" w14:textId="77777777" w:rsidR="00984B34" w:rsidRPr="009E686F" w:rsidRDefault="00984B34" w:rsidP="00984B34">
            <w:pPr>
              <w:jc w:val="both"/>
              <w:rPr>
                <w:rFonts w:ascii="Times New Roman" w:hAnsi="Times New Roman" w:cs="Times New Roman"/>
                <w:lang w:val="it-CH"/>
              </w:rPr>
            </w:pPr>
            <w:r w:rsidRPr="009E686F">
              <w:rPr>
                <w:rFonts w:ascii="Times New Roman" w:hAnsi="Times New Roman" w:cs="Times New Roman"/>
                <w:lang w:val="ro-RO"/>
              </w:rPr>
              <w:t>Norme UE neaplicabile</w:t>
            </w:r>
          </w:p>
          <w:p w14:paraId="4859EAE7" w14:textId="60DF72D0"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right w:val="single" w:sz="4" w:space="0" w:color="auto"/>
            </w:tcBorders>
          </w:tcPr>
          <w:p w14:paraId="5EBF573C" w14:textId="469020BD" w:rsidR="00984B34" w:rsidRPr="009E686F" w:rsidRDefault="00113A2A" w:rsidP="00984B34">
            <w:pPr>
              <w:jc w:val="both"/>
              <w:rPr>
                <w:rFonts w:ascii="Times New Roman" w:hAnsi="Times New Roman" w:cs="Times New Roman"/>
                <w:lang w:val="ro-RO"/>
              </w:rPr>
            </w:pPr>
            <w:r w:rsidRPr="009E686F">
              <w:rPr>
                <w:rFonts w:ascii="Times New Roman" w:hAnsi="Times New Roman" w:cs="Times New Roman"/>
                <w:lang w:val="ro-RO"/>
              </w:rPr>
              <w:t>Dispoziție tranzitorie devenită caducă, întrucât cerința LCR este aplicabilă integral începând cu 1 ianuarie 2018, conform art. 460 din Regulamentul (UE) nr. 575/2013 și Regulamentul delegat (UE) 2015/61. Prin urmare, nu mai este aplicabilă nici derogarea prin care întregul capitol se aplică în locul articolelor 40, 41, 43, 49, 50 și 51.</w:t>
            </w:r>
          </w:p>
        </w:tc>
      </w:tr>
      <w:tr w:rsidR="00984B34" w:rsidRPr="009E686F" w14:paraId="41A84BC0" w14:textId="5CC96450" w:rsidTr="00774F3E">
        <w:tc>
          <w:tcPr>
            <w:tcW w:w="1796" w:type="pct"/>
            <w:gridSpan w:val="2"/>
            <w:tcBorders>
              <w:top w:val="single" w:sz="4" w:space="0" w:color="auto"/>
              <w:left w:val="single" w:sz="4" w:space="0" w:color="auto"/>
              <w:bottom w:val="single" w:sz="4" w:space="0" w:color="auto"/>
              <w:right w:val="single" w:sz="4" w:space="0" w:color="auto"/>
            </w:tcBorders>
          </w:tcPr>
          <w:p w14:paraId="30DE1F6D" w14:textId="77777777" w:rsidR="00984B34" w:rsidRPr="009E686F" w:rsidRDefault="00984B34" w:rsidP="00984B34">
            <w:pPr>
              <w:spacing w:after="0"/>
              <w:jc w:val="both"/>
              <w:rPr>
                <w:rFonts w:ascii="Times New Roman" w:hAnsi="Times New Roman" w:cs="Times New Roman"/>
                <w:i/>
                <w:iCs/>
                <w:lang w:val="ro-RO"/>
              </w:rPr>
            </w:pPr>
            <w:r w:rsidRPr="009E686F">
              <w:rPr>
                <w:rFonts w:ascii="Times New Roman" w:hAnsi="Times New Roman" w:cs="Times New Roman"/>
                <w:i/>
                <w:iCs/>
                <w:lang w:val="ro-RO"/>
              </w:rPr>
              <w:lastRenderedPageBreak/>
              <w:t xml:space="preserve">Articolul 152 </w:t>
            </w:r>
          </w:p>
          <w:p w14:paraId="59D3D2E0" w14:textId="4E51BD75"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Cerințe de raportare</w:t>
            </w:r>
          </w:p>
          <w:p w14:paraId="42EA47AA" w14:textId="77777777" w:rsidR="00984B34" w:rsidRPr="009E686F" w:rsidRDefault="00984B34" w:rsidP="00984B34">
            <w:pPr>
              <w:spacing w:after="0"/>
              <w:jc w:val="both"/>
              <w:rPr>
                <w:rFonts w:ascii="Times New Roman" w:hAnsi="Times New Roman" w:cs="Times New Roman"/>
                <w:lang w:val="ro-RO"/>
              </w:rPr>
            </w:pPr>
          </w:p>
          <w:p w14:paraId="2E4DCE17" w14:textId="3D907AF3"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În scopuri statistice, statele membre gazdă pot cere tuturor </w:t>
            </w:r>
            <w:r w:rsidRPr="009E686F">
              <w:rPr>
                <w:rFonts w:ascii="Times New Roman" w:hAnsi="Times New Roman" w:cs="Times New Roman"/>
                <w:i/>
                <w:iCs/>
                <w:lang w:val="ro-RO"/>
              </w:rPr>
              <w:t>instituțiilor de credit</w:t>
            </w:r>
            <w:r w:rsidRPr="009E686F">
              <w:rPr>
                <w:rFonts w:ascii="Times New Roman" w:hAnsi="Times New Roman" w:cs="Times New Roman"/>
                <w:lang w:val="ro-RO"/>
              </w:rPr>
              <w:t xml:space="preserve"> care au sucursale pe teritoriul lor să depună la autoritățile competente din statul membru gazdă respectiv rapoarte periodice cu privire la activitatea lor în acel stat membru gazdă. </w:t>
            </w:r>
          </w:p>
          <w:p w14:paraId="79E825B7" w14:textId="38986DD6"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În îndeplinirea responsabilităților care le revin în conformitate cu articolul 156 din prezenta directivă, statele membre gazdă pot cere ca sucursalele </w:t>
            </w:r>
            <w:r w:rsidRPr="009E686F">
              <w:rPr>
                <w:rFonts w:ascii="Times New Roman" w:hAnsi="Times New Roman" w:cs="Times New Roman"/>
                <w:i/>
                <w:iCs/>
                <w:lang w:val="ro-RO"/>
              </w:rPr>
              <w:t>instituțiilor de credit</w:t>
            </w:r>
            <w:r w:rsidRPr="009E686F">
              <w:rPr>
                <w:rFonts w:ascii="Times New Roman" w:hAnsi="Times New Roman" w:cs="Times New Roman"/>
                <w:lang w:val="ro-RO"/>
              </w:rPr>
              <w:t xml:space="preserve"> din alte state membre să comunice aceleași informații pe care le cer </w:t>
            </w:r>
            <w:r w:rsidRPr="009E686F">
              <w:rPr>
                <w:rFonts w:ascii="Times New Roman" w:hAnsi="Times New Roman" w:cs="Times New Roman"/>
                <w:i/>
                <w:iCs/>
                <w:lang w:val="ro-RO"/>
              </w:rPr>
              <w:t>instituțiilor de credit</w:t>
            </w:r>
            <w:r w:rsidRPr="009E686F">
              <w:rPr>
                <w:rFonts w:ascii="Times New Roman" w:hAnsi="Times New Roman" w:cs="Times New Roman"/>
                <w:lang w:val="ro-RO"/>
              </w:rPr>
              <w:t xml:space="preserve"> naționale în scopul respectiv.</w:t>
            </w:r>
          </w:p>
        </w:tc>
        <w:tc>
          <w:tcPr>
            <w:tcW w:w="1928" w:type="pct"/>
            <w:gridSpan w:val="3"/>
            <w:tcBorders>
              <w:top w:val="single" w:sz="4" w:space="0" w:color="auto"/>
              <w:left w:val="single" w:sz="4" w:space="0" w:color="auto"/>
              <w:bottom w:val="single" w:sz="4" w:space="0" w:color="auto"/>
              <w:right w:val="single" w:sz="4" w:space="0" w:color="auto"/>
            </w:tcBorders>
          </w:tcPr>
          <w:p w14:paraId="2A91C112"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34A88FFA" w14:textId="639EE0BA"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neaplicabile</w:t>
            </w:r>
            <w:r w:rsidRPr="009E686F">
              <w:rPr>
                <w:rFonts w:ascii="Times New Roman" w:hAnsi="Times New Roman" w:cs="Times New Roman"/>
              </w:rPr>
              <w:t>.</w:t>
            </w:r>
          </w:p>
        </w:tc>
        <w:tc>
          <w:tcPr>
            <w:tcW w:w="806" w:type="pct"/>
            <w:tcBorders>
              <w:top w:val="single" w:sz="4" w:space="0" w:color="auto"/>
              <w:left w:val="single" w:sz="4" w:space="0" w:color="auto"/>
              <w:bottom w:val="single" w:sz="4" w:space="0" w:color="auto"/>
              <w:right w:val="single" w:sz="4" w:space="0" w:color="auto"/>
            </w:tcBorders>
          </w:tcPr>
          <w:p w14:paraId="0054F43E" w14:textId="77777777" w:rsidR="00984B34" w:rsidRPr="009E686F" w:rsidRDefault="00984B34" w:rsidP="00984B34">
            <w:pPr>
              <w:jc w:val="both"/>
              <w:rPr>
                <w:rFonts w:ascii="Times New Roman" w:hAnsi="Times New Roman" w:cs="Times New Roman"/>
              </w:rPr>
            </w:pPr>
          </w:p>
        </w:tc>
      </w:tr>
      <w:tr w:rsidR="00984B34" w:rsidRPr="009E686F" w14:paraId="0F1554A3" w14:textId="49E3BAF5" w:rsidTr="00774F3E">
        <w:trPr>
          <w:trHeight w:val="4170"/>
        </w:trPr>
        <w:tc>
          <w:tcPr>
            <w:tcW w:w="1796" w:type="pct"/>
            <w:gridSpan w:val="2"/>
            <w:tcBorders>
              <w:top w:val="single" w:sz="4" w:space="0" w:color="auto"/>
              <w:left w:val="single" w:sz="4" w:space="0" w:color="auto"/>
              <w:right w:val="single" w:sz="4" w:space="0" w:color="auto"/>
            </w:tcBorders>
          </w:tcPr>
          <w:p w14:paraId="238D706F" w14:textId="77777777" w:rsidR="00984B34" w:rsidRPr="009E686F" w:rsidRDefault="00984B34" w:rsidP="00984B34">
            <w:pPr>
              <w:spacing w:after="0"/>
              <w:jc w:val="both"/>
              <w:rPr>
                <w:rFonts w:ascii="Times New Roman" w:hAnsi="Times New Roman" w:cs="Times New Roman"/>
                <w:i/>
                <w:iCs/>
                <w:lang w:val="ro-RO"/>
              </w:rPr>
            </w:pPr>
            <w:r w:rsidRPr="009E686F">
              <w:rPr>
                <w:rFonts w:ascii="Times New Roman" w:hAnsi="Times New Roman" w:cs="Times New Roman"/>
                <w:i/>
                <w:iCs/>
                <w:lang w:val="ro-RO"/>
              </w:rPr>
              <w:t xml:space="preserve">Articolul 153 </w:t>
            </w:r>
          </w:p>
          <w:p w14:paraId="53826AFA"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Măsurile luate de autoritățile competente din statul membru de origine cu privire la activitățile desfășurate în statul membru gazdă</w:t>
            </w:r>
          </w:p>
          <w:p w14:paraId="572A0A0F" w14:textId="77777777" w:rsidR="00984B34" w:rsidRPr="009E686F" w:rsidRDefault="00984B34" w:rsidP="00984B34">
            <w:pPr>
              <w:spacing w:after="0"/>
              <w:jc w:val="both"/>
              <w:rPr>
                <w:rFonts w:ascii="Times New Roman" w:hAnsi="Times New Roman" w:cs="Times New Roman"/>
                <w:lang w:val="ro-RO"/>
              </w:rPr>
            </w:pPr>
          </w:p>
          <w:p w14:paraId="6AB11DC1" w14:textId="4D4EDE59"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(1) În cazul în care autoritățile competente dintr-un stat membru gazdă constată că o </w:t>
            </w:r>
            <w:r w:rsidRPr="009E686F">
              <w:rPr>
                <w:rFonts w:ascii="Times New Roman" w:hAnsi="Times New Roman" w:cs="Times New Roman"/>
                <w:i/>
                <w:iCs/>
                <w:lang w:val="ro-RO"/>
              </w:rPr>
              <w:t>instituție de credit</w:t>
            </w:r>
            <w:r w:rsidRPr="009E686F">
              <w:rPr>
                <w:rFonts w:ascii="Times New Roman" w:hAnsi="Times New Roman" w:cs="Times New Roman"/>
                <w:lang w:val="ro-RO"/>
              </w:rPr>
              <w:t xml:space="preserve"> care are o sucursală sau prestează servicii pe teritoriul statului respectiv nu respectă dispozițiile legale adoptate în acel stat în conformitate cu prezenta directivă privind puterile autorităților competente din statul membru gazdă, respectivele autorități cer </w:t>
            </w:r>
            <w:r w:rsidRPr="009E686F">
              <w:rPr>
                <w:rFonts w:ascii="Times New Roman" w:hAnsi="Times New Roman" w:cs="Times New Roman"/>
                <w:i/>
                <w:iCs/>
                <w:lang w:val="ro-RO"/>
              </w:rPr>
              <w:t>instituției de credit</w:t>
            </w:r>
            <w:r w:rsidRPr="009E686F">
              <w:rPr>
                <w:rFonts w:ascii="Times New Roman" w:hAnsi="Times New Roman" w:cs="Times New Roman"/>
                <w:lang w:val="ro-RO"/>
              </w:rPr>
              <w:t xml:space="preserve"> în cauză să remedieze situația de nerespectare.</w:t>
            </w:r>
          </w:p>
        </w:tc>
        <w:tc>
          <w:tcPr>
            <w:tcW w:w="1928" w:type="pct"/>
            <w:gridSpan w:val="3"/>
            <w:tcBorders>
              <w:top w:val="single" w:sz="4" w:space="0" w:color="auto"/>
              <w:left w:val="single" w:sz="4" w:space="0" w:color="auto"/>
              <w:right w:val="single" w:sz="4" w:space="0" w:color="auto"/>
            </w:tcBorders>
          </w:tcPr>
          <w:p w14:paraId="5B6A4664"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right w:val="single" w:sz="4" w:space="0" w:color="auto"/>
            </w:tcBorders>
          </w:tcPr>
          <w:p w14:paraId="171B5840" w14:textId="448F87A5"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neaplicabile</w:t>
            </w:r>
          </w:p>
        </w:tc>
        <w:tc>
          <w:tcPr>
            <w:tcW w:w="806" w:type="pct"/>
            <w:tcBorders>
              <w:top w:val="single" w:sz="4" w:space="0" w:color="auto"/>
              <w:left w:val="single" w:sz="4" w:space="0" w:color="auto"/>
              <w:right w:val="single" w:sz="4" w:space="0" w:color="auto"/>
            </w:tcBorders>
          </w:tcPr>
          <w:p w14:paraId="3EA693E1" w14:textId="77777777" w:rsidR="00984B34" w:rsidRPr="009E686F" w:rsidRDefault="00984B34" w:rsidP="00984B34">
            <w:pPr>
              <w:jc w:val="both"/>
              <w:rPr>
                <w:rFonts w:ascii="Times New Roman" w:hAnsi="Times New Roman" w:cs="Times New Roman"/>
                <w:lang w:val="ro-RO"/>
              </w:rPr>
            </w:pPr>
          </w:p>
        </w:tc>
      </w:tr>
      <w:tr w:rsidR="00984B34" w:rsidRPr="009E686F" w14:paraId="6C269A4B" w14:textId="0C010D7E" w:rsidTr="00774F3E">
        <w:tc>
          <w:tcPr>
            <w:tcW w:w="1796" w:type="pct"/>
            <w:gridSpan w:val="2"/>
            <w:tcBorders>
              <w:top w:val="single" w:sz="4" w:space="0" w:color="auto"/>
              <w:left w:val="single" w:sz="4" w:space="0" w:color="auto"/>
              <w:bottom w:val="single" w:sz="4" w:space="0" w:color="auto"/>
              <w:right w:val="single" w:sz="4" w:space="0" w:color="auto"/>
            </w:tcBorders>
          </w:tcPr>
          <w:p w14:paraId="521B3515" w14:textId="1B853145"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(2) În cazul în care </w:t>
            </w:r>
            <w:r w:rsidRPr="009E686F">
              <w:rPr>
                <w:rFonts w:ascii="Times New Roman" w:hAnsi="Times New Roman" w:cs="Times New Roman"/>
                <w:i/>
                <w:iCs/>
                <w:lang w:val="ro-RO"/>
              </w:rPr>
              <w:t>instituția de credit</w:t>
            </w:r>
            <w:r w:rsidRPr="009E686F">
              <w:rPr>
                <w:rFonts w:ascii="Times New Roman" w:hAnsi="Times New Roman" w:cs="Times New Roman"/>
                <w:lang w:val="ro-RO"/>
              </w:rPr>
              <w:t xml:space="preserve"> în cauză nu adoptă măsurile necesare, autoritățile competente din statul </w:t>
            </w:r>
            <w:r w:rsidRPr="009E686F">
              <w:rPr>
                <w:rFonts w:ascii="Times New Roman" w:hAnsi="Times New Roman" w:cs="Times New Roman"/>
                <w:lang w:val="ro-RO"/>
              </w:rPr>
              <w:lastRenderedPageBreak/>
              <w:t>membru gazdă informează în consecință autoritățile competente din statul membru de origine.</w:t>
            </w:r>
          </w:p>
        </w:tc>
        <w:tc>
          <w:tcPr>
            <w:tcW w:w="1928" w:type="pct"/>
            <w:gridSpan w:val="3"/>
            <w:tcBorders>
              <w:top w:val="single" w:sz="4" w:space="0" w:color="auto"/>
              <w:left w:val="single" w:sz="4" w:space="0" w:color="auto"/>
              <w:bottom w:val="single" w:sz="4" w:space="0" w:color="auto"/>
              <w:right w:val="single" w:sz="4" w:space="0" w:color="auto"/>
            </w:tcBorders>
          </w:tcPr>
          <w:p w14:paraId="68124F97"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21845110" w14:textId="47EF6296"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neaplicabile</w:t>
            </w:r>
          </w:p>
        </w:tc>
        <w:tc>
          <w:tcPr>
            <w:tcW w:w="806" w:type="pct"/>
            <w:tcBorders>
              <w:top w:val="single" w:sz="4" w:space="0" w:color="auto"/>
              <w:left w:val="single" w:sz="4" w:space="0" w:color="auto"/>
              <w:bottom w:val="single" w:sz="4" w:space="0" w:color="auto"/>
              <w:right w:val="single" w:sz="4" w:space="0" w:color="auto"/>
            </w:tcBorders>
          </w:tcPr>
          <w:p w14:paraId="10882CB9" w14:textId="77777777" w:rsidR="00984B34" w:rsidRPr="009E686F" w:rsidRDefault="00984B34" w:rsidP="00984B34">
            <w:pPr>
              <w:jc w:val="both"/>
              <w:rPr>
                <w:rFonts w:ascii="Times New Roman" w:hAnsi="Times New Roman" w:cs="Times New Roman"/>
              </w:rPr>
            </w:pPr>
          </w:p>
        </w:tc>
      </w:tr>
      <w:tr w:rsidR="00984B34" w:rsidRPr="009E686F" w14:paraId="2A698615" w14:textId="0A8A47E5" w:rsidTr="00774F3E">
        <w:tc>
          <w:tcPr>
            <w:tcW w:w="1796" w:type="pct"/>
            <w:gridSpan w:val="2"/>
            <w:tcBorders>
              <w:top w:val="single" w:sz="4" w:space="0" w:color="auto"/>
              <w:left w:val="single" w:sz="4" w:space="0" w:color="auto"/>
              <w:bottom w:val="single" w:sz="4" w:space="0" w:color="auto"/>
              <w:right w:val="single" w:sz="4" w:space="0" w:color="auto"/>
            </w:tcBorders>
          </w:tcPr>
          <w:p w14:paraId="57DF0FDB" w14:textId="5CFC29D5"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(3) Autoritățile competente din statul membru de origine iau cât mai curând posibil toate măsurile necesare, pentru a se asigura că </w:t>
            </w:r>
            <w:r w:rsidRPr="009E686F">
              <w:rPr>
                <w:rFonts w:ascii="Times New Roman" w:hAnsi="Times New Roman" w:cs="Times New Roman"/>
                <w:i/>
                <w:iCs/>
                <w:lang w:val="ro-RO"/>
              </w:rPr>
              <w:t>instituția de credit</w:t>
            </w:r>
            <w:r w:rsidRPr="009E686F">
              <w:rPr>
                <w:rFonts w:ascii="Times New Roman" w:hAnsi="Times New Roman" w:cs="Times New Roman"/>
                <w:lang w:val="ro-RO"/>
              </w:rPr>
              <w:t xml:space="preserve"> în cauză remediază situația de nerespectare. Natura acestor măsuri va fi comunicată autorităților competente din statul membru gazdă.</w:t>
            </w:r>
          </w:p>
        </w:tc>
        <w:tc>
          <w:tcPr>
            <w:tcW w:w="1928" w:type="pct"/>
            <w:gridSpan w:val="3"/>
            <w:tcBorders>
              <w:top w:val="single" w:sz="4" w:space="0" w:color="auto"/>
              <w:left w:val="single" w:sz="4" w:space="0" w:color="auto"/>
              <w:bottom w:val="single" w:sz="4" w:space="0" w:color="auto"/>
              <w:right w:val="single" w:sz="4" w:space="0" w:color="auto"/>
            </w:tcBorders>
          </w:tcPr>
          <w:p w14:paraId="2216C087"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5DE4B7BC" w14:textId="45A5F30D"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neaplicabile</w:t>
            </w:r>
          </w:p>
        </w:tc>
        <w:tc>
          <w:tcPr>
            <w:tcW w:w="806" w:type="pct"/>
            <w:tcBorders>
              <w:top w:val="single" w:sz="4" w:space="0" w:color="auto"/>
              <w:left w:val="single" w:sz="4" w:space="0" w:color="auto"/>
              <w:bottom w:val="single" w:sz="4" w:space="0" w:color="auto"/>
              <w:right w:val="single" w:sz="4" w:space="0" w:color="auto"/>
            </w:tcBorders>
          </w:tcPr>
          <w:p w14:paraId="5363EF4B" w14:textId="77777777" w:rsidR="00984B34" w:rsidRPr="009E686F" w:rsidRDefault="00984B34" w:rsidP="00984B34">
            <w:pPr>
              <w:jc w:val="both"/>
              <w:rPr>
                <w:rFonts w:ascii="Times New Roman" w:hAnsi="Times New Roman" w:cs="Times New Roman"/>
              </w:rPr>
            </w:pPr>
          </w:p>
        </w:tc>
      </w:tr>
      <w:tr w:rsidR="00984B34" w:rsidRPr="009E686F" w14:paraId="1C2272A4" w14:textId="4D74C1D9" w:rsidTr="00774F3E">
        <w:tc>
          <w:tcPr>
            <w:tcW w:w="1796" w:type="pct"/>
            <w:gridSpan w:val="2"/>
            <w:tcBorders>
              <w:top w:val="single" w:sz="4" w:space="0" w:color="auto"/>
              <w:left w:val="single" w:sz="4" w:space="0" w:color="auto"/>
              <w:bottom w:val="single" w:sz="4" w:space="0" w:color="auto"/>
              <w:right w:val="single" w:sz="4" w:space="0" w:color="auto"/>
            </w:tcBorders>
          </w:tcPr>
          <w:p w14:paraId="7D461522" w14:textId="64C24440"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(4) În cazul în care, în pofida măsurilor aplicate de statul membru de origine sau din cauza faptului că măsurile respective sunt inadecvate sau nu sunt disponibile în statul membru respectiv, </w:t>
            </w:r>
            <w:r w:rsidRPr="009E686F">
              <w:rPr>
                <w:rFonts w:ascii="Times New Roman" w:hAnsi="Times New Roman" w:cs="Times New Roman"/>
                <w:i/>
                <w:iCs/>
                <w:lang w:val="ro-RO"/>
              </w:rPr>
              <w:t>instituția de credit</w:t>
            </w:r>
            <w:r w:rsidRPr="009E686F">
              <w:rPr>
                <w:rFonts w:ascii="Times New Roman" w:hAnsi="Times New Roman" w:cs="Times New Roman"/>
                <w:lang w:val="ro-RO"/>
              </w:rPr>
              <w:t xml:space="preserve"> în cauză continuă să încalce dispozițiile legale menționate la alineatul (1), care sunt în vigoare în statul membru gazdă, cel din urmă poate lua măsurile necesare, după informarea autorităților competente din statul membru de origine, pentru a preveni și pentru a sancționa încălcări suplimentare și, în măsura în care este necesar, pentru a împiedica instituția respectivă să întreprindă noi tranzacții pe teritoriul său. Statele membre se asigură că este posibilă transmiterea documentelor legale necesare pentru aplicarea măsurilor în cauză către </w:t>
            </w:r>
            <w:r w:rsidRPr="009E686F">
              <w:rPr>
                <w:rFonts w:ascii="Times New Roman" w:hAnsi="Times New Roman" w:cs="Times New Roman"/>
                <w:i/>
                <w:iCs/>
                <w:lang w:val="ro-RO"/>
              </w:rPr>
              <w:t>instituțiile de credit</w:t>
            </w:r>
            <w:r w:rsidRPr="009E686F">
              <w:rPr>
                <w:rFonts w:ascii="Times New Roman" w:hAnsi="Times New Roman" w:cs="Times New Roman"/>
                <w:lang w:val="ro-RO"/>
              </w:rPr>
              <w:t xml:space="preserve"> de pe teritoriile lor.</w:t>
            </w:r>
          </w:p>
        </w:tc>
        <w:tc>
          <w:tcPr>
            <w:tcW w:w="1928" w:type="pct"/>
            <w:gridSpan w:val="3"/>
            <w:tcBorders>
              <w:top w:val="single" w:sz="4" w:space="0" w:color="auto"/>
              <w:left w:val="single" w:sz="4" w:space="0" w:color="auto"/>
              <w:bottom w:val="single" w:sz="4" w:space="0" w:color="auto"/>
              <w:right w:val="single" w:sz="4" w:space="0" w:color="auto"/>
            </w:tcBorders>
          </w:tcPr>
          <w:p w14:paraId="66C357C6"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6F0B35F9" w14:textId="23D07DBA"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neaplicabile</w:t>
            </w:r>
            <w:r w:rsidRPr="009E686F">
              <w:rPr>
                <w:rFonts w:ascii="Times New Roman" w:hAnsi="Times New Roman" w:cs="Times New Roman"/>
              </w:rPr>
              <w:t>.</w:t>
            </w:r>
          </w:p>
        </w:tc>
        <w:tc>
          <w:tcPr>
            <w:tcW w:w="806" w:type="pct"/>
            <w:tcBorders>
              <w:top w:val="single" w:sz="4" w:space="0" w:color="auto"/>
              <w:left w:val="single" w:sz="4" w:space="0" w:color="auto"/>
              <w:bottom w:val="single" w:sz="4" w:space="0" w:color="auto"/>
              <w:right w:val="single" w:sz="4" w:space="0" w:color="auto"/>
            </w:tcBorders>
          </w:tcPr>
          <w:p w14:paraId="18DC1764" w14:textId="77777777" w:rsidR="00984B34" w:rsidRPr="009E686F" w:rsidRDefault="00984B34" w:rsidP="00984B34">
            <w:pPr>
              <w:jc w:val="both"/>
              <w:rPr>
                <w:rFonts w:ascii="Times New Roman" w:hAnsi="Times New Roman" w:cs="Times New Roman"/>
              </w:rPr>
            </w:pPr>
          </w:p>
        </w:tc>
      </w:tr>
      <w:tr w:rsidR="00984B34" w:rsidRPr="009E686F" w14:paraId="2D81350B" w14:textId="37541774" w:rsidTr="00774F3E">
        <w:tc>
          <w:tcPr>
            <w:tcW w:w="1796" w:type="pct"/>
            <w:gridSpan w:val="2"/>
            <w:tcBorders>
              <w:top w:val="single" w:sz="4" w:space="0" w:color="auto"/>
              <w:left w:val="single" w:sz="4" w:space="0" w:color="auto"/>
              <w:bottom w:val="single" w:sz="4" w:space="0" w:color="auto"/>
              <w:right w:val="single" w:sz="4" w:space="0" w:color="auto"/>
            </w:tcBorders>
          </w:tcPr>
          <w:p w14:paraId="1B7485A7" w14:textId="77777777" w:rsidR="00984B34" w:rsidRPr="009E686F" w:rsidRDefault="00984B34" w:rsidP="00984B34">
            <w:pPr>
              <w:spacing w:after="0"/>
              <w:jc w:val="both"/>
              <w:rPr>
                <w:rFonts w:ascii="Times New Roman" w:hAnsi="Times New Roman" w:cs="Times New Roman"/>
                <w:i/>
                <w:iCs/>
                <w:lang w:val="ro-RO"/>
              </w:rPr>
            </w:pPr>
            <w:r w:rsidRPr="009E686F">
              <w:rPr>
                <w:rFonts w:ascii="Times New Roman" w:hAnsi="Times New Roman" w:cs="Times New Roman"/>
                <w:i/>
                <w:iCs/>
                <w:lang w:val="ro-RO"/>
              </w:rPr>
              <w:t xml:space="preserve">Articolul 154  </w:t>
            </w:r>
          </w:p>
          <w:p w14:paraId="16BD50B4" w14:textId="02D0B320"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Măsuri preventive</w:t>
            </w:r>
          </w:p>
          <w:p w14:paraId="05304308"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Înainte de a urma procedura prevăzută la articolul 153, autoritățile competente din statul membru gazdă pot lua, în situații de urgență, orice măsuri preventive considerate necesare pentru protecția intereselor deponenților, investitorilor și ale celorlalte persoane cărora li se prestează servicii. Comisia și autoritățile competente din celelalte state membre în cauză sunt informate în legătură cu măsurile respective cât mai curând posibil.</w:t>
            </w:r>
          </w:p>
          <w:p w14:paraId="77CDD1D8" w14:textId="2318B04D"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lastRenderedPageBreak/>
              <w:t>După consultarea autorităților competente din statele membre în cauză, Comisia poate decide ca statul membru respectiv să modifice sau să abroge măsurile respective.</w:t>
            </w:r>
          </w:p>
        </w:tc>
        <w:tc>
          <w:tcPr>
            <w:tcW w:w="1928" w:type="pct"/>
            <w:gridSpan w:val="3"/>
            <w:tcBorders>
              <w:top w:val="single" w:sz="4" w:space="0" w:color="auto"/>
              <w:left w:val="single" w:sz="4" w:space="0" w:color="auto"/>
              <w:bottom w:val="single" w:sz="4" w:space="0" w:color="auto"/>
              <w:right w:val="single" w:sz="4" w:space="0" w:color="auto"/>
            </w:tcBorders>
          </w:tcPr>
          <w:p w14:paraId="27738EB7"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1736D474" w14:textId="4E651557"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neaplicabile</w:t>
            </w:r>
          </w:p>
        </w:tc>
        <w:tc>
          <w:tcPr>
            <w:tcW w:w="806" w:type="pct"/>
            <w:tcBorders>
              <w:top w:val="single" w:sz="4" w:space="0" w:color="auto"/>
              <w:left w:val="single" w:sz="4" w:space="0" w:color="auto"/>
              <w:bottom w:val="single" w:sz="4" w:space="0" w:color="auto"/>
              <w:right w:val="single" w:sz="4" w:space="0" w:color="auto"/>
            </w:tcBorders>
          </w:tcPr>
          <w:p w14:paraId="3BA40B02" w14:textId="77777777" w:rsidR="00984B34" w:rsidRPr="009E686F" w:rsidRDefault="00984B34" w:rsidP="00984B34">
            <w:pPr>
              <w:jc w:val="both"/>
              <w:rPr>
                <w:rFonts w:ascii="Times New Roman" w:hAnsi="Times New Roman" w:cs="Times New Roman"/>
              </w:rPr>
            </w:pPr>
          </w:p>
        </w:tc>
      </w:tr>
      <w:tr w:rsidR="00984B34" w:rsidRPr="009E686F" w14:paraId="30FFA135" w14:textId="1E338C6A" w:rsidTr="00774F3E">
        <w:trPr>
          <w:trHeight w:val="2978"/>
        </w:trPr>
        <w:tc>
          <w:tcPr>
            <w:tcW w:w="1796" w:type="pct"/>
            <w:gridSpan w:val="2"/>
            <w:tcBorders>
              <w:top w:val="single" w:sz="4" w:space="0" w:color="auto"/>
              <w:left w:val="single" w:sz="4" w:space="0" w:color="auto"/>
              <w:right w:val="single" w:sz="4" w:space="0" w:color="auto"/>
            </w:tcBorders>
          </w:tcPr>
          <w:p w14:paraId="6512A4F2" w14:textId="77777777" w:rsidR="00984B34" w:rsidRPr="009E686F" w:rsidRDefault="00984B34" w:rsidP="00984B34">
            <w:pPr>
              <w:spacing w:after="0"/>
              <w:jc w:val="both"/>
              <w:rPr>
                <w:rFonts w:ascii="Times New Roman" w:hAnsi="Times New Roman" w:cs="Times New Roman"/>
                <w:i/>
                <w:iCs/>
                <w:lang w:val="ro-RO"/>
              </w:rPr>
            </w:pPr>
            <w:r w:rsidRPr="009E686F">
              <w:rPr>
                <w:rFonts w:ascii="Times New Roman" w:hAnsi="Times New Roman" w:cs="Times New Roman"/>
                <w:i/>
                <w:iCs/>
                <w:lang w:val="ro-RO"/>
              </w:rPr>
              <w:t xml:space="preserve">Articolul 155 </w:t>
            </w:r>
          </w:p>
          <w:p w14:paraId="17A01938"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Responsabilitatea</w:t>
            </w:r>
          </w:p>
          <w:p w14:paraId="3BA8B3E9" w14:textId="73F4482A"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(1)Supravegherea prudențială a unei instituții, inclusiv a activităților desfășurate de aceasta în conformitate cu articolele 33 și 34, este responsabilitatea autorităților competente din statul membru de origine, fără a aduce atingere dispozițiilor prezentei directive care conferă o responsabilitate autorităților din statul membru gazdă.</w:t>
            </w:r>
          </w:p>
        </w:tc>
        <w:tc>
          <w:tcPr>
            <w:tcW w:w="1928" w:type="pct"/>
            <w:gridSpan w:val="3"/>
            <w:tcBorders>
              <w:top w:val="single" w:sz="4" w:space="0" w:color="auto"/>
              <w:left w:val="single" w:sz="4" w:space="0" w:color="auto"/>
              <w:right w:val="single" w:sz="4" w:space="0" w:color="auto"/>
            </w:tcBorders>
          </w:tcPr>
          <w:p w14:paraId="04BCB3BF"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right w:val="single" w:sz="4" w:space="0" w:color="auto"/>
            </w:tcBorders>
          </w:tcPr>
          <w:p w14:paraId="56485C09" w14:textId="30A0E0A9"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neaplicabile</w:t>
            </w:r>
          </w:p>
        </w:tc>
        <w:tc>
          <w:tcPr>
            <w:tcW w:w="806" w:type="pct"/>
            <w:tcBorders>
              <w:top w:val="single" w:sz="4" w:space="0" w:color="auto"/>
              <w:left w:val="single" w:sz="4" w:space="0" w:color="auto"/>
              <w:right w:val="single" w:sz="4" w:space="0" w:color="auto"/>
            </w:tcBorders>
          </w:tcPr>
          <w:p w14:paraId="06148D63" w14:textId="4B55CD77"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neaplicabile</w:t>
            </w:r>
          </w:p>
        </w:tc>
      </w:tr>
      <w:tr w:rsidR="00984B34" w:rsidRPr="009E686F" w14:paraId="0918EA79" w14:textId="576E4A47" w:rsidTr="00774F3E">
        <w:tc>
          <w:tcPr>
            <w:tcW w:w="1796" w:type="pct"/>
            <w:gridSpan w:val="2"/>
            <w:tcBorders>
              <w:top w:val="single" w:sz="4" w:space="0" w:color="auto"/>
              <w:left w:val="single" w:sz="4" w:space="0" w:color="auto"/>
              <w:bottom w:val="single" w:sz="4" w:space="0" w:color="auto"/>
              <w:right w:val="single" w:sz="4" w:space="0" w:color="auto"/>
            </w:tcBorders>
          </w:tcPr>
          <w:p w14:paraId="4BF2975F" w14:textId="0E89D43A"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(2) Aplicarea alineatului (1) nu împiedică supravegherea pe bază consolidată, în conformitate cu prezenta directivă.</w:t>
            </w:r>
          </w:p>
        </w:tc>
        <w:tc>
          <w:tcPr>
            <w:tcW w:w="1928" w:type="pct"/>
            <w:gridSpan w:val="3"/>
            <w:tcBorders>
              <w:top w:val="single" w:sz="4" w:space="0" w:color="auto"/>
              <w:left w:val="single" w:sz="4" w:space="0" w:color="auto"/>
              <w:bottom w:val="single" w:sz="4" w:space="0" w:color="auto"/>
              <w:right w:val="single" w:sz="4" w:space="0" w:color="auto"/>
            </w:tcBorders>
          </w:tcPr>
          <w:p w14:paraId="5FC0E8F5"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06B5D77F" w14:textId="71E2079F"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neaplicabile</w:t>
            </w:r>
          </w:p>
        </w:tc>
        <w:tc>
          <w:tcPr>
            <w:tcW w:w="806" w:type="pct"/>
            <w:tcBorders>
              <w:top w:val="single" w:sz="4" w:space="0" w:color="auto"/>
              <w:left w:val="single" w:sz="4" w:space="0" w:color="auto"/>
              <w:bottom w:val="single" w:sz="4" w:space="0" w:color="auto"/>
              <w:right w:val="single" w:sz="4" w:space="0" w:color="auto"/>
            </w:tcBorders>
          </w:tcPr>
          <w:p w14:paraId="59D5CFD8" w14:textId="2FD84782" w:rsidR="00984B34" w:rsidRPr="009E686F" w:rsidRDefault="00984B34" w:rsidP="00984B34">
            <w:pPr>
              <w:jc w:val="both"/>
              <w:rPr>
                <w:rFonts w:ascii="Times New Roman" w:hAnsi="Times New Roman" w:cs="Times New Roman"/>
              </w:rPr>
            </w:pPr>
            <w:r w:rsidRPr="009E686F">
              <w:rPr>
                <w:rFonts w:ascii="Times New Roman" w:hAnsi="Times New Roman" w:cs="Times New Roman"/>
                <w:lang w:val="ro-RO"/>
              </w:rPr>
              <w:t>Norme UE neaplicabile</w:t>
            </w:r>
          </w:p>
        </w:tc>
      </w:tr>
      <w:tr w:rsidR="00984B34" w:rsidRPr="009E686F" w14:paraId="41AB7682" w14:textId="3A0D9DA6" w:rsidTr="00774F3E">
        <w:tc>
          <w:tcPr>
            <w:tcW w:w="1796" w:type="pct"/>
            <w:gridSpan w:val="2"/>
            <w:tcBorders>
              <w:top w:val="single" w:sz="4" w:space="0" w:color="auto"/>
              <w:left w:val="single" w:sz="4" w:space="0" w:color="auto"/>
              <w:bottom w:val="single" w:sz="4" w:space="0" w:color="auto"/>
              <w:right w:val="single" w:sz="4" w:space="0" w:color="auto"/>
            </w:tcBorders>
          </w:tcPr>
          <w:p w14:paraId="27CD942C" w14:textId="1A51C8A3"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(3) În exercitarea atribuțiilor generale care le revin, autoritățile competente dintr-un stat membru iau în calcul în mod corespunzător efectul potențial al deciziilor lor asupra stabilității sistemului financiar din toatele celelalte state membre în cauză și, în special în situații de urgență, pe baza informațiilor disponibile la momentul respectiv.</w:t>
            </w:r>
          </w:p>
        </w:tc>
        <w:tc>
          <w:tcPr>
            <w:tcW w:w="1928" w:type="pct"/>
            <w:gridSpan w:val="3"/>
            <w:tcBorders>
              <w:top w:val="single" w:sz="4" w:space="0" w:color="auto"/>
              <w:left w:val="single" w:sz="4" w:space="0" w:color="auto"/>
              <w:bottom w:val="single" w:sz="4" w:space="0" w:color="auto"/>
              <w:right w:val="single" w:sz="4" w:space="0" w:color="auto"/>
            </w:tcBorders>
          </w:tcPr>
          <w:p w14:paraId="4293A0A8"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3487328F" w14:textId="6FACB0E3"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neaplicabile</w:t>
            </w:r>
          </w:p>
        </w:tc>
        <w:tc>
          <w:tcPr>
            <w:tcW w:w="806" w:type="pct"/>
            <w:tcBorders>
              <w:top w:val="single" w:sz="4" w:space="0" w:color="auto"/>
              <w:left w:val="single" w:sz="4" w:space="0" w:color="auto"/>
              <w:bottom w:val="single" w:sz="4" w:space="0" w:color="auto"/>
              <w:right w:val="single" w:sz="4" w:space="0" w:color="auto"/>
            </w:tcBorders>
          </w:tcPr>
          <w:p w14:paraId="05463ED7" w14:textId="173C101C" w:rsidR="00984B34" w:rsidRPr="009E686F" w:rsidRDefault="00984B34" w:rsidP="00984B34">
            <w:pPr>
              <w:jc w:val="both"/>
              <w:rPr>
                <w:rFonts w:ascii="Times New Roman" w:hAnsi="Times New Roman" w:cs="Times New Roman"/>
              </w:rPr>
            </w:pPr>
            <w:r w:rsidRPr="009E686F">
              <w:rPr>
                <w:rFonts w:ascii="Times New Roman" w:hAnsi="Times New Roman" w:cs="Times New Roman"/>
                <w:lang w:val="ro-RO"/>
              </w:rPr>
              <w:t>Norme UE neaplicabile</w:t>
            </w:r>
          </w:p>
        </w:tc>
      </w:tr>
      <w:tr w:rsidR="00984B34" w:rsidRPr="009E686F" w14:paraId="3058F898" w14:textId="56FC089A" w:rsidTr="00774F3E">
        <w:tc>
          <w:tcPr>
            <w:tcW w:w="1796" w:type="pct"/>
            <w:gridSpan w:val="2"/>
            <w:tcBorders>
              <w:top w:val="single" w:sz="4" w:space="0" w:color="auto"/>
              <w:left w:val="single" w:sz="4" w:space="0" w:color="auto"/>
              <w:bottom w:val="single" w:sz="4" w:space="0" w:color="auto"/>
              <w:right w:val="single" w:sz="4" w:space="0" w:color="auto"/>
            </w:tcBorders>
          </w:tcPr>
          <w:p w14:paraId="78E27D8F" w14:textId="77777777" w:rsidR="00984B34" w:rsidRPr="009E686F" w:rsidRDefault="00984B34" w:rsidP="00984B34">
            <w:pPr>
              <w:spacing w:after="0"/>
              <w:jc w:val="both"/>
              <w:rPr>
                <w:rFonts w:ascii="Times New Roman" w:hAnsi="Times New Roman" w:cs="Times New Roman"/>
                <w:i/>
                <w:iCs/>
                <w:lang w:val="ro-RO"/>
              </w:rPr>
            </w:pPr>
            <w:r w:rsidRPr="009E686F">
              <w:rPr>
                <w:rFonts w:ascii="Times New Roman" w:hAnsi="Times New Roman" w:cs="Times New Roman"/>
                <w:i/>
                <w:iCs/>
                <w:lang w:val="ro-RO"/>
              </w:rPr>
              <w:t xml:space="preserve">Articolul 156 </w:t>
            </w:r>
          </w:p>
          <w:p w14:paraId="737D1596" w14:textId="1D12E4DC"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Supravegherea lichidității</w:t>
            </w:r>
          </w:p>
        </w:tc>
        <w:tc>
          <w:tcPr>
            <w:tcW w:w="1928" w:type="pct"/>
            <w:gridSpan w:val="3"/>
            <w:tcBorders>
              <w:top w:val="single" w:sz="4" w:space="0" w:color="auto"/>
              <w:left w:val="single" w:sz="4" w:space="0" w:color="auto"/>
              <w:bottom w:val="single" w:sz="4" w:space="0" w:color="auto"/>
              <w:right w:val="single" w:sz="4" w:space="0" w:color="auto"/>
            </w:tcBorders>
          </w:tcPr>
          <w:p w14:paraId="67E97AEE"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031DFBFE" w14:textId="2F6D2BB3"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neaplicabile</w:t>
            </w:r>
          </w:p>
        </w:tc>
        <w:tc>
          <w:tcPr>
            <w:tcW w:w="806" w:type="pct"/>
            <w:tcBorders>
              <w:top w:val="single" w:sz="4" w:space="0" w:color="auto"/>
              <w:left w:val="single" w:sz="4" w:space="0" w:color="auto"/>
              <w:bottom w:val="single" w:sz="4" w:space="0" w:color="auto"/>
              <w:right w:val="single" w:sz="4" w:space="0" w:color="auto"/>
            </w:tcBorders>
          </w:tcPr>
          <w:p w14:paraId="66ADB986" w14:textId="7642B964"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neaplicabile</w:t>
            </w:r>
          </w:p>
        </w:tc>
      </w:tr>
      <w:tr w:rsidR="00984B34" w:rsidRPr="009E686F" w14:paraId="28F9F938" w14:textId="24A5D55F" w:rsidTr="00774F3E">
        <w:tc>
          <w:tcPr>
            <w:tcW w:w="1796" w:type="pct"/>
            <w:gridSpan w:val="2"/>
            <w:tcBorders>
              <w:top w:val="single" w:sz="4" w:space="0" w:color="auto"/>
              <w:left w:val="single" w:sz="4" w:space="0" w:color="auto"/>
              <w:bottom w:val="single" w:sz="4" w:space="0" w:color="auto"/>
              <w:right w:val="single" w:sz="4" w:space="0" w:color="auto"/>
            </w:tcBorders>
          </w:tcPr>
          <w:p w14:paraId="6D974019" w14:textId="6F46A7C4"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Până la o coordonare ulterioară, statele membre gazdă răspund în continuare, în cooperare cu autoritățile competente din statul membru de origine, de supravegherea lichidității sucursalelor </w:t>
            </w:r>
            <w:r w:rsidRPr="009E686F">
              <w:rPr>
                <w:rFonts w:ascii="Times New Roman" w:hAnsi="Times New Roman" w:cs="Times New Roman"/>
                <w:i/>
                <w:iCs/>
                <w:lang w:val="ro-RO"/>
              </w:rPr>
              <w:t>instituțiilor de credit</w:t>
            </w:r>
            <w:r w:rsidRPr="009E686F">
              <w:rPr>
                <w:rFonts w:ascii="Times New Roman" w:hAnsi="Times New Roman" w:cs="Times New Roman"/>
                <w:lang w:val="ro-RO"/>
              </w:rPr>
              <w:t>.</w:t>
            </w:r>
          </w:p>
        </w:tc>
        <w:tc>
          <w:tcPr>
            <w:tcW w:w="1928" w:type="pct"/>
            <w:gridSpan w:val="3"/>
            <w:tcBorders>
              <w:top w:val="single" w:sz="4" w:space="0" w:color="auto"/>
              <w:left w:val="single" w:sz="4" w:space="0" w:color="auto"/>
              <w:bottom w:val="single" w:sz="4" w:space="0" w:color="auto"/>
              <w:right w:val="single" w:sz="4" w:space="0" w:color="auto"/>
            </w:tcBorders>
          </w:tcPr>
          <w:p w14:paraId="5E1058BD"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34292194" w14:textId="2B65C79D"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neaplicabile</w:t>
            </w:r>
          </w:p>
        </w:tc>
        <w:tc>
          <w:tcPr>
            <w:tcW w:w="806" w:type="pct"/>
            <w:tcBorders>
              <w:top w:val="single" w:sz="4" w:space="0" w:color="auto"/>
              <w:left w:val="single" w:sz="4" w:space="0" w:color="auto"/>
              <w:bottom w:val="single" w:sz="4" w:space="0" w:color="auto"/>
              <w:right w:val="single" w:sz="4" w:space="0" w:color="auto"/>
            </w:tcBorders>
          </w:tcPr>
          <w:p w14:paraId="43B950B5" w14:textId="78CF2C82" w:rsidR="00984B34" w:rsidRPr="009E686F" w:rsidRDefault="00984B34" w:rsidP="00984B34">
            <w:pPr>
              <w:jc w:val="both"/>
              <w:rPr>
                <w:rFonts w:ascii="Times New Roman" w:hAnsi="Times New Roman" w:cs="Times New Roman"/>
              </w:rPr>
            </w:pPr>
            <w:r w:rsidRPr="009E686F">
              <w:rPr>
                <w:rFonts w:ascii="Times New Roman" w:hAnsi="Times New Roman" w:cs="Times New Roman"/>
                <w:lang w:val="ro-RO"/>
              </w:rPr>
              <w:t>Norme UE neaplicabile</w:t>
            </w:r>
          </w:p>
        </w:tc>
      </w:tr>
      <w:tr w:rsidR="00984B34" w:rsidRPr="009E686F" w14:paraId="243053E8" w14:textId="15940CEF" w:rsidTr="00774F3E">
        <w:tc>
          <w:tcPr>
            <w:tcW w:w="1796" w:type="pct"/>
            <w:gridSpan w:val="2"/>
            <w:tcBorders>
              <w:top w:val="single" w:sz="4" w:space="0" w:color="auto"/>
              <w:left w:val="single" w:sz="4" w:space="0" w:color="auto"/>
              <w:bottom w:val="single" w:sz="4" w:space="0" w:color="auto"/>
              <w:right w:val="single" w:sz="4" w:space="0" w:color="auto"/>
            </w:tcBorders>
          </w:tcPr>
          <w:p w14:paraId="145EBA32"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Fără a aduce atingere măsurilor necesare pentru consolidarea Sistemului Monetar European, statele membre </w:t>
            </w:r>
            <w:r w:rsidRPr="009E686F">
              <w:rPr>
                <w:rFonts w:ascii="Times New Roman" w:hAnsi="Times New Roman" w:cs="Times New Roman"/>
                <w:lang w:val="ro-RO"/>
              </w:rPr>
              <w:lastRenderedPageBreak/>
              <w:t>gazdă păstrează întreaga responsabilitate pentru măsurile rezultate din punerea în aplicare a politicilor lor monetare.</w:t>
            </w:r>
          </w:p>
        </w:tc>
        <w:tc>
          <w:tcPr>
            <w:tcW w:w="1928" w:type="pct"/>
            <w:gridSpan w:val="3"/>
            <w:tcBorders>
              <w:top w:val="single" w:sz="4" w:space="0" w:color="auto"/>
              <w:left w:val="single" w:sz="4" w:space="0" w:color="auto"/>
              <w:bottom w:val="single" w:sz="4" w:space="0" w:color="auto"/>
              <w:right w:val="single" w:sz="4" w:space="0" w:color="auto"/>
            </w:tcBorders>
          </w:tcPr>
          <w:p w14:paraId="25AC8E28"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67D652B8" w14:textId="0CB60AD8"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neaplicabile</w:t>
            </w:r>
          </w:p>
        </w:tc>
        <w:tc>
          <w:tcPr>
            <w:tcW w:w="806" w:type="pct"/>
            <w:tcBorders>
              <w:top w:val="single" w:sz="4" w:space="0" w:color="auto"/>
              <w:left w:val="single" w:sz="4" w:space="0" w:color="auto"/>
              <w:bottom w:val="single" w:sz="4" w:space="0" w:color="auto"/>
              <w:right w:val="single" w:sz="4" w:space="0" w:color="auto"/>
            </w:tcBorders>
          </w:tcPr>
          <w:p w14:paraId="15489138" w14:textId="3EEB68BE" w:rsidR="00984B34" w:rsidRPr="009E686F" w:rsidRDefault="00984B34" w:rsidP="00984B34">
            <w:pPr>
              <w:jc w:val="both"/>
              <w:rPr>
                <w:rFonts w:ascii="Times New Roman" w:hAnsi="Times New Roman" w:cs="Times New Roman"/>
              </w:rPr>
            </w:pPr>
            <w:r w:rsidRPr="009E686F">
              <w:rPr>
                <w:rFonts w:ascii="Times New Roman" w:hAnsi="Times New Roman" w:cs="Times New Roman"/>
                <w:lang w:val="ro-RO"/>
              </w:rPr>
              <w:t>Norme UE neaplicabile</w:t>
            </w:r>
          </w:p>
        </w:tc>
      </w:tr>
      <w:tr w:rsidR="00984B34" w:rsidRPr="009E686F" w14:paraId="42CAB2C8" w14:textId="6474B898" w:rsidTr="00774F3E">
        <w:tc>
          <w:tcPr>
            <w:tcW w:w="1796" w:type="pct"/>
            <w:gridSpan w:val="2"/>
            <w:tcBorders>
              <w:top w:val="single" w:sz="4" w:space="0" w:color="auto"/>
              <w:left w:val="single" w:sz="4" w:space="0" w:color="auto"/>
              <w:bottom w:val="single" w:sz="4" w:space="0" w:color="auto"/>
              <w:right w:val="single" w:sz="4" w:space="0" w:color="auto"/>
            </w:tcBorders>
          </w:tcPr>
          <w:p w14:paraId="0EE500A3" w14:textId="1D2CE55F"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Aceste măsuri nu prevăd tratamente discriminatorii sau restrictive pe baza faptului că o </w:t>
            </w:r>
            <w:r w:rsidRPr="009E686F">
              <w:rPr>
                <w:rFonts w:ascii="Times New Roman" w:hAnsi="Times New Roman" w:cs="Times New Roman"/>
                <w:i/>
                <w:iCs/>
                <w:lang w:val="ro-RO"/>
              </w:rPr>
              <w:t>instituție de credit</w:t>
            </w:r>
            <w:r w:rsidRPr="009E686F">
              <w:rPr>
                <w:rFonts w:ascii="Times New Roman" w:hAnsi="Times New Roman" w:cs="Times New Roman"/>
                <w:lang w:val="ro-RO"/>
              </w:rPr>
              <w:t xml:space="preserve"> este autorizată în alt stat membru.</w:t>
            </w:r>
          </w:p>
        </w:tc>
        <w:tc>
          <w:tcPr>
            <w:tcW w:w="1928" w:type="pct"/>
            <w:gridSpan w:val="3"/>
            <w:tcBorders>
              <w:top w:val="single" w:sz="4" w:space="0" w:color="auto"/>
              <w:left w:val="single" w:sz="4" w:space="0" w:color="auto"/>
              <w:bottom w:val="single" w:sz="4" w:space="0" w:color="auto"/>
              <w:right w:val="single" w:sz="4" w:space="0" w:color="auto"/>
            </w:tcBorders>
          </w:tcPr>
          <w:p w14:paraId="401C5659"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1A29706D" w14:textId="031B08EF"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neaplicabile</w:t>
            </w:r>
          </w:p>
        </w:tc>
        <w:tc>
          <w:tcPr>
            <w:tcW w:w="806" w:type="pct"/>
            <w:tcBorders>
              <w:top w:val="single" w:sz="4" w:space="0" w:color="auto"/>
              <w:left w:val="single" w:sz="4" w:space="0" w:color="auto"/>
              <w:bottom w:val="single" w:sz="4" w:space="0" w:color="auto"/>
              <w:right w:val="single" w:sz="4" w:space="0" w:color="auto"/>
            </w:tcBorders>
          </w:tcPr>
          <w:p w14:paraId="0DECDF72" w14:textId="681E220E" w:rsidR="00984B34" w:rsidRPr="009E686F" w:rsidRDefault="00984B34" w:rsidP="00984B34">
            <w:pPr>
              <w:jc w:val="both"/>
              <w:rPr>
                <w:rFonts w:ascii="Times New Roman" w:hAnsi="Times New Roman" w:cs="Times New Roman"/>
              </w:rPr>
            </w:pPr>
            <w:r w:rsidRPr="009E686F">
              <w:rPr>
                <w:rFonts w:ascii="Times New Roman" w:hAnsi="Times New Roman" w:cs="Times New Roman"/>
                <w:lang w:val="ro-RO"/>
              </w:rPr>
              <w:t>Norme UE neaplicabile</w:t>
            </w:r>
          </w:p>
        </w:tc>
      </w:tr>
      <w:tr w:rsidR="00984B34" w:rsidRPr="009E686F" w14:paraId="6050F360" w14:textId="19708BED" w:rsidTr="00774F3E">
        <w:tc>
          <w:tcPr>
            <w:tcW w:w="1796" w:type="pct"/>
            <w:gridSpan w:val="2"/>
            <w:tcBorders>
              <w:top w:val="single" w:sz="4" w:space="0" w:color="auto"/>
              <w:left w:val="single" w:sz="4" w:space="0" w:color="auto"/>
              <w:bottom w:val="single" w:sz="4" w:space="0" w:color="auto"/>
              <w:right w:val="single" w:sz="4" w:space="0" w:color="auto"/>
            </w:tcBorders>
          </w:tcPr>
          <w:p w14:paraId="7515BFAC" w14:textId="77777777" w:rsidR="00984B34" w:rsidRPr="009E686F" w:rsidRDefault="00984B34" w:rsidP="00984B34">
            <w:pPr>
              <w:spacing w:after="0"/>
              <w:jc w:val="both"/>
              <w:rPr>
                <w:rFonts w:ascii="Times New Roman" w:hAnsi="Times New Roman" w:cs="Times New Roman"/>
                <w:b/>
                <w:bCs/>
                <w:i/>
                <w:iCs/>
                <w:lang w:val="ro-RO"/>
              </w:rPr>
            </w:pPr>
            <w:r w:rsidRPr="009E686F">
              <w:rPr>
                <w:rFonts w:ascii="Times New Roman" w:hAnsi="Times New Roman" w:cs="Times New Roman"/>
                <w:i/>
                <w:iCs/>
                <w:lang w:val="ro-RO"/>
              </w:rPr>
              <w:t>Articolul 157</w:t>
            </w:r>
            <w:r w:rsidRPr="009E686F">
              <w:rPr>
                <w:rFonts w:ascii="Times New Roman" w:hAnsi="Times New Roman" w:cs="Times New Roman"/>
                <w:b/>
                <w:bCs/>
                <w:i/>
                <w:iCs/>
                <w:lang w:val="ro-RO"/>
              </w:rPr>
              <w:t xml:space="preserve"> </w:t>
            </w:r>
          </w:p>
          <w:p w14:paraId="36B524FA" w14:textId="23F7D0E6"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Colaborarea privind supravegherea</w:t>
            </w:r>
          </w:p>
          <w:p w14:paraId="36FEF361" w14:textId="77777777" w:rsidR="00984B34" w:rsidRPr="009E686F" w:rsidRDefault="00984B34" w:rsidP="00984B34">
            <w:pPr>
              <w:spacing w:after="0"/>
              <w:jc w:val="both"/>
              <w:rPr>
                <w:rFonts w:ascii="Times New Roman" w:hAnsi="Times New Roman" w:cs="Times New Roman"/>
                <w:lang w:val="ro-RO"/>
              </w:rPr>
            </w:pPr>
          </w:p>
          <w:p w14:paraId="5E586003"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Autoritățile competente din statele membre în cauză colaborează îndeaproape la supravegherea activității instituțiilor care funcționează, în special printr-o sucursală, în unul sau mai multe state membre, altele decât cele în care își au sediul central. </w:t>
            </w:r>
          </w:p>
          <w:p w14:paraId="7F684115"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Autoritățile competente din statele membre își comunică toate informațiile privind administrarea și proprietatea asupra unor astfel de instituții care pot facilita supravegherea acestora și examinarea condițiilor de autorizare a acestora, precum și toate informațiile care pot facilita supravegherea acestor instituții în special în ceea ce privește lichiditatea, solvabilitatea, garantarea depozitelor, limitarea expunerilor mari, procedurile administrative și contabile și mecanismele de control intern.</w:t>
            </w:r>
          </w:p>
        </w:tc>
        <w:tc>
          <w:tcPr>
            <w:tcW w:w="1928" w:type="pct"/>
            <w:gridSpan w:val="3"/>
            <w:tcBorders>
              <w:top w:val="single" w:sz="4" w:space="0" w:color="auto"/>
              <w:left w:val="single" w:sz="4" w:space="0" w:color="auto"/>
              <w:bottom w:val="single" w:sz="4" w:space="0" w:color="auto"/>
              <w:right w:val="single" w:sz="4" w:space="0" w:color="auto"/>
            </w:tcBorders>
          </w:tcPr>
          <w:p w14:paraId="535ACE67"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587D7727" w14:textId="27504ECB"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neaplicabile</w:t>
            </w:r>
          </w:p>
        </w:tc>
        <w:tc>
          <w:tcPr>
            <w:tcW w:w="806" w:type="pct"/>
            <w:tcBorders>
              <w:top w:val="single" w:sz="4" w:space="0" w:color="auto"/>
              <w:left w:val="single" w:sz="4" w:space="0" w:color="auto"/>
              <w:bottom w:val="single" w:sz="4" w:space="0" w:color="auto"/>
              <w:right w:val="single" w:sz="4" w:space="0" w:color="auto"/>
            </w:tcBorders>
          </w:tcPr>
          <w:p w14:paraId="0F38138F" w14:textId="670D558A" w:rsidR="00984B34" w:rsidRPr="009E686F" w:rsidRDefault="00984B34" w:rsidP="00984B34">
            <w:pPr>
              <w:jc w:val="both"/>
              <w:rPr>
                <w:rFonts w:ascii="Times New Roman" w:hAnsi="Times New Roman" w:cs="Times New Roman"/>
              </w:rPr>
            </w:pPr>
            <w:r w:rsidRPr="009E686F">
              <w:rPr>
                <w:rFonts w:ascii="Times New Roman" w:hAnsi="Times New Roman" w:cs="Times New Roman"/>
                <w:lang w:val="ro-RO"/>
              </w:rPr>
              <w:t>Norme UE neaplicabile</w:t>
            </w:r>
          </w:p>
        </w:tc>
      </w:tr>
      <w:tr w:rsidR="00984B34" w:rsidRPr="009E686F" w14:paraId="6C399A91" w14:textId="6C874C23" w:rsidTr="00774F3E">
        <w:tc>
          <w:tcPr>
            <w:tcW w:w="1796" w:type="pct"/>
            <w:gridSpan w:val="2"/>
            <w:tcBorders>
              <w:top w:val="single" w:sz="4" w:space="0" w:color="auto"/>
              <w:left w:val="single" w:sz="4" w:space="0" w:color="auto"/>
              <w:bottom w:val="single" w:sz="4" w:space="0" w:color="auto"/>
              <w:right w:val="single" w:sz="4" w:space="0" w:color="auto"/>
            </w:tcBorders>
          </w:tcPr>
          <w:p w14:paraId="3546611C" w14:textId="77777777" w:rsidR="00984B34" w:rsidRPr="009E686F" w:rsidRDefault="00984B34" w:rsidP="00984B34">
            <w:pPr>
              <w:spacing w:after="0"/>
              <w:jc w:val="both"/>
              <w:rPr>
                <w:rFonts w:ascii="Times New Roman" w:hAnsi="Times New Roman" w:cs="Times New Roman"/>
                <w:i/>
                <w:iCs/>
                <w:lang w:val="ro-RO"/>
              </w:rPr>
            </w:pPr>
            <w:r w:rsidRPr="009E686F">
              <w:rPr>
                <w:rFonts w:ascii="Times New Roman" w:hAnsi="Times New Roman" w:cs="Times New Roman"/>
                <w:i/>
                <w:iCs/>
                <w:lang w:val="ro-RO"/>
              </w:rPr>
              <w:t xml:space="preserve">Articolul 158 </w:t>
            </w:r>
          </w:p>
          <w:p w14:paraId="30384627" w14:textId="6DCB8F53"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Sucursale semnificative</w:t>
            </w:r>
          </w:p>
        </w:tc>
        <w:tc>
          <w:tcPr>
            <w:tcW w:w="1928" w:type="pct"/>
            <w:gridSpan w:val="3"/>
            <w:tcBorders>
              <w:top w:val="single" w:sz="4" w:space="0" w:color="auto"/>
              <w:left w:val="single" w:sz="4" w:space="0" w:color="auto"/>
              <w:bottom w:val="single" w:sz="4" w:space="0" w:color="auto"/>
              <w:right w:val="single" w:sz="4" w:space="0" w:color="auto"/>
            </w:tcBorders>
          </w:tcPr>
          <w:p w14:paraId="56691DB2"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19A50EE8" w14:textId="77777777"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0D491158" w14:textId="77777777" w:rsidR="00984B34" w:rsidRPr="009E686F" w:rsidRDefault="00984B34" w:rsidP="00984B34">
            <w:pPr>
              <w:jc w:val="both"/>
              <w:rPr>
                <w:rFonts w:ascii="Times New Roman" w:hAnsi="Times New Roman" w:cs="Times New Roman"/>
                <w:lang w:val="ro-RO"/>
              </w:rPr>
            </w:pPr>
          </w:p>
        </w:tc>
      </w:tr>
      <w:tr w:rsidR="00984B34" w:rsidRPr="009E686F" w14:paraId="7F33022C" w14:textId="6F78A7DD" w:rsidTr="00774F3E">
        <w:tc>
          <w:tcPr>
            <w:tcW w:w="1796" w:type="pct"/>
            <w:gridSpan w:val="2"/>
            <w:tcBorders>
              <w:top w:val="single" w:sz="4" w:space="0" w:color="auto"/>
              <w:left w:val="single" w:sz="4" w:space="0" w:color="auto"/>
              <w:bottom w:val="single" w:sz="4" w:space="0" w:color="auto"/>
              <w:right w:val="single" w:sz="4" w:space="0" w:color="auto"/>
            </w:tcBorders>
          </w:tcPr>
          <w:p w14:paraId="0373CF94" w14:textId="5F38D3E1"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(1) Autoritățile competente dintr-un stat membru gazdă pot solicita autorității responsabile cu supravegherea consolidată, în cazul în care se aplică articolul 112 alineatul (1), sau autorităților competente din statul membru de origine să considere o sucursală a unei instituții alta decât o </w:t>
            </w:r>
            <w:r w:rsidRPr="009E686F">
              <w:rPr>
                <w:rFonts w:ascii="Times New Roman" w:hAnsi="Times New Roman" w:cs="Times New Roman"/>
                <w:i/>
                <w:iCs/>
                <w:lang w:val="ro-RO"/>
              </w:rPr>
              <w:t>instituție de credit</w:t>
            </w:r>
            <w:r w:rsidRPr="009E686F">
              <w:rPr>
                <w:rFonts w:ascii="Times New Roman" w:hAnsi="Times New Roman" w:cs="Times New Roman"/>
                <w:lang w:val="ro-RO"/>
              </w:rPr>
              <w:t xml:space="preserve"> sau o firmă de investiții care face obiectul articolului 95 din Regulamentul (UE) nr. 575/2013 ca fiind semnificativă.</w:t>
            </w:r>
          </w:p>
        </w:tc>
        <w:tc>
          <w:tcPr>
            <w:tcW w:w="1928" w:type="pct"/>
            <w:gridSpan w:val="3"/>
            <w:tcBorders>
              <w:top w:val="single" w:sz="4" w:space="0" w:color="auto"/>
              <w:left w:val="single" w:sz="4" w:space="0" w:color="auto"/>
              <w:bottom w:val="single" w:sz="4" w:space="0" w:color="auto"/>
              <w:right w:val="single" w:sz="4" w:space="0" w:color="auto"/>
            </w:tcBorders>
          </w:tcPr>
          <w:p w14:paraId="48533DF1"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3C7C14B4" w14:textId="61F98661"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neaplicabile</w:t>
            </w:r>
          </w:p>
        </w:tc>
        <w:tc>
          <w:tcPr>
            <w:tcW w:w="806" w:type="pct"/>
            <w:tcBorders>
              <w:top w:val="single" w:sz="4" w:space="0" w:color="auto"/>
              <w:left w:val="single" w:sz="4" w:space="0" w:color="auto"/>
              <w:bottom w:val="single" w:sz="4" w:space="0" w:color="auto"/>
              <w:right w:val="single" w:sz="4" w:space="0" w:color="auto"/>
            </w:tcBorders>
          </w:tcPr>
          <w:p w14:paraId="58794A3A" w14:textId="77777777" w:rsidR="00984B34" w:rsidRPr="009E686F" w:rsidRDefault="00984B34" w:rsidP="00984B34">
            <w:pPr>
              <w:jc w:val="both"/>
              <w:rPr>
                <w:rFonts w:ascii="Times New Roman" w:hAnsi="Times New Roman" w:cs="Times New Roman"/>
              </w:rPr>
            </w:pPr>
          </w:p>
        </w:tc>
      </w:tr>
      <w:tr w:rsidR="00984B34" w:rsidRPr="009E686F" w14:paraId="01FDBDD7" w14:textId="018C1DED" w:rsidTr="00774F3E">
        <w:tc>
          <w:tcPr>
            <w:tcW w:w="1796" w:type="pct"/>
            <w:gridSpan w:val="2"/>
            <w:tcBorders>
              <w:top w:val="single" w:sz="4" w:space="0" w:color="auto"/>
              <w:left w:val="single" w:sz="4" w:space="0" w:color="auto"/>
              <w:bottom w:val="single" w:sz="4" w:space="0" w:color="auto"/>
              <w:right w:val="single" w:sz="4" w:space="0" w:color="auto"/>
            </w:tcBorders>
          </w:tcPr>
          <w:p w14:paraId="07329EA6" w14:textId="556D2F93"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lastRenderedPageBreak/>
              <w:t>(2) Cererea respectivă specifică motivele pentru care sucursala ar trebui considerată semnificativă, în special cu privire la următoarele aspecte:</w:t>
            </w:r>
          </w:p>
        </w:tc>
        <w:tc>
          <w:tcPr>
            <w:tcW w:w="1928" w:type="pct"/>
            <w:gridSpan w:val="3"/>
            <w:tcBorders>
              <w:top w:val="single" w:sz="4" w:space="0" w:color="auto"/>
              <w:left w:val="single" w:sz="4" w:space="0" w:color="auto"/>
              <w:bottom w:val="single" w:sz="4" w:space="0" w:color="auto"/>
              <w:right w:val="single" w:sz="4" w:space="0" w:color="auto"/>
            </w:tcBorders>
          </w:tcPr>
          <w:p w14:paraId="74DEAA1E"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1D3128FA" w14:textId="7443AB91"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neaplicabile</w:t>
            </w:r>
          </w:p>
        </w:tc>
        <w:tc>
          <w:tcPr>
            <w:tcW w:w="806" w:type="pct"/>
            <w:tcBorders>
              <w:top w:val="single" w:sz="4" w:space="0" w:color="auto"/>
              <w:left w:val="single" w:sz="4" w:space="0" w:color="auto"/>
              <w:bottom w:val="single" w:sz="4" w:space="0" w:color="auto"/>
              <w:right w:val="single" w:sz="4" w:space="0" w:color="auto"/>
            </w:tcBorders>
          </w:tcPr>
          <w:p w14:paraId="5CB53FD1" w14:textId="77777777" w:rsidR="00984B34" w:rsidRPr="009E686F" w:rsidRDefault="00984B34" w:rsidP="00984B34">
            <w:pPr>
              <w:jc w:val="both"/>
              <w:rPr>
                <w:rFonts w:ascii="Times New Roman" w:hAnsi="Times New Roman" w:cs="Times New Roman"/>
              </w:rPr>
            </w:pPr>
          </w:p>
        </w:tc>
      </w:tr>
      <w:tr w:rsidR="00984B34" w:rsidRPr="009E686F" w14:paraId="2EF2F7B4" w14:textId="718FB54C" w:rsidTr="00774F3E">
        <w:tc>
          <w:tcPr>
            <w:tcW w:w="1796" w:type="pct"/>
            <w:gridSpan w:val="2"/>
            <w:tcBorders>
              <w:top w:val="single" w:sz="4" w:space="0" w:color="auto"/>
              <w:left w:val="single" w:sz="4" w:space="0" w:color="auto"/>
              <w:bottom w:val="single" w:sz="4" w:space="0" w:color="auto"/>
              <w:right w:val="single" w:sz="4" w:space="0" w:color="auto"/>
            </w:tcBorders>
          </w:tcPr>
          <w:p w14:paraId="0BB759B7" w14:textId="528FEEC3"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(c) atingerea de către o sucursală, în statul membru gazdă, a unei cote de piață de peste 2 % în ceea ce privește depozitele;</w:t>
            </w:r>
          </w:p>
        </w:tc>
        <w:tc>
          <w:tcPr>
            <w:tcW w:w="1928" w:type="pct"/>
            <w:gridSpan w:val="3"/>
            <w:tcBorders>
              <w:top w:val="single" w:sz="4" w:space="0" w:color="auto"/>
              <w:left w:val="single" w:sz="4" w:space="0" w:color="auto"/>
              <w:bottom w:val="single" w:sz="4" w:space="0" w:color="auto"/>
              <w:right w:val="single" w:sz="4" w:space="0" w:color="auto"/>
            </w:tcBorders>
          </w:tcPr>
          <w:p w14:paraId="62E379DD"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4BC71164" w14:textId="6DF42AA8"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neaplicabile</w:t>
            </w:r>
          </w:p>
        </w:tc>
        <w:tc>
          <w:tcPr>
            <w:tcW w:w="806" w:type="pct"/>
            <w:tcBorders>
              <w:top w:val="single" w:sz="4" w:space="0" w:color="auto"/>
              <w:left w:val="single" w:sz="4" w:space="0" w:color="auto"/>
              <w:bottom w:val="single" w:sz="4" w:space="0" w:color="auto"/>
              <w:right w:val="single" w:sz="4" w:space="0" w:color="auto"/>
            </w:tcBorders>
          </w:tcPr>
          <w:p w14:paraId="24AB3864" w14:textId="77777777" w:rsidR="00984B34" w:rsidRPr="009E686F" w:rsidRDefault="00984B34" w:rsidP="00984B34">
            <w:pPr>
              <w:jc w:val="both"/>
              <w:rPr>
                <w:rFonts w:ascii="Times New Roman" w:hAnsi="Times New Roman" w:cs="Times New Roman"/>
              </w:rPr>
            </w:pPr>
          </w:p>
        </w:tc>
      </w:tr>
      <w:tr w:rsidR="00984B34" w:rsidRPr="009E686F" w14:paraId="0E116FD1" w14:textId="5F4CD004" w:rsidTr="00774F3E">
        <w:tc>
          <w:tcPr>
            <w:tcW w:w="1796" w:type="pct"/>
            <w:gridSpan w:val="2"/>
            <w:tcBorders>
              <w:top w:val="single" w:sz="4" w:space="0" w:color="auto"/>
              <w:left w:val="single" w:sz="4" w:space="0" w:color="auto"/>
              <w:bottom w:val="single" w:sz="4" w:space="0" w:color="auto"/>
              <w:right w:val="single" w:sz="4" w:space="0" w:color="auto"/>
            </w:tcBorders>
          </w:tcPr>
          <w:p w14:paraId="67F87F5D" w14:textId="31A2657E"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(b) impactul probabil al unei suspendări sau încetări a operațiunilor instituției asupra lichidității sistemice și asupra sistemelor de plată, compensare și decontare din statul membru gazdă;</w:t>
            </w:r>
          </w:p>
        </w:tc>
        <w:tc>
          <w:tcPr>
            <w:tcW w:w="1928" w:type="pct"/>
            <w:gridSpan w:val="3"/>
            <w:tcBorders>
              <w:top w:val="single" w:sz="4" w:space="0" w:color="auto"/>
              <w:left w:val="single" w:sz="4" w:space="0" w:color="auto"/>
              <w:bottom w:val="single" w:sz="4" w:space="0" w:color="auto"/>
              <w:right w:val="single" w:sz="4" w:space="0" w:color="auto"/>
            </w:tcBorders>
          </w:tcPr>
          <w:p w14:paraId="47BF7A59"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17C57B21" w14:textId="661835B5"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neaplicabile</w:t>
            </w:r>
          </w:p>
        </w:tc>
        <w:tc>
          <w:tcPr>
            <w:tcW w:w="806" w:type="pct"/>
            <w:tcBorders>
              <w:top w:val="single" w:sz="4" w:space="0" w:color="auto"/>
              <w:left w:val="single" w:sz="4" w:space="0" w:color="auto"/>
              <w:bottom w:val="single" w:sz="4" w:space="0" w:color="auto"/>
              <w:right w:val="single" w:sz="4" w:space="0" w:color="auto"/>
            </w:tcBorders>
          </w:tcPr>
          <w:p w14:paraId="107BBC24" w14:textId="77777777" w:rsidR="00984B34" w:rsidRPr="009E686F" w:rsidRDefault="00984B34" w:rsidP="00984B34">
            <w:pPr>
              <w:jc w:val="both"/>
              <w:rPr>
                <w:rFonts w:ascii="Times New Roman" w:hAnsi="Times New Roman" w:cs="Times New Roman"/>
              </w:rPr>
            </w:pPr>
          </w:p>
        </w:tc>
      </w:tr>
      <w:tr w:rsidR="00984B34" w:rsidRPr="009E686F" w14:paraId="528DF051" w14:textId="2778FF95" w:rsidTr="00774F3E">
        <w:tc>
          <w:tcPr>
            <w:tcW w:w="1796" w:type="pct"/>
            <w:gridSpan w:val="2"/>
            <w:tcBorders>
              <w:top w:val="single" w:sz="4" w:space="0" w:color="auto"/>
              <w:left w:val="single" w:sz="4" w:space="0" w:color="auto"/>
              <w:bottom w:val="single" w:sz="4" w:space="0" w:color="auto"/>
              <w:right w:val="single" w:sz="4" w:space="0" w:color="auto"/>
            </w:tcBorders>
          </w:tcPr>
          <w:p w14:paraId="3EF9B366" w14:textId="78EDD0E8"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(c) dimensiunea și importanța sucursalei, din punctul de vedere al numărului de clienți, în contextul sistemului bancar sau financiar al statului membru gazdă.</w:t>
            </w:r>
          </w:p>
        </w:tc>
        <w:tc>
          <w:tcPr>
            <w:tcW w:w="1928" w:type="pct"/>
            <w:gridSpan w:val="3"/>
            <w:tcBorders>
              <w:top w:val="single" w:sz="4" w:space="0" w:color="auto"/>
              <w:left w:val="single" w:sz="4" w:space="0" w:color="auto"/>
              <w:bottom w:val="single" w:sz="4" w:space="0" w:color="auto"/>
              <w:right w:val="single" w:sz="4" w:space="0" w:color="auto"/>
            </w:tcBorders>
          </w:tcPr>
          <w:p w14:paraId="7B293688"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771DF005" w14:textId="76555421"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neaplicabile</w:t>
            </w:r>
          </w:p>
        </w:tc>
        <w:tc>
          <w:tcPr>
            <w:tcW w:w="806" w:type="pct"/>
            <w:tcBorders>
              <w:top w:val="single" w:sz="4" w:space="0" w:color="auto"/>
              <w:left w:val="single" w:sz="4" w:space="0" w:color="auto"/>
              <w:bottom w:val="single" w:sz="4" w:space="0" w:color="auto"/>
              <w:right w:val="single" w:sz="4" w:space="0" w:color="auto"/>
            </w:tcBorders>
          </w:tcPr>
          <w:p w14:paraId="313CD5FB" w14:textId="77777777" w:rsidR="00984B34" w:rsidRPr="009E686F" w:rsidRDefault="00984B34" w:rsidP="00984B34">
            <w:pPr>
              <w:jc w:val="both"/>
              <w:rPr>
                <w:rFonts w:ascii="Times New Roman" w:hAnsi="Times New Roman" w:cs="Times New Roman"/>
              </w:rPr>
            </w:pPr>
          </w:p>
        </w:tc>
      </w:tr>
      <w:tr w:rsidR="00984B34" w:rsidRPr="009E686F" w14:paraId="6379DCA9" w14:textId="41553E00" w:rsidTr="00774F3E">
        <w:tc>
          <w:tcPr>
            <w:tcW w:w="1796" w:type="pct"/>
            <w:gridSpan w:val="2"/>
            <w:tcBorders>
              <w:top w:val="single" w:sz="4" w:space="0" w:color="auto"/>
              <w:left w:val="single" w:sz="4" w:space="0" w:color="auto"/>
              <w:bottom w:val="single" w:sz="4" w:space="0" w:color="auto"/>
              <w:right w:val="single" w:sz="4" w:space="0" w:color="auto"/>
            </w:tcBorders>
          </w:tcPr>
          <w:p w14:paraId="620D7E66"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Autoritățile competente din statele membre de origine și din statele membre gazdă și autoritatea responsabilă cu supravegherea consolidată, în cazul în care se aplică articolul 112 alineatul (1), depun toate eforturile posibile pentru a ajunge la o decizie comună cu privire la desemnarea unei sucursale ca fiind semnificativă.</w:t>
            </w:r>
          </w:p>
        </w:tc>
        <w:tc>
          <w:tcPr>
            <w:tcW w:w="1928" w:type="pct"/>
            <w:gridSpan w:val="3"/>
            <w:tcBorders>
              <w:top w:val="single" w:sz="4" w:space="0" w:color="auto"/>
              <w:left w:val="single" w:sz="4" w:space="0" w:color="auto"/>
              <w:bottom w:val="single" w:sz="4" w:space="0" w:color="auto"/>
              <w:right w:val="single" w:sz="4" w:space="0" w:color="auto"/>
            </w:tcBorders>
          </w:tcPr>
          <w:p w14:paraId="17A6B8A2"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7205CC41" w14:textId="333D4B75"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neaplicabile</w:t>
            </w:r>
          </w:p>
        </w:tc>
        <w:tc>
          <w:tcPr>
            <w:tcW w:w="806" w:type="pct"/>
            <w:tcBorders>
              <w:top w:val="single" w:sz="4" w:space="0" w:color="auto"/>
              <w:left w:val="single" w:sz="4" w:space="0" w:color="auto"/>
              <w:bottom w:val="single" w:sz="4" w:space="0" w:color="auto"/>
              <w:right w:val="single" w:sz="4" w:space="0" w:color="auto"/>
            </w:tcBorders>
          </w:tcPr>
          <w:p w14:paraId="7517469C" w14:textId="77777777" w:rsidR="00984B34" w:rsidRPr="009E686F" w:rsidRDefault="00984B34" w:rsidP="00984B34">
            <w:pPr>
              <w:jc w:val="both"/>
              <w:rPr>
                <w:rFonts w:ascii="Times New Roman" w:hAnsi="Times New Roman" w:cs="Times New Roman"/>
              </w:rPr>
            </w:pPr>
          </w:p>
        </w:tc>
      </w:tr>
      <w:tr w:rsidR="00984B34" w:rsidRPr="009E686F" w14:paraId="1E0EF5C9" w14:textId="5487E3DA" w:rsidTr="00774F3E">
        <w:tc>
          <w:tcPr>
            <w:tcW w:w="1796" w:type="pct"/>
            <w:gridSpan w:val="2"/>
            <w:tcBorders>
              <w:top w:val="single" w:sz="4" w:space="0" w:color="auto"/>
              <w:left w:val="single" w:sz="4" w:space="0" w:color="auto"/>
              <w:bottom w:val="single" w:sz="4" w:space="0" w:color="auto"/>
              <w:right w:val="single" w:sz="4" w:space="0" w:color="auto"/>
            </w:tcBorders>
          </w:tcPr>
          <w:p w14:paraId="38971647"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În cazul în care nu se ajunge la o decizie comună în termen de două luni de la primirea unei cereri în temeiul primului paragraf, autoritățile competente din statul membru gazdă iau propria decizie în termen de alte două luni cu privire la desemnarea sucursalei ca fiind semnificativă. La luarea deciziei, autoritățile competente din statul membru gazdă iau în considerare orice opinii și rezerve ale autorității responsabile cu supravegherea consolidată sau ale autorităților competente din statul membru de origine.</w:t>
            </w:r>
          </w:p>
        </w:tc>
        <w:tc>
          <w:tcPr>
            <w:tcW w:w="1928" w:type="pct"/>
            <w:gridSpan w:val="3"/>
            <w:tcBorders>
              <w:top w:val="single" w:sz="4" w:space="0" w:color="auto"/>
              <w:left w:val="single" w:sz="4" w:space="0" w:color="auto"/>
              <w:bottom w:val="single" w:sz="4" w:space="0" w:color="auto"/>
              <w:right w:val="single" w:sz="4" w:space="0" w:color="auto"/>
            </w:tcBorders>
          </w:tcPr>
          <w:p w14:paraId="53FCDD4E"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26C2E66F" w14:textId="3358F1A9"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neaplicabile</w:t>
            </w:r>
          </w:p>
        </w:tc>
        <w:tc>
          <w:tcPr>
            <w:tcW w:w="806" w:type="pct"/>
            <w:tcBorders>
              <w:top w:val="single" w:sz="4" w:space="0" w:color="auto"/>
              <w:left w:val="single" w:sz="4" w:space="0" w:color="auto"/>
              <w:bottom w:val="single" w:sz="4" w:space="0" w:color="auto"/>
              <w:right w:val="single" w:sz="4" w:space="0" w:color="auto"/>
            </w:tcBorders>
          </w:tcPr>
          <w:p w14:paraId="34FE001B" w14:textId="77777777" w:rsidR="00984B34" w:rsidRPr="009E686F" w:rsidRDefault="00984B34" w:rsidP="00984B34">
            <w:pPr>
              <w:jc w:val="both"/>
              <w:rPr>
                <w:rFonts w:ascii="Times New Roman" w:hAnsi="Times New Roman" w:cs="Times New Roman"/>
              </w:rPr>
            </w:pPr>
          </w:p>
        </w:tc>
      </w:tr>
      <w:tr w:rsidR="00984B34" w:rsidRPr="009E686F" w14:paraId="4D52FC7C" w14:textId="4DF090A9" w:rsidTr="00774F3E">
        <w:tc>
          <w:tcPr>
            <w:tcW w:w="1796" w:type="pct"/>
            <w:gridSpan w:val="2"/>
            <w:tcBorders>
              <w:top w:val="single" w:sz="4" w:space="0" w:color="auto"/>
              <w:left w:val="single" w:sz="4" w:space="0" w:color="auto"/>
              <w:bottom w:val="single" w:sz="4" w:space="0" w:color="auto"/>
              <w:right w:val="single" w:sz="4" w:space="0" w:color="auto"/>
            </w:tcBorders>
          </w:tcPr>
          <w:p w14:paraId="46AA0797"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Deciziile menționate la al doilea și al treilea paragraf sunt incluse într-un document care cuprinde motivarea completă și se transmit autorităților competente în cauză, fiind </w:t>
            </w:r>
            <w:r w:rsidRPr="009E686F">
              <w:rPr>
                <w:rFonts w:ascii="Times New Roman" w:hAnsi="Times New Roman" w:cs="Times New Roman"/>
                <w:lang w:val="ro-RO"/>
              </w:rPr>
              <w:lastRenderedPageBreak/>
              <w:t>considerate determinante și aplicate de autoritățile competente ale statelor membre în cauză.</w:t>
            </w:r>
          </w:p>
        </w:tc>
        <w:tc>
          <w:tcPr>
            <w:tcW w:w="1928" w:type="pct"/>
            <w:gridSpan w:val="3"/>
            <w:tcBorders>
              <w:top w:val="single" w:sz="4" w:space="0" w:color="auto"/>
              <w:left w:val="single" w:sz="4" w:space="0" w:color="auto"/>
              <w:bottom w:val="single" w:sz="4" w:space="0" w:color="auto"/>
              <w:right w:val="single" w:sz="4" w:space="0" w:color="auto"/>
            </w:tcBorders>
          </w:tcPr>
          <w:p w14:paraId="770DAC9E"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62A41F55" w14:textId="1D3AD7D3"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neaplicabile</w:t>
            </w:r>
          </w:p>
        </w:tc>
        <w:tc>
          <w:tcPr>
            <w:tcW w:w="806" w:type="pct"/>
            <w:tcBorders>
              <w:top w:val="single" w:sz="4" w:space="0" w:color="auto"/>
              <w:left w:val="single" w:sz="4" w:space="0" w:color="auto"/>
              <w:bottom w:val="single" w:sz="4" w:space="0" w:color="auto"/>
              <w:right w:val="single" w:sz="4" w:space="0" w:color="auto"/>
            </w:tcBorders>
          </w:tcPr>
          <w:p w14:paraId="1389C4EB" w14:textId="77777777" w:rsidR="00984B34" w:rsidRPr="009E686F" w:rsidRDefault="00984B34" w:rsidP="00984B34">
            <w:pPr>
              <w:jc w:val="both"/>
              <w:rPr>
                <w:rFonts w:ascii="Times New Roman" w:hAnsi="Times New Roman" w:cs="Times New Roman"/>
              </w:rPr>
            </w:pPr>
          </w:p>
        </w:tc>
      </w:tr>
      <w:tr w:rsidR="00984B34" w:rsidRPr="009E686F" w14:paraId="5C041308" w14:textId="5FF2AB89" w:rsidTr="00774F3E">
        <w:tc>
          <w:tcPr>
            <w:tcW w:w="1796" w:type="pct"/>
            <w:gridSpan w:val="2"/>
            <w:tcBorders>
              <w:top w:val="single" w:sz="4" w:space="0" w:color="auto"/>
              <w:left w:val="single" w:sz="4" w:space="0" w:color="auto"/>
              <w:bottom w:val="single" w:sz="4" w:space="0" w:color="auto"/>
              <w:right w:val="single" w:sz="4" w:space="0" w:color="auto"/>
            </w:tcBorders>
          </w:tcPr>
          <w:p w14:paraId="1E86439D"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Desemnarea unei sucursale drept semnificativă nu aduce atingere drepturilor și responsabilităților autorităților competente prevăzute în prezenta directivă.</w:t>
            </w:r>
          </w:p>
        </w:tc>
        <w:tc>
          <w:tcPr>
            <w:tcW w:w="1928" w:type="pct"/>
            <w:gridSpan w:val="3"/>
            <w:tcBorders>
              <w:top w:val="single" w:sz="4" w:space="0" w:color="auto"/>
              <w:left w:val="single" w:sz="4" w:space="0" w:color="auto"/>
              <w:bottom w:val="single" w:sz="4" w:space="0" w:color="auto"/>
              <w:right w:val="single" w:sz="4" w:space="0" w:color="auto"/>
            </w:tcBorders>
          </w:tcPr>
          <w:p w14:paraId="6D177121"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375BE8F0" w14:textId="5FFCA657"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neaplicabile</w:t>
            </w:r>
          </w:p>
        </w:tc>
        <w:tc>
          <w:tcPr>
            <w:tcW w:w="806" w:type="pct"/>
            <w:tcBorders>
              <w:top w:val="single" w:sz="4" w:space="0" w:color="auto"/>
              <w:left w:val="single" w:sz="4" w:space="0" w:color="auto"/>
              <w:bottom w:val="single" w:sz="4" w:space="0" w:color="auto"/>
              <w:right w:val="single" w:sz="4" w:space="0" w:color="auto"/>
            </w:tcBorders>
          </w:tcPr>
          <w:p w14:paraId="64A2B4CD" w14:textId="77777777" w:rsidR="00984B34" w:rsidRPr="009E686F" w:rsidRDefault="00984B34" w:rsidP="00984B34">
            <w:pPr>
              <w:jc w:val="both"/>
              <w:rPr>
                <w:rFonts w:ascii="Times New Roman" w:hAnsi="Times New Roman" w:cs="Times New Roman"/>
              </w:rPr>
            </w:pPr>
          </w:p>
        </w:tc>
      </w:tr>
      <w:tr w:rsidR="00984B34" w:rsidRPr="009E686F" w14:paraId="1AB61D93" w14:textId="7EDBE20C" w:rsidTr="00774F3E">
        <w:tc>
          <w:tcPr>
            <w:tcW w:w="1796" w:type="pct"/>
            <w:gridSpan w:val="2"/>
            <w:tcBorders>
              <w:top w:val="single" w:sz="4" w:space="0" w:color="auto"/>
              <w:left w:val="single" w:sz="4" w:space="0" w:color="auto"/>
              <w:bottom w:val="single" w:sz="4" w:space="0" w:color="auto"/>
              <w:right w:val="single" w:sz="4" w:space="0" w:color="auto"/>
            </w:tcBorders>
          </w:tcPr>
          <w:p w14:paraId="74BE471D" w14:textId="75BECE73"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(3) Autoritățile competente din statul membru de origine comunică autorităților competente dintr-un stat membru gazdă în care este stabilită o sucursală semnificativă informațiile menționate la articolul 117 alineatul (1) literele (c) și (d) și îndeplinesc sarcinile menționate la articolul 112 alineatul (1) litera (c) în cooperare cu autoritățile competente din statul membru gazdă.</w:t>
            </w:r>
          </w:p>
        </w:tc>
        <w:tc>
          <w:tcPr>
            <w:tcW w:w="1928" w:type="pct"/>
            <w:gridSpan w:val="3"/>
            <w:tcBorders>
              <w:top w:val="single" w:sz="4" w:space="0" w:color="auto"/>
              <w:left w:val="single" w:sz="4" w:space="0" w:color="auto"/>
              <w:bottom w:val="single" w:sz="4" w:space="0" w:color="auto"/>
              <w:right w:val="single" w:sz="4" w:space="0" w:color="auto"/>
            </w:tcBorders>
          </w:tcPr>
          <w:p w14:paraId="1FDB40E5"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39555BF8" w14:textId="0E2B7A27"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neaplicabile</w:t>
            </w:r>
          </w:p>
        </w:tc>
        <w:tc>
          <w:tcPr>
            <w:tcW w:w="806" w:type="pct"/>
            <w:tcBorders>
              <w:top w:val="single" w:sz="4" w:space="0" w:color="auto"/>
              <w:left w:val="single" w:sz="4" w:space="0" w:color="auto"/>
              <w:bottom w:val="single" w:sz="4" w:space="0" w:color="auto"/>
              <w:right w:val="single" w:sz="4" w:space="0" w:color="auto"/>
            </w:tcBorders>
          </w:tcPr>
          <w:p w14:paraId="604A8C16" w14:textId="77777777" w:rsidR="00984B34" w:rsidRPr="009E686F" w:rsidRDefault="00984B34" w:rsidP="00984B34">
            <w:pPr>
              <w:jc w:val="both"/>
              <w:rPr>
                <w:rFonts w:ascii="Times New Roman" w:hAnsi="Times New Roman" w:cs="Times New Roman"/>
              </w:rPr>
            </w:pPr>
          </w:p>
        </w:tc>
      </w:tr>
      <w:tr w:rsidR="00984B34" w:rsidRPr="009E686F" w14:paraId="46AAA785" w14:textId="2D241846" w:rsidTr="00774F3E">
        <w:tc>
          <w:tcPr>
            <w:tcW w:w="1796" w:type="pct"/>
            <w:gridSpan w:val="2"/>
            <w:tcBorders>
              <w:top w:val="single" w:sz="4" w:space="0" w:color="auto"/>
              <w:left w:val="single" w:sz="4" w:space="0" w:color="auto"/>
              <w:bottom w:val="single" w:sz="4" w:space="0" w:color="auto"/>
              <w:right w:val="single" w:sz="4" w:space="0" w:color="auto"/>
            </w:tcBorders>
          </w:tcPr>
          <w:p w14:paraId="31239A00" w14:textId="0F14D266"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(4) În cazul în care o autoritate competentă dintr-un stat membru de origine constată prezența unei situații de urgență, astfel cum se menționează la articolul 114 alineatul (1), aceasta alertează în cel mai scurt timp autoritățile menționate la articolul 58 alineatul (4) și la articolul 59 alineatul (1).</w:t>
            </w:r>
          </w:p>
        </w:tc>
        <w:tc>
          <w:tcPr>
            <w:tcW w:w="1928" w:type="pct"/>
            <w:gridSpan w:val="3"/>
            <w:tcBorders>
              <w:top w:val="single" w:sz="4" w:space="0" w:color="auto"/>
              <w:left w:val="single" w:sz="4" w:space="0" w:color="auto"/>
              <w:bottom w:val="single" w:sz="4" w:space="0" w:color="auto"/>
              <w:right w:val="single" w:sz="4" w:space="0" w:color="auto"/>
            </w:tcBorders>
          </w:tcPr>
          <w:p w14:paraId="1B2F6338"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03FE1CFC" w14:textId="6FF55D68"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neaplicabile</w:t>
            </w:r>
          </w:p>
        </w:tc>
        <w:tc>
          <w:tcPr>
            <w:tcW w:w="806" w:type="pct"/>
            <w:tcBorders>
              <w:top w:val="single" w:sz="4" w:space="0" w:color="auto"/>
              <w:left w:val="single" w:sz="4" w:space="0" w:color="auto"/>
              <w:bottom w:val="single" w:sz="4" w:space="0" w:color="auto"/>
              <w:right w:val="single" w:sz="4" w:space="0" w:color="auto"/>
            </w:tcBorders>
          </w:tcPr>
          <w:p w14:paraId="70041C2D" w14:textId="77777777" w:rsidR="00984B34" w:rsidRPr="009E686F" w:rsidRDefault="00984B34" w:rsidP="00984B34">
            <w:pPr>
              <w:jc w:val="both"/>
              <w:rPr>
                <w:rFonts w:ascii="Times New Roman" w:hAnsi="Times New Roman" w:cs="Times New Roman"/>
              </w:rPr>
            </w:pPr>
          </w:p>
        </w:tc>
      </w:tr>
      <w:tr w:rsidR="00984B34" w:rsidRPr="009E686F" w14:paraId="09EFBD0C" w14:textId="6437ED87" w:rsidTr="00774F3E">
        <w:tc>
          <w:tcPr>
            <w:tcW w:w="1796" w:type="pct"/>
            <w:gridSpan w:val="2"/>
            <w:tcBorders>
              <w:top w:val="single" w:sz="4" w:space="0" w:color="auto"/>
              <w:left w:val="single" w:sz="4" w:space="0" w:color="auto"/>
              <w:bottom w:val="single" w:sz="4" w:space="0" w:color="auto"/>
              <w:right w:val="single" w:sz="4" w:space="0" w:color="auto"/>
            </w:tcBorders>
          </w:tcPr>
          <w:p w14:paraId="6424CC06" w14:textId="1D3D9BF3"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(5) În cazul în care nu se aplică articolul 116, autoritățile competente care supraveghează o instituție având sucursale semnificative în alte state membre înființează și prezidează un colegiu de supraveghetori pentru a facilita adoptarea unei decizii comune privind desemnarea unei sucursale ca fiind semnificativă în temeiul alineatului (2) de la prezentul articol și schimbul de informații în temeiul articolului 60. Înființarea și funcționarea colegiului se bazează pe dispoziții scrise stabilite de către autoritatea competentă din statul membru de origine în urma consultării cu autoritățile competente în cauză. Autoritatea competentă din statul membru de origine decide care autorități competente participă la o reuniune sau la o activitate a colegiului.</w:t>
            </w:r>
          </w:p>
        </w:tc>
        <w:tc>
          <w:tcPr>
            <w:tcW w:w="1928" w:type="pct"/>
            <w:gridSpan w:val="3"/>
            <w:tcBorders>
              <w:top w:val="single" w:sz="4" w:space="0" w:color="auto"/>
              <w:left w:val="single" w:sz="4" w:space="0" w:color="auto"/>
              <w:bottom w:val="single" w:sz="4" w:space="0" w:color="auto"/>
              <w:right w:val="single" w:sz="4" w:space="0" w:color="auto"/>
            </w:tcBorders>
          </w:tcPr>
          <w:p w14:paraId="7AAD4ABC"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6518F805" w14:textId="1EF12A1D"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neaplicabile</w:t>
            </w:r>
          </w:p>
        </w:tc>
        <w:tc>
          <w:tcPr>
            <w:tcW w:w="806" w:type="pct"/>
            <w:tcBorders>
              <w:top w:val="single" w:sz="4" w:space="0" w:color="auto"/>
              <w:left w:val="single" w:sz="4" w:space="0" w:color="auto"/>
              <w:bottom w:val="single" w:sz="4" w:space="0" w:color="auto"/>
              <w:right w:val="single" w:sz="4" w:space="0" w:color="auto"/>
            </w:tcBorders>
          </w:tcPr>
          <w:p w14:paraId="3AA80B9A" w14:textId="77777777" w:rsidR="00984B34" w:rsidRPr="009E686F" w:rsidRDefault="00984B34" w:rsidP="00984B34">
            <w:pPr>
              <w:jc w:val="both"/>
              <w:rPr>
                <w:rFonts w:ascii="Times New Roman" w:hAnsi="Times New Roman" w:cs="Times New Roman"/>
              </w:rPr>
            </w:pPr>
          </w:p>
        </w:tc>
      </w:tr>
      <w:tr w:rsidR="00984B34" w:rsidRPr="009E686F" w14:paraId="252DF922" w14:textId="2E09D1E2" w:rsidTr="00774F3E">
        <w:tc>
          <w:tcPr>
            <w:tcW w:w="1796" w:type="pct"/>
            <w:gridSpan w:val="2"/>
            <w:tcBorders>
              <w:top w:val="single" w:sz="4" w:space="0" w:color="auto"/>
              <w:left w:val="single" w:sz="4" w:space="0" w:color="auto"/>
              <w:bottom w:val="single" w:sz="4" w:space="0" w:color="auto"/>
              <w:right w:val="single" w:sz="4" w:space="0" w:color="auto"/>
            </w:tcBorders>
          </w:tcPr>
          <w:p w14:paraId="6756F129" w14:textId="4A84CCFA"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lastRenderedPageBreak/>
              <w:t>(6) Decizia autorității competente din statul membru de origine ține seama de relevanța activității de supraveghere care urmează să fie planificată sau coordonată pentru aceste autorități, în special de impactul potențial asupra stabilității sistemului financiar din statele membre în cauză, menționat la articolul 155 alineatul (3), și de obligațiile menționate la alineatul (2) din prezentul articol.</w:t>
            </w:r>
          </w:p>
        </w:tc>
        <w:tc>
          <w:tcPr>
            <w:tcW w:w="1928" w:type="pct"/>
            <w:gridSpan w:val="3"/>
            <w:tcBorders>
              <w:top w:val="single" w:sz="4" w:space="0" w:color="auto"/>
              <w:left w:val="single" w:sz="4" w:space="0" w:color="auto"/>
              <w:bottom w:val="single" w:sz="4" w:space="0" w:color="auto"/>
              <w:right w:val="single" w:sz="4" w:space="0" w:color="auto"/>
            </w:tcBorders>
          </w:tcPr>
          <w:p w14:paraId="65FED0F0"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7BA28750" w14:textId="25B5F703"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neaplicabile</w:t>
            </w:r>
          </w:p>
        </w:tc>
        <w:tc>
          <w:tcPr>
            <w:tcW w:w="806" w:type="pct"/>
            <w:tcBorders>
              <w:top w:val="single" w:sz="4" w:space="0" w:color="auto"/>
              <w:left w:val="single" w:sz="4" w:space="0" w:color="auto"/>
              <w:bottom w:val="single" w:sz="4" w:space="0" w:color="auto"/>
              <w:right w:val="single" w:sz="4" w:space="0" w:color="auto"/>
            </w:tcBorders>
          </w:tcPr>
          <w:p w14:paraId="1C2B7296" w14:textId="77777777" w:rsidR="00984B34" w:rsidRPr="009E686F" w:rsidRDefault="00984B34" w:rsidP="00984B34">
            <w:pPr>
              <w:jc w:val="both"/>
              <w:rPr>
                <w:rFonts w:ascii="Times New Roman" w:hAnsi="Times New Roman" w:cs="Times New Roman"/>
              </w:rPr>
            </w:pPr>
          </w:p>
        </w:tc>
      </w:tr>
      <w:tr w:rsidR="00984B34" w:rsidRPr="009E686F" w14:paraId="47AA247C" w14:textId="3E3024E7" w:rsidTr="00774F3E">
        <w:tc>
          <w:tcPr>
            <w:tcW w:w="1796" w:type="pct"/>
            <w:gridSpan w:val="2"/>
            <w:tcBorders>
              <w:top w:val="single" w:sz="4" w:space="0" w:color="auto"/>
              <w:left w:val="single" w:sz="4" w:space="0" w:color="auto"/>
              <w:bottom w:val="single" w:sz="4" w:space="0" w:color="auto"/>
              <w:right w:val="single" w:sz="4" w:space="0" w:color="auto"/>
            </w:tcBorders>
          </w:tcPr>
          <w:p w14:paraId="7E429038" w14:textId="392488C2"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(7) În prealabil, autoritatea competentă din statul membru de origine îi informează pe deplin pe toți membrii colegiului în legătură cu organizarea unor astfel de reuniuni, principalele aspecte care urmează să fie discutate, precum și în legătură cu activitățile care urmează să fie examinate. Autoritatea competentă din statul membru de origine îi informează, de asemenea, pe deplin și în timp util, pe toți membrii colegiului în legătură cu măsurile adoptate în cadrul respectivelor reuniuni și acțiunile întreprinse.</w:t>
            </w:r>
          </w:p>
        </w:tc>
        <w:tc>
          <w:tcPr>
            <w:tcW w:w="1928" w:type="pct"/>
            <w:gridSpan w:val="3"/>
            <w:tcBorders>
              <w:top w:val="single" w:sz="4" w:space="0" w:color="auto"/>
              <w:left w:val="single" w:sz="4" w:space="0" w:color="auto"/>
              <w:bottom w:val="single" w:sz="4" w:space="0" w:color="auto"/>
              <w:right w:val="single" w:sz="4" w:space="0" w:color="auto"/>
            </w:tcBorders>
          </w:tcPr>
          <w:p w14:paraId="531EC9F4"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5F367818" w14:textId="6B4899D8"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neaplicabile</w:t>
            </w:r>
          </w:p>
        </w:tc>
        <w:tc>
          <w:tcPr>
            <w:tcW w:w="806" w:type="pct"/>
            <w:tcBorders>
              <w:top w:val="single" w:sz="4" w:space="0" w:color="auto"/>
              <w:left w:val="single" w:sz="4" w:space="0" w:color="auto"/>
              <w:bottom w:val="single" w:sz="4" w:space="0" w:color="auto"/>
              <w:right w:val="single" w:sz="4" w:space="0" w:color="auto"/>
            </w:tcBorders>
          </w:tcPr>
          <w:p w14:paraId="7197181D" w14:textId="77777777" w:rsidR="00984B34" w:rsidRPr="009E686F" w:rsidRDefault="00984B34" w:rsidP="00984B34">
            <w:pPr>
              <w:jc w:val="both"/>
              <w:rPr>
                <w:rFonts w:ascii="Times New Roman" w:hAnsi="Times New Roman" w:cs="Times New Roman"/>
              </w:rPr>
            </w:pPr>
          </w:p>
        </w:tc>
      </w:tr>
      <w:tr w:rsidR="00984B34" w:rsidRPr="009E686F" w14:paraId="1E5BD587" w14:textId="43A8A9AC" w:rsidTr="00774F3E">
        <w:tc>
          <w:tcPr>
            <w:tcW w:w="1796" w:type="pct"/>
            <w:gridSpan w:val="2"/>
            <w:tcBorders>
              <w:top w:val="single" w:sz="4" w:space="0" w:color="auto"/>
              <w:left w:val="single" w:sz="4" w:space="0" w:color="auto"/>
              <w:bottom w:val="single" w:sz="4" w:space="0" w:color="auto"/>
              <w:right w:val="single" w:sz="4" w:space="0" w:color="auto"/>
            </w:tcBorders>
          </w:tcPr>
          <w:p w14:paraId="1D1A357A" w14:textId="77777777" w:rsidR="00984B34" w:rsidRPr="009E686F" w:rsidRDefault="00984B34" w:rsidP="00984B34">
            <w:pPr>
              <w:spacing w:after="0"/>
              <w:jc w:val="both"/>
              <w:rPr>
                <w:rFonts w:ascii="Times New Roman" w:hAnsi="Times New Roman" w:cs="Times New Roman"/>
                <w:i/>
                <w:iCs/>
                <w:lang w:val="ro-RO"/>
              </w:rPr>
            </w:pPr>
            <w:r w:rsidRPr="009E686F">
              <w:rPr>
                <w:rFonts w:ascii="Times New Roman" w:hAnsi="Times New Roman" w:cs="Times New Roman"/>
                <w:i/>
                <w:iCs/>
                <w:lang w:val="ro-RO"/>
              </w:rPr>
              <w:t xml:space="preserve">Articolul 159 </w:t>
            </w:r>
          </w:p>
          <w:p w14:paraId="5AFE8852" w14:textId="68082FAF"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Verificări la fața locului</w:t>
            </w:r>
          </w:p>
        </w:tc>
        <w:tc>
          <w:tcPr>
            <w:tcW w:w="1928" w:type="pct"/>
            <w:gridSpan w:val="3"/>
            <w:tcBorders>
              <w:top w:val="single" w:sz="4" w:space="0" w:color="auto"/>
              <w:left w:val="single" w:sz="4" w:space="0" w:color="auto"/>
              <w:bottom w:val="single" w:sz="4" w:space="0" w:color="auto"/>
              <w:right w:val="single" w:sz="4" w:space="0" w:color="auto"/>
            </w:tcBorders>
          </w:tcPr>
          <w:p w14:paraId="03298C1F"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6BF12D18" w14:textId="102050F5"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neaplicabile</w:t>
            </w:r>
          </w:p>
        </w:tc>
        <w:tc>
          <w:tcPr>
            <w:tcW w:w="806" w:type="pct"/>
            <w:tcBorders>
              <w:top w:val="single" w:sz="4" w:space="0" w:color="auto"/>
              <w:left w:val="single" w:sz="4" w:space="0" w:color="auto"/>
              <w:bottom w:val="single" w:sz="4" w:space="0" w:color="auto"/>
              <w:right w:val="single" w:sz="4" w:space="0" w:color="auto"/>
            </w:tcBorders>
          </w:tcPr>
          <w:p w14:paraId="252B33A7" w14:textId="77777777" w:rsidR="00984B34" w:rsidRPr="009E686F" w:rsidRDefault="00984B34" w:rsidP="00984B34">
            <w:pPr>
              <w:jc w:val="both"/>
              <w:rPr>
                <w:rFonts w:ascii="Times New Roman" w:hAnsi="Times New Roman" w:cs="Times New Roman"/>
                <w:lang w:val="ro-RO"/>
              </w:rPr>
            </w:pPr>
          </w:p>
        </w:tc>
      </w:tr>
      <w:tr w:rsidR="00984B34" w:rsidRPr="009E686F" w14:paraId="7A4983F0" w14:textId="6E133E55" w:rsidTr="00774F3E">
        <w:tc>
          <w:tcPr>
            <w:tcW w:w="1796" w:type="pct"/>
            <w:gridSpan w:val="2"/>
            <w:tcBorders>
              <w:top w:val="single" w:sz="4" w:space="0" w:color="auto"/>
              <w:left w:val="single" w:sz="4" w:space="0" w:color="auto"/>
              <w:bottom w:val="single" w:sz="4" w:space="0" w:color="auto"/>
              <w:right w:val="single" w:sz="4" w:space="0" w:color="auto"/>
            </w:tcBorders>
          </w:tcPr>
          <w:p w14:paraId="69EB4EC6" w14:textId="0955F108"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(1) Statele membre gazdă adoptă dispoziții care prevăd că, în cazul în care o instituție autorizată în alt stat membru își desfășoară activitatea prin intermediul unei sucursale, autoritățile competente din statul membru de origine pot desfășura ele însele sau printr-un intermediar, după ce au informat autoritățile competente din statul membru gazdă, verificări la fața locului ale informațiilor menționate la articolul 50.</w:t>
            </w:r>
          </w:p>
        </w:tc>
        <w:tc>
          <w:tcPr>
            <w:tcW w:w="1928" w:type="pct"/>
            <w:gridSpan w:val="3"/>
            <w:tcBorders>
              <w:top w:val="single" w:sz="4" w:space="0" w:color="auto"/>
              <w:left w:val="single" w:sz="4" w:space="0" w:color="auto"/>
              <w:bottom w:val="single" w:sz="4" w:space="0" w:color="auto"/>
              <w:right w:val="single" w:sz="4" w:space="0" w:color="auto"/>
            </w:tcBorders>
          </w:tcPr>
          <w:p w14:paraId="62EC69F8"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22AA4C9A" w14:textId="5D6FF74B"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neaplicabile</w:t>
            </w:r>
          </w:p>
        </w:tc>
        <w:tc>
          <w:tcPr>
            <w:tcW w:w="806" w:type="pct"/>
            <w:tcBorders>
              <w:top w:val="single" w:sz="4" w:space="0" w:color="auto"/>
              <w:left w:val="single" w:sz="4" w:space="0" w:color="auto"/>
              <w:bottom w:val="single" w:sz="4" w:space="0" w:color="auto"/>
              <w:right w:val="single" w:sz="4" w:space="0" w:color="auto"/>
            </w:tcBorders>
          </w:tcPr>
          <w:p w14:paraId="33568A35" w14:textId="77777777" w:rsidR="00984B34" w:rsidRPr="009E686F" w:rsidRDefault="00984B34" w:rsidP="00984B34">
            <w:pPr>
              <w:jc w:val="both"/>
              <w:rPr>
                <w:rFonts w:ascii="Times New Roman" w:hAnsi="Times New Roman" w:cs="Times New Roman"/>
              </w:rPr>
            </w:pPr>
          </w:p>
        </w:tc>
      </w:tr>
      <w:tr w:rsidR="00984B34" w:rsidRPr="009E686F" w14:paraId="215B911B" w14:textId="26C14C2D" w:rsidTr="00774F3E">
        <w:tc>
          <w:tcPr>
            <w:tcW w:w="1796" w:type="pct"/>
            <w:gridSpan w:val="2"/>
            <w:tcBorders>
              <w:top w:val="single" w:sz="4" w:space="0" w:color="auto"/>
              <w:left w:val="single" w:sz="4" w:space="0" w:color="auto"/>
              <w:bottom w:val="single" w:sz="4" w:space="0" w:color="auto"/>
              <w:right w:val="single" w:sz="4" w:space="0" w:color="auto"/>
            </w:tcBorders>
          </w:tcPr>
          <w:p w14:paraId="44CDDD38" w14:textId="5DF45A06"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(2) Autoritățile competente din statul membru de origine pot să recurgă, de asemenea, pentru astfel de verificări la fața locului a sucursalelor, la una dintre procedurile prevăzute la articolul 118.</w:t>
            </w:r>
          </w:p>
        </w:tc>
        <w:tc>
          <w:tcPr>
            <w:tcW w:w="1928" w:type="pct"/>
            <w:gridSpan w:val="3"/>
            <w:tcBorders>
              <w:top w:val="single" w:sz="4" w:space="0" w:color="auto"/>
              <w:left w:val="single" w:sz="4" w:space="0" w:color="auto"/>
              <w:bottom w:val="single" w:sz="4" w:space="0" w:color="auto"/>
              <w:right w:val="single" w:sz="4" w:space="0" w:color="auto"/>
            </w:tcBorders>
          </w:tcPr>
          <w:p w14:paraId="7D6EEBE2"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235C2747" w14:textId="54EEAE21"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neaplicabile</w:t>
            </w:r>
          </w:p>
        </w:tc>
        <w:tc>
          <w:tcPr>
            <w:tcW w:w="806" w:type="pct"/>
            <w:tcBorders>
              <w:top w:val="single" w:sz="4" w:space="0" w:color="auto"/>
              <w:left w:val="single" w:sz="4" w:space="0" w:color="auto"/>
              <w:bottom w:val="single" w:sz="4" w:space="0" w:color="auto"/>
              <w:right w:val="single" w:sz="4" w:space="0" w:color="auto"/>
            </w:tcBorders>
          </w:tcPr>
          <w:p w14:paraId="2F49F244" w14:textId="77777777" w:rsidR="00984B34" w:rsidRPr="009E686F" w:rsidRDefault="00984B34" w:rsidP="00984B34">
            <w:pPr>
              <w:jc w:val="both"/>
              <w:rPr>
                <w:rFonts w:ascii="Times New Roman" w:hAnsi="Times New Roman" w:cs="Times New Roman"/>
              </w:rPr>
            </w:pPr>
          </w:p>
        </w:tc>
      </w:tr>
      <w:tr w:rsidR="00984B34" w:rsidRPr="009E686F" w14:paraId="000D435A" w14:textId="2F83740B" w:rsidTr="00774F3E">
        <w:tc>
          <w:tcPr>
            <w:tcW w:w="1796" w:type="pct"/>
            <w:gridSpan w:val="2"/>
            <w:tcBorders>
              <w:top w:val="single" w:sz="4" w:space="0" w:color="auto"/>
              <w:left w:val="single" w:sz="4" w:space="0" w:color="auto"/>
              <w:bottom w:val="single" w:sz="4" w:space="0" w:color="auto"/>
              <w:right w:val="single" w:sz="4" w:space="0" w:color="auto"/>
            </w:tcBorders>
          </w:tcPr>
          <w:p w14:paraId="6ACBAC66" w14:textId="5C04D1DC"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lastRenderedPageBreak/>
              <w:t>(3) Dispozițiile alineatelor (1) și (2) nu aduc atingere dreptului autorităților competente din statul membru gazdă de a efectua, în îndeplinirea responsabilităților care le revin în temeiul prezentei directive, verificări la fața locului la sucursalele înființate pe teritoriul lor.</w:t>
            </w:r>
          </w:p>
        </w:tc>
        <w:tc>
          <w:tcPr>
            <w:tcW w:w="1928" w:type="pct"/>
            <w:gridSpan w:val="3"/>
            <w:tcBorders>
              <w:top w:val="single" w:sz="4" w:space="0" w:color="auto"/>
              <w:left w:val="single" w:sz="4" w:space="0" w:color="auto"/>
              <w:bottom w:val="single" w:sz="4" w:space="0" w:color="auto"/>
              <w:right w:val="single" w:sz="4" w:space="0" w:color="auto"/>
            </w:tcBorders>
          </w:tcPr>
          <w:p w14:paraId="30F9FF3E"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01C1BA1B" w14:textId="4EB2DBE4"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neaplicabile</w:t>
            </w:r>
          </w:p>
        </w:tc>
        <w:tc>
          <w:tcPr>
            <w:tcW w:w="806" w:type="pct"/>
            <w:tcBorders>
              <w:top w:val="single" w:sz="4" w:space="0" w:color="auto"/>
              <w:left w:val="single" w:sz="4" w:space="0" w:color="auto"/>
              <w:bottom w:val="single" w:sz="4" w:space="0" w:color="auto"/>
              <w:right w:val="single" w:sz="4" w:space="0" w:color="auto"/>
            </w:tcBorders>
          </w:tcPr>
          <w:p w14:paraId="20EC95C1" w14:textId="77777777" w:rsidR="00984B34" w:rsidRPr="009E686F" w:rsidRDefault="00984B34" w:rsidP="00984B34">
            <w:pPr>
              <w:jc w:val="both"/>
              <w:rPr>
                <w:rFonts w:ascii="Times New Roman" w:hAnsi="Times New Roman" w:cs="Times New Roman"/>
              </w:rPr>
            </w:pPr>
          </w:p>
        </w:tc>
      </w:tr>
      <w:tr w:rsidR="00984B34" w:rsidRPr="009E686F" w14:paraId="165F4709"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3B132590" w14:textId="77777777" w:rsidR="00984B34" w:rsidRPr="009E686F" w:rsidRDefault="00984B34" w:rsidP="00984B34">
            <w:pPr>
              <w:spacing w:after="0"/>
              <w:jc w:val="both"/>
              <w:rPr>
                <w:rFonts w:ascii="Times New Roman" w:hAnsi="Times New Roman" w:cs="Times New Roman"/>
                <w:bCs/>
                <w:lang w:val="ro-RO"/>
              </w:rPr>
            </w:pPr>
            <w:r w:rsidRPr="009E686F">
              <w:rPr>
                <w:rFonts w:ascii="Times New Roman" w:hAnsi="Times New Roman" w:cs="Times New Roman"/>
                <w:bCs/>
                <w:lang w:val="ro-RO"/>
              </w:rPr>
              <w:t>CAPITOLUL 1a</w:t>
            </w:r>
          </w:p>
          <w:p w14:paraId="2A9E151B" w14:textId="6894D196"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b/>
                <w:lang w:val="ro-RO"/>
              </w:rPr>
              <w:t>Dispoziții tranzitorii privind societățile financiare holding și societățile financiare holding mixte</w:t>
            </w:r>
          </w:p>
        </w:tc>
        <w:tc>
          <w:tcPr>
            <w:tcW w:w="1928" w:type="pct"/>
            <w:gridSpan w:val="3"/>
            <w:tcBorders>
              <w:top w:val="single" w:sz="4" w:space="0" w:color="auto"/>
              <w:left w:val="single" w:sz="4" w:space="0" w:color="auto"/>
              <w:bottom w:val="single" w:sz="4" w:space="0" w:color="auto"/>
              <w:right w:val="single" w:sz="4" w:space="0" w:color="auto"/>
            </w:tcBorders>
          </w:tcPr>
          <w:p w14:paraId="4850E6B4"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62AF50E5" w14:textId="2946A2C3"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neaplicabile</w:t>
            </w:r>
          </w:p>
        </w:tc>
        <w:tc>
          <w:tcPr>
            <w:tcW w:w="806" w:type="pct"/>
            <w:tcBorders>
              <w:top w:val="single" w:sz="4" w:space="0" w:color="auto"/>
              <w:left w:val="single" w:sz="4" w:space="0" w:color="auto"/>
              <w:bottom w:val="single" w:sz="4" w:space="0" w:color="auto"/>
              <w:right w:val="single" w:sz="4" w:space="0" w:color="auto"/>
            </w:tcBorders>
          </w:tcPr>
          <w:p w14:paraId="7ABF424C" w14:textId="77777777" w:rsidR="00984B34" w:rsidRPr="009E686F" w:rsidRDefault="00984B34" w:rsidP="00984B34">
            <w:pPr>
              <w:jc w:val="both"/>
              <w:rPr>
                <w:rFonts w:ascii="Times New Roman" w:hAnsi="Times New Roman" w:cs="Times New Roman"/>
                <w:lang w:val="ro-RO"/>
              </w:rPr>
            </w:pPr>
          </w:p>
        </w:tc>
      </w:tr>
      <w:tr w:rsidR="00984B34" w:rsidRPr="009E686F" w14:paraId="02D5CE10"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4E181C20" w14:textId="77777777" w:rsidR="00984B34" w:rsidRPr="009E686F" w:rsidRDefault="00984B34" w:rsidP="00984B34">
            <w:pPr>
              <w:spacing w:after="0"/>
              <w:jc w:val="both"/>
              <w:rPr>
                <w:rFonts w:ascii="Times New Roman" w:hAnsi="Times New Roman" w:cs="Times New Roman"/>
                <w:bCs/>
                <w:i/>
                <w:iCs/>
                <w:lang w:val="ro-RO"/>
              </w:rPr>
            </w:pPr>
            <w:r w:rsidRPr="009E686F">
              <w:rPr>
                <w:rFonts w:ascii="Times New Roman" w:hAnsi="Times New Roman" w:cs="Times New Roman"/>
                <w:bCs/>
                <w:i/>
                <w:iCs/>
                <w:lang w:val="ro-RO"/>
              </w:rPr>
              <w:t xml:space="preserve">Articolul 159a </w:t>
            </w:r>
          </w:p>
          <w:p w14:paraId="48F3403C" w14:textId="11824830" w:rsidR="00984B34" w:rsidRPr="009E686F" w:rsidRDefault="00984B34" w:rsidP="00984B34">
            <w:pPr>
              <w:spacing w:after="0"/>
              <w:jc w:val="both"/>
              <w:rPr>
                <w:rFonts w:ascii="Times New Roman" w:hAnsi="Times New Roman" w:cs="Times New Roman"/>
                <w:bCs/>
                <w:lang w:val="ro-RO"/>
              </w:rPr>
            </w:pPr>
            <w:r w:rsidRPr="009E686F">
              <w:rPr>
                <w:rFonts w:ascii="Times New Roman" w:hAnsi="Times New Roman" w:cs="Times New Roman"/>
                <w:bCs/>
                <w:lang w:val="ro-RO"/>
              </w:rPr>
              <w:t>Dispoziții tranzitorii privind aprobarea societăților financiare holding și a societăților financiare holding mixte</w:t>
            </w:r>
          </w:p>
        </w:tc>
        <w:tc>
          <w:tcPr>
            <w:tcW w:w="1928" w:type="pct"/>
            <w:gridSpan w:val="3"/>
            <w:tcBorders>
              <w:top w:val="single" w:sz="4" w:space="0" w:color="auto"/>
              <w:left w:val="single" w:sz="4" w:space="0" w:color="auto"/>
              <w:bottom w:val="single" w:sz="4" w:space="0" w:color="auto"/>
              <w:right w:val="single" w:sz="4" w:space="0" w:color="auto"/>
            </w:tcBorders>
          </w:tcPr>
          <w:p w14:paraId="4CB1A018"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5557981A" w14:textId="77777777"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1C73000E" w14:textId="77777777" w:rsidR="00984B34" w:rsidRPr="009E686F" w:rsidRDefault="00984B34" w:rsidP="00984B34">
            <w:pPr>
              <w:jc w:val="both"/>
              <w:rPr>
                <w:rFonts w:ascii="Times New Roman" w:hAnsi="Times New Roman" w:cs="Times New Roman"/>
                <w:lang w:val="ro-RO"/>
              </w:rPr>
            </w:pPr>
          </w:p>
        </w:tc>
      </w:tr>
      <w:tr w:rsidR="00984B34" w:rsidRPr="009E686F" w14:paraId="3796E6FB"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083FCC3F" w14:textId="76E590D3" w:rsidR="00984B34" w:rsidRPr="009E686F" w:rsidRDefault="00984B34" w:rsidP="00984B34">
            <w:pPr>
              <w:spacing w:after="0"/>
              <w:jc w:val="both"/>
              <w:rPr>
                <w:rFonts w:ascii="Times New Roman" w:hAnsi="Times New Roman" w:cs="Times New Roman"/>
                <w:bCs/>
                <w:lang w:val="ro-RO"/>
              </w:rPr>
            </w:pPr>
            <w:r w:rsidRPr="009E686F">
              <w:rPr>
                <w:rFonts w:ascii="Times New Roman" w:hAnsi="Times New Roman" w:cs="Times New Roman"/>
                <w:bCs/>
                <w:lang w:val="ro-RO"/>
              </w:rPr>
              <w:t>Societățile financiare holding-mamă și societățile financiare holding mixte-mamă deja existente la 27 iunie 2019 solicită aprobarea în conformitate cu articolul 21a până la 28 iunie 2021. În cazul în care o societate financiară holding sau o societate financiară holding mixtă nu solicită aprobarea până la 28 iunie 2021, se iau măsuri adecvate în conformitate cu articolul 21a alineatul (6).</w:t>
            </w:r>
          </w:p>
        </w:tc>
        <w:tc>
          <w:tcPr>
            <w:tcW w:w="1928" w:type="pct"/>
            <w:gridSpan w:val="3"/>
            <w:tcBorders>
              <w:top w:val="single" w:sz="4" w:space="0" w:color="auto"/>
              <w:left w:val="single" w:sz="4" w:space="0" w:color="auto"/>
              <w:bottom w:val="single" w:sz="4" w:space="0" w:color="auto"/>
              <w:right w:val="single" w:sz="4" w:space="0" w:color="auto"/>
            </w:tcBorders>
          </w:tcPr>
          <w:p w14:paraId="01AA130D"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74A97DC3" w14:textId="15DEDB99"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neaplicabile</w:t>
            </w:r>
          </w:p>
        </w:tc>
        <w:tc>
          <w:tcPr>
            <w:tcW w:w="806" w:type="pct"/>
            <w:tcBorders>
              <w:top w:val="single" w:sz="4" w:space="0" w:color="auto"/>
              <w:left w:val="single" w:sz="4" w:space="0" w:color="auto"/>
              <w:bottom w:val="single" w:sz="4" w:space="0" w:color="auto"/>
              <w:right w:val="single" w:sz="4" w:space="0" w:color="auto"/>
            </w:tcBorders>
          </w:tcPr>
          <w:p w14:paraId="254A89D8" w14:textId="77777777" w:rsidR="00984B34" w:rsidRPr="009E686F" w:rsidRDefault="00984B34" w:rsidP="00984B34">
            <w:pPr>
              <w:jc w:val="both"/>
              <w:rPr>
                <w:rFonts w:ascii="Times New Roman" w:hAnsi="Times New Roman" w:cs="Times New Roman"/>
                <w:lang w:val="ro-RO"/>
              </w:rPr>
            </w:pPr>
          </w:p>
        </w:tc>
      </w:tr>
      <w:tr w:rsidR="00984B34" w:rsidRPr="009E686F" w14:paraId="1397CFBC"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1F44A925" w14:textId="41C26A51" w:rsidR="00984B34" w:rsidRPr="009E686F" w:rsidRDefault="00984B34" w:rsidP="00984B34">
            <w:pPr>
              <w:spacing w:after="0"/>
              <w:jc w:val="both"/>
              <w:rPr>
                <w:rFonts w:ascii="Times New Roman" w:hAnsi="Times New Roman" w:cs="Times New Roman"/>
                <w:bCs/>
                <w:lang w:val="ro-RO"/>
              </w:rPr>
            </w:pPr>
            <w:r w:rsidRPr="009E686F">
              <w:rPr>
                <w:rFonts w:ascii="Times New Roman" w:hAnsi="Times New Roman" w:cs="Times New Roman"/>
                <w:bCs/>
                <w:lang w:val="ro-RO"/>
              </w:rPr>
              <w:t>În cursul perioadei de tranziție menționate la primul paragraf din prezentul articol, autoritățile competente dețin toate competențele de supraveghere necesare care le sunt conferite de prezenta directivă în ceea ce privește societățile financiare holding sau societățile financiare holding mixte care fac obiectul aprobării în conformitate cu articolul 21a în scopul supravegherii consolidate.</w:t>
            </w:r>
          </w:p>
        </w:tc>
        <w:tc>
          <w:tcPr>
            <w:tcW w:w="1928" w:type="pct"/>
            <w:gridSpan w:val="3"/>
            <w:tcBorders>
              <w:top w:val="single" w:sz="4" w:space="0" w:color="auto"/>
              <w:left w:val="single" w:sz="4" w:space="0" w:color="auto"/>
              <w:bottom w:val="single" w:sz="4" w:space="0" w:color="auto"/>
              <w:right w:val="single" w:sz="4" w:space="0" w:color="auto"/>
            </w:tcBorders>
          </w:tcPr>
          <w:p w14:paraId="7B86F678"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03AA5B4C" w14:textId="2CEFF386"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neaplicabile</w:t>
            </w:r>
          </w:p>
        </w:tc>
        <w:tc>
          <w:tcPr>
            <w:tcW w:w="806" w:type="pct"/>
            <w:tcBorders>
              <w:top w:val="single" w:sz="4" w:space="0" w:color="auto"/>
              <w:left w:val="single" w:sz="4" w:space="0" w:color="auto"/>
              <w:bottom w:val="single" w:sz="4" w:space="0" w:color="auto"/>
              <w:right w:val="single" w:sz="4" w:space="0" w:color="auto"/>
            </w:tcBorders>
          </w:tcPr>
          <w:p w14:paraId="397D3645" w14:textId="77777777" w:rsidR="00984B34" w:rsidRPr="009E686F" w:rsidRDefault="00984B34" w:rsidP="00984B34">
            <w:pPr>
              <w:jc w:val="both"/>
              <w:rPr>
                <w:rFonts w:ascii="Times New Roman" w:hAnsi="Times New Roman" w:cs="Times New Roman"/>
                <w:lang w:val="ro-RO"/>
              </w:rPr>
            </w:pPr>
          </w:p>
        </w:tc>
      </w:tr>
      <w:tr w:rsidR="00984B34" w:rsidRPr="009E686F" w14:paraId="3FBB7907" w14:textId="7B986C42" w:rsidTr="00774F3E">
        <w:tc>
          <w:tcPr>
            <w:tcW w:w="1796" w:type="pct"/>
            <w:gridSpan w:val="2"/>
            <w:tcBorders>
              <w:top w:val="single" w:sz="4" w:space="0" w:color="auto"/>
              <w:left w:val="single" w:sz="4" w:space="0" w:color="auto"/>
              <w:bottom w:val="single" w:sz="4" w:space="0" w:color="auto"/>
              <w:right w:val="single" w:sz="4" w:space="0" w:color="auto"/>
            </w:tcBorders>
          </w:tcPr>
          <w:p w14:paraId="289A6B87" w14:textId="77777777" w:rsidR="00984B34" w:rsidRPr="009E686F" w:rsidRDefault="00984B34" w:rsidP="00984B34">
            <w:pPr>
              <w:spacing w:after="0"/>
              <w:jc w:val="both"/>
              <w:rPr>
                <w:rFonts w:ascii="Times New Roman" w:hAnsi="Times New Roman" w:cs="Times New Roman"/>
                <w:bCs/>
                <w:lang w:val="ro-RO"/>
              </w:rPr>
            </w:pPr>
            <w:r w:rsidRPr="009E686F">
              <w:rPr>
                <w:rFonts w:ascii="Times New Roman" w:hAnsi="Times New Roman" w:cs="Times New Roman"/>
                <w:bCs/>
                <w:lang w:val="ro-RO"/>
              </w:rPr>
              <w:t>CAPITOLUL 2</w:t>
            </w:r>
          </w:p>
          <w:p w14:paraId="471BD546"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b/>
                <w:lang w:val="ro-RO"/>
              </w:rPr>
              <w:t>Dispoziții tranzitorii privind rezervele de capital</w:t>
            </w:r>
          </w:p>
        </w:tc>
        <w:tc>
          <w:tcPr>
            <w:tcW w:w="1928" w:type="pct"/>
            <w:gridSpan w:val="3"/>
            <w:tcBorders>
              <w:top w:val="single" w:sz="4" w:space="0" w:color="auto"/>
              <w:left w:val="single" w:sz="4" w:space="0" w:color="auto"/>
              <w:bottom w:val="single" w:sz="4" w:space="0" w:color="auto"/>
              <w:right w:val="single" w:sz="4" w:space="0" w:color="auto"/>
            </w:tcBorders>
          </w:tcPr>
          <w:p w14:paraId="3616EAF2"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28402440" w14:textId="77777777"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56B505FB" w14:textId="77777777" w:rsidR="00984B34" w:rsidRPr="009E686F" w:rsidRDefault="00984B34" w:rsidP="00984B34">
            <w:pPr>
              <w:jc w:val="both"/>
              <w:rPr>
                <w:rFonts w:ascii="Times New Roman" w:hAnsi="Times New Roman" w:cs="Times New Roman"/>
                <w:lang w:val="ro-RO"/>
              </w:rPr>
            </w:pPr>
          </w:p>
        </w:tc>
      </w:tr>
      <w:tr w:rsidR="00984B34" w:rsidRPr="009E686F" w14:paraId="522BDEA0" w14:textId="7D9162DF" w:rsidTr="00774F3E">
        <w:tc>
          <w:tcPr>
            <w:tcW w:w="1796" w:type="pct"/>
            <w:gridSpan w:val="2"/>
            <w:tcBorders>
              <w:top w:val="single" w:sz="4" w:space="0" w:color="auto"/>
              <w:left w:val="single" w:sz="4" w:space="0" w:color="auto"/>
              <w:bottom w:val="single" w:sz="4" w:space="0" w:color="auto"/>
              <w:right w:val="single" w:sz="4" w:space="0" w:color="auto"/>
            </w:tcBorders>
          </w:tcPr>
          <w:p w14:paraId="0EAB6A69" w14:textId="77777777" w:rsidR="00984B34" w:rsidRPr="009E686F" w:rsidRDefault="00984B34" w:rsidP="00984B34">
            <w:pPr>
              <w:spacing w:after="0"/>
              <w:jc w:val="both"/>
              <w:rPr>
                <w:rFonts w:ascii="Times New Roman" w:hAnsi="Times New Roman" w:cs="Times New Roman"/>
                <w:i/>
                <w:iCs/>
                <w:lang w:val="ro-RO"/>
              </w:rPr>
            </w:pPr>
            <w:r w:rsidRPr="009E686F">
              <w:rPr>
                <w:rFonts w:ascii="Times New Roman" w:hAnsi="Times New Roman" w:cs="Times New Roman"/>
                <w:i/>
                <w:iCs/>
                <w:lang w:val="ro-RO"/>
              </w:rPr>
              <w:t xml:space="preserve">Articolul 160 </w:t>
            </w:r>
          </w:p>
          <w:p w14:paraId="36326E89" w14:textId="0DFBC46E"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Dispoziții tranzitorii privind rezervele de capital</w:t>
            </w:r>
          </w:p>
        </w:tc>
        <w:tc>
          <w:tcPr>
            <w:tcW w:w="1928" w:type="pct"/>
            <w:gridSpan w:val="3"/>
            <w:tcBorders>
              <w:top w:val="single" w:sz="4" w:space="0" w:color="auto"/>
              <w:left w:val="single" w:sz="4" w:space="0" w:color="auto"/>
              <w:bottom w:val="single" w:sz="4" w:space="0" w:color="auto"/>
              <w:right w:val="single" w:sz="4" w:space="0" w:color="auto"/>
            </w:tcBorders>
          </w:tcPr>
          <w:p w14:paraId="4630C511"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5804FB5C" w14:textId="77777777"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71235A37" w14:textId="77777777" w:rsidR="00984B34" w:rsidRPr="009E686F" w:rsidRDefault="00984B34" w:rsidP="00984B34">
            <w:pPr>
              <w:jc w:val="both"/>
              <w:rPr>
                <w:rFonts w:ascii="Times New Roman" w:hAnsi="Times New Roman" w:cs="Times New Roman"/>
                <w:lang w:val="ro-RO"/>
              </w:rPr>
            </w:pPr>
          </w:p>
        </w:tc>
      </w:tr>
      <w:tr w:rsidR="00984B34" w:rsidRPr="009E686F" w14:paraId="36FEE492" w14:textId="665A2312" w:rsidTr="00774F3E">
        <w:tc>
          <w:tcPr>
            <w:tcW w:w="1796" w:type="pct"/>
            <w:gridSpan w:val="2"/>
            <w:tcBorders>
              <w:top w:val="single" w:sz="4" w:space="0" w:color="auto"/>
              <w:left w:val="single" w:sz="4" w:space="0" w:color="auto"/>
              <w:bottom w:val="single" w:sz="4" w:space="0" w:color="auto"/>
              <w:right w:val="single" w:sz="4" w:space="0" w:color="auto"/>
            </w:tcBorders>
          </w:tcPr>
          <w:p w14:paraId="76D75A70" w14:textId="43AEDC1B"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(1)Prezentul articol modifică cerințele articolelor 129 și 130 pentru o perioadă de tranziție cuprinsă între 1 ianuarie 2016 și 31 decembrie 2018.</w:t>
            </w:r>
          </w:p>
        </w:tc>
        <w:tc>
          <w:tcPr>
            <w:tcW w:w="1928" w:type="pct"/>
            <w:gridSpan w:val="3"/>
            <w:tcBorders>
              <w:top w:val="single" w:sz="4" w:space="0" w:color="auto"/>
              <w:left w:val="single" w:sz="4" w:space="0" w:color="auto"/>
              <w:bottom w:val="single" w:sz="4" w:space="0" w:color="auto"/>
              <w:right w:val="single" w:sz="4" w:space="0" w:color="auto"/>
            </w:tcBorders>
          </w:tcPr>
          <w:p w14:paraId="4F447C19"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1159A440" w14:textId="0D8CEF17"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neaplicabile</w:t>
            </w:r>
          </w:p>
        </w:tc>
        <w:tc>
          <w:tcPr>
            <w:tcW w:w="806" w:type="pct"/>
            <w:tcBorders>
              <w:top w:val="single" w:sz="4" w:space="0" w:color="auto"/>
              <w:left w:val="single" w:sz="4" w:space="0" w:color="auto"/>
              <w:bottom w:val="single" w:sz="4" w:space="0" w:color="auto"/>
              <w:right w:val="single" w:sz="4" w:space="0" w:color="auto"/>
            </w:tcBorders>
          </w:tcPr>
          <w:p w14:paraId="2BA65EAB" w14:textId="77777777" w:rsidR="00984B34" w:rsidRPr="009E686F" w:rsidRDefault="00984B34" w:rsidP="00984B34">
            <w:pPr>
              <w:jc w:val="both"/>
              <w:rPr>
                <w:rFonts w:ascii="Times New Roman" w:hAnsi="Times New Roman" w:cs="Times New Roman"/>
              </w:rPr>
            </w:pPr>
          </w:p>
        </w:tc>
      </w:tr>
      <w:tr w:rsidR="00984B34" w:rsidRPr="009E686F" w14:paraId="11EEC4AA" w14:textId="48DA1BB9" w:rsidTr="00774F3E">
        <w:tc>
          <w:tcPr>
            <w:tcW w:w="1796" w:type="pct"/>
            <w:gridSpan w:val="2"/>
            <w:tcBorders>
              <w:top w:val="single" w:sz="4" w:space="0" w:color="auto"/>
              <w:left w:val="single" w:sz="4" w:space="0" w:color="auto"/>
              <w:bottom w:val="single" w:sz="4" w:space="0" w:color="auto"/>
              <w:right w:val="single" w:sz="4" w:space="0" w:color="auto"/>
            </w:tcBorders>
          </w:tcPr>
          <w:p w14:paraId="169B0263" w14:textId="6798BA0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lastRenderedPageBreak/>
              <w:t>(2) Pentru perioada cuprinsă între 1 ianuarie 2016 și 31 decembrie 2016:</w:t>
            </w:r>
          </w:p>
        </w:tc>
        <w:tc>
          <w:tcPr>
            <w:tcW w:w="1928" w:type="pct"/>
            <w:gridSpan w:val="3"/>
            <w:tcBorders>
              <w:top w:val="single" w:sz="4" w:space="0" w:color="auto"/>
              <w:left w:val="single" w:sz="4" w:space="0" w:color="auto"/>
              <w:bottom w:val="single" w:sz="4" w:space="0" w:color="auto"/>
              <w:right w:val="single" w:sz="4" w:space="0" w:color="auto"/>
            </w:tcBorders>
          </w:tcPr>
          <w:p w14:paraId="3B497934"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0CBB8BCC" w14:textId="5A268C92"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neaplicabile</w:t>
            </w:r>
          </w:p>
        </w:tc>
        <w:tc>
          <w:tcPr>
            <w:tcW w:w="806" w:type="pct"/>
            <w:tcBorders>
              <w:top w:val="single" w:sz="4" w:space="0" w:color="auto"/>
              <w:left w:val="single" w:sz="4" w:space="0" w:color="auto"/>
              <w:bottom w:val="single" w:sz="4" w:space="0" w:color="auto"/>
              <w:right w:val="single" w:sz="4" w:space="0" w:color="auto"/>
            </w:tcBorders>
          </w:tcPr>
          <w:p w14:paraId="6921B24C" w14:textId="77777777" w:rsidR="00984B34" w:rsidRPr="009E686F" w:rsidRDefault="00984B34" w:rsidP="00984B34">
            <w:pPr>
              <w:jc w:val="both"/>
              <w:rPr>
                <w:rFonts w:ascii="Times New Roman" w:hAnsi="Times New Roman" w:cs="Times New Roman"/>
              </w:rPr>
            </w:pPr>
          </w:p>
        </w:tc>
      </w:tr>
      <w:tr w:rsidR="00984B34" w:rsidRPr="009E686F" w14:paraId="10E0DB0D" w14:textId="5CAC9974" w:rsidTr="00774F3E">
        <w:tc>
          <w:tcPr>
            <w:tcW w:w="1796" w:type="pct"/>
            <w:gridSpan w:val="2"/>
            <w:tcBorders>
              <w:top w:val="single" w:sz="4" w:space="0" w:color="auto"/>
              <w:left w:val="single" w:sz="4" w:space="0" w:color="auto"/>
              <w:bottom w:val="single" w:sz="4" w:space="0" w:color="auto"/>
              <w:right w:val="single" w:sz="4" w:space="0" w:color="auto"/>
            </w:tcBorders>
          </w:tcPr>
          <w:p w14:paraId="39A00E8A" w14:textId="041EB5CC"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(a)rezerva de conservare a capitalului constă în fonduri proprii de nivel 1 de bază egal cu 0,625 % din valoarea totală a expunerilor ponderate la risc ale instituției, calculată în conformitate cu articolul 92 alineatul (3) din Regulamentul (UE) nr. 575/2013;</w:t>
            </w:r>
          </w:p>
        </w:tc>
        <w:tc>
          <w:tcPr>
            <w:tcW w:w="1928" w:type="pct"/>
            <w:gridSpan w:val="3"/>
            <w:tcBorders>
              <w:top w:val="single" w:sz="4" w:space="0" w:color="auto"/>
              <w:left w:val="single" w:sz="4" w:space="0" w:color="auto"/>
              <w:bottom w:val="single" w:sz="4" w:space="0" w:color="auto"/>
              <w:right w:val="single" w:sz="4" w:space="0" w:color="auto"/>
            </w:tcBorders>
          </w:tcPr>
          <w:p w14:paraId="49BBFE87"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4C205EC7" w14:textId="52246F19"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neaplicabile</w:t>
            </w:r>
          </w:p>
        </w:tc>
        <w:tc>
          <w:tcPr>
            <w:tcW w:w="806" w:type="pct"/>
            <w:tcBorders>
              <w:top w:val="single" w:sz="4" w:space="0" w:color="auto"/>
              <w:left w:val="single" w:sz="4" w:space="0" w:color="auto"/>
              <w:bottom w:val="single" w:sz="4" w:space="0" w:color="auto"/>
              <w:right w:val="single" w:sz="4" w:space="0" w:color="auto"/>
            </w:tcBorders>
          </w:tcPr>
          <w:p w14:paraId="4703EB00" w14:textId="77777777" w:rsidR="00984B34" w:rsidRPr="009E686F" w:rsidRDefault="00984B34" w:rsidP="00984B34">
            <w:pPr>
              <w:jc w:val="both"/>
              <w:rPr>
                <w:rFonts w:ascii="Times New Roman" w:hAnsi="Times New Roman" w:cs="Times New Roman"/>
              </w:rPr>
            </w:pPr>
          </w:p>
        </w:tc>
      </w:tr>
      <w:tr w:rsidR="00984B34" w:rsidRPr="009E686F" w14:paraId="76D28005" w14:textId="4A65F379" w:rsidTr="00774F3E">
        <w:tc>
          <w:tcPr>
            <w:tcW w:w="1796" w:type="pct"/>
            <w:gridSpan w:val="2"/>
            <w:tcBorders>
              <w:top w:val="single" w:sz="4" w:space="0" w:color="auto"/>
              <w:left w:val="single" w:sz="4" w:space="0" w:color="auto"/>
              <w:bottom w:val="single" w:sz="4" w:space="0" w:color="auto"/>
              <w:right w:val="single" w:sz="4" w:space="0" w:color="auto"/>
            </w:tcBorders>
          </w:tcPr>
          <w:p w14:paraId="4595DC8F" w14:textId="5FFA6315"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(b) amortizorul anticiclic de capital specific instituției este de cel mult 0,625 % din valoarea totală a expunerilor ponderate la risc ale instituției, calculată în conformitate cu articolul 92 alineatul (3) din Regulamentul (UE) nr. 575/2013.</w:t>
            </w:r>
          </w:p>
        </w:tc>
        <w:tc>
          <w:tcPr>
            <w:tcW w:w="1928" w:type="pct"/>
            <w:gridSpan w:val="3"/>
            <w:tcBorders>
              <w:top w:val="single" w:sz="4" w:space="0" w:color="auto"/>
              <w:left w:val="single" w:sz="4" w:space="0" w:color="auto"/>
              <w:bottom w:val="single" w:sz="4" w:space="0" w:color="auto"/>
              <w:right w:val="single" w:sz="4" w:space="0" w:color="auto"/>
            </w:tcBorders>
          </w:tcPr>
          <w:p w14:paraId="766FA75D"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34749059" w14:textId="1B24DC1E"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neaplicabile</w:t>
            </w:r>
          </w:p>
        </w:tc>
        <w:tc>
          <w:tcPr>
            <w:tcW w:w="806" w:type="pct"/>
            <w:tcBorders>
              <w:top w:val="single" w:sz="4" w:space="0" w:color="auto"/>
              <w:left w:val="single" w:sz="4" w:space="0" w:color="auto"/>
              <w:bottom w:val="single" w:sz="4" w:space="0" w:color="auto"/>
              <w:right w:val="single" w:sz="4" w:space="0" w:color="auto"/>
            </w:tcBorders>
          </w:tcPr>
          <w:p w14:paraId="51922DEF" w14:textId="77777777" w:rsidR="00984B34" w:rsidRPr="009E686F" w:rsidRDefault="00984B34" w:rsidP="00984B34">
            <w:pPr>
              <w:jc w:val="both"/>
              <w:rPr>
                <w:rFonts w:ascii="Times New Roman" w:hAnsi="Times New Roman" w:cs="Times New Roman"/>
              </w:rPr>
            </w:pPr>
          </w:p>
        </w:tc>
      </w:tr>
      <w:tr w:rsidR="00984B34" w:rsidRPr="009E686F" w14:paraId="7F37CC3B" w14:textId="0D34FA59" w:rsidTr="00774F3E">
        <w:tc>
          <w:tcPr>
            <w:tcW w:w="1796" w:type="pct"/>
            <w:gridSpan w:val="2"/>
            <w:tcBorders>
              <w:top w:val="single" w:sz="4" w:space="0" w:color="auto"/>
              <w:left w:val="single" w:sz="4" w:space="0" w:color="auto"/>
              <w:bottom w:val="single" w:sz="4" w:space="0" w:color="auto"/>
              <w:right w:val="single" w:sz="4" w:space="0" w:color="auto"/>
            </w:tcBorders>
          </w:tcPr>
          <w:p w14:paraId="2A02D7A4" w14:textId="3FBFF91D"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(3) Pentru perioada cuprinsă între 1 ianuarie 2017 și 31 decembrie 2017:</w:t>
            </w:r>
          </w:p>
        </w:tc>
        <w:tc>
          <w:tcPr>
            <w:tcW w:w="1928" w:type="pct"/>
            <w:gridSpan w:val="3"/>
            <w:tcBorders>
              <w:top w:val="single" w:sz="4" w:space="0" w:color="auto"/>
              <w:left w:val="single" w:sz="4" w:space="0" w:color="auto"/>
              <w:bottom w:val="single" w:sz="4" w:space="0" w:color="auto"/>
              <w:right w:val="single" w:sz="4" w:space="0" w:color="auto"/>
            </w:tcBorders>
          </w:tcPr>
          <w:p w14:paraId="01FEF7E3"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2D7867ED" w14:textId="2A4B01B8"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neaplicabile</w:t>
            </w:r>
          </w:p>
        </w:tc>
        <w:tc>
          <w:tcPr>
            <w:tcW w:w="806" w:type="pct"/>
            <w:tcBorders>
              <w:top w:val="single" w:sz="4" w:space="0" w:color="auto"/>
              <w:left w:val="single" w:sz="4" w:space="0" w:color="auto"/>
              <w:bottom w:val="single" w:sz="4" w:space="0" w:color="auto"/>
              <w:right w:val="single" w:sz="4" w:space="0" w:color="auto"/>
            </w:tcBorders>
          </w:tcPr>
          <w:p w14:paraId="3F8CDCBD" w14:textId="77777777" w:rsidR="00984B34" w:rsidRPr="009E686F" w:rsidRDefault="00984B34" w:rsidP="00984B34">
            <w:pPr>
              <w:jc w:val="both"/>
              <w:rPr>
                <w:rFonts w:ascii="Times New Roman" w:hAnsi="Times New Roman" w:cs="Times New Roman"/>
              </w:rPr>
            </w:pPr>
          </w:p>
        </w:tc>
      </w:tr>
      <w:tr w:rsidR="00984B34" w:rsidRPr="009E686F" w14:paraId="110CC221" w14:textId="5551C124" w:rsidTr="00774F3E">
        <w:tc>
          <w:tcPr>
            <w:tcW w:w="1796" w:type="pct"/>
            <w:gridSpan w:val="2"/>
            <w:tcBorders>
              <w:top w:val="single" w:sz="4" w:space="0" w:color="auto"/>
              <w:left w:val="single" w:sz="4" w:space="0" w:color="auto"/>
              <w:bottom w:val="single" w:sz="4" w:space="0" w:color="auto"/>
              <w:right w:val="single" w:sz="4" w:space="0" w:color="auto"/>
            </w:tcBorders>
          </w:tcPr>
          <w:p w14:paraId="7A972CDF" w14:textId="6EC1054C"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(a)rezerva de conservare a capitalului va consta în fonduri proprii de nivel 1 de bază egal cu 1,25 % din valoarea totală a expunerilor ponderate la risc ale instituției, calculată în conformitate cu articolul 92 alineatul (3) din Regulamentul (UE) nr. 575/2013;</w:t>
            </w:r>
          </w:p>
        </w:tc>
        <w:tc>
          <w:tcPr>
            <w:tcW w:w="1928" w:type="pct"/>
            <w:gridSpan w:val="3"/>
            <w:tcBorders>
              <w:top w:val="single" w:sz="4" w:space="0" w:color="auto"/>
              <w:left w:val="single" w:sz="4" w:space="0" w:color="auto"/>
              <w:bottom w:val="single" w:sz="4" w:space="0" w:color="auto"/>
              <w:right w:val="single" w:sz="4" w:space="0" w:color="auto"/>
            </w:tcBorders>
          </w:tcPr>
          <w:p w14:paraId="0B278704"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06735190" w14:textId="48DBBA26"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neaplicabile</w:t>
            </w:r>
          </w:p>
        </w:tc>
        <w:tc>
          <w:tcPr>
            <w:tcW w:w="806" w:type="pct"/>
            <w:tcBorders>
              <w:top w:val="single" w:sz="4" w:space="0" w:color="auto"/>
              <w:left w:val="single" w:sz="4" w:space="0" w:color="auto"/>
              <w:bottom w:val="single" w:sz="4" w:space="0" w:color="auto"/>
              <w:right w:val="single" w:sz="4" w:space="0" w:color="auto"/>
            </w:tcBorders>
          </w:tcPr>
          <w:p w14:paraId="1F28A696" w14:textId="77777777" w:rsidR="00984B34" w:rsidRPr="009E686F" w:rsidRDefault="00984B34" w:rsidP="00984B34">
            <w:pPr>
              <w:jc w:val="both"/>
              <w:rPr>
                <w:rFonts w:ascii="Times New Roman" w:hAnsi="Times New Roman" w:cs="Times New Roman"/>
              </w:rPr>
            </w:pPr>
          </w:p>
        </w:tc>
      </w:tr>
      <w:tr w:rsidR="00984B34" w:rsidRPr="009E686F" w14:paraId="22546B78" w14:textId="0075383C" w:rsidTr="00774F3E">
        <w:tc>
          <w:tcPr>
            <w:tcW w:w="1796" w:type="pct"/>
            <w:gridSpan w:val="2"/>
            <w:tcBorders>
              <w:top w:val="single" w:sz="4" w:space="0" w:color="auto"/>
              <w:left w:val="single" w:sz="4" w:space="0" w:color="auto"/>
              <w:bottom w:val="single" w:sz="4" w:space="0" w:color="auto"/>
              <w:right w:val="single" w:sz="4" w:space="0" w:color="auto"/>
            </w:tcBorders>
          </w:tcPr>
          <w:p w14:paraId="1BF34204" w14:textId="4AC67503"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(b) amortizorul anticiclic de capital specific instituției va fi de cel mult 1,25 % din valoarea totală a expunerilor ponderate la risc ale instituției, calculată în conformitate cu articolul 92 alineatul (3) din Regulamentul (UE) nr. 575/2013.</w:t>
            </w:r>
          </w:p>
        </w:tc>
        <w:tc>
          <w:tcPr>
            <w:tcW w:w="1928" w:type="pct"/>
            <w:gridSpan w:val="3"/>
            <w:tcBorders>
              <w:top w:val="single" w:sz="4" w:space="0" w:color="auto"/>
              <w:left w:val="single" w:sz="4" w:space="0" w:color="auto"/>
              <w:bottom w:val="single" w:sz="4" w:space="0" w:color="auto"/>
              <w:right w:val="single" w:sz="4" w:space="0" w:color="auto"/>
            </w:tcBorders>
          </w:tcPr>
          <w:p w14:paraId="3286ED4B"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7D4A315B" w14:textId="6C0ACC03"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neaplicabile</w:t>
            </w:r>
          </w:p>
        </w:tc>
        <w:tc>
          <w:tcPr>
            <w:tcW w:w="806" w:type="pct"/>
            <w:tcBorders>
              <w:top w:val="single" w:sz="4" w:space="0" w:color="auto"/>
              <w:left w:val="single" w:sz="4" w:space="0" w:color="auto"/>
              <w:bottom w:val="single" w:sz="4" w:space="0" w:color="auto"/>
              <w:right w:val="single" w:sz="4" w:space="0" w:color="auto"/>
            </w:tcBorders>
          </w:tcPr>
          <w:p w14:paraId="054D51AE" w14:textId="77777777" w:rsidR="00984B34" w:rsidRPr="009E686F" w:rsidRDefault="00984B34" w:rsidP="00984B34">
            <w:pPr>
              <w:jc w:val="both"/>
              <w:rPr>
                <w:rFonts w:ascii="Times New Roman" w:hAnsi="Times New Roman" w:cs="Times New Roman"/>
              </w:rPr>
            </w:pPr>
          </w:p>
        </w:tc>
      </w:tr>
      <w:tr w:rsidR="00984B34" w:rsidRPr="009E686F" w14:paraId="5B4DA7E2" w14:textId="561BB112" w:rsidTr="00774F3E">
        <w:tc>
          <w:tcPr>
            <w:tcW w:w="1796" w:type="pct"/>
            <w:gridSpan w:val="2"/>
            <w:tcBorders>
              <w:top w:val="single" w:sz="4" w:space="0" w:color="auto"/>
              <w:left w:val="single" w:sz="4" w:space="0" w:color="auto"/>
              <w:bottom w:val="single" w:sz="4" w:space="0" w:color="auto"/>
              <w:right w:val="single" w:sz="4" w:space="0" w:color="auto"/>
            </w:tcBorders>
          </w:tcPr>
          <w:p w14:paraId="20678F5A" w14:textId="60CC1A9A"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(4) Pentru perioada cuprinsă între 1 ianuarie 2018 și 31 decembrie 2018:</w:t>
            </w:r>
          </w:p>
        </w:tc>
        <w:tc>
          <w:tcPr>
            <w:tcW w:w="1928" w:type="pct"/>
            <w:gridSpan w:val="3"/>
            <w:tcBorders>
              <w:top w:val="single" w:sz="4" w:space="0" w:color="auto"/>
              <w:left w:val="single" w:sz="4" w:space="0" w:color="auto"/>
              <w:bottom w:val="single" w:sz="4" w:space="0" w:color="auto"/>
              <w:right w:val="single" w:sz="4" w:space="0" w:color="auto"/>
            </w:tcBorders>
          </w:tcPr>
          <w:p w14:paraId="6D6562FB"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65933463" w14:textId="6D31B870"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neaplicabile</w:t>
            </w:r>
          </w:p>
        </w:tc>
        <w:tc>
          <w:tcPr>
            <w:tcW w:w="806" w:type="pct"/>
            <w:tcBorders>
              <w:top w:val="single" w:sz="4" w:space="0" w:color="auto"/>
              <w:left w:val="single" w:sz="4" w:space="0" w:color="auto"/>
              <w:bottom w:val="single" w:sz="4" w:space="0" w:color="auto"/>
              <w:right w:val="single" w:sz="4" w:space="0" w:color="auto"/>
            </w:tcBorders>
          </w:tcPr>
          <w:p w14:paraId="67FD2EC7" w14:textId="77777777" w:rsidR="00984B34" w:rsidRPr="009E686F" w:rsidRDefault="00984B34" w:rsidP="00984B34">
            <w:pPr>
              <w:jc w:val="both"/>
              <w:rPr>
                <w:rFonts w:ascii="Times New Roman" w:hAnsi="Times New Roman" w:cs="Times New Roman"/>
              </w:rPr>
            </w:pPr>
          </w:p>
        </w:tc>
      </w:tr>
      <w:tr w:rsidR="00984B34" w:rsidRPr="009E686F" w14:paraId="6A3D00C2" w14:textId="5CF828BB" w:rsidTr="00774F3E">
        <w:tc>
          <w:tcPr>
            <w:tcW w:w="1796" w:type="pct"/>
            <w:gridSpan w:val="2"/>
            <w:tcBorders>
              <w:top w:val="single" w:sz="4" w:space="0" w:color="auto"/>
              <w:left w:val="single" w:sz="4" w:space="0" w:color="auto"/>
              <w:bottom w:val="single" w:sz="4" w:space="0" w:color="auto"/>
              <w:right w:val="single" w:sz="4" w:space="0" w:color="auto"/>
            </w:tcBorders>
          </w:tcPr>
          <w:p w14:paraId="0A458A51" w14:textId="120F9F1C"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(a)rezerva de conservare a capitalului va consta în fonduri proprii de nivel 1 de bază egal cu 1,875 % din valoarea totală a expunerilor ponderate la risc ale instituției, calculată </w:t>
            </w:r>
            <w:r w:rsidRPr="009E686F">
              <w:rPr>
                <w:rFonts w:ascii="Times New Roman" w:hAnsi="Times New Roman" w:cs="Times New Roman"/>
                <w:lang w:val="ro-RO"/>
              </w:rPr>
              <w:lastRenderedPageBreak/>
              <w:t>în conformitate cu articolul 87 alineatul (3) din Regulamentul (UE) nr. 575/2013;</w:t>
            </w:r>
          </w:p>
        </w:tc>
        <w:tc>
          <w:tcPr>
            <w:tcW w:w="1928" w:type="pct"/>
            <w:gridSpan w:val="3"/>
            <w:tcBorders>
              <w:top w:val="single" w:sz="4" w:space="0" w:color="auto"/>
              <w:left w:val="single" w:sz="4" w:space="0" w:color="auto"/>
              <w:bottom w:val="single" w:sz="4" w:space="0" w:color="auto"/>
              <w:right w:val="single" w:sz="4" w:space="0" w:color="auto"/>
            </w:tcBorders>
          </w:tcPr>
          <w:p w14:paraId="024352C6"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6BCB1DA4" w14:textId="193620B7"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neaplicabile</w:t>
            </w:r>
          </w:p>
        </w:tc>
        <w:tc>
          <w:tcPr>
            <w:tcW w:w="806" w:type="pct"/>
            <w:tcBorders>
              <w:top w:val="single" w:sz="4" w:space="0" w:color="auto"/>
              <w:left w:val="single" w:sz="4" w:space="0" w:color="auto"/>
              <w:bottom w:val="single" w:sz="4" w:space="0" w:color="auto"/>
              <w:right w:val="single" w:sz="4" w:space="0" w:color="auto"/>
            </w:tcBorders>
          </w:tcPr>
          <w:p w14:paraId="3696A474" w14:textId="77777777" w:rsidR="00984B34" w:rsidRPr="009E686F" w:rsidRDefault="00984B34" w:rsidP="00984B34">
            <w:pPr>
              <w:jc w:val="both"/>
              <w:rPr>
                <w:rFonts w:ascii="Times New Roman" w:hAnsi="Times New Roman" w:cs="Times New Roman"/>
              </w:rPr>
            </w:pPr>
          </w:p>
        </w:tc>
      </w:tr>
      <w:tr w:rsidR="00984B34" w:rsidRPr="009E686F" w14:paraId="0966DA5E" w14:textId="1B11B3D7" w:rsidTr="00774F3E">
        <w:tc>
          <w:tcPr>
            <w:tcW w:w="1796" w:type="pct"/>
            <w:gridSpan w:val="2"/>
            <w:tcBorders>
              <w:top w:val="single" w:sz="4" w:space="0" w:color="auto"/>
              <w:left w:val="single" w:sz="4" w:space="0" w:color="auto"/>
              <w:bottom w:val="single" w:sz="4" w:space="0" w:color="auto"/>
              <w:right w:val="single" w:sz="4" w:space="0" w:color="auto"/>
            </w:tcBorders>
          </w:tcPr>
          <w:p w14:paraId="27DB9319" w14:textId="046E7AEF"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(b) amortizorul anticiclic de capital specific instituției va fi de cel mult 1,875 % din valoarea totală a expunerilor ponderate la risc ale instituției, calculată în conformitate cu articolul 92 alineatul (3) din Regulamentul (UE) nr. 575/2013.</w:t>
            </w:r>
          </w:p>
        </w:tc>
        <w:tc>
          <w:tcPr>
            <w:tcW w:w="1928" w:type="pct"/>
            <w:gridSpan w:val="3"/>
            <w:tcBorders>
              <w:top w:val="single" w:sz="4" w:space="0" w:color="auto"/>
              <w:left w:val="single" w:sz="4" w:space="0" w:color="auto"/>
              <w:bottom w:val="single" w:sz="4" w:space="0" w:color="auto"/>
              <w:right w:val="single" w:sz="4" w:space="0" w:color="auto"/>
            </w:tcBorders>
          </w:tcPr>
          <w:p w14:paraId="7556D039"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1E7F0170" w14:textId="11FBE375"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neaplicabile</w:t>
            </w:r>
          </w:p>
        </w:tc>
        <w:tc>
          <w:tcPr>
            <w:tcW w:w="806" w:type="pct"/>
            <w:tcBorders>
              <w:top w:val="single" w:sz="4" w:space="0" w:color="auto"/>
              <w:left w:val="single" w:sz="4" w:space="0" w:color="auto"/>
              <w:bottom w:val="single" w:sz="4" w:space="0" w:color="auto"/>
              <w:right w:val="single" w:sz="4" w:space="0" w:color="auto"/>
            </w:tcBorders>
          </w:tcPr>
          <w:p w14:paraId="5DF7C822" w14:textId="77777777" w:rsidR="00984B34" w:rsidRPr="009E686F" w:rsidRDefault="00984B34" w:rsidP="00984B34">
            <w:pPr>
              <w:jc w:val="both"/>
              <w:rPr>
                <w:rFonts w:ascii="Times New Roman" w:hAnsi="Times New Roman" w:cs="Times New Roman"/>
              </w:rPr>
            </w:pPr>
          </w:p>
        </w:tc>
      </w:tr>
      <w:tr w:rsidR="00984B34" w:rsidRPr="009E686F" w14:paraId="236E5FD2" w14:textId="054EC533" w:rsidTr="00774F3E">
        <w:tc>
          <w:tcPr>
            <w:tcW w:w="1796" w:type="pct"/>
            <w:gridSpan w:val="2"/>
            <w:tcBorders>
              <w:top w:val="single" w:sz="4" w:space="0" w:color="auto"/>
              <w:left w:val="single" w:sz="4" w:space="0" w:color="auto"/>
              <w:bottom w:val="single" w:sz="4" w:space="0" w:color="auto"/>
              <w:right w:val="single" w:sz="4" w:space="0" w:color="auto"/>
            </w:tcBorders>
          </w:tcPr>
          <w:p w14:paraId="62A5AF19" w14:textId="46A3F3C2"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(5) Cerința privind planul de conservare a capitalului și restricțiile privind distribuirile prevăzute la articolele 141 și 142 se aplică în perioada de tranziție cuprinsă între 1 ianuarie 2016 și 31 decembrie 2018 în cazul în care instituțiile nu îndeplinesc cerința privind rezerva combinată având în vedere cerințele de la alineatele (2)-(4) de la prezentul articol.</w:t>
            </w:r>
          </w:p>
        </w:tc>
        <w:tc>
          <w:tcPr>
            <w:tcW w:w="1928" w:type="pct"/>
            <w:gridSpan w:val="3"/>
            <w:tcBorders>
              <w:top w:val="single" w:sz="4" w:space="0" w:color="auto"/>
              <w:left w:val="single" w:sz="4" w:space="0" w:color="auto"/>
              <w:bottom w:val="single" w:sz="4" w:space="0" w:color="auto"/>
              <w:right w:val="single" w:sz="4" w:space="0" w:color="auto"/>
            </w:tcBorders>
          </w:tcPr>
          <w:p w14:paraId="42F8F5E4"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63FE0763" w14:textId="67A1D272"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neaplicabile</w:t>
            </w:r>
          </w:p>
        </w:tc>
        <w:tc>
          <w:tcPr>
            <w:tcW w:w="806" w:type="pct"/>
            <w:tcBorders>
              <w:top w:val="single" w:sz="4" w:space="0" w:color="auto"/>
              <w:left w:val="single" w:sz="4" w:space="0" w:color="auto"/>
              <w:bottom w:val="single" w:sz="4" w:space="0" w:color="auto"/>
              <w:right w:val="single" w:sz="4" w:space="0" w:color="auto"/>
            </w:tcBorders>
          </w:tcPr>
          <w:p w14:paraId="0D3CA77D" w14:textId="77777777" w:rsidR="00984B34" w:rsidRPr="009E686F" w:rsidRDefault="00984B34" w:rsidP="00984B34">
            <w:pPr>
              <w:jc w:val="both"/>
              <w:rPr>
                <w:rFonts w:ascii="Times New Roman" w:hAnsi="Times New Roman" w:cs="Times New Roman"/>
              </w:rPr>
            </w:pPr>
          </w:p>
        </w:tc>
      </w:tr>
      <w:tr w:rsidR="00984B34" w:rsidRPr="009E686F" w14:paraId="1A33001D" w14:textId="44D31123" w:rsidTr="00774F3E">
        <w:tc>
          <w:tcPr>
            <w:tcW w:w="1796" w:type="pct"/>
            <w:gridSpan w:val="2"/>
            <w:tcBorders>
              <w:top w:val="single" w:sz="4" w:space="0" w:color="auto"/>
              <w:left w:val="single" w:sz="4" w:space="0" w:color="auto"/>
              <w:bottom w:val="single" w:sz="4" w:space="0" w:color="auto"/>
              <w:right w:val="single" w:sz="4" w:space="0" w:color="auto"/>
            </w:tcBorders>
          </w:tcPr>
          <w:p w14:paraId="3A5D249B" w14:textId="0FC3389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(6) Statele membre pot impune o perioadă de tranziție mai scurtă decât cea precizată la alineatele (1)-(4) și, prin urmare, pot pune în practică rezerva de conservare a capitalului și amortizorul anticiclic de capital începând cu 31 decembrie 2013. </w:t>
            </w:r>
          </w:p>
          <w:p w14:paraId="225215CB"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În cazul în care un stat membru impune o astfel de perioadă de tranziție mai scurtă, acesta informează părțile relevante, inclusiv Comisia, CERS, ABE și colegiul de supraveghetori relevant, în mod corespunzător. </w:t>
            </w:r>
          </w:p>
          <w:p w14:paraId="421ACB29"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O astfel de perioadă mai scurtă poate fi recunoscută de alte state membre. </w:t>
            </w:r>
          </w:p>
          <w:p w14:paraId="18F0C980"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Dacă un alt stat membru recunoaște o astfel de perioadă mai scurtă, acesta notifică decizia sa Comisiei, CERS, ABE și colegiului de supraveghetori în mod corespunzător.</w:t>
            </w:r>
          </w:p>
        </w:tc>
        <w:tc>
          <w:tcPr>
            <w:tcW w:w="1928" w:type="pct"/>
            <w:gridSpan w:val="3"/>
            <w:tcBorders>
              <w:top w:val="single" w:sz="4" w:space="0" w:color="auto"/>
              <w:left w:val="single" w:sz="4" w:space="0" w:color="auto"/>
              <w:bottom w:val="single" w:sz="4" w:space="0" w:color="auto"/>
              <w:right w:val="single" w:sz="4" w:space="0" w:color="auto"/>
            </w:tcBorders>
          </w:tcPr>
          <w:p w14:paraId="03604252"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68DDA5EA" w14:textId="76A0043B"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neaplicabile</w:t>
            </w:r>
          </w:p>
        </w:tc>
        <w:tc>
          <w:tcPr>
            <w:tcW w:w="806" w:type="pct"/>
            <w:tcBorders>
              <w:top w:val="single" w:sz="4" w:space="0" w:color="auto"/>
              <w:left w:val="single" w:sz="4" w:space="0" w:color="auto"/>
              <w:bottom w:val="single" w:sz="4" w:space="0" w:color="auto"/>
              <w:right w:val="single" w:sz="4" w:space="0" w:color="auto"/>
            </w:tcBorders>
          </w:tcPr>
          <w:p w14:paraId="63B87811" w14:textId="77777777" w:rsidR="00984B34" w:rsidRPr="009E686F" w:rsidRDefault="00984B34" w:rsidP="00984B34">
            <w:pPr>
              <w:jc w:val="both"/>
              <w:rPr>
                <w:rFonts w:ascii="Times New Roman" w:hAnsi="Times New Roman" w:cs="Times New Roman"/>
              </w:rPr>
            </w:pPr>
          </w:p>
        </w:tc>
      </w:tr>
      <w:tr w:rsidR="00984B34" w:rsidRPr="009E686F" w14:paraId="64631B31" w14:textId="2D256347" w:rsidTr="00774F3E">
        <w:tc>
          <w:tcPr>
            <w:tcW w:w="1796" w:type="pct"/>
            <w:gridSpan w:val="2"/>
            <w:tcBorders>
              <w:top w:val="single" w:sz="4" w:space="0" w:color="auto"/>
              <w:left w:val="single" w:sz="4" w:space="0" w:color="auto"/>
              <w:bottom w:val="single" w:sz="4" w:space="0" w:color="auto"/>
              <w:right w:val="single" w:sz="4" w:space="0" w:color="auto"/>
            </w:tcBorders>
          </w:tcPr>
          <w:p w14:paraId="35199256" w14:textId="3A3F2AEC"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(7) În cazul în care un stat membru impune o perioadă de tranziție mai scurtă pentru amortizorul anticiclic de capital, perioada mai scurtă se aplică doar în scopul calculării amortizorului anticiclic de capital specific instituției de </w:t>
            </w:r>
            <w:r w:rsidRPr="009E686F">
              <w:rPr>
                <w:rFonts w:ascii="Times New Roman" w:hAnsi="Times New Roman" w:cs="Times New Roman"/>
                <w:lang w:val="ro-RO"/>
              </w:rPr>
              <w:lastRenderedPageBreak/>
              <w:t>către instituțiile care sunt autorizate în statul membru pentru care este responsabilă autoritatea desemnată.</w:t>
            </w:r>
          </w:p>
        </w:tc>
        <w:tc>
          <w:tcPr>
            <w:tcW w:w="1928" w:type="pct"/>
            <w:gridSpan w:val="3"/>
            <w:tcBorders>
              <w:top w:val="single" w:sz="4" w:space="0" w:color="auto"/>
              <w:left w:val="single" w:sz="4" w:space="0" w:color="auto"/>
              <w:bottom w:val="single" w:sz="4" w:space="0" w:color="auto"/>
              <w:right w:val="single" w:sz="4" w:space="0" w:color="auto"/>
            </w:tcBorders>
          </w:tcPr>
          <w:p w14:paraId="42054874"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5FB9579D" w14:textId="736194DA"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neaplicabile</w:t>
            </w:r>
          </w:p>
        </w:tc>
        <w:tc>
          <w:tcPr>
            <w:tcW w:w="806" w:type="pct"/>
            <w:tcBorders>
              <w:top w:val="single" w:sz="4" w:space="0" w:color="auto"/>
              <w:left w:val="single" w:sz="4" w:space="0" w:color="auto"/>
              <w:bottom w:val="single" w:sz="4" w:space="0" w:color="auto"/>
              <w:right w:val="single" w:sz="4" w:space="0" w:color="auto"/>
            </w:tcBorders>
          </w:tcPr>
          <w:p w14:paraId="41708080" w14:textId="77777777" w:rsidR="00984B34" w:rsidRPr="009E686F" w:rsidRDefault="00984B34" w:rsidP="00984B34">
            <w:pPr>
              <w:jc w:val="both"/>
              <w:rPr>
                <w:rFonts w:ascii="Times New Roman" w:hAnsi="Times New Roman" w:cs="Times New Roman"/>
              </w:rPr>
            </w:pPr>
          </w:p>
        </w:tc>
      </w:tr>
      <w:tr w:rsidR="00984B34" w:rsidRPr="009E686F" w14:paraId="016150A4" w14:textId="54017252" w:rsidTr="00774F3E">
        <w:tc>
          <w:tcPr>
            <w:tcW w:w="1796" w:type="pct"/>
            <w:gridSpan w:val="2"/>
            <w:tcBorders>
              <w:top w:val="single" w:sz="4" w:space="0" w:color="auto"/>
              <w:left w:val="single" w:sz="4" w:space="0" w:color="auto"/>
              <w:bottom w:val="single" w:sz="4" w:space="0" w:color="auto"/>
              <w:right w:val="single" w:sz="4" w:space="0" w:color="auto"/>
            </w:tcBorders>
          </w:tcPr>
          <w:p w14:paraId="1699960D" w14:textId="77777777" w:rsidR="00984B34" w:rsidRPr="009E686F" w:rsidRDefault="00984B34" w:rsidP="00984B34">
            <w:pPr>
              <w:spacing w:after="0"/>
              <w:jc w:val="both"/>
              <w:rPr>
                <w:rFonts w:ascii="Times New Roman" w:hAnsi="Times New Roman" w:cs="Times New Roman"/>
                <w:bCs/>
                <w:lang w:val="ro-RO"/>
              </w:rPr>
            </w:pPr>
            <w:r w:rsidRPr="009E686F">
              <w:rPr>
                <w:rFonts w:ascii="Times New Roman" w:hAnsi="Times New Roman" w:cs="Times New Roman"/>
                <w:bCs/>
                <w:lang w:val="ro-RO"/>
              </w:rPr>
              <w:t>CAPITOLUL 3</w:t>
            </w:r>
          </w:p>
          <w:p w14:paraId="1D1E1BBC"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b/>
                <w:lang w:val="ro-RO"/>
              </w:rPr>
              <w:t>Dispoziții finale</w:t>
            </w:r>
          </w:p>
        </w:tc>
        <w:tc>
          <w:tcPr>
            <w:tcW w:w="1928" w:type="pct"/>
            <w:gridSpan w:val="3"/>
            <w:tcBorders>
              <w:top w:val="single" w:sz="4" w:space="0" w:color="auto"/>
              <w:left w:val="single" w:sz="4" w:space="0" w:color="auto"/>
              <w:bottom w:val="single" w:sz="4" w:space="0" w:color="auto"/>
              <w:right w:val="single" w:sz="4" w:space="0" w:color="auto"/>
            </w:tcBorders>
          </w:tcPr>
          <w:p w14:paraId="4730E246"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396561AF" w14:textId="179B1DEC"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neaplicabile</w:t>
            </w:r>
          </w:p>
        </w:tc>
        <w:tc>
          <w:tcPr>
            <w:tcW w:w="806" w:type="pct"/>
            <w:tcBorders>
              <w:top w:val="single" w:sz="4" w:space="0" w:color="auto"/>
              <w:left w:val="single" w:sz="4" w:space="0" w:color="auto"/>
              <w:bottom w:val="single" w:sz="4" w:space="0" w:color="auto"/>
              <w:right w:val="single" w:sz="4" w:space="0" w:color="auto"/>
            </w:tcBorders>
          </w:tcPr>
          <w:p w14:paraId="24711DEC" w14:textId="77777777" w:rsidR="00984B34" w:rsidRPr="009E686F" w:rsidRDefault="00984B34" w:rsidP="00984B34">
            <w:pPr>
              <w:jc w:val="both"/>
              <w:rPr>
                <w:rFonts w:ascii="Times New Roman" w:hAnsi="Times New Roman" w:cs="Times New Roman"/>
                <w:lang w:val="ro-RO"/>
              </w:rPr>
            </w:pPr>
          </w:p>
        </w:tc>
      </w:tr>
      <w:tr w:rsidR="00984B34" w:rsidRPr="009E686F" w14:paraId="4A3C5A2F" w14:textId="46A7BE6A" w:rsidTr="00774F3E">
        <w:tc>
          <w:tcPr>
            <w:tcW w:w="1796" w:type="pct"/>
            <w:gridSpan w:val="2"/>
            <w:tcBorders>
              <w:top w:val="single" w:sz="4" w:space="0" w:color="auto"/>
              <w:left w:val="single" w:sz="4" w:space="0" w:color="auto"/>
              <w:bottom w:val="single" w:sz="4" w:space="0" w:color="auto"/>
              <w:right w:val="single" w:sz="4" w:space="0" w:color="auto"/>
            </w:tcBorders>
          </w:tcPr>
          <w:p w14:paraId="52F3C7A4" w14:textId="77777777" w:rsidR="00984B34" w:rsidRPr="009E686F" w:rsidRDefault="00984B34" w:rsidP="00984B34">
            <w:pPr>
              <w:spacing w:after="0"/>
              <w:jc w:val="both"/>
              <w:rPr>
                <w:rFonts w:ascii="Times New Roman" w:hAnsi="Times New Roman" w:cs="Times New Roman"/>
                <w:i/>
                <w:iCs/>
                <w:lang w:val="ro-RO"/>
              </w:rPr>
            </w:pPr>
            <w:r w:rsidRPr="009E686F">
              <w:rPr>
                <w:rFonts w:ascii="Times New Roman" w:hAnsi="Times New Roman" w:cs="Times New Roman"/>
                <w:i/>
                <w:iCs/>
                <w:lang w:val="ro-RO"/>
              </w:rPr>
              <w:t xml:space="preserve">Articolul 161 </w:t>
            </w:r>
          </w:p>
          <w:p w14:paraId="1F842FC7" w14:textId="611DE555"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Revizuire și raport</w:t>
            </w:r>
          </w:p>
        </w:tc>
        <w:tc>
          <w:tcPr>
            <w:tcW w:w="1928" w:type="pct"/>
            <w:gridSpan w:val="3"/>
            <w:tcBorders>
              <w:top w:val="single" w:sz="4" w:space="0" w:color="auto"/>
              <w:left w:val="single" w:sz="4" w:space="0" w:color="auto"/>
              <w:bottom w:val="single" w:sz="4" w:space="0" w:color="auto"/>
              <w:right w:val="single" w:sz="4" w:space="0" w:color="auto"/>
            </w:tcBorders>
          </w:tcPr>
          <w:p w14:paraId="2FFD5D7E"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25F88613" w14:textId="4E63FFE8"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neaplicabile</w:t>
            </w:r>
          </w:p>
        </w:tc>
        <w:tc>
          <w:tcPr>
            <w:tcW w:w="806" w:type="pct"/>
            <w:tcBorders>
              <w:top w:val="single" w:sz="4" w:space="0" w:color="auto"/>
              <w:left w:val="single" w:sz="4" w:space="0" w:color="auto"/>
              <w:bottom w:val="single" w:sz="4" w:space="0" w:color="auto"/>
              <w:right w:val="single" w:sz="4" w:space="0" w:color="auto"/>
            </w:tcBorders>
          </w:tcPr>
          <w:p w14:paraId="60F65387" w14:textId="77777777" w:rsidR="00984B34" w:rsidRPr="009E686F" w:rsidRDefault="00984B34" w:rsidP="00984B34">
            <w:pPr>
              <w:jc w:val="both"/>
              <w:rPr>
                <w:rFonts w:ascii="Times New Roman" w:hAnsi="Times New Roman" w:cs="Times New Roman"/>
                <w:lang w:val="ro-RO"/>
              </w:rPr>
            </w:pPr>
          </w:p>
        </w:tc>
      </w:tr>
      <w:tr w:rsidR="00984B34" w:rsidRPr="009E686F" w14:paraId="16C198F9" w14:textId="4A642DE7" w:rsidTr="00774F3E">
        <w:tc>
          <w:tcPr>
            <w:tcW w:w="1796" w:type="pct"/>
            <w:gridSpan w:val="2"/>
            <w:tcBorders>
              <w:top w:val="single" w:sz="4" w:space="0" w:color="auto"/>
              <w:left w:val="single" w:sz="4" w:space="0" w:color="auto"/>
              <w:bottom w:val="single" w:sz="4" w:space="0" w:color="auto"/>
              <w:right w:val="single" w:sz="4" w:space="0" w:color="auto"/>
            </w:tcBorders>
          </w:tcPr>
          <w:p w14:paraId="655996A8" w14:textId="77A199A4"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(1)Comisia analizează periodic aplicarea prezentei directive pentru a garanta că punerea sa în aplicare nu duce la discriminare evidentă între instituții pe baza structurii juridice sau a formei lor de proprietate.</w:t>
            </w:r>
          </w:p>
        </w:tc>
        <w:tc>
          <w:tcPr>
            <w:tcW w:w="1928" w:type="pct"/>
            <w:gridSpan w:val="3"/>
            <w:tcBorders>
              <w:top w:val="single" w:sz="4" w:space="0" w:color="auto"/>
              <w:left w:val="single" w:sz="4" w:space="0" w:color="auto"/>
              <w:bottom w:val="single" w:sz="4" w:space="0" w:color="auto"/>
              <w:right w:val="single" w:sz="4" w:space="0" w:color="auto"/>
            </w:tcBorders>
          </w:tcPr>
          <w:p w14:paraId="407553F9"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702356B0" w14:textId="2ECBB190"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neaplicabile</w:t>
            </w:r>
          </w:p>
        </w:tc>
        <w:tc>
          <w:tcPr>
            <w:tcW w:w="806" w:type="pct"/>
            <w:tcBorders>
              <w:top w:val="single" w:sz="4" w:space="0" w:color="auto"/>
              <w:left w:val="single" w:sz="4" w:space="0" w:color="auto"/>
              <w:bottom w:val="single" w:sz="4" w:space="0" w:color="auto"/>
              <w:right w:val="single" w:sz="4" w:space="0" w:color="auto"/>
            </w:tcBorders>
          </w:tcPr>
          <w:p w14:paraId="4BF83AD2" w14:textId="77777777" w:rsidR="00984B34" w:rsidRPr="009E686F" w:rsidRDefault="00984B34" w:rsidP="00984B34">
            <w:pPr>
              <w:jc w:val="both"/>
              <w:rPr>
                <w:rFonts w:ascii="Times New Roman" w:hAnsi="Times New Roman" w:cs="Times New Roman"/>
                <w:lang w:val="ro-RO"/>
              </w:rPr>
            </w:pPr>
          </w:p>
        </w:tc>
      </w:tr>
      <w:tr w:rsidR="00984B34" w:rsidRPr="009E686F" w14:paraId="722174EA" w14:textId="7734BCAE" w:rsidTr="00774F3E">
        <w:tc>
          <w:tcPr>
            <w:tcW w:w="1796" w:type="pct"/>
            <w:gridSpan w:val="2"/>
            <w:tcBorders>
              <w:top w:val="single" w:sz="4" w:space="0" w:color="auto"/>
              <w:left w:val="single" w:sz="4" w:space="0" w:color="auto"/>
              <w:bottom w:val="single" w:sz="4" w:space="0" w:color="auto"/>
              <w:right w:val="single" w:sz="4" w:space="0" w:color="auto"/>
            </w:tcBorders>
          </w:tcPr>
          <w:p w14:paraId="1D81806D" w14:textId="6F7B7062"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(2) În urma unei analize, în strânsă cooperare cu ABE, până la 30 iunie 2016, Comisia transmite un raport Parlamentului European și Consiliului, însoțit de o propunere legislativă, dacă este cazul, cu privire la dispozițiile referitoare la remunerare din prezenta directivă și din Regulamentul (UE) nr. 575/2013, ținând seama de evoluțiile de la nivel internațional și acordând o atenție deosebită:</w:t>
            </w:r>
          </w:p>
        </w:tc>
        <w:tc>
          <w:tcPr>
            <w:tcW w:w="1928" w:type="pct"/>
            <w:gridSpan w:val="3"/>
            <w:tcBorders>
              <w:top w:val="single" w:sz="4" w:space="0" w:color="auto"/>
              <w:left w:val="single" w:sz="4" w:space="0" w:color="auto"/>
              <w:bottom w:val="single" w:sz="4" w:space="0" w:color="auto"/>
              <w:right w:val="single" w:sz="4" w:space="0" w:color="auto"/>
            </w:tcBorders>
          </w:tcPr>
          <w:p w14:paraId="0EC57A09"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48E77287" w14:textId="3D6D47EA"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neaplicabile</w:t>
            </w:r>
          </w:p>
        </w:tc>
        <w:tc>
          <w:tcPr>
            <w:tcW w:w="806" w:type="pct"/>
            <w:tcBorders>
              <w:top w:val="single" w:sz="4" w:space="0" w:color="auto"/>
              <w:left w:val="single" w:sz="4" w:space="0" w:color="auto"/>
              <w:bottom w:val="single" w:sz="4" w:space="0" w:color="auto"/>
              <w:right w:val="single" w:sz="4" w:space="0" w:color="auto"/>
            </w:tcBorders>
          </w:tcPr>
          <w:p w14:paraId="3DC70F62" w14:textId="77777777" w:rsidR="00984B34" w:rsidRPr="009E686F" w:rsidRDefault="00984B34" w:rsidP="00984B34">
            <w:pPr>
              <w:jc w:val="both"/>
              <w:rPr>
                <w:rFonts w:ascii="Times New Roman" w:hAnsi="Times New Roman" w:cs="Times New Roman"/>
                <w:lang w:val="ro-RO"/>
              </w:rPr>
            </w:pPr>
          </w:p>
        </w:tc>
      </w:tr>
      <w:tr w:rsidR="00984B34" w:rsidRPr="009E686F" w14:paraId="20730F25" w14:textId="10C74079" w:rsidTr="00774F3E">
        <w:tc>
          <w:tcPr>
            <w:tcW w:w="1796" w:type="pct"/>
            <w:gridSpan w:val="2"/>
            <w:tcBorders>
              <w:top w:val="single" w:sz="4" w:space="0" w:color="auto"/>
              <w:left w:val="single" w:sz="4" w:space="0" w:color="auto"/>
              <w:bottom w:val="single" w:sz="4" w:space="0" w:color="auto"/>
              <w:right w:val="single" w:sz="4" w:space="0" w:color="auto"/>
            </w:tcBorders>
          </w:tcPr>
          <w:p w14:paraId="76D702EF" w14:textId="470ABB74"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(a)eficienței, punerii în aplicare și asigurării respectării, inclusiv identificarea oricărei lacune care rezultă din aplicarea principiului proporționalității în cazul acestor dispoziții.</w:t>
            </w:r>
          </w:p>
        </w:tc>
        <w:tc>
          <w:tcPr>
            <w:tcW w:w="1928" w:type="pct"/>
            <w:gridSpan w:val="3"/>
            <w:tcBorders>
              <w:top w:val="single" w:sz="4" w:space="0" w:color="auto"/>
              <w:left w:val="single" w:sz="4" w:space="0" w:color="auto"/>
              <w:bottom w:val="single" w:sz="4" w:space="0" w:color="auto"/>
              <w:right w:val="single" w:sz="4" w:space="0" w:color="auto"/>
            </w:tcBorders>
          </w:tcPr>
          <w:p w14:paraId="41B05905"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2553F1E1" w14:textId="246CB94C"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neaplicabile</w:t>
            </w:r>
          </w:p>
        </w:tc>
        <w:tc>
          <w:tcPr>
            <w:tcW w:w="806" w:type="pct"/>
            <w:tcBorders>
              <w:top w:val="single" w:sz="4" w:space="0" w:color="auto"/>
              <w:left w:val="single" w:sz="4" w:space="0" w:color="auto"/>
              <w:bottom w:val="single" w:sz="4" w:space="0" w:color="auto"/>
              <w:right w:val="single" w:sz="4" w:space="0" w:color="auto"/>
            </w:tcBorders>
          </w:tcPr>
          <w:p w14:paraId="33790539" w14:textId="77777777" w:rsidR="00984B34" w:rsidRPr="009E686F" w:rsidRDefault="00984B34" w:rsidP="00984B34">
            <w:pPr>
              <w:jc w:val="both"/>
              <w:rPr>
                <w:rFonts w:ascii="Times New Roman" w:hAnsi="Times New Roman" w:cs="Times New Roman"/>
                <w:lang w:val="ro-RO"/>
              </w:rPr>
            </w:pPr>
          </w:p>
        </w:tc>
      </w:tr>
      <w:tr w:rsidR="00984B34" w:rsidRPr="009E686F" w14:paraId="2B66F516" w14:textId="0E2D45AF" w:rsidTr="00774F3E">
        <w:tc>
          <w:tcPr>
            <w:tcW w:w="1796" w:type="pct"/>
            <w:gridSpan w:val="2"/>
            <w:tcBorders>
              <w:top w:val="single" w:sz="4" w:space="0" w:color="auto"/>
              <w:left w:val="single" w:sz="4" w:space="0" w:color="auto"/>
              <w:bottom w:val="single" w:sz="4" w:space="0" w:color="auto"/>
              <w:right w:val="single" w:sz="4" w:space="0" w:color="auto"/>
            </w:tcBorders>
          </w:tcPr>
          <w:p w14:paraId="458D9D9A" w14:textId="5E384C61"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(b)  impactului respectării principiului de la articolul 94 alineatul (1) litera (g) în ceea ce privește</w:t>
            </w:r>
          </w:p>
        </w:tc>
        <w:tc>
          <w:tcPr>
            <w:tcW w:w="1928" w:type="pct"/>
            <w:gridSpan w:val="3"/>
            <w:tcBorders>
              <w:top w:val="single" w:sz="4" w:space="0" w:color="auto"/>
              <w:left w:val="single" w:sz="4" w:space="0" w:color="auto"/>
              <w:bottom w:val="single" w:sz="4" w:space="0" w:color="auto"/>
              <w:right w:val="single" w:sz="4" w:space="0" w:color="auto"/>
            </w:tcBorders>
          </w:tcPr>
          <w:p w14:paraId="16B36363"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7AF8872E" w14:textId="7A0D518D"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neaplicabile</w:t>
            </w:r>
          </w:p>
        </w:tc>
        <w:tc>
          <w:tcPr>
            <w:tcW w:w="806" w:type="pct"/>
            <w:tcBorders>
              <w:top w:val="single" w:sz="4" w:space="0" w:color="auto"/>
              <w:left w:val="single" w:sz="4" w:space="0" w:color="auto"/>
              <w:bottom w:val="single" w:sz="4" w:space="0" w:color="auto"/>
              <w:right w:val="single" w:sz="4" w:space="0" w:color="auto"/>
            </w:tcBorders>
          </w:tcPr>
          <w:p w14:paraId="1B109D92" w14:textId="77777777" w:rsidR="00984B34" w:rsidRPr="009E686F" w:rsidRDefault="00984B34" w:rsidP="00984B34">
            <w:pPr>
              <w:jc w:val="both"/>
              <w:rPr>
                <w:rFonts w:ascii="Times New Roman" w:hAnsi="Times New Roman" w:cs="Times New Roman"/>
                <w:lang w:val="ro-RO"/>
              </w:rPr>
            </w:pPr>
          </w:p>
        </w:tc>
      </w:tr>
      <w:tr w:rsidR="00984B34" w:rsidRPr="009E686F" w14:paraId="54F860C1" w14:textId="46F9F49C" w:rsidTr="00774F3E">
        <w:tc>
          <w:tcPr>
            <w:tcW w:w="1796" w:type="pct"/>
            <w:gridSpan w:val="2"/>
            <w:tcBorders>
              <w:top w:val="single" w:sz="4" w:space="0" w:color="auto"/>
              <w:left w:val="single" w:sz="4" w:space="0" w:color="auto"/>
              <w:bottom w:val="single" w:sz="4" w:space="0" w:color="auto"/>
              <w:right w:val="single" w:sz="4" w:space="0" w:color="auto"/>
            </w:tcBorders>
          </w:tcPr>
          <w:p w14:paraId="3357380F" w14:textId="314557D2"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(i) competitivitatea și stabilitatea financiară, și</w:t>
            </w:r>
          </w:p>
        </w:tc>
        <w:tc>
          <w:tcPr>
            <w:tcW w:w="1928" w:type="pct"/>
            <w:gridSpan w:val="3"/>
            <w:tcBorders>
              <w:top w:val="single" w:sz="4" w:space="0" w:color="auto"/>
              <w:left w:val="single" w:sz="4" w:space="0" w:color="auto"/>
              <w:bottom w:val="single" w:sz="4" w:space="0" w:color="auto"/>
              <w:right w:val="single" w:sz="4" w:space="0" w:color="auto"/>
            </w:tcBorders>
          </w:tcPr>
          <w:p w14:paraId="257F5F33"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2273F12F" w14:textId="1FEFBA3E"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neaplicabile</w:t>
            </w:r>
          </w:p>
        </w:tc>
        <w:tc>
          <w:tcPr>
            <w:tcW w:w="806" w:type="pct"/>
            <w:tcBorders>
              <w:top w:val="single" w:sz="4" w:space="0" w:color="auto"/>
              <w:left w:val="single" w:sz="4" w:space="0" w:color="auto"/>
              <w:bottom w:val="single" w:sz="4" w:space="0" w:color="auto"/>
              <w:right w:val="single" w:sz="4" w:space="0" w:color="auto"/>
            </w:tcBorders>
          </w:tcPr>
          <w:p w14:paraId="4162CE31" w14:textId="77777777" w:rsidR="00984B34" w:rsidRPr="009E686F" w:rsidRDefault="00984B34" w:rsidP="00984B34">
            <w:pPr>
              <w:jc w:val="both"/>
              <w:rPr>
                <w:rFonts w:ascii="Times New Roman" w:hAnsi="Times New Roman" w:cs="Times New Roman"/>
                <w:lang w:val="ro-RO"/>
              </w:rPr>
            </w:pPr>
          </w:p>
        </w:tc>
      </w:tr>
      <w:tr w:rsidR="00984B34" w:rsidRPr="009E686F" w14:paraId="61A6703A" w14:textId="2A0779B5" w:rsidTr="00774F3E">
        <w:tc>
          <w:tcPr>
            <w:tcW w:w="1796" w:type="pct"/>
            <w:gridSpan w:val="2"/>
            <w:tcBorders>
              <w:top w:val="single" w:sz="4" w:space="0" w:color="auto"/>
              <w:left w:val="single" w:sz="4" w:space="0" w:color="auto"/>
              <w:bottom w:val="single" w:sz="4" w:space="0" w:color="auto"/>
              <w:right w:val="single" w:sz="4" w:space="0" w:color="auto"/>
            </w:tcBorders>
          </w:tcPr>
          <w:p w14:paraId="639906A3" w14:textId="7E3386CD"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(ii) orice membri ai personalului care activează efectiv și fizic în filiale stabilite în afara SEE ale unor instituții-mamă stabilite în interiorul SEE.</w:t>
            </w:r>
          </w:p>
        </w:tc>
        <w:tc>
          <w:tcPr>
            <w:tcW w:w="1928" w:type="pct"/>
            <w:gridSpan w:val="3"/>
            <w:tcBorders>
              <w:top w:val="single" w:sz="4" w:space="0" w:color="auto"/>
              <w:left w:val="single" w:sz="4" w:space="0" w:color="auto"/>
              <w:bottom w:val="single" w:sz="4" w:space="0" w:color="auto"/>
              <w:right w:val="single" w:sz="4" w:space="0" w:color="auto"/>
            </w:tcBorders>
          </w:tcPr>
          <w:p w14:paraId="295DCD3D"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0E976911" w14:textId="0EB2FA5C"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neaplicabile</w:t>
            </w:r>
          </w:p>
        </w:tc>
        <w:tc>
          <w:tcPr>
            <w:tcW w:w="806" w:type="pct"/>
            <w:tcBorders>
              <w:top w:val="single" w:sz="4" w:space="0" w:color="auto"/>
              <w:left w:val="single" w:sz="4" w:space="0" w:color="auto"/>
              <w:bottom w:val="single" w:sz="4" w:space="0" w:color="auto"/>
              <w:right w:val="single" w:sz="4" w:space="0" w:color="auto"/>
            </w:tcBorders>
          </w:tcPr>
          <w:p w14:paraId="6B81EF37" w14:textId="77777777" w:rsidR="00984B34" w:rsidRPr="009E686F" w:rsidRDefault="00984B34" w:rsidP="00984B34">
            <w:pPr>
              <w:jc w:val="both"/>
              <w:rPr>
                <w:rFonts w:ascii="Times New Roman" w:hAnsi="Times New Roman" w:cs="Times New Roman"/>
                <w:lang w:val="ro-RO"/>
              </w:rPr>
            </w:pPr>
          </w:p>
        </w:tc>
      </w:tr>
      <w:tr w:rsidR="00984B34" w:rsidRPr="009E686F" w14:paraId="10F3F01B" w14:textId="31901D60" w:rsidTr="00774F3E">
        <w:tc>
          <w:tcPr>
            <w:tcW w:w="1796" w:type="pct"/>
            <w:gridSpan w:val="2"/>
            <w:tcBorders>
              <w:top w:val="single" w:sz="4" w:space="0" w:color="auto"/>
              <w:left w:val="single" w:sz="4" w:space="0" w:color="auto"/>
              <w:bottom w:val="single" w:sz="4" w:space="0" w:color="auto"/>
              <w:right w:val="single" w:sz="4" w:space="0" w:color="auto"/>
            </w:tcBorders>
          </w:tcPr>
          <w:p w14:paraId="42E0C724"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lastRenderedPageBreak/>
              <w:t>În cadrul revizuirii respective se analizează în special dacă principiul stabilit la articolul 94 alineatul (1) litera (g) ar trebui să continue să se aplice oricăror membri ai personalului care fac obiectul primului paragraf litera (b)punctul (ii).</w:t>
            </w:r>
          </w:p>
        </w:tc>
        <w:tc>
          <w:tcPr>
            <w:tcW w:w="1928" w:type="pct"/>
            <w:gridSpan w:val="3"/>
            <w:tcBorders>
              <w:top w:val="single" w:sz="4" w:space="0" w:color="auto"/>
              <w:left w:val="single" w:sz="4" w:space="0" w:color="auto"/>
              <w:bottom w:val="single" w:sz="4" w:space="0" w:color="auto"/>
              <w:right w:val="single" w:sz="4" w:space="0" w:color="auto"/>
            </w:tcBorders>
          </w:tcPr>
          <w:p w14:paraId="1340DB7F"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3A3150C2" w14:textId="1737493E"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neaplicabile</w:t>
            </w:r>
          </w:p>
        </w:tc>
        <w:tc>
          <w:tcPr>
            <w:tcW w:w="806" w:type="pct"/>
            <w:tcBorders>
              <w:top w:val="single" w:sz="4" w:space="0" w:color="auto"/>
              <w:left w:val="single" w:sz="4" w:space="0" w:color="auto"/>
              <w:bottom w:val="single" w:sz="4" w:space="0" w:color="auto"/>
              <w:right w:val="single" w:sz="4" w:space="0" w:color="auto"/>
            </w:tcBorders>
          </w:tcPr>
          <w:p w14:paraId="3B750380" w14:textId="77777777" w:rsidR="00984B34" w:rsidRPr="009E686F" w:rsidRDefault="00984B34" w:rsidP="00984B34">
            <w:pPr>
              <w:jc w:val="both"/>
              <w:rPr>
                <w:rFonts w:ascii="Times New Roman" w:hAnsi="Times New Roman" w:cs="Times New Roman"/>
                <w:lang w:val="ro-RO"/>
              </w:rPr>
            </w:pPr>
          </w:p>
        </w:tc>
      </w:tr>
      <w:tr w:rsidR="00984B34" w:rsidRPr="009E686F" w14:paraId="5B258320" w14:textId="71A74D99" w:rsidTr="00774F3E">
        <w:tc>
          <w:tcPr>
            <w:tcW w:w="1796" w:type="pct"/>
            <w:gridSpan w:val="2"/>
            <w:tcBorders>
              <w:top w:val="single" w:sz="4" w:space="0" w:color="auto"/>
              <w:left w:val="single" w:sz="4" w:space="0" w:color="auto"/>
              <w:bottom w:val="single" w:sz="4" w:space="0" w:color="auto"/>
              <w:right w:val="single" w:sz="4" w:space="0" w:color="auto"/>
            </w:tcBorders>
          </w:tcPr>
          <w:p w14:paraId="6547094B" w14:textId="6A7FBF7F" w:rsidR="00984B34" w:rsidRPr="009E686F" w:rsidRDefault="00984B34" w:rsidP="00984B34">
            <w:pPr>
              <w:spacing w:after="0"/>
              <w:jc w:val="both"/>
              <w:rPr>
                <w:rFonts w:ascii="Times New Roman" w:hAnsi="Times New Roman" w:cs="Times New Roman"/>
                <w:lang w:val="ro-RO"/>
              </w:rPr>
            </w:pPr>
          </w:p>
        </w:tc>
        <w:tc>
          <w:tcPr>
            <w:tcW w:w="1928" w:type="pct"/>
            <w:gridSpan w:val="3"/>
            <w:tcBorders>
              <w:top w:val="single" w:sz="4" w:space="0" w:color="auto"/>
              <w:left w:val="single" w:sz="4" w:space="0" w:color="auto"/>
              <w:bottom w:val="single" w:sz="4" w:space="0" w:color="auto"/>
              <w:right w:val="single" w:sz="4" w:space="0" w:color="auto"/>
            </w:tcBorders>
          </w:tcPr>
          <w:p w14:paraId="3446826C"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1006422D" w14:textId="41E25277"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neaplicabile</w:t>
            </w:r>
          </w:p>
        </w:tc>
        <w:tc>
          <w:tcPr>
            <w:tcW w:w="806" w:type="pct"/>
            <w:tcBorders>
              <w:top w:val="single" w:sz="4" w:space="0" w:color="auto"/>
              <w:left w:val="single" w:sz="4" w:space="0" w:color="auto"/>
              <w:bottom w:val="single" w:sz="4" w:space="0" w:color="auto"/>
              <w:right w:val="single" w:sz="4" w:space="0" w:color="auto"/>
            </w:tcBorders>
          </w:tcPr>
          <w:p w14:paraId="067BD8D9" w14:textId="77777777" w:rsidR="00984B34" w:rsidRPr="009E686F" w:rsidRDefault="00984B34" w:rsidP="00984B34">
            <w:pPr>
              <w:jc w:val="both"/>
              <w:rPr>
                <w:rFonts w:ascii="Times New Roman" w:hAnsi="Times New Roman" w:cs="Times New Roman"/>
                <w:lang w:val="ro-RO"/>
              </w:rPr>
            </w:pPr>
          </w:p>
        </w:tc>
      </w:tr>
      <w:tr w:rsidR="00984B34" w:rsidRPr="009E686F" w14:paraId="28EA6FE4" w14:textId="7DDFDE38" w:rsidTr="00774F3E">
        <w:tc>
          <w:tcPr>
            <w:tcW w:w="1796" w:type="pct"/>
            <w:gridSpan w:val="2"/>
            <w:tcBorders>
              <w:top w:val="single" w:sz="4" w:space="0" w:color="auto"/>
              <w:left w:val="single" w:sz="4" w:space="0" w:color="auto"/>
              <w:bottom w:val="single" w:sz="4" w:space="0" w:color="auto"/>
              <w:right w:val="single" w:sz="4" w:space="0" w:color="auto"/>
            </w:tcBorders>
          </w:tcPr>
          <w:p w14:paraId="0FC8A08B" w14:textId="383BE516"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(4) Până la 31 decembrie 2014, Comisia analizează și întocmește un raport privind aplicarea articolelor 108 și 109 și transmite raportul respectiv Parlamentului European și Consiliului însoțit, dacă este cazul, de o propunere legislativă.</w:t>
            </w:r>
          </w:p>
        </w:tc>
        <w:tc>
          <w:tcPr>
            <w:tcW w:w="1928" w:type="pct"/>
            <w:gridSpan w:val="3"/>
            <w:tcBorders>
              <w:top w:val="single" w:sz="4" w:space="0" w:color="auto"/>
              <w:left w:val="single" w:sz="4" w:space="0" w:color="auto"/>
              <w:bottom w:val="single" w:sz="4" w:space="0" w:color="auto"/>
              <w:right w:val="single" w:sz="4" w:space="0" w:color="auto"/>
            </w:tcBorders>
          </w:tcPr>
          <w:p w14:paraId="5188DEB7"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0AD50340" w14:textId="7F71BB7B"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neaplicabile</w:t>
            </w:r>
          </w:p>
        </w:tc>
        <w:tc>
          <w:tcPr>
            <w:tcW w:w="806" w:type="pct"/>
            <w:tcBorders>
              <w:top w:val="single" w:sz="4" w:space="0" w:color="auto"/>
              <w:left w:val="single" w:sz="4" w:space="0" w:color="auto"/>
              <w:bottom w:val="single" w:sz="4" w:space="0" w:color="auto"/>
              <w:right w:val="single" w:sz="4" w:space="0" w:color="auto"/>
            </w:tcBorders>
          </w:tcPr>
          <w:p w14:paraId="6147F8D0" w14:textId="77777777" w:rsidR="00984B34" w:rsidRPr="009E686F" w:rsidRDefault="00984B34" w:rsidP="00984B34">
            <w:pPr>
              <w:jc w:val="both"/>
              <w:rPr>
                <w:rFonts w:ascii="Times New Roman" w:hAnsi="Times New Roman" w:cs="Times New Roman"/>
                <w:lang w:val="ro-RO"/>
              </w:rPr>
            </w:pPr>
          </w:p>
        </w:tc>
      </w:tr>
      <w:tr w:rsidR="00984B34" w:rsidRPr="009E686F" w14:paraId="645ADA5D" w14:textId="5A9BA380" w:rsidTr="00774F3E">
        <w:tc>
          <w:tcPr>
            <w:tcW w:w="1796" w:type="pct"/>
            <w:gridSpan w:val="2"/>
            <w:tcBorders>
              <w:top w:val="single" w:sz="4" w:space="0" w:color="auto"/>
              <w:left w:val="single" w:sz="4" w:space="0" w:color="auto"/>
              <w:bottom w:val="single" w:sz="4" w:space="0" w:color="auto"/>
              <w:right w:val="single" w:sz="4" w:space="0" w:color="auto"/>
            </w:tcBorders>
          </w:tcPr>
          <w:p w14:paraId="52043BAE" w14:textId="2926A338" w:rsidR="00984B34" w:rsidRPr="009E686F" w:rsidRDefault="00984B34" w:rsidP="00984B34">
            <w:pPr>
              <w:spacing w:after="0"/>
              <w:jc w:val="both"/>
              <w:rPr>
                <w:rFonts w:ascii="Times New Roman" w:hAnsi="Times New Roman" w:cs="Times New Roman"/>
                <w:lang w:val="ro-RO"/>
              </w:rPr>
            </w:pPr>
          </w:p>
          <w:p w14:paraId="75C3C73F" w14:textId="73FD09E4"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(5) Până la 31 decembrie 2016, Comisia analizează și întocmește un raport privind rezultatele obținute în conformitate cu articolul 91 alineatul (9), inclusiv oportunitatea comparării practicilor privind diversitatea, ținând seama de toate evoluțiile relevante din Uniune și pe plan internațional, și transmite raportul său Parlamentului European și Consiliului însoțit, dacă este cazul, o propunere legislativă.</w:t>
            </w:r>
          </w:p>
        </w:tc>
        <w:tc>
          <w:tcPr>
            <w:tcW w:w="1928" w:type="pct"/>
            <w:gridSpan w:val="3"/>
            <w:tcBorders>
              <w:top w:val="single" w:sz="4" w:space="0" w:color="auto"/>
              <w:left w:val="single" w:sz="4" w:space="0" w:color="auto"/>
              <w:bottom w:val="single" w:sz="4" w:space="0" w:color="auto"/>
              <w:right w:val="single" w:sz="4" w:space="0" w:color="auto"/>
            </w:tcBorders>
          </w:tcPr>
          <w:p w14:paraId="3DFEEE5D"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780B4B76" w14:textId="4A50739C"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neaplicabile</w:t>
            </w:r>
          </w:p>
        </w:tc>
        <w:tc>
          <w:tcPr>
            <w:tcW w:w="806" w:type="pct"/>
            <w:tcBorders>
              <w:top w:val="single" w:sz="4" w:space="0" w:color="auto"/>
              <w:left w:val="single" w:sz="4" w:space="0" w:color="auto"/>
              <w:bottom w:val="single" w:sz="4" w:space="0" w:color="auto"/>
              <w:right w:val="single" w:sz="4" w:space="0" w:color="auto"/>
            </w:tcBorders>
          </w:tcPr>
          <w:p w14:paraId="12E9D69F" w14:textId="77777777" w:rsidR="00984B34" w:rsidRPr="009E686F" w:rsidRDefault="00984B34" w:rsidP="00984B34">
            <w:pPr>
              <w:jc w:val="both"/>
              <w:rPr>
                <w:rFonts w:ascii="Times New Roman" w:hAnsi="Times New Roman" w:cs="Times New Roman"/>
                <w:lang w:val="ro-RO"/>
              </w:rPr>
            </w:pPr>
          </w:p>
        </w:tc>
      </w:tr>
      <w:tr w:rsidR="00984B34" w:rsidRPr="009E686F" w14:paraId="5D71E945" w14:textId="632E3378" w:rsidTr="00774F3E">
        <w:tc>
          <w:tcPr>
            <w:tcW w:w="1796" w:type="pct"/>
            <w:gridSpan w:val="2"/>
            <w:tcBorders>
              <w:top w:val="single" w:sz="4" w:space="0" w:color="auto"/>
              <w:left w:val="single" w:sz="4" w:space="0" w:color="auto"/>
              <w:bottom w:val="single" w:sz="4" w:space="0" w:color="auto"/>
              <w:right w:val="single" w:sz="4" w:space="0" w:color="auto"/>
            </w:tcBorders>
          </w:tcPr>
          <w:p w14:paraId="7213F9C2" w14:textId="377748DB"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(6) Până la 31 decembrie 2015, Comisia consultă CERS, ABE, AEAPO, AEVMP, SEBC și alte părți relevante cu privire la eficacitatea dispozițiilor legate de schimbul de informații prevăzute de prezenta directivă, atât în perioade normale, cât și în perioade de criză.</w:t>
            </w:r>
          </w:p>
        </w:tc>
        <w:tc>
          <w:tcPr>
            <w:tcW w:w="1928" w:type="pct"/>
            <w:gridSpan w:val="3"/>
            <w:tcBorders>
              <w:top w:val="single" w:sz="4" w:space="0" w:color="auto"/>
              <w:left w:val="single" w:sz="4" w:space="0" w:color="auto"/>
              <w:bottom w:val="single" w:sz="4" w:space="0" w:color="auto"/>
              <w:right w:val="single" w:sz="4" w:space="0" w:color="auto"/>
            </w:tcBorders>
          </w:tcPr>
          <w:p w14:paraId="505CA76C"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0D8FB726" w14:textId="62CE9212"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neaplicabile</w:t>
            </w:r>
          </w:p>
        </w:tc>
        <w:tc>
          <w:tcPr>
            <w:tcW w:w="806" w:type="pct"/>
            <w:tcBorders>
              <w:top w:val="single" w:sz="4" w:space="0" w:color="auto"/>
              <w:left w:val="single" w:sz="4" w:space="0" w:color="auto"/>
              <w:bottom w:val="single" w:sz="4" w:space="0" w:color="auto"/>
              <w:right w:val="single" w:sz="4" w:space="0" w:color="auto"/>
            </w:tcBorders>
          </w:tcPr>
          <w:p w14:paraId="0B54F751" w14:textId="77777777" w:rsidR="00984B34" w:rsidRPr="009E686F" w:rsidRDefault="00984B34" w:rsidP="00984B34">
            <w:pPr>
              <w:jc w:val="both"/>
              <w:rPr>
                <w:rFonts w:ascii="Times New Roman" w:hAnsi="Times New Roman" w:cs="Times New Roman"/>
                <w:lang w:val="ro-RO"/>
              </w:rPr>
            </w:pPr>
          </w:p>
        </w:tc>
      </w:tr>
      <w:tr w:rsidR="00984B34" w:rsidRPr="009E686F" w14:paraId="6C9AD203" w14:textId="1357236B" w:rsidTr="00774F3E">
        <w:tc>
          <w:tcPr>
            <w:tcW w:w="1796" w:type="pct"/>
            <w:gridSpan w:val="2"/>
            <w:tcBorders>
              <w:top w:val="single" w:sz="4" w:space="0" w:color="auto"/>
              <w:left w:val="single" w:sz="4" w:space="0" w:color="auto"/>
              <w:bottom w:val="single" w:sz="4" w:space="0" w:color="auto"/>
              <w:right w:val="single" w:sz="4" w:space="0" w:color="auto"/>
            </w:tcBorders>
          </w:tcPr>
          <w:p w14:paraId="358C7049" w14:textId="40E7F5BC"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(7) Până la 31 decembrie 2015, ABE analizează și transmite un raport Comisiei cu privire la aplicarea prezentei directive și a Regulamentului (UE) nr. 575/2013 cu privire la cooperarea Uniunii și a statelor membre cu țările terțe. Raportul respectiv identifică eventualele domenii care </w:t>
            </w:r>
            <w:r w:rsidRPr="009E686F">
              <w:rPr>
                <w:rFonts w:ascii="Times New Roman" w:hAnsi="Times New Roman" w:cs="Times New Roman"/>
                <w:lang w:val="ro-RO"/>
              </w:rPr>
              <w:lastRenderedPageBreak/>
              <w:t>necesită noi măsuri în ceea ce privește cooperarea și schimbul de informații. ABE publică respectivul raport pe site-ul său de internet.</w:t>
            </w:r>
          </w:p>
        </w:tc>
        <w:tc>
          <w:tcPr>
            <w:tcW w:w="1928" w:type="pct"/>
            <w:gridSpan w:val="3"/>
            <w:tcBorders>
              <w:top w:val="single" w:sz="4" w:space="0" w:color="auto"/>
              <w:left w:val="single" w:sz="4" w:space="0" w:color="auto"/>
              <w:bottom w:val="single" w:sz="4" w:space="0" w:color="auto"/>
              <w:right w:val="single" w:sz="4" w:space="0" w:color="auto"/>
            </w:tcBorders>
          </w:tcPr>
          <w:p w14:paraId="43F135A1"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17A33E54" w14:textId="6475787B"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neaplicabile</w:t>
            </w:r>
          </w:p>
        </w:tc>
        <w:tc>
          <w:tcPr>
            <w:tcW w:w="806" w:type="pct"/>
            <w:tcBorders>
              <w:top w:val="single" w:sz="4" w:space="0" w:color="auto"/>
              <w:left w:val="single" w:sz="4" w:space="0" w:color="auto"/>
              <w:bottom w:val="single" w:sz="4" w:space="0" w:color="auto"/>
              <w:right w:val="single" w:sz="4" w:space="0" w:color="auto"/>
            </w:tcBorders>
          </w:tcPr>
          <w:p w14:paraId="0C99D621" w14:textId="77777777" w:rsidR="00984B34" w:rsidRPr="009E686F" w:rsidRDefault="00984B34" w:rsidP="00984B34">
            <w:pPr>
              <w:jc w:val="both"/>
              <w:rPr>
                <w:rFonts w:ascii="Times New Roman" w:hAnsi="Times New Roman" w:cs="Times New Roman"/>
                <w:lang w:val="ro-RO"/>
              </w:rPr>
            </w:pPr>
          </w:p>
        </w:tc>
      </w:tr>
      <w:tr w:rsidR="00984B34" w:rsidRPr="009E686F" w14:paraId="08B6D398" w14:textId="5B23DE73" w:rsidTr="00774F3E">
        <w:tc>
          <w:tcPr>
            <w:tcW w:w="1796" w:type="pct"/>
            <w:gridSpan w:val="2"/>
            <w:tcBorders>
              <w:top w:val="single" w:sz="4" w:space="0" w:color="auto"/>
              <w:left w:val="single" w:sz="4" w:space="0" w:color="auto"/>
              <w:bottom w:val="single" w:sz="4" w:space="0" w:color="auto"/>
              <w:right w:val="single" w:sz="4" w:space="0" w:color="auto"/>
            </w:tcBorders>
          </w:tcPr>
          <w:p w14:paraId="2CDF8C6E" w14:textId="7631A3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(8) Atunci când primește un mandat din partea Comisiei, ABE examinează dacă entitățile aparținând sectorului financiar care declară că își desfășoară activitățile în conformitate cu principiile bancare islamice sunt reglementate în mod adecvat de prezenta directivă și de Regulamentul (UE) nr. 575/2013. Comisia examinează raportul pregătit de ABE și înaintează o propunere legislativă Parlamentului European și Consiliului, dacă este cazul.</w:t>
            </w:r>
          </w:p>
        </w:tc>
        <w:tc>
          <w:tcPr>
            <w:tcW w:w="1928" w:type="pct"/>
            <w:gridSpan w:val="3"/>
            <w:tcBorders>
              <w:top w:val="single" w:sz="4" w:space="0" w:color="auto"/>
              <w:left w:val="single" w:sz="4" w:space="0" w:color="auto"/>
              <w:bottom w:val="single" w:sz="4" w:space="0" w:color="auto"/>
              <w:right w:val="single" w:sz="4" w:space="0" w:color="auto"/>
            </w:tcBorders>
          </w:tcPr>
          <w:p w14:paraId="04646FEC"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1C2669D5" w14:textId="099BE698"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neaplicabile</w:t>
            </w:r>
          </w:p>
        </w:tc>
        <w:tc>
          <w:tcPr>
            <w:tcW w:w="806" w:type="pct"/>
            <w:tcBorders>
              <w:top w:val="single" w:sz="4" w:space="0" w:color="auto"/>
              <w:left w:val="single" w:sz="4" w:space="0" w:color="auto"/>
              <w:bottom w:val="single" w:sz="4" w:space="0" w:color="auto"/>
              <w:right w:val="single" w:sz="4" w:space="0" w:color="auto"/>
            </w:tcBorders>
          </w:tcPr>
          <w:p w14:paraId="2E993740" w14:textId="77777777" w:rsidR="00984B34" w:rsidRPr="009E686F" w:rsidRDefault="00984B34" w:rsidP="00984B34">
            <w:pPr>
              <w:jc w:val="both"/>
              <w:rPr>
                <w:rFonts w:ascii="Times New Roman" w:hAnsi="Times New Roman" w:cs="Times New Roman"/>
                <w:lang w:val="ro-RO"/>
              </w:rPr>
            </w:pPr>
          </w:p>
        </w:tc>
      </w:tr>
      <w:tr w:rsidR="00984B34" w:rsidRPr="009E686F" w14:paraId="1D278CDA" w14:textId="199E1E4C" w:rsidTr="00774F3E">
        <w:tc>
          <w:tcPr>
            <w:tcW w:w="1796" w:type="pct"/>
            <w:gridSpan w:val="2"/>
            <w:tcBorders>
              <w:top w:val="single" w:sz="4" w:space="0" w:color="auto"/>
              <w:left w:val="single" w:sz="4" w:space="0" w:color="auto"/>
              <w:bottom w:val="single" w:sz="4" w:space="0" w:color="auto"/>
              <w:right w:val="single" w:sz="4" w:space="0" w:color="auto"/>
            </w:tcBorders>
          </w:tcPr>
          <w:p w14:paraId="7914DFDC" w14:textId="2CD47D4F"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(9) Până la 1 iulie 2014, ABE prezintă Comisiei un raport privind utilizarea de către </w:t>
            </w:r>
            <w:r w:rsidRPr="009E686F">
              <w:rPr>
                <w:rFonts w:ascii="Times New Roman" w:hAnsi="Times New Roman" w:cs="Times New Roman"/>
                <w:i/>
                <w:iCs/>
                <w:lang w:val="ro-RO"/>
              </w:rPr>
              <w:t>instituțiile de credit</w:t>
            </w:r>
            <w:r w:rsidRPr="009E686F">
              <w:rPr>
                <w:rFonts w:ascii="Times New Roman" w:hAnsi="Times New Roman" w:cs="Times New Roman"/>
                <w:lang w:val="ro-RO"/>
              </w:rPr>
              <w:t xml:space="preserve"> și beneficiile obținute de acestea din operațiunile de refinanțare pe termen lung ale băncilor centrale din cadrul SEBC și din măsurile de sprijin similare finanțate de băncile centrale. Până la 31 decembrie 2014, pe baza raportului respectiv și după consultarea BCE, Comisia prezintă Parlamentului European și Consiliului un raport privind utilizarea și beneficiile obținute din operațiunile de refinanțare respective și din măsurile de sprijinire a finanțării, în ceea ce privește </w:t>
            </w:r>
            <w:r w:rsidRPr="009E686F">
              <w:rPr>
                <w:rFonts w:ascii="Times New Roman" w:hAnsi="Times New Roman" w:cs="Times New Roman"/>
                <w:i/>
                <w:iCs/>
                <w:lang w:val="ro-RO"/>
              </w:rPr>
              <w:t>instituțiile de credit</w:t>
            </w:r>
            <w:r w:rsidRPr="009E686F">
              <w:rPr>
                <w:rFonts w:ascii="Times New Roman" w:hAnsi="Times New Roman" w:cs="Times New Roman"/>
                <w:lang w:val="ro-RO"/>
              </w:rPr>
              <w:t xml:space="preserve"> autorizate în Uniune, alături de o propunere legislativă privind utilizarea unor astfel de operațiuni de refinanțare și a măsurilor de sprijinire a finanțării, dacă este cazul.</w:t>
            </w:r>
          </w:p>
        </w:tc>
        <w:tc>
          <w:tcPr>
            <w:tcW w:w="1928" w:type="pct"/>
            <w:gridSpan w:val="3"/>
            <w:tcBorders>
              <w:top w:val="single" w:sz="4" w:space="0" w:color="auto"/>
              <w:left w:val="single" w:sz="4" w:space="0" w:color="auto"/>
              <w:bottom w:val="single" w:sz="4" w:space="0" w:color="auto"/>
              <w:right w:val="single" w:sz="4" w:space="0" w:color="auto"/>
            </w:tcBorders>
          </w:tcPr>
          <w:p w14:paraId="2727FD22"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4426BCD8" w14:textId="7C3C453A"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neaplicabile</w:t>
            </w:r>
          </w:p>
        </w:tc>
        <w:tc>
          <w:tcPr>
            <w:tcW w:w="806" w:type="pct"/>
            <w:tcBorders>
              <w:top w:val="single" w:sz="4" w:space="0" w:color="auto"/>
              <w:left w:val="single" w:sz="4" w:space="0" w:color="auto"/>
              <w:bottom w:val="single" w:sz="4" w:space="0" w:color="auto"/>
              <w:right w:val="single" w:sz="4" w:space="0" w:color="auto"/>
            </w:tcBorders>
          </w:tcPr>
          <w:p w14:paraId="0423BD30" w14:textId="77777777" w:rsidR="00984B34" w:rsidRPr="009E686F" w:rsidRDefault="00984B34" w:rsidP="00984B34">
            <w:pPr>
              <w:jc w:val="both"/>
              <w:rPr>
                <w:rFonts w:ascii="Times New Roman" w:hAnsi="Times New Roman" w:cs="Times New Roman"/>
                <w:lang w:val="ro-RO"/>
              </w:rPr>
            </w:pPr>
          </w:p>
        </w:tc>
      </w:tr>
      <w:tr w:rsidR="00984B34" w:rsidRPr="009E686F" w14:paraId="3306CB2E"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1C8E63EF" w14:textId="55828221"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(10) Până la 31 decembrie 2023, Comisia examinează modul de implementare și aplicare a competențelor de supraveghere menționate la articolul 104 alineatul (1) literele (j) și (l) și întocmește un raport pe care îl prezintă Parlamentului European și Consiliului.</w:t>
            </w:r>
          </w:p>
        </w:tc>
        <w:tc>
          <w:tcPr>
            <w:tcW w:w="1928" w:type="pct"/>
            <w:gridSpan w:val="3"/>
            <w:tcBorders>
              <w:top w:val="single" w:sz="4" w:space="0" w:color="auto"/>
              <w:left w:val="single" w:sz="4" w:space="0" w:color="auto"/>
              <w:bottom w:val="single" w:sz="4" w:space="0" w:color="auto"/>
              <w:right w:val="single" w:sz="4" w:space="0" w:color="auto"/>
            </w:tcBorders>
          </w:tcPr>
          <w:p w14:paraId="17EB025F"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2DC6AE56" w14:textId="52C6E39D"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neaplicabile</w:t>
            </w:r>
          </w:p>
        </w:tc>
        <w:tc>
          <w:tcPr>
            <w:tcW w:w="806" w:type="pct"/>
            <w:tcBorders>
              <w:top w:val="single" w:sz="4" w:space="0" w:color="auto"/>
              <w:left w:val="single" w:sz="4" w:space="0" w:color="auto"/>
              <w:bottom w:val="single" w:sz="4" w:space="0" w:color="auto"/>
              <w:right w:val="single" w:sz="4" w:space="0" w:color="auto"/>
            </w:tcBorders>
          </w:tcPr>
          <w:p w14:paraId="3A1AD915" w14:textId="77777777" w:rsidR="00984B34" w:rsidRPr="009E686F" w:rsidRDefault="00984B34" w:rsidP="00984B34">
            <w:pPr>
              <w:jc w:val="both"/>
              <w:rPr>
                <w:rFonts w:ascii="Times New Roman" w:hAnsi="Times New Roman" w:cs="Times New Roman"/>
                <w:lang w:val="ro-RO"/>
              </w:rPr>
            </w:pPr>
          </w:p>
        </w:tc>
      </w:tr>
      <w:tr w:rsidR="00984B34" w:rsidRPr="009E686F" w14:paraId="2077C3F5" w14:textId="40D98E6D" w:rsidTr="00774F3E">
        <w:tc>
          <w:tcPr>
            <w:tcW w:w="1796" w:type="pct"/>
            <w:gridSpan w:val="2"/>
            <w:tcBorders>
              <w:top w:val="single" w:sz="4" w:space="0" w:color="auto"/>
              <w:left w:val="single" w:sz="4" w:space="0" w:color="auto"/>
              <w:bottom w:val="single" w:sz="4" w:space="0" w:color="auto"/>
              <w:right w:val="single" w:sz="4" w:space="0" w:color="auto"/>
            </w:tcBorders>
          </w:tcPr>
          <w:p w14:paraId="1DB0CA74" w14:textId="77777777" w:rsidR="00984B34" w:rsidRPr="009E686F" w:rsidRDefault="00984B34" w:rsidP="00984B34">
            <w:pPr>
              <w:spacing w:after="0"/>
              <w:jc w:val="both"/>
              <w:rPr>
                <w:rFonts w:ascii="Times New Roman" w:hAnsi="Times New Roman" w:cs="Times New Roman"/>
                <w:i/>
                <w:iCs/>
                <w:lang w:val="ro-RO"/>
              </w:rPr>
            </w:pPr>
            <w:r w:rsidRPr="009E686F">
              <w:rPr>
                <w:rFonts w:ascii="Times New Roman" w:hAnsi="Times New Roman" w:cs="Times New Roman"/>
                <w:i/>
                <w:iCs/>
                <w:lang w:val="ro-RO"/>
              </w:rPr>
              <w:lastRenderedPageBreak/>
              <w:t xml:space="preserve">Articolul 162 </w:t>
            </w:r>
          </w:p>
          <w:p w14:paraId="43D5E970" w14:textId="6D3ECFA4"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Transpunere</w:t>
            </w:r>
          </w:p>
        </w:tc>
        <w:tc>
          <w:tcPr>
            <w:tcW w:w="1928" w:type="pct"/>
            <w:gridSpan w:val="3"/>
            <w:tcBorders>
              <w:top w:val="single" w:sz="4" w:space="0" w:color="auto"/>
              <w:left w:val="single" w:sz="4" w:space="0" w:color="auto"/>
              <w:bottom w:val="single" w:sz="4" w:space="0" w:color="auto"/>
              <w:right w:val="single" w:sz="4" w:space="0" w:color="auto"/>
            </w:tcBorders>
          </w:tcPr>
          <w:p w14:paraId="60D30442"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1A57417B" w14:textId="3316D2EE"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neaplicabile</w:t>
            </w:r>
          </w:p>
        </w:tc>
        <w:tc>
          <w:tcPr>
            <w:tcW w:w="806" w:type="pct"/>
            <w:tcBorders>
              <w:top w:val="single" w:sz="4" w:space="0" w:color="auto"/>
              <w:left w:val="single" w:sz="4" w:space="0" w:color="auto"/>
              <w:bottom w:val="single" w:sz="4" w:space="0" w:color="auto"/>
              <w:right w:val="single" w:sz="4" w:space="0" w:color="auto"/>
            </w:tcBorders>
          </w:tcPr>
          <w:p w14:paraId="08B23484" w14:textId="77777777" w:rsidR="00984B34" w:rsidRPr="009E686F" w:rsidRDefault="00984B34" w:rsidP="00984B34">
            <w:pPr>
              <w:jc w:val="both"/>
              <w:rPr>
                <w:rFonts w:ascii="Times New Roman" w:hAnsi="Times New Roman" w:cs="Times New Roman"/>
                <w:lang w:val="ro-RO"/>
              </w:rPr>
            </w:pPr>
          </w:p>
        </w:tc>
      </w:tr>
      <w:tr w:rsidR="00984B34" w:rsidRPr="009E686F" w14:paraId="78159776" w14:textId="411690DD" w:rsidTr="00774F3E">
        <w:tc>
          <w:tcPr>
            <w:tcW w:w="1796" w:type="pct"/>
            <w:gridSpan w:val="2"/>
            <w:tcBorders>
              <w:top w:val="single" w:sz="4" w:space="0" w:color="auto"/>
              <w:left w:val="single" w:sz="4" w:space="0" w:color="auto"/>
              <w:bottom w:val="single" w:sz="4" w:space="0" w:color="auto"/>
              <w:right w:val="single" w:sz="4" w:space="0" w:color="auto"/>
            </w:tcBorders>
          </w:tcPr>
          <w:p w14:paraId="3A2C6211" w14:textId="00E8EF6E"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(1) Statele membre adoptă și publică, până la 31 decembrie 2013, actele cu putere de lege și actele administrative necesare pentru a se conforma prezentei directive.</w:t>
            </w:r>
          </w:p>
          <w:p w14:paraId="53BB0C61" w14:textId="77777777" w:rsidR="00984B34" w:rsidRPr="009E686F" w:rsidRDefault="00984B34" w:rsidP="00984B34">
            <w:pPr>
              <w:spacing w:after="0"/>
              <w:jc w:val="both"/>
              <w:rPr>
                <w:rFonts w:ascii="Times New Roman" w:hAnsi="Times New Roman" w:cs="Times New Roman"/>
                <w:lang w:val="ro-RO"/>
              </w:rPr>
            </w:pPr>
          </w:p>
          <w:p w14:paraId="49D6B5C9"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Statele membre aplică dispozițiile respective începând cu 1 ianuarie 2014. </w:t>
            </w:r>
          </w:p>
          <w:p w14:paraId="4D08C3F9" w14:textId="77777777" w:rsidR="00984B34" w:rsidRPr="009E686F" w:rsidRDefault="00984B34" w:rsidP="00984B34">
            <w:pPr>
              <w:spacing w:after="0"/>
              <w:jc w:val="both"/>
              <w:rPr>
                <w:rFonts w:ascii="Times New Roman" w:hAnsi="Times New Roman" w:cs="Times New Roman"/>
                <w:lang w:val="ro-RO"/>
              </w:rPr>
            </w:pPr>
          </w:p>
          <w:p w14:paraId="64530D22"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Statele membre transmit Comisiei și ABE textul principalelor dispoziții de drept intern pe care le adoptă în domeniul reglementat de prezenta directivă. În cazul în care documentele care însoțesc notificarea măsurilor de transpunere furnizate de statele membre nu sunt suficiente pentru a evalua pe deplin respectarea de către dispozițiile de transpunere a anumitor dispoziții din prezenta directivă, Comisia, fie la cererea ABE în vederea îndeplinirii sarcinilor sale în temeiul Regulamentului (UE) nr. 1093/2010, fie din proprie inițiativă, poate solicita statelor membre să furnizeze informații mai detaliate referitoare la transpunerea prezentei directive și la punerea în aplicare a dispozițiilor respective.</w:t>
            </w:r>
          </w:p>
        </w:tc>
        <w:tc>
          <w:tcPr>
            <w:tcW w:w="1928" w:type="pct"/>
            <w:gridSpan w:val="3"/>
            <w:tcBorders>
              <w:top w:val="single" w:sz="4" w:space="0" w:color="auto"/>
              <w:left w:val="single" w:sz="4" w:space="0" w:color="auto"/>
              <w:bottom w:val="single" w:sz="4" w:space="0" w:color="auto"/>
              <w:right w:val="single" w:sz="4" w:space="0" w:color="auto"/>
            </w:tcBorders>
          </w:tcPr>
          <w:p w14:paraId="661F0845"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17BAE5FB" w14:textId="47385426"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neaplicabile</w:t>
            </w:r>
          </w:p>
        </w:tc>
        <w:tc>
          <w:tcPr>
            <w:tcW w:w="806" w:type="pct"/>
            <w:tcBorders>
              <w:top w:val="single" w:sz="4" w:space="0" w:color="auto"/>
              <w:left w:val="single" w:sz="4" w:space="0" w:color="auto"/>
              <w:bottom w:val="single" w:sz="4" w:space="0" w:color="auto"/>
              <w:right w:val="single" w:sz="4" w:space="0" w:color="auto"/>
            </w:tcBorders>
          </w:tcPr>
          <w:p w14:paraId="7641AA3C" w14:textId="77777777" w:rsidR="00984B34" w:rsidRPr="009E686F" w:rsidRDefault="00984B34" w:rsidP="00984B34">
            <w:pPr>
              <w:jc w:val="both"/>
              <w:rPr>
                <w:rFonts w:ascii="Times New Roman" w:hAnsi="Times New Roman" w:cs="Times New Roman"/>
                <w:lang w:val="ro-RO"/>
              </w:rPr>
            </w:pPr>
          </w:p>
        </w:tc>
      </w:tr>
      <w:tr w:rsidR="00984B34" w:rsidRPr="009E686F" w14:paraId="5A969644" w14:textId="016ABBFD" w:rsidTr="00774F3E">
        <w:tc>
          <w:tcPr>
            <w:tcW w:w="1796" w:type="pct"/>
            <w:gridSpan w:val="2"/>
            <w:tcBorders>
              <w:top w:val="single" w:sz="4" w:space="0" w:color="auto"/>
              <w:left w:val="single" w:sz="4" w:space="0" w:color="auto"/>
              <w:bottom w:val="single" w:sz="4" w:space="0" w:color="auto"/>
              <w:right w:val="single" w:sz="4" w:space="0" w:color="auto"/>
            </w:tcBorders>
          </w:tcPr>
          <w:p w14:paraId="63927DD2" w14:textId="301AA4C1"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(2) Prin derogare de la alineatul (1), titlul VII capitolul 4 se aplică de la 1 ianuarie 2016.</w:t>
            </w:r>
          </w:p>
        </w:tc>
        <w:tc>
          <w:tcPr>
            <w:tcW w:w="1928" w:type="pct"/>
            <w:gridSpan w:val="3"/>
            <w:tcBorders>
              <w:top w:val="single" w:sz="4" w:space="0" w:color="auto"/>
              <w:left w:val="single" w:sz="4" w:space="0" w:color="auto"/>
              <w:bottom w:val="single" w:sz="4" w:space="0" w:color="auto"/>
              <w:right w:val="single" w:sz="4" w:space="0" w:color="auto"/>
            </w:tcBorders>
          </w:tcPr>
          <w:p w14:paraId="29CC42D0"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1C2BE255" w14:textId="614021E7"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neaplicabile</w:t>
            </w:r>
          </w:p>
        </w:tc>
        <w:tc>
          <w:tcPr>
            <w:tcW w:w="806" w:type="pct"/>
            <w:tcBorders>
              <w:top w:val="single" w:sz="4" w:space="0" w:color="auto"/>
              <w:left w:val="single" w:sz="4" w:space="0" w:color="auto"/>
              <w:bottom w:val="single" w:sz="4" w:space="0" w:color="auto"/>
              <w:right w:val="single" w:sz="4" w:space="0" w:color="auto"/>
            </w:tcBorders>
          </w:tcPr>
          <w:p w14:paraId="614A00AD" w14:textId="77777777" w:rsidR="00984B34" w:rsidRPr="009E686F" w:rsidRDefault="00984B34" w:rsidP="00984B34">
            <w:pPr>
              <w:jc w:val="both"/>
              <w:rPr>
                <w:rFonts w:ascii="Times New Roman" w:hAnsi="Times New Roman" w:cs="Times New Roman"/>
                <w:lang w:val="ro-RO"/>
              </w:rPr>
            </w:pPr>
          </w:p>
        </w:tc>
      </w:tr>
      <w:tr w:rsidR="00984B34" w:rsidRPr="009E686F" w14:paraId="2C1AD3B1" w14:textId="6F1E32D3" w:rsidTr="00774F3E">
        <w:tc>
          <w:tcPr>
            <w:tcW w:w="1796" w:type="pct"/>
            <w:gridSpan w:val="2"/>
            <w:tcBorders>
              <w:top w:val="single" w:sz="4" w:space="0" w:color="auto"/>
              <w:left w:val="single" w:sz="4" w:space="0" w:color="auto"/>
              <w:bottom w:val="single" w:sz="4" w:space="0" w:color="auto"/>
              <w:right w:val="single" w:sz="4" w:space="0" w:color="auto"/>
            </w:tcBorders>
          </w:tcPr>
          <w:p w14:paraId="18CD21F1" w14:textId="71742CE6"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(3) Actele cu putere de lege și actele administrative necesare pentru respectarea articolului 94 alineatul (1) litera (g) impun instituțiilor să aplice principiile prevăzute în acestea la remunerația acordată pentru serviciile furnizate sau pentru performanțele obținute începând cu anul 2014, datorată pe baza unor contracte încheiate fie înainte sau după 1 ianuarie 2014.</w:t>
            </w:r>
          </w:p>
        </w:tc>
        <w:tc>
          <w:tcPr>
            <w:tcW w:w="1928" w:type="pct"/>
            <w:gridSpan w:val="3"/>
            <w:tcBorders>
              <w:top w:val="single" w:sz="4" w:space="0" w:color="auto"/>
              <w:left w:val="single" w:sz="4" w:space="0" w:color="auto"/>
              <w:bottom w:val="single" w:sz="4" w:space="0" w:color="auto"/>
              <w:right w:val="single" w:sz="4" w:space="0" w:color="auto"/>
            </w:tcBorders>
          </w:tcPr>
          <w:p w14:paraId="45ABA3A9"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64B26D5F" w14:textId="5A97FED6"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neaplicabile</w:t>
            </w:r>
          </w:p>
        </w:tc>
        <w:tc>
          <w:tcPr>
            <w:tcW w:w="806" w:type="pct"/>
            <w:tcBorders>
              <w:top w:val="single" w:sz="4" w:space="0" w:color="auto"/>
              <w:left w:val="single" w:sz="4" w:space="0" w:color="auto"/>
              <w:bottom w:val="single" w:sz="4" w:space="0" w:color="auto"/>
              <w:right w:val="single" w:sz="4" w:space="0" w:color="auto"/>
            </w:tcBorders>
          </w:tcPr>
          <w:p w14:paraId="3EACC042" w14:textId="77777777" w:rsidR="00984B34" w:rsidRPr="009E686F" w:rsidRDefault="00984B34" w:rsidP="00984B34">
            <w:pPr>
              <w:jc w:val="both"/>
              <w:rPr>
                <w:rFonts w:ascii="Times New Roman" w:hAnsi="Times New Roman" w:cs="Times New Roman"/>
              </w:rPr>
            </w:pPr>
          </w:p>
        </w:tc>
      </w:tr>
      <w:tr w:rsidR="00984B34" w:rsidRPr="009E686F" w14:paraId="28F95306" w14:textId="6D93B80D" w:rsidTr="00774F3E">
        <w:tc>
          <w:tcPr>
            <w:tcW w:w="1796" w:type="pct"/>
            <w:gridSpan w:val="2"/>
            <w:tcBorders>
              <w:top w:val="single" w:sz="4" w:space="0" w:color="auto"/>
              <w:left w:val="single" w:sz="4" w:space="0" w:color="auto"/>
              <w:bottom w:val="single" w:sz="4" w:space="0" w:color="auto"/>
              <w:right w:val="single" w:sz="4" w:space="0" w:color="auto"/>
            </w:tcBorders>
          </w:tcPr>
          <w:p w14:paraId="2BCA4983" w14:textId="70EE8CA9"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lastRenderedPageBreak/>
              <w:t>(4) În momentul în care statele membre adoptă dispozițiile prevăzute la alineatele (1) și (2), acestea conțin o trimitere la prezenta directivă sau sunt însoțite de o asemenea trimitere, la data publicării lor oficiale. Acestea conțin, de asemenea, o mențiune prin care se precizează că trimiterile făcute, în cuprinsul actelor cu putere de lege și al actelor administrative în vigoare, la directivele abrogate prin prezenta directivă se interpretează ca trimiteri la prezenta directivă. Statele membre stabilesc modalitatea de efectuare a acestei trimiteri și modul în care se formulează această mențiune.</w:t>
            </w:r>
          </w:p>
        </w:tc>
        <w:tc>
          <w:tcPr>
            <w:tcW w:w="1928" w:type="pct"/>
            <w:gridSpan w:val="3"/>
            <w:tcBorders>
              <w:top w:val="single" w:sz="4" w:space="0" w:color="auto"/>
              <w:left w:val="single" w:sz="4" w:space="0" w:color="auto"/>
              <w:bottom w:val="single" w:sz="4" w:space="0" w:color="auto"/>
              <w:right w:val="single" w:sz="4" w:space="0" w:color="auto"/>
            </w:tcBorders>
          </w:tcPr>
          <w:p w14:paraId="75A2B322"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7DBF24F2" w14:textId="00AE61BC"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neaplicabile</w:t>
            </w:r>
          </w:p>
        </w:tc>
        <w:tc>
          <w:tcPr>
            <w:tcW w:w="806" w:type="pct"/>
            <w:tcBorders>
              <w:top w:val="single" w:sz="4" w:space="0" w:color="auto"/>
              <w:left w:val="single" w:sz="4" w:space="0" w:color="auto"/>
              <w:bottom w:val="single" w:sz="4" w:space="0" w:color="auto"/>
              <w:right w:val="single" w:sz="4" w:space="0" w:color="auto"/>
            </w:tcBorders>
          </w:tcPr>
          <w:p w14:paraId="4F27EBE5" w14:textId="77777777" w:rsidR="00984B34" w:rsidRPr="009E686F" w:rsidRDefault="00984B34" w:rsidP="00984B34">
            <w:pPr>
              <w:jc w:val="both"/>
              <w:rPr>
                <w:rFonts w:ascii="Times New Roman" w:hAnsi="Times New Roman" w:cs="Times New Roman"/>
                <w:lang w:val="ro-RO"/>
              </w:rPr>
            </w:pPr>
          </w:p>
        </w:tc>
      </w:tr>
      <w:tr w:rsidR="00984B34" w:rsidRPr="009E686F" w14:paraId="10D6DBFD" w14:textId="03922390" w:rsidTr="00774F3E">
        <w:tc>
          <w:tcPr>
            <w:tcW w:w="1796" w:type="pct"/>
            <w:gridSpan w:val="2"/>
            <w:tcBorders>
              <w:top w:val="single" w:sz="4" w:space="0" w:color="auto"/>
              <w:left w:val="single" w:sz="4" w:space="0" w:color="auto"/>
              <w:bottom w:val="single" w:sz="4" w:space="0" w:color="auto"/>
              <w:right w:val="single" w:sz="4" w:space="0" w:color="auto"/>
            </w:tcBorders>
          </w:tcPr>
          <w:p w14:paraId="2159A1BC" w14:textId="5EC8045A"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(5) Prin derogare de la alineatul (1) de la prezentul articol, articolul 131 se aplică de la 1 ianuarie 2016. Începând cu 1 ianuarie 2016, statele membre pun în aplicare articolul 131 alineatul (4) după cum urmează:</w:t>
            </w:r>
          </w:p>
        </w:tc>
        <w:tc>
          <w:tcPr>
            <w:tcW w:w="1928" w:type="pct"/>
            <w:gridSpan w:val="3"/>
            <w:tcBorders>
              <w:top w:val="single" w:sz="4" w:space="0" w:color="auto"/>
              <w:left w:val="single" w:sz="4" w:space="0" w:color="auto"/>
              <w:bottom w:val="single" w:sz="4" w:space="0" w:color="auto"/>
              <w:right w:val="single" w:sz="4" w:space="0" w:color="auto"/>
            </w:tcBorders>
          </w:tcPr>
          <w:p w14:paraId="09B22C0C"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1350764B" w14:textId="2416D484"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neaplicabile</w:t>
            </w:r>
          </w:p>
        </w:tc>
        <w:tc>
          <w:tcPr>
            <w:tcW w:w="806" w:type="pct"/>
            <w:tcBorders>
              <w:top w:val="single" w:sz="4" w:space="0" w:color="auto"/>
              <w:left w:val="single" w:sz="4" w:space="0" w:color="auto"/>
              <w:bottom w:val="single" w:sz="4" w:space="0" w:color="auto"/>
              <w:right w:val="single" w:sz="4" w:space="0" w:color="auto"/>
            </w:tcBorders>
          </w:tcPr>
          <w:p w14:paraId="6F52279C" w14:textId="77777777" w:rsidR="00984B34" w:rsidRPr="009E686F" w:rsidRDefault="00984B34" w:rsidP="00984B34">
            <w:pPr>
              <w:jc w:val="both"/>
              <w:rPr>
                <w:rFonts w:ascii="Times New Roman" w:hAnsi="Times New Roman" w:cs="Times New Roman"/>
              </w:rPr>
            </w:pPr>
          </w:p>
        </w:tc>
      </w:tr>
      <w:tr w:rsidR="00984B34" w:rsidRPr="009E686F" w14:paraId="443963BA" w14:textId="58BDDF95" w:rsidTr="00774F3E">
        <w:tc>
          <w:tcPr>
            <w:tcW w:w="1796" w:type="pct"/>
            <w:gridSpan w:val="2"/>
            <w:tcBorders>
              <w:top w:val="single" w:sz="4" w:space="0" w:color="auto"/>
              <w:left w:val="single" w:sz="4" w:space="0" w:color="auto"/>
              <w:bottom w:val="single" w:sz="4" w:space="0" w:color="auto"/>
              <w:right w:val="single" w:sz="4" w:space="0" w:color="auto"/>
            </w:tcBorders>
          </w:tcPr>
          <w:p w14:paraId="3CD1A7C7" w14:textId="63C8FF4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(a)25 % din rezerva G-SII, stabilită în conformitate cu articolul 131 alineatul (4), în 2016;</w:t>
            </w:r>
          </w:p>
        </w:tc>
        <w:tc>
          <w:tcPr>
            <w:tcW w:w="1928" w:type="pct"/>
            <w:gridSpan w:val="3"/>
            <w:tcBorders>
              <w:top w:val="single" w:sz="4" w:space="0" w:color="auto"/>
              <w:left w:val="single" w:sz="4" w:space="0" w:color="auto"/>
              <w:bottom w:val="single" w:sz="4" w:space="0" w:color="auto"/>
              <w:right w:val="single" w:sz="4" w:space="0" w:color="auto"/>
            </w:tcBorders>
          </w:tcPr>
          <w:p w14:paraId="6DB46B0B"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3D7B74B7" w14:textId="4B6A5280"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neaplicabile</w:t>
            </w:r>
          </w:p>
        </w:tc>
        <w:tc>
          <w:tcPr>
            <w:tcW w:w="806" w:type="pct"/>
            <w:tcBorders>
              <w:top w:val="single" w:sz="4" w:space="0" w:color="auto"/>
              <w:left w:val="single" w:sz="4" w:space="0" w:color="auto"/>
              <w:bottom w:val="single" w:sz="4" w:space="0" w:color="auto"/>
              <w:right w:val="single" w:sz="4" w:space="0" w:color="auto"/>
            </w:tcBorders>
          </w:tcPr>
          <w:p w14:paraId="0410AC37" w14:textId="77777777" w:rsidR="00984B34" w:rsidRPr="009E686F" w:rsidRDefault="00984B34" w:rsidP="00984B34">
            <w:pPr>
              <w:jc w:val="both"/>
              <w:rPr>
                <w:rFonts w:ascii="Times New Roman" w:hAnsi="Times New Roman" w:cs="Times New Roman"/>
              </w:rPr>
            </w:pPr>
          </w:p>
        </w:tc>
      </w:tr>
      <w:tr w:rsidR="00984B34" w:rsidRPr="009E686F" w14:paraId="4148FCA9" w14:textId="6F385F67" w:rsidTr="00774F3E">
        <w:tc>
          <w:tcPr>
            <w:tcW w:w="1796" w:type="pct"/>
            <w:gridSpan w:val="2"/>
            <w:tcBorders>
              <w:top w:val="single" w:sz="4" w:space="0" w:color="auto"/>
              <w:left w:val="single" w:sz="4" w:space="0" w:color="auto"/>
              <w:bottom w:val="single" w:sz="4" w:space="0" w:color="auto"/>
              <w:right w:val="single" w:sz="4" w:space="0" w:color="auto"/>
            </w:tcBorders>
          </w:tcPr>
          <w:p w14:paraId="4F612AE1" w14:textId="7E72215E"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(b) 50 % din rezerva G-SII, stabilită în conformitate cu articolul 131 alineatul (4), în 2017;</w:t>
            </w:r>
          </w:p>
        </w:tc>
        <w:tc>
          <w:tcPr>
            <w:tcW w:w="1928" w:type="pct"/>
            <w:gridSpan w:val="3"/>
            <w:tcBorders>
              <w:top w:val="single" w:sz="4" w:space="0" w:color="auto"/>
              <w:left w:val="single" w:sz="4" w:space="0" w:color="auto"/>
              <w:bottom w:val="single" w:sz="4" w:space="0" w:color="auto"/>
              <w:right w:val="single" w:sz="4" w:space="0" w:color="auto"/>
            </w:tcBorders>
          </w:tcPr>
          <w:p w14:paraId="48F1112C"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632C9B26" w14:textId="1BF96DDF"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neaplicabile</w:t>
            </w:r>
          </w:p>
        </w:tc>
        <w:tc>
          <w:tcPr>
            <w:tcW w:w="806" w:type="pct"/>
            <w:tcBorders>
              <w:top w:val="single" w:sz="4" w:space="0" w:color="auto"/>
              <w:left w:val="single" w:sz="4" w:space="0" w:color="auto"/>
              <w:bottom w:val="single" w:sz="4" w:space="0" w:color="auto"/>
              <w:right w:val="single" w:sz="4" w:space="0" w:color="auto"/>
            </w:tcBorders>
          </w:tcPr>
          <w:p w14:paraId="5EFAF10C" w14:textId="77777777" w:rsidR="00984B34" w:rsidRPr="009E686F" w:rsidRDefault="00984B34" w:rsidP="00984B34">
            <w:pPr>
              <w:jc w:val="both"/>
              <w:rPr>
                <w:rFonts w:ascii="Times New Roman" w:hAnsi="Times New Roman" w:cs="Times New Roman"/>
              </w:rPr>
            </w:pPr>
          </w:p>
        </w:tc>
      </w:tr>
      <w:tr w:rsidR="00984B34" w:rsidRPr="009E686F" w14:paraId="181C387C" w14:textId="002A65FF" w:rsidTr="00774F3E">
        <w:tc>
          <w:tcPr>
            <w:tcW w:w="1796" w:type="pct"/>
            <w:gridSpan w:val="2"/>
            <w:tcBorders>
              <w:top w:val="single" w:sz="4" w:space="0" w:color="auto"/>
              <w:left w:val="single" w:sz="4" w:space="0" w:color="auto"/>
              <w:bottom w:val="single" w:sz="4" w:space="0" w:color="auto"/>
              <w:right w:val="single" w:sz="4" w:space="0" w:color="auto"/>
            </w:tcBorders>
          </w:tcPr>
          <w:p w14:paraId="4C6ED3C9" w14:textId="704D5E6F"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(c) 75 % din rezerva G-SII, stabilită în conformitate cu articolul 131 alineatul (4), în 2018; și</w:t>
            </w:r>
          </w:p>
        </w:tc>
        <w:tc>
          <w:tcPr>
            <w:tcW w:w="1928" w:type="pct"/>
            <w:gridSpan w:val="3"/>
            <w:tcBorders>
              <w:top w:val="single" w:sz="4" w:space="0" w:color="auto"/>
              <w:left w:val="single" w:sz="4" w:space="0" w:color="auto"/>
              <w:bottom w:val="single" w:sz="4" w:space="0" w:color="auto"/>
              <w:right w:val="single" w:sz="4" w:space="0" w:color="auto"/>
            </w:tcBorders>
          </w:tcPr>
          <w:p w14:paraId="1D2523EE"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34E03349" w14:textId="45C60400"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neaplicabile</w:t>
            </w:r>
          </w:p>
        </w:tc>
        <w:tc>
          <w:tcPr>
            <w:tcW w:w="806" w:type="pct"/>
            <w:tcBorders>
              <w:top w:val="single" w:sz="4" w:space="0" w:color="auto"/>
              <w:left w:val="single" w:sz="4" w:space="0" w:color="auto"/>
              <w:bottom w:val="single" w:sz="4" w:space="0" w:color="auto"/>
              <w:right w:val="single" w:sz="4" w:space="0" w:color="auto"/>
            </w:tcBorders>
          </w:tcPr>
          <w:p w14:paraId="469C680C" w14:textId="77777777" w:rsidR="00984B34" w:rsidRPr="009E686F" w:rsidRDefault="00984B34" w:rsidP="00984B34">
            <w:pPr>
              <w:jc w:val="both"/>
              <w:rPr>
                <w:rFonts w:ascii="Times New Roman" w:hAnsi="Times New Roman" w:cs="Times New Roman"/>
              </w:rPr>
            </w:pPr>
          </w:p>
        </w:tc>
      </w:tr>
      <w:tr w:rsidR="00984B34" w:rsidRPr="009E686F" w14:paraId="7E9486F2" w14:textId="54FE0F82" w:rsidTr="00774F3E">
        <w:tc>
          <w:tcPr>
            <w:tcW w:w="1796" w:type="pct"/>
            <w:gridSpan w:val="2"/>
            <w:tcBorders>
              <w:top w:val="single" w:sz="4" w:space="0" w:color="auto"/>
              <w:left w:val="single" w:sz="4" w:space="0" w:color="auto"/>
              <w:bottom w:val="single" w:sz="4" w:space="0" w:color="auto"/>
              <w:right w:val="single" w:sz="4" w:space="0" w:color="auto"/>
            </w:tcBorders>
          </w:tcPr>
          <w:p w14:paraId="28740669" w14:textId="39EEBC61"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(d) 100 % din rezerva G-SII, stabilită în conformitate cu articolul 131 alineatul (4), în 2019.</w:t>
            </w:r>
          </w:p>
        </w:tc>
        <w:tc>
          <w:tcPr>
            <w:tcW w:w="1928" w:type="pct"/>
            <w:gridSpan w:val="3"/>
            <w:tcBorders>
              <w:top w:val="single" w:sz="4" w:space="0" w:color="auto"/>
              <w:left w:val="single" w:sz="4" w:space="0" w:color="auto"/>
              <w:bottom w:val="single" w:sz="4" w:space="0" w:color="auto"/>
              <w:right w:val="single" w:sz="4" w:space="0" w:color="auto"/>
            </w:tcBorders>
          </w:tcPr>
          <w:p w14:paraId="1517704E"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3F3C123D" w14:textId="06A01EB4"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neaplicabile</w:t>
            </w:r>
          </w:p>
        </w:tc>
        <w:tc>
          <w:tcPr>
            <w:tcW w:w="806" w:type="pct"/>
            <w:tcBorders>
              <w:top w:val="single" w:sz="4" w:space="0" w:color="auto"/>
              <w:left w:val="single" w:sz="4" w:space="0" w:color="auto"/>
              <w:bottom w:val="single" w:sz="4" w:space="0" w:color="auto"/>
              <w:right w:val="single" w:sz="4" w:space="0" w:color="auto"/>
            </w:tcBorders>
          </w:tcPr>
          <w:p w14:paraId="1CB1D6F0" w14:textId="77777777" w:rsidR="00984B34" w:rsidRPr="009E686F" w:rsidRDefault="00984B34" w:rsidP="00984B34">
            <w:pPr>
              <w:jc w:val="both"/>
              <w:rPr>
                <w:rFonts w:ascii="Times New Roman" w:hAnsi="Times New Roman" w:cs="Times New Roman"/>
              </w:rPr>
            </w:pPr>
          </w:p>
        </w:tc>
      </w:tr>
      <w:tr w:rsidR="00984B34" w:rsidRPr="009E686F" w14:paraId="23B1CE16" w14:textId="41BF316A" w:rsidTr="00774F3E">
        <w:tc>
          <w:tcPr>
            <w:tcW w:w="1796" w:type="pct"/>
            <w:gridSpan w:val="2"/>
            <w:tcBorders>
              <w:top w:val="single" w:sz="4" w:space="0" w:color="auto"/>
              <w:left w:val="single" w:sz="4" w:space="0" w:color="auto"/>
              <w:bottom w:val="single" w:sz="4" w:space="0" w:color="auto"/>
              <w:right w:val="single" w:sz="4" w:space="0" w:color="auto"/>
            </w:tcBorders>
          </w:tcPr>
          <w:p w14:paraId="51018A67"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Prin derogare de la alineatul (2) de la prezentul articol, articolul 133 se aplică de la 1 ianuarie 2014.</w:t>
            </w:r>
          </w:p>
        </w:tc>
        <w:tc>
          <w:tcPr>
            <w:tcW w:w="1928" w:type="pct"/>
            <w:gridSpan w:val="3"/>
            <w:tcBorders>
              <w:top w:val="single" w:sz="4" w:space="0" w:color="auto"/>
              <w:left w:val="single" w:sz="4" w:space="0" w:color="auto"/>
              <w:bottom w:val="single" w:sz="4" w:space="0" w:color="auto"/>
              <w:right w:val="single" w:sz="4" w:space="0" w:color="auto"/>
            </w:tcBorders>
          </w:tcPr>
          <w:p w14:paraId="5D838F88"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1B263451" w14:textId="528C4334"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neaplicabile</w:t>
            </w:r>
          </w:p>
        </w:tc>
        <w:tc>
          <w:tcPr>
            <w:tcW w:w="806" w:type="pct"/>
            <w:tcBorders>
              <w:top w:val="single" w:sz="4" w:space="0" w:color="auto"/>
              <w:left w:val="single" w:sz="4" w:space="0" w:color="auto"/>
              <w:bottom w:val="single" w:sz="4" w:space="0" w:color="auto"/>
              <w:right w:val="single" w:sz="4" w:space="0" w:color="auto"/>
            </w:tcBorders>
          </w:tcPr>
          <w:p w14:paraId="312519A3" w14:textId="77777777" w:rsidR="00984B34" w:rsidRPr="009E686F" w:rsidRDefault="00984B34" w:rsidP="00984B34">
            <w:pPr>
              <w:jc w:val="both"/>
              <w:rPr>
                <w:rFonts w:ascii="Times New Roman" w:hAnsi="Times New Roman" w:cs="Times New Roman"/>
              </w:rPr>
            </w:pPr>
          </w:p>
        </w:tc>
      </w:tr>
      <w:tr w:rsidR="00984B34" w:rsidRPr="009E686F" w14:paraId="7A7ACD1B" w14:textId="0DD3EBF9" w:rsidTr="00774F3E">
        <w:tc>
          <w:tcPr>
            <w:tcW w:w="1796" w:type="pct"/>
            <w:gridSpan w:val="2"/>
            <w:tcBorders>
              <w:top w:val="single" w:sz="4" w:space="0" w:color="auto"/>
              <w:left w:val="single" w:sz="4" w:space="0" w:color="auto"/>
              <w:bottom w:val="single" w:sz="4" w:space="0" w:color="auto"/>
              <w:right w:val="single" w:sz="4" w:space="0" w:color="auto"/>
            </w:tcBorders>
          </w:tcPr>
          <w:p w14:paraId="7B148C8B" w14:textId="77777777" w:rsidR="00984B34" w:rsidRPr="009E686F" w:rsidRDefault="00984B34" w:rsidP="00984B34">
            <w:pPr>
              <w:spacing w:after="0"/>
              <w:jc w:val="both"/>
              <w:rPr>
                <w:rFonts w:ascii="Times New Roman" w:hAnsi="Times New Roman" w:cs="Times New Roman"/>
                <w:b/>
                <w:bCs/>
                <w:i/>
                <w:iCs/>
                <w:lang w:val="ro-RO"/>
              </w:rPr>
            </w:pPr>
            <w:r w:rsidRPr="009E686F">
              <w:rPr>
                <w:rFonts w:ascii="Times New Roman" w:hAnsi="Times New Roman" w:cs="Times New Roman"/>
                <w:i/>
                <w:iCs/>
                <w:lang w:val="ro-RO"/>
              </w:rPr>
              <w:t>Articolul 163</w:t>
            </w:r>
            <w:r w:rsidRPr="009E686F">
              <w:rPr>
                <w:rFonts w:ascii="Times New Roman" w:hAnsi="Times New Roman" w:cs="Times New Roman"/>
                <w:b/>
                <w:bCs/>
                <w:i/>
                <w:iCs/>
                <w:lang w:val="ro-RO"/>
              </w:rPr>
              <w:t xml:space="preserve"> </w:t>
            </w:r>
          </w:p>
          <w:p w14:paraId="4F1FBB41" w14:textId="225391FE"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Abrogare</w:t>
            </w:r>
          </w:p>
          <w:p w14:paraId="3F6A4923" w14:textId="77777777" w:rsidR="00984B34" w:rsidRPr="009E686F" w:rsidRDefault="00984B34" w:rsidP="00984B34">
            <w:pPr>
              <w:spacing w:after="0"/>
              <w:jc w:val="both"/>
              <w:rPr>
                <w:rFonts w:ascii="Times New Roman" w:hAnsi="Times New Roman" w:cs="Times New Roman"/>
                <w:lang w:val="ro-RO"/>
              </w:rPr>
            </w:pPr>
          </w:p>
          <w:p w14:paraId="0F5F8E19"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lastRenderedPageBreak/>
              <w:t xml:space="preserve">Directivele 2006/48/CE și 2006/49/CE se abrogă cu efect de la 1 ianuarie 2014. </w:t>
            </w:r>
          </w:p>
          <w:p w14:paraId="72B2F2CC"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Trimiterile la directivele abrogate se interpretează ca trimiteri la prezenta directivă și la Regulamentul (UE) nr. 575/2013 și se citesc în conformitate cu tabelul de corespondență din anexa II la prezenta directivă și din anexa IV la Regulamentul (UE) nr. 575/2013.</w:t>
            </w:r>
          </w:p>
        </w:tc>
        <w:tc>
          <w:tcPr>
            <w:tcW w:w="1928" w:type="pct"/>
            <w:gridSpan w:val="3"/>
            <w:tcBorders>
              <w:top w:val="single" w:sz="4" w:space="0" w:color="auto"/>
              <w:left w:val="single" w:sz="4" w:space="0" w:color="auto"/>
              <w:bottom w:val="single" w:sz="4" w:space="0" w:color="auto"/>
              <w:right w:val="single" w:sz="4" w:space="0" w:color="auto"/>
            </w:tcBorders>
          </w:tcPr>
          <w:p w14:paraId="28FF8F31"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6F250697" w14:textId="57F72EEF"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neaplicabile</w:t>
            </w:r>
          </w:p>
        </w:tc>
        <w:tc>
          <w:tcPr>
            <w:tcW w:w="806" w:type="pct"/>
            <w:tcBorders>
              <w:top w:val="single" w:sz="4" w:space="0" w:color="auto"/>
              <w:left w:val="single" w:sz="4" w:space="0" w:color="auto"/>
              <w:bottom w:val="single" w:sz="4" w:space="0" w:color="auto"/>
              <w:right w:val="single" w:sz="4" w:space="0" w:color="auto"/>
            </w:tcBorders>
          </w:tcPr>
          <w:p w14:paraId="2193CCEE" w14:textId="77777777" w:rsidR="00984B34" w:rsidRPr="009E686F" w:rsidRDefault="00984B34" w:rsidP="00984B34">
            <w:pPr>
              <w:jc w:val="both"/>
              <w:rPr>
                <w:rFonts w:ascii="Times New Roman" w:hAnsi="Times New Roman" w:cs="Times New Roman"/>
                <w:lang w:val="ro-RO"/>
              </w:rPr>
            </w:pPr>
          </w:p>
        </w:tc>
      </w:tr>
      <w:tr w:rsidR="00984B34" w:rsidRPr="009E686F" w14:paraId="5E4C3DB2" w14:textId="0E6DF3F7" w:rsidTr="00774F3E">
        <w:tc>
          <w:tcPr>
            <w:tcW w:w="1796" w:type="pct"/>
            <w:gridSpan w:val="2"/>
            <w:tcBorders>
              <w:top w:val="single" w:sz="4" w:space="0" w:color="auto"/>
              <w:left w:val="single" w:sz="4" w:space="0" w:color="auto"/>
              <w:bottom w:val="single" w:sz="4" w:space="0" w:color="auto"/>
              <w:right w:val="single" w:sz="4" w:space="0" w:color="auto"/>
            </w:tcBorders>
          </w:tcPr>
          <w:p w14:paraId="56C0233C" w14:textId="77777777" w:rsidR="00984B34" w:rsidRPr="009E686F" w:rsidRDefault="00984B34" w:rsidP="00984B34">
            <w:pPr>
              <w:spacing w:after="0"/>
              <w:jc w:val="both"/>
              <w:rPr>
                <w:rFonts w:ascii="Times New Roman" w:hAnsi="Times New Roman" w:cs="Times New Roman"/>
                <w:i/>
                <w:iCs/>
                <w:lang w:val="ro-RO"/>
              </w:rPr>
            </w:pPr>
            <w:r w:rsidRPr="009E686F">
              <w:rPr>
                <w:rFonts w:ascii="Times New Roman" w:hAnsi="Times New Roman" w:cs="Times New Roman"/>
                <w:i/>
                <w:iCs/>
                <w:lang w:val="ro-RO"/>
              </w:rPr>
              <w:t xml:space="preserve">Articolul 164  </w:t>
            </w:r>
          </w:p>
          <w:p w14:paraId="3F2C5171" w14:textId="6B848A72"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Intrarea în vigoare</w:t>
            </w:r>
          </w:p>
          <w:p w14:paraId="223D2362"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Prezenta directivă intră în vigoare în a douăzecea zi de la publicarea în Jurnalul Oficial al Uniunii Europene.</w:t>
            </w:r>
          </w:p>
        </w:tc>
        <w:tc>
          <w:tcPr>
            <w:tcW w:w="1928" w:type="pct"/>
            <w:gridSpan w:val="3"/>
            <w:tcBorders>
              <w:top w:val="single" w:sz="4" w:space="0" w:color="auto"/>
              <w:left w:val="single" w:sz="4" w:space="0" w:color="auto"/>
              <w:bottom w:val="single" w:sz="4" w:space="0" w:color="auto"/>
              <w:right w:val="single" w:sz="4" w:space="0" w:color="auto"/>
            </w:tcBorders>
          </w:tcPr>
          <w:p w14:paraId="2BD905E6"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3FC406F8" w14:textId="171BB448"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neaplicabile</w:t>
            </w:r>
          </w:p>
        </w:tc>
        <w:tc>
          <w:tcPr>
            <w:tcW w:w="806" w:type="pct"/>
            <w:tcBorders>
              <w:top w:val="single" w:sz="4" w:space="0" w:color="auto"/>
              <w:left w:val="single" w:sz="4" w:space="0" w:color="auto"/>
              <w:bottom w:val="single" w:sz="4" w:space="0" w:color="auto"/>
              <w:right w:val="single" w:sz="4" w:space="0" w:color="auto"/>
            </w:tcBorders>
          </w:tcPr>
          <w:p w14:paraId="5CFA8706" w14:textId="77777777" w:rsidR="00984B34" w:rsidRPr="009E686F" w:rsidRDefault="00984B34" w:rsidP="00984B34">
            <w:pPr>
              <w:jc w:val="both"/>
              <w:rPr>
                <w:rFonts w:ascii="Times New Roman" w:hAnsi="Times New Roman" w:cs="Times New Roman"/>
                <w:lang w:val="ro-RO"/>
              </w:rPr>
            </w:pPr>
          </w:p>
        </w:tc>
      </w:tr>
      <w:tr w:rsidR="00984B34" w:rsidRPr="009E686F" w14:paraId="7839E54D"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45E43B8A" w14:textId="77777777" w:rsidR="00984B34" w:rsidRPr="009E686F" w:rsidRDefault="00984B34" w:rsidP="00984B34">
            <w:pPr>
              <w:spacing w:after="0"/>
              <w:jc w:val="both"/>
              <w:rPr>
                <w:rFonts w:ascii="Times New Roman" w:hAnsi="Times New Roman" w:cs="Times New Roman"/>
                <w:i/>
                <w:iCs/>
                <w:lang w:val="ro-RO"/>
              </w:rPr>
            </w:pPr>
            <w:r w:rsidRPr="009E686F">
              <w:rPr>
                <w:rFonts w:ascii="Times New Roman" w:hAnsi="Times New Roman" w:cs="Times New Roman"/>
                <w:i/>
                <w:iCs/>
                <w:lang w:val="ro-RO"/>
              </w:rPr>
              <w:t xml:space="preserve">Articolul 165 </w:t>
            </w:r>
          </w:p>
          <w:p w14:paraId="28CB73A8" w14:textId="24149D53"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Destinatari</w:t>
            </w:r>
          </w:p>
          <w:p w14:paraId="54C9C486" w14:textId="77777777" w:rsidR="00984B34" w:rsidRPr="009E686F" w:rsidRDefault="00984B34" w:rsidP="00984B34">
            <w:pPr>
              <w:spacing w:after="0"/>
              <w:jc w:val="both"/>
              <w:rPr>
                <w:rFonts w:ascii="Times New Roman" w:hAnsi="Times New Roman" w:cs="Times New Roman"/>
                <w:lang w:val="ro-RO"/>
              </w:rPr>
            </w:pPr>
          </w:p>
          <w:p w14:paraId="5688CB6A" w14:textId="119C0912"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Prezenta directivă se adresează statelor membre.</w:t>
            </w:r>
          </w:p>
        </w:tc>
        <w:tc>
          <w:tcPr>
            <w:tcW w:w="1928" w:type="pct"/>
            <w:gridSpan w:val="3"/>
            <w:tcBorders>
              <w:top w:val="single" w:sz="4" w:space="0" w:color="auto"/>
              <w:left w:val="single" w:sz="4" w:space="0" w:color="auto"/>
              <w:bottom w:val="single" w:sz="4" w:space="0" w:color="auto"/>
              <w:right w:val="single" w:sz="4" w:space="0" w:color="auto"/>
            </w:tcBorders>
          </w:tcPr>
          <w:p w14:paraId="1BA7C34B"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0DFBCF25" w14:textId="77777777"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10466914" w14:textId="77777777" w:rsidR="00984B34" w:rsidRPr="009E686F" w:rsidRDefault="00984B34" w:rsidP="00984B34">
            <w:pPr>
              <w:jc w:val="both"/>
              <w:rPr>
                <w:rFonts w:ascii="Times New Roman" w:hAnsi="Times New Roman" w:cs="Times New Roman"/>
                <w:lang w:val="ro-RO"/>
              </w:rPr>
            </w:pPr>
          </w:p>
        </w:tc>
      </w:tr>
      <w:tr w:rsidR="00984B34" w:rsidRPr="009E686F" w14:paraId="22F31119"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126B4E00" w14:textId="5B4B8D34" w:rsidR="00984B34" w:rsidRPr="009E686F" w:rsidRDefault="00984B34" w:rsidP="00984B34">
            <w:pPr>
              <w:spacing w:after="0"/>
              <w:jc w:val="both"/>
              <w:rPr>
                <w:rFonts w:ascii="Times New Roman" w:hAnsi="Times New Roman" w:cs="Times New Roman"/>
                <w:b/>
                <w:bCs/>
                <w:lang w:val="ro-RO"/>
              </w:rPr>
            </w:pPr>
            <w:r w:rsidRPr="009E686F">
              <w:rPr>
                <w:rFonts w:ascii="Times New Roman" w:hAnsi="Times New Roman" w:cs="Times New Roman"/>
                <w:b/>
                <w:bCs/>
                <w:lang w:val="ro-RO"/>
              </w:rPr>
              <w:t>Transpunere</w:t>
            </w:r>
          </w:p>
        </w:tc>
        <w:tc>
          <w:tcPr>
            <w:tcW w:w="1928" w:type="pct"/>
            <w:gridSpan w:val="3"/>
            <w:tcBorders>
              <w:top w:val="single" w:sz="4" w:space="0" w:color="auto"/>
              <w:left w:val="single" w:sz="4" w:space="0" w:color="auto"/>
              <w:bottom w:val="single" w:sz="4" w:space="0" w:color="auto"/>
              <w:right w:val="single" w:sz="4" w:space="0" w:color="auto"/>
            </w:tcBorders>
          </w:tcPr>
          <w:p w14:paraId="3249BD50"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51F0703E" w14:textId="77777777"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100ECD9F" w14:textId="77777777" w:rsidR="00984B34" w:rsidRPr="009E686F" w:rsidRDefault="00984B34" w:rsidP="00984B34">
            <w:pPr>
              <w:jc w:val="both"/>
              <w:rPr>
                <w:rFonts w:ascii="Times New Roman" w:hAnsi="Times New Roman" w:cs="Times New Roman"/>
                <w:lang w:val="ro-RO"/>
              </w:rPr>
            </w:pPr>
          </w:p>
        </w:tc>
      </w:tr>
      <w:tr w:rsidR="00984B34" w:rsidRPr="009E686F" w14:paraId="18F65C6E"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3C52C7D7" w14:textId="3BFFBB4D"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(1) Statele membre adoptă și publică până la 10 ianuarie 2026 actele cu putere de lege și actele administrative necesare pentru a se conforma prezentei directive. Statele membre informează de îndată Comisia cu privire la aceasta.</w:t>
            </w:r>
          </w:p>
        </w:tc>
        <w:tc>
          <w:tcPr>
            <w:tcW w:w="1928" w:type="pct"/>
            <w:gridSpan w:val="3"/>
            <w:tcBorders>
              <w:top w:val="single" w:sz="4" w:space="0" w:color="auto"/>
              <w:left w:val="single" w:sz="4" w:space="0" w:color="auto"/>
              <w:bottom w:val="single" w:sz="4" w:space="0" w:color="auto"/>
              <w:right w:val="single" w:sz="4" w:space="0" w:color="auto"/>
            </w:tcBorders>
          </w:tcPr>
          <w:p w14:paraId="1AE62548"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0A310710" w14:textId="77777777"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15E8A45E" w14:textId="77777777" w:rsidR="00984B34" w:rsidRPr="009E686F" w:rsidRDefault="00984B34" w:rsidP="00984B34">
            <w:pPr>
              <w:jc w:val="both"/>
              <w:rPr>
                <w:rFonts w:ascii="Times New Roman" w:hAnsi="Times New Roman" w:cs="Times New Roman"/>
                <w:lang w:val="ro-RO"/>
              </w:rPr>
            </w:pPr>
          </w:p>
        </w:tc>
      </w:tr>
      <w:tr w:rsidR="00984B34" w:rsidRPr="009E686F" w14:paraId="17C2188A"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58BAE332" w14:textId="77938CC4"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Statele membre aplică aceste acte începând cu 11 ianuarie 2026.</w:t>
            </w:r>
          </w:p>
        </w:tc>
        <w:tc>
          <w:tcPr>
            <w:tcW w:w="1928" w:type="pct"/>
            <w:gridSpan w:val="3"/>
            <w:tcBorders>
              <w:top w:val="single" w:sz="4" w:space="0" w:color="auto"/>
              <w:left w:val="single" w:sz="4" w:space="0" w:color="auto"/>
              <w:bottom w:val="single" w:sz="4" w:space="0" w:color="auto"/>
              <w:right w:val="single" w:sz="4" w:space="0" w:color="auto"/>
            </w:tcBorders>
          </w:tcPr>
          <w:p w14:paraId="7BE79C16"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7F5BF7F7" w14:textId="77777777"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0644C83A" w14:textId="77777777" w:rsidR="00984B34" w:rsidRPr="009E686F" w:rsidRDefault="00984B34" w:rsidP="00984B34">
            <w:pPr>
              <w:jc w:val="both"/>
              <w:rPr>
                <w:rFonts w:ascii="Times New Roman" w:hAnsi="Times New Roman" w:cs="Times New Roman"/>
                <w:lang w:val="ro-RO"/>
              </w:rPr>
            </w:pPr>
          </w:p>
        </w:tc>
      </w:tr>
      <w:tr w:rsidR="00984B34" w:rsidRPr="009E686F" w14:paraId="70AB7885"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4705BCC7" w14:textId="3B01500F"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Cu toate acestea, statele membre aplică actele necesare pentru a se conforma modificărilor prevăzute la articolul 1 punctele 9 și 13 de la 11 ianuarie 2027.</w:t>
            </w:r>
          </w:p>
        </w:tc>
        <w:tc>
          <w:tcPr>
            <w:tcW w:w="1928" w:type="pct"/>
            <w:gridSpan w:val="3"/>
            <w:tcBorders>
              <w:top w:val="single" w:sz="4" w:space="0" w:color="auto"/>
              <w:left w:val="single" w:sz="4" w:space="0" w:color="auto"/>
              <w:bottom w:val="single" w:sz="4" w:space="0" w:color="auto"/>
              <w:right w:val="single" w:sz="4" w:space="0" w:color="auto"/>
            </w:tcBorders>
          </w:tcPr>
          <w:p w14:paraId="13AEB349"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3020A11B" w14:textId="77777777"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6ED15B61" w14:textId="77777777" w:rsidR="00984B34" w:rsidRPr="009E686F" w:rsidRDefault="00984B34" w:rsidP="00984B34">
            <w:pPr>
              <w:jc w:val="both"/>
              <w:rPr>
                <w:rFonts w:ascii="Times New Roman" w:hAnsi="Times New Roman" w:cs="Times New Roman"/>
                <w:lang w:val="ro-RO"/>
              </w:rPr>
            </w:pPr>
          </w:p>
        </w:tc>
      </w:tr>
      <w:tr w:rsidR="00984B34" w:rsidRPr="009E686F" w14:paraId="542C0089"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3D063CDE" w14:textId="16E64593"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Prin derogare de la al treilea paragraf din prezentul alineat, statele membre aplică actele necesare pentru a se conforma modificărilor prevăzute la articolul 1 punctul 13 din prezenta directivă în ceea ce privește articolele 48k și 48l din Directiva 2013/36/UE începând cu 11 ianuarie 2026 și modificărilor prevăzute la articolul 1 punctul 9 din prezenta </w:t>
            </w:r>
            <w:r w:rsidRPr="009E686F">
              <w:rPr>
                <w:rFonts w:ascii="Times New Roman" w:hAnsi="Times New Roman" w:cs="Times New Roman"/>
                <w:lang w:val="ro-RO"/>
              </w:rPr>
              <w:lastRenderedPageBreak/>
              <w:t>directivă în ceea ce privește articolul 21c alineatul (5) din Directiva 2013/36/UE începând cu 11 iulie 2026.</w:t>
            </w:r>
          </w:p>
        </w:tc>
        <w:tc>
          <w:tcPr>
            <w:tcW w:w="1928" w:type="pct"/>
            <w:gridSpan w:val="3"/>
            <w:tcBorders>
              <w:top w:val="single" w:sz="4" w:space="0" w:color="auto"/>
              <w:left w:val="single" w:sz="4" w:space="0" w:color="auto"/>
              <w:bottom w:val="single" w:sz="4" w:space="0" w:color="auto"/>
              <w:right w:val="single" w:sz="4" w:space="0" w:color="auto"/>
            </w:tcBorders>
          </w:tcPr>
          <w:p w14:paraId="186952E8"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1B9E5E4F" w14:textId="77777777"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2594AFE1" w14:textId="77777777" w:rsidR="00984B34" w:rsidRPr="009E686F" w:rsidRDefault="00984B34" w:rsidP="00984B34">
            <w:pPr>
              <w:jc w:val="both"/>
              <w:rPr>
                <w:rFonts w:ascii="Times New Roman" w:hAnsi="Times New Roman" w:cs="Times New Roman"/>
                <w:lang w:val="ro-RO"/>
              </w:rPr>
            </w:pPr>
          </w:p>
        </w:tc>
      </w:tr>
      <w:tr w:rsidR="00984B34" w:rsidRPr="009E686F" w14:paraId="66BFCFC0"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01E8E57B" w14:textId="01557E11"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Atunci când statele membre adoptă dispozițiile respective, acestea conțin o trimitere la prezenta directivă sau sunt însoțite de o asemenea trimitere la data publicării lor oficiale. Statele membre stabilesc modalitatea de efectuare a acestei trimiteri.</w:t>
            </w:r>
          </w:p>
        </w:tc>
        <w:tc>
          <w:tcPr>
            <w:tcW w:w="1928" w:type="pct"/>
            <w:gridSpan w:val="3"/>
            <w:tcBorders>
              <w:top w:val="single" w:sz="4" w:space="0" w:color="auto"/>
              <w:left w:val="single" w:sz="4" w:space="0" w:color="auto"/>
              <w:bottom w:val="single" w:sz="4" w:space="0" w:color="auto"/>
              <w:right w:val="single" w:sz="4" w:space="0" w:color="auto"/>
            </w:tcBorders>
          </w:tcPr>
          <w:p w14:paraId="622FA87D"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595FA03F" w14:textId="77777777"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44936CC0" w14:textId="77777777" w:rsidR="00984B34" w:rsidRPr="009E686F" w:rsidRDefault="00984B34" w:rsidP="00984B34">
            <w:pPr>
              <w:jc w:val="both"/>
              <w:rPr>
                <w:rFonts w:ascii="Times New Roman" w:hAnsi="Times New Roman" w:cs="Times New Roman"/>
                <w:lang w:val="ro-RO"/>
              </w:rPr>
            </w:pPr>
          </w:p>
        </w:tc>
      </w:tr>
      <w:tr w:rsidR="00984B34" w:rsidRPr="009E686F" w14:paraId="2D5D7D6C"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37F810AB" w14:textId="0AA56A19"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(2) Comisiei îi sunt comunicate de către statele membre textele principalelor dispoziții de drept intern pe care le adoptă în domeniul reglementat de prezenta directivă.</w:t>
            </w:r>
          </w:p>
        </w:tc>
        <w:tc>
          <w:tcPr>
            <w:tcW w:w="1928" w:type="pct"/>
            <w:gridSpan w:val="3"/>
            <w:tcBorders>
              <w:top w:val="single" w:sz="4" w:space="0" w:color="auto"/>
              <w:left w:val="single" w:sz="4" w:space="0" w:color="auto"/>
              <w:bottom w:val="single" w:sz="4" w:space="0" w:color="auto"/>
              <w:right w:val="single" w:sz="4" w:space="0" w:color="auto"/>
            </w:tcBorders>
          </w:tcPr>
          <w:p w14:paraId="328581C0"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46CF649D" w14:textId="77777777"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1D53A7EA" w14:textId="77777777" w:rsidR="00984B34" w:rsidRPr="009E686F" w:rsidRDefault="00984B34" w:rsidP="00984B34">
            <w:pPr>
              <w:jc w:val="both"/>
              <w:rPr>
                <w:rFonts w:ascii="Times New Roman" w:hAnsi="Times New Roman" w:cs="Times New Roman"/>
                <w:lang w:val="ro-RO"/>
              </w:rPr>
            </w:pPr>
          </w:p>
        </w:tc>
      </w:tr>
      <w:tr w:rsidR="00984B34" w:rsidRPr="009E686F" w14:paraId="6593AFCE"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0066E7E4" w14:textId="77777777" w:rsidR="00984B34" w:rsidRPr="009E686F" w:rsidRDefault="00984B34" w:rsidP="00984B34">
            <w:pPr>
              <w:spacing w:after="0"/>
              <w:jc w:val="both"/>
              <w:rPr>
                <w:rFonts w:ascii="Times New Roman" w:hAnsi="Times New Roman" w:cs="Times New Roman"/>
                <w:b/>
                <w:bCs/>
                <w:lang w:val="ro-RO"/>
              </w:rPr>
            </w:pPr>
            <w:r w:rsidRPr="009E686F">
              <w:rPr>
                <w:rFonts w:ascii="Times New Roman" w:hAnsi="Times New Roman" w:cs="Times New Roman"/>
                <w:b/>
                <w:bCs/>
                <w:lang w:val="ro-RO"/>
              </w:rPr>
              <w:t>Intrare în vigoare și aplicare</w:t>
            </w:r>
          </w:p>
          <w:p w14:paraId="06DAD5BF"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Prezenta directivă intră în vigoare în a douăzecea zi de la data publicării în Jurnalul Oficial al Uniunii Europene.</w:t>
            </w:r>
          </w:p>
          <w:p w14:paraId="00A39403" w14:textId="1446B18B" w:rsidR="00984B34" w:rsidRPr="009E686F" w:rsidRDefault="00984B34" w:rsidP="00984B34">
            <w:pPr>
              <w:spacing w:after="0"/>
              <w:jc w:val="both"/>
              <w:rPr>
                <w:rFonts w:ascii="Times New Roman" w:hAnsi="Times New Roman" w:cs="Times New Roman"/>
                <w:b/>
                <w:bCs/>
                <w:lang w:val="ro-RO"/>
              </w:rPr>
            </w:pPr>
            <w:r w:rsidRPr="009E686F">
              <w:rPr>
                <w:rFonts w:ascii="Times New Roman" w:hAnsi="Times New Roman" w:cs="Times New Roman"/>
                <w:lang w:val="ro-RO"/>
              </w:rPr>
              <w:t>Articolul 1 punctul 44 litera (c) și punctul 45 litera (c) se aplică de la 29 iulie 2024.</w:t>
            </w:r>
          </w:p>
        </w:tc>
        <w:tc>
          <w:tcPr>
            <w:tcW w:w="1928" w:type="pct"/>
            <w:gridSpan w:val="3"/>
            <w:tcBorders>
              <w:top w:val="single" w:sz="4" w:space="0" w:color="auto"/>
              <w:left w:val="single" w:sz="4" w:space="0" w:color="auto"/>
              <w:bottom w:val="single" w:sz="4" w:space="0" w:color="auto"/>
              <w:right w:val="single" w:sz="4" w:space="0" w:color="auto"/>
            </w:tcBorders>
          </w:tcPr>
          <w:p w14:paraId="11328605"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5A4C1F3B" w14:textId="77777777"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3556FF7A" w14:textId="77777777" w:rsidR="00984B34" w:rsidRPr="009E686F" w:rsidRDefault="00984B34" w:rsidP="00984B34">
            <w:pPr>
              <w:jc w:val="both"/>
              <w:rPr>
                <w:rFonts w:ascii="Times New Roman" w:hAnsi="Times New Roman" w:cs="Times New Roman"/>
                <w:lang w:val="ro-RO"/>
              </w:rPr>
            </w:pPr>
          </w:p>
        </w:tc>
      </w:tr>
      <w:tr w:rsidR="00984B34" w:rsidRPr="009E686F" w14:paraId="57812726"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2D5E9038" w14:textId="77777777" w:rsidR="00984B34" w:rsidRPr="009E686F" w:rsidRDefault="00984B34" w:rsidP="00984B34">
            <w:pPr>
              <w:spacing w:after="0"/>
              <w:jc w:val="both"/>
              <w:rPr>
                <w:rFonts w:ascii="Times New Roman" w:hAnsi="Times New Roman" w:cs="Times New Roman"/>
                <w:b/>
                <w:bCs/>
                <w:lang w:val="ro-RO"/>
              </w:rPr>
            </w:pPr>
            <w:r w:rsidRPr="009E686F">
              <w:rPr>
                <w:rFonts w:ascii="Times New Roman" w:hAnsi="Times New Roman" w:cs="Times New Roman"/>
                <w:b/>
                <w:bCs/>
                <w:lang w:val="ro-RO"/>
              </w:rPr>
              <w:t>Destinatari</w:t>
            </w:r>
          </w:p>
          <w:p w14:paraId="49B63F8D" w14:textId="1FCF7BAE"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Prezenta directivă se adresează statelor membre.</w:t>
            </w:r>
          </w:p>
        </w:tc>
        <w:tc>
          <w:tcPr>
            <w:tcW w:w="1928" w:type="pct"/>
            <w:gridSpan w:val="3"/>
            <w:tcBorders>
              <w:top w:val="single" w:sz="4" w:space="0" w:color="auto"/>
              <w:left w:val="single" w:sz="4" w:space="0" w:color="auto"/>
              <w:bottom w:val="single" w:sz="4" w:space="0" w:color="auto"/>
              <w:right w:val="single" w:sz="4" w:space="0" w:color="auto"/>
            </w:tcBorders>
          </w:tcPr>
          <w:p w14:paraId="703272BF"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5A690C6F" w14:textId="77777777" w:rsidR="00984B34" w:rsidRPr="009E686F" w:rsidRDefault="00984B34" w:rsidP="00984B34">
            <w:pPr>
              <w:jc w:val="both"/>
              <w:rPr>
                <w:rFonts w:ascii="Times New Roman" w:hAnsi="Times New Roman" w:cs="Times New Roman"/>
                <w:lang w:val="ro-RO"/>
              </w:rPr>
            </w:pPr>
          </w:p>
        </w:tc>
        <w:tc>
          <w:tcPr>
            <w:tcW w:w="806" w:type="pct"/>
            <w:tcBorders>
              <w:top w:val="single" w:sz="4" w:space="0" w:color="auto"/>
              <w:left w:val="single" w:sz="4" w:space="0" w:color="auto"/>
              <w:bottom w:val="single" w:sz="4" w:space="0" w:color="auto"/>
              <w:right w:val="single" w:sz="4" w:space="0" w:color="auto"/>
            </w:tcBorders>
          </w:tcPr>
          <w:p w14:paraId="0B0EF2B1" w14:textId="77777777" w:rsidR="00984B34" w:rsidRPr="009E686F" w:rsidRDefault="00984B34" w:rsidP="00984B34">
            <w:pPr>
              <w:jc w:val="both"/>
              <w:rPr>
                <w:rFonts w:ascii="Times New Roman" w:hAnsi="Times New Roman" w:cs="Times New Roman"/>
                <w:lang w:val="ro-RO"/>
              </w:rPr>
            </w:pPr>
          </w:p>
        </w:tc>
      </w:tr>
      <w:tr w:rsidR="00984B34" w:rsidRPr="009E686F" w14:paraId="666F757C" w14:textId="6AFE5017" w:rsidTr="00774F3E">
        <w:tc>
          <w:tcPr>
            <w:tcW w:w="1796" w:type="pct"/>
            <w:gridSpan w:val="2"/>
            <w:tcBorders>
              <w:top w:val="single" w:sz="4" w:space="0" w:color="auto"/>
              <w:left w:val="single" w:sz="4" w:space="0" w:color="auto"/>
              <w:bottom w:val="single" w:sz="4" w:space="0" w:color="auto"/>
              <w:right w:val="single" w:sz="4" w:space="0" w:color="auto"/>
            </w:tcBorders>
          </w:tcPr>
          <w:p w14:paraId="3DADE1AC" w14:textId="77777777" w:rsidR="00984B34" w:rsidRPr="009E686F" w:rsidRDefault="00984B34" w:rsidP="00984B34">
            <w:pPr>
              <w:spacing w:after="0"/>
              <w:jc w:val="both"/>
              <w:rPr>
                <w:rFonts w:ascii="Times New Roman" w:hAnsi="Times New Roman" w:cs="Times New Roman"/>
                <w:bCs/>
                <w:lang w:val="ro-RO"/>
              </w:rPr>
            </w:pPr>
            <w:r w:rsidRPr="009E686F">
              <w:rPr>
                <w:rFonts w:ascii="Times New Roman" w:hAnsi="Times New Roman" w:cs="Times New Roman"/>
                <w:bCs/>
                <w:lang w:val="ro-RO"/>
              </w:rPr>
              <w:t>ANEXA I</w:t>
            </w:r>
          </w:p>
          <w:p w14:paraId="52B75B26"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b/>
                <w:lang w:val="ro-RO"/>
              </w:rPr>
              <w:t>LISTA ACTIVITĂȚILOR CARE FAC OBIECTUL RECUNOAȘTERII RECIPROCE</w:t>
            </w:r>
          </w:p>
        </w:tc>
        <w:tc>
          <w:tcPr>
            <w:tcW w:w="1928" w:type="pct"/>
            <w:gridSpan w:val="3"/>
            <w:tcBorders>
              <w:top w:val="single" w:sz="4" w:space="0" w:color="auto"/>
              <w:left w:val="single" w:sz="4" w:space="0" w:color="auto"/>
              <w:bottom w:val="single" w:sz="4" w:space="0" w:color="auto"/>
              <w:right w:val="single" w:sz="4" w:space="0" w:color="auto"/>
            </w:tcBorders>
          </w:tcPr>
          <w:p w14:paraId="5B818CFE" w14:textId="620364AF"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b/>
                <w:bCs/>
                <w:lang w:val="ro-RO"/>
              </w:rPr>
              <w:t>Articolul 14.</w:t>
            </w:r>
            <w:r w:rsidRPr="009E686F">
              <w:rPr>
                <w:rFonts w:ascii="Times New Roman" w:hAnsi="Times New Roman" w:cs="Times New Roman"/>
                <w:lang w:val="ro-RO"/>
              </w:rPr>
              <w:t xml:space="preserve"> Activitățile permise </w:t>
            </w:r>
            <w:r w:rsidRPr="009E686F">
              <w:rPr>
                <w:rFonts w:ascii="Times New Roman" w:hAnsi="Times New Roman" w:cs="Times New Roman"/>
                <w:i/>
                <w:iCs/>
                <w:lang w:val="ro-RO"/>
              </w:rPr>
              <w:t>instituțiilor de credit</w:t>
            </w:r>
          </w:p>
          <w:p w14:paraId="6A53D0DF" w14:textId="721C6307"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i/>
                <w:iCs/>
                <w:lang w:val="ro-RO"/>
              </w:rPr>
              <w:t>Instituțiile de credit</w:t>
            </w:r>
            <w:r w:rsidRPr="009E686F">
              <w:rPr>
                <w:rFonts w:ascii="Times New Roman" w:hAnsi="Times New Roman" w:cs="Times New Roman"/>
                <w:lang w:val="ro-RO"/>
              </w:rPr>
              <w:t xml:space="preserve"> care desfășoară activitățile prevăzute de art. 3 noțiunea de “</w:t>
            </w:r>
            <w:r w:rsidRPr="009E686F">
              <w:rPr>
                <w:rFonts w:ascii="Times New Roman" w:hAnsi="Times New Roman" w:cs="Times New Roman"/>
                <w:i/>
                <w:iCs/>
                <w:lang w:val="ro-RO"/>
              </w:rPr>
              <w:t>instituție de credit</w:t>
            </w:r>
            <w:r w:rsidRPr="009E686F">
              <w:rPr>
                <w:rFonts w:ascii="Times New Roman" w:hAnsi="Times New Roman" w:cs="Times New Roman"/>
                <w:lang w:val="ro-RO"/>
              </w:rPr>
              <w:t>” lit. a) pot desfăşura, în limita autorizației  acordate, următoarele activităţi:</w:t>
            </w:r>
          </w:p>
        </w:tc>
        <w:tc>
          <w:tcPr>
            <w:tcW w:w="470" w:type="pct"/>
            <w:tcBorders>
              <w:top w:val="single" w:sz="4" w:space="0" w:color="auto"/>
              <w:left w:val="single" w:sz="4" w:space="0" w:color="auto"/>
              <w:bottom w:val="single" w:sz="4" w:space="0" w:color="auto"/>
              <w:right w:val="single" w:sz="4" w:space="0" w:color="auto"/>
            </w:tcBorders>
          </w:tcPr>
          <w:p w14:paraId="2C80DB72" w14:textId="681962B4"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19CCE887" w14:textId="77777777" w:rsidR="00984B34" w:rsidRPr="009E686F" w:rsidRDefault="00984B34" w:rsidP="00984B34">
            <w:pPr>
              <w:jc w:val="both"/>
              <w:rPr>
                <w:rFonts w:ascii="Times New Roman" w:hAnsi="Times New Roman" w:cs="Times New Roman"/>
                <w:lang w:val="ro-RO"/>
              </w:rPr>
            </w:pPr>
          </w:p>
        </w:tc>
      </w:tr>
      <w:tr w:rsidR="00984B34" w:rsidRPr="009E686F" w14:paraId="64618FBC" w14:textId="505AA103" w:rsidTr="00774F3E">
        <w:tc>
          <w:tcPr>
            <w:tcW w:w="1796" w:type="pct"/>
            <w:gridSpan w:val="2"/>
            <w:tcBorders>
              <w:top w:val="single" w:sz="4" w:space="0" w:color="auto"/>
              <w:left w:val="single" w:sz="4" w:space="0" w:color="auto"/>
              <w:bottom w:val="single" w:sz="4" w:space="0" w:color="auto"/>
              <w:right w:val="single" w:sz="4" w:space="0" w:color="auto"/>
            </w:tcBorders>
          </w:tcPr>
          <w:p w14:paraId="24E545B4" w14:textId="4B398CD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1. Preluarea depozitelor și a altor fonduri rambursabile.</w:t>
            </w:r>
          </w:p>
        </w:tc>
        <w:tc>
          <w:tcPr>
            <w:tcW w:w="1928" w:type="pct"/>
            <w:gridSpan w:val="3"/>
            <w:tcBorders>
              <w:top w:val="single" w:sz="4" w:space="0" w:color="auto"/>
              <w:left w:val="single" w:sz="4" w:space="0" w:color="auto"/>
              <w:bottom w:val="single" w:sz="4" w:space="0" w:color="auto"/>
              <w:right w:val="single" w:sz="4" w:space="0" w:color="auto"/>
            </w:tcBorders>
          </w:tcPr>
          <w:p w14:paraId="16441A98" w14:textId="1606C82E"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a) atragere de depozite şi de alte fonduri rambursabile; </w:t>
            </w:r>
          </w:p>
          <w:p w14:paraId="4DBCFF20" w14:textId="77777777" w:rsidR="00984B34" w:rsidRPr="009E686F" w:rsidRDefault="00984B34" w:rsidP="00984B34">
            <w:pPr>
              <w:spacing w:after="0"/>
              <w:jc w:val="both"/>
              <w:rPr>
                <w:rFonts w:ascii="Times New Roman" w:hAnsi="Times New Roman" w:cs="Times New Roman"/>
                <w:b/>
                <w:lang w:val="ro-RO"/>
              </w:rPr>
            </w:pPr>
          </w:p>
        </w:tc>
        <w:tc>
          <w:tcPr>
            <w:tcW w:w="470" w:type="pct"/>
            <w:tcBorders>
              <w:top w:val="single" w:sz="4" w:space="0" w:color="auto"/>
              <w:left w:val="single" w:sz="4" w:space="0" w:color="auto"/>
              <w:bottom w:val="single" w:sz="4" w:space="0" w:color="auto"/>
              <w:right w:val="single" w:sz="4" w:space="0" w:color="auto"/>
            </w:tcBorders>
          </w:tcPr>
          <w:p w14:paraId="66945A85" w14:textId="05A13C45"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79EEA57C" w14:textId="77777777" w:rsidR="00984B34" w:rsidRPr="009E686F" w:rsidRDefault="00984B34" w:rsidP="00984B34">
            <w:pPr>
              <w:jc w:val="both"/>
              <w:rPr>
                <w:rFonts w:ascii="Times New Roman" w:hAnsi="Times New Roman" w:cs="Times New Roman"/>
                <w:lang w:val="ro-RO"/>
              </w:rPr>
            </w:pPr>
          </w:p>
        </w:tc>
      </w:tr>
      <w:tr w:rsidR="00984B34" w:rsidRPr="009E686F" w14:paraId="7AB8A2A2" w14:textId="0652ACA6" w:rsidTr="00774F3E">
        <w:tc>
          <w:tcPr>
            <w:tcW w:w="1796" w:type="pct"/>
            <w:gridSpan w:val="2"/>
            <w:tcBorders>
              <w:top w:val="single" w:sz="4" w:space="0" w:color="auto"/>
              <w:left w:val="single" w:sz="4" w:space="0" w:color="auto"/>
              <w:bottom w:val="single" w:sz="4" w:space="0" w:color="auto"/>
              <w:right w:val="single" w:sz="4" w:space="0" w:color="auto"/>
            </w:tcBorders>
          </w:tcPr>
          <w:p w14:paraId="189C1ECB" w14:textId="37C48B19"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2. Acordarea de împrumuturi, printre altele: credite de consum, contracte de credit legate de bunuri imobile, factoring cu sau fără recurs, finanțarea tranzacțiilor comerciale (inclusiv forfetare).</w:t>
            </w:r>
          </w:p>
        </w:tc>
        <w:tc>
          <w:tcPr>
            <w:tcW w:w="1928" w:type="pct"/>
            <w:gridSpan w:val="3"/>
            <w:tcBorders>
              <w:top w:val="single" w:sz="4" w:space="0" w:color="auto"/>
              <w:left w:val="single" w:sz="4" w:space="0" w:color="auto"/>
              <w:bottom w:val="single" w:sz="4" w:space="0" w:color="auto"/>
              <w:right w:val="single" w:sz="4" w:space="0" w:color="auto"/>
            </w:tcBorders>
          </w:tcPr>
          <w:p w14:paraId="5A016BA0" w14:textId="00C80C60"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lang w:val="ro-RO"/>
              </w:rPr>
              <w:t xml:space="preserve">b) acordarea de credite, printre altele: credite de consum, contracte de credit legate de bunuri imobile, factoring cu sau fără recurs, finanțarea tranzacțiilor comerciale (inclusiv forfetare); </w:t>
            </w:r>
          </w:p>
        </w:tc>
        <w:tc>
          <w:tcPr>
            <w:tcW w:w="470" w:type="pct"/>
            <w:tcBorders>
              <w:top w:val="single" w:sz="4" w:space="0" w:color="auto"/>
              <w:left w:val="single" w:sz="4" w:space="0" w:color="auto"/>
              <w:bottom w:val="single" w:sz="4" w:space="0" w:color="auto"/>
              <w:right w:val="single" w:sz="4" w:space="0" w:color="auto"/>
            </w:tcBorders>
          </w:tcPr>
          <w:p w14:paraId="038AB118" w14:textId="562F4600"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2E200884" w14:textId="77777777" w:rsidR="00984B34" w:rsidRPr="009E686F" w:rsidRDefault="00984B34" w:rsidP="00984B34">
            <w:pPr>
              <w:jc w:val="both"/>
              <w:rPr>
                <w:rFonts w:ascii="Times New Roman" w:hAnsi="Times New Roman" w:cs="Times New Roman"/>
                <w:lang w:val="ro-RO"/>
              </w:rPr>
            </w:pPr>
          </w:p>
        </w:tc>
      </w:tr>
      <w:tr w:rsidR="00984B34" w:rsidRPr="009E686F" w14:paraId="27833197" w14:textId="5CF03B33" w:rsidTr="00774F3E">
        <w:tc>
          <w:tcPr>
            <w:tcW w:w="1796" w:type="pct"/>
            <w:gridSpan w:val="2"/>
            <w:tcBorders>
              <w:top w:val="single" w:sz="4" w:space="0" w:color="auto"/>
              <w:left w:val="single" w:sz="4" w:space="0" w:color="auto"/>
              <w:bottom w:val="single" w:sz="4" w:space="0" w:color="auto"/>
              <w:right w:val="single" w:sz="4" w:space="0" w:color="auto"/>
            </w:tcBorders>
          </w:tcPr>
          <w:p w14:paraId="06D4DD5C" w14:textId="605DC180"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3. Leasingul financiar.</w:t>
            </w:r>
          </w:p>
        </w:tc>
        <w:tc>
          <w:tcPr>
            <w:tcW w:w="1928" w:type="pct"/>
            <w:gridSpan w:val="3"/>
            <w:tcBorders>
              <w:top w:val="single" w:sz="4" w:space="0" w:color="auto"/>
              <w:left w:val="single" w:sz="4" w:space="0" w:color="auto"/>
              <w:bottom w:val="single" w:sz="4" w:space="0" w:color="auto"/>
              <w:right w:val="single" w:sz="4" w:space="0" w:color="auto"/>
            </w:tcBorders>
          </w:tcPr>
          <w:p w14:paraId="49167F03" w14:textId="5F6C1F44"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lang w:val="ro-RO"/>
              </w:rPr>
              <w:t>c) leasing financiar;</w:t>
            </w:r>
          </w:p>
        </w:tc>
        <w:tc>
          <w:tcPr>
            <w:tcW w:w="470" w:type="pct"/>
            <w:tcBorders>
              <w:top w:val="single" w:sz="4" w:space="0" w:color="auto"/>
              <w:left w:val="single" w:sz="4" w:space="0" w:color="auto"/>
              <w:bottom w:val="single" w:sz="4" w:space="0" w:color="auto"/>
              <w:right w:val="single" w:sz="4" w:space="0" w:color="auto"/>
            </w:tcBorders>
          </w:tcPr>
          <w:p w14:paraId="7F136E80" w14:textId="6E9D6176"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1E065B74" w14:textId="77777777" w:rsidR="00984B34" w:rsidRPr="009E686F" w:rsidRDefault="00984B34" w:rsidP="00984B34">
            <w:pPr>
              <w:jc w:val="both"/>
              <w:rPr>
                <w:rFonts w:ascii="Times New Roman" w:hAnsi="Times New Roman" w:cs="Times New Roman"/>
                <w:lang w:val="ro-RO"/>
              </w:rPr>
            </w:pPr>
          </w:p>
        </w:tc>
      </w:tr>
      <w:tr w:rsidR="00984B34" w:rsidRPr="009E686F" w14:paraId="17E7DBC8" w14:textId="5A0B6BAB" w:rsidTr="00774F3E">
        <w:tc>
          <w:tcPr>
            <w:tcW w:w="1796" w:type="pct"/>
            <w:gridSpan w:val="2"/>
            <w:tcBorders>
              <w:top w:val="single" w:sz="4" w:space="0" w:color="auto"/>
              <w:left w:val="single" w:sz="4" w:space="0" w:color="auto"/>
              <w:bottom w:val="single" w:sz="4" w:space="0" w:color="auto"/>
              <w:right w:val="single" w:sz="4" w:space="0" w:color="auto"/>
            </w:tcBorders>
          </w:tcPr>
          <w:p w14:paraId="2B834745" w14:textId="0ED9DBAD"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Servicii de plată, astfel cum sunt definite în articolul 4  punctul 3 din Directiva (UE) 2015/2366 a Parlamentului European și a Consiliului ( 1 ).</w:t>
            </w:r>
          </w:p>
        </w:tc>
        <w:tc>
          <w:tcPr>
            <w:tcW w:w="1928" w:type="pct"/>
            <w:gridSpan w:val="3"/>
            <w:tcBorders>
              <w:top w:val="single" w:sz="4" w:space="0" w:color="auto"/>
              <w:left w:val="single" w:sz="4" w:space="0" w:color="auto"/>
              <w:bottom w:val="single" w:sz="4" w:space="0" w:color="auto"/>
              <w:right w:val="single" w:sz="4" w:space="0" w:color="auto"/>
            </w:tcBorders>
          </w:tcPr>
          <w:p w14:paraId="6E0C750F" w14:textId="56CD262E"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lang w:val="ro-RO"/>
              </w:rPr>
              <w:t>d) prestarea serviciilor de plată în conformitate cu Legea nr.114/2012 cu privire la serviciile de plată şi moneda electronică ;</w:t>
            </w:r>
          </w:p>
        </w:tc>
        <w:tc>
          <w:tcPr>
            <w:tcW w:w="470" w:type="pct"/>
            <w:tcBorders>
              <w:top w:val="single" w:sz="4" w:space="0" w:color="auto"/>
              <w:left w:val="single" w:sz="4" w:space="0" w:color="auto"/>
              <w:bottom w:val="single" w:sz="4" w:space="0" w:color="auto"/>
              <w:right w:val="single" w:sz="4" w:space="0" w:color="auto"/>
            </w:tcBorders>
          </w:tcPr>
          <w:p w14:paraId="6EF3BEB3" w14:textId="26B0E88D"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17705B26" w14:textId="77777777" w:rsidR="00984B34" w:rsidRPr="009E686F" w:rsidRDefault="00984B34" w:rsidP="00984B34">
            <w:pPr>
              <w:jc w:val="both"/>
              <w:rPr>
                <w:rFonts w:ascii="Times New Roman" w:hAnsi="Times New Roman" w:cs="Times New Roman"/>
                <w:lang w:val="ro-RO"/>
              </w:rPr>
            </w:pPr>
          </w:p>
        </w:tc>
      </w:tr>
      <w:tr w:rsidR="00984B34" w:rsidRPr="009E686F" w14:paraId="62C5F72A" w14:textId="232911C6" w:rsidTr="00774F3E">
        <w:tc>
          <w:tcPr>
            <w:tcW w:w="1796" w:type="pct"/>
            <w:gridSpan w:val="2"/>
            <w:tcBorders>
              <w:top w:val="single" w:sz="4" w:space="0" w:color="auto"/>
              <w:left w:val="single" w:sz="4" w:space="0" w:color="auto"/>
              <w:bottom w:val="single" w:sz="4" w:space="0" w:color="auto"/>
              <w:right w:val="single" w:sz="4" w:space="0" w:color="auto"/>
            </w:tcBorders>
          </w:tcPr>
          <w:p w14:paraId="25A09B5A"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lastRenderedPageBreak/>
              <w:t>Emiterea și gestionarea altor mijloace de plată (spre exemplu, cecuri de călătorie și trate bancare) în măsura în care o astfel de activitate nu este reglementată de punctul 4.</w:t>
            </w:r>
          </w:p>
        </w:tc>
        <w:tc>
          <w:tcPr>
            <w:tcW w:w="1928" w:type="pct"/>
            <w:gridSpan w:val="3"/>
            <w:tcBorders>
              <w:top w:val="single" w:sz="4" w:space="0" w:color="auto"/>
              <w:left w:val="single" w:sz="4" w:space="0" w:color="auto"/>
              <w:bottom w:val="single" w:sz="4" w:space="0" w:color="auto"/>
              <w:right w:val="single" w:sz="4" w:space="0" w:color="auto"/>
            </w:tcBorders>
          </w:tcPr>
          <w:p w14:paraId="1E8C4F9E" w14:textId="593D8561"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lang w:val="ro-RO"/>
              </w:rPr>
              <w:t xml:space="preserve">e) emiterea și administrarea cecurilor de călătorie, cambiilor şi altor instrumente de plată în măsura în care o astfel de activitate nu se încadrează la lit. d); </w:t>
            </w:r>
          </w:p>
        </w:tc>
        <w:tc>
          <w:tcPr>
            <w:tcW w:w="470" w:type="pct"/>
            <w:tcBorders>
              <w:top w:val="single" w:sz="4" w:space="0" w:color="auto"/>
              <w:left w:val="single" w:sz="4" w:space="0" w:color="auto"/>
              <w:bottom w:val="single" w:sz="4" w:space="0" w:color="auto"/>
              <w:right w:val="single" w:sz="4" w:space="0" w:color="auto"/>
            </w:tcBorders>
          </w:tcPr>
          <w:p w14:paraId="07D71ED1" w14:textId="6BD62649"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6BD73811" w14:textId="77777777" w:rsidR="00984B34" w:rsidRPr="009E686F" w:rsidRDefault="00984B34" w:rsidP="00984B34">
            <w:pPr>
              <w:jc w:val="both"/>
              <w:rPr>
                <w:rFonts w:ascii="Times New Roman" w:hAnsi="Times New Roman" w:cs="Times New Roman"/>
                <w:lang w:val="ro-RO"/>
              </w:rPr>
            </w:pPr>
          </w:p>
        </w:tc>
      </w:tr>
      <w:tr w:rsidR="00984B34" w:rsidRPr="009E686F" w14:paraId="7CA78D8D" w14:textId="64993E94" w:rsidTr="00774F3E">
        <w:tc>
          <w:tcPr>
            <w:tcW w:w="1796" w:type="pct"/>
            <w:gridSpan w:val="2"/>
            <w:tcBorders>
              <w:top w:val="single" w:sz="4" w:space="0" w:color="auto"/>
              <w:left w:val="single" w:sz="4" w:space="0" w:color="auto"/>
              <w:bottom w:val="single" w:sz="4" w:space="0" w:color="auto"/>
              <w:right w:val="single" w:sz="4" w:space="0" w:color="auto"/>
            </w:tcBorders>
          </w:tcPr>
          <w:p w14:paraId="480D5C94" w14:textId="075A2822"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6. Garanții și angajamente.</w:t>
            </w:r>
          </w:p>
        </w:tc>
        <w:tc>
          <w:tcPr>
            <w:tcW w:w="1928" w:type="pct"/>
            <w:gridSpan w:val="3"/>
            <w:tcBorders>
              <w:top w:val="single" w:sz="4" w:space="0" w:color="auto"/>
              <w:left w:val="single" w:sz="4" w:space="0" w:color="auto"/>
              <w:bottom w:val="single" w:sz="4" w:space="0" w:color="auto"/>
              <w:right w:val="single" w:sz="4" w:space="0" w:color="auto"/>
            </w:tcBorders>
          </w:tcPr>
          <w:p w14:paraId="3EA403B8" w14:textId="55AE7B36"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f) emitere de garanţii şi asumare de angajamente;</w:t>
            </w:r>
          </w:p>
        </w:tc>
        <w:tc>
          <w:tcPr>
            <w:tcW w:w="470" w:type="pct"/>
            <w:tcBorders>
              <w:top w:val="single" w:sz="4" w:space="0" w:color="auto"/>
              <w:left w:val="single" w:sz="4" w:space="0" w:color="auto"/>
              <w:bottom w:val="single" w:sz="4" w:space="0" w:color="auto"/>
              <w:right w:val="single" w:sz="4" w:space="0" w:color="auto"/>
            </w:tcBorders>
          </w:tcPr>
          <w:p w14:paraId="352F8FAC" w14:textId="1187C026"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143B8D40" w14:textId="77777777" w:rsidR="00984B34" w:rsidRPr="009E686F" w:rsidRDefault="00984B34" w:rsidP="00984B34">
            <w:pPr>
              <w:jc w:val="both"/>
              <w:rPr>
                <w:rFonts w:ascii="Times New Roman" w:hAnsi="Times New Roman" w:cs="Times New Roman"/>
                <w:lang w:val="ro-RO"/>
              </w:rPr>
            </w:pPr>
          </w:p>
        </w:tc>
      </w:tr>
      <w:tr w:rsidR="00984B34" w:rsidRPr="009E686F" w14:paraId="2F65E6D4" w14:textId="0B1643F3" w:rsidTr="00774F3E">
        <w:tc>
          <w:tcPr>
            <w:tcW w:w="1796" w:type="pct"/>
            <w:gridSpan w:val="2"/>
            <w:tcBorders>
              <w:top w:val="single" w:sz="4" w:space="0" w:color="auto"/>
              <w:left w:val="single" w:sz="4" w:space="0" w:color="auto"/>
              <w:bottom w:val="single" w:sz="4" w:space="0" w:color="auto"/>
              <w:right w:val="single" w:sz="4" w:space="0" w:color="auto"/>
            </w:tcBorders>
          </w:tcPr>
          <w:p w14:paraId="5548EBFF"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7. Tranzacții în cont propriu sau în contul clienților, cu oricare dintre următoarele:</w:t>
            </w:r>
          </w:p>
          <w:p w14:paraId="0F421E20"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(a)instrumente de pe piața monetară (cecuri, efecte de comerț, certificate de depozit etc.);</w:t>
            </w:r>
          </w:p>
          <w:p w14:paraId="768A6C97"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(b) valută;</w:t>
            </w:r>
          </w:p>
          <w:p w14:paraId="3774DB2F"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(c) contracte futures pe instrumente financiare și contracte cu opțiuni;</w:t>
            </w:r>
          </w:p>
          <w:p w14:paraId="19097D82"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(d) instrumente valutare și de rate ale dobânzii;</w:t>
            </w:r>
          </w:p>
          <w:p w14:paraId="4BEAA689" w14:textId="1C209921"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(e) valori mobiliare.</w:t>
            </w:r>
          </w:p>
        </w:tc>
        <w:tc>
          <w:tcPr>
            <w:tcW w:w="1928" w:type="pct"/>
            <w:gridSpan w:val="3"/>
            <w:tcBorders>
              <w:top w:val="single" w:sz="4" w:space="0" w:color="auto"/>
              <w:left w:val="single" w:sz="4" w:space="0" w:color="auto"/>
              <w:bottom w:val="single" w:sz="4" w:space="0" w:color="auto"/>
              <w:right w:val="single" w:sz="4" w:space="0" w:color="auto"/>
            </w:tcBorders>
          </w:tcPr>
          <w:p w14:paraId="1D2F9CF1" w14:textId="24BFD643"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lang w:val="ro-RO"/>
              </w:rPr>
              <w:t>g) tranzacţii în cont propriu sau în contul clienţilor cu oricare dintre următoarele: instrumente ale pieţei monetare (cecuri, efecte de comerţ, certificate de depozit etc.); valută străină; contracte futures şi contracte cu opţiuni pe instrumente financiare; instrumente avînd la bază cursul de schimb şi rata dobînzii; valori mobiliare şi alte instrumente financiare;</w:t>
            </w:r>
          </w:p>
        </w:tc>
        <w:tc>
          <w:tcPr>
            <w:tcW w:w="470" w:type="pct"/>
            <w:tcBorders>
              <w:top w:val="single" w:sz="4" w:space="0" w:color="auto"/>
              <w:left w:val="single" w:sz="4" w:space="0" w:color="auto"/>
              <w:bottom w:val="single" w:sz="4" w:space="0" w:color="auto"/>
              <w:right w:val="single" w:sz="4" w:space="0" w:color="auto"/>
            </w:tcBorders>
          </w:tcPr>
          <w:p w14:paraId="46A47D40" w14:textId="1FE32E93"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4FDB93F0" w14:textId="77777777" w:rsidR="00984B34" w:rsidRPr="009E686F" w:rsidRDefault="00984B34" w:rsidP="00984B34">
            <w:pPr>
              <w:jc w:val="both"/>
              <w:rPr>
                <w:rFonts w:ascii="Times New Roman" w:hAnsi="Times New Roman" w:cs="Times New Roman"/>
                <w:lang w:val="ro-RO"/>
              </w:rPr>
            </w:pPr>
          </w:p>
        </w:tc>
      </w:tr>
      <w:tr w:rsidR="00984B34" w:rsidRPr="009E686F" w14:paraId="5E9E08E8" w14:textId="61ABFEA5" w:rsidTr="00774F3E">
        <w:tc>
          <w:tcPr>
            <w:tcW w:w="1796" w:type="pct"/>
            <w:gridSpan w:val="2"/>
            <w:tcBorders>
              <w:top w:val="single" w:sz="4" w:space="0" w:color="auto"/>
              <w:left w:val="single" w:sz="4" w:space="0" w:color="auto"/>
              <w:bottom w:val="single" w:sz="4" w:space="0" w:color="auto"/>
              <w:right w:val="single" w:sz="4" w:space="0" w:color="auto"/>
            </w:tcBorders>
          </w:tcPr>
          <w:p w14:paraId="631D3C2F" w14:textId="0125BFF0"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8. Participare la emisiunile de valori mobiliare și prestarea de servicii legate de aceste emisiuni</w:t>
            </w:r>
          </w:p>
        </w:tc>
        <w:tc>
          <w:tcPr>
            <w:tcW w:w="1928" w:type="pct"/>
            <w:gridSpan w:val="3"/>
            <w:tcBorders>
              <w:top w:val="single" w:sz="4" w:space="0" w:color="auto"/>
              <w:left w:val="single" w:sz="4" w:space="0" w:color="auto"/>
              <w:bottom w:val="single" w:sz="4" w:space="0" w:color="auto"/>
              <w:right w:val="single" w:sz="4" w:space="0" w:color="auto"/>
            </w:tcBorders>
          </w:tcPr>
          <w:p w14:paraId="148CA420" w14:textId="55EBEF6D"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lang w:val="ro-RO"/>
              </w:rPr>
              <w:t>h) participare la emisiunile de valori mobiliare și alte instrumente financiare și prestarea de servicii legate de aceste emisiuni;</w:t>
            </w:r>
          </w:p>
        </w:tc>
        <w:tc>
          <w:tcPr>
            <w:tcW w:w="470" w:type="pct"/>
            <w:tcBorders>
              <w:top w:val="single" w:sz="4" w:space="0" w:color="auto"/>
              <w:left w:val="single" w:sz="4" w:space="0" w:color="auto"/>
              <w:bottom w:val="single" w:sz="4" w:space="0" w:color="auto"/>
              <w:right w:val="single" w:sz="4" w:space="0" w:color="auto"/>
            </w:tcBorders>
          </w:tcPr>
          <w:p w14:paraId="72811F63" w14:textId="58DA6709"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7CB90741" w14:textId="77777777" w:rsidR="00984B34" w:rsidRPr="009E686F" w:rsidRDefault="00984B34" w:rsidP="00984B34">
            <w:pPr>
              <w:jc w:val="both"/>
              <w:rPr>
                <w:rFonts w:ascii="Times New Roman" w:hAnsi="Times New Roman" w:cs="Times New Roman"/>
                <w:lang w:val="ro-RO"/>
              </w:rPr>
            </w:pPr>
          </w:p>
        </w:tc>
      </w:tr>
      <w:tr w:rsidR="00984B34" w:rsidRPr="009E686F" w14:paraId="66221C09" w14:textId="3C584F9B" w:rsidTr="00774F3E">
        <w:tc>
          <w:tcPr>
            <w:tcW w:w="1796" w:type="pct"/>
            <w:gridSpan w:val="2"/>
            <w:tcBorders>
              <w:top w:val="single" w:sz="4" w:space="0" w:color="auto"/>
              <w:left w:val="single" w:sz="4" w:space="0" w:color="auto"/>
              <w:bottom w:val="single" w:sz="4" w:space="0" w:color="auto"/>
              <w:right w:val="single" w:sz="4" w:space="0" w:color="auto"/>
            </w:tcBorders>
          </w:tcPr>
          <w:p w14:paraId="7CF60C1A" w14:textId="6701755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9. Consultanță acordată întreprinderilor cu privire la structura capitalului social, strategia industrială și alte aspecte conexe, precum și consultanță și servicii referitoare la fuziuni și achiziții de întreprinderi</w:t>
            </w:r>
          </w:p>
        </w:tc>
        <w:tc>
          <w:tcPr>
            <w:tcW w:w="1928" w:type="pct"/>
            <w:gridSpan w:val="3"/>
            <w:tcBorders>
              <w:top w:val="single" w:sz="4" w:space="0" w:color="auto"/>
              <w:left w:val="single" w:sz="4" w:space="0" w:color="auto"/>
              <w:bottom w:val="single" w:sz="4" w:space="0" w:color="auto"/>
              <w:right w:val="single" w:sz="4" w:space="0" w:color="auto"/>
            </w:tcBorders>
          </w:tcPr>
          <w:p w14:paraId="26AEF8F4" w14:textId="286229B3"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lang w:val="ro-RO"/>
              </w:rPr>
              <w:t>i) consultanță acordată persoanelor juridice cu privire la structura capitalului social, strategia de afaceri și alte aspecte legate de afaceri comerciale, precum și consultanță și servicii referitoare la fuziuni și achiziții de persoane juridice;</w:t>
            </w:r>
          </w:p>
        </w:tc>
        <w:tc>
          <w:tcPr>
            <w:tcW w:w="470" w:type="pct"/>
            <w:tcBorders>
              <w:top w:val="single" w:sz="4" w:space="0" w:color="auto"/>
              <w:left w:val="single" w:sz="4" w:space="0" w:color="auto"/>
              <w:bottom w:val="single" w:sz="4" w:space="0" w:color="auto"/>
              <w:right w:val="single" w:sz="4" w:space="0" w:color="auto"/>
            </w:tcBorders>
          </w:tcPr>
          <w:p w14:paraId="21918182" w14:textId="4DAFB7A9"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115BDDC8" w14:textId="77777777" w:rsidR="00984B34" w:rsidRPr="009E686F" w:rsidRDefault="00984B34" w:rsidP="00984B34">
            <w:pPr>
              <w:jc w:val="both"/>
              <w:rPr>
                <w:rFonts w:ascii="Times New Roman" w:hAnsi="Times New Roman" w:cs="Times New Roman"/>
                <w:lang w:val="ro-RO"/>
              </w:rPr>
            </w:pPr>
          </w:p>
        </w:tc>
      </w:tr>
      <w:tr w:rsidR="00984B34" w:rsidRPr="009E686F" w14:paraId="22D80E7F" w14:textId="58D15753" w:rsidTr="00774F3E">
        <w:tc>
          <w:tcPr>
            <w:tcW w:w="1796" w:type="pct"/>
            <w:gridSpan w:val="2"/>
            <w:tcBorders>
              <w:top w:val="single" w:sz="4" w:space="0" w:color="auto"/>
              <w:left w:val="single" w:sz="4" w:space="0" w:color="auto"/>
              <w:bottom w:val="single" w:sz="4" w:space="0" w:color="auto"/>
              <w:right w:val="single" w:sz="4" w:space="0" w:color="auto"/>
            </w:tcBorders>
          </w:tcPr>
          <w:p w14:paraId="5075CD5E" w14:textId="125AEA45"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10. Brokeraj monetar;</w:t>
            </w:r>
          </w:p>
        </w:tc>
        <w:tc>
          <w:tcPr>
            <w:tcW w:w="1928" w:type="pct"/>
            <w:gridSpan w:val="3"/>
            <w:tcBorders>
              <w:top w:val="single" w:sz="4" w:space="0" w:color="auto"/>
              <w:left w:val="single" w:sz="4" w:space="0" w:color="auto"/>
              <w:bottom w:val="single" w:sz="4" w:space="0" w:color="auto"/>
              <w:right w:val="single" w:sz="4" w:space="0" w:color="auto"/>
            </w:tcBorders>
          </w:tcPr>
          <w:p w14:paraId="0A4CAF18" w14:textId="6FB2B0B0"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lang w:val="ro-RO"/>
              </w:rPr>
              <w:t>j) brokeraj monetar (intermediere pe piețele interbancare);</w:t>
            </w:r>
          </w:p>
        </w:tc>
        <w:tc>
          <w:tcPr>
            <w:tcW w:w="470" w:type="pct"/>
            <w:tcBorders>
              <w:top w:val="single" w:sz="4" w:space="0" w:color="auto"/>
              <w:left w:val="single" w:sz="4" w:space="0" w:color="auto"/>
              <w:bottom w:val="single" w:sz="4" w:space="0" w:color="auto"/>
              <w:right w:val="single" w:sz="4" w:space="0" w:color="auto"/>
            </w:tcBorders>
          </w:tcPr>
          <w:p w14:paraId="3AE5F440" w14:textId="284E4EC0"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26977D30" w14:textId="77777777" w:rsidR="00984B34" w:rsidRPr="009E686F" w:rsidRDefault="00984B34" w:rsidP="00984B34">
            <w:pPr>
              <w:jc w:val="both"/>
              <w:rPr>
                <w:rFonts w:ascii="Times New Roman" w:hAnsi="Times New Roman" w:cs="Times New Roman"/>
                <w:lang w:val="ro-RO"/>
              </w:rPr>
            </w:pPr>
          </w:p>
        </w:tc>
      </w:tr>
      <w:tr w:rsidR="00984B34" w:rsidRPr="009E686F" w14:paraId="1FF3120B" w14:textId="6B2EE3A3" w:rsidTr="00774F3E">
        <w:tc>
          <w:tcPr>
            <w:tcW w:w="1796" w:type="pct"/>
            <w:gridSpan w:val="2"/>
            <w:tcBorders>
              <w:top w:val="single" w:sz="4" w:space="0" w:color="auto"/>
              <w:left w:val="single" w:sz="4" w:space="0" w:color="auto"/>
              <w:bottom w:val="single" w:sz="4" w:space="0" w:color="auto"/>
              <w:right w:val="single" w:sz="4" w:space="0" w:color="auto"/>
            </w:tcBorders>
          </w:tcPr>
          <w:p w14:paraId="0003B08F" w14:textId="58A349C2"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11. Administrarea de portofolii și consultanță;</w:t>
            </w:r>
          </w:p>
        </w:tc>
        <w:tc>
          <w:tcPr>
            <w:tcW w:w="1928" w:type="pct"/>
            <w:gridSpan w:val="3"/>
            <w:tcBorders>
              <w:top w:val="single" w:sz="4" w:space="0" w:color="auto"/>
              <w:left w:val="single" w:sz="4" w:space="0" w:color="auto"/>
              <w:bottom w:val="single" w:sz="4" w:space="0" w:color="auto"/>
              <w:right w:val="single" w:sz="4" w:space="0" w:color="auto"/>
            </w:tcBorders>
          </w:tcPr>
          <w:p w14:paraId="124FBF02" w14:textId="03600110"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lang w:val="ro-RO"/>
              </w:rPr>
              <w:t>k) administrarea de portofolii şi consultanţă legată de aceasta;</w:t>
            </w:r>
          </w:p>
        </w:tc>
        <w:tc>
          <w:tcPr>
            <w:tcW w:w="470" w:type="pct"/>
            <w:tcBorders>
              <w:top w:val="single" w:sz="4" w:space="0" w:color="auto"/>
              <w:left w:val="single" w:sz="4" w:space="0" w:color="auto"/>
              <w:bottom w:val="single" w:sz="4" w:space="0" w:color="auto"/>
              <w:right w:val="single" w:sz="4" w:space="0" w:color="auto"/>
            </w:tcBorders>
          </w:tcPr>
          <w:p w14:paraId="185F6D5C" w14:textId="5F2FEAB9"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4F531AF6" w14:textId="77777777" w:rsidR="00984B34" w:rsidRPr="009E686F" w:rsidRDefault="00984B34" w:rsidP="00984B34">
            <w:pPr>
              <w:jc w:val="both"/>
              <w:rPr>
                <w:rFonts w:ascii="Times New Roman" w:hAnsi="Times New Roman" w:cs="Times New Roman"/>
                <w:lang w:val="ro-RO"/>
              </w:rPr>
            </w:pPr>
          </w:p>
        </w:tc>
      </w:tr>
      <w:tr w:rsidR="00984B34" w:rsidRPr="009E686F" w14:paraId="70863BA6" w14:textId="23B5E363" w:rsidTr="00774F3E">
        <w:tc>
          <w:tcPr>
            <w:tcW w:w="1796" w:type="pct"/>
            <w:gridSpan w:val="2"/>
            <w:tcBorders>
              <w:top w:val="single" w:sz="4" w:space="0" w:color="auto"/>
              <w:left w:val="single" w:sz="4" w:space="0" w:color="auto"/>
              <w:bottom w:val="single" w:sz="4" w:space="0" w:color="auto"/>
              <w:right w:val="single" w:sz="4" w:space="0" w:color="auto"/>
            </w:tcBorders>
          </w:tcPr>
          <w:p w14:paraId="084B3F18" w14:textId="6495C89B"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12. Păstrarea și administrarea valorilor mobiliare;</w:t>
            </w:r>
          </w:p>
        </w:tc>
        <w:tc>
          <w:tcPr>
            <w:tcW w:w="1928" w:type="pct"/>
            <w:gridSpan w:val="3"/>
            <w:tcBorders>
              <w:top w:val="single" w:sz="4" w:space="0" w:color="auto"/>
              <w:left w:val="single" w:sz="4" w:space="0" w:color="auto"/>
              <w:bottom w:val="single" w:sz="4" w:space="0" w:color="auto"/>
              <w:right w:val="single" w:sz="4" w:space="0" w:color="auto"/>
            </w:tcBorders>
          </w:tcPr>
          <w:p w14:paraId="6DFBF608" w14:textId="5123BA8B"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lang w:val="ro-RO"/>
              </w:rPr>
              <w:t>l) custodia și administrarea de instrumente financiare;</w:t>
            </w:r>
          </w:p>
        </w:tc>
        <w:tc>
          <w:tcPr>
            <w:tcW w:w="470" w:type="pct"/>
            <w:tcBorders>
              <w:top w:val="single" w:sz="4" w:space="0" w:color="auto"/>
              <w:left w:val="single" w:sz="4" w:space="0" w:color="auto"/>
              <w:bottom w:val="single" w:sz="4" w:space="0" w:color="auto"/>
              <w:right w:val="single" w:sz="4" w:space="0" w:color="auto"/>
            </w:tcBorders>
          </w:tcPr>
          <w:p w14:paraId="761A784E" w14:textId="0E77DB71"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64A8D478" w14:textId="77777777" w:rsidR="00984B34" w:rsidRPr="009E686F" w:rsidRDefault="00984B34" w:rsidP="00984B34">
            <w:pPr>
              <w:jc w:val="both"/>
              <w:rPr>
                <w:rFonts w:ascii="Times New Roman" w:hAnsi="Times New Roman" w:cs="Times New Roman"/>
                <w:lang w:val="ro-RO"/>
              </w:rPr>
            </w:pPr>
          </w:p>
        </w:tc>
      </w:tr>
      <w:tr w:rsidR="00984B34" w:rsidRPr="009E686F" w14:paraId="08A83D6F" w14:textId="39D7EC5B" w:rsidTr="00774F3E">
        <w:tc>
          <w:tcPr>
            <w:tcW w:w="1796" w:type="pct"/>
            <w:gridSpan w:val="2"/>
            <w:tcBorders>
              <w:top w:val="single" w:sz="4" w:space="0" w:color="auto"/>
              <w:left w:val="single" w:sz="4" w:space="0" w:color="auto"/>
              <w:bottom w:val="single" w:sz="4" w:space="0" w:color="auto"/>
              <w:right w:val="single" w:sz="4" w:space="0" w:color="auto"/>
            </w:tcBorders>
          </w:tcPr>
          <w:p w14:paraId="0C7B1DFB" w14:textId="1E6A61F4"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13. Servicii de informații privind creditele;</w:t>
            </w:r>
          </w:p>
        </w:tc>
        <w:tc>
          <w:tcPr>
            <w:tcW w:w="1928" w:type="pct"/>
            <w:gridSpan w:val="3"/>
            <w:tcBorders>
              <w:top w:val="single" w:sz="4" w:space="0" w:color="auto"/>
              <w:left w:val="single" w:sz="4" w:space="0" w:color="auto"/>
              <w:bottom w:val="single" w:sz="4" w:space="0" w:color="auto"/>
              <w:right w:val="single" w:sz="4" w:space="0" w:color="auto"/>
            </w:tcBorders>
          </w:tcPr>
          <w:p w14:paraId="48E713FD" w14:textId="0F6A21CB"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lang w:val="ro-RO"/>
              </w:rPr>
              <w:t>m) servicii de informații privind creditele;</w:t>
            </w:r>
          </w:p>
        </w:tc>
        <w:tc>
          <w:tcPr>
            <w:tcW w:w="470" w:type="pct"/>
            <w:tcBorders>
              <w:top w:val="single" w:sz="4" w:space="0" w:color="auto"/>
              <w:left w:val="single" w:sz="4" w:space="0" w:color="auto"/>
              <w:bottom w:val="single" w:sz="4" w:space="0" w:color="auto"/>
              <w:right w:val="single" w:sz="4" w:space="0" w:color="auto"/>
            </w:tcBorders>
          </w:tcPr>
          <w:p w14:paraId="63F6A86D" w14:textId="272A2D8F"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645A0DF7" w14:textId="77777777" w:rsidR="00984B34" w:rsidRPr="009E686F" w:rsidRDefault="00984B34" w:rsidP="00984B34">
            <w:pPr>
              <w:jc w:val="both"/>
              <w:rPr>
                <w:rFonts w:ascii="Times New Roman" w:hAnsi="Times New Roman" w:cs="Times New Roman"/>
                <w:lang w:val="ro-RO"/>
              </w:rPr>
            </w:pPr>
          </w:p>
        </w:tc>
      </w:tr>
      <w:tr w:rsidR="00984B34" w:rsidRPr="009E686F" w14:paraId="34F77E8A" w14:textId="46F9B3C9" w:rsidTr="00774F3E">
        <w:tc>
          <w:tcPr>
            <w:tcW w:w="1796" w:type="pct"/>
            <w:gridSpan w:val="2"/>
            <w:tcBorders>
              <w:top w:val="single" w:sz="4" w:space="0" w:color="auto"/>
              <w:left w:val="single" w:sz="4" w:space="0" w:color="auto"/>
              <w:bottom w:val="single" w:sz="4" w:space="0" w:color="auto"/>
              <w:right w:val="single" w:sz="4" w:space="0" w:color="auto"/>
            </w:tcBorders>
          </w:tcPr>
          <w:p w14:paraId="5566DB10" w14:textId="2A0558C1"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14. Servicii de păstrare în depozit;</w:t>
            </w:r>
          </w:p>
        </w:tc>
        <w:tc>
          <w:tcPr>
            <w:tcW w:w="1928" w:type="pct"/>
            <w:gridSpan w:val="3"/>
            <w:tcBorders>
              <w:top w:val="single" w:sz="4" w:space="0" w:color="auto"/>
              <w:left w:val="single" w:sz="4" w:space="0" w:color="auto"/>
              <w:bottom w:val="single" w:sz="4" w:space="0" w:color="auto"/>
              <w:right w:val="single" w:sz="4" w:space="0" w:color="auto"/>
            </w:tcBorders>
          </w:tcPr>
          <w:p w14:paraId="183AEEA8" w14:textId="2455DFAF"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lang w:val="ro-RO"/>
              </w:rPr>
              <w:t>n) servicii de păstrare în casete de siguranță;</w:t>
            </w:r>
          </w:p>
        </w:tc>
        <w:tc>
          <w:tcPr>
            <w:tcW w:w="470" w:type="pct"/>
            <w:tcBorders>
              <w:top w:val="single" w:sz="4" w:space="0" w:color="auto"/>
              <w:left w:val="single" w:sz="4" w:space="0" w:color="auto"/>
              <w:bottom w:val="single" w:sz="4" w:space="0" w:color="auto"/>
              <w:right w:val="single" w:sz="4" w:space="0" w:color="auto"/>
            </w:tcBorders>
          </w:tcPr>
          <w:p w14:paraId="27E27036" w14:textId="18228092"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5F71AD25" w14:textId="77777777" w:rsidR="00984B34" w:rsidRPr="009E686F" w:rsidRDefault="00984B34" w:rsidP="00984B34">
            <w:pPr>
              <w:jc w:val="both"/>
              <w:rPr>
                <w:rFonts w:ascii="Times New Roman" w:hAnsi="Times New Roman" w:cs="Times New Roman"/>
                <w:lang w:val="ro-RO"/>
              </w:rPr>
            </w:pPr>
          </w:p>
        </w:tc>
      </w:tr>
      <w:tr w:rsidR="00984B34" w:rsidRPr="009E686F" w14:paraId="1D3414B2" w14:textId="78B204E7" w:rsidTr="00774F3E">
        <w:tc>
          <w:tcPr>
            <w:tcW w:w="1796" w:type="pct"/>
            <w:gridSpan w:val="2"/>
            <w:tcBorders>
              <w:top w:val="single" w:sz="4" w:space="0" w:color="auto"/>
              <w:left w:val="single" w:sz="4" w:space="0" w:color="auto"/>
              <w:bottom w:val="single" w:sz="4" w:space="0" w:color="auto"/>
              <w:right w:val="single" w:sz="4" w:space="0" w:color="auto"/>
            </w:tcBorders>
          </w:tcPr>
          <w:p w14:paraId="4193F1B0" w14:textId="4D6A1169"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15. Emiterea de  monede electronice, inclusiv de tokenuri de monedă electronică, astfel cum sunt definite la articolul </w:t>
            </w:r>
            <w:r w:rsidRPr="009E686F">
              <w:rPr>
                <w:rFonts w:ascii="Times New Roman" w:hAnsi="Times New Roman" w:cs="Times New Roman"/>
                <w:lang w:val="ro-RO"/>
              </w:rPr>
              <w:lastRenderedPageBreak/>
              <w:t>3 alineatul (1) punctul 7 din Regulamentul (UE) 2023/1114 al Parlamentului European și al Consiliului ( 2 ).</w:t>
            </w:r>
          </w:p>
        </w:tc>
        <w:tc>
          <w:tcPr>
            <w:tcW w:w="1928" w:type="pct"/>
            <w:gridSpan w:val="3"/>
            <w:tcBorders>
              <w:top w:val="single" w:sz="4" w:space="0" w:color="auto"/>
              <w:left w:val="single" w:sz="4" w:space="0" w:color="auto"/>
              <w:bottom w:val="single" w:sz="4" w:space="0" w:color="auto"/>
              <w:right w:val="single" w:sz="4" w:space="0" w:color="auto"/>
            </w:tcBorders>
          </w:tcPr>
          <w:p w14:paraId="50CD2844" w14:textId="1A03FD93"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lang w:val="ro-RO"/>
              </w:rPr>
              <w:lastRenderedPageBreak/>
              <w:t>o) emiterea de monede electronice, inclusiv de tokenuri de monedă electronică,  în conformitate cu Legea nr.114/2012 cu privire la serviciile de plată şi moneda electronică;</w:t>
            </w:r>
          </w:p>
        </w:tc>
        <w:tc>
          <w:tcPr>
            <w:tcW w:w="470" w:type="pct"/>
            <w:tcBorders>
              <w:top w:val="single" w:sz="4" w:space="0" w:color="auto"/>
              <w:left w:val="single" w:sz="4" w:space="0" w:color="auto"/>
              <w:bottom w:val="single" w:sz="4" w:space="0" w:color="auto"/>
              <w:right w:val="single" w:sz="4" w:space="0" w:color="auto"/>
            </w:tcBorders>
          </w:tcPr>
          <w:p w14:paraId="698E8FEB" w14:textId="7EAB2EA9"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1E534416" w14:textId="77777777" w:rsidR="00984B34" w:rsidRPr="009E686F" w:rsidRDefault="00984B34" w:rsidP="00984B34">
            <w:pPr>
              <w:jc w:val="both"/>
              <w:rPr>
                <w:rFonts w:ascii="Times New Roman" w:hAnsi="Times New Roman" w:cs="Times New Roman"/>
                <w:lang w:val="ro-RO"/>
              </w:rPr>
            </w:pPr>
          </w:p>
        </w:tc>
      </w:tr>
      <w:tr w:rsidR="00984B34" w:rsidRPr="009E686F" w14:paraId="473AADBD"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627F0BC6" w14:textId="048AE16D"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16. Emiterea de tokenuri raportate la active astfel cum este definită la articolul 3 alineatul (1) punctul 6 din Regulamentul (UE) 2023/1114.</w:t>
            </w:r>
          </w:p>
        </w:tc>
        <w:tc>
          <w:tcPr>
            <w:tcW w:w="1928" w:type="pct"/>
            <w:gridSpan w:val="3"/>
            <w:tcBorders>
              <w:top w:val="single" w:sz="4" w:space="0" w:color="auto"/>
              <w:left w:val="single" w:sz="4" w:space="0" w:color="auto"/>
              <w:bottom w:val="single" w:sz="4" w:space="0" w:color="auto"/>
              <w:right w:val="single" w:sz="4" w:space="0" w:color="auto"/>
            </w:tcBorders>
          </w:tcPr>
          <w:p w14:paraId="203BFF9A" w14:textId="748EADA1"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o</w:t>
            </w:r>
            <w:r w:rsidRPr="009E686F">
              <w:rPr>
                <w:rFonts w:ascii="Times New Roman" w:hAnsi="Times New Roman" w:cs="Times New Roman"/>
                <w:vertAlign w:val="superscript"/>
                <w:lang w:val="ro-RO"/>
              </w:rPr>
              <w:t>1</w:t>
            </w:r>
            <w:r w:rsidRPr="009E686F">
              <w:rPr>
                <w:rFonts w:ascii="Times New Roman" w:hAnsi="Times New Roman" w:cs="Times New Roman"/>
                <w:lang w:val="ro-RO"/>
              </w:rPr>
              <w:t>) emiterea de tokenuri raportate la active;</w:t>
            </w:r>
          </w:p>
        </w:tc>
        <w:tc>
          <w:tcPr>
            <w:tcW w:w="470" w:type="pct"/>
            <w:tcBorders>
              <w:top w:val="single" w:sz="4" w:space="0" w:color="auto"/>
              <w:left w:val="single" w:sz="4" w:space="0" w:color="auto"/>
              <w:bottom w:val="single" w:sz="4" w:space="0" w:color="auto"/>
              <w:right w:val="single" w:sz="4" w:space="0" w:color="auto"/>
            </w:tcBorders>
          </w:tcPr>
          <w:p w14:paraId="38C976B6" w14:textId="69646EB9"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netranspuse</w:t>
            </w:r>
          </w:p>
        </w:tc>
        <w:tc>
          <w:tcPr>
            <w:tcW w:w="806" w:type="pct"/>
            <w:tcBorders>
              <w:top w:val="single" w:sz="4" w:space="0" w:color="auto"/>
              <w:left w:val="single" w:sz="4" w:space="0" w:color="auto"/>
              <w:bottom w:val="single" w:sz="4" w:space="0" w:color="auto"/>
              <w:right w:val="single" w:sz="4" w:space="0" w:color="auto"/>
            </w:tcBorders>
          </w:tcPr>
          <w:p w14:paraId="23DBEDB3" w14:textId="2F9EA128"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Se va regăsi în proiectul de lege pentru modificarea Legii nr. 202/2017 conex proiectului Legii privind piața critptoactivelor.</w:t>
            </w:r>
          </w:p>
        </w:tc>
      </w:tr>
      <w:tr w:rsidR="00984B34" w:rsidRPr="009E686F" w14:paraId="2905E8B9" w14:textId="77777777" w:rsidTr="00774F3E">
        <w:tc>
          <w:tcPr>
            <w:tcW w:w="1796" w:type="pct"/>
            <w:gridSpan w:val="2"/>
            <w:tcBorders>
              <w:top w:val="single" w:sz="4" w:space="0" w:color="auto"/>
              <w:left w:val="single" w:sz="4" w:space="0" w:color="auto"/>
              <w:bottom w:val="single" w:sz="4" w:space="0" w:color="auto"/>
              <w:right w:val="single" w:sz="4" w:space="0" w:color="auto"/>
            </w:tcBorders>
          </w:tcPr>
          <w:p w14:paraId="5B95CA58" w14:textId="42945358"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17. Serviciile de criptoactive astfel cum sunt definite la articolul 3 alineatul (1) punctul 16 din Regulamentul (UE) 2023/1114.</w:t>
            </w:r>
          </w:p>
        </w:tc>
        <w:tc>
          <w:tcPr>
            <w:tcW w:w="1928" w:type="pct"/>
            <w:gridSpan w:val="3"/>
            <w:tcBorders>
              <w:top w:val="single" w:sz="4" w:space="0" w:color="auto"/>
              <w:left w:val="single" w:sz="4" w:space="0" w:color="auto"/>
              <w:bottom w:val="single" w:sz="4" w:space="0" w:color="auto"/>
              <w:right w:val="single" w:sz="4" w:space="0" w:color="auto"/>
            </w:tcBorders>
          </w:tcPr>
          <w:p w14:paraId="05307BD3" w14:textId="789E0493"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o</w:t>
            </w:r>
            <w:r w:rsidRPr="009E686F">
              <w:rPr>
                <w:rFonts w:ascii="Times New Roman" w:hAnsi="Times New Roman" w:cs="Times New Roman"/>
                <w:vertAlign w:val="superscript"/>
                <w:lang w:val="ro-RO"/>
              </w:rPr>
              <w:t>2</w:t>
            </w:r>
            <w:r w:rsidRPr="009E686F">
              <w:rPr>
                <w:rFonts w:ascii="Times New Roman" w:hAnsi="Times New Roman" w:cs="Times New Roman"/>
                <w:lang w:val="ro-RO"/>
              </w:rPr>
              <w:t>) serviciile de criptoactive;</w:t>
            </w:r>
          </w:p>
        </w:tc>
        <w:tc>
          <w:tcPr>
            <w:tcW w:w="470" w:type="pct"/>
            <w:tcBorders>
              <w:top w:val="single" w:sz="4" w:space="0" w:color="auto"/>
              <w:left w:val="single" w:sz="4" w:space="0" w:color="auto"/>
              <w:bottom w:val="single" w:sz="4" w:space="0" w:color="auto"/>
              <w:right w:val="single" w:sz="4" w:space="0" w:color="auto"/>
            </w:tcBorders>
          </w:tcPr>
          <w:p w14:paraId="300AFE6F" w14:textId="6347691E"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Norme UE netranspuse</w:t>
            </w:r>
          </w:p>
        </w:tc>
        <w:tc>
          <w:tcPr>
            <w:tcW w:w="806" w:type="pct"/>
            <w:tcBorders>
              <w:top w:val="single" w:sz="4" w:space="0" w:color="auto"/>
              <w:left w:val="single" w:sz="4" w:space="0" w:color="auto"/>
              <w:bottom w:val="single" w:sz="4" w:space="0" w:color="auto"/>
              <w:right w:val="single" w:sz="4" w:space="0" w:color="auto"/>
            </w:tcBorders>
          </w:tcPr>
          <w:p w14:paraId="30CFA551" w14:textId="0D8BAB62"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Se va regăsi în proiectul de lege pentru modificarea Legii nr. 202/2017 conex proiectului Legii privind piața critptoactivelor.</w:t>
            </w:r>
          </w:p>
        </w:tc>
      </w:tr>
      <w:tr w:rsidR="00984B34" w:rsidRPr="009E686F" w14:paraId="4A82C3B4" w14:textId="3A9EF498" w:rsidTr="007C56F2">
        <w:tc>
          <w:tcPr>
            <w:tcW w:w="1796" w:type="pct"/>
            <w:gridSpan w:val="2"/>
            <w:vMerge w:val="restart"/>
            <w:tcBorders>
              <w:top w:val="single" w:sz="4" w:space="0" w:color="auto"/>
              <w:left w:val="single" w:sz="4" w:space="0" w:color="auto"/>
              <w:right w:val="single" w:sz="4" w:space="0" w:color="auto"/>
            </w:tcBorders>
          </w:tcPr>
          <w:p w14:paraId="2194B938"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Serviciile și activitățile menționate în secțiunile A și B din anexa I la Directiva 2004/39/CE, atunci când se face referire la instrumentele financiare prevăzute la secțiunea C din anexa I la respectiva directivă, fac obiectul recunoașterii reciproce în conformitate cu prezenta directive.</w:t>
            </w:r>
          </w:p>
        </w:tc>
        <w:tc>
          <w:tcPr>
            <w:tcW w:w="1928" w:type="pct"/>
            <w:gridSpan w:val="3"/>
            <w:tcBorders>
              <w:top w:val="single" w:sz="4" w:space="0" w:color="auto"/>
              <w:left w:val="single" w:sz="4" w:space="0" w:color="auto"/>
              <w:bottom w:val="single" w:sz="4" w:space="0" w:color="auto"/>
              <w:right w:val="single" w:sz="4" w:space="0" w:color="auto"/>
            </w:tcBorders>
          </w:tcPr>
          <w:p w14:paraId="49796DD5" w14:textId="4172337A"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 xml:space="preserve">(2) Sfera activităţilor prevăzute la alin. (1) lit. g) - k), acoperă toate serviciile de investiţii financiare prevăzute la art. 33 din Legea nr. 171/2012 privind piaţa de capital în cazul în care   acestea au ca obiect instrumentele financiare prevăzute la art. 4 din Legea menționată. </w:t>
            </w:r>
          </w:p>
        </w:tc>
        <w:tc>
          <w:tcPr>
            <w:tcW w:w="470" w:type="pct"/>
            <w:tcBorders>
              <w:top w:val="single" w:sz="4" w:space="0" w:color="auto"/>
              <w:left w:val="single" w:sz="4" w:space="0" w:color="auto"/>
              <w:bottom w:val="single" w:sz="4" w:space="0" w:color="auto"/>
              <w:right w:val="single" w:sz="4" w:space="0" w:color="auto"/>
            </w:tcBorders>
          </w:tcPr>
          <w:p w14:paraId="52776C4E" w14:textId="082A107E"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Compatibil</w:t>
            </w:r>
          </w:p>
        </w:tc>
        <w:tc>
          <w:tcPr>
            <w:tcW w:w="806" w:type="pct"/>
            <w:tcBorders>
              <w:top w:val="single" w:sz="4" w:space="0" w:color="auto"/>
              <w:left w:val="single" w:sz="4" w:space="0" w:color="auto"/>
              <w:bottom w:val="single" w:sz="4" w:space="0" w:color="auto"/>
              <w:right w:val="single" w:sz="4" w:space="0" w:color="auto"/>
            </w:tcBorders>
          </w:tcPr>
          <w:p w14:paraId="55FAC1A4" w14:textId="77777777" w:rsidR="00984B34" w:rsidRPr="009E686F" w:rsidRDefault="00984B34" w:rsidP="00984B34">
            <w:pPr>
              <w:jc w:val="both"/>
              <w:rPr>
                <w:rFonts w:ascii="Times New Roman" w:hAnsi="Times New Roman" w:cs="Times New Roman"/>
                <w:lang w:val="ro-RO"/>
              </w:rPr>
            </w:pPr>
          </w:p>
        </w:tc>
      </w:tr>
      <w:tr w:rsidR="00984B34" w:rsidRPr="009E686F" w14:paraId="637FC243" w14:textId="77777777" w:rsidTr="00261C3C">
        <w:tc>
          <w:tcPr>
            <w:tcW w:w="1796" w:type="pct"/>
            <w:gridSpan w:val="2"/>
            <w:vMerge/>
            <w:tcBorders>
              <w:left w:val="single" w:sz="4" w:space="0" w:color="auto"/>
              <w:right w:val="single" w:sz="4" w:space="0" w:color="auto"/>
            </w:tcBorders>
          </w:tcPr>
          <w:p w14:paraId="1C678E1B" w14:textId="77777777" w:rsidR="00984B34" w:rsidRPr="009E686F" w:rsidRDefault="00984B34" w:rsidP="00984B34">
            <w:pPr>
              <w:spacing w:after="0"/>
              <w:jc w:val="both"/>
              <w:rPr>
                <w:rFonts w:ascii="Times New Roman" w:hAnsi="Times New Roman" w:cs="Times New Roman"/>
                <w:lang w:val="ro-RO"/>
              </w:rPr>
            </w:pPr>
          </w:p>
        </w:tc>
        <w:tc>
          <w:tcPr>
            <w:tcW w:w="1928" w:type="pct"/>
            <w:gridSpan w:val="3"/>
            <w:tcBorders>
              <w:top w:val="single" w:sz="4" w:space="0" w:color="auto"/>
              <w:left w:val="single" w:sz="4" w:space="0" w:color="auto"/>
              <w:bottom w:val="single" w:sz="4" w:space="0" w:color="auto"/>
              <w:right w:val="single" w:sz="4" w:space="0" w:color="auto"/>
            </w:tcBorders>
          </w:tcPr>
          <w:p w14:paraId="3A29598F" w14:textId="77777777" w:rsidR="00984B34" w:rsidRPr="009E686F" w:rsidRDefault="00984B34" w:rsidP="00984B34">
            <w:pPr>
              <w:spacing w:after="0"/>
              <w:jc w:val="both"/>
              <w:rPr>
                <w:rFonts w:ascii="Times New Roman" w:hAnsi="Times New Roman" w:cs="Times New Roman"/>
                <w:b/>
                <w:bCs/>
                <w:lang w:val="ro-RO"/>
              </w:rPr>
            </w:pPr>
            <w:r w:rsidRPr="009E686F">
              <w:rPr>
                <w:rFonts w:ascii="Times New Roman" w:hAnsi="Times New Roman" w:cs="Times New Roman"/>
                <w:b/>
                <w:bCs/>
                <w:lang w:val="ro-RO"/>
              </w:rPr>
              <w:t>Art. 14 alin. (1) lit. p)</w:t>
            </w:r>
          </w:p>
          <w:p w14:paraId="0BC92D75" w14:textId="54A43245"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p) orice alte activităţi sau servicii, permise de Banca Naţională a Moldovei, în măsura în care acestea se circumscriu domeniului financiar, cu respectarea prevederilor legale speciale care reglementează respectivele activităţi.</w:t>
            </w:r>
          </w:p>
          <w:p w14:paraId="3B4C80DE" w14:textId="77777777"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b/>
                <w:lang w:val="ro-RO"/>
              </w:rPr>
              <w:t>Art. 14 alin. (1</w:t>
            </w:r>
            <w:r w:rsidRPr="009E686F">
              <w:rPr>
                <w:rFonts w:ascii="Times New Roman" w:hAnsi="Times New Roman" w:cs="Times New Roman"/>
                <w:b/>
                <w:vertAlign w:val="superscript"/>
                <w:lang w:val="ro-RO"/>
              </w:rPr>
              <w:t>1</w:t>
            </w:r>
            <w:r w:rsidRPr="009E686F">
              <w:rPr>
                <w:rFonts w:ascii="Times New Roman" w:hAnsi="Times New Roman" w:cs="Times New Roman"/>
                <w:b/>
                <w:lang w:val="ro-RO"/>
              </w:rPr>
              <w:t>)</w:t>
            </w:r>
          </w:p>
          <w:p w14:paraId="3FE18F23" w14:textId="4769A785"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(1</w:t>
            </w:r>
            <w:r w:rsidRPr="009E686F">
              <w:rPr>
                <w:rFonts w:ascii="Times New Roman" w:hAnsi="Times New Roman" w:cs="Times New Roman"/>
                <w:vertAlign w:val="superscript"/>
                <w:lang w:val="ro-RO"/>
              </w:rPr>
              <w:t>1</w:t>
            </w:r>
            <w:r w:rsidRPr="009E686F">
              <w:rPr>
                <w:rFonts w:ascii="Times New Roman" w:hAnsi="Times New Roman" w:cs="Times New Roman"/>
                <w:lang w:val="ro-RO"/>
              </w:rPr>
              <w:t xml:space="preserve">) Instituțiile de credit pot desfăşura, în baza autorizaţiei acordate de Banca Naţională a Moldovei, activităţi de prestare de servicii pentru clientela proprie, care, deşi nu sunt conexe activităţii desfăşurate de instituția de credit, reprezintă o prelungire a operaţiunilor bancare. Activităţile respective trebuie să fie compatibile cu cerinţele activităţii bancare, în </w:t>
            </w:r>
            <w:r w:rsidRPr="009E686F">
              <w:rPr>
                <w:rFonts w:ascii="Times New Roman" w:hAnsi="Times New Roman" w:cs="Times New Roman"/>
                <w:lang w:val="ro-RO"/>
              </w:rPr>
              <w:lastRenderedPageBreak/>
              <w:t>special cu cele referitoare la menţinerea unei bune reputaţii a instituției de credit şi protejarea intereselor deponenţilor.</w:t>
            </w:r>
          </w:p>
          <w:p w14:paraId="0EA25B48" w14:textId="723E6B39" w:rsidR="00984B34" w:rsidRPr="009E686F" w:rsidRDefault="00984B34" w:rsidP="00984B34">
            <w:pPr>
              <w:spacing w:after="0"/>
              <w:jc w:val="both"/>
              <w:rPr>
                <w:rFonts w:ascii="Times New Roman" w:hAnsi="Times New Roman" w:cs="Times New Roman"/>
                <w:b/>
                <w:lang w:val="ro-RO"/>
              </w:rPr>
            </w:pPr>
            <w:r w:rsidRPr="009E686F">
              <w:rPr>
                <w:rFonts w:ascii="Times New Roman" w:hAnsi="Times New Roman" w:cs="Times New Roman"/>
                <w:b/>
                <w:lang w:val="ro-RO"/>
              </w:rPr>
              <w:t>Art. 14 alin. (3)-(4)</w:t>
            </w:r>
          </w:p>
          <w:p w14:paraId="3786C71E"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(3) Dispoziţiile alin.(1) se interpretează şi se aplică astfel încît activităţile enumerate la alin.(1) să acopere orice operaţiuni, tranzacţii, produse şi servicii care se înscriu în sfera acestor activităţi sau pot fi asimilate acestora, inclusiv serviciile auxiliare acestor activităţi.</w:t>
            </w:r>
          </w:p>
          <w:p w14:paraId="0935359A" w14:textId="77777777" w:rsidR="00984B34" w:rsidRPr="009E686F" w:rsidRDefault="00984B34" w:rsidP="00984B34">
            <w:pPr>
              <w:spacing w:after="0"/>
              <w:jc w:val="both"/>
              <w:rPr>
                <w:rFonts w:ascii="Times New Roman" w:hAnsi="Times New Roman" w:cs="Times New Roman"/>
                <w:lang w:val="ro-RO"/>
              </w:rPr>
            </w:pPr>
            <w:r w:rsidRPr="009E686F">
              <w:rPr>
                <w:rFonts w:ascii="Times New Roman" w:hAnsi="Times New Roman" w:cs="Times New Roman"/>
                <w:lang w:val="ro-RO"/>
              </w:rPr>
              <w:t>4) Activităţile care, potrivit unor legi speciale, sînt supuse unor licenţieri, autorizări, aprobări sau avize specifice pot fi desfăşurate de instituția de credit  numai după obţinerea actelor respective. În cazul în care activităţile prevăzute la alin.(1) sînt reglementate de legi speciale, instituțiile de credit, la prestarea acestor activităţi, vor respecta cerinţele acestor legi privind regulile de desfăşurare.</w:t>
            </w:r>
          </w:p>
          <w:p w14:paraId="7E806946" w14:textId="77777777" w:rsidR="00984B34" w:rsidRPr="009E686F" w:rsidRDefault="00984B34" w:rsidP="00984B34">
            <w:pPr>
              <w:spacing w:after="0"/>
              <w:jc w:val="both"/>
              <w:rPr>
                <w:rFonts w:ascii="Times New Roman" w:hAnsi="Times New Roman" w:cs="Times New Roman"/>
                <w:lang w:val="ro-RO"/>
              </w:rPr>
            </w:pPr>
          </w:p>
          <w:p w14:paraId="4BC350F0" w14:textId="77777777" w:rsidR="00984B34" w:rsidRPr="009E686F" w:rsidRDefault="00984B34" w:rsidP="00984B34">
            <w:pPr>
              <w:spacing w:after="0"/>
              <w:jc w:val="both"/>
              <w:rPr>
                <w:rFonts w:ascii="Times New Roman" w:hAnsi="Times New Roman" w:cs="Times New Roman"/>
                <w:lang w:val="ro-RO"/>
              </w:rPr>
            </w:pPr>
          </w:p>
        </w:tc>
        <w:tc>
          <w:tcPr>
            <w:tcW w:w="470" w:type="pct"/>
            <w:tcBorders>
              <w:top w:val="single" w:sz="4" w:space="0" w:color="auto"/>
              <w:left w:val="single" w:sz="4" w:space="0" w:color="auto"/>
              <w:bottom w:val="single" w:sz="4" w:space="0" w:color="auto"/>
              <w:right w:val="single" w:sz="4" w:space="0" w:color="auto"/>
            </w:tcBorders>
          </w:tcPr>
          <w:p w14:paraId="1F04EAB2" w14:textId="5A6202EA"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lastRenderedPageBreak/>
              <w:t>Compatibil</w:t>
            </w:r>
          </w:p>
        </w:tc>
        <w:tc>
          <w:tcPr>
            <w:tcW w:w="806" w:type="pct"/>
            <w:tcBorders>
              <w:top w:val="single" w:sz="4" w:space="0" w:color="auto"/>
              <w:left w:val="single" w:sz="4" w:space="0" w:color="auto"/>
              <w:bottom w:val="single" w:sz="4" w:space="0" w:color="auto"/>
              <w:right w:val="single" w:sz="4" w:space="0" w:color="auto"/>
            </w:tcBorders>
          </w:tcPr>
          <w:p w14:paraId="46035323" w14:textId="77777777"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 xml:space="preserve">Prevederi cu specific național, care au ca scop stabilirea cât mai clară a activităților persmise instituțiilor de credit. Aceste activități se limitează la activități legate de domeniul financiar sau cpnstituie o prelungire naturală a </w:t>
            </w:r>
            <w:r w:rsidRPr="009E686F">
              <w:rPr>
                <w:rFonts w:ascii="Times New Roman" w:hAnsi="Times New Roman" w:cs="Times New Roman"/>
                <w:lang w:val="ro-RO"/>
              </w:rPr>
              <w:lastRenderedPageBreak/>
              <w:t>operațiunilor desfășurate de instituțiile de credit.</w:t>
            </w:r>
          </w:p>
          <w:p w14:paraId="1AAC6A89" w14:textId="3F86F327" w:rsidR="00984B34" w:rsidRPr="009E686F" w:rsidRDefault="00984B34" w:rsidP="00984B34">
            <w:pPr>
              <w:jc w:val="both"/>
              <w:rPr>
                <w:rFonts w:ascii="Times New Roman" w:hAnsi="Times New Roman" w:cs="Times New Roman"/>
                <w:lang w:val="ro-RO"/>
              </w:rPr>
            </w:pPr>
            <w:r w:rsidRPr="009E686F">
              <w:rPr>
                <w:rFonts w:ascii="Times New Roman" w:hAnsi="Times New Roman" w:cs="Times New Roman"/>
                <w:lang w:val="ro-RO"/>
              </w:rPr>
              <w:t>Alin. (4) a art. 14 reprezintă o măsură de aplicare a cadrului național, care oferă claritatate pentru detinatarii legii. Respectiv, activitățile discutate sunt compatibile cu activitățile listate în Anexa I a Directivei.</w:t>
            </w:r>
          </w:p>
        </w:tc>
      </w:tr>
      <w:tr w:rsidR="00261C3C" w:rsidRPr="009E686F" w14:paraId="396498C9" w14:textId="77777777" w:rsidTr="00261C3C">
        <w:tc>
          <w:tcPr>
            <w:tcW w:w="5000" w:type="pct"/>
            <w:gridSpan w:val="7"/>
            <w:tcBorders>
              <w:left w:val="single" w:sz="4" w:space="0" w:color="auto"/>
              <w:right w:val="single" w:sz="4" w:space="0" w:color="auto"/>
            </w:tcBorders>
          </w:tcPr>
          <w:p w14:paraId="24ADC4D3" w14:textId="45A6428B" w:rsidR="00261C3C" w:rsidRPr="009E686F" w:rsidRDefault="00261C3C" w:rsidP="00984B34">
            <w:pPr>
              <w:jc w:val="both"/>
              <w:rPr>
                <w:rFonts w:ascii="Times New Roman" w:hAnsi="Times New Roman" w:cs="Times New Roman"/>
                <w:b/>
                <w:bCs/>
                <w:lang w:val="ro-RO"/>
              </w:rPr>
            </w:pPr>
            <w:r w:rsidRPr="009E686F">
              <w:rPr>
                <w:rFonts w:ascii="Times New Roman" w:hAnsi="Times New Roman" w:cs="Times New Roman"/>
                <w:b/>
                <w:bCs/>
                <w:lang w:val="ro-RO"/>
              </w:rPr>
              <w:lastRenderedPageBreak/>
              <w:t>Norme cu specific național din Legea nr. 202/2017 privind activitatea băncilor și  Proiectul de lege pentru modificarea unor acte normative (aspecte aferente activității băncilor) Nr. unic Cancelaria de Stat 547/MF/BNM/2026 (modificarea Legii nr. 202/2017)</w:t>
            </w:r>
          </w:p>
        </w:tc>
      </w:tr>
      <w:tr w:rsidR="00261C3C" w:rsidRPr="009E686F" w14:paraId="555BCF4E" w14:textId="77777777" w:rsidTr="00EC348D">
        <w:tc>
          <w:tcPr>
            <w:tcW w:w="1420" w:type="pct"/>
            <w:tcBorders>
              <w:top w:val="single" w:sz="4" w:space="0" w:color="auto"/>
              <w:left w:val="single" w:sz="4" w:space="0" w:color="auto"/>
              <w:bottom w:val="single" w:sz="4" w:space="0" w:color="auto"/>
              <w:right w:val="single" w:sz="4" w:space="0" w:color="auto"/>
            </w:tcBorders>
          </w:tcPr>
          <w:p w14:paraId="0F75E458" w14:textId="77777777" w:rsidR="00261C3C" w:rsidRPr="009E686F" w:rsidRDefault="00261C3C" w:rsidP="00EC348D">
            <w:pPr>
              <w:spacing w:after="0"/>
              <w:jc w:val="both"/>
              <w:rPr>
                <w:rFonts w:ascii="Times New Roman" w:hAnsi="Times New Roman" w:cs="Times New Roman"/>
                <w:lang w:val="ro-RO"/>
              </w:rPr>
            </w:pPr>
          </w:p>
        </w:tc>
        <w:tc>
          <w:tcPr>
            <w:tcW w:w="1551" w:type="pct"/>
            <w:gridSpan w:val="2"/>
            <w:tcBorders>
              <w:top w:val="single" w:sz="4" w:space="0" w:color="auto"/>
              <w:left w:val="single" w:sz="4" w:space="0" w:color="auto"/>
              <w:bottom w:val="single" w:sz="4" w:space="0" w:color="auto"/>
              <w:right w:val="single" w:sz="4" w:space="0" w:color="auto"/>
            </w:tcBorders>
          </w:tcPr>
          <w:p w14:paraId="38C5BBF1" w14:textId="77777777" w:rsidR="00261C3C" w:rsidRPr="009E686F" w:rsidRDefault="00261C3C" w:rsidP="00EC348D">
            <w:pPr>
              <w:spacing w:after="0"/>
              <w:jc w:val="both"/>
              <w:rPr>
                <w:rFonts w:ascii="Times New Roman" w:hAnsi="Times New Roman" w:cs="Times New Roman"/>
                <w:b/>
                <w:bCs/>
                <w:lang w:val="ro-RO"/>
              </w:rPr>
            </w:pPr>
            <w:r w:rsidRPr="009E686F">
              <w:rPr>
                <w:rFonts w:ascii="Times New Roman" w:hAnsi="Times New Roman" w:cs="Times New Roman"/>
                <w:b/>
                <w:bCs/>
                <w:lang w:val="ro-RO"/>
              </w:rPr>
              <w:t>Art. 3 Definiții</w:t>
            </w:r>
          </w:p>
          <w:p w14:paraId="14C7DA54" w14:textId="77777777" w:rsidR="00261C3C" w:rsidRPr="009E686F" w:rsidRDefault="00261C3C" w:rsidP="00EC348D">
            <w:pPr>
              <w:spacing w:after="0"/>
              <w:jc w:val="both"/>
              <w:rPr>
                <w:rFonts w:ascii="Times New Roman" w:hAnsi="Times New Roman" w:cs="Times New Roman"/>
                <w:lang w:val="ro-RO"/>
              </w:rPr>
            </w:pPr>
            <w:r w:rsidRPr="009E686F">
              <w:rPr>
                <w:rFonts w:ascii="Times New Roman" w:hAnsi="Times New Roman" w:cs="Times New Roman"/>
                <w:i/>
                <w:iCs/>
                <w:lang w:val="ro-RO"/>
              </w:rPr>
              <w:t>client</w:t>
            </w:r>
            <w:r w:rsidRPr="009E686F">
              <w:rPr>
                <w:rFonts w:ascii="Times New Roman" w:hAnsi="Times New Roman" w:cs="Times New Roman"/>
                <w:lang w:val="ro-RO"/>
              </w:rPr>
              <w:t xml:space="preserve"> – orice persoană care beneficiază sau a beneficiat de serviciile unei </w:t>
            </w:r>
            <w:r w:rsidRPr="009E686F">
              <w:rPr>
                <w:rFonts w:ascii="Times New Roman" w:hAnsi="Times New Roman" w:cs="Times New Roman"/>
                <w:i/>
                <w:iCs/>
                <w:lang w:val="ro-RO"/>
              </w:rPr>
              <w:t xml:space="preserve">instituții de credit </w:t>
            </w:r>
            <w:r w:rsidRPr="009E686F">
              <w:rPr>
                <w:rFonts w:ascii="Times New Roman" w:hAnsi="Times New Roman" w:cs="Times New Roman"/>
                <w:lang w:val="ro-RO"/>
              </w:rPr>
              <w:t xml:space="preserve">ori persoana cu care </w:t>
            </w:r>
            <w:r w:rsidRPr="009E686F">
              <w:rPr>
                <w:rFonts w:ascii="Times New Roman" w:hAnsi="Times New Roman" w:cs="Times New Roman"/>
                <w:i/>
                <w:iCs/>
                <w:lang w:val="ro-RO"/>
              </w:rPr>
              <w:t>instituția de credit</w:t>
            </w:r>
            <w:r w:rsidRPr="009E686F">
              <w:rPr>
                <w:rFonts w:ascii="Times New Roman" w:hAnsi="Times New Roman" w:cs="Times New Roman"/>
                <w:lang w:val="ro-RO"/>
              </w:rPr>
              <w:t xml:space="preserve"> a negociat o tranzacţie, chiar dacă tranzacţia respectivă nu s-a finalizat;</w:t>
            </w:r>
          </w:p>
          <w:p w14:paraId="520F90D2" w14:textId="77777777" w:rsidR="00261C3C" w:rsidRPr="009E686F" w:rsidRDefault="00261C3C" w:rsidP="00EC348D">
            <w:pPr>
              <w:spacing w:after="0"/>
              <w:jc w:val="both"/>
              <w:rPr>
                <w:rFonts w:ascii="Times New Roman" w:hAnsi="Times New Roman" w:cs="Times New Roman"/>
                <w:lang w:val="ro-RO"/>
              </w:rPr>
            </w:pPr>
            <w:r w:rsidRPr="009E686F">
              <w:rPr>
                <w:rFonts w:ascii="Times New Roman" w:hAnsi="Times New Roman" w:cs="Times New Roman"/>
                <w:i/>
                <w:lang w:val="ro-RO"/>
              </w:rPr>
              <w:t>credit</w:t>
            </w:r>
            <w:r w:rsidRPr="009E686F">
              <w:rPr>
                <w:rFonts w:ascii="Times New Roman" w:hAnsi="Times New Roman" w:cs="Times New Roman"/>
                <w:lang w:val="ro-RO"/>
              </w:rPr>
              <w:t xml:space="preserve"> – orice angajament de a acorda bani ca împrumut, cu condiţia rambursării lor, a plăţii dobînzii şi a altor plăţi aferente; orice prelungire a termenului de rambursare a datoriei; orice garanţie emisă, precum şi orice angajament de a achiziţiona o creanţă sau alte drepturi de a efectua o plată;</w:t>
            </w:r>
          </w:p>
          <w:p w14:paraId="3A33ACFE" w14:textId="77777777" w:rsidR="00261C3C" w:rsidRPr="009E686F" w:rsidRDefault="00261C3C" w:rsidP="00EC348D">
            <w:pPr>
              <w:spacing w:after="0"/>
              <w:jc w:val="both"/>
              <w:rPr>
                <w:rFonts w:ascii="Times New Roman" w:hAnsi="Times New Roman" w:cs="Times New Roman"/>
                <w:lang w:val="ro-RO"/>
              </w:rPr>
            </w:pPr>
            <w:r w:rsidRPr="009E686F">
              <w:rPr>
                <w:rFonts w:ascii="Times New Roman" w:hAnsi="Times New Roman" w:cs="Times New Roman"/>
                <w:i/>
                <w:lang w:val="ro-RO"/>
              </w:rPr>
              <w:lastRenderedPageBreak/>
              <w:t>datorie subordonată</w:t>
            </w:r>
            <w:r w:rsidRPr="009E686F">
              <w:rPr>
                <w:rFonts w:ascii="Times New Roman" w:hAnsi="Times New Roman" w:cs="Times New Roman"/>
                <w:lang w:val="ro-RO"/>
              </w:rPr>
              <w:t xml:space="preserve"> – împrumut care îndeplineşte cumulativ următoarele criterii:</w:t>
            </w:r>
          </w:p>
          <w:p w14:paraId="6B806AE8" w14:textId="77777777" w:rsidR="00261C3C" w:rsidRPr="009E686F" w:rsidRDefault="00261C3C" w:rsidP="00EC348D">
            <w:pPr>
              <w:spacing w:after="0"/>
              <w:jc w:val="both"/>
              <w:rPr>
                <w:rFonts w:ascii="Times New Roman" w:hAnsi="Times New Roman" w:cs="Times New Roman"/>
                <w:lang w:val="pt-BR"/>
              </w:rPr>
            </w:pPr>
            <w:r w:rsidRPr="009E686F">
              <w:rPr>
                <w:rFonts w:ascii="Times New Roman" w:hAnsi="Times New Roman" w:cs="Times New Roman"/>
                <w:lang w:val="pt-BR"/>
              </w:rPr>
              <w:t>a) nu este garantat;</w:t>
            </w:r>
          </w:p>
          <w:p w14:paraId="38922FEE" w14:textId="77777777" w:rsidR="00261C3C" w:rsidRPr="009E686F" w:rsidRDefault="00261C3C" w:rsidP="00EC348D">
            <w:pPr>
              <w:spacing w:after="0"/>
              <w:jc w:val="both"/>
              <w:rPr>
                <w:rFonts w:ascii="Times New Roman" w:hAnsi="Times New Roman" w:cs="Times New Roman"/>
                <w:lang w:val="pt-BR"/>
              </w:rPr>
            </w:pPr>
            <w:r w:rsidRPr="009E686F">
              <w:rPr>
                <w:rFonts w:ascii="Times New Roman" w:hAnsi="Times New Roman" w:cs="Times New Roman"/>
                <w:lang w:val="pt-BR"/>
              </w:rPr>
              <w:t xml:space="preserve">b) termenul de scadenţă este de cel puţin 5 ani. Dacă termenul de scadenţă nu este fixat, împrumutul este rambursabil, la discreţia exclusivă a </w:t>
            </w:r>
            <w:r w:rsidRPr="009E686F">
              <w:rPr>
                <w:rFonts w:ascii="Times New Roman" w:hAnsi="Times New Roman" w:cs="Times New Roman"/>
                <w:i/>
                <w:lang w:val="pt-BR"/>
              </w:rPr>
              <w:t>instituției de credit</w:t>
            </w:r>
            <w:r w:rsidRPr="009E686F">
              <w:rPr>
                <w:rFonts w:ascii="Times New Roman" w:hAnsi="Times New Roman" w:cs="Times New Roman"/>
                <w:lang w:val="pt-BR"/>
              </w:rPr>
              <w:t>, însă nu mai devreme de 5 ani de la data acordării;</w:t>
            </w:r>
          </w:p>
          <w:p w14:paraId="5B459BCB" w14:textId="77777777" w:rsidR="00261C3C" w:rsidRPr="009E686F" w:rsidRDefault="00261C3C" w:rsidP="00EC348D">
            <w:pPr>
              <w:spacing w:after="0"/>
              <w:jc w:val="both"/>
              <w:rPr>
                <w:rFonts w:ascii="Times New Roman" w:hAnsi="Times New Roman" w:cs="Times New Roman"/>
                <w:lang w:val="pt-BR"/>
              </w:rPr>
            </w:pPr>
            <w:r w:rsidRPr="009E686F">
              <w:rPr>
                <w:rFonts w:ascii="Times New Roman" w:hAnsi="Times New Roman" w:cs="Times New Roman"/>
                <w:lang w:val="pt-BR"/>
              </w:rPr>
              <w:t>c) condiţiile de acordare nu conţin niciun stimulent privind rambursarea anticipată de către instituția de credit;</w:t>
            </w:r>
          </w:p>
          <w:p w14:paraId="1876AEE3" w14:textId="77777777" w:rsidR="00261C3C" w:rsidRPr="009E686F" w:rsidRDefault="00261C3C" w:rsidP="00EC348D">
            <w:pPr>
              <w:spacing w:after="0"/>
              <w:jc w:val="both"/>
              <w:rPr>
                <w:rFonts w:ascii="Times New Roman" w:hAnsi="Times New Roman" w:cs="Times New Roman"/>
                <w:lang w:val="pt-BR"/>
              </w:rPr>
            </w:pPr>
            <w:r w:rsidRPr="009E686F">
              <w:rPr>
                <w:rFonts w:ascii="Times New Roman" w:hAnsi="Times New Roman" w:cs="Times New Roman"/>
                <w:lang w:val="pt-BR"/>
              </w:rPr>
              <w:t xml:space="preserve">d) dispoziţiile care reglementează datoriile subordonate nu indică în mod explicit sau implicit că datoriile subordonate vor fi sau ar putea fi rambursate anticipat de către </w:t>
            </w:r>
            <w:r w:rsidRPr="009E686F">
              <w:rPr>
                <w:rFonts w:ascii="Times New Roman" w:hAnsi="Times New Roman" w:cs="Times New Roman"/>
                <w:i/>
                <w:lang w:val="pt-BR"/>
              </w:rPr>
              <w:t>instituția de credit</w:t>
            </w:r>
            <w:r w:rsidRPr="009E686F">
              <w:rPr>
                <w:rFonts w:ascii="Times New Roman" w:hAnsi="Times New Roman" w:cs="Times New Roman"/>
                <w:lang w:val="pt-BR"/>
              </w:rPr>
              <w:t xml:space="preserve">  în alte cazuri decît lichidarea </w:t>
            </w:r>
            <w:r w:rsidRPr="009E686F">
              <w:rPr>
                <w:rFonts w:ascii="Times New Roman" w:hAnsi="Times New Roman" w:cs="Times New Roman"/>
                <w:i/>
                <w:lang w:val="pt-BR"/>
              </w:rPr>
              <w:t>instituției de credit</w:t>
            </w:r>
            <w:r w:rsidRPr="009E686F">
              <w:rPr>
                <w:rFonts w:ascii="Times New Roman" w:hAnsi="Times New Roman" w:cs="Times New Roman"/>
                <w:lang w:val="pt-BR"/>
              </w:rPr>
              <w:t>;</w:t>
            </w:r>
          </w:p>
          <w:p w14:paraId="1C2002C6" w14:textId="77777777" w:rsidR="00261C3C" w:rsidRPr="009E686F" w:rsidRDefault="00261C3C" w:rsidP="00EC348D">
            <w:pPr>
              <w:spacing w:after="0"/>
              <w:jc w:val="both"/>
              <w:rPr>
                <w:rFonts w:ascii="Times New Roman" w:hAnsi="Times New Roman" w:cs="Times New Roman"/>
                <w:lang w:val="pt-BR"/>
              </w:rPr>
            </w:pPr>
            <w:r w:rsidRPr="009E686F">
              <w:rPr>
                <w:rFonts w:ascii="Times New Roman" w:hAnsi="Times New Roman" w:cs="Times New Roman"/>
                <w:lang w:val="pt-BR"/>
              </w:rPr>
              <w:t xml:space="preserve">e) în cazul lichidării </w:t>
            </w:r>
            <w:r w:rsidRPr="009E686F">
              <w:rPr>
                <w:rFonts w:ascii="Times New Roman" w:hAnsi="Times New Roman" w:cs="Times New Roman"/>
                <w:i/>
                <w:lang w:val="pt-BR"/>
              </w:rPr>
              <w:t>instituției de credit</w:t>
            </w:r>
            <w:r w:rsidRPr="009E686F">
              <w:rPr>
                <w:rFonts w:ascii="Times New Roman" w:hAnsi="Times New Roman" w:cs="Times New Roman"/>
                <w:lang w:val="pt-BR"/>
              </w:rPr>
              <w:t xml:space="preserve">, se achită după executarea creanţelor tuturor creditorilor </w:t>
            </w:r>
            <w:r w:rsidRPr="009E686F">
              <w:rPr>
                <w:rFonts w:ascii="Times New Roman" w:hAnsi="Times New Roman" w:cs="Times New Roman"/>
                <w:i/>
                <w:lang w:val="pt-BR"/>
              </w:rPr>
              <w:t>instituției de credit</w:t>
            </w:r>
            <w:r w:rsidRPr="009E686F">
              <w:rPr>
                <w:rFonts w:ascii="Times New Roman" w:hAnsi="Times New Roman" w:cs="Times New Roman"/>
                <w:lang w:val="pt-BR"/>
              </w:rPr>
              <w:t xml:space="preserve">, dar înaintea executării creanţelor acţionarilor, ale foştilor deţinători de cotă în capitalul social al </w:t>
            </w:r>
            <w:r w:rsidRPr="009E686F">
              <w:rPr>
                <w:rFonts w:ascii="Times New Roman" w:hAnsi="Times New Roman" w:cs="Times New Roman"/>
                <w:i/>
                <w:lang w:val="pt-BR"/>
              </w:rPr>
              <w:t>instituției de credit</w:t>
            </w:r>
            <w:r w:rsidRPr="009E686F">
              <w:rPr>
                <w:rFonts w:ascii="Times New Roman" w:hAnsi="Times New Roman" w:cs="Times New Roman"/>
                <w:lang w:val="pt-BR"/>
              </w:rPr>
              <w:t xml:space="preserve"> faţă de care au fost dispuse măsurile prevăzute de lege privind anularea şi emiterea de noi acţiuni, în cazul în care aceştia deţin o creanţă faţă de </w:t>
            </w:r>
            <w:r w:rsidRPr="009E686F">
              <w:rPr>
                <w:rFonts w:ascii="Times New Roman" w:hAnsi="Times New Roman" w:cs="Times New Roman"/>
                <w:i/>
                <w:lang w:val="pt-BR"/>
              </w:rPr>
              <w:t>instituția de credit</w:t>
            </w:r>
            <w:r w:rsidRPr="009E686F">
              <w:rPr>
                <w:rFonts w:ascii="Times New Roman" w:hAnsi="Times New Roman" w:cs="Times New Roman"/>
                <w:lang w:val="pt-BR"/>
              </w:rPr>
              <w:t xml:space="preserve">  rezultantă din anularea acţiunilor deţinute de ei, şi ale deţinătorilor de datorii subordonate emise în condiţiile art.52</w:t>
            </w:r>
            <w:r w:rsidRPr="009E686F">
              <w:rPr>
                <w:rFonts w:ascii="Times New Roman" w:hAnsi="Times New Roman" w:cs="Times New Roman"/>
                <w:vertAlign w:val="superscript"/>
                <w:lang w:val="pt-BR"/>
              </w:rPr>
              <w:t>1</w:t>
            </w:r>
            <w:r w:rsidRPr="009E686F">
              <w:rPr>
                <w:rFonts w:ascii="Times New Roman" w:hAnsi="Times New Roman" w:cs="Times New Roman"/>
                <w:lang w:val="pt-BR"/>
              </w:rPr>
              <w:t>;</w:t>
            </w:r>
          </w:p>
          <w:p w14:paraId="13172446" w14:textId="77777777" w:rsidR="00261C3C" w:rsidRPr="009E686F" w:rsidRDefault="00261C3C" w:rsidP="00EC348D">
            <w:pPr>
              <w:spacing w:after="0"/>
              <w:jc w:val="both"/>
              <w:rPr>
                <w:rFonts w:ascii="Times New Roman" w:hAnsi="Times New Roman" w:cs="Times New Roman"/>
                <w:lang w:val="pt-BR"/>
              </w:rPr>
            </w:pPr>
            <w:r w:rsidRPr="009E686F">
              <w:rPr>
                <w:rFonts w:ascii="Times New Roman" w:hAnsi="Times New Roman" w:cs="Times New Roman"/>
                <w:i/>
                <w:lang w:val="pt-BR"/>
              </w:rPr>
              <w:t>depozit</w:t>
            </w:r>
            <w:r w:rsidRPr="009E686F">
              <w:rPr>
                <w:rFonts w:ascii="Times New Roman" w:hAnsi="Times New Roman" w:cs="Times New Roman"/>
                <w:lang w:val="pt-BR"/>
              </w:rPr>
              <w:t xml:space="preserve"> – sumă de bani depusă, care satisface cumulativ următoarele cerinţe:</w:t>
            </w:r>
          </w:p>
          <w:p w14:paraId="79D749B3" w14:textId="77777777" w:rsidR="00261C3C" w:rsidRPr="009E686F" w:rsidRDefault="00261C3C" w:rsidP="00EC348D">
            <w:pPr>
              <w:spacing w:after="0"/>
              <w:jc w:val="both"/>
              <w:rPr>
                <w:rFonts w:ascii="Times New Roman" w:hAnsi="Times New Roman" w:cs="Times New Roman"/>
                <w:lang w:val="pt-BR"/>
              </w:rPr>
            </w:pPr>
            <w:r w:rsidRPr="009E686F">
              <w:rPr>
                <w:rFonts w:ascii="Times New Roman" w:hAnsi="Times New Roman" w:cs="Times New Roman"/>
                <w:lang w:val="pt-BR"/>
              </w:rPr>
              <w:t xml:space="preserve">a) urmează să fie rambursată fie la vedere, fie la termen, cu sau fără dobîndă ori cu orice alt beneficiu, fie în condiţiile convenite în comun de </w:t>
            </w:r>
            <w:r w:rsidRPr="009E686F">
              <w:rPr>
                <w:rFonts w:ascii="Times New Roman" w:hAnsi="Times New Roman" w:cs="Times New Roman"/>
                <w:lang w:val="pt-BR"/>
              </w:rPr>
              <w:lastRenderedPageBreak/>
              <w:t xml:space="preserve">către deponent (persoana care depune banii) sau de împuternicitul acestuia şi de </w:t>
            </w:r>
            <w:r w:rsidRPr="009E686F">
              <w:rPr>
                <w:rFonts w:ascii="Times New Roman" w:hAnsi="Times New Roman" w:cs="Times New Roman"/>
                <w:i/>
                <w:lang w:val="pt-BR"/>
              </w:rPr>
              <w:t>instituția de credit</w:t>
            </w:r>
            <w:r w:rsidRPr="009E686F">
              <w:rPr>
                <w:rFonts w:ascii="Times New Roman" w:hAnsi="Times New Roman" w:cs="Times New Roman"/>
                <w:lang w:val="pt-BR"/>
              </w:rPr>
              <w:t xml:space="preserve"> ce acceptă banii;</w:t>
            </w:r>
          </w:p>
          <w:p w14:paraId="533341AD" w14:textId="77777777" w:rsidR="00261C3C" w:rsidRPr="009E686F" w:rsidRDefault="00261C3C" w:rsidP="00EC348D">
            <w:pPr>
              <w:spacing w:after="0"/>
              <w:jc w:val="both"/>
              <w:rPr>
                <w:rFonts w:ascii="Times New Roman" w:hAnsi="Times New Roman" w:cs="Times New Roman"/>
                <w:lang w:val="it-CH"/>
              </w:rPr>
            </w:pPr>
            <w:r w:rsidRPr="009E686F">
              <w:rPr>
                <w:rFonts w:ascii="Times New Roman" w:hAnsi="Times New Roman" w:cs="Times New Roman"/>
                <w:lang w:val="it-CH"/>
              </w:rPr>
              <w:t>b) nu se raportă la datorii subordonate, la dreptul de proprietate ori la servicii, inclusiv la serviciile de asigurare;</w:t>
            </w:r>
          </w:p>
          <w:p w14:paraId="706B682E" w14:textId="77777777" w:rsidR="00261C3C" w:rsidRPr="009E686F" w:rsidRDefault="00261C3C" w:rsidP="00EC348D">
            <w:pPr>
              <w:spacing w:after="0"/>
              <w:jc w:val="both"/>
              <w:rPr>
                <w:rFonts w:ascii="Times New Roman" w:hAnsi="Times New Roman" w:cs="Times New Roman"/>
                <w:lang w:val="it-CH"/>
              </w:rPr>
            </w:pPr>
            <w:r w:rsidRPr="009E686F">
              <w:rPr>
                <w:rFonts w:ascii="Times New Roman" w:hAnsi="Times New Roman" w:cs="Times New Roman"/>
                <w:lang w:val="it-CH"/>
              </w:rPr>
              <w:t xml:space="preserve">c) este atestată de orice evidenţă scrisă ori de orice chitanţă, certificat, notă sau de un alt document al </w:t>
            </w:r>
            <w:r w:rsidRPr="009E686F">
              <w:rPr>
                <w:rFonts w:ascii="Times New Roman" w:hAnsi="Times New Roman" w:cs="Times New Roman"/>
                <w:i/>
                <w:iCs/>
                <w:lang w:val="it-CH"/>
              </w:rPr>
              <w:t>instituției de credit</w:t>
            </w:r>
            <w:r w:rsidRPr="009E686F">
              <w:rPr>
                <w:rFonts w:ascii="Times New Roman" w:hAnsi="Times New Roman" w:cs="Times New Roman"/>
                <w:lang w:val="it-CH"/>
              </w:rPr>
              <w:t xml:space="preserve"> care acceptă banii;</w:t>
            </w:r>
          </w:p>
          <w:p w14:paraId="6388A0D9" w14:textId="77777777" w:rsidR="00261C3C" w:rsidRPr="009E686F" w:rsidRDefault="00261C3C" w:rsidP="00EC348D">
            <w:pPr>
              <w:spacing w:after="0"/>
              <w:jc w:val="both"/>
              <w:rPr>
                <w:rFonts w:ascii="Times New Roman" w:hAnsi="Times New Roman" w:cs="Times New Roman"/>
                <w:lang w:val="it-CH"/>
              </w:rPr>
            </w:pPr>
            <w:r w:rsidRPr="009E686F">
              <w:rPr>
                <w:rFonts w:ascii="Times New Roman" w:hAnsi="Times New Roman" w:cs="Times New Roman"/>
                <w:i/>
                <w:iCs/>
                <w:lang w:val="it-CH"/>
              </w:rPr>
              <w:t>entitate asociată</w:t>
            </w:r>
            <w:r w:rsidRPr="009E686F">
              <w:rPr>
                <w:rFonts w:ascii="Times New Roman" w:hAnsi="Times New Roman" w:cs="Times New Roman"/>
                <w:lang w:val="it-CH"/>
              </w:rPr>
              <w:t xml:space="preserve"> – entitate în care persoana dispune de capacitatea de a participa la luarea deciziilor privind politicile financiare şi de gestionare a activităţii entităţii în care această persoană deţine, direct sau indirect, 20% sau mai mult din drepturile de vot, fără a exercita un control sau un control comun asupra politicilor respective;</w:t>
            </w:r>
          </w:p>
        </w:tc>
        <w:tc>
          <w:tcPr>
            <w:tcW w:w="471" w:type="pct"/>
            <w:tcBorders>
              <w:top w:val="single" w:sz="4" w:space="0" w:color="auto"/>
              <w:left w:val="single" w:sz="4" w:space="0" w:color="auto"/>
              <w:bottom w:val="single" w:sz="4" w:space="0" w:color="auto"/>
              <w:right w:val="single" w:sz="4" w:space="0" w:color="auto"/>
            </w:tcBorders>
          </w:tcPr>
          <w:p w14:paraId="0B8F93A8" w14:textId="77777777" w:rsidR="00261C3C" w:rsidRPr="009E686F" w:rsidRDefault="00261C3C" w:rsidP="00EC348D">
            <w:pPr>
              <w:jc w:val="both"/>
              <w:rPr>
                <w:rFonts w:ascii="Times New Roman" w:hAnsi="Times New Roman" w:cs="Times New Roman"/>
                <w:lang w:val="ro-RO"/>
              </w:rPr>
            </w:pPr>
            <w:r w:rsidRPr="009E686F">
              <w:rPr>
                <w:rFonts w:ascii="Times New Roman" w:hAnsi="Times New Roman" w:cs="Times New Roman"/>
                <w:lang w:val="ro-RO"/>
              </w:rPr>
              <w:lastRenderedPageBreak/>
              <w:t>Compatibil</w:t>
            </w:r>
          </w:p>
        </w:tc>
        <w:tc>
          <w:tcPr>
            <w:tcW w:w="1558" w:type="pct"/>
            <w:gridSpan w:val="3"/>
            <w:tcBorders>
              <w:top w:val="single" w:sz="4" w:space="0" w:color="auto"/>
              <w:left w:val="single" w:sz="4" w:space="0" w:color="auto"/>
              <w:bottom w:val="single" w:sz="4" w:space="0" w:color="auto"/>
              <w:right w:val="single" w:sz="4" w:space="0" w:color="auto"/>
            </w:tcBorders>
          </w:tcPr>
          <w:p w14:paraId="1E2039F3" w14:textId="77777777" w:rsidR="00261C3C" w:rsidRPr="009E686F" w:rsidRDefault="00261C3C" w:rsidP="00EC348D">
            <w:pPr>
              <w:jc w:val="both"/>
              <w:rPr>
                <w:rFonts w:ascii="Times New Roman" w:hAnsi="Times New Roman" w:cs="Times New Roman"/>
                <w:lang w:val="ro-RO"/>
              </w:rPr>
            </w:pPr>
            <w:r w:rsidRPr="009E686F">
              <w:rPr>
                <w:rFonts w:ascii="Times New Roman" w:hAnsi="Times New Roman" w:cs="Times New Roman"/>
                <w:lang w:val="ro-RO"/>
              </w:rPr>
              <w:t>Noțiuni de drept intern introduse pentru aplicarea coerentă a cerințelor prudențiale prevăzute de lege, în special a celor privind administrarea și controlul riscurilor. Deși Directiva 2013/36/UE nu definește expres aceste noțiuni, utilizarea lor este compatibilă cu obiectivele directivei privind identificarea și gestionarea tuturor riscurilor aferente activității instituțiilor de credit și nu modifică domeniul de aplicare sau conținutul obligațiilor prevăzute de aceasta.</w:t>
            </w:r>
          </w:p>
        </w:tc>
      </w:tr>
      <w:tr w:rsidR="00261C3C" w:rsidRPr="009E686F" w14:paraId="4991E5FD" w14:textId="77777777" w:rsidTr="00EC348D">
        <w:tc>
          <w:tcPr>
            <w:tcW w:w="1420" w:type="pct"/>
            <w:tcBorders>
              <w:top w:val="single" w:sz="4" w:space="0" w:color="auto"/>
              <w:left w:val="single" w:sz="4" w:space="0" w:color="auto"/>
              <w:bottom w:val="single" w:sz="4" w:space="0" w:color="auto"/>
              <w:right w:val="single" w:sz="4" w:space="0" w:color="auto"/>
            </w:tcBorders>
          </w:tcPr>
          <w:p w14:paraId="3E2CCDBC" w14:textId="77777777" w:rsidR="00261C3C" w:rsidRPr="009E686F" w:rsidRDefault="00261C3C" w:rsidP="00EC348D">
            <w:pPr>
              <w:spacing w:after="0"/>
              <w:jc w:val="both"/>
              <w:rPr>
                <w:rFonts w:ascii="Times New Roman" w:hAnsi="Times New Roman" w:cs="Times New Roman"/>
                <w:lang w:val="ro-RO"/>
              </w:rPr>
            </w:pPr>
          </w:p>
        </w:tc>
        <w:tc>
          <w:tcPr>
            <w:tcW w:w="1551" w:type="pct"/>
            <w:gridSpan w:val="2"/>
            <w:tcBorders>
              <w:top w:val="single" w:sz="4" w:space="0" w:color="auto"/>
              <w:left w:val="single" w:sz="4" w:space="0" w:color="auto"/>
              <w:bottom w:val="single" w:sz="4" w:space="0" w:color="auto"/>
              <w:right w:val="single" w:sz="4" w:space="0" w:color="auto"/>
            </w:tcBorders>
          </w:tcPr>
          <w:p w14:paraId="57DD7C70" w14:textId="77777777" w:rsidR="00261C3C" w:rsidRPr="009E686F" w:rsidRDefault="00261C3C" w:rsidP="00EC348D">
            <w:pPr>
              <w:spacing w:after="0"/>
              <w:jc w:val="both"/>
              <w:rPr>
                <w:rFonts w:ascii="Times New Roman" w:hAnsi="Times New Roman" w:cs="Times New Roman"/>
                <w:lang w:val="ro-RO"/>
              </w:rPr>
            </w:pPr>
            <w:r w:rsidRPr="009E686F">
              <w:rPr>
                <w:rFonts w:ascii="Times New Roman" w:hAnsi="Times New Roman" w:cs="Times New Roman"/>
                <w:i/>
                <w:lang w:val="ro-RO"/>
              </w:rPr>
              <w:t>externalizare</w:t>
            </w:r>
            <w:r w:rsidRPr="009E686F">
              <w:rPr>
                <w:rFonts w:ascii="Times New Roman" w:hAnsi="Times New Roman" w:cs="Times New Roman"/>
                <w:lang w:val="ro-RO"/>
              </w:rPr>
              <w:t xml:space="preserve"> – </w:t>
            </w:r>
            <w:r w:rsidRPr="009E686F">
              <w:rPr>
                <w:rFonts w:ascii="Times New Roman" w:hAnsi="Times New Roman" w:cs="Times New Roman"/>
                <w:i/>
                <w:iCs/>
                <w:lang w:val="ro-RO"/>
              </w:rPr>
              <w:t>orice acord prin care</w:t>
            </w:r>
            <w:r w:rsidRPr="009E686F">
              <w:rPr>
                <w:rFonts w:ascii="Times New Roman" w:hAnsi="Times New Roman" w:cs="Times New Roman"/>
                <w:lang w:val="ro-RO"/>
              </w:rPr>
              <w:t xml:space="preserve"> o </w:t>
            </w:r>
            <w:r w:rsidRPr="009E686F">
              <w:rPr>
                <w:rFonts w:ascii="Times New Roman" w:hAnsi="Times New Roman" w:cs="Times New Roman"/>
                <w:i/>
                <w:iCs/>
                <w:lang w:val="ro-RO"/>
              </w:rPr>
              <w:t>instituție de credit  contractează</w:t>
            </w:r>
            <w:r w:rsidRPr="009E686F">
              <w:rPr>
                <w:rFonts w:ascii="Times New Roman" w:hAnsi="Times New Roman" w:cs="Times New Roman"/>
                <w:lang w:val="ro-RO"/>
              </w:rPr>
              <w:t xml:space="preserve"> </w:t>
            </w:r>
            <w:r w:rsidRPr="009E686F">
              <w:rPr>
                <w:rFonts w:ascii="Times New Roman" w:hAnsi="Times New Roman" w:cs="Times New Roman"/>
                <w:i/>
                <w:iCs/>
                <w:lang w:val="ro-RO"/>
              </w:rPr>
              <w:t>un</w:t>
            </w:r>
            <w:r w:rsidRPr="009E686F">
              <w:rPr>
                <w:rFonts w:ascii="Times New Roman" w:hAnsi="Times New Roman" w:cs="Times New Roman"/>
                <w:lang w:val="ro-RO"/>
              </w:rPr>
              <w:t xml:space="preserve"> furnizor de servicii, care poate fi şi o entitate afiliată în cadrul unui grup ori o entitate în afara grupului, în vederea desfăşurării de către acesta, pe bază contractuală şi în mod continuu, a unor activităţi/operaţiuni</w:t>
            </w:r>
            <w:r w:rsidRPr="009E686F">
              <w:rPr>
                <w:rFonts w:ascii="Times New Roman" w:hAnsi="Times New Roman" w:cs="Times New Roman"/>
                <w:i/>
                <w:iCs/>
                <w:lang w:val="ro-RO"/>
              </w:rPr>
              <w:t>, care,</w:t>
            </w:r>
            <w:r w:rsidRPr="009E686F">
              <w:rPr>
                <w:rFonts w:ascii="Times New Roman" w:hAnsi="Times New Roman" w:cs="Times New Roman"/>
                <w:lang w:val="ro-RO"/>
              </w:rPr>
              <w:t xml:space="preserve"> în mod obişnuit</w:t>
            </w:r>
            <w:r w:rsidRPr="009E686F">
              <w:rPr>
                <w:rFonts w:ascii="Times New Roman" w:hAnsi="Times New Roman" w:cs="Times New Roman"/>
                <w:i/>
                <w:iCs/>
                <w:lang w:val="ro-RO"/>
              </w:rPr>
              <w:t>, ar fi fost realizate</w:t>
            </w:r>
            <w:r w:rsidRPr="009E686F">
              <w:rPr>
                <w:rFonts w:ascii="Times New Roman" w:hAnsi="Times New Roman" w:cs="Times New Roman"/>
                <w:lang w:val="ro-RO"/>
              </w:rPr>
              <w:t xml:space="preserve">  de către </w:t>
            </w:r>
            <w:r w:rsidRPr="009E686F">
              <w:rPr>
                <w:rFonts w:ascii="Times New Roman" w:hAnsi="Times New Roman" w:cs="Times New Roman"/>
                <w:i/>
                <w:iCs/>
                <w:lang w:val="ro-RO"/>
              </w:rPr>
              <w:t>instituția de credit însăși</w:t>
            </w:r>
            <w:r w:rsidRPr="009E686F">
              <w:rPr>
                <w:rFonts w:ascii="Times New Roman" w:hAnsi="Times New Roman" w:cs="Times New Roman"/>
                <w:lang w:val="ro-RO"/>
              </w:rPr>
              <w:t>;</w:t>
            </w:r>
          </w:p>
          <w:p w14:paraId="66FBB80A" w14:textId="77777777" w:rsidR="00261C3C" w:rsidRPr="009E686F" w:rsidRDefault="00261C3C" w:rsidP="00EC348D">
            <w:pPr>
              <w:spacing w:after="0"/>
              <w:ind w:firstLine="708"/>
              <w:jc w:val="both"/>
              <w:rPr>
                <w:rFonts w:ascii="Times New Roman" w:hAnsi="Times New Roman" w:cs="Times New Roman"/>
                <w:b/>
                <w:bCs/>
                <w:i/>
                <w:iCs/>
                <w:lang w:val="ro-RO"/>
              </w:rPr>
            </w:pPr>
          </w:p>
        </w:tc>
        <w:tc>
          <w:tcPr>
            <w:tcW w:w="471" w:type="pct"/>
            <w:tcBorders>
              <w:top w:val="single" w:sz="4" w:space="0" w:color="auto"/>
              <w:left w:val="single" w:sz="4" w:space="0" w:color="auto"/>
              <w:bottom w:val="single" w:sz="4" w:space="0" w:color="auto"/>
              <w:right w:val="single" w:sz="4" w:space="0" w:color="auto"/>
            </w:tcBorders>
          </w:tcPr>
          <w:p w14:paraId="61D0524A" w14:textId="77777777" w:rsidR="00261C3C" w:rsidRPr="009E686F" w:rsidRDefault="00261C3C" w:rsidP="00EC348D">
            <w:pPr>
              <w:jc w:val="both"/>
              <w:rPr>
                <w:rFonts w:ascii="Times New Roman" w:hAnsi="Times New Roman" w:cs="Times New Roman"/>
                <w:lang w:val="ro-RO"/>
              </w:rPr>
            </w:pPr>
            <w:r w:rsidRPr="009E686F">
              <w:rPr>
                <w:rFonts w:ascii="Times New Roman" w:hAnsi="Times New Roman" w:cs="Times New Roman"/>
                <w:lang w:val="ro-RO"/>
              </w:rPr>
              <w:t>Compatibil</w:t>
            </w:r>
          </w:p>
        </w:tc>
        <w:tc>
          <w:tcPr>
            <w:tcW w:w="1558" w:type="pct"/>
            <w:gridSpan w:val="3"/>
            <w:tcBorders>
              <w:top w:val="single" w:sz="4" w:space="0" w:color="auto"/>
              <w:left w:val="single" w:sz="4" w:space="0" w:color="auto"/>
              <w:bottom w:val="single" w:sz="4" w:space="0" w:color="auto"/>
              <w:right w:val="single" w:sz="4" w:space="0" w:color="auto"/>
            </w:tcBorders>
          </w:tcPr>
          <w:p w14:paraId="0FF1C7FD" w14:textId="77777777" w:rsidR="00261C3C" w:rsidRPr="009E686F" w:rsidRDefault="00261C3C" w:rsidP="00EC348D">
            <w:pPr>
              <w:jc w:val="both"/>
              <w:rPr>
                <w:rFonts w:ascii="Times New Roman" w:hAnsi="Times New Roman" w:cs="Times New Roman"/>
                <w:lang w:val="ro-RO"/>
              </w:rPr>
            </w:pPr>
            <w:r w:rsidRPr="009E686F">
              <w:rPr>
                <w:rFonts w:ascii="Times New Roman" w:hAnsi="Times New Roman" w:cs="Times New Roman"/>
                <w:lang w:val="ro-RO"/>
              </w:rPr>
              <w:t xml:space="preserve">Definiția este aliniată terminologiei utilizate în cadrul european de reglementare și supraveghere, întrucât vizează acordurile prin care o instituție de credit încredințează unui furnizor, inclusiv unei entități din cadrul grupului, desfășurarea în mod continuu a unor activități care, în mod obișnuit, ar fi fost realizate de instituția însăși. Prin urmare, aceasta facilitează aplicarea uniformă a cerințelor privind administrarea riscurilor aferente externalizării, în conformitate cu Directiva 2013/36/UE. Definiția este preluată din </w:t>
            </w:r>
            <w:hyperlink r:id="rId22" w:history="1">
              <w:r w:rsidRPr="009E686F">
                <w:rPr>
                  <w:rStyle w:val="af2"/>
                  <w:rFonts w:ascii="Times New Roman" w:hAnsi="Times New Roman" w:cs="Times New Roman"/>
                  <w:lang w:val="ro-RO"/>
                </w:rPr>
                <w:t>Ghidul EBA privind externalizarea (</w:t>
              </w:r>
              <w:r w:rsidRPr="009E686F">
                <w:rPr>
                  <w:rStyle w:val="af2"/>
                  <w:rFonts w:ascii="Times New Roman" w:hAnsi="Times New Roman" w:cs="Times New Roman"/>
                  <w:lang w:val="pt-BR"/>
                </w:rPr>
                <w:t>EBA/GL/2019/02).</w:t>
              </w:r>
            </w:hyperlink>
          </w:p>
        </w:tc>
      </w:tr>
      <w:tr w:rsidR="00261C3C" w:rsidRPr="009E686F" w14:paraId="2806752D" w14:textId="77777777" w:rsidTr="00EC348D">
        <w:tc>
          <w:tcPr>
            <w:tcW w:w="1420" w:type="pct"/>
            <w:tcBorders>
              <w:top w:val="single" w:sz="4" w:space="0" w:color="auto"/>
              <w:left w:val="single" w:sz="4" w:space="0" w:color="auto"/>
              <w:bottom w:val="single" w:sz="4" w:space="0" w:color="auto"/>
              <w:right w:val="single" w:sz="4" w:space="0" w:color="auto"/>
            </w:tcBorders>
          </w:tcPr>
          <w:p w14:paraId="7D30F3C6" w14:textId="77777777" w:rsidR="00261C3C" w:rsidRPr="009E686F" w:rsidRDefault="00261C3C" w:rsidP="00EC348D">
            <w:pPr>
              <w:spacing w:after="0"/>
              <w:jc w:val="both"/>
              <w:rPr>
                <w:rFonts w:ascii="Times New Roman" w:hAnsi="Times New Roman" w:cs="Times New Roman"/>
                <w:lang w:val="ro-RO"/>
              </w:rPr>
            </w:pPr>
          </w:p>
        </w:tc>
        <w:tc>
          <w:tcPr>
            <w:tcW w:w="1551" w:type="pct"/>
            <w:gridSpan w:val="2"/>
            <w:tcBorders>
              <w:top w:val="single" w:sz="4" w:space="0" w:color="auto"/>
              <w:left w:val="single" w:sz="4" w:space="0" w:color="auto"/>
              <w:bottom w:val="single" w:sz="4" w:space="0" w:color="auto"/>
              <w:right w:val="single" w:sz="4" w:space="0" w:color="auto"/>
            </w:tcBorders>
          </w:tcPr>
          <w:p w14:paraId="5A04DD1A" w14:textId="77777777" w:rsidR="00261C3C" w:rsidRPr="009E686F" w:rsidRDefault="00261C3C" w:rsidP="00EC348D">
            <w:pPr>
              <w:spacing w:after="0"/>
              <w:jc w:val="both"/>
              <w:rPr>
                <w:rFonts w:ascii="Times New Roman" w:hAnsi="Times New Roman" w:cs="Times New Roman"/>
                <w:b/>
                <w:bCs/>
                <w:lang w:val="ro-RO"/>
              </w:rPr>
            </w:pPr>
            <w:r w:rsidRPr="009E686F">
              <w:rPr>
                <w:rFonts w:ascii="Times New Roman" w:hAnsi="Times New Roman" w:cs="Times New Roman"/>
                <w:b/>
                <w:bCs/>
                <w:lang w:val="ro-RO"/>
              </w:rPr>
              <w:t>Art. 5 alin. (6)</w:t>
            </w:r>
          </w:p>
          <w:p w14:paraId="07A31720" w14:textId="77777777" w:rsidR="00261C3C" w:rsidRPr="009E686F" w:rsidRDefault="00261C3C" w:rsidP="00EC348D">
            <w:pPr>
              <w:spacing w:after="0"/>
              <w:jc w:val="both"/>
              <w:rPr>
                <w:rFonts w:ascii="Times New Roman" w:hAnsi="Times New Roman" w:cs="Times New Roman"/>
                <w:b/>
                <w:bCs/>
                <w:i/>
                <w:iCs/>
                <w:lang w:val="ro-RO"/>
              </w:rPr>
            </w:pPr>
            <w:r w:rsidRPr="009E686F">
              <w:rPr>
                <w:rFonts w:ascii="Times New Roman" w:hAnsi="Times New Roman" w:cs="Times New Roman"/>
                <w:lang w:val="ro-RO"/>
              </w:rPr>
              <w:t xml:space="preserve">(6) Atribuţiile şi funcţiile conferite Băncii Naţionale a Moldovei prin prezenta lege urmăresc </w:t>
            </w:r>
            <w:r w:rsidRPr="009E686F">
              <w:rPr>
                <w:rFonts w:ascii="Times New Roman" w:hAnsi="Times New Roman" w:cs="Times New Roman"/>
                <w:lang w:val="ro-RO"/>
              </w:rPr>
              <w:lastRenderedPageBreak/>
              <w:t xml:space="preserve">interesul public de asigurare a stabilităţii şi viabilităţii </w:t>
            </w:r>
            <w:r w:rsidRPr="009E686F">
              <w:rPr>
                <w:rFonts w:ascii="Times New Roman" w:hAnsi="Times New Roman" w:cs="Times New Roman"/>
                <w:i/>
                <w:iCs/>
                <w:lang w:val="ro-RO"/>
              </w:rPr>
              <w:t>instituției de credit</w:t>
            </w:r>
            <w:r w:rsidRPr="009E686F">
              <w:rPr>
                <w:rFonts w:ascii="Times New Roman" w:hAnsi="Times New Roman" w:cs="Times New Roman"/>
                <w:lang w:val="ro-RO"/>
              </w:rPr>
              <w:t xml:space="preserve"> </w:t>
            </w:r>
            <w:r w:rsidRPr="009E686F">
              <w:rPr>
                <w:rFonts w:ascii="Times New Roman" w:hAnsi="Times New Roman" w:cs="Times New Roman"/>
                <w:i/>
                <w:iCs/>
                <w:lang w:val="ro-RO"/>
              </w:rPr>
              <w:t>și a</w:t>
            </w:r>
            <w:r w:rsidRPr="009E686F">
              <w:rPr>
                <w:rFonts w:ascii="Times New Roman" w:hAnsi="Times New Roman" w:cs="Times New Roman"/>
                <w:lang w:val="ro-RO"/>
              </w:rPr>
              <w:t xml:space="preserve"> sistemului bancar.</w:t>
            </w:r>
          </w:p>
        </w:tc>
        <w:tc>
          <w:tcPr>
            <w:tcW w:w="471" w:type="pct"/>
            <w:tcBorders>
              <w:top w:val="single" w:sz="4" w:space="0" w:color="auto"/>
              <w:left w:val="single" w:sz="4" w:space="0" w:color="auto"/>
              <w:bottom w:val="single" w:sz="4" w:space="0" w:color="auto"/>
              <w:right w:val="single" w:sz="4" w:space="0" w:color="auto"/>
            </w:tcBorders>
          </w:tcPr>
          <w:p w14:paraId="16BAD096" w14:textId="77777777" w:rsidR="00261C3C" w:rsidRPr="009E686F" w:rsidRDefault="00261C3C" w:rsidP="00EC348D">
            <w:pPr>
              <w:jc w:val="both"/>
              <w:rPr>
                <w:rFonts w:ascii="Times New Roman" w:hAnsi="Times New Roman" w:cs="Times New Roman"/>
                <w:lang w:val="ro-RO"/>
              </w:rPr>
            </w:pPr>
            <w:r w:rsidRPr="009E686F">
              <w:rPr>
                <w:rFonts w:ascii="Times New Roman" w:hAnsi="Times New Roman" w:cs="Times New Roman"/>
                <w:lang w:val="ro-RO"/>
              </w:rPr>
              <w:lastRenderedPageBreak/>
              <w:t>Compatibil</w:t>
            </w:r>
          </w:p>
        </w:tc>
        <w:tc>
          <w:tcPr>
            <w:tcW w:w="1558" w:type="pct"/>
            <w:gridSpan w:val="3"/>
            <w:tcBorders>
              <w:top w:val="single" w:sz="4" w:space="0" w:color="auto"/>
              <w:left w:val="single" w:sz="4" w:space="0" w:color="auto"/>
              <w:bottom w:val="single" w:sz="4" w:space="0" w:color="auto"/>
              <w:right w:val="single" w:sz="4" w:space="0" w:color="auto"/>
            </w:tcBorders>
          </w:tcPr>
          <w:p w14:paraId="17E0D98B" w14:textId="77777777" w:rsidR="00261C3C" w:rsidRPr="009E686F" w:rsidRDefault="00261C3C" w:rsidP="00EC348D">
            <w:pPr>
              <w:jc w:val="both"/>
              <w:rPr>
                <w:rFonts w:ascii="Times New Roman" w:hAnsi="Times New Roman" w:cs="Times New Roman"/>
                <w:lang w:val="ro-RO"/>
              </w:rPr>
            </w:pPr>
            <w:r w:rsidRPr="009E686F">
              <w:rPr>
                <w:rFonts w:ascii="Times New Roman" w:hAnsi="Times New Roman" w:cs="Times New Roman"/>
                <w:lang w:val="ro-RO"/>
              </w:rPr>
              <w:t xml:space="preserve">Dispoziția reflectă obiectivul general al Directivei 2013/36/UE privind exercitarea supravegherii prudențiale în interesul public, în vederea asigurării </w:t>
            </w:r>
            <w:r w:rsidRPr="009E686F">
              <w:rPr>
                <w:rFonts w:ascii="Times New Roman" w:hAnsi="Times New Roman" w:cs="Times New Roman"/>
                <w:lang w:val="ro-RO"/>
              </w:rPr>
              <w:lastRenderedPageBreak/>
              <w:t>stabilității și viabilității instituțiilor de credit și a sistemului bancar. Această prevedere există în legea în vigoare și este aliniată cu Principiile Basel - BCP 1 (EC1 coroborat cu EC2), inclusiv ca recomandare a FMI în FSAP 2025.</w:t>
            </w:r>
          </w:p>
        </w:tc>
      </w:tr>
      <w:tr w:rsidR="00261C3C" w:rsidRPr="009E686F" w14:paraId="4D377D44" w14:textId="77777777" w:rsidTr="00EC348D">
        <w:tc>
          <w:tcPr>
            <w:tcW w:w="1420" w:type="pct"/>
            <w:tcBorders>
              <w:top w:val="single" w:sz="4" w:space="0" w:color="auto"/>
              <w:left w:val="single" w:sz="4" w:space="0" w:color="auto"/>
              <w:bottom w:val="single" w:sz="4" w:space="0" w:color="auto"/>
              <w:right w:val="single" w:sz="4" w:space="0" w:color="auto"/>
            </w:tcBorders>
          </w:tcPr>
          <w:p w14:paraId="1ACA045C" w14:textId="77777777" w:rsidR="00261C3C" w:rsidRPr="009E686F" w:rsidRDefault="00261C3C" w:rsidP="00EC348D">
            <w:pPr>
              <w:spacing w:after="0"/>
              <w:jc w:val="both"/>
              <w:rPr>
                <w:rFonts w:ascii="Times New Roman" w:hAnsi="Times New Roman" w:cs="Times New Roman"/>
                <w:lang w:val="ro-RO"/>
              </w:rPr>
            </w:pPr>
          </w:p>
        </w:tc>
        <w:tc>
          <w:tcPr>
            <w:tcW w:w="1551" w:type="pct"/>
            <w:gridSpan w:val="2"/>
            <w:tcBorders>
              <w:top w:val="single" w:sz="4" w:space="0" w:color="auto"/>
              <w:left w:val="single" w:sz="4" w:space="0" w:color="auto"/>
              <w:bottom w:val="single" w:sz="4" w:space="0" w:color="auto"/>
              <w:right w:val="single" w:sz="4" w:space="0" w:color="auto"/>
            </w:tcBorders>
          </w:tcPr>
          <w:p w14:paraId="5315FC10" w14:textId="77777777" w:rsidR="00261C3C" w:rsidRPr="009E686F" w:rsidRDefault="00261C3C" w:rsidP="00EC348D">
            <w:pPr>
              <w:spacing w:after="0"/>
              <w:ind w:firstLine="708"/>
              <w:jc w:val="both"/>
              <w:rPr>
                <w:rFonts w:ascii="Times New Roman" w:hAnsi="Times New Roman" w:cs="Times New Roman"/>
                <w:i/>
                <w:iCs/>
                <w:lang w:val="it-CH"/>
              </w:rPr>
            </w:pPr>
            <w:r w:rsidRPr="009E686F">
              <w:rPr>
                <w:rFonts w:ascii="Times New Roman" w:hAnsi="Times New Roman" w:cs="Times New Roman"/>
                <w:i/>
                <w:iCs/>
                <w:lang w:val="it-CH"/>
              </w:rPr>
              <w:t>„</w:t>
            </w:r>
            <w:r w:rsidRPr="009E686F">
              <w:rPr>
                <w:rFonts w:ascii="Times New Roman" w:hAnsi="Times New Roman" w:cs="Times New Roman"/>
                <w:b/>
                <w:bCs/>
                <w:i/>
                <w:iCs/>
                <w:lang w:val="it-CH"/>
              </w:rPr>
              <w:t>Articolul 5</w:t>
            </w:r>
            <w:r w:rsidRPr="009E686F">
              <w:rPr>
                <w:rFonts w:ascii="Times New Roman" w:hAnsi="Times New Roman" w:cs="Times New Roman"/>
                <w:b/>
                <w:bCs/>
                <w:i/>
                <w:iCs/>
                <w:vertAlign w:val="superscript"/>
                <w:lang w:val="it-CH"/>
              </w:rPr>
              <w:t>1</w:t>
            </w:r>
            <w:r w:rsidRPr="009E686F">
              <w:rPr>
                <w:rFonts w:ascii="Times New Roman" w:hAnsi="Times New Roman" w:cs="Times New Roman"/>
                <w:b/>
                <w:bCs/>
                <w:i/>
                <w:iCs/>
                <w:lang w:val="it-CH"/>
              </w:rPr>
              <w:t>.</w:t>
            </w:r>
            <w:r w:rsidRPr="009E686F">
              <w:rPr>
                <w:rFonts w:ascii="Times New Roman" w:hAnsi="Times New Roman" w:cs="Times New Roman"/>
                <w:i/>
                <w:iCs/>
                <w:lang w:val="it-CH"/>
              </w:rPr>
              <w:t xml:space="preserve"> Atribuţiile de autorizare, reglementare și supraveghere ale Comisiei Naționale a Pieței Financiare în calitate de autoritate competentă </w:t>
            </w:r>
          </w:p>
          <w:p w14:paraId="0D73C5F6" w14:textId="77777777" w:rsidR="00261C3C" w:rsidRPr="009E686F" w:rsidRDefault="00261C3C" w:rsidP="00EC348D">
            <w:pPr>
              <w:spacing w:after="0"/>
              <w:ind w:firstLine="708"/>
              <w:jc w:val="both"/>
              <w:rPr>
                <w:rFonts w:ascii="Times New Roman" w:hAnsi="Times New Roman" w:cs="Times New Roman"/>
                <w:i/>
                <w:iCs/>
                <w:lang w:val="it-CH"/>
              </w:rPr>
            </w:pPr>
            <w:r w:rsidRPr="009E686F">
              <w:rPr>
                <w:rFonts w:ascii="Times New Roman" w:hAnsi="Times New Roman" w:cs="Times New Roman"/>
                <w:i/>
                <w:iCs/>
                <w:lang w:val="it-CH"/>
              </w:rPr>
              <w:t>(1) Comisia Națională a Pieței Financiare realizează autorizarea, reglementarea și supravegherea prudențială a instituțiilor de credit care desfășoară activitățile prevăzute la art. 3 noțiunea „instituție de credit” lit. b) pe teritoriul Republicii Moldova potrivit prevederilor prezentei legi şi actelor normative emise în aplicarea acesteia.</w:t>
            </w:r>
          </w:p>
          <w:p w14:paraId="2D7E212C" w14:textId="77777777" w:rsidR="00261C3C" w:rsidRPr="009E686F" w:rsidRDefault="00261C3C" w:rsidP="00EC348D">
            <w:pPr>
              <w:spacing w:after="0"/>
              <w:ind w:firstLine="708"/>
              <w:jc w:val="both"/>
              <w:rPr>
                <w:rFonts w:ascii="Times New Roman" w:hAnsi="Times New Roman" w:cs="Times New Roman"/>
                <w:i/>
                <w:iCs/>
                <w:lang w:val="it-CH"/>
              </w:rPr>
            </w:pPr>
            <w:r w:rsidRPr="009E686F">
              <w:rPr>
                <w:rFonts w:ascii="Times New Roman" w:hAnsi="Times New Roman" w:cs="Times New Roman"/>
                <w:i/>
                <w:iCs/>
                <w:lang w:val="it-CH"/>
              </w:rPr>
              <w:t>(2) În aplicarea dispozițiilor alin.(1), competențele și atribuțiile Băncii Naționale a Moldovei aferente cerințelor prevăzute de prezenta lege se consideră aplicabile Comisiei Naționale a Pieței Financiare.</w:t>
            </w:r>
          </w:p>
          <w:p w14:paraId="5ACB4E4E" w14:textId="77777777" w:rsidR="00261C3C" w:rsidRPr="009E686F" w:rsidRDefault="00261C3C" w:rsidP="00EC348D">
            <w:pPr>
              <w:spacing w:after="0"/>
              <w:ind w:firstLine="708"/>
              <w:jc w:val="both"/>
              <w:rPr>
                <w:rFonts w:ascii="Times New Roman" w:hAnsi="Times New Roman" w:cs="Times New Roman"/>
                <w:i/>
                <w:iCs/>
                <w:lang w:val="it-CH"/>
              </w:rPr>
            </w:pPr>
            <w:r w:rsidRPr="009E686F">
              <w:rPr>
                <w:rFonts w:ascii="Times New Roman" w:hAnsi="Times New Roman" w:cs="Times New Roman"/>
                <w:i/>
                <w:iCs/>
                <w:lang w:val="it-CH"/>
              </w:rPr>
              <w:t xml:space="preserve">(3) Comisia Națională a Pieței Financiare monitorizează activităţile instituţiilor de credit prevăzute la art. 3 noțiunea “instituție de credit” lit. b) pe teritoriul Republicii Moldova, precum şi, în cazul în care este autoritate responsabilă cu supravegherea pe bază consolidată, activităţile societăţilor financiare holding şi ale societăţilor financiare holding mixte, pentru prevederile aplicabile acestora, în scopul evaluării </w:t>
            </w:r>
            <w:r w:rsidRPr="009E686F">
              <w:rPr>
                <w:rFonts w:ascii="Times New Roman" w:hAnsi="Times New Roman" w:cs="Times New Roman"/>
                <w:i/>
                <w:iCs/>
                <w:lang w:val="it-CH"/>
              </w:rPr>
              <w:lastRenderedPageBreak/>
              <w:t>conformării la cerinţele prudenţiale prevăzute de prezenta lege şi de actele normative emise în aplicarea acesteia.</w:t>
            </w:r>
          </w:p>
          <w:p w14:paraId="4487DE74" w14:textId="77777777" w:rsidR="00261C3C" w:rsidRPr="009E686F" w:rsidRDefault="00261C3C" w:rsidP="00EC348D">
            <w:pPr>
              <w:spacing w:after="0"/>
              <w:ind w:firstLine="708"/>
              <w:jc w:val="both"/>
              <w:rPr>
                <w:rFonts w:ascii="Times New Roman" w:hAnsi="Times New Roman" w:cs="Times New Roman"/>
                <w:i/>
                <w:iCs/>
                <w:lang w:val="it-CH"/>
              </w:rPr>
            </w:pPr>
            <w:r w:rsidRPr="009E686F">
              <w:rPr>
                <w:rFonts w:ascii="Times New Roman" w:hAnsi="Times New Roman" w:cs="Times New Roman"/>
                <w:i/>
                <w:iCs/>
                <w:lang w:val="it-CH"/>
              </w:rPr>
              <w:t>(4) În exercitarea competenţelor sale prevăzute de lege, Comisia Națională a Pieței Financiare colectează şi procesează orice date şi informaţii relevante, inclusiv de natura datelor cu caracter personal, necesare pentru evaluarea conformării instituţiilor de credit prevăzute la art. 3 noțiunea „instituție de credit” lit. b) pe teritoriul Republicii Moldova, precum şi, în cazul în care este autoritate responsabilă cu supravegherea pe bază consolidată a societăţilor financiare holding şi a societăţilor financiare holding mixte, la cerinţele prudenţiale prevăzute de prezenta lege şi de actele normative emise în aplicarea acesteia.</w:t>
            </w:r>
          </w:p>
          <w:p w14:paraId="2B6DD2FF" w14:textId="5EC38DB0" w:rsidR="00261C3C" w:rsidRPr="009E686F" w:rsidRDefault="00261C3C" w:rsidP="00EC348D">
            <w:pPr>
              <w:spacing w:after="0"/>
              <w:ind w:firstLine="708"/>
              <w:jc w:val="both"/>
              <w:rPr>
                <w:rFonts w:ascii="Times New Roman" w:hAnsi="Times New Roman" w:cs="Times New Roman"/>
                <w:i/>
                <w:iCs/>
                <w:lang w:val="it-CH"/>
              </w:rPr>
            </w:pPr>
            <w:r w:rsidRPr="009E686F">
              <w:rPr>
                <w:rFonts w:ascii="Times New Roman" w:hAnsi="Times New Roman" w:cs="Times New Roman"/>
                <w:i/>
                <w:iCs/>
                <w:lang w:val="it-CH"/>
              </w:rPr>
              <w:t xml:space="preserve">(5) În îndeplinirea funcţiilor cu privire la supravegherea prudenţială și aplicarea sancţiunilor prevăzute de prezenta lege, Comisiei Națională a Pieței Financiare dispune de competenţele necesare şi acţionează în mod independent. Comisia Națională a Pieței Financiare dispune de cunoştinţele de specialitate, resursele şi capacitatea operaţională necesare. </w:t>
            </w:r>
          </w:p>
          <w:p w14:paraId="2F4445B9" w14:textId="77777777" w:rsidR="00261C3C" w:rsidRPr="009E686F" w:rsidRDefault="00261C3C" w:rsidP="00EC348D">
            <w:pPr>
              <w:spacing w:after="0"/>
              <w:ind w:firstLine="708"/>
              <w:jc w:val="both"/>
              <w:rPr>
                <w:rFonts w:ascii="Times New Roman" w:hAnsi="Times New Roman" w:cs="Times New Roman"/>
                <w:i/>
                <w:iCs/>
                <w:lang w:val="it-CH"/>
              </w:rPr>
            </w:pPr>
            <w:r w:rsidRPr="009E686F">
              <w:rPr>
                <w:rFonts w:ascii="Times New Roman" w:hAnsi="Times New Roman" w:cs="Times New Roman"/>
                <w:i/>
                <w:iCs/>
                <w:lang w:val="it-CH"/>
              </w:rPr>
              <w:t xml:space="preserve">(6) În exercitarea atribuţiilor sale de supraveghere prudenţială, Comisia Națională a Pieței Financiare are în vedere, în mod corespunzător, impactul potenţial al deciziilor sale asupra stabilităţii sistemului financiar din toate celelalte state membre implicate, în special în situaţii de urgenţă, pe baza informaţiilor disponibile la momentul respectiv. </w:t>
            </w:r>
          </w:p>
          <w:p w14:paraId="69338FD0" w14:textId="77777777" w:rsidR="00261C3C" w:rsidRPr="009E686F" w:rsidRDefault="00261C3C" w:rsidP="00EC348D">
            <w:pPr>
              <w:spacing w:after="0"/>
              <w:ind w:firstLine="708"/>
              <w:jc w:val="both"/>
              <w:rPr>
                <w:rFonts w:ascii="Times New Roman" w:hAnsi="Times New Roman" w:cs="Times New Roman"/>
                <w:i/>
                <w:iCs/>
                <w:lang w:val="it-CH"/>
              </w:rPr>
            </w:pPr>
            <w:r w:rsidRPr="009E686F">
              <w:rPr>
                <w:rFonts w:ascii="Times New Roman" w:hAnsi="Times New Roman" w:cs="Times New Roman"/>
                <w:i/>
                <w:iCs/>
                <w:lang w:val="it-CH"/>
              </w:rPr>
              <w:lastRenderedPageBreak/>
              <w:t>(7) În exercitarea competenţelor sale, Comisia Națională a Pieței Financiare se asigură că atribuţiile de supraveghere sunt exercitate în mod distinct şi independent de atribuţiile privind rezoluţia instituţiilor de credit prevăzute la art. 3 noțiunea „instituție de credit” lit. b) pe teritoriul Republicii Moldova.</w:t>
            </w:r>
          </w:p>
          <w:p w14:paraId="7A2114F2" w14:textId="77777777" w:rsidR="00261C3C" w:rsidRPr="009E686F" w:rsidRDefault="00261C3C" w:rsidP="00EC348D">
            <w:pPr>
              <w:spacing w:after="0"/>
              <w:ind w:firstLine="708"/>
              <w:jc w:val="both"/>
              <w:rPr>
                <w:rFonts w:ascii="Times New Roman" w:hAnsi="Times New Roman" w:cs="Times New Roman"/>
                <w:i/>
                <w:iCs/>
                <w:lang w:val="it-CH"/>
              </w:rPr>
            </w:pPr>
            <w:r w:rsidRPr="009E686F">
              <w:rPr>
                <w:rFonts w:ascii="Times New Roman" w:hAnsi="Times New Roman" w:cs="Times New Roman"/>
                <w:i/>
                <w:iCs/>
                <w:lang w:val="it-CH"/>
              </w:rPr>
              <w:t>(8) În aplicarea prezentei legi și a actelor normative emise în aplicarea acesteia, orice referire la Banca Naţională a Moldovei în raport cu instituțiile de credit prevăzute la art. 3 noțiunea „instituție de credit” lit. b) se consideră a fi făcută la Comisia Națională a Pieței Financiare.</w:t>
            </w:r>
          </w:p>
          <w:p w14:paraId="622D87D1" w14:textId="77777777" w:rsidR="00261C3C" w:rsidRPr="009E686F" w:rsidRDefault="00261C3C" w:rsidP="00EC348D">
            <w:pPr>
              <w:spacing w:after="0"/>
              <w:jc w:val="both"/>
              <w:rPr>
                <w:rFonts w:ascii="Times New Roman" w:hAnsi="Times New Roman" w:cs="Times New Roman"/>
                <w:b/>
                <w:bCs/>
                <w:i/>
                <w:iCs/>
                <w:lang w:val="ro-RO"/>
              </w:rPr>
            </w:pPr>
            <w:r w:rsidRPr="009E686F">
              <w:rPr>
                <w:rFonts w:ascii="Times New Roman" w:hAnsi="Times New Roman" w:cs="Times New Roman"/>
                <w:i/>
                <w:iCs/>
                <w:lang w:val="it-CH"/>
              </w:rPr>
              <w:t>(9) Comisia Națională a Pieței Financiare cooperează în mod strâns cu Banca Naţională a Moldovei în aplicarea dispoziţiilor prezentei legi și actelor normative emise în aplicarea acesteia şi fac schimb de orice informaţii esenţiale pentru exercitarea atribuțiilor lor, cu respectarea cerinţelor referitoare la secretul profesional.”;</w:t>
            </w:r>
          </w:p>
        </w:tc>
        <w:tc>
          <w:tcPr>
            <w:tcW w:w="471" w:type="pct"/>
            <w:tcBorders>
              <w:top w:val="single" w:sz="4" w:space="0" w:color="auto"/>
              <w:left w:val="single" w:sz="4" w:space="0" w:color="auto"/>
              <w:bottom w:val="single" w:sz="4" w:space="0" w:color="auto"/>
              <w:right w:val="single" w:sz="4" w:space="0" w:color="auto"/>
            </w:tcBorders>
          </w:tcPr>
          <w:p w14:paraId="07C0392B" w14:textId="77777777" w:rsidR="00261C3C" w:rsidRPr="009E686F" w:rsidRDefault="00261C3C" w:rsidP="00EC348D">
            <w:pPr>
              <w:jc w:val="both"/>
              <w:rPr>
                <w:rFonts w:ascii="Times New Roman" w:hAnsi="Times New Roman" w:cs="Times New Roman"/>
                <w:lang w:val="ro-RO"/>
              </w:rPr>
            </w:pPr>
            <w:r w:rsidRPr="009E686F">
              <w:rPr>
                <w:rFonts w:ascii="Times New Roman" w:hAnsi="Times New Roman" w:cs="Times New Roman"/>
                <w:lang w:val="ro-RO"/>
              </w:rPr>
              <w:lastRenderedPageBreak/>
              <w:t>Compatibil</w:t>
            </w:r>
          </w:p>
        </w:tc>
        <w:tc>
          <w:tcPr>
            <w:tcW w:w="1558" w:type="pct"/>
            <w:gridSpan w:val="3"/>
            <w:tcBorders>
              <w:top w:val="single" w:sz="4" w:space="0" w:color="auto"/>
              <w:left w:val="single" w:sz="4" w:space="0" w:color="auto"/>
              <w:bottom w:val="single" w:sz="4" w:space="0" w:color="auto"/>
              <w:right w:val="single" w:sz="4" w:space="0" w:color="auto"/>
            </w:tcBorders>
          </w:tcPr>
          <w:p w14:paraId="745DCABC" w14:textId="77777777" w:rsidR="00261C3C" w:rsidRPr="009E686F" w:rsidRDefault="00261C3C" w:rsidP="00EC348D">
            <w:pPr>
              <w:jc w:val="both"/>
              <w:rPr>
                <w:rFonts w:ascii="Times New Roman" w:hAnsi="Times New Roman" w:cs="Times New Roman"/>
                <w:lang w:val="ro-RO"/>
              </w:rPr>
            </w:pPr>
            <w:r w:rsidRPr="009E686F">
              <w:rPr>
                <w:rFonts w:ascii="Times New Roman" w:hAnsi="Times New Roman" w:cs="Times New Roman"/>
                <w:lang w:val="ro-RO"/>
              </w:rPr>
              <w:t>Prevederi în oglindă cu privire la atribuțiile CNPF cu privire la instituțiile de credit care sunt prevăzute la art. 4 alin. (1) noțiunea de instituție de credit lit. b) din Regulamentul nr. 575/2013 (firme de investiții care desfășoară activităţi de tranzacţionare în cont propriu sau subscriere de instrumente financiare și/sau plasare de instrumente financiare cu angajament ferm cu active mai mari de 30 miliarde euro).</w:t>
            </w:r>
          </w:p>
        </w:tc>
      </w:tr>
      <w:tr w:rsidR="00261C3C" w:rsidRPr="009E686F" w14:paraId="3F3E19A1" w14:textId="77777777" w:rsidTr="00EC348D">
        <w:tc>
          <w:tcPr>
            <w:tcW w:w="1420" w:type="pct"/>
            <w:tcBorders>
              <w:top w:val="single" w:sz="4" w:space="0" w:color="auto"/>
              <w:left w:val="single" w:sz="4" w:space="0" w:color="auto"/>
              <w:bottom w:val="single" w:sz="4" w:space="0" w:color="auto"/>
              <w:right w:val="single" w:sz="4" w:space="0" w:color="auto"/>
            </w:tcBorders>
          </w:tcPr>
          <w:p w14:paraId="64CD73FD" w14:textId="77777777" w:rsidR="00261C3C" w:rsidRPr="009E686F" w:rsidRDefault="00261C3C" w:rsidP="00EC348D">
            <w:pPr>
              <w:spacing w:after="0"/>
              <w:jc w:val="both"/>
              <w:rPr>
                <w:rFonts w:ascii="Times New Roman" w:hAnsi="Times New Roman" w:cs="Times New Roman"/>
                <w:lang w:val="ro-RO"/>
              </w:rPr>
            </w:pPr>
          </w:p>
        </w:tc>
        <w:tc>
          <w:tcPr>
            <w:tcW w:w="1551" w:type="pct"/>
            <w:gridSpan w:val="2"/>
            <w:tcBorders>
              <w:top w:val="single" w:sz="4" w:space="0" w:color="auto"/>
              <w:left w:val="single" w:sz="4" w:space="0" w:color="auto"/>
              <w:bottom w:val="single" w:sz="4" w:space="0" w:color="auto"/>
              <w:right w:val="single" w:sz="4" w:space="0" w:color="auto"/>
            </w:tcBorders>
          </w:tcPr>
          <w:p w14:paraId="38E7AC65" w14:textId="77777777" w:rsidR="00261C3C" w:rsidRPr="009E686F" w:rsidRDefault="00261C3C" w:rsidP="00EC348D">
            <w:pPr>
              <w:spacing w:after="0"/>
              <w:jc w:val="both"/>
              <w:rPr>
                <w:rFonts w:ascii="Times New Roman" w:hAnsi="Times New Roman" w:cs="Times New Roman"/>
                <w:lang w:val="it-CH"/>
              </w:rPr>
            </w:pPr>
            <w:r w:rsidRPr="009E686F">
              <w:rPr>
                <w:rFonts w:ascii="Times New Roman" w:hAnsi="Times New Roman" w:cs="Times New Roman"/>
                <w:b/>
                <w:lang w:val="it-CH"/>
              </w:rPr>
              <w:t>Articolul 15.</w:t>
            </w:r>
            <w:r w:rsidRPr="009E686F">
              <w:rPr>
                <w:rFonts w:ascii="Times New Roman" w:hAnsi="Times New Roman" w:cs="Times New Roman"/>
                <w:lang w:val="it-CH"/>
              </w:rPr>
              <w:t xml:space="preserve"> Restricţii în desfăşurarea anumitor activităţi</w:t>
            </w:r>
          </w:p>
          <w:p w14:paraId="2ACD5F5B" w14:textId="77777777" w:rsidR="00261C3C" w:rsidRPr="009E686F" w:rsidRDefault="00261C3C" w:rsidP="00EC348D">
            <w:pPr>
              <w:spacing w:after="0"/>
              <w:jc w:val="both"/>
              <w:rPr>
                <w:rFonts w:ascii="Times New Roman" w:hAnsi="Times New Roman" w:cs="Times New Roman"/>
                <w:lang w:val="pt-BR"/>
              </w:rPr>
            </w:pPr>
            <w:r w:rsidRPr="009E686F">
              <w:rPr>
                <w:rFonts w:ascii="Times New Roman" w:hAnsi="Times New Roman" w:cs="Times New Roman"/>
                <w:lang w:val="pt-BR"/>
              </w:rPr>
              <w:t>(1) Instituțiile de credit nu pot desfăşura alte activităţi în afara celor permise potrivit prezentei legi. Instituțiile de credit nu se pot angaja în desfăşurarea activităţilor nominalizate în art.14 alin.(1) dacă acestea nu sînt prevăzute în autorizație.</w:t>
            </w:r>
          </w:p>
          <w:p w14:paraId="23CFF689" w14:textId="77777777" w:rsidR="00261C3C" w:rsidRPr="009E686F" w:rsidRDefault="00261C3C" w:rsidP="00EC348D">
            <w:pPr>
              <w:spacing w:after="0"/>
              <w:jc w:val="both"/>
              <w:rPr>
                <w:rFonts w:ascii="Times New Roman" w:hAnsi="Times New Roman" w:cs="Times New Roman"/>
                <w:lang w:val="pt-BR"/>
              </w:rPr>
            </w:pPr>
            <w:r w:rsidRPr="009E686F">
              <w:rPr>
                <w:rFonts w:ascii="Times New Roman" w:hAnsi="Times New Roman" w:cs="Times New Roman"/>
                <w:lang w:val="pt-BR"/>
              </w:rPr>
              <w:t>(2) Instituțiile de credit nu se pot angaja în operaţiuni cum ar fi:</w:t>
            </w:r>
          </w:p>
          <w:p w14:paraId="7C319C64" w14:textId="77777777" w:rsidR="00261C3C" w:rsidRPr="009E686F" w:rsidRDefault="00261C3C" w:rsidP="00EC348D">
            <w:pPr>
              <w:spacing w:after="0"/>
              <w:jc w:val="both"/>
              <w:rPr>
                <w:rFonts w:ascii="Times New Roman" w:hAnsi="Times New Roman" w:cs="Times New Roman"/>
                <w:lang w:val="pt-BR"/>
              </w:rPr>
            </w:pPr>
            <w:r w:rsidRPr="009E686F">
              <w:rPr>
                <w:rFonts w:ascii="Times New Roman" w:hAnsi="Times New Roman" w:cs="Times New Roman"/>
                <w:lang w:val="pt-BR"/>
              </w:rPr>
              <w:t>a) gajarea propriilor acţiuni de tezaur pe contul datoriilor institu</w:t>
            </w:r>
            <w:r w:rsidRPr="009E686F">
              <w:rPr>
                <w:rFonts w:ascii="Times New Roman" w:hAnsi="Times New Roman" w:cs="Times New Roman"/>
                <w:lang w:val="ro-RO"/>
              </w:rPr>
              <w:t>ției de credit</w:t>
            </w:r>
            <w:r w:rsidRPr="009E686F">
              <w:rPr>
                <w:rFonts w:ascii="Times New Roman" w:hAnsi="Times New Roman" w:cs="Times New Roman"/>
                <w:lang w:val="pt-BR"/>
              </w:rPr>
              <w:t>;</w:t>
            </w:r>
          </w:p>
          <w:p w14:paraId="16499221" w14:textId="77777777" w:rsidR="00261C3C" w:rsidRPr="009E686F" w:rsidRDefault="00261C3C" w:rsidP="00EC348D">
            <w:pPr>
              <w:spacing w:after="0"/>
              <w:jc w:val="both"/>
              <w:rPr>
                <w:rFonts w:ascii="Times New Roman" w:hAnsi="Times New Roman" w:cs="Times New Roman"/>
                <w:lang w:val="pt-BR"/>
              </w:rPr>
            </w:pPr>
            <w:r w:rsidRPr="009E686F">
              <w:rPr>
                <w:rFonts w:ascii="Times New Roman" w:hAnsi="Times New Roman" w:cs="Times New Roman"/>
                <w:lang w:val="pt-BR"/>
              </w:rPr>
              <w:lastRenderedPageBreak/>
              <w:t>b) acordarea de credite garantate cu acţiuni, alte titluri de capital sau cu obligaţiuni emise de instituția de credit  şi/sau de o altă persoană afiliată, inclusiv de o entitate care aparţine grupului din care face parte institu</w:t>
            </w:r>
            <w:r w:rsidRPr="009E686F">
              <w:rPr>
                <w:rFonts w:ascii="Times New Roman" w:hAnsi="Times New Roman" w:cs="Times New Roman"/>
                <w:lang w:val="ro-RO"/>
              </w:rPr>
              <w:t>ț</w:t>
            </w:r>
            <w:r w:rsidRPr="009E686F">
              <w:rPr>
                <w:rFonts w:ascii="Times New Roman" w:hAnsi="Times New Roman" w:cs="Times New Roman"/>
                <w:lang w:val="pt-BR"/>
              </w:rPr>
              <w:t>ia de credit.</w:t>
            </w:r>
          </w:p>
        </w:tc>
        <w:tc>
          <w:tcPr>
            <w:tcW w:w="471" w:type="pct"/>
            <w:tcBorders>
              <w:top w:val="single" w:sz="4" w:space="0" w:color="auto"/>
              <w:left w:val="single" w:sz="4" w:space="0" w:color="auto"/>
              <w:bottom w:val="single" w:sz="4" w:space="0" w:color="auto"/>
              <w:right w:val="single" w:sz="4" w:space="0" w:color="auto"/>
            </w:tcBorders>
          </w:tcPr>
          <w:p w14:paraId="1F77C1C0" w14:textId="77777777" w:rsidR="00261C3C" w:rsidRPr="009E686F" w:rsidRDefault="00261C3C" w:rsidP="00EC348D">
            <w:pPr>
              <w:jc w:val="both"/>
              <w:rPr>
                <w:rFonts w:ascii="Times New Roman" w:hAnsi="Times New Roman" w:cs="Times New Roman"/>
                <w:lang w:val="ro-RO"/>
              </w:rPr>
            </w:pPr>
            <w:r w:rsidRPr="009E686F">
              <w:rPr>
                <w:rFonts w:ascii="Times New Roman" w:hAnsi="Times New Roman" w:cs="Times New Roman"/>
                <w:lang w:val="ro-RO"/>
              </w:rPr>
              <w:lastRenderedPageBreak/>
              <w:t>Compatibil</w:t>
            </w:r>
          </w:p>
        </w:tc>
        <w:tc>
          <w:tcPr>
            <w:tcW w:w="1558" w:type="pct"/>
            <w:gridSpan w:val="3"/>
            <w:tcBorders>
              <w:top w:val="single" w:sz="4" w:space="0" w:color="auto"/>
              <w:left w:val="single" w:sz="4" w:space="0" w:color="auto"/>
              <w:bottom w:val="single" w:sz="4" w:space="0" w:color="auto"/>
              <w:right w:val="single" w:sz="4" w:space="0" w:color="auto"/>
            </w:tcBorders>
          </w:tcPr>
          <w:p w14:paraId="50509A59" w14:textId="77777777" w:rsidR="00261C3C" w:rsidRPr="009E686F" w:rsidRDefault="00261C3C" w:rsidP="00EC348D">
            <w:pPr>
              <w:jc w:val="both"/>
              <w:rPr>
                <w:rFonts w:ascii="Times New Roman" w:hAnsi="Times New Roman" w:cs="Times New Roman"/>
                <w:lang w:val="ro-RO"/>
              </w:rPr>
            </w:pPr>
            <w:r w:rsidRPr="009E686F">
              <w:rPr>
                <w:rFonts w:ascii="Times New Roman" w:hAnsi="Times New Roman" w:cs="Times New Roman"/>
                <w:lang w:val="ro-MD"/>
              </w:rPr>
              <w:t xml:space="preserve">Norme cu specific național care au ca scop </w:t>
            </w:r>
            <w:r w:rsidRPr="009E686F">
              <w:rPr>
                <w:rFonts w:ascii="Times New Roman" w:hAnsi="Times New Roman" w:cs="Times New Roman"/>
                <w:lang w:val="ro-RO"/>
              </w:rPr>
              <w:t>asigurarea clarității privind limitele activităților pe care le pot desfășura instituțiile de credit și prevenirii asumării unor riscuri incompatibile cu natura activității bancare. Aceste prevederi sunt compatibile cu Directiva și urmăresc prevenirea practicilor care ar putea afecta capitalul și situația financiară a instituției de credit.</w:t>
            </w:r>
          </w:p>
        </w:tc>
      </w:tr>
      <w:tr w:rsidR="00261C3C" w:rsidRPr="009E686F" w14:paraId="60C21609" w14:textId="77777777" w:rsidTr="00EC348D">
        <w:tc>
          <w:tcPr>
            <w:tcW w:w="1420" w:type="pct"/>
            <w:tcBorders>
              <w:top w:val="single" w:sz="4" w:space="0" w:color="auto"/>
              <w:left w:val="single" w:sz="4" w:space="0" w:color="auto"/>
              <w:bottom w:val="single" w:sz="4" w:space="0" w:color="auto"/>
              <w:right w:val="single" w:sz="4" w:space="0" w:color="auto"/>
            </w:tcBorders>
          </w:tcPr>
          <w:p w14:paraId="4C6A1266" w14:textId="77777777" w:rsidR="00261C3C" w:rsidRPr="009E686F" w:rsidRDefault="00261C3C" w:rsidP="00EC348D">
            <w:pPr>
              <w:spacing w:after="0"/>
              <w:jc w:val="both"/>
              <w:rPr>
                <w:rFonts w:ascii="Times New Roman" w:hAnsi="Times New Roman" w:cs="Times New Roman"/>
                <w:lang w:val="ro-RO"/>
              </w:rPr>
            </w:pPr>
          </w:p>
        </w:tc>
        <w:tc>
          <w:tcPr>
            <w:tcW w:w="1551" w:type="pct"/>
            <w:gridSpan w:val="2"/>
            <w:tcBorders>
              <w:top w:val="single" w:sz="4" w:space="0" w:color="auto"/>
              <w:left w:val="single" w:sz="4" w:space="0" w:color="auto"/>
              <w:bottom w:val="single" w:sz="4" w:space="0" w:color="auto"/>
              <w:right w:val="single" w:sz="4" w:space="0" w:color="auto"/>
            </w:tcBorders>
          </w:tcPr>
          <w:p w14:paraId="1C50B5E3" w14:textId="77777777" w:rsidR="00261C3C" w:rsidRPr="009E686F" w:rsidRDefault="00261C3C" w:rsidP="00EC348D">
            <w:pPr>
              <w:spacing w:after="0"/>
              <w:jc w:val="both"/>
              <w:rPr>
                <w:rFonts w:ascii="Times New Roman" w:hAnsi="Times New Roman" w:cs="Times New Roman"/>
                <w:lang w:val="ro-RO"/>
              </w:rPr>
            </w:pPr>
            <w:r w:rsidRPr="009E686F">
              <w:rPr>
                <w:rFonts w:ascii="Times New Roman" w:hAnsi="Times New Roman" w:cs="Times New Roman"/>
                <w:b/>
                <w:lang w:val="ro-RO"/>
              </w:rPr>
              <w:t>Articolul 23.</w:t>
            </w:r>
            <w:r w:rsidRPr="009E686F">
              <w:rPr>
                <w:rFonts w:ascii="Times New Roman" w:hAnsi="Times New Roman" w:cs="Times New Roman"/>
                <w:lang w:val="ro-RO"/>
              </w:rPr>
              <w:t xml:space="preserve"> Publicarea şi intrarea în vigoare a hotărîrii de retragere a </w:t>
            </w:r>
            <w:r w:rsidRPr="009E686F">
              <w:rPr>
                <w:rFonts w:ascii="Times New Roman" w:hAnsi="Times New Roman" w:cs="Times New Roman"/>
                <w:i/>
                <w:lang w:val="ro-RO"/>
              </w:rPr>
              <w:t>autorizației</w:t>
            </w:r>
          </w:p>
          <w:p w14:paraId="5F5E8F58" w14:textId="77777777" w:rsidR="00261C3C" w:rsidRPr="009E686F" w:rsidRDefault="00261C3C" w:rsidP="00EC348D">
            <w:pPr>
              <w:spacing w:after="0"/>
              <w:jc w:val="both"/>
              <w:rPr>
                <w:rFonts w:ascii="Times New Roman" w:hAnsi="Times New Roman" w:cs="Times New Roman"/>
                <w:lang w:val="ro-RO"/>
              </w:rPr>
            </w:pPr>
            <w:r w:rsidRPr="009E686F">
              <w:rPr>
                <w:rFonts w:ascii="Times New Roman" w:hAnsi="Times New Roman" w:cs="Times New Roman"/>
                <w:lang w:val="ro-RO"/>
              </w:rPr>
              <w:t xml:space="preserve">(1) Hotărîrea de retragere a </w:t>
            </w:r>
            <w:r w:rsidRPr="009E686F">
              <w:rPr>
                <w:rFonts w:ascii="Times New Roman" w:hAnsi="Times New Roman" w:cs="Times New Roman"/>
                <w:i/>
                <w:lang w:val="ro-RO"/>
              </w:rPr>
              <w:t>autorizației</w:t>
            </w:r>
            <w:r w:rsidRPr="009E686F">
              <w:rPr>
                <w:rFonts w:ascii="Times New Roman" w:hAnsi="Times New Roman" w:cs="Times New Roman"/>
                <w:lang w:val="ro-RO"/>
              </w:rPr>
              <w:t xml:space="preserve"> se publică, în cel mult 7 zile de la adoptare, în Monitorul Oficial al Republicii Moldova. Un anunţ privind retragerea </w:t>
            </w:r>
            <w:r w:rsidRPr="009E686F">
              <w:rPr>
                <w:rFonts w:ascii="Times New Roman" w:hAnsi="Times New Roman" w:cs="Times New Roman"/>
                <w:i/>
                <w:lang w:val="ro-RO"/>
              </w:rPr>
              <w:t>autorizației</w:t>
            </w:r>
            <w:r w:rsidRPr="009E686F">
              <w:rPr>
                <w:rFonts w:ascii="Times New Roman" w:hAnsi="Times New Roman" w:cs="Times New Roman"/>
                <w:lang w:val="ro-RO"/>
              </w:rPr>
              <w:t xml:space="preserve"> se publică, în termenul indicat, în ziarele de circulaţie generală, precum şi în ziarele din localităţile în care </w:t>
            </w:r>
            <w:r w:rsidRPr="009E686F">
              <w:rPr>
                <w:rFonts w:ascii="Times New Roman" w:hAnsi="Times New Roman" w:cs="Times New Roman"/>
                <w:i/>
                <w:lang w:val="ro-RO"/>
              </w:rPr>
              <w:t>instituția de</w:t>
            </w:r>
            <w:r w:rsidRPr="009E686F">
              <w:rPr>
                <w:rFonts w:ascii="Times New Roman" w:hAnsi="Times New Roman" w:cs="Times New Roman"/>
                <w:lang w:val="ro-RO"/>
              </w:rPr>
              <w:t xml:space="preserve"> </w:t>
            </w:r>
            <w:r w:rsidRPr="009E686F">
              <w:rPr>
                <w:rFonts w:ascii="Times New Roman" w:hAnsi="Times New Roman" w:cs="Times New Roman"/>
                <w:i/>
                <w:lang w:val="ro-RO"/>
              </w:rPr>
              <w:t>credit</w:t>
            </w:r>
            <w:r w:rsidRPr="009E686F">
              <w:rPr>
                <w:rFonts w:ascii="Times New Roman" w:hAnsi="Times New Roman" w:cs="Times New Roman"/>
                <w:lang w:val="ro-RO"/>
              </w:rPr>
              <w:t xml:space="preserve"> are sediu şi sucursale, inclusiv subdiviziuni structurale ale acesteia.</w:t>
            </w:r>
          </w:p>
          <w:p w14:paraId="49AE008E" w14:textId="77777777" w:rsidR="00261C3C" w:rsidRPr="009E686F" w:rsidRDefault="00261C3C" w:rsidP="00EC348D">
            <w:pPr>
              <w:spacing w:after="0"/>
              <w:jc w:val="both"/>
              <w:rPr>
                <w:rFonts w:ascii="Times New Roman" w:hAnsi="Times New Roman" w:cs="Times New Roman"/>
                <w:lang w:val="ro-RO"/>
              </w:rPr>
            </w:pPr>
            <w:r w:rsidRPr="009E686F">
              <w:rPr>
                <w:rFonts w:ascii="Times New Roman" w:hAnsi="Times New Roman" w:cs="Times New Roman"/>
                <w:lang w:val="ro-RO"/>
              </w:rPr>
              <w:t xml:space="preserve">(2) Hotărîrea de retragere a </w:t>
            </w:r>
            <w:r w:rsidRPr="009E686F">
              <w:rPr>
                <w:rFonts w:ascii="Times New Roman" w:hAnsi="Times New Roman" w:cs="Times New Roman"/>
                <w:i/>
                <w:lang w:val="ro-RO"/>
              </w:rPr>
              <w:t>autorizației</w:t>
            </w:r>
            <w:r w:rsidRPr="009E686F">
              <w:rPr>
                <w:rFonts w:ascii="Times New Roman" w:hAnsi="Times New Roman" w:cs="Times New Roman"/>
                <w:lang w:val="ro-RO"/>
              </w:rPr>
              <w:t xml:space="preserve"> intră în vigoare la data şi ora exactă a adoptării hotărîrii, prevăzute în aceasta.</w:t>
            </w:r>
          </w:p>
          <w:p w14:paraId="33581C68" w14:textId="77777777" w:rsidR="00261C3C" w:rsidRPr="009E686F" w:rsidRDefault="00261C3C" w:rsidP="00EC348D">
            <w:pPr>
              <w:spacing w:after="0"/>
              <w:jc w:val="both"/>
              <w:rPr>
                <w:rFonts w:ascii="Times New Roman" w:hAnsi="Times New Roman" w:cs="Times New Roman"/>
                <w:lang w:val="ro-RO"/>
              </w:rPr>
            </w:pPr>
            <w:r w:rsidRPr="009E686F">
              <w:rPr>
                <w:rFonts w:ascii="Times New Roman" w:hAnsi="Times New Roman" w:cs="Times New Roman"/>
                <w:lang w:val="ro-RO"/>
              </w:rPr>
              <w:t xml:space="preserve">(3) De la data intrării în vigoare a hotărîrii de retragere a </w:t>
            </w:r>
            <w:r w:rsidRPr="009E686F">
              <w:rPr>
                <w:rFonts w:ascii="Times New Roman" w:hAnsi="Times New Roman" w:cs="Times New Roman"/>
                <w:i/>
                <w:lang w:val="ro-RO"/>
              </w:rPr>
              <w:t>autorizației</w:t>
            </w:r>
            <w:r w:rsidRPr="009E686F">
              <w:rPr>
                <w:rFonts w:ascii="Times New Roman" w:hAnsi="Times New Roman" w:cs="Times New Roman"/>
                <w:lang w:val="ro-RO"/>
              </w:rPr>
              <w:t xml:space="preserve">, </w:t>
            </w:r>
            <w:r w:rsidRPr="009E686F">
              <w:rPr>
                <w:rFonts w:ascii="Times New Roman" w:hAnsi="Times New Roman" w:cs="Times New Roman"/>
                <w:i/>
                <w:lang w:val="ro-RO"/>
              </w:rPr>
              <w:t>instituția de credit</w:t>
            </w:r>
            <w:r w:rsidRPr="009E686F">
              <w:rPr>
                <w:rFonts w:ascii="Times New Roman" w:hAnsi="Times New Roman" w:cs="Times New Roman"/>
                <w:lang w:val="ro-RO"/>
              </w:rPr>
              <w:t xml:space="preserve"> este obligată să nu se angajeze în activităţi permise </w:t>
            </w:r>
            <w:r w:rsidRPr="009E686F">
              <w:rPr>
                <w:rFonts w:ascii="Times New Roman" w:hAnsi="Times New Roman" w:cs="Times New Roman"/>
                <w:i/>
                <w:lang w:val="ro-RO"/>
              </w:rPr>
              <w:t>instituțiilor de credit</w:t>
            </w:r>
            <w:r w:rsidRPr="009E686F">
              <w:rPr>
                <w:rFonts w:ascii="Times New Roman" w:hAnsi="Times New Roman" w:cs="Times New Roman"/>
                <w:lang w:val="ro-RO"/>
              </w:rPr>
              <w:t>, conform art.14. Instituția de credit respectivă nu poate desfăşura alte activităţi decît cele strict legate de lichidare.</w:t>
            </w:r>
          </w:p>
          <w:p w14:paraId="56468CEF" w14:textId="77777777" w:rsidR="00261C3C" w:rsidRPr="009E686F" w:rsidRDefault="00261C3C" w:rsidP="00EC348D">
            <w:pPr>
              <w:spacing w:after="0"/>
              <w:jc w:val="both"/>
              <w:rPr>
                <w:rFonts w:ascii="Times New Roman" w:hAnsi="Times New Roman" w:cs="Times New Roman"/>
                <w:lang w:val="ro-RO"/>
              </w:rPr>
            </w:pPr>
            <w:r w:rsidRPr="009E686F">
              <w:rPr>
                <w:rFonts w:ascii="Times New Roman" w:hAnsi="Times New Roman" w:cs="Times New Roman"/>
                <w:lang w:val="ro-RO"/>
              </w:rPr>
              <w:t xml:space="preserve">(4) Banca Naţională a Moldovei supraveghează procesul de lichidare a </w:t>
            </w:r>
            <w:r w:rsidRPr="009E686F">
              <w:rPr>
                <w:rFonts w:ascii="Times New Roman" w:hAnsi="Times New Roman" w:cs="Times New Roman"/>
                <w:i/>
                <w:lang w:val="ro-RO"/>
              </w:rPr>
              <w:t>instituției de credit</w:t>
            </w:r>
            <w:r w:rsidRPr="009E686F">
              <w:rPr>
                <w:rFonts w:ascii="Times New Roman" w:hAnsi="Times New Roman" w:cs="Times New Roman"/>
                <w:lang w:val="ro-RO"/>
              </w:rPr>
              <w:t xml:space="preserve"> pînă la încheierea acestuia şi radierea instituției de credit din Registrul de stat al persoanelor juridice. </w:t>
            </w:r>
            <w:r w:rsidRPr="009E686F">
              <w:rPr>
                <w:rFonts w:ascii="Times New Roman" w:hAnsi="Times New Roman" w:cs="Times New Roman"/>
                <w:i/>
                <w:lang w:val="ro-RO"/>
              </w:rPr>
              <w:t>Instituția de credit</w:t>
            </w:r>
            <w:r w:rsidRPr="009E686F">
              <w:rPr>
                <w:rFonts w:ascii="Times New Roman" w:hAnsi="Times New Roman" w:cs="Times New Roman"/>
                <w:lang w:val="ro-RO"/>
              </w:rPr>
              <w:t xml:space="preserve"> respectivă, la cererea Băncii Naţionale a Moldovei, asigură accesul salariaților împuterniciţi la încăperile şi registrele </w:t>
            </w:r>
            <w:r w:rsidRPr="009E686F">
              <w:rPr>
                <w:rFonts w:ascii="Times New Roman" w:hAnsi="Times New Roman" w:cs="Times New Roman"/>
                <w:i/>
                <w:lang w:val="ro-RO"/>
              </w:rPr>
              <w:t>instituției de credit</w:t>
            </w:r>
            <w:r w:rsidRPr="009E686F">
              <w:rPr>
                <w:rFonts w:ascii="Times New Roman" w:hAnsi="Times New Roman" w:cs="Times New Roman"/>
                <w:lang w:val="ro-RO"/>
              </w:rPr>
              <w:t xml:space="preserve">, prezintă documente, informaţii şi rapoarte </w:t>
            </w:r>
            <w:r w:rsidRPr="009E686F">
              <w:rPr>
                <w:rFonts w:ascii="Times New Roman" w:hAnsi="Times New Roman" w:cs="Times New Roman"/>
                <w:lang w:val="ro-RO"/>
              </w:rPr>
              <w:lastRenderedPageBreak/>
              <w:t xml:space="preserve">în legătură cu lichidarea </w:t>
            </w:r>
            <w:r w:rsidRPr="009E686F">
              <w:rPr>
                <w:rFonts w:ascii="Times New Roman" w:hAnsi="Times New Roman" w:cs="Times New Roman"/>
                <w:i/>
                <w:lang w:val="ro-RO"/>
              </w:rPr>
              <w:t>instituției de credit</w:t>
            </w:r>
            <w:r w:rsidRPr="009E686F">
              <w:rPr>
                <w:rFonts w:ascii="Times New Roman" w:hAnsi="Times New Roman" w:cs="Times New Roman"/>
                <w:lang w:val="ro-RO"/>
              </w:rPr>
              <w:t xml:space="preserve"> respective.</w:t>
            </w:r>
          </w:p>
        </w:tc>
        <w:tc>
          <w:tcPr>
            <w:tcW w:w="471" w:type="pct"/>
            <w:tcBorders>
              <w:top w:val="single" w:sz="4" w:space="0" w:color="auto"/>
              <w:left w:val="single" w:sz="4" w:space="0" w:color="auto"/>
              <w:bottom w:val="single" w:sz="4" w:space="0" w:color="auto"/>
              <w:right w:val="single" w:sz="4" w:space="0" w:color="auto"/>
            </w:tcBorders>
          </w:tcPr>
          <w:p w14:paraId="6B998DC7" w14:textId="77777777" w:rsidR="00261C3C" w:rsidRPr="009E686F" w:rsidRDefault="00261C3C" w:rsidP="00EC348D">
            <w:pPr>
              <w:jc w:val="both"/>
              <w:rPr>
                <w:rFonts w:ascii="Times New Roman" w:hAnsi="Times New Roman" w:cs="Times New Roman"/>
                <w:lang w:val="ro-RO"/>
              </w:rPr>
            </w:pPr>
            <w:r w:rsidRPr="009E686F">
              <w:rPr>
                <w:rFonts w:ascii="Times New Roman" w:hAnsi="Times New Roman" w:cs="Times New Roman"/>
                <w:lang w:val="ro-RO"/>
              </w:rPr>
              <w:lastRenderedPageBreak/>
              <w:t>Compatibil</w:t>
            </w:r>
          </w:p>
        </w:tc>
        <w:tc>
          <w:tcPr>
            <w:tcW w:w="1558" w:type="pct"/>
            <w:gridSpan w:val="3"/>
            <w:tcBorders>
              <w:top w:val="single" w:sz="4" w:space="0" w:color="auto"/>
              <w:left w:val="single" w:sz="4" w:space="0" w:color="auto"/>
              <w:bottom w:val="single" w:sz="4" w:space="0" w:color="auto"/>
              <w:right w:val="single" w:sz="4" w:space="0" w:color="auto"/>
            </w:tcBorders>
          </w:tcPr>
          <w:p w14:paraId="7CE10D24" w14:textId="77777777" w:rsidR="00261C3C" w:rsidRPr="009E686F" w:rsidRDefault="00261C3C" w:rsidP="00EC348D">
            <w:pPr>
              <w:jc w:val="both"/>
              <w:rPr>
                <w:rFonts w:ascii="Times New Roman" w:hAnsi="Times New Roman" w:cs="Times New Roman"/>
                <w:lang w:val="ro-MD"/>
              </w:rPr>
            </w:pPr>
            <w:r w:rsidRPr="009E686F">
              <w:rPr>
                <w:rFonts w:ascii="Times New Roman" w:hAnsi="Times New Roman" w:cs="Times New Roman"/>
                <w:lang w:val="ro-MD"/>
              </w:rPr>
              <w:t>Norme procedurale cu specific național, care au ca scop reglementarea consecințelor retragerii autorizației, fiind compatibile cu efectele retragerii autorizației stabilite de Directivă.</w:t>
            </w:r>
          </w:p>
        </w:tc>
      </w:tr>
      <w:tr w:rsidR="00261C3C" w:rsidRPr="009E686F" w14:paraId="4733372C" w14:textId="77777777" w:rsidTr="00EC348D">
        <w:tc>
          <w:tcPr>
            <w:tcW w:w="1420" w:type="pct"/>
            <w:tcBorders>
              <w:top w:val="single" w:sz="4" w:space="0" w:color="auto"/>
              <w:left w:val="single" w:sz="4" w:space="0" w:color="auto"/>
              <w:bottom w:val="single" w:sz="4" w:space="0" w:color="auto"/>
              <w:right w:val="single" w:sz="4" w:space="0" w:color="auto"/>
            </w:tcBorders>
          </w:tcPr>
          <w:p w14:paraId="10D45022" w14:textId="77777777" w:rsidR="00261C3C" w:rsidRPr="009E686F" w:rsidRDefault="00261C3C" w:rsidP="00EC348D">
            <w:pPr>
              <w:spacing w:after="0"/>
              <w:jc w:val="both"/>
              <w:rPr>
                <w:rFonts w:ascii="Times New Roman" w:hAnsi="Times New Roman" w:cs="Times New Roman"/>
                <w:lang w:val="ro-RO"/>
              </w:rPr>
            </w:pPr>
          </w:p>
        </w:tc>
        <w:tc>
          <w:tcPr>
            <w:tcW w:w="1551" w:type="pct"/>
            <w:gridSpan w:val="2"/>
            <w:tcBorders>
              <w:top w:val="single" w:sz="4" w:space="0" w:color="auto"/>
              <w:left w:val="single" w:sz="4" w:space="0" w:color="auto"/>
              <w:bottom w:val="single" w:sz="4" w:space="0" w:color="auto"/>
              <w:right w:val="single" w:sz="4" w:space="0" w:color="auto"/>
            </w:tcBorders>
          </w:tcPr>
          <w:p w14:paraId="3C12DB4E" w14:textId="77777777" w:rsidR="00261C3C" w:rsidRPr="009E686F" w:rsidRDefault="00261C3C" w:rsidP="00EC348D">
            <w:pPr>
              <w:spacing w:after="0"/>
              <w:jc w:val="both"/>
              <w:rPr>
                <w:rFonts w:ascii="Times New Roman" w:hAnsi="Times New Roman" w:cs="Times New Roman"/>
                <w:lang w:val="ro-RO"/>
              </w:rPr>
            </w:pPr>
            <w:r w:rsidRPr="009E686F">
              <w:rPr>
                <w:rFonts w:ascii="Times New Roman" w:hAnsi="Times New Roman" w:cs="Times New Roman"/>
                <w:b/>
                <w:lang w:val="ro-RO"/>
              </w:rPr>
              <w:t>Articolul 33.</w:t>
            </w:r>
            <w:r w:rsidRPr="009E686F">
              <w:rPr>
                <w:rFonts w:ascii="Times New Roman" w:hAnsi="Times New Roman" w:cs="Times New Roman"/>
                <w:lang w:val="ro-RO"/>
              </w:rPr>
              <w:t xml:space="preserve"> Deschiderea de sucursale pe teritoriul unor </w:t>
            </w:r>
            <w:r w:rsidRPr="009E686F">
              <w:rPr>
                <w:rFonts w:ascii="Times New Roman" w:hAnsi="Times New Roman" w:cs="Times New Roman"/>
                <w:i/>
                <w:lang w:val="ro-RO"/>
              </w:rPr>
              <w:t>state terțe</w:t>
            </w:r>
          </w:p>
          <w:p w14:paraId="3A740698" w14:textId="77777777" w:rsidR="00261C3C" w:rsidRPr="009E686F" w:rsidRDefault="00261C3C" w:rsidP="00EC348D">
            <w:pPr>
              <w:spacing w:after="0"/>
              <w:jc w:val="both"/>
              <w:rPr>
                <w:rFonts w:ascii="Times New Roman" w:hAnsi="Times New Roman" w:cs="Times New Roman"/>
                <w:lang w:val="ro-RO"/>
              </w:rPr>
            </w:pPr>
            <w:r w:rsidRPr="009E686F">
              <w:rPr>
                <w:rFonts w:ascii="Times New Roman" w:hAnsi="Times New Roman" w:cs="Times New Roman"/>
                <w:lang w:val="ro-RO"/>
              </w:rPr>
              <w:t xml:space="preserve">(1) Instituțiile de credit persoane juridice din Republica Moldova pot desfăşura activităţile prevăzute în </w:t>
            </w:r>
            <w:r w:rsidRPr="009E686F">
              <w:rPr>
                <w:rFonts w:ascii="Times New Roman" w:hAnsi="Times New Roman" w:cs="Times New Roman"/>
                <w:i/>
                <w:lang w:val="ro-RO"/>
              </w:rPr>
              <w:t>autorizația</w:t>
            </w:r>
            <w:r w:rsidRPr="009E686F">
              <w:rPr>
                <w:rFonts w:ascii="Times New Roman" w:hAnsi="Times New Roman" w:cs="Times New Roman"/>
                <w:lang w:val="ro-RO"/>
              </w:rPr>
              <w:t xml:space="preserve"> eliberată de Banca Naţională a Moldovei pe teritoriul unui </w:t>
            </w:r>
            <w:r w:rsidRPr="009E686F">
              <w:rPr>
                <w:rFonts w:ascii="Times New Roman" w:hAnsi="Times New Roman" w:cs="Times New Roman"/>
                <w:i/>
                <w:lang w:val="ro-RO"/>
              </w:rPr>
              <w:t>stat terț</w:t>
            </w:r>
            <w:r w:rsidRPr="009E686F">
              <w:rPr>
                <w:rFonts w:ascii="Times New Roman" w:hAnsi="Times New Roman" w:cs="Times New Roman"/>
                <w:lang w:val="ro-RO"/>
              </w:rPr>
              <w:t>, prin înfiinţarea unei sucursale, dacă din documentaţia şi informaţiile prezentate rezultă îndeplinirea următoarelor condiţii:</w:t>
            </w:r>
          </w:p>
          <w:p w14:paraId="102DC518" w14:textId="77777777" w:rsidR="00261C3C" w:rsidRPr="009E686F" w:rsidRDefault="00261C3C" w:rsidP="00EC348D">
            <w:pPr>
              <w:spacing w:after="0"/>
              <w:jc w:val="both"/>
              <w:rPr>
                <w:rFonts w:ascii="Times New Roman" w:hAnsi="Times New Roman" w:cs="Times New Roman"/>
                <w:lang w:val="ro-RO"/>
              </w:rPr>
            </w:pPr>
            <w:r w:rsidRPr="009E686F">
              <w:rPr>
                <w:rFonts w:ascii="Times New Roman" w:hAnsi="Times New Roman" w:cs="Times New Roman"/>
                <w:lang w:val="ro-RO"/>
              </w:rPr>
              <w:t xml:space="preserve">a) </w:t>
            </w:r>
            <w:r w:rsidRPr="009E686F">
              <w:rPr>
                <w:rFonts w:ascii="Times New Roman" w:hAnsi="Times New Roman" w:cs="Times New Roman"/>
                <w:i/>
                <w:lang w:val="ro-RO"/>
              </w:rPr>
              <w:t>instituția</w:t>
            </w:r>
            <w:r w:rsidRPr="009E686F">
              <w:rPr>
                <w:rFonts w:ascii="Times New Roman" w:hAnsi="Times New Roman" w:cs="Times New Roman"/>
                <w:lang w:val="ro-RO"/>
              </w:rPr>
              <w:t xml:space="preserve"> </w:t>
            </w:r>
            <w:r w:rsidRPr="009E686F">
              <w:rPr>
                <w:rFonts w:ascii="Times New Roman" w:hAnsi="Times New Roman" w:cs="Times New Roman"/>
                <w:i/>
                <w:lang w:val="ro-RO"/>
              </w:rPr>
              <w:t>de credit</w:t>
            </w:r>
            <w:r w:rsidRPr="009E686F">
              <w:rPr>
                <w:rFonts w:ascii="Times New Roman" w:hAnsi="Times New Roman" w:cs="Times New Roman"/>
                <w:lang w:val="ro-RO"/>
              </w:rPr>
              <w:t xml:space="preserve"> dispune de un management adecvat şi de o situaţie financiară corespunzătoare în raport cu activitatea propusă pentru a fi desfăşurată prin intermediul sucursalei;</w:t>
            </w:r>
          </w:p>
          <w:p w14:paraId="46EEF552" w14:textId="77777777" w:rsidR="00261C3C" w:rsidRPr="009E686F" w:rsidRDefault="00261C3C" w:rsidP="00EC348D">
            <w:pPr>
              <w:spacing w:after="0"/>
              <w:jc w:val="both"/>
              <w:rPr>
                <w:rFonts w:ascii="Times New Roman" w:hAnsi="Times New Roman" w:cs="Times New Roman"/>
                <w:lang w:val="pt-BR"/>
              </w:rPr>
            </w:pPr>
            <w:r w:rsidRPr="009E686F">
              <w:rPr>
                <w:rFonts w:ascii="Times New Roman" w:hAnsi="Times New Roman" w:cs="Times New Roman"/>
                <w:lang w:val="pt-BR"/>
              </w:rPr>
              <w:t xml:space="preserve">b) cadrul legislativ existent în </w:t>
            </w:r>
            <w:r w:rsidRPr="009E686F">
              <w:rPr>
                <w:rFonts w:ascii="Times New Roman" w:hAnsi="Times New Roman" w:cs="Times New Roman"/>
                <w:i/>
                <w:lang w:val="pt-BR"/>
              </w:rPr>
              <w:t>statul terț</w:t>
            </w:r>
            <w:r w:rsidRPr="009E686F">
              <w:rPr>
                <w:rFonts w:ascii="Times New Roman" w:hAnsi="Times New Roman" w:cs="Times New Roman"/>
                <w:lang w:val="pt-BR"/>
              </w:rPr>
              <w:t xml:space="preserve"> şi/sau modul de aplicare a acestuia nu împiedică exercitarea de către Banca Naţională a Moldovei a funcţiilor sale de supraveghere;</w:t>
            </w:r>
          </w:p>
          <w:p w14:paraId="58462F31" w14:textId="77777777" w:rsidR="00261C3C" w:rsidRPr="009E686F" w:rsidRDefault="00261C3C" w:rsidP="00EC348D">
            <w:pPr>
              <w:spacing w:after="0"/>
              <w:jc w:val="both"/>
              <w:rPr>
                <w:rFonts w:ascii="Times New Roman" w:hAnsi="Times New Roman" w:cs="Times New Roman"/>
                <w:lang w:val="pt-BR"/>
              </w:rPr>
            </w:pPr>
            <w:r w:rsidRPr="009E686F">
              <w:rPr>
                <w:rFonts w:ascii="Times New Roman" w:hAnsi="Times New Roman" w:cs="Times New Roman"/>
                <w:lang w:val="pt-BR"/>
              </w:rPr>
              <w:t xml:space="preserve">c) </w:t>
            </w:r>
            <w:r w:rsidRPr="009E686F">
              <w:rPr>
                <w:rFonts w:ascii="Times New Roman" w:hAnsi="Times New Roman" w:cs="Times New Roman"/>
                <w:i/>
                <w:lang w:val="pt-BR"/>
              </w:rPr>
              <w:t>instituția de credit</w:t>
            </w:r>
            <w:r w:rsidRPr="009E686F">
              <w:rPr>
                <w:rFonts w:ascii="Times New Roman" w:hAnsi="Times New Roman" w:cs="Times New Roman"/>
                <w:lang w:val="pt-BR"/>
              </w:rPr>
              <w:t xml:space="preserve"> înregistrează o evoluţie corespunzătoare a indicatorilor de prudenţă bancară şi nu se află în situaţia de a nu îndeplini alte cerinţe stabilite de prezenta lege sau de reglementările emise în aplicarea acesteia.</w:t>
            </w:r>
          </w:p>
          <w:p w14:paraId="178D53EE" w14:textId="77777777" w:rsidR="00261C3C" w:rsidRPr="009E686F" w:rsidRDefault="00261C3C" w:rsidP="00EC348D">
            <w:pPr>
              <w:spacing w:after="0"/>
              <w:jc w:val="both"/>
              <w:rPr>
                <w:rFonts w:ascii="Times New Roman" w:hAnsi="Times New Roman" w:cs="Times New Roman"/>
                <w:lang w:val="pt-BR"/>
              </w:rPr>
            </w:pPr>
            <w:r w:rsidRPr="009E686F">
              <w:rPr>
                <w:rFonts w:ascii="Times New Roman" w:hAnsi="Times New Roman" w:cs="Times New Roman"/>
                <w:lang w:val="pt-BR"/>
              </w:rPr>
              <w:t>(2) Pentru scopurile prezentei legi, toate sucursalele înfiinţate de o instituție de credit  autorizată de Banca Naţională a Moldovei pe teritoriul unui stat terț sînt considerate o singură sucursală.</w:t>
            </w:r>
          </w:p>
          <w:p w14:paraId="23D97EDF" w14:textId="77777777" w:rsidR="00261C3C" w:rsidRPr="009E686F" w:rsidRDefault="00261C3C" w:rsidP="00EC348D">
            <w:pPr>
              <w:spacing w:after="0"/>
              <w:jc w:val="both"/>
              <w:rPr>
                <w:rFonts w:ascii="Times New Roman" w:hAnsi="Times New Roman" w:cs="Times New Roman"/>
                <w:lang w:val="pt-BR"/>
              </w:rPr>
            </w:pPr>
            <w:r w:rsidRPr="009E686F">
              <w:rPr>
                <w:rFonts w:ascii="Times New Roman" w:hAnsi="Times New Roman" w:cs="Times New Roman"/>
                <w:lang w:val="pt-BR"/>
              </w:rPr>
              <w:t xml:space="preserve">(3) Înfiinţarea unei sucursale într-un stat </w:t>
            </w:r>
            <w:r w:rsidRPr="009E686F">
              <w:rPr>
                <w:rFonts w:ascii="Times New Roman" w:hAnsi="Times New Roman" w:cs="Times New Roman"/>
                <w:i/>
                <w:lang w:val="pt-BR"/>
              </w:rPr>
              <w:t>terț</w:t>
            </w:r>
            <w:r w:rsidRPr="009E686F">
              <w:rPr>
                <w:rFonts w:ascii="Times New Roman" w:hAnsi="Times New Roman" w:cs="Times New Roman"/>
                <w:lang w:val="pt-BR"/>
              </w:rPr>
              <w:t xml:space="preserve"> este supusă aprobării prealabile a Băncii Naţionale a Moldovei conform actelor normative emise de </w:t>
            </w:r>
            <w:r w:rsidRPr="009E686F">
              <w:rPr>
                <w:rFonts w:ascii="Times New Roman" w:hAnsi="Times New Roman" w:cs="Times New Roman"/>
                <w:lang w:val="pt-BR"/>
              </w:rPr>
              <w:lastRenderedPageBreak/>
              <w:t xml:space="preserve">aceasta. Termenul de finalizare a procedurii de soluţionare a cererii privind aprobarea prealabilă este de 60 de zile lucrătoare, calculat de la data depunerii cererii însoţite de toate documentele care trebuie prezentate Băncii Naţionale a Moldovei. Dacă este necesară o examinare suplimentară sau este nevoie de mai mult timp pentru prelucrarea informaţiilor şi documentelor, termenul prevăzut de prezentul alineat poate fi prelungit cu cel mult 30 de zile lucrătoare, cu notificarea </w:t>
            </w:r>
            <w:r w:rsidRPr="009E686F">
              <w:rPr>
                <w:rFonts w:ascii="Times New Roman" w:hAnsi="Times New Roman" w:cs="Times New Roman"/>
                <w:i/>
                <w:lang w:val="pt-BR"/>
              </w:rPr>
              <w:t>instituției de credit.</w:t>
            </w:r>
          </w:p>
          <w:p w14:paraId="69E4E755" w14:textId="77777777" w:rsidR="00261C3C" w:rsidRPr="009E686F" w:rsidRDefault="00261C3C" w:rsidP="00EC348D">
            <w:pPr>
              <w:spacing w:after="0"/>
              <w:jc w:val="both"/>
              <w:rPr>
                <w:rFonts w:ascii="Times New Roman" w:hAnsi="Times New Roman" w:cs="Times New Roman"/>
                <w:lang w:val="pt-BR"/>
              </w:rPr>
            </w:pPr>
            <w:r w:rsidRPr="009E686F">
              <w:rPr>
                <w:rFonts w:ascii="Times New Roman" w:hAnsi="Times New Roman" w:cs="Times New Roman"/>
                <w:lang w:val="pt-BR"/>
              </w:rPr>
              <w:t>(4) Orice modificare a elementelor reglementate conform alin.(3), care sînt avute în vedere la aprobarea înfiinţării sucursalei, este supusă aprobării prealabile a Băncii Naţionale a Moldovei, în condiţiile alin.(3).</w:t>
            </w:r>
          </w:p>
          <w:p w14:paraId="0D8B9C2C" w14:textId="77777777" w:rsidR="00261C3C" w:rsidRPr="009E686F" w:rsidRDefault="00261C3C" w:rsidP="00EC348D">
            <w:pPr>
              <w:spacing w:after="0"/>
              <w:jc w:val="both"/>
              <w:rPr>
                <w:rFonts w:ascii="Times New Roman" w:hAnsi="Times New Roman" w:cs="Times New Roman"/>
                <w:lang w:val="pt-BR"/>
              </w:rPr>
            </w:pPr>
            <w:r w:rsidRPr="009E686F">
              <w:rPr>
                <w:rFonts w:ascii="Times New Roman" w:hAnsi="Times New Roman" w:cs="Times New Roman"/>
                <w:lang w:val="pt-BR"/>
              </w:rPr>
              <w:t xml:space="preserve">(5) Fără a aduce atingere dispoziţiilor prezentei legi, activitatea desfăşurată pe teritoriul </w:t>
            </w:r>
            <w:r w:rsidRPr="009E686F">
              <w:rPr>
                <w:rFonts w:ascii="Times New Roman" w:hAnsi="Times New Roman" w:cs="Times New Roman"/>
                <w:i/>
                <w:lang w:val="pt-BR"/>
              </w:rPr>
              <w:t>unui</w:t>
            </w:r>
            <w:r w:rsidRPr="009E686F">
              <w:rPr>
                <w:rFonts w:ascii="Times New Roman" w:hAnsi="Times New Roman" w:cs="Times New Roman"/>
                <w:lang w:val="pt-BR"/>
              </w:rPr>
              <w:t xml:space="preserve"> stat </w:t>
            </w:r>
            <w:r w:rsidRPr="009E686F">
              <w:rPr>
                <w:rFonts w:ascii="Times New Roman" w:hAnsi="Times New Roman" w:cs="Times New Roman"/>
                <w:i/>
                <w:lang w:val="pt-BR"/>
              </w:rPr>
              <w:t>terț</w:t>
            </w:r>
            <w:r w:rsidRPr="009E686F">
              <w:rPr>
                <w:rFonts w:ascii="Times New Roman" w:hAnsi="Times New Roman" w:cs="Times New Roman"/>
                <w:lang w:val="pt-BR"/>
              </w:rPr>
              <w:t xml:space="preserve"> printr-o sucursală înfiinţată de </w:t>
            </w:r>
            <w:r w:rsidRPr="009E686F">
              <w:rPr>
                <w:rFonts w:ascii="Times New Roman" w:hAnsi="Times New Roman" w:cs="Times New Roman"/>
                <w:i/>
                <w:lang w:val="pt-BR"/>
              </w:rPr>
              <w:t>instituția de credit</w:t>
            </w:r>
            <w:r w:rsidRPr="009E686F">
              <w:rPr>
                <w:rFonts w:ascii="Times New Roman" w:hAnsi="Times New Roman" w:cs="Times New Roman"/>
                <w:lang w:val="pt-BR"/>
              </w:rPr>
              <w:t xml:space="preserve"> persoană juridică din Republica Moldova este supusă dispoziţiilor legale în vigoare în statul </w:t>
            </w:r>
            <w:r w:rsidRPr="009E686F">
              <w:rPr>
                <w:rFonts w:ascii="Times New Roman" w:hAnsi="Times New Roman" w:cs="Times New Roman"/>
                <w:i/>
                <w:lang w:val="pt-BR"/>
              </w:rPr>
              <w:t>terț</w:t>
            </w:r>
            <w:r w:rsidRPr="009E686F">
              <w:rPr>
                <w:rFonts w:ascii="Times New Roman" w:hAnsi="Times New Roman" w:cs="Times New Roman"/>
                <w:lang w:val="pt-BR"/>
              </w:rPr>
              <w:t>.</w:t>
            </w:r>
          </w:p>
          <w:p w14:paraId="3FF2F3DD" w14:textId="77777777" w:rsidR="00261C3C" w:rsidRPr="009E686F" w:rsidRDefault="00261C3C" w:rsidP="00EC348D">
            <w:pPr>
              <w:spacing w:after="0"/>
              <w:jc w:val="both"/>
              <w:rPr>
                <w:rFonts w:ascii="Times New Roman" w:hAnsi="Times New Roman" w:cs="Times New Roman"/>
                <w:lang w:val="pt-BR"/>
              </w:rPr>
            </w:pPr>
            <w:r w:rsidRPr="009E686F">
              <w:rPr>
                <w:rFonts w:ascii="Times New Roman" w:hAnsi="Times New Roman" w:cs="Times New Roman"/>
                <w:lang w:val="pt-BR"/>
              </w:rPr>
              <w:t xml:space="preserve">(6) Banca Naţională a Moldovei informează autoritatea competentă din statul </w:t>
            </w:r>
            <w:r w:rsidRPr="009E686F">
              <w:rPr>
                <w:rFonts w:ascii="Times New Roman" w:hAnsi="Times New Roman" w:cs="Times New Roman"/>
                <w:i/>
                <w:lang w:val="pt-BR"/>
              </w:rPr>
              <w:t>terț</w:t>
            </w:r>
            <w:r w:rsidRPr="009E686F">
              <w:rPr>
                <w:rFonts w:ascii="Times New Roman" w:hAnsi="Times New Roman" w:cs="Times New Roman"/>
                <w:lang w:val="pt-BR"/>
              </w:rPr>
              <w:t xml:space="preserve"> cu privire la retragerea </w:t>
            </w:r>
            <w:r w:rsidRPr="009E686F">
              <w:rPr>
                <w:rFonts w:ascii="Times New Roman" w:hAnsi="Times New Roman" w:cs="Times New Roman"/>
                <w:i/>
                <w:lang w:val="pt-BR"/>
              </w:rPr>
              <w:t>autorizației unei instituții de credit</w:t>
            </w:r>
            <w:r w:rsidRPr="009E686F">
              <w:rPr>
                <w:rFonts w:ascii="Times New Roman" w:hAnsi="Times New Roman" w:cs="Times New Roman"/>
                <w:lang w:val="pt-BR"/>
              </w:rPr>
              <w:t xml:space="preserve"> persoană juridică din Republica Moldova care desfăşoară activitate printr-o sucursală pe teritoriul acelui stat </w:t>
            </w:r>
            <w:r w:rsidRPr="009E686F">
              <w:rPr>
                <w:rFonts w:ascii="Times New Roman" w:hAnsi="Times New Roman" w:cs="Times New Roman"/>
                <w:i/>
                <w:lang w:val="pt-BR"/>
              </w:rPr>
              <w:t>terț</w:t>
            </w:r>
            <w:r w:rsidRPr="009E686F">
              <w:rPr>
                <w:rFonts w:ascii="Times New Roman" w:hAnsi="Times New Roman" w:cs="Times New Roman"/>
                <w:lang w:val="pt-BR"/>
              </w:rPr>
              <w:t xml:space="preserve">, inclusiv cu privire la consecinţele retragerii </w:t>
            </w:r>
            <w:r w:rsidRPr="009E686F">
              <w:rPr>
                <w:rFonts w:ascii="Times New Roman" w:hAnsi="Times New Roman" w:cs="Times New Roman"/>
                <w:i/>
                <w:lang w:val="pt-BR"/>
              </w:rPr>
              <w:t>autorizației.</w:t>
            </w:r>
          </w:p>
        </w:tc>
        <w:tc>
          <w:tcPr>
            <w:tcW w:w="471" w:type="pct"/>
            <w:tcBorders>
              <w:top w:val="single" w:sz="4" w:space="0" w:color="auto"/>
              <w:left w:val="single" w:sz="4" w:space="0" w:color="auto"/>
              <w:bottom w:val="single" w:sz="4" w:space="0" w:color="auto"/>
              <w:right w:val="single" w:sz="4" w:space="0" w:color="auto"/>
            </w:tcBorders>
          </w:tcPr>
          <w:p w14:paraId="668241BF" w14:textId="77777777" w:rsidR="00261C3C" w:rsidRPr="009E686F" w:rsidRDefault="00261C3C" w:rsidP="00EC348D">
            <w:pPr>
              <w:jc w:val="both"/>
              <w:rPr>
                <w:rFonts w:ascii="Times New Roman" w:hAnsi="Times New Roman" w:cs="Times New Roman"/>
                <w:lang w:val="ro-RO"/>
              </w:rPr>
            </w:pPr>
            <w:r w:rsidRPr="009E686F">
              <w:rPr>
                <w:rFonts w:ascii="Times New Roman" w:hAnsi="Times New Roman" w:cs="Times New Roman"/>
                <w:lang w:val="ro-RO"/>
              </w:rPr>
              <w:lastRenderedPageBreak/>
              <w:t>Compatibil</w:t>
            </w:r>
          </w:p>
        </w:tc>
        <w:tc>
          <w:tcPr>
            <w:tcW w:w="1558" w:type="pct"/>
            <w:gridSpan w:val="3"/>
            <w:tcBorders>
              <w:top w:val="single" w:sz="4" w:space="0" w:color="auto"/>
              <w:left w:val="single" w:sz="4" w:space="0" w:color="auto"/>
              <w:bottom w:val="single" w:sz="4" w:space="0" w:color="auto"/>
              <w:right w:val="single" w:sz="4" w:space="0" w:color="auto"/>
            </w:tcBorders>
          </w:tcPr>
          <w:p w14:paraId="2E211BC6" w14:textId="77777777" w:rsidR="00261C3C" w:rsidRPr="009E686F" w:rsidRDefault="00261C3C" w:rsidP="00EC348D">
            <w:pPr>
              <w:jc w:val="both"/>
              <w:rPr>
                <w:rFonts w:ascii="Times New Roman" w:hAnsi="Times New Roman" w:cs="Times New Roman"/>
                <w:lang w:val="ro-MD"/>
              </w:rPr>
            </w:pPr>
            <w:r w:rsidRPr="009E686F">
              <w:rPr>
                <w:rFonts w:ascii="Times New Roman" w:hAnsi="Times New Roman" w:cs="Times New Roman"/>
                <w:lang w:val="ro-MD"/>
              </w:rPr>
              <w:t>Norme cu specific național care au ca scop asigurarea administrării eficiente a activităților instituțiilor de credit din state terțe pe teritoriul R. Moldova prin intermediul unei sucursale și, subsecvent, posibilitatea exercitării supravegherii de către BNM asupra acestor sucursale.</w:t>
            </w:r>
          </w:p>
        </w:tc>
      </w:tr>
      <w:tr w:rsidR="00261C3C" w:rsidRPr="009E686F" w14:paraId="269F1BF1" w14:textId="77777777" w:rsidTr="00EC348D">
        <w:tc>
          <w:tcPr>
            <w:tcW w:w="1420" w:type="pct"/>
            <w:tcBorders>
              <w:top w:val="single" w:sz="4" w:space="0" w:color="auto"/>
              <w:left w:val="single" w:sz="4" w:space="0" w:color="auto"/>
              <w:bottom w:val="single" w:sz="4" w:space="0" w:color="auto"/>
              <w:right w:val="single" w:sz="4" w:space="0" w:color="auto"/>
            </w:tcBorders>
          </w:tcPr>
          <w:p w14:paraId="12D86E53" w14:textId="77777777" w:rsidR="00261C3C" w:rsidRPr="009E686F" w:rsidRDefault="00261C3C" w:rsidP="00EC348D">
            <w:pPr>
              <w:spacing w:after="0"/>
              <w:jc w:val="both"/>
              <w:rPr>
                <w:rFonts w:ascii="Times New Roman" w:hAnsi="Times New Roman" w:cs="Times New Roman"/>
                <w:lang w:val="ro-RO"/>
              </w:rPr>
            </w:pPr>
          </w:p>
        </w:tc>
        <w:tc>
          <w:tcPr>
            <w:tcW w:w="1551" w:type="pct"/>
            <w:gridSpan w:val="2"/>
            <w:tcBorders>
              <w:top w:val="single" w:sz="4" w:space="0" w:color="auto"/>
              <w:left w:val="single" w:sz="4" w:space="0" w:color="auto"/>
              <w:bottom w:val="single" w:sz="4" w:space="0" w:color="auto"/>
              <w:right w:val="single" w:sz="4" w:space="0" w:color="auto"/>
            </w:tcBorders>
          </w:tcPr>
          <w:p w14:paraId="140D29BE" w14:textId="77777777" w:rsidR="00261C3C" w:rsidRPr="009E686F" w:rsidRDefault="00261C3C" w:rsidP="00EC348D">
            <w:pPr>
              <w:spacing w:after="0"/>
              <w:ind w:firstLine="708"/>
              <w:jc w:val="both"/>
              <w:rPr>
                <w:rFonts w:ascii="Times New Roman" w:hAnsi="Times New Roman" w:cs="Times New Roman"/>
                <w:i/>
                <w:iCs/>
                <w:lang w:val="ro-RO"/>
              </w:rPr>
            </w:pPr>
            <w:r w:rsidRPr="009E686F">
              <w:rPr>
                <w:rFonts w:ascii="Times New Roman" w:hAnsi="Times New Roman" w:cs="Times New Roman"/>
                <w:b/>
                <w:bCs/>
                <w:i/>
                <w:iCs/>
                <w:lang w:val="ro-RO"/>
              </w:rPr>
              <w:t>Articolul 34</w:t>
            </w:r>
            <w:r w:rsidRPr="009E686F">
              <w:rPr>
                <w:rFonts w:ascii="Times New Roman" w:hAnsi="Times New Roman" w:cs="Times New Roman"/>
                <w:b/>
                <w:bCs/>
                <w:i/>
                <w:iCs/>
                <w:vertAlign w:val="superscript"/>
                <w:lang w:val="ro-RO"/>
              </w:rPr>
              <w:t>1</w:t>
            </w:r>
            <w:r w:rsidRPr="009E686F">
              <w:rPr>
                <w:rFonts w:ascii="Times New Roman" w:hAnsi="Times New Roman" w:cs="Times New Roman"/>
                <w:b/>
                <w:bCs/>
                <w:i/>
                <w:iCs/>
                <w:lang w:val="ro-RO"/>
              </w:rPr>
              <w:t xml:space="preserve">. </w:t>
            </w:r>
            <w:r w:rsidRPr="009E686F">
              <w:rPr>
                <w:rFonts w:ascii="Times New Roman" w:hAnsi="Times New Roman" w:cs="Times New Roman"/>
                <w:i/>
                <w:iCs/>
                <w:lang w:val="ro-RO"/>
              </w:rPr>
              <w:t>Notificarea transferurilor semnificative de active și pasive și sancțiuni</w:t>
            </w:r>
          </w:p>
          <w:p w14:paraId="58070B5B" w14:textId="355A4900" w:rsidR="00261C3C" w:rsidRPr="009E686F" w:rsidRDefault="00261C3C" w:rsidP="00EC348D">
            <w:pPr>
              <w:spacing w:after="0"/>
              <w:ind w:firstLine="708"/>
              <w:jc w:val="both"/>
              <w:rPr>
                <w:rFonts w:ascii="Times New Roman" w:hAnsi="Times New Roman" w:cs="Times New Roman"/>
                <w:i/>
                <w:iCs/>
                <w:lang w:val="it-CH"/>
              </w:rPr>
            </w:pPr>
            <w:r w:rsidRPr="009E686F">
              <w:rPr>
                <w:rFonts w:ascii="Times New Roman" w:hAnsi="Times New Roman" w:cs="Times New Roman"/>
                <w:i/>
                <w:iCs/>
                <w:lang w:val="ro-RO"/>
              </w:rPr>
              <w:lastRenderedPageBreak/>
              <w:t xml:space="preserve">(1) </w:t>
            </w:r>
            <w:r w:rsidR="001A2004" w:rsidRPr="009E686F">
              <w:rPr>
                <w:rFonts w:ascii="Times New Roman" w:hAnsi="Times New Roman" w:cs="Times New Roman"/>
                <w:i/>
                <w:iCs/>
                <w:lang w:val="ro-RO"/>
              </w:rPr>
              <w:t>Părțile financiare interesate</w:t>
            </w:r>
            <w:r w:rsidRPr="009E686F">
              <w:rPr>
                <w:rFonts w:ascii="Times New Roman" w:hAnsi="Times New Roman" w:cs="Times New Roman"/>
                <w:i/>
                <w:lang w:val="ro-RO"/>
              </w:rPr>
              <w:t xml:space="preserve"> notifică în scris, în prealabil, Banca Națională a Moldovei în conformitate cu actele normative emise în aplicarea prezentei legi cu privire la orice transfer semnificativ de active sau pasive pe care îl execută fie printr-o vânzare, fie prin orice alt tip de operațiune (în sensul prezentului </w:t>
            </w:r>
            <w:r w:rsidR="00DF70FE" w:rsidRPr="009E686F">
              <w:rPr>
                <w:rFonts w:ascii="Times New Roman" w:hAnsi="Times New Roman" w:cs="Times New Roman"/>
                <w:i/>
                <w:lang w:val="ro-RO"/>
              </w:rPr>
              <w:t>articol</w:t>
            </w:r>
            <w:r w:rsidRPr="009E686F">
              <w:rPr>
                <w:rFonts w:ascii="Times New Roman" w:hAnsi="Times New Roman" w:cs="Times New Roman"/>
                <w:i/>
                <w:lang w:val="ro-RO"/>
              </w:rPr>
              <w:t xml:space="preserve">, în continuare „operațiunea propusă”). </w:t>
            </w:r>
            <w:r w:rsidRPr="009E686F">
              <w:rPr>
                <w:rFonts w:ascii="Times New Roman" w:hAnsi="Times New Roman" w:cs="Times New Roman"/>
                <w:b/>
                <w:bCs/>
                <w:i/>
                <w:iCs/>
                <w:lang w:val="it-CH"/>
              </w:rPr>
              <w:t>Prevederile art. 34 alin. (17)-(19) se aplică în mod corespunzător.</w:t>
            </w:r>
            <w:r w:rsidRPr="009E686F">
              <w:rPr>
                <w:rFonts w:ascii="Times New Roman" w:hAnsi="Times New Roman" w:cs="Times New Roman"/>
                <w:b/>
                <w:bCs/>
                <w:i/>
                <w:iCs/>
                <w:color w:val="FF0000"/>
                <w:lang w:val="it-CH"/>
              </w:rPr>
              <w:t xml:space="preserve"> </w:t>
            </w:r>
          </w:p>
        </w:tc>
        <w:tc>
          <w:tcPr>
            <w:tcW w:w="471" w:type="pct"/>
            <w:tcBorders>
              <w:top w:val="single" w:sz="4" w:space="0" w:color="auto"/>
              <w:left w:val="single" w:sz="4" w:space="0" w:color="auto"/>
              <w:bottom w:val="single" w:sz="4" w:space="0" w:color="auto"/>
              <w:right w:val="single" w:sz="4" w:space="0" w:color="auto"/>
            </w:tcBorders>
          </w:tcPr>
          <w:p w14:paraId="214B77C7" w14:textId="77777777" w:rsidR="00261C3C" w:rsidRPr="009E686F" w:rsidRDefault="00261C3C" w:rsidP="00EC348D">
            <w:pPr>
              <w:jc w:val="both"/>
              <w:rPr>
                <w:rFonts w:ascii="Times New Roman" w:hAnsi="Times New Roman" w:cs="Times New Roman"/>
                <w:lang w:val="ro-RO"/>
              </w:rPr>
            </w:pPr>
            <w:r w:rsidRPr="009E686F">
              <w:rPr>
                <w:rFonts w:ascii="Times New Roman" w:hAnsi="Times New Roman" w:cs="Times New Roman"/>
                <w:lang w:val="ro-RO"/>
              </w:rPr>
              <w:lastRenderedPageBreak/>
              <w:t>Compatibil</w:t>
            </w:r>
          </w:p>
        </w:tc>
        <w:tc>
          <w:tcPr>
            <w:tcW w:w="1558" w:type="pct"/>
            <w:gridSpan w:val="3"/>
            <w:tcBorders>
              <w:top w:val="single" w:sz="4" w:space="0" w:color="auto"/>
              <w:left w:val="single" w:sz="4" w:space="0" w:color="auto"/>
              <w:bottom w:val="single" w:sz="4" w:space="0" w:color="auto"/>
              <w:right w:val="single" w:sz="4" w:space="0" w:color="auto"/>
            </w:tcBorders>
          </w:tcPr>
          <w:p w14:paraId="673EDF56" w14:textId="77777777" w:rsidR="00261C3C" w:rsidRPr="009E686F" w:rsidRDefault="00261C3C" w:rsidP="00EC348D">
            <w:pPr>
              <w:jc w:val="both"/>
              <w:rPr>
                <w:rFonts w:ascii="Times New Roman" w:hAnsi="Times New Roman" w:cs="Times New Roman"/>
                <w:lang w:val="ro-MD"/>
              </w:rPr>
            </w:pPr>
            <w:r w:rsidRPr="009E686F">
              <w:rPr>
                <w:rFonts w:ascii="Times New Roman" w:hAnsi="Times New Roman" w:cs="Times New Roman"/>
                <w:lang w:val="ro-MD"/>
              </w:rPr>
              <w:t xml:space="preserve">Textul </w:t>
            </w:r>
            <w:r w:rsidRPr="009E686F">
              <w:rPr>
                <w:rFonts w:ascii="Times New Roman" w:hAnsi="Times New Roman" w:cs="Times New Roman"/>
                <w:b/>
                <w:bCs/>
                <w:lang w:val="ro-MD"/>
              </w:rPr>
              <w:t>„</w:t>
            </w:r>
            <w:r w:rsidRPr="009E686F">
              <w:rPr>
                <w:rFonts w:ascii="Times New Roman" w:hAnsi="Times New Roman" w:cs="Times New Roman"/>
                <w:b/>
                <w:bCs/>
                <w:i/>
                <w:iCs/>
                <w:lang w:val="ro-MD"/>
              </w:rPr>
              <w:t>Prevederile art. 34 alin. (17)–(19) se aplică în mod corespunzător</w:t>
            </w:r>
            <w:r w:rsidRPr="009E686F">
              <w:rPr>
                <w:rFonts w:ascii="Times New Roman" w:hAnsi="Times New Roman" w:cs="Times New Roman"/>
                <w:b/>
                <w:bCs/>
                <w:lang w:val="ro-MD"/>
              </w:rPr>
              <w:t>.”</w:t>
            </w:r>
            <w:r w:rsidRPr="009E686F">
              <w:rPr>
                <w:rFonts w:ascii="Times New Roman" w:hAnsi="Times New Roman" w:cs="Times New Roman"/>
                <w:lang w:val="ro-MD"/>
              </w:rPr>
              <w:t xml:space="preserve"> reprezintă o soluție legislativă națională, prin care mecanismul </w:t>
            </w:r>
            <w:r w:rsidRPr="009E686F">
              <w:rPr>
                <w:rFonts w:ascii="Times New Roman" w:hAnsi="Times New Roman" w:cs="Times New Roman"/>
                <w:lang w:val="ro-MD"/>
              </w:rPr>
              <w:lastRenderedPageBreak/>
              <w:t>procedural aplicabil fuziunilor și demembrărilor este extins, în mod corespunzător, și asupra transferului semnificativ de active și pasive, în lipsa unor dispoziții specifice în Directiva 2013/36/UE pentru această operațiune.</w:t>
            </w:r>
          </w:p>
          <w:p w14:paraId="720AE278" w14:textId="77777777" w:rsidR="00261C3C" w:rsidRPr="009E686F" w:rsidRDefault="00261C3C" w:rsidP="00EC348D">
            <w:pPr>
              <w:jc w:val="both"/>
              <w:rPr>
                <w:rFonts w:ascii="Times New Roman" w:hAnsi="Times New Roman" w:cs="Times New Roman"/>
                <w:lang w:val="ro-MD"/>
              </w:rPr>
            </w:pPr>
            <w:r w:rsidRPr="009E686F">
              <w:rPr>
                <w:rFonts w:ascii="Times New Roman" w:hAnsi="Times New Roman" w:cs="Times New Roman"/>
                <w:lang w:val="ro-MD"/>
              </w:rPr>
              <w:t>Această abordare este preluată din cadrul legislativ național existent, întrucât atât Legea nr. 202/2017, cât și regulamentul BNM prevăd aplicarea corespunzătoare a procedurilor privind fuziunile și demembrările și în cazul transferului semnificativ de active și pasive, asigurând un cadru procedural unitar și coerent.</w:t>
            </w:r>
          </w:p>
        </w:tc>
      </w:tr>
      <w:tr w:rsidR="00261C3C" w:rsidRPr="009E686F" w14:paraId="6917B667" w14:textId="77777777" w:rsidTr="00EC348D">
        <w:tc>
          <w:tcPr>
            <w:tcW w:w="1420" w:type="pct"/>
            <w:tcBorders>
              <w:top w:val="single" w:sz="4" w:space="0" w:color="auto"/>
              <w:left w:val="single" w:sz="4" w:space="0" w:color="auto"/>
              <w:bottom w:val="single" w:sz="4" w:space="0" w:color="auto"/>
              <w:right w:val="single" w:sz="4" w:space="0" w:color="auto"/>
            </w:tcBorders>
          </w:tcPr>
          <w:p w14:paraId="40FFBA40" w14:textId="77777777" w:rsidR="00261C3C" w:rsidRPr="009E686F" w:rsidRDefault="00261C3C" w:rsidP="00EC348D">
            <w:pPr>
              <w:spacing w:after="0"/>
              <w:jc w:val="both"/>
              <w:rPr>
                <w:rFonts w:ascii="Times New Roman" w:hAnsi="Times New Roman" w:cs="Times New Roman"/>
                <w:lang w:val="ro-RO"/>
              </w:rPr>
            </w:pPr>
          </w:p>
        </w:tc>
        <w:tc>
          <w:tcPr>
            <w:tcW w:w="1551" w:type="pct"/>
            <w:gridSpan w:val="2"/>
            <w:tcBorders>
              <w:top w:val="single" w:sz="4" w:space="0" w:color="auto"/>
              <w:left w:val="single" w:sz="4" w:space="0" w:color="auto"/>
              <w:bottom w:val="single" w:sz="4" w:space="0" w:color="auto"/>
              <w:right w:val="single" w:sz="4" w:space="0" w:color="auto"/>
            </w:tcBorders>
          </w:tcPr>
          <w:p w14:paraId="2D9910F4" w14:textId="77777777" w:rsidR="00261C3C" w:rsidRPr="009E686F" w:rsidRDefault="00261C3C" w:rsidP="00EC348D">
            <w:pPr>
              <w:spacing w:after="0"/>
              <w:jc w:val="both"/>
              <w:rPr>
                <w:rFonts w:ascii="Times New Roman" w:hAnsi="Times New Roman" w:cs="Times New Roman"/>
                <w:lang w:val="ro-RO"/>
              </w:rPr>
            </w:pPr>
            <w:r w:rsidRPr="009E686F">
              <w:rPr>
                <w:rFonts w:ascii="Times New Roman" w:hAnsi="Times New Roman" w:cs="Times New Roman"/>
                <w:b/>
                <w:lang w:val="ro-RO"/>
              </w:rPr>
              <w:t>Articolul 38</w:t>
            </w:r>
            <w:r w:rsidRPr="009E686F">
              <w:rPr>
                <w:rFonts w:ascii="Times New Roman" w:hAnsi="Times New Roman" w:cs="Times New Roman"/>
                <w:b/>
                <w:vertAlign w:val="superscript"/>
                <w:lang w:val="ro-RO"/>
              </w:rPr>
              <w:t>1</w:t>
            </w:r>
            <w:r w:rsidRPr="009E686F">
              <w:rPr>
                <w:rFonts w:ascii="Times New Roman" w:hAnsi="Times New Roman" w:cs="Times New Roman"/>
                <w:b/>
                <w:lang w:val="ro-RO"/>
              </w:rPr>
              <w:t>.</w:t>
            </w:r>
            <w:r w:rsidRPr="009E686F">
              <w:rPr>
                <w:rFonts w:ascii="Times New Roman" w:hAnsi="Times New Roman" w:cs="Times New Roman"/>
                <w:lang w:val="ro-RO"/>
              </w:rPr>
              <w:t xml:space="preserve"> Cerinţe de creditare responsabilă</w:t>
            </w:r>
          </w:p>
          <w:p w14:paraId="642C231A" w14:textId="77777777" w:rsidR="00261C3C" w:rsidRPr="009E686F" w:rsidRDefault="00261C3C" w:rsidP="00EC348D">
            <w:pPr>
              <w:spacing w:after="0"/>
              <w:jc w:val="both"/>
              <w:rPr>
                <w:rFonts w:ascii="Times New Roman" w:hAnsi="Times New Roman" w:cs="Times New Roman"/>
                <w:lang w:val="ro-RO"/>
              </w:rPr>
            </w:pPr>
            <w:r w:rsidRPr="009E686F">
              <w:rPr>
                <w:rFonts w:ascii="Times New Roman" w:hAnsi="Times New Roman" w:cs="Times New Roman"/>
                <w:lang w:val="ro-RO"/>
              </w:rPr>
              <w:t xml:space="preserve">(1) Anterior încheierii unui contract de credit, </w:t>
            </w:r>
            <w:r w:rsidRPr="009E686F">
              <w:rPr>
                <w:rFonts w:ascii="Times New Roman" w:hAnsi="Times New Roman" w:cs="Times New Roman"/>
                <w:i/>
                <w:lang w:val="ro-RO"/>
              </w:rPr>
              <w:t>instituția de credit</w:t>
            </w:r>
            <w:r w:rsidRPr="009E686F">
              <w:rPr>
                <w:rFonts w:ascii="Times New Roman" w:hAnsi="Times New Roman" w:cs="Times New Roman"/>
                <w:lang w:val="ro-RO"/>
              </w:rPr>
              <w:t xml:space="preserve"> evaluează bonitatea consumatorului în conformitate cu cerinţele de creditare responsabilă aprobate de Banca Naţională a Moldovei.</w:t>
            </w:r>
          </w:p>
          <w:p w14:paraId="0C4B7AB5" w14:textId="77777777" w:rsidR="00261C3C" w:rsidRPr="009E686F" w:rsidRDefault="00261C3C" w:rsidP="00EC348D">
            <w:pPr>
              <w:spacing w:after="0"/>
              <w:jc w:val="both"/>
              <w:rPr>
                <w:rFonts w:ascii="Times New Roman" w:hAnsi="Times New Roman" w:cs="Times New Roman"/>
                <w:lang w:val="ro-RO"/>
              </w:rPr>
            </w:pPr>
            <w:r w:rsidRPr="009E686F">
              <w:rPr>
                <w:rFonts w:ascii="Times New Roman" w:hAnsi="Times New Roman" w:cs="Times New Roman"/>
                <w:lang w:val="ro-RO"/>
              </w:rPr>
              <w:t>(2) La evaluarea bonităţii consumatorului, instituția de credit evaluează capacitatea acestuia de a-şi asuma o anumită obligaţie în temeiul contractului de credit pe care ar putea să şi-o onoreze împreună cu obligaţiile de credit deja asumate.</w:t>
            </w:r>
          </w:p>
          <w:p w14:paraId="46AF3890" w14:textId="77777777" w:rsidR="00261C3C" w:rsidRPr="009E686F" w:rsidRDefault="00261C3C" w:rsidP="00EC348D">
            <w:pPr>
              <w:spacing w:after="0"/>
              <w:jc w:val="both"/>
              <w:rPr>
                <w:rFonts w:ascii="Times New Roman" w:hAnsi="Times New Roman" w:cs="Times New Roman"/>
                <w:lang w:val="ro-RO"/>
              </w:rPr>
            </w:pPr>
            <w:r w:rsidRPr="009E686F">
              <w:rPr>
                <w:rFonts w:ascii="Times New Roman" w:hAnsi="Times New Roman" w:cs="Times New Roman"/>
                <w:lang w:val="ro-RO"/>
              </w:rPr>
              <w:t xml:space="preserve">(3) În procesul de evaluare a bonităţii consumatorului, </w:t>
            </w:r>
            <w:r w:rsidRPr="009E686F">
              <w:rPr>
                <w:rFonts w:ascii="Times New Roman" w:hAnsi="Times New Roman" w:cs="Times New Roman"/>
                <w:i/>
                <w:lang w:val="ro-RO"/>
              </w:rPr>
              <w:t>instituția de credit</w:t>
            </w:r>
            <w:r w:rsidRPr="009E686F" w:rsidDel="007D4BC3">
              <w:rPr>
                <w:rFonts w:ascii="Times New Roman" w:hAnsi="Times New Roman" w:cs="Times New Roman"/>
                <w:lang w:val="ro-RO"/>
              </w:rPr>
              <w:t xml:space="preserve"> </w:t>
            </w:r>
            <w:r w:rsidRPr="009E686F">
              <w:rPr>
                <w:rFonts w:ascii="Times New Roman" w:hAnsi="Times New Roman" w:cs="Times New Roman"/>
                <w:lang w:val="ro-RO"/>
              </w:rPr>
              <w:t>trebuie, cel puţin:</w:t>
            </w:r>
          </w:p>
          <w:p w14:paraId="4B19B8BD" w14:textId="77777777" w:rsidR="00261C3C" w:rsidRPr="009E686F" w:rsidRDefault="00261C3C" w:rsidP="00EC348D">
            <w:pPr>
              <w:spacing w:after="0"/>
              <w:jc w:val="both"/>
              <w:rPr>
                <w:rFonts w:ascii="Times New Roman" w:hAnsi="Times New Roman" w:cs="Times New Roman"/>
                <w:lang w:val="ro-RO"/>
              </w:rPr>
            </w:pPr>
            <w:r w:rsidRPr="009E686F">
              <w:rPr>
                <w:rFonts w:ascii="Times New Roman" w:hAnsi="Times New Roman" w:cs="Times New Roman"/>
                <w:lang w:val="ro-RO"/>
              </w:rPr>
              <w:t>a) să se bazeze cu preponderenţă pe principiul prevenirii oricăror întârzieri în efectuarea plăţilor, a nerambursării creditului sau a întârzierilor în exercitarea dreptului de gaj;</w:t>
            </w:r>
          </w:p>
          <w:p w14:paraId="34D10EFD" w14:textId="77777777" w:rsidR="00261C3C" w:rsidRPr="009E686F" w:rsidRDefault="00261C3C" w:rsidP="00EC348D">
            <w:pPr>
              <w:spacing w:after="0"/>
              <w:jc w:val="both"/>
              <w:rPr>
                <w:rFonts w:ascii="Times New Roman" w:hAnsi="Times New Roman" w:cs="Times New Roman"/>
                <w:lang w:val="ro-RO"/>
              </w:rPr>
            </w:pPr>
            <w:r w:rsidRPr="009E686F">
              <w:rPr>
                <w:rFonts w:ascii="Times New Roman" w:hAnsi="Times New Roman" w:cs="Times New Roman"/>
                <w:lang w:val="ro-RO"/>
              </w:rPr>
              <w:lastRenderedPageBreak/>
              <w:t>b) să respecte cerinţele privind limitarea îndatorării consumatorului (raportul dintre credite şi garanţii, raportul dintre datorii şi venituri, raportul dintre serviciul datoriei şi venituri, scadenţa maximă), prevăzute de Banca Naţională a Moldovei;</w:t>
            </w:r>
          </w:p>
          <w:p w14:paraId="5338E211" w14:textId="77777777" w:rsidR="00261C3C" w:rsidRPr="009E686F" w:rsidRDefault="00261C3C" w:rsidP="00EC348D">
            <w:pPr>
              <w:spacing w:after="0"/>
              <w:jc w:val="both"/>
              <w:rPr>
                <w:rFonts w:ascii="Times New Roman" w:hAnsi="Times New Roman" w:cs="Times New Roman"/>
                <w:lang w:val="ro-RO"/>
              </w:rPr>
            </w:pPr>
            <w:r w:rsidRPr="009E686F">
              <w:rPr>
                <w:rFonts w:ascii="Times New Roman" w:hAnsi="Times New Roman" w:cs="Times New Roman"/>
                <w:lang w:val="ro-RO"/>
              </w:rPr>
              <w:t>c) să se bazeze cu preponderenţă pe principiul rambursării creditului din venitul consumatorului, şi nu pe al recuperării forţate a acestuia din contul bunului gajat sau din contul modificărilor valorii bunului gajat, sau din contul altor active ale consumatorului.</w:t>
            </w:r>
          </w:p>
          <w:p w14:paraId="48457E11" w14:textId="77777777" w:rsidR="00261C3C" w:rsidRPr="009E686F" w:rsidRDefault="00261C3C" w:rsidP="00EC348D">
            <w:pPr>
              <w:spacing w:after="0"/>
              <w:jc w:val="both"/>
              <w:rPr>
                <w:rFonts w:ascii="Times New Roman" w:hAnsi="Times New Roman" w:cs="Times New Roman"/>
                <w:b/>
                <w:bCs/>
                <w:lang w:val="ro-RO"/>
              </w:rPr>
            </w:pPr>
            <w:r w:rsidRPr="009E686F">
              <w:rPr>
                <w:rFonts w:ascii="Times New Roman" w:hAnsi="Times New Roman" w:cs="Times New Roman"/>
                <w:lang w:val="ro-RO"/>
              </w:rPr>
              <w:t>(4) În sensul prezentului articol, prin consumator se înţelege persoana fizică astfel cum este definită la art.3 din Legea nr.202/2013 privind contractele de credit pentru consumatori."</w:t>
            </w:r>
          </w:p>
        </w:tc>
        <w:tc>
          <w:tcPr>
            <w:tcW w:w="471" w:type="pct"/>
            <w:tcBorders>
              <w:top w:val="single" w:sz="4" w:space="0" w:color="auto"/>
              <w:left w:val="single" w:sz="4" w:space="0" w:color="auto"/>
              <w:bottom w:val="single" w:sz="4" w:space="0" w:color="auto"/>
              <w:right w:val="single" w:sz="4" w:space="0" w:color="auto"/>
            </w:tcBorders>
          </w:tcPr>
          <w:p w14:paraId="2D022E7D" w14:textId="77777777" w:rsidR="00261C3C" w:rsidRPr="009E686F" w:rsidRDefault="00261C3C" w:rsidP="00EC348D">
            <w:pPr>
              <w:jc w:val="both"/>
              <w:rPr>
                <w:rFonts w:ascii="Times New Roman" w:hAnsi="Times New Roman" w:cs="Times New Roman"/>
                <w:lang w:val="ro-RO"/>
              </w:rPr>
            </w:pPr>
            <w:r w:rsidRPr="009E686F">
              <w:rPr>
                <w:rFonts w:ascii="Times New Roman" w:hAnsi="Times New Roman" w:cs="Times New Roman"/>
                <w:lang w:val="ro-RO"/>
              </w:rPr>
              <w:lastRenderedPageBreak/>
              <w:t>Compatibil</w:t>
            </w:r>
          </w:p>
        </w:tc>
        <w:tc>
          <w:tcPr>
            <w:tcW w:w="1558" w:type="pct"/>
            <w:gridSpan w:val="3"/>
            <w:tcBorders>
              <w:top w:val="single" w:sz="4" w:space="0" w:color="auto"/>
              <w:left w:val="single" w:sz="4" w:space="0" w:color="auto"/>
              <w:bottom w:val="single" w:sz="4" w:space="0" w:color="auto"/>
              <w:right w:val="single" w:sz="4" w:space="0" w:color="auto"/>
            </w:tcBorders>
          </w:tcPr>
          <w:p w14:paraId="47BE42DB" w14:textId="77777777" w:rsidR="00261C3C" w:rsidRPr="009E686F" w:rsidRDefault="00261C3C" w:rsidP="00EC348D">
            <w:pPr>
              <w:jc w:val="both"/>
              <w:rPr>
                <w:rFonts w:ascii="Times New Roman" w:hAnsi="Times New Roman" w:cs="Times New Roman"/>
                <w:lang w:val="ro-RO"/>
              </w:rPr>
            </w:pPr>
            <w:r w:rsidRPr="009E686F">
              <w:rPr>
                <w:rFonts w:ascii="Times New Roman" w:hAnsi="Times New Roman" w:cs="Times New Roman"/>
                <w:lang w:val="ro-MD"/>
              </w:rPr>
              <w:t>Norme cu specific național pentru asigurarea temeiului pentru BNM să instituie măsuri bazate pe debitori/consumatori și bonitatea acestora, care contribuie, inclusiv, la administrarea prudentă a riscului de credit.</w:t>
            </w:r>
          </w:p>
        </w:tc>
      </w:tr>
      <w:tr w:rsidR="00261C3C" w:rsidRPr="009E686F" w14:paraId="3D2A6918" w14:textId="77777777" w:rsidTr="00EC348D">
        <w:tc>
          <w:tcPr>
            <w:tcW w:w="1420" w:type="pct"/>
            <w:tcBorders>
              <w:top w:val="single" w:sz="4" w:space="0" w:color="auto"/>
              <w:left w:val="single" w:sz="4" w:space="0" w:color="auto"/>
              <w:bottom w:val="single" w:sz="4" w:space="0" w:color="auto"/>
              <w:right w:val="single" w:sz="4" w:space="0" w:color="auto"/>
            </w:tcBorders>
          </w:tcPr>
          <w:p w14:paraId="512066F8" w14:textId="77777777" w:rsidR="00261C3C" w:rsidRPr="009E686F" w:rsidRDefault="00261C3C" w:rsidP="00EC348D">
            <w:pPr>
              <w:spacing w:after="0"/>
              <w:jc w:val="both"/>
              <w:rPr>
                <w:rFonts w:ascii="Times New Roman" w:hAnsi="Times New Roman" w:cs="Times New Roman"/>
                <w:lang w:val="ro-RO"/>
              </w:rPr>
            </w:pPr>
          </w:p>
        </w:tc>
        <w:tc>
          <w:tcPr>
            <w:tcW w:w="1551" w:type="pct"/>
            <w:gridSpan w:val="2"/>
            <w:tcBorders>
              <w:top w:val="single" w:sz="4" w:space="0" w:color="auto"/>
              <w:left w:val="single" w:sz="4" w:space="0" w:color="auto"/>
              <w:bottom w:val="single" w:sz="4" w:space="0" w:color="auto"/>
              <w:right w:val="single" w:sz="4" w:space="0" w:color="auto"/>
            </w:tcBorders>
          </w:tcPr>
          <w:p w14:paraId="631B177A" w14:textId="77777777" w:rsidR="00261C3C" w:rsidRPr="009E686F" w:rsidRDefault="00261C3C" w:rsidP="00EC348D">
            <w:pPr>
              <w:spacing w:after="0"/>
              <w:jc w:val="both"/>
              <w:rPr>
                <w:rFonts w:ascii="Times New Roman" w:hAnsi="Times New Roman" w:cs="Times New Roman"/>
                <w:lang w:val="ro-RO"/>
              </w:rPr>
            </w:pPr>
            <w:r w:rsidRPr="009E686F">
              <w:rPr>
                <w:rFonts w:ascii="Times New Roman" w:hAnsi="Times New Roman" w:cs="Times New Roman"/>
                <w:b/>
                <w:lang w:val="ro-RO"/>
              </w:rPr>
              <w:t>Articolul 83.</w:t>
            </w:r>
            <w:r w:rsidRPr="009E686F">
              <w:rPr>
                <w:rFonts w:ascii="Times New Roman" w:hAnsi="Times New Roman" w:cs="Times New Roman"/>
                <w:lang w:val="ro-RO"/>
              </w:rPr>
              <w:t xml:space="preserve"> Alte cerinţe prudenţiale</w:t>
            </w:r>
          </w:p>
          <w:p w14:paraId="21609164" w14:textId="77777777" w:rsidR="00261C3C" w:rsidRPr="009E686F" w:rsidRDefault="00261C3C" w:rsidP="00EC348D">
            <w:pPr>
              <w:spacing w:after="0"/>
              <w:jc w:val="both"/>
              <w:rPr>
                <w:rFonts w:ascii="Times New Roman" w:hAnsi="Times New Roman" w:cs="Times New Roman"/>
                <w:lang w:val="ro-RO"/>
              </w:rPr>
            </w:pPr>
            <w:r w:rsidRPr="009E686F">
              <w:rPr>
                <w:rFonts w:ascii="Times New Roman" w:hAnsi="Times New Roman" w:cs="Times New Roman"/>
                <w:lang w:val="ro-RO"/>
              </w:rPr>
              <w:t xml:space="preserve">Banca Naţională a Moldovei poate stabili prin acte normative şi alte cerinţe de natură prudenţială, precum şi nivelul de aplicare al acestora la </w:t>
            </w:r>
            <w:r w:rsidRPr="009E686F">
              <w:rPr>
                <w:rFonts w:ascii="Times New Roman" w:hAnsi="Times New Roman" w:cs="Times New Roman"/>
                <w:i/>
                <w:lang w:val="ro-RO"/>
              </w:rPr>
              <w:t>instituții de credit, societăți financiare holding sau societăți financiare holding mixte.</w:t>
            </w:r>
            <w:r w:rsidRPr="009E686F">
              <w:rPr>
                <w:rFonts w:ascii="Times New Roman" w:hAnsi="Times New Roman" w:cs="Times New Roman"/>
                <w:lang w:val="ro-RO"/>
              </w:rPr>
              <w:t xml:space="preserve"> Aceste cerinţe pot viza cel puţin următoarele:</w:t>
            </w:r>
          </w:p>
          <w:p w14:paraId="10B67CA7" w14:textId="77777777" w:rsidR="00261C3C" w:rsidRPr="009E686F" w:rsidRDefault="00261C3C" w:rsidP="00EC348D">
            <w:pPr>
              <w:spacing w:after="0"/>
              <w:jc w:val="both"/>
              <w:rPr>
                <w:rFonts w:ascii="Times New Roman" w:hAnsi="Times New Roman" w:cs="Times New Roman"/>
                <w:lang w:val="ro-RO"/>
              </w:rPr>
            </w:pPr>
            <w:r w:rsidRPr="009E686F">
              <w:rPr>
                <w:rFonts w:ascii="Times New Roman" w:hAnsi="Times New Roman" w:cs="Times New Roman"/>
                <w:lang w:val="ro-RO"/>
              </w:rPr>
              <w:t>a) suma maximă permisă a investiţiilor în imobil sau categoriile specifice ale acestora;</w:t>
            </w:r>
          </w:p>
          <w:p w14:paraId="43D8C58B" w14:textId="77777777" w:rsidR="00261C3C" w:rsidRPr="009E686F" w:rsidRDefault="00261C3C" w:rsidP="00EC348D">
            <w:pPr>
              <w:spacing w:after="0"/>
              <w:jc w:val="both"/>
              <w:rPr>
                <w:rFonts w:ascii="Times New Roman" w:hAnsi="Times New Roman" w:cs="Times New Roman"/>
                <w:lang w:val="pt-BR"/>
              </w:rPr>
            </w:pPr>
            <w:r w:rsidRPr="009E686F">
              <w:rPr>
                <w:rFonts w:ascii="Times New Roman" w:hAnsi="Times New Roman" w:cs="Times New Roman"/>
                <w:lang w:val="pt-BR"/>
              </w:rPr>
              <w:t>b) ajustările prudenţiale de valoare a activelor şi a angajamentelor condiţionale;</w:t>
            </w:r>
          </w:p>
          <w:p w14:paraId="6E1F4C25" w14:textId="77777777" w:rsidR="00261C3C" w:rsidRPr="009E686F" w:rsidRDefault="00261C3C" w:rsidP="00EC348D">
            <w:pPr>
              <w:spacing w:after="0"/>
              <w:jc w:val="both"/>
              <w:rPr>
                <w:rFonts w:ascii="Times New Roman" w:hAnsi="Times New Roman" w:cs="Times New Roman"/>
                <w:lang w:val="pt-BR"/>
              </w:rPr>
            </w:pPr>
            <w:r w:rsidRPr="009E686F">
              <w:rPr>
                <w:rFonts w:ascii="Times New Roman" w:hAnsi="Times New Roman" w:cs="Times New Roman"/>
                <w:lang w:val="pt-BR"/>
              </w:rPr>
              <w:t>c) poziţiile neasigurate în valută străină, ce depăşesc o anumită limită;</w:t>
            </w:r>
          </w:p>
          <w:p w14:paraId="41B921CD" w14:textId="77777777" w:rsidR="00261C3C" w:rsidRPr="009E686F" w:rsidRDefault="00261C3C" w:rsidP="00EC348D">
            <w:pPr>
              <w:spacing w:after="0"/>
              <w:jc w:val="both"/>
              <w:rPr>
                <w:rFonts w:ascii="Times New Roman" w:hAnsi="Times New Roman" w:cs="Times New Roman"/>
                <w:lang w:val="pt-BR"/>
              </w:rPr>
            </w:pPr>
            <w:r w:rsidRPr="009E686F">
              <w:rPr>
                <w:rFonts w:ascii="Times New Roman" w:hAnsi="Times New Roman" w:cs="Times New Roman"/>
                <w:lang w:val="pt-BR"/>
              </w:rPr>
              <w:t>d) activele transmise în posesie/achiziţionate în schimbul rambursării datoriei;</w:t>
            </w:r>
          </w:p>
          <w:p w14:paraId="765280C6" w14:textId="77777777" w:rsidR="00261C3C" w:rsidRPr="009E686F" w:rsidRDefault="00261C3C" w:rsidP="00EC348D">
            <w:pPr>
              <w:spacing w:after="0"/>
              <w:jc w:val="both"/>
              <w:rPr>
                <w:rFonts w:ascii="Times New Roman" w:hAnsi="Times New Roman" w:cs="Times New Roman"/>
                <w:lang w:val="pt-BR"/>
              </w:rPr>
            </w:pPr>
            <w:r w:rsidRPr="009E686F">
              <w:rPr>
                <w:rFonts w:ascii="Times New Roman" w:hAnsi="Times New Roman" w:cs="Times New Roman"/>
                <w:lang w:val="pt-BR"/>
              </w:rPr>
              <w:t xml:space="preserve">e) suma maximă agregată a expunerilor faţă de persoanele care nu sînt persoane afiliate </w:t>
            </w:r>
            <w:r w:rsidRPr="009E686F">
              <w:rPr>
                <w:rFonts w:ascii="Times New Roman" w:hAnsi="Times New Roman" w:cs="Times New Roman"/>
                <w:i/>
                <w:lang w:val="pt-BR"/>
              </w:rPr>
              <w:t xml:space="preserve">instituției </w:t>
            </w:r>
            <w:r w:rsidRPr="009E686F">
              <w:rPr>
                <w:rFonts w:ascii="Times New Roman" w:hAnsi="Times New Roman" w:cs="Times New Roman"/>
                <w:i/>
                <w:lang w:val="pt-BR"/>
              </w:rPr>
              <w:lastRenderedPageBreak/>
              <w:t>de credit</w:t>
            </w:r>
            <w:r w:rsidRPr="009E686F">
              <w:rPr>
                <w:rFonts w:ascii="Times New Roman" w:hAnsi="Times New Roman" w:cs="Times New Roman"/>
                <w:lang w:val="pt-BR"/>
              </w:rPr>
              <w:t xml:space="preserve"> şi care, direct sau indirect, deţin sau controlează o deţinere în capitalul social al </w:t>
            </w:r>
            <w:r w:rsidRPr="009E686F">
              <w:rPr>
                <w:rFonts w:ascii="Times New Roman" w:hAnsi="Times New Roman" w:cs="Times New Roman"/>
                <w:i/>
                <w:lang w:val="pt-BR"/>
              </w:rPr>
              <w:t>instituției de credit</w:t>
            </w:r>
            <w:r w:rsidRPr="009E686F">
              <w:rPr>
                <w:rFonts w:ascii="Times New Roman" w:hAnsi="Times New Roman" w:cs="Times New Roman"/>
                <w:lang w:val="pt-BR"/>
              </w:rPr>
              <w:t xml:space="preserve"> inferioară unei deţineri calificate, inclusiv persoanele afiliate acestora;</w:t>
            </w:r>
          </w:p>
          <w:p w14:paraId="56231AD3" w14:textId="77777777" w:rsidR="00261C3C" w:rsidRPr="009E686F" w:rsidRDefault="00261C3C" w:rsidP="00EC348D">
            <w:pPr>
              <w:spacing w:after="0"/>
              <w:jc w:val="both"/>
              <w:rPr>
                <w:rFonts w:ascii="Times New Roman" w:hAnsi="Times New Roman" w:cs="Times New Roman"/>
                <w:b/>
                <w:bCs/>
                <w:i/>
                <w:iCs/>
                <w:lang w:val="ro-RO"/>
              </w:rPr>
            </w:pPr>
            <w:r w:rsidRPr="009E686F">
              <w:rPr>
                <w:rFonts w:ascii="Times New Roman" w:hAnsi="Times New Roman" w:cs="Times New Roman"/>
                <w:i/>
                <w:iCs/>
                <w:lang w:val="ro-RO"/>
              </w:rPr>
              <w:t>f) limitele concentrărilor activelor totale ale instituției de credit în raport cu activele totale din sectorul bancar și limitele concentrărilor depozitelor persoanelor fizice ale instituției de credit în raport cu depozitele totale din sectorul bancar.</w:t>
            </w:r>
          </w:p>
        </w:tc>
        <w:tc>
          <w:tcPr>
            <w:tcW w:w="471" w:type="pct"/>
            <w:tcBorders>
              <w:top w:val="single" w:sz="4" w:space="0" w:color="auto"/>
              <w:left w:val="single" w:sz="4" w:space="0" w:color="auto"/>
              <w:bottom w:val="single" w:sz="4" w:space="0" w:color="auto"/>
              <w:right w:val="single" w:sz="4" w:space="0" w:color="auto"/>
            </w:tcBorders>
          </w:tcPr>
          <w:p w14:paraId="1BC8E3E6" w14:textId="77777777" w:rsidR="00261C3C" w:rsidRPr="009E686F" w:rsidRDefault="00261C3C" w:rsidP="00EC348D">
            <w:pPr>
              <w:jc w:val="both"/>
              <w:rPr>
                <w:rFonts w:ascii="Times New Roman" w:hAnsi="Times New Roman" w:cs="Times New Roman"/>
                <w:lang w:val="ro-RO"/>
              </w:rPr>
            </w:pPr>
            <w:r w:rsidRPr="009E686F">
              <w:rPr>
                <w:rFonts w:ascii="Times New Roman" w:hAnsi="Times New Roman" w:cs="Times New Roman"/>
                <w:lang w:val="ro-RO"/>
              </w:rPr>
              <w:lastRenderedPageBreak/>
              <w:t>Compatibil</w:t>
            </w:r>
          </w:p>
        </w:tc>
        <w:tc>
          <w:tcPr>
            <w:tcW w:w="1558" w:type="pct"/>
            <w:gridSpan w:val="3"/>
            <w:tcBorders>
              <w:top w:val="single" w:sz="4" w:space="0" w:color="auto"/>
              <w:left w:val="single" w:sz="4" w:space="0" w:color="auto"/>
              <w:bottom w:val="single" w:sz="4" w:space="0" w:color="auto"/>
              <w:right w:val="single" w:sz="4" w:space="0" w:color="auto"/>
            </w:tcBorders>
          </w:tcPr>
          <w:p w14:paraId="04DBC0D4" w14:textId="77777777" w:rsidR="00261C3C" w:rsidRPr="009E686F" w:rsidRDefault="00261C3C" w:rsidP="00EC348D">
            <w:pPr>
              <w:jc w:val="both"/>
              <w:rPr>
                <w:rFonts w:ascii="Times New Roman" w:hAnsi="Times New Roman" w:cs="Times New Roman"/>
                <w:lang w:val="it-CH"/>
              </w:rPr>
            </w:pPr>
            <w:r w:rsidRPr="009E686F">
              <w:rPr>
                <w:rFonts w:ascii="Times New Roman" w:hAnsi="Times New Roman" w:cs="Times New Roman"/>
                <w:lang w:val="it-CH"/>
              </w:rPr>
              <w:t>Normă cu specific național care conferă BNM competența de a stabili, prin acte normative, cerințe prudențiale suplimentare necesare asigurării unei supravegheri prudențiale eficiente</w:t>
            </w:r>
          </w:p>
          <w:p w14:paraId="7D81496C" w14:textId="77777777" w:rsidR="00261C3C" w:rsidRPr="009E686F" w:rsidRDefault="00261C3C" w:rsidP="00EC348D">
            <w:pPr>
              <w:jc w:val="both"/>
              <w:rPr>
                <w:rFonts w:ascii="Times New Roman" w:hAnsi="Times New Roman" w:cs="Times New Roman"/>
                <w:lang w:val="ro-MD"/>
              </w:rPr>
            </w:pPr>
            <w:r w:rsidRPr="009E686F">
              <w:rPr>
                <w:rFonts w:ascii="Times New Roman" w:hAnsi="Times New Roman" w:cs="Times New Roman"/>
                <w:lang w:val="ro-MD"/>
              </w:rPr>
              <w:t>Lit. f) reprezintă o prevedere cu specific național, preluată din cadrul legislativ existent. Prevederea va permite BNM să stabilească limite privind concentrarea activelor și a depozitelor unei instituții de credit în raport cu sectorul bancar. Respectiv, prin aceste limite se urmărește prevenirea concentrării excesive a activității unei singure instituții de credit.</w:t>
            </w:r>
          </w:p>
          <w:p w14:paraId="63EAAE37" w14:textId="77777777" w:rsidR="00261C3C" w:rsidRPr="009E686F" w:rsidRDefault="00261C3C" w:rsidP="00EC348D">
            <w:pPr>
              <w:jc w:val="both"/>
              <w:rPr>
                <w:rFonts w:ascii="Times New Roman" w:hAnsi="Times New Roman" w:cs="Times New Roman"/>
                <w:lang w:val="ro-MD"/>
              </w:rPr>
            </w:pPr>
            <w:r w:rsidRPr="009E686F">
              <w:rPr>
                <w:rFonts w:ascii="Times New Roman" w:hAnsi="Times New Roman" w:cs="Times New Roman"/>
                <w:lang w:val="ro-MD"/>
              </w:rPr>
              <w:t xml:space="preserve">Având în vedere că Directiva 2013/36/UE și Regulamentul (UE) nr. 575/2013 nu reglementează limite privind concentrarea activelor sau a depozitelor unei instituții de credit în raport cu </w:t>
            </w:r>
            <w:r w:rsidRPr="009E686F">
              <w:rPr>
                <w:rFonts w:ascii="Times New Roman" w:hAnsi="Times New Roman" w:cs="Times New Roman"/>
                <w:lang w:val="ro-MD"/>
              </w:rPr>
              <w:lastRenderedPageBreak/>
              <w:t>întregul sector bancar și nici nu interzic autorităților competente instituirea unor astfel de cerințe prudențiale la nivel național, se consideră compatibilă prevederea cu obiectivele cadrului prudențial european.</w:t>
            </w:r>
          </w:p>
        </w:tc>
      </w:tr>
      <w:tr w:rsidR="00261C3C" w:rsidRPr="009E686F" w14:paraId="3DA96A6C" w14:textId="77777777" w:rsidTr="00EC348D">
        <w:tc>
          <w:tcPr>
            <w:tcW w:w="1420" w:type="pct"/>
            <w:tcBorders>
              <w:top w:val="single" w:sz="4" w:space="0" w:color="auto"/>
              <w:left w:val="single" w:sz="4" w:space="0" w:color="auto"/>
              <w:bottom w:val="single" w:sz="4" w:space="0" w:color="auto"/>
              <w:right w:val="single" w:sz="4" w:space="0" w:color="auto"/>
            </w:tcBorders>
          </w:tcPr>
          <w:p w14:paraId="1F0E93E3" w14:textId="77777777" w:rsidR="00261C3C" w:rsidRPr="009E686F" w:rsidRDefault="00261C3C" w:rsidP="00EC348D">
            <w:pPr>
              <w:spacing w:after="0"/>
              <w:jc w:val="both"/>
              <w:rPr>
                <w:rFonts w:ascii="Times New Roman" w:hAnsi="Times New Roman" w:cs="Times New Roman"/>
                <w:lang w:val="ro-RO"/>
              </w:rPr>
            </w:pPr>
          </w:p>
        </w:tc>
        <w:tc>
          <w:tcPr>
            <w:tcW w:w="1551" w:type="pct"/>
            <w:gridSpan w:val="2"/>
            <w:tcBorders>
              <w:top w:val="single" w:sz="4" w:space="0" w:color="auto"/>
              <w:left w:val="single" w:sz="4" w:space="0" w:color="auto"/>
              <w:bottom w:val="single" w:sz="4" w:space="0" w:color="auto"/>
              <w:right w:val="single" w:sz="4" w:space="0" w:color="auto"/>
            </w:tcBorders>
          </w:tcPr>
          <w:p w14:paraId="0D4C40F6" w14:textId="77777777" w:rsidR="00261C3C" w:rsidRPr="009E686F" w:rsidRDefault="00261C3C" w:rsidP="00EC348D">
            <w:pPr>
              <w:spacing w:after="0"/>
              <w:jc w:val="center"/>
              <w:rPr>
                <w:rFonts w:ascii="Times New Roman" w:hAnsi="Times New Roman" w:cs="Times New Roman"/>
                <w:b/>
                <w:bCs/>
                <w:lang w:val="it-CH"/>
              </w:rPr>
            </w:pPr>
            <w:r w:rsidRPr="009E686F">
              <w:rPr>
                <w:rFonts w:ascii="Times New Roman" w:hAnsi="Times New Roman" w:cs="Times New Roman"/>
                <w:b/>
                <w:bCs/>
                <w:lang w:val="it-CH"/>
              </w:rPr>
              <w:t>Capitolul 5</w:t>
            </w:r>
          </w:p>
          <w:p w14:paraId="4164DA82" w14:textId="77777777" w:rsidR="00261C3C" w:rsidRPr="009E686F" w:rsidRDefault="00261C3C" w:rsidP="00EC348D">
            <w:pPr>
              <w:spacing w:after="0"/>
              <w:jc w:val="center"/>
              <w:rPr>
                <w:rFonts w:ascii="Times New Roman" w:hAnsi="Times New Roman" w:cs="Times New Roman"/>
                <w:b/>
                <w:bCs/>
                <w:lang w:val="it-CH"/>
              </w:rPr>
            </w:pPr>
            <w:r w:rsidRPr="009E686F">
              <w:rPr>
                <w:rFonts w:ascii="Times New Roman" w:hAnsi="Times New Roman" w:cs="Times New Roman"/>
                <w:b/>
                <w:bCs/>
                <w:lang w:val="it-CH"/>
              </w:rPr>
              <w:t>EVIDENŢA CONTABILĂ, SITUAŢII FINANCIARE ŞI AUDIT</w:t>
            </w:r>
          </w:p>
          <w:p w14:paraId="551F8F75" w14:textId="77777777" w:rsidR="00261C3C" w:rsidRPr="009E686F" w:rsidRDefault="00261C3C" w:rsidP="00EC348D">
            <w:pPr>
              <w:spacing w:after="0"/>
              <w:jc w:val="both"/>
              <w:rPr>
                <w:rFonts w:ascii="Times New Roman" w:hAnsi="Times New Roman" w:cs="Times New Roman"/>
                <w:lang w:val="it-CH"/>
              </w:rPr>
            </w:pPr>
            <w:r w:rsidRPr="009E686F">
              <w:rPr>
                <w:rFonts w:ascii="Times New Roman" w:hAnsi="Times New Roman" w:cs="Times New Roman"/>
                <w:b/>
                <w:bCs/>
                <w:lang w:val="it-CH"/>
              </w:rPr>
              <w:t>Articolul 85.</w:t>
            </w:r>
            <w:r w:rsidRPr="009E686F">
              <w:rPr>
                <w:rFonts w:ascii="Times New Roman" w:hAnsi="Times New Roman" w:cs="Times New Roman"/>
                <w:lang w:val="it-CH"/>
              </w:rPr>
              <w:t xml:space="preserve"> Evidenţa contabilă în </w:t>
            </w:r>
            <w:r w:rsidRPr="009E686F">
              <w:rPr>
                <w:rFonts w:ascii="Times New Roman" w:hAnsi="Times New Roman" w:cs="Times New Roman"/>
                <w:i/>
                <w:iCs/>
                <w:lang w:val="it-CH"/>
              </w:rPr>
              <w:t>instituțiile de credit</w:t>
            </w:r>
          </w:p>
          <w:p w14:paraId="36CF5A5D" w14:textId="77777777" w:rsidR="00261C3C" w:rsidRPr="009E686F" w:rsidRDefault="00261C3C" w:rsidP="00EC348D">
            <w:pPr>
              <w:spacing w:after="0"/>
              <w:jc w:val="both"/>
              <w:rPr>
                <w:rFonts w:ascii="Times New Roman" w:hAnsi="Times New Roman" w:cs="Times New Roman"/>
                <w:lang w:val="it-CH"/>
              </w:rPr>
            </w:pPr>
            <w:r w:rsidRPr="009E686F">
              <w:rPr>
                <w:rFonts w:ascii="Times New Roman" w:hAnsi="Times New Roman" w:cs="Times New Roman"/>
                <w:lang w:val="it-CH"/>
              </w:rPr>
              <w:t xml:space="preserve">(1) </w:t>
            </w:r>
            <w:r w:rsidRPr="009E686F">
              <w:rPr>
                <w:rFonts w:ascii="Times New Roman" w:hAnsi="Times New Roman" w:cs="Times New Roman"/>
                <w:i/>
                <w:iCs/>
                <w:lang w:val="it-CH"/>
              </w:rPr>
              <w:t>Instituțiile de credit</w:t>
            </w:r>
            <w:r w:rsidRPr="009E686F">
              <w:rPr>
                <w:rFonts w:ascii="Times New Roman" w:hAnsi="Times New Roman" w:cs="Times New Roman"/>
                <w:lang w:val="it-CH"/>
              </w:rPr>
              <w:t xml:space="preserve"> trebuie să organizeze şi să conducă contabilitatea în conformitate cu prevederile legislaţiei din domeniul contabilităţii şi standardelor internaţionale de raportare financiară, de asemenea să întocmească situaţii financiare anuale individuale şi, după caz, consolidate, care să ofere o imagine fidelă a poziţiei financiare, performanţei financiare, fluxurilor de numerar şi a celorlalte aspecte legate de activitatea desfăşurată.</w:t>
            </w:r>
          </w:p>
          <w:p w14:paraId="4BCA79FA" w14:textId="77777777" w:rsidR="00261C3C" w:rsidRPr="009E686F" w:rsidRDefault="00261C3C" w:rsidP="00EC348D">
            <w:pPr>
              <w:spacing w:after="0"/>
              <w:jc w:val="both"/>
              <w:rPr>
                <w:rFonts w:ascii="Times New Roman" w:hAnsi="Times New Roman" w:cs="Times New Roman"/>
                <w:lang w:val="it-CH"/>
              </w:rPr>
            </w:pPr>
            <w:r w:rsidRPr="009E686F">
              <w:rPr>
                <w:rFonts w:ascii="Times New Roman" w:hAnsi="Times New Roman" w:cs="Times New Roman"/>
                <w:lang w:val="it-CH"/>
              </w:rPr>
              <w:t xml:space="preserve">(2) Situaţiile financiare anuale ale </w:t>
            </w:r>
            <w:r w:rsidRPr="009E686F">
              <w:rPr>
                <w:rFonts w:ascii="Times New Roman" w:hAnsi="Times New Roman" w:cs="Times New Roman"/>
                <w:i/>
                <w:iCs/>
                <w:lang w:val="it-CH"/>
              </w:rPr>
              <w:t xml:space="preserve">instituțiilor de credit </w:t>
            </w:r>
            <w:r w:rsidRPr="009E686F">
              <w:rPr>
                <w:rFonts w:ascii="Times New Roman" w:hAnsi="Times New Roman" w:cs="Times New Roman"/>
                <w:lang w:val="it-CH"/>
              </w:rPr>
              <w:t>şi, după caz, situaţiile financiare anuale consolidate trebuie să fie auditate de către o entitate de audit în conformitate cu legislaţia din domeniul auditului.</w:t>
            </w:r>
          </w:p>
          <w:p w14:paraId="31B63DA5" w14:textId="77777777" w:rsidR="00261C3C" w:rsidRPr="009E686F" w:rsidRDefault="00261C3C" w:rsidP="00EC348D">
            <w:pPr>
              <w:spacing w:after="0"/>
              <w:jc w:val="both"/>
              <w:rPr>
                <w:rFonts w:ascii="Times New Roman" w:hAnsi="Times New Roman" w:cs="Times New Roman"/>
                <w:lang w:val="pt-BR"/>
              </w:rPr>
            </w:pPr>
            <w:r w:rsidRPr="009E686F">
              <w:rPr>
                <w:rFonts w:ascii="Times New Roman" w:hAnsi="Times New Roman" w:cs="Times New Roman"/>
                <w:lang w:val="pt-BR"/>
              </w:rPr>
              <w:t xml:space="preserve">(3) </w:t>
            </w:r>
            <w:r w:rsidRPr="009E686F">
              <w:rPr>
                <w:rFonts w:ascii="Times New Roman" w:hAnsi="Times New Roman" w:cs="Times New Roman"/>
                <w:i/>
                <w:lang w:val="pt-BR"/>
              </w:rPr>
              <w:t>Organul de conducere al instituției de credit</w:t>
            </w:r>
            <w:r w:rsidRPr="009E686F">
              <w:rPr>
                <w:rFonts w:ascii="Times New Roman" w:hAnsi="Times New Roman" w:cs="Times New Roman"/>
                <w:lang w:val="pt-BR"/>
              </w:rPr>
              <w:t xml:space="preserve"> este responsabil pentru respectarea dispoziţiilor alin.(1) şi (2).</w:t>
            </w:r>
          </w:p>
          <w:p w14:paraId="3767A3E8" w14:textId="77777777" w:rsidR="00261C3C" w:rsidRPr="009E686F" w:rsidRDefault="00261C3C" w:rsidP="00EC348D">
            <w:pPr>
              <w:spacing w:after="0"/>
              <w:jc w:val="both"/>
              <w:rPr>
                <w:rFonts w:ascii="Times New Roman" w:hAnsi="Times New Roman" w:cs="Times New Roman"/>
                <w:lang w:val="pt-BR"/>
              </w:rPr>
            </w:pPr>
            <w:r w:rsidRPr="009E686F">
              <w:rPr>
                <w:rFonts w:ascii="Times New Roman" w:hAnsi="Times New Roman" w:cs="Times New Roman"/>
                <w:lang w:val="pt-BR"/>
              </w:rPr>
              <w:lastRenderedPageBreak/>
              <w:t xml:space="preserve">(4) Planul de conturi, inclusiv nomenclatorul grupelor de conturi şi normele metodologice privind aplicarea acestora, utilizat de </w:t>
            </w:r>
            <w:r w:rsidRPr="009E686F">
              <w:rPr>
                <w:rFonts w:ascii="Times New Roman" w:hAnsi="Times New Roman" w:cs="Times New Roman"/>
                <w:i/>
                <w:lang w:val="pt-BR"/>
              </w:rPr>
              <w:t xml:space="preserve">instituții de credit </w:t>
            </w:r>
            <w:r w:rsidRPr="009E686F">
              <w:rPr>
                <w:rFonts w:ascii="Times New Roman" w:hAnsi="Times New Roman" w:cs="Times New Roman"/>
                <w:lang w:val="pt-BR"/>
              </w:rPr>
              <w:t>se elaborează şi se aprobă de Banca Naţională a Moldovei.</w:t>
            </w:r>
          </w:p>
          <w:p w14:paraId="1E07C144" w14:textId="77777777" w:rsidR="00261C3C" w:rsidRPr="009E686F" w:rsidRDefault="00261C3C" w:rsidP="00EC348D">
            <w:pPr>
              <w:spacing w:after="0"/>
              <w:jc w:val="both"/>
              <w:rPr>
                <w:rFonts w:ascii="Times New Roman" w:hAnsi="Times New Roman" w:cs="Times New Roman"/>
                <w:lang w:val="pt-BR"/>
              </w:rPr>
            </w:pPr>
            <w:r w:rsidRPr="009E686F">
              <w:rPr>
                <w:rFonts w:ascii="Times New Roman" w:hAnsi="Times New Roman" w:cs="Times New Roman"/>
                <w:lang w:val="pt-BR"/>
              </w:rPr>
              <w:t> </w:t>
            </w:r>
          </w:p>
          <w:p w14:paraId="2A8E1A35" w14:textId="77777777" w:rsidR="00261C3C" w:rsidRPr="009E686F" w:rsidRDefault="00261C3C" w:rsidP="00EC348D">
            <w:pPr>
              <w:spacing w:after="0"/>
              <w:jc w:val="both"/>
              <w:rPr>
                <w:rFonts w:ascii="Times New Roman" w:hAnsi="Times New Roman" w:cs="Times New Roman"/>
                <w:lang w:val="pt-BR"/>
              </w:rPr>
            </w:pPr>
            <w:r w:rsidRPr="009E686F">
              <w:rPr>
                <w:rFonts w:ascii="Times New Roman" w:hAnsi="Times New Roman" w:cs="Times New Roman"/>
                <w:b/>
                <w:lang w:val="pt-BR"/>
              </w:rPr>
              <w:t>Articolul 86.</w:t>
            </w:r>
            <w:r w:rsidRPr="009E686F">
              <w:rPr>
                <w:rFonts w:ascii="Times New Roman" w:hAnsi="Times New Roman" w:cs="Times New Roman"/>
                <w:lang w:val="pt-BR"/>
              </w:rPr>
              <w:t xml:space="preserve"> Prezentarea situaţiilor financiare</w:t>
            </w:r>
          </w:p>
          <w:p w14:paraId="28902831" w14:textId="77777777" w:rsidR="00261C3C" w:rsidRPr="009E686F" w:rsidRDefault="00261C3C" w:rsidP="00EC348D">
            <w:pPr>
              <w:spacing w:after="0"/>
              <w:jc w:val="both"/>
              <w:rPr>
                <w:rFonts w:ascii="Times New Roman" w:hAnsi="Times New Roman" w:cs="Times New Roman"/>
                <w:lang w:val="pt-BR"/>
              </w:rPr>
            </w:pPr>
            <w:r w:rsidRPr="009E686F">
              <w:rPr>
                <w:rFonts w:ascii="Times New Roman" w:hAnsi="Times New Roman" w:cs="Times New Roman"/>
                <w:lang w:val="pt-BR"/>
              </w:rPr>
              <w:t xml:space="preserve">Fără a aduce atingere dispoziţiilor legislaţiei din domeniul contabilităţii, </w:t>
            </w:r>
            <w:r w:rsidRPr="009E686F">
              <w:rPr>
                <w:rFonts w:ascii="Times New Roman" w:hAnsi="Times New Roman" w:cs="Times New Roman"/>
                <w:i/>
                <w:lang w:val="pt-BR"/>
              </w:rPr>
              <w:t>instituțiile de credit</w:t>
            </w:r>
            <w:r w:rsidRPr="009E686F">
              <w:rPr>
                <w:rFonts w:ascii="Times New Roman" w:hAnsi="Times New Roman" w:cs="Times New Roman"/>
                <w:lang w:val="pt-BR"/>
              </w:rPr>
              <w:t xml:space="preserve"> sînt obligate să prezinte Băncii Naţionale a Moldovei situaţiile lor financiare, precum şi alte date şi informaţii cerute la termenele şi în forma stabilite prin acte normative şi instrucţiuni emise de către Banca Naţională a Moldovei, în calitate de autoritate competentă.</w:t>
            </w:r>
          </w:p>
          <w:p w14:paraId="3D629779" w14:textId="77777777" w:rsidR="00261C3C" w:rsidRPr="009E686F" w:rsidRDefault="00261C3C" w:rsidP="00EC348D">
            <w:pPr>
              <w:spacing w:after="0"/>
              <w:jc w:val="both"/>
              <w:rPr>
                <w:rFonts w:ascii="Times New Roman" w:hAnsi="Times New Roman" w:cs="Times New Roman"/>
                <w:lang w:val="pt-BR"/>
              </w:rPr>
            </w:pPr>
            <w:r w:rsidRPr="009E686F">
              <w:rPr>
                <w:rFonts w:ascii="Times New Roman" w:hAnsi="Times New Roman" w:cs="Times New Roman"/>
                <w:lang w:val="pt-BR"/>
              </w:rPr>
              <w:t> </w:t>
            </w:r>
          </w:p>
          <w:p w14:paraId="0A59D53A" w14:textId="77777777" w:rsidR="00261C3C" w:rsidRPr="009E686F" w:rsidRDefault="00261C3C" w:rsidP="00EC348D">
            <w:pPr>
              <w:spacing w:after="0"/>
              <w:jc w:val="both"/>
              <w:rPr>
                <w:rFonts w:ascii="Times New Roman" w:hAnsi="Times New Roman" w:cs="Times New Roman"/>
                <w:lang w:val="it-CH"/>
              </w:rPr>
            </w:pPr>
            <w:r w:rsidRPr="009E686F">
              <w:rPr>
                <w:rFonts w:ascii="Times New Roman" w:hAnsi="Times New Roman" w:cs="Times New Roman"/>
                <w:b/>
                <w:bCs/>
                <w:lang w:val="it-CH"/>
              </w:rPr>
              <w:t>Articolul 87.</w:t>
            </w:r>
            <w:r w:rsidRPr="009E686F">
              <w:rPr>
                <w:rFonts w:ascii="Times New Roman" w:hAnsi="Times New Roman" w:cs="Times New Roman"/>
                <w:lang w:val="it-CH"/>
              </w:rPr>
              <w:t xml:space="preserve"> Efectuarea auditului în alte scopuri</w:t>
            </w:r>
          </w:p>
          <w:p w14:paraId="3355C480" w14:textId="77777777" w:rsidR="00261C3C" w:rsidRPr="009E686F" w:rsidRDefault="00261C3C" w:rsidP="00EC348D">
            <w:pPr>
              <w:spacing w:after="0"/>
              <w:jc w:val="both"/>
              <w:rPr>
                <w:rFonts w:ascii="Times New Roman" w:hAnsi="Times New Roman" w:cs="Times New Roman"/>
                <w:lang w:val="it-CH"/>
              </w:rPr>
            </w:pPr>
            <w:r w:rsidRPr="009E686F">
              <w:rPr>
                <w:rFonts w:ascii="Times New Roman" w:hAnsi="Times New Roman" w:cs="Times New Roman"/>
                <w:lang w:val="it-CH"/>
              </w:rPr>
              <w:t xml:space="preserve">Banca Naţională a Moldovei poate stabili, prin acte normative, efectuarea de activităţi de audit la </w:t>
            </w:r>
            <w:r w:rsidRPr="009E686F">
              <w:rPr>
                <w:rFonts w:ascii="Times New Roman" w:hAnsi="Times New Roman" w:cs="Times New Roman"/>
                <w:i/>
                <w:iCs/>
                <w:lang w:val="it-CH"/>
              </w:rPr>
              <w:t>instituții de credit</w:t>
            </w:r>
            <w:r w:rsidRPr="009E686F">
              <w:rPr>
                <w:rFonts w:ascii="Times New Roman" w:hAnsi="Times New Roman" w:cs="Times New Roman"/>
                <w:lang w:val="it-CH"/>
              </w:rPr>
              <w:t xml:space="preserve"> în alte scopuri decît cel prevăzut la art.85 alin.(2) şi de standardele aplicabile în aceste cazuri.</w:t>
            </w:r>
          </w:p>
          <w:p w14:paraId="7C601F57" w14:textId="77777777" w:rsidR="00261C3C" w:rsidRPr="009E686F" w:rsidRDefault="00261C3C" w:rsidP="00EC348D">
            <w:pPr>
              <w:spacing w:after="0"/>
              <w:jc w:val="both"/>
              <w:rPr>
                <w:rFonts w:ascii="Times New Roman" w:hAnsi="Times New Roman" w:cs="Times New Roman"/>
                <w:lang w:val="it-CH"/>
              </w:rPr>
            </w:pPr>
            <w:r w:rsidRPr="009E686F">
              <w:rPr>
                <w:rFonts w:ascii="Times New Roman" w:hAnsi="Times New Roman" w:cs="Times New Roman"/>
                <w:lang w:val="it-CH"/>
              </w:rPr>
              <w:t> </w:t>
            </w:r>
          </w:p>
          <w:p w14:paraId="0E9F3954" w14:textId="77777777" w:rsidR="00261C3C" w:rsidRPr="009E686F" w:rsidRDefault="00261C3C" w:rsidP="00EC348D">
            <w:pPr>
              <w:spacing w:after="0"/>
              <w:jc w:val="both"/>
              <w:rPr>
                <w:rFonts w:ascii="Times New Roman" w:hAnsi="Times New Roman" w:cs="Times New Roman"/>
                <w:lang w:val="pt-BR"/>
              </w:rPr>
            </w:pPr>
            <w:r w:rsidRPr="009E686F">
              <w:rPr>
                <w:rFonts w:ascii="Times New Roman" w:hAnsi="Times New Roman" w:cs="Times New Roman"/>
                <w:b/>
                <w:lang w:val="pt-BR"/>
              </w:rPr>
              <w:t>Articolul 88.</w:t>
            </w:r>
            <w:r w:rsidRPr="009E686F">
              <w:rPr>
                <w:rFonts w:ascii="Times New Roman" w:hAnsi="Times New Roman" w:cs="Times New Roman"/>
                <w:lang w:val="pt-BR"/>
              </w:rPr>
              <w:t xml:space="preserve"> Aprobarea entităţii de audit</w:t>
            </w:r>
          </w:p>
          <w:p w14:paraId="0D671493" w14:textId="77777777" w:rsidR="00261C3C" w:rsidRPr="009E686F" w:rsidRDefault="00261C3C" w:rsidP="00EC348D">
            <w:pPr>
              <w:spacing w:after="0"/>
              <w:jc w:val="both"/>
              <w:rPr>
                <w:rFonts w:ascii="Times New Roman" w:hAnsi="Times New Roman" w:cs="Times New Roman"/>
                <w:lang w:val="pt-BR"/>
              </w:rPr>
            </w:pPr>
            <w:r w:rsidRPr="009E686F">
              <w:rPr>
                <w:rFonts w:ascii="Times New Roman" w:hAnsi="Times New Roman" w:cs="Times New Roman"/>
                <w:i/>
                <w:lang w:val="pt-BR"/>
              </w:rPr>
              <w:t>Instituția de credit</w:t>
            </w:r>
            <w:r w:rsidRPr="009E686F">
              <w:rPr>
                <w:rFonts w:ascii="Times New Roman" w:hAnsi="Times New Roman" w:cs="Times New Roman"/>
                <w:lang w:val="pt-BR"/>
              </w:rPr>
              <w:t xml:space="preserve"> este obligată să încheie un contract cu o entitate de audit aprobată de Banca Naţională a Moldovei. Criteriile care urmează a fi întrunite de entitatea de audit, modul de aprobare şi de retragere a aprobării entităţii de audit sunt prevăzute în actele normative ale Băncii Naţionale a Moldovei. Termenul de finalizare a procedurii de soluţionare a cererii de aprobare a entităţii de audit </w:t>
            </w:r>
            <w:r w:rsidRPr="009E686F">
              <w:rPr>
                <w:rFonts w:ascii="Times New Roman" w:hAnsi="Times New Roman" w:cs="Times New Roman"/>
                <w:lang w:val="pt-BR"/>
              </w:rPr>
              <w:lastRenderedPageBreak/>
              <w:t>este de 30 de zile lucrătoare, calculat de la data depunerii cererii însoţite de toate documentele care trebuie prezentate Băncii Naţionale a Moldovei. Dacă este necesară o examinare suplimentară sau este nevoie de mai mult timp pentru prelucrarea informaţiilor şi documentelor, termenul prevăzut de prezentul alineat poate fi prelungit cu cel mult 15 zile lucrătoare, cu notificarea</w:t>
            </w:r>
            <w:r w:rsidRPr="009E686F">
              <w:rPr>
                <w:rFonts w:ascii="Times New Roman" w:hAnsi="Times New Roman" w:cs="Times New Roman"/>
                <w:i/>
                <w:lang w:val="pt-BR"/>
              </w:rPr>
              <w:t xml:space="preserve"> instituției de credit</w:t>
            </w:r>
            <w:r w:rsidRPr="009E686F">
              <w:rPr>
                <w:rFonts w:ascii="Times New Roman" w:hAnsi="Times New Roman" w:cs="Times New Roman"/>
                <w:lang w:val="pt-BR"/>
              </w:rPr>
              <w:t>.</w:t>
            </w:r>
          </w:p>
          <w:p w14:paraId="468D02B3" w14:textId="77777777" w:rsidR="00261C3C" w:rsidRPr="009E686F" w:rsidRDefault="00261C3C" w:rsidP="00EC348D">
            <w:pPr>
              <w:spacing w:after="0"/>
              <w:jc w:val="both"/>
              <w:rPr>
                <w:rFonts w:ascii="Times New Roman" w:hAnsi="Times New Roman" w:cs="Times New Roman"/>
                <w:lang w:val="pt-BR"/>
              </w:rPr>
            </w:pPr>
            <w:r w:rsidRPr="009E686F">
              <w:rPr>
                <w:rFonts w:ascii="Times New Roman" w:hAnsi="Times New Roman" w:cs="Times New Roman"/>
                <w:lang w:val="pt-BR"/>
              </w:rPr>
              <w:t> </w:t>
            </w:r>
          </w:p>
          <w:p w14:paraId="2AAD68D1" w14:textId="77777777" w:rsidR="00261C3C" w:rsidRPr="009E686F" w:rsidRDefault="00261C3C" w:rsidP="00EC348D">
            <w:pPr>
              <w:spacing w:after="0"/>
              <w:jc w:val="both"/>
              <w:rPr>
                <w:rFonts w:ascii="Times New Roman" w:hAnsi="Times New Roman" w:cs="Times New Roman"/>
                <w:lang w:val="pt-BR"/>
              </w:rPr>
            </w:pPr>
            <w:r w:rsidRPr="009E686F">
              <w:rPr>
                <w:rFonts w:ascii="Times New Roman" w:hAnsi="Times New Roman" w:cs="Times New Roman"/>
                <w:b/>
                <w:lang w:val="pt-BR"/>
              </w:rPr>
              <w:t>Articolul 89.</w:t>
            </w:r>
            <w:r w:rsidRPr="009E686F">
              <w:rPr>
                <w:rFonts w:ascii="Times New Roman" w:hAnsi="Times New Roman" w:cs="Times New Roman"/>
                <w:lang w:val="pt-BR"/>
              </w:rPr>
              <w:t xml:space="preserve"> Obligaţiile entităţii de audit de informare şi comunicare cu Banca Naţională a Moldovei</w:t>
            </w:r>
          </w:p>
          <w:p w14:paraId="599AE0F5" w14:textId="77777777" w:rsidR="00261C3C" w:rsidRPr="009E686F" w:rsidRDefault="00261C3C" w:rsidP="00EC348D">
            <w:pPr>
              <w:spacing w:after="0"/>
              <w:jc w:val="both"/>
              <w:rPr>
                <w:rFonts w:ascii="Times New Roman" w:hAnsi="Times New Roman" w:cs="Times New Roman"/>
                <w:lang w:val="pt-BR"/>
              </w:rPr>
            </w:pPr>
            <w:r w:rsidRPr="009E686F">
              <w:rPr>
                <w:rFonts w:ascii="Times New Roman" w:hAnsi="Times New Roman" w:cs="Times New Roman"/>
                <w:lang w:val="pt-BR"/>
              </w:rPr>
              <w:t xml:space="preserve">(1) Entitatea de audit trebuie să informeze Banca Naţională a Moldovei de îndată ce, în exercitarea atribuţiilor sale, a luat cunoştinţă despre orice fapt sau decizie în legătură cu </w:t>
            </w:r>
            <w:r w:rsidRPr="009E686F">
              <w:rPr>
                <w:rFonts w:ascii="Times New Roman" w:hAnsi="Times New Roman" w:cs="Times New Roman"/>
                <w:i/>
                <w:lang w:val="pt-BR"/>
              </w:rPr>
              <w:t>instituția de credit</w:t>
            </w:r>
            <w:r w:rsidRPr="009E686F">
              <w:rPr>
                <w:rFonts w:ascii="Times New Roman" w:hAnsi="Times New Roman" w:cs="Times New Roman"/>
                <w:lang w:val="pt-BR"/>
              </w:rPr>
              <w:t xml:space="preserve"> auditată, care:</w:t>
            </w:r>
          </w:p>
          <w:p w14:paraId="25B4F856" w14:textId="77777777" w:rsidR="00261C3C" w:rsidRPr="009E686F" w:rsidRDefault="00261C3C" w:rsidP="00EC348D">
            <w:pPr>
              <w:spacing w:after="0"/>
              <w:jc w:val="both"/>
              <w:rPr>
                <w:rFonts w:ascii="Times New Roman" w:hAnsi="Times New Roman" w:cs="Times New Roman"/>
                <w:lang w:val="pt-BR"/>
              </w:rPr>
            </w:pPr>
            <w:r w:rsidRPr="009E686F">
              <w:rPr>
                <w:rFonts w:ascii="Times New Roman" w:hAnsi="Times New Roman" w:cs="Times New Roman"/>
                <w:lang w:val="pt-BR"/>
              </w:rPr>
              <w:t xml:space="preserve">a) reprezintă o încălcare a prezentei legi ori altor acte normative emise în aplicarea acesteia, prin care sînt stabilite condiţiile de </w:t>
            </w:r>
            <w:r w:rsidRPr="009E686F">
              <w:rPr>
                <w:rFonts w:ascii="Times New Roman" w:hAnsi="Times New Roman" w:cs="Times New Roman"/>
                <w:i/>
                <w:lang w:val="pt-BR"/>
              </w:rPr>
              <w:t>autorizare a instituțiilor de credit</w:t>
            </w:r>
            <w:r w:rsidRPr="009E686F">
              <w:rPr>
                <w:rFonts w:ascii="Times New Roman" w:hAnsi="Times New Roman" w:cs="Times New Roman"/>
                <w:lang w:val="pt-BR"/>
              </w:rPr>
              <w:t xml:space="preserve">  sau cerinţele privind desfăşurarea activităţii acestora;</w:t>
            </w:r>
          </w:p>
          <w:p w14:paraId="2AA7D336" w14:textId="77777777" w:rsidR="00261C3C" w:rsidRPr="009E686F" w:rsidRDefault="00261C3C" w:rsidP="00EC348D">
            <w:pPr>
              <w:spacing w:after="0"/>
              <w:jc w:val="both"/>
              <w:rPr>
                <w:rFonts w:ascii="Times New Roman" w:hAnsi="Times New Roman" w:cs="Times New Roman"/>
                <w:lang w:val="pt-BR"/>
              </w:rPr>
            </w:pPr>
            <w:r w:rsidRPr="009E686F">
              <w:rPr>
                <w:rFonts w:ascii="Times New Roman" w:hAnsi="Times New Roman" w:cs="Times New Roman"/>
                <w:lang w:val="pt-BR"/>
              </w:rPr>
              <w:t xml:space="preserve">b) este de natură să afecteze capacitatea </w:t>
            </w:r>
            <w:r w:rsidRPr="009E686F">
              <w:rPr>
                <w:rFonts w:ascii="Times New Roman" w:hAnsi="Times New Roman" w:cs="Times New Roman"/>
                <w:i/>
                <w:lang w:val="pt-BR"/>
              </w:rPr>
              <w:t>instituției de credit</w:t>
            </w:r>
            <w:r w:rsidRPr="009E686F">
              <w:rPr>
                <w:rFonts w:ascii="Times New Roman" w:hAnsi="Times New Roman" w:cs="Times New Roman"/>
                <w:lang w:val="pt-BR"/>
              </w:rPr>
              <w:t xml:space="preserve"> de a funcţiona în continuare;</w:t>
            </w:r>
          </w:p>
          <w:p w14:paraId="035E7B8A" w14:textId="77777777" w:rsidR="00261C3C" w:rsidRPr="009E686F" w:rsidRDefault="00261C3C" w:rsidP="00EC348D">
            <w:pPr>
              <w:spacing w:after="0"/>
              <w:jc w:val="both"/>
              <w:rPr>
                <w:rFonts w:ascii="Times New Roman" w:hAnsi="Times New Roman" w:cs="Times New Roman"/>
                <w:lang w:val="pt-BR"/>
              </w:rPr>
            </w:pPr>
            <w:r w:rsidRPr="009E686F">
              <w:rPr>
                <w:rFonts w:ascii="Times New Roman" w:hAnsi="Times New Roman" w:cs="Times New Roman"/>
                <w:lang w:val="pt-BR"/>
              </w:rPr>
              <w:t>c) poate conduce la un refuz din partea entităţii de audit de a-şi exprima opinia asupra situaţiilor financiare sau la exprimarea de către aceasta a unei opinii cu rezerve.</w:t>
            </w:r>
          </w:p>
          <w:p w14:paraId="5AB60418" w14:textId="77777777" w:rsidR="00261C3C" w:rsidRPr="009E686F" w:rsidRDefault="00261C3C" w:rsidP="00EC348D">
            <w:pPr>
              <w:spacing w:after="0"/>
              <w:jc w:val="both"/>
              <w:rPr>
                <w:rFonts w:ascii="Times New Roman" w:hAnsi="Times New Roman" w:cs="Times New Roman"/>
                <w:i/>
                <w:lang w:val="pt-BR"/>
              </w:rPr>
            </w:pPr>
            <w:r w:rsidRPr="009E686F">
              <w:rPr>
                <w:rFonts w:ascii="Times New Roman" w:hAnsi="Times New Roman" w:cs="Times New Roman"/>
                <w:lang w:val="pt-BR"/>
              </w:rPr>
              <w:t xml:space="preserve">(2) La solicitarea Băncii Naţionale a Moldovei, entitatea de audit are obligaţia să furnizeze orice </w:t>
            </w:r>
            <w:r w:rsidRPr="009E686F">
              <w:rPr>
                <w:rFonts w:ascii="Times New Roman" w:hAnsi="Times New Roman" w:cs="Times New Roman"/>
                <w:lang w:val="pt-BR"/>
              </w:rPr>
              <w:lastRenderedPageBreak/>
              <w:t xml:space="preserve">detalii, clarificări, explicaţii legate de activitatea de audit desfăşurată în </w:t>
            </w:r>
            <w:r w:rsidRPr="009E686F">
              <w:rPr>
                <w:rFonts w:ascii="Times New Roman" w:hAnsi="Times New Roman" w:cs="Times New Roman"/>
                <w:i/>
                <w:lang w:val="pt-BR"/>
              </w:rPr>
              <w:t>instituția de credit.</w:t>
            </w:r>
          </w:p>
          <w:p w14:paraId="13C7F7F2" w14:textId="77777777" w:rsidR="00261C3C" w:rsidRPr="009E686F" w:rsidRDefault="00261C3C" w:rsidP="00EC348D">
            <w:pPr>
              <w:spacing w:after="0"/>
              <w:jc w:val="both"/>
              <w:rPr>
                <w:rFonts w:ascii="Times New Roman" w:hAnsi="Times New Roman" w:cs="Times New Roman"/>
                <w:lang w:val="pt-BR"/>
              </w:rPr>
            </w:pPr>
            <w:r w:rsidRPr="009E686F">
              <w:rPr>
                <w:rFonts w:ascii="Times New Roman" w:hAnsi="Times New Roman" w:cs="Times New Roman"/>
                <w:lang w:val="pt-BR"/>
              </w:rPr>
              <w:t xml:space="preserve">(3) Obligaţiile prevăzute la alin.(1) şi (2) revin entităţii de audit şi în situaţia în care exercită sarcini specifice într-o entitate care are legături strînse ce decurg dintr-o relaţie de control cu </w:t>
            </w:r>
            <w:r w:rsidRPr="009E686F">
              <w:rPr>
                <w:rFonts w:ascii="Times New Roman" w:hAnsi="Times New Roman" w:cs="Times New Roman"/>
                <w:i/>
                <w:lang w:val="pt-BR"/>
              </w:rPr>
              <w:t>instituția de credit</w:t>
            </w:r>
            <w:r w:rsidRPr="009E686F">
              <w:rPr>
                <w:rFonts w:ascii="Times New Roman" w:hAnsi="Times New Roman" w:cs="Times New Roman"/>
                <w:lang w:val="pt-BR"/>
              </w:rPr>
              <w:t xml:space="preserve"> auditată.</w:t>
            </w:r>
          </w:p>
          <w:p w14:paraId="797FAF9D" w14:textId="77777777" w:rsidR="00261C3C" w:rsidRPr="009E686F" w:rsidRDefault="00261C3C" w:rsidP="00EC348D">
            <w:pPr>
              <w:spacing w:after="0"/>
              <w:jc w:val="both"/>
              <w:rPr>
                <w:rFonts w:ascii="Times New Roman" w:hAnsi="Times New Roman" w:cs="Times New Roman"/>
                <w:lang w:val="pt-BR"/>
              </w:rPr>
            </w:pPr>
            <w:r w:rsidRPr="009E686F">
              <w:rPr>
                <w:rFonts w:ascii="Times New Roman" w:hAnsi="Times New Roman" w:cs="Times New Roman"/>
                <w:lang w:val="pt-BR"/>
              </w:rPr>
              <w:t xml:space="preserve">(4) Îndeplinirea cu bună-credinţă de către entitatea de audit a obligaţiei de a informa Banca Naţională a Moldovei conform alin.(1)–(3) nu constituie o încălcare a obligaţiei de păstrare a secretului profesional, care revine acesteia potrivit legii sau clauzelor contractuale, şi nu poate atrage răspunderea de orice natură a acesteia. O astfel de informare se face simultan şi organului de conducere al </w:t>
            </w:r>
            <w:r w:rsidRPr="009E686F">
              <w:rPr>
                <w:rFonts w:ascii="Times New Roman" w:hAnsi="Times New Roman" w:cs="Times New Roman"/>
                <w:i/>
                <w:lang w:val="pt-BR"/>
              </w:rPr>
              <w:t>instituției de credit</w:t>
            </w:r>
            <w:r w:rsidRPr="009E686F">
              <w:rPr>
                <w:rFonts w:ascii="Times New Roman" w:hAnsi="Times New Roman" w:cs="Times New Roman"/>
                <w:lang w:val="pt-BR"/>
              </w:rPr>
              <w:t>, cu excepţia cazului în care există motive rezonabile de a nu proceda astfel.</w:t>
            </w:r>
          </w:p>
          <w:p w14:paraId="32811CC9" w14:textId="77777777" w:rsidR="00261C3C" w:rsidRPr="009E686F" w:rsidRDefault="00261C3C" w:rsidP="00EC348D">
            <w:pPr>
              <w:spacing w:after="0"/>
              <w:jc w:val="both"/>
              <w:rPr>
                <w:rFonts w:ascii="Times New Roman" w:hAnsi="Times New Roman" w:cs="Times New Roman"/>
                <w:lang w:val="pt-BR"/>
              </w:rPr>
            </w:pPr>
            <w:r w:rsidRPr="009E686F">
              <w:rPr>
                <w:rFonts w:ascii="Times New Roman" w:hAnsi="Times New Roman" w:cs="Times New Roman"/>
                <w:lang w:val="pt-BR"/>
              </w:rPr>
              <w:t xml:space="preserve">(5) Banca Naţională a Moldovei are acces la orice documente întocmite de entitatea de audit pe parcursul acţiunii de audit la </w:t>
            </w:r>
            <w:r w:rsidRPr="009E686F">
              <w:rPr>
                <w:rFonts w:ascii="Times New Roman" w:hAnsi="Times New Roman" w:cs="Times New Roman"/>
                <w:i/>
                <w:lang w:val="pt-BR"/>
              </w:rPr>
              <w:t xml:space="preserve">instituția de credit </w:t>
            </w:r>
            <w:r w:rsidRPr="009E686F">
              <w:rPr>
                <w:rFonts w:ascii="Times New Roman" w:hAnsi="Times New Roman" w:cs="Times New Roman"/>
                <w:lang w:val="pt-BR"/>
              </w:rPr>
              <w:t>auditată.</w:t>
            </w:r>
          </w:p>
          <w:p w14:paraId="1E3A2383" w14:textId="77777777" w:rsidR="00261C3C" w:rsidRPr="009E686F" w:rsidRDefault="00261C3C" w:rsidP="00EC348D">
            <w:pPr>
              <w:spacing w:after="0"/>
              <w:jc w:val="both"/>
              <w:rPr>
                <w:rFonts w:ascii="Times New Roman" w:hAnsi="Times New Roman" w:cs="Times New Roman"/>
                <w:lang w:val="pt-BR"/>
              </w:rPr>
            </w:pPr>
            <w:r w:rsidRPr="009E686F">
              <w:rPr>
                <w:rFonts w:ascii="Times New Roman" w:hAnsi="Times New Roman" w:cs="Times New Roman"/>
                <w:lang w:val="pt-BR"/>
              </w:rPr>
              <w:t>(6) Banca Naţională a Moldovei poate emite acte normative cu privire la relaţia entităţii de audit şi Banca Naţională a Moldovei.</w:t>
            </w:r>
          </w:p>
          <w:p w14:paraId="37711FEC" w14:textId="77777777" w:rsidR="00261C3C" w:rsidRPr="009E686F" w:rsidRDefault="00261C3C" w:rsidP="00EC348D">
            <w:pPr>
              <w:spacing w:after="0"/>
              <w:jc w:val="both"/>
              <w:rPr>
                <w:rFonts w:ascii="Times New Roman" w:hAnsi="Times New Roman" w:cs="Times New Roman"/>
                <w:lang w:val="pt-BR"/>
              </w:rPr>
            </w:pPr>
            <w:r w:rsidRPr="009E686F">
              <w:rPr>
                <w:rFonts w:ascii="Times New Roman" w:hAnsi="Times New Roman" w:cs="Times New Roman"/>
                <w:lang w:val="pt-BR"/>
              </w:rPr>
              <w:t> </w:t>
            </w:r>
          </w:p>
          <w:p w14:paraId="09E27794" w14:textId="77777777" w:rsidR="00261C3C" w:rsidRPr="009E686F" w:rsidRDefault="00261C3C" w:rsidP="00EC348D">
            <w:pPr>
              <w:spacing w:after="0"/>
              <w:jc w:val="both"/>
              <w:rPr>
                <w:rFonts w:ascii="Times New Roman" w:hAnsi="Times New Roman" w:cs="Times New Roman"/>
                <w:lang w:val="pt-BR"/>
              </w:rPr>
            </w:pPr>
            <w:r w:rsidRPr="009E686F">
              <w:rPr>
                <w:rFonts w:ascii="Times New Roman" w:hAnsi="Times New Roman" w:cs="Times New Roman"/>
                <w:b/>
                <w:lang w:val="pt-BR"/>
              </w:rPr>
              <w:t>Articolul 90.</w:t>
            </w:r>
            <w:r w:rsidRPr="009E686F">
              <w:rPr>
                <w:rFonts w:ascii="Times New Roman" w:hAnsi="Times New Roman" w:cs="Times New Roman"/>
                <w:lang w:val="pt-BR"/>
              </w:rPr>
              <w:t xml:space="preserve"> Retragerea aprobării entităţii de audit</w:t>
            </w:r>
          </w:p>
          <w:p w14:paraId="5012303F" w14:textId="77777777" w:rsidR="00261C3C" w:rsidRPr="009E686F" w:rsidRDefault="00261C3C" w:rsidP="00EC348D">
            <w:pPr>
              <w:spacing w:after="0"/>
              <w:jc w:val="both"/>
              <w:rPr>
                <w:rFonts w:ascii="Times New Roman" w:hAnsi="Times New Roman" w:cs="Times New Roman"/>
                <w:lang w:val="pt-BR"/>
              </w:rPr>
            </w:pPr>
            <w:r w:rsidRPr="009E686F">
              <w:rPr>
                <w:rFonts w:ascii="Times New Roman" w:hAnsi="Times New Roman" w:cs="Times New Roman"/>
                <w:lang w:val="pt-BR"/>
              </w:rPr>
              <w:t xml:space="preserve">Banca Naţională a Moldovei poate retrage aprobarea acordată unei entităţi de audit în temeiul art.88 în situaţia în care aceasta nu îşi îndeplineşte în mod corespunzător atribuţiile prevăzute de </w:t>
            </w:r>
            <w:r w:rsidRPr="009E686F">
              <w:rPr>
                <w:rFonts w:ascii="Times New Roman" w:hAnsi="Times New Roman" w:cs="Times New Roman"/>
                <w:lang w:val="pt-BR"/>
              </w:rPr>
              <w:lastRenderedPageBreak/>
              <w:t>prezenta lege sau nu respectă cerinţele de conduită etică şi profesională specifice.</w:t>
            </w:r>
          </w:p>
          <w:p w14:paraId="64D1C5AA" w14:textId="77777777" w:rsidR="00261C3C" w:rsidRPr="009E686F" w:rsidRDefault="00261C3C" w:rsidP="00EC348D">
            <w:pPr>
              <w:spacing w:after="0"/>
              <w:jc w:val="center"/>
              <w:rPr>
                <w:rFonts w:ascii="Times New Roman" w:hAnsi="Times New Roman" w:cs="Times New Roman"/>
                <w:b/>
                <w:lang w:val="pt-BR"/>
              </w:rPr>
            </w:pPr>
          </w:p>
          <w:p w14:paraId="5E98F05C" w14:textId="77777777" w:rsidR="00261C3C" w:rsidRPr="009E686F" w:rsidRDefault="00261C3C" w:rsidP="00EC348D">
            <w:pPr>
              <w:spacing w:after="0"/>
              <w:jc w:val="both"/>
              <w:rPr>
                <w:rFonts w:ascii="Times New Roman" w:hAnsi="Times New Roman" w:cs="Times New Roman"/>
                <w:b/>
                <w:lang w:val="pt-BR"/>
              </w:rPr>
            </w:pPr>
          </w:p>
        </w:tc>
        <w:tc>
          <w:tcPr>
            <w:tcW w:w="471" w:type="pct"/>
            <w:tcBorders>
              <w:top w:val="single" w:sz="4" w:space="0" w:color="auto"/>
              <w:left w:val="single" w:sz="4" w:space="0" w:color="auto"/>
              <w:bottom w:val="single" w:sz="4" w:space="0" w:color="auto"/>
              <w:right w:val="single" w:sz="4" w:space="0" w:color="auto"/>
            </w:tcBorders>
          </w:tcPr>
          <w:p w14:paraId="2C49DEF4" w14:textId="77777777" w:rsidR="00261C3C" w:rsidRPr="009E686F" w:rsidRDefault="00261C3C" w:rsidP="00EC348D">
            <w:pPr>
              <w:jc w:val="both"/>
              <w:rPr>
                <w:rFonts w:ascii="Times New Roman" w:hAnsi="Times New Roman" w:cs="Times New Roman"/>
                <w:lang w:val="ro-RO"/>
              </w:rPr>
            </w:pPr>
            <w:r w:rsidRPr="009E686F">
              <w:rPr>
                <w:rFonts w:ascii="Times New Roman" w:hAnsi="Times New Roman" w:cs="Times New Roman"/>
                <w:lang w:val="ro-RO"/>
              </w:rPr>
              <w:lastRenderedPageBreak/>
              <w:t>Compatibil</w:t>
            </w:r>
          </w:p>
        </w:tc>
        <w:tc>
          <w:tcPr>
            <w:tcW w:w="1558" w:type="pct"/>
            <w:gridSpan w:val="3"/>
            <w:tcBorders>
              <w:top w:val="single" w:sz="4" w:space="0" w:color="auto"/>
              <w:left w:val="single" w:sz="4" w:space="0" w:color="auto"/>
              <w:bottom w:val="single" w:sz="4" w:space="0" w:color="auto"/>
              <w:right w:val="single" w:sz="4" w:space="0" w:color="auto"/>
            </w:tcBorders>
          </w:tcPr>
          <w:p w14:paraId="28FAEED7" w14:textId="77777777" w:rsidR="00261C3C" w:rsidRPr="009E686F" w:rsidRDefault="00261C3C" w:rsidP="00EC348D">
            <w:pPr>
              <w:jc w:val="both"/>
              <w:rPr>
                <w:rFonts w:ascii="Times New Roman" w:hAnsi="Times New Roman" w:cs="Times New Roman"/>
                <w:lang w:val="ro-RO"/>
              </w:rPr>
            </w:pPr>
            <w:r w:rsidRPr="009E686F">
              <w:rPr>
                <w:rFonts w:ascii="Times New Roman" w:hAnsi="Times New Roman" w:cs="Times New Roman"/>
                <w:lang w:val="ro-RO"/>
              </w:rPr>
              <w:t>Norme complementare cu specific național din Legea nr. 202/2017 pentru asigurarea evidenței contabile și auditul instituțiilor de credit prin mecanisme adecvate de transparență, control și verificare independentă, necesare exercitării eficiente a supravegherii prudențiale. Prevederile sunt corelate cu dispozițiile directivei privind mecanismele de guvernanță internă, control intern, comunicarea informațiilor către autoritatea competentă și rolul auditorului extern în identificarea și raportarea aspectelor relevante pentru stabilitatea instituției de credit.</w:t>
            </w:r>
          </w:p>
        </w:tc>
      </w:tr>
      <w:tr w:rsidR="00261C3C" w:rsidRPr="009E686F" w14:paraId="26C481C4" w14:textId="77777777" w:rsidTr="00EC348D">
        <w:tc>
          <w:tcPr>
            <w:tcW w:w="1420" w:type="pct"/>
            <w:tcBorders>
              <w:top w:val="single" w:sz="4" w:space="0" w:color="auto"/>
              <w:left w:val="single" w:sz="4" w:space="0" w:color="auto"/>
              <w:bottom w:val="single" w:sz="4" w:space="0" w:color="auto"/>
              <w:right w:val="single" w:sz="4" w:space="0" w:color="auto"/>
            </w:tcBorders>
          </w:tcPr>
          <w:p w14:paraId="2764938B" w14:textId="77777777" w:rsidR="00261C3C" w:rsidRPr="009E686F" w:rsidRDefault="00261C3C" w:rsidP="00EC348D">
            <w:pPr>
              <w:spacing w:after="0"/>
              <w:jc w:val="both"/>
              <w:rPr>
                <w:rFonts w:ascii="Times New Roman" w:hAnsi="Times New Roman" w:cs="Times New Roman"/>
                <w:lang w:val="ro-RO"/>
              </w:rPr>
            </w:pPr>
          </w:p>
        </w:tc>
        <w:tc>
          <w:tcPr>
            <w:tcW w:w="1551" w:type="pct"/>
            <w:gridSpan w:val="2"/>
            <w:tcBorders>
              <w:top w:val="single" w:sz="4" w:space="0" w:color="auto"/>
              <w:left w:val="single" w:sz="4" w:space="0" w:color="auto"/>
              <w:bottom w:val="single" w:sz="4" w:space="0" w:color="auto"/>
              <w:right w:val="single" w:sz="4" w:space="0" w:color="auto"/>
            </w:tcBorders>
          </w:tcPr>
          <w:p w14:paraId="587CFAF6" w14:textId="77777777" w:rsidR="00261C3C" w:rsidRPr="009E686F" w:rsidRDefault="00261C3C" w:rsidP="00EC348D">
            <w:pPr>
              <w:spacing w:after="0"/>
              <w:jc w:val="center"/>
              <w:rPr>
                <w:rFonts w:ascii="Times New Roman" w:hAnsi="Times New Roman" w:cs="Times New Roman"/>
                <w:b/>
                <w:bCs/>
                <w:lang w:val="it-CH"/>
              </w:rPr>
            </w:pPr>
            <w:r w:rsidRPr="009E686F">
              <w:rPr>
                <w:rFonts w:ascii="Times New Roman" w:hAnsi="Times New Roman" w:cs="Times New Roman"/>
                <w:b/>
                <w:bCs/>
                <w:lang w:val="it-CH"/>
              </w:rPr>
              <w:t>Titlul IV</w:t>
            </w:r>
          </w:p>
          <w:p w14:paraId="4DB48370" w14:textId="77777777" w:rsidR="00261C3C" w:rsidRPr="009E686F" w:rsidRDefault="00261C3C" w:rsidP="00EC348D">
            <w:pPr>
              <w:spacing w:after="0"/>
              <w:jc w:val="center"/>
              <w:rPr>
                <w:rFonts w:ascii="Times New Roman" w:hAnsi="Times New Roman" w:cs="Times New Roman"/>
                <w:b/>
                <w:bCs/>
                <w:lang w:val="it-CH"/>
              </w:rPr>
            </w:pPr>
            <w:r w:rsidRPr="009E686F">
              <w:rPr>
                <w:rFonts w:ascii="Times New Roman" w:hAnsi="Times New Roman" w:cs="Times New Roman"/>
                <w:b/>
                <w:bCs/>
                <w:lang w:val="it-CH"/>
              </w:rPr>
              <w:t>POLITICI DE PREVENIRE ŞI COMBATERE A SPĂLĂRII</w:t>
            </w:r>
          </w:p>
          <w:p w14:paraId="212331E3" w14:textId="77777777" w:rsidR="00261C3C" w:rsidRPr="009E686F" w:rsidRDefault="00261C3C" w:rsidP="00EC348D">
            <w:pPr>
              <w:spacing w:after="0"/>
              <w:jc w:val="center"/>
              <w:rPr>
                <w:rFonts w:ascii="Times New Roman" w:hAnsi="Times New Roman" w:cs="Times New Roman"/>
                <w:b/>
                <w:bCs/>
                <w:lang w:val="it-CH"/>
              </w:rPr>
            </w:pPr>
            <w:r w:rsidRPr="009E686F">
              <w:rPr>
                <w:rFonts w:ascii="Times New Roman" w:hAnsi="Times New Roman" w:cs="Times New Roman"/>
                <w:b/>
                <w:bCs/>
                <w:lang w:val="it-CH"/>
              </w:rPr>
              <w:t>BANILOR ŞI FINANŢĂRII TERORISMULUI.</w:t>
            </w:r>
          </w:p>
          <w:p w14:paraId="5E3D8EE8" w14:textId="77777777" w:rsidR="00261C3C" w:rsidRPr="009E686F" w:rsidRDefault="00261C3C" w:rsidP="00EC348D">
            <w:pPr>
              <w:spacing w:after="0"/>
              <w:jc w:val="center"/>
              <w:rPr>
                <w:rFonts w:ascii="Times New Roman" w:hAnsi="Times New Roman" w:cs="Times New Roman"/>
                <w:b/>
                <w:bCs/>
                <w:lang w:val="it-CH"/>
              </w:rPr>
            </w:pPr>
            <w:r w:rsidRPr="009E686F">
              <w:rPr>
                <w:rFonts w:ascii="Times New Roman" w:hAnsi="Times New Roman" w:cs="Times New Roman"/>
                <w:b/>
                <w:bCs/>
                <w:lang w:val="it-CH"/>
              </w:rPr>
              <w:t>SECRETUL BANCAR ŞI CONFLICTELE DE INTERESE</w:t>
            </w:r>
          </w:p>
          <w:p w14:paraId="7AA03205" w14:textId="77777777" w:rsidR="00261C3C" w:rsidRPr="009E686F" w:rsidRDefault="00261C3C" w:rsidP="00EC348D">
            <w:pPr>
              <w:spacing w:after="0"/>
              <w:jc w:val="both"/>
              <w:rPr>
                <w:rFonts w:ascii="Times New Roman" w:hAnsi="Times New Roman" w:cs="Times New Roman"/>
                <w:lang w:val="it-CH"/>
              </w:rPr>
            </w:pPr>
            <w:r w:rsidRPr="009E686F">
              <w:rPr>
                <w:rFonts w:ascii="Times New Roman" w:hAnsi="Times New Roman" w:cs="Times New Roman"/>
                <w:b/>
                <w:bCs/>
                <w:lang w:val="it-CH"/>
              </w:rPr>
              <w:t>Articolul 95.</w:t>
            </w:r>
            <w:r w:rsidRPr="009E686F">
              <w:rPr>
                <w:rFonts w:ascii="Times New Roman" w:hAnsi="Times New Roman" w:cs="Times New Roman"/>
                <w:lang w:val="it-CH"/>
              </w:rPr>
              <w:t xml:space="preserve"> Politici de prevenire şi combatere a spălării banilor şi finanţării terorismului</w:t>
            </w:r>
          </w:p>
          <w:p w14:paraId="6EABDE8D" w14:textId="77777777" w:rsidR="00261C3C" w:rsidRPr="009E686F" w:rsidRDefault="00261C3C" w:rsidP="00EC348D">
            <w:pPr>
              <w:spacing w:after="0"/>
              <w:jc w:val="both"/>
              <w:rPr>
                <w:rFonts w:ascii="Times New Roman" w:hAnsi="Times New Roman" w:cs="Times New Roman"/>
                <w:lang w:val="it-CH"/>
              </w:rPr>
            </w:pPr>
            <w:r w:rsidRPr="009E686F">
              <w:rPr>
                <w:rFonts w:ascii="Times New Roman" w:hAnsi="Times New Roman" w:cs="Times New Roman"/>
                <w:lang w:val="it-CH"/>
              </w:rPr>
              <w:t xml:space="preserve">(1) </w:t>
            </w:r>
            <w:r w:rsidRPr="009E686F">
              <w:rPr>
                <w:rFonts w:ascii="Times New Roman" w:hAnsi="Times New Roman" w:cs="Times New Roman"/>
                <w:i/>
                <w:iCs/>
                <w:lang w:val="it-CH"/>
              </w:rPr>
              <w:t>Instituția de credit</w:t>
            </w:r>
            <w:r w:rsidRPr="009E686F">
              <w:rPr>
                <w:rFonts w:ascii="Times New Roman" w:hAnsi="Times New Roman" w:cs="Times New Roman"/>
                <w:lang w:val="it-CH"/>
              </w:rPr>
              <w:t xml:space="preserve"> trebuie să dispună de politici şi proceduri interne în domeniul prevenirii şi combaterii spălării banilor şi finanţării terorismului şi trebuie să aplice cerinţele legislaţiei cu privire la prevenirea şi combaterea spălării banilor şi finanţării terorismului.</w:t>
            </w:r>
          </w:p>
          <w:p w14:paraId="5285C76D" w14:textId="77777777" w:rsidR="00261C3C" w:rsidRPr="009E686F" w:rsidRDefault="00261C3C" w:rsidP="00EC348D">
            <w:pPr>
              <w:spacing w:after="0"/>
              <w:jc w:val="both"/>
              <w:rPr>
                <w:rFonts w:ascii="Times New Roman" w:hAnsi="Times New Roman" w:cs="Times New Roman"/>
                <w:lang w:val="it-CH"/>
              </w:rPr>
            </w:pPr>
            <w:r w:rsidRPr="009E686F">
              <w:rPr>
                <w:rFonts w:ascii="Times New Roman" w:hAnsi="Times New Roman" w:cs="Times New Roman"/>
                <w:lang w:val="it-CH"/>
              </w:rPr>
              <w:t xml:space="preserve">(2) </w:t>
            </w:r>
            <w:r w:rsidRPr="009E686F">
              <w:rPr>
                <w:rFonts w:ascii="Times New Roman" w:hAnsi="Times New Roman" w:cs="Times New Roman"/>
                <w:i/>
                <w:iCs/>
                <w:lang w:val="it-CH"/>
              </w:rPr>
              <w:t>Instituția de credit</w:t>
            </w:r>
            <w:r w:rsidRPr="009E686F" w:rsidDel="00A13CA2">
              <w:rPr>
                <w:rFonts w:ascii="Times New Roman" w:hAnsi="Times New Roman" w:cs="Times New Roman"/>
                <w:lang w:val="it-CH"/>
              </w:rPr>
              <w:t xml:space="preserve"> </w:t>
            </w:r>
            <w:r w:rsidRPr="009E686F">
              <w:rPr>
                <w:rFonts w:ascii="Times New Roman" w:hAnsi="Times New Roman" w:cs="Times New Roman"/>
                <w:lang w:val="it-CH"/>
              </w:rPr>
              <w:t>nu poate ascunde, converti sau transfera bani sau alte valori, ştiind că acestea provin din activităţi criminale, pentru mascarea originii lor ilegale, şi nici asista persoana salariată în astfel de activităţi pentru evitarea consecinţelor legale ale faptelor ei.</w:t>
            </w:r>
          </w:p>
          <w:p w14:paraId="71407257" w14:textId="77777777" w:rsidR="00261C3C" w:rsidRPr="009E686F" w:rsidRDefault="00261C3C" w:rsidP="00EC348D">
            <w:pPr>
              <w:spacing w:after="0"/>
              <w:jc w:val="both"/>
              <w:rPr>
                <w:rFonts w:ascii="Times New Roman" w:hAnsi="Times New Roman" w:cs="Times New Roman"/>
                <w:lang w:val="it-CH"/>
              </w:rPr>
            </w:pPr>
            <w:r w:rsidRPr="009E686F">
              <w:rPr>
                <w:rFonts w:ascii="Times New Roman" w:hAnsi="Times New Roman" w:cs="Times New Roman"/>
                <w:lang w:val="it-CH"/>
              </w:rPr>
              <w:t> </w:t>
            </w:r>
          </w:p>
          <w:p w14:paraId="506F7A53" w14:textId="77777777" w:rsidR="00261C3C" w:rsidRPr="009E686F" w:rsidRDefault="00261C3C" w:rsidP="00EC348D">
            <w:pPr>
              <w:spacing w:after="0"/>
              <w:jc w:val="both"/>
              <w:rPr>
                <w:rFonts w:ascii="Times New Roman" w:hAnsi="Times New Roman" w:cs="Times New Roman"/>
                <w:lang w:val="it-CH"/>
              </w:rPr>
            </w:pPr>
            <w:r w:rsidRPr="009E686F">
              <w:rPr>
                <w:rFonts w:ascii="Times New Roman" w:hAnsi="Times New Roman" w:cs="Times New Roman"/>
                <w:b/>
                <w:bCs/>
                <w:lang w:val="it-CH"/>
              </w:rPr>
              <w:t>Articolul 96.</w:t>
            </w:r>
            <w:r w:rsidRPr="009E686F">
              <w:rPr>
                <w:rFonts w:ascii="Times New Roman" w:hAnsi="Times New Roman" w:cs="Times New Roman"/>
                <w:lang w:val="it-CH"/>
              </w:rPr>
              <w:t xml:space="preserve"> Obligativitatea păstrării confidenţialităţii</w:t>
            </w:r>
          </w:p>
          <w:p w14:paraId="5FB4B2C5" w14:textId="77777777" w:rsidR="00261C3C" w:rsidRPr="009E686F" w:rsidRDefault="00261C3C" w:rsidP="00EC348D">
            <w:pPr>
              <w:spacing w:after="0"/>
              <w:jc w:val="both"/>
              <w:rPr>
                <w:rFonts w:ascii="Times New Roman" w:hAnsi="Times New Roman" w:cs="Times New Roman"/>
                <w:lang w:val="it-CH"/>
              </w:rPr>
            </w:pPr>
            <w:r w:rsidRPr="009E686F">
              <w:rPr>
                <w:rFonts w:ascii="Times New Roman" w:hAnsi="Times New Roman" w:cs="Times New Roman"/>
                <w:lang w:val="it-CH"/>
              </w:rPr>
              <w:t xml:space="preserve">(1) </w:t>
            </w:r>
            <w:r w:rsidRPr="009E686F">
              <w:rPr>
                <w:rFonts w:ascii="Times New Roman" w:hAnsi="Times New Roman" w:cs="Times New Roman"/>
                <w:i/>
                <w:iCs/>
                <w:lang w:val="it-CH"/>
              </w:rPr>
              <w:t>Instituția de credit</w:t>
            </w:r>
            <w:r w:rsidRPr="009E686F">
              <w:rPr>
                <w:rFonts w:ascii="Times New Roman" w:hAnsi="Times New Roman" w:cs="Times New Roman"/>
                <w:lang w:val="it-CH"/>
              </w:rPr>
              <w:t xml:space="preserve"> este obligată să păstreze confidenţialitatea asupra tuturor faptelor, datelor şi informaţiilor referitoare la activitatea sa, precum şi asupra oricăror fapte, date sau informaţii, aflate la </w:t>
            </w:r>
            <w:r w:rsidRPr="009E686F">
              <w:rPr>
                <w:rFonts w:ascii="Times New Roman" w:hAnsi="Times New Roman" w:cs="Times New Roman"/>
                <w:lang w:val="it-CH"/>
              </w:rPr>
              <w:lastRenderedPageBreak/>
              <w:t xml:space="preserve">dispoziţia sa, referitoare la persoana, bunurile, activitatea, afacerea, relaţiile personale sau de afaceri ale clienţilor </w:t>
            </w:r>
            <w:r w:rsidRPr="009E686F">
              <w:rPr>
                <w:rFonts w:ascii="Times New Roman" w:hAnsi="Times New Roman" w:cs="Times New Roman"/>
                <w:i/>
                <w:iCs/>
                <w:lang w:val="it-CH"/>
              </w:rPr>
              <w:t>instituției de credit</w:t>
            </w:r>
            <w:r w:rsidRPr="009E686F">
              <w:rPr>
                <w:rFonts w:ascii="Times New Roman" w:hAnsi="Times New Roman" w:cs="Times New Roman"/>
                <w:lang w:val="it-CH"/>
              </w:rPr>
              <w:t xml:space="preserve"> ori informaţiile referitoare la conturile clienţilor (solduri, rulaje, operaţiuni derulate), tranzacţiile încheiate de clienţi, precum şi a altor informaţii despre clienţi care i-au devenit cunoscute, cu excepţia informaţiilor care se publică sau care pot fi furnizate în temeiul prezentei legi.</w:t>
            </w:r>
          </w:p>
          <w:p w14:paraId="323B09A2" w14:textId="77777777" w:rsidR="00261C3C" w:rsidRPr="009E686F" w:rsidRDefault="00261C3C" w:rsidP="00EC348D">
            <w:pPr>
              <w:spacing w:after="0"/>
              <w:jc w:val="both"/>
              <w:rPr>
                <w:rFonts w:ascii="Times New Roman" w:hAnsi="Times New Roman" w:cs="Times New Roman"/>
                <w:lang w:val="it-CH"/>
              </w:rPr>
            </w:pPr>
            <w:r w:rsidRPr="009E686F">
              <w:rPr>
                <w:rFonts w:ascii="Times New Roman" w:hAnsi="Times New Roman" w:cs="Times New Roman"/>
                <w:lang w:val="it-CH"/>
              </w:rPr>
              <w:t>(2) În sensul prezentului capitol, informaţiile prevăzute la alin.(1) constituie secret bancar.</w:t>
            </w:r>
          </w:p>
          <w:p w14:paraId="1DED4C11" w14:textId="77777777" w:rsidR="00261C3C" w:rsidRPr="009E686F" w:rsidRDefault="00261C3C" w:rsidP="00EC348D">
            <w:pPr>
              <w:spacing w:after="0"/>
              <w:jc w:val="both"/>
              <w:rPr>
                <w:rFonts w:ascii="Times New Roman" w:hAnsi="Times New Roman" w:cs="Times New Roman"/>
                <w:lang w:val="it-CH"/>
              </w:rPr>
            </w:pPr>
            <w:r w:rsidRPr="009E686F">
              <w:rPr>
                <w:rFonts w:ascii="Times New Roman" w:hAnsi="Times New Roman" w:cs="Times New Roman"/>
                <w:lang w:val="it-CH"/>
              </w:rPr>
              <w:t xml:space="preserve">(3) Membrii organului de conducere şi funcţionarii </w:t>
            </w:r>
            <w:r w:rsidRPr="009E686F">
              <w:rPr>
                <w:rFonts w:ascii="Times New Roman" w:hAnsi="Times New Roman" w:cs="Times New Roman"/>
                <w:i/>
                <w:iCs/>
                <w:lang w:val="it-CH"/>
              </w:rPr>
              <w:t>instituției de credit</w:t>
            </w:r>
            <w:r w:rsidRPr="009E686F">
              <w:rPr>
                <w:rFonts w:ascii="Times New Roman" w:hAnsi="Times New Roman" w:cs="Times New Roman"/>
                <w:lang w:val="it-CH"/>
              </w:rPr>
              <w:t>, persoanele care acţionează în numele instituției de credit şi alte persoane care, în virtutea executării obligaţiilor de serviciu, au obţinut acces la informaţia prevăzută la alin.(1) au obligaţia de a păstra secretul bancar, de a nu folosi informaţia indicată în alte scopuri decît cele de serviciu. Această obligaţie continuă să existe şi după încetarea activităţii persoanelor menţionate mai sus sau în perioada suspendării activităţii lor.</w:t>
            </w:r>
          </w:p>
          <w:p w14:paraId="338BF534" w14:textId="77777777" w:rsidR="00261C3C" w:rsidRPr="009E686F" w:rsidRDefault="00261C3C" w:rsidP="00EC348D">
            <w:pPr>
              <w:spacing w:after="0"/>
              <w:jc w:val="both"/>
              <w:rPr>
                <w:rFonts w:ascii="Times New Roman" w:hAnsi="Times New Roman" w:cs="Times New Roman"/>
                <w:lang w:val="it-CH"/>
              </w:rPr>
            </w:pPr>
            <w:r w:rsidRPr="009E686F">
              <w:rPr>
                <w:rFonts w:ascii="Times New Roman" w:hAnsi="Times New Roman" w:cs="Times New Roman"/>
                <w:lang w:val="it-CH"/>
              </w:rPr>
              <w:t xml:space="preserve">(4) Se interzice furnizarea de către </w:t>
            </w:r>
            <w:r w:rsidRPr="009E686F">
              <w:rPr>
                <w:rFonts w:ascii="Times New Roman" w:hAnsi="Times New Roman" w:cs="Times New Roman"/>
                <w:i/>
                <w:iCs/>
                <w:lang w:val="it-CH"/>
              </w:rPr>
              <w:t>instituția de credit</w:t>
            </w:r>
            <w:r w:rsidRPr="009E686F">
              <w:rPr>
                <w:rFonts w:ascii="Times New Roman" w:hAnsi="Times New Roman" w:cs="Times New Roman"/>
                <w:lang w:val="it-CH"/>
              </w:rPr>
              <w:t xml:space="preserve">  a informaţiei referitoare la clienţii altei </w:t>
            </w:r>
            <w:r w:rsidRPr="009E686F">
              <w:rPr>
                <w:rFonts w:ascii="Times New Roman" w:hAnsi="Times New Roman" w:cs="Times New Roman"/>
                <w:i/>
                <w:iCs/>
                <w:lang w:val="it-CH"/>
              </w:rPr>
              <w:t>instituții de credit</w:t>
            </w:r>
            <w:r w:rsidRPr="009E686F">
              <w:rPr>
                <w:rFonts w:ascii="Times New Roman" w:hAnsi="Times New Roman" w:cs="Times New Roman"/>
                <w:lang w:val="it-CH"/>
              </w:rPr>
              <w:t>, chiar dacă numele/denumirea acestora sînt indicate în documentele şi contractele clientului sau figurează în cadrul operaţiunilor acestuia.</w:t>
            </w:r>
          </w:p>
          <w:p w14:paraId="1B4A9B3E" w14:textId="77777777" w:rsidR="00261C3C" w:rsidRPr="009E686F" w:rsidRDefault="00261C3C" w:rsidP="00EC348D">
            <w:pPr>
              <w:spacing w:after="0"/>
              <w:jc w:val="both"/>
              <w:rPr>
                <w:rFonts w:ascii="Times New Roman" w:hAnsi="Times New Roman" w:cs="Times New Roman"/>
                <w:lang w:val="it-CH"/>
              </w:rPr>
            </w:pPr>
            <w:r w:rsidRPr="009E686F">
              <w:rPr>
                <w:rFonts w:ascii="Times New Roman" w:hAnsi="Times New Roman" w:cs="Times New Roman"/>
                <w:lang w:val="it-CH"/>
              </w:rPr>
              <w:t xml:space="preserve">(5) </w:t>
            </w:r>
            <w:r w:rsidRPr="009E686F">
              <w:rPr>
                <w:rFonts w:ascii="Times New Roman" w:hAnsi="Times New Roman" w:cs="Times New Roman"/>
                <w:i/>
                <w:iCs/>
                <w:lang w:val="it-CH"/>
              </w:rPr>
              <w:t>Instituția de credit</w:t>
            </w:r>
            <w:r w:rsidRPr="009E686F">
              <w:rPr>
                <w:rFonts w:ascii="Times New Roman" w:hAnsi="Times New Roman" w:cs="Times New Roman"/>
                <w:lang w:val="it-CH"/>
              </w:rPr>
              <w:t xml:space="preserve"> îşi organizează activitatea astfel încît membrii organului de conducere, funcţionarii şi persoanele care acţionează în numele ei să nu fie puşi în situaţia cînd obligaţiile lor faţă de un client intră în conflict cu obligaţiile </w:t>
            </w:r>
            <w:r w:rsidRPr="009E686F">
              <w:rPr>
                <w:rFonts w:ascii="Times New Roman" w:hAnsi="Times New Roman" w:cs="Times New Roman"/>
                <w:lang w:val="it-CH"/>
              </w:rPr>
              <w:lastRenderedPageBreak/>
              <w:t>faţă de un alt client sau cînd interesele lor proprii intră în conflict cu obligaţiile faţă de un client.</w:t>
            </w:r>
          </w:p>
          <w:p w14:paraId="18325AB7" w14:textId="77777777" w:rsidR="00261C3C" w:rsidRPr="009E686F" w:rsidRDefault="00261C3C" w:rsidP="00EC348D">
            <w:pPr>
              <w:spacing w:after="0"/>
              <w:jc w:val="both"/>
              <w:rPr>
                <w:rFonts w:ascii="Times New Roman" w:hAnsi="Times New Roman" w:cs="Times New Roman"/>
                <w:i/>
                <w:iCs/>
                <w:lang w:val="it-CH"/>
              </w:rPr>
            </w:pPr>
          </w:p>
          <w:p w14:paraId="5ECED301" w14:textId="77777777" w:rsidR="00261C3C" w:rsidRPr="009E686F" w:rsidRDefault="00261C3C" w:rsidP="00EC348D">
            <w:pPr>
              <w:spacing w:after="0"/>
              <w:jc w:val="both"/>
              <w:rPr>
                <w:rFonts w:ascii="Times New Roman" w:hAnsi="Times New Roman" w:cs="Times New Roman"/>
                <w:lang w:val="it-CH"/>
              </w:rPr>
            </w:pPr>
            <w:r w:rsidRPr="009E686F">
              <w:rPr>
                <w:rFonts w:ascii="Times New Roman" w:hAnsi="Times New Roman" w:cs="Times New Roman"/>
                <w:lang w:val="it-CH"/>
              </w:rPr>
              <w:t> </w:t>
            </w:r>
          </w:p>
          <w:p w14:paraId="3F81B3DE" w14:textId="77777777" w:rsidR="00261C3C" w:rsidRPr="009E686F" w:rsidRDefault="00261C3C" w:rsidP="00EC348D">
            <w:pPr>
              <w:spacing w:after="0"/>
              <w:jc w:val="both"/>
              <w:rPr>
                <w:rFonts w:ascii="Times New Roman" w:hAnsi="Times New Roman" w:cs="Times New Roman"/>
                <w:lang w:val="it-CH"/>
              </w:rPr>
            </w:pPr>
            <w:r w:rsidRPr="009E686F">
              <w:rPr>
                <w:rFonts w:ascii="Times New Roman" w:hAnsi="Times New Roman" w:cs="Times New Roman"/>
                <w:b/>
                <w:bCs/>
                <w:lang w:val="it-CH"/>
              </w:rPr>
              <w:t>Articolul 97.</w:t>
            </w:r>
            <w:r w:rsidRPr="009E686F">
              <w:rPr>
                <w:rFonts w:ascii="Times New Roman" w:hAnsi="Times New Roman" w:cs="Times New Roman"/>
                <w:lang w:val="it-CH"/>
              </w:rPr>
              <w:t xml:space="preserve"> Condiţiile furnizării informaţiei ce constituie secret bancar</w:t>
            </w:r>
          </w:p>
          <w:p w14:paraId="6DDE11B4" w14:textId="77777777" w:rsidR="00261C3C" w:rsidRPr="009E686F" w:rsidRDefault="00261C3C" w:rsidP="00EC348D">
            <w:pPr>
              <w:spacing w:after="0"/>
              <w:jc w:val="both"/>
              <w:rPr>
                <w:rFonts w:ascii="Times New Roman" w:hAnsi="Times New Roman" w:cs="Times New Roman"/>
                <w:lang w:val="it-CH"/>
              </w:rPr>
            </w:pPr>
            <w:r w:rsidRPr="009E686F">
              <w:rPr>
                <w:rFonts w:ascii="Times New Roman" w:hAnsi="Times New Roman" w:cs="Times New Roman"/>
                <w:lang w:val="it-CH"/>
              </w:rPr>
              <w:t>(1) Obligaţia de păstrare a secretului bancar nu poate fi opusă unei autorităţi competente în exercitarea atribuţiilor sale de supraveghere pe bază individuală şi/sau consolidată.</w:t>
            </w:r>
          </w:p>
          <w:p w14:paraId="7B5A2039" w14:textId="77777777" w:rsidR="00261C3C" w:rsidRPr="009E686F" w:rsidRDefault="00261C3C" w:rsidP="00EC348D">
            <w:pPr>
              <w:spacing w:after="0"/>
              <w:jc w:val="both"/>
              <w:rPr>
                <w:rFonts w:ascii="Times New Roman" w:hAnsi="Times New Roman" w:cs="Times New Roman"/>
                <w:lang w:val="it-CH"/>
              </w:rPr>
            </w:pPr>
            <w:r w:rsidRPr="009E686F">
              <w:rPr>
                <w:rFonts w:ascii="Times New Roman" w:hAnsi="Times New Roman" w:cs="Times New Roman"/>
                <w:lang w:val="it-CH"/>
              </w:rPr>
              <w:t>(2) Furnizarea informaţiei care constituie secret bancar, inclusiv către autorităţile publice abilitate prin legi speciale să solicite informaţii de la persoanele fizice şi juridice, se efectuează în strictă conformitate cu prezentul articol.</w:t>
            </w:r>
          </w:p>
          <w:p w14:paraId="4B931208" w14:textId="77777777" w:rsidR="00261C3C" w:rsidRPr="009E686F" w:rsidRDefault="00261C3C" w:rsidP="00EC348D">
            <w:pPr>
              <w:spacing w:after="0"/>
              <w:jc w:val="both"/>
              <w:rPr>
                <w:rFonts w:ascii="Times New Roman" w:hAnsi="Times New Roman" w:cs="Times New Roman"/>
                <w:lang w:val="it-CH"/>
              </w:rPr>
            </w:pPr>
            <w:r w:rsidRPr="009E686F">
              <w:rPr>
                <w:rFonts w:ascii="Times New Roman" w:hAnsi="Times New Roman" w:cs="Times New Roman"/>
                <w:lang w:val="it-CH"/>
              </w:rPr>
              <w:t xml:space="preserve">(3) Informaţia care constituie secret bancar urmează a fi furnizată de </w:t>
            </w:r>
            <w:r w:rsidRPr="009E686F">
              <w:rPr>
                <w:rFonts w:ascii="Times New Roman" w:hAnsi="Times New Roman" w:cs="Times New Roman"/>
                <w:i/>
                <w:iCs/>
                <w:lang w:val="it-CH"/>
              </w:rPr>
              <w:t>instituția de credit</w:t>
            </w:r>
            <w:r w:rsidRPr="009E686F">
              <w:rPr>
                <w:rFonts w:ascii="Times New Roman" w:hAnsi="Times New Roman" w:cs="Times New Roman"/>
                <w:lang w:val="it-CH"/>
              </w:rPr>
              <w:t xml:space="preserve"> , în măsura în care furnizarea acestei informaţii este justificată de scopul pentru care este solicitată, în următoarele cazuri:</w:t>
            </w:r>
          </w:p>
          <w:p w14:paraId="6427A953" w14:textId="77777777" w:rsidR="00261C3C" w:rsidRPr="009E686F" w:rsidRDefault="00261C3C" w:rsidP="00EC348D">
            <w:pPr>
              <w:spacing w:after="0"/>
              <w:jc w:val="both"/>
              <w:rPr>
                <w:rFonts w:ascii="Times New Roman" w:hAnsi="Times New Roman" w:cs="Times New Roman"/>
                <w:lang w:val="it-CH"/>
              </w:rPr>
            </w:pPr>
            <w:r w:rsidRPr="009E686F">
              <w:rPr>
                <w:rFonts w:ascii="Times New Roman" w:hAnsi="Times New Roman" w:cs="Times New Roman"/>
                <w:lang w:val="it-CH"/>
              </w:rPr>
              <w:t xml:space="preserve">a) la solicitarea clientului </w:t>
            </w:r>
            <w:r w:rsidRPr="009E686F">
              <w:rPr>
                <w:rFonts w:ascii="Times New Roman" w:hAnsi="Times New Roman" w:cs="Times New Roman"/>
                <w:i/>
                <w:iCs/>
                <w:lang w:val="it-CH"/>
              </w:rPr>
              <w:t>instituției de credit</w:t>
            </w:r>
            <w:r w:rsidRPr="009E686F">
              <w:rPr>
                <w:rFonts w:ascii="Times New Roman" w:hAnsi="Times New Roman" w:cs="Times New Roman"/>
                <w:lang w:val="it-CH"/>
              </w:rPr>
              <w:t xml:space="preserve"> sau a reprezentantului acestuia;</w:t>
            </w:r>
          </w:p>
          <w:p w14:paraId="6097CEFC" w14:textId="77777777" w:rsidR="00261C3C" w:rsidRPr="009E686F" w:rsidRDefault="00261C3C" w:rsidP="00EC348D">
            <w:pPr>
              <w:spacing w:after="0"/>
              <w:jc w:val="both"/>
              <w:rPr>
                <w:rFonts w:ascii="Times New Roman" w:hAnsi="Times New Roman" w:cs="Times New Roman"/>
                <w:lang w:val="it-CH"/>
              </w:rPr>
            </w:pPr>
            <w:r w:rsidRPr="009E686F">
              <w:rPr>
                <w:rFonts w:ascii="Times New Roman" w:hAnsi="Times New Roman" w:cs="Times New Roman"/>
                <w:lang w:val="it-CH"/>
              </w:rPr>
              <w:t xml:space="preserve">b) în cazul decesului clientului </w:t>
            </w:r>
            <w:r w:rsidRPr="009E686F">
              <w:rPr>
                <w:rFonts w:ascii="Times New Roman" w:hAnsi="Times New Roman" w:cs="Times New Roman"/>
                <w:i/>
                <w:iCs/>
                <w:lang w:val="it-CH"/>
              </w:rPr>
              <w:t>instituției de credit</w:t>
            </w:r>
            <w:r w:rsidRPr="009E686F">
              <w:rPr>
                <w:rFonts w:ascii="Times New Roman" w:hAnsi="Times New Roman" w:cs="Times New Roman"/>
                <w:lang w:val="it-CH"/>
              </w:rPr>
              <w:t xml:space="preserve">, la solicitarea moştenitorului acestuia, cu anexarea certificatului de moştenitor, precum şi la solicitarea notarului care a deschis procedura succesorală, cu anexarea copiei certificatului de deces al clientului </w:t>
            </w:r>
            <w:r w:rsidRPr="009E686F">
              <w:rPr>
                <w:rFonts w:ascii="Times New Roman" w:hAnsi="Times New Roman" w:cs="Times New Roman"/>
                <w:i/>
                <w:iCs/>
                <w:lang w:val="it-CH"/>
              </w:rPr>
              <w:t>instituției de credit</w:t>
            </w:r>
            <w:r w:rsidRPr="009E686F">
              <w:rPr>
                <w:rFonts w:ascii="Times New Roman" w:hAnsi="Times New Roman" w:cs="Times New Roman"/>
                <w:lang w:val="it-CH"/>
              </w:rPr>
              <w:t>;</w:t>
            </w:r>
          </w:p>
          <w:p w14:paraId="3AEC80B9" w14:textId="77777777" w:rsidR="00261C3C" w:rsidRPr="009E686F" w:rsidRDefault="00261C3C" w:rsidP="00EC348D">
            <w:pPr>
              <w:spacing w:after="0"/>
              <w:jc w:val="both"/>
              <w:rPr>
                <w:rFonts w:ascii="Times New Roman" w:hAnsi="Times New Roman" w:cs="Times New Roman"/>
                <w:lang w:val="it-CH"/>
              </w:rPr>
            </w:pPr>
            <w:r w:rsidRPr="009E686F">
              <w:rPr>
                <w:rFonts w:ascii="Times New Roman" w:hAnsi="Times New Roman" w:cs="Times New Roman"/>
                <w:lang w:val="it-CH"/>
              </w:rPr>
              <w:t>c) la solicitarea organului de urmărire penală, privind cauza penală concretă, cu autorizaţia judecătorului de instrucţie însoţită de încheierea motivată;</w:t>
            </w:r>
          </w:p>
          <w:p w14:paraId="1E13179E" w14:textId="77777777" w:rsidR="00261C3C" w:rsidRPr="009E686F" w:rsidRDefault="00261C3C" w:rsidP="00EC348D">
            <w:pPr>
              <w:spacing w:after="0"/>
              <w:jc w:val="both"/>
              <w:rPr>
                <w:rFonts w:ascii="Times New Roman" w:hAnsi="Times New Roman" w:cs="Times New Roman"/>
                <w:lang w:val="it-CH"/>
              </w:rPr>
            </w:pPr>
            <w:r w:rsidRPr="009E686F">
              <w:rPr>
                <w:rFonts w:ascii="Times New Roman" w:hAnsi="Times New Roman" w:cs="Times New Roman"/>
                <w:lang w:val="it-CH"/>
              </w:rPr>
              <w:lastRenderedPageBreak/>
              <w:t>d) la solicitarea instanţei de judecată, în scopul soluţionării unei cauze aflate pe rol;</w:t>
            </w:r>
          </w:p>
          <w:p w14:paraId="5D7DDD24" w14:textId="77777777" w:rsidR="00261C3C" w:rsidRPr="009E686F" w:rsidRDefault="00261C3C" w:rsidP="00EC348D">
            <w:pPr>
              <w:spacing w:after="0"/>
              <w:jc w:val="both"/>
              <w:rPr>
                <w:rFonts w:ascii="Times New Roman" w:hAnsi="Times New Roman" w:cs="Times New Roman"/>
                <w:lang w:val="it-CH"/>
              </w:rPr>
            </w:pPr>
            <w:r w:rsidRPr="009E686F">
              <w:rPr>
                <w:rFonts w:ascii="Times New Roman" w:hAnsi="Times New Roman" w:cs="Times New Roman"/>
                <w:lang w:val="it-CH"/>
              </w:rPr>
              <w:t xml:space="preserve">e) la solicitarea scrisă a altor autorităţi publice ori din oficiu, dacă prin lege specială aceste autorităţi publice au dreptul, în scopul îndeplinirii atribuţiilor lor specifice, să solicite şi/sau să primească astfel de informaţii de la </w:t>
            </w:r>
            <w:r w:rsidRPr="009E686F">
              <w:rPr>
                <w:rFonts w:ascii="Times New Roman" w:hAnsi="Times New Roman" w:cs="Times New Roman"/>
                <w:i/>
                <w:iCs/>
                <w:lang w:val="it-CH"/>
              </w:rPr>
              <w:t>instituția de credit</w:t>
            </w:r>
            <w:r w:rsidRPr="009E686F">
              <w:rPr>
                <w:rFonts w:ascii="Times New Roman" w:hAnsi="Times New Roman" w:cs="Times New Roman"/>
                <w:lang w:val="it-CH"/>
              </w:rPr>
              <w:t xml:space="preserve"> ;</w:t>
            </w:r>
          </w:p>
          <w:p w14:paraId="409998A0" w14:textId="77777777" w:rsidR="00261C3C" w:rsidRPr="009E686F" w:rsidRDefault="00261C3C" w:rsidP="00EC348D">
            <w:pPr>
              <w:spacing w:after="0"/>
              <w:jc w:val="both"/>
              <w:rPr>
                <w:rFonts w:ascii="Times New Roman" w:hAnsi="Times New Roman" w:cs="Times New Roman"/>
                <w:lang w:val="it-CH"/>
              </w:rPr>
            </w:pPr>
            <w:r w:rsidRPr="009E686F">
              <w:rPr>
                <w:rFonts w:ascii="Times New Roman" w:hAnsi="Times New Roman" w:cs="Times New Roman"/>
                <w:lang w:val="it-CH"/>
              </w:rPr>
              <w:t>f) la solicitarea Ministerului Finanţelor, în conformitate cu Legea nr.419/2006 cu privire la datoria sectorului public, garanţiile de stat şi recreditarea de stat, a informaţiei privind împrumuturile acordate întreprinderilor de stat/municipale, societăţilor comerciale cu capital integral sau majoritar public şi unităţilor administrativ-teritoriale, necesară pentru monitorizarea sectorului public;</w:t>
            </w:r>
          </w:p>
          <w:p w14:paraId="5F811734" w14:textId="77777777" w:rsidR="00261C3C" w:rsidRPr="009E686F" w:rsidRDefault="00261C3C" w:rsidP="00EC348D">
            <w:pPr>
              <w:spacing w:after="0"/>
              <w:jc w:val="both"/>
              <w:rPr>
                <w:rFonts w:ascii="Times New Roman" w:hAnsi="Times New Roman" w:cs="Times New Roman"/>
                <w:lang w:val="pt-BR"/>
              </w:rPr>
            </w:pPr>
            <w:r w:rsidRPr="009E686F">
              <w:rPr>
                <w:rFonts w:ascii="Times New Roman" w:hAnsi="Times New Roman" w:cs="Times New Roman"/>
                <w:lang w:val="pt-BR"/>
              </w:rPr>
              <w:t>g) la solicitarea executorului judecătoresc, în temeiul şi în limitele prevăzute de documentul executoriu;</w:t>
            </w:r>
          </w:p>
          <w:p w14:paraId="76640100" w14:textId="77777777" w:rsidR="00261C3C" w:rsidRPr="009E686F" w:rsidRDefault="00261C3C" w:rsidP="00EC348D">
            <w:pPr>
              <w:spacing w:after="0"/>
              <w:jc w:val="both"/>
              <w:rPr>
                <w:rFonts w:ascii="Times New Roman" w:hAnsi="Times New Roman" w:cs="Times New Roman"/>
                <w:lang w:val="pt-BR"/>
              </w:rPr>
            </w:pPr>
            <w:r w:rsidRPr="009E686F">
              <w:rPr>
                <w:rFonts w:ascii="Times New Roman" w:hAnsi="Times New Roman" w:cs="Times New Roman"/>
                <w:lang w:val="pt-BR"/>
              </w:rPr>
              <w:t xml:space="preserve">h) cînd </w:t>
            </w:r>
            <w:r w:rsidRPr="009E686F">
              <w:rPr>
                <w:rFonts w:ascii="Times New Roman" w:hAnsi="Times New Roman" w:cs="Times New Roman"/>
                <w:i/>
                <w:lang w:val="pt-BR"/>
              </w:rPr>
              <w:t>instituția de credit</w:t>
            </w:r>
            <w:r w:rsidRPr="009E686F" w:rsidDel="00A13CA2">
              <w:rPr>
                <w:rFonts w:ascii="Times New Roman" w:hAnsi="Times New Roman" w:cs="Times New Roman"/>
                <w:lang w:val="pt-BR"/>
              </w:rPr>
              <w:t xml:space="preserve"> </w:t>
            </w:r>
            <w:r w:rsidRPr="009E686F">
              <w:rPr>
                <w:rFonts w:ascii="Times New Roman" w:hAnsi="Times New Roman" w:cs="Times New Roman"/>
                <w:lang w:val="pt-BR"/>
              </w:rPr>
              <w:t>justifică un interes legitim.</w:t>
            </w:r>
          </w:p>
          <w:p w14:paraId="75875867" w14:textId="77777777" w:rsidR="00261C3C" w:rsidRPr="009E686F" w:rsidRDefault="00261C3C" w:rsidP="00EC348D">
            <w:pPr>
              <w:spacing w:after="0"/>
              <w:jc w:val="both"/>
              <w:rPr>
                <w:rFonts w:ascii="Times New Roman" w:hAnsi="Times New Roman" w:cs="Times New Roman"/>
                <w:lang w:val="it-CH"/>
              </w:rPr>
            </w:pPr>
            <w:r w:rsidRPr="009E686F">
              <w:rPr>
                <w:rFonts w:ascii="Times New Roman" w:hAnsi="Times New Roman" w:cs="Times New Roman"/>
                <w:lang w:val="it-CH"/>
              </w:rPr>
              <w:t xml:space="preserve">(4) Solicitarea de furnizare a informaţiei ce constituie secret bancar, înaintată de autorităţile menţionate la alin.(3), trebuie să conţină temeiul legal al solicitării, datele de identitate ale persoanei la care se referă informaţia confidenţială solicitată, categoria informaţiei solicitate şi scopul pentru care se solicită aceasta. Solicitarea înaintată trebuie să fie semnată de persoana cu funcţie de răspundere împuternicită. Solicitarea informaţiei, înaintată de organul fiscal al Republicii Moldova, poate să nu conţină datele de identitate ale persoanei </w:t>
            </w:r>
            <w:r w:rsidRPr="009E686F">
              <w:rPr>
                <w:rFonts w:ascii="Times New Roman" w:hAnsi="Times New Roman" w:cs="Times New Roman"/>
                <w:lang w:val="it-CH"/>
              </w:rPr>
              <w:lastRenderedPageBreak/>
              <w:t>(persoanelor) la care se referă informaţia solicitată în cazurile şi/sau în condiţiile Acordului de cooperare dintre Guvernul Republicii Moldova şi Guvernul Statelor Unite ale Americii pentru facilitarea implementării prevederilor Actului privind îndeplinirea obligaţiilor fiscale cu privire la conturile străine (FATCA).</w:t>
            </w:r>
          </w:p>
          <w:p w14:paraId="64576DEA" w14:textId="77777777" w:rsidR="00261C3C" w:rsidRPr="009E686F" w:rsidRDefault="00261C3C" w:rsidP="00EC348D">
            <w:pPr>
              <w:spacing w:after="0"/>
              <w:jc w:val="both"/>
              <w:rPr>
                <w:rFonts w:ascii="Times New Roman" w:hAnsi="Times New Roman" w:cs="Times New Roman"/>
                <w:lang w:val="pt-BR"/>
              </w:rPr>
            </w:pPr>
            <w:r w:rsidRPr="009E686F">
              <w:rPr>
                <w:rFonts w:ascii="Times New Roman" w:hAnsi="Times New Roman" w:cs="Times New Roman"/>
                <w:lang w:val="pt-BR"/>
              </w:rPr>
              <w:t>(5) Nu constituie încălcare a obligaţiei de păstrare a secretului bancar:</w:t>
            </w:r>
          </w:p>
          <w:p w14:paraId="092085A6" w14:textId="77777777" w:rsidR="00261C3C" w:rsidRPr="009E686F" w:rsidRDefault="00261C3C" w:rsidP="00EC348D">
            <w:pPr>
              <w:spacing w:after="0"/>
              <w:jc w:val="both"/>
              <w:rPr>
                <w:rFonts w:ascii="Times New Roman" w:hAnsi="Times New Roman" w:cs="Times New Roman"/>
                <w:lang w:val="pt-BR"/>
              </w:rPr>
            </w:pPr>
            <w:r w:rsidRPr="009E686F">
              <w:rPr>
                <w:rFonts w:ascii="Times New Roman" w:hAnsi="Times New Roman" w:cs="Times New Roman"/>
                <w:lang w:val="pt-BR"/>
              </w:rPr>
              <w:t>a) furnizarea către Banca Naţională a Moldovei a informaţiei necesare exercitării atribuţiilor ei;</w:t>
            </w:r>
          </w:p>
          <w:p w14:paraId="3FB3EA67" w14:textId="77777777" w:rsidR="00261C3C" w:rsidRPr="009E686F" w:rsidRDefault="00261C3C" w:rsidP="00EC348D">
            <w:pPr>
              <w:spacing w:after="0"/>
              <w:jc w:val="both"/>
              <w:rPr>
                <w:rFonts w:ascii="Times New Roman" w:hAnsi="Times New Roman" w:cs="Times New Roman"/>
                <w:lang w:val="pt-BR"/>
              </w:rPr>
            </w:pPr>
            <w:r w:rsidRPr="009E686F">
              <w:rPr>
                <w:rFonts w:ascii="Times New Roman" w:hAnsi="Times New Roman" w:cs="Times New Roman"/>
                <w:lang w:val="pt-BR"/>
              </w:rPr>
              <w:t xml:space="preserve">b) furnizarea informaţiei şi a datelor întocmite astfel încît identitatea şi informaţiile privind activitatea fiecărui client al </w:t>
            </w:r>
            <w:r w:rsidRPr="009E686F">
              <w:rPr>
                <w:rFonts w:ascii="Times New Roman" w:hAnsi="Times New Roman" w:cs="Times New Roman"/>
                <w:i/>
                <w:lang w:val="pt-BR"/>
              </w:rPr>
              <w:t>instituției de credit</w:t>
            </w:r>
            <w:r w:rsidRPr="009E686F">
              <w:rPr>
                <w:rFonts w:ascii="Times New Roman" w:hAnsi="Times New Roman" w:cs="Times New Roman"/>
                <w:lang w:val="pt-BR"/>
              </w:rPr>
              <w:t xml:space="preserve"> nu pot fi identificate;</w:t>
            </w:r>
          </w:p>
          <w:p w14:paraId="743434A0" w14:textId="77777777" w:rsidR="00261C3C" w:rsidRPr="009E686F" w:rsidRDefault="00261C3C" w:rsidP="00EC348D">
            <w:pPr>
              <w:spacing w:after="0"/>
              <w:jc w:val="both"/>
              <w:rPr>
                <w:rFonts w:ascii="Times New Roman" w:hAnsi="Times New Roman" w:cs="Times New Roman"/>
                <w:lang w:val="pt-BR"/>
              </w:rPr>
            </w:pPr>
            <w:r w:rsidRPr="009E686F">
              <w:rPr>
                <w:rFonts w:ascii="Times New Roman" w:hAnsi="Times New Roman" w:cs="Times New Roman"/>
                <w:lang w:val="pt-BR"/>
              </w:rPr>
              <w:t>c) furnizarea obligatorie organelor fiscale a informaţiei privind deschiderea, modificarea şi închiderea conturilor bancare, în cazurile şi cu referinţă la categoriile de contribuabili prevăzute de lege;</w:t>
            </w:r>
          </w:p>
          <w:p w14:paraId="11D3DBB5" w14:textId="77777777" w:rsidR="00261C3C" w:rsidRPr="009E686F" w:rsidRDefault="00261C3C" w:rsidP="00EC348D">
            <w:pPr>
              <w:spacing w:after="0"/>
              <w:jc w:val="both"/>
              <w:rPr>
                <w:rFonts w:ascii="Times New Roman" w:hAnsi="Times New Roman" w:cs="Times New Roman"/>
                <w:lang w:val="pt-BR"/>
              </w:rPr>
            </w:pPr>
            <w:r w:rsidRPr="009E686F">
              <w:rPr>
                <w:rFonts w:ascii="Times New Roman" w:hAnsi="Times New Roman" w:cs="Times New Roman"/>
                <w:lang w:val="pt-BR"/>
              </w:rPr>
              <w:t xml:space="preserve">d) furnizarea informaţiei entităţii de audit a </w:t>
            </w:r>
            <w:r w:rsidRPr="009E686F">
              <w:rPr>
                <w:rFonts w:ascii="Times New Roman" w:hAnsi="Times New Roman" w:cs="Times New Roman"/>
                <w:i/>
                <w:lang w:val="pt-BR"/>
              </w:rPr>
              <w:t>instituției de credit</w:t>
            </w:r>
            <w:r w:rsidRPr="009E686F">
              <w:rPr>
                <w:rFonts w:ascii="Times New Roman" w:hAnsi="Times New Roman" w:cs="Times New Roman"/>
                <w:lang w:val="pt-BR"/>
              </w:rPr>
              <w:t>, în limitele necesare exercitării de către aceasta a activităţii de audit;</w:t>
            </w:r>
          </w:p>
          <w:p w14:paraId="07A072B8" w14:textId="77777777" w:rsidR="00261C3C" w:rsidRPr="009E686F" w:rsidRDefault="00261C3C" w:rsidP="00EC348D">
            <w:pPr>
              <w:spacing w:after="0"/>
              <w:jc w:val="both"/>
              <w:rPr>
                <w:rFonts w:ascii="Times New Roman" w:hAnsi="Times New Roman" w:cs="Times New Roman"/>
                <w:lang w:val="pt-BR"/>
              </w:rPr>
            </w:pPr>
            <w:r w:rsidRPr="009E686F">
              <w:rPr>
                <w:rFonts w:ascii="Times New Roman" w:hAnsi="Times New Roman" w:cs="Times New Roman"/>
                <w:lang w:val="pt-BR"/>
              </w:rPr>
              <w:t>e) furnizarea informaţiei Fondului de garantare a depozitelor în sistemul bancar, în limitele necesare exercitării atribuţiilor acestuia;</w:t>
            </w:r>
          </w:p>
          <w:p w14:paraId="315DA6A8" w14:textId="77777777" w:rsidR="00261C3C" w:rsidRPr="009E686F" w:rsidRDefault="00261C3C" w:rsidP="00EC348D">
            <w:pPr>
              <w:spacing w:after="0"/>
              <w:jc w:val="both"/>
              <w:rPr>
                <w:rFonts w:ascii="Times New Roman" w:hAnsi="Times New Roman" w:cs="Times New Roman"/>
                <w:lang w:val="pt-BR"/>
              </w:rPr>
            </w:pPr>
            <w:r w:rsidRPr="009E686F">
              <w:rPr>
                <w:rFonts w:ascii="Times New Roman" w:hAnsi="Times New Roman" w:cs="Times New Roman"/>
                <w:lang w:val="pt-BR"/>
              </w:rPr>
              <w:t>f) furnizarea informaţiei birourilor istoriilor de credit referitoare la creditele acordate, în conformitate cu legea specială;</w:t>
            </w:r>
          </w:p>
          <w:p w14:paraId="70CF3C24" w14:textId="77777777" w:rsidR="00261C3C" w:rsidRPr="009E686F" w:rsidRDefault="00261C3C" w:rsidP="00EC348D">
            <w:pPr>
              <w:spacing w:after="0"/>
              <w:jc w:val="both"/>
              <w:rPr>
                <w:rFonts w:ascii="Times New Roman" w:hAnsi="Times New Roman" w:cs="Times New Roman"/>
                <w:lang w:val="pt-BR"/>
              </w:rPr>
            </w:pPr>
            <w:r w:rsidRPr="009E686F">
              <w:rPr>
                <w:rFonts w:ascii="Times New Roman" w:hAnsi="Times New Roman" w:cs="Times New Roman"/>
                <w:lang w:val="pt-BR"/>
              </w:rPr>
              <w:t xml:space="preserve">g) furnizarea informaţiei Serviciului prevenirea şi combaterea spălării banilor despre orice activitate sau tranzacţie suspectă, în conformitate cu </w:t>
            </w:r>
            <w:r w:rsidRPr="009E686F">
              <w:rPr>
                <w:rFonts w:ascii="Times New Roman" w:hAnsi="Times New Roman" w:cs="Times New Roman"/>
                <w:lang w:val="pt-BR"/>
              </w:rPr>
              <w:lastRenderedPageBreak/>
              <w:t>legislaţia cu privire la prevenirea şi combaterea spălării banilor şi finanţării terorismului;</w:t>
            </w:r>
          </w:p>
          <w:p w14:paraId="59432B5C" w14:textId="77777777" w:rsidR="00261C3C" w:rsidRPr="009E686F" w:rsidRDefault="00261C3C" w:rsidP="00EC348D">
            <w:pPr>
              <w:spacing w:after="0"/>
              <w:jc w:val="both"/>
              <w:rPr>
                <w:rFonts w:ascii="Times New Roman" w:hAnsi="Times New Roman" w:cs="Times New Roman"/>
                <w:lang w:val="pt-BR"/>
              </w:rPr>
            </w:pPr>
            <w:r w:rsidRPr="009E686F">
              <w:rPr>
                <w:rFonts w:ascii="Times New Roman" w:hAnsi="Times New Roman" w:cs="Times New Roman"/>
                <w:lang w:val="pt-BR"/>
              </w:rPr>
              <w:t xml:space="preserve">h) furnizarea informaţiei entităţilor ce aparţin grupului din care face parte </w:t>
            </w:r>
            <w:r w:rsidRPr="009E686F">
              <w:rPr>
                <w:rFonts w:ascii="Times New Roman" w:hAnsi="Times New Roman" w:cs="Times New Roman"/>
                <w:i/>
                <w:lang w:val="pt-BR"/>
              </w:rPr>
              <w:t>instituția de credit</w:t>
            </w:r>
            <w:r w:rsidRPr="009E686F">
              <w:rPr>
                <w:rFonts w:ascii="Times New Roman" w:hAnsi="Times New Roman" w:cs="Times New Roman"/>
                <w:lang w:val="pt-BR"/>
              </w:rPr>
              <w:t>, necesară pentru organizarea supravegherii pe bază consolidată şi pentru combaterea spălării banilor şi finanţării terorismului;</w:t>
            </w:r>
          </w:p>
          <w:p w14:paraId="00E3530D" w14:textId="77777777" w:rsidR="00261C3C" w:rsidRPr="009E686F" w:rsidRDefault="00261C3C" w:rsidP="00EC348D">
            <w:pPr>
              <w:spacing w:after="0"/>
              <w:jc w:val="both"/>
              <w:rPr>
                <w:rFonts w:ascii="Times New Roman" w:hAnsi="Times New Roman" w:cs="Times New Roman"/>
                <w:lang w:val="pt-BR"/>
              </w:rPr>
            </w:pPr>
            <w:r w:rsidRPr="009E686F">
              <w:rPr>
                <w:rFonts w:ascii="Times New Roman" w:hAnsi="Times New Roman" w:cs="Times New Roman"/>
                <w:lang w:val="pt-BR"/>
              </w:rPr>
              <w:t xml:space="preserve">i) furnizarea lunară către Ministerul Finanţelor a informaţiei privind încasările, plăţile şi soldurile de mijloace băneşti în conturile deschise în </w:t>
            </w:r>
            <w:r w:rsidRPr="009E686F">
              <w:rPr>
                <w:rFonts w:ascii="Times New Roman" w:hAnsi="Times New Roman" w:cs="Times New Roman"/>
                <w:i/>
                <w:lang w:val="pt-BR"/>
              </w:rPr>
              <w:t>instituții de credit</w:t>
            </w:r>
            <w:r w:rsidRPr="009E686F">
              <w:rPr>
                <w:rFonts w:ascii="Times New Roman" w:hAnsi="Times New Roman" w:cs="Times New Roman"/>
                <w:lang w:val="pt-BR"/>
              </w:rPr>
              <w:t xml:space="preserve"> de către instituţiile publice finanţate de la bugetul public naţional;</w:t>
            </w:r>
          </w:p>
          <w:p w14:paraId="2BF5B90B" w14:textId="77777777" w:rsidR="00261C3C" w:rsidRPr="009E686F" w:rsidRDefault="00261C3C" w:rsidP="00EC348D">
            <w:pPr>
              <w:spacing w:after="0"/>
              <w:jc w:val="both"/>
              <w:rPr>
                <w:rFonts w:ascii="Times New Roman" w:hAnsi="Times New Roman" w:cs="Times New Roman"/>
                <w:lang w:val="pt-BR"/>
              </w:rPr>
            </w:pPr>
            <w:r w:rsidRPr="009E686F">
              <w:rPr>
                <w:rFonts w:ascii="Times New Roman" w:hAnsi="Times New Roman" w:cs="Times New Roman"/>
                <w:lang w:val="pt-BR"/>
              </w:rPr>
              <w:t xml:space="preserve">j) furnizarea de informaţii la solicitarea Ministerului Finanţelor în scopul exercitării atribuţiilor pentru conturile deschise în </w:t>
            </w:r>
            <w:r w:rsidRPr="009E686F">
              <w:rPr>
                <w:rFonts w:ascii="Times New Roman" w:hAnsi="Times New Roman" w:cs="Times New Roman"/>
                <w:i/>
                <w:lang w:val="pt-BR"/>
              </w:rPr>
              <w:t>instituții de credit</w:t>
            </w:r>
            <w:r w:rsidRPr="009E686F">
              <w:rPr>
                <w:rFonts w:ascii="Times New Roman" w:hAnsi="Times New Roman" w:cs="Times New Roman"/>
                <w:lang w:val="pt-BR"/>
              </w:rPr>
              <w:t xml:space="preserve"> de către instituţiile publice finanţate de la bugetul public naţional;</w:t>
            </w:r>
          </w:p>
          <w:p w14:paraId="0CC8B1FE" w14:textId="77777777" w:rsidR="00261C3C" w:rsidRPr="009E686F" w:rsidRDefault="00261C3C" w:rsidP="00EC348D">
            <w:pPr>
              <w:spacing w:after="0"/>
              <w:jc w:val="both"/>
              <w:rPr>
                <w:rFonts w:ascii="Times New Roman" w:hAnsi="Times New Roman" w:cs="Times New Roman"/>
                <w:lang w:val="pt-BR"/>
              </w:rPr>
            </w:pPr>
            <w:r w:rsidRPr="009E686F">
              <w:rPr>
                <w:rFonts w:ascii="Times New Roman" w:hAnsi="Times New Roman" w:cs="Times New Roman"/>
                <w:lang w:val="pt-BR"/>
              </w:rPr>
              <w:t>k) furnizarea informaţiei în conformitate cu prevederile şi în limitele Acordului de cooperare dintre Guvernul Republicii Moldova şi Guvernul Statelor Unite ale Americii pentru facilitarea implementării prevederilor Actului privind îndeplinirea obligaţiilor fiscale cu privire la conturile străine (FATCA);</w:t>
            </w:r>
          </w:p>
          <w:p w14:paraId="0A6117D5" w14:textId="77777777" w:rsidR="00261C3C" w:rsidRPr="009E686F" w:rsidRDefault="00261C3C" w:rsidP="00EC348D">
            <w:pPr>
              <w:spacing w:after="0"/>
              <w:jc w:val="both"/>
              <w:rPr>
                <w:rFonts w:ascii="Times New Roman" w:hAnsi="Times New Roman" w:cs="Times New Roman"/>
                <w:lang w:val="pt-BR"/>
              </w:rPr>
            </w:pPr>
            <w:r w:rsidRPr="009E686F">
              <w:rPr>
                <w:rFonts w:ascii="Times New Roman" w:hAnsi="Times New Roman" w:cs="Times New Roman"/>
                <w:lang w:val="pt-BR"/>
              </w:rPr>
              <w:t xml:space="preserve">l) furnizarea către Comisia Electorală Centrală, în termenul stabilit de către aceasta, a informaţiei privind încasările, plăţile şi soldurile de mijloace băneşti în conturile deschise în </w:t>
            </w:r>
            <w:r w:rsidRPr="009E686F">
              <w:rPr>
                <w:rFonts w:ascii="Times New Roman" w:hAnsi="Times New Roman" w:cs="Times New Roman"/>
                <w:i/>
                <w:lang w:val="pt-BR"/>
              </w:rPr>
              <w:t>instituții de credit</w:t>
            </w:r>
            <w:r w:rsidRPr="009E686F">
              <w:rPr>
                <w:rFonts w:ascii="Times New Roman" w:hAnsi="Times New Roman" w:cs="Times New Roman"/>
                <w:lang w:val="pt-BR"/>
              </w:rPr>
              <w:t xml:space="preserve"> de către partidele politice, concurenţii electorali, participanţii la referendumuri şi grupurile de iniţiativă;</w:t>
            </w:r>
          </w:p>
          <w:p w14:paraId="49DC0B33" w14:textId="77777777" w:rsidR="00261C3C" w:rsidRPr="009E686F" w:rsidRDefault="00261C3C" w:rsidP="00EC348D">
            <w:pPr>
              <w:spacing w:after="0"/>
              <w:jc w:val="both"/>
              <w:rPr>
                <w:rFonts w:ascii="Times New Roman" w:hAnsi="Times New Roman" w:cs="Times New Roman"/>
                <w:lang w:val="pt-BR"/>
              </w:rPr>
            </w:pPr>
            <w:r w:rsidRPr="009E686F">
              <w:rPr>
                <w:rFonts w:ascii="Times New Roman" w:hAnsi="Times New Roman" w:cs="Times New Roman"/>
                <w:lang w:val="pt-BR"/>
              </w:rPr>
              <w:lastRenderedPageBreak/>
              <w:t>m) furnizarea către Serviciul Fiscal de Stat a informaţiei în conformitate cu prevederile şi în limitele Acordului multilateral al autorităţilor competente pentru schimbul automat de informaţii privind conturile financiare;</w:t>
            </w:r>
          </w:p>
          <w:p w14:paraId="19A68A4B" w14:textId="77777777" w:rsidR="00261C3C" w:rsidRPr="009E686F" w:rsidRDefault="00261C3C" w:rsidP="00EC348D">
            <w:pPr>
              <w:spacing w:after="0"/>
              <w:jc w:val="both"/>
              <w:rPr>
                <w:rFonts w:ascii="Times New Roman" w:hAnsi="Times New Roman" w:cs="Times New Roman"/>
                <w:lang w:val="pt-BR"/>
              </w:rPr>
            </w:pPr>
            <w:r w:rsidRPr="009E686F">
              <w:rPr>
                <w:rFonts w:ascii="Times New Roman" w:hAnsi="Times New Roman" w:cs="Times New Roman"/>
                <w:lang w:val="pt-BR"/>
              </w:rPr>
              <w:t>n) furnizarea informaţiei altor entităţi raportoare, cu acordul clientului respectiv, în cadrul execuţiei de către persoane terţe potrivit art.10 din Legea nr.308/2017 cu privire la prevenirea şi combaterea spălării banilor şi finanţării terorismului.</w:t>
            </w:r>
          </w:p>
          <w:p w14:paraId="25142A7A" w14:textId="77777777" w:rsidR="00261C3C" w:rsidRPr="009E686F" w:rsidRDefault="00261C3C" w:rsidP="00EC348D">
            <w:pPr>
              <w:spacing w:after="0"/>
              <w:jc w:val="both"/>
              <w:rPr>
                <w:rFonts w:ascii="Times New Roman" w:hAnsi="Times New Roman" w:cs="Times New Roman"/>
                <w:lang w:val="pt-BR"/>
              </w:rPr>
            </w:pPr>
            <w:r w:rsidRPr="009E686F">
              <w:rPr>
                <w:rFonts w:ascii="Times New Roman" w:hAnsi="Times New Roman" w:cs="Times New Roman"/>
                <w:lang w:val="pt-BR"/>
              </w:rPr>
              <w:t>(6) Persoanele şi organele abilitate să solicite şi să primească informaţiile ce constituie secret bancar sînt obligate să păstreze confidenţialitatea acestora şi le pot utiliza numai în scopul pentru care le-au solicitat sau le-au fost furnizate, potrivit legii, şi sînt obligate să nu le furnizeze sau să le divulge persoanelor terţe, cu excepţia cazurilor de executare a obligaţiilor prevăzute de lege.</w:t>
            </w:r>
          </w:p>
          <w:p w14:paraId="11AE4BE3" w14:textId="77777777" w:rsidR="00261C3C" w:rsidRPr="009E686F" w:rsidRDefault="00261C3C" w:rsidP="00EC348D">
            <w:pPr>
              <w:spacing w:after="0"/>
              <w:jc w:val="both"/>
              <w:rPr>
                <w:rFonts w:ascii="Times New Roman" w:hAnsi="Times New Roman" w:cs="Times New Roman"/>
                <w:lang w:val="pt-BR"/>
              </w:rPr>
            </w:pPr>
            <w:r w:rsidRPr="009E686F">
              <w:rPr>
                <w:rFonts w:ascii="Times New Roman" w:hAnsi="Times New Roman" w:cs="Times New Roman"/>
                <w:lang w:val="pt-BR"/>
              </w:rPr>
              <w:t> </w:t>
            </w:r>
          </w:p>
          <w:p w14:paraId="66A1F477" w14:textId="77777777" w:rsidR="00261C3C" w:rsidRPr="009E686F" w:rsidRDefault="00261C3C" w:rsidP="00EC348D">
            <w:pPr>
              <w:spacing w:after="0"/>
              <w:jc w:val="both"/>
              <w:rPr>
                <w:rFonts w:ascii="Times New Roman" w:hAnsi="Times New Roman" w:cs="Times New Roman"/>
                <w:lang w:val="pt-BR"/>
              </w:rPr>
            </w:pPr>
            <w:r w:rsidRPr="009E686F">
              <w:rPr>
                <w:rFonts w:ascii="Times New Roman" w:hAnsi="Times New Roman" w:cs="Times New Roman"/>
                <w:b/>
                <w:lang w:val="pt-BR"/>
              </w:rPr>
              <w:t>Articolul 98.</w:t>
            </w:r>
            <w:r w:rsidRPr="009E686F">
              <w:rPr>
                <w:rFonts w:ascii="Times New Roman" w:hAnsi="Times New Roman" w:cs="Times New Roman"/>
                <w:lang w:val="pt-BR"/>
              </w:rPr>
              <w:t xml:space="preserve"> Declararea interesului material</w:t>
            </w:r>
          </w:p>
          <w:p w14:paraId="6E2C717D" w14:textId="77777777" w:rsidR="00261C3C" w:rsidRPr="009E686F" w:rsidRDefault="00261C3C" w:rsidP="00EC348D">
            <w:pPr>
              <w:spacing w:after="0"/>
              <w:jc w:val="both"/>
              <w:rPr>
                <w:rFonts w:ascii="Times New Roman" w:hAnsi="Times New Roman" w:cs="Times New Roman"/>
                <w:lang w:val="pt-BR"/>
              </w:rPr>
            </w:pPr>
            <w:r w:rsidRPr="009E686F">
              <w:rPr>
                <w:rFonts w:ascii="Times New Roman" w:hAnsi="Times New Roman" w:cs="Times New Roman"/>
                <w:lang w:val="pt-BR"/>
              </w:rPr>
              <w:t xml:space="preserve">(1) Orice membru al organului de conducere sau persoană care deţine o funcţie-cheie în </w:t>
            </w:r>
            <w:r w:rsidRPr="009E686F">
              <w:rPr>
                <w:rFonts w:ascii="Times New Roman" w:hAnsi="Times New Roman" w:cs="Times New Roman"/>
                <w:i/>
                <w:lang w:val="pt-BR"/>
              </w:rPr>
              <w:t xml:space="preserve">instituția de credit </w:t>
            </w:r>
            <w:r w:rsidRPr="009E686F">
              <w:rPr>
                <w:rFonts w:ascii="Times New Roman" w:hAnsi="Times New Roman" w:cs="Times New Roman"/>
                <w:lang w:val="pt-BR"/>
              </w:rPr>
              <w:t xml:space="preserve">care este parte într-un contract efectiv sau într-un contract propus </w:t>
            </w:r>
            <w:r w:rsidRPr="009E686F">
              <w:rPr>
                <w:rFonts w:ascii="Times New Roman" w:hAnsi="Times New Roman" w:cs="Times New Roman"/>
                <w:i/>
                <w:lang w:val="pt-BR"/>
              </w:rPr>
              <w:t>instituției de credit</w:t>
            </w:r>
            <w:r w:rsidRPr="009E686F">
              <w:rPr>
                <w:rFonts w:ascii="Times New Roman" w:hAnsi="Times New Roman" w:cs="Times New Roman"/>
                <w:lang w:val="pt-BR"/>
              </w:rPr>
              <w:t xml:space="preserve"> privind interese materiale sau care este conducător al unei persoane parte într-un contract material efectiv sau propus </w:t>
            </w:r>
            <w:r w:rsidRPr="009E686F">
              <w:rPr>
                <w:rFonts w:ascii="Times New Roman" w:hAnsi="Times New Roman" w:cs="Times New Roman"/>
                <w:i/>
                <w:lang w:val="pt-BR"/>
              </w:rPr>
              <w:t>instituției de credit</w:t>
            </w:r>
            <w:r w:rsidRPr="009E686F">
              <w:rPr>
                <w:rFonts w:ascii="Times New Roman" w:hAnsi="Times New Roman" w:cs="Times New Roman"/>
                <w:lang w:val="pt-BR"/>
              </w:rPr>
              <w:t xml:space="preserve"> sau care are un interes material faţă de această persoană trebuie să dezvăluie în scris </w:t>
            </w:r>
            <w:r w:rsidRPr="009E686F">
              <w:rPr>
                <w:rFonts w:ascii="Times New Roman" w:hAnsi="Times New Roman" w:cs="Times New Roman"/>
                <w:i/>
                <w:lang w:val="pt-BR"/>
              </w:rPr>
              <w:t xml:space="preserve">instituției de credit </w:t>
            </w:r>
            <w:r w:rsidRPr="009E686F">
              <w:rPr>
                <w:rFonts w:ascii="Times New Roman" w:hAnsi="Times New Roman" w:cs="Times New Roman"/>
                <w:lang w:val="pt-BR"/>
              </w:rPr>
              <w:t>interesul său material în momentul în care ia cunoştinţă sau ar fi trebuit să ia cunoştinţă de existenţa unui astfel de contract.</w:t>
            </w:r>
          </w:p>
          <w:p w14:paraId="3A0AB6B5" w14:textId="77777777" w:rsidR="00261C3C" w:rsidRPr="009E686F" w:rsidRDefault="00261C3C" w:rsidP="00EC348D">
            <w:pPr>
              <w:spacing w:after="0"/>
              <w:jc w:val="both"/>
              <w:rPr>
                <w:rFonts w:ascii="Times New Roman" w:hAnsi="Times New Roman" w:cs="Times New Roman"/>
                <w:lang w:val="pt-BR"/>
              </w:rPr>
            </w:pPr>
            <w:r w:rsidRPr="009E686F">
              <w:rPr>
                <w:rFonts w:ascii="Times New Roman" w:hAnsi="Times New Roman" w:cs="Times New Roman"/>
                <w:lang w:val="pt-BR"/>
              </w:rPr>
              <w:lastRenderedPageBreak/>
              <w:t xml:space="preserve">(2) Orice membru al organului de conducere sau persoană care deţine o funcţie-cheie este obligată să prezinte consiliului </w:t>
            </w:r>
            <w:r w:rsidRPr="009E686F">
              <w:rPr>
                <w:rFonts w:ascii="Times New Roman" w:hAnsi="Times New Roman" w:cs="Times New Roman"/>
                <w:i/>
                <w:lang w:val="pt-BR"/>
              </w:rPr>
              <w:t>instituției de credit</w:t>
            </w:r>
            <w:r w:rsidRPr="009E686F">
              <w:rPr>
                <w:rFonts w:ascii="Times New Roman" w:hAnsi="Times New Roman" w:cs="Times New Roman"/>
                <w:lang w:val="pt-BR"/>
              </w:rPr>
              <w:t>, cel puţin o dată pe an, o notă scrisă, în care să dezvăluie suficient conflictul de interese. Se consideră dezvăluire suficientă a conflictului de interese indicarea numelui şi adresei asociaţilor persoanelor respective, detaliilor esenţiale despre activităţile lor, intereselor de familie care confirmă că aceştia au interese materiale în contractele încheiate cu orice persoană numită în notă.</w:t>
            </w:r>
          </w:p>
          <w:p w14:paraId="480FFF9E" w14:textId="77777777" w:rsidR="00261C3C" w:rsidRPr="009E686F" w:rsidRDefault="00261C3C" w:rsidP="00EC348D">
            <w:pPr>
              <w:spacing w:after="0"/>
              <w:jc w:val="both"/>
              <w:rPr>
                <w:rFonts w:ascii="Times New Roman" w:hAnsi="Times New Roman" w:cs="Times New Roman"/>
                <w:lang w:val="pt-BR"/>
              </w:rPr>
            </w:pPr>
            <w:r w:rsidRPr="009E686F">
              <w:rPr>
                <w:rFonts w:ascii="Times New Roman" w:hAnsi="Times New Roman" w:cs="Times New Roman"/>
                <w:lang w:val="pt-BR"/>
              </w:rPr>
              <w:t>(3) Orice membru al organului de conducere sau persoană ce deţine o funcţie-cheie care are interes material într-un contract trebuie să părăsească orice şedinţă la care este pus în discuţie acest contract. Totodată, prezenţa persoanelor respective la şedinţă se ia în calcul la stabilirea cvorumului, iar la votare se consideră că acestea s-au abţinut. În caz de paritate a voturilor, cel al preşedintelui şedinţei se consideră hotărîtor.</w:t>
            </w:r>
          </w:p>
          <w:p w14:paraId="28CE1D47" w14:textId="77777777" w:rsidR="00261C3C" w:rsidRPr="009E686F" w:rsidRDefault="00261C3C" w:rsidP="00EC348D">
            <w:pPr>
              <w:spacing w:after="0"/>
              <w:jc w:val="both"/>
              <w:rPr>
                <w:rFonts w:ascii="Times New Roman" w:hAnsi="Times New Roman" w:cs="Times New Roman"/>
                <w:lang w:val="pt-BR"/>
              </w:rPr>
            </w:pPr>
            <w:r w:rsidRPr="009E686F">
              <w:rPr>
                <w:rFonts w:ascii="Times New Roman" w:hAnsi="Times New Roman" w:cs="Times New Roman"/>
                <w:lang w:val="pt-BR"/>
              </w:rPr>
              <w:t>(4) În aplicarea prevederilor alin.(1) şi (2), interesul material şi conflictul de interese se determină în conformitate cu prevederile art.84 şi 85 din Legea nr. 1134/1997 privind societăţile pe acţiuni.</w:t>
            </w:r>
          </w:p>
          <w:p w14:paraId="0645EE36" w14:textId="77777777" w:rsidR="00261C3C" w:rsidRPr="009E686F" w:rsidRDefault="00261C3C" w:rsidP="00EC348D">
            <w:pPr>
              <w:spacing w:after="0"/>
              <w:jc w:val="both"/>
              <w:rPr>
                <w:rFonts w:ascii="Times New Roman" w:hAnsi="Times New Roman" w:cs="Times New Roman"/>
                <w:lang w:val="pt-BR"/>
              </w:rPr>
            </w:pPr>
            <w:r w:rsidRPr="009E686F">
              <w:rPr>
                <w:rFonts w:ascii="Times New Roman" w:hAnsi="Times New Roman" w:cs="Times New Roman"/>
                <w:lang w:val="pt-BR"/>
              </w:rPr>
              <w:t>(5) Dacă persoanele menţionate la alin.(1) nu şi-au dezvăluit conflictul de interese:</w:t>
            </w:r>
          </w:p>
          <w:p w14:paraId="43D030AF" w14:textId="77777777" w:rsidR="00261C3C" w:rsidRPr="009E686F" w:rsidRDefault="00261C3C" w:rsidP="00EC348D">
            <w:pPr>
              <w:spacing w:after="0"/>
              <w:jc w:val="both"/>
              <w:rPr>
                <w:rFonts w:ascii="Times New Roman" w:hAnsi="Times New Roman" w:cs="Times New Roman"/>
                <w:lang w:val="pt-BR"/>
              </w:rPr>
            </w:pPr>
            <w:r w:rsidRPr="009E686F">
              <w:rPr>
                <w:rFonts w:ascii="Times New Roman" w:hAnsi="Times New Roman" w:cs="Times New Roman"/>
                <w:lang w:val="pt-BR"/>
              </w:rPr>
              <w:t xml:space="preserve">a) judecătoria poate, la cererea </w:t>
            </w:r>
            <w:r w:rsidRPr="009E686F">
              <w:rPr>
                <w:rFonts w:ascii="Times New Roman" w:hAnsi="Times New Roman" w:cs="Times New Roman"/>
                <w:i/>
                <w:lang w:val="pt-BR"/>
              </w:rPr>
              <w:t>instituției de credit</w:t>
            </w:r>
            <w:r w:rsidRPr="009E686F">
              <w:rPr>
                <w:rFonts w:ascii="Times New Roman" w:hAnsi="Times New Roman" w:cs="Times New Roman"/>
                <w:lang w:val="pt-BR"/>
              </w:rPr>
              <w:t>, a unuia sau mai multor acţionari ai acesteia sau a Băncii Naţionale a Moldovei, să suspende contractul pe un termen stabilit de prima;</w:t>
            </w:r>
          </w:p>
          <w:p w14:paraId="24E883B7" w14:textId="77777777" w:rsidR="00261C3C" w:rsidRPr="009E686F" w:rsidRDefault="00261C3C" w:rsidP="00EC348D">
            <w:pPr>
              <w:spacing w:after="0"/>
              <w:jc w:val="both"/>
              <w:rPr>
                <w:rFonts w:ascii="Times New Roman" w:hAnsi="Times New Roman" w:cs="Times New Roman"/>
                <w:lang w:val="pt-BR"/>
              </w:rPr>
            </w:pPr>
            <w:r w:rsidRPr="009E686F">
              <w:rPr>
                <w:rFonts w:ascii="Times New Roman" w:hAnsi="Times New Roman" w:cs="Times New Roman"/>
                <w:lang w:val="pt-BR"/>
              </w:rPr>
              <w:t xml:space="preserve">b) Banca Naţională a Moldovei poate dispune </w:t>
            </w:r>
            <w:r w:rsidRPr="009E686F">
              <w:rPr>
                <w:rFonts w:ascii="Times New Roman" w:hAnsi="Times New Roman" w:cs="Times New Roman"/>
                <w:i/>
                <w:lang w:val="pt-BR"/>
              </w:rPr>
              <w:t xml:space="preserve">instituției de credit </w:t>
            </w:r>
            <w:r w:rsidRPr="009E686F">
              <w:rPr>
                <w:rFonts w:ascii="Times New Roman" w:hAnsi="Times New Roman" w:cs="Times New Roman"/>
                <w:lang w:val="pt-BR"/>
              </w:rPr>
              <w:t xml:space="preserve">măsurile de supraveghere </w:t>
            </w:r>
            <w:r w:rsidRPr="009E686F">
              <w:rPr>
                <w:rFonts w:ascii="Times New Roman" w:hAnsi="Times New Roman" w:cs="Times New Roman"/>
                <w:lang w:val="pt-BR"/>
              </w:rPr>
              <w:lastRenderedPageBreak/>
              <w:t>prevăzute de art.139 şi/sau aplica sancţiunile prevăzute la art.141.</w:t>
            </w:r>
          </w:p>
          <w:p w14:paraId="0711CAAB" w14:textId="77777777" w:rsidR="00261C3C" w:rsidRPr="009E686F" w:rsidRDefault="00261C3C" w:rsidP="00EC348D">
            <w:pPr>
              <w:spacing w:after="0"/>
              <w:jc w:val="both"/>
              <w:rPr>
                <w:rFonts w:ascii="Times New Roman" w:hAnsi="Times New Roman" w:cs="Times New Roman"/>
                <w:lang w:val="pt-BR"/>
              </w:rPr>
            </w:pPr>
            <w:r w:rsidRPr="009E686F">
              <w:rPr>
                <w:rFonts w:ascii="Times New Roman" w:hAnsi="Times New Roman" w:cs="Times New Roman"/>
                <w:lang w:val="pt-BR"/>
              </w:rPr>
              <w:t xml:space="preserve">(6) Independent de obligaţiile enumerate la art.96 alin.(5), membrul organului de conducere sau persoana care deţine funcţie-cheie în cadrul </w:t>
            </w:r>
            <w:r w:rsidRPr="009E686F">
              <w:rPr>
                <w:rFonts w:ascii="Times New Roman" w:hAnsi="Times New Roman" w:cs="Times New Roman"/>
                <w:i/>
                <w:lang w:val="pt-BR"/>
              </w:rPr>
              <w:t>instituției de credit</w:t>
            </w:r>
            <w:r w:rsidRPr="009E686F">
              <w:rPr>
                <w:rFonts w:ascii="Times New Roman" w:hAnsi="Times New Roman" w:cs="Times New Roman"/>
                <w:lang w:val="pt-BR"/>
              </w:rPr>
              <w:t xml:space="preserve"> are obligaţia faţă de </w:t>
            </w:r>
            <w:r w:rsidRPr="009E686F">
              <w:rPr>
                <w:rFonts w:ascii="Times New Roman" w:hAnsi="Times New Roman" w:cs="Times New Roman"/>
                <w:i/>
                <w:lang w:val="pt-BR"/>
              </w:rPr>
              <w:t>instituția de credit</w:t>
            </w:r>
            <w:r w:rsidRPr="009E686F">
              <w:rPr>
                <w:rFonts w:ascii="Times New Roman" w:hAnsi="Times New Roman" w:cs="Times New Roman"/>
                <w:lang w:val="pt-BR"/>
              </w:rPr>
              <w:t xml:space="preserve"> în care îşi desfăşoară activitatea şi faţă de clienţii </w:t>
            </w:r>
            <w:r w:rsidRPr="009E686F">
              <w:rPr>
                <w:rFonts w:ascii="Times New Roman" w:hAnsi="Times New Roman" w:cs="Times New Roman"/>
                <w:i/>
                <w:lang w:val="pt-BR"/>
              </w:rPr>
              <w:t>instituției de credit</w:t>
            </w:r>
            <w:r w:rsidRPr="009E686F">
              <w:rPr>
                <w:rFonts w:ascii="Times New Roman" w:hAnsi="Times New Roman" w:cs="Times New Roman"/>
                <w:lang w:val="pt-BR"/>
              </w:rPr>
              <w:t xml:space="preserve"> de a pune interesele </w:t>
            </w:r>
            <w:r w:rsidRPr="009E686F">
              <w:rPr>
                <w:rFonts w:ascii="Times New Roman" w:hAnsi="Times New Roman" w:cs="Times New Roman"/>
                <w:i/>
                <w:lang w:val="pt-BR"/>
              </w:rPr>
              <w:t>instituției de credit</w:t>
            </w:r>
            <w:r w:rsidRPr="009E686F">
              <w:rPr>
                <w:rFonts w:ascii="Times New Roman" w:hAnsi="Times New Roman" w:cs="Times New Roman"/>
                <w:lang w:val="pt-BR"/>
              </w:rPr>
              <w:t xml:space="preserve"> şi ale clienţilor mai presus de interesul pecuniar propriu.</w:t>
            </w:r>
          </w:p>
          <w:p w14:paraId="5098A4AA" w14:textId="77777777" w:rsidR="00261C3C" w:rsidRPr="009E686F" w:rsidRDefault="00261C3C" w:rsidP="00EC348D">
            <w:pPr>
              <w:spacing w:after="0"/>
              <w:jc w:val="center"/>
              <w:rPr>
                <w:rFonts w:ascii="Times New Roman" w:hAnsi="Times New Roman" w:cs="Times New Roman"/>
                <w:b/>
                <w:lang w:val="pt-BR"/>
              </w:rPr>
            </w:pPr>
          </w:p>
        </w:tc>
        <w:tc>
          <w:tcPr>
            <w:tcW w:w="471" w:type="pct"/>
            <w:tcBorders>
              <w:top w:val="single" w:sz="4" w:space="0" w:color="auto"/>
              <w:left w:val="single" w:sz="4" w:space="0" w:color="auto"/>
              <w:bottom w:val="single" w:sz="4" w:space="0" w:color="auto"/>
              <w:right w:val="single" w:sz="4" w:space="0" w:color="auto"/>
            </w:tcBorders>
          </w:tcPr>
          <w:p w14:paraId="0AF1DD7C" w14:textId="77777777" w:rsidR="00261C3C" w:rsidRPr="009E686F" w:rsidRDefault="00261C3C" w:rsidP="00EC348D">
            <w:pPr>
              <w:jc w:val="both"/>
              <w:rPr>
                <w:rFonts w:ascii="Times New Roman" w:hAnsi="Times New Roman" w:cs="Times New Roman"/>
                <w:lang w:val="ro-RO"/>
              </w:rPr>
            </w:pPr>
            <w:r w:rsidRPr="009E686F">
              <w:rPr>
                <w:rFonts w:ascii="Times New Roman" w:hAnsi="Times New Roman" w:cs="Times New Roman"/>
                <w:lang w:val="ro-RO"/>
              </w:rPr>
              <w:lastRenderedPageBreak/>
              <w:t>Compatibil</w:t>
            </w:r>
          </w:p>
        </w:tc>
        <w:tc>
          <w:tcPr>
            <w:tcW w:w="1558" w:type="pct"/>
            <w:gridSpan w:val="3"/>
            <w:tcBorders>
              <w:top w:val="single" w:sz="4" w:space="0" w:color="auto"/>
              <w:left w:val="single" w:sz="4" w:space="0" w:color="auto"/>
              <w:bottom w:val="single" w:sz="4" w:space="0" w:color="auto"/>
              <w:right w:val="single" w:sz="4" w:space="0" w:color="auto"/>
            </w:tcBorders>
          </w:tcPr>
          <w:p w14:paraId="7BCA9BB6" w14:textId="77777777" w:rsidR="00261C3C" w:rsidRPr="009E686F" w:rsidRDefault="00261C3C" w:rsidP="00EC348D">
            <w:pPr>
              <w:jc w:val="both"/>
              <w:rPr>
                <w:rFonts w:ascii="Times New Roman" w:hAnsi="Times New Roman" w:cs="Times New Roman"/>
                <w:lang w:val="ro-RO"/>
              </w:rPr>
            </w:pPr>
            <w:r w:rsidRPr="009E686F">
              <w:rPr>
                <w:rFonts w:ascii="Times New Roman" w:hAnsi="Times New Roman" w:cs="Times New Roman"/>
                <w:lang w:val="ro-RO"/>
              </w:rPr>
              <w:t>Norme cu specific național din Legea nr. 202/2017 care dezvoltă cerințele de guvernanță în legătură cu prevenirea și combaterea spălării banilor, păstrării confidențialității asupra tuturor faptelor, datelor și informațiilor referitoare la activitatea instituțiilor de credit  și conflictelor de interese a acesteia, care trebuie să fie dezvoltate în cadrul de administrare a instituțiilor de credit.</w:t>
            </w:r>
          </w:p>
        </w:tc>
      </w:tr>
      <w:tr w:rsidR="00261C3C" w:rsidRPr="009E686F" w14:paraId="516BB9EA" w14:textId="77777777" w:rsidTr="00EC348D">
        <w:tc>
          <w:tcPr>
            <w:tcW w:w="1420" w:type="pct"/>
            <w:tcBorders>
              <w:top w:val="single" w:sz="4" w:space="0" w:color="auto"/>
              <w:left w:val="single" w:sz="4" w:space="0" w:color="auto"/>
              <w:bottom w:val="single" w:sz="4" w:space="0" w:color="auto"/>
              <w:right w:val="single" w:sz="4" w:space="0" w:color="auto"/>
            </w:tcBorders>
          </w:tcPr>
          <w:p w14:paraId="5BB2FE5D" w14:textId="77777777" w:rsidR="00261C3C" w:rsidRPr="009E686F" w:rsidRDefault="00261C3C" w:rsidP="00EC348D">
            <w:pPr>
              <w:spacing w:after="0"/>
              <w:jc w:val="both"/>
              <w:rPr>
                <w:rFonts w:ascii="Times New Roman" w:hAnsi="Times New Roman" w:cs="Times New Roman"/>
                <w:lang w:val="ro-RO"/>
              </w:rPr>
            </w:pPr>
          </w:p>
        </w:tc>
        <w:tc>
          <w:tcPr>
            <w:tcW w:w="1551" w:type="pct"/>
            <w:gridSpan w:val="2"/>
            <w:tcBorders>
              <w:top w:val="single" w:sz="4" w:space="0" w:color="auto"/>
              <w:left w:val="single" w:sz="4" w:space="0" w:color="auto"/>
              <w:bottom w:val="single" w:sz="4" w:space="0" w:color="auto"/>
              <w:right w:val="single" w:sz="4" w:space="0" w:color="auto"/>
            </w:tcBorders>
          </w:tcPr>
          <w:p w14:paraId="7CD51E88" w14:textId="77777777" w:rsidR="00261C3C" w:rsidRPr="009E686F" w:rsidRDefault="00261C3C" w:rsidP="00EC348D">
            <w:pPr>
              <w:spacing w:after="0"/>
              <w:jc w:val="both"/>
              <w:rPr>
                <w:rFonts w:ascii="Times New Roman" w:hAnsi="Times New Roman" w:cs="Times New Roman"/>
                <w:lang w:val="ro-RO"/>
              </w:rPr>
            </w:pPr>
            <w:r w:rsidRPr="009E686F">
              <w:rPr>
                <w:rFonts w:ascii="Times New Roman" w:hAnsi="Times New Roman" w:cs="Times New Roman"/>
                <w:b/>
                <w:lang w:val="ro-RO"/>
              </w:rPr>
              <w:t>Articolul 144</w:t>
            </w:r>
            <w:r w:rsidRPr="009E686F">
              <w:rPr>
                <w:rFonts w:ascii="Times New Roman" w:hAnsi="Times New Roman" w:cs="Times New Roman"/>
                <w:b/>
                <w:vertAlign w:val="superscript"/>
                <w:lang w:val="ro-RO"/>
              </w:rPr>
              <w:t>1</w:t>
            </w:r>
            <w:r w:rsidRPr="009E686F">
              <w:rPr>
                <w:rFonts w:ascii="Times New Roman" w:hAnsi="Times New Roman" w:cs="Times New Roman"/>
                <w:b/>
                <w:lang w:val="ro-RO"/>
              </w:rPr>
              <w:t>.</w:t>
            </w:r>
            <w:r w:rsidRPr="009E686F">
              <w:rPr>
                <w:rFonts w:ascii="Times New Roman" w:hAnsi="Times New Roman" w:cs="Times New Roman"/>
                <w:lang w:val="ro-RO"/>
              </w:rPr>
              <w:t xml:space="preserve"> Particularităţile răspunderii pentru prejudiciul cauzat prin actul administrativ ilegal al Băncii Naţionale a Moldovei emis în aplicarea prezentei legi sau prin nesoluţionarea în termenul legal a unei cereri de către aceasta cu privire la aplicarea prezentei legi</w:t>
            </w:r>
          </w:p>
          <w:p w14:paraId="17014510" w14:textId="77777777" w:rsidR="00261C3C" w:rsidRPr="009E686F" w:rsidRDefault="00261C3C" w:rsidP="00EC348D">
            <w:pPr>
              <w:spacing w:after="0"/>
              <w:jc w:val="both"/>
              <w:rPr>
                <w:rFonts w:ascii="Times New Roman" w:hAnsi="Times New Roman" w:cs="Times New Roman"/>
                <w:lang w:val="ro-RO"/>
              </w:rPr>
            </w:pPr>
            <w:r w:rsidRPr="009E686F">
              <w:rPr>
                <w:rFonts w:ascii="Times New Roman" w:hAnsi="Times New Roman" w:cs="Times New Roman"/>
                <w:lang w:val="ro-RO"/>
              </w:rPr>
              <w:t>(1) Repararea prejudiciului cauzat prin actul administrativ ilegal al Băncii Naţionale a Moldovei emis în aplicarea prezentei legi sau prin nesoluţionarea în termenul legal a unei cereri de către aceasta cu privire la aplicarea prezentei legi poate fi solicitată prin depunerea unei cereri în acest sens la Banca Naţională a Moldovei:</w:t>
            </w:r>
          </w:p>
          <w:p w14:paraId="26C341D1" w14:textId="77777777" w:rsidR="00261C3C" w:rsidRPr="009E686F" w:rsidRDefault="00261C3C" w:rsidP="00EC348D">
            <w:pPr>
              <w:spacing w:after="0"/>
              <w:jc w:val="both"/>
              <w:rPr>
                <w:rFonts w:ascii="Times New Roman" w:hAnsi="Times New Roman" w:cs="Times New Roman"/>
                <w:lang w:val="pt-BR"/>
              </w:rPr>
            </w:pPr>
            <w:r w:rsidRPr="009E686F">
              <w:rPr>
                <w:rFonts w:ascii="Times New Roman" w:hAnsi="Times New Roman" w:cs="Times New Roman"/>
                <w:lang w:val="pt-BR"/>
              </w:rPr>
              <w:t>a) concomitent cu cererea prealabilă; sau</w:t>
            </w:r>
          </w:p>
          <w:p w14:paraId="2BC0C1F3" w14:textId="77777777" w:rsidR="00261C3C" w:rsidRPr="009E686F" w:rsidRDefault="00261C3C" w:rsidP="00EC348D">
            <w:pPr>
              <w:spacing w:after="0"/>
              <w:jc w:val="both"/>
              <w:rPr>
                <w:rFonts w:ascii="Times New Roman" w:hAnsi="Times New Roman" w:cs="Times New Roman"/>
                <w:lang w:val="pt-BR"/>
              </w:rPr>
            </w:pPr>
            <w:r w:rsidRPr="009E686F">
              <w:rPr>
                <w:rFonts w:ascii="Times New Roman" w:hAnsi="Times New Roman" w:cs="Times New Roman"/>
                <w:lang w:val="pt-BR"/>
              </w:rPr>
              <w:t xml:space="preserve">b) în termen de 30 de zile de la data la care a rămas irevocabilă hotărârea instanţei de judecată prin care s-a anulat actul administrativ ilegal ori a fost soluţionată cererea, dar nu s-a decis cu privire la repararea prejudiciului, sau, în cazul în care actul administrativ a fost anulat de către Banca Naţională a Moldovei, în termen de 30 de zile de la data la </w:t>
            </w:r>
            <w:r w:rsidRPr="009E686F">
              <w:rPr>
                <w:rFonts w:ascii="Times New Roman" w:hAnsi="Times New Roman" w:cs="Times New Roman"/>
                <w:lang w:val="pt-BR"/>
              </w:rPr>
              <w:lastRenderedPageBreak/>
              <w:t>care decizia cu privire la anularea actului administrativ ilegal a rămas incontestabilă.</w:t>
            </w:r>
          </w:p>
          <w:p w14:paraId="1CDD44A5" w14:textId="77777777" w:rsidR="00261C3C" w:rsidRPr="009E686F" w:rsidRDefault="00261C3C" w:rsidP="00EC348D">
            <w:pPr>
              <w:spacing w:after="0"/>
              <w:jc w:val="both"/>
              <w:rPr>
                <w:rFonts w:ascii="Times New Roman" w:hAnsi="Times New Roman" w:cs="Times New Roman"/>
                <w:lang w:val="it-CH"/>
              </w:rPr>
            </w:pPr>
            <w:r w:rsidRPr="009E686F">
              <w:rPr>
                <w:rFonts w:ascii="Times New Roman" w:hAnsi="Times New Roman" w:cs="Times New Roman"/>
                <w:lang w:val="it-CH"/>
              </w:rPr>
              <w:t>(2) În termen de 30 de zile de la data depunerii cererii la Banca Naţională a Moldovei, aceasta decide în privinţa cererii prevăzute la alin.(1).</w:t>
            </w:r>
          </w:p>
          <w:p w14:paraId="6F9F3EB6" w14:textId="77777777" w:rsidR="00261C3C" w:rsidRPr="009E686F" w:rsidRDefault="00261C3C" w:rsidP="00EC348D">
            <w:pPr>
              <w:spacing w:after="0"/>
              <w:jc w:val="both"/>
              <w:rPr>
                <w:rFonts w:ascii="Times New Roman" w:hAnsi="Times New Roman" w:cs="Times New Roman"/>
                <w:lang w:val="it-CH"/>
              </w:rPr>
            </w:pPr>
            <w:r w:rsidRPr="009E686F">
              <w:rPr>
                <w:rFonts w:ascii="Times New Roman" w:hAnsi="Times New Roman" w:cs="Times New Roman"/>
                <w:lang w:val="it-CH"/>
              </w:rPr>
              <w:t>(3) Acţiunile privind repararea prejudiciului cauzat prin actul administrativ ilegal al Băncii Naţionale a Moldovei emis în aplicarea prezentei legi sau prin nesoluţionarea în termenul legal a unei cereri de către aceasta cu privire la aplicarea prezentei legi se înaintează în instanţa de judecată cu condiţia respectării obligatorii a procedurii prevăzute la alin.(1) şi (2).</w:t>
            </w:r>
          </w:p>
          <w:p w14:paraId="4B35C4FA" w14:textId="77777777" w:rsidR="00261C3C" w:rsidRPr="009E686F" w:rsidRDefault="00261C3C" w:rsidP="00EC348D">
            <w:pPr>
              <w:spacing w:after="0"/>
              <w:jc w:val="both"/>
              <w:rPr>
                <w:rFonts w:ascii="Times New Roman" w:hAnsi="Times New Roman" w:cs="Times New Roman"/>
                <w:lang w:val="it-CH"/>
              </w:rPr>
            </w:pPr>
            <w:r w:rsidRPr="009E686F">
              <w:rPr>
                <w:rFonts w:ascii="Times New Roman" w:hAnsi="Times New Roman" w:cs="Times New Roman"/>
                <w:lang w:val="it-CH"/>
              </w:rPr>
              <w:t>(4) Obligaţia de reparare a prejudiciului cauzat nu se naşte în măsura în care cel prejudiciat a omis, cu intenţie ori din culpă, să înlăture prejudiciul prin mijloace legale.</w:t>
            </w:r>
          </w:p>
          <w:p w14:paraId="68D28435" w14:textId="77777777" w:rsidR="00261C3C" w:rsidRPr="009E686F" w:rsidRDefault="00261C3C" w:rsidP="00EC348D">
            <w:pPr>
              <w:spacing w:after="0"/>
              <w:jc w:val="both"/>
              <w:rPr>
                <w:rFonts w:ascii="Times New Roman" w:hAnsi="Times New Roman" w:cs="Times New Roman"/>
                <w:lang w:val="it-CH"/>
              </w:rPr>
            </w:pPr>
            <w:r w:rsidRPr="009E686F">
              <w:rPr>
                <w:rFonts w:ascii="Times New Roman" w:hAnsi="Times New Roman" w:cs="Times New Roman"/>
                <w:lang w:val="it-CH"/>
              </w:rPr>
              <w:t>(5) Până la proba contrară se prezumă că actele Băncii Naţionale a Moldovei emise în aplicarea prezentei legi urmăresc interesul public în asigurarea stabilităţii şi viabilităţii sistemului bancar.</w:t>
            </w:r>
          </w:p>
          <w:p w14:paraId="6F26D9D7" w14:textId="77777777" w:rsidR="00261C3C" w:rsidRPr="009E686F" w:rsidRDefault="00261C3C" w:rsidP="00EC348D">
            <w:pPr>
              <w:spacing w:after="0"/>
              <w:jc w:val="both"/>
              <w:rPr>
                <w:rFonts w:ascii="Times New Roman" w:hAnsi="Times New Roman" w:cs="Times New Roman"/>
                <w:lang w:val="it-CH"/>
              </w:rPr>
            </w:pPr>
            <w:r w:rsidRPr="009E686F">
              <w:rPr>
                <w:rFonts w:ascii="Times New Roman" w:hAnsi="Times New Roman" w:cs="Times New Roman"/>
                <w:lang w:val="it-CH"/>
              </w:rPr>
              <w:t xml:space="preserve">(6) Mărimea prejudiciului patrimonial cauzat acţionarilor </w:t>
            </w:r>
            <w:r w:rsidRPr="009E686F">
              <w:rPr>
                <w:rFonts w:ascii="Times New Roman" w:hAnsi="Times New Roman" w:cs="Times New Roman"/>
                <w:i/>
                <w:iCs/>
                <w:lang w:val="it-CH"/>
              </w:rPr>
              <w:t>instituției de credit</w:t>
            </w:r>
            <w:r w:rsidRPr="009E686F">
              <w:rPr>
                <w:rFonts w:ascii="Times New Roman" w:hAnsi="Times New Roman" w:cs="Times New Roman"/>
                <w:lang w:val="it-CH"/>
              </w:rPr>
              <w:t>, faţă de care au devenit incidente prevederile art.45 alin.(2) şi (4), art.46 alin.(4), art.52 alin.(2), (3), (4), (6) şi art.52</w:t>
            </w:r>
            <w:r w:rsidRPr="009E686F">
              <w:rPr>
                <w:rFonts w:ascii="Times New Roman" w:hAnsi="Times New Roman" w:cs="Times New Roman"/>
                <w:vertAlign w:val="superscript"/>
                <w:lang w:val="it-CH"/>
              </w:rPr>
              <w:t>1</w:t>
            </w:r>
            <w:r w:rsidRPr="009E686F">
              <w:rPr>
                <w:rFonts w:ascii="Times New Roman" w:hAnsi="Times New Roman" w:cs="Times New Roman"/>
                <w:lang w:val="it-CH"/>
              </w:rPr>
              <w:t xml:space="preserve"> prin actul administrativ ilegal al Băncii Naţionale a Moldovei, emis în vederea punerii în aplicare a prevederilor acestor articole, este determinată potrivit unei evaluări independente şi obiective, dispusă de către instanţa de judecată pe al cărei rol se află cauza cu privire la repararea prejudiciului. </w:t>
            </w:r>
            <w:r w:rsidRPr="009E686F">
              <w:rPr>
                <w:rFonts w:ascii="Times New Roman" w:hAnsi="Times New Roman" w:cs="Times New Roman"/>
                <w:lang w:val="it-CH"/>
              </w:rPr>
              <w:lastRenderedPageBreak/>
              <w:t>Evaluarea va fi efectuată de către o entitate de audit cu renume internaţional, care corespunde criteriilor stabilite de reglementările Băncii Naţionale a Moldovei emise în temeiul art.88 şi alin.(7) al prezentului articol.</w:t>
            </w:r>
          </w:p>
          <w:p w14:paraId="407FFF39" w14:textId="77777777" w:rsidR="00261C3C" w:rsidRPr="009E686F" w:rsidRDefault="00261C3C" w:rsidP="00EC348D">
            <w:pPr>
              <w:spacing w:after="0"/>
              <w:jc w:val="both"/>
              <w:rPr>
                <w:rFonts w:ascii="Times New Roman" w:hAnsi="Times New Roman" w:cs="Times New Roman"/>
                <w:lang w:val="it-CH"/>
              </w:rPr>
            </w:pPr>
            <w:r w:rsidRPr="009E686F">
              <w:rPr>
                <w:rFonts w:ascii="Times New Roman" w:hAnsi="Times New Roman" w:cs="Times New Roman"/>
                <w:lang w:val="it-CH"/>
              </w:rPr>
              <w:t>(7) În sensul alin.(6) al prezentului articol şi al art.144</w:t>
            </w:r>
            <w:r w:rsidRPr="009E686F">
              <w:rPr>
                <w:rFonts w:ascii="Times New Roman" w:hAnsi="Times New Roman" w:cs="Times New Roman"/>
                <w:vertAlign w:val="superscript"/>
                <w:lang w:val="it-CH"/>
              </w:rPr>
              <w:t>2</w:t>
            </w:r>
            <w:r w:rsidRPr="009E686F">
              <w:rPr>
                <w:rFonts w:ascii="Times New Roman" w:hAnsi="Times New Roman" w:cs="Times New Roman"/>
                <w:lang w:val="it-CH"/>
              </w:rPr>
              <w:t xml:space="preserve"> alin.(5), criteriile care trebuie să fie întrunite de o entitate de audit în scopul calificării acesteia drept o entitate de audit cu renume internaţional se stabilesc prin actele normative ale Băncii Naţionale a Moldovei.</w:t>
            </w:r>
          </w:p>
        </w:tc>
        <w:tc>
          <w:tcPr>
            <w:tcW w:w="471" w:type="pct"/>
            <w:tcBorders>
              <w:top w:val="single" w:sz="4" w:space="0" w:color="auto"/>
              <w:left w:val="single" w:sz="4" w:space="0" w:color="auto"/>
              <w:bottom w:val="single" w:sz="4" w:space="0" w:color="auto"/>
              <w:right w:val="single" w:sz="4" w:space="0" w:color="auto"/>
            </w:tcBorders>
          </w:tcPr>
          <w:p w14:paraId="096EF9C3" w14:textId="77777777" w:rsidR="00261C3C" w:rsidRPr="009E686F" w:rsidRDefault="00261C3C" w:rsidP="00EC348D">
            <w:pPr>
              <w:jc w:val="both"/>
              <w:rPr>
                <w:rFonts w:ascii="Times New Roman" w:hAnsi="Times New Roman" w:cs="Times New Roman"/>
                <w:lang w:val="ro-RO"/>
              </w:rPr>
            </w:pPr>
            <w:r w:rsidRPr="009E686F">
              <w:rPr>
                <w:rFonts w:ascii="Times New Roman" w:hAnsi="Times New Roman" w:cs="Times New Roman"/>
                <w:lang w:val="ro-RO"/>
              </w:rPr>
              <w:lastRenderedPageBreak/>
              <w:t>Compatibil</w:t>
            </w:r>
          </w:p>
        </w:tc>
        <w:tc>
          <w:tcPr>
            <w:tcW w:w="1558" w:type="pct"/>
            <w:gridSpan w:val="3"/>
            <w:tcBorders>
              <w:top w:val="single" w:sz="4" w:space="0" w:color="auto"/>
              <w:left w:val="single" w:sz="4" w:space="0" w:color="auto"/>
              <w:bottom w:val="single" w:sz="4" w:space="0" w:color="auto"/>
              <w:right w:val="single" w:sz="4" w:space="0" w:color="auto"/>
            </w:tcBorders>
          </w:tcPr>
          <w:p w14:paraId="01706F55" w14:textId="77777777" w:rsidR="00261C3C" w:rsidRPr="009E686F" w:rsidRDefault="00261C3C" w:rsidP="00EC348D">
            <w:pPr>
              <w:jc w:val="both"/>
              <w:rPr>
                <w:rFonts w:ascii="Times New Roman" w:hAnsi="Times New Roman" w:cs="Times New Roman"/>
                <w:lang w:val="ro-RO"/>
              </w:rPr>
            </w:pPr>
            <w:r w:rsidRPr="009E686F">
              <w:rPr>
                <w:rFonts w:ascii="Times New Roman" w:hAnsi="Times New Roman" w:cs="Times New Roman"/>
                <w:lang w:val="ro-RO"/>
              </w:rPr>
              <w:t>Norme procedurale cu specific național din Legea nr. 202/2017  care detaliază particularitățile răspunderii patrimoniale a BNM și procedura de reparare a prejudiciului cauzat prin actele administrative emise în aplicarea legislației prudențiale și care asigură aplicarea cadrului național de supraveghere.</w:t>
            </w:r>
          </w:p>
        </w:tc>
      </w:tr>
      <w:tr w:rsidR="00261C3C" w:rsidRPr="009E686F" w14:paraId="6522B83D" w14:textId="77777777" w:rsidTr="00EC348D">
        <w:tc>
          <w:tcPr>
            <w:tcW w:w="1420" w:type="pct"/>
            <w:tcBorders>
              <w:top w:val="single" w:sz="4" w:space="0" w:color="auto"/>
              <w:left w:val="single" w:sz="4" w:space="0" w:color="auto"/>
              <w:bottom w:val="single" w:sz="4" w:space="0" w:color="auto"/>
              <w:right w:val="single" w:sz="4" w:space="0" w:color="auto"/>
            </w:tcBorders>
          </w:tcPr>
          <w:p w14:paraId="2CC81C07" w14:textId="77777777" w:rsidR="00261C3C" w:rsidRPr="009E686F" w:rsidRDefault="00261C3C" w:rsidP="00EC348D">
            <w:pPr>
              <w:spacing w:after="0"/>
              <w:jc w:val="both"/>
              <w:rPr>
                <w:rFonts w:ascii="Times New Roman" w:hAnsi="Times New Roman" w:cs="Times New Roman"/>
                <w:lang w:val="ro-RO"/>
              </w:rPr>
            </w:pPr>
          </w:p>
        </w:tc>
        <w:tc>
          <w:tcPr>
            <w:tcW w:w="1551" w:type="pct"/>
            <w:gridSpan w:val="2"/>
            <w:tcBorders>
              <w:top w:val="single" w:sz="4" w:space="0" w:color="auto"/>
              <w:left w:val="single" w:sz="4" w:space="0" w:color="auto"/>
              <w:bottom w:val="single" w:sz="4" w:space="0" w:color="auto"/>
              <w:right w:val="single" w:sz="4" w:space="0" w:color="auto"/>
            </w:tcBorders>
          </w:tcPr>
          <w:p w14:paraId="13E80B91" w14:textId="77777777" w:rsidR="00261C3C" w:rsidRPr="009E686F" w:rsidRDefault="00261C3C" w:rsidP="00EC348D">
            <w:pPr>
              <w:spacing w:after="0"/>
              <w:jc w:val="both"/>
              <w:rPr>
                <w:rFonts w:ascii="Times New Roman" w:hAnsi="Times New Roman" w:cs="Times New Roman"/>
                <w:lang w:val="ro-RO"/>
              </w:rPr>
            </w:pPr>
            <w:r w:rsidRPr="009E686F">
              <w:rPr>
                <w:rFonts w:ascii="Times New Roman" w:hAnsi="Times New Roman" w:cs="Times New Roman"/>
                <w:b/>
                <w:lang w:val="ro-RO"/>
              </w:rPr>
              <w:t>Articolul 144</w:t>
            </w:r>
            <w:r w:rsidRPr="009E686F">
              <w:rPr>
                <w:rFonts w:ascii="Times New Roman" w:hAnsi="Times New Roman" w:cs="Times New Roman"/>
                <w:b/>
                <w:vertAlign w:val="superscript"/>
                <w:lang w:val="ro-RO"/>
              </w:rPr>
              <w:t>2</w:t>
            </w:r>
            <w:r w:rsidRPr="009E686F">
              <w:rPr>
                <w:rFonts w:ascii="Times New Roman" w:hAnsi="Times New Roman" w:cs="Times New Roman"/>
                <w:b/>
                <w:lang w:val="ro-RO"/>
              </w:rPr>
              <w:t>.</w:t>
            </w:r>
            <w:r w:rsidRPr="009E686F">
              <w:rPr>
                <w:rFonts w:ascii="Times New Roman" w:hAnsi="Times New Roman" w:cs="Times New Roman"/>
                <w:lang w:val="ro-RO"/>
              </w:rPr>
              <w:t xml:space="preserve"> Particularităţile determinării mărimii prejudiciului cauzat persoanei care deţinea calitatea de acţionar al </w:t>
            </w:r>
            <w:bookmarkStart w:id="48" w:name="_Hlk215572671"/>
            <w:r w:rsidRPr="009E686F">
              <w:rPr>
                <w:rFonts w:ascii="Times New Roman" w:hAnsi="Times New Roman" w:cs="Times New Roman"/>
                <w:i/>
                <w:lang w:val="ro-RO"/>
              </w:rPr>
              <w:t>instituției de credit</w:t>
            </w:r>
            <w:r w:rsidRPr="009E686F">
              <w:rPr>
                <w:rFonts w:ascii="Times New Roman" w:hAnsi="Times New Roman" w:cs="Times New Roman"/>
                <w:lang w:val="ro-RO"/>
              </w:rPr>
              <w:t xml:space="preserve"> </w:t>
            </w:r>
            <w:bookmarkEnd w:id="48"/>
            <w:r w:rsidRPr="009E686F">
              <w:rPr>
                <w:rFonts w:ascii="Times New Roman" w:hAnsi="Times New Roman" w:cs="Times New Roman"/>
                <w:lang w:val="ro-RO"/>
              </w:rPr>
              <w:t xml:space="preserve">prin actul administrativ ilegal al Băncii Naţionale a Moldovei privind retragerea autorizației instituției de credit şi iniţierea procesului de lichidare silită a </w:t>
            </w:r>
            <w:r w:rsidRPr="009E686F">
              <w:rPr>
                <w:rFonts w:ascii="Times New Roman" w:hAnsi="Times New Roman" w:cs="Times New Roman"/>
                <w:i/>
                <w:lang w:val="ro-RO"/>
              </w:rPr>
              <w:t>instituției de credit</w:t>
            </w:r>
            <w:r w:rsidRPr="009E686F">
              <w:rPr>
                <w:rFonts w:ascii="Times New Roman" w:hAnsi="Times New Roman" w:cs="Times New Roman"/>
                <w:lang w:val="ro-RO"/>
              </w:rPr>
              <w:t>.</w:t>
            </w:r>
          </w:p>
          <w:p w14:paraId="4810770B" w14:textId="77777777" w:rsidR="00261C3C" w:rsidRPr="009E686F" w:rsidRDefault="00261C3C" w:rsidP="00EC348D">
            <w:pPr>
              <w:spacing w:after="0"/>
              <w:jc w:val="both"/>
              <w:rPr>
                <w:rFonts w:ascii="Times New Roman" w:hAnsi="Times New Roman" w:cs="Times New Roman"/>
                <w:lang w:val="ro-RO"/>
              </w:rPr>
            </w:pPr>
            <w:r w:rsidRPr="009E686F">
              <w:rPr>
                <w:rFonts w:ascii="Times New Roman" w:hAnsi="Times New Roman" w:cs="Times New Roman"/>
                <w:lang w:val="ro-RO"/>
              </w:rPr>
              <w:t xml:space="preserve">(1) Persoana care deţinea calitatea de acţionar al </w:t>
            </w:r>
            <w:r w:rsidRPr="009E686F">
              <w:rPr>
                <w:rFonts w:ascii="Times New Roman" w:hAnsi="Times New Roman" w:cs="Times New Roman"/>
                <w:i/>
                <w:lang w:val="ro-RO"/>
              </w:rPr>
              <w:t>instituției de credit</w:t>
            </w:r>
            <w:r w:rsidRPr="009E686F">
              <w:rPr>
                <w:rFonts w:ascii="Times New Roman" w:hAnsi="Times New Roman" w:cs="Times New Roman"/>
                <w:lang w:val="ro-RO"/>
              </w:rPr>
              <w:t xml:space="preserve"> la data adoptării actului administrativ ilegal al Băncii Naţionale a Moldovei privind retragerea autorizației şi iniţierea procesului de lichidare silită a instituției de credit (în continuare – </w:t>
            </w:r>
            <w:r w:rsidRPr="009E686F">
              <w:rPr>
                <w:rFonts w:ascii="Times New Roman" w:hAnsi="Times New Roman" w:cs="Times New Roman"/>
                <w:i/>
                <w:lang w:val="ro-RO"/>
              </w:rPr>
              <w:t>fost acţionar</w:t>
            </w:r>
            <w:r w:rsidRPr="009E686F">
              <w:rPr>
                <w:rFonts w:ascii="Times New Roman" w:hAnsi="Times New Roman" w:cs="Times New Roman"/>
                <w:lang w:val="ro-RO"/>
              </w:rPr>
              <w:t>) poate cere repararea prejudiciului cauzat prin acest act, conform prevederilor legale aplicabile, ţinând cont de particularităţile prevăzute la art.144</w:t>
            </w:r>
            <w:r w:rsidRPr="009E686F">
              <w:rPr>
                <w:rFonts w:ascii="Times New Roman" w:hAnsi="Times New Roman" w:cs="Times New Roman"/>
                <w:vertAlign w:val="superscript"/>
                <w:lang w:val="ro-RO"/>
              </w:rPr>
              <w:t>1</w:t>
            </w:r>
            <w:r w:rsidRPr="009E686F">
              <w:rPr>
                <w:rFonts w:ascii="Times New Roman" w:hAnsi="Times New Roman" w:cs="Times New Roman"/>
                <w:lang w:val="ro-RO"/>
              </w:rPr>
              <w:t xml:space="preserve"> alin.(1)–(5), precum şi în prezentul articol.</w:t>
            </w:r>
          </w:p>
          <w:p w14:paraId="3AB3B1C5" w14:textId="77777777" w:rsidR="00261C3C" w:rsidRPr="009E686F" w:rsidRDefault="00261C3C" w:rsidP="00EC348D">
            <w:pPr>
              <w:spacing w:after="0"/>
              <w:jc w:val="both"/>
              <w:rPr>
                <w:rFonts w:ascii="Times New Roman" w:hAnsi="Times New Roman" w:cs="Times New Roman"/>
                <w:lang w:val="ro-RO"/>
              </w:rPr>
            </w:pPr>
            <w:r w:rsidRPr="009E686F">
              <w:rPr>
                <w:rFonts w:ascii="Times New Roman" w:hAnsi="Times New Roman" w:cs="Times New Roman"/>
                <w:lang w:val="ro-RO"/>
              </w:rPr>
              <w:t xml:space="preserve">(2) Mărimea despăgubirii pentru profitul ratat se determină în cuantumul venitului pe care fostul acţionar urma să îl primească efectiv, cu condiţia că actul administrativ al Băncii Naţionale a </w:t>
            </w:r>
            <w:r w:rsidRPr="009E686F">
              <w:rPr>
                <w:rFonts w:ascii="Times New Roman" w:hAnsi="Times New Roman" w:cs="Times New Roman"/>
                <w:lang w:val="ro-RO"/>
              </w:rPr>
              <w:lastRenderedPageBreak/>
              <w:t xml:space="preserve">Moldovei a constituit temeiul unic şi suficient care l-a privat pe fostul acţionar de posibilitatea de a-l primi. Profitul ratat se compensează doar în cazul în care acesta nu a fost luat în considerare la determinarea preţului acţiunilor </w:t>
            </w:r>
            <w:r w:rsidRPr="009E686F">
              <w:rPr>
                <w:rFonts w:ascii="Times New Roman" w:hAnsi="Times New Roman" w:cs="Times New Roman"/>
                <w:i/>
                <w:lang w:val="ro-RO"/>
              </w:rPr>
              <w:t>instituției de credit</w:t>
            </w:r>
            <w:r w:rsidRPr="009E686F">
              <w:rPr>
                <w:rFonts w:ascii="Times New Roman" w:hAnsi="Times New Roman" w:cs="Times New Roman"/>
                <w:lang w:val="ro-RO"/>
              </w:rPr>
              <w:t xml:space="preserve"> (în continuare – </w:t>
            </w:r>
            <w:r w:rsidRPr="009E686F">
              <w:rPr>
                <w:rFonts w:ascii="Times New Roman" w:hAnsi="Times New Roman" w:cs="Times New Roman"/>
                <w:i/>
                <w:lang w:val="ro-RO"/>
              </w:rPr>
              <w:t>preţul acţiunilor</w:t>
            </w:r>
            <w:r w:rsidRPr="009E686F">
              <w:rPr>
                <w:rFonts w:ascii="Times New Roman" w:hAnsi="Times New Roman" w:cs="Times New Roman"/>
                <w:lang w:val="ro-RO"/>
              </w:rPr>
              <w:t>).</w:t>
            </w:r>
          </w:p>
          <w:p w14:paraId="1AB7A511" w14:textId="77777777" w:rsidR="00261C3C" w:rsidRPr="009E686F" w:rsidRDefault="00261C3C" w:rsidP="00EC348D">
            <w:pPr>
              <w:spacing w:after="0"/>
              <w:jc w:val="both"/>
              <w:rPr>
                <w:rFonts w:ascii="Times New Roman" w:hAnsi="Times New Roman" w:cs="Times New Roman"/>
                <w:lang w:val="ro-RO"/>
              </w:rPr>
            </w:pPr>
            <w:r w:rsidRPr="009E686F">
              <w:rPr>
                <w:rFonts w:ascii="Times New Roman" w:hAnsi="Times New Roman" w:cs="Times New Roman"/>
                <w:lang w:val="ro-RO"/>
              </w:rPr>
              <w:t xml:space="preserve">(3) Dauna reală se determină potrivit preţului acţiunilor în ziua adoptării actului administrativ al Băncii Naţionale a Moldovei privind retragerea autorizației </w:t>
            </w:r>
            <w:r w:rsidRPr="009E686F">
              <w:rPr>
                <w:rFonts w:ascii="Times New Roman" w:hAnsi="Times New Roman" w:cs="Times New Roman"/>
                <w:i/>
                <w:lang w:val="ro-RO"/>
              </w:rPr>
              <w:t>instituției de credit</w:t>
            </w:r>
            <w:r w:rsidRPr="009E686F">
              <w:rPr>
                <w:rFonts w:ascii="Times New Roman" w:hAnsi="Times New Roman" w:cs="Times New Roman"/>
                <w:lang w:val="ro-RO"/>
              </w:rPr>
              <w:t xml:space="preserve"> şi iniţierea procesului de lichidare silită a </w:t>
            </w:r>
            <w:r w:rsidRPr="009E686F">
              <w:rPr>
                <w:rFonts w:ascii="Times New Roman" w:hAnsi="Times New Roman" w:cs="Times New Roman"/>
                <w:i/>
                <w:lang w:val="ro-RO"/>
              </w:rPr>
              <w:t>instituției de credit</w:t>
            </w:r>
            <w:r w:rsidRPr="009E686F">
              <w:rPr>
                <w:rFonts w:ascii="Times New Roman" w:hAnsi="Times New Roman" w:cs="Times New Roman"/>
                <w:lang w:val="ro-RO"/>
              </w:rPr>
              <w:t xml:space="preserve"> (în continuare – </w:t>
            </w:r>
            <w:r w:rsidRPr="009E686F">
              <w:rPr>
                <w:rFonts w:ascii="Times New Roman" w:hAnsi="Times New Roman" w:cs="Times New Roman"/>
                <w:i/>
                <w:lang w:val="ro-RO"/>
              </w:rPr>
              <w:t>data determinării</w:t>
            </w:r>
            <w:r w:rsidRPr="009E686F">
              <w:rPr>
                <w:rFonts w:ascii="Times New Roman" w:hAnsi="Times New Roman" w:cs="Times New Roman"/>
                <w:lang w:val="ro-RO"/>
              </w:rPr>
              <w:t>).</w:t>
            </w:r>
          </w:p>
          <w:p w14:paraId="12443021" w14:textId="77777777" w:rsidR="00261C3C" w:rsidRPr="009E686F" w:rsidRDefault="00261C3C" w:rsidP="00EC348D">
            <w:pPr>
              <w:spacing w:after="0"/>
              <w:jc w:val="both"/>
              <w:rPr>
                <w:rFonts w:ascii="Times New Roman" w:hAnsi="Times New Roman" w:cs="Times New Roman"/>
                <w:lang w:val="ro-RO"/>
              </w:rPr>
            </w:pPr>
            <w:r w:rsidRPr="009E686F">
              <w:rPr>
                <w:rFonts w:ascii="Times New Roman" w:hAnsi="Times New Roman" w:cs="Times New Roman"/>
                <w:lang w:val="ro-RO"/>
              </w:rPr>
              <w:t xml:space="preserve">(4) Preţul acţiunilor, prevăzut la alin.(3), reprezintă preţul pe care un potenţial cumpărător, care dispune de toată informaţia substanţială, l-ar fi plătit la data determinării, luând în considerare perspectivele instituției de credit şi ţinând cont de situaţia financiară reală a instituției de credit (inclusiv de capitalul reglementat, de lichiditatea şi de calitatea activelor), de modelul de afaceri al </w:t>
            </w:r>
            <w:r w:rsidRPr="009E686F">
              <w:rPr>
                <w:rFonts w:ascii="Times New Roman" w:hAnsi="Times New Roman" w:cs="Times New Roman"/>
                <w:i/>
                <w:lang w:val="ro-RO"/>
              </w:rPr>
              <w:t>instituției de credit</w:t>
            </w:r>
            <w:r w:rsidRPr="009E686F">
              <w:rPr>
                <w:rFonts w:ascii="Times New Roman" w:hAnsi="Times New Roman" w:cs="Times New Roman"/>
                <w:lang w:val="ro-RO"/>
              </w:rPr>
              <w:t xml:space="preserve"> şi de structura acesteia, precum şi de circumstanţele de pe piaţă (inclusiv accesul la lichidităţi şi costul de finanţare) şi situaţia macroeconomică.</w:t>
            </w:r>
          </w:p>
          <w:p w14:paraId="5CF7293E" w14:textId="77777777" w:rsidR="00261C3C" w:rsidRPr="009E686F" w:rsidRDefault="00261C3C" w:rsidP="00EC348D">
            <w:pPr>
              <w:spacing w:after="0"/>
              <w:jc w:val="both"/>
              <w:rPr>
                <w:rFonts w:ascii="Times New Roman" w:hAnsi="Times New Roman" w:cs="Times New Roman"/>
                <w:lang w:val="pt-BR"/>
              </w:rPr>
            </w:pPr>
            <w:r w:rsidRPr="009E686F">
              <w:rPr>
                <w:rFonts w:ascii="Times New Roman" w:hAnsi="Times New Roman" w:cs="Times New Roman"/>
                <w:lang w:val="ro-RO"/>
              </w:rPr>
              <w:t>(5) Preţul acţiunilor se determină potrivit evaluării situaţiei operaţiunilor financiare ale instituției de credit, efectuată de o entitate de audit cu renume internaţional care corespunde criteriilor stabilite de actele normative ale Băncii Naţionale a Moldovei emise în temeiul art.88 şi al art.144</w:t>
            </w:r>
            <w:r w:rsidRPr="009E686F">
              <w:rPr>
                <w:rFonts w:ascii="Times New Roman" w:hAnsi="Times New Roman" w:cs="Times New Roman"/>
                <w:vertAlign w:val="superscript"/>
                <w:lang w:val="ro-RO"/>
              </w:rPr>
              <w:t>1</w:t>
            </w:r>
            <w:r w:rsidRPr="009E686F">
              <w:rPr>
                <w:rFonts w:ascii="Times New Roman" w:hAnsi="Times New Roman" w:cs="Times New Roman"/>
                <w:lang w:val="ro-RO"/>
              </w:rPr>
              <w:t xml:space="preserve"> alin.(7). </w:t>
            </w:r>
            <w:r w:rsidRPr="009E686F">
              <w:rPr>
                <w:rFonts w:ascii="Times New Roman" w:hAnsi="Times New Roman" w:cs="Times New Roman"/>
                <w:lang w:val="pt-BR"/>
              </w:rPr>
              <w:t xml:space="preserve">Evaluarea respectivă este dispusă de instanţa de </w:t>
            </w:r>
            <w:r w:rsidRPr="009E686F">
              <w:rPr>
                <w:rFonts w:ascii="Times New Roman" w:hAnsi="Times New Roman" w:cs="Times New Roman"/>
                <w:lang w:val="pt-BR"/>
              </w:rPr>
              <w:lastRenderedPageBreak/>
              <w:t>judecată pe al cărei rol se află cauza cu privire la repararea prejudiciului.</w:t>
            </w:r>
          </w:p>
          <w:p w14:paraId="10F625C3" w14:textId="77777777" w:rsidR="00261C3C" w:rsidRPr="009E686F" w:rsidRDefault="00261C3C" w:rsidP="00EC348D">
            <w:pPr>
              <w:spacing w:after="0"/>
              <w:jc w:val="both"/>
              <w:rPr>
                <w:rFonts w:ascii="Times New Roman" w:hAnsi="Times New Roman" w:cs="Times New Roman"/>
                <w:lang w:val="pt-BR"/>
              </w:rPr>
            </w:pPr>
            <w:r w:rsidRPr="009E686F">
              <w:rPr>
                <w:rFonts w:ascii="Times New Roman" w:hAnsi="Times New Roman" w:cs="Times New Roman"/>
                <w:lang w:val="pt-BR"/>
              </w:rPr>
              <w:t xml:space="preserve">(6) Preţul acţiunilor este determinat în baza unei evaluări prudente şi realistice, efectuată potrivit standardelor şi tehnicilor de evaluare acceptate la nivel internaţional, luând în considerare particularităţile funcţionării </w:t>
            </w:r>
            <w:r w:rsidRPr="009E686F">
              <w:rPr>
                <w:rFonts w:ascii="Times New Roman" w:hAnsi="Times New Roman" w:cs="Times New Roman"/>
                <w:i/>
                <w:lang w:val="pt-BR"/>
              </w:rPr>
              <w:t>instituției de credit</w:t>
            </w:r>
            <w:r w:rsidRPr="009E686F">
              <w:rPr>
                <w:rFonts w:ascii="Times New Roman" w:hAnsi="Times New Roman" w:cs="Times New Roman"/>
                <w:lang w:val="pt-BR"/>
              </w:rPr>
              <w:t xml:space="preserve">, inclusiv cerinţele de capital reglementat, care urmează a fi respectate pentru continuarea desfăşurării activităţii  </w:t>
            </w:r>
            <w:r w:rsidRPr="009E686F">
              <w:rPr>
                <w:rFonts w:ascii="Times New Roman" w:hAnsi="Times New Roman" w:cs="Times New Roman"/>
                <w:i/>
                <w:lang w:val="pt-BR"/>
              </w:rPr>
              <w:t>instituției de credit</w:t>
            </w:r>
            <w:r w:rsidRPr="009E686F">
              <w:rPr>
                <w:rFonts w:ascii="Times New Roman" w:hAnsi="Times New Roman" w:cs="Times New Roman"/>
                <w:lang w:val="pt-BR"/>
              </w:rPr>
              <w:t>.</w:t>
            </w:r>
          </w:p>
          <w:p w14:paraId="4E137571" w14:textId="77777777" w:rsidR="00261C3C" w:rsidRPr="009E686F" w:rsidRDefault="00261C3C" w:rsidP="00EC348D">
            <w:pPr>
              <w:spacing w:after="0"/>
              <w:jc w:val="both"/>
              <w:rPr>
                <w:rFonts w:ascii="Times New Roman" w:hAnsi="Times New Roman" w:cs="Times New Roman"/>
                <w:lang w:val="pt-BR"/>
              </w:rPr>
            </w:pPr>
            <w:r w:rsidRPr="009E686F">
              <w:rPr>
                <w:rFonts w:ascii="Times New Roman" w:hAnsi="Times New Roman" w:cs="Times New Roman"/>
                <w:lang w:val="pt-BR"/>
              </w:rPr>
              <w:t xml:space="preserve">(7) În procesul de evaluare a performanţelor financiare şi economice ale instituției de credit la data determinării se va ţine cont de informaţiile cunoscute la data realizării evaluării, inclusiv de informaţiile obţinute după adoptarea de către Banca Naţională a Moldovei a hotărârii privind retragerea </w:t>
            </w:r>
            <w:r w:rsidRPr="009E686F">
              <w:rPr>
                <w:rFonts w:ascii="Times New Roman" w:hAnsi="Times New Roman" w:cs="Times New Roman"/>
                <w:i/>
                <w:lang w:val="pt-BR"/>
              </w:rPr>
              <w:t>autorizației instituției de credit</w:t>
            </w:r>
            <w:r w:rsidRPr="009E686F">
              <w:rPr>
                <w:rFonts w:ascii="Times New Roman" w:hAnsi="Times New Roman" w:cs="Times New Roman"/>
                <w:lang w:val="pt-BR"/>
              </w:rPr>
              <w:t xml:space="preserve"> şi iniţierea procedurii de lichidare silită a </w:t>
            </w:r>
            <w:r w:rsidRPr="009E686F">
              <w:rPr>
                <w:rFonts w:ascii="Times New Roman" w:hAnsi="Times New Roman" w:cs="Times New Roman"/>
                <w:i/>
                <w:lang w:val="pt-BR"/>
              </w:rPr>
              <w:t>instituției de credit</w:t>
            </w:r>
            <w:r w:rsidRPr="009E686F">
              <w:rPr>
                <w:rFonts w:ascii="Times New Roman" w:hAnsi="Times New Roman" w:cs="Times New Roman"/>
                <w:lang w:val="pt-BR"/>
              </w:rPr>
              <w:t xml:space="preserve">. Pentru evaluarea performanţelor financiare şi economice ale </w:t>
            </w:r>
            <w:r w:rsidRPr="009E686F">
              <w:rPr>
                <w:rFonts w:ascii="Times New Roman" w:hAnsi="Times New Roman" w:cs="Times New Roman"/>
                <w:i/>
                <w:lang w:val="pt-BR"/>
              </w:rPr>
              <w:t>instituției de credit</w:t>
            </w:r>
            <w:r w:rsidRPr="009E686F">
              <w:rPr>
                <w:rFonts w:ascii="Times New Roman" w:hAnsi="Times New Roman" w:cs="Times New Roman"/>
                <w:lang w:val="pt-BR"/>
              </w:rPr>
              <w:t xml:space="preserve"> la data determinării, entitatea de audit aplică standardele internaţionale de raportare financiară aplicabile </w:t>
            </w:r>
            <w:r w:rsidRPr="009E686F">
              <w:rPr>
                <w:rFonts w:ascii="Times New Roman" w:hAnsi="Times New Roman" w:cs="Times New Roman"/>
                <w:i/>
                <w:lang w:val="pt-BR"/>
              </w:rPr>
              <w:t>instituțiilor de credit</w:t>
            </w:r>
            <w:r w:rsidRPr="009E686F">
              <w:rPr>
                <w:rFonts w:ascii="Times New Roman" w:hAnsi="Times New Roman" w:cs="Times New Roman"/>
                <w:lang w:val="pt-BR"/>
              </w:rPr>
              <w:t>.</w:t>
            </w:r>
          </w:p>
          <w:p w14:paraId="5B8D5474" w14:textId="77777777" w:rsidR="00261C3C" w:rsidRPr="009E686F" w:rsidRDefault="00261C3C" w:rsidP="00EC348D">
            <w:pPr>
              <w:spacing w:after="0"/>
              <w:jc w:val="both"/>
              <w:rPr>
                <w:rFonts w:ascii="Times New Roman" w:hAnsi="Times New Roman" w:cs="Times New Roman"/>
                <w:lang w:val="pt-BR"/>
              </w:rPr>
            </w:pPr>
            <w:r w:rsidRPr="009E686F">
              <w:rPr>
                <w:rFonts w:ascii="Times New Roman" w:hAnsi="Times New Roman" w:cs="Times New Roman"/>
                <w:lang w:val="pt-BR"/>
              </w:rPr>
              <w:t xml:space="preserve">(8) În cazul în care, potrivit raportului auditorului, la data determinării, datoriile instituției de credit depăşesc activele acesteia, se consideră că instituția de credit nu poate opera pe o bază continuă şi că acţiunile respective nu prezintă nicio valoare pentru un cumpărător potenţial. În cazul în care, potrivit raportului auditorului, activele instituției de credit depăşesc datoriile acesteia, acest fapt nu </w:t>
            </w:r>
            <w:r w:rsidRPr="009E686F">
              <w:rPr>
                <w:rFonts w:ascii="Times New Roman" w:hAnsi="Times New Roman" w:cs="Times New Roman"/>
                <w:lang w:val="pt-BR"/>
              </w:rPr>
              <w:lastRenderedPageBreak/>
              <w:t>reprezintă în mod necesar un indicator suficient al existenţei prejudiciului patrimonial.</w:t>
            </w:r>
          </w:p>
          <w:p w14:paraId="57EDCF44" w14:textId="77777777" w:rsidR="00261C3C" w:rsidRPr="009E686F" w:rsidRDefault="00261C3C" w:rsidP="00EC348D">
            <w:pPr>
              <w:spacing w:after="0"/>
              <w:jc w:val="both"/>
              <w:rPr>
                <w:rFonts w:ascii="Times New Roman" w:hAnsi="Times New Roman" w:cs="Times New Roman"/>
                <w:lang w:val="pt-BR"/>
              </w:rPr>
            </w:pPr>
            <w:r w:rsidRPr="009E686F">
              <w:rPr>
                <w:rFonts w:ascii="Times New Roman" w:hAnsi="Times New Roman" w:cs="Times New Roman"/>
                <w:lang w:val="pt-BR"/>
              </w:rPr>
              <w:t xml:space="preserve">(9) În cazul în care legislaţia prevede aplicarea unor cerinţe mai puţin prudenţiale, pe o perioadă restrânsă de timp, în vederea stabilizării situaţiei </w:t>
            </w:r>
            <w:r w:rsidRPr="009E686F">
              <w:rPr>
                <w:rFonts w:ascii="Times New Roman" w:hAnsi="Times New Roman" w:cs="Times New Roman"/>
                <w:i/>
                <w:lang w:val="pt-BR"/>
              </w:rPr>
              <w:t>instituției de credit</w:t>
            </w:r>
            <w:r w:rsidRPr="009E686F">
              <w:rPr>
                <w:rFonts w:ascii="Times New Roman" w:hAnsi="Times New Roman" w:cs="Times New Roman"/>
                <w:lang w:val="pt-BR"/>
              </w:rPr>
              <w:t xml:space="preserve">, corespunderea </w:t>
            </w:r>
            <w:r w:rsidRPr="009E686F">
              <w:rPr>
                <w:rFonts w:ascii="Times New Roman" w:hAnsi="Times New Roman" w:cs="Times New Roman"/>
                <w:i/>
                <w:lang w:val="pt-BR"/>
              </w:rPr>
              <w:t>instituției de credit</w:t>
            </w:r>
            <w:r w:rsidRPr="009E686F">
              <w:rPr>
                <w:rFonts w:ascii="Times New Roman" w:hAnsi="Times New Roman" w:cs="Times New Roman"/>
                <w:lang w:val="pt-BR"/>
              </w:rPr>
              <w:t xml:space="preserve"> acestor exigenţe şi neaplicarea sancţiunilor de către Banca Naţională a Moldovei nu reprezintă o probă suficientă a unei valori pozitive a preţului acţiunilor.</w:t>
            </w:r>
          </w:p>
          <w:p w14:paraId="59353779" w14:textId="77777777" w:rsidR="00261C3C" w:rsidRPr="009E686F" w:rsidRDefault="00261C3C" w:rsidP="00EC348D">
            <w:pPr>
              <w:spacing w:after="0"/>
              <w:jc w:val="both"/>
              <w:rPr>
                <w:rFonts w:ascii="Times New Roman" w:hAnsi="Times New Roman" w:cs="Times New Roman"/>
                <w:lang w:val="pt-BR"/>
              </w:rPr>
            </w:pPr>
            <w:r w:rsidRPr="009E686F">
              <w:rPr>
                <w:rFonts w:ascii="Times New Roman" w:hAnsi="Times New Roman" w:cs="Times New Roman"/>
                <w:lang w:val="pt-BR"/>
              </w:rPr>
              <w:t>(10) În procesul de evaluare prevăzut la alin.(5) se ţine cont de următoarele ipoteze:</w:t>
            </w:r>
          </w:p>
          <w:p w14:paraId="699DF9A4" w14:textId="77777777" w:rsidR="00261C3C" w:rsidRPr="009E686F" w:rsidRDefault="00261C3C" w:rsidP="00EC348D">
            <w:pPr>
              <w:spacing w:after="0"/>
              <w:jc w:val="both"/>
              <w:rPr>
                <w:rFonts w:ascii="Times New Roman" w:hAnsi="Times New Roman" w:cs="Times New Roman"/>
                <w:lang w:val="pt-BR"/>
              </w:rPr>
            </w:pPr>
            <w:r w:rsidRPr="009E686F">
              <w:rPr>
                <w:rFonts w:ascii="Times New Roman" w:hAnsi="Times New Roman" w:cs="Times New Roman"/>
                <w:lang w:val="pt-BR"/>
              </w:rPr>
              <w:t xml:space="preserve">a) la data determinării, </w:t>
            </w:r>
            <w:r w:rsidRPr="009E686F">
              <w:rPr>
                <w:rFonts w:ascii="Times New Roman" w:hAnsi="Times New Roman" w:cs="Times New Roman"/>
                <w:i/>
                <w:lang w:val="pt-BR"/>
              </w:rPr>
              <w:t>instituția de credit</w:t>
            </w:r>
            <w:r w:rsidRPr="009E686F">
              <w:rPr>
                <w:rFonts w:ascii="Times New Roman" w:hAnsi="Times New Roman" w:cs="Times New Roman"/>
                <w:lang w:val="pt-BR"/>
              </w:rPr>
              <w:t xml:space="preserve"> trebuie să ramburseze imediat orice sprijin financiar public extraordinar care a fost recepţionat de către aceasta, precum şi orice lichiditate de urgenţă furnizată de către Banca Naţională a Moldovei </w:t>
            </w:r>
            <w:r w:rsidRPr="009E686F">
              <w:rPr>
                <w:rFonts w:ascii="Times New Roman" w:hAnsi="Times New Roman" w:cs="Times New Roman"/>
                <w:i/>
                <w:lang w:val="pt-BR"/>
              </w:rPr>
              <w:t>instituției de credit</w:t>
            </w:r>
            <w:r w:rsidRPr="009E686F">
              <w:rPr>
                <w:rFonts w:ascii="Times New Roman" w:hAnsi="Times New Roman" w:cs="Times New Roman"/>
                <w:lang w:val="pt-BR"/>
              </w:rPr>
              <w:t xml:space="preserve">, iar situaţia financiară a </w:t>
            </w:r>
            <w:r w:rsidRPr="009E686F">
              <w:rPr>
                <w:rFonts w:ascii="Times New Roman" w:hAnsi="Times New Roman" w:cs="Times New Roman"/>
                <w:i/>
                <w:lang w:val="pt-BR"/>
              </w:rPr>
              <w:t>instituției de credit</w:t>
            </w:r>
            <w:r w:rsidRPr="009E686F">
              <w:rPr>
                <w:rFonts w:ascii="Times New Roman" w:hAnsi="Times New Roman" w:cs="Times New Roman"/>
                <w:lang w:val="pt-BR"/>
              </w:rPr>
              <w:t xml:space="preserve"> trebuie evaluată ţinând cont de pierderile financiare pe care </w:t>
            </w:r>
            <w:r w:rsidRPr="009E686F">
              <w:rPr>
                <w:rFonts w:ascii="Times New Roman" w:hAnsi="Times New Roman" w:cs="Times New Roman"/>
                <w:i/>
                <w:lang w:val="pt-BR"/>
              </w:rPr>
              <w:t>instituția de credit</w:t>
            </w:r>
            <w:r w:rsidRPr="009E686F">
              <w:rPr>
                <w:rFonts w:ascii="Times New Roman" w:hAnsi="Times New Roman" w:cs="Times New Roman"/>
                <w:lang w:val="pt-BR"/>
              </w:rPr>
              <w:t xml:space="preserve"> le-ar fi suportat ca urmare a acestei rambursări;</w:t>
            </w:r>
          </w:p>
          <w:p w14:paraId="6C7EFCDD" w14:textId="77777777" w:rsidR="00261C3C" w:rsidRPr="009E686F" w:rsidRDefault="00261C3C" w:rsidP="00EC348D">
            <w:pPr>
              <w:spacing w:after="0"/>
              <w:jc w:val="both"/>
              <w:rPr>
                <w:rFonts w:ascii="Times New Roman" w:hAnsi="Times New Roman" w:cs="Times New Roman"/>
                <w:lang w:val="pt-BR"/>
              </w:rPr>
            </w:pPr>
            <w:r w:rsidRPr="009E686F">
              <w:rPr>
                <w:rFonts w:ascii="Times New Roman" w:hAnsi="Times New Roman" w:cs="Times New Roman"/>
                <w:lang w:val="pt-BR"/>
              </w:rPr>
              <w:t xml:space="preserve">b) după data determinării, nicio asistenţă de lichiditate sau niciun sprijin financiar public extraordinar nu urmează a fi furnizate de către autorităţile publice. În cazul în care au fost furnizate o astfel de asistenţă sau un astfel de sprijin, evaluarea perspectivelor </w:t>
            </w:r>
            <w:r w:rsidRPr="009E686F">
              <w:rPr>
                <w:rFonts w:ascii="Times New Roman" w:hAnsi="Times New Roman" w:cs="Times New Roman"/>
                <w:i/>
                <w:lang w:val="pt-BR"/>
              </w:rPr>
              <w:t>instituției de credit</w:t>
            </w:r>
            <w:r w:rsidRPr="009E686F">
              <w:rPr>
                <w:rFonts w:ascii="Times New Roman" w:hAnsi="Times New Roman" w:cs="Times New Roman"/>
                <w:lang w:val="pt-BR"/>
              </w:rPr>
              <w:t xml:space="preserve"> şi a indicatorilor de performanţă financiară şi economică trebuie să aibă la bază ipoteza că un suport de acest fel nu a fost oferit.</w:t>
            </w:r>
          </w:p>
          <w:p w14:paraId="5EB7A6E4" w14:textId="77777777" w:rsidR="00261C3C" w:rsidRPr="009E686F" w:rsidRDefault="00261C3C" w:rsidP="00EC348D">
            <w:pPr>
              <w:spacing w:after="0"/>
              <w:jc w:val="both"/>
              <w:rPr>
                <w:rFonts w:ascii="Times New Roman" w:hAnsi="Times New Roman" w:cs="Times New Roman"/>
                <w:lang w:val="pt-BR"/>
              </w:rPr>
            </w:pPr>
            <w:r w:rsidRPr="009E686F">
              <w:rPr>
                <w:rFonts w:ascii="Times New Roman" w:hAnsi="Times New Roman" w:cs="Times New Roman"/>
                <w:lang w:val="pt-BR"/>
              </w:rPr>
              <w:lastRenderedPageBreak/>
              <w:t xml:space="preserve">(11) Orice plăţi primite de fostul acţionar în procesul de lichidare a </w:t>
            </w:r>
            <w:r w:rsidRPr="009E686F">
              <w:rPr>
                <w:rFonts w:ascii="Times New Roman" w:hAnsi="Times New Roman" w:cs="Times New Roman"/>
                <w:i/>
                <w:lang w:val="pt-BR"/>
              </w:rPr>
              <w:t>instituției de credit</w:t>
            </w:r>
            <w:r w:rsidRPr="009E686F">
              <w:rPr>
                <w:rFonts w:ascii="Times New Roman" w:hAnsi="Times New Roman" w:cs="Times New Roman"/>
                <w:lang w:val="pt-BR"/>
              </w:rPr>
              <w:t xml:space="preserve"> se deduc din calculul prejudiciului.</w:t>
            </w:r>
          </w:p>
          <w:p w14:paraId="468A555D" w14:textId="77777777" w:rsidR="00261C3C" w:rsidRPr="009E686F" w:rsidRDefault="00261C3C" w:rsidP="00EC348D">
            <w:pPr>
              <w:spacing w:after="0"/>
              <w:jc w:val="both"/>
              <w:rPr>
                <w:rFonts w:ascii="Times New Roman" w:hAnsi="Times New Roman" w:cs="Times New Roman"/>
                <w:lang w:val="it-CH"/>
              </w:rPr>
            </w:pPr>
            <w:r w:rsidRPr="009E686F">
              <w:rPr>
                <w:rFonts w:ascii="Times New Roman" w:hAnsi="Times New Roman" w:cs="Times New Roman"/>
                <w:lang w:val="pt-BR"/>
              </w:rPr>
              <w:t xml:space="preserve">(12) Repararea prejudiciului se efectuează exclusiv în mijloace băneşti. </w:t>
            </w:r>
            <w:r w:rsidRPr="009E686F">
              <w:rPr>
                <w:rFonts w:ascii="Times New Roman" w:hAnsi="Times New Roman" w:cs="Times New Roman"/>
                <w:lang w:val="it-CH"/>
              </w:rPr>
              <w:t>Repararea prejudiciului în natură nu se admite.</w:t>
            </w:r>
          </w:p>
        </w:tc>
        <w:tc>
          <w:tcPr>
            <w:tcW w:w="471" w:type="pct"/>
            <w:tcBorders>
              <w:top w:val="single" w:sz="4" w:space="0" w:color="auto"/>
              <w:left w:val="single" w:sz="4" w:space="0" w:color="auto"/>
              <w:bottom w:val="single" w:sz="4" w:space="0" w:color="auto"/>
              <w:right w:val="single" w:sz="4" w:space="0" w:color="auto"/>
            </w:tcBorders>
          </w:tcPr>
          <w:p w14:paraId="43F9B723" w14:textId="77777777" w:rsidR="00261C3C" w:rsidRPr="009E686F" w:rsidRDefault="00261C3C" w:rsidP="00EC348D">
            <w:pPr>
              <w:jc w:val="both"/>
              <w:rPr>
                <w:rFonts w:ascii="Times New Roman" w:hAnsi="Times New Roman" w:cs="Times New Roman"/>
                <w:lang w:val="ro-RO"/>
              </w:rPr>
            </w:pPr>
            <w:r w:rsidRPr="009E686F">
              <w:rPr>
                <w:rFonts w:ascii="Times New Roman" w:hAnsi="Times New Roman" w:cs="Times New Roman"/>
                <w:lang w:val="ro-RO"/>
              </w:rPr>
              <w:lastRenderedPageBreak/>
              <w:t>Compatibil</w:t>
            </w:r>
          </w:p>
        </w:tc>
        <w:tc>
          <w:tcPr>
            <w:tcW w:w="1558" w:type="pct"/>
            <w:gridSpan w:val="3"/>
            <w:tcBorders>
              <w:top w:val="single" w:sz="4" w:space="0" w:color="auto"/>
              <w:left w:val="single" w:sz="4" w:space="0" w:color="auto"/>
              <w:bottom w:val="single" w:sz="4" w:space="0" w:color="auto"/>
              <w:right w:val="single" w:sz="4" w:space="0" w:color="auto"/>
            </w:tcBorders>
          </w:tcPr>
          <w:p w14:paraId="5DF39833" w14:textId="77777777" w:rsidR="00261C3C" w:rsidRPr="009E686F" w:rsidRDefault="00261C3C" w:rsidP="00EC348D">
            <w:pPr>
              <w:jc w:val="both"/>
              <w:rPr>
                <w:rFonts w:ascii="Times New Roman" w:hAnsi="Times New Roman" w:cs="Times New Roman"/>
                <w:lang w:val="ro-RO"/>
              </w:rPr>
            </w:pPr>
            <w:r w:rsidRPr="009E686F">
              <w:rPr>
                <w:rFonts w:ascii="Times New Roman" w:hAnsi="Times New Roman" w:cs="Times New Roman"/>
                <w:lang w:val="ro-RO"/>
              </w:rPr>
              <w:t>Norme specific național din Legea nr. 202/2017 care detaliază modul de determinare a prejudiciului suportat de acționarii unei instituții de credit reieșind din natura investiției lor, riscurile aferente activității acesteia, inclusiv efectele măsurilor prudențiale adoptate în interesul stabilității financiare. Scopul normelor este cel de asigurare a existenței dreptului la despăgubiri doar în cazul unui prejudiciu real, rezultat din caracterul nelegal al BNM, iar nu pentru simpla diminuare a valorii deținerii ca efect al unei măsuri prudențiale.</w:t>
            </w:r>
          </w:p>
        </w:tc>
      </w:tr>
      <w:tr w:rsidR="00261C3C" w:rsidRPr="008E61BA" w14:paraId="73CD7D1B" w14:textId="77777777" w:rsidTr="00EC348D">
        <w:tc>
          <w:tcPr>
            <w:tcW w:w="1420" w:type="pct"/>
            <w:tcBorders>
              <w:top w:val="single" w:sz="4" w:space="0" w:color="auto"/>
              <w:left w:val="single" w:sz="4" w:space="0" w:color="auto"/>
              <w:bottom w:val="single" w:sz="4" w:space="0" w:color="auto"/>
              <w:right w:val="single" w:sz="4" w:space="0" w:color="auto"/>
            </w:tcBorders>
          </w:tcPr>
          <w:p w14:paraId="0002E297" w14:textId="77777777" w:rsidR="00261C3C" w:rsidRPr="009E686F" w:rsidRDefault="00261C3C" w:rsidP="00EC348D">
            <w:pPr>
              <w:spacing w:after="0"/>
              <w:jc w:val="both"/>
              <w:rPr>
                <w:rFonts w:ascii="Times New Roman" w:hAnsi="Times New Roman" w:cs="Times New Roman"/>
                <w:lang w:val="ro-RO"/>
              </w:rPr>
            </w:pPr>
          </w:p>
        </w:tc>
        <w:tc>
          <w:tcPr>
            <w:tcW w:w="1551" w:type="pct"/>
            <w:gridSpan w:val="2"/>
            <w:tcBorders>
              <w:top w:val="single" w:sz="4" w:space="0" w:color="auto"/>
              <w:left w:val="single" w:sz="4" w:space="0" w:color="auto"/>
              <w:bottom w:val="single" w:sz="4" w:space="0" w:color="auto"/>
              <w:right w:val="single" w:sz="4" w:space="0" w:color="auto"/>
            </w:tcBorders>
          </w:tcPr>
          <w:p w14:paraId="09BB79F3" w14:textId="77777777" w:rsidR="00261C3C" w:rsidRPr="009E686F" w:rsidRDefault="00261C3C" w:rsidP="00EC348D">
            <w:pPr>
              <w:spacing w:after="0"/>
              <w:jc w:val="both"/>
              <w:rPr>
                <w:rFonts w:ascii="Times New Roman" w:hAnsi="Times New Roman" w:cs="Times New Roman"/>
                <w:lang w:val="ro-RO"/>
              </w:rPr>
            </w:pPr>
            <w:r w:rsidRPr="009E686F">
              <w:rPr>
                <w:rFonts w:ascii="Times New Roman" w:hAnsi="Times New Roman" w:cs="Times New Roman"/>
                <w:b/>
                <w:lang w:val="ro-RO"/>
              </w:rPr>
              <w:t>Articolul 145.</w:t>
            </w:r>
            <w:r w:rsidRPr="009E686F">
              <w:rPr>
                <w:rFonts w:ascii="Times New Roman" w:hAnsi="Times New Roman" w:cs="Times New Roman"/>
                <w:lang w:val="ro-RO"/>
              </w:rPr>
              <w:t xml:space="preserve"> Suspendarea executării actelor Băncii Naţionale a Moldovei</w:t>
            </w:r>
          </w:p>
          <w:p w14:paraId="78421081" w14:textId="77777777" w:rsidR="00261C3C" w:rsidRPr="009E686F" w:rsidRDefault="00261C3C" w:rsidP="00EC348D">
            <w:pPr>
              <w:tabs>
                <w:tab w:val="left" w:pos="1405"/>
              </w:tabs>
              <w:spacing w:after="0"/>
              <w:jc w:val="both"/>
              <w:rPr>
                <w:rFonts w:ascii="Times New Roman" w:hAnsi="Times New Roman" w:cs="Times New Roman"/>
                <w:b/>
                <w:lang w:val="ro-RO"/>
              </w:rPr>
            </w:pPr>
            <w:r w:rsidRPr="009E686F">
              <w:rPr>
                <w:rFonts w:ascii="Times New Roman" w:hAnsi="Times New Roman" w:cs="Times New Roman"/>
                <w:lang w:val="ro-RO"/>
              </w:rPr>
              <w:t>Suspendarea executării actelor Băncii Naţionale a Moldovei poate fi efectuată doar în conformitate cu prevederile art.11</w:t>
            </w:r>
            <w:r w:rsidRPr="009E686F">
              <w:rPr>
                <w:rFonts w:ascii="Times New Roman" w:hAnsi="Times New Roman" w:cs="Times New Roman"/>
                <w:vertAlign w:val="superscript"/>
                <w:lang w:val="ro-RO"/>
              </w:rPr>
              <w:t>1</w:t>
            </w:r>
            <w:r w:rsidRPr="009E686F">
              <w:rPr>
                <w:rFonts w:ascii="Times New Roman" w:hAnsi="Times New Roman" w:cs="Times New Roman"/>
                <w:lang w:val="ro-RO"/>
              </w:rPr>
              <w:t xml:space="preserve"> din Legea nr.548/1995 cu privire la Banca Naţională a Moldovei.</w:t>
            </w:r>
          </w:p>
        </w:tc>
        <w:tc>
          <w:tcPr>
            <w:tcW w:w="471" w:type="pct"/>
            <w:tcBorders>
              <w:top w:val="single" w:sz="4" w:space="0" w:color="auto"/>
              <w:left w:val="single" w:sz="4" w:space="0" w:color="auto"/>
              <w:bottom w:val="single" w:sz="4" w:space="0" w:color="auto"/>
              <w:right w:val="single" w:sz="4" w:space="0" w:color="auto"/>
            </w:tcBorders>
          </w:tcPr>
          <w:p w14:paraId="19801980" w14:textId="77777777" w:rsidR="00261C3C" w:rsidRPr="009E686F" w:rsidRDefault="00261C3C" w:rsidP="00EC348D">
            <w:pPr>
              <w:jc w:val="both"/>
              <w:rPr>
                <w:rFonts w:ascii="Times New Roman" w:hAnsi="Times New Roman" w:cs="Times New Roman"/>
                <w:lang w:val="ro-RO"/>
              </w:rPr>
            </w:pPr>
            <w:r w:rsidRPr="009E686F">
              <w:rPr>
                <w:rFonts w:ascii="Times New Roman" w:hAnsi="Times New Roman" w:cs="Times New Roman"/>
                <w:lang w:val="ro-RO"/>
              </w:rPr>
              <w:t>Compatibil</w:t>
            </w:r>
          </w:p>
        </w:tc>
        <w:tc>
          <w:tcPr>
            <w:tcW w:w="1558" w:type="pct"/>
            <w:gridSpan w:val="3"/>
            <w:tcBorders>
              <w:top w:val="single" w:sz="4" w:space="0" w:color="auto"/>
              <w:left w:val="single" w:sz="4" w:space="0" w:color="auto"/>
              <w:bottom w:val="single" w:sz="4" w:space="0" w:color="auto"/>
              <w:right w:val="single" w:sz="4" w:space="0" w:color="auto"/>
            </w:tcBorders>
          </w:tcPr>
          <w:p w14:paraId="625F0EF3" w14:textId="77777777" w:rsidR="00261C3C" w:rsidRPr="009E070A" w:rsidRDefault="00261C3C" w:rsidP="00EC348D">
            <w:pPr>
              <w:jc w:val="both"/>
              <w:rPr>
                <w:rFonts w:ascii="Times New Roman" w:hAnsi="Times New Roman" w:cs="Times New Roman"/>
                <w:lang w:val="ro-RO"/>
              </w:rPr>
            </w:pPr>
            <w:r w:rsidRPr="009E686F">
              <w:rPr>
                <w:rFonts w:ascii="Times New Roman" w:hAnsi="Times New Roman" w:cs="Times New Roman"/>
                <w:lang w:val="ro-RO"/>
              </w:rPr>
              <w:t>Norme procedurale cu specific național din Legea nr. 202/2017 care determină referința la Legea 548/1995 în cazul în care prin hotărâri judiciare se suspendă executarea actelor emise de BNM  .</w:t>
            </w:r>
            <w:bookmarkStart w:id="49" w:name="_GoBack"/>
            <w:bookmarkEnd w:id="49"/>
          </w:p>
        </w:tc>
      </w:tr>
    </w:tbl>
    <w:p w14:paraId="2D45662D" w14:textId="77777777" w:rsidR="00261C3C" w:rsidRPr="009E070A" w:rsidRDefault="00261C3C" w:rsidP="00261C3C">
      <w:pPr>
        <w:rPr>
          <w:rFonts w:ascii="Times New Roman" w:hAnsi="Times New Roman" w:cs="Times New Roman"/>
          <w:lang w:val="ro-RO"/>
        </w:rPr>
      </w:pPr>
    </w:p>
    <w:p w14:paraId="6850B8D0" w14:textId="77777777" w:rsidR="001F7815" w:rsidRPr="0030535B" w:rsidRDefault="001F7815">
      <w:pPr>
        <w:rPr>
          <w:rFonts w:ascii="Times New Roman" w:hAnsi="Times New Roman" w:cs="Times New Roman"/>
          <w:lang w:val="ro-RO"/>
        </w:rPr>
      </w:pPr>
    </w:p>
    <w:p w14:paraId="297DB7E0" w14:textId="77777777" w:rsidR="00981D92" w:rsidRPr="0030535B" w:rsidRDefault="00981D92">
      <w:pPr>
        <w:rPr>
          <w:rFonts w:ascii="Times New Roman" w:hAnsi="Times New Roman" w:cs="Times New Roman"/>
          <w:lang w:val="ro-RO"/>
        </w:rPr>
      </w:pPr>
    </w:p>
    <w:p w14:paraId="6F2F39EB" w14:textId="77777777" w:rsidR="00981D92" w:rsidRPr="0030535B" w:rsidRDefault="00981D92" w:rsidP="00981D92">
      <w:pPr>
        <w:rPr>
          <w:rFonts w:ascii="Times New Roman" w:hAnsi="Times New Roman" w:cs="Times New Roman"/>
          <w:lang w:val="ro-RO"/>
        </w:rPr>
      </w:pPr>
    </w:p>
    <w:p w14:paraId="01CDCC35" w14:textId="77777777" w:rsidR="00981D92" w:rsidRPr="0030535B" w:rsidRDefault="00981D92" w:rsidP="00981D92">
      <w:pPr>
        <w:rPr>
          <w:rFonts w:ascii="Times New Roman" w:hAnsi="Times New Roman" w:cs="Times New Roman"/>
          <w:lang w:val="ro-RO"/>
        </w:rPr>
      </w:pPr>
    </w:p>
    <w:p w14:paraId="3A9AC12A" w14:textId="77777777" w:rsidR="00981D92" w:rsidRPr="0030535B" w:rsidRDefault="00981D92">
      <w:pPr>
        <w:rPr>
          <w:rFonts w:ascii="Times New Roman" w:hAnsi="Times New Roman" w:cs="Times New Roman"/>
          <w:lang w:val="ro-RO"/>
        </w:rPr>
      </w:pPr>
    </w:p>
    <w:sectPr w:rsidR="00981D92" w:rsidRPr="0030535B" w:rsidSect="0072400E">
      <w:headerReference w:type="even" r:id="rId23"/>
      <w:headerReference w:type="default" r:id="rId24"/>
      <w:footerReference w:type="even" r:id="rId25"/>
      <w:footerReference w:type="default" r:id="rId26"/>
      <w:pgSz w:w="16839" w:h="11907" w:orient="landscape" w:code="9"/>
      <w:pgMar w:top="142" w:right="1134" w:bottom="993" w:left="1134"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6EB19C" w14:textId="77777777" w:rsidR="00F251C1" w:rsidRDefault="00F251C1" w:rsidP="00087EAB">
      <w:pPr>
        <w:spacing w:after="0" w:line="240" w:lineRule="auto"/>
      </w:pPr>
      <w:r>
        <w:separator/>
      </w:r>
    </w:p>
  </w:endnote>
  <w:endnote w:type="continuationSeparator" w:id="0">
    <w:p w14:paraId="6F203070" w14:textId="77777777" w:rsidR="00F251C1" w:rsidRDefault="00F251C1" w:rsidP="00087EAB">
      <w:pPr>
        <w:spacing w:after="0" w:line="240" w:lineRule="auto"/>
      </w:pPr>
      <w:r>
        <w:continuationSeparator/>
      </w:r>
    </w:p>
  </w:endnote>
  <w:endnote w:type="continuationNotice" w:id="1">
    <w:p w14:paraId="327DAA90" w14:textId="77777777" w:rsidR="00F251C1" w:rsidRDefault="00F251C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mJurnalist">
    <w:altName w:val="Times New Roman"/>
    <w:charset w:val="00"/>
    <w:family w:val="roman"/>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4079718"/>
      <w:docPartObj>
        <w:docPartGallery w:val="Page Numbers (Bottom of Page)"/>
        <w:docPartUnique/>
      </w:docPartObj>
    </w:sdtPr>
    <w:sdtEndPr>
      <w:rPr>
        <w:noProof/>
      </w:rPr>
    </w:sdtEndPr>
    <w:sdtContent>
      <w:p w14:paraId="7B94D55B" w14:textId="41B0CAB1" w:rsidR="002A7616" w:rsidRDefault="002A7616">
        <w:pPr>
          <w:pStyle w:val="a5"/>
          <w:jc w:val="right"/>
        </w:pPr>
        <w:r>
          <w:fldChar w:fldCharType="begin"/>
        </w:r>
        <w:r>
          <w:instrText xml:space="preserve"> PAGE   \* MERGEFORMAT </w:instrText>
        </w:r>
        <w:r>
          <w:fldChar w:fldCharType="separate"/>
        </w:r>
        <w:r>
          <w:rPr>
            <w:noProof/>
          </w:rPr>
          <w:t>2</w:t>
        </w:r>
        <w:r>
          <w:rPr>
            <w:noProof/>
          </w:rPr>
          <w:fldChar w:fldCharType="end"/>
        </w:r>
      </w:p>
    </w:sdtContent>
  </w:sdt>
  <w:p w14:paraId="66A54696" w14:textId="77777777" w:rsidR="0034306D" w:rsidRDefault="0034306D">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099245"/>
      <w:docPartObj>
        <w:docPartGallery w:val="Page Numbers (Bottom of Page)"/>
        <w:docPartUnique/>
      </w:docPartObj>
    </w:sdtPr>
    <w:sdtEndPr>
      <w:rPr>
        <w:noProof/>
      </w:rPr>
    </w:sdtEndPr>
    <w:sdtContent>
      <w:p w14:paraId="6F16CF68" w14:textId="22E430A8" w:rsidR="00FF0B75" w:rsidRDefault="00FF0B75">
        <w:pPr>
          <w:pStyle w:val="a5"/>
          <w:jc w:val="center"/>
        </w:pPr>
        <w:r>
          <w:fldChar w:fldCharType="begin"/>
        </w:r>
        <w:r>
          <w:instrText xml:space="preserve"> PAGE   \* MERGEFORMAT </w:instrText>
        </w:r>
        <w:r>
          <w:fldChar w:fldCharType="separate"/>
        </w:r>
        <w:r w:rsidR="009E686F">
          <w:rPr>
            <w:noProof/>
          </w:rPr>
          <w:t>1</w:t>
        </w:r>
        <w:r>
          <w:rPr>
            <w:noProof/>
          </w:rPr>
          <w:fldChar w:fldCharType="end"/>
        </w:r>
      </w:p>
    </w:sdtContent>
  </w:sdt>
  <w:p w14:paraId="1AB30FBE" w14:textId="77777777" w:rsidR="0034306D" w:rsidRDefault="0034306D">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90B976" w14:textId="77777777" w:rsidR="00F251C1" w:rsidRDefault="00F251C1" w:rsidP="00087EAB">
      <w:pPr>
        <w:spacing w:after="0" w:line="240" w:lineRule="auto"/>
      </w:pPr>
      <w:r>
        <w:separator/>
      </w:r>
    </w:p>
  </w:footnote>
  <w:footnote w:type="continuationSeparator" w:id="0">
    <w:p w14:paraId="32C94972" w14:textId="77777777" w:rsidR="00F251C1" w:rsidRDefault="00F251C1" w:rsidP="00087EAB">
      <w:pPr>
        <w:spacing w:after="0" w:line="240" w:lineRule="auto"/>
      </w:pPr>
      <w:r>
        <w:continuationSeparator/>
      </w:r>
    </w:p>
  </w:footnote>
  <w:footnote w:type="continuationNotice" w:id="1">
    <w:p w14:paraId="5634EC3E" w14:textId="77777777" w:rsidR="00F251C1" w:rsidRDefault="00F251C1">
      <w:pPr>
        <w:spacing w:after="0" w:line="240" w:lineRule="auto"/>
      </w:pPr>
    </w:p>
  </w:footnote>
  <w:footnote w:id="2">
    <w:p w14:paraId="13A355B9" w14:textId="4DB160D1" w:rsidR="0017191D" w:rsidRPr="0017191D" w:rsidRDefault="0017191D">
      <w:pPr>
        <w:pStyle w:val="afa"/>
        <w:rPr>
          <w:lang w:val="ro-RO"/>
        </w:rPr>
      </w:pPr>
      <w:r w:rsidRPr="0072400E">
        <w:rPr>
          <w:rStyle w:val="afc"/>
          <w:b/>
          <w:bCs/>
        </w:rPr>
        <w:footnoteRef/>
      </w:r>
      <w:r w:rsidRPr="0072400E">
        <w:rPr>
          <w:b/>
          <w:bCs/>
        </w:rPr>
        <w:t xml:space="preserve"> Prevederile evidențiate cu </w:t>
      </w:r>
      <w:r w:rsidRPr="0072400E">
        <w:rPr>
          <w:b/>
          <w:bCs/>
          <w:i/>
          <w:iCs/>
        </w:rPr>
        <w:t>caractere italice</w:t>
      </w:r>
      <w:r w:rsidRPr="0072400E">
        <w:rPr>
          <w:b/>
          <w:bCs/>
        </w:rPr>
        <w:t xml:space="preserve"> indică dispozițiile introduse prin proiectul de lege pentru modificarea Legii nr. 202/2017 privind activitatea băncilor</w:t>
      </w:r>
      <w:r w:rsidRPr="0017191D">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181505" w14:textId="77777777" w:rsidR="0034306D" w:rsidRDefault="0034306D" w:rsidP="00087EAB">
    <w:pPr>
      <w:pStyle w:val="a3"/>
      <w:spacing w:after="0"/>
      <w:jc w:val="right"/>
    </w:pPr>
    <w:bookmarkStart w:id="50" w:name="TITUS1HeaderEvenPages"/>
    <w:r>
      <w:t xml:space="preserve"> </w:t>
    </w:r>
  </w:p>
  <w:bookmarkEnd w:id="50"/>
  <w:p w14:paraId="4EEB6836" w14:textId="77777777" w:rsidR="0034306D" w:rsidRDefault="0034306D">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6A002C" w14:textId="77777777" w:rsidR="0034306D" w:rsidRDefault="0034306D" w:rsidP="00087EAB">
    <w:pPr>
      <w:pStyle w:val="a3"/>
      <w:spacing w:after="0"/>
      <w:jc w:val="right"/>
    </w:pPr>
    <w:bookmarkStart w:id="51" w:name="TITUS1HeaderPrimary"/>
    <w:r>
      <w:t xml:space="preserve"> </w:t>
    </w:r>
  </w:p>
  <w:bookmarkEnd w:id="51"/>
  <w:p w14:paraId="2295860E" w14:textId="77777777" w:rsidR="0034306D" w:rsidRDefault="0034306D">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B2144"/>
    <w:multiLevelType w:val="hybridMultilevel"/>
    <w:tmpl w:val="DF34644C"/>
    <w:lvl w:ilvl="0" w:tplc="B6CC319E">
      <w:start w:val="3"/>
      <w:numFmt w:val="bullet"/>
      <w:lvlText w:val="-"/>
      <w:lvlJc w:val="left"/>
      <w:pPr>
        <w:tabs>
          <w:tab w:val="num" w:pos="644"/>
        </w:tabs>
        <w:ind w:left="644" w:hanging="360"/>
      </w:pPr>
      <w:rPr>
        <w:rFonts w:ascii="Times New Roman" w:eastAsia="Times New Roman" w:hAnsi="Times New Roman" w:cs="Times New Roman" w:hint="default"/>
      </w:rPr>
    </w:lvl>
    <w:lvl w:ilvl="1" w:tplc="04090003" w:tentative="1">
      <w:start w:val="1"/>
      <w:numFmt w:val="bullet"/>
      <w:lvlText w:val="o"/>
      <w:lvlJc w:val="left"/>
      <w:pPr>
        <w:tabs>
          <w:tab w:val="num" w:pos="1364"/>
        </w:tabs>
        <w:ind w:left="1364" w:hanging="360"/>
      </w:pPr>
      <w:rPr>
        <w:rFonts w:ascii="Courier New" w:hAnsi="Courier New" w:cs="Courier New" w:hint="default"/>
      </w:rPr>
    </w:lvl>
    <w:lvl w:ilvl="2" w:tplc="04090005" w:tentative="1">
      <w:start w:val="1"/>
      <w:numFmt w:val="bullet"/>
      <w:lvlText w:val=""/>
      <w:lvlJc w:val="left"/>
      <w:pPr>
        <w:tabs>
          <w:tab w:val="num" w:pos="2084"/>
        </w:tabs>
        <w:ind w:left="2084" w:hanging="360"/>
      </w:pPr>
      <w:rPr>
        <w:rFonts w:ascii="Wingdings" w:hAnsi="Wingdings" w:hint="default"/>
      </w:rPr>
    </w:lvl>
    <w:lvl w:ilvl="3" w:tplc="04090001" w:tentative="1">
      <w:start w:val="1"/>
      <w:numFmt w:val="bullet"/>
      <w:lvlText w:val=""/>
      <w:lvlJc w:val="left"/>
      <w:pPr>
        <w:tabs>
          <w:tab w:val="num" w:pos="2804"/>
        </w:tabs>
        <w:ind w:left="2804" w:hanging="360"/>
      </w:pPr>
      <w:rPr>
        <w:rFonts w:ascii="Symbol" w:hAnsi="Symbol" w:hint="default"/>
      </w:rPr>
    </w:lvl>
    <w:lvl w:ilvl="4" w:tplc="04090003" w:tentative="1">
      <w:start w:val="1"/>
      <w:numFmt w:val="bullet"/>
      <w:lvlText w:val="o"/>
      <w:lvlJc w:val="left"/>
      <w:pPr>
        <w:tabs>
          <w:tab w:val="num" w:pos="3524"/>
        </w:tabs>
        <w:ind w:left="3524" w:hanging="360"/>
      </w:pPr>
      <w:rPr>
        <w:rFonts w:ascii="Courier New" w:hAnsi="Courier New" w:cs="Courier New" w:hint="default"/>
      </w:rPr>
    </w:lvl>
    <w:lvl w:ilvl="5" w:tplc="04090005" w:tentative="1">
      <w:start w:val="1"/>
      <w:numFmt w:val="bullet"/>
      <w:lvlText w:val=""/>
      <w:lvlJc w:val="left"/>
      <w:pPr>
        <w:tabs>
          <w:tab w:val="num" w:pos="4244"/>
        </w:tabs>
        <w:ind w:left="4244" w:hanging="360"/>
      </w:pPr>
      <w:rPr>
        <w:rFonts w:ascii="Wingdings" w:hAnsi="Wingdings" w:hint="default"/>
      </w:rPr>
    </w:lvl>
    <w:lvl w:ilvl="6" w:tplc="04090001" w:tentative="1">
      <w:start w:val="1"/>
      <w:numFmt w:val="bullet"/>
      <w:lvlText w:val=""/>
      <w:lvlJc w:val="left"/>
      <w:pPr>
        <w:tabs>
          <w:tab w:val="num" w:pos="4964"/>
        </w:tabs>
        <w:ind w:left="4964" w:hanging="360"/>
      </w:pPr>
      <w:rPr>
        <w:rFonts w:ascii="Symbol" w:hAnsi="Symbol" w:hint="default"/>
      </w:rPr>
    </w:lvl>
    <w:lvl w:ilvl="7" w:tplc="04090003" w:tentative="1">
      <w:start w:val="1"/>
      <w:numFmt w:val="bullet"/>
      <w:lvlText w:val="o"/>
      <w:lvlJc w:val="left"/>
      <w:pPr>
        <w:tabs>
          <w:tab w:val="num" w:pos="5684"/>
        </w:tabs>
        <w:ind w:left="5684" w:hanging="360"/>
      </w:pPr>
      <w:rPr>
        <w:rFonts w:ascii="Courier New" w:hAnsi="Courier New" w:cs="Courier New" w:hint="default"/>
      </w:rPr>
    </w:lvl>
    <w:lvl w:ilvl="8" w:tplc="04090005" w:tentative="1">
      <w:start w:val="1"/>
      <w:numFmt w:val="bullet"/>
      <w:lvlText w:val=""/>
      <w:lvlJc w:val="left"/>
      <w:pPr>
        <w:tabs>
          <w:tab w:val="num" w:pos="6404"/>
        </w:tabs>
        <w:ind w:left="6404" w:hanging="360"/>
      </w:pPr>
      <w:rPr>
        <w:rFonts w:ascii="Wingdings" w:hAnsi="Wingdings" w:hint="default"/>
      </w:rPr>
    </w:lvl>
  </w:abstractNum>
  <w:abstractNum w:abstractNumId="1" w15:restartNumberingAfterBreak="0">
    <w:nsid w:val="02563BAD"/>
    <w:multiLevelType w:val="hybridMultilevel"/>
    <w:tmpl w:val="FFE24DAA"/>
    <w:lvl w:ilvl="0" w:tplc="E70668C6">
      <w:start w:val="1"/>
      <w:numFmt w:val="decimal"/>
      <w:lvlText w:val="(%1)"/>
      <w:lvlJc w:val="left"/>
      <w:pPr>
        <w:ind w:left="786" w:hanging="360"/>
      </w:pPr>
      <w:rPr>
        <w:rFonts w:hint="default"/>
        <w:b w:val="0"/>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 w15:restartNumberingAfterBreak="0">
    <w:nsid w:val="06BB740D"/>
    <w:multiLevelType w:val="hybridMultilevel"/>
    <w:tmpl w:val="50541B38"/>
    <w:lvl w:ilvl="0" w:tplc="568E196A">
      <w:start w:val="1"/>
      <w:numFmt w:val="lowerLetter"/>
      <w:lvlText w:val="(%1)"/>
      <w:lvlJc w:val="left"/>
      <w:pPr>
        <w:ind w:left="720"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3" w15:restartNumberingAfterBreak="0">
    <w:nsid w:val="07945CC6"/>
    <w:multiLevelType w:val="hybridMultilevel"/>
    <w:tmpl w:val="147C3C14"/>
    <w:lvl w:ilvl="0" w:tplc="D18EBB1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0A7B9B"/>
    <w:multiLevelType w:val="hybridMultilevel"/>
    <w:tmpl w:val="7116B292"/>
    <w:lvl w:ilvl="0" w:tplc="B982447A">
      <w:start w:val="1"/>
      <w:numFmt w:val="lowerLetter"/>
      <w:lvlText w:val="(%1)"/>
      <w:lvlJc w:val="left"/>
      <w:pPr>
        <w:ind w:left="720"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5" w15:restartNumberingAfterBreak="0">
    <w:nsid w:val="16B37D8D"/>
    <w:multiLevelType w:val="hybridMultilevel"/>
    <w:tmpl w:val="7E4EE93E"/>
    <w:lvl w:ilvl="0" w:tplc="E8B867C6">
      <w:start w:val="1"/>
      <w:numFmt w:val="decimal"/>
      <w:lvlText w:val="(%1)"/>
      <w:lvlJc w:val="left"/>
      <w:pPr>
        <w:ind w:left="720"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6" w15:restartNumberingAfterBreak="0">
    <w:nsid w:val="1B5E20C1"/>
    <w:multiLevelType w:val="hybridMultilevel"/>
    <w:tmpl w:val="02F00308"/>
    <w:lvl w:ilvl="0" w:tplc="A06CF5CA">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7" w15:restartNumberingAfterBreak="0">
    <w:nsid w:val="1D6F68D7"/>
    <w:multiLevelType w:val="hybridMultilevel"/>
    <w:tmpl w:val="E4646E74"/>
    <w:lvl w:ilvl="0" w:tplc="4B683B28">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8" w15:restartNumberingAfterBreak="0">
    <w:nsid w:val="210F7811"/>
    <w:multiLevelType w:val="hybridMultilevel"/>
    <w:tmpl w:val="3404CFF4"/>
    <w:lvl w:ilvl="0" w:tplc="7C3694C8">
      <w:start w:val="1"/>
      <w:numFmt w:val="lowerLetter"/>
      <w:lvlText w:val="(%1)"/>
      <w:lvlJc w:val="left"/>
      <w:pPr>
        <w:ind w:left="735" w:hanging="375"/>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9" w15:restartNumberingAfterBreak="0">
    <w:nsid w:val="218D4D3D"/>
    <w:multiLevelType w:val="hybridMultilevel"/>
    <w:tmpl w:val="FB1E5392"/>
    <w:lvl w:ilvl="0" w:tplc="04090017">
      <w:start w:val="1"/>
      <w:numFmt w:val="lowerLetter"/>
      <w:lvlText w:val="%1)"/>
      <w:lvlJc w:val="left"/>
      <w:pPr>
        <w:ind w:left="92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2BC2BEC"/>
    <w:multiLevelType w:val="hybridMultilevel"/>
    <w:tmpl w:val="5E762C96"/>
    <w:lvl w:ilvl="0" w:tplc="60CCFE2A">
      <w:start w:val="1"/>
      <w:numFmt w:val="lowerLetter"/>
      <w:lvlText w:val="(%1)"/>
      <w:lvlJc w:val="left"/>
      <w:pPr>
        <w:ind w:left="720"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11" w15:restartNumberingAfterBreak="0">
    <w:nsid w:val="28C42FD8"/>
    <w:multiLevelType w:val="hybridMultilevel"/>
    <w:tmpl w:val="433E048C"/>
    <w:lvl w:ilvl="0" w:tplc="3A24F05A">
      <w:start w:val="1"/>
      <w:numFmt w:val="lowerRoman"/>
      <w:lvlText w:val="%1)"/>
      <w:lvlJc w:val="left"/>
      <w:pPr>
        <w:ind w:left="1080" w:hanging="72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12" w15:restartNumberingAfterBreak="0">
    <w:nsid w:val="2A4C700E"/>
    <w:multiLevelType w:val="hybridMultilevel"/>
    <w:tmpl w:val="86283568"/>
    <w:lvl w:ilvl="0" w:tplc="57B2A4D8">
      <w:start w:val="1"/>
      <w:numFmt w:val="lowerLetter"/>
      <w:lvlText w:val="(%1)"/>
      <w:lvlJc w:val="left"/>
      <w:pPr>
        <w:ind w:left="720"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13" w15:restartNumberingAfterBreak="0">
    <w:nsid w:val="335E5190"/>
    <w:multiLevelType w:val="hybridMultilevel"/>
    <w:tmpl w:val="54F83586"/>
    <w:lvl w:ilvl="0" w:tplc="6688DDA2">
      <w:start w:val="1"/>
      <w:numFmt w:val="lowerLetter"/>
      <w:lvlText w:val="(%1)"/>
      <w:lvlJc w:val="left"/>
      <w:pPr>
        <w:ind w:left="720"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14" w15:restartNumberingAfterBreak="0">
    <w:nsid w:val="33C545CB"/>
    <w:multiLevelType w:val="hybridMultilevel"/>
    <w:tmpl w:val="436602CE"/>
    <w:lvl w:ilvl="0" w:tplc="F1E6C356">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5" w15:restartNumberingAfterBreak="0">
    <w:nsid w:val="355717C3"/>
    <w:multiLevelType w:val="hybridMultilevel"/>
    <w:tmpl w:val="A4C24040"/>
    <w:lvl w:ilvl="0" w:tplc="04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3B4F1878"/>
    <w:multiLevelType w:val="hybridMultilevel"/>
    <w:tmpl w:val="D3E6DA2E"/>
    <w:lvl w:ilvl="0" w:tplc="B982447A">
      <w:start w:val="1"/>
      <w:numFmt w:val="lowerLetter"/>
      <w:lvlText w:val="(%1)"/>
      <w:lvlJc w:val="left"/>
      <w:pPr>
        <w:ind w:left="720"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17" w15:restartNumberingAfterBreak="0">
    <w:nsid w:val="3F89270D"/>
    <w:multiLevelType w:val="hybridMultilevel"/>
    <w:tmpl w:val="F2649C1C"/>
    <w:lvl w:ilvl="0" w:tplc="AEE40966">
      <w:start w:val="1"/>
      <w:numFmt w:val="decimal"/>
      <w:lvlText w:val="(%1)"/>
      <w:lvlJc w:val="left"/>
      <w:pPr>
        <w:ind w:left="786" w:hanging="360"/>
      </w:pPr>
    </w:lvl>
    <w:lvl w:ilvl="1" w:tplc="04090019">
      <w:start w:val="1"/>
      <w:numFmt w:val="lowerLetter"/>
      <w:lvlText w:val="%2."/>
      <w:lvlJc w:val="left"/>
      <w:pPr>
        <w:ind w:left="1506" w:hanging="360"/>
      </w:pPr>
    </w:lvl>
    <w:lvl w:ilvl="2" w:tplc="0409001B">
      <w:start w:val="1"/>
      <w:numFmt w:val="lowerRoman"/>
      <w:lvlText w:val="%3."/>
      <w:lvlJc w:val="right"/>
      <w:pPr>
        <w:ind w:left="2226" w:hanging="180"/>
      </w:pPr>
    </w:lvl>
    <w:lvl w:ilvl="3" w:tplc="0409000F">
      <w:start w:val="1"/>
      <w:numFmt w:val="decimal"/>
      <w:lvlText w:val="%4."/>
      <w:lvlJc w:val="left"/>
      <w:pPr>
        <w:ind w:left="2946" w:hanging="360"/>
      </w:pPr>
    </w:lvl>
    <w:lvl w:ilvl="4" w:tplc="04090019">
      <w:start w:val="1"/>
      <w:numFmt w:val="lowerLetter"/>
      <w:lvlText w:val="%5."/>
      <w:lvlJc w:val="left"/>
      <w:pPr>
        <w:ind w:left="3666" w:hanging="360"/>
      </w:pPr>
    </w:lvl>
    <w:lvl w:ilvl="5" w:tplc="0409001B">
      <w:start w:val="1"/>
      <w:numFmt w:val="lowerRoman"/>
      <w:lvlText w:val="%6."/>
      <w:lvlJc w:val="right"/>
      <w:pPr>
        <w:ind w:left="4386" w:hanging="180"/>
      </w:pPr>
    </w:lvl>
    <w:lvl w:ilvl="6" w:tplc="0409000F">
      <w:start w:val="1"/>
      <w:numFmt w:val="decimal"/>
      <w:lvlText w:val="%7."/>
      <w:lvlJc w:val="left"/>
      <w:pPr>
        <w:ind w:left="5106" w:hanging="360"/>
      </w:pPr>
    </w:lvl>
    <w:lvl w:ilvl="7" w:tplc="04090019">
      <w:start w:val="1"/>
      <w:numFmt w:val="lowerLetter"/>
      <w:lvlText w:val="%8."/>
      <w:lvlJc w:val="left"/>
      <w:pPr>
        <w:ind w:left="5826" w:hanging="360"/>
      </w:pPr>
    </w:lvl>
    <w:lvl w:ilvl="8" w:tplc="0409001B">
      <w:start w:val="1"/>
      <w:numFmt w:val="lowerRoman"/>
      <w:lvlText w:val="%9."/>
      <w:lvlJc w:val="right"/>
      <w:pPr>
        <w:ind w:left="6546" w:hanging="180"/>
      </w:pPr>
    </w:lvl>
  </w:abstractNum>
  <w:abstractNum w:abstractNumId="18" w15:restartNumberingAfterBreak="0">
    <w:nsid w:val="3FDF0A64"/>
    <w:multiLevelType w:val="hybridMultilevel"/>
    <w:tmpl w:val="02F00308"/>
    <w:lvl w:ilvl="0" w:tplc="A06CF5CA">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9" w15:restartNumberingAfterBreak="0">
    <w:nsid w:val="3FE86A76"/>
    <w:multiLevelType w:val="hybridMultilevel"/>
    <w:tmpl w:val="02F00308"/>
    <w:lvl w:ilvl="0" w:tplc="A06CF5CA">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0" w15:restartNumberingAfterBreak="0">
    <w:nsid w:val="4EEE33EC"/>
    <w:multiLevelType w:val="hybridMultilevel"/>
    <w:tmpl w:val="577A4C6C"/>
    <w:lvl w:ilvl="0" w:tplc="C0CA9436">
      <w:start w:val="1"/>
      <w:numFmt w:val="decimal"/>
      <w:lvlText w:val="(%1)"/>
      <w:lvlJc w:val="left"/>
      <w:pPr>
        <w:ind w:left="720" w:hanging="360"/>
      </w:pPr>
      <w:rPr>
        <w:rFonts w:eastAsia="Aptos" w:hint="default"/>
        <w:b w:val="0"/>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21" w15:restartNumberingAfterBreak="0">
    <w:nsid w:val="5B0650E5"/>
    <w:multiLevelType w:val="hybridMultilevel"/>
    <w:tmpl w:val="02F00308"/>
    <w:lvl w:ilvl="0" w:tplc="A06CF5CA">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2" w15:restartNumberingAfterBreak="0">
    <w:nsid w:val="60112D85"/>
    <w:multiLevelType w:val="hybridMultilevel"/>
    <w:tmpl w:val="58F2CE54"/>
    <w:lvl w:ilvl="0" w:tplc="384E6CA4">
      <w:start w:val="1"/>
      <w:numFmt w:val="decimal"/>
      <w:lvlText w:val="(%1)"/>
      <w:lvlJc w:val="left"/>
      <w:pPr>
        <w:ind w:left="720"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23" w15:restartNumberingAfterBreak="0">
    <w:nsid w:val="733A3C28"/>
    <w:multiLevelType w:val="hybridMultilevel"/>
    <w:tmpl w:val="12824666"/>
    <w:lvl w:ilvl="0" w:tplc="B982447A">
      <w:start w:val="1"/>
      <w:numFmt w:val="lowerLetter"/>
      <w:lvlText w:val="(%1)"/>
      <w:lvlJc w:val="left"/>
      <w:pPr>
        <w:ind w:left="720"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24" w15:restartNumberingAfterBreak="0">
    <w:nsid w:val="74152429"/>
    <w:multiLevelType w:val="hybridMultilevel"/>
    <w:tmpl w:val="699AC0CE"/>
    <w:lvl w:ilvl="0" w:tplc="0409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0"/>
  </w:num>
  <w:num w:numId="2">
    <w:abstractNumId w:val="24"/>
  </w:num>
  <w:num w:numId="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7"/>
  </w:num>
  <w:num w:numId="6">
    <w:abstractNumId w:val="1"/>
  </w:num>
  <w:num w:numId="7">
    <w:abstractNumId w:val="6"/>
  </w:num>
  <w:num w:numId="8">
    <w:abstractNumId w:val="19"/>
  </w:num>
  <w:num w:numId="9">
    <w:abstractNumId w:val="18"/>
  </w:num>
  <w:num w:numId="10">
    <w:abstractNumId w:val="21"/>
  </w:num>
  <w:num w:numId="11">
    <w:abstractNumId w:val="9"/>
  </w:num>
  <w:num w:numId="12">
    <w:abstractNumId w:val="15"/>
  </w:num>
  <w:num w:numId="13">
    <w:abstractNumId w:val="14"/>
  </w:num>
  <w:num w:numId="14">
    <w:abstractNumId w:val="23"/>
  </w:num>
  <w:num w:numId="15">
    <w:abstractNumId w:val="16"/>
  </w:num>
  <w:num w:numId="16">
    <w:abstractNumId w:val="4"/>
  </w:num>
  <w:num w:numId="17">
    <w:abstractNumId w:val="5"/>
  </w:num>
  <w:num w:numId="18">
    <w:abstractNumId w:val="12"/>
  </w:num>
  <w:num w:numId="19">
    <w:abstractNumId w:val="13"/>
  </w:num>
  <w:num w:numId="20">
    <w:abstractNumId w:val="10"/>
  </w:num>
  <w:num w:numId="21">
    <w:abstractNumId w:val="8"/>
  </w:num>
  <w:num w:numId="22">
    <w:abstractNumId w:val="2"/>
  </w:num>
  <w:num w:numId="23">
    <w:abstractNumId w:val="22"/>
  </w:num>
  <w:num w:numId="24">
    <w:abstractNumId w:val="20"/>
  </w:num>
  <w:num w:numId="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NotTrackFormatting/>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7EAB"/>
    <w:rsid w:val="00000049"/>
    <w:rsid w:val="00000EE0"/>
    <w:rsid w:val="00001072"/>
    <w:rsid w:val="00001269"/>
    <w:rsid w:val="00001C55"/>
    <w:rsid w:val="00002088"/>
    <w:rsid w:val="00002339"/>
    <w:rsid w:val="0000321E"/>
    <w:rsid w:val="00003619"/>
    <w:rsid w:val="00003FAA"/>
    <w:rsid w:val="00004C4E"/>
    <w:rsid w:val="00004EF0"/>
    <w:rsid w:val="000053DB"/>
    <w:rsid w:val="000064F4"/>
    <w:rsid w:val="00006D0C"/>
    <w:rsid w:val="00007A86"/>
    <w:rsid w:val="00011A88"/>
    <w:rsid w:val="00012098"/>
    <w:rsid w:val="000136E6"/>
    <w:rsid w:val="00015987"/>
    <w:rsid w:val="00015B49"/>
    <w:rsid w:val="00015E4D"/>
    <w:rsid w:val="0001635B"/>
    <w:rsid w:val="00017CB1"/>
    <w:rsid w:val="00017F66"/>
    <w:rsid w:val="00017F9A"/>
    <w:rsid w:val="00017FFD"/>
    <w:rsid w:val="00020303"/>
    <w:rsid w:val="00020CFA"/>
    <w:rsid w:val="00020E83"/>
    <w:rsid w:val="000216E4"/>
    <w:rsid w:val="00021943"/>
    <w:rsid w:val="00021C2F"/>
    <w:rsid w:val="00021D39"/>
    <w:rsid w:val="00021F76"/>
    <w:rsid w:val="00022ED4"/>
    <w:rsid w:val="00023F6C"/>
    <w:rsid w:val="000249FB"/>
    <w:rsid w:val="00024C4A"/>
    <w:rsid w:val="00024D2C"/>
    <w:rsid w:val="000253A8"/>
    <w:rsid w:val="00025A3C"/>
    <w:rsid w:val="00025BDD"/>
    <w:rsid w:val="00026808"/>
    <w:rsid w:val="00026C58"/>
    <w:rsid w:val="00026D35"/>
    <w:rsid w:val="0002737C"/>
    <w:rsid w:val="000312D0"/>
    <w:rsid w:val="00031B0F"/>
    <w:rsid w:val="00033590"/>
    <w:rsid w:val="00033954"/>
    <w:rsid w:val="00033BDD"/>
    <w:rsid w:val="00034144"/>
    <w:rsid w:val="00034230"/>
    <w:rsid w:val="000342F5"/>
    <w:rsid w:val="00034514"/>
    <w:rsid w:val="00036730"/>
    <w:rsid w:val="00036D34"/>
    <w:rsid w:val="00036E6F"/>
    <w:rsid w:val="000375B0"/>
    <w:rsid w:val="000376B3"/>
    <w:rsid w:val="000379C2"/>
    <w:rsid w:val="00037AB1"/>
    <w:rsid w:val="000412E2"/>
    <w:rsid w:val="0004142F"/>
    <w:rsid w:val="0004161A"/>
    <w:rsid w:val="00041A3C"/>
    <w:rsid w:val="00042052"/>
    <w:rsid w:val="000433C6"/>
    <w:rsid w:val="00043D87"/>
    <w:rsid w:val="0004461B"/>
    <w:rsid w:val="0004504F"/>
    <w:rsid w:val="000459E1"/>
    <w:rsid w:val="00045ECA"/>
    <w:rsid w:val="00046B7D"/>
    <w:rsid w:val="00052839"/>
    <w:rsid w:val="000538A5"/>
    <w:rsid w:val="000552B0"/>
    <w:rsid w:val="00055BE7"/>
    <w:rsid w:val="000601EF"/>
    <w:rsid w:val="000604E0"/>
    <w:rsid w:val="00060986"/>
    <w:rsid w:val="00060B4D"/>
    <w:rsid w:val="00060BB4"/>
    <w:rsid w:val="00060D91"/>
    <w:rsid w:val="000613E1"/>
    <w:rsid w:val="00061840"/>
    <w:rsid w:val="0006205E"/>
    <w:rsid w:val="00062862"/>
    <w:rsid w:val="00062C2D"/>
    <w:rsid w:val="00064434"/>
    <w:rsid w:val="00064C4B"/>
    <w:rsid w:val="00065067"/>
    <w:rsid w:val="0006537C"/>
    <w:rsid w:val="00065B23"/>
    <w:rsid w:val="00065FCD"/>
    <w:rsid w:val="00066F54"/>
    <w:rsid w:val="00067EDB"/>
    <w:rsid w:val="000701A6"/>
    <w:rsid w:val="0007144D"/>
    <w:rsid w:val="000717BD"/>
    <w:rsid w:val="00071A1A"/>
    <w:rsid w:val="000722F1"/>
    <w:rsid w:val="00072EB1"/>
    <w:rsid w:val="00073028"/>
    <w:rsid w:val="000735B1"/>
    <w:rsid w:val="00073610"/>
    <w:rsid w:val="000737C6"/>
    <w:rsid w:val="00075358"/>
    <w:rsid w:val="000756EC"/>
    <w:rsid w:val="00075E96"/>
    <w:rsid w:val="00076530"/>
    <w:rsid w:val="00076566"/>
    <w:rsid w:val="00076791"/>
    <w:rsid w:val="000772D2"/>
    <w:rsid w:val="00080077"/>
    <w:rsid w:val="00080249"/>
    <w:rsid w:val="00080AA3"/>
    <w:rsid w:val="00080C33"/>
    <w:rsid w:val="000819EE"/>
    <w:rsid w:val="00081EDD"/>
    <w:rsid w:val="0008210D"/>
    <w:rsid w:val="000822AD"/>
    <w:rsid w:val="0008238B"/>
    <w:rsid w:val="00083A42"/>
    <w:rsid w:val="0008435A"/>
    <w:rsid w:val="000854AB"/>
    <w:rsid w:val="0008559D"/>
    <w:rsid w:val="000863F5"/>
    <w:rsid w:val="0008731C"/>
    <w:rsid w:val="0008776B"/>
    <w:rsid w:val="00087CDD"/>
    <w:rsid w:val="00087EAB"/>
    <w:rsid w:val="00090DA4"/>
    <w:rsid w:val="00090E47"/>
    <w:rsid w:val="00091F2A"/>
    <w:rsid w:val="000920B2"/>
    <w:rsid w:val="0009273B"/>
    <w:rsid w:val="00092C97"/>
    <w:rsid w:val="00092FCC"/>
    <w:rsid w:val="000932D9"/>
    <w:rsid w:val="000943EA"/>
    <w:rsid w:val="00095498"/>
    <w:rsid w:val="00095AA1"/>
    <w:rsid w:val="00095FD0"/>
    <w:rsid w:val="0009639E"/>
    <w:rsid w:val="00097824"/>
    <w:rsid w:val="00097E54"/>
    <w:rsid w:val="000A064A"/>
    <w:rsid w:val="000A13E8"/>
    <w:rsid w:val="000A1BA6"/>
    <w:rsid w:val="000A1D39"/>
    <w:rsid w:val="000A21F7"/>
    <w:rsid w:val="000A3F60"/>
    <w:rsid w:val="000A402B"/>
    <w:rsid w:val="000A51CA"/>
    <w:rsid w:val="000A564A"/>
    <w:rsid w:val="000A7536"/>
    <w:rsid w:val="000B07D3"/>
    <w:rsid w:val="000B1158"/>
    <w:rsid w:val="000B12C9"/>
    <w:rsid w:val="000B14CA"/>
    <w:rsid w:val="000B1758"/>
    <w:rsid w:val="000B4240"/>
    <w:rsid w:val="000B4517"/>
    <w:rsid w:val="000B4CA2"/>
    <w:rsid w:val="000B54B1"/>
    <w:rsid w:val="000B7768"/>
    <w:rsid w:val="000C0683"/>
    <w:rsid w:val="000C0853"/>
    <w:rsid w:val="000C17D5"/>
    <w:rsid w:val="000C18FE"/>
    <w:rsid w:val="000C1D52"/>
    <w:rsid w:val="000C2443"/>
    <w:rsid w:val="000C276E"/>
    <w:rsid w:val="000C2D53"/>
    <w:rsid w:val="000C358F"/>
    <w:rsid w:val="000C42D3"/>
    <w:rsid w:val="000C4469"/>
    <w:rsid w:val="000C44D1"/>
    <w:rsid w:val="000C45D6"/>
    <w:rsid w:val="000C4CDC"/>
    <w:rsid w:val="000C5D25"/>
    <w:rsid w:val="000C6289"/>
    <w:rsid w:val="000C62C6"/>
    <w:rsid w:val="000C6B90"/>
    <w:rsid w:val="000C6D1B"/>
    <w:rsid w:val="000C6F60"/>
    <w:rsid w:val="000C7B92"/>
    <w:rsid w:val="000D0443"/>
    <w:rsid w:val="000D076E"/>
    <w:rsid w:val="000D0836"/>
    <w:rsid w:val="000D0912"/>
    <w:rsid w:val="000D221D"/>
    <w:rsid w:val="000D282F"/>
    <w:rsid w:val="000D3326"/>
    <w:rsid w:val="000D354E"/>
    <w:rsid w:val="000D3BAB"/>
    <w:rsid w:val="000D3C7D"/>
    <w:rsid w:val="000D3FDA"/>
    <w:rsid w:val="000D4617"/>
    <w:rsid w:val="000D48E5"/>
    <w:rsid w:val="000D5ED0"/>
    <w:rsid w:val="000D62EF"/>
    <w:rsid w:val="000D6A53"/>
    <w:rsid w:val="000D72E1"/>
    <w:rsid w:val="000D7324"/>
    <w:rsid w:val="000D7350"/>
    <w:rsid w:val="000E0839"/>
    <w:rsid w:val="000E0D15"/>
    <w:rsid w:val="000E0E8F"/>
    <w:rsid w:val="000E122F"/>
    <w:rsid w:val="000E1782"/>
    <w:rsid w:val="000E247C"/>
    <w:rsid w:val="000E28B6"/>
    <w:rsid w:val="000E28BC"/>
    <w:rsid w:val="000E2AFC"/>
    <w:rsid w:val="000E2DD5"/>
    <w:rsid w:val="000E3D7F"/>
    <w:rsid w:val="000E3E5C"/>
    <w:rsid w:val="000E3EA4"/>
    <w:rsid w:val="000E4724"/>
    <w:rsid w:val="000E5A55"/>
    <w:rsid w:val="000E5A94"/>
    <w:rsid w:val="000E6125"/>
    <w:rsid w:val="000E644E"/>
    <w:rsid w:val="000E6FCB"/>
    <w:rsid w:val="000E78F7"/>
    <w:rsid w:val="000F1768"/>
    <w:rsid w:val="000F227A"/>
    <w:rsid w:val="000F2F48"/>
    <w:rsid w:val="000F35C3"/>
    <w:rsid w:val="000F4D45"/>
    <w:rsid w:val="000F5C62"/>
    <w:rsid w:val="000F6EAF"/>
    <w:rsid w:val="000F751C"/>
    <w:rsid w:val="000F7A42"/>
    <w:rsid w:val="000F7F4D"/>
    <w:rsid w:val="0010012C"/>
    <w:rsid w:val="001010F0"/>
    <w:rsid w:val="00101C57"/>
    <w:rsid w:val="00102649"/>
    <w:rsid w:val="00102ABF"/>
    <w:rsid w:val="00102ECA"/>
    <w:rsid w:val="0010414F"/>
    <w:rsid w:val="00104998"/>
    <w:rsid w:val="00104F49"/>
    <w:rsid w:val="00105E17"/>
    <w:rsid w:val="00106B45"/>
    <w:rsid w:val="00110710"/>
    <w:rsid w:val="001109BC"/>
    <w:rsid w:val="001111B4"/>
    <w:rsid w:val="00113079"/>
    <w:rsid w:val="00113389"/>
    <w:rsid w:val="00113A2A"/>
    <w:rsid w:val="00113D29"/>
    <w:rsid w:val="00113E99"/>
    <w:rsid w:val="00114499"/>
    <w:rsid w:val="00116640"/>
    <w:rsid w:val="001167DA"/>
    <w:rsid w:val="0011713C"/>
    <w:rsid w:val="001174D1"/>
    <w:rsid w:val="00117FF3"/>
    <w:rsid w:val="00120072"/>
    <w:rsid w:val="00120200"/>
    <w:rsid w:val="001206DB"/>
    <w:rsid w:val="00120763"/>
    <w:rsid w:val="001214C1"/>
    <w:rsid w:val="00122114"/>
    <w:rsid w:val="00122770"/>
    <w:rsid w:val="001227E5"/>
    <w:rsid w:val="00122E6D"/>
    <w:rsid w:val="00122F10"/>
    <w:rsid w:val="00123A7A"/>
    <w:rsid w:val="00123AC9"/>
    <w:rsid w:val="00124204"/>
    <w:rsid w:val="00124257"/>
    <w:rsid w:val="001250B0"/>
    <w:rsid w:val="001269AF"/>
    <w:rsid w:val="001306E0"/>
    <w:rsid w:val="001309BE"/>
    <w:rsid w:val="00130D23"/>
    <w:rsid w:val="00131D8D"/>
    <w:rsid w:val="00132767"/>
    <w:rsid w:val="00133389"/>
    <w:rsid w:val="001334DE"/>
    <w:rsid w:val="00133B11"/>
    <w:rsid w:val="00135005"/>
    <w:rsid w:val="001375B5"/>
    <w:rsid w:val="0013765B"/>
    <w:rsid w:val="001376CE"/>
    <w:rsid w:val="001378AF"/>
    <w:rsid w:val="00137CB7"/>
    <w:rsid w:val="00140989"/>
    <w:rsid w:val="001409E6"/>
    <w:rsid w:val="0014156A"/>
    <w:rsid w:val="001418D6"/>
    <w:rsid w:val="0014233F"/>
    <w:rsid w:val="00142B0B"/>
    <w:rsid w:val="001434B4"/>
    <w:rsid w:val="00143DBE"/>
    <w:rsid w:val="00144BBF"/>
    <w:rsid w:val="00144D7B"/>
    <w:rsid w:val="00144DDD"/>
    <w:rsid w:val="00145B29"/>
    <w:rsid w:val="00145E3B"/>
    <w:rsid w:val="00146DBD"/>
    <w:rsid w:val="001478E2"/>
    <w:rsid w:val="001504BF"/>
    <w:rsid w:val="00152771"/>
    <w:rsid w:val="00152859"/>
    <w:rsid w:val="00152E7F"/>
    <w:rsid w:val="00152F31"/>
    <w:rsid w:val="00156632"/>
    <w:rsid w:val="00157852"/>
    <w:rsid w:val="001602E9"/>
    <w:rsid w:val="00160356"/>
    <w:rsid w:val="0016038B"/>
    <w:rsid w:val="001604FC"/>
    <w:rsid w:val="00160B45"/>
    <w:rsid w:val="001611E2"/>
    <w:rsid w:val="00161E40"/>
    <w:rsid w:val="0016219C"/>
    <w:rsid w:val="00163198"/>
    <w:rsid w:val="001635D0"/>
    <w:rsid w:val="001641F5"/>
    <w:rsid w:val="001644B9"/>
    <w:rsid w:val="00164588"/>
    <w:rsid w:val="001645B6"/>
    <w:rsid w:val="00164AEC"/>
    <w:rsid w:val="0016613C"/>
    <w:rsid w:val="00166794"/>
    <w:rsid w:val="001667C0"/>
    <w:rsid w:val="001700AE"/>
    <w:rsid w:val="001711F3"/>
    <w:rsid w:val="00171590"/>
    <w:rsid w:val="00171902"/>
    <w:rsid w:val="0017191D"/>
    <w:rsid w:val="00171B46"/>
    <w:rsid w:val="00171CD3"/>
    <w:rsid w:val="001737F6"/>
    <w:rsid w:val="0017396B"/>
    <w:rsid w:val="00173EFD"/>
    <w:rsid w:val="0017401D"/>
    <w:rsid w:val="00174206"/>
    <w:rsid w:val="00175F4A"/>
    <w:rsid w:val="00176458"/>
    <w:rsid w:val="00176A3E"/>
    <w:rsid w:val="00176BA0"/>
    <w:rsid w:val="00177426"/>
    <w:rsid w:val="00177814"/>
    <w:rsid w:val="001802F1"/>
    <w:rsid w:val="00180509"/>
    <w:rsid w:val="001807BF"/>
    <w:rsid w:val="0018145F"/>
    <w:rsid w:val="0018235A"/>
    <w:rsid w:val="0018316D"/>
    <w:rsid w:val="001838E4"/>
    <w:rsid w:val="00184D40"/>
    <w:rsid w:val="001859E1"/>
    <w:rsid w:val="00187C8B"/>
    <w:rsid w:val="00190937"/>
    <w:rsid w:val="001925CE"/>
    <w:rsid w:val="00192F13"/>
    <w:rsid w:val="00193975"/>
    <w:rsid w:val="00193B31"/>
    <w:rsid w:val="00193B89"/>
    <w:rsid w:val="00194F68"/>
    <w:rsid w:val="00195A27"/>
    <w:rsid w:val="0019682C"/>
    <w:rsid w:val="00196A96"/>
    <w:rsid w:val="00197050"/>
    <w:rsid w:val="0019727B"/>
    <w:rsid w:val="00197616"/>
    <w:rsid w:val="00197C45"/>
    <w:rsid w:val="001A0953"/>
    <w:rsid w:val="001A1A47"/>
    <w:rsid w:val="001A1D88"/>
    <w:rsid w:val="001A2004"/>
    <w:rsid w:val="001A22F2"/>
    <w:rsid w:val="001A2F34"/>
    <w:rsid w:val="001A3FC1"/>
    <w:rsid w:val="001A4D23"/>
    <w:rsid w:val="001A5236"/>
    <w:rsid w:val="001A561D"/>
    <w:rsid w:val="001A713E"/>
    <w:rsid w:val="001A730B"/>
    <w:rsid w:val="001A7807"/>
    <w:rsid w:val="001B0108"/>
    <w:rsid w:val="001B17A7"/>
    <w:rsid w:val="001B28E5"/>
    <w:rsid w:val="001B2DF4"/>
    <w:rsid w:val="001B3187"/>
    <w:rsid w:val="001B3978"/>
    <w:rsid w:val="001B5BA8"/>
    <w:rsid w:val="001B61DB"/>
    <w:rsid w:val="001B6E94"/>
    <w:rsid w:val="001B7F10"/>
    <w:rsid w:val="001B7F30"/>
    <w:rsid w:val="001C077F"/>
    <w:rsid w:val="001C1187"/>
    <w:rsid w:val="001C1CAE"/>
    <w:rsid w:val="001C29BC"/>
    <w:rsid w:val="001C590B"/>
    <w:rsid w:val="001C5E17"/>
    <w:rsid w:val="001C5F92"/>
    <w:rsid w:val="001C62E3"/>
    <w:rsid w:val="001C69B5"/>
    <w:rsid w:val="001C7E4D"/>
    <w:rsid w:val="001D0F74"/>
    <w:rsid w:val="001D1EB0"/>
    <w:rsid w:val="001D2213"/>
    <w:rsid w:val="001D2CAC"/>
    <w:rsid w:val="001D4436"/>
    <w:rsid w:val="001D463A"/>
    <w:rsid w:val="001D4DE2"/>
    <w:rsid w:val="001D52D3"/>
    <w:rsid w:val="001D6947"/>
    <w:rsid w:val="001D6EC0"/>
    <w:rsid w:val="001E18FE"/>
    <w:rsid w:val="001E1CA9"/>
    <w:rsid w:val="001E3B57"/>
    <w:rsid w:val="001E53EA"/>
    <w:rsid w:val="001E547C"/>
    <w:rsid w:val="001E63DA"/>
    <w:rsid w:val="001E663B"/>
    <w:rsid w:val="001E6848"/>
    <w:rsid w:val="001E710D"/>
    <w:rsid w:val="001E72C5"/>
    <w:rsid w:val="001E74A7"/>
    <w:rsid w:val="001F0C3A"/>
    <w:rsid w:val="001F31C4"/>
    <w:rsid w:val="001F357D"/>
    <w:rsid w:val="001F36A3"/>
    <w:rsid w:val="001F4200"/>
    <w:rsid w:val="001F5485"/>
    <w:rsid w:val="001F666D"/>
    <w:rsid w:val="001F6A24"/>
    <w:rsid w:val="001F6B19"/>
    <w:rsid w:val="001F7466"/>
    <w:rsid w:val="001F76DA"/>
    <w:rsid w:val="001F7815"/>
    <w:rsid w:val="001F7BA1"/>
    <w:rsid w:val="00200AF5"/>
    <w:rsid w:val="002014CE"/>
    <w:rsid w:val="00202F20"/>
    <w:rsid w:val="00203753"/>
    <w:rsid w:val="0020404D"/>
    <w:rsid w:val="002040CD"/>
    <w:rsid w:val="00204674"/>
    <w:rsid w:val="00206652"/>
    <w:rsid w:val="00206967"/>
    <w:rsid w:val="00206DA2"/>
    <w:rsid w:val="0020739B"/>
    <w:rsid w:val="002103DB"/>
    <w:rsid w:val="00210608"/>
    <w:rsid w:val="002109EC"/>
    <w:rsid w:val="00210F20"/>
    <w:rsid w:val="0021114E"/>
    <w:rsid w:val="00211F91"/>
    <w:rsid w:val="00212816"/>
    <w:rsid w:val="002137D5"/>
    <w:rsid w:val="002139F2"/>
    <w:rsid w:val="00214296"/>
    <w:rsid w:val="00215C12"/>
    <w:rsid w:val="0021782F"/>
    <w:rsid w:val="00220A02"/>
    <w:rsid w:val="00220C46"/>
    <w:rsid w:val="00220F0B"/>
    <w:rsid w:val="00221F85"/>
    <w:rsid w:val="00223277"/>
    <w:rsid w:val="00223AFB"/>
    <w:rsid w:val="00224275"/>
    <w:rsid w:val="0022586D"/>
    <w:rsid w:val="00225C3F"/>
    <w:rsid w:val="00226DD2"/>
    <w:rsid w:val="00227B60"/>
    <w:rsid w:val="00227E92"/>
    <w:rsid w:val="00230860"/>
    <w:rsid w:val="00230A55"/>
    <w:rsid w:val="00231401"/>
    <w:rsid w:val="00231A6E"/>
    <w:rsid w:val="00231FE1"/>
    <w:rsid w:val="002329A0"/>
    <w:rsid w:val="00232AA3"/>
    <w:rsid w:val="00232C5B"/>
    <w:rsid w:val="00232F76"/>
    <w:rsid w:val="0023379F"/>
    <w:rsid w:val="00233F04"/>
    <w:rsid w:val="00234E47"/>
    <w:rsid w:val="00235BE7"/>
    <w:rsid w:val="0023684B"/>
    <w:rsid w:val="00236EFF"/>
    <w:rsid w:val="0023775F"/>
    <w:rsid w:val="00237C49"/>
    <w:rsid w:val="00237E42"/>
    <w:rsid w:val="0024059F"/>
    <w:rsid w:val="0024096F"/>
    <w:rsid w:val="00240D95"/>
    <w:rsid w:val="00241156"/>
    <w:rsid w:val="002414DA"/>
    <w:rsid w:val="002419C2"/>
    <w:rsid w:val="0024261F"/>
    <w:rsid w:val="00242802"/>
    <w:rsid w:val="00242D0A"/>
    <w:rsid w:val="0024380F"/>
    <w:rsid w:val="0024453E"/>
    <w:rsid w:val="00244EE9"/>
    <w:rsid w:val="002458E0"/>
    <w:rsid w:val="0024784E"/>
    <w:rsid w:val="00247A35"/>
    <w:rsid w:val="002509FB"/>
    <w:rsid w:val="00250CEF"/>
    <w:rsid w:val="00251945"/>
    <w:rsid w:val="00254423"/>
    <w:rsid w:val="0025516E"/>
    <w:rsid w:val="00255367"/>
    <w:rsid w:val="00255AF6"/>
    <w:rsid w:val="00255D49"/>
    <w:rsid w:val="00255E25"/>
    <w:rsid w:val="00256A0C"/>
    <w:rsid w:val="00256D7A"/>
    <w:rsid w:val="00257291"/>
    <w:rsid w:val="00257B8D"/>
    <w:rsid w:val="00260832"/>
    <w:rsid w:val="00260EA4"/>
    <w:rsid w:val="00261C3C"/>
    <w:rsid w:val="00261F63"/>
    <w:rsid w:val="002626F4"/>
    <w:rsid w:val="002639F1"/>
    <w:rsid w:val="002640C7"/>
    <w:rsid w:val="00265766"/>
    <w:rsid w:val="00265BBA"/>
    <w:rsid w:val="0026645B"/>
    <w:rsid w:val="002668A4"/>
    <w:rsid w:val="00267961"/>
    <w:rsid w:val="00267D0B"/>
    <w:rsid w:val="002705F2"/>
    <w:rsid w:val="0027131B"/>
    <w:rsid w:val="002724D7"/>
    <w:rsid w:val="00272D5F"/>
    <w:rsid w:val="0027483B"/>
    <w:rsid w:val="002748C1"/>
    <w:rsid w:val="00274C0F"/>
    <w:rsid w:val="00274EEA"/>
    <w:rsid w:val="00276919"/>
    <w:rsid w:val="00280BA5"/>
    <w:rsid w:val="00281F2D"/>
    <w:rsid w:val="00282E24"/>
    <w:rsid w:val="00282F61"/>
    <w:rsid w:val="002832B7"/>
    <w:rsid w:val="002838C3"/>
    <w:rsid w:val="00283DE0"/>
    <w:rsid w:val="00284A8C"/>
    <w:rsid w:val="00286713"/>
    <w:rsid w:val="00286FA7"/>
    <w:rsid w:val="0029016E"/>
    <w:rsid w:val="002912EC"/>
    <w:rsid w:val="00291A2E"/>
    <w:rsid w:val="00292101"/>
    <w:rsid w:val="002922E2"/>
    <w:rsid w:val="00292476"/>
    <w:rsid w:val="00292592"/>
    <w:rsid w:val="002925BF"/>
    <w:rsid w:val="002926D9"/>
    <w:rsid w:val="0029284D"/>
    <w:rsid w:val="0029317C"/>
    <w:rsid w:val="00294423"/>
    <w:rsid w:val="0029485F"/>
    <w:rsid w:val="00294D65"/>
    <w:rsid w:val="00294E49"/>
    <w:rsid w:val="00295C08"/>
    <w:rsid w:val="002A0932"/>
    <w:rsid w:val="002A0B82"/>
    <w:rsid w:val="002A0E03"/>
    <w:rsid w:val="002A1D56"/>
    <w:rsid w:val="002A33D3"/>
    <w:rsid w:val="002A4015"/>
    <w:rsid w:val="002A446B"/>
    <w:rsid w:val="002A4B23"/>
    <w:rsid w:val="002A561A"/>
    <w:rsid w:val="002A5AE5"/>
    <w:rsid w:val="002A5B79"/>
    <w:rsid w:val="002A63AD"/>
    <w:rsid w:val="002A6602"/>
    <w:rsid w:val="002A6B88"/>
    <w:rsid w:val="002A6FCF"/>
    <w:rsid w:val="002A713C"/>
    <w:rsid w:val="002A7616"/>
    <w:rsid w:val="002A783B"/>
    <w:rsid w:val="002B0988"/>
    <w:rsid w:val="002B0D89"/>
    <w:rsid w:val="002B0F16"/>
    <w:rsid w:val="002B19BC"/>
    <w:rsid w:val="002B3C0E"/>
    <w:rsid w:val="002B4839"/>
    <w:rsid w:val="002B484D"/>
    <w:rsid w:val="002B4A19"/>
    <w:rsid w:val="002B4E1D"/>
    <w:rsid w:val="002B5CA4"/>
    <w:rsid w:val="002B6454"/>
    <w:rsid w:val="002B67AD"/>
    <w:rsid w:val="002B6B32"/>
    <w:rsid w:val="002B6C4F"/>
    <w:rsid w:val="002B76CB"/>
    <w:rsid w:val="002C1314"/>
    <w:rsid w:val="002C1B78"/>
    <w:rsid w:val="002C3705"/>
    <w:rsid w:val="002C4202"/>
    <w:rsid w:val="002C47C2"/>
    <w:rsid w:val="002C4F67"/>
    <w:rsid w:val="002C58DE"/>
    <w:rsid w:val="002C6940"/>
    <w:rsid w:val="002C784C"/>
    <w:rsid w:val="002C799B"/>
    <w:rsid w:val="002D202F"/>
    <w:rsid w:val="002D25F3"/>
    <w:rsid w:val="002D2A9E"/>
    <w:rsid w:val="002D2FE5"/>
    <w:rsid w:val="002D3B80"/>
    <w:rsid w:val="002D51D8"/>
    <w:rsid w:val="002D60BB"/>
    <w:rsid w:val="002D6202"/>
    <w:rsid w:val="002D64B8"/>
    <w:rsid w:val="002D6675"/>
    <w:rsid w:val="002D667E"/>
    <w:rsid w:val="002D67DA"/>
    <w:rsid w:val="002E031E"/>
    <w:rsid w:val="002E0A19"/>
    <w:rsid w:val="002E138D"/>
    <w:rsid w:val="002E1DC9"/>
    <w:rsid w:val="002E2424"/>
    <w:rsid w:val="002E2CBB"/>
    <w:rsid w:val="002E2D79"/>
    <w:rsid w:val="002E2E86"/>
    <w:rsid w:val="002E30B8"/>
    <w:rsid w:val="002E3461"/>
    <w:rsid w:val="002E37CD"/>
    <w:rsid w:val="002E3EBB"/>
    <w:rsid w:val="002E4B4C"/>
    <w:rsid w:val="002E52DB"/>
    <w:rsid w:val="002E609A"/>
    <w:rsid w:val="002E6353"/>
    <w:rsid w:val="002E6781"/>
    <w:rsid w:val="002E6852"/>
    <w:rsid w:val="002E6CED"/>
    <w:rsid w:val="002E78B0"/>
    <w:rsid w:val="002F0DD0"/>
    <w:rsid w:val="002F19FB"/>
    <w:rsid w:val="002F2B59"/>
    <w:rsid w:val="002F44F2"/>
    <w:rsid w:val="002F47A0"/>
    <w:rsid w:val="002F495C"/>
    <w:rsid w:val="002F54F6"/>
    <w:rsid w:val="002F69B1"/>
    <w:rsid w:val="002F73B9"/>
    <w:rsid w:val="002F75C8"/>
    <w:rsid w:val="002F77E1"/>
    <w:rsid w:val="002F7833"/>
    <w:rsid w:val="002F78F7"/>
    <w:rsid w:val="003008F7"/>
    <w:rsid w:val="00301989"/>
    <w:rsid w:val="00301A4C"/>
    <w:rsid w:val="003029FD"/>
    <w:rsid w:val="00302AEE"/>
    <w:rsid w:val="00303253"/>
    <w:rsid w:val="0030383F"/>
    <w:rsid w:val="00303FFC"/>
    <w:rsid w:val="00304619"/>
    <w:rsid w:val="0030461C"/>
    <w:rsid w:val="003046D1"/>
    <w:rsid w:val="00305118"/>
    <w:rsid w:val="0030535B"/>
    <w:rsid w:val="003058D2"/>
    <w:rsid w:val="0030647B"/>
    <w:rsid w:val="0030655B"/>
    <w:rsid w:val="00306677"/>
    <w:rsid w:val="00306D30"/>
    <w:rsid w:val="00307686"/>
    <w:rsid w:val="00310FA1"/>
    <w:rsid w:val="00314273"/>
    <w:rsid w:val="0031431F"/>
    <w:rsid w:val="003144BB"/>
    <w:rsid w:val="00314CFB"/>
    <w:rsid w:val="00315200"/>
    <w:rsid w:val="0031533E"/>
    <w:rsid w:val="00315603"/>
    <w:rsid w:val="003157E8"/>
    <w:rsid w:val="00316CA7"/>
    <w:rsid w:val="00316DDB"/>
    <w:rsid w:val="003178BC"/>
    <w:rsid w:val="00317C0F"/>
    <w:rsid w:val="00320756"/>
    <w:rsid w:val="00320CC0"/>
    <w:rsid w:val="00320FCB"/>
    <w:rsid w:val="0032147E"/>
    <w:rsid w:val="003219F6"/>
    <w:rsid w:val="00321F95"/>
    <w:rsid w:val="00322437"/>
    <w:rsid w:val="003224C5"/>
    <w:rsid w:val="00322CC0"/>
    <w:rsid w:val="003230C7"/>
    <w:rsid w:val="003233D5"/>
    <w:rsid w:val="00323F19"/>
    <w:rsid w:val="00325355"/>
    <w:rsid w:val="00325440"/>
    <w:rsid w:val="00325B7F"/>
    <w:rsid w:val="00325E88"/>
    <w:rsid w:val="00327EF8"/>
    <w:rsid w:val="003300D1"/>
    <w:rsid w:val="00330A61"/>
    <w:rsid w:val="00331363"/>
    <w:rsid w:val="0033187C"/>
    <w:rsid w:val="00331A8E"/>
    <w:rsid w:val="00332E85"/>
    <w:rsid w:val="0033398C"/>
    <w:rsid w:val="003346C7"/>
    <w:rsid w:val="003354C8"/>
    <w:rsid w:val="0033576B"/>
    <w:rsid w:val="00335F8D"/>
    <w:rsid w:val="00336336"/>
    <w:rsid w:val="00336F54"/>
    <w:rsid w:val="00337642"/>
    <w:rsid w:val="00337CC2"/>
    <w:rsid w:val="00340152"/>
    <w:rsid w:val="00340510"/>
    <w:rsid w:val="00341BD1"/>
    <w:rsid w:val="00342171"/>
    <w:rsid w:val="0034306D"/>
    <w:rsid w:val="00343548"/>
    <w:rsid w:val="00343CC8"/>
    <w:rsid w:val="003447F8"/>
    <w:rsid w:val="00345062"/>
    <w:rsid w:val="003453C0"/>
    <w:rsid w:val="0034550C"/>
    <w:rsid w:val="00345C56"/>
    <w:rsid w:val="00345C69"/>
    <w:rsid w:val="00345DDC"/>
    <w:rsid w:val="00345F26"/>
    <w:rsid w:val="00346F81"/>
    <w:rsid w:val="00347469"/>
    <w:rsid w:val="00347BFD"/>
    <w:rsid w:val="00350791"/>
    <w:rsid w:val="00350A42"/>
    <w:rsid w:val="0035142E"/>
    <w:rsid w:val="003517A7"/>
    <w:rsid w:val="00351C36"/>
    <w:rsid w:val="00352954"/>
    <w:rsid w:val="003550E4"/>
    <w:rsid w:val="00355290"/>
    <w:rsid w:val="00355680"/>
    <w:rsid w:val="00355715"/>
    <w:rsid w:val="003561B8"/>
    <w:rsid w:val="00356C21"/>
    <w:rsid w:val="0035798E"/>
    <w:rsid w:val="0036176E"/>
    <w:rsid w:val="00361DD4"/>
    <w:rsid w:val="00361F64"/>
    <w:rsid w:val="003639AE"/>
    <w:rsid w:val="00365019"/>
    <w:rsid w:val="0036666A"/>
    <w:rsid w:val="003679EE"/>
    <w:rsid w:val="00370B82"/>
    <w:rsid w:val="0037134E"/>
    <w:rsid w:val="00371632"/>
    <w:rsid w:val="00371C7C"/>
    <w:rsid w:val="00371E53"/>
    <w:rsid w:val="00372220"/>
    <w:rsid w:val="00372435"/>
    <w:rsid w:val="0037378B"/>
    <w:rsid w:val="0037423B"/>
    <w:rsid w:val="003747D8"/>
    <w:rsid w:val="0037528F"/>
    <w:rsid w:val="00375443"/>
    <w:rsid w:val="003756D1"/>
    <w:rsid w:val="00375832"/>
    <w:rsid w:val="00375969"/>
    <w:rsid w:val="00375B8D"/>
    <w:rsid w:val="00375C54"/>
    <w:rsid w:val="00375CF3"/>
    <w:rsid w:val="0037629F"/>
    <w:rsid w:val="0037647A"/>
    <w:rsid w:val="003767CF"/>
    <w:rsid w:val="003772E6"/>
    <w:rsid w:val="003779C9"/>
    <w:rsid w:val="00377A5A"/>
    <w:rsid w:val="00377A97"/>
    <w:rsid w:val="0038024C"/>
    <w:rsid w:val="00380681"/>
    <w:rsid w:val="00381DDC"/>
    <w:rsid w:val="00382D8C"/>
    <w:rsid w:val="00382EB7"/>
    <w:rsid w:val="0038300A"/>
    <w:rsid w:val="003838DB"/>
    <w:rsid w:val="00383C70"/>
    <w:rsid w:val="00383E23"/>
    <w:rsid w:val="00384993"/>
    <w:rsid w:val="003849AF"/>
    <w:rsid w:val="003849E5"/>
    <w:rsid w:val="00384A34"/>
    <w:rsid w:val="003851E4"/>
    <w:rsid w:val="00385205"/>
    <w:rsid w:val="00385241"/>
    <w:rsid w:val="00385C4C"/>
    <w:rsid w:val="00385C54"/>
    <w:rsid w:val="003862EA"/>
    <w:rsid w:val="00386E32"/>
    <w:rsid w:val="00387FDE"/>
    <w:rsid w:val="00390020"/>
    <w:rsid w:val="00390027"/>
    <w:rsid w:val="003905D5"/>
    <w:rsid w:val="00391E39"/>
    <w:rsid w:val="00391E67"/>
    <w:rsid w:val="00391F78"/>
    <w:rsid w:val="0039253E"/>
    <w:rsid w:val="0039298F"/>
    <w:rsid w:val="00392F1D"/>
    <w:rsid w:val="003932E1"/>
    <w:rsid w:val="00393709"/>
    <w:rsid w:val="00393A0E"/>
    <w:rsid w:val="00393EC2"/>
    <w:rsid w:val="00394412"/>
    <w:rsid w:val="00394697"/>
    <w:rsid w:val="00394DBB"/>
    <w:rsid w:val="00395373"/>
    <w:rsid w:val="003960DE"/>
    <w:rsid w:val="00396216"/>
    <w:rsid w:val="0039687C"/>
    <w:rsid w:val="00396DED"/>
    <w:rsid w:val="00397A38"/>
    <w:rsid w:val="00397FB0"/>
    <w:rsid w:val="003A0292"/>
    <w:rsid w:val="003A064E"/>
    <w:rsid w:val="003A0689"/>
    <w:rsid w:val="003A0AFB"/>
    <w:rsid w:val="003A15DF"/>
    <w:rsid w:val="003A2142"/>
    <w:rsid w:val="003A2D7F"/>
    <w:rsid w:val="003A302F"/>
    <w:rsid w:val="003A38AB"/>
    <w:rsid w:val="003A3BB7"/>
    <w:rsid w:val="003A48FD"/>
    <w:rsid w:val="003A4965"/>
    <w:rsid w:val="003A71F9"/>
    <w:rsid w:val="003A740E"/>
    <w:rsid w:val="003B017B"/>
    <w:rsid w:val="003B0D4E"/>
    <w:rsid w:val="003B17D7"/>
    <w:rsid w:val="003B347F"/>
    <w:rsid w:val="003B45F1"/>
    <w:rsid w:val="003B49E8"/>
    <w:rsid w:val="003B6318"/>
    <w:rsid w:val="003B68B3"/>
    <w:rsid w:val="003B6C86"/>
    <w:rsid w:val="003B6D27"/>
    <w:rsid w:val="003B6EFF"/>
    <w:rsid w:val="003B76DC"/>
    <w:rsid w:val="003B77AB"/>
    <w:rsid w:val="003C0154"/>
    <w:rsid w:val="003C05DB"/>
    <w:rsid w:val="003C0838"/>
    <w:rsid w:val="003C09C9"/>
    <w:rsid w:val="003C0EFA"/>
    <w:rsid w:val="003C1648"/>
    <w:rsid w:val="003C392F"/>
    <w:rsid w:val="003C3DC9"/>
    <w:rsid w:val="003C42DD"/>
    <w:rsid w:val="003C5F4C"/>
    <w:rsid w:val="003C73EF"/>
    <w:rsid w:val="003C790D"/>
    <w:rsid w:val="003C7AF5"/>
    <w:rsid w:val="003C7CE1"/>
    <w:rsid w:val="003D02E9"/>
    <w:rsid w:val="003D137D"/>
    <w:rsid w:val="003D199C"/>
    <w:rsid w:val="003D27BA"/>
    <w:rsid w:val="003D42F3"/>
    <w:rsid w:val="003D4458"/>
    <w:rsid w:val="003D4626"/>
    <w:rsid w:val="003D4632"/>
    <w:rsid w:val="003D4F58"/>
    <w:rsid w:val="003D5132"/>
    <w:rsid w:val="003D590A"/>
    <w:rsid w:val="003D73A0"/>
    <w:rsid w:val="003D76A0"/>
    <w:rsid w:val="003D7A85"/>
    <w:rsid w:val="003E0469"/>
    <w:rsid w:val="003E06DC"/>
    <w:rsid w:val="003E0C4A"/>
    <w:rsid w:val="003E0EA8"/>
    <w:rsid w:val="003E141A"/>
    <w:rsid w:val="003E159E"/>
    <w:rsid w:val="003E1F08"/>
    <w:rsid w:val="003E294E"/>
    <w:rsid w:val="003E3913"/>
    <w:rsid w:val="003E4026"/>
    <w:rsid w:val="003E5458"/>
    <w:rsid w:val="003E5626"/>
    <w:rsid w:val="003E5BD1"/>
    <w:rsid w:val="003E5CB0"/>
    <w:rsid w:val="003E6573"/>
    <w:rsid w:val="003E6B11"/>
    <w:rsid w:val="003E7CF9"/>
    <w:rsid w:val="003E7FBC"/>
    <w:rsid w:val="003F0BB0"/>
    <w:rsid w:val="003F1AA3"/>
    <w:rsid w:val="003F1BCE"/>
    <w:rsid w:val="003F2EAC"/>
    <w:rsid w:val="003F3134"/>
    <w:rsid w:val="003F3585"/>
    <w:rsid w:val="003F3C77"/>
    <w:rsid w:val="003F4B9A"/>
    <w:rsid w:val="003F5415"/>
    <w:rsid w:val="003F55F1"/>
    <w:rsid w:val="003F56B0"/>
    <w:rsid w:val="003F5751"/>
    <w:rsid w:val="003F5E3F"/>
    <w:rsid w:val="003F6FAC"/>
    <w:rsid w:val="0040025A"/>
    <w:rsid w:val="00400CE0"/>
    <w:rsid w:val="00401521"/>
    <w:rsid w:val="004018AE"/>
    <w:rsid w:val="00401B10"/>
    <w:rsid w:val="00401D49"/>
    <w:rsid w:val="00402246"/>
    <w:rsid w:val="00403F56"/>
    <w:rsid w:val="00404385"/>
    <w:rsid w:val="004049F4"/>
    <w:rsid w:val="00404AF7"/>
    <w:rsid w:val="00404EC4"/>
    <w:rsid w:val="004050D9"/>
    <w:rsid w:val="004056DB"/>
    <w:rsid w:val="00406022"/>
    <w:rsid w:val="0040625F"/>
    <w:rsid w:val="00406EF1"/>
    <w:rsid w:val="00407697"/>
    <w:rsid w:val="00407942"/>
    <w:rsid w:val="00407A14"/>
    <w:rsid w:val="00407CF1"/>
    <w:rsid w:val="00407FE1"/>
    <w:rsid w:val="00410AB9"/>
    <w:rsid w:val="004111C9"/>
    <w:rsid w:val="00411551"/>
    <w:rsid w:val="00412656"/>
    <w:rsid w:val="00412BE8"/>
    <w:rsid w:val="004135AE"/>
    <w:rsid w:val="00413E5C"/>
    <w:rsid w:val="00413E62"/>
    <w:rsid w:val="004141D9"/>
    <w:rsid w:val="00414F32"/>
    <w:rsid w:val="00414F5E"/>
    <w:rsid w:val="00415504"/>
    <w:rsid w:val="00417005"/>
    <w:rsid w:val="00417438"/>
    <w:rsid w:val="004202B0"/>
    <w:rsid w:val="0042129A"/>
    <w:rsid w:val="00421C38"/>
    <w:rsid w:val="00421CA7"/>
    <w:rsid w:val="00421E07"/>
    <w:rsid w:val="0042352D"/>
    <w:rsid w:val="00424F73"/>
    <w:rsid w:val="004258AE"/>
    <w:rsid w:val="00425944"/>
    <w:rsid w:val="00425F5E"/>
    <w:rsid w:val="00430AD3"/>
    <w:rsid w:val="004312A8"/>
    <w:rsid w:val="00431BF5"/>
    <w:rsid w:val="00431E4A"/>
    <w:rsid w:val="004341CB"/>
    <w:rsid w:val="00434842"/>
    <w:rsid w:val="00435789"/>
    <w:rsid w:val="004359E0"/>
    <w:rsid w:val="00435F8D"/>
    <w:rsid w:val="00436782"/>
    <w:rsid w:val="00440EF6"/>
    <w:rsid w:val="0044121A"/>
    <w:rsid w:val="0044184B"/>
    <w:rsid w:val="004418FA"/>
    <w:rsid w:val="00442170"/>
    <w:rsid w:val="004429E2"/>
    <w:rsid w:val="004430B0"/>
    <w:rsid w:val="00443A01"/>
    <w:rsid w:val="004445EB"/>
    <w:rsid w:val="00445A4D"/>
    <w:rsid w:val="00445A89"/>
    <w:rsid w:val="0044612D"/>
    <w:rsid w:val="0044651C"/>
    <w:rsid w:val="0044673C"/>
    <w:rsid w:val="00447415"/>
    <w:rsid w:val="00447E5D"/>
    <w:rsid w:val="004513CC"/>
    <w:rsid w:val="004517A1"/>
    <w:rsid w:val="00451916"/>
    <w:rsid w:val="00451C43"/>
    <w:rsid w:val="00452F98"/>
    <w:rsid w:val="00453550"/>
    <w:rsid w:val="00453A27"/>
    <w:rsid w:val="00453A81"/>
    <w:rsid w:val="0045488D"/>
    <w:rsid w:val="00455215"/>
    <w:rsid w:val="00456998"/>
    <w:rsid w:val="004573C6"/>
    <w:rsid w:val="004575E4"/>
    <w:rsid w:val="00457A01"/>
    <w:rsid w:val="00463B8A"/>
    <w:rsid w:val="00464140"/>
    <w:rsid w:val="0046420B"/>
    <w:rsid w:val="00464F54"/>
    <w:rsid w:val="004678DC"/>
    <w:rsid w:val="00467CD4"/>
    <w:rsid w:val="004700DD"/>
    <w:rsid w:val="004726D2"/>
    <w:rsid w:val="00473697"/>
    <w:rsid w:val="004738BB"/>
    <w:rsid w:val="00474A72"/>
    <w:rsid w:val="004763E5"/>
    <w:rsid w:val="004765C3"/>
    <w:rsid w:val="004765E9"/>
    <w:rsid w:val="00476637"/>
    <w:rsid w:val="00477997"/>
    <w:rsid w:val="00477AF9"/>
    <w:rsid w:val="004804AB"/>
    <w:rsid w:val="00480BA7"/>
    <w:rsid w:val="004816EB"/>
    <w:rsid w:val="0048185C"/>
    <w:rsid w:val="00482C31"/>
    <w:rsid w:val="00483E20"/>
    <w:rsid w:val="0048408D"/>
    <w:rsid w:val="00484330"/>
    <w:rsid w:val="00484349"/>
    <w:rsid w:val="004847A4"/>
    <w:rsid w:val="0048503E"/>
    <w:rsid w:val="00485968"/>
    <w:rsid w:val="00486013"/>
    <w:rsid w:val="004868C2"/>
    <w:rsid w:val="004873D8"/>
    <w:rsid w:val="00490639"/>
    <w:rsid w:val="004912B3"/>
    <w:rsid w:val="00491465"/>
    <w:rsid w:val="0049250D"/>
    <w:rsid w:val="0049366C"/>
    <w:rsid w:val="0049369C"/>
    <w:rsid w:val="004938B8"/>
    <w:rsid w:val="00493F82"/>
    <w:rsid w:val="004947DF"/>
    <w:rsid w:val="00494ACE"/>
    <w:rsid w:val="004958B5"/>
    <w:rsid w:val="00495EA5"/>
    <w:rsid w:val="00496111"/>
    <w:rsid w:val="00496387"/>
    <w:rsid w:val="00496421"/>
    <w:rsid w:val="00496DCC"/>
    <w:rsid w:val="00497DB3"/>
    <w:rsid w:val="004A00B6"/>
    <w:rsid w:val="004A033F"/>
    <w:rsid w:val="004A0809"/>
    <w:rsid w:val="004A19A9"/>
    <w:rsid w:val="004A1A17"/>
    <w:rsid w:val="004A266A"/>
    <w:rsid w:val="004A2741"/>
    <w:rsid w:val="004A55B2"/>
    <w:rsid w:val="004A589C"/>
    <w:rsid w:val="004A5D5A"/>
    <w:rsid w:val="004A5E1F"/>
    <w:rsid w:val="004A6008"/>
    <w:rsid w:val="004A6616"/>
    <w:rsid w:val="004A7008"/>
    <w:rsid w:val="004A766E"/>
    <w:rsid w:val="004A77D4"/>
    <w:rsid w:val="004B0176"/>
    <w:rsid w:val="004B01EC"/>
    <w:rsid w:val="004B0B65"/>
    <w:rsid w:val="004B0C06"/>
    <w:rsid w:val="004B345D"/>
    <w:rsid w:val="004B4060"/>
    <w:rsid w:val="004B4274"/>
    <w:rsid w:val="004B4C79"/>
    <w:rsid w:val="004B4E0A"/>
    <w:rsid w:val="004B5DDC"/>
    <w:rsid w:val="004B665D"/>
    <w:rsid w:val="004B688B"/>
    <w:rsid w:val="004B77B4"/>
    <w:rsid w:val="004C00FD"/>
    <w:rsid w:val="004C18D9"/>
    <w:rsid w:val="004C1D51"/>
    <w:rsid w:val="004C1DC8"/>
    <w:rsid w:val="004C3342"/>
    <w:rsid w:val="004C387E"/>
    <w:rsid w:val="004C3D35"/>
    <w:rsid w:val="004C494B"/>
    <w:rsid w:val="004C496E"/>
    <w:rsid w:val="004C5628"/>
    <w:rsid w:val="004C58BE"/>
    <w:rsid w:val="004C6767"/>
    <w:rsid w:val="004C77C2"/>
    <w:rsid w:val="004C7944"/>
    <w:rsid w:val="004D042C"/>
    <w:rsid w:val="004D049F"/>
    <w:rsid w:val="004D07C0"/>
    <w:rsid w:val="004D08E5"/>
    <w:rsid w:val="004D1B95"/>
    <w:rsid w:val="004D200A"/>
    <w:rsid w:val="004D2081"/>
    <w:rsid w:val="004D2F3D"/>
    <w:rsid w:val="004D2F42"/>
    <w:rsid w:val="004D3F76"/>
    <w:rsid w:val="004D4C59"/>
    <w:rsid w:val="004D4EC2"/>
    <w:rsid w:val="004D591B"/>
    <w:rsid w:val="004D5CF2"/>
    <w:rsid w:val="004D713B"/>
    <w:rsid w:val="004D790B"/>
    <w:rsid w:val="004D7F6E"/>
    <w:rsid w:val="004D7FA7"/>
    <w:rsid w:val="004E00F8"/>
    <w:rsid w:val="004E022F"/>
    <w:rsid w:val="004E0529"/>
    <w:rsid w:val="004E22F3"/>
    <w:rsid w:val="004E2A18"/>
    <w:rsid w:val="004E30DD"/>
    <w:rsid w:val="004E33DC"/>
    <w:rsid w:val="004E3F42"/>
    <w:rsid w:val="004E4038"/>
    <w:rsid w:val="004E50CC"/>
    <w:rsid w:val="004E5B32"/>
    <w:rsid w:val="004E677E"/>
    <w:rsid w:val="004E68C5"/>
    <w:rsid w:val="004E6CA9"/>
    <w:rsid w:val="004E7AB5"/>
    <w:rsid w:val="004F01B1"/>
    <w:rsid w:val="004F0790"/>
    <w:rsid w:val="004F0E82"/>
    <w:rsid w:val="004F1960"/>
    <w:rsid w:val="004F19F8"/>
    <w:rsid w:val="004F1B0C"/>
    <w:rsid w:val="004F23AE"/>
    <w:rsid w:val="004F2859"/>
    <w:rsid w:val="004F337C"/>
    <w:rsid w:val="004F3CF5"/>
    <w:rsid w:val="004F41A3"/>
    <w:rsid w:val="004F41E6"/>
    <w:rsid w:val="004F47E9"/>
    <w:rsid w:val="004F480B"/>
    <w:rsid w:val="004F4C67"/>
    <w:rsid w:val="004F5AB1"/>
    <w:rsid w:val="004F6935"/>
    <w:rsid w:val="004F72B3"/>
    <w:rsid w:val="0050006F"/>
    <w:rsid w:val="00500B7D"/>
    <w:rsid w:val="00501E7B"/>
    <w:rsid w:val="00502029"/>
    <w:rsid w:val="00502B91"/>
    <w:rsid w:val="00502CE2"/>
    <w:rsid w:val="00502E5E"/>
    <w:rsid w:val="005031B3"/>
    <w:rsid w:val="00503512"/>
    <w:rsid w:val="00504539"/>
    <w:rsid w:val="00505791"/>
    <w:rsid w:val="0050638D"/>
    <w:rsid w:val="0050661C"/>
    <w:rsid w:val="005077E4"/>
    <w:rsid w:val="00507E1C"/>
    <w:rsid w:val="00510358"/>
    <w:rsid w:val="005103DB"/>
    <w:rsid w:val="005104A1"/>
    <w:rsid w:val="0051055F"/>
    <w:rsid w:val="005113F3"/>
    <w:rsid w:val="00511918"/>
    <w:rsid w:val="005127DC"/>
    <w:rsid w:val="00514108"/>
    <w:rsid w:val="005146C7"/>
    <w:rsid w:val="00515783"/>
    <w:rsid w:val="00515FF1"/>
    <w:rsid w:val="00516439"/>
    <w:rsid w:val="0051712D"/>
    <w:rsid w:val="0051775A"/>
    <w:rsid w:val="005178BB"/>
    <w:rsid w:val="00520065"/>
    <w:rsid w:val="00520257"/>
    <w:rsid w:val="005203CC"/>
    <w:rsid w:val="005250F4"/>
    <w:rsid w:val="00525D3E"/>
    <w:rsid w:val="00525E9E"/>
    <w:rsid w:val="00526B33"/>
    <w:rsid w:val="00526F9D"/>
    <w:rsid w:val="00527832"/>
    <w:rsid w:val="005279F8"/>
    <w:rsid w:val="00527DC4"/>
    <w:rsid w:val="005302ED"/>
    <w:rsid w:val="005314CF"/>
    <w:rsid w:val="00531866"/>
    <w:rsid w:val="00531EAB"/>
    <w:rsid w:val="005329DD"/>
    <w:rsid w:val="00532B1B"/>
    <w:rsid w:val="00533238"/>
    <w:rsid w:val="005335A7"/>
    <w:rsid w:val="005348F9"/>
    <w:rsid w:val="0053534B"/>
    <w:rsid w:val="00535AE8"/>
    <w:rsid w:val="00535B51"/>
    <w:rsid w:val="00540539"/>
    <w:rsid w:val="00540A4D"/>
    <w:rsid w:val="0054110E"/>
    <w:rsid w:val="00541165"/>
    <w:rsid w:val="00541206"/>
    <w:rsid w:val="00541BAB"/>
    <w:rsid w:val="00541BE2"/>
    <w:rsid w:val="00542864"/>
    <w:rsid w:val="0054335C"/>
    <w:rsid w:val="00543F4E"/>
    <w:rsid w:val="005448D3"/>
    <w:rsid w:val="00544952"/>
    <w:rsid w:val="00545FB1"/>
    <w:rsid w:val="0054617F"/>
    <w:rsid w:val="00546C7C"/>
    <w:rsid w:val="00547C9F"/>
    <w:rsid w:val="005505F0"/>
    <w:rsid w:val="00551C26"/>
    <w:rsid w:val="005522A5"/>
    <w:rsid w:val="005523B8"/>
    <w:rsid w:val="00552515"/>
    <w:rsid w:val="00552B3B"/>
    <w:rsid w:val="00552B9A"/>
    <w:rsid w:val="00552D06"/>
    <w:rsid w:val="005530AD"/>
    <w:rsid w:val="005532AD"/>
    <w:rsid w:val="00553803"/>
    <w:rsid w:val="00553DA6"/>
    <w:rsid w:val="00554D82"/>
    <w:rsid w:val="005555C1"/>
    <w:rsid w:val="00555C72"/>
    <w:rsid w:val="0055603A"/>
    <w:rsid w:val="00556EA8"/>
    <w:rsid w:val="00557179"/>
    <w:rsid w:val="00557200"/>
    <w:rsid w:val="00560241"/>
    <w:rsid w:val="00560D1C"/>
    <w:rsid w:val="00561830"/>
    <w:rsid w:val="00562D85"/>
    <w:rsid w:val="00563F96"/>
    <w:rsid w:val="00566889"/>
    <w:rsid w:val="00566D27"/>
    <w:rsid w:val="00567D0D"/>
    <w:rsid w:val="00570A43"/>
    <w:rsid w:val="00571851"/>
    <w:rsid w:val="00571974"/>
    <w:rsid w:val="00571E3F"/>
    <w:rsid w:val="0057200C"/>
    <w:rsid w:val="00572E24"/>
    <w:rsid w:val="00573B86"/>
    <w:rsid w:val="00573F98"/>
    <w:rsid w:val="00575880"/>
    <w:rsid w:val="00576309"/>
    <w:rsid w:val="005767CA"/>
    <w:rsid w:val="00576F2C"/>
    <w:rsid w:val="0057701D"/>
    <w:rsid w:val="005770B2"/>
    <w:rsid w:val="00577E5E"/>
    <w:rsid w:val="00580FD6"/>
    <w:rsid w:val="00581D76"/>
    <w:rsid w:val="00582261"/>
    <w:rsid w:val="0058234B"/>
    <w:rsid w:val="005830F6"/>
    <w:rsid w:val="00583864"/>
    <w:rsid w:val="00584969"/>
    <w:rsid w:val="00585B6A"/>
    <w:rsid w:val="005864F1"/>
    <w:rsid w:val="00586ABF"/>
    <w:rsid w:val="00586CFC"/>
    <w:rsid w:val="00586FB5"/>
    <w:rsid w:val="00587167"/>
    <w:rsid w:val="005878D1"/>
    <w:rsid w:val="00587AB6"/>
    <w:rsid w:val="005900A2"/>
    <w:rsid w:val="005918F9"/>
    <w:rsid w:val="00593AE3"/>
    <w:rsid w:val="005952E1"/>
    <w:rsid w:val="00596120"/>
    <w:rsid w:val="00596E08"/>
    <w:rsid w:val="005970DC"/>
    <w:rsid w:val="00597263"/>
    <w:rsid w:val="00597E31"/>
    <w:rsid w:val="00597E47"/>
    <w:rsid w:val="00597F93"/>
    <w:rsid w:val="005A00EC"/>
    <w:rsid w:val="005A0A36"/>
    <w:rsid w:val="005A0BD9"/>
    <w:rsid w:val="005A19EE"/>
    <w:rsid w:val="005A1E8A"/>
    <w:rsid w:val="005A20A5"/>
    <w:rsid w:val="005A254B"/>
    <w:rsid w:val="005A2844"/>
    <w:rsid w:val="005A299C"/>
    <w:rsid w:val="005A2C8E"/>
    <w:rsid w:val="005A2DC0"/>
    <w:rsid w:val="005A3B2A"/>
    <w:rsid w:val="005A420A"/>
    <w:rsid w:val="005A4562"/>
    <w:rsid w:val="005A46F2"/>
    <w:rsid w:val="005A47C3"/>
    <w:rsid w:val="005A568B"/>
    <w:rsid w:val="005A5FD6"/>
    <w:rsid w:val="005A6D05"/>
    <w:rsid w:val="005A7191"/>
    <w:rsid w:val="005A7E3E"/>
    <w:rsid w:val="005B01D0"/>
    <w:rsid w:val="005B0B46"/>
    <w:rsid w:val="005B0B81"/>
    <w:rsid w:val="005B0C78"/>
    <w:rsid w:val="005B241B"/>
    <w:rsid w:val="005B243D"/>
    <w:rsid w:val="005B3767"/>
    <w:rsid w:val="005B3C63"/>
    <w:rsid w:val="005B40D4"/>
    <w:rsid w:val="005B5074"/>
    <w:rsid w:val="005B5C19"/>
    <w:rsid w:val="005B5D05"/>
    <w:rsid w:val="005B6354"/>
    <w:rsid w:val="005B700D"/>
    <w:rsid w:val="005B768D"/>
    <w:rsid w:val="005C015D"/>
    <w:rsid w:val="005C0304"/>
    <w:rsid w:val="005C0BD3"/>
    <w:rsid w:val="005C0DCB"/>
    <w:rsid w:val="005C228E"/>
    <w:rsid w:val="005C2870"/>
    <w:rsid w:val="005C463A"/>
    <w:rsid w:val="005C524B"/>
    <w:rsid w:val="005C54D2"/>
    <w:rsid w:val="005C5D9E"/>
    <w:rsid w:val="005C6A35"/>
    <w:rsid w:val="005C6F5D"/>
    <w:rsid w:val="005D0408"/>
    <w:rsid w:val="005D2C63"/>
    <w:rsid w:val="005D3207"/>
    <w:rsid w:val="005D3AB0"/>
    <w:rsid w:val="005D4169"/>
    <w:rsid w:val="005D4DD0"/>
    <w:rsid w:val="005D504D"/>
    <w:rsid w:val="005D51AB"/>
    <w:rsid w:val="005D6078"/>
    <w:rsid w:val="005D7324"/>
    <w:rsid w:val="005D7AC8"/>
    <w:rsid w:val="005E1542"/>
    <w:rsid w:val="005E1913"/>
    <w:rsid w:val="005E1A2B"/>
    <w:rsid w:val="005E26C0"/>
    <w:rsid w:val="005E277A"/>
    <w:rsid w:val="005E43C5"/>
    <w:rsid w:val="005E465C"/>
    <w:rsid w:val="005E5186"/>
    <w:rsid w:val="005E74A4"/>
    <w:rsid w:val="005F001E"/>
    <w:rsid w:val="005F1573"/>
    <w:rsid w:val="005F28D7"/>
    <w:rsid w:val="005F2A7B"/>
    <w:rsid w:val="005F2C14"/>
    <w:rsid w:val="005F3937"/>
    <w:rsid w:val="005F3ABB"/>
    <w:rsid w:val="005F51E9"/>
    <w:rsid w:val="005F6265"/>
    <w:rsid w:val="005F72B8"/>
    <w:rsid w:val="00600301"/>
    <w:rsid w:val="00602BF6"/>
    <w:rsid w:val="00603736"/>
    <w:rsid w:val="0060434B"/>
    <w:rsid w:val="00604417"/>
    <w:rsid w:val="00604821"/>
    <w:rsid w:val="00604A66"/>
    <w:rsid w:val="00604F1E"/>
    <w:rsid w:val="00606138"/>
    <w:rsid w:val="00606DE2"/>
    <w:rsid w:val="00607599"/>
    <w:rsid w:val="006078BD"/>
    <w:rsid w:val="00607CAA"/>
    <w:rsid w:val="00610185"/>
    <w:rsid w:val="0061025C"/>
    <w:rsid w:val="00610961"/>
    <w:rsid w:val="00610B3F"/>
    <w:rsid w:val="00610B8C"/>
    <w:rsid w:val="00610D7F"/>
    <w:rsid w:val="00612227"/>
    <w:rsid w:val="0061244A"/>
    <w:rsid w:val="006124ED"/>
    <w:rsid w:val="00615591"/>
    <w:rsid w:val="006157FD"/>
    <w:rsid w:val="0061598B"/>
    <w:rsid w:val="006161AC"/>
    <w:rsid w:val="00617407"/>
    <w:rsid w:val="00617441"/>
    <w:rsid w:val="0061760D"/>
    <w:rsid w:val="0062052D"/>
    <w:rsid w:val="00620852"/>
    <w:rsid w:val="00620A93"/>
    <w:rsid w:val="00620DD2"/>
    <w:rsid w:val="00620FB0"/>
    <w:rsid w:val="0062140C"/>
    <w:rsid w:val="006223CC"/>
    <w:rsid w:val="00622A54"/>
    <w:rsid w:val="0062304B"/>
    <w:rsid w:val="00623AEE"/>
    <w:rsid w:val="0062419D"/>
    <w:rsid w:val="00624296"/>
    <w:rsid w:val="00625A52"/>
    <w:rsid w:val="00625A64"/>
    <w:rsid w:val="00625D6F"/>
    <w:rsid w:val="00625FD8"/>
    <w:rsid w:val="00626129"/>
    <w:rsid w:val="006262BA"/>
    <w:rsid w:val="0063089C"/>
    <w:rsid w:val="006311B0"/>
    <w:rsid w:val="006318E8"/>
    <w:rsid w:val="006324CD"/>
    <w:rsid w:val="006334D3"/>
    <w:rsid w:val="0063402C"/>
    <w:rsid w:val="006340AD"/>
    <w:rsid w:val="00634427"/>
    <w:rsid w:val="006357CA"/>
    <w:rsid w:val="00636E72"/>
    <w:rsid w:val="006370C8"/>
    <w:rsid w:val="006371E1"/>
    <w:rsid w:val="006374C1"/>
    <w:rsid w:val="00640DBF"/>
    <w:rsid w:val="00641D0C"/>
    <w:rsid w:val="00641FA1"/>
    <w:rsid w:val="006429B9"/>
    <w:rsid w:val="0064403D"/>
    <w:rsid w:val="00644081"/>
    <w:rsid w:val="006442B7"/>
    <w:rsid w:val="006444E3"/>
    <w:rsid w:val="00644784"/>
    <w:rsid w:val="006449FA"/>
    <w:rsid w:val="0064566F"/>
    <w:rsid w:val="0064679C"/>
    <w:rsid w:val="00646985"/>
    <w:rsid w:val="00647338"/>
    <w:rsid w:val="00647574"/>
    <w:rsid w:val="00647B7A"/>
    <w:rsid w:val="00647FE9"/>
    <w:rsid w:val="00650009"/>
    <w:rsid w:val="00650F14"/>
    <w:rsid w:val="006510DC"/>
    <w:rsid w:val="00651463"/>
    <w:rsid w:val="00651F44"/>
    <w:rsid w:val="006522D2"/>
    <w:rsid w:val="00653692"/>
    <w:rsid w:val="0065413B"/>
    <w:rsid w:val="00654CB9"/>
    <w:rsid w:val="00655849"/>
    <w:rsid w:val="00656071"/>
    <w:rsid w:val="0065651E"/>
    <w:rsid w:val="006566AC"/>
    <w:rsid w:val="00656C75"/>
    <w:rsid w:val="00660000"/>
    <w:rsid w:val="0066287B"/>
    <w:rsid w:val="00662B7B"/>
    <w:rsid w:val="00663899"/>
    <w:rsid w:val="00663A4A"/>
    <w:rsid w:val="0066407D"/>
    <w:rsid w:val="006644B9"/>
    <w:rsid w:val="00664718"/>
    <w:rsid w:val="00665997"/>
    <w:rsid w:val="0066645F"/>
    <w:rsid w:val="006671A9"/>
    <w:rsid w:val="006674EA"/>
    <w:rsid w:val="0066752A"/>
    <w:rsid w:val="00667C58"/>
    <w:rsid w:val="006700E7"/>
    <w:rsid w:val="0067024A"/>
    <w:rsid w:val="0067044C"/>
    <w:rsid w:val="00672489"/>
    <w:rsid w:val="00673EA5"/>
    <w:rsid w:val="006743CB"/>
    <w:rsid w:val="0067480D"/>
    <w:rsid w:val="00676AA0"/>
    <w:rsid w:val="00677CE1"/>
    <w:rsid w:val="00680286"/>
    <w:rsid w:val="00680BFB"/>
    <w:rsid w:val="006812BD"/>
    <w:rsid w:val="00681973"/>
    <w:rsid w:val="00681BB2"/>
    <w:rsid w:val="00684932"/>
    <w:rsid w:val="00684E05"/>
    <w:rsid w:val="006858DA"/>
    <w:rsid w:val="00685F00"/>
    <w:rsid w:val="00686A01"/>
    <w:rsid w:val="00687959"/>
    <w:rsid w:val="006906D9"/>
    <w:rsid w:val="00690CEA"/>
    <w:rsid w:val="00690F0F"/>
    <w:rsid w:val="0069129C"/>
    <w:rsid w:val="006915D3"/>
    <w:rsid w:val="00693BD0"/>
    <w:rsid w:val="00694E61"/>
    <w:rsid w:val="006950B5"/>
    <w:rsid w:val="00696D48"/>
    <w:rsid w:val="006A04B8"/>
    <w:rsid w:val="006A058A"/>
    <w:rsid w:val="006A0C1C"/>
    <w:rsid w:val="006A0FAB"/>
    <w:rsid w:val="006A28F9"/>
    <w:rsid w:val="006A2FA2"/>
    <w:rsid w:val="006A3385"/>
    <w:rsid w:val="006A33F5"/>
    <w:rsid w:val="006A3E10"/>
    <w:rsid w:val="006A4194"/>
    <w:rsid w:val="006A4D32"/>
    <w:rsid w:val="006A5498"/>
    <w:rsid w:val="006A5A9D"/>
    <w:rsid w:val="006A5C2D"/>
    <w:rsid w:val="006A5EF4"/>
    <w:rsid w:val="006A60D3"/>
    <w:rsid w:val="006A7F03"/>
    <w:rsid w:val="006B0566"/>
    <w:rsid w:val="006B29C3"/>
    <w:rsid w:val="006B2B9C"/>
    <w:rsid w:val="006B30F1"/>
    <w:rsid w:val="006B39F3"/>
    <w:rsid w:val="006B3E23"/>
    <w:rsid w:val="006B7687"/>
    <w:rsid w:val="006B7738"/>
    <w:rsid w:val="006B7EBA"/>
    <w:rsid w:val="006B7F8A"/>
    <w:rsid w:val="006C1159"/>
    <w:rsid w:val="006C1AD1"/>
    <w:rsid w:val="006C1CA6"/>
    <w:rsid w:val="006C1D29"/>
    <w:rsid w:val="006C2623"/>
    <w:rsid w:val="006C3A63"/>
    <w:rsid w:val="006C3D99"/>
    <w:rsid w:val="006C3ED0"/>
    <w:rsid w:val="006C5DC9"/>
    <w:rsid w:val="006D02BF"/>
    <w:rsid w:val="006D0651"/>
    <w:rsid w:val="006D1175"/>
    <w:rsid w:val="006D1354"/>
    <w:rsid w:val="006D1627"/>
    <w:rsid w:val="006D1BF3"/>
    <w:rsid w:val="006D214B"/>
    <w:rsid w:val="006D2473"/>
    <w:rsid w:val="006D288E"/>
    <w:rsid w:val="006D2FAF"/>
    <w:rsid w:val="006D3EDC"/>
    <w:rsid w:val="006D3F02"/>
    <w:rsid w:val="006D4082"/>
    <w:rsid w:val="006D4965"/>
    <w:rsid w:val="006D4F60"/>
    <w:rsid w:val="006D4FEF"/>
    <w:rsid w:val="006D5B42"/>
    <w:rsid w:val="006D5DE2"/>
    <w:rsid w:val="006D7133"/>
    <w:rsid w:val="006D7D48"/>
    <w:rsid w:val="006D7DB8"/>
    <w:rsid w:val="006E1087"/>
    <w:rsid w:val="006E2D3F"/>
    <w:rsid w:val="006E4835"/>
    <w:rsid w:val="006E48C4"/>
    <w:rsid w:val="006E49B0"/>
    <w:rsid w:val="006E4DF5"/>
    <w:rsid w:val="006E50DE"/>
    <w:rsid w:val="006E5413"/>
    <w:rsid w:val="006E5EBF"/>
    <w:rsid w:val="006E5F9E"/>
    <w:rsid w:val="006E6F01"/>
    <w:rsid w:val="006E72F9"/>
    <w:rsid w:val="006E736D"/>
    <w:rsid w:val="006F05FB"/>
    <w:rsid w:val="006F0A43"/>
    <w:rsid w:val="006F0E02"/>
    <w:rsid w:val="006F1354"/>
    <w:rsid w:val="006F228D"/>
    <w:rsid w:val="006F3AD9"/>
    <w:rsid w:val="006F48C3"/>
    <w:rsid w:val="006F6290"/>
    <w:rsid w:val="006F639B"/>
    <w:rsid w:val="006F66FD"/>
    <w:rsid w:val="006F6E0A"/>
    <w:rsid w:val="00700609"/>
    <w:rsid w:val="007011BA"/>
    <w:rsid w:val="007011F4"/>
    <w:rsid w:val="00701425"/>
    <w:rsid w:val="007014EF"/>
    <w:rsid w:val="00702465"/>
    <w:rsid w:val="007025C7"/>
    <w:rsid w:val="007026B9"/>
    <w:rsid w:val="00702EDA"/>
    <w:rsid w:val="00703065"/>
    <w:rsid w:val="0070399D"/>
    <w:rsid w:val="0070539E"/>
    <w:rsid w:val="007069A6"/>
    <w:rsid w:val="00706CD3"/>
    <w:rsid w:val="00707C8F"/>
    <w:rsid w:val="007102D9"/>
    <w:rsid w:val="00710B6A"/>
    <w:rsid w:val="00711F29"/>
    <w:rsid w:val="0071377B"/>
    <w:rsid w:val="00713CEA"/>
    <w:rsid w:val="007150EF"/>
    <w:rsid w:val="007158CB"/>
    <w:rsid w:val="00715D2C"/>
    <w:rsid w:val="00716CA8"/>
    <w:rsid w:val="007173A5"/>
    <w:rsid w:val="007201C6"/>
    <w:rsid w:val="00720373"/>
    <w:rsid w:val="00721313"/>
    <w:rsid w:val="00721A05"/>
    <w:rsid w:val="00721F42"/>
    <w:rsid w:val="0072229A"/>
    <w:rsid w:val="00723CDD"/>
    <w:rsid w:val="00723DAF"/>
    <w:rsid w:val="0072400E"/>
    <w:rsid w:val="00724299"/>
    <w:rsid w:val="007249A5"/>
    <w:rsid w:val="007262EB"/>
    <w:rsid w:val="00727028"/>
    <w:rsid w:val="00727480"/>
    <w:rsid w:val="007274CB"/>
    <w:rsid w:val="007277BA"/>
    <w:rsid w:val="007308D0"/>
    <w:rsid w:val="007333AC"/>
    <w:rsid w:val="0073392C"/>
    <w:rsid w:val="00733939"/>
    <w:rsid w:val="00733AA1"/>
    <w:rsid w:val="0073419F"/>
    <w:rsid w:val="00734702"/>
    <w:rsid w:val="0073476E"/>
    <w:rsid w:val="00734C94"/>
    <w:rsid w:val="007351DD"/>
    <w:rsid w:val="00735F84"/>
    <w:rsid w:val="0073602D"/>
    <w:rsid w:val="00736131"/>
    <w:rsid w:val="007364AE"/>
    <w:rsid w:val="00736771"/>
    <w:rsid w:val="00736C8C"/>
    <w:rsid w:val="00736F57"/>
    <w:rsid w:val="007373EA"/>
    <w:rsid w:val="00740686"/>
    <w:rsid w:val="00740A61"/>
    <w:rsid w:val="00740F9E"/>
    <w:rsid w:val="0074113A"/>
    <w:rsid w:val="00741699"/>
    <w:rsid w:val="00741B4C"/>
    <w:rsid w:val="0074265F"/>
    <w:rsid w:val="00742714"/>
    <w:rsid w:val="00742991"/>
    <w:rsid w:val="00742C83"/>
    <w:rsid w:val="00745458"/>
    <w:rsid w:val="007456C1"/>
    <w:rsid w:val="00745910"/>
    <w:rsid w:val="00745C97"/>
    <w:rsid w:val="00747F4D"/>
    <w:rsid w:val="007508A5"/>
    <w:rsid w:val="007509EF"/>
    <w:rsid w:val="00750B64"/>
    <w:rsid w:val="00751304"/>
    <w:rsid w:val="00751879"/>
    <w:rsid w:val="00753084"/>
    <w:rsid w:val="007530DE"/>
    <w:rsid w:val="00753359"/>
    <w:rsid w:val="007533B2"/>
    <w:rsid w:val="00754B9A"/>
    <w:rsid w:val="007550E5"/>
    <w:rsid w:val="00755142"/>
    <w:rsid w:val="00755A74"/>
    <w:rsid w:val="00755D51"/>
    <w:rsid w:val="00757462"/>
    <w:rsid w:val="00760083"/>
    <w:rsid w:val="00760A40"/>
    <w:rsid w:val="00761816"/>
    <w:rsid w:val="00761CAF"/>
    <w:rsid w:val="00762142"/>
    <w:rsid w:val="0076381F"/>
    <w:rsid w:val="00763848"/>
    <w:rsid w:val="00763B09"/>
    <w:rsid w:val="00763EB4"/>
    <w:rsid w:val="00763FCA"/>
    <w:rsid w:val="00764DC9"/>
    <w:rsid w:val="00766008"/>
    <w:rsid w:val="007661EA"/>
    <w:rsid w:val="00766234"/>
    <w:rsid w:val="00766492"/>
    <w:rsid w:val="007666B8"/>
    <w:rsid w:val="00766EDA"/>
    <w:rsid w:val="0076788C"/>
    <w:rsid w:val="0076789D"/>
    <w:rsid w:val="00770506"/>
    <w:rsid w:val="0077106B"/>
    <w:rsid w:val="00771221"/>
    <w:rsid w:val="0077129A"/>
    <w:rsid w:val="007721D9"/>
    <w:rsid w:val="0077254F"/>
    <w:rsid w:val="00772A27"/>
    <w:rsid w:val="00772CF0"/>
    <w:rsid w:val="0077321F"/>
    <w:rsid w:val="0077354D"/>
    <w:rsid w:val="007736A1"/>
    <w:rsid w:val="007745AB"/>
    <w:rsid w:val="00774B69"/>
    <w:rsid w:val="00774F3E"/>
    <w:rsid w:val="00775A07"/>
    <w:rsid w:val="00775D98"/>
    <w:rsid w:val="00776CB2"/>
    <w:rsid w:val="00780136"/>
    <w:rsid w:val="00780C99"/>
    <w:rsid w:val="00781686"/>
    <w:rsid w:val="00781B0F"/>
    <w:rsid w:val="00781B29"/>
    <w:rsid w:val="007822F4"/>
    <w:rsid w:val="00782532"/>
    <w:rsid w:val="00782923"/>
    <w:rsid w:val="00782F0B"/>
    <w:rsid w:val="00782F64"/>
    <w:rsid w:val="00783005"/>
    <w:rsid w:val="007830F9"/>
    <w:rsid w:val="0078492F"/>
    <w:rsid w:val="00785413"/>
    <w:rsid w:val="00786D1F"/>
    <w:rsid w:val="00787FE2"/>
    <w:rsid w:val="00787FEB"/>
    <w:rsid w:val="00790559"/>
    <w:rsid w:val="00790FC1"/>
    <w:rsid w:val="00791B3A"/>
    <w:rsid w:val="00791D0A"/>
    <w:rsid w:val="00791F50"/>
    <w:rsid w:val="007928BD"/>
    <w:rsid w:val="007930F6"/>
    <w:rsid w:val="00793783"/>
    <w:rsid w:val="00795D18"/>
    <w:rsid w:val="00796681"/>
    <w:rsid w:val="007967C3"/>
    <w:rsid w:val="007977F2"/>
    <w:rsid w:val="007A0C56"/>
    <w:rsid w:val="007A1BF7"/>
    <w:rsid w:val="007A22FA"/>
    <w:rsid w:val="007A26A9"/>
    <w:rsid w:val="007A2A4B"/>
    <w:rsid w:val="007A2B98"/>
    <w:rsid w:val="007A2BD1"/>
    <w:rsid w:val="007A352B"/>
    <w:rsid w:val="007A38AA"/>
    <w:rsid w:val="007A3A65"/>
    <w:rsid w:val="007A3D5F"/>
    <w:rsid w:val="007A428C"/>
    <w:rsid w:val="007A486B"/>
    <w:rsid w:val="007A4AB2"/>
    <w:rsid w:val="007A4F4F"/>
    <w:rsid w:val="007A55B3"/>
    <w:rsid w:val="007A5804"/>
    <w:rsid w:val="007A5A1F"/>
    <w:rsid w:val="007A5D03"/>
    <w:rsid w:val="007A64E4"/>
    <w:rsid w:val="007A68AB"/>
    <w:rsid w:val="007A6F66"/>
    <w:rsid w:val="007A73FA"/>
    <w:rsid w:val="007B0CEB"/>
    <w:rsid w:val="007B0D55"/>
    <w:rsid w:val="007B1615"/>
    <w:rsid w:val="007B3510"/>
    <w:rsid w:val="007B5C0A"/>
    <w:rsid w:val="007B5F24"/>
    <w:rsid w:val="007B6050"/>
    <w:rsid w:val="007B6292"/>
    <w:rsid w:val="007B6641"/>
    <w:rsid w:val="007B749E"/>
    <w:rsid w:val="007B74F7"/>
    <w:rsid w:val="007B770B"/>
    <w:rsid w:val="007B7C10"/>
    <w:rsid w:val="007B7E7D"/>
    <w:rsid w:val="007C0C5E"/>
    <w:rsid w:val="007C0E0C"/>
    <w:rsid w:val="007C0E91"/>
    <w:rsid w:val="007C30C1"/>
    <w:rsid w:val="007C362C"/>
    <w:rsid w:val="007C3980"/>
    <w:rsid w:val="007C3BAF"/>
    <w:rsid w:val="007C44D7"/>
    <w:rsid w:val="007C4EF4"/>
    <w:rsid w:val="007C56FA"/>
    <w:rsid w:val="007C59E3"/>
    <w:rsid w:val="007C68D3"/>
    <w:rsid w:val="007C6BBF"/>
    <w:rsid w:val="007C72E2"/>
    <w:rsid w:val="007D06ED"/>
    <w:rsid w:val="007D1086"/>
    <w:rsid w:val="007D1C79"/>
    <w:rsid w:val="007D2D55"/>
    <w:rsid w:val="007D3198"/>
    <w:rsid w:val="007D3984"/>
    <w:rsid w:val="007D3E39"/>
    <w:rsid w:val="007D44B5"/>
    <w:rsid w:val="007D452E"/>
    <w:rsid w:val="007D4A17"/>
    <w:rsid w:val="007D4D24"/>
    <w:rsid w:val="007D4F85"/>
    <w:rsid w:val="007D541B"/>
    <w:rsid w:val="007D5F91"/>
    <w:rsid w:val="007D68FF"/>
    <w:rsid w:val="007E0D10"/>
    <w:rsid w:val="007E149A"/>
    <w:rsid w:val="007E16F7"/>
    <w:rsid w:val="007E185B"/>
    <w:rsid w:val="007E1C88"/>
    <w:rsid w:val="007E1EDE"/>
    <w:rsid w:val="007E2012"/>
    <w:rsid w:val="007E2C8B"/>
    <w:rsid w:val="007E2EBF"/>
    <w:rsid w:val="007E3054"/>
    <w:rsid w:val="007E3D4E"/>
    <w:rsid w:val="007E4545"/>
    <w:rsid w:val="007E489A"/>
    <w:rsid w:val="007E4DA8"/>
    <w:rsid w:val="007E5338"/>
    <w:rsid w:val="007E549D"/>
    <w:rsid w:val="007E5D8B"/>
    <w:rsid w:val="007E6103"/>
    <w:rsid w:val="007E651F"/>
    <w:rsid w:val="007E673F"/>
    <w:rsid w:val="007E6DC6"/>
    <w:rsid w:val="007E7081"/>
    <w:rsid w:val="007E796A"/>
    <w:rsid w:val="007F0305"/>
    <w:rsid w:val="007F0862"/>
    <w:rsid w:val="007F1A64"/>
    <w:rsid w:val="007F1CEE"/>
    <w:rsid w:val="007F1E30"/>
    <w:rsid w:val="007F3015"/>
    <w:rsid w:val="007F34FF"/>
    <w:rsid w:val="007F5710"/>
    <w:rsid w:val="007F622B"/>
    <w:rsid w:val="007F6654"/>
    <w:rsid w:val="007F791C"/>
    <w:rsid w:val="007F79B7"/>
    <w:rsid w:val="00800314"/>
    <w:rsid w:val="00800F89"/>
    <w:rsid w:val="008010AC"/>
    <w:rsid w:val="00801592"/>
    <w:rsid w:val="00801942"/>
    <w:rsid w:val="00801AD5"/>
    <w:rsid w:val="00802413"/>
    <w:rsid w:val="00803923"/>
    <w:rsid w:val="00803F0F"/>
    <w:rsid w:val="0080423C"/>
    <w:rsid w:val="008052CD"/>
    <w:rsid w:val="00805E6E"/>
    <w:rsid w:val="00806406"/>
    <w:rsid w:val="00806ECA"/>
    <w:rsid w:val="00810023"/>
    <w:rsid w:val="008106C7"/>
    <w:rsid w:val="008112BF"/>
    <w:rsid w:val="00811BB5"/>
    <w:rsid w:val="00812A23"/>
    <w:rsid w:val="00813A51"/>
    <w:rsid w:val="008152BE"/>
    <w:rsid w:val="008154F5"/>
    <w:rsid w:val="008168C0"/>
    <w:rsid w:val="00816F54"/>
    <w:rsid w:val="00820B69"/>
    <w:rsid w:val="00821327"/>
    <w:rsid w:val="00821632"/>
    <w:rsid w:val="00821742"/>
    <w:rsid w:val="00822210"/>
    <w:rsid w:val="00822346"/>
    <w:rsid w:val="00822E05"/>
    <w:rsid w:val="00823115"/>
    <w:rsid w:val="00823765"/>
    <w:rsid w:val="00823C71"/>
    <w:rsid w:val="00823D8D"/>
    <w:rsid w:val="008240D3"/>
    <w:rsid w:val="00824DB1"/>
    <w:rsid w:val="00825818"/>
    <w:rsid w:val="0082591C"/>
    <w:rsid w:val="00825F9E"/>
    <w:rsid w:val="00826045"/>
    <w:rsid w:val="008267B4"/>
    <w:rsid w:val="00827C1C"/>
    <w:rsid w:val="008302E2"/>
    <w:rsid w:val="008311E1"/>
    <w:rsid w:val="00831377"/>
    <w:rsid w:val="00831409"/>
    <w:rsid w:val="008319B6"/>
    <w:rsid w:val="00831C4B"/>
    <w:rsid w:val="00831C4C"/>
    <w:rsid w:val="00832D11"/>
    <w:rsid w:val="00833663"/>
    <w:rsid w:val="00834E75"/>
    <w:rsid w:val="00835D76"/>
    <w:rsid w:val="00837423"/>
    <w:rsid w:val="00837428"/>
    <w:rsid w:val="00840EB1"/>
    <w:rsid w:val="008418CF"/>
    <w:rsid w:val="00841944"/>
    <w:rsid w:val="00842195"/>
    <w:rsid w:val="0084237F"/>
    <w:rsid w:val="00844582"/>
    <w:rsid w:val="00844A00"/>
    <w:rsid w:val="00845413"/>
    <w:rsid w:val="00845438"/>
    <w:rsid w:val="008456A1"/>
    <w:rsid w:val="00845A78"/>
    <w:rsid w:val="00846195"/>
    <w:rsid w:val="00847612"/>
    <w:rsid w:val="00850983"/>
    <w:rsid w:val="008509C3"/>
    <w:rsid w:val="008510F3"/>
    <w:rsid w:val="00851B9E"/>
    <w:rsid w:val="00852A71"/>
    <w:rsid w:val="008553DF"/>
    <w:rsid w:val="00855E1C"/>
    <w:rsid w:val="008562F8"/>
    <w:rsid w:val="00856849"/>
    <w:rsid w:val="008569AD"/>
    <w:rsid w:val="00856C58"/>
    <w:rsid w:val="0085766A"/>
    <w:rsid w:val="00857812"/>
    <w:rsid w:val="00860A6E"/>
    <w:rsid w:val="00861BBA"/>
    <w:rsid w:val="00861E8A"/>
    <w:rsid w:val="00863337"/>
    <w:rsid w:val="0086406C"/>
    <w:rsid w:val="00864961"/>
    <w:rsid w:val="00864DB5"/>
    <w:rsid w:val="00865365"/>
    <w:rsid w:val="00866194"/>
    <w:rsid w:val="00866B9B"/>
    <w:rsid w:val="00867037"/>
    <w:rsid w:val="008671BD"/>
    <w:rsid w:val="008678C5"/>
    <w:rsid w:val="00871125"/>
    <w:rsid w:val="00871AE9"/>
    <w:rsid w:val="00871C35"/>
    <w:rsid w:val="00872987"/>
    <w:rsid w:val="00874592"/>
    <w:rsid w:val="0087643A"/>
    <w:rsid w:val="008767A0"/>
    <w:rsid w:val="00877516"/>
    <w:rsid w:val="00880923"/>
    <w:rsid w:val="0088204E"/>
    <w:rsid w:val="0088298B"/>
    <w:rsid w:val="008835BC"/>
    <w:rsid w:val="00883827"/>
    <w:rsid w:val="00883C58"/>
    <w:rsid w:val="0088458B"/>
    <w:rsid w:val="00885445"/>
    <w:rsid w:val="008869BC"/>
    <w:rsid w:val="008901DE"/>
    <w:rsid w:val="00890948"/>
    <w:rsid w:val="00890B0A"/>
    <w:rsid w:val="00890BC3"/>
    <w:rsid w:val="00890F67"/>
    <w:rsid w:val="00891322"/>
    <w:rsid w:val="008915E4"/>
    <w:rsid w:val="008916FB"/>
    <w:rsid w:val="00892326"/>
    <w:rsid w:val="008927D0"/>
    <w:rsid w:val="00893749"/>
    <w:rsid w:val="008942A6"/>
    <w:rsid w:val="008946A0"/>
    <w:rsid w:val="00894AFB"/>
    <w:rsid w:val="00894E8F"/>
    <w:rsid w:val="00895326"/>
    <w:rsid w:val="008961CC"/>
    <w:rsid w:val="0089671C"/>
    <w:rsid w:val="00897BC6"/>
    <w:rsid w:val="008A049C"/>
    <w:rsid w:val="008A04F5"/>
    <w:rsid w:val="008A0B2A"/>
    <w:rsid w:val="008A1B75"/>
    <w:rsid w:val="008A1C77"/>
    <w:rsid w:val="008A1F74"/>
    <w:rsid w:val="008A23DF"/>
    <w:rsid w:val="008A275E"/>
    <w:rsid w:val="008A286A"/>
    <w:rsid w:val="008A2899"/>
    <w:rsid w:val="008A2ED4"/>
    <w:rsid w:val="008A3346"/>
    <w:rsid w:val="008A34F0"/>
    <w:rsid w:val="008A47ED"/>
    <w:rsid w:val="008A48F0"/>
    <w:rsid w:val="008A51EB"/>
    <w:rsid w:val="008A5729"/>
    <w:rsid w:val="008A5E5A"/>
    <w:rsid w:val="008A6504"/>
    <w:rsid w:val="008A6BBB"/>
    <w:rsid w:val="008A703A"/>
    <w:rsid w:val="008A7B2D"/>
    <w:rsid w:val="008B001E"/>
    <w:rsid w:val="008B065B"/>
    <w:rsid w:val="008B0C82"/>
    <w:rsid w:val="008B1B3A"/>
    <w:rsid w:val="008B33DF"/>
    <w:rsid w:val="008B35BF"/>
    <w:rsid w:val="008B459B"/>
    <w:rsid w:val="008B51E1"/>
    <w:rsid w:val="008B55D3"/>
    <w:rsid w:val="008B5BA9"/>
    <w:rsid w:val="008B6014"/>
    <w:rsid w:val="008B6647"/>
    <w:rsid w:val="008B6785"/>
    <w:rsid w:val="008B68C9"/>
    <w:rsid w:val="008B6E2E"/>
    <w:rsid w:val="008C0150"/>
    <w:rsid w:val="008C0D44"/>
    <w:rsid w:val="008C0EE0"/>
    <w:rsid w:val="008C20F4"/>
    <w:rsid w:val="008C2E5F"/>
    <w:rsid w:val="008C3A92"/>
    <w:rsid w:val="008C42A8"/>
    <w:rsid w:val="008C4831"/>
    <w:rsid w:val="008C5B49"/>
    <w:rsid w:val="008C6586"/>
    <w:rsid w:val="008C670F"/>
    <w:rsid w:val="008C6E0C"/>
    <w:rsid w:val="008C6EC2"/>
    <w:rsid w:val="008C6FBE"/>
    <w:rsid w:val="008C72D6"/>
    <w:rsid w:val="008C7EEA"/>
    <w:rsid w:val="008D0594"/>
    <w:rsid w:val="008D17BE"/>
    <w:rsid w:val="008D266F"/>
    <w:rsid w:val="008D2857"/>
    <w:rsid w:val="008D28A9"/>
    <w:rsid w:val="008D3A8D"/>
    <w:rsid w:val="008D4559"/>
    <w:rsid w:val="008D6D6E"/>
    <w:rsid w:val="008E0D60"/>
    <w:rsid w:val="008E11DB"/>
    <w:rsid w:val="008E1456"/>
    <w:rsid w:val="008E1938"/>
    <w:rsid w:val="008E1AD5"/>
    <w:rsid w:val="008E2180"/>
    <w:rsid w:val="008E326A"/>
    <w:rsid w:val="008E3D05"/>
    <w:rsid w:val="008E4050"/>
    <w:rsid w:val="008E428C"/>
    <w:rsid w:val="008E5ABF"/>
    <w:rsid w:val="008E5C26"/>
    <w:rsid w:val="008E5D3B"/>
    <w:rsid w:val="008E61BA"/>
    <w:rsid w:val="008E64BA"/>
    <w:rsid w:val="008E6931"/>
    <w:rsid w:val="008E6EAE"/>
    <w:rsid w:val="008E70FF"/>
    <w:rsid w:val="008E7318"/>
    <w:rsid w:val="008E775D"/>
    <w:rsid w:val="008E77D8"/>
    <w:rsid w:val="008E7DD8"/>
    <w:rsid w:val="008F00AD"/>
    <w:rsid w:val="008F1C54"/>
    <w:rsid w:val="008F1EDE"/>
    <w:rsid w:val="008F2705"/>
    <w:rsid w:val="008F3122"/>
    <w:rsid w:val="008F3522"/>
    <w:rsid w:val="008F5389"/>
    <w:rsid w:val="008F58A3"/>
    <w:rsid w:val="008F5FDF"/>
    <w:rsid w:val="008F61AB"/>
    <w:rsid w:val="008F7DBC"/>
    <w:rsid w:val="0090065C"/>
    <w:rsid w:val="00900892"/>
    <w:rsid w:val="00900E03"/>
    <w:rsid w:val="00901F09"/>
    <w:rsid w:val="0090295F"/>
    <w:rsid w:val="00902D80"/>
    <w:rsid w:val="00903E39"/>
    <w:rsid w:val="009048B3"/>
    <w:rsid w:val="00904CAE"/>
    <w:rsid w:val="009050D2"/>
    <w:rsid w:val="009061C2"/>
    <w:rsid w:val="00906E9F"/>
    <w:rsid w:val="00907679"/>
    <w:rsid w:val="0090782D"/>
    <w:rsid w:val="00910EDB"/>
    <w:rsid w:val="00911223"/>
    <w:rsid w:val="009112BD"/>
    <w:rsid w:val="009121BE"/>
    <w:rsid w:val="009134C5"/>
    <w:rsid w:val="00913609"/>
    <w:rsid w:val="009147A1"/>
    <w:rsid w:val="009148D4"/>
    <w:rsid w:val="0091535B"/>
    <w:rsid w:val="009163C3"/>
    <w:rsid w:val="009172C7"/>
    <w:rsid w:val="0091731D"/>
    <w:rsid w:val="009175B7"/>
    <w:rsid w:val="00925887"/>
    <w:rsid w:val="00925899"/>
    <w:rsid w:val="00925B4E"/>
    <w:rsid w:val="009263E8"/>
    <w:rsid w:val="00926635"/>
    <w:rsid w:val="00926B0A"/>
    <w:rsid w:val="00926F63"/>
    <w:rsid w:val="00927AFA"/>
    <w:rsid w:val="00930DD2"/>
    <w:rsid w:val="00931FB0"/>
    <w:rsid w:val="00932079"/>
    <w:rsid w:val="00932713"/>
    <w:rsid w:val="00932904"/>
    <w:rsid w:val="00932CF8"/>
    <w:rsid w:val="0093333D"/>
    <w:rsid w:val="00933969"/>
    <w:rsid w:val="00933C5D"/>
    <w:rsid w:val="00933DF8"/>
    <w:rsid w:val="00933FB2"/>
    <w:rsid w:val="0093451A"/>
    <w:rsid w:val="00934529"/>
    <w:rsid w:val="009366D8"/>
    <w:rsid w:val="00936973"/>
    <w:rsid w:val="0093717E"/>
    <w:rsid w:val="009373F3"/>
    <w:rsid w:val="0093758A"/>
    <w:rsid w:val="00937EB4"/>
    <w:rsid w:val="00940BEA"/>
    <w:rsid w:val="00940E88"/>
    <w:rsid w:val="00940F84"/>
    <w:rsid w:val="00941098"/>
    <w:rsid w:val="0094263F"/>
    <w:rsid w:val="0094334D"/>
    <w:rsid w:val="00946359"/>
    <w:rsid w:val="00947258"/>
    <w:rsid w:val="0094758E"/>
    <w:rsid w:val="00947C2E"/>
    <w:rsid w:val="009507E4"/>
    <w:rsid w:val="00951DC9"/>
    <w:rsid w:val="009521AF"/>
    <w:rsid w:val="00952446"/>
    <w:rsid w:val="0095300F"/>
    <w:rsid w:val="00953547"/>
    <w:rsid w:val="00954804"/>
    <w:rsid w:val="00954838"/>
    <w:rsid w:val="00954920"/>
    <w:rsid w:val="00954FEE"/>
    <w:rsid w:val="00955E1A"/>
    <w:rsid w:val="00956008"/>
    <w:rsid w:val="009560E1"/>
    <w:rsid w:val="0095664F"/>
    <w:rsid w:val="00957550"/>
    <w:rsid w:val="009600F0"/>
    <w:rsid w:val="00960C23"/>
    <w:rsid w:val="00960CF8"/>
    <w:rsid w:val="0096361D"/>
    <w:rsid w:val="009637E8"/>
    <w:rsid w:val="0096386D"/>
    <w:rsid w:val="00963E74"/>
    <w:rsid w:val="00964397"/>
    <w:rsid w:val="009647B3"/>
    <w:rsid w:val="00964901"/>
    <w:rsid w:val="00964BBF"/>
    <w:rsid w:val="00965C7E"/>
    <w:rsid w:val="00965FCD"/>
    <w:rsid w:val="00967696"/>
    <w:rsid w:val="00967C12"/>
    <w:rsid w:val="00967DCB"/>
    <w:rsid w:val="0097057C"/>
    <w:rsid w:val="0097150A"/>
    <w:rsid w:val="00972447"/>
    <w:rsid w:val="00974642"/>
    <w:rsid w:val="00974C2E"/>
    <w:rsid w:val="009758C2"/>
    <w:rsid w:val="00976F42"/>
    <w:rsid w:val="00977237"/>
    <w:rsid w:val="00977367"/>
    <w:rsid w:val="00977D17"/>
    <w:rsid w:val="00980746"/>
    <w:rsid w:val="00980942"/>
    <w:rsid w:val="00981617"/>
    <w:rsid w:val="00981D92"/>
    <w:rsid w:val="00982A8D"/>
    <w:rsid w:val="00982D94"/>
    <w:rsid w:val="00982DF7"/>
    <w:rsid w:val="00983935"/>
    <w:rsid w:val="00983AC8"/>
    <w:rsid w:val="0098458F"/>
    <w:rsid w:val="00984A42"/>
    <w:rsid w:val="00984A67"/>
    <w:rsid w:val="00984B34"/>
    <w:rsid w:val="009857D9"/>
    <w:rsid w:val="00985A43"/>
    <w:rsid w:val="0098678F"/>
    <w:rsid w:val="00990531"/>
    <w:rsid w:val="00990896"/>
    <w:rsid w:val="009910FE"/>
    <w:rsid w:val="00991A93"/>
    <w:rsid w:val="00992A1B"/>
    <w:rsid w:val="00993FC2"/>
    <w:rsid w:val="009940C6"/>
    <w:rsid w:val="00994467"/>
    <w:rsid w:val="009953F0"/>
    <w:rsid w:val="0099542C"/>
    <w:rsid w:val="00996603"/>
    <w:rsid w:val="0099686B"/>
    <w:rsid w:val="00997311"/>
    <w:rsid w:val="009A01F9"/>
    <w:rsid w:val="009A03A7"/>
    <w:rsid w:val="009A0884"/>
    <w:rsid w:val="009A149C"/>
    <w:rsid w:val="009A1997"/>
    <w:rsid w:val="009A1ABF"/>
    <w:rsid w:val="009A21C0"/>
    <w:rsid w:val="009A2A4E"/>
    <w:rsid w:val="009A2AAE"/>
    <w:rsid w:val="009A2B9B"/>
    <w:rsid w:val="009A2DBF"/>
    <w:rsid w:val="009A3A84"/>
    <w:rsid w:val="009A51C4"/>
    <w:rsid w:val="009A651A"/>
    <w:rsid w:val="009A73FE"/>
    <w:rsid w:val="009A7438"/>
    <w:rsid w:val="009A7E70"/>
    <w:rsid w:val="009B0E10"/>
    <w:rsid w:val="009B1884"/>
    <w:rsid w:val="009B1BC4"/>
    <w:rsid w:val="009B1FA0"/>
    <w:rsid w:val="009B2582"/>
    <w:rsid w:val="009B2681"/>
    <w:rsid w:val="009B2C7D"/>
    <w:rsid w:val="009B2C9C"/>
    <w:rsid w:val="009B3BBD"/>
    <w:rsid w:val="009B49CA"/>
    <w:rsid w:val="009B4C6D"/>
    <w:rsid w:val="009B4FC1"/>
    <w:rsid w:val="009B5CC2"/>
    <w:rsid w:val="009B5D17"/>
    <w:rsid w:val="009B5FBB"/>
    <w:rsid w:val="009B614B"/>
    <w:rsid w:val="009B679D"/>
    <w:rsid w:val="009B69C9"/>
    <w:rsid w:val="009B69E4"/>
    <w:rsid w:val="009B7350"/>
    <w:rsid w:val="009B7C06"/>
    <w:rsid w:val="009C0EB0"/>
    <w:rsid w:val="009C15E9"/>
    <w:rsid w:val="009C2196"/>
    <w:rsid w:val="009C34BD"/>
    <w:rsid w:val="009C34FC"/>
    <w:rsid w:val="009C35D3"/>
    <w:rsid w:val="009C5004"/>
    <w:rsid w:val="009C5194"/>
    <w:rsid w:val="009C53CA"/>
    <w:rsid w:val="009C59E0"/>
    <w:rsid w:val="009C6376"/>
    <w:rsid w:val="009C6D87"/>
    <w:rsid w:val="009C711D"/>
    <w:rsid w:val="009C7393"/>
    <w:rsid w:val="009D1825"/>
    <w:rsid w:val="009D30D8"/>
    <w:rsid w:val="009D3403"/>
    <w:rsid w:val="009D3B24"/>
    <w:rsid w:val="009D4AD3"/>
    <w:rsid w:val="009D5025"/>
    <w:rsid w:val="009D7256"/>
    <w:rsid w:val="009E0F9A"/>
    <w:rsid w:val="009E22A3"/>
    <w:rsid w:val="009E342D"/>
    <w:rsid w:val="009E440C"/>
    <w:rsid w:val="009E5A7D"/>
    <w:rsid w:val="009E5B76"/>
    <w:rsid w:val="009E5DA8"/>
    <w:rsid w:val="009E5EEC"/>
    <w:rsid w:val="009E686F"/>
    <w:rsid w:val="009E75DA"/>
    <w:rsid w:val="009E7A00"/>
    <w:rsid w:val="009F045C"/>
    <w:rsid w:val="009F1A06"/>
    <w:rsid w:val="009F1E58"/>
    <w:rsid w:val="009F2A12"/>
    <w:rsid w:val="009F2B18"/>
    <w:rsid w:val="009F2F99"/>
    <w:rsid w:val="009F3304"/>
    <w:rsid w:val="009F4A2A"/>
    <w:rsid w:val="009F5B4B"/>
    <w:rsid w:val="009F6A06"/>
    <w:rsid w:val="00A001AD"/>
    <w:rsid w:val="00A01E6B"/>
    <w:rsid w:val="00A03620"/>
    <w:rsid w:val="00A037A5"/>
    <w:rsid w:val="00A03806"/>
    <w:rsid w:val="00A03892"/>
    <w:rsid w:val="00A04356"/>
    <w:rsid w:val="00A05F78"/>
    <w:rsid w:val="00A061B4"/>
    <w:rsid w:val="00A06FBD"/>
    <w:rsid w:val="00A07ABE"/>
    <w:rsid w:val="00A10150"/>
    <w:rsid w:val="00A1017B"/>
    <w:rsid w:val="00A10AE4"/>
    <w:rsid w:val="00A1162D"/>
    <w:rsid w:val="00A12850"/>
    <w:rsid w:val="00A12862"/>
    <w:rsid w:val="00A12AF6"/>
    <w:rsid w:val="00A12FD4"/>
    <w:rsid w:val="00A13865"/>
    <w:rsid w:val="00A14163"/>
    <w:rsid w:val="00A145A3"/>
    <w:rsid w:val="00A14B7C"/>
    <w:rsid w:val="00A151C0"/>
    <w:rsid w:val="00A16823"/>
    <w:rsid w:val="00A20EF1"/>
    <w:rsid w:val="00A20F71"/>
    <w:rsid w:val="00A22658"/>
    <w:rsid w:val="00A2272D"/>
    <w:rsid w:val="00A24279"/>
    <w:rsid w:val="00A249A7"/>
    <w:rsid w:val="00A24CB0"/>
    <w:rsid w:val="00A2510F"/>
    <w:rsid w:val="00A25E8E"/>
    <w:rsid w:val="00A25F8E"/>
    <w:rsid w:val="00A26557"/>
    <w:rsid w:val="00A275C4"/>
    <w:rsid w:val="00A27D42"/>
    <w:rsid w:val="00A305AD"/>
    <w:rsid w:val="00A3412F"/>
    <w:rsid w:val="00A34D27"/>
    <w:rsid w:val="00A35260"/>
    <w:rsid w:val="00A359E5"/>
    <w:rsid w:val="00A3615E"/>
    <w:rsid w:val="00A361E1"/>
    <w:rsid w:val="00A36523"/>
    <w:rsid w:val="00A36903"/>
    <w:rsid w:val="00A36AEE"/>
    <w:rsid w:val="00A36BA5"/>
    <w:rsid w:val="00A3723E"/>
    <w:rsid w:val="00A420EB"/>
    <w:rsid w:val="00A427E1"/>
    <w:rsid w:val="00A42804"/>
    <w:rsid w:val="00A42D92"/>
    <w:rsid w:val="00A44458"/>
    <w:rsid w:val="00A45E09"/>
    <w:rsid w:val="00A4602C"/>
    <w:rsid w:val="00A46758"/>
    <w:rsid w:val="00A46A05"/>
    <w:rsid w:val="00A502F1"/>
    <w:rsid w:val="00A503FE"/>
    <w:rsid w:val="00A51870"/>
    <w:rsid w:val="00A51A7D"/>
    <w:rsid w:val="00A51D47"/>
    <w:rsid w:val="00A52247"/>
    <w:rsid w:val="00A52BA8"/>
    <w:rsid w:val="00A52F9E"/>
    <w:rsid w:val="00A5309B"/>
    <w:rsid w:val="00A535D1"/>
    <w:rsid w:val="00A5403B"/>
    <w:rsid w:val="00A548C4"/>
    <w:rsid w:val="00A54EAF"/>
    <w:rsid w:val="00A55257"/>
    <w:rsid w:val="00A55B7C"/>
    <w:rsid w:val="00A56EDA"/>
    <w:rsid w:val="00A5724D"/>
    <w:rsid w:val="00A5765C"/>
    <w:rsid w:val="00A6068A"/>
    <w:rsid w:val="00A60D01"/>
    <w:rsid w:val="00A617E8"/>
    <w:rsid w:val="00A61FCB"/>
    <w:rsid w:val="00A62123"/>
    <w:rsid w:val="00A6251B"/>
    <w:rsid w:val="00A62A0C"/>
    <w:rsid w:val="00A63D45"/>
    <w:rsid w:val="00A64A52"/>
    <w:rsid w:val="00A65782"/>
    <w:rsid w:val="00A65E2A"/>
    <w:rsid w:val="00A661A3"/>
    <w:rsid w:val="00A6623F"/>
    <w:rsid w:val="00A67E55"/>
    <w:rsid w:val="00A702B3"/>
    <w:rsid w:val="00A7137F"/>
    <w:rsid w:val="00A7176D"/>
    <w:rsid w:val="00A7194F"/>
    <w:rsid w:val="00A71ADD"/>
    <w:rsid w:val="00A72093"/>
    <w:rsid w:val="00A73501"/>
    <w:rsid w:val="00A741D8"/>
    <w:rsid w:val="00A753EC"/>
    <w:rsid w:val="00A754DD"/>
    <w:rsid w:val="00A756AA"/>
    <w:rsid w:val="00A75971"/>
    <w:rsid w:val="00A75ADB"/>
    <w:rsid w:val="00A76F1F"/>
    <w:rsid w:val="00A77378"/>
    <w:rsid w:val="00A776B8"/>
    <w:rsid w:val="00A77847"/>
    <w:rsid w:val="00A778F7"/>
    <w:rsid w:val="00A801BF"/>
    <w:rsid w:val="00A80DFC"/>
    <w:rsid w:val="00A816E1"/>
    <w:rsid w:val="00A829FF"/>
    <w:rsid w:val="00A8308F"/>
    <w:rsid w:val="00A84164"/>
    <w:rsid w:val="00A85358"/>
    <w:rsid w:val="00A85815"/>
    <w:rsid w:val="00A85D06"/>
    <w:rsid w:val="00A86090"/>
    <w:rsid w:val="00A86B9F"/>
    <w:rsid w:val="00A8787B"/>
    <w:rsid w:val="00A87E3E"/>
    <w:rsid w:val="00A9098A"/>
    <w:rsid w:val="00A90A08"/>
    <w:rsid w:val="00A90CEA"/>
    <w:rsid w:val="00A9101C"/>
    <w:rsid w:val="00A92687"/>
    <w:rsid w:val="00A9283C"/>
    <w:rsid w:val="00A92A24"/>
    <w:rsid w:val="00A92CA5"/>
    <w:rsid w:val="00A92DB5"/>
    <w:rsid w:val="00A93E27"/>
    <w:rsid w:val="00A94677"/>
    <w:rsid w:val="00A94903"/>
    <w:rsid w:val="00A94A9C"/>
    <w:rsid w:val="00A94C86"/>
    <w:rsid w:val="00A94DF0"/>
    <w:rsid w:val="00A95AB7"/>
    <w:rsid w:val="00A95CC9"/>
    <w:rsid w:val="00A9768D"/>
    <w:rsid w:val="00AA1DFB"/>
    <w:rsid w:val="00AA2CC1"/>
    <w:rsid w:val="00AA3284"/>
    <w:rsid w:val="00AA3B43"/>
    <w:rsid w:val="00AA3B9D"/>
    <w:rsid w:val="00AA3CE6"/>
    <w:rsid w:val="00AA3EEE"/>
    <w:rsid w:val="00AA4120"/>
    <w:rsid w:val="00AA4147"/>
    <w:rsid w:val="00AA44E7"/>
    <w:rsid w:val="00AA4C20"/>
    <w:rsid w:val="00AA5003"/>
    <w:rsid w:val="00AA51DB"/>
    <w:rsid w:val="00AA652D"/>
    <w:rsid w:val="00AA74D4"/>
    <w:rsid w:val="00AB06F0"/>
    <w:rsid w:val="00AB06FF"/>
    <w:rsid w:val="00AB114B"/>
    <w:rsid w:val="00AB3172"/>
    <w:rsid w:val="00AB3B3B"/>
    <w:rsid w:val="00AB47C2"/>
    <w:rsid w:val="00AB6122"/>
    <w:rsid w:val="00AB769E"/>
    <w:rsid w:val="00AB7D44"/>
    <w:rsid w:val="00AC008D"/>
    <w:rsid w:val="00AC07A7"/>
    <w:rsid w:val="00AC1B13"/>
    <w:rsid w:val="00AC23AC"/>
    <w:rsid w:val="00AC29C6"/>
    <w:rsid w:val="00AC2F7F"/>
    <w:rsid w:val="00AC4CBA"/>
    <w:rsid w:val="00AC5410"/>
    <w:rsid w:val="00AC5C91"/>
    <w:rsid w:val="00AC6963"/>
    <w:rsid w:val="00AC77E2"/>
    <w:rsid w:val="00AD02C7"/>
    <w:rsid w:val="00AD07BB"/>
    <w:rsid w:val="00AD0904"/>
    <w:rsid w:val="00AD094F"/>
    <w:rsid w:val="00AD123F"/>
    <w:rsid w:val="00AD174B"/>
    <w:rsid w:val="00AD1948"/>
    <w:rsid w:val="00AD2297"/>
    <w:rsid w:val="00AD2B18"/>
    <w:rsid w:val="00AD2FF2"/>
    <w:rsid w:val="00AD4204"/>
    <w:rsid w:val="00AD4507"/>
    <w:rsid w:val="00AD5383"/>
    <w:rsid w:val="00AD5B96"/>
    <w:rsid w:val="00AD62FB"/>
    <w:rsid w:val="00AD6ACA"/>
    <w:rsid w:val="00AD7579"/>
    <w:rsid w:val="00AD7775"/>
    <w:rsid w:val="00AD7C94"/>
    <w:rsid w:val="00AD7F91"/>
    <w:rsid w:val="00AE0497"/>
    <w:rsid w:val="00AE067D"/>
    <w:rsid w:val="00AE1861"/>
    <w:rsid w:val="00AE23E5"/>
    <w:rsid w:val="00AE32A8"/>
    <w:rsid w:val="00AE4D69"/>
    <w:rsid w:val="00AE5EF3"/>
    <w:rsid w:val="00AE6AAB"/>
    <w:rsid w:val="00AE7AD0"/>
    <w:rsid w:val="00AF0553"/>
    <w:rsid w:val="00AF0815"/>
    <w:rsid w:val="00AF0C1C"/>
    <w:rsid w:val="00AF166C"/>
    <w:rsid w:val="00AF2F6E"/>
    <w:rsid w:val="00AF3294"/>
    <w:rsid w:val="00AF35A1"/>
    <w:rsid w:val="00AF3BA4"/>
    <w:rsid w:val="00AF4E77"/>
    <w:rsid w:val="00AF5EBD"/>
    <w:rsid w:val="00AF5F02"/>
    <w:rsid w:val="00AF6151"/>
    <w:rsid w:val="00AF6B56"/>
    <w:rsid w:val="00AF71E1"/>
    <w:rsid w:val="00B001F0"/>
    <w:rsid w:val="00B04134"/>
    <w:rsid w:val="00B047F9"/>
    <w:rsid w:val="00B04BC2"/>
    <w:rsid w:val="00B05182"/>
    <w:rsid w:val="00B059D1"/>
    <w:rsid w:val="00B05B62"/>
    <w:rsid w:val="00B10A9E"/>
    <w:rsid w:val="00B118A2"/>
    <w:rsid w:val="00B11D80"/>
    <w:rsid w:val="00B11E4D"/>
    <w:rsid w:val="00B124A1"/>
    <w:rsid w:val="00B131F7"/>
    <w:rsid w:val="00B1398A"/>
    <w:rsid w:val="00B13C89"/>
    <w:rsid w:val="00B13F8D"/>
    <w:rsid w:val="00B14183"/>
    <w:rsid w:val="00B14569"/>
    <w:rsid w:val="00B15406"/>
    <w:rsid w:val="00B17E6E"/>
    <w:rsid w:val="00B200BC"/>
    <w:rsid w:val="00B202AA"/>
    <w:rsid w:val="00B2062E"/>
    <w:rsid w:val="00B20C2A"/>
    <w:rsid w:val="00B215F8"/>
    <w:rsid w:val="00B2178A"/>
    <w:rsid w:val="00B21A9B"/>
    <w:rsid w:val="00B22705"/>
    <w:rsid w:val="00B229D2"/>
    <w:rsid w:val="00B23187"/>
    <w:rsid w:val="00B2330E"/>
    <w:rsid w:val="00B238EE"/>
    <w:rsid w:val="00B23990"/>
    <w:rsid w:val="00B24214"/>
    <w:rsid w:val="00B249CA"/>
    <w:rsid w:val="00B24FF2"/>
    <w:rsid w:val="00B2566B"/>
    <w:rsid w:val="00B25EEE"/>
    <w:rsid w:val="00B262AA"/>
    <w:rsid w:val="00B267A2"/>
    <w:rsid w:val="00B27266"/>
    <w:rsid w:val="00B30471"/>
    <w:rsid w:val="00B3064A"/>
    <w:rsid w:val="00B3089C"/>
    <w:rsid w:val="00B308C7"/>
    <w:rsid w:val="00B30AFC"/>
    <w:rsid w:val="00B30B40"/>
    <w:rsid w:val="00B31129"/>
    <w:rsid w:val="00B32164"/>
    <w:rsid w:val="00B3239E"/>
    <w:rsid w:val="00B325E6"/>
    <w:rsid w:val="00B331A4"/>
    <w:rsid w:val="00B33B03"/>
    <w:rsid w:val="00B34CB6"/>
    <w:rsid w:val="00B35511"/>
    <w:rsid w:val="00B3633C"/>
    <w:rsid w:val="00B36CA3"/>
    <w:rsid w:val="00B36E3D"/>
    <w:rsid w:val="00B3704E"/>
    <w:rsid w:val="00B4302C"/>
    <w:rsid w:val="00B4353C"/>
    <w:rsid w:val="00B441C3"/>
    <w:rsid w:val="00B44DDD"/>
    <w:rsid w:val="00B4523E"/>
    <w:rsid w:val="00B45EC0"/>
    <w:rsid w:val="00B45F9D"/>
    <w:rsid w:val="00B46DE8"/>
    <w:rsid w:val="00B47511"/>
    <w:rsid w:val="00B47E64"/>
    <w:rsid w:val="00B50D2F"/>
    <w:rsid w:val="00B51026"/>
    <w:rsid w:val="00B51542"/>
    <w:rsid w:val="00B52E4B"/>
    <w:rsid w:val="00B532D4"/>
    <w:rsid w:val="00B547C6"/>
    <w:rsid w:val="00B54AA2"/>
    <w:rsid w:val="00B54BF4"/>
    <w:rsid w:val="00B5533B"/>
    <w:rsid w:val="00B556D4"/>
    <w:rsid w:val="00B5590C"/>
    <w:rsid w:val="00B56C16"/>
    <w:rsid w:val="00B56EA3"/>
    <w:rsid w:val="00B56FA0"/>
    <w:rsid w:val="00B5763C"/>
    <w:rsid w:val="00B57671"/>
    <w:rsid w:val="00B60795"/>
    <w:rsid w:val="00B6181E"/>
    <w:rsid w:val="00B61C6C"/>
    <w:rsid w:val="00B62A16"/>
    <w:rsid w:val="00B62D5B"/>
    <w:rsid w:val="00B636C0"/>
    <w:rsid w:val="00B63D8C"/>
    <w:rsid w:val="00B63FFD"/>
    <w:rsid w:val="00B6504B"/>
    <w:rsid w:val="00B65232"/>
    <w:rsid w:val="00B659AB"/>
    <w:rsid w:val="00B665A1"/>
    <w:rsid w:val="00B670B6"/>
    <w:rsid w:val="00B670B9"/>
    <w:rsid w:val="00B671BF"/>
    <w:rsid w:val="00B67538"/>
    <w:rsid w:val="00B677FE"/>
    <w:rsid w:val="00B67A50"/>
    <w:rsid w:val="00B7183A"/>
    <w:rsid w:val="00B72F0C"/>
    <w:rsid w:val="00B73A43"/>
    <w:rsid w:val="00B73EFB"/>
    <w:rsid w:val="00B74851"/>
    <w:rsid w:val="00B74A81"/>
    <w:rsid w:val="00B7514C"/>
    <w:rsid w:val="00B75419"/>
    <w:rsid w:val="00B7560E"/>
    <w:rsid w:val="00B75740"/>
    <w:rsid w:val="00B75A02"/>
    <w:rsid w:val="00B75A61"/>
    <w:rsid w:val="00B75C2A"/>
    <w:rsid w:val="00B75CCE"/>
    <w:rsid w:val="00B75E2C"/>
    <w:rsid w:val="00B75F04"/>
    <w:rsid w:val="00B76716"/>
    <w:rsid w:val="00B806ED"/>
    <w:rsid w:val="00B80E6E"/>
    <w:rsid w:val="00B81609"/>
    <w:rsid w:val="00B83011"/>
    <w:rsid w:val="00B830CA"/>
    <w:rsid w:val="00B83599"/>
    <w:rsid w:val="00B84373"/>
    <w:rsid w:val="00B84518"/>
    <w:rsid w:val="00B84A61"/>
    <w:rsid w:val="00B8508D"/>
    <w:rsid w:val="00B85C11"/>
    <w:rsid w:val="00B861E6"/>
    <w:rsid w:val="00B86A2C"/>
    <w:rsid w:val="00B86DB3"/>
    <w:rsid w:val="00B87E1B"/>
    <w:rsid w:val="00B90DFF"/>
    <w:rsid w:val="00B91014"/>
    <w:rsid w:val="00B9103C"/>
    <w:rsid w:val="00B91511"/>
    <w:rsid w:val="00B91B03"/>
    <w:rsid w:val="00B927CB"/>
    <w:rsid w:val="00B936C5"/>
    <w:rsid w:val="00B941DB"/>
    <w:rsid w:val="00B942FE"/>
    <w:rsid w:val="00B959CD"/>
    <w:rsid w:val="00B95CF3"/>
    <w:rsid w:val="00B95CFE"/>
    <w:rsid w:val="00B95D2A"/>
    <w:rsid w:val="00B9643B"/>
    <w:rsid w:val="00B96A93"/>
    <w:rsid w:val="00B96E99"/>
    <w:rsid w:val="00BA1417"/>
    <w:rsid w:val="00BA2D2E"/>
    <w:rsid w:val="00BA3296"/>
    <w:rsid w:val="00BA4F95"/>
    <w:rsid w:val="00BA5147"/>
    <w:rsid w:val="00BA57CC"/>
    <w:rsid w:val="00BA5CCB"/>
    <w:rsid w:val="00BA67B7"/>
    <w:rsid w:val="00BA689E"/>
    <w:rsid w:val="00BA6C5F"/>
    <w:rsid w:val="00BA76E2"/>
    <w:rsid w:val="00BA7B0A"/>
    <w:rsid w:val="00BA7FE1"/>
    <w:rsid w:val="00BB01A5"/>
    <w:rsid w:val="00BB0217"/>
    <w:rsid w:val="00BB0706"/>
    <w:rsid w:val="00BB0794"/>
    <w:rsid w:val="00BB0CB6"/>
    <w:rsid w:val="00BB1FD6"/>
    <w:rsid w:val="00BB3A81"/>
    <w:rsid w:val="00BB48D8"/>
    <w:rsid w:val="00BB4ADE"/>
    <w:rsid w:val="00BB5550"/>
    <w:rsid w:val="00BB662B"/>
    <w:rsid w:val="00BB6D9C"/>
    <w:rsid w:val="00BB74E8"/>
    <w:rsid w:val="00BB7F47"/>
    <w:rsid w:val="00BC0EFC"/>
    <w:rsid w:val="00BC1CB5"/>
    <w:rsid w:val="00BC2F06"/>
    <w:rsid w:val="00BC393F"/>
    <w:rsid w:val="00BC394B"/>
    <w:rsid w:val="00BC3E97"/>
    <w:rsid w:val="00BC4569"/>
    <w:rsid w:val="00BC5124"/>
    <w:rsid w:val="00BC587F"/>
    <w:rsid w:val="00BC5FF2"/>
    <w:rsid w:val="00BC77B5"/>
    <w:rsid w:val="00BC79C9"/>
    <w:rsid w:val="00BC7B3D"/>
    <w:rsid w:val="00BC7FF9"/>
    <w:rsid w:val="00BD01F0"/>
    <w:rsid w:val="00BD02C4"/>
    <w:rsid w:val="00BD09E0"/>
    <w:rsid w:val="00BD2CF9"/>
    <w:rsid w:val="00BD3125"/>
    <w:rsid w:val="00BD42C9"/>
    <w:rsid w:val="00BD495E"/>
    <w:rsid w:val="00BD5010"/>
    <w:rsid w:val="00BD50FC"/>
    <w:rsid w:val="00BD561F"/>
    <w:rsid w:val="00BD659A"/>
    <w:rsid w:val="00BD7573"/>
    <w:rsid w:val="00BE08BF"/>
    <w:rsid w:val="00BE127B"/>
    <w:rsid w:val="00BE273E"/>
    <w:rsid w:val="00BE2A96"/>
    <w:rsid w:val="00BE2BF1"/>
    <w:rsid w:val="00BE3AA6"/>
    <w:rsid w:val="00BE6965"/>
    <w:rsid w:val="00BE6C34"/>
    <w:rsid w:val="00BF0544"/>
    <w:rsid w:val="00BF1065"/>
    <w:rsid w:val="00BF15A6"/>
    <w:rsid w:val="00BF1A32"/>
    <w:rsid w:val="00BF2691"/>
    <w:rsid w:val="00BF33FE"/>
    <w:rsid w:val="00BF3E6E"/>
    <w:rsid w:val="00BF4D13"/>
    <w:rsid w:val="00BF6B18"/>
    <w:rsid w:val="00BF6F51"/>
    <w:rsid w:val="00BF7821"/>
    <w:rsid w:val="00C0104E"/>
    <w:rsid w:val="00C030E1"/>
    <w:rsid w:val="00C0319D"/>
    <w:rsid w:val="00C03AA5"/>
    <w:rsid w:val="00C03C0C"/>
    <w:rsid w:val="00C03DC1"/>
    <w:rsid w:val="00C046DA"/>
    <w:rsid w:val="00C048F3"/>
    <w:rsid w:val="00C04ABD"/>
    <w:rsid w:val="00C051CF"/>
    <w:rsid w:val="00C05464"/>
    <w:rsid w:val="00C06156"/>
    <w:rsid w:val="00C066ED"/>
    <w:rsid w:val="00C067BA"/>
    <w:rsid w:val="00C07001"/>
    <w:rsid w:val="00C07706"/>
    <w:rsid w:val="00C1130B"/>
    <w:rsid w:val="00C13B74"/>
    <w:rsid w:val="00C143C6"/>
    <w:rsid w:val="00C15804"/>
    <w:rsid w:val="00C15C36"/>
    <w:rsid w:val="00C16A0E"/>
    <w:rsid w:val="00C16B32"/>
    <w:rsid w:val="00C16CF6"/>
    <w:rsid w:val="00C16EDD"/>
    <w:rsid w:val="00C1771A"/>
    <w:rsid w:val="00C17AF8"/>
    <w:rsid w:val="00C17D24"/>
    <w:rsid w:val="00C20D51"/>
    <w:rsid w:val="00C214FF"/>
    <w:rsid w:val="00C235BC"/>
    <w:rsid w:val="00C24587"/>
    <w:rsid w:val="00C24E19"/>
    <w:rsid w:val="00C25163"/>
    <w:rsid w:val="00C26894"/>
    <w:rsid w:val="00C268EF"/>
    <w:rsid w:val="00C2710E"/>
    <w:rsid w:val="00C2714D"/>
    <w:rsid w:val="00C27552"/>
    <w:rsid w:val="00C27824"/>
    <w:rsid w:val="00C30EFC"/>
    <w:rsid w:val="00C317F8"/>
    <w:rsid w:val="00C31C1D"/>
    <w:rsid w:val="00C32541"/>
    <w:rsid w:val="00C326B6"/>
    <w:rsid w:val="00C327C5"/>
    <w:rsid w:val="00C32BDA"/>
    <w:rsid w:val="00C333F7"/>
    <w:rsid w:val="00C33F8F"/>
    <w:rsid w:val="00C34F29"/>
    <w:rsid w:val="00C34FB0"/>
    <w:rsid w:val="00C36005"/>
    <w:rsid w:val="00C3717E"/>
    <w:rsid w:val="00C37CB4"/>
    <w:rsid w:val="00C40085"/>
    <w:rsid w:val="00C40BAD"/>
    <w:rsid w:val="00C40C92"/>
    <w:rsid w:val="00C412F4"/>
    <w:rsid w:val="00C41D40"/>
    <w:rsid w:val="00C41F5D"/>
    <w:rsid w:val="00C43CD3"/>
    <w:rsid w:val="00C43D68"/>
    <w:rsid w:val="00C43D71"/>
    <w:rsid w:val="00C44BB0"/>
    <w:rsid w:val="00C4560A"/>
    <w:rsid w:val="00C45689"/>
    <w:rsid w:val="00C4595A"/>
    <w:rsid w:val="00C460EB"/>
    <w:rsid w:val="00C4738A"/>
    <w:rsid w:val="00C47586"/>
    <w:rsid w:val="00C47A1D"/>
    <w:rsid w:val="00C47A52"/>
    <w:rsid w:val="00C501D4"/>
    <w:rsid w:val="00C5054C"/>
    <w:rsid w:val="00C50686"/>
    <w:rsid w:val="00C51609"/>
    <w:rsid w:val="00C51953"/>
    <w:rsid w:val="00C52835"/>
    <w:rsid w:val="00C53006"/>
    <w:rsid w:val="00C5300B"/>
    <w:rsid w:val="00C5323C"/>
    <w:rsid w:val="00C536BF"/>
    <w:rsid w:val="00C53D65"/>
    <w:rsid w:val="00C540BF"/>
    <w:rsid w:val="00C54328"/>
    <w:rsid w:val="00C54B38"/>
    <w:rsid w:val="00C550C4"/>
    <w:rsid w:val="00C56121"/>
    <w:rsid w:val="00C56411"/>
    <w:rsid w:val="00C5644B"/>
    <w:rsid w:val="00C56455"/>
    <w:rsid w:val="00C57590"/>
    <w:rsid w:val="00C57757"/>
    <w:rsid w:val="00C61923"/>
    <w:rsid w:val="00C620B7"/>
    <w:rsid w:val="00C63572"/>
    <w:rsid w:val="00C661D8"/>
    <w:rsid w:val="00C66780"/>
    <w:rsid w:val="00C676C3"/>
    <w:rsid w:val="00C678B0"/>
    <w:rsid w:val="00C702C8"/>
    <w:rsid w:val="00C70B87"/>
    <w:rsid w:val="00C70CDD"/>
    <w:rsid w:val="00C70ED9"/>
    <w:rsid w:val="00C71034"/>
    <w:rsid w:val="00C72619"/>
    <w:rsid w:val="00C73E0D"/>
    <w:rsid w:val="00C74E5C"/>
    <w:rsid w:val="00C753A4"/>
    <w:rsid w:val="00C75CB3"/>
    <w:rsid w:val="00C765D6"/>
    <w:rsid w:val="00C7681C"/>
    <w:rsid w:val="00C76A87"/>
    <w:rsid w:val="00C7751F"/>
    <w:rsid w:val="00C7757B"/>
    <w:rsid w:val="00C77FD3"/>
    <w:rsid w:val="00C800A4"/>
    <w:rsid w:val="00C80E9C"/>
    <w:rsid w:val="00C81C33"/>
    <w:rsid w:val="00C8360A"/>
    <w:rsid w:val="00C846F9"/>
    <w:rsid w:val="00C84D53"/>
    <w:rsid w:val="00C853CC"/>
    <w:rsid w:val="00C85A5E"/>
    <w:rsid w:val="00C85ED4"/>
    <w:rsid w:val="00C86601"/>
    <w:rsid w:val="00C86D97"/>
    <w:rsid w:val="00C871F7"/>
    <w:rsid w:val="00C87C14"/>
    <w:rsid w:val="00C90D9D"/>
    <w:rsid w:val="00C90DF9"/>
    <w:rsid w:val="00C9132D"/>
    <w:rsid w:val="00C914FE"/>
    <w:rsid w:val="00C91E24"/>
    <w:rsid w:val="00C9295B"/>
    <w:rsid w:val="00C94A81"/>
    <w:rsid w:val="00C94FA5"/>
    <w:rsid w:val="00C95896"/>
    <w:rsid w:val="00C95BC3"/>
    <w:rsid w:val="00C95C21"/>
    <w:rsid w:val="00C95C29"/>
    <w:rsid w:val="00C96166"/>
    <w:rsid w:val="00C962C1"/>
    <w:rsid w:val="00C96734"/>
    <w:rsid w:val="00C97913"/>
    <w:rsid w:val="00C97EAA"/>
    <w:rsid w:val="00CA019B"/>
    <w:rsid w:val="00CA024F"/>
    <w:rsid w:val="00CA0974"/>
    <w:rsid w:val="00CA1CE3"/>
    <w:rsid w:val="00CA2566"/>
    <w:rsid w:val="00CA26F0"/>
    <w:rsid w:val="00CA4125"/>
    <w:rsid w:val="00CA417D"/>
    <w:rsid w:val="00CA49F4"/>
    <w:rsid w:val="00CA4D3D"/>
    <w:rsid w:val="00CA5BEB"/>
    <w:rsid w:val="00CA5D71"/>
    <w:rsid w:val="00CA62EF"/>
    <w:rsid w:val="00CA7C90"/>
    <w:rsid w:val="00CB0186"/>
    <w:rsid w:val="00CB08C1"/>
    <w:rsid w:val="00CB098E"/>
    <w:rsid w:val="00CB1088"/>
    <w:rsid w:val="00CB17D0"/>
    <w:rsid w:val="00CB1DF1"/>
    <w:rsid w:val="00CB20A7"/>
    <w:rsid w:val="00CB26D7"/>
    <w:rsid w:val="00CB2E94"/>
    <w:rsid w:val="00CB405F"/>
    <w:rsid w:val="00CB48D2"/>
    <w:rsid w:val="00CB5404"/>
    <w:rsid w:val="00CB543B"/>
    <w:rsid w:val="00CB597A"/>
    <w:rsid w:val="00CB6C0B"/>
    <w:rsid w:val="00CB6CBC"/>
    <w:rsid w:val="00CB6D26"/>
    <w:rsid w:val="00CB7233"/>
    <w:rsid w:val="00CB7A98"/>
    <w:rsid w:val="00CB7BD7"/>
    <w:rsid w:val="00CB7DC6"/>
    <w:rsid w:val="00CB7F53"/>
    <w:rsid w:val="00CC02F0"/>
    <w:rsid w:val="00CC0505"/>
    <w:rsid w:val="00CC0AB6"/>
    <w:rsid w:val="00CC2382"/>
    <w:rsid w:val="00CC2815"/>
    <w:rsid w:val="00CC36D1"/>
    <w:rsid w:val="00CC39BF"/>
    <w:rsid w:val="00CC4458"/>
    <w:rsid w:val="00CC5AE7"/>
    <w:rsid w:val="00CC6050"/>
    <w:rsid w:val="00CC6283"/>
    <w:rsid w:val="00CC64A1"/>
    <w:rsid w:val="00CC6963"/>
    <w:rsid w:val="00CC730B"/>
    <w:rsid w:val="00CC7C43"/>
    <w:rsid w:val="00CD0419"/>
    <w:rsid w:val="00CD0822"/>
    <w:rsid w:val="00CD250A"/>
    <w:rsid w:val="00CD2A21"/>
    <w:rsid w:val="00CD2DD7"/>
    <w:rsid w:val="00CD2DD9"/>
    <w:rsid w:val="00CD382A"/>
    <w:rsid w:val="00CD3BDA"/>
    <w:rsid w:val="00CD3F3D"/>
    <w:rsid w:val="00CD6370"/>
    <w:rsid w:val="00CD644D"/>
    <w:rsid w:val="00CD755D"/>
    <w:rsid w:val="00CD771E"/>
    <w:rsid w:val="00CD772B"/>
    <w:rsid w:val="00CE026C"/>
    <w:rsid w:val="00CE0CBC"/>
    <w:rsid w:val="00CE1182"/>
    <w:rsid w:val="00CE17E0"/>
    <w:rsid w:val="00CE2876"/>
    <w:rsid w:val="00CE2C3A"/>
    <w:rsid w:val="00CE42B4"/>
    <w:rsid w:val="00CE42BC"/>
    <w:rsid w:val="00CE4844"/>
    <w:rsid w:val="00CE602C"/>
    <w:rsid w:val="00CE7009"/>
    <w:rsid w:val="00CE7333"/>
    <w:rsid w:val="00CE7439"/>
    <w:rsid w:val="00CE7ED8"/>
    <w:rsid w:val="00CF0A8C"/>
    <w:rsid w:val="00CF11BF"/>
    <w:rsid w:val="00CF14F8"/>
    <w:rsid w:val="00CF24AB"/>
    <w:rsid w:val="00CF369D"/>
    <w:rsid w:val="00CF3E46"/>
    <w:rsid w:val="00CF42AA"/>
    <w:rsid w:val="00CF5085"/>
    <w:rsid w:val="00CF6779"/>
    <w:rsid w:val="00CF6EFB"/>
    <w:rsid w:val="00CF7766"/>
    <w:rsid w:val="00CF7C06"/>
    <w:rsid w:val="00D00307"/>
    <w:rsid w:val="00D00B68"/>
    <w:rsid w:val="00D01B8C"/>
    <w:rsid w:val="00D01FEE"/>
    <w:rsid w:val="00D02498"/>
    <w:rsid w:val="00D02703"/>
    <w:rsid w:val="00D02A65"/>
    <w:rsid w:val="00D03636"/>
    <w:rsid w:val="00D037DD"/>
    <w:rsid w:val="00D03E03"/>
    <w:rsid w:val="00D04CEE"/>
    <w:rsid w:val="00D051F1"/>
    <w:rsid w:val="00D0579B"/>
    <w:rsid w:val="00D05B6B"/>
    <w:rsid w:val="00D06477"/>
    <w:rsid w:val="00D06584"/>
    <w:rsid w:val="00D06D13"/>
    <w:rsid w:val="00D07A96"/>
    <w:rsid w:val="00D108BE"/>
    <w:rsid w:val="00D10E3A"/>
    <w:rsid w:val="00D125A4"/>
    <w:rsid w:val="00D12969"/>
    <w:rsid w:val="00D148D0"/>
    <w:rsid w:val="00D15562"/>
    <w:rsid w:val="00D155F2"/>
    <w:rsid w:val="00D15816"/>
    <w:rsid w:val="00D1591C"/>
    <w:rsid w:val="00D162F9"/>
    <w:rsid w:val="00D16E94"/>
    <w:rsid w:val="00D17138"/>
    <w:rsid w:val="00D173C2"/>
    <w:rsid w:val="00D17EA5"/>
    <w:rsid w:val="00D21482"/>
    <w:rsid w:val="00D214F0"/>
    <w:rsid w:val="00D21D49"/>
    <w:rsid w:val="00D230F8"/>
    <w:rsid w:val="00D23352"/>
    <w:rsid w:val="00D23DA4"/>
    <w:rsid w:val="00D2413A"/>
    <w:rsid w:val="00D24155"/>
    <w:rsid w:val="00D25315"/>
    <w:rsid w:val="00D254C7"/>
    <w:rsid w:val="00D2557B"/>
    <w:rsid w:val="00D25BC7"/>
    <w:rsid w:val="00D2661C"/>
    <w:rsid w:val="00D26971"/>
    <w:rsid w:val="00D26FCD"/>
    <w:rsid w:val="00D2719E"/>
    <w:rsid w:val="00D304BB"/>
    <w:rsid w:val="00D3076E"/>
    <w:rsid w:val="00D30A84"/>
    <w:rsid w:val="00D30C60"/>
    <w:rsid w:val="00D31958"/>
    <w:rsid w:val="00D31C6A"/>
    <w:rsid w:val="00D32532"/>
    <w:rsid w:val="00D3299B"/>
    <w:rsid w:val="00D32A5E"/>
    <w:rsid w:val="00D32DF8"/>
    <w:rsid w:val="00D3327B"/>
    <w:rsid w:val="00D339E8"/>
    <w:rsid w:val="00D3433D"/>
    <w:rsid w:val="00D354DB"/>
    <w:rsid w:val="00D35983"/>
    <w:rsid w:val="00D3606C"/>
    <w:rsid w:val="00D36A09"/>
    <w:rsid w:val="00D36D58"/>
    <w:rsid w:val="00D37556"/>
    <w:rsid w:val="00D37751"/>
    <w:rsid w:val="00D40002"/>
    <w:rsid w:val="00D40A8C"/>
    <w:rsid w:val="00D40BE4"/>
    <w:rsid w:val="00D40F44"/>
    <w:rsid w:val="00D41B83"/>
    <w:rsid w:val="00D430AB"/>
    <w:rsid w:val="00D4425F"/>
    <w:rsid w:val="00D447E5"/>
    <w:rsid w:val="00D44AD3"/>
    <w:rsid w:val="00D4535F"/>
    <w:rsid w:val="00D45C5B"/>
    <w:rsid w:val="00D46372"/>
    <w:rsid w:val="00D4683F"/>
    <w:rsid w:val="00D46A1B"/>
    <w:rsid w:val="00D46C10"/>
    <w:rsid w:val="00D47576"/>
    <w:rsid w:val="00D47E98"/>
    <w:rsid w:val="00D50095"/>
    <w:rsid w:val="00D50BC1"/>
    <w:rsid w:val="00D50E19"/>
    <w:rsid w:val="00D510CF"/>
    <w:rsid w:val="00D515FC"/>
    <w:rsid w:val="00D51D92"/>
    <w:rsid w:val="00D51DF0"/>
    <w:rsid w:val="00D5260E"/>
    <w:rsid w:val="00D529A6"/>
    <w:rsid w:val="00D52DEA"/>
    <w:rsid w:val="00D53316"/>
    <w:rsid w:val="00D5460A"/>
    <w:rsid w:val="00D55428"/>
    <w:rsid w:val="00D55469"/>
    <w:rsid w:val="00D55623"/>
    <w:rsid w:val="00D5575F"/>
    <w:rsid w:val="00D574F3"/>
    <w:rsid w:val="00D57CAE"/>
    <w:rsid w:val="00D60C86"/>
    <w:rsid w:val="00D60C9C"/>
    <w:rsid w:val="00D60DBA"/>
    <w:rsid w:val="00D6114F"/>
    <w:rsid w:val="00D61B32"/>
    <w:rsid w:val="00D61BB8"/>
    <w:rsid w:val="00D62571"/>
    <w:rsid w:val="00D625B5"/>
    <w:rsid w:val="00D6309A"/>
    <w:rsid w:val="00D63A18"/>
    <w:rsid w:val="00D6497E"/>
    <w:rsid w:val="00D64D1C"/>
    <w:rsid w:val="00D64DF8"/>
    <w:rsid w:val="00D65922"/>
    <w:rsid w:val="00D66E96"/>
    <w:rsid w:val="00D67E16"/>
    <w:rsid w:val="00D702A9"/>
    <w:rsid w:val="00D70A98"/>
    <w:rsid w:val="00D7122D"/>
    <w:rsid w:val="00D717A5"/>
    <w:rsid w:val="00D71AF1"/>
    <w:rsid w:val="00D71C89"/>
    <w:rsid w:val="00D72A54"/>
    <w:rsid w:val="00D73252"/>
    <w:rsid w:val="00D732CF"/>
    <w:rsid w:val="00D73E71"/>
    <w:rsid w:val="00D74611"/>
    <w:rsid w:val="00D75E1C"/>
    <w:rsid w:val="00D76CB5"/>
    <w:rsid w:val="00D7722B"/>
    <w:rsid w:val="00D77B47"/>
    <w:rsid w:val="00D80395"/>
    <w:rsid w:val="00D80D39"/>
    <w:rsid w:val="00D8253F"/>
    <w:rsid w:val="00D826A6"/>
    <w:rsid w:val="00D82B6E"/>
    <w:rsid w:val="00D82C70"/>
    <w:rsid w:val="00D8343A"/>
    <w:rsid w:val="00D844DC"/>
    <w:rsid w:val="00D84520"/>
    <w:rsid w:val="00D84B79"/>
    <w:rsid w:val="00D84E77"/>
    <w:rsid w:val="00D84FCB"/>
    <w:rsid w:val="00D87739"/>
    <w:rsid w:val="00D9008F"/>
    <w:rsid w:val="00D90F66"/>
    <w:rsid w:val="00D913D2"/>
    <w:rsid w:val="00D91897"/>
    <w:rsid w:val="00D930D3"/>
    <w:rsid w:val="00D93B0C"/>
    <w:rsid w:val="00D944A9"/>
    <w:rsid w:val="00D94A8C"/>
    <w:rsid w:val="00D94B11"/>
    <w:rsid w:val="00D955F2"/>
    <w:rsid w:val="00D96382"/>
    <w:rsid w:val="00D965FE"/>
    <w:rsid w:val="00D97A4E"/>
    <w:rsid w:val="00D97B17"/>
    <w:rsid w:val="00D97CBE"/>
    <w:rsid w:val="00DA101D"/>
    <w:rsid w:val="00DA128B"/>
    <w:rsid w:val="00DA152C"/>
    <w:rsid w:val="00DA1C81"/>
    <w:rsid w:val="00DA1E97"/>
    <w:rsid w:val="00DA2BCD"/>
    <w:rsid w:val="00DA59F3"/>
    <w:rsid w:val="00DA5D90"/>
    <w:rsid w:val="00DA5DEC"/>
    <w:rsid w:val="00DA62E7"/>
    <w:rsid w:val="00DA7709"/>
    <w:rsid w:val="00DB0D54"/>
    <w:rsid w:val="00DB1046"/>
    <w:rsid w:val="00DB2682"/>
    <w:rsid w:val="00DB2B4C"/>
    <w:rsid w:val="00DB38AA"/>
    <w:rsid w:val="00DB3CDC"/>
    <w:rsid w:val="00DB4EC7"/>
    <w:rsid w:val="00DB50AE"/>
    <w:rsid w:val="00DB54C5"/>
    <w:rsid w:val="00DB54D3"/>
    <w:rsid w:val="00DB54EA"/>
    <w:rsid w:val="00DB5F8E"/>
    <w:rsid w:val="00DB6633"/>
    <w:rsid w:val="00DB6872"/>
    <w:rsid w:val="00DB68D1"/>
    <w:rsid w:val="00DB70BD"/>
    <w:rsid w:val="00DB7B0F"/>
    <w:rsid w:val="00DC05DE"/>
    <w:rsid w:val="00DC0828"/>
    <w:rsid w:val="00DC1041"/>
    <w:rsid w:val="00DC39AE"/>
    <w:rsid w:val="00DC4CD2"/>
    <w:rsid w:val="00DC4DFA"/>
    <w:rsid w:val="00DC4FEF"/>
    <w:rsid w:val="00DC5F9E"/>
    <w:rsid w:val="00DC60F0"/>
    <w:rsid w:val="00DC667A"/>
    <w:rsid w:val="00DC6D03"/>
    <w:rsid w:val="00DC6E75"/>
    <w:rsid w:val="00DC7701"/>
    <w:rsid w:val="00DD156B"/>
    <w:rsid w:val="00DD2D1B"/>
    <w:rsid w:val="00DD3306"/>
    <w:rsid w:val="00DD348C"/>
    <w:rsid w:val="00DD484F"/>
    <w:rsid w:val="00DD4C26"/>
    <w:rsid w:val="00DD5363"/>
    <w:rsid w:val="00DD5530"/>
    <w:rsid w:val="00DD5674"/>
    <w:rsid w:val="00DD5EC0"/>
    <w:rsid w:val="00DD691E"/>
    <w:rsid w:val="00DD6B85"/>
    <w:rsid w:val="00DD71A0"/>
    <w:rsid w:val="00DD7B26"/>
    <w:rsid w:val="00DE0546"/>
    <w:rsid w:val="00DE1BC2"/>
    <w:rsid w:val="00DE2FB1"/>
    <w:rsid w:val="00DE313F"/>
    <w:rsid w:val="00DE347E"/>
    <w:rsid w:val="00DE5048"/>
    <w:rsid w:val="00DE5223"/>
    <w:rsid w:val="00DE5D4E"/>
    <w:rsid w:val="00DE6AE7"/>
    <w:rsid w:val="00DE6C69"/>
    <w:rsid w:val="00DE6DF2"/>
    <w:rsid w:val="00DE7098"/>
    <w:rsid w:val="00DE7376"/>
    <w:rsid w:val="00DE7414"/>
    <w:rsid w:val="00DF089E"/>
    <w:rsid w:val="00DF08BD"/>
    <w:rsid w:val="00DF0B40"/>
    <w:rsid w:val="00DF0BF6"/>
    <w:rsid w:val="00DF1399"/>
    <w:rsid w:val="00DF22A7"/>
    <w:rsid w:val="00DF2664"/>
    <w:rsid w:val="00DF40FD"/>
    <w:rsid w:val="00DF4763"/>
    <w:rsid w:val="00DF47E6"/>
    <w:rsid w:val="00DF4879"/>
    <w:rsid w:val="00DF48BB"/>
    <w:rsid w:val="00DF599D"/>
    <w:rsid w:val="00DF5E7A"/>
    <w:rsid w:val="00DF6CCA"/>
    <w:rsid w:val="00DF70FE"/>
    <w:rsid w:val="00DF75E7"/>
    <w:rsid w:val="00E006B7"/>
    <w:rsid w:val="00E00FF1"/>
    <w:rsid w:val="00E03127"/>
    <w:rsid w:val="00E03F2C"/>
    <w:rsid w:val="00E041BD"/>
    <w:rsid w:val="00E048E5"/>
    <w:rsid w:val="00E05486"/>
    <w:rsid w:val="00E05605"/>
    <w:rsid w:val="00E05B15"/>
    <w:rsid w:val="00E062EC"/>
    <w:rsid w:val="00E064FB"/>
    <w:rsid w:val="00E1028A"/>
    <w:rsid w:val="00E105E2"/>
    <w:rsid w:val="00E10A2A"/>
    <w:rsid w:val="00E10E14"/>
    <w:rsid w:val="00E10E29"/>
    <w:rsid w:val="00E12827"/>
    <w:rsid w:val="00E12A8A"/>
    <w:rsid w:val="00E130E4"/>
    <w:rsid w:val="00E13301"/>
    <w:rsid w:val="00E15BA1"/>
    <w:rsid w:val="00E15EE1"/>
    <w:rsid w:val="00E1643A"/>
    <w:rsid w:val="00E1780A"/>
    <w:rsid w:val="00E17A07"/>
    <w:rsid w:val="00E2018F"/>
    <w:rsid w:val="00E20506"/>
    <w:rsid w:val="00E20F80"/>
    <w:rsid w:val="00E21DC6"/>
    <w:rsid w:val="00E22320"/>
    <w:rsid w:val="00E22ED7"/>
    <w:rsid w:val="00E230B9"/>
    <w:rsid w:val="00E255DA"/>
    <w:rsid w:val="00E273D5"/>
    <w:rsid w:val="00E27D31"/>
    <w:rsid w:val="00E30119"/>
    <w:rsid w:val="00E30510"/>
    <w:rsid w:val="00E30C68"/>
    <w:rsid w:val="00E32624"/>
    <w:rsid w:val="00E326E5"/>
    <w:rsid w:val="00E32989"/>
    <w:rsid w:val="00E32ADC"/>
    <w:rsid w:val="00E32CE5"/>
    <w:rsid w:val="00E33C76"/>
    <w:rsid w:val="00E3463A"/>
    <w:rsid w:val="00E34F13"/>
    <w:rsid w:val="00E34F3F"/>
    <w:rsid w:val="00E34FAD"/>
    <w:rsid w:val="00E35130"/>
    <w:rsid w:val="00E37739"/>
    <w:rsid w:val="00E4148C"/>
    <w:rsid w:val="00E4250C"/>
    <w:rsid w:val="00E42C6F"/>
    <w:rsid w:val="00E434B5"/>
    <w:rsid w:val="00E44C83"/>
    <w:rsid w:val="00E45967"/>
    <w:rsid w:val="00E46184"/>
    <w:rsid w:val="00E46644"/>
    <w:rsid w:val="00E46AE7"/>
    <w:rsid w:val="00E46F98"/>
    <w:rsid w:val="00E47580"/>
    <w:rsid w:val="00E50048"/>
    <w:rsid w:val="00E50687"/>
    <w:rsid w:val="00E50E0C"/>
    <w:rsid w:val="00E5157B"/>
    <w:rsid w:val="00E51F3C"/>
    <w:rsid w:val="00E5204E"/>
    <w:rsid w:val="00E524E2"/>
    <w:rsid w:val="00E52797"/>
    <w:rsid w:val="00E528D4"/>
    <w:rsid w:val="00E533C3"/>
    <w:rsid w:val="00E54B6B"/>
    <w:rsid w:val="00E552EC"/>
    <w:rsid w:val="00E556D6"/>
    <w:rsid w:val="00E5593F"/>
    <w:rsid w:val="00E56A8C"/>
    <w:rsid w:val="00E56BC5"/>
    <w:rsid w:val="00E57154"/>
    <w:rsid w:val="00E5798D"/>
    <w:rsid w:val="00E57F60"/>
    <w:rsid w:val="00E601FD"/>
    <w:rsid w:val="00E60E5C"/>
    <w:rsid w:val="00E619CF"/>
    <w:rsid w:val="00E61BE5"/>
    <w:rsid w:val="00E61D63"/>
    <w:rsid w:val="00E626AA"/>
    <w:rsid w:val="00E6285C"/>
    <w:rsid w:val="00E62A19"/>
    <w:rsid w:val="00E62DDF"/>
    <w:rsid w:val="00E62FBF"/>
    <w:rsid w:val="00E63E20"/>
    <w:rsid w:val="00E6646D"/>
    <w:rsid w:val="00E67445"/>
    <w:rsid w:val="00E676A6"/>
    <w:rsid w:val="00E67F9F"/>
    <w:rsid w:val="00E72584"/>
    <w:rsid w:val="00E72585"/>
    <w:rsid w:val="00E733FE"/>
    <w:rsid w:val="00E736EC"/>
    <w:rsid w:val="00E73754"/>
    <w:rsid w:val="00E737A2"/>
    <w:rsid w:val="00E737EA"/>
    <w:rsid w:val="00E73A24"/>
    <w:rsid w:val="00E73D2B"/>
    <w:rsid w:val="00E73FE1"/>
    <w:rsid w:val="00E74AF6"/>
    <w:rsid w:val="00E74C50"/>
    <w:rsid w:val="00E74FE2"/>
    <w:rsid w:val="00E751E6"/>
    <w:rsid w:val="00E75473"/>
    <w:rsid w:val="00E76B50"/>
    <w:rsid w:val="00E77289"/>
    <w:rsid w:val="00E77ECC"/>
    <w:rsid w:val="00E8069E"/>
    <w:rsid w:val="00E80E65"/>
    <w:rsid w:val="00E81436"/>
    <w:rsid w:val="00E819B8"/>
    <w:rsid w:val="00E81A22"/>
    <w:rsid w:val="00E81B71"/>
    <w:rsid w:val="00E81F71"/>
    <w:rsid w:val="00E8204D"/>
    <w:rsid w:val="00E82EBD"/>
    <w:rsid w:val="00E84322"/>
    <w:rsid w:val="00E84E55"/>
    <w:rsid w:val="00E858A7"/>
    <w:rsid w:val="00E862E3"/>
    <w:rsid w:val="00E86F90"/>
    <w:rsid w:val="00E876D6"/>
    <w:rsid w:val="00E904C8"/>
    <w:rsid w:val="00E91387"/>
    <w:rsid w:val="00E91BAB"/>
    <w:rsid w:val="00E92CCA"/>
    <w:rsid w:val="00E93C54"/>
    <w:rsid w:val="00E94438"/>
    <w:rsid w:val="00E9677D"/>
    <w:rsid w:val="00E96AA0"/>
    <w:rsid w:val="00E97370"/>
    <w:rsid w:val="00E97A6C"/>
    <w:rsid w:val="00E97ABA"/>
    <w:rsid w:val="00EA0070"/>
    <w:rsid w:val="00EA2075"/>
    <w:rsid w:val="00EA304A"/>
    <w:rsid w:val="00EA3BF4"/>
    <w:rsid w:val="00EA3D24"/>
    <w:rsid w:val="00EA43A7"/>
    <w:rsid w:val="00EA4A08"/>
    <w:rsid w:val="00EA4FA6"/>
    <w:rsid w:val="00EA5266"/>
    <w:rsid w:val="00EA59C3"/>
    <w:rsid w:val="00EA6305"/>
    <w:rsid w:val="00EA6765"/>
    <w:rsid w:val="00EA6F5C"/>
    <w:rsid w:val="00EA7BCF"/>
    <w:rsid w:val="00EB0C07"/>
    <w:rsid w:val="00EB0DAC"/>
    <w:rsid w:val="00EB0E39"/>
    <w:rsid w:val="00EB147E"/>
    <w:rsid w:val="00EB31C5"/>
    <w:rsid w:val="00EB42B1"/>
    <w:rsid w:val="00EB4EC3"/>
    <w:rsid w:val="00EB50A8"/>
    <w:rsid w:val="00EB5F47"/>
    <w:rsid w:val="00EB64CA"/>
    <w:rsid w:val="00EB6BAB"/>
    <w:rsid w:val="00EB6FAF"/>
    <w:rsid w:val="00EB7F28"/>
    <w:rsid w:val="00EB7F39"/>
    <w:rsid w:val="00EC00F9"/>
    <w:rsid w:val="00EC2847"/>
    <w:rsid w:val="00EC3385"/>
    <w:rsid w:val="00EC6683"/>
    <w:rsid w:val="00EC6BF7"/>
    <w:rsid w:val="00EC790D"/>
    <w:rsid w:val="00EC7B87"/>
    <w:rsid w:val="00ED0AF6"/>
    <w:rsid w:val="00ED11A2"/>
    <w:rsid w:val="00ED17FD"/>
    <w:rsid w:val="00ED1A56"/>
    <w:rsid w:val="00ED1D54"/>
    <w:rsid w:val="00ED20C6"/>
    <w:rsid w:val="00ED2375"/>
    <w:rsid w:val="00ED2C1C"/>
    <w:rsid w:val="00ED2CFE"/>
    <w:rsid w:val="00ED3020"/>
    <w:rsid w:val="00ED3287"/>
    <w:rsid w:val="00ED3461"/>
    <w:rsid w:val="00ED38C2"/>
    <w:rsid w:val="00ED4C97"/>
    <w:rsid w:val="00ED746C"/>
    <w:rsid w:val="00ED74DE"/>
    <w:rsid w:val="00ED75EF"/>
    <w:rsid w:val="00ED7E09"/>
    <w:rsid w:val="00EE0E4E"/>
    <w:rsid w:val="00EE3AA0"/>
    <w:rsid w:val="00EE4C64"/>
    <w:rsid w:val="00EE4D7F"/>
    <w:rsid w:val="00EE5274"/>
    <w:rsid w:val="00EE5F59"/>
    <w:rsid w:val="00EE6723"/>
    <w:rsid w:val="00EE7036"/>
    <w:rsid w:val="00EE73D8"/>
    <w:rsid w:val="00EE7BBA"/>
    <w:rsid w:val="00EF03BA"/>
    <w:rsid w:val="00EF0C8A"/>
    <w:rsid w:val="00EF19E0"/>
    <w:rsid w:val="00EF1DFF"/>
    <w:rsid w:val="00EF2018"/>
    <w:rsid w:val="00EF2BE1"/>
    <w:rsid w:val="00EF2E7B"/>
    <w:rsid w:val="00EF3089"/>
    <w:rsid w:val="00EF31F3"/>
    <w:rsid w:val="00EF3208"/>
    <w:rsid w:val="00EF3668"/>
    <w:rsid w:val="00EF39DB"/>
    <w:rsid w:val="00EF3C9E"/>
    <w:rsid w:val="00EF3D9D"/>
    <w:rsid w:val="00EF3ED9"/>
    <w:rsid w:val="00EF40F1"/>
    <w:rsid w:val="00EF4367"/>
    <w:rsid w:val="00EF470C"/>
    <w:rsid w:val="00EF498E"/>
    <w:rsid w:val="00EF5349"/>
    <w:rsid w:val="00EF64F7"/>
    <w:rsid w:val="00EF6A8F"/>
    <w:rsid w:val="00EF6EC2"/>
    <w:rsid w:val="00EF790B"/>
    <w:rsid w:val="00F011BD"/>
    <w:rsid w:val="00F027FC"/>
    <w:rsid w:val="00F03EE9"/>
    <w:rsid w:val="00F04545"/>
    <w:rsid w:val="00F04795"/>
    <w:rsid w:val="00F05317"/>
    <w:rsid w:val="00F060BE"/>
    <w:rsid w:val="00F06959"/>
    <w:rsid w:val="00F07432"/>
    <w:rsid w:val="00F07896"/>
    <w:rsid w:val="00F105EA"/>
    <w:rsid w:val="00F12294"/>
    <w:rsid w:val="00F12E45"/>
    <w:rsid w:val="00F13A5F"/>
    <w:rsid w:val="00F140A1"/>
    <w:rsid w:val="00F1457D"/>
    <w:rsid w:val="00F14CFC"/>
    <w:rsid w:val="00F15508"/>
    <w:rsid w:val="00F15B12"/>
    <w:rsid w:val="00F15B55"/>
    <w:rsid w:val="00F1601C"/>
    <w:rsid w:val="00F16E2B"/>
    <w:rsid w:val="00F17068"/>
    <w:rsid w:val="00F17D19"/>
    <w:rsid w:val="00F206DC"/>
    <w:rsid w:val="00F208BE"/>
    <w:rsid w:val="00F20AA9"/>
    <w:rsid w:val="00F20D97"/>
    <w:rsid w:val="00F210A3"/>
    <w:rsid w:val="00F22329"/>
    <w:rsid w:val="00F24300"/>
    <w:rsid w:val="00F24538"/>
    <w:rsid w:val="00F248F2"/>
    <w:rsid w:val="00F24EF3"/>
    <w:rsid w:val="00F25128"/>
    <w:rsid w:val="00F251C1"/>
    <w:rsid w:val="00F26E37"/>
    <w:rsid w:val="00F30507"/>
    <w:rsid w:val="00F30836"/>
    <w:rsid w:val="00F31A6A"/>
    <w:rsid w:val="00F31CE0"/>
    <w:rsid w:val="00F31F86"/>
    <w:rsid w:val="00F323D8"/>
    <w:rsid w:val="00F32895"/>
    <w:rsid w:val="00F32B87"/>
    <w:rsid w:val="00F32D5C"/>
    <w:rsid w:val="00F33006"/>
    <w:rsid w:val="00F33B92"/>
    <w:rsid w:val="00F35319"/>
    <w:rsid w:val="00F35676"/>
    <w:rsid w:val="00F363B8"/>
    <w:rsid w:val="00F365B1"/>
    <w:rsid w:val="00F3717F"/>
    <w:rsid w:val="00F375E6"/>
    <w:rsid w:val="00F4078F"/>
    <w:rsid w:val="00F41B4D"/>
    <w:rsid w:val="00F422CC"/>
    <w:rsid w:val="00F427FE"/>
    <w:rsid w:val="00F42EF6"/>
    <w:rsid w:val="00F43253"/>
    <w:rsid w:val="00F436CD"/>
    <w:rsid w:val="00F44E90"/>
    <w:rsid w:val="00F45973"/>
    <w:rsid w:val="00F4600D"/>
    <w:rsid w:val="00F467E2"/>
    <w:rsid w:val="00F46D15"/>
    <w:rsid w:val="00F475B4"/>
    <w:rsid w:val="00F4785A"/>
    <w:rsid w:val="00F47E7B"/>
    <w:rsid w:val="00F50BFC"/>
    <w:rsid w:val="00F50E0D"/>
    <w:rsid w:val="00F5158C"/>
    <w:rsid w:val="00F529F7"/>
    <w:rsid w:val="00F52D5E"/>
    <w:rsid w:val="00F53A71"/>
    <w:rsid w:val="00F53D39"/>
    <w:rsid w:val="00F53F13"/>
    <w:rsid w:val="00F53F71"/>
    <w:rsid w:val="00F54248"/>
    <w:rsid w:val="00F54496"/>
    <w:rsid w:val="00F55031"/>
    <w:rsid w:val="00F550AB"/>
    <w:rsid w:val="00F5652A"/>
    <w:rsid w:val="00F571A4"/>
    <w:rsid w:val="00F578E3"/>
    <w:rsid w:val="00F6066A"/>
    <w:rsid w:val="00F608AD"/>
    <w:rsid w:val="00F60E11"/>
    <w:rsid w:val="00F6103F"/>
    <w:rsid w:val="00F640A2"/>
    <w:rsid w:val="00F64403"/>
    <w:rsid w:val="00F65826"/>
    <w:rsid w:val="00F65F18"/>
    <w:rsid w:val="00F6655B"/>
    <w:rsid w:val="00F66883"/>
    <w:rsid w:val="00F66939"/>
    <w:rsid w:val="00F6716D"/>
    <w:rsid w:val="00F6763D"/>
    <w:rsid w:val="00F67CE9"/>
    <w:rsid w:val="00F70BCC"/>
    <w:rsid w:val="00F7231E"/>
    <w:rsid w:val="00F72C2A"/>
    <w:rsid w:val="00F72C63"/>
    <w:rsid w:val="00F73347"/>
    <w:rsid w:val="00F73A12"/>
    <w:rsid w:val="00F7571B"/>
    <w:rsid w:val="00F75A37"/>
    <w:rsid w:val="00F75F3E"/>
    <w:rsid w:val="00F761FC"/>
    <w:rsid w:val="00F80686"/>
    <w:rsid w:val="00F80848"/>
    <w:rsid w:val="00F8180E"/>
    <w:rsid w:val="00F8258E"/>
    <w:rsid w:val="00F82689"/>
    <w:rsid w:val="00F83AC3"/>
    <w:rsid w:val="00F841F9"/>
    <w:rsid w:val="00F848F5"/>
    <w:rsid w:val="00F86036"/>
    <w:rsid w:val="00F86394"/>
    <w:rsid w:val="00F8654C"/>
    <w:rsid w:val="00F86C18"/>
    <w:rsid w:val="00F87A5C"/>
    <w:rsid w:val="00F87F97"/>
    <w:rsid w:val="00F90001"/>
    <w:rsid w:val="00F90DDF"/>
    <w:rsid w:val="00F91578"/>
    <w:rsid w:val="00F925A5"/>
    <w:rsid w:val="00F92AEB"/>
    <w:rsid w:val="00F92D51"/>
    <w:rsid w:val="00F93497"/>
    <w:rsid w:val="00F934EA"/>
    <w:rsid w:val="00F93CD6"/>
    <w:rsid w:val="00F93D43"/>
    <w:rsid w:val="00F949D8"/>
    <w:rsid w:val="00F95226"/>
    <w:rsid w:val="00F9589F"/>
    <w:rsid w:val="00F959CD"/>
    <w:rsid w:val="00F95A38"/>
    <w:rsid w:val="00F964E0"/>
    <w:rsid w:val="00FA0E37"/>
    <w:rsid w:val="00FA2DE4"/>
    <w:rsid w:val="00FA3233"/>
    <w:rsid w:val="00FA324E"/>
    <w:rsid w:val="00FA3BA7"/>
    <w:rsid w:val="00FA47B9"/>
    <w:rsid w:val="00FA48F1"/>
    <w:rsid w:val="00FA4D1E"/>
    <w:rsid w:val="00FA5E17"/>
    <w:rsid w:val="00FA6755"/>
    <w:rsid w:val="00FA6999"/>
    <w:rsid w:val="00FA6CE1"/>
    <w:rsid w:val="00FA7AB9"/>
    <w:rsid w:val="00FA7CAE"/>
    <w:rsid w:val="00FB04BD"/>
    <w:rsid w:val="00FB09E8"/>
    <w:rsid w:val="00FB11CC"/>
    <w:rsid w:val="00FB18CE"/>
    <w:rsid w:val="00FB2494"/>
    <w:rsid w:val="00FB29C1"/>
    <w:rsid w:val="00FB489D"/>
    <w:rsid w:val="00FB4933"/>
    <w:rsid w:val="00FB499F"/>
    <w:rsid w:val="00FB5B73"/>
    <w:rsid w:val="00FB5CC9"/>
    <w:rsid w:val="00FB5D1B"/>
    <w:rsid w:val="00FB5EAA"/>
    <w:rsid w:val="00FB6898"/>
    <w:rsid w:val="00FB6B98"/>
    <w:rsid w:val="00FB71A9"/>
    <w:rsid w:val="00FB73F9"/>
    <w:rsid w:val="00FB75D2"/>
    <w:rsid w:val="00FC056A"/>
    <w:rsid w:val="00FC0F33"/>
    <w:rsid w:val="00FC14BE"/>
    <w:rsid w:val="00FC1BFA"/>
    <w:rsid w:val="00FC1E80"/>
    <w:rsid w:val="00FC2589"/>
    <w:rsid w:val="00FC2B18"/>
    <w:rsid w:val="00FC3B08"/>
    <w:rsid w:val="00FC5292"/>
    <w:rsid w:val="00FC6634"/>
    <w:rsid w:val="00FC674D"/>
    <w:rsid w:val="00FC6A0C"/>
    <w:rsid w:val="00FC7526"/>
    <w:rsid w:val="00FD161F"/>
    <w:rsid w:val="00FD22EC"/>
    <w:rsid w:val="00FD27A7"/>
    <w:rsid w:val="00FD303E"/>
    <w:rsid w:val="00FD43CC"/>
    <w:rsid w:val="00FD4964"/>
    <w:rsid w:val="00FD4E6C"/>
    <w:rsid w:val="00FD5349"/>
    <w:rsid w:val="00FD5D0F"/>
    <w:rsid w:val="00FD6D9A"/>
    <w:rsid w:val="00FD7F4C"/>
    <w:rsid w:val="00FE0179"/>
    <w:rsid w:val="00FE1A90"/>
    <w:rsid w:val="00FE1AE5"/>
    <w:rsid w:val="00FE1D20"/>
    <w:rsid w:val="00FE2703"/>
    <w:rsid w:val="00FE2ECE"/>
    <w:rsid w:val="00FE2F19"/>
    <w:rsid w:val="00FE32D1"/>
    <w:rsid w:val="00FE3900"/>
    <w:rsid w:val="00FE42E9"/>
    <w:rsid w:val="00FE48B1"/>
    <w:rsid w:val="00FE4C8B"/>
    <w:rsid w:val="00FE4DAC"/>
    <w:rsid w:val="00FE4F1E"/>
    <w:rsid w:val="00FE506D"/>
    <w:rsid w:val="00FE5602"/>
    <w:rsid w:val="00FE61EC"/>
    <w:rsid w:val="00FE6E95"/>
    <w:rsid w:val="00FE7603"/>
    <w:rsid w:val="00FE7865"/>
    <w:rsid w:val="00FF079F"/>
    <w:rsid w:val="00FF0B75"/>
    <w:rsid w:val="00FF0E12"/>
    <w:rsid w:val="00FF1EC2"/>
    <w:rsid w:val="00FF2ADB"/>
    <w:rsid w:val="00FF2E57"/>
    <w:rsid w:val="00FF303C"/>
    <w:rsid w:val="00FF3257"/>
    <w:rsid w:val="00FF368A"/>
    <w:rsid w:val="00FF3822"/>
    <w:rsid w:val="00FF39ED"/>
    <w:rsid w:val="00FF3E36"/>
    <w:rsid w:val="00FF50E2"/>
    <w:rsid w:val="00FF5CDC"/>
    <w:rsid w:val="00FF7E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CB22C4"/>
  <w15:docId w15:val="{EF9CD806-781F-4D11-AF4D-63345E4D7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B75"/>
    <w:pPr>
      <w:spacing w:after="160" w:line="259" w:lineRule="auto"/>
    </w:pPr>
    <w:rPr>
      <w:rFonts w:asciiTheme="minorHAnsi" w:eastAsiaTheme="minorHAnsi" w:hAnsiTheme="minorHAnsi" w:cstheme="minorBidi"/>
      <w:sz w:val="22"/>
      <w:szCs w:val="22"/>
    </w:rPr>
  </w:style>
  <w:style w:type="paragraph" w:styleId="1">
    <w:name w:val="heading 1"/>
    <w:basedOn w:val="a"/>
    <w:next w:val="a"/>
    <w:link w:val="10"/>
    <w:qFormat/>
    <w:rsid w:val="001E547C"/>
    <w:pPr>
      <w:keepNext/>
      <w:spacing w:before="240" w:after="60" w:line="240" w:lineRule="auto"/>
      <w:outlineLvl w:val="0"/>
    </w:pPr>
    <w:rPr>
      <w:rFonts w:ascii="Arial" w:eastAsia="Times New Roman" w:hAnsi="Arial" w:cs="Arial"/>
      <w:b/>
      <w:bCs/>
      <w:kern w:val="32"/>
      <w:sz w:val="32"/>
      <w:szCs w:val="32"/>
      <w:lang w:val="ro-RO"/>
    </w:rPr>
  </w:style>
  <w:style w:type="paragraph" w:styleId="3">
    <w:name w:val="heading 3"/>
    <w:basedOn w:val="a"/>
    <w:next w:val="a"/>
    <w:link w:val="30"/>
    <w:qFormat/>
    <w:rsid w:val="001E547C"/>
    <w:pPr>
      <w:keepNext/>
      <w:spacing w:before="240" w:after="60" w:line="240" w:lineRule="auto"/>
      <w:outlineLvl w:val="2"/>
    </w:pPr>
    <w:rPr>
      <w:rFonts w:ascii="Arial" w:eastAsia="Times New Roman" w:hAnsi="Arial" w:cs="Arial"/>
      <w:b/>
      <w:bCs/>
      <w:sz w:val="26"/>
      <w:szCs w:val="26"/>
      <w:lang w:val="ro-RO"/>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87EAB"/>
    <w:pPr>
      <w:tabs>
        <w:tab w:val="center" w:pos="4844"/>
        <w:tab w:val="right" w:pos="9689"/>
      </w:tabs>
    </w:pPr>
  </w:style>
  <w:style w:type="character" w:customStyle="1" w:styleId="a4">
    <w:name w:val="Верхний колонтитул Знак"/>
    <w:basedOn w:val="a0"/>
    <w:link w:val="a3"/>
    <w:uiPriority w:val="99"/>
    <w:rsid w:val="00087EAB"/>
    <w:rPr>
      <w:sz w:val="24"/>
      <w:szCs w:val="24"/>
    </w:rPr>
  </w:style>
  <w:style w:type="paragraph" w:styleId="a5">
    <w:name w:val="footer"/>
    <w:basedOn w:val="a"/>
    <w:link w:val="a6"/>
    <w:uiPriority w:val="99"/>
    <w:unhideWhenUsed/>
    <w:rsid w:val="00087EAB"/>
    <w:pPr>
      <w:tabs>
        <w:tab w:val="center" w:pos="4844"/>
        <w:tab w:val="right" w:pos="9689"/>
      </w:tabs>
    </w:pPr>
  </w:style>
  <w:style w:type="character" w:customStyle="1" w:styleId="a6">
    <w:name w:val="Нижний колонтитул Знак"/>
    <w:basedOn w:val="a0"/>
    <w:link w:val="a5"/>
    <w:uiPriority w:val="99"/>
    <w:rsid w:val="00087EAB"/>
    <w:rPr>
      <w:sz w:val="24"/>
      <w:szCs w:val="24"/>
    </w:rPr>
  </w:style>
  <w:style w:type="character" w:customStyle="1" w:styleId="10">
    <w:name w:val="Заголовок 1 Знак"/>
    <w:basedOn w:val="a0"/>
    <w:link w:val="1"/>
    <w:rsid w:val="001E547C"/>
    <w:rPr>
      <w:rFonts w:ascii="Arial" w:hAnsi="Arial" w:cs="Arial"/>
      <w:b/>
      <w:bCs/>
      <w:kern w:val="32"/>
      <w:sz w:val="32"/>
      <w:szCs w:val="32"/>
      <w:lang w:val="ro-RO"/>
    </w:rPr>
  </w:style>
  <w:style w:type="character" w:customStyle="1" w:styleId="30">
    <w:name w:val="Заголовок 3 Знак"/>
    <w:basedOn w:val="a0"/>
    <w:link w:val="3"/>
    <w:rsid w:val="001E547C"/>
    <w:rPr>
      <w:rFonts w:ascii="Arial" w:hAnsi="Arial" w:cs="Arial"/>
      <w:b/>
      <w:bCs/>
      <w:sz w:val="26"/>
      <w:szCs w:val="26"/>
      <w:lang w:val="ro-RO"/>
    </w:rPr>
  </w:style>
  <w:style w:type="table" w:styleId="a7">
    <w:name w:val="Table Grid"/>
    <w:basedOn w:val="a1"/>
    <w:rsid w:val="001E547C"/>
    <w:rPr>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rmal (Web)"/>
    <w:aliases w:val="Normal (Web) Char Char1 Char,Normal (Web) Char Char Char Char Char Char,Normal (Web) Char Char Char1 Char Char,Normal (Web)1 Char Char,Normal (Web) Char,Normal (Web) Char Char Char Char,Normal (Web) Char Char Char1,Normal (Web) Char1"/>
    <w:basedOn w:val="a"/>
    <w:link w:val="a9"/>
    <w:uiPriority w:val="99"/>
    <w:qFormat/>
    <w:rsid w:val="001E547C"/>
    <w:pPr>
      <w:spacing w:before="150" w:after="150" w:line="240" w:lineRule="auto"/>
      <w:ind w:left="675" w:right="525"/>
    </w:pPr>
    <w:rPr>
      <w:rFonts w:ascii="Times New Roman" w:eastAsia="Times New Roman" w:hAnsi="Times New Roman" w:cs="Times New Roman"/>
      <w:sz w:val="19"/>
      <w:szCs w:val="19"/>
    </w:rPr>
  </w:style>
  <w:style w:type="paragraph" w:styleId="31">
    <w:name w:val="Body Text 3"/>
    <w:basedOn w:val="a"/>
    <w:link w:val="32"/>
    <w:rsid w:val="001E547C"/>
    <w:pPr>
      <w:spacing w:after="0" w:line="360" w:lineRule="auto"/>
      <w:jc w:val="both"/>
    </w:pPr>
    <w:rPr>
      <w:rFonts w:ascii="RomJurnalist" w:eastAsia="Times New Roman" w:hAnsi="RomJurnalist" w:cs="Arial"/>
      <w:strike/>
      <w:color w:val="000000"/>
      <w:sz w:val="24"/>
      <w:szCs w:val="18"/>
      <w:lang w:val="ro-RO" w:eastAsia="ro-RO"/>
    </w:rPr>
  </w:style>
  <w:style w:type="character" w:customStyle="1" w:styleId="32">
    <w:name w:val="Основной текст 3 Знак"/>
    <w:basedOn w:val="a0"/>
    <w:link w:val="31"/>
    <w:rsid w:val="001E547C"/>
    <w:rPr>
      <w:rFonts w:ascii="RomJurnalist" w:hAnsi="RomJurnalist" w:cs="Arial"/>
      <w:strike/>
      <w:color w:val="000000"/>
      <w:sz w:val="24"/>
      <w:szCs w:val="18"/>
      <w:lang w:val="ro-RO" w:eastAsia="ro-RO"/>
    </w:rPr>
  </w:style>
  <w:style w:type="paragraph" w:styleId="aa">
    <w:name w:val="Body Text"/>
    <w:basedOn w:val="a"/>
    <w:link w:val="ab"/>
    <w:rsid w:val="001E547C"/>
    <w:pPr>
      <w:spacing w:after="120" w:line="240" w:lineRule="auto"/>
    </w:pPr>
    <w:rPr>
      <w:rFonts w:ascii="Times New Roman" w:eastAsia="Times New Roman" w:hAnsi="Times New Roman" w:cs="Times New Roman"/>
      <w:sz w:val="24"/>
      <w:szCs w:val="24"/>
      <w:lang w:val="ro-RO"/>
    </w:rPr>
  </w:style>
  <w:style w:type="character" w:customStyle="1" w:styleId="ab">
    <w:name w:val="Основной текст Знак"/>
    <w:basedOn w:val="a0"/>
    <w:link w:val="aa"/>
    <w:rsid w:val="001E547C"/>
    <w:rPr>
      <w:sz w:val="24"/>
      <w:szCs w:val="24"/>
      <w:lang w:val="ro-RO"/>
    </w:rPr>
  </w:style>
  <w:style w:type="character" w:styleId="ac">
    <w:name w:val="page number"/>
    <w:basedOn w:val="a0"/>
    <w:rsid w:val="001E547C"/>
  </w:style>
  <w:style w:type="paragraph" w:customStyle="1" w:styleId="Text1">
    <w:name w:val="Text 1"/>
    <w:basedOn w:val="a"/>
    <w:rsid w:val="001E547C"/>
    <w:pPr>
      <w:spacing w:before="120" w:after="120" w:line="360" w:lineRule="auto"/>
      <w:ind w:left="850"/>
    </w:pPr>
    <w:rPr>
      <w:rFonts w:ascii="Times New Roman" w:eastAsia="Times New Roman" w:hAnsi="Times New Roman" w:cs="Times New Roman"/>
      <w:sz w:val="24"/>
      <w:szCs w:val="20"/>
      <w:lang w:val="ro-RO"/>
    </w:rPr>
  </w:style>
  <w:style w:type="paragraph" w:customStyle="1" w:styleId="Point0">
    <w:name w:val="Point 0"/>
    <w:basedOn w:val="a"/>
    <w:rsid w:val="001E547C"/>
    <w:pPr>
      <w:spacing w:before="120" w:after="120" w:line="360" w:lineRule="auto"/>
      <w:ind w:left="850" w:hanging="850"/>
    </w:pPr>
    <w:rPr>
      <w:rFonts w:ascii="Times New Roman" w:eastAsia="Times New Roman" w:hAnsi="Times New Roman" w:cs="Times New Roman"/>
      <w:sz w:val="24"/>
      <w:szCs w:val="20"/>
      <w:lang w:val="ro-RO"/>
    </w:rPr>
  </w:style>
  <w:style w:type="paragraph" w:customStyle="1" w:styleId="DefaultParagraphFontParaChar">
    <w:name w:val="Default Paragraph Font Para Char"/>
    <w:basedOn w:val="a"/>
    <w:rsid w:val="001E547C"/>
    <w:pPr>
      <w:spacing w:line="240" w:lineRule="exact"/>
    </w:pPr>
    <w:rPr>
      <w:rFonts w:ascii="Verdana" w:eastAsia="Times New Roman" w:hAnsi="Verdana" w:cs="Times New Roman"/>
      <w:sz w:val="20"/>
      <w:szCs w:val="20"/>
      <w:lang w:val="ro-RO"/>
    </w:rPr>
  </w:style>
  <w:style w:type="paragraph" w:customStyle="1" w:styleId="Point1">
    <w:name w:val="Point 1"/>
    <w:basedOn w:val="a"/>
    <w:rsid w:val="001E547C"/>
    <w:pPr>
      <w:spacing w:before="120" w:after="120" w:line="360" w:lineRule="auto"/>
      <w:ind w:left="1417" w:hanging="567"/>
    </w:pPr>
    <w:rPr>
      <w:rFonts w:ascii="Times New Roman" w:eastAsia="Times New Roman" w:hAnsi="Times New Roman" w:cs="Times New Roman"/>
      <w:sz w:val="24"/>
      <w:szCs w:val="20"/>
      <w:lang w:val="ro-RO"/>
    </w:rPr>
  </w:style>
  <w:style w:type="paragraph" w:customStyle="1" w:styleId="Point2">
    <w:name w:val="Point 2"/>
    <w:basedOn w:val="a"/>
    <w:rsid w:val="001E547C"/>
    <w:pPr>
      <w:spacing w:before="120" w:after="120" w:line="360" w:lineRule="auto"/>
      <w:ind w:left="1984" w:hanging="567"/>
    </w:pPr>
    <w:rPr>
      <w:rFonts w:ascii="Times New Roman" w:eastAsia="Times New Roman" w:hAnsi="Times New Roman" w:cs="Times New Roman"/>
      <w:sz w:val="24"/>
      <w:szCs w:val="20"/>
      <w:lang w:val="ro-RO"/>
    </w:rPr>
  </w:style>
  <w:style w:type="paragraph" w:customStyle="1" w:styleId="SectionTitle">
    <w:name w:val="SectionTitle"/>
    <w:basedOn w:val="a"/>
    <w:next w:val="1"/>
    <w:rsid w:val="001E547C"/>
    <w:pPr>
      <w:keepNext/>
      <w:spacing w:before="120" w:after="360" w:line="360" w:lineRule="auto"/>
      <w:jc w:val="center"/>
    </w:pPr>
    <w:rPr>
      <w:rFonts w:ascii="Times New Roman" w:eastAsia="Times New Roman" w:hAnsi="Times New Roman" w:cs="Times New Roman"/>
      <w:b/>
      <w:smallCaps/>
      <w:sz w:val="28"/>
      <w:szCs w:val="20"/>
      <w:lang w:val="en-GB" w:eastAsia="zh-CN"/>
    </w:rPr>
  </w:style>
  <w:style w:type="character" w:customStyle="1" w:styleId="ln2tpreambul1">
    <w:name w:val="ln2tpreambul1"/>
    <w:rsid w:val="001E547C"/>
    <w:rPr>
      <w:i/>
      <w:iCs/>
    </w:rPr>
  </w:style>
  <w:style w:type="character" w:customStyle="1" w:styleId="ln2tarticol">
    <w:name w:val="ln2tarticol"/>
    <w:basedOn w:val="a0"/>
    <w:rsid w:val="001E547C"/>
  </w:style>
  <w:style w:type="paragraph" w:customStyle="1" w:styleId="CM4">
    <w:name w:val="CM4"/>
    <w:basedOn w:val="a"/>
    <w:next w:val="a"/>
    <w:uiPriority w:val="99"/>
    <w:rsid w:val="001E547C"/>
    <w:pPr>
      <w:autoSpaceDE w:val="0"/>
      <w:autoSpaceDN w:val="0"/>
      <w:adjustRightInd w:val="0"/>
      <w:spacing w:after="0" w:line="240" w:lineRule="auto"/>
    </w:pPr>
    <w:rPr>
      <w:rFonts w:ascii="EUAlbertina" w:eastAsia="Times New Roman" w:hAnsi="EUAlbertina" w:cs="Times New Roman"/>
      <w:sz w:val="24"/>
      <w:szCs w:val="24"/>
    </w:rPr>
  </w:style>
  <w:style w:type="character" w:customStyle="1" w:styleId="ln2tparagraf">
    <w:name w:val="ln2tparagraf"/>
    <w:basedOn w:val="a0"/>
    <w:rsid w:val="001E547C"/>
  </w:style>
  <w:style w:type="paragraph" w:styleId="ad">
    <w:name w:val="Balloon Text"/>
    <w:basedOn w:val="a"/>
    <w:link w:val="ae"/>
    <w:rsid w:val="001E547C"/>
    <w:pPr>
      <w:spacing w:after="0" w:line="240" w:lineRule="auto"/>
    </w:pPr>
    <w:rPr>
      <w:rFonts w:ascii="Tahoma" w:eastAsia="Times New Roman" w:hAnsi="Tahoma" w:cs="Tahoma"/>
      <w:sz w:val="16"/>
      <w:szCs w:val="16"/>
      <w:lang w:val="ro-RO"/>
    </w:rPr>
  </w:style>
  <w:style w:type="character" w:customStyle="1" w:styleId="ae">
    <w:name w:val="Текст выноски Знак"/>
    <w:basedOn w:val="a0"/>
    <w:link w:val="ad"/>
    <w:rsid w:val="001E547C"/>
    <w:rPr>
      <w:rFonts w:ascii="Tahoma" w:hAnsi="Tahoma" w:cs="Tahoma"/>
      <w:sz w:val="16"/>
      <w:szCs w:val="16"/>
      <w:lang w:val="ro-RO"/>
    </w:rPr>
  </w:style>
  <w:style w:type="character" w:customStyle="1" w:styleId="Added">
    <w:name w:val="Added"/>
    <w:rsid w:val="001E547C"/>
    <w:rPr>
      <w:rFonts w:cs="Times New Roman"/>
      <w:b/>
      <w:u w:val="single"/>
      <w:shd w:val="clear" w:color="auto" w:fill="auto"/>
    </w:rPr>
  </w:style>
  <w:style w:type="paragraph" w:customStyle="1" w:styleId="ManualConsidrant">
    <w:name w:val="Manual Considérant"/>
    <w:basedOn w:val="a"/>
    <w:rsid w:val="001E547C"/>
    <w:pPr>
      <w:spacing w:before="120" w:after="120" w:line="360" w:lineRule="auto"/>
      <w:ind w:left="850" w:hanging="850"/>
    </w:pPr>
    <w:rPr>
      <w:rFonts w:ascii="Times New Roman" w:eastAsia="Times New Roman" w:hAnsi="Times New Roman" w:cs="Times New Roman"/>
      <w:sz w:val="24"/>
      <w:szCs w:val="24"/>
      <w:lang w:val="en-GB" w:eastAsia="fr-BE"/>
    </w:rPr>
  </w:style>
  <w:style w:type="character" w:customStyle="1" w:styleId="DeltaViewInsertion">
    <w:name w:val="DeltaView Insertion"/>
    <w:rsid w:val="001E547C"/>
    <w:rPr>
      <w:b/>
      <w:i/>
      <w:color w:val="auto"/>
      <w:spacing w:val="0"/>
      <w:u w:val="none"/>
    </w:rPr>
  </w:style>
  <w:style w:type="paragraph" w:customStyle="1" w:styleId="ManualNumPar1">
    <w:name w:val="Manual NumPar 1"/>
    <w:basedOn w:val="a"/>
    <w:next w:val="a"/>
    <w:link w:val="ManualNumPar1Char"/>
    <w:rsid w:val="001E547C"/>
    <w:pPr>
      <w:spacing w:before="120" w:after="120" w:line="360" w:lineRule="auto"/>
      <w:ind w:left="850" w:hanging="850"/>
    </w:pPr>
    <w:rPr>
      <w:rFonts w:ascii="Times New Roman" w:eastAsia="Times New Roman" w:hAnsi="Times New Roman" w:cs="Times New Roman"/>
      <w:sz w:val="24"/>
      <w:szCs w:val="20"/>
      <w:lang w:val="ro-RO"/>
    </w:rPr>
  </w:style>
  <w:style w:type="character" w:customStyle="1" w:styleId="ManualNumPar1Char">
    <w:name w:val="Manual NumPar 1 Char"/>
    <w:link w:val="ManualNumPar1"/>
    <w:locked/>
    <w:rsid w:val="001E547C"/>
    <w:rPr>
      <w:sz w:val="24"/>
      <w:lang w:val="ro-RO"/>
    </w:rPr>
  </w:style>
  <w:style w:type="paragraph" w:styleId="af">
    <w:name w:val="annotation text"/>
    <w:basedOn w:val="a"/>
    <w:link w:val="af0"/>
    <w:uiPriority w:val="99"/>
    <w:rsid w:val="001E547C"/>
    <w:pPr>
      <w:spacing w:after="0" w:line="240" w:lineRule="auto"/>
    </w:pPr>
    <w:rPr>
      <w:rFonts w:ascii="Times New Roman" w:eastAsia="PMingLiU" w:hAnsi="Times New Roman" w:cs="Times New Roman"/>
      <w:sz w:val="20"/>
      <w:szCs w:val="20"/>
      <w:lang w:val="x-none"/>
    </w:rPr>
  </w:style>
  <w:style w:type="character" w:customStyle="1" w:styleId="af0">
    <w:name w:val="Текст примечания Знак"/>
    <w:basedOn w:val="a0"/>
    <w:link w:val="af"/>
    <w:uiPriority w:val="99"/>
    <w:rsid w:val="001E547C"/>
    <w:rPr>
      <w:rFonts w:eastAsia="PMingLiU"/>
      <w:lang w:val="x-none"/>
    </w:rPr>
  </w:style>
  <w:style w:type="character" w:styleId="af1">
    <w:name w:val="annotation reference"/>
    <w:uiPriority w:val="99"/>
    <w:rsid w:val="001E547C"/>
    <w:rPr>
      <w:sz w:val="16"/>
      <w:szCs w:val="16"/>
    </w:rPr>
  </w:style>
  <w:style w:type="paragraph" w:customStyle="1" w:styleId="Char1">
    <w:name w:val="Char1"/>
    <w:basedOn w:val="a"/>
    <w:rsid w:val="001E547C"/>
    <w:pPr>
      <w:spacing w:after="0" w:line="240" w:lineRule="auto"/>
    </w:pPr>
    <w:rPr>
      <w:rFonts w:ascii="Times New Roman" w:eastAsia="Times New Roman" w:hAnsi="Times New Roman" w:cs="Times New Roman"/>
      <w:sz w:val="24"/>
      <w:szCs w:val="24"/>
      <w:lang w:val="pl-PL" w:eastAsia="pl-PL"/>
    </w:rPr>
  </w:style>
  <w:style w:type="character" w:customStyle="1" w:styleId="CharChar1">
    <w:name w:val="Char Char1"/>
    <w:rsid w:val="001E547C"/>
    <w:rPr>
      <w:rFonts w:eastAsia="PMingLiU"/>
      <w:lang w:val="x-none" w:eastAsia="en-US" w:bidi="ar-SA"/>
    </w:rPr>
  </w:style>
  <w:style w:type="character" w:customStyle="1" w:styleId="ln2tlitera">
    <w:name w:val="ln2tlitera"/>
    <w:basedOn w:val="a0"/>
    <w:rsid w:val="001E547C"/>
  </w:style>
  <w:style w:type="character" w:styleId="af2">
    <w:name w:val="Hyperlink"/>
    <w:uiPriority w:val="99"/>
    <w:rsid w:val="001E547C"/>
    <w:rPr>
      <w:color w:val="0000FF"/>
      <w:u w:val="single"/>
    </w:rPr>
  </w:style>
  <w:style w:type="character" w:styleId="af3">
    <w:name w:val="FollowedHyperlink"/>
    <w:rsid w:val="001E547C"/>
    <w:rPr>
      <w:color w:val="800080"/>
      <w:u w:val="single"/>
    </w:rPr>
  </w:style>
  <w:style w:type="character" w:customStyle="1" w:styleId="ln2talineat">
    <w:name w:val="ln2talineat"/>
    <w:basedOn w:val="a0"/>
    <w:rsid w:val="001E547C"/>
  </w:style>
  <w:style w:type="character" w:customStyle="1" w:styleId="ln2tlinie">
    <w:name w:val="ln2tlinie"/>
    <w:basedOn w:val="a0"/>
    <w:rsid w:val="001E547C"/>
  </w:style>
  <w:style w:type="character" w:customStyle="1" w:styleId="ln2tsectiune">
    <w:name w:val="ln2tsectiune"/>
    <w:basedOn w:val="a0"/>
    <w:rsid w:val="001E547C"/>
  </w:style>
  <w:style w:type="character" w:customStyle="1" w:styleId="ln2ttitlu">
    <w:name w:val="ln2ttitlu"/>
    <w:basedOn w:val="a0"/>
    <w:rsid w:val="001E547C"/>
  </w:style>
  <w:style w:type="paragraph" w:customStyle="1" w:styleId="ln2acttitlu">
    <w:name w:val="ln2acttitlu"/>
    <w:basedOn w:val="a"/>
    <w:rsid w:val="001E547C"/>
    <w:pPr>
      <w:spacing w:before="100" w:beforeAutospacing="1" w:after="100" w:afterAutospacing="1" w:line="240" w:lineRule="auto"/>
      <w:jc w:val="center"/>
    </w:pPr>
    <w:rPr>
      <w:rFonts w:ascii="Times New Roman" w:eastAsia="Times New Roman" w:hAnsi="Times New Roman" w:cs="Times New Roman"/>
      <w:color w:val="000010"/>
      <w:sz w:val="18"/>
      <w:szCs w:val="18"/>
    </w:rPr>
  </w:style>
  <w:style w:type="character" w:customStyle="1" w:styleId="ln2lnk1">
    <w:name w:val="ln2lnk1"/>
    <w:rsid w:val="001E547C"/>
    <w:rPr>
      <w:sz w:val="18"/>
      <w:szCs w:val="18"/>
      <w:u w:val="single"/>
    </w:rPr>
  </w:style>
  <w:style w:type="character" w:customStyle="1" w:styleId="l5tlu1">
    <w:name w:val="l5tlu1"/>
    <w:rsid w:val="001E547C"/>
    <w:rPr>
      <w:b/>
      <w:bCs/>
      <w:color w:val="000000"/>
      <w:sz w:val="32"/>
      <w:szCs w:val="32"/>
    </w:rPr>
  </w:style>
  <w:style w:type="character" w:customStyle="1" w:styleId="l5def1">
    <w:name w:val="l5def1"/>
    <w:rsid w:val="001E547C"/>
    <w:rPr>
      <w:rFonts w:ascii="Arial" w:hAnsi="Arial" w:cs="Arial" w:hint="default"/>
      <w:color w:val="000000"/>
      <w:sz w:val="26"/>
      <w:szCs w:val="26"/>
    </w:rPr>
  </w:style>
  <w:style w:type="character" w:customStyle="1" w:styleId="l5def2">
    <w:name w:val="l5def2"/>
    <w:rsid w:val="001E547C"/>
    <w:rPr>
      <w:rFonts w:ascii="Arial" w:hAnsi="Arial" w:cs="Arial" w:hint="default"/>
      <w:color w:val="000000"/>
      <w:sz w:val="26"/>
      <w:szCs w:val="26"/>
    </w:rPr>
  </w:style>
  <w:style w:type="character" w:customStyle="1" w:styleId="l5def3">
    <w:name w:val="l5def3"/>
    <w:rsid w:val="001E547C"/>
    <w:rPr>
      <w:rFonts w:ascii="Arial" w:hAnsi="Arial" w:cs="Arial" w:hint="default"/>
      <w:color w:val="000000"/>
      <w:sz w:val="26"/>
      <w:szCs w:val="26"/>
    </w:rPr>
  </w:style>
  <w:style w:type="character" w:customStyle="1" w:styleId="l5def4">
    <w:name w:val="l5def4"/>
    <w:rsid w:val="001E547C"/>
    <w:rPr>
      <w:rFonts w:ascii="Arial" w:hAnsi="Arial" w:cs="Arial" w:hint="default"/>
      <w:color w:val="000000"/>
      <w:sz w:val="26"/>
      <w:szCs w:val="26"/>
    </w:rPr>
  </w:style>
  <w:style w:type="character" w:customStyle="1" w:styleId="l5def5">
    <w:name w:val="l5def5"/>
    <w:rsid w:val="001E547C"/>
    <w:rPr>
      <w:rFonts w:ascii="Arial" w:hAnsi="Arial" w:cs="Arial" w:hint="default"/>
      <w:color w:val="000000"/>
      <w:sz w:val="26"/>
      <w:szCs w:val="26"/>
    </w:rPr>
  </w:style>
  <w:style w:type="paragraph" w:customStyle="1" w:styleId="Default">
    <w:name w:val="Default"/>
    <w:rsid w:val="001E547C"/>
    <w:pPr>
      <w:autoSpaceDE w:val="0"/>
      <w:autoSpaceDN w:val="0"/>
      <w:adjustRightInd w:val="0"/>
    </w:pPr>
    <w:rPr>
      <w:color w:val="000000"/>
      <w:sz w:val="24"/>
      <w:szCs w:val="24"/>
      <w:lang w:val="ro-RO" w:eastAsia="ro-RO"/>
    </w:rPr>
  </w:style>
  <w:style w:type="paragraph" w:customStyle="1" w:styleId="ListParagraph1">
    <w:name w:val="List Paragraph1"/>
    <w:basedOn w:val="a"/>
    <w:rsid w:val="001E547C"/>
    <w:pPr>
      <w:spacing w:after="200" w:line="276" w:lineRule="auto"/>
      <w:ind w:left="720"/>
    </w:pPr>
    <w:rPr>
      <w:rFonts w:ascii="Calibri" w:eastAsia="Times New Roman" w:hAnsi="Calibri" w:cs="Calibri"/>
    </w:rPr>
  </w:style>
  <w:style w:type="character" w:customStyle="1" w:styleId="a9">
    <w:name w:val="Обычный (веб) Знак"/>
    <w:aliases w:val="Normal (Web) Char Char1 Char Знак,Normal (Web) Char Char Char Char Char Char Знак,Normal (Web) Char Char Char1 Char Char Знак,Normal (Web)1 Char Char Знак,Normal (Web) Char Знак,Normal (Web) Char Char Char Char Знак"/>
    <w:link w:val="a8"/>
    <w:uiPriority w:val="99"/>
    <w:rsid w:val="001E547C"/>
    <w:rPr>
      <w:sz w:val="19"/>
      <w:szCs w:val="19"/>
    </w:rPr>
  </w:style>
  <w:style w:type="paragraph" w:styleId="af4">
    <w:name w:val="List Paragraph"/>
    <w:basedOn w:val="a"/>
    <w:uiPriority w:val="34"/>
    <w:qFormat/>
    <w:rsid w:val="001E547C"/>
    <w:pPr>
      <w:ind w:left="720"/>
      <w:contextualSpacing/>
    </w:pPr>
    <w:rPr>
      <w:lang w:val="ro-RO"/>
    </w:rPr>
  </w:style>
  <w:style w:type="paragraph" w:styleId="af5">
    <w:name w:val="annotation subject"/>
    <w:basedOn w:val="af"/>
    <w:next w:val="af"/>
    <w:link w:val="af6"/>
    <w:unhideWhenUsed/>
    <w:rsid w:val="001E547C"/>
    <w:pPr>
      <w:spacing w:after="160"/>
    </w:pPr>
    <w:rPr>
      <w:rFonts w:asciiTheme="minorHAnsi" w:eastAsiaTheme="minorHAnsi" w:hAnsiTheme="minorHAnsi" w:cstheme="minorBidi"/>
      <w:b/>
      <w:bCs/>
      <w:lang w:val="en-US"/>
    </w:rPr>
  </w:style>
  <w:style w:type="character" w:customStyle="1" w:styleId="af6">
    <w:name w:val="Тема примечания Знак"/>
    <w:basedOn w:val="af0"/>
    <w:link w:val="af5"/>
    <w:rsid w:val="001E547C"/>
    <w:rPr>
      <w:rFonts w:asciiTheme="minorHAnsi" w:eastAsiaTheme="minorHAnsi" w:hAnsiTheme="minorHAnsi" w:cstheme="minorBidi"/>
      <w:b/>
      <w:bCs/>
      <w:lang w:val="x-none"/>
    </w:rPr>
  </w:style>
  <w:style w:type="paragraph" w:styleId="af7">
    <w:name w:val="Subtitle"/>
    <w:aliases w:val="capitol"/>
    <w:basedOn w:val="a"/>
    <w:next w:val="a"/>
    <w:link w:val="af8"/>
    <w:qFormat/>
    <w:rsid w:val="003756D1"/>
    <w:pPr>
      <w:numPr>
        <w:ilvl w:val="1"/>
      </w:numPr>
      <w:spacing w:before="120" w:after="120"/>
      <w:jc w:val="center"/>
    </w:pPr>
    <w:rPr>
      <w:rFonts w:eastAsiaTheme="minorEastAsia"/>
      <w:b/>
      <w:color w:val="000000" w:themeColor="text1"/>
      <w:spacing w:val="15"/>
      <w:lang w:val="ro-MD"/>
    </w:rPr>
  </w:style>
  <w:style w:type="character" w:customStyle="1" w:styleId="af8">
    <w:name w:val="Подзаголовок Знак"/>
    <w:aliases w:val="capitol Знак"/>
    <w:basedOn w:val="a0"/>
    <w:link w:val="af7"/>
    <w:rsid w:val="003756D1"/>
    <w:rPr>
      <w:rFonts w:asciiTheme="minorHAnsi" w:eastAsiaTheme="minorEastAsia" w:hAnsiTheme="minorHAnsi" w:cstheme="minorBidi"/>
      <w:b/>
      <w:color w:val="000000" w:themeColor="text1"/>
      <w:spacing w:val="15"/>
      <w:sz w:val="22"/>
      <w:szCs w:val="22"/>
      <w:lang w:val="ro-MD"/>
    </w:rPr>
  </w:style>
  <w:style w:type="paragraph" w:styleId="af9">
    <w:name w:val="Revision"/>
    <w:hidden/>
    <w:uiPriority w:val="99"/>
    <w:semiHidden/>
    <w:rsid w:val="00EB7F28"/>
    <w:rPr>
      <w:rFonts w:asciiTheme="minorHAnsi" w:eastAsiaTheme="minorHAnsi" w:hAnsiTheme="minorHAnsi" w:cstheme="minorBidi"/>
      <w:sz w:val="22"/>
      <w:szCs w:val="22"/>
    </w:rPr>
  </w:style>
  <w:style w:type="character" w:customStyle="1" w:styleId="UnresolvedMention">
    <w:name w:val="Unresolved Mention"/>
    <w:basedOn w:val="a0"/>
    <w:uiPriority w:val="99"/>
    <w:semiHidden/>
    <w:unhideWhenUsed/>
    <w:rsid w:val="00EB7F28"/>
    <w:rPr>
      <w:color w:val="605E5C"/>
      <w:shd w:val="clear" w:color="auto" w:fill="E1DFDD"/>
    </w:rPr>
  </w:style>
  <w:style w:type="paragraph" w:styleId="afa">
    <w:name w:val="footnote text"/>
    <w:basedOn w:val="a"/>
    <w:link w:val="afb"/>
    <w:semiHidden/>
    <w:unhideWhenUsed/>
    <w:rsid w:val="00F529F7"/>
    <w:pPr>
      <w:spacing w:after="0" w:line="240" w:lineRule="auto"/>
    </w:pPr>
    <w:rPr>
      <w:sz w:val="20"/>
      <w:szCs w:val="20"/>
    </w:rPr>
  </w:style>
  <w:style w:type="character" w:customStyle="1" w:styleId="afb">
    <w:name w:val="Текст сноски Знак"/>
    <w:basedOn w:val="a0"/>
    <w:link w:val="afa"/>
    <w:semiHidden/>
    <w:rsid w:val="00F529F7"/>
    <w:rPr>
      <w:rFonts w:asciiTheme="minorHAnsi" w:eastAsiaTheme="minorHAnsi" w:hAnsiTheme="minorHAnsi" w:cstheme="minorBidi"/>
    </w:rPr>
  </w:style>
  <w:style w:type="character" w:styleId="afc">
    <w:name w:val="footnote reference"/>
    <w:basedOn w:val="a0"/>
    <w:semiHidden/>
    <w:unhideWhenUsed/>
    <w:rsid w:val="00F529F7"/>
    <w:rPr>
      <w:vertAlign w:val="superscript"/>
    </w:rPr>
  </w:style>
  <w:style w:type="paragraph" w:customStyle="1" w:styleId="CM1">
    <w:name w:val="CM1"/>
    <w:basedOn w:val="a"/>
    <w:next w:val="a"/>
    <w:uiPriority w:val="99"/>
    <w:rsid w:val="00B8508D"/>
    <w:pPr>
      <w:autoSpaceDE w:val="0"/>
      <w:autoSpaceDN w:val="0"/>
      <w:adjustRightInd w:val="0"/>
      <w:spacing w:after="0" w:line="240" w:lineRule="auto"/>
    </w:pPr>
    <w:rPr>
      <w:rFonts w:ascii="EUAlbertina" w:eastAsia="Times New Roman" w:hAnsi="EUAlbertina" w:cs="Times New Roman"/>
      <w:sz w:val="24"/>
      <w:szCs w:val="24"/>
    </w:rPr>
  </w:style>
  <w:style w:type="character" w:customStyle="1" w:styleId="salnttl">
    <w:name w:val="s_aln_ttl"/>
    <w:basedOn w:val="a0"/>
    <w:rsid w:val="000B4517"/>
  </w:style>
  <w:style w:type="character" w:customStyle="1" w:styleId="salnbdy">
    <w:name w:val="s_aln_bdy"/>
    <w:basedOn w:val="a0"/>
    <w:rsid w:val="000B4517"/>
  </w:style>
  <w:style w:type="character" w:customStyle="1" w:styleId="slgi">
    <w:name w:val="s_lgi"/>
    <w:basedOn w:val="a0"/>
    <w:rsid w:val="000B4517"/>
  </w:style>
  <w:style w:type="character" w:customStyle="1" w:styleId="saln">
    <w:name w:val="s_aln"/>
    <w:basedOn w:val="a0"/>
    <w:rsid w:val="000B45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47577">
      <w:bodyDiv w:val="1"/>
      <w:marLeft w:val="0"/>
      <w:marRight w:val="0"/>
      <w:marTop w:val="0"/>
      <w:marBottom w:val="0"/>
      <w:divBdr>
        <w:top w:val="none" w:sz="0" w:space="0" w:color="auto"/>
        <w:left w:val="none" w:sz="0" w:space="0" w:color="auto"/>
        <w:bottom w:val="none" w:sz="0" w:space="0" w:color="auto"/>
        <w:right w:val="none" w:sz="0" w:space="0" w:color="auto"/>
      </w:divBdr>
    </w:div>
    <w:div w:id="74058106">
      <w:bodyDiv w:val="1"/>
      <w:marLeft w:val="0"/>
      <w:marRight w:val="0"/>
      <w:marTop w:val="0"/>
      <w:marBottom w:val="0"/>
      <w:divBdr>
        <w:top w:val="none" w:sz="0" w:space="0" w:color="auto"/>
        <w:left w:val="none" w:sz="0" w:space="0" w:color="auto"/>
        <w:bottom w:val="none" w:sz="0" w:space="0" w:color="auto"/>
        <w:right w:val="none" w:sz="0" w:space="0" w:color="auto"/>
      </w:divBdr>
    </w:div>
    <w:div w:id="104159658">
      <w:bodyDiv w:val="1"/>
      <w:marLeft w:val="0"/>
      <w:marRight w:val="0"/>
      <w:marTop w:val="0"/>
      <w:marBottom w:val="0"/>
      <w:divBdr>
        <w:top w:val="none" w:sz="0" w:space="0" w:color="auto"/>
        <w:left w:val="none" w:sz="0" w:space="0" w:color="auto"/>
        <w:bottom w:val="none" w:sz="0" w:space="0" w:color="auto"/>
        <w:right w:val="none" w:sz="0" w:space="0" w:color="auto"/>
      </w:divBdr>
    </w:div>
    <w:div w:id="142546978">
      <w:bodyDiv w:val="1"/>
      <w:marLeft w:val="0"/>
      <w:marRight w:val="0"/>
      <w:marTop w:val="0"/>
      <w:marBottom w:val="0"/>
      <w:divBdr>
        <w:top w:val="none" w:sz="0" w:space="0" w:color="auto"/>
        <w:left w:val="none" w:sz="0" w:space="0" w:color="auto"/>
        <w:bottom w:val="none" w:sz="0" w:space="0" w:color="auto"/>
        <w:right w:val="none" w:sz="0" w:space="0" w:color="auto"/>
      </w:divBdr>
    </w:div>
    <w:div w:id="149714393">
      <w:bodyDiv w:val="1"/>
      <w:marLeft w:val="0"/>
      <w:marRight w:val="0"/>
      <w:marTop w:val="0"/>
      <w:marBottom w:val="0"/>
      <w:divBdr>
        <w:top w:val="none" w:sz="0" w:space="0" w:color="auto"/>
        <w:left w:val="none" w:sz="0" w:space="0" w:color="auto"/>
        <w:bottom w:val="none" w:sz="0" w:space="0" w:color="auto"/>
        <w:right w:val="none" w:sz="0" w:space="0" w:color="auto"/>
      </w:divBdr>
    </w:div>
    <w:div w:id="150876948">
      <w:bodyDiv w:val="1"/>
      <w:marLeft w:val="0"/>
      <w:marRight w:val="0"/>
      <w:marTop w:val="0"/>
      <w:marBottom w:val="0"/>
      <w:divBdr>
        <w:top w:val="none" w:sz="0" w:space="0" w:color="auto"/>
        <w:left w:val="none" w:sz="0" w:space="0" w:color="auto"/>
        <w:bottom w:val="none" w:sz="0" w:space="0" w:color="auto"/>
        <w:right w:val="none" w:sz="0" w:space="0" w:color="auto"/>
      </w:divBdr>
    </w:div>
    <w:div w:id="164174068">
      <w:bodyDiv w:val="1"/>
      <w:marLeft w:val="0"/>
      <w:marRight w:val="0"/>
      <w:marTop w:val="0"/>
      <w:marBottom w:val="0"/>
      <w:divBdr>
        <w:top w:val="none" w:sz="0" w:space="0" w:color="auto"/>
        <w:left w:val="none" w:sz="0" w:space="0" w:color="auto"/>
        <w:bottom w:val="none" w:sz="0" w:space="0" w:color="auto"/>
        <w:right w:val="none" w:sz="0" w:space="0" w:color="auto"/>
      </w:divBdr>
    </w:div>
    <w:div w:id="195579499">
      <w:bodyDiv w:val="1"/>
      <w:marLeft w:val="0"/>
      <w:marRight w:val="0"/>
      <w:marTop w:val="0"/>
      <w:marBottom w:val="0"/>
      <w:divBdr>
        <w:top w:val="none" w:sz="0" w:space="0" w:color="auto"/>
        <w:left w:val="none" w:sz="0" w:space="0" w:color="auto"/>
        <w:bottom w:val="none" w:sz="0" w:space="0" w:color="auto"/>
        <w:right w:val="none" w:sz="0" w:space="0" w:color="auto"/>
      </w:divBdr>
    </w:div>
    <w:div w:id="210461829">
      <w:bodyDiv w:val="1"/>
      <w:marLeft w:val="0"/>
      <w:marRight w:val="0"/>
      <w:marTop w:val="0"/>
      <w:marBottom w:val="0"/>
      <w:divBdr>
        <w:top w:val="none" w:sz="0" w:space="0" w:color="auto"/>
        <w:left w:val="none" w:sz="0" w:space="0" w:color="auto"/>
        <w:bottom w:val="none" w:sz="0" w:space="0" w:color="auto"/>
        <w:right w:val="none" w:sz="0" w:space="0" w:color="auto"/>
      </w:divBdr>
    </w:div>
    <w:div w:id="228271604">
      <w:bodyDiv w:val="1"/>
      <w:marLeft w:val="0"/>
      <w:marRight w:val="0"/>
      <w:marTop w:val="0"/>
      <w:marBottom w:val="0"/>
      <w:divBdr>
        <w:top w:val="none" w:sz="0" w:space="0" w:color="auto"/>
        <w:left w:val="none" w:sz="0" w:space="0" w:color="auto"/>
        <w:bottom w:val="none" w:sz="0" w:space="0" w:color="auto"/>
        <w:right w:val="none" w:sz="0" w:space="0" w:color="auto"/>
      </w:divBdr>
    </w:div>
    <w:div w:id="228541808">
      <w:bodyDiv w:val="1"/>
      <w:marLeft w:val="0"/>
      <w:marRight w:val="0"/>
      <w:marTop w:val="0"/>
      <w:marBottom w:val="0"/>
      <w:divBdr>
        <w:top w:val="none" w:sz="0" w:space="0" w:color="auto"/>
        <w:left w:val="none" w:sz="0" w:space="0" w:color="auto"/>
        <w:bottom w:val="none" w:sz="0" w:space="0" w:color="auto"/>
        <w:right w:val="none" w:sz="0" w:space="0" w:color="auto"/>
      </w:divBdr>
    </w:div>
    <w:div w:id="281040737">
      <w:bodyDiv w:val="1"/>
      <w:marLeft w:val="0"/>
      <w:marRight w:val="0"/>
      <w:marTop w:val="0"/>
      <w:marBottom w:val="0"/>
      <w:divBdr>
        <w:top w:val="none" w:sz="0" w:space="0" w:color="auto"/>
        <w:left w:val="none" w:sz="0" w:space="0" w:color="auto"/>
        <w:bottom w:val="none" w:sz="0" w:space="0" w:color="auto"/>
        <w:right w:val="none" w:sz="0" w:space="0" w:color="auto"/>
      </w:divBdr>
    </w:div>
    <w:div w:id="296223361">
      <w:bodyDiv w:val="1"/>
      <w:marLeft w:val="0"/>
      <w:marRight w:val="0"/>
      <w:marTop w:val="0"/>
      <w:marBottom w:val="0"/>
      <w:divBdr>
        <w:top w:val="none" w:sz="0" w:space="0" w:color="auto"/>
        <w:left w:val="none" w:sz="0" w:space="0" w:color="auto"/>
        <w:bottom w:val="none" w:sz="0" w:space="0" w:color="auto"/>
        <w:right w:val="none" w:sz="0" w:space="0" w:color="auto"/>
      </w:divBdr>
    </w:div>
    <w:div w:id="312415416">
      <w:bodyDiv w:val="1"/>
      <w:marLeft w:val="0"/>
      <w:marRight w:val="0"/>
      <w:marTop w:val="0"/>
      <w:marBottom w:val="0"/>
      <w:divBdr>
        <w:top w:val="none" w:sz="0" w:space="0" w:color="auto"/>
        <w:left w:val="none" w:sz="0" w:space="0" w:color="auto"/>
        <w:bottom w:val="none" w:sz="0" w:space="0" w:color="auto"/>
        <w:right w:val="none" w:sz="0" w:space="0" w:color="auto"/>
      </w:divBdr>
    </w:div>
    <w:div w:id="314840519">
      <w:bodyDiv w:val="1"/>
      <w:marLeft w:val="0"/>
      <w:marRight w:val="0"/>
      <w:marTop w:val="0"/>
      <w:marBottom w:val="0"/>
      <w:divBdr>
        <w:top w:val="none" w:sz="0" w:space="0" w:color="auto"/>
        <w:left w:val="none" w:sz="0" w:space="0" w:color="auto"/>
        <w:bottom w:val="none" w:sz="0" w:space="0" w:color="auto"/>
        <w:right w:val="none" w:sz="0" w:space="0" w:color="auto"/>
      </w:divBdr>
    </w:div>
    <w:div w:id="346447640">
      <w:bodyDiv w:val="1"/>
      <w:marLeft w:val="0"/>
      <w:marRight w:val="0"/>
      <w:marTop w:val="0"/>
      <w:marBottom w:val="0"/>
      <w:divBdr>
        <w:top w:val="none" w:sz="0" w:space="0" w:color="auto"/>
        <w:left w:val="none" w:sz="0" w:space="0" w:color="auto"/>
        <w:bottom w:val="none" w:sz="0" w:space="0" w:color="auto"/>
        <w:right w:val="none" w:sz="0" w:space="0" w:color="auto"/>
      </w:divBdr>
    </w:div>
    <w:div w:id="388655757">
      <w:bodyDiv w:val="1"/>
      <w:marLeft w:val="0"/>
      <w:marRight w:val="0"/>
      <w:marTop w:val="0"/>
      <w:marBottom w:val="0"/>
      <w:divBdr>
        <w:top w:val="none" w:sz="0" w:space="0" w:color="auto"/>
        <w:left w:val="none" w:sz="0" w:space="0" w:color="auto"/>
        <w:bottom w:val="none" w:sz="0" w:space="0" w:color="auto"/>
        <w:right w:val="none" w:sz="0" w:space="0" w:color="auto"/>
      </w:divBdr>
    </w:div>
    <w:div w:id="400178254">
      <w:bodyDiv w:val="1"/>
      <w:marLeft w:val="0"/>
      <w:marRight w:val="0"/>
      <w:marTop w:val="0"/>
      <w:marBottom w:val="0"/>
      <w:divBdr>
        <w:top w:val="none" w:sz="0" w:space="0" w:color="auto"/>
        <w:left w:val="none" w:sz="0" w:space="0" w:color="auto"/>
        <w:bottom w:val="none" w:sz="0" w:space="0" w:color="auto"/>
        <w:right w:val="none" w:sz="0" w:space="0" w:color="auto"/>
      </w:divBdr>
    </w:div>
    <w:div w:id="425922293">
      <w:bodyDiv w:val="1"/>
      <w:marLeft w:val="0"/>
      <w:marRight w:val="0"/>
      <w:marTop w:val="0"/>
      <w:marBottom w:val="0"/>
      <w:divBdr>
        <w:top w:val="none" w:sz="0" w:space="0" w:color="auto"/>
        <w:left w:val="none" w:sz="0" w:space="0" w:color="auto"/>
        <w:bottom w:val="none" w:sz="0" w:space="0" w:color="auto"/>
        <w:right w:val="none" w:sz="0" w:space="0" w:color="auto"/>
      </w:divBdr>
    </w:div>
    <w:div w:id="436680820">
      <w:bodyDiv w:val="1"/>
      <w:marLeft w:val="0"/>
      <w:marRight w:val="0"/>
      <w:marTop w:val="0"/>
      <w:marBottom w:val="0"/>
      <w:divBdr>
        <w:top w:val="none" w:sz="0" w:space="0" w:color="auto"/>
        <w:left w:val="none" w:sz="0" w:space="0" w:color="auto"/>
        <w:bottom w:val="none" w:sz="0" w:space="0" w:color="auto"/>
        <w:right w:val="none" w:sz="0" w:space="0" w:color="auto"/>
      </w:divBdr>
    </w:div>
    <w:div w:id="481167245">
      <w:bodyDiv w:val="1"/>
      <w:marLeft w:val="0"/>
      <w:marRight w:val="0"/>
      <w:marTop w:val="0"/>
      <w:marBottom w:val="0"/>
      <w:divBdr>
        <w:top w:val="none" w:sz="0" w:space="0" w:color="auto"/>
        <w:left w:val="none" w:sz="0" w:space="0" w:color="auto"/>
        <w:bottom w:val="none" w:sz="0" w:space="0" w:color="auto"/>
        <w:right w:val="none" w:sz="0" w:space="0" w:color="auto"/>
      </w:divBdr>
    </w:div>
    <w:div w:id="492381312">
      <w:bodyDiv w:val="1"/>
      <w:marLeft w:val="0"/>
      <w:marRight w:val="0"/>
      <w:marTop w:val="0"/>
      <w:marBottom w:val="0"/>
      <w:divBdr>
        <w:top w:val="none" w:sz="0" w:space="0" w:color="auto"/>
        <w:left w:val="none" w:sz="0" w:space="0" w:color="auto"/>
        <w:bottom w:val="none" w:sz="0" w:space="0" w:color="auto"/>
        <w:right w:val="none" w:sz="0" w:space="0" w:color="auto"/>
      </w:divBdr>
    </w:div>
    <w:div w:id="572354962">
      <w:bodyDiv w:val="1"/>
      <w:marLeft w:val="0"/>
      <w:marRight w:val="0"/>
      <w:marTop w:val="0"/>
      <w:marBottom w:val="0"/>
      <w:divBdr>
        <w:top w:val="none" w:sz="0" w:space="0" w:color="auto"/>
        <w:left w:val="none" w:sz="0" w:space="0" w:color="auto"/>
        <w:bottom w:val="none" w:sz="0" w:space="0" w:color="auto"/>
        <w:right w:val="none" w:sz="0" w:space="0" w:color="auto"/>
      </w:divBdr>
    </w:div>
    <w:div w:id="587815251">
      <w:bodyDiv w:val="1"/>
      <w:marLeft w:val="0"/>
      <w:marRight w:val="0"/>
      <w:marTop w:val="0"/>
      <w:marBottom w:val="0"/>
      <w:divBdr>
        <w:top w:val="none" w:sz="0" w:space="0" w:color="auto"/>
        <w:left w:val="none" w:sz="0" w:space="0" w:color="auto"/>
        <w:bottom w:val="none" w:sz="0" w:space="0" w:color="auto"/>
        <w:right w:val="none" w:sz="0" w:space="0" w:color="auto"/>
      </w:divBdr>
    </w:div>
    <w:div w:id="706182645">
      <w:bodyDiv w:val="1"/>
      <w:marLeft w:val="0"/>
      <w:marRight w:val="0"/>
      <w:marTop w:val="0"/>
      <w:marBottom w:val="0"/>
      <w:divBdr>
        <w:top w:val="none" w:sz="0" w:space="0" w:color="auto"/>
        <w:left w:val="none" w:sz="0" w:space="0" w:color="auto"/>
        <w:bottom w:val="none" w:sz="0" w:space="0" w:color="auto"/>
        <w:right w:val="none" w:sz="0" w:space="0" w:color="auto"/>
      </w:divBdr>
    </w:div>
    <w:div w:id="743995024">
      <w:bodyDiv w:val="1"/>
      <w:marLeft w:val="0"/>
      <w:marRight w:val="0"/>
      <w:marTop w:val="0"/>
      <w:marBottom w:val="0"/>
      <w:divBdr>
        <w:top w:val="none" w:sz="0" w:space="0" w:color="auto"/>
        <w:left w:val="none" w:sz="0" w:space="0" w:color="auto"/>
        <w:bottom w:val="none" w:sz="0" w:space="0" w:color="auto"/>
        <w:right w:val="none" w:sz="0" w:space="0" w:color="auto"/>
      </w:divBdr>
    </w:div>
    <w:div w:id="784694585">
      <w:bodyDiv w:val="1"/>
      <w:marLeft w:val="0"/>
      <w:marRight w:val="0"/>
      <w:marTop w:val="0"/>
      <w:marBottom w:val="0"/>
      <w:divBdr>
        <w:top w:val="none" w:sz="0" w:space="0" w:color="auto"/>
        <w:left w:val="none" w:sz="0" w:space="0" w:color="auto"/>
        <w:bottom w:val="none" w:sz="0" w:space="0" w:color="auto"/>
        <w:right w:val="none" w:sz="0" w:space="0" w:color="auto"/>
      </w:divBdr>
    </w:div>
    <w:div w:id="914781269">
      <w:bodyDiv w:val="1"/>
      <w:marLeft w:val="0"/>
      <w:marRight w:val="0"/>
      <w:marTop w:val="0"/>
      <w:marBottom w:val="0"/>
      <w:divBdr>
        <w:top w:val="none" w:sz="0" w:space="0" w:color="auto"/>
        <w:left w:val="none" w:sz="0" w:space="0" w:color="auto"/>
        <w:bottom w:val="none" w:sz="0" w:space="0" w:color="auto"/>
        <w:right w:val="none" w:sz="0" w:space="0" w:color="auto"/>
      </w:divBdr>
    </w:div>
    <w:div w:id="922422210">
      <w:bodyDiv w:val="1"/>
      <w:marLeft w:val="0"/>
      <w:marRight w:val="0"/>
      <w:marTop w:val="0"/>
      <w:marBottom w:val="0"/>
      <w:divBdr>
        <w:top w:val="none" w:sz="0" w:space="0" w:color="auto"/>
        <w:left w:val="none" w:sz="0" w:space="0" w:color="auto"/>
        <w:bottom w:val="none" w:sz="0" w:space="0" w:color="auto"/>
        <w:right w:val="none" w:sz="0" w:space="0" w:color="auto"/>
      </w:divBdr>
    </w:div>
    <w:div w:id="939138764">
      <w:bodyDiv w:val="1"/>
      <w:marLeft w:val="0"/>
      <w:marRight w:val="0"/>
      <w:marTop w:val="0"/>
      <w:marBottom w:val="0"/>
      <w:divBdr>
        <w:top w:val="none" w:sz="0" w:space="0" w:color="auto"/>
        <w:left w:val="none" w:sz="0" w:space="0" w:color="auto"/>
        <w:bottom w:val="none" w:sz="0" w:space="0" w:color="auto"/>
        <w:right w:val="none" w:sz="0" w:space="0" w:color="auto"/>
      </w:divBdr>
    </w:div>
    <w:div w:id="960308614">
      <w:bodyDiv w:val="1"/>
      <w:marLeft w:val="0"/>
      <w:marRight w:val="0"/>
      <w:marTop w:val="0"/>
      <w:marBottom w:val="0"/>
      <w:divBdr>
        <w:top w:val="none" w:sz="0" w:space="0" w:color="auto"/>
        <w:left w:val="none" w:sz="0" w:space="0" w:color="auto"/>
        <w:bottom w:val="none" w:sz="0" w:space="0" w:color="auto"/>
        <w:right w:val="none" w:sz="0" w:space="0" w:color="auto"/>
      </w:divBdr>
    </w:div>
    <w:div w:id="961421222">
      <w:bodyDiv w:val="1"/>
      <w:marLeft w:val="0"/>
      <w:marRight w:val="0"/>
      <w:marTop w:val="0"/>
      <w:marBottom w:val="0"/>
      <w:divBdr>
        <w:top w:val="none" w:sz="0" w:space="0" w:color="auto"/>
        <w:left w:val="none" w:sz="0" w:space="0" w:color="auto"/>
        <w:bottom w:val="none" w:sz="0" w:space="0" w:color="auto"/>
        <w:right w:val="none" w:sz="0" w:space="0" w:color="auto"/>
      </w:divBdr>
    </w:div>
    <w:div w:id="970744716">
      <w:bodyDiv w:val="1"/>
      <w:marLeft w:val="0"/>
      <w:marRight w:val="0"/>
      <w:marTop w:val="0"/>
      <w:marBottom w:val="0"/>
      <w:divBdr>
        <w:top w:val="none" w:sz="0" w:space="0" w:color="auto"/>
        <w:left w:val="none" w:sz="0" w:space="0" w:color="auto"/>
        <w:bottom w:val="none" w:sz="0" w:space="0" w:color="auto"/>
        <w:right w:val="none" w:sz="0" w:space="0" w:color="auto"/>
      </w:divBdr>
    </w:div>
    <w:div w:id="1003432958">
      <w:bodyDiv w:val="1"/>
      <w:marLeft w:val="0"/>
      <w:marRight w:val="0"/>
      <w:marTop w:val="0"/>
      <w:marBottom w:val="0"/>
      <w:divBdr>
        <w:top w:val="none" w:sz="0" w:space="0" w:color="auto"/>
        <w:left w:val="none" w:sz="0" w:space="0" w:color="auto"/>
        <w:bottom w:val="none" w:sz="0" w:space="0" w:color="auto"/>
        <w:right w:val="none" w:sz="0" w:space="0" w:color="auto"/>
      </w:divBdr>
    </w:div>
    <w:div w:id="1010135903">
      <w:bodyDiv w:val="1"/>
      <w:marLeft w:val="0"/>
      <w:marRight w:val="0"/>
      <w:marTop w:val="0"/>
      <w:marBottom w:val="0"/>
      <w:divBdr>
        <w:top w:val="none" w:sz="0" w:space="0" w:color="auto"/>
        <w:left w:val="none" w:sz="0" w:space="0" w:color="auto"/>
        <w:bottom w:val="none" w:sz="0" w:space="0" w:color="auto"/>
        <w:right w:val="none" w:sz="0" w:space="0" w:color="auto"/>
      </w:divBdr>
    </w:div>
    <w:div w:id="1035621663">
      <w:bodyDiv w:val="1"/>
      <w:marLeft w:val="0"/>
      <w:marRight w:val="0"/>
      <w:marTop w:val="0"/>
      <w:marBottom w:val="0"/>
      <w:divBdr>
        <w:top w:val="none" w:sz="0" w:space="0" w:color="auto"/>
        <w:left w:val="none" w:sz="0" w:space="0" w:color="auto"/>
        <w:bottom w:val="none" w:sz="0" w:space="0" w:color="auto"/>
        <w:right w:val="none" w:sz="0" w:space="0" w:color="auto"/>
      </w:divBdr>
    </w:div>
    <w:div w:id="1041052365">
      <w:bodyDiv w:val="1"/>
      <w:marLeft w:val="0"/>
      <w:marRight w:val="0"/>
      <w:marTop w:val="0"/>
      <w:marBottom w:val="0"/>
      <w:divBdr>
        <w:top w:val="none" w:sz="0" w:space="0" w:color="auto"/>
        <w:left w:val="none" w:sz="0" w:space="0" w:color="auto"/>
        <w:bottom w:val="none" w:sz="0" w:space="0" w:color="auto"/>
        <w:right w:val="none" w:sz="0" w:space="0" w:color="auto"/>
      </w:divBdr>
    </w:div>
    <w:div w:id="1055739466">
      <w:bodyDiv w:val="1"/>
      <w:marLeft w:val="0"/>
      <w:marRight w:val="0"/>
      <w:marTop w:val="0"/>
      <w:marBottom w:val="0"/>
      <w:divBdr>
        <w:top w:val="none" w:sz="0" w:space="0" w:color="auto"/>
        <w:left w:val="none" w:sz="0" w:space="0" w:color="auto"/>
        <w:bottom w:val="none" w:sz="0" w:space="0" w:color="auto"/>
        <w:right w:val="none" w:sz="0" w:space="0" w:color="auto"/>
      </w:divBdr>
    </w:div>
    <w:div w:id="1174732888">
      <w:bodyDiv w:val="1"/>
      <w:marLeft w:val="0"/>
      <w:marRight w:val="0"/>
      <w:marTop w:val="0"/>
      <w:marBottom w:val="0"/>
      <w:divBdr>
        <w:top w:val="none" w:sz="0" w:space="0" w:color="auto"/>
        <w:left w:val="none" w:sz="0" w:space="0" w:color="auto"/>
        <w:bottom w:val="none" w:sz="0" w:space="0" w:color="auto"/>
        <w:right w:val="none" w:sz="0" w:space="0" w:color="auto"/>
      </w:divBdr>
    </w:div>
    <w:div w:id="1210192080">
      <w:bodyDiv w:val="1"/>
      <w:marLeft w:val="0"/>
      <w:marRight w:val="0"/>
      <w:marTop w:val="0"/>
      <w:marBottom w:val="0"/>
      <w:divBdr>
        <w:top w:val="none" w:sz="0" w:space="0" w:color="auto"/>
        <w:left w:val="none" w:sz="0" w:space="0" w:color="auto"/>
        <w:bottom w:val="none" w:sz="0" w:space="0" w:color="auto"/>
        <w:right w:val="none" w:sz="0" w:space="0" w:color="auto"/>
      </w:divBdr>
    </w:div>
    <w:div w:id="1238400081">
      <w:bodyDiv w:val="1"/>
      <w:marLeft w:val="0"/>
      <w:marRight w:val="0"/>
      <w:marTop w:val="0"/>
      <w:marBottom w:val="0"/>
      <w:divBdr>
        <w:top w:val="none" w:sz="0" w:space="0" w:color="auto"/>
        <w:left w:val="none" w:sz="0" w:space="0" w:color="auto"/>
        <w:bottom w:val="none" w:sz="0" w:space="0" w:color="auto"/>
        <w:right w:val="none" w:sz="0" w:space="0" w:color="auto"/>
      </w:divBdr>
    </w:div>
    <w:div w:id="1243562570">
      <w:bodyDiv w:val="1"/>
      <w:marLeft w:val="0"/>
      <w:marRight w:val="0"/>
      <w:marTop w:val="0"/>
      <w:marBottom w:val="0"/>
      <w:divBdr>
        <w:top w:val="none" w:sz="0" w:space="0" w:color="auto"/>
        <w:left w:val="none" w:sz="0" w:space="0" w:color="auto"/>
        <w:bottom w:val="none" w:sz="0" w:space="0" w:color="auto"/>
        <w:right w:val="none" w:sz="0" w:space="0" w:color="auto"/>
      </w:divBdr>
    </w:div>
    <w:div w:id="1292636005">
      <w:bodyDiv w:val="1"/>
      <w:marLeft w:val="0"/>
      <w:marRight w:val="0"/>
      <w:marTop w:val="0"/>
      <w:marBottom w:val="0"/>
      <w:divBdr>
        <w:top w:val="none" w:sz="0" w:space="0" w:color="auto"/>
        <w:left w:val="none" w:sz="0" w:space="0" w:color="auto"/>
        <w:bottom w:val="none" w:sz="0" w:space="0" w:color="auto"/>
        <w:right w:val="none" w:sz="0" w:space="0" w:color="auto"/>
      </w:divBdr>
    </w:div>
    <w:div w:id="1302155082">
      <w:bodyDiv w:val="1"/>
      <w:marLeft w:val="0"/>
      <w:marRight w:val="0"/>
      <w:marTop w:val="0"/>
      <w:marBottom w:val="0"/>
      <w:divBdr>
        <w:top w:val="none" w:sz="0" w:space="0" w:color="auto"/>
        <w:left w:val="none" w:sz="0" w:space="0" w:color="auto"/>
        <w:bottom w:val="none" w:sz="0" w:space="0" w:color="auto"/>
        <w:right w:val="none" w:sz="0" w:space="0" w:color="auto"/>
      </w:divBdr>
    </w:div>
    <w:div w:id="1331592418">
      <w:bodyDiv w:val="1"/>
      <w:marLeft w:val="0"/>
      <w:marRight w:val="0"/>
      <w:marTop w:val="0"/>
      <w:marBottom w:val="0"/>
      <w:divBdr>
        <w:top w:val="none" w:sz="0" w:space="0" w:color="auto"/>
        <w:left w:val="none" w:sz="0" w:space="0" w:color="auto"/>
        <w:bottom w:val="none" w:sz="0" w:space="0" w:color="auto"/>
        <w:right w:val="none" w:sz="0" w:space="0" w:color="auto"/>
      </w:divBdr>
    </w:div>
    <w:div w:id="1385955784">
      <w:bodyDiv w:val="1"/>
      <w:marLeft w:val="0"/>
      <w:marRight w:val="0"/>
      <w:marTop w:val="0"/>
      <w:marBottom w:val="0"/>
      <w:divBdr>
        <w:top w:val="none" w:sz="0" w:space="0" w:color="auto"/>
        <w:left w:val="none" w:sz="0" w:space="0" w:color="auto"/>
        <w:bottom w:val="none" w:sz="0" w:space="0" w:color="auto"/>
        <w:right w:val="none" w:sz="0" w:space="0" w:color="auto"/>
      </w:divBdr>
    </w:div>
    <w:div w:id="1440493482">
      <w:bodyDiv w:val="1"/>
      <w:marLeft w:val="0"/>
      <w:marRight w:val="0"/>
      <w:marTop w:val="0"/>
      <w:marBottom w:val="0"/>
      <w:divBdr>
        <w:top w:val="none" w:sz="0" w:space="0" w:color="auto"/>
        <w:left w:val="none" w:sz="0" w:space="0" w:color="auto"/>
        <w:bottom w:val="none" w:sz="0" w:space="0" w:color="auto"/>
        <w:right w:val="none" w:sz="0" w:space="0" w:color="auto"/>
      </w:divBdr>
    </w:div>
    <w:div w:id="1443307094">
      <w:bodyDiv w:val="1"/>
      <w:marLeft w:val="0"/>
      <w:marRight w:val="0"/>
      <w:marTop w:val="0"/>
      <w:marBottom w:val="0"/>
      <w:divBdr>
        <w:top w:val="none" w:sz="0" w:space="0" w:color="auto"/>
        <w:left w:val="none" w:sz="0" w:space="0" w:color="auto"/>
        <w:bottom w:val="none" w:sz="0" w:space="0" w:color="auto"/>
        <w:right w:val="none" w:sz="0" w:space="0" w:color="auto"/>
      </w:divBdr>
    </w:div>
    <w:div w:id="1448502752">
      <w:bodyDiv w:val="1"/>
      <w:marLeft w:val="0"/>
      <w:marRight w:val="0"/>
      <w:marTop w:val="0"/>
      <w:marBottom w:val="0"/>
      <w:divBdr>
        <w:top w:val="none" w:sz="0" w:space="0" w:color="auto"/>
        <w:left w:val="none" w:sz="0" w:space="0" w:color="auto"/>
        <w:bottom w:val="none" w:sz="0" w:space="0" w:color="auto"/>
        <w:right w:val="none" w:sz="0" w:space="0" w:color="auto"/>
      </w:divBdr>
    </w:div>
    <w:div w:id="1451782816">
      <w:bodyDiv w:val="1"/>
      <w:marLeft w:val="0"/>
      <w:marRight w:val="0"/>
      <w:marTop w:val="0"/>
      <w:marBottom w:val="0"/>
      <w:divBdr>
        <w:top w:val="none" w:sz="0" w:space="0" w:color="auto"/>
        <w:left w:val="none" w:sz="0" w:space="0" w:color="auto"/>
        <w:bottom w:val="none" w:sz="0" w:space="0" w:color="auto"/>
        <w:right w:val="none" w:sz="0" w:space="0" w:color="auto"/>
      </w:divBdr>
    </w:div>
    <w:div w:id="1516572380">
      <w:bodyDiv w:val="1"/>
      <w:marLeft w:val="0"/>
      <w:marRight w:val="0"/>
      <w:marTop w:val="0"/>
      <w:marBottom w:val="0"/>
      <w:divBdr>
        <w:top w:val="none" w:sz="0" w:space="0" w:color="auto"/>
        <w:left w:val="none" w:sz="0" w:space="0" w:color="auto"/>
        <w:bottom w:val="none" w:sz="0" w:space="0" w:color="auto"/>
        <w:right w:val="none" w:sz="0" w:space="0" w:color="auto"/>
      </w:divBdr>
    </w:div>
    <w:div w:id="1625501317">
      <w:bodyDiv w:val="1"/>
      <w:marLeft w:val="0"/>
      <w:marRight w:val="0"/>
      <w:marTop w:val="0"/>
      <w:marBottom w:val="0"/>
      <w:divBdr>
        <w:top w:val="none" w:sz="0" w:space="0" w:color="auto"/>
        <w:left w:val="none" w:sz="0" w:space="0" w:color="auto"/>
        <w:bottom w:val="none" w:sz="0" w:space="0" w:color="auto"/>
        <w:right w:val="none" w:sz="0" w:space="0" w:color="auto"/>
      </w:divBdr>
    </w:div>
    <w:div w:id="1708869037">
      <w:bodyDiv w:val="1"/>
      <w:marLeft w:val="0"/>
      <w:marRight w:val="0"/>
      <w:marTop w:val="0"/>
      <w:marBottom w:val="0"/>
      <w:divBdr>
        <w:top w:val="none" w:sz="0" w:space="0" w:color="auto"/>
        <w:left w:val="none" w:sz="0" w:space="0" w:color="auto"/>
        <w:bottom w:val="none" w:sz="0" w:space="0" w:color="auto"/>
        <w:right w:val="none" w:sz="0" w:space="0" w:color="auto"/>
      </w:divBdr>
    </w:div>
    <w:div w:id="1721981758">
      <w:bodyDiv w:val="1"/>
      <w:marLeft w:val="0"/>
      <w:marRight w:val="0"/>
      <w:marTop w:val="0"/>
      <w:marBottom w:val="0"/>
      <w:divBdr>
        <w:top w:val="none" w:sz="0" w:space="0" w:color="auto"/>
        <w:left w:val="none" w:sz="0" w:space="0" w:color="auto"/>
        <w:bottom w:val="none" w:sz="0" w:space="0" w:color="auto"/>
        <w:right w:val="none" w:sz="0" w:space="0" w:color="auto"/>
      </w:divBdr>
    </w:div>
    <w:div w:id="1723362148">
      <w:bodyDiv w:val="1"/>
      <w:marLeft w:val="0"/>
      <w:marRight w:val="0"/>
      <w:marTop w:val="0"/>
      <w:marBottom w:val="0"/>
      <w:divBdr>
        <w:top w:val="none" w:sz="0" w:space="0" w:color="auto"/>
        <w:left w:val="none" w:sz="0" w:space="0" w:color="auto"/>
        <w:bottom w:val="none" w:sz="0" w:space="0" w:color="auto"/>
        <w:right w:val="none" w:sz="0" w:space="0" w:color="auto"/>
      </w:divBdr>
    </w:div>
    <w:div w:id="1781609920">
      <w:bodyDiv w:val="1"/>
      <w:marLeft w:val="0"/>
      <w:marRight w:val="0"/>
      <w:marTop w:val="0"/>
      <w:marBottom w:val="0"/>
      <w:divBdr>
        <w:top w:val="none" w:sz="0" w:space="0" w:color="auto"/>
        <w:left w:val="none" w:sz="0" w:space="0" w:color="auto"/>
        <w:bottom w:val="none" w:sz="0" w:space="0" w:color="auto"/>
        <w:right w:val="none" w:sz="0" w:space="0" w:color="auto"/>
      </w:divBdr>
    </w:div>
    <w:div w:id="1971669165">
      <w:bodyDiv w:val="1"/>
      <w:marLeft w:val="0"/>
      <w:marRight w:val="0"/>
      <w:marTop w:val="0"/>
      <w:marBottom w:val="0"/>
      <w:divBdr>
        <w:top w:val="none" w:sz="0" w:space="0" w:color="auto"/>
        <w:left w:val="none" w:sz="0" w:space="0" w:color="auto"/>
        <w:bottom w:val="none" w:sz="0" w:space="0" w:color="auto"/>
        <w:right w:val="none" w:sz="0" w:space="0" w:color="auto"/>
      </w:divBdr>
    </w:div>
    <w:div w:id="1991901772">
      <w:bodyDiv w:val="1"/>
      <w:marLeft w:val="0"/>
      <w:marRight w:val="0"/>
      <w:marTop w:val="0"/>
      <w:marBottom w:val="0"/>
      <w:divBdr>
        <w:top w:val="none" w:sz="0" w:space="0" w:color="auto"/>
        <w:left w:val="none" w:sz="0" w:space="0" w:color="auto"/>
        <w:bottom w:val="none" w:sz="0" w:space="0" w:color="auto"/>
        <w:right w:val="none" w:sz="0" w:space="0" w:color="auto"/>
      </w:divBdr>
    </w:div>
    <w:div w:id="2006546984">
      <w:bodyDiv w:val="1"/>
      <w:marLeft w:val="0"/>
      <w:marRight w:val="0"/>
      <w:marTop w:val="0"/>
      <w:marBottom w:val="0"/>
      <w:divBdr>
        <w:top w:val="none" w:sz="0" w:space="0" w:color="auto"/>
        <w:left w:val="none" w:sz="0" w:space="0" w:color="auto"/>
        <w:bottom w:val="none" w:sz="0" w:space="0" w:color="auto"/>
        <w:right w:val="none" w:sz="0" w:space="0" w:color="auto"/>
      </w:divBdr>
    </w:div>
    <w:div w:id="2022661623">
      <w:bodyDiv w:val="1"/>
      <w:marLeft w:val="0"/>
      <w:marRight w:val="0"/>
      <w:marTop w:val="0"/>
      <w:marBottom w:val="0"/>
      <w:divBdr>
        <w:top w:val="none" w:sz="0" w:space="0" w:color="auto"/>
        <w:left w:val="none" w:sz="0" w:space="0" w:color="auto"/>
        <w:bottom w:val="none" w:sz="0" w:space="0" w:color="auto"/>
        <w:right w:val="none" w:sz="0" w:space="0" w:color="auto"/>
      </w:divBdr>
    </w:div>
    <w:div w:id="2053536769">
      <w:bodyDiv w:val="1"/>
      <w:marLeft w:val="0"/>
      <w:marRight w:val="0"/>
      <w:marTop w:val="0"/>
      <w:marBottom w:val="0"/>
      <w:divBdr>
        <w:top w:val="none" w:sz="0" w:space="0" w:color="auto"/>
        <w:left w:val="none" w:sz="0" w:space="0" w:color="auto"/>
        <w:bottom w:val="none" w:sz="0" w:space="0" w:color="auto"/>
        <w:right w:val="none" w:sz="0" w:space="0" w:color="auto"/>
      </w:divBdr>
    </w:div>
    <w:div w:id="2124835889">
      <w:bodyDiv w:val="1"/>
      <w:marLeft w:val="0"/>
      <w:marRight w:val="0"/>
      <w:marTop w:val="0"/>
      <w:marBottom w:val="0"/>
      <w:divBdr>
        <w:top w:val="none" w:sz="0" w:space="0" w:color="auto"/>
        <w:left w:val="none" w:sz="0" w:space="0" w:color="auto"/>
        <w:bottom w:val="none" w:sz="0" w:space="0" w:color="auto"/>
        <w:right w:val="none" w:sz="0" w:space="0" w:color="auto"/>
      </w:divBdr>
    </w:div>
    <w:div w:id="2131898506">
      <w:bodyDiv w:val="1"/>
      <w:marLeft w:val="0"/>
      <w:marRight w:val="0"/>
      <w:marTop w:val="0"/>
      <w:marBottom w:val="0"/>
      <w:divBdr>
        <w:top w:val="none" w:sz="0" w:space="0" w:color="auto"/>
        <w:left w:val="none" w:sz="0" w:space="0" w:color="auto"/>
        <w:bottom w:val="none" w:sz="0" w:space="0" w:color="auto"/>
        <w:right w:val="none" w:sz="0" w:space="0" w:color="auto"/>
      </w:divBdr>
    </w:div>
    <w:div w:id="2140027390">
      <w:bodyDiv w:val="1"/>
      <w:marLeft w:val="0"/>
      <w:marRight w:val="0"/>
      <w:marTop w:val="0"/>
      <w:marBottom w:val="0"/>
      <w:divBdr>
        <w:top w:val="none" w:sz="0" w:space="0" w:color="auto"/>
        <w:left w:val="none" w:sz="0" w:space="0" w:color="auto"/>
        <w:bottom w:val="none" w:sz="0" w:space="0" w:color="auto"/>
        <w:right w:val="none" w:sz="0" w:space="0" w:color="auto"/>
      </w:divBdr>
    </w:div>
    <w:div w:id="2146117797">
      <w:bodyDiv w:val="1"/>
      <w:marLeft w:val="0"/>
      <w:marRight w:val="0"/>
      <w:marTop w:val="0"/>
      <w:marBottom w:val="0"/>
      <w:divBdr>
        <w:top w:val="none" w:sz="0" w:space="0" w:color="auto"/>
        <w:left w:val="none" w:sz="0" w:space="0" w:color="auto"/>
        <w:bottom w:val="none" w:sz="0" w:space="0" w:color="auto"/>
        <w:right w:val="none" w:sz="0" w:space="0" w:color="auto"/>
      </w:divBdr>
    </w:div>
    <w:div w:id="21472327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eba.europa.eu/sites/default/files/documents/10180/1907331/de9abe89-7be5-4fea-aaf8-43bd4e67d71e/Draft%20RTS%20and%20ITS%20on%20Authorisation%20of%20Credit%20Institutions%20%28EBA-RTS-2017-08%20EBA-ITS-2017-05%29.pdf" TargetMode="External"/><Relationship Id="rId18" Type="http://schemas.openxmlformats.org/officeDocument/2006/relationships/image" Target="media/image2.png"/><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image" Target="media/image5.jpeg"/><Relationship Id="rId7" Type="http://schemas.openxmlformats.org/officeDocument/2006/relationships/styles" Target="styles.xml"/><Relationship Id="rId12" Type="http://schemas.openxmlformats.org/officeDocument/2006/relationships/hyperlink" Target="https://www.bnm.md/ro/content/proiectul-hce-al-bnm-pentru-modificarea-regulamentului-privind-cadrul-de-administrare" TargetMode="External"/><Relationship Id="rId17" Type="http://schemas.openxmlformats.org/officeDocument/2006/relationships/image" Target="media/image1.jpeg"/><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eur-lex.europa.eu/legal-content/RO/TXT/?uri=celex%3A32024L1619" TargetMode="External"/><Relationship Id="rId20" Type="http://schemas.openxmlformats.org/officeDocument/2006/relationships/image" Target="media/image4.jpe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hyperlink" Target="https://www.eiopa.europa.eu/system/files/2020-10/jc_qh_gls_ro.pdf"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eiopa.europa.eu/system/files/2020-10/jc_qh_gls_ro.pdf" TargetMode="External"/><Relationship Id="rId22" Type="http://schemas.openxmlformats.org/officeDocument/2006/relationships/hyperlink" Target="https://www.eba.europa.eu/sites/default/files/documents/10180/2761380/68286518-c6aa-48d2-a3b9-de3c229840a3/EBA%20revised%20Guidelines%20on%20outsourcing_RO.pdf"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1CC8FD9FC602D47942046F00E7457D2" ma:contentTypeVersion="2" ma:contentTypeDescription="Create a new document." ma:contentTypeScope="" ma:versionID="6ecb83600ca2f0bb5b40f55d1aac27ea">
  <xsd:schema xmlns:xsd="http://www.w3.org/2001/XMLSchema" xmlns:xs="http://www.w3.org/2001/XMLSchema" xmlns:p="http://schemas.microsoft.com/office/2006/metadata/properties" xmlns:ns2="ab897e66-8555-453e-a498-d234c2d9a514" targetNamespace="http://schemas.microsoft.com/office/2006/metadata/properties" ma:root="true" ma:fieldsID="2bde0dfe954a52f6ec1a554ff69af605" ns2:_="">
    <xsd:import namespace="ab897e66-8555-453e-a498-d234c2d9a514"/>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897e66-8555-453e-a498-d234c2d9a51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titus xmlns="http://schemas.titus.com/TitusProperties/">
  <TitusGUID xmlns="">ba9804a1-a0a2-4bdd-aaec-c6272c278a40</TitusGUID>
  <TitusMetadata xmlns="">eyJucyI6IioiLCJwcm9wcyI6W3sibiI6IkNsYXNpZmljYXJlIiwidmFscyI6W3sidmFsdWUiOiJOT05FIn1dfV19</TitusMetadata>
</titu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27F633-3539-478F-B7D8-11852E914DF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2347631-FD9A-4AE3-A9C2-723A372A27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897e66-8555-453e-a498-d234c2d9a5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ABE24DB-DE3A-488F-9E4C-56BBF3ADE637}">
  <ds:schemaRefs>
    <ds:schemaRef ds:uri="http://schemas.microsoft.com/sharepoint/v3/contenttype/forms"/>
  </ds:schemaRefs>
</ds:datastoreItem>
</file>

<file path=customXml/itemProps4.xml><?xml version="1.0" encoding="utf-8"?>
<ds:datastoreItem xmlns:ds="http://schemas.openxmlformats.org/officeDocument/2006/customXml" ds:itemID="{71AD80EF-D84C-4C93-9E4B-07F1B7486663}">
  <ds:schemaRefs>
    <ds:schemaRef ds:uri="http://schemas.titus.com/TitusProperties/"/>
    <ds:schemaRef ds:uri=""/>
  </ds:schemaRefs>
</ds:datastoreItem>
</file>

<file path=customXml/itemProps5.xml><?xml version="1.0" encoding="utf-8"?>
<ds:datastoreItem xmlns:ds="http://schemas.openxmlformats.org/officeDocument/2006/customXml" ds:itemID="{BDC28F4D-C073-4219-9BE9-C7DBA60D56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564</Pages>
  <Words>207241</Words>
  <Characters>1181278</Characters>
  <Application>Microsoft Office Word</Application>
  <DocSecurity>0</DocSecurity>
  <Lines>9843</Lines>
  <Paragraphs>2771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1385748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C. Gabura</dc:creator>
  <cp:keywords/>
  <dc:description/>
  <cp:lastModifiedBy>Sorina, Hiznicenco</cp:lastModifiedBy>
  <cp:revision>3</cp:revision>
  <dcterms:created xsi:type="dcterms:W3CDTF">2026-09-22T11:12:00Z</dcterms:created>
  <dcterms:modified xsi:type="dcterms:W3CDTF">2026-09-22T12:50:00Z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ba9804a1-a0a2-4bdd-aaec-c6272c278a40</vt:lpwstr>
  </property>
  <property fmtid="{D5CDD505-2E9C-101B-9397-08002B2CF9AE}" pid="3" name="ContentTypeId">
    <vt:lpwstr>0x01010041CC8FD9FC602D47942046F00E7457D2</vt:lpwstr>
  </property>
  <property fmtid="{D5CDD505-2E9C-101B-9397-08002B2CF9AE}" pid="4" name="Clasificare">
    <vt:lpwstr>NONE</vt:lpwstr>
  </property>
  <property fmtid="{D5CDD505-2E9C-101B-9397-08002B2CF9AE}" pid="5" name="MSIP_Label_38962dcf-d39f-4edc-a396-338a56ba9170_Enabled">
    <vt:lpwstr>true</vt:lpwstr>
  </property>
  <property fmtid="{D5CDD505-2E9C-101B-9397-08002B2CF9AE}" pid="6" name="MSIP_Label_38962dcf-d39f-4edc-a396-338a56ba9170_SetDate">
    <vt:lpwstr>2025-01-15T14:00:18Z</vt:lpwstr>
  </property>
  <property fmtid="{D5CDD505-2E9C-101B-9397-08002B2CF9AE}" pid="7" name="MSIP_Label_38962dcf-d39f-4edc-a396-338a56ba9170_Method">
    <vt:lpwstr>Privileged</vt:lpwstr>
  </property>
  <property fmtid="{D5CDD505-2E9C-101B-9397-08002B2CF9AE}" pid="8" name="MSIP_Label_38962dcf-d39f-4edc-a396-338a56ba9170_Name">
    <vt:lpwstr>NONE</vt:lpwstr>
  </property>
  <property fmtid="{D5CDD505-2E9C-101B-9397-08002B2CF9AE}" pid="9" name="MSIP_Label_38962dcf-d39f-4edc-a396-338a56ba9170_SiteId">
    <vt:lpwstr>5887d430-0034-4561-b771-12c77faf2fa0</vt:lpwstr>
  </property>
  <property fmtid="{D5CDD505-2E9C-101B-9397-08002B2CF9AE}" pid="10" name="MSIP_Label_38962dcf-d39f-4edc-a396-338a56ba9170_ActionId">
    <vt:lpwstr>818d0df1-44b1-47d7-add1-41cbc471a4d4</vt:lpwstr>
  </property>
  <property fmtid="{D5CDD505-2E9C-101B-9397-08002B2CF9AE}" pid="11" name="MSIP_Label_38962dcf-d39f-4edc-a396-338a56ba9170_ContentBits">
    <vt:lpwstr>0</vt:lpwstr>
  </property>
</Properties>
</file>